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397E" w14:textId="3BCAA079" w:rsidR="005C1A53" w:rsidRPr="00637ACF" w:rsidRDefault="00EA2329" w:rsidP="005C1A53">
      <w:pPr>
        <w:pStyle w:val="Telobesedila"/>
        <w:tabs>
          <w:tab w:val="left" w:pos="3825"/>
        </w:tabs>
        <w:jc w:val="left"/>
        <w:rPr>
          <w:rFonts w:ascii="Arial" w:hAnsi="Arial" w:cs="Arial"/>
          <w:bCs/>
          <w:color w:val="FF0000"/>
          <w:sz w:val="20"/>
          <w:szCs w:val="20"/>
          <w:highlight w:val="yellow"/>
        </w:rPr>
      </w:pPr>
      <w:r w:rsidRPr="00BE6711">
        <w:rPr>
          <w:rFonts w:ascii="Arial" w:hAnsi="Arial" w:cs="Arial"/>
          <w:bCs/>
          <w:noProof/>
          <w:color w:val="FF0000"/>
          <w:sz w:val="20"/>
          <w:szCs w:val="20"/>
          <w:lang w:eastAsia="sl-SI"/>
        </w:rPr>
        <w:drawing>
          <wp:inline distT="0" distB="0" distL="0" distR="0" wp14:anchorId="5061E205" wp14:editId="5BF5406E">
            <wp:extent cx="5753100" cy="1514475"/>
            <wp:effectExtent l="0" t="0" r="0" b="9525"/>
            <wp:docPr id="12" name="Slika 12" descr="Osnovni podatki Ministrstva za javno upravo, Direktorata za javno naroč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Osnovni podatki Ministrstva za javno upravo, Direktorata za javno naročan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14475"/>
                    </a:xfrm>
                    <a:prstGeom prst="rect">
                      <a:avLst/>
                    </a:prstGeom>
                    <a:noFill/>
                    <a:ln>
                      <a:noFill/>
                    </a:ln>
                  </pic:spPr>
                </pic:pic>
              </a:graphicData>
            </a:graphic>
          </wp:inline>
        </w:drawing>
      </w:r>
    </w:p>
    <w:p w14:paraId="08505AF6" w14:textId="77777777" w:rsidR="005C1A53" w:rsidRPr="00637ACF" w:rsidRDefault="005C1A53" w:rsidP="005C1A53">
      <w:pPr>
        <w:pStyle w:val="Telobesedila"/>
        <w:jc w:val="left"/>
        <w:rPr>
          <w:rFonts w:ascii="Arial" w:hAnsi="Arial" w:cs="Arial"/>
          <w:bCs/>
          <w:color w:val="FF0000"/>
          <w:sz w:val="20"/>
          <w:szCs w:val="20"/>
          <w:highlight w:val="yellow"/>
        </w:rPr>
      </w:pPr>
    </w:p>
    <w:p w14:paraId="0DBE4E16" w14:textId="04FFD1CA" w:rsidR="005C1A53" w:rsidRPr="00CF42C9" w:rsidRDefault="00650A52" w:rsidP="005C1A53">
      <w:pPr>
        <w:pStyle w:val="Telobesedila"/>
        <w:jc w:val="left"/>
        <w:rPr>
          <w:rFonts w:ascii="Arial" w:hAnsi="Arial" w:cs="Arial"/>
          <w:bCs/>
          <w:color w:val="000000" w:themeColor="text1"/>
          <w:sz w:val="20"/>
          <w:szCs w:val="20"/>
        </w:rPr>
      </w:pPr>
      <w:r w:rsidRPr="00CF42C9">
        <w:rPr>
          <w:rFonts w:ascii="Arial" w:hAnsi="Arial" w:cs="Arial"/>
          <w:bCs/>
          <w:color w:val="000000" w:themeColor="text1"/>
          <w:sz w:val="20"/>
          <w:szCs w:val="20"/>
        </w:rPr>
        <w:t>Številka:</w:t>
      </w:r>
      <w:r w:rsidR="007A3E35" w:rsidRPr="00CF42C9">
        <w:rPr>
          <w:rFonts w:ascii="Arial" w:hAnsi="Arial" w:cs="Arial"/>
          <w:bCs/>
          <w:color w:val="000000" w:themeColor="text1"/>
          <w:sz w:val="20"/>
          <w:szCs w:val="20"/>
        </w:rPr>
        <w:t xml:space="preserve"> </w:t>
      </w:r>
      <w:r w:rsidR="005041A8" w:rsidRPr="00CF42C9">
        <w:rPr>
          <w:rFonts w:ascii="Arial" w:hAnsi="Arial" w:cs="Arial"/>
          <w:bCs/>
          <w:color w:val="000000" w:themeColor="text1"/>
          <w:sz w:val="20"/>
          <w:szCs w:val="20"/>
        </w:rPr>
        <w:t>430-</w:t>
      </w:r>
      <w:r w:rsidR="000A2A87" w:rsidRPr="00CF42C9">
        <w:rPr>
          <w:rFonts w:ascii="Arial" w:hAnsi="Arial" w:cs="Arial"/>
          <w:bCs/>
          <w:color w:val="000000" w:themeColor="text1"/>
          <w:sz w:val="20"/>
          <w:szCs w:val="20"/>
        </w:rPr>
        <w:t>2</w:t>
      </w:r>
      <w:r w:rsidR="002D3ED5" w:rsidRPr="00CF42C9">
        <w:rPr>
          <w:rFonts w:ascii="Arial" w:hAnsi="Arial" w:cs="Arial"/>
          <w:bCs/>
          <w:color w:val="000000" w:themeColor="text1"/>
          <w:sz w:val="20"/>
          <w:szCs w:val="20"/>
        </w:rPr>
        <w:t>98</w:t>
      </w:r>
      <w:r w:rsidR="005041A8" w:rsidRPr="00CF42C9">
        <w:rPr>
          <w:rFonts w:ascii="Arial" w:hAnsi="Arial" w:cs="Arial"/>
          <w:bCs/>
          <w:color w:val="000000" w:themeColor="text1"/>
          <w:sz w:val="20"/>
          <w:szCs w:val="20"/>
        </w:rPr>
        <w:t>/202</w:t>
      </w:r>
      <w:r w:rsidR="000A2A87" w:rsidRPr="00CF42C9">
        <w:rPr>
          <w:rFonts w:ascii="Arial" w:hAnsi="Arial" w:cs="Arial"/>
          <w:bCs/>
          <w:color w:val="000000" w:themeColor="text1"/>
          <w:sz w:val="20"/>
          <w:szCs w:val="20"/>
        </w:rPr>
        <w:t>4</w:t>
      </w:r>
      <w:r w:rsidR="002D3ED5" w:rsidRPr="00CF42C9">
        <w:rPr>
          <w:rFonts w:ascii="Arial" w:hAnsi="Arial" w:cs="Arial"/>
          <w:bCs/>
          <w:color w:val="000000" w:themeColor="text1"/>
          <w:sz w:val="20"/>
          <w:szCs w:val="20"/>
        </w:rPr>
        <w:t>-3130</w:t>
      </w:r>
      <w:r w:rsidR="001668D9" w:rsidRPr="00CF42C9">
        <w:rPr>
          <w:rFonts w:ascii="Arial" w:hAnsi="Arial" w:cs="Arial"/>
          <w:bCs/>
          <w:color w:val="000000" w:themeColor="text1"/>
          <w:sz w:val="20"/>
          <w:szCs w:val="20"/>
        </w:rPr>
        <w:t>/</w:t>
      </w:r>
      <w:r w:rsidR="00F53D21">
        <w:rPr>
          <w:rFonts w:ascii="Arial" w:hAnsi="Arial" w:cs="Arial"/>
          <w:bCs/>
          <w:color w:val="000000" w:themeColor="text1"/>
          <w:sz w:val="20"/>
          <w:szCs w:val="20"/>
        </w:rPr>
        <w:t>5</w:t>
      </w:r>
    </w:p>
    <w:p w14:paraId="58C656BE" w14:textId="60244999" w:rsidR="005C1A53" w:rsidRPr="00CF42C9" w:rsidRDefault="00650A52" w:rsidP="005C1A53">
      <w:pPr>
        <w:pStyle w:val="Telobesedila"/>
        <w:jc w:val="left"/>
        <w:rPr>
          <w:rFonts w:ascii="Arial" w:hAnsi="Arial" w:cs="Arial"/>
          <w:bCs/>
          <w:color w:val="000000" w:themeColor="text1"/>
          <w:sz w:val="20"/>
          <w:szCs w:val="20"/>
        </w:rPr>
      </w:pPr>
      <w:r w:rsidRPr="00CF42C9">
        <w:rPr>
          <w:rFonts w:ascii="Arial" w:hAnsi="Arial" w:cs="Arial"/>
          <w:bCs/>
          <w:color w:val="000000" w:themeColor="text1"/>
          <w:sz w:val="20"/>
          <w:szCs w:val="20"/>
        </w:rPr>
        <w:t>Datum:</w:t>
      </w:r>
      <w:r w:rsidR="005041A8" w:rsidRPr="00CF42C9">
        <w:rPr>
          <w:rFonts w:ascii="Arial" w:hAnsi="Arial" w:cs="Arial"/>
          <w:bCs/>
          <w:color w:val="000000" w:themeColor="text1"/>
          <w:sz w:val="20"/>
          <w:szCs w:val="20"/>
        </w:rPr>
        <w:t xml:space="preserve"> </w:t>
      </w:r>
      <w:r w:rsidR="00F53D21">
        <w:rPr>
          <w:rFonts w:ascii="Arial" w:hAnsi="Arial" w:cs="Arial"/>
          <w:bCs/>
          <w:color w:val="000000" w:themeColor="text1"/>
          <w:sz w:val="20"/>
          <w:szCs w:val="20"/>
        </w:rPr>
        <w:t>4</w:t>
      </w:r>
      <w:r w:rsidR="00E3562B" w:rsidRPr="00CF42C9">
        <w:rPr>
          <w:rFonts w:ascii="Arial" w:hAnsi="Arial" w:cs="Arial"/>
          <w:bCs/>
          <w:color w:val="000000" w:themeColor="text1"/>
          <w:sz w:val="20"/>
          <w:szCs w:val="20"/>
        </w:rPr>
        <w:t>.</w:t>
      </w:r>
      <w:r w:rsidR="00F53D21">
        <w:rPr>
          <w:rFonts w:ascii="Arial" w:hAnsi="Arial" w:cs="Arial"/>
          <w:bCs/>
          <w:color w:val="000000" w:themeColor="text1"/>
          <w:sz w:val="20"/>
          <w:szCs w:val="20"/>
        </w:rPr>
        <w:t xml:space="preserve"> 10</w:t>
      </w:r>
      <w:r w:rsidR="00E3562B" w:rsidRPr="00CF42C9">
        <w:rPr>
          <w:rFonts w:ascii="Arial" w:hAnsi="Arial" w:cs="Arial"/>
          <w:bCs/>
          <w:color w:val="000000" w:themeColor="text1"/>
          <w:sz w:val="20"/>
          <w:szCs w:val="20"/>
        </w:rPr>
        <w:t>.</w:t>
      </w:r>
      <w:r w:rsidR="00F53D21">
        <w:rPr>
          <w:rFonts w:ascii="Arial" w:hAnsi="Arial" w:cs="Arial"/>
          <w:bCs/>
          <w:color w:val="000000" w:themeColor="text1"/>
          <w:sz w:val="20"/>
          <w:szCs w:val="20"/>
        </w:rPr>
        <w:t xml:space="preserve"> </w:t>
      </w:r>
      <w:r w:rsidR="005041A8" w:rsidRPr="00CF42C9">
        <w:rPr>
          <w:rFonts w:ascii="Arial" w:hAnsi="Arial" w:cs="Arial"/>
          <w:bCs/>
          <w:color w:val="000000" w:themeColor="text1"/>
          <w:sz w:val="20"/>
          <w:szCs w:val="20"/>
        </w:rPr>
        <w:t>202</w:t>
      </w:r>
      <w:r w:rsidR="00E40C58" w:rsidRPr="00CF42C9">
        <w:rPr>
          <w:rFonts w:ascii="Arial" w:hAnsi="Arial" w:cs="Arial"/>
          <w:bCs/>
          <w:color w:val="000000" w:themeColor="text1"/>
          <w:sz w:val="20"/>
          <w:szCs w:val="20"/>
        </w:rPr>
        <w:t>4</w:t>
      </w:r>
    </w:p>
    <w:p w14:paraId="29D9160C" w14:textId="77777777" w:rsidR="005C1A53" w:rsidRPr="00637ACF" w:rsidRDefault="005C1A53" w:rsidP="005C1A53">
      <w:pPr>
        <w:pStyle w:val="Telobesedila"/>
        <w:jc w:val="left"/>
        <w:rPr>
          <w:rFonts w:ascii="Arial" w:hAnsi="Arial" w:cs="Arial"/>
          <w:b/>
          <w:bCs/>
          <w:color w:val="FF0000"/>
          <w:sz w:val="20"/>
          <w:szCs w:val="20"/>
          <w:highlight w:val="yellow"/>
        </w:rPr>
      </w:pPr>
    </w:p>
    <w:p w14:paraId="082F9718" w14:textId="77777777" w:rsidR="005C1A53" w:rsidRPr="00637ACF" w:rsidRDefault="005C1A53" w:rsidP="005C1A53">
      <w:pPr>
        <w:pStyle w:val="Telobesedila"/>
        <w:jc w:val="left"/>
        <w:rPr>
          <w:rFonts w:ascii="Arial" w:hAnsi="Arial" w:cs="Arial"/>
          <w:b/>
          <w:bCs/>
          <w:color w:val="FF0000"/>
          <w:sz w:val="20"/>
          <w:szCs w:val="20"/>
          <w:highlight w:val="yellow"/>
        </w:rPr>
      </w:pPr>
    </w:p>
    <w:p w14:paraId="24C417D6" w14:textId="68F30AAD" w:rsidR="007E20A4" w:rsidRPr="00637ACF" w:rsidRDefault="007E20A4">
      <w:pPr>
        <w:rPr>
          <w:rFonts w:ascii="Arial" w:hAnsi="Arial" w:cs="Arial"/>
          <w:color w:val="FF0000"/>
          <w:highlight w:val="yellow"/>
        </w:rPr>
      </w:pPr>
    </w:p>
    <w:p w14:paraId="3F02C860" w14:textId="3CE3EDE3" w:rsidR="007A3D98" w:rsidRPr="00637ACF" w:rsidRDefault="007A3D98">
      <w:pPr>
        <w:rPr>
          <w:rFonts w:ascii="Arial" w:hAnsi="Arial" w:cs="Arial"/>
          <w:color w:val="FF0000"/>
          <w:highlight w:val="yellow"/>
        </w:rPr>
      </w:pPr>
    </w:p>
    <w:p w14:paraId="0F29F0A3" w14:textId="57016884" w:rsidR="0043386E" w:rsidRPr="00637ACF" w:rsidRDefault="0043386E">
      <w:pPr>
        <w:rPr>
          <w:rFonts w:ascii="Arial" w:hAnsi="Arial" w:cs="Arial"/>
          <w:color w:val="FF0000"/>
          <w:highlight w:val="yellow"/>
        </w:rPr>
      </w:pPr>
    </w:p>
    <w:p w14:paraId="6C137ED8" w14:textId="5A003276" w:rsidR="0043386E" w:rsidRPr="00637ACF" w:rsidRDefault="0043386E">
      <w:pPr>
        <w:rPr>
          <w:rFonts w:ascii="Arial" w:hAnsi="Arial" w:cs="Arial"/>
          <w:color w:val="FF0000"/>
          <w:highlight w:val="yellow"/>
        </w:rPr>
      </w:pPr>
    </w:p>
    <w:p w14:paraId="549CAF2F" w14:textId="19F98182" w:rsidR="0043386E" w:rsidRPr="00637ACF" w:rsidRDefault="0043386E">
      <w:pPr>
        <w:rPr>
          <w:rFonts w:ascii="Arial" w:hAnsi="Arial" w:cs="Arial"/>
          <w:color w:val="FF0000"/>
          <w:highlight w:val="yellow"/>
        </w:rPr>
      </w:pPr>
    </w:p>
    <w:p w14:paraId="13EA0D21" w14:textId="1506679C" w:rsidR="0043386E" w:rsidRPr="00637ACF" w:rsidRDefault="0043386E">
      <w:pPr>
        <w:rPr>
          <w:rFonts w:ascii="Arial" w:hAnsi="Arial" w:cs="Arial"/>
          <w:color w:val="FF0000"/>
          <w:highlight w:val="yellow"/>
        </w:rPr>
      </w:pPr>
    </w:p>
    <w:p w14:paraId="31C17D20" w14:textId="77777777" w:rsidR="0043386E" w:rsidRPr="00637ACF" w:rsidRDefault="0043386E">
      <w:pPr>
        <w:rPr>
          <w:rFonts w:ascii="Arial" w:hAnsi="Arial" w:cs="Arial"/>
          <w:color w:val="FF0000"/>
          <w:highlight w:val="yellow"/>
        </w:rPr>
      </w:pPr>
    </w:p>
    <w:p w14:paraId="76ECB79C" w14:textId="724CCD69" w:rsidR="0043386E" w:rsidRPr="00637ACF" w:rsidRDefault="0043386E">
      <w:pPr>
        <w:rPr>
          <w:rFonts w:ascii="Arial" w:hAnsi="Arial" w:cs="Arial"/>
          <w:color w:val="FF0000"/>
          <w:highlight w:val="yellow"/>
        </w:rPr>
      </w:pPr>
    </w:p>
    <w:p w14:paraId="07712B29" w14:textId="1B917AAB" w:rsidR="0043386E" w:rsidRPr="00BE6711" w:rsidRDefault="0043386E">
      <w:pPr>
        <w:rPr>
          <w:rFonts w:ascii="Arial" w:hAnsi="Arial" w:cs="Arial"/>
          <w:color w:val="000000" w:themeColor="text1"/>
        </w:rPr>
      </w:pPr>
    </w:p>
    <w:p w14:paraId="5023007E" w14:textId="77777777" w:rsidR="0043386E" w:rsidRPr="00BE6711" w:rsidRDefault="0043386E" w:rsidP="0043386E">
      <w:pPr>
        <w:pStyle w:val="Telobesedila"/>
        <w:spacing w:line="360" w:lineRule="auto"/>
        <w:jc w:val="center"/>
        <w:rPr>
          <w:rFonts w:ascii="Arial" w:hAnsi="Arial" w:cs="Arial"/>
          <w:b/>
          <w:bCs/>
          <w:color w:val="000000" w:themeColor="text1"/>
          <w:sz w:val="32"/>
          <w:szCs w:val="32"/>
        </w:rPr>
      </w:pPr>
      <w:r w:rsidRPr="00BE6711">
        <w:rPr>
          <w:rFonts w:ascii="Arial" w:hAnsi="Arial" w:cs="Arial"/>
          <w:b/>
          <w:bCs/>
          <w:color w:val="000000" w:themeColor="text1"/>
          <w:sz w:val="32"/>
          <w:szCs w:val="32"/>
        </w:rPr>
        <w:t xml:space="preserve">Statistično poročilo </w:t>
      </w:r>
    </w:p>
    <w:p w14:paraId="69D6BBE9" w14:textId="13B33ED7" w:rsidR="0043386E" w:rsidRPr="00BE6711" w:rsidRDefault="0043386E" w:rsidP="0043386E">
      <w:pPr>
        <w:pStyle w:val="Telobesedila"/>
        <w:spacing w:line="360" w:lineRule="auto"/>
        <w:jc w:val="center"/>
        <w:rPr>
          <w:rFonts w:ascii="Arial" w:hAnsi="Arial" w:cs="Arial"/>
          <w:b/>
          <w:bCs/>
          <w:color w:val="000000" w:themeColor="text1"/>
          <w:sz w:val="32"/>
          <w:szCs w:val="32"/>
        </w:rPr>
      </w:pPr>
      <w:r w:rsidRPr="00BE6711">
        <w:rPr>
          <w:rFonts w:ascii="Arial" w:hAnsi="Arial" w:cs="Arial"/>
          <w:b/>
          <w:bCs/>
          <w:color w:val="000000" w:themeColor="text1"/>
          <w:sz w:val="32"/>
          <w:szCs w:val="32"/>
        </w:rPr>
        <w:t>o javnih naročilih, oddanih v letu 202</w:t>
      </w:r>
      <w:r w:rsidR="007D3D7E" w:rsidRPr="00BE6711">
        <w:rPr>
          <w:rFonts w:ascii="Arial" w:hAnsi="Arial" w:cs="Arial"/>
          <w:b/>
          <w:bCs/>
          <w:color w:val="000000" w:themeColor="text1"/>
          <w:sz w:val="32"/>
          <w:szCs w:val="32"/>
        </w:rPr>
        <w:t>3</w:t>
      </w:r>
    </w:p>
    <w:p w14:paraId="371BC37E" w14:textId="77777777" w:rsidR="0043386E" w:rsidRPr="00637ACF" w:rsidRDefault="0043386E">
      <w:pPr>
        <w:rPr>
          <w:rFonts w:ascii="Arial" w:hAnsi="Arial" w:cs="Arial"/>
          <w:color w:val="FF0000"/>
          <w:highlight w:val="yellow"/>
        </w:rPr>
      </w:pPr>
    </w:p>
    <w:p w14:paraId="11D3355A" w14:textId="0E3CB196" w:rsidR="002C5FF6" w:rsidRPr="00637ACF" w:rsidRDefault="002C5FF6">
      <w:pPr>
        <w:rPr>
          <w:rFonts w:ascii="Arial" w:hAnsi="Arial" w:cs="Arial"/>
          <w:color w:val="FF0000"/>
          <w:highlight w:val="yellow"/>
        </w:rPr>
      </w:pPr>
    </w:p>
    <w:p w14:paraId="497588E8" w14:textId="3D11F5B6" w:rsidR="0043386E" w:rsidRPr="00637ACF" w:rsidRDefault="0043386E">
      <w:pPr>
        <w:rPr>
          <w:rFonts w:ascii="Arial" w:hAnsi="Arial" w:cs="Arial"/>
          <w:color w:val="FF0000"/>
          <w:highlight w:val="yellow"/>
        </w:rPr>
      </w:pPr>
    </w:p>
    <w:p w14:paraId="750C2141" w14:textId="6D64A828" w:rsidR="0043386E" w:rsidRPr="00637ACF" w:rsidRDefault="0043386E">
      <w:pPr>
        <w:rPr>
          <w:rFonts w:ascii="Arial" w:hAnsi="Arial" w:cs="Arial"/>
          <w:color w:val="FF0000"/>
          <w:highlight w:val="yellow"/>
        </w:rPr>
      </w:pPr>
    </w:p>
    <w:p w14:paraId="4993F5F3" w14:textId="4C4F4903" w:rsidR="0043386E" w:rsidRPr="00637ACF" w:rsidRDefault="0043386E">
      <w:pPr>
        <w:rPr>
          <w:rFonts w:ascii="Arial" w:hAnsi="Arial" w:cs="Arial"/>
          <w:color w:val="FF0000"/>
          <w:highlight w:val="yellow"/>
        </w:rPr>
      </w:pPr>
    </w:p>
    <w:p w14:paraId="18B0DAD9" w14:textId="53C879BE" w:rsidR="0043386E" w:rsidRPr="00637ACF" w:rsidRDefault="0043386E">
      <w:pPr>
        <w:rPr>
          <w:rFonts w:ascii="Arial" w:hAnsi="Arial" w:cs="Arial"/>
          <w:color w:val="FF0000"/>
          <w:highlight w:val="yellow"/>
        </w:rPr>
      </w:pPr>
    </w:p>
    <w:p w14:paraId="4CF34FBB" w14:textId="2D468D61" w:rsidR="0043386E" w:rsidRPr="00637ACF" w:rsidRDefault="0043386E">
      <w:pPr>
        <w:rPr>
          <w:rFonts w:ascii="Arial" w:hAnsi="Arial" w:cs="Arial"/>
          <w:color w:val="FF0000"/>
          <w:highlight w:val="yellow"/>
        </w:rPr>
      </w:pPr>
    </w:p>
    <w:p w14:paraId="06AA90EB" w14:textId="58863035" w:rsidR="0043386E" w:rsidRPr="00637ACF" w:rsidRDefault="0043386E">
      <w:pPr>
        <w:rPr>
          <w:rFonts w:ascii="Arial" w:hAnsi="Arial" w:cs="Arial"/>
          <w:color w:val="FF0000"/>
          <w:highlight w:val="yellow"/>
        </w:rPr>
      </w:pPr>
    </w:p>
    <w:p w14:paraId="2EF43ADF" w14:textId="6A8339C7" w:rsidR="0043386E" w:rsidRPr="00637ACF" w:rsidRDefault="0043386E">
      <w:pPr>
        <w:rPr>
          <w:rFonts w:ascii="Arial" w:hAnsi="Arial" w:cs="Arial"/>
          <w:color w:val="FF0000"/>
          <w:highlight w:val="yellow"/>
        </w:rPr>
      </w:pPr>
    </w:p>
    <w:p w14:paraId="474C6D0C" w14:textId="77777777" w:rsidR="0043386E" w:rsidRPr="00637ACF" w:rsidRDefault="0043386E">
      <w:pPr>
        <w:rPr>
          <w:rFonts w:ascii="Arial" w:hAnsi="Arial" w:cs="Arial"/>
          <w:color w:val="FF0000"/>
          <w:highlight w:val="yellow"/>
        </w:rPr>
      </w:pPr>
    </w:p>
    <w:p w14:paraId="6EB2718B" w14:textId="586C6508" w:rsidR="002C5FF6" w:rsidRPr="00637ACF" w:rsidRDefault="002C5FF6">
      <w:pPr>
        <w:rPr>
          <w:rFonts w:ascii="Arial" w:hAnsi="Arial" w:cs="Arial"/>
          <w:color w:val="FF0000"/>
          <w:highlight w:val="yellow"/>
        </w:rPr>
      </w:pPr>
    </w:p>
    <w:p w14:paraId="516CC503" w14:textId="77777777" w:rsidR="007D52A2" w:rsidRPr="00637ACF" w:rsidRDefault="007D52A2">
      <w:pPr>
        <w:rPr>
          <w:rFonts w:ascii="Arial" w:hAnsi="Arial" w:cs="Arial"/>
          <w:color w:val="FF0000"/>
          <w:highlight w:val="yellow"/>
        </w:rPr>
      </w:pPr>
    </w:p>
    <w:sdt>
      <w:sdtPr>
        <w:rPr>
          <w:rFonts w:asciiTheme="minorHAnsi" w:eastAsiaTheme="minorHAnsi" w:hAnsiTheme="minorHAnsi" w:cs="Arial"/>
          <w:color w:val="FF0000"/>
          <w:sz w:val="20"/>
          <w:szCs w:val="20"/>
          <w:highlight w:val="yellow"/>
          <w:lang w:eastAsia="en-US"/>
        </w:rPr>
        <w:id w:val="462704509"/>
        <w:docPartObj>
          <w:docPartGallery w:val="Table of Contents"/>
          <w:docPartUnique/>
        </w:docPartObj>
      </w:sdtPr>
      <w:sdtEndPr>
        <w:rPr>
          <w:rFonts w:cstheme="minorBidi"/>
          <w:bCs/>
          <w:color w:val="auto"/>
          <w:sz w:val="22"/>
          <w:szCs w:val="22"/>
        </w:rPr>
      </w:sdtEndPr>
      <w:sdtContent>
        <w:p w14:paraId="36760682" w14:textId="66189F0C" w:rsidR="00206175" w:rsidRPr="00F432AB" w:rsidRDefault="00206175">
          <w:pPr>
            <w:pStyle w:val="NaslovTOC"/>
            <w:rPr>
              <w:rFonts w:cs="Arial"/>
              <w:color w:val="000000" w:themeColor="text1"/>
              <w:sz w:val="20"/>
              <w:szCs w:val="20"/>
            </w:rPr>
          </w:pPr>
          <w:r w:rsidRPr="00F432AB">
            <w:rPr>
              <w:rFonts w:cs="Arial"/>
              <w:color w:val="000000" w:themeColor="text1"/>
              <w:sz w:val="20"/>
              <w:szCs w:val="20"/>
            </w:rPr>
            <w:t>K</w:t>
          </w:r>
          <w:r w:rsidR="005C1A53" w:rsidRPr="00F432AB">
            <w:rPr>
              <w:rFonts w:cs="Arial"/>
              <w:color w:val="000000" w:themeColor="text1"/>
              <w:sz w:val="20"/>
              <w:szCs w:val="20"/>
            </w:rPr>
            <w:t>AZALO</w:t>
          </w:r>
        </w:p>
        <w:p w14:paraId="1B598BE0" w14:textId="77777777" w:rsidR="00882470" w:rsidRPr="00F432AB" w:rsidRDefault="00882470" w:rsidP="00882470">
          <w:pPr>
            <w:rPr>
              <w:rFonts w:ascii="Arial" w:hAnsi="Arial" w:cs="Arial"/>
              <w:color w:val="000000" w:themeColor="text1"/>
              <w:sz w:val="20"/>
              <w:szCs w:val="20"/>
              <w:lang w:eastAsia="sl-SI"/>
            </w:rPr>
          </w:pPr>
        </w:p>
        <w:p w14:paraId="12AB2AC9" w14:textId="30E78CFA" w:rsidR="00E900D0" w:rsidRPr="00F432AB" w:rsidRDefault="00AE378A" w:rsidP="00E900D0">
          <w:pPr>
            <w:pStyle w:val="Kazalovsebine1"/>
            <w:rPr>
              <w:rFonts w:eastAsiaTheme="minorEastAsia"/>
              <w:kern w:val="2"/>
              <w:sz w:val="20"/>
              <w:szCs w:val="20"/>
              <w:lang w:eastAsia="sl-SI"/>
              <w14:ligatures w14:val="standardContextual"/>
            </w:rPr>
          </w:pPr>
          <w:r w:rsidRPr="00F432AB">
            <w:rPr>
              <w:color w:val="000000" w:themeColor="text1"/>
            </w:rPr>
            <w:fldChar w:fldCharType="begin"/>
          </w:r>
          <w:r w:rsidRPr="00F432AB">
            <w:rPr>
              <w:color w:val="000000" w:themeColor="text1"/>
            </w:rPr>
            <w:instrText xml:space="preserve"> TOC \o "1-4" \h \z \u </w:instrText>
          </w:r>
          <w:r w:rsidRPr="00F432AB">
            <w:rPr>
              <w:color w:val="000000" w:themeColor="text1"/>
            </w:rPr>
            <w:fldChar w:fldCharType="separate"/>
          </w:r>
          <w:hyperlink w:anchor="_Toc175563841" w:history="1">
            <w:r w:rsidR="00E900D0" w:rsidRPr="00F432AB">
              <w:rPr>
                <w:rStyle w:val="Hiperpovezava"/>
                <w:sz w:val="20"/>
                <w:szCs w:val="20"/>
              </w:rPr>
              <w:t>Povzetek</w:t>
            </w:r>
            <w:r w:rsidR="00E900D0" w:rsidRPr="00F432AB">
              <w:rPr>
                <w:webHidden/>
                <w:sz w:val="20"/>
                <w:szCs w:val="20"/>
              </w:rPr>
              <w:tab/>
            </w:r>
            <w:r w:rsidR="00E900D0" w:rsidRPr="00F432AB">
              <w:rPr>
                <w:webHidden/>
                <w:sz w:val="20"/>
                <w:szCs w:val="20"/>
              </w:rPr>
              <w:fldChar w:fldCharType="begin"/>
            </w:r>
            <w:r w:rsidR="00E900D0" w:rsidRPr="00F432AB">
              <w:rPr>
                <w:webHidden/>
                <w:sz w:val="20"/>
                <w:szCs w:val="20"/>
              </w:rPr>
              <w:instrText xml:space="preserve"> PAGEREF _Toc175563841 \h </w:instrText>
            </w:r>
            <w:r w:rsidR="00E900D0" w:rsidRPr="00F432AB">
              <w:rPr>
                <w:webHidden/>
                <w:sz w:val="20"/>
                <w:szCs w:val="20"/>
              </w:rPr>
            </w:r>
            <w:r w:rsidR="00E900D0" w:rsidRPr="00F432AB">
              <w:rPr>
                <w:webHidden/>
                <w:sz w:val="20"/>
                <w:szCs w:val="20"/>
              </w:rPr>
              <w:fldChar w:fldCharType="separate"/>
            </w:r>
            <w:r w:rsidR="00F432AB" w:rsidRPr="00F432AB">
              <w:rPr>
                <w:webHidden/>
                <w:sz w:val="20"/>
                <w:szCs w:val="20"/>
              </w:rPr>
              <w:t>4</w:t>
            </w:r>
            <w:r w:rsidR="00E900D0" w:rsidRPr="00F432AB">
              <w:rPr>
                <w:webHidden/>
                <w:sz w:val="20"/>
                <w:szCs w:val="20"/>
              </w:rPr>
              <w:fldChar w:fldCharType="end"/>
            </w:r>
          </w:hyperlink>
        </w:p>
        <w:p w14:paraId="4B950B48" w14:textId="37916478" w:rsidR="00E900D0" w:rsidRPr="00F432AB" w:rsidRDefault="00A67102" w:rsidP="00E900D0">
          <w:pPr>
            <w:pStyle w:val="Kazalovsebine1"/>
            <w:rPr>
              <w:rFonts w:eastAsiaTheme="minorEastAsia"/>
              <w:kern w:val="2"/>
              <w:sz w:val="20"/>
              <w:szCs w:val="20"/>
              <w:lang w:eastAsia="sl-SI"/>
              <w14:ligatures w14:val="standardContextual"/>
            </w:rPr>
          </w:pPr>
          <w:hyperlink w:anchor="_Toc175563842" w:history="1">
            <w:r w:rsidR="00E900D0" w:rsidRPr="00F432AB">
              <w:rPr>
                <w:rStyle w:val="Hiperpovezava"/>
                <w:sz w:val="20"/>
                <w:szCs w:val="20"/>
              </w:rPr>
              <w:t>1. Splošne ugotovitve, trendi in predlogi ukrepov za izboljšanje praks oziroma ureditve</w:t>
            </w:r>
            <w:r w:rsidR="00E900D0" w:rsidRPr="00F432AB">
              <w:rPr>
                <w:webHidden/>
                <w:sz w:val="20"/>
                <w:szCs w:val="20"/>
              </w:rPr>
              <w:tab/>
            </w:r>
            <w:r w:rsidR="00E900D0" w:rsidRPr="00F432AB">
              <w:rPr>
                <w:webHidden/>
                <w:sz w:val="20"/>
                <w:szCs w:val="20"/>
              </w:rPr>
              <w:fldChar w:fldCharType="begin"/>
            </w:r>
            <w:r w:rsidR="00E900D0" w:rsidRPr="00F432AB">
              <w:rPr>
                <w:webHidden/>
                <w:sz w:val="20"/>
                <w:szCs w:val="20"/>
              </w:rPr>
              <w:instrText xml:space="preserve"> PAGEREF _Toc175563842 \h </w:instrText>
            </w:r>
            <w:r w:rsidR="00E900D0" w:rsidRPr="00F432AB">
              <w:rPr>
                <w:webHidden/>
                <w:sz w:val="20"/>
                <w:szCs w:val="20"/>
              </w:rPr>
            </w:r>
            <w:r w:rsidR="00E900D0" w:rsidRPr="00F432AB">
              <w:rPr>
                <w:webHidden/>
                <w:sz w:val="20"/>
                <w:szCs w:val="20"/>
              </w:rPr>
              <w:fldChar w:fldCharType="separate"/>
            </w:r>
            <w:r w:rsidR="00F432AB" w:rsidRPr="00F432AB">
              <w:rPr>
                <w:webHidden/>
                <w:sz w:val="20"/>
                <w:szCs w:val="20"/>
              </w:rPr>
              <w:t>6</w:t>
            </w:r>
            <w:r w:rsidR="00E900D0" w:rsidRPr="00F432AB">
              <w:rPr>
                <w:webHidden/>
                <w:sz w:val="20"/>
                <w:szCs w:val="20"/>
              </w:rPr>
              <w:fldChar w:fldCharType="end"/>
            </w:r>
          </w:hyperlink>
        </w:p>
        <w:p w14:paraId="2FDE9938" w14:textId="282E4EE1" w:rsidR="00E900D0" w:rsidRPr="00F432AB" w:rsidRDefault="00A67102" w:rsidP="00E900D0">
          <w:pPr>
            <w:pStyle w:val="Kazalovsebine1"/>
            <w:rPr>
              <w:rFonts w:eastAsiaTheme="minorEastAsia"/>
              <w:kern w:val="2"/>
              <w:sz w:val="20"/>
              <w:szCs w:val="20"/>
              <w:lang w:eastAsia="sl-SI"/>
              <w14:ligatures w14:val="standardContextual"/>
            </w:rPr>
          </w:pPr>
          <w:hyperlink w:anchor="_Toc175563843" w:history="1">
            <w:r w:rsidR="00E900D0" w:rsidRPr="00F432AB">
              <w:rPr>
                <w:rStyle w:val="Hiperpovezava"/>
                <w:sz w:val="20"/>
                <w:szCs w:val="20"/>
              </w:rPr>
              <w:t>2. Statistična analiza</w:t>
            </w:r>
            <w:r w:rsidR="00E900D0" w:rsidRPr="00F432AB">
              <w:rPr>
                <w:webHidden/>
                <w:sz w:val="20"/>
                <w:szCs w:val="20"/>
              </w:rPr>
              <w:tab/>
            </w:r>
            <w:r w:rsidR="00E900D0" w:rsidRPr="00F432AB">
              <w:rPr>
                <w:webHidden/>
                <w:sz w:val="20"/>
                <w:szCs w:val="20"/>
              </w:rPr>
              <w:fldChar w:fldCharType="begin"/>
            </w:r>
            <w:r w:rsidR="00E900D0" w:rsidRPr="00F432AB">
              <w:rPr>
                <w:webHidden/>
                <w:sz w:val="20"/>
                <w:szCs w:val="20"/>
              </w:rPr>
              <w:instrText xml:space="preserve"> PAGEREF _Toc175563843 \h </w:instrText>
            </w:r>
            <w:r w:rsidR="00E900D0" w:rsidRPr="00F432AB">
              <w:rPr>
                <w:webHidden/>
                <w:sz w:val="20"/>
                <w:szCs w:val="20"/>
              </w:rPr>
            </w:r>
            <w:r w:rsidR="00E900D0" w:rsidRPr="00F432AB">
              <w:rPr>
                <w:webHidden/>
                <w:sz w:val="20"/>
                <w:szCs w:val="20"/>
              </w:rPr>
              <w:fldChar w:fldCharType="separate"/>
            </w:r>
            <w:r w:rsidR="00F432AB" w:rsidRPr="00F432AB">
              <w:rPr>
                <w:webHidden/>
                <w:sz w:val="20"/>
                <w:szCs w:val="20"/>
              </w:rPr>
              <w:t>8</w:t>
            </w:r>
            <w:r w:rsidR="00E900D0" w:rsidRPr="00F432AB">
              <w:rPr>
                <w:webHidden/>
                <w:sz w:val="20"/>
                <w:szCs w:val="20"/>
              </w:rPr>
              <w:fldChar w:fldCharType="end"/>
            </w:r>
          </w:hyperlink>
        </w:p>
        <w:p w14:paraId="09A8C33A" w14:textId="12CE4520"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44" w:history="1">
            <w:r w:rsidR="00E900D0" w:rsidRPr="00F432AB">
              <w:rPr>
                <w:rStyle w:val="Hiperpovezava"/>
                <w:rFonts w:ascii="Arial" w:hAnsi="Arial" w:cs="Arial"/>
                <w:noProof/>
                <w:sz w:val="20"/>
                <w:szCs w:val="20"/>
              </w:rPr>
              <w:t>2.1 Obseg javnega naročanja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_Toc175563844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8</w:t>
            </w:r>
            <w:r w:rsidR="00E900D0" w:rsidRPr="00F432AB">
              <w:rPr>
                <w:rFonts w:ascii="Arial" w:hAnsi="Arial" w:cs="Arial"/>
                <w:noProof/>
                <w:webHidden/>
                <w:sz w:val="20"/>
                <w:szCs w:val="20"/>
              </w:rPr>
              <w:fldChar w:fldCharType="end"/>
            </w:r>
          </w:hyperlink>
        </w:p>
        <w:p w14:paraId="2A563F4B" w14:textId="03E1A43E"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45" w:history="1">
            <w:r w:rsidR="00E900D0" w:rsidRPr="00F432AB">
              <w:rPr>
                <w:rStyle w:val="Hiperpovezava"/>
                <w:rFonts w:ascii="Arial" w:hAnsi="Arial" w:cs="Arial"/>
                <w:noProof/>
                <w:sz w:val="20"/>
                <w:szCs w:val="20"/>
              </w:rPr>
              <w:t>2.1.1 Delež javnega naročanja v BDP</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_Toc175563845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8</w:t>
            </w:r>
            <w:r w:rsidR="00E900D0" w:rsidRPr="00F432AB">
              <w:rPr>
                <w:rFonts w:ascii="Arial" w:hAnsi="Arial" w:cs="Arial"/>
                <w:noProof/>
                <w:webHidden/>
                <w:sz w:val="20"/>
                <w:szCs w:val="20"/>
              </w:rPr>
              <w:fldChar w:fldCharType="end"/>
            </w:r>
          </w:hyperlink>
        </w:p>
        <w:p w14:paraId="49C6F511" w14:textId="721FCE97"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46" w:history="1">
            <w:r w:rsidR="00E900D0" w:rsidRPr="00F432AB">
              <w:rPr>
                <w:rStyle w:val="Hiperpovezava"/>
                <w:rFonts w:ascii="Arial" w:hAnsi="Arial" w:cs="Arial"/>
                <w:noProof/>
                <w:sz w:val="20"/>
                <w:szCs w:val="20"/>
              </w:rPr>
              <w:t>2.1.2 Delež javnega naročanja v odhodkih proračuna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_Toc175563846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9</w:t>
            </w:r>
            <w:r w:rsidR="00E900D0" w:rsidRPr="00F432AB">
              <w:rPr>
                <w:rFonts w:ascii="Arial" w:hAnsi="Arial" w:cs="Arial"/>
                <w:noProof/>
                <w:webHidden/>
                <w:sz w:val="20"/>
                <w:szCs w:val="20"/>
              </w:rPr>
              <w:fldChar w:fldCharType="end"/>
            </w:r>
          </w:hyperlink>
        </w:p>
        <w:p w14:paraId="70B45854" w14:textId="1DC748DA"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47" w:history="1">
            <w:r w:rsidR="00E900D0" w:rsidRPr="00F432AB">
              <w:rPr>
                <w:rStyle w:val="Hiperpovezava"/>
                <w:rFonts w:ascii="Arial" w:hAnsi="Arial" w:cs="Arial"/>
                <w:noProof/>
                <w:sz w:val="20"/>
                <w:szCs w:val="20"/>
              </w:rPr>
              <w:t>2.1.3 Število naročnikov z objavljenim obvestilom o oddaji javnega naročila in s sporočenimi podatki o evidenčnih naročilih</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_Toc175563847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10</w:t>
            </w:r>
            <w:r w:rsidR="00E900D0" w:rsidRPr="00F432AB">
              <w:rPr>
                <w:rFonts w:ascii="Arial" w:hAnsi="Arial" w:cs="Arial"/>
                <w:noProof/>
                <w:webHidden/>
                <w:sz w:val="20"/>
                <w:szCs w:val="20"/>
              </w:rPr>
              <w:fldChar w:fldCharType="end"/>
            </w:r>
          </w:hyperlink>
        </w:p>
        <w:p w14:paraId="51AD6F79" w14:textId="0D7D0A2E"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48" w:history="1">
            <w:r w:rsidR="00E900D0" w:rsidRPr="00F432AB">
              <w:rPr>
                <w:rStyle w:val="Hiperpovezava"/>
                <w:rFonts w:ascii="Arial" w:hAnsi="Arial" w:cs="Arial"/>
                <w:noProof/>
                <w:sz w:val="20"/>
                <w:szCs w:val="20"/>
              </w:rPr>
              <w:t>2.2 Objavljena javna naročila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_Toc175563848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10</w:t>
            </w:r>
            <w:r w:rsidR="00E900D0" w:rsidRPr="00F432AB">
              <w:rPr>
                <w:rFonts w:ascii="Arial" w:hAnsi="Arial" w:cs="Arial"/>
                <w:noProof/>
                <w:webHidden/>
                <w:sz w:val="20"/>
                <w:szCs w:val="20"/>
              </w:rPr>
              <w:fldChar w:fldCharType="end"/>
            </w:r>
          </w:hyperlink>
        </w:p>
        <w:p w14:paraId="059A5099" w14:textId="30B65A81"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49" w:history="1">
            <w:r w:rsidR="00E900D0" w:rsidRPr="00F432AB">
              <w:rPr>
                <w:rStyle w:val="Hiperpovezava"/>
                <w:rFonts w:ascii="Arial" w:hAnsi="Arial" w:cs="Arial"/>
                <w:noProof/>
                <w:sz w:val="20"/>
                <w:szCs w:val="20"/>
              </w:rPr>
              <w:t>2.2.1 Naročila, objavljena le na portalu javnih naročil</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_Toc175563849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11</w:t>
            </w:r>
            <w:r w:rsidR="00E900D0" w:rsidRPr="00F432AB">
              <w:rPr>
                <w:rFonts w:ascii="Arial" w:hAnsi="Arial" w:cs="Arial"/>
                <w:noProof/>
                <w:webHidden/>
                <w:sz w:val="20"/>
                <w:szCs w:val="20"/>
              </w:rPr>
              <w:fldChar w:fldCharType="end"/>
            </w:r>
          </w:hyperlink>
        </w:p>
        <w:p w14:paraId="0C12B6AE" w14:textId="29329DCF"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0" w:history="1">
            <w:r w:rsidR="00E900D0" w:rsidRPr="00F432AB">
              <w:rPr>
                <w:rStyle w:val="Hiperpovezava"/>
                <w:rFonts w:ascii="Arial" w:hAnsi="Arial" w:cs="Arial"/>
                <w:noProof/>
                <w:sz w:val="20"/>
                <w:szCs w:val="20"/>
              </w:rPr>
              <w:t>2.2.2 Naročila, objavljena na portalu javnih naročil in v Uradnem listu Evropske unije</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_Toc175563850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12</w:t>
            </w:r>
            <w:r w:rsidR="00E900D0" w:rsidRPr="00F432AB">
              <w:rPr>
                <w:rFonts w:ascii="Arial" w:hAnsi="Arial" w:cs="Arial"/>
                <w:noProof/>
                <w:webHidden/>
                <w:sz w:val="20"/>
                <w:szCs w:val="20"/>
              </w:rPr>
              <w:fldChar w:fldCharType="end"/>
            </w:r>
          </w:hyperlink>
        </w:p>
        <w:p w14:paraId="44F6F46C" w14:textId="650E4A01"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51" w:history="1">
            <w:r w:rsidR="00E900D0" w:rsidRPr="00F432AB">
              <w:rPr>
                <w:rStyle w:val="Hiperpovezava"/>
                <w:rFonts w:ascii="Arial" w:hAnsi="Arial" w:cs="Arial"/>
                <w:noProof/>
                <w:sz w:val="20"/>
                <w:szCs w:val="20"/>
              </w:rPr>
              <w:t>2.3 Postopki in načini oddaje javnih naročil</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_Toc175563851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12</w:t>
            </w:r>
            <w:r w:rsidR="00E900D0" w:rsidRPr="00F432AB">
              <w:rPr>
                <w:rFonts w:ascii="Arial" w:hAnsi="Arial" w:cs="Arial"/>
                <w:noProof/>
                <w:webHidden/>
                <w:sz w:val="20"/>
                <w:szCs w:val="20"/>
              </w:rPr>
              <w:fldChar w:fldCharType="end"/>
            </w:r>
          </w:hyperlink>
        </w:p>
        <w:p w14:paraId="510BAA73" w14:textId="5F39A916"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2" w:history="1">
            <w:r w:rsidR="00E900D0" w:rsidRPr="00F432AB">
              <w:rPr>
                <w:rStyle w:val="Hiperpovezava"/>
                <w:rFonts w:ascii="Arial" w:hAnsi="Arial" w:cs="Arial"/>
                <w:noProof/>
                <w:sz w:val="20"/>
                <w:szCs w:val="20"/>
              </w:rPr>
              <w:t>2.3.1 Postopki javnega naročanja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_Toc175563852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12</w:t>
            </w:r>
            <w:r w:rsidR="00E900D0" w:rsidRPr="00F432AB">
              <w:rPr>
                <w:rFonts w:ascii="Arial" w:hAnsi="Arial" w:cs="Arial"/>
                <w:noProof/>
                <w:webHidden/>
                <w:sz w:val="20"/>
                <w:szCs w:val="20"/>
              </w:rPr>
              <w:fldChar w:fldCharType="end"/>
            </w:r>
          </w:hyperlink>
        </w:p>
        <w:p w14:paraId="4796E81A" w14:textId="7E70CDA5"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3" w:history="1">
            <w:r w:rsidR="00E900D0" w:rsidRPr="00F432AB">
              <w:rPr>
                <w:rStyle w:val="Hiperpovezava"/>
                <w:rFonts w:ascii="Arial" w:hAnsi="Arial" w:cs="Arial"/>
                <w:noProof/>
                <w:sz w:val="20"/>
                <w:szCs w:val="20"/>
              </w:rPr>
              <w:t>2.3.2 Postopki z objavo obvestila o javnem naročilu</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_Toc175563853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15</w:t>
            </w:r>
            <w:r w:rsidR="00E900D0" w:rsidRPr="00F432AB">
              <w:rPr>
                <w:rFonts w:ascii="Arial" w:hAnsi="Arial" w:cs="Arial"/>
                <w:noProof/>
                <w:webHidden/>
                <w:sz w:val="20"/>
                <w:szCs w:val="20"/>
              </w:rPr>
              <w:fldChar w:fldCharType="end"/>
            </w:r>
          </w:hyperlink>
        </w:p>
        <w:p w14:paraId="0352FD9F" w14:textId="4621DB45"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4" w:history="1">
            <w:r w:rsidR="00E900D0" w:rsidRPr="00F432AB">
              <w:rPr>
                <w:rStyle w:val="Hiperpovezava"/>
                <w:rFonts w:ascii="Arial" w:hAnsi="Arial" w:cs="Arial"/>
                <w:noProof/>
                <w:sz w:val="20"/>
                <w:szCs w:val="20"/>
              </w:rPr>
              <w:t>2.3.3 Postopki brez predhodne objave obvestila o javnem naročilu</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_Toc175563854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15</w:t>
            </w:r>
            <w:r w:rsidR="00E900D0" w:rsidRPr="00F432AB">
              <w:rPr>
                <w:rFonts w:ascii="Arial" w:hAnsi="Arial" w:cs="Arial"/>
                <w:noProof/>
                <w:webHidden/>
                <w:sz w:val="20"/>
                <w:szCs w:val="20"/>
              </w:rPr>
              <w:fldChar w:fldCharType="end"/>
            </w:r>
          </w:hyperlink>
        </w:p>
        <w:p w14:paraId="21D87DE0" w14:textId="71F2DC4A"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5" w:history="1">
            <w:r w:rsidR="00E900D0" w:rsidRPr="00F432AB">
              <w:rPr>
                <w:rStyle w:val="Hiperpovezava"/>
                <w:rFonts w:ascii="Arial" w:hAnsi="Arial" w:cs="Arial"/>
                <w:noProof/>
                <w:sz w:val="20"/>
                <w:szCs w:val="20"/>
              </w:rPr>
              <w:t>2.3.4 Oddaja socialnih in drugih posebnih storitev</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_Toc175563855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17</w:t>
            </w:r>
            <w:r w:rsidR="00E900D0" w:rsidRPr="00F432AB">
              <w:rPr>
                <w:rFonts w:ascii="Arial" w:hAnsi="Arial" w:cs="Arial"/>
                <w:noProof/>
                <w:webHidden/>
                <w:sz w:val="20"/>
                <w:szCs w:val="20"/>
              </w:rPr>
              <w:fldChar w:fldCharType="end"/>
            </w:r>
          </w:hyperlink>
        </w:p>
        <w:p w14:paraId="0961CE4D" w14:textId="6ADC7A59"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6" w:history="1">
            <w:r w:rsidR="00E900D0" w:rsidRPr="00F432AB">
              <w:rPr>
                <w:rStyle w:val="Hiperpovezava"/>
                <w:rFonts w:ascii="Arial" w:hAnsi="Arial" w:cs="Arial"/>
                <w:noProof/>
                <w:sz w:val="20"/>
                <w:szCs w:val="20"/>
              </w:rPr>
              <w:t>2.3.5 Okvirni sporazumi</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_Toc175563856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18</w:t>
            </w:r>
            <w:r w:rsidR="00E900D0" w:rsidRPr="00F432AB">
              <w:rPr>
                <w:rFonts w:ascii="Arial" w:hAnsi="Arial" w:cs="Arial"/>
                <w:noProof/>
                <w:webHidden/>
                <w:sz w:val="20"/>
                <w:szCs w:val="20"/>
              </w:rPr>
              <w:fldChar w:fldCharType="end"/>
            </w:r>
          </w:hyperlink>
        </w:p>
        <w:p w14:paraId="083414E0" w14:textId="361FAA1D"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7" w:history="1">
            <w:r w:rsidR="00E900D0" w:rsidRPr="00F432AB">
              <w:rPr>
                <w:rStyle w:val="Hiperpovezava"/>
                <w:rFonts w:ascii="Arial" w:hAnsi="Arial" w:cs="Arial"/>
                <w:noProof/>
                <w:sz w:val="20"/>
                <w:szCs w:val="20"/>
              </w:rPr>
              <w:t>2.3.5.1 Naročila v postopkih javnega naročanja za sklenitev okvirnega sporazuma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_Toc175563857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18</w:t>
            </w:r>
            <w:r w:rsidR="00E900D0" w:rsidRPr="00F432AB">
              <w:rPr>
                <w:rFonts w:ascii="Arial" w:hAnsi="Arial" w:cs="Arial"/>
                <w:noProof/>
                <w:webHidden/>
                <w:sz w:val="20"/>
                <w:szCs w:val="20"/>
              </w:rPr>
              <w:fldChar w:fldCharType="end"/>
            </w:r>
          </w:hyperlink>
        </w:p>
        <w:p w14:paraId="511191FE" w14:textId="420295F9"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8" w:history="1">
            <w:r w:rsidR="00E900D0" w:rsidRPr="00F432AB">
              <w:rPr>
                <w:rStyle w:val="Hiperpovezava"/>
                <w:rFonts w:ascii="Arial" w:hAnsi="Arial" w:cs="Arial"/>
                <w:noProof/>
                <w:sz w:val="20"/>
                <w:szCs w:val="20"/>
              </w:rPr>
              <w:t>2.3.6 Elektronska dražba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_Toc175563858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19</w:t>
            </w:r>
            <w:r w:rsidR="00E900D0" w:rsidRPr="00F432AB">
              <w:rPr>
                <w:rFonts w:ascii="Arial" w:hAnsi="Arial" w:cs="Arial"/>
                <w:noProof/>
                <w:webHidden/>
                <w:sz w:val="20"/>
                <w:szCs w:val="20"/>
              </w:rPr>
              <w:fldChar w:fldCharType="end"/>
            </w:r>
          </w:hyperlink>
        </w:p>
        <w:p w14:paraId="2A1A9517" w14:textId="677914B5"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59" w:history="1">
            <w:r w:rsidR="00E900D0" w:rsidRPr="00F432AB">
              <w:rPr>
                <w:rStyle w:val="Hiperpovezava"/>
                <w:rFonts w:ascii="Arial" w:hAnsi="Arial" w:cs="Arial"/>
                <w:noProof/>
                <w:sz w:val="20"/>
                <w:szCs w:val="20"/>
              </w:rPr>
              <w:t>2.3.7 Skupno javno naročanje</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_Toc175563859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19</w:t>
            </w:r>
            <w:r w:rsidR="00E900D0" w:rsidRPr="00F432AB">
              <w:rPr>
                <w:rFonts w:ascii="Arial" w:hAnsi="Arial" w:cs="Arial"/>
                <w:noProof/>
                <w:webHidden/>
                <w:sz w:val="20"/>
                <w:szCs w:val="20"/>
              </w:rPr>
              <w:fldChar w:fldCharType="end"/>
            </w:r>
          </w:hyperlink>
        </w:p>
        <w:p w14:paraId="58D668B3" w14:textId="2ACA79D5"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60" w:history="1">
            <w:r w:rsidR="00E900D0" w:rsidRPr="00F432AB">
              <w:rPr>
                <w:rStyle w:val="Hiperpovezava"/>
                <w:rFonts w:ascii="Arial" w:hAnsi="Arial" w:cs="Arial"/>
                <w:noProof/>
                <w:sz w:val="20"/>
                <w:szCs w:val="20"/>
              </w:rPr>
              <w:t>2.4 Kategorije naročnikov ter področja in predmeti naročanja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_Toc175563860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21</w:t>
            </w:r>
            <w:r w:rsidR="00E900D0" w:rsidRPr="00F432AB">
              <w:rPr>
                <w:rFonts w:ascii="Arial" w:hAnsi="Arial" w:cs="Arial"/>
                <w:noProof/>
                <w:webHidden/>
                <w:sz w:val="20"/>
                <w:szCs w:val="20"/>
              </w:rPr>
              <w:fldChar w:fldCharType="end"/>
            </w:r>
          </w:hyperlink>
        </w:p>
        <w:p w14:paraId="347B7099" w14:textId="239EE800"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61" w:history="1">
            <w:r w:rsidR="00E900D0" w:rsidRPr="00F432AB">
              <w:rPr>
                <w:rStyle w:val="Hiperpovezava"/>
                <w:rFonts w:ascii="Arial" w:hAnsi="Arial" w:cs="Arial"/>
                <w:noProof/>
                <w:sz w:val="20"/>
                <w:szCs w:val="20"/>
              </w:rPr>
              <w:t>2.4.1 Področje javnega naročanja in dejavnosti naročnikov</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_Toc175563861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21</w:t>
            </w:r>
            <w:r w:rsidR="00E900D0" w:rsidRPr="00F432AB">
              <w:rPr>
                <w:rFonts w:ascii="Arial" w:hAnsi="Arial" w:cs="Arial"/>
                <w:noProof/>
                <w:webHidden/>
                <w:sz w:val="20"/>
                <w:szCs w:val="20"/>
              </w:rPr>
              <w:fldChar w:fldCharType="end"/>
            </w:r>
          </w:hyperlink>
        </w:p>
        <w:p w14:paraId="7E9B61B0" w14:textId="2180DBF1"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62" w:history="1">
            <w:r w:rsidR="00E900D0" w:rsidRPr="00F432AB">
              <w:rPr>
                <w:rStyle w:val="Hiperpovezava"/>
                <w:rFonts w:ascii="Arial" w:hAnsi="Arial" w:cs="Arial"/>
                <w:noProof/>
                <w:sz w:val="20"/>
                <w:szCs w:val="20"/>
              </w:rPr>
              <w:t>2.4.2 Kategorije naročnikov</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_Toc175563862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22</w:t>
            </w:r>
            <w:r w:rsidR="00E900D0" w:rsidRPr="00F432AB">
              <w:rPr>
                <w:rFonts w:ascii="Arial" w:hAnsi="Arial" w:cs="Arial"/>
                <w:noProof/>
                <w:webHidden/>
                <w:sz w:val="20"/>
                <w:szCs w:val="20"/>
              </w:rPr>
              <w:fldChar w:fldCharType="end"/>
            </w:r>
          </w:hyperlink>
        </w:p>
        <w:p w14:paraId="29FFA16A" w14:textId="73EF5D6F"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63" w:history="1">
            <w:r w:rsidR="00E900D0" w:rsidRPr="00F432AB">
              <w:rPr>
                <w:rStyle w:val="Hiperpovezava"/>
                <w:rFonts w:ascii="Arial" w:hAnsi="Arial" w:cs="Arial"/>
                <w:noProof/>
                <w:sz w:val="20"/>
                <w:szCs w:val="20"/>
              </w:rPr>
              <w:t>2.4.3 Predmeti naročanja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_Toc175563863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22</w:t>
            </w:r>
            <w:r w:rsidR="00E900D0" w:rsidRPr="00F432AB">
              <w:rPr>
                <w:rFonts w:ascii="Arial" w:hAnsi="Arial" w:cs="Arial"/>
                <w:noProof/>
                <w:webHidden/>
                <w:sz w:val="20"/>
                <w:szCs w:val="20"/>
              </w:rPr>
              <w:fldChar w:fldCharType="end"/>
            </w:r>
          </w:hyperlink>
        </w:p>
        <w:p w14:paraId="4EE01861" w14:textId="762F1A13"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64" w:history="1">
            <w:r w:rsidR="00E900D0" w:rsidRPr="00F432AB">
              <w:rPr>
                <w:rStyle w:val="Hiperpovezava"/>
                <w:rFonts w:ascii="Arial" w:hAnsi="Arial" w:cs="Arial"/>
                <w:noProof/>
                <w:sz w:val="20"/>
                <w:szCs w:val="20"/>
              </w:rPr>
              <w:t>2.5 Merila za oddajo javnega naročila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_Toc175563864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24</w:t>
            </w:r>
            <w:r w:rsidR="00E900D0" w:rsidRPr="00F432AB">
              <w:rPr>
                <w:rFonts w:ascii="Arial" w:hAnsi="Arial" w:cs="Arial"/>
                <w:noProof/>
                <w:webHidden/>
                <w:sz w:val="20"/>
                <w:szCs w:val="20"/>
              </w:rPr>
              <w:fldChar w:fldCharType="end"/>
            </w:r>
          </w:hyperlink>
        </w:p>
        <w:p w14:paraId="061415E9" w14:textId="7C19A639"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65" w:history="1">
            <w:r w:rsidR="00E900D0" w:rsidRPr="00F432AB">
              <w:rPr>
                <w:rStyle w:val="Hiperpovezava"/>
                <w:rFonts w:ascii="Arial" w:hAnsi="Arial" w:cs="Arial"/>
                <w:noProof/>
                <w:sz w:val="20"/>
                <w:szCs w:val="20"/>
              </w:rPr>
              <w:t>2.6 Ponudniki in podizvajalci</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_Toc175563865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25</w:t>
            </w:r>
            <w:r w:rsidR="00E900D0" w:rsidRPr="00F432AB">
              <w:rPr>
                <w:rFonts w:ascii="Arial" w:hAnsi="Arial" w:cs="Arial"/>
                <w:noProof/>
                <w:webHidden/>
                <w:sz w:val="20"/>
                <w:szCs w:val="20"/>
              </w:rPr>
              <w:fldChar w:fldCharType="end"/>
            </w:r>
          </w:hyperlink>
        </w:p>
        <w:p w14:paraId="4B9948DC" w14:textId="2082B9F6"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66" w:history="1">
            <w:r w:rsidR="00E900D0" w:rsidRPr="00F432AB">
              <w:rPr>
                <w:rStyle w:val="Hiperpovezava"/>
                <w:rFonts w:ascii="Arial" w:hAnsi="Arial" w:cs="Arial"/>
                <w:noProof/>
                <w:sz w:val="20"/>
                <w:szCs w:val="20"/>
              </w:rPr>
              <w:t>2.6.1 Uresničevanje načela konkurenčnosti in združevanje naročil v postopku</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_Toc175563866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26</w:t>
            </w:r>
            <w:r w:rsidR="00E900D0" w:rsidRPr="00F432AB">
              <w:rPr>
                <w:rFonts w:ascii="Arial" w:hAnsi="Arial" w:cs="Arial"/>
                <w:noProof/>
                <w:webHidden/>
                <w:sz w:val="20"/>
                <w:szCs w:val="20"/>
              </w:rPr>
              <w:fldChar w:fldCharType="end"/>
            </w:r>
          </w:hyperlink>
        </w:p>
        <w:p w14:paraId="528D091F" w14:textId="0AAA3BA9"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67" w:history="1">
            <w:r w:rsidR="00E900D0" w:rsidRPr="00F432AB">
              <w:rPr>
                <w:rStyle w:val="Hiperpovezava"/>
                <w:rFonts w:ascii="Arial" w:hAnsi="Arial" w:cs="Arial"/>
                <w:noProof/>
                <w:sz w:val="20"/>
                <w:szCs w:val="20"/>
              </w:rPr>
              <w:t>2.6.2 Sedež ponudnikov</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_Toc175563867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28</w:t>
            </w:r>
            <w:r w:rsidR="00E900D0" w:rsidRPr="00F432AB">
              <w:rPr>
                <w:rFonts w:ascii="Arial" w:hAnsi="Arial" w:cs="Arial"/>
                <w:noProof/>
                <w:webHidden/>
                <w:sz w:val="20"/>
                <w:szCs w:val="20"/>
              </w:rPr>
              <w:fldChar w:fldCharType="end"/>
            </w:r>
          </w:hyperlink>
        </w:p>
        <w:p w14:paraId="07A3C501" w14:textId="0EDD850D"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68" w:history="1">
            <w:r w:rsidR="00E900D0" w:rsidRPr="00F432AB">
              <w:rPr>
                <w:rStyle w:val="Hiperpovezava"/>
                <w:rFonts w:ascii="Arial" w:hAnsi="Arial" w:cs="Arial"/>
                <w:noProof/>
                <w:sz w:val="20"/>
                <w:szCs w:val="20"/>
              </w:rPr>
              <w:t>2.6.3 Lokalno naročanje</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_Toc175563868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32</w:t>
            </w:r>
            <w:r w:rsidR="00E900D0" w:rsidRPr="00F432AB">
              <w:rPr>
                <w:rFonts w:ascii="Arial" w:hAnsi="Arial" w:cs="Arial"/>
                <w:noProof/>
                <w:webHidden/>
                <w:sz w:val="20"/>
                <w:szCs w:val="20"/>
              </w:rPr>
              <w:fldChar w:fldCharType="end"/>
            </w:r>
          </w:hyperlink>
        </w:p>
        <w:p w14:paraId="30C96991" w14:textId="016AE604"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69" w:history="1">
            <w:r w:rsidR="00E900D0" w:rsidRPr="00F432AB">
              <w:rPr>
                <w:rStyle w:val="Hiperpovezava"/>
                <w:rFonts w:ascii="Arial" w:hAnsi="Arial" w:cs="Arial"/>
                <w:noProof/>
                <w:sz w:val="20"/>
                <w:szCs w:val="20"/>
              </w:rPr>
              <w:t>2.6.4 Velikost ponudnikov</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_Toc175563869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33</w:t>
            </w:r>
            <w:r w:rsidR="00E900D0" w:rsidRPr="00F432AB">
              <w:rPr>
                <w:rFonts w:ascii="Arial" w:hAnsi="Arial" w:cs="Arial"/>
                <w:noProof/>
                <w:webHidden/>
                <w:sz w:val="20"/>
                <w:szCs w:val="20"/>
              </w:rPr>
              <w:fldChar w:fldCharType="end"/>
            </w:r>
          </w:hyperlink>
        </w:p>
        <w:p w14:paraId="39E3ADFA" w14:textId="5DF8D08B"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70" w:history="1">
            <w:r w:rsidR="00E900D0" w:rsidRPr="00F432AB">
              <w:rPr>
                <w:rStyle w:val="Hiperpovezava"/>
                <w:rFonts w:ascii="Arial" w:hAnsi="Arial" w:cs="Arial"/>
                <w:noProof/>
                <w:sz w:val="20"/>
                <w:szCs w:val="20"/>
              </w:rPr>
              <w:t>2.6.5 Izločanje ponudnikov</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_Toc175563870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34</w:t>
            </w:r>
            <w:r w:rsidR="00E900D0" w:rsidRPr="00F432AB">
              <w:rPr>
                <w:rFonts w:ascii="Arial" w:hAnsi="Arial" w:cs="Arial"/>
                <w:noProof/>
                <w:webHidden/>
                <w:sz w:val="20"/>
                <w:szCs w:val="20"/>
              </w:rPr>
              <w:fldChar w:fldCharType="end"/>
            </w:r>
          </w:hyperlink>
        </w:p>
        <w:p w14:paraId="6E96228A" w14:textId="6B69E5BF"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71" w:history="1">
            <w:r w:rsidR="00E900D0" w:rsidRPr="00F432AB">
              <w:rPr>
                <w:rStyle w:val="Hiperpovezava"/>
                <w:rFonts w:ascii="Arial" w:hAnsi="Arial" w:cs="Arial"/>
                <w:noProof/>
                <w:sz w:val="20"/>
                <w:szCs w:val="20"/>
              </w:rPr>
              <w:t>2.7 Največji naročniki, najuspešnejši ponudniki in največja naročila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_Toc175563871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35</w:t>
            </w:r>
            <w:r w:rsidR="00E900D0" w:rsidRPr="00F432AB">
              <w:rPr>
                <w:rFonts w:ascii="Arial" w:hAnsi="Arial" w:cs="Arial"/>
                <w:noProof/>
                <w:webHidden/>
                <w:sz w:val="20"/>
                <w:szCs w:val="20"/>
              </w:rPr>
              <w:fldChar w:fldCharType="end"/>
            </w:r>
          </w:hyperlink>
        </w:p>
        <w:p w14:paraId="10B7F65B" w14:textId="092A1348"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72" w:history="1">
            <w:r w:rsidR="00E900D0" w:rsidRPr="00F432AB">
              <w:rPr>
                <w:rStyle w:val="Hiperpovezava"/>
                <w:rFonts w:ascii="Arial" w:hAnsi="Arial" w:cs="Arial"/>
                <w:noProof/>
                <w:sz w:val="20"/>
                <w:szCs w:val="20"/>
              </w:rPr>
              <w:t>2.7.1 Naročniki z največjo vrednostjo oddanih naročil v letu 2023</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_Toc175563872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35</w:t>
            </w:r>
            <w:r w:rsidR="00E900D0" w:rsidRPr="00F432AB">
              <w:rPr>
                <w:rFonts w:ascii="Arial" w:hAnsi="Arial" w:cs="Arial"/>
                <w:noProof/>
                <w:webHidden/>
                <w:sz w:val="20"/>
                <w:szCs w:val="20"/>
              </w:rPr>
              <w:fldChar w:fldCharType="end"/>
            </w:r>
          </w:hyperlink>
        </w:p>
        <w:p w14:paraId="7C72BC06" w14:textId="00DB17E0"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73" w:history="1">
            <w:r w:rsidR="00E900D0" w:rsidRPr="00F432AB">
              <w:rPr>
                <w:rStyle w:val="Hiperpovezava"/>
                <w:rFonts w:ascii="Arial" w:hAnsi="Arial" w:cs="Arial"/>
                <w:noProof/>
                <w:sz w:val="20"/>
                <w:szCs w:val="20"/>
              </w:rPr>
              <w:t>2.7.2 Ponudniki z največjo vrednostjo oddanih naročil v letu 2023</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_Toc175563873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35</w:t>
            </w:r>
            <w:r w:rsidR="00E900D0" w:rsidRPr="00F432AB">
              <w:rPr>
                <w:rFonts w:ascii="Arial" w:hAnsi="Arial" w:cs="Arial"/>
                <w:noProof/>
                <w:webHidden/>
                <w:sz w:val="20"/>
                <w:szCs w:val="20"/>
              </w:rPr>
              <w:fldChar w:fldCharType="end"/>
            </w:r>
          </w:hyperlink>
        </w:p>
        <w:p w14:paraId="58A43082" w14:textId="1E1295A8"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74" w:history="1">
            <w:r w:rsidR="00E900D0" w:rsidRPr="00F432AB">
              <w:rPr>
                <w:rStyle w:val="Hiperpovezava"/>
                <w:rFonts w:ascii="Arial" w:hAnsi="Arial" w:cs="Arial"/>
                <w:noProof/>
                <w:sz w:val="20"/>
                <w:szCs w:val="20"/>
              </w:rPr>
              <w:t>2.7.3 Največja oddana naročila v letu 2023</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_Toc175563874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36</w:t>
            </w:r>
            <w:r w:rsidR="00E900D0" w:rsidRPr="00F432AB">
              <w:rPr>
                <w:rFonts w:ascii="Arial" w:hAnsi="Arial" w:cs="Arial"/>
                <w:noProof/>
                <w:webHidden/>
                <w:sz w:val="20"/>
                <w:szCs w:val="20"/>
              </w:rPr>
              <w:fldChar w:fldCharType="end"/>
            </w:r>
          </w:hyperlink>
        </w:p>
        <w:p w14:paraId="2DE5CEA8" w14:textId="0ACFCFE6"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75" w:history="1">
            <w:r w:rsidR="00E900D0" w:rsidRPr="00F432AB">
              <w:rPr>
                <w:rStyle w:val="Hiperpovezava"/>
                <w:rFonts w:ascii="Arial" w:hAnsi="Arial" w:cs="Arial"/>
                <w:noProof/>
                <w:sz w:val="20"/>
                <w:szCs w:val="20"/>
              </w:rPr>
              <w:t>2.8 Naročila, (so)financirana s sredstvi Evropske unije</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_Toc175563875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36</w:t>
            </w:r>
            <w:r w:rsidR="00E900D0" w:rsidRPr="00F432AB">
              <w:rPr>
                <w:rFonts w:ascii="Arial" w:hAnsi="Arial" w:cs="Arial"/>
                <w:noProof/>
                <w:webHidden/>
                <w:sz w:val="20"/>
                <w:szCs w:val="20"/>
              </w:rPr>
              <w:fldChar w:fldCharType="end"/>
            </w:r>
          </w:hyperlink>
        </w:p>
        <w:p w14:paraId="6435DE4B" w14:textId="0AC09C4E"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76" w:history="1">
            <w:r w:rsidR="00E900D0" w:rsidRPr="00F432AB">
              <w:rPr>
                <w:rStyle w:val="Hiperpovezava"/>
                <w:rFonts w:ascii="Arial" w:hAnsi="Arial" w:cs="Arial"/>
                <w:noProof/>
                <w:sz w:val="20"/>
                <w:szCs w:val="20"/>
              </w:rPr>
              <w:t>2.9 Zeleno in družbeno odgovorno javno naročanje</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_Toc175563876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38</w:t>
            </w:r>
            <w:r w:rsidR="00E900D0" w:rsidRPr="00F432AB">
              <w:rPr>
                <w:rFonts w:ascii="Arial" w:hAnsi="Arial" w:cs="Arial"/>
                <w:noProof/>
                <w:webHidden/>
                <w:sz w:val="20"/>
                <w:szCs w:val="20"/>
              </w:rPr>
              <w:fldChar w:fldCharType="end"/>
            </w:r>
          </w:hyperlink>
        </w:p>
        <w:p w14:paraId="019DC63B" w14:textId="489E7C10"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77" w:history="1">
            <w:r w:rsidR="00E900D0" w:rsidRPr="00F432AB">
              <w:rPr>
                <w:rStyle w:val="Hiperpovezava"/>
                <w:rFonts w:ascii="Arial" w:hAnsi="Arial" w:cs="Arial"/>
                <w:noProof/>
                <w:sz w:val="20"/>
                <w:szCs w:val="20"/>
              </w:rPr>
              <w:t>2.9.1 Zeleno javno naročanje</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_Toc175563877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38</w:t>
            </w:r>
            <w:r w:rsidR="00E900D0" w:rsidRPr="00F432AB">
              <w:rPr>
                <w:rFonts w:ascii="Arial" w:hAnsi="Arial" w:cs="Arial"/>
                <w:noProof/>
                <w:webHidden/>
                <w:sz w:val="20"/>
                <w:szCs w:val="20"/>
              </w:rPr>
              <w:fldChar w:fldCharType="end"/>
            </w:r>
          </w:hyperlink>
        </w:p>
        <w:p w14:paraId="1CCA76E4" w14:textId="38171E02" w:rsidR="00E900D0" w:rsidRPr="00F432AB" w:rsidRDefault="00A67102">
          <w:pPr>
            <w:pStyle w:val="Kazalovsebine3"/>
            <w:tabs>
              <w:tab w:val="right" w:leader="dot" w:pos="9174"/>
            </w:tabs>
            <w:rPr>
              <w:rFonts w:ascii="Arial" w:hAnsi="Arial" w:cs="Arial"/>
              <w:noProof/>
              <w:kern w:val="2"/>
              <w:sz w:val="20"/>
              <w:szCs w:val="20"/>
              <w14:ligatures w14:val="standardContextual"/>
            </w:rPr>
          </w:pPr>
          <w:hyperlink w:anchor="_Toc175563878" w:history="1">
            <w:r w:rsidR="00E900D0" w:rsidRPr="00F432AB">
              <w:rPr>
                <w:rStyle w:val="Hiperpovezava"/>
                <w:rFonts w:ascii="Arial" w:hAnsi="Arial" w:cs="Arial"/>
                <w:noProof/>
                <w:sz w:val="20"/>
                <w:szCs w:val="20"/>
              </w:rPr>
              <w:t>2.9.2 Družbeno odgovorno javno naročanje</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_Toc175563878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40</w:t>
            </w:r>
            <w:r w:rsidR="00E900D0" w:rsidRPr="00F432AB">
              <w:rPr>
                <w:rFonts w:ascii="Arial" w:hAnsi="Arial" w:cs="Arial"/>
                <w:noProof/>
                <w:webHidden/>
                <w:sz w:val="20"/>
                <w:szCs w:val="20"/>
              </w:rPr>
              <w:fldChar w:fldCharType="end"/>
            </w:r>
          </w:hyperlink>
        </w:p>
        <w:p w14:paraId="1E3FB7D0" w14:textId="2B67440E"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79" w:history="1">
            <w:r w:rsidR="00E900D0" w:rsidRPr="00F432AB">
              <w:rPr>
                <w:rStyle w:val="Hiperpovezava"/>
                <w:rFonts w:ascii="Arial" w:hAnsi="Arial" w:cs="Arial"/>
                <w:noProof/>
                <w:sz w:val="20"/>
                <w:szCs w:val="20"/>
              </w:rPr>
              <w:t>2.10 Evidenčna naročila</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_Toc175563879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42</w:t>
            </w:r>
            <w:r w:rsidR="00E900D0" w:rsidRPr="00F432AB">
              <w:rPr>
                <w:rFonts w:ascii="Arial" w:hAnsi="Arial" w:cs="Arial"/>
                <w:noProof/>
                <w:webHidden/>
                <w:sz w:val="20"/>
                <w:szCs w:val="20"/>
              </w:rPr>
              <w:fldChar w:fldCharType="end"/>
            </w:r>
          </w:hyperlink>
        </w:p>
        <w:p w14:paraId="0D7B6146" w14:textId="30C25BB0" w:rsidR="00E900D0" w:rsidRPr="00F432AB" w:rsidRDefault="00A67102">
          <w:pPr>
            <w:pStyle w:val="Kazalovsebine2"/>
            <w:rPr>
              <w:rFonts w:ascii="Arial" w:eastAsiaTheme="minorEastAsia" w:hAnsi="Arial" w:cs="Arial"/>
              <w:noProof/>
              <w:kern w:val="2"/>
              <w:sz w:val="20"/>
              <w:szCs w:val="20"/>
              <w:lang w:eastAsia="sl-SI"/>
              <w14:ligatures w14:val="standardContextual"/>
            </w:rPr>
          </w:pPr>
          <w:hyperlink w:anchor="_Toc175563880" w:history="1">
            <w:r w:rsidR="00E900D0" w:rsidRPr="00F432AB">
              <w:rPr>
                <w:rStyle w:val="Hiperpovezava"/>
                <w:rFonts w:ascii="Arial" w:hAnsi="Arial" w:cs="Arial"/>
                <w:noProof/>
                <w:sz w:val="20"/>
                <w:szCs w:val="20"/>
              </w:rPr>
              <w:t>2.11 Javni natečaji</w:t>
            </w:r>
            <w:r w:rsidR="00E900D0" w:rsidRPr="00F432AB">
              <w:rPr>
                <w:rFonts w:ascii="Arial" w:hAnsi="Arial" w:cs="Arial"/>
                <w:noProof/>
                <w:webHidden/>
                <w:sz w:val="20"/>
                <w:szCs w:val="20"/>
              </w:rPr>
              <w:tab/>
            </w:r>
            <w:r w:rsidR="00E900D0" w:rsidRPr="00F432AB">
              <w:rPr>
                <w:rFonts w:ascii="Arial" w:hAnsi="Arial" w:cs="Arial"/>
                <w:noProof/>
                <w:webHidden/>
                <w:sz w:val="20"/>
                <w:szCs w:val="20"/>
              </w:rPr>
              <w:fldChar w:fldCharType="begin"/>
            </w:r>
            <w:r w:rsidR="00E900D0" w:rsidRPr="00F432AB">
              <w:rPr>
                <w:rFonts w:ascii="Arial" w:hAnsi="Arial" w:cs="Arial"/>
                <w:noProof/>
                <w:webHidden/>
                <w:sz w:val="20"/>
                <w:szCs w:val="20"/>
              </w:rPr>
              <w:instrText xml:space="preserve"> PAGEREF _Toc175563880 \h </w:instrText>
            </w:r>
            <w:r w:rsidR="00E900D0" w:rsidRPr="00F432AB">
              <w:rPr>
                <w:rFonts w:ascii="Arial" w:hAnsi="Arial" w:cs="Arial"/>
                <w:noProof/>
                <w:webHidden/>
                <w:sz w:val="20"/>
                <w:szCs w:val="20"/>
              </w:rPr>
            </w:r>
            <w:r w:rsidR="00E900D0" w:rsidRPr="00F432AB">
              <w:rPr>
                <w:rFonts w:ascii="Arial" w:hAnsi="Arial" w:cs="Arial"/>
                <w:noProof/>
                <w:webHidden/>
                <w:sz w:val="20"/>
                <w:szCs w:val="20"/>
              </w:rPr>
              <w:fldChar w:fldCharType="separate"/>
            </w:r>
            <w:r w:rsidR="00F432AB" w:rsidRPr="00F432AB">
              <w:rPr>
                <w:rFonts w:ascii="Arial" w:hAnsi="Arial" w:cs="Arial"/>
                <w:noProof/>
                <w:webHidden/>
                <w:sz w:val="20"/>
                <w:szCs w:val="20"/>
              </w:rPr>
              <w:t>43</w:t>
            </w:r>
            <w:r w:rsidR="00E900D0" w:rsidRPr="00F432AB">
              <w:rPr>
                <w:rFonts w:ascii="Arial" w:hAnsi="Arial" w:cs="Arial"/>
                <w:noProof/>
                <w:webHidden/>
                <w:sz w:val="20"/>
                <w:szCs w:val="20"/>
              </w:rPr>
              <w:fldChar w:fldCharType="end"/>
            </w:r>
          </w:hyperlink>
        </w:p>
        <w:p w14:paraId="514F66D3" w14:textId="6CC3E1EB" w:rsidR="00E900D0" w:rsidRPr="00F432AB" w:rsidRDefault="00A67102" w:rsidP="00E900D0">
          <w:pPr>
            <w:pStyle w:val="Kazalovsebine1"/>
            <w:rPr>
              <w:rFonts w:eastAsiaTheme="minorEastAsia"/>
              <w:b/>
              <w:bCs/>
              <w:kern w:val="2"/>
              <w:sz w:val="20"/>
              <w:szCs w:val="20"/>
              <w:lang w:eastAsia="sl-SI"/>
              <w14:ligatures w14:val="standardContextual"/>
            </w:rPr>
          </w:pPr>
          <w:hyperlink w:anchor="_Toc175563881" w:history="1">
            <w:r w:rsidR="00E900D0" w:rsidRPr="00F432AB">
              <w:rPr>
                <w:rStyle w:val="Hiperpovezava"/>
                <w:sz w:val="20"/>
                <w:szCs w:val="20"/>
              </w:rPr>
              <w:t>Izhodišča in pravne podlage</w:t>
            </w:r>
            <w:r w:rsidR="00E900D0" w:rsidRPr="00F432AB">
              <w:rPr>
                <w:webHidden/>
                <w:sz w:val="20"/>
                <w:szCs w:val="20"/>
              </w:rPr>
              <w:tab/>
            </w:r>
            <w:r w:rsidR="00E900D0" w:rsidRPr="00F432AB">
              <w:rPr>
                <w:webHidden/>
                <w:sz w:val="20"/>
                <w:szCs w:val="20"/>
              </w:rPr>
              <w:fldChar w:fldCharType="begin"/>
            </w:r>
            <w:r w:rsidR="00E900D0" w:rsidRPr="00F432AB">
              <w:rPr>
                <w:webHidden/>
                <w:sz w:val="20"/>
                <w:szCs w:val="20"/>
              </w:rPr>
              <w:instrText xml:space="preserve"> PAGEREF _Toc175563881 \h </w:instrText>
            </w:r>
            <w:r w:rsidR="00E900D0" w:rsidRPr="00F432AB">
              <w:rPr>
                <w:webHidden/>
                <w:sz w:val="20"/>
                <w:szCs w:val="20"/>
              </w:rPr>
            </w:r>
            <w:r w:rsidR="00E900D0" w:rsidRPr="00F432AB">
              <w:rPr>
                <w:webHidden/>
                <w:sz w:val="20"/>
                <w:szCs w:val="20"/>
              </w:rPr>
              <w:fldChar w:fldCharType="separate"/>
            </w:r>
            <w:r w:rsidR="00F432AB" w:rsidRPr="00F432AB">
              <w:rPr>
                <w:webHidden/>
                <w:sz w:val="20"/>
                <w:szCs w:val="20"/>
              </w:rPr>
              <w:t>44</w:t>
            </w:r>
            <w:r w:rsidR="00E900D0" w:rsidRPr="00F432AB">
              <w:rPr>
                <w:webHidden/>
                <w:sz w:val="20"/>
                <w:szCs w:val="20"/>
              </w:rPr>
              <w:fldChar w:fldCharType="end"/>
            </w:r>
          </w:hyperlink>
        </w:p>
        <w:p w14:paraId="1165C7CD" w14:textId="6E288B2C" w:rsidR="00206175" w:rsidRPr="00637ACF" w:rsidRDefault="00AE378A" w:rsidP="00A84D1E">
          <w:pPr>
            <w:pStyle w:val="Kazalovsebine2"/>
            <w:rPr>
              <w:highlight w:val="yellow"/>
            </w:rPr>
          </w:pPr>
          <w:r w:rsidRPr="00F432AB">
            <w:rPr>
              <w:color w:val="000000" w:themeColor="text1"/>
            </w:rPr>
            <w:fldChar w:fldCharType="end"/>
          </w:r>
        </w:p>
      </w:sdtContent>
    </w:sdt>
    <w:p w14:paraId="08AEB7A0" w14:textId="77777777" w:rsidR="00DD7386" w:rsidRPr="00637ACF" w:rsidRDefault="00DD7386" w:rsidP="00DD7386">
      <w:pPr>
        <w:pStyle w:val="ZADEVA"/>
        <w:jc w:val="both"/>
        <w:rPr>
          <w:rFonts w:cs="Arial"/>
          <w:b w:val="0"/>
          <w:color w:val="FF0000"/>
          <w:szCs w:val="20"/>
          <w:highlight w:val="yellow"/>
          <w:lang w:val="sl-SI"/>
        </w:rPr>
      </w:pPr>
    </w:p>
    <w:p w14:paraId="31C738C9" w14:textId="0360682C" w:rsidR="00DD7386" w:rsidRPr="00637ACF" w:rsidRDefault="00DD7386" w:rsidP="00DD7386">
      <w:pPr>
        <w:pStyle w:val="ZADEVA"/>
        <w:jc w:val="both"/>
        <w:rPr>
          <w:rFonts w:cs="Arial"/>
          <w:b w:val="0"/>
          <w:color w:val="FF0000"/>
          <w:szCs w:val="20"/>
          <w:highlight w:val="yellow"/>
          <w:lang w:val="sl-SI"/>
        </w:rPr>
      </w:pPr>
    </w:p>
    <w:p w14:paraId="4C7C782C" w14:textId="77777777" w:rsidR="00DD7386" w:rsidRPr="00637ACF" w:rsidRDefault="00DD7386" w:rsidP="00DD7386">
      <w:pPr>
        <w:pStyle w:val="ZADEVA"/>
        <w:jc w:val="both"/>
        <w:rPr>
          <w:rFonts w:cs="Arial"/>
          <w:b w:val="0"/>
          <w:color w:val="FF0000"/>
          <w:szCs w:val="20"/>
          <w:highlight w:val="yellow"/>
          <w:lang w:val="sl-SI"/>
        </w:rPr>
      </w:pPr>
    </w:p>
    <w:p w14:paraId="5E1B0267" w14:textId="77777777" w:rsidR="00DD7386" w:rsidRPr="00637ACF" w:rsidRDefault="00DD7386" w:rsidP="00DD7386">
      <w:pPr>
        <w:pStyle w:val="ZADEVA"/>
        <w:jc w:val="both"/>
        <w:rPr>
          <w:rFonts w:cs="Arial"/>
          <w:b w:val="0"/>
          <w:color w:val="FF0000"/>
          <w:szCs w:val="20"/>
          <w:highlight w:val="yellow"/>
          <w:lang w:val="sl-SI"/>
        </w:rPr>
      </w:pPr>
    </w:p>
    <w:p w14:paraId="4D382221" w14:textId="77777777" w:rsidR="00DD7386" w:rsidRPr="00637ACF" w:rsidRDefault="00DD7386" w:rsidP="00DD7386">
      <w:pPr>
        <w:pStyle w:val="ZADEVA"/>
        <w:jc w:val="both"/>
        <w:rPr>
          <w:rFonts w:cs="Arial"/>
          <w:b w:val="0"/>
          <w:color w:val="FF0000"/>
          <w:szCs w:val="20"/>
          <w:highlight w:val="yellow"/>
          <w:lang w:val="sl-SI"/>
        </w:rPr>
      </w:pPr>
    </w:p>
    <w:p w14:paraId="7D82175D" w14:textId="77777777" w:rsidR="00DD7386" w:rsidRPr="00637ACF" w:rsidRDefault="00DD7386" w:rsidP="00DD7386">
      <w:pPr>
        <w:pStyle w:val="ZADEVA"/>
        <w:jc w:val="both"/>
        <w:rPr>
          <w:rFonts w:cs="Arial"/>
          <w:b w:val="0"/>
          <w:color w:val="FF0000"/>
          <w:szCs w:val="20"/>
          <w:highlight w:val="yellow"/>
          <w:lang w:val="sl-SI"/>
        </w:rPr>
      </w:pPr>
    </w:p>
    <w:p w14:paraId="02C740A7" w14:textId="77777777" w:rsidR="00DD7386" w:rsidRPr="00637ACF" w:rsidRDefault="00DD7386" w:rsidP="00DD7386">
      <w:pPr>
        <w:pStyle w:val="ZADEVA"/>
        <w:jc w:val="both"/>
        <w:rPr>
          <w:rFonts w:cs="Arial"/>
          <w:b w:val="0"/>
          <w:color w:val="FF0000"/>
          <w:szCs w:val="20"/>
          <w:highlight w:val="yellow"/>
          <w:lang w:val="sl-SI"/>
        </w:rPr>
      </w:pPr>
    </w:p>
    <w:p w14:paraId="3107EF81" w14:textId="77777777" w:rsidR="00DD7386" w:rsidRPr="00637ACF" w:rsidRDefault="00DD7386" w:rsidP="00DD7386">
      <w:pPr>
        <w:pStyle w:val="ZADEVA"/>
        <w:jc w:val="both"/>
        <w:rPr>
          <w:rFonts w:cs="Arial"/>
          <w:b w:val="0"/>
          <w:color w:val="FF0000"/>
          <w:szCs w:val="20"/>
          <w:highlight w:val="yellow"/>
          <w:lang w:val="sl-SI"/>
        </w:rPr>
      </w:pPr>
    </w:p>
    <w:p w14:paraId="187C017C" w14:textId="77777777" w:rsidR="00DD7386" w:rsidRPr="00637ACF" w:rsidRDefault="00DD7386" w:rsidP="00DD7386">
      <w:pPr>
        <w:pStyle w:val="ZADEVA"/>
        <w:jc w:val="both"/>
        <w:rPr>
          <w:rFonts w:cs="Arial"/>
          <w:b w:val="0"/>
          <w:color w:val="FF0000"/>
          <w:szCs w:val="20"/>
          <w:highlight w:val="yellow"/>
          <w:lang w:val="sl-SI"/>
        </w:rPr>
      </w:pPr>
    </w:p>
    <w:p w14:paraId="68519F74" w14:textId="77777777" w:rsidR="00DD7386" w:rsidRPr="00637ACF" w:rsidRDefault="00DD7386" w:rsidP="00DD7386">
      <w:pPr>
        <w:pStyle w:val="ZADEVA"/>
        <w:jc w:val="both"/>
        <w:rPr>
          <w:rFonts w:cs="Arial"/>
          <w:b w:val="0"/>
          <w:color w:val="FF0000"/>
          <w:szCs w:val="20"/>
          <w:highlight w:val="yellow"/>
          <w:lang w:val="sl-SI"/>
        </w:rPr>
      </w:pPr>
    </w:p>
    <w:p w14:paraId="1E5F01D4" w14:textId="77777777" w:rsidR="00DD7386" w:rsidRPr="00637ACF" w:rsidRDefault="00DD7386" w:rsidP="00DD7386">
      <w:pPr>
        <w:pStyle w:val="ZADEVA"/>
        <w:jc w:val="both"/>
        <w:rPr>
          <w:rFonts w:cs="Arial"/>
          <w:b w:val="0"/>
          <w:color w:val="FF0000"/>
          <w:szCs w:val="20"/>
          <w:highlight w:val="yellow"/>
          <w:lang w:val="sl-SI"/>
        </w:rPr>
      </w:pPr>
    </w:p>
    <w:p w14:paraId="3DD5EFF1" w14:textId="77777777" w:rsidR="00DD7386" w:rsidRPr="00637ACF" w:rsidRDefault="00DD7386" w:rsidP="00DD7386">
      <w:pPr>
        <w:pStyle w:val="ZADEVA"/>
        <w:jc w:val="both"/>
        <w:rPr>
          <w:rFonts w:cs="Arial"/>
          <w:b w:val="0"/>
          <w:color w:val="FF0000"/>
          <w:szCs w:val="20"/>
          <w:highlight w:val="yellow"/>
          <w:lang w:val="sl-SI"/>
        </w:rPr>
      </w:pPr>
    </w:p>
    <w:p w14:paraId="5362C6CB" w14:textId="77777777" w:rsidR="00DD7386" w:rsidRPr="00637ACF" w:rsidRDefault="00DD7386" w:rsidP="00DD7386">
      <w:pPr>
        <w:pStyle w:val="ZADEVA"/>
        <w:jc w:val="both"/>
        <w:rPr>
          <w:rFonts w:cs="Arial"/>
          <w:b w:val="0"/>
          <w:color w:val="FF0000"/>
          <w:szCs w:val="20"/>
          <w:highlight w:val="yellow"/>
          <w:lang w:val="sl-SI"/>
        </w:rPr>
      </w:pPr>
    </w:p>
    <w:p w14:paraId="0F713636" w14:textId="77777777" w:rsidR="00DD7386" w:rsidRPr="00637ACF" w:rsidRDefault="00DD7386" w:rsidP="00DD7386">
      <w:pPr>
        <w:pStyle w:val="ZADEVA"/>
        <w:jc w:val="both"/>
        <w:rPr>
          <w:rFonts w:cs="Arial"/>
          <w:b w:val="0"/>
          <w:color w:val="FF0000"/>
          <w:szCs w:val="20"/>
          <w:highlight w:val="yellow"/>
          <w:lang w:val="sl-SI"/>
        </w:rPr>
      </w:pPr>
    </w:p>
    <w:p w14:paraId="05396EA4" w14:textId="77777777" w:rsidR="00DD7386" w:rsidRPr="00637ACF" w:rsidRDefault="00DD7386" w:rsidP="00DD7386">
      <w:pPr>
        <w:pStyle w:val="ZADEVA"/>
        <w:jc w:val="both"/>
        <w:rPr>
          <w:rFonts w:cs="Arial"/>
          <w:b w:val="0"/>
          <w:color w:val="FF0000"/>
          <w:szCs w:val="20"/>
          <w:highlight w:val="yellow"/>
          <w:lang w:val="sl-SI"/>
        </w:rPr>
      </w:pPr>
    </w:p>
    <w:p w14:paraId="075645D3" w14:textId="77777777" w:rsidR="00DD7386" w:rsidRPr="00637ACF" w:rsidRDefault="00DD7386" w:rsidP="00DD7386">
      <w:pPr>
        <w:pStyle w:val="ZADEVA"/>
        <w:jc w:val="both"/>
        <w:rPr>
          <w:rFonts w:cs="Arial"/>
          <w:b w:val="0"/>
          <w:color w:val="FF0000"/>
          <w:szCs w:val="20"/>
          <w:highlight w:val="yellow"/>
          <w:lang w:val="sl-SI"/>
        </w:rPr>
      </w:pPr>
    </w:p>
    <w:p w14:paraId="13C164A1" w14:textId="77777777" w:rsidR="00DD7386" w:rsidRPr="00637ACF" w:rsidRDefault="00DD7386" w:rsidP="00DD7386">
      <w:pPr>
        <w:pStyle w:val="ZADEVA"/>
        <w:jc w:val="both"/>
        <w:rPr>
          <w:rFonts w:cs="Arial"/>
          <w:b w:val="0"/>
          <w:color w:val="FF0000"/>
          <w:szCs w:val="20"/>
          <w:highlight w:val="yellow"/>
          <w:lang w:val="sl-SI"/>
        </w:rPr>
      </w:pPr>
    </w:p>
    <w:p w14:paraId="7D3E3812" w14:textId="77777777" w:rsidR="00DD7386" w:rsidRPr="00637ACF" w:rsidRDefault="00DD7386" w:rsidP="00DD7386">
      <w:pPr>
        <w:pStyle w:val="ZADEVA"/>
        <w:jc w:val="both"/>
        <w:rPr>
          <w:rFonts w:cs="Arial"/>
          <w:b w:val="0"/>
          <w:color w:val="FF0000"/>
          <w:szCs w:val="20"/>
          <w:highlight w:val="yellow"/>
          <w:lang w:val="sl-SI"/>
        </w:rPr>
      </w:pPr>
    </w:p>
    <w:p w14:paraId="56FA0499" w14:textId="77777777" w:rsidR="00DD7386" w:rsidRPr="00637ACF" w:rsidRDefault="00DD7386" w:rsidP="00DD7386">
      <w:pPr>
        <w:pStyle w:val="ZADEVA"/>
        <w:jc w:val="both"/>
        <w:rPr>
          <w:rFonts w:cs="Arial"/>
          <w:b w:val="0"/>
          <w:color w:val="FF0000"/>
          <w:szCs w:val="20"/>
          <w:highlight w:val="yellow"/>
          <w:lang w:val="sl-SI"/>
        </w:rPr>
      </w:pPr>
    </w:p>
    <w:p w14:paraId="508F3760" w14:textId="77777777" w:rsidR="00DD7386" w:rsidRPr="00637ACF" w:rsidRDefault="00DD7386" w:rsidP="00DD7386">
      <w:pPr>
        <w:pStyle w:val="ZADEVA"/>
        <w:jc w:val="both"/>
        <w:rPr>
          <w:rFonts w:cs="Arial"/>
          <w:b w:val="0"/>
          <w:color w:val="FF0000"/>
          <w:szCs w:val="20"/>
          <w:highlight w:val="yellow"/>
          <w:lang w:val="sl-SI"/>
        </w:rPr>
      </w:pPr>
    </w:p>
    <w:p w14:paraId="214C36E4" w14:textId="77777777" w:rsidR="00DD7386" w:rsidRPr="00637ACF" w:rsidRDefault="00DD7386" w:rsidP="00DD7386">
      <w:pPr>
        <w:pStyle w:val="ZADEVA"/>
        <w:jc w:val="both"/>
        <w:rPr>
          <w:rFonts w:cs="Arial"/>
          <w:b w:val="0"/>
          <w:color w:val="FF0000"/>
          <w:szCs w:val="20"/>
          <w:highlight w:val="yellow"/>
          <w:lang w:val="sl-SI"/>
        </w:rPr>
      </w:pPr>
    </w:p>
    <w:p w14:paraId="03E29A94" w14:textId="77777777" w:rsidR="00DD7386" w:rsidRPr="00637ACF" w:rsidRDefault="00DD7386" w:rsidP="00DD7386">
      <w:pPr>
        <w:pStyle w:val="ZADEVA"/>
        <w:jc w:val="both"/>
        <w:rPr>
          <w:rFonts w:cs="Arial"/>
          <w:b w:val="0"/>
          <w:color w:val="FF0000"/>
          <w:szCs w:val="20"/>
          <w:highlight w:val="yellow"/>
          <w:lang w:val="sl-SI"/>
        </w:rPr>
      </w:pPr>
    </w:p>
    <w:p w14:paraId="2750D9C3" w14:textId="77777777" w:rsidR="00DD7386" w:rsidRPr="00637ACF" w:rsidRDefault="00DD7386" w:rsidP="00DD7386">
      <w:pPr>
        <w:pStyle w:val="ZADEVA"/>
        <w:jc w:val="both"/>
        <w:rPr>
          <w:rFonts w:cs="Arial"/>
          <w:b w:val="0"/>
          <w:color w:val="FF0000"/>
          <w:szCs w:val="20"/>
          <w:highlight w:val="yellow"/>
          <w:lang w:val="sl-SI"/>
        </w:rPr>
      </w:pPr>
    </w:p>
    <w:p w14:paraId="63BED7F1" w14:textId="77777777" w:rsidR="00DD7386" w:rsidRPr="00637ACF" w:rsidRDefault="00DD7386" w:rsidP="00DD7386">
      <w:pPr>
        <w:pStyle w:val="ZADEVA"/>
        <w:jc w:val="both"/>
        <w:rPr>
          <w:rFonts w:cs="Arial"/>
          <w:b w:val="0"/>
          <w:color w:val="FF0000"/>
          <w:szCs w:val="20"/>
          <w:highlight w:val="yellow"/>
          <w:lang w:val="sl-SI"/>
        </w:rPr>
      </w:pPr>
    </w:p>
    <w:p w14:paraId="2B6F2B0B" w14:textId="77777777" w:rsidR="00DD7386" w:rsidRPr="00637ACF" w:rsidRDefault="00DD7386" w:rsidP="00DD7386">
      <w:pPr>
        <w:pStyle w:val="ZADEVA"/>
        <w:jc w:val="both"/>
        <w:rPr>
          <w:rFonts w:cs="Arial"/>
          <w:b w:val="0"/>
          <w:color w:val="FF0000"/>
          <w:szCs w:val="20"/>
          <w:highlight w:val="yellow"/>
          <w:lang w:val="sl-SI"/>
        </w:rPr>
      </w:pPr>
    </w:p>
    <w:p w14:paraId="62D30D73" w14:textId="77777777" w:rsidR="00854405" w:rsidRPr="00637ACF" w:rsidRDefault="00854405" w:rsidP="00854405">
      <w:pPr>
        <w:pStyle w:val="ZADEVA"/>
        <w:jc w:val="both"/>
        <w:rPr>
          <w:rFonts w:cs="Arial"/>
          <w:b w:val="0"/>
          <w:color w:val="FF0000"/>
          <w:szCs w:val="20"/>
          <w:highlight w:val="yellow"/>
          <w:lang w:val="sl-SI"/>
        </w:rPr>
      </w:pPr>
    </w:p>
    <w:p w14:paraId="4AFB8182" w14:textId="77777777" w:rsidR="00500FDD" w:rsidRPr="00637ACF" w:rsidRDefault="00500FDD">
      <w:pPr>
        <w:rPr>
          <w:rFonts w:ascii="Arial" w:eastAsiaTheme="majorEastAsia" w:hAnsi="Arial" w:cs="Arial"/>
          <w:b/>
          <w:color w:val="FF0000"/>
          <w:highlight w:val="yellow"/>
        </w:rPr>
      </w:pPr>
      <w:r w:rsidRPr="00637ACF">
        <w:rPr>
          <w:rFonts w:ascii="Arial" w:hAnsi="Arial" w:cs="Arial"/>
          <w:b/>
          <w:color w:val="FF0000"/>
          <w:highlight w:val="yellow"/>
        </w:rPr>
        <w:br w:type="page"/>
      </w:r>
    </w:p>
    <w:p w14:paraId="34706749" w14:textId="273E940B" w:rsidR="004A48B3" w:rsidRPr="008D69A6" w:rsidRDefault="004A48B3" w:rsidP="00BA1A1B">
      <w:pPr>
        <w:pStyle w:val="Naslov1"/>
      </w:pPr>
      <w:bookmarkStart w:id="0" w:name="_Toc175563841"/>
      <w:bookmarkStart w:id="1" w:name="_Hlk113004312"/>
      <w:r w:rsidRPr="008D69A6">
        <w:lastRenderedPageBreak/>
        <w:t>Po</w:t>
      </w:r>
      <w:r w:rsidR="000441FC" w:rsidRPr="008D69A6">
        <w:t>vzetek</w:t>
      </w:r>
      <w:bookmarkEnd w:id="0"/>
    </w:p>
    <w:p w14:paraId="2481F880" w14:textId="464345B3" w:rsidR="00881870" w:rsidRPr="008D69A6" w:rsidRDefault="00881870" w:rsidP="00540C77">
      <w:pPr>
        <w:jc w:val="center"/>
        <w:rPr>
          <w:rFonts w:ascii="Arial" w:hAnsi="Arial" w:cs="Arial"/>
          <w:color w:val="000000" w:themeColor="text1"/>
          <w:sz w:val="20"/>
          <w:szCs w:val="20"/>
        </w:rPr>
      </w:pPr>
    </w:p>
    <w:p w14:paraId="0CDE560E" w14:textId="72726253" w:rsidR="00540C77" w:rsidRPr="008D69A6" w:rsidRDefault="00881870" w:rsidP="0062342E">
      <w:pPr>
        <w:spacing w:line="360" w:lineRule="auto"/>
        <w:jc w:val="both"/>
        <w:rPr>
          <w:rFonts w:ascii="Arial" w:hAnsi="Arial" w:cs="Arial"/>
          <w:b/>
          <w:bCs/>
          <w:color w:val="000000" w:themeColor="text1"/>
          <w:sz w:val="20"/>
          <w:szCs w:val="20"/>
        </w:rPr>
      </w:pPr>
      <w:r w:rsidRPr="008D69A6">
        <w:rPr>
          <w:rFonts w:ascii="Arial" w:hAnsi="Arial" w:cs="Arial"/>
          <w:color w:val="000000" w:themeColor="text1"/>
          <w:sz w:val="20"/>
          <w:szCs w:val="20"/>
        </w:rPr>
        <w:t>V letu 202</w:t>
      </w:r>
      <w:r w:rsidR="00BA1A1B" w:rsidRPr="008D69A6">
        <w:rPr>
          <w:rFonts w:ascii="Arial" w:hAnsi="Arial" w:cs="Arial"/>
          <w:color w:val="000000" w:themeColor="text1"/>
          <w:sz w:val="20"/>
          <w:szCs w:val="20"/>
        </w:rPr>
        <w:t>3</w:t>
      </w:r>
      <w:r w:rsidRPr="008D69A6">
        <w:rPr>
          <w:rFonts w:ascii="Arial" w:hAnsi="Arial" w:cs="Arial"/>
          <w:color w:val="000000" w:themeColor="text1"/>
          <w:sz w:val="20"/>
          <w:szCs w:val="20"/>
        </w:rPr>
        <w:t xml:space="preserve"> je </w:t>
      </w:r>
      <w:r w:rsidRPr="008D69A6">
        <w:rPr>
          <w:rFonts w:ascii="Arial" w:hAnsi="Arial" w:cs="Arial"/>
          <w:b/>
          <w:bCs/>
          <w:color w:val="000000" w:themeColor="text1"/>
          <w:sz w:val="20"/>
          <w:szCs w:val="20"/>
        </w:rPr>
        <w:t>2</w:t>
      </w:r>
      <w:r w:rsidR="006E4877" w:rsidRPr="008D69A6">
        <w:rPr>
          <w:rFonts w:ascii="Arial" w:hAnsi="Arial" w:cs="Arial"/>
          <w:b/>
          <w:bCs/>
          <w:color w:val="000000" w:themeColor="text1"/>
          <w:sz w:val="20"/>
          <w:szCs w:val="20"/>
        </w:rPr>
        <w:t>.</w:t>
      </w:r>
      <w:r w:rsidRPr="008D69A6">
        <w:rPr>
          <w:rFonts w:ascii="Arial" w:hAnsi="Arial" w:cs="Arial"/>
          <w:b/>
          <w:bCs/>
          <w:color w:val="000000" w:themeColor="text1"/>
          <w:sz w:val="20"/>
          <w:szCs w:val="20"/>
        </w:rPr>
        <w:t>1</w:t>
      </w:r>
      <w:r w:rsidR="00BA1A1B" w:rsidRPr="008D69A6">
        <w:rPr>
          <w:rFonts w:ascii="Arial" w:hAnsi="Arial" w:cs="Arial"/>
          <w:b/>
          <w:bCs/>
          <w:color w:val="000000" w:themeColor="text1"/>
          <w:sz w:val="20"/>
          <w:szCs w:val="20"/>
        </w:rPr>
        <w:t>56</w:t>
      </w:r>
      <w:r w:rsidRPr="008D69A6">
        <w:rPr>
          <w:rFonts w:ascii="Arial" w:hAnsi="Arial" w:cs="Arial"/>
          <w:color w:val="000000" w:themeColor="text1"/>
          <w:sz w:val="20"/>
          <w:szCs w:val="20"/>
        </w:rPr>
        <w:t xml:space="preserve"> naročnikov oddalo </w:t>
      </w:r>
      <w:r w:rsidR="00496556" w:rsidRPr="008D69A6">
        <w:rPr>
          <w:rFonts w:ascii="Arial" w:hAnsi="Arial" w:cs="Arial"/>
          <w:color w:val="000000" w:themeColor="text1"/>
          <w:sz w:val="20"/>
          <w:szCs w:val="20"/>
        </w:rPr>
        <w:t>glede na</w:t>
      </w:r>
      <w:r w:rsidRPr="008D69A6">
        <w:rPr>
          <w:rFonts w:ascii="Arial" w:hAnsi="Arial" w:cs="Arial"/>
          <w:color w:val="000000" w:themeColor="text1"/>
          <w:sz w:val="20"/>
          <w:szCs w:val="20"/>
        </w:rPr>
        <w:t xml:space="preserve"> vrednost največ javnih naročil do</w:t>
      </w:r>
      <w:r w:rsidR="00AC0027" w:rsidRPr="008D69A6">
        <w:rPr>
          <w:rFonts w:ascii="Arial" w:hAnsi="Arial" w:cs="Arial"/>
          <w:color w:val="000000" w:themeColor="text1"/>
          <w:sz w:val="20"/>
          <w:szCs w:val="20"/>
        </w:rPr>
        <w:t>slej</w:t>
      </w:r>
      <w:r w:rsidRPr="008D69A6">
        <w:rPr>
          <w:rFonts w:ascii="Arial" w:hAnsi="Arial" w:cs="Arial"/>
          <w:color w:val="000000" w:themeColor="text1"/>
          <w:sz w:val="20"/>
          <w:szCs w:val="20"/>
        </w:rPr>
        <w:t xml:space="preserve">. Skupaj z evidenčnimi naročili je bilo oddanih za </w:t>
      </w:r>
      <w:r w:rsidR="008D69A6" w:rsidRPr="008D69A6">
        <w:rPr>
          <w:rFonts w:ascii="Arial" w:hAnsi="Arial" w:cs="Arial"/>
          <w:b/>
          <w:bCs/>
          <w:color w:val="000000" w:themeColor="text1"/>
          <w:sz w:val="20"/>
          <w:szCs w:val="20"/>
        </w:rPr>
        <w:t xml:space="preserve">9.172.030.670 </w:t>
      </w:r>
      <w:r w:rsidRPr="008D69A6">
        <w:rPr>
          <w:rFonts w:ascii="Arial" w:hAnsi="Arial" w:cs="Arial"/>
          <w:b/>
          <w:bCs/>
          <w:color w:val="000000" w:themeColor="text1"/>
          <w:sz w:val="20"/>
          <w:szCs w:val="20"/>
        </w:rPr>
        <w:t>evrov</w:t>
      </w:r>
      <w:r w:rsidR="00496556" w:rsidRPr="008D69A6">
        <w:rPr>
          <w:rFonts w:ascii="Arial" w:hAnsi="Arial" w:cs="Arial"/>
          <w:color w:val="000000" w:themeColor="text1"/>
          <w:sz w:val="20"/>
          <w:szCs w:val="20"/>
        </w:rPr>
        <w:t xml:space="preserve"> javnih naročil</w:t>
      </w:r>
      <w:r w:rsidRPr="008D69A6">
        <w:rPr>
          <w:rFonts w:ascii="Arial" w:hAnsi="Arial" w:cs="Arial"/>
          <w:b/>
          <w:bCs/>
          <w:color w:val="000000" w:themeColor="text1"/>
          <w:sz w:val="20"/>
          <w:szCs w:val="20"/>
        </w:rPr>
        <w:t xml:space="preserve">. </w:t>
      </w:r>
    </w:p>
    <w:tbl>
      <w:tblPr>
        <w:tblW w:w="7320" w:type="dxa"/>
        <w:jc w:val="center"/>
        <w:tblCellMar>
          <w:left w:w="70" w:type="dxa"/>
          <w:right w:w="70" w:type="dxa"/>
        </w:tblCellMar>
        <w:tblLook w:val="04A0" w:firstRow="1" w:lastRow="0" w:firstColumn="1" w:lastColumn="0" w:noHBand="0" w:noVBand="1"/>
      </w:tblPr>
      <w:tblGrid>
        <w:gridCol w:w="4060"/>
        <w:gridCol w:w="1600"/>
        <w:gridCol w:w="1660"/>
      </w:tblGrid>
      <w:tr w:rsidR="003D310E" w:rsidRPr="008D69A6" w14:paraId="04D591F5" w14:textId="77777777" w:rsidTr="00540C77">
        <w:trPr>
          <w:trHeight w:val="480"/>
          <w:jc w:val="center"/>
        </w:trPr>
        <w:tc>
          <w:tcPr>
            <w:tcW w:w="40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5FCFB8" w14:textId="44CB8F9F" w:rsidR="00540C77" w:rsidRPr="008D69A6" w:rsidRDefault="00540C77" w:rsidP="00540C77">
            <w:pPr>
              <w:spacing w:after="0" w:line="240" w:lineRule="auto"/>
              <w:jc w:val="center"/>
              <w:rPr>
                <w:rFonts w:ascii="Arial" w:eastAsia="Times New Roman" w:hAnsi="Arial" w:cs="Arial"/>
                <w:color w:val="000000" w:themeColor="text1"/>
                <w:sz w:val="18"/>
                <w:szCs w:val="18"/>
                <w:lang w:eastAsia="sl-SI"/>
              </w:rPr>
            </w:pPr>
            <w:r w:rsidRPr="008D69A6">
              <w:rPr>
                <w:rFonts w:ascii="Arial" w:eastAsia="Times New Roman" w:hAnsi="Arial" w:cs="Arial"/>
                <w:b/>
                <w:bCs/>
                <w:color w:val="000000" w:themeColor="text1"/>
                <w:sz w:val="18"/>
                <w:szCs w:val="18"/>
                <w:lang w:eastAsia="sl-SI"/>
              </w:rPr>
              <w:t>Oddana javna naročila v letu 202</w:t>
            </w:r>
            <w:r w:rsidR="00BA1A1B" w:rsidRPr="008D69A6">
              <w:rPr>
                <w:rFonts w:ascii="Arial" w:eastAsia="Times New Roman" w:hAnsi="Arial" w:cs="Arial"/>
                <w:b/>
                <w:bCs/>
                <w:color w:val="000000" w:themeColor="text1"/>
                <w:sz w:val="18"/>
                <w:szCs w:val="18"/>
                <w:lang w:eastAsia="sl-SI"/>
              </w:rPr>
              <w:t>3</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5FB0BDE1" w14:textId="77777777" w:rsidR="00540C77" w:rsidRPr="008D69A6" w:rsidRDefault="00540C77" w:rsidP="00540C77">
            <w:pPr>
              <w:spacing w:after="0" w:line="240" w:lineRule="auto"/>
              <w:jc w:val="center"/>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Št. postopkov</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1A713A48" w14:textId="339CE270" w:rsidR="00540C77" w:rsidRPr="008D69A6" w:rsidRDefault="00540C77" w:rsidP="00540C77">
            <w:pPr>
              <w:spacing w:after="0" w:line="240" w:lineRule="auto"/>
              <w:jc w:val="center"/>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Pogodbena vrednost</w:t>
            </w:r>
            <w:r w:rsidR="006E4877" w:rsidRPr="008D69A6">
              <w:rPr>
                <w:rFonts w:ascii="Arial" w:eastAsia="Times New Roman" w:hAnsi="Arial" w:cs="Arial"/>
                <w:color w:val="000000" w:themeColor="text1"/>
                <w:sz w:val="18"/>
                <w:szCs w:val="18"/>
                <w:lang w:eastAsia="sl-SI"/>
              </w:rPr>
              <w:t xml:space="preserve"> (v EUR)</w:t>
            </w:r>
          </w:p>
        </w:tc>
      </w:tr>
      <w:tr w:rsidR="003D310E" w:rsidRPr="008D69A6" w14:paraId="4232D478"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104D2784" w14:textId="049B7D51" w:rsidR="0069564E" w:rsidRPr="008D69A6" w:rsidRDefault="0069564E" w:rsidP="0069564E">
            <w:pPr>
              <w:spacing w:after="0" w:line="240" w:lineRule="auto"/>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Objavljena naročila na portalu javnih naročil oziroma v Uradnem listu Evropske unije</w:t>
            </w:r>
          </w:p>
        </w:tc>
        <w:tc>
          <w:tcPr>
            <w:tcW w:w="1600" w:type="dxa"/>
            <w:tcBorders>
              <w:top w:val="nil"/>
              <w:left w:val="nil"/>
              <w:bottom w:val="single" w:sz="4" w:space="0" w:color="auto"/>
              <w:right w:val="single" w:sz="4" w:space="0" w:color="auto"/>
            </w:tcBorders>
            <w:shd w:val="clear" w:color="auto" w:fill="auto"/>
            <w:vAlign w:val="center"/>
            <w:hideMark/>
          </w:tcPr>
          <w:p w14:paraId="7AF1BFAD" w14:textId="1C0BC592" w:rsidR="0069564E" w:rsidRPr="008D69A6" w:rsidRDefault="0069564E"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6.7</w:t>
            </w:r>
            <w:r w:rsidR="00966196" w:rsidRPr="008D69A6">
              <w:rPr>
                <w:rFonts w:ascii="Arial" w:eastAsia="Times New Roman" w:hAnsi="Arial" w:cs="Arial"/>
                <w:color w:val="000000" w:themeColor="text1"/>
                <w:sz w:val="18"/>
                <w:szCs w:val="18"/>
                <w:lang w:eastAsia="sl-SI"/>
              </w:rPr>
              <w:t>7</w:t>
            </w:r>
            <w:r w:rsidR="008D69A6" w:rsidRPr="008D69A6">
              <w:rPr>
                <w:rFonts w:ascii="Arial" w:eastAsia="Times New Roman" w:hAnsi="Arial" w:cs="Arial"/>
                <w:color w:val="000000" w:themeColor="text1"/>
                <w:sz w:val="18"/>
                <w:szCs w:val="18"/>
                <w:lang w:eastAsia="sl-SI"/>
              </w:rPr>
              <w:t>1</w:t>
            </w:r>
          </w:p>
        </w:tc>
        <w:tc>
          <w:tcPr>
            <w:tcW w:w="1660" w:type="dxa"/>
            <w:tcBorders>
              <w:top w:val="nil"/>
              <w:left w:val="nil"/>
              <w:bottom w:val="single" w:sz="4" w:space="0" w:color="auto"/>
              <w:right w:val="single" w:sz="4" w:space="0" w:color="auto"/>
            </w:tcBorders>
            <w:shd w:val="clear" w:color="auto" w:fill="auto"/>
            <w:vAlign w:val="center"/>
            <w:hideMark/>
          </w:tcPr>
          <w:p w14:paraId="2753500D" w14:textId="135C8B76" w:rsidR="0069564E" w:rsidRPr="008D69A6" w:rsidRDefault="0069564E"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5.</w:t>
            </w:r>
            <w:r w:rsidR="00DB0BCA" w:rsidRPr="008D69A6">
              <w:rPr>
                <w:rFonts w:ascii="Arial" w:eastAsia="Times New Roman" w:hAnsi="Arial" w:cs="Arial"/>
                <w:color w:val="000000" w:themeColor="text1"/>
                <w:sz w:val="18"/>
                <w:szCs w:val="18"/>
                <w:lang w:eastAsia="sl-SI"/>
              </w:rPr>
              <w:t>706</w:t>
            </w:r>
            <w:r w:rsidRPr="008D69A6">
              <w:rPr>
                <w:rFonts w:ascii="Arial" w:eastAsia="Times New Roman" w:hAnsi="Arial" w:cs="Arial"/>
                <w:color w:val="000000" w:themeColor="text1"/>
                <w:sz w:val="18"/>
                <w:szCs w:val="18"/>
                <w:lang w:eastAsia="sl-SI"/>
              </w:rPr>
              <w:t>.</w:t>
            </w:r>
            <w:r w:rsidR="008D69A6" w:rsidRPr="008D69A6">
              <w:rPr>
                <w:rFonts w:ascii="Arial" w:eastAsia="Times New Roman" w:hAnsi="Arial" w:cs="Arial"/>
                <w:color w:val="000000" w:themeColor="text1"/>
                <w:sz w:val="18"/>
                <w:szCs w:val="18"/>
                <w:lang w:eastAsia="sl-SI"/>
              </w:rPr>
              <w:t>244</w:t>
            </w:r>
            <w:r w:rsidRPr="008D69A6">
              <w:rPr>
                <w:rFonts w:ascii="Arial" w:eastAsia="Times New Roman" w:hAnsi="Arial" w:cs="Arial"/>
                <w:color w:val="000000" w:themeColor="text1"/>
                <w:sz w:val="18"/>
                <w:szCs w:val="18"/>
                <w:lang w:eastAsia="sl-SI"/>
              </w:rPr>
              <w:t>.</w:t>
            </w:r>
            <w:r w:rsidR="008D69A6" w:rsidRPr="008D69A6">
              <w:rPr>
                <w:rFonts w:ascii="Arial" w:eastAsia="Times New Roman" w:hAnsi="Arial" w:cs="Arial"/>
                <w:color w:val="000000" w:themeColor="text1"/>
                <w:sz w:val="18"/>
                <w:szCs w:val="18"/>
                <w:lang w:eastAsia="sl-SI"/>
              </w:rPr>
              <w:t>158</w:t>
            </w:r>
          </w:p>
        </w:tc>
      </w:tr>
      <w:tr w:rsidR="00BA1A1B" w:rsidRPr="008D69A6" w14:paraId="03C143E5"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tcPr>
          <w:p w14:paraId="6105B2E4" w14:textId="099637D6" w:rsidR="00BA1A1B" w:rsidRPr="008D69A6" w:rsidRDefault="00BA1A1B" w:rsidP="0069564E">
            <w:pPr>
              <w:spacing w:after="0" w:line="240" w:lineRule="auto"/>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Dinamični nabavni sistem</w:t>
            </w:r>
          </w:p>
        </w:tc>
        <w:tc>
          <w:tcPr>
            <w:tcW w:w="1600" w:type="dxa"/>
            <w:tcBorders>
              <w:top w:val="nil"/>
              <w:left w:val="nil"/>
              <w:bottom w:val="single" w:sz="4" w:space="0" w:color="auto"/>
              <w:right w:val="single" w:sz="4" w:space="0" w:color="auto"/>
            </w:tcBorders>
            <w:shd w:val="clear" w:color="auto" w:fill="auto"/>
            <w:vAlign w:val="center"/>
          </w:tcPr>
          <w:p w14:paraId="32ACB70F" w14:textId="114E3878" w:rsidR="00BA1A1B" w:rsidRPr="008D69A6" w:rsidRDefault="00966196"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379</w:t>
            </w:r>
          </w:p>
        </w:tc>
        <w:tc>
          <w:tcPr>
            <w:tcW w:w="1660" w:type="dxa"/>
            <w:tcBorders>
              <w:top w:val="nil"/>
              <w:left w:val="nil"/>
              <w:bottom w:val="single" w:sz="4" w:space="0" w:color="auto"/>
              <w:right w:val="single" w:sz="4" w:space="0" w:color="auto"/>
            </w:tcBorders>
            <w:shd w:val="clear" w:color="auto" w:fill="auto"/>
            <w:vAlign w:val="center"/>
          </w:tcPr>
          <w:p w14:paraId="26F7994F" w14:textId="19172669" w:rsidR="00BA1A1B" w:rsidRPr="008D69A6" w:rsidRDefault="00DB0BCA"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526.006.811</w:t>
            </w:r>
          </w:p>
        </w:tc>
      </w:tr>
      <w:tr w:rsidR="003D310E" w:rsidRPr="008D69A6" w14:paraId="30BD7469"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30DDFF4" w14:textId="77777777" w:rsidR="0069564E" w:rsidRPr="008D69A6" w:rsidRDefault="0069564E" w:rsidP="0069564E">
            <w:pPr>
              <w:spacing w:after="0" w:line="240" w:lineRule="auto"/>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 xml:space="preserve">Evidenčna naročila </w:t>
            </w:r>
          </w:p>
        </w:tc>
        <w:tc>
          <w:tcPr>
            <w:tcW w:w="1600" w:type="dxa"/>
            <w:tcBorders>
              <w:top w:val="nil"/>
              <w:left w:val="nil"/>
              <w:bottom w:val="single" w:sz="4" w:space="0" w:color="auto"/>
              <w:right w:val="single" w:sz="4" w:space="0" w:color="auto"/>
            </w:tcBorders>
            <w:shd w:val="clear" w:color="auto" w:fill="auto"/>
            <w:noWrap/>
            <w:vAlign w:val="center"/>
            <w:hideMark/>
          </w:tcPr>
          <w:p w14:paraId="36555DBF" w14:textId="645E615A" w:rsidR="0069564E" w:rsidRPr="008D69A6" w:rsidRDefault="00BA1A1B"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1.102.810</w:t>
            </w:r>
          </w:p>
        </w:tc>
        <w:tc>
          <w:tcPr>
            <w:tcW w:w="1660" w:type="dxa"/>
            <w:tcBorders>
              <w:top w:val="nil"/>
              <w:left w:val="nil"/>
              <w:bottom w:val="single" w:sz="4" w:space="0" w:color="auto"/>
              <w:right w:val="single" w:sz="4" w:space="0" w:color="auto"/>
            </w:tcBorders>
            <w:shd w:val="clear" w:color="auto" w:fill="auto"/>
            <w:noWrap/>
            <w:vAlign w:val="center"/>
            <w:hideMark/>
          </w:tcPr>
          <w:p w14:paraId="03FA3485" w14:textId="5EC67DDB" w:rsidR="0069564E" w:rsidRPr="008D69A6" w:rsidRDefault="00BA1A1B"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1.484.325.448</w:t>
            </w:r>
          </w:p>
        </w:tc>
      </w:tr>
      <w:tr w:rsidR="003D310E" w:rsidRPr="008D69A6" w14:paraId="5102E8B1"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6F27AC6B" w14:textId="77777777" w:rsidR="0069564E" w:rsidRPr="008D69A6" w:rsidRDefault="0069564E" w:rsidP="0069564E">
            <w:pPr>
              <w:spacing w:after="0" w:line="240" w:lineRule="auto"/>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Neprednostne storitve</w:t>
            </w:r>
          </w:p>
        </w:tc>
        <w:tc>
          <w:tcPr>
            <w:tcW w:w="1600" w:type="dxa"/>
            <w:tcBorders>
              <w:top w:val="nil"/>
              <w:left w:val="nil"/>
              <w:bottom w:val="single" w:sz="4" w:space="0" w:color="auto"/>
              <w:right w:val="single" w:sz="4" w:space="0" w:color="auto"/>
            </w:tcBorders>
            <w:shd w:val="clear" w:color="auto" w:fill="auto"/>
            <w:vAlign w:val="center"/>
            <w:hideMark/>
          </w:tcPr>
          <w:p w14:paraId="600E81A0" w14:textId="43FCCC5A" w:rsidR="0069564E" w:rsidRPr="008D69A6" w:rsidRDefault="00BA1A1B"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12</w:t>
            </w:r>
          </w:p>
        </w:tc>
        <w:tc>
          <w:tcPr>
            <w:tcW w:w="1660" w:type="dxa"/>
            <w:tcBorders>
              <w:top w:val="nil"/>
              <w:left w:val="nil"/>
              <w:bottom w:val="single" w:sz="4" w:space="0" w:color="auto"/>
              <w:right w:val="single" w:sz="4" w:space="0" w:color="auto"/>
            </w:tcBorders>
            <w:shd w:val="clear" w:color="auto" w:fill="auto"/>
            <w:vAlign w:val="center"/>
            <w:hideMark/>
          </w:tcPr>
          <w:p w14:paraId="278FC19A" w14:textId="6C5A8C18" w:rsidR="0069564E" w:rsidRPr="008D69A6" w:rsidRDefault="00BA1A1B"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116.740.408</w:t>
            </w:r>
          </w:p>
        </w:tc>
      </w:tr>
      <w:tr w:rsidR="00DB0BCA" w:rsidRPr="008D69A6" w14:paraId="4AEDF2A5" w14:textId="77777777" w:rsidTr="00DB0BCA">
        <w:trPr>
          <w:trHeight w:val="300"/>
          <w:jc w:val="center"/>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77A5AD88" w14:textId="77777777" w:rsidR="00DB0BCA" w:rsidRPr="008D69A6" w:rsidRDefault="00DB0BCA" w:rsidP="00DB0BCA">
            <w:pPr>
              <w:spacing w:after="0" w:line="240" w:lineRule="auto"/>
              <w:rPr>
                <w:rFonts w:ascii="Arial" w:eastAsia="Times New Roman" w:hAnsi="Arial" w:cs="Arial"/>
                <w:b/>
                <w:bCs/>
                <w:color w:val="000000" w:themeColor="text1"/>
                <w:sz w:val="18"/>
                <w:szCs w:val="18"/>
                <w:lang w:eastAsia="sl-SI"/>
              </w:rPr>
            </w:pPr>
            <w:r w:rsidRPr="008D69A6">
              <w:rPr>
                <w:rFonts w:ascii="Arial" w:eastAsia="Times New Roman" w:hAnsi="Arial" w:cs="Arial"/>
                <w:b/>
                <w:bCs/>
                <w:color w:val="000000" w:themeColor="text1"/>
                <w:sz w:val="18"/>
                <w:szCs w:val="18"/>
                <w:lang w:eastAsia="sl-SI"/>
              </w:rPr>
              <w:t>Skupaj</w:t>
            </w:r>
          </w:p>
        </w:tc>
        <w:tc>
          <w:tcPr>
            <w:tcW w:w="1600" w:type="dxa"/>
            <w:tcBorders>
              <w:top w:val="nil"/>
              <w:left w:val="nil"/>
              <w:bottom w:val="single" w:sz="4" w:space="0" w:color="auto"/>
              <w:right w:val="single" w:sz="4" w:space="0" w:color="auto"/>
            </w:tcBorders>
            <w:shd w:val="clear" w:color="auto" w:fill="auto"/>
            <w:noWrap/>
            <w:vAlign w:val="center"/>
            <w:hideMark/>
          </w:tcPr>
          <w:p w14:paraId="29FF3571" w14:textId="79894990" w:rsidR="00DB0BCA" w:rsidRPr="008D69A6" w:rsidRDefault="00DB0BCA" w:rsidP="00DB0BCA">
            <w:pPr>
              <w:spacing w:after="0" w:line="240" w:lineRule="auto"/>
              <w:jc w:val="right"/>
              <w:rPr>
                <w:rFonts w:ascii="Arial" w:eastAsia="Times New Roman" w:hAnsi="Arial" w:cs="Arial"/>
                <w:b/>
                <w:bCs/>
                <w:color w:val="000000" w:themeColor="text1"/>
                <w:sz w:val="18"/>
                <w:szCs w:val="18"/>
                <w:lang w:eastAsia="sl-SI"/>
              </w:rPr>
            </w:pPr>
            <w:r w:rsidRPr="008D69A6">
              <w:rPr>
                <w:rFonts w:ascii="Arial" w:eastAsia="Times New Roman" w:hAnsi="Arial" w:cs="Arial"/>
                <w:b/>
                <w:bCs/>
                <w:color w:val="000000" w:themeColor="text1"/>
                <w:sz w:val="18"/>
                <w:szCs w:val="18"/>
                <w:lang w:eastAsia="sl-SI"/>
              </w:rPr>
              <w:t>1.109.97</w:t>
            </w:r>
            <w:r w:rsidR="008D69A6" w:rsidRPr="008D69A6">
              <w:rPr>
                <w:rFonts w:ascii="Arial" w:eastAsia="Times New Roman" w:hAnsi="Arial" w:cs="Arial"/>
                <w:b/>
                <w:bCs/>
                <w:color w:val="000000" w:themeColor="text1"/>
                <w:sz w:val="18"/>
                <w:szCs w:val="18"/>
                <w:lang w:eastAsia="sl-SI"/>
              </w:rPr>
              <w:t>2</w:t>
            </w:r>
          </w:p>
        </w:tc>
        <w:tc>
          <w:tcPr>
            <w:tcW w:w="1660" w:type="dxa"/>
            <w:tcBorders>
              <w:top w:val="nil"/>
              <w:left w:val="nil"/>
              <w:bottom w:val="single" w:sz="4" w:space="0" w:color="auto"/>
              <w:right w:val="single" w:sz="4" w:space="0" w:color="auto"/>
            </w:tcBorders>
            <w:shd w:val="clear" w:color="auto" w:fill="auto"/>
            <w:noWrap/>
            <w:vAlign w:val="center"/>
            <w:hideMark/>
          </w:tcPr>
          <w:p w14:paraId="3EB1ED6B" w14:textId="2FD3BF2F" w:rsidR="00DB0BCA" w:rsidRPr="008D69A6" w:rsidRDefault="008D69A6" w:rsidP="00DB0BCA">
            <w:pPr>
              <w:spacing w:after="0" w:line="240" w:lineRule="auto"/>
              <w:jc w:val="right"/>
              <w:rPr>
                <w:rFonts w:ascii="Arial" w:eastAsia="Times New Roman" w:hAnsi="Arial" w:cs="Arial"/>
                <w:b/>
                <w:bCs/>
                <w:color w:val="000000" w:themeColor="text1"/>
                <w:sz w:val="18"/>
                <w:szCs w:val="18"/>
                <w:lang w:eastAsia="sl-SI"/>
              </w:rPr>
            </w:pPr>
            <w:r w:rsidRPr="008D69A6">
              <w:rPr>
                <w:rFonts w:ascii="Arial" w:eastAsia="Times New Roman" w:hAnsi="Arial" w:cs="Arial"/>
                <w:b/>
                <w:bCs/>
                <w:color w:val="000000" w:themeColor="text1"/>
                <w:sz w:val="18"/>
                <w:szCs w:val="18"/>
                <w:lang w:eastAsia="sl-SI"/>
              </w:rPr>
              <w:t>7.833.316.825</w:t>
            </w:r>
          </w:p>
        </w:tc>
      </w:tr>
      <w:tr w:rsidR="003D310E" w:rsidRPr="008D69A6" w14:paraId="4C9F3CA3" w14:textId="77777777" w:rsidTr="0069564E">
        <w:trPr>
          <w:trHeight w:val="300"/>
          <w:jc w:val="center"/>
        </w:trPr>
        <w:tc>
          <w:tcPr>
            <w:tcW w:w="4060" w:type="dxa"/>
            <w:tcBorders>
              <w:top w:val="nil"/>
              <w:left w:val="single" w:sz="4" w:space="0" w:color="auto"/>
              <w:bottom w:val="single" w:sz="4" w:space="0" w:color="auto"/>
              <w:right w:val="single" w:sz="4" w:space="0" w:color="auto"/>
            </w:tcBorders>
            <w:shd w:val="clear" w:color="000000" w:fill="F2F2F2"/>
            <w:vAlign w:val="center"/>
            <w:hideMark/>
          </w:tcPr>
          <w:p w14:paraId="25827670" w14:textId="77777777" w:rsidR="00540C77" w:rsidRPr="008D69A6" w:rsidRDefault="00540C77" w:rsidP="00540C77">
            <w:pPr>
              <w:spacing w:after="0" w:line="240" w:lineRule="auto"/>
              <w:rPr>
                <w:rFonts w:ascii="Arial" w:eastAsia="Times New Roman" w:hAnsi="Arial" w:cs="Arial"/>
                <w:b/>
                <w:bCs/>
                <w:color w:val="000000" w:themeColor="text1"/>
                <w:sz w:val="18"/>
                <w:szCs w:val="18"/>
                <w:lang w:eastAsia="sl-SI"/>
              </w:rPr>
            </w:pPr>
            <w:r w:rsidRPr="008D69A6">
              <w:rPr>
                <w:rFonts w:ascii="Arial" w:eastAsia="Times New Roman" w:hAnsi="Arial" w:cs="Arial"/>
                <w:b/>
                <w:bCs/>
                <w:color w:val="000000" w:themeColor="text1"/>
                <w:sz w:val="18"/>
                <w:szCs w:val="18"/>
                <w:lang w:eastAsia="sl-SI"/>
              </w:rPr>
              <w:t xml:space="preserve">Skupaj s tehtano povprečno stopnjo DDV </w:t>
            </w:r>
          </w:p>
        </w:tc>
        <w:tc>
          <w:tcPr>
            <w:tcW w:w="1600" w:type="dxa"/>
            <w:tcBorders>
              <w:top w:val="nil"/>
              <w:left w:val="nil"/>
              <w:bottom w:val="single" w:sz="4" w:space="0" w:color="auto"/>
              <w:right w:val="single" w:sz="4" w:space="0" w:color="auto"/>
            </w:tcBorders>
            <w:shd w:val="clear" w:color="000000" w:fill="F2F2F2"/>
            <w:vAlign w:val="center"/>
            <w:hideMark/>
          </w:tcPr>
          <w:p w14:paraId="19068001" w14:textId="77777777" w:rsidR="00540C77" w:rsidRPr="008D69A6" w:rsidRDefault="00540C77" w:rsidP="0069564E">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 </w:t>
            </w:r>
          </w:p>
        </w:tc>
        <w:tc>
          <w:tcPr>
            <w:tcW w:w="1660" w:type="dxa"/>
            <w:tcBorders>
              <w:top w:val="nil"/>
              <w:left w:val="nil"/>
              <w:bottom w:val="single" w:sz="4" w:space="0" w:color="auto"/>
              <w:right w:val="single" w:sz="4" w:space="0" w:color="auto"/>
            </w:tcBorders>
            <w:shd w:val="clear" w:color="000000" w:fill="F2F2F2"/>
            <w:noWrap/>
            <w:vAlign w:val="center"/>
            <w:hideMark/>
          </w:tcPr>
          <w:p w14:paraId="29696D9F" w14:textId="018B5C49" w:rsidR="00540C77" w:rsidRPr="008D69A6" w:rsidRDefault="008D69A6" w:rsidP="0069564E">
            <w:pPr>
              <w:spacing w:after="0" w:line="240" w:lineRule="auto"/>
              <w:jc w:val="right"/>
              <w:rPr>
                <w:rFonts w:ascii="Arial" w:eastAsia="Times New Roman" w:hAnsi="Arial" w:cs="Arial"/>
                <w:b/>
                <w:bCs/>
                <w:color w:val="000000" w:themeColor="text1"/>
                <w:sz w:val="18"/>
                <w:szCs w:val="18"/>
                <w:lang w:eastAsia="sl-SI"/>
              </w:rPr>
            </w:pPr>
            <w:bookmarkStart w:id="2" w:name="_Hlk176347840"/>
            <w:r w:rsidRPr="008D69A6">
              <w:rPr>
                <w:rFonts w:ascii="Arial" w:eastAsia="Times New Roman" w:hAnsi="Arial" w:cs="Arial"/>
                <w:b/>
                <w:bCs/>
                <w:color w:val="000000" w:themeColor="text1"/>
                <w:sz w:val="18"/>
                <w:szCs w:val="18"/>
                <w:lang w:eastAsia="sl-SI"/>
              </w:rPr>
              <w:t>9.172.030.670</w:t>
            </w:r>
            <w:bookmarkEnd w:id="2"/>
          </w:p>
        </w:tc>
      </w:tr>
    </w:tbl>
    <w:p w14:paraId="04B1153D" w14:textId="2BAB2659" w:rsidR="0069564E" w:rsidRDefault="003F64D1" w:rsidP="008001CC">
      <w:pPr>
        <w:shd w:val="clear" w:color="auto" w:fill="FFFFFF"/>
        <w:spacing w:before="240" w:line="360" w:lineRule="auto"/>
        <w:ind w:left="181"/>
        <w:jc w:val="center"/>
        <w:rPr>
          <w:rFonts w:ascii="Arial" w:hAnsi="Arial" w:cs="Arial"/>
          <w:color w:val="000000" w:themeColor="text1"/>
          <w:sz w:val="18"/>
        </w:rPr>
      </w:pPr>
      <w:r w:rsidRPr="008D69A6">
        <w:rPr>
          <w:rFonts w:ascii="Arial" w:hAnsi="Arial" w:cs="Arial"/>
          <w:color w:val="000000" w:themeColor="text1"/>
          <w:sz w:val="18"/>
        </w:rPr>
        <w:t xml:space="preserve">Vir: Statistični podatki o javnih naročilih, oddanih v </w:t>
      </w:r>
      <w:r w:rsidR="008001CC">
        <w:rPr>
          <w:rFonts w:ascii="Arial" w:hAnsi="Arial" w:cs="Arial"/>
          <w:color w:val="000000" w:themeColor="text1"/>
          <w:sz w:val="18"/>
        </w:rPr>
        <w:t>letu 2023</w:t>
      </w:r>
      <w:r w:rsidRPr="008D69A6">
        <w:rPr>
          <w:rFonts w:ascii="Arial" w:hAnsi="Arial" w:cs="Arial"/>
          <w:color w:val="000000" w:themeColor="text1"/>
          <w:sz w:val="18"/>
        </w:rPr>
        <w:t>.</w:t>
      </w:r>
    </w:p>
    <w:p w14:paraId="3EF2FEF8" w14:textId="77777777" w:rsidR="00E05186" w:rsidRPr="00E05186" w:rsidRDefault="00E05186" w:rsidP="00E05186">
      <w:pPr>
        <w:shd w:val="clear" w:color="auto" w:fill="FFFFFF"/>
        <w:spacing w:line="360" w:lineRule="auto"/>
        <w:ind w:left="181"/>
        <w:jc w:val="center"/>
        <w:rPr>
          <w:rFonts w:ascii="Arial" w:hAnsi="Arial" w:cs="Arial"/>
          <w:color w:val="000000" w:themeColor="text1"/>
          <w:sz w:val="18"/>
        </w:rPr>
      </w:pPr>
    </w:p>
    <w:p w14:paraId="576D7C33" w14:textId="3475D8B9" w:rsidR="00881870" w:rsidRPr="00D67ADF" w:rsidRDefault="00881870" w:rsidP="007A35D5">
      <w:pPr>
        <w:spacing w:line="360" w:lineRule="auto"/>
        <w:jc w:val="both"/>
        <w:rPr>
          <w:rFonts w:ascii="Arial" w:hAnsi="Arial" w:cs="Arial"/>
          <w:bCs/>
          <w:color w:val="000000" w:themeColor="text1"/>
          <w:sz w:val="20"/>
          <w:szCs w:val="20"/>
        </w:rPr>
      </w:pPr>
      <w:r w:rsidRPr="00D67ADF">
        <w:rPr>
          <w:rFonts w:ascii="Arial" w:hAnsi="Arial" w:cs="Arial"/>
          <w:color w:val="000000" w:themeColor="text1"/>
          <w:sz w:val="20"/>
          <w:szCs w:val="20"/>
        </w:rPr>
        <w:t>Delež vseh oddanih javnih naročil znaša</w:t>
      </w:r>
      <w:r w:rsidRPr="00D67ADF">
        <w:rPr>
          <w:rFonts w:ascii="Arial" w:hAnsi="Arial" w:cs="Arial"/>
          <w:b/>
          <w:bCs/>
          <w:color w:val="000000" w:themeColor="text1"/>
          <w:sz w:val="20"/>
          <w:szCs w:val="20"/>
        </w:rPr>
        <w:t xml:space="preserve"> </w:t>
      </w:r>
      <w:r w:rsidR="00A4327B" w:rsidRPr="00D67ADF">
        <w:rPr>
          <w:rFonts w:ascii="Arial" w:hAnsi="Arial" w:cs="Arial"/>
          <w:b/>
          <w:bCs/>
          <w:color w:val="000000" w:themeColor="text1"/>
          <w:sz w:val="20"/>
          <w:szCs w:val="20"/>
        </w:rPr>
        <w:t>14,</w:t>
      </w:r>
      <w:r w:rsidR="007A35D5" w:rsidRPr="00D67ADF">
        <w:rPr>
          <w:rFonts w:ascii="Arial" w:hAnsi="Arial" w:cs="Arial"/>
          <w:b/>
          <w:bCs/>
          <w:color w:val="000000" w:themeColor="text1"/>
          <w:sz w:val="20"/>
          <w:szCs w:val="20"/>
        </w:rPr>
        <w:t>54</w:t>
      </w:r>
      <w:r w:rsidRPr="00D67ADF">
        <w:rPr>
          <w:rFonts w:ascii="Arial" w:hAnsi="Arial" w:cs="Arial"/>
          <w:b/>
          <w:bCs/>
          <w:color w:val="000000" w:themeColor="text1"/>
          <w:sz w:val="20"/>
          <w:szCs w:val="20"/>
        </w:rPr>
        <w:t xml:space="preserve"> </w:t>
      </w:r>
      <w:r w:rsidR="00AC0027" w:rsidRPr="00D67ADF">
        <w:rPr>
          <w:rFonts w:ascii="Arial" w:hAnsi="Arial" w:cs="Arial"/>
          <w:b/>
          <w:bCs/>
          <w:color w:val="000000" w:themeColor="text1"/>
          <w:sz w:val="20"/>
          <w:szCs w:val="20"/>
        </w:rPr>
        <w:t>odstotka</w:t>
      </w:r>
      <w:r w:rsidRPr="00D67ADF">
        <w:rPr>
          <w:rFonts w:ascii="Arial" w:hAnsi="Arial" w:cs="Arial"/>
          <w:b/>
          <w:bCs/>
          <w:color w:val="000000" w:themeColor="text1"/>
          <w:sz w:val="20"/>
          <w:szCs w:val="20"/>
        </w:rPr>
        <w:t xml:space="preserve"> </w:t>
      </w:r>
      <w:r w:rsidRPr="00D67ADF">
        <w:rPr>
          <w:rFonts w:ascii="Arial" w:hAnsi="Arial" w:cs="Arial"/>
          <w:color w:val="000000" w:themeColor="text1"/>
          <w:sz w:val="20"/>
          <w:szCs w:val="20"/>
        </w:rPr>
        <w:t xml:space="preserve">bruto domačega </w:t>
      </w:r>
      <w:r w:rsidRPr="003C102E">
        <w:rPr>
          <w:rFonts w:ascii="Arial" w:hAnsi="Arial" w:cs="Arial"/>
          <w:color w:val="000000" w:themeColor="text1"/>
          <w:sz w:val="20"/>
          <w:szCs w:val="20"/>
        </w:rPr>
        <w:t xml:space="preserve">proizvoda, kar </w:t>
      </w:r>
      <w:r w:rsidR="001E21A1">
        <w:rPr>
          <w:rFonts w:ascii="Arial" w:hAnsi="Arial" w:cs="Arial"/>
          <w:color w:val="000000" w:themeColor="text1"/>
          <w:sz w:val="20"/>
          <w:szCs w:val="20"/>
        </w:rPr>
        <w:t>je</w:t>
      </w:r>
      <w:r w:rsidR="00512A66">
        <w:rPr>
          <w:rFonts w:ascii="Arial" w:hAnsi="Arial" w:cs="Arial"/>
          <w:color w:val="000000" w:themeColor="text1"/>
          <w:sz w:val="20"/>
          <w:szCs w:val="20"/>
        </w:rPr>
        <w:t xml:space="preserve"> </w:t>
      </w:r>
      <w:r w:rsidR="003C102E" w:rsidRPr="003C102E">
        <w:rPr>
          <w:rFonts w:ascii="Arial" w:hAnsi="Arial" w:cs="Arial"/>
          <w:b/>
          <w:bCs/>
          <w:color w:val="000000" w:themeColor="text1"/>
          <w:sz w:val="20"/>
          <w:szCs w:val="20"/>
        </w:rPr>
        <w:t>40</w:t>
      </w:r>
      <w:r w:rsidR="00512A66">
        <w:rPr>
          <w:rFonts w:ascii="Arial" w:hAnsi="Arial" w:cs="Arial"/>
          <w:b/>
          <w:bCs/>
          <w:color w:val="000000" w:themeColor="text1"/>
          <w:sz w:val="20"/>
          <w:szCs w:val="20"/>
        </w:rPr>
        <w:t xml:space="preserve"> </w:t>
      </w:r>
      <w:r w:rsidR="001E21A1">
        <w:rPr>
          <w:rFonts w:ascii="Arial" w:hAnsi="Arial" w:cs="Arial"/>
          <w:b/>
          <w:bCs/>
          <w:color w:val="000000" w:themeColor="text1"/>
          <w:sz w:val="20"/>
          <w:szCs w:val="20"/>
        </w:rPr>
        <w:t>odstotkov</w:t>
      </w:r>
      <w:r w:rsidRPr="003C102E">
        <w:rPr>
          <w:rFonts w:ascii="Arial" w:hAnsi="Arial" w:cs="Arial"/>
          <w:color w:val="000000" w:themeColor="text1"/>
          <w:sz w:val="20"/>
          <w:szCs w:val="20"/>
        </w:rPr>
        <w:t xml:space="preserve"> odhodkov proračuna Republike Slovenije, proračuna samoupravnih lokalnih skupnosti</w:t>
      </w:r>
      <w:r w:rsidRPr="003C102E">
        <w:rPr>
          <w:rFonts w:ascii="Arial" w:hAnsi="Arial" w:cs="Arial"/>
          <w:bCs/>
          <w:color w:val="000000" w:themeColor="text1"/>
          <w:sz w:val="20"/>
          <w:szCs w:val="20"/>
        </w:rPr>
        <w:t xml:space="preserve"> in odhodkov Zavoda za zdravstveno zavarovanje Slovenije. Delež oddanih javnih naročil v </w:t>
      </w:r>
      <w:r w:rsidRPr="003C102E">
        <w:rPr>
          <w:rFonts w:ascii="Arial" w:hAnsi="Arial" w:cs="Arial"/>
          <w:color w:val="000000" w:themeColor="text1"/>
          <w:sz w:val="20"/>
          <w:szCs w:val="20"/>
        </w:rPr>
        <w:t>bruto domačem</w:t>
      </w:r>
      <w:r w:rsidRPr="00D67ADF">
        <w:rPr>
          <w:rFonts w:ascii="Arial" w:hAnsi="Arial" w:cs="Arial"/>
          <w:color w:val="000000" w:themeColor="text1"/>
          <w:sz w:val="20"/>
          <w:szCs w:val="20"/>
        </w:rPr>
        <w:t xml:space="preserve"> proizvodu</w:t>
      </w:r>
      <w:r w:rsidRPr="00D67ADF">
        <w:rPr>
          <w:rFonts w:ascii="Arial" w:hAnsi="Arial" w:cs="Arial"/>
          <w:bCs/>
          <w:color w:val="000000" w:themeColor="text1"/>
          <w:sz w:val="20"/>
          <w:szCs w:val="20"/>
        </w:rPr>
        <w:t xml:space="preserve"> je</w:t>
      </w:r>
      <w:r w:rsidR="00891DB6" w:rsidRPr="00D67ADF">
        <w:rPr>
          <w:rFonts w:ascii="Arial" w:hAnsi="Arial" w:cs="Arial"/>
          <w:bCs/>
          <w:color w:val="000000" w:themeColor="text1"/>
          <w:sz w:val="20"/>
          <w:szCs w:val="20"/>
        </w:rPr>
        <w:t xml:space="preserve"> v zadnjih </w:t>
      </w:r>
      <w:r w:rsidR="007A35D5" w:rsidRPr="00D67ADF">
        <w:rPr>
          <w:rFonts w:ascii="Arial" w:hAnsi="Arial" w:cs="Arial"/>
          <w:bCs/>
          <w:color w:val="000000" w:themeColor="text1"/>
          <w:sz w:val="20"/>
          <w:szCs w:val="20"/>
        </w:rPr>
        <w:t>trinajstih</w:t>
      </w:r>
      <w:r w:rsidR="00891DB6" w:rsidRPr="00D67ADF">
        <w:rPr>
          <w:rFonts w:ascii="Arial" w:hAnsi="Arial" w:cs="Arial"/>
          <w:bCs/>
          <w:color w:val="000000" w:themeColor="text1"/>
          <w:sz w:val="20"/>
          <w:szCs w:val="20"/>
        </w:rPr>
        <w:t xml:space="preserve"> letih drugi največji, takoj za letom 2021</w:t>
      </w:r>
      <w:r w:rsidR="00DA5627" w:rsidRPr="00D67ADF">
        <w:rPr>
          <w:rFonts w:ascii="Arial" w:hAnsi="Arial" w:cs="Arial"/>
          <w:bCs/>
          <w:color w:val="000000" w:themeColor="text1"/>
          <w:sz w:val="20"/>
          <w:szCs w:val="20"/>
        </w:rPr>
        <w:t>.</w:t>
      </w:r>
    </w:p>
    <w:p w14:paraId="040023C9" w14:textId="3A16D7B5" w:rsidR="002B1D8E" w:rsidRPr="00D67ADF" w:rsidRDefault="002B1D8E" w:rsidP="002B1D8E">
      <w:pPr>
        <w:spacing w:before="120" w:after="120" w:line="240" w:lineRule="auto"/>
        <w:rPr>
          <w:rFonts w:ascii="Arial" w:hAnsi="Arial" w:cs="Arial"/>
          <w:color w:val="000000" w:themeColor="text1"/>
          <w:sz w:val="20"/>
        </w:rPr>
      </w:pPr>
      <w:r w:rsidRPr="00D67ADF">
        <w:rPr>
          <w:rFonts w:ascii="Arial" w:hAnsi="Arial" w:cs="Arial"/>
          <w:color w:val="000000" w:themeColor="text1"/>
          <w:sz w:val="20"/>
        </w:rPr>
        <w:t>Graf 1: Delež javnih naročil, oddanih v letih 2011–2023, v BDP</w:t>
      </w:r>
    </w:p>
    <w:p w14:paraId="1E428712" w14:textId="5032EA76" w:rsidR="00881870" w:rsidRPr="00D67ADF" w:rsidRDefault="007A35D5" w:rsidP="007A35D5">
      <w:pPr>
        <w:spacing w:after="0" w:line="240" w:lineRule="auto"/>
        <w:jc w:val="center"/>
        <w:rPr>
          <w:rFonts w:ascii="Arial" w:hAnsi="Arial" w:cs="Arial"/>
          <w:color w:val="000000" w:themeColor="text1"/>
          <w:sz w:val="20"/>
          <w:szCs w:val="20"/>
        </w:rPr>
      </w:pPr>
      <w:r w:rsidRPr="00D67ADF">
        <w:rPr>
          <w:noProof/>
          <w:lang w:eastAsia="sl-SI"/>
        </w:rPr>
        <w:drawing>
          <wp:inline distT="0" distB="0" distL="0" distR="0" wp14:anchorId="4C599040" wp14:editId="2059A3B6">
            <wp:extent cx="4610100" cy="2598420"/>
            <wp:effectExtent l="0" t="0" r="0" b="0"/>
            <wp:docPr id="7" name="Slika 7" descr="Graf prikazuje delčež javnih naročil v BDP v letih 2011 d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Graf prikazuje delčež javnih naročil v BDP v letih 2011 do 2023"/>
                    <pic:cNvPicPr/>
                  </pic:nvPicPr>
                  <pic:blipFill>
                    <a:blip r:embed="rId9"/>
                    <a:stretch>
                      <a:fillRect/>
                    </a:stretch>
                  </pic:blipFill>
                  <pic:spPr>
                    <a:xfrm>
                      <a:off x="0" y="0"/>
                      <a:ext cx="4633576" cy="2611652"/>
                    </a:xfrm>
                    <a:prstGeom prst="rect">
                      <a:avLst/>
                    </a:prstGeom>
                  </pic:spPr>
                </pic:pic>
              </a:graphicData>
            </a:graphic>
          </wp:inline>
        </w:drawing>
      </w:r>
    </w:p>
    <w:p w14:paraId="2E489045" w14:textId="77777777" w:rsidR="002B1D8E" w:rsidRPr="00D67ADF" w:rsidRDefault="002B1D8E" w:rsidP="002B1D8E">
      <w:pPr>
        <w:shd w:val="clear" w:color="auto" w:fill="FFFFFF"/>
        <w:spacing w:line="360" w:lineRule="auto"/>
        <w:ind w:left="181"/>
        <w:jc w:val="center"/>
        <w:rPr>
          <w:rFonts w:ascii="Arial" w:hAnsi="Arial" w:cs="Arial"/>
          <w:color w:val="000000" w:themeColor="text1"/>
          <w:sz w:val="18"/>
        </w:rPr>
      </w:pPr>
      <w:r w:rsidRPr="00D67ADF">
        <w:rPr>
          <w:rFonts w:ascii="Arial" w:hAnsi="Arial" w:cs="Arial"/>
          <w:color w:val="000000" w:themeColor="text1"/>
          <w:sz w:val="18"/>
        </w:rPr>
        <w:t>Vir: Statistični podatki o javnih naročilih, oddanih v letih 2011–2023.</w:t>
      </w:r>
    </w:p>
    <w:p w14:paraId="031151DD" w14:textId="77777777" w:rsidR="001467CB" w:rsidRPr="00637ACF" w:rsidRDefault="001467CB" w:rsidP="0062342E">
      <w:pPr>
        <w:spacing w:line="360" w:lineRule="auto"/>
        <w:jc w:val="both"/>
        <w:rPr>
          <w:rFonts w:ascii="Arial" w:hAnsi="Arial" w:cs="Arial"/>
          <w:color w:val="000000" w:themeColor="text1"/>
          <w:sz w:val="20"/>
          <w:szCs w:val="20"/>
          <w:highlight w:val="yellow"/>
        </w:rPr>
      </w:pPr>
    </w:p>
    <w:p w14:paraId="79448F82" w14:textId="55262C6C" w:rsidR="00881870" w:rsidRPr="00E05186" w:rsidRDefault="00881870" w:rsidP="0062342E">
      <w:pPr>
        <w:spacing w:line="360" w:lineRule="auto"/>
        <w:jc w:val="both"/>
        <w:rPr>
          <w:rFonts w:ascii="Arial" w:hAnsi="Arial" w:cs="Arial"/>
          <w:bCs/>
          <w:color w:val="000000" w:themeColor="text1"/>
          <w:sz w:val="20"/>
          <w:szCs w:val="20"/>
        </w:rPr>
      </w:pPr>
      <w:r w:rsidRPr="00E05186">
        <w:rPr>
          <w:rFonts w:ascii="Arial" w:hAnsi="Arial" w:cs="Arial"/>
          <w:color w:val="000000" w:themeColor="text1"/>
          <w:sz w:val="20"/>
          <w:szCs w:val="20"/>
        </w:rPr>
        <w:t>V</w:t>
      </w:r>
      <w:r w:rsidRPr="00E05186">
        <w:rPr>
          <w:rFonts w:ascii="Arial" w:hAnsi="Arial" w:cs="Arial"/>
          <w:b/>
          <w:bCs/>
          <w:color w:val="000000" w:themeColor="text1"/>
          <w:sz w:val="20"/>
          <w:szCs w:val="20"/>
        </w:rPr>
        <w:t xml:space="preserve"> </w:t>
      </w:r>
      <w:r w:rsidR="00C2099F" w:rsidRPr="00E05186">
        <w:rPr>
          <w:rFonts w:ascii="Arial" w:hAnsi="Arial" w:cs="Arial"/>
          <w:b/>
          <w:bCs/>
          <w:color w:val="000000" w:themeColor="text1"/>
          <w:sz w:val="20"/>
          <w:szCs w:val="20"/>
        </w:rPr>
        <w:t>7</w:t>
      </w:r>
      <w:r w:rsidRPr="00E05186">
        <w:rPr>
          <w:rFonts w:ascii="Arial" w:hAnsi="Arial" w:cs="Arial"/>
          <w:b/>
          <w:bCs/>
          <w:color w:val="000000" w:themeColor="text1"/>
          <w:sz w:val="20"/>
          <w:szCs w:val="20"/>
        </w:rPr>
        <w:t>.</w:t>
      </w:r>
      <w:r w:rsidR="00C2099F" w:rsidRPr="00E05186">
        <w:rPr>
          <w:rFonts w:ascii="Arial" w:hAnsi="Arial" w:cs="Arial"/>
          <w:b/>
          <w:bCs/>
          <w:color w:val="000000" w:themeColor="text1"/>
          <w:sz w:val="20"/>
          <w:szCs w:val="20"/>
        </w:rPr>
        <w:t>15</w:t>
      </w:r>
      <w:r w:rsidR="00E05186" w:rsidRPr="00E05186">
        <w:rPr>
          <w:rFonts w:ascii="Arial" w:hAnsi="Arial" w:cs="Arial"/>
          <w:b/>
          <w:bCs/>
          <w:color w:val="000000" w:themeColor="text1"/>
          <w:sz w:val="20"/>
          <w:szCs w:val="20"/>
        </w:rPr>
        <w:t>0</w:t>
      </w:r>
      <w:r w:rsidRPr="00E05186">
        <w:rPr>
          <w:rFonts w:ascii="Arial" w:hAnsi="Arial" w:cs="Arial"/>
          <w:color w:val="000000" w:themeColor="text1"/>
          <w:sz w:val="20"/>
          <w:szCs w:val="20"/>
        </w:rPr>
        <w:t xml:space="preserve"> </w:t>
      </w:r>
      <w:r w:rsidR="001E21A1">
        <w:rPr>
          <w:rFonts w:ascii="Arial" w:hAnsi="Arial" w:cs="Arial"/>
          <w:color w:val="000000" w:themeColor="text1"/>
          <w:sz w:val="20"/>
          <w:szCs w:val="20"/>
        </w:rPr>
        <w:t>končanih</w:t>
      </w:r>
      <w:r w:rsidRPr="00E05186">
        <w:rPr>
          <w:rFonts w:ascii="Arial" w:hAnsi="Arial" w:cs="Arial"/>
          <w:color w:val="000000" w:themeColor="text1"/>
          <w:sz w:val="20"/>
          <w:szCs w:val="20"/>
        </w:rPr>
        <w:t xml:space="preserve"> postopkih je bilo oddanih </w:t>
      </w:r>
      <w:r w:rsidRPr="00E05186">
        <w:rPr>
          <w:rFonts w:ascii="Arial" w:hAnsi="Arial" w:cs="Arial"/>
          <w:b/>
          <w:bCs/>
          <w:color w:val="000000" w:themeColor="text1"/>
          <w:sz w:val="20"/>
          <w:szCs w:val="20"/>
        </w:rPr>
        <w:t>1</w:t>
      </w:r>
      <w:r w:rsidR="00C2099F" w:rsidRPr="00E05186">
        <w:rPr>
          <w:rFonts w:ascii="Arial" w:hAnsi="Arial" w:cs="Arial"/>
          <w:b/>
          <w:bCs/>
          <w:color w:val="000000" w:themeColor="text1"/>
          <w:sz w:val="20"/>
          <w:szCs w:val="20"/>
        </w:rPr>
        <w:t>6</w:t>
      </w:r>
      <w:r w:rsidRPr="00E05186">
        <w:rPr>
          <w:rFonts w:ascii="Arial" w:hAnsi="Arial" w:cs="Arial"/>
          <w:b/>
          <w:bCs/>
          <w:color w:val="000000" w:themeColor="text1"/>
          <w:sz w:val="20"/>
          <w:szCs w:val="20"/>
        </w:rPr>
        <w:t>.</w:t>
      </w:r>
      <w:r w:rsidR="00C2099F" w:rsidRPr="00E05186">
        <w:rPr>
          <w:rFonts w:ascii="Arial" w:hAnsi="Arial" w:cs="Arial"/>
          <w:b/>
          <w:bCs/>
          <w:color w:val="000000" w:themeColor="text1"/>
          <w:sz w:val="20"/>
          <w:szCs w:val="20"/>
        </w:rPr>
        <w:t>82</w:t>
      </w:r>
      <w:r w:rsidR="00E05186" w:rsidRPr="00E05186">
        <w:rPr>
          <w:rFonts w:ascii="Arial" w:hAnsi="Arial" w:cs="Arial"/>
          <w:b/>
          <w:bCs/>
          <w:color w:val="000000" w:themeColor="text1"/>
          <w:sz w:val="20"/>
          <w:szCs w:val="20"/>
        </w:rPr>
        <w:t>4</w:t>
      </w:r>
      <w:r w:rsidRPr="00E05186">
        <w:rPr>
          <w:rFonts w:ascii="Arial" w:hAnsi="Arial" w:cs="Arial"/>
          <w:color w:val="000000" w:themeColor="text1"/>
          <w:sz w:val="20"/>
          <w:szCs w:val="20"/>
        </w:rPr>
        <w:t xml:space="preserve"> naročil (sklopov). Pri več kot polovici (</w:t>
      </w:r>
      <w:r w:rsidR="00735926" w:rsidRPr="00E05186">
        <w:rPr>
          <w:rFonts w:ascii="Arial" w:hAnsi="Arial" w:cs="Arial"/>
          <w:b/>
          <w:bCs/>
          <w:color w:val="000000" w:themeColor="text1"/>
          <w:sz w:val="20"/>
          <w:szCs w:val="20"/>
        </w:rPr>
        <w:t>53,2</w:t>
      </w:r>
      <w:r w:rsidRPr="00E05186">
        <w:rPr>
          <w:rFonts w:ascii="Arial" w:hAnsi="Arial" w:cs="Arial"/>
          <w:b/>
          <w:bCs/>
          <w:color w:val="000000" w:themeColor="text1"/>
          <w:sz w:val="20"/>
          <w:szCs w:val="20"/>
        </w:rPr>
        <w:t xml:space="preserve"> </w:t>
      </w:r>
      <w:r w:rsidR="001E21A1">
        <w:rPr>
          <w:rFonts w:ascii="Arial" w:hAnsi="Arial" w:cs="Arial"/>
          <w:b/>
          <w:bCs/>
          <w:color w:val="000000" w:themeColor="text1"/>
          <w:sz w:val="20"/>
          <w:szCs w:val="20"/>
        </w:rPr>
        <w:t>odstotka</w:t>
      </w:r>
      <w:r w:rsidRPr="00E05186">
        <w:rPr>
          <w:rFonts w:ascii="Arial" w:hAnsi="Arial" w:cs="Arial"/>
          <w:color w:val="000000" w:themeColor="text1"/>
          <w:sz w:val="20"/>
          <w:szCs w:val="20"/>
        </w:rPr>
        <w:t xml:space="preserve">) oddanih naročil je </w:t>
      </w:r>
      <w:r w:rsidRPr="00E05186">
        <w:rPr>
          <w:rFonts w:ascii="Arial" w:hAnsi="Arial" w:cs="Arial"/>
          <w:bCs/>
          <w:color w:val="000000" w:themeColor="text1"/>
          <w:sz w:val="20"/>
          <w:szCs w:val="20"/>
        </w:rPr>
        <w:t xml:space="preserve">bil uporabljen postopek naročila male vrednosti, ki se uporablja pod mejnimi vrednostmi za objavo v Uradnem listu Evropske unije in je </w:t>
      </w:r>
      <w:r w:rsidR="00BA3797">
        <w:rPr>
          <w:rFonts w:ascii="Arial" w:hAnsi="Arial" w:cs="Arial"/>
          <w:bCs/>
          <w:color w:val="000000" w:themeColor="text1"/>
          <w:sz w:val="20"/>
          <w:szCs w:val="20"/>
        </w:rPr>
        <w:t>domači</w:t>
      </w:r>
      <w:r w:rsidRPr="00E05186">
        <w:rPr>
          <w:rFonts w:ascii="Arial" w:hAnsi="Arial" w:cs="Arial"/>
          <w:bCs/>
          <w:color w:val="000000" w:themeColor="text1"/>
          <w:sz w:val="20"/>
          <w:szCs w:val="20"/>
        </w:rPr>
        <w:t xml:space="preserve"> </w:t>
      </w:r>
      <w:r w:rsidR="006E4877" w:rsidRPr="00E05186">
        <w:rPr>
          <w:rFonts w:ascii="Arial" w:hAnsi="Arial" w:cs="Arial"/>
          <w:bCs/>
          <w:color w:val="000000" w:themeColor="text1"/>
          <w:sz w:val="20"/>
          <w:szCs w:val="20"/>
        </w:rPr>
        <w:t>transparent</w:t>
      </w:r>
      <w:r w:rsidR="00BA3797">
        <w:rPr>
          <w:rFonts w:ascii="Arial" w:hAnsi="Arial" w:cs="Arial"/>
          <w:bCs/>
          <w:color w:val="000000" w:themeColor="text1"/>
          <w:sz w:val="20"/>
          <w:szCs w:val="20"/>
        </w:rPr>
        <w:t>ni</w:t>
      </w:r>
      <w:r w:rsidR="006E4877" w:rsidRPr="00E05186">
        <w:rPr>
          <w:rFonts w:ascii="Arial" w:hAnsi="Arial" w:cs="Arial"/>
          <w:bCs/>
          <w:color w:val="000000" w:themeColor="text1"/>
          <w:sz w:val="20"/>
          <w:szCs w:val="20"/>
        </w:rPr>
        <w:t xml:space="preserve"> </w:t>
      </w:r>
      <w:r w:rsidRPr="00E05186">
        <w:rPr>
          <w:rFonts w:ascii="Arial" w:hAnsi="Arial" w:cs="Arial"/>
          <w:bCs/>
          <w:color w:val="000000" w:themeColor="text1"/>
          <w:sz w:val="20"/>
          <w:szCs w:val="20"/>
        </w:rPr>
        <w:t>postopek, objavljen na portalu javnih naročil.</w:t>
      </w:r>
    </w:p>
    <w:p w14:paraId="02FCB2FC" w14:textId="48B537D1" w:rsidR="008A215B" w:rsidRPr="00E05186" w:rsidRDefault="00881870" w:rsidP="0062342E">
      <w:pPr>
        <w:spacing w:line="360" w:lineRule="auto"/>
        <w:jc w:val="both"/>
        <w:rPr>
          <w:rFonts w:ascii="Arial" w:hAnsi="Arial" w:cs="Arial"/>
          <w:color w:val="000000" w:themeColor="text1"/>
          <w:sz w:val="20"/>
          <w:szCs w:val="20"/>
        </w:rPr>
      </w:pPr>
      <w:r w:rsidRPr="00E05186">
        <w:rPr>
          <w:rFonts w:ascii="Arial" w:hAnsi="Arial" w:cs="Arial"/>
          <w:color w:val="000000" w:themeColor="text1"/>
          <w:sz w:val="20"/>
          <w:szCs w:val="20"/>
        </w:rPr>
        <w:lastRenderedPageBreak/>
        <w:t>Oddana naročila na splošnem področju pomenijo največji delež vseh naročil po številu (</w:t>
      </w:r>
      <w:r w:rsidR="008A215B" w:rsidRPr="00E05186">
        <w:rPr>
          <w:rFonts w:ascii="Arial" w:hAnsi="Arial" w:cs="Arial"/>
          <w:color w:val="000000" w:themeColor="text1"/>
          <w:sz w:val="20"/>
          <w:szCs w:val="20"/>
        </w:rPr>
        <w:t xml:space="preserve">84,25 </w:t>
      </w:r>
      <w:r w:rsidR="001E21A1">
        <w:rPr>
          <w:rFonts w:ascii="Arial" w:hAnsi="Arial" w:cs="Arial"/>
          <w:color w:val="000000" w:themeColor="text1"/>
          <w:sz w:val="20"/>
          <w:szCs w:val="20"/>
        </w:rPr>
        <w:t>odstotka</w:t>
      </w:r>
      <w:r w:rsidRPr="00E05186">
        <w:rPr>
          <w:rFonts w:ascii="Arial" w:hAnsi="Arial" w:cs="Arial"/>
          <w:color w:val="000000" w:themeColor="text1"/>
          <w:sz w:val="20"/>
          <w:szCs w:val="20"/>
        </w:rPr>
        <w:t xml:space="preserve">). Največji del oddanih naročil po številu </w:t>
      </w:r>
      <w:r w:rsidR="00BA3797">
        <w:rPr>
          <w:rFonts w:ascii="Arial" w:hAnsi="Arial" w:cs="Arial"/>
          <w:color w:val="000000" w:themeColor="text1"/>
          <w:sz w:val="20"/>
          <w:szCs w:val="20"/>
        </w:rPr>
        <w:t>so</w:t>
      </w:r>
      <w:r w:rsidRPr="00E05186">
        <w:rPr>
          <w:rFonts w:ascii="Arial" w:hAnsi="Arial" w:cs="Arial"/>
          <w:color w:val="000000" w:themeColor="text1"/>
          <w:sz w:val="20"/>
          <w:szCs w:val="20"/>
        </w:rPr>
        <w:t xml:space="preserve"> naročila blaga (6</w:t>
      </w:r>
      <w:r w:rsidR="00406F72" w:rsidRPr="00E05186">
        <w:rPr>
          <w:rFonts w:ascii="Arial" w:hAnsi="Arial" w:cs="Arial"/>
          <w:color w:val="000000" w:themeColor="text1"/>
          <w:sz w:val="20"/>
          <w:szCs w:val="20"/>
        </w:rPr>
        <w:t xml:space="preserve">3,05 </w:t>
      </w:r>
      <w:r w:rsidR="001E21A1">
        <w:rPr>
          <w:rFonts w:ascii="Arial" w:hAnsi="Arial" w:cs="Arial"/>
          <w:color w:val="000000" w:themeColor="text1"/>
          <w:sz w:val="20"/>
          <w:szCs w:val="20"/>
        </w:rPr>
        <w:t>odstotka</w:t>
      </w:r>
      <w:r w:rsidRPr="00E05186">
        <w:rPr>
          <w:rFonts w:ascii="Arial" w:hAnsi="Arial" w:cs="Arial"/>
          <w:color w:val="000000" w:themeColor="text1"/>
          <w:sz w:val="20"/>
          <w:szCs w:val="20"/>
        </w:rPr>
        <w:t>), p</w:t>
      </w:r>
      <w:r w:rsidR="00406F72" w:rsidRPr="00E05186">
        <w:rPr>
          <w:rFonts w:ascii="Arial" w:hAnsi="Arial" w:cs="Arial"/>
          <w:color w:val="000000" w:themeColor="text1"/>
          <w:sz w:val="20"/>
          <w:szCs w:val="20"/>
        </w:rPr>
        <w:t xml:space="preserve">rav tako po vrednosti (41,84 </w:t>
      </w:r>
      <w:r w:rsidR="001E21A1">
        <w:rPr>
          <w:rFonts w:ascii="Arial" w:hAnsi="Arial" w:cs="Arial"/>
          <w:color w:val="000000" w:themeColor="text1"/>
          <w:sz w:val="20"/>
          <w:szCs w:val="20"/>
        </w:rPr>
        <w:t>odstotka</w:t>
      </w:r>
      <w:r w:rsidR="00406F72" w:rsidRPr="00E05186">
        <w:rPr>
          <w:rFonts w:ascii="Arial" w:hAnsi="Arial" w:cs="Arial"/>
          <w:color w:val="000000" w:themeColor="text1"/>
          <w:sz w:val="20"/>
          <w:szCs w:val="20"/>
        </w:rPr>
        <w:t>).</w:t>
      </w:r>
    </w:p>
    <w:p w14:paraId="2E7F9692" w14:textId="635D4DBB" w:rsidR="00F9219C" w:rsidRPr="00E05186" w:rsidRDefault="00F9219C" w:rsidP="00625572">
      <w:pPr>
        <w:rPr>
          <w:rFonts w:ascii="Arial" w:hAnsi="Arial" w:cs="Arial"/>
          <w:color w:val="000000" w:themeColor="text1"/>
          <w:sz w:val="20"/>
        </w:rPr>
      </w:pPr>
      <w:r w:rsidRPr="00E05186">
        <w:rPr>
          <w:rFonts w:ascii="Arial" w:hAnsi="Arial" w:cs="Arial"/>
          <w:color w:val="000000" w:themeColor="text1"/>
          <w:sz w:val="20"/>
        </w:rPr>
        <w:t>Graf </w:t>
      </w:r>
      <w:r w:rsidR="002B1D8E" w:rsidRPr="00E05186">
        <w:rPr>
          <w:rFonts w:ascii="Arial" w:hAnsi="Arial" w:cs="Arial"/>
          <w:color w:val="000000" w:themeColor="text1"/>
          <w:sz w:val="20"/>
        </w:rPr>
        <w:t>2</w:t>
      </w:r>
      <w:r w:rsidRPr="00E05186">
        <w:rPr>
          <w:rFonts w:ascii="Arial" w:hAnsi="Arial" w:cs="Arial"/>
          <w:color w:val="000000" w:themeColor="text1"/>
          <w:sz w:val="20"/>
        </w:rPr>
        <w:t xml:space="preserve">: Oddana javna naročila na splošnem področju v </w:t>
      </w:r>
      <w:r w:rsidR="001E21A1">
        <w:rPr>
          <w:rFonts w:ascii="Arial" w:hAnsi="Arial" w:cs="Arial"/>
          <w:color w:val="000000" w:themeColor="text1"/>
          <w:sz w:val="20"/>
        </w:rPr>
        <w:t xml:space="preserve">letu </w:t>
      </w:r>
      <w:r w:rsidRPr="00E05186">
        <w:rPr>
          <w:rFonts w:ascii="Arial" w:hAnsi="Arial" w:cs="Arial"/>
          <w:color w:val="000000" w:themeColor="text1"/>
          <w:sz w:val="20"/>
        </w:rPr>
        <w:t>2023, deleži</w:t>
      </w:r>
    </w:p>
    <w:p w14:paraId="5A2E94D0" w14:textId="2409BF6C" w:rsidR="00864622" w:rsidRPr="00E05186" w:rsidRDefault="00864622" w:rsidP="00864622">
      <w:pPr>
        <w:spacing w:after="0" w:line="240" w:lineRule="auto"/>
        <w:jc w:val="center"/>
        <w:rPr>
          <w:rFonts w:ascii="Arial" w:hAnsi="Arial" w:cs="Arial"/>
          <w:color w:val="000000" w:themeColor="text1"/>
          <w:sz w:val="20"/>
          <w:szCs w:val="20"/>
        </w:rPr>
      </w:pPr>
      <w:r w:rsidRPr="00E05186">
        <w:rPr>
          <w:rFonts w:ascii="Arial" w:hAnsi="Arial" w:cs="Arial"/>
          <w:noProof/>
          <w:color w:val="000000" w:themeColor="text1"/>
          <w:sz w:val="20"/>
          <w:szCs w:val="20"/>
          <w:lang w:eastAsia="sl-SI"/>
        </w:rPr>
        <w:drawing>
          <wp:inline distT="0" distB="0" distL="0" distR="0" wp14:anchorId="2501670E" wp14:editId="5334535F">
            <wp:extent cx="3200400" cy="1492370"/>
            <wp:effectExtent l="0" t="0" r="0" b="12700"/>
            <wp:docPr id="2" name="Grafikon 2" descr="Grafikon prikazuje delež oddanih naročil v letu 2022 glede na področje (blago, storitve, gradnj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E54FF5" w14:textId="0D89B463" w:rsidR="002B1D8E" w:rsidRPr="00E05186" w:rsidRDefault="002B1D8E" w:rsidP="008001CC">
      <w:pPr>
        <w:shd w:val="clear" w:color="auto" w:fill="FFFFFF"/>
        <w:spacing w:before="240" w:line="360" w:lineRule="auto"/>
        <w:ind w:left="181"/>
        <w:jc w:val="center"/>
        <w:rPr>
          <w:rFonts w:ascii="Arial" w:hAnsi="Arial" w:cs="Arial"/>
          <w:color w:val="000000" w:themeColor="text1"/>
          <w:sz w:val="18"/>
        </w:rPr>
      </w:pPr>
      <w:r w:rsidRPr="00E05186">
        <w:rPr>
          <w:rFonts w:ascii="Arial" w:hAnsi="Arial" w:cs="Arial"/>
          <w:color w:val="000000" w:themeColor="text1"/>
          <w:sz w:val="18"/>
        </w:rPr>
        <w:t xml:space="preserve">Vir: Statistični podatki o javnih naročilih, oddanih v </w:t>
      </w:r>
      <w:r w:rsidR="008001CC">
        <w:rPr>
          <w:rFonts w:ascii="Arial" w:hAnsi="Arial" w:cs="Arial"/>
          <w:color w:val="000000" w:themeColor="text1"/>
          <w:sz w:val="18"/>
        </w:rPr>
        <w:t>letu 2023</w:t>
      </w:r>
      <w:r w:rsidRPr="00E05186">
        <w:rPr>
          <w:rFonts w:ascii="Arial" w:hAnsi="Arial" w:cs="Arial"/>
          <w:color w:val="000000" w:themeColor="text1"/>
          <w:sz w:val="18"/>
        </w:rPr>
        <w:t>.</w:t>
      </w:r>
    </w:p>
    <w:p w14:paraId="53E57F75" w14:textId="77777777" w:rsidR="001467CB" w:rsidRPr="008001CC" w:rsidRDefault="001467CB" w:rsidP="0062342E">
      <w:pPr>
        <w:shd w:val="clear" w:color="auto" w:fill="FFFFFF" w:themeFill="background1"/>
        <w:spacing w:line="360" w:lineRule="auto"/>
        <w:jc w:val="both"/>
        <w:rPr>
          <w:rFonts w:ascii="Arial" w:hAnsi="Arial" w:cs="Arial"/>
          <w:color w:val="000000" w:themeColor="text1"/>
          <w:sz w:val="20"/>
          <w:szCs w:val="20"/>
        </w:rPr>
      </w:pPr>
    </w:p>
    <w:p w14:paraId="2FBFDD58" w14:textId="5A9D67FD" w:rsidR="00881870" w:rsidRPr="008001CC" w:rsidRDefault="00881870" w:rsidP="0062342E">
      <w:pPr>
        <w:shd w:val="clear" w:color="auto" w:fill="FFFFFF" w:themeFill="background1"/>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Povprečno število prejetih ponudb v posameznem naročilu v letu 202</w:t>
      </w:r>
      <w:r w:rsidR="00590294" w:rsidRPr="008001CC">
        <w:rPr>
          <w:rFonts w:ascii="Arial" w:hAnsi="Arial" w:cs="Arial"/>
          <w:color w:val="000000" w:themeColor="text1"/>
          <w:sz w:val="20"/>
          <w:szCs w:val="20"/>
        </w:rPr>
        <w:t>3</w:t>
      </w:r>
      <w:r w:rsidRPr="008001CC">
        <w:rPr>
          <w:rFonts w:ascii="Arial" w:hAnsi="Arial" w:cs="Arial"/>
          <w:color w:val="000000" w:themeColor="text1"/>
          <w:sz w:val="20"/>
          <w:szCs w:val="20"/>
        </w:rPr>
        <w:t xml:space="preserve"> je bilo 2,</w:t>
      </w:r>
      <w:r w:rsidR="00590294" w:rsidRPr="008001CC">
        <w:rPr>
          <w:rFonts w:ascii="Arial" w:hAnsi="Arial" w:cs="Arial"/>
          <w:color w:val="000000" w:themeColor="text1"/>
          <w:sz w:val="20"/>
          <w:szCs w:val="20"/>
        </w:rPr>
        <w:t>4</w:t>
      </w:r>
      <w:r w:rsidRPr="008001CC">
        <w:rPr>
          <w:rFonts w:ascii="Arial" w:hAnsi="Arial" w:cs="Arial"/>
          <w:color w:val="000000" w:themeColor="text1"/>
          <w:sz w:val="20"/>
          <w:szCs w:val="20"/>
        </w:rPr>
        <w:t xml:space="preserve"> ponudbe</w:t>
      </w:r>
      <w:r w:rsidR="0095799F" w:rsidRPr="008001CC">
        <w:rPr>
          <w:rFonts w:ascii="Arial" w:hAnsi="Arial" w:cs="Arial"/>
          <w:color w:val="000000" w:themeColor="text1"/>
          <w:sz w:val="20"/>
          <w:szCs w:val="20"/>
        </w:rPr>
        <w:t xml:space="preserve"> na posamezno naročilo</w:t>
      </w:r>
      <w:r w:rsidRPr="008001CC">
        <w:rPr>
          <w:rFonts w:ascii="Arial" w:hAnsi="Arial" w:cs="Arial"/>
          <w:color w:val="000000" w:themeColor="text1"/>
          <w:sz w:val="20"/>
          <w:szCs w:val="20"/>
        </w:rPr>
        <w:t>, kar je primerljivo s pre</w:t>
      </w:r>
      <w:r w:rsidR="00DD26D5" w:rsidRPr="008001CC">
        <w:rPr>
          <w:rFonts w:ascii="Arial" w:hAnsi="Arial" w:cs="Arial"/>
          <w:color w:val="000000" w:themeColor="text1"/>
          <w:sz w:val="20"/>
          <w:szCs w:val="20"/>
        </w:rPr>
        <w:t>jšnjimi</w:t>
      </w:r>
      <w:r w:rsidRPr="008001CC">
        <w:rPr>
          <w:rFonts w:ascii="Arial" w:hAnsi="Arial" w:cs="Arial"/>
          <w:color w:val="000000" w:themeColor="text1"/>
          <w:sz w:val="20"/>
          <w:szCs w:val="20"/>
        </w:rPr>
        <w:t xml:space="preserve"> leti.</w:t>
      </w:r>
    </w:p>
    <w:p w14:paraId="5751A60B" w14:textId="0D763DE9" w:rsidR="00881870" w:rsidRPr="008001CC" w:rsidRDefault="00881870" w:rsidP="0062342E">
      <w:pPr>
        <w:shd w:val="clear" w:color="auto" w:fill="FFFFFF" w:themeFill="background1"/>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Zeleno javno naročanje p</w:t>
      </w:r>
      <w:r w:rsidR="00BA3797">
        <w:rPr>
          <w:rFonts w:ascii="Arial" w:hAnsi="Arial" w:cs="Arial"/>
          <w:color w:val="000000" w:themeColor="text1"/>
          <w:sz w:val="20"/>
          <w:szCs w:val="20"/>
        </w:rPr>
        <w:t>omeni</w:t>
      </w:r>
      <w:r w:rsidRPr="008001CC">
        <w:rPr>
          <w:rFonts w:ascii="Arial" w:hAnsi="Arial" w:cs="Arial"/>
          <w:color w:val="000000" w:themeColor="text1"/>
          <w:sz w:val="20"/>
          <w:szCs w:val="20"/>
        </w:rPr>
        <w:t xml:space="preserve"> </w:t>
      </w:r>
      <w:r w:rsidR="0058283C" w:rsidRPr="008001CC">
        <w:rPr>
          <w:rFonts w:ascii="Arial" w:hAnsi="Arial" w:cs="Arial"/>
          <w:color w:val="000000" w:themeColor="text1"/>
          <w:sz w:val="20"/>
          <w:szCs w:val="20"/>
        </w:rPr>
        <w:t>28,5</w:t>
      </w:r>
      <w:r w:rsidR="008001CC" w:rsidRPr="008001CC">
        <w:rPr>
          <w:rFonts w:ascii="Arial" w:hAnsi="Arial" w:cs="Arial"/>
          <w:color w:val="000000" w:themeColor="text1"/>
          <w:sz w:val="20"/>
          <w:szCs w:val="20"/>
        </w:rPr>
        <w:t>5</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xml:space="preserve"> oddanih</w:t>
      </w:r>
      <w:r w:rsidR="00451A82" w:rsidRPr="008001CC">
        <w:rPr>
          <w:rFonts w:ascii="Arial" w:hAnsi="Arial" w:cs="Arial"/>
          <w:color w:val="000000" w:themeColor="text1"/>
          <w:sz w:val="20"/>
          <w:szCs w:val="20"/>
        </w:rPr>
        <w:t xml:space="preserve"> </w:t>
      </w:r>
      <w:r w:rsidRPr="008001CC">
        <w:rPr>
          <w:rFonts w:ascii="Arial" w:hAnsi="Arial" w:cs="Arial"/>
          <w:color w:val="000000" w:themeColor="text1"/>
          <w:sz w:val="20"/>
          <w:szCs w:val="20"/>
        </w:rPr>
        <w:t xml:space="preserve">naročil, delež družbeno odgovornih (socialnih) naročil pa je </w:t>
      </w:r>
      <w:r w:rsidR="0058283C" w:rsidRPr="008001CC">
        <w:rPr>
          <w:rFonts w:ascii="Arial" w:hAnsi="Arial" w:cs="Arial"/>
          <w:color w:val="000000" w:themeColor="text1"/>
          <w:sz w:val="20"/>
          <w:szCs w:val="20"/>
        </w:rPr>
        <w:t>14,22</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Javnih naročil, (so)financiranih s sredstvi Evropske unije</w:t>
      </w:r>
      <w:r w:rsidR="00DD26D5" w:rsidRPr="008001CC">
        <w:rPr>
          <w:rFonts w:ascii="Arial" w:hAnsi="Arial" w:cs="Arial"/>
          <w:color w:val="000000" w:themeColor="text1"/>
          <w:sz w:val="20"/>
          <w:szCs w:val="20"/>
        </w:rPr>
        <w:t>,</w:t>
      </w:r>
      <w:r w:rsidRPr="008001CC">
        <w:rPr>
          <w:rFonts w:ascii="Arial" w:hAnsi="Arial" w:cs="Arial"/>
          <w:color w:val="000000" w:themeColor="text1"/>
          <w:sz w:val="20"/>
          <w:szCs w:val="20"/>
        </w:rPr>
        <w:t xml:space="preserve"> je bilo za </w:t>
      </w:r>
      <w:r w:rsidR="008001CC" w:rsidRPr="008001CC">
        <w:rPr>
          <w:rFonts w:ascii="Arial" w:hAnsi="Arial" w:cs="Arial"/>
          <w:color w:val="000000" w:themeColor="text1"/>
          <w:sz w:val="20"/>
          <w:szCs w:val="20"/>
        </w:rPr>
        <w:t xml:space="preserve">896.382.126 </w:t>
      </w:r>
      <w:r w:rsidRPr="008001CC">
        <w:rPr>
          <w:rFonts w:ascii="Arial" w:hAnsi="Arial" w:cs="Arial"/>
          <w:color w:val="000000" w:themeColor="text1"/>
          <w:sz w:val="20"/>
          <w:szCs w:val="20"/>
        </w:rPr>
        <w:t xml:space="preserve">evrov, kar </w:t>
      </w:r>
      <w:r w:rsidR="00AC0027" w:rsidRPr="008001CC">
        <w:rPr>
          <w:rFonts w:ascii="Arial" w:hAnsi="Arial" w:cs="Arial"/>
          <w:color w:val="000000" w:themeColor="text1"/>
          <w:sz w:val="20"/>
          <w:szCs w:val="20"/>
        </w:rPr>
        <w:t>je</w:t>
      </w:r>
      <w:r w:rsidRPr="008001CC">
        <w:rPr>
          <w:rFonts w:ascii="Arial" w:hAnsi="Arial" w:cs="Arial"/>
          <w:color w:val="000000" w:themeColor="text1"/>
          <w:sz w:val="20"/>
          <w:szCs w:val="20"/>
        </w:rPr>
        <w:t xml:space="preserve"> </w:t>
      </w:r>
      <w:r w:rsidR="00C0583D" w:rsidRPr="008001CC">
        <w:rPr>
          <w:rFonts w:ascii="Arial" w:hAnsi="Arial" w:cs="Arial"/>
          <w:color w:val="000000" w:themeColor="text1"/>
          <w:sz w:val="20"/>
          <w:szCs w:val="20"/>
        </w:rPr>
        <w:t xml:space="preserve">14,39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xml:space="preserve"> </w:t>
      </w:r>
      <w:r w:rsidR="008765C7" w:rsidRPr="008001CC">
        <w:rPr>
          <w:rFonts w:ascii="Arial" w:hAnsi="Arial" w:cs="Arial"/>
          <w:color w:val="000000" w:themeColor="text1"/>
          <w:sz w:val="20"/>
          <w:szCs w:val="20"/>
        </w:rPr>
        <w:t>vrednosti</w:t>
      </w:r>
      <w:r w:rsidR="00451A82" w:rsidRPr="008001CC">
        <w:rPr>
          <w:rFonts w:ascii="Arial" w:hAnsi="Arial" w:cs="Arial"/>
          <w:color w:val="000000" w:themeColor="text1"/>
          <w:sz w:val="20"/>
          <w:szCs w:val="20"/>
        </w:rPr>
        <w:t xml:space="preserve"> </w:t>
      </w:r>
      <w:r w:rsidRPr="008001CC">
        <w:rPr>
          <w:rFonts w:ascii="Arial" w:hAnsi="Arial" w:cs="Arial"/>
          <w:color w:val="000000" w:themeColor="text1"/>
          <w:sz w:val="20"/>
          <w:szCs w:val="20"/>
        </w:rPr>
        <w:t>oddanih naročil.</w:t>
      </w:r>
    </w:p>
    <w:p w14:paraId="489DC946" w14:textId="3BB41E7F" w:rsidR="00881870" w:rsidRPr="008001CC" w:rsidRDefault="00881870" w:rsidP="0062342E">
      <w:pPr>
        <w:shd w:val="clear" w:color="auto" w:fill="FFFFFF" w:themeFill="background1"/>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Skupno javno naročanje, v katero se vključi več naročnikov</w:t>
      </w:r>
      <w:r w:rsidR="00496556" w:rsidRPr="008001CC">
        <w:rPr>
          <w:rFonts w:ascii="Arial" w:hAnsi="Arial" w:cs="Arial"/>
          <w:color w:val="000000" w:themeColor="text1"/>
          <w:sz w:val="20"/>
          <w:szCs w:val="20"/>
        </w:rPr>
        <w:t>,</w:t>
      </w:r>
      <w:r w:rsidRPr="008001CC">
        <w:rPr>
          <w:rFonts w:ascii="Arial" w:hAnsi="Arial" w:cs="Arial"/>
          <w:color w:val="000000" w:themeColor="text1"/>
          <w:sz w:val="20"/>
          <w:szCs w:val="20"/>
        </w:rPr>
        <w:t xml:space="preserve"> v letu 202</w:t>
      </w:r>
      <w:r w:rsidR="00AE296C" w:rsidRPr="008001CC">
        <w:rPr>
          <w:rFonts w:ascii="Arial" w:hAnsi="Arial" w:cs="Arial"/>
          <w:color w:val="000000" w:themeColor="text1"/>
          <w:sz w:val="20"/>
          <w:szCs w:val="20"/>
        </w:rPr>
        <w:t>3</w:t>
      </w:r>
      <w:r w:rsidR="00BA3797">
        <w:rPr>
          <w:rFonts w:ascii="Arial" w:hAnsi="Arial" w:cs="Arial"/>
          <w:color w:val="000000" w:themeColor="text1"/>
          <w:sz w:val="20"/>
          <w:szCs w:val="20"/>
        </w:rPr>
        <w:t xml:space="preserve"> pomeni</w:t>
      </w:r>
      <w:r w:rsidRPr="008001CC">
        <w:rPr>
          <w:rFonts w:ascii="Arial" w:hAnsi="Arial" w:cs="Arial"/>
          <w:color w:val="000000" w:themeColor="text1"/>
          <w:sz w:val="20"/>
          <w:szCs w:val="20"/>
        </w:rPr>
        <w:t xml:space="preserve"> </w:t>
      </w:r>
      <w:r w:rsidR="00DD26D5" w:rsidRPr="008001CC">
        <w:rPr>
          <w:rFonts w:ascii="Arial" w:hAnsi="Arial" w:cs="Arial"/>
          <w:color w:val="000000" w:themeColor="text1"/>
          <w:sz w:val="20"/>
          <w:szCs w:val="20"/>
        </w:rPr>
        <w:t>po</w:t>
      </w:r>
      <w:r w:rsidRPr="008001CC">
        <w:rPr>
          <w:rFonts w:ascii="Arial" w:hAnsi="Arial" w:cs="Arial"/>
          <w:color w:val="000000" w:themeColor="text1"/>
          <w:sz w:val="20"/>
          <w:szCs w:val="20"/>
        </w:rPr>
        <w:t xml:space="preserve"> številu</w:t>
      </w:r>
      <w:r w:rsidR="00BA3797">
        <w:rPr>
          <w:rFonts w:ascii="Arial" w:hAnsi="Arial" w:cs="Arial"/>
          <w:color w:val="000000" w:themeColor="text1"/>
          <w:sz w:val="20"/>
          <w:szCs w:val="20"/>
        </w:rPr>
        <w:t xml:space="preserve"> </w:t>
      </w:r>
      <w:r w:rsidR="009A34BA" w:rsidRPr="008001CC">
        <w:rPr>
          <w:rFonts w:ascii="Arial" w:hAnsi="Arial" w:cs="Arial"/>
          <w:color w:val="000000" w:themeColor="text1"/>
          <w:sz w:val="20"/>
          <w:szCs w:val="20"/>
        </w:rPr>
        <w:t>4,</w:t>
      </w:r>
      <w:r w:rsidR="00AE296C" w:rsidRPr="008001CC">
        <w:rPr>
          <w:rFonts w:ascii="Arial" w:hAnsi="Arial" w:cs="Arial"/>
          <w:color w:val="000000" w:themeColor="text1"/>
          <w:sz w:val="20"/>
          <w:szCs w:val="20"/>
        </w:rPr>
        <w:t>5</w:t>
      </w:r>
      <w:r w:rsidR="008001CC" w:rsidRPr="008001CC">
        <w:rPr>
          <w:rFonts w:ascii="Arial" w:hAnsi="Arial" w:cs="Arial"/>
          <w:color w:val="000000" w:themeColor="text1"/>
          <w:sz w:val="20"/>
          <w:szCs w:val="20"/>
        </w:rPr>
        <w:t>2</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xml:space="preserve">, </w:t>
      </w:r>
      <w:r w:rsidR="00DD26D5" w:rsidRPr="008001CC">
        <w:rPr>
          <w:rFonts w:ascii="Arial" w:hAnsi="Arial" w:cs="Arial"/>
          <w:color w:val="000000" w:themeColor="text1"/>
          <w:sz w:val="20"/>
          <w:szCs w:val="20"/>
        </w:rPr>
        <w:t>po</w:t>
      </w:r>
      <w:r w:rsidRPr="008001CC">
        <w:rPr>
          <w:rFonts w:ascii="Arial" w:hAnsi="Arial" w:cs="Arial"/>
          <w:color w:val="000000" w:themeColor="text1"/>
          <w:sz w:val="20"/>
          <w:szCs w:val="20"/>
        </w:rPr>
        <w:t xml:space="preserve"> vrednosti pa </w:t>
      </w:r>
      <w:r w:rsidR="00AE296C" w:rsidRPr="008001CC">
        <w:rPr>
          <w:rFonts w:ascii="Arial" w:hAnsi="Arial" w:cs="Arial"/>
          <w:color w:val="000000" w:themeColor="text1"/>
          <w:sz w:val="20"/>
          <w:szCs w:val="20"/>
        </w:rPr>
        <w:t>14,69</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xml:space="preserve"> oddanih naročil. </w:t>
      </w:r>
    </w:p>
    <w:p w14:paraId="624D8E87" w14:textId="0114D0CD" w:rsidR="00881870" w:rsidRPr="008001CC" w:rsidRDefault="00881870" w:rsidP="0062342E">
      <w:pPr>
        <w:shd w:val="clear" w:color="auto" w:fill="FFFFFF" w:themeFill="background1"/>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Največjo vrednost naročil v letu 202</w:t>
      </w:r>
      <w:r w:rsidR="00AE296C" w:rsidRPr="008001CC">
        <w:rPr>
          <w:rFonts w:ascii="Arial" w:hAnsi="Arial" w:cs="Arial"/>
          <w:color w:val="000000" w:themeColor="text1"/>
          <w:sz w:val="20"/>
          <w:szCs w:val="20"/>
        </w:rPr>
        <w:t>3</w:t>
      </w:r>
      <w:r w:rsidRPr="008001CC">
        <w:rPr>
          <w:rFonts w:ascii="Arial" w:hAnsi="Arial" w:cs="Arial"/>
          <w:color w:val="000000" w:themeColor="text1"/>
          <w:sz w:val="20"/>
          <w:szCs w:val="20"/>
        </w:rPr>
        <w:t xml:space="preserve"> je </w:t>
      </w:r>
      <w:r w:rsidR="00AE296C" w:rsidRPr="008001CC">
        <w:rPr>
          <w:rFonts w:ascii="Arial" w:hAnsi="Arial" w:cs="Arial"/>
          <w:color w:val="000000" w:themeColor="text1"/>
          <w:sz w:val="20"/>
          <w:szCs w:val="20"/>
        </w:rPr>
        <w:t xml:space="preserve">oddalo </w:t>
      </w:r>
      <w:r w:rsidR="00BA3797">
        <w:rPr>
          <w:rFonts w:ascii="Arial" w:hAnsi="Arial" w:cs="Arial"/>
          <w:color w:val="000000" w:themeColor="text1"/>
          <w:sz w:val="20"/>
          <w:szCs w:val="20"/>
        </w:rPr>
        <w:t>m</w:t>
      </w:r>
      <w:r w:rsidR="00AE296C" w:rsidRPr="008001CC">
        <w:rPr>
          <w:rFonts w:ascii="Arial" w:hAnsi="Arial" w:cs="Arial"/>
          <w:color w:val="000000" w:themeColor="text1"/>
          <w:sz w:val="20"/>
          <w:szCs w:val="20"/>
        </w:rPr>
        <w:t>inistrstvo za okolje, podnebje in energijo</w:t>
      </w:r>
      <w:r w:rsidR="00913E0C" w:rsidRPr="008001CC">
        <w:rPr>
          <w:rFonts w:ascii="Arial" w:hAnsi="Arial" w:cs="Arial"/>
          <w:color w:val="000000" w:themeColor="text1"/>
          <w:sz w:val="20"/>
          <w:szCs w:val="20"/>
        </w:rPr>
        <w:t xml:space="preserve"> </w:t>
      </w:r>
      <w:r w:rsidRPr="008001CC">
        <w:rPr>
          <w:rFonts w:ascii="Arial" w:hAnsi="Arial" w:cs="Arial"/>
          <w:color w:val="000000" w:themeColor="text1"/>
          <w:sz w:val="20"/>
          <w:szCs w:val="20"/>
        </w:rPr>
        <w:t>(</w:t>
      </w:r>
      <w:r w:rsidR="00AE296C" w:rsidRPr="008001CC">
        <w:rPr>
          <w:rFonts w:ascii="Arial" w:hAnsi="Arial" w:cs="Arial"/>
          <w:color w:val="000000" w:themeColor="text1"/>
          <w:sz w:val="20"/>
          <w:szCs w:val="20"/>
        </w:rPr>
        <w:t>645</w:t>
      </w:r>
      <w:r w:rsidR="00913E0C" w:rsidRPr="008001CC">
        <w:rPr>
          <w:rFonts w:ascii="Arial" w:hAnsi="Arial" w:cs="Arial"/>
          <w:color w:val="000000" w:themeColor="text1"/>
          <w:sz w:val="20"/>
          <w:szCs w:val="20"/>
        </w:rPr>
        <w:t xml:space="preserve"> </w:t>
      </w:r>
      <w:r w:rsidR="009F7B6D" w:rsidRPr="008001CC">
        <w:rPr>
          <w:rFonts w:ascii="Arial" w:hAnsi="Arial" w:cs="Arial"/>
          <w:color w:val="000000" w:themeColor="text1"/>
          <w:sz w:val="20"/>
          <w:szCs w:val="20"/>
        </w:rPr>
        <w:t>milijonov</w:t>
      </w:r>
      <w:r w:rsidR="009F54A6" w:rsidRPr="008001CC">
        <w:rPr>
          <w:rFonts w:ascii="Arial" w:hAnsi="Arial" w:cs="Arial"/>
          <w:color w:val="000000" w:themeColor="text1"/>
          <w:sz w:val="20"/>
          <w:szCs w:val="20"/>
        </w:rPr>
        <w:t xml:space="preserve"> </w:t>
      </w:r>
      <w:r w:rsidRPr="008001CC">
        <w:rPr>
          <w:rFonts w:ascii="Arial" w:hAnsi="Arial" w:cs="Arial"/>
          <w:color w:val="000000" w:themeColor="text1"/>
          <w:sz w:val="20"/>
          <w:szCs w:val="20"/>
        </w:rPr>
        <w:t xml:space="preserve">evrov), ponudnik z največjo vrednostjo oddanih naročil pa je </w:t>
      </w:r>
      <w:proofErr w:type="spellStart"/>
      <w:r w:rsidR="00AE296C" w:rsidRPr="008001CC">
        <w:rPr>
          <w:rFonts w:ascii="Arial" w:hAnsi="Arial" w:cs="Arial"/>
          <w:color w:val="000000" w:themeColor="text1"/>
          <w:sz w:val="20"/>
          <w:szCs w:val="20"/>
        </w:rPr>
        <w:t>Nomago</w:t>
      </w:r>
      <w:proofErr w:type="spellEnd"/>
      <w:r w:rsidR="00AE296C" w:rsidRPr="008001CC">
        <w:rPr>
          <w:rFonts w:ascii="Arial" w:hAnsi="Arial" w:cs="Arial"/>
          <w:color w:val="000000" w:themeColor="text1"/>
          <w:sz w:val="20"/>
          <w:szCs w:val="20"/>
        </w:rPr>
        <w:t xml:space="preserve">, storitve mobilnosti in potovanj, d.o.o. </w:t>
      </w:r>
      <w:r w:rsidR="00913E0C" w:rsidRPr="008001CC">
        <w:rPr>
          <w:rFonts w:ascii="Arial" w:hAnsi="Arial" w:cs="Arial"/>
          <w:color w:val="000000" w:themeColor="text1"/>
          <w:sz w:val="20"/>
          <w:szCs w:val="20"/>
        </w:rPr>
        <w:t>(</w:t>
      </w:r>
      <w:r w:rsidR="00AE296C" w:rsidRPr="008001CC">
        <w:rPr>
          <w:rFonts w:ascii="Arial" w:hAnsi="Arial" w:cs="Arial"/>
          <w:color w:val="000000" w:themeColor="text1"/>
          <w:sz w:val="20"/>
          <w:szCs w:val="20"/>
        </w:rPr>
        <w:t>312</w:t>
      </w:r>
      <w:r w:rsidR="00913E0C" w:rsidRPr="008001CC">
        <w:rPr>
          <w:rFonts w:ascii="Arial" w:hAnsi="Arial" w:cs="Arial"/>
          <w:color w:val="000000" w:themeColor="text1"/>
          <w:sz w:val="20"/>
          <w:szCs w:val="20"/>
        </w:rPr>
        <w:t xml:space="preserve"> </w:t>
      </w:r>
      <w:r w:rsidR="009F7B6D" w:rsidRPr="008001CC">
        <w:rPr>
          <w:rFonts w:ascii="Arial" w:hAnsi="Arial" w:cs="Arial"/>
          <w:color w:val="000000" w:themeColor="text1"/>
          <w:sz w:val="20"/>
          <w:szCs w:val="20"/>
        </w:rPr>
        <w:t>milijonov</w:t>
      </w:r>
      <w:r w:rsidR="00913E0C" w:rsidRPr="008001CC">
        <w:rPr>
          <w:rFonts w:ascii="Arial" w:hAnsi="Arial" w:cs="Arial"/>
          <w:color w:val="000000" w:themeColor="text1"/>
          <w:sz w:val="20"/>
          <w:szCs w:val="20"/>
        </w:rPr>
        <w:t xml:space="preserve"> </w:t>
      </w:r>
      <w:r w:rsidRPr="008001CC">
        <w:rPr>
          <w:rFonts w:ascii="Arial" w:hAnsi="Arial" w:cs="Arial"/>
          <w:color w:val="000000" w:themeColor="text1"/>
          <w:sz w:val="20"/>
          <w:szCs w:val="20"/>
        </w:rPr>
        <w:t xml:space="preserve">evrov). </w:t>
      </w:r>
    </w:p>
    <w:bookmarkEnd w:id="1"/>
    <w:p w14:paraId="0432BC7B" w14:textId="77777777" w:rsidR="00F41D4A" w:rsidRPr="00637ACF" w:rsidRDefault="00F41D4A">
      <w:pPr>
        <w:rPr>
          <w:rFonts w:ascii="Arial" w:hAnsi="Arial" w:cs="Arial"/>
          <w:b/>
          <w:color w:val="FF0000"/>
          <w:highlight w:val="yellow"/>
        </w:rPr>
      </w:pPr>
    </w:p>
    <w:p w14:paraId="491E884C" w14:textId="61209F81" w:rsidR="00567CE2" w:rsidRPr="00637ACF" w:rsidRDefault="00567CE2" w:rsidP="00567CE2">
      <w:pPr>
        <w:jc w:val="center"/>
        <w:rPr>
          <w:rFonts w:ascii="Arial" w:hAnsi="Arial" w:cs="Arial"/>
          <w:b/>
          <w:color w:val="FF0000"/>
          <w:highlight w:val="yellow"/>
        </w:rPr>
      </w:pPr>
    </w:p>
    <w:p w14:paraId="5C734308" w14:textId="77777777" w:rsidR="00F41D4A" w:rsidRPr="00637ACF" w:rsidRDefault="00F41D4A" w:rsidP="00567CE2">
      <w:pPr>
        <w:jc w:val="center"/>
        <w:rPr>
          <w:rFonts w:ascii="Arial" w:hAnsi="Arial" w:cs="Arial"/>
          <w:b/>
          <w:color w:val="FF0000"/>
          <w:highlight w:val="yellow"/>
        </w:rPr>
      </w:pPr>
    </w:p>
    <w:p w14:paraId="76276C49" w14:textId="3B9407A8" w:rsidR="00567CE2" w:rsidRPr="00637ACF" w:rsidRDefault="00567CE2">
      <w:pPr>
        <w:rPr>
          <w:rFonts w:ascii="Arial" w:hAnsi="Arial" w:cs="Arial"/>
          <w:b/>
          <w:color w:val="FF0000"/>
          <w:highlight w:val="yellow"/>
        </w:rPr>
      </w:pPr>
    </w:p>
    <w:p w14:paraId="2C2906A9" w14:textId="77777777" w:rsidR="00567CE2" w:rsidRPr="00637ACF" w:rsidRDefault="00567CE2" w:rsidP="00543F2D">
      <w:pPr>
        <w:rPr>
          <w:rFonts w:ascii="Arial" w:hAnsi="Arial" w:cs="Arial"/>
          <w:color w:val="FF0000"/>
          <w:sz w:val="20"/>
          <w:szCs w:val="20"/>
          <w:highlight w:val="yellow"/>
        </w:rPr>
      </w:pPr>
    </w:p>
    <w:p w14:paraId="537C1D32" w14:textId="77777777" w:rsidR="00F41D4A" w:rsidRPr="00637ACF" w:rsidRDefault="00F41D4A">
      <w:pPr>
        <w:rPr>
          <w:rFonts w:ascii="Arial" w:hAnsi="Arial" w:cs="Arial"/>
          <w:color w:val="FF0000"/>
          <w:sz w:val="20"/>
          <w:szCs w:val="20"/>
          <w:highlight w:val="yellow"/>
        </w:rPr>
      </w:pPr>
      <w:r w:rsidRPr="00637ACF">
        <w:rPr>
          <w:rFonts w:ascii="Arial" w:hAnsi="Arial" w:cs="Arial"/>
          <w:color w:val="FF0000"/>
          <w:sz w:val="20"/>
          <w:szCs w:val="20"/>
          <w:highlight w:val="yellow"/>
        </w:rPr>
        <w:br w:type="page"/>
      </w:r>
    </w:p>
    <w:p w14:paraId="55F8B38B" w14:textId="6CDEFE48" w:rsidR="00854405" w:rsidRPr="00D67ADF" w:rsidRDefault="00854405" w:rsidP="00AE296C">
      <w:pPr>
        <w:pStyle w:val="Naslov1"/>
      </w:pPr>
      <w:bookmarkStart w:id="3" w:name="_Toc175563842"/>
      <w:bookmarkStart w:id="4" w:name="_Hlk141792973"/>
      <w:r w:rsidRPr="00D67ADF">
        <w:lastRenderedPageBreak/>
        <w:t>1. Splošne ugotovitve</w:t>
      </w:r>
      <w:r w:rsidR="00D41EF5" w:rsidRPr="00D67ADF">
        <w:t>,</w:t>
      </w:r>
      <w:r w:rsidRPr="00D67ADF">
        <w:t xml:space="preserve"> trendi </w:t>
      </w:r>
      <w:r w:rsidR="00D41EF5" w:rsidRPr="00D67ADF">
        <w:t>in</w:t>
      </w:r>
      <w:r w:rsidRPr="00D67ADF">
        <w:t xml:space="preserve"> predlogi ukrepov za izboljšanje praks </w:t>
      </w:r>
      <w:r w:rsidR="009158AE" w:rsidRPr="00D67ADF">
        <w:t>oziroma</w:t>
      </w:r>
      <w:r w:rsidRPr="00D67ADF">
        <w:t xml:space="preserve"> ureditve</w:t>
      </w:r>
      <w:bookmarkEnd w:id="3"/>
    </w:p>
    <w:p w14:paraId="410CBAE1" w14:textId="25FCD9FE" w:rsidR="00854405" w:rsidRPr="00D67ADF" w:rsidRDefault="00854405" w:rsidP="00854405">
      <w:pPr>
        <w:pStyle w:val="ZADEVA"/>
        <w:jc w:val="both"/>
        <w:rPr>
          <w:rFonts w:cs="Arial"/>
          <w:b w:val="0"/>
          <w:color w:val="000000" w:themeColor="text1"/>
          <w:szCs w:val="20"/>
          <w:lang w:val="sl-SI"/>
        </w:rPr>
      </w:pPr>
    </w:p>
    <w:p w14:paraId="1C4E87BF" w14:textId="68E2D07E" w:rsidR="007D0B13" w:rsidRPr="0089209C" w:rsidRDefault="005D3AFD" w:rsidP="007D0B13">
      <w:pPr>
        <w:spacing w:line="360" w:lineRule="auto"/>
        <w:jc w:val="both"/>
        <w:rPr>
          <w:rFonts w:ascii="Arial" w:hAnsi="Arial" w:cs="Arial"/>
          <w:color w:val="000000" w:themeColor="text1"/>
          <w:sz w:val="20"/>
          <w:szCs w:val="20"/>
        </w:rPr>
      </w:pPr>
      <w:r w:rsidRPr="00D67ADF">
        <w:rPr>
          <w:rFonts w:ascii="Arial" w:hAnsi="Arial" w:cs="Arial"/>
          <w:color w:val="000000" w:themeColor="text1"/>
          <w:sz w:val="20"/>
          <w:szCs w:val="20"/>
        </w:rPr>
        <w:t xml:space="preserve">Javna naročila v EU so zelo pomemben del gospodarstva, kar se kaže tudi v Sloveniji. </w:t>
      </w:r>
      <w:r w:rsidR="007D0B13" w:rsidRPr="00D67ADF">
        <w:rPr>
          <w:rFonts w:ascii="Arial" w:hAnsi="Arial" w:cs="Arial"/>
          <w:color w:val="000000" w:themeColor="text1"/>
          <w:sz w:val="20"/>
          <w:szCs w:val="20"/>
        </w:rPr>
        <w:t xml:space="preserve">Javna naročila v Republiki Sloveniji </w:t>
      </w:r>
      <w:r w:rsidR="00AC0027" w:rsidRPr="00D67ADF">
        <w:rPr>
          <w:rFonts w:ascii="Arial" w:hAnsi="Arial" w:cs="Arial"/>
          <w:color w:val="000000" w:themeColor="text1"/>
          <w:sz w:val="20"/>
          <w:szCs w:val="20"/>
        </w:rPr>
        <w:t>so</w:t>
      </w:r>
      <w:r w:rsidR="007D0B13" w:rsidRPr="00D67ADF">
        <w:rPr>
          <w:rFonts w:ascii="Arial" w:hAnsi="Arial" w:cs="Arial"/>
          <w:color w:val="000000" w:themeColor="text1"/>
          <w:sz w:val="20"/>
          <w:szCs w:val="20"/>
        </w:rPr>
        <w:t xml:space="preserve"> pomemben del gospodarske dejavnosti, saj je bilo leta 202</w:t>
      </w:r>
      <w:r w:rsidR="00AE296C" w:rsidRPr="00D67ADF">
        <w:rPr>
          <w:rFonts w:ascii="Arial" w:hAnsi="Arial" w:cs="Arial"/>
          <w:color w:val="000000" w:themeColor="text1"/>
          <w:sz w:val="20"/>
          <w:szCs w:val="20"/>
        </w:rPr>
        <w:t>3</w:t>
      </w:r>
      <w:r w:rsidR="007D0B13" w:rsidRPr="00D67ADF">
        <w:rPr>
          <w:rFonts w:ascii="Arial" w:hAnsi="Arial" w:cs="Arial"/>
          <w:color w:val="000000" w:themeColor="text1"/>
          <w:sz w:val="20"/>
          <w:szCs w:val="20"/>
        </w:rPr>
        <w:t xml:space="preserve"> oddanih več kot milijon naročil v skupni vrednosti </w:t>
      </w:r>
      <w:r w:rsidR="00AC0027" w:rsidRPr="00D67ADF">
        <w:rPr>
          <w:rFonts w:ascii="Arial" w:hAnsi="Arial" w:cs="Arial"/>
          <w:color w:val="000000" w:themeColor="text1"/>
          <w:sz w:val="20"/>
          <w:szCs w:val="20"/>
        </w:rPr>
        <w:t xml:space="preserve">več </w:t>
      </w:r>
      <w:r w:rsidR="006E4877" w:rsidRPr="00D67ADF">
        <w:rPr>
          <w:rFonts w:ascii="Arial" w:hAnsi="Arial" w:cs="Arial"/>
          <w:color w:val="000000" w:themeColor="text1"/>
          <w:sz w:val="20"/>
          <w:szCs w:val="20"/>
        </w:rPr>
        <w:t xml:space="preserve">kot </w:t>
      </w:r>
      <w:r w:rsidR="00AE296C" w:rsidRPr="00D67ADF">
        <w:rPr>
          <w:rFonts w:ascii="Arial" w:hAnsi="Arial" w:cs="Arial"/>
          <w:color w:val="000000" w:themeColor="text1"/>
          <w:sz w:val="20"/>
          <w:szCs w:val="20"/>
        </w:rPr>
        <w:t>devet</w:t>
      </w:r>
      <w:r w:rsidR="007D0B13" w:rsidRPr="00D67ADF">
        <w:rPr>
          <w:rFonts w:ascii="Arial" w:hAnsi="Arial" w:cs="Arial"/>
          <w:color w:val="000000" w:themeColor="text1"/>
          <w:sz w:val="20"/>
          <w:szCs w:val="20"/>
        </w:rPr>
        <w:t xml:space="preserve"> milijard evrov. Delež javnega naročanja v bruto domačem proizvodu je znašal </w:t>
      </w:r>
      <w:r w:rsidR="00A4327B" w:rsidRPr="00D67ADF">
        <w:rPr>
          <w:rFonts w:ascii="Arial" w:hAnsi="Arial" w:cs="Arial"/>
          <w:color w:val="000000" w:themeColor="text1"/>
          <w:sz w:val="20"/>
          <w:szCs w:val="20"/>
        </w:rPr>
        <w:t>14,</w:t>
      </w:r>
      <w:r w:rsidR="0088574A" w:rsidRPr="00D67ADF">
        <w:rPr>
          <w:rFonts w:ascii="Arial" w:hAnsi="Arial" w:cs="Arial"/>
          <w:color w:val="000000" w:themeColor="text1"/>
          <w:sz w:val="20"/>
          <w:szCs w:val="20"/>
        </w:rPr>
        <w:t>54</w:t>
      </w:r>
      <w:r w:rsidR="007D0B13" w:rsidRPr="00D67ADF">
        <w:rPr>
          <w:rFonts w:ascii="Arial" w:hAnsi="Arial" w:cs="Arial"/>
          <w:color w:val="000000" w:themeColor="text1"/>
          <w:sz w:val="20"/>
          <w:szCs w:val="20"/>
        </w:rPr>
        <w:t xml:space="preserve"> </w:t>
      </w:r>
      <w:r w:rsidR="00AC0027" w:rsidRPr="00D67ADF">
        <w:rPr>
          <w:rFonts w:ascii="Arial" w:hAnsi="Arial" w:cs="Arial"/>
          <w:color w:val="000000" w:themeColor="text1"/>
          <w:sz w:val="20"/>
          <w:szCs w:val="20"/>
        </w:rPr>
        <w:t>odstotka</w:t>
      </w:r>
      <w:r w:rsidR="007D0B13" w:rsidRPr="00D67ADF">
        <w:rPr>
          <w:rFonts w:ascii="Arial" w:hAnsi="Arial" w:cs="Arial"/>
          <w:color w:val="000000" w:themeColor="text1"/>
          <w:sz w:val="20"/>
          <w:szCs w:val="20"/>
        </w:rPr>
        <w:t xml:space="preserve">, kar </w:t>
      </w:r>
      <w:r w:rsidR="000A6106" w:rsidRPr="00D67ADF">
        <w:rPr>
          <w:rFonts w:ascii="Arial" w:hAnsi="Arial" w:cs="Arial"/>
          <w:color w:val="000000" w:themeColor="text1"/>
          <w:sz w:val="20"/>
          <w:szCs w:val="20"/>
        </w:rPr>
        <w:t>v letu 202</w:t>
      </w:r>
      <w:r w:rsidR="001467CB" w:rsidRPr="00D67ADF">
        <w:rPr>
          <w:rFonts w:ascii="Arial" w:hAnsi="Arial" w:cs="Arial"/>
          <w:color w:val="000000" w:themeColor="text1"/>
          <w:sz w:val="20"/>
          <w:szCs w:val="20"/>
        </w:rPr>
        <w:t>3</w:t>
      </w:r>
      <w:r w:rsidR="000A6106" w:rsidRPr="00D67ADF">
        <w:rPr>
          <w:rFonts w:ascii="Arial" w:hAnsi="Arial" w:cs="Arial"/>
          <w:color w:val="000000" w:themeColor="text1"/>
          <w:sz w:val="20"/>
          <w:szCs w:val="20"/>
        </w:rPr>
        <w:t xml:space="preserve"> </w:t>
      </w:r>
      <w:r w:rsidR="007D0B13" w:rsidRPr="00D67ADF">
        <w:rPr>
          <w:rFonts w:ascii="Arial" w:hAnsi="Arial" w:cs="Arial"/>
          <w:color w:val="000000" w:themeColor="text1"/>
          <w:sz w:val="20"/>
          <w:szCs w:val="20"/>
        </w:rPr>
        <w:t>p</w:t>
      </w:r>
      <w:r w:rsidR="00AC0027" w:rsidRPr="00D67ADF">
        <w:rPr>
          <w:rFonts w:ascii="Arial" w:hAnsi="Arial" w:cs="Arial"/>
          <w:color w:val="000000" w:themeColor="text1"/>
          <w:sz w:val="20"/>
          <w:szCs w:val="20"/>
        </w:rPr>
        <w:t>omeni</w:t>
      </w:r>
      <w:r w:rsidR="001467CB" w:rsidRPr="00D67ADF">
        <w:rPr>
          <w:rFonts w:ascii="Arial" w:hAnsi="Arial" w:cs="Arial"/>
          <w:color w:val="000000" w:themeColor="text1"/>
          <w:sz w:val="20"/>
          <w:szCs w:val="20"/>
        </w:rPr>
        <w:t xml:space="preserve"> povečanje</w:t>
      </w:r>
      <w:r w:rsidR="0003446F" w:rsidRPr="00D67ADF">
        <w:rPr>
          <w:rFonts w:ascii="Arial" w:hAnsi="Arial" w:cs="Arial"/>
          <w:color w:val="000000" w:themeColor="text1"/>
          <w:sz w:val="20"/>
          <w:szCs w:val="20"/>
        </w:rPr>
        <w:t xml:space="preserve"> </w:t>
      </w:r>
      <w:r w:rsidR="007D0B13" w:rsidRPr="00D67ADF">
        <w:rPr>
          <w:rFonts w:ascii="Arial" w:hAnsi="Arial" w:cs="Arial"/>
          <w:color w:val="000000" w:themeColor="text1"/>
          <w:sz w:val="20"/>
          <w:szCs w:val="20"/>
        </w:rPr>
        <w:t>v primerjavi z letom 202</w:t>
      </w:r>
      <w:r w:rsidR="001467CB" w:rsidRPr="00D67ADF">
        <w:rPr>
          <w:rFonts w:ascii="Arial" w:hAnsi="Arial" w:cs="Arial"/>
          <w:color w:val="000000" w:themeColor="text1"/>
          <w:sz w:val="20"/>
          <w:szCs w:val="20"/>
        </w:rPr>
        <w:t>2</w:t>
      </w:r>
      <w:r w:rsidR="007D0B13" w:rsidRPr="0089209C">
        <w:rPr>
          <w:rFonts w:ascii="Arial" w:hAnsi="Arial" w:cs="Arial"/>
          <w:color w:val="000000" w:themeColor="text1"/>
          <w:sz w:val="20"/>
          <w:szCs w:val="20"/>
        </w:rPr>
        <w:t>. Javno naročanje p</w:t>
      </w:r>
      <w:r w:rsidR="00BA3797">
        <w:rPr>
          <w:rFonts w:ascii="Arial" w:hAnsi="Arial" w:cs="Arial"/>
          <w:color w:val="000000" w:themeColor="text1"/>
          <w:sz w:val="20"/>
          <w:szCs w:val="20"/>
        </w:rPr>
        <w:t>omeni</w:t>
      </w:r>
      <w:r w:rsidR="007D0B13" w:rsidRPr="0089209C">
        <w:rPr>
          <w:rFonts w:ascii="Arial" w:hAnsi="Arial" w:cs="Arial"/>
          <w:color w:val="000000" w:themeColor="text1"/>
          <w:sz w:val="20"/>
          <w:szCs w:val="20"/>
        </w:rPr>
        <w:t xml:space="preserve"> pomemben delež odhodkov proračuna Republike Slovenije, saj je znašal 5</w:t>
      </w:r>
      <w:r w:rsidR="00A531AE" w:rsidRPr="0089209C">
        <w:rPr>
          <w:rFonts w:ascii="Arial" w:hAnsi="Arial" w:cs="Arial"/>
          <w:color w:val="000000" w:themeColor="text1"/>
          <w:sz w:val="20"/>
          <w:szCs w:val="20"/>
        </w:rPr>
        <w:t>9</w:t>
      </w:r>
      <w:r w:rsidR="007D0B13" w:rsidRPr="0089209C">
        <w:rPr>
          <w:rFonts w:ascii="Arial" w:hAnsi="Arial" w:cs="Arial"/>
          <w:color w:val="000000" w:themeColor="text1"/>
          <w:sz w:val="20"/>
          <w:szCs w:val="20"/>
        </w:rPr>
        <w:t>,7</w:t>
      </w:r>
      <w:r w:rsidR="0089209C" w:rsidRPr="0089209C">
        <w:rPr>
          <w:rFonts w:ascii="Arial" w:hAnsi="Arial" w:cs="Arial"/>
          <w:color w:val="000000" w:themeColor="text1"/>
          <w:sz w:val="20"/>
          <w:szCs w:val="20"/>
        </w:rPr>
        <w:t>4</w:t>
      </w:r>
      <w:r w:rsidR="007D0B13" w:rsidRPr="0089209C">
        <w:rPr>
          <w:rFonts w:ascii="Arial" w:hAnsi="Arial" w:cs="Arial"/>
          <w:color w:val="000000" w:themeColor="text1"/>
          <w:sz w:val="20"/>
          <w:szCs w:val="20"/>
        </w:rPr>
        <w:t xml:space="preserve"> </w:t>
      </w:r>
      <w:r w:rsidR="00AC0027" w:rsidRPr="0089209C">
        <w:rPr>
          <w:rFonts w:ascii="Arial" w:hAnsi="Arial" w:cs="Arial"/>
          <w:color w:val="000000" w:themeColor="text1"/>
          <w:sz w:val="20"/>
          <w:szCs w:val="20"/>
        </w:rPr>
        <w:t>odstotka</w:t>
      </w:r>
      <w:r w:rsidR="007D0B13" w:rsidRPr="0089209C">
        <w:rPr>
          <w:rFonts w:ascii="Arial" w:hAnsi="Arial" w:cs="Arial"/>
          <w:color w:val="000000" w:themeColor="text1"/>
          <w:sz w:val="20"/>
          <w:szCs w:val="20"/>
        </w:rPr>
        <w:t xml:space="preserve"> odhodkov državnega proračuna. </w:t>
      </w:r>
    </w:p>
    <w:p w14:paraId="0BBA5EB1" w14:textId="6498B45C" w:rsidR="007D0B13" w:rsidRPr="008001CC" w:rsidRDefault="007D0B13" w:rsidP="007D0B13">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Najpogosteje izvedeni postopek za oddajo naročil je postopek oddaje naročila male vrednosti (</w:t>
      </w:r>
      <w:r w:rsidR="00AE296C" w:rsidRPr="008001CC">
        <w:rPr>
          <w:rFonts w:ascii="Arial" w:hAnsi="Arial" w:cs="Arial"/>
          <w:color w:val="000000" w:themeColor="text1"/>
          <w:sz w:val="20"/>
          <w:szCs w:val="20"/>
        </w:rPr>
        <w:t>53,2</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kar kaže na pogosto uporabo manj zahtevnih in enostavn</w:t>
      </w:r>
      <w:r w:rsidR="00AC0027" w:rsidRPr="008001CC">
        <w:rPr>
          <w:rFonts w:ascii="Arial" w:hAnsi="Arial" w:cs="Arial"/>
          <w:color w:val="000000" w:themeColor="text1"/>
          <w:sz w:val="20"/>
          <w:szCs w:val="20"/>
        </w:rPr>
        <w:t>ejših</w:t>
      </w:r>
      <w:r w:rsidRPr="008001CC">
        <w:rPr>
          <w:rFonts w:ascii="Arial" w:hAnsi="Arial" w:cs="Arial"/>
          <w:color w:val="000000" w:themeColor="text1"/>
          <w:sz w:val="20"/>
          <w:szCs w:val="20"/>
        </w:rPr>
        <w:t xml:space="preserve"> postopkov. Zmanjšal se je delež odprtih postopkov, kar bi lahko vplivalo na manjši delež oddanih naročil tujim ponudnikom. Glede lokalnega naročanja so naročniki slovenskim ponudnikom oddali več kot 9</w:t>
      </w:r>
      <w:r w:rsidR="00AE296C" w:rsidRPr="008001CC">
        <w:rPr>
          <w:rFonts w:ascii="Arial" w:hAnsi="Arial" w:cs="Arial"/>
          <w:color w:val="000000" w:themeColor="text1"/>
          <w:sz w:val="20"/>
          <w:szCs w:val="20"/>
        </w:rPr>
        <w:t>2</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odstotkov</w:t>
      </w:r>
      <w:r w:rsidRPr="008001CC">
        <w:rPr>
          <w:rFonts w:ascii="Arial" w:hAnsi="Arial" w:cs="Arial"/>
          <w:color w:val="000000" w:themeColor="text1"/>
          <w:sz w:val="20"/>
          <w:szCs w:val="20"/>
        </w:rPr>
        <w:t xml:space="preserve"> javnih naročil po vrednosti. Več kot polovic</w:t>
      </w:r>
      <w:r w:rsidR="00DD26D5" w:rsidRPr="008001CC">
        <w:rPr>
          <w:rFonts w:ascii="Arial" w:hAnsi="Arial" w:cs="Arial"/>
          <w:color w:val="000000" w:themeColor="text1"/>
          <w:sz w:val="20"/>
          <w:szCs w:val="20"/>
        </w:rPr>
        <w:t>a</w:t>
      </w:r>
      <w:r w:rsidRPr="008001CC">
        <w:rPr>
          <w:rFonts w:ascii="Arial" w:hAnsi="Arial" w:cs="Arial"/>
          <w:color w:val="000000" w:themeColor="text1"/>
          <w:sz w:val="20"/>
          <w:szCs w:val="20"/>
        </w:rPr>
        <w:t xml:space="preserve"> javnih naročil je bil</w:t>
      </w:r>
      <w:r w:rsidR="00DD26D5" w:rsidRPr="008001CC">
        <w:rPr>
          <w:rFonts w:ascii="Arial" w:hAnsi="Arial" w:cs="Arial"/>
          <w:color w:val="000000" w:themeColor="text1"/>
          <w:sz w:val="20"/>
          <w:szCs w:val="20"/>
        </w:rPr>
        <w:t>a</w:t>
      </w:r>
      <w:r w:rsidRPr="008001CC">
        <w:rPr>
          <w:rFonts w:ascii="Arial" w:hAnsi="Arial" w:cs="Arial"/>
          <w:color w:val="000000" w:themeColor="text1"/>
          <w:sz w:val="20"/>
          <w:szCs w:val="20"/>
        </w:rPr>
        <w:t xml:space="preserve"> </w:t>
      </w:r>
      <w:r w:rsidR="005D3AFD" w:rsidRPr="008001CC">
        <w:rPr>
          <w:rFonts w:ascii="Arial" w:hAnsi="Arial" w:cs="Arial"/>
          <w:color w:val="000000" w:themeColor="text1"/>
          <w:sz w:val="20"/>
          <w:szCs w:val="20"/>
        </w:rPr>
        <w:t>oddana</w:t>
      </w:r>
      <w:r w:rsidRPr="008001CC">
        <w:rPr>
          <w:rFonts w:ascii="Arial" w:hAnsi="Arial" w:cs="Arial"/>
          <w:color w:val="000000" w:themeColor="text1"/>
          <w:sz w:val="20"/>
          <w:szCs w:val="20"/>
        </w:rPr>
        <w:t xml:space="preserve"> ponudnikom iz osrednjeslovenske regije.</w:t>
      </w:r>
    </w:p>
    <w:p w14:paraId="07CF578A" w14:textId="45EF80BA" w:rsidR="007D0B13" w:rsidRPr="008001CC" w:rsidRDefault="007D0B13" w:rsidP="007D0B13">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 xml:space="preserve">Ponovno je </w:t>
      </w:r>
      <w:r w:rsidR="00DD26D5" w:rsidRPr="008001CC">
        <w:rPr>
          <w:rFonts w:ascii="Arial" w:hAnsi="Arial" w:cs="Arial"/>
          <w:color w:val="000000" w:themeColor="text1"/>
          <w:sz w:val="20"/>
          <w:szCs w:val="20"/>
        </w:rPr>
        <w:t>opazno povečanje števila</w:t>
      </w:r>
      <w:r w:rsidRPr="008001CC">
        <w:rPr>
          <w:rFonts w:ascii="Arial" w:hAnsi="Arial" w:cs="Arial"/>
          <w:color w:val="000000" w:themeColor="text1"/>
          <w:sz w:val="20"/>
          <w:szCs w:val="20"/>
        </w:rPr>
        <w:t xml:space="preserve"> evidenčnih postopkov, kar kaže na njihovo pomembno vlogo v sistemu javnega naročanja. V letu 202</w:t>
      </w:r>
      <w:r w:rsidR="00AE296C" w:rsidRPr="008001CC">
        <w:rPr>
          <w:rFonts w:ascii="Arial" w:hAnsi="Arial" w:cs="Arial"/>
          <w:color w:val="000000" w:themeColor="text1"/>
          <w:sz w:val="20"/>
          <w:szCs w:val="20"/>
        </w:rPr>
        <w:t>3</w:t>
      </w:r>
      <w:r w:rsidRPr="008001CC">
        <w:rPr>
          <w:rFonts w:ascii="Arial" w:hAnsi="Arial" w:cs="Arial"/>
          <w:color w:val="000000" w:themeColor="text1"/>
          <w:sz w:val="20"/>
          <w:szCs w:val="20"/>
        </w:rPr>
        <w:t xml:space="preserve"> so naročniki oddali največ evidenčnih naročil v zadnjih šestih letih, njihova vrednost pa se približuje 1,5 milijarde evrov.  </w:t>
      </w:r>
    </w:p>
    <w:p w14:paraId="18662A84" w14:textId="49A9B7FF" w:rsidR="008E0F91" w:rsidRPr="008001CC" w:rsidRDefault="007D0B13" w:rsidP="007D0B13">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Glede na predmet naročanja so naročniki najpogosteje naročali blago (</w:t>
      </w:r>
      <w:r w:rsidR="008E0F91" w:rsidRPr="008001CC">
        <w:rPr>
          <w:rFonts w:ascii="Arial" w:hAnsi="Arial" w:cs="Arial"/>
          <w:color w:val="000000" w:themeColor="text1"/>
          <w:sz w:val="20"/>
          <w:szCs w:val="20"/>
        </w:rPr>
        <w:t>63,05</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storitve (</w:t>
      </w:r>
      <w:r w:rsidR="008E0F91" w:rsidRPr="008001CC">
        <w:rPr>
          <w:rFonts w:ascii="Arial" w:hAnsi="Arial" w:cs="Arial"/>
          <w:color w:val="000000" w:themeColor="text1"/>
          <w:sz w:val="20"/>
          <w:szCs w:val="20"/>
        </w:rPr>
        <w:t>27,65</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in gradnje (</w:t>
      </w:r>
      <w:r w:rsidR="008E0F91" w:rsidRPr="008001CC">
        <w:rPr>
          <w:rFonts w:ascii="Arial" w:hAnsi="Arial" w:cs="Arial"/>
          <w:color w:val="000000" w:themeColor="text1"/>
          <w:sz w:val="20"/>
          <w:szCs w:val="20"/>
        </w:rPr>
        <w:t>9,</w:t>
      </w:r>
      <w:r w:rsidR="008001CC" w:rsidRPr="008001CC">
        <w:rPr>
          <w:rFonts w:ascii="Arial" w:hAnsi="Arial" w:cs="Arial"/>
          <w:color w:val="000000" w:themeColor="text1"/>
          <w:sz w:val="20"/>
          <w:szCs w:val="20"/>
        </w:rPr>
        <w:t>3</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xml:space="preserve">). </w:t>
      </w:r>
      <w:r w:rsidR="008E0F91" w:rsidRPr="008001CC">
        <w:rPr>
          <w:rFonts w:ascii="Arial" w:hAnsi="Arial" w:cs="Arial"/>
          <w:color w:val="000000" w:themeColor="text1"/>
          <w:sz w:val="20"/>
          <w:szCs w:val="20"/>
        </w:rPr>
        <w:t>Tudi p</w:t>
      </w:r>
      <w:r w:rsidRPr="008001CC">
        <w:rPr>
          <w:rFonts w:ascii="Arial" w:hAnsi="Arial" w:cs="Arial"/>
          <w:color w:val="000000" w:themeColor="text1"/>
          <w:sz w:val="20"/>
          <w:szCs w:val="20"/>
        </w:rPr>
        <w:t xml:space="preserve">o vrednosti </w:t>
      </w:r>
      <w:r w:rsidR="008E0F91" w:rsidRPr="008001CC">
        <w:rPr>
          <w:rFonts w:ascii="Arial" w:hAnsi="Arial" w:cs="Arial"/>
          <w:color w:val="000000" w:themeColor="text1"/>
          <w:sz w:val="20"/>
          <w:szCs w:val="20"/>
        </w:rPr>
        <w:t>je na prvem mestu blago</w:t>
      </w:r>
      <w:r w:rsidRPr="008001CC">
        <w:rPr>
          <w:rFonts w:ascii="Arial" w:hAnsi="Arial" w:cs="Arial"/>
          <w:color w:val="000000" w:themeColor="text1"/>
          <w:sz w:val="20"/>
          <w:szCs w:val="20"/>
        </w:rPr>
        <w:t xml:space="preserve"> (</w:t>
      </w:r>
      <w:r w:rsidR="008E0F91" w:rsidRPr="008001CC">
        <w:rPr>
          <w:rFonts w:ascii="Arial" w:hAnsi="Arial" w:cs="Arial"/>
          <w:color w:val="000000" w:themeColor="text1"/>
          <w:sz w:val="20"/>
          <w:szCs w:val="20"/>
        </w:rPr>
        <w:t>41,84</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xml:space="preserve">), </w:t>
      </w:r>
      <w:r w:rsidR="00BA3797">
        <w:rPr>
          <w:rFonts w:ascii="Arial" w:hAnsi="Arial" w:cs="Arial"/>
          <w:color w:val="000000" w:themeColor="text1"/>
          <w:sz w:val="20"/>
          <w:szCs w:val="20"/>
        </w:rPr>
        <w:t>na drugem in tretjem mestu pa</w:t>
      </w:r>
      <w:r w:rsidRPr="008001CC">
        <w:rPr>
          <w:rFonts w:ascii="Arial" w:hAnsi="Arial" w:cs="Arial"/>
          <w:color w:val="000000" w:themeColor="text1"/>
          <w:sz w:val="20"/>
          <w:szCs w:val="20"/>
        </w:rPr>
        <w:t xml:space="preserve"> naročila </w:t>
      </w:r>
      <w:r w:rsidR="008E0F91" w:rsidRPr="008001CC">
        <w:rPr>
          <w:rFonts w:ascii="Arial" w:hAnsi="Arial" w:cs="Arial"/>
          <w:color w:val="000000" w:themeColor="text1"/>
          <w:sz w:val="20"/>
          <w:szCs w:val="20"/>
        </w:rPr>
        <w:t>storitev</w:t>
      </w:r>
      <w:r w:rsidRPr="008001CC">
        <w:rPr>
          <w:rFonts w:ascii="Arial" w:hAnsi="Arial" w:cs="Arial"/>
          <w:color w:val="000000" w:themeColor="text1"/>
          <w:sz w:val="20"/>
          <w:szCs w:val="20"/>
        </w:rPr>
        <w:t xml:space="preserve"> (</w:t>
      </w:r>
      <w:r w:rsidR="008E0F91" w:rsidRPr="008001CC">
        <w:rPr>
          <w:rFonts w:ascii="Arial" w:hAnsi="Arial" w:cs="Arial"/>
          <w:color w:val="000000" w:themeColor="text1"/>
          <w:sz w:val="20"/>
          <w:szCs w:val="20"/>
        </w:rPr>
        <w:t>35,26</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 xml:space="preserve">) in naročila </w:t>
      </w:r>
      <w:r w:rsidR="008E0F91" w:rsidRPr="008001CC">
        <w:rPr>
          <w:rFonts w:ascii="Arial" w:hAnsi="Arial" w:cs="Arial"/>
          <w:color w:val="000000" w:themeColor="text1"/>
          <w:sz w:val="20"/>
          <w:szCs w:val="20"/>
        </w:rPr>
        <w:t>gradenj</w:t>
      </w:r>
      <w:r w:rsidRPr="008001CC">
        <w:rPr>
          <w:rFonts w:ascii="Arial" w:hAnsi="Arial" w:cs="Arial"/>
          <w:color w:val="000000" w:themeColor="text1"/>
          <w:sz w:val="20"/>
          <w:szCs w:val="20"/>
        </w:rPr>
        <w:t xml:space="preserve"> (</w:t>
      </w:r>
      <w:r w:rsidR="008E0F91" w:rsidRPr="008001CC">
        <w:rPr>
          <w:rFonts w:ascii="Arial" w:hAnsi="Arial" w:cs="Arial"/>
          <w:color w:val="000000" w:themeColor="text1"/>
          <w:sz w:val="20"/>
          <w:szCs w:val="20"/>
        </w:rPr>
        <w:t>22,9</w:t>
      </w:r>
      <w:r w:rsidRPr="008001CC">
        <w:rPr>
          <w:rFonts w:ascii="Arial" w:hAnsi="Arial" w:cs="Arial"/>
          <w:color w:val="000000" w:themeColor="text1"/>
          <w:sz w:val="20"/>
          <w:szCs w:val="20"/>
        </w:rPr>
        <w:t xml:space="preserve"> </w:t>
      </w:r>
      <w:r w:rsidR="00AC0027" w:rsidRPr="008001CC">
        <w:rPr>
          <w:rFonts w:ascii="Arial" w:hAnsi="Arial" w:cs="Arial"/>
          <w:color w:val="000000" w:themeColor="text1"/>
          <w:sz w:val="20"/>
          <w:szCs w:val="20"/>
        </w:rPr>
        <w:t>odstotka</w:t>
      </w:r>
      <w:r w:rsidRPr="008001CC">
        <w:rPr>
          <w:rFonts w:ascii="Arial" w:hAnsi="Arial" w:cs="Arial"/>
          <w:color w:val="000000" w:themeColor="text1"/>
          <w:sz w:val="20"/>
          <w:szCs w:val="20"/>
        </w:rPr>
        <w:t>).</w:t>
      </w:r>
    </w:p>
    <w:p w14:paraId="4A39703D" w14:textId="0A5D99A1" w:rsidR="00C84B2B" w:rsidRPr="00D67ADF" w:rsidRDefault="00C84B2B" w:rsidP="007D0B13">
      <w:pPr>
        <w:spacing w:line="360" w:lineRule="auto"/>
        <w:jc w:val="both"/>
        <w:rPr>
          <w:rFonts w:ascii="Arial" w:hAnsi="Arial" w:cs="Arial"/>
          <w:bCs/>
          <w:color w:val="000000" w:themeColor="text1"/>
          <w:sz w:val="20"/>
          <w:szCs w:val="20"/>
        </w:rPr>
      </w:pPr>
      <w:r w:rsidRPr="008001CC">
        <w:rPr>
          <w:rFonts w:ascii="Arial" w:hAnsi="Arial" w:cs="Arial"/>
          <w:bCs/>
          <w:color w:val="000000" w:themeColor="text1"/>
          <w:sz w:val="20"/>
          <w:szCs w:val="20"/>
        </w:rPr>
        <w:t>Postop</w:t>
      </w:r>
      <w:r w:rsidR="00BA3797">
        <w:rPr>
          <w:rFonts w:ascii="Arial" w:hAnsi="Arial" w:cs="Arial"/>
          <w:bCs/>
          <w:color w:val="000000" w:themeColor="text1"/>
          <w:sz w:val="20"/>
          <w:szCs w:val="20"/>
        </w:rPr>
        <w:t>kov</w:t>
      </w:r>
      <w:r w:rsidRPr="008001CC">
        <w:rPr>
          <w:rFonts w:ascii="Arial" w:hAnsi="Arial" w:cs="Arial"/>
          <w:bCs/>
          <w:color w:val="000000" w:themeColor="text1"/>
          <w:sz w:val="20"/>
          <w:szCs w:val="20"/>
        </w:rPr>
        <w:t xml:space="preserve"> s pogajanji brez predhodne objave je glede na leto 2022 </w:t>
      </w:r>
      <w:r w:rsidR="00BA3797">
        <w:rPr>
          <w:rFonts w:ascii="Arial" w:hAnsi="Arial" w:cs="Arial"/>
          <w:bCs/>
          <w:color w:val="000000" w:themeColor="text1"/>
          <w:sz w:val="20"/>
          <w:szCs w:val="20"/>
        </w:rPr>
        <w:t>manj</w:t>
      </w:r>
      <w:r w:rsidRPr="008001CC">
        <w:rPr>
          <w:rFonts w:ascii="Arial" w:hAnsi="Arial" w:cs="Arial"/>
          <w:bCs/>
          <w:color w:val="000000" w:themeColor="text1"/>
          <w:sz w:val="20"/>
          <w:szCs w:val="20"/>
        </w:rPr>
        <w:t xml:space="preserve"> za 0,84 odstotne točke in je tretji najpogosteje uporabljeni postopek z deležem 8,6</w:t>
      </w:r>
      <w:r w:rsidR="008001CC" w:rsidRPr="008001CC">
        <w:rPr>
          <w:rFonts w:ascii="Arial" w:hAnsi="Arial" w:cs="Arial"/>
          <w:bCs/>
          <w:color w:val="000000" w:themeColor="text1"/>
          <w:sz w:val="20"/>
          <w:szCs w:val="20"/>
        </w:rPr>
        <w:t>6</w:t>
      </w:r>
      <w:r w:rsidRPr="008001CC">
        <w:rPr>
          <w:rFonts w:ascii="Arial" w:hAnsi="Arial" w:cs="Arial"/>
          <w:bCs/>
          <w:color w:val="000000" w:themeColor="text1"/>
          <w:sz w:val="20"/>
          <w:szCs w:val="20"/>
        </w:rPr>
        <w:t xml:space="preserve"> odstotka v vseh postopkih, kar pomeni naj</w:t>
      </w:r>
      <w:r w:rsidR="00BA3797">
        <w:rPr>
          <w:rFonts w:ascii="Arial" w:hAnsi="Arial" w:cs="Arial"/>
          <w:bCs/>
          <w:color w:val="000000" w:themeColor="text1"/>
          <w:sz w:val="20"/>
          <w:szCs w:val="20"/>
        </w:rPr>
        <w:t>manjši</w:t>
      </w:r>
      <w:r w:rsidRPr="008001CC">
        <w:rPr>
          <w:rFonts w:ascii="Arial" w:hAnsi="Arial" w:cs="Arial"/>
          <w:bCs/>
          <w:color w:val="000000" w:themeColor="text1"/>
          <w:sz w:val="20"/>
          <w:szCs w:val="20"/>
        </w:rPr>
        <w:t xml:space="preserve"> </w:t>
      </w:r>
      <w:r w:rsidRPr="00D67ADF">
        <w:rPr>
          <w:rFonts w:ascii="Arial" w:hAnsi="Arial" w:cs="Arial"/>
          <w:bCs/>
          <w:color w:val="000000" w:themeColor="text1"/>
          <w:sz w:val="20"/>
          <w:szCs w:val="20"/>
        </w:rPr>
        <w:t>delež od leta 2015.</w:t>
      </w:r>
    </w:p>
    <w:p w14:paraId="07942B27" w14:textId="058F4028" w:rsidR="007D0B13" w:rsidRPr="00D67ADF" w:rsidRDefault="007D0B13" w:rsidP="007D0B13">
      <w:pPr>
        <w:spacing w:line="360" w:lineRule="auto"/>
        <w:jc w:val="both"/>
        <w:rPr>
          <w:rFonts w:ascii="Arial" w:hAnsi="Arial" w:cs="Arial"/>
          <w:color w:val="000000" w:themeColor="text1"/>
          <w:sz w:val="20"/>
          <w:szCs w:val="20"/>
        </w:rPr>
      </w:pPr>
      <w:r w:rsidRPr="00D67ADF">
        <w:rPr>
          <w:rFonts w:ascii="Arial" w:hAnsi="Arial" w:cs="Arial"/>
          <w:color w:val="000000" w:themeColor="text1"/>
          <w:sz w:val="20"/>
          <w:szCs w:val="20"/>
        </w:rPr>
        <w:t>Največkrat uporabljeno merilo za izbiro najugodnejšega ponudnika je bila cena, uporabljeno pri 15.</w:t>
      </w:r>
      <w:r w:rsidR="00CB7467" w:rsidRPr="00D67ADF">
        <w:rPr>
          <w:rFonts w:ascii="Arial" w:hAnsi="Arial" w:cs="Arial"/>
          <w:color w:val="000000" w:themeColor="text1"/>
          <w:sz w:val="20"/>
          <w:szCs w:val="20"/>
        </w:rPr>
        <w:t>0</w:t>
      </w:r>
      <w:r w:rsidR="00D67ADF" w:rsidRPr="00D67ADF">
        <w:rPr>
          <w:rFonts w:ascii="Arial" w:hAnsi="Arial" w:cs="Arial"/>
          <w:color w:val="000000" w:themeColor="text1"/>
          <w:sz w:val="20"/>
          <w:szCs w:val="20"/>
        </w:rPr>
        <w:t>68</w:t>
      </w:r>
      <w:r w:rsidRPr="00D67ADF">
        <w:rPr>
          <w:rFonts w:ascii="Arial" w:hAnsi="Arial" w:cs="Arial"/>
          <w:color w:val="000000" w:themeColor="text1"/>
          <w:sz w:val="20"/>
          <w:szCs w:val="20"/>
        </w:rPr>
        <w:t xml:space="preserve"> oddanih naročilih, kar </w:t>
      </w:r>
      <w:r w:rsidR="00AC0027" w:rsidRPr="00D67ADF">
        <w:rPr>
          <w:rFonts w:ascii="Arial" w:hAnsi="Arial" w:cs="Arial"/>
          <w:color w:val="000000" w:themeColor="text1"/>
          <w:sz w:val="20"/>
          <w:szCs w:val="20"/>
        </w:rPr>
        <w:t>je</w:t>
      </w:r>
      <w:r w:rsidRPr="00D67ADF">
        <w:rPr>
          <w:rFonts w:ascii="Arial" w:hAnsi="Arial" w:cs="Arial"/>
          <w:color w:val="000000" w:themeColor="text1"/>
          <w:sz w:val="20"/>
          <w:szCs w:val="20"/>
        </w:rPr>
        <w:t xml:space="preserve"> </w:t>
      </w:r>
      <w:r w:rsidR="00CB7467" w:rsidRPr="00D67ADF">
        <w:rPr>
          <w:rFonts w:ascii="Arial" w:hAnsi="Arial" w:cs="Arial"/>
          <w:color w:val="000000" w:themeColor="text1"/>
          <w:sz w:val="20"/>
          <w:szCs w:val="20"/>
        </w:rPr>
        <w:t>okoli</w:t>
      </w:r>
      <w:r w:rsidRPr="00D67ADF">
        <w:rPr>
          <w:rFonts w:ascii="Arial" w:hAnsi="Arial" w:cs="Arial"/>
          <w:color w:val="000000" w:themeColor="text1"/>
          <w:sz w:val="20"/>
          <w:szCs w:val="20"/>
        </w:rPr>
        <w:t xml:space="preserve"> 90 </w:t>
      </w:r>
      <w:r w:rsidR="00AC0027" w:rsidRPr="00D67ADF">
        <w:rPr>
          <w:rFonts w:ascii="Arial" w:hAnsi="Arial" w:cs="Arial"/>
          <w:color w:val="000000" w:themeColor="text1"/>
          <w:sz w:val="20"/>
          <w:szCs w:val="20"/>
        </w:rPr>
        <w:t>odstotkov</w:t>
      </w:r>
      <w:r w:rsidRPr="00D67ADF">
        <w:rPr>
          <w:rFonts w:ascii="Arial" w:hAnsi="Arial" w:cs="Arial"/>
          <w:color w:val="000000" w:themeColor="text1"/>
          <w:sz w:val="20"/>
          <w:szCs w:val="20"/>
        </w:rPr>
        <w:t xml:space="preserve"> vseh oddanih naročil tako po številu kot tudi vrednosti. </w:t>
      </w:r>
    </w:p>
    <w:p w14:paraId="5A481C2E" w14:textId="19CE87F1" w:rsidR="007D0B13" w:rsidRPr="00D67ADF" w:rsidRDefault="007D0B13" w:rsidP="007D0B13">
      <w:pPr>
        <w:spacing w:line="360" w:lineRule="auto"/>
        <w:jc w:val="both"/>
        <w:rPr>
          <w:rFonts w:ascii="Arial" w:hAnsi="Arial" w:cs="Arial"/>
          <w:color w:val="000000" w:themeColor="text1"/>
          <w:sz w:val="20"/>
          <w:szCs w:val="20"/>
        </w:rPr>
      </w:pPr>
      <w:r w:rsidRPr="00D67ADF">
        <w:rPr>
          <w:rFonts w:ascii="Arial" w:hAnsi="Arial" w:cs="Arial"/>
          <w:color w:val="000000" w:themeColor="text1"/>
          <w:sz w:val="20"/>
          <w:szCs w:val="20"/>
        </w:rPr>
        <w:t>Velikost slovenskih ponudnikov, ki so jim bila dodeljena javna naročila, je razpršena, pri čemer imajo majhne enote največji delež po številu oddanih naročil (</w:t>
      </w:r>
      <w:r w:rsidR="00BC2A96" w:rsidRPr="00D67ADF">
        <w:rPr>
          <w:rFonts w:ascii="Arial" w:hAnsi="Arial" w:cs="Arial"/>
          <w:color w:val="000000" w:themeColor="text1"/>
          <w:sz w:val="20"/>
          <w:szCs w:val="20"/>
        </w:rPr>
        <w:t>35,4</w:t>
      </w:r>
      <w:r w:rsidR="00D67ADF" w:rsidRPr="00D67ADF">
        <w:rPr>
          <w:rFonts w:ascii="Arial" w:hAnsi="Arial" w:cs="Arial"/>
          <w:color w:val="000000" w:themeColor="text1"/>
          <w:sz w:val="20"/>
          <w:szCs w:val="20"/>
        </w:rPr>
        <w:t>7</w:t>
      </w:r>
      <w:r w:rsidRPr="00D67ADF">
        <w:rPr>
          <w:rFonts w:ascii="Arial" w:hAnsi="Arial" w:cs="Arial"/>
          <w:color w:val="000000" w:themeColor="text1"/>
          <w:sz w:val="20"/>
          <w:szCs w:val="20"/>
        </w:rPr>
        <w:t xml:space="preserve"> </w:t>
      </w:r>
      <w:r w:rsidR="00AC0027" w:rsidRPr="00D67ADF">
        <w:rPr>
          <w:rFonts w:ascii="Arial" w:hAnsi="Arial" w:cs="Arial"/>
          <w:color w:val="000000" w:themeColor="text1"/>
          <w:sz w:val="20"/>
          <w:szCs w:val="20"/>
        </w:rPr>
        <w:t>odstotka</w:t>
      </w:r>
      <w:r w:rsidRPr="00D67ADF">
        <w:rPr>
          <w:rFonts w:ascii="Arial" w:hAnsi="Arial" w:cs="Arial"/>
          <w:color w:val="000000" w:themeColor="text1"/>
          <w:sz w:val="20"/>
          <w:szCs w:val="20"/>
        </w:rPr>
        <w:t>), velike enote pa največji delež po vrednosti oddanih javnih naročil (</w:t>
      </w:r>
      <w:r w:rsidR="00BC2A96" w:rsidRPr="00D67ADF">
        <w:rPr>
          <w:rFonts w:ascii="Arial" w:hAnsi="Arial" w:cs="Arial"/>
          <w:color w:val="000000" w:themeColor="text1"/>
          <w:sz w:val="20"/>
          <w:szCs w:val="20"/>
        </w:rPr>
        <w:t>44,12</w:t>
      </w:r>
      <w:r w:rsidRPr="00D67ADF">
        <w:rPr>
          <w:rFonts w:ascii="Arial" w:hAnsi="Arial" w:cs="Arial"/>
          <w:color w:val="000000" w:themeColor="text1"/>
          <w:sz w:val="20"/>
          <w:szCs w:val="20"/>
        </w:rPr>
        <w:t xml:space="preserve"> </w:t>
      </w:r>
      <w:r w:rsidR="00AC0027" w:rsidRPr="00D67ADF">
        <w:rPr>
          <w:rFonts w:ascii="Arial" w:hAnsi="Arial" w:cs="Arial"/>
          <w:color w:val="000000" w:themeColor="text1"/>
          <w:sz w:val="20"/>
          <w:szCs w:val="20"/>
        </w:rPr>
        <w:t>odstotka</w:t>
      </w:r>
      <w:r w:rsidRPr="00D67ADF">
        <w:rPr>
          <w:rFonts w:ascii="Arial" w:hAnsi="Arial" w:cs="Arial"/>
          <w:color w:val="000000" w:themeColor="text1"/>
          <w:sz w:val="20"/>
          <w:szCs w:val="20"/>
        </w:rPr>
        <w:t>).</w:t>
      </w:r>
    </w:p>
    <w:p w14:paraId="1B6E0693" w14:textId="6130DEE3" w:rsidR="007D0B13" w:rsidRPr="00D67ADF" w:rsidRDefault="007D0B13" w:rsidP="007D0B13">
      <w:pPr>
        <w:spacing w:line="360" w:lineRule="auto"/>
        <w:jc w:val="both"/>
        <w:rPr>
          <w:rFonts w:ascii="Arial" w:hAnsi="Arial" w:cs="Arial"/>
          <w:color w:val="000000" w:themeColor="text1"/>
          <w:sz w:val="20"/>
          <w:szCs w:val="20"/>
        </w:rPr>
      </w:pPr>
      <w:r w:rsidRPr="00D67ADF">
        <w:rPr>
          <w:rFonts w:ascii="Arial" w:hAnsi="Arial" w:cs="Arial"/>
          <w:color w:val="000000" w:themeColor="text1"/>
          <w:sz w:val="20"/>
          <w:szCs w:val="20"/>
        </w:rPr>
        <w:t xml:space="preserve">Skupno javno naročanje </w:t>
      </w:r>
      <w:r w:rsidR="0009064D" w:rsidRPr="00D67ADF">
        <w:rPr>
          <w:rFonts w:ascii="Arial" w:hAnsi="Arial" w:cs="Arial"/>
          <w:color w:val="000000" w:themeColor="text1"/>
          <w:sz w:val="20"/>
          <w:szCs w:val="20"/>
        </w:rPr>
        <w:t>pomeni</w:t>
      </w:r>
      <w:r w:rsidRPr="00D67ADF">
        <w:rPr>
          <w:rFonts w:ascii="Arial" w:hAnsi="Arial" w:cs="Arial"/>
          <w:color w:val="000000" w:themeColor="text1"/>
          <w:sz w:val="20"/>
          <w:szCs w:val="20"/>
        </w:rPr>
        <w:t xml:space="preserve"> le manjši delež v številu vseh oddanih naročil (4,</w:t>
      </w:r>
      <w:r w:rsidR="00A14EC2" w:rsidRPr="00D67ADF">
        <w:rPr>
          <w:rFonts w:ascii="Arial" w:hAnsi="Arial" w:cs="Arial"/>
          <w:color w:val="000000" w:themeColor="text1"/>
          <w:sz w:val="20"/>
          <w:szCs w:val="20"/>
        </w:rPr>
        <w:t>5</w:t>
      </w:r>
      <w:r w:rsidR="00D67ADF" w:rsidRPr="00D67ADF">
        <w:rPr>
          <w:rFonts w:ascii="Arial" w:hAnsi="Arial" w:cs="Arial"/>
          <w:color w:val="000000" w:themeColor="text1"/>
          <w:sz w:val="20"/>
          <w:szCs w:val="20"/>
        </w:rPr>
        <w:t>2</w:t>
      </w:r>
      <w:r w:rsidRPr="00D67ADF">
        <w:rPr>
          <w:rFonts w:ascii="Arial" w:hAnsi="Arial" w:cs="Arial"/>
          <w:color w:val="000000" w:themeColor="text1"/>
          <w:sz w:val="20"/>
          <w:szCs w:val="20"/>
        </w:rPr>
        <w:t xml:space="preserve"> </w:t>
      </w:r>
      <w:r w:rsidR="00AC0027" w:rsidRPr="00D67ADF">
        <w:rPr>
          <w:rFonts w:ascii="Arial" w:hAnsi="Arial" w:cs="Arial"/>
          <w:color w:val="000000" w:themeColor="text1"/>
          <w:sz w:val="20"/>
          <w:szCs w:val="20"/>
        </w:rPr>
        <w:t>odstotka</w:t>
      </w:r>
      <w:r w:rsidRPr="00D67ADF">
        <w:rPr>
          <w:rFonts w:ascii="Arial" w:hAnsi="Arial" w:cs="Arial"/>
          <w:color w:val="000000" w:themeColor="text1"/>
          <w:sz w:val="20"/>
          <w:szCs w:val="20"/>
        </w:rPr>
        <w:t xml:space="preserve">), v vrednosti pa </w:t>
      </w:r>
      <w:r w:rsidR="00A14EC2" w:rsidRPr="00D67ADF">
        <w:rPr>
          <w:rFonts w:ascii="Arial" w:hAnsi="Arial" w:cs="Arial"/>
          <w:color w:val="000000" w:themeColor="text1"/>
          <w:sz w:val="20"/>
          <w:szCs w:val="20"/>
        </w:rPr>
        <w:t>dobro</w:t>
      </w:r>
      <w:r w:rsidRPr="00D67ADF">
        <w:rPr>
          <w:rFonts w:ascii="Arial" w:hAnsi="Arial" w:cs="Arial"/>
          <w:color w:val="000000" w:themeColor="text1"/>
          <w:sz w:val="20"/>
          <w:szCs w:val="20"/>
        </w:rPr>
        <w:t xml:space="preserve"> desetino (</w:t>
      </w:r>
      <w:r w:rsidR="00A14EC2" w:rsidRPr="00D67ADF">
        <w:rPr>
          <w:rFonts w:ascii="Arial" w:hAnsi="Arial" w:cs="Arial"/>
          <w:color w:val="000000" w:themeColor="text1"/>
          <w:sz w:val="20"/>
          <w:szCs w:val="20"/>
        </w:rPr>
        <w:t>14,69</w:t>
      </w:r>
      <w:r w:rsidRPr="00D67ADF">
        <w:rPr>
          <w:rFonts w:ascii="Arial" w:hAnsi="Arial" w:cs="Arial"/>
          <w:color w:val="000000" w:themeColor="text1"/>
          <w:sz w:val="20"/>
          <w:szCs w:val="20"/>
        </w:rPr>
        <w:t xml:space="preserve"> </w:t>
      </w:r>
      <w:r w:rsidR="00AC0027" w:rsidRPr="00D67ADF">
        <w:rPr>
          <w:rFonts w:ascii="Arial" w:hAnsi="Arial" w:cs="Arial"/>
          <w:color w:val="000000" w:themeColor="text1"/>
          <w:sz w:val="20"/>
          <w:szCs w:val="20"/>
        </w:rPr>
        <w:t>odstotka</w:t>
      </w:r>
      <w:r w:rsidRPr="00D67ADF">
        <w:rPr>
          <w:rFonts w:ascii="Arial" w:hAnsi="Arial" w:cs="Arial"/>
          <w:color w:val="000000" w:themeColor="text1"/>
          <w:sz w:val="20"/>
          <w:szCs w:val="20"/>
        </w:rPr>
        <w:t xml:space="preserve">), kar kaže, da ni dovolj izkoriščeno, vendar se lahko ta trend spremeni, </w:t>
      </w:r>
      <w:r w:rsidR="0009064D" w:rsidRPr="00D67ADF">
        <w:rPr>
          <w:rFonts w:ascii="Arial" w:hAnsi="Arial" w:cs="Arial"/>
          <w:color w:val="000000" w:themeColor="text1"/>
          <w:sz w:val="20"/>
          <w:szCs w:val="20"/>
        </w:rPr>
        <w:t>če</w:t>
      </w:r>
      <w:r w:rsidRPr="00D67ADF">
        <w:rPr>
          <w:rFonts w:ascii="Arial" w:hAnsi="Arial" w:cs="Arial"/>
          <w:color w:val="000000" w:themeColor="text1"/>
          <w:sz w:val="20"/>
          <w:szCs w:val="20"/>
        </w:rPr>
        <w:t xml:space="preserve"> bodo naročniki prepoznali prednosti te prakse, se začeli bolj povezovati in jo večkrat izvajali.</w:t>
      </w:r>
    </w:p>
    <w:p w14:paraId="66FF0486" w14:textId="76F88BCD" w:rsidR="007D0B13" w:rsidRPr="00D67ADF" w:rsidRDefault="007D0B13" w:rsidP="007D0B13">
      <w:pPr>
        <w:spacing w:line="360" w:lineRule="auto"/>
        <w:jc w:val="both"/>
        <w:rPr>
          <w:rFonts w:ascii="Arial" w:hAnsi="Arial" w:cs="Arial"/>
          <w:color w:val="000000" w:themeColor="text1"/>
          <w:sz w:val="20"/>
          <w:szCs w:val="20"/>
        </w:rPr>
      </w:pPr>
      <w:r w:rsidRPr="00D67ADF">
        <w:rPr>
          <w:rFonts w:ascii="Arial" w:hAnsi="Arial" w:cs="Arial"/>
          <w:color w:val="000000" w:themeColor="text1"/>
          <w:sz w:val="20"/>
          <w:szCs w:val="20"/>
        </w:rPr>
        <w:t xml:space="preserve">Elektronske dražbe so bile uporabljene </w:t>
      </w:r>
      <w:r w:rsidR="000A6106" w:rsidRPr="00D67ADF">
        <w:rPr>
          <w:rFonts w:ascii="Arial" w:hAnsi="Arial" w:cs="Arial"/>
          <w:color w:val="000000" w:themeColor="text1"/>
          <w:sz w:val="20"/>
          <w:szCs w:val="20"/>
        </w:rPr>
        <w:t>izjemno redko</w:t>
      </w:r>
      <w:r w:rsidRPr="00D67ADF">
        <w:rPr>
          <w:rFonts w:ascii="Arial" w:hAnsi="Arial" w:cs="Arial"/>
          <w:color w:val="000000" w:themeColor="text1"/>
          <w:sz w:val="20"/>
          <w:szCs w:val="20"/>
        </w:rPr>
        <w:t xml:space="preserve"> </w:t>
      </w:r>
      <w:r w:rsidR="00324207" w:rsidRPr="00D67ADF">
        <w:rPr>
          <w:rFonts w:ascii="Arial" w:hAnsi="Arial" w:cs="Arial"/>
          <w:color w:val="000000" w:themeColor="text1"/>
          <w:sz w:val="20"/>
          <w:szCs w:val="20"/>
        </w:rPr>
        <w:t>oziroma</w:t>
      </w:r>
      <w:r w:rsidRPr="00D67ADF">
        <w:rPr>
          <w:rFonts w:ascii="Arial" w:hAnsi="Arial" w:cs="Arial"/>
          <w:color w:val="000000" w:themeColor="text1"/>
          <w:sz w:val="20"/>
          <w:szCs w:val="20"/>
        </w:rPr>
        <w:t xml:space="preserve"> </w:t>
      </w:r>
      <w:r w:rsidR="000A6106" w:rsidRPr="00D67ADF">
        <w:rPr>
          <w:rFonts w:ascii="Arial" w:hAnsi="Arial" w:cs="Arial"/>
          <w:color w:val="000000" w:themeColor="text1"/>
          <w:sz w:val="20"/>
          <w:szCs w:val="20"/>
        </w:rPr>
        <w:t xml:space="preserve">v </w:t>
      </w:r>
      <w:r w:rsidRPr="00D67ADF">
        <w:rPr>
          <w:rFonts w:ascii="Arial" w:hAnsi="Arial" w:cs="Arial"/>
          <w:color w:val="000000" w:themeColor="text1"/>
          <w:sz w:val="20"/>
          <w:szCs w:val="20"/>
        </w:rPr>
        <w:t xml:space="preserve">manj kot enem odstotku vseh oddanih naročil po številu in tudi vrednosti, kljub </w:t>
      </w:r>
      <w:r w:rsidR="00324207" w:rsidRPr="00D67ADF">
        <w:rPr>
          <w:rFonts w:ascii="Arial" w:hAnsi="Arial" w:cs="Arial"/>
          <w:color w:val="000000" w:themeColor="text1"/>
          <w:sz w:val="20"/>
          <w:szCs w:val="20"/>
        </w:rPr>
        <w:t>možnostim</w:t>
      </w:r>
      <w:r w:rsidRPr="00D67ADF">
        <w:rPr>
          <w:rFonts w:ascii="Arial" w:hAnsi="Arial" w:cs="Arial"/>
          <w:color w:val="000000" w:themeColor="text1"/>
          <w:sz w:val="20"/>
          <w:szCs w:val="20"/>
        </w:rPr>
        <w:t xml:space="preserve"> za doseganje boljših cen in </w:t>
      </w:r>
      <w:r w:rsidR="00324207" w:rsidRPr="00D67ADF">
        <w:rPr>
          <w:rFonts w:ascii="Arial" w:hAnsi="Arial" w:cs="Arial"/>
          <w:color w:val="000000" w:themeColor="text1"/>
          <w:sz w:val="20"/>
          <w:szCs w:val="20"/>
        </w:rPr>
        <w:t>velike</w:t>
      </w:r>
      <w:r w:rsidRPr="00D67ADF">
        <w:rPr>
          <w:rFonts w:ascii="Arial" w:hAnsi="Arial" w:cs="Arial"/>
          <w:color w:val="000000" w:themeColor="text1"/>
          <w:sz w:val="20"/>
          <w:szCs w:val="20"/>
        </w:rPr>
        <w:t xml:space="preserve"> transparentnosti.</w:t>
      </w:r>
    </w:p>
    <w:p w14:paraId="78B1DCC6" w14:textId="5FDD3144" w:rsidR="00A14EC2" w:rsidRPr="00D67ADF" w:rsidRDefault="00575A4E" w:rsidP="00A14EC2">
      <w:pPr>
        <w:spacing w:line="360" w:lineRule="auto"/>
        <w:jc w:val="both"/>
        <w:rPr>
          <w:rFonts w:ascii="Arial" w:hAnsi="Arial" w:cs="Arial"/>
          <w:color w:val="000000" w:themeColor="text1"/>
          <w:sz w:val="20"/>
          <w:szCs w:val="20"/>
          <w:lang w:eastAsia="sl-SI"/>
        </w:rPr>
      </w:pPr>
      <w:r w:rsidRPr="00D67ADF">
        <w:rPr>
          <w:rFonts w:ascii="Arial" w:hAnsi="Arial" w:cs="Arial"/>
          <w:color w:val="000000" w:themeColor="text1"/>
          <w:sz w:val="20"/>
          <w:szCs w:val="20"/>
        </w:rPr>
        <w:t>Pri z</w:t>
      </w:r>
      <w:r w:rsidR="007D0B13" w:rsidRPr="00D67ADF">
        <w:rPr>
          <w:rFonts w:ascii="Arial" w:hAnsi="Arial" w:cs="Arial"/>
          <w:color w:val="000000" w:themeColor="text1"/>
          <w:sz w:val="20"/>
          <w:szCs w:val="20"/>
        </w:rPr>
        <w:t>elen</w:t>
      </w:r>
      <w:r w:rsidRPr="00D67ADF">
        <w:rPr>
          <w:rFonts w:ascii="Arial" w:hAnsi="Arial" w:cs="Arial"/>
          <w:color w:val="000000" w:themeColor="text1"/>
          <w:sz w:val="20"/>
          <w:szCs w:val="20"/>
        </w:rPr>
        <w:t>em</w:t>
      </w:r>
      <w:r w:rsidR="007D0B13" w:rsidRPr="00D67ADF">
        <w:rPr>
          <w:rFonts w:ascii="Arial" w:hAnsi="Arial" w:cs="Arial"/>
          <w:color w:val="000000" w:themeColor="text1"/>
          <w:sz w:val="20"/>
          <w:szCs w:val="20"/>
        </w:rPr>
        <w:t xml:space="preserve"> javn</w:t>
      </w:r>
      <w:r w:rsidRPr="00D67ADF">
        <w:rPr>
          <w:rFonts w:ascii="Arial" w:hAnsi="Arial" w:cs="Arial"/>
          <w:color w:val="000000" w:themeColor="text1"/>
          <w:sz w:val="20"/>
          <w:szCs w:val="20"/>
        </w:rPr>
        <w:t>em</w:t>
      </w:r>
      <w:r w:rsidR="007D0B13" w:rsidRPr="00D67ADF">
        <w:rPr>
          <w:rFonts w:ascii="Arial" w:hAnsi="Arial" w:cs="Arial"/>
          <w:color w:val="000000" w:themeColor="text1"/>
          <w:sz w:val="20"/>
          <w:szCs w:val="20"/>
        </w:rPr>
        <w:t xml:space="preserve"> naročanj</w:t>
      </w:r>
      <w:r w:rsidRPr="00D67ADF">
        <w:rPr>
          <w:rFonts w:ascii="Arial" w:hAnsi="Arial" w:cs="Arial"/>
          <w:color w:val="000000" w:themeColor="text1"/>
          <w:sz w:val="20"/>
          <w:szCs w:val="20"/>
        </w:rPr>
        <w:t>u</w:t>
      </w:r>
      <w:r w:rsidR="007D0B13" w:rsidRPr="00D67ADF">
        <w:rPr>
          <w:rFonts w:ascii="Arial" w:hAnsi="Arial" w:cs="Arial"/>
          <w:color w:val="000000" w:themeColor="text1"/>
          <w:sz w:val="20"/>
          <w:szCs w:val="20"/>
        </w:rPr>
        <w:t xml:space="preserve"> </w:t>
      </w:r>
      <w:r w:rsidRPr="00D67ADF">
        <w:rPr>
          <w:rFonts w:ascii="Arial" w:hAnsi="Arial" w:cs="Arial"/>
          <w:color w:val="000000" w:themeColor="text1"/>
          <w:sz w:val="20"/>
          <w:szCs w:val="20"/>
        </w:rPr>
        <w:t>je v</w:t>
      </w:r>
      <w:r w:rsidR="00A14EC2" w:rsidRPr="00D67ADF">
        <w:rPr>
          <w:rFonts w:ascii="Arial" w:hAnsi="Arial" w:cs="Arial"/>
          <w:color w:val="000000" w:themeColor="text1"/>
          <w:sz w:val="20"/>
          <w:szCs w:val="20"/>
          <w:lang w:eastAsia="sl-SI"/>
        </w:rPr>
        <w:t xml:space="preserve"> primerjavi z letom 2022 opazn</w:t>
      </w:r>
      <w:r w:rsidRPr="00D67ADF">
        <w:rPr>
          <w:rFonts w:ascii="Arial" w:hAnsi="Arial" w:cs="Arial"/>
          <w:color w:val="000000" w:themeColor="text1"/>
          <w:sz w:val="20"/>
          <w:szCs w:val="20"/>
          <w:lang w:eastAsia="sl-SI"/>
        </w:rPr>
        <w:t>o</w:t>
      </w:r>
      <w:r w:rsidR="00A14EC2" w:rsidRPr="00D67ADF">
        <w:rPr>
          <w:rFonts w:ascii="Arial" w:hAnsi="Arial" w:cs="Arial"/>
          <w:color w:val="000000" w:themeColor="text1"/>
          <w:sz w:val="20"/>
          <w:szCs w:val="20"/>
          <w:lang w:eastAsia="sl-SI"/>
        </w:rPr>
        <w:t xml:space="preserve"> zmanjšanje števila naročil z vključenimi </w:t>
      </w:r>
      <w:proofErr w:type="spellStart"/>
      <w:r w:rsidR="00A14EC2" w:rsidRPr="00D67ADF">
        <w:rPr>
          <w:rFonts w:ascii="Arial" w:hAnsi="Arial" w:cs="Arial"/>
          <w:color w:val="000000" w:themeColor="text1"/>
          <w:sz w:val="20"/>
          <w:szCs w:val="20"/>
          <w:lang w:eastAsia="sl-SI"/>
        </w:rPr>
        <w:t>okoljskimi</w:t>
      </w:r>
      <w:proofErr w:type="spellEnd"/>
      <w:r w:rsidR="00A14EC2" w:rsidRPr="00D67ADF">
        <w:rPr>
          <w:rFonts w:ascii="Arial" w:hAnsi="Arial" w:cs="Arial"/>
          <w:color w:val="000000" w:themeColor="text1"/>
          <w:sz w:val="20"/>
          <w:szCs w:val="20"/>
          <w:lang w:eastAsia="sl-SI"/>
        </w:rPr>
        <w:t xml:space="preserve"> vidiki za 6,9</w:t>
      </w:r>
      <w:r w:rsidR="00D67ADF" w:rsidRPr="00D67ADF">
        <w:rPr>
          <w:rFonts w:ascii="Arial" w:hAnsi="Arial" w:cs="Arial"/>
          <w:color w:val="000000" w:themeColor="text1"/>
          <w:sz w:val="20"/>
          <w:szCs w:val="20"/>
          <w:lang w:eastAsia="sl-SI"/>
        </w:rPr>
        <w:t>4</w:t>
      </w:r>
      <w:r w:rsidR="00A14EC2" w:rsidRPr="00D67ADF">
        <w:rPr>
          <w:rFonts w:ascii="Arial" w:hAnsi="Arial" w:cs="Arial"/>
          <w:color w:val="000000" w:themeColor="text1"/>
          <w:sz w:val="20"/>
          <w:szCs w:val="20"/>
          <w:lang w:eastAsia="sl-SI"/>
        </w:rPr>
        <w:t xml:space="preserve"> odstotka in povečanje vrednosti za 50,2</w:t>
      </w:r>
      <w:r w:rsidR="00D67ADF" w:rsidRPr="00D67ADF">
        <w:rPr>
          <w:rFonts w:ascii="Arial" w:hAnsi="Arial" w:cs="Arial"/>
          <w:color w:val="000000" w:themeColor="text1"/>
          <w:sz w:val="20"/>
          <w:szCs w:val="20"/>
          <w:lang w:eastAsia="sl-SI"/>
        </w:rPr>
        <w:t>5</w:t>
      </w:r>
      <w:r w:rsidR="00A14EC2" w:rsidRPr="00D67ADF">
        <w:rPr>
          <w:rFonts w:ascii="Arial" w:hAnsi="Arial" w:cs="Arial"/>
          <w:color w:val="000000" w:themeColor="text1"/>
          <w:sz w:val="20"/>
          <w:szCs w:val="20"/>
          <w:lang w:eastAsia="sl-SI"/>
        </w:rPr>
        <w:t xml:space="preserve"> odstotka.</w:t>
      </w:r>
    </w:p>
    <w:p w14:paraId="7E45242F" w14:textId="02AF42DF" w:rsidR="007D0B13" w:rsidRPr="008001CC" w:rsidRDefault="007D0B13" w:rsidP="007D0B13">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lastRenderedPageBreak/>
        <w:t xml:space="preserve">Družbeno odgovorno javno naročanje je prav tako v vzponu, vendar še zaostaja za zelenim javnim naročanjem. Socialni vidiki pri naročilih se vključujejo predvsem v pogodbena določila in </w:t>
      </w:r>
      <w:r w:rsidR="00A14EC2" w:rsidRPr="008001CC">
        <w:rPr>
          <w:rFonts w:ascii="Arial" w:hAnsi="Arial" w:cs="Arial"/>
          <w:color w:val="000000" w:themeColor="text1"/>
          <w:sz w:val="20"/>
          <w:szCs w:val="20"/>
        </w:rPr>
        <w:t>pogoje za sodelovanje</w:t>
      </w:r>
      <w:r w:rsidRPr="008001CC">
        <w:rPr>
          <w:rFonts w:ascii="Arial" w:hAnsi="Arial" w:cs="Arial"/>
          <w:color w:val="000000" w:themeColor="text1"/>
          <w:sz w:val="20"/>
          <w:szCs w:val="20"/>
        </w:rPr>
        <w:t>.</w:t>
      </w:r>
    </w:p>
    <w:p w14:paraId="7899649F" w14:textId="482D283A" w:rsidR="007D0B13" w:rsidRPr="008001CC" w:rsidRDefault="00B61879" w:rsidP="007D0B13">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U</w:t>
      </w:r>
      <w:r w:rsidR="007D0B13" w:rsidRPr="008001CC">
        <w:rPr>
          <w:rFonts w:ascii="Arial" w:hAnsi="Arial" w:cs="Arial"/>
          <w:color w:val="000000" w:themeColor="text1"/>
          <w:sz w:val="20"/>
          <w:szCs w:val="20"/>
        </w:rPr>
        <w:t>činkovito</w:t>
      </w:r>
      <w:r w:rsidR="00032E4D" w:rsidRPr="008001CC">
        <w:rPr>
          <w:rFonts w:ascii="Arial" w:hAnsi="Arial" w:cs="Arial"/>
          <w:color w:val="000000" w:themeColor="text1"/>
          <w:sz w:val="20"/>
          <w:szCs w:val="20"/>
        </w:rPr>
        <w:t>st</w:t>
      </w:r>
      <w:r w:rsidR="007D0B13" w:rsidRPr="008001CC">
        <w:rPr>
          <w:rFonts w:ascii="Arial" w:hAnsi="Arial" w:cs="Arial"/>
          <w:color w:val="000000" w:themeColor="text1"/>
          <w:sz w:val="20"/>
          <w:szCs w:val="20"/>
        </w:rPr>
        <w:t xml:space="preserve"> izvajanj</w:t>
      </w:r>
      <w:r w:rsidR="00032E4D" w:rsidRPr="008001CC">
        <w:rPr>
          <w:rFonts w:ascii="Arial" w:hAnsi="Arial" w:cs="Arial"/>
          <w:color w:val="000000" w:themeColor="text1"/>
          <w:sz w:val="20"/>
          <w:szCs w:val="20"/>
        </w:rPr>
        <w:t>a</w:t>
      </w:r>
      <w:r w:rsidR="007D0B13" w:rsidRPr="008001CC">
        <w:rPr>
          <w:rFonts w:ascii="Arial" w:hAnsi="Arial" w:cs="Arial"/>
          <w:color w:val="000000" w:themeColor="text1"/>
          <w:sz w:val="20"/>
          <w:szCs w:val="20"/>
        </w:rPr>
        <w:t xml:space="preserve"> postopkov javnega naročanja </w:t>
      </w:r>
      <w:r w:rsidRPr="008001CC">
        <w:rPr>
          <w:rFonts w:ascii="Arial" w:hAnsi="Arial" w:cs="Arial"/>
          <w:color w:val="000000" w:themeColor="text1"/>
          <w:sz w:val="20"/>
          <w:szCs w:val="20"/>
        </w:rPr>
        <w:t>je mo</w:t>
      </w:r>
      <w:r w:rsidR="00A76DDA">
        <w:rPr>
          <w:rFonts w:ascii="Arial" w:hAnsi="Arial" w:cs="Arial"/>
          <w:color w:val="000000" w:themeColor="text1"/>
          <w:sz w:val="20"/>
          <w:szCs w:val="20"/>
        </w:rPr>
        <w:t>goče</w:t>
      </w:r>
      <w:r w:rsidRPr="008001CC">
        <w:rPr>
          <w:rFonts w:ascii="Arial" w:hAnsi="Arial" w:cs="Arial"/>
          <w:color w:val="000000" w:themeColor="text1"/>
          <w:sz w:val="20"/>
          <w:szCs w:val="20"/>
        </w:rPr>
        <w:t xml:space="preserve"> </w:t>
      </w:r>
      <w:r w:rsidR="00032E4D" w:rsidRPr="008001CC">
        <w:rPr>
          <w:rFonts w:ascii="Arial" w:hAnsi="Arial" w:cs="Arial"/>
          <w:color w:val="000000" w:themeColor="text1"/>
          <w:sz w:val="20"/>
          <w:szCs w:val="20"/>
        </w:rPr>
        <w:t xml:space="preserve">povečati </w:t>
      </w:r>
      <w:r w:rsidRPr="008001CC">
        <w:rPr>
          <w:rFonts w:ascii="Arial" w:hAnsi="Arial" w:cs="Arial"/>
          <w:color w:val="000000" w:themeColor="text1"/>
          <w:sz w:val="20"/>
          <w:szCs w:val="20"/>
        </w:rPr>
        <w:t>z uporabo različnih pristopov</w:t>
      </w:r>
      <w:r w:rsidR="007D0B13" w:rsidRPr="008001CC">
        <w:rPr>
          <w:rFonts w:ascii="Arial" w:hAnsi="Arial" w:cs="Arial"/>
          <w:color w:val="000000" w:themeColor="text1"/>
          <w:sz w:val="20"/>
          <w:szCs w:val="20"/>
        </w:rPr>
        <w:t xml:space="preserve">. </w:t>
      </w:r>
      <w:r w:rsidRPr="008001CC">
        <w:rPr>
          <w:rFonts w:ascii="Arial" w:hAnsi="Arial" w:cs="Arial"/>
          <w:color w:val="000000" w:themeColor="text1"/>
          <w:sz w:val="20"/>
          <w:szCs w:val="20"/>
        </w:rPr>
        <w:t>K</w:t>
      </w:r>
      <w:r w:rsidR="007D0B13" w:rsidRPr="008001CC">
        <w:rPr>
          <w:rFonts w:ascii="Arial" w:hAnsi="Arial" w:cs="Arial"/>
          <w:color w:val="000000" w:themeColor="text1"/>
          <w:sz w:val="20"/>
          <w:szCs w:val="20"/>
        </w:rPr>
        <w:t xml:space="preserve">onkurenco </w:t>
      </w:r>
      <w:r w:rsidRPr="008001CC">
        <w:rPr>
          <w:rFonts w:ascii="Arial" w:hAnsi="Arial" w:cs="Arial"/>
          <w:color w:val="000000" w:themeColor="text1"/>
          <w:sz w:val="20"/>
          <w:szCs w:val="20"/>
        </w:rPr>
        <w:t xml:space="preserve">lahko krepimo </w:t>
      </w:r>
      <w:r w:rsidR="007D0B13" w:rsidRPr="008001CC">
        <w:rPr>
          <w:rFonts w:ascii="Arial" w:hAnsi="Arial" w:cs="Arial"/>
          <w:color w:val="000000" w:themeColor="text1"/>
          <w:sz w:val="20"/>
          <w:szCs w:val="20"/>
        </w:rPr>
        <w:t>z uporabo</w:t>
      </w:r>
      <w:r w:rsidR="005D3AFD" w:rsidRPr="008001CC">
        <w:rPr>
          <w:rFonts w:ascii="Arial" w:hAnsi="Arial" w:cs="Arial"/>
          <w:color w:val="000000" w:themeColor="text1"/>
          <w:sz w:val="20"/>
          <w:szCs w:val="20"/>
        </w:rPr>
        <w:t xml:space="preserve"> bolj</w:t>
      </w:r>
      <w:r w:rsidR="007D0B13" w:rsidRPr="008001CC">
        <w:rPr>
          <w:rFonts w:ascii="Arial" w:hAnsi="Arial" w:cs="Arial"/>
          <w:color w:val="000000" w:themeColor="text1"/>
          <w:sz w:val="20"/>
          <w:szCs w:val="20"/>
        </w:rPr>
        <w:t xml:space="preserve"> transpare</w:t>
      </w:r>
      <w:r w:rsidR="005D3AFD" w:rsidRPr="008001CC">
        <w:rPr>
          <w:rFonts w:ascii="Arial" w:hAnsi="Arial" w:cs="Arial"/>
          <w:color w:val="000000" w:themeColor="text1"/>
          <w:sz w:val="20"/>
          <w:szCs w:val="20"/>
        </w:rPr>
        <w:t>ntnih</w:t>
      </w:r>
      <w:r w:rsidR="007D0B13" w:rsidRPr="008001CC">
        <w:rPr>
          <w:rFonts w:ascii="Arial" w:hAnsi="Arial" w:cs="Arial"/>
          <w:color w:val="000000" w:themeColor="text1"/>
          <w:sz w:val="20"/>
          <w:szCs w:val="20"/>
        </w:rPr>
        <w:t xml:space="preserve"> postopkov (postopki</w:t>
      </w:r>
      <w:r w:rsidR="00032E4D" w:rsidRPr="008001CC">
        <w:rPr>
          <w:rFonts w:ascii="Arial" w:hAnsi="Arial" w:cs="Arial"/>
          <w:color w:val="000000" w:themeColor="text1"/>
          <w:sz w:val="20"/>
          <w:szCs w:val="20"/>
        </w:rPr>
        <w:t>,</w:t>
      </w:r>
      <w:r w:rsidR="007D0B13" w:rsidRPr="008001CC">
        <w:rPr>
          <w:rFonts w:ascii="Arial" w:hAnsi="Arial" w:cs="Arial"/>
          <w:color w:val="000000" w:themeColor="text1"/>
          <w:sz w:val="20"/>
          <w:szCs w:val="20"/>
        </w:rPr>
        <w:t xml:space="preserve"> objavljeni na portalu javnih naročil), kar lahko vodi k nižjim cenam in večji kakovosti</w:t>
      </w:r>
      <w:r w:rsidRPr="008001CC">
        <w:rPr>
          <w:rFonts w:ascii="Arial" w:hAnsi="Arial" w:cs="Arial"/>
          <w:color w:val="000000" w:themeColor="text1"/>
          <w:sz w:val="20"/>
          <w:szCs w:val="20"/>
        </w:rPr>
        <w:t xml:space="preserve"> </w:t>
      </w:r>
      <w:r w:rsidR="00A76DDA">
        <w:rPr>
          <w:rFonts w:ascii="Arial" w:hAnsi="Arial" w:cs="Arial"/>
          <w:color w:val="000000" w:themeColor="text1"/>
          <w:sz w:val="20"/>
          <w:szCs w:val="20"/>
        </w:rPr>
        <w:t>ter</w:t>
      </w:r>
      <w:r w:rsidRPr="008001CC">
        <w:rPr>
          <w:rFonts w:ascii="Arial" w:hAnsi="Arial" w:cs="Arial"/>
          <w:color w:val="000000" w:themeColor="text1"/>
          <w:sz w:val="20"/>
          <w:szCs w:val="20"/>
        </w:rPr>
        <w:t xml:space="preserve"> </w:t>
      </w:r>
      <w:r w:rsidR="00A76DDA">
        <w:rPr>
          <w:rFonts w:ascii="Arial" w:hAnsi="Arial" w:cs="Arial"/>
          <w:color w:val="000000" w:themeColor="text1"/>
          <w:sz w:val="20"/>
          <w:szCs w:val="20"/>
        </w:rPr>
        <w:t>s tem k</w:t>
      </w:r>
      <w:r w:rsidRPr="008001CC">
        <w:rPr>
          <w:rFonts w:ascii="Arial" w:hAnsi="Arial" w:cs="Arial"/>
          <w:color w:val="000000" w:themeColor="text1"/>
          <w:sz w:val="20"/>
          <w:szCs w:val="20"/>
        </w:rPr>
        <w:t xml:space="preserve"> večji vrednosti za državljane</w:t>
      </w:r>
      <w:r w:rsidR="007D0B13" w:rsidRPr="008001CC">
        <w:rPr>
          <w:rFonts w:ascii="Arial" w:hAnsi="Arial" w:cs="Arial"/>
          <w:color w:val="000000" w:themeColor="text1"/>
          <w:sz w:val="20"/>
          <w:szCs w:val="20"/>
        </w:rPr>
        <w:t xml:space="preserve">. </w:t>
      </w:r>
      <w:r w:rsidRPr="008001CC">
        <w:rPr>
          <w:rFonts w:ascii="Arial" w:hAnsi="Arial" w:cs="Arial"/>
          <w:color w:val="000000" w:themeColor="text1"/>
          <w:sz w:val="20"/>
          <w:szCs w:val="20"/>
        </w:rPr>
        <w:t xml:space="preserve">Dokumentacija za javna naročila je pogosto obsežna in zapletena, kar predvsem za manjše gospodarske subjekte pomeni, da je </w:t>
      </w:r>
      <w:r w:rsidR="007D0B13" w:rsidRPr="008001CC">
        <w:rPr>
          <w:rFonts w:ascii="Arial" w:hAnsi="Arial" w:cs="Arial"/>
          <w:color w:val="000000" w:themeColor="text1"/>
          <w:sz w:val="20"/>
          <w:szCs w:val="20"/>
        </w:rPr>
        <w:t xml:space="preserve">priprava ponudbe zapletena in jih odvrača od oddaje ponudbe, kar </w:t>
      </w:r>
      <w:r w:rsidRPr="008001CC">
        <w:rPr>
          <w:rFonts w:ascii="Arial" w:hAnsi="Arial" w:cs="Arial"/>
          <w:color w:val="000000" w:themeColor="text1"/>
          <w:sz w:val="20"/>
          <w:szCs w:val="20"/>
        </w:rPr>
        <w:t>zmanjšuje</w:t>
      </w:r>
      <w:r w:rsidR="007D0B13" w:rsidRPr="008001CC">
        <w:rPr>
          <w:rFonts w:ascii="Arial" w:hAnsi="Arial" w:cs="Arial"/>
          <w:color w:val="000000" w:themeColor="text1"/>
          <w:sz w:val="20"/>
          <w:szCs w:val="20"/>
        </w:rPr>
        <w:t xml:space="preserve"> konkurenco</w:t>
      </w:r>
      <w:r w:rsidRPr="008001CC">
        <w:rPr>
          <w:rFonts w:ascii="Arial" w:hAnsi="Arial" w:cs="Arial"/>
          <w:color w:val="000000" w:themeColor="text1"/>
          <w:sz w:val="20"/>
          <w:szCs w:val="20"/>
        </w:rPr>
        <w:t xml:space="preserve">, </w:t>
      </w:r>
      <w:r w:rsidR="00A76DDA">
        <w:rPr>
          <w:rFonts w:ascii="Arial" w:hAnsi="Arial" w:cs="Arial"/>
          <w:color w:val="000000" w:themeColor="text1"/>
          <w:sz w:val="20"/>
          <w:szCs w:val="20"/>
        </w:rPr>
        <w:t>zato</w:t>
      </w:r>
      <w:r w:rsidRPr="008001CC">
        <w:rPr>
          <w:rFonts w:ascii="Arial" w:hAnsi="Arial" w:cs="Arial"/>
          <w:color w:val="000000" w:themeColor="text1"/>
          <w:sz w:val="20"/>
          <w:szCs w:val="20"/>
        </w:rPr>
        <w:t xml:space="preserve"> so stroški za naročnike večji</w:t>
      </w:r>
      <w:r w:rsidR="007D0B13" w:rsidRPr="008001CC">
        <w:rPr>
          <w:rFonts w:ascii="Arial" w:hAnsi="Arial" w:cs="Arial"/>
          <w:color w:val="000000" w:themeColor="text1"/>
          <w:sz w:val="20"/>
          <w:szCs w:val="20"/>
        </w:rPr>
        <w:t xml:space="preserve">. Za spodbujanje sodelovanja manjših gospodarskih subjektov je </w:t>
      </w:r>
      <w:r w:rsidRPr="008001CC">
        <w:rPr>
          <w:rFonts w:ascii="Arial" w:hAnsi="Arial" w:cs="Arial"/>
          <w:color w:val="000000" w:themeColor="text1"/>
          <w:sz w:val="20"/>
          <w:szCs w:val="20"/>
        </w:rPr>
        <w:t>treb</w:t>
      </w:r>
      <w:r w:rsidR="00A76DDA">
        <w:rPr>
          <w:rFonts w:ascii="Arial" w:hAnsi="Arial" w:cs="Arial"/>
          <w:color w:val="000000" w:themeColor="text1"/>
          <w:sz w:val="20"/>
          <w:szCs w:val="20"/>
        </w:rPr>
        <w:t>a</w:t>
      </w:r>
      <w:r w:rsidR="007D0B13" w:rsidRPr="008001CC">
        <w:rPr>
          <w:rFonts w:ascii="Arial" w:hAnsi="Arial" w:cs="Arial"/>
          <w:color w:val="000000" w:themeColor="text1"/>
          <w:sz w:val="20"/>
          <w:szCs w:val="20"/>
        </w:rPr>
        <w:t xml:space="preserve"> poenostaviti postopke, zmanjšati </w:t>
      </w:r>
      <w:r w:rsidR="00A76DDA">
        <w:rPr>
          <w:rFonts w:ascii="Arial" w:hAnsi="Arial" w:cs="Arial"/>
          <w:color w:val="000000" w:themeColor="text1"/>
          <w:sz w:val="20"/>
          <w:szCs w:val="20"/>
        </w:rPr>
        <w:t>upravne</w:t>
      </w:r>
      <w:r w:rsidR="007D0B13" w:rsidRPr="008001CC">
        <w:rPr>
          <w:rFonts w:ascii="Arial" w:hAnsi="Arial" w:cs="Arial"/>
          <w:color w:val="000000" w:themeColor="text1"/>
          <w:sz w:val="20"/>
          <w:szCs w:val="20"/>
        </w:rPr>
        <w:t xml:space="preserve"> ovire ter jim tako omogočiti učinkovito sodelovanje v postopkih.</w:t>
      </w:r>
      <w:r w:rsidR="007D0B13" w:rsidRPr="008001CC">
        <w:rPr>
          <w:rFonts w:ascii="Arial" w:hAnsi="Arial" w:cs="Arial"/>
          <w:b/>
          <w:bCs/>
          <w:color w:val="000000" w:themeColor="text1"/>
          <w:sz w:val="20"/>
          <w:szCs w:val="20"/>
        </w:rPr>
        <w:t xml:space="preserve"> </w:t>
      </w:r>
      <w:r w:rsidR="007D0B13" w:rsidRPr="008001CC">
        <w:rPr>
          <w:rFonts w:ascii="Arial" w:hAnsi="Arial" w:cs="Arial"/>
          <w:color w:val="000000" w:themeColor="text1"/>
          <w:sz w:val="20"/>
          <w:szCs w:val="20"/>
        </w:rPr>
        <w:t xml:space="preserve">Za povečanje učinkovitosti javnega naročanja </w:t>
      </w:r>
      <w:r w:rsidR="00A76DDA">
        <w:rPr>
          <w:rFonts w:ascii="Arial" w:hAnsi="Arial" w:cs="Arial"/>
          <w:color w:val="000000" w:themeColor="text1"/>
          <w:sz w:val="20"/>
          <w:szCs w:val="20"/>
        </w:rPr>
        <w:t>sta</w:t>
      </w:r>
      <w:r w:rsidR="007D0B13" w:rsidRPr="008001CC">
        <w:rPr>
          <w:rFonts w:ascii="Arial" w:hAnsi="Arial" w:cs="Arial"/>
          <w:color w:val="000000" w:themeColor="text1"/>
          <w:sz w:val="20"/>
          <w:szCs w:val="20"/>
        </w:rPr>
        <w:t xml:space="preserve"> ključn</w:t>
      </w:r>
      <w:r w:rsidR="00A76DDA">
        <w:rPr>
          <w:rFonts w:ascii="Arial" w:hAnsi="Arial" w:cs="Arial"/>
          <w:color w:val="000000" w:themeColor="text1"/>
          <w:sz w:val="20"/>
          <w:szCs w:val="20"/>
        </w:rPr>
        <w:t>i</w:t>
      </w:r>
      <w:r w:rsidR="007D0B13" w:rsidRPr="008001CC">
        <w:rPr>
          <w:rFonts w:ascii="Arial" w:hAnsi="Arial" w:cs="Arial"/>
          <w:color w:val="000000" w:themeColor="text1"/>
          <w:sz w:val="20"/>
          <w:szCs w:val="20"/>
        </w:rPr>
        <w:t xml:space="preserve"> večja transparentnost postopkov </w:t>
      </w:r>
      <w:r w:rsidR="00A76DDA">
        <w:rPr>
          <w:rFonts w:ascii="Arial" w:hAnsi="Arial" w:cs="Arial"/>
          <w:color w:val="000000" w:themeColor="text1"/>
          <w:sz w:val="20"/>
          <w:szCs w:val="20"/>
        </w:rPr>
        <w:t>in</w:t>
      </w:r>
      <w:r w:rsidR="007D0B13" w:rsidRPr="008001CC">
        <w:rPr>
          <w:rFonts w:ascii="Arial" w:hAnsi="Arial" w:cs="Arial"/>
          <w:color w:val="000000" w:themeColor="text1"/>
          <w:sz w:val="20"/>
          <w:szCs w:val="20"/>
        </w:rPr>
        <w:t xml:space="preserve"> spodbujanje konkurence med ponudniki</w:t>
      </w:r>
      <w:r w:rsidRPr="008001CC">
        <w:rPr>
          <w:rFonts w:ascii="Arial" w:hAnsi="Arial" w:cs="Arial"/>
          <w:color w:val="000000" w:themeColor="text1"/>
          <w:sz w:val="20"/>
          <w:szCs w:val="20"/>
        </w:rPr>
        <w:t>, tako domačimi kot tudi ponudniki iz tujine</w:t>
      </w:r>
      <w:r w:rsidR="007D0B13" w:rsidRPr="008001CC">
        <w:rPr>
          <w:rFonts w:ascii="Arial" w:hAnsi="Arial" w:cs="Arial"/>
          <w:color w:val="000000" w:themeColor="text1"/>
          <w:sz w:val="20"/>
          <w:szCs w:val="20"/>
        </w:rPr>
        <w:t>. To lahko dosežemo z nadaljnjim razvojem digitalizacije in avtomatizacije procesov v sistemu javnega naročanja</w:t>
      </w:r>
      <w:r w:rsidRPr="008001CC">
        <w:rPr>
          <w:rFonts w:ascii="Arial" w:hAnsi="Arial" w:cs="Arial"/>
          <w:color w:val="000000" w:themeColor="text1"/>
          <w:sz w:val="20"/>
          <w:szCs w:val="20"/>
        </w:rPr>
        <w:t xml:space="preserve"> </w:t>
      </w:r>
      <w:r w:rsidR="00EA1458">
        <w:rPr>
          <w:rFonts w:ascii="Arial" w:hAnsi="Arial" w:cs="Arial"/>
          <w:color w:val="000000" w:themeColor="text1"/>
          <w:sz w:val="20"/>
          <w:szCs w:val="20"/>
        </w:rPr>
        <w:t>ter</w:t>
      </w:r>
      <w:r w:rsidRPr="008001CC">
        <w:rPr>
          <w:rFonts w:ascii="Arial" w:hAnsi="Arial" w:cs="Arial"/>
          <w:color w:val="000000" w:themeColor="text1"/>
          <w:sz w:val="20"/>
          <w:szCs w:val="20"/>
        </w:rPr>
        <w:t xml:space="preserve"> </w:t>
      </w:r>
      <w:r w:rsidR="00EA1458">
        <w:rPr>
          <w:rFonts w:ascii="Arial" w:hAnsi="Arial" w:cs="Arial"/>
          <w:color w:val="000000" w:themeColor="text1"/>
          <w:sz w:val="20"/>
          <w:szCs w:val="20"/>
        </w:rPr>
        <w:t xml:space="preserve">z </w:t>
      </w:r>
      <w:r w:rsidRPr="008001CC">
        <w:rPr>
          <w:rFonts w:ascii="Arial" w:hAnsi="Arial" w:cs="Arial"/>
          <w:color w:val="000000" w:themeColor="text1"/>
          <w:sz w:val="20"/>
          <w:szCs w:val="20"/>
        </w:rPr>
        <w:t>vpeljavo novih tehnologij in postopkov ter dobih praks</w:t>
      </w:r>
      <w:r w:rsidR="007D0B13" w:rsidRPr="008001CC">
        <w:rPr>
          <w:rFonts w:ascii="Arial" w:hAnsi="Arial" w:cs="Arial"/>
          <w:color w:val="000000" w:themeColor="text1"/>
          <w:sz w:val="20"/>
          <w:szCs w:val="20"/>
        </w:rPr>
        <w:t>.</w:t>
      </w:r>
    </w:p>
    <w:p w14:paraId="2FB619A7" w14:textId="421BCD11" w:rsidR="007D0B13" w:rsidRPr="008001CC" w:rsidRDefault="00B61879" w:rsidP="007D0B13">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 xml:space="preserve">Skupno javno naročanje </w:t>
      </w:r>
      <w:r w:rsidR="00EA1458">
        <w:rPr>
          <w:rFonts w:ascii="Arial" w:hAnsi="Arial" w:cs="Arial"/>
          <w:color w:val="000000" w:themeColor="text1"/>
          <w:sz w:val="20"/>
          <w:szCs w:val="20"/>
        </w:rPr>
        <w:t>je</w:t>
      </w:r>
      <w:r w:rsidRPr="008001CC">
        <w:rPr>
          <w:rFonts w:ascii="Arial" w:hAnsi="Arial" w:cs="Arial"/>
          <w:color w:val="000000" w:themeColor="text1"/>
          <w:sz w:val="20"/>
          <w:szCs w:val="20"/>
        </w:rPr>
        <w:t xml:space="preserve"> še en vidik, s katerim lahko dosežemo več</w:t>
      </w:r>
      <w:r w:rsidR="007D0B13" w:rsidRPr="008001CC">
        <w:rPr>
          <w:rFonts w:ascii="Arial" w:hAnsi="Arial" w:cs="Arial"/>
          <w:color w:val="000000" w:themeColor="text1"/>
          <w:sz w:val="20"/>
          <w:szCs w:val="20"/>
        </w:rPr>
        <w:t xml:space="preserve">jo učinkovitost in gospodarnost </w:t>
      </w:r>
      <w:r w:rsidRPr="008001CC">
        <w:rPr>
          <w:rFonts w:ascii="Arial" w:hAnsi="Arial" w:cs="Arial"/>
          <w:color w:val="000000" w:themeColor="text1"/>
          <w:sz w:val="20"/>
          <w:szCs w:val="20"/>
        </w:rPr>
        <w:t>v javnem naročanju. To la</w:t>
      </w:r>
      <w:r w:rsidR="007D0B13" w:rsidRPr="008001CC">
        <w:rPr>
          <w:rFonts w:ascii="Arial" w:hAnsi="Arial" w:cs="Arial"/>
          <w:color w:val="000000" w:themeColor="text1"/>
          <w:sz w:val="20"/>
          <w:szCs w:val="20"/>
        </w:rPr>
        <w:t>hko dosežemo tudi s spodbujanjem in informiranjem naročnikov o prednostih skupnega javnega naročanja</w:t>
      </w:r>
      <w:r w:rsidRPr="008001CC">
        <w:rPr>
          <w:rFonts w:ascii="Arial" w:hAnsi="Arial" w:cs="Arial"/>
          <w:color w:val="000000" w:themeColor="text1"/>
          <w:sz w:val="20"/>
          <w:szCs w:val="20"/>
        </w:rPr>
        <w:t xml:space="preserve"> in ekonomiji obsega</w:t>
      </w:r>
      <w:r w:rsidR="007D0B13" w:rsidRPr="008001CC">
        <w:rPr>
          <w:rFonts w:ascii="Arial" w:hAnsi="Arial" w:cs="Arial"/>
          <w:color w:val="000000" w:themeColor="text1"/>
          <w:sz w:val="20"/>
          <w:szCs w:val="20"/>
        </w:rPr>
        <w:t xml:space="preserve">. Predvsem spodbujanje manjših naročnikov k uporabi skupnega javnega naročanja bo omogočilo večjo učinkovitost </w:t>
      </w:r>
      <w:r w:rsidR="00EA1458">
        <w:rPr>
          <w:rFonts w:ascii="Arial" w:hAnsi="Arial" w:cs="Arial"/>
          <w:color w:val="000000" w:themeColor="text1"/>
          <w:sz w:val="20"/>
          <w:szCs w:val="20"/>
        </w:rPr>
        <w:t>ter finančne in</w:t>
      </w:r>
      <w:r w:rsidR="00EA1458" w:rsidRPr="008001CC">
        <w:rPr>
          <w:rFonts w:ascii="Arial" w:hAnsi="Arial" w:cs="Arial"/>
          <w:color w:val="000000" w:themeColor="text1"/>
          <w:sz w:val="20"/>
          <w:szCs w:val="20"/>
        </w:rPr>
        <w:t xml:space="preserve"> časovne</w:t>
      </w:r>
      <w:r w:rsidR="00EA1458" w:rsidRPr="008001CC" w:rsidDel="00EA1458">
        <w:rPr>
          <w:rFonts w:ascii="Arial" w:hAnsi="Arial" w:cs="Arial"/>
          <w:color w:val="000000" w:themeColor="text1"/>
          <w:sz w:val="20"/>
          <w:szCs w:val="20"/>
        </w:rPr>
        <w:t xml:space="preserve"> </w:t>
      </w:r>
      <w:r w:rsidR="007D0B13" w:rsidRPr="008001CC">
        <w:rPr>
          <w:rFonts w:ascii="Arial" w:hAnsi="Arial" w:cs="Arial"/>
          <w:color w:val="000000" w:themeColor="text1"/>
          <w:sz w:val="20"/>
          <w:szCs w:val="20"/>
        </w:rPr>
        <w:t>prihranke. Prav tako je smotrno spodbuja</w:t>
      </w:r>
      <w:r w:rsidR="00032E4D" w:rsidRPr="008001CC">
        <w:rPr>
          <w:rFonts w:ascii="Arial" w:hAnsi="Arial" w:cs="Arial"/>
          <w:color w:val="000000" w:themeColor="text1"/>
          <w:sz w:val="20"/>
          <w:szCs w:val="20"/>
        </w:rPr>
        <w:t>ti</w:t>
      </w:r>
      <w:r w:rsidR="007D0B13" w:rsidRPr="008001CC">
        <w:rPr>
          <w:rFonts w:ascii="Arial" w:hAnsi="Arial" w:cs="Arial"/>
          <w:color w:val="000000" w:themeColor="text1"/>
          <w:sz w:val="20"/>
          <w:szCs w:val="20"/>
        </w:rPr>
        <w:t xml:space="preserve"> naročnik</w:t>
      </w:r>
      <w:r w:rsidR="00032E4D" w:rsidRPr="008001CC">
        <w:rPr>
          <w:rFonts w:ascii="Arial" w:hAnsi="Arial" w:cs="Arial"/>
          <w:color w:val="000000" w:themeColor="text1"/>
          <w:sz w:val="20"/>
          <w:szCs w:val="20"/>
        </w:rPr>
        <w:t>e</w:t>
      </w:r>
      <w:r w:rsidR="007D0B13" w:rsidRPr="008001CC">
        <w:rPr>
          <w:rFonts w:ascii="Arial" w:hAnsi="Arial" w:cs="Arial"/>
          <w:color w:val="000000" w:themeColor="text1"/>
          <w:sz w:val="20"/>
          <w:szCs w:val="20"/>
        </w:rPr>
        <w:t xml:space="preserve"> k uporabi elektronskih dražb, ki zagotavljajo visoko stopnjo transparentnosti </w:t>
      </w:r>
      <w:r w:rsidR="00032E4D" w:rsidRPr="008001CC">
        <w:rPr>
          <w:rFonts w:ascii="Arial" w:hAnsi="Arial" w:cs="Arial"/>
          <w:color w:val="000000" w:themeColor="text1"/>
          <w:sz w:val="20"/>
          <w:szCs w:val="20"/>
        </w:rPr>
        <w:t>in</w:t>
      </w:r>
      <w:r w:rsidR="007D0B13" w:rsidRPr="008001CC">
        <w:rPr>
          <w:rFonts w:ascii="Arial" w:hAnsi="Arial" w:cs="Arial"/>
          <w:color w:val="000000" w:themeColor="text1"/>
          <w:sz w:val="20"/>
          <w:szCs w:val="20"/>
        </w:rPr>
        <w:t xml:space="preserve"> prihrank</w:t>
      </w:r>
      <w:r w:rsidR="00032E4D" w:rsidRPr="008001CC">
        <w:rPr>
          <w:rFonts w:ascii="Arial" w:hAnsi="Arial" w:cs="Arial"/>
          <w:color w:val="000000" w:themeColor="text1"/>
          <w:sz w:val="20"/>
          <w:szCs w:val="20"/>
        </w:rPr>
        <w:t>e</w:t>
      </w:r>
      <w:r w:rsidR="007D0B13" w:rsidRPr="008001CC">
        <w:rPr>
          <w:rFonts w:ascii="Arial" w:hAnsi="Arial" w:cs="Arial"/>
          <w:color w:val="000000" w:themeColor="text1"/>
          <w:sz w:val="20"/>
          <w:szCs w:val="20"/>
        </w:rPr>
        <w:t>.</w:t>
      </w:r>
    </w:p>
    <w:p w14:paraId="7802F91A" w14:textId="67EE6A82" w:rsidR="007D0B13" w:rsidRPr="008001CC" w:rsidRDefault="00B61879" w:rsidP="007D0B13">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 xml:space="preserve">Javno naročanje ima pomembno vlogo tudi pri </w:t>
      </w:r>
      <w:r w:rsidR="006823A8" w:rsidRPr="008001CC">
        <w:rPr>
          <w:rFonts w:ascii="Arial" w:hAnsi="Arial" w:cs="Arial"/>
          <w:color w:val="000000" w:themeColor="text1"/>
          <w:sz w:val="20"/>
          <w:szCs w:val="20"/>
        </w:rPr>
        <w:t xml:space="preserve">ohranjanju naravnega in socialnega okolja, v katerem živimo. </w:t>
      </w:r>
      <w:r w:rsidR="007D0B13" w:rsidRPr="008001CC">
        <w:rPr>
          <w:rFonts w:ascii="Arial" w:hAnsi="Arial" w:cs="Arial"/>
          <w:color w:val="000000" w:themeColor="text1"/>
          <w:sz w:val="20"/>
          <w:szCs w:val="20"/>
        </w:rPr>
        <w:t>Pomemb</w:t>
      </w:r>
      <w:r w:rsidR="006823A8" w:rsidRPr="008001CC">
        <w:rPr>
          <w:rFonts w:ascii="Arial" w:hAnsi="Arial" w:cs="Arial"/>
          <w:color w:val="000000" w:themeColor="text1"/>
          <w:sz w:val="20"/>
          <w:szCs w:val="20"/>
        </w:rPr>
        <w:t>no je</w:t>
      </w:r>
      <w:r w:rsidR="007D0B13" w:rsidRPr="008001CC">
        <w:rPr>
          <w:rFonts w:ascii="Arial" w:hAnsi="Arial" w:cs="Arial"/>
          <w:color w:val="000000" w:themeColor="text1"/>
          <w:sz w:val="20"/>
          <w:szCs w:val="20"/>
        </w:rPr>
        <w:t xml:space="preserve"> spodbujanje naročnikov k vključevanju </w:t>
      </w:r>
      <w:proofErr w:type="spellStart"/>
      <w:r w:rsidR="007D0B13" w:rsidRPr="008001CC">
        <w:rPr>
          <w:rFonts w:ascii="Arial" w:hAnsi="Arial" w:cs="Arial"/>
          <w:color w:val="000000" w:themeColor="text1"/>
          <w:sz w:val="20"/>
          <w:szCs w:val="20"/>
        </w:rPr>
        <w:t>okoljskih</w:t>
      </w:r>
      <w:proofErr w:type="spellEnd"/>
      <w:r w:rsidR="007D0B13" w:rsidRPr="008001CC">
        <w:rPr>
          <w:rFonts w:ascii="Arial" w:hAnsi="Arial" w:cs="Arial"/>
          <w:color w:val="000000" w:themeColor="text1"/>
          <w:sz w:val="20"/>
          <w:szCs w:val="20"/>
        </w:rPr>
        <w:t xml:space="preserve"> in socialnih vidikov v postopke javnih naročil, kar je mogoče doseči z ozaveščanjem, izobraževanjem ter postavljanjem jasnih smernic in ciljev glede zelenega in družbeno odgovornega javnega naročanja</w:t>
      </w:r>
      <w:r w:rsidR="006823A8" w:rsidRPr="008001CC">
        <w:rPr>
          <w:rFonts w:ascii="Arial" w:hAnsi="Arial" w:cs="Arial"/>
          <w:color w:val="000000" w:themeColor="text1"/>
          <w:sz w:val="20"/>
          <w:szCs w:val="20"/>
        </w:rPr>
        <w:t xml:space="preserve">, da poleg zagotavljanja največje vrednosti za naročnike zagotavljamo tudi </w:t>
      </w:r>
      <w:r w:rsidR="00E021DB" w:rsidRPr="008001CC">
        <w:rPr>
          <w:rFonts w:ascii="Arial" w:hAnsi="Arial" w:cs="Arial"/>
          <w:color w:val="000000" w:themeColor="text1"/>
          <w:sz w:val="20"/>
          <w:szCs w:val="20"/>
        </w:rPr>
        <w:t xml:space="preserve">uporabo okolju prijaznih tehnologij in </w:t>
      </w:r>
      <w:r w:rsidR="006823A8" w:rsidRPr="008001CC">
        <w:rPr>
          <w:rFonts w:ascii="Arial" w:hAnsi="Arial" w:cs="Arial"/>
          <w:color w:val="000000" w:themeColor="text1"/>
          <w:sz w:val="20"/>
          <w:szCs w:val="20"/>
        </w:rPr>
        <w:t xml:space="preserve">pravično socialno okolje </w:t>
      </w:r>
      <w:r w:rsidR="00EA1458">
        <w:rPr>
          <w:rFonts w:ascii="Arial" w:hAnsi="Arial" w:cs="Arial"/>
          <w:color w:val="000000" w:themeColor="text1"/>
          <w:sz w:val="20"/>
          <w:szCs w:val="20"/>
        </w:rPr>
        <w:t>ter</w:t>
      </w:r>
      <w:r w:rsidR="006823A8" w:rsidRPr="008001CC">
        <w:rPr>
          <w:rFonts w:ascii="Arial" w:hAnsi="Arial" w:cs="Arial"/>
          <w:color w:val="000000" w:themeColor="text1"/>
          <w:sz w:val="20"/>
          <w:szCs w:val="20"/>
        </w:rPr>
        <w:t xml:space="preserve"> </w:t>
      </w:r>
      <w:r w:rsidR="00EA1458">
        <w:rPr>
          <w:rFonts w:ascii="Arial" w:hAnsi="Arial" w:cs="Arial"/>
          <w:color w:val="000000" w:themeColor="text1"/>
          <w:sz w:val="20"/>
          <w:szCs w:val="20"/>
        </w:rPr>
        <w:t>s</w:t>
      </w:r>
      <w:r w:rsidR="006823A8" w:rsidRPr="008001CC">
        <w:rPr>
          <w:rFonts w:ascii="Arial" w:hAnsi="Arial" w:cs="Arial"/>
          <w:color w:val="000000" w:themeColor="text1"/>
          <w:sz w:val="20"/>
          <w:szCs w:val="20"/>
        </w:rPr>
        <w:t>podbujamo vpeljavo dobrih praks v gospodarsko okolje</w:t>
      </w:r>
      <w:r w:rsidR="007D0B13" w:rsidRPr="008001CC">
        <w:rPr>
          <w:rFonts w:ascii="Arial" w:hAnsi="Arial" w:cs="Arial"/>
          <w:color w:val="000000" w:themeColor="text1"/>
          <w:sz w:val="20"/>
          <w:szCs w:val="20"/>
        </w:rPr>
        <w:t>.</w:t>
      </w:r>
    </w:p>
    <w:p w14:paraId="14FE684A" w14:textId="51DCD020" w:rsidR="00CD2179" w:rsidRPr="008001CC" w:rsidRDefault="007D0B13" w:rsidP="00CD2179">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Viso</w:t>
      </w:r>
      <w:r w:rsidR="00032E4D" w:rsidRPr="008001CC">
        <w:rPr>
          <w:rFonts w:ascii="Arial" w:hAnsi="Arial" w:cs="Arial"/>
          <w:color w:val="000000" w:themeColor="text1"/>
          <w:sz w:val="20"/>
          <w:szCs w:val="20"/>
        </w:rPr>
        <w:t>ka raven</w:t>
      </w:r>
      <w:r w:rsidRPr="008001CC">
        <w:rPr>
          <w:rFonts w:ascii="Arial" w:hAnsi="Arial" w:cs="Arial"/>
          <w:color w:val="000000" w:themeColor="text1"/>
          <w:sz w:val="20"/>
          <w:szCs w:val="20"/>
        </w:rPr>
        <w:t xml:space="preserve"> usposobljenosti vseh udeležencev v postopkih javnega naročanja je bistvenega pomena za uspeš</w:t>
      </w:r>
      <w:r w:rsidR="00EA1458">
        <w:rPr>
          <w:rFonts w:ascii="Arial" w:hAnsi="Arial" w:cs="Arial"/>
          <w:color w:val="000000" w:themeColor="text1"/>
          <w:sz w:val="20"/>
          <w:szCs w:val="20"/>
        </w:rPr>
        <w:t>nost</w:t>
      </w:r>
      <w:r w:rsidRPr="008001CC">
        <w:rPr>
          <w:rFonts w:ascii="Arial" w:hAnsi="Arial" w:cs="Arial"/>
          <w:color w:val="000000" w:themeColor="text1"/>
          <w:sz w:val="20"/>
          <w:szCs w:val="20"/>
        </w:rPr>
        <w:t xml:space="preserve"> sistem</w:t>
      </w:r>
      <w:r w:rsidR="00EA1458">
        <w:rPr>
          <w:rFonts w:ascii="Arial" w:hAnsi="Arial" w:cs="Arial"/>
          <w:color w:val="000000" w:themeColor="text1"/>
          <w:sz w:val="20"/>
          <w:szCs w:val="20"/>
        </w:rPr>
        <w:t>a</w:t>
      </w:r>
      <w:r w:rsidRPr="008001CC">
        <w:rPr>
          <w:rFonts w:ascii="Arial" w:hAnsi="Arial" w:cs="Arial"/>
          <w:color w:val="000000" w:themeColor="text1"/>
          <w:sz w:val="20"/>
          <w:szCs w:val="20"/>
        </w:rPr>
        <w:t>, kar pa je mogoče doseči z rednimi izobraževanji in usposabljanji, predvsem naročnikov o aktualni zakonodaji in najboljših praksah pri izvajanju javnih naročil, da bodo bolje razumeli postopke in jih izvajali učinkoviteje.</w:t>
      </w:r>
      <w:r w:rsidR="00CD2179" w:rsidRPr="008001CC">
        <w:rPr>
          <w:rFonts w:ascii="Arial" w:hAnsi="Arial" w:cs="Arial"/>
          <w:color w:val="000000" w:themeColor="text1"/>
          <w:sz w:val="20"/>
          <w:szCs w:val="20"/>
        </w:rPr>
        <w:t xml:space="preserve"> Potreba po večji usposobljenosti uslužbencev, ki delujejo na področju javnega naročanja, je bila namreč prepoznana ne samo v slovenskem prostoru javnih naročil, temveč tudi na evropski ravni. </w:t>
      </w:r>
      <w:r w:rsidR="006823A8" w:rsidRPr="008001CC">
        <w:rPr>
          <w:rFonts w:ascii="Arial" w:hAnsi="Arial" w:cs="Arial"/>
          <w:color w:val="000000" w:themeColor="text1"/>
          <w:sz w:val="20"/>
          <w:szCs w:val="20"/>
        </w:rPr>
        <w:t>M</w:t>
      </w:r>
      <w:r w:rsidR="00CD2179" w:rsidRPr="008001CC">
        <w:rPr>
          <w:rFonts w:ascii="Arial" w:hAnsi="Arial" w:cs="Arial"/>
          <w:color w:val="000000" w:themeColor="text1"/>
          <w:sz w:val="20"/>
          <w:szCs w:val="20"/>
        </w:rPr>
        <w:t xml:space="preserve">inistrstvo </w:t>
      </w:r>
      <w:r w:rsidR="006823A8" w:rsidRPr="008001CC">
        <w:rPr>
          <w:rFonts w:ascii="Arial" w:hAnsi="Arial" w:cs="Arial"/>
          <w:color w:val="000000" w:themeColor="text1"/>
          <w:sz w:val="20"/>
          <w:szCs w:val="20"/>
        </w:rPr>
        <w:t xml:space="preserve">za javno upravo podpira </w:t>
      </w:r>
      <w:r w:rsidR="00CD2179" w:rsidRPr="008001CC">
        <w:rPr>
          <w:rFonts w:ascii="Arial" w:hAnsi="Arial" w:cs="Arial"/>
          <w:color w:val="000000" w:themeColor="text1"/>
          <w:sz w:val="20"/>
          <w:szCs w:val="20"/>
        </w:rPr>
        <w:t>razvoj kompetenc na področju javnega naročanja</w:t>
      </w:r>
      <w:r w:rsidR="006823A8" w:rsidRPr="008001CC">
        <w:rPr>
          <w:rFonts w:ascii="Arial" w:hAnsi="Arial" w:cs="Arial"/>
          <w:color w:val="000000" w:themeColor="text1"/>
          <w:sz w:val="20"/>
          <w:szCs w:val="20"/>
        </w:rPr>
        <w:t xml:space="preserve"> in stremi k </w:t>
      </w:r>
      <w:r w:rsidR="00CD2179" w:rsidRPr="008001CC">
        <w:rPr>
          <w:rFonts w:ascii="Arial" w:hAnsi="Arial" w:cs="Arial"/>
          <w:color w:val="000000" w:themeColor="text1"/>
          <w:sz w:val="20"/>
          <w:szCs w:val="20"/>
        </w:rPr>
        <w:t>oblikovanj</w:t>
      </w:r>
      <w:r w:rsidR="006823A8" w:rsidRPr="008001CC">
        <w:rPr>
          <w:rFonts w:ascii="Arial" w:hAnsi="Arial" w:cs="Arial"/>
          <w:color w:val="000000" w:themeColor="text1"/>
          <w:sz w:val="20"/>
          <w:szCs w:val="20"/>
        </w:rPr>
        <w:t>u</w:t>
      </w:r>
      <w:r w:rsidR="00CD2179" w:rsidRPr="008001CC">
        <w:rPr>
          <w:rFonts w:ascii="Arial" w:hAnsi="Arial" w:cs="Arial"/>
          <w:color w:val="000000" w:themeColor="text1"/>
          <w:sz w:val="20"/>
          <w:szCs w:val="20"/>
        </w:rPr>
        <w:t xml:space="preserve"> (enotnih) struktur znanj in veščin, sposobnosti in osebnostnih značilnosti posameznika, ki deluje na področju javnega naročanja, v podporo doseganju tega pa</w:t>
      </w:r>
      <w:r w:rsidR="007F323C" w:rsidRPr="008001CC">
        <w:rPr>
          <w:rFonts w:ascii="Arial" w:hAnsi="Arial" w:cs="Arial"/>
          <w:color w:val="000000" w:themeColor="text1"/>
          <w:sz w:val="20"/>
          <w:szCs w:val="20"/>
        </w:rPr>
        <w:t xml:space="preserve"> je</w:t>
      </w:r>
      <w:r w:rsidR="00CD2179" w:rsidRPr="008001CC">
        <w:rPr>
          <w:rFonts w:ascii="Arial" w:hAnsi="Arial" w:cs="Arial"/>
          <w:color w:val="000000" w:themeColor="text1"/>
          <w:sz w:val="20"/>
          <w:szCs w:val="20"/>
        </w:rPr>
        <w:t xml:space="preserve"> tudi Akademija javnega naročanja</w:t>
      </w:r>
      <w:r w:rsidR="00EA1458">
        <w:rPr>
          <w:rFonts w:ascii="Arial" w:hAnsi="Arial" w:cs="Arial"/>
          <w:color w:val="000000" w:themeColor="text1"/>
          <w:sz w:val="20"/>
          <w:szCs w:val="20"/>
        </w:rPr>
        <w:t xml:space="preserve"> z različnimi</w:t>
      </w:r>
      <w:r w:rsidR="00CD2179" w:rsidRPr="008001CC">
        <w:rPr>
          <w:rFonts w:ascii="Arial" w:hAnsi="Arial" w:cs="Arial"/>
          <w:color w:val="000000" w:themeColor="text1"/>
          <w:sz w:val="20"/>
          <w:szCs w:val="20"/>
        </w:rPr>
        <w:t xml:space="preserve"> modul</w:t>
      </w:r>
      <w:r w:rsidR="00EA1458">
        <w:rPr>
          <w:rFonts w:ascii="Arial" w:hAnsi="Arial" w:cs="Arial"/>
          <w:color w:val="000000" w:themeColor="text1"/>
          <w:sz w:val="20"/>
          <w:szCs w:val="20"/>
        </w:rPr>
        <w:t>i, ki</w:t>
      </w:r>
      <w:r w:rsidR="00CD2179" w:rsidRPr="008001CC">
        <w:rPr>
          <w:rFonts w:ascii="Arial" w:hAnsi="Arial" w:cs="Arial"/>
          <w:color w:val="000000" w:themeColor="text1"/>
          <w:sz w:val="20"/>
          <w:szCs w:val="20"/>
        </w:rPr>
        <w:t xml:space="preserve"> omogoča pridobivanje ustreznih znanj na področju javnega naročanja za različne </w:t>
      </w:r>
      <w:r w:rsidR="000A1D4B">
        <w:rPr>
          <w:rFonts w:ascii="Arial" w:hAnsi="Arial" w:cs="Arial"/>
          <w:color w:val="000000" w:themeColor="text1"/>
          <w:sz w:val="20"/>
          <w:szCs w:val="20"/>
        </w:rPr>
        <w:t xml:space="preserve">vrste </w:t>
      </w:r>
      <w:r w:rsidR="00CD2179" w:rsidRPr="008001CC">
        <w:rPr>
          <w:rFonts w:ascii="Arial" w:hAnsi="Arial" w:cs="Arial"/>
          <w:color w:val="000000" w:themeColor="text1"/>
          <w:sz w:val="20"/>
          <w:szCs w:val="20"/>
        </w:rPr>
        <w:t>delovnih mest.</w:t>
      </w:r>
    </w:p>
    <w:p w14:paraId="229A24D9" w14:textId="6EB88AA5" w:rsidR="007D0B13" w:rsidRPr="008001CC" w:rsidRDefault="007D0B13" w:rsidP="007D0B13">
      <w:pPr>
        <w:tabs>
          <w:tab w:val="left" w:pos="567"/>
          <w:tab w:val="left" w:pos="993"/>
        </w:tabs>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 xml:space="preserve">Zaupanje javnosti v učinkovito delovanje sistema javnega naročanja je povezano z zagotavljanjem transparentnosti izvajanja postopkov </w:t>
      </w:r>
      <w:r w:rsidR="00032E4D" w:rsidRPr="008001CC">
        <w:rPr>
          <w:rFonts w:ascii="Arial" w:hAnsi="Arial" w:cs="Arial"/>
          <w:color w:val="000000" w:themeColor="text1"/>
          <w:sz w:val="20"/>
          <w:szCs w:val="20"/>
        </w:rPr>
        <w:t>ter</w:t>
      </w:r>
      <w:r w:rsidRPr="008001CC">
        <w:rPr>
          <w:rFonts w:ascii="Arial" w:hAnsi="Arial" w:cs="Arial"/>
          <w:color w:val="000000" w:themeColor="text1"/>
          <w:sz w:val="20"/>
          <w:szCs w:val="20"/>
        </w:rPr>
        <w:t xml:space="preserve"> odpravo nepravilnosti in sankcioniranjem kršiteljev. Pri tem imajo </w:t>
      </w:r>
      <w:r w:rsidRPr="008001CC">
        <w:rPr>
          <w:rFonts w:ascii="Arial" w:hAnsi="Arial" w:cs="Arial"/>
          <w:color w:val="000000" w:themeColor="text1"/>
          <w:sz w:val="20"/>
          <w:szCs w:val="20"/>
        </w:rPr>
        <w:lastRenderedPageBreak/>
        <w:t xml:space="preserve">pomembno vlogo tudi </w:t>
      </w:r>
      <w:r w:rsidRPr="008001CC">
        <w:rPr>
          <w:rFonts w:ascii="Arial" w:hAnsi="Arial" w:cs="Arial"/>
          <w:bCs/>
          <w:color w:val="000000" w:themeColor="text1"/>
          <w:sz w:val="20"/>
          <w:szCs w:val="20"/>
        </w:rPr>
        <w:t>organi nadzora, predvsem Državna revizijska komisija, Računsko sodišče Republike Slovenije</w:t>
      </w:r>
      <w:r w:rsidR="006823A8" w:rsidRPr="008001CC">
        <w:rPr>
          <w:rFonts w:ascii="Arial" w:hAnsi="Arial" w:cs="Arial"/>
          <w:bCs/>
          <w:color w:val="000000" w:themeColor="text1"/>
          <w:sz w:val="20"/>
          <w:szCs w:val="20"/>
        </w:rPr>
        <w:t>, Agencija za varstvo konkurence</w:t>
      </w:r>
      <w:r w:rsidRPr="008001CC">
        <w:rPr>
          <w:rFonts w:ascii="Arial" w:hAnsi="Arial" w:cs="Arial"/>
          <w:bCs/>
          <w:color w:val="000000" w:themeColor="text1"/>
          <w:sz w:val="20"/>
          <w:szCs w:val="20"/>
        </w:rPr>
        <w:t xml:space="preserve"> in Urad Republike Slovenije za nadzor proračuna, ki lahko </w:t>
      </w:r>
      <w:r w:rsidR="00EE2315">
        <w:rPr>
          <w:rFonts w:ascii="Arial" w:hAnsi="Arial" w:cs="Arial"/>
          <w:bCs/>
          <w:color w:val="000000" w:themeColor="text1"/>
          <w:sz w:val="20"/>
          <w:szCs w:val="20"/>
        </w:rPr>
        <w:t xml:space="preserve">s svojimi </w:t>
      </w:r>
      <w:r w:rsidRPr="008001CC">
        <w:rPr>
          <w:rFonts w:ascii="Arial" w:hAnsi="Arial" w:cs="Arial"/>
          <w:bCs/>
          <w:color w:val="000000" w:themeColor="text1"/>
          <w:sz w:val="20"/>
          <w:szCs w:val="20"/>
        </w:rPr>
        <w:t>aktivnost</w:t>
      </w:r>
      <w:r w:rsidR="00EE2315">
        <w:rPr>
          <w:rFonts w:ascii="Arial" w:hAnsi="Arial" w:cs="Arial"/>
          <w:bCs/>
          <w:color w:val="000000" w:themeColor="text1"/>
          <w:sz w:val="20"/>
          <w:szCs w:val="20"/>
        </w:rPr>
        <w:t>m</w:t>
      </w:r>
      <w:r w:rsidRPr="008001CC">
        <w:rPr>
          <w:rFonts w:ascii="Arial" w:hAnsi="Arial" w:cs="Arial"/>
          <w:bCs/>
          <w:color w:val="000000" w:themeColor="text1"/>
          <w:sz w:val="20"/>
          <w:szCs w:val="20"/>
        </w:rPr>
        <w:t>i bistveno pri</w:t>
      </w:r>
      <w:r w:rsidR="00E853C2" w:rsidRPr="008001CC">
        <w:rPr>
          <w:rFonts w:ascii="Arial" w:hAnsi="Arial" w:cs="Arial"/>
          <w:bCs/>
          <w:color w:val="000000" w:themeColor="text1"/>
          <w:sz w:val="20"/>
          <w:szCs w:val="20"/>
        </w:rPr>
        <w:t>spevajo</w:t>
      </w:r>
      <w:r w:rsidRPr="008001CC">
        <w:rPr>
          <w:rFonts w:ascii="Arial" w:hAnsi="Arial" w:cs="Arial"/>
          <w:bCs/>
          <w:color w:val="000000" w:themeColor="text1"/>
          <w:sz w:val="20"/>
          <w:szCs w:val="20"/>
        </w:rPr>
        <w:t xml:space="preserve"> k zaupanju v delovanje sistema.</w:t>
      </w:r>
    </w:p>
    <w:p w14:paraId="077B4154" w14:textId="50B47035" w:rsidR="007D0B13" w:rsidRPr="00D67ADF" w:rsidRDefault="000A6106" w:rsidP="007D0B13">
      <w:pPr>
        <w:spacing w:line="360" w:lineRule="auto"/>
        <w:jc w:val="both"/>
        <w:rPr>
          <w:rFonts w:ascii="Arial" w:hAnsi="Arial" w:cs="Arial"/>
          <w:color w:val="000000" w:themeColor="text1"/>
          <w:sz w:val="20"/>
          <w:szCs w:val="20"/>
        </w:rPr>
      </w:pPr>
      <w:r w:rsidRPr="008001CC">
        <w:rPr>
          <w:rFonts w:ascii="Arial" w:hAnsi="Arial" w:cs="Arial"/>
          <w:color w:val="000000" w:themeColor="text1"/>
          <w:sz w:val="20"/>
          <w:szCs w:val="20"/>
        </w:rPr>
        <w:t>S</w:t>
      </w:r>
      <w:r w:rsidR="007D0B13" w:rsidRPr="008001CC">
        <w:rPr>
          <w:rFonts w:ascii="Arial" w:hAnsi="Arial" w:cs="Arial"/>
          <w:color w:val="000000" w:themeColor="text1"/>
          <w:sz w:val="20"/>
          <w:szCs w:val="20"/>
        </w:rPr>
        <w:t xml:space="preserve"> kombinacijo izvajanja navedenih ukrepov bi se lahko izboljšal</w:t>
      </w:r>
      <w:r w:rsidR="00A20417" w:rsidRPr="008001CC">
        <w:rPr>
          <w:rFonts w:ascii="Arial" w:hAnsi="Arial" w:cs="Arial"/>
          <w:color w:val="000000" w:themeColor="text1"/>
          <w:sz w:val="20"/>
          <w:szCs w:val="20"/>
        </w:rPr>
        <w:t>i</w:t>
      </w:r>
      <w:r w:rsidR="007D0B13" w:rsidRPr="008001CC">
        <w:rPr>
          <w:rFonts w:ascii="Arial" w:hAnsi="Arial" w:cs="Arial"/>
          <w:color w:val="000000" w:themeColor="text1"/>
          <w:sz w:val="20"/>
          <w:szCs w:val="20"/>
        </w:rPr>
        <w:t xml:space="preserve"> praksa in ureditev javnega naročanja v Sloveniji, kar bi pripomoglo k boljši učinkovitosti porabe javnih sredstev, večji konkurenci med ponudniki ter </w:t>
      </w:r>
      <w:r w:rsidR="00A20417" w:rsidRPr="008001CC">
        <w:rPr>
          <w:rFonts w:ascii="Arial" w:hAnsi="Arial" w:cs="Arial"/>
          <w:color w:val="000000" w:themeColor="text1"/>
          <w:sz w:val="20"/>
          <w:szCs w:val="20"/>
        </w:rPr>
        <w:t xml:space="preserve">k </w:t>
      </w:r>
      <w:r w:rsidR="007D0B13" w:rsidRPr="008001CC">
        <w:rPr>
          <w:rFonts w:ascii="Arial" w:hAnsi="Arial" w:cs="Arial"/>
          <w:color w:val="000000" w:themeColor="text1"/>
          <w:sz w:val="20"/>
          <w:szCs w:val="20"/>
        </w:rPr>
        <w:t xml:space="preserve">večji preglednosti in </w:t>
      </w:r>
      <w:r w:rsidR="00A20417" w:rsidRPr="008001CC">
        <w:rPr>
          <w:rFonts w:ascii="Arial" w:hAnsi="Arial" w:cs="Arial"/>
          <w:color w:val="000000" w:themeColor="text1"/>
          <w:sz w:val="20"/>
          <w:szCs w:val="20"/>
        </w:rPr>
        <w:t>večjem</w:t>
      </w:r>
      <w:r w:rsidR="00D93DA7" w:rsidRPr="008001CC">
        <w:rPr>
          <w:rFonts w:ascii="Arial" w:hAnsi="Arial" w:cs="Arial"/>
          <w:color w:val="000000" w:themeColor="text1"/>
          <w:sz w:val="20"/>
          <w:szCs w:val="20"/>
        </w:rPr>
        <w:t>u</w:t>
      </w:r>
      <w:r w:rsidR="00A20417" w:rsidRPr="008001CC">
        <w:rPr>
          <w:rFonts w:ascii="Arial" w:hAnsi="Arial" w:cs="Arial"/>
          <w:color w:val="000000" w:themeColor="text1"/>
          <w:sz w:val="20"/>
          <w:szCs w:val="20"/>
        </w:rPr>
        <w:t xml:space="preserve"> </w:t>
      </w:r>
      <w:r w:rsidR="007D0B13" w:rsidRPr="008001CC">
        <w:rPr>
          <w:rFonts w:ascii="Arial" w:hAnsi="Arial" w:cs="Arial"/>
          <w:color w:val="000000" w:themeColor="text1"/>
          <w:sz w:val="20"/>
          <w:szCs w:val="20"/>
        </w:rPr>
        <w:t>zaupanju v postopke javnega naročanja</w:t>
      </w:r>
      <w:r w:rsidR="006823A8" w:rsidRPr="008001CC">
        <w:rPr>
          <w:rFonts w:ascii="Arial" w:hAnsi="Arial" w:cs="Arial"/>
          <w:color w:val="000000" w:themeColor="text1"/>
          <w:sz w:val="20"/>
          <w:szCs w:val="20"/>
        </w:rPr>
        <w:t xml:space="preserve">, kar pomeni večjo </w:t>
      </w:r>
      <w:r w:rsidR="006823A8" w:rsidRPr="00D67ADF">
        <w:rPr>
          <w:rFonts w:ascii="Arial" w:hAnsi="Arial" w:cs="Arial"/>
          <w:color w:val="000000" w:themeColor="text1"/>
          <w:sz w:val="20"/>
          <w:szCs w:val="20"/>
        </w:rPr>
        <w:t>vrednost za državljane</w:t>
      </w:r>
      <w:r w:rsidR="007D0B13" w:rsidRPr="00D67ADF">
        <w:rPr>
          <w:rFonts w:ascii="Arial" w:hAnsi="Arial" w:cs="Arial"/>
          <w:color w:val="000000" w:themeColor="text1"/>
          <w:sz w:val="20"/>
          <w:szCs w:val="20"/>
        </w:rPr>
        <w:t>.</w:t>
      </w:r>
    </w:p>
    <w:p w14:paraId="6F4E54C5" w14:textId="29FE125B" w:rsidR="00854405" w:rsidRPr="00D67ADF" w:rsidRDefault="00854405" w:rsidP="00E900D0">
      <w:pPr>
        <w:pStyle w:val="Naslov1"/>
      </w:pPr>
      <w:bookmarkStart w:id="5" w:name="_Toc175563843"/>
      <w:bookmarkEnd w:id="4"/>
      <w:r w:rsidRPr="00D67ADF">
        <w:t>2. Statistična analiza</w:t>
      </w:r>
      <w:bookmarkEnd w:id="5"/>
    </w:p>
    <w:p w14:paraId="2B1708F2" w14:textId="5F0F6EA5" w:rsidR="00854405" w:rsidRPr="00D67ADF" w:rsidRDefault="00854405" w:rsidP="00854405">
      <w:pPr>
        <w:pStyle w:val="ZADEVA"/>
        <w:jc w:val="both"/>
        <w:rPr>
          <w:rFonts w:cs="Arial"/>
          <w:b w:val="0"/>
          <w:color w:val="000000" w:themeColor="text1"/>
          <w:szCs w:val="20"/>
          <w:lang w:val="sl-SI"/>
        </w:rPr>
      </w:pPr>
    </w:p>
    <w:p w14:paraId="2DBEFDAA" w14:textId="7C4A3FCB" w:rsidR="00854405" w:rsidRPr="00D67ADF" w:rsidRDefault="00854405" w:rsidP="004F7E68">
      <w:pPr>
        <w:pStyle w:val="Naslov2"/>
      </w:pPr>
      <w:bookmarkStart w:id="6" w:name="_Toc175563844"/>
      <w:r w:rsidRPr="00D67ADF">
        <w:t>2.1 Obseg javnega naročanja</w:t>
      </w:r>
      <w:bookmarkEnd w:id="6"/>
    </w:p>
    <w:p w14:paraId="13161CC1" w14:textId="77777777" w:rsidR="00854405" w:rsidRPr="00D67ADF" w:rsidRDefault="00854405" w:rsidP="00854405">
      <w:pPr>
        <w:pStyle w:val="ZADEVA"/>
        <w:jc w:val="both"/>
        <w:rPr>
          <w:rFonts w:cs="Arial"/>
          <w:b w:val="0"/>
          <w:color w:val="000000" w:themeColor="text1"/>
          <w:szCs w:val="20"/>
          <w:lang w:val="sl-SI"/>
        </w:rPr>
      </w:pPr>
    </w:p>
    <w:p w14:paraId="22B3781A" w14:textId="2B72E7C0" w:rsidR="00F80F94" w:rsidRPr="00D67ADF" w:rsidRDefault="00AB452E" w:rsidP="00F80F94">
      <w:pPr>
        <w:tabs>
          <w:tab w:val="left" w:pos="567"/>
          <w:tab w:val="left" w:pos="993"/>
        </w:tabs>
        <w:spacing w:line="360" w:lineRule="auto"/>
        <w:jc w:val="both"/>
        <w:rPr>
          <w:rFonts w:ascii="Arial" w:hAnsi="Arial" w:cs="Arial"/>
          <w:color w:val="000000" w:themeColor="text1"/>
          <w:sz w:val="20"/>
          <w:szCs w:val="20"/>
        </w:rPr>
      </w:pPr>
      <w:r w:rsidRPr="00D67ADF">
        <w:rPr>
          <w:rFonts w:ascii="Arial" w:hAnsi="Arial" w:cs="Arial"/>
          <w:color w:val="000000" w:themeColor="text1"/>
          <w:sz w:val="20"/>
          <w:szCs w:val="20"/>
        </w:rPr>
        <w:t>Leta</w:t>
      </w:r>
      <w:r w:rsidR="00E02A9E" w:rsidRPr="00D67ADF">
        <w:rPr>
          <w:rFonts w:ascii="Arial" w:hAnsi="Arial" w:cs="Arial"/>
          <w:color w:val="000000" w:themeColor="text1"/>
          <w:sz w:val="20"/>
          <w:szCs w:val="20"/>
        </w:rPr>
        <w:t xml:space="preserve"> 20</w:t>
      </w:r>
      <w:r w:rsidR="00222934" w:rsidRPr="00D67ADF">
        <w:rPr>
          <w:rFonts w:ascii="Arial" w:hAnsi="Arial" w:cs="Arial"/>
          <w:color w:val="000000" w:themeColor="text1"/>
          <w:sz w:val="20"/>
          <w:szCs w:val="20"/>
        </w:rPr>
        <w:t>2</w:t>
      </w:r>
      <w:r w:rsidR="004F7E68" w:rsidRPr="00D67ADF">
        <w:rPr>
          <w:rFonts w:ascii="Arial" w:hAnsi="Arial" w:cs="Arial"/>
          <w:color w:val="000000" w:themeColor="text1"/>
          <w:sz w:val="20"/>
          <w:szCs w:val="20"/>
        </w:rPr>
        <w:t>3</w:t>
      </w:r>
      <w:r w:rsidR="00E97630" w:rsidRPr="00D67ADF">
        <w:rPr>
          <w:rFonts w:ascii="Arial" w:hAnsi="Arial" w:cs="Arial"/>
          <w:color w:val="000000" w:themeColor="text1"/>
          <w:sz w:val="20"/>
          <w:szCs w:val="20"/>
        </w:rPr>
        <w:t xml:space="preserve"> so se postopki javnega naročanja izvajali na podlagi </w:t>
      </w:r>
      <w:r w:rsidR="001A1391" w:rsidRPr="00D67ADF">
        <w:rPr>
          <w:rFonts w:ascii="Arial" w:hAnsi="Arial" w:cs="Arial"/>
          <w:color w:val="000000" w:themeColor="text1"/>
          <w:sz w:val="20"/>
          <w:szCs w:val="20"/>
        </w:rPr>
        <w:t xml:space="preserve">Zakona o javnem naročanju (Uradni list RS, št. 91/15 s spremembami; v nadaljevanju: ZJN-3) in </w:t>
      </w:r>
      <w:r w:rsidR="00E97630" w:rsidRPr="00D67ADF">
        <w:rPr>
          <w:rFonts w:ascii="Arial" w:hAnsi="Arial" w:cs="Arial"/>
          <w:color w:val="000000" w:themeColor="text1"/>
          <w:sz w:val="20"/>
          <w:szCs w:val="20"/>
        </w:rPr>
        <w:t>Zakona o javnem naročanju na področju obrambe in varnosti (</w:t>
      </w:r>
      <w:r w:rsidR="00F80F94" w:rsidRPr="00D67ADF">
        <w:rPr>
          <w:rFonts w:ascii="Arial" w:hAnsi="Arial" w:cs="Arial"/>
          <w:color w:val="000000" w:themeColor="text1"/>
          <w:sz w:val="20"/>
          <w:szCs w:val="20"/>
        </w:rPr>
        <w:t>Uradni list RS, št. 90/12, 90/14 – ZDU-1I, 52/16 in 122/23; v nadaljnjem besedilu: ZJNPOV).</w:t>
      </w:r>
    </w:p>
    <w:p w14:paraId="5259E237" w14:textId="6B832F1E" w:rsidR="00854405" w:rsidRPr="00D67ADF" w:rsidRDefault="00854405" w:rsidP="00F80F94">
      <w:pPr>
        <w:pStyle w:val="Naslov3"/>
      </w:pPr>
      <w:bookmarkStart w:id="7" w:name="_Toc175563845"/>
      <w:r w:rsidRPr="00D67ADF">
        <w:t>2.1.1 Delež javnega naročanja v BDP</w:t>
      </w:r>
      <w:bookmarkEnd w:id="7"/>
    </w:p>
    <w:p w14:paraId="6214A8A6" w14:textId="107DB046" w:rsidR="00783B03" w:rsidRPr="00D67ADF" w:rsidRDefault="00783B03" w:rsidP="00854405">
      <w:pPr>
        <w:pStyle w:val="Navadensplet"/>
        <w:spacing w:before="0" w:beforeAutospacing="0" w:after="0" w:afterAutospacing="0" w:line="276" w:lineRule="auto"/>
        <w:jc w:val="both"/>
        <w:rPr>
          <w:rFonts w:ascii="Arial" w:hAnsi="Arial" w:cs="Arial"/>
          <w:color w:val="000000" w:themeColor="text1"/>
          <w:sz w:val="20"/>
          <w:szCs w:val="20"/>
        </w:rPr>
      </w:pPr>
    </w:p>
    <w:p w14:paraId="70B3C243" w14:textId="3E08B2FE" w:rsidR="00775DED" w:rsidRPr="00D67ADF" w:rsidRDefault="00AB452E" w:rsidP="004073D3">
      <w:pPr>
        <w:tabs>
          <w:tab w:val="left" w:pos="567"/>
          <w:tab w:val="left" w:pos="993"/>
        </w:tabs>
        <w:spacing w:line="360" w:lineRule="auto"/>
        <w:jc w:val="both"/>
        <w:rPr>
          <w:rFonts w:ascii="Arial" w:hAnsi="Arial" w:cs="Arial"/>
          <w:color w:val="000000" w:themeColor="text1"/>
          <w:sz w:val="20"/>
          <w:szCs w:val="20"/>
        </w:rPr>
      </w:pPr>
      <w:r w:rsidRPr="00D67ADF">
        <w:rPr>
          <w:rFonts w:ascii="Arial" w:hAnsi="Arial" w:cs="Arial"/>
          <w:color w:val="000000" w:themeColor="text1"/>
          <w:sz w:val="20"/>
          <w:szCs w:val="20"/>
        </w:rPr>
        <w:t>Leta</w:t>
      </w:r>
      <w:r w:rsidR="00F00294" w:rsidRPr="00D67ADF">
        <w:rPr>
          <w:rFonts w:ascii="Arial" w:hAnsi="Arial" w:cs="Arial"/>
          <w:color w:val="000000" w:themeColor="text1"/>
          <w:sz w:val="20"/>
          <w:szCs w:val="20"/>
        </w:rPr>
        <w:t xml:space="preserve"> 20</w:t>
      </w:r>
      <w:r w:rsidR="00742D18" w:rsidRPr="00D67ADF">
        <w:rPr>
          <w:rFonts w:ascii="Arial" w:hAnsi="Arial" w:cs="Arial"/>
          <w:color w:val="000000" w:themeColor="text1"/>
          <w:sz w:val="20"/>
          <w:szCs w:val="20"/>
        </w:rPr>
        <w:t>2</w:t>
      </w:r>
      <w:r w:rsidR="00C2099F" w:rsidRPr="00D67ADF">
        <w:rPr>
          <w:rFonts w:ascii="Arial" w:hAnsi="Arial" w:cs="Arial"/>
          <w:color w:val="000000" w:themeColor="text1"/>
          <w:sz w:val="20"/>
          <w:szCs w:val="20"/>
        </w:rPr>
        <w:t>3</w:t>
      </w:r>
      <w:r w:rsidR="004073D3" w:rsidRPr="00D67ADF">
        <w:rPr>
          <w:rFonts w:ascii="Arial" w:hAnsi="Arial" w:cs="Arial"/>
          <w:color w:val="000000" w:themeColor="text1"/>
          <w:sz w:val="20"/>
          <w:szCs w:val="20"/>
        </w:rPr>
        <w:t xml:space="preserve"> je </w:t>
      </w:r>
      <w:r w:rsidR="002B2EF1" w:rsidRPr="00D67ADF">
        <w:rPr>
          <w:rFonts w:ascii="Arial" w:hAnsi="Arial" w:cs="Arial"/>
          <w:color w:val="000000" w:themeColor="text1"/>
          <w:sz w:val="20"/>
          <w:szCs w:val="20"/>
        </w:rPr>
        <w:t>znašal</w:t>
      </w:r>
      <w:r w:rsidR="004073D3" w:rsidRPr="00D67ADF">
        <w:rPr>
          <w:rFonts w:ascii="Arial" w:hAnsi="Arial" w:cs="Arial"/>
          <w:color w:val="000000" w:themeColor="text1"/>
          <w:sz w:val="20"/>
          <w:szCs w:val="20"/>
        </w:rPr>
        <w:t xml:space="preserve"> delež javnih naročil v bruto d</w:t>
      </w:r>
      <w:r w:rsidR="002B2EF1" w:rsidRPr="00D67ADF">
        <w:rPr>
          <w:rFonts w:ascii="Arial" w:hAnsi="Arial" w:cs="Arial"/>
          <w:color w:val="000000" w:themeColor="text1"/>
          <w:sz w:val="20"/>
          <w:szCs w:val="20"/>
        </w:rPr>
        <w:t>omačem</w:t>
      </w:r>
      <w:r w:rsidR="004073D3" w:rsidRPr="00D67ADF">
        <w:rPr>
          <w:rFonts w:ascii="Arial" w:hAnsi="Arial" w:cs="Arial"/>
          <w:color w:val="000000" w:themeColor="text1"/>
          <w:sz w:val="20"/>
          <w:szCs w:val="20"/>
        </w:rPr>
        <w:t xml:space="preserve"> proizvodu (BDP) </w:t>
      </w:r>
      <w:r w:rsidR="007A35D5" w:rsidRPr="00D67ADF">
        <w:rPr>
          <w:rFonts w:ascii="Arial" w:hAnsi="Arial" w:cs="Arial"/>
          <w:color w:val="000000" w:themeColor="text1"/>
          <w:sz w:val="20"/>
          <w:szCs w:val="20"/>
        </w:rPr>
        <w:t>14,54</w:t>
      </w:r>
      <w:r w:rsidR="006D6370" w:rsidRPr="00D67ADF">
        <w:rPr>
          <w:rFonts w:ascii="Arial" w:hAnsi="Arial" w:cs="Arial"/>
          <w:color w:val="000000" w:themeColor="text1"/>
          <w:sz w:val="20"/>
          <w:szCs w:val="20"/>
        </w:rPr>
        <w:t> </w:t>
      </w:r>
      <w:r w:rsidR="00AC0027" w:rsidRPr="00D67ADF">
        <w:rPr>
          <w:rFonts w:ascii="Arial" w:hAnsi="Arial" w:cs="Arial"/>
          <w:color w:val="000000" w:themeColor="text1"/>
          <w:sz w:val="20"/>
          <w:szCs w:val="20"/>
        </w:rPr>
        <w:t>odstotka</w:t>
      </w:r>
      <w:r w:rsidR="004073D3" w:rsidRPr="00D67ADF">
        <w:rPr>
          <w:rFonts w:ascii="Arial" w:hAnsi="Arial" w:cs="Arial"/>
          <w:color w:val="000000" w:themeColor="text1"/>
          <w:sz w:val="20"/>
          <w:szCs w:val="20"/>
        </w:rPr>
        <w:t xml:space="preserve">, kar </w:t>
      </w:r>
      <w:r w:rsidR="00B24A26" w:rsidRPr="00D67ADF">
        <w:rPr>
          <w:rFonts w:ascii="Arial" w:hAnsi="Arial" w:cs="Arial"/>
          <w:color w:val="000000" w:themeColor="text1"/>
          <w:sz w:val="20"/>
          <w:szCs w:val="20"/>
        </w:rPr>
        <w:t>v primerjavi z letom 20</w:t>
      </w:r>
      <w:r w:rsidR="007E09A9" w:rsidRPr="00D67ADF">
        <w:rPr>
          <w:rFonts w:ascii="Arial" w:hAnsi="Arial" w:cs="Arial"/>
          <w:color w:val="000000" w:themeColor="text1"/>
          <w:sz w:val="20"/>
          <w:szCs w:val="20"/>
        </w:rPr>
        <w:t>2</w:t>
      </w:r>
      <w:r w:rsidR="007A35D5" w:rsidRPr="00D67ADF">
        <w:rPr>
          <w:rFonts w:ascii="Arial" w:hAnsi="Arial" w:cs="Arial"/>
          <w:color w:val="000000" w:themeColor="text1"/>
          <w:sz w:val="20"/>
          <w:szCs w:val="20"/>
        </w:rPr>
        <w:t>2</w:t>
      </w:r>
      <w:r w:rsidR="00566029" w:rsidRPr="00D67ADF">
        <w:rPr>
          <w:rFonts w:ascii="Arial" w:hAnsi="Arial" w:cs="Arial"/>
          <w:color w:val="000000" w:themeColor="text1"/>
          <w:sz w:val="20"/>
          <w:szCs w:val="20"/>
        </w:rPr>
        <w:t xml:space="preserve"> </w:t>
      </w:r>
      <w:r w:rsidR="00113889" w:rsidRPr="00D67ADF">
        <w:rPr>
          <w:rFonts w:ascii="Arial" w:hAnsi="Arial" w:cs="Arial"/>
          <w:color w:val="000000" w:themeColor="text1"/>
          <w:sz w:val="20"/>
          <w:szCs w:val="20"/>
        </w:rPr>
        <w:t xml:space="preserve">pomeni </w:t>
      </w:r>
      <w:r w:rsidR="007A35D5" w:rsidRPr="00D67ADF">
        <w:rPr>
          <w:rFonts w:ascii="Arial" w:hAnsi="Arial" w:cs="Arial"/>
          <w:color w:val="000000" w:themeColor="text1"/>
          <w:sz w:val="20"/>
          <w:szCs w:val="20"/>
        </w:rPr>
        <w:t>povečanje</w:t>
      </w:r>
      <w:r w:rsidR="004073D3" w:rsidRPr="00D67ADF">
        <w:rPr>
          <w:rFonts w:ascii="Arial" w:hAnsi="Arial" w:cs="Arial"/>
          <w:color w:val="000000" w:themeColor="text1"/>
          <w:sz w:val="20"/>
          <w:szCs w:val="20"/>
        </w:rPr>
        <w:t xml:space="preserve">. </w:t>
      </w:r>
    </w:p>
    <w:p w14:paraId="395DCC6A" w14:textId="3C9174D1" w:rsidR="004073D3" w:rsidRPr="00D67ADF" w:rsidRDefault="00AB452E" w:rsidP="004073D3">
      <w:pPr>
        <w:tabs>
          <w:tab w:val="left" w:pos="567"/>
          <w:tab w:val="left" w:pos="993"/>
        </w:tabs>
        <w:spacing w:line="360" w:lineRule="auto"/>
        <w:jc w:val="both"/>
        <w:rPr>
          <w:rFonts w:ascii="Arial" w:hAnsi="Arial" w:cs="Arial"/>
          <w:color w:val="000000" w:themeColor="text1"/>
          <w:sz w:val="20"/>
          <w:szCs w:val="20"/>
        </w:rPr>
      </w:pPr>
      <w:r w:rsidRPr="00D67ADF">
        <w:rPr>
          <w:rFonts w:ascii="Arial" w:hAnsi="Arial" w:cs="Arial"/>
          <w:color w:val="000000" w:themeColor="text1"/>
          <w:sz w:val="20"/>
          <w:szCs w:val="20"/>
        </w:rPr>
        <w:t>Leta</w:t>
      </w:r>
      <w:r w:rsidR="009867C3" w:rsidRPr="00D67ADF">
        <w:rPr>
          <w:rFonts w:ascii="Arial" w:hAnsi="Arial" w:cs="Arial"/>
          <w:color w:val="000000" w:themeColor="text1"/>
          <w:sz w:val="20"/>
          <w:szCs w:val="20"/>
        </w:rPr>
        <w:t xml:space="preserve"> 20</w:t>
      </w:r>
      <w:r w:rsidR="00742D18" w:rsidRPr="00D67ADF">
        <w:rPr>
          <w:rFonts w:ascii="Arial" w:hAnsi="Arial" w:cs="Arial"/>
          <w:color w:val="000000" w:themeColor="text1"/>
          <w:sz w:val="20"/>
          <w:szCs w:val="20"/>
        </w:rPr>
        <w:t>2</w:t>
      </w:r>
      <w:r w:rsidR="00CD30B0" w:rsidRPr="00D67ADF">
        <w:rPr>
          <w:rFonts w:ascii="Arial" w:hAnsi="Arial" w:cs="Arial"/>
          <w:color w:val="000000" w:themeColor="text1"/>
          <w:sz w:val="20"/>
          <w:szCs w:val="20"/>
        </w:rPr>
        <w:t>3</w:t>
      </w:r>
      <w:r w:rsidR="009867C3" w:rsidRPr="00D67ADF">
        <w:rPr>
          <w:rFonts w:ascii="Arial" w:hAnsi="Arial" w:cs="Arial"/>
          <w:color w:val="000000" w:themeColor="text1"/>
          <w:sz w:val="20"/>
          <w:szCs w:val="20"/>
        </w:rPr>
        <w:t xml:space="preserve"> je BDP po tekočih cenah</w:t>
      </w:r>
      <w:r w:rsidR="002F7146" w:rsidRPr="00D67ADF">
        <w:rPr>
          <w:rFonts w:ascii="Arial" w:hAnsi="Arial" w:cs="Arial"/>
          <w:color w:val="000000" w:themeColor="text1"/>
          <w:sz w:val="20"/>
          <w:szCs w:val="20"/>
        </w:rPr>
        <w:t xml:space="preserve"> (v </w:t>
      </w:r>
      <w:r w:rsidR="009F7B6D" w:rsidRPr="00D67ADF">
        <w:rPr>
          <w:rFonts w:ascii="Arial" w:hAnsi="Arial" w:cs="Arial"/>
          <w:color w:val="000000" w:themeColor="text1"/>
          <w:sz w:val="20"/>
          <w:szCs w:val="20"/>
        </w:rPr>
        <w:t>milijonih</w:t>
      </w:r>
      <w:r w:rsidR="002F7146" w:rsidRPr="00D67ADF">
        <w:rPr>
          <w:rFonts w:ascii="Arial" w:hAnsi="Arial" w:cs="Arial"/>
          <w:color w:val="000000" w:themeColor="text1"/>
          <w:sz w:val="20"/>
          <w:szCs w:val="20"/>
        </w:rPr>
        <w:t xml:space="preserve"> evr</w:t>
      </w:r>
      <w:r w:rsidR="009F7B6D" w:rsidRPr="00D67ADF">
        <w:rPr>
          <w:rFonts w:ascii="Arial" w:hAnsi="Arial" w:cs="Arial"/>
          <w:color w:val="000000" w:themeColor="text1"/>
          <w:sz w:val="20"/>
          <w:szCs w:val="20"/>
        </w:rPr>
        <w:t>ov</w:t>
      </w:r>
      <w:r w:rsidR="002F7146" w:rsidRPr="00D67ADF">
        <w:rPr>
          <w:rFonts w:ascii="Arial" w:hAnsi="Arial" w:cs="Arial"/>
          <w:color w:val="000000" w:themeColor="text1"/>
          <w:sz w:val="20"/>
          <w:szCs w:val="20"/>
        </w:rPr>
        <w:t>)</w:t>
      </w:r>
      <w:r w:rsidR="009867C3" w:rsidRPr="00D67ADF">
        <w:rPr>
          <w:rFonts w:ascii="Arial" w:hAnsi="Arial" w:cs="Arial"/>
          <w:color w:val="000000" w:themeColor="text1"/>
          <w:sz w:val="20"/>
          <w:szCs w:val="20"/>
        </w:rPr>
        <w:t xml:space="preserve"> </w:t>
      </w:r>
      <w:r w:rsidR="00775DED" w:rsidRPr="00D67ADF">
        <w:rPr>
          <w:rFonts w:ascii="Arial" w:hAnsi="Arial" w:cs="Arial"/>
          <w:color w:val="000000" w:themeColor="text1"/>
          <w:sz w:val="20"/>
          <w:szCs w:val="20"/>
        </w:rPr>
        <w:t>v R</w:t>
      </w:r>
      <w:r w:rsidR="009867C3" w:rsidRPr="00D67ADF">
        <w:rPr>
          <w:rFonts w:ascii="Arial" w:hAnsi="Arial" w:cs="Arial"/>
          <w:color w:val="000000" w:themeColor="text1"/>
          <w:sz w:val="20"/>
          <w:szCs w:val="20"/>
        </w:rPr>
        <w:t>epub</w:t>
      </w:r>
      <w:r w:rsidR="002F7146" w:rsidRPr="00D67ADF">
        <w:rPr>
          <w:rFonts w:ascii="Arial" w:hAnsi="Arial" w:cs="Arial"/>
          <w:color w:val="000000" w:themeColor="text1"/>
          <w:sz w:val="20"/>
          <w:szCs w:val="20"/>
        </w:rPr>
        <w:t xml:space="preserve">liki Sloveniji znašal </w:t>
      </w:r>
      <w:r w:rsidR="00CD30B0" w:rsidRPr="00D67ADF">
        <w:rPr>
          <w:rFonts w:ascii="Arial" w:hAnsi="Arial" w:cs="Arial"/>
          <w:color w:val="000000" w:themeColor="text1"/>
          <w:sz w:val="20"/>
          <w:szCs w:val="20"/>
        </w:rPr>
        <w:t xml:space="preserve">63.090 </w:t>
      </w:r>
      <w:r w:rsidR="002F7146" w:rsidRPr="00D67ADF">
        <w:rPr>
          <w:rFonts w:ascii="Arial" w:hAnsi="Arial" w:cs="Arial"/>
          <w:color w:val="000000" w:themeColor="text1"/>
          <w:sz w:val="20"/>
          <w:szCs w:val="20"/>
        </w:rPr>
        <w:t>mi</w:t>
      </w:r>
      <w:r w:rsidR="009F7B6D" w:rsidRPr="00D67ADF">
        <w:rPr>
          <w:rFonts w:ascii="Arial" w:hAnsi="Arial" w:cs="Arial"/>
          <w:color w:val="000000" w:themeColor="text1"/>
          <w:sz w:val="20"/>
          <w:szCs w:val="20"/>
        </w:rPr>
        <w:t>lijon</w:t>
      </w:r>
      <w:r w:rsidR="00D93DA7" w:rsidRPr="00D67ADF">
        <w:rPr>
          <w:rFonts w:ascii="Arial" w:hAnsi="Arial" w:cs="Arial"/>
          <w:color w:val="000000" w:themeColor="text1"/>
          <w:sz w:val="20"/>
          <w:szCs w:val="20"/>
        </w:rPr>
        <w:t>ov</w:t>
      </w:r>
      <w:r w:rsidR="006D6370" w:rsidRPr="00D67ADF">
        <w:rPr>
          <w:rFonts w:ascii="Arial" w:hAnsi="Arial" w:cs="Arial"/>
          <w:color w:val="000000" w:themeColor="text1"/>
          <w:sz w:val="20"/>
          <w:szCs w:val="20"/>
        </w:rPr>
        <w:t> </w:t>
      </w:r>
      <w:r w:rsidR="00775DED" w:rsidRPr="00D67ADF">
        <w:rPr>
          <w:rFonts w:ascii="Arial" w:hAnsi="Arial" w:cs="Arial"/>
          <w:color w:val="000000" w:themeColor="text1"/>
          <w:sz w:val="20"/>
          <w:szCs w:val="20"/>
        </w:rPr>
        <w:t>evrov</w:t>
      </w:r>
      <w:r w:rsidR="00391021" w:rsidRPr="00D67ADF">
        <w:rPr>
          <w:rFonts w:ascii="Arial" w:hAnsi="Arial" w:cs="Arial"/>
          <w:color w:val="000000" w:themeColor="text1"/>
          <w:sz w:val="20"/>
          <w:szCs w:val="20"/>
        </w:rPr>
        <w:t>.</w:t>
      </w:r>
      <w:r w:rsidR="00775DED" w:rsidRPr="00D67ADF">
        <w:rPr>
          <w:rStyle w:val="Sprotnaopomba-sklic"/>
          <w:rFonts w:ascii="Arial" w:hAnsi="Arial" w:cs="Arial"/>
          <w:color w:val="000000" w:themeColor="text1"/>
          <w:sz w:val="20"/>
          <w:szCs w:val="20"/>
        </w:rPr>
        <w:footnoteReference w:id="1"/>
      </w:r>
      <w:r w:rsidR="00775DED" w:rsidRPr="00D67ADF">
        <w:rPr>
          <w:rFonts w:ascii="Arial" w:hAnsi="Arial" w:cs="Arial"/>
          <w:color w:val="000000" w:themeColor="text1"/>
          <w:sz w:val="20"/>
          <w:szCs w:val="20"/>
        </w:rPr>
        <w:t xml:space="preserve"> Glede na višino BDP v pre</w:t>
      </w:r>
      <w:r w:rsidR="009F7B6D" w:rsidRPr="00D67ADF">
        <w:rPr>
          <w:rFonts w:ascii="Arial" w:hAnsi="Arial" w:cs="Arial"/>
          <w:color w:val="000000" w:themeColor="text1"/>
          <w:sz w:val="20"/>
          <w:szCs w:val="20"/>
        </w:rPr>
        <w:t>jšnjih</w:t>
      </w:r>
      <w:r w:rsidR="00775DED" w:rsidRPr="00D67ADF">
        <w:rPr>
          <w:rFonts w:ascii="Arial" w:hAnsi="Arial" w:cs="Arial"/>
          <w:color w:val="000000" w:themeColor="text1"/>
          <w:sz w:val="20"/>
          <w:szCs w:val="20"/>
        </w:rPr>
        <w:t xml:space="preserve"> letih </w:t>
      </w:r>
      <w:r w:rsidR="00F13464" w:rsidRPr="00D67ADF">
        <w:rPr>
          <w:rFonts w:ascii="Arial" w:hAnsi="Arial" w:cs="Arial"/>
          <w:color w:val="000000" w:themeColor="text1"/>
          <w:sz w:val="20"/>
          <w:szCs w:val="20"/>
        </w:rPr>
        <w:t xml:space="preserve">in </w:t>
      </w:r>
      <w:r w:rsidR="00775DED" w:rsidRPr="00D67ADF">
        <w:rPr>
          <w:rFonts w:ascii="Arial" w:hAnsi="Arial" w:cs="Arial"/>
          <w:color w:val="000000" w:themeColor="text1"/>
          <w:sz w:val="20"/>
          <w:szCs w:val="20"/>
        </w:rPr>
        <w:t xml:space="preserve">vrednost oddanih javnih naročil v istem obdobju </w:t>
      </w:r>
      <w:r w:rsidR="0085019A">
        <w:rPr>
          <w:rFonts w:ascii="Arial" w:hAnsi="Arial" w:cs="Arial"/>
          <w:color w:val="000000" w:themeColor="text1"/>
          <w:sz w:val="20"/>
          <w:szCs w:val="20"/>
        </w:rPr>
        <w:t xml:space="preserve">se </w:t>
      </w:r>
      <w:r w:rsidR="00775DED" w:rsidRPr="00D67ADF">
        <w:rPr>
          <w:rFonts w:ascii="Arial" w:hAnsi="Arial" w:cs="Arial"/>
          <w:color w:val="000000" w:themeColor="text1"/>
          <w:sz w:val="20"/>
          <w:szCs w:val="20"/>
        </w:rPr>
        <w:t>je v let</w:t>
      </w:r>
      <w:r w:rsidR="00216983" w:rsidRPr="00D67ADF">
        <w:rPr>
          <w:rFonts w:ascii="Arial" w:hAnsi="Arial" w:cs="Arial"/>
          <w:color w:val="000000" w:themeColor="text1"/>
          <w:sz w:val="20"/>
          <w:szCs w:val="20"/>
        </w:rPr>
        <w:t>u</w:t>
      </w:r>
      <w:r w:rsidR="00775DED" w:rsidRPr="00D67ADF">
        <w:rPr>
          <w:rFonts w:ascii="Arial" w:hAnsi="Arial" w:cs="Arial"/>
          <w:color w:val="000000" w:themeColor="text1"/>
          <w:sz w:val="20"/>
          <w:szCs w:val="20"/>
        </w:rPr>
        <w:t xml:space="preserve"> 20</w:t>
      </w:r>
      <w:r w:rsidR="00DA410C" w:rsidRPr="00D67ADF">
        <w:rPr>
          <w:rFonts w:ascii="Arial" w:hAnsi="Arial" w:cs="Arial"/>
          <w:color w:val="000000" w:themeColor="text1"/>
          <w:sz w:val="20"/>
          <w:szCs w:val="20"/>
        </w:rPr>
        <w:t>2</w:t>
      </w:r>
      <w:r w:rsidR="007A35D5" w:rsidRPr="00D67ADF">
        <w:rPr>
          <w:rFonts w:ascii="Arial" w:hAnsi="Arial" w:cs="Arial"/>
          <w:color w:val="000000" w:themeColor="text1"/>
          <w:sz w:val="20"/>
          <w:szCs w:val="20"/>
        </w:rPr>
        <w:t>3</w:t>
      </w:r>
      <w:r w:rsidR="00216983" w:rsidRPr="00D67ADF">
        <w:rPr>
          <w:rFonts w:ascii="Arial" w:hAnsi="Arial" w:cs="Arial"/>
          <w:color w:val="000000" w:themeColor="text1"/>
          <w:sz w:val="20"/>
          <w:szCs w:val="20"/>
        </w:rPr>
        <w:t xml:space="preserve"> </w:t>
      </w:r>
      <w:r w:rsidR="00775DED" w:rsidRPr="00D67ADF">
        <w:rPr>
          <w:rFonts w:ascii="Arial" w:hAnsi="Arial" w:cs="Arial"/>
          <w:color w:val="000000" w:themeColor="text1"/>
          <w:sz w:val="20"/>
          <w:szCs w:val="20"/>
        </w:rPr>
        <w:t>delež oddanih javnih naročil v BDP</w:t>
      </w:r>
      <w:r w:rsidR="00216983" w:rsidRPr="00D67ADF">
        <w:rPr>
          <w:rFonts w:ascii="Arial" w:hAnsi="Arial" w:cs="Arial"/>
          <w:color w:val="000000" w:themeColor="text1"/>
          <w:sz w:val="20"/>
          <w:szCs w:val="20"/>
        </w:rPr>
        <w:t xml:space="preserve"> v primerjavi z letom 20</w:t>
      </w:r>
      <w:r w:rsidR="00DF6A07" w:rsidRPr="00D67ADF">
        <w:rPr>
          <w:rFonts w:ascii="Arial" w:hAnsi="Arial" w:cs="Arial"/>
          <w:color w:val="000000" w:themeColor="text1"/>
          <w:sz w:val="20"/>
          <w:szCs w:val="20"/>
        </w:rPr>
        <w:t>2</w:t>
      </w:r>
      <w:r w:rsidR="007A35D5" w:rsidRPr="00D67ADF">
        <w:rPr>
          <w:rFonts w:ascii="Arial" w:hAnsi="Arial" w:cs="Arial"/>
          <w:color w:val="000000" w:themeColor="text1"/>
          <w:sz w:val="20"/>
          <w:szCs w:val="20"/>
        </w:rPr>
        <w:t>2</w:t>
      </w:r>
      <w:r w:rsidR="00541D31" w:rsidRPr="00D67ADF">
        <w:rPr>
          <w:rFonts w:ascii="Arial" w:hAnsi="Arial" w:cs="Arial"/>
          <w:color w:val="000000" w:themeColor="text1"/>
          <w:sz w:val="20"/>
          <w:szCs w:val="20"/>
        </w:rPr>
        <w:t xml:space="preserve"> </w:t>
      </w:r>
      <w:r w:rsidR="0085019A">
        <w:rPr>
          <w:rFonts w:ascii="Arial" w:hAnsi="Arial" w:cs="Arial"/>
          <w:color w:val="000000" w:themeColor="text1"/>
          <w:sz w:val="20"/>
          <w:szCs w:val="20"/>
        </w:rPr>
        <w:t xml:space="preserve">povečal </w:t>
      </w:r>
      <w:r w:rsidR="00541D31" w:rsidRPr="00D67ADF">
        <w:rPr>
          <w:rFonts w:ascii="Arial" w:hAnsi="Arial" w:cs="Arial"/>
          <w:color w:val="000000" w:themeColor="text1"/>
          <w:sz w:val="20"/>
          <w:szCs w:val="20"/>
        </w:rPr>
        <w:t xml:space="preserve">za </w:t>
      </w:r>
      <w:r w:rsidR="000E0ABF" w:rsidRPr="00D67ADF">
        <w:rPr>
          <w:rFonts w:ascii="Arial" w:hAnsi="Arial" w:cs="Arial"/>
          <w:color w:val="000000" w:themeColor="text1"/>
          <w:sz w:val="20"/>
          <w:szCs w:val="20"/>
        </w:rPr>
        <w:t>0,</w:t>
      </w:r>
      <w:r w:rsidR="007A35D5" w:rsidRPr="00D67ADF">
        <w:rPr>
          <w:rFonts w:ascii="Arial" w:hAnsi="Arial" w:cs="Arial"/>
          <w:color w:val="000000" w:themeColor="text1"/>
          <w:sz w:val="20"/>
          <w:szCs w:val="20"/>
        </w:rPr>
        <w:t>43</w:t>
      </w:r>
      <w:r w:rsidR="0003446F" w:rsidRPr="00D67ADF">
        <w:rPr>
          <w:rFonts w:ascii="Arial" w:hAnsi="Arial" w:cs="Arial"/>
          <w:color w:val="000000" w:themeColor="text1"/>
          <w:sz w:val="20"/>
          <w:szCs w:val="20"/>
        </w:rPr>
        <w:t xml:space="preserve"> </w:t>
      </w:r>
      <w:r w:rsidR="00541D31" w:rsidRPr="00D67ADF">
        <w:rPr>
          <w:rFonts w:ascii="Arial" w:hAnsi="Arial" w:cs="Arial"/>
          <w:color w:val="000000" w:themeColor="text1"/>
          <w:sz w:val="20"/>
          <w:szCs w:val="20"/>
        </w:rPr>
        <w:t xml:space="preserve">odstotne točke. </w:t>
      </w:r>
    </w:p>
    <w:p w14:paraId="20D47F57" w14:textId="19427535" w:rsidR="00840598" w:rsidRPr="00D67ADF" w:rsidRDefault="00840598" w:rsidP="00840598">
      <w:pPr>
        <w:spacing w:before="120" w:after="120" w:line="240" w:lineRule="auto"/>
        <w:rPr>
          <w:rFonts w:ascii="Arial" w:hAnsi="Arial" w:cs="Arial"/>
          <w:color w:val="000000" w:themeColor="text1"/>
          <w:sz w:val="20"/>
        </w:rPr>
      </w:pPr>
      <w:r w:rsidRPr="00D67ADF">
        <w:rPr>
          <w:rFonts w:ascii="Arial" w:hAnsi="Arial" w:cs="Arial"/>
          <w:color w:val="000000" w:themeColor="text1"/>
          <w:sz w:val="20"/>
        </w:rPr>
        <w:t>Graf </w:t>
      </w:r>
      <w:r w:rsidR="002B1D8E" w:rsidRPr="00D67ADF">
        <w:rPr>
          <w:rFonts w:ascii="Arial" w:hAnsi="Arial" w:cs="Arial"/>
          <w:color w:val="000000" w:themeColor="text1"/>
          <w:sz w:val="20"/>
        </w:rPr>
        <w:t>3</w:t>
      </w:r>
      <w:r w:rsidRPr="00D67ADF">
        <w:rPr>
          <w:rFonts w:ascii="Arial" w:hAnsi="Arial" w:cs="Arial"/>
          <w:color w:val="000000" w:themeColor="text1"/>
          <w:sz w:val="20"/>
        </w:rPr>
        <w:t>: Delež javnih na</w:t>
      </w:r>
      <w:r w:rsidR="005B41F0" w:rsidRPr="00D67ADF">
        <w:rPr>
          <w:rFonts w:ascii="Arial" w:hAnsi="Arial" w:cs="Arial"/>
          <w:color w:val="000000" w:themeColor="text1"/>
          <w:sz w:val="20"/>
        </w:rPr>
        <w:t>ročil, oddanih v letih 2011–20</w:t>
      </w:r>
      <w:r w:rsidR="00C72952" w:rsidRPr="00D67ADF">
        <w:rPr>
          <w:rFonts w:ascii="Arial" w:hAnsi="Arial" w:cs="Arial"/>
          <w:color w:val="000000" w:themeColor="text1"/>
          <w:sz w:val="20"/>
        </w:rPr>
        <w:t>2</w:t>
      </w:r>
      <w:r w:rsidR="007A35D5" w:rsidRPr="00D67ADF">
        <w:rPr>
          <w:rFonts w:ascii="Arial" w:hAnsi="Arial" w:cs="Arial"/>
          <w:color w:val="000000" w:themeColor="text1"/>
          <w:sz w:val="20"/>
        </w:rPr>
        <w:t>3</w:t>
      </w:r>
      <w:r w:rsidRPr="00D67ADF">
        <w:rPr>
          <w:rFonts w:ascii="Arial" w:hAnsi="Arial" w:cs="Arial"/>
          <w:color w:val="000000" w:themeColor="text1"/>
          <w:sz w:val="20"/>
        </w:rPr>
        <w:t>, v BDP</w:t>
      </w:r>
    </w:p>
    <w:p w14:paraId="44A178E2" w14:textId="3A1A121A" w:rsidR="00DA0ADA" w:rsidRPr="00D67ADF" w:rsidRDefault="00766355" w:rsidP="00867FC0">
      <w:pPr>
        <w:spacing w:before="120" w:after="120" w:line="240" w:lineRule="auto"/>
        <w:jc w:val="center"/>
        <w:rPr>
          <w:rFonts w:ascii="Arial" w:hAnsi="Arial" w:cs="Arial"/>
          <w:color w:val="000000" w:themeColor="text1"/>
          <w:sz w:val="18"/>
        </w:rPr>
      </w:pPr>
      <w:r w:rsidRPr="00D67ADF">
        <w:rPr>
          <w:rFonts w:ascii="Arial" w:hAnsi="Arial" w:cs="Arial"/>
          <w:noProof/>
          <w:color w:val="000000" w:themeColor="text1"/>
          <w:sz w:val="18"/>
          <w:szCs w:val="18"/>
          <w:lang w:eastAsia="sl-SI"/>
        </w:rPr>
        <w:drawing>
          <wp:inline distT="0" distB="0" distL="0" distR="0" wp14:anchorId="1535537A" wp14:editId="28FC6CC7">
            <wp:extent cx="5486400" cy="2689860"/>
            <wp:effectExtent l="0" t="0" r="0" b="15240"/>
            <wp:docPr id="5" name="Grafikon 5" descr="Delež javnih naročil, oddanih v letih 2011–2021, v BDP."/>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CBA719" w14:textId="0B3CBCC7" w:rsidR="00840598" w:rsidRPr="00D67ADF" w:rsidRDefault="00840598" w:rsidP="005859AC">
      <w:pPr>
        <w:shd w:val="clear" w:color="auto" w:fill="FFFFFF"/>
        <w:spacing w:line="360" w:lineRule="auto"/>
        <w:ind w:left="181"/>
        <w:jc w:val="center"/>
        <w:rPr>
          <w:rFonts w:ascii="Arial" w:hAnsi="Arial" w:cs="Arial"/>
          <w:color w:val="000000" w:themeColor="text1"/>
          <w:sz w:val="18"/>
        </w:rPr>
      </w:pPr>
      <w:r w:rsidRPr="00D67ADF">
        <w:rPr>
          <w:rFonts w:ascii="Arial" w:hAnsi="Arial" w:cs="Arial"/>
          <w:color w:val="000000" w:themeColor="text1"/>
          <w:sz w:val="18"/>
        </w:rPr>
        <w:t xml:space="preserve">Vir: </w:t>
      </w:r>
      <w:bookmarkStart w:id="8" w:name="_Hlk78271890"/>
      <w:r w:rsidRPr="00D67ADF">
        <w:rPr>
          <w:rFonts w:ascii="Arial" w:hAnsi="Arial" w:cs="Arial"/>
          <w:color w:val="000000" w:themeColor="text1"/>
          <w:sz w:val="18"/>
        </w:rPr>
        <w:t>Statistični podatki o javnih naro</w:t>
      </w:r>
      <w:r w:rsidR="005B41F0" w:rsidRPr="00D67ADF">
        <w:rPr>
          <w:rFonts w:ascii="Arial" w:hAnsi="Arial" w:cs="Arial"/>
          <w:color w:val="000000" w:themeColor="text1"/>
          <w:sz w:val="18"/>
        </w:rPr>
        <w:t>čilih, oddanih v letih 2011–20</w:t>
      </w:r>
      <w:r w:rsidR="008F7D09" w:rsidRPr="00D67ADF">
        <w:rPr>
          <w:rFonts w:ascii="Arial" w:hAnsi="Arial" w:cs="Arial"/>
          <w:color w:val="000000" w:themeColor="text1"/>
          <w:sz w:val="18"/>
        </w:rPr>
        <w:t>2</w:t>
      </w:r>
      <w:bookmarkEnd w:id="8"/>
      <w:r w:rsidR="007A35D5" w:rsidRPr="00D67ADF">
        <w:rPr>
          <w:rFonts w:ascii="Arial" w:hAnsi="Arial" w:cs="Arial"/>
          <w:color w:val="000000" w:themeColor="text1"/>
          <w:sz w:val="18"/>
        </w:rPr>
        <w:t>3</w:t>
      </w:r>
      <w:r w:rsidR="006B1B29" w:rsidRPr="00D67ADF">
        <w:rPr>
          <w:rFonts w:ascii="Arial" w:hAnsi="Arial" w:cs="Arial"/>
          <w:color w:val="000000" w:themeColor="text1"/>
          <w:sz w:val="18"/>
        </w:rPr>
        <w:t>.</w:t>
      </w:r>
    </w:p>
    <w:p w14:paraId="34AB576A" w14:textId="7F15EBFF" w:rsidR="004073D3" w:rsidRPr="008D69A6" w:rsidRDefault="004073D3" w:rsidP="004073D3">
      <w:pPr>
        <w:tabs>
          <w:tab w:val="left" w:pos="567"/>
          <w:tab w:val="left" w:pos="993"/>
        </w:tabs>
        <w:spacing w:line="360" w:lineRule="auto"/>
        <w:jc w:val="both"/>
        <w:rPr>
          <w:rFonts w:ascii="Arial" w:hAnsi="Arial" w:cs="Arial"/>
          <w:color w:val="000000" w:themeColor="text1"/>
          <w:sz w:val="20"/>
          <w:szCs w:val="20"/>
        </w:rPr>
      </w:pPr>
      <w:r w:rsidRPr="008D69A6">
        <w:rPr>
          <w:rFonts w:ascii="Arial" w:hAnsi="Arial" w:cs="Arial"/>
          <w:color w:val="000000" w:themeColor="text1"/>
          <w:sz w:val="20"/>
          <w:szCs w:val="20"/>
        </w:rPr>
        <w:lastRenderedPageBreak/>
        <w:t>Ker statistični izračuni o oddanih javnih naročilih temeljijo na pogodbeni vrednosti brez DDV, je bila pri izračunu deleža j</w:t>
      </w:r>
      <w:r w:rsidR="0033089D" w:rsidRPr="008D69A6">
        <w:rPr>
          <w:rFonts w:ascii="Arial" w:hAnsi="Arial" w:cs="Arial"/>
          <w:color w:val="000000" w:themeColor="text1"/>
          <w:sz w:val="20"/>
          <w:szCs w:val="20"/>
        </w:rPr>
        <w:t>avnih naročil v BDP za leto 20</w:t>
      </w:r>
      <w:r w:rsidR="009278E2" w:rsidRPr="008D69A6">
        <w:rPr>
          <w:rFonts w:ascii="Arial" w:hAnsi="Arial" w:cs="Arial"/>
          <w:color w:val="000000" w:themeColor="text1"/>
          <w:sz w:val="20"/>
          <w:szCs w:val="20"/>
        </w:rPr>
        <w:t>2</w:t>
      </w:r>
      <w:r w:rsidR="00C2099F" w:rsidRPr="008D69A6">
        <w:rPr>
          <w:rFonts w:ascii="Arial" w:hAnsi="Arial" w:cs="Arial"/>
          <w:color w:val="000000" w:themeColor="text1"/>
          <w:sz w:val="20"/>
          <w:szCs w:val="20"/>
        </w:rPr>
        <w:t>3</w:t>
      </w:r>
      <w:r w:rsidRPr="008D69A6">
        <w:rPr>
          <w:rFonts w:ascii="Arial" w:hAnsi="Arial" w:cs="Arial"/>
          <w:color w:val="000000" w:themeColor="text1"/>
          <w:sz w:val="20"/>
          <w:szCs w:val="20"/>
        </w:rPr>
        <w:t xml:space="preserve"> upoštevana tudi</w:t>
      </w:r>
      <w:r w:rsidR="006B7D80" w:rsidRPr="008D69A6">
        <w:rPr>
          <w:rFonts w:ascii="Arial" w:hAnsi="Arial" w:cs="Arial"/>
          <w:color w:val="000000" w:themeColor="text1"/>
          <w:sz w:val="20"/>
          <w:szCs w:val="20"/>
        </w:rPr>
        <w:t xml:space="preserve"> </w:t>
      </w:r>
      <w:r w:rsidR="0009064D" w:rsidRPr="008D69A6">
        <w:rPr>
          <w:rFonts w:ascii="Arial" w:hAnsi="Arial" w:cs="Arial"/>
          <w:color w:val="000000" w:themeColor="text1"/>
          <w:sz w:val="20"/>
          <w:szCs w:val="20"/>
        </w:rPr>
        <w:t>na</w:t>
      </w:r>
      <w:r w:rsidR="006B7D80" w:rsidRPr="008D69A6">
        <w:rPr>
          <w:rFonts w:ascii="Arial" w:hAnsi="Arial" w:cs="Arial"/>
          <w:color w:val="000000" w:themeColor="text1"/>
          <w:sz w:val="20"/>
          <w:szCs w:val="20"/>
        </w:rPr>
        <w:t xml:space="preserve">zadnje izračunana </w:t>
      </w:r>
      <w:r w:rsidRPr="008D69A6">
        <w:rPr>
          <w:rFonts w:ascii="Arial" w:hAnsi="Arial" w:cs="Arial"/>
          <w:color w:val="000000" w:themeColor="text1"/>
          <w:sz w:val="20"/>
          <w:szCs w:val="20"/>
        </w:rPr>
        <w:t xml:space="preserve">tehtana povprečna stopnja DDV, ki jo </w:t>
      </w:r>
      <w:r w:rsidR="006B7D80" w:rsidRPr="008D69A6">
        <w:rPr>
          <w:rFonts w:ascii="Arial" w:hAnsi="Arial" w:cs="Arial"/>
          <w:color w:val="000000" w:themeColor="text1"/>
          <w:sz w:val="20"/>
          <w:szCs w:val="20"/>
        </w:rPr>
        <w:t xml:space="preserve">je </w:t>
      </w:r>
      <w:r w:rsidRPr="008D69A6">
        <w:rPr>
          <w:rFonts w:ascii="Arial" w:hAnsi="Arial" w:cs="Arial"/>
          <w:color w:val="000000" w:themeColor="text1"/>
          <w:sz w:val="20"/>
          <w:szCs w:val="20"/>
        </w:rPr>
        <w:t>izračuna</w:t>
      </w:r>
      <w:r w:rsidR="006B7D80" w:rsidRPr="008D69A6">
        <w:rPr>
          <w:rFonts w:ascii="Arial" w:hAnsi="Arial" w:cs="Arial"/>
          <w:color w:val="000000" w:themeColor="text1"/>
          <w:sz w:val="20"/>
          <w:szCs w:val="20"/>
        </w:rPr>
        <w:t>l</w:t>
      </w:r>
      <w:r w:rsidRPr="008D69A6">
        <w:rPr>
          <w:rFonts w:ascii="Arial" w:hAnsi="Arial" w:cs="Arial"/>
          <w:color w:val="000000" w:themeColor="text1"/>
          <w:sz w:val="20"/>
          <w:szCs w:val="20"/>
        </w:rPr>
        <w:t xml:space="preserve"> Statistični </w:t>
      </w:r>
      <w:r w:rsidR="00B63B35" w:rsidRPr="008D69A6">
        <w:rPr>
          <w:rFonts w:ascii="Arial" w:hAnsi="Arial" w:cs="Arial"/>
          <w:color w:val="000000" w:themeColor="text1"/>
          <w:sz w:val="20"/>
          <w:szCs w:val="20"/>
        </w:rPr>
        <w:t>u</w:t>
      </w:r>
      <w:r w:rsidRPr="008D69A6">
        <w:rPr>
          <w:rFonts w:ascii="Arial" w:hAnsi="Arial" w:cs="Arial"/>
          <w:color w:val="000000" w:themeColor="text1"/>
          <w:sz w:val="20"/>
          <w:szCs w:val="20"/>
        </w:rPr>
        <w:t xml:space="preserve">rad Republike Slovenije ob pripravi </w:t>
      </w:r>
      <w:r w:rsidR="00113889" w:rsidRPr="008D69A6">
        <w:rPr>
          <w:rFonts w:ascii="Arial" w:hAnsi="Arial" w:cs="Arial"/>
          <w:color w:val="000000" w:themeColor="text1"/>
          <w:sz w:val="20"/>
          <w:szCs w:val="20"/>
        </w:rPr>
        <w:t>p</w:t>
      </w:r>
      <w:r w:rsidRPr="008D69A6">
        <w:rPr>
          <w:rFonts w:ascii="Arial" w:hAnsi="Arial" w:cs="Arial"/>
          <w:color w:val="000000" w:themeColor="text1"/>
          <w:sz w:val="20"/>
          <w:szCs w:val="20"/>
        </w:rPr>
        <w:t xml:space="preserve">oročila o DDV, in sicer </w:t>
      </w:r>
      <w:r w:rsidRPr="008D69A6">
        <w:rPr>
          <w:rFonts w:ascii="Arial" w:hAnsi="Arial" w:cs="Arial"/>
          <w:color w:val="000000" w:themeColor="text1"/>
          <w:sz w:val="20"/>
          <w:szCs w:val="20"/>
          <w:shd w:val="clear" w:color="auto" w:fill="FFFFFF"/>
        </w:rPr>
        <w:t xml:space="preserve">v višini </w:t>
      </w:r>
      <w:r w:rsidR="0057404D" w:rsidRPr="008D69A6">
        <w:rPr>
          <w:rFonts w:ascii="Arial" w:hAnsi="Arial" w:cs="Arial"/>
          <w:color w:val="000000" w:themeColor="text1"/>
          <w:sz w:val="20"/>
          <w:szCs w:val="20"/>
          <w:shd w:val="clear" w:color="auto" w:fill="FFFFFF"/>
        </w:rPr>
        <w:t>17,</w:t>
      </w:r>
      <w:r w:rsidR="00F80F94" w:rsidRPr="008D69A6">
        <w:rPr>
          <w:rFonts w:ascii="Arial" w:hAnsi="Arial" w:cs="Arial"/>
          <w:color w:val="000000" w:themeColor="text1"/>
          <w:sz w:val="20"/>
          <w:szCs w:val="20"/>
          <w:shd w:val="clear" w:color="auto" w:fill="FFFFFF"/>
        </w:rPr>
        <w:t>09</w:t>
      </w:r>
      <w:r w:rsidR="001537CE" w:rsidRPr="008D69A6">
        <w:rPr>
          <w:rFonts w:ascii="Arial" w:hAnsi="Arial" w:cs="Arial"/>
          <w:color w:val="000000" w:themeColor="text1"/>
          <w:sz w:val="20"/>
          <w:szCs w:val="20"/>
          <w:shd w:val="clear" w:color="auto" w:fill="FFFFFF"/>
        </w:rPr>
        <w:t> </w:t>
      </w:r>
      <w:r w:rsidR="00AC0027" w:rsidRPr="008D69A6">
        <w:rPr>
          <w:rFonts w:ascii="Arial" w:hAnsi="Arial" w:cs="Arial"/>
          <w:color w:val="000000" w:themeColor="text1"/>
          <w:sz w:val="20"/>
          <w:szCs w:val="20"/>
          <w:shd w:val="clear" w:color="auto" w:fill="FFFFFF"/>
        </w:rPr>
        <w:t>odstotka</w:t>
      </w:r>
      <w:r w:rsidR="006B7D80" w:rsidRPr="008D69A6">
        <w:rPr>
          <w:rFonts w:ascii="Arial" w:hAnsi="Arial" w:cs="Arial"/>
          <w:color w:val="000000" w:themeColor="text1"/>
          <w:sz w:val="20"/>
          <w:szCs w:val="20"/>
          <w:shd w:val="clear" w:color="auto" w:fill="FFFFFF"/>
        </w:rPr>
        <w:t xml:space="preserve"> za leto 202</w:t>
      </w:r>
      <w:r w:rsidR="00F80F94" w:rsidRPr="008D69A6">
        <w:rPr>
          <w:rFonts w:ascii="Arial" w:hAnsi="Arial" w:cs="Arial"/>
          <w:color w:val="000000" w:themeColor="text1"/>
          <w:sz w:val="20"/>
          <w:szCs w:val="20"/>
          <w:shd w:val="clear" w:color="auto" w:fill="FFFFFF"/>
        </w:rPr>
        <w:t>2</w:t>
      </w:r>
      <w:r w:rsidR="0057404D" w:rsidRPr="008D69A6">
        <w:rPr>
          <w:rFonts w:ascii="Arial" w:hAnsi="Arial" w:cs="Arial"/>
          <w:color w:val="000000" w:themeColor="text1"/>
          <w:sz w:val="20"/>
          <w:szCs w:val="20"/>
          <w:shd w:val="clear" w:color="auto" w:fill="FFFFFF"/>
        </w:rPr>
        <w:t>.</w:t>
      </w:r>
      <w:r w:rsidRPr="008D69A6">
        <w:rPr>
          <w:rFonts w:ascii="Arial" w:hAnsi="Arial" w:cs="Arial"/>
          <w:color w:val="000000" w:themeColor="text1"/>
          <w:sz w:val="20"/>
          <w:szCs w:val="20"/>
        </w:rPr>
        <w:t xml:space="preserve"> </w:t>
      </w:r>
    </w:p>
    <w:p w14:paraId="35E8AE2B" w14:textId="4C8A2D40" w:rsidR="00775DED" w:rsidRPr="008D69A6" w:rsidRDefault="00775DED" w:rsidP="008A61FD">
      <w:pPr>
        <w:spacing w:before="120" w:after="120" w:line="240" w:lineRule="auto"/>
        <w:jc w:val="both"/>
        <w:rPr>
          <w:rFonts w:ascii="Arial" w:hAnsi="Arial" w:cs="Arial"/>
          <w:color w:val="000000" w:themeColor="text1"/>
          <w:sz w:val="20"/>
        </w:rPr>
      </w:pPr>
      <w:r w:rsidRPr="008D69A6">
        <w:rPr>
          <w:rFonts w:ascii="Arial" w:hAnsi="Arial" w:cs="Arial"/>
          <w:color w:val="000000" w:themeColor="text1"/>
          <w:sz w:val="20"/>
        </w:rPr>
        <w:t xml:space="preserve">Preglednica </w:t>
      </w:r>
      <w:r w:rsidR="00ED4617" w:rsidRPr="008D69A6">
        <w:rPr>
          <w:rFonts w:ascii="Arial" w:hAnsi="Arial" w:cs="Arial"/>
          <w:color w:val="000000" w:themeColor="text1"/>
          <w:sz w:val="20"/>
        </w:rPr>
        <w:t>1</w:t>
      </w:r>
      <w:r w:rsidRPr="008D69A6">
        <w:rPr>
          <w:rFonts w:ascii="Arial" w:hAnsi="Arial" w:cs="Arial"/>
          <w:color w:val="000000" w:themeColor="text1"/>
          <w:sz w:val="20"/>
        </w:rPr>
        <w:t xml:space="preserve">: Vrste naročil </w:t>
      </w:r>
      <w:r w:rsidR="00113889" w:rsidRPr="008D69A6">
        <w:rPr>
          <w:rFonts w:ascii="Arial" w:hAnsi="Arial" w:cs="Arial"/>
          <w:color w:val="000000" w:themeColor="text1"/>
          <w:sz w:val="20"/>
        </w:rPr>
        <w:t>po</w:t>
      </w:r>
      <w:r w:rsidRPr="008D69A6">
        <w:rPr>
          <w:rFonts w:ascii="Arial" w:hAnsi="Arial" w:cs="Arial"/>
          <w:color w:val="000000" w:themeColor="text1"/>
          <w:sz w:val="20"/>
        </w:rPr>
        <w:t xml:space="preserve"> številu in vred</w:t>
      </w:r>
      <w:r w:rsidR="00B50B1A" w:rsidRPr="008D69A6">
        <w:rPr>
          <w:rFonts w:ascii="Arial" w:hAnsi="Arial" w:cs="Arial"/>
          <w:color w:val="000000" w:themeColor="text1"/>
          <w:sz w:val="20"/>
        </w:rPr>
        <w:t xml:space="preserve">nosti, upoštevanih pri izračunu deleža javnih naročil v BDP </w:t>
      </w:r>
    </w:p>
    <w:tbl>
      <w:tblPr>
        <w:tblW w:w="8560" w:type="dxa"/>
        <w:jc w:val="center"/>
        <w:tblCellMar>
          <w:left w:w="70" w:type="dxa"/>
          <w:right w:w="70" w:type="dxa"/>
        </w:tblCellMar>
        <w:tblLook w:val="04A0" w:firstRow="1" w:lastRow="0" w:firstColumn="1" w:lastColumn="0" w:noHBand="0" w:noVBand="1"/>
      </w:tblPr>
      <w:tblGrid>
        <w:gridCol w:w="5876"/>
        <w:gridCol w:w="1184"/>
        <w:gridCol w:w="1500"/>
      </w:tblGrid>
      <w:tr w:rsidR="003D310E" w:rsidRPr="008D69A6" w14:paraId="0FD3B3AF" w14:textId="77777777" w:rsidTr="00DB3AA6">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6E75EC" w14:textId="7DD33F2E" w:rsidR="00775DED" w:rsidRPr="008D69A6" w:rsidRDefault="00775DED" w:rsidP="00226AE1">
            <w:pPr>
              <w:spacing w:after="0" w:line="240" w:lineRule="auto"/>
              <w:jc w:val="center"/>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 xml:space="preserve">Upoštevano </w:t>
            </w:r>
            <w:r w:rsidR="00113889" w:rsidRPr="008D69A6">
              <w:rPr>
                <w:rFonts w:ascii="Arial" w:eastAsia="Times New Roman" w:hAnsi="Arial" w:cs="Arial"/>
                <w:color w:val="000000" w:themeColor="text1"/>
                <w:sz w:val="18"/>
                <w:szCs w:val="18"/>
                <w:lang w:eastAsia="sl-SI"/>
              </w:rPr>
              <w:t>pri</w:t>
            </w:r>
            <w:r w:rsidRPr="008D69A6">
              <w:rPr>
                <w:rFonts w:ascii="Arial" w:eastAsia="Times New Roman" w:hAnsi="Arial" w:cs="Arial"/>
                <w:color w:val="000000" w:themeColor="text1"/>
                <w:sz w:val="18"/>
                <w:szCs w:val="18"/>
                <w:lang w:eastAsia="sl-SI"/>
              </w:rPr>
              <w:t xml:space="preserve"> izračunu deleža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AEB175" w14:textId="6FF113D3" w:rsidR="00775DED" w:rsidRPr="008D69A6" w:rsidRDefault="00775DED" w:rsidP="00226AE1">
            <w:pPr>
              <w:spacing w:after="0" w:line="240" w:lineRule="auto"/>
              <w:jc w:val="center"/>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Št</w:t>
            </w:r>
            <w:r w:rsidR="001A58CB" w:rsidRPr="008D69A6">
              <w:rPr>
                <w:rFonts w:ascii="Arial" w:eastAsia="Times New Roman" w:hAnsi="Arial" w:cs="Arial"/>
                <w:color w:val="000000" w:themeColor="text1"/>
                <w:sz w:val="18"/>
                <w:szCs w:val="18"/>
                <w:lang w:eastAsia="sl-SI"/>
              </w:rPr>
              <w:t>.</w:t>
            </w:r>
            <w:r w:rsidRPr="008D69A6">
              <w:rPr>
                <w:rFonts w:ascii="Arial" w:eastAsia="Times New Roman" w:hAnsi="Arial" w:cs="Arial"/>
                <w:color w:val="000000" w:themeColor="text1"/>
                <w:sz w:val="18"/>
                <w:szCs w:val="18"/>
                <w:lang w:eastAsia="sl-SI"/>
              </w:rPr>
              <w:t xml:space="preserve"> postopkov</w:t>
            </w:r>
          </w:p>
        </w:tc>
        <w:tc>
          <w:tcPr>
            <w:tcW w:w="15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DA9D5C" w14:textId="16EE0D07" w:rsidR="00775DED" w:rsidRPr="008D69A6" w:rsidRDefault="00775DED" w:rsidP="00226AE1">
            <w:pPr>
              <w:spacing w:after="0" w:line="240" w:lineRule="auto"/>
              <w:jc w:val="center"/>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Pogodbena vrednost</w:t>
            </w:r>
            <w:r w:rsidR="0095799F" w:rsidRPr="008D69A6">
              <w:rPr>
                <w:rFonts w:ascii="Arial" w:eastAsia="Times New Roman" w:hAnsi="Arial" w:cs="Arial"/>
                <w:color w:val="000000" w:themeColor="text1"/>
                <w:sz w:val="18"/>
                <w:szCs w:val="18"/>
                <w:lang w:eastAsia="sl-SI"/>
              </w:rPr>
              <w:t xml:space="preserve"> (v EUR)</w:t>
            </w:r>
          </w:p>
        </w:tc>
      </w:tr>
      <w:tr w:rsidR="008D69A6" w:rsidRPr="008D69A6" w14:paraId="38862FEE" w14:textId="77777777" w:rsidTr="00161BC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A0EB35" w14:textId="30A657DA" w:rsidR="008D69A6" w:rsidRPr="008D69A6" w:rsidRDefault="008D69A6" w:rsidP="008D69A6">
            <w:pPr>
              <w:spacing w:after="0" w:line="240" w:lineRule="auto"/>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Objavljena naročila na portalu javnih naročil oziroma v Uradnem listu Evropske unije</w:t>
            </w:r>
          </w:p>
        </w:tc>
        <w:tc>
          <w:tcPr>
            <w:tcW w:w="0" w:type="auto"/>
            <w:tcBorders>
              <w:top w:val="nil"/>
              <w:left w:val="nil"/>
              <w:bottom w:val="single" w:sz="4" w:space="0" w:color="auto"/>
              <w:right w:val="single" w:sz="4" w:space="0" w:color="auto"/>
            </w:tcBorders>
            <w:shd w:val="clear" w:color="auto" w:fill="auto"/>
            <w:vAlign w:val="center"/>
            <w:hideMark/>
          </w:tcPr>
          <w:p w14:paraId="036C37A9" w14:textId="61BA3673" w:rsidR="008D69A6" w:rsidRPr="008D69A6" w:rsidRDefault="008D69A6" w:rsidP="008D69A6">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6.771</w:t>
            </w:r>
          </w:p>
        </w:tc>
        <w:tc>
          <w:tcPr>
            <w:tcW w:w="1500" w:type="dxa"/>
            <w:tcBorders>
              <w:top w:val="nil"/>
              <w:left w:val="nil"/>
              <w:bottom w:val="single" w:sz="4" w:space="0" w:color="auto"/>
              <w:right w:val="single" w:sz="4" w:space="0" w:color="auto"/>
            </w:tcBorders>
            <w:shd w:val="clear" w:color="auto" w:fill="auto"/>
            <w:vAlign w:val="center"/>
            <w:hideMark/>
          </w:tcPr>
          <w:p w14:paraId="699FF4FB" w14:textId="6EE8BC09" w:rsidR="008D69A6" w:rsidRPr="008D69A6" w:rsidRDefault="008D69A6" w:rsidP="008D69A6">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5.706.244.158</w:t>
            </w:r>
          </w:p>
        </w:tc>
      </w:tr>
      <w:tr w:rsidR="008D69A6" w:rsidRPr="008D69A6" w14:paraId="6265D4D5" w14:textId="77777777" w:rsidTr="00161BC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701ECB3" w14:textId="107CC917" w:rsidR="008D69A6" w:rsidRPr="008D69A6" w:rsidRDefault="008D69A6" w:rsidP="008D69A6">
            <w:pPr>
              <w:spacing w:after="0" w:line="240" w:lineRule="auto"/>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Dinamični nabavni sistem</w:t>
            </w:r>
          </w:p>
        </w:tc>
        <w:tc>
          <w:tcPr>
            <w:tcW w:w="0" w:type="auto"/>
            <w:tcBorders>
              <w:top w:val="nil"/>
              <w:left w:val="nil"/>
              <w:bottom w:val="single" w:sz="4" w:space="0" w:color="auto"/>
              <w:right w:val="single" w:sz="4" w:space="0" w:color="auto"/>
            </w:tcBorders>
            <w:shd w:val="clear" w:color="auto" w:fill="auto"/>
            <w:vAlign w:val="center"/>
          </w:tcPr>
          <w:p w14:paraId="0FE263A0" w14:textId="3C82FFBC" w:rsidR="008D69A6" w:rsidRPr="008D69A6" w:rsidRDefault="008D69A6" w:rsidP="008D69A6">
            <w:pPr>
              <w:spacing w:after="0" w:line="240" w:lineRule="auto"/>
              <w:jc w:val="right"/>
              <w:rPr>
                <w:rFonts w:ascii="Arial" w:hAnsi="Arial" w:cs="Arial"/>
                <w:color w:val="000000" w:themeColor="text1"/>
                <w:sz w:val="18"/>
                <w:szCs w:val="18"/>
              </w:rPr>
            </w:pPr>
            <w:r w:rsidRPr="008D69A6">
              <w:rPr>
                <w:rFonts w:ascii="Arial" w:eastAsia="Times New Roman" w:hAnsi="Arial" w:cs="Arial"/>
                <w:color w:val="000000" w:themeColor="text1"/>
                <w:sz w:val="18"/>
                <w:szCs w:val="18"/>
                <w:lang w:eastAsia="sl-SI"/>
              </w:rPr>
              <w:t>379</w:t>
            </w:r>
          </w:p>
        </w:tc>
        <w:tc>
          <w:tcPr>
            <w:tcW w:w="1500" w:type="dxa"/>
            <w:tcBorders>
              <w:top w:val="nil"/>
              <w:left w:val="nil"/>
              <w:bottom w:val="single" w:sz="4" w:space="0" w:color="auto"/>
              <w:right w:val="single" w:sz="4" w:space="0" w:color="auto"/>
            </w:tcBorders>
            <w:shd w:val="clear" w:color="auto" w:fill="auto"/>
            <w:vAlign w:val="center"/>
          </w:tcPr>
          <w:p w14:paraId="7B14A75F" w14:textId="0AEBEA87" w:rsidR="008D69A6" w:rsidRPr="008D69A6" w:rsidRDefault="008D69A6" w:rsidP="008D69A6">
            <w:pPr>
              <w:spacing w:after="0" w:line="240" w:lineRule="auto"/>
              <w:jc w:val="right"/>
              <w:rPr>
                <w:rFonts w:ascii="Arial" w:hAnsi="Arial" w:cs="Arial"/>
                <w:color w:val="000000" w:themeColor="text1"/>
                <w:sz w:val="18"/>
                <w:szCs w:val="18"/>
              </w:rPr>
            </w:pPr>
            <w:r w:rsidRPr="008D69A6">
              <w:rPr>
                <w:rFonts w:ascii="Arial" w:eastAsia="Times New Roman" w:hAnsi="Arial" w:cs="Arial"/>
                <w:color w:val="000000" w:themeColor="text1"/>
                <w:sz w:val="18"/>
                <w:szCs w:val="18"/>
                <w:lang w:eastAsia="sl-SI"/>
              </w:rPr>
              <w:t>526.006.811</w:t>
            </w:r>
          </w:p>
        </w:tc>
      </w:tr>
      <w:tr w:rsidR="008D69A6" w:rsidRPr="008D69A6" w14:paraId="67BA808B" w14:textId="77777777" w:rsidTr="00161BC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982C6" w14:textId="77777777" w:rsidR="008D69A6" w:rsidRPr="008D69A6" w:rsidRDefault="008D69A6" w:rsidP="008D69A6">
            <w:pPr>
              <w:spacing w:after="0" w:line="240" w:lineRule="auto"/>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 xml:space="preserve">Evidenčna naročila </w:t>
            </w:r>
          </w:p>
        </w:tc>
        <w:tc>
          <w:tcPr>
            <w:tcW w:w="0" w:type="auto"/>
            <w:tcBorders>
              <w:top w:val="nil"/>
              <w:left w:val="nil"/>
              <w:bottom w:val="single" w:sz="4" w:space="0" w:color="auto"/>
              <w:right w:val="single" w:sz="4" w:space="0" w:color="auto"/>
            </w:tcBorders>
            <w:shd w:val="clear" w:color="auto" w:fill="auto"/>
            <w:noWrap/>
            <w:vAlign w:val="center"/>
            <w:hideMark/>
          </w:tcPr>
          <w:p w14:paraId="2F4A9A15" w14:textId="2E343251" w:rsidR="008D69A6" w:rsidRPr="008D69A6" w:rsidRDefault="008D69A6" w:rsidP="008D69A6">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1.102.810</w:t>
            </w:r>
          </w:p>
        </w:tc>
        <w:tc>
          <w:tcPr>
            <w:tcW w:w="1500" w:type="dxa"/>
            <w:tcBorders>
              <w:top w:val="nil"/>
              <w:left w:val="nil"/>
              <w:bottom w:val="single" w:sz="4" w:space="0" w:color="auto"/>
              <w:right w:val="single" w:sz="4" w:space="0" w:color="auto"/>
            </w:tcBorders>
            <w:shd w:val="clear" w:color="auto" w:fill="auto"/>
            <w:noWrap/>
            <w:vAlign w:val="center"/>
            <w:hideMark/>
          </w:tcPr>
          <w:p w14:paraId="5C05DB4A" w14:textId="462B328C" w:rsidR="008D69A6" w:rsidRPr="008D69A6" w:rsidRDefault="008D69A6" w:rsidP="008D69A6">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1.484.325.448</w:t>
            </w:r>
          </w:p>
        </w:tc>
      </w:tr>
      <w:tr w:rsidR="008D69A6" w:rsidRPr="008D69A6" w14:paraId="4D8344CB" w14:textId="77777777" w:rsidTr="00161BC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24C74" w14:textId="4B3DFD4E" w:rsidR="008D69A6" w:rsidRPr="008D69A6" w:rsidRDefault="008D69A6" w:rsidP="008D69A6">
            <w:pPr>
              <w:spacing w:after="0" w:line="240" w:lineRule="auto"/>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Neprednostne storitve</w:t>
            </w:r>
          </w:p>
        </w:tc>
        <w:tc>
          <w:tcPr>
            <w:tcW w:w="0" w:type="auto"/>
            <w:tcBorders>
              <w:top w:val="nil"/>
              <w:left w:val="nil"/>
              <w:bottom w:val="single" w:sz="4" w:space="0" w:color="auto"/>
              <w:right w:val="single" w:sz="4" w:space="0" w:color="auto"/>
            </w:tcBorders>
            <w:shd w:val="clear" w:color="auto" w:fill="auto"/>
            <w:vAlign w:val="center"/>
            <w:hideMark/>
          </w:tcPr>
          <w:p w14:paraId="1C9BF6ED" w14:textId="476197D1" w:rsidR="008D69A6" w:rsidRPr="008D69A6" w:rsidRDefault="008D69A6" w:rsidP="008D69A6">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12</w:t>
            </w:r>
          </w:p>
        </w:tc>
        <w:tc>
          <w:tcPr>
            <w:tcW w:w="1500" w:type="dxa"/>
            <w:tcBorders>
              <w:top w:val="nil"/>
              <w:left w:val="nil"/>
              <w:bottom w:val="single" w:sz="4" w:space="0" w:color="auto"/>
              <w:right w:val="single" w:sz="4" w:space="0" w:color="auto"/>
            </w:tcBorders>
            <w:shd w:val="clear" w:color="auto" w:fill="auto"/>
            <w:vAlign w:val="center"/>
            <w:hideMark/>
          </w:tcPr>
          <w:p w14:paraId="265CB472" w14:textId="4B72E1B4" w:rsidR="008D69A6" w:rsidRPr="008D69A6" w:rsidRDefault="008D69A6" w:rsidP="008D69A6">
            <w:pPr>
              <w:spacing w:after="0" w:line="240" w:lineRule="auto"/>
              <w:jc w:val="right"/>
              <w:rPr>
                <w:rFonts w:ascii="Arial" w:eastAsia="Times New Roman" w:hAnsi="Arial" w:cs="Arial"/>
                <w:color w:val="000000" w:themeColor="text1"/>
                <w:sz w:val="18"/>
                <w:szCs w:val="18"/>
                <w:lang w:eastAsia="sl-SI"/>
              </w:rPr>
            </w:pPr>
            <w:r w:rsidRPr="008D69A6">
              <w:rPr>
                <w:rFonts w:ascii="Arial" w:eastAsia="Times New Roman" w:hAnsi="Arial" w:cs="Arial"/>
                <w:color w:val="000000" w:themeColor="text1"/>
                <w:sz w:val="18"/>
                <w:szCs w:val="18"/>
                <w:lang w:eastAsia="sl-SI"/>
              </w:rPr>
              <w:t>116.740.408</w:t>
            </w:r>
          </w:p>
        </w:tc>
      </w:tr>
      <w:tr w:rsidR="008D69A6" w:rsidRPr="008D69A6" w14:paraId="60680F8C" w14:textId="77777777" w:rsidTr="000110D0">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2EF3F" w14:textId="07F8D737" w:rsidR="008D69A6" w:rsidRPr="008D69A6" w:rsidRDefault="008D69A6" w:rsidP="008D69A6">
            <w:pPr>
              <w:spacing w:after="0" w:line="240" w:lineRule="auto"/>
              <w:rPr>
                <w:rFonts w:ascii="Arial" w:eastAsia="Times New Roman" w:hAnsi="Arial" w:cs="Arial"/>
                <w:b/>
                <w:bCs/>
                <w:color w:val="000000" w:themeColor="text1"/>
                <w:sz w:val="18"/>
                <w:szCs w:val="18"/>
                <w:lang w:eastAsia="sl-SI"/>
              </w:rPr>
            </w:pPr>
            <w:r w:rsidRPr="008D69A6">
              <w:rPr>
                <w:rFonts w:ascii="Arial" w:eastAsia="Times New Roman" w:hAnsi="Arial" w:cs="Arial"/>
                <w:b/>
                <w:bCs/>
                <w:color w:val="000000" w:themeColor="text1"/>
                <w:sz w:val="18"/>
                <w:szCs w:val="18"/>
                <w:lang w:eastAsia="sl-SI"/>
              </w:rPr>
              <w:t>Skupaj</w:t>
            </w:r>
          </w:p>
        </w:tc>
        <w:tc>
          <w:tcPr>
            <w:tcW w:w="0" w:type="auto"/>
            <w:tcBorders>
              <w:top w:val="nil"/>
              <w:left w:val="nil"/>
              <w:bottom w:val="single" w:sz="4" w:space="0" w:color="auto"/>
              <w:right w:val="single" w:sz="4" w:space="0" w:color="auto"/>
            </w:tcBorders>
            <w:shd w:val="clear" w:color="auto" w:fill="auto"/>
            <w:noWrap/>
            <w:vAlign w:val="center"/>
            <w:hideMark/>
          </w:tcPr>
          <w:p w14:paraId="65D11302" w14:textId="4E26597E" w:rsidR="008D69A6" w:rsidRPr="008D69A6" w:rsidRDefault="008D69A6" w:rsidP="008D69A6">
            <w:pPr>
              <w:spacing w:after="0" w:line="240" w:lineRule="auto"/>
              <w:jc w:val="right"/>
              <w:rPr>
                <w:rFonts w:ascii="Arial" w:hAnsi="Arial" w:cs="Arial"/>
                <w:b/>
                <w:bCs/>
                <w:color w:val="000000" w:themeColor="text1"/>
                <w:sz w:val="18"/>
                <w:szCs w:val="18"/>
              </w:rPr>
            </w:pPr>
            <w:r w:rsidRPr="008D69A6">
              <w:rPr>
                <w:rFonts w:ascii="Arial" w:eastAsia="Times New Roman" w:hAnsi="Arial" w:cs="Arial"/>
                <w:b/>
                <w:bCs/>
                <w:color w:val="000000" w:themeColor="text1"/>
                <w:sz w:val="18"/>
                <w:szCs w:val="18"/>
                <w:lang w:eastAsia="sl-SI"/>
              </w:rPr>
              <w:t>1.109.972</w:t>
            </w:r>
          </w:p>
        </w:tc>
        <w:tc>
          <w:tcPr>
            <w:tcW w:w="1500" w:type="dxa"/>
            <w:tcBorders>
              <w:top w:val="nil"/>
              <w:left w:val="nil"/>
              <w:bottom w:val="single" w:sz="4" w:space="0" w:color="auto"/>
              <w:right w:val="single" w:sz="4" w:space="0" w:color="auto"/>
            </w:tcBorders>
            <w:shd w:val="clear" w:color="auto" w:fill="auto"/>
            <w:noWrap/>
            <w:vAlign w:val="center"/>
            <w:hideMark/>
          </w:tcPr>
          <w:p w14:paraId="20D32CBD" w14:textId="40073425" w:rsidR="008D69A6" w:rsidRPr="008D69A6" w:rsidRDefault="008D69A6" w:rsidP="008D69A6">
            <w:pPr>
              <w:spacing w:after="0" w:line="240" w:lineRule="auto"/>
              <w:jc w:val="right"/>
              <w:rPr>
                <w:rFonts w:ascii="Arial" w:hAnsi="Arial" w:cs="Arial"/>
                <w:b/>
                <w:bCs/>
                <w:color w:val="000000" w:themeColor="text1"/>
                <w:sz w:val="18"/>
                <w:szCs w:val="18"/>
              </w:rPr>
            </w:pPr>
            <w:r w:rsidRPr="008D69A6">
              <w:rPr>
                <w:rFonts w:ascii="Arial" w:eastAsia="Times New Roman" w:hAnsi="Arial" w:cs="Arial"/>
                <w:b/>
                <w:bCs/>
                <w:color w:val="000000" w:themeColor="text1"/>
                <w:sz w:val="18"/>
                <w:szCs w:val="18"/>
                <w:lang w:eastAsia="sl-SI"/>
              </w:rPr>
              <w:t>7.833.316.825</w:t>
            </w:r>
          </w:p>
        </w:tc>
      </w:tr>
      <w:tr w:rsidR="003D310E" w:rsidRPr="008D69A6" w14:paraId="6E70B952" w14:textId="77777777" w:rsidTr="00DB3AA6">
        <w:trPr>
          <w:trHeight w:val="255"/>
          <w:jc w:val="center"/>
        </w:trPr>
        <w:tc>
          <w:tcPr>
            <w:tcW w:w="0" w:type="auto"/>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6B1BC9" w14:textId="7DD15065" w:rsidR="001A58CB" w:rsidRPr="008D69A6" w:rsidRDefault="001A58CB" w:rsidP="00226AE1">
            <w:pPr>
              <w:spacing w:after="0" w:line="240" w:lineRule="auto"/>
              <w:rPr>
                <w:rFonts w:ascii="Arial" w:eastAsia="Times New Roman" w:hAnsi="Arial" w:cs="Arial"/>
                <w:b/>
                <w:bCs/>
                <w:color w:val="000000" w:themeColor="text1"/>
                <w:sz w:val="18"/>
                <w:szCs w:val="18"/>
                <w:lang w:eastAsia="sl-SI"/>
              </w:rPr>
            </w:pPr>
            <w:r w:rsidRPr="008D69A6">
              <w:rPr>
                <w:rFonts w:ascii="Arial" w:eastAsia="Times New Roman" w:hAnsi="Arial" w:cs="Arial"/>
                <w:b/>
                <w:bCs/>
                <w:color w:val="000000" w:themeColor="text1"/>
                <w:sz w:val="18"/>
                <w:szCs w:val="18"/>
                <w:lang w:eastAsia="sl-SI"/>
              </w:rPr>
              <w:t xml:space="preserve">Skupaj s tehtano povprečno stopnjo DDV </w:t>
            </w:r>
          </w:p>
        </w:tc>
        <w:tc>
          <w:tcPr>
            <w:tcW w:w="1500" w:type="dxa"/>
            <w:tcBorders>
              <w:top w:val="nil"/>
              <w:left w:val="nil"/>
              <w:bottom w:val="single" w:sz="4" w:space="0" w:color="auto"/>
              <w:right w:val="single" w:sz="4" w:space="0" w:color="auto"/>
            </w:tcBorders>
            <w:shd w:val="clear" w:color="auto" w:fill="F2F2F2" w:themeFill="background1" w:themeFillShade="F2"/>
            <w:noWrap/>
            <w:vAlign w:val="center"/>
          </w:tcPr>
          <w:p w14:paraId="2F15B295" w14:textId="229ACD9F" w:rsidR="001A58CB" w:rsidRPr="008D69A6" w:rsidRDefault="008D69A6" w:rsidP="00226AE1">
            <w:pPr>
              <w:spacing w:after="0" w:line="240" w:lineRule="auto"/>
              <w:jc w:val="right"/>
              <w:rPr>
                <w:rFonts w:ascii="Arial" w:eastAsia="Times New Roman" w:hAnsi="Arial" w:cs="Arial"/>
                <w:b/>
                <w:bCs/>
                <w:color w:val="000000" w:themeColor="text1"/>
                <w:sz w:val="18"/>
                <w:szCs w:val="18"/>
                <w:lang w:eastAsia="sl-SI"/>
              </w:rPr>
            </w:pPr>
            <w:r w:rsidRPr="008D69A6">
              <w:rPr>
                <w:rFonts w:ascii="Arial" w:eastAsia="Times New Roman" w:hAnsi="Arial" w:cs="Arial"/>
                <w:b/>
                <w:bCs/>
                <w:color w:val="000000" w:themeColor="text1"/>
                <w:sz w:val="18"/>
                <w:szCs w:val="18"/>
                <w:lang w:eastAsia="sl-SI"/>
              </w:rPr>
              <w:t>9.172.030.670</w:t>
            </w:r>
          </w:p>
        </w:tc>
      </w:tr>
    </w:tbl>
    <w:p w14:paraId="7263C7D5" w14:textId="77777777" w:rsidR="003156F5" w:rsidRPr="008D69A6" w:rsidRDefault="003156F5" w:rsidP="003156F5">
      <w:pPr>
        <w:spacing w:after="0" w:line="240" w:lineRule="auto"/>
        <w:jc w:val="center"/>
        <w:rPr>
          <w:rFonts w:ascii="Arial" w:hAnsi="Arial" w:cs="Arial"/>
          <w:color w:val="000000" w:themeColor="text1"/>
          <w:sz w:val="18"/>
        </w:rPr>
      </w:pPr>
    </w:p>
    <w:p w14:paraId="27690963" w14:textId="2BF89F10" w:rsidR="00775DED" w:rsidRPr="008D69A6" w:rsidRDefault="00775DED" w:rsidP="00701C10">
      <w:pPr>
        <w:spacing w:after="240" w:line="240" w:lineRule="auto"/>
        <w:jc w:val="center"/>
        <w:rPr>
          <w:rFonts w:ascii="Arial" w:hAnsi="Arial" w:cs="Arial"/>
          <w:color w:val="000000" w:themeColor="text1"/>
          <w:sz w:val="18"/>
        </w:rPr>
      </w:pPr>
      <w:r w:rsidRPr="008D69A6">
        <w:rPr>
          <w:rFonts w:ascii="Arial" w:hAnsi="Arial" w:cs="Arial"/>
          <w:color w:val="000000" w:themeColor="text1"/>
          <w:sz w:val="18"/>
        </w:rPr>
        <w:t>Vir: Statistični podatki o javni</w:t>
      </w:r>
      <w:r w:rsidR="003A12A1" w:rsidRPr="008D69A6">
        <w:rPr>
          <w:rFonts w:ascii="Arial" w:hAnsi="Arial" w:cs="Arial"/>
          <w:color w:val="000000" w:themeColor="text1"/>
          <w:sz w:val="18"/>
        </w:rPr>
        <w:t>h naročilih, oddanih v letu 20</w:t>
      </w:r>
      <w:r w:rsidR="008D6671" w:rsidRPr="008D69A6">
        <w:rPr>
          <w:rFonts w:ascii="Arial" w:hAnsi="Arial" w:cs="Arial"/>
          <w:color w:val="000000" w:themeColor="text1"/>
          <w:sz w:val="18"/>
        </w:rPr>
        <w:t>2</w:t>
      </w:r>
      <w:r w:rsidR="00F80F94" w:rsidRPr="008D69A6">
        <w:rPr>
          <w:rFonts w:ascii="Arial" w:hAnsi="Arial" w:cs="Arial"/>
          <w:color w:val="000000" w:themeColor="text1"/>
          <w:sz w:val="18"/>
        </w:rPr>
        <w:t>3</w:t>
      </w:r>
      <w:r w:rsidR="00C25B89" w:rsidRPr="008D69A6">
        <w:rPr>
          <w:rFonts w:ascii="Arial" w:hAnsi="Arial" w:cs="Arial"/>
          <w:color w:val="000000" w:themeColor="text1"/>
          <w:sz w:val="18"/>
        </w:rPr>
        <w:t>.</w:t>
      </w:r>
    </w:p>
    <w:p w14:paraId="2AF5136E" w14:textId="77777777" w:rsidR="00F80F94" w:rsidRPr="00637ACF" w:rsidRDefault="00F80F94" w:rsidP="00701C10">
      <w:pPr>
        <w:spacing w:after="240" w:line="240" w:lineRule="auto"/>
        <w:jc w:val="center"/>
        <w:rPr>
          <w:rFonts w:ascii="Arial" w:hAnsi="Arial" w:cs="Arial"/>
          <w:color w:val="000000" w:themeColor="text1"/>
          <w:sz w:val="18"/>
          <w:highlight w:val="yellow"/>
        </w:rPr>
      </w:pPr>
    </w:p>
    <w:p w14:paraId="40D01365" w14:textId="303FF532" w:rsidR="00AA5A3E" w:rsidRPr="0089209C" w:rsidRDefault="00AA5A3E" w:rsidP="00A84D1E">
      <w:pPr>
        <w:pStyle w:val="Naslov3"/>
      </w:pPr>
      <w:bookmarkStart w:id="9" w:name="_Toc175563846"/>
      <w:r w:rsidRPr="0089209C">
        <w:t>2.1.2 Delež javnega naročanja v odhodkih proračuna</w:t>
      </w:r>
      <w:bookmarkEnd w:id="9"/>
    </w:p>
    <w:p w14:paraId="0984ECD3" w14:textId="77777777" w:rsidR="00854405" w:rsidRPr="0089209C" w:rsidRDefault="00854405" w:rsidP="00854405">
      <w:pPr>
        <w:pStyle w:val="ZADEVA"/>
        <w:jc w:val="both"/>
        <w:rPr>
          <w:rFonts w:cs="Arial"/>
          <w:b w:val="0"/>
          <w:color w:val="000000" w:themeColor="text1"/>
          <w:szCs w:val="20"/>
          <w:lang w:val="sl-SI"/>
        </w:rPr>
      </w:pPr>
    </w:p>
    <w:p w14:paraId="76D9B9D8" w14:textId="5FAC7C78" w:rsidR="0095799F" w:rsidRPr="0089209C" w:rsidRDefault="0095799F" w:rsidP="0095799F">
      <w:pPr>
        <w:spacing w:line="360" w:lineRule="auto"/>
        <w:jc w:val="both"/>
        <w:rPr>
          <w:rFonts w:ascii="Arial" w:hAnsi="Arial" w:cs="Arial"/>
          <w:bCs/>
          <w:color w:val="000000" w:themeColor="text1"/>
          <w:sz w:val="20"/>
          <w:szCs w:val="20"/>
        </w:rPr>
      </w:pPr>
      <w:r w:rsidRPr="0089209C">
        <w:rPr>
          <w:rFonts w:ascii="Arial" w:hAnsi="Arial" w:cs="Arial"/>
          <w:bCs/>
          <w:color w:val="000000" w:themeColor="text1"/>
          <w:sz w:val="20"/>
          <w:szCs w:val="20"/>
        </w:rPr>
        <w:t>Leta 2023 so znašali odhodki proračuna Republike Slovenije 15.352.279.755 evrov,</w:t>
      </w:r>
      <w:r w:rsidRPr="0089209C">
        <w:rPr>
          <w:rStyle w:val="Sprotnaopomba-sklic"/>
          <w:rFonts w:ascii="Arial" w:hAnsi="Arial" w:cs="Arial"/>
          <w:bCs/>
          <w:color w:val="000000" w:themeColor="text1"/>
          <w:sz w:val="20"/>
          <w:szCs w:val="20"/>
        </w:rPr>
        <w:footnoteReference w:id="2"/>
      </w:r>
      <w:r w:rsidRPr="0089209C">
        <w:rPr>
          <w:rFonts w:ascii="Arial" w:hAnsi="Arial" w:cs="Arial"/>
          <w:bCs/>
          <w:color w:val="000000" w:themeColor="text1"/>
          <w:sz w:val="20"/>
          <w:szCs w:val="20"/>
        </w:rPr>
        <w:t xml:space="preserve"> odhodki samoupravnih lokalnih skupnosti 3.180.460.262 evra</w:t>
      </w:r>
      <w:r w:rsidRPr="0089209C">
        <w:rPr>
          <w:rStyle w:val="Sprotnaopomba-sklic"/>
          <w:rFonts w:ascii="Arial" w:hAnsi="Arial" w:cs="Arial"/>
          <w:bCs/>
          <w:color w:val="000000" w:themeColor="text1"/>
          <w:sz w:val="20"/>
          <w:szCs w:val="20"/>
        </w:rPr>
        <w:footnoteReference w:id="3"/>
      </w:r>
      <w:r w:rsidRPr="0089209C">
        <w:rPr>
          <w:rFonts w:ascii="Arial" w:hAnsi="Arial" w:cs="Arial"/>
          <w:bCs/>
          <w:color w:val="000000" w:themeColor="text1"/>
          <w:sz w:val="20"/>
          <w:szCs w:val="20"/>
        </w:rPr>
        <w:t>, odhodki Zavoda za zdravstveno zavarovanje Slovenije pa 4.394.729.865 evrov</w:t>
      </w:r>
      <w:r w:rsidRPr="0089209C">
        <w:rPr>
          <w:rStyle w:val="Sprotnaopomba-sklic"/>
          <w:rFonts w:ascii="Arial" w:hAnsi="Arial" w:cs="Arial"/>
          <w:bCs/>
          <w:color w:val="000000" w:themeColor="text1"/>
          <w:sz w:val="20"/>
          <w:szCs w:val="20"/>
        </w:rPr>
        <w:footnoteReference w:id="4"/>
      </w:r>
      <w:r w:rsidRPr="0089209C">
        <w:rPr>
          <w:rFonts w:ascii="Arial" w:hAnsi="Arial" w:cs="Arial"/>
          <w:bCs/>
          <w:color w:val="000000" w:themeColor="text1"/>
          <w:sz w:val="20"/>
          <w:szCs w:val="20"/>
        </w:rPr>
        <w:t xml:space="preserve">. Iz statističnih podatkov izhaja, da je bilo v Republiki Sloveniji leta 2023 oddanih za </w:t>
      </w:r>
      <w:r w:rsidR="0089209C" w:rsidRPr="0089209C">
        <w:rPr>
          <w:rFonts w:ascii="Arial" w:hAnsi="Arial" w:cs="Arial"/>
          <w:bCs/>
          <w:color w:val="000000" w:themeColor="text1"/>
          <w:sz w:val="20"/>
          <w:szCs w:val="20"/>
        </w:rPr>
        <w:t xml:space="preserve">9.172.030.670 </w:t>
      </w:r>
      <w:r w:rsidRPr="0089209C">
        <w:rPr>
          <w:rFonts w:ascii="Arial" w:hAnsi="Arial" w:cs="Arial"/>
          <w:bCs/>
          <w:color w:val="000000" w:themeColor="text1"/>
          <w:sz w:val="20"/>
          <w:szCs w:val="20"/>
        </w:rPr>
        <w:t>evrov javnih naročil, pri čemer je upoštevana tudi tehtana povprečna stopnja DDV v višini 17,09 odstotka.</w:t>
      </w:r>
    </w:p>
    <w:p w14:paraId="19BB7E65" w14:textId="3EFF162D" w:rsidR="0095799F" w:rsidRPr="0089209C" w:rsidRDefault="0095799F" w:rsidP="0095799F">
      <w:pPr>
        <w:spacing w:line="360" w:lineRule="auto"/>
        <w:jc w:val="both"/>
        <w:rPr>
          <w:rFonts w:ascii="Arial" w:hAnsi="Arial" w:cs="Arial"/>
          <w:bCs/>
          <w:color w:val="000000" w:themeColor="text1"/>
          <w:sz w:val="20"/>
          <w:szCs w:val="20"/>
        </w:rPr>
      </w:pPr>
      <w:r w:rsidRPr="0089209C">
        <w:rPr>
          <w:rFonts w:ascii="Arial" w:hAnsi="Arial" w:cs="Arial"/>
          <w:bCs/>
          <w:color w:val="000000" w:themeColor="text1"/>
          <w:sz w:val="20"/>
          <w:szCs w:val="20"/>
        </w:rPr>
        <w:t>V letu 2023 javna naročila pomenijo 59,7</w:t>
      </w:r>
      <w:r w:rsidR="0089209C" w:rsidRPr="0089209C">
        <w:rPr>
          <w:rFonts w:ascii="Arial" w:hAnsi="Arial" w:cs="Arial"/>
          <w:bCs/>
          <w:color w:val="000000" w:themeColor="text1"/>
          <w:sz w:val="20"/>
          <w:szCs w:val="20"/>
        </w:rPr>
        <w:t>4</w:t>
      </w:r>
      <w:r w:rsidRPr="0089209C">
        <w:rPr>
          <w:rFonts w:ascii="Arial" w:hAnsi="Arial" w:cs="Arial"/>
          <w:bCs/>
          <w:color w:val="000000" w:themeColor="text1"/>
          <w:sz w:val="20"/>
          <w:szCs w:val="20"/>
        </w:rPr>
        <w:t> odstotka odhodkov proračuna Republike Slovenije.</w:t>
      </w:r>
    </w:p>
    <w:p w14:paraId="48ECA3F6" w14:textId="77777777" w:rsidR="0095799F" w:rsidRPr="0089209C" w:rsidRDefault="0095799F" w:rsidP="0095799F">
      <w:pPr>
        <w:spacing w:line="360" w:lineRule="auto"/>
        <w:jc w:val="both"/>
        <w:rPr>
          <w:rFonts w:ascii="Arial" w:hAnsi="Arial" w:cs="Arial"/>
          <w:bCs/>
          <w:color w:val="000000" w:themeColor="text1"/>
          <w:sz w:val="20"/>
          <w:szCs w:val="20"/>
        </w:rPr>
      </w:pPr>
      <w:r w:rsidRPr="0089209C">
        <w:rPr>
          <w:rFonts w:ascii="Arial" w:hAnsi="Arial" w:cs="Arial"/>
          <w:color w:val="000000" w:themeColor="text1"/>
          <w:sz w:val="20"/>
          <w:szCs w:val="20"/>
        </w:rPr>
        <w:t>Pri izračunu deleža javnih naročil v odhodkih proračuna Republike Slovenije in samoupravnih lokalnih skupnosti so bila v izračunu upoštevana naročila, ki</w:t>
      </w:r>
      <w:r w:rsidRPr="0089209C">
        <w:rPr>
          <w:rFonts w:ascii="Arial" w:hAnsi="Arial" w:cs="Arial"/>
          <w:bCs/>
          <w:color w:val="000000" w:themeColor="text1"/>
          <w:sz w:val="20"/>
          <w:szCs w:val="20"/>
        </w:rPr>
        <w:t xml:space="preserve"> so jih oddali proračunski uporabniki, saj odhodki proračuna zajemajo tekoče odhodke, tekoče transferje, investicijske odhodke in investicijske transferje proračunskih uporabnikov (med katere spadajo plače in drugi izdatki za zaposlene, prispevki delodajalcev – neposrednih proračunskih uporabnikov in nekaterih posrednih proračunskih uporabnikov za socialno varnost, izdatki za blago in storitve, nakup in gradnjo osnovnih sredstev javnega sektorja, subvencije javnim in zasebnim podjetjem ter posameznikom), transferje nepridobitnim organizacijam, ustanovam, posameznikom in gospodinjstvom, domače in tuje transferje, investicijske transferje proračunskim uporabnikom ter pravnim in fizičnim osebam, ki niso proračunski uporabniki, plačila domačih in tujih obresti, rezerve ter plačila v proračun Evropske unije. </w:t>
      </w:r>
    </w:p>
    <w:p w14:paraId="395AE1D8" w14:textId="1FF25445" w:rsidR="0095799F" w:rsidRPr="0089209C" w:rsidRDefault="0095799F" w:rsidP="0095799F">
      <w:pPr>
        <w:spacing w:line="360" w:lineRule="auto"/>
        <w:jc w:val="both"/>
        <w:rPr>
          <w:rFonts w:ascii="Arial" w:hAnsi="Arial" w:cs="Arial"/>
          <w:bCs/>
          <w:color w:val="000000" w:themeColor="text1"/>
          <w:sz w:val="20"/>
          <w:szCs w:val="20"/>
        </w:rPr>
      </w:pPr>
      <w:r w:rsidRPr="0089209C">
        <w:rPr>
          <w:rFonts w:ascii="Arial" w:hAnsi="Arial" w:cs="Arial"/>
          <w:color w:val="000000" w:themeColor="text1"/>
          <w:sz w:val="20"/>
          <w:szCs w:val="20"/>
        </w:rPr>
        <w:lastRenderedPageBreak/>
        <w:t xml:space="preserve">Glede na </w:t>
      </w:r>
      <w:r w:rsidRPr="0089209C">
        <w:rPr>
          <w:rFonts w:ascii="Arial" w:hAnsi="Arial" w:cs="Arial"/>
          <w:bCs/>
          <w:color w:val="000000" w:themeColor="text1"/>
          <w:sz w:val="20"/>
          <w:szCs w:val="20"/>
        </w:rPr>
        <w:t>odhodke državnega proračuna,</w:t>
      </w:r>
      <w:r w:rsidRPr="0089209C">
        <w:rPr>
          <w:rFonts w:ascii="Arial" w:hAnsi="Arial" w:cs="Arial"/>
          <w:color w:val="000000" w:themeColor="text1"/>
          <w:sz w:val="20"/>
          <w:szCs w:val="20"/>
        </w:rPr>
        <w:t xml:space="preserve"> odhodke proračuna samoupravnih lokalnih skupnosti</w:t>
      </w:r>
      <w:r w:rsidRPr="0089209C">
        <w:rPr>
          <w:rFonts w:ascii="Arial" w:hAnsi="Arial" w:cs="Arial"/>
          <w:bCs/>
          <w:color w:val="000000" w:themeColor="text1"/>
          <w:sz w:val="20"/>
          <w:szCs w:val="20"/>
        </w:rPr>
        <w:t xml:space="preserve"> in odhodke Zavoda za zdravstveno zavarovanje Slovenije znaša obseg vseh javnih naročil 40</w:t>
      </w:r>
      <w:r w:rsidR="0089209C" w:rsidRPr="0089209C">
        <w:rPr>
          <w:rFonts w:ascii="Arial" w:hAnsi="Arial" w:cs="Arial"/>
          <w:bCs/>
          <w:color w:val="000000" w:themeColor="text1"/>
          <w:sz w:val="20"/>
          <w:szCs w:val="20"/>
        </w:rPr>
        <w:t xml:space="preserve"> </w:t>
      </w:r>
      <w:r w:rsidRPr="0089209C">
        <w:rPr>
          <w:rFonts w:ascii="Arial" w:hAnsi="Arial" w:cs="Arial"/>
          <w:bCs/>
          <w:color w:val="000000" w:themeColor="text1"/>
          <w:sz w:val="20"/>
          <w:szCs w:val="20"/>
        </w:rPr>
        <w:t>odstotk</w:t>
      </w:r>
      <w:r w:rsidR="0089209C" w:rsidRPr="0089209C">
        <w:rPr>
          <w:rFonts w:ascii="Arial" w:hAnsi="Arial" w:cs="Arial"/>
          <w:bCs/>
          <w:color w:val="000000" w:themeColor="text1"/>
          <w:sz w:val="20"/>
          <w:szCs w:val="20"/>
        </w:rPr>
        <w:t>ov</w:t>
      </w:r>
      <w:r w:rsidRPr="0089209C">
        <w:rPr>
          <w:rFonts w:ascii="Arial" w:hAnsi="Arial" w:cs="Arial"/>
          <w:bCs/>
          <w:color w:val="000000" w:themeColor="text1"/>
          <w:sz w:val="20"/>
          <w:szCs w:val="20"/>
        </w:rPr>
        <w:t xml:space="preserve">. </w:t>
      </w:r>
    </w:p>
    <w:p w14:paraId="6E96EE43" w14:textId="77777777" w:rsidR="0095799F" w:rsidRPr="0089209C" w:rsidRDefault="0095799F" w:rsidP="0095799F">
      <w:pPr>
        <w:spacing w:line="360" w:lineRule="auto"/>
        <w:jc w:val="both"/>
        <w:rPr>
          <w:rFonts w:ascii="Arial" w:hAnsi="Arial" w:cs="Arial"/>
          <w:color w:val="000000" w:themeColor="text1"/>
          <w:sz w:val="20"/>
          <w:szCs w:val="20"/>
        </w:rPr>
      </w:pPr>
      <w:r w:rsidRPr="005062D3">
        <w:rPr>
          <w:rFonts w:ascii="Arial" w:hAnsi="Arial" w:cs="Arial"/>
          <w:bCs/>
          <w:color w:val="000000" w:themeColor="text1"/>
          <w:sz w:val="20"/>
          <w:szCs w:val="20"/>
        </w:rPr>
        <w:t>Delež objavljenih javnih naročil, ki so jih oddali proračunski uporabniki (neposredni in posredni) v odhodkih državnega proračuna, je 28,93-odstoten. Glede na navedeno so dobra četrtina državnega proračuna sredstva, ki jih proračunski uporabniki namenjajo dobavi</w:t>
      </w:r>
      <w:r w:rsidRPr="0089209C">
        <w:rPr>
          <w:rFonts w:ascii="Arial" w:hAnsi="Arial" w:cs="Arial"/>
          <w:bCs/>
          <w:color w:val="000000" w:themeColor="text1"/>
          <w:sz w:val="20"/>
          <w:szCs w:val="20"/>
        </w:rPr>
        <w:t xml:space="preserve"> blaga, storitev in gradnji, preostala proračunska sredstva pa se namenjajo za materialne stroške dela ter v večjem delu za transferje (subvencije, državne pomoči in podobno).  </w:t>
      </w:r>
    </w:p>
    <w:p w14:paraId="4E3CB159" w14:textId="6E359F77" w:rsidR="00AA5A3E" w:rsidRPr="00BE6711" w:rsidRDefault="00AA5A3E" w:rsidP="00AB49BD">
      <w:pPr>
        <w:pStyle w:val="Naslov3"/>
      </w:pPr>
      <w:bookmarkStart w:id="10" w:name="_Toc175563847"/>
      <w:r w:rsidRPr="00BE6711">
        <w:t xml:space="preserve">2.1.3 Število naročnikov z objavljenim obvestilom o oddaji </w:t>
      </w:r>
      <w:r w:rsidR="006507A8" w:rsidRPr="00BE6711">
        <w:t>javnega naročila in</w:t>
      </w:r>
      <w:r w:rsidRPr="00BE6711">
        <w:t xml:space="preserve"> </w:t>
      </w:r>
      <w:r w:rsidR="00113889" w:rsidRPr="00BE6711">
        <w:t xml:space="preserve">s </w:t>
      </w:r>
      <w:r w:rsidRPr="00BE6711">
        <w:t>sporočenimi podatki o evidenčnih naročilih</w:t>
      </w:r>
      <w:bookmarkEnd w:id="10"/>
    </w:p>
    <w:p w14:paraId="096C8292" w14:textId="77B9502F" w:rsidR="00854405" w:rsidRPr="00BE6711" w:rsidRDefault="00854405" w:rsidP="00854405">
      <w:pPr>
        <w:pStyle w:val="ZADEVA"/>
        <w:jc w:val="both"/>
        <w:rPr>
          <w:rFonts w:cs="Arial"/>
          <w:b w:val="0"/>
          <w:color w:val="000000" w:themeColor="text1"/>
          <w:szCs w:val="20"/>
          <w:lang w:val="sl-SI"/>
        </w:rPr>
      </w:pPr>
    </w:p>
    <w:p w14:paraId="22D9C959" w14:textId="5EC60E21" w:rsidR="008E5B56" w:rsidRPr="00BE6711" w:rsidRDefault="008E5B56" w:rsidP="008E5B56">
      <w:pPr>
        <w:spacing w:line="360" w:lineRule="auto"/>
        <w:jc w:val="both"/>
        <w:rPr>
          <w:rFonts w:ascii="Arial" w:hAnsi="Arial" w:cs="Arial"/>
          <w:bCs/>
          <w:color w:val="000000" w:themeColor="text1"/>
          <w:sz w:val="20"/>
          <w:szCs w:val="20"/>
        </w:rPr>
      </w:pPr>
      <w:r w:rsidRPr="00BE6711">
        <w:rPr>
          <w:rFonts w:ascii="Arial" w:hAnsi="Arial" w:cs="Arial"/>
          <w:color w:val="000000" w:themeColor="text1"/>
          <w:sz w:val="20"/>
          <w:szCs w:val="20"/>
        </w:rPr>
        <w:t xml:space="preserve">Iz </w:t>
      </w:r>
      <w:r w:rsidRPr="00BE6711">
        <w:rPr>
          <w:rFonts w:ascii="Arial" w:hAnsi="Arial" w:cs="Arial"/>
          <w:bCs/>
          <w:color w:val="000000" w:themeColor="text1"/>
          <w:sz w:val="20"/>
          <w:szCs w:val="20"/>
        </w:rPr>
        <w:t xml:space="preserve">obvestil o oddaji javnih naročil, objavljenih na portalu javnih naročil oziroma v Uradnem listu Evropske unije, in </w:t>
      </w:r>
      <w:r w:rsidR="00113889" w:rsidRPr="00BE6711">
        <w:rPr>
          <w:rFonts w:ascii="Arial" w:hAnsi="Arial" w:cs="Arial"/>
          <w:bCs/>
          <w:color w:val="000000" w:themeColor="text1"/>
          <w:sz w:val="20"/>
          <w:szCs w:val="20"/>
        </w:rPr>
        <w:t xml:space="preserve">iz </w:t>
      </w:r>
      <w:r w:rsidRPr="00BE6711">
        <w:rPr>
          <w:rFonts w:ascii="Arial" w:hAnsi="Arial" w:cs="Arial"/>
          <w:bCs/>
          <w:color w:val="000000" w:themeColor="text1"/>
          <w:sz w:val="20"/>
          <w:szCs w:val="20"/>
        </w:rPr>
        <w:t xml:space="preserve">sporočenih </w:t>
      </w:r>
      <w:r w:rsidRPr="00BE6711">
        <w:rPr>
          <w:rFonts w:ascii="Arial" w:hAnsi="Arial" w:cs="Arial"/>
          <w:color w:val="000000" w:themeColor="text1"/>
          <w:sz w:val="20"/>
          <w:szCs w:val="20"/>
        </w:rPr>
        <w:t xml:space="preserve">statističnih podatkov o </w:t>
      </w:r>
      <w:r w:rsidRPr="00BE6711">
        <w:rPr>
          <w:rFonts w:ascii="Arial" w:hAnsi="Arial" w:cs="Arial"/>
          <w:bCs/>
          <w:color w:val="000000" w:themeColor="text1"/>
          <w:sz w:val="20"/>
          <w:szCs w:val="20"/>
        </w:rPr>
        <w:t xml:space="preserve">evidenčnih </w:t>
      </w:r>
      <w:r w:rsidRPr="00BE6711">
        <w:rPr>
          <w:rFonts w:ascii="Arial" w:hAnsi="Arial" w:cs="Arial"/>
          <w:color w:val="000000" w:themeColor="text1"/>
          <w:sz w:val="20"/>
          <w:szCs w:val="20"/>
        </w:rPr>
        <w:t>naročili</w:t>
      </w:r>
      <w:r w:rsidR="00354C54" w:rsidRPr="00BE6711">
        <w:rPr>
          <w:rFonts w:ascii="Arial" w:hAnsi="Arial" w:cs="Arial"/>
          <w:color w:val="000000" w:themeColor="text1"/>
          <w:sz w:val="20"/>
          <w:szCs w:val="20"/>
        </w:rPr>
        <w:t>h</w:t>
      </w:r>
      <w:r w:rsidR="005E5708" w:rsidRPr="00BE6711">
        <w:rPr>
          <w:rFonts w:ascii="Arial" w:hAnsi="Arial" w:cs="Arial"/>
          <w:color w:val="000000" w:themeColor="text1"/>
          <w:sz w:val="20"/>
          <w:szCs w:val="20"/>
        </w:rPr>
        <w:t xml:space="preserve"> </w:t>
      </w:r>
      <w:r w:rsidR="004E576C" w:rsidRPr="00BE6711">
        <w:rPr>
          <w:rFonts w:ascii="Arial" w:hAnsi="Arial" w:cs="Arial"/>
          <w:color w:val="000000" w:themeColor="text1"/>
          <w:sz w:val="20"/>
          <w:szCs w:val="20"/>
        </w:rPr>
        <w:t>izhaja</w:t>
      </w:r>
      <w:r w:rsidR="00354C54" w:rsidRPr="00BE6711">
        <w:rPr>
          <w:rFonts w:ascii="Arial" w:hAnsi="Arial" w:cs="Arial"/>
          <w:color w:val="000000" w:themeColor="text1"/>
          <w:sz w:val="20"/>
          <w:szCs w:val="20"/>
        </w:rPr>
        <w:t xml:space="preserve">, da je </w:t>
      </w:r>
      <w:r w:rsidR="00BD6B05" w:rsidRPr="00BE6711">
        <w:rPr>
          <w:rFonts w:ascii="Arial" w:hAnsi="Arial" w:cs="Arial"/>
          <w:color w:val="000000" w:themeColor="text1"/>
          <w:sz w:val="20"/>
          <w:szCs w:val="20"/>
        </w:rPr>
        <w:t xml:space="preserve">leta </w:t>
      </w:r>
      <w:r w:rsidR="00B06E63" w:rsidRPr="00BE6711">
        <w:rPr>
          <w:rFonts w:ascii="Arial" w:hAnsi="Arial" w:cs="Arial"/>
          <w:color w:val="000000" w:themeColor="text1"/>
          <w:sz w:val="20"/>
          <w:szCs w:val="20"/>
        </w:rPr>
        <w:t>20</w:t>
      </w:r>
      <w:r w:rsidR="00D9787A" w:rsidRPr="00BE6711">
        <w:rPr>
          <w:rFonts w:ascii="Arial" w:hAnsi="Arial" w:cs="Arial"/>
          <w:color w:val="000000" w:themeColor="text1"/>
          <w:sz w:val="20"/>
          <w:szCs w:val="20"/>
        </w:rPr>
        <w:t>2</w:t>
      </w:r>
      <w:r w:rsidR="00AB49BD" w:rsidRPr="00BE6711">
        <w:rPr>
          <w:rFonts w:ascii="Arial" w:hAnsi="Arial" w:cs="Arial"/>
          <w:color w:val="000000" w:themeColor="text1"/>
          <w:sz w:val="20"/>
          <w:szCs w:val="20"/>
        </w:rPr>
        <w:t>3</w:t>
      </w:r>
      <w:r w:rsidR="00B06E63" w:rsidRPr="00BE6711">
        <w:rPr>
          <w:rFonts w:ascii="Arial" w:hAnsi="Arial" w:cs="Arial"/>
          <w:color w:val="000000" w:themeColor="text1"/>
          <w:sz w:val="20"/>
          <w:szCs w:val="20"/>
        </w:rPr>
        <w:t xml:space="preserve"> javna naročila oddalo </w:t>
      </w:r>
      <w:r w:rsidR="00CB29E7" w:rsidRPr="00BE6711">
        <w:rPr>
          <w:rFonts w:ascii="Arial" w:hAnsi="Arial" w:cs="Arial"/>
          <w:color w:val="000000" w:themeColor="text1"/>
          <w:sz w:val="20"/>
          <w:szCs w:val="20"/>
        </w:rPr>
        <w:t>2</w:t>
      </w:r>
      <w:r w:rsidR="00BA058B" w:rsidRPr="00BE6711">
        <w:rPr>
          <w:rFonts w:ascii="Arial" w:hAnsi="Arial" w:cs="Arial"/>
          <w:color w:val="000000" w:themeColor="text1"/>
          <w:sz w:val="20"/>
          <w:szCs w:val="20"/>
        </w:rPr>
        <w:t>.</w:t>
      </w:r>
      <w:r w:rsidR="00CB29E7" w:rsidRPr="00BE6711">
        <w:rPr>
          <w:rFonts w:ascii="Arial" w:hAnsi="Arial" w:cs="Arial"/>
          <w:color w:val="000000" w:themeColor="text1"/>
          <w:sz w:val="20"/>
          <w:szCs w:val="20"/>
        </w:rPr>
        <w:t>1</w:t>
      </w:r>
      <w:r w:rsidR="00152E70" w:rsidRPr="00BE6711">
        <w:rPr>
          <w:rFonts w:ascii="Arial" w:hAnsi="Arial" w:cs="Arial"/>
          <w:color w:val="000000" w:themeColor="text1"/>
          <w:sz w:val="20"/>
          <w:szCs w:val="20"/>
        </w:rPr>
        <w:t>5</w:t>
      </w:r>
      <w:r w:rsidR="000815D9" w:rsidRPr="00BE6711">
        <w:rPr>
          <w:rFonts w:ascii="Arial" w:hAnsi="Arial" w:cs="Arial"/>
          <w:color w:val="000000" w:themeColor="text1"/>
          <w:sz w:val="20"/>
          <w:szCs w:val="20"/>
        </w:rPr>
        <w:t>6</w:t>
      </w:r>
      <w:r w:rsidR="003C1E1E" w:rsidRPr="00BE6711">
        <w:rPr>
          <w:rFonts w:ascii="Arial" w:hAnsi="Arial" w:cs="Arial"/>
          <w:color w:val="000000" w:themeColor="text1"/>
          <w:sz w:val="20"/>
          <w:szCs w:val="20"/>
        </w:rPr>
        <w:t xml:space="preserve"> </w:t>
      </w:r>
      <w:r w:rsidRPr="00BE6711">
        <w:rPr>
          <w:rFonts w:ascii="Arial" w:hAnsi="Arial" w:cs="Arial"/>
          <w:color w:val="000000" w:themeColor="text1"/>
          <w:sz w:val="20"/>
          <w:szCs w:val="20"/>
        </w:rPr>
        <w:t>naročnikov.</w:t>
      </w:r>
      <w:r w:rsidRPr="00BE6711">
        <w:rPr>
          <w:rFonts w:ascii="Arial" w:hAnsi="Arial" w:cs="Arial"/>
          <w:bCs/>
          <w:color w:val="000000" w:themeColor="text1"/>
          <w:sz w:val="20"/>
          <w:szCs w:val="20"/>
        </w:rPr>
        <w:t xml:space="preserve"> Podatke o evi</w:t>
      </w:r>
      <w:r w:rsidR="00055926" w:rsidRPr="00BE6711">
        <w:rPr>
          <w:rFonts w:ascii="Arial" w:hAnsi="Arial" w:cs="Arial"/>
          <w:bCs/>
          <w:color w:val="000000" w:themeColor="text1"/>
          <w:sz w:val="20"/>
          <w:szCs w:val="20"/>
        </w:rPr>
        <w:t xml:space="preserve">denčnih naročilih je oddalo </w:t>
      </w:r>
      <w:r w:rsidR="00D9787A" w:rsidRPr="00BE6711">
        <w:rPr>
          <w:rFonts w:ascii="Arial" w:hAnsi="Arial" w:cs="Arial"/>
          <w:bCs/>
          <w:color w:val="000000" w:themeColor="text1"/>
          <w:sz w:val="20"/>
          <w:szCs w:val="20"/>
        </w:rPr>
        <w:t>2</w:t>
      </w:r>
      <w:r w:rsidR="00BA058B" w:rsidRPr="00BE6711">
        <w:rPr>
          <w:rFonts w:ascii="Arial" w:hAnsi="Arial" w:cs="Arial"/>
          <w:bCs/>
          <w:color w:val="000000" w:themeColor="text1"/>
          <w:sz w:val="20"/>
          <w:szCs w:val="20"/>
        </w:rPr>
        <w:t>.</w:t>
      </w:r>
      <w:r w:rsidR="00152E70" w:rsidRPr="00BE6711">
        <w:rPr>
          <w:rFonts w:ascii="Arial" w:hAnsi="Arial" w:cs="Arial"/>
          <w:bCs/>
          <w:color w:val="000000" w:themeColor="text1"/>
          <w:sz w:val="20"/>
          <w:szCs w:val="20"/>
        </w:rPr>
        <w:t>056</w:t>
      </w:r>
      <w:r w:rsidRPr="00BE6711">
        <w:rPr>
          <w:rFonts w:ascii="Arial" w:hAnsi="Arial" w:cs="Arial"/>
          <w:bCs/>
          <w:color w:val="000000" w:themeColor="text1"/>
          <w:sz w:val="20"/>
          <w:szCs w:val="20"/>
        </w:rPr>
        <w:t xml:space="preserve"> naročnikov</w:t>
      </w:r>
      <w:r w:rsidR="00D4172D" w:rsidRPr="00BE6711">
        <w:rPr>
          <w:rFonts w:ascii="Arial" w:hAnsi="Arial" w:cs="Arial"/>
          <w:bCs/>
          <w:color w:val="000000" w:themeColor="text1"/>
          <w:sz w:val="20"/>
          <w:szCs w:val="20"/>
        </w:rPr>
        <w:t xml:space="preserve">, od katerih jih je </w:t>
      </w:r>
      <w:r w:rsidR="00152E70" w:rsidRPr="00BE6711">
        <w:rPr>
          <w:rFonts w:ascii="Arial" w:hAnsi="Arial" w:cs="Arial"/>
          <w:bCs/>
          <w:color w:val="000000" w:themeColor="text1"/>
          <w:sz w:val="20"/>
          <w:szCs w:val="20"/>
        </w:rPr>
        <w:t>1</w:t>
      </w:r>
      <w:r w:rsidR="00BA058B" w:rsidRPr="00BE6711">
        <w:rPr>
          <w:rFonts w:ascii="Arial" w:hAnsi="Arial" w:cs="Arial"/>
          <w:bCs/>
          <w:color w:val="000000" w:themeColor="text1"/>
          <w:sz w:val="20"/>
          <w:szCs w:val="20"/>
        </w:rPr>
        <w:t>.</w:t>
      </w:r>
      <w:r w:rsidR="00152E70" w:rsidRPr="00BE6711">
        <w:rPr>
          <w:rFonts w:ascii="Arial" w:hAnsi="Arial" w:cs="Arial"/>
          <w:bCs/>
          <w:color w:val="000000" w:themeColor="text1"/>
          <w:sz w:val="20"/>
          <w:szCs w:val="20"/>
        </w:rPr>
        <w:t>169</w:t>
      </w:r>
      <w:r w:rsidR="00BC41E3" w:rsidRPr="00BE6711">
        <w:rPr>
          <w:rFonts w:ascii="Arial" w:hAnsi="Arial" w:cs="Arial"/>
          <w:color w:val="000000" w:themeColor="text1"/>
          <w:sz w:val="20"/>
          <w:szCs w:val="20"/>
        </w:rPr>
        <w:t xml:space="preserve"> oddalo samo evidenčna</w:t>
      </w:r>
      <w:r w:rsidRPr="00BE6711">
        <w:rPr>
          <w:rFonts w:ascii="Arial" w:hAnsi="Arial" w:cs="Arial"/>
          <w:color w:val="000000" w:themeColor="text1"/>
          <w:sz w:val="20"/>
          <w:szCs w:val="20"/>
        </w:rPr>
        <w:t xml:space="preserve"> naročila.</w:t>
      </w:r>
      <w:r w:rsidR="000C5E13" w:rsidRPr="00BE6711">
        <w:rPr>
          <w:rFonts w:ascii="Arial" w:hAnsi="Arial" w:cs="Arial"/>
          <w:color w:val="000000" w:themeColor="text1"/>
          <w:sz w:val="20"/>
          <w:szCs w:val="20"/>
        </w:rPr>
        <w:t xml:space="preserve"> </w:t>
      </w:r>
      <w:r w:rsidR="00D93DA7" w:rsidRPr="00BE6711">
        <w:rPr>
          <w:rFonts w:ascii="Arial" w:hAnsi="Arial" w:cs="Arial"/>
          <w:color w:val="000000" w:themeColor="text1"/>
          <w:sz w:val="20"/>
          <w:szCs w:val="20"/>
        </w:rPr>
        <w:t>N</w:t>
      </w:r>
      <w:r w:rsidRPr="00BE6711">
        <w:rPr>
          <w:rFonts w:ascii="Arial" w:hAnsi="Arial" w:cs="Arial"/>
          <w:color w:val="000000" w:themeColor="text1"/>
          <w:sz w:val="20"/>
          <w:szCs w:val="20"/>
        </w:rPr>
        <w:t>aročnikov</w:t>
      </w:r>
      <w:r w:rsidR="0027751C" w:rsidRPr="00BE6711">
        <w:rPr>
          <w:rFonts w:ascii="Arial" w:hAnsi="Arial" w:cs="Arial"/>
          <w:color w:val="000000" w:themeColor="text1"/>
          <w:sz w:val="20"/>
          <w:szCs w:val="20"/>
        </w:rPr>
        <w:t>, ki so</w:t>
      </w:r>
      <w:r w:rsidRPr="00BE6711">
        <w:rPr>
          <w:rFonts w:ascii="Arial" w:hAnsi="Arial" w:cs="Arial"/>
          <w:color w:val="000000" w:themeColor="text1"/>
          <w:sz w:val="20"/>
          <w:szCs w:val="20"/>
        </w:rPr>
        <w:t xml:space="preserve"> oddal</w:t>
      </w:r>
      <w:r w:rsidR="0027751C" w:rsidRPr="00BE6711">
        <w:rPr>
          <w:rFonts w:ascii="Arial" w:hAnsi="Arial" w:cs="Arial"/>
          <w:color w:val="000000" w:themeColor="text1"/>
          <w:sz w:val="20"/>
          <w:szCs w:val="20"/>
        </w:rPr>
        <w:t>i</w:t>
      </w:r>
      <w:r w:rsidRPr="00BE6711">
        <w:rPr>
          <w:rFonts w:ascii="Arial" w:hAnsi="Arial" w:cs="Arial"/>
          <w:color w:val="000000" w:themeColor="text1"/>
          <w:sz w:val="20"/>
          <w:szCs w:val="20"/>
        </w:rPr>
        <w:t xml:space="preserve"> le naročila, </w:t>
      </w:r>
      <w:r w:rsidRPr="00BE6711">
        <w:rPr>
          <w:rFonts w:ascii="Arial" w:hAnsi="Arial" w:cs="Arial"/>
          <w:color w:val="000000" w:themeColor="text1"/>
          <w:sz w:val="20"/>
          <w:szCs w:val="20"/>
          <w:lang w:eastAsia="sl-SI"/>
        </w:rPr>
        <w:t>objavljena na portalu javnih naročil oziroma</w:t>
      </w:r>
      <w:r w:rsidRPr="00BE6711">
        <w:rPr>
          <w:rFonts w:ascii="Arial" w:hAnsi="Arial" w:cs="Arial"/>
          <w:bCs/>
          <w:color w:val="000000" w:themeColor="text1"/>
          <w:sz w:val="20"/>
          <w:szCs w:val="20"/>
        </w:rPr>
        <w:t xml:space="preserve"> v Uradnem list</w:t>
      </w:r>
      <w:r w:rsidR="00D4172D" w:rsidRPr="00BE6711">
        <w:rPr>
          <w:rFonts w:ascii="Arial" w:hAnsi="Arial" w:cs="Arial"/>
          <w:bCs/>
          <w:color w:val="000000" w:themeColor="text1"/>
          <w:sz w:val="20"/>
          <w:szCs w:val="20"/>
        </w:rPr>
        <w:t>u Evropske unije</w:t>
      </w:r>
      <w:r w:rsidR="0027751C" w:rsidRPr="00BE6711">
        <w:rPr>
          <w:rFonts w:ascii="Arial" w:hAnsi="Arial" w:cs="Arial"/>
          <w:bCs/>
          <w:color w:val="000000" w:themeColor="text1"/>
          <w:sz w:val="20"/>
          <w:szCs w:val="20"/>
        </w:rPr>
        <w:t xml:space="preserve">, je bilo </w:t>
      </w:r>
      <w:r w:rsidR="00152E70" w:rsidRPr="00BE6711">
        <w:rPr>
          <w:rFonts w:ascii="Arial" w:hAnsi="Arial" w:cs="Arial"/>
          <w:bCs/>
          <w:color w:val="000000" w:themeColor="text1"/>
          <w:sz w:val="20"/>
          <w:szCs w:val="20"/>
        </w:rPr>
        <w:t>100</w:t>
      </w:r>
      <w:r w:rsidR="00D4172D" w:rsidRPr="00BE6711">
        <w:rPr>
          <w:rFonts w:ascii="Arial" w:hAnsi="Arial" w:cs="Arial"/>
          <w:bCs/>
          <w:color w:val="000000" w:themeColor="text1"/>
          <w:sz w:val="20"/>
          <w:szCs w:val="20"/>
        </w:rPr>
        <w:t xml:space="preserve">. </w:t>
      </w:r>
      <w:r w:rsidR="00D9787A" w:rsidRPr="00BE6711">
        <w:rPr>
          <w:rFonts w:ascii="Arial" w:hAnsi="Arial" w:cs="Arial"/>
          <w:bCs/>
          <w:color w:val="000000" w:themeColor="text1"/>
          <w:sz w:val="20"/>
          <w:szCs w:val="20"/>
        </w:rPr>
        <w:t>E</w:t>
      </w:r>
      <w:r w:rsidRPr="00BE6711">
        <w:rPr>
          <w:rFonts w:ascii="Arial" w:hAnsi="Arial" w:cs="Arial"/>
          <w:bCs/>
          <w:color w:val="000000" w:themeColor="text1"/>
          <w:sz w:val="20"/>
          <w:szCs w:val="20"/>
        </w:rPr>
        <w:t xml:space="preserve">videnčna naročila in naročila, </w:t>
      </w:r>
      <w:r w:rsidRPr="00BE6711">
        <w:rPr>
          <w:rFonts w:ascii="Arial" w:hAnsi="Arial" w:cs="Arial"/>
          <w:color w:val="000000" w:themeColor="text1"/>
          <w:sz w:val="20"/>
          <w:szCs w:val="20"/>
          <w:lang w:eastAsia="sl-SI"/>
        </w:rPr>
        <w:t>objavljena na portalu javnih naročil oziroma</w:t>
      </w:r>
      <w:r w:rsidRPr="00BE6711">
        <w:rPr>
          <w:rFonts w:ascii="Arial" w:hAnsi="Arial" w:cs="Arial"/>
          <w:bCs/>
          <w:color w:val="000000" w:themeColor="text1"/>
          <w:sz w:val="20"/>
          <w:szCs w:val="20"/>
        </w:rPr>
        <w:t xml:space="preserve"> v Uradnem listu Evropske unije</w:t>
      </w:r>
      <w:r w:rsidR="00814F47" w:rsidRPr="00BE6711">
        <w:rPr>
          <w:rFonts w:ascii="Arial" w:hAnsi="Arial" w:cs="Arial"/>
          <w:bCs/>
          <w:color w:val="000000" w:themeColor="text1"/>
          <w:sz w:val="20"/>
          <w:szCs w:val="20"/>
        </w:rPr>
        <w:t>,</w:t>
      </w:r>
      <w:r w:rsidR="00D9787A" w:rsidRPr="00BE6711">
        <w:rPr>
          <w:rFonts w:ascii="Arial" w:hAnsi="Arial" w:cs="Arial"/>
          <w:bCs/>
          <w:color w:val="000000" w:themeColor="text1"/>
          <w:sz w:val="20"/>
          <w:szCs w:val="20"/>
        </w:rPr>
        <w:t xml:space="preserve"> je oddalo</w:t>
      </w:r>
      <w:r w:rsidR="004D47AD" w:rsidRPr="00BE6711">
        <w:rPr>
          <w:rFonts w:ascii="Arial" w:hAnsi="Arial" w:cs="Arial"/>
          <w:bCs/>
          <w:color w:val="000000" w:themeColor="text1"/>
          <w:sz w:val="20"/>
          <w:szCs w:val="20"/>
        </w:rPr>
        <w:t xml:space="preserve"> </w:t>
      </w:r>
      <w:r w:rsidR="00152E70" w:rsidRPr="00BE6711">
        <w:rPr>
          <w:rFonts w:ascii="Arial" w:hAnsi="Arial" w:cs="Arial"/>
          <w:bCs/>
          <w:color w:val="000000" w:themeColor="text1"/>
          <w:sz w:val="20"/>
          <w:szCs w:val="20"/>
        </w:rPr>
        <w:t>887</w:t>
      </w:r>
      <w:r w:rsidR="00D9787A" w:rsidRPr="00BE6711">
        <w:rPr>
          <w:rFonts w:ascii="Arial" w:hAnsi="Arial" w:cs="Arial"/>
          <w:bCs/>
          <w:color w:val="000000" w:themeColor="text1"/>
          <w:sz w:val="20"/>
          <w:szCs w:val="20"/>
        </w:rPr>
        <w:t xml:space="preserve"> naročnikov</w:t>
      </w:r>
      <w:r w:rsidR="000815D9" w:rsidRPr="00BE6711">
        <w:rPr>
          <w:rFonts w:ascii="Arial" w:hAnsi="Arial" w:cs="Arial"/>
          <w:bCs/>
          <w:color w:val="000000" w:themeColor="text1"/>
          <w:sz w:val="20"/>
          <w:szCs w:val="20"/>
        </w:rPr>
        <w:t>.</w:t>
      </w:r>
      <w:r w:rsidR="00CC0999" w:rsidRPr="00BE6711">
        <w:rPr>
          <w:rFonts w:ascii="Arial" w:hAnsi="Arial" w:cs="Arial"/>
          <w:bCs/>
          <w:color w:val="000000" w:themeColor="text1"/>
          <w:sz w:val="20"/>
          <w:szCs w:val="20"/>
        </w:rPr>
        <w:t xml:space="preserve"> </w:t>
      </w:r>
      <w:r w:rsidRPr="00BE6711">
        <w:rPr>
          <w:rFonts w:ascii="Arial" w:hAnsi="Arial" w:cs="Arial"/>
          <w:bCs/>
          <w:color w:val="000000" w:themeColor="text1"/>
          <w:sz w:val="20"/>
          <w:szCs w:val="20"/>
        </w:rPr>
        <w:t xml:space="preserve">Glede na navedeno in število naročnikov, vpisanih </w:t>
      </w:r>
      <w:r w:rsidR="00550EC9" w:rsidRPr="00BE6711">
        <w:rPr>
          <w:rFonts w:ascii="Arial" w:hAnsi="Arial" w:cs="Arial"/>
          <w:bCs/>
          <w:color w:val="000000" w:themeColor="text1"/>
          <w:sz w:val="20"/>
          <w:szCs w:val="20"/>
        </w:rPr>
        <w:t>na</w:t>
      </w:r>
      <w:r w:rsidRPr="00BE6711">
        <w:rPr>
          <w:rFonts w:ascii="Arial" w:hAnsi="Arial" w:cs="Arial"/>
          <w:bCs/>
          <w:color w:val="000000" w:themeColor="text1"/>
          <w:sz w:val="20"/>
          <w:szCs w:val="20"/>
        </w:rPr>
        <w:t xml:space="preserve"> informativni seznam naročnikov iz </w:t>
      </w:r>
      <w:r w:rsidR="00113889" w:rsidRPr="00BE6711">
        <w:rPr>
          <w:rFonts w:ascii="Arial" w:hAnsi="Arial" w:cs="Arial"/>
          <w:bCs/>
          <w:color w:val="000000" w:themeColor="text1"/>
          <w:sz w:val="20"/>
          <w:szCs w:val="20"/>
        </w:rPr>
        <w:t>p</w:t>
      </w:r>
      <w:r w:rsidRPr="00BE6711">
        <w:rPr>
          <w:rFonts w:ascii="Arial" w:hAnsi="Arial" w:cs="Arial"/>
          <w:bCs/>
          <w:color w:val="000000" w:themeColor="text1"/>
          <w:sz w:val="20"/>
          <w:szCs w:val="20"/>
        </w:rPr>
        <w:t xml:space="preserve">riloge 3 Uredbe o informativnem seznamu naročnikov in obveznih informacijah v obvestilih za postopek naročila </w:t>
      </w:r>
      <w:r w:rsidR="001E21A1">
        <w:rPr>
          <w:rFonts w:ascii="Arial" w:hAnsi="Arial" w:cs="Arial"/>
          <w:bCs/>
          <w:color w:val="000000" w:themeColor="text1"/>
          <w:sz w:val="20"/>
          <w:szCs w:val="20"/>
        </w:rPr>
        <w:t>majhne</w:t>
      </w:r>
      <w:r w:rsidRPr="00BE6711">
        <w:rPr>
          <w:rFonts w:ascii="Arial" w:hAnsi="Arial" w:cs="Arial"/>
          <w:bCs/>
          <w:color w:val="000000" w:themeColor="text1"/>
          <w:sz w:val="20"/>
          <w:szCs w:val="20"/>
        </w:rPr>
        <w:t xml:space="preserve"> vrednosti (Uradni list RS, št. 37</w:t>
      </w:r>
      <w:r w:rsidR="0034014B" w:rsidRPr="00BE6711">
        <w:rPr>
          <w:rFonts w:ascii="Arial" w:hAnsi="Arial" w:cs="Arial"/>
          <w:bCs/>
          <w:color w:val="000000" w:themeColor="text1"/>
          <w:sz w:val="20"/>
          <w:szCs w:val="20"/>
        </w:rPr>
        <w:t xml:space="preserve">/16), </w:t>
      </w:r>
      <w:r w:rsidR="00BD6B05" w:rsidRPr="00BE6711">
        <w:rPr>
          <w:rFonts w:ascii="Arial" w:hAnsi="Arial" w:cs="Arial"/>
          <w:bCs/>
          <w:color w:val="000000" w:themeColor="text1"/>
          <w:sz w:val="20"/>
          <w:szCs w:val="20"/>
        </w:rPr>
        <w:t>leta</w:t>
      </w:r>
      <w:r w:rsidR="0034014B" w:rsidRPr="00BE6711">
        <w:rPr>
          <w:rFonts w:ascii="Arial" w:hAnsi="Arial" w:cs="Arial"/>
          <w:bCs/>
          <w:color w:val="000000" w:themeColor="text1"/>
          <w:sz w:val="20"/>
          <w:szCs w:val="20"/>
        </w:rPr>
        <w:t xml:space="preserve"> 20</w:t>
      </w:r>
      <w:r w:rsidR="00D9787A" w:rsidRPr="00BE6711">
        <w:rPr>
          <w:rFonts w:ascii="Arial" w:hAnsi="Arial" w:cs="Arial"/>
          <w:bCs/>
          <w:color w:val="000000" w:themeColor="text1"/>
          <w:sz w:val="20"/>
          <w:szCs w:val="20"/>
        </w:rPr>
        <w:t>2</w:t>
      </w:r>
      <w:r w:rsidR="008C33E2" w:rsidRPr="00BE6711">
        <w:rPr>
          <w:rFonts w:ascii="Arial" w:hAnsi="Arial" w:cs="Arial"/>
          <w:bCs/>
          <w:color w:val="000000" w:themeColor="text1"/>
          <w:sz w:val="20"/>
          <w:szCs w:val="20"/>
        </w:rPr>
        <w:t>3</w:t>
      </w:r>
      <w:r w:rsidR="0034014B" w:rsidRPr="00BE6711">
        <w:rPr>
          <w:rFonts w:ascii="Arial" w:hAnsi="Arial" w:cs="Arial"/>
          <w:bCs/>
          <w:color w:val="000000" w:themeColor="text1"/>
          <w:sz w:val="20"/>
          <w:szCs w:val="20"/>
        </w:rPr>
        <w:t xml:space="preserve"> približno </w:t>
      </w:r>
      <w:r w:rsidR="00420F8B" w:rsidRPr="00BE6711">
        <w:rPr>
          <w:rFonts w:ascii="Arial" w:hAnsi="Arial" w:cs="Arial"/>
          <w:bCs/>
          <w:color w:val="000000" w:themeColor="text1"/>
          <w:sz w:val="20"/>
          <w:szCs w:val="20"/>
        </w:rPr>
        <w:t>9</w:t>
      </w:r>
      <w:r w:rsidR="008C33E2" w:rsidRPr="00BE6711">
        <w:rPr>
          <w:rFonts w:ascii="Arial" w:hAnsi="Arial" w:cs="Arial"/>
          <w:bCs/>
          <w:color w:val="000000" w:themeColor="text1"/>
          <w:sz w:val="20"/>
          <w:szCs w:val="20"/>
        </w:rPr>
        <w:t>6</w:t>
      </w:r>
      <w:r w:rsidR="004D47AD" w:rsidRPr="00BE6711">
        <w:rPr>
          <w:rFonts w:ascii="Arial" w:hAnsi="Arial" w:cs="Arial"/>
          <w:bCs/>
          <w:color w:val="000000" w:themeColor="text1"/>
          <w:sz w:val="20"/>
          <w:szCs w:val="20"/>
        </w:rPr>
        <w:t>0</w:t>
      </w:r>
      <w:r w:rsidRPr="00BE6711">
        <w:rPr>
          <w:rFonts w:ascii="Arial" w:hAnsi="Arial" w:cs="Arial"/>
          <w:bCs/>
          <w:color w:val="000000" w:themeColor="text1"/>
          <w:sz w:val="20"/>
          <w:szCs w:val="20"/>
        </w:rPr>
        <w:t xml:space="preserve"> naročnikov ni oddalo nobenega javnega naročila.</w:t>
      </w:r>
      <w:r w:rsidR="00A0323B" w:rsidRPr="00BE6711">
        <w:rPr>
          <w:rFonts w:ascii="Arial" w:hAnsi="Arial" w:cs="Arial"/>
          <w:bCs/>
          <w:color w:val="000000" w:themeColor="text1"/>
          <w:sz w:val="20"/>
          <w:szCs w:val="20"/>
        </w:rPr>
        <w:t xml:space="preserve"> </w:t>
      </w:r>
    </w:p>
    <w:p w14:paraId="180E188D" w14:textId="07AB294B" w:rsidR="008E5B56" w:rsidRPr="00BE6711" w:rsidRDefault="00113889" w:rsidP="008E5B56">
      <w:pPr>
        <w:spacing w:line="360" w:lineRule="auto"/>
        <w:jc w:val="both"/>
        <w:rPr>
          <w:rFonts w:ascii="Arial" w:hAnsi="Arial" w:cs="Arial"/>
          <w:color w:val="000000" w:themeColor="text1"/>
          <w:sz w:val="20"/>
          <w:szCs w:val="20"/>
        </w:rPr>
      </w:pPr>
      <w:r w:rsidRPr="00BE6711">
        <w:rPr>
          <w:rFonts w:ascii="Arial" w:hAnsi="Arial" w:cs="Arial"/>
          <w:color w:val="000000" w:themeColor="text1"/>
          <w:sz w:val="20"/>
          <w:szCs w:val="20"/>
        </w:rPr>
        <w:t>N</w:t>
      </w:r>
      <w:r w:rsidR="008E5B56" w:rsidRPr="00BE6711">
        <w:rPr>
          <w:rFonts w:ascii="Arial" w:hAnsi="Arial" w:cs="Arial"/>
          <w:color w:val="000000" w:themeColor="text1"/>
          <w:sz w:val="20"/>
          <w:szCs w:val="20"/>
        </w:rPr>
        <w:t xml:space="preserve">aročniki, ki niso sporočili podatkov oziroma niso oddali naročil ali so zanje oddali podatke drugi naročniki, so </w:t>
      </w:r>
      <w:r w:rsidR="00E97630" w:rsidRPr="00BE6711">
        <w:rPr>
          <w:rFonts w:ascii="Arial" w:hAnsi="Arial" w:cs="Arial"/>
          <w:color w:val="000000" w:themeColor="text1"/>
          <w:sz w:val="20"/>
          <w:szCs w:val="20"/>
        </w:rPr>
        <w:t xml:space="preserve">tako kot v </w:t>
      </w:r>
      <w:r w:rsidR="009F7B6D" w:rsidRPr="00BE6711">
        <w:rPr>
          <w:rFonts w:ascii="Arial" w:hAnsi="Arial" w:cs="Arial"/>
          <w:color w:val="000000" w:themeColor="text1"/>
          <w:sz w:val="20"/>
          <w:szCs w:val="20"/>
        </w:rPr>
        <w:t>prejšnjih</w:t>
      </w:r>
      <w:r w:rsidR="00E97630" w:rsidRPr="00BE6711">
        <w:rPr>
          <w:rFonts w:ascii="Arial" w:hAnsi="Arial" w:cs="Arial"/>
          <w:color w:val="000000" w:themeColor="text1"/>
          <w:sz w:val="20"/>
          <w:szCs w:val="20"/>
        </w:rPr>
        <w:t xml:space="preserve"> letih </w:t>
      </w:r>
      <w:r w:rsidR="008E5B56" w:rsidRPr="00BE6711">
        <w:rPr>
          <w:rFonts w:ascii="Arial" w:hAnsi="Arial" w:cs="Arial"/>
          <w:color w:val="000000" w:themeColor="text1"/>
          <w:sz w:val="20"/>
          <w:szCs w:val="20"/>
        </w:rPr>
        <w:t xml:space="preserve">predvsem krajevne in četrtne skupnosti </w:t>
      </w:r>
      <w:r w:rsidR="008D635B" w:rsidRPr="00BE6711">
        <w:rPr>
          <w:rFonts w:ascii="Arial" w:hAnsi="Arial" w:cs="Arial"/>
          <w:color w:val="000000" w:themeColor="text1"/>
          <w:sz w:val="20"/>
          <w:szCs w:val="20"/>
        </w:rPr>
        <w:t>(</w:t>
      </w:r>
      <w:r w:rsidR="00AD749E" w:rsidRPr="00BE6711">
        <w:rPr>
          <w:rFonts w:ascii="Arial" w:hAnsi="Arial" w:cs="Arial"/>
          <w:color w:val="000000" w:themeColor="text1"/>
          <w:sz w:val="20"/>
          <w:szCs w:val="20"/>
        </w:rPr>
        <w:t>teh je</w:t>
      </w:r>
      <w:r w:rsidR="008E5B56" w:rsidRPr="00BE6711">
        <w:rPr>
          <w:rFonts w:ascii="Arial" w:hAnsi="Arial" w:cs="Arial"/>
          <w:color w:val="000000" w:themeColor="text1"/>
          <w:sz w:val="20"/>
          <w:szCs w:val="20"/>
        </w:rPr>
        <w:t xml:space="preserve"> približno dve tretjini vseh naročnikov</w:t>
      </w:r>
      <w:r w:rsidR="008D635B" w:rsidRPr="00BE6711">
        <w:rPr>
          <w:rFonts w:ascii="Arial" w:hAnsi="Arial" w:cs="Arial"/>
          <w:color w:val="000000" w:themeColor="text1"/>
          <w:sz w:val="20"/>
          <w:szCs w:val="20"/>
        </w:rPr>
        <w:t>)</w:t>
      </w:r>
      <w:r w:rsidR="008E5B56" w:rsidRPr="00BE6711">
        <w:rPr>
          <w:rFonts w:ascii="Arial" w:hAnsi="Arial" w:cs="Arial"/>
          <w:color w:val="000000" w:themeColor="text1"/>
          <w:sz w:val="20"/>
          <w:szCs w:val="20"/>
        </w:rPr>
        <w:t>, javni zavodi s področja izobraževanja (vrtci, osnovne in srednje šole, ljudske univerze, knjižnice</w:t>
      </w:r>
      <w:r w:rsidRPr="00BE6711">
        <w:rPr>
          <w:rFonts w:ascii="Arial" w:hAnsi="Arial" w:cs="Arial"/>
          <w:color w:val="000000" w:themeColor="text1"/>
          <w:sz w:val="20"/>
          <w:szCs w:val="20"/>
        </w:rPr>
        <w:t xml:space="preserve"> </w:t>
      </w:r>
      <w:r w:rsidR="009F7B6D" w:rsidRPr="00BE6711">
        <w:rPr>
          <w:rFonts w:ascii="Arial" w:hAnsi="Arial" w:cs="Arial"/>
          <w:color w:val="000000" w:themeColor="text1"/>
          <w:sz w:val="20"/>
          <w:szCs w:val="20"/>
        </w:rPr>
        <w:t>in podobno</w:t>
      </w:r>
      <w:r w:rsidR="008E5B56" w:rsidRPr="00BE6711">
        <w:rPr>
          <w:rFonts w:ascii="Arial" w:hAnsi="Arial" w:cs="Arial"/>
          <w:color w:val="000000" w:themeColor="text1"/>
          <w:sz w:val="20"/>
          <w:szCs w:val="20"/>
        </w:rPr>
        <w:t>), javni zavodi s področja socialnega varstva in zdravstva (centri za socialno delo, zdravstveni domovi), javni zavodi s področja kulture (muzeji, galerije, zavodi za kulturo</w:t>
      </w:r>
      <w:r w:rsidRPr="00BE6711">
        <w:rPr>
          <w:rFonts w:ascii="Arial" w:hAnsi="Arial" w:cs="Arial"/>
          <w:color w:val="000000" w:themeColor="text1"/>
          <w:sz w:val="20"/>
          <w:szCs w:val="20"/>
        </w:rPr>
        <w:t xml:space="preserve"> </w:t>
      </w:r>
      <w:r w:rsidR="009F7B6D" w:rsidRPr="00BE6711">
        <w:rPr>
          <w:rFonts w:ascii="Arial" w:hAnsi="Arial" w:cs="Arial"/>
          <w:color w:val="000000" w:themeColor="text1"/>
          <w:sz w:val="20"/>
          <w:szCs w:val="20"/>
        </w:rPr>
        <w:t>in podobno</w:t>
      </w:r>
      <w:r w:rsidR="008E5B56" w:rsidRPr="00BE6711">
        <w:rPr>
          <w:rFonts w:ascii="Arial" w:hAnsi="Arial" w:cs="Arial"/>
          <w:color w:val="000000" w:themeColor="text1"/>
          <w:sz w:val="20"/>
          <w:szCs w:val="20"/>
        </w:rPr>
        <w:t xml:space="preserve">), </w:t>
      </w:r>
      <w:r w:rsidR="008D635B" w:rsidRPr="00BE6711">
        <w:rPr>
          <w:rFonts w:ascii="Arial" w:hAnsi="Arial" w:cs="Arial"/>
          <w:color w:val="000000" w:themeColor="text1"/>
          <w:sz w:val="20"/>
          <w:szCs w:val="20"/>
        </w:rPr>
        <w:t xml:space="preserve">nekaj </w:t>
      </w:r>
      <w:r w:rsidR="008E5B56" w:rsidRPr="00BE6711">
        <w:rPr>
          <w:rFonts w:ascii="Arial" w:hAnsi="Arial" w:cs="Arial"/>
          <w:color w:val="000000" w:themeColor="text1"/>
          <w:sz w:val="20"/>
          <w:szCs w:val="20"/>
        </w:rPr>
        <w:t xml:space="preserve">občin </w:t>
      </w:r>
      <w:r w:rsidR="008D635B" w:rsidRPr="00BE6711">
        <w:rPr>
          <w:rFonts w:ascii="Arial" w:hAnsi="Arial" w:cs="Arial"/>
          <w:color w:val="000000" w:themeColor="text1"/>
          <w:sz w:val="20"/>
          <w:szCs w:val="20"/>
        </w:rPr>
        <w:t xml:space="preserve">in </w:t>
      </w:r>
      <w:r w:rsidR="008E5B56" w:rsidRPr="00BE6711">
        <w:rPr>
          <w:rFonts w:ascii="Arial" w:hAnsi="Arial" w:cs="Arial"/>
          <w:color w:val="000000" w:themeColor="text1"/>
          <w:sz w:val="20"/>
          <w:szCs w:val="20"/>
        </w:rPr>
        <w:t>skladov, regionalnih razvoj</w:t>
      </w:r>
      <w:r w:rsidR="000C17EA" w:rsidRPr="00BE6711">
        <w:rPr>
          <w:rFonts w:ascii="Arial" w:hAnsi="Arial" w:cs="Arial"/>
          <w:color w:val="000000" w:themeColor="text1"/>
          <w:sz w:val="20"/>
          <w:szCs w:val="20"/>
        </w:rPr>
        <w:t>n</w:t>
      </w:r>
      <w:r w:rsidR="008E5B56" w:rsidRPr="00BE6711">
        <w:rPr>
          <w:rFonts w:ascii="Arial" w:hAnsi="Arial" w:cs="Arial"/>
          <w:color w:val="000000" w:themeColor="text1"/>
          <w:sz w:val="20"/>
          <w:szCs w:val="20"/>
        </w:rPr>
        <w:t>ih centrov in agencij</w:t>
      </w:r>
      <w:r w:rsidR="00E3737B" w:rsidRPr="00BE6711">
        <w:rPr>
          <w:rFonts w:ascii="Arial" w:hAnsi="Arial" w:cs="Arial"/>
          <w:color w:val="000000" w:themeColor="text1"/>
          <w:sz w:val="20"/>
          <w:szCs w:val="20"/>
        </w:rPr>
        <w:t>.</w:t>
      </w:r>
      <w:r w:rsidR="008E5B56" w:rsidRPr="00BE6711">
        <w:rPr>
          <w:rFonts w:ascii="Arial" w:hAnsi="Arial" w:cs="Arial"/>
          <w:color w:val="000000" w:themeColor="text1"/>
          <w:sz w:val="20"/>
          <w:szCs w:val="20"/>
        </w:rPr>
        <w:t xml:space="preserve"> </w:t>
      </w:r>
    </w:p>
    <w:p w14:paraId="6FD09C0E" w14:textId="282BE2C1" w:rsidR="008E5B56" w:rsidRPr="00BE6711" w:rsidRDefault="008E5B56" w:rsidP="000D71AD">
      <w:pPr>
        <w:spacing w:after="0" w:line="360" w:lineRule="auto"/>
        <w:jc w:val="both"/>
        <w:rPr>
          <w:rFonts w:ascii="Arial" w:hAnsi="Arial" w:cs="Arial"/>
          <w:color w:val="000000" w:themeColor="text1"/>
          <w:sz w:val="20"/>
          <w:szCs w:val="20"/>
        </w:rPr>
      </w:pPr>
      <w:r w:rsidRPr="00BE6711">
        <w:rPr>
          <w:rFonts w:ascii="Arial" w:hAnsi="Arial" w:cs="Arial"/>
          <w:color w:val="000000" w:themeColor="text1"/>
          <w:sz w:val="20"/>
          <w:szCs w:val="20"/>
        </w:rPr>
        <w:t>Pri tem je treba upoštevati več vzrokov, zakaj posamezni naročniki na portalu javnih naročil niso objavili podatko</w:t>
      </w:r>
      <w:r w:rsidR="00C940DB" w:rsidRPr="00BE6711">
        <w:rPr>
          <w:rFonts w:ascii="Arial" w:hAnsi="Arial" w:cs="Arial"/>
          <w:color w:val="000000" w:themeColor="text1"/>
          <w:sz w:val="20"/>
          <w:szCs w:val="20"/>
        </w:rPr>
        <w:t>v o javnih naročilih v letu 20</w:t>
      </w:r>
      <w:r w:rsidR="00E66155" w:rsidRPr="00BE6711">
        <w:rPr>
          <w:rFonts w:ascii="Arial" w:hAnsi="Arial" w:cs="Arial"/>
          <w:color w:val="000000" w:themeColor="text1"/>
          <w:sz w:val="20"/>
          <w:szCs w:val="20"/>
        </w:rPr>
        <w:t>2</w:t>
      </w:r>
      <w:r w:rsidR="00AB49BD" w:rsidRPr="00BE6711">
        <w:rPr>
          <w:rFonts w:ascii="Arial" w:hAnsi="Arial" w:cs="Arial"/>
          <w:color w:val="000000" w:themeColor="text1"/>
          <w:sz w:val="20"/>
          <w:szCs w:val="20"/>
        </w:rPr>
        <w:t>3</w:t>
      </w:r>
      <w:r w:rsidRPr="00BE6711">
        <w:rPr>
          <w:rFonts w:ascii="Arial" w:hAnsi="Arial" w:cs="Arial"/>
          <w:color w:val="000000" w:themeColor="text1"/>
          <w:sz w:val="20"/>
          <w:szCs w:val="20"/>
        </w:rPr>
        <w:t xml:space="preserve">, ki so podobni kot v </w:t>
      </w:r>
      <w:r w:rsidR="009F7B6D" w:rsidRPr="00BE6711">
        <w:rPr>
          <w:rFonts w:ascii="Arial" w:hAnsi="Arial" w:cs="Arial"/>
          <w:color w:val="000000" w:themeColor="text1"/>
          <w:sz w:val="20"/>
          <w:szCs w:val="20"/>
        </w:rPr>
        <w:t>prejšnjih</w:t>
      </w:r>
      <w:r w:rsidRPr="00BE6711">
        <w:rPr>
          <w:rFonts w:ascii="Arial" w:hAnsi="Arial" w:cs="Arial"/>
          <w:color w:val="000000" w:themeColor="text1"/>
          <w:sz w:val="20"/>
          <w:szCs w:val="20"/>
        </w:rPr>
        <w:t xml:space="preserve"> letih. Nekat</w:t>
      </w:r>
      <w:r w:rsidR="00C940DB" w:rsidRPr="00BE6711">
        <w:rPr>
          <w:rFonts w:ascii="Arial" w:hAnsi="Arial" w:cs="Arial"/>
          <w:color w:val="000000" w:themeColor="text1"/>
          <w:sz w:val="20"/>
          <w:szCs w:val="20"/>
        </w:rPr>
        <w:t>eri manjši naročniki v letu 20</w:t>
      </w:r>
      <w:r w:rsidR="00E66155" w:rsidRPr="00BE6711">
        <w:rPr>
          <w:rFonts w:ascii="Arial" w:hAnsi="Arial" w:cs="Arial"/>
          <w:color w:val="000000" w:themeColor="text1"/>
          <w:sz w:val="20"/>
          <w:szCs w:val="20"/>
        </w:rPr>
        <w:t>2</w:t>
      </w:r>
      <w:r w:rsidR="00AB49BD" w:rsidRPr="00BE6711">
        <w:rPr>
          <w:rFonts w:ascii="Arial" w:hAnsi="Arial" w:cs="Arial"/>
          <w:color w:val="000000" w:themeColor="text1"/>
          <w:sz w:val="20"/>
          <w:szCs w:val="20"/>
        </w:rPr>
        <w:t>3</w:t>
      </w:r>
      <w:r w:rsidRPr="00BE6711">
        <w:rPr>
          <w:rFonts w:ascii="Arial" w:hAnsi="Arial" w:cs="Arial"/>
          <w:color w:val="000000" w:themeColor="text1"/>
          <w:sz w:val="20"/>
          <w:szCs w:val="20"/>
        </w:rPr>
        <w:t xml:space="preserve"> niso izvedli postopkov javnega naročanja, temveč so naročila za večletno obdobje oddali v </w:t>
      </w:r>
      <w:r w:rsidR="009F7B6D" w:rsidRPr="00BE6711">
        <w:rPr>
          <w:rFonts w:ascii="Arial" w:hAnsi="Arial" w:cs="Arial"/>
          <w:color w:val="000000" w:themeColor="text1"/>
          <w:sz w:val="20"/>
          <w:szCs w:val="20"/>
        </w:rPr>
        <w:t>prejšnjih</w:t>
      </w:r>
      <w:r w:rsidRPr="00BE6711">
        <w:rPr>
          <w:rFonts w:ascii="Arial" w:hAnsi="Arial" w:cs="Arial"/>
          <w:color w:val="000000" w:themeColor="text1"/>
          <w:sz w:val="20"/>
          <w:szCs w:val="20"/>
        </w:rPr>
        <w:t xml:space="preserve"> letih. Za nekatere organe v sestavi ministrstev je statistične podatke oddalo ministrstvo, ki zanje po pooblastilu izvaja javna naročila. </w:t>
      </w:r>
      <w:r w:rsidR="00620DB8" w:rsidRPr="00BE6711">
        <w:rPr>
          <w:rFonts w:ascii="Arial" w:hAnsi="Arial" w:cs="Arial"/>
          <w:color w:val="000000" w:themeColor="text1"/>
          <w:sz w:val="20"/>
          <w:szCs w:val="20"/>
        </w:rPr>
        <w:t>Enako k</w:t>
      </w:r>
      <w:r w:rsidRPr="00BE6711">
        <w:rPr>
          <w:rFonts w:ascii="Arial" w:hAnsi="Arial" w:cs="Arial"/>
          <w:color w:val="000000" w:themeColor="text1"/>
          <w:sz w:val="20"/>
          <w:szCs w:val="20"/>
        </w:rPr>
        <w:t xml:space="preserve">ot v </w:t>
      </w:r>
      <w:r w:rsidR="009F7B6D" w:rsidRPr="00BE6711">
        <w:rPr>
          <w:rFonts w:ascii="Arial" w:hAnsi="Arial" w:cs="Arial"/>
          <w:color w:val="000000" w:themeColor="text1"/>
          <w:sz w:val="20"/>
          <w:szCs w:val="20"/>
        </w:rPr>
        <w:t>prejšnjih</w:t>
      </w:r>
      <w:r w:rsidRPr="00BE6711">
        <w:rPr>
          <w:rFonts w:ascii="Arial" w:hAnsi="Arial" w:cs="Arial"/>
          <w:color w:val="000000" w:themeColor="text1"/>
          <w:sz w:val="20"/>
          <w:szCs w:val="20"/>
        </w:rPr>
        <w:t xml:space="preserve"> letih </w:t>
      </w:r>
      <w:r w:rsidR="00620DB8" w:rsidRPr="00BE6711">
        <w:rPr>
          <w:rFonts w:ascii="Arial" w:hAnsi="Arial" w:cs="Arial"/>
          <w:color w:val="000000" w:themeColor="text1"/>
          <w:sz w:val="20"/>
          <w:szCs w:val="20"/>
        </w:rPr>
        <w:t xml:space="preserve">tudi v </w:t>
      </w:r>
      <w:r w:rsidR="003E6023" w:rsidRPr="00BE6711">
        <w:rPr>
          <w:rFonts w:ascii="Arial" w:hAnsi="Arial" w:cs="Arial"/>
          <w:color w:val="000000" w:themeColor="text1"/>
          <w:sz w:val="20"/>
          <w:szCs w:val="20"/>
        </w:rPr>
        <w:t xml:space="preserve">letu </w:t>
      </w:r>
      <w:r w:rsidR="00620DB8" w:rsidRPr="00BE6711">
        <w:rPr>
          <w:rFonts w:ascii="Arial" w:hAnsi="Arial" w:cs="Arial"/>
          <w:color w:val="000000" w:themeColor="text1"/>
          <w:sz w:val="20"/>
          <w:szCs w:val="20"/>
        </w:rPr>
        <w:t>20</w:t>
      </w:r>
      <w:r w:rsidR="00E66155" w:rsidRPr="00BE6711">
        <w:rPr>
          <w:rFonts w:ascii="Arial" w:hAnsi="Arial" w:cs="Arial"/>
          <w:color w:val="000000" w:themeColor="text1"/>
          <w:sz w:val="20"/>
          <w:szCs w:val="20"/>
        </w:rPr>
        <w:t>2</w:t>
      </w:r>
      <w:r w:rsidR="00AB49BD" w:rsidRPr="00BE6711">
        <w:rPr>
          <w:rFonts w:ascii="Arial" w:hAnsi="Arial" w:cs="Arial"/>
          <w:color w:val="000000" w:themeColor="text1"/>
          <w:sz w:val="20"/>
          <w:szCs w:val="20"/>
        </w:rPr>
        <w:t>3</w:t>
      </w:r>
      <w:r w:rsidR="00620DB8" w:rsidRPr="00BE6711">
        <w:rPr>
          <w:rFonts w:ascii="Arial" w:hAnsi="Arial" w:cs="Arial"/>
          <w:color w:val="000000" w:themeColor="text1"/>
          <w:sz w:val="20"/>
          <w:szCs w:val="20"/>
        </w:rPr>
        <w:t xml:space="preserve"> </w:t>
      </w:r>
      <w:r w:rsidRPr="00BE6711">
        <w:rPr>
          <w:rFonts w:ascii="Arial" w:hAnsi="Arial" w:cs="Arial"/>
          <w:color w:val="000000" w:themeColor="text1"/>
          <w:sz w:val="20"/>
          <w:szCs w:val="20"/>
        </w:rPr>
        <w:t xml:space="preserve">nekaj naročnikov predvidoma ni sporočilo podatkov, ker niso </w:t>
      </w:r>
      <w:r w:rsidR="00003CDA" w:rsidRPr="00BE6711">
        <w:rPr>
          <w:rFonts w:ascii="Arial" w:hAnsi="Arial" w:cs="Arial"/>
          <w:color w:val="000000" w:themeColor="text1"/>
          <w:sz w:val="20"/>
          <w:szCs w:val="20"/>
        </w:rPr>
        <w:t>upoštevali</w:t>
      </w:r>
      <w:r w:rsidRPr="00BE6711">
        <w:rPr>
          <w:rFonts w:ascii="Arial" w:hAnsi="Arial" w:cs="Arial"/>
          <w:color w:val="000000" w:themeColor="text1"/>
          <w:sz w:val="20"/>
          <w:szCs w:val="20"/>
        </w:rPr>
        <w:t xml:space="preserve"> zakonodajni</w:t>
      </w:r>
      <w:r w:rsidR="00003CDA" w:rsidRPr="00BE6711">
        <w:rPr>
          <w:rFonts w:ascii="Arial" w:hAnsi="Arial" w:cs="Arial"/>
          <w:color w:val="000000" w:themeColor="text1"/>
          <w:sz w:val="20"/>
          <w:szCs w:val="20"/>
        </w:rPr>
        <w:t>h</w:t>
      </w:r>
      <w:r w:rsidRPr="00BE6711">
        <w:rPr>
          <w:rFonts w:ascii="Arial" w:hAnsi="Arial" w:cs="Arial"/>
          <w:color w:val="000000" w:themeColor="text1"/>
          <w:sz w:val="20"/>
          <w:szCs w:val="20"/>
        </w:rPr>
        <w:t xml:space="preserve"> sprememb na tem področju </w:t>
      </w:r>
      <w:r w:rsidR="00003CDA" w:rsidRPr="00BE6711">
        <w:rPr>
          <w:rFonts w:ascii="Arial" w:hAnsi="Arial" w:cs="Arial"/>
          <w:color w:val="000000" w:themeColor="text1"/>
          <w:sz w:val="20"/>
          <w:szCs w:val="20"/>
        </w:rPr>
        <w:t>ter</w:t>
      </w:r>
      <w:r w:rsidRPr="00BE6711">
        <w:rPr>
          <w:rFonts w:ascii="Arial" w:hAnsi="Arial" w:cs="Arial"/>
          <w:color w:val="000000" w:themeColor="text1"/>
          <w:sz w:val="20"/>
          <w:szCs w:val="20"/>
        </w:rPr>
        <w:t xml:space="preserve"> obvestil </w:t>
      </w:r>
      <w:r w:rsidR="00003CDA" w:rsidRPr="00BE6711">
        <w:rPr>
          <w:rFonts w:ascii="Arial" w:hAnsi="Arial" w:cs="Arial"/>
          <w:color w:val="000000" w:themeColor="text1"/>
          <w:sz w:val="20"/>
          <w:szCs w:val="20"/>
        </w:rPr>
        <w:t>in</w:t>
      </w:r>
      <w:r w:rsidRPr="00BE6711">
        <w:rPr>
          <w:rFonts w:ascii="Arial" w:hAnsi="Arial" w:cs="Arial"/>
          <w:color w:val="000000" w:themeColor="text1"/>
          <w:sz w:val="20"/>
          <w:szCs w:val="20"/>
        </w:rPr>
        <w:t xml:space="preserve"> pojasnil </w:t>
      </w:r>
      <w:r w:rsidR="007C7225">
        <w:rPr>
          <w:rFonts w:ascii="Arial" w:hAnsi="Arial" w:cs="Arial"/>
          <w:color w:val="000000" w:themeColor="text1"/>
          <w:sz w:val="20"/>
          <w:szCs w:val="20"/>
        </w:rPr>
        <w:t>m</w:t>
      </w:r>
      <w:r w:rsidRPr="00BE6711">
        <w:rPr>
          <w:rFonts w:ascii="Arial" w:hAnsi="Arial" w:cs="Arial"/>
          <w:color w:val="000000" w:themeColor="text1"/>
          <w:sz w:val="20"/>
          <w:szCs w:val="20"/>
        </w:rPr>
        <w:t>inistrstva za javno upravo.</w:t>
      </w:r>
    </w:p>
    <w:p w14:paraId="1A9B8ED2" w14:textId="77777777" w:rsidR="00EC580F" w:rsidRPr="0066514E" w:rsidRDefault="00EC580F" w:rsidP="00161BC9">
      <w:pPr>
        <w:pStyle w:val="ZADEVA"/>
        <w:spacing w:line="240" w:lineRule="auto"/>
        <w:jc w:val="both"/>
        <w:rPr>
          <w:rFonts w:cs="Arial"/>
          <w:b w:val="0"/>
          <w:color w:val="000000" w:themeColor="text1"/>
          <w:szCs w:val="20"/>
          <w:lang w:val="sl-SI"/>
        </w:rPr>
      </w:pPr>
    </w:p>
    <w:p w14:paraId="3D192CE4" w14:textId="118A80DA" w:rsidR="001409E3" w:rsidRPr="0066514E" w:rsidRDefault="001409E3" w:rsidP="00127D04">
      <w:pPr>
        <w:pStyle w:val="Naslov2"/>
      </w:pPr>
      <w:bookmarkStart w:id="11" w:name="_Toc175563848"/>
      <w:r w:rsidRPr="0066514E">
        <w:t>2.2 Objavljena javna naročila</w:t>
      </w:r>
      <w:bookmarkEnd w:id="11"/>
    </w:p>
    <w:p w14:paraId="09DC0ADC" w14:textId="37F32A26" w:rsidR="00854405" w:rsidRPr="0066514E" w:rsidRDefault="00854405" w:rsidP="00854405">
      <w:pPr>
        <w:pStyle w:val="ZADEVA"/>
        <w:jc w:val="both"/>
        <w:rPr>
          <w:rFonts w:cs="Arial"/>
          <w:b w:val="0"/>
          <w:color w:val="000000" w:themeColor="text1"/>
          <w:szCs w:val="20"/>
          <w:lang w:val="sl-SI"/>
        </w:rPr>
      </w:pPr>
    </w:p>
    <w:p w14:paraId="6BBE70BB" w14:textId="4ABCA8A8" w:rsidR="00DA3EE6" w:rsidRPr="0066514E" w:rsidRDefault="00AA7070" w:rsidP="00801272">
      <w:pPr>
        <w:spacing w:line="360" w:lineRule="auto"/>
        <w:jc w:val="both"/>
        <w:rPr>
          <w:rFonts w:ascii="Arial" w:eastAsia="Times New Roman" w:hAnsi="Arial" w:cs="Arial"/>
          <w:color w:val="000000" w:themeColor="text1"/>
          <w:sz w:val="20"/>
          <w:szCs w:val="20"/>
          <w:lang w:eastAsia="sl-SI"/>
        </w:rPr>
      </w:pPr>
      <w:r w:rsidRPr="0066514E">
        <w:rPr>
          <w:rFonts w:ascii="Arial" w:hAnsi="Arial" w:cs="Arial"/>
          <w:color w:val="000000" w:themeColor="text1"/>
          <w:sz w:val="20"/>
          <w:szCs w:val="20"/>
        </w:rPr>
        <w:t>S</w:t>
      </w:r>
      <w:r w:rsidR="003647F1" w:rsidRPr="0066514E">
        <w:rPr>
          <w:rFonts w:ascii="Arial" w:hAnsi="Arial" w:cs="Arial"/>
          <w:color w:val="000000" w:themeColor="text1"/>
          <w:sz w:val="20"/>
          <w:szCs w:val="20"/>
        </w:rPr>
        <w:t>tatistični podatk</w:t>
      </w:r>
      <w:r w:rsidRPr="0066514E">
        <w:rPr>
          <w:rFonts w:ascii="Arial" w:hAnsi="Arial" w:cs="Arial"/>
          <w:color w:val="000000" w:themeColor="text1"/>
          <w:sz w:val="20"/>
          <w:szCs w:val="20"/>
        </w:rPr>
        <w:t>i</w:t>
      </w:r>
      <w:r w:rsidR="003647F1" w:rsidRPr="0066514E">
        <w:rPr>
          <w:rFonts w:ascii="Arial" w:hAnsi="Arial" w:cs="Arial"/>
          <w:color w:val="000000" w:themeColor="text1"/>
          <w:sz w:val="20"/>
          <w:szCs w:val="20"/>
        </w:rPr>
        <w:t xml:space="preserve"> </w:t>
      </w:r>
      <w:r w:rsidRPr="0066514E">
        <w:rPr>
          <w:rFonts w:ascii="Arial" w:hAnsi="Arial" w:cs="Arial"/>
          <w:color w:val="000000" w:themeColor="text1"/>
          <w:sz w:val="20"/>
          <w:szCs w:val="20"/>
        </w:rPr>
        <w:t>kažejo</w:t>
      </w:r>
      <w:r w:rsidR="00930537" w:rsidRPr="0066514E">
        <w:rPr>
          <w:rFonts w:ascii="Arial" w:hAnsi="Arial" w:cs="Arial"/>
          <w:color w:val="000000" w:themeColor="text1"/>
          <w:sz w:val="20"/>
          <w:szCs w:val="20"/>
        </w:rPr>
        <w:t xml:space="preserve">, da so naročniki </w:t>
      </w:r>
      <w:r w:rsidR="00BD6B05" w:rsidRPr="0066514E">
        <w:rPr>
          <w:rFonts w:ascii="Arial" w:hAnsi="Arial" w:cs="Arial"/>
          <w:color w:val="000000" w:themeColor="text1"/>
          <w:sz w:val="20"/>
          <w:szCs w:val="20"/>
        </w:rPr>
        <w:t xml:space="preserve">leta </w:t>
      </w:r>
      <w:r w:rsidR="00930537" w:rsidRPr="0066514E">
        <w:rPr>
          <w:rFonts w:ascii="Arial" w:hAnsi="Arial" w:cs="Arial"/>
          <w:color w:val="000000" w:themeColor="text1"/>
          <w:sz w:val="20"/>
          <w:szCs w:val="20"/>
        </w:rPr>
        <w:t>20</w:t>
      </w:r>
      <w:r w:rsidR="00913587" w:rsidRPr="0066514E">
        <w:rPr>
          <w:rFonts w:ascii="Arial" w:hAnsi="Arial" w:cs="Arial"/>
          <w:color w:val="000000" w:themeColor="text1"/>
          <w:sz w:val="20"/>
          <w:szCs w:val="20"/>
        </w:rPr>
        <w:t>2</w:t>
      </w:r>
      <w:r w:rsidR="007D73A6" w:rsidRPr="0066514E">
        <w:rPr>
          <w:rFonts w:ascii="Arial" w:hAnsi="Arial" w:cs="Arial"/>
          <w:color w:val="000000" w:themeColor="text1"/>
          <w:sz w:val="20"/>
          <w:szCs w:val="20"/>
        </w:rPr>
        <w:t>3</w:t>
      </w:r>
      <w:r w:rsidR="00930537" w:rsidRPr="0066514E">
        <w:rPr>
          <w:rFonts w:ascii="Arial" w:hAnsi="Arial" w:cs="Arial"/>
          <w:color w:val="000000" w:themeColor="text1"/>
          <w:sz w:val="20"/>
          <w:szCs w:val="20"/>
        </w:rPr>
        <w:t xml:space="preserve"> oddali </w:t>
      </w:r>
      <w:r w:rsidR="00801272" w:rsidRPr="0066514E">
        <w:rPr>
          <w:rFonts w:ascii="Arial" w:hAnsi="Arial" w:cs="Arial"/>
          <w:color w:val="000000" w:themeColor="text1"/>
          <w:sz w:val="20"/>
          <w:szCs w:val="20"/>
        </w:rPr>
        <w:t>1</w:t>
      </w:r>
      <w:r w:rsidR="007D73A6" w:rsidRPr="0066514E">
        <w:rPr>
          <w:rFonts w:ascii="Arial" w:hAnsi="Arial" w:cs="Arial"/>
          <w:color w:val="000000" w:themeColor="text1"/>
          <w:sz w:val="20"/>
          <w:szCs w:val="20"/>
        </w:rPr>
        <w:t>6</w:t>
      </w:r>
      <w:r w:rsidR="00F204E8" w:rsidRPr="0066514E">
        <w:rPr>
          <w:rFonts w:ascii="Arial" w:hAnsi="Arial" w:cs="Arial"/>
          <w:color w:val="000000" w:themeColor="text1"/>
          <w:sz w:val="20"/>
          <w:szCs w:val="20"/>
        </w:rPr>
        <w:t>.</w:t>
      </w:r>
      <w:r w:rsidR="007D73A6" w:rsidRPr="0066514E">
        <w:rPr>
          <w:rFonts w:ascii="Arial" w:hAnsi="Arial" w:cs="Arial"/>
          <w:color w:val="000000" w:themeColor="text1"/>
          <w:sz w:val="20"/>
          <w:szCs w:val="20"/>
        </w:rPr>
        <w:t>82</w:t>
      </w:r>
      <w:r w:rsidR="0066514E" w:rsidRPr="0066514E">
        <w:rPr>
          <w:rFonts w:ascii="Arial" w:hAnsi="Arial" w:cs="Arial"/>
          <w:color w:val="000000" w:themeColor="text1"/>
          <w:sz w:val="20"/>
          <w:szCs w:val="20"/>
        </w:rPr>
        <w:t>4</w:t>
      </w:r>
      <w:r w:rsidR="00F204E8" w:rsidRPr="0066514E">
        <w:rPr>
          <w:rFonts w:ascii="Arial" w:hAnsi="Arial" w:cs="Arial"/>
          <w:color w:val="000000" w:themeColor="text1"/>
          <w:sz w:val="20"/>
          <w:szCs w:val="20"/>
        </w:rPr>
        <w:t xml:space="preserve"> </w:t>
      </w:r>
      <w:r w:rsidR="003647F1" w:rsidRPr="0066514E">
        <w:rPr>
          <w:rFonts w:ascii="Arial" w:hAnsi="Arial" w:cs="Arial"/>
          <w:color w:val="000000" w:themeColor="text1"/>
          <w:sz w:val="20"/>
          <w:szCs w:val="20"/>
        </w:rPr>
        <w:t xml:space="preserve">javnih naročil. </w:t>
      </w:r>
      <w:r w:rsidR="00391021" w:rsidRPr="0066514E">
        <w:rPr>
          <w:rFonts w:ascii="Arial" w:hAnsi="Arial" w:cs="Arial"/>
          <w:color w:val="000000" w:themeColor="text1"/>
          <w:sz w:val="20"/>
          <w:szCs w:val="20"/>
        </w:rPr>
        <w:t>Njihova p</w:t>
      </w:r>
      <w:r w:rsidR="003647F1" w:rsidRPr="0066514E">
        <w:rPr>
          <w:rFonts w:ascii="Arial" w:hAnsi="Arial" w:cs="Arial"/>
          <w:color w:val="000000" w:themeColor="text1"/>
          <w:sz w:val="20"/>
          <w:szCs w:val="20"/>
        </w:rPr>
        <w:t xml:space="preserve">ogodbena vrednost </w:t>
      </w:r>
      <w:r w:rsidR="00DA3EE6" w:rsidRPr="0066514E">
        <w:rPr>
          <w:rFonts w:ascii="Arial" w:hAnsi="Arial" w:cs="Arial"/>
          <w:color w:val="000000" w:themeColor="text1"/>
          <w:sz w:val="20"/>
          <w:szCs w:val="20"/>
        </w:rPr>
        <w:t xml:space="preserve">je </w:t>
      </w:r>
      <w:r w:rsidR="003647F1" w:rsidRPr="0066514E">
        <w:rPr>
          <w:rFonts w:ascii="Arial" w:hAnsi="Arial" w:cs="Arial"/>
          <w:color w:val="000000" w:themeColor="text1"/>
          <w:sz w:val="20"/>
          <w:szCs w:val="20"/>
        </w:rPr>
        <w:t>znaša</w:t>
      </w:r>
      <w:r w:rsidR="00DA3EE6" w:rsidRPr="0066514E">
        <w:rPr>
          <w:rFonts w:ascii="Arial" w:hAnsi="Arial" w:cs="Arial"/>
          <w:color w:val="000000" w:themeColor="text1"/>
          <w:sz w:val="20"/>
          <w:szCs w:val="20"/>
        </w:rPr>
        <w:t>la</w:t>
      </w:r>
      <w:r w:rsidR="003647F1" w:rsidRPr="0066514E">
        <w:rPr>
          <w:rFonts w:ascii="Arial" w:hAnsi="Arial" w:cs="Arial"/>
          <w:color w:val="000000" w:themeColor="text1"/>
          <w:sz w:val="20"/>
          <w:szCs w:val="20"/>
        </w:rPr>
        <w:t xml:space="preserve"> </w:t>
      </w:r>
      <w:r w:rsidR="0066514E" w:rsidRPr="0066514E">
        <w:rPr>
          <w:rFonts w:ascii="Arial" w:hAnsi="Arial" w:cs="Arial"/>
          <w:color w:val="000000" w:themeColor="text1"/>
          <w:sz w:val="20"/>
          <w:szCs w:val="20"/>
        </w:rPr>
        <w:t xml:space="preserve">6.232.250.969 </w:t>
      </w:r>
      <w:r w:rsidR="003647F1" w:rsidRPr="0066514E">
        <w:rPr>
          <w:rFonts w:ascii="Arial" w:hAnsi="Arial" w:cs="Arial"/>
          <w:color w:val="000000" w:themeColor="text1"/>
          <w:sz w:val="20"/>
          <w:szCs w:val="20"/>
        </w:rPr>
        <w:t>evrov.</w:t>
      </w:r>
      <w:r w:rsidR="0076310F" w:rsidRPr="0066514E">
        <w:rPr>
          <w:rFonts w:ascii="Arial" w:hAnsi="Arial" w:cs="Arial"/>
          <w:color w:val="000000" w:themeColor="text1"/>
          <w:sz w:val="20"/>
          <w:szCs w:val="20"/>
        </w:rPr>
        <w:t xml:space="preserve"> </w:t>
      </w:r>
      <w:r w:rsidR="00DA3EE6" w:rsidRPr="0066514E">
        <w:rPr>
          <w:rFonts w:ascii="Arial" w:hAnsi="Arial" w:cs="Arial"/>
          <w:color w:val="000000" w:themeColor="text1"/>
          <w:sz w:val="20"/>
          <w:szCs w:val="20"/>
        </w:rPr>
        <w:t xml:space="preserve">Naročila blaga </w:t>
      </w:r>
      <w:r w:rsidR="00BD6B05" w:rsidRPr="0066514E">
        <w:rPr>
          <w:rFonts w:ascii="Arial" w:hAnsi="Arial" w:cs="Arial"/>
          <w:color w:val="000000" w:themeColor="text1"/>
          <w:sz w:val="20"/>
          <w:szCs w:val="20"/>
        </w:rPr>
        <w:t xml:space="preserve">so </w:t>
      </w:r>
      <w:r w:rsidR="00DA3EE6" w:rsidRPr="0066514E">
        <w:rPr>
          <w:rFonts w:ascii="Arial" w:hAnsi="Arial" w:cs="Arial"/>
          <w:color w:val="000000" w:themeColor="text1"/>
          <w:sz w:val="20"/>
          <w:szCs w:val="20"/>
        </w:rPr>
        <w:t>največji del javnih naročil po številu</w:t>
      </w:r>
      <w:r w:rsidR="007D73A6" w:rsidRPr="0066514E">
        <w:rPr>
          <w:rFonts w:ascii="Arial" w:hAnsi="Arial" w:cs="Arial"/>
          <w:color w:val="000000" w:themeColor="text1"/>
          <w:sz w:val="20"/>
          <w:szCs w:val="20"/>
        </w:rPr>
        <w:t xml:space="preserve"> in vrednosti.</w:t>
      </w:r>
    </w:p>
    <w:p w14:paraId="59996034" w14:textId="76D5F8F6" w:rsidR="00854405" w:rsidRPr="0066514E" w:rsidRDefault="0076310F" w:rsidP="001F2B2F">
      <w:pPr>
        <w:spacing w:line="240" w:lineRule="auto"/>
        <w:jc w:val="both"/>
        <w:rPr>
          <w:rFonts w:ascii="Arial" w:hAnsi="Arial" w:cs="Arial"/>
          <w:color w:val="000000" w:themeColor="text1"/>
          <w:sz w:val="20"/>
        </w:rPr>
      </w:pPr>
      <w:r w:rsidRPr="0066514E">
        <w:rPr>
          <w:rFonts w:ascii="Arial" w:hAnsi="Arial" w:cs="Arial"/>
          <w:color w:val="000000" w:themeColor="text1"/>
          <w:sz w:val="20"/>
        </w:rPr>
        <w:lastRenderedPageBreak/>
        <w:t xml:space="preserve">Preglednica </w:t>
      </w:r>
      <w:r w:rsidR="00EB4423" w:rsidRPr="0066514E">
        <w:rPr>
          <w:rFonts w:ascii="Arial" w:hAnsi="Arial" w:cs="Arial"/>
          <w:color w:val="000000" w:themeColor="text1"/>
          <w:sz w:val="20"/>
        </w:rPr>
        <w:t>2</w:t>
      </w:r>
      <w:r w:rsidRPr="0066514E">
        <w:rPr>
          <w:rFonts w:ascii="Arial" w:hAnsi="Arial" w:cs="Arial"/>
          <w:color w:val="000000" w:themeColor="text1"/>
          <w:sz w:val="20"/>
        </w:rPr>
        <w:t>: Vrednost, število in deleži javnih naročil</w:t>
      </w:r>
      <w:r w:rsidR="00D907DA" w:rsidRPr="0066514E">
        <w:rPr>
          <w:rFonts w:ascii="Arial" w:hAnsi="Arial" w:cs="Arial"/>
          <w:color w:val="000000" w:themeColor="text1"/>
          <w:sz w:val="20"/>
        </w:rPr>
        <w:t xml:space="preserve"> </w:t>
      </w:r>
      <w:r w:rsidR="00391021" w:rsidRPr="0066514E">
        <w:rPr>
          <w:rFonts w:ascii="Arial" w:hAnsi="Arial" w:cs="Arial"/>
          <w:color w:val="000000" w:themeColor="text1"/>
          <w:sz w:val="20"/>
        </w:rPr>
        <w:t>po</w:t>
      </w:r>
      <w:r w:rsidR="00D907DA" w:rsidRPr="0066514E">
        <w:rPr>
          <w:rFonts w:ascii="Arial" w:hAnsi="Arial" w:cs="Arial"/>
          <w:color w:val="000000" w:themeColor="text1"/>
          <w:sz w:val="20"/>
        </w:rPr>
        <w:t xml:space="preserve"> predmet</w:t>
      </w:r>
      <w:r w:rsidR="00391021" w:rsidRPr="0066514E">
        <w:rPr>
          <w:rFonts w:ascii="Arial" w:hAnsi="Arial" w:cs="Arial"/>
          <w:color w:val="000000" w:themeColor="text1"/>
          <w:sz w:val="20"/>
        </w:rPr>
        <w:t>ih</w:t>
      </w:r>
      <w:r w:rsidR="00D907DA" w:rsidRPr="0066514E">
        <w:rPr>
          <w:rFonts w:ascii="Arial" w:hAnsi="Arial" w:cs="Arial"/>
          <w:color w:val="000000" w:themeColor="text1"/>
          <w:sz w:val="20"/>
        </w:rPr>
        <w:t xml:space="preserve"> naročanja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4"/>
        <w:gridCol w:w="961"/>
        <w:gridCol w:w="854"/>
        <w:gridCol w:w="1422"/>
        <w:gridCol w:w="1276"/>
        <w:gridCol w:w="1134"/>
        <w:gridCol w:w="1134"/>
      </w:tblGrid>
      <w:tr w:rsidR="00343F8D" w:rsidRPr="0066514E" w14:paraId="21B571F4" w14:textId="77777777" w:rsidTr="007D580A">
        <w:trPr>
          <w:trHeight w:val="255"/>
          <w:jc w:val="center"/>
        </w:trPr>
        <w:tc>
          <w:tcPr>
            <w:tcW w:w="1294" w:type="dxa"/>
            <w:shd w:val="clear" w:color="auto" w:fill="F2F2F2" w:themeFill="background1" w:themeFillShade="F2"/>
            <w:vAlign w:val="center"/>
            <w:hideMark/>
          </w:tcPr>
          <w:p w14:paraId="53B8D8BD" w14:textId="3261D93B" w:rsidR="00AF3D59" w:rsidRPr="0066514E" w:rsidRDefault="00AF3D59" w:rsidP="00AF3D59">
            <w:pPr>
              <w:spacing w:after="0" w:line="240" w:lineRule="auto"/>
              <w:jc w:val="center"/>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P</w:t>
            </w:r>
            <w:r w:rsidR="003C7CD2" w:rsidRPr="0066514E">
              <w:rPr>
                <w:rFonts w:ascii="Arial" w:eastAsia="Times New Roman" w:hAnsi="Arial" w:cs="Arial"/>
                <w:color w:val="000000" w:themeColor="text1"/>
                <w:sz w:val="18"/>
                <w:szCs w:val="18"/>
                <w:lang w:eastAsia="sl-SI"/>
              </w:rPr>
              <w:t>redmet</w:t>
            </w:r>
          </w:p>
        </w:tc>
        <w:tc>
          <w:tcPr>
            <w:tcW w:w="961" w:type="dxa"/>
            <w:shd w:val="clear" w:color="auto" w:fill="F2F2F2" w:themeFill="background1" w:themeFillShade="F2"/>
            <w:vAlign w:val="center"/>
            <w:hideMark/>
          </w:tcPr>
          <w:p w14:paraId="755F9D87" w14:textId="77777777" w:rsidR="00AF3D59" w:rsidRPr="0066514E" w:rsidRDefault="00AF3D59" w:rsidP="00AF3D59">
            <w:pPr>
              <w:spacing w:after="0" w:line="240" w:lineRule="auto"/>
              <w:jc w:val="center"/>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Št. postopkov</w:t>
            </w:r>
          </w:p>
        </w:tc>
        <w:tc>
          <w:tcPr>
            <w:tcW w:w="854" w:type="dxa"/>
            <w:shd w:val="clear" w:color="auto" w:fill="F2F2F2" w:themeFill="background1" w:themeFillShade="F2"/>
            <w:vAlign w:val="center"/>
            <w:hideMark/>
          </w:tcPr>
          <w:p w14:paraId="702B4032" w14:textId="77777777" w:rsidR="00AF3D59" w:rsidRPr="0066514E" w:rsidRDefault="00AF3D59" w:rsidP="00AF3D59">
            <w:pPr>
              <w:spacing w:after="0" w:line="240" w:lineRule="auto"/>
              <w:jc w:val="center"/>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Št. naročil</w:t>
            </w:r>
          </w:p>
        </w:tc>
        <w:tc>
          <w:tcPr>
            <w:tcW w:w="1422" w:type="dxa"/>
            <w:shd w:val="clear" w:color="auto" w:fill="F2F2F2" w:themeFill="background1" w:themeFillShade="F2"/>
            <w:vAlign w:val="center"/>
            <w:hideMark/>
          </w:tcPr>
          <w:p w14:paraId="464ABD9E" w14:textId="19A0CE05" w:rsidR="00AF3D59" w:rsidRPr="0066514E" w:rsidRDefault="00AF3D59" w:rsidP="00AF3D59">
            <w:pPr>
              <w:spacing w:after="0" w:line="240" w:lineRule="auto"/>
              <w:jc w:val="center"/>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Pogodbena vrednost</w:t>
            </w:r>
            <w:r w:rsidR="00BA058B" w:rsidRPr="0066514E">
              <w:rPr>
                <w:rFonts w:ascii="Arial" w:eastAsia="Times New Roman" w:hAnsi="Arial" w:cs="Arial"/>
                <w:color w:val="000000" w:themeColor="text1"/>
                <w:sz w:val="18"/>
                <w:szCs w:val="18"/>
                <w:lang w:eastAsia="sl-SI"/>
              </w:rPr>
              <w:t xml:space="preserve"> (v EUR)</w:t>
            </w:r>
          </w:p>
        </w:tc>
        <w:tc>
          <w:tcPr>
            <w:tcW w:w="1276" w:type="dxa"/>
            <w:shd w:val="clear" w:color="auto" w:fill="F2F2F2" w:themeFill="background1" w:themeFillShade="F2"/>
            <w:vAlign w:val="center"/>
            <w:hideMark/>
          </w:tcPr>
          <w:p w14:paraId="3C592F30" w14:textId="77777777" w:rsidR="00AF3D59" w:rsidRPr="0066514E" w:rsidRDefault="00AF3D59" w:rsidP="00AF3D59">
            <w:pPr>
              <w:spacing w:after="0" w:line="240" w:lineRule="auto"/>
              <w:jc w:val="center"/>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Delež v št. postopkov</w:t>
            </w:r>
          </w:p>
        </w:tc>
        <w:tc>
          <w:tcPr>
            <w:tcW w:w="1134" w:type="dxa"/>
            <w:shd w:val="clear" w:color="auto" w:fill="F2F2F2" w:themeFill="background1" w:themeFillShade="F2"/>
            <w:vAlign w:val="center"/>
            <w:hideMark/>
          </w:tcPr>
          <w:p w14:paraId="447427A5" w14:textId="77777777" w:rsidR="00AF3D59" w:rsidRPr="0066514E" w:rsidRDefault="00AF3D59" w:rsidP="00AF3D59">
            <w:pPr>
              <w:spacing w:after="0" w:line="240" w:lineRule="auto"/>
              <w:jc w:val="center"/>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Delež v št. naročil</w:t>
            </w:r>
          </w:p>
        </w:tc>
        <w:tc>
          <w:tcPr>
            <w:tcW w:w="1134" w:type="dxa"/>
            <w:shd w:val="clear" w:color="auto" w:fill="F2F2F2" w:themeFill="background1" w:themeFillShade="F2"/>
            <w:vAlign w:val="center"/>
            <w:hideMark/>
          </w:tcPr>
          <w:p w14:paraId="3721AB4D" w14:textId="77777777" w:rsidR="00AF3D59" w:rsidRPr="0066514E" w:rsidRDefault="00AF3D59" w:rsidP="00AF3D59">
            <w:pPr>
              <w:spacing w:after="0" w:line="240" w:lineRule="auto"/>
              <w:jc w:val="center"/>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Delež v vrednosti</w:t>
            </w:r>
          </w:p>
        </w:tc>
      </w:tr>
      <w:tr w:rsidR="0066514E" w:rsidRPr="0066514E" w14:paraId="0ED9F0F3" w14:textId="77777777" w:rsidTr="0066514E">
        <w:trPr>
          <w:trHeight w:val="255"/>
          <w:jc w:val="center"/>
        </w:trPr>
        <w:tc>
          <w:tcPr>
            <w:tcW w:w="1294" w:type="dxa"/>
            <w:shd w:val="clear" w:color="auto" w:fill="auto"/>
            <w:vAlign w:val="center"/>
            <w:hideMark/>
          </w:tcPr>
          <w:p w14:paraId="48E17455" w14:textId="77777777" w:rsidR="0066514E" w:rsidRPr="0066514E" w:rsidRDefault="0066514E" w:rsidP="0066514E">
            <w:pPr>
              <w:spacing w:after="0" w:line="240" w:lineRule="auto"/>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Blago</w:t>
            </w:r>
          </w:p>
        </w:tc>
        <w:tc>
          <w:tcPr>
            <w:tcW w:w="961" w:type="dxa"/>
            <w:shd w:val="clear" w:color="auto" w:fill="auto"/>
            <w:vAlign w:val="center"/>
            <w:hideMark/>
          </w:tcPr>
          <w:p w14:paraId="0C38C0CA" w14:textId="18B9E904"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3.258</w:t>
            </w:r>
          </w:p>
        </w:tc>
        <w:tc>
          <w:tcPr>
            <w:tcW w:w="854" w:type="dxa"/>
            <w:shd w:val="clear" w:color="auto" w:fill="auto"/>
            <w:vAlign w:val="center"/>
            <w:hideMark/>
          </w:tcPr>
          <w:p w14:paraId="7848CC09" w14:textId="6D18A8CD"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10.607</w:t>
            </w:r>
          </w:p>
        </w:tc>
        <w:tc>
          <w:tcPr>
            <w:tcW w:w="1422" w:type="dxa"/>
            <w:shd w:val="clear" w:color="auto" w:fill="auto"/>
            <w:vAlign w:val="center"/>
            <w:hideMark/>
          </w:tcPr>
          <w:p w14:paraId="1BC8807D" w14:textId="26C03804"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2.607.599.248</w:t>
            </w:r>
          </w:p>
        </w:tc>
        <w:tc>
          <w:tcPr>
            <w:tcW w:w="1276" w:type="dxa"/>
            <w:shd w:val="clear" w:color="auto" w:fill="auto"/>
            <w:vAlign w:val="center"/>
            <w:hideMark/>
          </w:tcPr>
          <w:p w14:paraId="75F601C4" w14:textId="76575441"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45,57 %</w:t>
            </w:r>
          </w:p>
        </w:tc>
        <w:tc>
          <w:tcPr>
            <w:tcW w:w="1134" w:type="dxa"/>
            <w:shd w:val="clear" w:color="auto" w:fill="auto"/>
            <w:vAlign w:val="center"/>
            <w:hideMark/>
          </w:tcPr>
          <w:p w14:paraId="79AEAB8B" w14:textId="60CA0F6A"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63,05 %</w:t>
            </w:r>
          </w:p>
        </w:tc>
        <w:tc>
          <w:tcPr>
            <w:tcW w:w="1134" w:type="dxa"/>
            <w:shd w:val="clear" w:color="auto" w:fill="auto"/>
            <w:vAlign w:val="center"/>
            <w:hideMark/>
          </w:tcPr>
          <w:p w14:paraId="3CF7F0B4" w14:textId="178F7F76"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41,84 %</w:t>
            </w:r>
          </w:p>
        </w:tc>
      </w:tr>
      <w:tr w:rsidR="0066514E" w:rsidRPr="0066514E" w14:paraId="43D88DDC" w14:textId="77777777" w:rsidTr="0066514E">
        <w:trPr>
          <w:trHeight w:val="255"/>
          <w:jc w:val="center"/>
        </w:trPr>
        <w:tc>
          <w:tcPr>
            <w:tcW w:w="1294" w:type="dxa"/>
            <w:shd w:val="clear" w:color="auto" w:fill="auto"/>
            <w:vAlign w:val="center"/>
            <w:hideMark/>
          </w:tcPr>
          <w:p w14:paraId="59FD5FA9" w14:textId="77777777" w:rsidR="0066514E" w:rsidRPr="0066514E" w:rsidRDefault="0066514E" w:rsidP="0066514E">
            <w:pPr>
              <w:spacing w:after="0" w:line="240" w:lineRule="auto"/>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Storitve</w:t>
            </w:r>
          </w:p>
        </w:tc>
        <w:tc>
          <w:tcPr>
            <w:tcW w:w="961" w:type="dxa"/>
            <w:shd w:val="clear" w:color="auto" w:fill="auto"/>
            <w:vAlign w:val="center"/>
            <w:hideMark/>
          </w:tcPr>
          <w:p w14:paraId="684BB7E0" w14:textId="2E2FC118"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2.596</w:t>
            </w:r>
          </w:p>
        </w:tc>
        <w:tc>
          <w:tcPr>
            <w:tcW w:w="854" w:type="dxa"/>
            <w:shd w:val="clear" w:color="auto" w:fill="auto"/>
            <w:vAlign w:val="center"/>
            <w:hideMark/>
          </w:tcPr>
          <w:p w14:paraId="3BD9F247" w14:textId="603AA9B6"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4.652</w:t>
            </w:r>
          </w:p>
        </w:tc>
        <w:tc>
          <w:tcPr>
            <w:tcW w:w="1422" w:type="dxa"/>
            <w:shd w:val="clear" w:color="auto" w:fill="auto"/>
            <w:vAlign w:val="center"/>
            <w:hideMark/>
          </w:tcPr>
          <w:p w14:paraId="333068D5" w14:textId="65824B03"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2.197.735.054</w:t>
            </w:r>
          </w:p>
        </w:tc>
        <w:tc>
          <w:tcPr>
            <w:tcW w:w="1276" w:type="dxa"/>
            <w:shd w:val="clear" w:color="auto" w:fill="auto"/>
            <w:vAlign w:val="center"/>
            <w:hideMark/>
          </w:tcPr>
          <w:p w14:paraId="63328174" w14:textId="29BB6B88"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36,31 %</w:t>
            </w:r>
          </w:p>
        </w:tc>
        <w:tc>
          <w:tcPr>
            <w:tcW w:w="1134" w:type="dxa"/>
            <w:shd w:val="clear" w:color="auto" w:fill="auto"/>
            <w:vAlign w:val="center"/>
            <w:hideMark/>
          </w:tcPr>
          <w:p w14:paraId="239D2352" w14:textId="56C9B157"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27,65 %</w:t>
            </w:r>
          </w:p>
        </w:tc>
        <w:tc>
          <w:tcPr>
            <w:tcW w:w="1134" w:type="dxa"/>
            <w:shd w:val="clear" w:color="auto" w:fill="auto"/>
            <w:vAlign w:val="center"/>
            <w:hideMark/>
          </w:tcPr>
          <w:p w14:paraId="5E60D502" w14:textId="68FDB787"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35,26 %</w:t>
            </w:r>
          </w:p>
        </w:tc>
      </w:tr>
      <w:tr w:rsidR="0066514E" w:rsidRPr="0066514E" w14:paraId="7DCB15D5" w14:textId="77777777" w:rsidTr="0066514E">
        <w:trPr>
          <w:trHeight w:val="255"/>
          <w:jc w:val="center"/>
        </w:trPr>
        <w:tc>
          <w:tcPr>
            <w:tcW w:w="1294" w:type="dxa"/>
            <w:shd w:val="clear" w:color="auto" w:fill="auto"/>
            <w:vAlign w:val="center"/>
            <w:hideMark/>
          </w:tcPr>
          <w:p w14:paraId="65C70C7B" w14:textId="77777777" w:rsidR="0066514E" w:rsidRPr="0066514E" w:rsidRDefault="0066514E" w:rsidP="0066514E">
            <w:pPr>
              <w:spacing w:after="0" w:line="240" w:lineRule="auto"/>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Gradnje</w:t>
            </w:r>
          </w:p>
        </w:tc>
        <w:tc>
          <w:tcPr>
            <w:tcW w:w="961" w:type="dxa"/>
            <w:shd w:val="clear" w:color="auto" w:fill="auto"/>
            <w:vAlign w:val="center"/>
            <w:hideMark/>
          </w:tcPr>
          <w:p w14:paraId="2036C98A" w14:textId="70236EDC"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1.296</w:t>
            </w:r>
          </w:p>
        </w:tc>
        <w:tc>
          <w:tcPr>
            <w:tcW w:w="854" w:type="dxa"/>
            <w:shd w:val="clear" w:color="auto" w:fill="auto"/>
            <w:vAlign w:val="center"/>
            <w:hideMark/>
          </w:tcPr>
          <w:p w14:paraId="70DE7A76" w14:textId="1231E3AC"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1.565</w:t>
            </w:r>
          </w:p>
        </w:tc>
        <w:tc>
          <w:tcPr>
            <w:tcW w:w="1422" w:type="dxa"/>
            <w:shd w:val="clear" w:color="auto" w:fill="auto"/>
            <w:vAlign w:val="center"/>
            <w:hideMark/>
          </w:tcPr>
          <w:p w14:paraId="220CFE13" w14:textId="2731D292"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1.426.916.667</w:t>
            </w:r>
          </w:p>
        </w:tc>
        <w:tc>
          <w:tcPr>
            <w:tcW w:w="1276" w:type="dxa"/>
            <w:shd w:val="clear" w:color="auto" w:fill="auto"/>
            <w:vAlign w:val="center"/>
            <w:hideMark/>
          </w:tcPr>
          <w:p w14:paraId="677BE675" w14:textId="2BF2AF4E"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18,13 %</w:t>
            </w:r>
          </w:p>
        </w:tc>
        <w:tc>
          <w:tcPr>
            <w:tcW w:w="1134" w:type="dxa"/>
            <w:shd w:val="clear" w:color="auto" w:fill="auto"/>
            <w:vAlign w:val="center"/>
            <w:hideMark/>
          </w:tcPr>
          <w:p w14:paraId="17450241" w14:textId="50D14BB7"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9,30 %</w:t>
            </w:r>
          </w:p>
        </w:tc>
        <w:tc>
          <w:tcPr>
            <w:tcW w:w="1134" w:type="dxa"/>
            <w:shd w:val="clear" w:color="auto" w:fill="auto"/>
            <w:vAlign w:val="center"/>
            <w:hideMark/>
          </w:tcPr>
          <w:p w14:paraId="4D7432BB" w14:textId="616125FE" w:rsidR="0066514E" w:rsidRPr="0066514E" w:rsidRDefault="0066514E" w:rsidP="0066514E">
            <w:pPr>
              <w:spacing w:after="0" w:line="240" w:lineRule="auto"/>
              <w:jc w:val="right"/>
              <w:rPr>
                <w:rFonts w:ascii="Arial" w:eastAsia="Times New Roman" w:hAnsi="Arial" w:cs="Arial"/>
                <w:color w:val="000000" w:themeColor="text1"/>
                <w:sz w:val="18"/>
                <w:szCs w:val="18"/>
                <w:lang w:eastAsia="sl-SI"/>
              </w:rPr>
            </w:pPr>
            <w:r w:rsidRPr="0066514E">
              <w:rPr>
                <w:rFonts w:ascii="Arial" w:eastAsia="Times New Roman" w:hAnsi="Arial" w:cs="Arial"/>
                <w:color w:val="000000" w:themeColor="text1"/>
                <w:sz w:val="18"/>
                <w:szCs w:val="18"/>
                <w:lang w:eastAsia="sl-SI"/>
              </w:rPr>
              <w:t>22,90 %</w:t>
            </w:r>
          </w:p>
        </w:tc>
      </w:tr>
      <w:tr w:rsidR="0066514E" w:rsidRPr="0066514E" w14:paraId="50B88275" w14:textId="77777777" w:rsidTr="0066514E">
        <w:trPr>
          <w:trHeight w:val="255"/>
          <w:jc w:val="center"/>
        </w:trPr>
        <w:tc>
          <w:tcPr>
            <w:tcW w:w="1294" w:type="dxa"/>
            <w:shd w:val="clear" w:color="auto" w:fill="F2F2F2" w:themeFill="background1" w:themeFillShade="F2"/>
            <w:vAlign w:val="center"/>
            <w:hideMark/>
          </w:tcPr>
          <w:p w14:paraId="73118DC7" w14:textId="77777777" w:rsidR="0066514E" w:rsidRPr="0066514E" w:rsidRDefault="0066514E" w:rsidP="0066514E">
            <w:pPr>
              <w:spacing w:after="0" w:line="240" w:lineRule="auto"/>
              <w:rPr>
                <w:rFonts w:ascii="Arial" w:eastAsia="Times New Roman" w:hAnsi="Arial" w:cs="Arial"/>
                <w:b/>
                <w:bCs/>
                <w:color w:val="000000" w:themeColor="text1"/>
                <w:sz w:val="18"/>
                <w:szCs w:val="18"/>
                <w:lang w:eastAsia="sl-SI"/>
              </w:rPr>
            </w:pPr>
            <w:r w:rsidRPr="0066514E">
              <w:rPr>
                <w:rFonts w:ascii="Arial" w:eastAsia="Times New Roman" w:hAnsi="Arial" w:cs="Arial"/>
                <w:b/>
                <w:bCs/>
                <w:color w:val="000000" w:themeColor="text1"/>
                <w:sz w:val="18"/>
                <w:szCs w:val="18"/>
                <w:lang w:eastAsia="sl-SI"/>
              </w:rPr>
              <w:t>Skupaj</w:t>
            </w:r>
          </w:p>
        </w:tc>
        <w:tc>
          <w:tcPr>
            <w:tcW w:w="961" w:type="dxa"/>
            <w:shd w:val="clear" w:color="auto" w:fill="F2F2F2" w:themeFill="background1" w:themeFillShade="F2"/>
            <w:noWrap/>
            <w:vAlign w:val="center"/>
            <w:hideMark/>
          </w:tcPr>
          <w:p w14:paraId="0378FFCF" w14:textId="39F9C136" w:rsidR="0066514E" w:rsidRPr="0066514E" w:rsidRDefault="0066514E" w:rsidP="0066514E">
            <w:pPr>
              <w:spacing w:after="0" w:line="240" w:lineRule="auto"/>
              <w:jc w:val="right"/>
              <w:rPr>
                <w:rFonts w:ascii="Arial" w:eastAsia="Times New Roman" w:hAnsi="Arial" w:cs="Arial"/>
                <w:b/>
                <w:bCs/>
                <w:color w:val="000000" w:themeColor="text1"/>
                <w:sz w:val="18"/>
                <w:szCs w:val="18"/>
                <w:lang w:eastAsia="sl-SI"/>
              </w:rPr>
            </w:pPr>
            <w:r w:rsidRPr="0066514E">
              <w:rPr>
                <w:rFonts w:ascii="Arial" w:eastAsia="Times New Roman" w:hAnsi="Arial" w:cs="Arial"/>
                <w:b/>
                <w:bCs/>
                <w:color w:val="000000" w:themeColor="text1"/>
                <w:sz w:val="18"/>
                <w:szCs w:val="18"/>
                <w:lang w:eastAsia="sl-SI"/>
              </w:rPr>
              <w:t>7.150</w:t>
            </w:r>
          </w:p>
        </w:tc>
        <w:tc>
          <w:tcPr>
            <w:tcW w:w="854" w:type="dxa"/>
            <w:shd w:val="clear" w:color="auto" w:fill="F2F2F2" w:themeFill="background1" w:themeFillShade="F2"/>
            <w:noWrap/>
            <w:vAlign w:val="center"/>
            <w:hideMark/>
          </w:tcPr>
          <w:p w14:paraId="53FA6D0F" w14:textId="75578D33" w:rsidR="0066514E" w:rsidRPr="0066514E" w:rsidRDefault="0066514E" w:rsidP="0066514E">
            <w:pPr>
              <w:spacing w:after="0" w:line="240" w:lineRule="auto"/>
              <w:jc w:val="right"/>
              <w:rPr>
                <w:rFonts w:ascii="Arial" w:eastAsia="Times New Roman" w:hAnsi="Arial" w:cs="Arial"/>
                <w:b/>
                <w:bCs/>
                <w:color w:val="000000" w:themeColor="text1"/>
                <w:sz w:val="18"/>
                <w:szCs w:val="18"/>
                <w:lang w:eastAsia="sl-SI"/>
              </w:rPr>
            </w:pPr>
            <w:r w:rsidRPr="0066514E">
              <w:rPr>
                <w:rFonts w:ascii="Arial" w:eastAsia="Times New Roman" w:hAnsi="Arial" w:cs="Arial"/>
                <w:b/>
                <w:bCs/>
                <w:color w:val="000000" w:themeColor="text1"/>
                <w:sz w:val="18"/>
                <w:szCs w:val="18"/>
                <w:lang w:eastAsia="sl-SI"/>
              </w:rPr>
              <w:t>16.824</w:t>
            </w:r>
          </w:p>
        </w:tc>
        <w:tc>
          <w:tcPr>
            <w:tcW w:w="1422" w:type="dxa"/>
            <w:shd w:val="clear" w:color="auto" w:fill="F2F2F2" w:themeFill="background1" w:themeFillShade="F2"/>
            <w:noWrap/>
            <w:vAlign w:val="center"/>
            <w:hideMark/>
          </w:tcPr>
          <w:p w14:paraId="4936AF84" w14:textId="7711208C" w:rsidR="0066514E" w:rsidRPr="0066514E" w:rsidRDefault="0066514E" w:rsidP="0066514E">
            <w:pPr>
              <w:spacing w:after="0" w:line="240" w:lineRule="auto"/>
              <w:jc w:val="right"/>
              <w:rPr>
                <w:rFonts w:ascii="Arial" w:eastAsia="Times New Roman" w:hAnsi="Arial" w:cs="Arial"/>
                <w:b/>
                <w:bCs/>
                <w:color w:val="000000" w:themeColor="text1"/>
                <w:sz w:val="18"/>
                <w:szCs w:val="18"/>
                <w:lang w:eastAsia="sl-SI"/>
              </w:rPr>
            </w:pPr>
            <w:r w:rsidRPr="0066514E">
              <w:rPr>
                <w:rFonts w:ascii="Arial" w:eastAsia="Times New Roman" w:hAnsi="Arial" w:cs="Arial"/>
                <w:b/>
                <w:bCs/>
                <w:color w:val="000000" w:themeColor="text1"/>
                <w:sz w:val="18"/>
                <w:szCs w:val="18"/>
                <w:lang w:eastAsia="sl-SI"/>
              </w:rPr>
              <w:t>6.232.250.969</w:t>
            </w:r>
          </w:p>
        </w:tc>
        <w:tc>
          <w:tcPr>
            <w:tcW w:w="1276" w:type="dxa"/>
            <w:shd w:val="clear" w:color="auto" w:fill="F2F2F2" w:themeFill="background1" w:themeFillShade="F2"/>
            <w:noWrap/>
            <w:vAlign w:val="center"/>
            <w:hideMark/>
          </w:tcPr>
          <w:p w14:paraId="51F83757" w14:textId="576F9057" w:rsidR="0066514E" w:rsidRPr="0066514E" w:rsidRDefault="0066514E" w:rsidP="0066514E">
            <w:pPr>
              <w:spacing w:after="0" w:line="240" w:lineRule="auto"/>
              <w:jc w:val="right"/>
              <w:rPr>
                <w:rFonts w:ascii="Arial" w:eastAsia="Times New Roman" w:hAnsi="Arial" w:cs="Arial"/>
                <w:b/>
                <w:bCs/>
                <w:color w:val="000000" w:themeColor="text1"/>
                <w:sz w:val="18"/>
                <w:szCs w:val="18"/>
                <w:lang w:eastAsia="sl-SI"/>
              </w:rPr>
            </w:pPr>
            <w:r w:rsidRPr="0066514E">
              <w:rPr>
                <w:rFonts w:ascii="Arial" w:eastAsia="Times New Roman" w:hAnsi="Arial" w:cs="Arial"/>
                <w:b/>
                <w:bCs/>
                <w:color w:val="000000" w:themeColor="text1"/>
                <w:sz w:val="18"/>
                <w:szCs w:val="18"/>
                <w:lang w:eastAsia="sl-SI"/>
              </w:rPr>
              <w:t>100,01 %</w:t>
            </w:r>
          </w:p>
        </w:tc>
        <w:tc>
          <w:tcPr>
            <w:tcW w:w="1134" w:type="dxa"/>
            <w:shd w:val="clear" w:color="auto" w:fill="F2F2F2" w:themeFill="background1" w:themeFillShade="F2"/>
            <w:noWrap/>
            <w:vAlign w:val="center"/>
            <w:hideMark/>
          </w:tcPr>
          <w:p w14:paraId="3A6FDD06" w14:textId="3F5EAB3E" w:rsidR="0066514E" w:rsidRPr="0066514E" w:rsidRDefault="0066514E" w:rsidP="0066514E">
            <w:pPr>
              <w:spacing w:after="0" w:line="240" w:lineRule="auto"/>
              <w:jc w:val="right"/>
              <w:rPr>
                <w:rFonts w:ascii="Arial" w:eastAsia="Times New Roman" w:hAnsi="Arial" w:cs="Arial"/>
                <w:b/>
                <w:bCs/>
                <w:color w:val="000000" w:themeColor="text1"/>
                <w:sz w:val="18"/>
                <w:szCs w:val="18"/>
                <w:lang w:eastAsia="sl-SI"/>
              </w:rPr>
            </w:pPr>
            <w:r w:rsidRPr="0066514E">
              <w:rPr>
                <w:rFonts w:ascii="Arial" w:eastAsia="Times New Roman" w:hAnsi="Arial" w:cs="Arial"/>
                <w:b/>
                <w:bCs/>
                <w:color w:val="000000" w:themeColor="text1"/>
                <w:sz w:val="18"/>
                <w:szCs w:val="18"/>
                <w:lang w:eastAsia="sl-SI"/>
              </w:rPr>
              <w:t>100,00 %</w:t>
            </w:r>
          </w:p>
        </w:tc>
        <w:tc>
          <w:tcPr>
            <w:tcW w:w="1134" w:type="dxa"/>
            <w:shd w:val="clear" w:color="auto" w:fill="F2F2F2" w:themeFill="background1" w:themeFillShade="F2"/>
            <w:noWrap/>
            <w:vAlign w:val="center"/>
            <w:hideMark/>
          </w:tcPr>
          <w:p w14:paraId="707EEF8A" w14:textId="73E93149" w:rsidR="0066514E" w:rsidRPr="0066514E" w:rsidRDefault="0066514E" w:rsidP="0066514E">
            <w:pPr>
              <w:spacing w:after="0" w:line="240" w:lineRule="auto"/>
              <w:jc w:val="right"/>
              <w:rPr>
                <w:rFonts w:ascii="Arial" w:eastAsia="Times New Roman" w:hAnsi="Arial" w:cs="Arial"/>
                <w:b/>
                <w:bCs/>
                <w:color w:val="000000" w:themeColor="text1"/>
                <w:sz w:val="18"/>
                <w:szCs w:val="18"/>
                <w:lang w:eastAsia="sl-SI"/>
              </w:rPr>
            </w:pPr>
            <w:r w:rsidRPr="0066514E">
              <w:rPr>
                <w:rFonts w:ascii="Arial" w:eastAsia="Times New Roman" w:hAnsi="Arial" w:cs="Arial"/>
                <w:b/>
                <w:bCs/>
                <w:color w:val="000000" w:themeColor="text1"/>
                <w:sz w:val="18"/>
                <w:szCs w:val="18"/>
                <w:lang w:eastAsia="sl-SI"/>
              </w:rPr>
              <w:t>100,00 %</w:t>
            </w:r>
          </w:p>
        </w:tc>
      </w:tr>
    </w:tbl>
    <w:p w14:paraId="786F36E9" w14:textId="5D9A93DC" w:rsidR="00AF3D59" w:rsidRPr="0066514E" w:rsidRDefault="00AF3D59" w:rsidP="00D907DA">
      <w:pPr>
        <w:shd w:val="clear" w:color="auto" w:fill="FFFFFF"/>
        <w:spacing w:after="0" w:line="240" w:lineRule="auto"/>
        <w:ind w:left="181"/>
        <w:jc w:val="center"/>
        <w:rPr>
          <w:rFonts w:ascii="Arial" w:hAnsi="Arial" w:cs="Arial"/>
          <w:noProof/>
          <w:color w:val="000000" w:themeColor="text1"/>
          <w:sz w:val="18"/>
          <w:szCs w:val="18"/>
          <w:lang w:eastAsia="sl-SI"/>
        </w:rPr>
      </w:pPr>
    </w:p>
    <w:p w14:paraId="7C4B149F" w14:textId="6AC04B0D" w:rsidR="00D907DA" w:rsidRPr="0066514E" w:rsidRDefault="00D907DA" w:rsidP="003156F5">
      <w:pPr>
        <w:spacing w:after="240" w:line="240" w:lineRule="auto"/>
        <w:jc w:val="center"/>
        <w:rPr>
          <w:rFonts w:ascii="Arial" w:hAnsi="Arial" w:cs="Arial"/>
          <w:color w:val="000000" w:themeColor="text1"/>
          <w:sz w:val="18"/>
        </w:rPr>
      </w:pPr>
      <w:r w:rsidRPr="0066514E">
        <w:rPr>
          <w:rFonts w:ascii="Arial" w:hAnsi="Arial" w:cs="Arial"/>
          <w:color w:val="000000" w:themeColor="text1"/>
          <w:sz w:val="18"/>
        </w:rPr>
        <w:t>Vir: Statistični podatki o javnih naročilih, oddanih v let</w:t>
      </w:r>
      <w:r w:rsidR="0076104A" w:rsidRPr="0066514E">
        <w:rPr>
          <w:rFonts w:ascii="Arial" w:hAnsi="Arial" w:cs="Arial"/>
          <w:color w:val="000000" w:themeColor="text1"/>
          <w:sz w:val="18"/>
        </w:rPr>
        <w:t>u 20</w:t>
      </w:r>
      <w:r w:rsidR="00913587" w:rsidRPr="0066514E">
        <w:rPr>
          <w:rFonts w:ascii="Arial" w:hAnsi="Arial" w:cs="Arial"/>
          <w:color w:val="000000" w:themeColor="text1"/>
          <w:sz w:val="18"/>
        </w:rPr>
        <w:t>2</w:t>
      </w:r>
      <w:r w:rsidR="007D580A" w:rsidRPr="0066514E">
        <w:rPr>
          <w:rFonts w:ascii="Arial" w:hAnsi="Arial" w:cs="Arial"/>
          <w:color w:val="000000" w:themeColor="text1"/>
          <w:sz w:val="18"/>
        </w:rPr>
        <w:t>3</w:t>
      </w:r>
      <w:r w:rsidR="00AA31A7" w:rsidRPr="0066514E">
        <w:rPr>
          <w:rFonts w:ascii="Arial" w:hAnsi="Arial" w:cs="Arial"/>
          <w:color w:val="000000" w:themeColor="text1"/>
          <w:sz w:val="18"/>
        </w:rPr>
        <w:t>.</w:t>
      </w:r>
    </w:p>
    <w:p w14:paraId="5CDA2DC9" w14:textId="2F540957" w:rsidR="00D907DA" w:rsidRPr="00C37CF6" w:rsidRDefault="00D907DA" w:rsidP="00D907DA">
      <w:pPr>
        <w:spacing w:line="360" w:lineRule="auto"/>
        <w:jc w:val="both"/>
        <w:rPr>
          <w:rFonts w:ascii="Arial" w:hAnsi="Arial" w:cs="Arial"/>
          <w:color w:val="000000" w:themeColor="text1"/>
          <w:sz w:val="20"/>
        </w:rPr>
      </w:pPr>
      <w:r w:rsidRPr="00C37CF6">
        <w:rPr>
          <w:rFonts w:ascii="Arial" w:hAnsi="Arial" w:cs="Arial"/>
          <w:color w:val="000000" w:themeColor="text1"/>
          <w:sz w:val="20"/>
        </w:rPr>
        <w:t xml:space="preserve">Oddana javna naročila na splošnem področju </w:t>
      </w:r>
      <w:r w:rsidR="00BD6B05" w:rsidRPr="00C37CF6">
        <w:rPr>
          <w:rFonts w:ascii="Arial" w:hAnsi="Arial" w:cs="Arial"/>
          <w:color w:val="000000" w:themeColor="text1"/>
          <w:sz w:val="20"/>
        </w:rPr>
        <w:t xml:space="preserve">pomenijo </w:t>
      </w:r>
      <w:r w:rsidRPr="00C37CF6">
        <w:rPr>
          <w:rFonts w:ascii="Arial" w:hAnsi="Arial" w:cs="Arial"/>
          <w:color w:val="000000" w:themeColor="text1"/>
          <w:sz w:val="20"/>
        </w:rPr>
        <w:t>največji del vseh naročil tako</w:t>
      </w:r>
      <w:r w:rsidR="00580B35" w:rsidRPr="00C37CF6">
        <w:rPr>
          <w:rFonts w:ascii="Arial" w:hAnsi="Arial" w:cs="Arial"/>
          <w:color w:val="000000" w:themeColor="text1"/>
          <w:sz w:val="20"/>
        </w:rPr>
        <w:t xml:space="preserve"> po</w:t>
      </w:r>
      <w:r w:rsidRPr="00C37CF6">
        <w:rPr>
          <w:rFonts w:ascii="Arial" w:hAnsi="Arial" w:cs="Arial"/>
          <w:color w:val="000000" w:themeColor="text1"/>
          <w:sz w:val="20"/>
        </w:rPr>
        <w:t xml:space="preserve"> številu kot </w:t>
      </w:r>
      <w:r w:rsidR="00CF61BC" w:rsidRPr="00C37CF6">
        <w:rPr>
          <w:rFonts w:ascii="Arial" w:hAnsi="Arial" w:cs="Arial"/>
          <w:color w:val="000000" w:themeColor="text1"/>
          <w:sz w:val="20"/>
        </w:rPr>
        <w:t>tudi</w:t>
      </w:r>
      <w:r w:rsidR="00580B35" w:rsidRPr="00C37CF6">
        <w:rPr>
          <w:rFonts w:ascii="Arial" w:hAnsi="Arial" w:cs="Arial"/>
          <w:color w:val="000000" w:themeColor="text1"/>
          <w:sz w:val="20"/>
        </w:rPr>
        <w:t xml:space="preserve"> </w:t>
      </w:r>
      <w:r w:rsidRPr="00C37CF6">
        <w:rPr>
          <w:rFonts w:ascii="Arial" w:hAnsi="Arial" w:cs="Arial"/>
          <w:color w:val="000000" w:themeColor="text1"/>
          <w:sz w:val="20"/>
        </w:rPr>
        <w:t>vrednosti.</w:t>
      </w:r>
    </w:p>
    <w:p w14:paraId="5AA3FE5A" w14:textId="5F48C135" w:rsidR="00D907DA" w:rsidRPr="00C37CF6" w:rsidRDefault="00D907DA" w:rsidP="00897156">
      <w:pPr>
        <w:rPr>
          <w:rFonts w:ascii="Arial" w:hAnsi="Arial" w:cs="Arial"/>
          <w:color w:val="000000" w:themeColor="text1"/>
          <w:sz w:val="20"/>
        </w:rPr>
      </w:pPr>
      <w:r w:rsidRPr="00C37CF6">
        <w:rPr>
          <w:rFonts w:ascii="Arial" w:hAnsi="Arial" w:cs="Arial"/>
          <w:color w:val="000000" w:themeColor="text1"/>
          <w:sz w:val="20"/>
        </w:rPr>
        <w:t xml:space="preserve">Preglednica </w:t>
      </w:r>
      <w:r w:rsidR="00EB4423" w:rsidRPr="00C37CF6">
        <w:rPr>
          <w:rFonts w:ascii="Arial" w:hAnsi="Arial" w:cs="Arial"/>
          <w:color w:val="000000" w:themeColor="text1"/>
          <w:sz w:val="20"/>
        </w:rPr>
        <w:t>3</w:t>
      </w:r>
      <w:r w:rsidRPr="00C37CF6">
        <w:rPr>
          <w:rFonts w:ascii="Arial" w:hAnsi="Arial" w:cs="Arial"/>
          <w:color w:val="000000" w:themeColor="text1"/>
          <w:sz w:val="20"/>
        </w:rPr>
        <w:t>: Vrednost, število in de</w:t>
      </w:r>
      <w:r w:rsidR="00951392" w:rsidRPr="00C37CF6">
        <w:rPr>
          <w:rFonts w:ascii="Arial" w:hAnsi="Arial" w:cs="Arial"/>
          <w:color w:val="000000" w:themeColor="text1"/>
          <w:sz w:val="20"/>
        </w:rPr>
        <w:t xml:space="preserve">leži javnih naročil </w:t>
      </w:r>
      <w:r w:rsidRPr="00C37CF6">
        <w:rPr>
          <w:rFonts w:ascii="Arial" w:hAnsi="Arial" w:cs="Arial"/>
          <w:color w:val="000000" w:themeColor="text1"/>
          <w:sz w:val="20"/>
        </w:rPr>
        <w:t>po področj</w:t>
      </w:r>
      <w:r w:rsidR="00391021" w:rsidRPr="00C37CF6">
        <w:rPr>
          <w:rFonts w:ascii="Arial" w:hAnsi="Arial" w:cs="Arial"/>
          <w:color w:val="000000" w:themeColor="text1"/>
          <w:sz w:val="20"/>
        </w:rPr>
        <w:t>ih</w:t>
      </w:r>
      <w:r w:rsidRPr="00C37CF6">
        <w:rPr>
          <w:rFonts w:ascii="Arial" w:hAnsi="Arial" w:cs="Arial"/>
          <w:color w:val="000000" w:themeColor="text1"/>
          <w:sz w:val="20"/>
        </w:rPr>
        <w:t xml:space="preserve"> naročanja</w:t>
      </w:r>
    </w:p>
    <w:tbl>
      <w:tblPr>
        <w:tblW w:w="8143" w:type="dxa"/>
        <w:jc w:val="center"/>
        <w:tblCellMar>
          <w:left w:w="70" w:type="dxa"/>
          <w:right w:w="70" w:type="dxa"/>
        </w:tblCellMar>
        <w:tblLook w:val="04A0" w:firstRow="1" w:lastRow="0" w:firstColumn="1" w:lastColumn="0" w:noHBand="0" w:noVBand="1"/>
      </w:tblPr>
      <w:tblGrid>
        <w:gridCol w:w="1417"/>
        <w:gridCol w:w="993"/>
        <w:gridCol w:w="833"/>
        <w:gridCol w:w="1300"/>
        <w:gridCol w:w="1264"/>
        <w:gridCol w:w="1076"/>
        <w:gridCol w:w="1260"/>
      </w:tblGrid>
      <w:tr w:rsidR="00343F8D" w:rsidRPr="00C37CF6" w14:paraId="0B31EF26" w14:textId="77777777" w:rsidTr="00DB3AA6">
        <w:trPr>
          <w:trHeight w:val="255"/>
          <w:jc w:val="center"/>
        </w:trPr>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0BD86" w14:textId="77777777" w:rsidR="007A3DD6" w:rsidRPr="00C37CF6" w:rsidRDefault="007A3DD6" w:rsidP="007A3DD6">
            <w:pPr>
              <w:spacing w:after="0" w:line="240" w:lineRule="auto"/>
              <w:jc w:val="center"/>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Področje</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83BBDC" w14:textId="77777777" w:rsidR="007A3DD6" w:rsidRPr="00C37CF6" w:rsidRDefault="007A3DD6" w:rsidP="007A3DD6">
            <w:pPr>
              <w:spacing w:after="0" w:line="240" w:lineRule="auto"/>
              <w:jc w:val="center"/>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Št. postopkov</w:t>
            </w:r>
          </w:p>
        </w:tc>
        <w:tc>
          <w:tcPr>
            <w:tcW w:w="83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CABC44" w14:textId="77777777" w:rsidR="007A3DD6" w:rsidRPr="00C37CF6" w:rsidRDefault="007A3DD6" w:rsidP="007A3DD6">
            <w:pPr>
              <w:spacing w:after="0" w:line="240" w:lineRule="auto"/>
              <w:jc w:val="center"/>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Št. naročil</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A55245" w14:textId="3E87E992" w:rsidR="007A3DD6" w:rsidRPr="00C37CF6" w:rsidRDefault="007A3DD6" w:rsidP="007A3DD6">
            <w:pPr>
              <w:spacing w:after="0" w:line="240" w:lineRule="auto"/>
              <w:jc w:val="center"/>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Pogodbena vrednost</w:t>
            </w:r>
            <w:r w:rsidR="00BA058B" w:rsidRPr="00C37CF6">
              <w:rPr>
                <w:rFonts w:ascii="Arial" w:eastAsia="Times New Roman" w:hAnsi="Arial" w:cs="Arial"/>
                <w:color w:val="000000" w:themeColor="text1"/>
                <w:sz w:val="18"/>
                <w:szCs w:val="18"/>
                <w:lang w:eastAsia="sl-SI"/>
              </w:rPr>
              <w:t xml:space="preserve"> (v EUR)</w:t>
            </w:r>
          </w:p>
        </w:tc>
        <w:tc>
          <w:tcPr>
            <w:tcW w:w="126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520B8B" w14:textId="77777777" w:rsidR="007A3DD6" w:rsidRPr="00C37CF6" w:rsidRDefault="007A3DD6" w:rsidP="007A3DD6">
            <w:pPr>
              <w:spacing w:after="0" w:line="240" w:lineRule="auto"/>
              <w:jc w:val="center"/>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Delež v št. postopkov</w:t>
            </w:r>
          </w:p>
        </w:tc>
        <w:tc>
          <w:tcPr>
            <w:tcW w:w="10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918B3F" w14:textId="77777777" w:rsidR="007A3DD6" w:rsidRPr="00C37CF6" w:rsidRDefault="007A3DD6" w:rsidP="007A3DD6">
            <w:pPr>
              <w:spacing w:after="0" w:line="240" w:lineRule="auto"/>
              <w:jc w:val="center"/>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Delež v št. naročil</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97A8C2" w14:textId="77777777" w:rsidR="007A3DD6" w:rsidRPr="00C37CF6" w:rsidRDefault="007A3DD6" w:rsidP="007A3DD6">
            <w:pPr>
              <w:spacing w:after="0" w:line="240" w:lineRule="auto"/>
              <w:jc w:val="center"/>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Delež v vrednosti</w:t>
            </w:r>
          </w:p>
        </w:tc>
      </w:tr>
      <w:tr w:rsidR="00C37CF6" w:rsidRPr="00C37CF6" w14:paraId="4CB8D351" w14:textId="77777777" w:rsidTr="00C37CF6">
        <w:trPr>
          <w:trHeight w:val="255"/>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15B04206" w14:textId="77777777" w:rsidR="00C37CF6" w:rsidRPr="00C37CF6" w:rsidRDefault="00C37CF6" w:rsidP="00C37CF6">
            <w:pPr>
              <w:spacing w:after="0" w:line="240" w:lineRule="auto"/>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Splošno</w:t>
            </w:r>
          </w:p>
        </w:tc>
        <w:tc>
          <w:tcPr>
            <w:tcW w:w="993" w:type="dxa"/>
            <w:tcBorders>
              <w:top w:val="nil"/>
              <w:left w:val="nil"/>
              <w:bottom w:val="single" w:sz="4" w:space="0" w:color="auto"/>
              <w:right w:val="single" w:sz="4" w:space="0" w:color="auto"/>
            </w:tcBorders>
            <w:shd w:val="clear" w:color="auto" w:fill="auto"/>
            <w:vAlign w:val="center"/>
            <w:hideMark/>
          </w:tcPr>
          <w:p w14:paraId="25E1A305" w14:textId="2A03C483"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5.552</w:t>
            </w:r>
          </w:p>
        </w:tc>
        <w:tc>
          <w:tcPr>
            <w:tcW w:w="833" w:type="dxa"/>
            <w:tcBorders>
              <w:top w:val="nil"/>
              <w:left w:val="nil"/>
              <w:bottom w:val="single" w:sz="4" w:space="0" w:color="auto"/>
              <w:right w:val="single" w:sz="4" w:space="0" w:color="auto"/>
            </w:tcBorders>
            <w:shd w:val="clear" w:color="auto" w:fill="auto"/>
            <w:vAlign w:val="center"/>
            <w:hideMark/>
          </w:tcPr>
          <w:p w14:paraId="5C37AB31" w14:textId="4919DD87"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14.174</w:t>
            </w:r>
          </w:p>
        </w:tc>
        <w:tc>
          <w:tcPr>
            <w:tcW w:w="1300" w:type="dxa"/>
            <w:tcBorders>
              <w:top w:val="nil"/>
              <w:left w:val="nil"/>
              <w:bottom w:val="single" w:sz="4" w:space="0" w:color="auto"/>
              <w:right w:val="single" w:sz="4" w:space="0" w:color="auto"/>
            </w:tcBorders>
            <w:shd w:val="clear" w:color="auto" w:fill="auto"/>
            <w:vAlign w:val="center"/>
            <w:hideMark/>
          </w:tcPr>
          <w:p w14:paraId="5EAF4F5D" w14:textId="4203DD5B"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4.636.391.304</w:t>
            </w:r>
          </w:p>
        </w:tc>
        <w:tc>
          <w:tcPr>
            <w:tcW w:w="1264" w:type="dxa"/>
            <w:tcBorders>
              <w:top w:val="nil"/>
              <w:left w:val="nil"/>
              <w:bottom w:val="single" w:sz="4" w:space="0" w:color="auto"/>
              <w:right w:val="single" w:sz="4" w:space="0" w:color="auto"/>
            </w:tcBorders>
            <w:shd w:val="clear" w:color="auto" w:fill="auto"/>
            <w:noWrap/>
            <w:vAlign w:val="center"/>
            <w:hideMark/>
          </w:tcPr>
          <w:p w14:paraId="06849774" w14:textId="3068F4BD"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77,65 %</w:t>
            </w:r>
          </w:p>
        </w:tc>
        <w:tc>
          <w:tcPr>
            <w:tcW w:w="1076" w:type="dxa"/>
            <w:tcBorders>
              <w:top w:val="nil"/>
              <w:left w:val="nil"/>
              <w:bottom w:val="single" w:sz="4" w:space="0" w:color="auto"/>
              <w:right w:val="single" w:sz="4" w:space="0" w:color="auto"/>
            </w:tcBorders>
            <w:shd w:val="clear" w:color="auto" w:fill="auto"/>
            <w:noWrap/>
            <w:vAlign w:val="center"/>
            <w:hideMark/>
          </w:tcPr>
          <w:p w14:paraId="27B2E980" w14:textId="1F6518F8"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84,25 %</w:t>
            </w:r>
          </w:p>
        </w:tc>
        <w:tc>
          <w:tcPr>
            <w:tcW w:w="1260" w:type="dxa"/>
            <w:tcBorders>
              <w:top w:val="nil"/>
              <w:left w:val="nil"/>
              <w:bottom w:val="single" w:sz="4" w:space="0" w:color="auto"/>
              <w:right w:val="single" w:sz="4" w:space="0" w:color="auto"/>
            </w:tcBorders>
            <w:shd w:val="clear" w:color="auto" w:fill="auto"/>
            <w:noWrap/>
            <w:vAlign w:val="center"/>
            <w:hideMark/>
          </w:tcPr>
          <w:p w14:paraId="15B49B5C" w14:textId="15D50051"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74,39 %</w:t>
            </w:r>
          </w:p>
        </w:tc>
      </w:tr>
      <w:tr w:rsidR="00C37CF6" w:rsidRPr="00C37CF6" w14:paraId="432FEE0F" w14:textId="77777777" w:rsidTr="00C37CF6">
        <w:trPr>
          <w:trHeight w:val="255"/>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698F9B6C" w14:textId="5F685A0C" w:rsidR="00C37CF6" w:rsidRPr="00C37CF6" w:rsidRDefault="00C37CF6" w:rsidP="00C37CF6">
            <w:pPr>
              <w:spacing w:after="0" w:line="240" w:lineRule="auto"/>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Infrastrukturno</w:t>
            </w:r>
          </w:p>
        </w:tc>
        <w:tc>
          <w:tcPr>
            <w:tcW w:w="993" w:type="dxa"/>
            <w:tcBorders>
              <w:top w:val="nil"/>
              <w:left w:val="nil"/>
              <w:bottom w:val="single" w:sz="4" w:space="0" w:color="auto"/>
              <w:right w:val="single" w:sz="4" w:space="0" w:color="auto"/>
            </w:tcBorders>
            <w:shd w:val="clear" w:color="auto" w:fill="auto"/>
            <w:vAlign w:val="center"/>
            <w:hideMark/>
          </w:tcPr>
          <w:p w14:paraId="454A65A3" w14:textId="180779A0"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1.490</w:t>
            </w:r>
          </w:p>
        </w:tc>
        <w:tc>
          <w:tcPr>
            <w:tcW w:w="833" w:type="dxa"/>
            <w:tcBorders>
              <w:top w:val="nil"/>
              <w:left w:val="nil"/>
              <w:bottom w:val="single" w:sz="4" w:space="0" w:color="auto"/>
              <w:right w:val="single" w:sz="4" w:space="0" w:color="auto"/>
            </w:tcBorders>
            <w:shd w:val="clear" w:color="auto" w:fill="auto"/>
            <w:vAlign w:val="center"/>
            <w:hideMark/>
          </w:tcPr>
          <w:p w14:paraId="5229EB2A" w14:textId="11692A5B"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2.522</w:t>
            </w:r>
          </w:p>
        </w:tc>
        <w:tc>
          <w:tcPr>
            <w:tcW w:w="1300" w:type="dxa"/>
            <w:tcBorders>
              <w:top w:val="nil"/>
              <w:left w:val="nil"/>
              <w:bottom w:val="single" w:sz="4" w:space="0" w:color="auto"/>
              <w:right w:val="single" w:sz="4" w:space="0" w:color="auto"/>
            </w:tcBorders>
            <w:shd w:val="clear" w:color="auto" w:fill="auto"/>
            <w:vAlign w:val="center"/>
            <w:hideMark/>
          </w:tcPr>
          <w:p w14:paraId="2D2F9901" w14:textId="018097A7"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1.440.436.108</w:t>
            </w:r>
          </w:p>
        </w:tc>
        <w:tc>
          <w:tcPr>
            <w:tcW w:w="1264" w:type="dxa"/>
            <w:tcBorders>
              <w:top w:val="nil"/>
              <w:left w:val="nil"/>
              <w:bottom w:val="single" w:sz="4" w:space="0" w:color="auto"/>
              <w:right w:val="single" w:sz="4" w:space="0" w:color="auto"/>
            </w:tcBorders>
            <w:shd w:val="clear" w:color="auto" w:fill="auto"/>
            <w:noWrap/>
            <w:vAlign w:val="center"/>
            <w:hideMark/>
          </w:tcPr>
          <w:p w14:paraId="160D80AD" w14:textId="077E35DF"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20,84 %</w:t>
            </w:r>
          </w:p>
        </w:tc>
        <w:tc>
          <w:tcPr>
            <w:tcW w:w="1076" w:type="dxa"/>
            <w:tcBorders>
              <w:top w:val="nil"/>
              <w:left w:val="nil"/>
              <w:bottom w:val="single" w:sz="4" w:space="0" w:color="auto"/>
              <w:right w:val="single" w:sz="4" w:space="0" w:color="auto"/>
            </w:tcBorders>
            <w:shd w:val="clear" w:color="auto" w:fill="auto"/>
            <w:noWrap/>
            <w:vAlign w:val="center"/>
            <w:hideMark/>
          </w:tcPr>
          <w:p w14:paraId="1F0E2100" w14:textId="6CC3D922"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14,99 %</w:t>
            </w:r>
          </w:p>
        </w:tc>
        <w:tc>
          <w:tcPr>
            <w:tcW w:w="1260" w:type="dxa"/>
            <w:tcBorders>
              <w:top w:val="nil"/>
              <w:left w:val="nil"/>
              <w:bottom w:val="single" w:sz="4" w:space="0" w:color="auto"/>
              <w:right w:val="single" w:sz="4" w:space="0" w:color="auto"/>
            </w:tcBorders>
            <w:shd w:val="clear" w:color="auto" w:fill="auto"/>
            <w:noWrap/>
            <w:vAlign w:val="center"/>
            <w:hideMark/>
          </w:tcPr>
          <w:p w14:paraId="7C14C0A8" w14:textId="016AD2ED"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23,11 %</w:t>
            </w:r>
          </w:p>
        </w:tc>
      </w:tr>
      <w:tr w:rsidR="00C37CF6" w:rsidRPr="00C37CF6" w14:paraId="6D993AAB" w14:textId="77777777" w:rsidTr="00C37CF6">
        <w:trPr>
          <w:trHeight w:val="255"/>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0CC8733" w14:textId="45A82A37" w:rsidR="00C37CF6" w:rsidRPr="00C37CF6" w:rsidRDefault="00C37CF6" w:rsidP="00C37CF6">
            <w:pPr>
              <w:spacing w:after="0" w:line="240" w:lineRule="auto"/>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Obrambno</w:t>
            </w:r>
          </w:p>
        </w:tc>
        <w:tc>
          <w:tcPr>
            <w:tcW w:w="993" w:type="dxa"/>
            <w:tcBorders>
              <w:top w:val="nil"/>
              <w:left w:val="nil"/>
              <w:bottom w:val="single" w:sz="4" w:space="0" w:color="auto"/>
              <w:right w:val="single" w:sz="4" w:space="0" w:color="auto"/>
            </w:tcBorders>
            <w:shd w:val="clear" w:color="auto" w:fill="auto"/>
            <w:vAlign w:val="center"/>
            <w:hideMark/>
          </w:tcPr>
          <w:p w14:paraId="616B6985" w14:textId="23331DA4"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108</w:t>
            </w:r>
          </w:p>
        </w:tc>
        <w:tc>
          <w:tcPr>
            <w:tcW w:w="833" w:type="dxa"/>
            <w:tcBorders>
              <w:top w:val="nil"/>
              <w:left w:val="nil"/>
              <w:bottom w:val="single" w:sz="4" w:space="0" w:color="auto"/>
              <w:right w:val="single" w:sz="4" w:space="0" w:color="auto"/>
            </w:tcBorders>
            <w:shd w:val="clear" w:color="auto" w:fill="auto"/>
            <w:vAlign w:val="center"/>
            <w:hideMark/>
          </w:tcPr>
          <w:p w14:paraId="70BC03C8" w14:textId="05C7D711"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128</w:t>
            </w:r>
          </w:p>
        </w:tc>
        <w:tc>
          <w:tcPr>
            <w:tcW w:w="1300" w:type="dxa"/>
            <w:tcBorders>
              <w:top w:val="nil"/>
              <w:left w:val="nil"/>
              <w:bottom w:val="single" w:sz="4" w:space="0" w:color="auto"/>
              <w:right w:val="single" w:sz="4" w:space="0" w:color="auto"/>
            </w:tcBorders>
            <w:shd w:val="clear" w:color="auto" w:fill="auto"/>
            <w:vAlign w:val="center"/>
            <w:hideMark/>
          </w:tcPr>
          <w:p w14:paraId="77EA0225" w14:textId="31A67394"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155.423.557</w:t>
            </w:r>
          </w:p>
        </w:tc>
        <w:tc>
          <w:tcPr>
            <w:tcW w:w="1264" w:type="dxa"/>
            <w:tcBorders>
              <w:top w:val="nil"/>
              <w:left w:val="nil"/>
              <w:bottom w:val="single" w:sz="4" w:space="0" w:color="auto"/>
              <w:right w:val="single" w:sz="4" w:space="0" w:color="auto"/>
            </w:tcBorders>
            <w:shd w:val="clear" w:color="auto" w:fill="auto"/>
            <w:noWrap/>
            <w:vAlign w:val="center"/>
            <w:hideMark/>
          </w:tcPr>
          <w:p w14:paraId="67613442" w14:textId="4D1B462B"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1,51 %</w:t>
            </w:r>
          </w:p>
        </w:tc>
        <w:tc>
          <w:tcPr>
            <w:tcW w:w="1076" w:type="dxa"/>
            <w:tcBorders>
              <w:top w:val="nil"/>
              <w:left w:val="nil"/>
              <w:bottom w:val="single" w:sz="4" w:space="0" w:color="auto"/>
              <w:right w:val="single" w:sz="4" w:space="0" w:color="auto"/>
            </w:tcBorders>
            <w:shd w:val="clear" w:color="auto" w:fill="auto"/>
            <w:noWrap/>
            <w:vAlign w:val="center"/>
            <w:hideMark/>
          </w:tcPr>
          <w:p w14:paraId="171EBAB2" w14:textId="35CDB05E"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0,76 %</w:t>
            </w:r>
          </w:p>
        </w:tc>
        <w:tc>
          <w:tcPr>
            <w:tcW w:w="1260" w:type="dxa"/>
            <w:tcBorders>
              <w:top w:val="nil"/>
              <w:left w:val="nil"/>
              <w:bottom w:val="single" w:sz="4" w:space="0" w:color="auto"/>
              <w:right w:val="single" w:sz="4" w:space="0" w:color="auto"/>
            </w:tcBorders>
            <w:shd w:val="clear" w:color="auto" w:fill="auto"/>
            <w:noWrap/>
            <w:vAlign w:val="center"/>
            <w:hideMark/>
          </w:tcPr>
          <w:p w14:paraId="10ECF5AA" w14:textId="5B1E9304" w:rsidR="00C37CF6" w:rsidRPr="00C37CF6" w:rsidRDefault="00C37CF6" w:rsidP="00C37CF6">
            <w:pPr>
              <w:spacing w:after="0" w:line="240" w:lineRule="auto"/>
              <w:jc w:val="right"/>
              <w:rPr>
                <w:rFonts w:ascii="Arial" w:eastAsia="Times New Roman" w:hAnsi="Arial" w:cs="Arial"/>
                <w:color w:val="000000" w:themeColor="text1"/>
                <w:sz w:val="18"/>
                <w:szCs w:val="18"/>
                <w:lang w:eastAsia="sl-SI"/>
              </w:rPr>
            </w:pPr>
            <w:r w:rsidRPr="00C37CF6">
              <w:rPr>
                <w:rFonts w:ascii="Arial" w:eastAsia="Times New Roman" w:hAnsi="Arial" w:cs="Arial"/>
                <w:color w:val="000000" w:themeColor="text1"/>
                <w:sz w:val="18"/>
                <w:szCs w:val="18"/>
                <w:lang w:eastAsia="sl-SI"/>
              </w:rPr>
              <w:t>2,49 %</w:t>
            </w:r>
          </w:p>
        </w:tc>
      </w:tr>
      <w:tr w:rsidR="00C37CF6" w:rsidRPr="00C37CF6" w14:paraId="3D7F5A8B" w14:textId="77777777" w:rsidTr="00C37CF6">
        <w:trPr>
          <w:trHeight w:val="255"/>
          <w:jc w:val="center"/>
        </w:trPr>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6CB001" w14:textId="77777777" w:rsidR="00C37CF6" w:rsidRPr="00C37CF6" w:rsidRDefault="00C37CF6" w:rsidP="00C37CF6">
            <w:pPr>
              <w:spacing w:after="0" w:line="240" w:lineRule="auto"/>
              <w:rPr>
                <w:rFonts w:ascii="Arial" w:eastAsia="Times New Roman" w:hAnsi="Arial" w:cs="Arial"/>
                <w:b/>
                <w:bCs/>
                <w:color w:val="000000" w:themeColor="text1"/>
                <w:sz w:val="18"/>
                <w:szCs w:val="18"/>
                <w:lang w:eastAsia="sl-SI"/>
              </w:rPr>
            </w:pPr>
            <w:r w:rsidRPr="00C37CF6">
              <w:rPr>
                <w:rFonts w:ascii="Arial" w:eastAsia="Times New Roman" w:hAnsi="Arial" w:cs="Arial"/>
                <w:b/>
                <w:bCs/>
                <w:color w:val="000000" w:themeColor="text1"/>
                <w:sz w:val="18"/>
                <w:szCs w:val="18"/>
                <w:lang w:eastAsia="sl-SI"/>
              </w:rPr>
              <w:t>Skupaj</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26A8CFD6" w14:textId="79F153F6" w:rsidR="00C37CF6" w:rsidRPr="00C37CF6" w:rsidRDefault="00C37CF6" w:rsidP="00C37CF6">
            <w:pPr>
              <w:spacing w:after="0" w:line="240" w:lineRule="auto"/>
              <w:jc w:val="right"/>
              <w:rPr>
                <w:rFonts w:ascii="Arial" w:eastAsia="Times New Roman" w:hAnsi="Arial" w:cs="Arial"/>
                <w:b/>
                <w:bCs/>
                <w:color w:val="000000" w:themeColor="text1"/>
                <w:sz w:val="18"/>
                <w:szCs w:val="18"/>
                <w:lang w:eastAsia="sl-SI"/>
              </w:rPr>
            </w:pPr>
            <w:r w:rsidRPr="00C37CF6">
              <w:rPr>
                <w:rFonts w:ascii="Arial" w:eastAsia="Times New Roman" w:hAnsi="Arial" w:cs="Arial"/>
                <w:b/>
                <w:bCs/>
                <w:color w:val="000000" w:themeColor="text1"/>
                <w:sz w:val="18"/>
                <w:szCs w:val="18"/>
                <w:lang w:eastAsia="sl-SI"/>
              </w:rPr>
              <w:t>7.150</w:t>
            </w:r>
          </w:p>
        </w:tc>
        <w:tc>
          <w:tcPr>
            <w:tcW w:w="833" w:type="dxa"/>
            <w:tcBorders>
              <w:top w:val="nil"/>
              <w:left w:val="nil"/>
              <w:bottom w:val="single" w:sz="4" w:space="0" w:color="auto"/>
              <w:right w:val="single" w:sz="4" w:space="0" w:color="auto"/>
            </w:tcBorders>
            <w:shd w:val="clear" w:color="auto" w:fill="F2F2F2" w:themeFill="background1" w:themeFillShade="F2"/>
            <w:noWrap/>
            <w:vAlign w:val="center"/>
            <w:hideMark/>
          </w:tcPr>
          <w:p w14:paraId="353A046F" w14:textId="3A6A345E" w:rsidR="00C37CF6" w:rsidRPr="00C37CF6" w:rsidRDefault="00C37CF6" w:rsidP="00C37CF6">
            <w:pPr>
              <w:spacing w:after="0" w:line="240" w:lineRule="auto"/>
              <w:jc w:val="right"/>
              <w:rPr>
                <w:rFonts w:ascii="Arial" w:eastAsia="Times New Roman" w:hAnsi="Arial" w:cs="Arial"/>
                <w:b/>
                <w:bCs/>
                <w:color w:val="000000" w:themeColor="text1"/>
                <w:sz w:val="18"/>
                <w:szCs w:val="18"/>
                <w:lang w:eastAsia="sl-SI"/>
              </w:rPr>
            </w:pPr>
            <w:r w:rsidRPr="00C37CF6">
              <w:rPr>
                <w:rFonts w:ascii="Arial" w:eastAsia="Times New Roman" w:hAnsi="Arial" w:cs="Arial"/>
                <w:b/>
                <w:bCs/>
                <w:color w:val="000000" w:themeColor="text1"/>
                <w:sz w:val="18"/>
                <w:szCs w:val="18"/>
                <w:lang w:eastAsia="sl-SI"/>
              </w:rPr>
              <w:t>16.824</w:t>
            </w:r>
          </w:p>
        </w:tc>
        <w:tc>
          <w:tcPr>
            <w:tcW w:w="13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DC8D8F0" w14:textId="052E033C" w:rsidR="00C37CF6" w:rsidRPr="00C37CF6" w:rsidRDefault="00C37CF6" w:rsidP="00C37CF6">
            <w:pPr>
              <w:spacing w:after="0" w:line="240" w:lineRule="auto"/>
              <w:jc w:val="right"/>
              <w:rPr>
                <w:rFonts w:ascii="Arial" w:eastAsia="Times New Roman" w:hAnsi="Arial" w:cs="Arial"/>
                <w:b/>
                <w:bCs/>
                <w:color w:val="000000" w:themeColor="text1"/>
                <w:sz w:val="18"/>
                <w:szCs w:val="18"/>
                <w:lang w:eastAsia="sl-SI"/>
              </w:rPr>
            </w:pPr>
            <w:r w:rsidRPr="00C37CF6">
              <w:rPr>
                <w:rFonts w:ascii="Arial" w:eastAsia="Times New Roman" w:hAnsi="Arial" w:cs="Arial"/>
                <w:b/>
                <w:bCs/>
                <w:color w:val="000000" w:themeColor="text1"/>
                <w:sz w:val="18"/>
                <w:szCs w:val="18"/>
                <w:lang w:eastAsia="sl-SI"/>
              </w:rPr>
              <w:t>6.232.250.969</w:t>
            </w:r>
          </w:p>
        </w:tc>
        <w:tc>
          <w:tcPr>
            <w:tcW w:w="12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D373505" w14:textId="385BC381" w:rsidR="00C37CF6" w:rsidRPr="00C37CF6" w:rsidRDefault="00C37CF6" w:rsidP="00C37CF6">
            <w:pPr>
              <w:spacing w:after="0" w:line="240" w:lineRule="auto"/>
              <w:jc w:val="right"/>
              <w:rPr>
                <w:rFonts w:ascii="Arial" w:eastAsia="Times New Roman" w:hAnsi="Arial" w:cs="Arial"/>
                <w:b/>
                <w:bCs/>
                <w:color w:val="000000" w:themeColor="text1"/>
                <w:sz w:val="18"/>
                <w:szCs w:val="18"/>
                <w:lang w:eastAsia="sl-SI"/>
              </w:rPr>
            </w:pPr>
            <w:r w:rsidRPr="00C37CF6">
              <w:rPr>
                <w:rFonts w:ascii="Arial" w:eastAsia="Times New Roman" w:hAnsi="Arial" w:cs="Arial"/>
                <w:b/>
                <w:bCs/>
                <w:color w:val="000000" w:themeColor="text1"/>
                <w:sz w:val="18"/>
                <w:szCs w:val="18"/>
                <w:lang w:eastAsia="sl-SI"/>
              </w:rPr>
              <w:t>100,00 %</w:t>
            </w:r>
          </w:p>
        </w:tc>
        <w:tc>
          <w:tcPr>
            <w:tcW w:w="1076" w:type="dxa"/>
            <w:tcBorders>
              <w:top w:val="nil"/>
              <w:left w:val="nil"/>
              <w:bottom w:val="single" w:sz="4" w:space="0" w:color="auto"/>
              <w:right w:val="single" w:sz="4" w:space="0" w:color="auto"/>
            </w:tcBorders>
            <w:shd w:val="clear" w:color="auto" w:fill="F2F2F2" w:themeFill="background1" w:themeFillShade="F2"/>
            <w:noWrap/>
            <w:vAlign w:val="center"/>
            <w:hideMark/>
          </w:tcPr>
          <w:p w14:paraId="79F9E5BE" w14:textId="3978D303" w:rsidR="00C37CF6" w:rsidRPr="00C37CF6" w:rsidRDefault="00C37CF6" w:rsidP="00C37CF6">
            <w:pPr>
              <w:spacing w:after="0" w:line="240" w:lineRule="auto"/>
              <w:jc w:val="right"/>
              <w:rPr>
                <w:rFonts w:ascii="Arial" w:eastAsia="Times New Roman" w:hAnsi="Arial" w:cs="Arial"/>
                <w:b/>
                <w:bCs/>
                <w:color w:val="000000" w:themeColor="text1"/>
                <w:sz w:val="18"/>
                <w:szCs w:val="18"/>
                <w:lang w:eastAsia="sl-SI"/>
              </w:rPr>
            </w:pPr>
            <w:r w:rsidRPr="00C37CF6">
              <w:rPr>
                <w:rFonts w:ascii="Arial" w:eastAsia="Times New Roman" w:hAnsi="Arial" w:cs="Arial"/>
                <w:b/>
                <w:bCs/>
                <w:color w:val="000000" w:themeColor="text1"/>
                <w:sz w:val="18"/>
                <w:szCs w:val="18"/>
                <w:lang w:eastAsia="sl-SI"/>
              </w:rPr>
              <w:t>100,00 %</w:t>
            </w:r>
          </w:p>
        </w:tc>
        <w:tc>
          <w:tcPr>
            <w:tcW w:w="1260" w:type="dxa"/>
            <w:tcBorders>
              <w:top w:val="nil"/>
              <w:left w:val="nil"/>
              <w:bottom w:val="single" w:sz="4" w:space="0" w:color="auto"/>
              <w:right w:val="single" w:sz="4" w:space="0" w:color="auto"/>
            </w:tcBorders>
            <w:shd w:val="clear" w:color="auto" w:fill="F2F2F2" w:themeFill="background1" w:themeFillShade="F2"/>
            <w:noWrap/>
            <w:vAlign w:val="center"/>
            <w:hideMark/>
          </w:tcPr>
          <w:p w14:paraId="02EF9DA4" w14:textId="25E3E650" w:rsidR="00C37CF6" w:rsidRPr="00C37CF6" w:rsidRDefault="00C37CF6" w:rsidP="00C37CF6">
            <w:pPr>
              <w:spacing w:after="0" w:line="240" w:lineRule="auto"/>
              <w:jc w:val="right"/>
              <w:rPr>
                <w:rFonts w:ascii="Arial" w:eastAsia="Times New Roman" w:hAnsi="Arial" w:cs="Arial"/>
                <w:b/>
                <w:bCs/>
                <w:color w:val="000000" w:themeColor="text1"/>
                <w:sz w:val="18"/>
                <w:szCs w:val="18"/>
                <w:lang w:eastAsia="sl-SI"/>
              </w:rPr>
            </w:pPr>
            <w:r w:rsidRPr="00C37CF6">
              <w:rPr>
                <w:rFonts w:ascii="Arial" w:eastAsia="Times New Roman" w:hAnsi="Arial" w:cs="Arial"/>
                <w:b/>
                <w:bCs/>
                <w:color w:val="000000" w:themeColor="text1"/>
                <w:sz w:val="18"/>
                <w:szCs w:val="18"/>
                <w:lang w:eastAsia="sl-SI"/>
              </w:rPr>
              <w:t>99,99 %</w:t>
            </w:r>
          </w:p>
        </w:tc>
      </w:tr>
    </w:tbl>
    <w:p w14:paraId="04275715" w14:textId="77777777" w:rsidR="007A3DD6" w:rsidRPr="00C37CF6" w:rsidRDefault="007A3DD6" w:rsidP="00D907DA">
      <w:pPr>
        <w:shd w:val="clear" w:color="auto" w:fill="FFFFFF"/>
        <w:spacing w:after="0" w:line="240" w:lineRule="auto"/>
        <w:ind w:left="181"/>
        <w:jc w:val="center"/>
        <w:rPr>
          <w:rFonts w:ascii="Arial" w:hAnsi="Arial" w:cs="Arial"/>
          <w:noProof/>
          <w:color w:val="000000" w:themeColor="text1"/>
          <w:sz w:val="18"/>
          <w:szCs w:val="18"/>
          <w:lang w:eastAsia="sl-SI"/>
        </w:rPr>
      </w:pPr>
    </w:p>
    <w:p w14:paraId="76843971" w14:textId="6C74E377" w:rsidR="00D907DA" w:rsidRPr="005A661C" w:rsidRDefault="00D907DA" w:rsidP="00701C10">
      <w:pPr>
        <w:spacing w:after="240" w:line="240" w:lineRule="auto"/>
        <w:jc w:val="center"/>
        <w:rPr>
          <w:rFonts w:ascii="Arial" w:hAnsi="Arial" w:cs="Arial"/>
          <w:color w:val="000000" w:themeColor="text1"/>
          <w:sz w:val="18"/>
        </w:rPr>
      </w:pPr>
      <w:r w:rsidRPr="005A661C">
        <w:rPr>
          <w:rFonts w:ascii="Arial" w:hAnsi="Arial" w:cs="Arial"/>
          <w:color w:val="000000" w:themeColor="text1"/>
          <w:sz w:val="18"/>
        </w:rPr>
        <w:t>Vir: Statistični podatki o javnih naročilih, oddanih v let</w:t>
      </w:r>
      <w:r w:rsidR="009010CD" w:rsidRPr="005A661C">
        <w:rPr>
          <w:rFonts w:ascii="Arial" w:hAnsi="Arial" w:cs="Arial"/>
          <w:color w:val="000000" w:themeColor="text1"/>
          <w:sz w:val="18"/>
        </w:rPr>
        <w:t>u 20</w:t>
      </w:r>
      <w:r w:rsidR="00615804" w:rsidRPr="005A661C">
        <w:rPr>
          <w:rFonts w:ascii="Arial" w:hAnsi="Arial" w:cs="Arial"/>
          <w:color w:val="000000" w:themeColor="text1"/>
          <w:sz w:val="18"/>
        </w:rPr>
        <w:t>2</w:t>
      </w:r>
      <w:r w:rsidR="006F77AD" w:rsidRPr="005A661C">
        <w:rPr>
          <w:rFonts w:ascii="Arial" w:hAnsi="Arial" w:cs="Arial"/>
          <w:color w:val="000000" w:themeColor="text1"/>
          <w:sz w:val="18"/>
        </w:rPr>
        <w:t>3</w:t>
      </w:r>
      <w:r w:rsidR="00AA31A7" w:rsidRPr="005A661C">
        <w:rPr>
          <w:rFonts w:ascii="Arial" w:hAnsi="Arial" w:cs="Arial"/>
          <w:color w:val="000000" w:themeColor="text1"/>
          <w:sz w:val="18"/>
        </w:rPr>
        <w:t>.</w:t>
      </w:r>
    </w:p>
    <w:p w14:paraId="6413B296" w14:textId="53327784" w:rsidR="001409E3" w:rsidRPr="005A661C" w:rsidRDefault="001409E3" w:rsidP="003D6614">
      <w:pPr>
        <w:pStyle w:val="Naslov3"/>
      </w:pPr>
      <w:bookmarkStart w:id="12" w:name="_Toc175563849"/>
      <w:r w:rsidRPr="005A661C">
        <w:t>2.2.1 Naročila, objavljena le na portalu ja</w:t>
      </w:r>
      <w:r w:rsidR="00B83352" w:rsidRPr="005A661C">
        <w:t>vnih naročil</w:t>
      </w:r>
      <w:bookmarkEnd w:id="12"/>
    </w:p>
    <w:p w14:paraId="62B71DF3" w14:textId="77777777" w:rsidR="00854405" w:rsidRPr="005A661C" w:rsidRDefault="00854405" w:rsidP="00854405">
      <w:pPr>
        <w:pStyle w:val="ZADEVA"/>
        <w:jc w:val="both"/>
        <w:rPr>
          <w:rFonts w:cs="Arial"/>
          <w:b w:val="0"/>
          <w:color w:val="FF0000"/>
          <w:szCs w:val="20"/>
          <w:lang w:val="sl-SI"/>
        </w:rPr>
      </w:pPr>
    </w:p>
    <w:p w14:paraId="194C6680" w14:textId="4B50C0E4" w:rsidR="00EC3CE9" w:rsidRPr="005A661C" w:rsidRDefault="001D4A09" w:rsidP="007D3FD7">
      <w:pPr>
        <w:tabs>
          <w:tab w:val="left" w:pos="567"/>
          <w:tab w:val="left" w:pos="993"/>
        </w:tabs>
        <w:spacing w:line="360" w:lineRule="auto"/>
        <w:jc w:val="both"/>
        <w:rPr>
          <w:rFonts w:ascii="Arial" w:hAnsi="Arial" w:cs="Arial"/>
          <w:bCs/>
          <w:color w:val="000000" w:themeColor="text1"/>
          <w:sz w:val="20"/>
          <w:szCs w:val="20"/>
        </w:rPr>
      </w:pPr>
      <w:r w:rsidRPr="005A661C">
        <w:rPr>
          <w:rFonts w:ascii="Arial" w:hAnsi="Arial" w:cs="Arial"/>
          <w:bCs/>
          <w:color w:val="000000" w:themeColor="text1"/>
          <w:sz w:val="20"/>
          <w:szCs w:val="20"/>
        </w:rPr>
        <w:t>Med naročili, ki so jih naročniki let</w:t>
      </w:r>
      <w:r w:rsidR="00BD6B05" w:rsidRPr="005A661C">
        <w:rPr>
          <w:rFonts w:ascii="Arial" w:hAnsi="Arial" w:cs="Arial"/>
          <w:bCs/>
          <w:color w:val="000000" w:themeColor="text1"/>
          <w:sz w:val="20"/>
          <w:szCs w:val="20"/>
        </w:rPr>
        <w:t>a</w:t>
      </w:r>
      <w:r w:rsidRPr="005A661C">
        <w:rPr>
          <w:rFonts w:ascii="Arial" w:hAnsi="Arial" w:cs="Arial"/>
          <w:bCs/>
          <w:color w:val="000000" w:themeColor="text1"/>
          <w:sz w:val="20"/>
          <w:szCs w:val="20"/>
        </w:rPr>
        <w:t xml:space="preserve"> 20</w:t>
      </w:r>
      <w:r w:rsidR="00D377A2" w:rsidRPr="005A661C">
        <w:rPr>
          <w:rFonts w:ascii="Arial" w:hAnsi="Arial" w:cs="Arial"/>
          <w:bCs/>
          <w:color w:val="000000" w:themeColor="text1"/>
          <w:sz w:val="20"/>
          <w:szCs w:val="20"/>
        </w:rPr>
        <w:t>2</w:t>
      </w:r>
      <w:r w:rsidR="003A37C4" w:rsidRPr="005A661C">
        <w:rPr>
          <w:rFonts w:ascii="Arial" w:hAnsi="Arial" w:cs="Arial"/>
          <w:bCs/>
          <w:color w:val="000000" w:themeColor="text1"/>
          <w:sz w:val="20"/>
          <w:szCs w:val="20"/>
        </w:rPr>
        <w:t>3</w:t>
      </w:r>
      <w:r w:rsidRPr="005A661C">
        <w:rPr>
          <w:rFonts w:ascii="Arial" w:hAnsi="Arial" w:cs="Arial"/>
          <w:bCs/>
          <w:color w:val="000000" w:themeColor="text1"/>
          <w:sz w:val="20"/>
          <w:szCs w:val="20"/>
        </w:rPr>
        <w:t xml:space="preserve"> objavili na portalu javnih naročil, </w:t>
      </w:r>
      <w:r w:rsidR="00AA7070" w:rsidRPr="005A661C">
        <w:rPr>
          <w:rFonts w:ascii="Arial" w:hAnsi="Arial" w:cs="Arial"/>
          <w:bCs/>
          <w:color w:val="000000" w:themeColor="text1"/>
          <w:sz w:val="20"/>
          <w:szCs w:val="20"/>
        </w:rPr>
        <w:t>števi</w:t>
      </w:r>
      <w:r w:rsidR="00B63B35" w:rsidRPr="005A661C">
        <w:rPr>
          <w:rFonts w:ascii="Arial" w:hAnsi="Arial" w:cs="Arial"/>
          <w:bCs/>
          <w:color w:val="000000" w:themeColor="text1"/>
          <w:sz w:val="20"/>
          <w:szCs w:val="20"/>
        </w:rPr>
        <w:t>l</w:t>
      </w:r>
      <w:r w:rsidR="00AA7070" w:rsidRPr="005A661C">
        <w:rPr>
          <w:rFonts w:ascii="Arial" w:hAnsi="Arial" w:cs="Arial"/>
          <w:bCs/>
          <w:color w:val="000000" w:themeColor="text1"/>
          <w:sz w:val="20"/>
          <w:szCs w:val="20"/>
        </w:rPr>
        <w:t xml:space="preserve">čno </w:t>
      </w:r>
      <w:r w:rsidRPr="005A661C">
        <w:rPr>
          <w:rFonts w:ascii="Arial" w:hAnsi="Arial" w:cs="Arial"/>
          <w:bCs/>
          <w:color w:val="000000" w:themeColor="text1"/>
          <w:sz w:val="20"/>
          <w:szCs w:val="20"/>
        </w:rPr>
        <w:t>prevladujejo naročila blaga</w:t>
      </w:r>
      <w:r w:rsidR="00AA7070" w:rsidRPr="005A661C">
        <w:rPr>
          <w:rFonts w:ascii="Arial" w:hAnsi="Arial" w:cs="Arial"/>
          <w:bCs/>
          <w:color w:val="000000" w:themeColor="text1"/>
          <w:sz w:val="20"/>
          <w:szCs w:val="20"/>
        </w:rPr>
        <w:t xml:space="preserve"> </w:t>
      </w:r>
      <w:r w:rsidR="00CF61BC" w:rsidRPr="005A661C">
        <w:rPr>
          <w:rFonts w:ascii="Arial" w:hAnsi="Arial" w:cs="Arial"/>
          <w:bCs/>
          <w:color w:val="000000" w:themeColor="text1"/>
          <w:sz w:val="20"/>
          <w:szCs w:val="20"/>
        </w:rPr>
        <w:t>z</w:t>
      </w:r>
      <w:r w:rsidRPr="005A661C">
        <w:rPr>
          <w:rFonts w:ascii="Arial" w:hAnsi="Arial" w:cs="Arial"/>
          <w:bCs/>
          <w:color w:val="000000" w:themeColor="text1"/>
          <w:sz w:val="20"/>
          <w:szCs w:val="20"/>
        </w:rPr>
        <w:t xml:space="preserve"> </w:t>
      </w:r>
      <w:r w:rsidR="0037287C" w:rsidRPr="005A661C">
        <w:rPr>
          <w:rFonts w:ascii="Arial" w:hAnsi="Arial" w:cs="Arial"/>
          <w:bCs/>
          <w:color w:val="000000" w:themeColor="text1"/>
          <w:sz w:val="20"/>
          <w:szCs w:val="20"/>
        </w:rPr>
        <w:t>4</w:t>
      </w:r>
      <w:r w:rsidR="00E7130F" w:rsidRPr="005A661C">
        <w:rPr>
          <w:rFonts w:ascii="Arial" w:hAnsi="Arial" w:cs="Arial"/>
          <w:bCs/>
          <w:color w:val="000000" w:themeColor="text1"/>
          <w:sz w:val="20"/>
          <w:szCs w:val="20"/>
        </w:rPr>
        <w:t>8,</w:t>
      </w:r>
      <w:r w:rsidR="003A37C4" w:rsidRPr="005A661C">
        <w:rPr>
          <w:rFonts w:ascii="Arial" w:hAnsi="Arial" w:cs="Arial"/>
          <w:bCs/>
          <w:color w:val="000000" w:themeColor="text1"/>
          <w:sz w:val="20"/>
          <w:szCs w:val="20"/>
        </w:rPr>
        <w:t>4</w:t>
      </w:r>
      <w:r w:rsidR="005A661C" w:rsidRPr="005A661C">
        <w:rPr>
          <w:rFonts w:ascii="Arial" w:hAnsi="Arial" w:cs="Arial"/>
          <w:bCs/>
          <w:color w:val="000000" w:themeColor="text1"/>
          <w:sz w:val="20"/>
          <w:szCs w:val="20"/>
        </w:rPr>
        <w:t>4</w:t>
      </w:r>
      <w:r w:rsidR="00AA31A7" w:rsidRPr="005A661C">
        <w:rPr>
          <w:rFonts w:ascii="Arial" w:hAnsi="Arial" w:cs="Arial"/>
          <w:bCs/>
          <w:color w:val="000000" w:themeColor="text1"/>
          <w:sz w:val="20"/>
          <w:szCs w:val="20"/>
        </w:rPr>
        <w:t> </w:t>
      </w:r>
      <w:r w:rsidR="00AC0027" w:rsidRPr="005A661C">
        <w:rPr>
          <w:rFonts w:ascii="Arial" w:hAnsi="Arial" w:cs="Arial"/>
          <w:bCs/>
          <w:color w:val="000000" w:themeColor="text1"/>
          <w:sz w:val="20"/>
          <w:szCs w:val="20"/>
        </w:rPr>
        <w:t>odstotka</w:t>
      </w:r>
      <w:r w:rsidRPr="005A661C">
        <w:rPr>
          <w:rFonts w:ascii="Arial" w:hAnsi="Arial" w:cs="Arial"/>
          <w:bCs/>
          <w:color w:val="000000" w:themeColor="text1"/>
          <w:sz w:val="20"/>
          <w:szCs w:val="20"/>
        </w:rPr>
        <w:t xml:space="preserve"> vseh naročil, objavljen</w:t>
      </w:r>
      <w:r w:rsidR="00C00704" w:rsidRPr="005A661C">
        <w:rPr>
          <w:rFonts w:ascii="Arial" w:hAnsi="Arial" w:cs="Arial"/>
          <w:bCs/>
          <w:color w:val="000000" w:themeColor="text1"/>
          <w:sz w:val="20"/>
          <w:szCs w:val="20"/>
        </w:rPr>
        <w:t>ih le na portalu javnih naročil</w:t>
      </w:r>
      <w:r w:rsidRPr="005A661C">
        <w:rPr>
          <w:rFonts w:ascii="Arial" w:hAnsi="Arial" w:cs="Arial"/>
          <w:bCs/>
          <w:color w:val="000000" w:themeColor="text1"/>
          <w:sz w:val="20"/>
          <w:szCs w:val="20"/>
        </w:rPr>
        <w:t xml:space="preserve">, vrednostno pa </w:t>
      </w:r>
      <w:r w:rsidR="00BD6B05" w:rsidRPr="005A661C">
        <w:rPr>
          <w:rFonts w:ascii="Arial" w:hAnsi="Arial" w:cs="Arial"/>
          <w:bCs/>
          <w:color w:val="000000" w:themeColor="text1"/>
          <w:sz w:val="20"/>
          <w:szCs w:val="20"/>
        </w:rPr>
        <w:t xml:space="preserve">pomenijo </w:t>
      </w:r>
      <w:r w:rsidR="003A37C4" w:rsidRPr="005A661C">
        <w:rPr>
          <w:rFonts w:ascii="Arial" w:hAnsi="Arial" w:cs="Arial"/>
          <w:bCs/>
          <w:color w:val="000000" w:themeColor="text1"/>
          <w:sz w:val="20"/>
          <w:szCs w:val="20"/>
        </w:rPr>
        <w:t>20,5</w:t>
      </w:r>
      <w:r w:rsidR="005A661C" w:rsidRPr="005A661C">
        <w:rPr>
          <w:rFonts w:ascii="Arial" w:hAnsi="Arial" w:cs="Arial"/>
          <w:bCs/>
          <w:color w:val="000000" w:themeColor="text1"/>
          <w:sz w:val="20"/>
          <w:szCs w:val="20"/>
        </w:rPr>
        <w:t>3</w:t>
      </w:r>
      <w:r w:rsidR="00AA31A7" w:rsidRPr="005A661C">
        <w:rPr>
          <w:rFonts w:ascii="Arial" w:hAnsi="Arial" w:cs="Arial"/>
          <w:bCs/>
          <w:color w:val="000000" w:themeColor="text1"/>
          <w:sz w:val="20"/>
          <w:szCs w:val="20"/>
        </w:rPr>
        <w:t> </w:t>
      </w:r>
      <w:r w:rsidR="00AC0027" w:rsidRPr="005A661C">
        <w:rPr>
          <w:rFonts w:ascii="Arial" w:hAnsi="Arial" w:cs="Arial"/>
          <w:bCs/>
          <w:color w:val="000000" w:themeColor="text1"/>
          <w:sz w:val="20"/>
          <w:szCs w:val="20"/>
        </w:rPr>
        <w:t>odstotka</w:t>
      </w:r>
      <w:r w:rsidR="007D3FD7" w:rsidRPr="005A661C">
        <w:rPr>
          <w:rFonts w:ascii="Arial" w:hAnsi="Arial" w:cs="Arial"/>
          <w:bCs/>
          <w:color w:val="000000" w:themeColor="text1"/>
          <w:sz w:val="20"/>
          <w:szCs w:val="20"/>
        </w:rPr>
        <w:t xml:space="preserve"> vseh naročil. </w:t>
      </w:r>
    </w:p>
    <w:p w14:paraId="3DBE598B" w14:textId="0528E639" w:rsidR="007B4106" w:rsidRPr="005A661C" w:rsidRDefault="007B4106" w:rsidP="001F2B2F">
      <w:pPr>
        <w:spacing w:before="120" w:after="120" w:line="240" w:lineRule="auto"/>
        <w:jc w:val="both"/>
        <w:rPr>
          <w:rFonts w:ascii="Arial" w:hAnsi="Arial" w:cs="Arial"/>
          <w:color w:val="000000" w:themeColor="text1"/>
          <w:sz w:val="20"/>
        </w:rPr>
      </w:pPr>
      <w:r w:rsidRPr="005A661C">
        <w:rPr>
          <w:rFonts w:ascii="Arial" w:hAnsi="Arial" w:cs="Arial"/>
          <w:color w:val="000000" w:themeColor="text1"/>
          <w:sz w:val="20"/>
        </w:rPr>
        <w:t xml:space="preserve">Preglednica </w:t>
      </w:r>
      <w:r w:rsidR="00EB4423" w:rsidRPr="005A661C">
        <w:rPr>
          <w:rFonts w:ascii="Arial" w:hAnsi="Arial" w:cs="Arial"/>
          <w:color w:val="000000" w:themeColor="text1"/>
          <w:sz w:val="20"/>
        </w:rPr>
        <w:t>4</w:t>
      </w:r>
      <w:r w:rsidRPr="005A661C">
        <w:rPr>
          <w:rFonts w:ascii="Arial" w:hAnsi="Arial" w:cs="Arial"/>
          <w:color w:val="000000" w:themeColor="text1"/>
          <w:sz w:val="20"/>
        </w:rPr>
        <w:t>: Vrednost, število in deleži javnih naročil, objavljenih le na portalu javnih naročil</w:t>
      </w:r>
      <w:r w:rsidR="00CC14BB" w:rsidRPr="005A661C">
        <w:rPr>
          <w:rFonts w:ascii="Arial" w:hAnsi="Arial" w:cs="Arial"/>
          <w:color w:val="000000" w:themeColor="text1"/>
          <w:sz w:val="20"/>
        </w:rPr>
        <w:t>,</w:t>
      </w:r>
      <w:r w:rsidRPr="005A661C">
        <w:rPr>
          <w:rFonts w:ascii="Arial" w:hAnsi="Arial" w:cs="Arial"/>
          <w:color w:val="000000" w:themeColor="text1"/>
          <w:sz w:val="20"/>
        </w:rPr>
        <w:t xml:space="preserve"> </w:t>
      </w:r>
      <w:r w:rsidR="00116B76" w:rsidRPr="005A661C">
        <w:rPr>
          <w:rFonts w:ascii="Arial" w:hAnsi="Arial" w:cs="Arial"/>
          <w:color w:val="000000" w:themeColor="text1"/>
          <w:sz w:val="20"/>
        </w:rPr>
        <w:t xml:space="preserve">po </w:t>
      </w:r>
      <w:r w:rsidR="00D05AA7" w:rsidRPr="005A661C">
        <w:rPr>
          <w:rFonts w:ascii="Arial" w:hAnsi="Arial" w:cs="Arial"/>
          <w:color w:val="000000" w:themeColor="text1"/>
          <w:sz w:val="20"/>
        </w:rPr>
        <w:t>predmet</w:t>
      </w:r>
      <w:r w:rsidR="00116B76" w:rsidRPr="005A661C">
        <w:rPr>
          <w:rFonts w:ascii="Arial" w:hAnsi="Arial" w:cs="Arial"/>
          <w:color w:val="000000" w:themeColor="text1"/>
          <w:sz w:val="20"/>
        </w:rPr>
        <w:t>ih</w:t>
      </w:r>
      <w:r w:rsidR="00D05AA7" w:rsidRPr="005A661C">
        <w:rPr>
          <w:rFonts w:ascii="Arial" w:hAnsi="Arial" w:cs="Arial"/>
          <w:color w:val="000000" w:themeColor="text1"/>
          <w:sz w:val="20"/>
        </w:rPr>
        <w:t xml:space="preserve"> naročanja</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1"/>
        <w:gridCol w:w="1370"/>
        <w:gridCol w:w="1755"/>
        <w:gridCol w:w="1370"/>
        <w:gridCol w:w="1370"/>
      </w:tblGrid>
      <w:tr w:rsidR="0061601B" w:rsidRPr="005A661C" w14:paraId="23B57466" w14:textId="77777777" w:rsidTr="00DB3AA6">
        <w:trPr>
          <w:trHeight w:val="255"/>
          <w:jc w:val="center"/>
        </w:trPr>
        <w:tc>
          <w:tcPr>
            <w:tcW w:w="1181" w:type="dxa"/>
            <w:shd w:val="clear" w:color="auto" w:fill="F2F2F2" w:themeFill="background1" w:themeFillShade="F2"/>
            <w:vAlign w:val="center"/>
            <w:hideMark/>
          </w:tcPr>
          <w:p w14:paraId="3D790340" w14:textId="77777777" w:rsidR="00BB70C3" w:rsidRPr="005A661C" w:rsidRDefault="00BB70C3" w:rsidP="001F2B2F">
            <w:pPr>
              <w:spacing w:after="0" w:line="240" w:lineRule="auto"/>
              <w:jc w:val="center"/>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 xml:space="preserve">Predmet </w:t>
            </w:r>
          </w:p>
        </w:tc>
        <w:tc>
          <w:tcPr>
            <w:tcW w:w="1370" w:type="dxa"/>
            <w:shd w:val="clear" w:color="auto" w:fill="F2F2F2" w:themeFill="background1" w:themeFillShade="F2"/>
            <w:vAlign w:val="center"/>
            <w:hideMark/>
          </w:tcPr>
          <w:p w14:paraId="667E701C" w14:textId="77777777" w:rsidR="00BB70C3" w:rsidRPr="005A661C" w:rsidRDefault="00BB70C3" w:rsidP="001F2B2F">
            <w:pPr>
              <w:spacing w:after="0" w:line="240" w:lineRule="auto"/>
              <w:jc w:val="center"/>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Št. naročil</w:t>
            </w:r>
          </w:p>
        </w:tc>
        <w:tc>
          <w:tcPr>
            <w:tcW w:w="1755" w:type="dxa"/>
            <w:shd w:val="clear" w:color="auto" w:fill="F2F2F2" w:themeFill="background1" w:themeFillShade="F2"/>
            <w:vAlign w:val="center"/>
            <w:hideMark/>
          </w:tcPr>
          <w:p w14:paraId="1B9FD56A" w14:textId="334EA978" w:rsidR="00BB70C3" w:rsidRPr="005A661C" w:rsidRDefault="00BB70C3" w:rsidP="001F2B2F">
            <w:pPr>
              <w:spacing w:after="0" w:line="240" w:lineRule="auto"/>
              <w:jc w:val="center"/>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Pogodbena vrednost</w:t>
            </w:r>
            <w:r w:rsidR="00BA058B" w:rsidRPr="005A661C">
              <w:rPr>
                <w:rFonts w:ascii="Arial" w:eastAsia="Times New Roman" w:hAnsi="Arial" w:cs="Arial"/>
                <w:color w:val="000000" w:themeColor="text1"/>
                <w:sz w:val="18"/>
                <w:szCs w:val="18"/>
                <w:lang w:eastAsia="sl-SI"/>
              </w:rPr>
              <w:t xml:space="preserve"> (v EUR)</w:t>
            </w:r>
          </w:p>
        </w:tc>
        <w:tc>
          <w:tcPr>
            <w:tcW w:w="1370" w:type="dxa"/>
            <w:shd w:val="clear" w:color="auto" w:fill="F2F2F2" w:themeFill="background1" w:themeFillShade="F2"/>
            <w:vAlign w:val="center"/>
            <w:hideMark/>
          </w:tcPr>
          <w:p w14:paraId="5DCB04EB" w14:textId="77777777" w:rsidR="00BB70C3" w:rsidRPr="005A661C" w:rsidRDefault="00BB70C3" w:rsidP="001F2B2F">
            <w:pPr>
              <w:spacing w:after="0" w:line="240" w:lineRule="auto"/>
              <w:jc w:val="center"/>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Delež v št. naročil</w:t>
            </w:r>
          </w:p>
        </w:tc>
        <w:tc>
          <w:tcPr>
            <w:tcW w:w="1370" w:type="dxa"/>
            <w:shd w:val="clear" w:color="auto" w:fill="F2F2F2" w:themeFill="background1" w:themeFillShade="F2"/>
            <w:vAlign w:val="center"/>
            <w:hideMark/>
          </w:tcPr>
          <w:p w14:paraId="50889B2A" w14:textId="77777777" w:rsidR="00BB70C3" w:rsidRPr="005A661C" w:rsidRDefault="00BB70C3" w:rsidP="001F2B2F">
            <w:pPr>
              <w:spacing w:after="0" w:line="240" w:lineRule="auto"/>
              <w:jc w:val="center"/>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Delež v vrednosti</w:t>
            </w:r>
          </w:p>
        </w:tc>
      </w:tr>
      <w:tr w:rsidR="005A661C" w:rsidRPr="005A661C" w14:paraId="7EA0ABBC" w14:textId="77777777" w:rsidTr="005A661C">
        <w:trPr>
          <w:trHeight w:val="255"/>
          <w:jc w:val="center"/>
        </w:trPr>
        <w:tc>
          <w:tcPr>
            <w:tcW w:w="1181" w:type="dxa"/>
            <w:shd w:val="clear" w:color="auto" w:fill="auto"/>
            <w:vAlign w:val="center"/>
            <w:hideMark/>
          </w:tcPr>
          <w:p w14:paraId="033F343E" w14:textId="77777777" w:rsidR="005A661C" w:rsidRPr="005A661C" w:rsidRDefault="005A661C" w:rsidP="005A661C">
            <w:pPr>
              <w:spacing w:after="0" w:line="240" w:lineRule="auto"/>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Blago</w:t>
            </w:r>
          </w:p>
        </w:tc>
        <w:tc>
          <w:tcPr>
            <w:tcW w:w="1370" w:type="dxa"/>
            <w:shd w:val="clear" w:color="auto" w:fill="auto"/>
            <w:vAlign w:val="center"/>
            <w:hideMark/>
          </w:tcPr>
          <w:p w14:paraId="2AC3D111" w14:textId="62FB0824"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3.354</w:t>
            </w:r>
          </w:p>
        </w:tc>
        <w:tc>
          <w:tcPr>
            <w:tcW w:w="1755" w:type="dxa"/>
            <w:shd w:val="clear" w:color="auto" w:fill="auto"/>
            <w:vAlign w:val="center"/>
            <w:hideMark/>
          </w:tcPr>
          <w:p w14:paraId="353848E7" w14:textId="2A2E2C3D"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197.321.307</w:t>
            </w:r>
          </w:p>
        </w:tc>
        <w:tc>
          <w:tcPr>
            <w:tcW w:w="1370" w:type="dxa"/>
            <w:shd w:val="clear" w:color="auto" w:fill="auto"/>
            <w:vAlign w:val="center"/>
            <w:hideMark/>
          </w:tcPr>
          <w:p w14:paraId="4B519A96" w14:textId="5FE22DBC"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48,44 %</w:t>
            </w:r>
          </w:p>
        </w:tc>
        <w:tc>
          <w:tcPr>
            <w:tcW w:w="1370" w:type="dxa"/>
            <w:shd w:val="clear" w:color="auto" w:fill="auto"/>
            <w:vAlign w:val="center"/>
            <w:hideMark/>
          </w:tcPr>
          <w:p w14:paraId="14A45013" w14:textId="6B2C3F86"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20,53 %</w:t>
            </w:r>
          </w:p>
        </w:tc>
      </w:tr>
      <w:tr w:rsidR="005A661C" w:rsidRPr="005A661C" w14:paraId="2C8124F5" w14:textId="77777777" w:rsidTr="005A661C">
        <w:trPr>
          <w:trHeight w:val="255"/>
          <w:jc w:val="center"/>
        </w:trPr>
        <w:tc>
          <w:tcPr>
            <w:tcW w:w="1181" w:type="dxa"/>
            <w:shd w:val="clear" w:color="auto" w:fill="auto"/>
            <w:vAlign w:val="center"/>
            <w:hideMark/>
          </w:tcPr>
          <w:p w14:paraId="74E94C65" w14:textId="77777777" w:rsidR="005A661C" w:rsidRPr="005A661C" w:rsidRDefault="005A661C" w:rsidP="005A661C">
            <w:pPr>
              <w:spacing w:after="0" w:line="240" w:lineRule="auto"/>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Storitve</w:t>
            </w:r>
          </w:p>
        </w:tc>
        <w:tc>
          <w:tcPr>
            <w:tcW w:w="1370" w:type="dxa"/>
            <w:shd w:val="clear" w:color="auto" w:fill="auto"/>
            <w:vAlign w:val="center"/>
            <w:hideMark/>
          </w:tcPr>
          <w:p w14:paraId="3524BDB2" w14:textId="57B7C82C"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2.191</w:t>
            </w:r>
          </w:p>
        </w:tc>
        <w:tc>
          <w:tcPr>
            <w:tcW w:w="1755" w:type="dxa"/>
            <w:shd w:val="clear" w:color="auto" w:fill="auto"/>
            <w:vAlign w:val="center"/>
            <w:hideMark/>
          </w:tcPr>
          <w:p w14:paraId="5D8E2B02" w14:textId="1E4373CB"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181.950.066</w:t>
            </w:r>
          </w:p>
        </w:tc>
        <w:tc>
          <w:tcPr>
            <w:tcW w:w="1370" w:type="dxa"/>
            <w:shd w:val="clear" w:color="auto" w:fill="auto"/>
            <w:vAlign w:val="center"/>
            <w:hideMark/>
          </w:tcPr>
          <w:p w14:paraId="3214C14C" w14:textId="2FEA27AC"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31,64 %</w:t>
            </w:r>
          </w:p>
        </w:tc>
        <w:tc>
          <w:tcPr>
            <w:tcW w:w="1370" w:type="dxa"/>
            <w:shd w:val="clear" w:color="auto" w:fill="auto"/>
            <w:vAlign w:val="center"/>
            <w:hideMark/>
          </w:tcPr>
          <w:p w14:paraId="614844B8" w14:textId="492EF037"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18,93 %</w:t>
            </w:r>
          </w:p>
        </w:tc>
      </w:tr>
      <w:tr w:rsidR="005A661C" w:rsidRPr="005A661C" w14:paraId="3A691C4F" w14:textId="77777777" w:rsidTr="005A661C">
        <w:trPr>
          <w:trHeight w:val="255"/>
          <w:jc w:val="center"/>
        </w:trPr>
        <w:tc>
          <w:tcPr>
            <w:tcW w:w="1181" w:type="dxa"/>
            <w:shd w:val="clear" w:color="auto" w:fill="auto"/>
            <w:vAlign w:val="center"/>
            <w:hideMark/>
          </w:tcPr>
          <w:p w14:paraId="717383DF" w14:textId="77777777" w:rsidR="005A661C" w:rsidRPr="005A661C" w:rsidRDefault="005A661C" w:rsidP="005A661C">
            <w:pPr>
              <w:spacing w:after="0" w:line="240" w:lineRule="auto"/>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Gradnje</w:t>
            </w:r>
          </w:p>
        </w:tc>
        <w:tc>
          <w:tcPr>
            <w:tcW w:w="1370" w:type="dxa"/>
            <w:shd w:val="clear" w:color="auto" w:fill="auto"/>
            <w:vAlign w:val="center"/>
            <w:hideMark/>
          </w:tcPr>
          <w:p w14:paraId="7796FD0A" w14:textId="56F129BA"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1.379</w:t>
            </w:r>
          </w:p>
        </w:tc>
        <w:tc>
          <w:tcPr>
            <w:tcW w:w="1755" w:type="dxa"/>
            <w:shd w:val="clear" w:color="auto" w:fill="auto"/>
            <w:vAlign w:val="center"/>
            <w:hideMark/>
          </w:tcPr>
          <w:p w14:paraId="767672B9" w14:textId="6AA86C0E"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582.066.380</w:t>
            </w:r>
          </w:p>
        </w:tc>
        <w:tc>
          <w:tcPr>
            <w:tcW w:w="1370" w:type="dxa"/>
            <w:shd w:val="clear" w:color="auto" w:fill="auto"/>
            <w:vAlign w:val="center"/>
            <w:hideMark/>
          </w:tcPr>
          <w:p w14:paraId="391C1A6B" w14:textId="3EF9C418"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19,92 %</w:t>
            </w:r>
          </w:p>
        </w:tc>
        <w:tc>
          <w:tcPr>
            <w:tcW w:w="1370" w:type="dxa"/>
            <w:shd w:val="clear" w:color="auto" w:fill="auto"/>
            <w:vAlign w:val="center"/>
            <w:hideMark/>
          </w:tcPr>
          <w:p w14:paraId="062E546A" w14:textId="724A0AFA" w:rsidR="005A661C" w:rsidRPr="005A661C" w:rsidRDefault="005A661C" w:rsidP="005A661C">
            <w:pPr>
              <w:spacing w:after="0" w:line="240" w:lineRule="auto"/>
              <w:jc w:val="right"/>
              <w:rPr>
                <w:rFonts w:ascii="Arial" w:eastAsia="Times New Roman" w:hAnsi="Arial" w:cs="Arial"/>
                <w:color w:val="000000" w:themeColor="text1"/>
                <w:sz w:val="18"/>
                <w:szCs w:val="18"/>
                <w:lang w:eastAsia="sl-SI"/>
              </w:rPr>
            </w:pPr>
            <w:r w:rsidRPr="005A661C">
              <w:rPr>
                <w:rFonts w:ascii="Arial" w:eastAsia="Times New Roman" w:hAnsi="Arial" w:cs="Arial"/>
                <w:color w:val="000000" w:themeColor="text1"/>
                <w:sz w:val="18"/>
                <w:szCs w:val="18"/>
                <w:lang w:eastAsia="sl-SI"/>
              </w:rPr>
              <w:t>60,55 %</w:t>
            </w:r>
          </w:p>
        </w:tc>
      </w:tr>
      <w:tr w:rsidR="005A661C" w:rsidRPr="005A661C" w14:paraId="6AE90088" w14:textId="77777777" w:rsidTr="005A661C">
        <w:trPr>
          <w:trHeight w:val="255"/>
          <w:jc w:val="center"/>
        </w:trPr>
        <w:tc>
          <w:tcPr>
            <w:tcW w:w="1181" w:type="dxa"/>
            <w:shd w:val="clear" w:color="auto" w:fill="F2F2F2" w:themeFill="background1" w:themeFillShade="F2"/>
            <w:vAlign w:val="center"/>
            <w:hideMark/>
          </w:tcPr>
          <w:p w14:paraId="6D6FC635" w14:textId="77777777" w:rsidR="005A661C" w:rsidRPr="005A661C" w:rsidRDefault="005A661C" w:rsidP="005A661C">
            <w:pPr>
              <w:spacing w:after="0" w:line="240" w:lineRule="auto"/>
              <w:rPr>
                <w:rFonts w:ascii="Arial" w:eastAsia="Times New Roman" w:hAnsi="Arial" w:cs="Arial"/>
                <w:b/>
                <w:color w:val="000000" w:themeColor="text1"/>
                <w:sz w:val="18"/>
                <w:szCs w:val="18"/>
                <w:lang w:eastAsia="sl-SI"/>
              </w:rPr>
            </w:pPr>
            <w:r w:rsidRPr="005A661C">
              <w:rPr>
                <w:rFonts w:ascii="Arial" w:eastAsia="Times New Roman" w:hAnsi="Arial" w:cs="Arial"/>
                <w:b/>
                <w:color w:val="000000" w:themeColor="text1"/>
                <w:sz w:val="18"/>
                <w:szCs w:val="18"/>
                <w:lang w:eastAsia="sl-SI"/>
              </w:rPr>
              <w:t>Skupaj</w:t>
            </w:r>
          </w:p>
        </w:tc>
        <w:tc>
          <w:tcPr>
            <w:tcW w:w="1370" w:type="dxa"/>
            <w:shd w:val="clear" w:color="auto" w:fill="F2F2F2" w:themeFill="background1" w:themeFillShade="F2"/>
            <w:noWrap/>
            <w:vAlign w:val="center"/>
            <w:hideMark/>
          </w:tcPr>
          <w:p w14:paraId="7413D257" w14:textId="3CBAA038" w:rsidR="005A661C" w:rsidRPr="005A661C" w:rsidRDefault="005A661C" w:rsidP="005A661C">
            <w:pPr>
              <w:spacing w:after="0" w:line="240" w:lineRule="auto"/>
              <w:jc w:val="right"/>
              <w:rPr>
                <w:rFonts w:ascii="Arial" w:eastAsia="Times New Roman" w:hAnsi="Arial" w:cs="Arial"/>
                <w:b/>
                <w:bCs/>
                <w:color w:val="000000" w:themeColor="text1"/>
                <w:sz w:val="18"/>
                <w:szCs w:val="18"/>
                <w:lang w:eastAsia="sl-SI"/>
              </w:rPr>
            </w:pPr>
            <w:r w:rsidRPr="005A661C">
              <w:rPr>
                <w:rFonts w:ascii="Arial" w:eastAsia="Times New Roman" w:hAnsi="Arial" w:cs="Arial"/>
                <w:b/>
                <w:bCs/>
                <w:color w:val="000000" w:themeColor="text1"/>
                <w:sz w:val="18"/>
                <w:szCs w:val="18"/>
                <w:lang w:eastAsia="sl-SI"/>
              </w:rPr>
              <w:t>6.924</w:t>
            </w:r>
          </w:p>
        </w:tc>
        <w:tc>
          <w:tcPr>
            <w:tcW w:w="1755" w:type="dxa"/>
            <w:shd w:val="clear" w:color="auto" w:fill="F2F2F2" w:themeFill="background1" w:themeFillShade="F2"/>
            <w:noWrap/>
            <w:vAlign w:val="center"/>
            <w:hideMark/>
          </w:tcPr>
          <w:p w14:paraId="377953CF" w14:textId="6ED24C50" w:rsidR="005A661C" w:rsidRPr="005A661C" w:rsidRDefault="005A661C" w:rsidP="005A661C">
            <w:pPr>
              <w:spacing w:after="0" w:line="240" w:lineRule="auto"/>
              <w:jc w:val="right"/>
              <w:rPr>
                <w:rFonts w:ascii="Arial" w:eastAsia="Times New Roman" w:hAnsi="Arial" w:cs="Arial"/>
                <w:b/>
                <w:bCs/>
                <w:color w:val="000000" w:themeColor="text1"/>
                <w:sz w:val="18"/>
                <w:szCs w:val="18"/>
                <w:lang w:eastAsia="sl-SI"/>
              </w:rPr>
            </w:pPr>
            <w:r w:rsidRPr="005A661C">
              <w:rPr>
                <w:rFonts w:ascii="Arial" w:eastAsia="Times New Roman" w:hAnsi="Arial" w:cs="Arial"/>
                <w:b/>
                <w:bCs/>
                <w:color w:val="000000" w:themeColor="text1"/>
                <w:sz w:val="18"/>
                <w:szCs w:val="18"/>
                <w:lang w:eastAsia="sl-SI"/>
              </w:rPr>
              <w:t>961.337.753</w:t>
            </w:r>
          </w:p>
        </w:tc>
        <w:tc>
          <w:tcPr>
            <w:tcW w:w="1370" w:type="dxa"/>
            <w:shd w:val="clear" w:color="auto" w:fill="F2F2F2" w:themeFill="background1" w:themeFillShade="F2"/>
            <w:noWrap/>
            <w:vAlign w:val="center"/>
            <w:hideMark/>
          </w:tcPr>
          <w:p w14:paraId="4490FDF2" w14:textId="51F61684" w:rsidR="005A661C" w:rsidRPr="005A661C" w:rsidRDefault="005A661C" w:rsidP="005A661C">
            <w:pPr>
              <w:spacing w:after="0" w:line="240" w:lineRule="auto"/>
              <w:jc w:val="right"/>
              <w:rPr>
                <w:rFonts w:ascii="Arial" w:eastAsia="Times New Roman" w:hAnsi="Arial" w:cs="Arial"/>
                <w:b/>
                <w:bCs/>
                <w:color w:val="000000" w:themeColor="text1"/>
                <w:sz w:val="18"/>
                <w:szCs w:val="18"/>
                <w:lang w:eastAsia="sl-SI"/>
              </w:rPr>
            </w:pPr>
            <w:r w:rsidRPr="005A661C">
              <w:rPr>
                <w:rFonts w:ascii="Arial" w:eastAsia="Times New Roman" w:hAnsi="Arial" w:cs="Arial"/>
                <w:b/>
                <w:bCs/>
                <w:color w:val="000000" w:themeColor="text1"/>
                <w:sz w:val="18"/>
                <w:szCs w:val="18"/>
                <w:lang w:eastAsia="sl-SI"/>
              </w:rPr>
              <w:t>100,00 %</w:t>
            </w:r>
          </w:p>
        </w:tc>
        <w:tc>
          <w:tcPr>
            <w:tcW w:w="1370" w:type="dxa"/>
            <w:shd w:val="clear" w:color="auto" w:fill="F2F2F2" w:themeFill="background1" w:themeFillShade="F2"/>
            <w:noWrap/>
            <w:vAlign w:val="center"/>
            <w:hideMark/>
          </w:tcPr>
          <w:p w14:paraId="096B0D47" w14:textId="3F6CAB69" w:rsidR="005A661C" w:rsidRPr="005A661C" w:rsidRDefault="005A661C" w:rsidP="005A661C">
            <w:pPr>
              <w:spacing w:after="0" w:line="240" w:lineRule="auto"/>
              <w:jc w:val="right"/>
              <w:rPr>
                <w:rFonts w:ascii="Arial" w:eastAsia="Times New Roman" w:hAnsi="Arial" w:cs="Arial"/>
                <w:b/>
                <w:bCs/>
                <w:color w:val="000000" w:themeColor="text1"/>
                <w:sz w:val="18"/>
                <w:szCs w:val="18"/>
                <w:lang w:eastAsia="sl-SI"/>
              </w:rPr>
            </w:pPr>
            <w:r w:rsidRPr="005A661C">
              <w:rPr>
                <w:rFonts w:ascii="Arial" w:eastAsia="Times New Roman" w:hAnsi="Arial" w:cs="Arial"/>
                <w:b/>
                <w:bCs/>
                <w:color w:val="000000" w:themeColor="text1"/>
                <w:sz w:val="18"/>
                <w:szCs w:val="18"/>
                <w:lang w:eastAsia="sl-SI"/>
              </w:rPr>
              <w:t>100,01 %</w:t>
            </w:r>
          </w:p>
        </w:tc>
      </w:tr>
    </w:tbl>
    <w:p w14:paraId="04AAC8CA" w14:textId="77777777" w:rsidR="00BB70C3" w:rsidRPr="005A661C" w:rsidRDefault="00BB70C3" w:rsidP="00BB70C3">
      <w:pPr>
        <w:spacing w:after="0" w:line="240" w:lineRule="auto"/>
        <w:jc w:val="center"/>
        <w:rPr>
          <w:rFonts w:ascii="Arial" w:hAnsi="Arial" w:cs="Arial"/>
          <w:color w:val="000000" w:themeColor="text1"/>
          <w:sz w:val="18"/>
        </w:rPr>
      </w:pPr>
    </w:p>
    <w:p w14:paraId="42A9C391" w14:textId="2B43873C" w:rsidR="00D05AA7" w:rsidRPr="005A661C" w:rsidRDefault="00D05AA7" w:rsidP="00BB70C3">
      <w:pPr>
        <w:spacing w:after="0" w:line="240" w:lineRule="auto"/>
        <w:jc w:val="center"/>
        <w:rPr>
          <w:rFonts w:ascii="Arial" w:hAnsi="Arial" w:cs="Arial"/>
          <w:color w:val="000000" w:themeColor="text1"/>
          <w:sz w:val="18"/>
        </w:rPr>
      </w:pPr>
      <w:r w:rsidRPr="005A661C">
        <w:rPr>
          <w:rFonts w:ascii="Arial" w:hAnsi="Arial" w:cs="Arial"/>
          <w:color w:val="000000" w:themeColor="text1"/>
          <w:sz w:val="18"/>
        </w:rPr>
        <w:t>Vir: Statistični podatki o javnih naročilih, oddanih v let</w:t>
      </w:r>
      <w:r w:rsidR="008D541C" w:rsidRPr="005A661C">
        <w:rPr>
          <w:rFonts w:ascii="Arial" w:hAnsi="Arial" w:cs="Arial"/>
          <w:color w:val="000000" w:themeColor="text1"/>
          <w:sz w:val="18"/>
        </w:rPr>
        <w:t xml:space="preserve">u </w:t>
      </w:r>
      <w:r w:rsidR="00F86463" w:rsidRPr="005A661C">
        <w:rPr>
          <w:rFonts w:ascii="Arial" w:hAnsi="Arial" w:cs="Arial"/>
          <w:color w:val="000000" w:themeColor="text1"/>
          <w:sz w:val="18"/>
        </w:rPr>
        <w:t>20</w:t>
      </w:r>
      <w:r w:rsidR="00D377A2" w:rsidRPr="005A661C">
        <w:rPr>
          <w:rFonts w:ascii="Arial" w:hAnsi="Arial" w:cs="Arial"/>
          <w:color w:val="000000" w:themeColor="text1"/>
          <w:sz w:val="18"/>
        </w:rPr>
        <w:t>2</w:t>
      </w:r>
      <w:r w:rsidR="00420695" w:rsidRPr="005A661C">
        <w:rPr>
          <w:rFonts w:ascii="Arial" w:hAnsi="Arial" w:cs="Arial"/>
          <w:color w:val="000000" w:themeColor="text1"/>
          <w:sz w:val="18"/>
        </w:rPr>
        <w:t>3</w:t>
      </w:r>
      <w:r w:rsidR="00AA31A7" w:rsidRPr="005A661C">
        <w:rPr>
          <w:rFonts w:ascii="Arial" w:hAnsi="Arial" w:cs="Arial"/>
          <w:color w:val="000000" w:themeColor="text1"/>
          <w:sz w:val="18"/>
        </w:rPr>
        <w:t>.</w:t>
      </w:r>
    </w:p>
    <w:p w14:paraId="7D9C16CE" w14:textId="41E51C81" w:rsidR="00BB70C3" w:rsidRPr="00637ACF" w:rsidRDefault="00BB70C3" w:rsidP="00A83A44">
      <w:pPr>
        <w:tabs>
          <w:tab w:val="left" w:pos="567"/>
          <w:tab w:val="left" w:pos="993"/>
        </w:tabs>
        <w:spacing w:line="360" w:lineRule="auto"/>
        <w:jc w:val="both"/>
        <w:rPr>
          <w:rFonts w:ascii="Arial" w:hAnsi="Arial" w:cs="Arial"/>
          <w:bCs/>
          <w:color w:val="000000" w:themeColor="text1"/>
          <w:sz w:val="20"/>
          <w:szCs w:val="20"/>
          <w:highlight w:val="yellow"/>
        </w:rPr>
      </w:pPr>
    </w:p>
    <w:p w14:paraId="7F312B93" w14:textId="1E0F09D8" w:rsidR="00D05AA7" w:rsidRPr="000628EF" w:rsidRDefault="00AA7070" w:rsidP="00A83A44">
      <w:pPr>
        <w:tabs>
          <w:tab w:val="left" w:pos="567"/>
          <w:tab w:val="left" w:pos="993"/>
        </w:tabs>
        <w:spacing w:line="360" w:lineRule="auto"/>
        <w:jc w:val="both"/>
        <w:rPr>
          <w:rFonts w:ascii="Arial" w:hAnsi="Arial" w:cs="Arial"/>
          <w:bCs/>
          <w:color w:val="000000" w:themeColor="text1"/>
          <w:sz w:val="20"/>
          <w:szCs w:val="20"/>
        </w:rPr>
      </w:pPr>
      <w:r w:rsidRPr="000628EF">
        <w:rPr>
          <w:rFonts w:ascii="Arial" w:hAnsi="Arial" w:cs="Arial"/>
          <w:bCs/>
          <w:color w:val="000000" w:themeColor="text1"/>
          <w:sz w:val="20"/>
          <w:szCs w:val="20"/>
        </w:rPr>
        <w:t>Večina n</w:t>
      </w:r>
      <w:r w:rsidR="00D05AA7" w:rsidRPr="000628EF">
        <w:rPr>
          <w:rFonts w:ascii="Arial" w:hAnsi="Arial" w:cs="Arial"/>
          <w:bCs/>
          <w:color w:val="000000" w:themeColor="text1"/>
          <w:sz w:val="20"/>
          <w:szCs w:val="20"/>
        </w:rPr>
        <w:t>aročil, ki so jih naročniki objavili le na portalu javnih naročil</w:t>
      </w:r>
      <w:r w:rsidR="002E0F8A" w:rsidRPr="000628EF">
        <w:rPr>
          <w:rFonts w:ascii="Arial" w:hAnsi="Arial" w:cs="Arial"/>
          <w:bCs/>
          <w:color w:val="000000" w:themeColor="text1"/>
          <w:sz w:val="20"/>
          <w:szCs w:val="20"/>
        </w:rPr>
        <w:t>,</w:t>
      </w:r>
      <w:r w:rsidR="00D05AA7" w:rsidRPr="000628EF">
        <w:rPr>
          <w:rFonts w:ascii="Arial" w:hAnsi="Arial" w:cs="Arial"/>
          <w:bCs/>
          <w:color w:val="000000" w:themeColor="text1"/>
          <w:sz w:val="20"/>
          <w:szCs w:val="20"/>
        </w:rPr>
        <w:t xml:space="preserve"> je bila </w:t>
      </w:r>
      <w:r w:rsidRPr="000628EF">
        <w:rPr>
          <w:rFonts w:ascii="Arial" w:hAnsi="Arial" w:cs="Arial"/>
          <w:bCs/>
          <w:color w:val="000000" w:themeColor="text1"/>
          <w:sz w:val="20"/>
          <w:szCs w:val="20"/>
        </w:rPr>
        <w:t>s</w:t>
      </w:r>
      <w:r w:rsidR="00D05AA7" w:rsidRPr="000628EF">
        <w:rPr>
          <w:rFonts w:ascii="Arial" w:hAnsi="Arial" w:cs="Arial"/>
          <w:bCs/>
          <w:color w:val="000000" w:themeColor="text1"/>
          <w:sz w:val="20"/>
          <w:szCs w:val="20"/>
        </w:rPr>
        <w:t xml:space="preserve"> splošne</w:t>
      </w:r>
      <w:r w:rsidRPr="000628EF">
        <w:rPr>
          <w:rFonts w:ascii="Arial" w:hAnsi="Arial" w:cs="Arial"/>
          <w:bCs/>
          <w:color w:val="000000" w:themeColor="text1"/>
          <w:sz w:val="20"/>
          <w:szCs w:val="20"/>
        </w:rPr>
        <w:t>ga</w:t>
      </w:r>
      <w:r w:rsidR="00D05AA7" w:rsidRPr="000628EF">
        <w:rPr>
          <w:rFonts w:ascii="Arial" w:hAnsi="Arial" w:cs="Arial"/>
          <w:bCs/>
          <w:color w:val="000000" w:themeColor="text1"/>
          <w:sz w:val="20"/>
          <w:szCs w:val="20"/>
        </w:rPr>
        <w:t xml:space="preserve"> področj</w:t>
      </w:r>
      <w:r w:rsidRPr="000628EF">
        <w:rPr>
          <w:rFonts w:ascii="Arial" w:hAnsi="Arial" w:cs="Arial"/>
          <w:bCs/>
          <w:color w:val="000000" w:themeColor="text1"/>
          <w:sz w:val="20"/>
          <w:szCs w:val="20"/>
        </w:rPr>
        <w:t>a</w:t>
      </w:r>
      <w:r w:rsidR="00D05AA7" w:rsidRPr="000628EF">
        <w:rPr>
          <w:rFonts w:ascii="Arial" w:hAnsi="Arial" w:cs="Arial"/>
          <w:bCs/>
          <w:color w:val="000000" w:themeColor="text1"/>
          <w:sz w:val="20"/>
          <w:szCs w:val="20"/>
        </w:rPr>
        <w:t xml:space="preserve">. Njihov delež v </w:t>
      </w:r>
      <w:r w:rsidR="00E61134" w:rsidRPr="000628EF">
        <w:rPr>
          <w:rFonts w:ascii="Arial" w:hAnsi="Arial" w:cs="Arial"/>
          <w:bCs/>
          <w:color w:val="000000" w:themeColor="text1"/>
          <w:sz w:val="20"/>
          <w:szCs w:val="20"/>
        </w:rPr>
        <w:t xml:space="preserve">številu </w:t>
      </w:r>
      <w:r w:rsidR="00D05AA7" w:rsidRPr="000628EF">
        <w:rPr>
          <w:rFonts w:ascii="Arial" w:hAnsi="Arial" w:cs="Arial"/>
          <w:bCs/>
          <w:color w:val="000000" w:themeColor="text1"/>
          <w:sz w:val="20"/>
          <w:szCs w:val="20"/>
        </w:rPr>
        <w:t>oddanih naročil, objavljen</w:t>
      </w:r>
      <w:r w:rsidR="00B57702" w:rsidRPr="000628EF">
        <w:rPr>
          <w:rFonts w:ascii="Arial" w:hAnsi="Arial" w:cs="Arial"/>
          <w:bCs/>
          <w:color w:val="000000" w:themeColor="text1"/>
          <w:sz w:val="20"/>
          <w:szCs w:val="20"/>
        </w:rPr>
        <w:t>ih</w:t>
      </w:r>
      <w:r w:rsidR="00D05AA7" w:rsidRPr="000628EF">
        <w:rPr>
          <w:rFonts w:ascii="Arial" w:hAnsi="Arial" w:cs="Arial"/>
          <w:bCs/>
          <w:color w:val="000000" w:themeColor="text1"/>
          <w:sz w:val="20"/>
          <w:szCs w:val="20"/>
        </w:rPr>
        <w:t xml:space="preserve"> le na portalu javnih naročil</w:t>
      </w:r>
      <w:r w:rsidR="00B737F5" w:rsidRPr="000628EF">
        <w:rPr>
          <w:rFonts w:ascii="Arial" w:hAnsi="Arial" w:cs="Arial"/>
          <w:bCs/>
          <w:color w:val="000000" w:themeColor="text1"/>
          <w:sz w:val="20"/>
          <w:szCs w:val="20"/>
        </w:rPr>
        <w:t>,</w:t>
      </w:r>
      <w:r w:rsidR="00BF1429" w:rsidRPr="000628EF">
        <w:rPr>
          <w:rFonts w:ascii="Arial" w:hAnsi="Arial" w:cs="Arial"/>
          <w:bCs/>
          <w:color w:val="000000" w:themeColor="text1"/>
          <w:sz w:val="20"/>
          <w:szCs w:val="20"/>
        </w:rPr>
        <w:t xml:space="preserve"> </w:t>
      </w:r>
      <w:r w:rsidR="00D05AA7" w:rsidRPr="000628EF">
        <w:rPr>
          <w:rFonts w:ascii="Arial" w:hAnsi="Arial" w:cs="Arial"/>
          <w:bCs/>
          <w:color w:val="000000" w:themeColor="text1"/>
          <w:sz w:val="20"/>
          <w:szCs w:val="20"/>
        </w:rPr>
        <w:t xml:space="preserve">je </w:t>
      </w:r>
      <w:r w:rsidR="00373CD1" w:rsidRPr="000628EF">
        <w:rPr>
          <w:rFonts w:ascii="Arial" w:eastAsia="Times New Roman" w:hAnsi="Arial" w:cs="Arial"/>
          <w:color w:val="000000" w:themeColor="text1"/>
          <w:sz w:val="20"/>
          <w:szCs w:val="20"/>
          <w:lang w:eastAsia="sl-SI"/>
        </w:rPr>
        <w:t>77,5</w:t>
      </w:r>
      <w:r w:rsidR="00AA31A7" w:rsidRPr="000628EF">
        <w:rPr>
          <w:rFonts w:ascii="Arial" w:eastAsia="Times New Roman" w:hAnsi="Arial" w:cs="Arial"/>
          <w:color w:val="000000" w:themeColor="text1"/>
          <w:sz w:val="20"/>
          <w:szCs w:val="20"/>
          <w:lang w:eastAsia="sl-SI"/>
        </w:rPr>
        <w:t> </w:t>
      </w:r>
      <w:r w:rsidR="00AC0027" w:rsidRPr="000628EF">
        <w:rPr>
          <w:rFonts w:ascii="Arial" w:eastAsia="Times New Roman" w:hAnsi="Arial" w:cs="Arial"/>
          <w:color w:val="000000" w:themeColor="text1"/>
          <w:sz w:val="20"/>
          <w:szCs w:val="20"/>
          <w:lang w:eastAsia="sl-SI"/>
        </w:rPr>
        <w:t>odstotka</w:t>
      </w:r>
      <w:r w:rsidR="00E61134" w:rsidRPr="000628EF">
        <w:rPr>
          <w:rFonts w:ascii="Arial" w:eastAsia="Times New Roman" w:hAnsi="Arial" w:cs="Arial"/>
          <w:color w:val="000000" w:themeColor="text1"/>
          <w:sz w:val="20"/>
          <w:szCs w:val="20"/>
          <w:lang w:eastAsia="sl-SI"/>
        </w:rPr>
        <w:t xml:space="preserve">, v vrednosti pa </w:t>
      </w:r>
      <w:r w:rsidR="00373CD1" w:rsidRPr="000628EF">
        <w:rPr>
          <w:rFonts w:ascii="Arial" w:eastAsia="Times New Roman" w:hAnsi="Arial" w:cs="Arial"/>
          <w:color w:val="000000" w:themeColor="text1"/>
          <w:sz w:val="20"/>
          <w:szCs w:val="20"/>
          <w:lang w:eastAsia="sl-SI"/>
        </w:rPr>
        <w:t>78,45</w:t>
      </w:r>
      <w:r w:rsidR="00FD23A2" w:rsidRPr="000628EF">
        <w:rPr>
          <w:rFonts w:ascii="Arial" w:eastAsia="Times New Roman" w:hAnsi="Arial" w:cs="Arial"/>
          <w:color w:val="000000" w:themeColor="text1"/>
          <w:sz w:val="20"/>
          <w:szCs w:val="20"/>
          <w:lang w:eastAsia="sl-SI"/>
        </w:rPr>
        <w:t> </w:t>
      </w:r>
      <w:r w:rsidR="00AC0027" w:rsidRPr="000628EF">
        <w:rPr>
          <w:rFonts w:ascii="Arial" w:eastAsia="Times New Roman" w:hAnsi="Arial" w:cs="Arial"/>
          <w:color w:val="000000" w:themeColor="text1"/>
          <w:sz w:val="20"/>
          <w:szCs w:val="20"/>
          <w:lang w:eastAsia="sl-SI"/>
        </w:rPr>
        <w:t>odstotka</w:t>
      </w:r>
      <w:r w:rsidR="00E61134" w:rsidRPr="000628EF">
        <w:rPr>
          <w:rFonts w:ascii="Arial" w:eastAsia="Times New Roman" w:hAnsi="Arial" w:cs="Arial"/>
          <w:color w:val="000000" w:themeColor="text1"/>
          <w:sz w:val="20"/>
          <w:szCs w:val="20"/>
          <w:lang w:eastAsia="sl-SI"/>
        </w:rPr>
        <w:t>.</w:t>
      </w:r>
    </w:p>
    <w:p w14:paraId="41CB0FF1" w14:textId="77777777" w:rsidR="00F11E69" w:rsidRPr="00637ACF" w:rsidRDefault="00F11E69">
      <w:pPr>
        <w:rPr>
          <w:rFonts w:ascii="Arial" w:hAnsi="Arial" w:cs="Arial"/>
          <w:color w:val="FF0000"/>
          <w:sz w:val="20"/>
          <w:highlight w:val="yellow"/>
        </w:rPr>
      </w:pPr>
      <w:r w:rsidRPr="00637ACF">
        <w:rPr>
          <w:rFonts w:ascii="Arial" w:hAnsi="Arial" w:cs="Arial"/>
          <w:color w:val="FF0000"/>
          <w:sz w:val="20"/>
          <w:highlight w:val="yellow"/>
        </w:rPr>
        <w:br w:type="page"/>
      </w:r>
    </w:p>
    <w:p w14:paraId="6065761C" w14:textId="123CCE82" w:rsidR="00D05AA7" w:rsidRPr="000628EF" w:rsidRDefault="00D05AA7" w:rsidP="008A61FD">
      <w:pPr>
        <w:spacing w:before="120" w:after="120" w:line="240" w:lineRule="auto"/>
        <w:jc w:val="both"/>
        <w:rPr>
          <w:rFonts w:ascii="Arial" w:hAnsi="Arial" w:cs="Arial"/>
          <w:color w:val="000000" w:themeColor="text1"/>
          <w:sz w:val="20"/>
        </w:rPr>
      </w:pPr>
      <w:r w:rsidRPr="000628EF">
        <w:rPr>
          <w:rFonts w:ascii="Arial" w:hAnsi="Arial" w:cs="Arial"/>
          <w:color w:val="000000" w:themeColor="text1"/>
          <w:sz w:val="20"/>
        </w:rPr>
        <w:lastRenderedPageBreak/>
        <w:t xml:space="preserve">Preglednica </w:t>
      </w:r>
      <w:r w:rsidR="00EB4423" w:rsidRPr="000628EF">
        <w:rPr>
          <w:rFonts w:ascii="Arial" w:hAnsi="Arial" w:cs="Arial"/>
          <w:color w:val="000000" w:themeColor="text1"/>
          <w:sz w:val="20"/>
        </w:rPr>
        <w:t>5</w:t>
      </w:r>
      <w:r w:rsidRPr="000628EF">
        <w:rPr>
          <w:rFonts w:ascii="Arial" w:hAnsi="Arial" w:cs="Arial"/>
          <w:color w:val="000000" w:themeColor="text1"/>
          <w:sz w:val="20"/>
        </w:rPr>
        <w:t>: Vrednost, število in deleži javnih naročil, objavljenih le na portalu javnih naročil</w:t>
      </w:r>
      <w:r w:rsidR="00AA7070" w:rsidRPr="000628EF">
        <w:rPr>
          <w:rFonts w:ascii="Arial" w:hAnsi="Arial" w:cs="Arial"/>
          <w:color w:val="000000" w:themeColor="text1"/>
          <w:sz w:val="20"/>
        </w:rPr>
        <w:t>,</w:t>
      </w:r>
      <w:r w:rsidRPr="000628EF">
        <w:rPr>
          <w:rFonts w:ascii="Arial" w:hAnsi="Arial" w:cs="Arial"/>
          <w:color w:val="000000" w:themeColor="text1"/>
          <w:sz w:val="20"/>
        </w:rPr>
        <w:t xml:space="preserve"> </w:t>
      </w:r>
      <w:r w:rsidR="00116B76" w:rsidRPr="000628EF">
        <w:rPr>
          <w:rFonts w:ascii="Arial" w:hAnsi="Arial" w:cs="Arial"/>
          <w:color w:val="000000" w:themeColor="text1"/>
          <w:sz w:val="20"/>
        </w:rPr>
        <w:t xml:space="preserve">po </w:t>
      </w:r>
      <w:r w:rsidRPr="000628EF">
        <w:rPr>
          <w:rFonts w:ascii="Arial" w:hAnsi="Arial" w:cs="Arial"/>
          <w:color w:val="000000" w:themeColor="text1"/>
          <w:sz w:val="20"/>
        </w:rPr>
        <w:t>področj</w:t>
      </w:r>
      <w:r w:rsidR="00116B76" w:rsidRPr="000628EF">
        <w:rPr>
          <w:rFonts w:ascii="Arial" w:hAnsi="Arial" w:cs="Arial"/>
          <w:color w:val="000000" w:themeColor="text1"/>
          <w:sz w:val="20"/>
        </w:rPr>
        <w:t>ih</w:t>
      </w:r>
      <w:r w:rsidRPr="000628EF">
        <w:rPr>
          <w:rFonts w:ascii="Arial" w:hAnsi="Arial" w:cs="Arial"/>
          <w:color w:val="000000" w:themeColor="text1"/>
          <w:sz w:val="20"/>
        </w:rPr>
        <w:t xml:space="preserve"> naročanja</w:t>
      </w:r>
    </w:p>
    <w:tbl>
      <w:tblPr>
        <w:tblW w:w="7138" w:type="dxa"/>
        <w:jc w:val="center"/>
        <w:tblCellMar>
          <w:left w:w="70" w:type="dxa"/>
          <w:right w:w="70" w:type="dxa"/>
        </w:tblCellMar>
        <w:tblLook w:val="04A0" w:firstRow="1" w:lastRow="0" w:firstColumn="1" w:lastColumn="0" w:noHBand="0" w:noVBand="1"/>
      </w:tblPr>
      <w:tblGrid>
        <w:gridCol w:w="1301"/>
        <w:gridCol w:w="1134"/>
        <w:gridCol w:w="2418"/>
        <w:gridCol w:w="1142"/>
        <w:gridCol w:w="1143"/>
      </w:tblGrid>
      <w:tr w:rsidR="0061601B" w:rsidRPr="000628EF" w14:paraId="16E88EE8" w14:textId="77777777" w:rsidTr="00DB3AA6">
        <w:trPr>
          <w:trHeight w:val="255"/>
          <w:jc w:val="center"/>
        </w:trPr>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6EF9C4" w14:textId="77777777" w:rsidR="00BB70C3" w:rsidRPr="000628EF" w:rsidRDefault="00BB70C3" w:rsidP="007C1875">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Področje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70794B" w14:textId="77777777" w:rsidR="00BB70C3" w:rsidRPr="000628EF" w:rsidRDefault="00BB70C3" w:rsidP="007C1875">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Št. naročil</w:t>
            </w:r>
          </w:p>
        </w:tc>
        <w:tc>
          <w:tcPr>
            <w:tcW w:w="2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5EA08B6" w14:textId="37DF410F" w:rsidR="00BB70C3" w:rsidRPr="000628EF" w:rsidRDefault="00BB70C3" w:rsidP="007C1875">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Pogodbena vrednost</w:t>
            </w:r>
            <w:r w:rsidR="00864791" w:rsidRPr="000628EF">
              <w:rPr>
                <w:rFonts w:ascii="Arial" w:eastAsia="Times New Roman" w:hAnsi="Arial" w:cs="Arial"/>
                <w:color w:val="000000" w:themeColor="text1"/>
                <w:sz w:val="18"/>
                <w:szCs w:val="18"/>
                <w:lang w:eastAsia="sl-SI"/>
              </w:rPr>
              <w:t xml:space="preserve"> (v EUR)</w:t>
            </w:r>
          </w:p>
        </w:tc>
        <w:tc>
          <w:tcPr>
            <w:tcW w:w="11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5D1F7B" w14:textId="77777777" w:rsidR="00BB70C3" w:rsidRPr="000628EF" w:rsidRDefault="00BB70C3" w:rsidP="007C1875">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Delež v št. naročil</w:t>
            </w:r>
          </w:p>
        </w:tc>
        <w:tc>
          <w:tcPr>
            <w:tcW w:w="11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8DAB12" w14:textId="77777777" w:rsidR="00BB70C3" w:rsidRPr="000628EF" w:rsidRDefault="00BB70C3" w:rsidP="007C1875">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Delež v vrednosti</w:t>
            </w:r>
          </w:p>
        </w:tc>
      </w:tr>
      <w:tr w:rsidR="000628EF" w:rsidRPr="000628EF" w14:paraId="19AEAA3B" w14:textId="77777777" w:rsidTr="000628EF">
        <w:trPr>
          <w:trHeight w:val="255"/>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2BF2B0D" w14:textId="77777777" w:rsidR="000628EF" w:rsidRPr="000628EF" w:rsidRDefault="000628EF" w:rsidP="000628EF">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Splošno</w:t>
            </w:r>
          </w:p>
        </w:tc>
        <w:tc>
          <w:tcPr>
            <w:tcW w:w="1134" w:type="dxa"/>
            <w:tcBorders>
              <w:top w:val="nil"/>
              <w:left w:val="nil"/>
              <w:bottom w:val="single" w:sz="4" w:space="0" w:color="auto"/>
              <w:right w:val="single" w:sz="4" w:space="0" w:color="auto"/>
            </w:tcBorders>
            <w:shd w:val="clear" w:color="auto" w:fill="auto"/>
            <w:vAlign w:val="center"/>
            <w:hideMark/>
          </w:tcPr>
          <w:p w14:paraId="2AE38A95" w14:textId="6650412D"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5.366</w:t>
            </w:r>
          </w:p>
        </w:tc>
        <w:tc>
          <w:tcPr>
            <w:tcW w:w="2418" w:type="dxa"/>
            <w:tcBorders>
              <w:top w:val="nil"/>
              <w:left w:val="nil"/>
              <w:bottom w:val="single" w:sz="4" w:space="0" w:color="auto"/>
              <w:right w:val="single" w:sz="4" w:space="0" w:color="auto"/>
            </w:tcBorders>
            <w:shd w:val="clear" w:color="auto" w:fill="auto"/>
            <w:noWrap/>
            <w:vAlign w:val="center"/>
            <w:hideMark/>
          </w:tcPr>
          <w:p w14:paraId="76484F84" w14:textId="6E3DDE8C"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754.149.041</w:t>
            </w:r>
          </w:p>
        </w:tc>
        <w:tc>
          <w:tcPr>
            <w:tcW w:w="1142" w:type="dxa"/>
            <w:tcBorders>
              <w:top w:val="nil"/>
              <w:left w:val="nil"/>
              <w:bottom w:val="single" w:sz="4" w:space="0" w:color="auto"/>
              <w:right w:val="single" w:sz="4" w:space="0" w:color="auto"/>
            </w:tcBorders>
            <w:shd w:val="clear" w:color="auto" w:fill="auto"/>
            <w:vAlign w:val="center"/>
            <w:hideMark/>
          </w:tcPr>
          <w:p w14:paraId="4F1F6F8A" w14:textId="386C662D"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77,50 %</w:t>
            </w:r>
          </w:p>
        </w:tc>
        <w:tc>
          <w:tcPr>
            <w:tcW w:w="1143" w:type="dxa"/>
            <w:tcBorders>
              <w:top w:val="nil"/>
              <w:left w:val="nil"/>
              <w:bottom w:val="single" w:sz="4" w:space="0" w:color="auto"/>
              <w:right w:val="single" w:sz="4" w:space="0" w:color="auto"/>
            </w:tcBorders>
            <w:shd w:val="clear" w:color="auto" w:fill="auto"/>
            <w:vAlign w:val="center"/>
            <w:hideMark/>
          </w:tcPr>
          <w:p w14:paraId="0406F341" w14:textId="4685C41F"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78,45 %</w:t>
            </w:r>
          </w:p>
        </w:tc>
      </w:tr>
      <w:tr w:rsidR="000628EF" w:rsidRPr="000628EF" w14:paraId="2969D5EB" w14:textId="77777777" w:rsidTr="000628EF">
        <w:trPr>
          <w:trHeight w:val="255"/>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C553F3" w14:textId="3506D2BA" w:rsidR="000628EF" w:rsidRPr="000628EF" w:rsidRDefault="000628EF" w:rsidP="000628EF">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Infrastrukturno</w:t>
            </w:r>
          </w:p>
        </w:tc>
        <w:tc>
          <w:tcPr>
            <w:tcW w:w="1134" w:type="dxa"/>
            <w:tcBorders>
              <w:top w:val="nil"/>
              <w:left w:val="nil"/>
              <w:bottom w:val="single" w:sz="4" w:space="0" w:color="auto"/>
              <w:right w:val="single" w:sz="4" w:space="0" w:color="auto"/>
            </w:tcBorders>
            <w:shd w:val="clear" w:color="auto" w:fill="auto"/>
            <w:vAlign w:val="center"/>
            <w:hideMark/>
          </w:tcPr>
          <w:p w14:paraId="19328C2A" w14:textId="2A75660A"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1.495</w:t>
            </w:r>
          </w:p>
        </w:tc>
        <w:tc>
          <w:tcPr>
            <w:tcW w:w="2418" w:type="dxa"/>
            <w:tcBorders>
              <w:top w:val="nil"/>
              <w:left w:val="nil"/>
              <w:bottom w:val="single" w:sz="4" w:space="0" w:color="auto"/>
              <w:right w:val="single" w:sz="4" w:space="0" w:color="auto"/>
            </w:tcBorders>
            <w:shd w:val="clear" w:color="auto" w:fill="auto"/>
            <w:noWrap/>
            <w:vAlign w:val="center"/>
            <w:hideMark/>
          </w:tcPr>
          <w:p w14:paraId="4337D68A" w14:textId="29A5258F"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192.571.007</w:t>
            </w:r>
          </w:p>
        </w:tc>
        <w:tc>
          <w:tcPr>
            <w:tcW w:w="1142" w:type="dxa"/>
            <w:tcBorders>
              <w:top w:val="nil"/>
              <w:left w:val="nil"/>
              <w:bottom w:val="single" w:sz="4" w:space="0" w:color="auto"/>
              <w:right w:val="single" w:sz="4" w:space="0" w:color="auto"/>
            </w:tcBorders>
            <w:shd w:val="clear" w:color="auto" w:fill="auto"/>
            <w:vAlign w:val="center"/>
            <w:hideMark/>
          </w:tcPr>
          <w:p w14:paraId="502E3736" w14:textId="64BBECBB"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21,59 %</w:t>
            </w:r>
          </w:p>
        </w:tc>
        <w:tc>
          <w:tcPr>
            <w:tcW w:w="1143" w:type="dxa"/>
            <w:tcBorders>
              <w:top w:val="nil"/>
              <w:left w:val="nil"/>
              <w:bottom w:val="single" w:sz="4" w:space="0" w:color="auto"/>
              <w:right w:val="single" w:sz="4" w:space="0" w:color="auto"/>
            </w:tcBorders>
            <w:shd w:val="clear" w:color="auto" w:fill="auto"/>
            <w:vAlign w:val="center"/>
            <w:hideMark/>
          </w:tcPr>
          <w:p w14:paraId="1808EC9C" w14:textId="73A0A431"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20,03 %</w:t>
            </w:r>
          </w:p>
        </w:tc>
      </w:tr>
      <w:tr w:rsidR="000628EF" w:rsidRPr="000628EF" w14:paraId="214307DA" w14:textId="77777777" w:rsidTr="000628EF">
        <w:trPr>
          <w:trHeight w:val="255"/>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406984" w14:textId="41535593" w:rsidR="000628EF" w:rsidRPr="000628EF" w:rsidRDefault="000628EF" w:rsidP="000628EF">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Obrambno</w:t>
            </w:r>
          </w:p>
        </w:tc>
        <w:tc>
          <w:tcPr>
            <w:tcW w:w="1134" w:type="dxa"/>
            <w:tcBorders>
              <w:top w:val="nil"/>
              <w:left w:val="nil"/>
              <w:bottom w:val="single" w:sz="4" w:space="0" w:color="auto"/>
              <w:right w:val="single" w:sz="4" w:space="0" w:color="auto"/>
            </w:tcBorders>
            <w:shd w:val="clear" w:color="auto" w:fill="auto"/>
            <w:noWrap/>
            <w:vAlign w:val="center"/>
            <w:hideMark/>
          </w:tcPr>
          <w:p w14:paraId="2E1CE24B" w14:textId="5C16F262"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63</w:t>
            </w:r>
          </w:p>
        </w:tc>
        <w:tc>
          <w:tcPr>
            <w:tcW w:w="2418" w:type="dxa"/>
            <w:tcBorders>
              <w:top w:val="nil"/>
              <w:left w:val="nil"/>
              <w:bottom w:val="single" w:sz="4" w:space="0" w:color="auto"/>
              <w:right w:val="single" w:sz="4" w:space="0" w:color="auto"/>
            </w:tcBorders>
            <w:shd w:val="clear" w:color="auto" w:fill="auto"/>
            <w:noWrap/>
            <w:vAlign w:val="center"/>
            <w:hideMark/>
          </w:tcPr>
          <w:p w14:paraId="25221BF5" w14:textId="58CBF495"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14.617.705</w:t>
            </w:r>
          </w:p>
        </w:tc>
        <w:tc>
          <w:tcPr>
            <w:tcW w:w="1142" w:type="dxa"/>
            <w:tcBorders>
              <w:top w:val="nil"/>
              <w:left w:val="nil"/>
              <w:bottom w:val="single" w:sz="4" w:space="0" w:color="auto"/>
              <w:right w:val="single" w:sz="4" w:space="0" w:color="auto"/>
            </w:tcBorders>
            <w:shd w:val="clear" w:color="auto" w:fill="auto"/>
            <w:vAlign w:val="center"/>
            <w:hideMark/>
          </w:tcPr>
          <w:p w14:paraId="28974F23" w14:textId="34BE53CC"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0,91 %</w:t>
            </w:r>
          </w:p>
        </w:tc>
        <w:tc>
          <w:tcPr>
            <w:tcW w:w="1143" w:type="dxa"/>
            <w:tcBorders>
              <w:top w:val="nil"/>
              <w:left w:val="nil"/>
              <w:bottom w:val="single" w:sz="4" w:space="0" w:color="auto"/>
              <w:right w:val="single" w:sz="4" w:space="0" w:color="auto"/>
            </w:tcBorders>
            <w:shd w:val="clear" w:color="auto" w:fill="auto"/>
            <w:vAlign w:val="center"/>
            <w:hideMark/>
          </w:tcPr>
          <w:p w14:paraId="4FC3AFFB" w14:textId="45BD43E1" w:rsidR="000628EF" w:rsidRPr="000628EF" w:rsidRDefault="000628EF" w:rsidP="000628EF">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1,52 %</w:t>
            </w:r>
          </w:p>
        </w:tc>
      </w:tr>
      <w:tr w:rsidR="000628EF" w:rsidRPr="000628EF" w14:paraId="6F481E5A" w14:textId="77777777" w:rsidTr="000628EF">
        <w:trPr>
          <w:trHeight w:val="255"/>
          <w:jc w:val="center"/>
        </w:trPr>
        <w:tc>
          <w:tcPr>
            <w:tcW w:w="130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90FD9B" w14:textId="77777777" w:rsidR="000628EF" w:rsidRPr="000628EF" w:rsidRDefault="000628EF" w:rsidP="000628EF">
            <w:pPr>
              <w:spacing w:after="0" w:line="240" w:lineRule="auto"/>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Skupaj</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0C5DDAC2" w14:textId="4297031C" w:rsidR="000628EF" w:rsidRPr="000628EF" w:rsidRDefault="000628EF" w:rsidP="000628EF">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6.924</w:t>
            </w:r>
          </w:p>
        </w:tc>
        <w:tc>
          <w:tcPr>
            <w:tcW w:w="2418" w:type="dxa"/>
            <w:tcBorders>
              <w:top w:val="nil"/>
              <w:left w:val="nil"/>
              <w:bottom w:val="single" w:sz="4" w:space="0" w:color="auto"/>
              <w:right w:val="single" w:sz="4" w:space="0" w:color="auto"/>
            </w:tcBorders>
            <w:shd w:val="clear" w:color="auto" w:fill="F2F2F2" w:themeFill="background1" w:themeFillShade="F2"/>
            <w:noWrap/>
            <w:vAlign w:val="center"/>
            <w:hideMark/>
          </w:tcPr>
          <w:p w14:paraId="079E07D7" w14:textId="781D1ACC" w:rsidR="000628EF" w:rsidRPr="000628EF" w:rsidRDefault="000628EF" w:rsidP="000628EF">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961.337.753</w:t>
            </w:r>
          </w:p>
        </w:tc>
        <w:tc>
          <w:tcPr>
            <w:tcW w:w="1142" w:type="dxa"/>
            <w:tcBorders>
              <w:top w:val="nil"/>
              <w:left w:val="nil"/>
              <w:bottom w:val="single" w:sz="4" w:space="0" w:color="auto"/>
              <w:right w:val="single" w:sz="4" w:space="0" w:color="auto"/>
            </w:tcBorders>
            <w:shd w:val="clear" w:color="auto" w:fill="F2F2F2" w:themeFill="background1" w:themeFillShade="F2"/>
            <w:vAlign w:val="center"/>
            <w:hideMark/>
          </w:tcPr>
          <w:p w14:paraId="549F81E5" w14:textId="5F30F597" w:rsidR="000628EF" w:rsidRPr="000628EF" w:rsidRDefault="000628EF" w:rsidP="000628EF">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c>
          <w:tcPr>
            <w:tcW w:w="1143" w:type="dxa"/>
            <w:tcBorders>
              <w:top w:val="nil"/>
              <w:left w:val="nil"/>
              <w:bottom w:val="single" w:sz="4" w:space="0" w:color="auto"/>
              <w:right w:val="single" w:sz="4" w:space="0" w:color="auto"/>
            </w:tcBorders>
            <w:shd w:val="clear" w:color="auto" w:fill="F2F2F2" w:themeFill="background1" w:themeFillShade="F2"/>
            <w:vAlign w:val="center"/>
            <w:hideMark/>
          </w:tcPr>
          <w:p w14:paraId="06471047" w14:textId="6969A278" w:rsidR="000628EF" w:rsidRPr="000628EF" w:rsidRDefault="000628EF" w:rsidP="000628EF">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r>
    </w:tbl>
    <w:p w14:paraId="487BB204" w14:textId="71682DE5" w:rsidR="00A83A44" w:rsidRPr="000628EF" w:rsidRDefault="00A83A44" w:rsidP="00A83A44">
      <w:pPr>
        <w:pStyle w:val="ZADEVA"/>
        <w:jc w:val="both"/>
        <w:rPr>
          <w:rFonts w:cs="Arial"/>
          <w:bCs/>
          <w:color w:val="000000" w:themeColor="text1"/>
          <w:szCs w:val="20"/>
          <w:lang w:val="sl-SI"/>
        </w:rPr>
      </w:pPr>
    </w:p>
    <w:p w14:paraId="2EC286B6" w14:textId="25C1DFFA" w:rsidR="00D05AA7" w:rsidRPr="000628EF" w:rsidRDefault="00D05AA7" w:rsidP="000D71AD">
      <w:pPr>
        <w:spacing w:after="0" w:line="240" w:lineRule="auto"/>
        <w:jc w:val="center"/>
        <w:rPr>
          <w:rFonts w:ascii="Arial" w:hAnsi="Arial" w:cs="Arial"/>
          <w:color w:val="000000" w:themeColor="text1"/>
          <w:sz w:val="18"/>
        </w:rPr>
      </w:pPr>
      <w:r w:rsidRPr="000628EF">
        <w:rPr>
          <w:rFonts w:ascii="Arial" w:hAnsi="Arial" w:cs="Arial"/>
          <w:color w:val="000000" w:themeColor="text1"/>
          <w:sz w:val="18"/>
        </w:rPr>
        <w:t>Vir: Statistični podatki o javnih naročilih, oddanih v let</w:t>
      </w:r>
      <w:r w:rsidR="008D541C" w:rsidRPr="000628EF">
        <w:rPr>
          <w:rFonts w:ascii="Arial" w:hAnsi="Arial" w:cs="Arial"/>
          <w:color w:val="000000" w:themeColor="text1"/>
          <w:sz w:val="18"/>
        </w:rPr>
        <w:t>u 20</w:t>
      </w:r>
      <w:r w:rsidR="002E37C7" w:rsidRPr="000628EF">
        <w:rPr>
          <w:rFonts w:ascii="Arial" w:hAnsi="Arial" w:cs="Arial"/>
          <w:color w:val="000000" w:themeColor="text1"/>
          <w:sz w:val="18"/>
        </w:rPr>
        <w:t>2</w:t>
      </w:r>
      <w:r w:rsidR="00373CD1" w:rsidRPr="000628EF">
        <w:rPr>
          <w:rFonts w:ascii="Arial" w:hAnsi="Arial" w:cs="Arial"/>
          <w:color w:val="000000" w:themeColor="text1"/>
          <w:sz w:val="18"/>
        </w:rPr>
        <w:t>3</w:t>
      </w:r>
      <w:r w:rsidR="00AA31A7" w:rsidRPr="000628EF">
        <w:rPr>
          <w:rFonts w:ascii="Arial" w:hAnsi="Arial" w:cs="Arial"/>
          <w:color w:val="000000" w:themeColor="text1"/>
          <w:sz w:val="18"/>
        </w:rPr>
        <w:t>.</w:t>
      </w:r>
    </w:p>
    <w:p w14:paraId="5A9A8565" w14:textId="77777777" w:rsidR="000D71AD" w:rsidRPr="000628EF" w:rsidRDefault="000D71AD" w:rsidP="00701C10">
      <w:pPr>
        <w:spacing w:after="240" w:line="240" w:lineRule="auto"/>
        <w:jc w:val="center"/>
        <w:rPr>
          <w:rFonts w:ascii="Arial" w:hAnsi="Arial" w:cs="Arial"/>
          <w:color w:val="FF0000"/>
          <w:sz w:val="18"/>
        </w:rPr>
      </w:pPr>
    </w:p>
    <w:p w14:paraId="6EE42036" w14:textId="583AF3D5" w:rsidR="001409E3" w:rsidRPr="000628EF" w:rsidRDefault="001409E3" w:rsidP="003D6614">
      <w:pPr>
        <w:pStyle w:val="Naslov3"/>
      </w:pPr>
      <w:bookmarkStart w:id="13" w:name="_Toc175563850"/>
      <w:r w:rsidRPr="000628EF">
        <w:t>2.2.2 Naročila, objavljena na portalu ja</w:t>
      </w:r>
      <w:r w:rsidR="00B83352" w:rsidRPr="000628EF">
        <w:t>vnih naročil in v Uradnem listu Evropske unije</w:t>
      </w:r>
      <w:bookmarkEnd w:id="13"/>
    </w:p>
    <w:p w14:paraId="40B4AFBA" w14:textId="77777777" w:rsidR="00854405" w:rsidRPr="000628EF" w:rsidRDefault="00854405" w:rsidP="00854405">
      <w:pPr>
        <w:pStyle w:val="ZADEVA"/>
        <w:jc w:val="both"/>
        <w:rPr>
          <w:rFonts w:cs="Arial"/>
          <w:b w:val="0"/>
          <w:color w:val="FF0000"/>
          <w:szCs w:val="20"/>
          <w:lang w:val="sl-SI"/>
        </w:rPr>
      </w:pPr>
    </w:p>
    <w:p w14:paraId="330C303B" w14:textId="042CECC4" w:rsidR="00C00704" w:rsidRPr="000628EF" w:rsidRDefault="00C00704" w:rsidP="00C00704">
      <w:pPr>
        <w:tabs>
          <w:tab w:val="left" w:pos="567"/>
          <w:tab w:val="left" w:pos="993"/>
        </w:tabs>
        <w:spacing w:line="360" w:lineRule="auto"/>
        <w:jc w:val="both"/>
        <w:rPr>
          <w:rFonts w:ascii="Arial" w:hAnsi="Arial" w:cs="Arial"/>
          <w:bCs/>
          <w:color w:val="000000" w:themeColor="text1"/>
          <w:sz w:val="20"/>
          <w:szCs w:val="20"/>
        </w:rPr>
      </w:pPr>
      <w:r w:rsidRPr="000628EF">
        <w:rPr>
          <w:rFonts w:ascii="Arial" w:hAnsi="Arial" w:cs="Arial"/>
          <w:bCs/>
          <w:color w:val="000000" w:themeColor="text1"/>
          <w:sz w:val="20"/>
          <w:szCs w:val="20"/>
        </w:rPr>
        <w:t xml:space="preserve">Med naročili, ki so jih naročniki </w:t>
      </w:r>
      <w:r w:rsidR="00EC1BBF" w:rsidRPr="000628EF">
        <w:rPr>
          <w:rFonts w:ascii="Arial" w:hAnsi="Arial" w:cs="Arial"/>
          <w:bCs/>
          <w:color w:val="000000" w:themeColor="text1"/>
          <w:sz w:val="20"/>
          <w:szCs w:val="20"/>
        </w:rPr>
        <w:t xml:space="preserve">leta </w:t>
      </w:r>
      <w:r w:rsidRPr="000628EF">
        <w:rPr>
          <w:rFonts w:ascii="Arial" w:hAnsi="Arial" w:cs="Arial"/>
          <w:bCs/>
          <w:color w:val="000000" w:themeColor="text1"/>
          <w:sz w:val="20"/>
          <w:szCs w:val="20"/>
        </w:rPr>
        <w:t>20</w:t>
      </w:r>
      <w:r w:rsidR="009A7A16" w:rsidRPr="000628EF">
        <w:rPr>
          <w:rFonts w:ascii="Arial" w:hAnsi="Arial" w:cs="Arial"/>
          <w:bCs/>
          <w:color w:val="000000" w:themeColor="text1"/>
          <w:sz w:val="20"/>
          <w:szCs w:val="20"/>
        </w:rPr>
        <w:t>2</w:t>
      </w:r>
      <w:r w:rsidR="005732BD" w:rsidRPr="000628EF">
        <w:rPr>
          <w:rFonts w:ascii="Arial" w:hAnsi="Arial" w:cs="Arial"/>
          <w:bCs/>
          <w:color w:val="000000" w:themeColor="text1"/>
          <w:sz w:val="20"/>
          <w:szCs w:val="20"/>
        </w:rPr>
        <w:t xml:space="preserve">3 </w:t>
      </w:r>
      <w:r w:rsidRPr="000628EF">
        <w:rPr>
          <w:rFonts w:ascii="Arial" w:hAnsi="Arial" w:cs="Arial"/>
          <w:bCs/>
          <w:color w:val="000000" w:themeColor="text1"/>
          <w:sz w:val="20"/>
          <w:szCs w:val="20"/>
        </w:rPr>
        <w:t xml:space="preserve">objavili na portalu javnih naročil in v Uradnem listu Evropske unije, prevladujejo naročila blaga, ki številčno </w:t>
      </w:r>
      <w:r w:rsidR="00EC1BBF" w:rsidRPr="000628EF">
        <w:rPr>
          <w:rFonts w:ascii="Arial" w:hAnsi="Arial" w:cs="Arial"/>
          <w:bCs/>
          <w:color w:val="000000" w:themeColor="text1"/>
          <w:sz w:val="20"/>
          <w:szCs w:val="20"/>
        </w:rPr>
        <w:t xml:space="preserve">pomenijo </w:t>
      </w:r>
      <w:r w:rsidR="005732BD" w:rsidRPr="000628EF">
        <w:rPr>
          <w:rFonts w:ascii="Arial" w:hAnsi="Arial" w:cs="Arial"/>
          <w:bCs/>
          <w:color w:val="000000" w:themeColor="text1"/>
          <w:sz w:val="20"/>
          <w:szCs w:val="20"/>
        </w:rPr>
        <w:t>73,2</w:t>
      </w:r>
      <w:r w:rsidR="00C56EA2" w:rsidRPr="000628EF">
        <w:rPr>
          <w:rFonts w:ascii="Arial" w:hAnsi="Arial" w:cs="Arial"/>
          <w:bCs/>
          <w:color w:val="000000" w:themeColor="text1"/>
          <w:sz w:val="20"/>
          <w:szCs w:val="20"/>
        </w:rPr>
        <w:t>6</w:t>
      </w:r>
      <w:r w:rsidR="00AA31A7" w:rsidRPr="000628EF">
        <w:rPr>
          <w:rFonts w:ascii="Arial" w:hAnsi="Arial" w:cs="Arial"/>
          <w:bCs/>
          <w:color w:val="000000" w:themeColor="text1"/>
          <w:sz w:val="20"/>
          <w:szCs w:val="20"/>
        </w:rPr>
        <w:t> </w:t>
      </w:r>
      <w:r w:rsidR="00AC0027" w:rsidRPr="000628EF">
        <w:rPr>
          <w:rFonts w:ascii="Arial" w:hAnsi="Arial" w:cs="Arial"/>
          <w:bCs/>
          <w:color w:val="000000" w:themeColor="text1"/>
          <w:sz w:val="20"/>
          <w:szCs w:val="20"/>
        </w:rPr>
        <w:t>odstotka</w:t>
      </w:r>
      <w:r w:rsidRPr="000628EF">
        <w:rPr>
          <w:rFonts w:ascii="Arial" w:hAnsi="Arial" w:cs="Arial"/>
          <w:bCs/>
          <w:color w:val="000000" w:themeColor="text1"/>
          <w:sz w:val="20"/>
          <w:szCs w:val="20"/>
        </w:rPr>
        <w:t xml:space="preserve"> vseh objavljenih naročil, vrednostno pa </w:t>
      </w:r>
      <w:r w:rsidR="005732BD" w:rsidRPr="000628EF">
        <w:rPr>
          <w:rFonts w:ascii="Arial" w:hAnsi="Arial" w:cs="Arial"/>
          <w:bCs/>
          <w:color w:val="000000" w:themeColor="text1"/>
          <w:sz w:val="20"/>
          <w:szCs w:val="20"/>
        </w:rPr>
        <w:t>4</w:t>
      </w:r>
      <w:r w:rsidR="00843753" w:rsidRPr="000628EF">
        <w:rPr>
          <w:rFonts w:ascii="Arial" w:hAnsi="Arial" w:cs="Arial"/>
          <w:bCs/>
          <w:color w:val="000000" w:themeColor="text1"/>
          <w:sz w:val="20"/>
          <w:szCs w:val="20"/>
        </w:rPr>
        <w:t>5,73</w:t>
      </w:r>
      <w:r w:rsidR="00AA31A7" w:rsidRPr="000628EF">
        <w:rPr>
          <w:rFonts w:ascii="Arial" w:hAnsi="Arial" w:cs="Arial"/>
          <w:bCs/>
          <w:color w:val="000000" w:themeColor="text1"/>
          <w:sz w:val="20"/>
          <w:szCs w:val="20"/>
        </w:rPr>
        <w:t> </w:t>
      </w:r>
      <w:r w:rsidR="00AC0027" w:rsidRPr="000628EF">
        <w:rPr>
          <w:rFonts w:ascii="Arial" w:hAnsi="Arial" w:cs="Arial"/>
          <w:bCs/>
          <w:color w:val="000000" w:themeColor="text1"/>
          <w:sz w:val="20"/>
          <w:szCs w:val="20"/>
        </w:rPr>
        <w:t>odstotka</w:t>
      </w:r>
      <w:r w:rsidRPr="000628EF">
        <w:rPr>
          <w:rFonts w:ascii="Arial" w:hAnsi="Arial" w:cs="Arial"/>
          <w:bCs/>
          <w:color w:val="000000" w:themeColor="text1"/>
          <w:sz w:val="20"/>
          <w:szCs w:val="20"/>
        </w:rPr>
        <w:t xml:space="preserve">. </w:t>
      </w:r>
    </w:p>
    <w:p w14:paraId="7502CA81" w14:textId="5812DB61" w:rsidR="00897156" w:rsidRPr="000628EF" w:rsidRDefault="00C00704" w:rsidP="00897156">
      <w:pPr>
        <w:tabs>
          <w:tab w:val="left" w:pos="567"/>
          <w:tab w:val="left" w:pos="993"/>
        </w:tabs>
        <w:spacing w:line="360" w:lineRule="auto"/>
        <w:jc w:val="both"/>
        <w:rPr>
          <w:rFonts w:ascii="Arial" w:hAnsi="Arial" w:cs="Arial"/>
          <w:bCs/>
          <w:color w:val="000000" w:themeColor="text1"/>
          <w:sz w:val="20"/>
          <w:szCs w:val="20"/>
        </w:rPr>
      </w:pPr>
      <w:r w:rsidRPr="000628EF">
        <w:rPr>
          <w:rFonts w:ascii="Arial" w:hAnsi="Arial" w:cs="Arial"/>
          <w:bCs/>
          <w:color w:val="000000" w:themeColor="text1"/>
          <w:sz w:val="20"/>
          <w:szCs w:val="20"/>
        </w:rPr>
        <w:t>V</w:t>
      </w:r>
      <w:r w:rsidR="00AA7070" w:rsidRPr="000628EF">
        <w:rPr>
          <w:rFonts w:ascii="Arial" w:hAnsi="Arial" w:cs="Arial"/>
          <w:bCs/>
          <w:color w:val="000000" w:themeColor="text1"/>
          <w:sz w:val="20"/>
          <w:szCs w:val="20"/>
        </w:rPr>
        <w:t>ečina</w:t>
      </w:r>
      <w:r w:rsidRPr="000628EF">
        <w:rPr>
          <w:rFonts w:ascii="Arial" w:hAnsi="Arial" w:cs="Arial"/>
          <w:bCs/>
          <w:color w:val="000000" w:themeColor="text1"/>
          <w:sz w:val="20"/>
          <w:szCs w:val="20"/>
        </w:rPr>
        <w:t xml:space="preserve"> naročil, ki so jih naročniki let</w:t>
      </w:r>
      <w:r w:rsidR="00EC1BBF" w:rsidRPr="000628EF">
        <w:rPr>
          <w:rFonts w:ascii="Arial" w:hAnsi="Arial" w:cs="Arial"/>
          <w:bCs/>
          <w:color w:val="000000" w:themeColor="text1"/>
          <w:sz w:val="20"/>
          <w:szCs w:val="20"/>
        </w:rPr>
        <w:t>a</w:t>
      </w:r>
      <w:r w:rsidRPr="000628EF">
        <w:rPr>
          <w:rFonts w:ascii="Arial" w:hAnsi="Arial" w:cs="Arial"/>
          <w:bCs/>
          <w:color w:val="000000" w:themeColor="text1"/>
          <w:sz w:val="20"/>
          <w:szCs w:val="20"/>
        </w:rPr>
        <w:t xml:space="preserve"> 20</w:t>
      </w:r>
      <w:r w:rsidR="009A7A16" w:rsidRPr="000628EF">
        <w:rPr>
          <w:rFonts w:ascii="Arial" w:hAnsi="Arial" w:cs="Arial"/>
          <w:bCs/>
          <w:color w:val="000000" w:themeColor="text1"/>
          <w:sz w:val="20"/>
          <w:szCs w:val="20"/>
        </w:rPr>
        <w:t>2</w:t>
      </w:r>
      <w:r w:rsidR="00F41778" w:rsidRPr="000628EF">
        <w:rPr>
          <w:rFonts w:ascii="Arial" w:hAnsi="Arial" w:cs="Arial"/>
          <w:bCs/>
          <w:color w:val="000000" w:themeColor="text1"/>
          <w:sz w:val="20"/>
          <w:szCs w:val="20"/>
        </w:rPr>
        <w:t>3</w:t>
      </w:r>
      <w:r w:rsidRPr="000628EF">
        <w:rPr>
          <w:rFonts w:ascii="Arial" w:hAnsi="Arial" w:cs="Arial"/>
          <w:bCs/>
          <w:color w:val="000000" w:themeColor="text1"/>
          <w:sz w:val="20"/>
          <w:szCs w:val="20"/>
        </w:rPr>
        <w:t xml:space="preserve"> objavili na portalu javnih naročil in v Uradnem listu Evropske unije, je bila </w:t>
      </w:r>
      <w:r w:rsidR="00C44197" w:rsidRPr="000628EF">
        <w:rPr>
          <w:rFonts w:ascii="Arial" w:hAnsi="Arial" w:cs="Arial"/>
          <w:bCs/>
          <w:color w:val="000000" w:themeColor="text1"/>
          <w:sz w:val="20"/>
          <w:szCs w:val="20"/>
        </w:rPr>
        <w:t>s</w:t>
      </w:r>
      <w:r w:rsidRPr="000628EF">
        <w:rPr>
          <w:rFonts w:ascii="Arial" w:hAnsi="Arial" w:cs="Arial"/>
          <w:bCs/>
          <w:color w:val="000000" w:themeColor="text1"/>
          <w:sz w:val="20"/>
          <w:szCs w:val="20"/>
        </w:rPr>
        <w:t xml:space="preserve"> splošne</w:t>
      </w:r>
      <w:r w:rsidR="00C44197" w:rsidRPr="000628EF">
        <w:rPr>
          <w:rFonts w:ascii="Arial" w:hAnsi="Arial" w:cs="Arial"/>
          <w:bCs/>
          <w:color w:val="000000" w:themeColor="text1"/>
          <w:sz w:val="20"/>
          <w:szCs w:val="20"/>
        </w:rPr>
        <w:t>ga</w:t>
      </w:r>
      <w:r w:rsidRPr="000628EF">
        <w:rPr>
          <w:rFonts w:ascii="Arial" w:hAnsi="Arial" w:cs="Arial"/>
          <w:bCs/>
          <w:color w:val="000000" w:themeColor="text1"/>
          <w:sz w:val="20"/>
          <w:szCs w:val="20"/>
        </w:rPr>
        <w:t xml:space="preserve"> področj</w:t>
      </w:r>
      <w:r w:rsidR="00C44197" w:rsidRPr="000628EF">
        <w:rPr>
          <w:rFonts w:ascii="Arial" w:hAnsi="Arial" w:cs="Arial"/>
          <w:bCs/>
          <w:color w:val="000000" w:themeColor="text1"/>
          <w:sz w:val="20"/>
          <w:szCs w:val="20"/>
        </w:rPr>
        <w:t>a</w:t>
      </w:r>
      <w:r w:rsidRPr="000628EF">
        <w:rPr>
          <w:rFonts w:ascii="Arial" w:hAnsi="Arial" w:cs="Arial"/>
          <w:bCs/>
          <w:color w:val="000000" w:themeColor="text1"/>
          <w:sz w:val="20"/>
          <w:szCs w:val="20"/>
        </w:rPr>
        <w:t xml:space="preserve">. V skupnem številu objavljenih naročil </w:t>
      </w:r>
      <w:r w:rsidR="00EC1BBF" w:rsidRPr="000628EF">
        <w:rPr>
          <w:rFonts w:ascii="Arial" w:hAnsi="Arial" w:cs="Arial"/>
          <w:bCs/>
          <w:color w:val="000000" w:themeColor="text1"/>
          <w:sz w:val="20"/>
          <w:szCs w:val="20"/>
        </w:rPr>
        <w:t xml:space="preserve">pomenijo </w:t>
      </w:r>
      <w:r w:rsidR="00480F76" w:rsidRPr="000628EF">
        <w:rPr>
          <w:rFonts w:ascii="Arial" w:hAnsi="Arial" w:cs="Arial"/>
          <w:bCs/>
          <w:color w:val="000000" w:themeColor="text1"/>
          <w:sz w:val="20"/>
          <w:szCs w:val="20"/>
        </w:rPr>
        <w:t>88,97</w:t>
      </w:r>
      <w:r w:rsidR="00AA31A7" w:rsidRPr="000628EF">
        <w:rPr>
          <w:rFonts w:ascii="Arial" w:hAnsi="Arial" w:cs="Arial"/>
          <w:bCs/>
          <w:color w:val="000000" w:themeColor="text1"/>
          <w:sz w:val="20"/>
          <w:szCs w:val="20"/>
        </w:rPr>
        <w:t> </w:t>
      </w:r>
      <w:r w:rsidR="00AC0027" w:rsidRPr="000628EF">
        <w:rPr>
          <w:rFonts w:ascii="Arial" w:hAnsi="Arial" w:cs="Arial"/>
          <w:bCs/>
          <w:color w:val="000000" w:themeColor="text1"/>
          <w:sz w:val="20"/>
          <w:szCs w:val="20"/>
        </w:rPr>
        <w:t>odstotka</w:t>
      </w:r>
      <w:r w:rsidRPr="000628EF">
        <w:rPr>
          <w:rFonts w:ascii="Arial" w:hAnsi="Arial" w:cs="Arial"/>
          <w:bCs/>
          <w:color w:val="000000" w:themeColor="text1"/>
          <w:sz w:val="20"/>
          <w:szCs w:val="20"/>
        </w:rPr>
        <w:t>, vredn</w:t>
      </w:r>
      <w:r w:rsidR="00C44197" w:rsidRPr="000628EF">
        <w:rPr>
          <w:rFonts w:ascii="Arial" w:hAnsi="Arial" w:cs="Arial"/>
          <w:bCs/>
          <w:color w:val="000000" w:themeColor="text1"/>
          <w:sz w:val="20"/>
          <w:szCs w:val="20"/>
        </w:rPr>
        <w:t>os</w:t>
      </w:r>
      <w:r w:rsidRPr="000628EF">
        <w:rPr>
          <w:rFonts w:ascii="Arial" w:hAnsi="Arial" w:cs="Arial"/>
          <w:bCs/>
          <w:color w:val="000000" w:themeColor="text1"/>
          <w:sz w:val="20"/>
          <w:szCs w:val="20"/>
        </w:rPr>
        <w:t xml:space="preserve">tno pa </w:t>
      </w:r>
      <w:r w:rsidR="00843753" w:rsidRPr="000628EF">
        <w:rPr>
          <w:rFonts w:ascii="Arial" w:hAnsi="Arial" w:cs="Arial"/>
          <w:bCs/>
          <w:color w:val="000000" w:themeColor="text1"/>
          <w:sz w:val="20"/>
          <w:szCs w:val="20"/>
        </w:rPr>
        <w:t>73,65</w:t>
      </w:r>
      <w:r w:rsidR="00AA31A7" w:rsidRPr="000628EF">
        <w:rPr>
          <w:rFonts w:ascii="Arial" w:hAnsi="Arial" w:cs="Arial"/>
          <w:bCs/>
          <w:color w:val="000000" w:themeColor="text1"/>
          <w:sz w:val="20"/>
          <w:szCs w:val="20"/>
        </w:rPr>
        <w:t> </w:t>
      </w:r>
      <w:r w:rsidR="00AC0027" w:rsidRPr="000628EF">
        <w:rPr>
          <w:rFonts w:ascii="Arial" w:hAnsi="Arial" w:cs="Arial"/>
          <w:bCs/>
          <w:color w:val="000000" w:themeColor="text1"/>
          <w:sz w:val="20"/>
          <w:szCs w:val="20"/>
        </w:rPr>
        <w:t>odstotka</w:t>
      </w:r>
      <w:r w:rsidRPr="000628EF">
        <w:rPr>
          <w:rFonts w:ascii="Arial" w:hAnsi="Arial" w:cs="Arial"/>
          <w:bCs/>
          <w:color w:val="000000" w:themeColor="text1"/>
          <w:sz w:val="20"/>
          <w:szCs w:val="20"/>
        </w:rPr>
        <w:t>.</w:t>
      </w:r>
    </w:p>
    <w:p w14:paraId="17FED4CB" w14:textId="071FB891" w:rsidR="008D541C" w:rsidRPr="000628EF" w:rsidRDefault="008D541C" w:rsidP="00843753">
      <w:pPr>
        <w:tabs>
          <w:tab w:val="left" w:pos="567"/>
          <w:tab w:val="left" w:pos="993"/>
        </w:tabs>
        <w:spacing w:line="276" w:lineRule="auto"/>
        <w:jc w:val="both"/>
        <w:rPr>
          <w:rFonts w:ascii="Arial" w:hAnsi="Arial" w:cs="Arial"/>
          <w:color w:val="000000" w:themeColor="text1"/>
          <w:sz w:val="20"/>
        </w:rPr>
      </w:pPr>
      <w:r w:rsidRPr="000628EF">
        <w:rPr>
          <w:rFonts w:ascii="Arial" w:hAnsi="Arial" w:cs="Arial"/>
          <w:color w:val="000000" w:themeColor="text1"/>
          <w:sz w:val="20"/>
        </w:rPr>
        <w:t xml:space="preserve">Preglednica </w:t>
      </w:r>
      <w:r w:rsidR="00EB4423" w:rsidRPr="000628EF">
        <w:rPr>
          <w:rFonts w:ascii="Arial" w:hAnsi="Arial" w:cs="Arial"/>
          <w:color w:val="000000" w:themeColor="text1"/>
          <w:sz w:val="20"/>
        </w:rPr>
        <w:t>6</w:t>
      </w:r>
      <w:r w:rsidRPr="000628EF">
        <w:rPr>
          <w:rFonts w:ascii="Arial" w:hAnsi="Arial" w:cs="Arial"/>
          <w:color w:val="000000" w:themeColor="text1"/>
          <w:sz w:val="20"/>
        </w:rPr>
        <w:t xml:space="preserve">: Vrednost, število in deleži javnih naročil, objavljenih </w:t>
      </w:r>
      <w:r w:rsidR="00BB70C3" w:rsidRPr="000628EF">
        <w:rPr>
          <w:rFonts w:ascii="Arial" w:hAnsi="Arial" w:cs="Arial"/>
          <w:color w:val="000000" w:themeColor="text1"/>
          <w:sz w:val="20"/>
        </w:rPr>
        <w:t xml:space="preserve">na </w:t>
      </w:r>
      <w:r w:rsidR="00E61134" w:rsidRPr="000628EF">
        <w:rPr>
          <w:rFonts w:ascii="Arial" w:hAnsi="Arial" w:cs="Arial"/>
          <w:color w:val="000000" w:themeColor="text1"/>
          <w:sz w:val="20"/>
        </w:rPr>
        <w:t xml:space="preserve">portalu javnih naročil in v </w:t>
      </w:r>
      <w:r w:rsidR="002B7C52" w:rsidRPr="000628EF">
        <w:rPr>
          <w:rFonts w:ascii="Arial" w:hAnsi="Arial" w:cs="Arial"/>
          <w:color w:val="000000" w:themeColor="text1"/>
          <w:sz w:val="20"/>
        </w:rPr>
        <w:t>U</w:t>
      </w:r>
      <w:r w:rsidR="00E61134" w:rsidRPr="000628EF">
        <w:rPr>
          <w:rFonts w:ascii="Arial" w:hAnsi="Arial" w:cs="Arial"/>
          <w:color w:val="000000" w:themeColor="text1"/>
          <w:sz w:val="20"/>
        </w:rPr>
        <w:t>radnem listu Evropske unije, po področj</w:t>
      </w:r>
      <w:r w:rsidR="00116B76" w:rsidRPr="000628EF">
        <w:rPr>
          <w:rFonts w:ascii="Arial" w:hAnsi="Arial" w:cs="Arial"/>
          <w:color w:val="000000" w:themeColor="text1"/>
          <w:sz w:val="20"/>
        </w:rPr>
        <w:t>ih</w:t>
      </w:r>
      <w:r w:rsidR="00E61134" w:rsidRPr="000628EF">
        <w:rPr>
          <w:rFonts w:ascii="Arial" w:hAnsi="Arial" w:cs="Arial"/>
          <w:color w:val="000000" w:themeColor="text1"/>
          <w:sz w:val="20"/>
        </w:rPr>
        <w:t xml:space="preserve"> in predmet</w:t>
      </w:r>
      <w:r w:rsidR="00116B76" w:rsidRPr="000628EF">
        <w:rPr>
          <w:rFonts w:ascii="Arial" w:hAnsi="Arial" w:cs="Arial"/>
          <w:color w:val="000000" w:themeColor="text1"/>
          <w:sz w:val="20"/>
        </w:rPr>
        <w:t>ih</w:t>
      </w:r>
      <w:r w:rsidR="00E61134" w:rsidRPr="000628EF">
        <w:rPr>
          <w:rFonts w:ascii="Arial" w:hAnsi="Arial" w:cs="Arial"/>
          <w:color w:val="000000" w:themeColor="text1"/>
          <w:sz w:val="20"/>
        </w:rPr>
        <w:t xml:space="preserve"> naročanja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1104"/>
        <w:gridCol w:w="851"/>
        <w:gridCol w:w="1984"/>
        <w:gridCol w:w="992"/>
        <w:gridCol w:w="993"/>
        <w:gridCol w:w="992"/>
        <w:gridCol w:w="992"/>
      </w:tblGrid>
      <w:tr w:rsidR="00843753" w:rsidRPr="000628EF" w14:paraId="746446C1" w14:textId="77777777" w:rsidTr="000C3ABF">
        <w:trPr>
          <w:trHeight w:val="255"/>
        </w:trPr>
        <w:tc>
          <w:tcPr>
            <w:tcW w:w="1301" w:type="dxa"/>
            <w:shd w:val="clear" w:color="auto" w:fill="F2F2F2" w:themeFill="background1" w:themeFillShade="F2"/>
            <w:vAlign w:val="center"/>
            <w:hideMark/>
          </w:tcPr>
          <w:p w14:paraId="2EF2FC3C" w14:textId="77777777" w:rsidR="00810FC3" w:rsidRPr="000628EF" w:rsidRDefault="00810FC3" w:rsidP="00810FC3">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Področje</w:t>
            </w:r>
          </w:p>
        </w:tc>
        <w:tc>
          <w:tcPr>
            <w:tcW w:w="1104" w:type="dxa"/>
            <w:shd w:val="clear" w:color="auto" w:fill="F2F2F2" w:themeFill="background1" w:themeFillShade="F2"/>
            <w:vAlign w:val="center"/>
            <w:hideMark/>
          </w:tcPr>
          <w:p w14:paraId="3AC3594C" w14:textId="77777777" w:rsidR="00810FC3" w:rsidRPr="000628EF" w:rsidRDefault="00810FC3" w:rsidP="00810FC3">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 xml:space="preserve">Predmet </w:t>
            </w:r>
          </w:p>
        </w:tc>
        <w:tc>
          <w:tcPr>
            <w:tcW w:w="851" w:type="dxa"/>
            <w:shd w:val="clear" w:color="auto" w:fill="F2F2F2" w:themeFill="background1" w:themeFillShade="F2"/>
            <w:vAlign w:val="center"/>
            <w:hideMark/>
          </w:tcPr>
          <w:p w14:paraId="734587BB" w14:textId="77777777" w:rsidR="00810FC3" w:rsidRPr="000628EF" w:rsidRDefault="00810FC3" w:rsidP="00810FC3">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Št. naročil</w:t>
            </w:r>
          </w:p>
        </w:tc>
        <w:tc>
          <w:tcPr>
            <w:tcW w:w="1984" w:type="dxa"/>
            <w:shd w:val="clear" w:color="auto" w:fill="F2F2F2" w:themeFill="background1" w:themeFillShade="F2"/>
            <w:vAlign w:val="center"/>
            <w:hideMark/>
          </w:tcPr>
          <w:p w14:paraId="4D7509F1" w14:textId="7E77F17B" w:rsidR="00810FC3" w:rsidRPr="000628EF" w:rsidRDefault="00810FC3" w:rsidP="00810FC3">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Pogodbena vrednost</w:t>
            </w:r>
            <w:r w:rsidR="00864791" w:rsidRPr="000628EF">
              <w:rPr>
                <w:rFonts w:ascii="Arial" w:eastAsia="Times New Roman" w:hAnsi="Arial" w:cs="Arial"/>
                <w:color w:val="000000" w:themeColor="text1"/>
                <w:sz w:val="18"/>
                <w:szCs w:val="18"/>
                <w:lang w:eastAsia="sl-SI"/>
              </w:rPr>
              <w:t xml:space="preserve"> (v EUR)</w:t>
            </w:r>
          </w:p>
        </w:tc>
        <w:tc>
          <w:tcPr>
            <w:tcW w:w="992" w:type="dxa"/>
            <w:shd w:val="clear" w:color="auto" w:fill="F2F2F2" w:themeFill="background1" w:themeFillShade="F2"/>
            <w:vAlign w:val="center"/>
            <w:hideMark/>
          </w:tcPr>
          <w:p w14:paraId="1E0B49E1" w14:textId="77777777" w:rsidR="00810FC3" w:rsidRPr="000628EF" w:rsidRDefault="00810FC3" w:rsidP="00810FC3">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Delež v št. naročil na vseh področjih</w:t>
            </w:r>
          </w:p>
        </w:tc>
        <w:tc>
          <w:tcPr>
            <w:tcW w:w="993" w:type="dxa"/>
            <w:shd w:val="clear" w:color="auto" w:fill="F2F2F2" w:themeFill="background1" w:themeFillShade="F2"/>
            <w:vAlign w:val="center"/>
            <w:hideMark/>
          </w:tcPr>
          <w:p w14:paraId="321E02B9" w14:textId="77777777" w:rsidR="00810FC3" w:rsidRPr="000628EF" w:rsidRDefault="00810FC3" w:rsidP="00810FC3">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Delež v vrednosti na vseh področjih</w:t>
            </w:r>
          </w:p>
        </w:tc>
        <w:tc>
          <w:tcPr>
            <w:tcW w:w="992" w:type="dxa"/>
            <w:shd w:val="clear" w:color="auto" w:fill="F2F2F2" w:themeFill="background1" w:themeFillShade="F2"/>
            <w:vAlign w:val="center"/>
            <w:hideMark/>
          </w:tcPr>
          <w:p w14:paraId="445B3FB5" w14:textId="77777777" w:rsidR="00810FC3" w:rsidRPr="000628EF" w:rsidRDefault="00810FC3" w:rsidP="00810FC3">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Delež v št. naročil na istem področju</w:t>
            </w:r>
          </w:p>
        </w:tc>
        <w:tc>
          <w:tcPr>
            <w:tcW w:w="992" w:type="dxa"/>
            <w:shd w:val="clear" w:color="auto" w:fill="F2F2F2" w:themeFill="background1" w:themeFillShade="F2"/>
            <w:vAlign w:val="center"/>
            <w:hideMark/>
          </w:tcPr>
          <w:p w14:paraId="7BA7EE0C" w14:textId="77777777" w:rsidR="00810FC3" w:rsidRPr="000628EF" w:rsidRDefault="00810FC3" w:rsidP="00810FC3">
            <w:pPr>
              <w:spacing w:after="0" w:line="240" w:lineRule="auto"/>
              <w:jc w:val="center"/>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Delež v vrednosti na istem področju</w:t>
            </w:r>
          </w:p>
        </w:tc>
      </w:tr>
      <w:tr w:rsidR="005208B9" w:rsidRPr="000628EF" w14:paraId="0C900C3A" w14:textId="77777777" w:rsidTr="005208B9">
        <w:trPr>
          <w:trHeight w:val="255"/>
        </w:trPr>
        <w:tc>
          <w:tcPr>
            <w:tcW w:w="1301" w:type="dxa"/>
            <w:vMerge w:val="restart"/>
            <w:shd w:val="clear" w:color="auto" w:fill="auto"/>
            <w:vAlign w:val="center"/>
            <w:hideMark/>
          </w:tcPr>
          <w:p w14:paraId="45FB58D1"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Splošno</w:t>
            </w:r>
          </w:p>
        </w:tc>
        <w:tc>
          <w:tcPr>
            <w:tcW w:w="1104" w:type="dxa"/>
            <w:shd w:val="clear" w:color="auto" w:fill="auto"/>
            <w:vAlign w:val="center"/>
            <w:hideMark/>
          </w:tcPr>
          <w:p w14:paraId="568B29C2"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Blago</w:t>
            </w:r>
          </w:p>
        </w:tc>
        <w:tc>
          <w:tcPr>
            <w:tcW w:w="851" w:type="dxa"/>
            <w:shd w:val="clear" w:color="auto" w:fill="auto"/>
            <w:vAlign w:val="center"/>
            <w:hideMark/>
          </w:tcPr>
          <w:p w14:paraId="33CDDD88" w14:textId="42D9A0C2"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6.638</w:t>
            </w:r>
          </w:p>
        </w:tc>
        <w:tc>
          <w:tcPr>
            <w:tcW w:w="1984" w:type="dxa"/>
            <w:shd w:val="clear" w:color="auto" w:fill="auto"/>
            <w:vAlign w:val="center"/>
            <w:hideMark/>
          </w:tcPr>
          <w:p w14:paraId="7BB86D04" w14:textId="38D082D1"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1.750.737.234</w:t>
            </w:r>
          </w:p>
        </w:tc>
        <w:tc>
          <w:tcPr>
            <w:tcW w:w="992" w:type="dxa"/>
            <w:shd w:val="clear" w:color="auto" w:fill="auto"/>
            <w:noWrap/>
            <w:vAlign w:val="center"/>
            <w:hideMark/>
          </w:tcPr>
          <w:p w14:paraId="6D3B1EA6" w14:textId="31A61833"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67,05 %</w:t>
            </w:r>
          </w:p>
        </w:tc>
        <w:tc>
          <w:tcPr>
            <w:tcW w:w="993" w:type="dxa"/>
            <w:shd w:val="clear" w:color="auto" w:fill="auto"/>
            <w:noWrap/>
            <w:vAlign w:val="center"/>
            <w:hideMark/>
          </w:tcPr>
          <w:p w14:paraId="1013AB3D" w14:textId="519F7DD5"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33,22 %</w:t>
            </w:r>
          </w:p>
        </w:tc>
        <w:tc>
          <w:tcPr>
            <w:tcW w:w="992" w:type="dxa"/>
            <w:shd w:val="clear" w:color="auto" w:fill="auto"/>
            <w:noWrap/>
            <w:vAlign w:val="center"/>
            <w:hideMark/>
          </w:tcPr>
          <w:p w14:paraId="5D9CEA0C" w14:textId="6C3C4664"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75,36 %</w:t>
            </w:r>
          </w:p>
        </w:tc>
        <w:tc>
          <w:tcPr>
            <w:tcW w:w="992" w:type="dxa"/>
            <w:shd w:val="clear" w:color="auto" w:fill="auto"/>
            <w:noWrap/>
            <w:vAlign w:val="center"/>
            <w:hideMark/>
          </w:tcPr>
          <w:p w14:paraId="67CBB29C" w14:textId="37ACED2C"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45,10 %</w:t>
            </w:r>
          </w:p>
        </w:tc>
      </w:tr>
      <w:tr w:rsidR="005208B9" w:rsidRPr="000628EF" w14:paraId="5BFD04AF" w14:textId="77777777" w:rsidTr="005208B9">
        <w:trPr>
          <w:trHeight w:val="255"/>
        </w:trPr>
        <w:tc>
          <w:tcPr>
            <w:tcW w:w="1301" w:type="dxa"/>
            <w:vMerge/>
            <w:vAlign w:val="center"/>
            <w:hideMark/>
          </w:tcPr>
          <w:p w14:paraId="0D31C2B9"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p>
        </w:tc>
        <w:tc>
          <w:tcPr>
            <w:tcW w:w="1104" w:type="dxa"/>
            <w:shd w:val="clear" w:color="auto" w:fill="auto"/>
            <w:vAlign w:val="center"/>
            <w:hideMark/>
          </w:tcPr>
          <w:p w14:paraId="4907E8C8"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Storitve</w:t>
            </w:r>
          </w:p>
        </w:tc>
        <w:tc>
          <w:tcPr>
            <w:tcW w:w="851" w:type="dxa"/>
            <w:shd w:val="clear" w:color="auto" w:fill="auto"/>
            <w:vAlign w:val="center"/>
            <w:hideMark/>
          </w:tcPr>
          <w:p w14:paraId="4F7A15A0" w14:textId="1095D568"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2.098</w:t>
            </w:r>
          </w:p>
        </w:tc>
        <w:tc>
          <w:tcPr>
            <w:tcW w:w="1984" w:type="dxa"/>
            <w:shd w:val="clear" w:color="auto" w:fill="auto"/>
            <w:vAlign w:val="center"/>
            <w:hideMark/>
          </w:tcPr>
          <w:p w14:paraId="199C7438" w14:textId="374C09D0"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1.681.152.158</w:t>
            </w:r>
          </w:p>
        </w:tc>
        <w:tc>
          <w:tcPr>
            <w:tcW w:w="992" w:type="dxa"/>
            <w:shd w:val="clear" w:color="auto" w:fill="auto"/>
            <w:noWrap/>
            <w:vAlign w:val="center"/>
            <w:hideMark/>
          </w:tcPr>
          <w:p w14:paraId="22233AB3" w14:textId="4BFB37A4"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21,19 %</w:t>
            </w:r>
          </w:p>
        </w:tc>
        <w:tc>
          <w:tcPr>
            <w:tcW w:w="993" w:type="dxa"/>
            <w:shd w:val="clear" w:color="auto" w:fill="auto"/>
            <w:noWrap/>
            <w:vAlign w:val="center"/>
            <w:hideMark/>
          </w:tcPr>
          <w:p w14:paraId="3C8F9AE7" w14:textId="6EAB309D"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31,89 %</w:t>
            </w:r>
          </w:p>
        </w:tc>
        <w:tc>
          <w:tcPr>
            <w:tcW w:w="992" w:type="dxa"/>
            <w:shd w:val="clear" w:color="auto" w:fill="auto"/>
            <w:noWrap/>
            <w:vAlign w:val="center"/>
            <w:hideMark/>
          </w:tcPr>
          <w:p w14:paraId="6C365A65" w14:textId="5F6565BC"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23,82 %</w:t>
            </w:r>
          </w:p>
        </w:tc>
        <w:tc>
          <w:tcPr>
            <w:tcW w:w="992" w:type="dxa"/>
            <w:shd w:val="clear" w:color="auto" w:fill="auto"/>
            <w:noWrap/>
            <w:vAlign w:val="center"/>
            <w:hideMark/>
          </w:tcPr>
          <w:p w14:paraId="7C36C3A8" w14:textId="00137852"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43,30 %</w:t>
            </w:r>
          </w:p>
        </w:tc>
      </w:tr>
      <w:tr w:rsidR="005208B9" w:rsidRPr="000628EF" w14:paraId="7D9106E6" w14:textId="77777777" w:rsidTr="005208B9">
        <w:trPr>
          <w:trHeight w:val="255"/>
        </w:trPr>
        <w:tc>
          <w:tcPr>
            <w:tcW w:w="1301" w:type="dxa"/>
            <w:vMerge/>
            <w:vAlign w:val="center"/>
            <w:hideMark/>
          </w:tcPr>
          <w:p w14:paraId="14A982C5"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p>
        </w:tc>
        <w:tc>
          <w:tcPr>
            <w:tcW w:w="1104" w:type="dxa"/>
            <w:shd w:val="clear" w:color="auto" w:fill="auto"/>
            <w:vAlign w:val="center"/>
            <w:hideMark/>
          </w:tcPr>
          <w:p w14:paraId="460A8733"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Gradnje</w:t>
            </w:r>
          </w:p>
        </w:tc>
        <w:tc>
          <w:tcPr>
            <w:tcW w:w="851" w:type="dxa"/>
            <w:shd w:val="clear" w:color="auto" w:fill="auto"/>
            <w:vAlign w:val="center"/>
            <w:hideMark/>
          </w:tcPr>
          <w:p w14:paraId="1CF17BE2" w14:textId="4447A496"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72</w:t>
            </w:r>
          </w:p>
        </w:tc>
        <w:tc>
          <w:tcPr>
            <w:tcW w:w="1984" w:type="dxa"/>
            <w:shd w:val="clear" w:color="auto" w:fill="auto"/>
            <w:vAlign w:val="center"/>
            <w:hideMark/>
          </w:tcPr>
          <w:p w14:paraId="772A4419" w14:textId="10A6E2F8"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450.352.871</w:t>
            </w:r>
          </w:p>
        </w:tc>
        <w:tc>
          <w:tcPr>
            <w:tcW w:w="992" w:type="dxa"/>
            <w:shd w:val="clear" w:color="auto" w:fill="auto"/>
            <w:noWrap/>
            <w:vAlign w:val="center"/>
            <w:hideMark/>
          </w:tcPr>
          <w:p w14:paraId="2B83595C" w14:textId="7F92639E"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0,73 %</w:t>
            </w:r>
          </w:p>
        </w:tc>
        <w:tc>
          <w:tcPr>
            <w:tcW w:w="993" w:type="dxa"/>
            <w:shd w:val="clear" w:color="auto" w:fill="auto"/>
            <w:noWrap/>
            <w:vAlign w:val="center"/>
            <w:hideMark/>
          </w:tcPr>
          <w:p w14:paraId="6907F603" w14:textId="3874E7E1"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8,54 %</w:t>
            </w:r>
          </w:p>
        </w:tc>
        <w:tc>
          <w:tcPr>
            <w:tcW w:w="992" w:type="dxa"/>
            <w:shd w:val="clear" w:color="auto" w:fill="auto"/>
            <w:noWrap/>
            <w:vAlign w:val="center"/>
            <w:hideMark/>
          </w:tcPr>
          <w:p w14:paraId="7175B7E4" w14:textId="4FFCBD6E"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0,82 %</w:t>
            </w:r>
          </w:p>
        </w:tc>
        <w:tc>
          <w:tcPr>
            <w:tcW w:w="992" w:type="dxa"/>
            <w:shd w:val="clear" w:color="auto" w:fill="auto"/>
            <w:noWrap/>
            <w:vAlign w:val="center"/>
            <w:hideMark/>
          </w:tcPr>
          <w:p w14:paraId="4C1C87C2" w14:textId="05FB9246"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11,60 %</w:t>
            </w:r>
          </w:p>
        </w:tc>
      </w:tr>
      <w:tr w:rsidR="005208B9" w:rsidRPr="000628EF" w14:paraId="6FAFABF5" w14:textId="77777777" w:rsidTr="005208B9">
        <w:trPr>
          <w:trHeight w:val="255"/>
        </w:trPr>
        <w:tc>
          <w:tcPr>
            <w:tcW w:w="1301" w:type="dxa"/>
            <w:vMerge/>
            <w:vAlign w:val="center"/>
            <w:hideMark/>
          </w:tcPr>
          <w:p w14:paraId="3FC29533"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p>
        </w:tc>
        <w:tc>
          <w:tcPr>
            <w:tcW w:w="1104" w:type="dxa"/>
            <w:shd w:val="clear" w:color="auto" w:fill="auto"/>
            <w:vAlign w:val="center"/>
            <w:hideMark/>
          </w:tcPr>
          <w:p w14:paraId="26E291E2" w14:textId="77777777" w:rsidR="005208B9" w:rsidRPr="000628EF" w:rsidRDefault="005208B9" w:rsidP="005208B9">
            <w:pPr>
              <w:spacing w:after="0" w:line="240" w:lineRule="auto"/>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Skupaj</w:t>
            </w:r>
          </w:p>
        </w:tc>
        <w:tc>
          <w:tcPr>
            <w:tcW w:w="851" w:type="dxa"/>
            <w:shd w:val="clear" w:color="auto" w:fill="auto"/>
            <w:vAlign w:val="center"/>
            <w:hideMark/>
          </w:tcPr>
          <w:p w14:paraId="5D034219" w14:textId="4AAA19CB"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8.808</w:t>
            </w:r>
          </w:p>
        </w:tc>
        <w:tc>
          <w:tcPr>
            <w:tcW w:w="1984" w:type="dxa"/>
            <w:shd w:val="clear" w:color="auto" w:fill="auto"/>
            <w:vAlign w:val="center"/>
            <w:hideMark/>
          </w:tcPr>
          <w:p w14:paraId="610B9F5C" w14:textId="43AB60AE"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3.882.242.263</w:t>
            </w:r>
          </w:p>
        </w:tc>
        <w:tc>
          <w:tcPr>
            <w:tcW w:w="992" w:type="dxa"/>
            <w:shd w:val="clear" w:color="auto" w:fill="auto"/>
            <w:noWrap/>
            <w:vAlign w:val="center"/>
            <w:hideMark/>
          </w:tcPr>
          <w:p w14:paraId="15ED63F1" w14:textId="2E04AAD2"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88,97 %</w:t>
            </w:r>
          </w:p>
        </w:tc>
        <w:tc>
          <w:tcPr>
            <w:tcW w:w="993" w:type="dxa"/>
            <w:shd w:val="clear" w:color="auto" w:fill="auto"/>
            <w:noWrap/>
            <w:vAlign w:val="center"/>
            <w:hideMark/>
          </w:tcPr>
          <w:p w14:paraId="4F1FCE05" w14:textId="77F06B7E"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73,65 %</w:t>
            </w:r>
          </w:p>
        </w:tc>
        <w:tc>
          <w:tcPr>
            <w:tcW w:w="992" w:type="dxa"/>
            <w:shd w:val="clear" w:color="auto" w:fill="auto"/>
            <w:noWrap/>
            <w:vAlign w:val="center"/>
            <w:hideMark/>
          </w:tcPr>
          <w:p w14:paraId="122F7BDF" w14:textId="2DFC0086"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c>
          <w:tcPr>
            <w:tcW w:w="992" w:type="dxa"/>
            <w:shd w:val="clear" w:color="auto" w:fill="auto"/>
            <w:noWrap/>
            <w:vAlign w:val="center"/>
            <w:hideMark/>
          </w:tcPr>
          <w:p w14:paraId="42AFDCA0" w14:textId="1F27288D"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r>
      <w:tr w:rsidR="005208B9" w:rsidRPr="000628EF" w14:paraId="2D982245" w14:textId="77777777" w:rsidTr="005208B9">
        <w:trPr>
          <w:trHeight w:val="255"/>
        </w:trPr>
        <w:tc>
          <w:tcPr>
            <w:tcW w:w="1301" w:type="dxa"/>
            <w:vMerge w:val="restart"/>
            <w:shd w:val="clear" w:color="auto" w:fill="auto"/>
            <w:vAlign w:val="center"/>
            <w:hideMark/>
          </w:tcPr>
          <w:p w14:paraId="4164BAEF" w14:textId="5C4FD57F"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Infrastrukturno</w:t>
            </w:r>
          </w:p>
        </w:tc>
        <w:tc>
          <w:tcPr>
            <w:tcW w:w="1104" w:type="dxa"/>
            <w:shd w:val="clear" w:color="auto" w:fill="auto"/>
            <w:vAlign w:val="center"/>
            <w:hideMark/>
          </w:tcPr>
          <w:p w14:paraId="50643013"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Blago</w:t>
            </w:r>
          </w:p>
        </w:tc>
        <w:tc>
          <w:tcPr>
            <w:tcW w:w="851" w:type="dxa"/>
            <w:shd w:val="clear" w:color="auto" w:fill="auto"/>
            <w:vAlign w:val="center"/>
            <w:hideMark/>
          </w:tcPr>
          <w:p w14:paraId="2E952D28" w14:textId="5702E035"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565</w:t>
            </w:r>
          </w:p>
        </w:tc>
        <w:tc>
          <w:tcPr>
            <w:tcW w:w="1984" w:type="dxa"/>
            <w:shd w:val="clear" w:color="auto" w:fill="auto"/>
            <w:vAlign w:val="center"/>
            <w:hideMark/>
          </w:tcPr>
          <w:p w14:paraId="2BF232B8" w14:textId="1895C711"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560.441.645</w:t>
            </w:r>
          </w:p>
        </w:tc>
        <w:tc>
          <w:tcPr>
            <w:tcW w:w="992" w:type="dxa"/>
            <w:shd w:val="clear" w:color="auto" w:fill="auto"/>
            <w:noWrap/>
            <w:vAlign w:val="center"/>
            <w:hideMark/>
          </w:tcPr>
          <w:p w14:paraId="059098DC" w14:textId="041A0F09"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5,71 %</w:t>
            </w:r>
          </w:p>
        </w:tc>
        <w:tc>
          <w:tcPr>
            <w:tcW w:w="993" w:type="dxa"/>
            <w:shd w:val="clear" w:color="auto" w:fill="auto"/>
            <w:noWrap/>
            <w:vAlign w:val="center"/>
            <w:hideMark/>
          </w:tcPr>
          <w:p w14:paraId="1744E580" w14:textId="5D58A8EC"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10,63 %</w:t>
            </w:r>
          </w:p>
        </w:tc>
        <w:tc>
          <w:tcPr>
            <w:tcW w:w="992" w:type="dxa"/>
            <w:shd w:val="clear" w:color="auto" w:fill="auto"/>
            <w:noWrap/>
            <w:vAlign w:val="center"/>
            <w:hideMark/>
          </w:tcPr>
          <w:p w14:paraId="49250E1B" w14:textId="5431E042"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55,01 %</w:t>
            </w:r>
          </w:p>
        </w:tc>
        <w:tc>
          <w:tcPr>
            <w:tcW w:w="992" w:type="dxa"/>
            <w:shd w:val="clear" w:color="auto" w:fill="auto"/>
            <w:noWrap/>
            <w:vAlign w:val="center"/>
            <w:hideMark/>
          </w:tcPr>
          <w:p w14:paraId="2D9AFAE6" w14:textId="27F0AE31"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44,91 %</w:t>
            </w:r>
          </w:p>
        </w:tc>
      </w:tr>
      <w:tr w:rsidR="005208B9" w:rsidRPr="000628EF" w14:paraId="3AA199DD" w14:textId="77777777" w:rsidTr="005208B9">
        <w:trPr>
          <w:trHeight w:val="255"/>
        </w:trPr>
        <w:tc>
          <w:tcPr>
            <w:tcW w:w="1301" w:type="dxa"/>
            <w:vMerge/>
            <w:vAlign w:val="center"/>
            <w:hideMark/>
          </w:tcPr>
          <w:p w14:paraId="40678D4E"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p>
        </w:tc>
        <w:tc>
          <w:tcPr>
            <w:tcW w:w="1104" w:type="dxa"/>
            <w:shd w:val="clear" w:color="auto" w:fill="auto"/>
            <w:vAlign w:val="center"/>
            <w:hideMark/>
          </w:tcPr>
          <w:p w14:paraId="5FA4B3D0"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Storitve</w:t>
            </w:r>
          </w:p>
        </w:tc>
        <w:tc>
          <w:tcPr>
            <w:tcW w:w="851" w:type="dxa"/>
            <w:shd w:val="clear" w:color="auto" w:fill="auto"/>
            <w:vAlign w:val="center"/>
            <w:hideMark/>
          </w:tcPr>
          <w:p w14:paraId="4C932188" w14:textId="70268D87"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348</w:t>
            </w:r>
          </w:p>
        </w:tc>
        <w:tc>
          <w:tcPr>
            <w:tcW w:w="1984" w:type="dxa"/>
            <w:shd w:val="clear" w:color="auto" w:fill="auto"/>
            <w:vAlign w:val="center"/>
            <w:hideMark/>
          </w:tcPr>
          <w:p w14:paraId="437A389F" w14:textId="1AD2B773"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292.926.040</w:t>
            </w:r>
          </w:p>
        </w:tc>
        <w:tc>
          <w:tcPr>
            <w:tcW w:w="992" w:type="dxa"/>
            <w:shd w:val="clear" w:color="auto" w:fill="auto"/>
            <w:noWrap/>
            <w:vAlign w:val="center"/>
            <w:hideMark/>
          </w:tcPr>
          <w:p w14:paraId="42DAF9E9" w14:textId="76BF9074"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3,52 %</w:t>
            </w:r>
          </w:p>
        </w:tc>
        <w:tc>
          <w:tcPr>
            <w:tcW w:w="993" w:type="dxa"/>
            <w:shd w:val="clear" w:color="auto" w:fill="auto"/>
            <w:noWrap/>
            <w:vAlign w:val="center"/>
            <w:hideMark/>
          </w:tcPr>
          <w:p w14:paraId="65B24ACA" w14:textId="2D555228"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5,56 %</w:t>
            </w:r>
          </w:p>
        </w:tc>
        <w:tc>
          <w:tcPr>
            <w:tcW w:w="992" w:type="dxa"/>
            <w:shd w:val="clear" w:color="auto" w:fill="auto"/>
            <w:noWrap/>
            <w:vAlign w:val="center"/>
            <w:hideMark/>
          </w:tcPr>
          <w:p w14:paraId="03EC1DD9" w14:textId="1ABE1FE6"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33,89 %</w:t>
            </w:r>
          </w:p>
        </w:tc>
        <w:tc>
          <w:tcPr>
            <w:tcW w:w="992" w:type="dxa"/>
            <w:shd w:val="clear" w:color="auto" w:fill="auto"/>
            <w:noWrap/>
            <w:vAlign w:val="center"/>
            <w:hideMark/>
          </w:tcPr>
          <w:p w14:paraId="1441C7FB" w14:textId="57575F8C"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23,47 %</w:t>
            </w:r>
          </w:p>
        </w:tc>
      </w:tr>
      <w:tr w:rsidR="005208B9" w:rsidRPr="000628EF" w14:paraId="76DB82C8" w14:textId="77777777" w:rsidTr="005208B9">
        <w:trPr>
          <w:trHeight w:val="255"/>
        </w:trPr>
        <w:tc>
          <w:tcPr>
            <w:tcW w:w="1301" w:type="dxa"/>
            <w:vMerge/>
            <w:vAlign w:val="center"/>
            <w:hideMark/>
          </w:tcPr>
          <w:p w14:paraId="6498772B"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p>
        </w:tc>
        <w:tc>
          <w:tcPr>
            <w:tcW w:w="1104" w:type="dxa"/>
            <w:shd w:val="clear" w:color="auto" w:fill="auto"/>
            <w:vAlign w:val="center"/>
            <w:hideMark/>
          </w:tcPr>
          <w:p w14:paraId="48209C30"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Gradnje</w:t>
            </w:r>
          </w:p>
        </w:tc>
        <w:tc>
          <w:tcPr>
            <w:tcW w:w="851" w:type="dxa"/>
            <w:shd w:val="clear" w:color="auto" w:fill="auto"/>
            <w:vAlign w:val="center"/>
            <w:hideMark/>
          </w:tcPr>
          <w:p w14:paraId="2614C909" w14:textId="1642BF00"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114</w:t>
            </w:r>
          </w:p>
        </w:tc>
        <w:tc>
          <w:tcPr>
            <w:tcW w:w="1984" w:type="dxa"/>
            <w:shd w:val="clear" w:color="auto" w:fill="auto"/>
            <w:vAlign w:val="center"/>
            <w:hideMark/>
          </w:tcPr>
          <w:p w14:paraId="067131D2" w14:textId="1798CB61"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394.497.416</w:t>
            </w:r>
          </w:p>
        </w:tc>
        <w:tc>
          <w:tcPr>
            <w:tcW w:w="992" w:type="dxa"/>
            <w:shd w:val="clear" w:color="auto" w:fill="auto"/>
            <w:noWrap/>
            <w:vAlign w:val="center"/>
            <w:hideMark/>
          </w:tcPr>
          <w:p w14:paraId="3F90E6B5" w14:textId="2E159738"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1,15 %</w:t>
            </w:r>
          </w:p>
        </w:tc>
        <w:tc>
          <w:tcPr>
            <w:tcW w:w="993" w:type="dxa"/>
            <w:shd w:val="clear" w:color="auto" w:fill="auto"/>
            <w:noWrap/>
            <w:vAlign w:val="center"/>
            <w:hideMark/>
          </w:tcPr>
          <w:p w14:paraId="34EF880B" w14:textId="3D3D9C00"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7,48 %</w:t>
            </w:r>
          </w:p>
        </w:tc>
        <w:tc>
          <w:tcPr>
            <w:tcW w:w="992" w:type="dxa"/>
            <w:shd w:val="clear" w:color="auto" w:fill="auto"/>
            <w:noWrap/>
            <w:vAlign w:val="center"/>
            <w:hideMark/>
          </w:tcPr>
          <w:p w14:paraId="6442E31D" w14:textId="781811CC"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11,10 %</w:t>
            </w:r>
          </w:p>
        </w:tc>
        <w:tc>
          <w:tcPr>
            <w:tcW w:w="992" w:type="dxa"/>
            <w:shd w:val="clear" w:color="auto" w:fill="auto"/>
            <w:noWrap/>
            <w:vAlign w:val="center"/>
            <w:hideMark/>
          </w:tcPr>
          <w:p w14:paraId="750FB68F" w14:textId="4DF95E37"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31,61 %</w:t>
            </w:r>
          </w:p>
        </w:tc>
      </w:tr>
      <w:tr w:rsidR="005208B9" w:rsidRPr="000628EF" w14:paraId="615EA918" w14:textId="77777777" w:rsidTr="005208B9">
        <w:trPr>
          <w:trHeight w:val="255"/>
        </w:trPr>
        <w:tc>
          <w:tcPr>
            <w:tcW w:w="1301" w:type="dxa"/>
            <w:vMerge/>
            <w:vAlign w:val="center"/>
            <w:hideMark/>
          </w:tcPr>
          <w:p w14:paraId="5E353627"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p>
        </w:tc>
        <w:tc>
          <w:tcPr>
            <w:tcW w:w="1104" w:type="dxa"/>
            <w:shd w:val="clear" w:color="auto" w:fill="auto"/>
            <w:vAlign w:val="center"/>
            <w:hideMark/>
          </w:tcPr>
          <w:p w14:paraId="3A6B6DFB" w14:textId="77777777" w:rsidR="005208B9" w:rsidRPr="000628EF" w:rsidRDefault="005208B9" w:rsidP="005208B9">
            <w:pPr>
              <w:spacing w:after="0" w:line="240" w:lineRule="auto"/>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Skupaj</w:t>
            </w:r>
          </w:p>
        </w:tc>
        <w:tc>
          <w:tcPr>
            <w:tcW w:w="851" w:type="dxa"/>
            <w:shd w:val="clear" w:color="auto" w:fill="auto"/>
            <w:vAlign w:val="center"/>
            <w:hideMark/>
          </w:tcPr>
          <w:p w14:paraId="4666FAAB" w14:textId="0A2C5772"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1.027</w:t>
            </w:r>
          </w:p>
        </w:tc>
        <w:tc>
          <w:tcPr>
            <w:tcW w:w="1984" w:type="dxa"/>
            <w:shd w:val="clear" w:color="auto" w:fill="auto"/>
            <w:vAlign w:val="center"/>
            <w:hideMark/>
          </w:tcPr>
          <w:p w14:paraId="77AB4CB5" w14:textId="024338F0"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1.247.865.101</w:t>
            </w:r>
          </w:p>
        </w:tc>
        <w:tc>
          <w:tcPr>
            <w:tcW w:w="992" w:type="dxa"/>
            <w:shd w:val="clear" w:color="auto" w:fill="auto"/>
            <w:noWrap/>
            <w:vAlign w:val="center"/>
            <w:hideMark/>
          </w:tcPr>
          <w:p w14:paraId="01AAACC0" w14:textId="0D571A89"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10,37 %</w:t>
            </w:r>
          </w:p>
        </w:tc>
        <w:tc>
          <w:tcPr>
            <w:tcW w:w="993" w:type="dxa"/>
            <w:shd w:val="clear" w:color="auto" w:fill="auto"/>
            <w:noWrap/>
            <w:vAlign w:val="center"/>
            <w:hideMark/>
          </w:tcPr>
          <w:p w14:paraId="0BB1F1EF" w14:textId="7F96932C"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23,67 %</w:t>
            </w:r>
          </w:p>
        </w:tc>
        <w:tc>
          <w:tcPr>
            <w:tcW w:w="992" w:type="dxa"/>
            <w:shd w:val="clear" w:color="auto" w:fill="auto"/>
            <w:noWrap/>
            <w:vAlign w:val="center"/>
            <w:hideMark/>
          </w:tcPr>
          <w:p w14:paraId="449B096F" w14:textId="1DD4F2CC"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c>
          <w:tcPr>
            <w:tcW w:w="992" w:type="dxa"/>
            <w:shd w:val="clear" w:color="auto" w:fill="auto"/>
            <w:noWrap/>
            <w:vAlign w:val="center"/>
            <w:hideMark/>
          </w:tcPr>
          <w:p w14:paraId="0AC5CD39" w14:textId="72A05472"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r>
      <w:tr w:rsidR="005208B9" w:rsidRPr="000628EF" w14:paraId="609D5C9D" w14:textId="77777777" w:rsidTr="005208B9">
        <w:trPr>
          <w:trHeight w:val="255"/>
        </w:trPr>
        <w:tc>
          <w:tcPr>
            <w:tcW w:w="1301" w:type="dxa"/>
            <w:vMerge w:val="restart"/>
            <w:shd w:val="clear" w:color="auto" w:fill="auto"/>
            <w:vAlign w:val="center"/>
            <w:hideMark/>
          </w:tcPr>
          <w:p w14:paraId="0789F010" w14:textId="61CEF9BE"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Obrambno</w:t>
            </w:r>
          </w:p>
        </w:tc>
        <w:tc>
          <w:tcPr>
            <w:tcW w:w="1104" w:type="dxa"/>
            <w:shd w:val="clear" w:color="auto" w:fill="auto"/>
            <w:vAlign w:val="center"/>
            <w:hideMark/>
          </w:tcPr>
          <w:p w14:paraId="51CB5055"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Blago</w:t>
            </w:r>
          </w:p>
        </w:tc>
        <w:tc>
          <w:tcPr>
            <w:tcW w:w="851" w:type="dxa"/>
            <w:shd w:val="clear" w:color="auto" w:fill="auto"/>
            <w:vAlign w:val="center"/>
            <w:hideMark/>
          </w:tcPr>
          <w:p w14:paraId="7FD5A165" w14:textId="146C3E00"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50</w:t>
            </w:r>
          </w:p>
        </w:tc>
        <w:tc>
          <w:tcPr>
            <w:tcW w:w="1984" w:type="dxa"/>
            <w:shd w:val="clear" w:color="auto" w:fill="auto"/>
            <w:vAlign w:val="center"/>
            <w:hideMark/>
          </w:tcPr>
          <w:p w14:paraId="419D9BB3" w14:textId="06C0271B"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99.099.062</w:t>
            </w:r>
          </w:p>
        </w:tc>
        <w:tc>
          <w:tcPr>
            <w:tcW w:w="992" w:type="dxa"/>
            <w:shd w:val="clear" w:color="auto" w:fill="auto"/>
            <w:noWrap/>
            <w:vAlign w:val="center"/>
            <w:hideMark/>
          </w:tcPr>
          <w:p w14:paraId="566AED2E" w14:textId="61A1AF6B"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0,51 %</w:t>
            </w:r>
          </w:p>
        </w:tc>
        <w:tc>
          <w:tcPr>
            <w:tcW w:w="993" w:type="dxa"/>
            <w:shd w:val="clear" w:color="auto" w:fill="auto"/>
            <w:noWrap/>
            <w:vAlign w:val="center"/>
            <w:hideMark/>
          </w:tcPr>
          <w:p w14:paraId="5F19DEAB" w14:textId="4E9903C2"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1,88 %</w:t>
            </w:r>
          </w:p>
        </w:tc>
        <w:tc>
          <w:tcPr>
            <w:tcW w:w="992" w:type="dxa"/>
            <w:shd w:val="clear" w:color="auto" w:fill="auto"/>
            <w:noWrap/>
            <w:vAlign w:val="center"/>
            <w:hideMark/>
          </w:tcPr>
          <w:p w14:paraId="7E80219B" w14:textId="487C4FAA"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76,92 %</w:t>
            </w:r>
          </w:p>
        </w:tc>
        <w:tc>
          <w:tcPr>
            <w:tcW w:w="992" w:type="dxa"/>
            <w:shd w:val="clear" w:color="auto" w:fill="auto"/>
            <w:noWrap/>
            <w:vAlign w:val="center"/>
            <w:hideMark/>
          </w:tcPr>
          <w:p w14:paraId="14962F32" w14:textId="0BD48BE8"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70,38 %</w:t>
            </w:r>
          </w:p>
        </w:tc>
      </w:tr>
      <w:tr w:rsidR="005208B9" w:rsidRPr="000628EF" w14:paraId="0716A842" w14:textId="77777777" w:rsidTr="005208B9">
        <w:trPr>
          <w:trHeight w:val="255"/>
        </w:trPr>
        <w:tc>
          <w:tcPr>
            <w:tcW w:w="1301" w:type="dxa"/>
            <w:vMerge/>
            <w:vAlign w:val="center"/>
            <w:hideMark/>
          </w:tcPr>
          <w:p w14:paraId="0FF6EFDE"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p>
        </w:tc>
        <w:tc>
          <w:tcPr>
            <w:tcW w:w="1104" w:type="dxa"/>
            <w:shd w:val="clear" w:color="auto" w:fill="auto"/>
            <w:vAlign w:val="center"/>
            <w:hideMark/>
          </w:tcPr>
          <w:p w14:paraId="0F5CE2A8"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Storitve</w:t>
            </w:r>
          </w:p>
        </w:tc>
        <w:tc>
          <w:tcPr>
            <w:tcW w:w="851" w:type="dxa"/>
            <w:shd w:val="clear" w:color="auto" w:fill="auto"/>
            <w:vAlign w:val="center"/>
            <w:hideMark/>
          </w:tcPr>
          <w:p w14:paraId="796FF3AF" w14:textId="09DD9B59"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15</w:t>
            </w:r>
          </w:p>
        </w:tc>
        <w:tc>
          <w:tcPr>
            <w:tcW w:w="1984" w:type="dxa"/>
            <w:shd w:val="clear" w:color="auto" w:fill="auto"/>
            <w:vAlign w:val="center"/>
            <w:hideMark/>
          </w:tcPr>
          <w:p w14:paraId="56E48AAA" w14:textId="510B875F"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41.706.790</w:t>
            </w:r>
          </w:p>
        </w:tc>
        <w:tc>
          <w:tcPr>
            <w:tcW w:w="992" w:type="dxa"/>
            <w:shd w:val="clear" w:color="auto" w:fill="auto"/>
            <w:noWrap/>
            <w:vAlign w:val="center"/>
            <w:hideMark/>
          </w:tcPr>
          <w:p w14:paraId="18A892F9" w14:textId="12D377D0"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0,15 %</w:t>
            </w:r>
          </w:p>
        </w:tc>
        <w:tc>
          <w:tcPr>
            <w:tcW w:w="993" w:type="dxa"/>
            <w:shd w:val="clear" w:color="auto" w:fill="auto"/>
            <w:noWrap/>
            <w:vAlign w:val="center"/>
            <w:hideMark/>
          </w:tcPr>
          <w:p w14:paraId="161B0D90" w14:textId="5F31FE38"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0,79 %</w:t>
            </w:r>
          </w:p>
        </w:tc>
        <w:tc>
          <w:tcPr>
            <w:tcW w:w="992" w:type="dxa"/>
            <w:shd w:val="clear" w:color="auto" w:fill="auto"/>
            <w:noWrap/>
            <w:vAlign w:val="center"/>
            <w:hideMark/>
          </w:tcPr>
          <w:p w14:paraId="26E3FC25" w14:textId="07EE23D1"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23,08 %</w:t>
            </w:r>
          </w:p>
        </w:tc>
        <w:tc>
          <w:tcPr>
            <w:tcW w:w="992" w:type="dxa"/>
            <w:shd w:val="clear" w:color="auto" w:fill="auto"/>
            <w:noWrap/>
            <w:vAlign w:val="center"/>
            <w:hideMark/>
          </w:tcPr>
          <w:p w14:paraId="134CDF13" w14:textId="74080BBC" w:rsidR="005208B9" w:rsidRPr="000628EF" w:rsidRDefault="005208B9" w:rsidP="005208B9">
            <w:pPr>
              <w:spacing w:after="0" w:line="240" w:lineRule="auto"/>
              <w:jc w:val="right"/>
              <w:rPr>
                <w:rFonts w:ascii="Arial" w:eastAsia="Times New Roman" w:hAnsi="Arial" w:cs="Arial"/>
                <w:color w:val="000000" w:themeColor="text1"/>
                <w:sz w:val="18"/>
                <w:szCs w:val="18"/>
                <w:lang w:eastAsia="sl-SI"/>
              </w:rPr>
            </w:pPr>
            <w:r w:rsidRPr="000628EF">
              <w:rPr>
                <w:rFonts w:ascii="Arial" w:eastAsia="Times New Roman" w:hAnsi="Arial" w:cs="Arial"/>
                <w:color w:val="000000" w:themeColor="text1"/>
                <w:sz w:val="18"/>
                <w:szCs w:val="18"/>
                <w:lang w:eastAsia="sl-SI"/>
              </w:rPr>
              <w:t>29,62 %</w:t>
            </w:r>
          </w:p>
        </w:tc>
      </w:tr>
      <w:tr w:rsidR="005208B9" w:rsidRPr="000628EF" w14:paraId="53944C42" w14:textId="77777777" w:rsidTr="005208B9">
        <w:trPr>
          <w:trHeight w:val="255"/>
        </w:trPr>
        <w:tc>
          <w:tcPr>
            <w:tcW w:w="1301" w:type="dxa"/>
            <w:vMerge/>
            <w:vAlign w:val="center"/>
            <w:hideMark/>
          </w:tcPr>
          <w:p w14:paraId="0178EADE" w14:textId="77777777" w:rsidR="005208B9" w:rsidRPr="000628EF" w:rsidRDefault="005208B9" w:rsidP="005208B9">
            <w:pPr>
              <w:spacing w:after="0" w:line="240" w:lineRule="auto"/>
              <w:rPr>
                <w:rFonts w:ascii="Arial" w:eastAsia="Times New Roman" w:hAnsi="Arial" w:cs="Arial"/>
                <w:color w:val="000000" w:themeColor="text1"/>
                <w:sz w:val="18"/>
                <w:szCs w:val="18"/>
                <w:lang w:eastAsia="sl-SI"/>
              </w:rPr>
            </w:pPr>
          </w:p>
        </w:tc>
        <w:tc>
          <w:tcPr>
            <w:tcW w:w="1104" w:type="dxa"/>
            <w:shd w:val="clear" w:color="auto" w:fill="auto"/>
            <w:vAlign w:val="center"/>
            <w:hideMark/>
          </w:tcPr>
          <w:p w14:paraId="16D6FC13" w14:textId="77777777" w:rsidR="005208B9" w:rsidRPr="000628EF" w:rsidRDefault="005208B9" w:rsidP="005208B9">
            <w:pPr>
              <w:spacing w:after="0" w:line="240" w:lineRule="auto"/>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Skupaj</w:t>
            </w:r>
          </w:p>
        </w:tc>
        <w:tc>
          <w:tcPr>
            <w:tcW w:w="851" w:type="dxa"/>
            <w:shd w:val="clear" w:color="auto" w:fill="auto"/>
            <w:noWrap/>
            <w:vAlign w:val="center"/>
            <w:hideMark/>
          </w:tcPr>
          <w:p w14:paraId="50912BEF" w14:textId="3B6402AC"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65</w:t>
            </w:r>
          </w:p>
        </w:tc>
        <w:tc>
          <w:tcPr>
            <w:tcW w:w="1984" w:type="dxa"/>
            <w:shd w:val="clear" w:color="auto" w:fill="auto"/>
            <w:noWrap/>
            <w:vAlign w:val="center"/>
            <w:hideMark/>
          </w:tcPr>
          <w:p w14:paraId="6C4F5CA8" w14:textId="266E5005"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140.805.852</w:t>
            </w:r>
          </w:p>
        </w:tc>
        <w:tc>
          <w:tcPr>
            <w:tcW w:w="992" w:type="dxa"/>
            <w:shd w:val="clear" w:color="auto" w:fill="auto"/>
            <w:noWrap/>
            <w:vAlign w:val="center"/>
            <w:hideMark/>
          </w:tcPr>
          <w:p w14:paraId="3BA27FAF" w14:textId="55A8152B"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0,66 %</w:t>
            </w:r>
          </w:p>
        </w:tc>
        <w:tc>
          <w:tcPr>
            <w:tcW w:w="993" w:type="dxa"/>
            <w:shd w:val="clear" w:color="auto" w:fill="auto"/>
            <w:noWrap/>
            <w:vAlign w:val="center"/>
            <w:hideMark/>
          </w:tcPr>
          <w:p w14:paraId="640930B8" w14:textId="1BF294E5"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2,67 %</w:t>
            </w:r>
          </w:p>
        </w:tc>
        <w:tc>
          <w:tcPr>
            <w:tcW w:w="992" w:type="dxa"/>
            <w:shd w:val="clear" w:color="auto" w:fill="auto"/>
            <w:noWrap/>
            <w:vAlign w:val="center"/>
            <w:hideMark/>
          </w:tcPr>
          <w:p w14:paraId="4F9EDC02" w14:textId="44211B74"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c>
          <w:tcPr>
            <w:tcW w:w="992" w:type="dxa"/>
            <w:shd w:val="clear" w:color="auto" w:fill="auto"/>
            <w:noWrap/>
            <w:vAlign w:val="center"/>
            <w:hideMark/>
          </w:tcPr>
          <w:p w14:paraId="1C6B186A" w14:textId="73B71DEF"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r>
      <w:tr w:rsidR="005208B9" w:rsidRPr="000628EF" w14:paraId="22047C96" w14:textId="77777777" w:rsidTr="005208B9">
        <w:trPr>
          <w:gridAfter w:val="2"/>
          <w:wAfter w:w="1984" w:type="dxa"/>
          <w:trHeight w:val="255"/>
        </w:trPr>
        <w:tc>
          <w:tcPr>
            <w:tcW w:w="1301" w:type="dxa"/>
            <w:shd w:val="clear" w:color="auto" w:fill="F2F2F2" w:themeFill="background1" w:themeFillShade="F2"/>
            <w:vAlign w:val="center"/>
            <w:hideMark/>
          </w:tcPr>
          <w:p w14:paraId="7B3E7131" w14:textId="77777777" w:rsidR="005208B9" w:rsidRPr="000628EF" w:rsidRDefault="005208B9" w:rsidP="005208B9">
            <w:pPr>
              <w:spacing w:after="0" w:line="240" w:lineRule="auto"/>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Skupaj</w:t>
            </w:r>
          </w:p>
        </w:tc>
        <w:tc>
          <w:tcPr>
            <w:tcW w:w="1104" w:type="dxa"/>
            <w:shd w:val="clear" w:color="auto" w:fill="F2F2F2" w:themeFill="background1" w:themeFillShade="F2"/>
            <w:noWrap/>
            <w:vAlign w:val="center"/>
            <w:hideMark/>
          </w:tcPr>
          <w:p w14:paraId="25895040" w14:textId="77777777" w:rsidR="005208B9" w:rsidRPr="000628EF" w:rsidRDefault="005208B9" w:rsidP="005208B9">
            <w:pPr>
              <w:spacing w:after="0" w:line="240" w:lineRule="auto"/>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 </w:t>
            </w:r>
          </w:p>
        </w:tc>
        <w:tc>
          <w:tcPr>
            <w:tcW w:w="851" w:type="dxa"/>
            <w:shd w:val="clear" w:color="auto" w:fill="F2F2F2" w:themeFill="background1" w:themeFillShade="F2"/>
            <w:noWrap/>
            <w:vAlign w:val="center"/>
            <w:hideMark/>
          </w:tcPr>
          <w:p w14:paraId="1FD86D03" w14:textId="3A56CE17"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9.900</w:t>
            </w:r>
          </w:p>
        </w:tc>
        <w:tc>
          <w:tcPr>
            <w:tcW w:w="1984" w:type="dxa"/>
            <w:shd w:val="clear" w:color="auto" w:fill="F2F2F2" w:themeFill="background1" w:themeFillShade="F2"/>
            <w:noWrap/>
            <w:vAlign w:val="center"/>
            <w:hideMark/>
          </w:tcPr>
          <w:p w14:paraId="4CDAC3B0" w14:textId="6F18C5C5"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5.270.913.216</w:t>
            </w:r>
          </w:p>
        </w:tc>
        <w:tc>
          <w:tcPr>
            <w:tcW w:w="992" w:type="dxa"/>
            <w:shd w:val="clear" w:color="auto" w:fill="F2F2F2" w:themeFill="background1" w:themeFillShade="F2"/>
            <w:noWrap/>
            <w:vAlign w:val="center"/>
            <w:hideMark/>
          </w:tcPr>
          <w:p w14:paraId="7F92083B" w14:textId="2C40EBB6"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c>
          <w:tcPr>
            <w:tcW w:w="993" w:type="dxa"/>
            <w:shd w:val="clear" w:color="auto" w:fill="F2F2F2" w:themeFill="background1" w:themeFillShade="F2"/>
            <w:noWrap/>
            <w:vAlign w:val="center"/>
            <w:hideMark/>
          </w:tcPr>
          <w:p w14:paraId="2052C2B6" w14:textId="4446D3E8" w:rsidR="005208B9" w:rsidRPr="000628EF" w:rsidRDefault="005208B9" w:rsidP="005208B9">
            <w:pPr>
              <w:spacing w:after="0" w:line="240" w:lineRule="auto"/>
              <w:jc w:val="right"/>
              <w:rPr>
                <w:rFonts w:ascii="Arial" w:eastAsia="Times New Roman" w:hAnsi="Arial" w:cs="Arial"/>
                <w:b/>
                <w:bCs/>
                <w:color w:val="000000" w:themeColor="text1"/>
                <w:sz w:val="18"/>
                <w:szCs w:val="18"/>
                <w:lang w:eastAsia="sl-SI"/>
              </w:rPr>
            </w:pPr>
            <w:r w:rsidRPr="000628EF">
              <w:rPr>
                <w:rFonts w:ascii="Arial" w:eastAsia="Times New Roman" w:hAnsi="Arial" w:cs="Arial"/>
                <w:b/>
                <w:bCs/>
                <w:color w:val="000000" w:themeColor="text1"/>
                <w:sz w:val="18"/>
                <w:szCs w:val="18"/>
                <w:lang w:eastAsia="sl-SI"/>
              </w:rPr>
              <w:t>100,00 %</w:t>
            </w:r>
          </w:p>
        </w:tc>
      </w:tr>
    </w:tbl>
    <w:p w14:paraId="2D7B76D8" w14:textId="77777777" w:rsidR="00854405" w:rsidRPr="000628EF" w:rsidRDefault="00854405" w:rsidP="00854405">
      <w:pPr>
        <w:pStyle w:val="ZADEVA"/>
        <w:jc w:val="both"/>
        <w:rPr>
          <w:rFonts w:cs="Arial"/>
          <w:b w:val="0"/>
          <w:color w:val="000000" w:themeColor="text1"/>
          <w:szCs w:val="20"/>
          <w:lang w:val="sl-SI"/>
        </w:rPr>
      </w:pPr>
    </w:p>
    <w:p w14:paraId="0D630880" w14:textId="75246A64" w:rsidR="008D541C" w:rsidRPr="000628EF" w:rsidRDefault="008D541C" w:rsidP="000D71AD">
      <w:pPr>
        <w:spacing w:after="0" w:line="240" w:lineRule="auto"/>
        <w:jc w:val="center"/>
        <w:rPr>
          <w:rFonts w:ascii="Arial" w:hAnsi="Arial" w:cs="Arial"/>
          <w:color w:val="000000" w:themeColor="text1"/>
          <w:sz w:val="18"/>
        </w:rPr>
      </w:pPr>
      <w:r w:rsidRPr="000628EF">
        <w:rPr>
          <w:rFonts w:ascii="Arial" w:hAnsi="Arial" w:cs="Arial"/>
          <w:color w:val="000000" w:themeColor="text1"/>
          <w:sz w:val="18"/>
        </w:rPr>
        <w:t>Vir: Statistični podatki o javni</w:t>
      </w:r>
      <w:r w:rsidR="009C26D8" w:rsidRPr="000628EF">
        <w:rPr>
          <w:rFonts w:ascii="Arial" w:hAnsi="Arial" w:cs="Arial"/>
          <w:color w:val="000000" w:themeColor="text1"/>
          <w:sz w:val="18"/>
        </w:rPr>
        <w:t>h naročilih, oddanih v letu 20</w:t>
      </w:r>
      <w:r w:rsidR="009A7A16" w:rsidRPr="000628EF">
        <w:rPr>
          <w:rFonts w:ascii="Arial" w:hAnsi="Arial" w:cs="Arial"/>
          <w:color w:val="000000" w:themeColor="text1"/>
          <w:sz w:val="18"/>
        </w:rPr>
        <w:t>2</w:t>
      </w:r>
      <w:r w:rsidR="00373CD1" w:rsidRPr="000628EF">
        <w:rPr>
          <w:rFonts w:ascii="Arial" w:hAnsi="Arial" w:cs="Arial"/>
          <w:color w:val="000000" w:themeColor="text1"/>
          <w:sz w:val="18"/>
        </w:rPr>
        <w:t>3</w:t>
      </w:r>
      <w:r w:rsidR="00AA31A7" w:rsidRPr="000628EF">
        <w:rPr>
          <w:rFonts w:ascii="Arial" w:hAnsi="Arial" w:cs="Arial"/>
          <w:color w:val="000000" w:themeColor="text1"/>
          <w:sz w:val="18"/>
        </w:rPr>
        <w:t>.</w:t>
      </w:r>
    </w:p>
    <w:p w14:paraId="0C633EFA" w14:textId="32447FA6" w:rsidR="006402BB" w:rsidRPr="000628EF" w:rsidRDefault="006402BB" w:rsidP="00701C10">
      <w:pPr>
        <w:spacing w:after="240" w:line="240" w:lineRule="auto"/>
        <w:jc w:val="center"/>
        <w:rPr>
          <w:rFonts w:ascii="Arial" w:hAnsi="Arial" w:cs="Arial"/>
          <w:color w:val="FF0000"/>
          <w:sz w:val="18"/>
        </w:rPr>
      </w:pPr>
    </w:p>
    <w:p w14:paraId="166DCBAD" w14:textId="44DF47B8" w:rsidR="00854405" w:rsidRPr="000628EF" w:rsidRDefault="00B83352" w:rsidP="00D11DF7">
      <w:pPr>
        <w:pStyle w:val="Naslov2"/>
      </w:pPr>
      <w:bookmarkStart w:id="14" w:name="_Toc175563851"/>
      <w:r w:rsidRPr="000628EF">
        <w:t>2.3 Postopki in načini oddaje javnih naročil</w:t>
      </w:r>
      <w:bookmarkEnd w:id="14"/>
    </w:p>
    <w:p w14:paraId="0D2B6E76" w14:textId="77777777" w:rsidR="00854405" w:rsidRPr="000628EF" w:rsidRDefault="00854405" w:rsidP="00E22313">
      <w:pPr>
        <w:pStyle w:val="Naslov3"/>
        <w:rPr>
          <w:rFonts w:cs="Arial"/>
          <w:b/>
          <w:color w:val="FF0000"/>
          <w:szCs w:val="22"/>
        </w:rPr>
      </w:pPr>
    </w:p>
    <w:p w14:paraId="66A4B3AF" w14:textId="228B9933" w:rsidR="00C82466" w:rsidRPr="000628EF" w:rsidRDefault="00C82466" w:rsidP="003D6614">
      <w:pPr>
        <w:pStyle w:val="Naslov3"/>
      </w:pPr>
      <w:bookmarkStart w:id="15" w:name="_Toc175563852"/>
      <w:r w:rsidRPr="000628EF">
        <w:t>2.3.1 Postopki javnega naročanja</w:t>
      </w:r>
      <w:bookmarkEnd w:id="15"/>
    </w:p>
    <w:p w14:paraId="578E3A7B" w14:textId="77777777" w:rsidR="00854405" w:rsidRPr="000628EF" w:rsidRDefault="00854405" w:rsidP="00CE0F33">
      <w:pPr>
        <w:pStyle w:val="ZADEVA"/>
        <w:jc w:val="both"/>
        <w:rPr>
          <w:rFonts w:cs="Arial"/>
          <w:b w:val="0"/>
          <w:color w:val="000000" w:themeColor="text1"/>
          <w:szCs w:val="20"/>
          <w:lang w:val="sl-SI"/>
        </w:rPr>
      </w:pPr>
    </w:p>
    <w:p w14:paraId="79331D01" w14:textId="2A12BD0B" w:rsidR="00B346C9" w:rsidRPr="000628EF" w:rsidRDefault="00B346C9" w:rsidP="00CE0F33">
      <w:pPr>
        <w:tabs>
          <w:tab w:val="left" w:pos="567"/>
          <w:tab w:val="left" w:pos="993"/>
        </w:tabs>
        <w:spacing w:line="360" w:lineRule="auto"/>
        <w:jc w:val="both"/>
        <w:rPr>
          <w:rFonts w:ascii="Arial" w:hAnsi="Arial" w:cs="Arial"/>
          <w:bCs/>
          <w:color w:val="000000" w:themeColor="text1"/>
          <w:sz w:val="20"/>
          <w:szCs w:val="20"/>
        </w:rPr>
      </w:pPr>
      <w:r w:rsidRPr="000628EF">
        <w:rPr>
          <w:rFonts w:ascii="Arial" w:hAnsi="Arial" w:cs="Arial"/>
          <w:bCs/>
          <w:color w:val="000000" w:themeColor="text1"/>
          <w:sz w:val="20"/>
          <w:szCs w:val="20"/>
        </w:rPr>
        <w:t xml:space="preserve">Število postopkov javnega naročanja in njihova vrednost glede na vrsto postopkov, ki so jih naročniki uspešno </w:t>
      </w:r>
      <w:r w:rsidR="002B7C52" w:rsidRPr="000628EF">
        <w:rPr>
          <w:rFonts w:ascii="Arial" w:hAnsi="Arial" w:cs="Arial"/>
          <w:bCs/>
          <w:color w:val="000000" w:themeColor="text1"/>
          <w:sz w:val="20"/>
          <w:szCs w:val="20"/>
        </w:rPr>
        <w:t xml:space="preserve">končali </w:t>
      </w:r>
      <w:r w:rsidR="00C671D1" w:rsidRPr="000628EF">
        <w:rPr>
          <w:rFonts w:ascii="Arial" w:hAnsi="Arial" w:cs="Arial"/>
          <w:bCs/>
          <w:color w:val="000000" w:themeColor="text1"/>
          <w:sz w:val="20"/>
          <w:szCs w:val="20"/>
        </w:rPr>
        <w:t>let</w:t>
      </w:r>
      <w:r w:rsidR="00EC1BBF" w:rsidRPr="000628EF">
        <w:rPr>
          <w:rFonts w:ascii="Arial" w:hAnsi="Arial" w:cs="Arial"/>
          <w:bCs/>
          <w:color w:val="000000" w:themeColor="text1"/>
          <w:sz w:val="20"/>
          <w:szCs w:val="20"/>
        </w:rPr>
        <w:t>a</w:t>
      </w:r>
      <w:r w:rsidR="00C671D1" w:rsidRPr="000628EF">
        <w:rPr>
          <w:rFonts w:ascii="Arial" w:hAnsi="Arial" w:cs="Arial"/>
          <w:bCs/>
          <w:color w:val="000000" w:themeColor="text1"/>
          <w:sz w:val="20"/>
          <w:szCs w:val="20"/>
        </w:rPr>
        <w:t xml:space="preserve"> 20</w:t>
      </w:r>
      <w:r w:rsidR="004B4DF4" w:rsidRPr="000628EF">
        <w:rPr>
          <w:rFonts w:ascii="Arial" w:hAnsi="Arial" w:cs="Arial"/>
          <w:bCs/>
          <w:color w:val="000000" w:themeColor="text1"/>
          <w:sz w:val="20"/>
          <w:szCs w:val="20"/>
        </w:rPr>
        <w:t>2</w:t>
      </w:r>
      <w:r w:rsidR="00D94D90" w:rsidRPr="000628EF">
        <w:rPr>
          <w:rFonts w:ascii="Arial" w:hAnsi="Arial" w:cs="Arial"/>
          <w:bCs/>
          <w:color w:val="000000" w:themeColor="text1"/>
          <w:sz w:val="20"/>
          <w:szCs w:val="20"/>
        </w:rPr>
        <w:t>3</w:t>
      </w:r>
      <w:r w:rsidR="009C2CD1" w:rsidRPr="000628EF">
        <w:rPr>
          <w:rFonts w:ascii="Arial" w:hAnsi="Arial" w:cs="Arial"/>
          <w:bCs/>
          <w:color w:val="000000" w:themeColor="text1"/>
          <w:sz w:val="20"/>
          <w:szCs w:val="20"/>
        </w:rPr>
        <w:t>,</w:t>
      </w:r>
      <w:r w:rsidRPr="000628EF">
        <w:rPr>
          <w:rFonts w:ascii="Arial" w:hAnsi="Arial" w:cs="Arial"/>
          <w:bCs/>
          <w:color w:val="000000" w:themeColor="text1"/>
          <w:sz w:val="20"/>
          <w:szCs w:val="20"/>
        </w:rPr>
        <w:t xml:space="preserve"> sta prikazana v spodnji preglednici.</w:t>
      </w:r>
    </w:p>
    <w:p w14:paraId="646FC696" w14:textId="77777777" w:rsidR="00D11DF7" w:rsidRPr="00637ACF" w:rsidRDefault="00D11DF7" w:rsidP="00CE0F33">
      <w:pPr>
        <w:spacing w:before="120" w:after="120" w:line="240" w:lineRule="auto"/>
        <w:jc w:val="both"/>
        <w:rPr>
          <w:rFonts w:ascii="Arial" w:hAnsi="Arial" w:cs="Arial"/>
          <w:color w:val="FF0000"/>
          <w:sz w:val="20"/>
          <w:highlight w:val="yellow"/>
        </w:rPr>
      </w:pPr>
    </w:p>
    <w:p w14:paraId="0A637C6E" w14:textId="1885EA07" w:rsidR="00B346C9" w:rsidRPr="007B4649" w:rsidRDefault="007A666C" w:rsidP="00CE0F33">
      <w:pPr>
        <w:spacing w:before="120" w:after="120" w:line="240" w:lineRule="auto"/>
        <w:jc w:val="both"/>
        <w:rPr>
          <w:rFonts w:ascii="Arial" w:hAnsi="Arial" w:cs="Arial"/>
          <w:color w:val="000000" w:themeColor="text1"/>
          <w:sz w:val="20"/>
        </w:rPr>
      </w:pPr>
      <w:r w:rsidRPr="007B4649">
        <w:rPr>
          <w:rFonts w:ascii="Arial" w:hAnsi="Arial" w:cs="Arial"/>
          <w:color w:val="000000" w:themeColor="text1"/>
          <w:sz w:val="20"/>
        </w:rPr>
        <w:lastRenderedPageBreak/>
        <w:t xml:space="preserve">Preglednica </w:t>
      </w:r>
      <w:r w:rsidR="00EB4423" w:rsidRPr="007B4649">
        <w:rPr>
          <w:rFonts w:ascii="Arial" w:hAnsi="Arial" w:cs="Arial"/>
          <w:color w:val="000000" w:themeColor="text1"/>
          <w:sz w:val="20"/>
        </w:rPr>
        <w:t>7</w:t>
      </w:r>
      <w:r w:rsidRPr="007B4649">
        <w:rPr>
          <w:rFonts w:ascii="Arial" w:hAnsi="Arial" w:cs="Arial"/>
          <w:color w:val="000000" w:themeColor="text1"/>
          <w:sz w:val="20"/>
        </w:rPr>
        <w:t xml:space="preserve">: Javna naročila </w:t>
      </w:r>
      <w:r w:rsidR="00B346C9" w:rsidRPr="007B4649">
        <w:rPr>
          <w:rFonts w:ascii="Arial" w:hAnsi="Arial" w:cs="Arial"/>
          <w:color w:val="000000" w:themeColor="text1"/>
          <w:sz w:val="20"/>
        </w:rPr>
        <w:t xml:space="preserve">glede na izvedeni postopek </w:t>
      </w:r>
    </w:p>
    <w:tbl>
      <w:tblPr>
        <w:tblW w:w="9421" w:type="dxa"/>
        <w:tblCellMar>
          <w:left w:w="70" w:type="dxa"/>
          <w:right w:w="70" w:type="dxa"/>
        </w:tblCellMar>
        <w:tblLook w:val="04A0" w:firstRow="1" w:lastRow="0" w:firstColumn="1" w:lastColumn="0" w:noHBand="0" w:noVBand="1"/>
      </w:tblPr>
      <w:tblGrid>
        <w:gridCol w:w="3114"/>
        <w:gridCol w:w="992"/>
        <w:gridCol w:w="754"/>
        <w:gridCol w:w="1422"/>
        <w:gridCol w:w="1134"/>
        <w:gridCol w:w="993"/>
        <w:gridCol w:w="1012"/>
      </w:tblGrid>
      <w:tr w:rsidR="00CA5DC5" w:rsidRPr="007B4649" w14:paraId="73583D28" w14:textId="77777777" w:rsidTr="00F62053">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531DE4" w14:textId="77777777" w:rsidR="00FF4442" w:rsidRPr="007B4649" w:rsidRDefault="00FF4442" w:rsidP="00FF4442">
            <w:pPr>
              <w:spacing w:after="0" w:line="240" w:lineRule="auto"/>
              <w:jc w:val="center"/>
              <w:rPr>
                <w:rFonts w:ascii="Arial" w:eastAsia="Times New Roman" w:hAnsi="Arial" w:cs="Arial"/>
                <w:color w:val="000000" w:themeColor="text1"/>
                <w:sz w:val="18"/>
                <w:szCs w:val="18"/>
                <w:lang w:eastAsia="sl-SI"/>
              </w:rPr>
            </w:pPr>
            <w:bookmarkStart w:id="16" w:name="OLE_LINK3"/>
            <w:r w:rsidRPr="007B4649">
              <w:rPr>
                <w:rFonts w:ascii="Arial" w:eastAsia="Times New Roman" w:hAnsi="Arial" w:cs="Arial"/>
                <w:color w:val="000000" w:themeColor="text1"/>
                <w:sz w:val="18"/>
                <w:szCs w:val="18"/>
                <w:lang w:eastAsia="sl-SI"/>
              </w:rPr>
              <w:t>Vrsta postopka</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AEADE2" w14:textId="77777777" w:rsidR="00FF4442" w:rsidRPr="007B4649" w:rsidRDefault="00FF4442" w:rsidP="00FF4442">
            <w:pPr>
              <w:spacing w:after="0" w:line="240" w:lineRule="auto"/>
              <w:jc w:val="center"/>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Št. postopkov</w:t>
            </w:r>
          </w:p>
        </w:tc>
        <w:tc>
          <w:tcPr>
            <w:tcW w:w="7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51B342" w14:textId="77777777" w:rsidR="00FF4442" w:rsidRPr="007B4649" w:rsidRDefault="00FF4442" w:rsidP="00FF4442">
            <w:pPr>
              <w:spacing w:after="0" w:line="240" w:lineRule="auto"/>
              <w:jc w:val="center"/>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Št. naročil</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56C3FD" w14:textId="2C39B76E" w:rsidR="00FF4442" w:rsidRPr="007B4649" w:rsidRDefault="00FF4442" w:rsidP="00FF4442">
            <w:pPr>
              <w:spacing w:after="0" w:line="240" w:lineRule="auto"/>
              <w:jc w:val="center"/>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Pogodbena vrednost</w:t>
            </w:r>
            <w:r w:rsidR="00864791" w:rsidRPr="007B4649">
              <w:rPr>
                <w:rFonts w:ascii="Arial" w:eastAsia="Times New Roman" w:hAnsi="Arial" w:cs="Arial"/>
                <w:color w:val="000000" w:themeColor="text1"/>
                <w:sz w:val="18"/>
                <w:szCs w:val="18"/>
                <w:lang w:eastAsia="sl-SI"/>
              </w:rPr>
              <w:t xml:space="preserve"> (v EUR)</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A9B905" w14:textId="77777777" w:rsidR="00FF4442" w:rsidRPr="007B4649" w:rsidRDefault="00FF4442" w:rsidP="00FF4442">
            <w:pPr>
              <w:spacing w:after="0" w:line="240" w:lineRule="auto"/>
              <w:jc w:val="center"/>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Delež v št. postopkov</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2BD540" w14:textId="77777777" w:rsidR="00FF4442" w:rsidRPr="007B4649" w:rsidRDefault="00FF4442" w:rsidP="00FF4442">
            <w:pPr>
              <w:spacing w:after="0" w:line="240" w:lineRule="auto"/>
              <w:jc w:val="center"/>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Delež v št. naročil</w:t>
            </w:r>
          </w:p>
        </w:tc>
        <w:tc>
          <w:tcPr>
            <w:tcW w:w="101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A0C953" w14:textId="77777777" w:rsidR="00FF4442" w:rsidRPr="007B4649" w:rsidRDefault="00FF4442" w:rsidP="00FF4442">
            <w:pPr>
              <w:spacing w:after="0" w:line="240" w:lineRule="auto"/>
              <w:jc w:val="center"/>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Delež v vrednosti</w:t>
            </w:r>
          </w:p>
        </w:tc>
      </w:tr>
      <w:tr w:rsidR="007B4649" w:rsidRPr="007B4649" w14:paraId="1A6CCD06"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2F16BA" w14:textId="1F12E104"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Konkurenčni dialog</w:t>
            </w:r>
          </w:p>
        </w:tc>
        <w:tc>
          <w:tcPr>
            <w:tcW w:w="992" w:type="dxa"/>
            <w:tcBorders>
              <w:top w:val="nil"/>
              <w:left w:val="nil"/>
              <w:bottom w:val="single" w:sz="4" w:space="0" w:color="auto"/>
              <w:right w:val="single" w:sz="4" w:space="0" w:color="auto"/>
            </w:tcBorders>
            <w:shd w:val="clear" w:color="auto" w:fill="auto"/>
            <w:vAlign w:val="center"/>
            <w:hideMark/>
          </w:tcPr>
          <w:p w14:paraId="7887A653" w14:textId="07B0FBC0"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20</w:t>
            </w:r>
          </w:p>
        </w:tc>
        <w:tc>
          <w:tcPr>
            <w:tcW w:w="754" w:type="dxa"/>
            <w:tcBorders>
              <w:top w:val="nil"/>
              <w:left w:val="nil"/>
              <w:bottom w:val="single" w:sz="4" w:space="0" w:color="auto"/>
              <w:right w:val="single" w:sz="4" w:space="0" w:color="auto"/>
            </w:tcBorders>
            <w:shd w:val="clear" w:color="auto" w:fill="auto"/>
            <w:vAlign w:val="center"/>
            <w:hideMark/>
          </w:tcPr>
          <w:p w14:paraId="0704A64E" w14:textId="179D3F0D"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20</w:t>
            </w:r>
          </w:p>
        </w:tc>
        <w:tc>
          <w:tcPr>
            <w:tcW w:w="1422" w:type="dxa"/>
            <w:tcBorders>
              <w:top w:val="nil"/>
              <w:left w:val="nil"/>
              <w:bottom w:val="single" w:sz="4" w:space="0" w:color="auto"/>
              <w:right w:val="single" w:sz="4" w:space="0" w:color="auto"/>
            </w:tcBorders>
            <w:shd w:val="clear" w:color="auto" w:fill="auto"/>
            <w:vAlign w:val="center"/>
            <w:hideMark/>
          </w:tcPr>
          <w:p w14:paraId="586CC465" w14:textId="3E2CA4E6"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231.934.296</w:t>
            </w:r>
          </w:p>
        </w:tc>
        <w:tc>
          <w:tcPr>
            <w:tcW w:w="1134" w:type="dxa"/>
            <w:tcBorders>
              <w:top w:val="nil"/>
              <w:left w:val="nil"/>
              <w:bottom w:val="single" w:sz="4" w:space="0" w:color="auto"/>
              <w:right w:val="single" w:sz="4" w:space="0" w:color="auto"/>
            </w:tcBorders>
            <w:shd w:val="clear" w:color="auto" w:fill="auto"/>
            <w:vAlign w:val="center"/>
          </w:tcPr>
          <w:p w14:paraId="5FB72A29" w14:textId="3DD59876"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0,28 %</w:t>
            </w:r>
          </w:p>
        </w:tc>
        <w:tc>
          <w:tcPr>
            <w:tcW w:w="993" w:type="dxa"/>
            <w:tcBorders>
              <w:top w:val="nil"/>
              <w:left w:val="nil"/>
              <w:bottom w:val="single" w:sz="4" w:space="0" w:color="auto"/>
              <w:right w:val="single" w:sz="4" w:space="0" w:color="auto"/>
            </w:tcBorders>
            <w:shd w:val="clear" w:color="auto" w:fill="auto"/>
            <w:vAlign w:val="center"/>
          </w:tcPr>
          <w:p w14:paraId="10D94E13" w14:textId="21114BCF"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0,12 %</w:t>
            </w:r>
          </w:p>
        </w:tc>
        <w:tc>
          <w:tcPr>
            <w:tcW w:w="1012" w:type="dxa"/>
            <w:tcBorders>
              <w:top w:val="nil"/>
              <w:left w:val="nil"/>
              <w:bottom w:val="single" w:sz="4" w:space="0" w:color="auto"/>
              <w:right w:val="single" w:sz="4" w:space="0" w:color="auto"/>
            </w:tcBorders>
            <w:shd w:val="clear" w:color="auto" w:fill="auto"/>
            <w:vAlign w:val="center"/>
          </w:tcPr>
          <w:p w14:paraId="7B94E6F2" w14:textId="2C7B7DC6"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3,72 %</w:t>
            </w:r>
          </w:p>
        </w:tc>
      </w:tr>
      <w:tr w:rsidR="007B4649" w:rsidRPr="007B4649" w14:paraId="23AC6F82"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022370" w14:textId="225E6608"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Konkurenčni postopek s pogajanji</w:t>
            </w:r>
          </w:p>
        </w:tc>
        <w:tc>
          <w:tcPr>
            <w:tcW w:w="992" w:type="dxa"/>
            <w:tcBorders>
              <w:top w:val="nil"/>
              <w:left w:val="nil"/>
              <w:bottom w:val="single" w:sz="4" w:space="0" w:color="auto"/>
              <w:right w:val="single" w:sz="4" w:space="0" w:color="auto"/>
            </w:tcBorders>
            <w:shd w:val="clear" w:color="auto" w:fill="auto"/>
            <w:vAlign w:val="center"/>
            <w:hideMark/>
          </w:tcPr>
          <w:p w14:paraId="7C166BBB" w14:textId="18980321"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146</w:t>
            </w:r>
          </w:p>
        </w:tc>
        <w:tc>
          <w:tcPr>
            <w:tcW w:w="754" w:type="dxa"/>
            <w:tcBorders>
              <w:top w:val="nil"/>
              <w:left w:val="nil"/>
              <w:bottom w:val="single" w:sz="4" w:space="0" w:color="auto"/>
              <w:right w:val="single" w:sz="4" w:space="0" w:color="auto"/>
            </w:tcBorders>
            <w:shd w:val="clear" w:color="auto" w:fill="auto"/>
            <w:vAlign w:val="center"/>
            <w:hideMark/>
          </w:tcPr>
          <w:p w14:paraId="032FE24B" w14:textId="55C4F0D5"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221</w:t>
            </w:r>
          </w:p>
        </w:tc>
        <w:tc>
          <w:tcPr>
            <w:tcW w:w="1422" w:type="dxa"/>
            <w:tcBorders>
              <w:top w:val="nil"/>
              <w:left w:val="nil"/>
              <w:bottom w:val="single" w:sz="4" w:space="0" w:color="auto"/>
              <w:right w:val="single" w:sz="4" w:space="0" w:color="auto"/>
            </w:tcBorders>
            <w:shd w:val="clear" w:color="auto" w:fill="auto"/>
            <w:vAlign w:val="center"/>
            <w:hideMark/>
          </w:tcPr>
          <w:p w14:paraId="5F090660" w14:textId="6DF3E52B"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309.319.751</w:t>
            </w:r>
          </w:p>
        </w:tc>
        <w:tc>
          <w:tcPr>
            <w:tcW w:w="1134" w:type="dxa"/>
            <w:tcBorders>
              <w:top w:val="nil"/>
              <w:left w:val="nil"/>
              <w:bottom w:val="single" w:sz="4" w:space="0" w:color="auto"/>
              <w:right w:val="single" w:sz="4" w:space="0" w:color="auto"/>
            </w:tcBorders>
            <w:shd w:val="clear" w:color="auto" w:fill="auto"/>
            <w:vAlign w:val="center"/>
          </w:tcPr>
          <w:p w14:paraId="78467461" w14:textId="20E9F7A9"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2,04 %</w:t>
            </w:r>
          </w:p>
        </w:tc>
        <w:tc>
          <w:tcPr>
            <w:tcW w:w="993" w:type="dxa"/>
            <w:tcBorders>
              <w:top w:val="nil"/>
              <w:left w:val="nil"/>
              <w:bottom w:val="single" w:sz="4" w:space="0" w:color="auto"/>
              <w:right w:val="single" w:sz="4" w:space="0" w:color="auto"/>
            </w:tcBorders>
            <w:shd w:val="clear" w:color="auto" w:fill="auto"/>
            <w:vAlign w:val="center"/>
          </w:tcPr>
          <w:p w14:paraId="41EBA679" w14:textId="7A380AF0"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1,31 %</w:t>
            </w:r>
          </w:p>
        </w:tc>
        <w:tc>
          <w:tcPr>
            <w:tcW w:w="1012" w:type="dxa"/>
            <w:tcBorders>
              <w:top w:val="nil"/>
              <w:left w:val="nil"/>
              <w:bottom w:val="single" w:sz="4" w:space="0" w:color="auto"/>
              <w:right w:val="single" w:sz="4" w:space="0" w:color="auto"/>
            </w:tcBorders>
            <w:shd w:val="clear" w:color="auto" w:fill="auto"/>
            <w:vAlign w:val="center"/>
          </w:tcPr>
          <w:p w14:paraId="085E45E7" w14:textId="0A75F426"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4,96 %</w:t>
            </w:r>
          </w:p>
        </w:tc>
      </w:tr>
      <w:tr w:rsidR="007B4649" w:rsidRPr="007B4649" w14:paraId="6817F4A3"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3E97BC" w14:textId="4BDF89EA"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Odprti postopek</w:t>
            </w:r>
          </w:p>
        </w:tc>
        <w:tc>
          <w:tcPr>
            <w:tcW w:w="992" w:type="dxa"/>
            <w:tcBorders>
              <w:top w:val="nil"/>
              <w:left w:val="nil"/>
              <w:bottom w:val="single" w:sz="4" w:space="0" w:color="auto"/>
              <w:right w:val="single" w:sz="4" w:space="0" w:color="auto"/>
            </w:tcBorders>
            <w:shd w:val="clear" w:color="auto" w:fill="auto"/>
            <w:vAlign w:val="center"/>
            <w:hideMark/>
          </w:tcPr>
          <w:p w14:paraId="614FC20A" w14:textId="7F58A8D1"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1.984</w:t>
            </w:r>
          </w:p>
        </w:tc>
        <w:tc>
          <w:tcPr>
            <w:tcW w:w="754" w:type="dxa"/>
            <w:tcBorders>
              <w:top w:val="nil"/>
              <w:left w:val="nil"/>
              <w:bottom w:val="single" w:sz="4" w:space="0" w:color="auto"/>
              <w:right w:val="single" w:sz="4" w:space="0" w:color="auto"/>
            </w:tcBorders>
            <w:shd w:val="clear" w:color="auto" w:fill="auto"/>
            <w:vAlign w:val="center"/>
            <w:hideMark/>
          </w:tcPr>
          <w:p w14:paraId="4BD3E30E" w14:textId="581DC899"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8.591</w:t>
            </w:r>
          </w:p>
        </w:tc>
        <w:tc>
          <w:tcPr>
            <w:tcW w:w="1422" w:type="dxa"/>
            <w:tcBorders>
              <w:top w:val="nil"/>
              <w:left w:val="nil"/>
              <w:bottom w:val="single" w:sz="4" w:space="0" w:color="auto"/>
              <w:right w:val="single" w:sz="4" w:space="0" w:color="auto"/>
            </w:tcBorders>
            <w:shd w:val="clear" w:color="auto" w:fill="auto"/>
            <w:vAlign w:val="center"/>
            <w:hideMark/>
          </w:tcPr>
          <w:p w14:paraId="1ABA7FBB" w14:textId="2B7C6ABA"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3.443.460.762</w:t>
            </w:r>
          </w:p>
        </w:tc>
        <w:tc>
          <w:tcPr>
            <w:tcW w:w="1134" w:type="dxa"/>
            <w:tcBorders>
              <w:top w:val="nil"/>
              <w:left w:val="nil"/>
              <w:bottom w:val="single" w:sz="4" w:space="0" w:color="auto"/>
              <w:right w:val="single" w:sz="4" w:space="0" w:color="auto"/>
            </w:tcBorders>
            <w:shd w:val="clear" w:color="auto" w:fill="auto"/>
            <w:vAlign w:val="center"/>
          </w:tcPr>
          <w:p w14:paraId="7FC2F522" w14:textId="058769AF"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27,75 %</w:t>
            </w:r>
          </w:p>
        </w:tc>
        <w:tc>
          <w:tcPr>
            <w:tcW w:w="993" w:type="dxa"/>
            <w:tcBorders>
              <w:top w:val="nil"/>
              <w:left w:val="nil"/>
              <w:bottom w:val="single" w:sz="4" w:space="0" w:color="auto"/>
              <w:right w:val="single" w:sz="4" w:space="0" w:color="auto"/>
            </w:tcBorders>
            <w:shd w:val="clear" w:color="auto" w:fill="auto"/>
            <w:vAlign w:val="center"/>
          </w:tcPr>
          <w:p w14:paraId="75430F23" w14:textId="64D5BE4D"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51,06 %</w:t>
            </w:r>
          </w:p>
        </w:tc>
        <w:tc>
          <w:tcPr>
            <w:tcW w:w="1012" w:type="dxa"/>
            <w:tcBorders>
              <w:top w:val="nil"/>
              <w:left w:val="nil"/>
              <w:bottom w:val="single" w:sz="4" w:space="0" w:color="auto"/>
              <w:right w:val="single" w:sz="4" w:space="0" w:color="auto"/>
            </w:tcBorders>
            <w:shd w:val="clear" w:color="auto" w:fill="auto"/>
            <w:vAlign w:val="center"/>
          </w:tcPr>
          <w:p w14:paraId="28A8A03C" w14:textId="4DFA34EA"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55,25 %</w:t>
            </w:r>
          </w:p>
        </w:tc>
      </w:tr>
      <w:tr w:rsidR="007B4649" w:rsidRPr="007B4649" w14:paraId="733D3C4C"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10FF0E" w14:textId="68245E95"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Omejeni postopek</w:t>
            </w:r>
          </w:p>
        </w:tc>
        <w:tc>
          <w:tcPr>
            <w:tcW w:w="992" w:type="dxa"/>
            <w:tcBorders>
              <w:top w:val="nil"/>
              <w:left w:val="nil"/>
              <w:bottom w:val="single" w:sz="4" w:space="0" w:color="auto"/>
              <w:right w:val="single" w:sz="4" w:space="0" w:color="auto"/>
            </w:tcBorders>
            <w:shd w:val="clear" w:color="auto" w:fill="auto"/>
            <w:vAlign w:val="center"/>
            <w:hideMark/>
          </w:tcPr>
          <w:p w14:paraId="7915C73A" w14:textId="1AD9A124"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396</w:t>
            </w:r>
          </w:p>
        </w:tc>
        <w:tc>
          <w:tcPr>
            <w:tcW w:w="754" w:type="dxa"/>
            <w:tcBorders>
              <w:top w:val="nil"/>
              <w:left w:val="nil"/>
              <w:bottom w:val="single" w:sz="4" w:space="0" w:color="auto"/>
              <w:right w:val="single" w:sz="4" w:space="0" w:color="auto"/>
            </w:tcBorders>
            <w:shd w:val="clear" w:color="auto" w:fill="auto"/>
            <w:vAlign w:val="center"/>
            <w:hideMark/>
          </w:tcPr>
          <w:p w14:paraId="5388E1BF" w14:textId="01E42489"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792</w:t>
            </w:r>
          </w:p>
        </w:tc>
        <w:tc>
          <w:tcPr>
            <w:tcW w:w="1422" w:type="dxa"/>
            <w:tcBorders>
              <w:top w:val="nil"/>
              <w:left w:val="nil"/>
              <w:bottom w:val="single" w:sz="4" w:space="0" w:color="auto"/>
              <w:right w:val="single" w:sz="4" w:space="0" w:color="auto"/>
            </w:tcBorders>
            <w:shd w:val="clear" w:color="auto" w:fill="auto"/>
            <w:vAlign w:val="center"/>
            <w:hideMark/>
          </w:tcPr>
          <w:p w14:paraId="454948F5" w14:textId="1348120C"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750.755.059</w:t>
            </w:r>
          </w:p>
        </w:tc>
        <w:tc>
          <w:tcPr>
            <w:tcW w:w="1134" w:type="dxa"/>
            <w:tcBorders>
              <w:top w:val="nil"/>
              <w:left w:val="nil"/>
              <w:bottom w:val="single" w:sz="4" w:space="0" w:color="auto"/>
              <w:right w:val="single" w:sz="4" w:space="0" w:color="auto"/>
            </w:tcBorders>
            <w:shd w:val="clear" w:color="auto" w:fill="auto"/>
            <w:vAlign w:val="center"/>
          </w:tcPr>
          <w:p w14:paraId="2780C06A" w14:textId="55BAF16B"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5,54 %</w:t>
            </w:r>
          </w:p>
        </w:tc>
        <w:tc>
          <w:tcPr>
            <w:tcW w:w="993" w:type="dxa"/>
            <w:tcBorders>
              <w:top w:val="nil"/>
              <w:left w:val="nil"/>
              <w:bottom w:val="single" w:sz="4" w:space="0" w:color="auto"/>
              <w:right w:val="single" w:sz="4" w:space="0" w:color="auto"/>
            </w:tcBorders>
            <w:shd w:val="clear" w:color="auto" w:fill="auto"/>
            <w:vAlign w:val="center"/>
          </w:tcPr>
          <w:p w14:paraId="11625B15" w14:textId="614DE622"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4,71 %</w:t>
            </w:r>
          </w:p>
        </w:tc>
        <w:tc>
          <w:tcPr>
            <w:tcW w:w="1012" w:type="dxa"/>
            <w:tcBorders>
              <w:top w:val="nil"/>
              <w:left w:val="nil"/>
              <w:bottom w:val="single" w:sz="4" w:space="0" w:color="auto"/>
              <w:right w:val="single" w:sz="4" w:space="0" w:color="auto"/>
            </w:tcBorders>
            <w:shd w:val="clear" w:color="auto" w:fill="auto"/>
            <w:vAlign w:val="center"/>
          </w:tcPr>
          <w:p w14:paraId="054CED6E" w14:textId="1E34A133"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12,05 %</w:t>
            </w:r>
          </w:p>
        </w:tc>
      </w:tr>
      <w:tr w:rsidR="007B4649" w:rsidRPr="007B4649" w14:paraId="796C59B9"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tcPr>
          <w:p w14:paraId="02FB83D7" w14:textId="564D6713"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Partnerstvo za inovacije</w:t>
            </w:r>
          </w:p>
        </w:tc>
        <w:tc>
          <w:tcPr>
            <w:tcW w:w="992" w:type="dxa"/>
            <w:tcBorders>
              <w:top w:val="nil"/>
              <w:left w:val="nil"/>
              <w:bottom w:val="single" w:sz="4" w:space="0" w:color="auto"/>
              <w:right w:val="single" w:sz="4" w:space="0" w:color="auto"/>
            </w:tcBorders>
            <w:shd w:val="clear" w:color="auto" w:fill="auto"/>
            <w:vAlign w:val="center"/>
          </w:tcPr>
          <w:p w14:paraId="05FD7C97" w14:textId="40116A17"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w:t>
            </w:r>
          </w:p>
        </w:tc>
        <w:tc>
          <w:tcPr>
            <w:tcW w:w="754" w:type="dxa"/>
            <w:tcBorders>
              <w:top w:val="nil"/>
              <w:left w:val="nil"/>
              <w:bottom w:val="single" w:sz="4" w:space="0" w:color="auto"/>
              <w:right w:val="single" w:sz="4" w:space="0" w:color="auto"/>
            </w:tcBorders>
            <w:shd w:val="clear" w:color="auto" w:fill="auto"/>
            <w:vAlign w:val="center"/>
          </w:tcPr>
          <w:p w14:paraId="68A16A26" w14:textId="771FBC82"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w:t>
            </w:r>
          </w:p>
        </w:tc>
        <w:tc>
          <w:tcPr>
            <w:tcW w:w="1422" w:type="dxa"/>
            <w:tcBorders>
              <w:top w:val="nil"/>
              <w:left w:val="nil"/>
              <w:bottom w:val="single" w:sz="4" w:space="0" w:color="auto"/>
              <w:right w:val="single" w:sz="4" w:space="0" w:color="auto"/>
            </w:tcBorders>
            <w:shd w:val="clear" w:color="auto" w:fill="auto"/>
            <w:vAlign w:val="center"/>
          </w:tcPr>
          <w:p w14:paraId="1372149B" w14:textId="178FC45C"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79.800</w:t>
            </w:r>
          </w:p>
        </w:tc>
        <w:tc>
          <w:tcPr>
            <w:tcW w:w="1134" w:type="dxa"/>
            <w:tcBorders>
              <w:top w:val="nil"/>
              <w:left w:val="nil"/>
              <w:bottom w:val="single" w:sz="4" w:space="0" w:color="auto"/>
              <w:right w:val="single" w:sz="4" w:space="0" w:color="auto"/>
            </w:tcBorders>
            <w:shd w:val="clear" w:color="auto" w:fill="auto"/>
            <w:vAlign w:val="center"/>
          </w:tcPr>
          <w:p w14:paraId="1A8D3C94" w14:textId="28571189"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0,01 %</w:t>
            </w:r>
          </w:p>
        </w:tc>
        <w:tc>
          <w:tcPr>
            <w:tcW w:w="993" w:type="dxa"/>
            <w:tcBorders>
              <w:top w:val="nil"/>
              <w:left w:val="nil"/>
              <w:bottom w:val="single" w:sz="4" w:space="0" w:color="auto"/>
              <w:right w:val="single" w:sz="4" w:space="0" w:color="auto"/>
            </w:tcBorders>
            <w:shd w:val="clear" w:color="auto" w:fill="auto"/>
            <w:vAlign w:val="center"/>
          </w:tcPr>
          <w:p w14:paraId="3759AB12" w14:textId="0C2F5862"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0,01 %</w:t>
            </w:r>
          </w:p>
        </w:tc>
        <w:tc>
          <w:tcPr>
            <w:tcW w:w="1012" w:type="dxa"/>
            <w:tcBorders>
              <w:top w:val="nil"/>
              <w:left w:val="nil"/>
              <w:bottom w:val="single" w:sz="4" w:space="0" w:color="auto"/>
              <w:right w:val="single" w:sz="4" w:space="0" w:color="auto"/>
            </w:tcBorders>
            <w:shd w:val="clear" w:color="auto" w:fill="auto"/>
            <w:vAlign w:val="center"/>
          </w:tcPr>
          <w:p w14:paraId="060498F3" w14:textId="339F0B81"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0,00 %</w:t>
            </w:r>
          </w:p>
        </w:tc>
      </w:tr>
      <w:tr w:rsidR="007B4649" w:rsidRPr="007B4649" w14:paraId="1C473BDB"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F464D4" w14:textId="150FA01D"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Postopek naročila male vrednosti</w:t>
            </w:r>
          </w:p>
        </w:tc>
        <w:tc>
          <w:tcPr>
            <w:tcW w:w="992" w:type="dxa"/>
            <w:tcBorders>
              <w:top w:val="nil"/>
              <w:left w:val="nil"/>
              <w:bottom w:val="single" w:sz="4" w:space="0" w:color="auto"/>
              <w:right w:val="single" w:sz="4" w:space="0" w:color="auto"/>
            </w:tcBorders>
            <w:shd w:val="clear" w:color="auto" w:fill="auto"/>
            <w:vAlign w:val="center"/>
          </w:tcPr>
          <w:p w14:paraId="69CD116C" w14:textId="06DC6316"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3.804</w:t>
            </w:r>
          </w:p>
        </w:tc>
        <w:tc>
          <w:tcPr>
            <w:tcW w:w="754" w:type="dxa"/>
            <w:tcBorders>
              <w:top w:val="nil"/>
              <w:left w:val="nil"/>
              <w:bottom w:val="single" w:sz="4" w:space="0" w:color="auto"/>
              <w:right w:val="single" w:sz="4" w:space="0" w:color="auto"/>
            </w:tcBorders>
            <w:shd w:val="clear" w:color="auto" w:fill="auto"/>
            <w:vAlign w:val="center"/>
          </w:tcPr>
          <w:p w14:paraId="7B22588A" w14:textId="4FD1FAF7"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6.127</w:t>
            </w:r>
          </w:p>
        </w:tc>
        <w:tc>
          <w:tcPr>
            <w:tcW w:w="1422" w:type="dxa"/>
            <w:tcBorders>
              <w:top w:val="nil"/>
              <w:left w:val="nil"/>
              <w:bottom w:val="single" w:sz="4" w:space="0" w:color="auto"/>
              <w:right w:val="single" w:sz="4" w:space="0" w:color="auto"/>
            </w:tcBorders>
            <w:shd w:val="clear" w:color="auto" w:fill="auto"/>
            <w:vAlign w:val="center"/>
          </w:tcPr>
          <w:p w14:paraId="6FAB8D15" w14:textId="393CA592"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810.563.068</w:t>
            </w:r>
          </w:p>
        </w:tc>
        <w:tc>
          <w:tcPr>
            <w:tcW w:w="1134" w:type="dxa"/>
            <w:tcBorders>
              <w:top w:val="nil"/>
              <w:left w:val="nil"/>
              <w:bottom w:val="single" w:sz="4" w:space="0" w:color="auto"/>
              <w:right w:val="single" w:sz="4" w:space="0" w:color="auto"/>
            </w:tcBorders>
            <w:shd w:val="clear" w:color="auto" w:fill="auto"/>
            <w:vAlign w:val="center"/>
          </w:tcPr>
          <w:p w14:paraId="23504EA6" w14:textId="64C22307"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53,20 %</w:t>
            </w:r>
          </w:p>
        </w:tc>
        <w:tc>
          <w:tcPr>
            <w:tcW w:w="993" w:type="dxa"/>
            <w:tcBorders>
              <w:top w:val="nil"/>
              <w:left w:val="nil"/>
              <w:bottom w:val="single" w:sz="4" w:space="0" w:color="auto"/>
              <w:right w:val="single" w:sz="4" w:space="0" w:color="auto"/>
            </w:tcBorders>
            <w:shd w:val="clear" w:color="auto" w:fill="auto"/>
            <w:vAlign w:val="center"/>
          </w:tcPr>
          <w:p w14:paraId="5AE5FF0F" w14:textId="0D54017C"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36,42 %</w:t>
            </w:r>
          </w:p>
        </w:tc>
        <w:tc>
          <w:tcPr>
            <w:tcW w:w="1012" w:type="dxa"/>
            <w:tcBorders>
              <w:top w:val="nil"/>
              <w:left w:val="nil"/>
              <w:bottom w:val="single" w:sz="4" w:space="0" w:color="auto"/>
              <w:right w:val="single" w:sz="4" w:space="0" w:color="auto"/>
            </w:tcBorders>
            <w:shd w:val="clear" w:color="auto" w:fill="auto"/>
            <w:vAlign w:val="center"/>
          </w:tcPr>
          <w:p w14:paraId="4476CA99" w14:textId="530E2C4D"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13,01 %</w:t>
            </w:r>
          </w:p>
        </w:tc>
      </w:tr>
      <w:tr w:rsidR="007B4649" w:rsidRPr="007B4649" w14:paraId="6DF60684"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D00617" w14:textId="07752B44"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Postopek s pogajanji brez predhodne objave</w:t>
            </w:r>
          </w:p>
        </w:tc>
        <w:tc>
          <w:tcPr>
            <w:tcW w:w="992" w:type="dxa"/>
            <w:tcBorders>
              <w:top w:val="nil"/>
              <w:left w:val="nil"/>
              <w:bottom w:val="single" w:sz="4" w:space="0" w:color="auto"/>
              <w:right w:val="single" w:sz="4" w:space="0" w:color="auto"/>
            </w:tcBorders>
            <w:shd w:val="clear" w:color="auto" w:fill="auto"/>
            <w:vAlign w:val="center"/>
            <w:hideMark/>
          </w:tcPr>
          <w:p w14:paraId="0E868FC7" w14:textId="3DFC0A15"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619</w:t>
            </w:r>
          </w:p>
        </w:tc>
        <w:tc>
          <w:tcPr>
            <w:tcW w:w="754" w:type="dxa"/>
            <w:tcBorders>
              <w:top w:val="nil"/>
              <w:left w:val="nil"/>
              <w:bottom w:val="single" w:sz="4" w:space="0" w:color="auto"/>
              <w:right w:val="single" w:sz="4" w:space="0" w:color="auto"/>
            </w:tcBorders>
            <w:shd w:val="clear" w:color="auto" w:fill="auto"/>
            <w:vAlign w:val="center"/>
            <w:hideMark/>
          </w:tcPr>
          <w:p w14:paraId="5B467CAA" w14:textId="05531BA8"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720</w:t>
            </w:r>
          </w:p>
        </w:tc>
        <w:tc>
          <w:tcPr>
            <w:tcW w:w="1422" w:type="dxa"/>
            <w:tcBorders>
              <w:top w:val="nil"/>
              <w:left w:val="nil"/>
              <w:bottom w:val="single" w:sz="4" w:space="0" w:color="auto"/>
              <w:right w:val="single" w:sz="4" w:space="0" w:color="auto"/>
            </w:tcBorders>
            <w:shd w:val="clear" w:color="auto" w:fill="auto"/>
            <w:vAlign w:val="center"/>
            <w:hideMark/>
          </w:tcPr>
          <w:p w14:paraId="3A296884" w14:textId="447489DB"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371.245.394</w:t>
            </w:r>
          </w:p>
        </w:tc>
        <w:tc>
          <w:tcPr>
            <w:tcW w:w="1134" w:type="dxa"/>
            <w:tcBorders>
              <w:top w:val="nil"/>
              <w:left w:val="nil"/>
              <w:bottom w:val="single" w:sz="4" w:space="0" w:color="auto"/>
              <w:right w:val="single" w:sz="4" w:space="0" w:color="auto"/>
            </w:tcBorders>
            <w:shd w:val="clear" w:color="auto" w:fill="auto"/>
            <w:vAlign w:val="center"/>
          </w:tcPr>
          <w:p w14:paraId="619B52DD" w14:textId="1495665F"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8,66 %</w:t>
            </w:r>
          </w:p>
        </w:tc>
        <w:tc>
          <w:tcPr>
            <w:tcW w:w="993" w:type="dxa"/>
            <w:tcBorders>
              <w:top w:val="nil"/>
              <w:left w:val="nil"/>
              <w:bottom w:val="single" w:sz="4" w:space="0" w:color="auto"/>
              <w:right w:val="single" w:sz="4" w:space="0" w:color="auto"/>
            </w:tcBorders>
            <w:shd w:val="clear" w:color="auto" w:fill="auto"/>
            <w:vAlign w:val="center"/>
          </w:tcPr>
          <w:p w14:paraId="1EC6C9FE" w14:textId="05F64338"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4,28 %</w:t>
            </w:r>
          </w:p>
        </w:tc>
        <w:tc>
          <w:tcPr>
            <w:tcW w:w="1012" w:type="dxa"/>
            <w:tcBorders>
              <w:top w:val="nil"/>
              <w:left w:val="nil"/>
              <w:bottom w:val="single" w:sz="4" w:space="0" w:color="auto"/>
              <w:right w:val="single" w:sz="4" w:space="0" w:color="auto"/>
            </w:tcBorders>
            <w:shd w:val="clear" w:color="auto" w:fill="auto"/>
            <w:vAlign w:val="center"/>
          </w:tcPr>
          <w:p w14:paraId="4B3FE9B8" w14:textId="0FA3ADDC"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5,96 %</w:t>
            </w:r>
          </w:p>
        </w:tc>
      </w:tr>
      <w:tr w:rsidR="007B4649" w:rsidRPr="007B4649" w14:paraId="351E5F8B"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264EB85" w14:textId="471D22DA"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Postopek s pogajanji po predhodni objavi</w:t>
            </w:r>
          </w:p>
        </w:tc>
        <w:tc>
          <w:tcPr>
            <w:tcW w:w="992" w:type="dxa"/>
            <w:tcBorders>
              <w:top w:val="nil"/>
              <w:left w:val="nil"/>
              <w:bottom w:val="single" w:sz="4" w:space="0" w:color="auto"/>
              <w:right w:val="single" w:sz="4" w:space="0" w:color="auto"/>
            </w:tcBorders>
            <w:shd w:val="clear" w:color="auto" w:fill="auto"/>
            <w:vAlign w:val="center"/>
            <w:hideMark/>
          </w:tcPr>
          <w:p w14:paraId="44AC00A4" w14:textId="369AB68C"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161</w:t>
            </w:r>
          </w:p>
        </w:tc>
        <w:tc>
          <w:tcPr>
            <w:tcW w:w="754" w:type="dxa"/>
            <w:tcBorders>
              <w:top w:val="nil"/>
              <w:left w:val="nil"/>
              <w:bottom w:val="single" w:sz="4" w:space="0" w:color="auto"/>
              <w:right w:val="single" w:sz="4" w:space="0" w:color="auto"/>
            </w:tcBorders>
            <w:shd w:val="clear" w:color="auto" w:fill="auto"/>
            <w:vAlign w:val="center"/>
            <w:hideMark/>
          </w:tcPr>
          <w:p w14:paraId="15A17DAE" w14:textId="5C1A01B5"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329</w:t>
            </w:r>
          </w:p>
        </w:tc>
        <w:tc>
          <w:tcPr>
            <w:tcW w:w="1422" w:type="dxa"/>
            <w:tcBorders>
              <w:top w:val="nil"/>
              <w:left w:val="nil"/>
              <w:bottom w:val="single" w:sz="4" w:space="0" w:color="auto"/>
              <w:right w:val="single" w:sz="4" w:space="0" w:color="auto"/>
            </w:tcBorders>
            <w:shd w:val="clear" w:color="auto" w:fill="auto"/>
            <w:vAlign w:val="center"/>
            <w:hideMark/>
          </w:tcPr>
          <w:p w14:paraId="6F5F377A" w14:textId="2E41C34A"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312.042.474</w:t>
            </w:r>
          </w:p>
        </w:tc>
        <w:tc>
          <w:tcPr>
            <w:tcW w:w="1134" w:type="dxa"/>
            <w:tcBorders>
              <w:top w:val="nil"/>
              <w:left w:val="nil"/>
              <w:bottom w:val="single" w:sz="4" w:space="0" w:color="auto"/>
              <w:right w:val="single" w:sz="4" w:space="0" w:color="auto"/>
            </w:tcBorders>
            <w:shd w:val="clear" w:color="auto" w:fill="auto"/>
            <w:vAlign w:val="center"/>
          </w:tcPr>
          <w:p w14:paraId="32E03729" w14:textId="73065216"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2,25 %</w:t>
            </w:r>
          </w:p>
        </w:tc>
        <w:tc>
          <w:tcPr>
            <w:tcW w:w="993" w:type="dxa"/>
            <w:tcBorders>
              <w:top w:val="nil"/>
              <w:left w:val="nil"/>
              <w:bottom w:val="single" w:sz="4" w:space="0" w:color="auto"/>
              <w:right w:val="single" w:sz="4" w:space="0" w:color="auto"/>
            </w:tcBorders>
            <w:shd w:val="clear" w:color="auto" w:fill="auto"/>
            <w:vAlign w:val="center"/>
          </w:tcPr>
          <w:p w14:paraId="5EB0F2D7" w14:textId="02865C66"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1,96 %</w:t>
            </w:r>
          </w:p>
        </w:tc>
        <w:tc>
          <w:tcPr>
            <w:tcW w:w="1012" w:type="dxa"/>
            <w:tcBorders>
              <w:top w:val="nil"/>
              <w:left w:val="nil"/>
              <w:bottom w:val="single" w:sz="4" w:space="0" w:color="auto"/>
              <w:right w:val="single" w:sz="4" w:space="0" w:color="auto"/>
            </w:tcBorders>
            <w:shd w:val="clear" w:color="auto" w:fill="auto"/>
            <w:vAlign w:val="center"/>
          </w:tcPr>
          <w:p w14:paraId="4560FEDE" w14:textId="6E460DC2"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5,01 %</w:t>
            </w:r>
          </w:p>
        </w:tc>
      </w:tr>
      <w:tr w:rsidR="007B4649" w:rsidRPr="007B4649" w14:paraId="2DDA191C"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842377" w14:textId="7146B9D6" w:rsidR="007B4649" w:rsidRPr="007B4649" w:rsidRDefault="007B4649" w:rsidP="007B4649">
            <w:pPr>
              <w:spacing w:after="0" w:line="240" w:lineRule="auto"/>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Postopek zbiranja ponudb po predhodni objavi</w:t>
            </w:r>
          </w:p>
        </w:tc>
        <w:tc>
          <w:tcPr>
            <w:tcW w:w="992" w:type="dxa"/>
            <w:tcBorders>
              <w:top w:val="nil"/>
              <w:left w:val="nil"/>
              <w:bottom w:val="single" w:sz="4" w:space="0" w:color="auto"/>
              <w:right w:val="single" w:sz="4" w:space="0" w:color="auto"/>
            </w:tcBorders>
            <w:shd w:val="clear" w:color="auto" w:fill="auto"/>
            <w:vAlign w:val="center"/>
            <w:hideMark/>
          </w:tcPr>
          <w:p w14:paraId="165143AE" w14:textId="3336DBEA"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19</w:t>
            </w:r>
          </w:p>
        </w:tc>
        <w:tc>
          <w:tcPr>
            <w:tcW w:w="754" w:type="dxa"/>
            <w:tcBorders>
              <w:top w:val="nil"/>
              <w:left w:val="nil"/>
              <w:bottom w:val="single" w:sz="4" w:space="0" w:color="auto"/>
              <w:right w:val="single" w:sz="4" w:space="0" w:color="auto"/>
            </w:tcBorders>
            <w:shd w:val="clear" w:color="auto" w:fill="auto"/>
            <w:vAlign w:val="center"/>
            <w:hideMark/>
          </w:tcPr>
          <w:p w14:paraId="469E2D92" w14:textId="2FF8EF33"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23</w:t>
            </w:r>
          </w:p>
        </w:tc>
        <w:tc>
          <w:tcPr>
            <w:tcW w:w="1422" w:type="dxa"/>
            <w:tcBorders>
              <w:top w:val="nil"/>
              <w:left w:val="nil"/>
              <w:bottom w:val="single" w:sz="4" w:space="0" w:color="auto"/>
              <w:right w:val="single" w:sz="4" w:space="0" w:color="auto"/>
            </w:tcBorders>
            <w:shd w:val="clear" w:color="auto" w:fill="auto"/>
            <w:vAlign w:val="center"/>
            <w:hideMark/>
          </w:tcPr>
          <w:p w14:paraId="3D471F31" w14:textId="3E10ACE0"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2.850.365</w:t>
            </w:r>
          </w:p>
        </w:tc>
        <w:tc>
          <w:tcPr>
            <w:tcW w:w="1134" w:type="dxa"/>
            <w:tcBorders>
              <w:top w:val="nil"/>
              <w:left w:val="nil"/>
              <w:bottom w:val="single" w:sz="4" w:space="0" w:color="auto"/>
              <w:right w:val="single" w:sz="4" w:space="0" w:color="auto"/>
            </w:tcBorders>
            <w:shd w:val="clear" w:color="auto" w:fill="auto"/>
            <w:vAlign w:val="center"/>
          </w:tcPr>
          <w:p w14:paraId="6C847CE1" w14:textId="34F74384"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0,27 %</w:t>
            </w:r>
          </w:p>
        </w:tc>
        <w:tc>
          <w:tcPr>
            <w:tcW w:w="993" w:type="dxa"/>
            <w:tcBorders>
              <w:top w:val="nil"/>
              <w:left w:val="nil"/>
              <w:bottom w:val="single" w:sz="4" w:space="0" w:color="auto"/>
              <w:right w:val="single" w:sz="4" w:space="0" w:color="auto"/>
            </w:tcBorders>
            <w:shd w:val="clear" w:color="auto" w:fill="auto"/>
            <w:vAlign w:val="center"/>
          </w:tcPr>
          <w:p w14:paraId="31B7BB06" w14:textId="69F71E69"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0,14 %</w:t>
            </w:r>
          </w:p>
        </w:tc>
        <w:tc>
          <w:tcPr>
            <w:tcW w:w="1012" w:type="dxa"/>
            <w:tcBorders>
              <w:top w:val="nil"/>
              <w:left w:val="nil"/>
              <w:bottom w:val="single" w:sz="4" w:space="0" w:color="auto"/>
              <w:right w:val="single" w:sz="4" w:space="0" w:color="auto"/>
            </w:tcBorders>
            <w:shd w:val="clear" w:color="auto" w:fill="auto"/>
            <w:vAlign w:val="center"/>
          </w:tcPr>
          <w:p w14:paraId="708EB59C" w14:textId="3EDB5F4A" w:rsidR="007B4649" w:rsidRPr="007B4649" w:rsidRDefault="007B4649" w:rsidP="007B4649">
            <w:pPr>
              <w:spacing w:after="0" w:line="240" w:lineRule="auto"/>
              <w:jc w:val="right"/>
              <w:rPr>
                <w:rFonts w:ascii="Arial" w:eastAsia="Times New Roman" w:hAnsi="Arial" w:cs="Arial"/>
                <w:color w:val="000000" w:themeColor="text1"/>
                <w:sz w:val="18"/>
                <w:szCs w:val="18"/>
                <w:lang w:eastAsia="sl-SI"/>
              </w:rPr>
            </w:pPr>
            <w:r w:rsidRPr="007B4649">
              <w:rPr>
                <w:rFonts w:ascii="Arial" w:eastAsia="Times New Roman" w:hAnsi="Arial" w:cs="Arial"/>
                <w:color w:val="000000" w:themeColor="text1"/>
                <w:sz w:val="18"/>
                <w:szCs w:val="18"/>
                <w:lang w:eastAsia="sl-SI"/>
              </w:rPr>
              <w:t>0,05 %</w:t>
            </w:r>
          </w:p>
        </w:tc>
      </w:tr>
      <w:tr w:rsidR="007B4649" w:rsidRPr="007B4649" w14:paraId="199FCFB1" w14:textId="77777777" w:rsidTr="007B4649">
        <w:trPr>
          <w:trHeight w:val="255"/>
        </w:trPr>
        <w:tc>
          <w:tcPr>
            <w:tcW w:w="31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20F54" w14:textId="77777777" w:rsidR="007B4649" w:rsidRPr="007B4649" w:rsidRDefault="007B4649" w:rsidP="007B4649">
            <w:pPr>
              <w:spacing w:after="0" w:line="240" w:lineRule="auto"/>
              <w:rPr>
                <w:rFonts w:ascii="Arial" w:eastAsia="Times New Roman" w:hAnsi="Arial" w:cs="Arial"/>
                <w:b/>
                <w:bCs/>
                <w:color w:val="000000" w:themeColor="text1"/>
                <w:sz w:val="18"/>
                <w:szCs w:val="18"/>
                <w:lang w:eastAsia="sl-SI"/>
              </w:rPr>
            </w:pPr>
            <w:r w:rsidRPr="007B4649">
              <w:rPr>
                <w:rFonts w:ascii="Arial" w:eastAsia="Times New Roman" w:hAnsi="Arial" w:cs="Arial"/>
                <w:b/>
                <w:bCs/>
                <w:color w:val="000000" w:themeColor="text1"/>
                <w:sz w:val="18"/>
                <w:szCs w:val="18"/>
                <w:lang w:eastAsia="sl-SI"/>
              </w:rPr>
              <w:t>Skupaj</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112E049" w14:textId="0490EFC8" w:rsidR="007B4649" w:rsidRPr="007B4649" w:rsidRDefault="007B4649" w:rsidP="007B4649">
            <w:pPr>
              <w:spacing w:after="0" w:line="240" w:lineRule="auto"/>
              <w:jc w:val="right"/>
              <w:rPr>
                <w:rFonts w:ascii="Arial" w:eastAsia="Times New Roman" w:hAnsi="Arial" w:cs="Arial"/>
                <w:b/>
                <w:bCs/>
                <w:color w:val="000000" w:themeColor="text1"/>
                <w:sz w:val="18"/>
                <w:szCs w:val="18"/>
                <w:lang w:eastAsia="sl-SI"/>
              </w:rPr>
            </w:pPr>
            <w:r w:rsidRPr="007B4649">
              <w:rPr>
                <w:rFonts w:ascii="Arial" w:eastAsia="Times New Roman" w:hAnsi="Arial" w:cs="Arial"/>
                <w:b/>
                <w:bCs/>
                <w:color w:val="000000" w:themeColor="text1"/>
                <w:sz w:val="18"/>
                <w:szCs w:val="18"/>
                <w:lang w:eastAsia="sl-SI"/>
              </w:rPr>
              <w:t>7.150</w:t>
            </w:r>
          </w:p>
        </w:tc>
        <w:tc>
          <w:tcPr>
            <w:tcW w:w="754" w:type="dxa"/>
            <w:tcBorders>
              <w:top w:val="nil"/>
              <w:left w:val="nil"/>
              <w:bottom w:val="single" w:sz="4" w:space="0" w:color="auto"/>
              <w:right w:val="single" w:sz="4" w:space="0" w:color="auto"/>
            </w:tcBorders>
            <w:shd w:val="clear" w:color="auto" w:fill="F2F2F2" w:themeFill="background1" w:themeFillShade="F2"/>
            <w:noWrap/>
            <w:vAlign w:val="center"/>
          </w:tcPr>
          <w:p w14:paraId="6C331108" w14:textId="474B7ADC" w:rsidR="007B4649" w:rsidRPr="007B4649" w:rsidRDefault="007B4649" w:rsidP="007B4649">
            <w:pPr>
              <w:spacing w:after="0" w:line="240" w:lineRule="auto"/>
              <w:jc w:val="right"/>
              <w:rPr>
                <w:rFonts w:ascii="Arial" w:eastAsia="Times New Roman" w:hAnsi="Arial" w:cs="Arial"/>
                <w:b/>
                <w:bCs/>
                <w:color w:val="000000" w:themeColor="text1"/>
                <w:sz w:val="18"/>
                <w:szCs w:val="18"/>
                <w:lang w:eastAsia="sl-SI"/>
              </w:rPr>
            </w:pPr>
            <w:r w:rsidRPr="007B4649">
              <w:rPr>
                <w:rFonts w:ascii="Arial" w:eastAsia="Times New Roman" w:hAnsi="Arial" w:cs="Arial"/>
                <w:b/>
                <w:bCs/>
                <w:color w:val="000000" w:themeColor="text1"/>
                <w:sz w:val="18"/>
                <w:szCs w:val="18"/>
                <w:lang w:eastAsia="sl-SI"/>
              </w:rPr>
              <w:t>16.824</w:t>
            </w:r>
          </w:p>
        </w:tc>
        <w:tc>
          <w:tcPr>
            <w:tcW w:w="1422" w:type="dxa"/>
            <w:tcBorders>
              <w:top w:val="nil"/>
              <w:left w:val="nil"/>
              <w:bottom w:val="single" w:sz="4" w:space="0" w:color="auto"/>
              <w:right w:val="single" w:sz="4" w:space="0" w:color="auto"/>
            </w:tcBorders>
            <w:shd w:val="clear" w:color="auto" w:fill="F2F2F2" w:themeFill="background1" w:themeFillShade="F2"/>
            <w:noWrap/>
            <w:vAlign w:val="center"/>
          </w:tcPr>
          <w:p w14:paraId="7E2148CD" w14:textId="35B53465" w:rsidR="007B4649" w:rsidRPr="007B4649" w:rsidRDefault="007B4649" w:rsidP="007B4649">
            <w:pPr>
              <w:spacing w:after="0" w:line="240" w:lineRule="auto"/>
              <w:jc w:val="right"/>
              <w:rPr>
                <w:rFonts w:ascii="Arial" w:eastAsia="Times New Roman" w:hAnsi="Arial" w:cs="Arial"/>
                <w:b/>
                <w:bCs/>
                <w:color w:val="000000" w:themeColor="text1"/>
                <w:sz w:val="18"/>
                <w:szCs w:val="18"/>
                <w:lang w:eastAsia="sl-SI"/>
              </w:rPr>
            </w:pPr>
            <w:r w:rsidRPr="007B4649">
              <w:rPr>
                <w:rFonts w:ascii="Arial" w:eastAsia="Times New Roman" w:hAnsi="Arial" w:cs="Arial"/>
                <w:b/>
                <w:bCs/>
                <w:color w:val="000000" w:themeColor="text1"/>
                <w:sz w:val="18"/>
                <w:szCs w:val="18"/>
                <w:lang w:eastAsia="sl-SI"/>
              </w:rPr>
              <w:t>6.232.250.969</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5DF2EC10" w14:textId="2F518399" w:rsidR="007B4649" w:rsidRPr="007B4649" w:rsidRDefault="007B4649" w:rsidP="007B4649">
            <w:pPr>
              <w:spacing w:after="0" w:line="240" w:lineRule="auto"/>
              <w:jc w:val="right"/>
              <w:rPr>
                <w:rFonts w:ascii="Arial" w:eastAsia="Times New Roman" w:hAnsi="Arial" w:cs="Arial"/>
                <w:b/>
                <w:bCs/>
                <w:color w:val="000000" w:themeColor="text1"/>
                <w:sz w:val="18"/>
                <w:szCs w:val="18"/>
                <w:lang w:eastAsia="sl-SI"/>
              </w:rPr>
            </w:pPr>
            <w:r w:rsidRPr="007B4649">
              <w:rPr>
                <w:rFonts w:ascii="Arial" w:eastAsia="Times New Roman" w:hAnsi="Arial" w:cs="Arial"/>
                <w:b/>
                <w:bCs/>
                <w:color w:val="000000" w:themeColor="text1"/>
                <w:sz w:val="18"/>
                <w:szCs w:val="18"/>
                <w:lang w:eastAsia="sl-SI"/>
              </w:rPr>
              <w:t>100,00 %</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tcPr>
          <w:p w14:paraId="4B570AF0" w14:textId="56AB25EF" w:rsidR="007B4649" w:rsidRPr="007B4649" w:rsidRDefault="007B4649" w:rsidP="007B4649">
            <w:pPr>
              <w:spacing w:after="0" w:line="240" w:lineRule="auto"/>
              <w:jc w:val="right"/>
              <w:rPr>
                <w:rFonts w:ascii="Arial" w:eastAsia="Times New Roman" w:hAnsi="Arial" w:cs="Arial"/>
                <w:b/>
                <w:bCs/>
                <w:color w:val="000000" w:themeColor="text1"/>
                <w:sz w:val="18"/>
                <w:szCs w:val="18"/>
                <w:lang w:eastAsia="sl-SI"/>
              </w:rPr>
            </w:pPr>
            <w:r w:rsidRPr="007B4649">
              <w:rPr>
                <w:rFonts w:ascii="Arial" w:eastAsia="Times New Roman" w:hAnsi="Arial" w:cs="Arial"/>
                <w:b/>
                <w:bCs/>
                <w:color w:val="000000" w:themeColor="text1"/>
                <w:sz w:val="18"/>
                <w:szCs w:val="18"/>
                <w:lang w:eastAsia="sl-SI"/>
              </w:rPr>
              <w:t>100,00 %</w:t>
            </w:r>
          </w:p>
        </w:tc>
        <w:tc>
          <w:tcPr>
            <w:tcW w:w="1012" w:type="dxa"/>
            <w:tcBorders>
              <w:top w:val="nil"/>
              <w:left w:val="nil"/>
              <w:bottom w:val="single" w:sz="4" w:space="0" w:color="auto"/>
              <w:right w:val="single" w:sz="4" w:space="0" w:color="auto"/>
            </w:tcBorders>
            <w:shd w:val="clear" w:color="auto" w:fill="F2F2F2" w:themeFill="background1" w:themeFillShade="F2"/>
            <w:noWrap/>
            <w:vAlign w:val="center"/>
          </w:tcPr>
          <w:p w14:paraId="654B6CF5" w14:textId="3A28133F" w:rsidR="007B4649" w:rsidRPr="007B4649" w:rsidRDefault="007B4649" w:rsidP="007B4649">
            <w:pPr>
              <w:spacing w:after="0" w:line="240" w:lineRule="auto"/>
              <w:jc w:val="right"/>
              <w:rPr>
                <w:rFonts w:ascii="Arial" w:eastAsia="Times New Roman" w:hAnsi="Arial" w:cs="Arial"/>
                <w:b/>
                <w:bCs/>
                <w:color w:val="000000" w:themeColor="text1"/>
                <w:sz w:val="18"/>
                <w:szCs w:val="18"/>
                <w:lang w:eastAsia="sl-SI"/>
              </w:rPr>
            </w:pPr>
            <w:r w:rsidRPr="007B4649">
              <w:rPr>
                <w:rFonts w:ascii="Arial" w:eastAsia="Times New Roman" w:hAnsi="Arial" w:cs="Arial"/>
                <w:b/>
                <w:bCs/>
                <w:color w:val="000000" w:themeColor="text1"/>
                <w:sz w:val="18"/>
                <w:szCs w:val="18"/>
                <w:lang w:eastAsia="sl-SI"/>
              </w:rPr>
              <w:t>100,00 %</w:t>
            </w:r>
          </w:p>
        </w:tc>
      </w:tr>
      <w:bookmarkEnd w:id="16"/>
    </w:tbl>
    <w:p w14:paraId="0F2FABE7" w14:textId="3776DC67" w:rsidR="00FF4442" w:rsidRPr="007B4649" w:rsidRDefault="00FF4442" w:rsidP="00A4539E">
      <w:pPr>
        <w:tabs>
          <w:tab w:val="left" w:pos="567"/>
          <w:tab w:val="left" w:pos="993"/>
        </w:tabs>
        <w:spacing w:after="0" w:line="240" w:lineRule="auto"/>
        <w:rPr>
          <w:rFonts w:ascii="Arial" w:hAnsi="Arial" w:cs="Arial"/>
          <w:color w:val="000000" w:themeColor="text1"/>
          <w:sz w:val="18"/>
        </w:rPr>
      </w:pPr>
    </w:p>
    <w:p w14:paraId="632BC814" w14:textId="5C8EFEBA" w:rsidR="00F20CF1" w:rsidRPr="003B6266" w:rsidRDefault="006F709C" w:rsidP="00F20CF1">
      <w:pPr>
        <w:tabs>
          <w:tab w:val="left" w:pos="567"/>
          <w:tab w:val="left" w:pos="993"/>
        </w:tabs>
        <w:spacing w:line="360" w:lineRule="auto"/>
        <w:jc w:val="center"/>
        <w:rPr>
          <w:rFonts w:ascii="Arial" w:hAnsi="Arial" w:cs="Arial"/>
          <w:bCs/>
          <w:color w:val="000000" w:themeColor="text1"/>
          <w:sz w:val="20"/>
          <w:szCs w:val="20"/>
        </w:rPr>
      </w:pPr>
      <w:r w:rsidRPr="003B6266">
        <w:rPr>
          <w:rFonts w:ascii="Arial" w:hAnsi="Arial" w:cs="Arial"/>
          <w:color w:val="000000" w:themeColor="text1"/>
          <w:sz w:val="18"/>
        </w:rPr>
        <w:t>Vir: Statistični podatki o javnih naročilih, oddanih v letu 2</w:t>
      </w:r>
      <w:r w:rsidR="005D4F1D" w:rsidRPr="003B6266">
        <w:rPr>
          <w:rFonts w:ascii="Arial" w:hAnsi="Arial" w:cs="Arial"/>
          <w:color w:val="000000" w:themeColor="text1"/>
          <w:sz w:val="18"/>
        </w:rPr>
        <w:t>0</w:t>
      </w:r>
      <w:r w:rsidR="004B4DF4" w:rsidRPr="003B6266">
        <w:rPr>
          <w:rFonts w:ascii="Arial" w:hAnsi="Arial" w:cs="Arial"/>
          <w:color w:val="000000" w:themeColor="text1"/>
          <w:sz w:val="18"/>
        </w:rPr>
        <w:t>2</w:t>
      </w:r>
      <w:r w:rsidR="00EE47F0" w:rsidRPr="003B6266">
        <w:rPr>
          <w:rFonts w:ascii="Arial" w:hAnsi="Arial" w:cs="Arial"/>
          <w:color w:val="000000" w:themeColor="text1"/>
          <w:sz w:val="18"/>
        </w:rPr>
        <w:t>3</w:t>
      </w:r>
      <w:r w:rsidR="00AA31A7" w:rsidRPr="003B6266">
        <w:rPr>
          <w:rFonts w:ascii="Arial" w:hAnsi="Arial" w:cs="Arial"/>
          <w:color w:val="000000" w:themeColor="text1"/>
          <w:sz w:val="18"/>
        </w:rPr>
        <w:t>.</w:t>
      </w:r>
    </w:p>
    <w:p w14:paraId="21DF9EF9" w14:textId="0BF3558E" w:rsidR="006F709C" w:rsidRPr="00637ACF" w:rsidRDefault="006F709C" w:rsidP="006F709C">
      <w:pPr>
        <w:tabs>
          <w:tab w:val="left" w:pos="567"/>
          <w:tab w:val="left" w:pos="993"/>
        </w:tabs>
        <w:spacing w:line="360" w:lineRule="auto"/>
        <w:jc w:val="both"/>
        <w:rPr>
          <w:rFonts w:ascii="Arial" w:hAnsi="Arial" w:cs="Arial"/>
          <w:bCs/>
          <w:color w:val="FF0000"/>
          <w:sz w:val="20"/>
          <w:szCs w:val="20"/>
          <w:highlight w:val="yellow"/>
        </w:rPr>
      </w:pPr>
      <w:r w:rsidRPr="003B6266">
        <w:rPr>
          <w:rFonts w:ascii="Arial" w:hAnsi="Arial" w:cs="Arial"/>
          <w:bCs/>
          <w:color w:val="000000" w:themeColor="text1"/>
          <w:sz w:val="20"/>
          <w:szCs w:val="20"/>
        </w:rPr>
        <w:t>V primerjavi s pre</w:t>
      </w:r>
      <w:r w:rsidR="00B54E88" w:rsidRPr="003B6266">
        <w:rPr>
          <w:rFonts w:ascii="Arial" w:hAnsi="Arial" w:cs="Arial"/>
          <w:bCs/>
          <w:color w:val="000000" w:themeColor="text1"/>
          <w:sz w:val="20"/>
          <w:szCs w:val="20"/>
        </w:rPr>
        <w:t>jšnjimi</w:t>
      </w:r>
      <w:r w:rsidRPr="003B6266">
        <w:rPr>
          <w:rFonts w:ascii="Arial" w:hAnsi="Arial" w:cs="Arial"/>
          <w:bCs/>
          <w:color w:val="000000" w:themeColor="text1"/>
          <w:sz w:val="20"/>
          <w:szCs w:val="20"/>
        </w:rPr>
        <w:t xml:space="preserve"> leti so naročniki </w:t>
      </w:r>
      <w:r w:rsidR="00DC4799" w:rsidRPr="003B6266">
        <w:rPr>
          <w:rFonts w:ascii="Arial" w:hAnsi="Arial" w:cs="Arial"/>
          <w:bCs/>
          <w:color w:val="000000" w:themeColor="text1"/>
          <w:sz w:val="20"/>
          <w:szCs w:val="20"/>
        </w:rPr>
        <w:t xml:space="preserve">tudi </w:t>
      </w:r>
      <w:r w:rsidR="00430814" w:rsidRPr="003B6266">
        <w:rPr>
          <w:rFonts w:ascii="Arial" w:hAnsi="Arial" w:cs="Arial"/>
          <w:bCs/>
          <w:color w:val="000000" w:themeColor="text1"/>
          <w:sz w:val="20"/>
          <w:szCs w:val="20"/>
        </w:rPr>
        <w:t>let</w:t>
      </w:r>
      <w:r w:rsidR="00EC1BBF" w:rsidRPr="003B6266">
        <w:rPr>
          <w:rFonts w:ascii="Arial" w:hAnsi="Arial" w:cs="Arial"/>
          <w:bCs/>
          <w:color w:val="000000" w:themeColor="text1"/>
          <w:sz w:val="20"/>
          <w:szCs w:val="20"/>
        </w:rPr>
        <w:t>a</w:t>
      </w:r>
      <w:r w:rsidR="00430814" w:rsidRPr="003B6266">
        <w:rPr>
          <w:rFonts w:ascii="Arial" w:hAnsi="Arial" w:cs="Arial"/>
          <w:bCs/>
          <w:color w:val="000000" w:themeColor="text1"/>
          <w:sz w:val="20"/>
          <w:szCs w:val="20"/>
        </w:rPr>
        <w:t xml:space="preserve"> 20</w:t>
      </w:r>
      <w:r w:rsidR="00383E0F" w:rsidRPr="003B6266">
        <w:rPr>
          <w:rFonts w:ascii="Arial" w:hAnsi="Arial" w:cs="Arial"/>
          <w:bCs/>
          <w:color w:val="000000" w:themeColor="text1"/>
          <w:sz w:val="20"/>
          <w:szCs w:val="20"/>
        </w:rPr>
        <w:t>2</w:t>
      </w:r>
      <w:r w:rsidR="00E27ACE" w:rsidRPr="003B6266">
        <w:rPr>
          <w:rFonts w:ascii="Arial" w:hAnsi="Arial" w:cs="Arial"/>
          <w:bCs/>
          <w:color w:val="000000" w:themeColor="text1"/>
          <w:sz w:val="20"/>
          <w:szCs w:val="20"/>
        </w:rPr>
        <w:t>3</w:t>
      </w:r>
      <w:r w:rsidRPr="003B6266">
        <w:rPr>
          <w:rFonts w:ascii="Arial" w:hAnsi="Arial" w:cs="Arial"/>
          <w:bCs/>
          <w:color w:val="000000" w:themeColor="text1"/>
          <w:sz w:val="20"/>
          <w:szCs w:val="20"/>
        </w:rPr>
        <w:t xml:space="preserve"> najpogosteje izvedli postopek oddaje naročila male vrednosti, in sicer </w:t>
      </w:r>
      <w:r w:rsidR="00831789" w:rsidRPr="003B6266">
        <w:rPr>
          <w:rFonts w:ascii="Arial" w:hAnsi="Arial" w:cs="Arial"/>
          <w:bCs/>
          <w:color w:val="000000" w:themeColor="text1"/>
          <w:sz w:val="20"/>
          <w:szCs w:val="20"/>
        </w:rPr>
        <w:t>3</w:t>
      </w:r>
      <w:r w:rsidR="00E27ACE" w:rsidRPr="003B6266">
        <w:rPr>
          <w:rFonts w:ascii="Arial" w:hAnsi="Arial" w:cs="Arial"/>
          <w:bCs/>
          <w:color w:val="000000" w:themeColor="text1"/>
          <w:sz w:val="20"/>
          <w:szCs w:val="20"/>
        </w:rPr>
        <w:t>80</w:t>
      </w:r>
      <w:r w:rsidR="00E25E8B">
        <w:rPr>
          <w:rFonts w:ascii="Arial" w:hAnsi="Arial" w:cs="Arial"/>
          <w:bCs/>
          <w:color w:val="000000" w:themeColor="text1"/>
          <w:sz w:val="20"/>
          <w:szCs w:val="20"/>
        </w:rPr>
        <w:t>4</w:t>
      </w:r>
      <w:r w:rsidRPr="003B6266">
        <w:rPr>
          <w:rFonts w:ascii="Arial" w:hAnsi="Arial" w:cs="Arial"/>
          <w:bCs/>
          <w:color w:val="000000" w:themeColor="text1"/>
          <w:sz w:val="20"/>
          <w:szCs w:val="20"/>
        </w:rPr>
        <w:t xml:space="preserve">-krat oziroma v </w:t>
      </w:r>
      <w:r w:rsidR="00E27ACE" w:rsidRPr="003B6266">
        <w:rPr>
          <w:rFonts w:ascii="Arial" w:hAnsi="Arial" w:cs="Arial"/>
          <w:bCs/>
          <w:color w:val="000000" w:themeColor="text1"/>
          <w:sz w:val="20"/>
          <w:szCs w:val="20"/>
        </w:rPr>
        <w:t>53,</w:t>
      </w:r>
      <w:r w:rsidR="00CA5DC5" w:rsidRPr="003B6266">
        <w:rPr>
          <w:rFonts w:ascii="Arial" w:hAnsi="Arial" w:cs="Arial"/>
          <w:bCs/>
          <w:color w:val="000000" w:themeColor="text1"/>
          <w:sz w:val="20"/>
          <w:szCs w:val="20"/>
        </w:rPr>
        <w:t>2</w:t>
      </w:r>
      <w:r w:rsidRPr="003B6266">
        <w:rPr>
          <w:rFonts w:ascii="Arial" w:hAnsi="Arial" w:cs="Arial"/>
          <w:bCs/>
          <w:color w:val="000000" w:themeColor="text1"/>
          <w:sz w:val="20"/>
          <w:szCs w:val="20"/>
        </w:rPr>
        <w:t> </w:t>
      </w:r>
      <w:r w:rsidR="00AC0027" w:rsidRPr="003B6266">
        <w:rPr>
          <w:rFonts w:ascii="Arial" w:hAnsi="Arial" w:cs="Arial"/>
          <w:bCs/>
          <w:color w:val="000000" w:themeColor="text1"/>
          <w:sz w:val="20"/>
          <w:szCs w:val="20"/>
        </w:rPr>
        <w:t>odstotk</w:t>
      </w:r>
      <w:r w:rsidR="007C7225">
        <w:rPr>
          <w:rFonts w:ascii="Arial" w:hAnsi="Arial" w:cs="Arial"/>
          <w:bCs/>
          <w:color w:val="000000" w:themeColor="text1"/>
          <w:sz w:val="20"/>
          <w:szCs w:val="20"/>
        </w:rPr>
        <w:t>a</w:t>
      </w:r>
      <w:r w:rsidRPr="003B6266">
        <w:rPr>
          <w:rFonts w:ascii="Arial" w:hAnsi="Arial" w:cs="Arial"/>
          <w:bCs/>
          <w:color w:val="000000" w:themeColor="text1"/>
          <w:sz w:val="20"/>
          <w:szCs w:val="20"/>
        </w:rPr>
        <w:t>, delež tega postopka pa se je v primerjavi s pre</w:t>
      </w:r>
      <w:r w:rsidR="00B54E88" w:rsidRPr="003B6266">
        <w:rPr>
          <w:rFonts w:ascii="Arial" w:hAnsi="Arial" w:cs="Arial"/>
          <w:bCs/>
          <w:color w:val="000000" w:themeColor="text1"/>
          <w:sz w:val="20"/>
          <w:szCs w:val="20"/>
        </w:rPr>
        <w:t>jšnjim</w:t>
      </w:r>
      <w:r w:rsidRPr="003B6266">
        <w:rPr>
          <w:rFonts w:ascii="Arial" w:hAnsi="Arial" w:cs="Arial"/>
          <w:bCs/>
          <w:color w:val="000000" w:themeColor="text1"/>
          <w:sz w:val="20"/>
          <w:szCs w:val="20"/>
        </w:rPr>
        <w:t xml:space="preserve"> letom </w:t>
      </w:r>
      <w:r w:rsidR="00E27ACE" w:rsidRPr="003B6266">
        <w:rPr>
          <w:rFonts w:ascii="Arial" w:hAnsi="Arial" w:cs="Arial"/>
          <w:bCs/>
          <w:color w:val="000000" w:themeColor="text1"/>
          <w:sz w:val="20"/>
          <w:szCs w:val="20"/>
        </w:rPr>
        <w:t>zmanjšal</w:t>
      </w:r>
      <w:r w:rsidRPr="003B6266">
        <w:rPr>
          <w:rFonts w:ascii="Arial" w:hAnsi="Arial" w:cs="Arial"/>
          <w:bCs/>
          <w:color w:val="000000" w:themeColor="text1"/>
          <w:sz w:val="20"/>
          <w:szCs w:val="20"/>
        </w:rPr>
        <w:t xml:space="preserve"> za </w:t>
      </w:r>
      <w:r w:rsidR="00E27ACE" w:rsidRPr="003B6266">
        <w:rPr>
          <w:rFonts w:ascii="Arial" w:hAnsi="Arial" w:cs="Arial"/>
          <w:bCs/>
          <w:color w:val="000000" w:themeColor="text1"/>
          <w:sz w:val="20"/>
          <w:szCs w:val="20"/>
        </w:rPr>
        <w:t>1,5</w:t>
      </w:r>
      <w:r w:rsidR="003B6266" w:rsidRPr="003B6266">
        <w:rPr>
          <w:rFonts w:ascii="Arial" w:hAnsi="Arial" w:cs="Arial"/>
          <w:bCs/>
          <w:color w:val="000000" w:themeColor="text1"/>
          <w:sz w:val="20"/>
          <w:szCs w:val="20"/>
        </w:rPr>
        <w:t>1</w:t>
      </w:r>
      <w:r w:rsidR="00210A86" w:rsidRPr="003B6266">
        <w:rPr>
          <w:rFonts w:ascii="Arial" w:hAnsi="Arial" w:cs="Arial"/>
          <w:bCs/>
          <w:color w:val="000000" w:themeColor="text1"/>
          <w:sz w:val="20"/>
          <w:szCs w:val="20"/>
        </w:rPr>
        <w:t> </w:t>
      </w:r>
      <w:r w:rsidRPr="003B6266">
        <w:rPr>
          <w:rFonts w:ascii="Arial" w:hAnsi="Arial" w:cs="Arial"/>
          <w:bCs/>
          <w:color w:val="000000" w:themeColor="text1"/>
          <w:sz w:val="20"/>
          <w:szCs w:val="20"/>
        </w:rPr>
        <w:t>odstotne točke. Glede na leto 20</w:t>
      </w:r>
      <w:r w:rsidR="00A36C76" w:rsidRPr="003B6266">
        <w:rPr>
          <w:rFonts w:ascii="Arial" w:hAnsi="Arial" w:cs="Arial"/>
          <w:bCs/>
          <w:color w:val="000000" w:themeColor="text1"/>
          <w:sz w:val="20"/>
          <w:szCs w:val="20"/>
        </w:rPr>
        <w:t>2</w:t>
      </w:r>
      <w:r w:rsidR="00E27ACE" w:rsidRPr="003B6266">
        <w:rPr>
          <w:rFonts w:ascii="Arial" w:hAnsi="Arial" w:cs="Arial"/>
          <w:bCs/>
          <w:color w:val="000000" w:themeColor="text1"/>
          <w:sz w:val="20"/>
          <w:szCs w:val="20"/>
        </w:rPr>
        <w:t>2</w:t>
      </w:r>
      <w:r w:rsidRPr="003B6266">
        <w:rPr>
          <w:rFonts w:ascii="Arial" w:hAnsi="Arial" w:cs="Arial"/>
          <w:bCs/>
          <w:color w:val="000000" w:themeColor="text1"/>
          <w:sz w:val="20"/>
          <w:szCs w:val="20"/>
        </w:rPr>
        <w:t xml:space="preserve"> se</w:t>
      </w:r>
      <w:r w:rsidR="00310BEF" w:rsidRPr="003B6266">
        <w:rPr>
          <w:rFonts w:ascii="Arial" w:hAnsi="Arial" w:cs="Arial"/>
          <w:bCs/>
          <w:color w:val="000000" w:themeColor="text1"/>
          <w:sz w:val="20"/>
          <w:szCs w:val="20"/>
        </w:rPr>
        <w:t xml:space="preserve"> je</w:t>
      </w:r>
      <w:r w:rsidRPr="003B6266">
        <w:rPr>
          <w:rFonts w:ascii="Arial" w:hAnsi="Arial" w:cs="Arial"/>
          <w:bCs/>
          <w:color w:val="000000" w:themeColor="text1"/>
          <w:sz w:val="20"/>
          <w:szCs w:val="20"/>
        </w:rPr>
        <w:t xml:space="preserve"> za </w:t>
      </w:r>
      <w:r w:rsidR="00920C69" w:rsidRPr="003B6266">
        <w:rPr>
          <w:rFonts w:ascii="Arial" w:hAnsi="Arial" w:cs="Arial"/>
          <w:bCs/>
          <w:color w:val="000000" w:themeColor="text1"/>
          <w:sz w:val="20"/>
          <w:szCs w:val="20"/>
        </w:rPr>
        <w:t>1,7</w:t>
      </w:r>
      <w:r w:rsidR="003B6266">
        <w:rPr>
          <w:rFonts w:ascii="Arial" w:hAnsi="Arial" w:cs="Arial"/>
          <w:bCs/>
          <w:color w:val="000000" w:themeColor="text1"/>
          <w:sz w:val="20"/>
          <w:szCs w:val="20"/>
        </w:rPr>
        <w:t>2</w:t>
      </w:r>
      <w:r w:rsidR="00F43A06" w:rsidRPr="003B6266">
        <w:rPr>
          <w:rFonts w:ascii="Arial" w:hAnsi="Arial" w:cs="Arial"/>
          <w:bCs/>
          <w:color w:val="000000" w:themeColor="text1"/>
          <w:sz w:val="20"/>
          <w:szCs w:val="20"/>
        </w:rPr>
        <w:t xml:space="preserve"> </w:t>
      </w:r>
      <w:r w:rsidRPr="003B6266">
        <w:rPr>
          <w:rFonts w:ascii="Arial" w:hAnsi="Arial" w:cs="Arial"/>
          <w:bCs/>
          <w:color w:val="000000" w:themeColor="text1"/>
          <w:sz w:val="20"/>
          <w:szCs w:val="20"/>
        </w:rPr>
        <w:t xml:space="preserve">odstotne točke </w:t>
      </w:r>
      <w:r w:rsidR="00F43A06" w:rsidRPr="003B6266">
        <w:rPr>
          <w:rFonts w:ascii="Arial" w:hAnsi="Arial" w:cs="Arial"/>
          <w:bCs/>
          <w:color w:val="000000" w:themeColor="text1"/>
          <w:sz w:val="20"/>
          <w:szCs w:val="20"/>
        </w:rPr>
        <w:t>zmanjšal</w:t>
      </w:r>
      <w:r w:rsidRPr="003B6266">
        <w:rPr>
          <w:rFonts w:ascii="Arial" w:hAnsi="Arial" w:cs="Arial"/>
          <w:bCs/>
          <w:color w:val="000000" w:themeColor="text1"/>
          <w:sz w:val="20"/>
          <w:szCs w:val="20"/>
        </w:rPr>
        <w:t xml:space="preserve"> delež odprtih postopkov</w:t>
      </w:r>
      <w:r w:rsidR="00C62C7D" w:rsidRPr="003B6266">
        <w:rPr>
          <w:rFonts w:ascii="Arial" w:hAnsi="Arial" w:cs="Arial"/>
          <w:bCs/>
          <w:color w:val="000000" w:themeColor="text1"/>
          <w:sz w:val="20"/>
          <w:szCs w:val="20"/>
        </w:rPr>
        <w:t>. T</w:t>
      </w:r>
      <w:r w:rsidR="00116B76" w:rsidRPr="003B6266">
        <w:rPr>
          <w:rFonts w:ascii="Arial" w:hAnsi="Arial" w:cs="Arial"/>
          <w:bCs/>
          <w:color w:val="000000" w:themeColor="text1"/>
          <w:sz w:val="20"/>
          <w:szCs w:val="20"/>
        </w:rPr>
        <w:t>o</w:t>
      </w:r>
      <w:r w:rsidRPr="003B6266">
        <w:rPr>
          <w:rFonts w:ascii="Arial" w:hAnsi="Arial" w:cs="Arial"/>
          <w:bCs/>
          <w:color w:val="000000" w:themeColor="text1"/>
          <w:sz w:val="20"/>
          <w:szCs w:val="20"/>
        </w:rPr>
        <w:t xml:space="preserve"> je bil let</w:t>
      </w:r>
      <w:r w:rsidR="00EC1BBF" w:rsidRPr="003B6266">
        <w:rPr>
          <w:rFonts w:ascii="Arial" w:hAnsi="Arial" w:cs="Arial"/>
          <w:bCs/>
          <w:color w:val="000000" w:themeColor="text1"/>
          <w:sz w:val="20"/>
          <w:szCs w:val="20"/>
        </w:rPr>
        <w:t>a</w:t>
      </w:r>
      <w:r w:rsidRPr="003B6266">
        <w:rPr>
          <w:rFonts w:ascii="Arial" w:hAnsi="Arial" w:cs="Arial"/>
          <w:bCs/>
          <w:color w:val="000000" w:themeColor="text1"/>
          <w:sz w:val="20"/>
          <w:szCs w:val="20"/>
        </w:rPr>
        <w:t xml:space="preserve"> 20</w:t>
      </w:r>
      <w:r w:rsidR="00C62C7D" w:rsidRPr="003B6266">
        <w:rPr>
          <w:rFonts w:ascii="Arial" w:hAnsi="Arial" w:cs="Arial"/>
          <w:bCs/>
          <w:color w:val="000000" w:themeColor="text1"/>
          <w:sz w:val="20"/>
          <w:szCs w:val="20"/>
        </w:rPr>
        <w:t>2</w:t>
      </w:r>
      <w:r w:rsidR="00733FBC" w:rsidRPr="003B6266">
        <w:rPr>
          <w:rFonts w:ascii="Arial" w:hAnsi="Arial" w:cs="Arial"/>
          <w:bCs/>
          <w:color w:val="000000" w:themeColor="text1"/>
          <w:sz w:val="20"/>
          <w:szCs w:val="20"/>
        </w:rPr>
        <w:t>3</w:t>
      </w:r>
      <w:r w:rsidRPr="003B6266">
        <w:rPr>
          <w:rFonts w:ascii="Arial" w:hAnsi="Arial" w:cs="Arial"/>
          <w:bCs/>
          <w:color w:val="000000" w:themeColor="text1"/>
          <w:sz w:val="20"/>
          <w:szCs w:val="20"/>
        </w:rPr>
        <w:t xml:space="preserve"> drugi najpogosteje uporabljen</w:t>
      </w:r>
      <w:r w:rsidR="002B7C52" w:rsidRPr="003B6266">
        <w:rPr>
          <w:rFonts w:ascii="Arial" w:hAnsi="Arial" w:cs="Arial"/>
          <w:bCs/>
          <w:color w:val="000000" w:themeColor="text1"/>
          <w:sz w:val="20"/>
          <w:szCs w:val="20"/>
        </w:rPr>
        <w:t>i</w:t>
      </w:r>
      <w:r w:rsidRPr="003B6266">
        <w:rPr>
          <w:rFonts w:ascii="Arial" w:hAnsi="Arial" w:cs="Arial"/>
          <w:bCs/>
          <w:color w:val="000000" w:themeColor="text1"/>
          <w:sz w:val="20"/>
          <w:szCs w:val="20"/>
        </w:rPr>
        <w:t xml:space="preserve"> postopek z deležem </w:t>
      </w:r>
      <w:r w:rsidR="00733FBC" w:rsidRPr="002573BA">
        <w:rPr>
          <w:rFonts w:ascii="Arial" w:hAnsi="Arial" w:cs="Arial"/>
          <w:bCs/>
          <w:color w:val="000000" w:themeColor="text1"/>
          <w:sz w:val="20"/>
          <w:szCs w:val="20"/>
        </w:rPr>
        <w:t>27,7</w:t>
      </w:r>
      <w:r w:rsidR="003B6266" w:rsidRPr="002573BA">
        <w:rPr>
          <w:rFonts w:ascii="Arial" w:hAnsi="Arial" w:cs="Arial"/>
          <w:bCs/>
          <w:color w:val="000000" w:themeColor="text1"/>
          <w:sz w:val="20"/>
          <w:szCs w:val="20"/>
        </w:rPr>
        <w:t>5</w:t>
      </w:r>
      <w:r w:rsidRPr="002573BA">
        <w:rPr>
          <w:rFonts w:ascii="Arial" w:hAnsi="Arial" w:cs="Arial"/>
          <w:bCs/>
          <w:color w:val="000000" w:themeColor="text1"/>
          <w:sz w:val="20"/>
          <w:szCs w:val="20"/>
        </w:rPr>
        <w:t> </w:t>
      </w:r>
      <w:r w:rsidR="00AC0027" w:rsidRPr="002573BA">
        <w:rPr>
          <w:rFonts w:ascii="Arial" w:hAnsi="Arial" w:cs="Arial"/>
          <w:bCs/>
          <w:color w:val="000000" w:themeColor="text1"/>
          <w:sz w:val="20"/>
          <w:szCs w:val="20"/>
        </w:rPr>
        <w:t>odstotka</w:t>
      </w:r>
      <w:r w:rsidRPr="002573BA">
        <w:rPr>
          <w:rFonts w:ascii="Arial" w:hAnsi="Arial" w:cs="Arial"/>
          <w:bCs/>
          <w:color w:val="000000" w:themeColor="text1"/>
          <w:sz w:val="20"/>
          <w:szCs w:val="20"/>
        </w:rPr>
        <w:t xml:space="preserve"> in </w:t>
      </w:r>
      <w:r w:rsidR="00F43A06" w:rsidRPr="002573BA">
        <w:rPr>
          <w:rFonts w:ascii="Arial" w:hAnsi="Arial" w:cs="Arial"/>
          <w:bCs/>
          <w:color w:val="000000" w:themeColor="text1"/>
          <w:sz w:val="20"/>
          <w:szCs w:val="20"/>
        </w:rPr>
        <w:t>198</w:t>
      </w:r>
      <w:r w:rsidR="00647EEA" w:rsidRPr="002573BA">
        <w:rPr>
          <w:rFonts w:ascii="Arial" w:hAnsi="Arial" w:cs="Arial"/>
          <w:bCs/>
          <w:color w:val="000000" w:themeColor="text1"/>
          <w:sz w:val="20"/>
          <w:szCs w:val="20"/>
        </w:rPr>
        <w:t>4</w:t>
      </w:r>
      <w:r w:rsidRPr="002573BA">
        <w:rPr>
          <w:rFonts w:ascii="Arial" w:hAnsi="Arial" w:cs="Arial"/>
          <w:bCs/>
          <w:color w:val="000000" w:themeColor="text1"/>
          <w:sz w:val="20"/>
          <w:szCs w:val="20"/>
        </w:rPr>
        <w:t xml:space="preserve"> izvedenimi postopki. </w:t>
      </w:r>
      <w:r w:rsidR="00833AEB" w:rsidRPr="002573BA">
        <w:rPr>
          <w:rFonts w:ascii="Arial" w:hAnsi="Arial" w:cs="Arial"/>
          <w:bCs/>
          <w:color w:val="000000" w:themeColor="text1"/>
          <w:sz w:val="20"/>
          <w:szCs w:val="20"/>
        </w:rPr>
        <w:t>Tretji najpogosteje uporabljeni postopek je bil postopek s pogajanji brez predhodne objave z</w:t>
      </w:r>
      <w:r w:rsidRPr="002573BA">
        <w:rPr>
          <w:rFonts w:ascii="Arial" w:hAnsi="Arial" w:cs="Arial"/>
          <w:bCs/>
          <w:color w:val="000000" w:themeColor="text1"/>
          <w:sz w:val="20"/>
          <w:szCs w:val="20"/>
        </w:rPr>
        <w:t xml:space="preserve"> deležem </w:t>
      </w:r>
      <w:r w:rsidR="00BE5CD3" w:rsidRPr="002573BA">
        <w:rPr>
          <w:rFonts w:ascii="Arial" w:hAnsi="Arial" w:cs="Arial"/>
          <w:bCs/>
          <w:color w:val="000000" w:themeColor="text1"/>
          <w:sz w:val="20"/>
          <w:szCs w:val="20"/>
        </w:rPr>
        <w:t>8,6</w:t>
      </w:r>
      <w:r w:rsidR="003B6266" w:rsidRPr="002573BA">
        <w:rPr>
          <w:rFonts w:ascii="Arial" w:hAnsi="Arial" w:cs="Arial"/>
          <w:bCs/>
          <w:color w:val="000000" w:themeColor="text1"/>
          <w:sz w:val="20"/>
          <w:szCs w:val="20"/>
        </w:rPr>
        <w:t>6</w:t>
      </w:r>
      <w:r w:rsidRPr="002573BA">
        <w:rPr>
          <w:rFonts w:ascii="Arial" w:hAnsi="Arial" w:cs="Arial"/>
          <w:bCs/>
          <w:color w:val="000000" w:themeColor="text1"/>
          <w:sz w:val="20"/>
          <w:szCs w:val="20"/>
        </w:rPr>
        <w:t> </w:t>
      </w:r>
      <w:r w:rsidR="00AC0027" w:rsidRPr="002573BA">
        <w:rPr>
          <w:rFonts w:ascii="Arial" w:hAnsi="Arial" w:cs="Arial"/>
          <w:bCs/>
          <w:color w:val="000000" w:themeColor="text1"/>
          <w:sz w:val="20"/>
          <w:szCs w:val="20"/>
        </w:rPr>
        <w:t>odstotka</w:t>
      </w:r>
      <w:r w:rsidRPr="002573BA">
        <w:rPr>
          <w:rFonts w:ascii="Arial" w:hAnsi="Arial" w:cs="Arial"/>
          <w:bCs/>
          <w:color w:val="000000" w:themeColor="text1"/>
          <w:sz w:val="20"/>
          <w:szCs w:val="20"/>
        </w:rPr>
        <w:t xml:space="preserve"> in </w:t>
      </w:r>
      <w:r w:rsidR="00F43A06" w:rsidRPr="002573BA">
        <w:rPr>
          <w:rFonts w:ascii="Arial" w:hAnsi="Arial" w:cs="Arial"/>
          <w:bCs/>
          <w:color w:val="000000" w:themeColor="text1"/>
          <w:sz w:val="20"/>
          <w:szCs w:val="20"/>
        </w:rPr>
        <w:t>6</w:t>
      </w:r>
      <w:r w:rsidR="00BE5CD3" w:rsidRPr="002573BA">
        <w:rPr>
          <w:rFonts w:ascii="Arial" w:hAnsi="Arial" w:cs="Arial"/>
          <w:bCs/>
          <w:color w:val="000000" w:themeColor="text1"/>
          <w:sz w:val="20"/>
          <w:szCs w:val="20"/>
        </w:rPr>
        <w:t>19</w:t>
      </w:r>
      <w:r w:rsidRPr="002573BA">
        <w:rPr>
          <w:rFonts w:ascii="Arial" w:hAnsi="Arial" w:cs="Arial"/>
          <w:bCs/>
          <w:color w:val="000000" w:themeColor="text1"/>
          <w:sz w:val="20"/>
          <w:szCs w:val="20"/>
        </w:rPr>
        <w:t xml:space="preserve"> izvedenimi postopki</w:t>
      </w:r>
      <w:r w:rsidR="00833AEB" w:rsidRPr="002573BA">
        <w:rPr>
          <w:rFonts w:ascii="Arial" w:hAnsi="Arial" w:cs="Arial"/>
          <w:bCs/>
          <w:color w:val="000000" w:themeColor="text1"/>
          <w:sz w:val="20"/>
          <w:szCs w:val="20"/>
        </w:rPr>
        <w:t>, ki se je glede na leto 20</w:t>
      </w:r>
      <w:r w:rsidR="00C973EF" w:rsidRPr="002573BA">
        <w:rPr>
          <w:rFonts w:ascii="Arial" w:hAnsi="Arial" w:cs="Arial"/>
          <w:bCs/>
          <w:color w:val="000000" w:themeColor="text1"/>
          <w:sz w:val="20"/>
          <w:szCs w:val="20"/>
        </w:rPr>
        <w:t>2</w:t>
      </w:r>
      <w:r w:rsidR="00BE5CD3" w:rsidRPr="002573BA">
        <w:rPr>
          <w:rFonts w:ascii="Arial" w:hAnsi="Arial" w:cs="Arial"/>
          <w:bCs/>
          <w:color w:val="000000" w:themeColor="text1"/>
          <w:sz w:val="20"/>
          <w:szCs w:val="20"/>
        </w:rPr>
        <w:t>2</w:t>
      </w:r>
      <w:r w:rsidRPr="002573BA">
        <w:rPr>
          <w:rFonts w:ascii="Arial" w:hAnsi="Arial" w:cs="Arial"/>
          <w:bCs/>
          <w:color w:val="000000" w:themeColor="text1"/>
          <w:sz w:val="20"/>
          <w:szCs w:val="20"/>
        </w:rPr>
        <w:t xml:space="preserve"> </w:t>
      </w:r>
      <w:r w:rsidR="00A770D3" w:rsidRPr="002573BA">
        <w:rPr>
          <w:rFonts w:ascii="Arial" w:hAnsi="Arial" w:cs="Arial"/>
          <w:bCs/>
          <w:color w:val="000000" w:themeColor="text1"/>
          <w:sz w:val="20"/>
          <w:szCs w:val="20"/>
        </w:rPr>
        <w:t>zmanjšal</w:t>
      </w:r>
      <w:r w:rsidR="00315326" w:rsidRPr="002573BA">
        <w:rPr>
          <w:rFonts w:ascii="Arial" w:hAnsi="Arial" w:cs="Arial"/>
          <w:bCs/>
          <w:color w:val="000000" w:themeColor="text1"/>
          <w:sz w:val="20"/>
          <w:szCs w:val="20"/>
        </w:rPr>
        <w:t xml:space="preserve"> za </w:t>
      </w:r>
      <w:r w:rsidR="00BE5CD3" w:rsidRPr="002573BA">
        <w:rPr>
          <w:rFonts w:ascii="Arial" w:hAnsi="Arial" w:cs="Arial"/>
          <w:bCs/>
          <w:color w:val="000000" w:themeColor="text1"/>
          <w:sz w:val="20"/>
          <w:szCs w:val="20"/>
        </w:rPr>
        <w:t>0</w:t>
      </w:r>
      <w:r w:rsidR="00A770D3" w:rsidRPr="002573BA">
        <w:rPr>
          <w:rFonts w:ascii="Arial" w:hAnsi="Arial" w:cs="Arial"/>
          <w:bCs/>
          <w:color w:val="000000" w:themeColor="text1"/>
          <w:sz w:val="20"/>
          <w:szCs w:val="20"/>
        </w:rPr>
        <w:t>,8</w:t>
      </w:r>
      <w:r w:rsidR="004B0209" w:rsidRPr="002573BA">
        <w:rPr>
          <w:rFonts w:ascii="Arial" w:hAnsi="Arial" w:cs="Arial"/>
          <w:bCs/>
          <w:color w:val="000000" w:themeColor="text1"/>
          <w:sz w:val="20"/>
          <w:szCs w:val="20"/>
        </w:rPr>
        <w:t>3</w:t>
      </w:r>
      <w:r w:rsidRPr="002573BA">
        <w:rPr>
          <w:rFonts w:ascii="Arial" w:hAnsi="Arial" w:cs="Arial"/>
          <w:bCs/>
          <w:color w:val="000000" w:themeColor="text1"/>
          <w:sz w:val="20"/>
          <w:szCs w:val="20"/>
        </w:rPr>
        <w:t xml:space="preserve"> odstotne točke. Navedeni postopki pomenijo </w:t>
      </w:r>
      <w:r w:rsidR="0053195B" w:rsidRPr="002573BA">
        <w:rPr>
          <w:rFonts w:ascii="Arial" w:hAnsi="Arial" w:cs="Arial"/>
          <w:bCs/>
          <w:color w:val="000000" w:themeColor="text1"/>
          <w:sz w:val="20"/>
          <w:szCs w:val="20"/>
        </w:rPr>
        <w:t>89,</w:t>
      </w:r>
      <w:r w:rsidR="003057DE" w:rsidRPr="002573BA">
        <w:rPr>
          <w:rFonts w:ascii="Arial" w:hAnsi="Arial" w:cs="Arial"/>
          <w:bCs/>
          <w:color w:val="000000" w:themeColor="text1"/>
          <w:sz w:val="20"/>
          <w:szCs w:val="20"/>
        </w:rPr>
        <w:t>61</w:t>
      </w:r>
      <w:r w:rsidRPr="002573BA">
        <w:rPr>
          <w:rFonts w:ascii="Arial" w:hAnsi="Arial" w:cs="Arial"/>
          <w:bCs/>
          <w:color w:val="000000" w:themeColor="text1"/>
          <w:sz w:val="20"/>
          <w:szCs w:val="20"/>
        </w:rPr>
        <w:t> </w:t>
      </w:r>
      <w:r w:rsidR="00AC0027" w:rsidRPr="002573BA">
        <w:rPr>
          <w:rFonts w:ascii="Arial" w:hAnsi="Arial" w:cs="Arial"/>
          <w:bCs/>
          <w:color w:val="000000" w:themeColor="text1"/>
          <w:sz w:val="20"/>
          <w:szCs w:val="20"/>
        </w:rPr>
        <w:t>odstotka</w:t>
      </w:r>
      <w:r w:rsidRPr="002573BA">
        <w:rPr>
          <w:rFonts w:ascii="Arial" w:hAnsi="Arial" w:cs="Arial"/>
          <w:bCs/>
          <w:color w:val="000000" w:themeColor="text1"/>
          <w:sz w:val="20"/>
          <w:szCs w:val="20"/>
        </w:rPr>
        <w:t xml:space="preserve"> vseh dokončanih postopkov v letu 20</w:t>
      </w:r>
      <w:r w:rsidR="00C62C7D" w:rsidRPr="002573BA">
        <w:rPr>
          <w:rFonts w:ascii="Arial" w:hAnsi="Arial" w:cs="Arial"/>
          <w:bCs/>
          <w:color w:val="000000" w:themeColor="text1"/>
          <w:sz w:val="20"/>
          <w:szCs w:val="20"/>
        </w:rPr>
        <w:t>2</w:t>
      </w:r>
      <w:r w:rsidR="0053195B" w:rsidRPr="002573BA">
        <w:rPr>
          <w:rFonts w:ascii="Arial" w:hAnsi="Arial" w:cs="Arial"/>
          <w:bCs/>
          <w:color w:val="000000" w:themeColor="text1"/>
          <w:sz w:val="20"/>
          <w:szCs w:val="20"/>
        </w:rPr>
        <w:t>3</w:t>
      </w:r>
      <w:r w:rsidRPr="002573BA">
        <w:rPr>
          <w:rFonts w:ascii="Arial" w:hAnsi="Arial" w:cs="Arial"/>
          <w:bCs/>
          <w:color w:val="000000" w:themeColor="text1"/>
          <w:sz w:val="20"/>
          <w:szCs w:val="20"/>
        </w:rPr>
        <w:t xml:space="preserve"> in po vrednosti </w:t>
      </w:r>
      <w:r w:rsidR="003057DE" w:rsidRPr="002573BA">
        <w:rPr>
          <w:rFonts w:ascii="Arial" w:hAnsi="Arial" w:cs="Arial"/>
          <w:bCs/>
          <w:color w:val="000000" w:themeColor="text1"/>
          <w:sz w:val="20"/>
          <w:szCs w:val="20"/>
        </w:rPr>
        <w:t>74,22</w:t>
      </w:r>
      <w:r w:rsidRPr="002573BA">
        <w:rPr>
          <w:rFonts w:ascii="Arial" w:hAnsi="Arial" w:cs="Arial"/>
          <w:bCs/>
          <w:color w:val="000000" w:themeColor="text1"/>
          <w:sz w:val="20"/>
          <w:szCs w:val="20"/>
        </w:rPr>
        <w:t> </w:t>
      </w:r>
      <w:r w:rsidR="00AC0027" w:rsidRPr="002573BA">
        <w:rPr>
          <w:rFonts w:ascii="Arial" w:hAnsi="Arial" w:cs="Arial"/>
          <w:bCs/>
          <w:color w:val="000000" w:themeColor="text1"/>
          <w:sz w:val="20"/>
          <w:szCs w:val="20"/>
        </w:rPr>
        <w:t>odstotka</w:t>
      </w:r>
      <w:r w:rsidRPr="002573BA">
        <w:rPr>
          <w:rFonts w:ascii="Arial" w:hAnsi="Arial" w:cs="Arial"/>
          <w:bCs/>
          <w:color w:val="000000" w:themeColor="text1"/>
          <w:sz w:val="20"/>
          <w:szCs w:val="20"/>
        </w:rPr>
        <w:t>.</w:t>
      </w:r>
    </w:p>
    <w:p w14:paraId="3B284654" w14:textId="35160B82" w:rsidR="00EA2329" w:rsidRPr="003B6266" w:rsidRDefault="006F709C" w:rsidP="00E94653">
      <w:pPr>
        <w:rPr>
          <w:rFonts w:ascii="Arial" w:hAnsi="Arial" w:cs="Arial"/>
          <w:color w:val="000000" w:themeColor="text1"/>
          <w:sz w:val="20"/>
        </w:rPr>
      </w:pPr>
      <w:r w:rsidRPr="003B6266">
        <w:rPr>
          <w:rFonts w:ascii="Arial" w:hAnsi="Arial" w:cs="Arial"/>
          <w:color w:val="000000" w:themeColor="text1"/>
          <w:sz w:val="20"/>
        </w:rPr>
        <w:t xml:space="preserve">Graf </w:t>
      </w:r>
      <w:r w:rsidR="002B1D8E" w:rsidRPr="003B6266">
        <w:rPr>
          <w:rFonts w:ascii="Arial" w:hAnsi="Arial" w:cs="Arial"/>
          <w:color w:val="000000" w:themeColor="text1"/>
          <w:sz w:val="20"/>
        </w:rPr>
        <w:t>4</w:t>
      </w:r>
      <w:r w:rsidRPr="003B6266">
        <w:rPr>
          <w:rFonts w:ascii="Arial" w:hAnsi="Arial" w:cs="Arial"/>
          <w:color w:val="000000" w:themeColor="text1"/>
          <w:sz w:val="20"/>
        </w:rPr>
        <w:t xml:space="preserve">: Porazdelitev </w:t>
      </w:r>
      <w:r w:rsidR="00023F19" w:rsidRPr="003B6266">
        <w:rPr>
          <w:rFonts w:ascii="Arial" w:hAnsi="Arial" w:cs="Arial"/>
          <w:color w:val="000000" w:themeColor="text1"/>
          <w:sz w:val="20"/>
        </w:rPr>
        <w:t>vrst</w:t>
      </w:r>
      <w:r w:rsidR="007B5AE3" w:rsidRPr="003B6266">
        <w:rPr>
          <w:rFonts w:ascii="Arial" w:hAnsi="Arial" w:cs="Arial"/>
          <w:color w:val="000000" w:themeColor="text1"/>
          <w:sz w:val="20"/>
        </w:rPr>
        <w:t xml:space="preserve"> postopkov </w:t>
      </w:r>
      <w:r w:rsidR="0099207C" w:rsidRPr="003B6266">
        <w:rPr>
          <w:rFonts w:ascii="Arial" w:hAnsi="Arial" w:cs="Arial"/>
          <w:color w:val="000000" w:themeColor="text1"/>
          <w:sz w:val="20"/>
        </w:rPr>
        <w:t xml:space="preserve">javnega naročanja po letih </w:t>
      </w:r>
      <w:r w:rsidR="007B5AE3" w:rsidRPr="003B6266">
        <w:rPr>
          <w:rFonts w:ascii="Arial" w:hAnsi="Arial" w:cs="Arial"/>
          <w:color w:val="000000" w:themeColor="text1"/>
          <w:sz w:val="20"/>
        </w:rPr>
        <w:t>v obdobju 201</w:t>
      </w:r>
      <w:r w:rsidR="00BB7610" w:rsidRPr="003B6266">
        <w:rPr>
          <w:rFonts w:ascii="Arial" w:hAnsi="Arial" w:cs="Arial"/>
          <w:color w:val="000000" w:themeColor="text1"/>
          <w:sz w:val="20"/>
        </w:rPr>
        <w:t>5</w:t>
      </w:r>
      <w:r w:rsidR="007B5AE3" w:rsidRPr="003B6266">
        <w:rPr>
          <w:rFonts w:ascii="Arial" w:hAnsi="Arial" w:cs="Arial"/>
          <w:color w:val="000000" w:themeColor="text1"/>
          <w:sz w:val="20"/>
        </w:rPr>
        <w:t>–20</w:t>
      </w:r>
      <w:r w:rsidR="00E5305C" w:rsidRPr="003B6266">
        <w:rPr>
          <w:rFonts w:ascii="Arial" w:hAnsi="Arial" w:cs="Arial"/>
          <w:color w:val="000000" w:themeColor="text1"/>
          <w:sz w:val="20"/>
        </w:rPr>
        <w:t>2</w:t>
      </w:r>
      <w:r w:rsidR="000418FB" w:rsidRPr="003B6266">
        <w:rPr>
          <w:rFonts w:ascii="Arial" w:hAnsi="Arial" w:cs="Arial"/>
          <w:color w:val="000000" w:themeColor="text1"/>
          <w:sz w:val="20"/>
        </w:rPr>
        <w:t>3</w:t>
      </w:r>
      <w:r w:rsidRPr="003B6266">
        <w:rPr>
          <w:rFonts w:ascii="Arial" w:hAnsi="Arial" w:cs="Arial"/>
          <w:color w:val="000000" w:themeColor="text1"/>
          <w:sz w:val="20"/>
        </w:rPr>
        <w:t xml:space="preserve"> glede na število </w:t>
      </w:r>
      <w:r w:rsidR="00023F19" w:rsidRPr="003B6266">
        <w:rPr>
          <w:rFonts w:ascii="Arial" w:hAnsi="Arial" w:cs="Arial"/>
          <w:color w:val="000000" w:themeColor="text1"/>
          <w:sz w:val="20"/>
        </w:rPr>
        <w:t>vseh postopkov</w:t>
      </w:r>
      <w:r w:rsidR="00126B24" w:rsidRPr="003B6266">
        <w:rPr>
          <w:rFonts w:ascii="Arial" w:hAnsi="Arial" w:cs="Arial"/>
          <w:color w:val="000000" w:themeColor="text1"/>
          <w:sz w:val="20"/>
        </w:rPr>
        <w:t xml:space="preserve"> </w:t>
      </w:r>
      <w:r w:rsidR="00BB7610" w:rsidRPr="003B6266">
        <w:rPr>
          <w:noProof/>
          <w:color w:val="000000" w:themeColor="text1"/>
          <w:lang w:eastAsia="sl-SI"/>
        </w:rPr>
        <w:drawing>
          <wp:inline distT="0" distB="0" distL="0" distR="0" wp14:anchorId="4F36B602" wp14:editId="4493DC1F">
            <wp:extent cx="5730240" cy="3347049"/>
            <wp:effectExtent l="0" t="0" r="3810" b="6350"/>
            <wp:docPr id="3" name="Grafikon 3" descr="Grafikon predstavlja delež različnih vrst postopkov v številu, ki so jih naročniki izvedli pri oddanih naročilih v obdobju od leta 2015 do vključno leta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0F1C3D" w14:textId="4CC021D1" w:rsidR="006F709C" w:rsidRPr="003B6266" w:rsidRDefault="006F709C" w:rsidP="00701C10">
      <w:pPr>
        <w:spacing w:after="240" w:line="240" w:lineRule="auto"/>
        <w:jc w:val="center"/>
        <w:rPr>
          <w:rFonts w:ascii="Arial" w:hAnsi="Arial" w:cs="Arial"/>
          <w:color w:val="000000" w:themeColor="text1"/>
          <w:sz w:val="18"/>
        </w:rPr>
      </w:pPr>
      <w:r w:rsidRPr="003B6266">
        <w:rPr>
          <w:rFonts w:ascii="Arial" w:hAnsi="Arial" w:cs="Arial"/>
          <w:color w:val="000000" w:themeColor="text1"/>
          <w:sz w:val="18"/>
        </w:rPr>
        <w:t xml:space="preserve">Vir: </w:t>
      </w:r>
      <w:r w:rsidR="008724E9" w:rsidRPr="003B6266">
        <w:rPr>
          <w:rFonts w:ascii="Arial" w:hAnsi="Arial" w:cs="Arial"/>
          <w:color w:val="000000" w:themeColor="text1"/>
          <w:sz w:val="18"/>
        </w:rPr>
        <w:t>Statistični podatki o javnih naročilih, oddanih v letih 201</w:t>
      </w:r>
      <w:r w:rsidR="00BB7610" w:rsidRPr="003B6266">
        <w:rPr>
          <w:rFonts w:ascii="Arial" w:hAnsi="Arial" w:cs="Arial"/>
          <w:color w:val="000000" w:themeColor="text1"/>
          <w:sz w:val="18"/>
        </w:rPr>
        <w:t>5</w:t>
      </w:r>
      <w:r w:rsidR="008724E9" w:rsidRPr="003B6266">
        <w:rPr>
          <w:rFonts w:ascii="Arial" w:hAnsi="Arial" w:cs="Arial"/>
          <w:color w:val="000000" w:themeColor="text1"/>
          <w:sz w:val="18"/>
        </w:rPr>
        <w:t>–202</w:t>
      </w:r>
      <w:r w:rsidR="000418FB" w:rsidRPr="003B6266">
        <w:rPr>
          <w:rFonts w:ascii="Arial" w:hAnsi="Arial" w:cs="Arial"/>
          <w:color w:val="000000" w:themeColor="text1"/>
          <w:sz w:val="18"/>
        </w:rPr>
        <w:t>3</w:t>
      </w:r>
      <w:r w:rsidR="00210A86" w:rsidRPr="003B6266">
        <w:rPr>
          <w:rFonts w:ascii="Arial" w:hAnsi="Arial" w:cs="Arial"/>
          <w:color w:val="000000" w:themeColor="text1"/>
          <w:sz w:val="18"/>
        </w:rPr>
        <w:t>.</w:t>
      </w:r>
    </w:p>
    <w:p w14:paraId="5712E3B1" w14:textId="3017B40D" w:rsidR="006F709C" w:rsidRPr="00486B3B" w:rsidRDefault="00C44197" w:rsidP="00B346C9">
      <w:pPr>
        <w:tabs>
          <w:tab w:val="left" w:pos="567"/>
          <w:tab w:val="left" w:pos="993"/>
        </w:tabs>
        <w:spacing w:line="360" w:lineRule="auto"/>
        <w:jc w:val="both"/>
        <w:rPr>
          <w:rFonts w:ascii="Arial" w:hAnsi="Arial" w:cs="Arial"/>
          <w:bCs/>
          <w:color w:val="000000" w:themeColor="text1"/>
          <w:sz w:val="20"/>
          <w:szCs w:val="20"/>
        </w:rPr>
      </w:pPr>
      <w:r w:rsidRPr="00486B3B">
        <w:rPr>
          <w:rFonts w:ascii="Arial" w:hAnsi="Arial" w:cs="Arial"/>
          <w:bCs/>
          <w:color w:val="000000" w:themeColor="text1"/>
          <w:sz w:val="20"/>
          <w:szCs w:val="20"/>
        </w:rPr>
        <w:lastRenderedPageBreak/>
        <w:t>S</w:t>
      </w:r>
      <w:r w:rsidR="008770AC" w:rsidRPr="00486B3B">
        <w:rPr>
          <w:rFonts w:ascii="Arial" w:hAnsi="Arial" w:cs="Arial"/>
          <w:bCs/>
          <w:color w:val="000000" w:themeColor="text1"/>
          <w:sz w:val="20"/>
          <w:szCs w:val="20"/>
        </w:rPr>
        <w:t>podnj</w:t>
      </w:r>
      <w:r w:rsidRPr="00486B3B">
        <w:rPr>
          <w:rFonts w:ascii="Arial" w:hAnsi="Arial" w:cs="Arial"/>
          <w:bCs/>
          <w:color w:val="000000" w:themeColor="text1"/>
          <w:sz w:val="20"/>
          <w:szCs w:val="20"/>
        </w:rPr>
        <w:t>a</w:t>
      </w:r>
      <w:r w:rsidR="008770AC" w:rsidRPr="00486B3B">
        <w:rPr>
          <w:rFonts w:ascii="Arial" w:hAnsi="Arial" w:cs="Arial"/>
          <w:bCs/>
          <w:color w:val="000000" w:themeColor="text1"/>
          <w:sz w:val="20"/>
          <w:szCs w:val="20"/>
        </w:rPr>
        <w:t xml:space="preserve"> preglednic</w:t>
      </w:r>
      <w:r w:rsidRPr="00486B3B">
        <w:rPr>
          <w:rFonts w:ascii="Arial" w:hAnsi="Arial" w:cs="Arial"/>
          <w:bCs/>
          <w:color w:val="000000" w:themeColor="text1"/>
          <w:sz w:val="20"/>
          <w:szCs w:val="20"/>
        </w:rPr>
        <w:t>a prikazuje</w:t>
      </w:r>
      <w:r w:rsidR="008770AC" w:rsidRPr="00486B3B">
        <w:rPr>
          <w:rFonts w:ascii="Arial" w:hAnsi="Arial" w:cs="Arial"/>
          <w:bCs/>
          <w:color w:val="000000" w:themeColor="text1"/>
          <w:sz w:val="20"/>
          <w:szCs w:val="20"/>
        </w:rPr>
        <w:t xml:space="preserve"> število, vrednost </w:t>
      </w:r>
      <w:r w:rsidR="00B54E88" w:rsidRPr="00486B3B">
        <w:rPr>
          <w:rFonts w:ascii="Arial" w:hAnsi="Arial" w:cs="Arial"/>
          <w:bCs/>
          <w:color w:val="000000" w:themeColor="text1"/>
          <w:sz w:val="20"/>
          <w:szCs w:val="20"/>
        </w:rPr>
        <w:t>ter</w:t>
      </w:r>
      <w:r w:rsidR="008770AC" w:rsidRPr="00486B3B">
        <w:rPr>
          <w:rFonts w:ascii="Arial" w:hAnsi="Arial" w:cs="Arial"/>
          <w:bCs/>
          <w:color w:val="000000" w:themeColor="text1"/>
          <w:sz w:val="20"/>
          <w:szCs w:val="20"/>
        </w:rPr>
        <w:t xml:space="preserve"> delež v številu </w:t>
      </w:r>
      <w:r w:rsidR="00B54E88" w:rsidRPr="00486B3B">
        <w:rPr>
          <w:rFonts w:ascii="Arial" w:hAnsi="Arial" w:cs="Arial"/>
          <w:bCs/>
          <w:color w:val="000000" w:themeColor="text1"/>
          <w:sz w:val="20"/>
          <w:szCs w:val="20"/>
        </w:rPr>
        <w:t>in</w:t>
      </w:r>
      <w:r w:rsidR="008770AC" w:rsidRPr="00486B3B">
        <w:rPr>
          <w:rFonts w:ascii="Arial" w:hAnsi="Arial" w:cs="Arial"/>
          <w:bCs/>
          <w:color w:val="000000" w:themeColor="text1"/>
          <w:sz w:val="20"/>
          <w:szCs w:val="20"/>
        </w:rPr>
        <w:t xml:space="preserve"> vrednosti naročil</w:t>
      </w:r>
      <w:r w:rsidR="00D60C03" w:rsidRPr="00486B3B">
        <w:rPr>
          <w:rFonts w:ascii="Arial" w:hAnsi="Arial" w:cs="Arial"/>
          <w:bCs/>
          <w:color w:val="000000" w:themeColor="text1"/>
          <w:sz w:val="20"/>
          <w:szCs w:val="20"/>
        </w:rPr>
        <w:t xml:space="preserve">, ki so jih v postopkih javnega naročanja oddali naročniki, glede na mesto objave obvestila o oddaji javnega naročila. </w:t>
      </w:r>
      <w:r w:rsidR="00105F07" w:rsidRPr="00486B3B">
        <w:rPr>
          <w:rFonts w:ascii="Arial" w:hAnsi="Arial" w:cs="Arial"/>
          <w:bCs/>
          <w:color w:val="000000" w:themeColor="text1"/>
          <w:sz w:val="20"/>
          <w:szCs w:val="20"/>
        </w:rPr>
        <w:t>P</w:t>
      </w:r>
      <w:r w:rsidR="00D60C03" w:rsidRPr="00486B3B">
        <w:rPr>
          <w:rFonts w:ascii="Arial" w:hAnsi="Arial" w:cs="Arial"/>
          <w:bCs/>
          <w:color w:val="000000" w:themeColor="text1"/>
          <w:sz w:val="20"/>
          <w:szCs w:val="20"/>
        </w:rPr>
        <w:t>odatk</w:t>
      </w:r>
      <w:r w:rsidR="00105F07" w:rsidRPr="00486B3B">
        <w:rPr>
          <w:rFonts w:ascii="Arial" w:hAnsi="Arial" w:cs="Arial"/>
          <w:bCs/>
          <w:color w:val="000000" w:themeColor="text1"/>
          <w:sz w:val="20"/>
          <w:szCs w:val="20"/>
        </w:rPr>
        <w:t>i kažejo</w:t>
      </w:r>
      <w:r w:rsidR="00D60C03" w:rsidRPr="00486B3B">
        <w:rPr>
          <w:rFonts w:ascii="Arial" w:hAnsi="Arial" w:cs="Arial"/>
          <w:bCs/>
          <w:color w:val="000000" w:themeColor="text1"/>
          <w:sz w:val="20"/>
          <w:szCs w:val="20"/>
        </w:rPr>
        <w:t>, da naročniki manjše</w:t>
      </w:r>
      <w:r w:rsidR="002B7C52" w:rsidRPr="00486B3B">
        <w:rPr>
          <w:rFonts w:ascii="Arial" w:hAnsi="Arial" w:cs="Arial"/>
          <w:bCs/>
          <w:color w:val="000000" w:themeColor="text1"/>
          <w:sz w:val="20"/>
          <w:szCs w:val="20"/>
        </w:rPr>
        <w:t>ga</w:t>
      </w:r>
      <w:r w:rsidR="00D60C03" w:rsidRPr="00486B3B">
        <w:rPr>
          <w:rFonts w:ascii="Arial" w:hAnsi="Arial" w:cs="Arial"/>
          <w:bCs/>
          <w:color w:val="000000" w:themeColor="text1"/>
          <w:sz w:val="20"/>
          <w:szCs w:val="20"/>
        </w:rPr>
        <w:t xml:space="preserve"> števil</w:t>
      </w:r>
      <w:r w:rsidR="00105F07" w:rsidRPr="00486B3B">
        <w:rPr>
          <w:rFonts w:ascii="Arial" w:hAnsi="Arial" w:cs="Arial"/>
          <w:bCs/>
          <w:color w:val="000000" w:themeColor="text1"/>
          <w:sz w:val="20"/>
          <w:szCs w:val="20"/>
        </w:rPr>
        <w:t>a</w:t>
      </w:r>
      <w:r w:rsidR="00D60C03" w:rsidRPr="00486B3B">
        <w:rPr>
          <w:rFonts w:ascii="Arial" w:hAnsi="Arial" w:cs="Arial"/>
          <w:bCs/>
          <w:color w:val="000000" w:themeColor="text1"/>
          <w:sz w:val="20"/>
          <w:szCs w:val="20"/>
        </w:rPr>
        <w:t xml:space="preserve"> postopkov, ki se sicer uporabljajo za oddajo javnih naročil nad pragovi, določeni</w:t>
      </w:r>
      <w:r w:rsidR="00D8052A" w:rsidRPr="00486B3B">
        <w:rPr>
          <w:rFonts w:ascii="Arial" w:hAnsi="Arial" w:cs="Arial"/>
          <w:bCs/>
          <w:color w:val="000000" w:themeColor="text1"/>
          <w:sz w:val="20"/>
          <w:szCs w:val="20"/>
        </w:rPr>
        <w:t>mi</w:t>
      </w:r>
      <w:r w:rsidR="00D60C03" w:rsidRPr="00486B3B">
        <w:rPr>
          <w:rFonts w:ascii="Arial" w:hAnsi="Arial" w:cs="Arial"/>
          <w:bCs/>
          <w:color w:val="000000" w:themeColor="text1"/>
          <w:sz w:val="20"/>
          <w:szCs w:val="20"/>
        </w:rPr>
        <w:t xml:space="preserve"> za objavo v Uradnem listu Evropske unije, na tem mestu niso objavili.</w:t>
      </w:r>
      <w:r w:rsidR="006E63A1" w:rsidRPr="00486B3B">
        <w:rPr>
          <w:rFonts w:ascii="Arial" w:hAnsi="Arial" w:cs="Arial"/>
          <w:bCs/>
          <w:color w:val="000000" w:themeColor="text1"/>
          <w:sz w:val="20"/>
          <w:szCs w:val="20"/>
        </w:rPr>
        <w:t xml:space="preserve"> Sklepamo lahko, da je bila ocenjena vrednost teh naročil nižja od </w:t>
      </w:r>
      <w:r w:rsidR="00864791" w:rsidRPr="00486B3B">
        <w:rPr>
          <w:rFonts w:ascii="Arial" w:hAnsi="Arial" w:cs="Arial"/>
          <w:bCs/>
          <w:color w:val="000000" w:themeColor="text1"/>
          <w:sz w:val="20"/>
          <w:szCs w:val="20"/>
        </w:rPr>
        <w:t xml:space="preserve">mejnih </w:t>
      </w:r>
      <w:r w:rsidR="006E63A1" w:rsidRPr="00486B3B">
        <w:rPr>
          <w:rFonts w:ascii="Arial" w:hAnsi="Arial" w:cs="Arial"/>
          <w:bCs/>
          <w:color w:val="000000" w:themeColor="text1"/>
          <w:sz w:val="20"/>
          <w:szCs w:val="20"/>
        </w:rPr>
        <w:t xml:space="preserve">vrednosti, </w:t>
      </w:r>
      <w:r w:rsidR="00864791" w:rsidRPr="00486B3B">
        <w:rPr>
          <w:rFonts w:ascii="Arial" w:hAnsi="Arial" w:cs="Arial"/>
          <w:bCs/>
          <w:color w:val="000000" w:themeColor="text1"/>
          <w:sz w:val="20"/>
          <w:szCs w:val="20"/>
        </w:rPr>
        <w:t>nad katerimi</w:t>
      </w:r>
      <w:r w:rsidR="006E63A1" w:rsidRPr="00486B3B">
        <w:rPr>
          <w:rFonts w:ascii="Arial" w:hAnsi="Arial" w:cs="Arial"/>
          <w:bCs/>
          <w:color w:val="000000" w:themeColor="text1"/>
          <w:sz w:val="20"/>
          <w:szCs w:val="20"/>
        </w:rPr>
        <w:t xml:space="preserve"> je treb</w:t>
      </w:r>
      <w:r w:rsidR="008765DB">
        <w:rPr>
          <w:rFonts w:ascii="Arial" w:hAnsi="Arial" w:cs="Arial"/>
          <w:bCs/>
          <w:color w:val="000000" w:themeColor="text1"/>
          <w:sz w:val="20"/>
          <w:szCs w:val="20"/>
        </w:rPr>
        <w:t>a</w:t>
      </w:r>
      <w:r w:rsidR="006E63A1" w:rsidRPr="00486B3B">
        <w:rPr>
          <w:rFonts w:ascii="Arial" w:hAnsi="Arial" w:cs="Arial"/>
          <w:bCs/>
          <w:color w:val="000000" w:themeColor="text1"/>
          <w:sz w:val="20"/>
          <w:szCs w:val="20"/>
        </w:rPr>
        <w:t xml:space="preserve"> objaviti obvestilo v Uradnem listu Evropske unije.</w:t>
      </w:r>
    </w:p>
    <w:p w14:paraId="24C4BE81" w14:textId="1527D8AD" w:rsidR="00605ABB" w:rsidRPr="00486B3B" w:rsidRDefault="00B346C9" w:rsidP="00E94653">
      <w:pPr>
        <w:jc w:val="both"/>
        <w:rPr>
          <w:rFonts w:ascii="Arial" w:hAnsi="Arial" w:cs="Arial"/>
          <w:color w:val="000000" w:themeColor="text1"/>
          <w:sz w:val="20"/>
        </w:rPr>
      </w:pPr>
      <w:r w:rsidRPr="00486B3B">
        <w:rPr>
          <w:rFonts w:ascii="Arial" w:hAnsi="Arial" w:cs="Arial"/>
          <w:color w:val="000000" w:themeColor="text1"/>
          <w:sz w:val="20"/>
        </w:rPr>
        <w:t xml:space="preserve">Preglednica </w:t>
      </w:r>
      <w:r w:rsidR="00EB4423" w:rsidRPr="00486B3B">
        <w:rPr>
          <w:rFonts w:ascii="Arial" w:hAnsi="Arial" w:cs="Arial"/>
          <w:color w:val="000000" w:themeColor="text1"/>
          <w:sz w:val="20"/>
        </w:rPr>
        <w:t>8</w:t>
      </w:r>
      <w:r w:rsidRPr="00486B3B">
        <w:rPr>
          <w:rFonts w:ascii="Arial" w:hAnsi="Arial" w:cs="Arial"/>
          <w:color w:val="000000" w:themeColor="text1"/>
          <w:sz w:val="20"/>
        </w:rPr>
        <w:t xml:space="preserve">: </w:t>
      </w:r>
      <w:r w:rsidR="0099207C" w:rsidRPr="00486B3B">
        <w:rPr>
          <w:rFonts w:ascii="Arial" w:hAnsi="Arial" w:cs="Arial"/>
          <w:color w:val="000000" w:themeColor="text1"/>
          <w:sz w:val="20"/>
        </w:rPr>
        <w:t>Naročila v postopkih javne</w:t>
      </w:r>
      <w:r w:rsidR="00AD71E4" w:rsidRPr="00486B3B">
        <w:rPr>
          <w:rFonts w:ascii="Arial" w:hAnsi="Arial" w:cs="Arial"/>
          <w:color w:val="000000" w:themeColor="text1"/>
          <w:sz w:val="20"/>
        </w:rPr>
        <w:t>ga naročanja, objavljena na p</w:t>
      </w:r>
      <w:r w:rsidR="0099207C" w:rsidRPr="00486B3B">
        <w:rPr>
          <w:rFonts w:ascii="Arial" w:hAnsi="Arial" w:cs="Arial"/>
          <w:color w:val="000000" w:themeColor="text1"/>
          <w:sz w:val="20"/>
        </w:rPr>
        <w:t>ortalu javnih naročil in v Uradnem listu Evropske unije, glede na mesto objave in izvedeni postopek v letu 20</w:t>
      </w:r>
      <w:r w:rsidR="0041703C" w:rsidRPr="00486B3B">
        <w:rPr>
          <w:rFonts w:ascii="Arial" w:hAnsi="Arial" w:cs="Arial"/>
          <w:color w:val="000000" w:themeColor="text1"/>
          <w:sz w:val="20"/>
        </w:rPr>
        <w:t>2</w:t>
      </w:r>
      <w:r w:rsidR="00E632F2" w:rsidRPr="00486B3B">
        <w:rPr>
          <w:rFonts w:ascii="Arial" w:hAnsi="Arial" w:cs="Arial"/>
          <w:color w:val="000000" w:themeColor="text1"/>
          <w:sz w:val="20"/>
        </w:rPr>
        <w:t>3</w:t>
      </w:r>
    </w:p>
    <w:tbl>
      <w:tblPr>
        <w:tblW w:w="5000" w:type="pct"/>
        <w:tblCellMar>
          <w:left w:w="70" w:type="dxa"/>
          <w:right w:w="70" w:type="dxa"/>
        </w:tblCellMar>
        <w:tblLook w:val="04A0" w:firstRow="1" w:lastRow="0" w:firstColumn="1" w:lastColumn="0" w:noHBand="0" w:noVBand="1"/>
      </w:tblPr>
      <w:tblGrid>
        <w:gridCol w:w="759"/>
        <w:gridCol w:w="3919"/>
        <w:gridCol w:w="703"/>
        <w:gridCol w:w="1292"/>
        <w:gridCol w:w="1292"/>
        <w:gridCol w:w="1209"/>
      </w:tblGrid>
      <w:tr w:rsidR="00FB7CE7" w:rsidRPr="00486B3B" w14:paraId="3BFB72DB" w14:textId="77777777" w:rsidTr="00647EEA">
        <w:trPr>
          <w:trHeight w:val="480"/>
        </w:trPr>
        <w:tc>
          <w:tcPr>
            <w:tcW w:w="414"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F6B1FDC" w14:textId="77777777" w:rsidR="00E632F2" w:rsidRPr="00486B3B" w:rsidRDefault="00E632F2" w:rsidP="00E632F2">
            <w:pPr>
              <w:spacing w:after="0" w:line="240" w:lineRule="auto"/>
              <w:jc w:val="center"/>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Objava v UL EU</w:t>
            </w:r>
          </w:p>
        </w:tc>
        <w:tc>
          <w:tcPr>
            <w:tcW w:w="2136" w:type="pct"/>
            <w:tcBorders>
              <w:top w:val="single" w:sz="4" w:space="0" w:color="auto"/>
              <w:left w:val="nil"/>
              <w:bottom w:val="single" w:sz="4" w:space="0" w:color="auto"/>
              <w:right w:val="single" w:sz="4" w:space="0" w:color="auto"/>
            </w:tcBorders>
            <w:shd w:val="clear" w:color="000000" w:fill="EDEDED"/>
            <w:vAlign w:val="center"/>
            <w:hideMark/>
          </w:tcPr>
          <w:p w14:paraId="0BB21883" w14:textId="77777777" w:rsidR="00E632F2" w:rsidRPr="00486B3B" w:rsidRDefault="00E632F2" w:rsidP="00E632F2">
            <w:pPr>
              <w:spacing w:after="0" w:line="240" w:lineRule="auto"/>
              <w:jc w:val="center"/>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Vrsta postopka</w:t>
            </w:r>
          </w:p>
        </w:tc>
        <w:tc>
          <w:tcPr>
            <w:tcW w:w="383" w:type="pct"/>
            <w:tcBorders>
              <w:top w:val="single" w:sz="4" w:space="0" w:color="auto"/>
              <w:left w:val="nil"/>
              <w:bottom w:val="single" w:sz="4" w:space="0" w:color="auto"/>
              <w:right w:val="single" w:sz="4" w:space="0" w:color="auto"/>
            </w:tcBorders>
            <w:shd w:val="clear" w:color="000000" w:fill="EDEDED"/>
            <w:vAlign w:val="center"/>
            <w:hideMark/>
          </w:tcPr>
          <w:p w14:paraId="4A63080C" w14:textId="77777777" w:rsidR="00E632F2" w:rsidRPr="00486B3B" w:rsidRDefault="00E632F2" w:rsidP="00E632F2">
            <w:pPr>
              <w:spacing w:after="0" w:line="240" w:lineRule="auto"/>
              <w:jc w:val="center"/>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Št. naročil</w:t>
            </w:r>
          </w:p>
        </w:tc>
        <w:tc>
          <w:tcPr>
            <w:tcW w:w="704" w:type="pct"/>
            <w:tcBorders>
              <w:top w:val="single" w:sz="4" w:space="0" w:color="auto"/>
              <w:left w:val="nil"/>
              <w:bottom w:val="single" w:sz="4" w:space="0" w:color="auto"/>
              <w:right w:val="single" w:sz="4" w:space="0" w:color="auto"/>
            </w:tcBorders>
            <w:shd w:val="clear" w:color="000000" w:fill="EDEDED"/>
            <w:vAlign w:val="center"/>
            <w:hideMark/>
          </w:tcPr>
          <w:p w14:paraId="54387F83" w14:textId="4AB97C39" w:rsidR="00E632F2" w:rsidRPr="00486B3B" w:rsidRDefault="00E632F2" w:rsidP="00E632F2">
            <w:pPr>
              <w:spacing w:after="0" w:line="240" w:lineRule="auto"/>
              <w:jc w:val="center"/>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Pogodbena vrednost</w:t>
            </w:r>
            <w:r w:rsidR="00864791" w:rsidRPr="00486B3B">
              <w:rPr>
                <w:rFonts w:ascii="Arial" w:eastAsia="Times New Roman" w:hAnsi="Arial" w:cs="Arial"/>
                <w:color w:val="000000" w:themeColor="text1"/>
                <w:sz w:val="18"/>
                <w:szCs w:val="18"/>
                <w:lang w:eastAsia="sl-SI"/>
              </w:rPr>
              <w:t xml:space="preserve"> (v EUR)</w:t>
            </w:r>
          </w:p>
        </w:tc>
        <w:tc>
          <w:tcPr>
            <w:tcW w:w="704" w:type="pct"/>
            <w:tcBorders>
              <w:top w:val="single" w:sz="4" w:space="0" w:color="auto"/>
              <w:left w:val="nil"/>
              <w:bottom w:val="single" w:sz="4" w:space="0" w:color="auto"/>
              <w:right w:val="single" w:sz="4" w:space="0" w:color="auto"/>
            </w:tcBorders>
            <w:shd w:val="clear" w:color="000000" w:fill="EDEDED"/>
            <w:vAlign w:val="center"/>
            <w:hideMark/>
          </w:tcPr>
          <w:p w14:paraId="1680A58D" w14:textId="77777777" w:rsidR="00E632F2" w:rsidRPr="00486B3B" w:rsidRDefault="00E632F2" w:rsidP="00E632F2">
            <w:pPr>
              <w:spacing w:after="0" w:line="240" w:lineRule="auto"/>
              <w:jc w:val="center"/>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Delež v št. vseh naročil</w:t>
            </w:r>
          </w:p>
        </w:tc>
        <w:tc>
          <w:tcPr>
            <w:tcW w:w="659" w:type="pct"/>
            <w:tcBorders>
              <w:top w:val="single" w:sz="4" w:space="0" w:color="auto"/>
              <w:left w:val="nil"/>
              <w:bottom w:val="single" w:sz="4" w:space="0" w:color="auto"/>
              <w:right w:val="single" w:sz="4" w:space="0" w:color="auto"/>
            </w:tcBorders>
            <w:shd w:val="clear" w:color="000000" w:fill="EDEDED"/>
            <w:vAlign w:val="center"/>
            <w:hideMark/>
          </w:tcPr>
          <w:p w14:paraId="605BC758" w14:textId="77777777" w:rsidR="00E632F2" w:rsidRPr="00486B3B" w:rsidRDefault="00E632F2" w:rsidP="00E632F2">
            <w:pPr>
              <w:spacing w:after="0" w:line="240" w:lineRule="auto"/>
              <w:jc w:val="center"/>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Delež v vrednosti vseh naročil</w:t>
            </w:r>
          </w:p>
        </w:tc>
      </w:tr>
      <w:tr w:rsidR="00486B3B" w:rsidRPr="00486B3B" w14:paraId="76C7F88D" w14:textId="77777777" w:rsidTr="00486B3B">
        <w:trPr>
          <w:trHeight w:val="300"/>
        </w:trPr>
        <w:tc>
          <w:tcPr>
            <w:tcW w:w="4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720703"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DA</w:t>
            </w:r>
          </w:p>
        </w:tc>
        <w:tc>
          <w:tcPr>
            <w:tcW w:w="2136" w:type="pct"/>
            <w:tcBorders>
              <w:top w:val="nil"/>
              <w:left w:val="nil"/>
              <w:bottom w:val="single" w:sz="4" w:space="0" w:color="auto"/>
              <w:right w:val="single" w:sz="4" w:space="0" w:color="auto"/>
            </w:tcBorders>
            <w:shd w:val="clear" w:color="auto" w:fill="auto"/>
            <w:noWrap/>
            <w:vAlign w:val="center"/>
            <w:hideMark/>
          </w:tcPr>
          <w:p w14:paraId="0983D490"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Konkurenčni dialog</w:t>
            </w:r>
          </w:p>
        </w:tc>
        <w:tc>
          <w:tcPr>
            <w:tcW w:w="383" w:type="pct"/>
            <w:tcBorders>
              <w:top w:val="nil"/>
              <w:left w:val="nil"/>
              <w:bottom w:val="single" w:sz="4" w:space="0" w:color="auto"/>
              <w:right w:val="single" w:sz="4" w:space="0" w:color="auto"/>
            </w:tcBorders>
            <w:shd w:val="clear" w:color="auto" w:fill="auto"/>
            <w:noWrap/>
            <w:vAlign w:val="center"/>
            <w:hideMark/>
          </w:tcPr>
          <w:p w14:paraId="217E3CF4" w14:textId="103BC756"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17</w:t>
            </w:r>
          </w:p>
        </w:tc>
        <w:tc>
          <w:tcPr>
            <w:tcW w:w="704" w:type="pct"/>
            <w:tcBorders>
              <w:top w:val="nil"/>
              <w:left w:val="nil"/>
              <w:bottom w:val="single" w:sz="4" w:space="0" w:color="auto"/>
              <w:right w:val="single" w:sz="4" w:space="0" w:color="auto"/>
            </w:tcBorders>
            <w:shd w:val="clear" w:color="auto" w:fill="auto"/>
            <w:noWrap/>
            <w:vAlign w:val="center"/>
            <w:hideMark/>
          </w:tcPr>
          <w:p w14:paraId="02F52FAA" w14:textId="1C01E574"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225.005.057</w:t>
            </w:r>
          </w:p>
        </w:tc>
        <w:tc>
          <w:tcPr>
            <w:tcW w:w="704" w:type="pct"/>
            <w:tcBorders>
              <w:top w:val="nil"/>
              <w:left w:val="nil"/>
              <w:bottom w:val="single" w:sz="4" w:space="0" w:color="auto"/>
              <w:right w:val="single" w:sz="4" w:space="0" w:color="auto"/>
            </w:tcBorders>
            <w:shd w:val="clear" w:color="auto" w:fill="auto"/>
            <w:noWrap/>
            <w:vAlign w:val="center"/>
          </w:tcPr>
          <w:p w14:paraId="13324A21" w14:textId="4338FABF"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0,10 %</w:t>
            </w:r>
          </w:p>
        </w:tc>
        <w:tc>
          <w:tcPr>
            <w:tcW w:w="659" w:type="pct"/>
            <w:tcBorders>
              <w:top w:val="nil"/>
              <w:left w:val="nil"/>
              <w:bottom w:val="single" w:sz="4" w:space="0" w:color="auto"/>
              <w:right w:val="single" w:sz="4" w:space="0" w:color="auto"/>
            </w:tcBorders>
            <w:shd w:val="clear" w:color="auto" w:fill="auto"/>
            <w:noWrap/>
            <w:vAlign w:val="center"/>
          </w:tcPr>
          <w:p w14:paraId="0B527E67" w14:textId="4EA3D517"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3,61</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02D48A9A"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70972FD5"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7312ECE5"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Konkurenčni postopek s pogajanji</w:t>
            </w:r>
          </w:p>
        </w:tc>
        <w:tc>
          <w:tcPr>
            <w:tcW w:w="383" w:type="pct"/>
            <w:tcBorders>
              <w:top w:val="nil"/>
              <w:left w:val="nil"/>
              <w:bottom w:val="single" w:sz="4" w:space="0" w:color="auto"/>
              <w:right w:val="single" w:sz="4" w:space="0" w:color="auto"/>
            </w:tcBorders>
            <w:shd w:val="clear" w:color="auto" w:fill="auto"/>
            <w:noWrap/>
            <w:vAlign w:val="center"/>
            <w:hideMark/>
          </w:tcPr>
          <w:p w14:paraId="38170A66" w14:textId="5100C30C"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138</w:t>
            </w:r>
          </w:p>
        </w:tc>
        <w:tc>
          <w:tcPr>
            <w:tcW w:w="704" w:type="pct"/>
            <w:tcBorders>
              <w:top w:val="nil"/>
              <w:left w:val="nil"/>
              <w:bottom w:val="single" w:sz="4" w:space="0" w:color="auto"/>
              <w:right w:val="single" w:sz="4" w:space="0" w:color="auto"/>
            </w:tcBorders>
            <w:shd w:val="clear" w:color="auto" w:fill="auto"/>
            <w:noWrap/>
            <w:vAlign w:val="center"/>
            <w:hideMark/>
          </w:tcPr>
          <w:p w14:paraId="66F6B29C" w14:textId="41560DD0"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267.570.985</w:t>
            </w:r>
          </w:p>
        </w:tc>
        <w:tc>
          <w:tcPr>
            <w:tcW w:w="704" w:type="pct"/>
            <w:tcBorders>
              <w:top w:val="nil"/>
              <w:left w:val="nil"/>
              <w:bottom w:val="single" w:sz="4" w:space="0" w:color="auto"/>
              <w:right w:val="single" w:sz="4" w:space="0" w:color="auto"/>
            </w:tcBorders>
            <w:shd w:val="clear" w:color="auto" w:fill="auto"/>
            <w:noWrap/>
            <w:vAlign w:val="center"/>
          </w:tcPr>
          <w:p w14:paraId="212EF66C" w14:textId="00259957"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0,82 %</w:t>
            </w:r>
          </w:p>
        </w:tc>
        <w:tc>
          <w:tcPr>
            <w:tcW w:w="659" w:type="pct"/>
            <w:tcBorders>
              <w:top w:val="nil"/>
              <w:left w:val="nil"/>
              <w:bottom w:val="single" w:sz="4" w:space="0" w:color="auto"/>
              <w:right w:val="single" w:sz="4" w:space="0" w:color="auto"/>
            </w:tcBorders>
            <w:shd w:val="clear" w:color="auto" w:fill="auto"/>
            <w:noWrap/>
            <w:vAlign w:val="center"/>
          </w:tcPr>
          <w:p w14:paraId="21B0485B" w14:textId="7E32ABD8"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4,29</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05A8DC8D"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2ED5EA9F"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5F96A3D6"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Odprti postopek</w:t>
            </w:r>
          </w:p>
        </w:tc>
        <w:tc>
          <w:tcPr>
            <w:tcW w:w="383" w:type="pct"/>
            <w:tcBorders>
              <w:top w:val="nil"/>
              <w:left w:val="nil"/>
              <w:bottom w:val="single" w:sz="4" w:space="0" w:color="auto"/>
              <w:right w:val="single" w:sz="4" w:space="0" w:color="auto"/>
            </w:tcBorders>
            <w:shd w:val="clear" w:color="auto" w:fill="auto"/>
            <w:noWrap/>
            <w:vAlign w:val="center"/>
            <w:hideMark/>
          </w:tcPr>
          <w:p w14:paraId="311843ED" w14:textId="20F74FEF"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8.416</w:t>
            </w:r>
          </w:p>
        </w:tc>
        <w:tc>
          <w:tcPr>
            <w:tcW w:w="704" w:type="pct"/>
            <w:tcBorders>
              <w:top w:val="nil"/>
              <w:left w:val="nil"/>
              <w:bottom w:val="single" w:sz="4" w:space="0" w:color="auto"/>
              <w:right w:val="single" w:sz="4" w:space="0" w:color="auto"/>
            </w:tcBorders>
            <w:shd w:val="clear" w:color="auto" w:fill="auto"/>
            <w:noWrap/>
            <w:vAlign w:val="center"/>
            <w:hideMark/>
          </w:tcPr>
          <w:p w14:paraId="0AF2A641" w14:textId="08676C6F"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3.412.418.520</w:t>
            </w:r>
          </w:p>
        </w:tc>
        <w:tc>
          <w:tcPr>
            <w:tcW w:w="704" w:type="pct"/>
            <w:tcBorders>
              <w:top w:val="nil"/>
              <w:left w:val="nil"/>
              <w:bottom w:val="single" w:sz="4" w:space="0" w:color="auto"/>
              <w:right w:val="single" w:sz="4" w:space="0" w:color="auto"/>
            </w:tcBorders>
            <w:shd w:val="clear" w:color="auto" w:fill="auto"/>
            <w:noWrap/>
            <w:vAlign w:val="center"/>
          </w:tcPr>
          <w:p w14:paraId="19E0C636" w14:textId="4BFD40C9"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50,02 %</w:t>
            </w:r>
          </w:p>
        </w:tc>
        <w:tc>
          <w:tcPr>
            <w:tcW w:w="659" w:type="pct"/>
            <w:tcBorders>
              <w:top w:val="nil"/>
              <w:left w:val="nil"/>
              <w:bottom w:val="single" w:sz="4" w:space="0" w:color="auto"/>
              <w:right w:val="single" w:sz="4" w:space="0" w:color="auto"/>
            </w:tcBorders>
            <w:shd w:val="clear" w:color="auto" w:fill="auto"/>
            <w:noWrap/>
            <w:vAlign w:val="center"/>
          </w:tcPr>
          <w:p w14:paraId="5F20BABD" w14:textId="78F76B29"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54,75</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371F2C12"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3A21B250"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39C27D88"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Omejeni postopek</w:t>
            </w:r>
          </w:p>
        </w:tc>
        <w:tc>
          <w:tcPr>
            <w:tcW w:w="383" w:type="pct"/>
            <w:tcBorders>
              <w:top w:val="nil"/>
              <w:left w:val="nil"/>
              <w:bottom w:val="single" w:sz="4" w:space="0" w:color="auto"/>
              <w:right w:val="single" w:sz="4" w:space="0" w:color="auto"/>
            </w:tcBorders>
            <w:shd w:val="clear" w:color="auto" w:fill="auto"/>
            <w:noWrap/>
            <w:vAlign w:val="center"/>
            <w:hideMark/>
          </w:tcPr>
          <w:p w14:paraId="75569568" w14:textId="69F77A25"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714</w:t>
            </w:r>
          </w:p>
        </w:tc>
        <w:tc>
          <w:tcPr>
            <w:tcW w:w="704" w:type="pct"/>
            <w:tcBorders>
              <w:top w:val="nil"/>
              <w:left w:val="nil"/>
              <w:bottom w:val="single" w:sz="4" w:space="0" w:color="auto"/>
              <w:right w:val="single" w:sz="4" w:space="0" w:color="auto"/>
            </w:tcBorders>
            <w:shd w:val="clear" w:color="auto" w:fill="auto"/>
            <w:noWrap/>
            <w:vAlign w:val="center"/>
            <w:hideMark/>
          </w:tcPr>
          <w:p w14:paraId="15AEB02B" w14:textId="1C21DFF1"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748.116.316</w:t>
            </w:r>
          </w:p>
        </w:tc>
        <w:tc>
          <w:tcPr>
            <w:tcW w:w="704" w:type="pct"/>
            <w:tcBorders>
              <w:top w:val="nil"/>
              <w:left w:val="nil"/>
              <w:bottom w:val="single" w:sz="4" w:space="0" w:color="auto"/>
              <w:right w:val="single" w:sz="4" w:space="0" w:color="auto"/>
            </w:tcBorders>
            <w:shd w:val="clear" w:color="auto" w:fill="auto"/>
            <w:noWrap/>
            <w:vAlign w:val="center"/>
          </w:tcPr>
          <w:p w14:paraId="69A91EFC" w14:textId="3C4F65FE"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4,24 %</w:t>
            </w:r>
          </w:p>
        </w:tc>
        <w:tc>
          <w:tcPr>
            <w:tcW w:w="659" w:type="pct"/>
            <w:tcBorders>
              <w:top w:val="nil"/>
              <w:left w:val="nil"/>
              <w:bottom w:val="single" w:sz="4" w:space="0" w:color="auto"/>
              <w:right w:val="single" w:sz="4" w:space="0" w:color="auto"/>
            </w:tcBorders>
            <w:shd w:val="clear" w:color="auto" w:fill="auto"/>
            <w:noWrap/>
            <w:vAlign w:val="center"/>
          </w:tcPr>
          <w:p w14:paraId="1816A0B0" w14:textId="46D7011A"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12,00</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735CE8B6"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41EA87DB"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5D6AA3D0"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Postopek s pogajanji brez predhodne objave</w:t>
            </w:r>
          </w:p>
        </w:tc>
        <w:tc>
          <w:tcPr>
            <w:tcW w:w="383" w:type="pct"/>
            <w:tcBorders>
              <w:top w:val="nil"/>
              <w:left w:val="nil"/>
              <w:bottom w:val="single" w:sz="4" w:space="0" w:color="auto"/>
              <w:right w:val="single" w:sz="4" w:space="0" w:color="auto"/>
            </w:tcBorders>
            <w:shd w:val="clear" w:color="auto" w:fill="auto"/>
            <w:noWrap/>
            <w:vAlign w:val="center"/>
            <w:hideMark/>
          </w:tcPr>
          <w:p w14:paraId="5F1B58CC" w14:textId="6BB3C519"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316</w:t>
            </w:r>
          </w:p>
        </w:tc>
        <w:tc>
          <w:tcPr>
            <w:tcW w:w="704" w:type="pct"/>
            <w:tcBorders>
              <w:top w:val="nil"/>
              <w:left w:val="nil"/>
              <w:bottom w:val="single" w:sz="4" w:space="0" w:color="auto"/>
              <w:right w:val="single" w:sz="4" w:space="0" w:color="auto"/>
            </w:tcBorders>
            <w:shd w:val="clear" w:color="auto" w:fill="auto"/>
            <w:noWrap/>
            <w:vAlign w:val="center"/>
            <w:hideMark/>
          </w:tcPr>
          <w:p w14:paraId="372A7C13" w14:textId="2F1DFDDA"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309.843.598</w:t>
            </w:r>
          </w:p>
        </w:tc>
        <w:tc>
          <w:tcPr>
            <w:tcW w:w="704" w:type="pct"/>
            <w:tcBorders>
              <w:top w:val="nil"/>
              <w:left w:val="nil"/>
              <w:bottom w:val="single" w:sz="4" w:space="0" w:color="auto"/>
              <w:right w:val="single" w:sz="4" w:space="0" w:color="auto"/>
            </w:tcBorders>
            <w:shd w:val="clear" w:color="auto" w:fill="auto"/>
            <w:noWrap/>
            <w:vAlign w:val="center"/>
          </w:tcPr>
          <w:p w14:paraId="73E6C94E" w14:textId="5C229100"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1,88 %</w:t>
            </w:r>
          </w:p>
        </w:tc>
        <w:tc>
          <w:tcPr>
            <w:tcW w:w="659" w:type="pct"/>
            <w:tcBorders>
              <w:top w:val="nil"/>
              <w:left w:val="nil"/>
              <w:bottom w:val="single" w:sz="4" w:space="0" w:color="auto"/>
              <w:right w:val="single" w:sz="4" w:space="0" w:color="auto"/>
            </w:tcBorders>
            <w:shd w:val="clear" w:color="auto" w:fill="auto"/>
            <w:noWrap/>
            <w:vAlign w:val="center"/>
          </w:tcPr>
          <w:p w14:paraId="77C59E75" w14:textId="41520A01"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4,97</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244E9678"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4E5871D9"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321462AE"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Postopek s pogajanji po predhodni objavi</w:t>
            </w:r>
          </w:p>
        </w:tc>
        <w:tc>
          <w:tcPr>
            <w:tcW w:w="383" w:type="pct"/>
            <w:tcBorders>
              <w:top w:val="nil"/>
              <w:left w:val="nil"/>
              <w:bottom w:val="single" w:sz="4" w:space="0" w:color="auto"/>
              <w:right w:val="single" w:sz="4" w:space="0" w:color="auto"/>
            </w:tcBorders>
            <w:shd w:val="clear" w:color="auto" w:fill="auto"/>
            <w:noWrap/>
            <w:vAlign w:val="center"/>
            <w:hideMark/>
          </w:tcPr>
          <w:p w14:paraId="531A86AD" w14:textId="144750A8"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299</w:t>
            </w:r>
          </w:p>
        </w:tc>
        <w:tc>
          <w:tcPr>
            <w:tcW w:w="704" w:type="pct"/>
            <w:tcBorders>
              <w:top w:val="nil"/>
              <w:left w:val="nil"/>
              <w:bottom w:val="single" w:sz="4" w:space="0" w:color="auto"/>
              <w:right w:val="single" w:sz="4" w:space="0" w:color="auto"/>
            </w:tcBorders>
            <w:shd w:val="clear" w:color="auto" w:fill="auto"/>
            <w:noWrap/>
            <w:vAlign w:val="center"/>
            <w:hideMark/>
          </w:tcPr>
          <w:p w14:paraId="3BAD700B" w14:textId="57D4AC8C"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307.958.740</w:t>
            </w:r>
          </w:p>
        </w:tc>
        <w:tc>
          <w:tcPr>
            <w:tcW w:w="704" w:type="pct"/>
            <w:tcBorders>
              <w:top w:val="nil"/>
              <w:left w:val="nil"/>
              <w:bottom w:val="single" w:sz="4" w:space="0" w:color="auto"/>
              <w:right w:val="single" w:sz="4" w:space="0" w:color="auto"/>
            </w:tcBorders>
            <w:shd w:val="clear" w:color="auto" w:fill="auto"/>
            <w:noWrap/>
            <w:vAlign w:val="center"/>
          </w:tcPr>
          <w:p w14:paraId="07B01DA2" w14:textId="669445DB"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1,78 %</w:t>
            </w:r>
          </w:p>
        </w:tc>
        <w:tc>
          <w:tcPr>
            <w:tcW w:w="659" w:type="pct"/>
            <w:tcBorders>
              <w:top w:val="nil"/>
              <w:left w:val="nil"/>
              <w:bottom w:val="single" w:sz="4" w:space="0" w:color="auto"/>
              <w:right w:val="single" w:sz="4" w:space="0" w:color="auto"/>
            </w:tcBorders>
            <w:shd w:val="clear" w:color="auto" w:fill="auto"/>
            <w:noWrap/>
            <w:vAlign w:val="center"/>
          </w:tcPr>
          <w:p w14:paraId="0A6D75D8" w14:textId="03568DC0"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4,94</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082E62BE"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75EF3981"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757E07BD" w14:textId="77777777" w:rsidR="00486B3B" w:rsidRPr="00486B3B" w:rsidRDefault="00486B3B" w:rsidP="00486B3B">
            <w:pPr>
              <w:spacing w:after="0" w:line="240" w:lineRule="auto"/>
              <w:rPr>
                <w:rFonts w:ascii="Arial" w:eastAsia="Times New Roman" w:hAnsi="Arial" w:cs="Arial"/>
                <w:b/>
                <w:bCs/>
                <w:color w:val="000000" w:themeColor="text1"/>
                <w:sz w:val="18"/>
                <w:szCs w:val="18"/>
                <w:lang w:eastAsia="sl-SI"/>
              </w:rPr>
            </w:pPr>
            <w:r w:rsidRPr="00486B3B">
              <w:rPr>
                <w:rFonts w:ascii="Arial" w:eastAsia="Times New Roman" w:hAnsi="Arial" w:cs="Arial"/>
                <w:b/>
                <w:bCs/>
                <w:color w:val="000000" w:themeColor="text1"/>
                <w:sz w:val="18"/>
                <w:szCs w:val="18"/>
                <w:lang w:eastAsia="sl-SI"/>
              </w:rPr>
              <w:t>Skupaj</w:t>
            </w:r>
          </w:p>
        </w:tc>
        <w:tc>
          <w:tcPr>
            <w:tcW w:w="383" w:type="pct"/>
            <w:tcBorders>
              <w:top w:val="nil"/>
              <w:left w:val="nil"/>
              <w:bottom w:val="single" w:sz="4" w:space="0" w:color="auto"/>
              <w:right w:val="single" w:sz="4" w:space="0" w:color="auto"/>
            </w:tcBorders>
            <w:shd w:val="clear" w:color="auto" w:fill="auto"/>
            <w:noWrap/>
            <w:vAlign w:val="center"/>
          </w:tcPr>
          <w:p w14:paraId="7EFBE3DA" w14:textId="13F3EB9D"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9.900</w:t>
            </w:r>
          </w:p>
        </w:tc>
        <w:tc>
          <w:tcPr>
            <w:tcW w:w="704" w:type="pct"/>
            <w:tcBorders>
              <w:top w:val="nil"/>
              <w:left w:val="nil"/>
              <w:bottom w:val="single" w:sz="4" w:space="0" w:color="auto"/>
              <w:right w:val="single" w:sz="4" w:space="0" w:color="auto"/>
            </w:tcBorders>
            <w:shd w:val="clear" w:color="auto" w:fill="auto"/>
            <w:noWrap/>
            <w:vAlign w:val="center"/>
          </w:tcPr>
          <w:p w14:paraId="20612EB0" w14:textId="6C890104"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5.270.913.216</w:t>
            </w:r>
          </w:p>
        </w:tc>
        <w:tc>
          <w:tcPr>
            <w:tcW w:w="704" w:type="pct"/>
            <w:tcBorders>
              <w:top w:val="nil"/>
              <w:left w:val="nil"/>
              <w:bottom w:val="single" w:sz="4" w:space="0" w:color="auto"/>
              <w:right w:val="single" w:sz="4" w:space="0" w:color="auto"/>
            </w:tcBorders>
            <w:shd w:val="clear" w:color="auto" w:fill="auto"/>
            <w:noWrap/>
            <w:vAlign w:val="center"/>
          </w:tcPr>
          <w:p w14:paraId="4B48DF97" w14:textId="4172C411"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58,84 %</w:t>
            </w:r>
          </w:p>
        </w:tc>
        <w:tc>
          <w:tcPr>
            <w:tcW w:w="659" w:type="pct"/>
            <w:tcBorders>
              <w:top w:val="nil"/>
              <w:left w:val="nil"/>
              <w:bottom w:val="single" w:sz="4" w:space="0" w:color="auto"/>
              <w:right w:val="single" w:sz="4" w:space="0" w:color="auto"/>
            </w:tcBorders>
            <w:shd w:val="clear" w:color="auto" w:fill="auto"/>
            <w:noWrap/>
            <w:vAlign w:val="center"/>
          </w:tcPr>
          <w:p w14:paraId="45B692E6" w14:textId="2A88B9DF"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84,57</w:t>
            </w:r>
            <w:r w:rsidR="0067498C">
              <w:rPr>
                <w:rFonts w:ascii="Arial" w:hAnsi="Arial" w:cs="Arial"/>
                <w:b/>
                <w:bCs/>
                <w:color w:val="000000" w:themeColor="text1"/>
                <w:sz w:val="18"/>
                <w:szCs w:val="18"/>
              </w:rPr>
              <w:t xml:space="preserve"> </w:t>
            </w:r>
            <w:r w:rsidRPr="00486B3B">
              <w:rPr>
                <w:rFonts w:ascii="Arial" w:hAnsi="Arial" w:cs="Arial"/>
                <w:b/>
                <w:bCs/>
                <w:color w:val="000000" w:themeColor="text1"/>
                <w:sz w:val="18"/>
                <w:szCs w:val="18"/>
              </w:rPr>
              <w:t>%</w:t>
            </w:r>
          </w:p>
        </w:tc>
      </w:tr>
      <w:tr w:rsidR="00486B3B" w:rsidRPr="00486B3B" w14:paraId="7612E185" w14:textId="77777777" w:rsidTr="00486B3B">
        <w:trPr>
          <w:trHeight w:val="300"/>
        </w:trPr>
        <w:tc>
          <w:tcPr>
            <w:tcW w:w="4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8EB6B0"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NE</w:t>
            </w:r>
          </w:p>
        </w:tc>
        <w:tc>
          <w:tcPr>
            <w:tcW w:w="2136" w:type="pct"/>
            <w:tcBorders>
              <w:top w:val="nil"/>
              <w:left w:val="nil"/>
              <w:bottom w:val="single" w:sz="4" w:space="0" w:color="auto"/>
              <w:right w:val="single" w:sz="4" w:space="0" w:color="auto"/>
            </w:tcBorders>
            <w:shd w:val="clear" w:color="auto" w:fill="auto"/>
            <w:noWrap/>
            <w:vAlign w:val="center"/>
            <w:hideMark/>
          </w:tcPr>
          <w:p w14:paraId="5C036975"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Konkurenčni dialog</w:t>
            </w:r>
          </w:p>
        </w:tc>
        <w:tc>
          <w:tcPr>
            <w:tcW w:w="383" w:type="pct"/>
            <w:tcBorders>
              <w:top w:val="nil"/>
              <w:left w:val="nil"/>
              <w:bottom w:val="single" w:sz="4" w:space="0" w:color="auto"/>
              <w:right w:val="single" w:sz="4" w:space="0" w:color="auto"/>
            </w:tcBorders>
            <w:shd w:val="clear" w:color="auto" w:fill="auto"/>
            <w:noWrap/>
            <w:vAlign w:val="center"/>
            <w:hideMark/>
          </w:tcPr>
          <w:p w14:paraId="09F1A086" w14:textId="78989ED4"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w:t>
            </w:r>
          </w:p>
        </w:tc>
        <w:tc>
          <w:tcPr>
            <w:tcW w:w="704" w:type="pct"/>
            <w:tcBorders>
              <w:top w:val="nil"/>
              <w:left w:val="nil"/>
              <w:bottom w:val="single" w:sz="4" w:space="0" w:color="auto"/>
              <w:right w:val="single" w:sz="4" w:space="0" w:color="auto"/>
            </w:tcBorders>
            <w:shd w:val="clear" w:color="auto" w:fill="auto"/>
            <w:noWrap/>
            <w:vAlign w:val="center"/>
            <w:hideMark/>
          </w:tcPr>
          <w:p w14:paraId="15A7E131" w14:textId="5BC0AFBB"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6.929.239</w:t>
            </w:r>
          </w:p>
        </w:tc>
        <w:tc>
          <w:tcPr>
            <w:tcW w:w="704" w:type="pct"/>
            <w:tcBorders>
              <w:top w:val="nil"/>
              <w:left w:val="nil"/>
              <w:bottom w:val="single" w:sz="4" w:space="0" w:color="auto"/>
              <w:right w:val="single" w:sz="4" w:space="0" w:color="auto"/>
            </w:tcBorders>
            <w:shd w:val="clear" w:color="auto" w:fill="auto"/>
            <w:noWrap/>
            <w:vAlign w:val="center"/>
          </w:tcPr>
          <w:p w14:paraId="6476C43A" w14:textId="13BE8FF0"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0,02 %</w:t>
            </w:r>
          </w:p>
        </w:tc>
        <w:tc>
          <w:tcPr>
            <w:tcW w:w="659" w:type="pct"/>
            <w:tcBorders>
              <w:top w:val="nil"/>
              <w:left w:val="nil"/>
              <w:bottom w:val="single" w:sz="4" w:space="0" w:color="auto"/>
              <w:right w:val="single" w:sz="4" w:space="0" w:color="auto"/>
            </w:tcBorders>
            <w:shd w:val="clear" w:color="auto" w:fill="auto"/>
            <w:noWrap/>
            <w:vAlign w:val="center"/>
          </w:tcPr>
          <w:p w14:paraId="3B52E473" w14:textId="5A4F5F8D"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0,11</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510B1560"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4D62B209"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5E54F3E3"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Konkurenčni postopek s pogajanji</w:t>
            </w:r>
          </w:p>
        </w:tc>
        <w:tc>
          <w:tcPr>
            <w:tcW w:w="383" w:type="pct"/>
            <w:tcBorders>
              <w:top w:val="nil"/>
              <w:left w:val="nil"/>
              <w:bottom w:val="single" w:sz="4" w:space="0" w:color="auto"/>
              <w:right w:val="single" w:sz="4" w:space="0" w:color="auto"/>
            </w:tcBorders>
            <w:shd w:val="clear" w:color="auto" w:fill="auto"/>
            <w:noWrap/>
            <w:vAlign w:val="center"/>
            <w:hideMark/>
          </w:tcPr>
          <w:p w14:paraId="7C1D2586" w14:textId="4C52187D"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83</w:t>
            </w:r>
          </w:p>
        </w:tc>
        <w:tc>
          <w:tcPr>
            <w:tcW w:w="704" w:type="pct"/>
            <w:tcBorders>
              <w:top w:val="nil"/>
              <w:left w:val="nil"/>
              <w:bottom w:val="single" w:sz="4" w:space="0" w:color="auto"/>
              <w:right w:val="single" w:sz="4" w:space="0" w:color="auto"/>
            </w:tcBorders>
            <w:shd w:val="clear" w:color="auto" w:fill="auto"/>
            <w:noWrap/>
            <w:vAlign w:val="center"/>
            <w:hideMark/>
          </w:tcPr>
          <w:p w14:paraId="053592A0" w14:textId="193B9AFF"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41.748.766</w:t>
            </w:r>
          </w:p>
        </w:tc>
        <w:tc>
          <w:tcPr>
            <w:tcW w:w="704" w:type="pct"/>
            <w:tcBorders>
              <w:top w:val="nil"/>
              <w:left w:val="nil"/>
              <w:bottom w:val="single" w:sz="4" w:space="0" w:color="auto"/>
              <w:right w:val="single" w:sz="4" w:space="0" w:color="auto"/>
            </w:tcBorders>
            <w:shd w:val="clear" w:color="auto" w:fill="auto"/>
            <w:noWrap/>
            <w:vAlign w:val="center"/>
          </w:tcPr>
          <w:p w14:paraId="7346AADC" w14:textId="166F525D"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0,49 %</w:t>
            </w:r>
          </w:p>
        </w:tc>
        <w:tc>
          <w:tcPr>
            <w:tcW w:w="659" w:type="pct"/>
            <w:tcBorders>
              <w:top w:val="nil"/>
              <w:left w:val="nil"/>
              <w:bottom w:val="single" w:sz="4" w:space="0" w:color="auto"/>
              <w:right w:val="single" w:sz="4" w:space="0" w:color="auto"/>
            </w:tcBorders>
            <w:shd w:val="clear" w:color="auto" w:fill="auto"/>
            <w:noWrap/>
            <w:vAlign w:val="center"/>
          </w:tcPr>
          <w:p w14:paraId="7915B699" w14:textId="32117F43"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0,67</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0432B26A"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313FDF37"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7A630490"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Odprti postopek</w:t>
            </w:r>
          </w:p>
        </w:tc>
        <w:tc>
          <w:tcPr>
            <w:tcW w:w="383" w:type="pct"/>
            <w:tcBorders>
              <w:top w:val="nil"/>
              <w:left w:val="nil"/>
              <w:bottom w:val="single" w:sz="4" w:space="0" w:color="auto"/>
              <w:right w:val="single" w:sz="4" w:space="0" w:color="auto"/>
            </w:tcBorders>
            <w:shd w:val="clear" w:color="auto" w:fill="auto"/>
            <w:noWrap/>
            <w:vAlign w:val="center"/>
            <w:hideMark/>
          </w:tcPr>
          <w:p w14:paraId="43B3025F" w14:textId="1C752419"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175</w:t>
            </w:r>
          </w:p>
        </w:tc>
        <w:tc>
          <w:tcPr>
            <w:tcW w:w="704" w:type="pct"/>
            <w:tcBorders>
              <w:top w:val="nil"/>
              <w:left w:val="nil"/>
              <w:bottom w:val="single" w:sz="4" w:space="0" w:color="auto"/>
              <w:right w:val="single" w:sz="4" w:space="0" w:color="auto"/>
            </w:tcBorders>
            <w:shd w:val="clear" w:color="auto" w:fill="auto"/>
            <w:noWrap/>
            <w:vAlign w:val="center"/>
            <w:hideMark/>
          </w:tcPr>
          <w:p w14:paraId="456ECC4E" w14:textId="0FE59583"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31.042.242</w:t>
            </w:r>
          </w:p>
        </w:tc>
        <w:tc>
          <w:tcPr>
            <w:tcW w:w="704" w:type="pct"/>
            <w:tcBorders>
              <w:top w:val="nil"/>
              <w:left w:val="nil"/>
              <w:bottom w:val="single" w:sz="4" w:space="0" w:color="auto"/>
              <w:right w:val="single" w:sz="4" w:space="0" w:color="auto"/>
            </w:tcBorders>
            <w:shd w:val="clear" w:color="auto" w:fill="auto"/>
            <w:noWrap/>
            <w:vAlign w:val="center"/>
          </w:tcPr>
          <w:p w14:paraId="46A0A55A" w14:textId="6474232A"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1,04 %</w:t>
            </w:r>
          </w:p>
        </w:tc>
        <w:tc>
          <w:tcPr>
            <w:tcW w:w="659" w:type="pct"/>
            <w:tcBorders>
              <w:top w:val="nil"/>
              <w:left w:val="nil"/>
              <w:bottom w:val="single" w:sz="4" w:space="0" w:color="auto"/>
              <w:right w:val="single" w:sz="4" w:space="0" w:color="auto"/>
            </w:tcBorders>
            <w:shd w:val="clear" w:color="auto" w:fill="auto"/>
            <w:noWrap/>
            <w:vAlign w:val="center"/>
          </w:tcPr>
          <w:p w14:paraId="1BF43F72" w14:textId="644BFB6A"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0,50</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2A044910"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27F33040"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378ED361"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Omejeni postopek</w:t>
            </w:r>
          </w:p>
        </w:tc>
        <w:tc>
          <w:tcPr>
            <w:tcW w:w="383" w:type="pct"/>
            <w:tcBorders>
              <w:top w:val="nil"/>
              <w:left w:val="nil"/>
              <w:bottom w:val="single" w:sz="4" w:space="0" w:color="auto"/>
              <w:right w:val="single" w:sz="4" w:space="0" w:color="auto"/>
            </w:tcBorders>
            <w:shd w:val="clear" w:color="auto" w:fill="auto"/>
            <w:noWrap/>
            <w:vAlign w:val="center"/>
            <w:hideMark/>
          </w:tcPr>
          <w:p w14:paraId="7D4FF8B1" w14:textId="143E7A0C"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78</w:t>
            </w:r>
          </w:p>
        </w:tc>
        <w:tc>
          <w:tcPr>
            <w:tcW w:w="704" w:type="pct"/>
            <w:tcBorders>
              <w:top w:val="nil"/>
              <w:left w:val="nil"/>
              <w:bottom w:val="single" w:sz="4" w:space="0" w:color="auto"/>
              <w:right w:val="single" w:sz="4" w:space="0" w:color="auto"/>
            </w:tcBorders>
            <w:shd w:val="clear" w:color="auto" w:fill="auto"/>
            <w:noWrap/>
            <w:vAlign w:val="center"/>
            <w:hideMark/>
          </w:tcPr>
          <w:p w14:paraId="000490F2" w14:textId="2305DDEC"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2.638.743</w:t>
            </w:r>
          </w:p>
        </w:tc>
        <w:tc>
          <w:tcPr>
            <w:tcW w:w="704" w:type="pct"/>
            <w:tcBorders>
              <w:top w:val="nil"/>
              <w:left w:val="nil"/>
              <w:bottom w:val="single" w:sz="4" w:space="0" w:color="auto"/>
              <w:right w:val="single" w:sz="4" w:space="0" w:color="auto"/>
            </w:tcBorders>
            <w:shd w:val="clear" w:color="auto" w:fill="auto"/>
            <w:noWrap/>
            <w:vAlign w:val="center"/>
          </w:tcPr>
          <w:p w14:paraId="4A394418" w14:textId="037AF1E5"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0,46 %</w:t>
            </w:r>
          </w:p>
        </w:tc>
        <w:tc>
          <w:tcPr>
            <w:tcW w:w="659" w:type="pct"/>
            <w:tcBorders>
              <w:top w:val="nil"/>
              <w:left w:val="nil"/>
              <w:bottom w:val="single" w:sz="4" w:space="0" w:color="auto"/>
              <w:right w:val="single" w:sz="4" w:space="0" w:color="auto"/>
            </w:tcBorders>
            <w:shd w:val="clear" w:color="auto" w:fill="auto"/>
            <w:noWrap/>
            <w:vAlign w:val="center"/>
          </w:tcPr>
          <w:p w14:paraId="11F61EB2" w14:textId="51F8F5B0"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0,04</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4A34BB46"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0173BFB6"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508E54E0"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Partnerstvo za inovacije</w:t>
            </w:r>
          </w:p>
        </w:tc>
        <w:tc>
          <w:tcPr>
            <w:tcW w:w="383" w:type="pct"/>
            <w:tcBorders>
              <w:top w:val="nil"/>
              <w:left w:val="nil"/>
              <w:bottom w:val="single" w:sz="4" w:space="0" w:color="auto"/>
              <w:right w:val="single" w:sz="4" w:space="0" w:color="auto"/>
            </w:tcBorders>
            <w:shd w:val="clear" w:color="auto" w:fill="auto"/>
            <w:noWrap/>
            <w:vAlign w:val="center"/>
            <w:hideMark/>
          </w:tcPr>
          <w:p w14:paraId="7F5AF235" w14:textId="5976BFBE"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w:t>
            </w:r>
          </w:p>
        </w:tc>
        <w:tc>
          <w:tcPr>
            <w:tcW w:w="704" w:type="pct"/>
            <w:tcBorders>
              <w:top w:val="nil"/>
              <w:left w:val="nil"/>
              <w:bottom w:val="single" w:sz="4" w:space="0" w:color="auto"/>
              <w:right w:val="single" w:sz="4" w:space="0" w:color="auto"/>
            </w:tcBorders>
            <w:shd w:val="clear" w:color="auto" w:fill="auto"/>
            <w:noWrap/>
            <w:vAlign w:val="center"/>
            <w:hideMark/>
          </w:tcPr>
          <w:p w14:paraId="5F0AE8F1" w14:textId="069005F8"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79.800</w:t>
            </w:r>
          </w:p>
        </w:tc>
        <w:tc>
          <w:tcPr>
            <w:tcW w:w="704" w:type="pct"/>
            <w:tcBorders>
              <w:top w:val="nil"/>
              <w:left w:val="nil"/>
              <w:bottom w:val="single" w:sz="4" w:space="0" w:color="auto"/>
              <w:right w:val="single" w:sz="4" w:space="0" w:color="auto"/>
            </w:tcBorders>
            <w:shd w:val="clear" w:color="auto" w:fill="auto"/>
            <w:noWrap/>
            <w:vAlign w:val="center"/>
          </w:tcPr>
          <w:p w14:paraId="409751F9" w14:textId="4413611F"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0,01 %</w:t>
            </w:r>
          </w:p>
        </w:tc>
        <w:tc>
          <w:tcPr>
            <w:tcW w:w="659" w:type="pct"/>
            <w:tcBorders>
              <w:top w:val="nil"/>
              <w:left w:val="nil"/>
              <w:bottom w:val="single" w:sz="4" w:space="0" w:color="auto"/>
              <w:right w:val="single" w:sz="4" w:space="0" w:color="auto"/>
            </w:tcBorders>
            <w:shd w:val="clear" w:color="auto" w:fill="auto"/>
            <w:noWrap/>
            <w:vAlign w:val="center"/>
          </w:tcPr>
          <w:p w14:paraId="083090EE" w14:textId="56F63528"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0,00</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4AD5BE68"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64014AD6"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20A0EEDA" w14:textId="0277B9AA"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Postopek naročila male vrednosti</w:t>
            </w:r>
          </w:p>
        </w:tc>
        <w:tc>
          <w:tcPr>
            <w:tcW w:w="383" w:type="pct"/>
            <w:tcBorders>
              <w:top w:val="nil"/>
              <w:left w:val="nil"/>
              <w:bottom w:val="single" w:sz="4" w:space="0" w:color="auto"/>
              <w:right w:val="single" w:sz="4" w:space="0" w:color="auto"/>
            </w:tcBorders>
            <w:shd w:val="clear" w:color="auto" w:fill="auto"/>
            <w:noWrap/>
            <w:vAlign w:val="center"/>
          </w:tcPr>
          <w:p w14:paraId="58F7E561" w14:textId="181B5281"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6</w:t>
            </w:r>
            <w:r w:rsidR="00285A25">
              <w:rPr>
                <w:rFonts w:ascii="Arial" w:hAnsi="Arial" w:cs="Arial"/>
                <w:color w:val="000000" w:themeColor="text1"/>
                <w:sz w:val="18"/>
                <w:szCs w:val="18"/>
              </w:rPr>
              <w:t>.</w:t>
            </w:r>
            <w:r w:rsidRPr="00486B3B">
              <w:rPr>
                <w:rFonts w:ascii="Arial" w:hAnsi="Arial" w:cs="Arial"/>
                <w:color w:val="000000" w:themeColor="text1"/>
                <w:sz w:val="18"/>
                <w:szCs w:val="18"/>
              </w:rPr>
              <w:t>127</w:t>
            </w:r>
          </w:p>
        </w:tc>
        <w:tc>
          <w:tcPr>
            <w:tcW w:w="704" w:type="pct"/>
            <w:tcBorders>
              <w:top w:val="nil"/>
              <w:left w:val="nil"/>
              <w:bottom w:val="single" w:sz="4" w:space="0" w:color="auto"/>
              <w:right w:val="single" w:sz="4" w:space="0" w:color="auto"/>
            </w:tcBorders>
            <w:shd w:val="clear" w:color="auto" w:fill="auto"/>
            <w:noWrap/>
            <w:vAlign w:val="center"/>
          </w:tcPr>
          <w:p w14:paraId="39279F51" w14:textId="0E69D673"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810.563.068</w:t>
            </w:r>
          </w:p>
        </w:tc>
        <w:tc>
          <w:tcPr>
            <w:tcW w:w="704" w:type="pct"/>
            <w:tcBorders>
              <w:top w:val="nil"/>
              <w:left w:val="nil"/>
              <w:bottom w:val="single" w:sz="4" w:space="0" w:color="auto"/>
              <w:right w:val="single" w:sz="4" w:space="0" w:color="auto"/>
            </w:tcBorders>
            <w:shd w:val="clear" w:color="auto" w:fill="auto"/>
            <w:noWrap/>
            <w:vAlign w:val="center"/>
          </w:tcPr>
          <w:p w14:paraId="4017C18A" w14:textId="29A7084B"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36,42 %</w:t>
            </w:r>
          </w:p>
        </w:tc>
        <w:tc>
          <w:tcPr>
            <w:tcW w:w="659" w:type="pct"/>
            <w:tcBorders>
              <w:top w:val="nil"/>
              <w:left w:val="nil"/>
              <w:bottom w:val="single" w:sz="4" w:space="0" w:color="auto"/>
              <w:right w:val="single" w:sz="4" w:space="0" w:color="auto"/>
            </w:tcBorders>
            <w:shd w:val="clear" w:color="auto" w:fill="auto"/>
            <w:noWrap/>
            <w:vAlign w:val="center"/>
          </w:tcPr>
          <w:p w14:paraId="6A68A02D" w14:textId="3E621FAA"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13,01</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12B639FC"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04F67061"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7D41EF7C"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Postopek s pogajanji brez predhodne objave</w:t>
            </w:r>
          </w:p>
        </w:tc>
        <w:tc>
          <w:tcPr>
            <w:tcW w:w="383" w:type="pct"/>
            <w:tcBorders>
              <w:top w:val="nil"/>
              <w:left w:val="nil"/>
              <w:bottom w:val="single" w:sz="4" w:space="0" w:color="auto"/>
              <w:right w:val="single" w:sz="4" w:space="0" w:color="auto"/>
            </w:tcBorders>
            <w:shd w:val="clear" w:color="auto" w:fill="auto"/>
            <w:noWrap/>
            <w:vAlign w:val="center"/>
            <w:hideMark/>
          </w:tcPr>
          <w:p w14:paraId="658D555E" w14:textId="209CA00F"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404</w:t>
            </w:r>
          </w:p>
        </w:tc>
        <w:tc>
          <w:tcPr>
            <w:tcW w:w="704" w:type="pct"/>
            <w:tcBorders>
              <w:top w:val="nil"/>
              <w:left w:val="nil"/>
              <w:bottom w:val="single" w:sz="4" w:space="0" w:color="auto"/>
              <w:right w:val="single" w:sz="4" w:space="0" w:color="auto"/>
            </w:tcBorders>
            <w:shd w:val="clear" w:color="auto" w:fill="auto"/>
            <w:noWrap/>
            <w:vAlign w:val="center"/>
            <w:hideMark/>
          </w:tcPr>
          <w:p w14:paraId="7A10D195" w14:textId="480AD895"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61.401.796</w:t>
            </w:r>
          </w:p>
        </w:tc>
        <w:tc>
          <w:tcPr>
            <w:tcW w:w="704" w:type="pct"/>
            <w:tcBorders>
              <w:top w:val="nil"/>
              <w:left w:val="nil"/>
              <w:bottom w:val="single" w:sz="4" w:space="0" w:color="auto"/>
              <w:right w:val="single" w:sz="4" w:space="0" w:color="auto"/>
            </w:tcBorders>
            <w:shd w:val="clear" w:color="auto" w:fill="auto"/>
            <w:noWrap/>
            <w:vAlign w:val="center"/>
          </w:tcPr>
          <w:p w14:paraId="72454A8B" w14:textId="7F2BAFFE"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2,40 %</w:t>
            </w:r>
          </w:p>
        </w:tc>
        <w:tc>
          <w:tcPr>
            <w:tcW w:w="659" w:type="pct"/>
            <w:tcBorders>
              <w:top w:val="nil"/>
              <w:left w:val="nil"/>
              <w:bottom w:val="single" w:sz="4" w:space="0" w:color="auto"/>
              <w:right w:val="single" w:sz="4" w:space="0" w:color="auto"/>
            </w:tcBorders>
            <w:shd w:val="clear" w:color="auto" w:fill="auto"/>
            <w:noWrap/>
            <w:vAlign w:val="center"/>
          </w:tcPr>
          <w:p w14:paraId="6749BBCB" w14:textId="55659852"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0,99</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11264D0C"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73DB26DA"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396E5CC7"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Postopek s pogajanji po predhodni objavi</w:t>
            </w:r>
          </w:p>
        </w:tc>
        <w:tc>
          <w:tcPr>
            <w:tcW w:w="383" w:type="pct"/>
            <w:tcBorders>
              <w:top w:val="nil"/>
              <w:left w:val="nil"/>
              <w:bottom w:val="single" w:sz="4" w:space="0" w:color="auto"/>
              <w:right w:val="single" w:sz="4" w:space="0" w:color="auto"/>
            </w:tcBorders>
            <w:shd w:val="clear" w:color="auto" w:fill="auto"/>
            <w:noWrap/>
            <w:vAlign w:val="center"/>
            <w:hideMark/>
          </w:tcPr>
          <w:p w14:paraId="59EA0134" w14:textId="7103B737"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30</w:t>
            </w:r>
          </w:p>
        </w:tc>
        <w:tc>
          <w:tcPr>
            <w:tcW w:w="704" w:type="pct"/>
            <w:tcBorders>
              <w:top w:val="nil"/>
              <w:left w:val="nil"/>
              <w:bottom w:val="single" w:sz="4" w:space="0" w:color="auto"/>
              <w:right w:val="single" w:sz="4" w:space="0" w:color="auto"/>
            </w:tcBorders>
            <w:shd w:val="clear" w:color="auto" w:fill="auto"/>
            <w:noWrap/>
            <w:vAlign w:val="center"/>
            <w:hideMark/>
          </w:tcPr>
          <w:p w14:paraId="013D099A" w14:textId="183C5D7B"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4.083.734</w:t>
            </w:r>
          </w:p>
        </w:tc>
        <w:tc>
          <w:tcPr>
            <w:tcW w:w="704" w:type="pct"/>
            <w:tcBorders>
              <w:top w:val="nil"/>
              <w:left w:val="nil"/>
              <w:bottom w:val="single" w:sz="4" w:space="0" w:color="auto"/>
              <w:right w:val="single" w:sz="4" w:space="0" w:color="auto"/>
            </w:tcBorders>
            <w:shd w:val="clear" w:color="auto" w:fill="auto"/>
            <w:noWrap/>
            <w:vAlign w:val="center"/>
          </w:tcPr>
          <w:p w14:paraId="1DA60707" w14:textId="3D4BBCE5"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0,18 %</w:t>
            </w:r>
          </w:p>
        </w:tc>
        <w:tc>
          <w:tcPr>
            <w:tcW w:w="659" w:type="pct"/>
            <w:tcBorders>
              <w:top w:val="nil"/>
              <w:left w:val="nil"/>
              <w:bottom w:val="single" w:sz="4" w:space="0" w:color="auto"/>
              <w:right w:val="single" w:sz="4" w:space="0" w:color="auto"/>
            </w:tcBorders>
            <w:shd w:val="clear" w:color="auto" w:fill="auto"/>
            <w:noWrap/>
            <w:vAlign w:val="center"/>
          </w:tcPr>
          <w:p w14:paraId="05686639" w14:textId="35915A48"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0,07</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6C31DE8E"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05668743"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495FD285"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r w:rsidRPr="00486B3B">
              <w:rPr>
                <w:rFonts w:ascii="Arial" w:eastAsia="Times New Roman" w:hAnsi="Arial" w:cs="Arial"/>
                <w:color w:val="000000" w:themeColor="text1"/>
                <w:sz w:val="18"/>
                <w:szCs w:val="18"/>
                <w:lang w:eastAsia="sl-SI"/>
              </w:rPr>
              <w:t>Postopek zbiranja ponudb po predhodni objavi</w:t>
            </w:r>
          </w:p>
        </w:tc>
        <w:tc>
          <w:tcPr>
            <w:tcW w:w="383" w:type="pct"/>
            <w:tcBorders>
              <w:top w:val="nil"/>
              <w:left w:val="nil"/>
              <w:bottom w:val="single" w:sz="4" w:space="0" w:color="auto"/>
              <w:right w:val="single" w:sz="4" w:space="0" w:color="auto"/>
            </w:tcBorders>
            <w:shd w:val="clear" w:color="auto" w:fill="auto"/>
            <w:noWrap/>
            <w:vAlign w:val="center"/>
            <w:hideMark/>
          </w:tcPr>
          <w:p w14:paraId="7C1C0AD9" w14:textId="1C5384C9"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23</w:t>
            </w:r>
          </w:p>
        </w:tc>
        <w:tc>
          <w:tcPr>
            <w:tcW w:w="704" w:type="pct"/>
            <w:tcBorders>
              <w:top w:val="nil"/>
              <w:left w:val="nil"/>
              <w:bottom w:val="single" w:sz="4" w:space="0" w:color="auto"/>
              <w:right w:val="single" w:sz="4" w:space="0" w:color="auto"/>
            </w:tcBorders>
            <w:shd w:val="clear" w:color="auto" w:fill="auto"/>
            <w:noWrap/>
            <w:vAlign w:val="center"/>
            <w:hideMark/>
          </w:tcPr>
          <w:p w14:paraId="5AD916C6" w14:textId="3AA3BC7C"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2.850.365</w:t>
            </w:r>
          </w:p>
        </w:tc>
        <w:tc>
          <w:tcPr>
            <w:tcW w:w="704" w:type="pct"/>
            <w:tcBorders>
              <w:top w:val="nil"/>
              <w:left w:val="nil"/>
              <w:bottom w:val="single" w:sz="4" w:space="0" w:color="auto"/>
              <w:right w:val="single" w:sz="4" w:space="0" w:color="auto"/>
            </w:tcBorders>
            <w:shd w:val="clear" w:color="auto" w:fill="auto"/>
            <w:noWrap/>
            <w:vAlign w:val="center"/>
          </w:tcPr>
          <w:p w14:paraId="554B9227" w14:textId="46740681"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0,14 %</w:t>
            </w:r>
          </w:p>
        </w:tc>
        <w:tc>
          <w:tcPr>
            <w:tcW w:w="659" w:type="pct"/>
            <w:tcBorders>
              <w:top w:val="nil"/>
              <w:left w:val="nil"/>
              <w:bottom w:val="single" w:sz="4" w:space="0" w:color="auto"/>
              <w:right w:val="single" w:sz="4" w:space="0" w:color="auto"/>
            </w:tcBorders>
            <w:shd w:val="clear" w:color="auto" w:fill="auto"/>
            <w:noWrap/>
            <w:vAlign w:val="center"/>
          </w:tcPr>
          <w:p w14:paraId="4F32D568" w14:textId="2441437D" w:rsidR="00486B3B" w:rsidRPr="00486B3B" w:rsidRDefault="00486B3B" w:rsidP="00486B3B">
            <w:pPr>
              <w:spacing w:after="0" w:line="240" w:lineRule="auto"/>
              <w:jc w:val="right"/>
              <w:rPr>
                <w:rFonts w:ascii="Arial" w:hAnsi="Arial" w:cs="Arial"/>
                <w:color w:val="000000" w:themeColor="text1"/>
                <w:sz w:val="18"/>
                <w:szCs w:val="18"/>
              </w:rPr>
            </w:pPr>
            <w:r w:rsidRPr="00486B3B">
              <w:rPr>
                <w:rFonts w:ascii="Arial" w:hAnsi="Arial" w:cs="Arial"/>
                <w:color w:val="000000" w:themeColor="text1"/>
                <w:sz w:val="18"/>
                <w:szCs w:val="18"/>
              </w:rPr>
              <w:t>0,05</w:t>
            </w:r>
            <w:r w:rsidR="0067498C">
              <w:rPr>
                <w:rFonts w:ascii="Arial" w:hAnsi="Arial" w:cs="Arial"/>
                <w:color w:val="000000" w:themeColor="text1"/>
                <w:sz w:val="18"/>
                <w:szCs w:val="18"/>
              </w:rPr>
              <w:t xml:space="preserve"> </w:t>
            </w:r>
            <w:r w:rsidRPr="00486B3B">
              <w:rPr>
                <w:rFonts w:ascii="Arial" w:hAnsi="Arial" w:cs="Arial"/>
                <w:color w:val="000000" w:themeColor="text1"/>
                <w:sz w:val="18"/>
                <w:szCs w:val="18"/>
              </w:rPr>
              <w:t>%</w:t>
            </w:r>
          </w:p>
        </w:tc>
      </w:tr>
      <w:tr w:rsidR="00486B3B" w:rsidRPr="00486B3B" w14:paraId="6FE39F8D" w14:textId="77777777" w:rsidTr="00486B3B">
        <w:trPr>
          <w:trHeight w:val="300"/>
        </w:trPr>
        <w:tc>
          <w:tcPr>
            <w:tcW w:w="414" w:type="pct"/>
            <w:vMerge/>
            <w:tcBorders>
              <w:top w:val="nil"/>
              <w:left w:val="single" w:sz="4" w:space="0" w:color="auto"/>
              <w:bottom w:val="single" w:sz="4" w:space="0" w:color="auto"/>
              <w:right w:val="single" w:sz="4" w:space="0" w:color="auto"/>
            </w:tcBorders>
            <w:vAlign w:val="center"/>
            <w:hideMark/>
          </w:tcPr>
          <w:p w14:paraId="5033DD61" w14:textId="77777777" w:rsidR="00486B3B" w:rsidRPr="00486B3B" w:rsidRDefault="00486B3B" w:rsidP="00486B3B">
            <w:pPr>
              <w:spacing w:after="0" w:line="240" w:lineRule="auto"/>
              <w:rPr>
                <w:rFonts w:ascii="Arial" w:eastAsia="Times New Roman" w:hAnsi="Arial" w:cs="Arial"/>
                <w:color w:val="000000" w:themeColor="text1"/>
                <w:sz w:val="18"/>
                <w:szCs w:val="18"/>
                <w:lang w:eastAsia="sl-SI"/>
              </w:rPr>
            </w:pPr>
          </w:p>
        </w:tc>
        <w:tc>
          <w:tcPr>
            <w:tcW w:w="2136" w:type="pct"/>
            <w:tcBorders>
              <w:top w:val="nil"/>
              <w:left w:val="nil"/>
              <w:bottom w:val="single" w:sz="4" w:space="0" w:color="auto"/>
              <w:right w:val="single" w:sz="4" w:space="0" w:color="auto"/>
            </w:tcBorders>
            <w:shd w:val="clear" w:color="auto" w:fill="auto"/>
            <w:noWrap/>
            <w:vAlign w:val="center"/>
            <w:hideMark/>
          </w:tcPr>
          <w:p w14:paraId="70C0AC60" w14:textId="77777777" w:rsidR="00486B3B" w:rsidRPr="00486B3B" w:rsidRDefault="00486B3B" w:rsidP="00486B3B">
            <w:pPr>
              <w:spacing w:after="0" w:line="240" w:lineRule="auto"/>
              <w:rPr>
                <w:rFonts w:ascii="Arial" w:eastAsia="Times New Roman" w:hAnsi="Arial" w:cs="Arial"/>
                <w:b/>
                <w:bCs/>
                <w:color w:val="000000" w:themeColor="text1"/>
                <w:sz w:val="18"/>
                <w:szCs w:val="18"/>
                <w:lang w:eastAsia="sl-SI"/>
              </w:rPr>
            </w:pPr>
            <w:r w:rsidRPr="00486B3B">
              <w:rPr>
                <w:rFonts w:ascii="Arial" w:eastAsia="Times New Roman" w:hAnsi="Arial" w:cs="Arial"/>
                <w:b/>
                <w:bCs/>
                <w:color w:val="000000" w:themeColor="text1"/>
                <w:sz w:val="18"/>
                <w:szCs w:val="18"/>
                <w:lang w:eastAsia="sl-SI"/>
              </w:rPr>
              <w:t>Skupaj</w:t>
            </w:r>
          </w:p>
        </w:tc>
        <w:tc>
          <w:tcPr>
            <w:tcW w:w="383" w:type="pct"/>
            <w:tcBorders>
              <w:top w:val="nil"/>
              <w:left w:val="nil"/>
              <w:bottom w:val="single" w:sz="4" w:space="0" w:color="auto"/>
              <w:right w:val="single" w:sz="4" w:space="0" w:color="auto"/>
            </w:tcBorders>
            <w:shd w:val="clear" w:color="auto" w:fill="auto"/>
            <w:noWrap/>
            <w:vAlign w:val="center"/>
          </w:tcPr>
          <w:p w14:paraId="2AA1CC6C" w14:textId="3826DB7C"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6</w:t>
            </w:r>
            <w:r w:rsidR="006F2676">
              <w:rPr>
                <w:rFonts w:ascii="Arial" w:hAnsi="Arial" w:cs="Arial"/>
                <w:b/>
                <w:bCs/>
                <w:color w:val="000000" w:themeColor="text1"/>
                <w:sz w:val="18"/>
                <w:szCs w:val="18"/>
              </w:rPr>
              <w:t>.</w:t>
            </w:r>
            <w:r w:rsidRPr="00486B3B">
              <w:rPr>
                <w:rFonts w:ascii="Arial" w:hAnsi="Arial" w:cs="Arial"/>
                <w:b/>
                <w:bCs/>
                <w:color w:val="000000" w:themeColor="text1"/>
                <w:sz w:val="18"/>
                <w:szCs w:val="18"/>
              </w:rPr>
              <w:t>924</w:t>
            </w:r>
          </w:p>
        </w:tc>
        <w:tc>
          <w:tcPr>
            <w:tcW w:w="704" w:type="pct"/>
            <w:tcBorders>
              <w:top w:val="nil"/>
              <w:left w:val="nil"/>
              <w:bottom w:val="single" w:sz="4" w:space="0" w:color="auto"/>
              <w:right w:val="single" w:sz="4" w:space="0" w:color="auto"/>
            </w:tcBorders>
            <w:shd w:val="clear" w:color="auto" w:fill="auto"/>
            <w:noWrap/>
            <w:vAlign w:val="center"/>
          </w:tcPr>
          <w:p w14:paraId="1C2C144B" w14:textId="52024DAE"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961.337.753</w:t>
            </w:r>
          </w:p>
        </w:tc>
        <w:tc>
          <w:tcPr>
            <w:tcW w:w="704" w:type="pct"/>
            <w:tcBorders>
              <w:top w:val="nil"/>
              <w:left w:val="nil"/>
              <w:bottom w:val="single" w:sz="4" w:space="0" w:color="auto"/>
              <w:right w:val="single" w:sz="4" w:space="0" w:color="auto"/>
            </w:tcBorders>
            <w:shd w:val="clear" w:color="auto" w:fill="auto"/>
            <w:noWrap/>
            <w:vAlign w:val="center"/>
          </w:tcPr>
          <w:p w14:paraId="6213388B" w14:textId="320D81BA"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41,16 %</w:t>
            </w:r>
          </w:p>
        </w:tc>
        <w:tc>
          <w:tcPr>
            <w:tcW w:w="659" w:type="pct"/>
            <w:tcBorders>
              <w:top w:val="nil"/>
              <w:left w:val="nil"/>
              <w:bottom w:val="single" w:sz="4" w:space="0" w:color="auto"/>
              <w:right w:val="single" w:sz="4" w:space="0" w:color="auto"/>
            </w:tcBorders>
            <w:shd w:val="clear" w:color="auto" w:fill="auto"/>
            <w:noWrap/>
            <w:vAlign w:val="center"/>
          </w:tcPr>
          <w:p w14:paraId="166D0849" w14:textId="76C6E940"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15,43</w:t>
            </w:r>
            <w:r w:rsidR="0067498C">
              <w:rPr>
                <w:rFonts w:ascii="Arial" w:hAnsi="Arial" w:cs="Arial"/>
                <w:b/>
                <w:bCs/>
                <w:color w:val="000000" w:themeColor="text1"/>
                <w:sz w:val="18"/>
                <w:szCs w:val="18"/>
              </w:rPr>
              <w:t xml:space="preserve"> </w:t>
            </w:r>
            <w:r w:rsidRPr="00486B3B">
              <w:rPr>
                <w:rFonts w:ascii="Arial" w:hAnsi="Arial" w:cs="Arial"/>
                <w:b/>
                <w:bCs/>
                <w:color w:val="000000" w:themeColor="text1"/>
                <w:sz w:val="18"/>
                <w:szCs w:val="18"/>
              </w:rPr>
              <w:t>%</w:t>
            </w:r>
          </w:p>
        </w:tc>
      </w:tr>
      <w:tr w:rsidR="00486B3B" w:rsidRPr="00486B3B" w14:paraId="6D1183B3" w14:textId="77777777" w:rsidTr="00486B3B">
        <w:trPr>
          <w:trHeight w:val="300"/>
        </w:trPr>
        <w:tc>
          <w:tcPr>
            <w:tcW w:w="255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A6CC58F" w14:textId="77777777" w:rsidR="00486B3B" w:rsidRPr="00486B3B" w:rsidRDefault="00486B3B" w:rsidP="00486B3B">
            <w:pPr>
              <w:spacing w:after="0" w:line="240" w:lineRule="auto"/>
              <w:rPr>
                <w:rFonts w:ascii="Arial" w:eastAsia="Times New Roman" w:hAnsi="Arial" w:cs="Arial"/>
                <w:b/>
                <w:bCs/>
                <w:color w:val="000000" w:themeColor="text1"/>
                <w:sz w:val="18"/>
                <w:szCs w:val="18"/>
                <w:lang w:eastAsia="sl-SI"/>
              </w:rPr>
            </w:pPr>
            <w:r w:rsidRPr="00486B3B">
              <w:rPr>
                <w:rFonts w:ascii="Arial" w:eastAsia="Times New Roman" w:hAnsi="Arial" w:cs="Arial"/>
                <w:b/>
                <w:bCs/>
                <w:color w:val="000000" w:themeColor="text1"/>
                <w:sz w:val="18"/>
                <w:szCs w:val="18"/>
                <w:lang w:eastAsia="sl-SI"/>
              </w:rPr>
              <w:t>Skupaj</w:t>
            </w:r>
          </w:p>
        </w:tc>
        <w:tc>
          <w:tcPr>
            <w:tcW w:w="383" w:type="pct"/>
            <w:tcBorders>
              <w:top w:val="nil"/>
              <w:left w:val="nil"/>
              <w:bottom w:val="single" w:sz="4" w:space="0" w:color="auto"/>
              <w:right w:val="single" w:sz="4" w:space="0" w:color="auto"/>
            </w:tcBorders>
            <w:shd w:val="clear" w:color="auto" w:fill="EDEDED" w:themeFill="accent3" w:themeFillTint="33"/>
            <w:noWrap/>
            <w:vAlign w:val="center"/>
          </w:tcPr>
          <w:p w14:paraId="09E3B0A1" w14:textId="51256F7F"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16.824</w:t>
            </w:r>
          </w:p>
        </w:tc>
        <w:tc>
          <w:tcPr>
            <w:tcW w:w="704" w:type="pct"/>
            <w:tcBorders>
              <w:top w:val="nil"/>
              <w:left w:val="nil"/>
              <w:bottom w:val="single" w:sz="4" w:space="0" w:color="auto"/>
              <w:right w:val="single" w:sz="4" w:space="0" w:color="auto"/>
            </w:tcBorders>
            <w:shd w:val="clear" w:color="auto" w:fill="EDEDED" w:themeFill="accent3" w:themeFillTint="33"/>
            <w:noWrap/>
            <w:vAlign w:val="center"/>
          </w:tcPr>
          <w:p w14:paraId="7EFBD45F" w14:textId="24332EC2"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6.232.250.969</w:t>
            </w:r>
          </w:p>
        </w:tc>
        <w:tc>
          <w:tcPr>
            <w:tcW w:w="704" w:type="pct"/>
            <w:tcBorders>
              <w:top w:val="nil"/>
              <w:left w:val="nil"/>
              <w:bottom w:val="single" w:sz="4" w:space="0" w:color="auto"/>
              <w:right w:val="single" w:sz="4" w:space="0" w:color="auto"/>
            </w:tcBorders>
            <w:shd w:val="clear" w:color="auto" w:fill="EDEDED" w:themeFill="accent3" w:themeFillTint="33"/>
            <w:noWrap/>
            <w:vAlign w:val="center"/>
          </w:tcPr>
          <w:p w14:paraId="1E0F3015" w14:textId="03FC3C72"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100,00 %</w:t>
            </w:r>
          </w:p>
        </w:tc>
        <w:tc>
          <w:tcPr>
            <w:tcW w:w="659" w:type="pct"/>
            <w:tcBorders>
              <w:top w:val="nil"/>
              <w:left w:val="nil"/>
              <w:bottom w:val="single" w:sz="4" w:space="0" w:color="auto"/>
              <w:right w:val="single" w:sz="4" w:space="0" w:color="auto"/>
            </w:tcBorders>
            <w:shd w:val="clear" w:color="auto" w:fill="EDEDED" w:themeFill="accent3" w:themeFillTint="33"/>
            <w:noWrap/>
            <w:vAlign w:val="center"/>
          </w:tcPr>
          <w:p w14:paraId="47B45AF0" w14:textId="0035676A" w:rsidR="00486B3B" w:rsidRPr="00486B3B" w:rsidRDefault="00486B3B" w:rsidP="00486B3B">
            <w:pPr>
              <w:spacing w:after="0" w:line="240" w:lineRule="auto"/>
              <w:jc w:val="right"/>
              <w:rPr>
                <w:rFonts w:ascii="Arial" w:hAnsi="Arial" w:cs="Arial"/>
                <w:b/>
                <w:bCs/>
                <w:color w:val="000000" w:themeColor="text1"/>
                <w:sz w:val="18"/>
                <w:szCs w:val="18"/>
              </w:rPr>
            </w:pPr>
            <w:r w:rsidRPr="00486B3B">
              <w:rPr>
                <w:rFonts w:ascii="Arial" w:hAnsi="Arial" w:cs="Arial"/>
                <w:b/>
                <w:bCs/>
                <w:color w:val="000000" w:themeColor="text1"/>
                <w:sz w:val="18"/>
                <w:szCs w:val="18"/>
              </w:rPr>
              <w:t>100,00 %</w:t>
            </w:r>
          </w:p>
        </w:tc>
      </w:tr>
    </w:tbl>
    <w:p w14:paraId="4B6C2B48" w14:textId="77777777" w:rsidR="0041703C" w:rsidRPr="00486B3B" w:rsidRDefault="0041703C" w:rsidP="00854405">
      <w:pPr>
        <w:pStyle w:val="ZADEVA"/>
        <w:jc w:val="both"/>
        <w:rPr>
          <w:rFonts w:cs="Arial"/>
          <w:b w:val="0"/>
          <w:color w:val="000000" w:themeColor="text1"/>
          <w:szCs w:val="20"/>
          <w:lang w:val="sl-SI"/>
        </w:rPr>
      </w:pPr>
    </w:p>
    <w:p w14:paraId="6DA0F0E3" w14:textId="4EC96BF9" w:rsidR="009E6C75" w:rsidRPr="00486B3B" w:rsidRDefault="00B346C9" w:rsidP="00BA2F06">
      <w:pPr>
        <w:spacing w:after="240" w:line="240" w:lineRule="auto"/>
        <w:jc w:val="center"/>
        <w:rPr>
          <w:rFonts w:ascii="Arial" w:hAnsi="Arial" w:cs="Arial"/>
          <w:color w:val="000000" w:themeColor="text1"/>
          <w:sz w:val="18"/>
        </w:rPr>
      </w:pPr>
      <w:r w:rsidRPr="00486B3B">
        <w:rPr>
          <w:rFonts w:ascii="Arial" w:hAnsi="Arial" w:cs="Arial"/>
          <w:color w:val="000000" w:themeColor="text1"/>
          <w:sz w:val="18"/>
        </w:rPr>
        <w:t>Vir: Statistični podatki o javnih naročilih,</w:t>
      </w:r>
      <w:r w:rsidR="00EE75A3" w:rsidRPr="00486B3B">
        <w:rPr>
          <w:rFonts w:ascii="Arial" w:hAnsi="Arial" w:cs="Arial"/>
          <w:color w:val="000000" w:themeColor="text1"/>
          <w:sz w:val="18"/>
        </w:rPr>
        <w:t xml:space="preserve"> oddanih v letu 20</w:t>
      </w:r>
      <w:r w:rsidR="0041703C" w:rsidRPr="00486B3B">
        <w:rPr>
          <w:rFonts w:ascii="Arial" w:hAnsi="Arial" w:cs="Arial"/>
          <w:color w:val="000000" w:themeColor="text1"/>
          <w:sz w:val="18"/>
        </w:rPr>
        <w:t>2</w:t>
      </w:r>
      <w:r w:rsidR="00E632F2" w:rsidRPr="00486B3B">
        <w:rPr>
          <w:rFonts w:ascii="Arial" w:hAnsi="Arial" w:cs="Arial"/>
          <w:color w:val="000000" w:themeColor="text1"/>
          <w:sz w:val="18"/>
        </w:rPr>
        <w:t>3.</w:t>
      </w:r>
    </w:p>
    <w:p w14:paraId="4AD49D33" w14:textId="5E3EFD91" w:rsidR="004C60C0" w:rsidRPr="007A1D33" w:rsidRDefault="004C60C0" w:rsidP="004C60C0">
      <w:pPr>
        <w:tabs>
          <w:tab w:val="left" w:pos="567"/>
          <w:tab w:val="left" w:pos="993"/>
        </w:tabs>
        <w:spacing w:line="360" w:lineRule="auto"/>
        <w:jc w:val="both"/>
        <w:rPr>
          <w:rFonts w:ascii="Arial" w:hAnsi="Arial" w:cs="Arial"/>
          <w:bCs/>
          <w:color w:val="000000" w:themeColor="text1"/>
          <w:sz w:val="20"/>
          <w:szCs w:val="20"/>
        </w:rPr>
      </w:pPr>
      <w:r w:rsidRPr="007A1D33">
        <w:rPr>
          <w:rFonts w:ascii="Arial" w:hAnsi="Arial" w:cs="Arial"/>
          <w:bCs/>
          <w:color w:val="000000" w:themeColor="text1"/>
          <w:sz w:val="20"/>
          <w:szCs w:val="20"/>
        </w:rPr>
        <w:t>Statistični podatki kažejo, da vsi naročniki glede na vrednost oddanega naročila niso izpolnili obveznosti objave obvestil o oddaji javnih naročil v Uradnem listu Evropske unije. Po vrednosti je največji delež takih naročil pri postopku naročil male vrednosti, kjer v Uradnem listu Evropske unije ni bilo objavljenih 2</w:t>
      </w:r>
      <w:r w:rsidR="006B444F" w:rsidRPr="007A1D33">
        <w:rPr>
          <w:rFonts w:ascii="Arial" w:hAnsi="Arial" w:cs="Arial"/>
          <w:bCs/>
          <w:color w:val="000000" w:themeColor="text1"/>
          <w:sz w:val="20"/>
          <w:szCs w:val="20"/>
        </w:rPr>
        <w:t>63</w:t>
      </w:r>
      <w:r w:rsidRPr="007A1D33">
        <w:rPr>
          <w:rFonts w:ascii="Arial" w:hAnsi="Arial" w:cs="Arial"/>
          <w:bCs/>
          <w:color w:val="000000" w:themeColor="text1"/>
          <w:sz w:val="20"/>
          <w:szCs w:val="20"/>
        </w:rPr>
        <w:t xml:space="preserve"> naročil v skupni vrednosti </w:t>
      </w:r>
      <w:r w:rsidR="006B444F" w:rsidRPr="007A1D33">
        <w:rPr>
          <w:rFonts w:ascii="Arial" w:hAnsi="Arial" w:cs="Arial"/>
          <w:bCs/>
          <w:color w:val="000000" w:themeColor="text1"/>
          <w:sz w:val="20"/>
          <w:szCs w:val="20"/>
        </w:rPr>
        <w:t xml:space="preserve">33.068.613 </w:t>
      </w:r>
      <w:r w:rsidRPr="00A479CA">
        <w:rPr>
          <w:rFonts w:ascii="Arial" w:hAnsi="Arial" w:cs="Arial"/>
          <w:bCs/>
          <w:color w:val="000000" w:themeColor="text1"/>
          <w:sz w:val="20"/>
          <w:szCs w:val="20"/>
        </w:rPr>
        <w:t xml:space="preserve">evrov, kar je </w:t>
      </w:r>
      <w:r w:rsidR="00A479CA" w:rsidRPr="00A479CA">
        <w:rPr>
          <w:rFonts w:ascii="Arial" w:hAnsi="Arial" w:cs="Arial"/>
          <w:bCs/>
          <w:color w:val="000000" w:themeColor="text1"/>
          <w:sz w:val="20"/>
          <w:szCs w:val="20"/>
        </w:rPr>
        <w:t>4,29</w:t>
      </w:r>
      <w:r w:rsidRPr="00A479CA">
        <w:rPr>
          <w:rFonts w:ascii="Arial" w:hAnsi="Arial" w:cs="Arial"/>
          <w:bCs/>
          <w:color w:val="000000" w:themeColor="text1"/>
          <w:sz w:val="20"/>
          <w:szCs w:val="20"/>
        </w:rPr>
        <w:t xml:space="preserve">-odstotni delež v številu vseh oddanih naročil po tem postopku in </w:t>
      </w:r>
      <w:r w:rsidR="003310A9" w:rsidRPr="00A479CA">
        <w:rPr>
          <w:rFonts w:ascii="Arial" w:hAnsi="Arial" w:cs="Arial"/>
          <w:bCs/>
          <w:color w:val="000000" w:themeColor="text1"/>
          <w:sz w:val="20"/>
          <w:szCs w:val="20"/>
        </w:rPr>
        <w:t>4,08</w:t>
      </w:r>
      <w:r w:rsidRPr="00A479CA">
        <w:rPr>
          <w:rFonts w:ascii="Arial" w:hAnsi="Arial" w:cs="Arial"/>
          <w:bCs/>
          <w:color w:val="000000" w:themeColor="text1"/>
          <w:sz w:val="20"/>
          <w:szCs w:val="20"/>
        </w:rPr>
        <w:t>-odstotni delež v vrednosti. Po številu vseh</w:t>
      </w:r>
      <w:r w:rsidRPr="007A1D33">
        <w:rPr>
          <w:rFonts w:ascii="Arial" w:hAnsi="Arial" w:cs="Arial"/>
          <w:bCs/>
          <w:color w:val="000000" w:themeColor="text1"/>
          <w:sz w:val="20"/>
          <w:szCs w:val="20"/>
        </w:rPr>
        <w:t xml:space="preserve"> oddanih naročil v letu 202</w:t>
      </w:r>
      <w:r w:rsidR="006B444F" w:rsidRPr="007A1D33">
        <w:rPr>
          <w:rFonts w:ascii="Arial" w:hAnsi="Arial" w:cs="Arial"/>
          <w:bCs/>
          <w:color w:val="000000" w:themeColor="text1"/>
          <w:sz w:val="20"/>
          <w:szCs w:val="20"/>
        </w:rPr>
        <w:t>3</w:t>
      </w:r>
      <w:r w:rsidRPr="007A1D33">
        <w:rPr>
          <w:rFonts w:ascii="Arial" w:hAnsi="Arial" w:cs="Arial"/>
          <w:bCs/>
          <w:color w:val="000000" w:themeColor="text1"/>
          <w:sz w:val="20"/>
          <w:szCs w:val="20"/>
        </w:rPr>
        <w:t xml:space="preserve"> obsegajo naročila, ki bi jih naročniki morali objaviti v Uradnem listu Evropske skupnosti, 1,</w:t>
      </w:r>
      <w:r w:rsidR="003310A9" w:rsidRPr="007A1D33">
        <w:rPr>
          <w:rFonts w:ascii="Arial" w:hAnsi="Arial" w:cs="Arial"/>
          <w:bCs/>
          <w:color w:val="000000" w:themeColor="text1"/>
          <w:sz w:val="20"/>
          <w:szCs w:val="20"/>
        </w:rPr>
        <w:t>97</w:t>
      </w:r>
      <w:r w:rsidRPr="007A1D33">
        <w:rPr>
          <w:rFonts w:ascii="Arial" w:hAnsi="Arial" w:cs="Arial"/>
          <w:bCs/>
          <w:color w:val="000000" w:themeColor="text1"/>
          <w:sz w:val="20"/>
          <w:szCs w:val="20"/>
        </w:rPr>
        <w:t> </w:t>
      </w:r>
      <w:r w:rsidR="00AC0027" w:rsidRPr="007A1D33">
        <w:rPr>
          <w:rFonts w:ascii="Arial" w:hAnsi="Arial" w:cs="Arial"/>
          <w:bCs/>
          <w:color w:val="000000" w:themeColor="text1"/>
          <w:sz w:val="20"/>
          <w:szCs w:val="20"/>
        </w:rPr>
        <w:t>odstotka</w:t>
      </w:r>
      <w:r w:rsidRPr="007A1D33">
        <w:rPr>
          <w:rFonts w:ascii="Arial" w:hAnsi="Arial" w:cs="Arial"/>
          <w:bCs/>
          <w:color w:val="000000" w:themeColor="text1"/>
          <w:sz w:val="20"/>
          <w:szCs w:val="20"/>
        </w:rPr>
        <w:t xml:space="preserve"> vseh naročil, po vrednosti pa </w:t>
      </w:r>
      <w:r w:rsidR="003310A9" w:rsidRPr="007A1D33">
        <w:rPr>
          <w:rFonts w:ascii="Arial" w:hAnsi="Arial" w:cs="Arial"/>
          <w:bCs/>
          <w:color w:val="000000" w:themeColor="text1"/>
          <w:sz w:val="20"/>
          <w:szCs w:val="20"/>
        </w:rPr>
        <w:t>1</w:t>
      </w:r>
      <w:r w:rsidRPr="007A1D33">
        <w:rPr>
          <w:rFonts w:ascii="Arial" w:hAnsi="Arial" w:cs="Arial"/>
          <w:bCs/>
          <w:color w:val="000000" w:themeColor="text1"/>
          <w:sz w:val="20"/>
          <w:szCs w:val="20"/>
        </w:rPr>
        <w:t> </w:t>
      </w:r>
      <w:r w:rsidR="00AC0027" w:rsidRPr="007A1D33">
        <w:rPr>
          <w:rFonts w:ascii="Arial" w:hAnsi="Arial" w:cs="Arial"/>
          <w:bCs/>
          <w:color w:val="000000" w:themeColor="text1"/>
          <w:sz w:val="20"/>
          <w:szCs w:val="20"/>
        </w:rPr>
        <w:t>odstot</w:t>
      </w:r>
      <w:r w:rsidR="003310A9" w:rsidRPr="007A1D33">
        <w:rPr>
          <w:rFonts w:ascii="Arial" w:hAnsi="Arial" w:cs="Arial"/>
          <w:bCs/>
          <w:color w:val="000000" w:themeColor="text1"/>
          <w:sz w:val="20"/>
          <w:szCs w:val="20"/>
        </w:rPr>
        <w:t>ek</w:t>
      </w:r>
      <w:r w:rsidRPr="007A1D33">
        <w:rPr>
          <w:rFonts w:ascii="Arial" w:hAnsi="Arial" w:cs="Arial"/>
          <w:bCs/>
          <w:color w:val="000000" w:themeColor="text1"/>
          <w:sz w:val="20"/>
          <w:szCs w:val="20"/>
        </w:rPr>
        <w:t xml:space="preserve">. </w:t>
      </w:r>
    </w:p>
    <w:p w14:paraId="0C0FCDC6" w14:textId="77777777" w:rsidR="00F11E69" w:rsidRPr="00637ACF" w:rsidRDefault="00F11E69">
      <w:pPr>
        <w:rPr>
          <w:rFonts w:ascii="Arial" w:hAnsi="Arial" w:cs="Arial"/>
          <w:bCs/>
          <w:color w:val="FF0000"/>
          <w:sz w:val="20"/>
          <w:szCs w:val="20"/>
          <w:highlight w:val="yellow"/>
        </w:rPr>
      </w:pPr>
      <w:r w:rsidRPr="00637ACF">
        <w:rPr>
          <w:rFonts w:ascii="Arial" w:hAnsi="Arial" w:cs="Arial"/>
          <w:bCs/>
          <w:color w:val="FF0000"/>
          <w:sz w:val="20"/>
          <w:szCs w:val="20"/>
          <w:highlight w:val="yellow"/>
        </w:rPr>
        <w:br w:type="page"/>
      </w:r>
    </w:p>
    <w:p w14:paraId="599F9321" w14:textId="413C0716" w:rsidR="004C60C0" w:rsidRPr="00A479CA" w:rsidRDefault="004C60C0" w:rsidP="004C60C0">
      <w:pPr>
        <w:tabs>
          <w:tab w:val="left" w:pos="567"/>
          <w:tab w:val="left" w:pos="993"/>
        </w:tabs>
        <w:spacing w:line="360" w:lineRule="auto"/>
        <w:jc w:val="both"/>
        <w:rPr>
          <w:rFonts w:ascii="Arial" w:hAnsi="Arial" w:cs="Arial"/>
          <w:bCs/>
          <w:color w:val="000000" w:themeColor="text1"/>
          <w:sz w:val="20"/>
          <w:szCs w:val="20"/>
        </w:rPr>
      </w:pPr>
      <w:r w:rsidRPr="00A479CA">
        <w:rPr>
          <w:rFonts w:ascii="Arial" w:hAnsi="Arial" w:cs="Arial"/>
          <w:bCs/>
          <w:color w:val="000000" w:themeColor="text1"/>
          <w:sz w:val="20"/>
          <w:szCs w:val="20"/>
        </w:rPr>
        <w:lastRenderedPageBreak/>
        <w:t>Preglednica 9: Naročila v postopkih javnega naročanja, objavljena le na portalu javnih naročil, glede na obveznost objave v Uradnem listu Evropske unije in izvedeni postopek v letu 202</w:t>
      </w:r>
      <w:r w:rsidR="006B444F" w:rsidRPr="00A479CA">
        <w:rPr>
          <w:rFonts w:ascii="Arial" w:hAnsi="Arial" w:cs="Arial"/>
          <w:bCs/>
          <w:color w:val="000000" w:themeColor="text1"/>
          <w:sz w:val="20"/>
          <w:szCs w:val="20"/>
        </w:rPr>
        <w:t>3</w:t>
      </w:r>
    </w:p>
    <w:tbl>
      <w:tblPr>
        <w:tblW w:w="9209" w:type="dxa"/>
        <w:tblLayout w:type="fixed"/>
        <w:tblCellMar>
          <w:left w:w="70" w:type="dxa"/>
          <w:right w:w="70" w:type="dxa"/>
        </w:tblCellMar>
        <w:tblLook w:val="04A0" w:firstRow="1" w:lastRow="0" w:firstColumn="1" w:lastColumn="0" w:noHBand="0" w:noVBand="1"/>
      </w:tblPr>
      <w:tblGrid>
        <w:gridCol w:w="711"/>
        <w:gridCol w:w="1209"/>
        <w:gridCol w:w="3462"/>
        <w:gridCol w:w="709"/>
        <w:gridCol w:w="1061"/>
        <w:gridCol w:w="1065"/>
        <w:gridCol w:w="992"/>
      </w:tblGrid>
      <w:tr w:rsidR="003057DE" w:rsidRPr="00A479CA" w14:paraId="4EDDFC2B" w14:textId="77777777" w:rsidTr="009F7B6D">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DC3E84" w14:textId="77777777" w:rsidR="004C60C0" w:rsidRPr="00A479CA" w:rsidRDefault="004C60C0" w:rsidP="009F7B6D">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Objava v UL EU</w:t>
            </w:r>
          </w:p>
        </w:tc>
        <w:tc>
          <w:tcPr>
            <w:tcW w:w="12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572C83" w14:textId="77777777" w:rsidR="004C60C0" w:rsidRPr="00A479CA" w:rsidRDefault="004C60C0" w:rsidP="009F7B6D">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Obveznost objave v UL EU</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538045" w14:textId="77777777" w:rsidR="004C60C0" w:rsidRPr="00A479CA" w:rsidRDefault="004C60C0" w:rsidP="009F7B6D">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Vrsta postopka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6CB972" w14:textId="77777777" w:rsidR="004C60C0" w:rsidRPr="00A479CA" w:rsidRDefault="004C60C0" w:rsidP="009F7B6D">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Št. naročil</w:t>
            </w:r>
          </w:p>
        </w:tc>
        <w:tc>
          <w:tcPr>
            <w:tcW w:w="106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133736" w14:textId="4BBE5A18" w:rsidR="004C60C0" w:rsidRPr="00A479CA" w:rsidRDefault="004C60C0" w:rsidP="009F7B6D">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Pogodbena vrednost</w:t>
            </w:r>
            <w:r w:rsidR="00864791" w:rsidRPr="00A479CA">
              <w:rPr>
                <w:rFonts w:ascii="Arial" w:eastAsia="Times New Roman" w:hAnsi="Arial" w:cs="Arial"/>
                <w:color w:val="000000" w:themeColor="text1"/>
                <w:sz w:val="18"/>
                <w:szCs w:val="18"/>
                <w:lang w:eastAsia="sl-SI"/>
              </w:rPr>
              <w:t xml:space="preserve"> (v EUR)</w:t>
            </w:r>
          </w:p>
        </w:tc>
        <w:tc>
          <w:tcPr>
            <w:tcW w:w="10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39E291" w14:textId="77777777" w:rsidR="004C60C0" w:rsidRPr="00A479CA" w:rsidRDefault="004C60C0" w:rsidP="009F7B6D">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Delež v št. vseh istovrstnih naročil</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B5A73F" w14:textId="77777777" w:rsidR="004C60C0" w:rsidRPr="00A479CA" w:rsidRDefault="004C60C0" w:rsidP="009F7B6D">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Delež v vrednosti vseh istovrstnih naročil</w:t>
            </w:r>
          </w:p>
        </w:tc>
      </w:tr>
      <w:tr w:rsidR="00A479CA" w:rsidRPr="00A479CA" w14:paraId="71D950F5" w14:textId="77777777" w:rsidTr="00A479CA">
        <w:trPr>
          <w:trHeight w:val="255"/>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14:paraId="351FE71F" w14:textId="77777777" w:rsidR="00A479CA" w:rsidRPr="00A479CA" w:rsidRDefault="00A479CA" w:rsidP="00A479CA">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NE</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23F26083" w14:textId="77777777" w:rsidR="00A479CA" w:rsidRPr="00A479CA" w:rsidRDefault="00A479CA" w:rsidP="00A479CA">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DA</w:t>
            </w:r>
          </w:p>
        </w:tc>
        <w:tc>
          <w:tcPr>
            <w:tcW w:w="3462" w:type="dxa"/>
            <w:tcBorders>
              <w:top w:val="nil"/>
              <w:left w:val="nil"/>
              <w:bottom w:val="single" w:sz="4" w:space="0" w:color="auto"/>
              <w:right w:val="single" w:sz="4" w:space="0" w:color="auto"/>
            </w:tcBorders>
            <w:shd w:val="clear" w:color="auto" w:fill="auto"/>
            <w:vAlign w:val="center"/>
            <w:hideMark/>
          </w:tcPr>
          <w:p w14:paraId="246D49AC" w14:textId="77777777" w:rsidR="00A479CA" w:rsidRPr="00A479CA" w:rsidRDefault="00A479CA" w:rsidP="00A479CA">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Konkurenčni postopek s pogajanji</w:t>
            </w:r>
          </w:p>
        </w:tc>
        <w:tc>
          <w:tcPr>
            <w:tcW w:w="709" w:type="dxa"/>
            <w:tcBorders>
              <w:top w:val="nil"/>
              <w:left w:val="nil"/>
              <w:bottom w:val="single" w:sz="4" w:space="0" w:color="auto"/>
              <w:right w:val="single" w:sz="4" w:space="0" w:color="auto"/>
            </w:tcBorders>
            <w:shd w:val="clear" w:color="auto" w:fill="auto"/>
            <w:vAlign w:val="center"/>
            <w:hideMark/>
          </w:tcPr>
          <w:p w14:paraId="0FB01B49" w14:textId="1B3E0DD9"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10</w:t>
            </w:r>
          </w:p>
        </w:tc>
        <w:tc>
          <w:tcPr>
            <w:tcW w:w="1061" w:type="dxa"/>
            <w:tcBorders>
              <w:top w:val="nil"/>
              <w:left w:val="nil"/>
              <w:bottom w:val="single" w:sz="4" w:space="0" w:color="auto"/>
              <w:right w:val="single" w:sz="4" w:space="0" w:color="auto"/>
            </w:tcBorders>
            <w:shd w:val="clear" w:color="auto" w:fill="auto"/>
            <w:vAlign w:val="center"/>
          </w:tcPr>
          <w:p w14:paraId="72138427" w14:textId="154D66B6"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15.342.179</w:t>
            </w:r>
          </w:p>
        </w:tc>
        <w:tc>
          <w:tcPr>
            <w:tcW w:w="1065" w:type="dxa"/>
            <w:tcBorders>
              <w:top w:val="nil"/>
              <w:left w:val="nil"/>
              <w:bottom w:val="single" w:sz="4" w:space="0" w:color="auto"/>
              <w:right w:val="single" w:sz="4" w:space="0" w:color="auto"/>
            </w:tcBorders>
            <w:shd w:val="clear" w:color="auto" w:fill="auto"/>
            <w:noWrap/>
            <w:vAlign w:val="center"/>
          </w:tcPr>
          <w:p w14:paraId="71C1B4B1" w14:textId="11AD98C2"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4,52 %</w:t>
            </w:r>
          </w:p>
        </w:tc>
        <w:tc>
          <w:tcPr>
            <w:tcW w:w="992" w:type="dxa"/>
            <w:tcBorders>
              <w:top w:val="nil"/>
              <w:left w:val="nil"/>
              <w:bottom w:val="single" w:sz="4" w:space="0" w:color="auto"/>
              <w:right w:val="single" w:sz="4" w:space="0" w:color="auto"/>
            </w:tcBorders>
            <w:shd w:val="clear" w:color="auto" w:fill="auto"/>
            <w:noWrap/>
            <w:vAlign w:val="center"/>
          </w:tcPr>
          <w:p w14:paraId="2F3DD320" w14:textId="5D2E7C68"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4,96 %</w:t>
            </w:r>
          </w:p>
        </w:tc>
      </w:tr>
      <w:tr w:rsidR="00A479CA" w:rsidRPr="00A479CA" w14:paraId="0A869F72" w14:textId="77777777" w:rsidTr="00A479CA">
        <w:trPr>
          <w:trHeight w:val="255"/>
        </w:trPr>
        <w:tc>
          <w:tcPr>
            <w:tcW w:w="711" w:type="dxa"/>
            <w:vMerge/>
            <w:tcBorders>
              <w:top w:val="nil"/>
              <w:left w:val="single" w:sz="4" w:space="0" w:color="auto"/>
              <w:bottom w:val="single" w:sz="4" w:space="0" w:color="auto"/>
              <w:right w:val="single" w:sz="4" w:space="0" w:color="auto"/>
            </w:tcBorders>
            <w:vAlign w:val="center"/>
            <w:hideMark/>
          </w:tcPr>
          <w:p w14:paraId="3903BB25" w14:textId="77777777" w:rsidR="00A479CA" w:rsidRPr="00A479CA" w:rsidRDefault="00A479CA" w:rsidP="00A479CA">
            <w:pPr>
              <w:spacing w:after="0" w:line="240" w:lineRule="auto"/>
              <w:rPr>
                <w:rFonts w:ascii="Arial" w:eastAsia="Times New Roman" w:hAnsi="Arial" w:cs="Arial"/>
                <w:color w:val="000000" w:themeColor="text1"/>
                <w:sz w:val="18"/>
                <w:szCs w:val="18"/>
                <w:lang w:eastAsia="sl-SI"/>
              </w:rPr>
            </w:pPr>
          </w:p>
        </w:tc>
        <w:tc>
          <w:tcPr>
            <w:tcW w:w="1209" w:type="dxa"/>
            <w:vMerge/>
            <w:tcBorders>
              <w:top w:val="nil"/>
              <w:left w:val="single" w:sz="4" w:space="0" w:color="auto"/>
              <w:bottom w:val="single" w:sz="4" w:space="0" w:color="auto"/>
              <w:right w:val="single" w:sz="4" w:space="0" w:color="auto"/>
            </w:tcBorders>
            <w:vAlign w:val="center"/>
            <w:hideMark/>
          </w:tcPr>
          <w:p w14:paraId="5F2F42E5" w14:textId="77777777" w:rsidR="00A479CA" w:rsidRPr="00A479CA" w:rsidRDefault="00A479CA" w:rsidP="00A479CA">
            <w:pPr>
              <w:spacing w:after="0" w:line="240" w:lineRule="auto"/>
              <w:rPr>
                <w:rFonts w:ascii="Arial" w:eastAsia="Times New Roman" w:hAnsi="Arial" w:cs="Arial"/>
                <w:color w:val="000000" w:themeColor="text1"/>
                <w:sz w:val="18"/>
                <w:szCs w:val="18"/>
                <w:lang w:eastAsia="sl-SI"/>
              </w:rPr>
            </w:pPr>
          </w:p>
        </w:tc>
        <w:tc>
          <w:tcPr>
            <w:tcW w:w="3462" w:type="dxa"/>
            <w:tcBorders>
              <w:top w:val="nil"/>
              <w:left w:val="nil"/>
              <w:bottom w:val="single" w:sz="4" w:space="0" w:color="auto"/>
              <w:right w:val="single" w:sz="4" w:space="0" w:color="auto"/>
            </w:tcBorders>
            <w:shd w:val="clear" w:color="auto" w:fill="auto"/>
            <w:vAlign w:val="center"/>
            <w:hideMark/>
          </w:tcPr>
          <w:p w14:paraId="33263DD5" w14:textId="77777777" w:rsidR="00A479CA" w:rsidRPr="00A479CA" w:rsidRDefault="00A479CA" w:rsidP="00A479CA">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Odprti postopek</w:t>
            </w:r>
          </w:p>
        </w:tc>
        <w:tc>
          <w:tcPr>
            <w:tcW w:w="709" w:type="dxa"/>
            <w:tcBorders>
              <w:top w:val="nil"/>
              <w:left w:val="nil"/>
              <w:bottom w:val="single" w:sz="4" w:space="0" w:color="auto"/>
              <w:right w:val="single" w:sz="4" w:space="0" w:color="auto"/>
            </w:tcBorders>
            <w:shd w:val="clear" w:color="auto" w:fill="auto"/>
            <w:vAlign w:val="center"/>
            <w:hideMark/>
          </w:tcPr>
          <w:p w14:paraId="5D1EEAC5" w14:textId="1926DE5B"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31</w:t>
            </w:r>
          </w:p>
        </w:tc>
        <w:tc>
          <w:tcPr>
            <w:tcW w:w="1061" w:type="dxa"/>
            <w:tcBorders>
              <w:top w:val="nil"/>
              <w:left w:val="nil"/>
              <w:bottom w:val="single" w:sz="4" w:space="0" w:color="auto"/>
              <w:right w:val="single" w:sz="4" w:space="0" w:color="auto"/>
            </w:tcBorders>
            <w:shd w:val="clear" w:color="auto" w:fill="auto"/>
            <w:vAlign w:val="center"/>
          </w:tcPr>
          <w:p w14:paraId="062171F8" w14:textId="556A0305"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3.058.522</w:t>
            </w:r>
          </w:p>
        </w:tc>
        <w:tc>
          <w:tcPr>
            <w:tcW w:w="1065" w:type="dxa"/>
            <w:tcBorders>
              <w:top w:val="nil"/>
              <w:left w:val="nil"/>
              <w:bottom w:val="single" w:sz="4" w:space="0" w:color="auto"/>
              <w:right w:val="single" w:sz="4" w:space="0" w:color="auto"/>
            </w:tcBorders>
            <w:shd w:val="clear" w:color="auto" w:fill="auto"/>
            <w:noWrap/>
            <w:vAlign w:val="center"/>
          </w:tcPr>
          <w:p w14:paraId="4C1DE7DF" w14:textId="4BCA0E5C"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0,36 %</w:t>
            </w:r>
          </w:p>
        </w:tc>
        <w:tc>
          <w:tcPr>
            <w:tcW w:w="992" w:type="dxa"/>
            <w:tcBorders>
              <w:top w:val="nil"/>
              <w:left w:val="nil"/>
              <w:bottom w:val="single" w:sz="4" w:space="0" w:color="auto"/>
              <w:right w:val="single" w:sz="4" w:space="0" w:color="auto"/>
            </w:tcBorders>
            <w:shd w:val="clear" w:color="auto" w:fill="auto"/>
            <w:noWrap/>
            <w:vAlign w:val="center"/>
          </w:tcPr>
          <w:p w14:paraId="3255395E" w14:textId="5B6776E6"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0,09 %</w:t>
            </w:r>
          </w:p>
        </w:tc>
      </w:tr>
      <w:tr w:rsidR="00A479CA" w:rsidRPr="00A479CA" w14:paraId="1C0B725F" w14:textId="77777777" w:rsidTr="00A479CA">
        <w:trPr>
          <w:trHeight w:val="255"/>
        </w:trPr>
        <w:tc>
          <w:tcPr>
            <w:tcW w:w="711" w:type="dxa"/>
            <w:vMerge/>
            <w:tcBorders>
              <w:top w:val="nil"/>
              <w:left w:val="single" w:sz="4" w:space="0" w:color="auto"/>
              <w:bottom w:val="single" w:sz="4" w:space="0" w:color="auto"/>
              <w:right w:val="single" w:sz="4" w:space="0" w:color="auto"/>
            </w:tcBorders>
            <w:vAlign w:val="center"/>
            <w:hideMark/>
          </w:tcPr>
          <w:p w14:paraId="699F9926" w14:textId="77777777" w:rsidR="00A479CA" w:rsidRPr="00A479CA" w:rsidRDefault="00A479CA" w:rsidP="00A479CA">
            <w:pPr>
              <w:spacing w:after="0" w:line="240" w:lineRule="auto"/>
              <w:rPr>
                <w:rFonts w:ascii="Arial" w:eastAsia="Times New Roman" w:hAnsi="Arial" w:cs="Arial"/>
                <w:color w:val="000000" w:themeColor="text1"/>
                <w:sz w:val="18"/>
                <w:szCs w:val="18"/>
                <w:lang w:eastAsia="sl-SI"/>
              </w:rPr>
            </w:pPr>
          </w:p>
        </w:tc>
        <w:tc>
          <w:tcPr>
            <w:tcW w:w="1209" w:type="dxa"/>
            <w:vMerge/>
            <w:tcBorders>
              <w:top w:val="nil"/>
              <w:left w:val="single" w:sz="4" w:space="0" w:color="auto"/>
              <w:bottom w:val="single" w:sz="4" w:space="0" w:color="auto"/>
              <w:right w:val="single" w:sz="4" w:space="0" w:color="auto"/>
            </w:tcBorders>
            <w:vAlign w:val="center"/>
            <w:hideMark/>
          </w:tcPr>
          <w:p w14:paraId="2AC3449C" w14:textId="77777777" w:rsidR="00A479CA" w:rsidRPr="00A479CA" w:rsidRDefault="00A479CA" w:rsidP="00A479CA">
            <w:pPr>
              <w:spacing w:after="0" w:line="240" w:lineRule="auto"/>
              <w:rPr>
                <w:rFonts w:ascii="Arial" w:eastAsia="Times New Roman" w:hAnsi="Arial" w:cs="Arial"/>
                <w:color w:val="000000" w:themeColor="text1"/>
                <w:sz w:val="18"/>
                <w:szCs w:val="18"/>
                <w:lang w:eastAsia="sl-SI"/>
              </w:rPr>
            </w:pPr>
          </w:p>
        </w:tc>
        <w:tc>
          <w:tcPr>
            <w:tcW w:w="3462" w:type="dxa"/>
            <w:tcBorders>
              <w:top w:val="nil"/>
              <w:left w:val="nil"/>
              <w:bottom w:val="single" w:sz="4" w:space="0" w:color="auto"/>
              <w:right w:val="single" w:sz="4" w:space="0" w:color="auto"/>
            </w:tcBorders>
            <w:shd w:val="clear" w:color="auto" w:fill="auto"/>
            <w:vAlign w:val="center"/>
            <w:hideMark/>
          </w:tcPr>
          <w:p w14:paraId="202BED8A" w14:textId="4F0DBD3A" w:rsidR="00A479CA" w:rsidRPr="00A479CA" w:rsidRDefault="00A479CA" w:rsidP="00A479CA">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naročila male vrednosti</w:t>
            </w:r>
          </w:p>
        </w:tc>
        <w:tc>
          <w:tcPr>
            <w:tcW w:w="709" w:type="dxa"/>
            <w:tcBorders>
              <w:top w:val="nil"/>
              <w:left w:val="nil"/>
              <w:bottom w:val="single" w:sz="4" w:space="0" w:color="auto"/>
              <w:right w:val="single" w:sz="4" w:space="0" w:color="auto"/>
            </w:tcBorders>
            <w:shd w:val="clear" w:color="auto" w:fill="auto"/>
            <w:vAlign w:val="center"/>
            <w:hideMark/>
          </w:tcPr>
          <w:p w14:paraId="50448AF1" w14:textId="6F1D6E3C"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263</w:t>
            </w:r>
          </w:p>
        </w:tc>
        <w:tc>
          <w:tcPr>
            <w:tcW w:w="1061" w:type="dxa"/>
            <w:tcBorders>
              <w:top w:val="nil"/>
              <w:left w:val="nil"/>
              <w:bottom w:val="single" w:sz="4" w:space="0" w:color="auto"/>
              <w:right w:val="single" w:sz="4" w:space="0" w:color="auto"/>
            </w:tcBorders>
            <w:shd w:val="clear" w:color="auto" w:fill="auto"/>
            <w:vAlign w:val="center"/>
          </w:tcPr>
          <w:p w14:paraId="70932826" w14:textId="5F02CBC7" w:rsidR="00A479CA" w:rsidRPr="00A479CA" w:rsidRDefault="00A479CA" w:rsidP="00A479CA">
            <w:pPr>
              <w:spacing w:after="0" w:line="240" w:lineRule="auto"/>
              <w:jc w:val="right"/>
              <w:rPr>
                <w:rFonts w:ascii="Arial" w:hAnsi="Arial" w:cs="Arial"/>
                <w:color w:val="000000" w:themeColor="text1"/>
                <w:sz w:val="18"/>
                <w:szCs w:val="18"/>
              </w:rPr>
            </w:pPr>
            <w:bookmarkStart w:id="17" w:name="_Hlk175293863"/>
            <w:r w:rsidRPr="00A479CA">
              <w:rPr>
                <w:rFonts w:ascii="Arial" w:hAnsi="Arial" w:cs="Arial"/>
                <w:color w:val="000000" w:themeColor="text1"/>
                <w:sz w:val="18"/>
                <w:szCs w:val="18"/>
              </w:rPr>
              <w:t>33.068.613</w:t>
            </w:r>
            <w:bookmarkEnd w:id="17"/>
          </w:p>
        </w:tc>
        <w:tc>
          <w:tcPr>
            <w:tcW w:w="1065" w:type="dxa"/>
            <w:tcBorders>
              <w:top w:val="nil"/>
              <w:left w:val="nil"/>
              <w:bottom w:val="single" w:sz="4" w:space="0" w:color="auto"/>
              <w:right w:val="single" w:sz="4" w:space="0" w:color="auto"/>
            </w:tcBorders>
            <w:shd w:val="clear" w:color="auto" w:fill="auto"/>
            <w:noWrap/>
            <w:vAlign w:val="center"/>
          </w:tcPr>
          <w:p w14:paraId="58782986" w14:textId="2195CEFE"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4,29 %</w:t>
            </w:r>
          </w:p>
        </w:tc>
        <w:tc>
          <w:tcPr>
            <w:tcW w:w="992" w:type="dxa"/>
            <w:tcBorders>
              <w:top w:val="nil"/>
              <w:left w:val="nil"/>
              <w:bottom w:val="single" w:sz="4" w:space="0" w:color="auto"/>
              <w:right w:val="single" w:sz="4" w:space="0" w:color="auto"/>
            </w:tcBorders>
            <w:shd w:val="clear" w:color="auto" w:fill="auto"/>
            <w:noWrap/>
            <w:vAlign w:val="center"/>
          </w:tcPr>
          <w:p w14:paraId="14DDCCEE" w14:textId="2B493C95"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4,08 %</w:t>
            </w:r>
          </w:p>
        </w:tc>
      </w:tr>
      <w:tr w:rsidR="00A479CA" w:rsidRPr="00A479CA" w14:paraId="1E8F3928" w14:textId="77777777" w:rsidTr="00A479CA">
        <w:trPr>
          <w:trHeight w:val="255"/>
        </w:trPr>
        <w:tc>
          <w:tcPr>
            <w:tcW w:w="711" w:type="dxa"/>
            <w:vMerge/>
            <w:tcBorders>
              <w:top w:val="nil"/>
              <w:left w:val="single" w:sz="4" w:space="0" w:color="auto"/>
              <w:bottom w:val="single" w:sz="4" w:space="0" w:color="auto"/>
              <w:right w:val="single" w:sz="4" w:space="0" w:color="auto"/>
            </w:tcBorders>
            <w:vAlign w:val="center"/>
            <w:hideMark/>
          </w:tcPr>
          <w:p w14:paraId="7E2F6AEB" w14:textId="77777777" w:rsidR="00A479CA" w:rsidRPr="00A479CA" w:rsidRDefault="00A479CA" w:rsidP="00A479CA">
            <w:pPr>
              <w:spacing w:after="0" w:line="240" w:lineRule="auto"/>
              <w:rPr>
                <w:rFonts w:ascii="Arial" w:eastAsia="Times New Roman" w:hAnsi="Arial" w:cs="Arial"/>
                <w:color w:val="000000" w:themeColor="text1"/>
                <w:sz w:val="18"/>
                <w:szCs w:val="18"/>
                <w:lang w:eastAsia="sl-SI"/>
              </w:rPr>
            </w:pPr>
          </w:p>
        </w:tc>
        <w:tc>
          <w:tcPr>
            <w:tcW w:w="1209" w:type="dxa"/>
            <w:vMerge/>
            <w:tcBorders>
              <w:top w:val="nil"/>
              <w:left w:val="single" w:sz="4" w:space="0" w:color="auto"/>
              <w:bottom w:val="single" w:sz="4" w:space="0" w:color="auto"/>
              <w:right w:val="single" w:sz="4" w:space="0" w:color="auto"/>
            </w:tcBorders>
            <w:vAlign w:val="center"/>
            <w:hideMark/>
          </w:tcPr>
          <w:p w14:paraId="7C25B35A" w14:textId="77777777" w:rsidR="00A479CA" w:rsidRPr="00A479CA" w:rsidRDefault="00A479CA" w:rsidP="00A479CA">
            <w:pPr>
              <w:spacing w:after="0" w:line="240" w:lineRule="auto"/>
              <w:rPr>
                <w:rFonts w:ascii="Arial" w:eastAsia="Times New Roman" w:hAnsi="Arial" w:cs="Arial"/>
                <w:color w:val="000000" w:themeColor="text1"/>
                <w:sz w:val="18"/>
                <w:szCs w:val="18"/>
                <w:lang w:eastAsia="sl-SI"/>
              </w:rPr>
            </w:pPr>
          </w:p>
        </w:tc>
        <w:tc>
          <w:tcPr>
            <w:tcW w:w="3462" w:type="dxa"/>
            <w:tcBorders>
              <w:top w:val="nil"/>
              <w:left w:val="nil"/>
              <w:bottom w:val="single" w:sz="4" w:space="0" w:color="auto"/>
              <w:right w:val="single" w:sz="4" w:space="0" w:color="auto"/>
            </w:tcBorders>
            <w:shd w:val="clear" w:color="auto" w:fill="auto"/>
            <w:vAlign w:val="center"/>
            <w:hideMark/>
          </w:tcPr>
          <w:p w14:paraId="4D5E78CF" w14:textId="77777777" w:rsidR="00A479CA" w:rsidRPr="00A479CA" w:rsidRDefault="00A479CA" w:rsidP="00A479CA">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709" w:type="dxa"/>
            <w:tcBorders>
              <w:top w:val="nil"/>
              <w:left w:val="nil"/>
              <w:bottom w:val="single" w:sz="4" w:space="0" w:color="auto"/>
              <w:right w:val="single" w:sz="4" w:space="0" w:color="auto"/>
            </w:tcBorders>
            <w:shd w:val="clear" w:color="auto" w:fill="auto"/>
            <w:vAlign w:val="center"/>
            <w:hideMark/>
          </w:tcPr>
          <w:p w14:paraId="3C4D7371" w14:textId="3BFEFB7E"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26</w:t>
            </w:r>
          </w:p>
        </w:tc>
        <w:tc>
          <w:tcPr>
            <w:tcW w:w="1061" w:type="dxa"/>
            <w:tcBorders>
              <w:top w:val="nil"/>
              <w:left w:val="nil"/>
              <w:bottom w:val="single" w:sz="4" w:space="0" w:color="auto"/>
              <w:right w:val="single" w:sz="4" w:space="0" w:color="auto"/>
            </w:tcBorders>
            <w:shd w:val="clear" w:color="auto" w:fill="auto"/>
            <w:vAlign w:val="center"/>
          </w:tcPr>
          <w:p w14:paraId="02529284" w14:textId="09507FE4"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10.684.103</w:t>
            </w:r>
          </w:p>
        </w:tc>
        <w:tc>
          <w:tcPr>
            <w:tcW w:w="1065" w:type="dxa"/>
            <w:tcBorders>
              <w:top w:val="nil"/>
              <w:left w:val="nil"/>
              <w:bottom w:val="single" w:sz="4" w:space="0" w:color="auto"/>
              <w:right w:val="single" w:sz="4" w:space="0" w:color="auto"/>
            </w:tcBorders>
            <w:shd w:val="clear" w:color="auto" w:fill="auto"/>
            <w:noWrap/>
            <w:vAlign w:val="center"/>
          </w:tcPr>
          <w:p w14:paraId="34CB8AF9" w14:textId="0B32AB83"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3,61 %</w:t>
            </w:r>
          </w:p>
        </w:tc>
        <w:tc>
          <w:tcPr>
            <w:tcW w:w="992" w:type="dxa"/>
            <w:tcBorders>
              <w:top w:val="nil"/>
              <w:left w:val="nil"/>
              <w:bottom w:val="single" w:sz="4" w:space="0" w:color="auto"/>
              <w:right w:val="single" w:sz="4" w:space="0" w:color="auto"/>
            </w:tcBorders>
            <w:shd w:val="clear" w:color="auto" w:fill="auto"/>
            <w:noWrap/>
            <w:vAlign w:val="center"/>
          </w:tcPr>
          <w:p w14:paraId="7F9F5510" w14:textId="33A5F09A"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2,88 %</w:t>
            </w:r>
          </w:p>
        </w:tc>
      </w:tr>
      <w:tr w:rsidR="00A479CA" w:rsidRPr="00A479CA" w14:paraId="48E0745F" w14:textId="77777777" w:rsidTr="00A479CA">
        <w:trPr>
          <w:trHeight w:val="255"/>
        </w:trPr>
        <w:tc>
          <w:tcPr>
            <w:tcW w:w="711" w:type="dxa"/>
            <w:vMerge/>
            <w:tcBorders>
              <w:top w:val="nil"/>
              <w:left w:val="single" w:sz="4" w:space="0" w:color="auto"/>
              <w:bottom w:val="single" w:sz="4" w:space="0" w:color="auto"/>
              <w:right w:val="single" w:sz="4" w:space="0" w:color="auto"/>
            </w:tcBorders>
            <w:vAlign w:val="center"/>
            <w:hideMark/>
          </w:tcPr>
          <w:p w14:paraId="77906E32" w14:textId="77777777" w:rsidR="00A479CA" w:rsidRPr="00A479CA" w:rsidRDefault="00A479CA" w:rsidP="00A479CA">
            <w:pPr>
              <w:spacing w:after="0" w:line="240" w:lineRule="auto"/>
              <w:rPr>
                <w:rFonts w:ascii="Arial" w:eastAsia="Times New Roman" w:hAnsi="Arial" w:cs="Arial"/>
                <w:color w:val="000000" w:themeColor="text1"/>
                <w:sz w:val="18"/>
                <w:szCs w:val="18"/>
                <w:lang w:eastAsia="sl-SI"/>
              </w:rPr>
            </w:pPr>
          </w:p>
        </w:tc>
        <w:tc>
          <w:tcPr>
            <w:tcW w:w="1209" w:type="dxa"/>
            <w:vMerge/>
            <w:tcBorders>
              <w:top w:val="nil"/>
              <w:left w:val="single" w:sz="4" w:space="0" w:color="auto"/>
              <w:bottom w:val="single" w:sz="4" w:space="0" w:color="auto"/>
              <w:right w:val="single" w:sz="4" w:space="0" w:color="auto"/>
            </w:tcBorders>
            <w:vAlign w:val="center"/>
            <w:hideMark/>
          </w:tcPr>
          <w:p w14:paraId="7AE07CFB" w14:textId="77777777" w:rsidR="00A479CA" w:rsidRPr="00A479CA" w:rsidRDefault="00A479CA" w:rsidP="00A479CA">
            <w:pPr>
              <w:spacing w:after="0" w:line="240" w:lineRule="auto"/>
              <w:rPr>
                <w:rFonts w:ascii="Arial" w:eastAsia="Times New Roman" w:hAnsi="Arial" w:cs="Arial"/>
                <w:color w:val="000000" w:themeColor="text1"/>
                <w:sz w:val="18"/>
                <w:szCs w:val="18"/>
                <w:lang w:eastAsia="sl-SI"/>
              </w:rPr>
            </w:pPr>
          </w:p>
        </w:tc>
        <w:tc>
          <w:tcPr>
            <w:tcW w:w="3462" w:type="dxa"/>
            <w:tcBorders>
              <w:top w:val="nil"/>
              <w:left w:val="nil"/>
              <w:bottom w:val="single" w:sz="4" w:space="0" w:color="auto"/>
              <w:right w:val="single" w:sz="4" w:space="0" w:color="auto"/>
            </w:tcBorders>
            <w:shd w:val="clear" w:color="auto" w:fill="auto"/>
            <w:noWrap/>
            <w:vAlign w:val="center"/>
            <w:hideMark/>
          </w:tcPr>
          <w:p w14:paraId="11279D1A" w14:textId="77777777" w:rsidR="00A479CA" w:rsidRPr="00A479CA" w:rsidRDefault="00A479CA" w:rsidP="00A479CA">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po predhodni objavi</w:t>
            </w:r>
          </w:p>
        </w:tc>
        <w:tc>
          <w:tcPr>
            <w:tcW w:w="709" w:type="dxa"/>
            <w:tcBorders>
              <w:top w:val="nil"/>
              <w:left w:val="nil"/>
              <w:bottom w:val="single" w:sz="4" w:space="0" w:color="auto"/>
              <w:right w:val="single" w:sz="4" w:space="0" w:color="auto"/>
            </w:tcBorders>
            <w:shd w:val="clear" w:color="auto" w:fill="auto"/>
            <w:vAlign w:val="center"/>
            <w:hideMark/>
          </w:tcPr>
          <w:p w14:paraId="37C2A1EC" w14:textId="48DB92A2"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w:t>
            </w:r>
          </w:p>
        </w:tc>
        <w:tc>
          <w:tcPr>
            <w:tcW w:w="1061" w:type="dxa"/>
            <w:tcBorders>
              <w:top w:val="nil"/>
              <w:left w:val="nil"/>
              <w:bottom w:val="single" w:sz="4" w:space="0" w:color="auto"/>
              <w:right w:val="single" w:sz="4" w:space="0" w:color="auto"/>
            </w:tcBorders>
            <w:shd w:val="clear" w:color="auto" w:fill="auto"/>
            <w:vAlign w:val="center"/>
          </w:tcPr>
          <w:p w14:paraId="40CAAC68" w14:textId="70470533"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250.027</w:t>
            </w:r>
          </w:p>
        </w:tc>
        <w:tc>
          <w:tcPr>
            <w:tcW w:w="1065" w:type="dxa"/>
            <w:tcBorders>
              <w:top w:val="nil"/>
              <w:left w:val="nil"/>
              <w:bottom w:val="single" w:sz="4" w:space="0" w:color="auto"/>
              <w:right w:val="single" w:sz="4" w:space="0" w:color="auto"/>
            </w:tcBorders>
            <w:shd w:val="clear" w:color="auto" w:fill="auto"/>
            <w:noWrap/>
            <w:vAlign w:val="center"/>
          </w:tcPr>
          <w:p w14:paraId="3A44EB2C" w14:textId="31EA6DC6"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0,30 %</w:t>
            </w:r>
          </w:p>
        </w:tc>
        <w:tc>
          <w:tcPr>
            <w:tcW w:w="992" w:type="dxa"/>
            <w:tcBorders>
              <w:top w:val="nil"/>
              <w:left w:val="nil"/>
              <w:bottom w:val="single" w:sz="4" w:space="0" w:color="auto"/>
              <w:right w:val="single" w:sz="4" w:space="0" w:color="auto"/>
            </w:tcBorders>
            <w:shd w:val="clear" w:color="auto" w:fill="auto"/>
            <w:noWrap/>
            <w:vAlign w:val="center"/>
          </w:tcPr>
          <w:p w14:paraId="00FEC537" w14:textId="000C20F0" w:rsidR="00A479CA" w:rsidRPr="00A479CA" w:rsidRDefault="00A479CA" w:rsidP="00A479CA">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0,08 %</w:t>
            </w:r>
          </w:p>
        </w:tc>
      </w:tr>
      <w:tr w:rsidR="00A479CA" w:rsidRPr="00A479CA" w14:paraId="37B1D9FB" w14:textId="77777777" w:rsidTr="00A479CA">
        <w:trPr>
          <w:trHeight w:val="255"/>
        </w:trPr>
        <w:tc>
          <w:tcPr>
            <w:tcW w:w="53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DD2C7D" w14:textId="77777777" w:rsidR="00A479CA" w:rsidRPr="00A479CA" w:rsidRDefault="00A479CA" w:rsidP="00A479CA">
            <w:pPr>
              <w:spacing w:after="0" w:line="240" w:lineRule="auto"/>
              <w:rPr>
                <w:rFonts w:ascii="Arial" w:hAnsi="Arial" w:cs="Arial"/>
                <w:b/>
                <w:bCs/>
                <w:color w:val="000000" w:themeColor="text1"/>
                <w:sz w:val="18"/>
                <w:szCs w:val="18"/>
              </w:rPr>
            </w:pPr>
            <w:r w:rsidRPr="00A479CA">
              <w:rPr>
                <w:rFonts w:ascii="Arial" w:hAnsi="Arial" w:cs="Arial"/>
                <w:b/>
                <w:bCs/>
                <w:color w:val="000000" w:themeColor="text1"/>
                <w:sz w:val="18"/>
                <w:szCs w:val="18"/>
              </w:rPr>
              <w:t>Skupaj</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7100A3C1" w14:textId="2B4A186C" w:rsidR="00A479CA" w:rsidRPr="00A479CA" w:rsidRDefault="00A479CA" w:rsidP="00A479CA">
            <w:pPr>
              <w:spacing w:after="0" w:line="240" w:lineRule="auto"/>
              <w:jc w:val="right"/>
              <w:rPr>
                <w:rFonts w:ascii="Arial" w:hAnsi="Arial" w:cs="Arial"/>
                <w:b/>
                <w:bCs/>
                <w:color w:val="000000" w:themeColor="text1"/>
                <w:sz w:val="18"/>
                <w:szCs w:val="18"/>
              </w:rPr>
            </w:pPr>
            <w:r w:rsidRPr="00A479CA">
              <w:rPr>
                <w:rFonts w:ascii="Arial" w:hAnsi="Arial" w:cs="Arial"/>
                <w:b/>
                <w:bCs/>
                <w:color w:val="000000" w:themeColor="text1"/>
                <w:sz w:val="18"/>
                <w:szCs w:val="18"/>
              </w:rPr>
              <w:t>331</w:t>
            </w:r>
          </w:p>
        </w:tc>
        <w:tc>
          <w:tcPr>
            <w:tcW w:w="1061" w:type="dxa"/>
            <w:tcBorders>
              <w:top w:val="nil"/>
              <w:left w:val="nil"/>
              <w:bottom w:val="single" w:sz="4" w:space="0" w:color="auto"/>
              <w:right w:val="single" w:sz="4" w:space="0" w:color="auto"/>
            </w:tcBorders>
            <w:shd w:val="clear" w:color="auto" w:fill="F2F2F2" w:themeFill="background1" w:themeFillShade="F2"/>
            <w:noWrap/>
            <w:vAlign w:val="center"/>
          </w:tcPr>
          <w:p w14:paraId="409715FB" w14:textId="1FFF4516" w:rsidR="00A479CA" w:rsidRPr="00A479CA" w:rsidRDefault="00A479CA" w:rsidP="00A479CA">
            <w:pPr>
              <w:spacing w:after="0" w:line="240" w:lineRule="auto"/>
              <w:jc w:val="right"/>
              <w:rPr>
                <w:rFonts w:ascii="Arial" w:hAnsi="Arial" w:cs="Arial"/>
                <w:b/>
                <w:bCs/>
                <w:color w:val="000000" w:themeColor="text1"/>
                <w:sz w:val="18"/>
                <w:szCs w:val="18"/>
              </w:rPr>
            </w:pPr>
            <w:r w:rsidRPr="00A479CA">
              <w:rPr>
                <w:rFonts w:ascii="Arial" w:hAnsi="Arial" w:cs="Arial"/>
                <w:b/>
                <w:bCs/>
                <w:color w:val="000000" w:themeColor="text1"/>
                <w:sz w:val="18"/>
                <w:szCs w:val="18"/>
              </w:rPr>
              <w:t>62.403.444</w:t>
            </w:r>
          </w:p>
        </w:tc>
        <w:tc>
          <w:tcPr>
            <w:tcW w:w="1065" w:type="dxa"/>
            <w:tcBorders>
              <w:top w:val="nil"/>
              <w:left w:val="nil"/>
              <w:bottom w:val="single" w:sz="4" w:space="0" w:color="auto"/>
              <w:right w:val="single" w:sz="4" w:space="0" w:color="auto"/>
            </w:tcBorders>
            <w:shd w:val="clear" w:color="auto" w:fill="F2F2F2" w:themeFill="background1" w:themeFillShade="F2"/>
            <w:noWrap/>
            <w:vAlign w:val="center"/>
          </w:tcPr>
          <w:p w14:paraId="7F330330" w14:textId="09820CB7" w:rsidR="00A479CA" w:rsidRPr="00A479CA" w:rsidRDefault="00A479CA" w:rsidP="00A479CA">
            <w:pPr>
              <w:spacing w:after="0" w:line="240" w:lineRule="auto"/>
              <w:jc w:val="right"/>
              <w:rPr>
                <w:rFonts w:ascii="Arial" w:hAnsi="Arial" w:cs="Arial"/>
                <w:b/>
                <w:bCs/>
                <w:color w:val="000000" w:themeColor="text1"/>
                <w:sz w:val="18"/>
                <w:szCs w:val="18"/>
              </w:rPr>
            </w:pPr>
            <w:r w:rsidRPr="00A479CA">
              <w:rPr>
                <w:rFonts w:ascii="Arial" w:hAnsi="Arial" w:cs="Arial"/>
                <w:b/>
                <w:bCs/>
                <w:color w:val="000000" w:themeColor="text1"/>
                <w:sz w:val="18"/>
                <w:szCs w:val="18"/>
              </w:rPr>
              <w:t>1,97 %</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630E53CD" w14:textId="6C583442" w:rsidR="00A479CA" w:rsidRPr="00A479CA" w:rsidRDefault="00A479CA" w:rsidP="00A479CA">
            <w:pPr>
              <w:spacing w:after="0" w:line="240" w:lineRule="auto"/>
              <w:jc w:val="right"/>
              <w:rPr>
                <w:rFonts w:ascii="Arial" w:hAnsi="Arial" w:cs="Arial"/>
                <w:b/>
                <w:bCs/>
                <w:color w:val="000000" w:themeColor="text1"/>
                <w:sz w:val="18"/>
                <w:szCs w:val="18"/>
              </w:rPr>
            </w:pPr>
            <w:r w:rsidRPr="00A479CA">
              <w:rPr>
                <w:rFonts w:ascii="Arial" w:hAnsi="Arial" w:cs="Arial"/>
                <w:b/>
                <w:bCs/>
                <w:color w:val="000000" w:themeColor="text1"/>
                <w:sz w:val="18"/>
                <w:szCs w:val="18"/>
              </w:rPr>
              <w:t>1,00 %</w:t>
            </w:r>
          </w:p>
        </w:tc>
      </w:tr>
    </w:tbl>
    <w:p w14:paraId="3D044B59" w14:textId="77777777" w:rsidR="004C60C0" w:rsidRPr="00A479CA" w:rsidRDefault="004C60C0" w:rsidP="004C60C0">
      <w:pPr>
        <w:spacing w:after="0" w:line="240" w:lineRule="auto"/>
        <w:rPr>
          <w:rFonts w:ascii="Arial" w:hAnsi="Arial" w:cs="Arial"/>
          <w:b/>
          <w:bCs/>
          <w:color w:val="000000" w:themeColor="text1"/>
          <w:sz w:val="18"/>
          <w:szCs w:val="18"/>
        </w:rPr>
      </w:pPr>
    </w:p>
    <w:p w14:paraId="776AB072" w14:textId="639635B1" w:rsidR="003A03FE" w:rsidRPr="00A479CA" w:rsidRDefault="003A03FE" w:rsidP="000D71AD">
      <w:pPr>
        <w:spacing w:after="120" w:line="240" w:lineRule="auto"/>
        <w:jc w:val="center"/>
        <w:rPr>
          <w:rFonts w:ascii="Arial" w:hAnsi="Arial" w:cs="Arial"/>
          <w:color w:val="000000" w:themeColor="text1"/>
          <w:sz w:val="18"/>
        </w:rPr>
      </w:pPr>
      <w:r w:rsidRPr="00A479CA">
        <w:rPr>
          <w:rFonts w:ascii="Arial" w:hAnsi="Arial" w:cs="Arial"/>
          <w:color w:val="000000" w:themeColor="text1"/>
          <w:sz w:val="18"/>
        </w:rPr>
        <w:t>Vir: Statistični podatki o javnih naro</w:t>
      </w:r>
      <w:r w:rsidR="00CA08C7" w:rsidRPr="00A479CA">
        <w:rPr>
          <w:rFonts w:ascii="Arial" w:hAnsi="Arial" w:cs="Arial"/>
          <w:color w:val="000000" w:themeColor="text1"/>
          <w:sz w:val="18"/>
        </w:rPr>
        <w:t>čilih, oddanih v letu 20</w:t>
      </w:r>
      <w:r w:rsidR="00CC4A1F" w:rsidRPr="00A479CA">
        <w:rPr>
          <w:rFonts w:ascii="Arial" w:hAnsi="Arial" w:cs="Arial"/>
          <w:color w:val="000000" w:themeColor="text1"/>
          <w:sz w:val="18"/>
        </w:rPr>
        <w:t>2</w:t>
      </w:r>
      <w:r w:rsidR="006B444F" w:rsidRPr="00A479CA">
        <w:rPr>
          <w:rFonts w:ascii="Arial" w:hAnsi="Arial" w:cs="Arial"/>
          <w:color w:val="000000" w:themeColor="text1"/>
          <w:sz w:val="18"/>
        </w:rPr>
        <w:t>3</w:t>
      </w:r>
      <w:r w:rsidR="00210A86" w:rsidRPr="00A479CA">
        <w:rPr>
          <w:rFonts w:ascii="Arial" w:hAnsi="Arial" w:cs="Arial"/>
          <w:color w:val="000000" w:themeColor="text1"/>
          <w:sz w:val="18"/>
        </w:rPr>
        <w:t>.</w:t>
      </w:r>
    </w:p>
    <w:p w14:paraId="13AF7F88" w14:textId="1140B92E" w:rsidR="00121807" w:rsidRPr="00637ACF" w:rsidRDefault="00121807" w:rsidP="00D94701">
      <w:pPr>
        <w:spacing w:after="0" w:line="240" w:lineRule="auto"/>
        <w:rPr>
          <w:rFonts w:ascii="Arial" w:eastAsiaTheme="majorEastAsia" w:hAnsi="Arial" w:cs="Arial"/>
          <w:color w:val="FF0000"/>
          <w:highlight w:val="yellow"/>
        </w:rPr>
      </w:pPr>
    </w:p>
    <w:p w14:paraId="518AA674" w14:textId="024106D3" w:rsidR="00AA714B" w:rsidRPr="001E5351" w:rsidRDefault="00AA714B" w:rsidP="007F3DA4">
      <w:pPr>
        <w:pStyle w:val="Naslov3"/>
      </w:pPr>
      <w:bookmarkStart w:id="18" w:name="_Toc175563853"/>
      <w:r w:rsidRPr="001E5351">
        <w:t>2.3.2 Postopki z objavo obvestila o javnem naročilu</w:t>
      </w:r>
      <w:bookmarkEnd w:id="18"/>
    </w:p>
    <w:p w14:paraId="4F20972B" w14:textId="77777777" w:rsidR="00AA714B" w:rsidRPr="001E5351" w:rsidRDefault="00AA714B" w:rsidP="00854405">
      <w:pPr>
        <w:pStyle w:val="ZADEVA"/>
        <w:jc w:val="both"/>
        <w:rPr>
          <w:rFonts w:cs="Arial"/>
          <w:b w:val="0"/>
          <w:color w:val="FF0000"/>
          <w:szCs w:val="20"/>
          <w:lang w:val="sl-SI"/>
        </w:rPr>
      </w:pPr>
    </w:p>
    <w:p w14:paraId="5E49828E" w14:textId="71E893F6" w:rsidR="00C77330" w:rsidRPr="00637ACF" w:rsidRDefault="00CB4520" w:rsidP="00E13581">
      <w:pPr>
        <w:tabs>
          <w:tab w:val="left" w:pos="567"/>
          <w:tab w:val="left" w:pos="993"/>
        </w:tabs>
        <w:spacing w:line="360" w:lineRule="auto"/>
        <w:jc w:val="both"/>
        <w:rPr>
          <w:rFonts w:ascii="Arial" w:hAnsi="Arial" w:cs="Arial"/>
          <w:bCs/>
          <w:color w:val="000000" w:themeColor="text1"/>
          <w:sz w:val="20"/>
          <w:szCs w:val="20"/>
          <w:highlight w:val="yellow"/>
        </w:rPr>
      </w:pPr>
      <w:r w:rsidRPr="001E5351">
        <w:rPr>
          <w:rFonts w:ascii="Arial" w:hAnsi="Arial" w:cs="Arial"/>
          <w:bCs/>
          <w:color w:val="000000" w:themeColor="text1"/>
          <w:sz w:val="20"/>
          <w:szCs w:val="20"/>
        </w:rPr>
        <w:t>Naročniki so</w:t>
      </w:r>
      <w:r w:rsidR="00C95540" w:rsidRPr="001E5351">
        <w:rPr>
          <w:rFonts w:ascii="Arial" w:hAnsi="Arial" w:cs="Arial"/>
          <w:bCs/>
          <w:color w:val="000000" w:themeColor="text1"/>
          <w:sz w:val="20"/>
          <w:szCs w:val="20"/>
        </w:rPr>
        <w:t xml:space="preserve"> </w:t>
      </w:r>
      <w:r w:rsidRPr="001E5351">
        <w:rPr>
          <w:rFonts w:ascii="Arial" w:hAnsi="Arial" w:cs="Arial"/>
          <w:bCs/>
          <w:color w:val="000000" w:themeColor="text1"/>
          <w:sz w:val="20"/>
          <w:szCs w:val="20"/>
        </w:rPr>
        <w:t>l</w:t>
      </w:r>
      <w:r w:rsidR="00EC39E3" w:rsidRPr="001E5351">
        <w:rPr>
          <w:rFonts w:ascii="Arial" w:hAnsi="Arial" w:cs="Arial"/>
          <w:bCs/>
          <w:color w:val="000000" w:themeColor="text1"/>
          <w:sz w:val="20"/>
          <w:szCs w:val="20"/>
        </w:rPr>
        <w:t>et</w:t>
      </w:r>
      <w:r w:rsidR="00EC1BBF" w:rsidRPr="001E5351">
        <w:rPr>
          <w:rFonts w:ascii="Arial" w:hAnsi="Arial" w:cs="Arial"/>
          <w:bCs/>
          <w:color w:val="000000" w:themeColor="text1"/>
          <w:sz w:val="20"/>
          <w:szCs w:val="20"/>
        </w:rPr>
        <w:t>a</w:t>
      </w:r>
      <w:r w:rsidR="00EC39E3" w:rsidRPr="001E5351">
        <w:rPr>
          <w:rFonts w:ascii="Arial" w:hAnsi="Arial" w:cs="Arial"/>
          <w:bCs/>
          <w:color w:val="000000" w:themeColor="text1"/>
          <w:sz w:val="20"/>
          <w:szCs w:val="20"/>
        </w:rPr>
        <w:t xml:space="preserve"> 20</w:t>
      </w:r>
      <w:r w:rsidR="00684D27" w:rsidRPr="001E5351">
        <w:rPr>
          <w:rFonts w:ascii="Arial" w:hAnsi="Arial" w:cs="Arial"/>
          <w:bCs/>
          <w:color w:val="000000" w:themeColor="text1"/>
          <w:sz w:val="20"/>
          <w:szCs w:val="20"/>
        </w:rPr>
        <w:t>2</w:t>
      </w:r>
      <w:r w:rsidR="00817138" w:rsidRPr="001E5351">
        <w:rPr>
          <w:rFonts w:ascii="Arial" w:hAnsi="Arial" w:cs="Arial"/>
          <w:bCs/>
          <w:color w:val="000000" w:themeColor="text1"/>
          <w:sz w:val="20"/>
          <w:szCs w:val="20"/>
        </w:rPr>
        <w:t>3</w:t>
      </w:r>
      <w:r w:rsidR="00EC39E3" w:rsidRPr="001E5351">
        <w:rPr>
          <w:rFonts w:ascii="Arial" w:hAnsi="Arial" w:cs="Arial"/>
          <w:bCs/>
          <w:color w:val="000000" w:themeColor="text1"/>
          <w:sz w:val="20"/>
          <w:szCs w:val="20"/>
        </w:rPr>
        <w:t xml:space="preserve"> v </w:t>
      </w:r>
      <w:r w:rsidR="00817138" w:rsidRPr="001E5351">
        <w:rPr>
          <w:rFonts w:ascii="Arial" w:hAnsi="Arial" w:cs="Arial"/>
          <w:bCs/>
          <w:color w:val="000000" w:themeColor="text1"/>
          <w:sz w:val="20"/>
          <w:szCs w:val="20"/>
        </w:rPr>
        <w:t>6</w:t>
      </w:r>
      <w:r w:rsidR="00E75447" w:rsidRPr="001E5351">
        <w:rPr>
          <w:rFonts w:ascii="Arial" w:hAnsi="Arial" w:cs="Arial"/>
          <w:bCs/>
          <w:color w:val="000000" w:themeColor="text1"/>
          <w:sz w:val="20"/>
          <w:szCs w:val="20"/>
        </w:rPr>
        <w:t>.</w:t>
      </w:r>
      <w:r w:rsidR="00817138" w:rsidRPr="001E5351">
        <w:rPr>
          <w:rFonts w:ascii="Arial" w:hAnsi="Arial" w:cs="Arial"/>
          <w:bCs/>
          <w:color w:val="000000" w:themeColor="text1"/>
          <w:sz w:val="20"/>
          <w:szCs w:val="20"/>
        </w:rPr>
        <w:t>46</w:t>
      </w:r>
      <w:r w:rsidR="001E5351" w:rsidRPr="001E5351">
        <w:rPr>
          <w:rFonts w:ascii="Arial" w:hAnsi="Arial" w:cs="Arial"/>
          <w:bCs/>
          <w:color w:val="000000" w:themeColor="text1"/>
          <w:sz w:val="20"/>
          <w:szCs w:val="20"/>
        </w:rPr>
        <w:t>1</w:t>
      </w:r>
      <w:r w:rsidR="00E13581" w:rsidRPr="001E5351">
        <w:rPr>
          <w:rFonts w:ascii="Arial" w:hAnsi="Arial" w:cs="Arial"/>
          <w:bCs/>
          <w:color w:val="000000" w:themeColor="text1"/>
          <w:sz w:val="20"/>
          <w:szCs w:val="20"/>
        </w:rPr>
        <w:t xml:space="preserve"> postopkih javnega naročanja</w:t>
      </w:r>
      <w:r w:rsidR="00C77330" w:rsidRPr="001E5351">
        <w:rPr>
          <w:rFonts w:ascii="Arial" w:hAnsi="Arial" w:cs="Arial"/>
          <w:bCs/>
          <w:color w:val="000000" w:themeColor="text1"/>
          <w:sz w:val="20"/>
          <w:szCs w:val="20"/>
        </w:rPr>
        <w:t xml:space="preserve"> </w:t>
      </w:r>
      <w:r w:rsidR="005634E1" w:rsidRPr="001E5351">
        <w:rPr>
          <w:rFonts w:ascii="Arial" w:hAnsi="Arial" w:cs="Arial"/>
          <w:bCs/>
          <w:color w:val="000000" w:themeColor="text1"/>
          <w:sz w:val="20"/>
          <w:szCs w:val="20"/>
        </w:rPr>
        <w:t xml:space="preserve">oddali </w:t>
      </w:r>
      <w:r w:rsidR="00C77330" w:rsidRPr="001E5351">
        <w:rPr>
          <w:rFonts w:ascii="Arial" w:hAnsi="Arial" w:cs="Arial"/>
          <w:bCs/>
          <w:color w:val="000000" w:themeColor="text1"/>
          <w:sz w:val="20"/>
          <w:szCs w:val="20"/>
        </w:rPr>
        <w:t>naročil</w:t>
      </w:r>
      <w:r w:rsidR="00E13581" w:rsidRPr="001E5351">
        <w:rPr>
          <w:rFonts w:ascii="Arial" w:hAnsi="Arial" w:cs="Arial"/>
          <w:bCs/>
          <w:color w:val="000000" w:themeColor="text1"/>
          <w:sz w:val="20"/>
          <w:szCs w:val="20"/>
        </w:rPr>
        <w:t>a</w:t>
      </w:r>
      <w:r w:rsidR="007E151F" w:rsidRPr="001E5351">
        <w:rPr>
          <w:rFonts w:ascii="Arial" w:hAnsi="Arial" w:cs="Arial"/>
          <w:bCs/>
          <w:color w:val="000000" w:themeColor="text1"/>
          <w:sz w:val="20"/>
          <w:szCs w:val="20"/>
        </w:rPr>
        <w:t>,</w:t>
      </w:r>
      <w:r w:rsidR="00E13581" w:rsidRPr="001E5351">
        <w:rPr>
          <w:rFonts w:ascii="Arial" w:hAnsi="Arial" w:cs="Arial"/>
          <w:bCs/>
          <w:color w:val="000000" w:themeColor="text1"/>
          <w:sz w:val="20"/>
          <w:szCs w:val="20"/>
        </w:rPr>
        <w:t xml:space="preserve"> za katera so predhodno objavili obvestil</w:t>
      </w:r>
      <w:r w:rsidR="005634E1" w:rsidRPr="001E5351">
        <w:rPr>
          <w:rFonts w:ascii="Arial" w:hAnsi="Arial" w:cs="Arial"/>
          <w:bCs/>
          <w:color w:val="000000" w:themeColor="text1"/>
          <w:sz w:val="20"/>
          <w:szCs w:val="20"/>
        </w:rPr>
        <w:t>o</w:t>
      </w:r>
      <w:r w:rsidR="00E13581" w:rsidRPr="001E5351">
        <w:rPr>
          <w:rFonts w:ascii="Arial" w:hAnsi="Arial" w:cs="Arial"/>
          <w:bCs/>
          <w:color w:val="000000" w:themeColor="text1"/>
          <w:sz w:val="20"/>
          <w:szCs w:val="20"/>
        </w:rPr>
        <w:t xml:space="preserve"> o javnem naročilu,</w:t>
      </w:r>
      <w:r w:rsidR="00C77330" w:rsidRPr="001E5351">
        <w:rPr>
          <w:rFonts w:ascii="Arial" w:hAnsi="Arial" w:cs="Arial"/>
          <w:bCs/>
          <w:color w:val="000000" w:themeColor="text1"/>
          <w:sz w:val="20"/>
          <w:szCs w:val="20"/>
        </w:rPr>
        <w:t xml:space="preserve"> kar </w:t>
      </w:r>
      <w:r w:rsidR="002C0157" w:rsidRPr="001E5351">
        <w:rPr>
          <w:rFonts w:ascii="Arial" w:hAnsi="Arial" w:cs="Arial"/>
          <w:bCs/>
          <w:color w:val="000000" w:themeColor="text1"/>
          <w:sz w:val="20"/>
          <w:szCs w:val="20"/>
        </w:rPr>
        <w:t xml:space="preserve">je </w:t>
      </w:r>
      <w:r w:rsidR="00817138" w:rsidRPr="001E5351">
        <w:rPr>
          <w:rFonts w:ascii="Arial" w:hAnsi="Arial" w:cs="Arial"/>
          <w:bCs/>
          <w:color w:val="000000" w:themeColor="text1"/>
          <w:sz w:val="20"/>
          <w:szCs w:val="20"/>
        </w:rPr>
        <w:t>90,3</w:t>
      </w:r>
      <w:r w:rsidR="00303A20" w:rsidRPr="001E5351">
        <w:rPr>
          <w:rFonts w:ascii="Arial" w:hAnsi="Arial" w:cs="Arial"/>
          <w:bCs/>
          <w:color w:val="000000" w:themeColor="text1"/>
          <w:sz w:val="20"/>
          <w:szCs w:val="20"/>
        </w:rPr>
        <w:t>6</w:t>
      </w:r>
      <w:r w:rsidR="00210A86" w:rsidRPr="001E5351">
        <w:rPr>
          <w:rFonts w:ascii="Arial" w:hAnsi="Arial" w:cs="Arial"/>
          <w:bCs/>
          <w:color w:val="000000" w:themeColor="text1"/>
          <w:sz w:val="20"/>
          <w:szCs w:val="20"/>
        </w:rPr>
        <w:t> </w:t>
      </w:r>
      <w:r w:rsidR="00AC0027" w:rsidRPr="001E5351">
        <w:rPr>
          <w:rFonts w:ascii="Arial" w:hAnsi="Arial" w:cs="Arial"/>
          <w:bCs/>
          <w:color w:val="000000" w:themeColor="text1"/>
          <w:sz w:val="20"/>
          <w:szCs w:val="20"/>
        </w:rPr>
        <w:t>odstotka</w:t>
      </w:r>
      <w:r w:rsidR="00E8515A" w:rsidRPr="001E5351">
        <w:rPr>
          <w:rFonts w:ascii="Arial" w:hAnsi="Arial" w:cs="Arial"/>
          <w:bCs/>
          <w:color w:val="000000" w:themeColor="text1"/>
          <w:sz w:val="20"/>
          <w:szCs w:val="20"/>
        </w:rPr>
        <w:t xml:space="preserve"> </w:t>
      </w:r>
      <w:r w:rsidR="00C77330" w:rsidRPr="001E5351">
        <w:rPr>
          <w:rFonts w:ascii="Arial" w:hAnsi="Arial" w:cs="Arial"/>
          <w:bCs/>
          <w:color w:val="000000" w:themeColor="text1"/>
          <w:sz w:val="20"/>
          <w:szCs w:val="20"/>
        </w:rPr>
        <w:t>vseh</w:t>
      </w:r>
      <w:r w:rsidR="00162CA3" w:rsidRPr="001E5351">
        <w:rPr>
          <w:rFonts w:ascii="Arial" w:hAnsi="Arial" w:cs="Arial"/>
          <w:bCs/>
          <w:color w:val="000000" w:themeColor="text1"/>
          <w:sz w:val="20"/>
          <w:szCs w:val="20"/>
        </w:rPr>
        <w:t xml:space="preserve"> </w:t>
      </w:r>
      <w:r w:rsidR="00C77330" w:rsidRPr="001E5351">
        <w:rPr>
          <w:rFonts w:ascii="Arial" w:hAnsi="Arial" w:cs="Arial"/>
          <w:bCs/>
          <w:color w:val="000000" w:themeColor="text1"/>
          <w:sz w:val="20"/>
          <w:szCs w:val="20"/>
        </w:rPr>
        <w:t>postopkov</w:t>
      </w:r>
      <w:r w:rsidR="007E151F" w:rsidRPr="001E5351">
        <w:rPr>
          <w:rFonts w:ascii="Arial" w:hAnsi="Arial" w:cs="Arial"/>
          <w:bCs/>
          <w:color w:val="000000" w:themeColor="text1"/>
          <w:sz w:val="20"/>
          <w:szCs w:val="20"/>
        </w:rPr>
        <w:t>,</w:t>
      </w:r>
      <w:r w:rsidR="00C77330" w:rsidRPr="001E5351">
        <w:rPr>
          <w:rFonts w:ascii="Arial" w:hAnsi="Arial" w:cs="Arial"/>
          <w:bCs/>
          <w:color w:val="000000" w:themeColor="text1"/>
          <w:sz w:val="20"/>
          <w:szCs w:val="20"/>
        </w:rPr>
        <w:t xml:space="preserve"> v katerih so bila oddana naročila, </w:t>
      </w:r>
      <w:r w:rsidR="00817138" w:rsidRPr="001E5351">
        <w:rPr>
          <w:rFonts w:ascii="Arial" w:hAnsi="Arial" w:cs="Arial"/>
          <w:bCs/>
          <w:color w:val="000000" w:themeColor="text1"/>
          <w:sz w:val="20"/>
          <w:szCs w:val="20"/>
        </w:rPr>
        <w:t>95,19</w:t>
      </w:r>
      <w:r w:rsidR="002978BA" w:rsidRPr="001E5351">
        <w:rPr>
          <w:rFonts w:ascii="Arial" w:hAnsi="Arial" w:cs="Arial"/>
          <w:bCs/>
          <w:color w:val="000000" w:themeColor="text1"/>
          <w:sz w:val="20"/>
          <w:szCs w:val="20"/>
        </w:rPr>
        <w:t> </w:t>
      </w:r>
      <w:r w:rsidR="00AC0027" w:rsidRPr="001E5351">
        <w:rPr>
          <w:rFonts w:ascii="Arial" w:hAnsi="Arial" w:cs="Arial"/>
          <w:bCs/>
          <w:color w:val="000000" w:themeColor="text1"/>
          <w:sz w:val="20"/>
          <w:szCs w:val="20"/>
        </w:rPr>
        <w:t>odstotka</w:t>
      </w:r>
      <w:r w:rsidR="00C77330" w:rsidRPr="001E5351">
        <w:rPr>
          <w:rFonts w:ascii="Arial" w:hAnsi="Arial" w:cs="Arial"/>
          <w:bCs/>
          <w:color w:val="000000" w:themeColor="text1"/>
          <w:sz w:val="20"/>
          <w:szCs w:val="20"/>
        </w:rPr>
        <w:t xml:space="preserve"> vseh</w:t>
      </w:r>
      <w:r w:rsidR="00162CA3" w:rsidRPr="001E5351">
        <w:rPr>
          <w:rFonts w:ascii="Arial" w:hAnsi="Arial" w:cs="Arial"/>
          <w:bCs/>
          <w:color w:val="000000" w:themeColor="text1"/>
          <w:sz w:val="20"/>
          <w:szCs w:val="20"/>
        </w:rPr>
        <w:t xml:space="preserve"> </w:t>
      </w:r>
      <w:r w:rsidR="00C77330" w:rsidRPr="001E5351">
        <w:rPr>
          <w:rFonts w:ascii="Arial" w:hAnsi="Arial" w:cs="Arial"/>
          <w:bCs/>
          <w:color w:val="000000" w:themeColor="text1"/>
          <w:sz w:val="20"/>
          <w:szCs w:val="20"/>
        </w:rPr>
        <w:t xml:space="preserve">oddanih naročil in </w:t>
      </w:r>
      <w:r w:rsidR="009B406E" w:rsidRPr="001E5351">
        <w:rPr>
          <w:rFonts w:ascii="Arial" w:hAnsi="Arial" w:cs="Arial"/>
          <w:bCs/>
          <w:color w:val="000000" w:themeColor="text1"/>
          <w:sz w:val="20"/>
          <w:szCs w:val="20"/>
        </w:rPr>
        <w:t>9</w:t>
      </w:r>
      <w:r w:rsidR="00817138" w:rsidRPr="001E5351">
        <w:rPr>
          <w:rFonts w:ascii="Arial" w:hAnsi="Arial" w:cs="Arial"/>
          <w:bCs/>
          <w:color w:val="000000" w:themeColor="text1"/>
          <w:sz w:val="20"/>
          <w:szCs w:val="20"/>
        </w:rPr>
        <w:t>1,</w:t>
      </w:r>
      <w:r w:rsidR="007F3DA4" w:rsidRPr="001E5351">
        <w:rPr>
          <w:rFonts w:ascii="Arial" w:hAnsi="Arial" w:cs="Arial"/>
          <w:bCs/>
          <w:color w:val="000000" w:themeColor="text1"/>
          <w:sz w:val="20"/>
          <w:szCs w:val="20"/>
        </w:rPr>
        <w:t>21</w:t>
      </w:r>
      <w:r w:rsidR="00210A86" w:rsidRPr="001E5351">
        <w:rPr>
          <w:rFonts w:ascii="Arial" w:hAnsi="Arial" w:cs="Arial"/>
          <w:bCs/>
          <w:color w:val="000000" w:themeColor="text1"/>
          <w:sz w:val="20"/>
          <w:szCs w:val="20"/>
        </w:rPr>
        <w:t> </w:t>
      </w:r>
      <w:r w:rsidR="00AC0027" w:rsidRPr="001E5351">
        <w:rPr>
          <w:rFonts w:ascii="Arial" w:hAnsi="Arial" w:cs="Arial"/>
          <w:bCs/>
          <w:color w:val="000000" w:themeColor="text1"/>
          <w:sz w:val="20"/>
          <w:szCs w:val="20"/>
        </w:rPr>
        <w:t>odstotka</w:t>
      </w:r>
      <w:r w:rsidR="00E8515A" w:rsidRPr="001E5351">
        <w:rPr>
          <w:rFonts w:ascii="Arial" w:hAnsi="Arial" w:cs="Arial"/>
          <w:bCs/>
          <w:color w:val="000000" w:themeColor="text1"/>
          <w:sz w:val="20"/>
          <w:szCs w:val="20"/>
        </w:rPr>
        <w:t xml:space="preserve"> </w:t>
      </w:r>
      <w:r w:rsidR="00C77330" w:rsidRPr="001E5351">
        <w:rPr>
          <w:rFonts w:ascii="Arial" w:hAnsi="Arial" w:cs="Arial"/>
          <w:bCs/>
          <w:color w:val="000000" w:themeColor="text1"/>
          <w:sz w:val="20"/>
          <w:szCs w:val="20"/>
        </w:rPr>
        <w:t xml:space="preserve">vrednosti </w:t>
      </w:r>
      <w:r w:rsidR="005634E1" w:rsidRPr="001E5351">
        <w:rPr>
          <w:rFonts w:ascii="Arial" w:hAnsi="Arial" w:cs="Arial"/>
          <w:bCs/>
          <w:color w:val="000000" w:themeColor="text1"/>
          <w:sz w:val="20"/>
          <w:szCs w:val="20"/>
        </w:rPr>
        <w:t>vseh</w:t>
      </w:r>
      <w:r w:rsidR="00162CA3" w:rsidRPr="001E5351">
        <w:rPr>
          <w:rFonts w:ascii="Arial" w:hAnsi="Arial" w:cs="Arial"/>
          <w:bCs/>
          <w:color w:val="000000" w:themeColor="text1"/>
          <w:sz w:val="20"/>
          <w:szCs w:val="20"/>
        </w:rPr>
        <w:t xml:space="preserve"> </w:t>
      </w:r>
      <w:r w:rsidR="00C77330" w:rsidRPr="001E5351">
        <w:rPr>
          <w:rFonts w:ascii="Arial" w:hAnsi="Arial" w:cs="Arial"/>
          <w:bCs/>
          <w:color w:val="000000" w:themeColor="text1"/>
          <w:sz w:val="20"/>
          <w:szCs w:val="20"/>
        </w:rPr>
        <w:t xml:space="preserve">oddanih naročil. </w:t>
      </w:r>
    </w:p>
    <w:p w14:paraId="369DC1AA" w14:textId="3954593F" w:rsidR="00C77330" w:rsidRPr="001E5351" w:rsidRDefault="00C77330" w:rsidP="00AC3909">
      <w:pPr>
        <w:spacing w:before="120" w:after="120" w:line="240" w:lineRule="auto"/>
        <w:jc w:val="both"/>
        <w:rPr>
          <w:rFonts w:ascii="Arial" w:hAnsi="Arial" w:cs="Arial"/>
          <w:color w:val="000000" w:themeColor="text1"/>
          <w:sz w:val="20"/>
        </w:rPr>
      </w:pPr>
      <w:r w:rsidRPr="001E5351">
        <w:rPr>
          <w:rFonts w:ascii="Arial" w:hAnsi="Arial" w:cs="Arial"/>
          <w:color w:val="000000" w:themeColor="text1"/>
          <w:sz w:val="20"/>
        </w:rPr>
        <w:t xml:space="preserve">Preglednica </w:t>
      </w:r>
      <w:r w:rsidR="00E430F6" w:rsidRPr="001E5351">
        <w:rPr>
          <w:rFonts w:ascii="Arial" w:hAnsi="Arial" w:cs="Arial"/>
          <w:color w:val="000000" w:themeColor="text1"/>
          <w:sz w:val="20"/>
        </w:rPr>
        <w:t>1</w:t>
      </w:r>
      <w:r w:rsidR="00EB4423" w:rsidRPr="001E5351">
        <w:rPr>
          <w:rFonts w:ascii="Arial" w:hAnsi="Arial" w:cs="Arial"/>
          <w:color w:val="000000" w:themeColor="text1"/>
          <w:sz w:val="20"/>
        </w:rPr>
        <w:t>0</w:t>
      </w:r>
      <w:r w:rsidRPr="001E5351">
        <w:rPr>
          <w:rFonts w:ascii="Arial" w:hAnsi="Arial" w:cs="Arial"/>
          <w:color w:val="000000" w:themeColor="text1"/>
          <w:sz w:val="20"/>
        </w:rPr>
        <w:t xml:space="preserve">: </w:t>
      </w:r>
      <w:r w:rsidR="00E13581" w:rsidRPr="001E5351">
        <w:rPr>
          <w:rFonts w:ascii="Arial" w:hAnsi="Arial" w:cs="Arial"/>
          <w:color w:val="000000" w:themeColor="text1"/>
          <w:sz w:val="20"/>
        </w:rPr>
        <w:t>Objavljeni postopki, naročila in njihova vrednost ter deleži glede na vrsto postopk</w:t>
      </w:r>
      <w:r w:rsidR="00756490" w:rsidRPr="001E5351">
        <w:rPr>
          <w:rFonts w:ascii="Arial" w:hAnsi="Arial" w:cs="Arial"/>
          <w:color w:val="000000" w:themeColor="text1"/>
          <w:sz w:val="20"/>
        </w:rPr>
        <w:t>a</w:t>
      </w:r>
      <w:r w:rsidRPr="001E5351">
        <w:rPr>
          <w:rFonts w:ascii="Arial" w:hAnsi="Arial" w:cs="Arial"/>
          <w:color w:val="000000" w:themeColor="text1"/>
          <w:sz w:val="20"/>
        </w:rPr>
        <w:t xml:space="preserve"> </w:t>
      </w:r>
    </w:p>
    <w:tbl>
      <w:tblPr>
        <w:tblW w:w="9631" w:type="dxa"/>
        <w:tblCellMar>
          <w:left w:w="70" w:type="dxa"/>
          <w:right w:w="70" w:type="dxa"/>
        </w:tblCellMar>
        <w:tblLook w:val="04A0" w:firstRow="1" w:lastRow="0" w:firstColumn="1" w:lastColumn="0" w:noHBand="0" w:noVBand="1"/>
      </w:tblPr>
      <w:tblGrid>
        <w:gridCol w:w="2547"/>
        <w:gridCol w:w="992"/>
        <w:gridCol w:w="992"/>
        <w:gridCol w:w="1418"/>
        <w:gridCol w:w="1276"/>
        <w:gridCol w:w="1134"/>
        <w:gridCol w:w="1272"/>
      </w:tblGrid>
      <w:tr w:rsidR="007F3DA4" w:rsidRPr="001E5351" w14:paraId="3F21B769" w14:textId="77777777" w:rsidTr="00C90281">
        <w:trPr>
          <w:trHeight w:val="252"/>
        </w:trPr>
        <w:tc>
          <w:tcPr>
            <w:tcW w:w="254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2A46B0" w14:textId="77777777" w:rsidR="00C90281" w:rsidRPr="001E5351" w:rsidRDefault="00C90281" w:rsidP="00C90281">
            <w:pPr>
              <w:spacing w:after="0" w:line="240" w:lineRule="auto"/>
              <w:jc w:val="center"/>
              <w:rPr>
                <w:rFonts w:ascii="Arial" w:hAnsi="Arial" w:cs="Arial"/>
                <w:color w:val="000000" w:themeColor="text1"/>
                <w:sz w:val="18"/>
                <w:szCs w:val="18"/>
              </w:rPr>
            </w:pPr>
            <w:r w:rsidRPr="001E5351">
              <w:rPr>
                <w:rFonts w:ascii="Arial" w:hAnsi="Arial" w:cs="Arial"/>
                <w:color w:val="000000" w:themeColor="text1"/>
                <w:sz w:val="18"/>
                <w:szCs w:val="18"/>
              </w:rPr>
              <w:t>Vrsta postopka</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51E6B5B6" w14:textId="77777777" w:rsidR="00C90281" w:rsidRPr="001E5351" w:rsidRDefault="00C90281" w:rsidP="00C90281">
            <w:pPr>
              <w:spacing w:after="0" w:line="240" w:lineRule="auto"/>
              <w:jc w:val="center"/>
              <w:rPr>
                <w:rFonts w:ascii="Arial" w:hAnsi="Arial" w:cs="Arial"/>
                <w:color w:val="000000" w:themeColor="text1"/>
                <w:sz w:val="18"/>
                <w:szCs w:val="18"/>
              </w:rPr>
            </w:pPr>
            <w:r w:rsidRPr="001E5351">
              <w:rPr>
                <w:rFonts w:ascii="Arial" w:hAnsi="Arial" w:cs="Arial"/>
                <w:color w:val="000000" w:themeColor="text1"/>
                <w:sz w:val="18"/>
                <w:szCs w:val="18"/>
              </w:rPr>
              <w:t>Št. postopkov</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1AD5F6EA" w14:textId="77777777" w:rsidR="00C90281" w:rsidRPr="001E5351" w:rsidRDefault="00C90281" w:rsidP="00C90281">
            <w:pPr>
              <w:spacing w:after="0" w:line="240" w:lineRule="auto"/>
              <w:jc w:val="center"/>
              <w:rPr>
                <w:rFonts w:ascii="Arial" w:hAnsi="Arial" w:cs="Arial"/>
                <w:color w:val="000000" w:themeColor="text1"/>
                <w:sz w:val="18"/>
                <w:szCs w:val="18"/>
              </w:rPr>
            </w:pPr>
            <w:r w:rsidRPr="001E5351">
              <w:rPr>
                <w:rFonts w:ascii="Arial" w:hAnsi="Arial" w:cs="Arial"/>
                <w:color w:val="000000" w:themeColor="text1"/>
                <w:sz w:val="18"/>
                <w:szCs w:val="18"/>
              </w:rPr>
              <w:t>Št. naročil</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1D6E22C9" w14:textId="37256058" w:rsidR="00C90281" w:rsidRPr="001E5351" w:rsidRDefault="00C90281" w:rsidP="00C90281">
            <w:pPr>
              <w:spacing w:after="0" w:line="240" w:lineRule="auto"/>
              <w:jc w:val="center"/>
              <w:rPr>
                <w:rFonts w:ascii="Arial" w:hAnsi="Arial" w:cs="Arial"/>
                <w:color w:val="000000" w:themeColor="text1"/>
                <w:sz w:val="18"/>
                <w:szCs w:val="18"/>
              </w:rPr>
            </w:pPr>
            <w:r w:rsidRPr="001E5351">
              <w:rPr>
                <w:rFonts w:ascii="Arial" w:hAnsi="Arial" w:cs="Arial"/>
                <w:color w:val="000000" w:themeColor="text1"/>
                <w:sz w:val="18"/>
                <w:szCs w:val="18"/>
              </w:rPr>
              <w:t>Pogodbena vrednost</w:t>
            </w:r>
            <w:r w:rsidR="00864791" w:rsidRPr="001E5351">
              <w:rPr>
                <w:rFonts w:ascii="Arial" w:hAnsi="Arial" w:cs="Arial"/>
                <w:color w:val="000000" w:themeColor="text1"/>
                <w:sz w:val="18"/>
                <w:szCs w:val="18"/>
              </w:rPr>
              <w:t xml:space="preserve"> </w:t>
            </w:r>
            <w:r w:rsidR="00864791" w:rsidRPr="001E5351">
              <w:rPr>
                <w:rFonts w:ascii="Arial" w:eastAsia="Times New Roman" w:hAnsi="Arial" w:cs="Arial"/>
                <w:color w:val="000000" w:themeColor="text1"/>
                <w:sz w:val="18"/>
                <w:szCs w:val="18"/>
                <w:lang w:eastAsia="sl-SI"/>
              </w:rPr>
              <w:t>(v EUR)</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25394034" w14:textId="77777777" w:rsidR="00C90281" w:rsidRPr="001E5351" w:rsidRDefault="00C90281" w:rsidP="00C90281">
            <w:pPr>
              <w:spacing w:after="0" w:line="240" w:lineRule="auto"/>
              <w:jc w:val="center"/>
              <w:rPr>
                <w:rFonts w:ascii="Arial" w:hAnsi="Arial" w:cs="Arial"/>
                <w:color w:val="000000" w:themeColor="text1"/>
                <w:sz w:val="18"/>
                <w:szCs w:val="18"/>
              </w:rPr>
            </w:pPr>
            <w:r w:rsidRPr="001E5351">
              <w:rPr>
                <w:rFonts w:ascii="Arial" w:hAnsi="Arial" w:cs="Arial"/>
                <w:color w:val="000000" w:themeColor="text1"/>
                <w:sz w:val="18"/>
                <w:szCs w:val="18"/>
              </w:rPr>
              <w:t>Delež v št. postopkov</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2060D3CC" w14:textId="77777777" w:rsidR="00C90281" w:rsidRPr="001E5351" w:rsidRDefault="00C90281" w:rsidP="00C90281">
            <w:pPr>
              <w:spacing w:after="0" w:line="240" w:lineRule="auto"/>
              <w:jc w:val="center"/>
              <w:rPr>
                <w:rFonts w:ascii="Arial" w:hAnsi="Arial" w:cs="Arial"/>
                <w:color w:val="000000" w:themeColor="text1"/>
                <w:sz w:val="18"/>
                <w:szCs w:val="18"/>
              </w:rPr>
            </w:pPr>
            <w:r w:rsidRPr="001E5351">
              <w:rPr>
                <w:rFonts w:ascii="Arial" w:hAnsi="Arial" w:cs="Arial"/>
                <w:color w:val="000000" w:themeColor="text1"/>
                <w:sz w:val="18"/>
                <w:szCs w:val="18"/>
              </w:rPr>
              <w:t>Delež v št. naročil</w:t>
            </w:r>
          </w:p>
        </w:tc>
        <w:tc>
          <w:tcPr>
            <w:tcW w:w="1272" w:type="dxa"/>
            <w:tcBorders>
              <w:top w:val="single" w:sz="4" w:space="0" w:color="auto"/>
              <w:left w:val="nil"/>
              <w:bottom w:val="single" w:sz="4" w:space="0" w:color="auto"/>
              <w:right w:val="single" w:sz="4" w:space="0" w:color="auto"/>
            </w:tcBorders>
            <w:shd w:val="clear" w:color="000000" w:fill="F2F2F2"/>
            <w:vAlign w:val="center"/>
            <w:hideMark/>
          </w:tcPr>
          <w:p w14:paraId="3DAA08D5" w14:textId="77777777" w:rsidR="00C90281" w:rsidRPr="001E5351" w:rsidRDefault="00C90281" w:rsidP="00C90281">
            <w:pPr>
              <w:spacing w:after="0" w:line="240" w:lineRule="auto"/>
              <w:jc w:val="center"/>
              <w:rPr>
                <w:rFonts w:ascii="Arial" w:hAnsi="Arial" w:cs="Arial"/>
                <w:color w:val="000000" w:themeColor="text1"/>
                <w:sz w:val="18"/>
                <w:szCs w:val="18"/>
              </w:rPr>
            </w:pPr>
            <w:r w:rsidRPr="001E5351">
              <w:rPr>
                <w:rFonts w:ascii="Arial" w:hAnsi="Arial" w:cs="Arial"/>
                <w:color w:val="000000" w:themeColor="text1"/>
                <w:sz w:val="18"/>
                <w:szCs w:val="18"/>
              </w:rPr>
              <w:t>Delež v vrednosti</w:t>
            </w:r>
          </w:p>
        </w:tc>
      </w:tr>
      <w:tr w:rsidR="001E5351" w:rsidRPr="001E5351" w14:paraId="7E34E904" w14:textId="77777777" w:rsidTr="001E535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B85FD6E" w14:textId="77777777" w:rsidR="001E5351" w:rsidRPr="001E5351" w:rsidRDefault="001E5351" w:rsidP="001E5351">
            <w:pPr>
              <w:spacing w:after="0" w:line="240" w:lineRule="auto"/>
              <w:rPr>
                <w:rFonts w:ascii="Arial" w:hAnsi="Arial" w:cs="Arial"/>
                <w:color w:val="000000" w:themeColor="text1"/>
                <w:sz w:val="18"/>
                <w:szCs w:val="18"/>
              </w:rPr>
            </w:pPr>
            <w:r w:rsidRPr="001E5351">
              <w:rPr>
                <w:rFonts w:ascii="Arial" w:hAnsi="Arial" w:cs="Arial"/>
                <w:color w:val="000000" w:themeColor="text1"/>
                <w:sz w:val="18"/>
                <w:szCs w:val="18"/>
              </w:rPr>
              <w:t>Konkurenčni dialog</w:t>
            </w:r>
          </w:p>
        </w:tc>
        <w:tc>
          <w:tcPr>
            <w:tcW w:w="992" w:type="dxa"/>
            <w:tcBorders>
              <w:top w:val="nil"/>
              <w:left w:val="nil"/>
              <w:bottom w:val="single" w:sz="4" w:space="0" w:color="auto"/>
              <w:right w:val="single" w:sz="4" w:space="0" w:color="auto"/>
            </w:tcBorders>
            <w:shd w:val="clear" w:color="auto" w:fill="auto"/>
            <w:noWrap/>
            <w:vAlign w:val="center"/>
            <w:hideMark/>
          </w:tcPr>
          <w:p w14:paraId="2E5826F9" w14:textId="4B5A6E14"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18</w:t>
            </w:r>
          </w:p>
        </w:tc>
        <w:tc>
          <w:tcPr>
            <w:tcW w:w="992" w:type="dxa"/>
            <w:tcBorders>
              <w:top w:val="nil"/>
              <w:left w:val="nil"/>
              <w:bottom w:val="single" w:sz="4" w:space="0" w:color="auto"/>
              <w:right w:val="single" w:sz="4" w:space="0" w:color="auto"/>
            </w:tcBorders>
            <w:shd w:val="clear" w:color="auto" w:fill="auto"/>
            <w:noWrap/>
            <w:vAlign w:val="center"/>
            <w:hideMark/>
          </w:tcPr>
          <w:p w14:paraId="06DBF946" w14:textId="47EBDFBE"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18</w:t>
            </w:r>
          </w:p>
        </w:tc>
        <w:tc>
          <w:tcPr>
            <w:tcW w:w="1418" w:type="dxa"/>
            <w:tcBorders>
              <w:top w:val="nil"/>
              <w:left w:val="nil"/>
              <w:bottom w:val="single" w:sz="4" w:space="0" w:color="auto"/>
              <w:right w:val="single" w:sz="4" w:space="0" w:color="auto"/>
            </w:tcBorders>
            <w:shd w:val="clear" w:color="auto" w:fill="auto"/>
            <w:noWrap/>
            <w:vAlign w:val="center"/>
            <w:hideMark/>
          </w:tcPr>
          <w:p w14:paraId="3FF6AB9A" w14:textId="16436734"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225.308.336</w:t>
            </w:r>
          </w:p>
        </w:tc>
        <w:tc>
          <w:tcPr>
            <w:tcW w:w="1276" w:type="dxa"/>
            <w:tcBorders>
              <w:top w:val="nil"/>
              <w:left w:val="nil"/>
              <w:bottom w:val="single" w:sz="4" w:space="0" w:color="auto"/>
              <w:right w:val="single" w:sz="4" w:space="0" w:color="auto"/>
            </w:tcBorders>
            <w:shd w:val="clear" w:color="auto" w:fill="auto"/>
            <w:noWrap/>
            <w:vAlign w:val="center"/>
          </w:tcPr>
          <w:p w14:paraId="7521FD1F" w14:textId="1636F1D3"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0,28 %</w:t>
            </w:r>
          </w:p>
        </w:tc>
        <w:tc>
          <w:tcPr>
            <w:tcW w:w="1134" w:type="dxa"/>
            <w:tcBorders>
              <w:top w:val="nil"/>
              <w:left w:val="nil"/>
              <w:bottom w:val="single" w:sz="4" w:space="0" w:color="auto"/>
              <w:right w:val="single" w:sz="4" w:space="0" w:color="auto"/>
            </w:tcBorders>
            <w:shd w:val="clear" w:color="auto" w:fill="auto"/>
            <w:noWrap/>
            <w:vAlign w:val="center"/>
          </w:tcPr>
          <w:p w14:paraId="33F887B9" w14:textId="5F9B58D2"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0,11 %</w:t>
            </w:r>
          </w:p>
        </w:tc>
        <w:tc>
          <w:tcPr>
            <w:tcW w:w="1272" w:type="dxa"/>
            <w:tcBorders>
              <w:top w:val="nil"/>
              <w:left w:val="nil"/>
              <w:bottom w:val="single" w:sz="4" w:space="0" w:color="auto"/>
              <w:right w:val="single" w:sz="4" w:space="0" w:color="auto"/>
            </w:tcBorders>
            <w:shd w:val="clear" w:color="auto" w:fill="auto"/>
            <w:noWrap/>
            <w:vAlign w:val="center"/>
          </w:tcPr>
          <w:p w14:paraId="607B889D" w14:textId="7A1EE4F0"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3,96 %</w:t>
            </w:r>
          </w:p>
        </w:tc>
      </w:tr>
      <w:tr w:rsidR="001E5351" w:rsidRPr="001E5351" w14:paraId="052A733F" w14:textId="77777777" w:rsidTr="001E535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EDC3391" w14:textId="77777777" w:rsidR="001E5351" w:rsidRPr="001E5351" w:rsidRDefault="001E5351" w:rsidP="001E5351">
            <w:pPr>
              <w:spacing w:after="0" w:line="240" w:lineRule="auto"/>
              <w:rPr>
                <w:rFonts w:ascii="Arial" w:hAnsi="Arial" w:cs="Arial"/>
                <w:color w:val="000000" w:themeColor="text1"/>
                <w:sz w:val="18"/>
                <w:szCs w:val="18"/>
              </w:rPr>
            </w:pPr>
            <w:r w:rsidRPr="001E5351">
              <w:rPr>
                <w:rFonts w:ascii="Arial" w:hAnsi="Arial" w:cs="Arial"/>
                <w:color w:val="000000" w:themeColor="text1"/>
                <w:sz w:val="18"/>
                <w:szCs w:val="18"/>
              </w:rPr>
              <w:t>Konkurenčni postopek s pogajanji</w:t>
            </w:r>
          </w:p>
        </w:tc>
        <w:tc>
          <w:tcPr>
            <w:tcW w:w="992" w:type="dxa"/>
            <w:tcBorders>
              <w:top w:val="nil"/>
              <w:left w:val="nil"/>
              <w:bottom w:val="single" w:sz="4" w:space="0" w:color="auto"/>
              <w:right w:val="single" w:sz="4" w:space="0" w:color="auto"/>
            </w:tcBorders>
            <w:shd w:val="clear" w:color="auto" w:fill="auto"/>
            <w:noWrap/>
            <w:vAlign w:val="center"/>
            <w:hideMark/>
          </w:tcPr>
          <w:p w14:paraId="70B317EA" w14:textId="197C17D2"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79</w:t>
            </w:r>
          </w:p>
        </w:tc>
        <w:tc>
          <w:tcPr>
            <w:tcW w:w="992" w:type="dxa"/>
            <w:tcBorders>
              <w:top w:val="nil"/>
              <w:left w:val="nil"/>
              <w:bottom w:val="single" w:sz="4" w:space="0" w:color="auto"/>
              <w:right w:val="single" w:sz="4" w:space="0" w:color="auto"/>
            </w:tcBorders>
            <w:shd w:val="clear" w:color="auto" w:fill="auto"/>
            <w:noWrap/>
            <w:vAlign w:val="center"/>
            <w:hideMark/>
          </w:tcPr>
          <w:p w14:paraId="21A96ED6" w14:textId="519B5FEC"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134</w:t>
            </w:r>
          </w:p>
        </w:tc>
        <w:tc>
          <w:tcPr>
            <w:tcW w:w="1418" w:type="dxa"/>
            <w:tcBorders>
              <w:top w:val="nil"/>
              <w:left w:val="nil"/>
              <w:bottom w:val="single" w:sz="4" w:space="0" w:color="auto"/>
              <w:right w:val="single" w:sz="4" w:space="0" w:color="auto"/>
            </w:tcBorders>
            <w:shd w:val="clear" w:color="auto" w:fill="auto"/>
            <w:noWrap/>
            <w:vAlign w:val="center"/>
            <w:hideMark/>
          </w:tcPr>
          <w:p w14:paraId="7C0DC0E9" w14:textId="4F9D8C4B"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139.681.422</w:t>
            </w:r>
          </w:p>
        </w:tc>
        <w:tc>
          <w:tcPr>
            <w:tcW w:w="1276" w:type="dxa"/>
            <w:tcBorders>
              <w:top w:val="nil"/>
              <w:left w:val="nil"/>
              <w:bottom w:val="single" w:sz="4" w:space="0" w:color="auto"/>
              <w:right w:val="single" w:sz="4" w:space="0" w:color="auto"/>
            </w:tcBorders>
            <w:shd w:val="clear" w:color="auto" w:fill="auto"/>
            <w:noWrap/>
            <w:vAlign w:val="center"/>
          </w:tcPr>
          <w:p w14:paraId="36AE9B30" w14:textId="0C0DB9B3"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1,22 %</w:t>
            </w:r>
          </w:p>
        </w:tc>
        <w:tc>
          <w:tcPr>
            <w:tcW w:w="1134" w:type="dxa"/>
            <w:tcBorders>
              <w:top w:val="nil"/>
              <w:left w:val="nil"/>
              <w:bottom w:val="single" w:sz="4" w:space="0" w:color="auto"/>
              <w:right w:val="single" w:sz="4" w:space="0" w:color="auto"/>
            </w:tcBorders>
            <w:shd w:val="clear" w:color="auto" w:fill="auto"/>
            <w:noWrap/>
            <w:vAlign w:val="center"/>
          </w:tcPr>
          <w:p w14:paraId="638453AE" w14:textId="746AC4AA"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0,84 %</w:t>
            </w:r>
          </w:p>
        </w:tc>
        <w:tc>
          <w:tcPr>
            <w:tcW w:w="1272" w:type="dxa"/>
            <w:tcBorders>
              <w:top w:val="nil"/>
              <w:left w:val="nil"/>
              <w:bottom w:val="single" w:sz="4" w:space="0" w:color="auto"/>
              <w:right w:val="single" w:sz="4" w:space="0" w:color="auto"/>
            </w:tcBorders>
            <w:shd w:val="clear" w:color="auto" w:fill="auto"/>
            <w:noWrap/>
            <w:vAlign w:val="center"/>
          </w:tcPr>
          <w:p w14:paraId="668B32D8" w14:textId="221D0566"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2,46 %</w:t>
            </w:r>
          </w:p>
        </w:tc>
      </w:tr>
      <w:tr w:rsidR="001E5351" w:rsidRPr="001E5351" w14:paraId="3E60CD28" w14:textId="77777777" w:rsidTr="001E535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893E525" w14:textId="77777777" w:rsidR="001E5351" w:rsidRPr="001E5351" w:rsidRDefault="001E5351" w:rsidP="001E5351">
            <w:pPr>
              <w:spacing w:after="0" w:line="240" w:lineRule="auto"/>
              <w:rPr>
                <w:rFonts w:ascii="Arial" w:hAnsi="Arial" w:cs="Arial"/>
                <w:color w:val="000000" w:themeColor="text1"/>
                <w:sz w:val="18"/>
                <w:szCs w:val="18"/>
              </w:rPr>
            </w:pPr>
            <w:r w:rsidRPr="001E5351">
              <w:rPr>
                <w:rFonts w:ascii="Arial" w:hAnsi="Arial" w:cs="Arial"/>
                <w:color w:val="000000" w:themeColor="text1"/>
                <w:sz w:val="18"/>
                <w:szCs w:val="18"/>
              </w:rPr>
              <w:t>Odprti postopek</w:t>
            </w:r>
          </w:p>
        </w:tc>
        <w:tc>
          <w:tcPr>
            <w:tcW w:w="992" w:type="dxa"/>
            <w:tcBorders>
              <w:top w:val="nil"/>
              <w:left w:val="nil"/>
              <w:bottom w:val="single" w:sz="4" w:space="0" w:color="auto"/>
              <w:right w:val="single" w:sz="4" w:space="0" w:color="auto"/>
            </w:tcBorders>
            <w:shd w:val="clear" w:color="auto" w:fill="auto"/>
            <w:noWrap/>
            <w:vAlign w:val="center"/>
            <w:hideMark/>
          </w:tcPr>
          <w:p w14:paraId="6CCA8B30" w14:textId="4BB53B11"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eastAsia="Times New Roman" w:hAnsi="Arial" w:cs="Arial"/>
                <w:color w:val="000000" w:themeColor="text1"/>
                <w:sz w:val="18"/>
                <w:szCs w:val="18"/>
                <w:lang w:eastAsia="sl-SI"/>
              </w:rPr>
              <w:t>1.984</w:t>
            </w:r>
          </w:p>
        </w:tc>
        <w:tc>
          <w:tcPr>
            <w:tcW w:w="992" w:type="dxa"/>
            <w:tcBorders>
              <w:top w:val="nil"/>
              <w:left w:val="nil"/>
              <w:bottom w:val="single" w:sz="4" w:space="0" w:color="auto"/>
              <w:right w:val="single" w:sz="4" w:space="0" w:color="auto"/>
            </w:tcBorders>
            <w:shd w:val="clear" w:color="auto" w:fill="auto"/>
            <w:noWrap/>
            <w:vAlign w:val="center"/>
            <w:hideMark/>
          </w:tcPr>
          <w:p w14:paraId="314AACF8" w14:textId="7A33DCAD"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eastAsia="Times New Roman" w:hAnsi="Arial" w:cs="Arial"/>
                <w:color w:val="000000" w:themeColor="text1"/>
                <w:sz w:val="18"/>
                <w:szCs w:val="18"/>
                <w:lang w:eastAsia="sl-SI"/>
              </w:rPr>
              <w:t>8.591</w:t>
            </w:r>
          </w:p>
        </w:tc>
        <w:tc>
          <w:tcPr>
            <w:tcW w:w="1418" w:type="dxa"/>
            <w:tcBorders>
              <w:top w:val="nil"/>
              <w:left w:val="nil"/>
              <w:bottom w:val="single" w:sz="4" w:space="0" w:color="auto"/>
              <w:right w:val="single" w:sz="4" w:space="0" w:color="auto"/>
            </w:tcBorders>
            <w:shd w:val="clear" w:color="auto" w:fill="auto"/>
            <w:noWrap/>
            <w:vAlign w:val="center"/>
            <w:hideMark/>
          </w:tcPr>
          <w:p w14:paraId="18DA7BBD" w14:textId="1E0381BB"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eastAsia="Times New Roman" w:hAnsi="Arial" w:cs="Arial"/>
                <w:color w:val="000000" w:themeColor="text1"/>
                <w:sz w:val="18"/>
                <w:szCs w:val="18"/>
                <w:lang w:eastAsia="sl-SI"/>
              </w:rPr>
              <w:t>3.443.460.762</w:t>
            </w:r>
          </w:p>
        </w:tc>
        <w:tc>
          <w:tcPr>
            <w:tcW w:w="1276" w:type="dxa"/>
            <w:tcBorders>
              <w:top w:val="nil"/>
              <w:left w:val="nil"/>
              <w:bottom w:val="single" w:sz="4" w:space="0" w:color="auto"/>
              <w:right w:val="single" w:sz="4" w:space="0" w:color="auto"/>
            </w:tcBorders>
            <w:shd w:val="clear" w:color="auto" w:fill="auto"/>
            <w:noWrap/>
            <w:vAlign w:val="center"/>
          </w:tcPr>
          <w:p w14:paraId="10C9CCBE" w14:textId="0E52B361"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30,71 %</w:t>
            </w:r>
          </w:p>
        </w:tc>
        <w:tc>
          <w:tcPr>
            <w:tcW w:w="1134" w:type="dxa"/>
            <w:tcBorders>
              <w:top w:val="nil"/>
              <w:left w:val="nil"/>
              <w:bottom w:val="single" w:sz="4" w:space="0" w:color="auto"/>
              <w:right w:val="single" w:sz="4" w:space="0" w:color="auto"/>
            </w:tcBorders>
            <w:shd w:val="clear" w:color="auto" w:fill="auto"/>
            <w:noWrap/>
            <w:vAlign w:val="center"/>
          </w:tcPr>
          <w:p w14:paraId="28C048A7" w14:textId="5BBF55FC"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53,65 %</w:t>
            </w:r>
          </w:p>
        </w:tc>
        <w:tc>
          <w:tcPr>
            <w:tcW w:w="1272" w:type="dxa"/>
            <w:tcBorders>
              <w:top w:val="nil"/>
              <w:left w:val="nil"/>
              <w:bottom w:val="single" w:sz="4" w:space="0" w:color="auto"/>
              <w:right w:val="single" w:sz="4" w:space="0" w:color="auto"/>
            </w:tcBorders>
            <w:shd w:val="clear" w:color="auto" w:fill="auto"/>
            <w:noWrap/>
            <w:vAlign w:val="center"/>
          </w:tcPr>
          <w:p w14:paraId="73AFE7E9" w14:textId="365A070B"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60,57 %</w:t>
            </w:r>
          </w:p>
        </w:tc>
      </w:tr>
      <w:tr w:rsidR="001E5351" w:rsidRPr="001E5351" w14:paraId="3DC8E659" w14:textId="77777777" w:rsidTr="001E535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2AB4695" w14:textId="77777777" w:rsidR="001E5351" w:rsidRPr="001E5351" w:rsidRDefault="001E5351" w:rsidP="001E5351">
            <w:pPr>
              <w:spacing w:after="0" w:line="240" w:lineRule="auto"/>
              <w:rPr>
                <w:rFonts w:ascii="Arial" w:hAnsi="Arial" w:cs="Arial"/>
                <w:color w:val="000000" w:themeColor="text1"/>
                <w:sz w:val="18"/>
                <w:szCs w:val="18"/>
              </w:rPr>
            </w:pPr>
            <w:r w:rsidRPr="001E5351">
              <w:rPr>
                <w:rFonts w:ascii="Arial" w:hAnsi="Arial" w:cs="Arial"/>
                <w:color w:val="000000" w:themeColor="text1"/>
                <w:sz w:val="18"/>
                <w:szCs w:val="18"/>
              </w:rPr>
              <w:t>Omejeni postopek</w:t>
            </w:r>
          </w:p>
        </w:tc>
        <w:tc>
          <w:tcPr>
            <w:tcW w:w="992" w:type="dxa"/>
            <w:tcBorders>
              <w:top w:val="nil"/>
              <w:left w:val="nil"/>
              <w:bottom w:val="single" w:sz="4" w:space="0" w:color="auto"/>
              <w:right w:val="single" w:sz="4" w:space="0" w:color="auto"/>
            </w:tcBorders>
            <w:shd w:val="clear" w:color="auto" w:fill="auto"/>
            <w:noWrap/>
            <w:vAlign w:val="center"/>
            <w:hideMark/>
          </w:tcPr>
          <w:p w14:paraId="1FBF8DCF" w14:textId="11BAAA06"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396</w:t>
            </w:r>
          </w:p>
        </w:tc>
        <w:tc>
          <w:tcPr>
            <w:tcW w:w="992" w:type="dxa"/>
            <w:tcBorders>
              <w:top w:val="nil"/>
              <w:left w:val="nil"/>
              <w:bottom w:val="single" w:sz="4" w:space="0" w:color="auto"/>
              <w:right w:val="single" w:sz="4" w:space="0" w:color="auto"/>
            </w:tcBorders>
            <w:shd w:val="clear" w:color="auto" w:fill="auto"/>
            <w:noWrap/>
            <w:vAlign w:val="center"/>
            <w:hideMark/>
          </w:tcPr>
          <w:p w14:paraId="12B00336" w14:textId="0622F619"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792</w:t>
            </w:r>
          </w:p>
        </w:tc>
        <w:tc>
          <w:tcPr>
            <w:tcW w:w="1418" w:type="dxa"/>
            <w:tcBorders>
              <w:top w:val="nil"/>
              <w:left w:val="nil"/>
              <w:bottom w:val="single" w:sz="4" w:space="0" w:color="auto"/>
              <w:right w:val="single" w:sz="4" w:space="0" w:color="auto"/>
            </w:tcBorders>
            <w:shd w:val="clear" w:color="auto" w:fill="auto"/>
            <w:noWrap/>
            <w:vAlign w:val="center"/>
            <w:hideMark/>
          </w:tcPr>
          <w:p w14:paraId="0577ED43" w14:textId="322E4679"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750.755.059</w:t>
            </w:r>
          </w:p>
        </w:tc>
        <w:tc>
          <w:tcPr>
            <w:tcW w:w="1276" w:type="dxa"/>
            <w:tcBorders>
              <w:top w:val="nil"/>
              <w:left w:val="nil"/>
              <w:bottom w:val="single" w:sz="4" w:space="0" w:color="auto"/>
              <w:right w:val="single" w:sz="4" w:space="0" w:color="auto"/>
            </w:tcBorders>
            <w:shd w:val="clear" w:color="auto" w:fill="auto"/>
            <w:noWrap/>
            <w:vAlign w:val="center"/>
          </w:tcPr>
          <w:p w14:paraId="64D5D11E" w14:textId="705405DF"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6,13 %</w:t>
            </w:r>
          </w:p>
        </w:tc>
        <w:tc>
          <w:tcPr>
            <w:tcW w:w="1134" w:type="dxa"/>
            <w:tcBorders>
              <w:top w:val="nil"/>
              <w:left w:val="nil"/>
              <w:bottom w:val="single" w:sz="4" w:space="0" w:color="auto"/>
              <w:right w:val="single" w:sz="4" w:space="0" w:color="auto"/>
            </w:tcBorders>
            <w:shd w:val="clear" w:color="auto" w:fill="auto"/>
            <w:noWrap/>
            <w:vAlign w:val="center"/>
          </w:tcPr>
          <w:p w14:paraId="79C46B6C" w14:textId="5334FF09"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4,95 %</w:t>
            </w:r>
          </w:p>
        </w:tc>
        <w:tc>
          <w:tcPr>
            <w:tcW w:w="1272" w:type="dxa"/>
            <w:tcBorders>
              <w:top w:val="nil"/>
              <w:left w:val="nil"/>
              <w:bottom w:val="single" w:sz="4" w:space="0" w:color="auto"/>
              <w:right w:val="single" w:sz="4" w:space="0" w:color="auto"/>
            </w:tcBorders>
            <w:shd w:val="clear" w:color="auto" w:fill="auto"/>
            <w:noWrap/>
            <w:vAlign w:val="center"/>
          </w:tcPr>
          <w:p w14:paraId="7F5A1447" w14:textId="40E15F63"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13,21 %</w:t>
            </w:r>
          </w:p>
        </w:tc>
      </w:tr>
      <w:tr w:rsidR="001E5351" w:rsidRPr="001E5351" w14:paraId="08DEC12C" w14:textId="77777777" w:rsidTr="001E535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F39B63A" w14:textId="7FA94367" w:rsidR="001E5351" w:rsidRPr="001E5351" w:rsidRDefault="001E5351" w:rsidP="001E5351">
            <w:pPr>
              <w:spacing w:after="0" w:line="240" w:lineRule="auto"/>
              <w:rPr>
                <w:rFonts w:ascii="Arial" w:hAnsi="Arial" w:cs="Arial"/>
                <w:color w:val="000000" w:themeColor="text1"/>
                <w:sz w:val="18"/>
                <w:szCs w:val="18"/>
              </w:rPr>
            </w:pPr>
            <w:r w:rsidRPr="001E5351">
              <w:rPr>
                <w:rFonts w:ascii="Arial" w:hAnsi="Arial" w:cs="Arial"/>
                <w:color w:val="000000" w:themeColor="text1"/>
                <w:sz w:val="18"/>
                <w:szCs w:val="18"/>
              </w:rPr>
              <w:t>Postopek naročila male vrednosti</w:t>
            </w:r>
          </w:p>
        </w:tc>
        <w:tc>
          <w:tcPr>
            <w:tcW w:w="992" w:type="dxa"/>
            <w:tcBorders>
              <w:top w:val="nil"/>
              <w:left w:val="nil"/>
              <w:bottom w:val="single" w:sz="4" w:space="0" w:color="auto"/>
              <w:right w:val="single" w:sz="4" w:space="0" w:color="auto"/>
            </w:tcBorders>
            <w:shd w:val="clear" w:color="auto" w:fill="auto"/>
            <w:noWrap/>
            <w:vAlign w:val="center"/>
          </w:tcPr>
          <w:p w14:paraId="4410BD5D" w14:textId="39858C18"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eastAsia="Times New Roman" w:hAnsi="Arial" w:cs="Arial"/>
                <w:color w:val="000000" w:themeColor="text1"/>
                <w:sz w:val="18"/>
                <w:szCs w:val="18"/>
                <w:lang w:eastAsia="sl-SI"/>
              </w:rPr>
              <w:t>3.804</w:t>
            </w:r>
          </w:p>
        </w:tc>
        <w:tc>
          <w:tcPr>
            <w:tcW w:w="992" w:type="dxa"/>
            <w:tcBorders>
              <w:top w:val="nil"/>
              <w:left w:val="nil"/>
              <w:bottom w:val="single" w:sz="4" w:space="0" w:color="auto"/>
              <w:right w:val="single" w:sz="4" w:space="0" w:color="auto"/>
            </w:tcBorders>
            <w:shd w:val="clear" w:color="auto" w:fill="auto"/>
            <w:noWrap/>
            <w:vAlign w:val="center"/>
          </w:tcPr>
          <w:p w14:paraId="513D8102" w14:textId="535C512E"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eastAsia="Times New Roman" w:hAnsi="Arial" w:cs="Arial"/>
                <w:color w:val="000000" w:themeColor="text1"/>
                <w:sz w:val="18"/>
                <w:szCs w:val="18"/>
                <w:lang w:eastAsia="sl-SI"/>
              </w:rPr>
              <w:t>6.127</w:t>
            </w:r>
          </w:p>
        </w:tc>
        <w:tc>
          <w:tcPr>
            <w:tcW w:w="1418" w:type="dxa"/>
            <w:tcBorders>
              <w:top w:val="nil"/>
              <w:left w:val="nil"/>
              <w:bottom w:val="single" w:sz="4" w:space="0" w:color="auto"/>
              <w:right w:val="single" w:sz="4" w:space="0" w:color="auto"/>
            </w:tcBorders>
            <w:shd w:val="clear" w:color="auto" w:fill="auto"/>
            <w:noWrap/>
            <w:vAlign w:val="center"/>
          </w:tcPr>
          <w:p w14:paraId="3F8B1CF7" w14:textId="17A33119"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eastAsia="Times New Roman" w:hAnsi="Arial" w:cs="Arial"/>
                <w:color w:val="000000" w:themeColor="text1"/>
                <w:sz w:val="18"/>
                <w:szCs w:val="18"/>
                <w:lang w:eastAsia="sl-SI"/>
              </w:rPr>
              <w:t>810.563.068</w:t>
            </w:r>
          </w:p>
        </w:tc>
        <w:tc>
          <w:tcPr>
            <w:tcW w:w="1276" w:type="dxa"/>
            <w:tcBorders>
              <w:top w:val="nil"/>
              <w:left w:val="nil"/>
              <w:bottom w:val="single" w:sz="4" w:space="0" w:color="auto"/>
              <w:right w:val="single" w:sz="4" w:space="0" w:color="auto"/>
            </w:tcBorders>
            <w:shd w:val="clear" w:color="auto" w:fill="auto"/>
            <w:noWrap/>
            <w:vAlign w:val="center"/>
          </w:tcPr>
          <w:p w14:paraId="56E31781" w14:textId="44FD3E00"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58,88 %</w:t>
            </w:r>
          </w:p>
        </w:tc>
        <w:tc>
          <w:tcPr>
            <w:tcW w:w="1134" w:type="dxa"/>
            <w:tcBorders>
              <w:top w:val="nil"/>
              <w:left w:val="nil"/>
              <w:bottom w:val="single" w:sz="4" w:space="0" w:color="auto"/>
              <w:right w:val="single" w:sz="4" w:space="0" w:color="auto"/>
            </w:tcBorders>
            <w:shd w:val="clear" w:color="auto" w:fill="auto"/>
            <w:noWrap/>
            <w:vAlign w:val="center"/>
          </w:tcPr>
          <w:p w14:paraId="61099FA8" w14:textId="3A05B426"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38,26 %</w:t>
            </w:r>
          </w:p>
        </w:tc>
        <w:tc>
          <w:tcPr>
            <w:tcW w:w="1272" w:type="dxa"/>
            <w:tcBorders>
              <w:top w:val="nil"/>
              <w:left w:val="nil"/>
              <w:bottom w:val="single" w:sz="4" w:space="0" w:color="auto"/>
              <w:right w:val="single" w:sz="4" w:space="0" w:color="auto"/>
            </w:tcBorders>
            <w:shd w:val="clear" w:color="auto" w:fill="auto"/>
            <w:noWrap/>
            <w:vAlign w:val="center"/>
          </w:tcPr>
          <w:p w14:paraId="493ECA2B" w14:textId="4286373E"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14,26 %</w:t>
            </w:r>
          </w:p>
        </w:tc>
      </w:tr>
      <w:tr w:rsidR="001E5351" w:rsidRPr="001E5351" w14:paraId="03E78078" w14:textId="77777777" w:rsidTr="001E535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4A55786" w14:textId="77777777" w:rsidR="001E5351" w:rsidRPr="001E5351" w:rsidRDefault="001E5351" w:rsidP="001E5351">
            <w:pPr>
              <w:spacing w:after="0" w:line="240" w:lineRule="auto"/>
              <w:rPr>
                <w:rFonts w:ascii="Arial" w:hAnsi="Arial" w:cs="Arial"/>
                <w:color w:val="000000" w:themeColor="text1"/>
                <w:sz w:val="18"/>
                <w:szCs w:val="18"/>
              </w:rPr>
            </w:pPr>
            <w:r w:rsidRPr="001E5351">
              <w:rPr>
                <w:rFonts w:ascii="Arial" w:hAnsi="Arial" w:cs="Arial"/>
                <w:color w:val="000000" w:themeColor="text1"/>
                <w:sz w:val="18"/>
                <w:szCs w:val="18"/>
              </w:rPr>
              <w:t>Postopek s pogajanji po predhodni objavi</w:t>
            </w:r>
          </w:p>
        </w:tc>
        <w:tc>
          <w:tcPr>
            <w:tcW w:w="992" w:type="dxa"/>
            <w:tcBorders>
              <w:top w:val="nil"/>
              <w:left w:val="nil"/>
              <w:bottom w:val="single" w:sz="4" w:space="0" w:color="auto"/>
              <w:right w:val="single" w:sz="4" w:space="0" w:color="auto"/>
            </w:tcBorders>
            <w:shd w:val="clear" w:color="auto" w:fill="auto"/>
            <w:noWrap/>
            <w:vAlign w:val="center"/>
            <w:hideMark/>
          </w:tcPr>
          <w:p w14:paraId="361BA5C5" w14:textId="7C2AD944"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161</w:t>
            </w:r>
          </w:p>
        </w:tc>
        <w:tc>
          <w:tcPr>
            <w:tcW w:w="992" w:type="dxa"/>
            <w:tcBorders>
              <w:top w:val="nil"/>
              <w:left w:val="nil"/>
              <w:bottom w:val="single" w:sz="4" w:space="0" w:color="auto"/>
              <w:right w:val="single" w:sz="4" w:space="0" w:color="auto"/>
            </w:tcBorders>
            <w:shd w:val="clear" w:color="auto" w:fill="auto"/>
            <w:noWrap/>
            <w:vAlign w:val="center"/>
            <w:hideMark/>
          </w:tcPr>
          <w:p w14:paraId="5DB3343B" w14:textId="692B3752"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329</w:t>
            </w:r>
          </w:p>
        </w:tc>
        <w:tc>
          <w:tcPr>
            <w:tcW w:w="1418" w:type="dxa"/>
            <w:tcBorders>
              <w:top w:val="nil"/>
              <w:left w:val="nil"/>
              <w:bottom w:val="single" w:sz="4" w:space="0" w:color="auto"/>
              <w:right w:val="single" w:sz="4" w:space="0" w:color="auto"/>
            </w:tcBorders>
            <w:shd w:val="clear" w:color="auto" w:fill="auto"/>
            <w:noWrap/>
            <w:vAlign w:val="center"/>
            <w:hideMark/>
          </w:tcPr>
          <w:p w14:paraId="3EE7A814" w14:textId="360F8979"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312.042.474</w:t>
            </w:r>
          </w:p>
        </w:tc>
        <w:tc>
          <w:tcPr>
            <w:tcW w:w="1276" w:type="dxa"/>
            <w:tcBorders>
              <w:top w:val="nil"/>
              <w:left w:val="nil"/>
              <w:bottom w:val="single" w:sz="4" w:space="0" w:color="auto"/>
              <w:right w:val="single" w:sz="4" w:space="0" w:color="auto"/>
            </w:tcBorders>
            <w:shd w:val="clear" w:color="auto" w:fill="auto"/>
            <w:noWrap/>
            <w:vAlign w:val="center"/>
          </w:tcPr>
          <w:p w14:paraId="5827EFA4" w14:textId="15B3AD62"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2,49 %</w:t>
            </w:r>
          </w:p>
        </w:tc>
        <w:tc>
          <w:tcPr>
            <w:tcW w:w="1134" w:type="dxa"/>
            <w:tcBorders>
              <w:top w:val="nil"/>
              <w:left w:val="nil"/>
              <w:bottom w:val="single" w:sz="4" w:space="0" w:color="auto"/>
              <w:right w:val="single" w:sz="4" w:space="0" w:color="auto"/>
            </w:tcBorders>
            <w:shd w:val="clear" w:color="auto" w:fill="auto"/>
            <w:noWrap/>
            <w:vAlign w:val="center"/>
          </w:tcPr>
          <w:p w14:paraId="0F214165" w14:textId="4ACDE26D"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2,05 %</w:t>
            </w:r>
          </w:p>
        </w:tc>
        <w:tc>
          <w:tcPr>
            <w:tcW w:w="1272" w:type="dxa"/>
            <w:tcBorders>
              <w:top w:val="nil"/>
              <w:left w:val="nil"/>
              <w:bottom w:val="single" w:sz="4" w:space="0" w:color="auto"/>
              <w:right w:val="single" w:sz="4" w:space="0" w:color="auto"/>
            </w:tcBorders>
            <w:shd w:val="clear" w:color="auto" w:fill="auto"/>
            <w:noWrap/>
            <w:vAlign w:val="center"/>
          </w:tcPr>
          <w:p w14:paraId="09D678DE" w14:textId="2301418F"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5,49 %</w:t>
            </w:r>
          </w:p>
        </w:tc>
      </w:tr>
      <w:tr w:rsidR="001E5351" w:rsidRPr="001E5351" w14:paraId="657D0B5E" w14:textId="77777777" w:rsidTr="001E5351">
        <w:trPr>
          <w:trHeight w:val="25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3382853" w14:textId="77777777" w:rsidR="001E5351" w:rsidRPr="001E5351" w:rsidRDefault="001E5351" w:rsidP="001E5351">
            <w:pPr>
              <w:spacing w:after="0" w:line="240" w:lineRule="auto"/>
              <w:rPr>
                <w:rFonts w:ascii="Arial" w:hAnsi="Arial" w:cs="Arial"/>
                <w:color w:val="000000" w:themeColor="text1"/>
                <w:sz w:val="18"/>
                <w:szCs w:val="18"/>
              </w:rPr>
            </w:pPr>
            <w:r w:rsidRPr="001E5351">
              <w:rPr>
                <w:rFonts w:ascii="Arial" w:hAnsi="Arial" w:cs="Arial"/>
                <w:color w:val="000000" w:themeColor="text1"/>
                <w:sz w:val="18"/>
                <w:szCs w:val="18"/>
              </w:rPr>
              <w:t>Postopek zbiranja ponudb po predhodni objavi</w:t>
            </w:r>
          </w:p>
        </w:tc>
        <w:tc>
          <w:tcPr>
            <w:tcW w:w="992" w:type="dxa"/>
            <w:tcBorders>
              <w:top w:val="nil"/>
              <w:left w:val="nil"/>
              <w:bottom w:val="single" w:sz="4" w:space="0" w:color="auto"/>
              <w:right w:val="single" w:sz="4" w:space="0" w:color="auto"/>
            </w:tcBorders>
            <w:shd w:val="clear" w:color="auto" w:fill="auto"/>
            <w:noWrap/>
            <w:vAlign w:val="center"/>
            <w:hideMark/>
          </w:tcPr>
          <w:p w14:paraId="7C6FE2D9" w14:textId="511938EA"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19</w:t>
            </w:r>
          </w:p>
        </w:tc>
        <w:tc>
          <w:tcPr>
            <w:tcW w:w="992" w:type="dxa"/>
            <w:tcBorders>
              <w:top w:val="nil"/>
              <w:left w:val="nil"/>
              <w:bottom w:val="single" w:sz="4" w:space="0" w:color="auto"/>
              <w:right w:val="single" w:sz="4" w:space="0" w:color="auto"/>
            </w:tcBorders>
            <w:shd w:val="clear" w:color="auto" w:fill="auto"/>
            <w:noWrap/>
            <w:vAlign w:val="center"/>
            <w:hideMark/>
          </w:tcPr>
          <w:p w14:paraId="6B5E91D8" w14:textId="2A864B44"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23</w:t>
            </w:r>
          </w:p>
        </w:tc>
        <w:tc>
          <w:tcPr>
            <w:tcW w:w="1418" w:type="dxa"/>
            <w:tcBorders>
              <w:top w:val="nil"/>
              <w:left w:val="nil"/>
              <w:bottom w:val="single" w:sz="4" w:space="0" w:color="auto"/>
              <w:right w:val="single" w:sz="4" w:space="0" w:color="auto"/>
            </w:tcBorders>
            <w:shd w:val="clear" w:color="auto" w:fill="auto"/>
            <w:noWrap/>
            <w:vAlign w:val="center"/>
            <w:hideMark/>
          </w:tcPr>
          <w:p w14:paraId="260E04C8" w14:textId="5B08B3F6"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2.850.365</w:t>
            </w:r>
          </w:p>
        </w:tc>
        <w:tc>
          <w:tcPr>
            <w:tcW w:w="1276" w:type="dxa"/>
            <w:tcBorders>
              <w:top w:val="nil"/>
              <w:left w:val="nil"/>
              <w:bottom w:val="single" w:sz="4" w:space="0" w:color="auto"/>
              <w:right w:val="single" w:sz="4" w:space="0" w:color="auto"/>
            </w:tcBorders>
            <w:shd w:val="clear" w:color="auto" w:fill="auto"/>
            <w:noWrap/>
            <w:vAlign w:val="center"/>
          </w:tcPr>
          <w:p w14:paraId="02DA2322" w14:textId="7410D756"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0,29 %</w:t>
            </w:r>
          </w:p>
        </w:tc>
        <w:tc>
          <w:tcPr>
            <w:tcW w:w="1134" w:type="dxa"/>
            <w:tcBorders>
              <w:top w:val="nil"/>
              <w:left w:val="nil"/>
              <w:bottom w:val="single" w:sz="4" w:space="0" w:color="auto"/>
              <w:right w:val="single" w:sz="4" w:space="0" w:color="auto"/>
            </w:tcBorders>
            <w:shd w:val="clear" w:color="auto" w:fill="auto"/>
            <w:noWrap/>
            <w:vAlign w:val="center"/>
          </w:tcPr>
          <w:p w14:paraId="058284DB" w14:textId="4547D75C"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0,14 %</w:t>
            </w:r>
          </w:p>
        </w:tc>
        <w:tc>
          <w:tcPr>
            <w:tcW w:w="1272" w:type="dxa"/>
            <w:tcBorders>
              <w:top w:val="nil"/>
              <w:left w:val="nil"/>
              <w:bottom w:val="single" w:sz="4" w:space="0" w:color="auto"/>
              <w:right w:val="single" w:sz="4" w:space="0" w:color="auto"/>
            </w:tcBorders>
            <w:shd w:val="clear" w:color="auto" w:fill="auto"/>
            <w:noWrap/>
            <w:vAlign w:val="center"/>
          </w:tcPr>
          <w:p w14:paraId="7B2F6D32" w14:textId="41D0AE3A" w:rsidR="001E5351" w:rsidRPr="001E5351" w:rsidRDefault="001E5351" w:rsidP="001E5351">
            <w:pPr>
              <w:spacing w:after="0" w:line="240" w:lineRule="auto"/>
              <w:jc w:val="right"/>
              <w:rPr>
                <w:rFonts w:ascii="Arial" w:hAnsi="Arial" w:cs="Arial"/>
                <w:color w:val="000000" w:themeColor="text1"/>
                <w:sz w:val="18"/>
                <w:szCs w:val="18"/>
              </w:rPr>
            </w:pPr>
            <w:r w:rsidRPr="001E5351">
              <w:rPr>
                <w:rFonts w:ascii="Arial" w:hAnsi="Arial" w:cs="Arial"/>
                <w:color w:val="000000" w:themeColor="text1"/>
                <w:sz w:val="18"/>
                <w:szCs w:val="18"/>
              </w:rPr>
              <w:t>0,05 %</w:t>
            </w:r>
          </w:p>
        </w:tc>
      </w:tr>
      <w:tr w:rsidR="001E5351" w:rsidRPr="001E5351" w14:paraId="50EA563E" w14:textId="77777777" w:rsidTr="001E5351">
        <w:trPr>
          <w:trHeight w:val="252"/>
        </w:trPr>
        <w:tc>
          <w:tcPr>
            <w:tcW w:w="254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929FB94" w14:textId="77777777" w:rsidR="001E5351" w:rsidRPr="001E5351" w:rsidRDefault="001E5351" w:rsidP="001E5351">
            <w:pPr>
              <w:spacing w:after="0" w:line="240" w:lineRule="auto"/>
              <w:rPr>
                <w:rFonts w:ascii="Arial" w:hAnsi="Arial" w:cs="Arial"/>
                <w:b/>
                <w:bCs/>
                <w:color w:val="000000" w:themeColor="text1"/>
                <w:sz w:val="18"/>
                <w:szCs w:val="18"/>
              </w:rPr>
            </w:pPr>
            <w:r w:rsidRPr="001E5351">
              <w:rPr>
                <w:rFonts w:ascii="Arial" w:hAnsi="Arial" w:cs="Arial"/>
                <w:b/>
                <w:bCs/>
                <w:color w:val="000000" w:themeColor="text1"/>
                <w:sz w:val="18"/>
                <w:szCs w:val="18"/>
              </w:rPr>
              <w:t>Skupaj</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AA51BDB" w14:textId="7DD3BCC4" w:rsidR="001E5351" w:rsidRPr="001E5351" w:rsidRDefault="001E5351" w:rsidP="001E5351">
            <w:pPr>
              <w:spacing w:after="0" w:line="240" w:lineRule="auto"/>
              <w:jc w:val="right"/>
              <w:rPr>
                <w:rFonts w:ascii="Arial" w:hAnsi="Arial" w:cs="Arial"/>
                <w:b/>
                <w:bCs/>
                <w:color w:val="000000" w:themeColor="text1"/>
                <w:sz w:val="18"/>
                <w:szCs w:val="18"/>
              </w:rPr>
            </w:pPr>
            <w:r w:rsidRPr="001E5351">
              <w:rPr>
                <w:rFonts w:ascii="Arial" w:hAnsi="Arial" w:cs="Arial"/>
                <w:b/>
                <w:bCs/>
                <w:color w:val="000000"/>
                <w:sz w:val="18"/>
                <w:szCs w:val="18"/>
              </w:rPr>
              <w:t>6.461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1B2A7827" w14:textId="3EFD954D" w:rsidR="001E5351" w:rsidRPr="001E5351" w:rsidRDefault="001E5351" w:rsidP="001E5351">
            <w:pPr>
              <w:spacing w:after="0" w:line="240" w:lineRule="auto"/>
              <w:jc w:val="right"/>
              <w:rPr>
                <w:rFonts w:ascii="Arial" w:hAnsi="Arial" w:cs="Arial"/>
                <w:b/>
                <w:bCs/>
                <w:color w:val="000000" w:themeColor="text1"/>
                <w:sz w:val="18"/>
                <w:szCs w:val="18"/>
              </w:rPr>
            </w:pPr>
            <w:r w:rsidRPr="001E5351">
              <w:rPr>
                <w:rFonts w:ascii="Arial" w:hAnsi="Arial" w:cs="Arial"/>
                <w:b/>
                <w:bCs/>
                <w:color w:val="000000"/>
                <w:sz w:val="18"/>
                <w:szCs w:val="18"/>
              </w:rPr>
              <w:t>16.014</w:t>
            </w:r>
          </w:p>
        </w:tc>
        <w:tc>
          <w:tcPr>
            <w:tcW w:w="1418" w:type="dxa"/>
            <w:tcBorders>
              <w:top w:val="nil"/>
              <w:left w:val="nil"/>
              <w:bottom w:val="single" w:sz="4" w:space="0" w:color="auto"/>
              <w:right w:val="single" w:sz="4" w:space="0" w:color="auto"/>
            </w:tcBorders>
            <w:shd w:val="clear" w:color="auto" w:fill="F2F2F2" w:themeFill="background1" w:themeFillShade="F2"/>
            <w:noWrap/>
            <w:vAlign w:val="center"/>
          </w:tcPr>
          <w:p w14:paraId="4750309B" w14:textId="21558C9B" w:rsidR="001E5351" w:rsidRPr="001E5351" w:rsidRDefault="001E5351" w:rsidP="001E5351">
            <w:pPr>
              <w:spacing w:after="0" w:line="240" w:lineRule="auto"/>
              <w:jc w:val="right"/>
              <w:rPr>
                <w:rFonts w:ascii="Arial" w:hAnsi="Arial" w:cs="Arial"/>
                <w:b/>
                <w:bCs/>
                <w:color w:val="000000" w:themeColor="text1"/>
                <w:sz w:val="18"/>
                <w:szCs w:val="18"/>
              </w:rPr>
            </w:pPr>
            <w:r w:rsidRPr="001E5351">
              <w:rPr>
                <w:rFonts w:ascii="Arial" w:hAnsi="Arial" w:cs="Arial"/>
                <w:b/>
                <w:bCs/>
                <w:color w:val="000000"/>
                <w:sz w:val="18"/>
                <w:szCs w:val="18"/>
              </w:rPr>
              <w:t>5.684.661.486</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14:paraId="6A658C3D" w14:textId="313E19CE" w:rsidR="001E5351" w:rsidRPr="001E5351" w:rsidRDefault="001E5351" w:rsidP="001E5351">
            <w:pPr>
              <w:spacing w:after="0" w:line="240" w:lineRule="auto"/>
              <w:jc w:val="right"/>
              <w:rPr>
                <w:rFonts w:ascii="Arial" w:hAnsi="Arial" w:cs="Arial"/>
                <w:b/>
                <w:bCs/>
                <w:color w:val="000000" w:themeColor="text1"/>
                <w:sz w:val="18"/>
                <w:szCs w:val="18"/>
              </w:rPr>
            </w:pPr>
            <w:r w:rsidRPr="001E5351">
              <w:rPr>
                <w:rFonts w:ascii="Arial" w:hAnsi="Arial" w:cs="Arial"/>
                <w:b/>
                <w:bCs/>
                <w:color w:val="000000" w:themeColor="text1"/>
                <w:sz w:val="18"/>
                <w:szCs w:val="18"/>
              </w:rPr>
              <w:t>100,00 %</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54C1E982" w14:textId="1D9859AA" w:rsidR="001E5351" w:rsidRPr="001E5351" w:rsidRDefault="001E5351" w:rsidP="001E5351">
            <w:pPr>
              <w:spacing w:after="0" w:line="240" w:lineRule="auto"/>
              <w:jc w:val="right"/>
              <w:rPr>
                <w:rFonts w:ascii="Arial" w:hAnsi="Arial" w:cs="Arial"/>
                <w:b/>
                <w:bCs/>
                <w:color w:val="000000" w:themeColor="text1"/>
                <w:sz w:val="18"/>
                <w:szCs w:val="18"/>
              </w:rPr>
            </w:pPr>
            <w:r w:rsidRPr="001E5351">
              <w:rPr>
                <w:rFonts w:ascii="Arial" w:hAnsi="Arial" w:cs="Arial"/>
                <w:b/>
                <w:bCs/>
                <w:color w:val="000000" w:themeColor="text1"/>
                <w:sz w:val="18"/>
                <w:szCs w:val="18"/>
              </w:rPr>
              <w:t>100,00 %</w:t>
            </w:r>
          </w:p>
        </w:tc>
        <w:tc>
          <w:tcPr>
            <w:tcW w:w="1272" w:type="dxa"/>
            <w:tcBorders>
              <w:top w:val="nil"/>
              <w:left w:val="nil"/>
              <w:bottom w:val="single" w:sz="4" w:space="0" w:color="auto"/>
              <w:right w:val="single" w:sz="4" w:space="0" w:color="auto"/>
            </w:tcBorders>
            <w:shd w:val="clear" w:color="auto" w:fill="F2F2F2" w:themeFill="background1" w:themeFillShade="F2"/>
            <w:noWrap/>
            <w:vAlign w:val="center"/>
          </w:tcPr>
          <w:p w14:paraId="2E2808E7" w14:textId="41F4B273" w:rsidR="001E5351" w:rsidRPr="001E5351" w:rsidRDefault="001E5351" w:rsidP="001E5351">
            <w:pPr>
              <w:spacing w:after="0" w:line="240" w:lineRule="auto"/>
              <w:jc w:val="right"/>
              <w:rPr>
                <w:rFonts w:ascii="Arial" w:hAnsi="Arial" w:cs="Arial"/>
                <w:b/>
                <w:bCs/>
                <w:color w:val="000000" w:themeColor="text1"/>
                <w:sz w:val="18"/>
                <w:szCs w:val="18"/>
              </w:rPr>
            </w:pPr>
            <w:r w:rsidRPr="001E5351">
              <w:rPr>
                <w:rFonts w:ascii="Arial" w:hAnsi="Arial" w:cs="Arial"/>
                <w:b/>
                <w:bCs/>
                <w:color w:val="000000" w:themeColor="text1"/>
                <w:sz w:val="18"/>
                <w:szCs w:val="18"/>
              </w:rPr>
              <w:t>100,00 %</w:t>
            </w:r>
          </w:p>
        </w:tc>
      </w:tr>
    </w:tbl>
    <w:p w14:paraId="7BC9FBEA" w14:textId="77777777" w:rsidR="00C90281" w:rsidRPr="001E5351" w:rsidRDefault="00C90281" w:rsidP="00AC3909">
      <w:pPr>
        <w:spacing w:after="0" w:line="240" w:lineRule="auto"/>
        <w:jc w:val="center"/>
        <w:rPr>
          <w:rFonts w:ascii="Arial" w:hAnsi="Arial" w:cs="Arial"/>
          <w:color w:val="000000" w:themeColor="text1"/>
          <w:sz w:val="18"/>
        </w:rPr>
      </w:pPr>
    </w:p>
    <w:p w14:paraId="2C1BBAFF" w14:textId="064482D2" w:rsidR="00E13581" w:rsidRPr="001E5351" w:rsidRDefault="00E13581" w:rsidP="00AC3909">
      <w:pPr>
        <w:spacing w:after="0" w:line="240" w:lineRule="auto"/>
        <w:jc w:val="center"/>
        <w:rPr>
          <w:rFonts w:ascii="Arial" w:hAnsi="Arial" w:cs="Arial"/>
          <w:color w:val="000000" w:themeColor="text1"/>
          <w:sz w:val="18"/>
        </w:rPr>
      </w:pPr>
      <w:r w:rsidRPr="001E5351">
        <w:rPr>
          <w:rFonts w:ascii="Arial" w:hAnsi="Arial" w:cs="Arial"/>
          <w:color w:val="000000" w:themeColor="text1"/>
          <w:sz w:val="18"/>
        </w:rPr>
        <w:t>Vir: Statistični podatki o javni</w:t>
      </w:r>
      <w:r w:rsidR="00F4080A" w:rsidRPr="001E5351">
        <w:rPr>
          <w:rFonts w:ascii="Arial" w:hAnsi="Arial" w:cs="Arial"/>
          <w:color w:val="000000" w:themeColor="text1"/>
          <w:sz w:val="18"/>
        </w:rPr>
        <w:t>h naročilih, oddanih</w:t>
      </w:r>
      <w:r w:rsidR="00B27D38" w:rsidRPr="001E5351">
        <w:rPr>
          <w:rFonts w:ascii="Arial" w:hAnsi="Arial" w:cs="Arial"/>
          <w:color w:val="000000" w:themeColor="text1"/>
          <w:sz w:val="18"/>
        </w:rPr>
        <w:t xml:space="preserve"> v</w:t>
      </w:r>
      <w:r w:rsidR="00F4080A" w:rsidRPr="001E5351">
        <w:rPr>
          <w:rFonts w:ascii="Arial" w:hAnsi="Arial" w:cs="Arial"/>
          <w:color w:val="000000" w:themeColor="text1"/>
          <w:sz w:val="18"/>
        </w:rPr>
        <w:t xml:space="preserve"> let</w:t>
      </w:r>
      <w:r w:rsidR="00C95540" w:rsidRPr="001E5351">
        <w:rPr>
          <w:rFonts w:ascii="Arial" w:hAnsi="Arial" w:cs="Arial"/>
          <w:color w:val="000000" w:themeColor="text1"/>
          <w:sz w:val="18"/>
        </w:rPr>
        <w:t>u</w:t>
      </w:r>
      <w:r w:rsidR="00F4080A" w:rsidRPr="001E5351">
        <w:rPr>
          <w:rFonts w:ascii="Arial" w:hAnsi="Arial" w:cs="Arial"/>
          <w:color w:val="000000" w:themeColor="text1"/>
          <w:sz w:val="18"/>
        </w:rPr>
        <w:t xml:space="preserve"> 20</w:t>
      </w:r>
      <w:r w:rsidR="00684D27" w:rsidRPr="001E5351">
        <w:rPr>
          <w:rFonts w:ascii="Arial" w:hAnsi="Arial" w:cs="Arial"/>
          <w:color w:val="000000" w:themeColor="text1"/>
          <w:sz w:val="18"/>
        </w:rPr>
        <w:t>2</w:t>
      </w:r>
      <w:r w:rsidR="00574A76" w:rsidRPr="001E5351">
        <w:rPr>
          <w:rFonts w:ascii="Arial" w:hAnsi="Arial" w:cs="Arial"/>
          <w:color w:val="000000" w:themeColor="text1"/>
          <w:sz w:val="18"/>
        </w:rPr>
        <w:t>3</w:t>
      </w:r>
      <w:r w:rsidR="00210A86" w:rsidRPr="001E5351">
        <w:rPr>
          <w:rFonts w:ascii="Arial" w:hAnsi="Arial" w:cs="Arial"/>
          <w:color w:val="000000" w:themeColor="text1"/>
          <w:sz w:val="18"/>
        </w:rPr>
        <w:t>.</w:t>
      </w:r>
    </w:p>
    <w:p w14:paraId="70566540" w14:textId="1560CE87" w:rsidR="00F53713" w:rsidRPr="00637ACF" w:rsidRDefault="00F53713" w:rsidP="00392E59">
      <w:pPr>
        <w:pStyle w:val="Naslov3"/>
        <w:rPr>
          <w:rFonts w:cs="Arial"/>
          <w:color w:val="FF0000"/>
          <w:highlight w:val="yellow"/>
        </w:rPr>
      </w:pPr>
    </w:p>
    <w:p w14:paraId="24DD0290" w14:textId="2ACF20EF" w:rsidR="00AA714B" w:rsidRPr="00A479CA" w:rsidRDefault="00AA714B" w:rsidP="007F3DA4">
      <w:pPr>
        <w:pStyle w:val="Naslov3"/>
      </w:pPr>
      <w:bookmarkStart w:id="19" w:name="_Toc175563854"/>
      <w:r w:rsidRPr="00A479CA">
        <w:t>2.3.3 Postopki brez predhodne objave obvestila o javnem naročilu</w:t>
      </w:r>
      <w:bookmarkEnd w:id="19"/>
    </w:p>
    <w:p w14:paraId="4DB805E9" w14:textId="3660890F" w:rsidR="00854405" w:rsidRPr="00A479CA" w:rsidRDefault="00854405" w:rsidP="00854405">
      <w:pPr>
        <w:pStyle w:val="ZADEVA"/>
        <w:jc w:val="both"/>
        <w:rPr>
          <w:rFonts w:cs="Arial"/>
          <w:b w:val="0"/>
          <w:color w:val="000000" w:themeColor="text1"/>
          <w:szCs w:val="20"/>
          <w:lang w:val="sl-SI"/>
        </w:rPr>
      </w:pPr>
    </w:p>
    <w:p w14:paraId="768A1DE6" w14:textId="35C29F7C" w:rsidR="00C63E46" w:rsidRPr="001E5351" w:rsidRDefault="000B6669" w:rsidP="00C63E46">
      <w:pPr>
        <w:tabs>
          <w:tab w:val="left" w:pos="567"/>
          <w:tab w:val="left" w:pos="993"/>
        </w:tabs>
        <w:spacing w:line="360" w:lineRule="auto"/>
        <w:jc w:val="both"/>
        <w:rPr>
          <w:rFonts w:ascii="Arial" w:hAnsi="Arial" w:cs="Arial"/>
          <w:color w:val="000000" w:themeColor="text1"/>
          <w:sz w:val="20"/>
        </w:rPr>
      </w:pPr>
      <w:r w:rsidRPr="00A479CA">
        <w:rPr>
          <w:rFonts w:ascii="Arial" w:hAnsi="Arial" w:cs="Arial"/>
          <w:bCs/>
          <w:color w:val="000000" w:themeColor="text1"/>
          <w:sz w:val="20"/>
          <w:szCs w:val="20"/>
        </w:rPr>
        <w:t>Naročniki so let</w:t>
      </w:r>
      <w:r w:rsidR="00EC1BBF" w:rsidRPr="00A479CA">
        <w:rPr>
          <w:rFonts w:ascii="Arial" w:hAnsi="Arial" w:cs="Arial"/>
          <w:bCs/>
          <w:color w:val="000000" w:themeColor="text1"/>
          <w:sz w:val="20"/>
          <w:szCs w:val="20"/>
        </w:rPr>
        <w:t>a</w:t>
      </w:r>
      <w:r w:rsidRPr="00A479CA">
        <w:rPr>
          <w:rFonts w:ascii="Arial" w:hAnsi="Arial" w:cs="Arial"/>
          <w:bCs/>
          <w:color w:val="000000" w:themeColor="text1"/>
          <w:sz w:val="20"/>
          <w:szCs w:val="20"/>
        </w:rPr>
        <w:t xml:space="preserve"> 20</w:t>
      </w:r>
      <w:r w:rsidR="00264D31" w:rsidRPr="00A479CA">
        <w:rPr>
          <w:rFonts w:ascii="Arial" w:hAnsi="Arial" w:cs="Arial"/>
          <w:bCs/>
          <w:color w:val="000000" w:themeColor="text1"/>
          <w:sz w:val="20"/>
          <w:szCs w:val="20"/>
        </w:rPr>
        <w:t>2</w:t>
      </w:r>
      <w:r w:rsidR="00F7760C" w:rsidRPr="00A479CA">
        <w:rPr>
          <w:rFonts w:ascii="Arial" w:hAnsi="Arial" w:cs="Arial"/>
          <w:bCs/>
          <w:color w:val="000000" w:themeColor="text1"/>
          <w:sz w:val="20"/>
          <w:szCs w:val="20"/>
        </w:rPr>
        <w:t>3</w:t>
      </w:r>
      <w:r w:rsidR="00C63E46" w:rsidRPr="00A479CA">
        <w:rPr>
          <w:rFonts w:ascii="Arial" w:hAnsi="Arial" w:cs="Arial"/>
          <w:bCs/>
          <w:color w:val="000000" w:themeColor="text1"/>
          <w:sz w:val="20"/>
          <w:szCs w:val="20"/>
        </w:rPr>
        <w:t xml:space="preserve"> v </w:t>
      </w:r>
      <w:r w:rsidR="00F7760C" w:rsidRPr="00A479CA">
        <w:rPr>
          <w:rFonts w:ascii="Arial" w:hAnsi="Arial" w:cs="Arial"/>
          <w:bCs/>
          <w:color w:val="000000" w:themeColor="text1"/>
          <w:sz w:val="20"/>
          <w:szCs w:val="20"/>
        </w:rPr>
        <w:t>689</w:t>
      </w:r>
      <w:r w:rsidR="00C63E46" w:rsidRPr="00A479CA">
        <w:rPr>
          <w:rFonts w:ascii="Arial" w:hAnsi="Arial" w:cs="Arial"/>
          <w:bCs/>
          <w:color w:val="000000" w:themeColor="text1"/>
          <w:sz w:val="20"/>
          <w:szCs w:val="20"/>
        </w:rPr>
        <w:t xml:space="preserve"> postopk</w:t>
      </w:r>
      <w:r w:rsidRPr="00A479CA">
        <w:rPr>
          <w:rFonts w:ascii="Arial" w:hAnsi="Arial" w:cs="Arial"/>
          <w:bCs/>
          <w:color w:val="000000" w:themeColor="text1"/>
          <w:sz w:val="20"/>
          <w:szCs w:val="20"/>
        </w:rPr>
        <w:t>ih</w:t>
      </w:r>
      <w:r w:rsidR="00C63E46" w:rsidRPr="00A479CA">
        <w:rPr>
          <w:rFonts w:ascii="Arial" w:hAnsi="Arial" w:cs="Arial"/>
          <w:bCs/>
          <w:color w:val="000000" w:themeColor="text1"/>
          <w:sz w:val="20"/>
          <w:szCs w:val="20"/>
        </w:rPr>
        <w:t xml:space="preserve"> javnega naročanja </w:t>
      </w:r>
      <w:r w:rsidR="005634E1" w:rsidRPr="00A479CA">
        <w:rPr>
          <w:rFonts w:ascii="Arial" w:hAnsi="Arial" w:cs="Arial"/>
          <w:bCs/>
          <w:color w:val="000000" w:themeColor="text1"/>
          <w:sz w:val="20"/>
          <w:szCs w:val="20"/>
        </w:rPr>
        <w:t xml:space="preserve">oddali </w:t>
      </w:r>
      <w:r w:rsidR="00C63E46" w:rsidRPr="00A479CA">
        <w:rPr>
          <w:rFonts w:ascii="Arial" w:hAnsi="Arial" w:cs="Arial"/>
          <w:bCs/>
          <w:color w:val="000000" w:themeColor="text1"/>
          <w:sz w:val="20"/>
          <w:szCs w:val="20"/>
        </w:rPr>
        <w:t>naročila</w:t>
      </w:r>
      <w:r w:rsidR="00A57B07" w:rsidRPr="00A479CA">
        <w:rPr>
          <w:rFonts w:ascii="Arial" w:hAnsi="Arial" w:cs="Arial"/>
          <w:bCs/>
          <w:color w:val="000000" w:themeColor="text1"/>
          <w:sz w:val="20"/>
          <w:szCs w:val="20"/>
        </w:rPr>
        <w:t>,</w:t>
      </w:r>
      <w:r w:rsidR="00C63E46" w:rsidRPr="00A479CA">
        <w:rPr>
          <w:rFonts w:ascii="Arial" w:hAnsi="Arial" w:cs="Arial"/>
          <w:bCs/>
          <w:color w:val="000000" w:themeColor="text1"/>
          <w:sz w:val="20"/>
          <w:szCs w:val="20"/>
        </w:rPr>
        <w:t xml:space="preserve"> za katera predhodno </w:t>
      </w:r>
      <w:r w:rsidR="00EA1C03" w:rsidRPr="00A479CA">
        <w:rPr>
          <w:rFonts w:ascii="Arial" w:hAnsi="Arial" w:cs="Arial"/>
          <w:bCs/>
          <w:color w:val="000000" w:themeColor="text1"/>
          <w:sz w:val="20"/>
          <w:szCs w:val="20"/>
        </w:rPr>
        <w:t xml:space="preserve">niso </w:t>
      </w:r>
      <w:r w:rsidR="00C63E46" w:rsidRPr="00A479CA">
        <w:rPr>
          <w:rFonts w:ascii="Arial" w:hAnsi="Arial" w:cs="Arial"/>
          <w:bCs/>
          <w:color w:val="000000" w:themeColor="text1"/>
          <w:sz w:val="20"/>
          <w:szCs w:val="20"/>
        </w:rPr>
        <w:t>objavili obvestil</w:t>
      </w:r>
      <w:r w:rsidR="008765DB">
        <w:rPr>
          <w:rFonts w:ascii="Arial" w:hAnsi="Arial" w:cs="Arial"/>
          <w:bCs/>
          <w:color w:val="000000" w:themeColor="text1"/>
          <w:sz w:val="20"/>
          <w:szCs w:val="20"/>
        </w:rPr>
        <w:t>a</w:t>
      </w:r>
      <w:r w:rsidR="00C63E46" w:rsidRPr="00A479CA">
        <w:rPr>
          <w:rFonts w:ascii="Arial" w:hAnsi="Arial" w:cs="Arial"/>
          <w:bCs/>
          <w:color w:val="000000" w:themeColor="text1"/>
          <w:sz w:val="20"/>
          <w:szCs w:val="20"/>
        </w:rPr>
        <w:t xml:space="preserve"> o javnem naročilu</w:t>
      </w:r>
      <w:r w:rsidR="00C63E46" w:rsidRPr="001E5351">
        <w:rPr>
          <w:rFonts w:ascii="Arial" w:hAnsi="Arial" w:cs="Arial"/>
          <w:bCs/>
          <w:color w:val="000000" w:themeColor="text1"/>
          <w:sz w:val="20"/>
          <w:szCs w:val="20"/>
        </w:rPr>
        <w:t xml:space="preserve">, kar </w:t>
      </w:r>
      <w:r w:rsidR="00A57B07" w:rsidRPr="001E5351">
        <w:rPr>
          <w:rFonts w:ascii="Arial" w:hAnsi="Arial" w:cs="Arial"/>
          <w:bCs/>
          <w:color w:val="000000" w:themeColor="text1"/>
          <w:sz w:val="20"/>
          <w:szCs w:val="20"/>
        </w:rPr>
        <w:t xml:space="preserve">je </w:t>
      </w:r>
      <w:r w:rsidR="00C43E9F" w:rsidRPr="001E5351">
        <w:rPr>
          <w:rFonts w:ascii="Arial" w:hAnsi="Arial" w:cs="Arial"/>
          <w:bCs/>
          <w:color w:val="000000" w:themeColor="text1"/>
          <w:sz w:val="20"/>
          <w:szCs w:val="20"/>
        </w:rPr>
        <w:t>po</w:t>
      </w:r>
      <w:r w:rsidR="00C63E46" w:rsidRPr="001E5351">
        <w:rPr>
          <w:rFonts w:ascii="Arial" w:hAnsi="Arial" w:cs="Arial"/>
          <w:bCs/>
          <w:color w:val="000000" w:themeColor="text1"/>
          <w:sz w:val="20"/>
          <w:szCs w:val="20"/>
        </w:rPr>
        <w:t xml:space="preserve"> številu vseh postopkov</w:t>
      </w:r>
      <w:r w:rsidR="008E33E4" w:rsidRPr="001E5351">
        <w:rPr>
          <w:rFonts w:ascii="Arial" w:hAnsi="Arial" w:cs="Arial"/>
          <w:bCs/>
          <w:color w:val="000000" w:themeColor="text1"/>
          <w:sz w:val="20"/>
          <w:szCs w:val="20"/>
        </w:rPr>
        <w:t xml:space="preserve"> </w:t>
      </w:r>
      <w:r w:rsidR="00F7760C" w:rsidRPr="001E5351">
        <w:rPr>
          <w:rFonts w:ascii="Arial" w:hAnsi="Arial" w:cs="Arial"/>
          <w:bCs/>
          <w:color w:val="000000" w:themeColor="text1"/>
          <w:sz w:val="20"/>
          <w:szCs w:val="20"/>
        </w:rPr>
        <w:t>9,6</w:t>
      </w:r>
      <w:r w:rsidR="00303A20" w:rsidRPr="001E5351">
        <w:rPr>
          <w:rFonts w:ascii="Arial" w:hAnsi="Arial" w:cs="Arial"/>
          <w:bCs/>
          <w:color w:val="000000" w:themeColor="text1"/>
          <w:sz w:val="20"/>
          <w:szCs w:val="20"/>
        </w:rPr>
        <w:t>4</w:t>
      </w:r>
      <w:r w:rsidR="00210A86" w:rsidRPr="001E5351">
        <w:rPr>
          <w:rFonts w:ascii="Arial" w:hAnsi="Arial" w:cs="Arial"/>
          <w:bCs/>
          <w:color w:val="000000" w:themeColor="text1"/>
          <w:sz w:val="20"/>
          <w:szCs w:val="20"/>
        </w:rPr>
        <w:t> </w:t>
      </w:r>
      <w:r w:rsidR="00AC0027" w:rsidRPr="001E5351">
        <w:rPr>
          <w:rFonts w:ascii="Arial" w:hAnsi="Arial" w:cs="Arial"/>
          <w:bCs/>
          <w:color w:val="000000" w:themeColor="text1"/>
          <w:sz w:val="20"/>
          <w:szCs w:val="20"/>
        </w:rPr>
        <w:t>odstotka</w:t>
      </w:r>
      <w:r w:rsidR="00C63E46" w:rsidRPr="001E5351">
        <w:rPr>
          <w:rFonts w:ascii="Arial" w:hAnsi="Arial" w:cs="Arial"/>
          <w:bCs/>
          <w:color w:val="000000" w:themeColor="text1"/>
          <w:sz w:val="20"/>
          <w:szCs w:val="20"/>
        </w:rPr>
        <w:t xml:space="preserve">, </w:t>
      </w:r>
      <w:r w:rsidR="00C43E9F" w:rsidRPr="001E5351">
        <w:rPr>
          <w:rFonts w:ascii="Arial" w:hAnsi="Arial" w:cs="Arial"/>
          <w:bCs/>
          <w:color w:val="000000" w:themeColor="text1"/>
          <w:sz w:val="20"/>
          <w:szCs w:val="20"/>
        </w:rPr>
        <w:t>po</w:t>
      </w:r>
      <w:r w:rsidR="00C63E46" w:rsidRPr="001E5351">
        <w:rPr>
          <w:rFonts w:ascii="Arial" w:hAnsi="Arial" w:cs="Arial"/>
          <w:bCs/>
          <w:color w:val="000000" w:themeColor="text1"/>
          <w:sz w:val="20"/>
          <w:szCs w:val="20"/>
        </w:rPr>
        <w:t xml:space="preserve"> vseh oddanih naročilih </w:t>
      </w:r>
      <w:r w:rsidR="00F7760C" w:rsidRPr="001E5351">
        <w:rPr>
          <w:rFonts w:ascii="Arial" w:hAnsi="Arial" w:cs="Arial"/>
          <w:bCs/>
          <w:color w:val="000000" w:themeColor="text1"/>
          <w:sz w:val="20"/>
          <w:szCs w:val="20"/>
        </w:rPr>
        <w:t>4,81</w:t>
      </w:r>
      <w:r w:rsidR="00210A86" w:rsidRPr="001E5351">
        <w:rPr>
          <w:rFonts w:ascii="Arial" w:hAnsi="Arial" w:cs="Arial"/>
          <w:bCs/>
          <w:color w:val="000000" w:themeColor="text1"/>
          <w:sz w:val="20"/>
          <w:szCs w:val="20"/>
        </w:rPr>
        <w:t> </w:t>
      </w:r>
      <w:r w:rsidR="00AC0027" w:rsidRPr="001E5351">
        <w:rPr>
          <w:rFonts w:ascii="Arial" w:hAnsi="Arial" w:cs="Arial"/>
          <w:bCs/>
          <w:color w:val="000000" w:themeColor="text1"/>
          <w:sz w:val="20"/>
          <w:szCs w:val="20"/>
        </w:rPr>
        <w:t>odstotka</w:t>
      </w:r>
      <w:r w:rsidR="008E33E4" w:rsidRPr="001E5351">
        <w:rPr>
          <w:rFonts w:ascii="Arial" w:hAnsi="Arial" w:cs="Arial"/>
          <w:bCs/>
          <w:color w:val="000000" w:themeColor="text1"/>
          <w:sz w:val="20"/>
          <w:szCs w:val="20"/>
        </w:rPr>
        <w:t xml:space="preserve"> </w:t>
      </w:r>
      <w:r w:rsidR="00C63E46" w:rsidRPr="001E5351">
        <w:rPr>
          <w:rFonts w:ascii="Arial" w:hAnsi="Arial" w:cs="Arial"/>
          <w:bCs/>
          <w:color w:val="000000" w:themeColor="text1"/>
          <w:sz w:val="20"/>
          <w:szCs w:val="20"/>
        </w:rPr>
        <w:t xml:space="preserve">in </w:t>
      </w:r>
      <w:r w:rsidR="00F7760C" w:rsidRPr="001E5351">
        <w:rPr>
          <w:rFonts w:ascii="Arial" w:hAnsi="Arial" w:cs="Arial"/>
          <w:bCs/>
          <w:color w:val="000000" w:themeColor="text1"/>
          <w:sz w:val="20"/>
          <w:szCs w:val="20"/>
        </w:rPr>
        <w:t>8,</w:t>
      </w:r>
      <w:r w:rsidR="00D74085" w:rsidRPr="001E5351">
        <w:rPr>
          <w:rFonts w:ascii="Arial" w:hAnsi="Arial" w:cs="Arial"/>
          <w:bCs/>
          <w:color w:val="000000" w:themeColor="text1"/>
          <w:sz w:val="20"/>
          <w:szCs w:val="20"/>
        </w:rPr>
        <w:t>79</w:t>
      </w:r>
      <w:r w:rsidR="00210A86" w:rsidRPr="001E5351">
        <w:rPr>
          <w:rFonts w:ascii="Arial" w:hAnsi="Arial" w:cs="Arial"/>
          <w:bCs/>
          <w:color w:val="000000" w:themeColor="text1"/>
          <w:sz w:val="20"/>
          <w:szCs w:val="20"/>
        </w:rPr>
        <w:t> </w:t>
      </w:r>
      <w:r w:rsidR="00AC0027" w:rsidRPr="001E5351">
        <w:rPr>
          <w:rFonts w:ascii="Arial" w:hAnsi="Arial" w:cs="Arial"/>
          <w:color w:val="000000" w:themeColor="text1"/>
          <w:sz w:val="20"/>
        </w:rPr>
        <w:t>odstotka</w:t>
      </w:r>
      <w:r w:rsidR="0086209A" w:rsidRPr="001E5351">
        <w:rPr>
          <w:rFonts w:ascii="Arial" w:hAnsi="Arial" w:cs="Arial"/>
          <w:color w:val="000000" w:themeColor="text1"/>
          <w:sz w:val="20"/>
        </w:rPr>
        <w:t xml:space="preserve"> vre</w:t>
      </w:r>
      <w:r w:rsidR="0082469C" w:rsidRPr="001E5351">
        <w:rPr>
          <w:rFonts w:ascii="Arial" w:hAnsi="Arial" w:cs="Arial"/>
          <w:color w:val="000000" w:themeColor="text1"/>
          <w:sz w:val="20"/>
        </w:rPr>
        <w:t xml:space="preserve">dnosti vseh </w:t>
      </w:r>
      <w:r w:rsidR="00C63E46" w:rsidRPr="001E5351">
        <w:rPr>
          <w:rFonts w:ascii="Arial" w:hAnsi="Arial" w:cs="Arial"/>
          <w:color w:val="000000" w:themeColor="text1"/>
          <w:sz w:val="20"/>
        </w:rPr>
        <w:t xml:space="preserve">oddanih naročil. </w:t>
      </w:r>
    </w:p>
    <w:p w14:paraId="5CB758C9" w14:textId="77777777" w:rsidR="00F11E69" w:rsidRPr="00637ACF" w:rsidRDefault="00F11E69">
      <w:pPr>
        <w:rPr>
          <w:rFonts w:ascii="Arial" w:hAnsi="Arial" w:cs="Arial"/>
          <w:color w:val="FF0000"/>
          <w:sz w:val="20"/>
          <w:highlight w:val="yellow"/>
        </w:rPr>
      </w:pPr>
      <w:r w:rsidRPr="00637ACF">
        <w:rPr>
          <w:rFonts w:ascii="Arial" w:hAnsi="Arial" w:cs="Arial"/>
          <w:color w:val="FF0000"/>
          <w:sz w:val="20"/>
          <w:highlight w:val="yellow"/>
        </w:rPr>
        <w:br w:type="page"/>
      </w:r>
    </w:p>
    <w:p w14:paraId="06EEA896" w14:textId="5555EECF" w:rsidR="00EE4F5B" w:rsidRPr="00A479CA" w:rsidRDefault="00EE4F5B" w:rsidP="008A61FD">
      <w:pPr>
        <w:spacing w:before="120" w:after="120" w:line="240" w:lineRule="auto"/>
        <w:jc w:val="both"/>
        <w:rPr>
          <w:rFonts w:ascii="Arial" w:hAnsi="Arial" w:cs="Arial"/>
          <w:color w:val="000000" w:themeColor="text1"/>
          <w:sz w:val="20"/>
        </w:rPr>
      </w:pPr>
      <w:r w:rsidRPr="00A479CA">
        <w:rPr>
          <w:rFonts w:ascii="Arial" w:hAnsi="Arial" w:cs="Arial"/>
          <w:color w:val="000000" w:themeColor="text1"/>
          <w:sz w:val="20"/>
        </w:rPr>
        <w:lastRenderedPageBreak/>
        <w:t xml:space="preserve">Preglednica </w:t>
      </w:r>
      <w:r w:rsidR="00E430F6" w:rsidRPr="00A479CA">
        <w:rPr>
          <w:rFonts w:ascii="Arial" w:hAnsi="Arial" w:cs="Arial"/>
          <w:color w:val="000000" w:themeColor="text1"/>
          <w:sz w:val="20"/>
        </w:rPr>
        <w:t>1</w:t>
      </w:r>
      <w:r w:rsidR="00512F52" w:rsidRPr="00A479CA">
        <w:rPr>
          <w:rFonts w:ascii="Arial" w:hAnsi="Arial" w:cs="Arial"/>
          <w:color w:val="000000" w:themeColor="text1"/>
          <w:sz w:val="20"/>
        </w:rPr>
        <w:t>1</w:t>
      </w:r>
      <w:r w:rsidRPr="00A479CA">
        <w:rPr>
          <w:rFonts w:ascii="Arial" w:hAnsi="Arial" w:cs="Arial"/>
          <w:color w:val="000000" w:themeColor="text1"/>
          <w:sz w:val="20"/>
        </w:rPr>
        <w:t xml:space="preserve">: </w:t>
      </w:r>
      <w:r w:rsidR="00105F39" w:rsidRPr="00A479CA">
        <w:rPr>
          <w:rFonts w:ascii="Arial" w:hAnsi="Arial" w:cs="Arial"/>
          <w:color w:val="000000" w:themeColor="text1"/>
          <w:sz w:val="20"/>
        </w:rPr>
        <w:t>P</w:t>
      </w:r>
      <w:r w:rsidRPr="00A479CA">
        <w:rPr>
          <w:rFonts w:ascii="Arial" w:hAnsi="Arial" w:cs="Arial"/>
          <w:color w:val="000000" w:themeColor="text1"/>
          <w:sz w:val="20"/>
        </w:rPr>
        <w:t>ostopki</w:t>
      </w:r>
      <w:r w:rsidR="00105F39" w:rsidRPr="00A479CA">
        <w:rPr>
          <w:rFonts w:ascii="Arial" w:hAnsi="Arial" w:cs="Arial"/>
          <w:color w:val="000000" w:themeColor="text1"/>
          <w:sz w:val="20"/>
        </w:rPr>
        <w:t xml:space="preserve"> brez predhodne objave obvestila o javnem naročilu</w:t>
      </w:r>
      <w:r w:rsidRPr="00A479CA">
        <w:rPr>
          <w:rFonts w:ascii="Arial" w:hAnsi="Arial" w:cs="Arial"/>
          <w:color w:val="000000" w:themeColor="text1"/>
          <w:sz w:val="20"/>
        </w:rPr>
        <w:t xml:space="preserve">, naročila in njihova vrednost ter deleži glede na vrsto postopka </w:t>
      </w:r>
    </w:p>
    <w:tbl>
      <w:tblPr>
        <w:tblW w:w="9209" w:type="dxa"/>
        <w:tblCellMar>
          <w:left w:w="70" w:type="dxa"/>
          <w:right w:w="70" w:type="dxa"/>
        </w:tblCellMar>
        <w:tblLook w:val="04A0" w:firstRow="1" w:lastRow="0" w:firstColumn="1" w:lastColumn="0" w:noHBand="0" w:noVBand="1"/>
      </w:tblPr>
      <w:tblGrid>
        <w:gridCol w:w="3138"/>
        <w:gridCol w:w="961"/>
        <w:gridCol w:w="740"/>
        <w:gridCol w:w="1280"/>
        <w:gridCol w:w="1106"/>
        <w:gridCol w:w="992"/>
        <w:gridCol w:w="992"/>
      </w:tblGrid>
      <w:tr w:rsidR="00F71898" w:rsidRPr="00A479CA" w14:paraId="20A59C6F" w14:textId="77777777" w:rsidTr="00DB3AA6">
        <w:trPr>
          <w:trHeight w:val="255"/>
        </w:trPr>
        <w:tc>
          <w:tcPr>
            <w:tcW w:w="3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99FF3" w14:textId="77777777" w:rsidR="00264D31" w:rsidRPr="00A479CA" w:rsidRDefault="00264D31" w:rsidP="00264D31">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Vrsta postopka</w:t>
            </w:r>
          </w:p>
        </w:tc>
        <w:tc>
          <w:tcPr>
            <w:tcW w:w="96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19F189" w14:textId="77777777" w:rsidR="00264D31" w:rsidRPr="00A479CA" w:rsidRDefault="00264D31" w:rsidP="00264D31">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Št. postopkov</w:t>
            </w:r>
          </w:p>
        </w:tc>
        <w:tc>
          <w:tcPr>
            <w:tcW w:w="7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A5400D2" w14:textId="77777777" w:rsidR="00264D31" w:rsidRPr="00A479CA" w:rsidRDefault="00264D31" w:rsidP="00264D31">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Št. naročil</w:t>
            </w:r>
          </w:p>
        </w:tc>
        <w:tc>
          <w:tcPr>
            <w:tcW w:w="12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B02911" w14:textId="73E2FC3C" w:rsidR="00264D31" w:rsidRPr="00A479CA" w:rsidRDefault="00264D31" w:rsidP="00264D31">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Pogodbena vrednost</w:t>
            </w:r>
            <w:r w:rsidR="00606A58" w:rsidRPr="00A479CA">
              <w:rPr>
                <w:rFonts w:ascii="Arial" w:eastAsia="Times New Roman" w:hAnsi="Arial" w:cs="Arial"/>
                <w:color w:val="000000" w:themeColor="text1"/>
                <w:sz w:val="18"/>
                <w:szCs w:val="18"/>
                <w:lang w:eastAsia="sl-SI"/>
              </w:rPr>
              <w:t xml:space="preserve"> (v EUR)</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245488" w14:textId="77777777" w:rsidR="00264D31" w:rsidRPr="00A479CA" w:rsidRDefault="00264D31" w:rsidP="00264D31">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Delež v št. postopkov</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CBB9B4" w14:textId="77777777" w:rsidR="00264D31" w:rsidRPr="00A479CA" w:rsidRDefault="00264D31" w:rsidP="00264D31">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Delež v št. naročil</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9FEF20" w14:textId="77777777" w:rsidR="00264D31" w:rsidRPr="00A479CA" w:rsidRDefault="00264D31" w:rsidP="00264D31">
            <w:pPr>
              <w:spacing w:after="0" w:line="240" w:lineRule="auto"/>
              <w:jc w:val="center"/>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Delež v vrednosti</w:t>
            </w:r>
          </w:p>
        </w:tc>
      </w:tr>
      <w:tr w:rsidR="00F71898" w:rsidRPr="00A479CA" w14:paraId="01CD03A3" w14:textId="77777777" w:rsidTr="00F7760C">
        <w:trPr>
          <w:trHeight w:val="255"/>
        </w:trPr>
        <w:tc>
          <w:tcPr>
            <w:tcW w:w="3138" w:type="dxa"/>
            <w:tcBorders>
              <w:top w:val="nil"/>
              <w:left w:val="single" w:sz="4" w:space="0" w:color="auto"/>
              <w:bottom w:val="single" w:sz="4" w:space="0" w:color="auto"/>
              <w:right w:val="single" w:sz="4" w:space="0" w:color="auto"/>
            </w:tcBorders>
            <w:shd w:val="clear" w:color="auto" w:fill="auto"/>
            <w:vAlign w:val="center"/>
            <w:hideMark/>
          </w:tcPr>
          <w:p w14:paraId="0E367CBE" w14:textId="367A2F75" w:rsidR="00F7760C" w:rsidRPr="00A479CA" w:rsidRDefault="00F7760C" w:rsidP="00F7760C">
            <w:pPr>
              <w:spacing w:after="0" w:line="240" w:lineRule="auto"/>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Konkurenčni dialog</w:t>
            </w:r>
          </w:p>
        </w:tc>
        <w:tc>
          <w:tcPr>
            <w:tcW w:w="961" w:type="dxa"/>
            <w:tcBorders>
              <w:top w:val="nil"/>
              <w:left w:val="nil"/>
              <w:bottom w:val="single" w:sz="4" w:space="0" w:color="auto"/>
              <w:right w:val="single" w:sz="4" w:space="0" w:color="auto"/>
            </w:tcBorders>
            <w:shd w:val="clear" w:color="auto" w:fill="auto"/>
            <w:vAlign w:val="center"/>
            <w:hideMark/>
          </w:tcPr>
          <w:p w14:paraId="5B5C45AF" w14:textId="3222CD92"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2</w:t>
            </w:r>
          </w:p>
        </w:tc>
        <w:tc>
          <w:tcPr>
            <w:tcW w:w="740" w:type="dxa"/>
            <w:tcBorders>
              <w:top w:val="nil"/>
              <w:left w:val="nil"/>
              <w:bottom w:val="single" w:sz="4" w:space="0" w:color="auto"/>
              <w:right w:val="single" w:sz="4" w:space="0" w:color="auto"/>
            </w:tcBorders>
            <w:shd w:val="clear" w:color="auto" w:fill="auto"/>
            <w:vAlign w:val="center"/>
            <w:hideMark/>
          </w:tcPr>
          <w:p w14:paraId="7DEA4168" w14:textId="1EACC094"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2</w:t>
            </w:r>
          </w:p>
        </w:tc>
        <w:tc>
          <w:tcPr>
            <w:tcW w:w="1280" w:type="dxa"/>
            <w:tcBorders>
              <w:top w:val="nil"/>
              <w:left w:val="nil"/>
              <w:bottom w:val="single" w:sz="4" w:space="0" w:color="auto"/>
              <w:right w:val="single" w:sz="4" w:space="0" w:color="auto"/>
            </w:tcBorders>
            <w:shd w:val="clear" w:color="auto" w:fill="auto"/>
            <w:vAlign w:val="center"/>
            <w:hideMark/>
          </w:tcPr>
          <w:p w14:paraId="1EDC3622" w14:textId="05F1BD86"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6.625.960</w:t>
            </w:r>
          </w:p>
        </w:tc>
        <w:tc>
          <w:tcPr>
            <w:tcW w:w="1106" w:type="dxa"/>
            <w:tcBorders>
              <w:top w:val="nil"/>
              <w:left w:val="nil"/>
              <w:bottom w:val="single" w:sz="4" w:space="0" w:color="auto"/>
              <w:right w:val="single" w:sz="4" w:space="0" w:color="auto"/>
            </w:tcBorders>
            <w:shd w:val="clear" w:color="auto" w:fill="auto"/>
            <w:noWrap/>
            <w:vAlign w:val="center"/>
            <w:hideMark/>
          </w:tcPr>
          <w:p w14:paraId="011579DE" w14:textId="40B43091"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0,29 %</w:t>
            </w:r>
          </w:p>
        </w:tc>
        <w:tc>
          <w:tcPr>
            <w:tcW w:w="992" w:type="dxa"/>
            <w:tcBorders>
              <w:top w:val="nil"/>
              <w:left w:val="nil"/>
              <w:bottom w:val="single" w:sz="4" w:space="0" w:color="auto"/>
              <w:right w:val="single" w:sz="4" w:space="0" w:color="auto"/>
            </w:tcBorders>
            <w:shd w:val="clear" w:color="auto" w:fill="auto"/>
            <w:noWrap/>
            <w:vAlign w:val="center"/>
            <w:hideMark/>
          </w:tcPr>
          <w:p w14:paraId="2FF0E003" w14:textId="3E63E42F"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0,25 %</w:t>
            </w:r>
          </w:p>
        </w:tc>
        <w:tc>
          <w:tcPr>
            <w:tcW w:w="992" w:type="dxa"/>
            <w:tcBorders>
              <w:top w:val="nil"/>
              <w:left w:val="nil"/>
              <w:bottom w:val="single" w:sz="4" w:space="0" w:color="auto"/>
              <w:right w:val="single" w:sz="4" w:space="0" w:color="auto"/>
            </w:tcBorders>
            <w:shd w:val="clear" w:color="auto" w:fill="auto"/>
            <w:noWrap/>
            <w:vAlign w:val="center"/>
          </w:tcPr>
          <w:p w14:paraId="46CEACEE" w14:textId="3DDB50FB"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1,21 %</w:t>
            </w:r>
          </w:p>
        </w:tc>
      </w:tr>
      <w:tr w:rsidR="00F71898" w:rsidRPr="00A479CA" w14:paraId="385A1BF1" w14:textId="77777777" w:rsidTr="00F7760C">
        <w:trPr>
          <w:trHeight w:val="255"/>
        </w:trPr>
        <w:tc>
          <w:tcPr>
            <w:tcW w:w="3138" w:type="dxa"/>
            <w:tcBorders>
              <w:top w:val="nil"/>
              <w:left w:val="single" w:sz="4" w:space="0" w:color="auto"/>
              <w:bottom w:val="single" w:sz="4" w:space="0" w:color="auto"/>
              <w:right w:val="single" w:sz="4" w:space="0" w:color="auto"/>
            </w:tcBorders>
            <w:shd w:val="clear" w:color="auto" w:fill="auto"/>
            <w:vAlign w:val="center"/>
          </w:tcPr>
          <w:p w14:paraId="42FE640E" w14:textId="087B5DE5" w:rsidR="00F7760C" w:rsidRPr="00A479CA" w:rsidRDefault="00F7760C" w:rsidP="00F7760C">
            <w:pPr>
              <w:spacing w:after="0" w:line="240" w:lineRule="auto"/>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Konkurenčni postopek s pogajanji</w:t>
            </w:r>
          </w:p>
        </w:tc>
        <w:tc>
          <w:tcPr>
            <w:tcW w:w="961" w:type="dxa"/>
            <w:tcBorders>
              <w:top w:val="nil"/>
              <w:left w:val="nil"/>
              <w:bottom w:val="single" w:sz="4" w:space="0" w:color="auto"/>
              <w:right w:val="single" w:sz="4" w:space="0" w:color="auto"/>
            </w:tcBorders>
            <w:shd w:val="clear" w:color="auto" w:fill="auto"/>
            <w:vAlign w:val="center"/>
          </w:tcPr>
          <w:p w14:paraId="345151DE" w14:textId="6AE2E55A"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67</w:t>
            </w:r>
          </w:p>
        </w:tc>
        <w:tc>
          <w:tcPr>
            <w:tcW w:w="740" w:type="dxa"/>
            <w:tcBorders>
              <w:top w:val="nil"/>
              <w:left w:val="nil"/>
              <w:bottom w:val="single" w:sz="4" w:space="0" w:color="auto"/>
              <w:right w:val="single" w:sz="4" w:space="0" w:color="auto"/>
            </w:tcBorders>
            <w:shd w:val="clear" w:color="auto" w:fill="auto"/>
            <w:vAlign w:val="center"/>
          </w:tcPr>
          <w:p w14:paraId="2EBE70E4" w14:textId="1D85A50F"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87</w:t>
            </w:r>
          </w:p>
        </w:tc>
        <w:tc>
          <w:tcPr>
            <w:tcW w:w="1280" w:type="dxa"/>
            <w:tcBorders>
              <w:top w:val="nil"/>
              <w:left w:val="nil"/>
              <w:bottom w:val="single" w:sz="4" w:space="0" w:color="auto"/>
              <w:right w:val="single" w:sz="4" w:space="0" w:color="auto"/>
            </w:tcBorders>
            <w:shd w:val="clear" w:color="auto" w:fill="auto"/>
            <w:vAlign w:val="center"/>
          </w:tcPr>
          <w:p w14:paraId="5AFD99FE" w14:textId="2B19F190"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169.638.329</w:t>
            </w:r>
          </w:p>
        </w:tc>
        <w:tc>
          <w:tcPr>
            <w:tcW w:w="1106" w:type="dxa"/>
            <w:tcBorders>
              <w:top w:val="nil"/>
              <w:left w:val="nil"/>
              <w:bottom w:val="single" w:sz="4" w:space="0" w:color="auto"/>
              <w:right w:val="single" w:sz="4" w:space="0" w:color="auto"/>
            </w:tcBorders>
            <w:shd w:val="clear" w:color="auto" w:fill="auto"/>
            <w:noWrap/>
            <w:vAlign w:val="center"/>
          </w:tcPr>
          <w:p w14:paraId="4E0983D5" w14:textId="24EA2761"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9,72 %</w:t>
            </w:r>
          </w:p>
        </w:tc>
        <w:tc>
          <w:tcPr>
            <w:tcW w:w="992" w:type="dxa"/>
            <w:tcBorders>
              <w:top w:val="nil"/>
              <w:left w:val="nil"/>
              <w:bottom w:val="single" w:sz="4" w:space="0" w:color="auto"/>
              <w:right w:val="single" w:sz="4" w:space="0" w:color="auto"/>
            </w:tcBorders>
            <w:shd w:val="clear" w:color="auto" w:fill="auto"/>
            <w:noWrap/>
            <w:vAlign w:val="center"/>
          </w:tcPr>
          <w:p w14:paraId="5E13650F" w14:textId="76E5979E"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10,74 %</w:t>
            </w:r>
          </w:p>
        </w:tc>
        <w:tc>
          <w:tcPr>
            <w:tcW w:w="992" w:type="dxa"/>
            <w:tcBorders>
              <w:top w:val="nil"/>
              <w:left w:val="nil"/>
              <w:bottom w:val="single" w:sz="4" w:space="0" w:color="auto"/>
              <w:right w:val="single" w:sz="4" w:space="0" w:color="auto"/>
            </w:tcBorders>
            <w:shd w:val="clear" w:color="auto" w:fill="auto"/>
            <w:noWrap/>
            <w:vAlign w:val="center"/>
          </w:tcPr>
          <w:p w14:paraId="2918D2C2" w14:textId="6C0037D5"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30,98 %</w:t>
            </w:r>
          </w:p>
        </w:tc>
      </w:tr>
      <w:tr w:rsidR="00F71898" w:rsidRPr="00A479CA" w14:paraId="0BE1109B" w14:textId="77777777" w:rsidTr="00F7760C">
        <w:trPr>
          <w:trHeight w:val="255"/>
        </w:trPr>
        <w:tc>
          <w:tcPr>
            <w:tcW w:w="3138" w:type="dxa"/>
            <w:tcBorders>
              <w:top w:val="nil"/>
              <w:left w:val="single" w:sz="4" w:space="0" w:color="auto"/>
              <w:bottom w:val="single" w:sz="4" w:space="0" w:color="auto"/>
              <w:right w:val="single" w:sz="4" w:space="0" w:color="auto"/>
            </w:tcBorders>
            <w:shd w:val="clear" w:color="auto" w:fill="auto"/>
            <w:vAlign w:val="center"/>
          </w:tcPr>
          <w:p w14:paraId="3FC411D8" w14:textId="7FCDCB1E" w:rsidR="00F7760C" w:rsidRPr="00A479CA" w:rsidRDefault="00F7760C" w:rsidP="00F7760C">
            <w:pPr>
              <w:spacing w:after="0" w:line="240" w:lineRule="auto"/>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Postopek s pogajanji brez predhodne objave</w:t>
            </w:r>
          </w:p>
        </w:tc>
        <w:tc>
          <w:tcPr>
            <w:tcW w:w="961" w:type="dxa"/>
            <w:tcBorders>
              <w:top w:val="nil"/>
              <w:left w:val="nil"/>
              <w:bottom w:val="single" w:sz="4" w:space="0" w:color="auto"/>
              <w:right w:val="single" w:sz="4" w:space="0" w:color="auto"/>
            </w:tcBorders>
            <w:shd w:val="clear" w:color="auto" w:fill="auto"/>
            <w:vAlign w:val="center"/>
          </w:tcPr>
          <w:p w14:paraId="5FED5F50" w14:textId="1DA4DB59"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619</w:t>
            </w:r>
          </w:p>
        </w:tc>
        <w:tc>
          <w:tcPr>
            <w:tcW w:w="740" w:type="dxa"/>
            <w:tcBorders>
              <w:top w:val="nil"/>
              <w:left w:val="nil"/>
              <w:bottom w:val="single" w:sz="4" w:space="0" w:color="auto"/>
              <w:right w:val="single" w:sz="4" w:space="0" w:color="auto"/>
            </w:tcBorders>
            <w:shd w:val="clear" w:color="auto" w:fill="auto"/>
            <w:vAlign w:val="center"/>
          </w:tcPr>
          <w:p w14:paraId="306E63B8" w14:textId="587F9463"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720</w:t>
            </w:r>
          </w:p>
        </w:tc>
        <w:tc>
          <w:tcPr>
            <w:tcW w:w="1280" w:type="dxa"/>
            <w:tcBorders>
              <w:top w:val="nil"/>
              <w:left w:val="nil"/>
              <w:bottom w:val="single" w:sz="4" w:space="0" w:color="auto"/>
              <w:right w:val="single" w:sz="4" w:space="0" w:color="auto"/>
            </w:tcBorders>
            <w:shd w:val="clear" w:color="auto" w:fill="auto"/>
            <w:vAlign w:val="center"/>
          </w:tcPr>
          <w:p w14:paraId="15F453A7" w14:textId="316C7681"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371.245.394</w:t>
            </w:r>
          </w:p>
        </w:tc>
        <w:tc>
          <w:tcPr>
            <w:tcW w:w="1106" w:type="dxa"/>
            <w:tcBorders>
              <w:top w:val="nil"/>
              <w:left w:val="nil"/>
              <w:bottom w:val="single" w:sz="4" w:space="0" w:color="auto"/>
              <w:right w:val="single" w:sz="4" w:space="0" w:color="auto"/>
            </w:tcBorders>
            <w:shd w:val="clear" w:color="auto" w:fill="auto"/>
            <w:noWrap/>
            <w:vAlign w:val="center"/>
          </w:tcPr>
          <w:p w14:paraId="5939DDEC" w14:textId="201776BE"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89,84 %</w:t>
            </w:r>
          </w:p>
        </w:tc>
        <w:tc>
          <w:tcPr>
            <w:tcW w:w="992" w:type="dxa"/>
            <w:tcBorders>
              <w:top w:val="nil"/>
              <w:left w:val="nil"/>
              <w:bottom w:val="single" w:sz="4" w:space="0" w:color="auto"/>
              <w:right w:val="single" w:sz="4" w:space="0" w:color="auto"/>
            </w:tcBorders>
            <w:shd w:val="clear" w:color="auto" w:fill="auto"/>
            <w:noWrap/>
            <w:vAlign w:val="center"/>
          </w:tcPr>
          <w:p w14:paraId="1C037FAD" w14:textId="2593B1C0"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88,89 %</w:t>
            </w:r>
          </w:p>
        </w:tc>
        <w:tc>
          <w:tcPr>
            <w:tcW w:w="992" w:type="dxa"/>
            <w:tcBorders>
              <w:top w:val="nil"/>
              <w:left w:val="nil"/>
              <w:bottom w:val="single" w:sz="4" w:space="0" w:color="auto"/>
              <w:right w:val="single" w:sz="4" w:space="0" w:color="auto"/>
            </w:tcBorders>
            <w:shd w:val="clear" w:color="auto" w:fill="auto"/>
            <w:noWrap/>
            <w:vAlign w:val="center"/>
          </w:tcPr>
          <w:p w14:paraId="4D45DAA0" w14:textId="3CBC39DA"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67,80 %</w:t>
            </w:r>
          </w:p>
        </w:tc>
      </w:tr>
      <w:tr w:rsidR="00F71898" w:rsidRPr="00A479CA" w14:paraId="292B6C3E" w14:textId="77777777" w:rsidTr="00F7760C">
        <w:trPr>
          <w:trHeight w:val="255"/>
        </w:trPr>
        <w:tc>
          <w:tcPr>
            <w:tcW w:w="3138" w:type="dxa"/>
            <w:tcBorders>
              <w:top w:val="nil"/>
              <w:left w:val="single" w:sz="4" w:space="0" w:color="auto"/>
              <w:bottom w:val="single" w:sz="4" w:space="0" w:color="auto"/>
              <w:right w:val="single" w:sz="4" w:space="0" w:color="auto"/>
            </w:tcBorders>
            <w:shd w:val="clear" w:color="auto" w:fill="auto"/>
            <w:vAlign w:val="center"/>
            <w:hideMark/>
          </w:tcPr>
          <w:p w14:paraId="311145DA" w14:textId="437D36DA" w:rsidR="00F7760C" w:rsidRPr="00A479CA" w:rsidRDefault="00F7760C" w:rsidP="00F7760C">
            <w:pPr>
              <w:spacing w:after="0" w:line="240" w:lineRule="auto"/>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Partnerstvo za inovacije</w:t>
            </w:r>
          </w:p>
        </w:tc>
        <w:tc>
          <w:tcPr>
            <w:tcW w:w="961" w:type="dxa"/>
            <w:tcBorders>
              <w:top w:val="nil"/>
              <w:left w:val="nil"/>
              <w:bottom w:val="single" w:sz="4" w:space="0" w:color="auto"/>
              <w:right w:val="single" w:sz="4" w:space="0" w:color="auto"/>
            </w:tcBorders>
            <w:shd w:val="clear" w:color="auto" w:fill="auto"/>
            <w:vAlign w:val="center"/>
            <w:hideMark/>
          </w:tcPr>
          <w:p w14:paraId="7EB19A87" w14:textId="7633DB58"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1</w:t>
            </w:r>
          </w:p>
        </w:tc>
        <w:tc>
          <w:tcPr>
            <w:tcW w:w="740" w:type="dxa"/>
            <w:tcBorders>
              <w:top w:val="nil"/>
              <w:left w:val="nil"/>
              <w:bottom w:val="single" w:sz="4" w:space="0" w:color="auto"/>
              <w:right w:val="single" w:sz="4" w:space="0" w:color="auto"/>
            </w:tcBorders>
            <w:shd w:val="clear" w:color="auto" w:fill="auto"/>
            <w:vAlign w:val="center"/>
            <w:hideMark/>
          </w:tcPr>
          <w:p w14:paraId="7E82382E" w14:textId="52C6909C"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1</w:t>
            </w:r>
          </w:p>
        </w:tc>
        <w:tc>
          <w:tcPr>
            <w:tcW w:w="1280" w:type="dxa"/>
            <w:tcBorders>
              <w:top w:val="nil"/>
              <w:left w:val="nil"/>
              <w:bottom w:val="single" w:sz="4" w:space="0" w:color="auto"/>
              <w:right w:val="single" w:sz="4" w:space="0" w:color="auto"/>
            </w:tcBorders>
            <w:shd w:val="clear" w:color="auto" w:fill="auto"/>
            <w:vAlign w:val="center"/>
            <w:hideMark/>
          </w:tcPr>
          <w:p w14:paraId="64B248C0" w14:textId="605E5B44"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79.800</w:t>
            </w:r>
          </w:p>
        </w:tc>
        <w:tc>
          <w:tcPr>
            <w:tcW w:w="1106" w:type="dxa"/>
            <w:tcBorders>
              <w:top w:val="nil"/>
              <w:left w:val="nil"/>
              <w:bottom w:val="single" w:sz="4" w:space="0" w:color="auto"/>
              <w:right w:val="single" w:sz="4" w:space="0" w:color="auto"/>
            </w:tcBorders>
            <w:shd w:val="clear" w:color="auto" w:fill="auto"/>
            <w:noWrap/>
            <w:vAlign w:val="center"/>
            <w:hideMark/>
          </w:tcPr>
          <w:p w14:paraId="269DDA53" w14:textId="690DDE9F"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0,15 %</w:t>
            </w:r>
          </w:p>
        </w:tc>
        <w:tc>
          <w:tcPr>
            <w:tcW w:w="992" w:type="dxa"/>
            <w:tcBorders>
              <w:top w:val="nil"/>
              <w:left w:val="nil"/>
              <w:bottom w:val="single" w:sz="4" w:space="0" w:color="auto"/>
              <w:right w:val="single" w:sz="4" w:space="0" w:color="auto"/>
            </w:tcBorders>
            <w:shd w:val="clear" w:color="auto" w:fill="auto"/>
            <w:noWrap/>
            <w:vAlign w:val="center"/>
            <w:hideMark/>
          </w:tcPr>
          <w:p w14:paraId="10CD5D33" w14:textId="46245324"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0,12 %</w:t>
            </w:r>
          </w:p>
        </w:tc>
        <w:tc>
          <w:tcPr>
            <w:tcW w:w="992" w:type="dxa"/>
            <w:tcBorders>
              <w:top w:val="nil"/>
              <w:left w:val="nil"/>
              <w:bottom w:val="single" w:sz="4" w:space="0" w:color="auto"/>
              <w:right w:val="single" w:sz="4" w:space="0" w:color="auto"/>
            </w:tcBorders>
            <w:shd w:val="clear" w:color="auto" w:fill="auto"/>
            <w:noWrap/>
            <w:vAlign w:val="center"/>
          </w:tcPr>
          <w:p w14:paraId="317D2619" w14:textId="75D0E58D" w:rsidR="00F7760C" w:rsidRPr="00A479CA" w:rsidRDefault="00F7760C" w:rsidP="00F7760C">
            <w:pPr>
              <w:spacing w:after="0" w:line="240" w:lineRule="auto"/>
              <w:jc w:val="right"/>
              <w:rPr>
                <w:rFonts w:ascii="Arial" w:eastAsia="Times New Roman" w:hAnsi="Arial" w:cs="Arial"/>
                <w:color w:val="000000" w:themeColor="text1"/>
                <w:sz w:val="18"/>
                <w:szCs w:val="18"/>
                <w:lang w:eastAsia="sl-SI"/>
              </w:rPr>
            </w:pPr>
            <w:r w:rsidRPr="00A479CA">
              <w:rPr>
                <w:rFonts w:ascii="Arial" w:eastAsia="Times New Roman" w:hAnsi="Arial" w:cs="Arial"/>
                <w:color w:val="000000" w:themeColor="text1"/>
                <w:sz w:val="18"/>
                <w:szCs w:val="18"/>
                <w:lang w:eastAsia="sl-SI"/>
              </w:rPr>
              <w:t>0,01 %</w:t>
            </w:r>
          </w:p>
        </w:tc>
      </w:tr>
      <w:tr w:rsidR="00F71898" w:rsidRPr="00A479CA" w14:paraId="01DFA0C7" w14:textId="77777777" w:rsidTr="00F7760C">
        <w:trPr>
          <w:trHeight w:val="255"/>
        </w:trPr>
        <w:tc>
          <w:tcPr>
            <w:tcW w:w="313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E4543A" w14:textId="77777777" w:rsidR="00F7760C" w:rsidRPr="00A479CA" w:rsidRDefault="00F7760C" w:rsidP="00F7760C">
            <w:pPr>
              <w:spacing w:after="0" w:line="240" w:lineRule="auto"/>
              <w:rPr>
                <w:rFonts w:ascii="Arial" w:eastAsia="Times New Roman" w:hAnsi="Arial" w:cs="Arial"/>
                <w:b/>
                <w:bCs/>
                <w:color w:val="000000" w:themeColor="text1"/>
                <w:sz w:val="18"/>
                <w:szCs w:val="18"/>
                <w:lang w:eastAsia="sl-SI"/>
              </w:rPr>
            </w:pPr>
            <w:r w:rsidRPr="00A479CA">
              <w:rPr>
                <w:rFonts w:ascii="Arial" w:eastAsia="Times New Roman" w:hAnsi="Arial" w:cs="Arial"/>
                <w:b/>
                <w:bCs/>
                <w:color w:val="000000" w:themeColor="text1"/>
                <w:sz w:val="18"/>
                <w:szCs w:val="18"/>
                <w:lang w:eastAsia="sl-SI"/>
              </w:rPr>
              <w:t>Skupaj</w:t>
            </w:r>
          </w:p>
        </w:tc>
        <w:tc>
          <w:tcPr>
            <w:tcW w:w="961" w:type="dxa"/>
            <w:tcBorders>
              <w:top w:val="nil"/>
              <w:left w:val="nil"/>
              <w:bottom w:val="single" w:sz="4" w:space="0" w:color="auto"/>
              <w:right w:val="single" w:sz="4" w:space="0" w:color="auto"/>
            </w:tcBorders>
            <w:shd w:val="clear" w:color="auto" w:fill="F2F2F2" w:themeFill="background1" w:themeFillShade="F2"/>
            <w:noWrap/>
            <w:vAlign w:val="center"/>
            <w:hideMark/>
          </w:tcPr>
          <w:p w14:paraId="2F7FF669" w14:textId="18224A33" w:rsidR="00F7760C" w:rsidRPr="00A479CA" w:rsidRDefault="00F7760C" w:rsidP="00F7760C">
            <w:pPr>
              <w:spacing w:after="0" w:line="240" w:lineRule="auto"/>
              <w:jc w:val="right"/>
              <w:rPr>
                <w:rFonts w:ascii="Arial" w:eastAsia="Times New Roman" w:hAnsi="Arial" w:cs="Arial"/>
                <w:b/>
                <w:bCs/>
                <w:color w:val="000000" w:themeColor="text1"/>
                <w:sz w:val="18"/>
                <w:szCs w:val="18"/>
                <w:lang w:eastAsia="sl-SI"/>
              </w:rPr>
            </w:pPr>
            <w:r w:rsidRPr="00A479CA">
              <w:rPr>
                <w:rFonts w:ascii="Arial" w:eastAsia="Times New Roman" w:hAnsi="Arial" w:cs="Arial"/>
                <w:b/>
                <w:bCs/>
                <w:color w:val="000000" w:themeColor="text1"/>
                <w:sz w:val="18"/>
                <w:szCs w:val="18"/>
                <w:lang w:eastAsia="sl-SI"/>
              </w:rPr>
              <w:t>689</w:t>
            </w:r>
          </w:p>
        </w:tc>
        <w:tc>
          <w:tcPr>
            <w:tcW w:w="740" w:type="dxa"/>
            <w:tcBorders>
              <w:top w:val="nil"/>
              <w:left w:val="nil"/>
              <w:bottom w:val="single" w:sz="4" w:space="0" w:color="auto"/>
              <w:right w:val="single" w:sz="4" w:space="0" w:color="auto"/>
            </w:tcBorders>
            <w:shd w:val="clear" w:color="auto" w:fill="F2F2F2" w:themeFill="background1" w:themeFillShade="F2"/>
            <w:noWrap/>
            <w:vAlign w:val="center"/>
            <w:hideMark/>
          </w:tcPr>
          <w:p w14:paraId="5B1CDC9B" w14:textId="74397A0D" w:rsidR="00F7760C" w:rsidRPr="00A479CA" w:rsidRDefault="00F7760C" w:rsidP="00F7760C">
            <w:pPr>
              <w:spacing w:after="0" w:line="240" w:lineRule="auto"/>
              <w:jc w:val="right"/>
              <w:rPr>
                <w:rFonts w:ascii="Arial" w:eastAsia="Times New Roman" w:hAnsi="Arial" w:cs="Arial"/>
                <w:b/>
                <w:bCs/>
                <w:color w:val="000000" w:themeColor="text1"/>
                <w:sz w:val="18"/>
                <w:szCs w:val="18"/>
                <w:lang w:eastAsia="sl-SI"/>
              </w:rPr>
            </w:pPr>
            <w:r w:rsidRPr="00A479CA">
              <w:rPr>
                <w:rFonts w:ascii="Arial" w:eastAsia="Times New Roman" w:hAnsi="Arial" w:cs="Arial"/>
                <w:b/>
                <w:bCs/>
                <w:color w:val="000000" w:themeColor="text1"/>
                <w:sz w:val="18"/>
                <w:szCs w:val="18"/>
                <w:lang w:eastAsia="sl-SI"/>
              </w:rPr>
              <w:t>810</w:t>
            </w:r>
          </w:p>
        </w:tc>
        <w:tc>
          <w:tcPr>
            <w:tcW w:w="1280" w:type="dxa"/>
            <w:tcBorders>
              <w:top w:val="nil"/>
              <w:left w:val="nil"/>
              <w:bottom w:val="single" w:sz="4" w:space="0" w:color="auto"/>
              <w:right w:val="single" w:sz="4" w:space="0" w:color="auto"/>
            </w:tcBorders>
            <w:shd w:val="clear" w:color="auto" w:fill="F2F2F2" w:themeFill="background1" w:themeFillShade="F2"/>
            <w:noWrap/>
            <w:vAlign w:val="center"/>
            <w:hideMark/>
          </w:tcPr>
          <w:p w14:paraId="7D481B91" w14:textId="5E8640CA" w:rsidR="00F7760C" w:rsidRPr="00A479CA" w:rsidRDefault="00F7760C" w:rsidP="00F7760C">
            <w:pPr>
              <w:spacing w:after="0" w:line="240" w:lineRule="auto"/>
              <w:jc w:val="right"/>
              <w:rPr>
                <w:rFonts w:ascii="Arial" w:eastAsia="Times New Roman" w:hAnsi="Arial" w:cs="Arial"/>
                <w:b/>
                <w:bCs/>
                <w:color w:val="000000" w:themeColor="text1"/>
                <w:sz w:val="18"/>
                <w:szCs w:val="18"/>
                <w:lang w:eastAsia="sl-SI"/>
              </w:rPr>
            </w:pPr>
            <w:r w:rsidRPr="00A479CA">
              <w:rPr>
                <w:rFonts w:ascii="Arial" w:eastAsia="Times New Roman" w:hAnsi="Arial" w:cs="Arial"/>
                <w:b/>
                <w:bCs/>
                <w:color w:val="000000" w:themeColor="text1"/>
                <w:sz w:val="18"/>
                <w:szCs w:val="18"/>
                <w:lang w:eastAsia="sl-SI"/>
              </w:rPr>
              <w:t>547.589.483</w:t>
            </w:r>
          </w:p>
        </w:tc>
        <w:tc>
          <w:tcPr>
            <w:tcW w:w="1106" w:type="dxa"/>
            <w:tcBorders>
              <w:top w:val="nil"/>
              <w:left w:val="nil"/>
              <w:bottom w:val="single" w:sz="4" w:space="0" w:color="auto"/>
              <w:right w:val="single" w:sz="4" w:space="0" w:color="auto"/>
            </w:tcBorders>
            <w:shd w:val="clear" w:color="auto" w:fill="F2F2F2" w:themeFill="background1" w:themeFillShade="F2"/>
            <w:noWrap/>
            <w:vAlign w:val="center"/>
            <w:hideMark/>
          </w:tcPr>
          <w:p w14:paraId="52569424" w14:textId="19E8CF18" w:rsidR="00F7760C" w:rsidRPr="00A479CA" w:rsidRDefault="00F7760C" w:rsidP="00F7760C">
            <w:pPr>
              <w:spacing w:after="0" w:line="240" w:lineRule="auto"/>
              <w:jc w:val="right"/>
              <w:rPr>
                <w:rFonts w:ascii="Arial" w:eastAsia="Times New Roman" w:hAnsi="Arial" w:cs="Arial"/>
                <w:b/>
                <w:bCs/>
                <w:color w:val="000000" w:themeColor="text1"/>
                <w:sz w:val="18"/>
                <w:szCs w:val="18"/>
                <w:lang w:eastAsia="sl-SI"/>
              </w:rPr>
            </w:pPr>
            <w:r w:rsidRPr="00A479CA">
              <w:rPr>
                <w:rFonts w:ascii="Arial" w:eastAsia="Times New Roman" w:hAnsi="Arial" w:cs="Arial"/>
                <w:b/>
                <w:bCs/>
                <w:color w:val="000000" w:themeColor="text1"/>
                <w:sz w:val="18"/>
                <w:szCs w:val="18"/>
                <w:lang w:eastAsia="sl-SI"/>
              </w:rPr>
              <w:t>100,00 %</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5E7E1CB1" w14:textId="04305AFD" w:rsidR="00F7760C" w:rsidRPr="00A479CA" w:rsidRDefault="00F7760C" w:rsidP="00F7760C">
            <w:pPr>
              <w:spacing w:after="0" w:line="240" w:lineRule="auto"/>
              <w:jc w:val="right"/>
              <w:rPr>
                <w:rFonts w:ascii="Arial" w:eastAsia="Times New Roman" w:hAnsi="Arial" w:cs="Arial"/>
                <w:b/>
                <w:bCs/>
                <w:color w:val="000000" w:themeColor="text1"/>
                <w:sz w:val="18"/>
                <w:szCs w:val="18"/>
                <w:lang w:eastAsia="sl-SI"/>
              </w:rPr>
            </w:pPr>
            <w:r w:rsidRPr="00A479CA">
              <w:rPr>
                <w:rFonts w:ascii="Arial" w:eastAsia="Times New Roman" w:hAnsi="Arial" w:cs="Arial"/>
                <w:b/>
                <w:bCs/>
                <w:color w:val="000000" w:themeColor="text1"/>
                <w:sz w:val="18"/>
                <w:szCs w:val="18"/>
                <w:lang w:eastAsia="sl-SI"/>
              </w:rPr>
              <w:t>100,00 %</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14:paraId="271F968F" w14:textId="20CE0ACE" w:rsidR="00F7760C" w:rsidRPr="00A479CA" w:rsidRDefault="00F7760C" w:rsidP="00F7760C">
            <w:pPr>
              <w:spacing w:after="0" w:line="240" w:lineRule="auto"/>
              <w:jc w:val="right"/>
              <w:rPr>
                <w:rFonts w:ascii="Arial" w:eastAsia="Times New Roman" w:hAnsi="Arial" w:cs="Arial"/>
                <w:b/>
                <w:bCs/>
                <w:color w:val="000000" w:themeColor="text1"/>
                <w:sz w:val="18"/>
                <w:szCs w:val="18"/>
                <w:lang w:eastAsia="sl-SI"/>
              </w:rPr>
            </w:pPr>
            <w:r w:rsidRPr="00A479CA">
              <w:rPr>
                <w:rFonts w:ascii="Arial" w:eastAsia="Times New Roman" w:hAnsi="Arial" w:cs="Arial"/>
                <w:b/>
                <w:bCs/>
                <w:color w:val="000000" w:themeColor="text1"/>
                <w:sz w:val="18"/>
                <w:szCs w:val="18"/>
                <w:lang w:eastAsia="sl-SI"/>
              </w:rPr>
              <w:t>100,00 %</w:t>
            </w:r>
          </w:p>
        </w:tc>
      </w:tr>
    </w:tbl>
    <w:p w14:paraId="3A7DE4F2" w14:textId="77777777" w:rsidR="003156F5" w:rsidRPr="00A479CA" w:rsidRDefault="003156F5" w:rsidP="003156F5">
      <w:pPr>
        <w:spacing w:after="0" w:line="240" w:lineRule="auto"/>
        <w:jc w:val="center"/>
        <w:rPr>
          <w:rFonts w:ascii="Arial" w:hAnsi="Arial" w:cs="Arial"/>
          <w:color w:val="000000" w:themeColor="text1"/>
          <w:sz w:val="18"/>
        </w:rPr>
      </w:pPr>
    </w:p>
    <w:p w14:paraId="27ECB909" w14:textId="4924F730" w:rsidR="00EE4F5B" w:rsidRPr="00A479CA" w:rsidRDefault="00EE4F5B" w:rsidP="003156F5">
      <w:pPr>
        <w:spacing w:after="0" w:line="240" w:lineRule="auto"/>
        <w:jc w:val="center"/>
        <w:rPr>
          <w:rFonts w:ascii="Arial" w:hAnsi="Arial" w:cs="Arial"/>
          <w:color w:val="000000" w:themeColor="text1"/>
          <w:sz w:val="18"/>
        </w:rPr>
      </w:pPr>
      <w:r w:rsidRPr="00A479CA">
        <w:rPr>
          <w:rFonts w:ascii="Arial" w:hAnsi="Arial" w:cs="Arial"/>
          <w:color w:val="000000" w:themeColor="text1"/>
          <w:sz w:val="18"/>
        </w:rPr>
        <w:t>Vir: Statistični podatki o javnih naročil</w:t>
      </w:r>
      <w:r w:rsidR="000B6669" w:rsidRPr="00A479CA">
        <w:rPr>
          <w:rFonts w:ascii="Arial" w:hAnsi="Arial" w:cs="Arial"/>
          <w:color w:val="000000" w:themeColor="text1"/>
          <w:sz w:val="18"/>
        </w:rPr>
        <w:t>ih, oddanih v letu 20</w:t>
      </w:r>
      <w:r w:rsidR="00264D31" w:rsidRPr="00A479CA">
        <w:rPr>
          <w:rFonts w:ascii="Arial" w:hAnsi="Arial" w:cs="Arial"/>
          <w:color w:val="000000" w:themeColor="text1"/>
          <w:sz w:val="18"/>
        </w:rPr>
        <w:t>2</w:t>
      </w:r>
      <w:r w:rsidR="00F7760C" w:rsidRPr="00A479CA">
        <w:rPr>
          <w:rFonts w:ascii="Arial" w:hAnsi="Arial" w:cs="Arial"/>
          <w:color w:val="000000" w:themeColor="text1"/>
          <w:sz w:val="18"/>
        </w:rPr>
        <w:t>3</w:t>
      </w:r>
      <w:r w:rsidR="00210A86" w:rsidRPr="00A479CA">
        <w:rPr>
          <w:rFonts w:ascii="Arial" w:hAnsi="Arial" w:cs="Arial"/>
          <w:color w:val="000000" w:themeColor="text1"/>
          <w:sz w:val="18"/>
        </w:rPr>
        <w:t>.</w:t>
      </w:r>
    </w:p>
    <w:p w14:paraId="3076CE8E" w14:textId="245BBED8" w:rsidR="00C63E46" w:rsidRPr="00637ACF" w:rsidRDefault="00C63E46" w:rsidP="00854405">
      <w:pPr>
        <w:pStyle w:val="ZADEVA"/>
        <w:jc w:val="both"/>
        <w:rPr>
          <w:rFonts w:cs="Arial"/>
          <w:b w:val="0"/>
          <w:color w:val="000000" w:themeColor="text1"/>
          <w:szCs w:val="20"/>
          <w:highlight w:val="yellow"/>
          <w:lang w:val="sl-SI"/>
        </w:rPr>
      </w:pPr>
    </w:p>
    <w:p w14:paraId="6DD3D1C0" w14:textId="67A92374" w:rsidR="005F64F2" w:rsidRPr="00A479CA" w:rsidRDefault="005F64F2" w:rsidP="005F64F2">
      <w:pPr>
        <w:pStyle w:val="Standard"/>
        <w:spacing w:line="360" w:lineRule="auto"/>
        <w:rPr>
          <w:rFonts w:cs="Arial"/>
          <w:color w:val="000000" w:themeColor="text1"/>
          <w:sz w:val="20"/>
          <w:szCs w:val="20"/>
        </w:rPr>
      </w:pPr>
      <w:r w:rsidRPr="00A479CA">
        <w:rPr>
          <w:rFonts w:cs="Arial"/>
          <w:color w:val="000000" w:themeColor="text1"/>
          <w:sz w:val="20"/>
          <w:szCs w:val="20"/>
        </w:rPr>
        <w:t>Pri analizi statističnih podatkov je bilo ugotovljeno, da so naročniki v objavi obvestila o oddaji javnega naročila, oddan</w:t>
      </w:r>
      <w:r w:rsidR="00356A90" w:rsidRPr="00A479CA">
        <w:rPr>
          <w:rFonts w:cs="Arial"/>
          <w:color w:val="000000" w:themeColor="text1"/>
          <w:sz w:val="20"/>
          <w:szCs w:val="20"/>
        </w:rPr>
        <w:t>ega</w:t>
      </w:r>
      <w:r w:rsidRPr="00A479CA">
        <w:rPr>
          <w:rFonts w:cs="Arial"/>
          <w:color w:val="000000" w:themeColor="text1"/>
          <w:sz w:val="20"/>
          <w:szCs w:val="20"/>
        </w:rPr>
        <w:t xml:space="preserve"> na podlagi izvedenega postopka javnega naročanja</w:t>
      </w:r>
      <w:r w:rsidR="003E4A6B" w:rsidRPr="00A479CA">
        <w:rPr>
          <w:rFonts w:cs="Arial"/>
          <w:color w:val="000000" w:themeColor="text1"/>
          <w:sz w:val="20"/>
          <w:szCs w:val="20"/>
        </w:rPr>
        <w:t>,</w:t>
      </w:r>
      <w:r w:rsidRPr="00A479CA">
        <w:rPr>
          <w:rFonts w:cs="Arial"/>
          <w:color w:val="000000" w:themeColor="text1"/>
          <w:sz w:val="20"/>
          <w:szCs w:val="20"/>
        </w:rPr>
        <w:t xml:space="preserve"> za kater</w:t>
      </w:r>
      <w:r w:rsidR="00EE5CA0" w:rsidRPr="00A479CA">
        <w:rPr>
          <w:rFonts w:cs="Arial"/>
          <w:color w:val="000000" w:themeColor="text1"/>
          <w:sz w:val="20"/>
          <w:szCs w:val="20"/>
        </w:rPr>
        <w:t>ega</w:t>
      </w:r>
      <w:r w:rsidRPr="00A479CA">
        <w:rPr>
          <w:rFonts w:cs="Arial"/>
          <w:color w:val="000000" w:themeColor="text1"/>
          <w:sz w:val="20"/>
          <w:szCs w:val="20"/>
        </w:rPr>
        <w:t xml:space="preserve"> predhodno ni bilo objavljeno obvestilo o javnem naročilu, hkrati označili več utemeljitev</w:t>
      </w:r>
      <w:r w:rsidR="00EE3686" w:rsidRPr="00A479CA">
        <w:rPr>
          <w:rFonts w:cs="Arial"/>
          <w:color w:val="000000" w:themeColor="text1"/>
          <w:sz w:val="20"/>
          <w:szCs w:val="20"/>
        </w:rPr>
        <w:t xml:space="preserve">. </w:t>
      </w:r>
      <w:r w:rsidR="00EE5CA0" w:rsidRPr="00A479CA">
        <w:rPr>
          <w:rFonts w:cs="Arial"/>
          <w:color w:val="000000" w:themeColor="text1"/>
          <w:sz w:val="20"/>
          <w:szCs w:val="20"/>
        </w:rPr>
        <w:t xml:space="preserve">Zaradi navedenega </w:t>
      </w:r>
      <w:r w:rsidRPr="00A479CA">
        <w:rPr>
          <w:rFonts w:cs="Arial"/>
          <w:color w:val="000000" w:themeColor="text1"/>
          <w:sz w:val="20"/>
          <w:szCs w:val="20"/>
        </w:rPr>
        <w:t>število izvedenih postopkov</w:t>
      </w:r>
      <w:r w:rsidR="00EE5CA0" w:rsidRPr="00A479CA">
        <w:rPr>
          <w:rFonts w:cs="Arial"/>
          <w:color w:val="000000" w:themeColor="text1"/>
          <w:sz w:val="20"/>
          <w:szCs w:val="20"/>
        </w:rPr>
        <w:t>, oddanih naročil</w:t>
      </w:r>
      <w:r w:rsidRPr="00A479CA">
        <w:rPr>
          <w:rFonts w:cs="Arial"/>
          <w:color w:val="000000" w:themeColor="text1"/>
          <w:sz w:val="20"/>
          <w:szCs w:val="20"/>
        </w:rPr>
        <w:t xml:space="preserve"> in vrednost oddanih naročil v nadaljevanju opisanih utemeljitev presega</w:t>
      </w:r>
      <w:r w:rsidR="00356A90" w:rsidRPr="00A479CA">
        <w:rPr>
          <w:rFonts w:cs="Arial"/>
          <w:color w:val="000000" w:themeColor="text1"/>
          <w:sz w:val="20"/>
          <w:szCs w:val="20"/>
        </w:rPr>
        <w:t>jo</w:t>
      </w:r>
      <w:r w:rsidRPr="00A479CA">
        <w:rPr>
          <w:rFonts w:cs="Arial"/>
          <w:color w:val="000000" w:themeColor="text1"/>
          <w:sz w:val="20"/>
          <w:szCs w:val="20"/>
        </w:rPr>
        <w:t xml:space="preserve"> število in vrednost oddanih naročil</w:t>
      </w:r>
      <w:r w:rsidR="00EE5CA0" w:rsidRPr="00A479CA">
        <w:rPr>
          <w:rFonts w:cs="Arial"/>
          <w:color w:val="000000" w:themeColor="text1"/>
          <w:sz w:val="20"/>
          <w:szCs w:val="20"/>
        </w:rPr>
        <w:t xml:space="preserve"> na podlagi izvedenega postopka javnega naročanja</w:t>
      </w:r>
      <w:r w:rsidR="003E4A6B" w:rsidRPr="00A479CA">
        <w:rPr>
          <w:rFonts w:cs="Arial"/>
          <w:color w:val="000000" w:themeColor="text1"/>
          <w:sz w:val="20"/>
          <w:szCs w:val="20"/>
        </w:rPr>
        <w:t>,</w:t>
      </w:r>
      <w:r w:rsidR="00EE5CA0" w:rsidRPr="00A479CA">
        <w:rPr>
          <w:rFonts w:cs="Arial"/>
          <w:color w:val="000000" w:themeColor="text1"/>
          <w:sz w:val="20"/>
          <w:szCs w:val="20"/>
        </w:rPr>
        <w:t xml:space="preserve"> za katerega obvestilo o javnem naročilu</w:t>
      </w:r>
      <w:r w:rsidR="00475C0E" w:rsidRPr="00A479CA">
        <w:rPr>
          <w:rFonts w:cs="Arial"/>
          <w:color w:val="000000" w:themeColor="text1"/>
          <w:sz w:val="20"/>
          <w:szCs w:val="20"/>
        </w:rPr>
        <w:t xml:space="preserve"> predhodno ni bilo objavljeno</w:t>
      </w:r>
      <w:r w:rsidRPr="00A479CA">
        <w:rPr>
          <w:rFonts w:cs="Arial"/>
          <w:color w:val="000000" w:themeColor="text1"/>
          <w:sz w:val="20"/>
          <w:szCs w:val="20"/>
        </w:rPr>
        <w:t>.</w:t>
      </w:r>
    </w:p>
    <w:p w14:paraId="5E49E455" w14:textId="7B5569B0" w:rsidR="00BD691F" w:rsidRPr="00A479CA" w:rsidRDefault="00E430F6" w:rsidP="008A61FD">
      <w:pPr>
        <w:spacing w:before="120" w:after="120" w:line="240" w:lineRule="auto"/>
        <w:jc w:val="both"/>
        <w:rPr>
          <w:rFonts w:ascii="Arial" w:hAnsi="Arial" w:cs="Arial"/>
          <w:color w:val="000000" w:themeColor="text1"/>
          <w:sz w:val="20"/>
        </w:rPr>
      </w:pPr>
      <w:r w:rsidRPr="00A479CA">
        <w:rPr>
          <w:rFonts w:ascii="Arial" w:hAnsi="Arial" w:cs="Arial"/>
          <w:color w:val="000000" w:themeColor="text1"/>
          <w:sz w:val="20"/>
        </w:rPr>
        <w:t xml:space="preserve">Preglednica </w:t>
      </w:r>
      <w:r w:rsidR="00EB4423" w:rsidRPr="00A479CA">
        <w:rPr>
          <w:rFonts w:ascii="Arial" w:hAnsi="Arial" w:cs="Arial"/>
          <w:color w:val="000000" w:themeColor="text1"/>
          <w:sz w:val="20"/>
        </w:rPr>
        <w:t>1</w:t>
      </w:r>
      <w:r w:rsidR="00512F52" w:rsidRPr="00A479CA">
        <w:rPr>
          <w:rFonts w:ascii="Arial" w:hAnsi="Arial" w:cs="Arial"/>
          <w:color w:val="000000" w:themeColor="text1"/>
          <w:sz w:val="20"/>
        </w:rPr>
        <w:t>2</w:t>
      </w:r>
      <w:r w:rsidR="00EE5CA0" w:rsidRPr="00A479CA">
        <w:rPr>
          <w:rFonts w:ascii="Arial" w:hAnsi="Arial" w:cs="Arial"/>
          <w:color w:val="000000" w:themeColor="text1"/>
          <w:sz w:val="20"/>
        </w:rPr>
        <w:t>: Utemeljitev uporabe postopka</w:t>
      </w:r>
      <w:r w:rsidR="003E4A6B" w:rsidRPr="00A479CA">
        <w:rPr>
          <w:rFonts w:ascii="Arial" w:hAnsi="Arial" w:cs="Arial"/>
          <w:color w:val="000000" w:themeColor="text1"/>
          <w:sz w:val="20"/>
        </w:rPr>
        <w:t>,</w:t>
      </w:r>
      <w:r w:rsidR="00EE5CA0" w:rsidRPr="00A479CA">
        <w:rPr>
          <w:rFonts w:ascii="Arial" w:hAnsi="Arial" w:cs="Arial"/>
          <w:color w:val="000000" w:themeColor="text1"/>
          <w:sz w:val="20"/>
        </w:rPr>
        <w:t xml:space="preserve"> za katerega obvestilo o javnem naročilu</w:t>
      </w:r>
      <w:r w:rsidR="00475C0E" w:rsidRPr="00A479CA">
        <w:rPr>
          <w:rFonts w:ascii="Arial" w:hAnsi="Arial" w:cs="Arial"/>
          <w:color w:val="000000" w:themeColor="text1"/>
          <w:sz w:val="20"/>
        </w:rPr>
        <w:t xml:space="preserve"> ni bilo objavljeno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6"/>
        <w:gridCol w:w="3365"/>
        <w:gridCol w:w="1231"/>
        <w:gridCol w:w="2492"/>
      </w:tblGrid>
      <w:tr w:rsidR="00F71898" w:rsidRPr="00A479CA" w14:paraId="36877FA7" w14:textId="77777777" w:rsidTr="007C446C">
        <w:trPr>
          <w:trHeight w:val="300"/>
          <w:tblHeader/>
        </w:trPr>
        <w:tc>
          <w:tcPr>
            <w:tcW w:w="1325" w:type="pct"/>
            <w:shd w:val="clear" w:color="000000" w:fill="F2F2F2"/>
            <w:noWrap/>
            <w:vAlign w:val="center"/>
            <w:hideMark/>
          </w:tcPr>
          <w:p w14:paraId="1F085621" w14:textId="77777777" w:rsidR="00E05BE2" w:rsidRPr="00A479CA" w:rsidRDefault="00E05BE2" w:rsidP="00E05BE2">
            <w:pPr>
              <w:spacing w:after="0" w:line="240" w:lineRule="auto"/>
              <w:jc w:val="center"/>
              <w:rPr>
                <w:rFonts w:ascii="Arial" w:hAnsi="Arial" w:cs="Arial"/>
                <w:color w:val="000000" w:themeColor="text1"/>
                <w:sz w:val="18"/>
                <w:szCs w:val="18"/>
              </w:rPr>
            </w:pPr>
            <w:r w:rsidRPr="00A479CA">
              <w:rPr>
                <w:rFonts w:ascii="Arial" w:hAnsi="Arial" w:cs="Arial"/>
                <w:color w:val="000000" w:themeColor="text1"/>
                <w:sz w:val="18"/>
                <w:szCs w:val="18"/>
              </w:rPr>
              <w:t>Utemeljitev</w:t>
            </w:r>
          </w:p>
        </w:tc>
        <w:tc>
          <w:tcPr>
            <w:tcW w:w="2022" w:type="pct"/>
            <w:shd w:val="clear" w:color="000000" w:fill="F2F2F2"/>
            <w:noWrap/>
            <w:vAlign w:val="center"/>
            <w:hideMark/>
          </w:tcPr>
          <w:p w14:paraId="1DDCE185" w14:textId="77777777" w:rsidR="00E05BE2" w:rsidRPr="00A479CA" w:rsidRDefault="00E05BE2" w:rsidP="00E05BE2">
            <w:pPr>
              <w:spacing w:after="0" w:line="240" w:lineRule="auto"/>
              <w:jc w:val="center"/>
              <w:rPr>
                <w:rFonts w:ascii="Arial" w:hAnsi="Arial" w:cs="Arial"/>
                <w:color w:val="000000" w:themeColor="text1"/>
                <w:sz w:val="18"/>
                <w:szCs w:val="18"/>
              </w:rPr>
            </w:pPr>
            <w:r w:rsidRPr="00A479CA">
              <w:rPr>
                <w:rFonts w:ascii="Arial" w:hAnsi="Arial" w:cs="Arial"/>
                <w:color w:val="000000" w:themeColor="text1"/>
                <w:sz w:val="18"/>
                <w:szCs w:val="18"/>
              </w:rPr>
              <w:t>Vrsta postopka</w:t>
            </w:r>
          </w:p>
        </w:tc>
        <w:tc>
          <w:tcPr>
            <w:tcW w:w="671" w:type="pct"/>
            <w:shd w:val="clear" w:color="000000" w:fill="F2F2F2"/>
            <w:noWrap/>
            <w:vAlign w:val="center"/>
            <w:hideMark/>
          </w:tcPr>
          <w:p w14:paraId="3DC46144" w14:textId="77777777" w:rsidR="00E05BE2" w:rsidRPr="00A479CA" w:rsidRDefault="00E05BE2" w:rsidP="00E05BE2">
            <w:pPr>
              <w:spacing w:after="0" w:line="240" w:lineRule="auto"/>
              <w:jc w:val="center"/>
              <w:rPr>
                <w:rFonts w:ascii="Arial" w:hAnsi="Arial" w:cs="Arial"/>
                <w:color w:val="000000" w:themeColor="text1"/>
                <w:sz w:val="18"/>
                <w:szCs w:val="18"/>
              </w:rPr>
            </w:pPr>
            <w:r w:rsidRPr="00A479CA">
              <w:rPr>
                <w:rFonts w:ascii="Arial" w:hAnsi="Arial" w:cs="Arial"/>
                <w:color w:val="000000" w:themeColor="text1"/>
                <w:sz w:val="18"/>
                <w:szCs w:val="18"/>
              </w:rPr>
              <w:t>Št. postopkov</w:t>
            </w:r>
          </w:p>
        </w:tc>
        <w:tc>
          <w:tcPr>
            <w:tcW w:w="982" w:type="pct"/>
            <w:shd w:val="clear" w:color="000000" w:fill="F2F2F2"/>
            <w:noWrap/>
            <w:vAlign w:val="center"/>
            <w:hideMark/>
          </w:tcPr>
          <w:p w14:paraId="31D43F27" w14:textId="0F0ACFA8" w:rsidR="00E05BE2" w:rsidRPr="00A479CA" w:rsidRDefault="00E05BE2" w:rsidP="00E05BE2">
            <w:pPr>
              <w:spacing w:after="0" w:line="240" w:lineRule="auto"/>
              <w:jc w:val="center"/>
              <w:rPr>
                <w:rFonts w:ascii="Arial" w:hAnsi="Arial" w:cs="Arial"/>
                <w:color w:val="000000" w:themeColor="text1"/>
                <w:sz w:val="18"/>
                <w:szCs w:val="18"/>
              </w:rPr>
            </w:pPr>
            <w:r w:rsidRPr="00A479CA">
              <w:rPr>
                <w:rFonts w:ascii="Arial" w:hAnsi="Arial" w:cs="Arial"/>
                <w:color w:val="000000" w:themeColor="text1"/>
                <w:sz w:val="18"/>
                <w:szCs w:val="18"/>
              </w:rPr>
              <w:t>Pogodbena vrednost</w:t>
            </w:r>
            <w:r w:rsidR="00606A58" w:rsidRPr="00A479CA">
              <w:rPr>
                <w:rFonts w:ascii="Arial" w:hAnsi="Arial" w:cs="Arial"/>
                <w:color w:val="000000" w:themeColor="text1"/>
                <w:sz w:val="18"/>
                <w:szCs w:val="18"/>
              </w:rPr>
              <w:t xml:space="preserve"> </w:t>
            </w:r>
            <w:r w:rsidR="00606A58" w:rsidRPr="00A479CA">
              <w:rPr>
                <w:rFonts w:ascii="Arial" w:eastAsia="Times New Roman" w:hAnsi="Arial" w:cs="Arial"/>
                <w:color w:val="000000" w:themeColor="text1"/>
                <w:sz w:val="18"/>
                <w:szCs w:val="18"/>
                <w:lang w:eastAsia="sl-SI"/>
              </w:rPr>
              <w:t>(v EUR)</w:t>
            </w:r>
          </w:p>
        </w:tc>
      </w:tr>
      <w:tr w:rsidR="007C446C" w:rsidRPr="00A479CA" w14:paraId="19D1E386" w14:textId="77777777" w:rsidTr="007C446C">
        <w:trPr>
          <w:trHeight w:val="300"/>
        </w:trPr>
        <w:tc>
          <w:tcPr>
            <w:tcW w:w="1325" w:type="pct"/>
            <w:shd w:val="clear" w:color="auto" w:fill="auto"/>
            <w:vAlign w:val="center"/>
            <w:hideMark/>
          </w:tcPr>
          <w:p w14:paraId="07390443"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Tehnični ali umetniški razlogi ali izključne pravice</w:t>
            </w:r>
          </w:p>
        </w:tc>
        <w:tc>
          <w:tcPr>
            <w:tcW w:w="2022" w:type="pct"/>
            <w:shd w:val="clear" w:color="auto" w:fill="auto"/>
            <w:vAlign w:val="center"/>
            <w:hideMark/>
          </w:tcPr>
          <w:p w14:paraId="3165229B"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0FED6ADB" w14:textId="0CCBD1EE"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371</w:t>
            </w:r>
          </w:p>
        </w:tc>
        <w:tc>
          <w:tcPr>
            <w:tcW w:w="982" w:type="pct"/>
            <w:shd w:val="clear" w:color="auto" w:fill="auto"/>
            <w:vAlign w:val="center"/>
            <w:hideMark/>
          </w:tcPr>
          <w:p w14:paraId="2228FF2B" w14:textId="1E7A3B21"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210.021.947</w:t>
            </w:r>
          </w:p>
        </w:tc>
      </w:tr>
      <w:tr w:rsidR="007C446C" w:rsidRPr="00A479CA" w14:paraId="2FBBF7A6" w14:textId="77777777" w:rsidTr="007C446C">
        <w:trPr>
          <w:trHeight w:val="300"/>
        </w:trPr>
        <w:tc>
          <w:tcPr>
            <w:tcW w:w="1325" w:type="pct"/>
            <w:shd w:val="clear" w:color="auto" w:fill="auto"/>
            <w:vAlign w:val="center"/>
            <w:hideMark/>
          </w:tcPr>
          <w:p w14:paraId="2412496C"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Nujnost in nepredvidljivost</w:t>
            </w:r>
          </w:p>
        </w:tc>
        <w:tc>
          <w:tcPr>
            <w:tcW w:w="2022" w:type="pct"/>
            <w:shd w:val="clear" w:color="auto" w:fill="auto"/>
            <w:vAlign w:val="center"/>
            <w:hideMark/>
          </w:tcPr>
          <w:p w14:paraId="6C97817C"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0B4F564E" w14:textId="35B63795"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76</w:t>
            </w:r>
          </w:p>
        </w:tc>
        <w:tc>
          <w:tcPr>
            <w:tcW w:w="982" w:type="pct"/>
            <w:shd w:val="clear" w:color="auto" w:fill="auto"/>
            <w:vAlign w:val="center"/>
            <w:hideMark/>
          </w:tcPr>
          <w:p w14:paraId="7DAEA34F" w14:textId="6995F7CF"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36.169.800</w:t>
            </w:r>
          </w:p>
        </w:tc>
      </w:tr>
      <w:tr w:rsidR="007C446C" w:rsidRPr="00A479CA" w14:paraId="5DD79CAD" w14:textId="77777777" w:rsidTr="007C446C">
        <w:trPr>
          <w:trHeight w:val="300"/>
        </w:trPr>
        <w:tc>
          <w:tcPr>
            <w:tcW w:w="1325" w:type="pct"/>
            <w:vMerge w:val="restart"/>
            <w:shd w:val="clear" w:color="auto" w:fill="auto"/>
            <w:vAlign w:val="center"/>
          </w:tcPr>
          <w:p w14:paraId="06CF3087" w14:textId="724F6F22"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Neuspešno izvedeni predhodni postopek</w:t>
            </w:r>
          </w:p>
        </w:tc>
        <w:tc>
          <w:tcPr>
            <w:tcW w:w="2022" w:type="pct"/>
            <w:shd w:val="clear" w:color="auto" w:fill="auto"/>
            <w:vAlign w:val="center"/>
          </w:tcPr>
          <w:p w14:paraId="55855EAB" w14:textId="0BDC8C1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Konkurenčni dialog</w:t>
            </w:r>
          </w:p>
        </w:tc>
        <w:tc>
          <w:tcPr>
            <w:tcW w:w="671" w:type="pct"/>
            <w:shd w:val="clear" w:color="auto" w:fill="auto"/>
            <w:vAlign w:val="center"/>
          </w:tcPr>
          <w:p w14:paraId="788DA5BA" w14:textId="26F702BB"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w:t>
            </w:r>
          </w:p>
        </w:tc>
        <w:tc>
          <w:tcPr>
            <w:tcW w:w="982" w:type="pct"/>
            <w:shd w:val="clear" w:color="auto" w:fill="auto"/>
            <w:vAlign w:val="center"/>
          </w:tcPr>
          <w:p w14:paraId="6D1BC814" w14:textId="6D30987F"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6.625.960</w:t>
            </w:r>
          </w:p>
        </w:tc>
      </w:tr>
      <w:tr w:rsidR="007C446C" w:rsidRPr="00A479CA" w14:paraId="35AC33D0" w14:textId="77777777" w:rsidTr="007C446C">
        <w:trPr>
          <w:trHeight w:val="300"/>
        </w:trPr>
        <w:tc>
          <w:tcPr>
            <w:tcW w:w="1325" w:type="pct"/>
            <w:vMerge/>
            <w:shd w:val="clear" w:color="auto" w:fill="auto"/>
            <w:vAlign w:val="center"/>
          </w:tcPr>
          <w:p w14:paraId="33A28AF7" w14:textId="41B90707" w:rsidR="007C446C" w:rsidRPr="00A479CA" w:rsidRDefault="007C446C" w:rsidP="007C446C">
            <w:pPr>
              <w:spacing w:after="0" w:line="240" w:lineRule="auto"/>
              <w:rPr>
                <w:rFonts w:ascii="Arial" w:hAnsi="Arial" w:cs="Arial"/>
                <w:color w:val="000000" w:themeColor="text1"/>
                <w:sz w:val="18"/>
                <w:szCs w:val="18"/>
              </w:rPr>
            </w:pPr>
          </w:p>
        </w:tc>
        <w:tc>
          <w:tcPr>
            <w:tcW w:w="2022" w:type="pct"/>
            <w:shd w:val="clear" w:color="auto" w:fill="auto"/>
            <w:vAlign w:val="center"/>
          </w:tcPr>
          <w:p w14:paraId="7DB9F1B4" w14:textId="7C5734CC"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Konkurenčni postopek s pogajanji</w:t>
            </w:r>
          </w:p>
        </w:tc>
        <w:tc>
          <w:tcPr>
            <w:tcW w:w="671" w:type="pct"/>
            <w:shd w:val="clear" w:color="auto" w:fill="auto"/>
            <w:vAlign w:val="center"/>
          </w:tcPr>
          <w:p w14:paraId="617A8DA2" w14:textId="38916F45"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37</w:t>
            </w:r>
          </w:p>
        </w:tc>
        <w:tc>
          <w:tcPr>
            <w:tcW w:w="982" w:type="pct"/>
            <w:shd w:val="clear" w:color="auto" w:fill="auto"/>
            <w:vAlign w:val="center"/>
          </w:tcPr>
          <w:p w14:paraId="35987ACF" w14:textId="3E6678F7"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30.970.041</w:t>
            </w:r>
          </w:p>
        </w:tc>
      </w:tr>
      <w:tr w:rsidR="007C446C" w:rsidRPr="00A479CA" w14:paraId="514A8763" w14:textId="77777777" w:rsidTr="007C446C">
        <w:trPr>
          <w:trHeight w:val="300"/>
        </w:trPr>
        <w:tc>
          <w:tcPr>
            <w:tcW w:w="1325" w:type="pct"/>
            <w:vMerge/>
            <w:shd w:val="clear" w:color="auto" w:fill="auto"/>
            <w:vAlign w:val="center"/>
            <w:hideMark/>
          </w:tcPr>
          <w:p w14:paraId="59186F26" w14:textId="409D423C" w:rsidR="007C446C" w:rsidRPr="00A479CA" w:rsidRDefault="007C446C" w:rsidP="007C446C">
            <w:pPr>
              <w:spacing w:after="0" w:line="240" w:lineRule="auto"/>
              <w:rPr>
                <w:rFonts w:ascii="Arial" w:hAnsi="Arial" w:cs="Arial"/>
                <w:color w:val="000000" w:themeColor="text1"/>
                <w:sz w:val="18"/>
                <w:szCs w:val="18"/>
              </w:rPr>
            </w:pPr>
          </w:p>
        </w:tc>
        <w:tc>
          <w:tcPr>
            <w:tcW w:w="2022" w:type="pct"/>
            <w:shd w:val="clear" w:color="auto" w:fill="auto"/>
            <w:vAlign w:val="center"/>
            <w:hideMark/>
          </w:tcPr>
          <w:p w14:paraId="196CE876" w14:textId="11A401FF"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021EC0AD" w14:textId="3A60631A"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90</w:t>
            </w:r>
          </w:p>
        </w:tc>
        <w:tc>
          <w:tcPr>
            <w:tcW w:w="982" w:type="pct"/>
            <w:shd w:val="clear" w:color="auto" w:fill="auto"/>
            <w:vAlign w:val="center"/>
            <w:hideMark/>
          </w:tcPr>
          <w:p w14:paraId="70D25D19" w14:textId="4801238E"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73.741.862</w:t>
            </w:r>
          </w:p>
        </w:tc>
      </w:tr>
      <w:tr w:rsidR="007C446C" w:rsidRPr="00A479CA" w14:paraId="1426E025" w14:textId="77777777" w:rsidTr="007C446C">
        <w:trPr>
          <w:trHeight w:val="300"/>
        </w:trPr>
        <w:tc>
          <w:tcPr>
            <w:tcW w:w="1325" w:type="pct"/>
            <w:vMerge/>
            <w:vAlign w:val="center"/>
            <w:hideMark/>
          </w:tcPr>
          <w:p w14:paraId="3338C2BF" w14:textId="77777777" w:rsidR="007C446C" w:rsidRPr="00A479CA" w:rsidRDefault="007C446C" w:rsidP="007C446C">
            <w:pPr>
              <w:spacing w:after="0" w:line="240" w:lineRule="auto"/>
              <w:rPr>
                <w:rFonts w:ascii="Arial" w:hAnsi="Arial" w:cs="Arial"/>
                <w:color w:val="000000" w:themeColor="text1"/>
                <w:sz w:val="18"/>
                <w:szCs w:val="18"/>
              </w:rPr>
            </w:pPr>
          </w:p>
        </w:tc>
        <w:tc>
          <w:tcPr>
            <w:tcW w:w="2022" w:type="pct"/>
            <w:shd w:val="clear" w:color="auto" w:fill="auto"/>
            <w:vAlign w:val="center"/>
            <w:hideMark/>
          </w:tcPr>
          <w:p w14:paraId="2393F4CD" w14:textId="02E2ADC2"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Partnerstvo za inovacije</w:t>
            </w:r>
          </w:p>
        </w:tc>
        <w:tc>
          <w:tcPr>
            <w:tcW w:w="671" w:type="pct"/>
            <w:shd w:val="clear" w:color="auto" w:fill="auto"/>
            <w:vAlign w:val="center"/>
            <w:hideMark/>
          </w:tcPr>
          <w:p w14:paraId="7E232706" w14:textId="5D7146C3"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w:t>
            </w:r>
          </w:p>
        </w:tc>
        <w:tc>
          <w:tcPr>
            <w:tcW w:w="982" w:type="pct"/>
            <w:shd w:val="clear" w:color="auto" w:fill="auto"/>
            <w:vAlign w:val="center"/>
            <w:hideMark/>
          </w:tcPr>
          <w:p w14:paraId="259D071E" w14:textId="72713118"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79.800</w:t>
            </w:r>
          </w:p>
        </w:tc>
      </w:tr>
      <w:tr w:rsidR="007C446C" w:rsidRPr="00A479CA" w14:paraId="48E50B78" w14:textId="77777777" w:rsidTr="007C446C">
        <w:trPr>
          <w:trHeight w:val="300"/>
        </w:trPr>
        <w:tc>
          <w:tcPr>
            <w:tcW w:w="1325" w:type="pct"/>
            <w:vMerge/>
            <w:vAlign w:val="center"/>
            <w:hideMark/>
          </w:tcPr>
          <w:p w14:paraId="3271A18A" w14:textId="77777777" w:rsidR="007C446C" w:rsidRPr="00A479CA" w:rsidRDefault="007C446C" w:rsidP="007C446C">
            <w:pPr>
              <w:spacing w:after="0" w:line="240" w:lineRule="auto"/>
              <w:rPr>
                <w:rFonts w:ascii="Arial" w:hAnsi="Arial" w:cs="Arial"/>
                <w:color w:val="000000" w:themeColor="text1"/>
                <w:sz w:val="18"/>
                <w:szCs w:val="18"/>
              </w:rPr>
            </w:pPr>
          </w:p>
        </w:tc>
        <w:tc>
          <w:tcPr>
            <w:tcW w:w="2022" w:type="pct"/>
            <w:shd w:val="clear" w:color="auto" w:fill="auto"/>
            <w:vAlign w:val="center"/>
            <w:hideMark/>
          </w:tcPr>
          <w:p w14:paraId="4C4F0A84" w14:textId="77777777" w:rsidR="007C446C" w:rsidRPr="00A479CA" w:rsidRDefault="007C446C" w:rsidP="007C446C">
            <w:pPr>
              <w:spacing w:after="0" w:line="240" w:lineRule="auto"/>
              <w:rPr>
                <w:rFonts w:ascii="Arial" w:hAnsi="Arial" w:cs="Arial"/>
                <w:b/>
                <w:bCs/>
                <w:color w:val="000000" w:themeColor="text1"/>
                <w:sz w:val="18"/>
                <w:szCs w:val="18"/>
              </w:rPr>
            </w:pPr>
            <w:r w:rsidRPr="00A479CA">
              <w:rPr>
                <w:rFonts w:ascii="Arial" w:hAnsi="Arial" w:cs="Arial"/>
                <w:b/>
                <w:bCs/>
                <w:color w:val="000000" w:themeColor="text1"/>
                <w:sz w:val="18"/>
                <w:szCs w:val="18"/>
              </w:rPr>
              <w:t>Skupaj</w:t>
            </w:r>
          </w:p>
        </w:tc>
        <w:tc>
          <w:tcPr>
            <w:tcW w:w="671" w:type="pct"/>
            <w:shd w:val="clear" w:color="auto" w:fill="auto"/>
            <w:vAlign w:val="center"/>
            <w:hideMark/>
          </w:tcPr>
          <w:p w14:paraId="0F534C90" w14:textId="34126CCF" w:rsidR="007C446C" w:rsidRPr="00A479CA" w:rsidRDefault="007C446C" w:rsidP="007C446C">
            <w:pPr>
              <w:spacing w:after="0" w:line="240" w:lineRule="auto"/>
              <w:jc w:val="right"/>
              <w:rPr>
                <w:rFonts w:ascii="Arial" w:hAnsi="Arial" w:cs="Arial"/>
                <w:b/>
                <w:bCs/>
                <w:color w:val="000000" w:themeColor="text1"/>
                <w:sz w:val="18"/>
                <w:szCs w:val="18"/>
              </w:rPr>
            </w:pPr>
            <w:r w:rsidRPr="00A479CA">
              <w:rPr>
                <w:rFonts w:ascii="Arial" w:hAnsi="Arial" w:cs="Arial"/>
                <w:b/>
                <w:bCs/>
                <w:color w:val="000000" w:themeColor="text1"/>
                <w:sz w:val="18"/>
                <w:szCs w:val="18"/>
              </w:rPr>
              <w:t>130</w:t>
            </w:r>
          </w:p>
        </w:tc>
        <w:tc>
          <w:tcPr>
            <w:tcW w:w="982" w:type="pct"/>
            <w:shd w:val="clear" w:color="auto" w:fill="auto"/>
            <w:vAlign w:val="center"/>
            <w:hideMark/>
          </w:tcPr>
          <w:p w14:paraId="09ACE54A" w14:textId="0B37583C" w:rsidR="007C446C" w:rsidRPr="00A479CA" w:rsidRDefault="007C446C" w:rsidP="007C446C">
            <w:pPr>
              <w:spacing w:after="0" w:line="240" w:lineRule="auto"/>
              <w:jc w:val="right"/>
              <w:rPr>
                <w:rFonts w:ascii="Arial" w:hAnsi="Arial" w:cs="Arial"/>
                <w:b/>
                <w:bCs/>
                <w:color w:val="000000" w:themeColor="text1"/>
                <w:sz w:val="18"/>
                <w:szCs w:val="18"/>
              </w:rPr>
            </w:pPr>
            <w:r w:rsidRPr="00A479CA">
              <w:rPr>
                <w:rFonts w:ascii="Arial" w:hAnsi="Arial" w:cs="Arial"/>
                <w:b/>
                <w:bCs/>
                <w:color w:val="000000" w:themeColor="text1"/>
                <w:sz w:val="18"/>
                <w:szCs w:val="18"/>
              </w:rPr>
              <w:t>111.417.663</w:t>
            </w:r>
          </w:p>
        </w:tc>
      </w:tr>
      <w:tr w:rsidR="007C446C" w:rsidRPr="00A479CA" w14:paraId="045A6A11" w14:textId="77777777" w:rsidTr="007C446C">
        <w:trPr>
          <w:trHeight w:val="300"/>
        </w:trPr>
        <w:tc>
          <w:tcPr>
            <w:tcW w:w="1325" w:type="pct"/>
            <w:shd w:val="clear" w:color="auto" w:fill="auto"/>
            <w:vAlign w:val="center"/>
            <w:hideMark/>
          </w:tcPr>
          <w:p w14:paraId="15F5CE4B" w14:textId="0887C696"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Dodatni nakupi blaga ali dodatne gradnje oziroma storitve</w:t>
            </w:r>
          </w:p>
        </w:tc>
        <w:tc>
          <w:tcPr>
            <w:tcW w:w="2022" w:type="pct"/>
            <w:shd w:val="clear" w:color="auto" w:fill="auto"/>
            <w:vAlign w:val="center"/>
            <w:hideMark/>
          </w:tcPr>
          <w:p w14:paraId="11F7C29B"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68F15FFD" w14:textId="4BC55228"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49</w:t>
            </w:r>
          </w:p>
        </w:tc>
        <w:tc>
          <w:tcPr>
            <w:tcW w:w="982" w:type="pct"/>
            <w:shd w:val="clear" w:color="auto" w:fill="auto"/>
            <w:vAlign w:val="center"/>
            <w:hideMark/>
          </w:tcPr>
          <w:p w14:paraId="0EFC6925" w14:textId="1901AB17"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10.859.725</w:t>
            </w:r>
          </w:p>
        </w:tc>
      </w:tr>
      <w:tr w:rsidR="007C446C" w:rsidRPr="00A479CA" w14:paraId="0BEC37B6" w14:textId="77777777" w:rsidTr="007C446C">
        <w:trPr>
          <w:trHeight w:val="300"/>
        </w:trPr>
        <w:tc>
          <w:tcPr>
            <w:tcW w:w="1325" w:type="pct"/>
            <w:shd w:val="clear" w:color="auto" w:fill="auto"/>
            <w:vAlign w:val="center"/>
            <w:hideMark/>
          </w:tcPr>
          <w:p w14:paraId="1BA3B571"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Blago, izdelano za raziskovanje, poskuse, študije ali razvoj</w:t>
            </w:r>
          </w:p>
        </w:tc>
        <w:tc>
          <w:tcPr>
            <w:tcW w:w="2022" w:type="pct"/>
            <w:shd w:val="clear" w:color="auto" w:fill="auto"/>
            <w:vAlign w:val="center"/>
            <w:hideMark/>
          </w:tcPr>
          <w:p w14:paraId="72746A6B"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772377D0" w14:textId="29966C22"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17</w:t>
            </w:r>
          </w:p>
        </w:tc>
        <w:tc>
          <w:tcPr>
            <w:tcW w:w="982" w:type="pct"/>
            <w:shd w:val="clear" w:color="auto" w:fill="auto"/>
            <w:vAlign w:val="center"/>
            <w:hideMark/>
          </w:tcPr>
          <w:p w14:paraId="26B86AF6" w14:textId="5F59B924"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16.348.662</w:t>
            </w:r>
          </w:p>
        </w:tc>
      </w:tr>
      <w:tr w:rsidR="007C446C" w:rsidRPr="00A479CA" w14:paraId="12408431" w14:textId="77777777" w:rsidTr="007C446C">
        <w:trPr>
          <w:trHeight w:val="300"/>
        </w:trPr>
        <w:tc>
          <w:tcPr>
            <w:tcW w:w="1325" w:type="pct"/>
            <w:shd w:val="clear" w:color="auto" w:fill="auto"/>
            <w:vAlign w:val="center"/>
            <w:hideMark/>
          </w:tcPr>
          <w:p w14:paraId="0021FA84"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Ponovitev</w:t>
            </w:r>
          </w:p>
        </w:tc>
        <w:tc>
          <w:tcPr>
            <w:tcW w:w="2022" w:type="pct"/>
            <w:shd w:val="clear" w:color="auto" w:fill="auto"/>
            <w:vAlign w:val="center"/>
            <w:hideMark/>
          </w:tcPr>
          <w:p w14:paraId="329452AD"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7F347D94" w14:textId="52CD3079"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19</w:t>
            </w:r>
          </w:p>
        </w:tc>
        <w:tc>
          <w:tcPr>
            <w:tcW w:w="982" w:type="pct"/>
            <w:shd w:val="clear" w:color="auto" w:fill="auto"/>
            <w:vAlign w:val="center"/>
            <w:hideMark/>
          </w:tcPr>
          <w:p w14:paraId="1BC290FA" w14:textId="5EB7BD17"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17.920.725</w:t>
            </w:r>
          </w:p>
        </w:tc>
      </w:tr>
      <w:tr w:rsidR="007C446C" w:rsidRPr="00A479CA" w14:paraId="5D3F7D03" w14:textId="77777777" w:rsidTr="007C446C">
        <w:trPr>
          <w:trHeight w:val="300"/>
        </w:trPr>
        <w:tc>
          <w:tcPr>
            <w:tcW w:w="1325" w:type="pct"/>
            <w:shd w:val="clear" w:color="auto" w:fill="auto"/>
            <w:vAlign w:val="center"/>
            <w:hideMark/>
          </w:tcPr>
          <w:p w14:paraId="501BF636"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Predhodno izvedeni javni natečaj</w:t>
            </w:r>
          </w:p>
        </w:tc>
        <w:tc>
          <w:tcPr>
            <w:tcW w:w="2022" w:type="pct"/>
            <w:shd w:val="clear" w:color="auto" w:fill="auto"/>
            <w:vAlign w:val="center"/>
            <w:hideMark/>
          </w:tcPr>
          <w:p w14:paraId="5BC1481D"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20F859DA" w14:textId="1D620EF9"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18</w:t>
            </w:r>
          </w:p>
        </w:tc>
        <w:tc>
          <w:tcPr>
            <w:tcW w:w="982" w:type="pct"/>
            <w:shd w:val="clear" w:color="auto" w:fill="auto"/>
            <w:vAlign w:val="center"/>
            <w:hideMark/>
          </w:tcPr>
          <w:p w14:paraId="729BC773" w14:textId="53797C77"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9.433.451</w:t>
            </w:r>
          </w:p>
        </w:tc>
      </w:tr>
      <w:tr w:rsidR="007C446C" w:rsidRPr="00A479CA" w14:paraId="42072B8F" w14:textId="77777777" w:rsidTr="007C446C">
        <w:trPr>
          <w:trHeight w:val="300"/>
        </w:trPr>
        <w:tc>
          <w:tcPr>
            <w:tcW w:w="1325" w:type="pct"/>
            <w:shd w:val="clear" w:color="auto" w:fill="auto"/>
            <w:vAlign w:val="center"/>
            <w:hideMark/>
          </w:tcPr>
          <w:p w14:paraId="67ABCE34"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Znano končno število sposobnih ponudnikov</w:t>
            </w:r>
          </w:p>
        </w:tc>
        <w:tc>
          <w:tcPr>
            <w:tcW w:w="2022" w:type="pct"/>
            <w:shd w:val="clear" w:color="auto" w:fill="auto"/>
            <w:vAlign w:val="center"/>
            <w:hideMark/>
          </w:tcPr>
          <w:p w14:paraId="4512933B"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74A71F50" w14:textId="471D4061"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w:t>
            </w:r>
          </w:p>
        </w:tc>
        <w:tc>
          <w:tcPr>
            <w:tcW w:w="982" w:type="pct"/>
            <w:shd w:val="clear" w:color="auto" w:fill="auto"/>
            <w:vAlign w:val="center"/>
            <w:hideMark/>
          </w:tcPr>
          <w:p w14:paraId="4A693AF2" w14:textId="3305E6C6"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235.007</w:t>
            </w:r>
          </w:p>
        </w:tc>
      </w:tr>
      <w:tr w:rsidR="007C446C" w:rsidRPr="00A479CA" w14:paraId="5E893543" w14:textId="77777777" w:rsidTr="007C446C">
        <w:trPr>
          <w:trHeight w:val="300"/>
        </w:trPr>
        <w:tc>
          <w:tcPr>
            <w:tcW w:w="1325" w:type="pct"/>
            <w:vMerge w:val="restart"/>
            <w:shd w:val="clear" w:color="auto" w:fill="auto"/>
            <w:vAlign w:val="center"/>
            <w:hideMark/>
          </w:tcPr>
          <w:p w14:paraId="64E2F3A1"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Ni področje direktive</w:t>
            </w:r>
          </w:p>
        </w:tc>
        <w:tc>
          <w:tcPr>
            <w:tcW w:w="2022" w:type="pct"/>
            <w:shd w:val="clear" w:color="auto" w:fill="auto"/>
            <w:vAlign w:val="center"/>
            <w:hideMark/>
          </w:tcPr>
          <w:p w14:paraId="71A965F7"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Konkurenčni postopek s pogajanji</w:t>
            </w:r>
          </w:p>
        </w:tc>
        <w:tc>
          <w:tcPr>
            <w:tcW w:w="671" w:type="pct"/>
            <w:shd w:val="clear" w:color="auto" w:fill="auto"/>
            <w:vAlign w:val="center"/>
            <w:hideMark/>
          </w:tcPr>
          <w:p w14:paraId="0AB9A5F3" w14:textId="4E845636"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30</w:t>
            </w:r>
          </w:p>
        </w:tc>
        <w:tc>
          <w:tcPr>
            <w:tcW w:w="982" w:type="pct"/>
            <w:shd w:val="clear" w:color="auto" w:fill="auto"/>
            <w:vAlign w:val="center"/>
            <w:hideMark/>
          </w:tcPr>
          <w:p w14:paraId="0F202071" w14:textId="11E261CC"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138.668.288</w:t>
            </w:r>
          </w:p>
        </w:tc>
      </w:tr>
      <w:tr w:rsidR="007C446C" w:rsidRPr="00A479CA" w14:paraId="1F5A4D6B" w14:textId="77777777" w:rsidTr="007C446C">
        <w:trPr>
          <w:trHeight w:val="300"/>
        </w:trPr>
        <w:tc>
          <w:tcPr>
            <w:tcW w:w="1325" w:type="pct"/>
            <w:vMerge/>
            <w:vAlign w:val="center"/>
            <w:hideMark/>
          </w:tcPr>
          <w:p w14:paraId="50CD3D9B" w14:textId="77777777" w:rsidR="007C446C" w:rsidRPr="00A479CA" w:rsidRDefault="007C446C" w:rsidP="007C446C">
            <w:pPr>
              <w:spacing w:after="0" w:line="240" w:lineRule="auto"/>
              <w:rPr>
                <w:rFonts w:ascii="Arial" w:hAnsi="Arial" w:cs="Arial"/>
                <w:color w:val="000000" w:themeColor="text1"/>
                <w:sz w:val="18"/>
                <w:szCs w:val="18"/>
              </w:rPr>
            </w:pPr>
          </w:p>
        </w:tc>
        <w:tc>
          <w:tcPr>
            <w:tcW w:w="2022" w:type="pct"/>
            <w:shd w:val="clear" w:color="auto" w:fill="auto"/>
            <w:vAlign w:val="center"/>
            <w:hideMark/>
          </w:tcPr>
          <w:p w14:paraId="6CC13D38"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4C568C59" w14:textId="748822BA"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4</w:t>
            </w:r>
          </w:p>
        </w:tc>
        <w:tc>
          <w:tcPr>
            <w:tcW w:w="982" w:type="pct"/>
            <w:shd w:val="clear" w:color="auto" w:fill="auto"/>
            <w:vAlign w:val="center"/>
            <w:hideMark/>
          </w:tcPr>
          <w:p w14:paraId="2F5307AD" w14:textId="658AD029"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3.152.034</w:t>
            </w:r>
          </w:p>
        </w:tc>
      </w:tr>
      <w:tr w:rsidR="007C446C" w:rsidRPr="00A479CA" w14:paraId="4ED4CF25" w14:textId="77777777" w:rsidTr="007C446C">
        <w:trPr>
          <w:trHeight w:val="288"/>
        </w:trPr>
        <w:tc>
          <w:tcPr>
            <w:tcW w:w="1325" w:type="pct"/>
            <w:vMerge/>
            <w:vAlign w:val="center"/>
            <w:hideMark/>
          </w:tcPr>
          <w:p w14:paraId="6658C5FB" w14:textId="77777777" w:rsidR="007C446C" w:rsidRPr="00A479CA" w:rsidRDefault="007C446C" w:rsidP="007C446C">
            <w:pPr>
              <w:spacing w:after="0" w:line="240" w:lineRule="auto"/>
              <w:rPr>
                <w:rFonts w:ascii="Arial" w:hAnsi="Arial" w:cs="Arial"/>
                <w:color w:val="000000" w:themeColor="text1"/>
                <w:sz w:val="18"/>
                <w:szCs w:val="18"/>
              </w:rPr>
            </w:pPr>
          </w:p>
        </w:tc>
        <w:tc>
          <w:tcPr>
            <w:tcW w:w="2022" w:type="pct"/>
            <w:shd w:val="clear" w:color="auto" w:fill="auto"/>
            <w:vAlign w:val="center"/>
            <w:hideMark/>
          </w:tcPr>
          <w:p w14:paraId="76B00C4A" w14:textId="77777777" w:rsidR="007C446C" w:rsidRPr="00A479CA" w:rsidRDefault="007C446C" w:rsidP="007C446C">
            <w:pPr>
              <w:spacing w:after="0" w:line="240" w:lineRule="auto"/>
              <w:rPr>
                <w:rFonts w:ascii="Arial" w:hAnsi="Arial" w:cs="Arial"/>
                <w:b/>
                <w:bCs/>
                <w:color w:val="000000" w:themeColor="text1"/>
                <w:sz w:val="18"/>
                <w:szCs w:val="18"/>
              </w:rPr>
            </w:pPr>
            <w:r w:rsidRPr="00A479CA">
              <w:rPr>
                <w:rFonts w:ascii="Arial" w:hAnsi="Arial" w:cs="Arial"/>
                <w:b/>
                <w:bCs/>
                <w:color w:val="000000" w:themeColor="text1"/>
                <w:sz w:val="18"/>
                <w:szCs w:val="18"/>
              </w:rPr>
              <w:t>Skupaj</w:t>
            </w:r>
          </w:p>
        </w:tc>
        <w:tc>
          <w:tcPr>
            <w:tcW w:w="671" w:type="pct"/>
            <w:shd w:val="clear" w:color="auto" w:fill="auto"/>
            <w:noWrap/>
            <w:vAlign w:val="center"/>
            <w:hideMark/>
          </w:tcPr>
          <w:p w14:paraId="5AD4787B" w14:textId="37CA42C8" w:rsidR="007C446C" w:rsidRPr="00A479CA" w:rsidRDefault="007C446C" w:rsidP="007C446C">
            <w:pPr>
              <w:spacing w:after="0" w:line="240" w:lineRule="auto"/>
              <w:jc w:val="right"/>
              <w:rPr>
                <w:rFonts w:ascii="Arial" w:hAnsi="Arial" w:cs="Arial"/>
                <w:b/>
                <w:bCs/>
                <w:color w:val="000000" w:themeColor="text1"/>
                <w:sz w:val="18"/>
                <w:szCs w:val="18"/>
              </w:rPr>
            </w:pPr>
            <w:r w:rsidRPr="00A479CA">
              <w:rPr>
                <w:rFonts w:ascii="Arial" w:hAnsi="Arial" w:cs="Arial"/>
                <w:b/>
                <w:bCs/>
                <w:color w:val="000000" w:themeColor="text1"/>
                <w:sz w:val="18"/>
                <w:szCs w:val="18"/>
              </w:rPr>
              <w:t>34</w:t>
            </w:r>
          </w:p>
        </w:tc>
        <w:tc>
          <w:tcPr>
            <w:tcW w:w="982" w:type="pct"/>
            <w:shd w:val="clear" w:color="auto" w:fill="auto"/>
            <w:noWrap/>
            <w:vAlign w:val="center"/>
            <w:hideMark/>
          </w:tcPr>
          <w:p w14:paraId="241EDB6E" w14:textId="30A1B57F" w:rsidR="007C446C" w:rsidRPr="00A479CA" w:rsidRDefault="007C446C" w:rsidP="007C446C">
            <w:pPr>
              <w:spacing w:after="0" w:line="240" w:lineRule="auto"/>
              <w:jc w:val="right"/>
              <w:rPr>
                <w:rFonts w:ascii="Arial" w:hAnsi="Arial" w:cs="Arial"/>
                <w:b/>
                <w:bCs/>
                <w:color w:val="000000" w:themeColor="text1"/>
                <w:sz w:val="18"/>
                <w:szCs w:val="18"/>
              </w:rPr>
            </w:pPr>
            <w:r w:rsidRPr="00A479CA">
              <w:rPr>
                <w:rFonts w:ascii="Arial" w:hAnsi="Arial" w:cs="Arial"/>
                <w:b/>
                <w:bCs/>
                <w:color w:val="000000" w:themeColor="text1"/>
                <w:sz w:val="18"/>
                <w:szCs w:val="18"/>
              </w:rPr>
              <w:t>141.820.322</w:t>
            </w:r>
          </w:p>
        </w:tc>
      </w:tr>
      <w:tr w:rsidR="007C446C" w:rsidRPr="00A479CA" w14:paraId="055ECAD5" w14:textId="77777777" w:rsidTr="007C446C">
        <w:trPr>
          <w:trHeight w:val="300"/>
        </w:trPr>
        <w:tc>
          <w:tcPr>
            <w:tcW w:w="1325" w:type="pct"/>
            <w:shd w:val="clear" w:color="auto" w:fill="auto"/>
            <w:vAlign w:val="center"/>
            <w:hideMark/>
          </w:tcPr>
          <w:p w14:paraId="551BA385"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Ugodna priložnost</w:t>
            </w:r>
          </w:p>
        </w:tc>
        <w:tc>
          <w:tcPr>
            <w:tcW w:w="2022" w:type="pct"/>
            <w:shd w:val="clear" w:color="auto" w:fill="auto"/>
            <w:vAlign w:val="center"/>
            <w:hideMark/>
          </w:tcPr>
          <w:p w14:paraId="205D006E" w14:textId="77777777" w:rsidR="007C446C" w:rsidRPr="00A479CA" w:rsidRDefault="007C446C" w:rsidP="007C446C">
            <w:pPr>
              <w:spacing w:after="0" w:line="240" w:lineRule="auto"/>
              <w:rPr>
                <w:rFonts w:ascii="Arial" w:hAnsi="Arial" w:cs="Arial"/>
                <w:color w:val="000000" w:themeColor="text1"/>
                <w:sz w:val="18"/>
                <w:szCs w:val="18"/>
              </w:rPr>
            </w:pPr>
            <w:r w:rsidRPr="00A479CA">
              <w:rPr>
                <w:rFonts w:ascii="Arial" w:hAnsi="Arial" w:cs="Arial"/>
                <w:color w:val="000000" w:themeColor="text1"/>
                <w:sz w:val="18"/>
                <w:szCs w:val="18"/>
              </w:rPr>
              <w:t>Postopek s pogajanji brez predhodne objave</w:t>
            </w:r>
          </w:p>
        </w:tc>
        <w:tc>
          <w:tcPr>
            <w:tcW w:w="671" w:type="pct"/>
            <w:shd w:val="clear" w:color="auto" w:fill="auto"/>
            <w:vAlign w:val="center"/>
            <w:hideMark/>
          </w:tcPr>
          <w:p w14:paraId="2AE65102" w14:textId="46CDA2E1"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w:t>
            </w:r>
          </w:p>
        </w:tc>
        <w:tc>
          <w:tcPr>
            <w:tcW w:w="982" w:type="pct"/>
            <w:shd w:val="clear" w:color="auto" w:fill="auto"/>
            <w:vAlign w:val="center"/>
            <w:hideMark/>
          </w:tcPr>
          <w:p w14:paraId="60BE736B" w14:textId="28C793C7" w:rsidR="007C446C" w:rsidRPr="00A479CA" w:rsidRDefault="007C446C" w:rsidP="007C446C">
            <w:pPr>
              <w:spacing w:after="0" w:line="240" w:lineRule="auto"/>
              <w:jc w:val="right"/>
              <w:rPr>
                <w:rFonts w:ascii="Arial" w:hAnsi="Arial" w:cs="Arial"/>
                <w:color w:val="000000" w:themeColor="text1"/>
                <w:sz w:val="18"/>
                <w:szCs w:val="18"/>
              </w:rPr>
            </w:pPr>
            <w:r w:rsidRPr="00A479CA">
              <w:rPr>
                <w:rFonts w:ascii="Arial" w:hAnsi="Arial" w:cs="Arial"/>
                <w:color w:val="000000" w:themeColor="text1"/>
                <w:sz w:val="18"/>
                <w:szCs w:val="18"/>
              </w:rPr>
              <w:t>2.342.177</w:t>
            </w:r>
          </w:p>
        </w:tc>
      </w:tr>
    </w:tbl>
    <w:p w14:paraId="1B08E6DC" w14:textId="77777777" w:rsidR="005A6E9F" w:rsidRPr="00A479CA" w:rsidRDefault="005A6E9F" w:rsidP="005A6E9F">
      <w:pPr>
        <w:tabs>
          <w:tab w:val="left" w:pos="567"/>
          <w:tab w:val="left" w:pos="993"/>
        </w:tabs>
        <w:spacing w:after="0" w:line="240" w:lineRule="auto"/>
        <w:jc w:val="both"/>
        <w:rPr>
          <w:rFonts w:ascii="Arial" w:hAnsi="Arial" w:cs="Arial"/>
          <w:bCs/>
          <w:color w:val="000000" w:themeColor="text1"/>
          <w:sz w:val="20"/>
          <w:szCs w:val="20"/>
        </w:rPr>
      </w:pPr>
    </w:p>
    <w:p w14:paraId="39A2EEF2" w14:textId="057B9420" w:rsidR="005A6E9F" w:rsidRPr="00A479CA" w:rsidRDefault="005A6E9F" w:rsidP="005A6E9F">
      <w:pPr>
        <w:spacing w:after="240" w:line="240" w:lineRule="auto"/>
        <w:jc w:val="center"/>
        <w:rPr>
          <w:rFonts w:ascii="Arial" w:hAnsi="Arial" w:cs="Arial"/>
          <w:color w:val="000000" w:themeColor="text1"/>
          <w:sz w:val="18"/>
        </w:rPr>
      </w:pPr>
      <w:r w:rsidRPr="00A479CA">
        <w:rPr>
          <w:rFonts w:ascii="Arial" w:hAnsi="Arial" w:cs="Arial"/>
          <w:color w:val="000000" w:themeColor="text1"/>
          <w:sz w:val="18"/>
        </w:rPr>
        <w:t>Vir: Statistični podatki o javnih naročilih, oddanih v letu 202</w:t>
      </w:r>
      <w:r w:rsidR="007C446C" w:rsidRPr="00A479CA">
        <w:rPr>
          <w:rFonts w:ascii="Arial" w:hAnsi="Arial" w:cs="Arial"/>
          <w:color w:val="000000" w:themeColor="text1"/>
          <w:sz w:val="18"/>
        </w:rPr>
        <w:t>3</w:t>
      </w:r>
      <w:r w:rsidR="00D51FFB" w:rsidRPr="00A479CA">
        <w:rPr>
          <w:rFonts w:ascii="Arial" w:hAnsi="Arial" w:cs="Arial"/>
          <w:color w:val="000000" w:themeColor="text1"/>
          <w:sz w:val="18"/>
        </w:rPr>
        <w:t>.</w:t>
      </w:r>
    </w:p>
    <w:p w14:paraId="27C78CF2" w14:textId="24C447C5" w:rsidR="00854405" w:rsidRPr="00A479CA" w:rsidRDefault="00EE5CA0" w:rsidP="000A67FE">
      <w:pPr>
        <w:tabs>
          <w:tab w:val="left" w:pos="567"/>
          <w:tab w:val="left" w:pos="993"/>
        </w:tabs>
        <w:spacing w:line="360" w:lineRule="auto"/>
        <w:jc w:val="both"/>
        <w:rPr>
          <w:rFonts w:ascii="Arial" w:hAnsi="Arial" w:cs="Arial"/>
          <w:bCs/>
          <w:color w:val="000000" w:themeColor="text1"/>
          <w:sz w:val="20"/>
          <w:szCs w:val="20"/>
        </w:rPr>
      </w:pPr>
      <w:r w:rsidRPr="00A479CA">
        <w:rPr>
          <w:rFonts w:ascii="Arial" w:hAnsi="Arial" w:cs="Arial"/>
          <w:bCs/>
          <w:color w:val="000000" w:themeColor="text1"/>
          <w:sz w:val="20"/>
          <w:szCs w:val="20"/>
        </w:rPr>
        <w:lastRenderedPageBreak/>
        <w:t xml:space="preserve">Iz utemeljitev </w:t>
      </w:r>
      <w:r w:rsidR="00F375E5" w:rsidRPr="00A479CA">
        <w:rPr>
          <w:rFonts w:ascii="Arial" w:hAnsi="Arial" w:cs="Arial"/>
          <w:bCs/>
          <w:color w:val="000000" w:themeColor="text1"/>
          <w:sz w:val="20"/>
          <w:szCs w:val="20"/>
        </w:rPr>
        <w:t>izhaja</w:t>
      </w:r>
      <w:r w:rsidRPr="00A479CA">
        <w:rPr>
          <w:rFonts w:ascii="Arial" w:hAnsi="Arial" w:cs="Arial"/>
          <w:bCs/>
          <w:color w:val="000000" w:themeColor="text1"/>
          <w:sz w:val="20"/>
          <w:szCs w:val="20"/>
        </w:rPr>
        <w:t xml:space="preserve">, </w:t>
      </w:r>
      <w:r w:rsidR="007C446C" w:rsidRPr="00A479CA">
        <w:rPr>
          <w:rFonts w:ascii="Arial" w:hAnsi="Arial" w:cs="Arial"/>
          <w:bCs/>
          <w:color w:val="000000" w:themeColor="text1"/>
          <w:sz w:val="20"/>
          <w:szCs w:val="20"/>
        </w:rPr>
        <w:t>da je dobra polovica</w:t>
      </w:r>
      <w:r w:rsidR="000A67FE" w:rsidRPr="00A479CA">
        <w:rPr>
          <w:rFonts w:ascii="Arial" w:hAnsi="Arial" w:cs="Arial"/>
          <w:bCs/>
          <w:color w:val="000000" w:themeColor="text1"/>
          <w:sz w:val="20"/>
          <w:szCs w:val="20"/>
        </w:rPr>
        <w:t xml:space="preserve"> </w:t>
      </w:r>
      <w:r w:rsidR="000067A4" w:rsidRPr="00A479CA">
        <w:rPr>
          <w:rFonts w:ascii="Arial" w:hAnsi="Arial" w:cs="Arial"/>
          <w:bCs/>
          <w:color w:val="000000" w:themeColor="text1"/>
          <w:sz w:val="20"/>
          <w:szCs w:val="20"/>
        </w:rPr>
        <w:t>(59,94</w:t>
      </w:r>
      <w:r w:rsidR="00D51FFB" w:rsidRPr="00A479CA">
        <w:rPr>
          <w:rFonts w:ascii="Arial" w:hAnsi="Arial" w:cs="Arial"/>
          <w:bCs/>
          <w:color w:val="000000" w:themeColor="text1"/>
          <w:sz w:val="20"/>
          <w:szCs w:val="20"/>
        </w:rPr>
        <w:t> </w:t>
      </w:r>
      <w:r w:rsidR="00AC0027" w:rsidRPr="00A479CA">
        <w:rPr>
          <w:rFonts w:ascii="Arial" w:hAnsi="Arial" w:cs="Arial"/>
          <w:bCs/>
          <w:color w:val="000000" w:themeColor="text1"/>
          <w:sz w:val="20"/>
          <w:szCs w:val="20"/>
        </w:rPr>
        <w:t>odstotka</w:t>
      </w:r>
      <w:r w:rsidR="004D5A1F" w:rsidRPr="00A479CA">
        <w:rPr>
          <w:rFonts w:ascii="Arial" w:hAnsi="Arial" w:cs="Arial"/>
          <w:bCs/>
          <w:color w:val="000000" w:themeColor="text1"/>
          <w:sz w:val="20"/>
          <w:szCs w:val="20"/>
        </w:rPr>
        <w:t>)</w:t>
      </w:r>
      <w:r w:rsidR="000A67FE" w:rsidRPr="00A479CA">
        <w:rPr>
          <w:rFonts w:ascii="Arial" w:hAnsi="Arial" w:cs="Arial"/>
          <w:bCs/>
          <w:color w:val="000000" w:themeColor="text1"/>
          <w:sz w:val="20"/>
          <w:szCs w:val="20"/>
        </w:rPr>
        <w:t xml:space="preserve"> postopkov s pogajanji brez predhodne objave </w:t>
      </w:r>
      <w:r w:rsidR="00D51FFB" w:rsidRPr="00A479CA">
        <w:rPr>
          <w:rFonts w:ascii="Arial" w:hAnsi="Arial" w:cs="Arial"/>
          <w:bCs/>
          <w:color w:val="000000" w:themeColor="text1"/>
          <w:sz w:val="20"/>
          <w:szCs w:val="20"/>
        </w:rPr>
        <w:t>izvedeni</w:t>
      </w:r>
      <w:r w:rsidR="00606A58" w:rsidRPr="00A479CA">
        <w:rPr>
          <w:rFonts w:ascii="Arial" w:hAnsi="Arial" w:cs="Arial"/>
          <w:bCs/>
          <w:color w:val="000000" w:themeColor="text1"/>
          <w:sz w:val="20"/>
          <w:szCs w:val="20"/>
        </w:rPr>
        <w:t>h</w:t>
      </w:r>
      <w:r w:rsidR="00D51FFB" w:rsidRPr="00A479CA">
        <w:rPr>
          <w:rFonts w:ascii="Arial" w:hAnsi="Arial" w:cs="Arial"/>
          <w:bCs/>
          <w:color w:val="000000" w:themeColor="text1"/>
          <w:sz w:val="20"/>
          <w:szCs w:val="20"/>
        </w:rPr>
        <w:t xml:space="preserve"> </w:t>
      </w:r>
      <w:r w:rsidR="004D5A1F" w:rsidRPr="00A479CA">
        <w:rPr>
          <w:rFonts w:ascii="Arial" w:hAnsi="Arial" w:cs="Arial"/>
          <w:bCs/>
          <w:color w:val="000000" w:themeColor="text1"/>
          <w:sz w:val="20"/>
          <w:szCs w:val="20"/>
        </w:rPr>
        <w:t>zaradi tehničnih ali umetniških razlogov ali zaščite izključnih pravic. Vred</w:t>
      </w:r>
      <w:r w:rsidR="003E4A6B" w:rsidRPr="00A479CA">
        <w:rPr>
          <w:rFonts w:ascii="Arial" w:hAnsi="Arial" w:cs="Arial"/>
          <w:bCs/>
          <w:color w:val="000000" w:themeColor="text1"/>
          <w:sz w:val="20"/>
          <w:szCs w:val="20"/>
        </w:rPr>
        <w:t>nost naročil v teh postopkih je</w:t>
      </w:r>
      <w:r w:rsidR="00475C0E" w:rsidRPr="00A479CA">
        <w:rPr>
          <w:rFonts w:ascii="Arial" w:hAnsi="Arial" w:cs="Arial"/>
          <w:bCs/>
          <w:color w:val="000000" w:themeColor="text1"/>
          <w:sz w:val="20"/>
          <w:szCs w:val="20"/>
        </w:rPr>
        <w:t xml:space="preserve"> </w:t>
      </w:r>
      <w:r w:rsidR="000067A4" w:rsidRPr="00A479CA">
        <w:rPr>
          <w:rFonts w:ascii="Arial" w:hAnsi="Arial" w:cs="Arial"/>
          <w:bCs/>
          <w:color w:val="000000" w:themeColor="text1"/>
          <w:sz w:val="20"/>
          <w:szCs w:val="20"/>
        </w:rPr>
        <w:t xml:space="preserve">56,57 </w:t>
      </w:r>
      <w:r w:rsidR="00AC0027" w:rsidRPr="00A479CA">
        <w:rPr>
          <w:rFonts w:ascii="Arial" w:hAnsi="Arial" w:cs="Arial"/>
          <w:bCs/>
          <w:color w:val="000000" w:themeColor="text1"/>
          <w:sz w:val="20"/>
          <w:szCs w:val="20"/>
        </w:rPr>
        <w:t>odstotka</w:t>
      </w:r>
      <w:r w:rsidR="00DE1FE4" w:rsidRPr="00A479CA">
        <w:rPr>
          <w:rFonts w:ascii="Arial" w:hAnsi="Arial" w:cs="Arial"/>
          <w:bCs/>
          <w:color w:val="000000" w:themeColor="text1"/>
          <w:sz w:val="20"/>
          <w:szCs w:val="20"/>
        </w:rPr>
        <w:t xml:space="preserve"> </w:t>
      </w:r>
      <w:r w:rsidR="004D5A1F" w:rsidRPr="00A479CA">
        <w:rPr>
          <w:rFonts w:ascii="Arial" w:hAnsi="Arial" w:cs="Arial"/>
          <w:bCs/>
          <w:color w:val="000000" w:themeColor="text1"/>
          <w:sz w:val="20"/>
          <w:szCs w:val="20"/>
        </w:rPr>
        <w:t>vrednosti vseh naročil, ki so bila oddana s postopkom s pogajanji brez predhodne objave.</w:t>
      </w:r>
    </w:p>
    <w:p w14:paraId="4118D73D" w14:textId="6F915DED" w:rsidR="00412D3A" w:rsidRPr="00A479CA" w:rsidRDefault="00195533" w:rsidP="00412D3A">
      <w:pPr>
        <w:tabs>
          <w:tab w:val="left" w:pos="567"/>
          <w:tab w:val="left" w:pos="993"/>
        </w:tabs>
        <w:spacing w:line="360" w:lineRule="auto"/>
        <w:jc w:val="both"/>
        <w:rPr>
          <w:rFonts w:ascii="Arial" w:hAnsi="Arial" w:cs="Arial"/>
          <w:bCs/>
          <w:color w:val="000000" w:themeColor="text1"/>
          <w:sz w:val="20"/>
          <w:szCs w:val="20"/>
        </w:rPr>
      </w:pPr>
      <w:r w:rsidRPr="00A479CA">
        <w:rPr>
          <w:rFonts w:ascii="Arial" w:hAnsi="Arial" w:cs="Arial"/>
          <w:bCs/>
          <w:color w:val="000000" w:themeColor="text1"/>
          <w:sz w:val="20"/>
          <w:szCs w:val="20"/>
        </w:rPr>
        <w:t xml:space="preserve">Zaradi </w:t>
      </w:r>
      <w:r w:rsidR="00412D3A" w:rsidRPr="00A479CA">
        <w:rPr>
          <w:rFonts w:ascii="Arial" w:hAnsi="Arial" w:cs="Arial"/>
          <w:bCs/>
          <w:color w:val="000000" w:themeColor="text1"/>
          <w:sz w:val="20"/>
          <w:szCs w:val="20"/>
        </w:rPr>
        <w:t xml:space="preserve">nujnosti in nepredvidljivosti </w:t>
      </w:r>
      <w:r w:rsidRPr="00A479CA">
        <w:rPr>
          <w:rFonts w:ascii="Arial" w:hAnsi="Arial" w:cs="Arial"/>
          <w:bCs/>
          <w:color w:val="000000" w:themeColor="text1"/>
          <w:sz w:val="20"/>
          <w:szCs w:val="20"/>
        </w:rPr>
        <w:t>so naročniki postopek s pogajanji br</w:t>
      </w:r>
      <w:r w:rsidR="00F663F0" w:rsidRPr="00A479CA">
        <w:rPr>
          <w:rFonts w:ascii="Arial" w:hAnsi="Arial" w:cs="Arial"/>
          <w:bCs/>
          <w:color w:val="000000" w:themeColor="text1"/>
          <w:sz w:val="20"/>
          <w:szCs w:val="20"/>
        </w:rPr>
        <w:t xml:space="preserve">ez predhodne objave uporabili </w:t>
      </w:r>
      <w:r w:rsidR="000067A4" w:rsidRPr="00A479CA">
        <w:rPr>
          <w:rFonts w:ascii="Arial" w:hAnsi="Arial" w:cs="Arial"/>
          <w:bCs/>
          <w:color w:val="000000" w:themeColor="text1"/>
          <w:sz w:val="20"/>
          <w:szCs w:val="20"/>
        </w:rPr>
        <w:t>76</w:t>
      </w:r>
      <w:r w:rsidRPr="00A479CA">
        <w:rPr>
          <w:rFonts w:ascii="Arial" w:hAnsi="Arial" w:cs="Arial"/>
          <w:bCs/>
          <w:color w:val="000000" w:themeColor="text1"/>
          <w:sz w:val="20"/>
          <w:szCs w:val="20"/>
        </w:rPr>
        <w:t xml:space="preserve">-krat, vrednost oddanih naročil pa </w:t>
      </w:r>
      <w:r w:rsidR="003E4A6B" w:rsidRPr="00A479CA">
        <w:rPr>
          <w:rFonts w:ascii="Arial" w:hAnsi="Arial" w:cs="Arial"/>
          <w:bCs/>
          <w:color w:val="000000" w:themeColor="text1"/>
          <w:sz w:val="20"/>
          <w:szCs w:val="20"/>
        </w:rPr>
        <w:t xml:space="preserve">znaša </w:t>
      </w:r>
      <w:r w:rsidR="000067A4" w:rsidRPr="00A479CA">
        <w:rPr>
          <w:rFonts w:ascii="Arial" w:hAnsi="Arial" w:cs="Arial"/>
          <w:bCs/>
          <w:color w:val="000000" w:themeColor="text1"/>
          <w:sz w:val="20"/>
          <w:szCs w:val="20"/>
        </w:rPr>
        <w:t>9,74</w:t>
      </w:r>
      <w:r w:rsidR="00D51FFB" w:rsidRPr="00A479CA">
        <w:rPr>
          <w:rFonts w:ascii="Arial" w:hAnsi="Arial" w:cs="Arial"/>
          <w:bCs/>
          <w:color w:val="000000" w:themeColor="text1"/>
          <w:sz w:val="20"/>
          <w:szCs w:val="20"/>
        </w:rPr>
        <w:t> </w:t>
      </w:r>
      <w:r w:rsidR="00AC0027" w:rsidRPr="00A479CA">
        <w:rPr>
          <w:rFonts w:ascii="Arial" w:hAnsi="Arial" w:cs="Arial"/>
          <w:bCs/>
          <w:color w:val="000000" w:themeColor="text1"/>
          <w:sz w:val="20"/>
          <w:szCs w:val="20"/>
        </w:rPr>
        <w:t>odstotka</w:t>
      </w:r>
      <w:r w:rsidRPr="00A479CA">
        <w:rPr>
          <w:rFonts w:ascii="Arial" w:hAnsi="Arial" w:cs="Arial"/>
          <w:bCs/>
          <w:color w:val="000000" w:themeColor="text1"/>
          <w:sz w:val="20"/>
          <w:szCs w:val="20"/>
        </w:rPr>
        <w:t xml:space="preserve"> vrednosti vseh oddanih naročil po postopku s pogajanji brez predhodne objave.</w:t>
      </w:r>
      <w:r w:rsidR="00412D3A" w:rsidRPr="00A479CA">
        <w:rPr>
          <w:rFonts w:ascii="Arial" w:hAnsi="Arial" w:cs="Arial"/>
          <w:bCs/>
          <w:color w:val="000000" w:themeColor="text1"/>
          <w:sz w:val="20"/>
          <w:szCs w:val="20"/>
        </w:rPr>
        <w:t xml:space="preserve"> </w:t>
      </w:r>
    </w:p>
    <w:p w14:paraId="230BCB42" w14:textId="183E42BC" w:rsidR="00412D3A" w:rsidRPr="00A479CA" w:rsidRDefault="00412D3A" w:rsidP="00412D3A">
      <w:pPr>
        <w:tabs>
          <w:tab w:val="left" w:pos="567"/>
          <w:tab w:val="left" w:pos="993"/>
        </w:tabs>
        <w:spacing w:line="360" w:lineRule="auto"/>
        <w:jc w:val="both"/>
        <w:rPr>
          <w:rFonts w:ascii="Arial" w:hAnsi="Arial" w:cs="Arial"/>
          <w:bCs/>
          <w:color w:val="000000" w:themeColor="text1"/>
          <w:sz w:val="20"/>
          <w:szCs w:val="20"/>
        </w:rPr>
      </w:pPr>
      <w:r w:rsidRPr="00A479CA">
        <w:rPr>
          <w:rFonts w:ascii="Arial" w:hAnsi="Arial" w:cs="Arial"/>
          <w:bCs/>
          <w:color w:val="000000" w:themeColor="text1"/>
          <w:sz w:val="20"/>
          <w:szCs w:val="20"/>
        </w:rPr>
        <w:t xml:space="preserve">Zaradi neuspešno izvedenega predhodnega postopka so naročniki uporabili </w:t>
      </w:r>
      <w:r w:rsidR="00611AA7" w:rsidRPr="00A479CA">
        <w:rPr>
          <w:rFonts w:ascii="Arial" w:hAnsi="Arial" w:cs="Arial"/>
          <w:bCs/>
          <w:color w:val="000000" w:themeColor="text1"/>
          <w:sz w:val="20"/>
          <w:szCs w:val="20"/>
        </w:rPr>
        <w:t>postopke</w:t>
      </w:r>
      <w:r w:rsidRPr="00A479CA">
        <w:rPr>
          <w:rFonts w:ascii="Arial" w:hAnsi="Arial" w:cs="Arial"/>
          <w:bCs/>
          <w:color w:val="000000" w:themeColor="text1"/>
          <w:sz w:val="20"/>
          <w:szCs w:val="20"/>
        </w:rPr>
        <w:t xml:space="preserve"> brez predhodne objave</w:t>
      </w:r>
      <w:r w:rsidR="000067A4" w:rsidRPr="00A479CA">
        <w:rPr>
          <w:rFonts w:ascii="Arial" w:hAnsi="Arial" w:cs="Arial"/>
          <w:bCs/>
          <w:color w:val="000000" w:themeColor="text1"/>
          <w:sz w:val="20"/>
          <w:szCs w:val="20"/>
        </w:rPr>
        <w:t xml:space="preserve">, </w:t>
      </w:r>
      <w:r w:rsidR="004F130C" w:rsidRPr="00A479CA">
        <w:rPr>
          <w:rFonts w:ascii="Arial" w:hAnsi="Arial" w:cs="Arial"/>
          <w:bCs/>
          <w:color w:val="000000" w:themeColor="text1"/>
          <w:sz w:val="20"/>
          <w:szCs w:val="20"/>
        </w:rPr>
        <w:t>konkurenčne postopke s pogajanji</w:t>
      </w:r>
      <w:r w:rsidR="000067A4" w:rsidRPr="00A479CA">
        <w:rPr>
          <w:rFonts w:ascii="Arial" w:hAnsi="Arial" w:cs="Arial"/>
          <w:bCs/>
          <w:color w:val="000000" w:themeColor="text1"/>
          <w:sz w:val="20"/>
          <w:szCs w:val="20"/>
        </w:rPr>
        <w:t>, konkurenčna dialoga in partnerstvo za inovacije</w:t>
      </w:r>
      <w:r w:rsidR="00611AA7" w:rsidRPr="00A479CA">
        <w:rPr>
          <w:rFonts w:ascii="Arial" w:hAnsi="Arial" w:cs="Arial"/>
          <w:bCs/>
          <w:color w:val="000000" w:themeColor="text1"/>
          <w:sz w:val="20"/>
          <w:szCs w:val="20"/>
        </w:rPr>
        <w:t xml:space="preserve"> 1</w:t>
      </w:r>
      <w:r w:rsidR="000067A4" w:rsidRPr="00A479CA">
        <w:rPr>
          <w:rFonts w:ascii="Arial" w:hAnsi="Arial" w:cs="Arial"/>
          <w:bCs/>
          <w:color w:val="000000" w:themeColor="text1"/>
          <w:sz w:val="20"/>
          <w:szCs w:val="20"/>
        </w:rPr>
        <w:t>3</w:t>
      </w:r>
      <w:r w:rsidR="004F130C" w:rsidRPr="00A479CA">
        <w:rPr>
          <w:rFonts w:ascii="Arial" w:hAnsi="Arial" w:cs="Arial"/>
          <w:bCs/>
          <w:color w:val="000000" w:themeColor="text1"/>
          <w:sz w:val="20"/>
          <w:szCs w:val="20"/>
        </w:rPr>
        <w:t>0</w:t>
      </w:r>
      <w:r w:rsidRPr="00A479CA">
        <w:rPr>
          <w:rFonts w:ascii="Arial" w:hAnsi="Arial" w:cs="Arial"/>
          <w:bCs/>
          <w:color w:val="000000" w:themeColor="text1"/>
          <w:sz w:val="20"/>
          <w:szCs w:val="20"/>
        </w:rPr>
        <w:t xml:space="preserve">-krat, kar je po </w:t>
      </w:r>
      <w:r w:rsidR="00611AA7" w:rsidRPr="00A479CA">
        <w:rPr>
          <w:rFonts w:ascii="Arial" w:hAnsi="Arial" w:cs="Arial"/>
          <w:bCs/>
          <w:color w:val="000000" w:themeColor="text1"/>
          <w:sz w:val="20"/>
          <w:szCs w:val="20"/>
        </w:rPr>
        <w:t xml:space="preserve">številu </w:t>
      </w:r>
      <w:r w:rsidR="000067A4" w:rsidRPr="00A479CA">
        <w:rPr>
          <w:rFonts w:ascii="Arial" w:hAnsi="Arial" w:cs="Arial"/>
          <w:bCs/>
          <w:color w:val="000000" w:themeColor="text1"/>
          <w:sz w:val="20"/>
          <w:szCs w:val="20"/>
        </w:rPr>
        <w:t>18,87</w:t>
      </w:r>
      <w:r w:rsidR="00D51FFB" w:rsidRPr="00A479CA">
        <w:rPr>
          <w:rFonts w:ascii="Arial" w:hAnsi="Arial" w:cs="Arial"/>
          <w:bCs/>
          <w:color w:val="000000" w:themeColor="text1"/>
          <w:sz w:val="20"/>
          <w:szCs w:val="20"/>
        </w:rPr>
        <w:t> </w:t>
      </w:r>
      <w:r w:rsidR="00AC0027" w:rsidRPr="00A479CA">
        <w:rPr>
          <w:rFonts w:ascii="Arial" w:hAnsi="Arial" w:cs="Arial"/>
          <w:bCs/>
          <w:color w:val="000000" w:themeColor="text1"/>
          <w:sz w:val="20"/>
          <w:szCs w:val="20"/>
        </w:rPr>
        <w:t>odstotka</w:t>
      </w:r>
      <w:r w:rsidRPr="00A479CA">
        <w:rPr>
          <w:rFonts w:ascii="Arial" w:hAnsi="Arial" w:cs="Arial"/>
          <w:bCs/>
          <w:color w:val="000000" w:themeColor="text1"/>
          <w:sz w:val="20"/>
          <w:szCs w:val="20"/>
        </w:rPr>
        <w:t xml:space="preserve">, po vrednosti pa </w:t>
      </w:r>
      <w:r w:rsidR="000067A4" w:rsidRPr="00A479CA">
        <w:rPr>
          <w:rFonts w:ascii="Arial" w:hAnsi="Arial" w:cs="Arial"/>
          <w:bCs/>
          <w:color w:val="000000" w:themeColor="text1"/>
          <w:sz w:val="20"/>
          <w:szCs w:val="20"/>
        </w:rPr>
        <w:t>20,35</w:t>
      </w:r>
      <w:r w:rsidR="00D51FFB" w:rsidRPr="00A479CA">
        <w:rPr>
          <w:rFonts w:ascii="Arial" w:hAnsi="Arial" w:cs="Arial"/>
          <w:bCs/>
          <w:color w:val="000000" w:themeColor="text1"/>
          <w:sz w:val="20"/>
          <w:szCs w:val="20"/>
        </w:rPr>
        <w:t> </w:t>
      </w:r>
      <w:r w:rsidR="00AC0027" w:rsidRPr="00A479CA">
        <w:rPr>
          <w:rFonts w:ascii="Arial" w:hAnsi="Arial" w:cs="Arial"/>
          <w:bCs/>
          <w:color w:val="000000" w:themeColor="text1"/>
          <w:sz w:val="20"/>
          <w:szCs w:val="20"/>
        </w:rPr>
        <w:t>odstotka</w:t>
      </w:r>
      <w:r w:rsidRPr="00A479CA">
        <w:rPr>
          <w:rFonts w:ascii="Arial" w:hAnsi="Arial" w:cs="Arial"/>
          <w:bCs/>
          <w:color w:val="000000" w:themeColor="text1"/>
          <w:sz w:val="20"/>
          <w:szCs w:val="20"/>
        </w:rPr>
        <w:t xml:space="preserve"> vseh takšnih postopkov.</w:t>
      </w:r>
    </w:p>
    <w:p w14:paraId="6B4470A0" w14:textId="16816092" w:rsidR="00195533" w:rsidRPr="00637ACF" w:rsidRDefault="00195533" w:rsidP="00D94701">
      <w:pPr>
        <w:spacing w:after="0" w:line="240" w:lineRule="auto"/>
        <w:rPr>
          <w:rFonts w:ascii="Arial" w:eastAsiaTheme="majorEastAsia" w:hAnsi="Arial" w:cs="Arial"/>
          <w:color w:val="FF0000"/>
          <w:highlight w:val="yellow"/>
        </w:rPr>
      </w:pPr>
    </w:p>
    <w:p w14:paraId="430E4FB3" w14:textId="5577B945" w:rsidR="00F62465" w:rsidRPr="008B13E7" w:rsidRDefault="00F62465" w:rsidP="00511096">
      <w:pPr>
        <w:pStyle w:val="Naslov3"/>
      </w:pPr>
      <w:bookmarkStart w:id="20" w:name="_Toc175563855"/>
      <w:bookmarkStart w:id="21" w:name="_Hlk77840641"/>
      <w:r w:rsidRPr="008B13E7">
        <w:t>2</w:t>
      </w:r>
      <w:r w:rsidR="00705BAB" w:rsidRPr="008B13E7">
        <w:t>.3.4 Oddaja</w:t>
      </w:r>
      <w:r w:rsidR="001D28B4" w:rsidRPr="008B13E7">
        <w:t xml:space="preserve"> </w:t>
      </w:r>
      <w:r w:rsidR="004234C7" w:rsidRPr="008B13E7">
        <w:t>socialnih in drugih posebnih storitev</w:t>
      </w:r>
      <w:bookmarkEnd w:id="20"/>
    </w:p>
    <w:p w14:paraId="17144FE9" w14:textId="77777777" w:rsidR="00854405" w:rsidRPr="008B13E7" w:rsidRDefault="00854405" w:rsidP="00854405">
      <w:pPr>
        <w:pStyle w:val="ZADEVA"/>
        <w:jc w:val="both"/>
        <w:rPr>
          <w:rFonts w:cs="Arial"/>
          <w:b w:val="0"/>
          <w:color w:val="000000" w:themeColor="text1"/>
          <w:szCs w:val="20"/>
          <w:lang w:val="sl-SI"/>
        </w:rPr>
      </w:pPr>
    </w:p>
    <w:p w14:paraId="03AEF1FE" w14:textId="33BDB2C6" w:rsidR="00B54C17" w:rsidRPr="008B13E7" w:rsidRDefault="00B54C17" w:rsidP="00B54C17">
      <w:pPr>
        <w:tabs>
          <w:tab w:val="left" w:pos="567"/>
          <w:tab w:val="left" w:pos="993"/>
        </w:tabs>
        <w:spacing w:line="360" w:lineRule="auto"/>
        <w:jc w:val="both"/>
        <w:rPr>
          <w:rFonts w:ascii="Arial" w:hAnsi="Arial" w:cs="Arial"/>
          <w:bCs/>
          <w:color w:val="000000" w:themeColor="text1"/>
          <w:sz w:val="20"/>
          <w:szCs w:val="20"/>
        </w:rPr>
      </w:pPr>
      <w:r w:rsidRPr="008B13E7">
        <w:rPr>
          <w:rFonts w:ascii="Arial" w:hAnsi="Arial" w:cs="Arial"/>
          <w:bCs/>
          <w:color w:val="000000" w:themeColor="text1"/>
          <w:sz w:val="20"/>
          <w:szCs w:val="20"/>
        </w:rPr>
        <w:t xml:space="preserve">Socialne in druge posebne storitve so določene v </w:t>
      </w:r>
      <w:r w:rsidR="00F375E5" w:rsidRPr="008B13E7">
        <w:rPr>
          <w:rFonts w:ascii="Arial" w:hAnsi="Arial" w:cs="Arial"/>
          <w:bCs/>
          <w:color w:val="000000" w:themeColor="text1"/>
          <w:sz w:val="20"/>
          <w:szCs w:val="20"/>
        </w:rPr>
        <w:t>p</w:t>
      </w:r>
      <w:r w:rsidRPr="008B13E7">
        <w:rPr>
          <w:rFonts w:ascii="Arial" w:hAnsi="Arial" w:cs="Arial"/>
          <w:bCs/>
          <w:color w:val="000000" w:themeColor="text1"/>
          <w:sz w:val="20"/>
          <w:szCs w:val="20"/>
        </w:rPr>
        <w:t xml:space="preserve">rilogi XIV Direktive 2014/24/EU in </w:t>
      </w:r>
      <w:r w:rsidR="006C3494" w:rsidRPr="008B13E7">
        <w:rPr>
          <w:rFonts w:ascii="Arial" w:hAnsi="Arial" w:cs="Arial"/>
          <w:bCs/>
          <w:color w:val="000000" w:themeColor="text1"/>
          <w:sz w:val="20"/>
          <w:szCs w:val="20"/>
        </w:rPr>
        <w:t>p</w:t>
      </w:r>
      <w:r w:rsidRPr="008B13E7">
        <w:rPr>
          <w:rFonts w:ascii="Arial" w:hAnsi="Arial" w:cs="Arial"/>
          <w:bCs/>
          <w:color w:val="000000" w:themeColor="text1"/>
          <w:sz w:val="20"/>
          <w:szCs w:val="20"/>
        </w:rPr>
        <w:t xml:space="preserve">rilogi XVII Direktive 2014/25/EU. Evropska in </w:t>
      </w:r>
      <w:r w:rsidR="006C3494" w:rsidRPr="008B13E7">
        <w:rPr>
          <w:rFonts w:ascii="Arial" w:hAnsi="Arial" w:cs="Arial"/>
          <w:bCs/>
          <w:color w:val="000000" w:themeColor="text1"/>
          <w:sz w:val="20"/>
          <w:szCs w:val="20"/>
        </w:rPr>
        <w:t>domača</w:t>
      </w:r>
      <w:r w:rsidRPr="008B13E7">
        <w:rPr>
          <w:rFonts w:ascii="Arial" w:hAnsi="Arial" w:cs="Arial"/>
          <w:bCs/>
          <w:color w:val="000000" w:themeColor="text1"/>
          <w:sz w:val="20"/>
          <w:szCs w:val="20"/>
        </w:rPr>
        <w:t xml:space="preserve"> zakonodaja zato te storitve štejeta za nepr</w:t>
      </w:r>
      <w:r w:rsidR="006C3494" w:rsidRPr="008B13E7">
        <w:rPr>
          <w:rFonts w:ascii="Arial" w:hAnsi="Arial" w:cs="Arial"/>
          <w:bCs/>
          <w:color w:val="000000" w:themeColor="text1"/>
          <w:sz w:val="20"/>
          <w:szCs w:val="20"/>
        </w:rPr>
        <w:t>ednostne</w:t>
      </w:r>
      <w:r w:rsidRPr="008B13E7">
        <w:rPr>
          <w:rFonts w:ascii="Arial" w:hAnsi="Arial" w:cs="Arial"/>
          <w:bCs/>
          <w:color w:val="000000" w:themeColor="text1"/>
          <w:sz w:val="20"/>
          <w:szCs w:val="20"/>
        </w:rPr>
        <w:t xml:space="preserve"> in zanje določata </w:t>
      </w:r>
      <w:r w:rsidR="006C3494" w:rsidRPr="008B13E7">
        <w:rPr>
          <w:rFonts w:ascii="Arial" w:hAnsi="Arial" w:cs="Arial"/>
          <w:bCs/>
          <w:color w:val="000000" w:themeColor="text1"/>
          <w:sz w:val="20"/>
          <w:szCs w:val="20"/>
        </w:rPr>
        <w:t>prožnejšo</w:t>
      </w:r>
      <w:r w:rsidRPr="008B13E7">
        <w:rPr>
          <w:rFonts w:ascii="Arial" w:hAnsi="Arial" w:cs="Arial"/>
          <w:bCs/>
          <w:color w:val="000000" w:themeColor="text1"/>
          <w:sz w:val="20"/>
          <w:szCs w:val="20"/>
        </w:rPr>
        <w:t xml:space="preserve"> ureditev.</w:t>
      </w:r>
    </w:p>
    <w:p w14:paraId="62EB4F5E" w14:textId="2017BCF9" w:rsidR="00B54C17" w:rsidRPr="008B13E7" w:rsidRDefault="00B54C17" w:rsidP="00B54C17">
      <w:pPr>
        <w:tabs>
          <w:tab w:val="left" w:pos="567"/>
          <w:tab w:val="left" w:pos="993"/>
        </w:tabs>
        <w:spacing w:line="360" w:lineRule="auto"/>
        <w:jc w:val="both"/>
        <w:rPr>
          <w:rFonts w:ascii="Arial" w:hAnsi="Arial" w:cs="Arial"/>
          <w:bCs/>
          <w:color w:val="000000" w:themeColor="text1"/>
          <w:sz w:val="20"/>
          <w:szCs w:val="20"/>
        </w:rPr>
      </w:pPr>
      <w:r w:rsidRPr="008B13E7">
        <w:rPr>
          <w:rFonts w:ascii="Arial" w:hAnsi="Arial" w:cs="Arial"/>
          <w:bCs/>
          <w:color w:val="000000" w:themeColor="text1"/>
          <w:sz w:val="20"/>
          <w:szCs w:val="20"/>
        </w:rPr>
        <w:t>ZJN-3 mejne vrednosti za uporabo zakona določa v 21. členu. Uporaba ZJN-3 je za oddajo</w:t>
      </w:r>
      <w:r w:rsidR="006C3494" w:rsidRPr="008B13E7">
        <w:rPr>
          <w:rFonts w:ascii="Arial" w:hAnsi="Arial" w:cs="Arial"/>
          <w:bCs/>
          <w:color w:val="000000" w:themeColor="text1"/>
          <w:sz w:val="20"/>
          <w:szCs w:val="20"/>
        </w:rPr>
        <w:t xml:space="preserve"> ponudb za</w:t>
      </w:r>
      <w:r w:rsidRPr="008B13E7">
        <w:rPr>
          <w:rFonts w:ascii="Arial" w:hAnsi="Arial" w:cs="Arial"/>
          <w:bCs/>
          <w:color w:val="000000" w:themeColor="text1"/>
          <w:sz w:val="20"/>
          <w:szCs w:val="20"/>
        </w:rPr>
        <w:t xml:space="preserve"> socialn</w:t>
      </w:r>
      <w:r w:rsidR="006C3494" w:rsidRPr="008B13E7">
        <w:rPr>
          <w:rFonts w:ascii="Arial" w:hAnsi="Arial" w:cs="Arial"/>
          <w:bCs/>
          <w:color w:val="000000" w:themeColor="text1"/>
          <w:sz w:val="20"/>
          <w:szCs w:val="20"/>
        </w:rPr>
        <w:t>e</w:t>
      </w:r>
      <w:r w:rsidRPr="008B13E7">
        <w:rPr>
          <w:rFonts w:ascii="Arial" w:hAnsi="Arial" w:cs="Arial"/>
          <w:bCs/>
          <w:color w:val="000000" w:themeColor="text1"/>
          <w:sz w:val="20"/>
          <w:szCs w:val="20"/>
        </w:rPr>
        <w:t xml:space="preserve"> in drug</w:t>
      </w:r>
      <w:r w:rsidR="006C3494" w:rsidRPr="008B13E7">
        <w:rPr>
          <w:rFonts w:ascii="Arial" w:hAnsi="Arial" w:cs="Arial"/>
          <w:bCs/>
          <w:color w:val="000000" w:themeColor="text1"/>
          <w:sz w:val="20"/>
          <w:szCs w:val="20"/>
        </w:rPr>
        <w:t>e</w:t>
      </w:r>
      <w:r w:rsidRPr="008B13E7">
        <w:rPr>
          <w:rFonts w:ascii="Arial" w:hAnsi="Arial" w:cs="Arial"/>
          <w:bCs/>
          <w:color w:val="000000" w:themeColor="text1"/>
          <w:sz w:val="20"/>
          <w:szCs w:val="20"/>
        </w:rPr>
        <w:t xml:space="preserve"> posebn</w:t>
      </w:r>
      <w:r w:rsidR="006C3494" w:rsidRPr="008B13E7">
        <w:rPr>
          <w:rFonts w:ascii="Arial" w:hAnsi="Arial" w:cs="Arial"/>
          <w:bCs/>
          <w:color w:val="000000" w:themeColor="text1"/>
          <w:sz w:val="20"/>
          <w:szCs w:val="20"/>
        </w:rPr>
        <w:t>e</w:t>
      </w:r>
      <w:r w:rsidRPr="008B13E7">
        <w:rPr>
          <w:rFonts w:ascii="Arial" w:hAnsi="Arial" w:cs="Arial"/>
          <w:bCs/>
          <w:color w:val="000000" w:themeColor="text1"/>
          <w:sz w:val="20"/>
          <w:szCs w:val="20"/>
        </w:rPr>
        <w:t xml:space="preserve"> storit</w:t>
      </w:r>
      <w:r w:rsidR="006C3494" w:rsidRPr="008B13E7">
        <w:rPr>
          <w:rFonts w:ascii="Arial" w:hAnsi="Arial" w:cs="Arial"/>
          <w:bCs/>
          <w:color w:val="000000" w:themeColor="text1"/>
          <w:sz w:val="20"/>
          <w:szCs w:val="20"/>
        </w:rPr>
        <w:t>ve</w:t>
      </w:r>
      <w:r w:rsidRPr="008B13E7">
        <w:rPr>
          <w:rFonts w:ascii="Arial" w:hAnsi="Arial" w:cs="Arial"/>
          <w:bCs/>
          <w:color w:val="000000" w:themeColor="text1"/>
          <w:sz w:val="20"/>
          <w:szCs w:val="20"/>
        </w:rPr>
        <w:t xml:space="preserve"> obvezna samo, kadar ocenjena vrednost teh storitev presega določene mejne vrednosti, tj. 750.000</w:t>
      </w:r>
      <w:r w:rsidR="00D51FFB" w:rsidRPr="008B13E7">
        <w:rPr>
          <w:rFonts w:ascii="Arial" w:hAnsi="Arial" w:cs="Arial"/>
          <w:bCs/>
          <w:color w:val="000000" w:themeColor="text1"/>
          <w:sz w:val="20"/>
          <w:szCs w:val="20"/>
        </w:rPr>
        <w:t> </w:t>
      </w:r>
      <w:r w:rsidR="008036C4" w:rsidRPr="008B13E7">
        <w:rPr>
          <w:rFonts w:ascii="Arial" w:hAnsi="Arial" w:cs="Arial"/>
          <w:bCs/>
          <w:color w:val="000000" w:themeColor="text1"/>
          <w:sz w:val="20"/>
          <w:szCs w:val="20"/>
        </w:rPr>
        <w:t>evrov</w:t>
      </w:r>
      <w:r w:rsidRPr="008B13E7">
        <w:rPr>
          <w:rFonts w:ascii="Arial" w:hAnsi="Arial" w:cs="Arial"/>
          <w:bCs/>
          <w:color w:val="000000" w:themeColor="text1"/>
          <w:sz w:val="20"/>
          <w:szCs w:val="20"/>
        </w:rPr>
        <w:t xml:space="preserve"> na splošnem in 1.000.000</w:t>
      </w:r>
      <w:r w:rsidR="00D51FFB" w:rsidRPr="008B13E7">
        <w:rPr>
          <w:rFonts w:ascii="Arial" w:hAnsi="Arial" w:cs="Arial"/>
          <w:bCs/>
          <w:color w:val="000000" w:themeColor="text1"/>
          <w:sz w:val="20"/>
          <w:szCs w:val="20"/>
        </w:rPr>
        <w:t> </w:t>
      </w:r>
      <w:r w:rsidR="008036C4" w:rsidRPr="008B13E7">
        <w:rPr>
          <w:rFonts w:ascii="Arial" w:hAnsi="Arial" w:cs="Arial"/>
          <w:bCs/>
          <w:color w:val="000000" w:themeColor="text1"/>
          <w:sz w:val="20"/>
          <w:szCs w:val="20"/>
        </w:rPr>
        <w:t>evrov</w:t>
      </w:r>
      <w:r w:rsidRPr="008B13E7">
        <w:rPr>
          <w:rFonts w:ascii="Arial" w:hAnsi="Arial" w:cs="Arial"/>
          <w:bCs/>
          <w:color w:val="000000" w:themeColor="text1"/>
          <w:sz w:val="20"/>
          <w:szCs w:val="20"/>
        </w:rPr>
        <w:t xml:space="preserve"> na infrastrukturnem področju. Za naročila socialnih in drugih posebnih storitev, katerih vrednost je nižja od zgoraj</w:t>
      </w:r>
      <w:r w:rsidR="00613CF6" w:rsidRPr="008B13E7">
        <w:rPr>
          <w:rFonts w:ascii="Arial" w:hAnsi="Arial" w:cs="Arial"/>
          <w:bCs/>
          <w:color w:val="000000" w:themeColor="text1"/>
          <w:sz w:val="20"/>
          <w:szCs w:val="20"/>
        </w:rPr>
        <w:t xml:space="preserve"> navedenih</w:t>
      </w:r>
      <w:r w:rsidRPr="008B13E7">
        <w:rPr>
          <w:rFonts w:ascii="Arial" w:hAnsi="Arial" w:cs="Arial"/>
          <w:bCs/>
          <w:color w:val="000000" w:themeColor="text1"/>
          <w:sz w:val="20"/>
          <w:szCs w:val="20"/>
        </w:rPr>
        <w:t xml:space="preserve"> vrednosti, morajo naročniki upoštevati določbe glede </w:t>
      </w:r>
      <w:r w:rsidR="00BC1956" w:rsidRPr="008B13E7">
        <w:rPr>
          <w:rFonts w:ascii="Arial" w:hAnsi="Arial" w:cs="Arial"/>
          <w:bCs/>
          <w:color w:val="000000" w:themeColor="text1"/>
          <w:sz w:val="20"/>
          <w:szCs w:val="20"/>
        </w:rPr>
        <w:t>tako imenovanih</w:t>
      </w:r>
      <w:r w:rsidRPr="008B13E7">
        <w:rPr>
          <w:rFonts w:ascii="Arial" w:hAnsi="Arial" w:cs="Arial"/>
          <w:bCs/>
          <w:color w:val="000000" w:themeColor="text1"/>
          <w:sz w:val="20"/>
          <w:szCs w:val="20"/>
        </w:rPr>
        <w:t xml:space="preserve"> evidenčnih javnih naročil. </w:t>
      </w:r>
    </w:p>
    <w:bookmarkEnd w:id="21"/>
    <w:p w14:paraId="73A737EE" w14:textId="0B5C32E2" w:rsidR="001A1391" w:rsidRPr="008B13E7" w:rsidRDefault="001A1391" w:rsidP="00B54C17">
      <w:pPr>
        <w:tabs>
          <w:tab w:val="left" w:pos="567"/>
          <w:tab w:val="left" w:pos="993"/>
        </w:tabs>
        <w:spacing w:line="360" w:lineRule="auto"/>
        <w:jc w:val="both"/>
        <w:rPr>
          <w:rFonts w:ascii="Arial" w:hAnsi="Arial" w:cs="Arial"/>
          <w:bCs/>
          <w:color w:val="000000" w:themeColor="text1"/>
          <w:sz w:val="20"/>
          <w:szCs w:val="20"/>
        </w:rPr>
      </w:pPr>
      <w:r w:rsidRPr="008B13E7">
        <w:rPr>
          <w:rFonts w:ascii="Arial" w:hAnsi="Arial" w:cs="Arial"/>
          <w:bCs/>
          <w:color w:val="000000" w:themeColor="text1"/>
          <w:sz w:val="20"/>
          <w:szCs w:val="20"/>
        </w:rPr>
        <w:t>Pri oddaji socialnih in drugih posebnih storitev je treb</w:t>
      </w:r>
      <w:r w:rsidR="00613CF6" w:rsidRPr="008B13E7">
        <w:rPr>
          <w:rFonts w:ascii="Arial" w:hAnsi="Arial" w:cs="Arial"/>
          <w:bCs/>
          <w:color w:val="000000" w:themeColor="text1"/>
          <w:sz w:val="20"/>
          <w:szCs w:val="20"/>
        </w:rPr>
        <w:t>a</w:t>
      </w:r>
      <w:r w:rsidRPr="008B13E7">
        <w:rPr>
          <w:rFonts w:ascii="Arial" w:hAnsi="Arial" w:cs="Arial"/>
          <w:bCs/>
          <w:color w:val="000000" w:themeColor="text1"/>
          <w:sz w:val="20"/>
          <w:szCs w:val="20"/>
        </w:rPr>
        <w:t xml:space="preserve"> v primerjavi s pre</w:t>
      </w:r>
      <w:r w:rsidR="00613CF6" w:rsidRPr="008B13E7">
        <w:rPr>
          <w:rFonts w:ascii="Arial" w:hAnsi="Arial" w:cs="Arial"/>
          <w:bCs/>
          <w:color w:val="000000" w:themeColor="text1"/>
          <w:sz w:val="20"/>
          <w:szCs w:val="20"/>
        </w:rPr>
        <w:t>jšnjimi</w:t>
      </w:r>
      <w:r w:rsidRPr="008B13E7">
        <w:rPr>
          <w:rFonts w:ascii="Arial" w:hAnsi="Arial" w:cs="Arial"/>
          <w:bCs/>
          <w:color w:val="000000" w:themeColor="text1"/>
          <w:sz w:val="20"/>
          <w:szCs w:val="20"/>
        </w:rPr>
        <w:t xml:space="preserve"> leti upoštevati, da so bile v skladu z novelo Zakona o javnem naročanju – ZJN-3B, ki je</w:t>
      </w:r>
      <w:r w:rsidR="00613CF6" w:rsidRPr="008B13E7">
        <w:rPr>
          <w:rFonts w:ascii="Arial" w:hAnsi="Arial" w:cs="Arial"/>
          <w:bCs/>
          <w:color w:val="000000" w:themeColor="text1"/>
          <w:sz w:val="20"/>
          <w:szCs w:val="20"/>
        </w:rPr>
        <w:t xml:space="preserve"> začel</w:t>
      </w:r>
      <w:r w:rsidR="007F5D9D" w:rsidRPr="008B13E7">
        <w:rPr>
          <w:rFonts w:ascii="Arial" w:hAnsi="Arial" w:cs="Arial"/>
          <w:bCs/>
          <w:color w:val="000000" w:themeColor="text1"/>
          <w:sz w:val="20"/>
          <w:szCs w:val="20"/>
        </w:rPr>
        <w:t>a</w:t>
      </w:r>
      <w:r w:rsidRPr="008B13E7">
        <w:rPr>
          <w:rFonts w:ascii="Arial" w:hAnsi="Arial" w:cs="Arial"/>
          <w:bCs/>
          <w:color w:val="000000" w:themeColor="text1"/>
          <w:sz w:val="20"/>
          <w:szCs w:val="20"/>
        </w:rPr>
        <w:t xml:space="preserve"> velja</w:t>
      </w:r>
      <w:r w:rsidR="00613CF6" w:rsidRPr="008B13E7">
        <w:rPr>
          <w:rFonts w:ascii="Arial" w:hAnsi="Arial" w:cs="Arial"/>
          <w:bCs/>
          <w:color w:val="000000" w:themeColor="text1"/>
          <w:sz w:val="20"/>
          <w:szCs w:val="20"/>
        </w:rPr>
        <w:t>ti</w:t>
      </w:r>
      <w:r w:rsidRPr="008B13E7">
        <w:rPr>
          <w:rFonts w:ascii="Arial" w:hAnsi="Arial" w:cs="Arial"/>
          <w:bCs/>
          <w:color w:val="000000" w:themeColor="text1"/>
          <w:sz w:val="20"/>
          <w:szCs w:val="20"/>
        </w:rPr>
        <w:t xml:space="preserve"> 1.</w:t>
      </w:r>
      <w:r w:rsidR="00613CF6" w:rsidRPr="008B13E7">
        <w:rPr>
          <w:rFonts w:ascii="Arial" w:hAnsi="Arial" w:cs="Arial"/>
          <w:bCs/>
          <w:color w:val="000000" w:themeColor="text1"/>
          <w:sz w:val="20"/>
          <w:szCs w:val="20"/>
        </w:rPr>
        <w:t xml:space="preserve"> januarja </w:t>
      </w:r>
      <w:r w:rsidRPr="008B13E7">
        <w:rPr>
          <w:rFonts w:ascii="Arial" w:hAnsi="Arial" w:cs="Arial"/>
          <w:bCs/>
          <w:color w:val="000000" w:themeColor="text1"/>
          <w:sz w:val="20"/>
          <w:szCs w:val="20"/>
        </w:rPr>
        <w:t>2022</w:t>
      </w:r>
      <w:r w:rsidR="00613CF6" w:rsidRPr="008B13E7">
        <w:rPr>
          <w:rFonts w:ascii="Arial" w:hAnsi="Arial" w:cs="Arial"/>
          <w:bCs/>
          <w:color w:val="000000" w:themeColor="text1"/>
          <w:sz w:val="20"/>
          <w:szCs w:val="20"/>
        </w:rPr>
        <w:t>,</w:t>
      </w:r>
      <w:r w:rsidRPr="008B13E7">
        <w:rPr>
          <w:rFonts w:ascii="Arial" w:hAnsi="Arial" w:cs="Arial"/>
          <w:bCs/>
          <w:color w:val="000000" w:themeColor="text1"/>
          <w:sz w:val="20"/>
          <w:szCs w:val="20"/>
        </w:rPr>
        <w:t xml:space="preserve"> nekatere kategorije storitev izločene iz socialnih in drugih posebnih storitev (storitve, ki so zajete s kod</w:t>
      </w:r>
      <w:r w:rsidR="00613CF6" w:rsidRPr="008B13E7">
        <w:rPr>
          <w:rFonts w:ascii="Arial" w:hAnsi="Arial" w:cs="Arial"/>
          <w:bCs/>
          <w:color w:val="000000" w:themeColor="text1"/>
          <w:sz w:val="20"/>
          <w:szCs w:val="20"/>
        </w:rPr>
        <w:t>ami</w:t>
      </w:r>
      <w:r w:rsidRPr="008B13E7">
        <w:rPr>
          <w:rFonts w:ascii="Arial" w:hAnsi="Arial" w:cs="Arial"/>
          <w:bCs/>
          <w:color w:val="000000" w:themeColor="text1"/>
          <w:sz w:val="20"/>
          <w:szCs w:val="20"/>
        </w:rPr>
        <w:t xml:space="preserve"> CPV 79100000-5, 79110000-8, 79111000-5, 79112000-2, 79112100-3 in 79140000-7).</w:t>
      </w:r>
    </w:p>
    <w:p w14:paraId="412A49DF" w14:textId="2723AA3F" w:rsidR="00B54C17" w:rsidRPr="008B13E7" w:rsidRDefault="00BC1956" w:rsidP="00B54C17">
      <w:pPr>
        <w:tabs>
          <w:tab w:val="left" w:pos="567"/>
          <w:tab w:val="left" w:pos="993"/>
        </w:tabs>
        <w:spacing w:line="360" w:lineRule="auto"/>
        <w:jc w:val="both"/>
        <w:rPr>
          <w:rFonts w:ascii="Arial" w:hAnsi="Arial" w:cs="Arial"/>
          <w:bCs/>
          <w:color w:val="000000" w:themeColor="text1"/>
          <w:sz w:val="20"/>
          <w:szCs w:val="20"/>
        </w:rPr>
      </w:pPr>
      <w:r w:rsidRPr="008B13E7">
        <w:rPr>
          <w:rFonts w:ascii="Arial" w:hAnsi="Arial" w:cs="Arial"/>
          <w:bCs/>
          <w:color w:val="000000" w:themeColor="text1"/>
          <w:sz w:val="20"/>
          <w:szCs w:val="20"/>
        </w:rPr>
        <w:t>Leta</w:t>
      </w:r>
      <w:r w:rsidR="00B54C17" w:rsidRPr="008B13E7">
        <w:rPr>
          <w:rFonts w:ascii="Arial" w:hAnsi="Arial" w:cs="Arial"/>
          <w:bCs/>
          <w:color w:val="000000" w:themeColor="text1"/>
          <w:sz w:val="20"/>
          <w:szCs w:val="20"/>
        </w:rPr>
        <w:t xml:space="preserve"> 20</w:t>
      </w:r>
      <w:r w:rsidR="00785AF1" w:rsidRPr="008B13E7">
        <w:rPr>
          <w:rFonts w:ascii="Arial" w:hAnsi="Arial" w:cs="Arial"/>
          <w:bCs/>
          <w:color w:val="000000" w:themeColor="text1"/>
          <w:sz w:val="20"/>
          <w:szCs w:val="20"/>
        </w:rPr>
        <w:t>2</w:t>
      </w:r>
      <w:r w:rsidR="00905383" w:rsidRPr="008B13E7">
        <w:rPr>
          <w:rFonts w:ascii="Arial" w:hAnsi="Arial" w:cs="Arial"/>
          <w:bCs/>
          <w:color w:val="000000" w:themeColor="text1"/>
          <w:sz w:val="20"/>
          <w:szCs w:val="20"/>
        </w:rPr>
        <w:t>3</w:t>
      </w:r>
      <w:r w:rsidR="00B54C17" w:rsidRPr="008B13E7">
        <w:rPr>
          <w:rFonts w:ascii="Arial" w:hAnsi="Arial" w:cs="Arial"/>
          <w:bCs/>
          <w:color w:val="000000" w:themeColor="text1"/>
          <w:sz w:val="20"/>
          <w:szCs w:val="20"/>
        </w:rPr>
        <w:t xml:space="preserve"> so naročnik</w:t>
      </w:r>
      <w:r w:rsidR="008B4EEB" w:rsidRPr="008B13E7">
        <w:rPr>
          <w:rFonts w:ascii="Arial" w:hAnsi="Arial" w:cs="Arial"/>
          <w:bCs/>
          <w:color w:val="000000" w:themeColor="text1"/>
          <w:sz w:val="20"/>
          <w:szCs w:val="20"/>
        </w:rPr>
        <w:t>i</w:t>
      </w:r>
      <w:r w:rsidR="00573981" w:rsidRPr="008B13E7">
        <w:rPr>
          <w:rFonts w:ascii="Arial" w:hAnsi="Arial" w:cs="Arial"/>
          <w:bCs/>
          <w:color w:val="000000" w:themeColor="text1"/>
          <w:sz w:val="20"/>
          <w:szCs w:val="20"/>
        </w:rPr>
        <w:t xml:space="preserve"> v </w:t>
      </w:r>
      <w:r w:rsidR="00905383" w:rsidRPr="008B13E7">
        <w:rPr>
          <w:rFonts w:ascii="Arial" w:hAnsi="Arial" w:cs="Arial"/>
          <w:bCs/>
          <w:color w:val="000000" w:themeColor="text1"/>
          <w:sz w:val="20"/>
          <w:szCs w:val="20"/>
        </w:rPr>
        <w:t>dvanajstih</w:t>
      </w:r>
      <w:r w:rsidR="00573981" w:rsidRPr="008B13E7">
        <w:rPr>
          <w:rFonts w:ascii="Arial" w:hAnsi="Arial" w:cs="Arial"/>
          <w:bCs/>
          <w:color w:val="000000" w:themeColor="text1"/>
          <w:sz w:val="20"/>
          <w:szCs w:val="20"/>
        </w:rPr>
        <w:t xml:space="preserve"> postopkih oddali </w:t>
      </w:r>
      <w:r w:rsidR="00905383" w:rsidRPr="008B13E7">
        <w:rPr>
          <w:rFonts w:ascii="Arial" w:hAnsi="Arial" w:cs="Arial"/>
          <w:bCs/>
          <w:color w:val="000000" w:themeColor="text1"/>
          <w:sz w:val="20"/>
          <w:szCs w:val="20"/>
        </w:rPr>
        <w:t>40</w:t>
      </w:r>
      <w:r w:rsidR="009342B4" w:rsidRPr="008B13E7">
        <w:rPr>
          <w:rFonts w:ascii="Arial" w:hAnsi="Arial" w:cs="Arial"/>
          <w:bCs/>
          <w:color w:val="000000" w:themeColor="text1"/>
          <w:sz w:val="20"/>
          <w:szCs w:val="20"/>
        </w:rPr>
        <w:t xml:space="preserve"> naročil</w:t>
      </w:r>
      <w:r w:rsidR="00B54C17" w:rsidRPr="008B13E7">
        <w:rPr>
          <w:rFonts w:ascii="Arial" w:hAnsi="Arial" w:cs="Arial"/>
          <w:bCs/>
          <w:color w:val="000000" w:themeColor="text1"/>
          <w:sz w:val="20"/>
          <w:szCs w:val="20"/>
        </w:rPr>
        <w:t xml:space="preserve"> s področja socialnih in drugih posebnih storitev.</w:t>
      </w:r>
    </w:p>
    <w:p w14:paraId="2695E3D5" w14:textId="158212BC" w:rsidR="004B5894" w:rsidRPr="008B13E7" w:rsidRDefault="004B5894" w:rsidP="008A61FD">
      <w:pPr>
        <w:spacing w:before="120" w:after="120" w:line="240" w:lineRule="auto"/>
        <w:jc w:val="both"/>
        <w:rPr>
          <w:rFonts w:ascii="Arial" w:hAnsi="Arial" w:cs="Arial"/>
          <w:bCs/>
          <w:color w:val="000000" w:themeColor="text1"/>
          <w:sz w:val="20"/>
          <w:szCs w:val="20"/>
        </w:rPr>
      </w:pPr>
      <w:r w:rsidRPr="008B13E7">
        <w:rPr>
          <w:rFonts w:ascii="Arial" w:hAnsi="Arial" w:cs="Arial"/>
          <w:color w:val="000000" w:themeColor="text1"/>
          <w:sz w:val="20"/>
        </w:rPr>
        <w:t xml:space="preserve">Preglednica </w:t>
      </w:r>
      <w:r w:rsidR="00512F52" w:rsidRPr="008B13E7">
        <w:rPr>
          <w:rFonts w:ascii="Arial" w:hAnsi="Arial" w:cs="Arial"/>
          <w:color w:val="000000" w:themeColor="text1"/>
          <w:sz w:val="20"/>
        </w:rPr>
        <w:t>13</w:t>
      </w:r>
      <w:r w:rsidR="00E430F6" w:rsidRPr="008B13E7">
        <w:rPr>
          <w:rFonts w:ascii="Arial" w:hAnsi="Arial" w:cs="Arial"/>
          <w:color w:val="000000" w:themeColor="text1"/>
          <w:sz w:val="20"/>
        </w:rPr>
        <w:t>:</w:t>
      </w:r>
      <w:r w:rsidRPr="008B13E7">
        <w:rPr>
          <w:rFonts w:ascii="Arial" w:hAnsi="Arial" w:cs="Arial"/>
          <w:color w:val="000000" w:themeColor="text1"/>
          <w:sz w:val="20"/>
        </w:rPr>
        <w:t xml:space="preserve"> Število, vrednost in deleži naročil </w:t>
      </w:r>
      <w:r w:rsidR="00016C2E" w:rsidRPr="008B13E7">
        <w:rPr>
          <w:rFonts w:ascii="Arial" w:hAnsi="Arial" w:cs="Arial"/>
          <w:bCs/>
          <w:color w:val="000000" w:themeColor="text1"/>
          <w:sz w:val="20"/>
          <w:szCs w:val="20"/>
        </w:rPr>
        <w:t>s področja socialnih in drugih posebnih storitev</w:t>
      </w:r>
    </w:p>
    <w:tbl>
      <w:tblPr>
        <w:tblW w:w="9360" w:type="dxa"/>
        <w:tblCellMar>
          <w:left w:w="70" w:type="dxa"/>
          <w:right w:w="70" w:type="dxa"/>
        </w:tblCellMar>
        <w:tblLook w:val="04A0" w:firstRow="1" w:lastRow="0" w:firstColumn="1" w:lastColumn="0" w:noHBand="0" w:noVBand="1"/>
      </w:tblPr>
      <w:tblGrid>
        <w:gridCol w:w="3256"/>
        <w:gridCol w:w="992"/>
        <w:gridCol w:w="850"/>
        <w:gridCol w:w="1144"/>
        <w:gridCol w:w="1060"/>
        <w:gridCol w:w="1066"/>
        <w:gridCol w:w="992"/>
      </w:tblGrid>
      <w:tr w:rsidR="00F71898" w:rsidRPr="008B13E7" w14:paraId="3A40E3BA" w14:textId="77777777" w:rsidTr="004813DB">
        <w:trPr>
          <w:trHeight w:val="255"/>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F32C3E" w14:textId="77777777" w:rsidR="00573981" w:rsidRPr="008B13E7" w:rsidRDefault="00573981" w:rsidP="00573981">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Vrsta storitve</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F4F2F4" w14:textId="77777777" w:rsidR="00573981" w:rsidRPr="008B13E7" w:rsidRDefault="00573981" w:rsidP="00573981">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Št. postopkov</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7196FD5" w14:textId="77777777" w:rsidR="00573981" w:rsidRPr="008B13E7" w:rsidRDefault="00573981" w:rsidP="00573981">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Št. naročil</w:t>
            </w:r>
          </w:p>
        </w:tc>
        <w:tc>
          <w:tcPr>
            <w:tcW w:w="11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5E3F527" w14:textId="7DD5B8C7" w:rsidR="00573981" w:rsidRPr="008B13E7" w:rsidRDefault="00573981" w:rsidP="00573981">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Pogodbena vrednost</w:t>
            </w:r>
            <w:r w:rsidR="00606A58" w:rsidRPr="008B13E7">
              <w:rPr>
                <w:rFonts w:ascii="Arial" w:eastAsia="Times New Roman" w:hAnsi="Arial" w:cs="Arial"/>
                <w:color w:val="000000" w:themeColor="text1"/>
                <w:sz w:val="18"/>
                <w:szCs w:val="18"/>
                <w:lang w:eastAsia="sl-SI"/>
              </w:rPr>
              <w:t xml:space="preserve"> (v EUR)</w:t>
            </w:r>
          </w:p>
        </w:tc>
        <w:tc>
          <w:tcPr>
            <w:tcW w:w="10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40AA8A" w14:textId="79773685" w:rsidR="00573981" w:rsidRPr="008B13E7" w:rsidRDefault="00573981" w:rsidP="00573981">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 xml:space="preserve">Delež v št. </w:t>
            </w:r>
            <w:r w:rsidR="003441A0" w:rsidRPr="008B13E7">
              <w:rPr>
                <w:rFonts w:ascii="Arial" w:eastAsia="Times New Roman" w:hAnsi="Arial" w:cs="Arial"/>
                <w:color w:val="000000" w:themeColor="text1"/>
                <w:sz w:val="18"/>
                <w:szCs w:val="18"/>
                <w:lang w:eastAsia="sl-SI"/>
              </w:rPr>
              <w:t>postopkov</w:t>
            </w:r>
          </w:p>
        </w:tc>
        <w:tc>
          <w:tcPr>
            <w:tcW w:w="10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DB5404" w14:textId="77777777" w:rsidR="00573981" w:rsidRPr="008B13E7" w:rsidRDefault="00573981" w:rsidP="00573981">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Delež v št. naročil</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32D5CC" w14:textId="77777777" w:rsidR="00573981" w:rsidRPr="008B13E7" w:rsidRDefault="00573981" w:rsidP="00573981">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Delež v vrednosti</w:t>
            </w:r>
          </w:p>
        </w:tc>
      </w:tr>
      <w:tr w:rsidR="00905383" w:rsidRPr="008B13E7" w14:paraId="4D7AFDA9" w14:textId="77777777" w:rsidTr="00905383">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8365A6" w14:textId="2998A5EE" w:rsidR="00905383" w:rsidRPr="008B13E7" w:rsidRDefault="00905383" w:rsidP="00905383">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Poštne in telekomunikacijske storitve</w:t>
            </w:r>
          </w:p>
        </w:tc>
        <w:tc>
          <w:tcPr>
            <w:tcW w:w="992" w:type="dxa"/>
            <w:tcBorders>
              <w:top w:val="nil"/>
              <w:left w:val="nil"/>
              <w:bottom w:val="single" w:sz="4" w:space="0" w:color="auto"/>
              <w:right w:val="single" w:sz="4" w:space="0" w:color="auto"/>
            </w:tcBorders>
            <w:shd w:val="clear" w:color="auto" w:fill="auto"/>
            <w:noWrap/>
            <w:vAlign w:val="center"/>
            <w:hideMark/>
          </w:tcPr>
          <w:p w14:paraId="59DF81D9" w14:textId="26D29A94"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w:t>
            </w:r>
          </w:p>
        </w:tc>
        <w:tc>
          <w:tcPr>
            <w:tcW w:w="850" w:type="dxa"/>
            <w:tcBorders>
              <w:top w:val="nil"/>
              <w:left w:val="nil"/>
              <w:bottom w:val="single" w:sz="4" w:space="0" w:color="auto"/>
              <w:right w:val="single" w:sz="4" w:space="0" w:color="auto"/>
            </w:tcBorders>
            <w:shd w:val="clear" w:color="auto" w:fill="auto"/>
            <w:vAlign w:val="center"/>
            <w:hideMark/>
          </w:tcPr>
          <w:p w14:paraId="6E8534ED" w14:textId="04F7B7E0"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w:t>
            </w:r>
          </w:p>
        </w:tc>
        <w:tc>
          <w:tcPr>
            <w:tcW w:w="1144" w:type="dxa"/>
            <w:tcBorders>
              <w:top w:val="nil"/>
              <w:left w:val="nil"/>
              <w:bottom w:val="single" w:sz="4" w:space="0" w:color="auto"/>
              <w:right w:val="single" w:sz="4" w:space="0" w:color="auto"/>
            </w:tcBorders>
            <w:shd w:val="clear" w:color="auto" w:fill="auto"/>
            <w:vAlign w:val="center"/>
            <w:hideMark/>
          </w:tcPr>
          <w:p w14:paraId="074C52CD" w14:textId="2AB39F9C"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109.413.208</w:t>
            </w:r>
          </w:p>
        </w:tc>
        <w:tc>
          <w:tcPr>
            <w:tcW w:w="1060" w:type="dxa"/>
            <w:tcBorders>
              <w:top w:val="nil"/>
              <w:left w:val="nil"/>
              <w:bottom w:val="single" w:sz="4" w:space="0" w:color="auto"/>
              <w:right w:val="single" w:sz="4" w:space="0" w:color="auto"/>
            </w:tcBorders>
            <w:shd w:val="clear" w:color="auto" w:fill="auto"/>
            <w:noWrap/>
            <w:vAlign w:val="center"/>
            <w:hideMark/>
          </w:tcPr>
          <w:p w14:paraId="161128C4" w14:textId="04B7E873"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8,33 %</w:t>
            </w:r>
          </w:p>
        </w:tc>
        <w:tc>
          <w:tcPr>
            <w:tcW w:w="1066" w:type="dxa"/>
            <w:tcBorders>
              <w:top w:val="nil"/>
              <w:left w:val="nil"/>
              <w:bottom w:val="single" w:sz="4" w:space="0" w:color="auto"/>
              <w:right w:val="single" w:sz="4" w:space="0" w:color="auto"/>
            </w:tcBorders>
            <w:shd w:val="clear" w:color="auto" w:fill="auto"/>
            <w:noWrap/>
            <w:vAlign w:val="center"/>
            <w:hideMark/>
          </w:tcPr>
          <w:p w14:paraId="2B5593B6" w14:textId="7776FD4B"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20,00 %</w:t>
            </w:r>
          </w:p>
        </w:tc>
        <w:tc>
          <w:tcPr>
            <w:tcW w:w="992" w:type="dxa"/>
            <w:tcBorders>
              <w:top w:val="nil"/>
              <w:left w:val="nil"/>
              <w:bottom w:val="single" w:sz="4" w:space="0" w:color="auto"/>
              <w:right w:val="single" w:sz="4" w:space="0" w:color="auto"/>
            </w:tcBorders>
            <w:shd w:val="clear" w:color="auto" w:fill="auto"/>
            <w:noWrap/>
            <w:vAlign w:val="center"/>
            <w:hideMark/>
          </w:tcPr>
          <w:p w14:paraId="0D1082EA" w14:textId="72EB0A36"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93,72 %</w:t>
            </w:r>
          </w:p>
        </w:tc>
      </w:tr>
      <w:tr w:rsidR="00905383" w:rsidRPr="008B13E7" w14:paraId="4B3601DA" w14:textId="77777777" w:rsidTr="00905383">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4CDA76DC" w14:textId="602276B9" w:rsidR="00905383" w:rsidRPr="008B13E7" w:rsidRDefault="00905383" w:rsidP="00905383">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Storitve hotelov, restavracij in trgovine na drobno</w:t>
            </w:r>
          </w:p>
        </w:tc>
        <w:tc>
          <w:tcPr>
            <w:tcW w:w="992" w:type="dxa"/>
            <w:tcBorders>
              <w:top w:val="nil"/>
              <w:left w:val="nil"/>
              <w:bottom w:val="single" w:sz="4" w:space="0" w:color="auto"/>
              <w:right w:val="single" w:sz="4" w:space="0" w:color="auto"/>
            </w:tcBorders>
            <w:shd w:val="clear" w:color="auto" w:fill="auto"/>
            <w:noWrap/>
            <w:vAlign w:val="center"/>
          </w:tcPr>
          <w:p w14:paraId="740EBAD9" w14:textId="355C281F"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w:t>
            </w:r>
          </w:p>
        </w:tc>
        <w:tc>
          <w:tcPr>
            <w:tcW w:w="850" w:type="dxa"/>
            <w:tcBorders>
              <w:top w:val="nil"/>
              <w:left w:val="nil"/>
              <w:bottom w:val="single" w:sz="4" w:space="0" w:color="auto"/>
              <w:right w:val="single" w:sz="4" w:space="0" w:color="auto"/>
            </w:tcBorders>
            <w:shd w:val="clear" w:color="auto" w:fill="auto"/>
            <w:vAlign w:val="center"/>
          </w:tcPr>
          <w:p w14:paraId="74230A5E" w14:textId="2B7C0B13"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w:t>
            </w:r>
          </w:p>
        </w:tc>
        <w:tc>
          <w:tcPr>
            <w:tcW w:w="1144" w:type="dxa"/>
            <w:tcBorders>
              <w:top w:val="nil"/>
              <w:left w:val="nil"/>
              <w:bottom w:val="single" w:sz="4" w:space="0" w:color="auto"/>
              <w:right w:val="single" w:sz="4" w:space="0" w:color="auto"/>
            </w:tcBorders>
            <w:shd w:val="clear" w:color="auto" w:fill="auto"/>
            <w:vAlign w:val="center"/>
          </w:tcPr>
          <w:p w14:paraId="7F51BBF2" w14:textId="50C19B43"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4.025.635</w:t>
            </w:r>
          </w:p>
        </w:tc>
        <w:tc>
          <w:tcPr>
            <w:tcW w:w="1060" w:type="dxa"/>
            <w:tcBorders>
              <w:top w:val="nil"/>
              <w:left w:val="nil"/>
              <w:bottom w:val="single" w:sz="4" w:space="0" w:color="auto"/>
              <w:right w:val="single" w:sz="4" w:space="0" w:color="auto"/>
            </w:tcBorders>
            <w:shd w:val="clear" w:color="auto" w:fill="auto"/>
            <w:noWrap/>
            <w:vAlign w:val="center"/>
          </w:tcPr>
          <w:p w14:paraId="7DA4203B" w14:textId="473E40DD"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25,00 %</w:t>
            </w:r>
          </w:p>
        </w:tc>
        <w:tc>
          <w:tcPr>
            <w:tcW w:w="1066" w:type="dxa"/>
            <w:tcBorders>
              <w:top w:val="nil"/>
              <w:left w:val="nil"/>
              <w:bottom w:val="single" w:sz="4" w:space="0" w:color="auto"/>
              <w:right w:val="single" w:sz="4" w:space="0" w:color="auto"/>
            </w:tcBorders>
            <w:shd w:val="clear" w:color="auto" w:fill="auto"/>
            <w:noWrap/>
            <w:vAlign w:val="center"/>
          </w:tcPr>
          <w:p w14:paraId="1C75783D" w14:textId="74F0FB8F"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7,50 %</w:t>
            </w:r>
          </w:p>
        </w:tc>
        <w:tc>
          <w:tcPr>
            <w:tcW w:w="992" w:type="dxa"/>
            <w:tcBorders>
              <w:top w:val="nil"/>
              <w:left w:val="nil"/>
              <w:bottom w:val="single" w:sz="4" w:space="0" w:color="auto"/>
              <w:right w:val="single" w:sz="4" w:space="0" w:color="auto"/>
            </w:tcBorders>
            <w:shd w:val="clear" w:color="auto" w:fill="auto"/>
            <w:noWrap/>
            <w:vAlign w:val="center"/>
          </w:tcPr>
          <w:p w14:paraId="619278ED" w14:textId="1030AC94"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3,45 %</w:t>
            </w:r>
          </w:p>
        </w:tc>
      </w:tr>
      <w:tr w:rsidR="00905383" w:rsidRPr="008B13E7" w14:paraId="11109D2B" w14:textId="77777777" w:rsidTr="00905383">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6CFED930" w14:textId="25317A30" w:rsidR="00905383" w:rsidRPr="008B13E7" w:rsidRDefault="00905383" w:rsidP="00905383">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Storitve izobraževanja in usposabljanja</w:t>
            </w:r>
          </w:p>
        </w:tc>
        <w:tc>
          <w:tcPr>
            <w:tcW w:w="992" w:type="dxa"/>
            <w:tcBorders>
              <w:top w:val="nil"/>
              <w:left w:val="nil"/>
              <w:bottom w:val="single" w:sz="4" w:space="0" w:color="auto"/>
              <w:right w:val="single" w:sz="4" w:space="0" w:color="auto"/>
            </w:tcBorders>
            <w:shd w:val="clear" w:color="auto" w:fill="auto"/>
            <w:noWrap/>
            <w:vAlign w:val="center"/>
          </w:tcPr>
          <w:p w14:paraId="07DEFCE7" w14:textId="1F3D7A1E"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w:t>
            </w:r>
          </w:p>
        </w:tc>
        <w:tc>
          <w:tcPr>
            <w:tcW w:w="850" w:type="dxa"/>
            <w:tcBorders>
              <w:top w:val="nil"/>
              <w:left w:val="nil"/>
              <w:bottom w:val="single" w:sz="4" w:space="0" w:color="auto"/>
              <w:right w:val="single" w:sz="4" w:space="0" w:color="auto"/>
            </w:tcBorders>
            <w:shd w:val="clear" w:color="auto" w:fill="auto"/>
            <w:vAlign w:val="center"/>
          </w:tcPr>
          <w:p w14:paraId="1098E424" w14:textId="1482A1F9"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10</w:t>
            </w:r>
          </w:p>
        </w:tc>
        <w:tc>
          <w:tcPr>
            <w:tcW w:w="1144" w:type="dxa"/>
            <w:tcBorders>
              <w:top w:val="nil"/>
              <w:left w:val="nil"/>
              <w:bottom w:val="single" w:sz="4" w:space="0" w:color="auto"/>
              <w:right w:val="single" w:sz="4" w:space="0" w:color="auto"/>
            </w:tcBorders>
            <w:shd w:val="clear" w:color="auto" w:fill="auto"/>
            <w:vAlign w:val="center"/>
          </w:tcPr>
          <w:p w14:paraId="5474F1B9" w14:textId="728C9576"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2.721.600</w:t>
            </w:r>
          </w:p>
        </w:tc>
        <w:tc>
          <w:tcPr>
            <w:tcW w:w="1060" w:type="dxa"/>
            <w:tcBorders>
              <w:top w:val="nil"/>
              <w:left w:val="nil"/>
              <w:bottom w:val="single" w:sz="4" w:space="0" w:color="auto"/>
              <w:right w:val="single" w:sz="4" w:space="0" w:color="auto"/>
            </w:tcBorders>
            <w:shd w:val="clear" w:color="auto" w:fill="auto"/>
            <w:noWrap/>
            <w:vAlign w:val="center"/>
          </w:tcPr>
          <w:p w14:paraId="256A2C56" w14:textId="1F746D03"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8,33 %</w:t>
            </w:r>
          </w:p>
        </w:tc>
        <w:tc>
          <w:tcPr>
            <w:tcW w:w="1066" w:type="dxa"/>
            <w:tcBorders>
              <w:top w:val="nil"/>
              <w:left w:val="nil"/>
              <w:bottom w:val="single" w:sz="4" w:space="0" w:color="auto"/>
              <w:right w:val="single" w:sz="4" w:space="0" w:color="auto"/>
            </w:tcBorders>
            <w:shd w:val="clear" w:color="auto" w:fill="auto"/>
            <w:noWrap/>
            <w:vAlign w:val="center"/>
          </w:tcPr>
          <w:p w14:paraId="7533A8D2" w14:textId="619D13BA"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25,00 %</w:t>
            </w:r>
          </w:p>
        </w:tc>
        <w:tc>
          <w:tcPr>
            <w:tcW w:w="992" w:type="dxa"/>
            <w:tcBorders>
              <w:top w:val="nil"/>
              <w:left w:val="nil"/>
              <w:bottom w:val="single" w:sz="4" w:space="0" w:color="auto"/>
              <w:right w:val="single" w:sz="4" w:space="0" w:color="auto"/>
            </w:tcBorders>
            <w:shd w:val="clear" w:color="auto" w:fill="auto"/>
            <w:noWrap/>
            <w:vAlign w:val="center"/>
          </w:tcPr>
          <w:p w14:paraId="59E0685D" w14:textId="4F67AEE8"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2,33 %</w:t>
            </w:r>
          </w:p>
        </w:tc>
      </w:tr>
      <w:tr w:rsidR="00905383" w:rsidRPr="008B13E7" w14:paraId="7AA5D09C" w14:textId="77777777" w:rsidTr="00905383">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094C3AA8" w14:textId="76295B40" w:rsidR="00905383" w:rsidRPr="008B13E7" w:rsidRDefault="00905383" w:rsidP="00905383">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Storitve na področju zdravstva in socialnega varstva</w:t>
            </w:r>
          </w:p>
        </w:tc>
        <w:tc>
          <w:tcPr>
            <w:tcW w:w="992" w:type="dxa"/>
            <w:tcBorders>
              <w:top w:val="nil"/>
              <w:left w:val="nil"/>
              <w:bottom w:val="single" w:sz="4" w:space="0" w:color="auto"/>
              <w:right w:val="single" w:sz="4" w:space="0" w:color="auto"/>
            </w:tcBorders>
            <w:shd w:val="clear" w:color="auto" w:fill="auto"/>
            <w:noWrap/>
            <w:vAlign w:val="center"/>
          </w:tcPr>
          <w:p w14:paraId="4C730696" w14:textId="42703DED"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w:t>
            </w:r>
          </w:p>
        </w:tc>
        <w:tc>
          <w:tcPr>
            <w:tcW w:w="850" w:type="dxa"/>
            <w:tcBorders>
              <w:top w:val="nil"/>
              <w:left w:val="nil"/>
              <w:bottom w:val="single" w:sz="4" w:space="0" w:color="auto"/>
              <w:right w:val="single" w:sz="4" w:space="0" w:color="auto"/>
            </w:tcBorders>
            <w:shd w:val="clear" w:color="auto" w:fill="auto"/>
            <w:vAlign w:val="center"/>
          </w:tcPr>
          <w:p w14:paraId="73D0943C" w14:textId="670472A1"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w:t>
            </w:r>
          </w:p>
        </w:tc>
        <w:tc>
          <w:tcPr>
            <w:tcW w:w="1144" w:type="dxa"/>
            <w:tcBorders>
              <w:top w:val="nil"/>
              <w:left w:val="nil"/>
              <w:bottom w:val="single" w:sz="4" w:space="0" w:color="auto"/>
              <w:right w:val="single" w:sz="4" w:space="0" w:color="auto"/>
            </w:tcBorders>
            <w:shd w:val="clear" w:color="auto" w:fill="auto"/>
            <w:vAlign w:val="center"/>
          </w:tcPr>
          <w:p w14:paraId="23D3C9A5" w14:textId="30AE79E8"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18.000</w:t>
            </w:r>
          </w:p>
        </w:tc>
        <w:tc>
          <w:tcPr>
            <w:tcW w:w="1060" w:type="dxa"/>
            <w:tcBorders>
              <w:top w:val="nil"/>
              <w:left w:val="nil"/>
              <w:bottom w:val="single" w:sz="4" w:space="0" w:color="auto"/>
              <w:right w:val="single" w:sz="4" w:space="0" w:color="auto"/>
            </w:tcBorders>
            <w:shd w:val="clear" w:color="auto" w:fill="auto"/>
            <w:noWrap/>
            <w:vAlign w:val="center"/>
          </w:tcPr>
          <w:p w14:paraId="0EEB7E8F" w14:textId="447E461D"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8,33 %</w:t>
            </w:r>
          </w:p>
        </w:tc>
        <w:tc>
          <w:tcPr>
            <w:tcW w:w="1066" w:type="dxa"/>
            <w:tcBorders>
              <w:top w:val="nil"/>
              <w:left w:val="nil"/>
              <w:bottom w:val="single" w:sz="4" w:space="0" w:color="auto"/>
              <w:right w:val="single" w:sz="4" w:space="0" w:color="auto"/>
            </w:tcBorders>
            <w:shd w:val="clear" w:color="auto" w:fill="auto"/>
            <w:noWrap/>
            <w:vAlign w:val="center"/>
          </w:tcPr>
          <w:p w14:paraId="7B62EF97" w14:textId="36D608DA"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2,50 %</w:t>
            </w:r>
          </w:p>
        </w:tc>
        <w:tc>
          <w:tcPr>
            <w:tcW w:w="992" w:type="dxa"/>
            <w:tcBorders>
              <w:top w:val="nil"/>
              <w:left w:val="nil"/>
              <w:bottom w:val="single" w:sz="4" w:space="0" w:color="auto"/>
              <w:right w:val="single" w:sz="4" w:space="0" w:color="auto"/>
            </w:tcBorders>
            <w:shd w:val="clear" w:color="auto" w:fill="auto"/>
            <w:noWrap/>
            <w:vAlign w:val="center"/>
          </w:tcPr>
          <w:p w14:paraId="1D8E642D" w14:textId="45722DA4"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0,02 %</w:t>
            </w:r>
          </w:p>
        </w:tc>
      </w:tr>
      <w:tr w:rsidR="00905383" w:rsidRPr="008B13E7" w14:paraId="32841589" w14:textId="77777777" w:rsidTr="00905383">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5EF51560" w14:textId="7FB809A5" w:rsidR="00905383" w:rsidRPr="008B13E7" w:rsidRDefault="00905383" w:rsidP="00905383">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Storitve uprave, obrambe in socialnega zavarovanja</w:t>
            </w:r>
          </w:p>
        </w:tc>
        <w:tc>
          <w:tcPr>
            <w:tcW w:w="992" w:type="dxa"/>
            <w:tcBorders>
              <w:top w:val="nil"/>
              <w:left w:val="nil"/>
              <w:bottom w:val="single" w:sz="4" w:space="0" w:color="auto"/>
              <w:right w:val="single" w:sz="4" w:space="0" w:color="auto"/>
            </w:tcBorders>
            <w:shd w:val="clear" w:color="auto" w:fill="auto"/>
            <w:noWrap/>
            <w:vAlign w:val="center"/>
          </w:tcPr>
          <w:p w14:paraId="7B41F6E3" w14:textId="789FCBD2"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5</w:t>
            </w:r>
          </w:p>
        </w:tc>
        <w:tc>
          <w:tcPr>
            <w:tcW w:w="850" w:type="dxa"/>
            <w:tcBorders>
              <w:top w:val="nil"/>
              <w:left w:val="nil"/>
              <w:bottom w:val="single" w:sz="4" w:space="0" w:color="auto"/>
              <w:right w:val="single" w:sz="4" w:space="0" w:color="auto"/>
            </w:tcBorders>
            <w:shd w:val="clear" w:color="auto" w:fill="auto"/>
            <w:vAlign w:val="center"/>
          </w:tcPr>
          <w:p w14:paraId="2CA95BB3" w14:textId="38D6DE3A"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16</w:t>
            </w:r>
          </w:p>
        </w:tc>
        <w:tc>
          <w:tcPr>
            <w:tcW w:w="1144" w:type="dxa"/>
            <w:tcBorders>
              <w:top w:val="nil"/>
              <w:left w:val="nil"/>
              <w:bottom w:val="single" w:sz="4" w:space="0" w:color="auto"/>
              <w:right w:val="single" w:sz="4" w:space="0" w:color="auto"/>
            </w:tcBorders>
            <w:shd w:val="clear" w:color="auto" w:fill="auto"/>
            <w:vAlign w:val="center"/>
          </w:tcPr>
          <w:p w14:paraId="782FB7F8" w14:textId="06FFA481"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536.210</w:t>
            </w:r>
          </w:p>
        </w:tc>
        <w:tc>
          <w:tcPr>
            <w:tcW w:w="1060" w:type="dxa"/>
            <w:tcBorders>
              <w:top w:val="nil"/>
              <w:left w:val="nil"/>
              <w:bottom w:val="single" w:sz="4" w:space="0" w:color="auto"/>
              <w:right w:val="single" w:sz="4" w:space="0" w:color="auto"/>
            </w:tcBorders>
            <w:shd w:val="clear" w:color="auto" w:fill="auto"/>
            <w:noWrap/>
            <w:vAlign w:val="center"/>
          </w:tcPr>
          <w:p w14:paraId="59B18C0B" w14:textId="6B03E591"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41,67 %</w:t>
            </w:r>
          </w:p>
        </w:tc>
        <w:tc>
          <w:tcPr>
            <w:tcW w:w="1066" w:type="dxa"/>
            <w:tcBorders>
              <w:top w:val="nil"/>
              <w:left w:val="nil"/>
              <w:bottom w:val="single" w:sz="4" w:space="0" w:color="auto"/>
              <w:right w:val="single" w:sz="4" w:space="0" w:color="auto"/>
            </w:tcBorders>
            <w:shd w:val="clear" w:color="auto" w:fill="auto"/>
            <w:noWrap/>
            <w:vAlign w:val="center"/>
          </w:tcPr>
          <w:p w14:paraId="0B567204" w14:textId="5CC1E85A"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40,00 %</w:t>
            </w:r>
          </w:p>
        </w:tc>
        <w:tc>
          <w:tcPr>
            <w:tcW w:w="992" w:type="dxa"/>
            <w:tcBorders>
              <w:top w:val="nil"/>
              <w:left w:val="nil"/>
              <w:bottom w:val="single" w:sz="4" w:space="0" w:color="auto"/>
              <w:right w:val="single" w:sz="4" w:space="0" w:color="auto"/>
            </w:tcBorders>
            <w:shd w:val="clear" w:color="auto" w:fill="auto"/>
            <w:noWrap/>
            <w:vAlign w:val="center"/>
          </w:tcPr>
          <w:p w14:paraId="0E60CC23" w14:textId="73FD3CE9"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0,46 %</w:t>
            </w:r>
          </w:p>
        </w:tc>
      </w:tr>
      <w:tr w:rsidR="00905383" w:rsidRPr="008B13E7" w14:paraId="0CB63733" w14:textId="77777777" w:rsidTr="00905383">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2B74D598" w14:textId="6C50B9BD" w:rsidR="00905383" w:rsidRPr="008B13E7" w:rsidRDefault="00905383" w:rsidP="00905383">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Storitve zdravnikov specialistov</w:t>
            </w:r>
          </w:p>
        </w:tc>
        <w:tc>
          <w:tcPr>
            <w:tcW w:w="992" w:type="dxa"/>
            <w:tcBorders>
              <w:top w:val="nil"/>
              <w:left w:val="nil"/>
              <w:bottom w:val="single" w:sz="4" w:space="0" w:color="auto"/>
              <w:right w:val="single" w:sz="4" w:space="0" w:color="auto"/>
            </w:tcBorders>
            <w:shd w:val="clear" w:color="auto" w:fill="auto"/>
            <w:noWrap/>
            <w:vAlign w:val="center"/>
          </w:tcPr>
          <w:p w14:paraId="3C32E895" w14:textId="1D2D318C"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w:t>
            </w:r>
          </w:p>
        </w:tc>
        <w:tc>
          <w:tcPr>
            <w:tcW w:w="850" w:type="dxa"/>
            <w:tcBorders>
              <w:top w:val="nil"/>
              <w:left w:val="nil"/>
              <w:bottom w:val="single" w:sz="4" w:space="0" w:color="auto"/>
              <w:right w:val="single" w:sz="4" w:space="0" w:color="auto"/>
            </w:tcBorders>
            <w:shd w:val="clear" w:color="auto" w:fill="auto"/>
            <w:vAlign w:val="center"/>
          </w:tcPr>
          <w:p w14:paraId="08117718" w14:textId="4BB579B2"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w:t>
            </w:r>
          </w:p>
        </w:tc>
        <w:tc>
          <w:tcPr>
            <w:tcW w:w="1144" w:type="dxa"/>
            <w:tcBorders>
              <w:top w:val="nil"/>
              <w:left w:val="nil"/>
              <w:bottom w:val="single" w:sz="4" w:space="0" w:color="auto"/>
              <w:right w:val="single" w:sz="4" w:space="0" w:color="auto"/>
            </w:tcBorders>
            <w:shd w:val="clear" w:color="auto" w:fill="auto"/>
            <w:vAlign w:val="center"/>
          </w:tcPr>
          <w:p w14:paraId="21129AD4" w14:textId="0C13944D"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25.755</w:t>
            </w:r>
          </w:p>
        </w:tc>
        <w:tc>
          <w:tcPr>
            <w:tcW w:w="1060" w:type="dxa"/>
            <w:tcBorders>
              <w:top w:val="nil"/>
              <w:left w:val="nil"/>
              <w:bottom w:val="single" w:sz="4" w:space="0" w:color="auto"/>
              <w:right w:val="single" w:sz="4" w:space="0" w:color="auto"/>
            </w:tcBorders>
            <w:shd w:val="clear" w:color="auto" w:fill="auto"/>
            <w:noWrap/>
            <w:vAlign w:val="center"/>
          </w:tcPr>
          <w:p w14:paraId="61CA78F3" w14:textId="5F75026A"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8,33 %</w:t>
            </w:r>
          </w:p>
        </w:tc>
        <w:tc>
          <w:tcPr>
            <w:tcW w:w="1066" w:type="dxa"/>
            <w:tcBorders>
              <w:top w:val="nil"/>
              <w:left w:val="nil"/>
              <w:bottom w:val="single" w:sz="4" w:space="0" w:color="auto"/>
              <w:right w:val="single" w:sz="4" w:space="0" w:color="auto"/>
            </w:tcBorders>
            <w:shd w:val="clear" w:color="auto" w:fill="auto"/>
            <w:noWrap/>
            <w:vAlign w:val="center"/>
          </w:tcPr>
          <w:p w14:paraId="2F8EFC7D" w14:textId="0C801DDC"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5,00 %</w:t>
            </w:r>
          </w:p>
        </w:tc>
        <w:tc>
          <w:tcPr>
            <w:tcW w:w="992" w:type="dxa"/>
            <w:tcBorders>
              <w:top w:val="nil"/>
              <w:left w:val="nil"/>
              <w:bottom w:val="single" w:sz="4" w:space="0" w:color="auto"/>
              <w:right w:val="single" w:sz="4" w:space="0" w:color="auto"/>
            </w:tcBorders>
            <w:shd w:val="clear" w:color="auto" w:fill="auto"/>
            <w:noWrap/>
            <w:vAlign w:val="center"/>
          </w:tcPr>
          <w:p w14:paraId="1B7904B4" w14:textId="4C59D01D" w:rsidR="00905383" w:rsidRPr="008B13E7" w:rsidRDefault="00905383" w:rsidP="00905383">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0,02 %</w:t>
            </w:r>
          </w:p>
        </w:tc>
      </w:tr>
      <w:tr w:rsidR="00905383" w:rsidRPr="008B13E7" w14:paraId="010D1DEC" w14:textId="77777777" w:rsidTr="00905383">
        <w:trPr>
          <w:trHeight w:val="255"/>
        </w:trPr>
        <w:tc>
          <w:tcPr>
            <w:tcW w:w="325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620E25" w14:textId="7847539C" w:rsidR="00905383" w:rsidRPr="008B13E7" w:rsidRDefault="00905383" w:rsidP="00905383">
            <w:pPr>
              <w:spacing w:after="0" w:line="240" w:lineRule="auto"/>
              <w:rPr>
                <w:rFonts w:ascii="Arial" w:hAnsi="Arial" w:cs="Arial"/>
                <w:b/>
                <w:bCs/>
                <w:color w:val="000000" w:themeColor="text1"/>
                <w:sz w:val="18"/>
                <w:szCs w:val="18"/>
              </w:rPr>
            </w:pPr>
            <w:r w:rsidRPr="008B13E7">
              <w:rPr>
                <w:rFonts w:ascii="Arial" w:hAnsi="Arial" w:cs="Arial"/>
                <w:b/>
                <w:bCs/>
                <w:color w:val="000000" w:themeColor="text1"/>
                <w:sz w:val="18"/>
                <w:szCs w:val="18"/>
              </w:rPr>
              <w:t>Skupaj</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6C55B71" w14:textId="708480D8" w:rsidR="00905383" w:rsidRPr="008B13E7" w:rsidRDefault="00905383" w:rsidP="00905383">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12</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5C51A1CB" w14:textId="5C9212AE" w:rsidR="00905383" w:rsidRPr="008B13E7" w:rsidRDefault="00905383" w:rsidP="00905383">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40</w:t>
            </w:r>
          </w:p>
        </w:tc>
        <w:tc>
          <w:tcPr>
            <w:tcW w:w="1144" w:type="dxa"/>
            <w:tcBorders>
              <w:top w:val="nil"/>
              <w:left w:val="nil"/>
              <w:bottom w:val="single" w:sz="4" w:space="0" w:color="auto"/>
              <w:right w:val="single" w:sz="4" w:space="0" w:color="auto"/>
            </w:tcBorders>
            <w:shd w:val="clear" w:color="auto" w:fill="F2F2F2" w:themeFill="background1" w:themeFillShade="F2"/>
            <w:noWrap/>
            <w:vAlign w:val="center"/>
            <w:hideMark/>
          </w:tcPr>
          <w:p w14:paraId="42B8CBDE" w14:textId="3848E69F" w:rsidR="00905383" w:rsidRPr="008B13E7" w:rsidRDefault="00905383" w:rsidP="00905383">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116.740.408</w:t>
            </w:r>
          </w:p>
        </w:tc>
        <w:tc>
          <w:tcPr>
            <w:tcW w:w="1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671DA1E" w14:textId="6DFD5881" w:rsidR="00905383" w:rsidRPr="008B13E7" w:rsidRDefault="00905383" w:rsidP="00905383">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100,00 %</w:t>
            </w:r>
          </w:p>
        </w:tc>
        <w:tc>
          <w:tcPr>
            <w:tcW w:w="1066" w:type="dxa"/>
            <w:tcBorders>
              <w:top w:val="nil"/>
              <w:left w:val="nil"/>
              <w:bottom w:val="single" w:sz="4" w:space="0" w:color="auto"/>
              <w:right w:val="single" w:sz="4" w:space="0" w:color="auto"/>
            </w:tcBorders>
            <w:shd w:val="clear" w:color="auto" w:fill="F2F2F2" w:themeFill="background1" w:themeFillShade="F2"/>
            <w:noWrap/>
            <w:vAlign w:val="center"/>
            <w:hideMark/>
          </w:tcPr>
          <w:p w14:paraId="18C97BE8" w14:textId="4C0CE7DD" w:rsidR="00905383" w:rsidRPr="008B13E7" w:rsidRDefault="00905383" w:rsidP="00905383">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100,00 %</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4A31FF1" w14:textId="61894815" w:rsidR="00905383" w:rsidRPr="008B13E7" w:rsidRDefault="00905383" w:rsidP="00905383">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100,00 %</w:t>
            </w:r>
          </w:p>
        </w:tc>
      </w:tr>
    </w:tbl>
    <w:p w14:paraId="7CDBB5D3" w14:textId="77777777" w:rsidR="003156F5" w:rsidRPr="008B13E7" w:rsidRDefault="003156F5" w:rsidP="003156F5">
      <w:pPr>
        <w:spacing w:after="0" w:line="240" w:lineRule="auto"/>
        <w:jc w:val="center"/>
        <w:rPr>
          <w:rFonts w:ascii="Arial" w:hAnsi="Arial" w:cs="Arial"/>
          <w:color w:val="000000" w:themeColor="text1"/>
          <w:sz w:val="18"/>
        </w:rPr>
      </w:pPr>
    </w:p>
    <w:p w14:paraId="72A10205" w14:textId="7929BC33" w:rsidR="004B5894" w:rsidRPr="008B13E7" w:rsidRDefault="004B5894" w:rsidP="003156F5">
      <w:pPr>
        <w:spacing w:after="0" w:line="240" w:lineRule="auto"/>
        <w:jc w:val="center"/>
        <w:rPr>
          <w:rFonts w:ascii="Arial" w:hAnsi="Arial" w:cs="Arial"/>
          <w:color w:val="000000" w:themeColor="text1"/>
          <w:sz w:val="18"/>
        </w:rPr>
      </w:pPr>
      <w:r w:rsidRPr="008B13E7">
        <w:rPr>
          <w:rFonts w:ascii="Arial" w:hAnsi="Arial" w:cs="Arial"/>
          <w:color w:val="000000" w:themeColor="text1"/>
          <w:sz w:val="18"/>
        </w:rPr>
        <w:t>Vir: Statistični podatki o javnih naročili</w:t>
      </w:r>
      <w:r w:rsidR="00792229" w:rsidRPr="008B13E7">
        <w:rPr>
          <w:rFonts w:ascii="Arial" w:hAnsi="Arial" w:cs="Arial"/>
          <w:color w:val="000000" w:themeColor="text1"/>
          <w:sz w:val="18"/>
        </w:rPr>
        <w:t>h, oddanih v letu 20</w:t>
      </w:r>
      <w:r w:rsidR="00573981" w:rsidRPr="008B13E7">
        <w:rPr>
          <w:rFonts w:ascii="Arial" w:hAnsi="Arial" w:cs="Arial"/>
          <w:color w:val="000000" w:themeColor="text1"/>
          <w:sz w:val="18"/>
        </w:rPr>
        <w:t>2</w:t>
      </w:r>
      <w:r w:rsidR="00905383" w:rsidRPr="008B13E7">
        <w:rPr>
          <w:rFonts w:ascii="Arial" w:hAnsi="Arial" w:cs="Arial"/>
          <w:color w:val="000000" w:themeColor="text1"/>
          <w:sz w:val="18"/>
        </w:rPr>
        <w:t>3</w:t>
      </w:r>
      <w:r w:rsidR="00D51FFB" w:rsidRPr="008B13E7">
        <w:rPr>
          <w:rFonts w:ascii="Arial" w:hAnsi="Arial" w:cs="Arial"/>
          <w:color w:val="000000" w:themeColor="text1"/>
          <w:sz w:val="18"/>
        </w:rPr>
        <w:t>.</w:t>
      </w:r>
    </w:p>
    <w:p w14:paraId="1464066E" w14:textId="7329D184" w:rsidR="002108C5" w:rsidRPr="008B13E7" w:rsidRDefault="002108C5" w:rsidP="008C4E47">
      <w:pPr>
        <w:pStyle w:val="Naslov3"/>
      </w:pPr>
      <w:bookmarkStart w:id="22" w:name="_Toc175563856"/>
      <w:r w:rsidRPr="008B13E7">
        <w:lastRenderedPageBreak/>
        <w:t>2.3.5 Okvirni sporazumi</w:t>
      </w:r>
      <w:bookmarkEnd w:id="22"/>
    </w:p>
    <w:p w14:paraId="5C5777E3" w14:textId="77777777" w:rsidR="00854405" w:rsidRPr="008B13E7" w:rsidRDefault="00854405" w:rsidP="00854405">
      <w:pPr>
        <w:pStyle w:val="ZADEVA"/>
        <w:jc w:val="both"/>
        <w:rPr>
          <w:rFonts w:cs="Arial"/>
          <w:b w:val="0"/>
          <w:color w:val="000000" w:themeColor="text1"/>
          <w:szCs w:val="20"/>
          <w:lang w:val="sl-SI"/>
        </w:rPr>
      </w:pPr>
    </w:p>
    <w:p w14:paraId="29C56243" w14:textId="77777777" w:rsidR="00F11E69" w:rsidRPr="008B13E7" w:rsidRDefault="00492EE8" w:rsidP="00492EE8">
      <w:pPr>
        <w:spacing w:line="360" w:lineRule="auto"/>
        <w:jc w:val="both"/>
        <w:rPr>
          <w:rFonts w:ascii="Arial" w:hAnsi="Arial" w:cs="Arial"/>
          <w:color w:val="000000" w:themeColor="text1"/>
          <w:kern w:val="3"/>
          <w:sz w:val="20"/>
          <w:szCs w:val="20"/>
        </w:rPr>
      </w:pPr>
      <w:r w:rsidRPr="008B13E7">
        <w:rPr>
          <w:rFonts w:ascii="Arial" w:hAnsi="Arial" w:cs="Arial"/>
          <w:color w:val="000000" w:themeColor="text1"/>
          <w:kern w:val="3"/>
          <w:sz w:val="20"/>
          <w:szCs w:val="20"/>
        </w:rPr>
        <w:t xml:space="preserve">Naročniki lahko okvirni sporazum sklenejo na podlagi izvedenega postopka javnega naročanja. </w:t>
      </w:r>
      <w:r w:rsidR="008D4C98" w:rsidRPr="008B13E7">
        <w:rPr>
          <w:rFonts w:ascii="Arial" w:hAnsi="Arial" w:cs="Arial"/>
          <w:color w:val="000000" w:themeColor="text1"/>
          <w:kern w:val="3"/>
          <w:sz w:val="20"/>
          <w:szCs w:val="20"/>
        </w:rPr>
        <w:t>S</w:t>
      </w:r>
      <w:r w:rsidRPr="008B13E7">
        <w:rPr>
          <w:rFonts w:ascii="Arial" w:hAnsi="Arial" w:cs="Arial"/>
          <w:color w:val="000000" w:themeColor="text1"/>
          <w:kern w:val="3"/>
          <w:sz w:val="20"/>
          <w:szCs w:val="20"/>
        </w:rPr>
        <w:t xml:space="preserve">klenejo </w:t>
      </w:r>
      <w:r w:rsidR="008D4C98" w:rsidRPr="008B13E7">
        <w:rPr>
          <w:rFonts w:ascii="Arial" w:hAnsi="Arial" w:cs="Arial"/>
          <w:color w:val="000000" w:themeColor="text1"/>
          <w:kern w:val="3"/>
          <w:sz w:val="20"/>
          <w:szCs w:val="20"/>
        </w:rPr>
        <w:t>ga lahko</w:t>
      </w:r>
      <w:r w:rsidRPr="008B13E7">
        <w:rPr>
          <w:rFonts w:ascii="Arial" w:hAnsi="Arial" w:cs="Arial"/>
          <w:color w:val="000000" w:themeColor="text1"/>
          <w:kern w:val="3"/>
          <w:sz w:val="20"/>
          <w:szCs w:val="20"/>
        </w:rPr>
        <w:t xml:space="preserve"> z </w:t>
      </w:r>
      <w:r w:rsidR="00EB1FC8" w:rsidRPr="008B13E7">
        <w:rPr>
          <w:rFonts w:ascii="Arial" w:hAnsi="Arial" w:cs="Arial"/>
          <w:color w:val="000000" w:themeColor="text1"/>
          <w:kern w:val="3"/>
          <w:sz w:val="20"/>
          <w:szCs w:val="20"/>
        </w:rPr>
        <w:t xml:space="preserve">enim </w:t>
      </w:r>
      <w:r w:rsidRPr="008B13E7">
        <w:rPr>
          <w:rFonts w:ascii="Arial" w:hAnsi="Arial" w:cs="Arial"/>
          <w:color w:val="000000" w:themeColor="text1"/>
          <w:kern w:val="3"/>
          <w:sz w:val="20"/>
          <w:szCs w:val="20"/>
        </w:rPr>
        <w:t xml:space="preserve">ali več gospodarskimi subjekti. Naročila na podlagi okvirnega sporazuma z enim gospodarskim subjektom oddajo v skladu s pogoji iz okvirnega sporazuma. Okvirni sporazumi, sklenjeni </w:t>
      </w:r>
    </w:p>
    <w:p w14:paraId="4C109D37" w14:textId="14575EF0" w:rsidR="00492EE8" w:rsidRPr="008B13E7" w:rsidRDefault="00492EE8" w:rsidP="00492EE8">
      <w:pPr>
        <w:spacing w:line="360" w:lineRule="auto"/>
        <w:jc w:val="both"/>
        <w:rPr>
          <w:rFonts w:ascii="Arial" w:hAnsi="Arial" w:cs="Arial"/>
          <w:color w:val="000000" w:themeColor="text1"/>
          <w:kern w:val="3"/>
          <w:sz w:val="20"/>
          <w:szCs w:val="20"/>
        </w:rPr>
      </w:pPr>
      <w:r w:rsidRPr="008B13E7">
        <w:rPr>
          <w:rFonts w:ascii="Arial" w:hAnsi="Arial" w:cs="Arial"/>
          <w:color w:val="000000" w:themeColor="text1"/>
          <w:kern w:val="3"/>
          <w:sz w:val="20"/>
          <w:szCs w:val="20"/>
        </w:rPr>
        <w:t>z več gospodarskimi subjekti</w:t>
      </w:r>
      <w:r w:rsidR="008D4C98" w:rsidRPr="008B13E7">
        <w:rPr>
          <w:rFonts w:ascii="Arial" w:hAnsi="Arial" w:cs="Arial"/>
          <w:color w:val="000000" w:themeColor="text1"/>
          <w:kern w:val="3"/>
          <w:sz w:val="20"/>
          <w:szCs w:val="20"/>
        </w:rPr>
        <w:t>,</w:t>
      </w:r>
      <w:r w:rsidRPr="008B13E7">
        <w:rPr>
          <w:rFonts w:ascii="Arial" w:hAnsi="Arial" w:cs="Arial"/>
          <w:color w:val="000000" w:themeColor="text1"/>
          <w:kern w:val="3"/>
          <w:sz w:val="20"/>
          <w:szCs w:val="20"/>
        </w:rPr>
        <w:t xml:space="preserve"> se izvajajo:</w:t>
      </w:r>
    </w:p>
    <w:p w14:paraId="346C265D" w14:textId="51F72ED1" w:rsidR="00492EE8" w:rsidRPr="008B13E7" w:rsidRDefault="00492EE8" w:rsidP="007C1875">
      <w:pPr>
        <w:pStyle w:val="Odstavekseznama"/>
        <w:numPr>
          <w:ilvl w:val="0"/>
          <w:numId w:val="20"/>
        </w:numPr>
        <w:spacing w:line="360" w:lineRule="auto"/>
        <w:rPr>
          <w:rFonts w:cs="Arial"/>
          <w:color w:val="000000" w:themeColor="text1"/>
          <w:kern w:val="3"/>
          <w:sz w:val="20"/>
          <w:szCs w:val="20"/>
        </w:rPr>
      </w:pPr>
      <w:r w:rsidRPr="008B13E7">
        <w:rPr>
          <w:rFonts w:cs="Arial"/>
          <w:color w:val="000000" w:themeColor="text1"/>
          <w:kern w:val="3"/>
          <w:sz w:val="20"/>
          <w:szCs w:val="20"/>
        </w:rPr>
        <w:t xml:space="preserve">na podlagi pogojev iz okvirnega sporazuma in brez ponovnega odpiranja konkurence, če sporazum določa vse pogoje, </w:t>
      </w:r>
    </w:p>
    <w:p w14:paraId="3408A064" w14:textId="042091B6" w:rsidR="00492EE8" w:rsidRPr="008B13E7" w:rsidRDefault="00492EE8" w:rsidP="007C1875">
      <w:pPr>
        <w:pStyle w:val="Odstavekseznama"/>
        <w:numPr>
          <w:ilvl w:val="0"/>
          <w:numId w:val="20"/>
        </w:numPr>
        <w:spacing w:line="360" w:lineRule="auto"/>
        <w:rPr>
          <w:rFonts w:cs="Arial"/>
          <w:color w:val="000000" w:themeColor="text1"/>
          <w:kern w:val="3"/>
          <w:sz w:val="20"/>
          <w:szCs w:val="20"/>
        </w:rPr>
      </w:pPr>
      <w:r w:rsidRPr="008B13E7">
        <w:rPr>
          <w:rFonts w:cs="Arial"/>
          <w:color w:val="000000" w:themeColor="text1"/>
          <w:kern w:val="3"/>
          <w:sz w:val="20"/>
          <w:szCs w:val="20"/>
        </w:rPr>
        <w:t>s ponovnim odpiranjem konkurence med gospodarskimi subjekti, podpisniki sporazuma, če ta ne vključuje vseh pogojev,</w:t>
      </w:r>
    </w:p>
    <w:p w14:paraId="49FDF7AA" w14:textId="5F774277" w:rsidR="00206175" w:rsidRPr="008B13E7" w:rsidRDefault="00492EE8" w:rsidP="007C1875">
      <w:pPr>
        <w:pStyle w:val="Odstavekseznama"/>
        <w:numPr>
          <w:ilvl w:val="0"/>
          <w:numId w:val="20"/>
        </w:numPr>
        <w:spacing w:line="360" w:lineRule="auto"/>
        <w:rPr>
          <w:rFonts w:cs="Arial"/>
          <w:color w:val="000000" w:themeColor="text1"/>
          <w:kern w:val="3"/>
          <w:sz w:val="20"/>
          <w:szCs w:val="20"/>
        </w:rPr>
      </w:pPr>
      <w:r w:rsidRPr="008B13E7">
        <w:rPr>
          <w:rFonts w:cs="Arial"/>
          <w:color w:val="000000" w:themeColor="text1"/>
          <w:kern w:val="3"/>
          <w:sz w:val="20"/>
          <w:szCs w:val="20"/>
        </w:rPr>
        <w:t>deloma brez ponovnega odpiranja konkurence in deloma s ponovnim odpiranjem konkurence.</w:t>
      </w:r>
    </w:p>
    <w:p w14:paraId="0B8DD974" w14:textId="77777777" w:rsidR="00206175" w:rsidRPr="00637ACF" w:rsidRDefault="00206175" w:rsidP="00AF22D1">
      <w:pPr>
        <w:pStyle w:val="ZADEVA"/>
        <w:ind w:left="0" w:firstLine="0"/>
        <w:jc w:val="both"/>
        <w:rPr>
          <w:rFonts w:cs="Arial"/>
          <w:b w:val="0"/>
          <w:color w:val="000000" w:themeColor="text1"/>
          <w:szCs w:val="20"/>
          <w:highlight w:val="yellow"/>
          <w:lang w:val="sl-SI"/>
        </w:rPr>
      </w:pPr>
    </w:p>
    <w:p w14:paraId="5BDBE67E" w14:textId="6D265B44" w:rsidR="00206175" w:rsidRPr="008B13E7" w:rsidRDefault="00206175" w:rsidP="008C4E47">
      <w:pPr>
        <w:pStyle w:val="Naslov3"/>
        <w:rPr>
          <w:i/>
        </w:rPr>
      </w:pPr>
      <w:bookmarkStart w:id="23" w:name="_Toc175563857"/>
      <w:r w:rsidRPr="008B13E7">
        <w:t xml:space="preserve">2.3.5.1 </w:t>
      </w:r>
      <w:r w:rsidR="00B333AF" w:rsidRPr="008B13E7">
        <w:t>Naročila v p</w:t>
      </w:r>
      <w:r w:rsidRPr="008B13E7">
        <w:t>ostopki</w:t>
      </w:r>
      <w:r w:rsidR="00B333AF" w:rsidRPr="008B13E7">
        <w:t>h</w:t>
      </w:r>
      <w:r w:rsidRPr="008B13E7">
        <w:t xml:space="preserve"> javnega naročanja za sklenitev okvirnega sporazuma</w:t>
      </w:r>
      <w:bookmarkEnd w:id="23"/>
    </w:p>
    <w:p w14:paraId="1E266830" w14:textId="77777777" w:rsidR="00854405" w:rsidRPr="008B13E7" w:rsidRDefault="00854405" w:rsidP="00854405">
      <w:pPr>
        <w:pStyle w:val="ZADEVA"/>
        <w:jc w:val="both"/>
        <w:rPr>
          <w:rFonts w:cs="Arial"/>
          <w:b w:val="0"/>
          <w:color w:val="FF0000"/>
          <w:szCs w:val="20"/>
          <w:lang w:val="sl-SI"/>
        </w:rPr>
      </w:pPr>
    </w:p>
    <w:p w14:paraId="3A8ED316" w14:textId="5198B3D5" w:rsidR="00B333AF" w:rsidRPr="008B13E7" w:rsidRDefault="00B333AF" w:rsidP="003A01EF">
      <w:pPr>
        <w:spacing w:line="360" w:lineRule="auto"/>
        <w:jc w:val="both"/>
        <w:rPr>
          <w:rFonts w:ascii="Arial" w:hAnsi="Arial" w:cs="Arial"/>
          <w:color w:val="000000" w:themeColor="text1"/>
          <w:kern w:val="3"/>
          <w:sz w:val="20"/>
          <w:szCs w:val="20"/>
        </w:rPr>
      </w:pPr>
      <w:r w:rsidRPr="008B13E7">
        <w:rPr>
          <w:rFonts w:ascii="Arial" w:hAnsi="Arial" w:cs="Arial"/>
          <w:color w:val="000000" w:themeColor="text1"/>
          <w:kern w:val="3"/>
          <w:sz w:val="20"/>
          <w:szCs w:val="20"/>
        </w:rPr>
        <w:t>V postopkih javnega naročanja za sklenitev okvirne</w:t>
      </w:r>
      <w:r w:rsidR="00747BC0" w:rsidRPr="008B13E7">
        <w:rPr>
          <w:rFonts w:ascii="Arial" w:hAnsi="Arial" w:cs="Arial"/>
          <w:color w:val="000000" w:themeColor="text1"/>
          <w:kern w:val="3"/>
          <w:sz w:val="20"/>
          <w:szCs w:val="20"/>
        </w:rPr>
        <w:t>ga sporazuma je bilo let</w:t>
      </w:r>
      <w:r w:rsidR="00BC1956" w:rsidRPr="008B13E7">
        <w:rPr>
          <w:rFonts w:ascii="Arial" w:hAnsi="Arial" w:cs="Arial"/>
          <w:color w:val="000000" w:themeColor="text1"/>
          <w:kern w:val="3"/>
          <w:sz w:val="20"/>
          <w:szCs w:val="20"/>
        </w:rPr>
        <w:t>a</w:t>
      </w:r>
      <w:r w:rsidR="00747BC0" w:rsidRPr="008B13E7">
        <w:rPr>
          <w:rFonts w:ascii="Arial" w:hAnsi="Arial" w:cs="Arial"/>
          <w:color w:val="000000" w:themeColor="text1"/>
          <w:kern w:val="3"/>
          <w:sz w:val="20"/>
          <w:szCs w:val="20"/>
        </w:rPr>
        <w:t xml:space="preserve"> 20</w:t>
      </w:r>
      <w:r w:rsidR="00EB6D60" w:rsidRPr="008B13E7">
        <w:rPr>
          <w:rFonts w:ascii="Arial" w:hAnsi="Arial" w:cs="Arial"/>
          <w:color w:val="000000" w:themeColor="text1"/>
          <w:kern w:val="3"/>
          <w:sz w:val="20"/>
          <w:szCs w:val="20"/>
        </w:rPr>
        <w:t>2</w:t>
      </w:r>
      <w:r w:rsidR="00D07262" w:rsidRPr="008B13E7">
        <w:rPr>
          <w:rFonts w:ascii="Arial" w:hAnsi="Arial" w:cs="Arial"/>
          <w:color w:val="000000" w:themeColor="text1"/>
          <w:kern w:val="3"/>
          <w:sz w:val="20"/>
          <w:szCs w:val="20"/>
        </w:rPr>
        <w:t>3</w:t>
      </w:r>
      <w:r w:rsidRPr="008B13E7">
        <w:rPr>
          <w:rFonts w:ascii="Arial" w:hAnsi="Arial" w:cs="Arial"/>
          <w:color w:val="000000" w:themeColor="text1"/>
          <w:kern w:val="3"/>
          <w:sz w:val="20"/>
          <w:szCs w:val="20"/>
        </w:rPr>
        <w:t xml:space="preserve"> oddanih </w:t>
      </w:r>
      <w:r w:rsidR="00D07262" w:rsidRPr="008B13E7">
        <w:rPr>
          <w:rFonts w:ascii="Arial" w:hAnsi="Arial" w:cs="Arial"/>
          <w:color w:val="000000" w:themeColor="text1"/>
          <w:kern w:val="3"/>
          <w:sz w:val="20"/>
          <w:szCs w:val="20"/>
        </w:rPr>
        <w:t>4</w:t>
      </w:r>
      <w:r w:rsidR="00606A58" w:rsidRPr="008B13E7">
        <w:rPr>
          <w:rFonts w:ascii="Arial" w:hAnsi="Arial" w:cs="Arial"/>
          <w:color w:val="000000" w:themeColor="text1"/>
          <w:kern w:val="3"/>
          <w:sz w:val="20"/>
          <w:szCs w:val="20"/>
        </w:rPr>
        <w:t>.</w:t>
      </w:r>
      <w:r w:rsidR="00D07262" w:rsidRPr="008B13E7">
        <w:rPr>
          <w:rFonts w:ascii="Arial" w:hAnsi="Arial" w:cs="Arial"/>
          <w:color w:val="000000" w:themeColor="text1"/>
          <w:kern w:val="3"/>
          <w:sz w:val="20"/>
          <w:szCs w:val="20"/>
        </w:rPr>
        <w:t>91</w:t>
      </w:r>
      <w:r w:rsidR="008C4E47" w:rsidRPr="008B13E7">
        <w:rPr>
          <w:rFonts w:ascii="Arial" w:hAnsi="Arial" w:cs="Arial"/>
          <w:color w:val="000000" w:themeColor="text1"/>
          <w:kern w:val="3"/>
          <w:sz w:val="20"/>
          <w:szCs w:val="20"/>
        </w:rPr>
        <w:t>5</w:t>
      </w:r>
      <w:r w:rsidRPr="008B13E7">
        <w:rPr>
          <w:rFonts w:ascii="Arial" w:hAnsi="Arial" w:cs="Arial"/>
          <w:color w:val="000000" w:themeColor="text1"/>
          <w:kern w:val="3"/>
          <w:sz w:val="20"/>
          <w:szCs w:val="20"/>
        </w:rPr>
        <w:t xml:space="preserve"> naročil v vrednosti </w:t>
      </w:r>
      <w:r w:rsidR="008C4E47" w:rsidRPr="008B13E7">
        <w:rPr>
          <w:rFonts w:ascii="Arial" w:eastAsia="Times New Roman" w:hAnsi="Arial" w:cs="Arial"/>
          <w:bCs/>
          <w:color w:val="000000" w:themeColor="text1"/>
          <w:sz w:val="20"/>
          <w:szCs w:val="20"/>
          <w:lang w:eastAsia="sl-SI"/>
        </w:rPr>
        <w:t>1.487.757.585</w:t>
      </w:r>
      <w:r w:rsidR="00EA46B6" w:rsidRPr="008B13E7">
        <w:rPr>
          <w:rFonts w:ascii="Arial" w:eastAsia="Times New Roman" w:hAnsi="Arial" w:cs="Arial"/>
          <w:bCs/>
          <w:color w:val="000000" w:themeColor="text1"/>
          <w:sz w:val="20"/>
          <w:szCs w:val="20"/>
          <w:lang w:eastAsia="sl-SI"/>
        </w:rPr>
        <w:t xml:space="preserve"> EUR</w:t>
      </w:r>
      <w:r w:rsidRPr="008B13E7">
        <w:rPr>
          <w:rFonts w:ascii="Arial" w:hAnsi="Arial" w:cs="Arial"/>
          <w:color w:val="000000" w:themeColor="text1"/>
          <w:kern w:val="3"/>
          <w:sz w:val="20"/>
          <w:szCs w:val="20"/>
        </w:rPr>
        <w:t xml:space="preserve">. </w:t>
      </w:r>
      <w:r w:rsidR="008D4C98" w:rsidRPr="008B13E7">
        <w:rPr>
          <w:rFonts w:ascii="Arial" w:hAnsi="Arial" w:cs="Arial"/>
          <w:color w:val="000000" w:themeColor="text1"/>
          <w:kern w:val="3"/>
          <w:sz w:val="20"/>
          <w:szCs w:val="20"/>
        </w:rPr>
        <w:t>Ta</w:t>
      </w:r>
      <w:r w:rsidRPr="008B13E7">
        <w:rPr>
          <w:rFonts w:ascii="Arial" w:hAnsi="Arial" w:cs="Arial"/>
          <w:color w:val="000000" w:themeColor="text1"/>
          <w:kern w:val="3"/>
          <w:sz w:val="20"/>
          <w:szCs w:val="20"/>
        </w:rPr>
        <w:t xml:space="preserve"> </w:t>
      </w:r>
      <w:r w:rsidR="00475C0E" w:rsidRPr="008B13E7">
        <w:rPr>
          <w:rFonts w:ascii="Arial" w:hAnsi="Arial" w:cs="Arial"/>
          <w:color w:val="000000" w:themeColor="text1"/>
          <w:kern w:val="3"/>
          <w:sz w:val="20"/>
          <w:szCs w:val="20"/>
        </w:rPr>
        <w:t>znaša</w:t>
      </w:r>
      <w:r w:rsidR="008D4C98" w:rsidRPr="008B13E7">
        <w:rPr>
          <w:rFonts w:ascii="Arial" w:hAnsi="Arial" w:cs="Arial"/>
          <w:color w:val="000000" w:themeColor="text1"/>
          <w:kern w:val="3"/>
          <w:sz w:val="20"/>
          <w:szCs w:val="20"/>
        </w:rPr>
        <w:t xml:space="preserve"> </w:t>
      </w:r>
      <w:r w:rsidRPr="008B13E7">
        <w:rPr>
          <w:rFonts w:ascii="Arial" w:hAnsi="Arial" w:cs="Arial"/>
          <w:color w:val="000000" w:themeColor="text1"/>
          <w:kern w:val="3"/>
          <w:sz w:val="20"/>
          <w:szCs w:val="20"/>
        </w:rPr>
        <w:t xml:space="preserve">v številu </w:t>
      </w:r>
      <w:r w:rsidR="004609ED" w:rsidRPr="008B13E7">
        <w:rPr>
          <w:rFonts w:ascii="Arial" w:hAnsi="Arial" w:cs="Arial"/>
          <w:color w:val="000000" w:themeColor="text1"/>
          <w:kern w:val="3"/>
          <w:sz w:val="20"/>
          <w:szCs w:val="20"/>
        </w:rPr>
        <w:t>29,2</w:t>
      </w:r>
      <w:r w:rsidR="007F3433" w:rsidRPr="008B13E7">
        <w:rPr>
          <w:rFonts w:ascii="Arial" w:hAnsi="Arial" w:cs="Arial"/>
          <w:color w:val="000000" w:themeColor="text1"/>
          <w:kern w:val="3"/>
          <w:sz w:val="20"/>
          <w:szCs w:val="20"/>
        </w:rPr>
        <w:t>1</w:t>
      </w:r>
      <w:r w:rsidR="008D4C98" w:rsidRPr="008B13E7">
        <w:rPr>
          <w:rFonts w:ascii="Arial" w:hAnsi="Arial" w:cs="Arial"/>
          <w:color w:val="000000" w:themeColor="text1"/>
          <w:kern w:val="3"/>
          <w:sz w:val="20"/>
          <w:szCs w:val="20"/>
        </w:rPr>
        <w:t>-</w:t>
      </w:r>
      <w:r w:rsidRPr="008B13E7">
        <w:rPr>
          <w:rFonts w:ascii="Arial" w:hAnsi="Arial" w:cs="Arial"/>
          <w:color w:val="000000" w:themeColor="text1"/>
          <w:kern w:val="3"/>
          <w:sz w:val="20"/>
          <w:szCs w:val="20"/>
        </w:rPr>
        <w:t xml:space="preserve">odstotni delež vseh oddanih naročil, v vrednosti pa </w:t>
      </w:r>
      <w:r w:rsidR="007F3433" w:rsidRPr="008B13E7">
        <w:rPr>
          <w:rFonts w:ascii="Arial" w:hAnsi="Arial" w:cs="Arial"/>
          <w:color w:val="000000" w:themeColor="text1"/>
          <w:kern w:val="3"/>
          <w:sz w:val="20"/>
          <w:szCs w:val="20"/>
        </w:rPr>
        <w:t>23,87</w:t>
      </w:r>
      <w:r w:rsidR="008D4C98" w:rsidRPr="008B13E7">
        <w:rPr>
          <w:rFonts w:ascii="Arial" w:hAnsi="Arial" w:cs="Arial"/>
          <w:color w:val="000000" w:themeColor="text1"/>
          <w:kern w:val="3"/>
          <w:sz w:val="20"/>
          <w:szCs w:val="20"/>
        </w:rPr>
        <w:t>-</w:t>
      </w:r>
      <w:r w:rsidRPr="008B13E7">
        <w:rPr>
          <w:rFonts w:ascii="Arial" w:hAnsi="Arial" w:cs="Arial"/>
          <w:color w:val="000000" w:themeColor="text1"/>
          <w:kern w:val="3"/>
          <w:sz w:val="20"/>
          <w:szCs w:val="20"/>
        </w:rPr>
        <w:t>odstotni delež</w:t>
      </w:r>
      <w:r w:rsidR="00475C0E" w:rsidRPr="008B13E7">
        <w:rPr>
          <w:rFonts w:ascii="Arial" w:hAnsi="Arial" w:cs="Arial"/>
          <w:color w:val="000000" w:themeColor="text1"/>
          <w:kern w:val="3"/>
          <w:sz w:val="20"/>
          <w:szCs w:val="20"/>
        </w:rPr>
        <w:t>.</w:t>
      </w:r>
    </w:p>
    <w:p w14:paraId="00B5ADAA" w14:textId="5D6F1E76" w:rsidR="00611AFC" w:rsidRPr="008B13E7" w:rsidRDefault="00611AFC" w:rsidP="00611AFC">
      <w:pPr>
        <w:spacing w:line="360" w:lineRule="auto"/>
        <w:jc w:val="both"/>
        <w:rPr>
          <w:rFonts w:ascii="Arial" w:hAnsi="Arial" w:cs="Arial"/>
          <w:color w:val="000000" w:themeColor="text1"/>
          <w:szCs w:val="20"/>
        </w:rPr>
      </w:pPr>
      <w:r w:rsidRPr="008B13E7">
        <w:rPr>
          <w:rFonts w:ascii="Arial" w:hAnsi="Arial" w:cs="Arial"/>
          <w:color w:val="000000" w:themeColor="text1"/>
          <w:sz w:val="20"/>
          <w:szCs w:val="20"/>
          <w:lang w:eastAsia="sl-SI"/>
        </w:rPr>
        <w:t>Naročila, za katera je bil sklenjen okvirni sporazum, so bila največkrat oddana na podlagi izvedenega odprtega postopka (</w:t>
      </w:r>
      <w:r w:rsidR="009D69D9" w:rsidRPr="008B13E7">
        <w:rPr>
          <w:rFonts w:ascii="Arial" w:hAnsi="Arial" w:cs="Arial"/>
          <w:color w:val="000000" w:themeColor="text1"/>
          <w:sz w:val="20"/>
          <w:szCs w:val="20"/>
          <w:lang w:eastAsia="sl-SI"/>
        </w:rPr>
        <w:t>7</w:t>
      </w:r>
      <w:r w:rsidR="00D07262" w:rsidRPr="008B13E7">
        <w:rPr>
          <w:rFonts w:ascii="Arial" w:hAnsi="Arial" w:cs="Arial"/>
          <w:color w:val="000000" w:themeColor="text1"/>
          <w:sz w:val="20"/>
          <w:szCs w:val="20"/>
          <w:lang w:eastAsia="sl-SI"/>
        </w:rPr>
        <w:t>4,</w:t>
      </w:r>
      <w:r w:rsidR="008C4E47" w:rsidRPr="008B13E7">
        <w:rPr>
          <w:rFonts w:ascii="Arial" w:hAnsi="Arial" w:cs="Arial"/>
          <w:color w:val="000000" w:themeColor="text1"/>
          <w:sz w:val="20"/>
          <w:szCs w:val="20"/>
          <w:lang w:eastAsia="sl-SI"/>
        </w:rPr>
        <w:t>43</w:t>
      </w:r>
      <w:r w:rsidR="00D07262" w:rsidRPr="008B13E7">
        <w:rPr>
          <w:rFonts w:ascii="Arial" w:hAnsi="Arial" w:cs="Arial"/>
          <w:color w:val="000000" w:themeColor="text1"/>
          <w:sz w:val="20"/>
          <w:szCs w:val="20"/>
          <w:lang w:eastAsia="sl-SI"/>
        </w:rPr>
        <w:t xml:space="preserve"> </w:t>
      </w:r>
      <w:r w:rsidR="00AC0027" w:rsidRPr="008B13E7">
        <w:rPr>
          <w:rFonts w:ascii="Arial" w:hAnsi="Arial" w:cs="Arial"/>
          <w:color w:val="000000" w:themeColor="text1"/>
          <w:sz w:val="20"/>
          <w:szCs w:val="20"/>
          <w:lang w:eastAsia="sl-SI"/>
        </w:rPr>
        <w:t>odstotka</w:t>
      </w:r>
      <w:r w:rsidRPr="008B13E7">
        <w:rPr>
          <w:rFonts w:ascii="Arial" w:hAnsi="Arial" w:cs="Arial"/>
          <w:color w:val="000000" w:themeColor="text1"/>
          <w:sz w:val="20"/>
          <w:szCs w:val="20"/>
          <w:lang w:eastAsia="sl-SI"/>
        </w:rPr>
        <w:t xml:space="preserve">), njihova vrednost pa znaša </w:t>
      </w:r>
      <w:r w:rsidR="008C4E47" w:rsidRPr="008B13E7">
        <w:rPr>
          <w:rFonts w:ascii="Arial" w:hAnsi="Arial" w:cs="Arial"/>
          <w:color w:val="000000" w:themeColor="text1"/>
          <w:sz w:val="20"/>
          <w:szCs w:val="20"/>
          <w:lang w:eastAsia="sl-SI"/>
        </w:rPr>
        <w:t xml:space="preserve">62,32 </w:t>
      </w:r>
      <w:r w:rsidR="00AC0027" w:rsidRPr="008B13E7">
        <w:rPr>
          <w:rFonts w:ascii="Arial" w:hAnsi="Arial" w:cs="Arial"/>
          <w:color w:val="000000" w:themeColor="text1"/>
          <w:sz w:val="20"/>
          <w:szCs w:val="20"/>
          <w:lang w:eastAsia="sl-SI"/>
        </w:rPr>
        <w:t>odstotka</w:t>
      </w:r>
      <w:r w:rsidRPr="008B13E7">
        <w:rPr>
          <w:rFonts w:ascii="Arial" w:hAnsi="Arial" w:cs="Arial"/>
          <w:color w:val="000000" w:themeColor="text1"/>
          <w:sz w:val="20"/>
          <w:szCs w:val="20"/>
          <w:lang w:eastAsia="sl-SI"/>
        </w:rPr>
        <w:t xml:space="preserve"> vseh naročil, oddan</w:t>
      </w:r>
      <w:r w:rsidR="00EB1FC8" w:rsidRPr="008B13E7">
        <w:rPr>
          <w:rFonts w:ascii="Arial" w:hAnsi="Arial" w:cs="Arial"/>
          <w:color w:val="000000" w:themeColor="text1"/>
          <w:sz w:val="20"/>
          <w:szCs w:val="20"/>
          <w:lang w:eastAsia="sl-SI"/>
        </w:rPr>
        <w:t>ih</w:t>
      </w:r>
      <w:r w:rsidRPr="008B13E7">
        <w:rPr>
          <w:rFonts w:ascii="Arial" w:hAnsi="Arial" w:cs="Arial"/>
          <w:color w:val="000000" w:themeColor="text1"/>
          <w:sz w:val="20"/>
          <w:szCs w:val="20"/>
          <w:lang w:eastAsia="sl-SI"/>
        </w:rPr>
        <w:t xml:space="preserve"> na podlagi izvedenega postopka za sklenitev okvirnega sporazuma. Uporaba posamezne vrste postopka za oddajo naročila s sklenitvijo okvirnega sporazuma je </w:t>
      </w:r>
      <w:r w:rsidR="00A23AB7" w:rsidRPr="008B13E7">
        <w:rPr>
          <w:rFonts w:ascii="Arial" w:hAnsi="Arial" w:cs="Arial"/>
          <w:color w:val="000000" w:themeColor="text1"/>
          <w:sz w:val="20"/>
          <w:szCs w:val="20"/>
          <w:lang w:eastAsia="sl-SI"/>
        </w:rPr>
        <w:t>prikazana</w:t>
      </w:r>
      <w:r w:rsidRPr="008B13E7">
        <w:rPr>
          <w:rFonts w:ascii="Arial" w:hAnsi="Arial" w:cs="Arial"/>
          <w:color w:val="000000" w:themeColor="text1"/>
          <w:sz w:val="20"/>
          <w:szCs w:val="20"/>
          <w:lang w:eastAsia="sl-SI"/>
        </w:rPr>
        <w:t xml:space="preserve"> v spodnji preglednici. </w:t>
      </w:r>
    </w:p>
    <w:p w14:paraId="1630DBDB" w14:textId="5EBE99A6" w:rsidR="003A01EF" w:rsidRPr="008B13E7" w:rsidRDefault="002C7FDD" w:rsidP="008A61FD">
      <w:pPr>
        <w:spacing w:before="120" w:after="120" w:line="240" w:lineRule="auto"/>
        <w:jc w:val="both"/>
        <w:rPr>
          <w:rFonts w:ascii="Arial" w:hAnsi="Arial" w:cs="Arial"/>
          <w:color w:val="000000" w:themeColor="text1"/>
          <w:sz w:val="20"/>
        </w:rPr>
      </w:pPr>
      <w:r w:rsidRPr="008B13E7">
        <w:rPr>
          <w:rFonts w:ascii="Arial" w:hAnsi="Arial" w:cs="Arial"/>
          <w:color w:val="000000" w:themeColor="text1"/>
          <w:sz w:val="20"/>
        </w:rPr>
        <w:t xml:space="preserve">Preglednica </w:t>
      </w:r>
      <w:r w:rsidR="00512F52" w:rsidRPr="008B13E7">
        <w:rPr>
          <w:rFonts w:ascii="Arial" w:hAnsi="Arial" w:cs="Arial"/>
          <w:color w:val="000000" w:themeColor="text1"/>
          <w:sz w:val="20"/>
        </w:rPr>
        <w:t>14</w:t>
      </w:r>
      <w:r w:rsidRPr="008B13E7">
        <w:rPr>
          <w:rFonts w:ascii="Arial" w:hAnsi="Arial" w:cs="Arial"/>
          <w:color w:val="000000" w:themeColor="text1"/>
          <w:sz w:val="20"/>
        </w:rPr>
        <w:t>: Izvedeni postopki javnega naročanja za sklenitev okvirnega sporazuma glede na vrsto postopka</w:t>
      </w:r>
      <w:r w:rsidR="00EB1FC8" w:rsidRPr="008B13E7">
        <w:rPr>
          <w:rFonts w:ascii="Arial" w:hAnsi="Arial" w:cs="Arial"/>
          <w:color w:val="000000" w:themeColor="text1"/>
          <w:sz w:val="20"/>
        </w:rPr>
        <w:t xml:space="preserve"> </w:t>
      </w:r>
    </w:p>
    <w:tbl>
      <w:tblPr>
        <w:tblW w:w="5000" w:type="pct"/>
        <w:tblCellMar>
          <w:left w:w="70" w:type="dxa"/>
          <w:right w:w="70" w:type="dxa"/>
        </w:tblCellMar>
        <w:tblLook w:val="04A0" w:firstRow="1" w:lastRow="0" w:firstColumn="1" w:lastColumn="0" w:noHBand="0" w:noVBand="1"/>
      </w:tblPr>
      <w:tblGrid>
        <w:gridCol w:w="3694"/>
        <w:gridCol w:w="1264"/>
        <w:gridCol w:w="1560"/>
        <w:gridCol w:w="1416"/>
        <w:gridCol w:w="1240"/>
      </w:tblGrid>
      <w:tr w:rsidR="008C4E47" w:rsidRPr="008B13E7" w14:paraId="2279F134" w14:textId="77777777" w:rsidTr="00D07262">
        <w:trPr>
          <w:trHeight w:val="456"/>
          <w:tblHeader/>
        </w:trPr>
        <w:tc>
          <w:tcPr>
            <w:tcW w:w="20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521B949" w14:textId="77777777" w:rsidR="00E126C2" w:rsidRPr="008B13E7" w:rsidRDefault="00E126C2" w:rsidP="00E126C2">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Vrsta postopka</w:t>
            </w:r>
          </w:p>
        </w:tc>
        <w:tc>
          <w:tcPr>
            <w:tcW w:w="689" w:type="pct"/>
            <w:tcBorders>
              <w:top w:val="single" w:sz="4" w:space="0" w:color="auto"/>
              <w:left w:val="nil"/>
              <w:bottom w:val="single" w:sz="4" w:space="0" w:color="auto"/>
              <w:right w:val="single" w:sz="4" w:space="0" w:color="auto"/>
            </w:tcBorders>
            <w:shd w:val="clear" w:color="000000" w:fill="F2F2F2"/>
            <w:vAlign w:val="center"/>
            <w:hideMark/>
          </w:tcPr>
          <w:p w14:paraId="19CDFBFD" w14:textId="77777777" w:rsidR="00E126C2" w:rsidRPr="008B13E7" w:rsidRDefault="00E126C2" w:rsidP="00E126C2">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Št. naročil</w:t>
            </w:r>
          </w:p>
        </w:tc>
        <w:tc>
          <w:tcPr>
            <w:tcW w:w="850" w:type="pct"/>
            <w:tcBorders>
              <w:top w:val="single" w:sz="4" w:space="0" w:color="auto"/>
              <w:left w:val="nil"/>
              <w:bottom w:val="single" w:sz="4" w:space="0" w:color="auto"/>
              <w:right w:val="single" w:sz="4" w:space="0" w:color="auto"/>
            </w:tcBorders>
            <w:shd w:val="clear" w:color="000000" w:fill="F2F2F2"/>
            <w:vAlign w:val="center"/>
            <w:hideMark/>
          </w:tcPr>
          <w:p w14:paraId="0E48E3EB" w14:textId="32D13CB6" w:rsidR="00E126C2" w:rsidRPr="008B13E7" w:rsidRDefault="00E126C2" w:rsidP="00E126C2">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Pogodbena vrednost</w:t>
            </w:r>
            <w:r w:rsidR="00606A58" w:rsidRPr="008B13E7">
              <w:rPr>
                <w:rFonts w:ascii="Arial" w:eastAsia="Times New Roman" w:hAnsi="Arial" w:cs="Arial"/>
                <w:color w:val="000000" w:themeColor="text1"/>
                <w:sz w:val="18"/>
                <w:szCs w:val="18"/>
                <w:lang w:eastAsia="sl-SI"/>
              </w:rPr>
              <w:t xml:space="preserve"> (v EUR)</w:t>
            </w:r>
          </w:p>
        </w:tc>
        <w:tc>
          <w:tcPr>
            <w:tcW w:w="772" w:type="pct"/>
            <w:tcBorders>
              <w:top w:val="single" w:sz="4" w:space="0" w:color="auto"/>
              <w:left w:val="nil"/>
              <w:bottom w:val="single" w:sz="4" w:space="0" w:color="auto"/>
              <w:right w:val="single" w:sz="4" w:space="0" w:color="auto"/>
            </w:tcBorders>
            <w:shd w:val="clear" w:color="000000" w:fill="F2F2F2"/>
            <w:vAlign w:val="center"/>
            <w:hideMark/>
          </w:tcPr>
          <w:p w14:paraId="1D5C5B08" w14:textId="77777777" w:rsidR="00E126C2" w:rsidRPr="008B13E7" w:rsidRDefault="00E126C2" w:rsidP="00E126C2">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Delež v št. naročil</w:t>
            </w:r>
          </w:p>
        </w:tc>
        <w:tc>
          <w:tcPr>
            <w:tcW w:w="676" w:type="pct"/>
            <w:tcBorders>
              <w:top w:val="single" w:sz="4" w:space="0" w:color="auto"/>
              <w:left w:val="nil"/>
              <w:bottom w:val="single" w:sz="4" w:space="0" w:color="auto"/>
              <w:right w:val="single" w:sz="4" w:space="0" w:color="auto"/>
            </w:tcBorders>
            <w:shd w:val="clear" w:color="000000" w:fill="F2F2F2"/>
            <w:vAlign w:val="center"/>
            <w:hideMark/>
          </w:tcPr>
          <w:p w14:paraId="7B1CFF45" w14:textId="77777777" w:rsidR="00E126C2" w:rsidRPr="008B13E7" w:rsidRDefault="00E126C2" w:rsidP="00E126C2">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Delež v vrednosti</w:t>
            </w:r>
          </w:p>
        </w:tc>
      </w:tr>
      <w:tr w:rsidR="008C4E47" w:rsidRPr="008B13E7" w14:paraId="0AEB3C1C" w14:textId="77777777" w:rsidTr="008C4E47">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3B272A8A" w14:textId="1A677881" w:rsidR="008C4E47" w:rsidRPr="008B13E7" w:rsidRDefault="008C4E47" w:rsidP="008C4E47">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Konkurenčni postopek s pogajanji</w:t>
            </w:r>
          </w:p>
        </w:tc>
        <w:tc>
          <w:tcPr>
            <w:tcW w:w="689" w:type="pct"/>
            <w:tcBorders>
              <w:top w:val="nil"/>
              <w:left w:val="nil"/>
              <w:bottom w:val="single" w:sz="4" w:space="0" w:color="auto"/>
              <w:right w:val="single" w:sz="4" w:space="0" w:color="auto"/>
            </w:tcBorders>
            <w:shd w:val="clear" w:color="auto" w:fill="auto"/>
            <w:noWrap/>
            <w:vAlign w:val="center"/>
            <w:hideMark/>
          </w:tcPr>
          <w:p w14:paraId="6897B105" w14:textId="4DB6DC6C"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15</w:t>
            </w:r>
          </w:p>
        </w:tc>
        <w:tc>
          <w:tcPr>
            <w:tcW w:w="850" w:type="pct"/>
            <w:tcBorders>
              <w:top w:val="nil"/>
              <w:left w:val="nil"/>
              <w:bottom w:val="single" w:sz="4" w:space="0" w:color="auto"/>
              <w:right w:val="single" w:sz="4" w:space="0" w:color="auto"/>
            </w:tcBorders>
            <w:shd w:val="clear" w:color="auto" w:fill="auto"/>
            <w:noWrap/>
            <w:vAlign w:val="center"/>
            <w:hideMark/>
          </w:tcPr>
          <w:p w14:paraId="1E6EF232" w14:textId="6F3B1130"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19.368.040</w:t>
            </w:r>
          </w:p>
        </w:tc>
        <w:tc>
          <w:tcPr>
            <w:tcW w:w="772" w:type="pct"/>
            <w:tcBorders>
              <w:top w:val="nil"/>
              <w:left w:val="nil"/>
              <w:bottom w:val="single" w:sz="4" w:space="0" w:color="auto"/>
              <w:right w:val="single" w:sz="4" w:space="0" w:color="auto"/>
            </w:tcBorders>
            <w:shd w:val="clear" w:color="auto" w:fill="auto"/>
            <w:noWrap/>
            <w:vAlign w:val="center"/>
          </w:tcPr>
          <w:p w14:paraId="214E38CA" w14:textId="2B82767F"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0,31 %</w:t>
            </w:r>
          </w:p>
        </w:tc>
        <w:tc>
          <w:tcPr>
            <w:tcW w:w="676" w:type="pct"/>
            <w:tcBorders>
              <w:top w:val="nil"/>
              <w:left w:val="nil"/>
              <w:bottom w:val="single" w:sz="4" w:space="0" w:color="auto"/>
              <w:right w:val="single" w:sz="4" w:space="0" w:color="auto"/>
            </w:tcBorders>
            <w:shd w:val="clear" w:color="auto" w:fill="auto"/>
            <w:noWrap/>
            <w:vAlign w:val="center"/>
          </w:tcPr>
          <w:p w14:paraId="50E561F1" w14:textId="3124E042"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1,30 %</w:t>
            </w:r>
          </w:p>
        </w:tc>
      </w:tr>
      <w:tr w:rsidR="008C4E47" w:rsidRPr="008B13E7" w14:paraId="32F2FFC2" w14:textId="77777777" w:rsidTr="008C4E47">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7D6DC4AD" w14:textId="4822BF3D" w:rsidR="008C4E47" w:rsidRPr="008B13E7" w:rsidRDefault="008C4E47" w:rsidP="008C4E47">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Odprti postopek</w:t>
            </w:r>
          </w:p>
        </w:tc>
        <w:tc>
          <w:tcPr>
            <w:tcW w:w="689" w:type="pct"/>
            <w:tcBorders>
              <w:top w:val="nil"/>
              <w:left w:val="nil"/>
              <w:bottom w:val="single" w:sz="4" w:space="0" w:color="auto"/>
              <w:right w:val="single" w:sz="4" w:space="0" w:color="auto"/>
            </w:tcBorders>
            <w:shd w:val="clear" w:color="auto" w:fill="auto"/>
            <w:noWrap/>
            <w:vAlign w:val="center"/>
            <w:hideMark/>
          </w:tcPr>
          <w:p w14:paraId="771F1E20" w14:textId="2B2A4E76"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3.658</w:t>
            </w:r>
          </w:p>
        </w:tc>
        <w:tc>
          <w:tcPr>
            <w:tcW w:w="850" w:type="pct"/>
            <w:tcBorders>
              <w:top w:val="nil"/>
              <w:left w:val="nil"/>
              <w:bottom w:val="single" w:sz="4" w:space="0" w:color="auto"/>
              <w:right w:val="single" w:sz="4" w:space="0" w:color="auto"/>
            </w:tcBorders>
            <w:shd w:val="clear" w:color="auto" w:fill="auto"/>
            <w:noWrap/>
            <w:vAlign w:val="center"/>
            <w:hideMark/>
          </w:tcPr>
          <w:p w14:paraId="7FD3A66F" w14:textId="4CEF51F0"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927.188.517</w:t>
            </w:r>
          </w:p>
        </w:tc>
        <w:tc>
          <w:tcPr>
            <w:tcW w:w="772" w:type="pct"/>
            <w:tcBorders>
              <w:top w:val="nil"/>
              <w:left w:val="nil"/>
              <w:bottom w:val="single" w:sz="4" w:space="0" w:color="auto"/>
              <w:right w:val="single" w:sz="4" w:space="0" w:color="auto"/>
            </w:tcBorders>
            <w:shd w:val="clear" w:color="auto" w:fill="auto"/>
            <w:noWrap/>
            <w:vAlign w:val="center"/>
          </w:tcPr>
          <w:p w14:paraId="75A4F76B" w14:textId="40C278C1"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74,43 %</w:t>
            </w:r>
          </w:p>
        </w:tc>
        <w:tc>
          <w:tcPr>
            <w:tcW w:w="676" w:type="pct"/>
            <w:tcBorders>
              <w:top w:val="nil"/>
              <w:left w:val="nil"/>
              <w:bottom w:val="single" w:sz="4" w:space="0" w:color="auto"/>
              <w:right w:val="single" w:sz="4" w:space="0" w:color="auto"/>
            </w:tcBorders>
            <w:shd w:val="clear" w:color="auto" w:fill="auto"/>
            <w:noWrap/>
            <w:vAlign w:val="center"/>
          </w:tcPr>
          <w:p w14:paraId="54B4B0E4" w14:textId="2062A5A0"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62,32 %</w:t>
            </w:r>
          </w:p>
        </w:tc>
      </w:tr>
      <w:tr w:rsidR="008C4E47" w:rsidRPr="008B13E7" w14:paraId="152DF3CF" w14:textId="77777777" w:rsidTr="008C4E47">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2F4A82A7" w14:textId="60D70A11" w:rsidR="008C4E47" w:rsidRPr="008B13E7" w:rsidRDefault="008C4E47" w:rsidP="008C4E47">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Omejeni postopek</w:t>
            </w:r>
          </w:p>
        </w:tc>
        <w:tc>
          <w:tcPr>
            <w:tcW w:w="689" w:type="pct"/>
            <w:tcBorders>
              <w:top w:val="nil"/>
              <w:left w:val="nil"/>
              <w:bottom w:val="single" w:sz="4" w:space="0" w:color="auto"/>
              <w:right w:val="single" w:sz="4" w:space="0" w:color="auto"/>
            </w:tcBorders>
            <w:shd w:val="clear" w:color="auto" w:fill="auto"/>
            <w:noWrap/>
            <w:vAlign w:val="center"/>
            <w:hideMark/>
          </w:tcPr>
          <w:p w14:paraId="58831DF4" w14:textId="090C7246"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29</w:t>
            </w:r>
          </w:p>
        </w:tc>
        <w:tc>
          <w:tcPr>
            <w:tcW w:w="850" w:type="pct"/>
            <w:tcBorders>
              <w:top w:val="nil"/>
              <w:left w:val="nil"/>
              <w:bottom w:val="single" w:sz="4" w:space="0" w:color="auto"/>
              <w:right w:val="single" w:sz="4" w:space="0" w:color="auto"/>
            </w:tcBorders>
            <w:shd w:val="clear" w:color="auto" w:fill="auto"/>
            <w:noWrap/>
            <w:vAlign w:val="center"/>
            <w:hideMark/>
          </w:tcPr>
          <w:p w14:paraId="3920F8F3" w14:textId="7EC6C84C"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384.877.405</w:t>
            </w:r>
          </w:p>
        </w:tc>
        <w:tc>
          <w:tcPr>
            <w:tcW w:w="772" w:type="pct"/>
            <w:tcBorders>
              <w:top w:val="nil"/>
              <w:left w:val="nil"/>
              <w:bottom w:val="single" w:sz="4" w:space="0" w:color="auto"/>
              <w:right w:val="single" w:sz="4" w:space="0" w:color="auto"/>
            </w:tcBorders>
            <w:shd w:val="clear" w:color="auto" w:fill="auto"/>
            <w:noWrap/>
            <w:vAlign w:val="center"/>
          </w:tcPr>
          <w:p w14:paraId="40FB5DEA" w14:textId="46F03A07"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0,59 %</w:t>
            </w:r>
          </w:p>
        </w:tc>
        <w:tc>
          <w:tcPr>
            <w:tcW w:w="676" w:type="pct"/>
            <w:tcBorders>
              <w:top w:val="nil"/>
              <w:left w:val="nil"/>
              <w:bottom w:val="single" w:sz="4" w:space="0" w:color="auto"/>
              <w:right w:val="single" w:sz="4" w:space="0" w:color="auto"/>
            </w:tcBorders>
            <w:shd w:val="clear" w:color="auto" w:fill="auto"/>
            <w:noWrap/>
            <w:vAlign w:val="center"/>
          </w:tcPr>
          <w:p w14:paraId="064EB978" w14:textId="54E9402F"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25,87 %</w:t>
            </w:r>
          </w:p>
        </w:tc>
      </w:tr>
      <w:tr w:rsidR="008C4E47" w:rsidRPr="008B13E7" w14:paraId="52FC8E70" w14:textId="77777777" w:rsidTr="008C4E47">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1EEEFD0E" w14:textId="621C30C6" w:rsidR="008C4E47" w:rsidRPr="008B13E7" w:rsidRDefault="008C4E47" w:rsidP="008C4E47">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Postopek naročila male vrednosti</w:t>
            </w:r>
          </w:p>
        </w:tc>
        <w:tc>
          <w:tcPr>
            <w:tcW w:w="689" w:type="pct"/>
            <w:tcBorders>
              <w:top w:val="nil"/>
              <w:left w:val="nil"/>
              <w:bottom w:val="single" w:sz="4" w:space="0" w:color="auto"/>
              <w:right w:val="single" w:sz="4" w:space="0" w:color="auto"/>
            </w:tcBorders>
            <w:shd w:val="clear" w:color="auto" w:fill="auto"/>
            <w:noWrap/>
            <w:vAlign w:val="center"/>
            <w:hideMark/>
          </w:tcPr>
          <w:p w14:paraId="516EC60C" w14:textId="69BAC506"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1.039</w:t>
            </w:r>
          </w:p>
        </w:tc>
        <w:tc>
          <w:tcPr>
            <w:tcW w:w="850" w:type="pct"/>
            <w:tcBorders>
              <w:top w:val="nil"/>
              <w:left w:val="nil"/>
              <w:bottom w:val="single" w:sz="4" w:space="0" w:color="auto"/>
              <w:right w:val="single" w:sz="4" w:space="0" w:color="auto"/>
            </w:tcBorders>
            <w:shd w:val="clear" w:color="auto" w:fill="auto"/>
            <w:noWrap/>
            <w:vAlign w:val="center"/>
            <w:hideMark/>
          </w:tcPr>
          <w:p w14:paraId="21B08A89" w14:textId="61113FE5"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61.811.384</w:t>
            </w:r>
          </w:p>
        </w:tc>
        <w:tc>
          <w:tcPr>
            <w:tcW w:w="772" w:type="pct"/>
            <w:tcBorders>
              <w:top w:val="nil"/>
              <w:left w:val="nil"/>
              <w:bottom w:val="single" w:sz="4" w:space="0" w:color="auto"/>
              <w:right w:val="single" w:sz="4" w:space="0" w:color="auto"/>
            </w:tcBorders>
            <w:shd w:val="clear" w:color="auto" w:fill="auto"/>
            <w:noWrap/>
            <w:vAlign w:val="center"/>
          </w:tcPr>
          <w:p w14:paraId="0CBF6AE3" w14:textId="057F6CDB"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21,14 %</w:t>
            </w:r>
          </w:p>
        </w:tc>
        <w:tc>
          <w:tcPr>
            <w:tcW w:w="676" w:type="pct"/>
            <w:tcBorders>
              <w:top w:val="nil"/>
              <w:left w:val="nil"/>
              <w:bottom w:val="single" w:sz="4" w:space="0" w:color="auto"/>
              <w:right w:val="single" w:sz="4" w:space="0" w:color="auto"/>
            </w:tcBorders>
            <w:shd w:val="clear" w:color="auto" w:fill="auto"/>
            <w:noWrap/>
            <w:vAlign w:val="center"/>
          </w:tcPr>
          <w:p w14:paraId="26743406" w14:textId="331A9395"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4,15 %</w:t>
            </w:r>
          </w:p>
        </w:tc>
      </w:tr>
      <w:tr w:rsidR="008C4E47" w:rsidRPr="008B13E7" w14:paraId="4703F040" w14:textId="77777777" w:rsidTr="008C4E47">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3DF14ABC" w14:textId="297C1F61" w:rsidR="008C4E47" w:rsidRPr="008B13E7" w:rsidRDefault="008C4E47" w:rsidP="008C4E47">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Postopek s pogajanji brez predhodne objave</w:t>
            </w:r>
          </w:p>
        </w:tc>
        <w:tc>
          <w:tcPr>
            <w:tcW w:w="689" w:type="pct"/>
            <w:tcBorders>
              <w:top w:val="nil"/>
              <w:left w:val="nil"/>
              <w:bottom w:val="single" w:sz="4" w:space="0" w:color="auto"/>
              <w:right w:val="single" w:sz="4" w:space="0" w:color="auto"/>
            </w:tcBorders>
            <w:shd w:val="clear" w:color="auto" w:fill="auto"/>
            <w:noWrap/>
            <w:vAlign w:val="center"/>
            <w:hideMark/>
          </w:tcPr>
          <w:p w14:paraId="6CCCE549" w14:textId="0969B67E"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81</w:t>
            </w:r>
          </w:p>
        </w:tc>
        <w:tc>
          <w:tcPr>
            <w:tcW w:w="850" w:type="pct"/>
            <w:tcBorders>
              <w:top w:val="nil"/>
              <w:left w:val="nil"/>
              <w:bottom w:val="single" w:sz="4" w:space="0" w:color="auto"/>
              <w:right w:val="single" w:sz="4" w:space="0" w:color="auto"/>
            </w:tcBorders>
            <w:shd w:val="clear" w:color="auto" w:fill="auto"/>
            <w:noWrap/>
            <w:vAlign w:val="center"/>
            <w:hideMark/>
          </w:tcPr>
          <w:p w14:paraId="0B851D4E" w14:textId="5F984995"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18.294.053</w:t>
            </w:r>
          </w:p>
        </w:tc>
        <w:tc>
          <w:tcPr>
            <w:tcW w:w="772" w:type="pct"/>
            <w:tcBorders>
              <w:top w:val="nil"/>
              <w:left w:val="nil"/>
              <w:bottom w:val="single" w:sz="4" w:space="0" w:color="auto"/>
              <w:right w:val="single" w:sz="4" w:space="0" w:color="auto"/>
            </w:tcBorders>
            <w:shd w:val="clear" w:color="auto" w:fill="auto"/>
            <w:noWrap/>
            <w:vAlign w:val="center"/>
          </w:tcPr>
          <w:p w14:paraId="0CC1EF83" w14:textId="1911D688"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1,65 %</w:t>
            </w:r>
          </w:p>
        </w:tc>
        <w:tc>
          <w:tcPr>
            <w:tcW w:w="676" w:type="pct"/>
            <w:tcBorders>
              <w:top w:val="nil"/>
              <w:left w:val="nil"/>
              <w:bottom w:val="single" w:sz="4" w:space="0" w:color="auto"/>
              <w:right w:val="single" w:sz="4" w:space="0" w:color="auto"/>
            </w:tcBorders>
            <w:shd w:val="clear" w:color="auto" w:fill="auto"/>
            <w:noWrap/>
            <w:vAlign w:val="center"/>
          </w:tcPr>
          <w:p w14:paraId="070E3495" w14:textId="628EC0C1"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1,23 %</w:t>
            </w:r>
          </w:p>
        </w:tc>
      </w:tr>
      <w:tr w:rsidR="008C4E47" w:rsidRPr="008B13E7" w14:paraId="0A361050" w14:textId="77777777" w:rsidTr="008C4E47">
        <w:trPr>
          <w:trHeight w:val="288"/>
        </w:trPr>
        <w:tc>
          <w:tcPr>
            <w:tcW w:w="2013" w:type="pct"/>
            <w:tcBorders>
              <w:top w:val="nil"/>
              <w:left w:val="single" w:sz="4" w:space="0" w:color="auto"/>
              <w:bottom w:val="single" w:sz="4" w:space="0" w:color="auto"/>
              <w:right w:val="single" w:sz="4" w:space="0" w:color="auto"/>
            </w:tcBorders>
            <w:shd w:val="clear" w:color="auto" w:fill="auto"/>
            <w:noWrap/>
            <w:vAlign w:val="center"/>
            <w:hideMark/>
          </w:tcPr>
          <w:p w14:paraId="7D24A2F5" w14:textId="3AD36669" w:rsidR="008C4E47" w:rsidRPr="008B13E7" w:rsidRDefault="008C4E47" w:rsidP="008C4E47">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Postopek s pogajanji po predhodni objavi</w:t>
            </w:r>
          </w:p>
        </w:tc>
        <w:tc>
          <w:tcPr>
            <w:tcW w:w="689" w:type="pct"/>
            <w:tcBorders>
              <w:top w:val="nil"/>
              <w:left w:val="nil"/>
              <w:bottom w:val="single" w:sz="4" w:space="0" w:color="auto"/>
              <w:right w:val="single" w:sz="4" w:space="0" w:color="auto"/>
            </w:tcBorders>
            <w:shd w:val="clear" w:color="auto" w:fill="auto"/>
            <w:noWrap/>
            <w:vAlign w:val="center"/>
            <w:hideMark/>
          </w:tcPr>
          <w:p w14:paraId="018C9DCC" w14:textId="76EE0B16"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93</w:t>
            </w:r>
          </w:p>
        </w:tc>
        <w:tc>
          <w:tcPr>
            <w:tcW w:w="850" w:type="pct"/>
            <w:tcBorders>
              <w:top w:val="nil"/>
              <w:left w:val="nil"/>
              <w:bottom w:val="single" w:sz="4" w:space="0" w:color="auto"/>
              <w:right w:val="single" w:sz="4" w:space="0" w:color="auto"/>
            </w:tcBorders>
            <w:shd w:val="clear" w:color="auto" w:fill="auto"/>
            <w:noWrap/>
            <w:vAlign w:val="center"/>
            <w:hideMark/>
          </w:tcPr>
          <w:p w14:paraId="0A8E5A47" w14:textId="307E4134"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76.218.186</w:t>
            </w:r>
          </w:p>
        </w:tc>
        <w:tc>
          <w:tcPr>
            <w:tcW w:w="772" w:type="pct"/>
            <w:tcBorders>
              <w:top w:val="nil"/>
              <w:left w:val="nil"/>
              <w:bottom w:val="single" w:sz="4" w:space="0" w:color="auto"/>
              <w:right w:val="single" w:sz="4" w:space="0" w:color="auto"/>
            </w:tcBorders>
            <w:shd w:val="clear" w:color="auto" w:fill="auto"/>
            <w:noWrap/>
            <w:vAlign w:val="center"/>
          </w:tcPr>
          <w:p w14:paraId="122A0DFE" w14:textId="36F9FF11"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1,89 %</w:t>
            </w:r>
          </w:p>
        </w:tc>
        <w:tc>
          <w:tcPr>
            <w:tcW w:w="676" w:type="pct"/>
            <w:tcBorders>
              <w:top w:val="nil"/>
              <w:left w:val="nil"/>
              <w:bottom w:val="single" w:sz="4" w:space="0" w:color="auto"/>
              <w:right w:val="single" w:sz="4" w:space="0" w:color="auto"/>
            </w:tcBorders>
            <w:shd w:val="clear" w:color="auto" w:fill="auto"/>
            <w:noWrap/>
            <w:vAlign w:val="center"/>
          </w:tcPr>
          <w:p w14:paraId="72679117" w14:textId="32FA0B49" w:rsidR="008C4E47" w:rsidRPr="008B13E7" w:rsidRDefault="008C4E47" w:rsidP="008C4E47">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5,12 %</w:t>
            </w:r>
          </w:p>
        </w:tc>
      </w:tr>
      <w:tr w:rsidR="008C4E47" w:rsidRPr="008B13E7" w14:paraId="3986191F" w14:textId="77777777" w:rsidTr="008C4E47">
        <w:trPr>
          <w:trHeight w:val="288"/>
        </w:trPr>
        <w:tc>
          <w:tcPr>
            <w:tcW w:w="201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1C8CFA" w14:textId="6E9D7CC9" w:rsidR="008C4E47" w:rsidRPr="008B13E7" w:rsidRDefault="008C4E47" w:rsidP="008C4E47">
            <w:pPr>
              <w:spacing w:after="0" w:line="240" w:lineRule="auto"/>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Skupaj</w:t>
            </w:r>
          </w:p>
        </w:tc>
        <w:tc>
          <w:tcPr>
            <w:tcW w:w="689" w:type="pct"/>
            <w:tcBorders>
              <w:top w:val="nil"/>
              <w:left w:val="nil"/>
              <w:bottom w:val="single" w:sz="4" w:space="0" w:color="auto"/>
              <w:right w:val="single" w:sz="4" w:space="0" w:color="auto"/>
            </w:tcBorders>
            <w:shd w:val="clear" w:color="auto" w:fill="F2F2F2" w:themeFill="background1" w:themeFillShade="F2"/>
            <w:noWrap/>
            <w:vAlign w:val="center"/>
          </w:tcPr>
          <w:p w14:paraId="7D592A55" w14:textId="0F69BA08" w:rsidR="008C4E47" w:rsidRPr="008B13E7" w:rsidRDefault="008C4E47" w:rsidP="008C4E47">
            <w:pPr>
              <w:spacing w:after="0" w:line="240" w:lineRule="auto"/>
              <w:jc w:val="right"/>
              <w:rPr>
                <w:rFonts w:ascii="Arial" w:eastAsia="Times New Roman" w:hAnsi="Arial" w:cs="Arial"/>
                <w:b/>
                <w:bCs/>
                <w:color w:val="000000" w:themeColor="text1"/>
                <w:sz w:val="18"/>
                <w:szCs w:val="18"/>
                <w:lang w:eastAsia="sl-SI"/>
              </w:rPr>
            </w:pPr>
            <w:r w:rsidRPr="008B13E7">
              <w:rPr>
                <w:rFonts w:ascii="Arial" w:hAnsi="Arial" w:cs="Arial"/>
                <w:b/>
                <w:bCs/>
                <w:color w:val="000000" w:themeColor="text1"/>
                <w:sz w:val="18"/>
                <w:szCs w:val="18"/>
              </w:rPr>
              <w:t>4</w:t>
            </w:r>
            <w:r w:rsidR="007364D8" w:rsidRPr="008B13E7">
              <w:rPr>
                <w:rFonts w:ascii="Arial" w:hAnsi="Arial" w:cs="Arial"/>
                <w:b/>
                <w:bCs/>
                <w:color w:val="000000" w:themeColor="text1"/>
                <w:sz w:val="18"/>
                <w:szCs w:val="18"/>
              </w:rPr>
              <w:t>.</w:t>
            </w:r>
            <w:r w:rsidRPr="008B13E7">
              <w:rPr>
                <w:rFonts w:ascii="Arial" w:hAnsi="Arial" w:cs="Arial"/>
                <w:b/>
                <w:bCs/>
                <w:color w:val="000000" w:themeColor="text1"/>
                <w:sz w:val="18"/>
                <w:szCs w:val="18"/>
              </w:rPr>
              <w:t>915</w:t>
            </w:r>
          </w:p>
        </w:tc>
        <w:tc>
          <w:tcPr>
            <w:tcW w:w="850" w:type="pct"/>
            <w:tcBorders>
              <w:top w:val="nil"/>
              <w:left w:val="nil"/>
              <w:bottom w:val="single" w:sz="4" w:space="0" w:color="auto"/>
              <w:right w:val="single" w:sz="4" w:space="0" w:color="auto"/>
            </w:tcBorders>
            <w:shd w:val="clear" w:color="auto" w:fill="F2F2F2" w:themeFill="background1" w:themeFillShade="F2"/>
            <w:noWrap/>
            <w:vAlign w:val="center"/>
          </w:tcPr>
          <w:p w14:paraId="60BA0513" w14:textId="14050060" w:rsidR="008C4E47" w:rsidRPr="008B13E7" w:rsidRDefault="008C4E47" w:rsidP="008C4E47">
            <w:pPr>
              <w:spacing w:after="0" w:line="240" w:lineRule="auto"/>
              <w:jc w:val="right"/>
              <w:rPr>
                <w:rFonts w:ascii="Arial" w:eastAsia="Times New Roman" w:hAnsi="Arial" w:cs="Arial"/>
                <w:b/>
                <w:bCs/>
                <w:color w:val="000000" w:themeColor="text1"/>
                <w:sz w:val="18"/>
                <w:szCs w:val="18"/>
                <w:lang w:eastAsia="sl-SI"/>
              </w:rPr>
            </w:pPr>
            <w:bookmarkStart w:id="24" w:name="_Hlk175129766"/>
            <w:r w:rsidRPr="008B13E7">
              <w:rPr>
                <w:rFonts w:ascii="Arial" w:hAnsi="Arial" w:cs="Arial"/>
                <w:b/>
                <w:bCs/>
                <w:color w:val="000000" w:themeColor="text1"/>
                <w:sz w:val="18"/>
                <w:szCs w:val="18"/>
              </w:rPr>
              <w:t>1.487.757.585</w:t>
            </w:r>
            <w:bookmarkEnd w:id="24"/>
          </w:p>
        </w:tc>
        <w:tc>
          <w:tcPr>
            <w:tcW w:w="772" w:type="pct"/>
            <w:tcBorders>
              <w:top w:val="nil"/>
              <w:left w:val="nil"/>
              <w:bottom w:val="single" w:sz="4" w:space="0" w:color="auto"/>
              <w:right w:val="single" w:sz="4" w:space="0" w:color="auto"/>
            </w:tcBorders>
            <w:shd w:val="clear" w:color="auto" w:fill="F2F2F2" w:themeFill="background1" w:themeFillShade="F2"/>
            <w:noWrap/>
            <w:vAlign w:val="center"/>
          </w:tcPr>
          <w:p w14:paraId="5B619007" w14:textId="4D91BE19" w:rsidR="008C4E47" w:rsidRPr="008B13E7" w:rsidRDefault="008C4E47" w:rsidP="008C4E47">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100,00 %</w:t>
            </w:r>
          </w:p>
        </w:tc>
        <w:tc>
          <w:tcPr>
            <w:tcW w:w="676" w:type="pct"/>
            <w:tcBorders>
              <w:top w:val="nil"/>
              <w:left w:val="nil"/>
              <w:bottom w:val="single" w:sz="4" w:space="0" w:color="auto"/>
              <w:right w:val="single" w:sz="4" w:space="0" w:color="auto"/>
            </w:tcBorders>
            <w:shd w:val="clear" w:color="auto" w:fill="F2F2F2" w:themeFill="background1" w:themeFillShade="F2"/>
            <w:noWrap/>
            <w:vAlign w:val="center"/>
          </w:tcPr>
          <w:p w14:paraId="48DF4C7C" w14:textId="28F75B5B" w:rsidR="008C4E47" w:rsidRPr="008B13E7" w:rsidRDefault="008C4E47" w:rsidP="008C4E47">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100,00 %</w:t>
            </w:r>
          </w:p>
        </w:tc>
      </w:tr>
    </w:tbl>
    <w:p w14:paraId="3344934A" w14:textId="77777777" w:rsidR="00CF664F" w:rsidRPr="008B13E7" w:rsidRDefault="00CF664F" w:rsidP="008C4E47">
      <w:pPr>
        <w:spacing w:after="120" w:line="240" w:lineRule="auto"/>
        <w:jc w:val="center"/>
        <w:rPr>
          <w:rFonts w:ascii="Arial" w:hAnsi="Arial" w:cs="Arial"/>
          <w:color w:val="000000" w:themeColor="text1"/>
          <w:sz w:val="18"/>
        </w:rPr>
      </w:pPr>
    </w:p>
    <w:p w14:paraId="3D22E892" w14:textId="5BEE21A6" w:rsidR="00B333AF" w:rsidRPr="008B13E7" w:rsidRDefault="00B333AF" w:rsidP="008C4E47">
      <w:pPr>
        <w:spacing w:after="120" w:line="240" w:lineRule="auto"/>
        <w:jc w:val="center"/>
        <w:rPr>
          <w:rFonts w:ascii="Arial" w:hAnsi="Arial" w:cs="Arial"/>
          <w:color w:val="000000" w:themeColor="text1"/>
          <w:sz w:val="18"/>
        </w:rPr>
      </w:pPr>
      <w:r w:rsidRPr="008B13E7">
        <w:rPr>
          <w:rFonts w:ascii="Arial" w:hAnsi="Arial" w:cs="Arial"/>
          <w:color w:val="000000" w:themeColor="text1"/>
          <w:sz w:val="18"/>
        </w:rPr>
        <w:t>Vir: Statistični podatki o javnih naročilih, oddanih v letu 20</w:t>
      </w:r>
      <w:r w:rsidR="00EB6D60" w:rsidRPr="008B13E7">
        <w:rPr>
          <w:rFonts w:ascii="Arial" w:hAnsi="Arial" w:cs="Arial"/>
          <w:color w:val="000000" w:themeColor="text1"/>
          <w:sz w:val="18"/>
        </w:rPr>
        <w:t>2</w:t>
      </w:r>
      <w:r w:rsidR="00D07262" w:rsidRPr="008B13E7">
        <w:rPr>
          <w:rFonts w:ascii="Arial" w:hAnsi="Arial" w:cs="Arial"/>
          <w:color w:val="000000" w:themeColor="text1"/>
          <w:sz w:val="18"/>
        </w:rPr>
        <w:t>3</w:t>
      </w:r>
      <w:r w:rsidR="003A0541" w:rsidRPr="008B13E7">
        <w:rPr>
          <w:rFonts w:ascii="Arial" w:hAnsi="Arial" w:cs="Arial"/>
          <w:color w:val="000000" w:themeColor="text1"/>
          <w:sz w:val="18"/>
        </w:rPr>
        <w:t>.</w:t>
      </w:r>
    </w:p>
    <w:p w14:paraId="4FB5AB91" w14:textId="65224470" w:rsidR="0096639E" w:rsidRPr="00637ACF" w:rsidRDefault="0096639E">
      <w:pPr>
        <w:rPr>
          <w:rFonts w:ascii="Arial" w:hAnsi="Arial" w:cs="Arial"/>
          <w:color w:val="FF0000"/>
          <w:sz w:val="18"/>
          <w:highlight w:val="yellow"/>
        </w:rPr>
      </w:pPr>
      <w:r w:rsidRPr="00637ACF">
        <w:rPr>
          <w:rFonts w:ascii="Arial" w:hAnsi="Arial" w:cs="Arial"/>
          <w:color w:val="FF0000"/>
          <w:sz w:val="18"/>
          <w:highlight w:val="yellow"/>
        </w:rPr>
        <w:br w:type="page"/>
      </w:r>
    </w:p>
    <w:p w14:paraId="45A528E5" w14:textId="3E577493" w:rsidR="00026C19" w:rsidRPr="008B13E7" w:rsidRDefault="00026C19" w:rsidP="007F3433">
      <w:pPr>
        <w:pStyle w:val="Naslov3"/>
      </w:pPr>
      <w:bookmarkStart w:id="25" w:name="_Toc175563858"/>
      <w:r w:rsidRPr="008B13E7">
        <w:lastRenderedPageBreak/>
        <w:t>2.3.6 Elektronska dražba</w:t>
      </w:r>
      <w:bookmarkEnd w:id="25"/>
    </w:p>
    <w:p w14:paraId="6C1EB25B" w14:textId="77777777" w:rsidR="00B57693" w:rsidRPr="008B13E7" w:rsidRDefault="00B57693" w:rsidP="00854405">
      <w:pPr>
        <w:pStyle w:val="ZADEVA"/>
        <w:jc w:val="both"/>
        <w:rPr>
          <w:rFonts w:cs="Arial"/>
          <w:b w:val="0"/>
          <w:color w:val="FF0000"/>
          <w:szCs w:val="20"/>
          <w:lang w:val="sl-SI"/>
        </w:rPr>
      </w:pPr>
    </w:p>
    <w:p w14:paraId="27DDEB41" w14:textId="0DB07F24" w:rsidR="008758FA" w:rsidRPr="008B13E7" w:rsidRDefault="00EB25C7" w:rsidP="00E92076">
      <w:pPr>
        <w:spacing w:after="0" w:line="360" w:lineRule="auto"/>
        <w:jc w:val="both"/>
        <w:rPr>
          <w:rFonts w:ascii="Arial" w:eastAsia="Times New Roman" w:hAnsi="Arial" w:cs="Arial"/>
          <w:color w:val="000000" w:themeColor="text1"/>
          <w:sz w:val="20"/>
          <w:szCs w:val="20"/>
          <w:lang w:eastAsia="sl-SI"/>
        </w:rPr>
      </w:pPr>
      <w:r w:rsidRPr="008B13E7">
        <w:rPr>
          <w:rFonts w:ascii="Arial" w:hAnsi="Arial" w:cs="Arial"/>
          <w:color w:val="000000" w:themeColor="text1"/>
          <w:sz w:val="20"/>
          <w:szCs w:val="20"/>
        </w:rPr>
        <w:t>Iz statističnih podatko</w:t>
      </w:r>
      <w:r w:rsidR="0034502A" w:rsidRPr="008B13E7">
        <w:rPr>
          <w:rFonts w:ascii="Arial" w:hAnsi="Arial" w:cs="Arial"/>
          <w:color w:val="000000" w:themeColor="text1"/>
          <w:sz w:val="20"/>
          <w:szCs w:val="20"/>
        </w:rPr>
        <w:t xml:space="preserve">v </w:t>
      </w:r>
      <w:r w:rsidR="00CF3448" w:rsidRPr="008B13E7">
        <w:rPr>
          <w:rFonts w:ascii="Arial" w:hAnsi="Arial" w:cs="Arial"/>
          <w:color w:val="000000" w:themeColor="text1"/>
          <w:sz w:val="20"/>
          <w:szCs w:val="20"/>
        </w:rPr>
        <w:t>izhaja</w:t>
      </w:r>
      <w:r w:rsidR="0034502A" w:rsidRPr="008B13E7">
        <w:rPr>
          <w:rFonts w:ascii="Arial" w:hAnsi="Arial" w:cs="Arial"/>
          <w:color w:val="000000" w:themeColor="text1"/>
          <w:sz w:val="20"/>
          <w:szCs w:val="20"/>
        </w:rPr>
        <w:t xml:space="preserve">, da so </w:t>
      </w:r>
      <w:r w:rsidR="008E09B2" w:rsidRPr="008B13E7">
        <w:rPr>
          <w:rFonts w:ascii="Arial" w:hAnsi="Arial" w:cs="Arial"/>
          <w:color w:val="000000" w:themeColor="text1"/>
          <w:sz w:val="20"/>
          <w:szCs w:val="20"/>
        </w:rPr>
        <w:t xml:space="preserve">leta </w:t>
      </w:r>
      <w:r w:rsidR="0034502A" w:rsidRPr="008B13E7">
        <w:rPr>
          <w:rFonts w:ascii="Arial" w:hAnsi="Arial" w:cs="Arial"/>
          <w:color w:val="000000" w:themeColor="text1"/>
          <w:sz w:val="20"/>
          <w:szCs w:val="20"/>
        </w:rPr>
        <w:t>20</w:t>
      </w:r>
      <w:r w:rsidR="0019188D" w:rsidRPr="008B13E7">
        <w:rPr>
          <w:rFonts w:ascii="Arial" w:hAnsi="Arial" w:cs="Arial"/>
          <w:color w:val="000000" w:themeColor="text1"/>
          <w:sz w:val="20"/>
          <w:szCs w:val="20"/>
        </w:rPr>
        <w:t>2</w:t>
      </w:r>
      <w:r w:rsidR="00001BEA" w:rsidRPr="008B13E7">
        <w:rPr>
          <w:rFonts w:ascii="Arial" w:hAnsi="Arial" w:cs="Arial"/>
          <w:color w:val="000000" w:themeColor="text1"/>
          <w:sz w:val="20"/>
          <w:szCs w:val="20"/>
        </w:rPr>
        <w:t>3</w:t>
      </w:r>
      <w:r w:rsidRPr="008B13E7">
        <w:rPr>
          <w:rFonts w:ascii="Arial" w:hAnsi="Arial" w:cs="Arial"/>
          <w:color w:val="000000" w:themeColor="text1"/>
          <w:sz w:val="20"/>
          <w:szCs w:val="20"/>
        </w:rPr>
        <w:t xml:space="preserve"> naročniki z uporabo elektronske dražbe oddali </w:t>
      </w:r>
      <w:r w:rsidR="00001BEA" w:rsidRPr="008B13E7">
        <w:rPr>
          <w:rFonts w:ascii="Arial" w:hAnsi="Arial" w:cs="Arial"/>
          <w:color w:val="000000" w:themeColor="text1"/>
          <w:sz w:val="20"/>
          <w:szCs w:val="20"/>
        </w:rPr>
        <w:t>76</w:t>
      </w:r>
      <w:r w:rsidR="00630FBA" w:rsidRPr="008B13E7">
        <w:rPr>
          <w:rFonts w:ascii="Arial" w:hAnsi="Arial" w:cs="Arial"/>
          <w:color w:val="000000" w:themeColor="text1"/>
          <w:sz w:val="20"/>
          <w:szCs w:val="20"/>
        </w:rPr>
        <w:t> </w:t>
      </w:r>
      <w:r w:rsidRPr="008B13E7">
        <w:rPr>
          <w:rFonts w:ascii="Arial" w:hAnsi="Arial" w:cs="Arial"/>
          <w:color w:val="000000" w:themeColor="text1"/>
          <w:sz w:val="20"/>
          <w:szCs w:val="20"/>
        </w:rPr>
        <w:t xml:space="preserve">naročil. Skupna pogodbena vrednost oddanih naročil z uporabo elektronske dražbe je </w:t>
      </w:r>
      <w:r w:rsidR="00001BEA" w:rsidRPr="008B13E7">
        <w:rPr>
          <w:rFonts w:ascii="Arial" w:hAnsi="Arial" w:cs="Arial"/>
          <w:color w:val="000000" w:themeColor="text1"/>
          <w:sz w:val="20"/>
          <w:szCs w:val="20"/>
        </w:rPr>
        <w:t xml:space="preserve">22.652.619 </w:t>
      </w:r>
      <w:r w:rsidRPr="008B13E7">
        <w:rPr>
          <w:rFonts w:ascii="Arial" w:hAnsi="Arial" w:cs="Arial"/>
          <w:color w:val="000000" w:themeColor="text1"/>
          <w:sz w:val="20"/>
          <w:szCs w:val="20"/>
        </w:rPr>
        <w:t>evrov</w:t>
      </w:r>
      <w:r w:rsidR="00E86EF4" w:rsidRPr="008B13E7">
        <w:rPr>
          <w:rFonts w:ascii="Arial" w:hAnsi="Arial" w:cs="Arial"/>
          <w:color w:val="000000" w:themeColor="text1"/>
          <w:sz w:val="20"/>
          <w:szCs w:val="20"/>
        </w:rPr>
        <w:t>.</w:t>
      </w:r>
    </w:p>
    <w:p w14:paraId="7EFF2570" w14:textId="6FF6DB42" w:rsidR="00EB25C7" w:rsidRPr="00F90801" w:rsidRDefault="00EB25C7" w:rsidP="008A61FD">
      <w:pPr>
        <w:spacing w:before="120" w:after="120" w:line="240" w:lineRule="auto"/>
        <w:jc w:val="both"/>
        <w:rPr>
          <w:rFonts w:ascii="Arial" w:hAnsi="Arial" w:cs="Arial"/>
          <w:color w:val="000000" w:themeColor="text1"/>
          <w:sz w:val="20"/>
        </w:rPr>
      </w:pPr>
      <w:r w:rsidRPr="00F90801">
        <w:rPr>
          <w:rFonts w:ascii="Arial" w:hAnsi="Arial" w:cs="Arial"/>
          <w:color w:val="000000" w:themeColor="text1"/>
          <w:sz w:val="20"/>
        </w:rPr>
        <w:t xml:space="preserve">Preglednica </w:t>
      </w:r>
      <w:r w:rsidR="00512F52" w:rsidRPr="00F90801">
        <w:rPr>
          <w:rFonts w:ascii="Arial" w:hAnsi="Arial" w:cs="Arial"/>
          <w:color w:val="000000" w:themeColor="text1"/>
          <w:sz w:val="20"/>
        </w:rPr>
        <w:t>16</w:t>
      </w:r>
      <w:r w:rsidRPr="00F90801">
        <w:rPr>
          <w:rFonts w:ascii="Arial" w:hAnsi="Arial" w:cs="Arial"/>
          <w:color w:val="000000" w:themeColor="text1"/>
          <w:sz w:val="20"/>
        </w:rPr>
        <w:t>: Javna naročila</w:t>
      </w:r>
      <w:r w:rsidR="00753CA0" w:rsidRPr="00F90801">
        <w:rPr>
          <w:rFonts w:ascii="Arial" w:hAnsi="Arial" w:cs="Arial"/>
          <w:color w:val="000000" w:themeColor="text1"/>
          <w:sz w:val="20"/>
        </w:rPr>
        <w:t>,</w:t>
      </w:r>
      <w:r w:rsidRPr="00F90801">
        <w:rPr>
          <w:rFonts w:ascii="Arial" w:hAnsi="Arial" w:cs="Arial"/>
          <w:color w:val="000000" w:themeColor="text1"/>
          <w:sz w:val="20"/>
        </w:rPr>
        <w:t xml:space="preserve"> v katerih je bila uporabljena elektronska dražba</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3"/>
        <w:gridCol w:w="772"/>
        <w:gridCol w:w="1422"/>
        <w:gridCol w:w="1422"/>
        <w:gridCol w:w="935"/>
        <w:gridCol w:w="1065"/>
        <w:gridCol w:w="981"/>
      </w:tblGrid>
      <w:tr w:rsidR="00BE736F" w:rsidRPr="00F90801" w14:paraId="14C1D5C9" w14:textId="77777777" w:rsidTr="00C95EB5">
        <w:trPr>
          <w:trHeight w:val="255"/>
          <w:tblHeader/>
          <w:jc w:val="center"/>
        </w:trPr>
        <w:tc>
          <w:tcPr>
            <w:tcW w:w="1163" w:type="dxa"/>
            <w:shd w:val="clear" w:color="auto" w:fill="F2F2F2" w:themeFill="background1" w:themeFillShade="F2"/>
            <w:vAlign w:val="center"/>
            <w:hideMark/>
          </w:tcPr>
          <w:p w14:paraId="7E10CE09" w14:textId="77777777" w:rsidR="0019188D" w:rsidRPr="00F90801" w:rsidRDefault="0019188D" w:rsidP="00B93213">
            <w:pPr>
              <w:spacing w:after="0" w:line="240" w:lineRule="auto"/>
              <w:jc w:val="center"/>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Elektronska dražba</w:t>
            </w:r>
          </w:p>
        </w:tc>
        <w:tc>
          <w:tcPr>
            <w:tcW w:w="772" w:type="dxa"/>
            <w:shd w:val="clear" w:color="auto" w:fill="F2F2F2" w:themeFill="background1" w:themeFillShade="F2"/>
            <w:vAlign w:val="center"/>
            <w:hideMark/>
          </w:tcPr>
          <w:p w14:paraId="65BD3C6F" w14:textId="77777777" w:rsidR="0019188D" w:rsidRPr="00F90801" w:rsidRDefault="0019188D" w:rsidP="00B93213">
            <w:pPr>
              <w:spacing w:after="0" w:line="240" w:lineRule="auto"/>
              <w:jc w:val="center"/>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Št. naročil</w:t>
            </w:r>
          </w:p>
        </w:tc>
        <w:tc>
          <w:tcPr>
            <w:tcW w:w="1422" w:type="dxa"/>
            <w:shd w:val="clear" w:color="auto" w:fill="F2F2F2" w:themeFill="background1" w:themeFillShade="F2"/>
            <w:vAlign w:val="center"/>
            <w:hideMark/>
          </w:tcPr>
          <w:p w14:paraId="27C45042" w14:textId="54541768" w:rsidR="0019188D" w:rsidRPr="00F90801" w:rsidRDefault="0019188D" w:rsidP="00B93213">
            <w:pPr>
              <w:spacing w:after="0" w:line="240" w:lineRule="auto"/>
              <w:jc w:val="center"/>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Ocenjena vrednost</w:t>
            </w:r>
            <w:r w:rsidR="00F36C50" w:rsidRPr="00F90801">
              <w:rPr>
                <w:rFonts w:ascii="Arial" w:eastAsia="Times New Roman" w:hAnsi="Arial" w:cs="Arial"/>
                <w:color w:val="000000" w:themeColor="text1"/>
                <w:sz w:val="18"/>
                <w:szCs w:val="18"/>
                <w:lang w:eastAsia="sl-SI"/>
              </w:rPr>
              <w:t xml:space="preserve"> (v EUR)</w:t>
            </w:r>
          </w:p>
        </w:tc>
        <w:tc>
          <w:tcPr>
            <w:tcW w:w="1422" w:type="dxa"/>
            <w:shd w:val="clear" w:color="auto" w:fill="F2F2F2" w:themeFill="background1" w:themeFillShade="F2"/>
            <w:vAlign w:val="center"/>
            <w:hideMark/>
          </w:tcPr>
          <w:p w14:paraId="3147B6F7" w14:textId="3C135732" w:rsidR="0019188D" w:rsidRPr="00F90801" w:rsidRDefault="0019188D" w:rsidP="00B93213">
            <w:pPr>
              <w:spacing w:after="0" w:line="240" w:lineRule="auto"/>
              <w:jc w:val="center"/>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Pogodbena vrednost</w:t>
            </w:r>
            <w:r w:rsidR="00F36C50" w:rsidRPr="00F90801">
              <w:rPr>
                <w:rFonts w:ascii="Arial" w:eastAsia="Times New Roman" w:hAnsi="Arial" w:cs="Arial"/>
                <w:color w:val="000000" w:themeColor="text1"/>
                <w:sz w:val="18"/>
                <w:szCs w:val="18"/>
                <w:lang w:eastAsia="sl-SI"/>
              </w:rPr>
              <w:t xml:space="preserve"> (v EUR)</w:t>
            </w:r>
          </w:p>
        </w:tc>
        <w:tc>
          <w:tcPr>
            <w:tcW w:w="935" w:type="dxa"/>
            <w:shd w:val="clear" w:color="auto" w:fill="F2F2F2" w:themeFill="background1" w:themeFillShade="F2"/>
            <w:vAlign w:val="center"/>
            <w:hideMark/>
          </w:tcPr>
          <w:p w14:paraId="2742E40B" w14:textId="77777777" w:rsidR="0019188D" w:rsidRPr="00F90801" w:rsidRDefault="0019188D" w:rsidP="00B93213">
            <w:pPr>
              <w:spacing w:after="0" w:line="240" w:lineRule="auto"/>
              <w:jc w:val="center"/>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Delež v št. naročil</w:t>
            </w:r>
          </w:p>
        </w:tc>
        <w:tc>
          <w:tcPr>
            <w:tcW w:w="1065" w:type="dxa"/>
            <w:shd w:val="clear" w:color="auto" w:fill="F2F2F2" w:themeFill="background1" w:themeFillShade="F2"/>
            <w:vAlign w:val="center"/>
            <w:hideMark/>
          </w:tcPr>
          <w:p w14:paraId="4C334A52" w14:textId="77777777" w:rsidR="0019188D" w:rsidRPr="00F90801" w:rsidRDefault="0019188D" w:rsidP="00B93213">
            <w:pPr>
              <w:spacing w:after="0" w:line="240" w:lineRule="auto"/>
              <w:jc w:val="center"/>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Delež v ocenjeni vrednosti</w:t>
            </w:r>
          </w:p>
        </w:tc>
        <w:tc>
          <w:tcPr>
            <w:tcW w:w="981" w:type="dxa"/>
            <w:shd w:val="clear" w:color="auto" w:fill="F2F2F2" w:themeFill="background1" w:themeFillShade="F2"/>
            <w:vAlign w:val="center"/>
            <w:hideMark/>
          </w:tcPr>
          <w:p w14:paraId="66B6FAD6" w14:textId="77777777" w:rsidR="0019188D" w:rsidRPr="00F90801" w:rsidRDefault="0019188D" w:rsidP="00B93213">
            <w:pPr>
              <w:spacing w:after="0" w:line="240" w:lineRule="auto"/>
              <w:jc w:val="center"/>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Delež v pogodbeni vrednosti</w:t>
            </w:r>
          </w:p>
        </w:tc>
      </w:tr>
      <w:tr w:rsidR="00F90801" w:rsidRPr="00F90801" w14:paraId="0CF0F11B" w14:textId="77777777" w:rsidTr="00F90801">
        <w:trPr>
          <w:trHeight w:val="255"/>
          <w:jc w:val="center"/>
        </w:trPr>
        <w:tc>
          <w:tcPr>
            <w:tcW w:w="1163" w:type="dxa"/>
            <w:shd w:val="clear" w:color="auto" w:fill="auto"/>
            <w:vAlign w:val="center"/>
            <w:hideMark/>
          </w:tcPr>
          <w:p w14:paraId="6B334507" w14:textId="77777777" w:rsidR="00F90801" w:rsidRPr="00F90801" w:rsidRDefault="00F90801" w:rsidP="00F90801">
            <w:pPr>
              <w:spacing w:after="0" w:line="240" w:lineRule="auto"/>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DA</w:t>
            </w:r>
          </w:p>
        </w:tc>
        <w:tc>
          <w:tcPr>
            <w:tcW w:w="772" w:type="dxa"/>
            <w:shd w:val="clear" w:color="auto" w:fill="auto"/>
            <w:vAlign w:val="center"/>
            <w:hideMark/>
          </w:tcPr>
          <w:p w14:paraId="28EC028C" w14:textId="2929E90D"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76</w:t>
            </w:r>
          </w:p>
        </w:tc>
        <w:tc>
          <w:tcPr>
            <w:tcW w:w="1422" w:type="dxa"/>
            <w:shd w:val="clear" w:color="auto" w:fill="auto"/>
            <w:vAlign w:val="center"/>
            <w:hideMark/>
          </w:tcPr>
          <w:p w14:paraId="012A8902" w14:textId="28B4448C"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31.133.066</w:t>
            </w:r>
          </w:p>
        </w:tc>
        <w:tc>
          <w:tcPr>
            <w:tcW w:w="1422" w:type="dxa"/>
            <w:shd w:val="clear" w:color="auto" w:fill="auto"/>
            <w:vAlign w:val="center"/>
            <w:hideMark/>
          </w:tcPr>
          <w:p w14:paraId="57D6C487" w14:textId="722EE7DB"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22.652.619</w:t>
            </w:r>
          </w:p>
        </w:tc>
        <w:tc>
          <w:tcPr>
            <w:tcW w:w="935" w:type="dxa"/>
            <w:shd w:val="clear" w:color="auto" w:fill="auto"/>
            <w:vAlign w:val="center"/>
          </w:tcPr>
          <w:p w14:paraId="653E4EBA" w14:textId="2A108AA3"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0,45 %</w:t>
            </w:r>
          </w:p>
        </w:tc>
        <w:tc>
          <w:tcPr>
            <w:tcW w:w="1065" w:type="dxa"/>
            <w:shd w:val="clear" w:color="auto" w:fill="auto"/>
            <w:vAlign w:val="center"/>
          </w:tcPr>
          <w:p w14:paraId="225F1927" w14:textId="06C9DA37"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0,47 %</w:t>
            </w:r>
          </w:p>
        </w:tc>
        <w:tc>
          <w:tcPr>
            <w:tcW w:w="981" w:type="dxa"/>
            <w:shd w:val="clear" w:color="auto" w:fill="auto"/>
            <w:vAlign w:val="center"/>
          </w:tcPr>
          <w:p w14:paraId="3554B001" w14:textId="28B41068"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0,36 %</w:t>
            </w:r>
          </w:p>
        </w:tc>
      </w:tr>
      <w:tr w:rsidR="00F90801" w:rsidRPr="00F90801" w14:paraId="2B394E7C" w14:textId="77777777" w:rsidTr="00F90801">
        <w:trPr>
          <w:trHeight w:val="255"/>
          <w:jc w:val="center"/>
        </w:trPr>
        <w:tc>
          <w:tcPr>
            <w:tcW w:w="1163" w:type="dxa"/>
            <w:shd w:val="clear" w:color="auto" w:fill="auto"/>
            <w:vAlign w:val="center"/>
            <w:hideMark/>
          </w:tcPr>
          <w:p w14:paraId="125E4B03" w14:textId="77777777" w:rsidR="00F90801" w:rsidRPr="00F90801" w:rsidRDefault="00F90801" w:rsidP="00F90801">
            <w:pPr>
              <w:spacing w:after="0" w:line="240" w:lineRule="auto"/>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NE</w:t>
            </w:r>
          </w:p>
        </w:tc>
        <w:tc>
          <w:tcPr>
            <w:tcW w:w="772" w:type="dxa"/>
            <w:shd w:val="clear" w:color="auto" w:fill="auto"/>
            <w:vAlign w:val="center"/>
          </w:tcPr>
          <w:p w14:paraId="46708064" w14:textId="4625248F"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16.748</w:t>
            </w:r>
          </w:p>
        </w:tc>
        <w:tc>
          <w:tcPr>
            <w:tcW w:w="1422" w:type="dxa"/>
            <w:shd w:val="clear" w:color="auto" w:fill="auto"/>
            <w:vAlign w:val="center"/>
          </w:tcPr>
          <w:p w14:paraId="64FA4F0C" w14:textId="085BFD7F"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6.582.859.719</w:t>
            </w:r>
          </w:p>
        </w:tc>
        <w:tc>
          <w:tcPr>
            <w:tcW w:w="1422" w:type="dxa"/>
            <w:shd w:val="clear" w:color="auto" w:fill="auto"/>
            <w:vAlign w:val="center"/>
          </w:tcPr>
          <w:p w14:paraId="71B76D94" w14:textId="6FB0BD44"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6.209.598.350</w:t>
            </w:r>
          </w:p>
        </w:tc>
        <w:tc>
          <w:tcPr>
            <w:tcW w:w="935" w:type="dxa"/>
            <w:shd w:val="clear" w:color="auto" w:fill="auto"/>
            <w:vAlign w:val="center"/>
          </w:tcPr>
          <w:p w14:paraId="24F3A806" w14:textId="57A36981"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99,55 %</w:t>
            </w:r>
          </w:p>
        </w:tc>
        <w:tc>
          <w:tcPr>
            <w:tcW w:w="1065" w:type="dxa"/>
            <w:shd w:val="clear" w:color="auto" w:fill="auto"/>
            <w:vAlign w:val="center"/>
          </w:tcPr>
          <w:p w14:paraId="3281BF54" w14:textId="08C51A18"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99,53 %</w:t>
            </w:r>
          </w:p>
        </w:tc>
        <w:tc>
          <w:tcPr>
            <w:tcW w:w="981" w:type="dxa"/>
            <w:shd w:val="clear" w:color="auto" w:fill="auto"/>
            <w:vAlign w:val="center"/>
          </w:tcPr>
          <w:p w14:paraId="3695C87E" w14:textId="1EE62B8B" w:rsidR="00F90801" w:rsidRPr="00F90801" w:rsidRDefault="00F90801" w:rsidP="00F90801">
            <w:pPr>
              <w:spacing w:after="0" w:line="240" w:lineRule="auto"/>
              <w:jc w:val="right"/>
              <w:rPr>
                <w:rFonts w:ascii="Arial" w:eastAsia="Times New Roman" w:hAnsi="Arial" w:cs="Arial"/>
                <w:color w:val="000000" w:themeColor="text1"/>
                <w:sz w:val="18"/>
                <w:szCs w:val="18"/>
                <w:lang w:eastAsia="sl-SI"/>
              </w:rPr>
            </w:pPr>
            <w:r w:rsidRPr="00F90801">
              <w:rPr>
                <w:rFonts w:ascii="Arial" w:eastAsia="Times New Roman" w:hAnsi="Arial" w:cs="Arial"/>
                <w:color w:val="000000" w:themeColor="text1"/>
                <w:sz w:val="18"/>
                <w:szCs w:val="18"/>
                <w:lang w:eastAsia="sl-SI"/>
              </w:rPr>
              <w:t>99,64 %</w:t>
            </w:r>
          </w:p>
        </w:tc>
      </w:tr>
      <w:tr w:rsidR="00F90801" w:rsidRPr="00F90801" w14:paraId="576EBF2C" w14:textId="77777777" w:rsidTr="00F90801">
        <w:trPr>
          <w:trHeight w:val="255"/>
          <w:jc w:val="center"/>
        </w:trPr>
        <w:tc>
          <w:tcPr>
            <w:tcW w:w="1163" w:type="dxa"/>
            <w:shd w:val="clear" w:color="auto" w:fill="F2F2F2" w:themeFill="background1" w:themeFillShade="F2"/>
            <w:vAlign w:val="center"/>
            <w:hideMark/>
          </w:tcPr>
          <w:p w14:paraId="5084B42D" w14:textId="77777777" w:rsidR="00F90801" w:rsidRPr="00F90801" w:rsidRDefault="00F90801" w:rsidP="00F90801">
            <w:pPr>
              <w:spacing w:after="0" w:line="240" w:lineRule="auto"/>
              <w:rPr>
                <w:rFonts w:ascii="Arial" w:eastAsia="Times New Roman" w:hAnsi="Arial" w:cs="Arial"/>
                <w:b/>
                <w:bCs/>
                <w:color w:val="000000" w:themeColor="text1"/>
                <w:sz w:val="18"/>
                <w:szCs w:val="18"/>
                <w:lang w:eastAsia="sl-SI"/>
              </w:rPr>
            </w:pPr>
            <w:r w:rsidRPr="00F90801">
              <w:rPr>
                <w:rFonts w:ascii="Arial" w:eastAsia="Times New Roman" w:hAnsi="Arial" w:cs="Arial"/>
                <w:b/>
                <w:bCs/>
                <w:color w:val="000000" w:themeColor="text1"/>
                <w:sz w:val="18"/>
                <w:szCs w:val="18"/>
                <w:lang w:eastAsia="sl-SI"/>
              </w:rPr>
              <w:t>Skupaj</w:t>
            </w:r>
          </w:p>
        </w:tc>
        <w:tc>
          <w:tcPr>
            <w:tcW w:w="772" w:type="dxa"/>
            <w:shd w:val="clear" w:color="auto" w:fill="F2F2F2" w:themeFill="background1" w:themeFillShade="F2"/>
            <w:vAlign w:val="center"/>
          </w:tcPr>
          <w:p w14:paraId="0E0106FB" w14:textId="50BE2143" w:rsidR="00F90801" w:rsidRPr="00F90801" w:rsidRDefault="00F90801" w:rsidP="00F90801">
            <w:pPr>
              <w:spacing w:after="0" w:line="240" w:lineRule="auto"/>
              <w:jc w:val="right"/>
              <w:rPr>
                <w:rFonts w:ascii="Arial" w:eastAsia="Times New Roman" w:hAnsi="Arial" w:cs="Arial"/>
                <w:b/>
                <w:bCs/>
                <w:color w:val="000000" w:themeColor="text1"/>
                <w:sz w:val="18"/>
                <w:szCs w:val="18"/>
                <w:lang w:eastAsia="sl-SI"/>
              </w:rPr>
            </w:pPr>
            <w:r w:rsidRPr="00F90801">
              <w:rPr>
                <w:rFonts w:ascii="Arial" w:eastAsia="Times New Roman" w:hAnsi="Arial" w:cs="Arial"/>
                <w:b/>
                <w:bCs/>
                <w:color w:val="000000" w:themeColor="text1"/>
                <w:sz w:val="18"/>
                <w:szCs w:val="18"/>
                <w:lang w:eastAsia="sl-SI"/>
              </w:rPr>
              <w:t>16.824</w:t>
            </w:r>
          </w:p>
        </w:tc>
        <w:tc>
          <w:tcPr>
            <w:tcW w:w="1422" w:type="dxa"/>
            <w:shd w:val="clear" w:color="auto" w:fill="F2F2F2" w:themeFill="background1" w:themeFillShade="F2"/>
            <w:vAlign w:val="center"/>
          </w:tcPr>
          <w:p w14:paraId="58757C7C" w14:textId="290EE42D" w:rsidR="00F90801" w:rsidRPr="00F90801" w:rsidRDefault="00F90801" w:rsidP="00F90801">
            <w:pPr>
              <w:spacing w:after="0" w:line="240" w:lineRule="auto"/>
              <w:jc w:val="right"/>
              <w:rPr>
                <w:rFonts w:ascii="Arial" w:eastAsia="Times New Roman" w:hAnsi="Arial" w:cs="Arial"/>
                <w:b/>
                <w:bCs/>
                <w:color w:val="000000" w:themeColor="text1"/>
                <w:sz w:val="18"/>
                <w:szCs w:val="18"/>
                <w:lang w:eastAsia="sl-SI"/>
              </w:rPr>
            </w:pPr>
            <w:r w:rsidRPr="00F90801">
              <w:rPr>
                <w:rFonts w:ascii="Arial" w:eastAsia="Times New Roman" w:hAnsi="Arial" w:cs="Arial"/>
                <w:b/>
                <w:bCs/>
                <w:color w:val="000000" w:themeColor="text1"/>
                <w:sz w:val="18"/>
                <w:szCs w:val="18"/>
                <w:lang w:eastAsia="sl-SI"/>
              </w:rPr>
              <w:t>6.613.992.785</w:t>
            </w:r>
          </w:p>
        </w:tc>
        <w:tc>
          <w:tcPr>
            <w:tcW w:w="1422" w:type="dxa"/>
            <w:shd w:val="clear" w:color="auto" w:fill="F2F2F2" w:themeFill="background1" w:themeFillShade="F2"/>
            <w:vAlign w:val="center"/>
          </w:tcPr>
          <w:p w14:paraId="2E358ED1" w14:textId="3B546E36" w:rsidR="00F90801" w:rsidRPr="00F90801" w:rsidRDefault="00F90801" w:rsidP="00F90801">
            <w:pPr>
              <w:spacing w:after="0" w:line="240" w:lineRule="auto"/>
              <w:jc w:val="right"/>
              <w:rPr>
                <w:rFonts w:ascii="Arial" w:eastAsia="Times New Roman" w:hAnsi="Arial" w:cs="Arial"/>
                <w:b/>
                <w:bCs/>
                <w:color w:val="000000" w:themeColor="text1"/>
                <w:sz w:val="18"/>
                <w:szCs w:val="18"/>
                <w:lang w:eastAsia="sl-SI"/>
              </w:rPr>
            </w:pPr>
            <w:r w:rsidRPr="00F90801">
              <w:rPr>
                <w:rFonts w:ascii="Arial" w:eastAsia="Times New Roman" w:hAnsi="Arial" w:cs="Arial"/>
                <w:b/>
                <w:bCs/>
                <w:color w:val="000000" w:themeColor="text1"/>
                <w:sz w:val="18"/>
                <w:szCs w:val="18"/>
                <w:lang w:eastAsia="sl-SI"/>
              </w:rPr>
              <w:t>6.232.250.969</w:t>
            </w:r>
          </w:p>
        </w:tc>
        <w:tc>
          <w:tcPr>
            <w:tcW w:w="935" w:type="dxa"/>
            <w:shd w:val="clear" w:color="auto" w:fill="F2F2F2" w:themeFill="background1" w:themeFillShade="F2"/>
            <w:vAlign w:val="center"/>
          </w:tcPr>
          <w:p w14:paraId="57B4C5BC" w14:textId="33134EFC" w:rsidR="00F90801" w:rsidRPr="00F90801" w:rsidRDefault="00F90801" w:rsidP="00F90801">
            <w:pPr>
              <w:spacing w:after="0" w:line="240" w:lineRule="auto"/>
              <w:jc w:val="right"/>
              <w:rPr>
                <w:rFonts w:ascii="Arial" w:eastAsia="Times New Roman" w:hAnsi="Arial" w:cs="Arial"/>
                <w:b/>
                <w:bCs/>
                <w:color w:val="000000" w:themeColor="text1"/>
                <w:sz w:val="18"/>
                <w:szCs w:val="18"/>
                <w:lang w:eastAsia="sl-SI"/>
              </w:rPr>
            </w:pPr>
            <w:r w:rsidRPr="00F90801">
              <w:rPr>
                <w:rFonts w:ascii="Arial" w:eastAsia="Times New Roman" w:hAnsi="Arial" w:cs="Arial"/>
                <w:b/>
                <w:bCs/>
                <w:color w:val="000000" w:themeColor="text1"/>
                <w:sz w:val="18"/>
                <w:szCs w:val="18"/>
                <w:lang w:eastAsia="sl-SI"/>
              </w:rPr>
              <w:t>100,00 %</w:t>
            </w:r>
          </w:p>
        </w:tc>
        <w:tc>
          <w:tcPr>
            <w:tcW w:w="1065" w:type="dxa"/>
            <w:shd w:val="clear" w:color="auto" w:fill="F2F2F2" w:themeFill="background1" w:themeFillShade="F2"/>
            <w:vAlign w:val="center"/>
          </w:tcPr>
          <w:p w14:paraId="4D12A705" w14:textId="0C86C158" w:rsidR="00F90801" w:rsidRPr="00F90801" w:rsidRDefault="00F90801" w:rsidP="00F90801">
            <w:pPr>
              <w:spacing w:after="0" w:line="240" w:lineRule="auto"/>
              <w:jc w:val="right"/>
              <w:rPr>
                <w:rFonts w:ascii="Arial" w:eastAsia="Times New Roman" w:hAnsi="Arial" w:cs="Arial"/>
                <w:b/>
                <w:bCs/>
                <w:color w:val="000000" w:themeColor="text1"/>
                <w:sz w:val="18"/>
                <w:szCs w:val="18"/>
                <w:lang w:eastAsia="sl-SI"/>
              </w:rPr>
            </w:pPr>
            <w:r w:rsidRPr="00F90801">
              <w:rPr>
                <w:rFonts w:ascii="Arial" w:eastAsia="Times New Roman" w:hAnsi="Arial" w:cs="Arial"/>
                <w:b/>
                <w:bCs/>
                <w:color w:val="000000" w:themeColor="text1"/>
                <w:sz w:val="18"/>
                <w:szCs w:val="18"/>
                <w:lang w:eastAsia="sl-SI"/>
              </w:rPr>
              <w:t>100,00 %</w:t>
            </w:r>
          </w:p>
        </w:tc>
        <w:tc>
          <w:tcPr>
            <w:tcW w:w="981" w:type="dxa"/>
            <w:shd w:val="clear" w:color="auto" w:fill="F2F2F2" w:themeFill="background1" w:themeFillShade="F2"/>
            <w:vAlign w:val="center"/>
          </w:tcPr>
          <w:p w14:paraId="5F9E4FF8" w14:textId="7F212B17" w:rsidR="00F90801" w:rsidRPr="00F90801" w:rsidRDefault="00F90801" w:rsidP="00F90801">
            <w:pPr>
              <w:spacing w:after="0" w:line="240" w:lineRule="auto"/>
              <w:jc w:val="right"/>
              <w:rPr>
                <w:rFonts w:ascii="Arial" w:eastAsia="Times New Roman" w:hAnsi="Arial" w:cs="Arial"/>
                <w:b/>
                <w:bCs/>
                <w:color w:val="000000" w:themeColor="text1"/>
                <w:sz w:val="18"/>
                <w:szCs w:val="18"/>
                <w:lang w:eastAsia="sl-SI"/>
              </w:rPr>
            </w:pPr>
            <w:r w:rsidRPr="00F90801">
              <w:rPr>
                <w:rFonts w:ascii="Arial" w:eastAsia="Times New Roman" w:hAnsi="Arial" w:cs="Arial"/>
                <w:b/>
                <w:bCs/>
                <w:color w:val="000000" w:themeColor="text1"/>
                <w:sz w:val="18"/>
                <w:szCs w:val="18"/>
                <w:lang w:eastAsia="sl-SI"/>
              </w:rPr>
              <w:t>100,00 %</w:t>
            </w:r>
          </w:p>
        </w:tc>
      </w:tr>
    </w:tbl>
    <w:p w14:paraId="153A83A6" w14:textId="77777777" w:rsidR="004A613D" w:rsidRPr="00F90801" w:rsidRDefault="004A613D" w:rsidP="004A613D">
      <w:pPr>
        <w:spacing w:after="0" w:line="240" w:lineRule="auto"/>
        <w:jc w:val="center"/>
        <w:rPr>
          <w:rFonts w:ascii="Arial" w:hAnsi="Arial" w:cs="Arial"/>
          <w:b/>
          <w:bCs/>
          <w:color w:val="000000" w:themeColor="text1"/>
          <w:sz w:val="18"/>
        </w:rPr>
      </w:pPr>
    </w:p>
    <w:p w14:paraId="0DFEF82F" w14:textId="4D66158A" w:rsidR="00EB25C7" w:rsidRPr="00F90801" w:rsidRDefault="00EB25C7" w:rsidP="004A613D">
      <w:pPr>
        <w:spacing w:after="0" w:line="240" w:lineRule="auto"/>
        <w:jc w:val="center"/>
        <w:rPr>
          <w:rFonts w:ascii="Arial" w:hAnsi="Arial" w:cs="Arial"/>
          <w:color w:val="000000" w:themeColor="text1"/>
          <w:sz w:val="18"/>
        </w:rPr>
      </w:pPr>
      <w:r w:rsidRPr="00F90801">
        <w:rPr>
          <w:rFonts w:ascii="Arial" w:hAnsi="Arial" w:cs="Arial"/>
          <w:color w:val="000000" w:themeColor="text1"/>
          <w:sz w:val="18"/>
        </w:rPr>
        <w:t>Vir: Statistični podatki o javni</w:t>
      </w:r>
      <w:r w:rsidR="0034502A" w:rsidRPr="00F90801">
        <w:rPr>
          <w:rFonts w:ascii="Arial" w:hAnsi="Arial" w:cs="Arial"/>
          <w:color w:val="000000" w:themeColor="text1"/>
          <w:sz w:val="18"/>
        </w:rPr>
        <w:t>h naročilih, oddanih v letu 20</w:t>
      </w:r>
      <w:r w:rsidR="00FA5A96" w:rsidRPr="00F90801">
        <w:rPr>
          <w:rFonts w:ascii="Arial" w:hAnsi="Arial" w:cs="Arial"/>
          <w:color w:val="000000" w:themeColor="text1"/>
          <w:sz w:val="18"/>
        </w:rPr>
        <w:t>2</w:t>
      </w:r>
      <w:r w:rsidR="00001BEA" w:rsidRPr="00F90801">
        <w:rPr>
          <w:rFonts w:ascii="Arial" w:hAnsi="Arial" w:cs="Arial"/>
          <w:color w:val="000000" w:themeColor="text1"/>
          <w:sz w:val="18"/>
        </w:rPr>
        <w:t>3</w:t>
      </w:r>
      <w:r w:rsidR="00630FBA" w:rsidRPr="00F90801">
        <w:rPr>
          <w:rFonts w:ascii="Arial" w:hAnsi="Arial" w:cs="Arial"/>
          <w:color w:val="000000" w:themeColor="text1"/>
          <w:sz w:val="18"/>
        </w:rPr>
        <w:t>.</w:t>
      </w:r>
    </w:p>
    <w:p w14:paraId="20889F7E" w14:textId="77777777" w:rsidR="007B14D2" w:rsidRPr="00637ACF" w:rsidRDefault="007B14D2" w:rsidP="00EB25C7">
      <w:pPr>
        <w:pStyle w:val="Standard"/>
        <w:spacing w:line="360" w:lineRule="auto"/>
        <w:rPr>
          <w:rFonts w:cs="Arial"/>
          <w:color w:val="FF0000"/>
          <w:sz w:val="20"/>
          <w:szCs w:val="20"/>
          <w:highlight w:val="yellow"/>
        </w:rPr>
      </w:pPr>
    </w:p>
    <w:p w14:paraId="0C0B24F1" w14:textId="1982D4BC" w:rsidR="00F53FB7" w:rsidRPr="008B13E7" w:rsidRDefault="00F53FB7" w:rsidP="00EB25C7">
      <w:pPr>
        <w:pStyle w:val="Standard"/>
        <w:spacing w:line="360" w:lineRule="auto"/>
        <w:rPr>
          <w:rFonts w:cs="Arial"/>
          <w:color w:val="000000" w:themeColor="text1"/>
          <w:sz w:val="20"/>
          <w:szCs w:val="20"/>
        </w:rPr>
      </w:pPr>
      <w:r w:rsidRPr="008B13E7">
        <w:rPr>
          <w:rFonts w:cs="Arial"/>
          <w:color w:val="000000" w:themeColor="text1"/>
          <w:sz w:val="20"/>
          <w:szCs w:val="20"/>
        </w:rPr>
        <w:t xml:space="preserve">Naročniki so elektronsko dražbo uporabili v </w:t>
      </w:r>
      <w:r w:rsidR="001A6B97" w:rsidRPr="008B13E7">
        <w:rPr>
          <w:rFonts w:cs="Arial"/>
          <w:color w:val="000000" w:themeColor="text1"/>
          <w:sz w:val="20"/>
          <w:szCs w:val="20"/>
        </w:rPr>
        <w:t>desetih</w:t>
      </w:r>
      <w:r w:rsidR="00FA5A96" w:rsidRPr="008B13E7">
        <w:rPr>
          <w:rFonts w:cs="Arial"/>
          <w:color w:val="000000" w:themeColor="text1"/>
          <w:sz w:val="20"/>
          <w:szCs w:val="20"/>
        </w:rPr>
        <w:t xml:space="preserve"> o</w:t>
      </w:r>
      <w:r w:rsidRPr="008B13E7">
        <w:rPr>
          <w:rFonts w:cs="Arial"/>
          <w:color w:val="000000" w:themeColor="text1"/>
          <w:sz w:val="20"/>
          <w:szCs w:val="20"/>
        </w:rPr>
        <w:t>dprtih postopki</w:t>
      </w:r>
      <w:r w:rsidR="00001BEA" w:rsidRPr="008B13E7">
        <w:rPr>
          <w:rFonts w:cs="Arial"/>
          <w:color w:val="000000" w:themeColor="text1"/>
          <w:sz w:val="20"/>
          <w:szCs w:val="20"/>
        </w:rPr>
        <w:t xml:space="preserve">h, petnajstih omejenih postopkih, osmih postopkih naročil male vrednosti in treh postopkih s pogajanji brez predhodne objave. </w:t>
      </w:r>
    </w:p>
    <w:p w14:paraId="7FEA0227" w14:textId="4DA74807" w:rsidR="00EB25C7" w:rsidRPr="008B13E7" w:rsidRDefault="00EB25C7" w:rsidP="008A61FD">
      <w:pPr>
        <w:spacing w:before="120" w:after="120" w:line="240" w:lineRule="auto"/>
        <w:jc w:val="both"/>
        <w:rPr>
          <w:rFonts w:ascii="Arial" w:hAnsi="Arial" w:cs="Arial"/>
          <w:color w:val="000000" w:themeColor="text1"/>
          <w:sz w:val="20"/>
        </w:rPr>
      </w:pPr>
      <w:r w:rsidRPr="008B13E7">
        <w:rPr>
          <w:rFonts w:ascii="Arial" w:hAnsi="Arial" w:cs="Arial"/>
          <w:color w:val="000000" w:themeColor="text1"/>
          <w:sz w:val="20"/>
        </w:rPr>
        <w:t xml:space="preserve">Preglednica </w:t>
      </w:r>
      <w:r w:rsidR="00512F52" w:rsidRPr="008B13E7">
        <w:rPr>
          <w:rFonts w:ascii="Arial" w:hAnsi="Arial" w:cs="Arial"/>
          <w:color w:val="000000" w:themeColor="text1"/>
          <w:sz w:val="20"/>
        </w:rPr>
        <w:t>17</w:t>
      </w:r>
      <w:r w:rsidRPr="008B13E7">
        <w:rPr>
          <w:rFonts w:ascii="Arial" w:hAnsi="Arial" w:cs="Arial"/>
          <w:color w:val="000000" w:themeColor="text1"/>
          <w:sz w:val="20"/>
        </w:rPr>
        <w:t>: Javna naročila</w:t>
      </w:r>
      <w:r w:rsidR="00753CA0" w:rsidRPr="008B13E7">
        <w:rPr>
          <w:rFonts w:ascii="Arial" w:hAnsi="Arial" w:cs="Arial"/>
          <w:color w:val="000000" w:themeColor="text1"/>
          <w:sz w:val="20"/>
        </w:rPr>
        <w:t>,</w:t>
      </w:r>
      <w:r w:rsidRPr="008B13E7">
        <w:rPr>
          <w:rFonts w:ascii="Arial" w:hAnsi="Arial" w:cs="Arial"/>
          <w:color w:val="000000" w:themeColor="text1"/>
          <w:sz w:val="20"/>
        </w:rPr>
        <w:t xml:space="preserve"> v katerih je bila uporabljena elektronska dražba</w:t>
      </w:r>
      <w:r w:rsidR="00753CA0" w:rsidRPr="008B13E7">
        <w:rPr>
          <w:rFonts w:ascii="Arial" w:hAnsi="Arial" w:cs="Arial"/>
          <w:color w:val="000000" w:themeColor="text1"/>
          <w:sz w:val="20"/>
        </w:rPr>
        <w:t>,</w:t>
      </w:r>
      <w:r w:rsidRPr="008B13E7">
        <w:rPr>
          <w:rFonts w:ascii="Arial" w:hAnsi="Arial" w:cs="Arial"/>
          <w:color w:val="000000" w:themeColor="text1"/>
          <w:sz w:val="20"/>
        </w:rPr>
        <w:t xml:space="preserve"> glede na vrsto postopka</w:t>
      </w:r>
    </w:p>
    <w:tbl>
      <w:tblPr>
        <w:tblW w:w="5000" w:type="pct"/>
        <w:jc w:val="center"/>
        <w:tblCellMar>
          <w:left w:w="70" w:type="dxa"/>
          <w:right w:w="70" w:type="dxa"/>
        </w:tblCellMar>
        <w:tblLook w:val="04A0" w:firstRow="1" w:lastRow="0" w:firstColumn="1" w:lastColumn="0" w:noHBand="0" w:noVBand="1"/>
      </w:tblPr>
      <w:tblGrid>
        <w:gridCol w:w="4001"/>
        <w:gridCol w:w="1271"/>
        <w:gridCol w:w="1646"/>
        <w:gridCol w:w="1128"/>
        <w:gridCol w:w="1128"/>
      </w:tblGrid>
      <w:tr w:rsidR="007364D8" w:rsidRPr="008B13E7" w14:paraId="5637E720" w14:textId="77777777" w:rsidTr="00001BEA">
        <w:trPr>
          <w:trHeight w:val="255"/>
          <w:jc w:val="center"/>
        </w:trPr>
        <w:tc>
          <w:tcPr>
            <w:tcW w:w="21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51931" w14:textId="77777777" w:rsidR="00FA5A96" w:rsidRPr="008B13E7" w:rsidRDefault="00FA5A96" w:rsidP="00FA5A96">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Vrsta postopka</w:t>
            </w:r>
          </w:p>
        </w:tc>
        <w:tc>
          <w:tcPr>
            <w:tcW w:w="6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39455C6" w14:textId="77777777" w:rsidR="00FA5A96" w:rsidRPr="008B13E7" w:rsidRDefault="00FA5A96" w:rsidP="00FA5A96">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Št. naročil</w:t>
            </w:r>
          </w:p>
        </w:tc>
        <w:tc>
          <w:tcPr>
            <w:tcW w:w="89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CAB7920" w14:textId="78430BA0" w:rsidR="00FA5A96" w:rsidRPr="008B13E7" w:rsidRDefault="00FA5A96" w:rsidP="00FA5A96">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Pogodbena vrednost</w:t>
            </w:r>
            <w:r w:rsidR="00F36C50" w:rsidRPr="008B13E7">
              <w:rPr>
                <w:rFonts w:ascii="Arial" w:eastAsia="Times New Roman" w:hAnsi="Arial" w:cs="Arial"/>
                <w:color w:val="000000" w:themeColor="text1"/>
                <w:sz w:val="18"/>
                <w:szCs w:val="18"/>
                <w:lang w:eastAsia="sl-SI"/>
              </w:rPr>
              <w:t xml:space="preserve"> (v EUR)</w:t>
            </w:r>
          </w:p>
        </w:tc>
        <w:tc>
          <w:tcPr>
            <w:tcW w:w="6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52A58D" w14:textId="77777777" w:rsidR="00FA5A96" w:rsidRPr="008B13E7" w:rsidRDefault="00FA5A96" w:rsidP="00FA5A96">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Delež v št. naročil</w:t>
            </w:r>
          </w:p>
        </w:tc>
        <w:tc>
          <w:tcPr>
            <w:tcW w:w="61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2A605C4" w14:textId="77777777" w:rsidR="00FA5A96" w:rsidRPr="008B13E7" w:rsidRDefault="00FA5A96" w:rsidP="00FA5A96">
            <w:pPr>
              <w:spacing w:after="0" w:line="240" w:lineRule="auto"/>
              <w:jc w:val="center"/>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Delež v vrednosti</w:t>
            </w:r>
          </w:p>
        </w:tc>
      </w:tr>
      <w:tr w:rsidR="007364D8" w:rsidRPr="008B13E7" w14:paraId="2CBF89B6" w14:textId="77777777" w:rsidTr="00001BEA">
        <w:trPr>
          <w:trHeight w:val="255"/>
          <w:jc w:val="center"/>
        </w:trPr>
        <w:tc>
          <w:tcPr>
            <w:tcW w:w="2179" w:type="pct"/>
            <w:tcBorders>
              <w:top w:val="nil"/>
              <w:left w:val="single" w:sz="4" w:space="0" w:color="auto"/>
              <w:bottom w:val="single" w:sz="4" w:space="0" w:color="auto"/>
              <w:right w:val="single" w:sz="4" w:space="0" w:color="auto"/>
            </w:tcBorders>
            <w:shd w:val="clear" w:color="auto" w:fill="auto"/>
            <w:vAlign w:val="center"/>
            <w:hideMark/>
          </w:tcPr>
          <w:p w14:paraId="5D999F24" w14:textId="1ED17B0D" w:rsidR="00001BEA" w:rsidRPr="008B13E7" w:rsidRDefault="00001BEA" w:rsidP="00001BEA">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Odprti postopek</w:t>
            </w:r>
          </w:p>
        </w:tc>
        <w:tc>
          <w:tcPr>
            <w:tcW w:w="692" w:type="pct"/>
            <w:tcBorders>
              <w:top w:val="nil"/>
              <w:left w:val="nil"/>
              <w:bottom w:val="single" w:sz="4" w:space="0" w:color="auto"/>
              <w:right w:val="single" w:sz="4" w:space="0" w:color="auto"/>
            </w:tcBorders>
            <w:shd w:val="clear" w:color="auto" w:fill="auto"/>
            <w:vAlign w:val="center"/>
            <w:hideMark/>
          </w:tcPr>
          <w:p w14:paraId="697B0F8D" w14:textId="197C5DFC"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39</w:t>
            </w:r>
          </w:p>
        </w:tc>
        <w:tc>
          <w:tcPr>
            <w:tcW w:w="897" w:type="pct"/>
            <w:tcBorders>
              <w:top w:val="nil"/>
              <w:left w:val="nil"/>
              <w:bottom w:val="single" w:sz="4" w:space="0" w:color="auto"/>
              <w:right w:val="single" w:sz="4" w:space="0" w:color="auto"/>
            </w:tcBorders>
            <w:shd w:val="clear" w:color="auto" w:fill="auto"/>
            <w:vAlign w:val="center"/>
            <w:hideMark/>
          </w:tcPr>
          <w:p w14:paraId="31108E82" w14:textId="34548A12"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18.179.183</w:t>
            </w:r>
          </w:p>
        </w:tc>
        <w:tc>
          <w:tcPr>
            <w:tcW w:w="615" w:type="pct"/>
            <w:tcBorders>
              <w:top w:val="nil"/>
              <w:left w:val="nil"/>
              <w:bottom w:val="single" w:sz="4" w:space="0" w:color="auto"/>
              <w:right w:val="single" w:sz="4" w:space="0" w:color="auto"/>
            </w:tcBorders>
            <w:shd w:val="clear" w:color="auto" w:fill="auto"/>
            <w:noWrap/>
            <w:vAlign w:val="center"/>
            <w:hideMark/>
          </w:tcPr>
          <w:p w14:paraId="6337D57C" w14:textId="5ED4B750"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51,32 %</w:t>
            </w:r>
          </w:p>
        </w:tc>
        <w:tc>
          <w:tcPr>
            <w:tcW w:w="615" w:type="pct"/>
            <w:tcBorders>
              <w:top w:val="nil"/>
              <w:left w:val="nil"/>
              <w:bottom w:val="single" w:sz="4" w:space="0" w:color="auto"/>
              <w:right w:val="single" w:sz="4" w:space="0" w:color="auto"/>
            </w:tcBorders>
            <w:shd w:val="clear" w:color="auto" w:fill="auto"/>
            <w:noWrap/>
            <w:vAlign w:val="center"/>
            <w:hideMark/>
          </w:tcPr>
          <w:p w14:paraId="7005E217" w14:textId="2FCF51C9"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80,25 %</w:t>
            </w:r>
          </w:p>
        </w:tc>
      </w:tr>
      <w:tr w:rsidR="007364D8" w:rsidRPr="008B13E7" w14:paraId="2A58AF40" w14:textId="77777777" w:rsidTr="00001BEA">
        <w:trPr>
          <w:trHeight w:val="255"/>
          <w:jc w:val="center"/>
        </w:trPr>
        <w:tc>
          <w:tcPr>
            <w:tcW w:w="2179" w:type="pct"/>
            <w:tcBorders>
              <w:top w:val="nil"/>
              <w:left w:val="single" w:sz="4" w:space="0" w:color="auto"/>
              <w:bottom w:val="single" w:sz="4" w:space="0" w:color="auto"/>
              <w:right w:val="single" w:sz="4" w:space="0" w:color="auto"/>
            </w:tcBorders>
            <w:shd w:val="clear" w:color="auto" w:fill="auto"/>
            <w:vAlign w:val="center"/>
            <w:hideMark/>
          </w:tcPr>
          <w:p w14:paraId="4B12E09C" w14:textId="3BF17016" w:rsidR="00001BEA" w:rsidRPr="008B13E7" w:rsidRDefault="00001BEA" w:rsidP="00001BEA">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Omejeni postopek</w:t>
            </w:r>
          </w:p>
        </w:tc>
        <w:tc>
          <w:tcPr>
            <w:tcW w:w="692" w:type="pct"/>
            <w:tcBorders>
              <w:top w:val="nil"/>
              <w:left w:val="nil"/>
              <w:bottom w:val="single" w:sz="4" w:space="0" w:color="auto"/>
              <w:right w:val="single" w:sz="4" w:space="0" w:color="auto"/>
            </w:tcBorders>
            <w:shd w:val="clear" w:color="auto" w:fill="auto"/>
            <w:vAlign w:val="center"/>
            <w:hideMark/>
          </w:tcPr>
          <w:p w14:paraId="2E3FA42E" w14:textId="372A66C1"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25</w:t>
            </w:r>
          </w:p>
        </w:tc>
        <w:tc>
          <w:tcPr>
            <w:tcW w:w="897" w:type="pct"/>
            <w:tcBorders>
              <w:top w:val="nil"/>
              <w:left w:val="nil"/>
              <w:bottom w:val="single" w:sz="4" w:space="0" w:color="auto"/>
              <w:right w:val="single" w:sz="4" w:space="0" w:color="auto"/>
            </w:tcBorders>
            <w:shd w:val="clear" w:color="auto" w:fill="auto"/>
            <w:vAlign w:val="center"/>
            <w:hideMark/>
          </w:tcPr>
          <w:p w14:paraId="5A8A3494" w14:textId="60B051CA"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3.288.553</w:t>
            </w:r>
          </w:p>
        </w:tc>
        <w:tc>
          <w:tcPr>
            <w:tcW w:w="615" w:type="pct"/>
            <w:tcBorders>
              <w:top w:val="nil"/>
              <w:left w:val="nil"/>
              <w:bottom w:val="single" w:sz="4" w:space="0" w:color="auto"/>
              <w:right w:val="single" w:sz="4" w:space="0" w:color="auto"/>
            </w:tcBorders>
            <w:shd w:val="clear" w:color="auto" w:fill="auto"/>
            <w:noWrap/>
            <w:vAlign w:val="center"/>
            <w:hideMark/>
          </w:tcPr>
          <w:p w14:paraId="030FF0A1" w14:textId="5EE9003A"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32,89 %</w:t>
            </w:r>
          </w:p>
        </w:tc>
        <w:tc>
          <w:tcPr>
            <w:tcW w:w="615" w:type="pct"/>
            <w:tcBorders>
              <w:top w:val="nil"/>
              <w:left w:val="nil"/>
              <w:bottom w:val="single" w:sz="4" w:space="0" w:color="auto"/>
              <w:right w:val="single" w:sz="4" w:space="0" w:color="auto"/>
            </w:tcBorders>
            <w:shd w:val="clear" w:color="auto" w:fill="auto"/>
            <w:noWrap/>
            <w:vAlign w:val="center"/>
            <w:hideMark/>
          </w:tcPr>
          <w:p w14:paraId="158F0252" w14:textId="2FDCEDE5"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14,52 %</w:t>
            </w:r>
          </w:p>
        </w:tc>
      </w:tr>
      <w:tr w:rsidR="007364D8" w:rsidRPr="008B13E7" w14:paraId="65DF565C" w14:textId="77777777" w:rsidTr="00001BEA">
        <w:trPr>
          <w:trHeight w:val="255"/>
          <w:jc w:val="center"/>
        </w:trPr>
        <w:tc>
          <w:tcPr>
            <w:tcW w:w="2179" w:type="pct"/>
            <w:tcBorders>
              <w:top w:val="nil"/>
              <w:left w:val="single" w:sz="4" w:space="0" w:color="auto"/>
              <w:bottom w:val="single" w:sz="4" w:space="0" w:color="auto"/>
              <w:right w:val="single" w:sz="4" w:space="0" w:color="auto"/>
            </w:tcBorders>
            <w:shd w:val="clear" w:color="auto" w:fill="auto"/>
            <w:vAlign w:val="center"/>
          </w:tcPr>
          <w:p w14:paraId="398AAB74" w14:textId="4CE81227" w:rsidR="00001BEA" w:rsidRPr="008B13E7" w:rsidRDefault="00001BEA" w:rsidP="00001BEA">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Postopek naročila male vrednosti</w:t>
            </w:r>
          </w:p>
        </w:tc>
        <w:tc>
          <w:tcPr>
            <w:tcW w:w="692" w:type="pct"/>
            <w:tcBorders>
              <w:top w:val="nil"/>
              <w:left w:val="nil"/>
              <w:bottom w:val="single" w:sz="4" w:space="0" w:color="auto"/>
              <w:right w:val="single" w:sz="4" w:space="0" w:color="auto"/>
            </w:tcBorders>
            <w:shd w:val="clear" w:color="auto" w:fill="auto"/>
            <w:vAlign w:val="center"/>
          </w:tcPr>
          <w:p w14:paraId="17E066E5" w14:textId="31B7E219"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w:t>
            </w:r>
          </w:p>
        </w:tc>
        <w:tc>
          <w:tcPr>
            <w:tcW w:w="897" w:type="pct"/>
            <w:tcBorders>
              <w:top w:val="nil"/>
              <w:left w:val="nil"/>
              <w:bottom w:val="single" w:sz="4" w:space="0" w:color="auto"/>
              <w:right w:val="single" w:sz="4" w:space="0" w:color="auto"/>
            </w:tcBorders>
            <w:shd w:val="clear" w:color="auto" w:fill="auto"/>
            <w:vAlign w:val="center"/>
          </w:tcPr>
          <w:p w14:paraId="16D82C4C" w14:textId="7669B265"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849.022</w:t>
            </w:r>
          </w:p>
        </w:tc>
        <w:tc>
          <w:tcPr>
            <w:tcW w:w="615" w:type="pct"/>
            <w:tcBorders>
              <w:top w:val="nil"/>
              <w:left w:val="nil"/>
              <w:bottom w:val="single" w:sz="4" w:space="0" w:color="auto"/>
              <w:right w:val="single" w:sz="4" w:space="0" w:color="auto"/>
            </w:tcBorders>
            <w:shd w:val="clear" w:color="auto" w:fill="auto"/>
            <w:noWrap/>
            <w:vAlign w:val="center"/>
          </w:tcPr>
          <w:p w14:paraId="7E280F8F" w14:textId="7A3EC3E6"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10,53 %</w:t>
            </w:r>
          </w:p>
        </w:tc>
        <w:tc>
          <w:tcPr>
            <w:tcW w:w="615" w:type="pct"/>
            <w:tcBorders>
              <w:top w:val="nil"/>
              <w:left w:val="nil"/>
              <w:bottom w:val="single" w:sz="4" w:space="0" w:color="auto"/>
              <w:right w:val="single" w:sz="4" w:space="0" w:color="auto"/>
            </w:tcBorders>
            <w:shd w:val="clear" w:color="auto" w:fill="auto"/>
            <w:noWrap/>
            <w:vAlign w:val="center"/>
          </w:tcPr>
          <w:p w14:paraId="61E9EABE" w14:textId="552ADBFB"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3,75 %</w:t>
            </w:r>
          </w:p>
        </w:tc>
      </w:tr>
      <w:tr w:rsidR="007364D8" w:rsidRPr="008B13E7" w14:paraId="38868E73" w14:textId="77777777" w:rsidTr="00001BEA">
        <w:trPr>
          <w:trHeight w:val="255"/>
          <w:jc w:val="center"/>
        </w:trPr>
        <w:tc>
          <w:tcPr>
            <w:tcW w:w="2179" w:type="pct"/>
            <w:tcBorders>
              <w:top w:val="nil"/>
              <w:left w:val="single" w:sz="4" w:space="0" w:color="auto"/>
              <w:bottom w:val="single" w:sz="4" w:space="0" w:color="auto"/>
              <w:right w:val="single" w:sz="4" w:space="0" w:color="auto"/>
            </w:tcBorders>
            <w:shd w:val="clear" w:color="auto" w:fill="auto"/>
            <w:vAlign w:val="center"/>
          </w:tcPr>
          <w:p w14:paraId="6405E511" w14:textId="363EF8C0" w:rsidR="00001BEA" w:rsidRPr="008B13E7" w:rsidRDefault="00001BEA" w:rsidP="00001BEA">
            <w:pPr>
              <w:spacing w:after="0" w:line="240" w:lineRule="auto"/>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Postopek s pogajanji brez predhodne objave</w:t>
            </w:r>
          </w:p>
        </w:tc>
        <w:tc>
          <w:tcPr>
            <w:tcW w:w="692" w:type="pct"/>
            <w:tcBorders>
              <w:top w:val="nil"/>
              <w:left w:val="nil"/>
              <w:bottom w:val="single" w:sz="4" w:space="0" w:color="auto"/>
              <w:right w:val="single" w:sz="4" w:space="0" w:color="auto"/>
            </w:tcBorders>
            <w:shd w:val="clear" w:color="auto" w:fill="auto"/>
            <w:vAlign w:val="center"/>
          </w:tcPr>
          <w:p w14:paraId="513198BD" w14:textId="69EAA4F6"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4</w:t>
            </w:r>
          </w:p>
        </w:tc>
        <w:tc>
          <w:tcPr>
            <w:tcW w:w="897" w:type="pct"/>
            <w:tcBorders>
              <w:top w:val="nil"/>
              <w:left w:val="nil"/>
              <w:bottom w:val="single" w:sz="4" w:space="0" w:color="auto"/>
              <w:right w:val="single" w:sz="4" w:space="0" w:color="auto"/>
            </w:tcBorders>
            <w:shd w:val="clear" w:color="auto" w:fill="auto"/>
            <w:vAlign w:val="center"/>
          </w:tcPr>
          <w:p w14:paraId="76BD6326" w14:textId="69C773F7"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335.861</w:t>
            </w:r>
          </w:p>
        </w:tc>
        <w:tc>
          <w:tcPr>
            <w:tcW w:w="615" w:type="pct"/>
            <w:tcBorders>
              <w:top w:val="nil"/>
              <w:left w:val="nil"/>
              <w:bottom w:val="single" w:sz="4" w:space="0" w:color="auto"/>
              <w:right w:val="single" w:sz="4" w:space="0" w:color="auto"/>
            </w:tcBorders>
            <w:shd w:val="clear" w:color="auto" w:fill="auto"/>
            <w:noWrap/>
            <w:vAlign w:val="center"/>
          </w:tcPr>
          <w:p w14:paraId="5A919680" w14:textId="5FEF1688"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5,26 %</w:t>
            </w:r>
          </w:p>
        </w:tc>
        <w:tc>
          <w:tcPr>
            <w:tcW w:w="615" w:type="pct"/>
            <w:tcBorders>
              <w:top w:val="nil"/>
              <w:left w:val="nil"/>
              <w:bottom w:val="single" w:sz="4" w:space="0" w:color="auto"/>
              <w:right w:val="single" w:sz="4" w:space="0" w:color="auto"/>
            </w:tcBorders>
            <w:shd w:val="clear" w:color="auto" w:fill="auto"/>
            <w:noWrap/>
            <w:vAlign w:val="center"/>
          </w:tcPr>
          <w:p w14:paraId="1E478358" w14:textId="29BD9F90" w:rsidR="00001BEA" w:rsidRPr="008B13E7" w:rsidRDefault="00001BEA" w:rsidP="00001BEA">
            <w:pPr>
              <w:spacing w:after="0" w:line="240" w:lineRule="auto"/>
              <w:jc w:val="right"/>
              <w:rPr>
                <w:rFonts w:ascii="Arial" w:eastAsia="Times New Roman" w:hAnsi="Arial" w:cs="Arial"/>
                <w:color w:val="000000" w:themeColor="text1"/>
                <w:sz w:val="18"/>
                <w:szCs w:val="18"/>
                <w:lang w:eastAsia="sl-SI"/>
              </w:rPr>
            </w:pPr>
            <w:r w:rsidRPr="008B13E7">
              <w:rPr>
                <w:rFonts w:ascii="Arial" w:eastAsia="Times New Roman" w:hAnsi="Arial" w:cs="Arial"/>
                <w:color w:val="000000" w:themeColor="text1"/>
                <w:sz w:val="18"/>
                <w:szCs w:val="18"/>
                <w:lang w:eastAsia="sl-SI"/>
              </w:rPr>
              <w:t>1,48 %</w:t>
            </w:r>
          </w:p>
        </w:tc>
      </w:tr>
      <w:tr w:rsidR="007364D8" w:rsidRPr="008B13E7" w14:paraId="2AAE19CA" w14:textId="77777777" w:rsidTr="00001BEA">
        <w:trPr>
          <w:trHeight w:val="255"/>
          <w:jc w:val="center"/>
        </w:trPr>
        <w:tc>
          <w:tcPr>
            <w:tcW w:w="217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480238" w14:textId="4343197D" w:rsidR="00001BEA" w:rsidRPr="008B13E7" w:rsidRDefault="00001BEA" w:rsidP="00001BEA">
            <w:pPr>
              <w:spacing w:after="0" w:line="240" w:lineRule="auto"/>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Skupaj</w:t>
            </w:r>
          </w:p>
        </w:tc>
        <w:tc>
          <w:tcPr>
            <w:tcW w:w="692" w:type="pct"/>
            <w:tcBorders>
              <w:top w:val="nil"/>
              <w:left w:val="nil"/>
              <w:bottom w:val="single" w:sz="4" w:space="0" w:color="auto"/>
              <w:right w:val="single" w:sz="4" w:space="0" w:color="auto"/>
            </w:tcBorders>
            <w:shd w:val="clear" w:color="auto" w:fill="F2F2F2" w:themeFill="background1" w:themeFillShade="F2"/>
            <w:vAlign w:val="center"/>
            <w:hideMark/>
          </w:tcPr>
          <w:p w14:paraId="1089DB44" w14:textId="3A34B0B4" w:rsidR="00001BEA" w:rsidRPr="008B13E7" w:rsidRDefault="00001BEA" w:rsidP="00001BEA">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76</w:t>
            </w:r>
          </w:p>
        </w:tc>
        <w:tc>
          <w:tcPr>
            <w:tcW w:w="897" w:type="pct"/>
            <w:tcBorders>
              <w:top w:val="nil"/>
              <w:left w:val="nil"/>
              <w:bottom w:val="single" w:sz="4" w:space="0" w:color="auto"/>
              <w:right w:val="single" w:sz="4" w:space="0" w:color="auto"/>
            </w:tcBorders>
            <w:shd w:val="clear" w:color="auto" w:fill="F2F2F2" w:themeFill="background1" w:themeFillShade="F2"/>
            <w:vAlign w:val="center"/>
            <w:hideMark/>
          </w:tcPr>
          <w:p w14:paraId="13AD66AB" w14:textId="49BF008F" w:rsidR="00001BEA" w:rsidRPr="008B13E7" w:rsidRDefault="00001BEA" w:rsidP="00001BEA">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22.652.619</w:t>
            </w:r>
          </w:p>
        </w:tc>
        <w:tc>
          <w:tcPr>
            <w:tcW w:w="615" w:type="pct"/>
            <w:tcBorders>
              <w:top w:val="nil"/>
              <w:left w:val="nil"/>
              <w:bottom w:val="single" w:sz="4" w:space="0" w:color="auto"/>
              <w:right w:val="single" w:sz="4" w:space="0" w:color="auto"/>
            </w:tcBorders>
            <w:shd w:val="clear" w:color="auto" w:fill="F2F2F2" w:themeFill="background1" w:themeFillShade="F2"/>
            <w:noWrap/>
            <w:vAlign w:val="center"/>
            <w:hideMark/>
          </w:tcPr>
          <w:p w14:paraId="7E4872FA" w14:textId="752B197F" w:rsidR="00001BEA" w:rsidRPr="008B13E7" w:rsidRDefault="00001BEA" w:rsidP="00001BEA">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100,00 %</w:t>
            </w:r>
          </w:p>
        </w:tc>
        <w:tc>
          <w:tcPr>
            <w:tcW w:w="615" w:type="pct"/>
            <w:tcBorders>
              <w:top w:val="nil"/>
              <w:left w:val="nil"/>
              <w:bottom w:val="single" w:sz="4" w:space="0" w:color="auto"/>
              <w:right w:val="single" w:sz="4" w:space="0" w:color="auto"/>
            </w:tcBorders>
            <w:shd w:val="clear" w:color="auto" w:fill="F2F2F2" w:themeFill="background1" w:themeFillShade="F2"/>
            <w:noWrap/>
            <w:vAlign w:val="center"/>
            <w:hideMark/>
          </w:tcPr>
          <w:p w14:paraId="3C6FDE40" w14:textId="2CF0B319" w:rsidR="00001BEA" w:rsidRPr="008B13E7" w:rsidRDefault="00001BEA" w:rsidP="00001BEA">
            <w:pPr>
              <w:spacing w:after="0" w:line="240" w:lineRule="auto"/>
              <w:jc w:val="right"/>
              <w:rPr>
                <w:rFonts w:ascii="Arial" w:eastAsia="Times New Roman" w:hAnsi="Arial" w:cs="Arial"/>
                <w:b/>
                <w:bCs/>
                <w:color w:val="000000" w:themeColor="text1"/>
                <w:sz w:val="18"/>
                <w:szCs w:val="18"/>
                <w:lang w:eastAsia="sl-SI"/>
              </w:rPr>
            </w:pPr>
            <w:r w:rsidRPr="008B13E7">
              <w:rPr>
                <w:rFonts w:ascii="Arial" w:eastAsia="Times New Roman" w:hAnsi="Arial" w:cs="Arial"/>
                <w:b/>
                <w:bCs/>
                <w:color w:val="000000" w:themeColor="text1"/>
                <w:sz w:val="18"/>
                <w:szCs w:val="18"/>
                <w:lang w:eastAsia="sl-SI"/>
              </w:rPr>
              <w:t>100,00 %</w:t>
            </w:r>
          </w:p>
        </w:tc>
      </w:tr>
    </w:tbl>
    <w:p w14:paraId="76FAD131" w14:textId="77777777" w:rsidR="00FA5A96" w:rsidRPr="008B13E7" w:rsidRDefault="00FA5A96" w:rsidP="00FA5A96">
      <w:pPr>
        <w:spacing w:after="0" w:line="240" w:lineRule="auto"/>
        <w:rPr>
          <w:rFonts w:ascii="Arial" w:hAnsi="Arial" w:cs="Arial"/>
          <w:b/>
          <w:bCs/>
          <w:color w:val="000000" w:themeColor="text1"/>
          <w:sz w:val="18"/>
        </w:rPr>
      </w:pPr>
    </w:p>
    <w:p w14:paraId="75E4D3BD" w14:textId="6D8F7912" w:rsidR="002149C7" w:rsidRPr="008B13E7" w:rsidRDefault="002149C7" w:rsidP="004A613D">
      <w:pPr>
        <w:spacing w:after="0" w:line="240" w:lineRule="auto"/>
        <w:jc w:val="center"/>
        <w:rPr>
          <w:rFonts w:ascii="Arial" w:hAnsi="Arial" w:cs="Arial"/>
          <w:color w:val="000000" w:themeColor="text1"/>
          <w:sz w:val="18"/>
        </w:rPr>
      </w:pPr>
      <w:r w:rsidRPr="008B13E7">
        <w:rPr>
          <w:rFonts w:ascii="Arial" w:hAnsi="Arial" w:cs="Arial"/>
          <w:color w:val="000000" w:themeColor="text1"/>
          <w:sz w:val="18"/>
        </w:rPr>
        <w:t>Vir: Statistični podatki o javni</w:t>
      </w:r>
      <w:r w:rsidR="00B237C6" w:rsidRPr="008B13E7">
        <w:rPr>
          <w:rFonts w:ascii="Arial" w:hAnsi="Arial" w:cs="Arial"/>
          <w:color w:val="000000" w:themeColor="text1"/>
          <w:sz w:val="18"/>
        </w:rPr>
        <w:t>h naročilih, oddanih v letu 20</w:t>
      </w:r>
      <w:r w:rsidR="00FA5A96" w:rsidRPr="008B13E7">
        <w:rPr>
          <w:rFonts w:ascii="Arial" w:hAnsi="Arial" w:cs="Arial"/>
          <w:color w:val="000000" w:themeColor="text1"/>
          <w:sz w:val="18"/>
        </w:rPr>
        <w:t>2</w:t>
      </w:r>
      <w:r w:rsidR="00001BEA" w:rsidRPr="008B13E7">
        <w:rPr>
          <w:rFonts w:ascii="Arial" w:hAnsi="Arial" w:cs="Arial"/>
          <w:color w:val="000000" w:themeColor="text1"/>
          <w:sz w:val="18"/>
        </w:rPr>
        <w:t>3</w:t>
      </w:r>
      <w:r w:rsidR="00630FBA" w:rsidRPr="008B13E7">
        <w:rPr>
          <w:rFonts w:ascii="Arial" w:hAnsi="Arial" w:cs="Arial"/>
          <w:color w:val="000000" w:themeColor="text1"/>
          <w:sz w:val="18"/>
        </w:rPr>
        <w:t>.</w:t>
      </w:r>
    </w:p>
    <w:p w14:paraId="70F7B71A" w14:textId="77777777" w:rsidR="00270563" w:rsidRPr="00637ACF" w:rsidRDefault="00270563" w:rsidP="004A613D">
      <w:pPr>
        <w:spacing w:after="0" w:line="240" w:lineRule="auto"/>
        <w:jc w:val="center"/>
        <w:rPr>
          <w:rFonts w:ascii="Arial" w:hAnsi="Arial" w:cs="Arial"/>
          <w:color w:val="FF0000"/>
          <w:sz w:val="18"/>
          <w:highlight w:val="yellow"/>
        </w:rPr>
      </w:pPr>
    </w:p>
    <w:p w14:paraId="1A2E6918" w14:textId="37502630" w:rsidR="00796AF7" w:rsidRPr="00E84F87" w:rsidRDefault="00796AF7" w:rsidP="004A613D">
      <w:pPr>
        <w:spacing w:after="0" w:line="240" w:lineRule="auto"/>
        <w:jc w:val="center"/>
        <w:rPr>
          <w:rFonts w:ascii="Arial" w:hAnsi="Arial" w:cs="Arial"/>
          <w:color w:val="FF0000"/>
          <w:sz w:val="18"/>
        </w:rPr>
      </w:pPr>
    </w:p>
    <w:p w14:paraId="0B80F910" w14:textId="713488FD" w:rsidR="008F5893" w:rsidRPr="00E84F87" w:rsidRDefault="008F5893" w:rsidP="00DB4CE0">
      <w:pPr>
        <w:pStyle w:val="Naslov3"/>
      </w:pPr>
      <w:bookmarkStart w:id="26" w:name="_Toc175563859"/>
      <w:r w:rsidRPr="00E84F87">
        <w:t>2.3.7 Skupno javno naročanje</w:t>
      </w:r>
      <w:bookmarkEnd w:id="26"/>
    </w:p>
    <w:p w14:paraId="6DDF9986" w14:textId="77777777" w:rsidR="00B57693" w:rsidRPr="00E84F87" w:rsidRDefault="00B57693" w:rsidP="00854405">
      <w:pPr>
        <w:pStyle w:val="ZADEVA"/>
        <w:jc w:val="both"/>
        <w:rPr>
          <w:rFonts w:cs="Arial"/>
          <w:b w:val="0"/>
          <w:color w:val="FF0000"/>
          <w:szCs w:val="20"/>
          <w:lang w:val="sl-SI"/>
        </w:rPr>
      </w:pPr>
    </w:p>
    <w:p w14:paraId="5EDFF293" w14:textId="1137D756" w:rsidR="008F5893" w:rsidRPr="00637ACF" w:rsidRDefault="009E3010" w:rsidP="003D06E0">
      <w:pPr>
        <w:spacing w:line="360" w:lineRule="auto"/>
        <w:jc w:val="both"/>
        <w:rPr>
          <w:rFonts w:ascii="Arial" w:hAnsi="Arial" w:cs="Arial"/>
          <w:color w:val="000000" w:themeColor="text1"/>
          <w:sz w:val="20"/>
          <w:szCs w:val="20"/>
          <w:highlight w:val="yellow"/>
        </w:rPr>
      </w:pPr>
      <w:r w:rsidRPr="00E84F87">
        <w:rPr>
          <w:rFonts w:ascii="Arial" w:hAnsi="Arial" w:cs="Arial"/>
          <w:color w:val="000000" w:themeColor="text1"/>
          <w:sz w:val="20"/>
          <w:szCs w:val="20"/>
        </w:rPr>
        <w:t xml:space="preserve">Skupno javno naročanje je </w:t>
      </w:r>
      <w:r w:rsidR="00CF3448" w:rsidRPr="00E84F87">
        <w:rPr>
          <w:rFonts w:ascii="Arial" w:hAnsi="Arial" w:cs="Arial"/>
          <w:color w:val="000000" w:themeColor="text1"/>
          <w:sz w:val="20"/>
          <w:szCs w:val="20"/>
        </w:rPr>
        <w:t>tisto</w:t>
      </w:r>
      <w:r w:rsidRPr="00E84F87">
        <w:rPr>
          <w:rFonts w:ascii="Arial" w:hAnsi="Arial" w:cs="Arial"/>
          <w:color w:val="000000" w:themeColor="text1"/>
          <w:sz w:val="20"/>
          <w:szCs w:val="20"/>
        </w:rPr>
        <w:t xml:space="preserve">, v katero se vključi več naročnikov, da zaradi doseganja boljših finančnih </w:t>
      </w:r>
      <w:r w:rsidRPr="00EB3D0F">
        <w:rPr>
          <w:rFonts w:ascii="Arial" w:hAnsi="Arial" w:cs="Arial"/>
          <w:color w:val="000000" w:themeColor="text1"/>
          <w:sz w:val="20"/>
          <w:szCs w:val="20"/>
        </w:rPr>
        <w:t xml:space="preserve">učinkov na podlagi obsega predmeta naročanja in </w:t>
      </w:r>
      <w:r w:rsidR="008E09B2" w:rsidRPr="00EB3D0F">
        <w:rPr>
          <w:rFonts w:ascii="Arial" w:hAnsi="Arial" w:cs="Arial"/>
          <w:color w:val="000000" w:themeColor="text1"/>
          <w:sz w:val="20"/>
          <w:szCs w:val="20"/>
        </w:rPr>
        <w:t xml:space="preserve">manjših </w:t>
      </w:r>
      <w:r w:rsidRPr="00EB3D0F">
        <w:rPr>
          <w:rFonts w:ascii="Arial" w:hAnsi="Arial" w:cs="Arial"/>
          <w:color w:val="000000" w:themeColor="text1"/>
          <w:sz w:val="20"/>
          <w:szCs w:val="20"/>
        </w:rPr>
        <w:t>stroškov vodenja postopka javnega naročanja zagotovijo večjo gospodarnost in učinkovitost rabe javnih sredstev.</w:t>
      </w:r>
      <w:r w:rsidR="0001344D" w:rsidRPr="00EB3D0F">
        <w:rPr>
          <w:rFonts w:ascii="Arial" w:hAnsi="Arial" w:cs="Arial"/>
          <w:color w:val="000000" w:themeColor="text1"/>
          <w:sz w:val="20"/>
          <w:szCs w:val="20"/>
        </w:rPr>
        <w:t xml:space="preserve"> Delež skupnih javnih naročil v številu vseh naročil v letu 20</w:t>
      </w:r>
      <w:r w:rsidR="006F4A4F" w:rsidRPr="00EB3D0F">
        <w:rPr>
          <w:rFonts w:ascii="Arial" w:hAnsi="Arial" w:cs="Arial"/>
          <w:color w:val="000000" w:themeColor="text1"/>
          <w:sz w:val="20"/>
          <w:szCs w:val="20"/>
        </w:rPr>
        <w:t>2</w:t>
      </w:r>
      <w:r w:rsidR="004E3823" w:rsidRPr="00EB3D0F">
        <w:rPr>
          <w:rFonts w:ascii="Arial" w:hAnsi="Arial" w:cs="Arial"/>
          <w:color w:val="000000" w:themeColor="text1"/>
          <w:sz w:val="20"/>
          <w:szCs w:val="20"/>
        </w:rPr>
        <w:t>3</w:t>
      </w:r>
      <w:r w:rsidR="0001344D" w:rsidRPr="00EB3D0F">
        <w:rPr>
          <w:rFonts w:ascii="Arial" w:hAnsi="Arial" w:cs="Arial"/>
          <w:color w:val="000000" w:themeColor="text1"/>
          <w:sz w:val="20"/>
          <w:szCs w:val="20"/>
        </w:rPr>
        <w:t xml:space="preserve"> je </w:t>
      </w:r>
      <w:r w:rsidR="004042C1" w:rsidRPr="00EB3D0F">
        <w:rPr>
          <w:rFonts w:ascii="Arial" w:hAnsi="Arial" w:cs="Arial"/>
          <w:color w:val="000000" w:themeColor="text1"/>
          <w:sz w:val="20"/>
          <w:szCs w:val="20"/>
        </w:rPr>
        <w:t>4,</w:t>
      </w:r>
      <w:r w:rsidR="004E3823" w:rsidRPr="00EB3D0F">
        <w:rPr>
          <w:rFonts w:ascii="Arial" w:hAnsi="Arial" w:cs="Arial"/>
          <w:color w:val="000000" w:themeColor="text1"/>
          <w:sz w:val="20"/>
          <w:szCs w:val="20"/>
        </w:rPr>
        <w:t>5</w:t>
      </w:r>
      <w:r w:rsidR="00EB3D0F" w:rsidRPr="00EB3D0F">
        <w:rPr>
          <w:rFonts w:ascii="Arial" w:hAnsi="Arial" w:cs="Arial"/>
          <w:color w:val="000000" w:themeColor="text1"/>
          <w:sz w:val="20"/>
          <w:szCs w:val="20"/>
        </w:rPr>
        <w:t>2</w:t>
      </w:r>
      <w:r w:rsidR="00630FBA" w:rsidRPr="00EB3D0F">
        <w:rPr>
          <w:rFonts w:ascii="Arial" w:hAnsi="Arial" w:cs="Arial"/>
          <w:color w:val="000000" w:themeColor="text1"/>
          <w:sz w:val="20"/>
          <w:szCs w:val="20"/>
        </w:rPr>
        <w:t> </w:t>
      </w:r>
      <w:r w:rsidR="00AC0027" w:rsidRPr="00EB3D0F">
        <w:rPr>
          <w:rFonts w:ascii="Arial" w:hAnsi="Arial" w:cs="Arial"/>
          <w:color w:val="000000" w:themeColor="text1"/>
          <w:sz w:val="20"/>
          <w:szCs w:val="20"/>
        </w:rPr>
        <w:t>odstotka</w:t>
      </w:r>
      <w:r w:rsidR="0001344D" w:rsidRPr="00EB3D0F">
        <w:rPr>
          <w:rFonts w:ascii="Arial" w:hAnsi="Arial" w:cs="Arial"/>
          <w:color w:val="000000" w:themeColor="text1"/>
          <w:sz w:val="20"/>
          <w:szCs w:val="20"/>
        </w:rPr>
        <w:t xml:space="preserve">, v vrednosti pa </w:t>
      </w:r>
      <w:r w:rsidR="00DB4CE0" w:rsidRPr="00EB3D0F">
        <w:rPr>
          <w:rFonts w:ascii="Arial" w:hAnsi="Arial" w:cs="Arial"/>
          <w:color w:val="000000" w:themeColor="text1"/>
          <w:sz w:val="20"/>
          <w:szCs w:val="20"/>
        </w:rPr>
        <w:t>14,69</w:t>
      </w:r>
      <w:r w:rsidR="00630FBA" w:rsidRPr="00EB3D0F">
        <w:rPr>
          <w:rFonts w:ascii="Arial" w:hAnsi="Arial" w:cs="Arial"/>
          <w:color w:val="000000" w:themeColor="text1"/>
          <w:sz w:val="20"/>
          <w:szCs w:val="20"/>
        </w:rPr>
        <w:t> </w:t>
      </w:r>
      <w:r w:rsidR="00AC0027" w:rsidRPr="00EB3D0F">
        <w:rPr>
          <w:rFonts w:ascii="Arial" w:hAnsi="Arial" w:cs="Arial"/>
          <w:color w:val="000000" w:themeColor="text1"/>
          <w:sz w:val="20"/>
          <w:szCs w:val="20"/>
        </w:rPr>
        <w:t>odstotka</w:t>
      </w:r>
      <w:r w:rsidR="0001344D" w:rsidRPr="00EB3D0F">
        <w:rPr>
          <w:rFonts w:ascii="Arial" w:hAnsi="Arial" w:cs="Arial"/>
          <w:color w:val="000000" w:themeColor="text1"/>
          <w:sz w:val="20"/>
          <w:szCs w:val="20"/>
        </w:rPr>
        <w:t>.</w:t>
      </w:r>
    </w:p>
    <w:p w14:paraId="6FAE21D0" w14:textId="631D5945" w:rsidR="00C22535" w:rsidRPr="00EB3D0F" w:rsidRDefault="008E09B2" w:rsidP="00D713C1">
      <w:pPr>
        <w:spacing w:line="360" w:lineRule="auto"/>
        <w:jc w:val="both"/>
        <w:rPr>
          <w:rFonts w:ascii="Arial" w:eastAsia="Times New Roman" w:hAnsi="Arial" w:cs="Arial"/>
          <w:color w:val="FF0000"/>
          <w:sz w:val="20"/>
          <w:szCs w:val="20"/>
          <w:lang w:eastAsia="sl-SI"/>
        </w:rPr>
      </w:pPr>
      <w:r w:rsidRPr="00EB3D0F">
        <w:rPr>
          <w:rFonts w:ascii="Arial" w:hAnsi="Arial" w:cs="Arial"/>
          <w:color w:val="000000" w:themeColor="text1"/>
          <w:sz w:val="20"/>
          <w:szCs w:val="20"/>
        </w:rPr>
        <w:t>Leta</w:t>
      </w:r>
      <w:r w:rsidR="009E3010" w:rsidRPr="00EB3D0F">
        <w:rPr>
          <w:rFonts w:ascii="Arial" w:hAnsi="Arial" w:cs="Arial"/>
          <w:color w:val="000000" w:themeColor="text1"/>
          <w:sz w:val="20"/>
          <w:szCs w:val="20"/>
        </w:rPr>
        <w:t xml:space="preserve"> 20</w:t>
      </w:r>
      <w:r w:rsidR="006F4A4F" w:rsidRPr="00EB3D0F">
        <w:rPr>
          <w:rFonts w:ascii="Arial" w:hAnsi="Arial" w:cs="Arial"/>
          <w:color w:val="000000" w:themeColor="text1"/>
          <w:sz w:val="20"/>
          <w:szCs w:val="20"/>
        </w:rPr>
        <w:t>2</w:t>
      </w:r>
      <w:r w:rsidR="004E3823" w:rsidRPr="00EB3D0F">
        <w:rPr>
          <w:rFonts w:ascii="Arial" w:hAnsi="Arial" w:cs="Arial"/>
          <w:color w:val="000000" w:themeColor="text1"/>
          <w:sz w:val="20"/>
          <w:szCs w:val="20"/>
        </w:rPr>
        <w:t>3</w:t>
      </w:r>
      <w:r w:rsidR="006F4A4F" w:rsidRPr="00EB3D0F">
        <w:rPr>
          <w:rFonts w:ascii="Arial" w:hAnsi="Arial" w:cs="Arial"/>
          <w:color w:val="000000" w:themeColor="text1"/>
          <w:sz w:val="20"/>
          <w:szCs w:val="20"/>
        </w:rPr>
        <w:t xml:space="preserve"> </w:t>
      </w:r>
      <w:r w:rsidR="009E3010" w:rsidRPr="00EB3D0F">
        <w:rPr>
          <w:rFonts w:ascii="Arial" w:hAnsi="Arial" w:cs="Arial"/>
          <w:color w:val="000000" w:themeColor="text1"/>
          <w:sz w:val="20"/>
          <w:szCs w:val="20"/>
        </w:rPr>
        <w:t>je skup</w:t>
      </w:r>
      <w:r w:rsidR="00753CA0" w:rsidRPr="00EB3D0F">
        <w:rPr>
          <w:rFonts w:ascii="Arial" w:hAnsi="Arial" w:cs="Arial"/>
          <w:color w:val="000000" w:themeColor="text1"/>
          <w:sz w:val="20"/>
          <w:szCs w:val="20"/>
        </w:rPr>
        <w:t>aj</w:t>
      </w:r>
      <w:r w:rsidR="009E3010" w:rsidRPr="00EB3D0F">
        <w:rPr>
          <w:rFonts w:ascii="Arial" w:hAnsi="Arial" w:cs="Arial"/>
          <w:color w:val="000000" w:themeColor="text1"/>
          <w:sz w:val="20"/>
          <w:szCs w:val="20"/>
        </w:rPr>
        <w:t xml:space="preserve"> javno naroča</w:t>
      </w:r>
      <w:r w:rsidR="00753CA0" w:rsidRPr="00EB3D0F">
        <w:rPr>
          <w:rFonts w:ascii="Arial" w:hAnsi="Arial" w:cs="Arial"/>
          <w:color w:val="000000" w:themeColor="text1"/>
          <w:sz w:val="20"/>
          <w:szCs w:val="20"/>
        </w:rPr>
        <w:t>lo</w:t>
      </w:r>
      <w:r w:rsidR="009E3010" w:rsidRPr="00EB3D0F">
        <w:rPr>
          <w:rFonts w:ascii="Arial" w:hAnsi="Arial" w:cs="Arial"/>
          <w:color w:val="000000" w:themeColor="text1"/>
          <w:sz w:val="20"/>
          <w:szCs w:val="20"/>
        </w:rPr>
        <w:t xml:space="preserve"> </w:t>
      </w:r>
      <w:r w:rsidR="004E3823" w:rsidRPr="00EB3D0F">
        <w:rPr>
          <w:rFonts w:ascii="Arial" w:hAnsi="Arial" w:cs="Arial"/>
          <w:color w:val="000000" w:themeColor="text1"/>
          <w:sz w:val="20"/>
          <w:szCs w:val="20"/>
        </w:rPr>
        <w:t>93</w:t>
      </w:r>
      <w:r w:rsidR="009E3010" w:rsidRPr="00EB3D0F">
        <w:rPr>
          <w:rFonts w:ascii="Arial" w:hAnsi="Arial" w:cs="Arial"/>
          <w:color w:val="000000" w:themeColor="text1"/>
          <w:sz w:val="20"/>
          <w:szCs w:val="20"/>
        </w:rPr>
        <w:t xml:space="preserve"> naročnikov. Oddanih je bilo </w:t>
      </w:r>
      <w:r w:rsidR="004042C1" w:rsidRPr="00EB3D0F">
        <w:rPr>
          <w:rFonts w:ascii="Arial" w:hAnsi="Arial" w:cs="Arial"/>
          <w:color w:val="000000" w:themeColor="text1"/>
          <w:sz w:val="20"/>
          <w:szCs w:val="20"/>
        </w:rPr>
        <w:t>7</w:t>
      </w:r>
      <w:r w:rsidR="002159D1" w:rsidRPr="00EB3D0F">
        <w:rPr>
          <w:rFonts w:ascii="Arial" w:hAnsi="Arial" w:cs="Arial"/>
          <w:color w:val="000000" w:themeColor="text1"/>
          <w:sz w:val="20"/>
          <w:szCs w:val="20"/>
        </w:rPr>
        <w:t>6</w:t>
      </w:r>
      <w:r w:rsidR="00EB3D0F" w:rsidRPr="00EB3D0F">
        <w:rPr>
          <w:rFonts w:ascii="Arial" w:hAnsi="Arial" w:cs="Arial"/>
          <w:color w:val="000000" w:themeColor="text1"/>
          <w:sz w:val="20"/>
          <w:szCs w:val="20"/>
        </w:rPr>
        <w:t>1</w:t>
      </w:r>
      <w:r w:rsidR="009E3010" w:rsidRPr="00EB3D0F">
        <w:rPr>
          <w:rFonts w:ascii="Arial" w:hAnsi="Arial" w:cs="Arial"/>
          <w:color w:val="000000" w:themeColor="text1"/>
          <w:sz w:val="20"/>
          <w:szCs w:val="20"/>
        </w:rPr>
        <w:t xml:space="preserve"> </w:t>
      </w:r>
      <w:r w:rsidR="006A147B" w:rsidRPr="00EB3D0F">
        <w:rPr>
          <w:rFonts w:ascii="Arial" w:hAnsi="Arial" w:cs="Arial"/>
          <w:color w:val="000000" w:themeColor="text1"/>
          <w:sz w:val="20"/>
          <w:szCs w:val="20"/>
        </w:rPr>
        <w:t>naročil</w:t>
      </w:r>
      <w:r w:rsidR="009E3010" w:rsidRPr="00EB3D0F">
        <w:rPr>
          <w:rFonts w:ascii="Arial" w:hAnsi="Arial" w:cs="Arial"/>
          <w:color w:val="000000" w:themeColor="text1"/>
          <w:sz w:val="20"/>
          <w:szCs w:val="20"/>
        </w:rPr>
        <w:t xml:space="preserve"> v vrednosti </w:t>
      </w:r>
      <w:r w:rsidR="00EB3D0F" w:rsidRPr="00EB3D0F">
        <w:rPr>
          <w:rFonts w:ascii="Arial" w:eastAsia="Times New Roman" w:hAnsi="Arial" w:cs="Arial"/>
          <w:color w:val="000000" w:themeColor="text1"/>
          <w:sz w:val="20"/>
          <w:szCs w:val="20"/>
          <w:lang w:eastAsia="sl-SI"/>
        </w:rPr>
        <w:t xml:space="preserve">915.332.141 </w:t>
      </w:r>
      <w:r w:rsidR="009E3010" w:rsidRPr="00EB3D0F">
        <w:rPr>
          <w:rFonts w:ascii="Arial" w:hAnsi="Arial" w:cs="Arial"/>
          <w:color w:val="000000" w:themeColor="text1"/>
          <w:sz w:val="20"/>
          <w:szCs w:val="20"/>
        </w:rPr>
        <w:t>evrov.</w:t>
      </w:r>
      <w:r w:rsidR="00CA57A5" w:rsidRPr="00EB3D0F">
        <w:rPr>
          <w:rFonts w:ascii="Arial" w:hAnsi="Arial" w:cs="Arial"/>
          <w:color w:val="000000" w:themeColor="text1"/>
          <w:sz w:val="20"/>
          <w:szCs w:val="20"/>
        </w:rPr>
        <w:t xml:space="preserve"> Po vrednosti je največ naročil pri skupnem javnem naročanju </w:t>
      </w:r>
      <w:r w:rsidR="003B2B9D" w:rsidRPr="00EB3D0F">
        <w:rPr>
          <w:rFonts w:ascii="Arial" w:hAnsi="Arial" w:cs="Arial"/>
          <w:color w:val="000000" w:themeColor="text1"/>
          <w:sz w:val="20"/>
          <w:szCs w:val="20"/>
        </w:rPr>
        <w:t xml:space="preserve">oddala </w:t>
      </w:r>
      <w:r w:rsidR="002159D1" w:rsidRPr="00EB3D0F">
        <w:rPr>
          <w:rFonts w:ascii="Arial" w:hAnsi="Arial" w:cs="Arial"/>
          <w:color w:val="000000" w:themeColor="text1"/>
          <w:sz w:val="20"/>
          <w:szCs w:val="20"/>
        </w:rPr>
        <w:t>Skupnost občin Slovenije</w:t>
      </w:r>
      <w:r w:rsidR="003B2B9D" w:rsidRPr="00EB3D0F">
        <w:rPr>
          <w:rFonts w:ascii="Arial" w:hAnsi="Arial" w:cs="Arial"/>
          <w:color w:val="000000" w:themeColor="text1"/>
          <w:sz w:val="20"/>
          <w:szCs w:val="20"/>
        </w:rPr>
        <w:t>,</w:t>
      </w:r>
      <w:r w:rsidR="00CA57A5" w:rsidRPr="00EB3D0F">
        <w:rPr>
          <w:rFonts w:ascii="Arial" w:hAnsi="Arial" w:cs="Arial"/>
          <w:color w:val="000000" w:themeColor="text1"/>
          <w:sz w:val="20"/>
          <w:szCs w:val="20"/>
        </w:rPr>
        <w:t xml:space="preserve"> in sicer </w:t>
      </w:r>
      <w:r w:rsidR="007653CC" w:rsidRPr="00EB3D0F">
        <w:rPr>
          <w:rFonts w:ascii="Arial" w:hAnsi="Arial" w:cs="Arial"/>
          <w:color w:val="000000" w:themeColor="text1"/>
          <w:sz w:val="20"/>
          <w:szCs w:val="20"/>
        </w:rPr>
        <w:t xml:space="preserve">v </w:t>
      </w:r>
      <w:r w:rsidR="00D537C7" w:rsidRPr="00EB3D0F">
        <w:rPr>
          <w:rFonts w:ascii="Arial" w:hAnsi="Arial" w:cs="Arial"/>
          <w:color w:val="000000" w:themeColor="text1"/>
          <w:sz w:val="20"/>
          <w:szCs w:val="20"/>
        </w:rPr>
        <w:t>štirih</w:t>
      </w:r>
      <w:r w:rsidR="002159D1" w:rsidRPr="00EB3D0F">
        <w:rPr>
          <w:rFonts w:ascii="Arial" w:hAnsi="Arial" w:cs="Arial"/>
          <w:color w:val="000000" w:themeColor="text1"/>
          <w:sz w:val="20"/>
          <w:szCs w:val="20"/>
        </w:rPr>
        <w:t xml:space="preserve"> postopkih</w:t>
      </w:r>
      <w:r w:rsidR="007653CC" w:rsidRPr="00EB3D0F">
        <w:rPr>
          <w:rFonts w:ascii="Arial" w:hAnsi="Arial" w:cs="Arial"/>
          <w:color w:val="000000" w:themeColor="text1"/>
          <w:sz w:val="20"/>
          <w:szCs w:val="20"/>
        </w:rPr>
        <w:t xml:space="preserve"> </w:t>
      </w:r>
      <w:r w:rsidR="002159D1" w:rsidRPr="00EB3D0F">
        <w:rPr>
          <w:rFonts w:ascii="Arial" w:hAnsi="Arial" w:cs="Arial"/>
          <w:color w:val="000000" w:themeColor="text1"/>
          <w:sz w:val="20"/>
          <w:szCs w:val="20"/>
        </w:rPr>
        <w:t>1</w:t>
      </w:r>
      <w:r w:rsidR="00D537C7" w:rsidRPr="00EB3D0F">
        <w:rPr>
          <w:rFonts w:ascii="Arial" w:hAnsi="Arial" w:cs="Arial"/>
          <w:color w:val="000000" w:themeColor="text1"/>
          <w:sz w:val="20"/>
          <w:szCs w:val="20"/>
        </w:rPr>
        <w:t>4</w:t>
      </w:r>
      <w:r w:rsidR="00CA57A5" w:rsidRPr="00EB3D0F">
        <w:rPr>
          <w:rFonts w:ascii="Arial" w:hAnsi="Arial" w:cs="Arial"/>
          <w:color w:val="000000" w:themeColor="text1"/>
          <w:sz w:val="20"/>
          <w:szCs w:val="20"/>
        </w:rPr>
        <w:t xml:space="preserve"> naročil v vrednosti </w:t>
      </w:r>
      <w:r w:rsidR="00D537C7" w:rsidRPr="00EB3D0F">
        <w:rPr>
          <w:rFonts w:ascii="Arial" w:hAnsi="Arial" w:cs="Arial"/>
          <w:color w:val="000000" w:themeColor="text1"/>
          <w:sz w:val="20"/>
          <w:szCs w:val="20"/>
        </w:rPr>
        <w:t>186</w:t>
      </w:r>
      <w:r w:rsidR="00600F5A" w:rsidRPr="00EB3D0F">
        <w:rPr>
          <w:rFonts w:ascii="Arial" w:hAnsi="Arial" w:cs="Arial"/>
          <w:color w:val="000000" w:themeColor="text1"/>
          <w:sz w:val="20"/>
          <w:szCs w:val="20"/>
        </w:rPr>
        <w:t>.</w:t>
      </w:r>
      <w:r w:rsidR="00D537C7" w:rsidRPr="00EB3D0F">
        <w:rPr>
          <w:rFonts w:ascii="Arial" w:hAnsi="Arial" w:cs="Arial"/>
          <w:color w:val="000000" w:themeColor="text1"/>
          <w:sz w:val="20"/>
          <w:szCs w:val="20"/>
        </w:rPr>
        <w:t>784</w:t>
      </w:r>
      <w:r w:rsidR="00600F5A" w:rsidRPr="00EB3D0F">
        <w:rPr>
          <w:rFonts w:ascii="Arial" w:hAnsi="Arial" w:cs="Arial"/>
          <w:color w:val="000000" w:themeColor="text1"/>
          <w:sz w:val="20"/>
          <w:szCs w:val="20"/>
        </w:rPr>
        <w:t>.</w:t>
      </w:r>
      <w:r w:rsidR="00D537C7" w:rsidRPr="00EB3D0F">
        <w:rPr>
          <w:rFonts w:ascii="Arial" w:hAnsi="Arial" w:cs="Arial"/>
          <w:color w:val="000000" w:themeColor="text1"/>
          <w:sz w:val="20"/>
          <w:szCs w:val="20"/>
        </w:rPr>
        <w:t>084</w:t>
      </w:r>
      <w:r w:rsidR="00600F5A" w:rsidRPr="00EB3D0F">
        <w:rPr>
          <w:rFonts w:ascii="Arial" w:hAnsi="Arial" w:cs="Arial"/>
          <w:color w:val="000000" w:themeColor="text1"/>
          <w:sz w:val="20"/>
          <w:szCs w:val="20"/>
        </w:rPr>
        <w:t xml:space="preserve"> </w:t>
      </w:r>
      <w:r w:rsidR="00CA57A5" w:rsidRPr="00EB3D0F">
        <w:rPr>
          <w:rFonts w:ascii="Arial" w:hAnsi="Arial" w:cs="Arial"/>
          <w:color w:val="000000" w:themeColor="text1"/>
          <w:sz w:val="20"/>
          <w:szCs w:val="20"/>
        </w:rPr>
        <w:t xml:space="preserve">evrov. </w:t>
      </w:r>
    </w:p>
    <w:p w14:paraId="565BD4F7" w14:textId="4BA936D8" w:rsidR="00C22535" w:rsidRPr="00EB3D0F" w:rsidRDefault="00A01581" w:rsidP="00C22535">
      <w:pPr>
        <w:pStyle w:val="Standard"/>
        <w:spacing w:line="360" w:lineRule="auto"/>
        <w:rPr>
          <w:rFonts w:cs="Arial"/>
          <w:color w:val="000000" w:themeColor="text1"/>
          <w:sz w:val="20"/>
          <w:szCs w:val="20"/>
        </w:rPr>
      </w:pPr>
      <w:r w:rsidRPr="00EB3D0F">
        <w:rPr>
          <w:rFonts w:cs="Arial"/>
          <w:color w:val="000000" w:themeColor="text1"/>
          <w:sz w:val="20"/>
          <w:szCs w:val="20"/>
        </w:rPr>
        <w:t xml:space="preserve">Pri skupnem javnem naročanju je bilo največ naročil oddanih z uporabo odprtega postopka, in sicer </w:t>
      </w:r>
      <w:r w:rsidR="002159D1" w:rsidRPr="00EB3D0F">
        <w:rPr>
          <w:rFonts w:cs="Arial"/>
          <w:color w:val="000000" w:themeColor="text1"/>
          <w:sz w:val="20"/>
          <w:szCs w:val="20"/>
        </w:rPr>
        <w:t>53,</w:t>
      </w:r>
      <w:r w:rsidR="00D537C7" w:rsidRPr="00EB3D0F">
        <w:rPr>
          <w:rFonts w:cs="Arial"/>
          <w:color w:val="000000" w:themeColor="text1"/>
          <w:sz w:val="20"/>
          <w:szCs w:val="20"/>
        </w:rPr>
        <w:t>2</w:t>
      </w:r>
      <w:r w:rsidR="00EB3D0F" w:rsidRPr="00EB3D0F">
        <w:rPr>
          <w:rFonts w:cs="Arial"/>
          <w:color w:val="000000" w:themeColor="text1"/>
          <w:sz w:val="20"/>
          <w:szCs w:val="20"/>
        </w:rPr>
        <w:t>2</w:t>
      </w:r>
      <w:r w:rsidR="007F78EF" w:rsidRPr="00EB3D0F">
        <w:rPr>
          <w:rFonts w:cs="Arial"/>
          <w:color w:val="000000" w:themeColor="text1"/>
          <w:sz w:val="20"/>
          <w:szCs w:val="20"/>
        </w:rPr>
        <w:t> </w:t>
      </w:r>
      <w:r w:rsidR="00AC0027" w:rsidRPr="00EB3D0F">
        <w:rPr>
          <w:rFonts w:cs="Arial"/>
          <w:color w:val="000000" w:themeColor="text1"/>
          <w:sz w:val="20"/>
          <w:szCs w:val="20"/>
        </w:rPr>
        <w:t>odstotka</w:t>
      </w:r>
      <w:r w:rsidRPr="00EB3D0F">
        <w:rPr>
          <w:rFonts w:cs="Arial"/>
          <w:color w:val="000000" w:themeColor="text1"/>
          <w:sz w:val="20"/>
          <w:szCs w:val="20"/>
        </w:rPr>
        <w:t xml:space="preserve">, njihova vrednost pa je znašala </w:t>
      </w:r>
      <w:r w:rsidR="00D537C7" w:rsidRPr="00EB3D0F">
        <w:rPr>
          <w:rFonts w:cs="Arial"/>
          <w:color w:val="000000" w:themeColor="text1"/>
          <w:sz w:val="20"/>
          <w:szCs w:val="20"/>
        </w:rPr>
        <w:t>43,67</w:t>
      </w:r>
      <w:r w:rsidR="00630FBA" w:rsidRPr="00EB3D0F">
        <w:rPr>
          <w:rFonts w:cs="Arial"/>
          <w:color w:val="000000" w:themeColor="text1"/>
          <w:sz w:val="20"/>
          <w:szCs w:val="20"/>
        </w:rPr>
        <w:t> </w:t>
      </w:r>
      <w:r w:rsidR="00AC0027" w:rsidRPr="00EB3D0F">
        <w:rPr>
          <w:rFonts w:cs="Arial"/>
          <w:color w:val="000000" w:themeColor="text1"/>
          <w:sz w:val="20"/>
          <w:szCs w:val="20"/>
        </w:rPr>
        <w:t>odstotka</w:t>
      </w:r>
      <w:r w:rsidRPr="00EB3D0F">
        <w:rPr>
          <w:rFonts w:cs="Arial"/>
          <w:color w:val="000000" w:themeColor="text1"/>
          <w:sz w:val="20"/>
          <w:szCs w:val="20"/>
        </w:rPr>
        <w:t xml:space="preserve"> vrednosti skupnega javnega naročanja. </w:t>
      </w:r>
    </w:p>
    <w:p w14:paraId="7A7148B3" w14:textId="77777777" w:rsidR="00EA46B6" w:rsidRPr="00637ACF" w:rsidRDefault="00EA46B6">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4BC85B6D" w14:textId="6A37D19C" w:rsidR="00C22535" w:rsidRPr="00F34560" w:rsidRDefault="00E430F6" w:rsidP="008A61FD">
      <w:pPr>
        <w:spacing w:before="120" w:after="120" w:line="240" w:lineRule="auto"/>
        <w:jc w:val="both"/>
        <w:rPr>
          <w:rFonts w:ascii="Arial" w:hAnsi="Arial" w:cs="Arial"/>
          <w:color w:val="000000" w:themeColor="text1"/>
          <w:sz w:val="20"/>
        </w:rPr>
      </w:pPr>
      <w:r w:rsidRPr="00F34560">
        <w:rPr>
          <w:rFonts w:ascii="Arial" w:hAnsi="Arial" w:cs="Arial"/>
          <w:color w:val="000000" w:themeColor="text1"/>
          <w:sz w:val="20"/>
        </w:rPr>
        <w:lastRenderedPageBreak/>
        <w:t xml:space="preserve">Preglednica </w:t>
      </w:r>
      <w:r w:rsidR="00512F52" w:rsidRPr="00F34560">
        <w:rPr>
          <w:rFonts w:ascii="Arial" w:hAnsi="Arial" w:cs="Arial"/>
          <w:color w:val="000000" w:themeColor="text1"/>
          <w:sz w:val="20"/>
        </w:rPr>
        <w:t>18</w:t>
      </w:r>
      <w:r w:rsidR="00C22535" w:rsidRPr="00F34560">
        <w:rPr>
          <w:rFonts w:ascii="Arial" w:hAnsi="Arial" w:cs="Arial"/>
          <w:color w:val="000000" w:themeColor="text1"/>
          <w:sz w:val="20"/>
        </w:rPr>
        <w:t xml:space="preserve">: Skupno javno naročanje </w:t>
      </w:r>
      <w:r w:rsidR="00B51C8C" w:rsidRPr="00F34560">
        <w:rPr>
          <w:rFonts w:ascii="Arial" w:hAnsi="Arial" w:cs="Arial"/>
          <w:color w:val="000000" w:themeColor="text1"/>
          <w:sz w:val="20"/>
        </w:rPr>
        <w:t>po</w:t>
      </w:r>
      <w:r w:rsidR="00C22535" w:rsidRPr="00F34560">
        <w:rPr>
          <w:rFonts w:ascii="Arial" w:hAnsi="Arial" w:cs="Arial"/>
          <w:color w:val="000000" w:themeColor="text1"/>
          <w:sz w:val="20"/>
        </w:rPr>
        <w:t xml:space="preserve"> številu, vrednosti in deležu skupnih javnih naročil glede na vrsto postopka</w:t>
      </w:r>
    </w:p>
    <w:tbl>
      <w:tblPr>
        <w:tblW w:w="5000" w:type="pct"/>
        <w:tblCellMar>
          <w:left w:w="70" w:type="dxa"/>
          <w:right w:w="70" w:type="dxa"/>
        </w:tblCellMar>
        <w:tblLook w:val="04A0" w:firstRow="1" w:lastRow="0" w:firstColumn="1" w:lastColumn="0" w:noHBand="0" w:noVBand="1"/>
      </w:tblPr>
      <w:tblGrid>
        <w:gridCol w:w="4741"/>
        <w:gridCol w:w="695"/>
        <w:gridCol w:w="1292"/>
        <w:gridCol w:w="1171"/>
        <w:gridCol w:w="1275"/>
      </w:tblGrid>
      <w:tr w:rsidR="00D537C7" w:rsidRPr="00F34560" w14:paraId="0FE9AF00" w14:textId="77777777" w:rsidTr="00D537C7">
        <w:trPr>
          <w:trHeight w:val="456"/>
          <w:tblHeader/>
        </w:trPr>
        <w:tc>
          <w:tcPr>
            <w:tcW w:w="258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8612599" w14:textId="77777777" w:rsidR="004042C1" w:rsidRPr="00F34560" w:rsidRDefault="004042C1" w:rsidP="004042C1">
            <w:pPr>
              <w:spacing w:after="0" w:line="240" w:lineRule="auto"/>
              <w:jc w:val="center"/>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Vrsta postopka</w:t>
            </w:r>
          </w:p>
        </w:tc>
        <w:tc>
          <w:tcPr>
            <w:tcW w:w="379" w:type="pct"/>
            <w:tcBorders>
              <w:top w:val="single" w:sz="4" w:space="0" w:color="auto"/>
              <w:left w:val="nil"/>
              <w:bottom w:val="single" w:sz="4" w:space="0" w:color="auto"/>
              <w:right w:val="single" w:sz="4" w:space="0" w:color="auto"/>
            </w:tcBorders>
            <w:shd w:val="clear" w:color="000000" w:fill="F2F2F2"/>
            <w:vAlign w:val="center"/>
            <w:hideMark/>
          </w:tcPr>
          <w:p w14:paraId="51EC3E90" w14:textId="77777777" w:rsidR="004042C1" w:rsidRPr="00F34560" w:rsidRDefault="004042C1" w:rsidP="004042C1">
            <w:pPr>
              <w:spacing w:after="0" w:line="240" w:lineRule="auto"/>
              <w:jc w:val="center"/>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Št. naročil</w:t>
            </w:r>
          </w:p>
        </w:tc>
        <w:tc>
          <w:tcPr>
            <w:tcW w:w="704" w:type="pct"/>
            <w:tcBorders>
              <w:top w:val="single" w:sz="4" w:space="0" w:color="auto"/>
              <w:left w:val="nil"/>
              <w:bottom w:val="single" w:sz="4" w:space="0" w:color="auto"/>
              <w:right w:val="single" w:sz="4" w:space="0" w:color="auto"/>
            </w:tcBorders>
            <w:shd w:val="clear" w:color="000000" w:fill="F2F2F2"/>
            <w:vAlign w:val="center"/>
            <w:hideMark/>
          </w:tcPr>
          <w:p w14:paraId="6F290E4D" w14:textId="773E68E9" w:rsidR="004042C1" w:rsidRPr="00F34560" w:rsidRDefault="004042C1" w:rsidP="004042C1">
            <w:pPr>
              <w:spacing w:after="0" w:line="240" w:lineRule="auto"/>
              <w:jc w:val="center"/>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Pogodbena vrednost</w:t>
            </w:r>
            <w:r w:rsidR="00F36C50" w:rsidRPr="00F34560">
              <w:rPr>
                <w:rFonts w:ascii="Arial" w:eastAsia="Times New Roman" w:hAnsi="Arial" w:cs="Arial"/>
                <w:color w:val="000000" w:themeColor="text1"/>
                <w:sz w:val="18"/>
                <w:szCs w:val="18"/>
                <w:lang w:eastAsia="sl-SI"/>
              </w:rPr>
              <w:t xml:space="preserve"> (v EUR)</w:t>
            </w:r>
          </w:p>
        </w:tc>
        <w:tc>
          <w:tcPr>
            <w:tcW w:w="638" w:type="pct"/>
            <w:tcBorders>
              <w:top w:val="single" w:sz="4" w:space="0" w:color="auto"/>
              <w:left w:val="nil"/>
              <w:bottom w:val="single" w:sz="4" w:space="0" w:color="auto"/>
              <w:right w:val="single" w:sz="4" w:space="0" w:color="auto"/>
            </w:tcBorders>
            <w:shd w:val="clear" w:color="000000" w:fill="F2F2F2"/>
            <w:vAlign w:val="center"/>
            <w:hideMark/>
          </w:tcPr>
          <w:p w14:paraId="151680B5" w14:textId="77777777" w:rsidR="004042C1" w:rsidRPr="00F34560" w:rsidRDefault="004042C1" w:rsidP="004042C1">
            <w:pPr>
              <w:spacing w:after="0" w:line="240" w:lineRule="auto"/>
              <w:jc w:val="center"/>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Delež v št. skupnih naročil</w:t>
            </w:r>
          </w:p>
        </w:tc>
        <w:tc>
          <w:tcPr>
            <w:tcW w:w="695" w:type="pct"/>
            <w:tcBorders>
              <w:top w:val="single" w:sz="4" w:space="0" w:color="auto"/>
              <w:left w:val="nil"/>
              <w:bottom w:val="single" w:sz="4" w:space="0" w:color="auto"/>
              <w:right w:val="single" w:sz="4" w:space="0" w:color="auto"/>
            </w:tcBorders>
            <w:shd w:val="clear" w:color="000000" w:fill="F2F2F2"/>
            <w:vAlign w:val="center"/>
            <w:hideMark/>
          </w:tcPr>
          <w:p w14:paraId="1B54666A" w14:textId="77777777" w:rsidR="004042C1" w:rsidRPr="00F34560" w:rsidRDefault="004042C1" w:rsidP="004042C1">
            <w:pPr>
              <w:spacing w:after="0" w:line="240" w:lineRule="auto"/>
              <w:jc w:val="center"/>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Delež v vrednosti skupnih naročil</w:t>
            </w:r>
          </w:p>
        </w:tc>
      </w:tr>
      <w:tr w:rsidR="00F34560" w:rsidRPr="00F34560" w14:paraId="3DB72290" w14:textId="77777777" w:rsidTr="00F34560">
        <w:trPr>
          <w:trHeight w:val="288"/>
        </w:trPr>
        <w:tc>
          <w:tcPr>
            <w:tcW w:w="2584" w:type="pct"/>
            <w:tcBorders>
              <w:top w:val="nil"/>
              <w:left w:val="single" w:sz="4" w:space="0" w:color="auto"/>
              <w:bottom w:val="single" w:sz="4" w:space="0" w:color="auto"/>
              <w:right w:val="single" w:sz="4" w:space="0" w:color="auto"/>
            </w:tcBorders>
            <w:shd w:val="clear" w:color="auto" w:fill="auto"/>
            <w:noWrap/>
            <w:vAlign w:val="center"/>
            <w:hideMark/>
          </w:tcPr>
          <w:p w14:paraId="12EB5936" w14:textId="404FC453" w:rsidR="00F34560" w:rsidRPr="00F34560" w:rsidRDefault="00F34560" w:rsidP="00F34560">
            <w:pPr>
              <w:spacing w:after="0" w:line="240" w:lineRule="auto"/>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Konkurenčni dialog</w:t>
            </w:r>
          </w:p>
        </w:tc>
        <w:tc>
          <w:tcPr>
            <w:tcW w:w="379" w:type="pct"/>
            <w:tcBorders>
              <w:top w:val="nil"/>
              <w:left w:val="nil"/>
              <w:bottom w:val="single" w:sz="4" w:space="0" w:color="auto"/>
              <w:right w:val="single" w:sz="4" w:space="0" w:color="auto"/>
            </w:tcBorders>
            <w:shd w:val="clear" w:color="auto" w:fill="auto"/>
            <w:noWrap/>
            <w:vAlign w:val="center"/>
            <w:hideMark/>
          </w:tcPr>
          <w:p w14:paraId="69CA27A9" w14:textId="355C2F94"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1</w:t>
            </w:r>
          </w:p>
        </w:tc>
        <w:tc>
          <w:tcPr>
            <w:tcW w:w="704" w:type="pct"/>
            <w:tcBorders>
              <w:top w:val="nil"/>
              <w:left w:val="nil"/>
              <w:bottom w:val="single" w:sz="4" w:space="0" w:color="auto"/>
              <w:right w:val="single" w:sz="4" w:space="0" w:color="auto"/>
            </w:tcBorders>
            <w:shd w:val="clear" w:color="auto" w:fill="auto"/>
            <w:noWrap/>
            <w:vAlign w:val="center"/>
            <w:hideMark/>
          </w:tcPr>
          <w:p w14:paraId="0B605D55" w14:textId="371F700D"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4.349.999</w:t>
            </w:r>
          </w:p>
        </w:tc>
        <w:tc>
          <w:tcPr>
            <w:tcW w:w="638" w:type="pct"/>
            <w:tcBorders>
              <w:top w:val="nil"/>
              <w:left w:val="nil"/>
              <w:bottom w:val="single" w:sz="4" w:space="0" w:color="auto"/>
              <w:right w:val="single" w:sz="4" w:space="0" w:color="auto"/>
            </w:tcBorders>
            <w:shd w:val="clear" w:color="auto" w:fill="auto"/>
            <w:noWrap/>
            <w:vAlign w:val="center"/>
          </w:tcPr>
          <w:p w14:paraId="0AE93EAE" w14:textId="4D1990A3"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0,13 %</w:t>
            </w:r>
          </w:p>
        </w:tc>
        <w:tc>
          <w:tcPr>
            <w:tcW w:w="695" w:type="pct"/>
            <w:tcBorders>
              <w:top w:val="nil"/>
              <w:left w:val="nil"/>
              <w:bottom w:val="single" w:sz="4" w:space="0" w:color="auto"/>
              <w:right w:val="single" w:sz="4" w:space="0" w:color="auto"/>
            </w:tcBorders>
            <w:shd w:val="clear" w:color="auto" w:fill="auto"/>
            <w:noWrap/>
            <w:vAlign w:val="center"/>
          </w:tcPr>
          <w:p w14:paraId="3116408D" w14:textId="585D8791"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0,48 %</w:t>
            </w:r>
          </w:p>
        </w:tc>
      </w:tr>
      <w:tr w:rsidR="00F34560" w:rsidRPr="00F34560" w14:paraId="4A835A4D" w14:textId="77777777" w:rsidTr="00F34560">
        <w:trPr>
          <w:trHeight w:val="288"/>
        </w:trPr>
        <w:tc>
          <w:tcPr>
            <w:tcW w:w="2584" w:type="pct"/>
            <w:tcBorders>
              <w:top w:val="nil"/>
              <w:left w:val="single" w:sz="4" w:space="0" w:color="auto"/>
              <w:bottom w:val="single" w:sz="4" w:space="0" w:color="auto"/>
              <w:right w:val="single" w:sz="4" w:space="0" w:color="auto"/>
            </w:tcBorders>
            <w:shd w:val="clear" w:color="auto" w:fill="auto"/>
            <w:noWrap/>
            <w:vAlign w:val="center"/>
            <w:hideMark/>
          </w:tcPr>
          <w:p w14:paraId="35B5B0C6" w14:textId="504B84F0" w:rsidR="00F34560" w:rsidRPr="00F34560" w:rsidRDefault="00F34560" w:rsidP="00F34560">
            <w:pPr>
              <w:spacing w:after="0" w:line="240" w:lineRule="auto"/>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Konkurenčni postopek s pogajanji</w:t>
            </w:r>
          </w:p>
        </w:tc>
        <w:tc>
          <w:tcPr>
            <w:tcW w:w="379" w:type="pct"/>
            <w:tcBorders>
              <w:top w:val="nil"/>
              <w:left w:val="nil"/>
              <w:bottom w:val="single" w:sz="4" w:space="0" w:color="auto"/>
              <w:right w:val="single" w:sz="4" w:space="0" w:color="auto"/>
            </w:tcBorders>
            <w:shd w:val="clear" w:color="auto" w:fill="auto"/>
            <w:noWrap/>
            <w:vAlign w:val="center"/>
            <w:hideMark/>
          </w:tcPr>
          <w:p w14:paraId="164B7A31" w14:textId="0825D896"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36</w:t>
            </w:r>
          </w:p>
        </w:tc>
        <w:tc>
          <w:tcPr>
            <w:tcW w:w="704" w:type="pct"/>
            <w:tcBorders>
              <w:top w:val="nil"/>
              <w:left w:val="nil"/>
              <w:bottom w:val="single" w:sz="4" w:space="0" w:color="auto"/>
              <w:right w:val="single" w:sz="4" w:space="0" w:color="auto"/>
            </w:tcBorders>
            <w:shd w:val="clear" w:color="auto" w:fill="auto"/>
            <w:noWrap/>
            <w:vAlign w:val="center"/>
            <w:hideMark/>
          </w:tcPr>
          <w:p w14:paraId="689B709B" w14:textId="300C87C5"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105.223.102</w:t>
            </w:r>
          </w:p>
        </w:tc>
        <w:tc>
          <w:tcPr>
            <w:tcW w:w="638" w:type="pct"/>
            <w:tcBorders>
              <w:top w:val="nil"/>
              <w:left w:val="nil"/>
              <w:bottom w:val="single" w:sz="4" w:space="0" w:color="auto"/>
              <w:right w:val="single" w:sz="4" w:space="0" w:color="auto"/>
            </w:tcBorders>
            <w:shd w:val="clear" w:color="auto" w:fill="auto"/>
            <w:noWrap/>
            <w:vAlign w:val="center"/>
          </w:tcPr>
          <w:p w14:paraId="2E3BDD1A" w14:textId="4296BC09"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4,73 %</w:t>
            </w:r>
          </w:p>
        </w:tc>
        <w:tc>
          <w:tcPr>
            <w:tcW w:w="695" w:type="pct"/>
            <w:tcBorders>
              <w:top w:val="nil"/>
              <w:left w:val="nil"/>
              <w:bottom w:val="single" w:sz="4" w:space="0" w:color="auto"/>
              <w:right w:val="single" w:sz="4" w:space="0" w:color="auto"/>
            </w:tcBorders>
            <w:shd w:val="clear" w:color="auto" w:fill="auto"/>
            <w:noWrap/>
            <w:vAlign w:val="center"/>
          </w:tcPr>
          <w:p w14:paraId="499DEC69" w14:textId="5F786C46"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11,50 %</w:t>
            </w:r>
          </w:p>
        </w:tc>
      </w:tr>
      <w:tr w:rsidR="00F34560" w:rsidRPr="00F34560" w14:paraId="6B2E1AFF" w14:textId="77777777" w:rsidTr="00F34560">
        <w:trPr>
          <w:trHeight w:val="288"/>
        </w:trPr>
        <w:tc>
          <w:tcPr>
            <w:tcW w:w="2584" w:type="pct"/>
            <w:tcBorders>
              <w:top w:val="nil"/>
              <w:left w:val="single" w:sz="4" w:space="0" w:color="auto"/>
              <w:bottom w:val="single" w:sz="4" w:space="0" w:color="auto"/>
              <w:right w:val="single" w:sz="4" w:space="0" w:color="auto"/>
            </w:tcBorders>
            <w:shd w:val="clear" w:color="auto" w:fill="auto"/>
            <w:noWrap/>
            <w:vAlign w:val="center"/>
            <w:hideMark/>
          </w:tcPr>
          <w:p w14:paraId="2C2C13DD" w14:textId="05E428CF" w:rsidR="00F34560" w:rsidRPr="00F34560" w:rsidRDefault="00F34560" w:rsidP="00F34560">
            <w:pPr>
              <w:spacing w:after="0" w:line="240" w:lineRule="auto"/>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Odprti postopek</w:t>
            </w:r>
          </w:p>
        </w:tc>
        <w:tc>
          <w:tcPr>
            <w:tcW w:w="379" w:type="pct"/>
            <w:tcBorders>
              <w:top w:val="nil"/>
              <w:left w:val="nil"/>
              <w:bottom w:val="single" w:sz="4" w:space="0" w:color="auto"/>
              <w:right w:val="single" w:sz="4" w:space="0" w:color="auto"/>
            </w:tcBorders>
            <w:shd w:val="clear" w:color="auto" w:fill="auto"/>
            <w:noWrap/>
            <w:vAlign w:val="center"/>
          </w:tcPr>
          <w:p w14:paraId="3202E199" w14:textId="7979B72A"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405</w:t>
            </w:r>
          </w:p>
        </w:tc>
        <w:tc>
          <w:tcPr>
            <w:tcW w:w="704" w:type="pct"/>
            <w:tcBorders>
              <w:top w:val="nil"/>
              <w:left w:val="nil"/>
              <w:bottom w:val="single" w:sz="4" w:space="0" w:color="auto"/>
              <w:right w:val="single" w:sz="4" w:space="0" w:color="auto"/>
            </w:tcBorders>
            <w:shd w:val="clear" w:color="auto" w:fill="auto"/>
            <w:noWrap/>
            <w:vAlign w:val="center"/>
          </w:tcPr>
          <w:p w14:paraId="33957C08" w14:textId="4D74B9CC"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399.710.979</w:t>
            </w:r>
          </w:p>
        </w:tc>
        <w:tc>
          <w:tcPr>
            <w:tcW w:w="638" w:type="pct"/>
            <w:tcBorders>
              <w:top w:val="nil"/>
              <w:left w:val="nil"/>
              <w:bottom w:val="single" w:sz="4" w:space="0" w:color="auto"/>
              <w:right w:val="single" w:sz="4" w:space="0" w:color="auto"/>
            </w:tcBorders>
            <w:shd w:val="clear" w:color="auto" w:fill="auto"/>
            <w:noWrap/>
            <w:vAlign w:val="center"/>
          </w:tcPr>
          <w:p w14:paraId="08C40365" w14:textId="5DA46EA1"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53,22 %</w:t>
            </w:r>
          </w:p>
        </w:tc>
        <w:tc>
          <w:tcPr>
            <w:tcW w:w="695" w:type="pct"/>
            <w:tcBorders>
              <w:top w:val="nil"/>
              <w:left w:val="nil"/>
              <w:bottom w:val="single" w:sz="4" w:space="0" w:color="auto"/>
              <w:right w:val="single" w:sz="4" w:space="0" w:color="auto"/>
            </w:tcBorders>
            <w:shd w:val="clear" w:color="auto" w:fill="auto"/>
            <w:noWrap/>
            <w:vAlign w:val="center"/>
          </w:tcPr>
          <w:p w14:paraId="62C2EDEA" w14:textId="74C337DA"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43,67 %</w:t>
            </w:r>
          </w:p>
        </w:tc>
      </w:tr>
      <w:tr w:rsidR="00F34560" w:rsidRPr="00F34560" w14:paraId="08DB7F89" w14:textId="77777777" w:rsidTr="00F34560">
        <w:trPr>
          <w:trHeight w:val="288"/>
        </w:trPr>
        <w:tc>
          <w:tcPr>
            <w:tcW w:w="2584" w:type="pct"/>
            <w:tcBorders>
              <w:top w:val="nil"/>
              <w:left w:val="single" w:sz="4" w:space="0" w:color="auto"/>
              <w:bottom w:val="single" w:sz="4" w:space="0" w:color="auto"/>
              <w:right w:val="single" w:sz="4" w:space="0" w:color="auto"/>
            </w:tcBorders>
            <w:shd w:val="clear" w:color="auto" w:fill="auto"/>
            <w:noWrap/>
            <w:vAlign w:val="center"/>
            <w:hideMark/>
          </w:tcPr>
          <w:p w14:paraId="62CEA58A" w14:textId="618278D4" w:rsidR="00F34560" w:rsidRPr="00F34560" w:rsidRDefault="00F34560" w:rsidP="00F34560">
            <w:pPr>
              <w:spacing w:after="0" w:line="240" w:lineRule="auto"/>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Omejeni postopek</w:t>
            </w:r>
          </w:p>
        </w:tc>
        <w:tc>
          <w:tcPr>
            <w:tcW w:w="379" w:type="pct"/>
            <w:tcBorders>
              <w:top w:val="nil"/>
              <w:left w:val="nil"/>
              <w:bottom w:val="single" w:sz="4" w:space="0" w:color="auto"/>
              <w:right w:val="single" w:sz="4" w:space="0" w:color="auto"/>
            </w:tcBorders>
            <w:shd w:val="clear" w:color="auto" w:fill="auto"/>
            <w:noWrap/>
            <w:vAlign w:val="center"/>
            <w:hideMark/>
          </w:tcPr>
          <w:p w14:paraId="2CB1978B" w14:textId="7A76F59D"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201</w:t>
            </w:r>
          </w:p>
        </w:tc>
        <w:tc>
          <w:tcPr>
            <w:tcW w:w="704" w:type="pct"/>
            <w:tcBorders>
              <w:top w:val="nil"/>
              <w:left w:val="nil"/>
              <w:bottom w:val="single" w:sz="4" w:space="0" w:color="auto"/>
              <w:right w:val="single" w:sz="4" w:space="0" w:color="auto"/>
            </w:tcBorders>
            <w:shd w:val="clear" w:color="auto" w:fill="auto"/>
            <w:noWrap/>
            <w:vAlign w:val="center"/>
            <w:hideMark/>
          </w:tcPr>
          <w:p w14:paraId="340F855D" w14:textId="56CC8BDF"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363.313.053</w:t>
            </w:r>
          </w:p>
        </w:tc>
        <w:tc>
          <w:tcPr>
            <w:tcW w:w="638" w:type="pct"/>
            <w:tcBorders>
              <w:top w:val="nil"/>
              <w:left w:val="nil"/>
              <w:bottom w:val="single" w:sz="4" w:space="0" w:color="auto"/>
              <w:right w:val="single" w:sz="4" w:space="0" w:color="auto"/>
            </w:tcBorders>
            <w:shd w:val="clear" w:color="auto" w:fill="auto"/>
            <w:noWrap/>
            <w:vAlign w:val="center"/>
          </w:tcPr>
          <w:p w14:paraId="527C20C4" w14:textId="18B9E003"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26,41 %</w:t>
            </w:r>
          </w:p>
        </w:tc>
        <w:tc>
          <w:tcPr>
            <w:tcW w:w="695" w:type="pct"/>
            <w:tcBorders>
              <w:top w:val="nil"/>
              <w:left w:val="nil"/>
              <w:bottom w:val="single" w:sz="4" w:space="0" w:color="auto"/>
              <w:right w:val="single" w:sz="4" w:space="0" w:color="auto"/>
            </w:tcBorders>
            <w:shd w:val="clear" w:color="auto" w:fill="auto"/>
            <w:noWrap/>
            <w:vAlign w:val="center"/>
          </w:tcPr>
          <w:p w14:paraId="7F01F330" w14:textId="2617F1A4"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39,69 %</w:t>
            </w:r>
          </w:p>
        </w:tc>
      </w:tr>
      <w:tr w:rsidR="00F34560" w:rsidRPr="00F34560" w14:paraId="3C566161" w14:textId="77777777" w:rsidTr="00F34560">
        <w:trPr>
          <w:trHeight w:val="288"/>
        </w:trPr>
        <w:tc>
          <w:tcPr>
            <w:tcW w:w="2584" w:type="pct"/>
            <w:tcBorders>
              <w:top w:val="nil"/>
              <w:left w:val="single" w:sz="4" w:space="0" w:color="auto"/>
              <w:bottom w:val="single" w:sz="4" w:space="0" w:color="auto"/>
              <w:right w:val="single" w:sz="4" w:space="0" w:color="auto"/>
            </w:tcBorders>
            <w:shd w:val="clear" w:color="auto" w:fill="auto"/>
            <w:noWrap/>
            <w:vAlign w:val="center"/>
            <w:hideMark/>
          </w:tcPr>
          <w:p w14:paraId="67B8716D" w14:textId="19152CBF" w:rsidR="00F34560" w:rsidRPr="00F34560" w:rsidRDefault="00F34560" w:rsidP="00F34560">
            <w:pPr>
              <w:spacing w:after="0" w:line="240" w:lineRule="auto"/>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Postopek naročila male vrednosti</w:t>
            </w:r>
          </w:p>
        </w:tc>
        <w:tc>
          <w:tcPr>
            <w:tcW w:w="379" w:type="pct"/>
            <w:tcBorders>
              <w:top w:val="nil"/>
              <w:left w:val="nil"/>
              <w:bottom w:val="single" w:sz="4" w:space="0" w:color="auto"/>
              <w:right w:val="single" w:sz="4" w:space="0" w:color="auto"/>
            </w:tcBorders>
            <w:shd w:val="clear" w:color="auto" w:fill="auto"/>
            <w:noWrap/>
            <w:vAlign w:val="center"/>
          </w:tcPr>
          <w:p w14:paraId="29E44774" w14:textId="63E7A0A2"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107</w:t>
            </w:r>
          </w:p>
        </w:tc>
        <w:tc>
          <w:tcPr>
            <w:tcW w:w="704" w:type="pct"/>
            <w:tcBorders>
              <w:top w:val="nil"/>
              <w:left w:val="nil"/>
              <w:bottom w:val="single" w:sz="4" w:space="0" w:color="auto"/>
              <w:right w:val="single" w:sz="4" w:space="0" w:color="auto"/>
            </w:tcBorders>
            <w:shd w:val="clear" w:color="auto" w:fill="auto"/>
            <w:noWrap/>
            <w:vAlign w:val="center"/>
          </w:tcPr>
          <w:p w14:paraId="3595F359" w14:textId="480A609C"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36.248.203</w:t>
            </w:r>
          </w:p>
        </w:tc>
        <w:tc>
          <w:tcPr>
            <w:tcW w:w="638" w:type="pct"/>
            <w:tcBorders>
              <w:top w:val="nil"/>
              <w:left w:val="nil"/>
              <w:bottom w:val="single" w:sz="4" w:space="0" w:color="auto"/>
              <w:right w:val="single" w:sz="4" w:space="0" w:color="auto"/>
            </w:tcBorders>
            <w:shd w:val="clear" w:color="auto" w:fill="auto"/>
            <w:noWrap/>
            <w:vAlign w:val="center"/>
          </w:tcPr>
          <w:p w14:paraId="54A57EBD" w14:textId="67A00EF1"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14,06 %</w:t>
            </w:r>
          </w:p>
        </w:tc>
        <w:tc>
          <w:tcPr>
            <w:tcW w:w="695" w:type="pct"/>
            <w:tcBorders>
              <w:top w:val="nil"/>
              <w:left w:val="nil"/>
              <w:bottom w:val="single" w:sz="4" w:space="0" w:color="auto"/>
              <w:right w:val="single" w:sz="4" w:space="0" w:color="auto"/>
            </w:tcBorders>
            <w:shd w:val="clear" w:color="auto" w:fill="auto"/>
            <w:noWrap/>
            <w:vAlign w:val="center"/>
          </w:tcPr>
          <w:p w14:paraId="6BFBF798" w14:textId="3CCC61C1"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3,96 %</w:t>
            </w:r>
          </w:p>
        </w:tc>
      </w:tr>
      <w:tr w:rsidR="00F34560" w:rsidRPr="00F34560" w14:paraId="36670691" w14:textId="77777777" w:rsidTr="00F34560">
        <w:trPr>
          <w:trHeight w:val="288"/>
        </w:trPr>
        <w:tc>
          <w:tcPr>
            <w:tcW w:w="2584" w:type="pct"/>
            <w:tcBorders>
              <w:top w:val="nil"/>
              <w:left w:val="single" w:sz="4" w:space="0" w:color="auto"/>
              <w:bottom w:val="single" w:sz="4" w:space="0" w:color="auto"/>
              <w:right w:val="single" w:sz="4" w:space="0" w:color="auto"/>
            </w:tcBorders>
            <w:shd w:val="clear" w:color="auto" w:fill="auto"/>
            <w:noWrap/>
            <w:vAlign w:val="center"/>
            <w:hideMark/>
          </w:tcPr>
          <w:p w14:paraId="58E29416" w14:textId="4066610C" w:rsidR="00F34560" w:rsidRPr="00F34560" w:rsidRDefault="00F34560" w:rsidP="00F34560">
            <w:pPr>
              <w:spacing w:after="0" w:line="240" w:lineRule="auto"/>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Postopek s pogajanji brez predhodne objave</w:t>
            </w:r>
          </w:p>
        </w:tc>
        <w:tc>
          <w:tcPr>
            <w:tcW w:w="379" w:type="pct"/>
            <w:tcBorders>
              <w:top w:val="nil"/>
              <w:left w:val="nil"/>
              <w:bottom w:val="single" w:sz="4" w:space="0" w:color="auto"/>
              <w:right w:val="single" w:sz="4" w:space="0" w:color="auto"/>
            </w:tcBorders>
            <w:shd w:val="clear" w:color="auto" w:fill="auto"/>
            <w:noWrap/>
            <w:vAlign w:val="center"/>
            <w:hideMark/>
          </w:tcPr>
          <w:p w14:paraId="075805A2" w14:textId="138D5E4F"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9</w:t>
            </w:r>
          </w:p>
        </w:tc>
        <w:tc>
          <w:tcPr>
            <w:tcW w:w="704" w:type="pct"/>
            <w:tcBorders>
              <w:top w:val="nil"/>
              <w:left w:val="nil"/>
              <w:bottom w:val="single" w:sz="4" w:space="0" w:color="auto"/>
              <w:right w:val="single" w:sz="4" w:space="0" w:color="auto"/>
            </w:tcBorders>
            <w:shd w:val="clear" w:color="auto" w:fill="auto"/>
            <w:noWrap/>
            <w:vAlign w:val="center"/>
            <w:hideMark/>
          </w:tcPr>
          <w:p w14:paraId="56DCD212" w14:textId="470DE935"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4.578.936</w:t>
            </w:r>
          </w:p>
        </w:tc>
        <w:tc>
          <w:tcPr>
            <w:tcW w:w="638" w:type="pct"/>
            <w:tcBorders>
              <w:top w:val="nil"/>
              <w:left w:val="nil"/>
              <w:bottom w:val="single" w:sz="4" w:space="0" w:color="auto"/>
              <w:right w:val="single" w:sz="4" w:space="0" w:color="auto"/>
            </w:tcBorders>
            <w:shd w:val="clear" w:color="auto" w:fill="auto"/>
            <w:noWrap/>
            <w:vAlign w:val="center"/>
          </w:tcPr>
          <w:p w14:paraId="7073DB8C" w14:textId="2BFBEFF4"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1,18 %</w:t>
            </w:r>
          </w:p>
        </w:tc>
        <w:tc>
          <w:tcPr>
            <w:tcW w:w="695" w:type="pct"/>
            <w:tcBorders>
              <w:top w:val="nil"/>
              <w:left w:val="nil"/>
              <w:bottom w:val="single" w:sz="4" w:space="0" w:color="auto"/>
              <w:right w:val="single" w:sz="4" w:space="0" w:color="auto"/>
            </w:tcBorders>
            <w:shd w:val="clear" w:color="auto" w:fill="auto"/>
            <w:noWrap/>
            <w:vAlign w:val="center"/>
          </w:tcPr>
          <w:p w14:paraId="27BA6FFD" w14:textId="2AD40C13"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0,50 %</w:t>
            </w:r>
          </w:p>
        </w:tc>
      </w:tr>
      <w:tr w:rsidR="00F34560" w:rsidRPr="00F34560" w14:paraId="44C1BCD0" w14:textId="77777777" w:rsidTr="00F34560">
        <w:trPr>
          <w:trHeight w:val="288"/>
        </w:trPr>
        <w:tc>
          <w:tcPr>
            <w:tcW w:w="2584" w:type="pct"/>
            <w:tcBorders>
              <w:top w:val="nil"/>
              <w:left w:val="single" w:sz="4" w:space="0" w:color="auto"/>
              <w:bottom w:val="single" w:sz="4" w:space="0" w:color="auto"/>
              <w:right w:val="single" w:sz="4" w:space="0" w:color="auto"/>
            </w:tcBorders>
            <w:shd w:val="clear" w:color="auto" w:fill="auto"/>
            <w:noWrap/>
            <w:vAlign w:val="center"/>
          </w:tcPr>
          <w:p w14:paraId="7CE3F7C2" w14:textId="32A5EFF0" w:rsidR="00F34560" w:rsidRPr="00F34560" w:rsidRDefault="00F34560" w:rsidP="00F34560">
            <w:pPr>
              <w:spacing w:after="0" w:line="240" w:lineRule="auto"/>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Postopek s pogajanji s predhodnim javnim razpisom</w:t>
            </w:r>
          </w:p>
        </w:tc>
        <w:tc>
          <w:tcPr>
            <w:tcW w:w="379" w:type="pct"/>
            <w:tcBorders>
              <w:top w:val="nil"/>
              <w:left w:val="nil"/>
              <w:bottom w:val="single" w:sz="4" w:space="0" w:color="auto"/>
              <w:right w:val="single" w:sz="4" w:space="0" w:color="auto"/>
            </w:tcBorders>
            <w:shd w:val="clear" w:color="auto" w:fill="auto"/>
            <w:noWrap/>
            <w:vAlign w:val="center"/>
          </w:tcPr>
          <w:p w14:paraId="50A4CF7A" w14:textId="60713315"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2</w:t>
            </w:r>
          </w:p>
        </w:tc>
        <w:tc>
          <w:tcPr>
            <w:tcW w:w="704" w:type="pct"/>
            <w:tcBorders>
              <w:top w:val="nil"/>
              <w:left w:val="nil"/>
              <w:bottom w:val="single" w:sz="4" w:space="0" w:color="auto"/>
              <w:right w:val="single" w:sz="4" w:space="0" w:color="auto"/>
            </w:tcBorders>
            <w:shd w:val="clear" w:color="auto" w:fill="auto"/>
            <w:noWrap/>
            <w:vAlign w:val="center"/>
          </w:tcPr>
          <w:p w14:paraId="5DB85ADA" w14:textId="6E3B142E"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1.907.869</w:t>
            </w:r>
          </w:p>
        </w:tc>
        <w:tc>
          <w:tcPr>
            <w:tcW w:w="638" w:type="pct"/>
            <w:tcBorders>
              <w:top w:val="nil"/>
              <w:left w:val="nil"/>
              <w:bottom w:val="single" w:sz="4" w:space="0" w:color="auto"/>
              <w:right w:val="single" w:sz="4" w:space="0" w:color="auto"/>
            </w:tcBorders>
            <w:shd w:val="clear" w:color="auto" w:fill="auto"/>
            <w:noWrap/>
            <w:vAlign w:val="center"/>
          </w:tcPr>
          <w:p w14:paraId="04824DBE" w14:textId="614CD29D"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0,26 %</w:t>
            </w:r>
          </w:p>
        </w:tc>
        <w:tc>
          <w:tcPr>
            <w:tcW w:w="695" w:type="pct"/>
            <w:tcBorders>
              <w:top w:val="nil"/>
              <w:left w:val="nil"/>
              <w:bottom w:val="single" w:sz="4" w:space="0" w:color="auto"/>
              <w:right w:val="single" w:sz="4" w:space="0" w:color="auto"/>
            </w:tcBorders>
            <w:shd w:val="clear" w:color="auto" w:fill="auto"/>
            <w:noWrap/>
            <w:vAlign w:val="center"/>
          </w:tcPr>
          <w:p w14:paraId="15ED1EC2" w14:textId="2A9B070B" w:rsidR="00F34560" w:rsidRPr="00F34560" w:rsidRDefault="00F34560" w:rsidP="00F34560">
            <w:pPr>
              <w:spacing w:after="0" w:line="240" w:lineRule="auto"/>
              <w:jc w:val="right"/>
              <w:rPr>
                <w:rFonts w:ascii="Arial" w:eastAsia="Times New Roman" w:hAnsi="Arial" w:cs="Arial"/>
                <w:color w:val="000000" w:themeColor="text1"/>
                <w:sz w:val="18"/>
                <w:szCs w:val="18"/>
                <w:lang w:eastAsia="sl-SI"/>
              </w:rPr>
            </w:pPr>
            <w:r w:rsidRPr="00F34560">
              <w:rPr>
                <w:rFonts w:ascii="Arial" w:eastAsia="Times New Roman" w:hAnsi="Arial" w:cs="Arial"/>
                <w:color w:val="000000" w:themeColor="text1"/>
                <w:sz w:val="18"/>
                <w:szCs w:val="18"/>
                <w:lang w:eastAsia="sl-SI"/>
              </w:rPr>
              <w:t>0,21 %</w:t>
            </w:r>
          </w:p>
        </w:tc>
      </w:tr>
      <w:tr w:rsidR="00F34560" w:rsidRPr="00F34560" w14:paraId="369E1FA2" w14:textId="77777777" w:rsidTr="00F34560">
        <w:trPr>
          <w:trHeight w:val="288"/>
        </w:trPr>
        <w:tc>
          <w:tcPr>
            <w:tcW w:w="258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73B15C" w14:textId="77777777" w:rsidR="00F34560" w:rsidRPr="00F34560" w:rsidRDefault="00F34560" w:rsidP="00F34560">
            <w:pPr>
              <w:spacing w:after="0" w:line="240" w:lineRule="auto"/>
              <w:rPr>
                <w:rFonts w:ascii="Arial" w:eastAsia="Times New Roman" w:hAnsi="Arial" w:cs="Arial"/>
                <w:b/>
                <w:bCs/>
                <w:color w:val="000000" w:themeColor="text1"/>
                <w:sz w:val="18"/>
                <w:szCs w:val="18"/>
                <w:lang w:eastAsia="sl-SI"/>
              </w:rPr>
            </w:pPr>
            <w:r w:rsidRPr="00F34560">
              <w:rPr>
                <w:rFonts w:ascii="Arial" w:eastAsia="Times New Roman" w:hAnsi="Arial" w:cs="Arial"/>
                <w:b/>
                <w:bCs/>
                <w:color w:val="000000" w:themeColor="text1"/>
                <w:sz w:val="18"/>
                <w:szCs w:val="18"/>
                <w:lang w:eastAsia="sl-SI"/>
              </w:rPr>
              <w:t>Skupaj</w:t>
            </w:r>
          </w:p>
        </w:tc>
        <w:tc>
          <w:tcPr>
            <w:tcW w:w="379" w:type="pct"/>
            <w:tcBorders>
              <w:top w:val="nil"/>
              <w:left w:val="nil"/>
              <w:bottom w:val="single" w:sz="4" w:space="0" w:color="auto"/>
              <w:right w:val="single" w:sz="4" w:space="0" w:color="auto"/>
            </w:tcBorders>
            <w:shd w:val="clear" w:color="auto" w:fill="F2F2F2" w:themeFill="background1" w:themeFillShade="F2"/>
            <w:noWrap/>
            <w:vAlign w:val="center"/>
          </w:tcPr>
          <w:p w14:paraId="5667D13D" w14:textId="3C8EA655" w:rsidR="00F34560" w:rsidRPr="00F34560" w:rsidRDefault="00F34560" w:rsidP="00F34560">
            <w:pPr>
              <w:spacing w:after="0" w:line="240" w:lineRule="auto"/>
              <w:jc w:val="right"/>
              <w:rPr>
                <w:rFonts w:ascii="Arial" w:eastAsia="Times New Roman" w:hAnsi="Arial" w:cs="Arial"/>
                <w:b/>
                <w:bCs/>
                <w:color w:val="000000" w:themeColor="text1"/>
                <w:sz w:val="18"/>
                <w:szCs w:val="18"/>
                <w:lang w:eastAsia="sl-SI"/>
              </w:rPr>
            </w:pPr>
            <w:r w:rsidRPr="00F34560">
              <w:rPr>
                <w:rFonts w:ascii="Arial" w:eastAsia="Times New Roman" w:hAnsi="Arial" w:cs="Arial"/>
                <w:b/>
                <w:bCs/>
                <w:color w:val="000000" w:themeColor="text1"/>
                <w:sz w:val="18"/>
                <w:szCs w:val="18"/>
                <w:lang w:eastAsia="sl-SI"/>
              </w:rPr>
              <w:t>761</w:t>
            </w:r>
          </w:p>
        </w:tc>
        <w:tc>
          <w:tcPr>
            <w:tcW w:w="704" w:type="pct"/>
            <w:tcBorders>
              <w:top w:val="nil"/>
              <w:left w:val="nil"/>
              <w:bottom w:val="single" w:sz="4" w:space="0" w:color="auto"/>
              <w:right w:val="single" w:sz="4" w:space="0" w:color="auto"/>
            </w:tcBorders>
            <w:shd w:val="clear" w:color="auto" w:fill="F2F2F2" w:themeFill="background1" w:themeFillShade="F2"/>
            <w:noWrap/>
            <w:vAlign w:val="center"/>
          </w:tcPr>
          <w:p w14:paraId="67D3018D" w14:textId="478FE218" w:rsidR="00F34560" w:rsidRPr="00F34560" w:rsidRDefault="00F34560" w:rsidP="00F34560">
            <w:pPr>
              <w:spacing w:after="0" w:line="240" w:lineRule="auto"/>
              <w:jc w:val="right"/>
              <w:rPr>
                <w:rFonts w:ascii="Arial" w:eastAsia="Times New Roman" w:hAnsi="Arial" w:cs="Arial"/>
                <w:b/>
                <w:bCs/>
                <w:color w:val="000000" w:themeColor="text1"/>
                <w:sz w:val="18"/>
                <w:szCs w:val="18"/>
                <w:lang w:eastAsia="sl-SI"/>
              </w:rPr>
            </w:pPr>
            <w:r w:rsidRPr="00F34560">
              <w:rPr>
                <w:rFonts w:ascii="Arial" w:eastAsia="Times New Roman" w:hAnsi="Arial" w:cs="Arial"/>
                <w:b/>
                <w:bCs/>
                <w:color w:val="000000" w:themeColor="text1"/>
                <w:sz w:val="18"/>
                <w:szCs w:val="18"/>
                <w:lang w:eastAsia="sl-SI"/>
              </w:rPr>
              <w:t>915.332.141</w:t>
            </w:r>
          </w:p>
        </w:tc>
        <w:tc>
          <w:tcPr>
            <w:tcW w:w="638" w:type="pct"/>
            <w:tcBorders>
              <w:top w:val="nil"/>
              <w:left w:val="nil"/>
              <w:bottom w:val="single" w:sz="4" w:space="0" w:color="auto"/>
              <w:right w:val="single" w:sz="4" w:space="0" w:color="auto"/>
            </w:tcBorders>
            <w:shd w:val="clear" w:color="auto" w:fill="F2F2F2" w:themeFill="background1" w:themeFillShade="F2"/>
            <w:noWrap/>
            <w:vAlign w:val="center"/>
          </w:tcPr>
          <w:p w14:paraId="24EF69BF" w14:textId="37904105" w:rsidR="00F34560" w:rsidRPr="00F34560" w:rsidRDefault="00F34560" w:rsidP="00F34560">
            <w:pPr>
              <w:spacing w:after="0" w:line="240" w:lineRule="auto"/>
              <w:jc w:val="right"/>
              <w:rPr>
                <w:rFonts w:ascii="Arial" w:eastAsia="Times New Roman" w:hAnsi="Arial" w:cs="Arial"/>
                <w:b/>
                <w:bCs/>
                <w:color w:val="000000" w:themeColor="text1"/>
                <w:sz w:val="18"/>
                <w:szCs w:val="18"/>
                <w:lang w:eastAsia="sl-SI"/>
              </w:rPr>
            </w:pPr>
            <w:r w:rsidRPr="00F34560">
              <w:rPr>
                <w:rFonts w:ascii="Arial" w:eastAsia="Times New Roman" w:hAnsi="Arial" w:cs="Arial"/>
                <w:b/>
                <w:bCs/>
                <w:color w:val="000000" w:themeColor="text1"/>
                <w:sz w:val="18"/>
                <w:szCs w:val="18"/>
                <w:lang w:eastAsia="sl-SI"/>
              </w:rPr>
              <w:t>100,00 %</w:t>
            </w:r>
          </w:p>
        </w:tc>
        <w:tc>
          <w:tcPr>
            <w:tcW w:w="695" w:type="pct"/>
            <w:tcBorders>
              <w:top w:val="nil"/>
              <w:left w:val="nil"/>
              <w:bottom w:val="single" w:sz="4" w:space="0" w:color="auto"/>
              <w:right w:val="single" w:sz="4" w:space="0" w:color="auto"/>
            </w:tcBorders>
            <w:shd w:val="clear" w:color="auto" w:fill="F2F2F2" w:themeFill="background1" w:themeFillShade="F2"/>
            <w:noWrap/>
            <w:vAlign w:val="center"/>
          </w:tcPr>
          <w:p w14:paraId="0FB890F7" w14:textId="0F3B48AD" w:rsidR="00F34560" w:rsidRPr="00F34560" w:rsidRDefault="00F34560" w:rsidP="00F34560">
            <w:pPr>
              <w:spacing w:after="0" w:line="240" w:lineRule="auto"/>
              <w:jc w:val="right"/>
              <w:rPr>
                <w:rFonts w:ascii="Arial" w:eastAsia="Times New Roman" w:hAnsi="Arial" w:cs="Arial"/>
                <w:b/>
                <w:bCs/>
                <w:color w:val="000000" w:themeColor="text1"/>
                <w:sz w:val="18"/>
                <w:szCs w:val="18"/>
                <w:lang w:eastAsia="sl-SI"/>
              </w:rPr>
            </w:pPr>
            <w:r w:rsidRPr="00F34560">
              <w:rPr>
                <w:rFonts w:ascii="Arial" w:eastAsia="Times New Roman" w:hAnsi="Arial" w:cs="Arial"/>
                <w:b/>
                <w:bCs/>
                <w:color w:val="000000" w:themeColor="text1"/>
                <w:sz w:val="18"/>
                <w:szCs w:val="18"/>
                <w:lang w:eastAsia="sl-SI"/>
              </w:rPr>
              <w:t>100,00 %</w:t>
            </w:r>
          </w:p>
        </w:tc>
      </w:tr>
    </w:tbl>
    <w:p w14:paraId="42F3F8C4" w14:textId="77777777" w:rsidR="004A613D" w:rsidRPr="00F34560" w:rsidRDefault="004A613D" w:rsidP="004A613D">
      <w:pPr>
        <w:spacing w:after="0" w:line="240" w:lineRule="auto"/>
        <w:jc w:val="center"/>
        <w:rPr>
          <w:rFonts w:ascii="Arial" w:hAnsi="Arial" w:cs="Arial"/>
          <w:color w:val="000000" w:themeColor="text1"/>
          <w:sz w:val="18"/>
        </w:rPr>
      </w:pPr>
    </w:p>
    <w:p w14:paraId="08DCC262" w14:textId="6FAA58C7" w:rsidR="00C22535" w:rsidRPr="00F34560" w:rsidRDefault="00C22535" w:rsidP="004A613D">
      <w:pPr>
        <w:spacing w:after="0" w:line="240" w:lineRule="auto"/>
        <w:jc w:val="center"/>
        <w:rPr>
          <w:rFonts w:ascii="Arial" w:hAnsi="Arial" w:cs="Arial"/>
          <w:color w:val="000000" w:themeColor="text1"/>
          <w:sz w:val="18"/>
        </w:rPr>
      </w:pPr>
      <w:r w:rsidRPr="00F34560">
        <w:rPr>
          <w:rFonts w:ascii="Arial" w:hAnsi="Arial" w:cs="Arial"/>
          <w:color w:val="000000" w:themeColor="text1"/>
          <w:sz w:val="18"/>
        </w:rPr>
        <w:t>Vir: Statistični podatki o javni</w:t>
      </w:r>
      <w:r w:rsidR="00601A40" w:rsidRPr="00F34560">
        <w:rPr>
          <w:rFonts w:ascii="Arial" w:hAnsi="Arial" w:cs="Arial"/>
          <w:color w:val="000000" w:themeColor="text1"/>
          <w:sz w:val="18"/>
        </w:rPr>
        <w:t>h naročilih, oddanih v letu 20</w:t>
      </w:r>
      <w:r w:rsidR="00D8275F" w:rsidRPr="00F34560">
        <w:rPr>
          <w:rFonts w:ascii="Arial" w:hAnsi="Arial" w:cs="Arial"/>
          <w:color w:val="000000" w:themeColor="text1"/>
          <w:sz w:val="18"/>
        </w:rPr>
        <w:t>2</w:t>
      </w:r>
      <w:r w:rsidR="002159D1" w:rsidRPr="00F34560">
        <w:rPr>
          <w:rFonts w:ascii="Arial" w:hAnsi="Arial" w:cs="Arial"/>
          <w:color w:val="000000" w:themeColor="text1"/>
          <w:sz w:val="18"/>
        </w:rPr>
        <w:t>3</w:t>
      </w:r>
      <w:r w:rsidR="00630FBA" w:rsidRPr="00F34560">
        <w:rPr>
          <w:rFonts w:ascii="Arial" w:hAnsi="Arial" w:cs="Arial"/>
          <w:color w:val="000000" w:themeColor="text1"/>
          <w:sz w:val="18"/>
        </w:rPr>
        <w:t>.</w:t>
      </w:r>
    </w:p>
    <w:p w14:paraId="1A4DB38B" w14:textId="4E60C902" w:rsidR="0006360B" w:rsidRPr="00637ACF" w:rsidRDefault="0006360B" w:rsidP="00CB7AA8">
      <w:pPr>
        <w:spacing w:line="360" w:lineRule="auto"/>
        <w:jc w:val="both"/>
        <w:rPr>
          <w:rFonts w:ascii="Arial" w:hAnsi="Arial" w:cs="Arial"/>
          <w:color w:val="FF0000"/>
          <w:sz w:val="20"/>
          <w:szCs w:val="20"/>
          <w:highlight w:val="yellow"/>
        </w:rPr>
      </w:pPr>
    </w:p>
    <w:p w14:paraId="39A20AA9" w14:textId="228DC517" w:rsidR="00C22535" w:rsidRPr="00F06F74" w:rsidRDefault="00C22535" w:rsidP="0066593A">
      <w:pPr>
        <w:spacing w:line="360" w:lineRule="auto"/>
        <w:jc w:val="both"/>
        <w:rPr>
          <w:rFonts w:ascii="Arial" w:eastAsia="Times New Roman" w:hAnsi="Arial" w:cs="Arial"/>
          <w:color w:val="FF0000"/>
          <w:sz w:val="20"/>
          <w:szCs w:val="20"/>
          <w:lang w:eastAsia="sl-SI"/>
        </w:rPr>
      </w:pPr>
      <w:r w:rsidRPr="00C5052E">
        <w:rPr>
          <w:rFonts w:ascii="Arial" w:hAnsi="Arial" w:cs="Arial"/>
          <w:color w:val="000000" w:themeColor="text1"/>
          <w:sz w:val="20"/>
          <w:szCs w:val="20"/>
        </w:rPr>
        <w:t xml:space="preserve">Naročniki so </w:t>
      </w:r>
      <w:r w:rsidR="0001344D" w:rsidRPr="00C5052E">
        <w:rPr>
          <w:rFonts w:ascii="Arial" w:hAnsi="Arial" w:cs="Arial"/>
          <w:color w:val="000000" w:themeColor="text1"/>
          <w:sz w:val="20"/>
          <w:szCs w:val="20"/>
        </w:rPr>
        <w:t>največ skupnih javnih naročil oddali na</w:t>
      </w:r>
      <w:r w:rsidRPr="00C5052E">
        <w:rPr>
          <w:rFonts w:ascii="Arial" w:hAnsi="Arial" w:cs="Arial"/>
          <w:color w:val="000000" w:themeColor="text1"/>
          <w:sz w:val="20"/>
          <w:szCs w:val="20"/>
        </w:rPr>
        <w:t xml:space="preserve"> splošnem po</w:t>
      </w:r>
      <w:r w:rsidR="00B25794" w:rsidRPr="00C5052E">
        <w:rPr>
          <w:rFonts w:ascii="Arial" w:hAnsi="Arial" w:cs="Arial"/>
          <w:color w:val="000000" w:themeColor="text1"/>
          <w:sz w:val="20"/>
          <w:szCs w:val="20"/>
        </w:rPr>
        <w:t xml:space="preserve">dročju, kjer je bilo oddanih </w:t>
      </w:r>
      <w:r w:rsidR="004071E1" w:rsidRPr="00C5052E">
        <w:rPr>
          <w:rFonts w:ascii="Arial" w:hAnsi="Arial" w:cs="Arial"/>
          <w:color w:val="000000" w:themeColor="text1"/>
          <w:sz w:val="20"/>
          <w:szCs w:val="20"/>
        </w:rPr>
        <w:t>6</w:t>
      </w:r>
      <w:r w:rsidR="00600F5A" w:rsidRPr="00C5052E">
        <w:rPr>
          <w:rFonts w:ascii="Arial" w:hAnsi="Arial" w:cs="Arial"/>
          <w:color w:val="000000" w:themeColor="text1"/>
          <w:sz w:val="20"/>
          <w:szCs w:val="20"/>
        </w:rPr>
        <w:t>8</w:t>
      </w:r>
      <w:r w:rsidR="00C5052E" w:rsidRPr="00C5052E">
        <w:rPr>
          <w:rFonts w:ascii="Arial" w:hAnsi="Arial" w:cs="Arial"/>
          <w:color w:val="000000" w:themeColor="text1"/>
          <w:sz w:val="20"/>
          <w:szCs w:val="20"/>
        </w:rPr>
        <w:t>4</w:t>
      </w:r>
      <w:r w:rsidR="00630FBA" w:rsidRPr="00C5052E">
        <w:rPr>
          <w:rFonts w:ascii="Arial" w:hAnsi="Arial" w:cs="Arial"/>
          <w:color w:val="000000" w:themeColor="text1"/>
          <w:sz w:val="20"/>
          <w:szCs w:val="20"/>
        </w:rPr>
        <w:t> </w:t>
      </w:r>
      <w:r w:rsidRPr="00C5052E">
        <w:rPr>
          <w:rFonts w:ascii="Arial" w:hAnsi="Arial" w:cs="Arial"/>
          <w:color w:val="000000" w:themeColor="text1"/>
          <w:sz w:val="20"/>
          <w:szCs w:val="20"/>
        </w:rPr>
        <w:t xml:space="preserve">naročil v vrednosti </w:t>
      </w:r>
      <w:r w:rsidR="004937B6" w:rsidRPr="00C5052E">
        <w:rPr>
          <w:rFonts w:ascii="Arial" w:hAnsi="Arial" w:cs="Arial"/>
          <w:color w:val="000000" w:themeColor="text1"/>
          <w:sz w:val="20"/>
          <w:szCs w:val="20"/>
        </w:rPr>
        <w:t>753.6</w:t>
      </w:r>
      <w:r w:rsidR="00C5052E" w:rsidRPr="00C5052E">
        <w:rPr>
          <w:rFonts w:ascii="Arial" w:hAnsi="Arial" w:cs="Arial"/>
          <w:color w:val="000000" w:themeColor="text1"/>
          <w:sz w:val="20"/>
          <w:szCs w:val="20"/>
        </w:rPr>
        <w:t>61</w:t>
      </w:r>
      <w:r w:rsidR="004937B6" w:rsidRPr="00C5052E">
        <w:rPr>
          <w:rFonts w:ascii="Arial" w:hAnsi="Arial" w:cs="Arial"/>
          <w:color w:val="000000" w:themeColor="text1"/>
          <w:sz w:val="20"/>
          <w:szCs w:val="20"/>
        </w:rPr>
        <w:t>.</w:t>
      </w:r>
      <w:r w:rsidR="00C5052E" w:rsidRPr="00C5052E">
        <w:rPr>
          <w:rFonts w:ascii="Arial" w:hAnsi="Arial" w:cs="Arial"/>
          <w:color w:val="000000" w:themeColor="text1"/>
          <w:sz w:val="20"/>
          <w:szCs w:val="20"/>
        </w:rPr>
        <w:t>023</w:t>
      </w:r>
      <w:r w:rsidR="004937B6" w:rsidRPr="00C5052E">
        <w:rPr>
          <w:rFonts w:ascii="Arial" w:hAnsi="Arial" w:cs="Arial"/>
          <w:color w:val="000000" w:themeColor="text1"/>
          <w:sz w:val="20"/>
          <w:szCs w:val="20"/>
        </w:rPr>
        <w:t xml:space="preserve"> </w:t>
      </w:r>
      <w:r w:rsidRPr="00C5052E">
        <w:rPr>
          <w:rFonts w:ascii="Arial" w:hAnsi="Arial" w:cs="Arial"/>
          <w:color w:val="000000" w:themeColor="text1"/>
          <w:sz w:val="20"/>
          <w:szCs w:val="20"/>
        </w:rPr>
        <w:t xml:space="preserve">evrov. </w:t>
      </w:r>
      <w:r w:rsidR="00CB7AA8" w:rsidRPr="00C5052E">
        <w:rPr>
          <w:rFonts w:ascii="Arial" w:hAnsi="Arial" w:cs="Arial"/>
          <w:color w:val="000000" w:themeColor="text1"/>
          <w:sz w:val="20"/>
          <w:szCs w:val="20"/>
        </w:rPr>
        <w:t>Preostala naročila (</w:t>
      </w:r>
      <w:r w:rsidR="00600F5A" w:rsidRPr="00C5052E">
        <w:rPr>
          <w:rFonts w:ascii="Arial" w:hAnsi="Arial" w:cs="Arial"/>
          <w:color w:val="000000" w:themeColor="text1"/>
          <w:sz w:val="20"/>
          <w:szCs w:val="20"/>
        </w:rPr>
        <w:t>77</w:t>
      </w:r>
      <w:r w:rsidRPr="00C5052E">
        <w:rPr>
          <w:rFonts w:ascii="Arial" w:hAnsi="Arial" w:cs="Arial"/>
          <w:color w:val="000000" w:themeColor="text1"/>
          <w:sz w:val="20"/>
          <w:szCs w:val="20"/>
        </w:rPr>
        <w:t xml:space="preserve"> naročil v vrednosti </w:t>
      </w:r>
      <w:r w:rsidR="00600F5A" w:rsidRPr="00C5052E">
        <w:rPr>
          <w:rFonts w:ascii="Arial" w:hAnsi="Arial" w:cs="Arial"/>
          <w:color w:val="000000" w:themeColor="text1"/>
          <w:sz w:val="20"/>
          <w:szCs w:val="20"/>
        </w:rPr>
        <w:t xml:space="preserve">161.671.118 </w:t>
      </w:r>
      <w:r w:rsidRPr="00C5052E">
        <w:rPr>
          <w:rFonts w:ascii="Arial" w:hAnsi="Arial" w:cs="Arial"/>
          <w:color w:val="000000" w:themeColor="text1"/>
          <w:sz w:val="20"/>
          <w:szCs w:val="20"/>
        </w:rPr>
        <w:t xml:space="preserve">evrov) so bila </w:t>
      </w:r>
      <w:r w:rsidRPr="00F06F74">
        <w:rPr>
          <w:rFonts w:ascii="Arial" w:hAnsi="Arial" w:cs="Arial"/>
          <w:color w:val="000000" w:themeColor="text1"/>
          <w:sz w:val="20"/>
          <w:szCs w:val="20"/>
        </w:rPr>
        <w:t>oddana na infrastrukturnem področju</w:t>
      </w:r>
      <w:r w:rsidRPr="009D4564">
        <w:rPr>
          <w:rFonts w:ascii="Arial" w:hAnsi="Arial" w:cs="Arial"/>
          <w:sz w:val="20"/>
          <w:szCs w:val="20"/>
        </w:rPr>
        <w:t>.</w:t>
      </w:r>
    </w:p>
    <w:p w14:paraId="63B5782D" w14:textId="186E2D15" w:rsidR="00F155EE" w:rsidRPr="00F06F74" w:rsidRDefault="00C22535" w:rsidP="00CA3E68">
      <w:pPr>
        <w:spacing w:after="0" w:line="360" w:lineRule="auto"/>
        <w:jc w:val="both"/>
        <w:rPr>
          <w:rFonts w:ascii="Arial" w:eastAsia="Times New Roman" w:hAnsi="Arial" w:cs="Arial"/>
          <w:color w:val="000000" w:themeColor="text1"/>
          <w:sz w:val="20"/>
          <w:szCs w:val="20"/>
          <w:lang w:eastAsia="sl-SI"/>
        </w:rPr>
      </w:pPr>
      <w:r w:rsidRPr="00F06F74">
        <w:rPr>
          <w:rFonts w:ascii="Arial" w:hAnsi="Arial" w:cs="Arial"/>
          <w:color w:val="000000" w:themeColor="text1"/>
          <w:sz w:val="20"/>
          <w:szCs w:val="20"/>
        </w:rPr>
        <w:t>Pri skupnih javn</w:t>
      </w:r>
      <w:r w:rsidR="000B6757" w:rsidRPr="00F06F74">
        <w:rPr>
          <w:rFonts w:ascii="Arial" w:hAnsi="Arial" w:cs="Arial"/>
          <w:color w:val="000000" w:themeColor="text1"/>
          <w:sz w:val="20"/>
          <w:szCs w:val="20"/>
        </w:rPr>
        <w:t xml:space="preserve">ih naročilih je bilo </w:t>
      </w:r>
      <w:r w:rsidR="008E09B2" w:rsidRPr="00F06F74">
        <w:rPr>
          <w:rFonts w:ascii="Arial" w:hAnsi="Arial" w:cs="Arial"/>
          <w:color w:val="000000" w:themeColor="text1"/>
          <w:sz w:val="20"/>
          <w:szCs w:val="20"/>
        </w:rPr>
        <w:t xml:space="preserve">leta </w:t>
      </w:r>
      <w:r w:rsidR="000B6757" w:rsidRPr="00F06F74">
        <w:rPr>
          <w:rFonts w:ascii="Arial" w:hAnsi="Arial" w:cs="Arial"/>
          <w:color w:val="000000" w:themeColor="text1"/>
          <w:sz w:val="20"/>
          <w:szCs w:val="20"/>
        </w:rPr>
        <w:t>20</w:t>
      </w:r>
      <w:r w:rsidR="00490BF3" w:rsidRPr="00F06F74">
        <w:rPr>
          <w:rFonts w:ascii="Arial" w:hAnsi="Arial" w:cs="Arial"/>
          <w:color w:val="000000" w:themeColor="text1"/>
          <w:sz w:val="20"/>
          <w:szCs w:val="20"/>
        </w:rPr>
        <w:t>2</w:t>
      </w:r>
      <w:r w:rsidR="007826E4" w:rsidRPr="00F06F74">
        <w:rPr>
          <w:rFonts w:ascii="Arial" w:hAnsi="Arial" w:cs="Arial"/>
          <w:color w:val="000000" w:themeColor="text1"/>
          <w:sz w:val="20"/>
          <w:szCs w:val="20"/>
        </w:rPr>
        <w:t>3</w:t>
      </w:r>
      <w:r w:rsidRPr="00F06F74">
        <w:rPr>
          <w:rFonts w:ascii="Arial" w:hAnsi="Arial" w:cs="Arial"/>
          <w:color w:val="000000" w:themeColor="text1"/>
          <w:sz w:val="20"/>
          <w:szCs w:val="20"/>
        </w:rPr>
        <w:t xml:space="preserve"> o</w:t>
      </w:r>
      <w:r w:rsidR="000B6757" w:rsidRPr="00F06F74">
        <w:rPr>
          <w:rFonts w:ascii="Arial" w:hAnsi="Arial" w:cs="Arial"/>
          <w:color w:val="000000" w:themeColor="text1"/>
          <w:sz w:val="20"/>
          <w:szCs w:val="20"/>
        </w:rPr>
        <w:t>ddanih največ naročil blaga (</w:t>
      </w:r>
      <w:r w:rsidR="007826E4" w:rsidRPr="00F06F74">
        <w:rPr>
          <w:rFonts w:ascii="Arial" w:hAnsi="Arial" w:cs="Arial"/>
          <w:color w:val="000000" w:themeColor="text1"/>
          <w:sz w:val="20"/>
          <w:szCs w:val="20"/>
        </w:rPr>
        <w:t>47</w:t>
      </w:r>
      <w:r w:rsidR="00F06F74" w:rsidRPr="00F06F74">
        <w:rPr>
          <w:rFonts w:ascii="Arial" w:hAnsi="Arial" w:cs="Arial"/>
          <w:color w:val="000000" w:themeColor="text1"/>
          <w:sz w:val="20"/>
          <w:szCs w:val="20"/>
        </w:rPr>
        <w:t>5</w:t>
      </w:r>
      <w:r w:rsidRPr="00F06F74">
        <w:rPr>
          <w:rFonts w:ascii="Arial" w:hAnsi="Arial" w:cs="Arial"/>
          <w:color w:val="000000" w:themeColor="text1"/>
          <w:sz w:val="20"/>
          <w:szCs w:val="20"/>
        </w:rPr>
        <w:t xml:space="preserve"> naročil v vrednosti </w:t>
      </w:r>
      <w:r w:rsidR="00F06F74" w:rsidRPr="00F06F74">
        <w:rPr>
          <w:rFonts w:ascii="Arial" w:hAnsi="Arial" w:cs="Arial"/>
          <w:color w:val="000000" w:themeColor="text1"/>
          <w:sz w:val="20"/>
          <w:szCs w:val="20"/>
        </w:rPr>
        <w:t xml:space="preserve">637.676.155 </w:t>
      </w:r>
      <w:r w:rsidR="00E05A57" w:rsidRPr="00F06F74">
        <w:rPr>
          <w:rFonts w:ascii="Arial" w:hAnsi="Arial" w:cs="Arial"/>
          <w:color w:val="000000" w:themeColor="text1"/>
          <w:sz w:val="20"/>
          <w:szCs w:val="20"/>
        </w:rPr>
        <w:t>evrov</w:t>
      </w:r>
      <w:r w:rsidR="000B68F8" w:rsidRPr="00F06F74">
        <w:rPr>
          <w:rFonts w:ascii="Arial" w:hAnsi="Arial" w:cs="Arial"/>
          <w:color w:val="000000" w:themeColor="text1"/>
          <w:sz w:val="20"/>
          <w:szCs w:val="20"/>
        </w:rPr>
        <w:t>)</w:t>
      </w:r>
      <w:r w:rsidR="00E05A57" w:rsidRPr="00F06F74">
        <w:rPr>
          <w:rFonts w:ascii="Arial" w:hAnsi="Arial" w:cs="Arial"/>
          <w:color w:val="000000" w:themeColor="text1"/>
          <w:sz w:val="20"/>
          <w:szCs w:val="20"/>
        </w:rPr>
        <w:t>.</w:t>
      </w:r>
      <w:r w:rsidRPr="00F06F74">
        <w:rPr>
          <w:rFonts w:ascii="Arial" w:hAnsi="Arial" w:cs="Arial"/>
          <w:color w:val="000000" w:themeColor="text1"/>
          <w:sz w:val="20"/>
          <w:szCs w:val="20"/>
        </w:rPr>
        <w:t xml:space="preserve"> Ta naročila imajo </w:t>
      </w:r>
      <w:r w:rsidR="007826E4" w:rsidRPr="00F06F74">
        <w:rPr>
          <w:rFonts w:ascii="Arial" w:hAnsi="Arial" w:cs="Arial"/>
          <w:color w:val="000000" w:themeColor="text1"/>
          <w:sz w:val="20"/>
          <w:szCs w:val="20"/>
        </w:rPr>
        <w:t>62,</w:t>
      </w:r>
      <w:r w:rsidR="00264BBD" w:rsidRPr="00F06F74">
        <w:rPr>
          <w:rFonts w:ascii="Arial" w:hAnsi="Arial" w:cs="Arial"/>
          <w:color w:val="000000" w:themeColor="text1"/>
          <w:sz w:val="20"/>
          <w:szCs w:val="20"/>
        </w:rPr>
        <w:t>4</w:t>
      </w:r>
      <w:r w:rsidR="00F06F74" w:rsidRPr="00F06F74">
        <w:rPr>
          <w:rFonts w:ascii="Arial" w:hAnsi="Arial" w:cs="Arial"/>
          <w:color w:val="000000" w:themeColor="text1"/>
          <w:sz w:val="20"/>
          <w:szCs w:val="20"/>
        </w:rPr>
        <w:t>2</w:t>
      </w:r>
      <w:r w:rsidR="00D33417" w:rsidRPr="00F06F74">
        <w:rPr>
          <w:rFonts w:ascii="Arial" w:hAnsi="Arial" w:cs="Arial"/>
          <w:color w:val="000000" w:themeColor="text1"/>
          <w:sz w:val="20"/>
          <w:szCs w:val="20"/>
        </w:rPr>
        <w:t>-</w:t>
      </w:r>
      <w:r w:rsidRPr="00F06F74">
        <w:rPr>
          <w:rFonts w:ascii="Arial" w:hAnsi="Arial" w:cs="Arial"/>
          <w:color w:val="000000" w:themeColor="text1"/>
          <w:sz w:val="20"/>
          <w:szCs w:val="20"/>
        </w:rPr>
        <w:t xml:space="preserve">odstotni delež v številu vseh skupnih naročil in </w:t>
      </w:r>
      <w:r w:rsidR="00264BBD" w:rsidRPr="00F06F74">
        <w:rPr>
          <w:rFonts w:ascii="Arial" w:hAnsi="Arial" w:cs="Arial"/>
          <w:color w:val="000000" w:themeColor="text1"/>
          <w:sz w:val="20"/>
          <w:szCs w:val="20"/>
        </w:rPr>
        <w:t>69,67</w:t>
      </w:r>
      <w:r w:rsidR="00D33417" w:rsidRPr="00F06F74">
        <w:rPr>
          <w:rFonts w:ascii="Arial" w:hAnsi="Arial" w:cs="Arial"/>
          <w:color w:val="000000" w:themeColor="text1"/>
          <w:sz w:val="20"/>
          <w:szCs w:val="20"/>
        </w:rPr>
        <w:t>-</w:t>
      </w:r>
      <w:r w:rsidRPr="00F06F74">
        <w:rPr>
          <w:rFonts w:ascii="Arial" w:hAnsi="Arial" w:cs="Arial"/>
          <w:color w:val="000000" w:themeColor="text1"/>
          <w:sz w:val="20"/>
          <w:szCs w:val="20"/>
        </w:rPr>
        <w:t>odstotni delež v njihovi vrednosti</w:t>
      </w:r>
      <w:r w:rsidR="00864042" w:rsidRPr="00F06F74">
        <w:rPr>
          <w:rFonts w:ascii="Arial" w:hAnsi="Arial" w:cs="Arial"/>
          <w:color w:val="000000" w:themeColor="text1"/>
          <w:sz w:val="20"/>
          <w:szCs w:val="20"/>
        </w:rPr>
        <w:t>.</w:t>
      </w:r>
    </w:p>
    <w:p w14:paraId="48531AB7" w14:textId="77777777" w:rsidR="000F62B6" w:rsidRPr="00F06F74" w:rsidRDefault="000F62B6" w:rsidP="000F62B6">
      <w:pPr>
        <w:spacing w:after="0"/>
        <w:rPr>
          <w:rFonts w:ascii="Arial" w:eastAsia="Times New Roman" w:hAnsi="Arial" w:cs="Arial"/>
          <w:color w:val="FF0000"/>
          <w:kern w:val="3"/>
          <w:sz w:val="20"/>
          <w:szCs w:val="20"/>
        </w:rPr>
      </w:pPr>
    </w:p>
    <w:p w14:paraId="5197B772" w14:textId="2AA94E76" w:rsidR="000F5210" w:rsidRPr="00F06F74" w:rsidRDefault="00C22535" w:rsidP="000F5210">
      <w:pPr>
        <w:spacing w:after="120" w:line="240" w:lineRule="auto"/>
        <w:rPr>
          <w:rFonts w:ascii="Arial" w:hAnsi="Arial" w:cs="Arial"/>
          <w:color w:val="000000" w:themeColor="text1"/>
          <w:sz w:val="20"/>
        </w:rPr>
      </w:pPr>
      <w:r w:rsidRPr="00F06F74">
        <w:rPr>
          <w:rFonts w:ascii="Arial" w:hAnsi="Arial" w:cs="Arial"/>
          <w:color w:val="000000" w:themeColor="text1"/>
          <w:sz w:val="20"/>
        </w:rPr>
        <w:t xml:space="preserve">Preglednica </w:t>
      </w:r>
      <w:r w:rsidR="00512F52" w:rsidRPr="00F06F74">
        <w:rPr>
          <w:rFonts w:ascii="Arial" w:hAnsi="Arial" w:cs="Arial"/>
          <w:color w:val="000000" w:themeColor="text1"/>
          <w:sz w:val="20"/>
        </w:rPr>
        <w:t>19</w:t>
      </w:r>
      <w:r w:rsidRPr="00F06F74">
        <w:rPr>
          <w:rFonts w:ascii="Arial" w:hAnsi="Arial" w:cs="Arial"/>
          <w:color w:val="000000" w:themeColor="text1"/>
          <w:sz w:val="20"/>
        </w:rPr>
        <w:t xml:space="preserve">: Skupno javno naročanje </w:t>
      </w:r>
      <w:r w:rsidR="00DD02E1">
        <w:rPr>
          <w:rFonts w:ascii="Arial" w:hAnsi="Arial" w:cs="Arial"/>
          <w:color w:val="000000" w:themeColor="text1"/>
          <w:sz w:val="20"/>
        </w:rPr>
        <w:t>po</w:t>
      </w:r>
      <w:r w:rsidRPr="00F06F74">
        <w:rPr>
          <w:rFonts w:ascii="Arial" w:hAnsi="Arial" w:cs="Arial"/>
          <w:color w:val="000000" w:themeColor="text1"/>
          <w:sz w:val="20"/>
        </w:rPr>
        <w:t xml:space="preserve"> številu, vrednosti in deležu skupnih javnih naročil glede na predmet naročanja</w:t>
      </w:r>
    </w:p>
    <w:tbl>
      <w:tblPr>
        <w:tblW w:w="7440" w:type="dxa"/>
        <w:jc w:val="center"/>
        <w:tblCellMar>
          <w:left w:w="70" w:type="dxa"/>
          <w:right w:w="70" w:type="dxa"/>
        </w:tblCellMar>
        <w:tblLook w:val="04A0" w:firstRow="1" w:lastRow="0" w:firstColumn="1" w:lastColumn="0" w:noHBand="0" w:noVBand="1"/>
      </w:tblPr>
      <w:tblGrid>
        <w:gridCol w:w="1276"/>
        <w:gridCol w:w="1134"/>
        <w:gridCol w:w="1559"/>
        <w:gridCol w:w="1701"/>
        <w:gridCol w:w="1770"/>
      </w:tblGrid>
      <w:tr w:rsidR="006E3A3C" w:rsidRPr="00F06F74" w14:paraId="05D6B0F9" w14:textId="77777777" w:rsidTr="00CD447F">
        <w:trPr>
          <w:trHeight w:val="255"/>
          <w:jc w:val="center"/>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A6566B" w14:textId="77777777" w:rsidR="00490BF3" w:rsidRPr="00F06F74" w:rsidRDefault="00490BF3" w:rsidP="00490BF3">
            <w:pPr>
              <w:spacing w:after="0" w:line="240" w:lineRule="auto"/>
              <w:jc w:val="center"/>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Predmet</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4DF76D" w14:textId="77777777" w:rsidR="00490BF3" w:rsidRPr="00F06F74" w:rsidRDefault="00490BF3" w:rsidP="00490BF3">
            <w:pPr>
              <w:spacing w:after="0" w:line="240" w:lineRule="auto"/>
              <w:jc w:val="center"/>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Št. naročil</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19DF0D" w14:textId="47138A07" w:rsidR="00490BF3" w:rsidRPr="00F06F74" w:rsidRDefault="00490BF3" w:rsidP="00490BF3">
            <w:pPr>
              <w:spacing w:after="0" w:line="240" w:lineRule="auto"/>
              <w:jc w:val="center"/>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Pogodbena vrednost</w:t>
            </w:r>
            <w:r w:rsidR="00F36C50" w:rsidRPr="00F06F74">
              <w:rPr>
                <w:rFonts w:ascii="Arial" w:eastAsia="Times New Roman" w:hAnsi="Arial" w:cs="Arial"/>
                <w:color w:val="000000" w:themeColor="text1"/>
                <w:sz w:val="18"/>
                <w:szCs w:val="18"/>
                <w:lang w:eastAsia="sl-SI"/>
              </w:rPr>
              <w:t xml:space="preserve"> (v EUR)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8EB005" w14:textId="77777777" w:rsidR="00490BF3" w:rsidRPr="00F06F74" w:rsidRDefault="00490BF3" w:rsidP="00490BF3">
            <w:pPr>
              <w:spacing w:after="0" w:line="240" w:lineRule="auto"/>
              <w:jc w:val="center"/>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Delež v št. skupnih naročil</w:t>
            </w:r>
          </w:p>
        </w:tc>
        <w:tc>
          <w:tcPr>
            <w:tcW w:w="17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3036F6F" w14:textId="77777777" w:rsidR="00490BF3" w:rsidRPr="00F06F74" w:rsidRDefault="00490BF3" w:rsidP="00490BF3">
            <w:pPr>
              <w:spacing w:after="0" w:line="240" w:lineRule="auto"/>
              <w:jc w:val="center"/>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Delež v vrednosti skupnih naročil</w:t>
            </w:r>
          </w:p>
        </w:tc>
      </w:tr>
      <w:tr w:rsidR="00F06F74" w:rsidRPr="00F06F74" w14:paraId="1D46E51A" w14:textId="77777777" w:rsidTr="00F06F74">
        <w:trPr>
          <w:trHeight w:val="2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84FE40D" w14:textId="77777777" w:rsidR="00F06F74" w:rsidRPr="00F06F74" w:rsidRDefault="00F06F74" w:rsidP="00F06F74">
            <w:pPr>
              <w:spacing w:after="0" w:line="240" w:lineRule="auto"/>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Blago</w:t>
            </w:r>
          </w:p>
        </w:tc>
        <w:tc>
          <w:tcPr>
            <w:tcW w:w="1134" w:type="dxa"/>
            <w:tcBorders>
              <w:top w:val="nil"/>
              <w:left w:val="nil"/>
              <w:bottom w:val="single" w:sz="4" w:space="0" w:color="auto"/>
              <w:right w:val="single" w:sz="4" w:space="0" w:color="auto"/>
            </w:tcBorders>
            <w:shd w:val="clear" w:color="auto" w:fill="auto"/>
            <w:vAlign w:val="center"/>
            <w:hideMark/>
          </w:tcPr>
          <w:p w14:paraId="4BEC84EA" w14:textId="022FE500"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475</w:t>
            </w:r>
          </w:p>
        </w:tc>
        <w:tc>
          <w:tcPr>
            <w:tcW w:w="1559" w:type="dxa"/>
            <w:tcBorders>
              <w:top w:val="nil"/>
              <w:left w:val="nil"/>
              <w:bottom w:val="single" w:sz="4" w:space="0" w:color="auto"/>
              <w:right w:val="single" w:sz="4" w:space="0" w:color="auto"/>
            </w:tcBorders>
            <w:shd w:val="clear" w:color="auto" w:fill="auto"/>
            <w:vAlign w:val="center"/>
            <w:hideMark/>
          </w:tcPr>
          <w:p w14:paraId="4BB3D5B5" w14:textId="3F7893D1"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637.676.155</w:t>
            </w:r>
          </w:p>
        </w:tc>
        <w:tc>
          <w:tcPr>
            <w:tcW w:w="1701" w:type="dxa"/>
            <w:tcBorders>
              <w:top w:val="nil"/>
              <w:left w:val="nil"/>
              <w:bottom w:val="single" w:sz="4" w:space="0" w:color="auto"/>
              <w:right w:val="single" w:sz="4" w:space="0" w:color="auto"/>
            </w:tcBorders>
            <w:shd w:val="clear" w:color="auto" w:fill="auto"/>
            <w:noWrap/>
            <w:vAlign w:val="center"/>
            <w:hideMark/>
          </w:tcPr>
          <w:p w14:paraId="4D1A4C48" w14:textId="690B9F4F"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62,42 %</w:t>
            </w:r>
          </w:p>
        </w:tc>
        <w:tc>
          <w:tcPr>
            <w:tcW w:w="1770" w:type="dxa"/>
            <w:tcBorders>
              <w:top w:val="nil"/>
              <w:left w:val="nil"/>
              <w:bottom w:val="single" w:sz="4" w:space="0" w:color="auto"/>
              <w:right w:val="single" w:sz="4" w:space="0" w:color="auto"/>
            </w:tcBorders>
            <w:shd w:val="clear" w:color="auto" w:fill="auto"/>
            <w:noWrap/>
            <w:vAlign w:val="center"/>
            <w:hideMark/>
          </w:tcPr>
          <w:p w14:paraId="04ED4399" w14:textId="3E89CA8C"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69,67 %</w:t>
            </w:r>
          </w:p>
        </w:tc>
      </w:tr>
      <w:tr w:rsidR="00F06F74" w:rsidRPr="00F06F74" w14:paraId="61968AB5" w14:textId="77777777" w:rsidTr="00F06F74">
        <w:trPr>
          <w:trHeight w:val="2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3CFE9D7" w14:textId="77777777" w:rsidR="00F06F74" w:rsidRPr="00F06F74" w:rsidRDefault="00F06F74" w:rsidP="00F06F74">
            <w:pPr>
              <w:spacing w:after="0" w:line="240" w:lineRule="auto"/>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Storitve</w:t>
            </w:r>
          </w:p>
        </w:tc>
        <w:tc>
          <w:tcPr>
            <w:tcW w:w="1134" w:type="dxa"/>
            <w:tcBorders>
              <w:top w:val="nil"/>
              <w:left w:val="nil"/>
              <w:bottom w:val="single" w:sz="4" w:space="0" w:color="auto"/>
              <w:right w:val="single" w:sz="4" w:space="0" w:color="auto"/>
            </w:tcBorders>
            <w:shd w:val="clear" w:color="auto" w:fill="auto"/>
            <w:vAlign w:val="center"/>
            <w:hideMark/>
          </w:tcPr>
          <w:p w14:paraId="1A4ABD51" w14:textId="65D0DB96"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242</w:t>
            </w:r>
          </w:p>
        </w:tc>
        <w:tc>
          <w:tcPr>
            <w:tcW w:w="1559" w:type="dxa"/>
            <w:tcBorders>
              <w:top w:val="nil"/>
              <w:left w:val="nil"/>
              <w:bottom w:val="single" w:sz="4" w:space="0" w:color="auto"/>
              <w:right w:val="single" w:sz="4" w:space="0" w:color="auto"/>
            </w:tcBorders>
            <w:shd w:val="clear" w:color="auto" w:fill="auto"/>
            <w:vAlign w:val="center"/>
            <w:hideMark/>
          </w:tcPr>
          <w:p w14:paraId="404D8898" w14:textId="4008E369"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138.956.278</w:t>
            </w:r>
          </w:p>
        </w:tc>
        <w:tc>
          <w:tcPr>
            <w:tcW w:w="1701" w:type="dxa"/>
            <w:tcBorders>
              <w:top w:val="nil"/>
              <w:left w:val="nil"/>
              <w:bottom w:val="single" w:sz="4" w:space="0" w:color="auto"/>
              <w:right w:val="single" w:sz="4" w:space="0" w:color="auto"/>
            </w:tcBorders>
            <w:shd w:val="clear" w:color="auto" w:fill="auto"/>
            <w:noWrap/>
            <w:vAlign w:val="center"/>
            <w:hideMark/>
          </w:tcPr>
          <w:p w14:paraId="797E0396" w14:textId="7DEB8717"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31,80 %</w:t>
            </w:r>
          </w:p>
        </w:tc>
        <w:tc>
          <w:tcPr>
            <w:tcW w:w="1770" w:type="dxa"/>
            <w:tcBorders>
              <w:top w:val="nil"/>
              <w:left w:val="nil"/>
              <w:bottom w:val="single" w:sz="4" w:space="0" w:color="auto"/>
              <w:right w:val="single" w:sz="4" w:space="0" w:color="auto"/>
            </w:tcBorders>
            <w:shd w:val="clear" w:color="auto" w:fill="auto"/>
            <w:noWrap/>
            <w:vAlign w:val="center"/>
            <w:hideMark/>
          </w:tcPr>
          <w:p w14:paraId="725C7F8F" w14:textId="472C3068"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15,18 %</w:t>
            </w:r>
          </w:p>
        </w:tc>
      </w:tr>
      <w:tr w:rsidR="00F06F74" w:rsidRPr="00F06F74" w14:paraId="76279AAD" w14:textId="77777777" w:rsidTr="00F06F74">
        <w:trPr>
          <w:trHeight w:val="25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7542209" w14:textId="77777777" w:rsidR="00F06F74" w:rsidRPr="00F06F74" w:rsidRDefault="00F06F74" w:rsidP="00F06F74">
            <w:pPr>
              <w:spacing w:after="0" w:line="240" w:lineRule="auto"/>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Gradnje</w:t>
            </w:r>
          </w:p>
        </w:tc>
        <w:tc>
          <w:tcPr>
            <w:tcW w:w="1134" w:type="dxa"/>
            <w:tcBorders>
              <w:top w:val="nil"/>
              <w:left w:val="nil"/>
              <w:bottom w:val="single" w:sz="4" w:space="0" w:color="auto"/>
              <w:right w:val="single" w:sz="4" w:space="0" w:color="auto"/>
            </w:tcBorders>
            <w:shd w:val="clear" w:color="auto" w:fill="auto"/>
            <w:vAlign w:val="center"/>
            <w:hideMark/>
          </w:tcPr>
          <w:p w14:paraId="21AA9CC5" w14:textId="0EAE21D3"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44</w:t>
            </w:r>
          </w:p>
        </w:tc>
        <w:tc>
          <w:tcPr>
            <w:tcW w:w="1559" w:type="dxa"/>
            <w:tcBorders>
              <w:top w:val="nil"/>
              <w:left w:val="nil"/>
              <w:bottom w:val="single" w:sz="4" w:space="0" w:color="auto"/>
              <w:right w:val="single" w:sz="4" w:space="0" w:color="auto"/>
            </w:tcBorders>
            <w:shd w:val="clear" w:color="auto" w:fill="auto"/>
            <w:vAlign w:val="center"/>
            <w:hideMark/>
          </w:tcPr>
          <w:p w14:paraId="294D01D1" w14:textId="40A64B18"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138.699.708</w:t>
            </w:r>
          </w:p>
        </w:tc>
        <w:tc>
          <w:tcPr>
            <w:tcW w:w="1701" w:type="dxa"/>
            <w:tcBorders>
              <w:top w:val="nil"/>
              <w:left w:val="nil"/>
              <w:bottom w:val="single" w:sz="4" w:space="0" w:color="auto"/>
              <w:right w:val="single" w:sz="4" w:space="0" w:color="auto"/>
            </w:tcBorders>
            <w:shd w:val="clear" w:color="auto" w:fill="auto"/>
            <w:noWrap/>
            <w:vAlign w:val="center"/>
            <w:hideMark/>
          </w:tcPr>
          <w:p w14:paraId="0A4B7703" w14:textId="4FAA850D"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5,78 %</w:t>
            </w:r>
          </w:p>
        </w:tc>
        <w:tc>
          <w:tcPr>
            <w:tcW w:w="1770" w:type="dxa"/>
            <w:tcBorders>
              <w:top w:val="nil"/>
              <w:left w:val="nil"/>
              <w:bottom w:val="single" w:sz="4" w:space="0" w:color="auto"/>
              <w:right w:val="single" w:sz="4" w:space="0" w:color="auto"/>
            </w:tcBorders>
            <w:shd w:val="clear" w:color="auto" w:fill="auto"/>
            <w:noWrap/>
            <w:vAlign w:val="center"/>
            <w:hideMark/>
          </w:tcPr>
          <w:p w14:paraId="0C215787" w14:textId="0549CD91" w:rsidR="00F06F74" w:rsidRPr="00F06F74" w:rsidRDefault="00F06F74" w:rsidP="00F06F74">
            <w:pPr>
              <w:spacing w:after="0" w:line="240" w:lineRule="auto"/>
              <w:jc w:val="right"/>
              <w:rPr>
                <w:rFonts w:ascii="Arial" w:eastAsia="Times New Roman" w:hAnsi="Arial" w:cs="Arial"/>
                <w:color w:val="000000" w:themeColor="text1"/>
                <w:sz w:val="18"/>
                <w:szCs w:val="18"/>
                <w:lang w:eastAsia="sl-SI"/>
              </w:rPr>
            </w:pPr>
            <w:r w:rsidRPr="00F06F74">
              <w:rPr>
                <w:rFonts w:ascii="Arial" w:eastAsia="Times New Roman" w:hAnsi="Arial" w:cs="Arial"/>
                <w:color w:val="000000" w:themeColor="text1"/>
                <w:sz w:val="18"/>
                <w:szCs w:val="18"/>
                <w:lang w:eastAsia="sl-SI"/>
              </w:rPr>
              <w:t>15,15 %</w:t>
            </w:r>
          </w:p>
        </w:tc>
      </w:tr>
      <w:tr w:rsidR="00F06F74" w:rsidRPr="00F06F74" w14:paraId="63B540F9" w14:textId="77777777" w:rsidTr="00F06F74">
        <w:trPr>
          <w:trHeight w:val="255"/>
          <w:jc w:val="center"/>
        </w:trPr>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65C75F" w14:textId="77777777" w:rsidR="00F06F74" w:rsidRPr="00F06F74" w:rsidRDefault="00F06F74" w:rsidP="00F06F74">
            <w:pPr>
              <w:spacing w:after="0" w:line="240" w:lineRule="auto"/>
              <w:rPr>
                <w:rFonts w:ascii="Arial" w:eastAsia="Times New Roman" w:hAnsi="Arial" w:cs="Arial"/>
                <w:b/>
                <w:bCs/>
                <w:color w:val="000000" w:themeColor="text1"/>
                <w:sz w:val="18"/>
                <w:szCs w:val="18"/>
                <w:lang w:eastAsia="sl-SI"/>
              </w:rPr>
            </w:pPr>
            <w:r w:rsidRPr="00F06F74">
              <w:rPr>
                <w:rFonts w:ascii="Arial" w:eastAsia="Times New Roman" w:hAnsi="Arial" w:cs="Arial"/>
                <w:b/>
                <w:bCs/>
                <w:color w:val="000000" w:themeColor="text1"/>
                <w:sz w:val="18"/>
                <w:szCs w:val="18"/>
                <w:lang w:eastAsia="sl-SI"/>
              </w:rPr>
              <w:t>Skupaj</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239E7057" w14:textId="68192043" w:rsidR="00F06F74" w:rsidRPr="00F06F74" w:rsidRDefault="00F06F74" w:rsidP="00F06F74">
            <w:pPr>
              <w:spacing w:after="0" w:line="240" w:lineRule="auto"/>
              <w:jc w:val="right"/>
              <w:rPr>
                <w:rFonts w:ascii="Arial" w:eastAsia="Times New Roman" w:hAnsi="Arial" w:cs="Arial"/>
                <w:b/>
                <w:bCs/>
                <w:color w:val="000000" w:themeColor="text1"/>
                <w:sz w:val="18"/>
                <w:szCs w:val="18"/>
                <w:lang w:eastAsia="sl-SI"/>
              </w:rPr>
            </w:pPr>
            <w:r w:rsidRPr="00F06F74">
              <w:rPr>
                <w:rFonts w:ascii="Arial" w:eastAsia="Times New Roman" w:hAnsi="Arial" w:cs="Arial"/>
                <w:b/>
                <w:bCs/>
                <w:color w:val="000000" w:themeColor="text1"/>
                <w:sz w:val="18"/>
                <w:szCs w:val="18"/>
                <w:lang w:eastAsia="sl-SI"/>
              </w:rPr>
              <w:t>761</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14:paraId="10487181" w14:textId="01C75CAE" w:rsidR="00F06F74" w:rsidRPr="00F06F74" w:rsidRDefault="00F06F74" w:rsidP="00F06F74">
            <w:pPr>
              <w:spacing w:after="0" w:line="240" w:lineRule="auto"/>
              <w:jc w:val="right"/>
              <w:rPr>
                <w:rFonts w:ascii="Arial" w:eastAsia="Times New Roman" w:hAnsi="Arial" w:cs="Arial"/>
                <w:b/>
                <w:bCs/>
                <w:color w:val="000000" w:themeColor="text1"/>
                <w:sz w:val="18"/>
                <w:szCs w:val="18"/>
                <w:lang w:eastAsia="sl-SI"/>
              </w:rPr>
            </w:pPr>
            <w:r w:rsidRPr="00F06F74">
              <w:rPr>
                <w:rFonts w:ascii="Arial" w:eastAsia="Times New Roman" w:hAnsi="Arial" w:cs="Arial"/>
                <w:b/>
                <w:bCs/>
                <w:color w:val="000000" w:themeColor="text1"/>
                <w:sz w:val="18"/>
                <w:szCs w:val="18"/>
                <w:lang w:eastAsia="sl-SI"/>
              </w:rPr>
              <w:t>915.332.141</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463728AC" w14:textId="7F8C258F" w:rsidR="00F06F74" w:rsidRPr="00F06F74" w:rsidRDefault="00F06F74" w:rsidP="00F06F74">
            <w:pPr>
              <w:spacing w:after="0" w:line="240" w:lineRule="auto"/>
              <w:jc w:val="right"/>
              <w:rPr>
                <w:rFonts w:ascii="Arial" w:eastAsia="Times New Roman" w:hAnsi="Arial" w:cs="Arial"/>
                <w:b/>
                <w:bCs/>
                <w:color w:val="000000" w:themeColor="text1"/>
                <w:sz w:val="18"/>
                <w:szCs w:val="18"/>
                <w:lang w:eastAsia="sl-SI"/>
              </w:rPr>
            </w:pPr>
            <w:r w:rsidRPr="00F06F74">
              <w:rPr>
                <w:rFonts w:ascii="Arial" w:eastAsia="Times New Roman" w:hAnsi="Arial" w:cs="Arial"/>
                <w:b/>
                <w:bCs/>
                <w:color w:val="000000" w:themeColor="text1"/>
                <w:sz w:val="18"/>
                <w:szCs w:val="18"/>
                <w:lang w:eastAsia="sl-SI"/>
              </w:rPr>
              <w:t>100,00 %</w:t>
            </w:r>
          </w:p>
        </w:tc>
        <w:tc>
          <w:tcPr>
            <w:tcW w:w="1770" w:type="dxa"/>
            <w:tcBorders>
              <w:top w:val="nil"/>
              <w:left w:val="nil"/>
              <w:bottom w:val="single" w:sz="4" w:space="0" w:color="auto"/>
              <w:right w:val="single" w:sz="4" w:space="0" w:color="auto"/>
            </w:tcBorders>
            <w:shd w:val="clear" w:color="auto" w:fill="F2F2F2" w:themeFill="background1" w:themeFillShade="F2"/>
            <w:vAlign w:val="center"/>
            <w:hideMark/>
          </w:tcPr>
          <w:p w14:paraId="4D201AE9" w14:textId="7B5FE799" w:rsidR="00F06F74" w:rsidRPr="00F06F74" w:rsidRDefault="00F06F74" w:rsidP="00F06F74">
            <w:pPr>
              <w:spacing w:after="0" w:line="240" w:lineRule="auto"/>
              <w:jc w:val="right"/>
              <w:rPr>
                <w:rFonts w:ascii="Arial" w:eastAsia="Times New Roman" w:hAnsi="Arial" w:cs="Arial"/>
                <w:b/>
                <w:bCs/>
                <w:color w:val="000000" w:themeColor="text1"/>
                <w:sz w:val="18"/>
                <w:szCs w:val="18"/>
                <w:lang w:eastAsia="sl-SI"/>
              </w:rPr>
            </w:pPr>
            <w:r w:rsidRPr="00F06F74">
              <w:rPr>
                <w:rFonts w:ascii="Arial" w:eastAsia="Times New Roman" w:hAnsi="Arial" w:cs="Arial"/>
                <w:b/>
                <w:bCs/>
                <w:color w:val="000000" w:themeColor="text1"/>
                <w:sz w:val="18"/>
                <w:szCs w:val="18"/>
                <w:lang w:eastAsia="sl-SI"/>
              </w:rPr>
              <w:t>100,00 %</w:t>
            </w:r>
          </w:p>
        </w:tc>
      </w:tr>
    </w:tbl>
    <w:p w14:paraId="41A6F790" w14:textId="3D7417C5" w:rsidR="00490BF3" w:rsidRPr="00F06F74" w:rsidRDefault="00490BF3" w:rsidP="002C2457">
      <w:pPr>
        <w:spacing w:after="0" w:line="240" w:lineRule="auto"/>
        <w:jc w:val="right"/>
        <w:rPr>
          <w:rFonts w:ascii="Arial" w:eastAsia="Times New Roman" w:hAnsi="Arial" w:cs="Arial"/>
          <w:color w:val="000000" w:themeColor="text1"/>
          <w:sz w:val="18"/>
          <w:szCs w:val="18"/>
          <w:lang w:eastAsia="sl-SI"/>
        </w:rPr>
      </w:pPr>
    </w:p>
    <w:p w14:paraId="436EF011" w14:textId="6A846E6A" w:rsidR="00C22535" w:rsidRPr="00F06F74" w:rsidRDefault="00C22535" w:rsidP="004A613D">
      <w:pPr>
        <w:spacing w:after="0" w:line="240" w:lineRule="auto"/>
        <w:jc w:val="center"/>
        <w:rPr>
          <w:rFonts w:ascii="Arial" w:hAnsi="Arial" w:cs="Arial"/>
          <w:color w:val="000000" w:themeColor="text1"/>
          <w:sz w:val="18"/>
        </w:rPr>
      </w:pPr>
      <w:r w:rsidRPr="00F06F74">
        <w:rPr>
          <w:rFonts w:ascii="Arial" w:hAnsi="Arial" w:cs="Arial"/>
          <w:color w:val="000000" w:themeColor="text1"/>
          <w:sz w:val="18"/>
        </w:rPr>
        <w:t>Vir: Statistični podatki o javni</w:t>
      </w:r>
      <w:r w:rsidR="0026312F" w:rsidRPr="00F06F74">
        <w:rPr>
          <w:rFonts w:ascii="Arial" w:hAnsi="Arial" w:cs="Arial"/>
          <w:color w:val="000000" w:themeColor="text1"/>
          <w:sz w:val="18"/>
        </w:rPr>
        <w:t>h naročilih, oddanih v letu 20</w:t>
      </w:r>
      <w:r w:rsidR="00490BF3" w:rsidRPr="00F06F74">
        <w:rPr>
          <w:rFonts w:ascii="Arial" w:hAnsi="Arial" w:cs="Arial"/>
          <w:color w:val="000000" w:themeColor="text1"/>
          <w:sz w:val="18"/>
        </w:rPr>
        <w:t>2</w:t>
      </w:r>
      <w:r w:rsidR="00046FAE" w:rsidRPr="00F06F74">
        <w:rPr>
          <w:rFonts w:ascii="Arial" w:hAnsi="Arial" w:cs="Arial"/>
          <w:color w:val="000000" w:themeColor="text1"/>
          <w:sz w:val="18"/>
        </w:rPr>
        <w:t>3</w:t>
      </w:r>
      <w:r w:rsidR="00630FBA" w:rsidRPr="00F06F74">
        <w:rPr>
          <w:rFonts w:ascii="Arial" w:hAnsi="Arial" w:cs="Arial"/>
          <w:color w:val="000000" w:themeColor="text1"/>
          <w:sz w:val="18"/>
        </w:rPr>
        <w:t>.</w:t>
      </w:r>
    </w:p>
    <w:p w14:paraId="165DEEE5" w14:textId="77777777" w:rsidR="00490BF3" w:rsidRPr="009C298F" w:rsidRDefault="00490BF3" w:rsidP="009E3010">
      <w:pPr>
        <w:pStyle w:val="Standard"/>
        <w:spacing w:line="360" w:lineRule="auto"/>
        <w:rPr>
          <w:rFonts w:cs="Arial"/>
          <w:color w:val="FF0000"/>
          <w:sz w:val="20"/>
          <w:szCs w:val="20"/>
        </w:rPr>
      </w:pPr>
    </w:p>
    <w:p w14:paraId="7EFB0FD2" w14:textId="7E9953AD" w:rsidR="009E3010" w:rsidRPr="009C298F" w:rsidRDefault="0069174C" w:rsidP="009E3010">
      <w:pPr>
        <w:pStyle w:val="Standard"/>
        <w:spacing w:line="360" w:lineRule="auto"/>
        <w:rPr>
          <w:rFonts w:cs="Arial"/>
          <w:color w:val="000000" w:themeColor="text1"/>
          <w:sz w:val="20"/>
          <w:szCs w:val="20"/>
        </w:rPr>
      </w:pPr>
      <w:r w:rsidRPr="009C298F">
        <w:rPr>
          <w:rFonts w:cs="Arial"/>
          <w:color w:val="000000" w:themeColor="text1"/>
          <w:sz w:val="20"/>
          <w:szCs w:val="20"/>
        </w:rPr>
        <w:t>V postopkih skupnega javnega naročanja so</w:t>
      </w:r>
      <w:r w:rsidR="00C22535" w:rsidRPr="009C298F">
        <w:rPr>
          <w:rFonts w:cs="Arial"/>
          <w:color w:val="000000" w:themeColor="text1"/>
          <w:sz w:val="20"/>
          <w:szCs w:val="20"/>
        </w:rPr>
        <w:t xml:space="preserve"> </w:t>
      </w:r>
      <w:r w:rsidRPr="009C298F">
        <w:rPr>
          <w:rFonts w:cs="Arial"/>
          <w:color w:val="000000" w:themeColor="text1"/>
          <w:sz w:val="20"/>
          <w:szCs w:val="20"/>
        </w:rPr>
        <w:t xml:space="preserve">največ naročil </w:t>
      </w:r>
      <w:r w:rsidR="00982425" w:rsidRPr="009C298F">
        <w:rPr>
          <w:rFonts w:cs="Arial"/>
          <w:color w:val="000000" w:themeColor="text1"/>
          <w:sz w:val="20"/>
          <w:szCs w:val="20"/>
        </w:rPr>
        <w:t>oddale samoupravne lokalne skupnosti,</w:t>
      </w:r>
      <w:r w:rsidRPr="009C298F">
        <w:rPr>
          <w:rFonts w:cs="Arial"/>
          <w:color w:val="000000" w:themeColor="text1"/>
          <w:sz w:val="20"/>
          <w:szCs w:val="20"/>
        </w:rPr>
        <w:t xml:space="preserve"> </w:t>
      </w:r>
      <w:r w:rsidR="00B51C8C" w:rsidRPr="009C298F">
        <w:rPr>
          <w:rFonts w:cs="Arial"/>
          <w:color w:val="000000" w:themeColor="text1"/>
          <w:sz w:val="20"/>
          <w:szCs w:val="20"/>
        </w:rPr>
        <w:t>in sicer</w:t>
      </w:r>
      <w:r w:rsidR="00883D84" w:rsidRPr="009C298F">
        <w:rPr>
          <w:rFonts w:cs="Arial"/>
          <w:color w:val="000000" w:themeColor="text1"/>
          <w:sz w:val="20"/>
          <w:szCs w:val="20"/>
        </w:rPr>
        <w:t xml:space="preserve"> </w:t>
      </w:r>
      <w:r w:rsidR="00982425" w:rsidRPr="009C298F">
        <w:rPr>
          <w:rFonts w:cs="Arial"/>
          <w:color w:val="000000" w:themeColor="text1"/>
          <w:sz w:val="20"/>
          <w:szCs w:val="20"/>
        </w:rPr>
        <w:t>28</w:t>
      </w:r>
      <w:r w:rsidR="003B12A1" w:rsidRPr="009C298F">
        <w:rPr>
          <w:rFonts w:cs="Arial"/>
          <w:color w:val="000000" w:themeColor="text1"/>
          <w:sz w:val="20"/>
          <w:szCs w:val="20"/>
        </w:rPr>
        <w:t>6</w:t>
      </w:r>
      <w:r w:rsidRPr="009C298F">
        <w:rPr>
          <w:rFonts w:cs="Arial"/>
          <w:color w:val="000000" w:themeColor="text1"/>
          <w:sz w:val="20"/>
          <w:szCs w:val="20"/>
        </w:rPr>
        <w:t xml:space="preserve"> naročil v vrednosti </w:t>
      </w:r>
      <w:r w:rsidR="003B12A1" w:rsidRPr="009C298F">
        <w:rPr>
          <w:rFonts w:cs="Arial"/>
          <w:color w:val="000000" w:themeColor="text1"/>
          <w:sz w:val="20"/>
          <w:szCs w:val="20"/>
        </w:rPr>
        <w:t xml:space="preserve">327.005.881 </w:t>
      </w:r>
      <w:r w:rsidRPr="009C298F">
        <w:rPr>
          <w:rFonts w:cs="Arial"/>
          <w:color w:val="000000" w:themeColor="text1"/>
          <w:sz w:val="20"/>
          <w:szCs w:val="20"/>
        </w:rPr>
        <w:t>evrov.</w:t>
      </w:r>
      <w:r w:rsidR="009E3010" w:rsidRPr="009C298F">
        <w:rPr>
          <w:rFonts w:cs="Arial"/>
          <w:color w:val="000000" w:themeColor="text1"/>
          <w:sz w:val="20"/>
          <w:szCs w:val="20"/>
        </w:rPr>
        <w:t xml:space="preserve"> </w:t>
      </w:r>
    </w:p>
    <w:p w14:paraId="606E875E" w14:textId="77777777" w:rsidR="00EA46B6" w:rsidRPr="00637ACF" w:rsidRDefault="00EA46B6">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05760B67" w14:textId="1C0C58B0" w:rsidR="00177D22" w:rsidRPr="009C298F" w:rsidRDefault="00177D22" w:rsidP="008A61FD">
      <w:pPr>
        <w:spacing w:before="120" w:after="120" w:line="240" w:lineRule="auto"/>
        <w:jc w:val="both"/>
        <w:rPr>
          <w:rFonts w:ascii="Arial" w:hAnsi="Arial" w:cs="Arial"/>
          <w:color w:val="000000" w:themeColor="text1"/>
          <w:sz w:val="20"/>
        </w:rPr>
      </w:pPr>
      <w:r w:rsidRPr="009C298F">
        <w:rPr>
          <w:rFonts w:ascii="Arial" w:hAnsi="Arial" w:cs="Arial"/>
          <w:color w:val="000000" w:themeColor="text1"/>
          <w:sz w:val="20"/>
        </w:rPr>
        <w:lastRenderedPageBreak/>
        <w:t xml:space="preserve">Preglednica </w:t>
      </w:r>
      <w:r w:rsidR="00512F52" w:rsidRPr="009C298F">
        <w:rPr>
          <w:rFonts w:ascii="Arial" w:hAnsi="Arial" w:cs="Arial"/>
          <w:color w:val="000000" w:themeColor="text1"/>
          <w:sz w:val="20"/>
        </w:rPr>
        <w:t>20</w:t>
      </w:r>
      <w:r w:rsidRPr="009C298F">
        <w:rPr>
          <w:rFonts w:ascii="Arial" w:hAnsi="Arial" w:cs="Arial"/>
          <w:color w:val="000000" w:themeColor="text1"/>
          <w:sz w:val="20"/>
        </w:rPr>
        <w:t xml:space="preserve">: Skupno javno naročanje </w:t>
      </w:r>
      <w:r w:rsidR="00B51C8C" w:rsidRPr="009C298F">
        <w:rPr>
          <w:rFonts w:ascii="Arial" w:hAnsi="Arial" w:cs="Arial"/>
          <w:color w:val="000000" w:themeColor="text1"/>
          <w:sz w:val="20"/>
        </w:rPr>
        <w:t>po</w:t>
      </w:r>
      <w:r w:rsidRPr="009C298F">
        <w:rPr>
          <w:rFonts w:ascii="Arial" w:hAnsi="Arial" w:cs="Arial"/>
          <w:color w:val="000000" w:themeColor="text1"/>
          <w:sz w:val="20"/>
        </w:rPr>
        <w:t xml:space="preserve"> številu, vrednosti in deležu skupnih javnih naročil glede na kategorijo naročnika</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3"/>
        <w:gridCol w:w="850"/>
        <w:gridCol w:w="1292"/>
        <w:gridCol w:w="1260"/>
        <w:gridCol w:w="1358"/>
      </w:tblGrid>
      <w:tr w:rsidR="003B12A1" w:rsidRPr="009C298F" w14:paraId="0E0DC82F" w14:textId="77777777" w:rsidTr="00C12296">
        <w:trPr>
          <w:trHeight w:val="255"/>
          <w:jc w:val="center"/>
        </w:trPr>
        <w:tc>
          <w:tcPr>
            <w:tcW w:w="4383" w:type="dxa"/>
            <w:shd w:val="clear" w:color="auto" w:fill="F2F2F2" w:themeFill="background1" w:themeFillShade="F2"/>
            <w:vAlign w:val="center"/>
            <w:hideMark/>
          </w:tcPr>
          <w:p w14:paraId="145F5402" w14:textId="1427561A" w:rsidR="0056175F" w:rsidRPr="009C298F" w:rsidRDefault="0056175F" w:rsidP="0056175F">
            <w:pPr>
              <w:spacing w:after="0" w:line="240" w:lineRule="auto"/>
              <w:jc w:val="center"/>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Kategorija naročnika</w:t>
            </w:r>
          </w:p>
        </w:tc>
        <w:tc>
          <w:tcPr>
            <w:tcW w:w="850" w:type="dxa"/>
            <w:shd w:val="clear" w:color="auto" w:fill="F2F2F2" w:themeFill="background1" w:themeFillShade="F2"/>
            <w:vAlign w:val="center"/>
            <w:hideMark/>
          </w:tcPr>
          <w:p w14:paraId="28268EC5" w14:textId="77777777" w:rsidR="0056175F" w:rsidRPr="009C298F" w:rsidRDefault="0056175F" w:rsidP="0056175F">
            <w:pPr>
              <w:spacing w:after="0" w:line="240" w:lineRule="auto"/>
              <w:jc w:val="center"/>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Št. naročil</w:t>
            </w:r>
          </w:p>
        </w:tc>
        <w:tc>
          <w:tcPr>
            <w:tcW w:w="1292" w:type="dxa"/>
            <w:shd w:val="clear" w:color="auto" w:fill="F2F2F2" w:themeFill="background1" w:themeFillShade="F2"/>
            <w:vAlign w:val="center"/>
            <w:hideMark/>
          </w:tcPr>
          <w:p w14:paraId="6A3FDE53" w14:textId="45EAB6A2" w:rsidR="0056175F" w:rsidRPr="009C298F" w:rsidRDefault="0056175F" w:rsidP="0056175F">
            <w:pPr>
              <w:spacing w:after="0" w:line="240" w:lineRule="auto"/>
              <w:jc w:val="center"/>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Pogodbena vrednost</w:t>
            </w:r>
            <w:r w:rsidR="00F36C50" w:rsidRPr="009C298F">
              <w:rPr>
                <w:rFonts w:ascii="Arial" w:eastAsia="Times New Roman" w:hAnsi="Arial" w:cs="Arial"/>
                <w:color w:val="000000" w:themeColor="text1"/>
                <w:sz w:val="18"/>
                <w:szCs w:val="18"/>
                <w:lang w:eastAsia="sl-SI"/>
              </w:rPr>
              <w:t xml:space="preserve"> (v EUR)</w:t>
            </w:r>
          </w:p>
        </w:tc>
        <w:tc>
          <w:tcPr>
            <w:tcW w:w="1260" w:type="dxa"/>
            <w:shd w:val="clear" w:color="auto" w:fill="F2F2F2" w:themeFill="background1" w:themeFillShade="F2"/>
            <w:vAlign w:val="center"/>
            <w:hideMark/>
          </w:tcPr>
          <w:p w14:paraId="2F411049" w14:textId="77777777" w:rsidR="0056175F" w:rsidRPr="009C298F" w:rsidRDefault="0056175F" w:rsidP="0056175F">
            <w:pPr>
              <w:spacing w:after="0" w:line="240" w:lineRule="auto"/>
              <w:jc w:val="center"/>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Delež v št. skupnih naročil</w:t>
            </w:r>
          </w:p>
        </w:tc>
        <w:tc>
          <w:tcPr>
            <w:tcW w:w="1358" w:type="dxa"/>
            <w:shd w:val="clear" w:color="auto" w:fill="F2F2F2" w:themeFill="background1" w:themeFillShade="F2"/>
            <w:vAlign w:val="center"/>
            <w:hideMark/>
          </w:tcPr>
          <w:p w14:paraId="6E1A9D34" w14:textId="77777777" w:rsidR="0056175F" w:rsidRPr="009C298F" w:rsidRDefault="0056175F" w:rsidP="0056175F">
            <w:pPr>
              <w:spacing w:after="0" w:line="240" w:lineRule="auto"/>
              <w:jc w:val="center"/>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Delež v vrednosti skupnih naročil</w:t>
            </w:r>
          </w:p>
        </w:tc>
      </w:tr>
      <w:tr w:rsidR="009C298F" w:rsidRPr="009C298F" w14:paraId="2614E608" w14:textId="77777777" w:rsidTr="003B12A1">
        <w:trPr>
          <w:trHeight w:val="255"/>
          <w:jc w:val="center"/>
        </w:trPr>
        <w:tc>
          <w:tcPr>
            <w:tcW w:w="4383" w:type="dxa"/>
            <w:shd w:val="clear" w:color="000000" w:fill="FFFFFF"/>
            <w:vAlign w:val="center"/>
            <w:hideMark/>
          </w:tcPr>
          <w:p w14:paraId="41C562F4" w14:textId="2D49E090" w:rsidR="009C298F" w:rsidRPr="009C298F" w:rsidRDefault="009C298F" w:rsidP="009C298F">
            <w:pPr>
              <w:spacing w:after="0" w:line="240" w:lineRule="auto"/>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Organi Republike Slovenije</w:t>
            </w:r>
          </w:p>
        </w:tc>
        <w:tc>
          <w:tcPr>
            <w:tcW w:w="850" w:type="dxa"/>
            <w:shd w:val="clear" w:color="000000" w:fill="FFFFFF"/>
            <w:vAlign w:val="center"/>
            <w:hideMark/>
          </w:tcPr>
          <w:p w14:paraId="4C72071A" w14:textId="3A59E424"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114</w:t>
            </w:r>
          </w:p>
        </w:tc>
        <w:tc>
          <w:tcPr>
            <w:tcW w:w="1292" w:type="dxa"/>
            <w:shd w:val="clear" w:color="000000" w:fill="FFFFFF"/>
            <w:vAlign w:val="center"/>
            <w:hideMark/>
          </w:tcPr>
          <w:p w14:paraId="4D874FD4" w14:textId="6DB92C63"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175.196.149</w:t>
            </w:r>
          </w:p>
        </w:tc>
        <w:tc>
          <w:tcPr>
            <w:tcW w:w="1260" w:type="dxa"/>
            <w:shd w:val="clear" w:color="000000" w:fill="FFFFFF"/>
            <w:vAlign w:val="center"/>
          </w:tcPr>
          <w:p w14:paraId="5B0E5A9F" w14:textId="161D677D"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14,98 %</w:t>
            </w:r>
          </w:p>
        </w:tc>
        <w:tc>
          <w:tcPr>
            <w:tcW w:w="1358" w:type="dxa"/>
            <w:shd w:val="clear" w:color="000000" w:fill="FFFFFF"/>
            <w:vAlign w:val="center"/>
          </w:tcPr>
          <w:p w14:paraId="50B76119" w14:textId="60DE34C0"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19,14 %</w:t>
            </w:r>
          </w:p>
        </w:tc>
      </w:tr>
      <w:tr w:rsidR="009C298F" w:rsidRPr="009C298F" w14:paraId="51FB8E78" w14:textId="77777777" w:rsidTr="003B12A1">
        <w:trPr>
          <w:trHeight w:val="255"/>
          <w:jc w:val="center"/>
        </w:trPr>
        <w:tc>
          <w:tcPr>
            <w:tcW w:w="4383" w:type="dxa"/>
            <w:shd w:val="clear" w:color="000000" w:fill="FFFFFF"/>
            <w:vAlign w:val="center"/>
            <w:hideMark/>
          </w:tcPr>
          <w:p w14:paraId="0AC9949B" w14:textId="77777777" w:rsidR="009C298F" w:rsidRPr="009C298F" w:rsidRDefault="009C298F" w:rsidP="009C298F">
            <w:pPr>
              <w:spacing w:after="0" w:line="240" w:lineRule="auto"/>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Samoupravne lokalne skupnosti</w:t>
            </w:r>
          </w:p>
        </w:tc>
        <w:tc>
          <w:tcPr>
            <w:tcW w:w="850" w:type="dxa"/>
            <w:shd w:val="clear" w:color="000000" w:fill="FFFFFF"/>
            <w:vAlign w:val="center"/>
            <w:hideMark/>
          </w:tcPr>
          <w:p w14:paraId="7256ADA9" w14:textId="752F07C7"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286</w:t>
            </w:r>
          </w:p>
        </w:tc>
        <w:tc>
          <w:tcPr>
            <w:tcW w:w="1292" w:type="dxa"/>
            <w:shd w:val="clear" w:color="000000" w:fill="FFFFFF"/>
            <w:vAlign w:val="center"/>
            <w:hideMark/>
          </w:tcPr>
          <w:p w14:paraId="025124CF" w14:textId="20B6BC13"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327.005.881</w:t>
            </w:r>
          </w:p>
        </w:tc>
        <w:tc>
          <w:tcPr>
            <w:tcW w:w="1260" w:type="dxa"/>
            <w:shd w:val="clear" w:color="000000" w:fill="FFFFFF"/>
            <w:vAlign w:val="center"/>
          </w:tcPr>
          <w:p w14:paraId="7DFDC8C6" w14:textId="0117DBD7"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37,58 %</w:t>
            </w:r>
          </w:p>
        </w:tc>
        <w:tc>
          <w:tcPr>
            <w:tcW w:w="1358" w:type="dxa"/>
            <w:shd w:val="clear" w:color="000000" w:fill="FFFFFF"/>
            <w:vAlign w:val="center"/>
          </w:tcPr>
          <w:p w14:paraId="0C0C6140" w14:textId="479A9E1D"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35,73 %</w:t>
            </w:r>
          </w:p>
        </w:tc>
      </w:tr>
      <w:tr w:rsidR="009C298F" w:rsidRPr="009C298F" w14:paraId="31B820E9" w14:textId="77777777" w:rsidTr="00C12296">
        <w:trPr>
          <w:trHeight w:val="255"/>
          <w:jc w:val="center"/>
        </w:trPr>
        <w:tc>
          <w:tcPr>
            <w:tcW w:w="4383" w:type="dxa"/>
            <w:shd w:val="clear" w:color="000000" w:fill="FFFFFF"/>
            <w:vAlign w:val="center"/>
          </w:tcPr>
          <w:p w14:paraId="4F43614B" w14:textId="3E44FB00" w:rsidR="009C298F" w:rsidRPr="009C298F" w:rsidRDefault="009C298F" w:rsidP="009C298F">
            <w:pPr>
              <w:spacing w:after="0" w:line="240" w:lineRule="auto"/>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Javni skladi</w:t>
            </w:r>
          </w:p>
        </w:tc>
        <w:tc>
          <w:tcPr>
            <w:tcW w:w="850" w:type="dxa"/>
            <w:shd w:val="clear" w:color="000000" w:fill="FFFFFF"/>
            <w:vAlign w:val="center"/>
          </w:tcPr>
          <w:p w14:paraId="66F866D1" w14:textId="1E938D31"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2</w:t>
            </w:r>
          </w:p>
        </w:tc>
        <w:tc>
          <w:tcPr>
            <w:tcW w:w="1292" w:type="dxa"/>
            <w:shd w:val="clear" w:color="000000" w:fill="FFFFFF"/>
            <w:vAlign w:val="center"/>
          </w:tcPr>
          <w:p w14:paraId="628D4155" w14:textId="0F2AC703"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10.698.990</w:t>
            </w:r>
          </w:p>
        </w:tc>
        <w:tc>
          <w:tcPr>
            <w:tcW w:w="1260" w:type="dxa"/>
            <w:shd w:val="clear" w:color="000000" w:fill="FFFFFF"/>
            <w:vAlign w:val="center"/>
          </w:tcPr>
          <w:p w14:paraId="601038D0" w14:textId="0B5967C7"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0,26 %</w:t>
            </w:r>
          </w:p>
        </w:tc>
        <w:tc>
          <w:tcPr>
            <w:tcW w:w="1358" w:type="dxa"/>
            <w:shd w:val="clear" w:color="000000" w:fill="FFFFFF"/>
            <w:vAlign w:val="center"/>
          </w:tcPr>
          <w:p w14:paraId="696062B8" w14:textId="11B09BC0"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1,17 %</w:t>
            </w:r>
          </w:p>
        </w:tc>
      </w:tr>
      <w:tr w:rsidR="009C298F" w:rsidRPr="009C298F" w14:paraId="74694A55" w14:textId="77777777" w:rsidTr="00C12296">
        <w:trPr>
          <w:trHeight w:val="255"/>
          <w:jc w:val="center"/>
        </w:trPr>
        <w:tc>
          <w:tcPr>
            <w:tcW w:w="4383" w:type="dxa"/>
            <w:shd w:val="clear" w:color="000000" w:fill="FFFFFF"/>
            <w:vAlign w:val="center"/>
          </w:tcPr>
          <w:p w14:paraId="0ED9F0F6" w14:textId="41FADB32" w:rsidR="009C298F" w:rsidRPr="009C298F" w:rsidRDefault="009C298F" w:rsidP="009C298F">
            <w:pPr>
              <w:spacing w:after="0" w:line="240" w:lineRule="auto"/>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Javne agencije</w:t>
            </w:r>
          </w:p>
        </w:tc>
        <w:tc>
          <w:tcPr>
            <w:tcW w:w="850" w:type="dxa"/>
            <w:shd w:val="clear" w:color="000000" w:fill="FFFFFF"/>
            <w:vAlign w:val="center"/>
          </w:tcPr>
          <w:p w14:paraId="59FDC809" w14:textId="25431028"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1</w:t>
            </w:r>
          </w:p>
        </w:tc>
        <w:tc>
          <w:tcPr>
            <w:tcW w:w="1292" w:type="dxa"/>
            <w:shd w:val="clear" w:color="000000" w:fill="FFFFFF"/>
            <w:vAlign w:val="center"/>
          </w:tcPr>
          <w:p w14:paraId="77EFE3B9" w14:textId="18CF95B7"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78.578</w:t>
            </w:r>
          </w:p>
        </w:tc>
        <w:tc>
          <w:tcPr>
            <w:tcW w:w="1260" w:type="dxa"/>
            <w:shd w:val="clear" w:color="000000" w:fill="FFFFFF"/>
            <w:vAlign w:val="center"/>
          </w:tcPr>
          <w:p w14:paraId="490023F9" w14:textId="7FEEF842"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0,13 %</w:t>
            </w:r>
          </w:p>
        </w:tc>
        <w:tc>
          <w:tcPr>
            <w:tcW w:w="1358" w:type="dxa"/>
            <w:shd w:val="clear" w:color="000000" w:fill="FFFFFF"/>
            <w:vAlign w:val="center"/>
          </w:tcPr>
          <w:p w14:paraId="2570D35D" w14:textId="3F53C6BA"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0,01 %</w:t>
            </w:r>
          </w:p>
        </w:tc>
      </w:tr>
      <w:tr w:rsidR="009C298F" w:rsidRPr="009C298F" w14:paraId="2C3BD249" w14:textId="77777777" w:rsidTr="003B12A1">
        <w:trPr>
          <w:trHeight w:val="255"/>
          <w:jc w:val="center"/>
        </w:trPr>
        <w:tc>
          <w:tcPr>
            <w:tcW w:w="4383" w:type="dxa"/>
            <w:shd w:val="clear" w:color="auto" w:fill="auto"/>
            <w:vAlign w:val="center"/>
            <w:hideMark/>
          </w:tcPr>
          <w:p w14:paraId="3CF780BE" w14:textId="77777777" w:rsidR="009C298F" w:rsidRPr="009C298F" w:rsidRDefault="009C298F" w:rsidP="009C298F">
            <w:pPr>
              <w:spacing w:after="0" w:line="240" w:lineRule="auto"/>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Javni zavodi</w:t>
            </w:r>
          </w:p>
        </w:tc>
        <w:tc>
          <w:tcPr>
            <w:tcW w:w="850" w:type="dxa"/>
            <w:shd w:val="clear" w:color="auto" w:fill="auto"/>
            <w:vAlign w:val="center"/>
            <w:hideMark/>
          </w:tcPr>
          <w:p w14:paraId="7E12DA34" w14:textId="1F898261"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175</w:t>
            </w:r>
          </w:p>
        </w:tc>
        <w:tc>
          <w:tcPr>
            <w:tcW w:w="1292" w:type="dxa"/>
            <w:shd w:val="clear" w:color="auto" w:fill="auto"/>
            <w:vAlign w:val="center"/>
            <w:hideMark/>
          </w:tcPr>
          <w:p w14:paraId="3449ED49" w14:textId="4713C310"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149.890.322</w:t>
            </w:r>
          </w:p>
        </w:tc>
        <w:tc>
          <w:tcPr>
            <w:tcW w:w="1260" w:type="dxa"/>
            <w:shd w:val="clear" w:color="000000" w:fill="FFFFFF"/>
            <w:vAlign w:val="center"/>
          </w:tcPr>
          <w:p w14:paraId="1320CEAE" w14:textId="0DB705D0"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23,00 %</w:t>
            </w:r>
          </w:p>
        </w:tc>
        <w:tc>
          <w:tcPr>
            <w:tcW w:w="1358" w:type="dxa"/>
            <w:shd w:val="clear" w:color="000000" w:fill="FFFFFF"/>
            <w:vAlign w:val="center"/>
          </w:tcPr>
          <w:p w14:paraId="6CA5B5C9" w14:textId="0BFBAD55"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16,38 %</w:t>
            </w:r>
          </w:p>
        </w:tc>
      </w:tr>
      <w:tr w:rsidR="009C298F" w:rsidRPr="009C298F" w14:paraId="75FC3450" w14:textId="77777777" w:rsidTr="00C12296">
        <w:trPr>
          <w:trHeight w:val="255"/>
          <w:jc w:val="center"/>
        </w:trPr>
        <w:tc>
          <w:tcPr>
            <w:tcW w:w="4383" w:type="dxa"/>
            <w:shd w:val="clear" w:color="auto" w:fill="auto"/>
            <w:vAlign w:val="center"/>
          </w:tcPr>
          <w:p w14:paraId="08E4235E" w14:textId="750DD7BC" w:rsidR="009C298F" w:rsidRPr="009C298F" w:rsidRDefault="009C298F" w:rsidP="009C298F">
            <w:pPr>
              <w:spacing w:after="0" w:line="240" w:lineRule="auto"/>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Javni gospodarski zavodi</w:t>
            </w:r>
          </w:p>
        </w:tc>
        <w:tc>
          <w:tcPr>
            <w:tcW w:w="850" w:type="dxa"/>
            <w:shd w:val="clear" w:color="auto" w:fill="auto"/>
            <w:vAlign w:val="center"/>
          </w:tcPr>
          <w:p w14:paraId="332D8319" w14:textId="14746E81"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1</w:t>
            </w:r>
          </w:p>
        </w:tc>
        <w:tc>
          <w:tcPr>
            <w:tcW w:w="1292" w:type="dxa"/>
            <w:shd w:val="clear" w:color="auto" w:fill="auto"/>
            <w:vAlign w:val="center"/>
          </w:tcPr>
          <w:p w14:paraId="740B2787" w14:textId="4CF1E843"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61.551</w:t>
            </w:r>
          </w:p>
        </w:tc>
        <w:tc>
          <w:tcPr>
            <w:tcW w:w="1260" w:type="dxa"/>
            <w:shd w:val="clear" w:color="000000" w:fill="FFFFFF"/>
            <w:vAlign w:val="center"/>
          </w:tcPr>
          <w:p w14:paraId="6AF850E3" w14:textId="4166A1CD"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0,13 %</w:t>
            </w:r>
          </w:p>
        </w:tc>
        <w:tc>
          <w:tcPr>
            <w:tcW w:w="1358" w:type="dxa"/>
            <w:shd w:val="clear" w:color="000000" w:fill="FFFFFF"/>
            <w:vAlign w:val="center"/>
          </w:tcPr>
          <w:p w14:paraId="53441591" w14:textId="51354E99"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0,01 %</w:t>
            </w:r>
          </w:p>
        </w:tc>
      </w:tr>
      <w:tr w:rsidR="009C298F" w:rsidRPr="009C298F" w14:paraId="68CFA3BB" w14:textId="77777777" w:rsidTr="001E21A1">
        <w:trPr>
          <w:trHeight w:val="255"/>
          <w:jc w:val="center"/>
        </w:trPr>
        <w:tc>
          <w:tcPr>
            <w:tcW w:w="4383" w:type="dxa"/>
            <w:shd w:val="clear" w:color="auto" w:fill="auto"/>
            <w:vAlign w:val="center"/>
            <w:hideMark/>
          </w:tcPr>
          <w:p w14:paraId="0DFF1483" w14:textId="77777777" w:rsidR="009C298F" w:rsidRPr="009C298F" w:rsidRDefault="009C298F" w:rsidP="009C298F">
            <w:pPr>
              <w:spacing w:after="0" w:line="240" w:lineRule="auto"/>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Drugi naročniki (osebe javnega prava, javna podjetja, subjekt s posebnimi infrastrukturnimi pravicami)</w:t>
            </w:r>
          </w:p>
        </w:tc>
        <w:tc>
          <w:tcPr>
            <w:tcW w:w="850" w:type="dxa"/>
            <w:shd w:val="clear" w:color="auto" w:fill="auto"/>
          </w:tcPr>
          <w:p w14:paraId="0DC29ED7" w14:textId="024F22BE"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t>177</w:t>
            </w:r>
          </w:p>
        </w:tc>
        <w:tc>
          <w:tcPr>
            <w:tcW w:w="1292" w:type="dxa"/>
            <w:shd w:val="clear" w:color="auto" w:fill="auto"/>
          </w:tcPr>
          <w:p w14:paraId="7E5448E3" w14:textId="4FA779AE"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t>250.162.242</w:t>
            </w:r>
          </w:p>
        </w:tc>
        <w:tc>
          <w:tcPr>
            <w:tcW w:w="1260" w:type="dxa"/>
            <w:shd w:val="clear" w:color="000000" w:fill="FFFFFF"/>
            <w:vAlign w:val="center"/>
          </w:tcPr>
          <w:p w14:paraId="027D21CF" w14:textId="195A19E1"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23,26 %</w:t>
            </w:r>
          </w:p>
        </w:tc>
        <w:tc>
          <w:tcPr>
            <w:tcW w:w="1358" w:type="dxa"/>
            <w:shd w:val="clear" w:color="000000" w:fill="FFFFFF"/>
            <w:vAlign w:val="center"/>
          </w:tcPr>
          <w:p w14:paraId="1586A0B3" w14:textId="051530AE"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27,33 %</w:t>
            </w:r>
          </w:p>
        </w:tc>
      </w:tr>
      <w:tr w:rsidR="009C298F" w:rsidRPr="009C298F" w14:paraId="5D1FDAAD" w14:textId="77777777" w:rsidTr="003B12A1">
        <w:trPr>
          <w:trHeight w:val="255"/>
          <w:jc w:val="center"/>
        </w:trPr>
        <w:tc>
          <w:tcPr>
            <w:tcW w:w="4383" w:type="dxa"/>
            <w:shd w:val="clear" w:color="auto" w:fill="auto"/>
            <w:vAlign w:val="center"/>
            <w:hideMark/>
          </w:tcPr>
          <w:p w14:paraId="00C93054" w14:textId="69A338AE" w:rsidR="009C298F" w:rsidRPr="009C298F" w:rsidRDefault="009C298F" w:rsidP="009C298F">
            <w:pPr>
              <w:spacing w:after="0" w:line="240" w:lineRule="auto"/>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Drugi subjekti</w:t>
            </w:r>
          </w:p>
        </w:tc>
        <w:tc>
          <w:tcPr>
            <w:tcW w:w="850" w:type="dxa"/>
            <w:shd w:val="clear" w:color="auto" w:fill="auto"/>
            <w:vAlign w:val="center"/>
            <w:hideMark/>
          </w:tcPr>
          <w:p w14:paraId="414FAF80" w14:textId="6C45772A"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5</w:t>
            </w:r>
          </w:p>
        </w:tc>
        <w:tc>
          <w:tcPr>
            <w:tcW w:w="1292" w:type="dxa"/>
            <w:shd w:val="clear" w:color="auto" w:fill="auto"/>
            <w:vAlign w:val="center"/>
            <w:hideMark/>
          </w:tcPr>
          <w:p w14:paraId="290CA90E" w14:textId="5F6F33A7"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eastAsia="Times New Roman" w:hAnsi="Arial" w:cs="Arial"/>
                <w:color w:val="000000" w:themeColor="text1"/>
                <w:sz w:val="18"/>
                <w:szCs w:val="18"/>
                <w:lang w:eastAsia="sl-SI"/>
              </w:rPr>
              <w:t>2.238.428</w:t>
            </w:r>
          </w:p>
        </w:tc>
        <w:tc>
          <w:tcPr>
            <w:tcW w:w="1260" w:type="dxa"/>
            <w:shd w:val="clear" w:color="000000" w:fill="FFFFFF"/>
            <w:vAlign w:val="center"/>
          </w:tcPr>
          <w:p w14:paraId="65BE3E13" w14:textId="309F8F80"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0,66 %</w:t>
            </w:r>
          </w:p>
        </w:tc>
        <w:tc>
          <w:tcPr>
            <w:tcW w:w="1358" w:type="dxa"/>
            <w:shd w:val="clear" w:color="000000" w:fill="FFFFFF"/>
            <w:vAlign w:val="center"/>
          </w:tcPr>
          <w:p w14:paraId="4E603D63" w14:textId="18F948AC" w:rsidR="009C298F" w:rsidRPr="009C298F" w:rsidRDefault="009C298F" w:rsidP="009C298F">
            <w:pPr>
              <w:spacing w:after="0" w:line="240" w:lineRule="auto"/>
              <w:jc w:val="right"/>
              <w:rPr>
                <w:rFonts w:ascii="Arial" w:eastAsia="Times New Roman" w:hAnsi="Arial" w:cs="Arial"/>
                <w:color w:val="000000" w:themeColor="text1"/>
                <w:sz w:val="18"/>
                <w:szCs w:val="18"/>
                <w:lang w:eastAsia="sl-SI"/>
              </w:rPr>
            </w:pPr>
            <w:r w:rsidRPr="009C298F">
              <w:rPr>
                <w:rFonts w:ascii="Arial" w:hAnsi="Arial" w:cs="Arial"/>
                <w:color w:val="000000"/>
                <w:sz w:val="18"/>
                <w:szCs w:val="18"/>
              </w:rPr>
              <w:t>0,24 %</w:t>
            </w:r>
          </w:p>
        </w:tc>
      </w:tr>
      <w:tr w:rsidR="009C298F" w:rsidRPr="009C298F" w14:paraId="7423584C" w14:textId="77777777" w:rsidTr="009C298F">
        <w:trPr>
          <w:trHeight w:val="255"/>
          <w:jc w:val="center"/>
        </w:trPr>
        <w:tc>
          <w:tcPr>
            <w:tcW w:w="4383" w:type="dxa"/>
            <w:shd w:val="clear" w:color="auto" w:fill="F2F2F2" w:themeFill="background1" w:themeFillShade="F2"/>
            <w:vAlign w:val="center"/>
            <w:hideMark/>
          </w:tcPr>
          <w:p w14:paraId="2A150547" w14:textId="77777777" w:rsidR="009C298F" w:rsidRPr="009C298F" w:rsidRDefault="009C298F" w:rsidP="009C298F">
            <w:pPr>
              <w:spacing w:after="0" w:line="240" w:lineRule="auto"/>
              <w:rPr>
                <w:rFonts w:ascii="Arial" w:eastAsia="Times New Roman" w:hAnsi="Arial" w:cs="Arial"/>
                <w:b/>
                <w:bCs/>
                <w:color w:val="000000" w:themeColor="text1"/>
                <w:sz w:val="18"/>
                <w:szCs w:val="18"/>
                <w:lang w:eastAsia="sl-SI"/>
              </w:rPr>
            </w:pPr>
            <w:r w:rsidRPr="009C298F">
              <w:rPr>
                <w:rFonts w:ascii="Arial" w:eastAsia="Times New Roman" w:hAnsi="Arial" w:cs="Arial"/>
                <w:b/>
                <w:bCs/>
                <w:color w:val="000000" w:themeColor="text1"/>
                <w:sz w:val="18"/>
                <w:szCs w:val="18"/>
                <w:lang w:eastAsia="sl-SI"/>
              </w:rPr>
              <w:t>Skupaj</w:t>
            </w:r>
          </w:p>
        </w:tc>
        <w:tc>
          <w:tcPr>
            <w:tcW w:w="850" w:type="dxa"/>
            <w:shd w:val="clear" w:color="auto" w:fill="F2F2F2" w:themeFill="background1" w:themeFillShade="F2"/>
            <w:vAlign w:val="center"/>
          </w:tcPr>
          <w:p w14:paraId="037833E3" w14:textId="2D9B356F" w:rsidR="009C298F" w:rsidRPr="009C298F" w:rsidRDefault="009C298F" w:rsidP="009C298F">
            <w:pPr>
              <w:spacing w:after="0" w:line="240" w:lineRule="auto"/>
              <w:jc w:val="right"/>
              <w:rPr>
                <w:rFonts w:ascii="Arial" w:eastAsia="Times New Roman" w:hAnsi="Arial" w:cs="Arial"/>
                <w:b/>
                <w:bCs/>
                <w:color w:val="000000" w:themeColor="text1"/>
                <w:sz w:val="18"/>
                <w:szCs w:val="18"/>
                <w:lang w:eastAsia="sl-SI"/>
              </w:rPr>
            </w:pPr>
            <w:r w:rsidRPr="009C298F">
              <w:rPr>
                <w:rFonts w:ascii="Arial" w:hAnsi="Arial" w:cs="Arial"/>
                <w:b/>
                <w:bCs/>
                <w:color w:val="000000"/>
                <w:sz w:val="18"/>
                <w:szCs w:val="18"/>
              </w:rPr>
              <w:t>761</w:t>
            </w:r>
          </w:p>
        </w:tc>
        <w:tc>
          <w:tcPr>
            <w:tcW w:w="1292" w:type="dxa"/>
            <w:shd w:val="clear" w:color="auto" w:fill="F2F2F2" w:themeFill="background1" w:themeFillShade="F2"/>
            <w:vAlign w:val="center"/>
          </w:tcPr>
          <w:p w14:paraId="356B3CB2" w14:textId="19420DF0" w:rsidR="009C298F" w:rsidRPr="009C298F" w:rsidRDefault="009C298F" w:rsidP="009C298F">
            <w:pPr>
              <w:spacing w:after="0" w:line="240" w:lineRule="auto"/>
              <w:jc w:val="right"/>
              <w:rPr>
                <w:rFonts w:ascii="Arial" w:eastAsia="Times New Roman" w:hAnsi="Arial" w:cs="Arial"/>
                <w:b/>
                <w:bCs/>
                <w:color w:val="000000" w:themeColor="text1"/>
                <w:sz w:val="18"/>
                <w:szCs w:val="18"/>
                <w:lang w:eastAsia="sl-SI"/>
              </w:rPr>
            </w:pPr>
            <w:r w:rsidRPr="009C298F">
              <w:rPr>
                <w:rFonts w:ascii="Arial" w:hAnsi="Arial" w:cs="Arial"/>
                <w:b/>
                <w:bCs/>
                <w:color w:val="000000"/>
                <w:sz w:val="18"/>
                <w:szCs w:val="18"/>
              </w:rPr>
              <w:t>915.332.141</w:t>
            </w:r>
          </w:p>
        </w:tc>
        <w:tc>
          <w:tcPr>
            <w:tcW w:w="1260" w:type="dxa"/>
            <w:shd w:val="clear" w:color="auto" w:fill="F2F2F2" w:themeFill="background1" w:themeFillShade="F2"/>
            <w:vAlign w:val="center"/>
          </w:tcPr>
          <w:p w14:paraId="6E04391A" w14:textId="7450F544" w:rsidR="009C298F" w:rsidRPr="009C298F" w:rsidRDefault="009C298F" w:rsidP="009C298F">
            <w:pPr>
              <w:spacing w:after="0" w:line="240" w:lineRule="auto"/>
              <w:jc w:val="right"/>
              <w:rPr>
                <w:rFonts w:ascii="Arial" w:eastAsia="Times New Roman" w:hAnsi="Arial" w:cs="Arial"/>
                <w:b/>
                <w:bCs/>
                <w:color w:val="000000" w:themeColor="text1"/>
                <w:sz w:val="18"/>
                <w:szCs w:val="18"/>
                <w:lang w:eastAsia="sl-SI"/>
              </w:rPr>
            </w:pPr>
            <w:r w:rsidRPr="009C298F">
              <w:rPr>
                <w:rFonts w:ascii="Arial" w:hAnsi="Arial" w:cs="Arial"/>
                <w:b/>
                <w:bCs/>
                <w:color w:val="000000"/>
                <w:sz w:val="18"/>
                <w:szCs w:val="18"/>
              </w:rPr>
              <w:t>100,00 %</w:t>
            </w:r>
          </w:p>
        </w:tc>
        <w:tc>
          <w:tcPr>
            <w:tcW w:w="1358" w:type="dxa"/>
            <w:shd w:val="clear" w:color="auto" w:fill="F2F2F2" w:themeFill="background1" w:themeFillShade="F2"/>
            <w:vAlign w:val="center"/>
          </w:tcPr>
          <w:p w14:paraId="330F7C61" w14:textId="2E65B093" w:rsidR="009C298F" w:rsidRPr="009C298F" w:rsidRDefault="009C298F" w:rsidP="009C298F">
            <w:pPr>
              <w:spacing w:after="0" w:line="240" w:lineRule="auto"/>
              <w:jc w:val="right"/>
              <w:rPr>
                <w:rFonts w:ascii="Arial" w:eastAsia="Times New Roman" w:hAnsi="Arial" w:cs="Arial"/>
                <w:b/>
                <w:bCs/>
                <w:color w:val="000000" w:themeColor="text1"/>
                <w:sz w:val="18"/>
                <w:szCs w:val="18"/>
                <w:lang w:eastAsia="sl-SI"/>
              </w:rPr>
            </w:pPr>
            <w:r w:rsidRPr="009C298F">
              <w:rPr>
                <w:rFonts w:ascii="Arial" w:hAnsi="Arial" w:cs="Arial"/>
                <w:b/>
                <w:bCs/>
                <w:color w:val="000000"/>
                <w:sz w:val="18"/>
                <w:szCs w:val="18"/>
              </w:rPr>
              <w:t>100,00 %</w:t>
            </w:r>
          </w:p>
        </w:tc>
      </w:tr>
    </w:tbl>
    <w:p w14:paraId="77D8A605" w14:textId="77777777" w:rsidR="004A613D" w:rsidRPr="009C298F" w:rsidRDefault="004A613D" w:rsidP="004A613D">
      <w:pPr>
        <w:spacing w:after="0" w:line="240" w:lineRule="auto"/>
        <w:jc w:val="center"/>
        <w:rPr>
          <w:rFonts w:ascii="Arial" w:hAnsi="Arial" w:cs="Arial"/>
          <w:color w:val="000000" w:themeColor="text1"/>
          <w:sz w:val="18"/>
        </w:rPr>
      </w:pPr>
    </w:p>
    <w:p w14:paraId="1CBC7ABF" w14:textId="3E5A6A51" w:rsidR="00177D22" w:rsidRPr="009C298F" w:rsidRDefault="00177D22" w:rsidP="004A613D">
      <w:pPr>
        <w:spacing w:after="0" w:line="240" w:lineRule="auto"/>
        <w:jc w:val="center"/>
        <w:rPr>
          <w:rFonts w:ascii="Arial" w:hAnsi="Arial" w:cs="Arial"/>
          <w:color w:val="000000" w:themeColor="text1"/>
          <w:sz w:val="18"/>
        </w:rPr>
      </w:pPr>
      <w:r w:rsidRPr="009C298F">
        <w:rPr>
          <w:rFonts w:ascii="Arial" w:hAnsi="Arial" w:cs="Arial"/>
          <w:color w:val="000000" w:themeColor="text1"/>
          <w:sz w:val="18"/>
        </w:rPr>
        <w:t>Vir: Statistični podatki o javni</w:t>
      </w:r>
      <w:r w:rsidR="00CD1C20" w:rsidRPr="009C298F">
        <w:rPr>
          <w:rFonts w:ascii="Arial" w:hAnsi="Arial" w:cs="Arial"/>
          <w:color w:val="000000" w:themeColor="text1"/>
          <w:sz w:val="18"/>
        </w:rPr>
        <w:t>h naročilih, oddanih v letu 20</w:t>
      </w:r>
      <w:r w:rsidR="0056175F" w:rsidRPr="009C298F">
        <w:rPr>
          <w:rFonts w:ascii="Arial" w:hAnsi="Arial" w:cs="Arial"/>
          <w:color w:val="000000" w:themeColor="text1"/>
          <w:sz w:val="18"/>
        </w:rPr>
        <w:t>2</w:t>
      </w:r>
      <w:r w:rsidR="00982425" w:rsidRPr="009C298F">
        <w:rPr>
          <w:rFonts w:ascii="Arial" w:hAnsi="Arial" w:cs="Arial"/>
          <w:color w:val="000000" w:themeColor="text1"/>
          <w:sz w:val="18"/>
        </w:rPr>
        <w:t>3</w:t>
      </w:r>
      <w:r w:rsidR="00630FBA" w:rsidRPr="009C298F">
        <w:rPr>
          <w:rFonts w:ascii="Arial" w:hAnsi="Arial" w:cs="Arial"/>
          <w:color w:val="000000" w:themeColor="text1"/>
          <w:sz w:val="18"/>
        </w:rPr>
        <w:t>.</w:t>
      </w:r>
    </w:p>
    <w:p w14:paraId="7E166000" w14:textId="77777777" w:rsidR="00EA46B6" w:rsidRPr="00E84F87" w:rsidRDefault="00EA46B6" w:rsidP="0068366B">
      <w:pPr>
        <w:spacing w:line="360" w:lineRule="auto"/>
        <w:jc w:val="both"/>
        <w:rPr>
          <w:rFonts w:ascii="Arial" w:hAnsi="Arial" w:cs="Arial"/>
          <w:color w:val="000000" w:themeColor="text1"/>
          <w:sz w:val="20"/>
          <w:szCs w:val="20"/>
        </w:rPr>
      </w:pPr>
    </w:p>
    <w:p w14:paraId="29653CAC" w14:textId="5DB93135" w:rsidR="00054ABF" w:rsidRPr="009C298F" w:rsidRDefault="002F6AA2" w:rsidP="0068366B">
      <w:pPr>
        <w:spacing w:line="360" w:lineRule="auto"/>
        <w:jc w:val="both"/>
        <w:rPr>
          <w:rFonts w:ascii="Arial" w:hAnsi="Arial" w:cs="Arial"/>
          <w:color w:val="000000" w:themeColor="text1"/>
          <w:sz w:val="20"/>
          <w:szCs w:val="20"/>
        </w:rPr>
      </w:pPr>
      <w:r w:rsidRPr="00E84F87">
        <w:rPr>
          <w:rFonts w:ascii="Arial" w:hAnsi="Arial" w:cs="Arial"/>
          <w:color w:val="000000" w:themeColor="text1"/>
          <w:sz w:val="20"/>
          <w:szCs w:val="20"/>
        </w:rPr>
        <w:t xml:space="preserve">Glede na vrednost oddanih skupnih javnih naročil </w:t>
      </w:r>
      <w:r w:rsidR="00CF3448" w:rsidRPr="00E84F87">
        <w:rPr>
          <w:rFonts w:ascii="Arial" w:hAnsi="Arial" w:cs="Arial"/>
          <w:color w:val="000000" w:themeColor="text1"/>
          <w:sz w:val="20"/>
          <w:szCs w:val="20"/>
        </w:rPr>
        <w:t>so</w:t>
      </w:r>
      <w:r w:rsidRPr="00E84F87">
        <w:rPr>
          <w:rFonts w:ascii="Arial" w:hAnsi="Arial" w:cs="Arial"/>
          <w:color w:val="000000" w:themeColor="text1"/>
          <w:sz w:val="20"/>
          <w:szCs w:val="20"/>
        </w:rPr>
        <w:t xml:space="preserve"> najuspešnejši ponudnik</w:t>
      </w:r>
      <w:r w:rsidR="00CF3448" w:rsidRPr="00E84F87">
        <w:rPr>
          <w:rFonts w:ascii="Arial" w:hAnsi="Arial" w:cs="Arial"/>
          <w:color w:val="000000" w:themeColor="text1"/>
          <w:sz w:val="20"/>
          <w:szCs w:val="20"/>
        </w:rPr>
        <w:t>i</w:t>
      </w:r>
      <w:r w:rsidRPr="00E84F87">
        <w:rPr>
          <w:rFonts w:ascii="Arial" w:hAnsi="Arial" w:cs="Arial"/>
          <w:color w:val="000000" w:themeColor="text1"/>
          <w:sz w:val="20"/>
          <w:szCs w:val="20"/>
        </w:rPr>
        <w:t xml:space="preserve"> </w:t>
      </w:r>
      <w:r w:rsidR="00174A35" w:rsidRPr="00E84F87">
        <w:rPr>
          <w:rFonts w:ascii="Arial" w:hAnsi="Arial" w:cs="Arial"/>
          <w:color w:val="000000" w:themeColor="text1"/>
          <w:sz w:val="20"/>
          <w:szCs w:val="20"/>
        </w:rPr>
        <w:t>Elektro Maribor Energija plus d.o.o</w:t>
      </w:r>
      <w:r w:rsidR="00B11217" w:rsidRPr="00E84F87">
        <w:rPr>
          <w:rFonts w:ascii="Arial" w:hAnsi="Arial" w:cs="Arial"/>
          <w:color w:val="000000" w:themeColor="text1"/>
          <w:sz w:val="20"/>
          <w:szCs w:val="20"/>
        </w:rPr>
        <w:t>.</w:t>
      </w:r>
      <w:r w:rsidRPr="00E84F87">
        <w:rPr>
          <w:rFonts w:ascii="Arial" w:eastAsia="Times New Roman" w:hAnsi="Arial" w:cs="Arial"/>
          <w:color w:val="000000" w:themeColor="text1"/>
          <w:sz w:val="20"/>
          <w:szCs w:val="20"/>
          <w:lang w:eastAsia="sl-SI"/>
        </w:rPr>
        <w:t xml:space="preserve"> </w:t>
      </w:r>
      <w:r w:rsidR="00B51C8C" w:rsidRPr="00E84F87">
        <w:rPr>
          <w:rFonts w:ascii="Arial" w:hAnsi="Arial" w:cs="Arial"/>
          <w:color w:val="000000" w:themeColor="text1"/>
          <w:sz w:val="20"/>
          <w:szCs w:val="20"/>
        </w:rPr>
        <w:t>s</w:t>
      </w:r>
      <w:r w:rsidR="00425E62" w:rsidRPr="00E84F87">
        <w:rPr>
          <w:rFonts w:ascii="Arial" w:hAnsi="Arial" w:cs="Arial"/>
          <w:color w:val="000000" w:themeColor="text1"/>
          <w:sz w:val="20"/>
          <w:szCs w:val="20"/>
        </w:rPr>
        <w:t xml:space="preserve"> </w:t>
      </w:r>
      <w:r w:rsidR="00EA46B6" w:rsidRPr="00E84F87">
        <w:rPr>
          <w:rFonts w:ascii="Arial" w:hAnsi="Arial" w:cs="Arial"/>
          <w:color w:val="000000" w:themeColor="text1"/>
          <w:sz w:val="20"/>
          <w:szCs w:val="20"/>
        </w:rPr>
        <w:t>šestimi</w:t>
      </w:r>
      <w:r w:rsidR="00425E62" w:rsidRPr="00E84F87">
        <w:rPr>
          <w:rFonts w:ascii="Arial" w:hAnsi="Arial" w:cs="Arial"/>
          <w:color w:val="000000" w:themeColor="text1"/>
          <w:sz w:val="20"/>
          <w:szCs w:val="20"/>
        </w:rPr>
        <w:t xml:space="preserve"> naročil</w:t>
      </w:r>
      <w:r w:rsidR="000405D8" w:rsidRPr="00E84F87">
        <w:rPr>
          <w:rFonts w:ascii="Arial" w:hAnsi="Arial" w:cs="Arial"/>
          <w:color w:val="000000" w:themeColor="text1"/>
          <w:sz w:val="20"/>
          <w:szCs w:val="20"/>
        </w:rPr>
        <w:t>i</w:t>
      </w:r>
      <w:r w:rsidR="00425E62" w:rsidRPr="00E84F87">
        <w:rPr>
          <w:rFonts w:ascii="Arial" w:hAnsi="Arial" w:cs="Arial"/>
          <w:color w:val="000000" w:themeColor="text1"/>
          <w:sz w:val="20"/>
          <w:szCs w:val="20"/>
        </w:rPr>
        <w:t xml:space="preserve"> v</w:t>
      </w:r>
      <w:r w:rsidR="000E3AFC" w:rsidRPr="00E84F87">
        <w:rPr>
          <w:rFonts w:ascii="Arial" w:hAnsi="Arial" w:cs="Arial"/>
          <w:color w:val="000000" w:themeColor="text1"/>
          <w:sz w:val="20"/>
          <w:szCs w:val="20"/>
        </w:rPr>
        <w:t xml:space="preserve"> </w:t>
      </w:r>
      <w:r w:rsidRPr="00E84F87">
        <w:rPr>
          <w:rFonts w:ascii="Arial" w:hAnsi="Arial" w:cs="Arial"/>
          <w:color w:val="000000" w:themeColor="text1"/>
          <w:sz w:val="20"/>
          <w:szCs w:val="20"/>
        </w:rPr>
        <w:t xml:space="preserve">vrednosti </w:t>
      </w:r>
      <w:r w:rsidR="00174A35" w:rsidRPr="00E84F87">
        <w:rPr>
          <w:rFonts w:ascii="Arial" w:hAnsi="Arial" w:cs="Arial"/>
          <w:color w:val="000000" w:themeColor="text1"/>
          <w:sz w:val="20"/>
          <w:szCs w:val="20"/>
        </w:rPr>
        <w:t xml:space="preserve">225.043.523 </w:t>
      </w:r>
      <w:r w:rsidR="000E3AFC" w:rsidRPr="00E84F87">
        <w:rPr>
          <w:rFonts w:ascii="Arial" w:eastAsia="Times New Roman" w:hAnsi="Arial" w:cs="Arial"/>
          <w:color w:val="000000" w:themeColor="text1"/>
          <w:sz w:val="20"/>
          <w:szCs w:val="20"/>
          <w:lang w:eastAsia="sl-SI"/>
        </w:rPr>
        <w:t>evrov</w:t>
      </w:r>
      <w:r w:rsidRPr="00E84F87">
        <w:rPr>
          <w:rFonts w:ascii="Arial" w:hAnsi="Arial" w:cs="Arial"/>
          <w:color w:val="000000" w:themeColor="text1"/>
          <w:sz w:val="20"/>
          <w:szCs w:val="20"/>
        </w:rPr>
        <w:t>,</w:t>
      </w:r>
      <w:r w:rsidR="00425E62" w:rsidRPr="00E84F87">
        <w:rPr>
          <w:rFonts w:ascii="Arial" w:hAnsi="Arial" w:cs="Arial"/>
          <w:color w:val="000000" w:themeColor="text1"/>
          <w:sz w:val="20"/>
          <w:szCs w:val="20"/>
        </w:rPr>
        <w:t xml:space="preserve"> </w:t>
      </w:r>
      <w:r w:rsidR="00174A35" w:rsidRPr="00E84F87">
        <w:rPr>
          <w:rFonts w:ascii="Arial" w:eastAsia="Times New Roman" w:hAnsi="Arial" w:cs="Arial"/>
          <w:color w:val="000000" w:themeColor="text1"/>
          <w:sz w:val="20"/>
          <w:szCs w:val="20"/>
          <w:lang w:eastAsia="sl-SI"/>
        </w:rPr>
        <w:t xml:space="preserve">PETROL, Slovenska energetska družba, </w:t>
      </w:r>
      <w:proofErr w:type="spellStart"/>
      <w:r w:rsidR="00174A35" w:rsidRPr="00E84F87">
        <w:rPr>
          <w:rFonts w:ascii="Arial" w:eastAsia="Times New Roman" w:hAnsi="Arial" w:cs="Arial"/>
          <w:color w:val="000000" w:themeColor="text1"/>
          <w:sz w:val="20"/>
          <w:szCs w:val="20"/>
          <w:lang w:eastAsia="sl-SI"/>
        </w:rPr>
        <w:t>d.d</w:t>
      </w:r>
      <w:proofErr w:type="spellEnd"/>
      <w:r w:rsidR="00174A35" w:rsidRPr="00E84F87">
        <w:rPr>
          <w:rFonts w:ascii="Arial" w:eastAsia="Times New Roman" w:hAnsi="Arial" w:cs="Arial"/>
          <w:color w:val="000000" w:themeColor="text1"/>
          <w:sz w:val="20"/>
          <w:szCs w:val="20"/>
          <w:lang w:eastAsia="sl-SI"/>
        </w:rPr>
        <w:t xml:space="preserve">., Ljubljana </w:t>
      </w:r>
      <w:r w:rsidR="00425E62" w:rsidRPr="00E84F87">
        <w:rPr>
          <w:rFonts w:ascii="Arial" w:hAnsi="Arial" w:cs="Arial"/>
          <w:color w:val="000000" w:themeColor="text1"/>
          <w:sz w:val="20"/>
          <w:szCs w:val="20"/>
        </w:rPr>
        <w:t xml:space="preserve">s </w:t>
      </w:r>
      <w:r w:rsidR="00EA46B6" w:rsidRPr="00E84F87">
        <w:rPr>
          <w:rFonts w:ascii="Arial" w:hAnsi="Arial" w:cs="Arial"/>
          <w:color w:val="000000" w:themeColor="text1"/>
          <w:sz w:val="20"/>
          <w:szCs w:val="20"/>
        </w:rPr>
        <w:t>triindvajsetimi</w:t>
      </w:r>
      <w:r w:rsidR="00425E62" w:rsidRPr="00E84F87">
        <w:rPr>
          <w:rFonts w:ascii="Arial" w:hAnsi="Arial" w:cs="Arial"/>
          <w:color w:val="000000" w:themeColor="text1"/>
          <w:sz w:val="20"/>
          <w:szCs w:val="20"/>
        </w:rPr>
        <w:t xml:space="preserve"> naročili </w:t>
      </w:r>
      <w:r w:rsidRPr="00E84F87">
        <w:rPr>
          <w:rFonts w:ascii="Arial" w:hAnsi="Arial" w:cs="Arial"/>
          <w:color w:val="000000" w:themeColor="text1"/>
          <w:sz w:val="20"/>
          <w:szCs w:val="20"/>
        </w:rPr>
        <w:t xml:space="preserve">v vrednosti </w:t>
      </w:r>
      <w:r w:rsidR="00174A35" w:rsidRPr="00E84F87">
        <w:rPr>
          <w:rFonts w:ascii="Arial" w:eastAsia="Times New Roman" w:hAnsi="Arial" w:cs="Arial"/>
          <w:color w:val="000000" w:themeColor="text1"/>
          <w:sz w:val="20"/>
          <w:szCs w:val="20"/>
          <w:lang w:eastAsia="sl-SI"/>
        </w:rPr>
        <w:t xml:space="preserve">93.647.231 </w:t>
      </w:r>
      <w:r w:rsidRPr="00E84F87">
        <w:rPr>
          <w:rFonts w:ascii="Arial" w:hAnsi="Arial" w:cs="Arial"/>
          <w:color w:val="000000" w:themeColor="text1"/>
          <w:sz w:val="20"/>
          <w:szCs w:val="20"/>
        </w:rPr>
        <w:t xml:space="preserve">evrov, </w:t>
      </w:r>
      <w:r w:rsidR="0068366B" w:rsidRPr="00E84F87">
        <w:rPr>
          <w:rFonts w:ascii="Arial" w:eastAsia="Times New Roman" w:hAnsi="Arial" w:cs="Arial"/>
          <w:color w:val="000000" w:themeColor="text1"/>
          <w:sz w:val="20"/>
          <w:szCs w:val="20"/>
          <w:lang w:eastAsia="sl-SI"/>
        </w:rPr>
        <w:t xml:space="preserve">PRENOVA </w:t>
      </w:r>
      <w:r w:rsidR="00DD02E1">
        <w:rPr>
          <w:rFonts w:ascii="Arial" w:eastAsia="Times New Roman" w:hAnsi="Arial" w:cs="Arial"/>
          <w:color w:val="000000" w:themeColor="text1"/>
          <w:sz w:val="20"/>
          <w:szCs w:val="20"/>
          <w:lang w:eastAsia="sl-SI"/>
        </w:rPr>
        <w:t>–</w:t>
      </w:r>
      <w:r w:rsidR="0068366B" w:rsidRPr="00E84F87">
        <w:rPr>
          <w:rFonts w:ascii="Arial" w:eastAsia="Times New Roman" w:hAnsi="Arial" w:cs="Arial"/>
          <w:color w:val="000000" w:themeColor="text1"/>
          <w:sz w:val="20"/>
          <w:szCs w:val="20"/>
          <w:lang w:eastAsia="sl-SI"/>
        </w:rPr>
        <w:t xml:space="preserve"> GRADBENIK d.o.o</w:t>
      </w:r>
      <w:r w:rsidR="000405D8" w:rsidRPr="00E84F87">
        <w:rPr>
          <w:rFonts w:ascii="Arial" w:eastAsia="Times New Roman" w:hAnsi="Arial" w:cs="Arial"/>
          <w:color w:val="000000" w:themeColor="text1"/>
          <w:sz w:val="20"/>
          <w:szCs w:val="20"/>
          <w:lang w:eastAsia="sl-SI"/>
        </w:rPr>
        <w:t xml:space="preserve">. </w:t>
      </w:r>
      <w:r w:rsidR="0068366B" w:rsidRPr="00E84F87">
        <w:rPr>
          <w:rFonts w:ascii="Arial" w:eastAsia="Times New Roman" w:hAnsi="Arial" w:cs="Arial"/>
          <w:color w:val="000000" w:themeColor="text1"/>
          <w:sz w:val="20"/>
          <w:szCs w:val="20"/>
          <w:lang w:eastAsia="sl-SI"/>
        </w:rPr>
        <w:t>s tremi naročili</w:t>
      </w:r>
      <w:r w:rsidR="000405D8" w:rsidRPr="00E84F87">
        <w:rPr>
          <w:rFonts w:ascii="Arial" w:hAnsi="Arial" w:cs="Arial"/>
          <w:color w:val="000000" w:themeColor="text1"/>
          <w:sz w:val="20"/>
          <w:szCs w:val="20"/>
        </w:rPr>
        <w:t xml:space="preserve"> </w:t>
      </w:r>
      <w:r w:rsidRPr="00E84F87">
        <w:rPr>
          <w:rFonts w:ascii="Arial" w:hAnsi="Arial" w:cs="Arial"/>
          <w:color w:val="000000" w:themeColor="text1"/>
          <w:sz w:val="20"/>
          <w:szCs w:val="20"/>
        </w:rPr>
        <w:t xml:space="preserve">v vrednosti </w:t>
      </w:r>
      <w:r w:rsidR="0068366B" w:rsidRPr="00E84F87">
        <w:rPr>
          <w:rFonts w:ascii="Arial" w:hAnsi="Arial" w:cs="Arial"/>
          <w:color w:val="000000" w:themeColor="text1"/>
          <w:sz w:val="20"/>
          <w:szCs w:val="20"/>
        </w:rPr>
        <w:t xml:space="preserve">64.586.958 </w:t>
      </w:r>
      <w:r w:rsidRPr="00E84F87">
        <w:rPr>
          <w:rFonts w:ascii="Arial" w:hAnsi="Arial" w:cs="Arial"/>
          <w:color w:val="000000" w:themeColor="text1"/>
          <w:sz w:val="20"/>
          <w:szCs w:val="20"/>
        </w:rPr>
        <w:t xml:space="preserve">evrov, </w:t>
      </w:r>
      <w:r w:rsidR="0068366B" w:rsidRPr="00E84F87">
        <w:rPr>
          <w:rFonts w:ascii="Arial" w:eastAsia="Times New Roman" w:hAnsi="Arial" w:cs="Arial"/>
          <w:color w:val="000000" w:themeColor="text1"/>
          <w:sz w:val="20"/>
          <w:szCs w:val="20"/>
          <w:lang w:eastAsia="sl-SI"/>
        </w:rPr>
        <w:t>ACORD-92 d.o.o</w:t>
      </w:r>
      <w:r w:rsidR="000405D8" w:rsidRPr="00E84F87">
        <w:rPr>
          <w:rFonts w:ascii="Arial" w:hAnsi="Arial" w:cs="Arial"/>
          <w:color w:val="000000" w:themeColor="text1"/>
          <w:sz w:val="20"/>
          <w:szCs w:val="20"/>
        </w:rPr>
        <w:t>.</w:t>
      </w:r>
      <w:r w:rsidR="00AB2D63" w:rsidRPr="00E84F87">
        <w:rPr>
          <w:rFonts w:ascii="Arial" w:hAnsi="Arial" w:cs="Arial"/>
          <w:color w:val="000000" w:themeColor="text1"/>
          <w:sz w:val="20"/>
          <w:szCs w:val="20"/>
        </w:rPr>
        <w:t xml:space="preserve"> </w:t>
      </w:r>
      <w:r w:rsidR="0068366B" w:rsidRPr="00E84F87">
        <w:rPr>
          <w:rFonts w:ascii="Arial" w:hAnsi="Arial" w:cs="Arial"/>
          <w:color w:val="000000" w:themeColor="text1"/>
          <w:sz w:val="20"/>
          <w:szCs w:val="20"/>
        </w:rPr>
        <w:t>s štirimi naročili</w:t>
      </w:r>
      <w:r w:rsidRPr="00E84F87">
        <w:rPr>
          <w:rFonts w:ascii="Arial" w:hAnsi="Arial" w:cs="Arial"/>
          <w:color w:val="000000" w:themeColor="text1"/>
          <w:sz w:val="20"/>
          <w:szCs w:val="20"/>
        </w:rPr>
        <w:t xml:space="preserve"> v vrednosti </w:t>
      </w:r>
      <w:r w:rsidR="0068366B" w:rsidRPr="00E84F87">
        <w:rPr>
          <w:rFonts w:ascii="Arial" w:hAnsi="Arial" w:cs="Arial"/>
          <w:color w:val="000000" w:themeColor="text1"/>
          <w:sz w:val="20"/>
          <w:szCs w:val="20"/>
        </w:rPr>
        <w:t xml:space="preserve">42.077.190 </w:t>
      </w:r>
      <w:r w:rsidRPr="009C298F">
        <w:rPr>
          <w:rFonts w:ascii="Arial" w:hAnsi="Arial" w:cs="Arial"/>
          <w:color w:val="000000" w:themeColor="text1"/>
          <w:sz w:val="20"/>
          <w:szCs w:val="20"/>
        </w:rPr>
        <w:t xml:space="preserve">evrov in </w:t>
      </w:r>
      <w:r w:rsidR="0068366B" w:rsidRPr="009C298F">
        <w:rPr>
          <w:rFonts w:ascii="Arial" w:eastAsia="Times New Roman" w:hAnsi="Arial" w:cs="Arial"/>
          <w:color w:val="000000" w:themeColor="text1"/>
          <w:sz w:val="20"/>
          <w:szCs w:val="20"/>
          <w:lang w:eastAsia="sl-SI"/>
        </w:rPr>
        <w:t xml:space="preserve">VODOTEHNIK </w:t>
      </w:r>
      <w:r w:rsidR="00B11217" w:rsidRPr="009C298F">
        <w:rPr>
          <w:rFonts w:ascii="Arial" w:eastAsia="Times New Roman" w:hAnsi="Arial" w:cs="Arial"/>
          <w:color w:val="000000" w:themeColor="text1"/>
          <w:sz w:val="20"/>
          <w:szCs w:val="20"/>
          <w:lang w:eastAsia="sl-SI"/>
        </w:rPr>
        <w:t xml:space="preserve">d.o.o. </w:t>
      </w:r>
      <w:r w:rsidR="000405D8" w:rsidRPr="009C298F">
        <w:rPr>
          <w:rFonts w:ascii="Arial" w:eastAsia="Times New Roman" w:hAnsi="Arial" w:cs="Arial"/>
          <w:color w:val="000000" w:themeColor="text1"/>
          <w:sz w:val="20"/>
          <w:szCs w:val="20"/>
          <w:lang w:eastAsia="sl-SI"/>
        </w:rPr>
        <w:t xml:space="preserve">z </w:t>
      </w:r>
      <w:r w:rsidR="0068366B" w:rsidRPr="009C298F">
        <w:rPr>
          <w:rFonts w:ascii="Arial" w:eastAsia="Times New Roman" w:hAnsi="Arial" w:cs="Arial"/>
          <w:color w:val="000000" w:themeColor="text1"/>
          <w:sz w:val="20"/>
          <w:szCs w:val="20"/>
          <w:lang w:eastAsia="sl-SI"/>
        </w:rPr>
        <w:t>dvanajstimi naročili</w:t>
      </w:r>
      <w:r w:rsidR="000405D8" w:rsidRPr="009C298F">
        <w:rPr>
          <w:rFonts w:ascii="Arial" w:hAnsi="Arial" w:cs="Arial"/>
          <w:color w:val="000000" w:themeColor="text1"/>
          <w:sz w:val="20"/>
          <w:szCs w:val="20"/>
        </w:rPr>
        <w:t xml:space="preserve"> </w:t>
      </w:r>
      <w:r w:rsidRPr="009C298F">
        <w:rPr>
          <w:rFonts w:ascii="Arial" w:hAnsi="Arial" w:cs="Arial"/>
          <w:color w:val="000000" w:themeColor="text1"/>
          <w:sz w:val="20"/>
          <w:szCs w:val="20"/>
        </w:rPr>
        <w:t xml:space="preserve">v vrednosti </w:t>
      </w:r>
      <w:r w:rsidR="0068366B" w:rsidRPr="009C298F">
        <w:rPr>
          <w:rFonts w:ascii="Arial" w:hAnsi="Arial" w:cs="Arial"/>
          <w:color w:val="000000" w:themeColor="text1"/>
          <w:sz w:val="20"/>
          <w:szCs w:val="20"/>
        </w:rPr>
        <w:t xml:space="preserve">36.071.704 </w:t>
      </w:r>
      <w:r w:rsidRPr="009C298F">
        <w:rPr>
          <w:rFonts w:ascii="Arial" w:hAnsi="Arial" w:cs="Arial"/>
          <w:color w:val="000000" w:themeColor="text1"/>
          <w:sz w:val="20"/>
          <w:szCs w:val="20"/>
        </w:rPr>
        <w:t>evrov.</w:t>
      </w:r>
    </w:p>
    <w:p w14:paraId="36B3A01E" w14:textId="4CA409C9" w:rsidR="00034E48" w:rsidRPr="009C298F" w:rsidRDefault="00034E48" w:rsidP="0068366B">
      <w:pPr>
        <w:pStyle w:val="Naslov2"/>
        <w:rPr>
          <w:szCs w:val="20"/>
        </w:rPr>
      </w:pPr>
      <w:bookmarkStart w:id="27" w:name="_Toc175563860"/>
      <w:r w:rsidRPr="009C298F">
        <w:t xml:space="preserve">2.4 </w:t>
      </w:r>
      <w:r w:rsidR="009F712C" w:rsidRPr="009C298F">
        <w:t>Kategorije</w:t>
      </w:r>
      <w:r w:rsidRPr="009C298F">
        <w:t xml:space="preserve"> naročnikov ter področja in predmeti naročanja</w:t>
      </w:r>
      <w:bookmarkEnd w:id="27"/>
    </w:p>
    <w:p w14:paraId="24126136" w14:textId="77777777" w:rsidR="008F5893" w:rsidRPr="009C298F" w:rsidRDefault="008F5893" w:rsidP="00854405">
      <w:pPr>
        <w:pStyle w:val="ZADEVA"/>
        <w:jc w:val="both"/>
        <w:rPr>
          <w:rFonts w:cs="Arial"/>
          <w:b w:val="0"/>
          <w:color w:val="FF0000"/>
          <w:szCs w:val="20"/>
          <w:lang w:val="sl-SI"/>
        </w:rPr>
      </w:pPr>
    </w:p>
    <w:p w14:paraId="51B7E7EA" w14:textId="61A80756" w:rsidR="0096100B" w:rsidRPr="009C298F" w:rsidRDefault="00034E48" w:rsidP="0068366B">
      <w:pPr>
        <w:pStyle w:val="Naslov3"/>
      </w:pPr>
      <w:bookmarkStart w:id="28" w:name="_Toc175563861"/>
      <w:r w:rsidRPr="009C298F">
        <w:t>2.4.1 Področje javnega naročanja in dejavnosti naročnikov</w:t>
      </w:r>
      <w:bookmarkEnd w:id="28"/>
    </w:p>
    <w:p w14:paraId="062E5D97" w14:textId="77777777" w:rsidR="0096100B" w:rsidRPr="00DA2FCA" w:rsidRDefault="0096100B" w:rsidP="0096100B">
      <w:pPr>
        <w:rPr>
          <w:color w:val="FF0000"/>
        </w:rPr>
      </w:pPr>
    </w:p>
    <w:p w14:paraId="6F723475" w14:textId="466978FF" w:rsidR="00A8659F" w:rsidRPr="00DA2FCA" w:rsidRDefault="008E09B2" w:rsidP="0096100B">
      <w:pPr>
        <w:spacing w:line="360" w:lineRule="auto"/>
        <w:jc w:val="both"/>
        <w:rPr>
          <w:rFonts w:ascii="Arial" w:hAnsi="Arial" w:cs="Arial"/>
          <w:color w:val="000000" w:themeColor="text1"/>
          <w:sz w:val="20"/>
          <w:szCs w:val="20"/>
        </w:rPr>
      </w:pPr>
      <w:r w:rsidRPr="00DA2FCA">
        <w:rPr>
          <w:rFonts w:ascii="Arial" w:hAnsi="Arial" w:cs="Arial"/>
          <w:color w:val="000000" w:themeColor="text1"/>
          <w:sz w:val="20"/>
          <w:szCs w:val="20"/>
        </w:rPr>
        <w:t>Leta</w:t>
      </w:r>
      <w:r w:rsidR="00F4651C" w:rsidRPr="00DA2FCA">
        <w:rPr>
          <w:rFonts w:ascii="Arial" w:hAnsi="Arial" w:cs="Arial"/>
          <w:color w:val="000000" w:themeColor="text1"/>
          <w:sz w:val="20"/>
          <w:szCs w:val="20"/>
        </w:rPr>
        <w:t xml:space="preserve"> 20</w:t>
      </w:r>
      <w:r w:rsidR="004A68B2" w:rsidRPr="00DA2FCA">
        <w:rPr>
          <w:rFonts w:ascii="Arial" w:hAnsi="Arial" w:cs="Arial"/>
          <w:color w:val="000000" w:themeColor="text1"/>
          <w:sz w:val="20"/>
          <w:szCs w:val="20"/>
        </w:rPr>
        <w:t>2</w:t>
      </w:r>
      <w:r w:rsidR="00FD130F" w:rsidRPr="00DA2FCA">
        <w:rPr>
          <w:rFonts w:ascii="Arial" w:hAnsi="Arial" w:cs="Arial"/>
          <w:color w:val="000000" w:themeColor="text1"/>
          <w:sz w:val="20"/>
          <w:szCs w:val="20"/>
        </w:rPr>
        <w:t>3</w:t>
      </w:r>
      <w:r w:rsidR="003E6EF6" w:rsidRPr="00DA2FCA">
        <w:rPr>
          <w:rFonts w:ascii="Arial" w:hAnsi="Arial" w:cs="Arial"/>
          <w:color w:val="000000" w:themeColor="text1"/>
          <w:sz w:val="20"/>
          <w:szCs w:val="20"/>
        </w:rPr>
        <w:t xml:space="preserve"> </w:t>
      </w:r>
      <w:r w:rsidR="00942D64" w:rsidRPr="00DA2FCA">
        <w:rPr>
          <w:rFonts w:ascii="Arial" w:hAnsi="Arial" w:cs="Arial"/>
          <w:color w:val="000000" w:themeColor="text1"/>
          <w:sz w:val="20"/>
          <w:szCs w:val="20"/>
        </w:rPr>
        <w:t xml:space="preserve">je </w:t>
      </w:r>
      <w:r w:rsidR="004A68B2" w:rsidRPr="00DA2FCA">
        <w:rPr>
          <w:rFonts w:ascii="Arial" w:hAnsi="Arial" w:cs="Arial"/>
          <w:color w:val="000000" w:themeColor="text1"/>
          <w:sz w:val="20"/>
          <w:szCs w:val="20"/>
        </w:rPr>
        <w:t>9</w:t>
      </w:r>
      <w:r w:rsidR="00FD130F" w:rsidRPr="00DA2FCA">
        <w:rPr>
          <w:rFonts w:ascii="Arial" w:hAnsi="Arial" w:cs="Arial"/>
          <w:color w:val="000000" w:themeColor="text1"/>
          <w:sz w:val="20"/>
          <w:szCs w:val="20"/>
        </w:rPr>
        <w:t>4</w:t>
      </w:r>
      <w:r w:rsidR="00623841" w:rsidRPr="00DA2FCA">
        <w:rPr>
          <w:rFonts w:ascii="Arial" w:hAnsi="Arial" w:cs="Arial"/>
          <w:color w:val="000000" w:themeColor="text1"/>
          <w:sz w:val="20"/>
          <w:szCs w:val="20"/>
        </w:rPr>
        <w:t>3</w:t>
      </w:r>
      <w:r w:rsidR="008B331E" w:rsidRPr="00DA2FCA">
        <w:rPr>
          <w:rFonts w:ascii="Arial" w:hAnsi="Arial" w:cs="Arial"/>
          <w:color w:val="000000" w:themeColor="text1"/>
          <w:sz w:val="20"/>
          <w:szCs w:val="20"/>
        </w:rPr>
        <w:t xml:space="preserve"> naročnik</w:t>
      </w:r>
      <w:r w:rsidR="00FD130F" w:rsidRPr="00DA2FCA">
        <w:rPr>
          <w:rFonts w:ascii="Arial" w:hAnsi="Arial" w:cs="Arial"/>
          <w:color w:val="000000" w:themeColor="text1"/>
          <w:sz w:val="20"/>
          <w:szCs w:val="20"/>
        </w:rPr>
        <w:t>ov</w:t>
      </w:r>
      <w:r w:rsidR="00912BEF" w:rsidRPr="00DA2FCA">
        <w:rPr>
          <w:rFonts w:ascii="Arial" w:hAnsi="Arial" w:cs="Arial"/>
          <w:color w:val="000000" w:themeColor="text1"/>
          <w:sz w:val="20"/>
          <w:szCs w:val="20"/>
        </w:rPr>
        <w:t xml:space="preserve"> </w:t>
      </w:r>
      <w:r w:rsidR="008B331E" w:rsidRPr="00DA2FCA">
        <w:rPr>
          <w:rFonts w:ascii="Arial" w:hAnsi="Arial" w:cs="Arial"/>
          <w:color w:val="000000" w:themeColor="text1"/>
          <w:sz w:val="20"/>
          <w:szCs w:val="20"/>
        </w:rPr>
        <w:t>izv</w:t>
      </w:r>
      <w:r w:rsidR="00942D64" w:rsidRPr="00DA2FCA">
        <w:rPr>
          <w:rFonts w:ascii="Arial" w:hAnsi="Arial" w:cs="Arial"/>
          <w:color w:val="000000" w:themeColor="text1"/>
          <w:sz w:val="20"/>
          <w:szCs w:val="20"/>
        </w:rPr>
        <w:t>ed</w:t>
      </w:r>
      <w:r w:rsidR="00FD130F" w:rsidRPr="00DA2FCA">
        <w:rPr>
          <w:rFonts w:ascii="Arial" w:hAnsi="Arial" w:cs="Arial"/>
          <w:color w:val="000000" w:themeColor="text1"/>
          <w:sz w:val="20"/>
          <w:szCs w:val="20"/>
        </w:rPr>
        <w:t>lo</w:t>
      </w:r>
      <w:r w:rsidR="008B331E" w:rsidRPr="00DA2FCA">
        <w:rPr>
          <w:rFonts w:ascii="Arial" w:hAnsi="Arial" w:cs="Arial"/>
          <w:color w:val="000000" w:themeColor="text1"/>
          <w:sz w:val="20"/>
          <w:szCs w:val="20"/>
        </w:rPr>
        <w:t xml:space="preserve"> postopke javnega naročanja na splošnem področju. Skupno so oddali </w:t>
      </w:r>
      <w:r w:rsidR="00FD130F" w:rsidRPr="00DA2FCA">
        <w:rPr>
          <w:rFonts w:ascii="Arial" w:hAnsi="Arial" w:cs="Arial"/>
          <w:color w:val="000000" w:themeColor="text1"/>
          <w:sz w:val="20"/>
          <w:szCs w:val="20"/>
        </w:rPr>
        <w:t>14.17</w:t>
      </w:r>
      <w:r w:rsidR="00DA2FCA" w:rsidRPr="00DA2FCA">
        <w:rPr>
          <w:rFonts w:ascii="Arial" w:hAnsi="Arial" w:cs="Arial"/>
          <w:color w:val="000000" w:themeColor="text1"/>
          <w:sz w:val="20"/>
          <w:szCs w:val="20"/>
        </w:rPr>
        <w:t>4</w:t>
      </w:r>
      <w:r w:rsidR="005135C0" w:rsidRPr="00DA2FCA">
        <w:rPr>
          <w:rFonts w:ascii="Arial" w:hAnsi="Arial" w:cs="Arial"/>
          <w:color w:val="000000" w:themeColor="text1"/>
          <w:sz w:val="20"/>
          <w:szCs w:val="20"/>
        </w:rPr>
        <w:t xml:space="preserve"> </w:t>
      </w:r>
      <w:r w:rsidR="008B331E" w:rsidRPr="00DA2FCA">
        <w:rPr>
          <w:rFonts w:ascii="Arial" w:hAnsi="Arial" w:cs="Arial"/>
          <w:color w:val="000000" w:themeColor="text1"/>
          <w:sz w:val="20"/>
          <w:szCs w:val="20"/>
        </w:rPr>
        <w:t xml:space="preserve">naročil v vrednosti </w:t>
      </w:r>
      <w:r w:rsidR="00DA2FCA" w:rsidRPr="00DA2FCA">
        <w:rPr>
          <w:rFonts w:ascii="Arial" w:hAnsi="Arial" w:cs="Arial"/>
          <w:color w:val="000000" w:themeColor="text1"/>
          <w:sz w:val="20"/>
          <w:szCs w:val="20"/>
        </w:rPr>
        <w:t xml:space="preserve">4.636.391.304 </w:t>
      </w:r>
      <w:r w:rsidR="008B331E" w:rsidRPr="00DA2FCA">
        <w:rPr>
          <w:rFonts w:ascii="Arial" w:hAnsi="Arial" w:cs="Arial"/>
          <w:color w:val="000000" w:themeColor="text1"/>
          <w:sz w:val="20"/>
          <w:szCs w:val="20"/>
        </w:rPr>
        <w:t xml:space="preserve">evrov. </w:t>
      </w:r>
      <w:r w:rsidR="00477CE0" w:rsidRPr="00DA2FCA">
        <w:rPr>
          <w:rFonts w:ascii="Arial" w:hAnsi="Arial" w:cs="Arial"/>
          <w:color w:val="000000" w:themeColor="text1"/>
          <w:sz w:val="20"/>
          <w:szCs w:val="20"/>
        </w:rPr>
        <w:t xml:space="preserve">Delež vrednosti njihovih naročil v vrednosti vseh oddanih naročil je </w:t>
      </w:r>
      <w:r w:rsidR="00FD6F2F" w:rsidRPr="00DA2FCA">
        <w:rPr>
          <w:rFonts w:ascii="Arial" w:hAnsi="Arial" w:cs="Arial"/>
          <w:color w:val="000000" w:themeColor="text1"/>
          <w:sz w:val="20"/>
          <w:szCs w:val="20"/>
        </w:rPr>
        <w:t>74,39</w:t>
      </w:r>
      <w:r w:rsidR="001C2ADE" w:rsidRPr="00DA2FCA">
        <w:rPr>
          <w:rFonts w:ascii="Arial" w:hAnsi="Arial" w:cs="Arial"/>
          <w:color w:val="000000" w:themeColor="text1"/>
          <w:sz w:val="20"/>
          <w:szCs w:val="20"/>
        </w:rPr>
        <w:t>-</w:t>
      </w:r>
      <w:r w:rsidR="00477CE0" w:rsidRPr="00DA2FCA">
        <w:rPr>
          <w:rFonts w:ascii="Arial" w:hAnsi="Arial" w:cs="Arial"/>
          <w:color w:val="000000" w:themeColor="text1"/>
          <w:sz w:val="20"/>
          <w:szCs w:val="20"/>
        </w:rPr>
        <w:t xml:space="preserve">odstoten, v številu pa </w:t>
      </w:r>
      <w:r w:rsidR="00FD6F2F" w:rsidRPr="00DA2FCA">
        <w:rPr>
          <w:rFonts w:ascii="Arial" w:hAnsi="Arial" w:cs="Arial"/>
          <w:color w:val="000000" w:themeColor="text1"/>
          <w:sz w:val="20"/>
          <w:szCs w:val="20"/>
        </w:rPr>
        <w:t>84,25</w:t>
      </w:r>
      <w:r w:rsidR="001C2ADE" w:rsidRPr="00DA2FCA">
        <w:rPr>
          <w:rFonts w:ascii="Arial" w:hAnsi="Arial" w:cs="Arial"/>
          <w:color w:val="000000" w:themeColor="text1"/>
          <w:sz w:val="20"/>
          <w:szCs w:val="20"/>
        </w:rPr>
        <w:t>-</w:t>
      </w:r>
      <w:r w:rsidR="00477CE0" w:rsidRPr="00DA2FCA">
        <w:rPr>
          <w:rFonts w:ascii="Arial" w:hAnsi="Arial" w:cs="Arial"/>
          <w:color w:val="000000" w:themeColor="text1"/>
          <w:sz w:val="20"/>
          <w:szCs w:val="20"/>
        </w:rPr>
        <w:t>odstoten.</w:t>
      </w:r>
    </w:p>
    <w:p w14:paraId="592E9547" w14:textId="0A8B8A72" w:rsidR="00477CE0" w:rsidRPr="00DA2FCA" w:rsidRDefault="00477CE0" w:rsidP="008A61FD">
      <w:pPr>
        <w:spacing w:before="120" w:after="120" w:line="240" w:lineRule="auto"/>
        <w:jc w:val="both"/>
        <w:rPr>
          <w:rFonts w:ascii="Arial" w:hAnsi="Arial" w:cs="Arial"/>
          <w:color w:val="000000" w:themeColor="text1"/>
          <w:sz w:val="20"/>
        </w:rPr>
      </w:pPr>
      <w:r w:rsidRPr="00DA2FCA">
        <w:rPr>
          <w:rFonts w:ascii="Arial" w:hAnsi="Arial" w:cs="Arial"/>
          <w:color w:val="000000" w:themeColor="text1"/>
          <w:sz w:val="20"/>
        </w:rPr>
        <w:t xml:space="preserve">Preglednica </w:t>
      </w:r>
      <w:r w:rsidR="00512F52" w:rsidRPr="00DA2FCA">
        <w:rPr>
          <w:rFonts w:ascii="Arial" w:hAnsi="Arial" w:cs="Arial"/>
          <w:color w:val="000000" w:themeColor="text1"/>
          <w:sz w:val="20"/>
        </w:rPr>
        <w:t>21</w:t>
      </w:r>
      <w:r w:rsidR="005135C0" w:rsidRPr="00DA2FCA">
        <w:rPr>
          <w:rFonts w:ascii="Arial" w:hAnsi="Arial" w:cs="Arial"/>
          <w:color w:val="000000" w:themeColor="text1"/>
          <w:sz w:val="20"/>
        </w:rPr>
        <w:t>: J</w:t>
      </w:r>
      <w:r w:rsidRPr="00DA2FCA">
        <w:rPr>
          <w:rFonts w:ascii="Arial" w:hAnsi="Arial" w:cs="Arial"/>
          <w:color w:val="000000" w:themeColor="text1"/>
          <w:sz w:val="20"/>
        </w:rPr>
        <w:t xml:space="preserve">avno naročanje </w:t>
      </w:r>
      <w:r w:rsidR="00912BEF" w:rsidRPr="00DA2FCA">
        <w:rPr>
          <w:rFonts w:ascii="Arial" w:hAnsi="Arial" w:cs="Arial"/>
          <w:color w:val="000000" w:themeColor="text1"/>
          <w:sz w:val="20"/>
        </w:rPr>
        <w:t>po</w:t>
      </w:r>
      <w:r w:rsidRPr="00DA2FCA">
        <w:rPr>
          <w:rFonts w:ascii="Arial" w:hAnsi="Arial" w:cs="Arial"/>
          <w:color w:val="000000" w:themeColor="text1"/>
          <w:sz w:val="20"/>
        </w:rPr>
        <w:t xml:space="preserve"> števi</w:t>
      </w:r>
      <w:r w:rsidR="005135C0" w:rsidRPr="00DA2FCA">
        <w:rPr>
          <w:rFonts w:ascii="Arial" w:hAnsi="Arial" w:cs="Arial"/>
          <w:color w:val="000000" w:themeColor="text1"/>
          <w:sz w:val="20"/>
        </w:rPr>
        <w:t xml:space="preserve">lu, vrednosti in deležu </w:t>
      </w:r>
      <w:r w:rsidRPr="00DA2FCA">
        <w:rPr>
          <w:rFonts w:ascii="Arial" w:hAnsi="Arial" w:cs="Arial"/>
          <w:color w:val="000000" w:themeColor="text1"/>
          <w:sz w:val="20"/>
        </w:rPr>
        <w:t xml:space="preserve">javnih naročil glede na </w:t>
      </w:r>
      <w:r w:rsidR="000210E2" w:rsidRPr="00DA2FCA">
        <w:rPr>
          <w:rFonts w:ascii="Arial" w:hAnsi="Arial" w:cs="Arial"/>
          <w:color w:val="000000" w:themeColor="text1"/>
          <w:sz w:val="20"/>
        </w:rPr>
        <w:t>področje naročanja</w:t>
      </w: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6"/>
        <w:gridCol w:w="1011"/>
        <w:gridCol w:w="928"/>
        <w:gridCol w:w="1564"/>
        <w:gridCol w:w="1240"/>
        <w:gridCol w:w="1220"/>
      </w:tblGrid>
      <w:tr w:rsidR="00623841" w:rsidRPr="00DA2FCA" w14:paraId="4DA635F3" w14:textId="77777777" w:rsidTr="000F27B2">
        <w:trPr>
          <w:trHeight w:val="255"/>
          <w:jc w:val="center"/>
        </w:trPr>
        <w:tc>
          <w:tcPr>
            <w:tcW w:w="1536" w:type="dxa"/>
            <w:shd w:val="clear" w:color="auto" w:fill="F2F2F2" w:themeFill="background1" w:themeFillShade="F2"/>
            <w:vAlign w:val="center"/>
            <w:hideMark/>
          </w:tcPr>
          <w:p w14:paraId="67ED0F9C" w14:textId="77777777" w:rsidR="004A68B2" w:rsidRPr="00DA2FCA" w:rsidRDefault="004A68B2" w:rsidP="004A68B2">
            <w:pPr>
              <w:spacing w:after="0" w:line="240" w:lineRule="auto"/>
              <w:jc w:val="center"/>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 xml:space="preserve">Področje </w:t>
            </w:r>
          </w:p>
        </w:tc>
        <w:tc>
          <w:tcPr>
            <w:tcW w:w="1011" w:type="dxa"/>
            <w:shd w:val="clear" w:color="auto" w:fill="F2F2F2" w:themeFill="background1" w:themeFillShade="F2"/>
            <w:vAlign w:val="center"/>
            <w:hideMark/>
          </w:tcPr>
          <w:p w14:paraId="0C7CC69E" w14:textId="77777777" w:rsidR="004A68B2" w:rsidRPr="00DA2FCA" w:rsidRDefault="004A68B2" w:rsidP="004A68B2">
            <w:pPr>
              <w:spacing w:after="0" w:line="240" w:lineRule="auto"/>
              <w:jc w:val="center"/>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Št. naročnikov</w:t>
            </w:r>
          </w:p>
        </w:tc>
        <w:tc>
          <w:tcPr>
            <w:tcW w:w="928" w:type="dxa"/>
            <w:shd w:val="clear" w:color="auto" w:fill="F2F2F2" w:themeFill="background1" w:themeFillShade="F2"/>
            <w:vAlign w:val="center"/>
            <w:hideMark/>
          </w:tcPr>
          <w:p w14:paraId="29DC40F0" w14:textId="77777777" w:rsidR="004A68B2" w:rsidRPr="00DA2FCA" w:rsidRDefault="004A68B2" w:rsidP="004A68B2">
            <w:pPr>
              <w:spacing w:after="0" w:line="240" w:lineRule="auto"/>
              <w:jc w:val="center"/>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Št. naročil</w:t>
            </w:r>
          </w:p>
        </w:tc>
        <w:tc>
          <w:tcPr>
            <w:tcW w:w="1564" w:type="dxa"/>
            <w:shd w:val="clear" w:color="auto" w:fill="F2F2F2" w:themeFill="background1" w:themeFillShade="F2"/>
            <w:vAlign w:val="center"/>
            <w:hideMark/>
          </w:tcPr>
          <w:p w14:paraId="01B4111B" w14:textId="0DFC3E13" w:rsidR="004A68B2" w:rsidRPr="00DA2FCA" w:rsidRDefault="004A68B2" w:rsidP="004A68B2">
            <w:pPr>
              <w:spacing w:after="0" w:line="240" w:lineRule="auto"/>
              <w:jc w:val="center"/>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 xml:space="preserve">Pogodbena vrednost </w:t>
            </w:r>
            <w:r w:rsidR="00F36C50" w:rsidRPr="00DA2FCA">
              <w:rPr>
                <w:rFonts w:ascii="Arial" w:eastAsia="Times New Roman" w:hAnsi="Arial" w:cs="Arial"/>
                <w:color w:val="000000" w:themeColor="text1"/>
                <w:sz w:val="18"/>
                <w:szCs w:val="18"/>
                <w:lang w:eastAsia="sl-SI"/>
              </w:rPr>
              <w:t xml:space="preserve">(v EUR) </w:t>
            </w:r>
          </w:p>
        </w:tc>
        <w:tc>
          <w:tcPr>
            <w:tcW w:w="1240" w:type="dxa"/>
            <w:shd w:val="clear" w:color="auto" w:fill="F2F2F2" w:themeFill="background1" w:themeFillShade="F2"/>
            <w:vAlign w:val="center"/>
            <w:hideMark/>
          </w:tcPr>
          <w:p w14:paraId="62478043" w14:textId="77777777" w:rsidR="004A68B2" w:rsidRPr="00DA2FCA" w:rsidRDefault="004A68B2" w:rsidP="004A68B2">
            <w:pPr>
              <w:spacing w:after="0" w:line="240" w:lineRule="auto"/>
              <w:jc w:val="center"/>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Delež v št. naročil</w:t>
            </w:r>
          </w:p>
        </w:tc>
        <w:tc>
          <w:tcPr>
            <w:tcW w:w="1220" w:type="dxa"/>
            <w:shd w:val="clear" w:color="auto" w:fill="F2F2F2" w:themeFill="background1" w:themeFillShade="F2"/>
            <w:vAlign w:val="center"/>
            <w:hideMark/>
          </w:tcPr>
          <w:p w14:paraId="6C107004" w14:textId="77777777" w:rsidR="004A68B2" w:rsidRPr="00DA2FCA" w:rsidRDefault="004A68B2" w:rsidP="004A68B2">
            <w:pPr>
              <w:spacing w:after="0" w:line="240" w:lineRule="auto"/>
              <w:jc w:val="center"/>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 xml:space="preserve">Delež v vrednosti </w:t>
            </w:r>
          </w:p>
        </w:tc>
      </w:tr>
      <w:tr w:rsidR="00DA2FCA" w:rsidRPr="00DA2FCA" w14:paraId="1521E879" w14:textId="77777777" w:rsidTr="00623841">
        <w:trPr>
          <w:trHeight w:val="255"/>
          <w:jc w:val="center"/>
        </w:trPr>
        <w:tc>
          <w:tcPr>
            <w:tcW w:w="1536" w:type="dxa"/>
            <w:shd w:val="clear" w:color="auto" w:fill="auto"/>
            <w:vAlign w:val="center"/>
            <w:hideMark/>
          </w:tcPr>
          <w:p w14:paraId="7C7085B6" w14:textId="1C9B9602" w:rsidR="00DA2FCA" w:rsidRPr="00DA2FCA" w:rsidRDefault="00DA2FCA" w:rsidP="00DA2FCA">
            <w:pPr>
              <w:spacing w:after="0" w:line="240" w:lineRule="auto"/>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Splošno</w:t>
            </w:r>
          </w:p>
        </w:tc>
        <w:tc>
          <w:tcPr>
            <w:tcW w:w="1011" w:type="dxa"/>
            <w:shd w:val="clear" w:color="auto" w:fill="auto"/>
            <w:vAlign w:val="center"/>
            <w:hideMark/>
          </w:tcPr>
          <w:p w14:paraId="03C6A08A" w14:textId="26DCE23C"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943</w:t>
            </w:r>
          </w:p>
        </w:tc>
        <w:tc>
          <w:tcPr>
            <w:tcW w:w="928" w:type="dxa"/>
            <w:shd w:val="clear" w:color="auto" w:fill="auto"/>
            <w:vAlign w:val="center"/>
            <w:hideMark/>
          </w:tcPr>
          <w:p w14:paraId="760986B3" w14:textId="47A39EF0"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14.174</w:t>
            </w:r>
          </w:p>
        </w:tc>
        <w:tc>
          <w:tcPr>
            <w:tcW w:w="1564" w:type="dxa"/>
            <w:shd w:val="clear" w:color="auto" w:fill="auto"/>
            <w:vAlign w:val="center"/>
            <w:hideMark/>
          </w:tcPr>
          <w:p w14:paraId="6681868C" w14:textId="3156E878"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4.636.391.304</w:t>
            </w:r>
          </w:p>
        </w:tc>
        <w:tc>
          <w:tcPr>
            <w:tcW w:w="1240" w:type="dxa"/>
            <w:shd w:val="clear" w:color="auto" w:fill="auto"/>
            <w:noWrap/>
            <w:vAlign w:val="center"/>
            <w:hideMark/>
          </w:tcPr>
          <w:p w14:paraId="157DB12E" w14:textId="1A37D6EA"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84,25 %</w:t>
            </w:r>
          </w:p>
        </w:tc>
        <w:tc>
          <w:tcPr>
            <w:tcW w:w="1220" w:type="dxa"/>
            <w:shd w:val="clear" w:color="auto" w:fill="auto"/>
            <w:noWrap/>
            <w:vAlign w:val="center"/>
            <w:hideMark/>
          </w:tcPr>
          <w:p w14:paraId="1202EBEF" w14:textId="75CD74D0"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74,39 %</w:t>
            </w:r>
          </w:p>
        </w:tc>
      </w:tr>
      <w:tr w:rsidR="00DA2FCA" w:rsidRPr="00DA2FCA" w14:paraId="39F29FE7" w14:textId="77777777" w:rsidTr="00623841">
        <w:trPr>
          <w:trHeight w:val="255"/>
          <w:jc w:val="center"/>
        </w:trPr>
        <w:tc>
          <w:tcPr>
            <w:tcW w:w="1536" w:type="dxa"/>
            <w:shd w:val="clear" w:color="auto" w:fill="auto"/>
            <w:vAlign w:val="center"/>
            <w:hideMark/>
          </w:tcPr>
          <w:p w14:paraId="50E029B8" w14:textId="37DFFA89" w:rsidR="00DA2FCA" w:rsidRPr="00DA2FCA" w:rsidRDefault="00DA2FCA" w:rsidP="00DA2FCA">
            <w:pPr>
              <w:spacing w:after="0" w:line="240" w:lineRule="auto"/>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Infrastrukturno</w:t>
            </w:r>
          </w:p>
        </w:tc>
        <w:tc>
          <w:tcPr>
            <w:tcW w:w="1011" w:type="dxa"/>
            <w:shd w:val="clear" w:color="auto" w:fill="auto"/>
            <w:vAlign w:val="center"/>
            <w:hideMark/>
          </w:tcPr>
          <w:p w14:paraId="42AD67C9" w14:textId="2901BCB6"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94</w:t>
            </w:r>
          </w:p>
        </w:tc>
        <w:tc>
          <w:tcPr>
            <w:tcW w:w="928" w:type="dxa"/>
            <w:shd w:val="clear" w:color="auto" w:fill="auto"/>
            <w:vAlign w:val="center"/>
            <w:hideMark/>
          </w:tcPr>
          <w:p w14:paraId="11737219" w14:textId="2B62095C"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2.522</w:t>
            </w:r>
          </w:p>
        </w:tc>
        <w:tc>
          <w:tcPr>
            <w:tcW w:w="1564" w:type="dxa"/>
            <w:shd w:val="clear" w:color="auto" w:fill="auto"/>
            <w:vAlign w:val="center"/>
            <w:hideMark/>
          </w:tcPr>
          <w:p w14:paraId="14ECE806" w14:textId="0C0AACC1"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1.440.436.108</w:t>
            </w:r>
          </w:p>
        </w:tc>
        <w:tc>
          <w:tcPr>
            <w:tcW w:w="1240" w:type="dxa"/>
            <w:shd w:val="clear" w:color="auto" w:fill="auto"/>
            <w:noWrap/>
            <w:vAlign w:val="center"/>
            <w:hideMark/>
          </w:tcPr>
          <w:p w14:paraId="6469956C" w14:textId="6B3C9EF4"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14,99 %</w:t>
            </w:r>
          </w:p>
        </w:tc>
        <w:tc>
          <w:tcPr>
            <w:tcW w:w="1220" w:type="dxa"/>
            <w:shd w:val="clear" w:color="auto" w:fill="auto"/>
            <w:noWrap/>
            <w:vAlign w:val="center"/>
            <w:hideMark/>
          </w:tcPr>
          <w:p w14:paraId="4196316B" w14:textId="66073DEE"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23,11 %</w:t>
            </w:r>
          </w:p>
        </w:tc>
      </w:tr>
      <w:tr w:rsidR="00DA2FCA" w:rsidRPr="00DA2FCA" w14:paraId="1DE7D870" w14:textId="77777777" w:rsidTr="00623841">
        <w:trPr>
          <w:trHeight w:val="255"/>
          <w:jc w:val="center"/>
        </w:trPr>
        <w:tc>
          <w:tcPr>
            <w:tcW w:w="1536" w:type="dxa"/>
            <w:shd w:val="clear" w:color="auto" w:fill="auto"/>
            <w:vAlign w:val="center"/>
            <w:hideMark/>
          </w:tcPr>
          <w:p w14:paraId="2BED2614" w14:textId="7E798BD6" w:rsidR="00DA2FCA" w:rsidRPr="00DA2FCA" w:rsidRDefault="00DA2FCA" w:rsidP="00DA2FCA">
            <w:pPr>
              <w:spacing w:after="0" w:line="240" w:lineRule="auto"/>
              <w:rPr>
                <w:rFonts w:ascii="Arial" w:eastAsia="Times New Roman" w:hAnsi="Arial" w:cs="Arial"/>
                <w:color w:val="000000" w:themeColor="text1"/>
                <w:sz w:val="18"/>
                <w:szCs w:val="18"/>
                <w:lang w:eastAsia="sl-SI"/>
              </w:rPr>
            </w:pPr>
            <w:r w:rsidRPr="00DA2FCA">
              <w:rPr>
                <w:rFonts w:ascii="Arial" w:eastAsia="Times New Roman" w:hAnsi="Arial" w:cs="Arial"/>
                <w:color w:val="000000" w:themeColor="text1"/>
                <w:sz w:val="18"/>
                <w:szCs w:val="18"/>
                <w:lang w:eastAsia="sl-SI"/>
              </w:rPr>
              <w:t>Obrambno</w:t>
            </w:r>
          </w:p>
        </w:tc>
        <w:tc>
          <w:tcPr>
            <w:tcW w:w="1011" w:type="dxa"/>
            <w:shd w:val="clear" w:color="auto" w:fill="auto"/>
            <w:vAlign w:val="center"/>
            <w:hideMark/>
          </w:tcPr>
          <w:p w14:paraId="43DA99D8" w14:textId="355D641B"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3</w:t>
            </w:r>
          </w:p>
        </w:tc>
        <w:tc>
          <w:tcPr>
            <w:tcW w:w="928" w:type="dxa"/>
            <w:shd w:val="clear" w:color="auto" w:fill="auto"/>
            <w:vAlign w:val="center"/>
            <w:hideMark/>
          </w:tcPr>
          <w:p w14:paraId="344CBF5F" w14:textId="67D30273"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128</w:t>
            </w:r>
          </w:p>
        </w:tc>
        <w:tc>
          <w:tcPr>
            <w:tcW w:w="1564" w:type="dxa"/>
            <w:shd w:val="clear" w:color="auto" w:fill="auto"/>
            <w:vAlign w:val="center"/>
            <w:hideMark/>
          </w:tcPr>
          <w:p w14:paraId="7F56796C" w14:textId="38A702F1"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155.423.557</w:t>
            </w:r>
          </w:p>
        </w:tc>
        <w:tc>
          <w:tcPr>
            <w:tcW w:w="1240" w:type="dxa"/>
            <w:shd w:val="clear" w:color="auto" w:fill="auto"/>
            <w:noWrap/>
            <w:vAlign w:val="center"/>
            <w:hideMark/>
          </w:tcPr>
          <w:p w14:paraId="62BDB080" w14:textId="0FAAEF94"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0,76 %</w:t>
            </w:r>
          </w:p>
        </w:tc>
        <w:tc>
          <w:tcPr>
            <w:tcW w:w="1220" w:type="dxa"/>
            <w:shd w:val="clear" w:color="auto" w:fill="auto"/>
            <w:noWrap/>
            <w:vAlign w:val="center"/>
            <w:hideMark/>
          </w:tcPr>
          <w:p w14:paraId="22291A6F" w14:textId="3EDFC2BB" w:rsidR="00DA2FCA" w:rsidRPr="00DA2FCA" w:rsidRDefault="00DA2FCA" w:rsidP="00DA2FCA">
            <w:pPr>
              <w:spacing w:after="0" w:line="240" w:lineRule="auto"/>
              <w:jc w:val="right"/>
              <w:rPr>
                <w:rFonts w:ascii="Arial" w:eastAsia="Times New Roman" w:hAnsi="Arial" w:cs="Arial"/>
                <w:color w:val="000000" w:themeColor="text1"/>
                <w:sz w:val="18"/>
                <w:szCs w:val="18"/>
                <w:lang w:eastAsia="sl-SI"/>
              </w:rPr>
            </w:pPr>
            <w:r w:rsidRPr="00DA2FCA">
              <w:rPr>
                <w:rFonts w:ascii="Arial" w:hAnsi="Arial" w:cs="Arial"/>
                <w:color w:val="000000"/>
                <w:sz w:val="18"/>
                <w:szCs w:val="18"/>
              </w:rPr>
              <w:t>2,49 %</w:t>
            </w:r>
          </w:p>
        </w:tc>
      </w:tr>
      <w:tr w:rsidR="00DA2FCA" w:rsidRPr="00DA2FCA" w14:paraId="3738AB78" w14:textId="77777777" w:rsidTr="00DA2FCA">
        <w:trPr>
          <w:trHeight w:val="255"/>
          <w:jc w:val="center"/>
        </w:trPr>
        <w:tc>
          <w:tcPr>
            <w:tcW w:w="1536" w:type="dxa"/>
            <w:shd w:val="clear" w:color="auto" w:fill="F2F2F2" w:themeFill="background1" w:themeFillShade="F2"/>
            <w:vAlign w:val="center"/>
            <w:hideMark/>
          </w:tcPr>
          <w:p w14:paraId="6266F86F" w14:textId="77777777" w:rsidR="00DA2FCA" w:rsidRPr="00DA2FCA" w:rsidRDefault="00DA2FCA" w:rsidP="00DA2FCA">
            <w:pPr>
              <w:spacing w:after="0" w:line="240" w:lineRule="auto"/>
              <w:rPr>
                <w:rFonts w:ascii="Arial" w:eastAsia="Times New Roman" w:hAnsi="Arial" w:cs="Arial"/>
                <w:b/>
                <w:bCs/>
                <w:color w:val="000000" w:themeColor="text1"/>
                <w:sz w:val="18"/>
                <w:szCs w:val="18"/>
                <w:lang w:eastAsia="sl-SI"/>
              </w:rPr>
            </w:pPr>
            <w:r w:rsidRPr="00DA2FCA">
              <w:rPr>
                <w:rFonts w:ascii="Arial" w:eastAsia="Times New Roman" w:hAnsi="Arial" w:cs="Arial"/>
                <w:b/>
                <w:bCs/>
                <w:color w:val="000000" w:themeColor="text1"/>
                <w:sz w:val="18"/>
                <w:szCs w:val="18"/>
                <w:lang w:eastAsia="sl-SI"/>
              </w:rPr>
              <w:t>Skupaj</w:t>
            </w:r>
          </w:p>
        </w:tc>
        <w:tc>
          <w:tcPr>
            <w:tcW w:w="1011" w:type="dxa"/>
            <w:shd w:val="clear" w:color="auto" w:fill="F2F2F2" w:themeFill="background1" w:themeFillShade="F2"/>
            <w:vAlign w:val="center"/>
          </w:tcPr>
          <w:p w14:paraId="2355998F" w14:textId="1115C059" w:rsidR="00DA2FCA" w:rsidRPr="00DA2FCA" w:rsidRDefault="00DA2FCA" w:rsidP="00DA2FCA">
            <w:pPr>
              <w:spacing w:after="0" w:line="240" w:lineRule="auto"/>
              <w:jc w:val="right"/>
              <w:rPr>
                <w:rFonts w:ascii="Arial" w:eastAsia="Times New Roman" w:hAnsi="Arial" w:cs="Arial"/>
                <w:b/>
                <w:bCs/>
                <w:color w:val="000000" w:themeColor="text1"/>
                <w:sz w:val="18"/>
                <w:szCs w:val="18"/>
                <w:lang w:eastAsia="sl-SI"/>
              </w:rPr>
            </w:pPr>
            <w:r w:rsidRPr="00DA2FCA">
              <w:rPr>
                <w:rFonts w:ascii="Arial" w:hAnsi="Arial" w:cs="Arial"/>
                <w:b/>
                <w:bCs/>
                <w:color w:val="000000"/>
                <w:sz w:val="18"/>
                <w:szCs w:val="18"/>
              </w:rPr>
              <w:t>1.040</w:t>
            </w:r>
          </w:p>
        </w:tc>
        <w:tc>
          <w:tcPr>
            <w:tcW w:w="928" w:type="dxa"/>
            <w:shd w:val="clear" w:color="auto" w:fill="F2F2F2" w:themeFill="background1" w:themeFillShade="F2"/>
            <w:vAlign w:val="center"/>
          </w:tcPr>
          <w:p w14:paraId="25F0D79F" w14:textId="0A80C4F1" w:rsidR="00DA2FCA" w:rsidRPr="00DA2FCA" w:rsidRDefault="00DA2FCA" w:rsidP="00DA2FCA">
            <w:pPr>
              <w:spacing w:after="0" w:line="240" w:lineRule="auto"/>
              <w:jc w:val="right"/>
              <w:rPr>
                <w:rFonts w:ascii="Arial" w:eastAsia="Times New Roman" w:hAnsi="Arial" w:cs="Arial"/>
                <w:b/>
                <w:bCs/>
                <w:color w:val="000000" w:themeColor="text1"/>
                <w:sz w:val="18"/>
                <w:szCs w:val="18"/>
                <w:lang w:eastAsia="sl-SI"/>
              </w:rPr>
            </w:pPr>
            <w:r w:rsidRPr="00DA2FCA">
              <w:rPr>
                <w:rFonts w:ascii="Arial" w:hAnsi="Arial" w:cs="Arial"/>
                <w:b/>
                <w:bCs/>
                <w:color w:val="000000"/>
                <w:sz w:val="18"/>
                <w:szCs w:val="18"/>
              </w:rPr>
              <w:t>16.824</w:t>
            </w:r>
          </w:p>
        </w:tc>
        <w:tc>
          <w:tcPr>
            <w:tcW w:w="1564" w:type="dxa"/>
            <w:shd w:val="clear" w:color="auto" w:fill="F2F2F2" w:themeFill="background1" w:themeFillShade="F2"/>
            <w:vAlign w:val="center"/>
          </w:tcPr>
          <w:p w14:paraId="238CABFB" w14:textId="09100448" w:rsidR="00DA2FCA" w:rsidRPr="00DA2FCA" w:rsidRDefault="00DA2FCA" w:rsidP="00DA2FCA">
            <w:pPr>
              <w:spacing w:after="0" w:line="240" w:lineRule="auto"/>
              <w:jc w:val="right"/>
              <w:rPr>
                <w:rFonts w:ascii="Arial" w:eastAsia="Times New Roman" w:hAnsi="Arial" w:cs="Arial"/>
                <w:b/>
                <w:bCs/>
                <w:color w:val="000000" w:themeColor="text1"/>
                <w:sz w:val="18"/>
                <w:szCs w:val="18"/>
                <w:lang w:eastAsia="sl-SI"/>
              </w:rPr>
            </w:pPr>
            <w:r w:rsidRPr="00DA2FCA">
              <w:rPr>
                <w:rFonts w:ascii="Arial" w:hAnsi="Arial" w:cs="Arial"/>
                <w:b/>
                <w:bCs/>
                <w:color w:val="000000"/>
                <w:sz w:val="18"/>
                <w:szCs w:val="18"/>
              </w:rPr>
              <w:t>6.232.250.969</w:t>
            </w:r>
          </w:p>
        </w:tc>
        <w:tc>
          <w:tcPr>
            <w:tcW w:w="1240" w:type="dxa"/>
            <w:shd w:val="clear" w:color="auto" w:fill="F2F2F2" w:themeFill="background1" w:themeFillShade="F2"/>
            <w:vAlign w:val="center"/>
          </w:tcPr>
          <w:p w14:paraId="4F4BBD8E" w14:textId="2BB5BAD6" w:rsidR="00DA2FCA" w:rsidRPr="00DA2FCA" w:rsidRDefault="00DA2FCA" w:rsidP="00DA2FCA">
            <w:pPr>
              <w:spacing w:after="0" w:line="240" w:lineRule="auto"/>
              <w:jc w:val="right"/>
              <w:rPr>
                <w:rFonts w:ascii="Arial" w:eastAsia="Times New Roman" w:hAnsi="Arial" w:cs="Arial"/>
                <w:b/>
                <w:bCs/>
                <w:color w:val="000000" w:themeColor="text1"/>
                <w:sz w:val="18"/>
                <w:szCs w:val="18"/>
                <w:lang w:eastAsia="sl-SI"/>
              </w:rPr>
            </w:pPr>
            <w:r w:rsidRPr="00DA2FCA">
              <w:rPr>
                <w:rFonts w:ascii="Arial" w:hAnsi="Arial" w:cs="Arial"/>
                <w:b/>
                <w:bCs/>
                <w:color w:val="000000"/>
                <w:sz w:val="18"/>
                <w:szCs w:val="18"/>
              </w:rPr>
              <w:t>100,00 %</w:t>
            </w:r>
          </w:p>
        </w:tc>
        <w:tc>
          <w:tcPr>
            <w:tcW w:w="1220" w:type="dxa"/>
            <w:shd w:val="clear" w:color="auto" w:fill="F2F2F2" w:themeFill="background1" w:themeFillShade="F2"/>
            <w:vAlign w:val="center"/>
          </w:tcPr>
          <w:p w14:paraId="27B3C927" w14:textId="293E4FA9" w:rsidR="00DA2FCA" w:rsidRPr="00DA2FCA" w:rsidRDefault="00DA2FCA" w:rsidP="00DA2FCA">
            <w:pPr>
              <w:spacing w:after="0" w:line="240" w:lineRule="auto"/>
              <w:jc w:val="right"/>
              <w:rPr>
                <w:rFonts w:ascii="Arial" w:eastAsia="Times New Roman" w:hAnsi="Arial" w:cs="Arial"/>
                <w:b/>
                <w:bCs/>
                <w:color w:val="000000" w:themeColor="text1"/>
                <w:sz w:val="18"/>
                <w:szCs w:val="18"/>
                <w:lang w:eastAsia="sl-SI"/>
              </w:rPr>
            </w:pPr>
            <w:r w:rsidRPr="00DA2FCA">
              <w:rPr>
                <w:rFonts w:ascii="Arial" w:hAnsi="Arial" w:cs="Arial"/>
                <w:b/>
                <w:bCs/>
                <w:color w:val="000000"/>
                <w:sz w:val="18"/>
                <w:szCs w:val="18"/>
              </w:rPr>
              <w:t>100,00 %</w:t>
            </w:r>
          </w:p>
        </w:tc>
      </w:tr>
    </w:tbl>
    <w:p w14:paraId="38B90C15" w14:textId="77777777" w:rsidR="00122850" w:rsidRPr="00DA2FCA" w:rsidRDefault="00122850" w:rsidP="00F4617A">
      <w:pPr>
        <w:pStyle w:val="ZADEVA"/>
        <w:spacing w:line="240" w:lineRule="auto"/>
        <w:jc w:val="both"/>
        <w:rPr>
          <w:rFonts w:cs="Arial"/>
          <w:b w:val="0"/>
          <w:color w:val="000000" w:themeColor="text1"/>
          <w:szCs w:val="20"/>
          <w:lang w:val="sl-SI"/>
        </w:rPr>
      </w:pPr>
    </w:p>
    <w:p w14:paraId="5A0A064B" w14:textId="0101FC57" w:rsidR="0005082F" w:rsidRPr="00F432E2" w:rsidRDefault="00477CE0" w:rsidP="00EE7A95">
      <w:pPr>
        <w:spacing w:after="240" w:line="240" w:lineRule="auto"/>
        <w:jc w:val="center"/>
        <w:rPr>
          <w:rFonts w:ascii="Arial" w:hAnsi="Arial" w:cs="Arial"/>
          <w:color w:val="000000" w:themeColor="text1"/>
          <w:sz w:val="18"/>
        </w:rPr>
      </w:pPr>
      <w:r w:rsidRPr="00F432E2">
        <w:rPr>
          <w:rFonts w:ascii="Arial" w:hAnsi="Arial" w:cs="Arial"/>
          <w:color w:val="000000" w:themeColor="text1"/>
          <w:sz w:val="18"/>
        </w:rPr>
        <w:t>Vir: Statistični podatki o javni</w:t>
      </w:r>
      <w:r w:rsidR="005135C0" w:rsidRPr="00F432E2">
        <w:rPr>
          <w:rFonts w:ascii="Arial" w:hAnsi="Arial" w:cs="Arial"/>
          <w:color w:val="000000" w:themeColor="text1"/>
          <w:sz w:val="18"/>
        </w:rPr>
        <w:t>h naročilih, oddanih v letu 20</w:t>
      </w:r>
      <w:r w:rsidR="004A68B2" w:rsidRPr="00F432E2">
        <w:rPr>
          <w:rFonts w:ascii="Arial" w:hAnsi="Arial" w:cs="Arial"/>
          <w:color w:val="000000" w:themeColor="text1"/>
          <w:sz w:val="18"/>
        </w:rPr>
        <w:t>2</w:t>
      </w:r>
      <w:r w:rsidR="00FD130F" w:rsidRPr="00F432E2">
        <w:rPr>
          <w:rFonts w:ascii="Arial" w:hAnsi="Arial" w:cs="Arial"/>
          <w:color w:val="000000" w:themeColor="text1"/>
          <w:sz w:val="18"/>
        </w:rPr>
        <w:t>3</w:t>
      </w:r>
      <w:r w:rsidR="00F216B7" w:rsidRPr="00F432E2">
        <w:rPr>
          <w:rFonts w:ascii="Arial" w:hAnsi="Arial" w:cs="Arial"/>
          <w:color w:val="000000" w:themeColor="text1"/>
          <w:sz w:val="18"/>
        </w:rPr>
        <w:t>.</w:t>
      </w:r>
    </w:p>
    <w:p w14:paraId="4D1D6BD1" w14:textId="52ADFA4A" w:rsidR="00192C09" w:rsidRPr="00637ACF" w:rsidRDefault="00192C09" w:rsidP="00BD695D">
      <w:pPr>
        <w:spacing w:line="360" w:lineRule="auto"/>
        <w:jc w:val="both"/>
        <w:rPr>
          <w:rFonts w:ascii="Arial" w:eastAsia="Times New Roman" w:hAnsi="Arial" w:cs="Arial"/>
          <w:color w:val="FF0000"/>
          <w:sz w:val="20"/>
          <w:szCs w:val="20"/>
          <w:highlight w:val="yellow"/>
          <w:lang w:eastAsia="sl-SI"/>
        </w:rPr>
      </w:pPr>
      <w:r w:rsidRPr="00F432E2">
        <w:rPr>
          <w:rFonts w:ascii="Arial" w:hAnsi="Arial" w:cs="Arial"/>
          <w:color w:val="000000" w:themeColor="text1"/>
          <w:sz w:val="20"/>
          <w:szCs w:val="20"/>
        </w:rPr>
        <w:t xml:space="preserve">Naročniki glede na </w:t>
      </w:r>
      <w:r w:rsidR="00912BEF" w:rsidRPr="00F432E2">
        <w:rPr>
          <w:rFonts w:ascii="Arial" w:hAnsi="Arial" w:cs="Arial"/>
          <w:color w:val="000000" w:themeColor="text1"/>
          <w:sz w:val="20"/>
          <w:szCs w:val="20"/>
        </w:rPr>
        <w:t>s</w:t>
      </w:r>
      <w:r w:rsidRPr="00F432E2">
        <w:rPr>
          <w:rFonts w:ascii="Arial" w:hAnsi="Arial" w:cs="Arial"/>
          <w:color w:val="000000" w:themeColor="text1"/>
          <w:sz w:val="20"/>
          <w:szCs w:val="20"/>
        </w:rPr>
        <w:t xml:space="preserve">tandardno klasifikacijo dejavnosti (SKD) </w:t>
      </w:r>
      <w:r w:rsidR="001C2ADE" w:rsidRPr="00F432E2">
        <w:rPr>
          <w:rFonts w:ascii="Arial" w:hAnsi="Arial" w:cs="Arial"/>
          <w:color w:val="000000" w:themeColor="text1"/>
          <w:sz w:val="20"/>
          <w:szCs w:val="20"/>
        </w:rPr>
        <w:t xml:space="preserve">opravljajo različne dejavnosti. </w:t>
      </w:r>
      <w:r w:rsidRPr="00F432E2">
        <w:rPr>
          <w:rFonts w:ascii="Arial" w:hAnsi="Arial" w:cs="Arial"/>
          <w:color w:val="000000" w:themeColor="text1"/>
          <w:sz w:val="20"/>
          <w:szCs w:val="20"/>
        </w:rPr>
        <w:t>Glede na šifro dejavnosti po SKD je n</w:t>
      </w:r>
      <w:r w:rsidR="0033534F" w:rsidRPr="00F432E2">
        <w:rPr>
          <w:rFonts w:ascii="Arial" w:hAnsi="Arial" w:cs="Arial"/>
          <w:color w:val="000000" w:themeColor="text1"/>
          <w:sz w:val="20"/>
          <w:szCs w:val="20"/>
        </w:rPr>
        <w:t>ajveč naročnikov (2</w:t>
      </w:r>
      <w:r w:rsidR="00FF22C2" w:rsidRPr="00F432E2">
        <w:rPr>
          <w:rFonts w:ascii="Arial" w:hAnsi="Arial" w:cs="Arial"/>
          <w:color w:val="000000" w:themeColor="text1"/>
          <w:sz w:val="20"/>
          <w:szCs w:val="20"/>
        </w:rPr>
        <w:t>48</w:t>
      </w:r>
      <w:r w:rsidR="0061162D" w:rsidRPr="00F432E2">
        <w:rPr>
          <w:rFonts w:ascii="Arial" w:hAnsi="Arial" w:cs="Arial"/>
          <w:color w:val="000000" w:themeColor="text1"/>
          <w:sz w:val="20"/>
          <w:szCs w:val="20"/>
        </w:rPr>
        <w:t xml:space="preserve"> </w:t>
      </w:r>
      <w:r w:rsidR="0033534F" w:rsidRPr="00F432E2">
        <w:rPr>
          <w:rFonts w:ascii="Arial" w:hAnsi="Arial" w:cs="Arial"/>
          <w:color w:val="000000" w:themeColor="text1"/>
          <w:sz w:val="20"/>
          <w:szCs w:val="20"/>
        </w:rPr>
        <w:t xml:space="preserve">oziroma </w:t>
      </w:r>
      <w:r w:rsidR="00FF22C2" w:rsidRPr="00F432E2">
        <w:rPr>
          <w:rFonts w:ascii="Arial" w:hAnsi="Arial" w:cs="Arial"/>
          <w:color w:val="000000" w:themeColor="text1"/>
          <w:sz w:val="20"/>
          <w:szCs w:val="20"/>
        </w:rPr>
        <w:t>25,13</w:t>
      </w:r>
      <w:r w:rsidR="00AD4194" w:rsidRPr="00F432E2">
        <w:rPr>
          <w:rFonts w:ascii="Arial" w:hAnsi="Arial" w:cs="Arial"/>
          <w:color w:val="000000" w:themeColor="text1"/>
          <w:sz w:val="20"/>
          <w:szCs w:val="20"/>
        </w:rPr>
        <w:t> </w:t>
      </w:r>
      <w:r w:rsidR="00AC0027" w:rsidRPr="00F432E2">
        <w:rPr>
          <w:rFonts w:ascii="Arial" w:hAnsi="Arial" w:cs="Arial"/>
          <w:color w:val="000000" w:themeColor="text1"/>
          <w:sz w:val="20"/>
          <w:szCs w:val="20"/>
        </w:rPr>
        <w:t>odstotka</w:t>
      </w:r>
      <w:r w:rsidRPr="00F432E2">
        <w:rPr>
          <w:rFonts w:ascii="Arial" w:hAnsi="Arial" w:cs="Arial"/>
          <w:color w:val="000000" w:themeColor="text1"/>
          <w:sz w:val="20"/>
          <w:szCs w:val="20"/>
        </w:rPr>
        <w:t xml:space="preserve">) </w:t>
      </w:r>
      <w:r w:rsidR="00DD02E1">
        <w:rPr>
          <w:rFonts w:ascii="Arial" w:hAnsi="Arial" w:cs="Arial"/>
          <w:color w:val="000000" w:themeColor="text1"/>
          <w:sz w:val="20"/>
          <w:szCs w:val="20"/>
        </w:rPr>
        <w:t>s</w:t>
      </w:r>
      <w:r w:rsidRPr="00F432E2">
        <w:rPr>
          <w:rFonts w:ascii="Arial" w:hAnsi="Arial" w:cs="Arial"/>
          <w:color w:val="000000" w:themeColor="text1"/>
          <w:sz w:val="20"/>
          <w:szCs w:val="20"/>
        </w:rPr>
        <w:t xml:space="preserve"> splošn</w:t>
      </w:r>
      <w:r w:rsidR="00DD02E1">
        <w:rPr>
          <w:rFonts w:ascii="Arial" w:hAnsi="Arial" w:cs="Arial"/>
          <w:color w:val="000000" w:themeColor="text1"/>
          <w:sz w:val="20"/>
          <w:szCs w:val="20"/>
        </w:rPr>
        <w:t>o</w:t>
      </w:r>
      <w:r w:rsidRPr="00F432E2">
        <w:rPr>
          <w:rFonts w:ascii="Arial" w:hAnsi="Arial" w:cs="Arial"/>
          <w:color w:val="000000" w:themeColor="text1"/>
          <w:sz w:val="20"/>
          <w:szCs w:val="20"/>
        </w:rPr>
        <w:t xml:space="preserve"> dejavnost</w:t>
      </w:r>
      <w:r w:rsidR="00DD02E1">
        <w:rPr>
          <w:rFonts w:ascii="Arial" w:hAnsi="Arial" w:cs="Arial"/>
          <w:color w:val="000000" w:themeColor="text1"/>
          <w:sz w:val="20"/>
          <w:szCs w:val="20"/>
        </w:rPr>
        <w:t>jo</w:t>
      </w:r>
      <w:r w:rsidRPr="00F432E2">
        <w:rPr>
          <w:rFonts w:ascii="Arial" w:hAnsi="Arial" w:cs="Arial"/>
          <w:color w:val="000000" w:themeColor="text1"/>
          <w:sz w:val="20"/>
          <w:szCs w:val="20"/>
        </w:rPr>
        <w:t xml:space="preserve"> javne uprave</w:t>
      </w:r>
      <w:r w:rsidR="006E2EA0" w:rsidRPr="00F432E2">
        <w:rPr>
          <w:rFonts w:ascii="Arial" w:hAnsi="Arial" w:cs="Arial"/>
          <w:color w:val="000000" w:themeColor="text1"/>
          <w:sz w:val="20"/>
          <w:szCs w:val="20"/>
        </w:rPr>
        <w:t xml:space="preserve">, </w:t>
      </w:r>
      <w:r w:rsidR="006E2EA0" w:rsidRPr="0037743C">
        <w:rPr>
          <w:rFonts w:ascii="Arial" w:hAnsi="Arial" w:cs="Arial"/>
          <w:color w:val="000000" w:themeColor="text1"/>
          <w:sz w:val="20"/>
          <w:szCs w:val="20"/>
        </w:rPr>
        <w:t xml:space="preserve">ki so oddali </w:t>
      </w:r>
      <w:r w:rsidR="00903CD0" w:rsidRPr="0037743C">
        <w:rPr>
          <w:rFonts w:ascii="Arial" w:hAnsi="Arial" w:cs="Arial"/>
          <w:color w:val="000000" w:themeColor="text1"/>
          <w:sz w:val="20"/>
          <w:szCs w:val="20"/>
        </w:rPr>
        <w:t>2.</w:t>
      </w:r>
      <w:r w:rsidR="00FF22C2" w:rsidRPr="0037743C">
        <w:rPr>
          <w:rFonts w:ascii="Arial" w:hAnsi="Arial" w:cs="Arial"/>
          <w:color w:val="000000" w:themeColor="text1"/>
          <w:sz w:val="20"/>
          <w:szCs w:val="20"/>
        </w:rPr>
        <w:t>81</w:t>
      </w:r>
      <w:r w:rsidR="00F432E2" w:rsidRPr="0037743C">
        <w:rPr>
          <w:rFonts w:ascii="Arial" w:hAnsi="Arial" w:cs="Arial"/>
          <w:color w:val="000000" w:themeColor="text1"/>
          <w:sz w:val="20"/>
          <w:szCs w:val="20"/>
        </w:rPr>
        <w:t>0</w:t>
      </w:r>
      <w:r w:rsidRPr="0037743C">
        <w:rPr>
          <w:rFonts w:ascii="Arial" w:hAnsi="Arial" w:cs="Arial"/>
          <w:color w:val="000000" w:themeColor="text1"/>
          <w:sz w:val="20"/>
          <w:szCs w:val="20"/>
        </w:rPr>
        <w:t xml:space="preserve"> naročil (</w:t>
      </w:r>
      <w:r w:rsidR="00FF22C2" w:rsidRPr="0037743C">
        <w:rPr>
          <w:rFonts w:ascii="Arial" w:hAnsi="Arial" w:cs="Arial"/>
          <w:color w:val="000000" w:themeColor="text1"/>
          <w:sz w:val="20"/>
          <w:szCs w:val="20"/>
        </w:rPr>
        <w:t>16,7</w:t>
      </w:r>
      <w:r w:rsidR="00A35343" w:rsidRPr="0037743C">
        <w:rPr>
          <w:rFonts w:ascii="Arial" w:hAnsi="Arial" w:cs="Arial"/>
          <w:color w:val="000000" w:themeColor="text1"/>
          <w:sz w:val="20"/>
          <w:szCs w:val="20"/>
        </w:rPr>
        <w:t xml:space="preserve"> </w:t>
      </w:r>
      <w:r w:rsidR="00AC0027" w:rsidRPr="0037743C">
        <w:rPr>
          <w:rFonts w:ascii="Arial" w:hAnsi="Arial" w:cs="Arial"/>
          <w:color w:val="000000" w:themeColor="text1"/>
          <w:sz w:val="20"/>
          <w:szCs w:val="20"/>
        </w:rPr>
        <w:t>odstotka</w:t>
      </w:r>
      <w:r w:rsidRPr="0037743C">
        <w:rPr>
          <w:rFonts w:ascii="Arial" w:hAnsi="Arial" w:cs="Arial"/>
          <w:color w:val="000000" w:themeColor="text1"/>
          <w:sz w:val="20"/>
          <w:szCs w:val="20"/>
        </w:rPr>
        <w:t xml:space="preserve"> vseh naročil) v skupni vrednosti </w:t>
      </w:r>
      <w:r w:rsidR="00353729" w:rsidRPr="0037743C">
        <w:rPr>
          <w:rFonts w:ascii="Arial" w:hAnsi="Arial" w:cs="Arial"/>
          <w:color w:val="000000" w:themeColor="text1"/>
          <w:sz w:val="20"/>
          <w:szCs w:val="20"/>
        </w:rPr>
        <w:t>1.827.</w:t>
      </w:r>
      <w:r w:rsidR="00F432E2" w:rsidRPr="0037743C">
        <w:rPr>
          <w:rFonts w:ascii="Arial" w:hAnsi="Arial" w:cs="Arial"/>
          <w:color w:val="000000" w:themeColor="text1"/>
          <w:sz w:val="20"/>
          <w:szCs w:val="20"/>
        </w:rPr>
        <w:t>385</w:t>
      </w:r>
      <w:r w:rsidR="00353729" w:rsidRPr="0037743C">
        <w:rPr>
          <w:rFonts w:ascii="Arial" w:hAnsi="Arial" w:cs="Arial"/>
          <w:color w:val="000000" w:themeColor="text1"/>
          <w:sz w:val="20"/>
          <w:szCs w:val="20"/>
        </w:rPr>
        <w:t>.</w:t>
      </w:r>
      <w:r w:rsidR="00F432E2" w:rsidRPr="0037743C">
        <w:rPr>
          <w:rFonts w:ascii="Arial" w:hAnsi="Arial" w:cs="Arial"/>
          <w:color w:val="000000" w:themeColor="text1"/>
          <w:sz w:val="20"/>
          <w:szCs w:val="20"/>
        </w:rPr>
        <w:t>055</w:t>
      </w:r>
      <w:r w:rsidR="00353729" w:rsidRPr="0037743C">
        <w:rPr>
          <w:rFonts w:ascii="Arial" w:hAnsi="Arial" w:cs="Arial"/>
          <w:color w:val="000000" w:themeColor="text1"/>
          <w:sz w:val="20"/>
          <w:szCs w:val="20"/>
        </w:rPr>
        <w:t xml:space="preserve"> </w:t>
      </w:r>
      <w:r w:rsidRPr="0037743C">
        <w:rPr>
          <w:rFonts w:ascii="Arial" w:hAnsi="Arial" w:cs="Arial"/>
          <w:color w:val="000000" w:themeColor="text1"/>
          <w:sz w:val="20"/>
          <w:szCs w:val="20"/>
        </w:rPr>
        <w:t xml:space="preserve">evrov, kar </w:t>
      </w:r>
      <w:r w:rsidR="00550C22" w:rsidRPr="0037743C">
        <w:rPr>
          <w:rFonts w:ascii="Arial" w:hAnsi="Arial" w:cs="Arial"/>
          <w:color w:val="000000" w:themeColor="text1"/>
          <w:sz w:val="20"/>
          <w:szCs w:val="20"/>
        </w:rPr>
        <w:t>je</w:t>
      </w:r>
      <w:r w:rsidR="001C2ADE" w:rsidRPr="0037743C">
        <w:rPr>
          <w:rFonts w:ascii="Arial" w:hAnsi="Arial" w:cs="Arial"/>
          <w:color w:val="000000" w:themeColor="text1"/>
          <w:sz w:val="20"/>
          <w:szCs w:val="20"/>
        </w:rPr>
        <w:t xml:space="preserve"> </w:t>
      </w:r>
      <w:r w:rsidR="00353729" w:rsidRPr="0037743C">
        <w:rPr>
          <w:rFonts w:ascii="Arial" w:hAnsi="Arial" w:cs="Arial"/>
          <w:color w:val="000000" w:themeColor="text1"/>
          <w:sz w:val="20"/>
          <w:szCs w:val="20"/>
        </w:rPr>
        <w:t>29,32</w:t>
      </w:r>
      <w:r w:rsidR="00A35343" w:rsidRPr="0037743C">
        <w:rPr>
          <w:rFonts w:ascii="Arial" w:hAnsi="Arial" w:cs="Arial"/>
          <w:color w:val="000000" w:themeColor="text1"/>
          <w:sz w:val="20"/>
          <w:szCs w:val="20"/>
        </w:rPr>
        <w:t xml:space="preserve"> </w:t>
      </w:r>
      <w:r w:rsidR="00AC0027" w:rsidRPr="0037743C">
        <w:rPr>
          <w:rFonts w:ascii="Arial" w:hAnsi="Arial" w:cs="Arial"/>
          <w:color w:val="000000" w:themeColor="text1"/>
          <w:sz w:val="20"/>
          <w:szCs w:val="20"/>
        </w:rPr>
        <w:t>odstotka</w:t>
      </w:r>
      <w:r w:rsidRPr="0037743C">
        <w:rPr>
          <w:rFonts w:ascii="Arial" w:hAnsi="Arial" w:cs="Arial"/>
          <w:color w:val="000000" w:themeColor="text1"/>
          <w:sz w:val="20"/>
          <w:szCs w:val="20"/>
        </w:rPr>
        <w:t xml:space="preserve"> celotne vrednosti oddanih naročil.</w:t>
      </w:r>
      <w:r w:rsidR="00903CD0" w:rsidRPr="0037743C">
        <w:rPr>
          <w:rFonts w:ascii="Arial" w:hAnsi="Arial" w:cs="Arial"/>
          <w:color w:val="000000" w:themeColor="text1"/>
          <w:sz w:val="20"/>
          <w:szCs w:val="20"/>
        </w:rPr>
        <w:t xml:space="preserve"> </w:t>
      </w:r>
      <w:r w:rsidRPr="0037743C">
        <w:rPr>
          <w:rFonts w:ascii="Arial" w:hAnsi="Arial" w:cs="Arial"/>
          <w:color w:val="000000" w:themeColor="text1"/>
          <w:sz w:val="20"/>
          <w:szCs w:val="20"/>
        </w:rPr>
        <w:t>Po</w:t>
      </w:r>
      <w:r w:rsidR="00903CD0" w:rsidRPr="0037743C">
        <w:rPr>
          <w:rFonts w:ascii="Arial" w:hAnsi="Arial" w:cs="Arial"/>
          <w:color w:val="000000" w:themeColor="text1"/>
          <w:sz w:val="20"/>
          <w:szCs w:val="20"/>
        </w:rPr>
        <w:t xml:space="preserve"> </w:t>
      </w:r>
      <w:r w:rsidR="00EC79A1" w:rsidRPr="0037743C">
        <w:rPr>
          <w:rFonts w:ascii="Arial" w:hAnsi="Arial" w:cs="Arial"/>
          <w:color w:val="000000" w:themeColor="text1"/>
          <w:sz w:val="20"/>
          <w:szCs w:val="20"/>
        </w:rPr>
        <w:t>številu naročil</w:t>
      </w:r>
      <w:r w:rsidRPr="0037743C">
        <w:rPr>
          <w:rFonts w:ascii="Arial" w:hAnsi="Arial" w:cs="Arial"/>
          <w:color w:val="000000" w:themeColor="text1"/>
          <w:sz w:val="20"/>
          <w:szCs w:val="20"/>
        </w:rPr>
        <w:t xml:space="preserve"> </w:t>
      </w:r>
      <w:r w:rsidR="00903CD0" w:rsidRPr="0037743C">
        <w:rPr>
          <w:rFonts w:ascii="Arial" w:hAnsi="Arial" w:cs="Arial"/>
          <w:color w:val="000000" w:themeColor="text1"/>
          <w:sz w:val="20"/>
          <w:szCs w:val="20"/>
        </w:rPr>
        <w:t>je</w:t>
      </w:r>
      <w:r w:rsidR="00EC79A1" w:rsidRPr="0037743C">
        <w:rPr>
          <w:rFonts w:ascii="Arial" w:hAnsi="Arial" w:cs="Arial"/>
          <w:color w:val="000000" w:themeColor="text1"/>
          <w:sz w:val="20"/>
          <w:szCs w:val="20"/>
        </w:rPr>
        <w:t xml:space="preserve"> na prvem mestu </w:t>
      </w:r>
      <w:r w:rsidR="00903CD0" w:rsidRPr="0037743C">
        <w:rPr>
          <w:rFonts w:ascii="Arial" w:hAnsi="Arial" w:cs="Arial"/>
          <w:color w:val="000000" w:themeColor="text1"/>
          <w:sz w:val="20"/>
          <w:szCs w:val="20"/>
        </w:rPr>
        <w:t xml:space="preserve">bolnišnična zdravstvena dejavnost, </w:t>
      </w:r>
      <w:r w:rsidR="00C4750B" w:rsidRPr="0037743C">
        <w:rPr>
          <w:rFonts w:ascii="Arial" w:hAnsi="Arial" w:cs="Arial"/>
          <w:color w:val="000000" w:themeColor="text1"/>
          <w:sz w:val="20"/>
          <w:szCs w:val="20"/>
        </w:rPr>
        <w:t xml:space="preserve">kjer je </w:t>
      </w:r>
      <w:r w:rsidR="00903CD0" w:rsidRPr="0037743C">
        <w:rPr>
          <w:rFonts w:ascii="Arial" w:hAnsi="Arial" w:cs="Arial"/>
          <w:color w:val="000000" w:themeColor="text1"/>
          <w:sz w:val="20"/>
          <w:szCs w:val="20"/>
        </w:rPr>
        <w:t>2</w:t>
      </w:r>
      <w:r w:rsidR="006C7E95" w:rsidRPr="0037743C">
        <w:rPr>
          <w:rFonts w:ascii="Arial" w:hAnsi="Arial" w:cs="Arial"/>
          <w:color w:val="000000" w:themeColor="text1"/>
          <w:sz w:val="20"/>
          <w:szCs w:val="20"/>
        </w:rPr>
        <w:t>5</w:t>
      </w:r>
      <w:r w:rsidRPr="0037743C">
        <w:rPr>
          <w:rFonts w:ascii="Arial" w:hAnsi="Arial" w:cs="Arial"/>
          <w:color w:val="000000" w:themeColor="text1"/>
          <w:sz w:val="20"/>
          <w:szCs w:val="20"/>
        </w:rPr>
        <w:t xml:space="preserve"> naročnikov oddalo</w:t>
      </w:r>
      <w:r w:rsidR="00903CD0" w:rsidRPr="0037743C">
        <w:rPr>
          <w:rFonts w:ascii="Arial" w:hAnsi="Arial" w:cs="Arial"/>
          <w:color w:val="000000" w:themeColor="text1"/>
          <w:sz w:val="20"/>
          <w:szCs w:val="20"/>
        </w:rPr>
        <w:t xml:space="preserve"> </w:t>
      </w:r>
      <w:r w:rsidR="006C7E95" w:rsidRPr="0037743C">
        <w:rPr>
          <w:rFonts w:ascii="Arial" w:hAnsi="Arial" w:cs="Arial"/>
          <w:color w:val="000000" w:themeColor="text1"/>
          <w:sz w:val="20"/>
          <w:szCs w:val="20"/>
        </w:rPr>
        <w:t>2.824</w:t>
      </w:r>
      <w:r w:rsidR="00C4750B" w:rsidRPr="0037743C">
        <w:rPr>
          <w:rFonts w:ascii="Arial" w:hAnsi="Arial" w:cs="Arial"/>
          <w:color w:val="000000" w:themeColor="text1"/>
          <w:sz w:val="20"/>
          <w:szCs w:val="20"/>
        </w:rPr>
        <w:t xml:space="preserve"> </w:t>
      </w:r>
      <w:r w:rsidR="00EB2A7A" w:rsidRPr="0037743C">
        <w:rPr>
          <w:rFonts w:ascii="Arial" w:hAnsi="Arial" w:cs="Arial"/>
          <w:color w:val="000000" w:themeColor="text1"/>
          <w:sz w:val="20"/>
          <w:szCs w:val="20"/>
        </w:rPr>
        <w:t>naročil (</w:t>
      </w:r>
      <w:r w:rsidR="006C7E95" w:rsidRPr="0037743C">
        <w:rPr>
          <w:rFonts w:ascii="Arial" w:hAnsi="Arial" w:cs="Arial"/>
          <w:color w:val="000000" w:themeColor="text1"/>
          <w:sz w:val="20"/>
          <w:szCs w:val="20"/>
        </w:rPr>
        <w:t>16,7</w:t>
      </w:r>
      <w:r w:rsidR="0037743C" w:rsidRPr="0037743C">
        <w:rPr>
          <w:rFonts w:ascii="Arial" w:hAnsi="Arial" w:cs="Arial"/>
          <w:color w:val="000000" w:themeColor="text1"/>
          <w:sz w:val="20"/>
          <w:szCs w:val="20"/>
        </w:rPr>
        <w:t>9</w:t>
      </w:r>
      <w:r w:rsidR="00AD4194" w:rsidRPr="0037743C">
        <w:rPr>
          <w:rFonts w:ascii="Arial" w:hAnsi="Arial" w:cs="Arial"/>
          <w:color w:val="000000" w:themeColor="text1"/>
          <w:sz w:val="20"/>
          <w:szCs w:val="20"/>
        </w:rPr>
        <w:t> </w:t>
      </w:r>
      <w:r w:rsidR="00AC0027" w:rsidRPr="0037743C">
        <w:rPr>
          <w:rFonts w:ascii="Arial" w:hAnsi="Arial" w:cs="Arial"/>
          <w:color w:val="000000" w:themeColor="text1"/>
          <w:sz w:val="20"/>
          <w:szCs w:val="20"/>
        </w:rPr>
        <w:t>odstotka</w:t>
      </w:r>
      <w:r w:rsidRPr="0037743C">
        <w:rPr>
          <w:rFonts w:ascii="Arial" w:hAnsi="Arial" w:cs="Arial"/>
          <w:color w:val="000000" w:themeColor="text1"/>
          <w:sz w:val="20"/>
          <w:szCs w:val="20"/>
        </w:rPr>
        <w:t xml:space="preserve"> vseh naročil) v skupni vrednosti </w:t>
      </w:r>
      <w:r w:rsidR="006C7E95" w:rsidRPr="0037743C">
        <w:rPr>
          <w:rFonts w:ascii="Arial" w:hAnsi="Arial" w:cs="Arial"/>
          <w:color w:val="000000" w:themeColor="text1"/>
          <w:sz w:val="20"/>
          <w:szCs w:val="20"/>
        </w:rPr>
        <w:t xml:space="preserve">727.550.180 </w:t>
      </w:r>
      <w:r w:rsidR="00C4750B" w:rsidRPr="0037743C">
        <w:rPr>
          <w:rFonts w:ascii="Arial" w:hAnsi="Arial" w:cs="Arial"/>
          <w:color w:val="000000" w:themeColor="text1"/>
          <w:sz w:val="20"/>
          <w:szCs w:val="20"/>
        </w:rPr>
        <w:t>evrov</w:t>
      </w:r>
      <w:r w:rsidRPr="0037743C">
        <w:rPr>
          <w:rFonts w:ascii="Arial" w:hAnsi="Arial" w:cs="Arial"/>
          <w:color w:val="000000" w:themeColor="text1"/>
          <w:sz w:val="20"/>
          <w:szCs w:val="20"/>
        </w:rPr>
        <w:t xml:space="preserve">, kar </w:t>
      </w:r>
      <w:r w:rsidR="00550C22" w:rsidRPr="0037743C">
        <w:rPr>
          <w:rFonts w:ascii="Arial" w:hAnsi="Arial" w:cs="Arial"/>
          <w:color w:val="000000" w:themeColor="text1"/>
          <w:sz w:val="20"/>
          <w:szCs w:val="20"/>
        </w:rPr>
        <w:t>je</w:t>
      </w:r>
      <w:r w:rsidRPr="0037743C">
        <w:rPr>
          <w:rFonts w:ascii="Arial" w:hAnsi="Arial" w:cs="Arial"/>
          <w:color w:val="000000" w:themeColor="text1"/>
          <w:sz w:val="20"/>
          <w:szCs w:val="20"/>
        </w:rPr>
        <w:t xml:space="preserve"> </w:t>
      </w:r>
      <w:r w:rsidR="006C7E95" w:rsidRPr="0037743C">
        <w:rPr>
          <w:rFonts w:ascii="Arial" w:hAnsi="Arial" w:cs="Arial"/>
          <w:color w:val="000000" w:themeColor="text1"/>
          <w:sz w:val="20"/>
          <w:szCs w:val="20"/>
        </w:rPr>
        <w:t>11,</w:t>
      </w:r>
      <w:r w:rsidR="00353729" w:rsidRPr="0037743C">
        <w:rPr>
          <w:rFonts w:ascii="Arial" w:hAnsi="Arial" w:cs="Arial"/>
          <w:color w:val="000000" w:themeColor="text1"/>
          <w:sz w:val="20"/>
          <w:szCs w:val="20"/>
        </w:rPr>
        <w:t>67</w:t>
      </w:r>
      <w:r w:rsidR="00AD4194" w:rsidRPr="0037743C">
        <w:rPr>
          <w:rFonts w:ascii="Arial" w:hAnsi="Arial" w:cs="Arial"/>
          <w:color w:val="000000" w:themeColor="text1"/>
          <w:sz w:val="20"/>
          <w:szCs w:val="20"/>
        </w:rPr>
        <w:t> </w:t>
      </w:r>
      <w:r w:rsidR="00AC0027" w:rsidRPr="0037743C">
        <w:rPr>
          <w:rFonts w:ascii="Arial" w:hAnsi="Arial" w:cs="Arial"/>
          <w:color w:val="000000" w:themeColor="text1"/>
          <w:sz w:val="20"/>
          <w:szCs w:val="20"/>
        </w:rPr>
        <w:t>odstotka</w:t>
      </w:r>
      <w:r w:rsidRPr="0037743C">
        <w:rPr>
          <w:rFonts w:ascii="Arial" w:hAnsi="Arial" w:cs="Arial"/>
          <w:color w:val="000000" w:themeColor="text1"/>
          <w:sz w:val="20"/>
          <w:szCs w:val="20"/>
        </w:rPr>
        <w:t xml:space="preserve"> vrednosti oddanih naročil.</w:t>
      </w:r>
    </w:p>
    <w:p w14:paraId="1FAD4A07" w14:textId="1D72D5FD" w:rsidR="00192C09" w:rsidRPr="00BA462C" w:rsidRDefault="00192C09" w:rsidP="005033F1">
      <w:pPr>
        <w:spacing w:line="360" w:lineRule="auto"/>
        <w:jc w:val="both"/>
        <w:rPr>
          <w:rFonts w:ascii="Arial" w:hAnsi="Arial" w:cs="Arial"/>
          <w:color w:val="000000" w:themeColor="text1"/>
          <w:sz w:val="20"/>
          <w:szCs w:val="20"/>
        </w:rPr>
      </w:pPr>
      <w:r w:rsidRPr="0037743C">
        <w:rPr>
          <w:rFonts w:ascii="Arial" w:hAnsi="Arial" w:cs="Arial"/>
          <w:color w:val="000000" w:themeColor="text1"/>
          <w:sz w:val="20"/>
          <w:szCs w:val="20"/>
        </w:rPr>
        <w:lastRenderedPageBreak/>
        <w:t xml:space="preserve">Največje vrednosti oddanih naročil so bile dosežene na področju </w:t>
      </w:r>
      <w:r w:rsidR="0069633F" w:rsidRPr="0037743C">
        <w:rPr>
          <w:rFonts w:ascii="Arial" w:hAnsi="Arial" w:cs="Arial"/>
          <w:color w:val="000000" w:themeColor="text1"/>
          <w:sz w:val="20"/>
          <w:szCs w:val="20"/>
        </w:rPr>
        <w:t xml:space="preserve">splošne dejavnosti javne uprave, </w:t>
      </w:r>
      <w:r w:rsidR="0069633F" w:rsidRPr="00AB4F74">
        <w:rPr>
          <w:rFonts w:ascii="Arial" w:hAnsi="Arial" w:cs="Arial"/>
          <w:color w:val="000000" w:themeColor="text1"/>
          <w:sz w:val="20"/>
          <w:szCs w:val="20"/>
        </w:rPr>
        <w:t xml:space="preserve">bolnišnične zdravstvene dejavnosti, </w:t>
      </w:r>
      <w:r w:rsidR="005033F1" w:rsidRPr="00AB4F74">
        <w:rPr>
          <w:rFonts w:ascii="Arial" w:hAnsi="Arial" w:cs="Arial"/>
          <w:color w:val="000000" w:themeColor="text1"/>
          <w:sz w:val="20"/>
          <w:szCs w:val="20"/>
        </w:rPr>
        <w:t xml:space="preserve">pri urejanju gospodarskih področij za učinkovitejše poslovanje, na področju obrambe </w:t>
      </w:r>
      <w:r w:rsidR="00DD02E1">
        <w:rPr>
          <w:rFonts w:ascii="Arial" w:hAnsi="Arial" w:cs="Arial"/>
          <w:color w:val="000000" w:themeColor="text1"/>
          <w:sz w:val="20"/>
          <w:szCs w:val="20"/>
        </w:rPr>
        <w:t>ter</w:t>
      </w:r>
      <w:r w:rsidR="005033F1" w:rsidRPr="00AB4F74">
        <w:rPr>
          <w:rFonts w:ascii="Arial" w:hAnsi="Arial" w:cs="Arial"/>
          <w:color w:val="000000" w:themeColor="text1"/>
          <w:sz w:val="20"/>
          <w:szCs w:val="20"/>
        </w:rPr>
        <w:t xml:space="preserve"> pri drugem podjetniškem in poslovnem svetovanju </w:t>
      </w:r>
      <w:r w:rsidRPr="00AB4F74">
        <w:rPr>
          <w:rFonts w:ascii="Arial" w:hAnsi="Arial" w:cs="Arial"/>
          <w:color w:val="000000" w:themeColor="text1"/>
          <w:sz w:val="20"/>
          <w:szCs w:val="20"/>
        </w:rPr>
        <w:t xml:space="preserve">s skupno vrednostjo naročil </w:t>
      </w:r>
      <w:r w:rsidR="0037743C" w:rsidRPr="00AB4F74">
        <w:rPr>
          <w:rFonts w:ascii="Arial" w:hAnsi="Arial" w:cs="Arial"/>
          <w:color w:val="000000" w:themeColor="text1"/>
          <w:sz w:val="20"/>
          <w:szCs w:val="20"/>
        </w:rPr>
        <w:t xml:space="preserve">3.387.400.459 </w:t>
      </w:r>
      <w:r w:rsidRPr="00AB4F74">
        <w:rPr>
          <w:rFonts w:ascii="Arial" w:hAnsi="Arial" w:cs="Arial"/>
          <w:color w:val="000000" w:themeColor="text1"/>
          <w:sz w:val="20"/>
          <w:szCs w:val="20"/>
        </w:rPr>
        <w:t xml:space="preserve">evrov. Naročila, oddana v navedenih petih dejavnostih, </w:t>
      </w:r>
      <w:r w:rsidR="001C2ADE" w:rsidRPr="00AB4F74">
        <w:rPr>
          <w:rFonts w:ascii="Arial" w:hAnsi="Arial" w:cs="Arial"/>
          <w:color w:val="000000" w:themeColor="text1"/>
          <w:sz w:val="20"/>
          <w:szCs w:val="20"/>
        </w:rPr>
        <w:t xml:space="preserve">znašajo </w:t>
      </w:r>
      <w:r w:rsidR="006D1A48" w:rsidRPr="00AB4F74">
        <w:rPr>
          <w:rFonts w:ascii="Arial" w:hAnsi="Arial" w:cs="Arial"/>
          <w:color w:val="000000" w:themeColor="text1"/>
          <w:sz w:val="20"/>
          <w:szCs w:val="20"/>
        </w:rPr>
        <w:t>54,35</w:t>
      </w:r>
      <w:r w:rsidR="005A6119" w:rsidRPr="00AB4F74">
        <w:rPr>
          <w:rFonts w:ascii="Arial" w:hAnsi="Arial" w:cs="Arial"/>
          <w:color w:val="000000" w:themeColor="text1"/>
          <w:sz w:val="20"/>
          <w:szCs w:val="20"/>
        </w:rPr>
        <w:t xml:space="preserve"> </w:t>
      </w:r>
      <w:r w:rsidR="00AC0027" w:rsidRPr="00AB4F74">
        <w:rPr>
          <w:rFonts w:ascii="Arial" w:hAnsi="Arial" w:cs="Arial"/>
          <w:color w:val="000000" w:themeColor="text1"/>
          <w:sz w:val="20"/>
          <w:szCs w:val="20"/>
        </w:rPr>
        <w:t>odstotka</w:t>
      </w:r>
      <w:r w:rsidRPr="00AB4F74">
        <w:rPr>
          <w:rFonts w:ascii="Arial" w:hAnsi="Arial" w:cs="Arial"/>
          <w:color w:val="000000" w:themeColor="text1"/>
          <w:sz w:val="20"/>
          <w:szCs w:val="20"/>
        </w:rPr>
        <w:t xml:space="preserve"> vrednosti </w:t>
      </w:r>
      <w:r w:rsidRPr="00BA462C">
        <w:rPr>
          <w:rFonts w:ascii="Arial" w:hAnsi="Arial" w:cs="Arial"/>
          <w:color w:val="000000" w:themeColor="text1"/>
          <w:sz w:val="20"/>
          <w:szCs w:val="20"/>
        </w:rPr>
        <w:t>vseh oddanih naročil.</w:t>
      </w:r>
    </w:p>
    <w:p w14:paraId="051DF5CC" w14:textId="5C2628DB" w:rsidR="0033657E" w:rsidRPr="00BA462C" w:rsidRDefault="00192C09" w:rsidP="0033657E">
      <w:pPr>
        <w:spacing w:line="360" w:lineRule="auto"/>
        <w:jc w:val="both"/>
        <w:rPr>
          <w:rFonts w:ascii="Calibri" w:eastAsia="Times New Roman" w:hAnsi="Calibri" w:cs="Calibri"/>
          <w:color w:val="000000" w:themeColor="text1"/>
          <w:lang w:eastAsia="sl-SI"/>
        </w:rPr>
      </w:pPr>
      <w:r w:rsidRPr="00BA462C">
        <w:rPr>
          <w:rFonts w:ascii="Arial" w:hAnsi="Arial" w:cs="Arial"/>
          <w:color w:val="000000" w:themeColor="text1"/>
          <w:sz w:val="20"/>
          <w:szCs w:val="20"/>
        </w:rPr>
        <w:t>Naročniki</w:t>
      </w:r>
      <w:r w:rsidR="00DD02E1">
        <w:rPr>
          <w:rFonts w:ascii="Arial" w:hAnsi="Arial" w:cs="Arial"/>
          <w:color w:val="000000" w:themeColor="text1"/>
          <w:sz w:val="20"/>
          <w:szCs w:val="20"/>
        </w:rPr>
        <w:t xml:space="preserve"> z </w:t>
      </w:r>
      <w:r w:rsidR="007E55A1" w:rsidRPr="00BA462C">
        <w:rPr>
          <w:rFonts w:ascii="Arial" w:hAnsi="Arial" w:cs="Arial"/>
          <w:color w:val="000000" w:themeColor="text1"/>
          <w:sz w:val="20"/>
          <w:szCs w:val="20"/>
        </w:rPr>
        <w:t>dejavnost</w:t>
      </w:r>
      <w:r w:rsidR="00DD02E1">
        <w:rPr>
          <w:rFonts w:ascii="Arial" w:hAnsi="Arial" w:cs="Arial"/>
          <w:color w:val="000000" w:themeColor="text1"/>
          <w:sz w:val="20"/>
          <w:szCs w:val="20"/>
        </w:rPr>
        <w:t>m</w:t>
      </w:r>
      <w:r w:rsidR="007E55A1" w:rsidRPr="00BA462C">
        <w:rPr>
          <w:rFonts w:ascii="Arial" w:hAnsi="Arial" w:cs="Arial"/>
          <w:color w:val="000000" w:themeColor="text1"/>
          <w:sz w:val="20"/>
          <w:szCs w:val="20"/>
        </w:rPr>
        <w:t>i</w:t>
      </w:r>
      <w:r w:rsidRPr="00BA462C">
        <w:rPr>
          <w:rFonts w:ascii="Arial" w:hAnsi="Arial" w:cs="Arial"/>
          <w:color w:val="000000" w:themeColor="text1"/>
          <w:sz w:val="20"/>
          <w:szCs w:val="20"/>
        </w:rPr>
        <w:t xml:space="preserve"> </w:t>
      </w:r>
      <w:r w:rsidR="00DD02E1">
        <w:rPr>
          <w:rFonts w:ascii="Arial" w:hAnsi="Arial" w:cs="Arial"/>
          <w:color w:val="000000" w:themeColor="text1"/>
          <w:sz w:val="20"/>
          <w:szCs w:val="20"/>
        </w:rPr>
        <w:t>na petih področjih</w:t>
      </w:r>
      <w:r w:rsidR="00156A10" w:rsidRPr="00BA462C">
        <w:rPr>
          <w:rFonts w:ascii="Arial" w:hAnsi="Arial" w:cs="Arial"/>
          <w:color w:val="000000" w:themeColor="text1"/>
          <w:sz w:val="20"/>
          <w:szCs w:val="20"/>
        </w:rPr>
        <w:t xml:space="preserve"> </w:t>
      </w:r>
      <w:r w:rsidR="007E55A1" w:rsidRPr="00BA462C">
        <w:rPr>
          <w:rFonts w:ascii="Arial" w:hAnsi="Arial" w:cs="Arial"/>
          <w:color w:val="000000" w:themeColor="text1"/>
          <w:sz w:val="20"/>
          <w:szCs w:val="20"/>
        </w:rPr>
        <w:t>(</w:t>
      </w:r>
      <w:r w:rsidR="0033657E" w:rsidRPr="00BA462C">
        <w:rPr>
          <w:rFonts w:ascii="Arial" w:hAnsi="Arial" w:cs="Arial"/>
          <w:color w:val="000000" w:themeColor="text1"/>
          <w:sz w:val="20"/>
          <w:szCs w:val="20"/>
        </w:rPr>
        <w:t>gradnja drugih objektov nizke gradnje, proizvodnja merilnih, preizkuševalnih in navigacijskih instrumentov in naprav, rezervacije in druge s potovanji povezane dejavnosti, umetniško ustvarjanje in zobozdravstvena dejavnost</w:t>
      </w:r>
      <w:r w:rsidR="007E55A1" w:rsidRPr="00BA462C">
        <w:rPr>
          <w:rFonts w:ascii="Arial" w:hAnsi="Arial" w:cs="Arial"/>
          <w:color w:val="000000" w:themeColor="text1"/>
          <w:sz w:val="20"/>
          <w:szCs w:val="20"/>
        </w:rPr>
        <w:t>)</w:t>
      </w:r>
      <w:r w:rsidR="005E01DC" w:rsidRPr="00BA462C">
        <w:rPr>
          <w:rFonts w:ascii="Arial" w:hAnsi="Arial" w:cs="Arial"/>
          <w:color w:val="000000" w:themeColor="text1"/>
          <w:sz w:val="20"/>
          <w:szCs w:val="20"/>
        </w:rPr>
        <w:t xml:space="preserve"> </w:t>
      </w:r>
      <w:r w:rsidRPr="00BA462C">
        <w:rPr>
          <w:rFonts w:ascii="Arial" w:hAnsi="Arial" w:cs="Arial"/>
          <w:color w:val="000000" w:themeColor="text1"/>
          <w:sz w:val="20"/>
          <w:szCs w:val="20"/>
        </w:rPr>
        <w:t xml:space="preserve">so oddali le po eno naročilo, vrednost teh naročil znaša </w:t>
      </w:r>
      <w:r w:rsidR="0033657E" w:rsidRPr="00BA462C">
        <w:rPr>
          <w:rFonts w:ascii="Arial" w:hAnsi="Arial" w:cs="Arial"/>
          <w:color w:val="000000" w:themeColor="text1"/>
          <w:sz w:val="20"/>
          <w:szCs w:val="20"/>
        </w:rPr>
        <w:t xml:space="preserve">842.031 </w:t>
      </w:r>
      <w:r w:rsidRPr="00BA462C">
        <w:rPr>
          <w:rFonts w:ascii="Arial" w:hAnsi="Arial" w:cs="Arial"/>
          <w:color w:val="000000" w:themeColor="text1"/>
          <w:sz w:val="20"/>
          <w:szCs w:val="20"/>
        </w:rPr>
        <w:t>evrov</w:t>
      </w:r>
      <w:r w:rsidR="007E55A1" w:rsidRPr="00BA462C">
        <w:rPr>
          <w:rFonts w:ascii="Arial" w:hAnsi="Arial" w:cs="Arial"/>
          <w:color w:val="000000" w:themeColor="text1"/>
          <w:sz w:val="20"/>
          <w:szCs w:val="20"/>
        </w:rPr>
        <w:t xml:space="preserve">. </w:t>
      </w:r>
    </w:p>
    <w:p w14:paraId="1C54FE82" w14:textId="68CD0AC3" w:rsidR="0033657E" w:rsidRPr="0044190B" w:rsidRDefault="00192C09" w:rsidP="00A65945">
      <w:pPr>
        <w:spacing w:line="360" w:lineRule="auto"/>
        <w:jc w:val="both"/>
        <w:rPr>
          <w:rFonts w:ascii="Arial" w:hAnsi="Arial" w:cs="Arial"/>
          <w:color w:val="000000" w:themeColor="text1"/>
          <w:sz w:val="20"/>
          <w:szCs w:val="20"/>
        </w:rPr>
      </w:pPr>
      <w:r w:rsidRPr="00BA462C">
        <w:rPr>
          <w:rFonts w:ascii="Arial" w:hAnsi="Arial" w:cs="Arial"/>
          <w:color w:val="000000" w:themeColor="text1"/>
          <w:sz w:val="20"/>
          <w:szCs w:val="20"/>
        </w:rPr>
        <w:t>Najnižje vrednost</w:t>
      </w:r>
      <w:r w:rsidR="001C2ADE" w:rsidRPr="00BA462C">
        <w:rPr>
          <w:rFonts w:ascii="Arial" w:hAnsi="Arial" w:cs="Arial"/>
          <w:color w:val="000000" w:themeColor="text1"/>
          <w:sz w:val="20"/>
          <w:szCs w:val="20"/>
        </w:rPr>
        <w:t>i</w:t>
      </w:r>
      <w:r w:rsidRPr="00BA462C">
        <w:rPr>
          <w:rFonts w:ascii="Arial" w:hAnsi="Arial" w:cs="Arial"/>
          <w:color w:val="000000" w:themeColor="text1"/>
          <w:sz w:val="20"/>
          <w:szCs w:val="20"/>
        </w:rPr>
        <w:t xml:space="preserve"> naročil so bile dosežene pri naročnik</w:t>
      </w:r>
      <w:r w:rsidR="0033657E" w:rsidRPr="00BA462C">
        <w:rPr>
          <w:rFonts w:ascii="Arial" w:hAnsi="Arial" w:cs="Arial"/>
          <w:color w:val="000000" w:themeColor="text1"/>
          <w:sz w:val="20"/>
          <w:szCs w:val="20"/>
        </w:rPr>
        <w:t>u</w:t>
      </w:r>
      <w:r w:rsidR="00FC5C94" w:rsidRPr="00BA462C">
        <w:rPr>
          <w:rFonts w:ascii="Arial" w:hAnsi="Arial" w:cs="Arial"/>
          <w:color w:val="000000" w:themeColor="text1"/>
          <w:sz w:val="20"/>
          <w:szCs w:val="20"/>
        </w:rPr>
        <w:t xml:space="preserve"> z </w:t>
      </w:r>
      <w:r w:rsidR="0033657E" w:rsidRPr="00BA462C">
        <w:rPr>
          <w:rFonts w:ascii="Arial" w:hAnsi="Arial" w:cs="Arial"/>
          <w:color w:val="000000" w:themeColor="text1"/>
          <w:sz w:val="20"/>
          <w:szCs w:val="20"/>
        </w:rPr>
        <w:t>dvema naročiloma</w:t>
      </w:r>
      <w:r w:rsidR="00FC5C94" w:rsidRPr="00BA462C">
        <w:rPr>
          <w:rFonts w:ascii="Arial" w:hAnsi="Arial" w:cs="Arial"/>
          <w:color w:val="000000" w:themeColor="text1"/>
          <w:sz w:val="20"/>
          <w:szCs w:val="20"/>
        </w:rPr>
        <w:t xml:space="preserve"> </w:t>
      </w:r>
      <w:r w:rsidR="00DD02E1">
        <w:rPr>
          <w:rFonts w:ascii="Arial" w:hAnsi="Arial" w:cs="Arial"/>
          <w:color w:val="000000" w:themeColor="text1"/>
          <w:sz w:val="20"/>
          <w:szCs w:val="20"/>
        </w:rPr>
        <w:t>za področje</w:t>
      </w:r>
      <w:r w:rsidRPr="00BA462C">
        <w:rPr>
          <w:rFonts w:ascii="Arial" w:hAnsi="Arial" w:cs="Arial"/>
          <w:color w:val="000000" w:themeColor="text1"/>
          <w:sz w:val="20"/>
          <w:szCs w:val="20"/>
        </w:rPr>
        <w:t xml:space="preserve"> </w:t>
      </w:r>
      <w:r w:rsidR="0033657E" w:rsidRPr="00BA462C">
        <w:rPr>
          <w:rFonts w:ascii="Arial" w:hAnsi="Arial" w:cs="Arial"/>
          <w:color w:val="000000" w:themeColor="text1"/>
          <w:sz w:val="20"/>
          <w:szCs w:val="20"/>
        </w:rPr>
        <w:t>litj</w:t>
      </w:r>
      <w:r w:rsidR="00DD02E1">
        <w:rPr>
          <w:rFonts w:ascii="Arial" w:hAnsi="Arial" w:cs="Arial"/>
          <w:color w:val="000000" w:themeColor="text1"/>
          <w:sz w:val="20"/>
          <w:szCs w:val="20"/>
        </w:rPr>
        <w:t>a</w:t>
      </w:r>
      <w:r w:rsidR="0033657E" w:rsidRPr="00BA462C">
        <w:rPr>
          <w:rFonts w:ascii="Arial" w:hAnsi="Arial" w:cs="Arial"/>
          <w:color w:val="000000" w:themeColor="text1"/>
          <w:sz w:val="20"/>
          <w:szCs w:val="20"/>
        </w:rPr>
        <w:t xml:space="preserve"> lahkih kovin </w:t>
      </w:r>
      <w:r w:rsidRPr="00BA462C">
        <w:rPr>
          <w:rFonts w:ascii="Arial" w:hAnsi="Arial" w:cs="Arial"/>
          <w:color w:val="000000" w:themeColor="text1"/>
          <w:sz w:val="20"/>
          <w:szCs w:val="20"/>
        </w:rPr>
        <w:t xml:space="preserve">v </w:t>
      </w:r>
      <w:r w:rsidRPr="0044190B">
        <w:rPr>
          <w:rFonts w:ascii="Arial" w:hAnsi="Arial" w:cs="Arial"/>
          <w:color w:val="000000" w:themeColor="text1"/>
          <w:sz w:val="20"/>
          <w:szCs w:val="20"/>
        </w:rPr>
        <w:t>vrednosti</w:t>
      </w:r>
      <w:r w:rsidR="006777AC" w:rsidRPr="0044190B">
        <w:rPr>
          <w:rFonts w:ascii="Arial" w:hAnsi="Arial" w:cs="Arial"/>
          <w:color w:val="000000" w:themeColor="text1"/>
          <w:sz w:val="20"/>
          <w:szCs w:val="20"/>
        </w:rPr>
        <w:t xml:space="preserve"> </w:t>
      </w:r>
      <w:r w:rsidR="0033657E" w:rsidRPr="0044190B">
        <w:rPr>
          <w:rFonts w:ascii="Arial" w:hAnsi="Arial" w:cs="Arial"/>
          <w:color w:val="000000" w:themeColor="text1"/>
          <w:sz w:val="20"/>
          <w:szCs w:val="20"/>
        </w:rPr>
        <w:t>95</w:t>
      </w:r>
      <w:r w:rsidR="00A70573" w:rsidRPr="0044190B">
        <w:rPr>
          <w:rFonts w:ascii="Arial" w:hAnsi="Arial" w:cs="Arial"/>
          <w:color w:val="000000" w:themeColor="text1"/>
          <w:sz w:val="20"/>
          <w:szCs w:val="20"/>
        </w:rPr>
        <w:t>.</w:t>
      </w:r>
      <w:r w:rsidR="0033657E" w:rsidRPr="0044190B">
        <w:rPr>
          <w:rFonts w:ascii="Arial" w:hAnsi="Arial" w:cs="Arial"/>
          <w:color w:val="000000" w:themeColor="text1"/>
          <w:sz w:val="20"/>
          <w:szCs w:val="20"/>
        </w:rPr>
        <w:t>350</w:t>
      </w:r>
      <w:r w:rsidR="00362BA2" w:rsidRPr="0044190B">
        <w:rPr>
          <w:rFonts w:ascii="Arial" w:hAnsi="Arial" w:cs="Arial"/>
          <w:color w:val="000000" w:themeColor="text1"/>
          <w:sz w:val="20"/>
          <w:szCs w:val="20"/>
        </w:rPr>
        <w:t> </w:t>
      </w:r>
      <w:r w:rsidR="008E09B2" w:rsidRPr="0044190B">
        <w:rPr>
          <w:rFonts w:ascii="Arial" w:hAnsi="Arial" w:cs="Arial"/>
          <w:color w:val="000000" w:themeColor="text1"/>
          <w:sz w:val="20"/>
          <w:szCs w:val="20"/>
        </w:rPr>
        <w:t>evr</w:t>
      </w:r>
      <w:r w:rsidR="00C42744" w:rsidRPr="0044190B">
        <w:rPr>
          <w:rFonts w:ascii="Arial" w:hAnsi="Arial" w:cs="Arial"/>
          <w:color w:val="000000" w:themeColor="text1"/>
          <w:sz w:val="20"/>
          <w:szCs w:val="20"/>
        </w:rPr>
        <w:t>ov</w:t>
      </w:r>
      <w:r w:rsidR="0094461D" w:rsidRPr="0044190B">
        <w:rPr>
          <w:rFonts w:ascii="Arial" w:hAnsi="Arial" w:cs="Arial"/>
          <w:color w:val="000000" w:themeColor="text1"/>
          <w:sz w:val="20"/>
          <w:szCs w:val="20"/>
        </w:rPr>
        <w:t xml:space="preserve">. </w:t>
      </w:r>
    </w:p>
    <w:p w14:paraId="15C40269" w14:textId="2E2706C1" w:rsidR="00A102A0" w:rsidRPr="0044190B" w:rsidRDefault="00A102A0" w:rsidP="006D1A48">
      <w:pPr>
        <w:pStyle w:val="Naslov3"/>
      </w:pPr>
      <w:bookmarkStart w:id="29" w:name="_Toc175563862"/>
      <w:r w:rsidRPr="0044190B">
        <w:t xml:space="preserve">2.4.2 </w:t>
      </w:r>
      <w:r w:rsidR="009F712C" w:rsidRPr="0044190B">
        <w:t>Kategorije</w:t>
      </w:r>
      <w:r w:rsidRPr="0044190B">
        <w:t xml:space="preserve"> naročnikov</w:t>
      </w:r>
      <w:bookmarkEnd w:id="29"/>
    </w:p>
    <w:p w14:paraId="16E7AFFD" w14:textId="0158FCF1" w:rsidR="008F5893" w:rsidRPr="0044190B" w:rsidRDefault="008F5893" w:rsidP="00854405">
      <w:pPr>
        <w:pStyle w:val="ZADEVA"/>
        <w:jc w:val="both"/>
        <w:rPr>
          <w:rFonts w:cs="Arial"/>
          <w:b w:val="0"/>
          <w:color w:val="000000" w:themeColor="text1"/>
          <w:szCs w:val="20"/>
          <w:lang w:val="sl-SI"/>
        </w:rPr>
      </w:pPr>
    </w:p>
    <w:p w14:paraId="7692FCBA" w14:textId="3A6536C1" w:rsidR="00690FB0" w:rsidRPr="0044190B" w:rsidRDefault="00E1038F" w:rsidP="00690FB0">
      <w:pPr>
        <w:spacing w:line="360" w:lineRule="auto"/>
        <w:jc w:val="both"/>
        <w:rPr>
          <w:rFonts w:ascii="Arial" w:hAnsi="Arial" w:cs="Arial"/>
          <w:color w:val="000000" w:themeColor="text1"/>
          <w:sz w:val="20"/>
          <w:szCs w:val="20"/>
        </w:rPr>
      </w:pPr>
      <w:r w:rsidRPr="0044190B">
        <w:rPr>
          <w:rFonts w:ascii="Arial" w:hAnsi="Arial" w:cs="Arial"/>
          <w:color w:val="000000" w:themeColor="text1"/>
          <w:sz w:val="20"/>
          <w:szCs w:val="20"/>
        </w:rPr>
        <w:t>Najv</w:t>
      </w:r>
      <w:r w:rsidR="00B36445" w:rsidRPr="0044190B">
        <w:rPr>
          <w:rFonts w:ascii="Arial" w:hAnsi="Arial" w:cs="Arial"/>
          <w:color w:val="000000" w:themeColor="text1"/>
          <w:sz w:val="20"/>
          <w:szCs w:val="20"/>
        </w:rPr>
        <w:t>eč naročnikov, ki so let</w:t>
      </w:r>
      <w:r w:rsidR="008E09B2" w:rsidRPr="0044190B">
        <w:rPr>
          <w:rFonts w:ascii="Arial" w:hAnsi="Arial" w:cs="Arial"/>
          <w:color w:val="000000" w:themeColor="text1"/>
          <w:sz w:val="20"/>
          <w:szCs w:val="20"/>
        </w:rPr>
        <w:t>a</w:t>
      </w:r>
      <w:r w:rsidR="00B36445" w:rsidRPr="0044190B">
        <w:rPr>
          <w:rFonts w:ascii="Arial" w:hAnsi="Arial" w:cs="Arial"/>
          <w:color w:val="000000" w:themeColor="text1"/>
          <w:sz w:val="20"/>
          <w:szCs w:val="20"/>
        </w:rPr>
        <w:t xml:space="preserve"> 20</w:t>
      </w:r>
      <w:r w:rsidR="005475A5" w:rsidRPr="0044190B">
        <w:rPr>
          <w:rFonts w:ascii="Arial" w:hAnsi="Arial" w:cs="Arial"/>
          <w:color w:val="000000" w:themeColor="text1"/>
          <w:sz w:val="20"/>
          <w:szCs w:val="20"/>
        </w:rPr>
        <w:t>2</w:t>
      </w:r>
      <w:r w:rsidR="00864ACF" w:rsidRPr="0044190B">
        <w:rPr>
          <w:rFonts w:ascii="Arial" w:hAnsi="Arial" w:cs="Arial"/>
          <w:color w:val="000000" w:themeColor="text1"/>
          <w:sz w:val="20"/>
          <w:szCs w:val="20"/>
        </w:rPr>
        <w:t>3</w:t>
      </w:r>
      <w:r w:rsidRPr="0044190B">
        <w:rPr>
          <w:rFonts w:ascii="Arial" w:hAnsi="Arial" w:cs="Arial"/>
          <w:color w:val="000000" w:themeColor="text1"/>
          <w:sz w:val="20"/>
          <w:szCs w:val="20"/>
        </w:rPr>
        <w:t xml:space="preserve"> oddali naročila, je</w:t>
      </w:r>
      <w:r w:rsidR="00F66074" w:rsidRPr="0044190B">
        <w:rPr>
          <w:rFonts w:ascii="Arial" w:hAnsi="Arial" w:cs="Arial"/>
          <w:color w:val="000000" w:themeColor="text1"/>
          <w:sz w:val="20"/>
          <w:szCs w:val="20"/>
        </w:rPr>
        <w:t xml:space="preserve"> </w:t>
      </w:r>
      <w:r w:rsidRPr="0044190B">
        <w:rPr>
          <w:rFonts w:ascii="Arial" w:hAnsi="Arial" w:cs="Arial"/>
          <w:color w:val="000000" w:themeColor="text1"/>
          <w:sz w:val="20"/>
          <w:szCs w:val="20"/>
        </w:rPr>
        <w:t>javni</w:t>
      </w:r>
      <w:r w:rsidR="00B7725A" w:rsidRPr="0044190B">
        <w:rPr>
          <w:rFonts w:ascii="Arial" w:hAnsi="Arial" w:cs="Arial"/>
          <w:color w:val="000000" w:themeColor="text1"/>
          <w:sz w:val="20"/>
          <w:szCs w:val="20"/>
        </w:rPr>
        <w:t>h</w:t>
      </w:r>
      <w:r w:rsidRPr="0044190B">
        <w:rPr>
          <w:rFonts w:ascii="Arial" w:hAnsi="Arial" w:cs="Arial"/>
          <w:color w:val="000000" w:themeColor="text1"/>
          <w:sz w:val="20"/>
          <w:szCs w:val="20"/>
        </w:rPr>
        <w:t xml:space="preserve"> zavod</w:t>
      </w:r>
      <w:r w:rsidR="00B7725A" w:rsidRPr="0044190B">
        <w:rPr>
          <w:rFonts w:ascii="Arial" w:hAnsi="Arial" w:cs="Arial"/>
          <w:color w:val="000000" w:themeColor="text1"/>
          <w:sz w:val="20"/>
          <w:szCs w:val="20"/>
        </w:rPr>
        <w:t>ov</w:t>
      </w:r>
      <w:r w:rsidRPr="0044190B">
        <w:rPr>
          <w:rFonts w:ascii="Arial" w:hAnsi="Arial" w:cs="Arial"/>
          <w:color w:val="000000" w:themeColor="text1"/>
          <w:sz w:val="20"/>
          <w:szCs w:val="20"/>
        </w:rPr>
        <w:t>, najmanj pa</w:t>
      </w:r>
      <w:r w:rsidR="00D613F8" w:rsidRPr="0044190B">
        <w:rPr>
          <w:rFonts w:ascii="Arial" w:hAnsi="Arial" w:cs="Arial"/>
          <w:color w:val="000000" w:themeColor="text1"/>
          <w:sz w:val="20"/>
          <w:szCs w:val="20"/>
        </w:rPr>
        <w:t xml:space="preserve"> </w:t>
      </w:r>
      <w:r w:rsidRPr="0044190B">
        <w:rPr>
          <w:rFonts w:ascii="Arial" w:hAnsi="Arial" w:cs="Arial"/>
          <w:color w:val="000000" w:themeColor="text1"/>
          <w:sz w:val="20"/>
          <w:szCs w:val="20"/>
        </w:rPr>
        <w:t>javni</w:t>
      </w:r>
      <w:r w:rsidR="00B7725A" w:rsidRPr="0044190B">
        <w:rPr>
          <w:rFonts w:ascii="Arial" w:hAnsi="Arial" w:cs="Arial"/>
          <w:color w:val="000000" w:themeColor="text1"/>
          <w:sz w:val="20"/>
          <w:szCs w:val="20"/>
        </w:rPr>
        <w:t>h</w:t>
      </w:r>
      <w:r w:rsidRPr="0044190B">
        <w:rPr>
          <w:rFonts w:ascii="Arial" w:hAnsi="Arial" w:cs="Arial"/>
          <w:color w:val="000000" w:themeColor="text1"/>
          <w:sz w:val="20"/>
          <w:szCs w:val="20"/>
        </w:rPr>
        <w:t xml:space="preserve"> sklad</w:t>
      </w:r>
      <w:r w:rsidR="00B7725A" w:rsidRPr="0044190B">
        <w:rPr>
          <w:rFonts w:ascii="Arial" w:hAnsi="Arial" w:cs="Arial"/>
          <w:color w:val="000000" w:themeColor="text1"/>
          <w:sz w:val="20"/>
          <w:szCs w:val="20"/>
        </w:rPr>
        <w:t>ov</w:t>
      </w:r>
      <w:r w:rsidRPr="0044190B">
        <w:rPr>
          <w:rFonts w:ascii="Arial" w:hAnsi="Arial" w:cs="Arial"/>
          <w:color w:val="000000" w:themeColor="text1"/>
          <w:sz w:val="20"/>
          <w:szCs w:val="20"/>
        </w:rPr>
        <w:t xml:space="preserve">. </w:t>
      </w:r>
      <w:r w:rsidR="00B7725A" w:rsidRPr="0044190B">
        <w:rPr>
          <w:rFonts w:ascii="Arial" w:hAnsi="Arial" w:cs="Arial"/>
          <w:color w:val="000000" w:themeColor="text1"/>
          <w:sz w:val="20"/>
          <w:szCs w:val="20"/>
        </w:rPr>
        <w:t>O</w:t>
      </w:r>
      <w:r w:rsidR="00886C53" w:rsidRPr="0044190B">
        <w:rPr>
          <w:rFonts w:ascii="Arial" w:hAnsi="Arial" w:cs="Arial"/>
          <w:color w:val="000000" w:themeColor="text1"/>
          <w:sz w:val="20"/>
          <w:szCs w:val="20"/>
        </w:rPr>
        <w:t xml:space="preserve">rgani </w:t>
      </w:r>
      <w:r w:rsidR="00007116" w:rsidRPr="0044190B">
        <w:rPr>
          <w:rFonts w:ascii="Arial" w:hAnsi="Arial" w:cs="Arial"/>
          <w:color w:val="000000" w:themeColor="text1"/>
          <w:sz w:val="20"/>
          <w:szCs w:val="20"/>
        </w:rPr>
        <w:t>Republike Slovenije</w:t>
      </w:r>
      <w:r w:rsidR="00886C53" w:rsidRPr="0044190B">
        <w:rPr>
          <w:rFonts w:ascii="Arial" w:hAnsi="Arial" w:cs="Arial"/>
          <w:color w:val="000000" w:themeColor="text1"/>
          <w:sz w:val="20"/>
          <w:szCs w:val="20"/>
        </w:rPr>
        <w:t xml:space="preserve"> so </w:t>
      </w:r>
      <w:r w:rsidR="008E09B2" w:rsidRPr="0044190B">
        <w:rPr>
          <w:rFonts w:ascii="Arial" w:hAnsi="Arial" w:cs="Arial"/>
          <w:color w:val="000000" w:themeColor="text1"/>
          <w:sz w:val="20"/>
          <w:szCs w:val="20"/>
        </w:rPr>
        <w:t xml:space="preserve">leta </w:t>
      </w:r>
      <w:r w:rsidR="00886C53" w:rsidRPr="0044190B">
        <w:rPr>
          <w:rFonts w:ascii="Arial" w:hAnsi="Arial" w:cs="Arial"/>
          <w:color w:val="000000" w:themeColor="text1"/>
          <w:sz w:val="20"/>
          <w:szCs w:val="20"/>
        </w:rPr>
        <w:t>20</w:t>
      </w:r>
      <w:r w:rsidR="005475A5" w:rsidRPr="0044190B">
        <w:rPr>
          <w:rFonts w:ascii="Arial" w:hAnsi="Arial" w:cs="Arial"/>
          <w:color w:val="000000" w:themeColor="text1"/>
          <w:sz w:val="20"/>
          <w:szCs w:val="20"/>
        </w:rPr>
        <w:t>2</w:t>
      </w:r>
      <w:r w:rsidR="00864ACF" w:rsidRPr="0044190B">
        <w:rPr>
          <w:rFonts w:ascii="Arial" w:hAnsi="Arial" w:cs="Arial"/>
          <w:color w:val="000000" w:themeColor="text1"/>
          <w:sz w:val="20"/>
          <w:szCs w:val="20"/>
        </w:rPr>
        <w:t>3</w:t>
      </w:r>
      <w:r w:rsidR="005475A5" w:rsidRPr="0044190B">
        <w:rPr>
          <w:rFonts w:ascii="Arial" w:hAnsi="Arial" w:cs="Arial"/>
          <w:color w:val="000000" w:themeColor="text1"/>
          <w:sz w:val="20"/>
          <w:szCs w:val="20"/>
        </w:rPr>
        <w:t xml:space="preserve"> </w:t>
      </w:r>
      <w:r w:rsidRPr="0044190B">
        <w:rPr>
          <w:rFonts w:ascii="Arial" w:hAnsi="Arial" w:cs="Arial"/>
          <w:color w:val="000000" w:themeColor="text1"/>
          <w:sz w:val="20"/>
          <w:szCs w:val="20"/>
        </w:rPr>
        <w:t xml:space="preserve">povprečno oddali po </w:t>
      </w:r>
      <w:r w:rsidR="00864ACF" w:rsidRPr="0044190B">
        <w:rPr>
          <w:rFonts w:ascii="Arial" w:hAnsi="Arial" w:cs="Arial"/>
          <w:color w:val="000000" w:themeColor="text1"/>
          <w:sz w:val="20"/>
          <w:szCs w:val="20"/>
        </w:rPr>
        <w:t>23,6</w:t>
      </w:r>
      <w:r w:rsidR="003A15A2" w:rsidRPr="0044190B">
        <w:rPr>
          <w:rFonts w:ascii="Arial" w:hAnsi="Arial" w:cs="Arial"/>
          <w:color w:val="000000" w:themeColor="text1"/>
          <w:sz w:val="20"/>
          <w:szCs w:val="20"/>
        </w:rPr>
        <w:t xml:space="preserve"> </w:t>
      </w:r>
      <w:r w:rsidRPr="0044190B">
        <w:rPr>
          <w:rFonts w:ascii="Arial" w:hAnsi="Arial" w:cs="Arial"/>
          <w:color w:val="000000" w:themeColor="text1"/>
          <w:sz w:val="20"/>
          <w:szCs w:val="20"/>
        </w:rPr>
        <w:t>naročil</w:t>
      </w:r>
      <w:r w:rsidR="00DD02E1">
        <w:rPr>
          <w:rFonts w:ascii="Arial" w:hAnsi="Arial" w:cs="Arial"/>
          <w:color w:val="000000" w:themeColor="text1"/>
          <w:sz w:val="20"/>
          <w:szCs w:val="20"/>
        </w:rPr>
        <w:t>a</w:t>
      </w:r>
      <w:r w:rsidRPr="0044190B">
        <w:rPr>
          <w:rFonts w:ascii="Arial" w:hAnsi="Arial" w:cs="Arial"/>
          <w:color w:val="000000" w:themeColor="text1"/>
          <w:sz w:val="20"/>
          <w:szCs w:val="20"/>
        </w:rPr>
        <w:t xml:space="preserve"> v povprečni vrednosti </w:t>
      </w:r>
      <w:r w:rsidR="00864ACF" w:rsidRPr="0044190B">
        <w:rPr>
          <w:rFonts w:ascii="Arial" w:hAnsi="Arial" w:cs="Arial"/>
          <w:color w:val="000000" w:themeColor="text1"/>
          <w:sz w:val="20"/>
          <w:szCs w:val="20"/>
        </w:rPr>
        <w:t xml:space="preserve">911.403 </w:t>
      </w:r>
      <w:r w:rsidRPr="0044190B">
        <w:rPr>
          <w:rFonts w:ascii="Arial" w:hAnsi="Arial" w:cs="Arial"/>
          <w:color w:val="000000" w:themeColor="text1"/>
          <w:sz w:val="20"/>
          <w:szCs w:val="20"/>
        </w:rPr>
        <w:t>evrov</w:t>
      </w:r>
      <w:r w:rsidR="003A15A2" w:rsidRPr="0044190B">
        <w:rPr>
          <w:rFonts w:ascii="Arial" w:hAnsi="Arial" w:cs="Arial"/>
          <w:color w:val="000000" w:themeColor="text1"/>
          <w:sz w:val="20"/>
          <w:szCs w:val="20"/>
        </w:rPr>
        <w:t xml:space="preserve">. </w:t>
      </w:r>
      <w:r w:rsidRPr="0044190B">
        <w:rPr>
          <w:rFonts w:ascii="Arial" w:hAnsi="Arial" w:cs="Arial"/>
          <w:color w:val="000000" w:themeColor="text1"/>
          <w:sz w:val="20"/>
          <w:szCs w:val="20"/>
        </w:rPr>
        <w:t xml:space="preserve">Naročniki z najmanjšo povprečno vrednostjo naročila </w:t>
      </w:r>
      <w:r w:rsidR="00B7725A" w:rsidRPr="0044190B">
        <w:rPr>
          <w:rFonts w:ascii="Arial" w:hAnsi="Arial" w:cs="Arial"/>
          <w:color w:val="000000" w:themeColor="text1"/>
          <w:sz w:val="20"/>
          <w:szCs w:val="20"/>
        </w:rPr>
        <w:t>so</w:t>
      </w:r>
      <w:r w:rsidRPr="0044190B">
        <w:rPr>
          <w:rFonts w:ascii="Arial" w:hAnsi="Arial" w:cs="Arial"/>
          <w:color w:val="000000" w:themeColor="text1"/>
          <w:sz w:val="20"/>
          <w:szCs w:val="20"/>
        </w:rPr>
        <w:t xml:space="preserve"> </w:t>
      </w:r>
      <w:r w:rsidR="005475A5" w:rsidRPr="0044190B">
        <w:rPr>
          <w:rFonts w:ascii="Arial" w:hAnsi="Arial" w:cs="Arial"/>
          <w:color w:val="000000" w:themeColor="text1"/>
          <w:sz w:val="20"/>
          <w:szCs w:val="20"/>
        </w:rPr>
        <w:t>javn</w:t>
      </w:r>
      <w:r w:rsidR="00E00A5F" w:rsidRPr="0044190B">
        <w:rPr>
          <w:rFonts w:ascii="Arial" w:hAnsi="Arial" w:cs="Arial"/>
          <w:color w:val="000000" w:themeColor="text1"/>
          <w:sz w:val="20"/>
          <w:szCs w:val="20"/>
        </w:rPr>
        <w:t>i zavodi</w:t>
      </w:r>
      <w:r w:rsidR="006C6030" w:rsidRPr="0044190B">
        <w:rPr>
          <w:rFonts w:ascii="Arial" w:hAnsi="Arial" w:cs="Arial"/>
          <w:color w:val="000000" w:themeColor="text1"/>
          <w:sz w:val="20"/>
          <w:szCs w:val="20"/>
        </w:rPr>
        <w:t xml:space="preserve">, kjer je ta vrednost </w:t>
      </w:r>
      <w:r w:rsidR="00864ACF" w:rsidRPr="0044190B">
        <w:rPr>
          <w:rFonts w:ascii="Arial" w:hAnsi="Arial" w:cs="Arial"/>
          <w:color w:val="000000" w:themeColor="text1"/>
          <w:sz w:val="20"/>
          <w:szCs w:val="20"/>
        </w:rPr>
        <w:t xml:space="preserve">176.395 </w:t>
      </w:r>
      <w:r w:rsidR="006C6030" w:rsidRPr="0044190B">
        <w:rPr>
          <w:rFonts w:ascii="Arial" w:hAnsi="Arial" w:cs="Arial"/>
          <w:color w:val="000000" w:themeColor="text1"/>
          <w:sz w:val="20"/>
          <w:szCs w:val="20"/>
        </w:rPr>
        <w:t>evrov, v povprečju pa je naro</w:t>
      </w:r>
      <w:r w:rsidR="00D5063A" w:rsidRPr="0044190B">
        <w:rPr>
          <w:rFonts w:ascii="Arial" w:hAnsi="Arial" w:cs="Arial"/>
          <w:color w:val="000000" w:themeColor="text1"/>
          <w:sz w:val="20"/>
          <w:szCs w:val="20"/>
        </w:rPr>
        <w:t xml:space="preserve">čnik te kategorije oddal </w:t>
      </w:r>
      <w:r w:rsidR="00481999" w:rsidRPr="0044190B">
        <w:rPr>
          <w:rFonts w:ascii="Arial" w:hAnsi="Arial" w:cs="Arial"/>
          <w:color w:val="000000" w:themeColor="text1"/>
          <w:sz w:val="20"/>
          <w:szCs w:val="20"/>
        </w:rPr>
        <w:t>1</w:t>
      </w:r>
      <w:r w:rsidR="00864ACF" w:rsidRPr="0044190B">
        <w:rPr>
          <w:rFonts w:ascii="Arial" w:hAnsi="Arial" w:cs="Arial"/>
          <w:color w:val="000000" w:themeColor="text1"/>
          <w:sz w:val="20"/>
          <w:szCs w:val="20"/>
        </w:rPr>
        <w:t xml:space="preserve">8,1 </w:t>
      </w:r>
      <w:r w:rsidR="006C6030" w:rsidRPr="0044190B">
        <w:rPr>
          <w:rFonts w:ascii="Arial" w:hAnsi="Arial" w:cs="Arial"/>
          <w:color w:val="000000" w:themeColor="text1"/>
          <w:sz w:val="20"/>
          <w:szCs w:val="20"/>
        </w:rPr>
        <w:t>naročil</w:t>
      </w:r>
      <w:r w:rsidR="00DD02E1">
        <w:rPr>
          <w:rFonts w:ascii="Arial" w:hAnsi="Arial" w:cs="Arial"/>
          <w:color w:val="000000" w:themeColor="text1"/>
          <w:sz w:val="20"/>
          <w:szCs w:val="20"/>
        </w:rPr>
        <w:t>a</w:t>
      </w:r>
      <w:r w:rsidR="006C6030" w:rsidRPr="0044190B">
        <w:rPr>
          <w:rFonts w:ascii="Arial" w:hAnsi="Arial" w:cs="Arial"/>
          <w:color w:val="000000" w:themeColor="text1"/>
          <w:sz w:val="20"/>
          <w:szCs w:val="20"/>
        </w:rPr>
        <w:t xml:space="preserve">. </w:t>
      </w:r>
    </w:p>
    <w:p w14:paraId="53E9D919" w14:textId="025C1BFE" w:rsidR="00690FB0" w:rsidRPr="0044190B" w:rsidRDefault="00690FB0" w:rsidP="008A61FD">
      <w:pPr>
        <w:spacing w:before="120" w:after="120" w:line="240" w:lineRule="auto"/>
        <w:jc w:val="both"/>
        <w:rPr>
          <w:rFonts w:ascii="Arial" w:hAnsi="Arial" w:cs="Arial"/>
          <w:color w:val="000000" w:themeColor="text1"/>
          <w:sz w:val="20"/>
        </w:rPr>
      </w:pPr>
      <w:r w:rsidRPr="0044190B">
        <w:rPr>
          <w:rFonts w:ascii="Arial" w:hAnsi="Arial" w:cs="Arial"/>
          <w:color w:val="000000" w:themeColor="text1"/>
          <w:sz w:val="20"/>
        </w:rPr>
        <w:t xml:space="preserve">Preglednica </w:t>
      </w:r>
      <w:r w:rsidR="00EB4423" w:rsidRPr="0044190B">
        <w:rPr>
          <w:rFonts w:ascii="Arial" w:hAnsi="Arial" w:cs="Arial"/>
          <w:color w:val="000000" w:themeColor="text1"/>
          <w:sz w:val="20"/>
        </w:rPr>
        <w:t>2</w:t>
      </w:r>
      <w:r w:rsidR="00512F52" w:rsidRPr="0044190B">
        <w:rPr>
          <w:rFonts w:ascii="Arial" w:hAnsi="Arial" w:cs="Arial"/>
          <w:color w:val="000000" w:themeColor="text1"/>
          <w:sz w:val="20"/>
        </w:rPr>
        <w:t>2</w:t>
      </w:r>
      <w:r w:rsidRPr="0044190B">
        <w:rPr>
          <w:rFonts w:ascii="Arial" w:hAnsi="Arial" w:cs="Arial"/>
          <w:color w:val="000000" w:themeColor="text1"/>
          <w:sz w:val="20"/>
        </w:rPr>
        <w:t xml:space="preserve">: </w:t>
      </w:r>
      <w:r w:rsidR="009E5786" w:rsidRPr="0044190B">
        <w:rPr>
          <w:rFonts w:ascii="Arial" w:hAnsi="Arial" w:cs="Arial"/>
          <w:color w:val="000000" w:themeColor="text1"/>
          <w:sz w:val="20"/>
        </w:rPr>
        <w:t xml:space="preserve">Povprečno število naročil in povprečna vrednost naročila </w:t>
      </w:r>
      <w:r w:rsidR="0044334D" w:rsidRPr="0044190B">
        <w:rPr>
          <w:rFonts w:ascii="Arial" w:hAnsi="Arial" w:cs="Arial"/>
          <w:color w:val="000000" w:themeColor="text1"/>
          <w:sz w:val="20"/>
        </w:rPr>
        <w:t xml:space="preserve">glede na </w:t>
      </w:r>
      <w:r w:rsidR="00E1038F" w:rsidRPr="0044190B">
        <w:rPr>
          <w:rFonts w:ascii="Arial" w:hAnsi="Arial" w:cs="Arial"/>
          <w:color w:val="000000" w:themeColor="text1"/>
          <w:sz w:val="20"/>
        </w:rPr>
        <w:t>kategorijo naročnika</w:t>
      </w:r>
    </w:p>
    <w:tbl>
      <w:tblPr>
        <w:tblW w:w="9280" w:type="dxa"/>
        <w:tblCellMar>
          <w:left w:w="70" w:type="dxa"/>
          <w:right w:w="70" w:type="dxa"/>
        </w:tblCellMar>
        <w:tblLook w:val="04A0" w:firstRow="1" w:lastRow="0" w:firstColumn="1" w:lastColumn="0" w:noHBand="0" w:noVBand="1"/>
      </w:tblPr>
      <w:tblGrid>
        <w:gridCol w:w="2576"/>
        <w:gridCol w:w="1011"/>
        <w:gridCol w:w="777"/>
        <w:gridCol w:w="1422"/>
        <w:gridCol w:w="1001"/>
        <w:gridCol w:w="1117"/>
        <w:gridCol w:w="1376"/>
      </w:tblGrid>
      <w:tr w:rsidR="00FB12AB" w:rsidRPr="0044190B" w14:paraId="6DA36EC3" w14:textId="77777777" w:rsidTr="00DB7A68">
        <w:trPr>
          <w:trHeight w:val="255"/>
        </w:trPr>
        <w:tc>
          <w:tcPr>
            <w:tcW w:w="2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8A6A78" w14:textId="00837F72" w:rsidR="005475A5" w:rsidRPr="0044190B" w:rsidRDefault="005475A5" w:rsidP="005475A5">
            <w:pPr>
              <w:spacing w:after="0" w:line="240" w:lineRule="auto"/>
              <w:jc w:val="center"/>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Kategorija naročnika</w:t>
            </w:r>
          </w:p>
        </w:tc>
        <w:tc>
          <w:tcPr>
            <w:tcW w:w="101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234632" w14:textId="77777777" w:rsidR="005475A5" w:rsidRPr="0044190B" w:rsidRDefault="005475A5" w:rsidP="005475A5">
            <w:pPr>
              <w:spacing w:after="0" w:line="240" w:lineRule="auto"/>
              <w:jc w:val="center"/>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Št. naročnikov</w:t>
            </w:r>
          </w:p>
        </w:tc>
        <w:tc>
          <w:tcPr>
            <w:tcW w:w="7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48ECBD" w14:textId="77777777" w:rsidR="005475A5" w:rsidRPr="0044190B" w:rsidRDefault="005475A5" w:rsidP="005475A5">
            <w:pPr>
              <w:spacing w:after="0" w:line="240" w:lineRule="auto"/>
              <w:jc w:val="center"/>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Št. naročil</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AF032D" w14:textId="18D9EAAC" w:rsidR="005475A5" w:rsidRPr="0044190B" w:rsidRDefault="005475A5" w:rsidP="005475A5">
            <w:pPr>
              <w:spacing w:after="0" w:line="240" w:lineRule="auto"/>
              <w:jc w:val="center"/>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Pogodbena vrednost</w:t>
            </w:r>
            <w:r w:rsidR="00F36C50" w:rsidRPr="0044190B">
              <w:rPr>
                <w:rFonts w:ascii="Arial" w:eastAsia="Times New Roman" w:hAnsi="Arial" w:cs="Arial"/>
                <w:color w:val="000000" w:themeColor="text1"/>
                <w:sz w:val="18"/>
                <w:szCs w:val="18"/>
                <w:lang w:eastAsia="sl-SI"/>
              </w:rPr>
              <w:t xml:space="preserve"> (v EUR)</w:t>
            </w:r>
          </w:p>
        </w:tc>
        <w:tc>
          <w:tcPr>
            <w:tcW w:w="10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199A36" w14:textId="77777777" w:rsidR="005475A5" w:rsidRPr="0044190B" w:rsidRDefault="005475A5" w:rsidP="005475A5">
            <w:pPr>
              <w:spacing w:after="0" w:line="240" w:lineRule="auto"/>
              <w:jc w:val="center"/>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Povprečno št. naročil na naročnika</w:t>
            </w:r>
          </w:p>
        </w:tc>
        <w:tc>
          <w:tcPr>
            <w:tcW w:w="11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3DBA53" w14:textId="0656E5E8" w:rsidR="005475A5" w:rsidRPr="0044190B" w:rsidRDefault="005475A5" w:rsidP="005475A5">
            <w:pPr>
              <w:spacing w:after="0" w:line="240" w:lineRule="auto"/>
              <w:jc w:val="center"/>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Povprečna vrednost naročila na naročnika</w:t>
            </w:r>
            <w:r w:rsidR="00F36C50" w:rsidRPr="0044190B">
              <w:rPr>
                <w:rFonts w:ascii="Arial" w:eastAsia="Times New Roman" w:hAnsi="Arial" w:cs="Arial"/>
                <w:color w:val="000000" w:themeColor="text1"/>
                <w:sz w:val="18"/>
                <w:szCs w:val="18"/>
                <w:lang w:eastAsia="sl-SI"/>
              </w:rPr>
              <w:t xml:space="preserve"> (v EUR)</w:t>
            </w:r>
          </w:p>
        </w:tc>
        <w:tc>
          <w:tcPr>
            <w:tcW w:w="13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21B82E" w14:textId="2D3BAF14" w:rsidR="005475A5" w:rsidRPr="0044190B" w:rsidRDefault="005475A5" w:rsidP="005475A5">
            <w:pPr>
              <w:spacing w:after="0" w:line="240" w:lineRule="auto"/>
              <w:jc w:val="center"/>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Povprečna vrednost posameznega naročila</w:t>
            </w:r>
            <w:r w:rsidR="00F36C50" w:rsidRPr="0044190B">
              <w:rPr>
                <w:rFonts w:ascii="Arial" w:eastAsia="Times New Roman" w:hAnsi="Arial" w:cs="Arial"/>
                <w:color w:val="000000" w:themeColor="text1"/>
                <w:sz w:val="18"/>
                <w:szCs w:val="18"/>
                <w:lang w:eastAsia="sl-SI"/>
              </w:rPr>
              <w:t xml:space="preserve"> (v EUR)</w:t>
            </w:r>
            <w:r w:rsidRPr="0044190B">
              <w:rPr>
                <w:rFonts w:ascii="Arial" w:eastAsia="Times New Roman" w:hAnsi="Arial" w:cs="Arial"/>
                <w:color w:val="000000" w:themeColor="text1"/>
                <w:sz w:val="18"/>
                <w:szCs w:val="18"/>
                <w:lang w:eastAsia="sl-SI"/>
              </w:rPr>
              <w:t xml:space="preserve"> </w:t>
            </w:r>
          </w:p>
        </w:tc>
      </w:tr>
      <w:tr w:rsidR="0044190B" w:rsidRPr="0044190B" w14:paraId="455F647A" w14:textId="77777777" w:rsidTr="0044190B">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31DD1591" w14:textId="05602C29" w:rsidR="0044190B" w:rsidRPr="0044190B" w:rsidRDefault="0044190B" w:rsidP="0044190B">
            <w:pPr>
              <w:spacing w:after="0" w:line="240" w:lineRule="auto"/>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Organi Republike Slovenije</w:t>
            </w:r>
          </w:p>
        </w:tc>
        <w:tc>
          <w:tcPr>
            <w:tcW w:w="1011" w:type="dxa"/>
            <w:tcBorders>
              <w:top w:val="nil"/>
              <w:left w:val="nil"/>
              <w:bottom w:val="single" w:sz="4" w:space="0" w:color="auto"/>
              <w:right w:val="single" w:sz="4" w:space="0" w:color="auto"/>
            </w:tcBorders>
            <w:shd w:val="clear" w:color="auto" w:fill="auto"/>
            <w:vAlign w:val="center"/>
            <w:hideMark/>
          </w:tcPr>
          <w:p w14:paraId="099136B8" w14:textId="32EF2261"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77</w:t>
            </w:r>
          </w:p>
        </w:tc>
        <w:tc>
          <w:tcPr>
            <w:tcW w:w="777" w:type="dxa"/>
            <w:tcBorders>
              <w:top w:val="nil"/>
              <w:left w:val="nil"/>
              <w:bottom w:val="single" w:sz="4" w:space="0" w:color="auto"/>
              <w:right w:val="single" w:sz="4" w:space="0" w:color="auto"/>
            </w:tcBorders>
            <w:shd w:val="clear" w:color="auto" w:fill="auto"/>
            <w:vAlign w:val="center"/>
            <w:hideMark/>
          </w:tcPr>
          <w:p w14:paraId="22ECD88F" w14:textId="39AAFF27"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1.818</w:t>
            </w:r>
          </w:p>
        </w:tc>
        <w:tc>
          <w:tcPr>
            <w:tcW w:w="1422" w:type="dxa"/>
            <w:tcBorders>
              <w:top w:val="nil"/>
              <w:left w:val="nil"/>
              <w:bottom w:val="single" w:sz="4" w:space="0" w:color="auto"/>
              <w:right w:val="single" w:sz="4" w:space="0" w:color="auto"/>
            </w:tcBorders>
            <w:shd w:val="clear" w:color="auto" w:fill="auto"/>
            <w:vAlign w:val="center"/>
            <w:hideMark/>
          </w:tcPr>
          <w:p w14:paraId="733CA3C3" w14:textId="7B451C5D"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1.656.930.717</w:t>
            </w:r>
          </w:p>
        </w:tc>
        <w:tc>
          <w:tcPr>
            <w:tcW w:w="1001" w:type="dxa"/>
            <w:tcBorders>
              <w:top w:val="nil"/>
              <w:left w:val="nil"/>
              <w:bottom w:val="single" w:sz="4" w:space="0" w:color="auto"/>
              <w:right w:val="single" w:sz="4" w:space="0" w:color="auto"/>
            </w:tcBorders>
            <w:shd w:val="clear" w:color="auto" w:fill="auto"/>
            <w:vAlign w:val="center"/>
          </w:tcPr>
          <w:p w14:paraId="78636A6B" w14:textId="05EE4B58"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23,6</w:t>
            </w:r>
          </w:p>
        </w:tc>
        <w:tc>
          <w:tcPr>
            <w:tcW w:w="1117" w:type="dxa"/>
            <w:tcBorders>
              <w:top w:val="nil"/>
              <w:left w:val="nil"/>
              <w:bottom w:val="single" w:sz="4" w:space="0" w:color="auto"/>
              <w:right w:val="single" w:sz="4" w:space="0" w:color="auto"/>
            </w:tcBorders>
            <w:shd w:val="clear" w:color="auto" w:fill="auto"/>
            <w:vAlign w:val="center"/>
          </w:tcPr>
          <w:p w14:paraId="18F6915F" w14:textId="21CD2DE9"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21.518.581</w:t>
            </w:r>
          </w:p>
        </w:tc>
        <w:tc>
          <w:tcPr>
            <w:tcW w:w="1376" w:type="dxa"/>
            <w:tcBorders>
              <w:top w:val="nil"/>
              <w:left w:val="nil"/>
              <w:bottom w:val="single" w:sz="4" w:space="0" w:color="auto"/>
              <w:right w:val="single" w:sz="4" w:space="0" w:color="auto"/>
            </w:tcBorders>
            <w:shd w:val="clear" w:color="auto" w:fill="auto"/>
            <w:vAlign w:val="center"/>
          </w:tcPr>
          <w:p w14:paraId="46339EC9" w14:textId="57670D4C"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911.403</w:t>
            </w:r>
          </w:p>
        </w:tc>
      </w:tr>
      <w:tr w:rsidR="0044190B" w:rsidRPr="0044190B" w14:paraId="3708C983" w14:textId="77777777" w:rsidTr="0044190B">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779E85E4" w14:textId="77777777" w:rsidR="0044190B" w:rsidRPr="0044190B" w:rsidRDefault="0044190B" w:rsidP="0044190B">
            <w:pPr>
              <w:spacing w:after="0" w:line="240" w:lineRule="auto"/>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Samoupravne lokalne skupnosti</w:t>
            </w:r>
          </w:p>
        </w:tc>
        <w:tc>
          <w:tcPr>
            <w:tcW w:w="1011" w:type="dxa"/>
            <w:tcBorders>
              <w:top w:val="nil"/>
              <w:left w:val="nil"/>
              <w:bottom w:val="single" w:sz="4" w:space="0" w:color="auto"/>
              <w:right w:val="single" w:sz="4" w:space="0" w:color="auto"/>
            </w:tcBorders>
            <w:shd w:val="clear" w:color="auto" w:fill="auto"/>
            <w:vAlign w:val="center"/>
            <w:hideMark/>
          </w:tcPr>
          <w:p w14:paraId="17837969" w14:textId="20E4375C"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200</w:t>
            </w:r>
          </w:p>
        </w:tc>
        <w:tc>
          <w:tcPr>
            <w:tcW w:w="777" w:type="dxa"/>
            <w:tcBorders>
              <w:top w:val="nil"/>
              <w:left w:val="nil"/>
              <w:bottom w:val="single" w:sz="4" w:space="0" w:color="auto"/>
              <w:right w:val="single" w:sz="4" w:space="0" w:color="auto"/>
            </w:tcBorders>
            <w:shd w:val="clear" w:color="auto" w:fill="auto"/>
            <w:vAlign w:val="center"/>
            <w:hideMark/>
          </w:tcPr>
          <w:p w14:paraId="29D5751B" w14:textId="26B5070A"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1.807</w:t>
            </w:r>
          </w:p>
        </w:tc>
        <w:tc>
          <w:tcPr>
            <w:tcW w:w="1422" w:type="dxa"/>
            <w:tcBorders>
              <w:top w:val="nil"/>
              <w:left w:val="nil"/>
              <w:bottom w:val="single" w:sz="4" w:space="0" w:color="auto"/>
              <w:right w:val="single" w:sz="4" w:space="0" w:color="auto"/>
            </w:tcBorders>
            <w:shd w:val="clear" w:color="auto" w:fill="auto"/>
            <w:vAlign w:val="center"/>
            <w:hideMark/>
          </w:tcPr>
          <w:p w14:paraId="7CFA5CFA" w14:textId="4F079F1C"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805.933.533</w:t>
            </w:r>
          </w:p>
        </w:tc>
        <w:tc>
          <w:tcPr>
            <w:tcW w:w="1001" w:type="dxa"/>
            <w:tcBorders>
              <w:top w:val="nil"/>
              <w:left w:val="nil"/>
              <w:bottom w:val="single" w:sz="4" w:space="0" w:color="auto"/>
              <w:right w:val="single" w:sz="4" w:space="0" w:color="auto"/>
            </w:tcBorders>
            <w:shd w:val="clear" w:color="auto" w:fill="auto"/>
            <w:vAlign w:val="center"/>
          </w:tcPr>
          <w:p w14:paraId="2BCDF0A9" w14:textId="27760BA8"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9,0</w:t>
            </w:r>
          </w:p>
        </w:tc>
        <w:tc>
          <w:tcPr>
            <w:tcW w:w="1117" w:type="dxa"/>
            <w:tcBorders>
              <w:top w:val="nil"/>
              <w:left w:val="nil"/>
              <w:bottom w:val="single" w:sz="4" w:space="0" w:color="auto"/>
              <w:right w:val="single" w:sz="4" w:space="0" w:color="auto"/>
            </w:tcBorders>
            <w:shd w:val="clear" w:color="auto" w:fill="auto"/>
            <w:vAlign w:val="center"/>
          </w:tcPr>
          <w:p w14:paraId="16965764" w14:textId="76A9E6D9"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4.029.668</w:t>
            </w:r>
          </w:p>
        </w:tc>
        <w:tc>
          <w:tcPr>
            <w:tcW w:w="1376" w:type="dxa"/>
            <w:tcBorders>
              <w:top w:val="nil"/>
              <w:left w:val="nil"/>
              <w:bottom w:val="single" w:sz="4" w:space="0" w:color="auto"/>
              <w:right w:val="single" w:sz="4" w:space="0" w:color="auto"/>
            </w:tcBorders>
            <w:shd w:val="clear" w:color="auto" w:fill="auto"/>
            <w:vAlign w:val="center"/>
          </w:tcPr>
          <w:p w14:paraId="20A3628F" w14:textId="6F0A0339"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446.006</w:t>
            </w:r>
          </w:p>
        </w:tc>
      </w:tr>
      <w:tr w:rsidR="0044190B" w:rsidRPr="0044190B" w14:paraId="28CD3DD7" w14:textId="77777777" w:rsidTr="0044190B">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67277DF4" w14:textId="77777777" w:rsidR="0044190B" w:rsidRPr="0044190B" w:rsidRDefault="0044190B" w:rsidP="0044190B">
            <w:pPr>
              <w:spacing w:after="0" w:line="240" w:lineRule="auto"/>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Javni skladi</w:t>
            </w:r>
          </w:p>
        </w:tc>
        <w:tc>
          <w:tcPr>
            <w:tcW w:w="1011" w:type="dxa"/>
            <w:tcBorders>
              <w:top w:val="nil"/>
              <w:left w:val="nil"/>
              <w:bottom w:val="single" w:sz="4" w:space="0" w:color="auto"/>
              <w:right w:val="single" w:sz="4" w:space="0" w:color="auto"/>
            </w:tcBorders>
            <w:shd w:val="clear" w:color="auto" w:fill="auto"/>
            <w:vAlign w:val="center"/>
            <w:hideMark/>
          </w:tcPr>
          <w:p w14:paraId="7117F1E6" w14:textId="1DF94060"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9</w:t>
            </w:r>
          </w:p>
        </w:tc>
        <w:tc>
          <w:tcPr>
            <w:tcW w:w="777" w:type="dxa"/>
            <w:tcBorders>
              <w:top w:val="nil"/>
              <w:left w:val="nil"/>
              <w:bottom w:val="single" w:sz="4" w:space="0" w:color="auto"/>
              <w:right w:val="single" w:sz="4" w:space="0" w:color="auto"/>
            </w:tcBorders>
            <w:shd w:val="clear" w:color="auto" w:fill="auto"/>
            <w:vAlign w:val="center"/>
            <w:hideMark/>
          </w:tcPr>
          <w:p w14:paraId="3EA7F2D9" w14:textId="46CFD2FA"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65</w:t>
            </w:r>
          </w:p>
        </w:tc>
        <w:tc>
          <w:tcPr>
            <w:tcW w:w="1422" w:type="dxa"/>
            <w:tcBorders>
              <w:top w:val="nil"/>
              <w:left w:val="nil"/>
              <w:bottom w:val="single" w:sz="4" w:space="0" w:color="auto"/>
              <w:right w:val="single" w:sz="4" w:space="0" w:color="auto"/>
            </w:tcBorders>
            <w:shd w:val="clear" w:color="auto" w:fill="auto"/>
            <w:vAlign w:val="center"/>
            <w:hideMark/>
          </w:tcPr>
          <w:p w14:paraId="4C1C570F" w14:textId="299A1609"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34.475.057</w:t>
            </w:r>
          </w:p>
        </w:tc>
        <w:tc>
          <w:tcPr>
            <w:tcW w:w="1001" w:type="dxa"/>
            <w:tcBorders>
              <w:top w:val="nil"/>
              <w:left w:val="nil"/>
              <w:bottom w:val="single" w:sz="4" w:space="0" w:color="auto"/>
              <w:right w:val="single" w:sz="4" w:space="0" w:color="auto"/>
            </w:tcBorders>
            <w:shd w:val="clear" w:color="auto" w:fill="auto"/>
            <w:vAlign w:val="center"/>
          </w:tcPr>
          <w:p w14:paraId="7644A753" w14:textId="6E2A8D3A"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7,2</w:t>
            </w:r>
          </w:p>
        </w:tc>
        <w:tc>
          <w:tcPr>
            <w:tcW w:w="1117" w:type="dxa"/>
            <w:tcBorders>
              <w:top w:val="nil"/>
              <w:left w:val="nil"/>
              <w:bottom w:val="single" w:sz="4" w:space="0" w:color="auto"/>
              <w:right w:val="single" w:sz="4" w:space="0" w:color="auto"/>
            </w:tcBorders>
            <w:shd w:val="clear" w:color="auto" w:fill="auto"/>
            <w:vAlign w:val="center"/>
          </w:tcPr>
          <w:p w14:paraId="42D402EE" w14:textId="7178DD15"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3.830.562</w:t>
            </w:r>
          </w:p>
        </w:tc>
        <w:tc>
          <w:tcPr>
            <w:tcW w:w="1376" w:type="dxa"/>
            <w:tcBorders>
              <w:top w:val="nil"/>
              <w:left w:val="nil"/>
              <w:bottom w:val="single" w:sz="4" w:space="0" w:color="auto"/>
              <w:right w:val="single" w:sz="4" w:space="0" w:color="auto"/>
            </w:tcBorders>
            <w:shd w:val="clear" w:color="auto" w:fill="auto"/>
            <w:vAlign w:val="center"/>
          </w:tcPr>
          <w:p w14:paraId="5A812DF7" w14:textId="44C667F0"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530.385</w:t>
            </w:r>
          </w:p>
        </w:tc>
      </w:tr>
      <w:tr w:rsidR="0044190B" w:rsidRPr="0044190B" w14:paraId="1F201861" w14:textId="77777777" w:rsidTr="0044190B">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64CA242A" w14:textId="77777777" w:rsidR="0044190B" w:rsidRPr="0044190B" w:rsidRDefault="0044190B" w:rsidP="0044190B">
            <w:pPr>
              <w:spacing w:after="0" w:line="240" w:lineRule="auto"/>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Javne agencije</w:t>
            </w:r>
          </w:p>
        </w:tc>
        <w:tc>
          <w:tcPr>
            <w:tcW w:w="1011" w:type="dxa"/>
            <w:tcBorders>
              <w:top w:val="nil"/>
              <w:left w:val="nil"/>
              <w:bottom w:val="single" w:sz="4" w:space="0" w:color="auto"/>
              <w:right w:val="single" w:sz="4" w:space="0" w:color="auto"/>
            </w:tcBorders>
            <w:shd w:val="clear" w:color="auto" w:fill="auto"/>
            <w:vAlign w:val="center"/>
            <w:hideMark/>
          </w:tcPr>
          <w:p w14:paraId="39DA4EE7" w14:textId="49868663"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14</w:t>
            </w:r>
          </w:p>
        </w:tc>
        <w:tc>
          <w:tcPr>
            <w:tcW w:w="777" w:type="dxa"/>
            <w:tcBorders>
              <w:top w:val="nil"/>
              <w:left w:val="nil"/>
              <w:bottom w:val="single" w:sz="4" w:space="0" w:color="auto"/>
              <w:right w:val="single" w:sz="4" w:space="0" w:color="auto"/>
            </w:tcBorders>
            <w:shd w:val="clear" w:color="auto" w:fill="auto"/>
            <w:vAlign w:val="center"/>
            <w:hideMark/>
          </w:tcPr>
          <w:p w14:paraId="0711C020" w14:textId="5C02CA86"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144</w:t>
            </w:r>
          </w:p>
        </w:tc>
        <w:tc>
          <w:tcPr>
            <w:tcW w:w="1422" w:type="dxa"/>
            <w:tcBorders>
              <w:top w:val="nil"/>
              <w:left w:val="nil"/>
              <w:bottom w:val="single" w:sz="4" w:space="0" w:color="auto"/>
              <w:right w:val="single" w:sz="4" w:space="0" w:color="auto"/>
            </w:tcBorders>
            <w:shd w:val="clear" w:color="auto" w:fill="auto"/>
            <w:vAlign w:val="center"/>
            <w:hideMark/>
          </w:tcPr>
          <w:p w14:paraId="4F0434AF" w14:textId="5C2856B6"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25.904.074</w:t>
            </w:r>
          </w:p>
        </w:tc>
        <w:tc>
          <w:tcPr>
            <w:tcW w:w="1001" w:type="dxa"/>
            <w:tcBorders>
              <w:top w:val="nil"/>
              <w:left w:val="nil"/>
              <w:bottom w:val="single" w:sz="4" w:space="0" w:color="auto"/>
              <w:right w:val="single" w:sz="4" w:space="0" w:color="auto"/>
            </w:tcBorders>
            <w:shd w:val="clear" w:color="auto" w:fill="auto"/>
            <w:vAlign w:val="center"/>
          </w:tcPr>
          <w:p w14:paraId="6F660C17" w14:textId="0A8E3F07"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10,3</w:t>
            </w:r>
          </w:p>
        </w:tc>
        <w:tc>
          <w:tcPr>
            <w:tcW w:w="1117" w:type="dxa"/>
            <w:tcBorders>
              <w:top w:val="nil"/>
              <w:left w:val="nil"/>
              <w:bottom w:val="single" w:sz="4" w:space="0" w:color="auto"/>
              <w:right w:val="single" w:sz="4" w:space="0" w:color="auto"/>
            </w:tcBorders>
            <w:shd w:val="clear" w:color="auto" w:fill="auto"/>
            <w:vAlign w:val="center"/>
          </w:tcPr>
          <w:p w14:paraId="38EACB7D" w14:textId="0E14A50C"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1.850.291</w:t>
            </w:r>
          </w:p>
        </w:tc>
        <w:tc>
          <w:tcPr>
            <w:tcW w:w="1376" w:type="dxa"/>
            <w:tcBorders>
              <w:top w:val="nil"/>
              <w:left w:val="nil"/>
              <w:bottom w:val="single" w:sz="4" w:space="0" w:color="auto"/>
              <w:right w:val="single" w:sz="4" w:space="0" w:color="auto"/>
            </w:tcBorders>
            <w:shd w:val="clear" w:color="auto" w:fill="auto"/>
            <w:vAlign w:val="center"/>
          </w:tcPr>
          <w:p w14:paraId="228D3B13" w14:textId="490C64FF"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179.889</w:t>
            </w:r>
          </w:p>
        </w:tc>
      </w:tr>
      <w:tr w:rsidR="0044190B" w:rsidRPr="0044190B" w14:paraId="756A182F" w14:textId="77777777" w:rsidTr="0044190B">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2D53F7DD" w14:textId="77777777" w:rsidR="0044190B" w:rsidRPr="0044190B" w:rsidRDefault="0044190B" w:rsidP="0044190B">
            <w:pPr>
              <w:spacing w:after="0" w:line="240" w:lineRule="auto"/>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Javni zavodi</w:t>
            </w:r>
          </w:p>
        </w:tc>
        <w:tc>
          <w:tcPr>
            <w:tcW w:w="1011" w:type="dxa"/>
            <w:tcBorders>
              <w:top w:val="nil"/>
              <w:left w:val="nil"/>
              <w:bottom w:val="single" w:sz="4" w:space="0" w:color="auto"/>
              <w:right w:val="single" w:sz="4" w:space="0" w:color="auto"/>
            </w:tcBorders>
            <w:shd w:val="clear" w:color="auto" w:fill="auto"/>
            <w:vAlign w:val="center"/>
            <w:hideMark/>
          </w:tcPr>
          <w:p w14:paraId="09589CB9" w14:textId="377240B0"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493</w:t>
            </w:r>
          </w:p>
        </w:tc>
        <w:tc>
          <w:tcPr>
            <w:tcW w:w="777" w:type="dxa"/>
            <w:tcBorders>
              <w:top w:val="nil"/>
              <w:left w:val="nil"/>
              <w:bottom w:val="single" w:sz="4" w:space="0" w:color="auto"/>
              <w:right w:val="single" w:sz="4" w:space="0" w:color="auto"/>
            </w:tcBorders>
            <w:shd w:val="clear" w:color="auto" w:fill="auto"/>
            <w:vAlign w:val="center"/>
            <w:hideMark/>
          </w:tcPr>
          <w:p w14:paraId="27812AF8" w14:textId="3DDB2B65"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8.901</w:t>
            </w:r>
          </w:p>
        </w:tc>
        <w:tc>
          <w:tcPr>
            <w:tcW w:w="1422" w:type="dxa"/>
            <w:tcBorders>
              <w:top w:val="nil"/>
              <w:left w:val="nil"/>
              <w:bottom w:val="single" w:sz="4" w:space="0" w:color="auto"/>
              <w:right w:val="single" w:sz="4" w:space="0" w:color="auto"/>
            </w:tcBorders>
            <w:shd w:val="clear" w:color="auto" w:fill="auto"/>
            <w:vAlign w:val="center"/>
            <w:hideMark/>
          </w:tcPr>
          <w:p w14:paraId="215A23B1" w14:textId="11A13568"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1.570.094.335</w:t>
            </w:r>
          </w:p>
        </w:tc>
        <w:tc>
          <w:tcPr>
            <w:tcW w:w="1001" w:type="dxa"/>
            <w:tcBorders>
              <w:top w:val="nil"/>
              <w:left w:val="nil"/>
              <w:bottom w:val="single" w:sz="4" w:space="0" w:color="auto"/>
              <w:right w:val="single" w:sz="4" w:space="0" w:color="auto"/>
            </w:tcBorders>
            <w:shd w:val="clear" w:color="auto" w:fill="auto"/>
            <w:vAlign w:val="center"/>
          </w:tcPr>
          <w:p w14:paraId="1A180E9A" w14:textId="7B8B67D8"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18,1</w:t>
            </w:r>
          </w:p>
        </w:tc>
        <w:tc>
          <w:tcPr>
            <w:tcW w:w="1117" w:type="dxa"/>
            <w:tcBorders>
              <w:top w:val="nil"/>
              <w:left w:val="nil"/>
              <w:bottom w:val="single" w:sz="4" w:space="0" w:color="auto"/>
              <w:right w:val="single" w:sz="4" w:space="0" w:color="auto"/>
            </w:tcBorders>
            <w:shd w:val="clear" w:color="auto" w:fill="auto"/>
            <w:vAlign w:val="center"/>
          </w:tcPr>
          <w:p w14:paraId="27F4E07F" w14:textId="2E1BC82D"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3.184.776</w:t>
            </w:r>
          </w:p>
        </w:tc>
        <w:tc>
          <w:tcPr>
            <w:tcW w:w="1376" w:type="dxa"/>
            <w:tcBorders>
              <w:top w:val="nil"/>
              <w:left w:val="nil"/>
              <w:bottom w:val="single" w:sz="4" w:space="0" w:color="auto"/>
              <w:right w:val="single" w:sz="4" w:space="0" w:color="auto"/>
            </w:tcBorders>
            <w:shd w:val="clear" w:color="auto" w:fill="auto"/>
            <w:vAlign w:val="center"/>
          </w:tcPr>
          <w:p w14:paraId="7855249A" w14:textId="7ADB1FD0"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176.395</w:t>
            </w:r>
          </w:p>
        </w:tc>
      </w:tr>
      <w:tr w:rsidR="0044190B" w:rsidRPr="0044190B" w14:paraId="25AF41BF" w14:textId="77777777" w:rsidTr="0044190B">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022EC72D" w14:textId="77777777" w:rsidR="0044190B" w:rsidRPr="0044190B" w:rsidRDefault="0044190B" w:rsidP="0044190B">
            <w:pPr>
              <w:spacing w:after="0" w:line="240" w:lineRule="auto"/>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Javni gospodarski zavodi</w:t>
            </w:r>
          </w:p>
        </w:tc>
        <w:tc>
          <w:tcPr>
            <w:tcW w:w="1011" w:type="dxa"/>
            <w:tcBorders>
              <w:top w:val="nil"/>
              <w:left w:val="nil"/>
              <w:bottom w:val="single" w:sz="4" w:space="0" w:color="auto"/>
              <w:right w:val="single" w:sz="4" w:space="0" w:color="auto"/>
            </w:tcBorders>
            <w:shd w:val="clear" w:color="auto" w:fill="auto"/>
            <w:vAlign w:val="center"/>
            <w:hideMark/>
          </w:tcPr>
          <w:p w14:paraId="579BC5D0" w14:textId="7B02E31E"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12</w:t>
            </w:r>
          </w:p>
        </w:tc>
        <w:tc>
          <w:tcPr>
            <w:tcW w:w="777" w:type="dxa"/>
            <w:tcBorders>
              <w:top w:val="nil"/>
              <w:left w:val="nil"/>
              <w:bottom w:val="single" w:sz="4" w:space="0" w:color="auto"/>
              <w:right w:val="single" w:sz="4" w:space="0" w:color="auto"/>
            </w:tcBorders>
            <w:shd w:val="clear" w:color="auto" w:fill="auto"/>
            <w:vAlign w:val="center"/>
            <w:hideMark/>
          </w:tcPr>
          <w:p w14:paraId="0E00ACD0" w14:textId="108D3921"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80</w:t>
            </w:r>
          </w:p>
        </w:tc>
        <w:tc>
          <w:tcPr>
            <w:tcW w:w="1422" w:type="dxa"/>
            <w:tcBorders>
              <w:top w:val="nil"/>
              <w:left w:val="nil"/>
              <w:bottom w:val="single" w:sz="4" w:space="0" w:color="auto"/>
              <w:right w:val="single" w:sz="4" w:space="0" w:color="auto"/>
            </w:tcBorders>
            <w:shd w:val="clear" w:color="auto" w:fill="auto"/>
            <w:vAlign w:val="center"/>
            <w:hideMark/>
          </w:tcPr>
          <w:p w14:paraId="4AF24F6D" w14:textId="5BAB2E7B"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16.319.497</w:t>
            </w:r>
          </w:p>
        </w:tc>
        <w:tc>
          <w:tcPr>
            <w:tcW w:w="1001" w:type="dxa"/>
            <w:tcBorders>
              <w:top w:val="nil"/>
              <w:left w:val="nil"/>
              <w:bottom w:val="single" w:sz="4" w:space="0" w:color="auto"/>
              <w:right w:val="single" w:sz="4" w:space="0" w:color="auto"/>
            </w:tcBorders>
            <w:shd w:val="clear" w:color="auto" w:fill="auto"/>
            <w:vAlign w:val="center"/>
          </w:tcPr>
          <w:p w14:paraId="4CDDD45A" w14:textId="43607AFA"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6,7</w:t>
            </w:r>
          </w:p>
        </w:tc>
        <w:tc>
          <w:tcPr>
            <w:tcW w:w="1117" w:type="dxa"/>
            <w:tcBorders>
              <w:top w:val="nil"/>
              <w:left w:val="nil"/>
              <w:bottom w:val="single" w:sz="4" w:space="0" w:color="auto"/>
              <w:right w:val="single" w:sz="4" w:space="0" w:color="auto"/>
            </w:tcBorders>
            <w:shd w:val="clear" w:color="auto" w:fill="auto"/>
            <w:vAlign w:val="center"/>
          </w:tcPr>
          <w:p w14:paraId="75284CAB" w14:textId="675AB1F1"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1.359.958</w:t>
            </w:r>
          </w:p>
        </w:tc>
        <w:tc>
          <w:tcPr>
            <w:tcW w:w="1376" w:type="dxa"/>
            <w:tcBorders>
              <w:top w:val="nil"/>
              <w:left w:val="nil"/>
              <w:bottom w:val="single" w:sz="4" w:space="0" w:color="auto"/>
              <w:right w:val="single" w:sz="4" w:space="0" w:color="auto"/>
            </w:tcBorders>
            <w:shd w:val="clear" w:color="auto" w:fill="auto"/>
            <w:vAlign w:val="center"/>
          </w:tcPr>
          <w:p w14:paraId="2612435E" w14:textId="1D6964B0"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203.994</w:t>
            </w:r>
          </w:p>
        </w:tc>
      </w:tr>
      <w:tr w:rsidR="0044190B" w:rsidRPr="0044190B" w14:paraId="30065BE5" w14:textId="77777777" w:rsidTr="0044190B">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4F79F2A2" w14:textId="77777777" w:rsidR="0044190B" w:rsidRPr="0044190B" w:rsidRDefault="0044190B" w:rsidP="0044190B">
            <w:pPr>
              <w:spacing w:after="0" w:line="240" w:lineRule="auto"/>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 xml:space="preserve">Drugi naročniki (osebe javnega prava, javna podjetja, subjekt s posebnimi infrastrukturnimi pravicami) </w:t>
            </w:r>
          </w:p>
        </w:tc>
        <w:tc>
          <w:tcPr>
            <w:tcW w:w="1011" w:type="dxa"/>
            <w:tcBorders>
              <w:top w:val="nil"/>
              <w:left w:val="nil"/>
              <w:bottom w:val="single" w:sz="4" w:space="0" w:color="auto"/>
              <w:right w:val="single" w:sz="4" w:space="0" w:color="auto"/>
            </w:tcBorders>
            <w:shd w:val="clear" w:color="auto" w:fill="auto"/>
            <w:vAlign w:val="center"/>
            <w:hideMark/>
          </w:tcPr>
          <w:p w14:paraId="145E1E2D" w14:textId="280C2C7F"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135</w:t>
            </w:r>
          </w:p>
        </w:tc>
        <w:tc>
          <w:tcPr>
            <w:tcW w:w="777" w:type="dxa"/>
            <w:tcBorders>
              <w:top w:val="nil"/>
              <w:left w:val="nil"/>
              <w:bottom w:val="single" w:sz="4" w:space="0" w:color="auto"/>
              <w:right w:val="single" w:sz="4" w:space="0" w:color="auto"/>
            </w:tcBorders>
            <w:shd w:val="clear" w:color="auto" w:fill="auto"/>
            <w:vAlign w:val="center"/>
            <w:hideMark/>
          </w:tcPr>
          <w:p w14:paraId="79B85858" w14:textId="4AE0BA6E"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3.913</w:t>
            </w:r>
          </w:p>
        </w:tc>
        <w:tc>
          <w:tcPr>
            <w:tcW w:w="1422" w:type="dxa"/>
            <w:tcBorders>
              <w:top w:val="nil"/>
              <w:left w:val="nil"/>
              <w:bottom w:val="single" w:sz="4" w:space="0" w:color="auto"/>
              <w:right w:val="single" w:sz="4" w:space="0" w:color="auto"/>
            </w:tcBorders>
            <w:shd w:val="clear" w:color="auto" w:fill="auto"/>
            <w:vAlign w:val="center"/>
            <w:hideMark/>
          </w:tcPr>
          <w:p w14:paraId="30222A6C" w14:textId="4C37D27C"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1.845.930.100</w:t>
            </w:r>
          </w:p>
        </w:tc>
        <w:tc>
          <w:tcPr>
            <w:tcW w:w="1001" w:type="dxa"/>
            <w:tcBorders>
              <w:top w:val="nil"/>
              <w:left w:val="nil"/>
              <w:bottom w:val="single" w:sz="4" w:space="0" w:color="auto"/>
              <w:right w:val="single" w:sz="4" w:space="0" w:color="auto"/>
            </w:tcBorders>
            <w:shd w:val="clear" w:color="auto" w:fill="auto"/>
            <w:vAlign w:val="center"/>
          </w:tcPr>
          <w:p w14:paraId="29C22DDA" w14:textId="6F486A42"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29,0</w:t>
            </w:r>
          </w:p>
        </w:tc>
        <w:tc>
          <w:tcPr>
            <w:tcW w:w="1117" w:type="dxa"/>
            <w:tcBorders>
              <w:top w:val="nil"/>
              <w:left w:val="nil"/>
              <w:bottom w:val="single" w:sz="4" w:space="0" w:color="auto"/>
              <w:right w:val="single" w:sz="4" w:space="0" w:color="auto"/>
            </w:tcBorders>
            <w:shd w:val="clear" w:color="auto" w:fill="auto"/>
            <w:vAlign w:val="center"/>
          </w:tcPr>
          <w:p w14:paraId="1965DC04" w14:textId="48215A44"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13.673.556</w:t>
            </w:r>
          </w:p>
        </w:tc>
        <w:tc>
          <w:tcPr>
            <w:tcW w:w="1376" w:type="dxa"/>
            <w:tcBorders>
              <w:top w:val="nil"/>
              <w:left w:val="nil"/>
              <w:bottom w:val="single" w:sz="4" w:space="0" w:color="auto"/>
              <w:right w:val="single" w:sz="4" w:space="0" w:color="auto"/>
            </w:tcBorders>
            <w:shd w:val="clear" w:color="auto" w:fill="auto"/>
            <w:vAlign w:val="center"/>
          </w:tcPr>
          <w:p w14:paraId="73B6346E" w14:textId="4290B8F2"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471.743</w:t>
            </w:r>
          </w:p>
        </w:tc>
      </w:tr>
      <w:tr w:rsidR="0044190B" w:rsidRPr="0044190B" w14:paraId="304DCDEA" w14:textId="77777777" w:rsidTr="0044190B">
        <w:trPr>
          <w:trHeight w:val="255"/>
        </w:trPr>
        <w:tc>
          <w:tcPr>
            <w:tcW w:w="2576" w:type="dxa"/>
            <w:tcBorders>
              <w:top w:val="nil"/>
              <w:left w:val="single" w:sz="4" w:space="0" w:color="auto"/>
              <w:bottom w:val="single" w:sz="4" w:space="0" w:color="auto"/>
              <w:right w:val="single" w:sz="4" w:space="0" w:color="auto"/>
            </w:tcBorders>
            <w:shd w:val="clear" w:color="auto" w:fill="auto"/>
            <w:vAlign w:val="center"/>
            <w:hideMark/>
          </w:tcPr>
          <w:p w14:paraId="7F002473" w14:textId="7AE00EB8" w:rsidR="0044190B" w:rsidRPr="0044190B" w:rsidRDefault="0044190B" w:rsidP="0044190B">
            <w:pPr>
              <w:spacing w:after="0" w:line="240" w:lineRule="auto"/>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Drugi subjekti</w:t>
            </w:r>
          </w:p>
        </w:tc>
        <w:tc>
          <w:tcPr>
            <w:tcW w:w="1011" w:type="dxa"/>
            <w:tcBorders>
              <w:top w:val="nil"/>
              <w:left w:val="nil"/>
              <w:bottom w:val="single" w:sz="4" w:space="0" w:color="auto"/>
              <w:right w:val="single" w:sz="4" w:space="0" w:color="auto"/>
            </w:tcBorders>
            <w:shd w:val="clear" w:color="auto" w:fill="auto"/>
            <w:vAlign w:val="center"/>
            <w:hideMark/>
          </w:tcPr>
          <w:p w14:paraId="43833BD3" w14:textId="4FE7B61F"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47</w:t>
            </w:r>
          </w:p>
        </w:tc>
        <w:tc>
          <w:tcPr>
            <w:tcW w:w="777" w:type="dxa"/>
            <w:tcBorders>
              <w:top w:val="nil"/>
              <w:left w:val="nil"/>
              <w:bottom w:val="single" w:sz="4" w:space="0" w:color="auto"/>
              <w:right w:val="single" w:sz="4" w:space="0" w:color="auto"/>
            </w:tcBorders>
            <w:shd w:val="clear" w:color="auto" w:fill="auto"/>
            <w:vAlign w:val="center"/>
            <w:hideMark/>
          </w:tcPr>
          <w:p w14:paraId="1C9AE4CC" w14:textId="5CF0E0F2"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96</w:t>
            </w:r>
          </w:p>
        </w:tc>
        <w:tc>
          <w:tcPr>
            <w:tcW w:w="1422" w:type="dxa"/>
            <w:tcBorders>
              <w:top w:val="nil"/>
              <w:left w:val="nil"/>
              <w:bottom w:val="single" w:sz="4" w:space="0" w:color="auto"/>
              <w:right w:val="single" w:sz="4" w:space="0" w:color="auto"/>
            </w:tcBorders>
            <w:shd w:val="clear" w:color="auto" w:fill="auto"/>
            <w:vAlign w:val="center"/>
            <w:hideMark/>
          </w:tcPr>
          <w:p w14:paraId="7D482319" w14:textId="34FD24B8"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276.663.656</w:t>
            </w:r>
          </w:p>
        </w:tc>
        <w:tc>
          <w:tcPr>
            <w:tcW w:w="1001" w:type="dxa"/>
            <w:tcBorders>
              <w:top w:val="nil"/>
              <w:left w:val="nil"/>
              <w:bottom w:val="single" w:sz="4" w:space="0" w:color="auto"/>
              <w:right w:val="single" w:sz="4" w:space="0" w:color="auto"/>
            </w:tcBorders>
            <w:shd w:val="clear" w:color="auto" w:fill="auto"/>
            <w:vAlign w:val="center"/>
          </w:tcPr>
          <w:p w14:paraId="537770BD" w14:textId="4513F860"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2,0</w:t>
            </w:r>
          </w:p>
        </w:tc>
        <w:tc>
          <w:tcPr>
            <w:tcW w:w="1117" w:type="dxa"/>
            <w:tcBorders>
              <w:top w:val="nil"/>
              <w:left w:val="nil"/>
              <w:bottom w:val="single" w:sz="4" w:space="0" w:color="auto"/>
              <w:right w:val="single" w:sz="4" w:space="0" w:color="auto"/>
            </w:tcBorders>
            <w:shd w:val="clear" w:color="auto" w:fill="auto"/>
            <w:vAlign w:val="center"/>
          </w:tcPr>
          <w:p w14:paraId="282CE9D7" w14:textId="2A2C5A43"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5.886.461</w:t>
            </w:r>
          </w:p>
        </w:tc>
        <w:tc>
          <w:tcPr>
            <w:tcW w:w="1376" w:type="dxa"/>
            <w:tcBorders>
              <w:top w:val="nil"/>
              <w:left w:val="nil"/>
              <w:bottom w:val="single" w:sz="4" w:space="0" w:color="auto"/>
              <w:right w:val="single" w:sz="4" w:space="0" w:color="auto"/>
            </w:tcBorders>
            <w:shd w:val="clear" w:color="auto" w:fill="auto"/>
            <w:vAlign w:val="center"/>
          </w:tcPr>
          <w:p w14:paraId="5E139526" w14:textId="028F7896" w:rsidR="0044190B" w:rsidRPr="0044190B" w:rsidRDefault="0044190B" w:rsidP="0044190B">
            <w:pPr>
              <w:spacing w:after="0" w:line="240" w:lineRule="auto"/>
              <w:jc w:val="right"/>
              <w:rPr>
                <w:rFonts w:ascii="Arial" w:eastAsia="Times New Roman" w:hAnsi="Arial" w:cs="Arial"/>
                <w:color w:val="000000" w:themeColor="text1"/>
                <w:sz w:val="18"/>
                <w:szCs w:val="18"/>
                <w:lang w:eastAsia="sl-SI"/>
              </w:rPr>
            </w:pPr>
            <w:r w:rsidRPr="0044190B">
              <w:rPr>
                <w:rFonts w:ascii="Arial" w:eastAsia="Times New Roman" w:hAnsi="Arial" w:cs="Arial"/>
                <w:color w:val="000000" w:themeColor="text1"/>
                <w:sz w:val="18"/>
                <w:szCs w:val="18"/>
                <w:lang w:eastAsia="sl-SI"/>
              </w:rPr>
              <w:t>2.881.913</w:t>
            </w:r>
          </w:p>
        </w:tc>
      </w:tr>
      <w:tr w:rsidR="00F46796" w:rsidRPr="0044190B" w14:paraId="6E900037" w14:textId="77777777" w:rsidTr="0044190B">
        <w:trPr>
          <w:gridAfter w:val="3"/>
          <w:wAfter w:w="3494" w:type="dxa"/>
          <w:trHeight w:val="255"/>
        </w:trPr>
        <w:tc>
          <w:tcPr>
            <w:tcW w:w="257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E14E32" w14:textId="77777777" w:rsidR="00F46796" w:rsidRPr="0044190B" w:rsidRDefault="00F46796" w:rsidP="00F46796">
            <w:pPr>
              <w:spacing w:after="0" w:line="240" w:lineRule="auto"/>
              <w:rPr>
                <w:rFonts w:ascii="Arial" w:eastAsia="Times New Roman" w:hAnsi="Arial" w:cs="Arial"/>
                <w:b/>
                <w:bCs/>
                <w:color w:val="000000" w:themeColor="text1"/>
                <w:sz w:val="18"/>
                <w:szCs w:val="18"/>
                <w:lang w:eastAsia="sl-SI"/>
              </w:rPr>
            </w:pPr>
            <w:r w:rsidRPr="0044190B">
              <w:rPr>
                <w:rFonts w:ascii="Arial" w:eastAsia="Times New Roman" w:hAnsi="Arial" w:cs="Arial"/>
                <w:b/>
                <w:bCs/>
                <w:color w:val="000000" w:themeColor="text1"/>
                <w:sz w:val="18"/>
                <w:szCs w:val="18"/>
                <w:lang w:eastAsia="sl-SI"/>
              </w:rPr>
              <w:t>Skupaj</w:t>
            </w:r>
          </w:p>
        </w:tc>
        <w:tc>
          <w:tcPr>
            <w:tcW w:w="1011" w:type="dxa"/>
            <w:tcBorders>
              <w:top w:val="nil"/>
              <w:left w:val="nil"/>
              <w:bottom w:val="single" w:sz="4" w:space="0" w:color="auto"/>
              <w:right w:val="single" w:sz="4" w:space="0" w:color="auto"/>
            </w:tcBorders>
            <w:shd w:val="clear" w:color="auto" w:fill="F2F2F2" w:themeFill="background1" w:themeFillShade="F2"/>
            <w:vAlign w:val="center"/>
          </w:tcPr>
          <w:p w14:paraId="658192E1" w14:textId="4599A721" w:rsidR="00F46796" w:rsidRPr="0044190B" w:rsidRDefault="00F46796" w:rsidP="00F46796">
            <w:pPr>
              <w:spacing w:after="0" w:line="240" w:lineRule="auto"/>
              <w:jc w:val="right"/>
              <w:rPr>
                <w:rFonts w:ascii="Arial" w:eastAsia="Times New Roman" w:hAnsi="Arial" w:cs="Arial"/>
                <w:b/>
                <w:bCs/>
                <w:color w:val="000000" w:themeColor="text1"/>
                <w:sz w:val="18"/>
                <w:szCs w:val="18"/>
                <w:lang w:eastAsia="sl-SI"/>
              </w:rPr>
            </w:pPr>
            <w:r w:rsidRPr="0044190B">
              <w:rPr>
                <w:rFonts w:ascii="Arial" w:hAnsi="Arial" w:cs="Arial"/>
                <w:b/>
                <w:bCs/>
                <w:color w:val="000000" w:themeColor="text1"/>
                <w:sz w:val="18"/>
                <w:szCs w:val="18"/>
              </w:rPr>
              <w:t>987</w:t>
            </w:r>
          </w:p>
        </w:tc>
        <w:tc>
          <w:tcPr>
            <w:tcW w:w="777" w:type="dxa"/>
            <w:tcBorders>
              <w:top w:val="nil"/>
              <w:left w:val="nil"/>
              <w:bottom w:val="single" w:sz="4" w:space="0" w:color="auto"/>
              <w:right w:val="single" w:sz="4" w:space="0" w:color="auto"/>
            </w:tcBorders>
            <w:shd w:val="clear" w:color="auto" w:fill="F2F2F2" w:themeFill="background1" w:themeFillShade="F2"/>
            <w:vAlign w:val="center"/>
          </w:tcPr>
          <w:p w14:paraId="36EC9CDA" w14:textId="4F007B9D" w:rsidR="00F46796" w:rsidRPr="0044190B" w:rsidRDefault="00F46796" w:rsidP="0044190B">
            <w:pPr>
              <w:spacing w:after="0" w:line="240" w:lineRule="auto"/>
              <w:jc w:val="right"/>
              <w:rPr>
                <w:rFonts w:ascii="Arial" w:eastAsia="Times New Roman" w:hAnsi="Arial" w:cs="Arial"/>
                <w:b/>
                <w:bCs/>
                <w:color w:val="000000" w:themeColor="text1"/>
                <w:sz w:val="18"/>
                <w:szCs w:val="18"/>
                <w:lang w:eastAsia="sl-SI"/>
              </w:rPr>
            </w:pPr>
            <w:r w:rsidRPr="0044190B">
              <w:rPr>
                <w:rFonts w:ascii="Arial" w:eastAsia="Times New Roman" w:hAnsi="Arial" w:cs="Arial"/>
                <w:b/>
                <w:bCs/>
                <w:color w:val="000000" w:themeColor="text1"/>
                <w:sz w:val="18"/>
                <w:szCs w:val="18"/>
                <w:lang w:eastAsia="sl-SI"/>
              </w:rPr>
              <w:t>16.824</w:t>
            </w:r>
          </w:p>
        </w:tc>
        <w:tc>
          <w:tcPr>
            <w:tcW w:w="1422" w:type="dxa"/>
            <w:tcBorders>
              <w:top w:val="nil"/>
              <w:left w:val="nil"/>
              <w:bottom w:val="single" w:sz="4" w:space="0" w:color="auto"/>
              <w:right w:val="single" w:sz="4" w:space="0" w:color="auto"/>
            </w:tcBorders>
            <w:shd w:val="clear" w:color="auto" w:fill="F2F2F2" w:themeFill="background1" w:themeFillShade="F2"/>
            <w:vAlign w:val="center"/>
          </w:tcPr>
          <w:p w14:paraId="2E4A2C3E" w14:textId="05C64B30" w:rsidR="00F46796" w:rsidRPr="0044190B" w:rsidRDefault="00F46796" w:rsidP="0044190B">
            <w:pPr>
              <w:spacing w:after="0" w:line="240" w:lineRule="auto"/>
              <w:jc w:val="right"/>
              <w:rPr>
                <w:rFonts w:ascii="Arial" w:eastAsia="Times New Roman" w:hAnsi="Arial" w:cs="Arial"/>
                <w:b/>
                <w:bCs/>
                <w:color w:val="000000" w:themeColor="text1"/>
                <w:sz w:val="18"/>
                <w:szCs w:val="18"/>
                <w:lang w:eastAsia="sl-SI"/>
              </w:rPr>
            </w:pPr>
            <w:r w:rsidRPr="0044190B">
              <w:rPr>
                <w:rFonts w:ascii="Arial" w:eastAsia="Times New Roman" w:hAnsi="Arial" w:cs="Arial"/>
                <w:b/>
                <w:bCs/>
                <w:color w:val="000000" w:themeColor="text1"/>
                <w:sz w:val="18"/>
                <w:szCs w:val="18"/>
                <w:lang w:eastAsia="sl-SI"/>
              </w:rPr>
              <w:t>6.232.250.969</w:t>
            </w:r>
          </w:p>
        </w:tc>
      </w:tr>
    </w:tbl>
    <w:p w14:paraId="08F91D55" w14:textId="57E6E892" w:rsidR="005475A5" w:rsidRPr="0044190B" w:rsidRDefault="005475A5" w:rsidP="00F4617A">
      <w:pPr>
        <w:spacing w:after="0" w:line="240" w:lineRule="auto"/>
        <w:ind w:left="1701" w:hanging="1701"/>
        <w:jc w:val="both"/>
        <w:rPr>
          <w:rFonts w:ascii="Arial" w:hAnsi="Arial" w:cs="Arial"/>
          <w:color w:val="000000" w:themeColor="text1"/>
          <w:sz w:val="20"/>
        </w:rPr>
      </w:pPr>
    </w:p>
    <w:p w14:paraId="604D67C0" w14:textId="52F360A5" w:rsidR="00690FB0" w:rsidRPr="0044190B" w:rsidRDefault="00690FB0" w:rsidP="00D94701">
      <w:pPr>
        <w:spacing w:after="0" w:line="240" w:lineRule="auto"/>
        <w:jc w:val="center"/>
        <w:rPr>
          <w:rFonts w:ascii="Arial" w:hAnsi="Arial" w:cs="Arial"/>
          <w:color w:val="000000" w:themeColor="text1"/>
          <w:sz w:val="18"/>
        </w:rPr>
      </w:pPr>
      <w:r w:rsidRPr="0044190B">
        <w:rPr>
          <w:rFonts w:ascii="Arial" w:hAnsi="Arial" w:cs="Arial"/>
          <w:color w:val="000000" w:themeColor="text1"/>
          <w:sz w:val="18"/>
        </w:rPr>
        <w:t>Vir: Statistični podatki o javnih</w:t>
      </w:r>
      <w:r w:rsidR="00113E89" w:rsidRPr="0044190B">
        <w:rPr>
          <w:rFonts w:ascii="Arial" w:hAnsi="Arial" w:cs="Arial"/>
          <w:color w:val="000000" w:themeColor="text1"/>
          <w:sz w:val="18"/>
        </w:rPr>
        <w:t xml:space="preserve"> naročilih, oddanih v letu 20</w:t>
      </w:r>
      <w:r w:rsidR="005475A5" w:rsidRPr="0044190B">
        <w:rPr>
          <w:rFonts w:ascii="Arial" w:hAnsi="Arial" w:cs="Arial"/>
          <w:color w:val="000000" w:themeColor="text1"/>
          <w:sz w:val="18"/>
        </w:rPr>
        <w:t>2</w:t>
      </w:r>
      <w:r w:rsidR="006932E3" w:rsidRPr="0044190B">
        <w:rPr>
          <w:rFonts w:ascii="Arial" w:hAnsi="Arial" w:cs="Arial"/>
          <w:color w:val="000000" w:themeColor="text1"/>
          <w:sz w:val="18"/>
        </w:rPr>
        <w:t>3</w:t>
      </w:r>
      <w:r w:rsidR="00362BA2" w:rsidRPr="0044190B">
        <w:rPr>
          <w:rFonts w:ascii="Arial" w:hAnsi="Arial" w:cs="Arial"/>
          <w:color w:val="000000" w:themeColor="text1"/>
          <w:sz w:val="18"/>
        </w:rPr>
        <w:t>.</w:t>
      </w:r>
    </w:p>
    <w:p w14:paraId="3BBA689D" w14:textId="77777777" w:rsidR="00D94701" w:rsidRPr="00637ACF" w:rsidRDefault="00D94701" w:rsidP="00D94701">
      <w:pPr>
        <w:spacing w:after="120" w:line="240" w:lineRule="auto"/>
        <w:jc w:val="center"/>
        <w:rPr>
          <w:rFonts w:ascii="Arial" w:hAnsi="Arial" w:cs="Arial"/>
          <w:color w:val="FF0000"/>
          <w:sz w:val="18"/>
          <w:highlight w:val="yellow"/>
        </w:rPr>
      </w:pPr>
    </w:p>
    <w:p w14:paraId="2551D691" w14:textId="7C49D13F" w:rsidR="00FF5F34" w:rsidRPr="0073460C" w:rsidRDefault="00FF5F34" w:rsidP="00FB12AB">
      <w:pPr>
        <w:pStyle w:val="Naslov3"/>
      </w:pPr>
      <w:bookmarkStart w:id="30" w:name="_Toc175563863"/>
      <w:r w:rsidRPr="0073460C">
        <w:t xml:space="preserve">2.4.3 Predmeti </w:t>
      </w:r>
      <w:r w:rsidR="00A95163" w:rsidRPr="0073460C">
        <w:t>naročanja</w:t>
      </w:r>
      <w:bookmarkEnd w:id="30"/>
      <w:r w:rsidR="00A95163" w:rsidRPr="0073460C">
        <w:t xml:space="preserve"> </w:t>
      </w:r>
    </w:p>
    <w:p w14:paraId="4FA14F84" w14:textId="540FE723" w:rsidR="00FF5F34" w:rsidRPr="0073460C" w:rsidRDefault="00FF5F34" w:rsidP="00854405">
      <w:pPr>
        <w:pStyle w:val="ZADEVA"/>
        <w:jc w:val="both"/>
        <w:rPr>
          <w:rFonts w:cs="Arial"/>
          <w:b w:val="0"/>
          <w:color w:val="FF0000"/>
          <w:szCs w:val="20"/>
          <w:lang w:val="sl-SI"/>
        </w:rPr>
      </w:pPr>
    </w:p>
    <w:p w14:paraId="3D4572A1" w14:textId="5ACCFE6D" w:rsidR="00A95163" w:rsidRPr="0073460C" w:rsidRDefault="00DD02E1" w:rsidP="00A95163">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Pri</w:t>
      </w:r>
      <w:r w:rsidR="00362BA2" w:rsidRPr="0073460C">
        <w:rPr>
          <w:rFonts w:ascii="Arial" w:hAnsi="Arial" w:cs="Arial"/>
          <w:color w:val="000000" w:themeColor="text1"/>
          <w:sz w:val="20"/>
          <w:szCs w:val="20"/>
        </w:rPr>
        <w:t xml:space="preserve"> </w:t>
      </w:r>
      <w:r w:rsidR="00A95163" w:rsidRPr="0073460C">
        <w:rPr>
          <w:rFonts w:ascii="Arial" w:hAnsi="Arial" w:cs="Arial"/>
          <w:color w:val="000000" w:themeColor="text1"/>
          <w:sz w:val="20"/>
          <w:szCs w:val="20"/>
        </w:rPr>
        <w:t>naročil</w:t>
      </w:r>
      <w:r>
        <w:rPr>
          <w:rFonts w:ascii="Arial" w:hAnsi="Arial" w:cs="Arial"/>
          <w:color w:val="000000" w:themeColor="text1"/>
          <w:sz w:val="20"/>
          <w:szCs w:val="20"/>
        </w:rPr>
        <w:t>ih</w:t>
      </w:r>
      <w:r w:rsidR="00A95163" w:rsidRPr="0073460C">
        <w:rPr>
          <w:rFonts w:ascii="Arial" w:hAnsi="Arial" w:cs="Arial"/>
          <w:color w:val="000000" w:themeColor="text1"/>
          <w:sz w:val="20"/>
          <w:szCs w:val="20"/>
        </w:rPr>
        <w:t>, ki jih je treba glede na vrednost objaviti vsaj na portal</w:t>
      </w:r>
      <w:r w:rsidR="00043238" w:rsidRPr="0073460C">
        <w:rPr>
          <w:rFonts w:ascii="Arial" w:hAnsi="Arial" w:cs="Arial"/>
          <w:color w:val="000000" w:themeColor="text1"/>
          <w:sz w:val="20"/>
          <w:szCs w:val="20"/>
        </w:rPr>
        <w:t>u javnih naročil, so let</w:t>
      </w:r>
      <w:r w:rsidR="008E09B2" w:rsidRPr="0073460C">
        <w:rPr>
          <w:rFonts w:ascii="Arial" w:hAnsi="Arial" w:cs="Arial"/>
          <w:color w:val="000000" w:themeColor="text1"/>
          <w:sz w:val="20"/>
          <w:szCs w:val="20"/>
        </w:rPr>
        <w:t>a</w:t>
      </w:r>
      <w:r w:rsidR="00043238" w:rsidRPr="0073460C">
        <w:rPr>
          <w:rFonts w:ascii="Arial" w:hAnsi="Arial" w:cs="Arial"/>
          <w:color w:val="000000" w:themeColor="text1"/>
          <w:sz w:val="20"/>
          <w:szCs w:val="20"/>
        </w:rPr>
        <w:t xml:space="preserve"> 20</w:t>
      </w:r>
      <w:r w:rsidR="00187489" w:rsidRPr="0073460C">
        <w:rPr>
          <w:rFonts w:ascii="Arial" w:hAnsi="Arial" w:cs="Arial"/>
          <w:color w:val="000000" w:themeColor="text1"/>
          <w:sz w:val="20"/>
          <w:szCs w:val="20"/>
        </w:rPr>
        <w:t>2</w:t>
      </w:r>
      <w:r w:rsidR="00243A32" w:rsidRPr="0073460C">
        <w:rPr>
          <w:rFonts w:ascii="Arial" w:hAnsi="Arial" w:cs="Arial"/>
          <w:color w:val="000000" w:themeColor="text1"/>
          <w:sz w:val="20"/>
          <w:szCs w:val="20"/>
        </w:rPr>
        <w:t>3</w:t>
      </w:r>
      <w:r w:rsidR="00A95163" w:rsidRPr="0073460C">
        <w:rPr>
          <w:rFonts w:ascii="Arial" w:hAnsi="Arial" w:cs="Arial"/>
          <w:color w:val="000000" w:themeColor="text1"/>
          <w:sz w:val="20"/>
          <w:szCs w:val="20"/>
        </w:rPr>
        <w:t xml:space="preserve"> naročniki najpogosteje naročali blago, in sicer v </w:t>
      </w:r>
      <w:r w:rsidR="00043238" w:rsidRPr="0073460C">
        <w:rPr>
          <w:rFonts w:ascii="Arial" w:hAnsi="Arial" w:cs="Arial"/>
          <w:color w:val="000000" w:themeColor="text1"/>
          <w:sz w:val="20"/>
          <w:szCs w:val="20"/>
        </w:rPr>
        <w:t>1</w:t>
      </w:r>
      <w:r w:rsidR="00243A32" w:rsidRPr="0073460C">
        <w:rPr>
          <w:rFonts w:ascii="Arial" w:hAnsi="Arial" w:cs="Arial"/>
          <w:color w:val="000000" w:themeColor="text1"/>
          <w:sz w:val="20"/>
          <w:szCs w:val="20"/>
        </w:rPr>
        <w:t>0</w:t>
      </w:r>
      <w:r w:rsidR="000C412C" w:rsidRPr="0073460C">
        <w:rPr>
          <w:rFonts w:ascii="Arial" w:hAnsi="Arial" w:cs="Arial"/>
          <w:color w:val="000000" w:themeColor="text1"/>
          <w:sz w:val="20"/>
          <w:szCs w:val="20"/>
        </w:rPr>
        <w:t>.</w:t>
      </w:r>
      <w:r w:rsidR="00243A32" w:rsidRPr="0073460C">
        <w:rPr>
          <w:rFonts w:ascii="Arial" w:hAnsi="Arial" w:cs="Arial"/>
          <w:color w:val="000000" w:themeColor="text1"/>
          <w:sz w:val="20"/>
          <w:szCs w:val="20"/>
        </w:rPr>
        <w:t>6</w:t>
      </w:r>
      <w:r w:rsidR="00FB12AB" w:rsidRPr="0073460C">
        <w:rPr>
          <w:rFonts w:ascii="Arial" w:hAnsi="Arial" w:cs="Arial"/>
          <w:color w:val="000000" w:themeColor="text1"/>
          <w:sz w:val="20"/>
          <w:szCs w:val="20"/>
        </w:rPr>
        <w:t>0</w:t>
      </w:r>
      <w:r w:rsidR="0073460C" w:rsidRPr="0073460C">
        <w:rPr>
          <w:rFonts w:ascii="Arial" w:hAnsi="Arial" w:cs="Arial"/>
          <w:color w:val="000000" w:themeColor="text1"/>
          <w:sz w:val="20"/>
          <w:szCs w:val="20"/>
        </w:rPr>
        <w:t>7</w:t>
      </w:r>
      <w:r w:rsidR="00A95163" w:rsidRPr="0073460C">
        <w:rPr>
          <w:rFonts w:ascii="Arial" w:hAnsi="Arial" w:cs="Arial"/>
          <w:color w:val="000000" w:themeColor="text1"/>
          <w:sz w:val="20"/>
          <w:szCs w:val="20"/>
        </w:rPr>
        <w:t xml:space="preserve"> primerih oziroma </w:t>
      </w:r>
      <w:r w:rsidR="000C412C" w:rsidRPr="0073460C">
        <w:rPr>
          <w:rFonts w:ascii="Arial" w:hAnsi="Arial" w:cs="Arial"/>
          <w:color w:val="000000" w:themeColor="text1"/>
          <w:sz w:val="20"/>
          <w:szCs w:val="20"/>
        </w:rPr>
        <w:t>6</w:t>
      </w:r>
      <w:r w:rsidR="00243A32" w:rsidRPr="0073460C">
        <w:rPr>
          <w:rFonts w:ascii="Arial" w:hAnsi="Arial" w:cs="Arial"/>
          <w:color w:val="000000" w:themeColor="text1"/>
          <w:sz w:val="20"/>
          <w:szCs w:val="20"/>
        </w:rPr>
        <w:t xml:space="preserve">3,05 </w:t>
      </w:r>
      <w:r w:rsidR="00AC0027" w:rsidRPr="0073460C">
        <w:rPr>
          <w:rFonts w:ascii="Arial" w:hAnsi="Arial" w:cs="Arial"/>
          <w:color w:val="000000" w:themeColor="text1"/>
          <w:sz w:val="20"/>
          <w:szCs w:val="20"/>
        </w:rPr>
        <w:t>odstotk</w:t>
      </w:r>
      <w:r>
        <w:rPr>
          <w:rFonts w:ascii="Arial" w:hAnsi="Arial" w:cs="Arial"/>
          <w:color w:val="000000" w:themeColor="text1"/>
          <w:sz w:val="20"/>
          <w:szCs w:val="20"/>
        </w:rPr>
        <w:t>a</w:t>
      </w:r>
      <w:r w:rsidR="00A95163" w:rsidRPr="0073460C">
        <w:rPr>
          <w:rFonts w:ascii="Arial" w:hAnsi="Arial" w:cs="Arial"/>
          <w:color w:val="000000" w:themeColor="text1"/>
          <w:sz w:val="20"/>
          <w:szCs w:val="20"/>
        </w:rPr>
        <w:t xml:space="preserve">. Delež naročil storitev je obsegal </w:t>
      </w:r>
      <w:r w:rsidR="000C412C" w:rsidRPr="0073460C">
        <w:rPr>
          <w:rFonts w:ascii="Arial" w:hAnsi="Arial" w:cs="Arial"/>
          <w:color w:val="000000" w:themeColor="text1"/>
          <w:sz w:val="20"/>
          <w:szCs w:val="20"/>
        </w:rPr>
        <w:t>2</w:t>
      </w:r>
      <w:r w:rsidR="00243A32" w:rsidRPr="0073460C">
        <w:rPr>
          <w:rFonts w:ascii="Arial" w:hAnsi="Arial" w:cs="Arial"/>
          <w:color w:val="000000" w:themeColor="text1"/>
          <w:sz w:val="20"/>
          <w:szCs w:val="20"/>
        </w:rPr>
        <w:t>7,6</w:t>
      </w:r>
      <w:r w:rsidR="00FB12AB" w:rsidRPr="0073460C">
        <w:rPr>
          <w:rFonts w:ascii="Arial" w:hAnsi="Arial" w:cs="Arial"/>
          <w:color w:val="000000" w:themeColor="text1"/>
          <w:sz w:val="20"/>
          <w:szCs w:val="20"/>
        </w:rPr>
        <w:t>5</w:t>
      </w:r>
      <w:r w:rsidR="00362BA2" w:rsidRPr="0073460C">
        <w:rPr>
          <w:rFonts w:ascii="Arial" w:hAnsi="Arial" w:cs="Arial"/>
          <w:color w:val="000000" w:themeColor="text1"/>
          <w:sz w:val="20"/>
          <w:szCs w:val="20"/>
        </w:rPr>
        <w:t> </w:t>
      </w:r>
      <w:r w:rsidR="00AC0027" w:rsidRPr="0073460C">
        <w:rPr>
          <w:rFonts w:ascii="Arial" w:hAnsi="Arial" w:cs="Arial"/>
          <w:color w:val="000000" w:themeColor="text1"/>
          <w:sz w:val="20"/>
          <w:szCs w:val="20"/>
        </w:rPr>
        <w:t>odstotka</w:t>
      </w:r>
      <w:r w:rsidR="00A95163" w:rsidRPr="0073460C">
        <w:rPr>
          <w:rFonts w:ascii="Arial" w:hAnsi="Arial" w:cs="Arial"/>
          <w:color w:val="000000" w:themeColor="text1"/>
          <w:sz w:val="20"/>
          <w:szCs w:val="20"/>
        </w:rPr>
        <w:t xml:space="preserve"> vseh naročil, preostanek so bila naročila gradenj. </w:t>
      </w:r>
      <w:r w:rsidR="00E10E6C" w:rsidRPr="0073460C">
        <w:rPr>
          <w:rFonts w:ascii="Arial" w:hAnsi="Arial" w:cs="Arial"/>
          <w:color w:val="000000" w:themeColor="text1"/>
          <w:sz w:val="20"/>
          <w:szCs w:val="20"/>
        </w:rPr>
        <w:t>Po</w:t>
      </w:r>
      <w:r w:rsidR="00A95163" w:rsidRPr="0073460C">
        <w:rPr>
          <w:rFonts w:ascii="Arial" w:hAnsi="Arial" w:cs="Arial"/>
          <w:color w:val="000000" w:themeColor="text1"/>
          <w:sz w:val="20"/>
          <w:szCs w:val="20"/>
        </w:rPr>
        <w:t xml:space="preserve"> vrednost</w:t>
      </w:r>
      <w:r w:rsidR="00E10E6C" w:rsidRPr="0073460C">
        <w:rPr>
          <w:rFonts w:ascii="Arial" w:hAnsi="Arial" w:cs="Arial"/>
          <w:color w:val="000000" w:themeColor="text1"/>
          <w:sz w:val="20"/>
          <w:szCs w:val="20"/>
        </w:rPr>
        <w:t>i</w:t>
      </w:r>
      <w:r w:rsidR="00A95163" w:rsidRPr="0073460C">
        <w:rPr>
          <w:rFonts w:ascii="Arial" w:hAnsi="Arial" w:cs="Arial"/>
          <w:color w:val="000000" w:themeColor="text1"/>
          <w:sz w:val="20"/>
          <w:szCs w:val="20"/>
        </w:rPr>
        <w:t xml:space="preserve"> naročil so na prvem mestu naročila </w:t>
      </w:r>
      <w:r w:rsidR="00243A32" w:rsidRPr="0073460C">
        <w:rPr>
          <w:rFonts w:ascii="Arial" w:hAnsi="Arial" w:cs="Arial"/>
          <w:color w:val="000000" w:themeColor="text1"/>
          <w:sz w:val="20"/>
          <w:szCs w:val="20"/>
        </w:rPr>
        <w:t>blaga</w:t>
      </w:r>
      <w:r w:rsidR="00A95163" w:rsidRPr="0073460C">
        <w:rPr>
          <w:rFonts w:ascii="Arial" w:hAnsi="Arial" w:cs="Arial"/>
          <w:color w:val="000000" w:themeColor="text1"/>
          <w:sz w:val="20"/>
          <w:szCs w:val="20"/>
        </w:rPr>
        <w:t>, ki z vrednostjo</w:t>
      </w:r>
      <w:r w:rsidR="0073460C" w:rsidRPr="0073460C">
        <w:rPr>
          <w:rFonts w:ascii="Arial" w:hAnsi="Arial" w:cs="Arial"/>
          <w:color w:val="000000" w:themeColor="text1"/>
          <w:sz w:val="20"/>
          <w:szCs w:val="20"/>
        </w:rPr>
        <w:t xml:space="preserve">2.607.599.248 </w:t>
      </w:r>
      <w:r w:rsidR="00A95163" w:rsidRPr="0073460C">
        <w:rPr>
          <w:rFonts w:ascii="Arial" w:hAnsi="Arial" w:cs="Arial"/>
          <w:color w:val="000000" w:themeColor="text1"/>
          <w:sz w:val="20"/>
          <w:szCs w:val="20"/>
        </w:rPr>
        <w:t xml:space="preserve"> evrov pomenijo </w:t>
      </w:r>
      <w:r w:rsidR="00243A32" w:rsidRPr="0073460C">
        <w:rPr>
          <w:rFonts w:ascii="Arial" w:hAnsi="Arial" w:cs="Arial"/>
          <w:color w:val="000000" w:themeColor="text1"/>
          <w:sz w:val="20"/>
          <w:szCs w:val="20"/>
        </w:rPr>
        <w:t>4</w:t>
      </w:r>
      <w:r w:rsidR="00FB12AB" w:rsidRPr="0073460C">
        <w:rPr>
          <w:rFonts w:ascii="Arial" w:hAnsi="Arial" w:cs="Arial"/>
          <w:color w:val="000000" w:themeColor="text1"/>
          <w:sz w:val="20"/>
          <w:szCs w:val="20"/>
        </w:rPr>
        <w:t xml:space="preserve">1,84 </w:t>
      </w:r>
      <w:r w:rsidR="00AC0027" w:rsidRPr="0073460C">
        <w:rPr>
          <w:rFonts w:ascii="Arial" w:hAnsi="Arial" w:cs="Arial"/>
          <w:color w:val="000000" w:themeColor="text1"/>
          <w:sz w:val="20"/>
          <w:szCs w:val="20"/>
        </w:rPr>
        <w:t>odstotka</w:t>
      </w:r>
      <w:r w:rsidR="00A95163" w:rsidRPr="0073460C">
        <w:rPr>
          <w:rFonts w:ascii="Arial" w:hAnsi="Arial" w:cs="Arial"/>
          <w:color w:val="000000" w:themeColor="text1"/>
          <w:sz w:val="20"/>
          <w:szCs w:val="20"/>
        </w:rPr>
        <w:t xml:space="preserve"> vrednosti vseh </w:t>
      </w:r>
      <w:r w:rsidR="00A95163" w:rsidRPr="0073460C">
        <w:rPr>
          <w:rFonts w:ascii="Arial" w:hAnsi="Arial" w:cs="Arial"/>
          <w:color w:val="000000" w:themeColor="text1"/>
          <w:sz w:val="20"/>
          <w:szCs w:val="20"/>
        </w:rPr>
        <w:lastRenderedPageBreak/>
        <w:t xml:space="preserve">naročil, </w:t>
      </w:r>
      <w:r w:rsidR="00206D8E" w:rsidRPr="0073460C">
        <w:rPr>
          <w:rFonts w:ascii="Arial" w:hAnsi="Arial" w:cs="Arial"/>
          <w:color w:val="000000" w:themeColor="text1"/>
          <w:sz w:val="20"/>
          <w:szCs w:val="20"/>
        </w:rPr>
        <w:t xml:space="preserve">naročil </w:t>
      </w:r>
      <w:r w:rsidR="00243A32" w:rsidRPr="0073460C">
        <w:rPr>
          <w:rFonts w:ascii="Arial" w:hAnsi="Arial" w:cs="Arial"/>
          <w:color w:val="000000" w:themeColor="text1"/>
          <w:sz w:val="20"/>
          <w:szCs w:val="20"/>
        </w:rPr>
        <w:t>storitev</w:t>
      </w:r>
      <w:r w:rsidR="00206D8E" w:rsidRPr="0073460C">
        <w:rPr>
          <w:rFonts w:ascii="Arial" w:hAnsi="Arial" w:cs="Arial"/>
          <w:color w:val="000000" w:themeColor="text1"/>
          <w:sz w:val="20"/>
          <w:szCs w:val="20"/>
        </w:rPr>
        <w:t xml:space="preserve"> je bilo za </w:t>
      </w:r>
      <w:r w:rsidR="00243A32" w:rsidRPr="0073460C">
        <w:rPr>
          <w:rFonts w:ascii="Arial" w:hAnsi="Arial" w:cs="Arial"/>
          <w:color w:val="000000" w:themeColor="text1"/>
          <w:sz w:val="20"/>
          <w:szCs w:val="20"/>
        </w:rPr>
        <w:t xml:space="preserve">2.197.735.054 </w:t>
      </w:r>
      <w:r w:rsidR="00043238" w:rsidRPr="0073460C">
        <w:rPr>
          <w:rFonts w:ascii="Arial" w:hAnsi="Arial" w:cs="Arial"/>
          <w:color w:val="000000" w:themeColor="text1"/>
          <w:sz w:val="20"/>
          <w:szCs w:val="20"/>
        </w:rPr>
        <w:t xml:space="preserve">evrov, kar je </w:t>
      </w:r>
      <w:r w:rsidR="00FB12AB" w:rsidRPr="0073460C">
        <w:rPr>
          <w:rFonts w:ascii="Arial" w:hAnsi="Arial" w:cs="Arial"/>
          <w:color w:val="000000" w:themeColor="text1"/>
          <w:sz w:val="20"/>
          <w:szCs w:val="20"/>
        </w:rPr>
        <w:t>35,26</w:t>
      </w:r>
      <w:r w:rsidR="00362BA2" w:rsidRPr="0073460C">
        <w:rPr>
          <w:rFonts w:ascii="Arial" w:hAnsi="Arial" w:cs="Arial"/>
          <w:color w:val="000000" w:themeColor="text1"/>
          <w:sz w:val="20"/>
          <w:szCs w:val="20"/>
        </w:rPr>
        <w:t> </w:t>
      </w:r>
      <w:r w:rsidR="00AC0027" w:rsidRPr="0073460C">
        <w:rPr>
          <w:rFonts w:ascii="Arial" w:hAnsi="Arial" w:cs="Arial"/>
          <w:color w:val="000000" w:themeColor="text1"/>
          <w:sz w:val="20"/>
          <w:szCs w:val="20"/>
        </w:rPr>
        <w:t>odstotka</w:t>
      </w:r>
      <w:r w:rsidR="00206D8E" w:rsidRPr="0073460C">
        <w:rPr>
          <w:rFonts w:ascii="Arial" w:hAnsi="Arial" w:cs="Arial"/>
          <w:color w:val="000000" w:themeColor="text1"/>
          <w:sz w:val="20"/>
          <w:szCs w:val="20"/>
        </w:rPr>
        <w:t xml:space="preserve"> vrednosti vseh naročil, preost</w:t>
      </w:r>
      <w:r w:rsidR="007E0D0D" w:rsidRPr="0073460C">
        <w:rPr>
          <w:rFonts w:ascii="Arial" w:hAnsi="Arial" w:cs="Arial"/>
          <w:color w:val="000000" w:themeColor="text1"/>
          <w:sz w:val="20"/>
          <w:szCs w:val="20"/>
        </w:rPr>
        <w:t>anek</w:t>
      </w:r>
      <w:r>
        <w:rPr>
          <w:rFonts w:ascii="Arial" w:hAnsi="Arial" w:cs="Arial"/>
          <w:color w:val="000000" w:themeColor="text1"/>
          <w:sz w:val="20"/>
          <w:szCs w:val="20"/>
        </w:rPr>
        <w:t xml:space="preserve"> </w:t>
      </w:r>
      <w:r w:rsidR="007E0D0D" w:rsidRPr="0073460C">
        <w:rPr>
          <w:rFonts w:ascii="Arial" w:hAnsi="Arial" w:cs="Arial"/>
          <w:color w:val="000000" w:themeColor="text1"/>
          <w:sz w:val="20"/>
          <w:szCs w:val="20"/>
        </w:rPr>
        <w:t xml:space="preserve">so bila naročila </w:t>
      </w:r>
      <w:r w:rsidR="00243A32" w:rsidRPr="0073460C">
        <w:rPr>
          <w:rFonts w:ascii="Arial" w:hAnsi="Arial" w:cs="Arial"/>
          <w:color w:val="000000" w:themeColor="text1"/>
          <w:sz w:val="20"/>
          <w:szCs w:val="20"/>
        </w:rPr>
        <w:t>gradenj</w:t>
      </w:r>
      <w:r w:rsidR="00A95163" w:rsidRPr="0073460C">
        <w:rPr>
          <w:rFonts w:ascii="Arial" w:hAnsi="Arial" w:cs="Arial"/>
          <w:color w:val="000000" w:themeColor="text1"/>
          <w:sz w:val="20"/>
          <w:szCs w:val="20"/>
        </w:rPr>
        <w:t>.</w:t>
      </w:r>
    </w:p>
    <w:p w14:paraId="429AC417" w14:textId="462046AE" w:rsidR="005A7AC7" w:rsidRPr="0073460C" w:rsidRDefault="009E5786" w:rsidP="008A61FD">
      <w:pPr>
        <w:spacing w:before="120" w:after="120" w:line="240" w:lineRule="auto"/>
        <w:jc w:val="both"/>
        <w:rPr>
          <w:rFonts w:ascii="Arial" w:hAnsi="Arial" w:cs="Arial"/>
          <w:color w:val="000000" w:themeColor="text1"/>
          <w:sz w:val="20"/>
        </w:rPr>
      </w:pPr>
      <w:r w:rsidRPr="0073460C">
        <w:rPr>
          <w:rFonts w:ascii="Arial" w:hAnsi="Arial" w:cs="Arial"/>
          <w:color w:val="000000" w:themeColor="text1"/>
          <w:sz w:val="20"/>
        </w:rPr>
        <w:t>P</w:t>
      </w:r>
      <w:r w:rsidR="005A7AC7" w:rsidRPr="0073460C">
        <w:rPr>
          <w:rFonts w:ascii="Arial" w:hAnsi="Arial" w:cs="Arial"/>
          <w:color w:val="000000" w:themeColor="text1"/>
          <w:sz w:val="20"/>
        </w:rPr>
        <w:t xml:space="preserve">reglednica </w:t>
      </w:r>
      <w:r w:rsidR="00512F52" w:rsidRPr="0073460C">
        <w:rPr>
          <w:rFonts w:ascii="Arial" w:hAnsi="Arial" w:cs="Arial"/>
          <w:color w:val="000000" w:themeColor="text1"/>
          <w:sz w:val="20"/>
        </w:rPr>
        <w:t>23</w:t>
      </w:r>
      <w:r w:rsidR="005A7AC7" w:rsidRPr="0073460C">
        <w:rPr>
          <w:rFonts w:ascii="Arial" w:hAnsi="Arial" w:cs="Arial"/>
          <w:color w:val="000000" w:themeColor="text1"/>
          <w:sz w:val="20"/>
        </w:rPr>
        <w:t xml:space="preserve">: </w:t>
      </w:r>
      <w:r w:rsidR="00206D8E" w:rsidRPr="0073460C">
        <w:rPr>
          <w:rFonts w:ascii="Arial" w:hAnsi="Arial" w:cs="Arial"/>
          <w:color w:val="000000" w:themeColor="text1"/>
          <w:sz w:val="20"/>
        </w:rPr>
        <w:t>Vrednost, število in deleži javnih naročil, objavljenih na portalu javnih naročil oziroma</w:t>
      </w:r>
      <w:r w:rsidR="00680D9B" w:rsidRPr="0073460C">
        <w:rPr>
          <w:rFonts w:ascii="Arial" w:hAnsi="Arial" w:cs="Arial"/>
          <w:color w:val="000000" w:themeColor="text1"/>
          <w:sz w:val="20"/>
        </w:rPr>
        <w:t xml:space="preserve"> v</w:t>
      </w:r>
      <w:r w:rsidR="00206D8E" w:rsidRPr="0073460C">
        <w:rPr>
          <w:rFonts w:ascii="Arial" w:hAnsi="Arial" w:cs="Arial"/>
          <w:color w:val="000000" w:themeColor="text1"/>
          <w:sz w:val="20"/>
        </w:rPr>
        <w:t xml:space="preserve"> Uradnem listu Evropske unije, po predmetu naročanja</w:t>
      </w:r>
    </w:p>
    <w:tbl>
      <w:tblPr>
        <w:tblW w:w="5852" w:type="dxa"/>
        <w:jc w:val="center"/>
        <w:tblCellMar>
          <w:left w:w="70" w:type="dxa"/>
          <w:right w:w="70" w:type="dxa"/>
        </w:tblCellMar>
        <w:tblLook w:val="04A0" w:firstRow="1" w:lastRow="0" w:firstColumn="1" w:lastColumn="0" w:noHBand="0" w:noVBand="1"/>
      </w:tblPr>
      <w:tblGrid>
        <w:gridCol w:w="1093"/>
        <w:gridCol w:w="1093"/>
        <w:gridCol w:w="1480"/>
        <w:gridCol w:w="1093"/>
        <w:gridCol w:w="1093"/>
      </w:tblGrid>
      <w:tr w:rsidR="00FB12AB" w:rsidRPr="0073460C" w14:paraId="1A73345C" w14:textId="77777777" w:rsidTr="00CD447F">
        <w:trPr>
          <w:trHeight w:val="255"/>
          <w:jc w:val="center"/>
        </w:trPr>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1EB909" w14:textId="77777777" w:rsidR="00187489" w:rsidRPr="0073460C" w:rsidRDefault="00187489" w:rsidP="00187489">
            <w:pPr>
              <w:spacing w:after="0" w:line="240" w:lineRule="auto"/>
              <w:jc w:val="center"/>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 xml:space="preserve">Predmet </w:t>
            </w:r>
          </w:p>
        </w:tc>
        <w:tc>
          <w:tcPr>
            <w:tcW w:w="10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AD65DD" w14:textId="77777777" w:rsidR="00187489" w:rsidRPr="0073460C" w:rsidRDefault="00187489" w:rsidP="00187489">
            <w:pPr>
              <w:spacing w:after="0" w:line="240" w:lineRule="auto"/>
              <w:jc w:val="center"/>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Št. naročil</w:t>
            </w:r>
          </w:p>
        </w:tc>
        <w:tc>
          <w:tcPr>
            <w:tcW w:w="14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298FB9" w14:textId="3532EA2F" w:rsidR="00187489" w:rsidRPr="0073460C" w:rsidRDefault="00187489" w:rsidP="00187489">
            <w:pPr>
              <w:spacing w:after="0" w:line="240" w:lineRule="auto"/>
              <w:jc w:val="center"/>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Pogodbena vrednost</w:t>
            </w:r>
            <w:r w:rsidR="00F36C50" w:rsidRPr="0073460C">
              <w:rPr>
                <w:rFonts w:ascii="Arial" w:eastAsia="Times New Roman" w:hAnsi="Arial" w:cs="Arial"/>
                <w:color w:val="000000" w:themeColor="text1"/>
                <w:sz w:val="18"/>
                <w:szCs w:val="18"/>
                <w:lang w:eastAsia="sl-SI"/>
              </w:rPr>
              <w:t xml:space="preserve"> (v EUR)</w:t>
            </w:r>
          </w:p>
        </w:tc>
        <w:tc>
          <w:tcPr>
            <w:tcW w:w="10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57B8E24" w14:textId="77777777" w:rsidR="00187489" w:rsidRPr="0073460C" w:rsidRDefault="00187489" w:rsidP="00187489">
            <w:pPr>
              <w:spacing w:after="0" w:line="240" w:lineRule="auto"/>
              <w:jc w:val="center"/>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Delež v št. naročil</w:t>
            </w:r>
          </w:p>
        </w:tc>
        <w:tc>
          <w:tcPr>
            <w:tcW w:w="10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08BE23" w14:textId="77777777" w:rsidR="00187489" w:rsidRPr="0073460C" w:rsidRDefault="00187489" w:rsidP="00187489">
            <w:pPr>
              <w:spacing w:after="0" w:line="240" w:lineRule="auto"/>
              <w:jc w:val="center"/>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Delež v vrednosti</w:t>
            </w:r>
          </w:p>
        </w:tc>
      </w:tr>
      <w:tr w:rsidR="0073460C" w:rsidRPr="0073460C" w14:paraId="4B0D56E0" w14:textId="77777777" w:rsidTr="0034545C">
        <w:trPr>
          <w:trHeight w:val="255"/>
          <w:jc w:val="center"/>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50AC79C6" w14:textId="77777777" w:rsidR="0073460C" w:rsidRPr="0073460C" w:rsidRDefault="0073460C" w:rsidP="0073460C">
            <w:pPr>
              <w:spacing w:after="0" w:line="240" w:lineRule="auto"/>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Blago</w:t>
            </w:r>
          </w:p>
        </w:tc>
        <w:tc>
          <w:tcPr>
            <w:tcW w:w="1093" w:type="dxa"/>
            <w:tcBorders>
              <w:top w:val="nil"/>
              <w:left w:val="nil"/>
              <w:bottom w:val="single" w:sz="4" w:space="0" w:color="auto"/>
              <w:right w:val="single" w:sz="4" w:space="0" w:color="auto"/>
            </w:tcBorders>
            <w:shd w:val="clear" w:color="auto" w:fill="auto"/>
            <w:vAlign w:val="center"/>
            <w:hideMark/>
          </w:tcPr>
          <w:p w14:paraId="03C87E4B" w14:textId="59247469"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10.607</w:t>
            </w:r>
          </w:p>
        </w:tc>
        <w:tc>
          <w:tcPr>
            <w:tcW w:w="1480" w:type="dxa"/>
            <w:tcBorders>
              <w:top w:val="nil"/>
              <w:left w:val="nil"/>
              <w:bottom w:val="single" w:sz="4" w:space="0" w:color="auto"/>
              <w:right w:val="single" w:sz="4" w:space="0" w:color="auto"/>
            </w:tcBorders>
            <w:shd w:val="clear" w:color="auto" w:fill="auto"/>
            <w:vAlign w:val="center"/>
            <w:hideMark/>
          </w:tcPr>
          <w:p w14:paraId="3DA1C329" w14:textId="27E9F3B8"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2.607.599.248</w:t>
            </w:r>
          </w:p>
        </w:tc>
        <w:tc>
          <w:tcPr>
            <w:tcW w:w="1093" w:type="dxa"/>
            <w:tcBorders>
              <w:top w:val="nil"/>
              <w:left w:val="nil"/>
              <w:bottom w:val="single" w:sz="4" w:space="0" w:color="auto"/>
              <w:right w:val="single" w:sz="4" w:space="0" w:color="auto"/>
            </w:tcBorders>
            <w:shd w:val="clear" w:color="auto" w:fill="auto"/>
            <w:noWrap/>
            <w:vAlign w:val="center"/>
            <w:hideMark/>
          </w:tcPr>
          <w:p w14:paraId="01C8D36A" w14:textId="52249AF2"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63,05 %</w:t>
            </w:r>
          </w:p>
        </w:tc>
        <w:tc>
          <w:tcPr>
            <w:tcW w:w="1093" w:type="dxa"/>
            <w:tcBorders>
              <w:top w:val="nil"/>
              <w:left w:val="nil"/>
              <w:bottom w:val="single" w:sz="4" w:space="0" w:color="auto"/>
              <w:right w:val="single" w:sz="4" w:space="0" w:color="auto"/>
            </w:tcBorders>
            <w:shd w:val="clear" w:color="auto" w:fill="auto"/>
            <w:noWrap/>
            <w:vAlign w:val="center"/>
            <w:hideMark/>
          </w:tcPr>
          <w:p w14:paraId="106342FB" w14:textId="32A11B0F"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41,84 %</w:t>
            </w:r>
          </w:p>
        </w:tc>
      </w:tr>
      <w:tr w:rsidR="0073460C" w:rsidRPr="0073460C" w14:paraId="73711825" w14:textId="77777777" w:rsidTr="0034545C">
        <w:trPr>
          <w:trHeight w:val="255"/>
          <w:jc w:val="center"/>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59CAA8FD" w14:textId="77777777" w:rsidR="0073460C" w:rsidRPr="0073460C" w:rsidRDefault="0073460C" w:rsidP="0073460C">
            <w:pPr>
              <w:spacing w:after="0" w:line="240" w:lineRule="auto"/>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Storitve</w:t>
            </w:r>
          </w:p>
        </w:tc>
        <w:tc>
          <w:tcPr>
            <w:tcW w:w="1093" w:type="dxa"/>
            <w:tcBorders>
              <w:top w:val="nil"/>
              <w:left w:val="nil"/>
              <w:bottom w:val="single" w:sz="4" w:space="0" w:color="auto"/>
              <w:right w:val="single" w:sz="4" w:space="0" w:color="auto"/>
            </w:tcBorders>
            <w:shd w:val="clear" w:color="auto" w:fill="auto"/>
            <w:vAlign w:val="center"/>
            <w:hideMark/>
          </w:tcPr>
          <w:p w14:paraId="4EC1D50A" w14:textId="50EA40CD"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4.652</w:t>
            </w:r>
          </w:p>
        </w:tc>
        <w:tc>
          <w:tcPr>
            <w:tcW w:w="1480" w:type="dxa"/>
            <w:tcBorders>
              <w:top w:val="nil"/>
              <w:left w:val="nil"/>
              <w:bottom w:val="single" w:sz="4" w:space="0" w:color="auto"/>
              <w:right w:val="single" w:sz="4" w:space="0" w:color="auto"/>
            </w:tcBorders>
            <w:shd w:val="clear" w:color="auto" w:fill="auto"/>
            <w:vAlign w:val="center"/>
            <w:hideMark/>
          </w:tcPr>
          <w:p w14:paraId="7D16C662" w14:textId="2E90AD06"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2.197.735.054</w:t>
            </w:r>
          </w:p>
        </w:tc>
        <w:tc>
          <w:tcPr>
            <w:tcW w:w="1093" w:type="dxa"/>
            <w:tcBorders>
              <w:top w:val="nil"/>
              <w:left w:val="nil"/>
              <w:bottom w:val="single" w:sz="4" w:space="0" w:color="auto"/>
              <w:right w:val="single" w:sz="4" w:space="0" w:color="auto"/>
            </w:tcBorders>
            <w:shd w:val="clear" w:color="auto" w:fill="auto"/>
            <w:noWrap/>
            <w:vAlign w:val="center"/>
            <w:hideMark/>
          </w:tcPr>
          <w:p w14:paraId="6DC59110" w14:textId="0360F470"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27,65 %</w:t>
            </w:r>
          </w:p>
        </w:tc>
        <w:tc>
          <w:tcPr>
            <w:tcW w:w="1093" w:type="dxa"/>
            <w:tcBorders>
              <w:top w:val="nil"/>
              <w:left w:val="nil"/>
              <w:bottom w:val="single" w:sz="4" w:space="0" w:color="auto"/>
              <w:right w:val="single" w:sz="4" w:space="0" w:color="auto"/>
            </w:tcBorders>
            <w:shd w:val="clear" w:color="auto" w:fill="auto"/>
            <w:noWrap/>
            <w:vAlign w:val="center"/>
            <w:hideMark/>
          </w:tcPr>
          <w:p w14:paraId="4F5B0F91" w14:textId="1DAB2EF7"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35,26 %</w:t>
            </w:r>
          </w:p>
        </w:tc>
      </w:tr>
      <w:tr w:rsidR="0073460C" w:rsidRPr="0073460C" w14:paraId="1B8AA66E" w14:textId="77777777" w:rsidTr="0034545C">
        <w:trPr>
          <w:trHeight w:val="255"/>
          <w:jc w:val="center"/>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54B847EA" w14:textId="77777777" w:rsidR="0073460C" w:rsidRPr="0073460C" w:rsidRDefault="0073460C" w:rsidP="0073460C">
            <w:pPr>
              <w:spacing w:after="0" w:line="240" w:lineRule="auto"/>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Gradnje</w:t>
            </w:r>
          </w:p>
        </w:tc>
        <w:tc>
          <w:tcPr>
            <w:tcW w:w="1093" w:type="dxa"/>
            <w:tcBorders>
              <w:top w:val="nil"/>
              <w:left w:val="nil"/>
              <w:bottom w:val="single" w:sz="4" w:space="0" w:color="auto"/>
              <w:right w:val="single" w:sz="4" w:space="0" w:color="auto"/>
            </w:tcBorders>
            <w:shd w:val="clear" w:color="auto" w:fill="auto"/>
            <w:vAlign w:val="center"/>
            <w:hideMark/>
          </w:tcPr>
          <w:p w14:paraId="3CABBB3E" w14:textId="6A05BBB2"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1.565</w:t>
            </w:r>
          </w:p>
        </w:tc>
        <w:tc>
          <w:tcPr>
            <w:tcW w:w="1480" w:type="dxa"/>
            <w:tcBorders>
              <w:top w:val="nil"/>
              <w:left w:val="nil"/>
              <w:bottom w:val="single" w:sz="4" w:space="0" w:color="auto"/>
              <w:right w:val="single" w:sz="4" w:space="0" w:color="auto"/>
            </w:tcBorders>
            <w:shd w:val="clear" w:color="auto" w:fill="auto"/>
            <w:vAlign w:val="center"/>
            <w:hideMark/>
          </w:tcPr>
          <w:p w14:paraId="233B0E32" w14:textId="586F7F2F"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1.426.916.667</w:t>
            </w:r>
          </w:p>
        </w:tc>
        <w:tc>
          <w:tcPr>
            <w:tcW w:w="1093" w:type="dxa"/>
            <w:tcBorders>
              <w:top w:val="nil"/>
              <w:left w:val="nil"/>
              <w:bottom w:val="single" w:sz="4" w:space="0" w:color="auto"/>
              <w:right w:val="single" w:sz="4" w:space="0" w:color="auto"/>
            </w:tcBorders>
            <w:shd w:val="clear" w:color="auto" w:fill="auto"/>
            <w:noWrap/>
            <w:vAlign w:val="center"/>
            <w:hideMark/>
          </w:tcPr>
          <w:p w14:paraId="2B9C5162" w14:textId="5DE48251"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9,30 %</w:t>
            </w:r>
          </w:p>
        </w:tc>
        <w:tc>
          <w:tcPr>
            <w:tcW w:w="1093" w:type="dxa"/>
            <w:tcBorders>
              <w:top w:val="nil"/>
              <w:left w:val="nil"/>
              <w:bottom w:val="single" w:sz="4" w:space="0" w:color="auto"/>
              <w:right w:val="single" w:sz="4" w:space="0" w:color="auto"/>
            </w:tcBorders>
            <w:shd w:val="clear" w:color="auto" w:fill="auto"/>
            <w:noWrap/>
            <w:vAlign w:val="center"/>
            <w:hideMark/>
          </w:tcPr>
          <w:p w14:paraId="26EADF71" w14:textId="173ECDC9" w:rsidR="0073460C" w:rsidRPr="0073460C" w:rsidRDefault="0073460C" w:rsidP="0073460C">
            <w:pPr>
              <w:spacing w:after="0" w:line="240" w:lineRule="auto"/>
              <w:jc w:val="right"/>
              <w:rPr>
                <w:rFonts w:ascii="Arial" w:eastAsia="Times New Roman" w:hAnsi="Arial" w:cs="Arial"/>
                <w:color w:val="000000" w:themeColor="text1"/>
                <w:sz w:val="18"/>
                <w:szCs w:val="18"/>
                <w:lang w:eastAsia="sl-SI"/>
              </w:rPr>
            </w:pPr>
            <w:r w:rsidRPr="0073460C">
              <w:rPr>
                <w:rFonts w:ascii="Arial" w:eastAsia="Times New Roman" w:hAnsi="Arial" w:cs="Arial"/>
                <w:color w:val="000000" w:themeColor="text1"/>
                <w:sz w:val="18"/>
                <w:szCs w:val="18"/>
                <w:lang w:eastAsia="sl-SI"/>
              </w:rPr>
              <w:t>22,90 %</w:t>
            </w:r>
          </w:p>
        </w:tc>
      </w:tr>
      <w:tr w:rsidR="0073460C" w:rsidRPr="0073460C" w14:paraId="5AF6E448" w14:textId="77777777" w:rsidTr="0034545C">
        <w:trPr>
          <w:trHeight w:val="255"/>
          <w:jc w:val="center"/>
        </w:trPr>
        <w:tc>
          <w:tcPr>
            <w:tcW w:w="109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1F7C2A" w14:textId="77777777" w:rsidR="0073460C" w:rsidRPr="0073460C" w:rsidRDefault="0073460C" w:rsidP="0073460C">
            <w:pPr>
              <w:spacing w:after="0" w:line="240" w:lineRule="auto"/>
              <w:rPr>
                <w:rFonts w:ascii="Arial" w:eastAsia="Times New Roman" w:hAnsi="Arial" w:cs="Arial"/>
                <w:b/>
                <w:bCs/>
                <w:color w:val="000000" w:themeColor="text1"/>
                <w:sz w:val="18"/>
                <w:szCs w:val="18"/>
                <w:lang w:eastAsia="sl-SI"/>
              </w:rPr>
            </w:pPr>
            <w:r w:rsidRPr="0073460C">
              <w:rPr>
                <w:rFonts w:ascii="Arial" w:eastAsia="Times New Roman" w:hAnsi="Arial" w:cs="Arial"/>
                <w:b/>
                <w:bCs/>
                <w:color w:val="000000" w:themeColor="text1"/>
                <w:sz w:val="18"/>
                <w:szCs w:val="18"/>
                <w:lang w:eastAsia="sl-SI"/>
              </w:rPr>
              <w:t>Skupaj</w:t>
            </w:r>
          </w:p>
        </w:tc>
        <w:tc>
          <w:tcPr>
            <w:tcW w:w="1093" w:type="dxa"/>
            <w:tcBorders>
              <w:top w:val="nil"/>
              <w:left w:val="nil"/>
              <w:bottom w:val="single" w:sz="4" w:space="0" w:color="auto"/>
              <w:right w:val="single" w:sz="4" w:space="0" w:color="auto"/>
            </w:tcBorders>
            <w:shd w:val="clear" w:color="auto" w:fill="F2F2F2" w:themeFill="background1" w:themeFillShade="F2"/>
            <w:noWrap/>
            <w:vAlign w:val="center"/>
            <w:hideMark/>
          </w:tcPr>
          <w:p w14:paraId="1FEB258F" w14:textId="694CCE1F" w:rsidR="0073460C" w:rsidRPr="0073460C" w:rsidRDefault="0073460C" w:rsidP="0073460C">
            <w:pPr>
              <w:spacing w:after="0" w:line="240" w:lineRule="auto"/>
              <w:jc w:val="right"/>
              <w:rPr>
                <w:rFonts w:ascii="Arial" w:eastAsia="Times New Roman" w:hAnsi="Arial" w:cs="Arial"/>
                <w:b/>
                <w:bCs/>
                <w:color w:val="000000" w:themeColor="text1"/>
                <w:sz w:val="18"/>
                <w:szCs w:val="18"/>
                <w:lang w:eastAsia="sl-SI"/>
              </w:rPr>
            </w:pPr>
            <w:r w:rsidRPr="0073460C">
              <w:rPr>
                <w:rFonts w:ascii="Arial" w:eastAsia="Times New Roman" w:hAnsi="Arial" w:cs="Arial"/>
                <w:b/>
                <w:bCs/>
                <w:color w:val="000000" w:themeColor="text1"/>
                <w:sz w:val="18"/>
                <w:szCs w:val="18"/>
                <w:lang w:eastAsia="sl-SI"/>
              </w:rPr>
              <w:t>16.824</w:t>
            </w:r>
          </w:p>
        </w:tc>
        <w:tc>
          <w:tcPr>
            <w:tcW w:w="1480" w:type="dxa"/>
            <w:tcBorders>
              <w:top w:val="nil"/>
              <w:left w:val="nil"/>
              <w:bottom w:val="single" w:sz="4" w:space="0" w:color="auto"/>
              <w:right w:val="single" w:sz="4" w:space="0" w:color="auto"/>
            </w:tcBorders>
            <w:shd w:val="clear" w:color="auto" w:fill="F2F2F2" w:themeFill="background1" w:themeFillShade="F2"/>
            <w:noWrap/>
            <w:vAlign w:val="center"/>
            <w:hideMark/>
          </w:tcPr>
          <w:p w14:paraId="1B0CB1AC" w14:textId="2121A4A6" w:rsidR="0073460C" w:rsidRPr="0073460C" w:rsidRDefault="0073460C" w:rsidP="0073460C">
            <w:pPr>
              <w:spacing w:after="0" w:line="240" w:lineRule="auto"/>
              <w:jc w:val="right"/>
              <w:rPr>
                <w:rFonts w:ascii="Arial" w:eastAsia="Times New Roman" w:hAnsi="Arial" w:cs="Arial"/>
                <w:b/>
                <w:bCs/>
                <w:color w:val="000000" w:themeColor="text1"/>
                <w:sz w:val="18"/>
                <w:szCs w:val="18"/>
                <w:lang w:eastAsia="sl-SI"/>
              </w:rPr>
            </w:pPr>
            <w:r w:rsidRPr="0073460C">
              <w:rPr>
                <w:rFonts w:ascii="Arial" w:eastAsia="Times New Roman" w:hAnsi="Arial" w:cs="Arial"/>
                <w:b/>
                <w:bCs/>
                <w:color w:val="000000" w:themeColor="text1"/>
                <w:sz w:val="18"/>
                <w:szCs w:val="18"/>
                <w:lang w:eastAsia="sl-SI"/>
              </w:rPr>
              <w:t>6.232.250.969</w:t>
            </w:r>
          </w:p>
        </w:tc>
        <w:tc>
          <w:tcPr>
            <w:tcW w:w="10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108DB57" w14:textId="6822BA8B" w:rsidR="0073460C" w:rsidRPr="0073460C" w:rsidRDefault="0073460C" w:rsidP="0073460C">
            <w:pPr>
              <w:spacing w:after="0" w:line="240" w:lineRule="auto"/>
              <w:jc w:val="right"/>
              <w:rPr>
                <w:rFonts w:ascii="Arial" w:eastAsia="Times New Roman" w:hAnsi="Arial" w:cs="Arial"/>
                <w:b/>
                <w:bCs/>
                <w:color w:val="000000" w:themeColor="text1"/>
                <w:sz w:val="18"/>
                <w:szCs w:val="18"/>
                <w:lang w:eastAsia="sl-SI"/>
              </w:rPr>
            </w:pPr>
            <w:r w:rsidRPr="0073460C">
              <w:rPr>
                <w:rFonts w:ascii="Arial" w:eastAsia="Times New Roman" w:hAnsi="Arial" w:cs="Arial"/>
                <w:b/>
                <w:bCs/>
                <w:color w:val="000000" w:themeColor="text1"/>
                <w:sz w:val="18"/>
                <w:szCs w:val="18"/>
                <w:lang w:eastAsia="sl-SI"/>
              </w:rPr>
              <w:t>100,00 %</w:t>
            </w:r>
          </w:p>
        </w:tc>
        <w:tc>
          <w:tcPr>
            <w:tcW w:w="1093" w:type="dxa"/>
            <w:tcBorders>
              <w:top w:val="nil"/>
              <w:left w:val="nil"/>
              <w:bottom w:val="single" w:sz="4" w:space="0" w:color="auto"/>
              <w:right w:val="single" w:sz="4" w:space="0" w:color="auto"/>
            </w:tcBorders>
            <w:shd w:val="clear" w:color="auto" w:fill="F2F2F2" w:themeFill="background1" w:themeFillShade="F2"/>
            <w:noWrap/>
            <w:vAlign w:val="center"/>
            <w:hideMark/>
          </w:tcPr>
          <w:p w14:paraId="5BD379DC" w14:textId="27A53C88" w:rsidR="0073460C" w:rsidRPr="0073460C" w:rsidRDefault="0073460C" w:rsidP="0073460C">
            <w:pPr>
              <w:spacing w:after="0" w:line="240" w:lineRule="auto"/>
              <w:jc w:val="right"/>
              <w:rPr>
                <w:rFonts w:ascii="Arial" w:eastAsia="Times New Roman" w:hAnsi="Arial" w:cs="Arial"/>
                <w:b/>
                <w:bCs/>
                <w:color w:val="000000" w:themeColor="text1"/>
                <w:sz w:val="18"/>
                <w:szCs w:val="18"/>
                <w:lang w:eastAsia="sl-SI"/>
              </w:rPr>
            </w:pPr>
            <w:r w:rsidRPr="0073460C">
              <w:rPr>
                <w:rFonts w:ascii="Arial" w:eastAsia="Times New Roman" w:hAnsi="Arial" w:cs="Arial"/>
                <w:b/>
                <w:bCs/>
                <w:color w:val="000000" w:themeColor="text1"/>
                <w:sz w:val="18"/>
                <w:szCs w:val="18"/>
                <w:lang w:eastAsia="sl-SI"/>
              </w:rPr>
              <w:t>100,00 %</w:t>
            </w:r>
          </w:p>
        </w:tc>
      </w:tr>
    </w:tbl>
    <w:p w14:paraId="6E3B8A06" w14:textId="77777777" w:rsidR="004A613D" w:rsidRPr="0073460C" w:rsidRDefault="004A613D" w:rsidP="004A613D">
      <w:pPr>
        <w:spacing w:after="0" w:line="240" w:lineRule="auto"/>
        <w:jc w:val="center"/>
        <w:rPr>
          <w:rFonts w:ascii="Arial" w:hAnsi="Arial" w:cs="Arial"/>
          <w:color w:val="000000" w:themeColor="text1"/>
          <w:sz w:val="18"/>
        </w:rPr>
      </w:pPr>
    </w:p>
    <w:p w14:paraId="3A57FEF7" w14:textId="30664EE9" w:rsidR="005A7AC7" w:rsidRPr="0073460C" w:rsidRDefault="005A7AC7" w:rsidP="004A613D">
      <w:pPr>
        <w:spacing w:after="0" w:line="240" w:lineRule="auto"/>
        <w:jc w:val="center"/>
        <w:rPr>
          <w:rFonts w:ascii="Arial" w:hAnsi="Arial" w:cs="Arial"/>
          <w:color w:val="000000" w:themeColor="text1"/>
          <w:sz w:val="18"/>
        </w:rPr>
      </w:pPr>
      <w:r w:rsidRPr="0073460C">
        <w:rPr>
          <w:rFonts w:ascii="Arial" w:hAnsi="Arial" w:cs="Arial"/>
          <w:color w:val="000000" w:themeColor="text1"/>
          <w:sz w:val="18"/>
        </w:rPr>
        <w:t>Vir: Statistični podatki o javnih naročilih, oddanih v letu</w:t>
      </w:r>
      <w:r w:rsidR="00D76FDF" w:rsidRPr="0073460C">
        <w:rPr>
          <w:rFonts w:ascii="Arial" w:hAnsi="Arial" w:cs="Arial"/>
          <w:color w:val="000000" w:themeColor="text1"/>
          <w:sz w:val="18"/>
        </w:rPr>
        <w:t xml:space="preserve"> 20</w:t>
      </w:r>
      <w:r w:rsidR="00187489" w:rsidRPr="0073460C">
        <w:rPr>
          <w:rFonts w:ascii="Arial" w:hAnsi="Arial" w:cs="Arial"/>
          <w:color w:val="000000" w:themeColor="text1"/>
          <w:sz w:val="18"/>
        </w:rPr>
        <w:t>2</w:t>
      </w:r>
      <w:r w:rsidR="00F629C8" w:rsidRPr="0073460C">
        <w:rPr>
          <w:rFonts w:ascii="Arial" w:hAnsi="Arial" w:cs="Arial"/>
          <w:color w:val="000000" w:themeColor="text1"/>
          <w:sz w:val="18"/>
        </w:rPr>
        <w:t>3</w:t>
      </w:r>
      <w:r w:rsidR="00362BA2" w:rsidRPr="0073460C">
        <w:rPr>
          <w:rFonts w:ascii="Arial" w:hAnsi="Arial" w:cs="Arial"/>
          <w:color w:val="000000" w:themeColor="text1"/>
          <w:sz w:val="18"/>
        </w:rPr>
        <w:t>.</w:t>
      </w:r>
    </w:p>
    <w:p w14:paraId="01A0B3C7" w14:textId="77777777" w:rsidR="000C0E46" w:rsidRPr="00693749" w:rsidRDefault="000C0E46" w:rsidP="005925FE">
      <w:pPr>
        <w:spacing w:line="360" w:lineRule="auto"/>
        <w:jc w:val="both"/>
        <w:rPr>
          <w:rFonts w:ascii="Arial" w:hAnsi="Arial" w:cs="Arial"/>
          <w:color w:val="000000" w:themeColor="text1"/>
          <w:sz w:val="20"/>
          <w:szCs w:val="20"/>
        </w:rPr>
      </w:pPr>
    </w:p>
    <w:p w14:paraId="67F7AF7B" w14:textId="657CE687" w:rsidR="005925FE" w:rsidRPr="00693749" w:rsidRDefault="008E09B2" w:rsidP="005925FE">
      <w:pPr>
        <w:spacing w:line="360" w:lineRule="auto"/>
        <w:jc w:val="both"/>
        <w:rPr>
          <w:rFonts w:ascii="Arial" w:hAnsi="Arial" w:cs="Arial"/>
          <w:color w:val="000000" w:themeColor="text1"/>
          <w:sz w:val="20"/>
          <w:szCs w:val="20"/>
        </w:rPr>
      </w:pPr>
      <w:r w:rsidRPr="00693749">
        <w:rPr>
          <w:rFonts w:ascii="Arial" w:hAnsi="Arial" w:cs="Arial"/>
          <w:color w:val="000000" w:themeColor="text1"/>
          <w:sz w:val="20"/>
          <w:szCs w:val="20"/>
        </w:rPr>
        <w:t>Leta</w:t>
      </w:r>
      <w:r w:rsidR="007A68CE" w:rsidRPr="00693749">
        <w:rPr>
          <w:rFonts w:ascii="Arial" w:hAnsi="Arial" w:cs="Arial"/>
          <w:color w:val="000000" w:themeColor="text1"/>
          <w:sz w:val="20"/>
          <w:szCs w:val="20"/>
        </w:rPr>
        <w:t xml:space="preserve"> 20</w:t>
      </w:r>
      <w:r w:rsidR="00187489" w:rsidRPr="00693749">
        <w:rPr>
          <w:rFonts w:ascii="Arial" w:hAnsi="Arial" w:cs="Arial"/>
          <w:color w:val="000000" w:themeColor="text1"/>
          <w:sz w:val="20"/>
          <w:szCs w:val="20"/>
        </w:rPr>
        <w:t>2</w:t>
      </w:r>
      <w:r w:rsidR="0028593A" w:rsidRPr="00693749">
        <w:rPr>
          <w:rFonts w:ascii="Arial" w:hAnsi="Arial" w:cs="Arial"/>
          <w:color w:val="000000" w:themeColor="text1"/>
          <w:sz w:val="20"/>
          <w:szCs w:val="20"/>
        </w:rPr>
        <w:t>3</w:t>
      </w:r>
      <w:r w:rsidR="005925FE" w:rsidRPr="00693749">
        <w:rPr>
          <w:rFonts w:ascii="Arial" w:hAnsi="Arial" w:cs="Arial"/>
          <w:color w:val="000000" w:themeColor="text1"/>
          <w:sz w:val="20"/>
          <w:szCs w:val="20"/>
        </w:rPr>
        <w:t xml:space="preserve"> so bili po vrednosti največji predmeti naročanja: </w:t>
      </w:r>
    </w:p>
    <w:p w14:paraId="2413E6EA" w14:textId="42D50977" w:rsidR="005925FE" w:rsidRPr="00693749" w:rsidRDefault="005925FE" w:rsidP="005533F3">
      <w:pPr>
        <w:pStyle w:val="Odstavekseznama"/>
        <w:numPr>
          <w:ilvl w:val="0"/>
          <w:numId w:val="21"/>
        </w:numPr>
        <w:spacing w:line="360" w:lineRule="auto"/>
        <w:rPr>
          <w:rFonts w:cs="Arial"/>
          <w:color w:val="000000" w:themeColor="text1"/>
          <w:sz w:val="20"/>
          <w:szCs w:val="20"/>
        </w:rPr>
      </w:pPr>
      <w:r w:rsidRPr="00693749">
        <w:rPr>
          <w:rFonts w:cs="Arial"/>
          <w:color w:val="000000" w:themeColor="text1"/>
          <w:sz w:val="20"/>
          <w:szCs w:val="20"/>
        </w:rPr>
        <w:t xml:space="preserve">gradbena dela v vrednosti </w:t>
      </w:r>
      <w:r w:rsidR="00EE02DB" w:rsidRPr="00693749">
        <w:rPr>
          <w:rFonts w:cs="Arial"/>
          <w:color w:val="000000" w:themeColor="text1"/>
          <w:sz w:val="20"/>
          <w:szCs w:val="20"/>
        </w:rPr>
        <w:t>1.42</w:t>
      </w:r>
      <w:r w:rsidR="00693749" w:rsidRPr="00693749">
        <w:rPr>
          <w:rFonts w:cs="Arial"/>
          <w:color w:val="000000" w:themeColor="text1"/>
          <w:sz w:val="20"/>
          <w:szCs w:val="20"/>
        </w:rPr>
        <w:t>6</w:t>
      </w:r>
      <w:r w:rsidR="00EE02DB" w:rsidRPr="00693749">
        <w:rPr>
          <w:rFonts w:cs="Arial"/>
          <w:color w:val="000000" w:themeColor="text1"/>
          <w:sz w:val="20"/>
          <w:szCs w:val="20"/>
        </w:rPr>
        <w:t>.</w:t>
      </w:r>
      <w:r w:rsidR="00693749" w:rsidRPr="00693749">
        <w:rPr>
          <w:rFonts w:cs="Arial"/>
          <w:color w:val="000000" w:themeColor="text1"/>
          <w:sz w:val="20"/>
          <w:szCs w:val="20"/>
        </w:rPr>
        <w:t>916</w:t>
      </w:r>
      <w:r w:rsidR="00EE02DB" w:rsidRPr="00693749">
        <w:rPr>
          <w:rFonts w:cs="Arial"/>
          <w:color w:val="000000" w:themeColor="text1"/>
          <w:sz w:val="20"/>
          <w:szCs w:val="20"/>
        </w:rPr>
        <w:t>.</w:t>
      </w:r>
      <w:r w:rsidR="00693749" w:rsidRPr="00693749">
        <w:rPr>
          <w:rFonts w:cs="Arial"/>
          <w:color w:val="000000" w:themeColor="text1"/>
          <w:sz w:val="20"/>
          <w:szCs w:val="20"/>
        </w:rPr>
        <w:t>667</w:t>
      </w:r>
      <w:r w:rsidR="00EE02DB" w:rsidRPr="00693749">
        <w:rPr>
          <w:rFonts w:cs="Arial"/>
          <w:color w:val="000000" w:themeColor="text1"/>
          <w:sz w:val="20"/>
          <w:szCs w:val="20"/>
        </w:rPr>
        <w:t xml:space="preserve"> </w:t>
      </w:r>
      <w:r w:rsidRPr="00693749">
        <w:rPr>
          <w:rFonts w:cs="Arial"/>
          <w:color w:val="000000" w:themeColor="text1"/>
          <w:sz w:val="20"/>
          <w:szCs w:val="20"/>
        </w:rPr>
        <w:t>evro</w:t>
      </w:r>
      <w:r w:rsidR="007657FB" w:rsidRPr="00693749">
        <w:rPr>
          <w:rFonts w:cs="Arial"/>
          <w:color w:val="000000" w:themeColor="text1"/>
          <w:sz w:val="20"/>
          <w:szCs w:val="20"/>
        </w:rPr>
        <w:t>v</w:t>
      </w:r>
      <w:r w:rsidRPr="00693749">
        <w:rPr>
          <w:rFonts w:cs="Arial"/>
          <w:color w:val="000000" w:themeColor="text1"/>
          <w:sz w:val="20"/>
          <w:szCs w:val="20"/>
        </w:rPr>
        <w:t xml:space="preserve">, kar je </w:t>
      </w:r>
      <w:r w:rsidR="00EE02DB" w:rsidRPr="00693749">
        <w:rPr>
          <w:rFonts w:cs="Arial"/>
          <w:color w:val="000000" w:themeColor="text1"/>
          <w:sz w:val="20"/>
          <w:szCs w:val="20"/>
        </w:rPr>
        <w:t>22,</w:t>
      </w:r>
      <w:r w:rsidR="005958BC" w:rsidRPr="00693749">
        <w:rPr>
          <w:rFonts w:cs="Arial"/>
          <w:color w:val="000000" w:themeColor="text1"/>
          <w:sz w:val="20"/>
          <w:szCs w:val="20"/>
        </w:rPr>
        <w:t>9</w:t>
      </w:r>
      <w:r w:rsidR="00362BA2" w:rsidRPr="00693749">
        <w:rPr>
          <w:rFonts w:cs="Arial"/>
          <w:color w:val="000000" w:themeColor="text1"/>
          <w:sz w:val="20"/>
          <w:szCs w:val="20"/>
        </w:rPr>
        <w:t> </w:t>
      </w:r>
      <w:r w:rsidR="00AC0027" w:rsidRPr="00693749">
        <w:rPr>
          <w:rFonts w:cs="Arial"/>
          <w:color w:val="000000" w:themeColor="text1"/>
          <w:sz w:val="20"/>
          <w:szCs w:val="20"/>
        </w:rPr>
        <w:t>odstotka</w:t>
      </w:r>
      <w:r w:rsidRPr="00693749">
        <w:rPr>
          <w:rFonts w:cs="Arial"/>
          <w:color w:val="000000" w:themeColor="text1"/>
          <w:sz w:val="20"/>
          <w:szCs w:val="20"/>
        </w:rPr>
        <w:t xml:space="preserve"> vrednosti vseh naročil</w:t>
      </w:r>
      <w:r w:rsidR="008E09B2" w:rsidRPr="00693749">
        <w:rPr>
          <w:rFonts w:cs="Arial"/>
          <w:color w:val="000000" w:themeColor="text1"/>
          <w:sz w:val="20"/>
          <w:szCs w:val="20"/>
        </w:rPr>
        <w:t>,</w:t>
      </w:r>
    </w:p>
    <w:p w14:paraId="5C268580" w14:textId="28D6C014" w:rsidR="00A771A8" w:rsidRPr="00693749" w:rsidRDefault="00EE02DB" w:rsidP="00A771A8">
      <w:pPr>
        <w:pStyle w:val="Odstavekseznama"/>
        <w:numPr>
          <w:ilvl w:val="0"/>
          <w:numId w:val="21"/>
        </w:numPr>
        <w:spacing w:line="360" w:lineRule="auto"/>
        <w:rPr>
          <w:rFonts w:cs="Arial"/>
          <w:color w:val="000000" w:themeColor="text1"/>
          <w:sz w:val="20"/>
          <w:szCs w:val="20"/>
        </w:rPr>
      </w:pPr>
      <w:r w:rsidRPr="00693749">
        <w:rPr>
          <w:rFonts w:cs="Arial"/>
          <w:color w:val="000000" w:themeColor="text1"/>
          <w:sz w:val="20"/>
          <w:szCs w:val="20"/>
        </w:rPr>
        <w:t xml:space="preserve">prevozne storitve (razen prevoza odpadkov) </w:t>
      </w:r>
      <w:r w:rsidR="00A771A8" w:rsidRPr="00693749">
        <w:rPr>
          <w:rFonts w:cs="Arial"/>
          <w:color w:val="000000" w:themeColor="text1"/>
          <w:sz w:val="20"/>
          <w:szCs w:val="20"/>
        </w:rPr>
        <w:t xml:space="preserve">v vrednosti </w:t>
      </w:r>
      <w:r w:rsidRPr="00693749">
        <w:rPr>
          <w:rFonts w:cs="Arial"/>
          <w:color w:val="000000" w:themeColor="text1"/>
          <w:sz w:val="20"/>
          <w:szCs w:val="20"/>
        </w:rPr>
        <w:t xml:space="preserve">808.256.528 </w:t>
      </w:r>
      <w:r w:rsidR="00A771A8" w:rsidRPr="00693749">
        <w:rPr>
          <w:rFonts w:cs="Arial"/>
          <w:color w:val="000000" w:themeColor="text1"/>
          <w:sz w:val="20"/>
          <w:szCs w:val="20"/>
        </w:rPr>
        <w:t xml:space="preserve">evrov, kar je </w:t>
      </w:r>
      <w:r w:rsidRPr="00693749">
        <w:rPr>
          <w:rFonts w:cs="Arial"/>
          <w:color w:val="000000" w:themeColor="text1"/>
          <w:sz w:val="20"/>
          <w:szCs w:val="20"/>
        </w:rPr>
        <w:t>12,</w:t>
      </w:r>
      <w:r w:rsidR="005958BC" w:rsidRPr="00693749">
        <w:rPr>
          <w:rFonts w:cs="Arial"/>
          <w:color w:val="000000" w:themeColor="text1"/>
          <w:sz w:val="20"/>
          <w:szCs w:val="20"/>
        </w:rPr>
        <w:t>97</w:t>
      </w:r>
      <w:r w:rsidR="00A771A8" w:rsidRPr="00693749">
        <w:rPr>
          <w:rFonts w:cs="Arial"/>
          <w:color w:val="000000" w:themeColor="text1"/>
          <w:sz w:val="20"/>
          <w:szCs w:val="20"/>
        </w:rPr>
        <w:t> </w:t>
      </w:r>
      <w:r w:rsidR="00AC0027" w:rsidRPr="00693749">
        <w:rPr>
          <w:rFonts w:cs="Arial"/>
          <w:color w:val="000000" w:themeColor="text1"/>
          <w:sz w:val="20"/>
          <w:szCs w:val="20"/>
        </w:rPr>
        <w:t>odstotka</w:t>
      </w:r>
      <w:r w:rsidR="00A771A8" w:rsidRPr="00693749">
        <w:rPr>
          <w:rFonts w:cs="Arial"/>
          <w:color w:val="000000" w:themeColor="text1"/>
          <w:sz w:val="20"/>
          <w:szCs w:val="20"/>
        </w:rPr>
        <w:t xml:space="preserve"> vrednosti vseh naročil,</w:t>
      </w:r>
    </w:p>
    <w:p w14:paraId="2A8E61B2" w14:textId="16C99D9F" w:rsidR="005925FE" w:rsidRPr="00693749" w:rsidRDefault="00F2312A" w:rsidP="00467121">
      <w:pPr>
        <w:pStyle w:val="Odstavekseznama"/>
        <w:numPr>
          <w:ilvl w:val="0"/>
          <w:numId w:val="21"/>
        </w:numPr>
        <w:spacing w:line="360" w:lineRule="auto"/>
        <w:rPr>
          <w:rFonts w:cs="Arial"/>
          <w:color w:val="000000" w:themeColor="text1"/>
          <w:sz w:val="20"/>
          <w:szCs w:val="20"/>
        </w:rPr>
      </w:pPr>
      <w:r w:rsidRPr="00693749">
        <w:rPr>
          <w:rFonts w:cs="Arial"/>
          <w:color w:val="000000" w:themeColor="text1"/>
          <w:sz w:val="20"/>
          <w:szCs w:val="20"/>
        </w:rPr>
        <w:t xml:space="preserve">medicinska oprema, farmacevtski izdelki in izdelki za osebno nego </w:t>
      </w:r>
      <w:r w:rsidR="005925FE" w:rsidRPr="00693749">
        <w:rPr>
          <w:rFonts w:cs="Arial"/>
          <w:color w:val="000000" w:themeColor="text1"/>
          <w:sz w:val="20"/>
          <w:szCs w:val="20"/>
        </w:rPr>
        <w:t xml:space="preserve">v vrednosti </w:t>
      </w:r>
      <w:r w:rsidRPr="00693749">
        <w:rPr>
          <w:rFonts w:cs="Arial"/>
          <w:color w:val="000000" w:themeColor="text1"/>
          <w:sz w:val="20"/>
          <w:szCs w:val="20"/>
        </w:rPr>
        <w:t xml:space="preserve">766.801.333 </w:t>
      </w:r>
      <w:r w:rsidR="005925FE" w:rsidRPr="00693749">
        <w:rPr>
          <w:rFonts w:cs="Arial"/>
          <w:color w:val="000000" w:themeColor="text1"/>
          <w:sz w:val="20"/>
          <w:szCs w:val="20"/>
        </w:rPr>
        <w:t xml:space="preserve">evrov, kar je </w:t>
      </w:r>
      <w:r w:rsidR="00EE02DB" w:rsidRPr="00693749">
        <w:rPr>
          <w:rFonts w:cs="Arial"/>
          <w:color w:val="000000" w:themeColor="text1"/>
          <w:sz w:val="20"/>
          <w:szCs w:val="20"/>
        </w:rPr>
        <w:t>12,</w:t>
      </w:r>
      <w:r w:rsidRPr="00693749">
        <w:rPr>
          <w:rFonts w:cs="Arial"/>
          <w:color w:val="000000" w:themeColor="text1"/>
          <w:sz w:val="20"/>
          <w:szCs w:val="20"/>
        </w:rPr>
        <w:t>3</w:t>
      </w:r>
      <w:r w:rsidR="00362BA2" w:rsidRPr="00693749">
        <w:rPr>
          <w:rFonts w:cs="Arial"/>
          <w:color w:val="000000" w:themeColor="text1"/>
          <w:sz w:val="20"/>
          <w:szCs w:val="20"/>
        </w:rPr>
        <w:t> </w:t>
      </w:r>
      <w:r w:rsidR="00AC0027" w:rsidRPr="00693749">
        <w:rPr>
          <w:rFonts w:cs="Arial"/>
          <w:color w:val="000000" w:themeColor="text1"/>
          <w:sz w:val="20"/>
          <w:szCs w:val="20"/>
        </w:rPr>
        <w:t>odstotka</w:t>
      </w:r>
      <w:r w:rsidR="005925FE" w:rsidRPr="00693749">
        <w:rPr>
          <w:rFonts w:cs="Arial"/>
          <w:color w:val="000000" w:themeColor="text1"/>
          <w:sz w:val="20"/>
          <w:szCs w:val="20"/>
        </w:rPr>
        <w:t xml:space="preserve"> vrednosti vseh naročil</w:t>
      </w:r>
      <w:r w:rsidR="00A771A8" w:rsidRPr="00693749">
        <w:rPr>
          <w:rFonts w:cs="Arial"/>
          <w:color w:val="000000" w:themeColor="text1"/>
          <w:sz w:val="20"/>
          <w:szCs w:val="20"/>
        </w:rPr>
        <w:t>.</w:t>
      </w:r>
    </w:p>
    <w:p w14:paraId="451D512F" w14:textId="6A705665" w:rsidR="005925FE" w:rsidRPr="00026B1B" w:rsidRDefault="005925FE" w:rsidP="005925FE">
      <w:pPr>
        <w:spacing w:line="360" w:lineRule="auto"/>
        <w:jc w:val="both"/>
        <w:rPr>
          <w:rFonts w:ascii="Arial" w:hAnsi="Arial" w:cs="Arial"/>
          <w:color w:val="000000" w:themeColor="text1"/>
          <w:sz w:val="20"/>
          <w:szCs w:val="20"/>
        </w:rPr>
      </w:pPr>
      <w:r w:rsidRPr="00BF776D">
        <w:rPr>
          <w:rFonts w:ascii="Arial" w:hAnsi="Arial" w:cs="Arial"/>
          <w:color w:val="000000" w:themeColor="text1"/>
          <w:sz w:val="20"/>
          <w:szCs w:val="20"/>
        </w:rPr>
        <w:t xml:space="preserve">Navedeni predmeti naročil po vrednosti obsegajo </w:t>
      </w:r>
      <w:r w:rsidR="00EE02DB" w:rsidRPr="00BF776D">
        <w:rPr>
          <w:rFonts w:ascii="Arial" w:hAnsi="Arial" w:cs="Arial"/>
          <w:color w:val="000000" w:themeColor="text1"/>
          <w:sz w:val="20"/>
          <w:szCs w:val="20"/>
        </w:rPr>
        <w:t>slabo polovico</w:t>
      </w:r>
      <w:r w:rsidRPr="00BF776D">
        <w:rPr>
          <w:rFonts w:ascii="Arial" w:hAnsi="Arial" w:cs="Arial"/>
          <w:color w:val="000000" w:themeColor="text1"/>
          <w:sz w:val="20"/>
          <w:szCs w:val="20"/>
        </w:rPr>
        <w:t xml:space="preserve"> oddanih naročil v letu 20</w:t>
      </w:r>
      <w:r w:rsidR="006D187D" w:rsidRPr="00BF776D">
        <w:rPr>
          <w:rFonts w:ascii="Arial" w:hAnsi="Arial" w:cs="Arial"/>
          <w:color w:val="000000" w:themeColor="text1"/>
          <w:sz w:val="20"/>
          <w:szCs w:val="20"/>
        </w:rPr>
        <w:t>2</w:t>
      </w:r>
      <w:r w:rsidR="00EE02DB" w:rsidRPr="00BF776D">
        <w:rPr>
          <w:rFonts w:ascii="Arial" w:hAnsi="Arial" w:cs="Arial"/>
          <w:color w:val="000000" w:themeColor="text1"/>
          <w:sz w:val="20"/>
          <w:szCs w:val="20"/>
        </w:rPr>
        <w:t>3</w:t>
      </w:r>
      <w:r w:rsidRPr="00BF776D">
        <w:rPr>
          <w:rFonts w:ascii="Arial" w:hAnsi="Arial" w:cs="Arial"/>
          <w:color w:val="000000" w:themeColor="text1"/>
          <w:sz w:val="20"/>
          <w:szCs w:val="20"/>
        </w:rPr>
        <w:t xml:space="preserve">, po številu </w:t>
      </w:r>
      <w:r w:rsidRPr="00026B1B">
        <w:rPr>
          <w:rFonts w:ascii="Arial" w:hAnsi="Arial" w:cs="Arial"/>
          <w:color w:val="000000" w:themeColor="text1"/>
          <w:sz w:val="20"/>
          <w:szCs w:val="20"/>
        </w:rPr>
        <w:t xml:space="preserve">pa </w:t>
      </w:r>
      <w:r w:rsidR="0097048C" w:rsidRPr="00026B1B">
        <w:rPr>
          <w:rFonts w:ascii="Arial" w:hAnsi="Arial" w:cs="Arial"/>
          <w:color w:val="000000" w:themeColor="text1"/>
          <w:sz w:val="20"/>
          <w:szCs w:val="20"/>
        </w:rPr>
        <w:t>dobro</w:t>
      </w:r>
      <w:r w:rsidR="00825E7E" w:rsidRPr="00026B1B">
        <w:rPr>
          <w:rFonts w:ascii="Arial" w:hAnsi="Arial" w:cs="Arial"/>
          <w:color w:val="000000" w:themeColor="text1"/>
          <w:sz w:val="20"/>
          <w:szCs w:val="20"/>
        </w:rPr>
        <w:t xml:space="preserve"> </w:t>
      </w:r>
      <w:r w:rsidR="008233FF" w:rsidRPr="00026B1B">
        <w:rPr>
          <w:rFonts w:ascii="Arial" w:hAnsi="Arial" w:cs="Arial"/>
          <w:color w:val="000000" w:themeColor="text1"/>
          <w:sz w:val="20"/>
          <w:szCs w:val="20"/>
        </w:rPr>
        <w:t>četrtino</w:t>
      </w:r>
      <w:r w:rsidRPr="00026B1B">
        <w:rPr>
          <w:rFonts w:ascii="Arial" w:hAnsi="Arial" w:cs="Arial"/>
          <w:color w:val="000000" w:themeColor="text1"/>
          <w:sz w:val="20"/>
          <w:szCs w:val="20"/>
        </w:rPr>
        <w:t>.</w:t>
      </w:r>
    </w:p>
    <w:p w14:paraId="3D106FCF" w14:textId="5CBF4AE3" w:rsidR="005925FE" w:rsidRPr="00026B1B" w:rsidRDefault="005925FE" w:rsidP="00EE4C56">
      <w:pPr>
        <w:spacing w:line="360" w:lineRule="auto"/>
        <w:rPr>
          <w:rFonts w:ascii="Arial" w:hAnsi="Arial" w:cs="Arial"/>
          <w:color w:val="000000" w:themeColor="text1"/>
          <w:sz w:val="20"/>
          <w:szCs w:val="20"/>
        </w:rPr>
      </w:pPr>
      <w:r w:rsidRPr="00026B1B">
        <w:rPr>
          <w:rFonts w:ascii="Arial" w:hAnsi="Arial" w:cs="Arial"/>
          <w:color w:val="000000" w:themeColor="text1"/>
          <w:sz w:val="20"/>
          <w:szCs w:val="20"/>
        </w:rPr>
        <w:t xml:space="preserve">Po številu naročil so bili najpogosteje predmet naročanja: </w:t>
      </w:r>
    </w:p>
    <w:p w14:paraId="2F6DA8F6" w14:textId="2F2BF5E1" w:rsidR="00825F3E" w:rsidRPr="00026B1B" w:rsidRDefault="00825F3E" w:rsidP="00EE4C56">
      <w:pPr>
        <w:pStyle w:val="Odstavekseznama"/>
        <w:numPr>
          <w:ilvl w:val="0"/>
          <w:numId w:val="22"/>
        </w:numPr>
        <w:spacing w:line="360" w:lineRule="auto"/>
        <w:rPr>
          <w:rFonts w:cs="Arial"/>
          <w:color w:val="000000" w:themeColor="text1"/>
          <w:sz w:val="20"/>
          <w:szCs w:val="20"/>
        </w:rPr>
      </w:pPr>
      <w:r w:rsidRPr="00026B1B">
        <w:rPr>
          <w:rFonts w:cs="Arial"/>
          <w:color w:val="000000" w:themeColor="text1"/>
          <w:sz w:val="20"/>
          <w:szCs w:val="20"/>
        </w:rPr>
        <w:t>živila, pijače, tobačni izdelki in z njimi povezani izdelki v 3446 naročilih v skupni vrednosti 167.496.126 evrov, kar je 20,48 odstotka vseh naročil,</w:t>
      </w:r>
    </w:p>
    <w:p w14:paraId="31A8CA45" w14:textId="5CA0FD68" w:rsidR="00CA3D6B" w:rsidRPr="00026B1B" w:rsidRDefault="00CA3D6B" w:rsidP="00EE4C56">
      <w:pPr>
        <w:pStyle w:val="Odstavekseznama"/>
        <w:numPr>
          <w:ilvl w:val="0"/>
          <w:numId w:val="22"/>
        </w:numPr>
        <w:spacing w:line="360" w:lineRule="auto"/>
        <w:rPr>
          <w:rFonts w:cs="Arial"/>
          <w:color w:val="000000" w:themeColor="text1"/>
          <w:sz w:val="20"/>
          <w:szCs w:val="20"/>
        </w:rPr>
      </w:pPr>
      <w:r w:rsidRPr="00026B1B">
        <w:rPr>
          <w:rFonts w:cs="Arial"/>
          <w:color w:val="000000" w:themeColor="text1"/>
          <w:sz w:val="20"/>
          <w:szCs w:val="20"/>
        </w:rPr>
        <w:t xml:space="preserve">medicinska oprema, farmacevtski izdelki in izdelki za osebno nego v </w:t>
      </w:r>
      <w:r w:rsidR="00BA20FF" w:rsidRPr="00026B1B">
        <w:rPr>
          <w:rFonts w:cs="Arial"/>
          <w:color w:val="000000" w:themeColor="text1"/>
          <w:sz w:val="20"/>
          <w:szCs w:val="20"/>
        </w:rPr>
        <w:t>2823</w:t>
      </w:r>
      <w:r w:rsidRPr="00026B1B">
        <w:rPr>
          <w:rFonts w:cs="Arial"/>
          <w:color w:val="000000" w:themeColor="text1"/>
          <w:sz w:val="20"/>
          <w:szCs w:val="20"/>
        </w:rPr>
        <w:t xml:space="preserve"> naročilih v skupni vrednosti </w:t>
      </w:r>
      <w:r w:rsidR="00BA20FF" w:rsidRPr="00026B1B">
        <w:rPr>
          <w:rFonts w:cs="Arial"/>
          <w:color w:val="000000" w:themeColor="text1"/>
          <w:sz w:val="20"/>
          <w:szCs w:val="20"/>
        </w:rPr>
        <w:t xml:space="preserve">766.801.333 </w:t>
      </w:r>
      <w:r w:rsidRPr="00026B1B">
        <w:rPr>
          <w:rFonts w:cs="Arial"/>
          <w:color w:val="000000" w:themeColor="text1"/>
          <w:sz w:val="20"/>
          <w:szCs w:val="20"/>
        </w:rPr>
        <w:t xml:space="preserve">evrov, kar je </w:t>
      </w:r>
      <w:r w:rsidR="00BA20FF" w:rsidRPr="00026B1B">
        <w:rPr>
          <w:rFonts w:cs="Arial"/>
          <w:color w:val="000000" w:themeColor="text1"/>
          <w:sz w:val="20"/>
          <w:szCs w:val="20"/>
        </w:rPr>
        <w:t>16,7</w:t>
      </w:r>
      <w:r w:rsidR="00B505FD" w:rsidRPr="00026B1B">
        <w:rPr>
          <w:rFonts w:cs="Arial"/>
          <w:color w:val="000000" w:themeColor="text1"/>
          <w:sz w:val="20"/>
          <w:szCs w:val="20"/>
        </w:rPr>
        <w:t>8</w:t>
      </w:r>
      <w:r w:rsidRPr="00026B1B">
        <w:rPr>
          <w:rFonts w:cs="Arial"/>
          <w:color w:val="000000" w:themeColor="text1"/>
          <w:sz w:val="20"/>
          <w:szCs w:val="20"/>
        </w:rPr>
        <w:t xml:space="preserve"> </w:t>
      </w:r>
      <w:r w:rsidR="00AC0027" w:rsidRPr="00026B1B">
        <w:rPr>
          <w:rFonts w:cs="Arial"/>
          <w:color w:val="000000" w:themeColor="text1"/>
          <w:sz w:val="20"/>
          <w:szCs w:val="20"/>
        </w:rPr>
        <w:t>odstotka</w:t>
      </w:r>
      <w:r w:rsidRPr="00026B1B">
        <w:rPr>
          <w:rFonts w:cs="Arial"/>
          <w:color w:val="000000" w:themeColor="text1"/>
          <w:sz w:val="20"/>
          <w:szCs w:val="20"/>
        </w:rPr>
        <w:t xml:space="preserve"> vseh naročil,</w:t>
      </w:r>
    </w:p>
    <w:p w14:paraId="49EB7D5E" w14:textId="15C82DDC" w:rsidR="005925FE" w:rsidRPr="00026B1B" w:rsidRDefault="00523E6A" w:rsidP="004E54B4">
      <w:pPr>
        <w:pStyle w:val="Odstavekseznama"/>
        <w:numPr>
          <w:ilvl w:val="0"/>
          <w:numId w:val="22"/>
        </w:numPr>
        <w:spacing w:line="360" w:lineRule="auto"/>
        <w:rPr>
          <w:rFonts w:cs="Arial"/>
          <w:color w:val="000000" w:themeColor="text1"/>
          <w:sz w:val="20"/>
          <w:szCs w:val="20"/>
        </w:rPr>
      </w:pPr>
      <w:r w:rsidRPr="00026B1B">
        <w:rPr>
          <w:rFonts w:cs="Arial"/>
          <w:color w:val="000000" w:themeColor="text1"/>
          <w:sz w:val="20"/>
          <w:szCs w:val="20"/>
        </w:rPr>
        <w:t>gradbena dela</w:t>
      </w:r>
      <w:r w:rsidR="005925FE" w:rsidRPr="00026B1B">
        <w:rPr>
          <w:rFonts w:cs="Arial"/>
          <w:color w:val="000000" w:themeColor="text1"/>
          <w:sz w:val="20"/>
          <w:szCs w:val="20"/>
        </w:rPr>
        <w:t xml:space="preserve"> v </w:t>
      </w:r>
      <w:r w:rsidR="006D187D" w:rsidRPr="00026B1B">
        <w:rPr>
          <w:rFonts w:cs="Arial"/>
          <w:color w:val="000000" w:themeColor="text1"/>
          <w:sz w:val="20"/>
          <w:szCs w:val="20"/>
        </w:rPr>
        <w:t>1</w:t>
      </w:r>
      <w:r w:rsidR="00BA20FF" w:rsidRPr="00026B1B">
        <w:rPr>
          <w:rFonts w:cs="Arial"/>
          <w:color w:val="000000" w:themeColor="text1"/>
          <w:sz w:val="20"/>
          <w:szCs w:val="20"/>
        </w:rPr>
        <w:t>56</w:t>
      </w:r>
      <w:r w:rsidR="00026B1B" w:rsidRPr="00026B1B">
        <w:rPr>
          <w:rFonts w:cs="Arial"/>
          <w:color w:val="000000" w:themeColor="text1"/>
          <w:sz w:val="20"/>
          <w:szCs w:val="20"/>
        </w:rPr>
        <w:t>5</w:t>
      </w:r>
      <w:r w:rsidR="005925FE" w:rsidRPr="00026B1B">
        <w:rPr>
          <w:rFonts w:cs="Arial"/>
          <w:color w:val="000000" w:themeColor="text1"/>
          <w:sz w:val="20"/>
          <w:szCs w:val="20"/>
        </w:rPr>
        <w:t xml:space="preserve"> naročilih v skupni vrednosti </w:t>
      </w:r>
      <w:r w:rsidR="00026B1B" w:rsidRPr="00026B1B">
        <w:rPr>
          <w:rFonts w:cs="Arial"/>
          <w:color w:val="000000" w:themeColor="text1"/>
          <w:sz w:val="20"/>
          <w:szCs w:val="20"/>
        </w:rPr>
        <w:t xml:space="preserve">1.426.916.667 </w:t>
      </w:r>
      <w:r w:rsidRPr="00026B1B">
        <w:rPr>
          <w:rFonts w:cs="Arial"/>
          <w:color w:val="000000" w:themeColor="text1"/>
          <w:sz w:val="20"/>
          <w:szCs w:val="20"/>
        </w:rPr>
        <w:t>evro</w:t>
      </w:r>
      <w:r w:rsidR="00EB1F35" w:rsidRPr="00026B1B">
        <w:rPr>
          <w:rFonts w:cs="Arial"/>
          <w:color w:val="000000" w:themeColor="text1"/>
          <w:sz w:val="20"/>
          <w:szCs w:val="20"/>
        </w:rPr>
        <w:t>v</w:t>
      </w:r>
      <w:r w:rsidR="005925FE" w:rsidRPr="00026B1B">
        <w:rPr>
          <w:rFonts w:cs="Arial"/>
          <w:color w:val="000000" w:themeColor="text1"/>
          <w:sz w:val="20"/>
          <w:szCs w:val="20"/>
        </w:rPr>
        <w:t xml:space="preserve">, kar je </w:t>
      </w:r>
      <w:r w:rsidR="00BA20FF" w:rsidRPr="00026B1B">
        <w:rPr>
          <w:rFonts w:cs="Arial"/>
          <w:color w:val="000000" w:themeColor="text1"/>
          <w:sz w:val="20"/>
          <w:szCs w:val="20"/>
        </w:rPr>
        <w:t>9,3</w:t>
      </w:r>
      <w:r w:rsidR="006A17D7" w:rsidRPr="00026B1B">
        <w:rPr>
          <w:rFonts w:cs="Arial"/>
          <w:color w:val="000000" w:themeColor="text1"/>
          <w:sz w:val="20"/>
          <w:szCs w:val="20"/>
        </w:rPr>
        <w:t> </w:t>
      </w:r>
      <w:r w:rsidR="00AC0027" w:rsidRPr="00026B1B">
        <w:rPr>
          <w:rFonts w:cs="Arial"/>
          <w:color w:val="000000" w:themeColor="text1"/>
          <w:sz w:val="20"/>
          <w:szCs w:val="20"/>
        </w:rPr>
        <w:t>odstotka</w:t>
      </w:r>
      <w:r w:rsidR="005925FE" w:rsidRPr="00026B1B">
        <w:rPr>
          <w:rFonts w:cs="Arial"/>
          <w:color w:val="000000" w:themeColor="text1"/>
          <w:sz w:val="20"/>
          <w:szCs w:val="20"/>
        </w:rPr>
        <w:t xml:space="preserve"> vseh naročil.</w:t>
      </w:r>
    </w:p>
    <w:p w14:paraId="050A45F4" w14:textId="77777777" w:rsidR="000A7C71" w:rsidRPr="00637ACF" w:rsidRDefault="000A7C71" w:rsidP="000A7C71">
      <w:pPr>
        <w:pStyle w:val="Odstavekseznama"/>
        <w:spacing w:line="360" w:lineRule="auto"/>
        <w:rPr>
          <w:rFonts w:cs="Arial"/>
          <w:color w:val="FF0000"/>
          <w:sz w:val="20"/>
          <w:szCs w:val="20"/>
          <w:highlight w:val="yellow"/>
        </w:rPr>
      </w:pPr>
    </w:p>
    <w:p w14:paraId="1CA667F2" w14:textId="74F9E79C" w:rsidR="005925FE" w:rsidRPr="00FF5AB9" w:rsidRDefault="005925FE" w:rsidP="005925FE">
      <w:pPr>
        <w:spacing w:line="360" w:lineRule="auto"/>
        <w:jc w:val="both"/>
        <w:rPr>
          <w:rFonts w:ascii="Arial" w:hAnsi="Arial" w:cs="Arial"/>
          <w:color w:val="000000" w:themeColor="text1"/>
          <w:sz w:val="20"/>
          <w:szCs w:val="20"/>
        </w:rPr>
      </w:pPr>
      <w:r w:rsidRPr="00FF5AB9">
        <w:rPr>
          <w:rFonts w:ascii="Arial" w:hAnsi="Arial" w:cs="Arial"/>
          <w:color w:val="000000" w:themeColor="text1"/>
          <w:sz w:val="20"/>
          <w:szCs w:val="20"/>
        </w:rPr>
        <w:t xml:space="preserve">Pri naročilih blaga </w:t>
      </w:r>
      <w:r w:rsidR="00680D9B" w:rsidRPr="00FF5AB9">
        <w:rPr>
          <w:rFonts w:ascii="Arial" w:hAnsi="Arial" w:cs="Arial"/>
          <w:color w:val="000000" w:themeColor="text1"/>
          <w:sz w:val="20"/>
          <w:szCs w:val="20"/>
        </w:rPr>
        <w:t>je</w:t>
      </w:r>
      <w:r w:rsidRPr="00FF5AB9">
        <w:rPr>
          <w:rFonts w:ascii="Arial" w:hAnsi="Arial" w:cs="Arial"/>
          <w:color w:val="000000" w:themeColor="text1"/>
          <w:sz w:val="20"/>
          <w:szCs w:val="20"/>
        </w:rPr>
        <w:t xml:space="preserve"> bil</w:t>
      </w:r>
      <w:r w:rsidR="00680D9B" w:rsidRPr="00FF5AB9">
        <w:rPr>
          <w:rFonts w:ascii="Arial" w:hAnsi="Arial" w:cs="Arial"/>
          <w:color w:val="000000" w:themeColor="text1"/>
          <w:sz w:val="20"/>
          <w:szCs w:val="20"/>
        </w:rPr>
        <w:t>o</w:t>
      </w:r>
      <w:r w:rsidRPr="00FF5AB9">
        <w:rPr>
          <w:rFonts w:ascii="Arial" w:hAnsi="Arial" w:cs="Arial"/>
          <w:color w:val="000000" w:themeColor="text1"/>
          <w:sz w:val="20"/>
          <w:szCs w:val="20"/>
        </w:rPr>
        <w:t xml:space="preserve"> </w:t>
      </w:r>
      <w:r w:rsidR="008E09B2" w:rsidRPr="00FF5AB9">
        <w:rPr>
          <w:rFonts w:ascii="Arial" w:hAnsi="Arial" w:cs="Arial"/>
          <w:color w:val="000000" w:themeColor="text1"/>
          <w:sz w:val="20"/>
          <w:szCs w:val="20"/>
        </w:rPr>
        <w:t xml:space="preserve">leta </w:t>
      </w:r>
      <w:r w:rsidRPr="00FF5AB9">
        <w:rPr>
          <w:rFonts w:ascii="Arial" w:hAnsi="Arial" w:cs="Arial"/>
          <w:color w:val="000000" w:themeColor="text1"/>
          <w:sz w:val="20"/>
          <w:szCs w:val="20"/>
        </w:rPr>
        <w:t>20</w:t>
      </w:r>
      <w:r w:rsidR="00D5503A" w:rsidRPr="00FF5AB9">
        <w:rPr>
          <w:rFonts w:ascii="Arial" w:hAnsi="Arial" w:cs="Arial"/>
          <w:color w:val="000000" w:themeColor="text1"/>
          <w:sz w:val="20"/>
          <w:szCs w:val="20"/>
        </w:rPr>
        <w:t>2</w:t>
      </w:r>
      <w:r w:rsidR="006308E5" w:rsidRPr="00FF5AB9">
        <w:rPr>
          <w:rFonts w:ascii="Arial" w:hAnsi="Arial" w:cs="Arial"/>
          <w:color w:val="000000" w:themeColor="text1"/>
          <w:sz w:val="20"/>
          <w:szCs w:val="20"/>
        </w:rPr>
        <w:t>3</w:t>
      </w:r>
      <w:r w:rsidR="00523E6A" w:rsidRPr="00FF5AB9">
        <w:rPr>
          <w:rFonts w:ascii="Arial" w:hAnsi="Arial" w:cs="Arial"/>
          <w:color w:val="000000" w:themeColor="text1"/>
          <w:sz w:val="20"/>
          <w:szCs w:val="20"/>
        </w:rPr>
        <w:t xml:space="preserve"> </w:t>
      </w:r>
      <w:r w:rsidRPr="00FF5AB9">
        <w:rPr>
          <w:rFonts w:ascii="Arial" w:hAnsi="Arial" w:cs="Arial"/>
          <w:color w:val="000000" w:themeColor="text1"/>
          <w:sz w:val="20"/>
          <w:szCs w:val="20"/>
        </w:rPr>
        <w:t>naj</w:t>
      </w:r>
      <w:r w:rsidR="00680D9B" w:rsidRPr="00FF5AB9">
        <w:rPr>
          <w:rFonts w:ascii="Arial" w:hAnsi="Arial" w:cs="Arial"/>
          <w:color w:val="000000" w:themeColor="text1"/>
          <w:sz w:val="20"/>
          <w:szCs w:val="20"/>
        </w:rPr>
        <w:t>več</w:t>
      </w:r>
      <w:r w:rsidRPr="00FF5AB9">
        <w:rPr>
          <w:rFonts w:ascii="Arial" w:hAnsi="Arial" w:cs="Arial"/>
          <w:color w:val="000000" w:themeColor="text1"/>
          <w:sz w:val="20"/>
          <w:szCs w:val="20"/>
        </w:rPr>
        <w:t xml:space="preserve"> naročil </w:t>
      </w:r>
      <w:r w:rsidR="006308E5" w:rsidRPr="00FF5AB9">
        <w:rPr>
          <w:rFonts w:ascii="Arial" w:hAnsi="Arial" w:cs="Arial"/>
          <w:color w:val="000000" w:themeColor="text1"/>
          <w:sz w:val="20"/>
          <w:szCs w:val="20"/>
        </w:rPr>
        <w:t xml:space="preserve">živil, pijače, tobačnih izdelkov in z njimi povezanih izdelkov </w:t>
      </w:r>
      <w:r w:rsidR="00AE3BE3" w:rsidRPr="00FF5AB9">
        <w:rPr>
          <w:rFonts w:ascii="Arial" w:hAnsi="Arial" w:cs="Arial"/>
          <w:color w:val="000000" w:themeColor="text1"/>
          <w:sz w:val="20"/>
          <w:szCs w:val="20"/>
        </w:rPr>
        <w:t xml:space="preserve">v vrednosti </w:t>
      </w:r>
      <w:r w:rsidR="006308E5" w:rsidRPr="00FF5AB9">
        <w:rPr>
          <w:rFonts w:ascii="Arial" w:hAnsi="Arial" w:cs="Arial"/>
          <w:color w:val="000000" w:themeColor="text1"/>
          <w:sz w:val="20"/>
          <w:szCs w:val="20"/>
        </w:rPr>
        <w:t xml:space="preserve">167.496.126 </w:t>
      </w:r>
      <w:r w:rsidR="00AE3BE3" w:rsidRPr="00FF5AB9">
        <w:rPr>
          <w:rFonts w:ascii="Arial" w:hAnsi="Arial" w:cs="Arial"/>
          <w:color w:val="000000" w:themeColor="text1"/>
          <w:sz w:val="20"/>
          <w:szCs w:val="20"/>
        </w:rPr>
        <w:t xml:space="preserve">evrov oziroma </w:t>
      </w:r>
      <w:r w:rsidR="00B505FD" w:rsidRPr="00FF5AB9">
        <w:rPr>
          <w:rFonts w:ascii="Arial" w:hAnsi="Arial" w:cs="Arial"/>
          <w:color w:val="000000" w:themeColor="text1"/>
          <w:sz w:val="20"/>
          <w:szCs w:val="20"/>
        </w:rPr>
        <w:t>6,42</w:t>
      </w:r>
      <w:r w:rsidR="006308E5" w:rsidRPr="00FF5AB9">
        <w:rPr>
          <w:rFonts w:ascii="Arial" w:hAnsi="Arial" w:cs="Arial"/>
          <w:color w:val="000000" w:themeColor="text1"/>
          <w:sz w:val="20"/>
          <w:szCs w:val="20"/>
        </w:rPr>
        <w:t xml:space="preserve"> </w:t>
      </w:r>
      <w:r w:rsidR="00AC0027" w:rsidRPr="00FF5AB9">
        <w:rPr>
          <w:rFonts w:ascii="Arial" w:hAnsi="Arial" w:cs="Arial"/>
          <w:color w:val="000000" w:themeColor="text1"/>
          <w:sz w:val="20"/>
          <w:szCs w:val="20"/>
        </w:rPr>
        <w:t>odstotka</w:t>
      </w:r>
      <w:r w:rsidR="00AE3BE3" w:rsidRPr="00FF5AB9">
        <w:rPr>
          <w:rFonts w:ascii="Arial" w:hAnsi="Arial" w:cs="Arial"/>
          <w:color w:val="000000" w:themeColor="text1"/>
          <w:sz w:val="20"/>
          <w:szCs w:val="20"/>
        </w:rPr>
        <w:t xml:space="preserve"> vrednosti vseh naročil blaga ter naročil </w:t>
      </w:r>
      <w:r w:rsidR="006308E5" w:rsidRPr="00FF5AB9">
        <w:rPr>
          <w:rFonts w:ascii="Arial" w:hAnsi="Arial" w:cs="Arial"/>
          <w:color w:val="000000" w:themeColor="text1"/>
          <w:sz w:val="20"/>
          <w:szCs w:val="20"/>
        </w:rPr>
        <w:t>medicinske opreme, farmacevtskih izdelkov in izdelkov za osebno nego</w:t>
      </w:r>
      <w:r w:rsidR="007E0D0D" w:rsidRPr="00FF5AB9">
        <w:rPr>
          <w:rFonts w:ascii="Arial" w:hAnsi="Arial" w:cs="Arial"/>
          <w:color w:val="000000" w:themeColor="text1"/>
          <w:sz w:val="20"/>
          <w:szCs w:val="20"/>
        </w:rPr>
        <w:t>, ki</w:t>
      </w:r>
      <w:r w:rsidR="008C4C51" w:rsidRPr="00FF5AB9">
        <w:rPr>
          <w:rFonts w:ascii="Arial" w:hAnsi="Arial" w:cs="Arial"/>
          <w:color w:val="000000" w:themeColor="text1"/>
          <w:sz w:val="20"/>
          <w:szCs w:val="20"/>
        </w:rPr>
        <w:t xml:space="preserve"> z vrednostjo </w:t>
      </w:r>
      <w:r w:rsidR="006308E5" w:rsidRPr="00FF5AB9">
        <w:rPr>
          <w:rFonts w:ascii="Arial" w:hAnsi="Arial" w:cs="Arial"/>
          <w:color w:val="000000" w:themeColor="text1"/>
          <w:sz w:val="20"/>
          <w:szCs w:val="20"/>
        </w:rPr>
        <w:t xml:space="preserve">766.801.333 </w:t>
      </w:r>
      <w:r w:rsidR="008C4C51" w:rsidRPr="00FF5AB9">
        <w:rPr>
          <w:rFonts w:ascii="Arial" w:hAnsi="Arial" w:cs="Arial"/>
          <w:color w:val="000000" w:themeColor="text1"/>
          <w:sz w:val="20"/>
          <w:szCs w:val="20"/>
        </w:rPr>
        <w:t xml:space="preserve">evrov pomenijo </w:t>
      </w:r>
      <w:r w:rsidR="00B505FD" w:rsidRPr="00FF5AB9">
        <w:rPr>
          <w:rFonts w:ascii="Arial" w:hAnsi="Arial" w:cs="Arial"/>
          <w:color w:val="000000" w:themeColor="text1"/>
          <w:sz w:val="20"/>
          <w:szCs w:val="20"/>
        </w:rPr>
        <w:t>29,41</w:t>
      </w:r>
      <w:r w:rsidR="006308E5" w:rsidRPr="00FF5AB9">
        <w:rPr>
          <w:rFonts w:ascii="Arial" w:hAnsi="Arial" w:cs="Arial"/>
          <w:color w:val="000000" w:themeColor="text1"/>
          <w:sz w:val="20"/>
          <w:szCs w:val="20"/>
        </w:rPr>
        <w:t xml:space="preserve"> </w:t>
      </w:r>
      <w:r w:rsidR="00AC0027" w:rsidRPr="00FF5AB9">
        <w:rPr>
          <w:rFonts w:ascii="Arial" w:hAnsi="Arial" w:cs="Arial"/>
          <w:color w:val="000000" w:themeColor="text1"/>
          <w:sz w:val="20"/>
          <w:szCs w:val="20"/>
        </w:rPr>
        <w:t>odstotka</w:t>
      </w:r>
      <w:r w:rsidR="008C4C51" w:rsidRPr="00FF5AB9">
        <w:rPr>
          <w:rFonts w:ascii="Arial" w:hAnsi="Arial" w:cs="Arial"/>
          <w:color w:val="000000" w:themeColor="text1"/>
          <w:sz w:val="20"/>
          <w:szCs w:val="20"/>
        </w:rPr>
        <w:t xml:space="preserve"> vrednosti </w:t>
      </w:r>
      <w:r w:rsidR="00AE3BE3" w:rsidRPr="00FF5AB9">
        <w:rPr>
          <w:rFonts w:ascii="Arial" w:hAnsi="Arial" w:cs="Arial"/>
          <w:color w:val="000000" w:themeColor="text1"/>
          <w:sz w:val="20"/>
          <w:szCs w:val="20"/>
        </w:rPr>
        <w:t xml:space="preserve">vseh </w:t>
      </w:r>
      <w:r w:rsidR="008C4C51" w:rsidRPr="00FF5AB9">
        <w:rPr>
          <w:rFonts w:ascii="Arial" w:hAnsi="Arial" w:cs="Arial"/>
          <w:color w:val="000000" w:themeColor="text1"/>
          <w:sz w:val="20"/>
          <w:szCs w:val="20"/>
        </w:rPr>
        <w:t>naročil blaga</w:t>
      </w:r>
      <w:r w:rsidR="00AE3BE3" w:rsidRPr="00FF5AB9">
        <w:rPr>
          <w:rFonts w:ascii="Arial" w:hAnsi="Arial" w:cs="Arial"/>
          <w:color w:val="000000" w:themeColor="text1"/>
          <w:sz w:val="20"/>
          <w:szCs w:val="20"/>
        </w:rPr>
        <w:t>.</w:t>
      </w:r>
    </w:p>
    <w:p w14:paraId="7418D2CA" w14:textId="464C5219" w:rsidR="005925FE" w:rsidRPr="00FF5AB9" w:rsidRDefault="007774A8" w:rsidP="00883707">
      <w:pPr>
        <w:spacing w:line="360" w:lineRule="auto"/>
        <w:jc w:val="both"/>
        <w:rPr>
          <w:rFonts w:ascii="Arial" w:eastAsia="Times New Roman" w:hAnsi="Arial" w:cs="Arial"/>
          <w:color w:val="FF0000"/>
          <w:sz w:val="20"/>
          <w:szCs w:val="20"/>
          <w:lang w:eastAsia="sl-SI"/>
        </w:rPr>
      </w:pPr>
      <w:r w:rsidRPr="00FF5AB9">
        <w:rPr>
          <w:rFonts w:ascii="Arial" w:hAnsi="Arial" w:cs="Arial"/>
          <w:color w:val="000000" w:themeColor="text1"/>
          <w:sz w:val="20"/>
          <w:szCs w:val="20"/>
        </w:rPr>
        <w:t xml:space="preserve">Prevozne storitve (razen prevoza odpadkov) </w:t>
      </w:r>
      <w:r w:rsidR="008C4C51" w:rsidRPr="00FF5AB9">
        <w:rPr>
          <w:rFonts w:ascii="Arial" w:hAnsi="Arial" w:cs="Arial"/>
          <w:color w:val="000000" w:themeColor="text1"/>
          <w:sz w:val="20"/>
          <w:szCs w:val="20"/>
        </w:rPr>
        <w:t xml:space="preserve">v skupni vrednosti </w:t>
      </w:r>
      <w:r w:rsidRPr="00FF5AB9">
        <w:rPr>
          <w:rFonts w:ascii="Arial" w:hAnsi="Arial" w:cs="Arial"/>
          <w:color w:val="000000" w:themeColor="text1"/>
          <w:sz w:val="20"/>
          <w:szCs w:val="20"/>
        </w:rPr>
        <w:t xml:space="preserve">808.256.528 </w:t>
      </w:r>
      <w:r w:rsidR="008C4C51" w:rsidRPr="00FF5AB9">
        <w:rPr>
          <w:rFonts w:ascii="Arial" w:hAnsi="Arial" w:cs="Arial"/>
          <w:color w:val="000000" w:themeColor="text1"/>
          <w:sz w:val="20"/>
          <w:szCs w:val="20"/>
        </w:rPr>
        <w:t xml:space="preserve">evrov po vrednosti pomenijo največji delež naročil storitev, in sicer </w:t>
      </w:r>
      <w:r w:rsidRPr="00FF5AB9">
        <w:rPr>
          <w:rFonts w:ascii="Arial" w:hAnsi="Arial" w:cs="Arial"/>
          <w:color w:val="000000" w:themeColor="text1"/>
          <w:sz w:val="20"/>
          <w:szCs w:val="20"/>
        </w:rPr>
        <w:t xml:space="preserve">36,78 </w:t>
      </w:r>
      <w:r w:rsidR="00AC0027" w:rsidRPr="00FF5AB9">
        <w:rPr>
          <w:rFonts w:ascii="Arial" w:hAnsi="Arial" w:cs="Arial"/>
          <w:color w:val="000000" w:themeColor="text1"/>
          <w:sz w:val="20"/>
          <w:szCs w:val="20"/>
        </w:rPr>
        <w:t>odstotka</w:t>
      </w:r>
      <w:r w:rsidR="008C4C51" w:rsidRPr="00FF5AB9">
        <w:rPr>
          <w:rFonts w:ascii="Arial" w:hAnsi="Arial" w:cs="Arial"/>
          <w:color w:val="000000" w:themeColor="text1"/>
          <w:sz w:val="20"/>
          <w:szCs w:val="20"/>
        </w:rPr>
        <w:t xml:space="preserve">. </w:t>
      </w:r>
      <w:r w:rsidRPr="00FF5AB9">
        <w:rPr>
          <w:rFonts w:ascii="Arial" w:eastAsia="Times New Roman" w:hAnsi="Arial" w:cs="Arial"/>
          <w:color w:val="000000" w:themeColor="text1"/>
          <w:sz w:val="20"/>
          <w:szCs w:val="20"/>
          <w:lang w:eastAsia="sl-SI"/>
        </w:rPr>
        <w:t xml:space="preserve">Storitve popravila in vzdrževanja </w:t>
      </w:r>
      <w:r w:rsidR="008C4C51" w:rsidRPr="00FF5AB9">
        <w:rPr>
          <w:rFonts w:ascii="Arial" w:hAnsi="Arial" w:cs="Arial"/>
          <w:color w:val="000000" w:themeColor="text1"/>
          <w:sz w:val="20"/>
          <w:szCs w:val="20"/>
        </w:rPr>
        <w:t>so</w:t>
      </w:r>
      <w:r w:rsidR="005925FE" w:rsidRPr="00FF5AB9">
        <w:rPr>
          <w:rFonts w:ascii="Arial" w:hAnsi="Arial" w:cs="Arial"/>
          <w:color w:val="000000" w:themeColor="text1"/>
          <w:sz w:val="20"/>
          <w:szCs w:val="20"/>
        </w:rPr>
        <w:t xml:space="preserve"> po vrednosti</w:t>
      </w:r>
      <w:r w:rsidR="00B54F9E" w:rsidRPr="00FF5AB9">
        <w:rPr>
          <w:rFonts w:ascii="Arial" w:hAnsi="Arial" w:cs="Arial"/>
          <w:color w:val="000000" w:themeColor="text1"/>
          <w:sz w:val="20"/>
          <w:szCs w:val="20"/>
        </w:rPr>
        <w:t xml:space="preserve"> </w:t>
      </w:r>
      <w:r w:rsidRPr="00FF5AB9">
        <w:rPr>
          <w:rFonts w:ascii="Arial" w:hAnsi="Arial" w:cs="Arial"/>
          <w:color w:val="000000" w:themeColor="text1"/>
          <w:sz w:val="20"/>
          <w:szCs w:val="20"/>
        </w:rPr>
        <w:t xml:space="preserve">254.226.233 </w:t>
      </w:r>
      <w:r w:rsidR="005925FE" w:rsidRPr="00FF5AB9">
        <w:rPr>
          <w:rFonts w:ascii="Arial" w:hAnsi="Arial" w:cs="Arial"/>
          <w:color w:val="000000" w:themeColor="text1"/>
          <w:sz w:val="20"/>
          <w:szCs w:val="20"/>
        </w:rPr>
        <w:t xml:space="preserve">evrov na drugem mestu predmetov naročanja storitev z deležem </w:t>
      </w:r>
      <w:r w:rsidR="00A830CF" w:rsidRPr="00FF5AB9">
        <w:rPr>
          <w:rFonts w:ascii="Arial" w:hAnsi="Arial" w:cs="Arial"/>
          <w:color w:val="000000" w:themeColor="text1"/>
          <w:sz w:val="20"/>
          <w:szCs w:val="20"/>
        </w:rPr>
        <w:t>1</w:t>
      </w:r>
      <w:r w:rsidRPr="00FF5AB9">
        <w:rPr>
          <w:rFonts w:ascii="Arial" w:hAnsi="Arial" w:cs="Arial"/>
          <w:color w:val="000000" w:themeColor="text1"/>
          <w:sz w:val="20"/>
          <w:szCs w:val="20"/>
        </w:rPr>
        <w:t>1,57</w:t>
      </w:r>
      <w:r w:rsidR="006A17D7" w:rsidRPr="00FF5AB9">
        <w:rPr>
          <w:rFonts w:ascii="Arial" w:hAnsi="Arial" w:cs="Arial"/>
          <w:color w:val="000000" w:themeColor="text1"/>
          <w:sz w:val="20"/>
          <w:szCs w:val="20"/>
        </w:rPr>
        <w:t> </w:t>
      </w:r>
      <w:r w:rsidR="00AC0027" w:rsidRPr="00FF5AB9">
        <w:rPr>
          <w:rFonts w:ascii="Arial" w:hAnsi="Arial" w:cs="Arial"/>
          <w:color w:val="000000" w:themeColor="text1"/>
          <w:sz w:val="20"/>
          <w:szCs w:val="20"/>
        </w:rPr>
        <w:t>odstotka</w:t>
      </w:r>
      <w:r w:rsidR="005925FE" w:rsidRPr="00FF5AB9">
        <w:rPr>
          <w:rFonts w:ascii="Arial" w:hAnsi="Arial" w:cs="Arial"/>
          <w:color w:val="000000" w:themeColor="text1"/>
          <w:sz w:val="20"/>
          <w:szCs w:val="20"/>
        </w:rPr>
        <w:t xml:space="preserve">, na tretjem mestu so z deležem </w:t>
      </w:r>
      <w:r w:rsidRPr="00FF5AB9">
        <w:rPr>
          <w:rFonts w:ascii="Arial" w:hAnsi="Arial" w:cs="Arial"/>
          <w:color w:val="000000" w:themeColor="text1"/>
          <w:sz w:val="20"/>
          <w:szCs w:val="20"/>
        </w:rPr>
        <w:t xml:space="preserve">11,33 </w:t>
      </w:r>
      <w:r w:rsidR="00AC0027" w:rsidRPr="00FF5AB9">
        <w:rPr>
          <w:rFonts w:ascii="Arial" w:hAnsi="Arial" w:cs="Arial"/>
          <w:color w:val="000000" w:themeColor="text1"/>
          <w:sz w:val="20"/>
          <w:szCs w:val="20"/>
        </w:rPr>
        <w:t>odstotka</w:t>
      </w:r>
      <w:r w:rsidR="005925FE" w:rsidRPr="00FF5AB9">
        <w:rPr>
          <w:rFonts w:ascii="Arial" w:hAnsi="Arial" w:cs="Arial"/>
          <w:color w:val="000000" w:themeColor="text1"/>
          <w:sz w:val="20"/>
          <w:szCs w:val="20"/>
        </w:rPr>
        <w:t xml:space="preserve"> </w:t>
      </w:r>
      <w:r w:rsidRPr="00FF5AB9">
        <w:rPr>
          <w:rFonts w:ascii="Arial" w:hAnsi="Arial" w:cs="Arial"/>
          <w:color w:val="000000" w:themeColor="text1"/>
          <w:sz w:val="20"/>
          <w:szCs w:val="20"/>
        </w:rPr>
        <w:t>storitve informacijske tehnologije svetovanje, razvoj programske opreme, internet in podpora</w:t>
      </w:r>
      <w:r w:rsidR="003602CB" w:rsidRPr="00FF5AB9">
        <w:rPr>
          <w:rFonts w:ascii="Arial" w:hAnsi="Arial" w:cs="Arial"/>
          <w:color w:val="000000" w:themeColor="text1"/>
          <w:sz w:val="20"/>
          <w:szCs w:val="20"/>
        </w:rPr>
        <w:t xml:space="preserve"> </w:t>
      </w:r>
      <w:r w:rsidR="005925FE" w:rsidRPr="00FF5AB9">
        <w:rPr>
          <w:rFonts w:ascii="Arial" w:hAnsi="Arial" w:cs="Arial"/>
          <w:color w:val="000000" w:themeColor="text1"/>
          <w:sz w:val="20"/>
          <w:szCs w:val="20"/>
        </w:rPr>
        <w:t xml:space="preserve">v vrednosti </w:t>
      </w:r>
      <w:r w:rsidRPr="00FF5AB9">
        <w:rPr>
          <w:rFonts w:ascii="Arial" w:eastAsia="Times New Roman" w:hAnsi="Arial" w:cs="Arial"/>
          <w:color w:val="000000" w:themeColor="text1"/>
          <w:sz w:val="20"/>
          <w:szCs w:val="20"/>
          <w:lang w:eastAsia="sl-SI"/>
        </w:rPr>
        <w:t xml:space="preserve">248.934.808 </w:t>
      </w:r>
      <w:r w:rsidR="005925FE" w:rsidRPr="00FF5AB9">
        <w:rPr>
          <w:rFonts w:ascii="Arial" w:hAnsi="Arial" w:cs="Arial"/>
          <w:color w:val="000000" w:themeColor="text1"/>
          <w:sz w:val="20"/>
          <w:szCs w:val="20"/>
        </w:rPr>
        <w:t>evrov.</w:t>
      </w:r>
    </w:p>
    <w:p w14:paraId="0B02A8E3" w14:textId="46C989A2" w:rsidR="005925FE" w:rsidRPr="00FF5AB9" w:rsidRDefault="005925FE" w:rsidP="005925FE">
      <w:pPr>
        <w:spacing w:line="360" w:lineRule="auto"/>
        <w:jc w:val="both"/>
        <w:rPr>
          <w:rFonts w:ascii="Arial" w:hAnsi="Arial" w:cs="Arial"/>
          <w:color w:val="000000" w:themeColor="text1"/>
          <w:sz w:val="20"/>
          <w:szCs w:val="20"/>
        </w:rPr>
      </w:pPr>
      <w:r w:rsidRPr="00FF5AB9">
        <w:rPr>
          <w:rFonts w:ascii="Arial" w:hAnsi="Arial" w:cs="Arial"/>
          <w:color w:val="000000" w:themeColor="text1"/>
          <w:sz w:val="20"/>
          <w:szCs w:val="20"/>
        </w:rPr>
        <w:lastRenderedPageBreak/>
        <w:t xml:space="preserve">Pri gradnjah so naročniki </w:t>
      </w:r>
      <w:r w:rsidR="00FC6160" w:rsidRPr="00FF5AB9">
        <w:rPr>
          <w:rFonts w:ascii="Arial" w:hAnsi="Arial" w:cs="Arial"/>
          <w:color w:val="000000" w:themeColor="text1"/>
          <w:sz w:val="20"/>
          <w:szCs w:val="20"/>
        </w:rPr>
        <w:t>vseh 1</w:t>
      </w:r>
      <w:r w:rsidR="00F35FA8" w:rsidRPr="00FF5AB9">
        <w:rPr>
          <w:rFonts w:ascii="Arial" w:hAnsi="Arial" w:cs="Arial"/>
          <w:color w:val="000000" w:themeColor="text1"/>
          <w:sz w:val="20"/>
          <w:szCs w:val="20"/>
        </w:rPr>
        <w:t>56</w:t>
      </w:r>
      <w:r w:rsidR="00FF5AB9" w:rsidRPr="00FF5AB9">
        <w:rPr>
          <w:rFonts w:ascii="Arial" w:hAnsi="Arial" w:cs="Arial"/>
          <w:color w:val="000000" w:themeColor="text1"/>
          <w:sz w:val="20"/>
          <w:szCs w:val="20"/>
        </w:rPr>
        <w:t>5</w:t>
      </w:r>
      <w:r w:rsidR="00FC6160" w:rsidRPr="00FF5AB9">
        <w:rPr>
          <w:rFonts w:ascii="Arial" w:hAnsi="Arial" w:cs="Arial"/>
          <w:color w:val="000000" w:themeColor="text1"/>
          <w:sz w:val="20"/>
          <w:szCs w:val="20"/>
        </w:rPr>
        <w:t xml:space="preserve"> naročil </w:t>
      </w:r>
      <w:r w:rsidRPr="00FF5AB9">
        <w:rPr>
          <w:rFonts w:ascii="Arial" w:hAnsi="Arial" w:cs="Arial"/>
          <w:color w:val="000000" w:themeColor="text1"/>
          <w:sz w:val="20"/>
          <w:szCs w:val="20"/>
        </w:rPr>
        <w:t xml:space="preserve">oddali </w:t>
      </w:r>
      <w:r w:rsidR="00FC6160" w:rsidRPr="00FF5AB9">
        <w:rPr>
          <w:rFonts w:ascii="Arial" w:hAnsi="Arial" w:cs="Arial"/>
          <w:color w:val="000000" w:themeColor="text1"/>
          <w:sz w:val="20"/>
          <w:szCs w:val="20"/>
        </w:rPr>
        <w:t xml:space="preserve">za </w:t>
      </w:r>
      <w:r w:rsidRPr="00FF5AB9">
        <w:rPr>
          <w:rFonts w:ascii="Arial" w:hAnsi="Arial" w:cs="Arial"/>
          <w:color w:val="000000" w:themeColor="text1"/>
          <w:sz w:val="20"/>
          <w:szCs w:val="20"/>
        </w:rPr>
        <w:t>gradbena dela</w:t>
      </w:r>
      <w:r w:rsidR="00FC6160" w:rsidRPr="00FF5AB9">
        <w:rPr>
          <w:rFonts w:ascii="Arial" w:hAnsi="Arial" w:cs="Arial"/>
          <w:color w:val="000000" w:themeColor="text1"/>
          <w:sz w:val="20"/>
          <w:szCs w:val="20"/>
        </w:rPr>
        <w:t>, in sicer</w:t>
      </w:r>
      <w:r w:rsidRPr="00FF5AB9">
        <w:rPr>
          <w:rFonts w:ascii="Arial" w:hAnsi="Arial" w:cs="Arial"/>
          <w:color w:val="000000" w:themeColor="text1"/>
          <w:sz w:val="20"/>
          <w:szCs w:val="20"/>
        </w:rPr>
        <w:t xml:space="preserve"> v vrednosti </w:t>
      </w:r>
      <w:r w:rsidR="00F35FA8" w:rsidRPr="00FF5AB9">
        <w:rPr>
          <w:rFonts w:ascii="Arial" w:hAnsi="Arial" w:cs="Arial"/>
          <w:color w:val="000000" w:themeColor="text1"/>
          <w:sz w:val="20"/>
          <w:szCs w:val="20"/>
        </w:rPr>
        <w:t>1.42</w:t>
      </w:r>
      <w:r w:rsidR="00FF5AB9" w:rsidRPr="00FF5AB9">
        <w:rPr>
          <w:rFonts w:ascii="Arial" w:hAnsi="Arial" w:cs="Arial"/>
          <w:color w:val="000000" w:themeColor="text1"/>
          <w:sz w:val="20"/>
          <w:szCs w:val="20"/>
        </w:rPr>
        <w:t>6</w:t>
      </w:r>
      <w:r w:rsidR="00F35FA8" w:rsidRPr="00FF5AB9">
        <w:rPr>
          <w:rFonts w:ascii="Arial" w:hAnsi="Arial" w:cs="Arial"/>
          <w:color w:val="000000" w:themeColor="text1"/>
          <w:sz w:val="20"/>
          <w:szCs w:val="20"/>
        </w:rPr>
        <w:t>.</w:t>
      </w:r>
      <w:r w:rsidR="00FF5AB9" w:rsidRPr="00FF5AB9">
        <w:rPr>
          <w:rFonts w:ascii="Arial" w:hAnsi="Arial" w:cs="Arial"/>
          <w:color w:val="000000" w:themeColor="text1"/>
          <w:sz w:val="20"/>
          <w:szCs w:val="20"/>
        </w:rPr>
        <w:t>916</w:t>
      </w:r>
      <w:r w:rsidR="00F35FA8" w:rsidRPr="00FF5AB9">
        <w:rPr>
          <w:rFonts w:ascii="Arial" w:hAnsi="Arial" w:cs="Arial"/>
          <w:color w:val="000000" w:themeColor="text1"/>
          <w:sz w:val="20"/>
          <w:szCs w:val="20"/>
        </w:rPr>
        <w:t>.</w:t>
      </w:r>
      <w:r w:rsidR="00FF5AB9" w:rsidRPr="00FF5AB9">
        <w:rPr>
          <w:rFonts w:ascii="Arial" w:hAnsi="Arial" w:cs="Arial"/>
          <w:color w:val="000000" w:themeColor="text1"/>
          <w:sz w:val="20"/>
          <w:szCs w:val="20"/>
        </w:rPr>
        <w:t>667</w:t>
      </w:r>
      <w:r w:rsidR="00F35FA8" w:rsidRPr="00FF5AB9">
        <w:rPr>
          <w:rFonts w:ascii="Arial" w:hAnsi="Arial" w:cs="Arial"/>
          <w:color w:val="000000" w:themeColor="text1"/>
          <w:sz w:val="20"/>
          <w:szCs w:val="20"/>
        </w:rPr>
        <w:t xml:space="preserve"> </w:t>
      </w:r>
      <w:r w:rsidRPr="00FF5AB9">
        <w:rPr>
          <w:rFonts w:ascii="Arial" w:hAnsi="Arial" w:cs="Arial"/>
          <w:color w:val="000000" w:themeColor="text1"/>
          <w:sz w:val="20"/>
          <w:szCs w:val="20"/>
        </w:rPr>
        <w:t xml:space="preserve">evrov. </w:t>
      </w:r>
    </w:p>
    <w:p w14:paraId="1A90B355" w14:textId="77777777" w:rsidR="000D71AD" w:rsidRPr="00637ACF" w:rsidRDefault="000D71AD" w:rsidP="000D71AD">
      <w:pPr>
        <w:spacing w:after="0" w:line="240" w:lineRule="auto"/>
        <w:jc w:val="both"/>
        <w:rPr>
          <w:rFonts w:ascii="Arial" w:hAnsi="Arial" w:cs="Arial"/>
          <w:color w:val="FF0000"/>
          <w:sz w:val="20"/>
          <w:szCs w:val="20"/>
          <w:highlight w:val="yellow"/>
        </w:rPr>
      </w:pPr>
    </w:p>
    <w:p w14:paraId="4CADEFEF" w14:textId="38674FE7" w:rsidR="00FF5F34" w:rsidRPr="009A73F7" w:rsidRDefault="00FF5F34" w:rsidP="009E7C98">
      <w:pPr>
        <w:pStyle w:val="Naslov2"/>
        <w:rPr>
          <w:szCs w:val="20"/>
        </w:rPr>
      </w:pPr>
      <w:bookmarkStart w:id="31" w:name="_Toc175563864"/>
      <w:r w:rsidRPr="009A73F7">
        <w:t>2.</w:t>
      </w:r>
      <w:r w:rsidR="00FA2740" w:rsidRPr="009A73F7">
        <w:t>5</w:t>
      </w:r>
      <w:r w:rsidRPr="009A73F7">
        <w:t xml:space="preserve"> Merila za oddajo javnega naročila</w:t>
      </w:r>
      <w:bookmarkEnd w:id="31"/>
    </w:p>
    <w:p w14:paraId="47DA7845" w14:textId="77777777" w:rsidR="00FF5F34" w:rsidRPr="009A73F7" w:rsidRDefault="00FF5F34" w:rsidP="00854405">
      <w:pPr>
        <w:pStyle w:val="ZADEVA"/>
        <w:jc w:val="both"/>
        <w:rPr>
          <w:rFonts w:cs="Arial"/>
          <w:b w:val="0"/>
          <w:color w:val="000000" w:themeColor="text1"/>
          <w:szCs w:val="20"/>
          <w:lang w:val="sl-SI"/>
        </w:rPr>
      </w:pPr>
    </w:p>
    <w:p w14:paraId="582C97A0" w14:textId="537EE75E" w:rsidR="00504FA5" w:rsidRPr="00167370" w:rsidRDefault="00F510BD" w:rsidP="007A055B">
      <w:pPr>
        <w:spacing w:line="360" w:lineRule="auto"/>
        <w:jc w:val="both"/>
        <w:rPr>
          <w:rFonts w:ascii="Arial" w:hAnsi="Arial" w:cs="Arial"/>
          <w:color w:val="000000" w:themeColor="text1"/>
          <w:sz w:val="20"/>
          <w:szCs w:val="20"/>
        </w:rPr>
      </w:pPr>
      <w:r w:rsidRPr="009A73F7">
        <w:rPr>
          <w:rFonts w:ascii="Arial" w:hAnsi="Arial" w:cs="Arial"/>
          <w:color w:val="000000" w:themeColor="text1"/>
          <w:sz w:val="20"/>
          <w:szCs w:val="20"/>
        </w:rPr>
        <w:t>Leta</w:t>
      </w:r>
      <w:r w:rsidR="00B75609" w:rsidRPr="009A73F7">
        <w:rPr>
          <w:rFonts w:ascii="Arial" w:hAnsi="Arial" w:cs="Arial"/>
          <w:color w:val="000000" w:themeColor="text1"/>
          <w:sz w:val="20"/>
          <w:szCs w:val="20"/>
        </w:rPr>
        <w:t xml:space="preserve"> 20</w:t>
      </w:r>
      <w:r w:rsidR="004D3472" w:rsidRPr="009A73F7">
        <w:rPr>
          <w:rFonts w:ascii="Arial" w:hAnsi="Arial" w:cs="Arial"/>
          <w:color w:val="000000" w:themeColor="text1"/>
          <w:sz w:val="20"/>
          <w:szCs w:val="20"/>
        </w:rPr>
        <w:t>2</w:t>
      </w:r>
      <w:r w:rsidR="00467DCB" w:rsidRPr="009A73F7">
        <w:rPr>
          <w:rFonts w:ascii="Arial" w:hAnsi="Arial" w:cs="Arial"/>
          <w:color w:val="000000" w:themeColor="text1"/>
          <w:sz w:val="20"/>
          <w:szCs w:val="20"/>
        </w:rPr>
        <w:t>3</w:t>
      </w:r>
      <w:r w:rsidR="002149C7" w:rsidRPr="009A73F7">
        <w:rPr>
          <w:rFonts w:ascii="Arial" w:hAnsi="Arial" w:cs="Arial"/>
          <w:color w:val="000000" w:themeColor="text1"/>
          <w:sz w:val="20"/>
          <w:szCs w:val="20"/>
        </w:rPr>
        <w:t xml:space="preserve"> so naročniki oddali </w:t>
      </w:r>
      <w:r w:rsidR="007F2520" w:rsidRPr="009A73F7">
        <w:rPr>
          <w:rFonts w:ascii="Arial" w:hAnsi="Arial" w:cs="Arial"/>
          <w:color w:val="000000" w:themeColor="text1"/>
          <w:sz w:val="20"/>
          <w:szCs w:val="20"/>
        </w:rPr>
        <w:t>1</w:t>
      </w:r>
      <w:r w:rsidR="00467DCB" w:rsidRPr="009A73F7">
        <w:rPr>
          <w:rFonts w:ascii="Arial" w:hAnsi="Arial" w:cs="Arial"/>
          <w:color w:val="000000" w:themeColor="text1"/>
          <w:sz w:val="20"/>
          <w:szCs w:val="20"/>
        </w:rPr>
        <w:t>6</w:t>
      </w:r>
      <w:r w:rsidR="007F2520" w:rsidRPr="009A73F7">
        <w:rPr>
          <w:rFonts w:ascii="Arial" w:hAnsi="Arial" w:cs="Arial"/>
          <w:color w:val="000000" w:themeColor="text1"/>
          <w:sz w:val="20"/>
          <w:szCs w:val="20"/>
        </w:rPr>
        <w:t>.</w:t>
      </w:r>
      <w:r w:rsidR="00467DCB" w:rsidRPr="009A73F7">
        <w:rPr>
          <w:rFonts w:ascii="Arial" w:hAnsi="Arial" w:cs="Arial"/>
          <w:color w:val="000000" w:themeColor="text1"/>
          <w:sz w:val="20"/>
          <w:szCs w:val="20"/>
        </w:rPr>
        <w:t>82</w:t>
      </w:r>
      <w:r w:rsidR="009A73F7" w:rsidRPr="009A73F7">
        <w:rPr>
          <w:rFonts w:ascii="Arial" w:hAnsi="Arial" w:cs="Arial"/>
          <w:color w:val="000000" w:themeColor="text1"/>
          <w:sz w:val="20"/>
          <w:szCs w:val="20"/>
        </w:rPr>
        <w:t>4</w:t>
      </w:r>
      <w:r w:rsidR="002149C7" w:rsidRPr="009A73F7">
        <w:rPr>
          <w:rFonts w:ascii="Arial" w:hAnsi="Arial" w:cs="Arial"/>
          <w:color w:val="000000" w:themeColor="text1"/>
          <w:sz w:val="20"/>
          <w:szCs w:val="20"/>
        </w:rPr>
        <w:t xml:space="preserve"> naročil. Pri izbiri najugodnejšega ponudnika je bilo največkrat </w:t>
      </w:r>
      <w:r w:rsidR="002149C7" w:rsidRPr="00167370">
        <w:rPr>
          <w:rFonts w:ascii="Arial" w:hAnsi="Arial" w:cs="Arial"/>
          <w:color w:val="000000" w:themeColor="text1"/>
          <w:sz w:val="20"/>
          <w:szCs w:val="20"/>
        </w:rPr>
        <w:t xml:space="preserve">uporabljeno merilo cena, in sicer pri </w:t>
      </w:r>
      <w:r w:rsidR="00935191" w:rsidRPr="00167370">
        <w:rPr>
          <w:rFonts w:ascii="Arial" w:hAnsi="Arial" w:cs="Arial"/>
          <w:color w:val="000000" w:themeColor="text1"/>
          <w:sz w:val="20"/>
          <w:szCs w:val="20"/>
        </w:rPr>
        <w:t>15.</w:t>
      </w:r>
      <w:r w:rsidR="001836D9" w:rsidRPr="00167370">
        <w:rPr>
          <w:rFonts w:ascii="Arial" w:hAnsi="Arial" w:cs="Arial"/>
          <w:color w:val="000000" w:themeColor="text1"/>
          <w:sz w:val="20"/>
          <w:szCs w:val="20"/>
        </w:rPr>
        <w:t>0</w:t>
      </w:r>
      <w:r w:rsidR="009A73F7" w:rsidRPr="00167370">
        <w:rPr>
          <w:rFonts w:ascii="Arial" w:hAnsi="Arial" w:cs="Arial"/>
          <w:color w:val="000000" w:themeColor="text1"/>
          <w:sz w:val="20"/>
          <w:szCs w:val="20"/>
        </w:rPr>
        <w:t>68</w:t>
      </w:r>
      <w:r w:rsidR="00B75609" w:rsidRPr="00167370">
        <w:rPr>
          <w:rFonts w:ascii="Arial" w:hAnsi="Arial" w:cs="Arial"/>
          <w:color w:val="000000" w:themeColor="text1"/>
          <w:sz w:val="20"/>
          <w:szCs w:val="20"/>
        </w:rPr>
        <w:t xml:space="preserve"> </w:t>
      </w:r>
      <w:r w:rsidR="007A055B" w:rsidRPr="00167370">
        <w:rPr>
          <w:rFonts w:ascii="Arial" w:hAnsi="Arial" w:cs="Arial"/>
          <w:color w:val="000000" w:themeColor="text1"/>
          <w:sz w:val="20"/>
          <w:szCs w:val="20"/>
        </w:rPr>
        <w:t xml:space="preserve">oddanih naročilih. </w:t>
      </w:r>
    </w:p>
    <w:p w14:paraId="4F47B9EB" w14:textId="22DE84A9" w:rsidR="002149C7" w:rsidRPr="00167370" w:rsidRDefault="002149C7" w:rsidP="008A61FD">
      <w:pPr>
        <w:spacing w:before="120" w:after="120" w:line="240" w:lineRule="auto"/>
        <w:jc w:val="both"/>
        <w:rPr>
          <w:rFonts w:ascii="Arial" w:hAnsi="Arial" w:cs="Arial"/>
          <w:color w:val="000000" w:themeColor="text1"/>
          <w:sz w:val="20"/>
        </w:rPr>
      </w:pPr>
      <w:r w:rsidRPr="00167370">
        <w:rPr>
          <w:rFonts w:ascii="Arial" w:hAnsi="Arial" w:cs="Arial"/>
          <w:color w:val="000000" w:themeColor="text1"/>
          <w:sz w:val="20"/>
        </w:rPr>
        <w:t xml:space="preserve">Preglednica </w:t>
      </w:r>
      <w:r w:rsidR="00512F52" w:rsidRPr="00167370">
        <w:rPr>
          <w:rFonts w:ascii="Arial" w:hAnsi="Arial" w:cs="Arial"/>
          <w:color w:val="000000" w:themeColor="text1"/>
          <w:sz w:val="20"/>
        </w:rPr>
        <w:t>24</w:t>
      </w:r>
      <w:r w:rsidRPr="00167370">
        <w:rPr>
          <w:rFonts w:ascii="Arial" w:hAnsi="Arial" w:cs="Arial"/>
          <w:color w:val="000000" w:themeColor="text1"/>
          <w:sz w:val="20"/>
        </w:rPr>
        <w:t>: Delež posameznega merila za izb</w:t>
      </w:r>
      <w:r w:rsidR="00C6284B" w:rsidRPr="00167370">
        <w:rPr>
          <w:rFonts w:ascii="Arial" w:hAnsi="Arial" w:cs="Arial"/>
          <w:color w:val="000000" w:themeColor="text1"/>
          <w:sz w:val="20"/>
        </w:rPr>
        <w:t>iro</w:t>
      </w:r>
      <w:r w:rsidRPr="00167370">
        <w:rPr>
          <w:rFonts w:ascii="Arial" w:hAnsi="Arial" w:cs="Arial"/>
          <w:color w:val="000000" w:themeColor="text1"/>
          <w:sz w:val="20"/>
        </w:rPr>
        <w:t xml:space="preserve"> </w:t>
      </w:r>
      <w:r w:rsidR="00C6284B" w:rsidRPr="00167370">
        <w:rPr>
          <w:rFonts w:ascii="Arial" w:hAnsi="Arial" w:cs="Arial"/>
          <w:color w:val="000000" w:themeColor="text1"/>
          <w:sz w:val="20"/>
        </w:rPr>
        <w:t>po</w:t>
      </w:r>
      <w:r w:rsidRPr="00167370">
        <w:rPr>
          <w:rFonts w:ascii="Arial" w:hAnsi="Arial" w:cs="Arial"/>
          <w:color w:val="000000" w:themeColor="text1"/>
          <w:sz w:val="20"/>
        </w:rPr>
        <w:t xml:space="preserve"> številu in vrednosti</w:t>
      </w:r>
      <w:r w:rsidR="00711C40" w:rsidRPr="00167370">
        <w:rPr>
          <w:rFonts w:ascii="Arial" w:hAnsi="Arial" w:cs="Arial"/>
          <w:color w:val="000000" w:themeColor="text1"/>
          <w:sz w:val="20"/>
        </w:rPr>
        <w:t xml:space="preserve"> naročil</w:t>
      </w:r>
    </w:p>
    <w:tbl>
      <w:tblPr>
        <w:tblW w:w="7818" w:type="dxa"/>
        <w:jc w:val="center"/>
        <w:tblCellMar>
          <w:left w:w="70" w:type="dxa"/>
          <w:right w:w="70" w:type="dxa"/>
        </w:tblCellMar>
        <w:tblLook w:val="04A0" w:firstRow="1" w:lastRow="0" w:firstColumn="1" w:lastColumn="0" w:noHBand="0" w:noVBand="1"/>
      </w:tblPr>
      <w:tblGrid>
        <w:gridCol w:w="3589"/>
        <w:gridCol w:w="962"/>
        <w:gridCol w:w="1343"/>
        <w:gridCol w:w="962"/>
        <w:gridCol w:w="962"/>
      </w:tblGrid>
      <w:tr w:rsidR="005958BC" w:rsidRPr="00167370" w14:paraId="77F963F1" w14:textId="77777777" w:rsidTr="00CD447F">
        <w:trPr>
          <w:trHeight w:val="255"/>
          <w:jc w:val="center"/>
        </w:trPr>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A5DFE3" w14:textId="77777777" w:rsidR="004D3472" w:rsidRPr="00167370" w:rsidRDefault="004D3472" w:rsidP="004D3472">
            <w:pPr>
              <w:spacing w:after="0" w:line="240" w:lineRule="auto"/>
              <w:jc w:val="center"/>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Merilo</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C8AE7E5" w14:textId="77777777" w:rsidR="004D3472" w:rsidRPr="00167370" w:rsidRDefault="004D3472" w:rsidP="004D3472">
            <w:pPr>
              <w:spacing w:after="0" w:line="240" w:lineRule="auto"/>
              <w:jc w:val="center"/>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Št. naročil</w:t>
            </w:r>
          </w:p>
        </w:tc>
        <w:tc>
          <w:tcPr>
            <w:tcW w:w="13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EF33B4" w14:textId="24FB987A" w:rsidR="004D3472" w:rsidRPr="00167370" w:rsidRDefault="004D3472" w:rsidP="004D3472">
            <w:pPr>
              <w:spacing w:after="0" w:line="240" w:lineRule="auto"/>
              <w:jc w:val="center"/>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 xml:space="preserve">Pogodbena vrednost </w:t>
            </w:r>
            <w:r w:rsidR="00F36C50" w:rsidRPr="00167370">
              <w:rPr>
                <w:rFonts w:ascii="Arial" w:eastAsia="Times New Roman" w:hAnsi="Arial" w:cs="Arial"/>
                <w:color w:val="000000" w:themeColor="text1"/>
                <w:sz w:val="18"/>
                <w:szCs w:val="18"/>
                <w:lang w:eastAsia="sl-SI"/>
              </w:rPr>
              <w:t>(v EUR)</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9F4F71" w14:textId="77777777" w:rsidR="004D3472" w:rsidRPr="00167370" w:rsidRDefault="004D3472" w:rsidP="004D3472">
            <w:pPr>
              <w:spacing w:after="0" w:line="240" w:lineRule="auto"/>
              <w:jc w:val="center"/>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Delež v št. naročil</w:t>
            </w:r>
          </w:p>
        </w:tc>
        <w:tc>
          <w:tcPr>
            <w:tcW w:w="96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B76DBA" w14:textId="77777777" w:rsidR="004D3472" w:rsidRPr="00167370" w:rsidRDefault="004D3472" w:rsidP="004D3472">
            <w:pPr>
              <w:spacing w:after="0" w:line="240" w:lineRule="auto"/>
              <w:jc w:val="center"/>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Delež v vrednosti</w:t>
            </w:r>
          </w:p>
        </w:tc>
      </w:tr>
      <w:tr w:rsidR="00167370" w:rsidRPr="00167370" w14:paraId="5032DC6C" w14:textId="77777777" w:rsidTr="00167370">
        <w:trPr>
          <w:trHeight w:val="255"/>
          <w:jc w:val="center"/>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357BF98E" w14:textId="77777777" w:rsidR="00167370" w:rsidRPr="00167370" w:rsidRDefault="00167370" w:rsidP="00167370">
            <w:pPr>
              <w:spacing w:after="0" w:line="240" w:lineRule="auto"/>
              <w:jc w:val="both"/>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Cena</w:t>
            </w:r>
          </w:p>
        </w:tc>
        <w:tc>
          <w:tcPr>
            <w:tcW w:w="962" w:type="dxa"/>
            <w:tcBorders>
              <w:top w:val="nil"/>
              <w:left w:val="nil"/>
              <w:bottom w:val="single" w:sz="4" w:space="0" w:color="auto"/>
              <w:right w:val="single" w:sz="4" w:space="0" w:color="auto"/>
            </w:tcBorders>
            <w:shd w:val="clear" w:color="auto" w:fill="auto"/>
            <w:vAlign w:val="center"/>
          </w:tcPr>
          <w:p w14:paraId="702190BA" w14:textId="78B64731" w:rsidR="00167370" w:rsidRPr="00167370" w:rsidRDefault="00167370" w:rsidP="00167370">
            <w:pPr>
              <w:spacing w:after="0" w:line="240" w:lineRule="auto"/>
              <w:jc w:val="right"/>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15.068</w:t>
            </w:r>
          </w:p>
        </w:tc>
        <w:tc>
          <w:tcPr>
            <w:tcW w:w="1343" w:type="dxa"/>
            <w:tcBorders>
              <w:top w:val="nil"/>
              <w:left w:val="nil"/>
              <w:bottom w:val="single" w:sz="4" w:space="0" w:color="auto"/>
              <w:right w:val="single" w:sz="4" w:space="0" w:color="auto"/>
            </w:tcBorders>
            <w:shd w:val="clear" w:color="auto" w:fill="auto"/>
            <w:vAlign w:val="center"/>
          </w:tcPr>
          <w:p w14:paraId="52BA2F19" w14:textId="03D62627" w:rsidR="00167370" w:rsidRPr="00167370" w:rsidRDefault="00167370" w:rsidP="00167370">
            <w:pPr>
              <w:spacing w:after="0" w:line="240" w:lineRule="auto"/>
              <w:jc w:val="right"/>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5.776.052.550</w:t>
            </w:r>
          </w:p>
        </w:tc>
        <w:tc>
          <w:tcPr>
            <w:tcW w:w="962" w:type="dxa"/>
            <w:tcBorders>
              <w:top w:val="nil"/>
              <w:left w:val="nil"/>
              <w:bottom w:val="single" w:sz="4" w:space="0" w:color="auto"/>
              <w:right w:val="single" w:sz="4" w:space="0" w:color="auto"/>
            </w:tcBorders>
            <w:shd w:val="clear" w:color="auto" w:fill="auto"/>
            <w:vAlign w:val="center"/>
          </w:tcPr>
          <w:p w14:paraId="4BADB1EA" w14:textId="5BDF27B4" w:rsidR="00167370" w:rsidRPr="00167370" w:rsidRDefault="00167370" w:rsidP="00167370">
            <w:pPr>
              <w:spacing w:after="0" w:line="240" w:lineRule="auto"/>
              <w:jc w:val="right"/>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89,56 %</w:t>
            </w:r>
          </w:p>
        </w:tc>
        <w:tc>
          <w:tcPr>
            <w:tcW w:w="962" w:type="dxa"/>
            <w:tcBorders>
              <w:top w:val="nil"/>
              <w:left w:val="nil"/>
              <w:bottom w:val="single" w:sz="4" w:space="0" w:color="auto"/>
              <w:right w:val="single" w:sz="4" w:space="0" w:color="auto"/>
            </w:tcBorders>
            <w:shd w:val="clear" w:color="auto" w:fill="auto"/>
            <w:vAlign w:val="center"/>
          </w:tcPr>
          <w:p w14:paraId="618F440F" w14:textId="7E383BAE" w:rsidR="00167370" w:rsidRPr="00167370" w:rsidRDefault="00167370" w:rsidP="00167370">
            <w:pPr>
              <w:spacing w:after="0" w:line="240" w:lineRule="auto"/>
              <w:jc w:val="right"/>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92,68 %</w:t>
            </w:r>
          </w:p>
        </w:tc>
      </w:tr>
      <w:tr w:rsidR="00167370" w:rsidRPr="00167370" w14:paraId="61F3A774" w14:textId="77777777" w:rsidTr="00167370">
        <w:trPr>
          <w:trHeight w:val="255"/>
          <w:jc w:val="center"/>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4A3F076E" w14:textId="77777777" w:rsidR="00167370" w:rsidRPr="00167370" w:rsidRDefault="00167370" w:rsidP="00167370">
            <w:pPr>
              <w:spacing w:after="0" w:line="240" w:lineRule="auto"/>
              <w:jc w:val="both"/>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Ekonomsko najugodnejša ponudba</w:t>
            </w:r>
          </w:p>
        </w:tc>
        <w:tc>
          <w:tcPr>
            <w:tcW w:w="962" w:type="dxa"/>
            <w:tcBorders>
              <w:top w:val="nil"/>
              <w:left w:val="nil"/>
              <w:bottom w:val="single" w:sz="4" w:space="0" w:color="auto"/>
              <w:right w:val="single" w:sz="4" w:space="0" w:color="auto"/>
            </w:tcBorders>
            <w:shd w:val="clear" w:color="auto" w:fill="auto"/>
            <w:vAlign w:val="center"/>
            <w:hideMark/>
          </w:tcPr>
          <w:p w14:paraId="6F0CEBE3" w14:textId="7C8BEF36" w:rsidR="00167370" w:rsidRPr="00167370" w:rsidRDefault="00167370" w:rsidP="00167370">
            <w:pPr>
              <w:spacing w:after="0" w:line="240" w:lineRule="auto"/>
              <w:jc w:val="right"/>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1.756</w:t>
            </w:r>
          </w:p>
        </w:tc>
        <w:tc>
          <w:tcPr>
            <w:tcW w:w="1343" w:type="dxa"/>
            <w:tcBorders>
              <w:top w:val="nil"/>
              <w:left w:val="nil"/>
              <w:bottom w:val="single" w:sz="4" w:space="0" w:color="auto"/>
              <w:right w:val="single" w:sz="4" w:space="0" w:color="auto"/>
            </w:tcBorders>
            <w:shd w:val="clear" w:color="auto" w:fill="auto"/>
            <w:vAlign w:val="center"/>
            <w:hideMark/>
          </w:tcPr>
          <w:p w14:paraId="5DC25701" w14:textId="7D800CCF" w:rsidR="00167370" w:rsidRPr="00167370" w:rsidRDefault="00167370" w:rsidP="00167370">
            <w:pPr>
              <w:spacing w:after="0" w:line="240" w:lineRule="auto"/>
              <w:jc w:val="right"/>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456.198.419</w:t>
            </w:r>
          </w:p>
        </w:tc>
        <w:tc>
          <w:tcPr>
            <w:tcW w:w="962" w:type="dxa"/>
            <w:tcBorders>
              <w:top w:val="nil"/>
              <w:left w:val="nil"/>
              <w:bottom w:val="single" w:sz="4" w:space="0" w:color="auto"/>
              <w:right w:val="single" w:sz="4" w:space="0" w:color="auto"/>
            </w:tcBorders>
            <w:shd w:val="clear" w:color="auto" w:fill="auto"/>
            <w:vAlign w:val="center"/>
          </w:tcPr>
          <w:p w14:paraId="03909ECE" w14:textId="1B02FFF5" w:rsidR="00167370" w:rsidRPr="00167370" w:rsidRDefault="00167370" w:rsidP="00167370">
            <w:pPr>
              <w:spacing w:after="0" w:line="240" w:lineRule="auto"/>
              <w:jc w:val="right"/>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10,44 %</w:t>
            </w:r>
          </w:p>
        </w:tc>
        <w:tc>
          <w:tcPr>
            <w:tcW w:w="962" w:type="dxa"/>
            <w:tcBorders>
              <w:top w:val="nil"/>
              <w:left w:val="nil"/>
              <w:bottom w:val="single" w:sz="4" w:space="0" w:color="auto"/>
              <w:right w:val="single" w:sz="4" w:space="0" w:color="auto"/>
            </w:tcBorders>
            <w:shd w:val="clear" w:color="auto" w:fill="auto"/>
            <w:vAlign w:val="center"/>
          </w:tcPr>
          <w:p w14:paraId="5E28E55A" w14:textId="4E567F6A" w:rsidR="00167370" w:rsidRPr="00167370" w:rsidRDefault="00167370" w:rsidP="00167370">
            <w:pPr>
              <w:spacing w:after="0" w:line="240" w:lineRule="auto"/>
              <w:jc w:val="right"/>
              <w:rPr>
                <w:rFonts w:ascii="Arial" w:eastAsia="Times New Roman" w:hAnsi="Arial" w:cs="Arial"/>
                <w:color w:val="000000" w:themeColor="text1"/>
                <w:sz w:val="18"/>
                <w:szCs w:val="18"/>
                <w:lang w:eastAsia="sl-SI"/>
              </w:rPr>
            </w:pPr>
            <w:r w:rsidRPr="00167370">
              <w:rPr>
                <w:rFonts w:ascii="Arial" w:eastAsia="Times New Roman" w:hAnsi="Arial" w:cs="Arial"/>
                <w:color w:val="000000" w:themeColor="text1"/>
                <w:sz w:val="18"/>
                <w:szCs w:val="18"/>
                <w:lang w:eastAsia="sl-SI"/>
              </w:rPr>
              <w:t>7,32 %</w:t>
            </w:r>
          </w:p>
        </w:tc>
      </w:tr>
      <w:tr w:rsidR="00167370" w:rsidRPr="00167370" w14:paraId="016F566D" w14:textId="77777777" w:rsidTr="00167370">
        <w:trPr>
          <w:trHeight w:val="255"/>
          <w:jc w:val="center"/>
        </w:trPr>
        <w:tc>
          <w:tcPr>
            <w:tcW w:w="358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6BED59" w14:textId="77777777" w:rsidR="00167370" w:rsidRPr="00167370" w:rsidRDefault="00167370" w:rsidP="00167370">
            <w:pPr>
              <w:spacing w:after="0" w:line="240" w:lineRule="auto"/>
              <w:jc w:val="both"/>
              <w:rPr>
                <w:rFonts w:ascii="Arial" w:eastAsia="Times New Roman" w:hAnsi="Arial" w:cs="Arial"/>
                <w:b/>
                <w:bCs/>
                <w:color w:val="000000" w:themeColor="text1"/>
                <w:sz w:val="18"/>
                <w:szCs w:val="18"/>
                <w:lang w:eastAsia="sl-SI"/>
              </w:rPr>
            </w:pPr>
            <w:r w:rsidRPr="00167370">
              <w:rPr>
                <w:rFonts w:ascii="Arial" w:eastAsia="Times New Roman" w:hAnsi="Arial" w:cs="Arial"/>
                <w:b/>
                <w:bCs/>
                <w:color w:val="000000" w:themeColor="text1"/>
                <w:sz w:val="18"/>
                <w:szCs w:val="18"/>
                <w:lang w:eastAsia="sl-SI"/>
              </w:rPr>
              <w:t>Skupaj</w:t>
            </w:r>
          </w:p>
        </w:tc>
        <w:tc>
          <w:tcPr>
            <w:tcW w:w="962" w:type="dxa"/>
            <w:tcBorders>
              <w:top w:val="nil"/>
              <w:left w:val="nil"/>
              <w:bottom w:val="single" w:sz="4" w:space="0" w:color="auto"/>
              <w:right w:val="single" w:sz="4" w:space="0" w:color="auto"/>
            </w:tcBorders>
            <w:shd w:val="clear" w:color="auto" w:fill="F2F2F2" w:themeFill="background1" w:themeFillShade="F2"/>
            <w:vAlign w:val="center"/>
          </w:tcPr>
          <w:p w14:paraId="567D51DD" w14:textId="2AF9C622" w:rsidR="00167370" w:rsidRPr="00167370" w:rsidRDefault="00167370" w:rsidP="00167370">
            <w:pPr>
              <w:spacing w:after="0" w:line="240" w:lineRule="auto"/>
              <w:jc w:val="right"/>
              <w:rPr>
                <w:rFonts w:ascii="Arial" w:eastAsia="Times New Roman" w:hAnsi="Arial" w:cs="Arial"/>
                <w:b/>
                <w:bCs/>
                <w:color w:val="000000" w:themeColor="text1"/>
                <w:sz w:val="18"/>
                <w:szCs w:val="18"/>
                <w:lang w:eastAsia="sl-SI"/>
              </w:rPr>
            </w:pPr>
            <w:r w:rsidRPr="00167370">
              <w:rPr>
                <w:rFonts w:ascii="Arial" w:eastAsia="Times New Roman" w:hAnsi="Arial" w:cs="Arial"/>
                <w:b/>
                <w:bCs/>
                <w:color w:val="000000" w:themeColor="text1"/>
                <w:sz w:val="18"/>
                <w:szCs w:val="18"/>
                <w:lang w:eastAsia="sl-SI"/>
              </w:rPr>
              <w:t>16.824</w:t>
            </w:r>
          </w:p>
        </w:tc>
        <w:tc>
          <w:tcPr>
            <w:tcW w:w="1343" w:type="dxa"/>
            <w:tcBorders>
              <w:top w:val="nil"/>
              <w:left w:val="nil"/>
              <w:bottom w:val="single" w:sz="4" w:space="0" w:color="auto"/>
              <w:right w:val="single" w:sz="4" w:space="0" w:color="auto"/>
            </w:tcBorders>
            <w:shd w:val="clear" w:color="auto" w:fill="F2F2F2" w:themeFill="background1" w:themeFillShade="F2"/>
            <w:vAlign w:val="center"/>
          </w:tcPr>
          <w:p w14:paraId="20BA5FA8" w14:textId="4B32D759" w:rsidR="00167370" w:rsidRPr="00167370" w:rsidRDefault="00167370" w:rsidP="00167370">
            <w:pPr>
              <w:spacing w:after="0" w:line="240" w:lineRule="auto"/>
              <w:jc w:val="right"/>
              <w:rPr>
                <w:rFonts w:ascii="Arial" w:eastAsia="Times New Roman" w:hAnsi="Arial" w:cs="Arial"/>
                <w:b/>
                <w:bCs/>
                <w:color w:val="000000" w:themeColor="text1"/>
                <w:sz w:val="18"/>
                <w:szCs w:val="18"/>
                <w:lang w:eastAsia="sl-SI"/>
              </w:rPr>
            </w:pPr>
            <w:r w:rsidRPr="00167370">
              <w:rPr>
                <w:rFonts w:ascii="Arial" w:eastAsia="Times New Roman" w:hAnsi="Arial" w:cs="Arial"/>
                <w:b/>
                <w:bCs/>
                <w:color w:val="000000" w:themeColor="text1"/>
                <w:sz w:val="18"/>
                <w:szCs w:val="18"/>
                <w:lang w:eastAsia="sl-SI"/>
              </w:rPr>
              <w:t>6.232.250.969</w:t>
            </w:r>
          </w:p>
        </w:tc>
        <w:tc>
          <w:tcPr>
            <w:tcW w:w="962" w:type="dxa"/>
            <w:tcBorders>
              <w:top w:val="nil"/>
              <w:left w:val="nil"/>
              <w:bottom w:val="single" w:sz="4" w:space="0" w:color="auto"/>
              <w:right w:val="single" w:sz="4" w:space="0" w:color="auto"/>
            </w:tcBorders>
            <w:shd w:val="clear" w:color="auto" w:fill="F2F2F2" w:themeFill="background1" w:themeFillShade="F2"/>
            <w:vAlign w:val="center"/>
          </w:tcPr>
          <w:p w14:paraId="28F477BD" w14:textId="5D220C21" w:rsidR="00167370" w:rsidRPr="00167370" w:rsidRDefault="00167370" w:rsidP="00167370">
            <w:pPr>
              <w:spacing w:after="0" w:line="240" w:lineRule="auto"/>
              <w:jc w:val="right"/>
              <w:rPr>
                <w:rFonts w:ascii="Arial" w:eastAsia="Times New Roman" w:hAnsi="Arial" w:cs="Arial"/>
                <w:b/>
                <w:bCs/>
                <w:color w:val="000000" w:themeColor="text1"/>
                <w:sz w:val="18"/>
                <w:szCs w:val="18"/>
                <w:lang w:eastAsia="sl-SI"/>
              </w:rPr>
            </w:pPr>
            <w:r w:rsidRPr="00167370">
              <w:rPr>
                <w:rFonts w:ascii="Arial" w:eastAsia="Times New Roman" w:hAnsi="Arial" w:cs="Arial"/>
                <w:b/>
                <w:bCs/>
                <w:color w:val="000000" w:themeColor="text1"/>
                <w:sz w:val="18"/>
                <w:szCs w:val="18"/>
                <w:lang w:eastAsia="sl-SI"/>
              </w:rPr>
              <w:t>100,00 %</w:t>
            </w:r>
          </w:p>
        </w:tc>
        <w:tc>
          <w:tcPr>
            <w:tcW w:w="962" w:type="dxa"/>
            <w:tcBorders>
              <w:top w:val="nil"/>
              <w:left w:val="nil"/>
              <w:bottom w:val="single" w:sz="4" w:space="0" w:color="auto"/>
              <w:right w:val="single" w:sz="4" w:space="0" w:color="auto"/>
            </w:tcBorders>
            <w:shd w:val="clear" w:color="auto" w:fill="F2F2F2" w:themeFill="background1" w:themeFillShade="F2"/>
            <w:vAlign w:val="center"/>
          </w:tcPr>
          <w:p w14:paraId="45A260FB" w14:textId="6762F36D" w:rsidR="00167370" w:rsidRPr="00167370" w:rsidRDefault="00167370" w:rsidP="00167370">
            <w:pPr>
              <w:spacing w:after="0" w:line="240" w:lineRule="auto"/>
              <w:jc w:val="right"/>
              <w:rPr>
                <w:rFonts w:ascii="Arial" w:eastAsia="Times New Roman" w:hAnsi="Arial" w:cs="Arial"/>
                <w:b/>
                <w:bCs/>
                <w:color w:val="000000" w:themeColor="text1"/>
                <w:sz w:val="18"/>
                <w:szCs w:val="18"/>
                <w:lang w:eastAsia="sl-SI"/>
              </w:rPr>
            </w:pPr>
            <w:r w:rsidRPr="00167370">
              <w:rPr>
                <w:rFonts w:ascii="Arial" w:eastAsia="Times New Roman" w:hAnsi="Arial" w:cs="Arial"/>
                <w:b/>
                <w:bCs/>
                <w:color w:val="000000" w:themeColor="text1"/>
                <w:sz w:val="18"/>
                <w:szCs w:val="18"/>
                <w:lang w:eastAsia="sl-SI"/>
              </w:rPr>
              <w:t>100,00 %</w:t>
            </w:r>
          </w:p>
        </w:tc>
      </w:tr>
    </w:tbl>
    <w:p w14:paraId="05680F58" w14:textId="77777777" w:rsidR="004A613D" w:rsidRPr="00167370" w:rsidRDefault="004A613D" w:rsidP="004A613D">
      <w:pPr>
        <w:spacing w:after="0" w:line="240" w:lineRule="auto"/>
        <w:jc w:val="center"/>
        <w:rPr>
          <w:rFonts w:ascii="Arial" w:hAnsi="Arial" w:cs="Arial"/>
          <w:color w:val="000000" w:themeColor="text1"/>
          <w:sz w:val="18"/>
        </w:rPr>
      </w:pPr>
    </w:p>
    <w:p w14:paraId="0AD7CF12" w14:textId="2DDDD425" w:rsidR="002149C7" w:rsidRPr="00167370" w:rsidRDefault="002149C7" w:rsidP="004A613D">
      <w:pPr>
        <w:spacing w:after="0" w:line="240" w:lineRule="auto"/>
        <w:jc w:val="center"/>
        <w:rPr>
          <w:rFonts w:ascii="Arial" w:hAnsi="Arial" w:cs="Arial"/>
          <w:color w:val="000000" w:themeColor="text1"/>
          <w:sz w:val="18"/>
        </w:rPr>
      </w:pPr>
      <w:r w:rsidRPr="00167370">
        <w:rPr>
          <w:rFonts w:ascii="Arial" w:hAnsi="Arial" w:cs="Arial"/>
          <w:color w:val="000000" w:themeColor="text1"/>
          <w:sz w:val="18"/>
        </w:rPr>
        <w:t>Vir: Statistični podatki o javni</w:t>
      </w:r>
      <w:r w:rsidR="00A826AE" w:rsidRPr="00167370">
        <w:rPr>
          <w:rFonts w:ascii="Arial" w:hAnsi="Arial" w:cs="Arial"/>
          <w:color w:val="000000" w:themeColor="text1"/>
          <w:sz w:val="18"/>
        </w:rPr>
        <w:t>h naročilih, oddanih v letu 20</w:t>
      </w:r>
      <w:r w:rsidR="004D3472" w:rsidRPr="00167370">
        <w:rPr>
          <w:rFonts w:ascii="Arial" w:hAnsi="Arial" w:cs="Arial"/>
          <w:color w:val="000000" w:themeColor="text1"/>
          <w:sz w:val="18"/>
        </w:rPr>
        <w:t>2</w:t>
      </w:r>
      <w:r w:rsidR="001836D9" w:rsidRPr="00167370">
        <w:rPr>
          <w:rFonts w:ascii="Arial" w:hAnsi="Arial" w:cs="Arial"/>
          <w:color w:val="000000" w:themeColor="text1"/>
          <w:sz w:val="18"/>
        </w:rPr>
        <w:t>3</w:t>
      </w:r>
      <w:r w:rsidR="006A17D7" w:rsidRPr="00167370">
        <w:rPr>
          <w:rFonts w:ascii="Arial" w:hAnsi="Arial" w:cs="Arial"/>
          <w:color w:val="000000" w:themeColor="text1"/>
          <w:sz w:val="18"/>
        </w:rPr>
        <w:t>.</w:t>
      </w:r>
    </w:p>
    <w:p w14:paraId="007D2A25" w14:textId="77777777" w:rsidR="0034475A" w:rsidRPr="00637ACF" w:rsidRDefault="0034475A" w:rsidP="006E0379">
      <w:pPr>
        <w:tabs>
          <w:tab w:val="left" w:pos="567"/>
          <w:tab w:val="left" w:pos="993"/>
        </w:tabs>
        <w:spacing w:line="360" w:lineRule="auto"/>
        <w:jc w:val="both"/>
        <w:rPr>
          <w:rFonts w:ascii="Arial" w:hAnsi="Arial" w:cs="Arial"/>
          <w:color w:val="FF0000"/>
          <w:sz w:val="20"/>
          <w:szCs w:val="20"/>
          <w:highlight w:val="yellow"/>
          <w:lang w:eastAsia="sl-SI"/>
        </w:rPr>
      </w:pPr>
    </w:p>
    <w:p w14:paraId="7ADA2666" w14:textId="0FEAF53D" w:rsidR="006E0379" w:rsidRPr="008E7E6D" w:rsidRDefault="00B37EB8" w:rsidP="006E0379">
      <w:pPr>
        <w:tabs>
          <w:tab w:val="left" w:pos="567"/>
          <w:tab w:val="left" w:pos="993"/>
        </w:tabs>
        <w:spacing w:line="360" w:lineRule="auto"/>
        <w:jc w:val="both"/>
        <w:rPr>
          <w:rFonts w:ascii="Arial" w:hAnsi="Arial" w:cs="Arial"/>
          <w:color w:val="000000" w:themeColor="text1"/>
          <w:sz w:val="20"/>
          <w:szCs w:val="20"/>
          <w:lang w:eastAsia="sl-SI"/>
        </w:rPr>
      </w:pPr>
      <w:r w:rsidRPr="008E7E6D">
        <w:rPr>
          <w:rFonts w:ascii="Arial" w:hAnsi="Arial" w:cs="Arial"/>
          <w:color w:val="000000" w:themeColor="text1"/>
          <w:sz w:val="20"/>
          <w:szCs w:val="20"/>
          <w:lang w:eastAsia="sl-SI"/>
        </w:rPr>
        <w:t xml:space="preserve">Pri oddaji naročil so naročniki največkrat uporabili merilo cena pri odprtem postopku, kjer je bilo to merilo uporabljeno pri </w:t>
      </w:r>
      <w:r w:rsidR="0067294B" w:rsidRPr="008E7E6D">
        <w:rPr>
          <w:rFonts w:ascii="Arial" w:hAnsi="Arial" w:cs="Arial"/>
          <w:color w:val="000000" w:themeColor="text1"/>
          <w:sz w:val="20"/>
          <w:szCs w:val="20"/>
          <w:lang w:eastAsia="sl-SI"/>
        </w:rPr>
        <w:t>757</w:t>
      </w:r>
      <w:r w:rsidR="008E7E6D" w:rsidRPr="008E7E6D">
        <w:rPr>
          <w:rFonts w:ascii="Arial" w:hAnsi="Arial" w:cs="Arial"/>
          <w:color w:val="000000" w:themeColor="text1"/>
          <w:sz w:val="20"/>
          <w:szCs w:val="20"/>
          <w:lang w:eastAsia="sl-SI"/>
        </w:rPr>
        <w:t>5</w:t>
      </w:r>
      <w:r w:rsidR="008D54B0" w:rsidRPr="008E7E6D">
        <w:rPr>
          <w:rFonts w:ascii="Arial" w:hAnsi="Arial" w:cs="Arial"/>
          <w:color w:val="000000" w:themeColor="text1"/>
          <w:sz w:val="20"/>
          <w:szCs w:val="20"/>
          <w:lang w:eastAsia="sl-SI"/>
        </w:rPr>
        <w:t xml:space="preserve"> </w:t>
      </w:r>
      <w:r w:rsidRPr="008E7E6D">
        <w:rPr>
          <w:rFonts w:ascii="Arial" w:hAnsi="Arial" w:cs="Arial"/>
          <w:color w:val="000000" w:themeColor="text1"/>
          <w:sz w:val="20"/>
          <w:szCs w:val="20"/>
          <w:lang w:eastAsia="sl-SI"/>
        </w:rPr>
        <w:t xml:space="preserve">naročilih oziroma </w:t>
      </w:r>
      <w:r w:rsidR="009142C1" w:rsidRPr="008E7E6D">
        <w:rPr>
          <w:rFonts w:ascii="Arial" w:hAnsi="Arial" w:cs="Arial"/>
          <w:color w:val="000000" w:themeColor="text1"/>
          <w:sz w:val="20"/>
          <w:szCs w:val="20"/>
          <w:lang w:eastAsia="sl-SI"/>
        </w:rPr>
        <w:t>8</w:t>
      </w:r>
      <w:r w:rsidR="002B28BA" w:rsidRPr="008E7E6D">
        <w:rPr>
          <w:rFonts w:ascii="Arial" w:hAnsi="Arial" w:cs="Arial"/>
          <w:color w:val="000000" w:themeColor="text1"/>
          <w:sz w:val="20"/>
          <w:szCs w:val="20"/>
          <w:lang w:eastAsia="sl-SI"/>
        </w:rPr>
        <w:t>8,</w:t>
      </w:r>
      <w:r w:rsidR="0067294B" w:rsidRPr="008E7E6D">
        <w:rPr>
          <w:rFonts w:ascii="Arial" w:hAnsi="Arial" w:cs="Arial"/>
          <w:color w:val="000000" w:themeColor="text1"/>
          <w:sz w:val="20"/>
          <w:szCs w:val="20"/>
          <w:lang w:eastAsia="sl-SI"/>
        </w:rPr>
        <w:t>1</w:t>
      </w:r>
      <w:r w:rsidR="008E7E6D" w:rsidRPr="008E7E6D">
        <w:rPr>
          <w:rFonts w:ascii="Arial" w:hAnsi="Arial" w:cs="Arial"/>
          <w:color w:val="000000" w:themeColor="text1"/>
          <w:sz w:val="20"/>
          <w:szCs w:val="20"/>
          <w:lang w:eastAsia="sl-SI"/>
        </w:rPr>
        <w:t>7</w:t>
      </w:r>
      <w:r w:rsidR="002B28BA" w:rsidRPr="008E7E6D">
        <w:rPr>
          <w:rFonts w:ascii="Arial" w:hAnsi="Arial" w:cs="Arial"/>
          <w:color w:val="000000" w:themeColor="text1"/>
          <w:sz w:val="20"/>
          <w:szCs w:val="20"/>
          <w:lang w:eastAsia="sl-SI"/>
        </w:rPr>
        <w:t xml:space="preserve"> </w:t>
      </w:r>
      <w:r w:rsidR="00AC0027" w:rsidRPr="008E7E6D">
        <w:rPr>
          <w:rFonts w:ascii="Arial" w:hAnsi="Arial" w:cs="Arial"/>
          <w:color w:val="000000" w:themeColor="text1"/>
          <w:sz w:val="20"/>
          <w:szCs w:val="20"/>
          <w:lang w:eastAsia="sl-SI"/>
        </w:rPr>
        <w:t>odstotka</w:t>
      </w:r>
      <w:r w:rsidRPr="008E7E6D">
        <w:rPr>
          <w:rFonts w:ascii="Arial" w:hAnsi="Arial" w:cs="Arial"/>
          <w:color w:val="000000" w:themeColor="text1"/>
          <w:sz w:val="20"/>
          <w:szCs w:val="20"/>
          <w:lang w:eastAsia="sl-SI"/>
        </w:rPr>
        <w:t xml:space="preserve"> vseh naročil v teh postopkih. </w:t>
      </w:r>
    </w:p>
    <w:p w14:paraId="05DFA40F" w14:textId="4FD3E9B5" w:rsidR="00B37EB8" w:rsidRPr="008E7E6D" w:rsidRDefault="00B37EB8" w:rsidP="008A61FD">
      <w:pPr>
        <w:spacing w:before="120" w:after="120" w:line="240" w:lineRule="auto"/>
        <w:jc w:val="both"/>
        <w:rPr>
          <w:rFonts w:ascii="Arial" w:hAnsi="Arial" w:cs="Arial"/>
          <w:color w:val="000000" w:themeColor="text1"/>
          <w:sz w:val="20"/>
        </w:rPr>
      </w:pPr>
      <w:r w:rsidRPr="008E7E6D">
        <w:rPr>
          <w:rFonts w:ascii="Arial" w:hAnsi="Arial" w:cs="Arial"/>
          <w:color w:val="000000" w:themeColor="text1"/>
          <w:sz w:val="20"/>
        </w:rPr>
        <w:t xml:space="preserve">Preglednica </w:t>
      </w:r>
      <w:r w:rsidR="00512F52" w:rsidRPr="008E7E6D">
        <w:rPr>
          <w:rFonts w:ascii="Arial" w:hAnsi="Arial" w:cs="Arial"/>
          <w:color w:val="000000" w:themeColor="text1"/>
          <w:sz w:val="20"/>
        </w:rPr>
        <w:t>25</w:t>
      </w:r>
      <w:r w:rsidRPr="008E7E6D">
        <w:rPr>
          <w:rFonts w:ascii="Arial" w:hAnsi="Arial" w:cs="Arial"/>
          <w:color w:val="000000" w:themeColor="text1"/>
          <w:sz w:val="20"/>
        </w:rPr>
        <w:t xml:space="preserve">: </w:t>
      </w:r>
      <w:r w:rsidR="00CF14EA" w:rsidRPr="008E7E6D">
        <w:rPr>
          <w:rFonts w:ascii="Arial" w:hAnsi="Arial" w:cs="Arial"/>
          <w:color w:val="000000" w:themeColor="text1"/>
          <w:sz w:val="20"/>
        </w:rPr>
        <w:t xml:space="preserve">Uporabljeno merilo </w:t>
      </w:r>
      <w:r w:rsidR="00C6284B" w:rsidRPr="008E7E6D">
        <w:rPr>
          <w:rFonts w:ascii="Arial" w:hAnsi="Arial" w:cs="Arial"/>
          <w:color w:val="000000" w:themeColor="text1"/>
          <w:sz w:val="20"/>
        </w:rPr>
        <w:t>po</w:t>
      </w:r>
      <w:r w:rsidR="00CF14EA" w:rsidRPr="008E7E6D">
        <w:rPr>
          <w:rFonts w:ascii="Arial" w:hAnsi="Arial" w:cs="Arial"/>
          <w:color w:val="000000" w:themeColor="text1"/>
          <w:sz w:val="20"/>
        </w:rPr>
        <w:t xml:space="preserve"> številu naročil in njihovi vrednosti ter deleži glede na vrsto postopka</w:t>
      </w:r>
    </w:p>
    <w:tbl>
      <w:tblPr>
        <w:tblW w:w="9073" w:type="dxa"/>
        <w:jc w:val="center"/>
        <w:tblCellMar>
          <w:left w:w="70" w:type="dxa"/>
          <w:right w:w="70" w:type="dxa"/>
        </w:tblCellMar>
        <w:tblLook w:val="04A0" w:firstRow="1" w:lastRow="0" w:firstColumn="1" w:lastColumn="0" w:noHBand="0" w:noVBand="1"/>
      </w:tblPr>
      <w:tblGrid>
        <w:gridCol w:w="2076"/>
        <w:gridCol w:w="2914"/>
        <w:gridCol w:w="671"/>
        <w:gridCol w:w="1422"/>
        <w:gridCol w:w="997"/>
        <w:gridCol w:w="993"/>
      </w:tblGrid>
      <w:tr w:rsidR="005958BC" w:rsidRPr="008E7E6D" w14:paraId="51E6C944" w14:textId="77777777" w:rsidTr="0067294B">
        <w:trPr>
          <w:trHeight w:val="255"/>
          <w:tblHeader/>
          <w:jc w:val="center"/>
        </w:trPr>
        <w:tc>
          <w:tcPr>
            <w:tcW w:w="20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5B982" w14:textId="77777777" w:rsidR="006E0379" w:rsidRPr="008E7E6D" w:rsidRDefault="006E0379" w:rsidP="006E0379">
            <w:pPr>
              <w:spacing w:after="0" w:line="240" w:lineRule="auto"/>
              <w:jc w:val="center"/>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Vrsta postopka</w:t>
            </w:r>
          </w:p>
        </w:tc>
        <w:tc>
          <w:tcPr>
            <w:tcW w:w="29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7A9B4D" w14:textId="77777777" w:rsidR="006E0379" w:rsidRPr="008E7E6D" w:rsidRDefault="006E0379" w:rsidP="006E0379">
            <w:pPr>
              <w:spacing w:after="0" w:line="240" w:lineRule="auto"/>
              <w:jc w:val="center"/>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Merila</w:t>
            </w:r>
          </w:p>
        </w:tc>
        <w:tc>
          <w:tcPr>
            <w:tcW w:w="6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A4A21A" w14:textId="77777777" w:rsidR="006E0379" w:rsidRPr="008E7E6D" w:rsidRDefault="006E0379" w:rsidP="006E0379">
            <w:pPr>
              <w:spacing w:after="0" w:line="240" w:lineRule="auto"/>
              <w:jc w:val="center"/>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Št. naročil</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EBA413" w14:textId="67B19E58" w:rsidR="006E0379" w:rsidRPr="008E7E6D" w:rsidRDefault="006E0379" w:rsidP="006E0379">
            <w:pPr>
              <w:spacing w:after="0" w:line="240" w:lineRule="auto"/>
              <w:jc w:val="center"/>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Pogodbena vrednost</w:t>
            </w:r>
            <w:r w:rsidR="00F36C50" w:rsidRPr="008E7E6D">
              <w:rPr>
                <w:rFonts w:ascii="Arial" w:eastAsia="Times New Roman" w:hAnsi="Arial" w:cs="Arial"/>
                <w:color w:val="000000" w:themeColor="text1"/>
                <w:sz w:val="18"/>
                <w:szCs w:val="18"/>
                <w:lang w:eastAsia="sl-SI"/>
              </w:rPr>
              <w:t xml:space="preserve"> (v EUR)</w:t>
            </w:r>
          </w:p>
        </w:tc>
        <w:tc>
          <w:tcPr>
            <w:tcW w:w="9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0244A4" w14:textId="77777777" w:rsidR="006E0379" w:rsidRPr="008E7E6D" w:rsidRDefault="006E0379" w:rsidP="006E0379">
            <w:pPr>
              <w:spacing w:after="0" w:line="240" w:lineRule="auto"/>
              <w:jc w:val="center"/>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Delež v št. naročil</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103C50" w14:textId="77777777" w:rsidR="006E0379" w:rsidRPr="008E7E6D" w:rsidRDefault="006E0379" w:rsidP="006E0379">
            <w:pPr>
              <w:spacing w:after="0" w:line="240" w:lineRule="auto"/>
              <w:jc w:val="center"/>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Delež v vrednosti</w:t>
            </w:r>
          </w:p>
        </w:tc>
      </w:tr>
      <w:tr w:rsidR="008E7E6D" w:rsidRPr="008E7E6D" w14:paraId="4FFAC2FC" w14:textId="77777777" w:rsidTr="008E7E6D">
        <w:trPr>
          <w:trHeight w:val="255"/>
          <w:jc w:val="center"/>
        </w:trPr>
        <w:tc>
          <w:tcPr>
            <w:tcW w:w="2076" w:type="dxa"/>
            <w:vMerge w:val="restart"/>
            <w:tcBorders>
              <w:top w:val="nil"/>
              <w:left w:val="single" w:sz="4" w:space="0" w:color="auto"/>
              <w:right w:val="single" w:sz="4" w:space="0" w:color="auto"/>
            </w:tcBorders>
            <w:shd w:val="clear" w:color="auto" w:fill="auto"/>
            <w:vAlign w:val="center"/>
            <w:hideMark/>
          </w:tcPr>
          <w:p w14:paraId="1DC40761"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Konkurenčni dialog</w:t>
            </w:r>
          </w:p>
        </w:tc>
        <w:tc>
          <w:tcPr>
            <w:tcW w:w="2914" w:type="dxa"/>
            <w:tcBorders>
              <w:top w:val="nil"/>
              <w:left w:val="nil"/>
              <w:bottom w:val="single" w:sz="4" w:space="0" w:color="auto"/>
              <w:right w:val="single" w:sz="4" w:space="0" w:color="auto"/>
            </w:tcBorders>
            <w:shd w:val="clear" w:color="auto" w:fill="auto"/>
            <w:vAlign w:val="center"/>
            <w:hideMark/>
          </w:tcPr>
          <w:p w14:paraId="045BC745"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4FF849ED" w14:textId="1DAC50C7"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13</w:t>
            </w:r>
          </w:p>
        </w:tc>
        <w:tc>
          <w:tcPr>
            <w:tcW w:w="1422" w:type="dxa"/>
            <w:tcBorders>
              <w:top w:val="nil"/>
              <w:left w:val="nil"/>
              <w:bottom w:val="single" w:sz="4" w:space="0" w:color="auto"/>
              <w:right w:val="single" w:sz="4" w:space="0" w:color="auto"/>
            </w:tcBorders>
            <w:shd w:val="clear" w:color="auto" w:fill="auto"/>
            <w:vAlign w:val="center"/>
            <w:hideMark/>
          </w:tcPr>
          <w:p w14:paraId="0338FB38" w14:textId="015B82B4"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222.979.910</w:t>
            </w:r>
          </w:p>
        </w:tc>
        <w:tc>
          <w:tcPr>
            <w:tcW w:w="997" w:type="dxa"/>
            <w:tcBorders>
              <w:top w:val="nil"/>
              <w:left w:val="nil"/>
              <w:bottom w:val="single" w:sz="4" w:space="0" w:color="auto"/>
              <w:right w:val="single" w:sz="4" w:space="0" w:color="auto"/>
            </w:tcBorders>
            <w:shd w:val="clear" w:color="auto" w:fill="auto"/>
            <w:noWrap/>
            <w:vAlign w:val="center"/>
          </w:tcPr>
          <w:p w14:paraId="3C0A38F5" w14:textId="6CBDAB75"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65,00 %</w:t>
            </w:r>
          </w:p>
        </w:tc>
        <w:tc>
          <w:tcPr>
            <w:tcW w:w="993" w:type="dxa"/>
            <w:tcBorders>
              <w:top w:val="nil"/>
              <w:left w:val="nil"/>
              <w:bottom w:val="single" w:sz="4" w:space="0" w:color="auto"/>
              <w:right w:val="single" w:sz="4" w:space="0" w:color="auto"/>
            </w:tcBorders>
            <w:shd w:val="clear" w:color="auto" w:fill="auto"/>
            <w:noWrap/>
            <w:vAlign w:val="center"/>
          </w:tcPr>
          <w:p w14:paraId="6F37EFE3" w14:textId="76976ABE"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96,14 %</w:t>
            </w:r>
          </w:p>
        </w:tc>
      </w:tr>
      <w:tr w:rsidR="008E7E6D" w:rsidRPr="008E7E6D" w14:paraId="75418AFD" w14:textId="77777777" w:rsidTr="008E7E6D">
        <w:trPr>
          <w:trHeight w:val="255"/>
          <w:jc w:val="center"/>
        </w:trPr>
        <w:tc>
          <w:tcPr>
            <w:tcW w:w="2076" w:type="dxa"/>
            <w:vMerge/>
            <w:tcBorders>
              <w:left w:val="single" w:sz="4" w:space="0" w:color="auto"/>
              <w:bottom w:val="single" w:sz="4" w:space="0" w:color="auto"/>
              <w:right w:val="single" w:sz="4" w:space="0" w:color="auto"/>
            </w:tcBorders>
            <w:shd w:val="clear" w:color="auto" w:fill="auto"/>
            <w:vAlign w:val="center"/>
          </w:tcPr>
          <w:p w14:paraId="29E3280D"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p>
        </w:tc>
        <w:tc>
          <w:tcPr>
            <w:tcW w:w="2914" w:type="dxa"/>
            <w:tcBorders>
              <w:top w:val="nil"/>
              <w:left w:val="nil"/>
              <w:bottom w:val="single" w:sz="4" w:space="0" w:color="auto"/>
              <w:right w:val="single" w:sz="4" w:space="0" w:color="auto"/>
            </w:tcBorders>
            <w:shd w:val="clear" w:color="auto" w:fill="auto"/>
            <w:vAlign w:val="center"/>
          </w:tcPr>
          <w:p w14:paraId="0A843732" w14:textId="62EDFF92"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tcPr>
          <w:p w14:paraId="0D461CAF" w14:textId="43189DB1"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7</w:t>
            </w:r>
          </w:p>
        </w:tc>
        <w:tc>
          <w:tcPr>
            <w:tcW w:w="1422" w:type="dxa"/>
            <w:tcBorders>
              <w:top w:val="nil"/>
              <w:left w:val="nil"/>
              <w:bottom w:val="single" w:sz="4" w:space="0" w:color="auto"/>
              <w:right w:val="single" w:sz="4" w:space="0" w:color="auto"/>
            </w:tcBorders>
            <w:shd w:val="clear" w:color="auto" w:fill="auto"/>
            <w:vAlign w:val="center"/>
          </w:tcPr>
          <w:p w14:paraId="55C71CCC" w14:textId="4DD97BE1"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8.954.386</w:t>
            </w:r>
          </w:p>
        </w:tc>
        <w:tc>
          <w:tcPr>
            <w:tcW w:w="997" w:type="dxa"/>
            <w:tcBorders>
              <w:top w:val="nil"/>
              <w:left w:val="nil"/>
              <w:bottom w:val="single" w:sz="4" w:space="0" w:color="auto"/>
              <w:right w:val="single" w:sz="4" w:space="0" w:color="auto"/>
            </w:tcBorders>
            <w:shd w:val="clear" w:color="auto" w:fill="auto"/>
            <w:noWrap/>
            <w:vAlign w:val="center"/>
          </w:tcPr>
          <w:p w14:paraId="52A892ED" w14:textId="1B88E5AE"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35,00 %</w:t>
            </w:r>
          </w:p>
        </w:tc>
        <w:tc>
          <w:tcPr>
            <w:tcW w:w="993" w:type="dxa"/>
            <w:tcBorders>
              <w:top w:val="nil"/>
              <w:left w:val="nil"/>
              <w:bottom w:val="single" w:sz="4" w:space="0" w:color="auto"/>
              <w:right w:val="single" w:sz="4" w:space="0" w:color="auto"/>
            </w:tcBorders>
            <w:shd w:val="clear" w:color="auto" w:fill="auto"/>
            <w:noWrap/>
            <w:vAlign w:val="center"/>
          </w:tcPr>
          <w:p w14:paraId="28197F9E" w14:textId="48B4587E"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3,86 %</w:t>
            </w:r>
          </w:p>
        </w:tc>
      </w:tr>
      <w:tr w:rsidR="008E7E6D" w:rsidRPr="008E7E6D" w14:paraId="18BFF4D0" w14:textId="77777777" w:rsidTr="008E7E6D">
        <w:trPr>
          <w:trHeight w:val="255"/>
          <w:jc w:val="center"/>
        </w:trPr>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6217308F"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Konkurenčni postopek s pogajanji</w:t>
            </w:r>
          </w:p>
        </w:tc>
        <w:tc>
          <w:tcPr>
            <w:tcW w:w="2914" w:type="dxa"/>
            <w:tcBorders>
              <w:top w:val="nil"/>
              <w:left w:val="nil"/>
              <w:bottom w:val="single" w:sz="4" w:space="0" w:color="auto"/>
              <w:right w:val="single" w:sz="4" w:space="0" w:color="auto"/>
            </w:tcBorders>
            <w:shd w:val="clear" w:color="auto" w:fill="auto"/>
            <w:vAlign w:val="center"/>
            <w:hideMark/>
          </w:tcPr>
          <w:p w14:paraId="2EAED72F"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Cena</w:t>
            </w:r>
          </w:p>
        </w:tc>
        <w:tc>
          <w:tcPr>
            <w:tcW w:w="671" w:type="dxa"/>
            <w:tcBorders>
              <w:top w:val="nil"/>
              <w:left w:val="nil"/>
              <w:bottom w:val="single" w:sz="4" w:space="0" w:color="auto"/>
              <w:right w:val="single" w:sz="4" w:space="0" w:color="auto"/>
            </w:tcBorders>
            <w:shd w:val="clear" w:color="auto" w:fill="auto"/>
            <w:vAlign w:val="center"/>
            <w:hideMark/>
          </w:tcPr>
          <w:p w14:paraId="0481FBDF" w14:textId="2C450632"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204</w:t>
            </w:r>
          </w:p>
        </w:tc>
        <w:tc>
          <w:tcPr>
            <w:tcW w:w="1422" w:type="dxa"/>
            <w:tcBorders>
              <w:top w:val="nil"/>
              <w:left w:val="nil"/>
              <w:bottom w:val="single" w:sz="4" w:space="0" w:color="auto"/>
              <w:right w:val="single" w:sz="4" w:space="0" w:color="auto"/>
            </w:tcBorders>
            <w:shd w:val="clear" w:color="auto" w:fill="auto"/>
            <w:vAlign w:val="center"/>
            <w:hideMark/>
          </w:tcPr>
          <w:p w14:paraId="09A84CAB" w14:textId="24944EE7"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293.964.765</w:t>
            </w:r>
          </w:p>
        </w:tc>
        <w:tc>
          <w:tcPr>
            <w:tcW w:w="997" w:type="dxa"/>
            <w:tcBorders>
              <w:top w:val="nil"/>
              <w:left w:val="nil"/>
              <w:bottom w:val="single" w:sz="4" w:space="0" w:color="auto"/>
              <w:right w:val="single" w:sz="4" w:space="0" w:color="auto"/>
            </w:tcBorders>
            <w:shd w:val="clear" w:color="auto" w:fill="auto"/>
            <w:noWrap/>
            <w:vAlign w:val="center"/>
          </w:tcPr>
          <w:p w14:paraId="1891E782" w14:textId="0C43B3A0"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92,31 %</w:t>
            </w:r>
          </w:p>
        </w:tc>
        <w:tc>
          <w:tcPr>
            <w:tcW w:w="993" w:type="dxa"/>
            <w:tcBorders>
              <w:top w:val="nil"/>
              <w:left w:val="nil"/>
              <w:bottom w:val="single" w:sz="4" w:space="0" w:color="auto"/>
              <w:right w:val="single" w:sz="4" w:space="0" w:color="auto"/>
            </w:tcBorders>
            <w:shd w:val="clear" w:color="auto" w:fill="auto"/>
            <w:noWrap/>
            <w:vAlign w:val="center"/>
          </w:tcPr>
          <w:p w14:paraId="306B2039" w14:textId="15812672"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95,04 %</w:t>
            </w:r>
          </w:p>
        </w:tc>
      </w:tr>
      <w:tr w:rsidR="008E7E6D" w:rsidRPr="008E7E6D" w14:paraId="308250EE" w14:textId="77777777" w:rsidTr="008E7E6D">
        <w:trPr>
          <w:trHeight w:val="255"/>
          <w:jc w:val="center"/>
        </w:trPr>
        <w:tc>
          <w:tcPr>
            <w:tcW w:w="2076" w:type="dxa"/>
            <w:vMerge/>
            <w:tcBorders>
              <w:top w:val="nil"/>
              <w:left w:val="single" w:sz="4" w:space="0" w:color="auto"/>
              <w:bottom w:val="single" w:sz="4" w:space="0" w:color="auto"/>
              <w:right w:val="single" w:sz="4" w:space="0" w:color="auto"/>
            </w:tcBorders>
            <w:vAlign w:val="center"/>
            <w:hideMark/>
          </w:tcPr>
          <w:p w14:paraId="171F9BB1" w14:textId="77777777" w:rsidR="008E7E6D" w:rsidRPr="008E7E6D" w:rsidRDefault="008E7E6D" w:rsidP="008E7E6D">
            <w:pPr>
              <w:spacing w:after="0" w:line="240" w:lineRule="auto"/>
              <w:rPr>
                <w:rFonts w:ascii="Arial" w:hAnsi="Arial" w:cs="Arial"/>
                <w:color w:val="000000"/>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32A49DC2"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7044E7C0" w14:textId="0578D65E"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17</w:t>
            </w:r>
          </w:p>
        </w:tc>
        <w:tc>
          <w:tcPr>
            <w:tcW w:w="1422" w:type="dxa"/>
            <w:tcBorders>
              <w:top w:val="nil"/>
              <w:left w:val="nil"/>
              <w:bottom w:val="single" w:sz="4" w:space="0" w:color="auto"/>
              <w:right w:val="single" w:sz="4" w:space="0" w:color="auto"/>
            </w:tcBorders>
            <w:shd w:val="clear" w:color="auto" w:fill="auto"/>
            <w:vAlign w:val="center"/>
            <w:hideMark/>
          </w:tcPr>
          <w:p w14:paraId="1E7BAD82" w14:textId="16D6765B"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15.354.986</w:t>
            </w:r>
          </w:p>
        </w:tc>
        <w:tc>
          <w:tcPr>
            <w:tcW w:w="997" w:type="dxa"/>
            <w:tcBorders>
              <w:top w:val="nil"/>
              <w:left w:val="nil"/>
              <w:bottom w:val="single" w:sz="4" w:space="0" w:color="auto"/>
              <w:right w:val="single" w:sz="4" w:space="0" w:color="auto"/>
            </w:tcBorders>
            <w:shd w:val="clear" w:color="auto" w:fill="auto"/>
            <w:noWrap/>
            <w:vAlign w:val="center"/>
          </w:tcPr>
          <w:p w14:paraId="09BC1857" w14:textId="74D249C2"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7,69 %</w:t>
            </w:r>
          </w:p>
        </w:tc>
        <w:tc>
          <w:tcPr>
            <w:tcW w:w="993" w:type="dxa"/>
            <w:tcBorders>
              <w:top w:val="nil"/>
              <w:left w:val="nil"/>
              <w:bottom w:val="single" w:sz="4" w:space="0" w:color="auto"/>
              <w:right w:val="single" w:sz="4" w:space="0" w:color="auto"/>
            </w:tcBorders>
            <w:shd w:val="clear" w:color="auto" w:fill="auto"/>
            <w:noWrap/>
            <w:vAlign w:val="center"/>
          </w:tcPr>
          <w:p w14:paraId="0FFE795B" w14:textId="262D5634"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4,96 %</w:t>
            </w:r>
          </w:p>
        </w:tc>
      </w:tr>
      <w:tr w:rsidR="008E7E6D" w:rsidRPr="008E7E6D" w14:paraId="5BD8492E" w14:textId="77777777" w:rsidTr="008E7E6D">
        <w:trPr>
          <w:trHeight w:val="255"/>
          <w:jc w:val="center"/>
        </w:trPr>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12678F22"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Odprti postopek</w:t>
            </w:r>
          </w:p>
        </w:tc>
        <w:tc>
          <w:tcPr>
            <w:tcW w:w="2914" w:type="dxa"/>
            <w:tcBorders>
              <w:top w:val="nil"/>
              <w:left w:val="nil"/>
              <w:bottom w:val="single" w:sz="4" w:space="0" w:color="auto"/>
              <w:right w:val="single" w:sz="4" w:space="0" w:color="auto"/>
            </w:tcBorders>
            <w:shd w:val="clear" w:color="auto" w:fill="auto"/>
            <w:vAlign w:val="center"/>
            <w:hideMark/>
          </w:tcPr>
          <w:p w14:paraId="29EAC892"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Cena</w:t>
            </w:r>
          </w:p>
        </w:tc>
        <w:tc>
          <w:tcPr>
            <w:tcW w:w="671" w:type="dxa"/>
            <w:tcBorders>
              <w:top w:val="nil"/>
              <w:left w:val="nil"/>
              <w:bottom w:val="single" w:sz="4" w:space="0" w:color="auto"/>
              <w:right w:val="single" w:sz="4" w:space="0" w:color="auto"/>
            </w:tcBorders>
            <w:shd w:val="clear" w:color="auto" w:fill="auto"/>
            <w:vAlign w:val="center"/>
          </w:tcPr>
          <w:p w14:paraId="2F1D4BE0" w14:textId="410BA01E"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7.575</w:t>
            </w:r>
          </w:p>
        </w:tc>
        <w:tc>
          <w:tcPr>
            <w:tcW w:w="1422" w:type="dxa"/>
            <w:tcBorders>
              <w:top w:val="nil"/>
              <w:left w:val="nil"/>
              <w:bottom w:val="single" w:sz="4" w:space="0" w:color="auto"/>
              <w:right w:val="single" w:sz="4" w:space="0" w:color="auto"/>
            </w:tcBorders>
            <w:shd w:val="clear" w:color="auto" w:fill="auto"/>
            <w:vAlign w:val="center"/>
          </w:tcPr>
          <w:p w14:paraId="11F4AB1E" w14:textId="760A6B66"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3.126.956.032</w:t>
            </w:r>
          </w:p>
        </w:tc>
        <w:tc>
          <w:tcPr>
            <w:tcW w:w="997" w:type="dxa"/>
            <w:tcBorders>
              <w:top w:val="nil"/>
              <w:left w:val="nil"/>
              <w:bottom w:val="single" w:sz="4" w:space="0" w:color="auto"/>
              <w:right w:val="single" w:sz="4" w:space="0" w:color="auto"/>
            </w:tcBorders>
            <w:shd w:val="clear" w:color="auto" w:fill="auto"/>
            <w:noWrap/>
            <w:vAlign w:val="center"/>
          </w:tcPr>
          <w:p w14:paraId="72555019" w14:textId="1C0EA904"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88,17 %</w:t>
            </w:r>
          </w:p>
        </w:tc>
        <w:tc>
          <w:tcPr>
            <w:tcW w:w="993" w:type="dxa"/>
            <w:tcBorders>
              <w:top w:val="nil"/>
              <w:left w:val="nil"/>
              <w:bottom w:val="single" w:sz="4" w:space="0" w:color="auto"/>
              <w:right w:val="single" w:sz="4" w:space="0" w:color="auto"/>
            </w:tcBorders>
            <w:shd w:val="clear" w:color="auto" w:fill="auto"/>
            <w:noWrap/>
            <w:vAlign w:val="center"/>
          </w:tcPr>
          <w:p w14:paraId="4DEEC3BF" w14:textId="5C100C8D"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90,81 %</w:t>
            </w:r>
          </w:p>
        </w:tc>
      </w:tr>
      <w:tr w:rsidR="008E7E6D" w:rsidRPr="008E7E6D" w14:paraId="7AAF2977" w14:textId="77777777" w:rsidTr="008E7E6D">
        <w:trPr>
          <w:trHeight w:val="255"/>
          <w:jc w:val="center"/>
        </w:trPr>
        <w:tc>
          <w:tcPr>
            <w:tcW w:w="2076" w:type="dxa"/>
            <w:vMerge/>
            <w:tcBorders>
              <w:top w:val="nil"/>
              <w:left w:val="single" w:sz="4" w:space="0" w:color="auto"/>
              <w:bottom w:val="single" w:sz="4" w:space="0" w:color="auto"/>
              <w:right w:val="single" w:sz="4" w:space="0" w:color="auto"/>
            </w:tcBorders>
            <w:vAlign w:val="center"/>
            <w:hideMark/>
          </w:tcPr>
          <w:p w14:paraId="137C5EE7" w14:textId="77777777" w:rsidR="008E7E6D" w:rsidRPr="008E7E6D" w:rsidRDefault="008E7E6D" w:rsidP="008E7E6D">
            <w:pPr>
              <w:spacing w:after="0" w:line="240" w:lineRule="auto"/>
              <w:rPr>
                <w:rFonts w:ascii="Arial" w:hAnsi="Arial" w:cs="Arial"/>
                <w:color w:val="000000"/>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25517AB1"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41DCA9AC" w14:textId="68D64022"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1.016</w:t>
            </w:r>
          </w:p>
        </w:tc>
        <w:tc>
          <w:tcPr>
            <w:tcW w:w="1422" w:type="dxa"/>
            <w:tcBorders>
              <w:top w:val="nil"/>
              <w:left w:val="nil"/>
              <w:bottom w:val="single" w:sz="4" w:space="0" w:color="auto"/>
              <w:right w:val="single" w:sz="4" w:space="0" w:color="auto"/>
            </w:tcBorders>
            <w:shd w:val="clear" w:color="auto" w:fill="auto"/>
            <w:vAlign w:val="center"/>
            <w:hideMark/>
          </w:tcPr>
          <w:p w14:paraId="49660F5D" w14:textId="5BCEA780"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316.504.730</w:t>
            </w:r>
          </w:p>
        </w:tc>
        <w:tc>
          <w:tcPr>
            <w:tcW w:w="997" w:type="dxa"/>
            <w:tcBorders>
              <w:top w:val="nil"/>
              <w:left w:val="nil"/>
              <w:bottom w:val="single" w:sz="4" w:space="0" w:color="auto"/>
              <w:right w:val="single" w:sz="4" w:space="0" w:color="auto"/>
            </w:tcBorders>
            <w:shd w:val="clear" w:color="auto" w:fill="auto"/>
            <w:noWrap/>
            <w:vAlign w:val="center"/>
          </w:tcPr>
          <w:p w14:paraId="6B68417E" w14:textId="188EC1EF"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11,83 %</w:t>
            </w:r>
          </w:p>
        </w:tc>
        <w:tc>
          <w:tcPr>
            <w:tcW w:w="993" w:type="dxa"/>
            <w:tcBorders>
              <w:top w:val="nil"/>
              <w:left w:val="nil"/>
              <w:bottom w:val="single" w:sz="4" w:space="0" w:color="auto"/>
              <w:right w:val="single" w:sz="4" w:space="0" w:color="auto"/>
            </w:tcBorders>
            <w:shd w:val="clear" w:color="auto" w:fill="auto"/>
            <w:noWrap/>
            <w:vAlign w:val="center"/>
          </w:tcPr>
          <w:p w14:paraId="19A56F65" w14:textId="5C47489B"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9,19 %</w:t>
            </w:r>
          </w:p>
        </w:tc>
      </w:tr>
      <w:tr w:rsidR="008E7E6D" w:rsidRPr="008E7E6D" w14:paraId="2D8E0C71" w14:textId="77777777" w:rsidTr="008E7E6D">
        <w:trPr>
          <w:trHeight w:val="255"/>
          <w:jc w:val="center"/>
        </w:trPr>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2CD6A7C7"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Omejeni postopek</w:t>
            </w:r>
          </w:p>
        </w:tc>
        <w:tc>
          <w:tcPr>
            <w:tcW w:w="2914" w:type="dxa"/>
            <w:tcBorders>
              <w:top w:val="nil"/>
              <w:left w:val="nil"/>
              <w:bottom w:val="single" w:sz="4" w:space="0" w:color="auto"/>
              <w:right w:val="single" w:sz="4" w:space="0" w:color="auto"/>
            </w:tcBorders>
            <w:shd w:val="clear" w:color="auto" w:fill="auto"/>
            <w:vAlign w:val="center"/>
            <w:hideMark/>
          </w:tcPr>
          <w:p w14:paraId="41EF4659"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Cena</w:t>
            </w:r>
          </w:p>
        </w:tc>
        <w:tc>
          <w:tcPr>
            <w:tcW w:w="671" w:type="dxa"/>
            <w:tcBorders>
              <w:top w:val="nil"/>
              <w:left w:val="nil"/>
              <w:bottom w:val="single" w:sz="4" w:space="0" w:color="auto"/>
              <w:right w:val="single" w:sz="4" w:space="0" w:color="auto"/>
            </w:tcBorders>
            <w:shd w:val="clear" w:color="auto" w:fill="auto"/>
            <w:vAlign w:val="center"/>
            <w:hideMark/>
          </w:tcPr>
          <w:p w14:paraId="136AA1FF" w14:textId="312ECE0A"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653</w:t>
            </w:r>
          </w:p>
        </w:tc>
        <w:tc>
          <w:tcPr>
            <w:tcW w:w="1422" w:type="dxa"/>
            <w:tcBorders>
              <w:top w:val="nil"/>
              <w:left w:val="nil"/>
              <w:bottom w:val="single" w:sz="4" w:space="0" w:color="auto"/>
              <w:right w:val="single" w:sz="4" w:space="0" w:color="auto"/>
            </w:tcBorders>
            <w:shd w:val="clear" w:color="auto" w:fill="auto"/>
            <w:vAlign w:val="center"/>
            <w:hideMark/>
          </w:tcPr>
          <w:p w14:paraId="7CD5690F" w14:textId="6DD42CF7"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710.066.499</w:t>
            </w:r>
          </w:p>
        </w:tc>
        <w:tc>
          <w:tcPr>
            <w:tcW w:w="997" w:type="dxa"/>
            <w:tcBorders>
              <w:top w:val="nil"/>
              <w:left w:val="nil"/>
              <w:bottom w:val="single" w:sz="4" w:space="0" w:color="auto"/>
              <w:right w:val="single" w:sz="4" w:space="0" w:color="auto"/>
            </w:tcBorders>
            <w:shd w:val="clear" w:color="auto" w:fill="auto"/>
            <w:noWrap/>
            <w:vAlign w:val="center"/>
          </w:tcPr>
          <w:p w14:paraId="222C51D9" w14:textId="221C6340"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82,45 %</w:t>
            </w:r>
          </w:p>
        </w:tc>
        <w:tc>
          <w:tcPr>
            <w:tcW w:w="993" w:type="dxa"/>
            <w:tcBorders>
              <w:top w:val="nil"/>
              <w:left w:val="nil"/>
              <w:bottom w:val="single" w:sz="4" w:space="0" w:color="auto"/>
              <w:right w:val="single" w:sz="4" w:space="0" w:color="auto"/>
            </w:tcBorders>
            <w:shd w:val="clear" w:color="auto" w:fill="auto"/>
            <w:noWrap/>
            <w:vAlign w:val="center"/>
          </w:tcPr>
          <w:p w14:paraId="194CACCE" w14:textId="5D0E3DB0"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94,58 %</w:t>
            </w:r>
          </w:p>
        </w:tc>
      </w:tr>
      <w:tr w:rsidR="008E7E6D" w:rsidRPr="008E7E6D" w14:paraId="020CE0FD" w14:textId="77777777" w:rsidTr="008E7E6D">
        <w:trPr>
          <w:trHeight w:val="255"/>
          <w:jc w:val="center"/>
        </w:trPr>
        <w:tc>
          <w:tcPr>
            <w:tcW w:w="2076" w:type="dxa"/>
            <w:vMerge/>
            <w:tcBorders>
              <w:top w:val="nil"/>
              <w:left w:val="single" w:sz="4" w:space="0" w:color="auto"/>
              <w:bottom w:val="single" w:sz="4" w:space="0" w:color="auto"/>
              <w:right w:val="single" w:sz="4" w:space="0" w:color="auto"/>
            </w:tcBorders>
            <w:vAlign w:val="center"/>
            <w:hideMark/>
          </w:tcPr>
          <w:p w14:paraId="3D8007F8" w14:textId="77777777" w:rsidR="008E7E6D" w:rsidRPr="008E7E6D" w:rsidRDefault="008E7E6D" w:rsidP="008E7E6D">
            <w:pPr>
              <w:spacing w:after="0" w:line="240" w:lineRule="auto"/>
              <w:rPr>
                <w:rFonts w:ascii="Arial" w:hAnsi="Arial" w:cs="Arial"/>
                <w:color w:val="000000"/>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73BE826B"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6E9E2E17" w14:textId="1BCCBAA8"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139</w:t>
            </w:r>
          </w:p>
        </w:tc>
        <w:tc>
          <w:tcPr>
            <w:tcW w:w="1422" w:type="dxa"/>
            <w:tcBorders>
              <w:top w:val="nil"/>
              <w:left w:val="nil"/>
              <w:bottom w:val="single" w:sz="4" w:space="0" w:color="auto"/>
              <w:right w:val="single" w:sz="4" w:space="0" w:color="auto"/>
            </w:tcBorders>
            <w:shd w:val="clear" w:color="auto" w:fill="auto"/>
            <w:vAlign w:val="center"/>
            <w:hideMark/>
          </w:tcPr>
          <w:p w14:paraId="455B25DC" w14:textId="56AE5156"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40.688.560</w:t>
            </w:r>
          </w:p>
        </w:tc>
        <w:tc>
          <w:tcPr>
            <w:tcW w:w="997" w:type="dxa"/>
            <w:tcBorders>
              <w:top w:val="nil"/>
              <w:left w:val="nil"/>
              <w:bottom w:val="single" w:sz="4" w:space="0" w:color="auto"/>
              <w:right w:val="single" w:sz="4" w:space="0" w:color="auto"/>
            </w:tcBorders>
            <w:shd w:val="clear" w:color="auto" w:fill="auto"/>
            <w:noWrap/>
            <w:vAlign w:val="center"/>
          </w:tcPr>
          <w:p w14:paraId="54C84C5A" w14:textId="6275EE2F"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17,55 %</w:t>
            </w:r>
          </w:p>
        </w:tc>
        <w:tc>
          <w:tcPr>
            <w:tcW w:w="993" w:type="dxa"/>
            <w:tcBorders>
              <w:top w:val="nil"/>
              <w:left w:val="nil"/>
              <w:bottom w:val="single" w:sz="4" w:space="0" w:color="auto"/>
              <w:right w:val="single" w:sz="4" w:space="0" w:color="auto"/>
            </w:tcBorders>
            <w:shd w:val="clear" w:color="auto" w:fill="auto"/>
            <w:noWrap/>
            <w:vAlign w:val="center"/>
          </w:tcPr>
          <w:p w14:paraId="2325F3F6" w14:textId="5BA2DA39"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5,42 %</w:t>
            </w:r>
          </w:p>
        </w:tc>
      </w:tr>
      <w:tr w:rsidR="008E7E6D" w:rsidRPr="008E7E6D" w14:paraId="1BDC35F4" w14:textId="77777777" w:rsidTr="008E7E6D">
        <w:trPr>
          <w:trHeight w:val="255"/>
          <w:jc w:val="center"/>
        </w:trPr>
        <w:tc>
          <w:tcPr>
            <w:tcW w:w="2076" w:type="dxa"/>
            <w:tcBorders>
              <w:top w:val="nil"/>
              <w:left w:val="single" w:sz="4" w:space="0" w:color="auto"/>
              <w:bottom w:val="single" w:sz="4" w:space="0" w:color="auto"/>
              <w:right w:val="single" w:sz="4" w:space="0" w:color="auto"/>
            </w:tcBorders>
            <w:shd w:val="clear" w:color="auto" w:fill="auto"/>
            <w:vAlign w:val="center"/>
          </w:tcPr>
          <w:p w14:paraId="6E4EB536" w14:textId="4DB8999C"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Partnerstvo za inovacije</w:t>
            </w:r>
          </w:p>
        </w:tc>
        <w:tc>
          <w:tcPr>
            <w:tcW w:w="2914" w:type="dxa"/>
            <w:tcBorders>
              <w:top w:val="nil"/>
              <w:left w:val="nil"/>
              <w:bottom w:val="single" w:sz="4" w:space="0" w:color="auto"/>
              <w:right w:val="single" w:sz="4" w:space="0" w:color="auto"/>
            </w:tcBorders>
            <w:shd w:val="clear" w:color="auto" w:fill="auto"/>
            <w:vAlign w:val="bottom"/>
          </w:tcPr>
          <w:p w14:paraId="5C8AD931" w14:textId="3DE9D01C"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Ekonomsko najugodnejša ponudba</w:t>
            </w:r>
          </w:p>
        </w:tc>
        <w:tc>
          <w:tcPr>
            <w:tcW w:w="671" w:type="dxa"/>
            <w:tcBorders>
              <w:top w:val="nil"/>
              <w:left w:val="nil"/>
              <w:bottom w:val="single" w:sz="4" w:space="0" w:color="auto"/>
              <w:right w:val="single" w:sz="4" w:space="0" w:color="auto"/>
            </w:tcBorders>
            <w:shd w:val="clear" w:color="auto" w:fill="auto"/>
            <w:vAlign w:val="center"/>
          </w:tcPr>
          <w:p w14:paraId="55BB2150" w14:textId="4DE1A53A"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w:t>
            </w:r>
          </w:p>
        </w:tc>
        <w:tc>
          <w:tcPr>
            <w:tcW w:w="1422" w:type="dxa"/>
            <w:tcBorders>
              <w:top w:val="nil"/>
              <w:left w:val="nil"/>
              <w:bottom w:val="single" w:sz="4" w:space="0" w:color="auto"/>
              <w:right w:val="single" w:sz="4" w:space="0" w:color="auto"/>
            </w:tcBorders>
            <w:shd w:val="clear" w:color="auto" w:fill="auto"/>
            <w:vAlign w:val="center"/>
          </w:tcPr>
          <w:p w14:paraId="06F9E537" w14:textId="648C80DA"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79.800</w:t>
            </w:r>
          </w:p>
        </w:tc>
        <w:tc>
          <w:tcPr>
            <w:tcW w:w="997" w:type="dxa"/>
            <w:tcBorders>
              <w:top w:val="nil"/>
              <w:left w:val="nil"/>
              <w:bottom w:val="single" w:sz="4" w:space="0" w:color="auto"/>
              <w:right w:val="single" w:sz="4" w:space="0" w:color="auto"/>
            </w:tcBorders>
            <w:shd w:val="clear" w:color="auto" w:fill="auto"/>
            <w:noWrap/>
            <w:vAlign w:val="center"/>
          </w:tcPr>
          <w:p w14:paraId="3BDB18B7" w14:textId="750C6DD1"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100,00 %</w:t>
            </w:r>
          </w:p>
        </w:tc>
        <w:tc>
          <w:tcPr>
            <w:tcW w:w="993" w:type="dxa"/>
            <w:tcBorders>
              <w:top w:val="nil"/>
              <w:left w:val="nil"/>
              <w:bottom w:val="single" w:sz="4" w:space="0" w:color="auto"/>
              <w:right w:val="single" w:sz="4" w:space="0" w:color="auto"/>
            </w:tcBorders>
            <w:shd w:val="clear" w:color="auto" w:fill="auto"/>
            <w:noWrap/>
            <w:vAlign w:val="center"/>
          </w:tcPr>
          <w:p w14:paraId="5F5004FD" w14:textId="7561196C"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100,00 %</w:t>
            </w:r>
          </w:p>
        </w:tc>
      </w:tr>
      <w:tr w:rsidR="008E7E6D" w:rsidRPr="008E7E6D" w14:paraId="2A7E7A89" w14:textId="77777777" w:rsidTr="008E7E6D">
        <w:trPr>
          <w:trHeight w:val="255"/>
          <w:jc w:val="center"/>
        </w:trPr>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6DB05F2F" w14:textId="2E2D44F8"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Postopek naročila male vrednosti</w:t>
            </w:r>
          </w:p>
        </w:tc>
        <w:tc>
          <w:tcPr>
            <w:tcW w:w="2914" w:type="dxa"/>
            <w:tcBorders>
              <w:top w:val="nil"/>
              <w:left w:val="nil"/>
              <w:bottom w:val="single" w:sz="4" w:space="0" w:color="auto"/>
              <w:right w:val="single" w:sz="4" w:space="0" w:color="auto"/>
            </w:tcBorders>
            <w:shd w:val="clear" w:color="auto" w:fill="auto"/>
            <w:vAlign w:val="center"/>
            <w:hideMark/>
          </w:tcPr>
          <w:p w14:paraId="224072B4"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Cena</w:t>
            </w:r>
          </w:p>
        </w:tc>
        <w:tc>
          <w:tcPr>
            <w:tcW w:w="671" w:type="dxa"/>
            <w:tcBorders>
              <w:top w:val="nil"/>
              <w:left w:val="nil"/>
              <w:bottom w:val="single" w:sz="4" w:space="0" w:color="auto"/>
              <w:right w:val="single" w:sz="4" w:space="0" w:color="auto"/>
            </w:tcBorders>
            <w:shd w:val="clear" w:color="auto" w:fill="auto"/>
            <w:vAlign w:val="center"/>
          </w:tcPr>
          <w:p w14:paraId="1D7D3B22" w14:textId="3097AD07"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5.623</w:t>
            </w:r>
          </w:p>
        </w:tc>
        <w:tc>
          <w:tcPr>
            <w:tcW w:w="1422" w:type="dxa"/>
            <w:tcBorders>
              <w:top w:val="nil"/>
              <w:left w:val="nil"/>
              <w:bottom w:val="single" w:sz="4" w:space="0" w:color="auto"/>
              <w:right w:val="single" w:sz="4" w:space="0" w:color="auto"/>
            </w:tcBorders>
            <w:shd w:val="clear" w:color="auto" w:fill="auto"/>
            <w:vAlign w:val="center"/>
          </w:tcPr>
          <w:p w14:paraId="685255B9" w14:textId="45D5C18E"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769.548.692</w:t>
            </w:r>
          </w:p>
        </w:tc>
        <w:tc>
          <w:tcPr>
            <w:tcW w:w="997" w:type="dxa"/>
            <w:tcBorders>
              <w:top w:val="nil"/>
              <w:left w:val="nil"/>
              <w:bottom w:val="single" w:sz="4" w:space="0" w:color="auto"/>
              <w:right w:val="single" w:sz="4" w:space="0" w:color="auto"/>
            </w:tcBorders>
            <w:shd w:val="clear" w:color="auto" w:fill="auto"/>
            <w:noWrap/>
            <w:vAlign w:val="center"/>
          </w:tcPr>
          <w:p w14:paraId="39AF9A43" w14:textId="462773AE"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91,77 %</w:t>
            </w:r>
          </w:p>
        </w:tc>
        <w:tc>
          <w:tcPr>
            <w:tcW w:w="993" w:type="dxa"/>
            <w:tcBorders>
              <w:top w:val="nil"/>
              <w:left w:val="nil"/>
              <w:bottom w:val="single" w:sz="4" w:space="0" w:color="auto"/>
              <w:right w:val="single" w:sz="4" w:space="0" w:color="auto"/>
            </w:tcBorders>
            <w:shd w:val="clear" w:color="auto" w:fill="auto"/>
            <w:noWrap/>
            <w:vAlign w:val="center"/>
          </w:tcPr>
          <w:p w14:paraId="20BDC014" w14:textId="41DF4148"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94,94 %</w:t>
            </w:r>
          </w:p>
        </w:tc>
      </w:tr>
      <w:tr w:rsidR="008E7E6D" w:rsidRPr="008E7E6D" w14:paraId="271678FF" w14:textId="77777777" w:rsidTr="008E7E6D">
        <w:trPr>
          <w:trHeight w:val="255"/>
          <w:jc w:val="center"/>
        </w:trPr>
        <w:tc>
          <w:tcPr>
            <w:tcW w:w="2076" w:type="dxa"/>
            <w:vMerge/>
            <w:tcBorders>
              <w:top w:val="nil"/>
              <w:left w:val="single" w:sz="4" w:space="0" w:color="auto"/>
              <w:bottom w:val="single" w:sz="4" w:space="0" w:color="auto"/>
              <w:right w:val="single" w:sz="4" w:space="0" w:color="auto"/>
            </w:tcBorders>
            <w:vAlign w:val="center"/>
            <w:hideMark/>
          </w:tcPr>
          <w:p w14:paraId="512FA73F" w14:textId="77777777" w:rsidR="008E7E6D" w:rsidRPr="008E7E6D" w:rsidRDefault="008E7E6D" w:rsidP="008E7E6D">
            <w:pPr>
              <w:spacing w:after="0" w:line="240" w:lineRule="auto"/>
              <w:rPr>
                <w:rFonts w:ascii="Arial" w:hAnsi="Arial" w:cs="Arial"/>
                <w:color w:val="000000"/>
                <w:sz w:val="18"/>
                <w:szCs w:val="18"/>
              </w:rPr>
            </w:pPr>
          </w:p>
        </w:tc>
        <w:tc>
          <w:tcPr>
            <w:tcW w:w="2914" w:type="dxa"/>
            <w:tcBorders>
              <w:top w:val="nil"/>
              <w:left w:val="nil"/>
              <w:bottom w:val="single" w:sz="4" w:space="0" w:color="auto"/>
              <w:right w:val="single" w:sz="4" w:space="0" w:color="auto"/>
            </w:tcBorders>
            <w:shd w:val="clear" w:color="auto" w:fill="auto"/>
            <w:vAlign w:val="center"/>
            <w:hideMark/>
          </w:tcPr>
          <w:p w14:paraId="2C2FEEAF"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45E47E66" w14:textId="6F91C2C2"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504</w:t>
            </w:r>
          </w:p>
        </w:tc>
        <w:tc>
          <w:tcPr>
            <w:tcW w:w="1422" w:type="dxa"/>
            <w:tcBorders>
              <w:top w:val="nil"/>
              <w:left w:val="nil"/>
              <w:bottom w:val="single" w:sz="4" w:space="0" w:color="auto"/>
              <w:right w:val="single" w:sz="4" w:space="0" w:color="auto"/>
            </w:tcBorders>
            <w:shd w:val="clear" w:color="auto" w:fill="auto"/>
            <w:vAlign w:val="center"/>
            <w:hideMark/>
          </w:tcPr>
          <w:p w14:paraId="69D1EC30" w14:textId="2B0BE971"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41.014.376</w:t>
            </w:r>
          </w:p>
        </w:tc>
        <w:tc>
          <w:tcPr>
            <w:tcW w:w="997" w:type="dxa"/>
            <w:tcBorders>
              <w:top w:val="nil"/>
              <w:left w:val="nil"/>
              <w:bottom w:val="single" w:sz="4" w:space="0" w:color="auto"/>
              <w:right w:val="single" w:sz="4" w:space="0" w:color="auto"/>
            </w:tcBorders>
            <w:shd w:val="clear" w:color="auto" w:fill="auto"/>
            <w:noWrap/>
            <w:vAlign w:val="center"/>
          </w:tcPr>
          <w:p w14:paraId="355EE52D" w14:textId="7FBB02E0"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8,23 %</w:t>
            </w:r>
          </w:p>
        </w:tc>
        <w:tc>
          <w:tcPr>
            <w:tcW w:w="993" w:type="dxa"/>
            <w:tcBorders>
              <w:top w:val="nil"/>
              <w:left w:val="nil"/>
              <w:bottom w:val="single" w:sz="4" w:space="0" w:color="auto"/>
              <w:right w:val="single" w:sz="4" w:space="0" w:color="auto"/>
            </w:tcBorders>
            <w:shd w:val="clear" w:color="auto" w:fill="auto"/>
            <w:noWrap/>
            <w:vAlign w:val="center"/>
          </w:tcPr>
          <w:p w14:paraId="148AACDE" w14:textId="39DFE12C"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5,06 %</w:t>
            </w:r>
          </w:p>
        </w:tc>
      </w:tr>
      <w:tr w:rsidR="008E7E6D" w:rsidRPr="008E7E6D" w14:paraId="3B987C2F" w14:textId="77777777" w:rsidTr="008E7E6D">
        <w:trPr>
          <w:trHeight w:val="255"/>
          <w:jc w:val="center"/>
        </w:trPr>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242C98E5"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Postopek s pogajanji brez predhodne objave</w:t>
            </w:r>
          </w:p>
        </w:tc>
        <w:tc>
          <w:tcPr>
            <w:tcW w:w="2914" w:type="dxa"/>
            <w:tcBorders>
              <w:top w:val="nil"/>
              <w:left w:val="nil"/>
              <w:bottom w:val="single" w:sz="4" w:space="0" w:color="auto"/>
              <w:right w:val="single" w:sz="4" w:space="0" w:color="auto"/>
            </w:tcBorders>
            <w:shd w:val="clear" w:color="auto" w:fill="auto"/>
            <w:vAlign w:val="center"/>
            <w:hideMark/>
          </w:tcPr>
          <w:p w14:paraId="5DF23CE4" w14:textId="77777777" w:rsidR="008E7E6D" w:rsidRPr="008E7E6D" w:rsidRDefault="008E7E6D" w:rsidP="008E7E6D">
            <w:pPr>
              <w:spacing w:after="0" w:line="240" w:lineRule="auto"/>
              <w:rPr>
                <w:rFonts w:ascii="Arial" w:hAnsi="Arial" w:cs="Arial"/>
                <w:color w:val="000000"/>
                <w:sz w:val="18"/>
                <w:szCs w:val="18"/>
              </w:rPr>
            </w:pPr>
            <w:r w:rsidRPr="008E7E6D">
              <w:rPr>
                <w:rFonts w:ascii="Arial" w:hAnsi="Arial" w:cs="Arial"/>
                <w:color w:val="000000"/>
                <w:sz w:val="18"/>
                <w:szCs w:val="18"/>
              </w:rPr>
              <w:t>Cena</w:t>
            </w:r>
          </w:p>
        </w:tc>
        <w:tc>
          <w:tcPr>
            <w:tcW w:w="671" w:type="dxa"/>
            <w:tcBorders>
              <w:top w:val="nil"/>
              <w:left w:val="nil"/>
              <w:bottom w:val="single" w:sz="4" w:space="0" w:color="auto"/>
              <w:right w:val="single" w:sz="4" w:space="0" w:color="auto"/>
            </w:tcBorders>
            <w:shd w:val="clear" w:color="auto" w:fill="auto"/>
            <w:vAlign w:val="center"/>
            <w:hideMark/>
          </w:tcPr>
          <w:p w14:paraId="3116DD68" w14:textId="0F061BFD"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696</w:t>
            </w:r>
          </w:p>
        </w:tc>
        <w:tc>
          <w:tcPr>
            <w:tcW w:w="1422" w:type="dxa"/>
            <w:tcBorders>
              <w:top w:val="nil"/>
              <w:left w:val="nil"/>
              <w:bottom w:val="single" w:sz="4" w:space="0" w:color="auto"/>
              <w:right w:val="single" w:sz="4" w:space="0" w:color="auto"/>
            </w:tcBorders>
            <w:shd w:val="clear" w:color="auto" w:fill="auto"/>
            <w:vAlign w:val="center"/>
            <w:hideMark/>
          </w:tcPr>
          <w:p w14:paraId="5538ABCE" w14:textId="71563158"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363.454.459</w:t>
            </w:r>
          </w:p>
        </w:tc>
        <w:tc>
          <w:tcPr>
            <w:tcW w:w="997" w:type="dxa"/>
            <w:tcBorders>
              <w:top w:val="nil"/>
              <w:left w:val="nil"/>
              <w:bottom w:val="single" w:sz="4" w:space="0" w:color="auto"/>
              <w:right w:val="single" w:sz="4" w:space="0" w:color="auto"/>
            </w:tcBorders>
            <w:shd w:val="clear" w:color="auto" w:fill="auto"/>
            <w:noWrap/>
            <w:vAlign w:val="center"/>
          </w:tcPr>
          <w:p w14:paraId="7A23F38C" w14:textId="6CAAC90A"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96,67 %</w:t>
            </w:r>
          </w:p>
        </w:tc>
        <w:tc>
          <w:tcPr>
            <w:tcW w:w="993" w:type="dxa"/>
            <w:tcBorders>
              <w:top w:val="nil"/>
              <w:left w:val="nil"/>
              <w:bottom w:val="single" w:sz="4" w:space="0" w:color="auto"/>
              <w:right w:val="single" w:sz="4" w:space="0" w:color="auto"/>
            </w:tcBorders>
            <w:shd w:val="clear" w:color="auto" w:fill="auto"/>
            <w:noWrap/>
            <w:vAlign w:val="center"/>
          </w:tcPr>
          <w:p w14:paraId="50432969" w14:textId="716F6976"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97,90 %</w:t>
            </w:r>
          </w:p>
        </w:tc>
      </w:tr>
      <w:tr w:rsidR="008E7E6D" w:rsidRPr="008E7E6D" w14:paraId="59D2F32B" w14:textId="77777777" w:rsidTr="008E7E6D">
        <w:trPr>
          <w:trHeight w:val="255"/>
          <w:jc w:val="center"/>
        </w:trPr>
        <w:tc>
          <w:tcPr>
            <w:tcW w:w="2076" w:type="dxa"/>
            <w:vMerge/>
            <w:tcBorders>
              <w:top w:val="nil"/>
              <w:left w:val="single" w:sz="4" w:space="0" w:color="auto"/>
              <w:bottom w:val="single" w:sz="4" w:space="0" w:color="auto"/>
              <w:right w:val="single" w:sz="4" w:space="0" w:color="auto"/>
            </w:tcBorders>
            <w:vAlign w:val="center"/>
            <w:hideMark/>
          </w:tcPr>
          <w:p w14:paraId="63E0E526"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p>
        </w:tc>
        <w:tc>
          <w:tcPr>
            <w:tcW w:w="2914" w:type="dxa"/>
            <w:tcBorders>
              <w:top w:val="nil"/>
              <w:left w:val="nil"/>
              <w:bottom w:val="single" w:sz="4" w:space="0" w:color="auto"/>
              <w:right w:val="single" w:sz="4" w:space="0" w:color="auto"/>
            </w:tcBorders>
            <w:shd w:val="clear" w:color="auto" w:fill="auto"/>
            <w:vAlign w:val="center"/>
            <w:hideMark/>
          </w:tcPr>
          <w:p w14:paraId="45C3C6FC"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02B585C5" w14:textId="30A2A843"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24</w:t>
            </w:r>
          </w:p>
        </w:tc>
        <w:tc>
          <w:tcPr>
            <w:tcW w:w="1422" w:type="dxa"/>
            <w:tcBorders>
              <w:top w:val="nil"/>
              <w:left w:val="nil"/>
              <w:bottom w:val="single" w:sz="4" w:space="0" w:color="auto"/>
              <w:right w:val="single" w:sz="4" w:space="0" w:color="auto"/>
            </w:tcBorders>
            <w:shd w:val="clear" w:color="auto" w:fill="auto"/>
            <w:vAlign w:val="center"/>
            <w:hideMark/>
          </w:tcPr>
          <w:p w14:paraId="08D99057" w14:textId="73990DCC"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7.790.935</w:t>
            </w:r>
          </w:p>
        </w:tc>
        <w:tc>
          <w:tcPr>
            <w:tcW w:w="997" w:type="dxa"/>
            <w:tcBorders>
              <w:top w:val="nil"/>
              <w:left w:val="nil"/>
              <w:bottom w:val="single" w:sz="4" w:space="0" w:color="auto"/>
              <w:right w:val="single" w:sz="4" w:space="0" w:color="auto"/>
            </w:tcBorders>
            <w:shd w:val="clear" w:color="auto" w:fill="auto"/>
            <w:noWrap/>
            <w:vAlign w:val="center"/>
          </w:tcPr>
          <w:p w14:paraId="1D830ECF" w14:textId="28A9A542"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3,33 %</w:t>
            </w:r>
          </w:p>
        </w:tc>
        <w:tc>
          <w:tcPr>
            <w:tcW w:w="993" w:type="dxa"/>
            <w:tcBorders>
              <w:top w:val="nil"/>
              <w:left w:val="nil"/>
              <w:bottom w:val="single" w:sz="4" w:space="0" w:color="auto"/>
              <w:right w:val="single" w:sz="4" w:space="0" w:color="auto"/>
            </w:tcBorders>
            <w:shd w:val="clear" w:color="auto" w:fill="auto"/>
            <w:noWrap/>
            <w:vAlign w:val="center"/>
          </w:tcPr>
          <w:p w14:paraId="47DBE452" w14:textId="1516AC6D"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2,10 %</w:t>
            </w:r>
          </w:p>
        </w:tc>
      </w:tr>
      <w:tr w:rsidR="008E7E6D" w:rsidRPr="008E7E6D" w14:paraId="7C7A1B9C" w14:textId="77777777" w:rsidTr="008E7E6D">
        <w:trPr>
          <w:trHeight w:val="255"/>
          <w:jc w:val="center"/>
        </w:trPr>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0CC7A4D2"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Postopek s pogajanji po predhodni objavi</w:t>
            </w:r>
          </w:p>
        </w:tc>
        <w:tc>
          <w:tcPr>
            <w:tcW w:w="2914" w:type="dxa"/>
            <w:tcBorders>
              <w:top w:val="nil"/>
              <w:left w:val="nil"/>
              <w:bottom w:val="single" w:sz="4" w:space="0" w:color="auto"/>
              <w:right w:val="single" w:sz="4" w:space="0" w:color="auto"/>
            </w:tcBorders>
            <w:shd w:val="clear" w:color="auto" w:fill="auto"/>
            <w:vAlign w:val="center"/>
            <w:hideMark/>
          </w:tcPr>
          <w:p w14:paraId="620ACADA"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531500BC" w14:textId="250DCF60"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285</w:t>
            </w:r>
          </w:p>
        </w:tc>
        <w:tc>
          <w:tcPr>
            <w:tcW w:w="1422" w:type="dxa"/>
            <w:tcBorders>
              <w:top w:val="nil"/>
              <w:left w:val="nil"/>
              <w:bottom w:val="single" w:sz="4" w:space="0" w:color="auto"/>
              <w:right w:val="single" w:sz="4" w:space="0" w:color="auto"/>
            </w:tcBorders>
            <w:shd w:val="clear" w:color="auto" w:fill="auto"/>
            <w:vAlign w:val="center"/>
            <w:hideMark/>
          </w:tcPr>
          <w:p w14:paraId="67CA0995" w14:textId="38DC19F2"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286.576.091</w:t>
            </w:r>
          </w:p>
        </w:tc>
        <w:tc>
          <w:tcPr>
            <w:tcW w:w="997" w:type="dxa"/>
            <w:tcBorders>
              <w:top w:val="nil"/>
              <w:left w:val="nil"/>
              <w:bottom w:val="single" w:sz="4" w:space="0" w:color="auto"/>
              <w:right w:val="single" w:sz="4" w:space="0" w:color="auto"/>
            </w:tcBorders>
            <w:shd w:val="clear" w:color="auto" w:fill="auto"/>
            <w:noWrap/>
            <w:vAlign w:val="center"/>
          </w:tcPr>
          <w:p w14:paraId="4CDE7870" w14:textId="64E8CDFE"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86,63 %</w:t>
            </w:r>
          </w:p>
        </w:tc>
        <w:tc>
          <w:tcPr>
            <w:tcW w:w="993" w:type="dxa"/>
            <w:tcBorders>
              <w:top w:val="nil"/>
              <w:left w:val="nil"/>
              <w:bottom w:val="single" w:sz="4" w:space="0" w:color="auto"/>
              <w:right w:val="single" w:sz="4" w:space="0" w:color="auto"/>
            </w:tcBorders>
            <w:shd w:val="clear" w:color="auto" w:fill="auto"/>
            <w:noWrap/>
            <w:vAlign w:val="center"/>
          </w:tcPr>
          <w:p w14:paraId="0DBF3C54" w14:textId="1C819244"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91,84 %</w:t>
            </w:r>
          </w:p>
        </w:tc>
      </w:tr>
      <w:tr w:rsidR="008E7E6D" w:rsidRPr="008E7E6D" w14:paraId="365C20C0" w14:textId="77777777" w:rsidTr="008E7E6D">
        <w:trPr>
          <w:trHeight w:val="255"/>
          <w:jc w:val="center"/>
        </w:trPr>
        <w:tc>
          <w:tcPr>
            <w:tcW w:w="2076" w:type="dxa"/>
            <w:vMerge/>
            <w:tcBorders>
              <w:top w:val="nil"/>
              <w:left w:val="single" w:sz="4" w:space="0" w:color="auto"/>
              <w:bottom w:val="single" w:sz="4" w:space="0" w:color="auto"/>
              <w:right w:val="single" w:sz="4" w:space="0" w:color="auto"/>
            </w:tcBorders>
            <w:vAlign w:val="center"/>
            <w:hideMark/>
          </w:tcPr>
          <w:p w14:paraId="7382193E"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p>
        </w:tc>
        <w:tc>
          <w:tcPr>
            <w:tcW w:w="2914" w:type="dxa"/>
            <w:tcBorders>
              <w:top w:val="nil"/>
              <w:left w:val="nil"/>
              <w:bottom w:val="single" w:sz="4" w:space="0" w:color="auto"/>
              <w:right w:val="single" w:sz="4" w:space="0" w:color="auto"/>
            </w:tcBorders>
            <w:shd w:val="clear" w:color="auto" w:fill="auto"/>
            <w:vAlign w:val="center"/>
            <w:hideMark/>
          </w:tcPr>
          <w:p w14:paraId="610F5D2D"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257678B7" w14:textId="2095E1A6"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44</w:t>
            </w:r>
          </w:p>
        </w:tc>
        <w:tc>
          <w:tcPr>
            <w:tcW w:w="1422" w:type="dxa"/>
            <w:tcBorders>
              <w:top w:val="nil"/>
              <w:left w:val="nil"/>
              <w:bottom w:val="single" w:sz="4" w:space="0" w:color="auto"/>
              <w:right w:val="single" w:sz="4" w:space="0" w:color="auto"/>
            </w:tcBorders>
            <w:shd w:val="clear" w:color="auto" w:fill="auto"/>
            <w:vAlign w:val="center"/>
            <w:hideMark/>
          </w:tcPr>
          <w:p w14:paraId="4D01D780" w14:textId="2A5938B4"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25.466.383</w:t>
            </w:r>
          </w:p>
        </w:tc>
        <w:tc>
          <w:tcPr>
            <w:tcW w:w="997" w:type="dxa"/>
            <w:tcBorders>
              <w:top w:val="nil"/>
              <w:left w:val="nil"/>
              <w:bottom w:val="single" w:sz="4" w:space="0" w:color="auto"/>
              <w:right w:val="single" w:sz="4" w:space="0" w:color="auto"/>
            </w:tcBorders>
            <w:shd w:val="clear" w:color="auto" w:fill="auto"/>
            <w:noWrap/>
            <w:vAlign w:val="center"/>
          </w:tcPr>
          <w:p w14:paraId="5AB52D3A" w14:textId="50B98CC5"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13,37 %</w:t>
            </w:r>
          </w:p>
        </w:tc>
        <w:tc>
          <w:tcPr>
            <w:tcW w:w="993" w:type="dxa"/>
            <w:tcBorders>
              <w:top w:val="nil"/>
              <w:left w:val="nil"/>
              <w:bottom w:val="single" w:sz="4" w:space="0" w:color="auto"/>
              <w:right w:val="single" w:sz="4" w:space="0" w:color="auto"/>
            </w:tcBorders>
            <w:shd w:val="clear" w:color="auto" w:fill="auto"/>
            <w:noWrap/>
            <w:vAlign w:val="center"/>
          </w:tcPr>
          <w:p w14:paraId="73950134" w14:textId="176EE1E5"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8,16 %</w:t>
            </w:r>
          </w:p>
        </w:tc>
      </w:tr>
      <w:tr w:rsidR="008E7E6D" w:rsidRPr="008E7E6D" w14:paraId="074F61A5" w14:textId="77777777" w:rsidTr="008E7E6D">
        <w:trPr>
          <w:trHeight w:val="255"/>
          <w:jc w:val="center"/>
        </w:trPr>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14:paraId="2FABF055"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Postopek zbiranja ponudb po predhodni objavi</w:t>
            </w:r>
          </w:p>
        </w:tc>
        <w:tc>
          <w:tcPr>
            <w:tcW w:w="2914" w:type="dxa"/>
            <w:tcBorders>
              <w:top w:val="nil"/>
              <w:left w:val="nil"/>
              <w:bottom w:val="single" w:sz="4" w:space="0" w:color="auto"/>
              <w:right w:val="single" w:sz="4" w:space="0" w:color="auto"/>
            </w:tcBorders>
            <w:shd w:val="clear" w:color="auto" w:fill="auto"/>
            <w:vAlign w:val="center"/>
            <w:hideMark/>
          </w:tcPr>
          <w:p w14:paraId="722FA778"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Cena</w:t>
            </w:r>
          </w:p>
        </w:tc>
        <w:tc>
          <w:tcPr>
            <w:tcW w:w="671" w:type="dxa"/>
            <w:tcBorders>
              <w:top w:val="nil"/>
              <w:left w:val="nil"/>
              <w:bottom w:val="single" w:sz="4" w:space="0" w:color="auto"/>
              <w:right w:val="single" w:sz="4" w:space="0" w:color="auto"/>
            </w:tcBorders>
            <w:shd w:val="clear" w:color="auto" w:fill="auto"/>
            <w:vAlign w:val="center"/>
            <w:hideMark/>
          </w:tcPr>
          <w:p w14:paraId="2938A872" w14:textId="7792A728"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19</w:t>
            </w:r>
          </w:p>
        </w:tc>
        <w:tc>
          <w:tcPr>
            <w:tcW w:w="1422" w:type="dxa"/>
            <w:tcBorders>
              <w:top w:val="nil"/>
              <w:left w:val="nil"/>
              <w:bottom w:val="single" w:sz="4" w:space="0" w:color="auto"/>
              <w:right w:val="single" w:sz="4" w:space="0" w:color="auto"/>
            </w:tcBorders>
            <w:shd w:val="clear" w:color="auto" w:fill="auto"/>
            <w:vAlign w:val="center"/>
            <w:hideMark/>
          </w:tcPr>
          <w:p w14:paraId="7DA2EF02" w14:textId="03F3FA75"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2.506.102</w:t>
            </w:r>
          </w:p>
        </w:tc>
        <w:tc>
          <w:tcPr>
            <w:tcW w:w="997" w:type="dxa"/>
            <w:tcBorders>
              <w:top w:val="nil"/>
              <w:left w:val="nil"/>
              <w:bottom w:val="single" w:sz="4" w:space="0" w:color="auto"/>
              <w:right w:val="single" w:sz="4" w:space="0" w:color="auto"/>
            </w:tcBorders>
            <w:shd w:val="clear" w:color="auto" w:fill="auto"/>
            <w:noWrap/>
            <w:vAlign w:val="center"/>
          </w:tcPr>
          <w:p w14:paraId="6EB81882" w14:textId="167A54BF"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82,61 %</w:t>
            </w:r>
          </w:p>
        </w:tc>
        <w:tc>
          <w:tcPr>
            <w:tcW w:w="993" w:type="dxa"/>
            <w:tcBorders>
              <w:top w:val="nil"/>
              <w:left w:val="nil"/>
              <w:bottom w:val="single" w:sz="4" w:space="0" w:color="auto"/>
              <w:right w:val="single" w:sz="4" w:space="0" w:color="auto"/>
            </w:tcBorders>
            <w:shd w:val="clear" w:color="auto" w:fill="auto"/>
            <w:noWrap/>
            <w:vAlign w:val="center"/>
          </w:tcPr>
          <w:p w14:paraId="27912BF0" w14:textId="3D05329D"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87,92 %</w:t>
            </w:r>
          </w:p>
        </w:tc>
      </w:tr>
      <w:tr w:rsidR="008E7E6D" w:rsidRPr="008E7E6D" w14:paraId="4DC4D5BE" w14:textId="77777777" w:rsidTr="008E7E6D">
        <w:trPr>
          <w:trHeight w:val="255"/>
          <w:jc w:val="center"/>
        </w:trPr>
        <w:tc>
          <w:tcPr>
            <w:tcW w:w="2076" w:type="dxa"/>
            <w:vMerge/>
            <w:tcBorders>
              <w:top w:val="nil"/>
              <w:left w:val="single" w:sz="4" w:space="0" w:color="auto"/>
              <w:bottom w:val="single" w:sz="4" w:space="0" w:color="auto"/>
              <w:right w:val="single" w:sz="4" w:space="0" w:color="auto"/>
            </w:tcBorders>
            <w:vAlign w:val="center"/>
            <w:hideMark/>
          </w:tcPr>
          <w:p w14:paraId="0B61A70D"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p>
        </w:tc>
        <w:tc>
          <w:tcPr>
            <w:tcW w:w="2914" w:type="dxa"/>
            <w:tcBorders>
              <w:top w:val="nil"/>
              <w:left w:val="nil"/>
              <w:bottom w:val="single" w:sz="4" w:space="0" w:color="auto"/>
              <w:right w:val="single" w:sz="4" w:space="0" w:color="auto"/>
            </w:tcBorders>
            <w:shd w:val="clear" w:color="auto" w:fill="auto"/>
            <w:vAlign w:val="center"/>
            <w:hideMark/>
          </w:tcPr>
          <w:p w14:paraId="3C52425D" w14:textId="77777777" w:rsidR="008E7E6D" w:rsidRPr="008E7E6D" w:rsidRDefault="008E7E6D" w:rsidP="008E7E6D">
            <w:pPr>
              <w:spacing w:after="0" w:line="240" w:lineRule="auto"/>
              <w:rPr>
                <w:rFonts w:ascii="Arial" w:eastAsia="Times New Roman" w:hAnsi="Arial" w:cs="Arial"/>
                <w:color w:val="000000" w:themeColor="text1"/>
                <w:sz w:val="18"/>
                <w:szCs w:val="18"/>
                <w:lang w:eastAsia="sl-SI"/>
              </w:rPr>
            </w:pPr>
            <w:r w:rsidRPr="008E7E6D">
              <w:rPr>
                <w:rFonts w:ascii="Arial" w:eastAsia="Times New Roman" w:hAnsi="Arial" w:cs="Arial"/>
                <w:color w:val="000000" w:themeColor="text1"/>
                <w:sz w:val="18"/>
                <w:szCs w:val="18"/>
                <w:lang w:eastAsia="sl-SI"/>
              </w:rPr>
              <w:t>Ekonomsko najugodnejša ponudba</w:t>
            </w:r>
          </w:p>
        </w:tc>
        <w:tc>
          <w:tcPr>
            <w:tcW w:w="671" w:type="dxa"/>
            <w:tcBorders>
              <w:top w:val="nil"/>
              <w:left w:val="nil"/>
              <w:bottom w:val="single" w:sz="4" w:space="0" w:color="auto"/>
              <w:right w:val="single" w:sz="4" w:space="0" w:color="auto"/>
            </w:tcBorders>
            <w:shd w:val="clear" w:color="auto" w:fill="auto"/>
            <w:vAlign w:val="center"/>
            <w:hideMark/>
          </w:tcPr>
          <w:p w14:paraId="3AC8BCCE" w14:textId="0381DFFD"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4</w:t>
            </w:r>
          </w:p>
        </w:tc>
        <w:tc>
          <w:tcPr>
            <w:tcW w:w="1422" w:type="dxa"/>
            <w:tcBorders>
              <w:top w:val="nil"/>
              <w:left w:val="nil"/>
              <w:bottom w:val="single" w:sz="4" w:space="0" w:color="auto"/>
              <w:right w:val="single" w:sz="4" w:space="0" w:color="auto"/>
            </w:tcBorders>
            <w:shd w:val="clear" w:color="auto" w:fill="auto"/>
            <w:vAlign w:val="center"/>
            <w:hideMark/>
          </w:tcPr>
          <w:p w14:paraId="42000E91" w14:textId="03A424ED" w:rsidR="008E7E6D" w:rsidRPr="008E7E6D" w:rsidRDefault="008E7E6D" w:rsidP="008E7E6D">
            <w:pPr>
              <w:spacing w:after="0" w:line="240" w:lineRule="auto"/>
              <w:jc w:val="right"/>
              <w:rPr>
                <w:rFonts w:ascii="Arial" w:eastAsia="Times New Roman" w:hAnsi="Arial" w:cs="Arial"/>
                <w:color w:val="000000" w:themeColor="text1"/>
                <w:sz w:val="18"/>
                <w:szCs w:val="18"/>
                <w:lang w:eastAsia="sl-SI"/>
              </w:rPr>
            </w:pPr>
            <w:r w:rsidRPr="008E7E6D">
              <w:rPr>
                <w:rFonts w:ascii="Arial" w:hAnsi="Arial" w:cs="Arial"/>
                <w:color w:val="000000"/>
                <w:sz w:val="18"/>
                <w:szCs w:val="18"/>
              </w:rPr>
              <w:t>344.263</w:t>
            </w:r>
          </w:p>
        </w:tc>
        <w:tc>
          <w:tcPr>
            <w:tcW w:w="997" w:type="dxa"/>
            <w:tcBorders>
              <w:top w:val="nil"/>
              <w:left w:val="nil"/>
              <w:bottom w:val="single" w:sz="4" w:space="0" w:color="auto"/>
              <w:right w:val="single" w:sz="4" w:space="0" w:color="auto"/>
            </w:tcBorders>
            <w:shd w:val="clear" w:color="auto" w:fill="auto"/>
            <w:noWrap/>
            <w:vAlign w:val="center"/>
          </w:tcPr>
          <w:p w14:paraId="173BA174" w14:textId="69D48E5B"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17,39 %</w:t>
            </w:r>
          </w:p>
        </w:tc>
        <w:tc>
          <w:tcPr>
            <w:tcW w:w="993" w:type="dxa"/>
            <w:tcBorders>
              <w:top w:val="nil"/>
              <w:left w:val="nil"/>
              <w:bottom w:val="single" w:sz="4" w:space="0" w:color="auto"/>
              <w:right w:val="single" w:sz="4" w:space="0" w:color="auto"/>
            </w:tcBorders>
            <w:shd w:val="clear" w:color="auto" w:fill="auto"/>
            <w:noWrap/>
            <w:vAlign w:val="center"/>
          </w:tcPr>
          <w:p w14:paraId="65AD8B45" w14:textId="5D176360" w:rsidR="008E7E6D" w:rsidRPr="008E7E6D" w:rsidRDefault="008E7E6D" w:rsidP="008E7E6D">
            <w:pPr>
              <w:spacing w:after="0" w:line="240" w:lineRule="auto"/>
              <w:jc w:val="right"/>
              <w:rPr>
                <w:rFonts w:ascii="Arial" w:hAnsi="Arial" w:cs="Arial"/>
                <w:color w:val="000000"/>
                <w:sz w:val="18"/>
                <w:szCs w:val="18"/>
              </w:rPr>
            </w:pPr>
            <w:r w:rsidRPr="008E7E6D">
              <w:rPr>
                <w:rFonts w:ascii="Arial" w:hAnsi="Arial" w:cs="Arial"/>
                <w:color w:val="000000"/>
                <w:sz w:val="18"/>
                <w:szCs w:val="18"/>
              </w:rPr>
              <w:t>12,08 %</w:t>
            </w:r>
          </w:p>
        </w:tc>
      </w:tr>
    </w:tbl>
    <w:p w14:paraId="32DA3D83" w14:textId="77777777" w:rsidR="00836FD3" w:rsidRPr="008E7E6D" w:rsidRDefault="00836FD3" w:rsidP="00836FD3">
      <w:pPr>
        <w:spacing w:after="0" w:line="240" w:lineRule="auto"/>
        <w:jc w:val="center"/>
        <w:rPr>
          <w:rFonts w:ascii="Arial" w:hAnsi="Arial" w:cs="Arial"/>
          <w:color w:val="000000" w:themeColor="text1"/>
          <w:sz w:val="18"/>
        </w:rPr>
      </w:pPr>
    </w:p>
    <w:p w14:paraId="631F563A" w14:textId="38471210" w:rsidR="003A3919" w:rsidRPr="008E7E6D" w:rsidRDefault="00CF14EA" w:rsidP="003A3919">
      <w:pPr>
        <w:jc w:val="center"/>
        <w:rPr>
          <w:rFonts w:ascii="Arial" w:hAnsi="Arial" w:cs="Arial"/>
          <w:color w:val="000000" w:themeColor="text1"/>
          <w:sz w:val="18"/>
        </w:rPr>
      </w:pPr>
      <w:r w:rsidRPr="008E7E6D">
        <w:rPr>
          <w:rFonts w:ascii="Arial" w:hAnsi="Arial" w:cs="Arial"/>
          <w:color w:val="000000" w:themeColor="text1"/>
          <w:sz w:val="18"/>
        </w:rPr>
        <w:t>Vir: Statistični podatki o javni</w:t>
      </w:r>
      <w:r w:rsidR="00C3119C" w:rsidRPr="008E7E6D">
        <w:rPr>
          <w:rFonts w:ascii="Arial" w:hAnsi="Arial" w:cs="Arial"/>
          <w:color w:val="000000" w:themeColor="text1"/>
          <w:sz w:val="18"/>
        </w:rPr>
        <w:t>h naročilih, oddanih v letu 20</w:t>
      </w:r>
      <w:r w:rsidR="00711F4C" w:rsidRPr="008E7E6D">
        <w:rPr>
          <w:rFonts w:ascii="Arial" w:hAnsi="Arial" w:cs="Arial"/>
          <w:color w:val="000000" w:themeColor="text1"/>
          <w:sz w:val="18"/>
        </w:rPr>
        <w:t>2</w:t>
      </w:r>
      <w:r w:rsidR="0067294B" w:rsidRPr="008E7E6D">
        <w:rPr>
          <w:rFonts w:ascii="Arial" w:hAnsi="Arial" w:cs="Arial"/>
          <w:color w:val="000000" w:themeColor="text1"/>
          <w:sz w:val="18"/>
        </w:rPr>
        <w:t>3</w:t>
      </w:r>
      <w:r w:rsidR="006A17D7" w:rsidRPr="008E7E6D">
        <w:rPr>
          <w:rFonts w:ascii="Arial" w:hAnsi="Arial" w:cs="Arial"/>
          <w:color w:val="000000" w:themeColor="text1"/>
          <w:sz w:val="18"/>
        </w:rPr>
        <w:t>.</w:t>
      </w:r>
    </w:p>
    <w:p w14:paraId="68E9DAC2" w14:textId="3A354CEE" w:rsidR="003F43CF" w:rsidRPr="008F5837" w:rsidRDefault="00CF14EA" w:rsidP="00CF14EA">
      <w:pPr>
        <w:spacing w:line="360" w:lineRule="auto"/>
        <w:jc w:val="both"/>
        <w:rPr>
          <w:rFonts w:ascii="Arial" w:hAnsi="Arial" w:cs="Arial"/>
          <w:color w:val="000000" w:themeColor="text1"/>
          <w:sz w:val="20"/>
          <w:szCs w:val="20"/>
        </w:rPr>
      </w:pPr>
      <w:r w:rsidRPr="008F5837">
        <w:rPr>
          <w:rFonts w:ascii="Arial" w:hAnsi="Arial" w:cs="Arial"/>
          <w:color w:val="000000" w:themeColor="text1"/>
          <w:sz w:val="20"/>
          <w:szCs w:val="20"/>
        </w:rPr>
        <w:lastRenderedPageBreak/>
        <w:t>Merilo cena je bilo najpogosteje uporabljeno pri oddaji naročil na vseh treh področjih. Na</w:t>
      </w:r>
      <w:r w:rsidR="000E4BAE" w:rsidRPr="008F5837">
        <w:rPr>
          <w:rFonts w:ascii="Arial" w:hAnsi="Arial" w:cs="Arial"/>
          <w:color w:val="000000" w:themeColor="text1"/>
          <w:sz w:val="20"/>
          <w:szCs w:val="20"/>
        </w:rPr>
        <w:t xml:space="preserve"> splošnem</w:t>
      </w:r>
      <w:r w:rsidRPr="008F5837">
        <w:rPr>
          <w:rFonts w:ascii="Arial" w:hAnsi="Arial" w:cs="Arial"/>
          <w:color w:val="000000" w:themeColor="text1"/>
          <w:sz w:val="20"/>
          <w:szCs w:val="20"/>
        </w:rPr>
        <w:t xml:space="preserve"> področju je bilo merilo cena uporabljeno pri oddaji naročil </w:t>
      </w:r>
      <w:r w:rsidR="00004A71" w:rsidRPr="008F5837">
        <w:rPr>
          <w:rFonts w:ascii="Arial" w:hAnsi="Arial" w:cs="Arial"/>
          <w:color w:val="000000" w:themeColor="text1"/>
          <w:sz w:val="20"/>
          <w:szCs w:val="20"/>
        </w:rPr>
        <w:t xml:space="preserve">v </w:t>
      </w:r>
      <w:r w:rsidRPr="008F5837">
        <w:rPr>
          <w:rFonts w:ascii="Arial" w:hAnsi="Arial" w:cs="Arial"/>
          <w:color w:val="000000" w:themeColor="text1"/>
          <w:sz w:val="20"/>
          <w:szCs w:val="20"/>
        </w:rPr>
        <w:t xml:space="preserve">vrednosti </w:t>
      </w:r>
      <w:r w:rsidR="008F5837" w:rsidRPr="008F5837">
        <w:rPr>
          <w:rFonts w:ascii="Arial" w:hAnsi="Arial" w:cs="Arial"/>
          <w:color w:val="000000" w:themeColor="text1"/>
          <w:sz w:val="20"/>
          <w:szCs w:val="20"/>
        </w:rPr>
        <w:t xml:space="preserve">4.288.566.438 </w:t>
      </w:r>
      <w:r w:rsidRPr="008F5837">
        <w:rPr>
          <w:rFonts w:ascii="Arial" w:hAnsi="Arial" w:cs="Arial"/>
          <w:color w:val="000000" w:themeColor="text1"/>
          <w:sz w:val="20"/>
          <w:szCs w:val="20"/>
        </w:rPr>
        <w:t xml:space="preserve">evrov oziroma </w:t>
      </w:r>
      <w:r w:rsidR="00096F7B" w:rsidRPr="008F5837">
        <w:rPr>
          <w:rFonts w:ascii="Arial" w:hAnsi="Arial" w:cs="Arial"/>
          <w:color w:val="000000" w:themeColor="text1"/>
          <w:sz w:val="20"/>
          <w:szCs w:val="20"/>
        </w:rPr>
        <w:t>89,09</w:t>
      </w:r>
      <w:r w:rsidR="007F5DE8" w:rsidRPr="008F5837">
        <w:rPr>
          <w:rFonts w:ascii="Arial" w:hAnsi="Arial" w:cs="Arial"/>
          <w:color w:val="000000" w:themeColor="text1"/>
          <w:sz w:val="20"/>
          <w:szCs w:val="20"/>
        </w:rPr>
        <w:t> </w:t>
      </w:r>
      <w:r w:rsidR="00AC0027" w:rsidRPr="008F5837">
        <w:rPr>
          <w:rFonts w:ascii="Arial" w:hAnsi="Arial" w:cs="Arial"/>
          <w:color w:val="000000" w:themeColor="text1"/>
          <w:sz w:val="20"/>
          <w:szCs w:val="20"/>
        </w:rPr>
        <w:t>odstotka</w:t>
      </w:r>
      <w:r w:rsidRPr="008F5837">
        <w:rPr>
          <w:rFonts w:ascii="Arial" w:hAnsi="Arial" w:cs="Arial"/>
          <w:color w:val="000000" w:themeColor="text1"/>
          <w:sz w:val="20"/>
          <w:szCs w:val="20"/>
        </w:rPr>
        <w:t xml:space="preserve"> naročil, na </w:t>
      </w:r>
      <w:r w:rsidR="000E4BAE" w:rsidRPr="008F5837">
        <w:rPr>
          <w:rFonts w:ascii="Arial" w:hAnsi="Arial" w:cs="Arial"/>
          <w:color w:val="000000" w:themeColor="text1"/>
          <w:sz w:val="20"/>
          <w:szCs w:val="20"/>
        </w:rPr>
        <w:t>infrastrukturnem</w:t>
      </w:r>
      <w:r w:rsidRPr="008F5837">
        <w:rPr>
          <w:rFonts w:ascii="Arial" w:hAnsi="Arial" w:cs="Arial"/>
          <w:color w:val="000000" w:themeColor="text1"/>
          <w:sz w:val="20"/>
          <w:szCs w:val="20"/>
        </w:rPr>
        <w:t xml:space="preserve"> področju v </w:t>
      </w:r>
      <w:r w:rsidR="000E4BAE" w:rsidRPr="008F5837">
        <w:rPr>
          <w:rFonts w:ascii="Arial" w:hAnsi="Arial" w:cs="Arial"/>
          <w:color w:val="000000" w:themeColor="text1"/>
          <w:sz w:val="20"/>
          <w:szCs w:val="20"/>
        </w:rPr>
        <w:t>9</w:t>
      </w:r>
      <w:r w:rsidR="00096F7B" w:rsidRPr="008F5837">
        <w:rPr>
          <w:rFonts w:ascii="Arial" w:hAnsi="Arial" w:cs="Arial"/>
          <w:color w:val="000000" w:themeColor="text1"/>
          <w:sz w:val="20"/>
          <w:szCs w:val="20"/>
        </w:rPr>
        <w:t>2,19</w:t>
      </w:r>
      <w:r w:rsidR="006A17D7" w:rsidRPr="008F5837">
        <w:rPr>
          <w:rFonts w:ascii="Arial" w:hAnsi="Arial" w:cs="Arial"/>
          <w:color w:val="000000" w:themeColor="text1"/>
          <w:sz w:val="20"/>
          <w:szCs w:val="20"/>
        </w:rPr>
        <w:t> </w:t>
      </w:r>
      <w:r w:rsidR="00AC0027" w:rsidRPr="008F5837">
        <w:rPr>
          <w:rFonts w:ascii="Arial" w:hAnsi="Arial" w:cs="Arial"/>
          <w:color w:val="000000" w:themeColor="text1"/>
          <w:sz w:val="20"/>
          <w:szCs w:val="20"/>
        </w:rPr>
        <w:t>odstotka</w:t>
      </w:r>
      <w:r w:rsidRPr="008F5837">
        <w:rPr>
          <w:rFonts w:ascii="Arial" w:hAnsi="Arial" w:cs="Arial"/>
          <w:color w:val="000000" w:themeColor="text1"/>
          <w:sz w:val="20"/>
          <w:szCs w:val="20"/>
        </w:rPr>
        <w:t xml:space="preserve"> oddanih naročil v vrednosti </w:t>
      </w:r>
      <w:r w:rsidR="00096F7B" w:rsidRPr="008F5837">
        <w:rPr>
          <w:rFonts w:ascii="Arial" w:hAnsi="Arial" w:cs="Arial"/>
          <w:color w:val="000000" w:themeColor="text1"/>
          <w:sz w:val="20"/>
          <w:szCs w:val="20"/>
        </w:rPr>
        <w:t xml:space="preserve">1.347.240.564 </w:t>
      </w:r>
      <w:r w:rsidRPr="008F5837">
        <w:rPr>
          <w:rFonts w:ascii="Arial" w:hAnsi="Arial" w:cs="Arial"/>
          <w:color w:val="000000" w:themeColor="text1"/>
          <w:sz w:val="20"/>
          <w:szCs w:val="20"/>
        </w:rPr>
        <w:t xml:space="preserve">evrov, na obrambnem pa v </w:t>
      </w:r>
      <w:r w:rsidR="00096F7B" w:rsidRPr="008F5837">
        <w:rPr>
          <w:rFonts w:ascii="Arial" w:hAnsi="Arial" w:cs="Arial"/>
          <w:color w:val="000000" w:themeColor="text1"/>
          <w:sz w:val="20"/>
          <w:szCs w:val="20"/>
        </w:rPr>
        <w:t xml:space="preserve">90,63 </w:t>
      </w:r>
      <w:r w:rsidR="00AC0027" w:rsidRPr="008F5837">
        <w:rPr>
          <w:rFonts w:ascii="Arial" w:hAnsi="Arial" w:cs="Arial"/>
          <w:color w:val="000000" w:themeColor="text1"/>
          <w:sz w:val="20"/>
          <w:szCs w:val="20"/>
        </w:rPr>
        <w:t>odstotka</w:t>
      </w:r>
      <w:r w:rsidRPr="008F5837">
        <w:rPr>
          <w:rFonts w:ascii="Arial" w:hAnsi="Arial" w:cs="Arial"/>
          <w:color w:val="000000" w:themeColor="text1"/>
          <w:sz w:val="20"/>
          <w:szCs w:val="20"/>
        </w:rPr>
        <w:t xml:space="preserve"> oddanih naročil v vrednosti </w:t>
      </w:r>
      <w:r w:rsidR="00096F7B" w:rsidRPr="008F5837">
        <w:rPr>
          <w:rFonts w:ascii="Arial" w:hAnsi="Arial" w:cs="Arial"/>
          <w:color w:val="000000" w:themeColor="text1"/>
          <w:sz w:val="20"/>
          <w:szCs w:val="20"/>
        </w:rPr>
        <w:t xml:space="preserve">140.245.548 </w:t>
      </w:r>
      <w:r w:rsidRPr="008F5837">
        <w:rPr>
          <w:rFonts w:ascii="Arial" w:hAnsi="Arial" w:cs="Arial"/>
          <w:color w:val="000000" w:themeColor="text1"/>
          <w:sz w:val="20"/>
          <w:szCs w:val="20"/>
        </w:rPr>
        <w:t>evrov</w:t>
      </w:r>
      <w:r w:rsidR="00E20656" w:rsidRPr="008F5837">
        <w:rPr>
          <w:rFonts w:ascii="Arial" w:hAnsi="Arial" w:cs="Arial"/>
          <w:color w:val="000000" w:themeColor="text1"/>
          <w:sz w:val="20"/>
          <w:szCs w:val="20"/>
        </w:rPr>
        <w:t>.</w:t>
      </w:r>
      <w:r w:rsidRPr="008F5837">
        <w:rPr>
          <w:rFonts w:ascii="Arial" w:hAnsi="Arial" w:cs="Arial"/>
          <w:color w:val="000000" w:themeColor="text1"/>
          <w:sz w:val="20"/>
          <w:szCs w:val="20"/>
        </w:rPr>
        <w:t xml:space="preserve"> </w:t>
      </w:r>
    </w:p>
    <w:p w14:paraId="695F71B8" w14:textId="6ACE8DDF" w:rsidR="004A42E6" w:rsidRPr="003212FF" w:rsidRDefault="002149C7" w:rsidP="00DD33BD">
      <w:pPr>
        <w:spacing w:before="120" w:after="120" w:line="240" w:lineRule="auto"/>
        <w:jc w:val="both"/>
        <w:rPr>
          <w:rFonts w:ascii="Arial" w:hAnsi="Arial" w:cs="Arial"/>
          <w:color w:val="000000" w:themeColor="text1"/>
          <w:sz w:val="20"/>
        </w:rPr>
      </w:pPr>
      <w:r w:rsidRPr="003212FF">
        <w:rPr>
          <w:rFonts w:ascii="Arial" w:hAnsi="Arial" w:cs="Arial"/>
          <w:color w:val="000000" w:themeColor="text1"/>
          <w:sz w:val="20"/>
        </w:rPr>
        <w:t xml:space="preserve">Graf </w:t>
      </w:r>
      <w:r w:rsidR="002B1D8E" w:rsidRPr="003212FF">
        <w:rPr>
          <w:rFonts w:ascii="Arial" w:hAnsi="Arial" w:cs="Arial"/>
          <w:color w:val="000000" w:themeColor="text1"/>
          <w:sz w:val="20"/>
        </w:rPr>
        <w:t>5</w:t>
      </w:r>
      <w:r w:rsidRPr="003212FF">
        <w:rPr>
          <w:rFonts w:ascii="Arial" w:hAnsi="Arial" w:cs="Arial"/>
          <w:color w:val="000000" w:themeColor="text1"/>
          <w:sz w:val="20"/>
        </w:rPr>
        <w:t xml:space="preserve">: Delež posameznega merila za </w:t>
      </w:r>
      <w:r w:rsidR="003F3B34" w:rsidRPr="003212FF">
        <w:rPr>
          <w:rFonts w:ascii="Arial" w:hAnsi="Arial" w:cs="Arial"/>
          <w:color w:val="000000" w:themeColor="text1"/>
          <w:sz w:val="20"/>
        </w:rPr>
        <w:t>izb</w:t>
      </w:r>
      <w:r w:rsidR="0007149E" w:rsidRPr="003212FF">
        <w:rPr>
          <w:rFonts w:ascii="Arial" w:hAnsi="Arial" w:cs="Arial"/>
          <w:color w:val="000000" w:themeColor="text1"/>
          <w:sz w:val="20"/>
        </w:rPr>
        <w:t>iro</w:t>
      </w:r>
      <w:r w:rsidR="003F3B34" w:rsidRPr="003212FF">
        <w:rPr>
          <w:rFonts w:ascii="Arial" w:hAnsi="Arial" w:cs="Arial"/>
          <w:color w:val="000000" w:themeColor="text1"/>
          <w:sz w:val="20"/>
        </w:rPr>
        <w:t xml:space="preserve"> glede na predmet naročanja</w:t>
      </w:r>
      <w:r w:rsidRPr="003212FF">
        <w:rPr>
          <w:rFonts w:ascii="Arial" w:hAnsi="Arial" w:cs="Arial"/>
          <w:color w:val="000000" w:themeColor="text1"/>
          <w:sz w:val="20"/>
        </w:rPr>
        <w:t xml:space="preserve"> </w:t>
      </w:r>
      <w:r w:rsidR="0007149E" w:rsidRPr="003212FF">
        <w:rPr>
          <w:rFonts w:ascii="Arial" w:hAnsi="Arial" w:cs="Arial"/>
          <w:color w:val="000000" w:themeColor="text1"/>
          <w:sz w:val="20"/>
        </w:rPr>
        <w:t>po</w:t>
      </w:r>
      <w:r w:rsidRPr="003212FF">
        <w:rPr>
          <w:rFonts w:ascii="Arial" w:hAnsi="Arial" w:cs="Arial"/>
          <w:color w:val="000000" w:themeColor="text1"/>
          <w:sz w:val="20"/>
        </w:rPr>
        <w:t xml:space="preserve"> številu in vrednosti</w:t>
      </w:r>
      <w:r w:rsidR="00CD10B9" w:rsidRPr="003212FF">
        <w:rPr>
          <w:rFonts w:ascii="Arial" w:hAnsi="Arial" w:cs="Arial"/>
          <w:color w:val="000000" w:themeColor="text1"/>
          <w:sz w:val="20"/>
        </w:rPr>
        <w:t xml:space="preserve"> </w:t>
      </w:r>
    </w:p>
    <w:p w14:paraId="7DCBED82" w14:textId="5C5B80B4" w:rsidR="007622C8" w:rsidRPr="003212FF" w:rsidRDefault="005D4FFE" w:rsidP="00E74B15">
      <w:pPr>
        <w:spacing w:before="120" w:after="120" w:line="240" w:lineRule="auto"/>
        <w:jc w:val="center"/>
        <w:rPr>
          <w:rFonts w:ascii="Arial" w:hAnsi="Arial" w:cs="Arial"/>
          <w:color w:val="000000" w:themeColor="text1"/>
          <w:sz w:val="20"/>
        </w:rPr>
      </w:pPr>
      <w:r w:rsidRPr="003212FF">
        <w:rPr>
          <w:noProof/>
          <w:lang w:eastAsia="sl-SI"/>
        </w:rPr>
        <w:drawing>
          <wp:inline distT="0" distB="0" distL="0" distR="0" wp14:anchorId="3D65569A" wp14:editId="771458B1">
            <wp:extent cx="5450518" cy="2260121"/>
            <wp:effectExtent l="0" t="0" r="0" b="6985"/>
            <wp:docPr id="10" name="Slika 10" descr="Graf prikazuje delež posameznega merila v številu vseh naročil in v vrednosti v letu 2023, ločeno po predmetu naročila (blago, storitve, gradn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Graf prikazuje delež posameznega merila v številu vseh naročil in v vrednosti v letu 2023, ločeno po predmetu naročila (blago, storitve, gradnje).&#10;"/>
                    <pic:cNvPicPr/>
                  </pic:nvPicPr>
                  <pic:blipFill>
                    <a:blip r:embed="rId13"/>
                    <a:stretch>
                      <a:fillRect/>
                    </a:stretch>
                  </pic:blipFill>
                  <pic:spPr>
                    <a:xfrm>
                      <a:off x="0" y="0"/>
                      <a:ext cx="5463520" cy="2265512"/>
                    </a:xfrm>
                    <a:prstGeom prst="rect">
                      <a:avLst/>
                    </a:prstGeom>
                  </pic:spPr>
                </pic:pic>
              </a:graphicData>
            </a:graphic>
          </wp:inline>
        </w:drawing>
      </w:r>
    </w:p>
    <w:p w14:paraId="4CADCD71" w14:textId="7813851F" w:rsidR="00760D66" w:rsidRPr="003212FF" w:rsidRDefault="00A36852" w:rsidP="00701C10">
      <w:pPr>
        <w:spacing w:after="240" w:line="240" w:lineRule="auto"/>
        <w:jc w:val="center"/>
        <w:rPr>
          <w:rFonts w:ascii="Arial" w:hAnsi="Arial" w:cs="Arial"/>
          <w:color w:val="000000" w:themeColor="text1"/>
          <w:sz w:val="18"/>
        </w:rPr>
      </w:pPr>
      <w:r w:rsidRPr="003212FF">
        <w:rPr>
          <w:rFonts w:ascii="Arial" w:hAnsi="Arial" w:cs="Arial"/>
          <w:color w:val="000000" w:themeColor="text1"/>
          <w:sz w:val="18"/>
        </w:rPr>
        <w:t>Vir: Statistični podatki o javni</w:t>
      </w:r>
      <w:r w:rsidR="00912288" w:rsidRPr="003212FF">
        <w:rPr>
          <w:rFonts w:ascii="Arial" w:hAnsi="Arial" w:cs="Arial"/>
          <w:color w:val="000000" w:themeColor="text1"/>
          <w:sz w:val="18"/>
        </w:rPr>
        <w:t>h naročilih, oddanih v letu 20</w:t>
      </w:r>
      <w:r w:rsidR="003C6D2C" w:rsidRPr="003212FF">
        <w:rPr>
          <w:rFonts w:ascii="Arial" w:hAnsi="Arial" w:cs="Arial"/>
          <w:color w:val="000000" w:themeColor="text1"/>
          <w:sz w:val="18"/>
        </w:rPr>
        <w:t>2</w:t>
      </w:r>
      <w:r w:rsidR="00457FE3" w:rsidRPr="003212FF">
        <w:rPr>
          <w:rFonts w:ascii="Arial" w:hAnsi="Arial" w:cs="Arial"/>
          <w:color w:val="000000" w:themeColor="text1"/>
          <w:sz w:val="18"/>
        </w:rPr>
        <w:t>3</w:t>
      </w:r>
      <w:r w:rsidR="006A17D7" w:rsidRPr="003212FF">
        <w:rPr>
          <w:rFonts w:ascii="Arial" w:hAnsi="Arial" w:cs="Arial"/>
          <w:color w:val="000000" w:themeColor="text1"/>
          <w:sz w:val="18"/>
        </w:rPr>
        <w:t>.</w:t>
      </w:r>
    </w:p>
    <w:p w14:paraId="18D305BC" w14:textId="05881167" w:rsidR="00B11580" w:rsidRPr="00A82CB5" w:rsidRDefault="00B11580" w:rsidP="00122C38">
      <w:pPr>
        <w:pStyle w:val="Naslov2"/>
        <w:rPr>
          <w:szCs w:val="20"/>
        </w:rPr>
      </w:pPr>
      <w:bookmarkStart w:id="32" w:name="_Toc175563865"/>
      <w:r w:rsidRPr="00A82CB5">
        <w:t>2.</w:t>
      </w:r>
      <w:r w:rsidR="00FA2740" w:rsidRPr="00A82CB5">
        <w:t>6</w:t>
      </w:r>
      <w:r w:rsidRPr="00A82CB5">
        <w:t xml:space="preserve"> Ponudniki in podizvajalci</w:t>
      </w:r>
      <w:bookmarkEnd w:id="32"/>
    </w:p>
    <w:p w14:paraId="728FCEF7" w14:textId="77777777" w:rsidR="00B11580" w:rsidRPr="00A82CB5" w:rsidRDefault="00B11580" w:rsidP="00854405">
      <w:pPr>
        <w:pStyle w:val="ZADEVA"/>
        <w:jc w:val="both"/>
        <w:rPr>
          <w:rFonts w:cs="Arial"/>
          <w:b w:val="0"/>
          <w:color w:val="FF0000"/>
          <w:szCs w:val="20"/>
          <w:lang w:val="sl-SI"/>
        </w:rPr>
      </w:pPr>
    </w:p>
    <w:p w14:paraId="391D604B" w14:textId="12128A00" w:rsidR="00902233" w:rsidRPr="00A82CB5" w:rsidRDefault="00902233" w:rsidP="00902233">
      <w:pPr>
        <w:spacing w:line="360" w:lineRule="auto"/>
        <w:jc w:val="both"/>
        <w:rPr>
          <w:rFonts w:ascii="Arial" w:hAnsi="Arial" w:cs="Arial"/>
          <w:color w:val="000000" w:themeColor="text1"/>
          <w:sz w:val="20"/>
          <w:szCs w:val="20"/>
        </w:rPr>
      </w:pPr>
      <w:r w:rsidRPr="00A82CB5">
        <w:rPr>
          <w:rFonts w:ascii="Arial" w:hAnsi="Arial" w:cs="Arial"/>
          <w:color w:val="000000" w:themeColor="text1"/>
          <w:sz w:val="20"/>
          <w:szCs w:val="20"/>
        </w:rPr>
        <w:t>Leta 20</w:t>
      </w:r>
      <w:r w:rsidR="00BB2143" w:rsidRPr="00A82CB5">
        <w:rPr>
          <w:rFonts w:ascii="Arial" w:hAnsi="Arial" w:cs="Arial"/>
          <w:color w:val="000000" w:themeColor="text1"/>
          <w:sz w:val="20"/>
          <w:szCs w:val="20"/>
        </w:rPr>
        <w:t>2</w:t>
      </w:r>
      <w:r w:rsidR="00C25E9E" w:rsidRPr="00A82CB5">
        <w:rPr>
          <w:rFonts w:ascii="Arial" w:hAnsi="Arial" w:cs="Arial"/>
          <w:color w:val="000000" w:themeColor="text1"/>
          <w:sz w:val="20"/>
          <w:szCs w:val="20"/>
        </w:rPr>
        <w:t>3</w:t>
      </w:r>
      <w:r w:rsidRPr="00A82CB5">
        <w:rPr>
          <w:rFonts w:ascii="Arial" w:hAnsi="Arial" w:cs="Arial"/>
          <w:color w:val="000000" w:themeColor="text1"/>
          <w:sz w:val="20"/>
          <w:szCs w:val="20"/>
        </w:rPr>
        <w:t xml:space="preserve"> je bilo v </w:t>
      </w:r>
      <w:proofErr w:type="spellStart"/>
      <w:r w:rsidRPr="00A82CB5">
        <w:rPr>
          <w:rFonts w:ascii="Arial" w:hAnsi="Arial" w:cs="Arial"/>
          <w:color w:val="000000" w:themeColor="text1"/>
          <w:sz w:val="20"/>
          <w:szCs w:val="20"/>
        </w:rPr>
        <w:t>podizvajanje</w:t>
      </w:r>
      <w:proofErr w:type="spellEnd"/>
      <w:r w:rsidRPr="00A82CB5">
        <w:rPr>
          <w:rFonts w:ascii="Arial" w:hAnsi="Arial" w:cs="Arial"/>
          <w:color w:val="000000" w:themeColor="text1"/>
          <w:sz w:val="20"/>
          <w:szCs w:val="20"/>
        </w:rPr>
        <w:t xml:space="preserve"> oddanih </w:t>
      </w:r>
      <w:r w:rsidR="00C25E9E" w:rsidRPr="00A82CB5">
        <w:rPr>
          <w:rFonts w:ascii="Arial" w:hAnsi="Arial" w:cs="Arial"/>
          <w:color w:val="000000" w:themeColor="text1"/>
          <w:sz w:val="20"/>
          <w:szCs w:val="20"/>
        </w:rPr>
        <w:t>90</w:t>
      </w:r>
      <w:r w:rsidR="00A82CB5" w:rsidRPr="00A82CB5">
        <w:rPr>
          <w:rFonts w:ascii="Arial" w:hAnsi="Arial" w:cs="Arial"/>
          <w:color w:val="000000" w:themeColor="text1"/>
          <w:sz w:val="20"/>
          <w:szCs w:val="20"/>
        </w:rPr>
        <w:t>0</w:t>
      </w:r>
      <w:r w:rsidRPr="00A82CB5">
        <w:rPr>
          <w:rFonts w:ascii="Arial" w:hAnsi="Arial" w:cs="Arial"/>
          <w:color w:val="000000" w:themeColor="text1"/>
          <w:sz w:val="20"/>
          <w:szCs w:val="20"/>
        </w:rPr>
        <w:t xml:space="preserve"> javnih naročil. Podizvajalci so bili udeleženi v konkurenčnih postopkih s pogajanji, v odprtih postopkih, omejenih postopkih, postopkih naročil male vrednosti, postopkih s pogajanji brez predhodne objave, v postopkih s pogajanji po predhodni objavi in v postopk</w:t>
      </w:r>
      <w:r w:rsidR="00BB2143" w:rsidRPr="00A82CB5">
        <w:rPr>
          <w:rFonts w:ascii="Arial" w:hAnsi="Arial" w:cs="Arial"/>
          <w:color w:val="000000" w:themeColor="text1"/>
          <w:sz w:val="20"/>
          <w:szCs w:val="20"/>
        </w:rPr>
        <w:t>ih</w:t>
      </w:r>
      <w:r w:rsidRPr="00A82CB5">
        <w:rPr>
          <w:rFonts w:ascii="Arial" w:hAnsi="Arial" w:cs="Arial"/>
          <w:color w:val="000000" w:themeColor="text1"/>
          <w:sz w:val="20"/>
          <w:szCs w:val="20"/>
        </w:rPr>
        <w:t xml:space="preserve"> zbiranja ponudb po predhodni objavi.</w:t>
      </w:r>
    </w:p>
    <w:p w14:paraId="323CDCA2" w14:textId="31248AB8" w:rsidR="00902233" w:rsidRPr="00A82CB5" w:rsidRDefault="00902233" w:rsidP="00902233">
      <w:pPr>
        <w:spacing w:before="120" w:after="120" w:line="240" w:lineRule="auto"/>
        <w:jc w:val="both"/>
        <w:rPr>
          <w:rFonts w:ascii="Arial" w:hAnsi="Arial" w:cs="Arial"/>
          <w:color w:val="000000" w:themeColor="text1"/>
          <w:sz w:val="20"/>
        </w:rPr>
      </w:pPr>
      <w:r w:rsidRPr="00A82CB5">
        <w:rPr>
          <w:rFonts w:ascii="Arial" w:hAnsi="Arial" w:cs="Arial"/>
          <w:color w:val="000000" w:themeColor="text1"/>
          <w:sz w:val="20"/>
        </w:rPr>
        <w:t xml:space="preserve">Preglednica </w:t>
      </w:r>
      <w:r w:rsidR="00512F52" w:rsidRPr="00A82CB5">
        <w:rPr>
          <w:rFonts w:ascii="Arial" w:hAnsi="Arial" w:cs="Arial"/>
          <w:color w:val="000000" w:themeColor="text1"/>
          <w:sz w:val="20"/>
        </w:rPr>
        <w:t>26</w:t>
      </w:r>
      <w:r w:rsidRPr="00A82CB5">
        <w:rPr>
          <w:rFonts w:ascii="Arial" w:hAnsi="Arial" w:cs="Arial"/>
          <w:color w:val="000000" w:themeColor="text1"/>
          <w:sz w:val="20"/>
        </w:rPr>
        <w:t>: Udeležba podizvajalcev pri posameznih javnih naročilih</w:t>
      </w:r>
    </w:p>
    <w:tbl>
      <w:tblPr>
        <w:tblW w:w="6760" w:type="dxa"/>
        <w:jc w:val="center"/>
        <w:tblCellMar>
          <w:left w:w="70" w:type="dxa"/>
          <w:right w:w="70" w:type="dxa"/>
        </w:tblCellMar>
        <w:tblLook w:val="04A0" w:firstRow="1" w:lastRow="0" w:firstColumn="1" w:lastColumn="0" w:noHBand="0" w:noVBand="1"/>
      </w:tblPr>
      <w:tblGrid>
        <w:gridCol w:w="1420"/>
        <w:gridCol w:w="960"/>
        <w:gridCol w:w="1660"/>
        <w:gridCol w:w="1120"/>
        <w:gridCol w:w="1600"/>
      </w:tblGrid>
      <w:tr w:rsidR="00122C38" w:rsidRPr="00A82CB5" w14:paraId="72D66446" w14:textId="77777777" w:rsidTr="00CD447F">
        <w:trPr>
          <w:trHeight w:val="255"/>
          <w:jc w:val="center"/>
        </w:trPr>
        <w:tc>
          <w:tcPr>
            <w:tcW w:w="1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07033C" w14:textId="77777777" w:rsidR="00BB2143" w:rsidRPr="00A82CB5" w:rsidRDefault="00BB2143" w:rsidP="00BB2143">
            <w:pPr>
              <w:spacing w:after="0" w:line="240" w:lineRule="auto"/>
              <w:jc w:val="center"/>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Oddano podizvajalcem</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13D72F" w14:textId="77777777" w:rsidR="00BB2143" w:rsidRPr="00A82CB5" w:rsidRDefault="00BB2143" w:rsidP="00BB2143">
            <w:pPr>
              <w:spacing w:after="0" w:line="240" w:lineRule="auto"/>
              <w:jc w:val="center"/>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Št. naročil</w:t>
            </w:r>
          </w:p>
        </w:tc>
        <w:tc>
          <w:tcPr>
            <w:tcW w:w="16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32FD5D" w14:textId="3B652A5C" w:rsidR="00BB2143" w:rsidRPr="00A82CB5" w:rsidRDefault="00BB2143" w:rsidP="00BB2143">
            <w:pPr>
              <w:spacing w:after="0" w:line="240" w:lineRule="auto"/>
              <w:jc w:val="center"/>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Pogodbena vrednost</w:t>
            </w:r>
            <w:r w:rsidR="00F36C50" w:rsidRPr="00A82CB5">
              <w:rPr>
                <w:rFonts w:ascii="Arial" w:eastAsia="Times New Roman" w:hAnsi="Arial" w:cs="Arial"/>
                <w:color w:val="000000" w:themeColor="text1"/>
                <w:sz w:val="18"/>
                <w:szCs w:val="18"/>
                <w:lang w:eastAsia="sl-SI"/>
              </w:rPr>
              <w:t xml:space="preserve"> (v EUR)</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2ECA14" w14:textId="77777777" w:rsidR="00BB2143" w:rsidRPr="00A82CB5" w:rsidRDefault="00BB2143" w:rsidP="00BB2143">
            <w:pPr>
              <w:spacing w:after="0" w:line="240" w:lineRule="auto"/>
              <w:jc w:val="center"/>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Delež v št. vseh naročil</w:t>
            </w:r>
          </w:p>
        </w:tc>
        <w:tc>
          <w:tcPr>
            <w:tcW w:w="16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0B2D52" w14:textId="77777777" w:rsidR="00BB2143" w:rsidRPr="00A82CB5" w:rsidRDefault="00BB2143" w:rsidP="00BB2143">
            <w:pPr>
              <w:spacing w:after="0" w:line="240" w:lineRule="auto"/>
              <w:jc w:val="center"/>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Delež v vrednosti vseh naročil</w:t>
            </w:r>
          </w:p>
        </w:tc>
      </w:tr>
      <w:tr w:rsidR="00A82CB5" w:rsidRPr="00A82CB5" w14:paraId="78F5E923" w14:textId="77777777" w:rsidTr="00A82CB5">
        <w:trPr>
          <w:trHeight w:val="25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5D1C831" w14:textId="77777777" w:rsidR="00A82CB5" w:rsidRPr="00A82CB5" w:rsidRDefault="00A82CB5" w:rsidP="00A82CB5">
            <w:pPr>
              <w:spacing w:after="0" w:line="240" w:lineRule="auto"/>
              <w:jc w:val="center"/>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DA</w:t>
            </w:r>
          </w:p>
        </w:tc>
        <w:tc>
          <w:tcPr>
            <w:tcW w:w="960" w:type="dxa"/>
            <w:tcBorders>
              <w:top w:val="nil"/>
              <w:left w:val="nil"/>
              <w:bottom w:val="single" w:sz="4" w:space="0" w:color="auto"/>
              <w:right w:val="single" w:sz="4" w:space="0" w:color="auto"/>
            </w:tcBorders>
            <w:shd w:val="clear" w:color="auto" w:fill="auto"/>
            <w:vAlign w:val="center"/>
            <w:hideMark/>
          </w:tcPr>
          <w:p w14:paraId="7BF9D5E4" w14:textId="7063C271" w:rsidR="00A82CB5" w:rsidRPr="00A82CB5" w:rsidRDefault="00A82CB5" w:rsidP="00A82CB5">
            <w:pPr>
              <w:spacing w:after="0" w:line="240" w:lineRule="auto"/>
              <w:jc w:val="right"/>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900</w:t>
            </w:r>
          </w:p>
        </w:tc>
        <w:tc>
          <w:tcPr>
            <w:tcW w:w="1660" w:type="dxa"/>
            <w:tcBorders>
              <w:top w:val="nil"/>
              <w:left w:val="nil"/>
              <w:bottom w:val="single" w:sz="4" w:space="0" w:color="auto"/>
              <w:right w:val="single" w:sz="4" w:space="0" w:color="auto"/>
            </w:tcBorders>
            <w:shd w:val="clear" w:color="auto" w:fill="auto"/>
            <w:vAlign w:val="center"/>
            <w:hideMark/>
          </w:tcPr>
          <w:p w14:paraId="3A8F80B8" w14:textId="08E3D59A" w:rsidR="00A82CB5" w:rsidRPr="00A82CB5" w:rsidRDefault="00A82CB5" w:rsidP="00A82CB5">
            <w:pPr>
              <w:spacing w:after="0" w:line="240" w:lineRule="auto"/>
              <w:jc w:val="right"/>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1.228.903.844</w:t>
            </w:r>
          </w:p>
        </w:tc>
        <w:tc>
          <w:tcPr>
            <w:tcW w:w="1120" w:type="dxa"/>
            <w:tcBorders>
              <w:top w:val="nil"/>
              <w:left w:val="nil"/>
              <w:bottom w:val="single" w:sz="4" w:space="0" w:color="auto"/>
              <w:right w:val="single" w:sz="4" w:space="0" w:color="auto"/>
            </w:tcBorders>
            <w:shd w:val="clear" w:color="auto" w:fill="auto"/>
            <w:noWrap/>
            <w:vAlign w:val="center"/>
            <w:hideMark/>
          </w:tcPr>
          <w:p w14:paraId="2E49D41C" w14:textId="657A2132" w:rsidR="00A82CB5" w:rsidRPr="00A82CB5" w:rsidRDefault="00A82CB5" w:rsidP="00A82CB5">
            <w:pPr>
              <w:spacing w:after="0" w:line="240" w:lineRule="auto"/>
              <w:jc w:val="right"/>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5,35 %</w:t>
            </w:r>
          </w:p>
        </w:tc>
        <w:tc>
          <w:tcPr>
            <w:tcW w:w="1600" w:type="dxa"/>
            <w:tcBorders>
              <w:top w:val="nil"/>
              <w:left w:val="nil"/>
              <w:bottom w:val="single" w:sz="4" w:space="0" w:color="auto"/>
              <w:right w:val="single" w:sz="4" w:space="0" w:color="auto"/>
            </w:tcBorders>
            <w:shd w:val="clear" w:color="auto" w:fill="auto"/>
            <w:noWrap/>
            <w:vAlign w:val="center"/>
            <w:hideMark/>
          </w:tcPr>
          <w:p w14:paraId="615AF1AA" w14:textId="14737054" w:rsidR="00A82CB5" w:rsidRPr="00A82CB5" w:rsidRDefault="00A82CB5" w:rsidP="00A82CB5">
            <w:pPr>
              <w:spacing w:after="0" w:line="240" w:lineRule="auto"/>
              <w:jc w:val="right"/>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19,72 %</w:t>
            </w:r>
          </w:p>
        </w:tc>
      </w:tr>
      <w:tr w:rsidR="00A82CB5" w:rsidRPr="00A82CB5" w14:paraId="2F34641B" w14:textId="77777777" w:rsidTr="00A82CB5">
        <w:trPr>
          <w:trHeight w:val="25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CFDD084" w14:textId="77777777" w:rsidR="00A82CB5" w:rsidRPr="00A82CB5" w:rsidRDefault="00A82CB5" w:rsidP="00A82CB5">
            <w:pPr>
              <w:spacing w:after="0" w:line="240" w:lineRule="auto"/>
              <w:jc w:val="center"/>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NE</w:t>
            </w:r>
          </w:p>
        </w:tc>
        <w:tc>
          <w:tcPr>
            <w:tcW w:w="960" w:type="dxa"/>
            <w:tcBorders>
              <w:top w:val="nil"/>
              <w:left w:val="nil"/>
              <w:bottom w:val="single" w:sz="4" w:space="0" w:color="auto"/>
              <w:right w:val="single" w:sz="4" w:space="0" w:color="auto"/>
            </w:tcBorders>
            <w:shd w:val="clear" w:color="auto" w:fill="auto"/>
            <w:vAlign w:val="center"/>
            <w:hideMark/>
          </w:tcPr>
          <w:p w14:paraId="0035018B" w14:textId="78C34ABC" w:rsidR="00A82CB5" w:rsidRPr="00A82CB5" w:rsidRDefault="00A82CB5" w:rsidP="00A82CB5">
            <w:pPr>
              <w:spacing w:after="0" w:line="240" w:lineRule="auto"/>
              <w:jc w:val="right"/>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15.924</w:t>
            </w:r>
          </w:p>
        </w:tc>
        <w:tc>
          <w:tcPr>
            <w:tcW w:w="1660" w:type="dxa"/>
            <w:tcBorders>
              <w:top w:val="nil"/>
              <w:left w:val="nil"/>
              <w:bottom w:val="single" w:sz="4" w:space="0" w:color="auto"/>
              <w:right w:val="single" w:sz="4" w:space="0" w:color="auto"/>
            </w:tcBorders>
            <w:shd w:val="clear" w:color="auto" w:fill="auto"/>
            <w:vAlign w:val="center"/>
            <w:hideMark/>
          </w:tcPr>
          <w:p w14:paraId="0C88DDB5" w14:textId="4B68CCAD" w:rsidR="00A82CB5" w:rsidRPr="00A82CB5" w:rsidRDefault="00A82CB5" w:rsidP="00A82CB5">
            <w:pPr>
              <w:spacing w:after="0" w:line="240" w:lineRule="auto"/>
              <w:jc w:val="right"/>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5.003.347.125</w:t>
            </w:r>
          </w:p>
        </w:tc>
        <w:tc>
          <w:tcPr>
            <w:tcW w:w="1120" w:type="dxa"/>
            <w:tcBorders>
              <w:top w:val="nil"/>
              <w:left w:val="nil"/>
              <w:bottom w:val="single" w:sz="4" w:space="0" w:color="auto"/>
              <w:right w:val="single" w:sz="4" w:space="0" w:color="auto"/>
            </w:tcBorders>
            <w:shd w:val="clear" w:color="auto" w:fill="auto"/>
            <w:noWrap/>
            <w:vAlign w:val="center"/>
            <w:hideMark/>
          </w:tcPr>
          <w:p w14:paraId="79AE22AC" w14:textId="195867BD" w:rsidR="00A82CB5" w:rsidRPr="00A82CB5" w:rsidRDefault="00A82CB5" w:rsidP="00A82CB5">
            <w:pPr>
              <w:spacing w:after="0" w:line="240" w:lineRule="auto"/>
              <w:jc w:val="right"/>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94,65 %</w:t>
            </w:r>
          </w:p>
        </w:tc>
        <w:tc>
          <w:tcPr>
            <w:tcW w:w="1600" w:type="dxa"/>
            <w:tcBorders>
              <w:top w:val="nil"/>
              <w:left w:val="nil"/>
              <w:bottom w:val="single" w:sz="4" w:space="0" w:color="auto"/>
              <w:right w:val="single" w:sz="4" w:space="0" w:color="auto"/>
            </w:tcBorders>
            <w:shd w:val="clear" w:color="auto" w:fill="auto"/>
            <w:noWrap/>
            <w:vAlign w:val="center"/>
            <w:hideMark/>
          </w:tcPr>
          <w:p w14:paraId="2875185D" w14:textId="2BA8FF63" w:rsidR="00A82CB5" w:rsidRPr="00A82CB5" w:rsidRDefault="00A82CB5" w:rsidP="00A82CB5">
            <w:pPr>
              <w:spacing w:after="0" w:line="240" w:lineRule="auto"/>
              <w:jc w:val="right"/>
              <w:rPr>
                <w:rFonts w:ascii="Arial" w:eastAsia="Times New Roman" w:hAnsi="Arial" w:cs="Arial"/>
                <w:color w:val="000000" w:themeColor="text1"/>
                <w:sz w:val="18"/>
                <w:szCs w:val="18"/>
                <w:lang w:eastAsia="sl-SI"/>
              </w:rPr>
            </w:pPr>
            <w:r w:rsidRPr="00A82CB5">
              <w:rPr>
                <w:rFonts w:ascii="Arial" w:eastAsia="Times New Roman" w:hAnsi="Arial" w:cs="Arial"/>
                <w:color w:val="000000" w:themeColor="text1"/>
                <w:sz w:val="18"/>
                <w:szCs w:val="18"/>
                <w:lang w:eastAsia="sl-SI"/>
              </w:rPr>
              <w:t>80,28 %</w:t>
            </w:r>
          </w:p>
        </w:tc>
      </w:tr>
      <w:tr w:rsidR="00A82CB5" w:rsidRPr="00A82CB5" w14:paraId="5B75F403" w14:textId="77777777" w:rsidTr="00A82CB5">
        <w:trPr>
          <w:trHeight w:val="255"/>
          <w:jc w:val="center"/>
        </w:trPr>
        <w:tc>
          <w:tcPr>
            <w:tcW w:w="142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F11BC1" w14:textId="77777777" w:rsidR="00A82CB5" w:rsidRPr="00A82CB5" w:rsidRDefault="00A82CB5" w:rsidP="00A82CB5">
            <w:pPr>
              <w:spacing w:after="0" w:line="240" w:lineRule="auto"/>
              <w:jc w:val="both"/>
              <w:rPr>
                <w:rFonts w:ascii="Arial" w:eastAsia="Times New Roman" w:hAnsi="Arial" w:cs="Arial"/>
                <w:b/>
                <w:bCs/>
                <w:color w:val="000000" w:themeColor="text1"/>
                <w:sz w:val="18"/>
                <w:szCs w:val="18"/>
                <w:lang w:eastAsia="sl-SI"/>
              </w:rPr>
            </w:pPr>
            <w:r w:rsidRPr="00A82CB5">
              <w:rPr>
                <w:rFonts w:ascii="Arial" w:eastAsia="Times New Roman" w:hAnsi="Arial" w:cs="Arial"/>
                <w:b/>
                <w:bCs/>
                <w:color w:val="000000" w:themeColor="text1"/>
                <w:sz w:val="18"/>
                <w:szCs w:val="18"/>
                <w:lang w:eastAsia="sl-SI"/>
              </w:rPr>
              <w:t>Skupaj</w:t>
            </w: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14:paraId="47C27A94" w14:textId="75C2F98F" w:rsidR="00A82CB5" w:rsidRPr="00A82CB5" w:rsidRDefault="00A82CB5" w:rsidP="00A82CB5">
            <w:pPr>
              <w:spacing w:after="0" w:line="240" w:lineRule="auto"/>
              <w:jc w:val="right"/>
              <w:rPr>
                <w:rFonts w:ascii="Arial" w:eastAsia="Times New Roman" w:hAnsi="Arial" w:cs="Arial"/>
                <w:b/>
                <w:bCs/>
                <w:color w:val="000000" w:themeColor="text1"/>
                <w:sz w:val="18"/>
                <w:szCs w:val="18"/>
                <w:lang w:eastAsia="sl-SI"/>
              </w:rPr>
            </w:pPr>
            <w:r w:rsidRPr="00A82CB5">
              <w:rPr>
                <w:rFonts w:ascii="Arial" w:eastAsia="Times New Roman" w:hAnsi="Arial" w:cs="Arial"/>
                <w:b/>
                <w:bCs/>
                <w:color w:val="000000" w:themeColor="text1"/>
                <w:sz w:val="18"/>
                <w:szCs w:val="18"/>
                <w:lang w:eastAsia="sl-SI"/>
              </w:rPr>
              <w:t>16.824</w:t>
            </w:r>
          </w:p>
        </w:tc>
        <w:tc>
          <w:tcPr>
            <w:tcW w:w="1660" w:type="dxa"/>
            <w:tcBorders>
              <w:top w:val="nil"/>
              <w:left w:val="nil"/>
              <w:bottom w:val="single" w:sz="4" w:space="0" w:color="auto"/>
              <w:right w:val="single" w:sz="4" w:space="0" w:color="auto"/>
            </w:tcBorders>
            <w:shd w:val="clear" w:color="auto" w:fill="F2F2F2" w:themeFill="background1" w:themeFillShade="F2"/>
            <w:vAlign w:val="center"/>
            <w:hideMark/>
          </w:tcPr>
          <w:p w14:paraId="0AE553D7" w14:textId="4035338A" w:rsidR="00A82CB5" w:rsidRPr="00A82CB5" w:rsidRDefault="00A82CB5" w:rsidP="00A82CB5">
            <w:pPr>
              <w:spacing w:after="0" w:line="240" w:lineRule="auto"/>
              <w:jc w:val="right"/>
              <w:rPr>
                <w:rFonts w:ascii="Arial" w:eastAsia="Times New Roman" w:hAnsi="Arial" w:cs="Arial"/>
                <w:b/>
                <w:bCs/>
                <w:color w:val="000000" w:themeColor="text1"/>
                <w:sz w:val="18"/>
                <w:szCs w:val="18"/>
                <w:lang w:eastAsia="sl-SI"/>
              </w:rPr>
            </w:pPr>
            <w:r w:rsidRPr="00A82CB5">
              <w:rPr>
                <w:rFonts w:ascii="Arial" w:eastAsia="Times New Roman" w:hAnsi="Arial" w:cs="Arial"/>
                <w:b/>
                <w:bCs/>
                <w:color w:val="000000" w:themeColor="text1"/>
                <w:sz w:val="18"/>
                <w:szCs w:val="18"/>
                <w:lang w:eastAsia="sl-SI"/>
              </w:rPr>
              <w:t>6.232.250.969</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1ACE0AF1" w14:textId="6F9078B3" w:rsidR="00A82CB5" w:rsidRPr="00A82CB5" w:rsidRDefault="00A82CB5" w:rsidP="00A82CB5">
            <w:pPr>
              <w:spacing w:after="0" w:line="240" w:lineRule="auto"/>
              <w:jc w:val="right"/>
              <w:rPr>
                <w:rFonts w:ascii="Arial" w:eastAsia="Times New Roman" w:hAnsi="Arial" w:cs="Arial"/>
                <w:b/>
                <w:bCs/>
                <w:color w:val="000000" w:themeColor="text1"/>
                <w:sz w:val="18"/>
                <w:szCs w:val="18"/>
                <w:lang w:eastAsia="sl-SI"/>
              </w:rPr>
            </w:pPr>
            <w:r w:rsidRPr="00A82CB5">
              <w:rPr>
                <w:rFonts w:ascii="Arial" w:eastAsia="Times New Roman" w:hAnsi="Arial" w:cs="Arial"/>
                <w:b/>
                <w:bCs/>
                <w:color w:val="000000" w:themeColor="text1"/>
                <w:sz w:val="18"/>
                <w:szCs w:val="18"/>
                <w:lang w:eastAsia="sl-SI"/>
              </w:rPr>
              <w:t>100,00 %</w:t>
            </w:r>
          </w:p>
        </w:tc>
        <w:tc>
          <w:tcPr>
            <w:tcW w:w="1600" w:type="dxa"/>
            <w:tcBorders>
              <w:top w:val="nil"/>
              <w:left w:val="nil"/>
              <w:bottom w:val="single" w:sz="4" w:space="0" w:color="auto"/>
              <w:right w:val="single" w:sz="4" w:space="0" w:color="auto"/>
            </w:tcBorders>
            <w:shd w:val="clear" w:color="auto" w:fill="F2F2F2" w:themeFill="background1" w:themeFillShade="F2"/>
            <w:vAlign w:val="center"/>
            <w:hideMark/>
          </w:tcPr>
          <w:p w14:paraId="6D867CFD" w14:textId="0D5A4DA3" w:rsidR="00A82CB5" w:rsidRPr="00A82CB5" w:rsidRDefault="00A82CB5" w:rsidP="00A82CB5">
            <w:pPr>
              <w:spacing w:after="0" w:line="240" w:lineRule="auto"/>
              <w:jc w:val="right"/>
              <w:rPr>
                <w:rFonts w:ascii="Arial" w:eastAsia="Times New Roman" w:hAnsi="Arial" w:cs="Arial"/>
                <w:b/>
                <w:bCs/>
                <w:color w:val="000000" w:themeColor="text1"/>
                <w:sz w:val="18"/>
                <w:szCs w:val="18"/>
                <w:lang w:eastAsia="sl-SI"/>
              </w:rPr>
            </w:pPr>
            <w:r w:rsidRPr="00A82CB5">
              <w:rPr>
                <w:rFonts w:ascii="Arial" w:eastAsia="Times New Roman" w:hAnsi="Arial" w:cs="Arial"/>
                <w:b/>
                <w:bCs/>
                <w:color w:val="000000" w:themeColor="text1"/>
                <w:sz w:val="18"/>
                <w:szCs w:val="18"/>
                <w:lang w:eastAsia="sl-SI"/>
              </w:rPr>
              <w:t>100,00 %</w:t>
            </w:r>
          </w:p>
        </w:tc>
      </w:tr>
    </w:tbl>
    <w:p w14:paraId="0F117F70" w14:textId="77777777" w:rsidR="00902233" w:rsidRPr="00A82CB5" w:rsidRDefault="00902233" w:rsidP="00902233">
      <w:pPr>
        <w:spacing w:after="0" w:line="240" w:lineRule="auto"/>
        <w:jc w:val="center"/>
        <w:rPr>
          <w:rFonts w:ascii="Arial" w:hAnsi="Arial" w:cs="Arial"/>
          <w:color w:val="000000" w:themeColor="text1"/>
          <w:sz w:val="18"/>
        </w:rPr>
      </w:pPr>
    </w:p>
    <w:p w14:paraId="2D52B006" w14:textId="4901D791" w:rsidR="00902233" w:rsidRPr="00A82CB5" w:rsidRDefault="00902233" w:rsidP="00902233">
      <w:pPr>
        <w:spacing w:after="0" w:line="240" w:lineRule="auto"/>
        <w:jc w:val="center"/>
        <w:rPr>
          <w:rFonts w:ascii="Arial" w:hAnsi="Arial" w:cs="Arial"/>
          <w:color w:val="000000" w:themeColor="text1"/>
          <w:sz w:val="18"/>
        </w:rPr>
      </w:pPr>
      <w:r w:rsidRPr="00A82CB5">
        <w:rPr>
          <w:rFonts w:ascii="Arial" w:hAnsi="Arial" w:cs="Arial"/>
          <w:color w:val="000000" w:themeColor="text1"/>
          <w:sz w:val="18"/>
        </w:rPr>
        <w:t>Vir: Statistični podatki o javnih naročilih, oddanih v letu 20</w:t>
      </w:r>
      <w:r w:rsidR="00BB2143" w:rsidRPr="00A82CB5">
        <w:rPr>
          <w:rFonts w:ascii="Arial" w:hAnsi="Arial" w:cs="Arial"/>
          <w:color w:val="000000" w:themeColor="text1"/>
          <w:sz w:val="18"/>
        </w:rPr>
        <w:t>2</w:t>
      </w:r>
      <w:r w:rsidR="00DE3E9D" w:rsidRPr="00A82CB5">
        <w:rPr>
          <w:rFonts w:ascii="Arial" w:hAnsi="Arial" w:cs="Arial"/>
          <w:color w:val="000000" w:themeColor="text1"/>
          <w:sz w:val="18"/>
        </w:rPr>
        <w:t>3</w:t>
      </w:r>
      <w:r w:rsidR="008426A1" w:rsidRPr="00A82CB5">
        <w:rPr>
          <w:rFonts w:ascii="Arial" w:hAnsi="Arial" w:cs="Arial"/>
          <w:color w:val="000000" w:themeColor="text1"/>
          <w:sz w:val="18"/>
        </w:rPr>
        <w:t>.</w:t>
      </w:r>
    </w:p>
    <w:p w14:paraId="4F388D1C" w14:textId="63007219" w:rsidR="00650245" w:rsidRPr="00A772FB" w:rsidRDefault="00650245">
      <w:pPr>
        <w:rPr>
          <w:rFonts w:ascii="Arial" w:hAnsi="Arial" w:cs="Arial"/>
          <w:color w:val="FF0000"/>
          <w:sz w:val="20"/>
          <w:szCs w:val="20"/>
        </w:rPr>
      </w:pPr>
    </w:p>
    <w:p w14:paraId="388B023A" w14:textId="7A5E932A" w:rsidR="00902233" w:rsidRPr="00A772FB" w:rsidRDefault="00902233" w:rsidP="00902233">
      <w:pPr>
        <w:spacing w:line="360" w:lineRule="auto"/>
        <w:jc w:val="both"/>
        <w:rPr>
          <w:rFonts w:ascii="Arial" w:hAnsi="Arial" w:cs="Arial"/>
          <w:color w:val="000000" w:themeColor="text1"/>
          <w:sz w:val="20"/>
          <w:szCs w:val="20"/>
        </w:rPr>
      </w:pPr>
      <w:r w:rsidRPr="00A772FB">
        <w:rPr>
          <w:rFonts w:ascii="Arial" w:hAnsi="Arial" w:cs="Arial"/>
          <w:color w:val="000000" w:themeColor="text1"/>
          <w:sz w:val="20"/>
          <w:szCs w:val="20"/>
        </w:rPr>
        <w:t>Največ</w:t>
      </w:r>
      <w:r w:rsidR="00FD7055" w:rsidRPr="00A772FB">
        <w:rPr>
          <w:rFonts w:ascii="Arial" w:hAnsi="Arial" w:cs="Arial"/>
          <w:color w:val="000000" w:themeColor="text1"/>
          <w:sz w:val="20"/>
          <w:szCs w:val="20"/>
        </w:rPr>
        <w:t xml:space="preserve"> naročil </w:t>
      </w:r>
      <w:r w:rsidRPr="00A772FB">
        <w:rPr>
          <w:rFonts w:ascii="Arial" w:hAnsi="Arial" w:cs="Arial"/>
          <w:color w:val="000000" w:themeColor="text1"/>
          <w:sz w:val="20"/>
          <w:szCs w:val="20"/>
        </w:rPr>
        <w:t xml:space="preserve">je bilo oddanih v </w:t>
      </w:r>
      <w:proofErr w:type="spellStart"/>
      <w:r w:rsidRPr="00A772FB">
        <w:rPr>
          <w:rFonts w:ascii="Arial" w:hAnsi="Arial" w:cs="Arial"/>
          <w:color w:val="000000" w:themeColor="text1"/>
          <w:sz w:val="20"/>
          <w:szCs w:val="20"/>
        </w:rPr>
        <w:t>podizvajanje</w:t>
      </w:r>
      <w:proofErr w:type="spellEnd"/>
      <w:r w:rsidRPr="00A772FB">
        <w:rPr>
          <w:rFonts w:ascii="Arial" w:hAnsi="Arial" w:cs="Arial"/>
          <w:color w:val="000000" w:themeColor="text1"/>
          <w:sz w:val="20"/>
          <w:szCs w:val="20"/>
        </w:rPr>
        <w:t xml:space="preserve"> pri </w:t>
      </w:r>
      <w:r w:rsidR="00855A04" w:rsidRPr="00A772FB">
        <w:rPr>
          <w:rFonts w:ascii="Arial" w:hAnsi="Arial" w:cs="Arial"/>
          <w:color w:val="000000" w:themeColor="text1"/>
          <w:sz w:val="20"/>
          <w:szCs w:val="20"/>
        </w:rPr>
        <w:t>postopkih naročil male vrednosti</w:t>
      </w:r>
      <w:r w:rsidRPr="00A772FB">
        <w:rPr>
          <w:rFonts w:ascii="Arial" w:hAnsi="Arial" w:cs="Arial"/>
          <w:color w:val="000000" w:themeColor="text1"/>
          <w:sz w:val="20"/>
          <w:szCs w:val="20"/>
        </w:rPr>
        <w:t xml:space="preserve">, kjer so bili podizvajalci udeleženi v </w:t>
      </w:r>
      <w:r w:rsidR="00855A04" w:rsidRPr="00A772FB">
        <w:rPr>
          <w:rFonts w:ascii="Arial" w:hAnsi="Arial" w:cs="Arial"/>
          <w:color w:val="000000" w:themeColor="text1"/>
          <w:sz w:val="20"/>
          <w:szCs w:val="20"/>
        </w:rPr>
        <w:t>40</w:t>
      </w:r>
      <w:r w:rsidR="00A772FB" w:rsidRPr="00A772FB">
        <w:rPr>
          <w:rFonts w:ascii="Arial" w:hAnsi="Arial" w:cs="Arial"/>
          <w:color w:val="000000" w:themeColor="text1"/>
          <w:sz w:val="20"/>
          <w:szCs w:val="20"/>
        </w:rPr>
        <w:t>0</w:t>
      </w:r>
      <w:r w:rsidRPr="00A772FB">
        <w:rPr>
          <w:rFonts w:ascii="Arial" w:hAnsi="Arial" w:cs="Arial"/>
          <w:color w:val="000000" w:themeColor="text1"/>
          <w:sz w:val="20"/>
          <w:szCs w:val="20"/>
        </w:rPr>
        <w:t xml:space="preserve"> javnih naročilih, njihova skupna vrednost je </w:t>
      </w:r>
      <w:r w:rsidR="00A772FB" w:rsidRPr="00A772FB">
        <w:rPr>
          <w:rFonts w:ascii="Arial" w:hAnsi="Arial" w:cs="Arial"/>
          <w:color w:val="000000" w:themeColor="text1"/>
          <w:sz w:val="20"/>
          <w:szCs w:val="20"/>
        </w:rPr>
        <w:t xml:space="preserve">144.276.090 </w:t>
      </w:r>
      <w:r w:rsidRPr="00A772FB">
        <w:rPr>
          <w:rFonts w:ascii="Arial" w:hAnsi="Arial" w:cs="Arial"/>
          <w:color w:val="000000" w:themeColor="text1"/>
          <w:sz w:val="20"/>
          <w:szCs w:val="20"/>
        </w:rPr>
        <w:t>evrov. Udeležba vseh podizvajalcev v javnih naročilih glede na vrsto izvedenega postopka je prikazana v spodnji preglednici.</w:t>
      </w:r>
    </w:p>
    <w:p w14:paraId="6ECAA9AB" w14:textId="77777777" w:rsidR="00EA46B6" w:rsidRPr="00637ACF" w:rsidRDefault="00EA46B6">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55725F99" w14:textId="4FB50697" w:rsidR="00765CC0" w:rsidRPr="00A772FB" w:rsidRDefault="00C019C2" w:rsidP="008A61FD">
      <w:pPr>
        <w:spacing w:before="120" w:after="120" w:line="240" w:lineRule="auto"/>
        <w:jc w:val="both"/>
        <w:rPr>
          <w:rFonts w:ascii="Arial" w:hAnsi="Arial" w:cs="Arial"/>
          <w:color w:val="000000" w:themeColor="text1"/>
          <w:sz w:val="20"/>
        </w:rPr>
      </w:pPr>
      <w:r w:rsidRPr="00A772FB">
        <w:rPr>
          <w:rFonts w:ascii="Arial" w:hAnsi="Arial" w:cs="Arial"/>
          <w:color w:val="000000" w:themeColor="text1"/>
          <w:sz w:val="20"/>
        </w:rPr>
        <w:lastRenderedPageBreak/>
        <w:t>P</w:t>
      </w:r>
      <w:r w:rsidR="00765CC0" w:rsidRPr="00A772FB">
        <w:rPr>
          <w:rFonts w:ascii="Arial" w:hAnsi="Arial" w:cs="Arial"/>
          <w:color w:val="000000" w:themeColor="text1"/>
          <w:sz w:val="20"/>
        </w:rPr>
        <w:t xml:space="preserve">reglednica </w:t>
      </w:r>
      <w:r w:rsidR="00512F52" w:rsidRPr="00A772FB">
        <w:rPr>
          <w:rFonts w:ascii="Arial" w:hAnsi="Arial" w:cs="Arial"/>
          <w:color w:val="000000" w:themeColor="text1"/>
          <w:sz w:val="20"/>
        </w:rPr>
        <w:t>27</w:t>
      </w:r>
      <w:r w:rsidR="00765CC0" w:rsidRPr="00A772FB">
        <w:rPr>
          <w:rFonts w:ascii="Arial" w:hAnsi="Arial" w:cs="Arial"/>
          <w:color w:val="000000" w:themeColor="text1"/>
          <w:sz w:val="20"/>
        </w:rPr>
        <w:t>: Udeležba podizvajalcev v posameznih postopkih oddaje javnega naročila</w:t>
      </w:r>
    </w:p>
    <w:tbl>
      <w:tblPr>
        <w:tblW w:w="9026" w:type="dxa"/>
        <w:tblCellMar>
          <w:left w:w="70" w:type="dxa"/>
          <w:right w:w="70" w:type="dxa"/>
        </w:tblCellMar>
        <w:tblLook w:val="04A0" w:firstRow="1" w:lastRow="0" w:firstColumn="1" w:lastColumn="0" w:noHBand="0" w:noVBand="1"/>
      </w:tblPr>
      <w:tblGrid>
        <w:gridCol w:w="3964"/>
        <w:gridCol w:w="709"/>
        <w:gridCol w:w="1422"/>
        <w:gridCol w:w="1276"/>
        <w:gridCol w:w="1655"/>
      </w:tblGrid>
      <w:tr w:rsidR="00122C38" w:rsidRPr="00A772FB" w14:paraId="67E490E1" w14:textId="77777777" w:rsidTr="00A772FB">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16970" w14:textId="77777777" w:rsidR="00F813B0" w:rsidRPr="00A772FB" w:rsidRDefault="00F813B0" w:rsidP="00F813B0">
            <w:pPr>
              <w:spacing w:after="0" w:line="240" w:lineRule="auto"/>
              <w:jc w:val="center"/>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Vrsta postopka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36C341" w14:textId="77777777" w:rsidR="00F813B0" w:rsidRPr="00A772FB" w:rsidRDefault="00F813B0" w:rsidP="00F813B0">
            <w:pPr>
              <w:spacing w:after="0" w:line="240" w:lineRule="auto"/>
              <w:jc w:val="center"/>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Št. naročil</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ED7F17" w14:textId="70936ED2" w:rsidR="00F813B0" w:rsidRPr="00A772FB" w:rsidRDefault="00F813B0" w:rsidP="00F813B0">
            <w:pPr>
              <w:spacing w:after="0" w:line="240" w:lineRule="auto"/>
              <w:jc w:val="center"/>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 xml:space="preserve">Pogodbena vrednost </w:t>
            </w:r>
            <w:r w:rsidR="00F36C50" w:rsidRPr="00A772FB">
              <w:rPr>
                <w:rFonts w:ascii="Arial" w:eastAsia="Times New Roman" w:hAnsi="Arial" w:cs="Arial"/>
                <w:color w:val="000000" w:themeColor="text1"/>
                <w:sz w:val="18"/>
                <w:szCs w:val="18"/>
                <w:lang w:eastAsia="sl-SI"/>
              </w:rPr>
              <w:t xml:space="preserve">(v EUR)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314D1B" w14:textId="77777777" w:rsidR="00F813B0" w:rsidRPr="00A772FB" w:rsidRDefault="00F813B0" w:rsidP="00F813B0">
            <w:pPr>
              <w:spacing w:after="0" w:line="240" w:lineRule="auto"/>
              <w:jc w:val="center"/>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Delež v št. istovrstnih naročil</w:t>
            </w:r>
          </w:p>
        </w:tc>
        <w:tc>
          <w:tcPr>
            <w:tcW w:w="16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67BDAE" w14:textId="77777777" w:rsidR="00F813B0" w:rsidRPr="00A772FB" w:rsidRDefault="00F813B0" w:rsidP="00F813B0">
            <w:pPr>
              <w:spacing w:after="0" w:line="240" w:lineRule="auto"/>
              <w:jc w:val="center"/>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Delež v vrednosti istovrstnih naročil</w:t>
            </w:r>
          </w:p>
        </w:tc>
      </w:tr>
      <w:tr w:rsidR="00A772FB" w:rsidRPr="00A772FB" w14:paraId="7159F4FC" w14:textId="77777777" w:rsidTr="00A772F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A44E3C7" w14:textId="77777777" w:rsidR="00A772FB" w:rsidRPr="00A772FB" w:rsidRDefault="00A772FB" w:rsidP="00A772FB">
            <w:pPr>
              <w:spacing w:after="0" w:line="240" w:lineRule="auto"/>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Konkurenčni postopek s pogajanji</w:t>
            </w:r>
          </w:p>
        </w:tc>
        <w:tc>
          <w:tcPr>
            <w:tcW w:w="709" w:type="dxa"/>
            <w:tcBorders>
              <w:top w:val="nil"/>
              <w:left w:val="nil"/>
              <w:bottom w:val="single" w:sz="4" w:space="0" w:color="auto"/>
              <w:right w:val="single" w:sz="4" w:space="0" w:color="auto"/>
            </w:tcBorders>
            <w:shd w:val="clear" w:color="auto" w:fill="auto"/>
            <w:vAlign w:val="center"/>
            <w:hideMark/>
          </w:tcPr>
          <w:p w14:paraId="4FE32A8D" w14:textId="3B14E9AA"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31</w:t>
            </w:r>
          </w:p>
        </w:tc>
        <w:tc>
          <w:tcPr>
            <w:tcW w:w="1422" w:type="dxa"/>
            <w:tcBorders>
              <w:top w:val="nil"/>
              <w:left w:val="nil"/>
              <w:bottom w:val="single" w:sz="4" w:space="0" w:color="auto"/>
              <w:right w:val="single" w:sz="4" w:space="0" w:color="auto"/>
            </w:tcBorders>
            <w:shd w:val="clear" w:color="auto" w:fill="auto"/>
            <w:vAlign w:val="center"/>
            <w:hideMark/>
          </w:tcPr>
          <w:p w14:paraId="58E43438" w14:textId="4F56BF58"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141.126.976</w:t>
            </w:r>
          </w:p>
        </w:tc>
        <w:tc>
          <w:tcPr>
            <w:tcW w:w="1276" w:type="dxa"/>
            <w:tcBorders>
              <w:top w:val="nil"/>
              <w:left w:val="nil"/>
              <w:bottom w:val="single" w:sz="4" w:space="0" w:color="auto"/>
              <w:right w:val="single" w:sz="4" w:space="0" w:color="auto"/>
            </w:tcBorders>
            <w:shd w:val="clear" w:color="auto" w:fill="auto"/>
            <w:noWrap/>
            <w:vAlign w:val="center"/>
          </w:tcPr>
          <w:p w14:paraId="45B42FBF" w14:textId="69790AB2"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14,03 %</w:t>
            </w:r>
          </w:p>
        </w:tc>
        <w:tc>
          <w:tcPr>
            <w:tcW w:w="1655" w:type="dxa"/>
            <w:tcBorders>
              <w:top w:val="nil"/>
              <w:left w:val="nil"/>
              <w:bottom w:val="single" w:sz="4" w:space="0" w:color="auto"/>
              <w:right w:val="single" w:sz="4" w:space="0" w:color="auto"/>
            </w:tcBorders>
            <w:shd w:val="clear" w:color="auto" w:fill="auto"/>
            <w:noWrap/>
            <w:vAlign w:val="center"/>
          </w:tcPr>
          <w:p w14:paraId="2C987F57" w14:textId="2AB35945"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45,62 %</w:t>
            </w:r>
          </w:p>
        </w:tc>
      </w:tr>
      <w:tr w:rsidR="00A772FB" w:rsidRPr="00A772FB" w14:paraId="14D23CC3" w14:textId="77777777" w:rsidTr="00A772F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3185339" w14:textId="77777777" w:rsidR="00A772FB" w:rsidRPr="00A772FB" w:rsidRDefault="00A772FB" w:rsidP="00A772FB">
            <w:pPr>
              <w:spacing w:after="0" w:line="240" w:lineRule="auto"/>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Odprti postopek</w:t>
            </w:r>
          </w:p>
        </w:tc>
        <w:tc>
          <w:tcPr>
            <w:tcW w:w="709" w:type="dxa"/>
            <w:tcBorders>
              <w:top w:val="nil"/>
              <w:left w:val="nil"/>
              <w:bottom w:val="single" w:sz="4" w:space="0" w:color="auto"/>
              <w:right w:val="single" w:sz="4" w:space="0" w:color="auto"/>
            </w:tcBorders>
            <w:shd w:val="clear" w:color="auto" w:fill="auto"/>
            <w:vAlign w:val="center"/>
            <w:hideMark/>
          </w:tcPr>
          <w:p w14:paraId="773D65EE" w14:textId="29BF7FBC"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376</w:t>
            </w:r>
          </w:p>
        </w:tc>
        <w:tc>
          <w:tcPr>
            <w:tcW w:w="1422" w:type="dxa"/>
            <w:tcBorders>
              <w:top w:val="nil"/>
              <w:left w:val="nil"/>
              <w:bottom w:val="single" w:sz="4" w:space="0" w:color="auto"/>
              <w:right w:val="single" w:sz="4" w:space="0" w:color="auto"/>
            </w:tcBorders>
            <w:shd w:val="clear" w:color="auto" w:fill="auto"/>
            <w:vAlign w:val="center"/>
            <w:hideMark/>
          </w:tcPr>
          <w:p w14:paraId="097C4C75" w14:textId="73BF71A6"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781.206.472</w:t>
            </w:r>
          </w:p>
        </w:tc>
        <w:tc>
          <w:tcPr>
            <w:tcW w:w="1276" w:type="dxa"/>
            <w:tcBorders>
              <w:top w:val="nil"/>
              <w:left w:val="nil"/>
              <w:bottom w:val="single" w:sz="4" w:space="0" w:color="auto"/>
              <w:right w:val="single" w:sz="4" w:space="0" w:color="auto"/>
            </w:tcBorders>
            <w:shd w:val="clear" w:color="auto" w:fill="auto"/>
            <w:noWrap/>
            <w:vAlign w:val="center"/>
          </w:tcPr>
          <w:p w14:paraId="008DD4B0" w14:textId="639C3DDB"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4,38 %</w:t>
            </w:r>
          </w:p>
        </w:tc>
        <w:tc>
          <w:tcPr>
            <w:tcW w:w="1655" w:type="dxa"/>
            <w:tcBorders>
              <w:top w:val="nil"/>
              <w:left w:val="nil"/>
              <w:bottom w:val="single" w:sz="4" w:space="0" w:color="auto"/>
              <w:right w:val="single" w:sz="4" w:space="0" w:color="auto"/>
            </w:tcBorders>
            <w:shd w:val="clear" w:color="auto" w:fill="auto"/>
            <w:noWrap/>
            <w:vAlign w:val="center"/>
          </w:tcPr>
          <w:p w14:paraId="5C250F8B" w14:textId="3D7480D0"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22,69 %</w:t>
            </w:r>
          </w:p>
        </w:tc>
      </w:tr>
      <w:tr w:rsidR="00A772FB" w:rsidRPr="00A772FB" w14:paraId="05E4DEDD" w14:textId="77777777" w:rsidTr="00A772F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071CE0B" w14:textId="77777777" w:rsidR="00A772FB" w:rsidRPr="00A772FB" w:rsidRDefault="00A772FB" w:rsidP="00A772FB">
            <w:pPr>
              <w:spacing w:after="0" w:line="240" w:lineRule="auto"/>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Omejeni postopek</w:t>
            </w:r>
          </w:p>
        </w:tc>
        <w:tc>
          <w:tcPr>
            <w:tcW w:w="709" w:type="dxa"/>
            <w:tcBorders>
              <w:top w:val="nil"/>
              <w:left w:val="nil"/>
              <w:bottom w:val="single" w:sz="4" w:space="0" w:color="auto"/>
              <w:right w:val="single" w:sz="4" w:space="0" w:color="auto"/>
            </w:tcBorders>
            <w:shd w:val="clear" w:color="auto" w:fill="auto"/>
            <w:vAlign w:val="center"/>
            <w:hideMark/>
          </w:tcPr>
          <w:p w14:paraId="08FA6799" w14:textId="1E2462DF"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8</w:t>
            </w:r>
          </w:p>
        </w:tc>
        <w:tc>
          <w:tcPr>
            <w:tcW w:w="1422" w:type="dxa"/>
            <w:tcBorders>
              <w:top w:val="nil"/>
              <w:left w:val="nil"/>
              <w:bottom w:val="single" w:sz="4" w:space="0" w:color="auto"/>
              <w:right w:val="single" w:sz="4" w:space="0" w:color="auto"/>
            </w:tcBorders>
            <w:shd w:val="clear" w:color="auto" w:fill="auto"/>
            <w:vAlign w:val="center"/>
            <w:hideMark/>
          </w:tcPr>
          <w:p w14:paraId="096505C4" w14:textId="7BA65DE5"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62.060.807</w:t>
            </w:r>
          </w:p>
        </w:tc>
        <w:tc>
          <w:tcPr>
            <w:tcW w:w="1276" w:type="dxa"/>
            <w:tcBorders>
              <w:top w:val="nil"/>
              <w:left w:val="nil"/>
              <w:bottom w:val="single" w:sz="4" w:space="0" w:color="auto"/>
              <w:right w:val="single" w:sz="4" w:space="0" w:color="auto"/>
            </w:tcBorders>
            <w:shd w:val="clear" w:color="auto" w:fill="auto"/>
            <w:noWrap/>
            <w:vAlign w:val="center"/>
          </w:tcPr>
          <w:p w14:paraId="039AF7FD" w14:textId="7BFDE9AD"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1,01 %</w:t>
            </w:r>
          </w:p>
        </w:tc>
        <w:tc>
          <w:tcPr>
            <w:tcW w:w="1655" w:type="dxa"/>
            <w:tcBorders>
              <w:top w:val="nil"/>
              <w:left w:val="nil"/>
              <w:bottom w:val="single" w:sz="4" w:space="0" w:color="auto"/>
              <w:right w:val="single" w:sz="4" w:space="0" w:color="auto"/>
            </w:tcBorders>
            <w:shd w:val="clear" w:color="auto" w:fill="auto"/>
            <w:noWrap/>
            <w:vAlign w:val="center"/>
          </w:tcPr>
          <w:p w14:paraId="6B2858D5" w14:textId="397E86C0"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8,27 %</w:t>
            </w:r>
          </w:p>
        </w:tc>
      </w:tr>
      <w:tr w:rsidR="00A772FB" w:rsidRPr="00A772FB" w14:paraId="66640810" w14:textId="77777777" w:rsidTr="00A772F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84684F3" w14:textId="3504D34D" w:rsidR="00A772FB" w:rsidRPr="00A772FB" w:rsidRDefault="00A772FB" w:rsidP="00A772FB">
            <w:pPr>
              <w:spacing w:after="0" w:line="240" w:lineRule="auto"/>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Postopek naročila male vrednosti</w:t>
            </w:r>
          </w:p>
        </w:tc>
        <w:tc>
          <w:tcPr>
            <w:tcW w:w="709" w:type="dxa"/>
            <w:tcBorders>
              <w:top w:val="nil"/>
              <w:left w:val="nil"/>
              <w:bottom w:val="single" w:sz="4" w:space="0" w:color="auto"/>
              <w:right w:val="single" w:sz="4" w:space="0" w:color="auto"/>
            </w:tcBorders>
            <w:shd w:val="clear" w:color="auto" w:fill="auto"/>
            <w:vAlign w:val="center"/>
            <w:hideMark/>
          </w:tcPr>
          <w:p w14:paraId="04672EC1" w14:textId="556EC9BD"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400</w:t>
            </w:r>
          </w:p>
        </w:tc>
        <w:tc>
          <w:tcPr>
            <w:tcW w:w="1422" w:type="dxa"/>
            <w:tcBorders>
              <w:top w:val="nil"/>
              <w:left w:val="nil"/>
              <w:bottom w:val="single" w:sz="4" w:space="0" w:color="auto"/>
              <w:right w:val="single" w:sz="4" w:space="0" w:color="auto"/>
            </w:tcBorders>
            <w:shd w:val="clear" w:color="auto" w:fill="auto"/>
            <w:vAlign w:val="center"/>
            <w:hideMark/>
          </w:tcPr>
          <w:p w14:paraId="057958BD" w14:textId="69D89A5C"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144.276.090</w:t>
            </w:r>
          </w:p>
        </w:tc>
        <w:tc>
          <w:tcPr>
            <w:tcW w:w="1276" w:type="dxa"/>
            <w:tcBorders>
              <w:top w:val="nil"/>
              <w:left w:val="nil"/>
              <w:bottom w:val="single" w:sz="4" w:space="0" w:color="auto"/>
              <w:right w:val="single" w:sz="4" w:space="0" w:color="auto"/>
            </w:tcBorders>
            <w:shd w:val="clear" w:color="auto" w:fill="auto"/>
            <w:noWrap/>
            <w:vAlign w:val="center"/>
          </w:tcPr>
          <w:p w14:paraId="1B4E0E19" w14:textId="56FA79FF"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6,53 %</w:t>
            </w:r>
          </w:p>
        </w:tc>
        <w:tc>
          <w:tcPr>
            <w:tcW w:w="1655" w:type="dxa"/>
            <w:tcBorders>
              <w:top w:val="nil"/>
              <w:left w:val="nil"/>
              <w:bottom w:val="single" w:sz="4" w:space="0" w:color="auto"/>
              <w:right w:val="single" w:sz="4" w:space="0" w:color="auto"/>
            </w:tcBorders>
            <w:shd w:val="clear" w:color="auto" w:fill="auto"/>
            <w:noWrap/>
            <w:vAlign w:val="center"/>
          </w:tcPr>
          <w:p w14:paraId="1C7F9AD8" w14:textId="46044FC3"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17,80 %</w:t>
            </w:r>
          </w:p>
        </w:tc>
      </w:tr>
      <w:tr w:rsidR="00A772FB" w:rsidRPr="00A772FB" w14:paraId="3341BD44" w14:textId="77777777" w:rsidTr="00A772F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696457A" w14:textId="77777777" w:rsidR="00A772FB" w:rsidRPr="00A772FB" w:rsidRDefault="00A772FB" w:rsidP="00A772FB">
            <w:pPr>
              <w:spacing w:after="0" w:line="240" w:lineRule="auto"/>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Postopek s pogajanji brez predhodne objave</w:t>
            </w:r>
          </w:p>
        </w:tc>
        <w:tc>
          <w:tcPr>
            <w:tcW w:w="709" w:type="dxa"/>
            <w:tcBorders>
              <w:top w:val="nil"/>
              <w:left w:val="nil"/>
              <w:bottom w:val="single" w:sz="4" w:space="0" w:color="auto"/>
              <w:right w:val="single" w:sz="4" w:space="0" w:color="auto"/>
            </w:tcBorders>
            <w:shd w:val="clear" w:color="auto" w:fill="auto"/>
            <w:vAlign w:val="center"/>
            <w:hideMark/>
          </w:tcPr>
          <w:p w14:paraId="6DF40FDE" w14:textId="73C7A8A2"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51</w:t>
            </w:r>
          </w:p>
        </w:tc>
        <w:tc>
          <w:tcPr>
            <w:tcW w:w="1422" w:type="dxa"/>
            <w:tcBorders>
              <w:top w:val="nil"/>
              <w:left w:val="nil"/>
              <w:bottom w:val="single" w:sz="4" w:space="0" w:color="auto"/>
              <w:right w:val="single" w:sz="4" w:space="0" w:color="auto"/>
            </w:tcBorders>
            <w:shd w:val="clear" w:color="auto" w:fill="auto"/>
            <w:vAlign w:val="center"/>
            <w:hideMark/>
          </w:tcPr>
          <w:p w14:paraId="47119A7B" w14:textId="251A12D7"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47.517.870</w:t>
            </w:r>
          </w:p>
        </w:tc>
        <w:tc>
          <w:tcPr>
            <w:tcW w:w="1276" w:type="dxa"/>
            <w:tcBorders>
              <w:top w:val="nil"/>
              <w:left w:val="nil"/>
              <w:bottom w:val="single" w:sz="4" w:space="0" w:color="auto"/>
              <w:right w:val="single" w:sz="4" w:space="0" w:color="auto"/>
            </w:tcBorders>
            <w:shd w:val="clear" w:color="auto" w:fill="auto"/>
            <w:noWrap/>
            <w:vAlign w:val="center"/>
          </w:tcPr>
          <w:p w14:paraId="09602AA4" w14:textId="6227180E"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7,08 %</w:t>
            </w:r>
          </w:p>
        </w:tc>
        <w:tc>
          <w:tcPr>
            <w:tcW w:w="1655" w:type="dxa"/>
            <w:tcBorders>
              <w:top w:val="nil"/>
              <w:left w:val="nil"/>
              <w:bottom w:val="single" w:sz="4" w:space="0" w:color="auto"/>
              <w:right w:val="single" w:sz="4" w:space="0" w:color="auto"/>
            </w:tcBorders>
            <w:shd w:val="clear" w:color="auto" w:fill="auto"/>
            <w:noWrap/>
            <w:vAlign w:val="center"/>
          </w:tcPr>
          <w:p w14:paraId="495093C5" w14:textId="2E74C7C7"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12,80 %</w:t>
            </w:r>
          </w:p>
        </w:tc>
      </w:tr>
      <w:tr w:rsidR="00A772FB" w:rsidRPr="00A772FB" w14:paraId="6DE4A5C2" w14:textId="77777777" w:rsidTr="00A772F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C06A53A" w14:textId="77777777" w:rsidR="00A772FB" w:rsidRPr="00A772FB" w:rsidRDefault="00A772FB" w:rsidP="00A772FB">
            <w:pPr>
              <w:spacing w:after="0" w:line="240" w:lineRule="auto"/>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Postopek s pogajanji po predhodni objavi</w:t>
            </w:r>
          </w:p>
        </w:tc>
        <w:tc>
          <w:tcPr>
            <w:tcW w:w="709" w:type="dxa"/>
            <w:tcBorders>
              <w:top w:val="nil"/>
              <w:left w:val="nil"/>
              <w:bottom w:val="single" w:sz="4" w:space="0" w:color="auto"/>
              <w:right w:val="single" w:sz="4" w:space="0" w:color="auto"/>
            </w:tcBorders>
            <w:shd w:val="clear" w:color="auto" w:fill="auto"/>
            <w:vAlign w:val="center"/>
            <w:hideMark/>
          </w:tcPr>
          <w:p w14:paraId="25FDA5DF" w14:textId="76F5A5D2"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31</w:t>
            </w:r>
          </w:p>
        </w:tc>
        <w:tc>
          <w:tcPr>
            <w:tcW w:w="1422" w:type="dxa"/>
            <w:tcBorders>
              <w:top w:val="nil"/>
              <w:left w:val="nil"/>
              <w:bottom w:val="single" w:sz="4" w:space="0" w:color="auto"/>
              <w:right w:val="single" w:sz="4" w:space="0" w:color="auto"/>
            </w:tcBorders>
            <w:shd w:val="clear" w:color="auto" w:fill="auto"/>
            <w:vAlign w:val="center"/>
            <w:hideMark/>
          </w:tcPr>
          <w:p w14:paraId="0ED122F9" w14:textId="6E76B329"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52.287.446</w:t>
            </w:r>
          </w:p>
        </w:tc>
        <w:tc>
          <w:tcPr>
            <w:tcW w:w="1276" w:type="dxa"/>
            <w:tcBorders>
              <w:top w:val="nil"/>
              <w:left w:val="nil"/>
              <w:bottom w:val="single" w:sz="4" w:space="0" w:color="auto"/>
              <w:right w:val="single" w:sz="4" w:space="0" w:color="auto"/>
            </w:tcBorders>
            <w:shd w:val="clear" w:color="auto" w:fill="auto"/>
            <w:noWrap/>
            <w:vAlign w:val="center"/>
          </w:tcPr>
          <w:p w14:paraId="08375E76" w14:textId="10D2CAEC"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9,42 %</w:t>
            </w:r>
          </w:p>
        </w:tc>
        <w:tc>
          <w:tcPr>
            <w:tcW w:w="1655" w:type="dxa"/>
            <w:tcBorders>
              <w:top w:val="nil"/>
              <w:left w:val="nil"/>
              <w:bottom w:val="single" w:sz="4" w:space="0" w:color="auto"/>
              <w:right w:val="single" w:sz="4" w:space="0" w:color="auto"/>
            </w:tcBorders>
            <w:shd w:val="clear" w:color="auto" w:fill="auto"/>
            <w:noWrap/>
            <w:vAlign w:val="center"/>
          </w:tcPr>
          <w:p w14:paraId="4F2F8A97" w14:textId="5120F243"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16,76 %</w:t>
            </w:r>
          </w:p>
        </w:tc>
      </w:tr>
      <w:tr w:rsidR="00A772FB" w:rsidRPr="00A772FB" w14:paraId="1DACEFE5" w14:textId="77777777" w:rsidTr="00A772FB">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7B7FAAF" w14:textId="77777777" w:rsidR="00A772FB" w:rsidRPr="00A772FB" w:rsidRDefault="00A772FB" w:rsidP="00A772FB">
            <w:pPr>
              <w:spacing w:after="0" w:line="240" w:lineRule="auto"/>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Postopek zbiranja ponudb po predhodni objavi</w:t>
            </w:r>
          </w:p>
        </w:tc>
        <w:tc>
          <w:tcPr>
            <w:tcW w:w="709" w:type="dxa"/>
            <w:tcBorders>
              <w:top w:val="nil"/>
              <w:left w:val="nil"/>
              <w:bottom w:val="single" w:sz="4" w:space="0" w:color="auto"/>
              <w:right w:val="single" w:sz="4" w:space="0" w:color="auto"/>
            </w:tcBorders>
            <w:shd w:val="clear" w:color="auto" w:fill="auto"/>
            <w:vAlign w:val="center"/>
            <w:hideMark/>
          </w:tcPr>
          <w:p w14:paraId="68190B7A" w14:textId="2ED49B2F"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3</w:t>
            </w:r>
          </w:p>
        </w:tc>
        <w:tc>
          <w:tcPr>
            <w:tcW w:w="1422" w:type="dxa"/>
            <w:tcBorders>
              <w:top w:val="nil"/>
              <w:left w:val="nil"/>
              <w:bottom w:val="single" w:sz="4" w:space="0" w:color="auto"/>
              <w:right w:val="single" w:sz="4" w:space="0" w:color="auto"/>
            </w:tcBorders>
            <w:shd w:val="clear" w:color="auto" w:fill="auto"/>
            <w:vAlign w:val="center"/>
            <w:hideMark/>
          </w:tcPr>
          <w:p w14:paraId="23DA238F" w14:textId="430C274C"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428.183</w:t>
            </w:r>
          </w:p>
        </w:tc>
        <w:tc>
          <w:tcPr>
            <w:tcW w:w="1276" w:type="dxa"/>
            <w:tcBorders>
              <w:top w:val="nil"/>
              <w:left w:val="nil"/>
              <w:bottom w:val="single" w:sz="4" w:space="0" w:color="auto"/>
              <w:right w:val="single" w:sz="4" w:space="0" w:color="auto"/>
            </w:tcBorders>
            <w:shd w:val="clear" w:color="auto" w:fill="auto"/>
            <w:noWrap/>
            <w:vAlign w:val="center"/>
          </w:tcPr>
          <w:p w14:paraId="0292EF6F" w14:textId="01BF808D"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13,04 %</w:t>
            </w:r>
          </w:p>
        </w:tc>
        <w:tc>
          <w:tcPr>
            <w:tcW w:w="1655" w:type="dxa"/>
            <w:tcBorders>
              <w:top w:val="nil"/>
              <w:left w:val="nil"/>
              <w:bottom w:val="single" w:sz="4" w:space="0" w:color="auto"/>
              <w:right w:val="single" w:sz="4" w:space="0" w:color="auto"/>
            </w:tcBorders>
            <w:shd w:val="clear" w:color="auto" w:fill="auto"/>
            <w:noWrap/>
            <w:vAlign w:val="center"/>
          </w:tcPr>
          <w:p w14:paraId="59F81791" w14:textId="77FACD6D" w:rsidR="00A772FB" w:rsidRPr="00A772FB" w:rsidRDefault="00A772FB" w:rsidP="00A772FB">
            <w:pPr>
              <w:spacing w:after="0" w:line="240" w:lineRule="auto"/>
              <w:jc w:val="right"/>
              <w:rPr>
                <w:rFonts w:ascii="Arial" w:eastAsia="Times New Roman" w:hAnsi="Arial" w:cs="Arial"/>
                <w:color w:val="000000" w:themeColor="text1"/>
                <w:sz w:val="18"/>
                <w:szCs w:val="18"/>
                <w:lang w:eastAsia="sl-SI"/>
              </w:rPr>
            </w:pPr>
            <w:r w:rsidRPr="00A772FB">
              <w:rPr>
                <w:rFonts w:ascii="Arial" w:eastAsia="Times New Roman" w:hAnsi="Arial" w:cs="Arial"/>
                <w:color w:val="000000" w:themeColor="text1"/>
                <w:sz w:val="18"/>
                <w:szCs w:val="18"/>
                <w:lang w:eastAsia="sl-SI"/>
              </w:rPr>
              <w:t>15,02 %</w:t>
            </w:r>
          </w:p>
        </w:tc>
      </w:tr>
      <w:tr w:rsidR="00A82CB5" w:rsidRPr="00A772FB" w14:paraId="6DF2890E" w14:textId="77777777" w:rsidTr="00A772FB">
        <w:trPr>
          <w:trHeight w:val="255"/>
        </w:trPr>
        <w:tc>
          <w:tcPr>
            <w:tcW w:w="396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7BE2FC" w14:textId="77777777" w:rsidR="00A82CB5" w:rsidRPr="00A772FB" w:rsidRDefault="00A82CB5" w:rsidP="00A82CB5">
            <w:pPr>
              <w:spacing w:after="0" w:line="240" w:lineRule="auto"/>
              <w:rPr>
                <w:rFonts w:ascii="Arial" w:eastAsia="Times New Roman" w:hAnsi="Arial" w:cs="Arial"/>
                <w:b/>
                <w:bCs/>
                <w:color w:val="000000" w:themeColor="text1"/>
                <w:sz w:val="18"/>
                <w:szCs w:val="18"/>
                <w:lang w:eastAsia="sl-SI"/>
              </w:rPr>
            </w:pPr>
            <w:r w:rsidRPr="00A772FB">
              <w:rPr>
                <w:rFonts w:ascii="Arial" w:eastAsia="Times New Roman" w:hAnsi="Arial" w:cs="Arial"/>
                <w:b/>
                <w:bCs/>
                <w:color w:val="000000" w:themeColor="text1"/>
                <w:sz w:val="18"/>
                <w:szCs w:val="18"/>
                <w:lang w:eastAsia="sl-SI"/>
              </w:rPr>
              <w:t>Skupaj</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41BF9944" w14:textId="637CDAD1" w:rsidR="00A82CB5" w:rsidRPr="00A772FB" w:rsidRDefault="00A82CB5" w:rsidP="00A772FB">
            <w:pPr>
              <w:spacing w:after="0" w:line="240" w:lineRule="auto"/>
              <w:jc w:val="right"/>
              <w:rPr>
                <w:rFonts w:ascii="Arial" w:eastAsia="Times New Roman" w:hAnsi="Arial" w:cs="Arial"/>
                <w:b/>
                <w:bCs/>
                <w:color w:val="000000" w:themeColor="text1"/>
                <w:sz w:val="18"/>
                <w:szCs w:val="18"/>
                <w:lang w:eastAsia="sl-SI"/>
              </w:rPr>
            </w:pPr>
            <w:r w:rsidRPr="00A772FB">
              <w:rPr>
                <w:rFonts w:ascii="Arial" w:eastAsia="Times New Roman" w:hAnsi="Arial" w:cs="Arial"/>
                <w:b/>
                <w:bCs/>
                <w:color w:val="000000" w:themeColor="text1"/>
                <w:sz w:val="18"/>
                <w:szCs w:val="18"/>
                <w:lang w:eastAsia="sl-SI"/>
              </w:rPr>
              <w:t>900</w:t>
            </w:r>
          </w:p>
        </w:tc>
        <w:tc>
          <w:tcPr>
            <w:tcW w:w="1422" w:type="dxa"/>
            <w:tcBorders>
              <w:top w:val="nil"/>
              <w:left w:val="nil"/>
              <w:bottom w:val="single" w:sz="4" w:space="0" w:color="auto"/>
              <w:right w:val="single" w:sz="4" w:space="0" w:color="auto"/>
            </w:tcBorders>
            <w:shd w:val="clear" w:color="auto" w:fill="F2F2F2" w:themeFill="background1" w:themeFillShade="F2"/>
            <w:noWrap/>
            <w:vAlign w:val="center"/>
            <w:hideMark/>
          </w:tcPr>
          <w:p w14:paraId="6E6796A0" w14:textId="7BE3D397" w:rsidR="00A82CB5" w:rsidRPr="00A772FB" w:rsidRDefault="00A82CB5" w:rsidP="00A772FB">
            <w:pPr>
              <w:spacing w:after="0" w:line="240" w:lineRule="auto"/>
              <w:jc w:val="right"/>
              <w:rPr>
                <w:rFonts w:ascii="Arial" w:eastAsia="Times New Roman" w:hAnsi="Arial" w:cs="Arial"/>
                <w:b/>
                <w:bCs/>
                <w:color w:val="000000" w:themeColor="text1"/>
                <w:sz w:val="18"/>
                <w:szCs w:val="18"/>
                <w:lang w:eastAsia="sl-SI"/>
              </w:rPr>
            </w:pPr>
            <w:r w:rsidRPr="00A772FB">
              <w:rPr>
                <w:rFonts w:ascii="Arial" w:eastAsia="Times New Roman" w:hAnsi="Arial" w:cs="Arial"/>
                <w:b/>
                <w:bCs/>
                <w:color w:val="000000" w:themeColor="text1"/>
                <w:sz w:val="18"/>
                <w:szCs w:val="18"/>
                <w:lang w:eastAsia="sl-SI"/>
              </w:rPr>
              <w:t>1.228.903.844</w:t>
            </w:r>
          </w:p>
        </w:tc>
        <w:tc>
          <w:tcPr>
            <w:tcW w:w="1276" w:type="dxa"/>
            <w:tcBorders>
              <w:top w:val="nil"/>
              <w:left w:val="nil"/>
              <w:bottom w:val="nil"/>
              <w:right w:val="nil"/>
            </w:tcBorders>
            <w:shd w:val="clear" w:color="auto" w:fill="auto"/>
            <w:noWrap/>
            <w:vAlign w:val="center"/>
            <w:hideMark/>
          </w:tcPr>
          <w:p w14:paraId="170A588F" w14:textId="77777777" w:rsidR="00A82CB5" w:rsidRPr="00A772FB" w:rsidRDefault="00A82CB5" w:rsidP="00A772FB">
            <w:pPr>
              <w:spacing w:after="0" w:line="240" w:lineRule="auto"/>
              <w:jc w:val="right"/>
              <w:rPr>
                <w:rFonts w:ascii="Arial" w:eastAsia="Times New Roman" w:hAnsi="Arial" w:cs="Arial"/>
                <w:color w:val="000000" w:themeColor="text1"/>
                <w:sz w:val="18"/>
                <w:szCs w:val="18"/>
                <w:lang w:eastAsia="sl-SI"/>
              </w:rPr>
            </w:pPr>
          </w:p>
        </w:tc>
        <w:tc>
          <w:tcPr>
            <w:tcW w:w="1655" w:type="dxa"/>
            <w:tcBorders>
              <w:top w:val="nil"/>
              <w:left w:val="nil"/>
              <w:bottom w:val="nil"/>
              <w:right w:val="nil"/>
            </w:tcBorders>
            <w:shd w:val="clear" w:color="auto" w:fill="auto"/>
            <w:noWrap/>
            <w:vAlign w:val="center"/>
            <w:hideMark/>
          </w:tcPr>
          <w:p w14:paraId="02F4371A" w14:textId="77777777" w:rsidR="00A82CB5" w:rsidRPr="00A772FB" w:rsidRDefault="00A82CB5" w:rsidP="00A772FB">
            <w:pPr>
              <w:spacing w:after="0" w:line="240" w:lineRule="auto"/>
              <w:jc w:val="right"/>
              <w:rPr>
                <w:rFonts w:ascii="Arial" w:eastAsia="Times New Roman" w:hAnsi="Arial" w:cs="Arial"/>
                <w:color w:val="000000" w:themeColor="text1"/>
                <w:sz w:val="18"/>
                <w:szCs w:val="18"/>
                <w:lang w:eastAsia="sl-SI"/>
              </w:rPr>
            </w:pPr>
          </w:p>
        </w:tc>
      </w:tr>
    </w:tbl>
    <w:p w14:paraId="577A6AB5" w14:textId="77777777" w:rsidR="004A613D" w:rsidRPr="00A772FB" w:rsidRDefault="004A613D" w:rsidP="004A613D">
      <w:pPr>
        <w:spacing w:after="0" w:line="240" w:lineRule="auto"/>
        <w:jc w:val="center"/>
        <w:rPr>
          <w:rFonts w:ascii="Arial" w:hAnsi="Arial" w:cs="Arial"/>
          <w:color w:val="000000" w:themeColor="text1"/>
          <w:sz w:val="18"/>
        </w:rPr>
      </w:pPr>
    </w:p>
    <w:p w14:paraId="5CA04387" w14:textId="510A5F9A" w:rsidR="00765CC0" w:rsidRPr="008D63F8" w:rsidRDefault="00765CC0" w:rsidP="00701C10">
      <w:pPr>
        <w:spacing w:after="240" w:line="240" w:lineRule="auto"/>
        <w:jc w:val="center"/>
        <w:rPr>
          <w:rFonts w:ascii="Arial" w:hAnsi="Arial" w:cs="Arial"/>
          <w:color w:val="000000" w:themeColor="text1"/>
          <w:sz w:val="18"/>
        </w:rPr>
      </w:pPr>
      <w:r w:rsidRPr="008D63F8">
        <w:rPr>
          <w:rFonts w:ascii="Arial" w:hAnsi="Arial" w:cs="Arial"/>
          <w:color w:val="000000" w:themeColor="text1"/>
          <w:sz w:val="18"/>
        </w:rPr>
        <w:t>Vir: Statistični podatki o javnih naročilih, oddanih v letu 20</w:t>
      </w:r>
      <w:r w:rsidR="00F813B0" w:rsidRPr="008D63F8">
        <w:rPr>
          <w:rFonts w:ascii="Arial" w:hAnsi="Arial" w:cs="Arial"/>
          <w:color w:val="000000" w:themeColor="text1"/>
          <w:sz w:val="18"/>
        </w:rPr>
        <w:t>2</w:t>
      </w:r>
      <w:r w:rsidR="00855A04" w:rsidRPr="008D63F8">
        <w:rPr>
          <w:rFonts w:ascii="Arial" w:hAnsi="Arial" w:cs="Arial"/>
          <w:color w:val="000000" w:themeColor="text1"/>
          <w:sz w:val="18"/>
        </w:rPr>
        <w:t>3</w:t>
      </w:r>
      <w:r w:rsidR="008426A1" w:rsidRPr="008D63F8">
        <w:rPr>
          <w:rFonts w:ascii="Arial" w:hAnsi="Arial" w:cs="Arial"/>
          <w:color w:val="000000" w:themeColor="text1"/>
          <w:sz w:val="18"/>
        </w:rPr>
        <w:t>.</w:t>
      </w:r>
    </w:p>
    <w:p w14:paraId="6A63987A" w14:textId="0115204B" w:rsidR="002B205A" w:rsidRPr="008D63F8" w:rsidRDefault="00765CC0" w:rsidP="00765CC0">
      <w:pPr>
        <w:spacing w:line="360" w:lineRule="auto"/>
        <w:jc w:val="both"/>
        <w:rPr>
          <w:rFonts w:ascii="Arial" w:hAnsi="Arial" w:cs="Arial"/>
          <w:color w:val="000000" w:themeColor="text1"/>
          <w:sz w:val="20"/>
          <w:szCs w:val="20"/>
          <w:lang w:eastAsia="sl-SI"/>
        </w:rPr>
      </w:pPr>
      <w:r w:rsidRPr="008D63F8">
        <w:rPr>
          <w:rFonts w:ascii="Arial" w:hAnsi="Arial" w:cs="Arial"/>
          <w:color w:val="000000" w:themeColor="text1"/>
          <w:sz w:val="20"/>
          <w:szCs w:val="20"/>
          <w:lang w:eastAsia="sl-SI"/>
        </w:rPr>
        <w:t xml:space="preserve">Glede na </w:t>
      </w:r>
      <w:r w:rsidR="002B205A" w:rsidRPr="008D63F8">
        <w:rPr>
          <w:rFonts w:ascii="Arial" w:hAnsi="Arial" w:cs="Arial"/>
          <w:color w:val="000000" w:themeColor="text1"/>
          <w:sz w:val="20"/>
          <w:szCs w:val="20"/>
          <w:lang w:eastAsia="sl-SI"/>
        </w:rPr>
        <w:t xml:space="preserve">področje </w:t>
      </w:r>
      <w:r w:rsidRPr="008D63F8">
        <w:rPr>
          <w:rFonts w:ascii="Arial" w:hAnsi="Arial" w:cs="Arial"/>
          <w:color w:val="000000" w:themeColor="text1"/>
          <w:sz w:val="20"/>
          <w:szCs w:val="20"/>
          <w:lang w:eastAsia="sl-SI"/>
        </w:rPr>
        <w:t xml:space="preserve">je bilo največ </w:t>
      </w:r>
      <w:r w:rsidR="002B205A" w:rsidRPr="008D63F8">
        <w:rPr>
          <w:rFonts w:ascii="Arial" w:hAnsi="Arial" w:cs="Arial"/>
          <w:color w:val="000000" w:themeColor="text1"/>
          <w:sz w:val="20"/>
          <w:szCs w:val="20"/>
          <w:lang w:eastAsia="sl-SI"/>
        </w:rPr>
        <w:t xml:space="preserve">javnih naročil </w:t>
      </w:r>
      <w:r w:rsidRPr="008D63F8">
        <w:rPr>
          <w:rFonts w:ascii="Arial" w:hAnsi="Arial" w:cs="Arial"/>
          <w:color w:val="000000" w:themeColor="text1"/>
          <w:sz w:val="20"/>
          <w:szCs w:val="20"/>
          <w:lang w:eastAsia="sl-SI"/>
        </w:rPr>
        <w:t xml:space="preserve">oddanih v </w:t>
      </w:r>
      <w:proofErr w:type="spellStart"/>
      <w:r w:rsidRPr="008D63F8">
        <w:rPr>
          <w:rFonts w:ascii="Arial" w:hAnsi="Arial" w:cs="Arial"/>
          <w:color w:val="000000" w:themeColor="text1"/>
          <w:sz w:val="20"/>
          <w:szCs w:val="20"/>
          <w:lang w:eastAsia="sl-SI"/>
        </w:rPr>
        <w:t>podizvajanje</w:t>
      </w:r>
      <w:proofErr w:type="spellEnd"/>
      <w:r w:rsidRPr="008D63F8">
        <w:rPr>
          <w:rFonts w:ascii="Arial" w:hAnsi="Arial" w:cs="Arial"/>
          <w:color w:val="000000" w:themeColor="text1"/>
          <w:sz w:val="20"/>
          <w:szCs w:val="20"/>
          <w:lang w:eastAsia="sl-SI"/>
        </w:rPr>
        <w:t xml:space="preserve"> </w:t>
      </w:r>
      <w:r w:rsidR="00FD48CF" w:rsidRPr="008D63F8">
        <w:rPr>
          <w:rFonts w:ascii="Arial" w:hAnsi="Arial" w:cs="Arial"/>
          <w:color w:val="000000" w:themeColor="text1"/>
          <w:sz w:val="20"/>
          <w:szCs w:val="20"/>
          <w:lang w:eastAsia="sl-SI"/>
        </w:rPr>
        <w:t>pri</w:t>
      </w:r>
      <w:r w:rsidRPr="008D63F8">
        <w:rPr>
          <w:rFonts w:ascii="Arial" w:hAnsi="Arial" w:cs="Arial"/>
          <w:color w:val="000000" w:themeColor="text1"/>
          <w:sz w:val="20"/>
          <w:szCs w:val="20"/>
          <w:lang w:eastAsia="sl-SI"/>
        </w:rPr>
        <w:t xml:space="preserve"> </w:t>
      </w:r>
      <w:r w:rsidR="002B205A" w:rsidRPr="008D63F8">
        <w:rPr>
          <w:rFonts w:ascii="Arial" w:hAnsi="Arial" w:cs="Arial"/>
          <w:color w:val="000000" w:themeColor="text1"/>
          <w:sz w:val="20"/>
          <w:szCs w:val="20"/>
          <w:lang w:eastAsia="sl-SI"/>
        </w:rPr>
        <w:t>javnih naročilih na splošnem področju</w:t>
      </w:r>
      <w:r w:rsidRPr="008D63F8">
        <w:rPr>
          <w:rFonts w:ascii="Arial" w:hAnsi="Arial" w:cs="Arial"/>
          <w:color w:val="000000" w:themeColor="text1"/>
          <w:sz w:val="20"/>
          <w:szCs w:val="20"/>
          <w:lang w:eastAsia="sl-SI"/>
        </w:rPr>
        <w:t xml:space="preserve">. </w:t>
      </w:r>
      <w:r w:rsidR="00BE0EAD" w:rsidRPr="008D63F8">
        <w:rPr>
          <w:rFonts w:ascii="Arial" w:hAnsi="Arial" w:cs="Arial"/>
          <w:color w:val="000000" w:themeColor="text1"/>
          <w:sz w:val="20"/>
          <w:szCs w:val="20"/>
          <w:lang w:eastAsia="sl-SI"/>
        </w:rPr>
        <w:t xml:space="preserve">Teh naročil je bilo </w:t>
      </w:r>
      <w:r w:rsidR="00235D79" w:rsidRPr="008D63F8">
        <w:rPr>
          <w:rFonts w:ascii="Arial" w:hAnsi="Arial" w:cs="Arial"/>
          <w:color w:val="000000" w:themeColor="text1"/>
          <w:sz w:val="20"/>
          <w:szCs w:val="20"/>
          <w:lang w:eastAsia="sl-SI"/>
        </w:rPr>
        <w:t>73</w:t>
      </w:r>
      <w:r w:rsidR="008D63F8" w:rsidRPr="008D63F8">
        <w:rPr>
          <w:rFonts w:ascii="Arial" w:hAnsi="Arial" w:cs="Arial"/>
          <w:color w:val="000000" w:themeColor="text1"/>
          <w:sz w:val="20"/>
          <w:szCs w:val="20"/>
          <w:lang w:eastAsia="sl-SI"/>
        </w:rPr>
        <w:t>8</w:t>
      </w:r>
      <w:r w:rsidR="00BE0EAD" w:rsidRPr="008D63F8">
        <w:rPr>
          <w:rFonts w:ascii="Arial" w:hAnsi="Arial" w:cs="Arial"/>
          <w:color w:val="000000" w:themeColor="text1"/>
          <w:sz w:val="20"/>
          <w:szCs w:val="20"/>
          <w:lang w:eastAsia="sl-SI"/>
        </w:rPr>
        <w:t xml:space="preserve">, njihova vrednost pa znaša </w:t>
      </w:r>
      <w:r w:rsidR="008D63F8" w:rsidRPr="008D63F8">
        <w:rPr>
          <w:rFonts w:ascii="Arial" w:hAnsi="Arial" w:cs="Arial"/>
          <w:color w:val="000000" w:themeColor="text1"/>
          <w:sz w:val="20"/>
          <w:szCs w:val="20"/>
          <w:lang w:eastAsia="sl-SI"/>
        </w:rPr>
        <w:t xml:space="preserve">1.016.684.001 </w:t>
      </w:r>
      <w:r w:rsidR="00BE0EAD" w:rsidRPr="008D63F8">
        <w:rPr>
          <w:rFonts w:ascii="Arial" w:hAnsi="Arial" w:cs="Arial"/>
          <w:color w:val="000000" w:themeColor="text1"/>
          <w:sz w:val="20"/>
          <w:szCs w:val="20"/>
          <w:lang w:eastAsia="sl-SI"/>
        </w:rPr>
        <w:t xml:space="preserve">evrov, kar je po številu </w:t>
      </w:r>
      <w:r w:rsidR="00235D79" w:rsidRPr="008D63F8">
        <w:rPr>
          <w:rFonts w:ascii="Arial" w:hAnsi="Arial" w:cs="Arial"/>
          <w:color w:val="000000" w:themeColor="text1"/>
          <w:sz w:val="20"/>
          <w:szCs w:val="20"/>
          <w:lang w:eastAsia="sl-SI"/>
        </w:rPr>
        <w:t>82</w:t>
      </w:r>
      <w:r w:rsidR="003F0478" w:rsidRPr="008D63F8">
        <w:rPr>
          <w:rFonts w:ascii="Arial" w:hAnsi="Arial" w:cs="Arial"/>
          <w:color w:val="000000" w:themeColor="text1"/>
          <w:sz w:val="20"/>
          <w:szCs w:val="20"/>
          <w:lang w:eastAsia="sl-SI"/>
        </w:rPr>
        <w:t> </w:t>
      </w:r>
      <w:r w:rsidR="00AC0027" w:rsidRPr="008D63F8">
        <w:rPr>
          <w:rFonts w:ascii="Arial" w:hAnsi="Arial" w:cs="Arial"/>
          <w:color w:val="000000" w:themeColor="text1"/>
          <w:sz w:val="20"/>
          <w:szCs w:val="20"/>
          <w:lang w:eastAsia="sl-SI"/>
        </w:rPr>
        <w:t>odstotk</w:t>
      </w:r>
      <w:r w:rsidR="008D63F8" w:rsidRPr="008D63F8">
        <w:rPr>
          <w:rFonts w:ascii="Arial" w:hAnsi="Arial" w:cs="Arial"/>
          <w:color w:val="000000" w:themeColor="text1"/>
          <w:sz w:val="20"/>
          <w:szCs w:val="20"/>
          <w:lang w:eastAsia="sl-SI"/>
        </w:rPr>
        <w:t>ov</w:t>
      </w:r>
      <w:r w:rsidR="00BE0EAD" w:rsidRPr="008D63F8">
        <w:rPr>
          <w:rFonts w:ascii="Arial" w:hAnsi="Arial" w:cs="Arial"/>
          <w:color w:val="000000" w:themeColor="text1"/>
          <w:sz w:val="20"/>
          <w:szCs w:val="20"/>
          <w:lang w:eastAsia="sl-SI"/>
        </w:rPr>
        <w:t xml:space="preserve"> vseh javnih naročil, oddan</w:t>
      </w:r>
      <w:r w:rsidR="00B41D91" w:rsidRPr="008D63F8">
        <w:rPr>
          <w:rFonts w:ascii="Arial" w:hAnsi="Arial" w:cs="Arial"/>
          <w:color w:val="000000" w:themeColor="text1"/>
          <w:sz w:val="20"/>
          <w:szCs w:val="20"/>
          <w:lang w:eastAsia="sl-SI"/>
        </w:rPr>
        <w:t>ih</w:t>
      </w:r>
      <w:r w:rsidR="00BE0EAD" w:rsidRPr="008D63F8">
        <w:rPr>
          <w:rFonts w:ascii="Arial" w:hAnsi="Arial" w:cs="Arial"/>
          <w:color w:val="000000" w:themeColor="text1"/>
          <w:sz w:val="20"/>
          <w:szCs w:val="20"/>
          <w:lang w:eastAsia="sl-SI"/>
        </w:rPr>
        <w:t xml:space="preserve"> v </w:t>
      </w:r>
      <w:proofErr w:type="spellStart"/>
      <w:r w:rsidR="00BE0EAD" w:rsidRPr="008D63F8">
        <w:rPr>
          <w:rFonts w:ascii="Arial" w:hAnsi="Arial" w:cs="Arial"/>
          <w:color w:val="000000" w:themeColor="text1"/>
          <w:sz w:val="20"/>
          <w:szCs w:val="20"/>
          <w:lang w:eastAsia="sl-SI"/>
        </w:rPr>
        <w:t>podizvajanje</w:t>
      </w:r>
      <w:proofErr w:type="spellEnd"/>
      <w:r w:rsidR="00BE0EAD" w:rsidRPr="008D63F8">
        <w:rPr>
          <w:rFonts w:ascii="Arial" w:hAnsi="Arial" w:cs="Arial"/>
          <w:color w:val="000000" w:themeColor="text1"/>
          <w:sz w:val="20"/>
          <w:szCs w:val="20"/>
          <w:lang w:eastAsia="sl-SI"/>
        </w:rPr>
        <w:t xml:space="preserve">, po vrednosti pa </w:t>
      </w:r>
      <w:r w:rsidR="00235D79" w:rsidRPr="008D63F8">
        <w:rPr>
          <w:rFonts w:ascii="Arial" w:hAnsi="Arial" w:cs="Arial"/>
          <w:color w:val="000000" w:themeColor="text1"/>
          <w:sz w:val="20"/>
          <w:szCs w:val="20"/>
          <w:lang w:eastAsia="sl-SI"/>
        </w:rPr>
        <w:t>82,73</w:t>
      </w:r>
      <w:r w:rsidR="008426A1" w:rsidRPr="008D63F8">
        <w:rPr>
          <w:rFonts w:ascii="Arial" w:hAnsi="Arial" w:cs="Arial"/>
          <w:color w:val="000000" w:themeColor="text1"/>
          <w:sz w:val="20"/>
          <w:szCs w:val="20"/>
          <w:lang w:eastAsia="sl-SI"/>
        </w:rPr>
        <w:t> </w:t>
      </w:r>
      <w:r w:rsidR="00AC0027" w:rsidRPr="008D63F8">
        <w:rPr>
          <w:rFonts w:ascii="Arial" w:hAnsi="Arial" w:cs="Arial"/>
          <w:color w:val="000000" w:themeColor="text1"/>
          <w:sz w:val="20"/>
          <w:szCs w:val="20"/>
          <w:lang w:eastAsia="sl-SI"/>
        </w:rPr>
        <w:t>odstotka</w:t>
      </w:r>
      <w:r w:rsidR="00BE0EAD" w:rsidRPr="008D63F8">
        <w:rPr>
          <w:rFonts w:ascii="Arial" w:hAnsi="Arial" w:cs="Arial"/>
          <w:color w:val="000000" w:themeColor="text1"/>
          <w:sz w:val="20"/>
          <w:szCs w:val="20"/>
          <w:lang w:eastAsia="sl-SI"/>
        </w:rPr>
        <w:t>.</w:t>
      </w:r>
    </w:p>
    <w:p w14:paraId="74BCA058" w14:textId="62BFAB4D" w:rsidR="00456791" w:rsidRPr="008D63F8" w:rsidRDefault="00456791" w:rsidP="008A61FD">
      <w:pPr>
        <w:spacing w:before="120" w:after="120" w:line="240" w:lineRule="auto"/>
        <w:jc w:val="both"/>
        <w:rPr>
          <w:rFonts w:ascii="Arial" w:hAnsi="Arial" w:cs="Arial"/>
          <w:color w:val="000000" w:themeColor="text1"/>
          <w:sz w:val="20"/>
        </w:rPr>
      </w:pPr>
      <w:r w:rsidRPr="008D63F8">
        <w:rPr>
          <w:rFonts w:ascii="Arial" w:hAnsi="Arial" w:cs="Arial"/>
          <w:color w:val="000000" w:themeColor="text1"/>
          <w:sz w:val="20"/>
        </w:rPr>
        <w:t xml:space="preserve">Preglednica </w:t>
      </w:r>
      <w:r w:rsidR="00512F52" w:rsidRPr="008D63F8">
        <w:rPr>
          <w:rFonts w:ascii="Arial" w:hAnsi="Arial" w:cs="Arial"/>
          <w:color w:val="000000" w:themeColor="text1"/>
          <w:sz w:val="20"/>
        </w:rPr>
        <w:t>28</w:t>
      </w:r>
      <w:r w:rsidRPr="008D63F8">
        <w:rPr>
          <w:rFonts w:ascii="Arial" w:hAnsi="Arial" w:cs="Arial"/>
          <w:color w:val="000000" w:themeColor="text1"/>
          <w:sz w:val="20"/>
        </w:rPr>
        <w:t>: Udeležba podizvajalcev v javnih naročilih glede na področje</w:t>
      </w:r>
      <w:r w:rsidR="000F2B07" w:rsidRPr="008D63F8">
        <w:rPr>
          <w:rFonts w:ascii="Arial" w:hAnsi="Arial" w:cs="Arial"/>
          <w:color w:val="000000" w:themeColor="text1"/>
          <w:sz w:val="20"/>
        </w:rPr>
        <w:t xml:space="preserve"> naročanja</w:t>
      </w:r>
    </w:p>
    <w:tbl>
      <w:tblPr>
        <w:tblW w:w="6000" w:type="dxa"/>
        <w:jc w:val="center"/>
        <w:tblCellMar>
          <w:left w:w="70" w:type="dxa"/>
          <w:right w:w="70" w:type="dxa"/>
        </w:tblCellMar>
        <w:tblLook w:val="04A0" w:firstRow="1" w:lastRow="0" w:firstColumn="1" w:lastColumn="0" w:noHBand="0" w:noVBand="1"/>
      </w:tblPr>
      <w:tblGrid>
        <w:gridCol w:w="1640"/>
        <w:gridCol w:w="960"/>
        <w:gridCol w:w="1480"/>
        <w:gridCol w:w="960"/>
        <w:gridCol w:w="960"/>
      </w:tblGrid>
      <w:tr w:rsidR="00122C38" w:rsidRPr="008D63F8" w14:paraId="6E0DAA4B" w14:textId="77777777" w:rsidTr="00CD447F">
        <w:trPr>
          <w:trHeight w:val="255"/>
          <w:jc w:val="center"/>
        </w:trPr>
        <w:tc>
          <w:tcPr>
            <w:tcW w:w="1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B5FDBA" w14:textId="77777777" w:rsidR="0083041C" w:rsidRPr="008D63F8" w:rsidRDefault="0083041C" w:rsidP="0083041C">
            <w:pPr>
              <w:spacing w:after="0" w:line="240" w:lineRule="auto"/>
              <w:jc w:val="center"/>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Področje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38B09" w14:textId="77777777" w:rsidR="0083041C" w:rsidRPr="008D63F8" w:rsidRDefault="0083041C" w:rsidP="0083041C">
            <w:pPr>
              <w:spacing w:after="0" w:line="240" w:lineRule="auto"/>
              <w:jc w:val="center"/>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Št. naročil</w:t>
            </w:r>
          </w:p>
        </w:tc>
        <w:tc>
          <w:tcPr>
            <w:tcW w:w="14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89902B" w14:textId="5DD11B63" w:rsidR="0083041C" w:rsidRPr="008D63F8" w:rsidRDefault="0083041C" w:rsidP="0083041C">
            <w:pPr>
              <w:spacing w:after="0" w:line="240" w:lineRule="auto"/>
              <w:jc w:val="center"/>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 xml:space="preserve">Pogodbena vrednost </w:t>
            </w:r>
            <w:r w:rsidR="00F36C50" w:rsidRPr="008D63F8">
              <w:rPr>
                <w:rFonts w:ascii="Arial" w:eastAsia="Times New Roman" w:hAnsi="Arial" w:cs="Arial"/>
                <w:color w:val="000000" w:themeColor="text1"/>
                <w:sz w:val="18"/>
                <w:szCs w:val="18"/>
                <w:lang w:eastAsia="sl-SI"/>
              </w:rPr>
              <w:t>(v EUR)</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6C886E" w14:textId="77777777" w:rsidR="0083041C" w:rsidRPr="008D63F8" w:rsidRDefault="0083041C" w:rsidP="0083041C">
            <w:pPr>
              <w:spacing w:after="0" w:line="240" w:lineRule="auto"/>
              <w:jc w:val="center"/>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Delež v št. naročil</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BAB064" w14:textId="77777777" w:rsidR="0083041C" w:rsidRPr="008D63F8" w:rsidRDefault="0083041C" w:rsidP="0083041C">
            <w:pPr>
              <w:spacing w:after="0" w:line="240" w:lineRule="auto"/>
              <w:jc w:val="center"/>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 xml:space="preserve">Delež v vrednosti </w:t>
            </w:r>
          </w:p>
        </w:tc>
      </w:tr>
      <w:tr w:rsidR="008D63F8" w:rsidRPr="008D63F8" w14:paraId="079FC7BA" w14:textId="77777777" w:rsidTr="008D63F8">
        <w:trPr>
          <w:trHeight w:val="255"/>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D4AE168" w14:textId="1A70FCC9" w:rsidR="008D63F8" w:rsidRPr="008D63F8" w:rsidRDefault="008D63F8" w:rsidP="008D63F8">
            <w:pPr>
              <w:spacing w:after="0" w:line="240" w:lineRule="auto"/>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Splošno</w:t>
            </w:r>
          </w:p>
        </w:tc>
        <w:tc>
          <w:tcPr>
            <w:tcW w:w="960" w:type="dxa"/>
            <w:tcBorders>
              <w:top w:val="nil"/>
              <w:left w:val="nil"/>
              <w:bottom w:val="single" w:sz="4" w:space="0" w:color="auto"/>
              <w:right w:val="single" w:sz="4" w:space="0" w:color="auto"/>
            </w:tcBorders>
            <w:shd w:val="clear" w:color="auto" w:fill="auto"/>
            <w:vAlign w:val="center"/>
            <w:hideMark/>
          </w:tcPr>
          <w:p w14:paraId="5CB60475" w14:textId="245742AD"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738</w:t>
            </w:r>
          </w:p>
        </w:tc>
        <w:tc>
          <w:tcPr>
            <w:tcW w:w="1480" w:type="dxa"/>
            <w:tcBorders>
              <w:top w:val="nil"/>
              <w:left w:val="nil"/>
              <w:bottom w:val="single" w:sz="4" w:space="0" w:color="auto"/>
              <w:right w:val="single" w:sz="4" w:space="0" w:color="auto"/>
            </w:tcBorders>
            <w:shd w:val="clear" w:color="auto" w:fill="auto"/>
            <w:vAlign w:val="center"/>
            <w:hideMark/>
          </w:tcPr>
          <w:p w14:paraId="4DD5E6C0" w14:textId="6AC43E48"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1.016.684.001</w:t>
            </w:r>
          </w:p>
        </w:tc>
        <w:tc>
          <w:tcPr>
            <w:tcW w:w="960" w:type="dxa"/>
            <w:tcBorders>
              <w:top w:val="nil"/>
              <w:left w:val="nil"/>
              <w:bottom w:val="single" w:sz="4" w:space="0" w:color="auto"/>
              <w:right w:val="single" w:sz="4" w:space="0" w:color="auto"/>
            </w:tcBorders>
            <w:shd w:val="clear" w:color="auto" w:fill="auto"/>
            <w:noWrap/>
            <w:vAlign w:val="center"/>
            <w:hideMark/>
          </w:tcPr>
          <w:p w14:paraId="22024352" w14:textId="43DA547E"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82,00 %</w:t>
            </w:r>
          </w:p>
        </w:tc>
        <w:tc>
          <w:tcPr>
            <w:tcW w:w="960" w:type="dxa"/>
            <w:tcBorders>
              <w:top w:val="nil"/>
              <w:left w:val="nil"/>
              <w:bottom w:val="single" w:sz="4" w:space="0" w:color="auto"/>
              <w:right w:val="single" w:sz="4" w:space="0" w:color="auto"/>
            </w:tcBorders>
            <w:shd w:val="clear" w:color="auto" w:fill="auto"/>
            <w:noWrap/>
            <w:vAlign w:val="center"/>
            <w:hideMark/>
          </w:tcPr>
          <w:p w14:paraId="4BDD6606" w14:textId="4B4E47C5"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82,73 %</w:t>
            </w:r>
          </w:p>
        </w:tc>
      </w:tr>
      <w:tr w:rsidR="008D63F8" w:rsidRPr="008D63F8" w14:paraId="639C29C2" w14:textId="77777777" w:rsidTr="008D63F8">
        <w:trPr>
          <w:trHeight w:val="255"/>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7BDF25B" w14:textId="0A0E4C99" w:rsidR="008D63F8" w:rsidRPr="008D63F8" w:rsidRDefault="008D63F8" w:rsidP="008D63F8">
            <w:pPr>
              <w:spacing w:after="0" w:line="240" w:lineRule="auto"/>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Infrastrukturno</w:t>
            </w:r>
          </w:p>
        </w:tc>
        <w:tc>
          <w:tcPr>
            <w:tcW w:w="960" w:type="dxa"/>
            <w:tcBorders>
              <w:top w:val="nil"/>
              <w:left w:val="nil"/>
              <w:bottom w:val="single" w:sz="4" w:space="0" w:color="auto"/>
              <w:right w:val="single" w:sz="4" w:space="0" w:color="auto"/>
            </w:tcBorders>
            <w:shd w:val="clear" w:color="auto" w:fill="auto"/>
            <w:vAlign w:val="center"/>
            <w:hideMark/>
          </w:tcPr>
          <w:p w14:paraId="6D0740FB" w14:textId="272CC488"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146</w:t>
            </w:r>
          </w:p>
        </w:tc>
        <w:tc>
          <w:tcPr>
            <w:tcW w:w="1480" w:type="dxa"/>
            <w:tcBorders>
              <w:top w:val="nil"/>
              <w:left w:val="nil"/>
              <w:bottom w:val="single" w:sz="4" w:space="0" w:color="auto"/>
              <w:right w:val="single" w:sz="4" w:space="0" w:color="auto"/>
            </w:tcBorders>
            <w:shd w:val="clear" w:color="auto" w:fill="auto"/>
            <w:vAlign w:val="center"/>
            <w:hideMark/>
          </w:tcPr>
          <w:p w14:paraId="4A54D8AA" w14:textId="6D3812EA"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188.116.302</w:t>
            </w:r>
          </w:p>
        </w:tc>
        <w:tc>
          <w:tcPr>
            <w:tcW w:w="960" w:type="dxa"/>
            <w:tcBorders>
              <w:top w:val="nil"/>
              <w:left w:val="nil"/>
              <w:bottom w:val="single" w:sz="4" w:space="0" w:color="auto"/>
              <w:right w:val="single" w:sz="4" w:space="0" w:color="auto"/>
            </w:tcBorders>
            <w:shd w:val="clear" w:color="auto" w:fill="auto"/>
            <w:noWrap/>
            <w:vAlign w:val="center"/>
            <w:hideMark/>
          </w:tcPr>
          <w:p w14:paraId="3408D8C9" w14:textId="29E847C8"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16,22 %</w:t>
            </w:r>
          </w:p>
        </w:tc>
        <w:tc>
          <w:tcPr>
            <w:tcW w:w="960" w:type="dxa"/>
            <w:tcBorders>
              <w:top w:val="nil"/>
              <w:left w:val="nil"/>
              <w:bottom w:val="single" w:sz="4" w:space="0" w:color="auto"/>
              <w:right w:val="single" w:sz="4" w:space="0" w:color="auto"/>
            </w:tcBorders>
            <w:shd w:val="clear" w:color="auto" w:fill="auto"/>
            <w:noWrap/>
            <w:vAlign w:val="center"/>
            <w:hideMark/>
          </w:tcPr>
          <w:p w14:paraId="5271677E" w14:textId="15241C19"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15,31 %</w:t>
            </w:r>
          </w:p>
        </w:tc>
      </w:tr>
      <w:tr w:rsidR="008D63F8" w:rsidRPr="008D63F8" w14:paraId="25B742A8" w14:textId="77777777" w:rsidTr="008D63F8">
        <w:trPr>
          <w:trHeight w:val="255"/>
          <w:jc w:val="center"/>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8FAE146" w14:textId="6AD71C1D" w:rsidR="008D63F8" w:rsidRPr="008D63F8" w:rsidRDefault="008D63F8" w:rsidP="008D63F8">
            <w:pPr>
              <w:spacing w:after="0" w:line="240" w:lineRule="auto"/>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Obrambno</w:t>
            </w:r>
          </w:p>
        </w:tc>
        <w:tc>
          <w:tcPr>
            <w:tcW w:w="960" w:type="dxa"/>
            <w:tcBorders>
              <w:top w:val="nil"/>
              <w:left w:val="nil"/>
              <w:bottom w:val="single" w:sz="4" w:space="0" w:color="auto"/>
              <w:right w:val="single" w:sz="4" w:space="0" w:color="auto"/>
            </w:tcBorders>
            <w:shd w:val="clear" w:color="auto" w:fill="auto"/>
            <w:vAlign w:val="center"/>
            <w:hideMark/>
          </w:tcPr>
          <w:p w14:paraId="4BA1268D" w14:textId="581D6340"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16</w:t>
            </w:r>
          </w:p>
        </w:tc>
        <w:tc>
          <w:tcPr>
            <w:tcW w:w="1480" w:type="dxa"/>
            <w:tcBorders>
              <w:top w:val="nil"/>
              <w:left w:val="nil"/>
              <w:bottom w:val="single" w:sz="4" w:space="0" w:color="auto"/>
              <w:right w:val="single" w:sz="4" w:space="0" w:color="auto"/>
            </w:tcBorders>
            <w:shd w:val="clear" w:color="auto" w:fill="auto"/>
            <w:vAlign w:val="center"/>
            <w:hideMark/>
          </w:tcPr>
          <w:p w14:paraId="0050CD43" w14:textId="05B3E5B2"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24.103.541</w:t>
            </w:r>
          </w:p>
        </w:tc>
        <w:tc>
          <w:tcPr>
            <w:tcW w:w="960" w:type="dxa"/>
            <w:tcBorders>
              <w:top w:val="nil"/>
              <w:left w:val="nil"/>
              <w:bottom w:val="single" w:sz="4" w:space="0" w:color="auto"/>
              <w:right w:val="single" w:sz="4" w:space="0" w:color="auto"/>
            </w:tcBorders>
            <w:shd w:val="clear" w:color="auto" w:fill="auto"/>
            <w:noWrap/>
            <w:vAlign w:val="center"/>
            <w:hideMark/>
          </w:tcPr>
          <w:p w14:paraId="36DF353E" w14:textId="4F168D9C"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1,78 %</w:t>
            </w:r>
          </w:p>
        </w:tc>
        <w:tc>
          <w:tcPr>
            <w:tcW w:w="960" w:type="dxa"/>
            <w:tcBorders>
              <w:top w:val="nil"/>
              <w:left w:val="nil"/>
              <w:bottom w:val="single" w:sz="4" w:space="0" w:color="auto"/>
              <w:right w:val="single" w:sz="4" w:space="0" w:color="auto"/>
            </w:tcBorders>
            <w:shd w:val="clear" w:color="auto" w:fill="auto"/>
            <w:noWrap/>
            <w:vAlign w:val="center"/>
            <w:hideMark/>
          </w:tcPr>
          <w:p w14:paraId="2C0A6451" w14:textId="2556A228" w:rsidR="008D63F8" w:rsidRPr="008D63F8" w:rsidRDefault="008D63F8" w:rsidP="008D63F8">
            <w:pPr>
              <w:spacing w:after="0" w:line="240" w:lineRule="auto"/>
              <w:jc w:val="right"/>
              <w:rPr>
                <w:rFonts w:ascii="Arial" w:eastAsia="Times New Roman" w:hAnsi="Arial" w:cs="Arial"/>
                <w:color w:val="000000" w:themeColor="text1"/>
                <w:sz w:val="18"/>
                <w:szCs w:val="18"/>
                <w:lang w:eastAsia="sl-SI"/>
              </w:rPr>
            </w:pPr>
            <w:r w:rsidRPr="008D63F8">
              <w:rPr>
                <w:rFonts w:ascii="Arial" w:eastAsia="Times New Roman" w:hAnsi="Arial" w:cs="Arial"/>
                <w:color w:val="000000" w:themeColor="text1"/>
                <w:sz w:val="18"/>
                <w:szCs w:val="18"/>
                <w:lang w:eastAsia="sl-SI"/>
              </w:rPr>
              <w:t>1,96 %</w:t>
            </w:r>
          </w:p>
        </w:tc>
      </w:tr>
      <w:tr w:rsidR="008D63F8" w:rsidRPr="008D63F8" w14:paraId="32BAB613" w14:textId="77777777" w:rsidTr="008D63F8">
        <w:trPr>
          <w:trHeight w:val="255"/>
          <w:jc w:val="center"/>
        </w:trPr>
        <w:tc>
          <w:tcPr>
            <w:tcW w:w="16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84E899" w14:textId="0EE98C14" w:rsidR="008D63F8" w:rsidRPr="008D63F8" w:rsidRDefault="008D63F8" w:rsidP="008D63F8">
            <w:pPr>
              <w:spacing w:after="0" w:line="240" w:lineRule="auto"/>
              <w:rPr>
                <w:rFonts w:ascii="Arial" w:eastAsia="Times New Roman" w:hAnsi="Arial" w:cs="Arial"/>
                <w:b/>
                <w:bCs/>
                <w:color w:val="000000" w:themeColor="text1"/>
                <w:sz w:val="18"/>
                <w:szCs w:val="18"/>
                <w:lang w:eastAsia="sl-SI"/>
              </w:rPr>
            </w:pPr>
            <w:r w:rsidRPr="008D63F8">
              <w:rPr>
                <w:rFonts w:ascii="Arial" w:eastAsia="Times New Roman" w:hAnsi="Arial" w:cs="Arial"/>
                <w:b/>
                <w:bCs/>
                <w:color w:val="000000" w:themeColor="text1"/>
                <w:sz w:val="18"/>
                <w:szCs w:val="18"/>
                <w:lang w:eastAsia="sl-SI"/>
              </w:rPr>
              <w:t>Skupaj</w:t>
            </w:r>
          </w:p>
        </w:tc>
        <w:tc>
          <w:tcPr>
            <w:tcW w:w="960" w:type="dxa"/>
            <w:tcBorders>
              <w:top w:val="nil"/>
              <w:left w:val="nil"/>
              <w:bottom w:val="single" w:sz="4" w:space="0" w:color="auto"/>
              <w:right w:val="single" w:sz="4" w:space="0" w:color="auto"/>
            </w:tcBorders>
            <w:shd w:val="clear" w:color="auto" w:fill="F2F2F2" w:themeFill="background1" w:themeFillShade="F2"/>
            <w:vAlign w:val="center"/>
            <w:hideMark/>
          </w:tcPr>
          <w:p w14:paraId="3FDBE696" w14:textId="6FDD9652" w:rsidR="008D63F8" w:rsidRPr="008D63F8" w:rsidRDefault="008D63F8" w:rsidP="008D63F8">
            <w:pPr>
              <w:spacing w:after="0" w:line="240" w:lineRule="auto"/>
              <w:jc w:val="right"/>
              <w:rPr>
                <w:rFonts w:ascii="Arial" w:eastAsia="Times New Roman" w:hAnsi="Arial" w:cs="Arial"/>
                <w:b/>
                <w:bCs/>
                <w:color w:val="000000" w:themeColor="text1"/>
                <w:sz w:val="18"/>
                <w:szCs w:val="18"/>
                <w:lang w:eastAsia="sl-SI"/>
              </w:rPr>
            </w:pPr>
            <w:r w:rsidRPr="008D63F8">
              <w:rPr>
                <w:rFonts w:ascii="Arial" w:eastAsia="Times New Roman" w:hAnsi="Arial" w:cs="Arial"/>
                <w:b/>
                <w:bCs/>
                <w:color w:val="000000" w:themeColor="text1"/>
                <w:sz w:val="18"/>
                <w:szCs w:val="18"/>
                <w:lang w:eastAsia="sl-SI"/>
              </w:rPr>
              <w:t>900</w:t>
            </w:r>
          </w:p>
        </w:tc>
        <w:tc>
          <w:tcPr>
            <w:tcW w:w="1480" w:type="dxa"/>
            <w:tcBorders>
              <w:top w:val="nil"/>
              <w:left w:val="nil"/>
              <w:bottom w:val="single" w:sz="4" w:space="0" w:color="auto"/>
              <w:right w:val="single" w:sz="4" w:space="0" w:color="auto"/>
            </w:tcBorders>
            <w:shd w:val="clear" w:color="auto" w:fill="F2F2F2" w:themeFill="background1" w:themeFillShade="F2"/>
            <w:vAlign w:val="center"/>
            <w:hideMark/>
          </w:tcPr>
          <w:p w14:paraId="7229DA63" w14:textId="073F77A6" w:rsidR="008D63F8" w:rsidRPr="008D63F8" w:rsidRDefault="008D63F8" w:rsidP="008D63F8">
            <w:pPr>
              <w:spacing w:after="0" w:line="240" w:lineRule="auto"/>
              <w:jc w:val="right"/>
              <w:rPr>
                <w:rFonts w:ascii="Arial" w:eastAsia="Times New Roman" w:hAnsi="Arial" w:cs="Arial"/>
                <w:b/>
                <w:bCs/>
                <w:color w:val="000000" w:themeColor="text1"/>
                <w:sz w:val="18"/>
                <w:szCs w:val="18"/>
                <w:lang w:eastAsia="sl-SI"/>
              </w:rPr>
            </w:pPr>
            <w:r w:rsidRPr="008D63F8">
              <w:rPr>
                <w:rFonts w:ascii="Arial" w:eastAsia="Times New Roman" w:hAnsi="Arial" w:cs="Arial"/>
                <w:b/>
                <w:bCs/>
                <w:color w:val="000000" w:themeColor="text1"/>
                <w:sz w:val="18"/>
                <w:szCs w:val="18"/>
                <w:lang w:eastAsia="sl-SI"/>
              </w:rPr>
              <w:t>1.228.903.844</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AAC0D43" w14:textId="2F437E3A" w:rsidR="008D63F8" w:rsidRPr="008D63F8" w:rsidRDefault="008D63F8" w:rsidP="008D63F8">
            <w:pPr>
              <w:spacing w:after="0" w:line="240" w:lineRule="auto"/>
              <w:jc w:val="right"/>
              <w:rPr>
                <w:rFonts w:ascii="Arial" w:eastAsia="Times New Roman" w:hAnsi="Arial" w:cs="Arial"/>
                <w:b/>
                <w:bCs/>
                <w:color w:val="000000" w:themeColor="text1"/>
                <w:sz w:val="18"/>
                <w:szCs w:val="18"/>
                <w:lang w:eastAsia="sl-SI"/>
              </w:rPr>
            </w:pPr>
            <w:r w:rsidRPr="008D63F8">
              <w:rPr>
                <w:rFonts w:ascii="Arial" w:eastAsia="Times New Roman" w:hAnsi="Arial" w:cs="Arial"/>
                <w:b/>
                <w:bCs/>
                <w:color w:val="000000" w:themeColor="text1"/>
                <w:sz w:val="18"/>
                <w:szCs w:val="18"/>
                <w:lang w:eastAsia="sl-SI"/>
              </w:rPr>
              <w:t>100,00 %</w:t>
            </w:r>
          </w:p>
        </w:tc>
        <w:tc>
          <w:tcPr>
            <w:tcW w:w="960" w:type="dxa"/>
            <w:tcBorders>
              <w:top w:val="nil"/>
              <w:left w:val="nil"/>
              <w:bottom w:val="single" w:sz="4" w:space="0" w:color="auto"/>
              <w:right w:val="single" w:sz="4" w:space="0" w:color="auto"/>
            </w:tcBorders>
            <w:shd w:val="clear" w:color="auto" w:fill="F2F2F2" w:themeFill="background1" w:themeFillShade="F2"/>
            <w:noWrap/>
            <w:vAlign w:val="center"/>
            <w:hideMark/>
          </w:tcPr>
          <w:p w14:paraId="4585A293" w14:textId="07979F6B" w:rsidR="008D63F8" w:rsidRPr="008D63F8" w:rsidRDefault="008D63F8" w:rsidP="008D63F8">
            <w:pPr>
              <w:spacing w:after="0" w:line="240" w:lineRule="auto"/>
              <w:jc w:val="right"/>
              <w:rPr>
                <w:rFonts w:ascii="Arial" w:eastAsia="Times New Roman" w:hAnsi="Arial" w:cs="Arial"/>
                <w:b/>
                <w:bCs/>
                <w:color w:val="000000" w:themeColor="text1"/>
                <w:sz w:val="18"/>
                <w:szCs w:val="18"/>
                <w:lang w:eastAsia="sl-SI"/>
              </w:rPr>
            </w:pPr>
            <w:r w:rsidRPr="008D63F8">
              <w:rPr>
                <w:rFonts w:ascii="Arial" w:eastAsia="Times New Roman" w:hAnsi="Arial" w:cs="Arial"/>
                <w:b/>
                <w:bCs/>
                <w:color w:val="000000" w:themeColor="text1"/>
                <w:sz w:val="18"/>
                <w:szCs w:val="18"/>
                <w:lang w:eastAsia="sl-SI"/>
              </w:rPr>
              <w:t>100,00 %</w:t>
            </w:r>
          </w:p>
        </w:tc>
      </w:tr>
    </w:tbl>
    <w:p w14:paraId="2C006040" w14:textId="77777777" w:rsidR="004A613D" w:rsidRPr="008D63F8" w:rsidRDefault="004A613D" w:rsidP="004A613D">
      <w:pPr>
        <w:spacing w:after="0" w:line="240" w:lineRule="auto"/>
        <w:jc w:val="center"/>
        <w:rPr>
          <w:rFonts w:ascii="Arial" w:hAnsi="Arial" w:cs="Arial"/>
          <w:color w:val="000000" w:themeColor="text1"/>
          <w:sz w:val="18"/>
        </w:rPr>
      </w:pPr>
    </w:p>
    <w:p w14:paraId="4CB076AA" w14:textId="02C57C33" w:rsidR="00760D66" w:rsidRPr="00A24062" w:rsidRDefault="00456791" w:rsidP="00EA46B6">
      <w:pPr>
        <w:spacing w:after="240" w:line="240" w:lineRule="auto"/>
        <w:jc w:val="center"/>
        <w:rPr>
          <w:rFonts w:ascii="Arial" w:hAnsi="Arial" w:cs="Arial"/>
          <w:color w:val="000000" w:themeColor="text1"/>
          <w:sz w:val="18"/>
        </w:rPr>
      </w:pPr>
      <w:r w:rsidRPr="00A24062">
        <w:rPr>
          <w:rFonts w:ascii="Arial" w:hAnsi="Arial" w:cs="Arial"/>
          <w:color w:val="000000" w:themeColor="text1"/>
          <w:sz w:val="18"/>
        </w:rPr>
        <w:t>Vir: Statistični podatki o javnih naročilih, oddanih v letu 20</w:t>
      </w:r>
      <w:r w:rsidR="0083041C" w:rsidRPr="00A24062">
        <w:rPr>
          <w:rFonts w:ascii="Arial" w:hAnsi="Arial" w:cs="Arial"/>
          <w:color w:val="000000" w:themeColor="text1"/>
          <w:sz w:val="18"/>
        </w:rPr>
        <w:t>2</w:t>
      </w:r>
      <w:r w:rsidR="00235D79" w:rsidRPr="00A24062">
        <w:rPr>
          <w:rFonts w:ascii="Arial" w:hAnsi="Arial" w:cs="Arial"/>
          <w:color w:val="000000" w:themeColor="text1"/>
          <w:sz w:val="18"/>
        </w:rPr>
        <w:t>3</w:t>
      </w:r>
      <w:r w:rsidR="008426A1" w:rsidRPr="00A24062">
        <w:rPr>
          <w:rFonts w:ascii="Arial" w:hAnsi="Arial" w:cs="Arial"/>
          <w:color w:val="000000" w:themeColor="text1"/>
          <w:sz w:val="18"/>
        </w:rPr>
        <w:t>.</w:t>
      </w:r>
    </w:p>
    <w:p w14:paraId="5B0FA7CF" w14:textId="1EC43F9F" w:rsidR="00B11580" w:rsidRPr="00A24062" w:rsidRDefault="00B11580" w:rsidP="00E70FBF">
      <w:pPr>
        <w:pStyle w:val="Naslov3"/>
      </w:pPr>
      <w:bookmarkStart w:id="33" w:name="_Toc175563866"/>
      <w:r w:rsidRPr="00A24062">
        <w:t>2.</w:t>
      </w:r>
      <w:r w:rsidR="00FA2740" w:rsidRPr="00A24062">
        <w:t>6</w:t>
      </w:r>
      <w:r w:rsidRPr="00A24062">
        <w:t>.1 Uresničevanj</w:t>
      </w:r>
      <w:r w:rsidR="00B36CDA" w:rsidRPr="00A24062">
        <w:t>e</w:t>
      </w:r>
      <w:r w:rsidRPr="00A24062">
        <w:t xml:space="preserve"> načela konkurenčnosti in </w:t>
      </w:r>
      <w:r w:rsidR="00F404B0" w:rsidRPr="00A24062">
        <w:t>združevanje</w:t>
      </w:r>
      <w:r w:rsidR="009B2527" w:rsidRPr="00A24062">
        <w:t xml:space="preserve"> naročil v postopku</w:t>
      </w:r>
      <w:bookmarkEnd w:id="33"/>
      <w:r w:rsidR="009B2527" w:rsidRPr="00A24062">
        <w:t xml:space="preserve"> </w:t>
      </w:r>
    </w:p>
    <w:p w14:paraId="27FB0EF0" w14:textId="77777777" w:rsidR="00F91742" w:rsidRPr="00A24062" w:rsidRDefault="00F91742" w:rsidP="005E3192">
      <w:pPr>
        <w:rPr>
          <w:color w:val="FF0000"/>
        </w:rPr>
      </w:pPr>
    </w:p>
    <w:p w14:paraId="3EC26D9F" w14:textId="03AC8398" w:rsidR="00771E42" w:rsidRPr="00A24062" w:rsidRDefault="000331D2" w:rsidP="005E3192">
      <w:pPr>
        <w:spacing w:line="360" w:lineRule="auto"/>
        <w:jc w:val="both"/>
        <w:rPr>
          <w:rFonts w:ascii="Arial" w:hAnsi="Arial" w:cs="Arial"/>
          <w:color w:val="000000" w:themeColor="text1"/>
          <w:sz w:val="20"/>
          <w:szCs w:val="20"/>
        </w:rPr>
      </w:pPr>
      <w:r w:rsidRPr="00A24062">
        <w:rPr>
          <w:rFonts w:ascii="Arial" w:hAnsi="Arial" w:cs="Arial"/>
          <w:color w:val="000000" w:themeColor="text1"/>
          <w:sz w:val="20"/>
          <w:szCs w:val="20"/>
        </w:rPr>
        <w:t>Leta</w:t>
      </w:r>
      <w:r w:rsidR="00FF2869" w:rsidRPr="00A24062">
        <w:rPr>
          <w:rFonts w:ascii="Arial" w:hAnsi="Arial" w:cs="Arial"/>
          <w:color w:val="000000" w:themeColor="text1"/>
          <w:sz w:val="20"/>
          <w:szCs w:val="20"/>
        </w:rPr>
        <w:t xml:space="preserve"> 20</w:t>
      </w:r>
      <w:r w:rsidR="00AD6BE7" w:rsidRPr="00A24062">
        <w:rPr>
          <w:rFonts w:ascii="Arial" w:hAnsi="Arial" w:cs="Arial"/>
          <w:color w:val="000000" w:themeColor="text1"/>
          <w:sz w:val="20"/>
          <w:szCs w:val="20"/>
        </w:rPr>
        <w:t>2</w:t>
      </w:r>
      <w:r w:rsidR="00D25083" w:rsidRPr="00A24062">
        <w:rPr>
          <w:rFonts w:ascii="Arial" w:hAnsi="Arial" w:cs="Arial"/>
          <w:color w:val="000000" w:themeColor="text1"/>
          <w:sz w:val="20"/>
          <w:szCs w:val="20"/>
        </w:rPr>
        <w:t>3</w:t>
      </w:r>
      <w:r w:rsidR="007B5C52" w:rsidRPr="00A24062">
        <w:rPr>
          <w:rFonts w:ascii="Arial" w:hAnsi="Arial" w:cs="Arial"/>
          <w:color w:val="000000" w:themeColor="text1"/>
          <w:sz w:val="20"/>
          <w:szCs w:val="20"/>
        </w:rPr>
        <w:t xml:space="preserve"> javni naročniki v </w:t>
      </w:r>
      <w:r w:rsidR="006C0B5C" w:rsidRPr="00A24062">
        <w:rPr>
          <w:rFonts w:ascii="Arial" w:hAnsi="Arial" w:cs="Arial"/>
          <w:color w:val="000000" w:themeColor="text1"/>
          <w:sz w:val="20"/>
          <w:szCs w:val="20"/>
        </w:rPr>
        <w:t>5</w:t>
      </w:r>
      <w:r w:rsidR="00EA46B6" w:rsidRPr="00A24062">
        <w:rPr>
          <w:rFonts w:ascii="Arial" w:hAnsi="Arial" w:cs="Arial"/>
          <w:color w:val="000000" w:themeColor="text1"/>
          <w:sz w:val="20"/>
          <w:szCs w:val="20"/>
        </w:rPr>
        <w:t>.</w:t>
      </w:r>
      <w:r w:rsidR="00D25083" w:rsidRPr="00A24062">
        <w:rPr>
          <w:rFonts w:ascii="Arial" w:hAnsi="Arial" w:cs="Arial"/>
          <w:color w:val="000000" w:themeColor="text1"/>
          <w:sz w:val="20"/>
          <w:szCs w:val="20"/>
        </w:rPr>
        <w:t>41</w:t>
      </w:r>
      <w:r w:rsidR="00A24062" w:rsidRPr="00A24062">
        <w:rPr>
          <w:rFonts w:ascii="Arial" w:hAnsi="Arial" w:cs="Arial"/>
          <w:color w:val="000000" w:themeColor="text1"/>
          <w:sz w:val="20"/>
          <w:szCs w:val="20"/>
        </w:rPr>
        <w:t>2</w:t>
      </w:r>
      <w:r w:rsidR="007B5C52" w:rsidRPr="00A24062">
        <w:rPr>
          <w:rFonts w:ascii="Arial" w:hAnsi="Arial" w:cs="Arial"/>
          <w:color w:val="000000" w:themeColor="text1"/>
          <w:sz w:val="20"/>
          <w:szCs w:val="20"/>
        </w:rPr>
        <w:t xml:space="preserve"> postopkih javnega naročanja niso oblikovali </w:t>
      </w:r>
      <w:r w:rsidR="009B2527" w:rsidRPr="00A24062">
        <w:rPr>
          <w:rFonts w:ascii="Arial" w:hAnsi="Arial" w:cs="Arial"/>
          <w:color w:val="000000" w:themeColor="text1"/>
          <w:sz w:val="20"/>
          <w:szCs w:val="20"/>
        </w:rPr>
        <w:t>naročil</w:t>
      </w:r>
      <w:r w:rsidR="002B4A0A" w:rsidRPr="00A24062">
        <w:rPr>
          <w:rFonts w:ascii="Arial" w:hAnsi="Arial" w:cs="Arial"/>
          <w:color w:val="000000" w:themeColor="text1"/>
          <w:sz w:val="20"/>
          <w:szCs w:val="20"/>
        </w:rPr>
        <w:t xml:space="preserve"> (sklopov)</w:t>
      </w:r>
      <w:r w:rsidR="007B5C52" w:rsidRPr="00A24062">
        <w:rPr>
          <w:rFonts w:ascii="Arial" w:hAnsi="Arial" w:cs="Arial"/>
          <w:color w:val="000000" w:themeColor="text1"/>
          <w:sz w:val="20"/>
          <w:szCs w:val="20"/>
        </w:rPr>
        <w:t xml:space="preserve">. Skupna vrednost teh </w:t>
      </w:r>
      <w:r w:rsidR="009B2527" w:rsidRPr="00A24062">
        <w:rPr>
          <w:rFonts w:ascii="Arial" w:hAnsi="Arial" w:cs="Arial"/>
          <w:color w:val="000000" w:themeColor="text1"/>
          <w:sz w:val="20"/>
          <w:szCs w:val="20"/>
        </w:rPr>
        <w:t>postopkov</w:t>
      </w:r>
      <w:r w:rsidR="007B5C52" w:rsidRPr="00A24062">
        <w:rPr>
          <w:rFonts w:ascii="Arial" w:hAnsi="Arial" w:cs="Arial"/>
          <w:color w:val="000000" w:themeColor="text1"/>
          <w:sz w:val="20"/>
          <w:szCs w:val="20"/>
        </w:rPr>
        <w:t xml:space="preserve"> je znašala </w:t>
      </w:r>
      <w:r w:rsidR="00A24062" w:rsidRPr="00A24062">
        <w:rPr>
          <w:rFonts w:ascii="Arial" w:hAnsi="Arial" w:cs="Arial"/>
          <w:color w:val="000000" w:themeColor="text1"/>
          <w:sz w:val="20"/>
          <w:szCs w:val="20"/>
        </w:rPr>
        <w:t xml:space="preserve">3.764.983.319 </w:t>
      </w:r>
      <w:r w:rsidR="007B5C52" w:rsidRPr="00A24062">
        <w:rPr>
          <w:rFonts w:ascii="Arial" w:hAnsi="Arial" w:cs="Arial"/>
          <w:color w:val="000000" w:themeColor="text1"/>
          <w:sz w:val="20"/>
          <w:szCs w:val="20"/>
        </w:rPr>
        <w:t xml:space="preserve">evrov. V </w:t>
      </w:r>
      <w:r w:rsidR="00B300E1" w:rsidRPr="00A24062">
        <w:rPr>
          <w:rFonts w:ascii="Arial" w:hAnsi="Arial" w:cs="Arial"/>
          <w:color w:val="000000" w:themeColor="text1"/>
          <w:sz w:val="20"/>
          <w:szCs w:val="20"/>
        </w:rPr>
        <w:t>1</w:t>
      </w:r>
      <w:r w:rsidR="00EA46B6" w:rsidRPr="00A24062">
        <w:rPr>
          <w:rFonts w:ascii="Arial" w:hAnsi="Arial" w:cs="Arial"/>
          <w:color w:val="000000" w:themeColor="text1"/>
          <w:sz w:val="20"/>
          <w:szCs w:val="20"/>
        </w:rPr>
        <w:t>.</w:t>
      </w:r>
      <w:r w:rsidR="00D25083" w:rsidRPr="00A24062">
        <w:rPr>
          <w:rFonts w:ascii="Arial" w:hAnsi="Arial" w:cs="Arial"/>
          <w:color w:val="000000" w:themeColor="text1"/>
          <w:sz w:val="20"/>
          <w:szCs w:val="20"/>
        </w:rPr>
        <w:t>738</w:t>
      </w:r>
      <w:r w:rsidR="007B5C52" w:rsidRPr="00A24062">
        <w:rPr>
          <w:rFonts w:ascii="Arial" w:hAnsi="Arial" w:cs="Arial"/>
          <w:color w:val="000000" w:themeColor="text1"/>
          <w:sz w:val="20"/>
          <w:szCs w:val="20"/>
        </w:rPr>
        <w:t xml:space="preserve"> postopkih</w:t>
      </w:r>
      <w:r w:rsidR="00FD48CF" w:rsidRPr="00A24062">
        <w:rPr>
          <w:rFonts w:ascii="Arial" w:hAnsi="Arial" w:cs="Arial"/>
          <w:color w:val="000000" w:themeColor="text1"/>
          <w:sz w:val="20"/>
          <w:szCs w:val="20"/>
        </w:rPr>
        <w:t xml:space="preserve"> s </w:t>
      </w:r>
      <w:r w:rsidR="007B5C52" w:rsidRPr="00A24062">
        <w:rPr>
          <w:rFonts w:ascii="Arial" w:hAnsi="Arial" w:cs="Arial"/>
          <w:color w:val="000000" w:themeColor="text1"/>
          <w:sz w:val="20"/>
          <w:szCs w:val="20"/>
        </w:rPr>
        <w:t>skupn</w:t>
      </w:r>
      <w:r w:rsidR="00FD48CF" w:rsidRPr="00A24062">
        <w:rPr>
          <w:rFonts w:ascii="Arial" w:hAnsi="Arial" w:cs="Arial"/>
          <w:color w:val="000000" w:themeColor="text1"/>
          <w:sz w:val="20"/>
          <w:szCs w:val="20"/>
        </w:rPr>
        <w:t>o</w:t>
      </w:r>
      <w:r w:rsidR="007B5C52" w:rsidRPr="00A24062">
        <w:rPr>
          <w:rFonts w:ascii="Arial" w:hAnsi="Arial" w:cs="Arial"/>
          <w:color w:val="000000" w:themeColor="text1"/>
          <w:sz w:val="20"/>
          <w:szCs w:val="20"/>
        </w:rPr>
        <w:t xml:space="preserve"> vrednost</w:t>
      </w:r>
      <w:r w:rsidR="00FD48CF" w:rsidRPr="00A24062">
        <w:rPr>
          <w:rFonts w:ascii="Arial" w:hAnsi="Arial" w:cs="Arial"/>
          <w:color w:val="000000" w:themeColor="text1"/>
          <w:sz w:val="20"/>
          <w:szCs w:val="20"/>
        </w:rPr>
        <w:t>jo</w:t>
      </w:r>
      <w:r w:rsidR="00B300E1" w:rsidRPr="00A24062">
        <w:rPr>
          <w:rFonts w:ascii="Arial" w:hAnsi="Arial" w:cs="Arial"/>
          <w:color w:val="000000" w:themeColor="text1"/>
          <w:sz w:val="20"/>
          <w:szCs w:val="20"/>
        </w:rPr>
        <w:t xml:space="preserve"> </w:t>
      </w:r>
      <w:r w:rsidR="00D25083" w:rsidRPr="00A24062">
        <w:rPr>
          <w:rFonts w:ascii="Arial" w:hAnsi="Arial" w:cs="Arial"/>
          <w:color w:val="000000" w:themeColor="text1"/>
          <w:sz w:val="20"/>
          <w:szCs w:val="20"/>
        </w:rPr>
        <w:t xml:space="preserve">2.467.267.650 </w:t>
      </w:r>
      <w:r w:rsidR="007B5C52" w:rsidRPr="00A24062">
        <w:rPr>
          <w:rFonts w:ascii="Arial" w:hAnsi="Arial" w:cs="Arial"/>
          <w:color w:val="000000" w:themeColor="text1"/>
          <w:sz w:val="20"/>
          <w:szCs w:val="20"/>
        </w:rPr>
        <w:t xml:space="preserve">evrov </w:t>
      </w:r>
      <w:r w:rsidR="009B2527" w:rsidRPr="00A24062">
        <w:rPr>
          <w:rFonts w:ascii="Arial" w:hAnsi="Arial" w:cs="Arial"/>
          <w:color w:val="000000" w:themeColor="text1"/>
          <w:sz w:val="20"/>
          <w:szCs w:val="20"/>
        </w:rPr>
        <w:t>je bilo vključenih več naročil</w:t>
      </w:r>
      <w:r w:rsidR="007B5C52" w:rsidRPr="00A24062">
        <w:rPr>
          <w:rFonts w:ascii="Arial" w:hAnsi="Arial" w:cs="Arial"/>
          <w:color w:val="000000" w:themeColor="text1"/>
          <w:sz w:val="20"/>
          <w:szCs w:val="20"/>
        </w:rPr>
        <w:t xml:space="preserve">. </w:t>
      </w:r>
    </w:p>
    <w:p w14:paraId="3CFC25A8" w14:textId="094B64D3" w:rsidR="00B2147B" w:rsidRPr="00A24062" w:rsidRDefault="00B2147B" w:rsidP="00B2147B">
      <w:pPr>
        <w:spacing w:line="360" w:lineRule="auto"/>
        <w:jc w:val="both"/>
        <w:rPr>
          <w:rFonts w:ascii="Arial" w:eastAsia="Times New Roman" w:hAnsi="Arial" w:cs="Arial"/>
          <w:color w:val="000000" w:themeColor="text1"/>
          <w:sz w:val="20"/>
          <w:szCs w:val="20"/>
          <w:lang w:eastAsia="sl-SI"/>
        </w:rPr>
      </w:pPr>
      <w:r w:rsidRPr="00A24062">
        <w:rPr>
          <w:rFonts w:ascii="Arial" w:hAnsi="Arial" w:cs="Arial"/>
          <w:color w:val="000000" w:themeColor="text1"/>
          <w:sz w:val="20"/>
          <w:szCs w:val="20"/>
          <w:lang w:eastAsia="sl-SI"/>
        </w:rPr>
        <w:t xml:space="preserve">Pri tem </w:t>
      </w:r>
      <w:r w:rsidR="00662FB1" w:rsidRPr="00A24062">
        <w:rPr>
          <w:rFonts w:ascii="Arial" w:hAnsi="Arial" w:cs="Arial"/>
          <w:color w:val="000000" w:themeColor="text1"/>
          <w:sz w:val="20"/>
          <w:szCs w:val="20"/>
          <w:lang w:eastAsia="sl-SI"/>
        </w:rPr>
        <w:t>sta bila dva postopka</w:t>
      </w:r>
      <w:r w:rsidRPr="00A24062">
        <w:rPr>
          <w:rFonts w:ascii="Arial" w:hAnsi="Arial" w:cs="Arial"/>
          <w:color w:val="000000" w:themeColor="text1"/>
          <w:sz w:val="20"/>
          <w:szCs w:val="20"/>
          <w:lang w:eastAsia="sl-SI"/>
        </w:rPr>
        <w:t xml:space="preserve"> javnega naročanja, v katerih je bilo največ naročil v skupni vrednosti </w:t>
      </w:r>
      <w:r w:rsidR="00662FB1" w:rsidRPr="00A24062">
        <w:rPr>
          <w:rFonts w:ascii="Arial" w:eastAsia="Times New Roman" w:hAnsi="Arial" w:cs="Arial"/>
          <w:color w:val="000000" w:themeColor="text1"/>
          <w:sz w:val="20"/>
          <w:szCs w:val="20"/>
          <w:lang w:eastAsia="sl-SI"/>
        </w:rPr>
        <w:t xml:space="preserve">6.888.364 </w:t>
      </w:r>
      <w:r w:rsidRPr="00A24062">
        <w:rPr>
          <w:rFonts w:ascii="Arial" w:eastAsia="Times New Roman" w:hAnsi="Arial" w:cs="Arial"/>
          <w:color w:val="000000" w:themeColor="text1"/>
          <w:sz w:val="20"/>
          <w:szCs w:val="20"/>
          <w:lang w:eastAsia="sl-SI"/>
        </w:rPr>
        <w:t xml:space="preserve">evrov, </w:t>
      </w:r>
      <w:r w:rsidR="00364BF1" w:rsidRPr="00A24062">
        <w:rPr>
          <w:rFonts w:ascii="Arial" w:eastAsia="Times New Roman" w:hAnsi="Arial" w:cs="Arial"/>
          <w:color w:val="000000" w:themeColor="text1"/>
          <w:sz w:val="20"/>
          <w:szCs w:val="20"/>
          <w:lang w:eastAsia="sl-SI"/>
        </w:rPr>
        <w:t>razdeljen</w:t>
      </w:r>
      <w:r w:rsidR="00662FB1" w:rsidRPr="00A24062">
        <w:rPr>
          <w:rFonts w:ascii="Arial" w:eastAsia="Times New Roman" w:hAnsi="Arial" w:cs="Arial"/>
          <w:color w:val="000000" w:themeColor="text1"/>
          <w:sz w:val="20"/>
          <w:szCs w:val="20"/>
          <w:lang w:eastAsia="sl-SI"/>
        </w:rPr>
        <w:t>a</w:t>
      </w:r>
      <w:r w:rsidR="00364BF1" w:rsidRPr="00A24062">
        <w:rPr>
          <w:rFonts w:ascii="Arial" w:eastAsia="Times New Roman" w:hAnsi="Arial" w:cs="Arial"/>
          <w:color w:val="000000" w:themeColor="text1"/>
          <w:sz w:val="20"/>
          <w:szCs w:val="20"/>
          <w:lang w:eastAsia="sl-SI"/>
        </w:rPr>
        <w:t xml:space="preserve"> na 10</w:t>
      </w:r>
      <w:r w:rsidR="00662FB1" w:rsidRPr="00A24062">
        <w:rPr>
          <w:rFonts w:ascii="Arial" w:eastAsia="Times New Roman" w:hAnsi="Arial" w:cs="Arial"/>
          <w:color w:val="000000" w:themeColor="text1"/>
          <w:sz w:val="20"/>
          <w:szCs w:val="20"/>
          <w:lang w:eastAsia="sl-SI"/>
        </w:rPr>
        <w:t>7</w:t>
      </w:r>
      <w:r w:rsidR="00364BF1" w:rsidRPr="00A24062">
        <w:rPr>
          <w:rFonts w:ascii="Arial" w:eastAsia="Times New Roman" w:hAnsi="Arial" w:cs="Arial"/>
          <w:color w:val="000000" w:themeColor="text1"/>
          <w:sz w:val="20"/>
          <w:szCs w:val="20"/>
          <w:lang w:eastAsia="sl-SI"/>
        </w:rPr>
        <w:t xml:space="preserve"> do </w:t>
      </w:r>
      <w:r w:rsidR="00662FB1" w:rsidRPr="00A24062">
        <w:rPr>
          <w:rFonts w:ascii="Arial" w:eastAsia="Times New Roman" w:hAnsi="Arial" w:cs="Arial"/>
          <w:color w:val="000000" w:themeColor="text1"/>
          <w:sz w:val="20"/>
          <w:szCs w:val="20"/>
          <w:lang w:eastAsia="sl-SI"/>
        </w:rPr>
        <w:t>145</w:t>
      </w:r>
      <w:r w:rsidRPr="00A24062">
        <w:rPr>
          <w:rFonts w:ascii="Arial" w:eastAsia="Times New Roman" w:hAnsi="Arial" w:cs="Arial"/>
          <w:color w:val="000000" w:themeColor="text1"/>
          <w:sz w:val="20"/>
          <w:szCs w:val="20"/>
          <w:lang w:eastAsia="sl-SI"/>
        </w:rPr>
        <w:t xml:space="preserve"> naročil.</w:t>
      </w:r>
    </w:p>
    <w:p w14:paraId="6786D39D" w14:textId="6C499338" w:rsidR="00C72952" w:rsidRPr="00A24062" w:rsidRDefault="00C72952" w:rsidP="00C72952">
      <w:pPr>
        <w:spacing w:line="360" w:lineRule="auto"/>
        <w:jc w:val="both"/>
        <w:rPr>
          <w:rFonts w:ascii="Arial" w:eastAsia="Times New Roman" w:hAnsi="Arial" w:cs="Arial"/>
          <w:color w:val="000000" w:themeColor="text1"/>
          <w:sz w:val="20"/>
          <w:szCs w:val="20"/>
          <w:lang w:eastAsia="sl-SI"/>
        </w:rPr>
      </w:pPr>
      <w:r w:rsidRPr="00A24062">
        <w:rPr>
          <w:rFonts w:ascii="Arial" w:hAnsi="Arial" w:cs="Arial"/>
          <w:color w:val="000000" w:themeColor="text1"/>
          <w:sz w:val="20"/>
          <w:szCs w:val="20"/>
        </w:rPr>
        <w:t>Povprečno število prejetih ponudb v posameznem naročilu v letu 202</w:t>
      </w:r>
      <w:r w:rsidR="00D25083" w:rsidRPr="00A24062">
        <w:rPr>
          <w:rFonts w:ascii="Arial" w:hAnsi="Arial" w:cs="Arial"/>
          <w:color w:val="000000" w:themeColor="text1"/>
          <w:sz w:val="20"/>
          <w:szCs w:val="20"/>
        </w:rPr>
        <w:t>3</w:t>
      </w:r>
      <w:r w:rsidRPr="00A24062">
        <w:rPr>
          <w:rFonts w:ascii="Arial" w:hAnsi="Arial" w:cs="Arial"/>
          <w:color w:val="000000" w:themeColor="text1"/>
          <w:sz w:val="20"/>
          <w:szCs w:val="20"/>
        </w:rPr>
        <w:t xml:space="preserve"> je bilo 2,</w:t>
      </w:r>
      <w:r w:rsidR="00D25083" w:rsidRPr="00A24062">
        <w:rPr>
          <w:rFonts w:ascii="Arial" w:hAnsi="Arial" w:cs="Arial"/>
          <w:color w:val="000000" w:themeColor="text1"/>
          <w:sz w:val="20"/>
          <w:szCs w:val="20"/>
        </w:rPr>
        <w:t>4</w:t>
      </w:r>
      <w:r w:rsidRPr="00A24062">
        <w:rPr>
          <w:rFonts w:ascii="Arial" w:hAnsi="Arial" w:cs="Arial"/>
          <w:color w:val="000000" w:themeColor="text1"/>
          <w:sz w:val="20"/>
          <w:szCs w:val="20"/>
        </w:rPr>
        <w:t xml:space="preserve"> ponudbe</w:t>
      </w:r>
      <w:r w:rsidR="00EA46B6" w:rsidRPr="00A24062">
        <w:rPr>
          <w:rFonts w:ascii="Arial" w:hAnsi="Arial" w:cs="Arial"/>
          <w:color w:val="000000" w:themeColor="text1"/>
          <w:sz w:val="20"/>
          <w:szCs w:val="20"/>
        </w:rPr>
        <w:t xml:space="preserve"> na naročilo</w:t>
      </w:r>
      <w:r w:rsidR="00480701" w:rsidRPr="00A24062">
        <w:rPr>
          <w:rFonts w:ascii="Arial" w:hAnsi="Arial" w:cs="Arial"/>
          <w:color w:val="000000" w:themeColor="text1"/>
          <w:sz w:val="20"/>
          <w:szCs w:val="20"/>
        </w:rPr>
        <w:t xml:space="preserve">. </w:t>
      </w:r>
      <w:r w:rsidR="00E5305C" w:rsidRPr="00A24062">
        <w:rPr>
          <w:rFonts w:ascii="Arial" w:hAnsi="Arial" w:cs="Arial"/>
          <w:color w:val="000000" w:themeColor="text1"/>
          <w:sz w:val="20"/>
          <w:szCs w:val="20"/>
        </w:rPr>
        <w:t>Povprečno število prejetih ponudb v zadnjih petih letih je razvidno iz spodnje preglednice</w:t>
      </w:r>
      <w:r w:rsidR="00DF65AC" w:rsidRPr="00A24062">
        <w:rPr>
          <w:rFonts w:ascii="Arial" w:hAnsi="Arial" w:cs="Arial"/>
          <w:color w:val="000000" w:themeColor="text1"/>
          <w:sz w:val="20"/>
          <w:szCs w:val="20"/>
        </w:rPr>
        <w:t>.</w:t>
      </w:r>
    </w:p>
    <w:p w14:paraId="3A71192F" w14:textId="06DD66A2" w:rsidR="00C72952" w:rsidRPr="00A24062" w:rsidRDefault="00C72952" w:rsidP="00C72952">
      <w:pPr>
        <w:rPr>
          <w:rFonts w:ascii="Arial" w:hAnsi="Arial" w:cs="Arial"/>
          <w:color w:val="000000" w:themeColor="text1"/>
          <w:sz w:val="20"/>
          <w:szCs w:val="20"/>
        </w:rPr>
      </w:pPr>
      <w:r w:rsidRPr="00A24062">
        <w:rPr>
          <w:rFonts w:ascii="Arial" w:hAnsi="Arial" w:cs="Arial"/>
          <w:color w:val="000000" w:themeColor="text1"/>
          <w:sz w:val="20"/>
        </w:rPr>
        <w:t xml:space="preserve">Preglednica 29: </w:t>
      </w:r>
      <w:r w:rsidRPr="00A24062">
        <w:rPr>
          <w:rFonts w:ascii="Arial" w:hAnsi="Arial" w:cs="Arial"/>
          <w:color w:val="000000" w:themeColor="text1"/>
          <w:sz w:val="20"/>
          <w:szCs w:val="20"/>
        </w:rPr>
        <w:t>Povprečno število prejetih ponudb</w:t>
      </w:r>
      <w:r w:rsidR="00882AF4" w:rsidRPr="00A24062">
        <w:rPr>
          <w:rFonts w:ascii="Arial" w:hAnsi="Arial" w:cs="Arial"/>
          <w:color w:val="000000" w:themeColor="text1"/>
          <w:sz w:val="20"/>
          <w:szCs w:val="20"/>
        </w:rPr>
        <w:t xml:space="preserve"> </w:t>
      </w:r>
      <w:r w:rsidRPr="00A24062">
        <w:rPr>
          <w:rFonts w:ascii="Arial" w:hAnsi="Arial" w:cs="Arial"/>
          <w:color w:val="000000" w:themeColor="text1"/>
          <w:sz w:val="20"/>
          <w:szCs w:val="20"/>
        </w:rPr>
        <w:t xml:space="preserve">v posameznem naročilu v letih </w:t>
      </w:r>
      <w:r w:rsidR="00E5305C" w:rsidRPr="00A24062">
        <w:rPr>
          <w:rFonts w:ascii="Arial" w:hAnsi="Arial" w:cs="Arial"/>
          <w:color w:val="000000" w:themeColor="text1"/>
          <w:sz w:val="20"/>
          <w:szCs w:val="20"/>
        </w:rPr>
        <w:t>201</w:t>
      </w:r>
      <w:r w:rsidR="003F3283" w:rsidRPr="00A24062">
        <w:rPr>
          <w:rFonts w:ascii="Arial" w:hAnsi="Arial" w:cs="Arial"/>
          <w:color w:val="000000" w:themeColor="text1"/>
          <w:sz w:val="20"/>
          <w:szCs w:val="20"/>
        </w:rPr>
        <w:t>7</w:t>
      </w:r>
      <w:r w:rsidR="00E5305C" w:rsidRPr="00A24062">
        <w:rPr>
          <w:rFonts w:ascii="Arial" w:hAnsi="Arial" w:cs="Arial"/>
          <w:color w:val="000000" w:themeColor="text1"/>
          <w:sz w:val="20"/>
          <w:szCs w:val="20"/>
        </w:rPr>
        <w:t>–202</w:t>
      </w:r>
      <w:r w:rsidR="00D25083" w:rsidRPr="00A24062">
        <w:rPr>
          <w:rFonts w:ascii="Arial" w:hAnsi="Arial" w:cs="Arial"/>
          <w:color w:val="000000" w:themeColor="text1"/>
          <w:sz w:val="20"/>
          <w:szCs w:val="20"/>
        </w:rPr>
        <w:t>3</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981"/>
        <w:gridCol w:w="1126"/>
        <w:gridCol w:w="1127"/>
        <w:gridCol w:w="1126"/>
        <w:gridCol w:w="1126"/>
        <w:gridCol w:w="1126"/>
        <w:gridCol w:w="1127"/>
      </w:tblGrid>
      <w:tr w:rsidR="00D25083" w:rsidRPr="00A24062" w14:paraId="7F27A6E2" w14:textId="279EA23B" w:rsidTr="008477FE">
        <w:trPr>
          <w:trHeight w:val="255"/>
          <w:jc w:val="center"/>
        </w:trPr>
        <w:tc>
          <w:tcPr>
            <w:tcW w:w="1271" w:type="dxa"/>
            <w:shd w:val="clear" w:color="auto" w:fill="F2F2F2" w:themeFill="background1" w:themeFillShade="F2"/>
            <w:noWrap/>
            <w:vAlign w:val="center"/>
            <w:hideMark/>
          </w:tcPr>
          <w:p w14:paraId="74DDBE82" w14:textId="77777777" w:rsidR="00D25083" w:rsidRPr="00A24062" w:rsidRDefault="00D25083" w:rsidP="00D25083">
            <w:pPr>
              <w:spacing w:after="0" w:line="240" w:lineRule="auto"/>
              <w:jc w:val="both"/>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 </w:t>
            </w:r>
          </w:p>
        </w:tc>
        <w:tc>
          <w:tcPr>
            <w:tcW w:w="981" w:type="dxa"/>
            <w:shd w:val="clear" w:color="auto" w:fill="F2F2F2" w:themeFill="background1" w:themeFillShade="F2"/>
            <w:noWrap/>
            <w:vAlign w:val="center"/>
          </w:tcPr>
          <w:p w14:paraId="79E27BBB" w14:textId="4E6EC6FA" w:rsidR="00D25083" w:rsidRPr="00A24062" w:rsidRDefault="00D25083" w:rsidP="00D25083">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Leto 2017</w:t>
            </w:r>
          </w:p>
        </w:tc>
        <w:tc>
          <w:tcPr>
            <w:tcW w:w="1126" w:type="dxa"/>
            <w:shd w:val="clear" w:color="auto" w:fill="F2F2F2" w:themeFill="background1" w:themeFillShade="F2"/>
            <w:noWrap/>
            <w:vAlign w:val="center"/>
            <w:hideMark/>
          </w:tcPr>
          <w:p w14:paraId="00B1B48A" w14:textId="0DB67113" w:rsidR="00D25083" w:rsidRPr="00A24062" w:rsidRDefault="00D25083" w:rsidP="00D25083">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Leto 2018</w:t>
            </w:r>
          </w:p>
        </w:tc>
        <w:tc>
          <w:tcPr>
            <w:tcW w:w="1127" w:type="dxa"/>
            <w:shd w:val="clear" w:color="auto" w:fill="F2F2F2" w:themeFill="background1" w:themeFillShade="F2"/>
            <w:vAlign w:val="center"/>
            <w:hideMark/>
          </w:tcPr>
          <w:p w14:paraId="3C67D27F" w14:textId="057C75A9" w:rsidR="00D25083" w:rsidRPr="00A24062" w:rsidRDefault="00D25083" w:rsidP="00D25083">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Leto 2019</w:t>
            </w:r>
          </w:p>
        </w:tc>
        <w:tc>
          <w:tcPr>
            <w:tcW w:w="1126" w:type="dxa"/>
            <w:shd w:val="clear" w:color="auto" w:fill="F2F2F2" w:themeFill="background1" w:themeFillShade="F2"/>
            <w:vAlign w:val="center"/>
            <w:hideMark/>
          </w:tcPr>
          <w:p w14:paraId="76032D19" w14:textId="1A069BA9" w:rsidR="00D25083" w:rsidRPr="00A24062" w:rsidRDefault="00D25083" w:rsidP="00D25083">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Leto 2020</w:t>
            </w:r>
          </w:p>
        </w:tc>
        <w:tc>
          <w:tcPr>
            <w:tcW w:w="1126" w:type="dxa"/>
            <w:shd w:val="clear" w:color="auto" w:fill="F2F2F2" w:themeFill="background1" w:themeFillShade="F2"/>
            <w:noWrap/>
            <w:vAlign w:val="center"/>
            <w:hideMark/>
          </w:tcPr>
          <w:p w14:paraId="72E61103" w14:textId="117E3DD1" w:rsidR="00D25083" w:rsidRPr="00A24062" w:rsidRDefault="00D25083" w:rsidP="00D25083">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Leto 2021</w:t>
            </w:r>
          </w:p>
        </w:tc>
        <w:tc>
          <w:tcPr>
            <w:tcW w:w="1126" w:type="dxa"/>
            <w:shd w:val="clear" w:color="auto" w:fill="F2F2F2" w:themeFill="background1" w:themeFillShade="F2"/>
            <w:vAlign w:val="center"/>
          </w:tcPr>
          <w:p w14:paraId="345DE8F0" w14:textId="26AEF057" w:rsidR="00D25083" w:rsidRPr="00A24062" w:rsidRDefault="00D25083" w:rsidP="00D25083">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Leto 2022</w:t>
            </w:r>
          </w:p>
        </w:tc>
        <w:tc>
          <w:tcPr>
            <w:tcW w:w="1127" w:type="dxa"/>
            <w:shd w:val="clear" w:color="auto" w:fill="F2F2F2" w:themeFill="background1" w:themeFillShade="F2"/>
            <w:vAlign w:val="center"/>
          </w:tcPr>
          <w:p w14:paraId="2B902914" w14:textId="55E86A9A" w:rsidR="00D25083" w:rsidRPr="00A24062" w:rsidRDefault="00D25083" w:rsidP="00D25083">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Leto 2023</w:t>
            </w:r>
          </w:p>
        </w:tc>
      </w:tr>
      <w:tr w:rsidR="00D25083" w:rsidRPr="00A24062" w14:paraId="2A4C56BF" w14:textId="41462F86" w:rsidTr="008477FE">
        <w:trPr>
          <w:trHeight w:val="255"/>
          <w:jc w:val="center"/>
        </w:trPr>
        <w:tc>
          <w:tcPr>
            <w:tcW w:w="1271" w:type="dxa"/>
            <w:shd w:val="clear" w:color="auto" w:fill="auto"/>
            <w:noWrap/>
            <w:vAlign w:val="center"/>
            <w:hideMark/>
          </w:tcPr>
          <w:p w14:paraId="2F3A239D" w14:textId="77777777" w:rsidR="00D25083" w:rsidRPr="00A24062" w:rsidRDefault="00D25083" w:rsidP="00D25083">
            <w:pPr>
              <w:spacing w:after="0" w:line="240" w:lineRule="auto"/>
              <w:jc w:val="both"/>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Povprečno število prejetih ponudb</w:t>
            </w:r>
          </w:p>
        </w:tc>
        <w:tc>
          <w:tcPr>
            <w:tcW w:w="981" w:type="dxa"/>
            <w:shd w:val="clear" w:color="auto" w:fill="auto"/>
            <w:noWrap/>
            <w:vAlign w:val="center"/>
          </w:tcPr>
          <w:p w14:paraId="64750D15" w14:textId="33163213" w:rsidR="00D25083" w:rsidRPr="00A24062" w:rsidRDefault="00D25083" w:rsidP="00D25083">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2,9</w:t>
            </w:r>
          </w:p>
        </w:tc>
        <w:tc>
          <w:tcPr>
            <w:tcW w:w="1126" w:type="dxa"/>
            <w:shd w:val="clear" w:color="auto" w:fill="auto"/>
            <w:noWrap/>
            <w:vAlign w:val="center"/>
            <w:hideMark/>
          </w:tcPr>
          <w:p w14:paraId="7983D0AB" w14:textId="0FD44B64" w:rsidR="00D25083" w:rsidRPr="00A24062" w:rsidRDefault="00D25083" w:rsidP="00D25083">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2,5</w:t>
            </w:r>
          </w:p>
        </w:tc>
        <w:tc>
          <w:tcPr>
            <w:tcW w:w="1127" w:type="dxa"/>
            <w:shd w:val="clear" w:color="auto" w:fill="auto"/>
            <w:vAlign w:val="center"/>
            <w:hideMark/>
          </w:tcPr>
          <w:p w14:paraId="50E91B7E" w14:textId="2F4A9A9C" w:rsidR="00D25083" w:rsidRPr="00A24062" w:rsidRDefault="00D25083" w:rsidP="00D25083">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2,7</w:t>
            </w:r>
          </w:p>
        </w:tc>
        <w:tc>
          <w:tcPr>
            <w:tcW w:w="1126" w:type="dxa"/>
            <w:shd w:val="clear" w:color="auto" w:fill="auto"/>
            <w:vAlign w:val="center"/>
            <w:hideMark/>
          </w:tcPr>
          <w:p w14:paraId="19D095DB" w14:textId="73C5A846" w:rsidR="00D25083" w:rsidRPr="00A24062" w:rsidRDefault="00D25083" w:rsidP="00D25083">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2,7</w:t>
            </w:r>
          </w:p>
        </w:tc>
        <w:tc>
          <w:tcPr>
            <w:tcW w:w="1126" w:type="dxa"/>
            <w:shd w:val="clear" w:color="auto" w:fill="auto"/>
            <w:noWrap/>
            <w:vAlign w:val="center"/>
            <w:hideMark/>
          </w:tcPr>
          <w:p w14:paraId="7211A74E" w14:textId="1B885D30" w:rsidR="00D25083" w:rsidRPr="00A24062" w:rsidRDefault="00D25083" w:rsidP="00D25083">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2,5</w:t>
            </w:r>
          </w:p>
        </w:tc>
        <w:tc>
          <w:tcPr>
            <w:tcW w:w="1126" w:type="dxa"/>
            <w:vAlign w:val="center"/>
          </w:tcPr>
          <w:p w14:paraId="4548CDEA" w14:textId="2046F5B3" w:rsidR="00D25083" w:rsidRPr="00A24062" w:rsidRDefault="00D25083" w:rsidP="00D25083">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2,2</w:t>
            </w:r>
          </w:p>
        </w:tc>
        <w:tc>
          <w:tcPr>
            <w:tcW w:w="1127" w:type="dxa"/>
            <w:vAlign w:val="center"/>
          </w:tcPr>
          <w:p w14:paraId="7EFA5777" w14:textId="2249453F" w:rsidR="00D25083" w:rsidRPr="00A24062" w:rsidRDefault="00D25083" w:rsidP="00D25083">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2,4</w:t>
            </w:r>
          </w:p>
        </w:tc>
      </w:tr>
    </w:tbl>
    <w:p w14:paraId="174601DC" w14:textId="73C21369" w:rsidR="00C72952" w:rsidRPr="00A24062" w:rsidRDefault="00C72952" w:rsidP="00E5305C">
      <w:pPr>
        <w:spacing w:after="0" w:line="240" w:lineRule="auto"/>
        <w:rPr>
          <w:rFonts w:ascii="Arial" w:hAnsi="Arial" w:cs="Arial"/>
          <w:color w:val="000000" w:themeColor="text1"/>
          <w:sz w:val="20"/>
        </w:rPr>
      </w:pPr>
    </w:p>
    <w:p w14:paraId="3AE79818" w14:textId="215B54DB" w:rsidR="00C72952" w:rsidRPr="00A24062" w:rsidRDefault="00C72952" w:rsidP="00C72952">
      <w:pPr>
        <w:spacing w:after="240" w:line="240" w:lineRule="auto"/>
        <w:jc w:val="center"/>
        <w:rPr>
          <w:rFonts w:ascii="Arial" w:hAnsi="Arial" w:cs="Arial"/>
          <w:color w:val="000000" w:themeColor="text1"/>
          <w:sz w:val="18"/>
        </w:rPr>
      </w:pPr>
      <w:r w:rsidRPr="00A24062">
        <w:rPr>
          <w:rFonts w:ascii="Arial" w:hAnsi="Arial" w:cs="Arial"/>
          <w:color w:val="000000" w:themeColor="text1"/>
          <w:sz w:val="18"/>
        </w:rPr>
        <w:t xml:space="preserve">Vir: Statistični podatki o javnih naročilih, oddanih v letih </w:t>
      </w:r>
      <w:r w:rsidR="00E5305C" w:rsidRPr="00A24062">
        <w:rPr>
          <w:rFonts w:ascii="Arial" w:hAnsi="Arial" w:cs="Arial"/>
          <w:color w:val="000000" w:themeColor="text1"/>
          <w:sz w:val="18"/>
        </w:rPr>
        <w:t>201</w:t>
      </w:r>
      <w:r w:rsidR="003F3283" w:rsidRPr="00A24062">
        <w:rPr>
          <w:rFonts w:ascii="Arial" w:hAnsi="Arial" w:cs="Arial"/>
          <w:color w:val="000000" w:themeColor="text1"/>
          <w:sz w:val="18"/>
        </w:rPr>
        <w:t>7</w:t>
      </w:r>
      <w:r w:rsidR="00E5305C" w:rsidRPr="00A24062">
        <w:rPr>
          <w:rFonts w:ascii="Arial" w:hAnsi="Arial" w:cs="Arial"/>
          <w:color w:val="000000" w:themeColor="text1"/>
          <w:sz w:val="18"/>
        </w:rPr>
        <w:t>–202</w:t>
      </w:r>
      <w:r w:rsidR="00D25083" w:rsidRPr="00A24062">
        <w:rPr>
          <w:rFonts w:ascii="Arial" w:hAnsi="Arial" w:cs="Arial"/>
          <w:color w:val="000000" w:themeColor="text1"/>
          <w:sz w:val="18"/>
        </w:rPr>
        <w:t>3</w:t>
      </w:r>
      <w:r w:rsidR="000F01DD" w:rsidRPr="00A24062">
        <w:rPr>
          <w:rFonts w:ascii="Arial" w:hAnsi="Arial" w:cs="Arial"/>
          <w:color w:val="000000" w:themeColor="text1"/>
          <w:sz w:val="18"/>
        </w:rPr>
        <w:t>.</w:t>
      </w:r>
    </w:p>
    <w:p w14:paraId="65CED91B" w14:textId="0F581A63" w:rsidR="002B4A0A" w:rsidRPr="00A24062" w:rsidRDefault="00693824" w:rsidP="002B4A0A">
      <w:pPr>
        <w:spacing w:line="360" w:lineRule="auto"/>
        <w:jc w:val="both"/>
        <w:rPr>
          <w:rFonts w:ascii="Arial" w:hAnsi="Arial" w:cs="Arial"/>
          <w:color w:val="000000" w:themeColor="text1"/>
          <w:sz w:val="20"/>
          <w:szCs w:val="20"/>
        </w:rPr>
      </w:pPr>
      <w:r w:rsidRPr="00A24062">
        <w:rPr>
          <w:rFonts w:ascii="Arial" w:hAnsi="Arial" w:cs="Arial"/>
          <w:color w:val="000000" w:themeColor="text1"/>
          <w:sz w:val="20"/>
          <w:szCs w:val="20"/>
        </w:rPr>
        <w:lastRenderedPageBreak/>
        <w:t>V postopkih, ki niso bili</w:t>
      </w:r>
      <w:r w:rsidR="00821795" w:rsidRPr="00A24062">
        <w:rPr>
          <w:rFonts w:ascii="Arial" w:hAnsi="Arial" w:cs="Arial"/>
          <w:color w:val="000000" w:themeColor="text1"/>
          <w:sz w:val="20"/>
          <w:szCs w:val="20"/>
        </w:rPr>
        <w:t xml:space="preserve"> razdeljen</w:t>
      </w:r>
      <w:r w:rsidRPr="00A24062">
        <w:rPr>
          <w:rFonts w:ascii="Arial" w:hAnsi="Arial" w:cs="Arial"/>
          <w:color w:val="000000" w:themeColor="text1"/>
          <w:sz w:val="20"/>
          <w:szCs w:val="20"/>
        </w:rPr>
        <w:t>i</w:t>
      </w:r>
      <w:r w:rsidR="00821795" w:rsidRPr="00A24062">
        <w:rPr>
          <w:rFonts w:ascii="Arial" w:hAnsi="Arial" w:cs="Arial"/>
          <w:color w:val="000000" w:themeColor="text1"/>
          <w:sz w:val="20"/>
          <w:szCs w:val="20"/>
        </w:rPr>
        <w:t xml:space="preserve"> na </w:t>
      </w:r>
      <w:r w:rsidR="004D6F9F" w:rsidRPr="00A24062">
        <w:rPr>
          <w:rFonts w:ascii="Arial" w:hAnsi="Arial" w:cs="Arial"/>
          <w:color w:val="000000" w:themeColor="text1"/>
          <w:sz w:val="20"/>
          <w:szCs w:val="20"/>
        </w:rPr>
        <w:t>naročila</w:t>
      </w:r>
      <w:r w:rsidR="00821795" w:rsidRPr="00A24062">
        <w:rPr>
          <w:rFonts w:ascii="Arial" w:hAnsi="Arial" w:cs="Arial"/>
          <w:color w:val="000000" w:themeColor="text1"/>
          <w:sz w:val="20"/>
          <w:szCs w:val="20"/>
        </w:rPr>
        <w:t>, je bilo povprečno število prejetih ponudb</w:t>
      </w:r>
      <w:r w:rsidR="00960D48" w:rsidRPr="00A24062">
        <w:rPr>
          <w:rFonts w:ascii="Arial" w:hAnsi="Arial" w:cs="Arial"/>
          <w:color w:val="000000" w:themeColor="text1"/>
          <w:sz w:val="20"/>
          <w:szCs w:val="20"/>
        </w:rPr>
        <w:t xml:space="preserve"> </w:t>
      </w:r>
      <w:r w:rsidR="0085369D" w:rsidRPr="00A24062">
        <w:rPr>
          <w:rFonts w:ascii="Arial" w:hAnsi="Arial" w:cs="Arial"/>
          <w:color w:val="000000" w:themeColor="text1"/>
          <w:sz w:val="20"/>
          <w:szCs w:val="20"/>
        </w:rPr>
        <w:t>2,</w:t>
      </w:r>
      <w:r w:rsidR="0074700F" w:rsidRPr="00A24062">
        <w:rPr>
          <w:rFonts w:ascii="Arial" w:hAnsi="Arial" w:cs="Arial"/>
          <w:color w:val="000000" w:themeColor="text1"/>
          <w:sz w:val="20"/>
          <w:szCs w:val="20"/>
        </w:rPr>
        <w:t>2</w:t>
      </w:r>
      <w:r w:rsidR="00821795" w:rsidRPr="00A24062">
        <w:rPr>
          <w:rFonts w:ascii="Arial" w:hAnsi="Arial" w:cs="Arial"/>
          <w:color w:val="000000" w:themeColor="text1"/>
          <w:sz w:val="20"/>
          <w:szCs w:val="20"/>
        </w:rPr>
        <w:t>.</w:t>
      </w:r>
      <w:r w:rsidRPr="00A24062">
        <w:rPr>
          <w:rFonts w:ascii="Arial" w:hAnsi="Arial" w:cs="Arial"/>
          <w:color w:val="000000" w:themeColor="text1"/>
          <w:sz w:val="20"/>
          <w:szCs w:val="20"/>
        </w:rPr>
        <w:t xml:space="preserve"> </w:t>
      </w:r>
      <w:r w:rsidR="00AD6BE7" w:rsidRPr="00A24062">
        <w:rPr>
          <w:rFonts w:ascii="Arial" w:hAnsi="Arial" w:cs="Arial"/>
          <w:color w:val="000000" w:themeColor="text1"/>
          <w:sz w:val="20"/>
          <w:szCs w:val="20"/>
        </w:rPr>
        <w:t xml:space="preserve">V postopkih, ki so bili razdeljeni na sklope, je bilo </w:t>
      </w:r>
      <w:r w:rsidRPr="00A24062">
        <w:rPr>
          <w:rFonts w:ascii="Arial" w:hAnsi="Arial" w:cs="Arial"/>
          <w:color w:val="000000" w:themeColor="text1"/>
          <w:sz w:val="20"/>
          <w:szCs w:val="20"/>
        </w:rPr>
        <w:t xml:space="preserve">največje </w:t>
      </w:r>
      <w:r w:rsidR="00AD6BE7" w:rsidRPr="00A24062">
        <w:rPr>
          <w:rFonts w:ascii="Arial" w:hAnsi="Arial" w:cs="Arial"/>
          <w:color w:val="000000" w:themeColor="text1"/>
          <w:sz w:val="20"/>
          <w:szCs w:val="20"/>
        </w:rPr>
        <w:t xml:space="preserve">povprečno število prejetih ponudb za naročilo </w:t>
      </w:r>
      <w:r w:rsidRPr="00A24062">
        <w:rPr>
          <w:rFonts w:ascii="Arial" w:hAnsi="Arial" w:cs="Arial"/>
          <w:color w:val="000000" w:themeColor="text1"/>
          <w:sz w:val="20"/>
          <w:szCs w:val="20"/>
        </w:rPr>
        <w:t>v postopkih</w:t>
      </w:r>
      <w:r w:rsidR="00882AF4" w:rsidRPr="00A24062">
        <w:rPr>
          <w:rFonts w:ascii="Arial" w:hAnsi="Arial" w:cs="Arial"/>
          <w:color w:val="000000" w:themeColor="text1"/>
          <w:sz w:val="20"/>
          <w:szCs w:val="20"/>
        </w:rPr>
        <w:t>,</w:t>
      </w:r>
      <w:r w:rsidR="00AD6BE7" w:rsidRPr="00A24062">
        <w:rPr>
          <w:rFonts w:ascii="Arial" w:hAnsi="Arial" w:cs="Arial"/>
          <w:color w:val="000000" w:themeColor="text1"/>
          <w:sz w:val="20"/>
          <w:szCs w:val="20"/>
        </w:rPr>
        <w:t xml:space="preserve"> razdeljenih na </w:t>
      </w:r>
      <w:r w:rsidR="0074700F" w:rsidRPr="00A24062">
        <w:rPr>
          <w:rFonts w:ascii="Arial" w:hAnsi="Arial" w:cs="Arial"/>
          <w:color w:val="000000" w:themeColor="text1"/>
          <w:sz w:val="20"/>
          <w:szCs w:val="20"/>
        </w:rPr>
        <w:t>41</w:t>
      </w:r>
      <w:r w:rsidR="001F5387" w:rsidRPr="00A24062">
        <w:rPr>
          <w:rFonts w:ascii="Arial" w:hAnsi="Arial" w:cs="Arial"/>
          <w:color w:val="000000" w:themeColor="text1"/>
          <w:sz w:val="20"/>
          <w:szCs w:val="20"/>
        </w:rPr>
        <w:t>–</w:t>
      </w:r>
      <w:r w:rsidR="0074700F" w:rsidRPr="00A24062">
        <w:rPr>
          <w:rFonts w:ascii="Arial" w:hAnsi="Arial" w:cs="Arial"/>
          <w:color w:val="000000" w:themeColor="text1"/>
          <w:sz w:val="20"/>
          <w:szCs w:val="20"/>
        </w:rPr>
        <w:t>60</w:t>
      </w:r>
      <w:r w:rsidR="0085369D" w:rsidRPr="00A24062">
        <w:rPr>
          <w:rFonts w:ascii="Arial" w:hAnsi="Arial" w:cs="Arial"/>
          <w:color w:val="000000" w:themeColor="text1"/>
          <w:sz w:val="20"/>
          <w:szCs w:val="20"/>
        </w:rPr>
        <w:t xml:space="preserve"> naročil</w:t>
      </w:r>
      <w:r w:rsidR="0074700F" w:rsidRPr="00A24062">
        <w:rPr>
          <w:rFonts w:ascii="Arial" w:hAnsi="Arial" w:cs="Arial"/>
          <w:color w:val="000000" w:themeColor="text1"/>
          <w:sz w:val="20"/>
          <w:szCs w:val="20"/>
        </w:rPr>
        <w:t xml:space="preserve">, </w:t>
      </w:r>
      <w:r w:rsidRPr="00A24062">
        <w:rPr>
          <w:rFonts w:ascii="Arial" w:hAnsi="Arial" w:cs="Arial"/>
          <w:color w:val="000000" w:themeColor="text1"/>
          <w:sz w:val="20"/>
          <w:szCs w:val="20"/>
        </w:rPr>
        <w:t>in sicer so naročniki prejeli</w:t>
      </w:r>
      <w:r w:rsidR="0063573B" w:rsidRPr="00A24062">
        <w:rPr>
          <w:rFonts w:ascii="Arial" w:hAnsi="Arial" w:cs="Arial"/>
          <w:color w:val="000000" w:themeColor="text1"/>
          <w:sz w:val="20"/>
          <w:szCs w:val="20"/>
        </w:rPr>
        <w:t xml:space="preserve"> </w:t>
      </w:r>
      <w:r w:rsidR="00AD6BE7" w:rsidRPr="00A24062">
        <w:rPr>
          <w:rFonts w:ascii="Arial" w:hAnsi="Arial" w:cs="Arial"/>
          <w:color w:val="000000" w:themeColor="text1"/>
          <w:sz w:val="20"/>
          <w:szCs w:val="20"/>
        </w:rPr>
        <w:t>2,</w:t>
      </w:r>
      <w:r w:rsidR="0074700F" w:rsidRPr="00A24062">
        <w:rPr>
          <w:rFonts w:ascii="Arial" w:hAnsi="Arial" w:cs="Arial"/>
          <w:color w:val="000000" w:themeColor="text1"/>
          <w:sz w:val="20"/>
          <w:szCs w:val="20"/>
        </w:rPr>
        <w:t>7</w:t>
      </w:r>
      <w:r w:rsidR="001A3829" w:rsidRPr="00A24062">
        <w:rPr>
          <w:rFonts w:ascii="Arial" w:hAnsi="Arial" w:cs="Arial"/>
          <w:color w:val="000000" w:themeColor="text1"/>
          <w:sz w:val="20"/>
          <w:szCs w:val="20"/>
        </w:rPr>
        <w:t xml:space="preserve"> </w:t>
      </w:r>
      <w:r w:rsidRPr="00A24062">
        <w:rPr>
          <w:rFonts w:ascii="Arial" w:hAnsi="Arial" w:cs="Arial"/>
          <w:color w:val="000000" w:themeColor="text1"/>
          <w:sz w:val="20"/>
          <w:szCs w:val="20"/>
        </w:rPr>
        <w:t>ponudbe, najmanj</w:t>
      </w:r>
      <w:r w:rsidR="00F91742" w:rsidRPr="00A24062">
        <w:rPr>
          <w:rFonts w:ascii="Arial" w:hAnsi="Arial" w:cs="Arial"/>
          <w:color w:val="000000" w:themeColor="text1"/>
          <w:sz w:val="20"/>
          <w:szCs w:val="20"/>
        </w:rPr>
        <w:t xml:space="preserve"> </w:t>
      </w:r>
      <w:r w:rsidR="00FD48CF" w:rsidRPr="00A24062">
        <w:rPr>
          <w:rFonts w:ascii="Arial" w:hAnsi="Arial" w:cs="Arial"/>
          <w:color w:val="000000" w:themeColor="text1"/>
          <w:sz w:val="20"/>
          <w:szCs w:val="20"/>
        </w:rPr>
        <w:t>prejetih ponudb</w:t>
      </w:r>
      <w:r w:rsidRPr="00A24062">
        <w:rPr>
          <w:rFonts w:ascii="Arial" w:hAnsi="Arial" w:cs="Arial"/>
          <w:color w:val="000000" w:themeColor="text1"/>
          <w:sz w:val="20"/>
          <w:szCs w:val="20"/>
        </w:rPr>
        <w:t xml:space="preserve"> pa</w:t>
      </w:r>
      <w:r w:rsidR="00FD48CF" w:rsidRPr="00A24062">
        <w:rPr>
          <w:rFonts w:ascii="Arial" w:hAnsi="Arial" w:cs="Arial"/>
          <w:color w:val="000000" w:themeColor="text1"/>
          <w:sz w:val="20"/>
          <w:szCs w:val="20"/>
        </w:rPr>
        <w:t xml:space="preserve"> je bilo</w:t>
      </w:r>
      <w:r w:rsidRPr="00A24062">
        <w:rPr>
          <w:rFonts w:ascii="Arial" w:hAnsi="Arial" w:cs="Arial"/>
          <w:color w:val="000000" w:themeColor="text1"/>
          <w:sz w:val="20"/>
          <w:szCs w:val="20"/>
        </w:rPr>
        <w:t xml:space="preserve"> pri postopk</w:t>
      </w:r>
      <w:r w:rsidR="00931B6E" w:rsidRPr="00A24062">
        <w:rPr>
          <w:rFonts w:ascii="Arial" w:hAnsi="Arial" w:cs="Arial"/>
          <w:color w:val="000000" w:themeColor="text1"/>
          <w:sz w:val="20"/>
          <w:szCs w:val="20"/>
        </w:rPr>
        <w:t>ih</w:t>
      </w:r>
      <w:r w:rsidRPr="00A24062">
        <w:rPr>
          <w:rFonts w:ascii="Arial" w:hAnsi="Arial" w:cs="Arial"/>
          <w:color w:val="000000" w:themeColor="text1"/>
          <w:sz w:val="20"/>
          <w:szCs w:val="20"/>
        </w:rPr>
        <w:t xml:space="preserve">, ki </w:t>
      </w:r>
      <w:r w:rsidR="00E63EE8" w:rsidRPr="00A24062">
        <w:rPr>
          <w:rFonts w:ascii="Arial" w:hAnsi="Arial" w:cs="Arial"/>
          <w:color w:val="000000" w:themeColor="text1"/>
          <w:sz w:val="20"/>
          <w:szCs w:val="20"/>
        </w:rPr>
        <w:t xml:space="preserve">so </w:t>
      </w:r>
      <w:r w:rsidR="00405C60" w:rsidRPr="00A24062">
        <w:rPr>
          <w:rFonts w:ascii="Arial" w:hAnsi="Arial" w:cs="Arial"/>
          <w:color w:val="000000" w:themeColor="text1"/>
          <w:sz w:val="20"/>
          <w:szCs w:val="20"/>
        </w:rPr>
        <w:t xml:space="preserve">bili razdeljeni na </w:t>
      </w:r>
      <w:r w:rsidR="0074700F" w:rsidRPr="00A24062">
        <w:rPr>
          <w:rFonts w:ascii="Arial" w:hAnsi="Arial" w:cs="Arial"/>
          <w:color w:val="000000" w:themeColor="text1"/>
          <w:sz w:val="20"/>
          <w:szCs w:val="20"/>
        </w:rPr>
        <w:t>101</w:t>
      </w:r>
      <w:r w:rsidR="00E239EB" w:rsidRPr="00A24062">
        <w:rPr>
          <w:rFonts w:ascii="Arial" w:hAnsi="Arial" w:cs="Arial"/>
          <w:color w:val="000000" w:themeColor="text1"/>
          <w:sz w:val="20"/>
          <w:szCs w:val="20"/>
        </w:rPr>
        <w:t>–</w:t>
      </w:r>
      <w:r w:rsidR="0053100B" w:rsidRPr="00A24062">
        <w:rPr>
          <w:rFonts w:ascii="Arial" w:hAnsi="Arial" w:cs="Arial"/>
          <w:color w:val="000000" w:themeColor="text1"/>
          <w:sz w:val="20"/>
          <w:szCs w:val="20"/>
        </w:rPr>
        <w:t>1</w:t>
      </w:r>
      <w:r w:rsidR="0074700F" w:rsidRPr="00A24062">
        <w:rPr>
          <w:rFonts w:ascii="Arial" w:hAnsi="Arial" w:cs="Arial"/>
          <w:color w:val="000000" w:themeColor="text1"/>
          <w:sz w:val="20"/>
          <w:szCs w:val="20"/>
        </w:rPr>
        <w:t>45</w:t>
      </w:r>
      <w:r w:rsidR="00E239EB" w:rsidRPr="00A24062">
        <w:rPr>
          <w:rFonts w:ascii="Arial" w:hAnsi="Arial" w:cs="Arial"/>
          <w:color w:val="000000" w:themeColor="text1"/>
          <w:sz w:val="20"/>
          <w:szCs w:val="20"/>
        </w:rPr>
        <w:t xml:space="preserve"> naročil</w:t>
      </w:r>
      <w:r w:rsidR="0085369D" w:rsidRPr="00A24062">
        <w:rPr>
          <w:rFonts w:ascii="Arial" w:hAnsi="Arial" w:cs="Arial"/>
          <w:color w:val="000000" w:themeColor="text1"/>
          <w:sz w:val="20"/>
          <w:szCs w:val="20"/>
        </w:rPr>
        <w:t xml:space="preserve">, in sicer </w:t>
      </w:r>
      <w:r w:rsidR="0074700F" w:rsidRPr="00A24062">
        <w:rPr>
          <w:rFonts w:ascii="Arial" w:hAnsi="Arial" w:cs="Arial"/>
          <w:color w:val="000000" w:themeColor="text1"/>
          <w:sz w:val="20"/>
          <w:szCs w:val="20"/>
        </w:rPr>
        <w:t>2,2</w:t>
      </w:r>
      <w:r w:rsidR="00E239EB" w:rsidRPr="00A24062">
        <w:rPr>
          <w:rFonts w:ascii="Arial" w:hAnsi="Arial" w:cs="Arial"/>
          <w:color w:val="000000" w:themeColor="text1"/>
          <w:sz w:val="20"/>
          <w:szCs w:val="20"/>
        </w:rPr>
        <w:t xml:space="preserve"> ponudb</w:t>
      </w:r>
      <w:r w:rsidR="00E57986" w:rsidRPr="00A24062">
        <w:rPr>
          <w:rFonts w:ascii="Arial" w:hAnsi="Arial" w:cs="Arial"/>
          <w:color w:val="000000" w:themeColor="text1"/>
          <w:sz w:val="20"/>
          <w:szCs w:val="20"/>
        </w:rPr>
        <w:t>e</w:t>
      </w:r>
      <w:r w:rsidR="00ED4CE1" w:rsidRPr="00A24062">
        <w:rPr>
          <w:rFonts w:ascii="Arial" w:hAnsi="Arial" w:cs="Arial"/>
          <w:color w:val="000000" w:themeColor="text1"/>
          <w:sz w:val="20"/>
          <w:szCs w:val="20"/>
        </w:rPr>
        <w:t>.</w:t>
      </w:r>
      <w:r w:rsidRPr="00A24062">
        <w:rPr>
          <w:rFonts w:ascii="Arial" w:hAnsi="Arial" w:cs="Arial"/>
          <w:color w:val="000000" w:themeColor="text1"/>
          <w:sz w:val="20"/>
          <w:szCs w:val="20"/>
        </w:rPr>
        <w:t xml:space="preserve"> </w:t>
      </w:r>
    </w:p>
    <w:p w14:paraId="07842A9D" w14:textId="79FA697B" w:rsidR="00623009" w:rsidRPr="00A24062" w:rsidRDefault="00623009" w:rsidP="00E9417B">
      <w:pPr>
        <w:tabs>
          <w:tab w:val="left" w:pos="567"/>
          <w:tab w:val="left" w:pos="993"/>
        </w:tabs>
        <w:spacing w:after="0" w:line="360" w:lineRule="auto"/>
        <w:jc w:val="both"/>
        <w:rPr>
          <w:rFonts w:ascii="Arial" w:hAnsi="Arial" w:cs="Arial"/>
          <w:color w:val="000000" w:themeColor="text1"/>
          <w:sz w:val="20"/>
        </w:rPr>
      </w:pPr>
      <w:r w:rsidRPr="00A24062">
        <w:rPr>
          <w:rFonts w:ascii="Arial" w:hAnsi="Arial" w:cs="Arial"/>
          <w:color w:val="000000" w:themeColor="text1"/>
          <w:sz w:val="20"/>
        </w:rPr>
        <w:t xml:space="preserve">Preglednica </w:t>
      </w:r>
      <w:r w:rsidR="00274CE8" w:rsidRPr="00A24062">
        <w:rPr>
          <w:rFonts w:ascii="Arial" w:hAnsi="Arial" w:cs="Arial"/>
          <w:color w:val="000000" w:themeColor="text1"/>
          <w:sz w:val="20"/>
        </w:rPr>
        <w:t>30</w:t>
      </w:r>
      <w:r w:rsidRPr="00A24062">
        <w:rPr>
          <w:rFonts w:ascii="Arial" w:hAnsi="Arial" w:cs="Arial"/>
          <w:color w:val="000000" w:themeColor="text1"/>
          <w:sz w:val="20"/>
        </w:rPr>
        <w:t xml:space="preserve">: </w:t>
      </w:r>
      <w:r w:rsidR="00771E42" w:rsidRPr="00A24062">
        <w:rPr>
          <w:rFonts w:ascii="Arial" w:hAnsi="Arial" w:cs="Arial"/>
          <w:color w:val="000000" w:themeColor="text1"/>
          <w:sz w:val="20"/>
        </w:rPr>
        <w:t>Število naročil v postopku, njihova vrednost in deleži ter povprečno število prejetih ponudb</w:t>
      </w:r>
    </w:p>
    <w:tbl>
      <w:tblPr>
        <w:tblW w:w="8910" w:type="dxa"/>
        <w:jc w:val="center"/>
        <w:tblCellMar>
          <w:left w:w="70" w:type="dxa"/>
          <w:right w:w="70" w:type="dxa"/>
        </w:tblCellMar>
        <w:tblLook w:val="04A0" w:firstRow="1" w:lastRow="0" w:firstColumn="1" w:lastColumn="0" w:noHBand="0" w:noVBand="1"/>
      </w:tblPr>
      <w:tblGrid>
        <w:gridCol w:w="1271"/>
        <w:gridCol w:w="1418"/>
        <w:gridCol w:w="1984"/>
        <w:gridCol w:w="1418"/>
        <w:gridCol w:w="1275"/>
        <w:gridCol w:w="1544"/>
      </w:tblGrid>
      <w:tr w:rsidR="009A140F" w:rsidRPr="00A24062" w14:paraId="5E27F38A" w14:textId="77777777" w:rsidTr="00CD447F">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89A5BA" w14:textId="77777777" w:rsidR="00AD6BE7" w:rsidRPr="00A24062" w:rsidRDefault="00AD6BE7" w:rsidP="00AD6BE7">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Št. naročil v postopku</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A7BD5E" w14:textId="77777777" w:rsidR="00AD6BE7" w:rsidRPr="00A24062" w:rsidRDefault="00AD6BE7" w:rsidP="00AD6BE7">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Št. postopkov</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188F1A" w14:textId="3426E636" w:rsidR="00AD6BE7" w:rsidRPr="00A24062" w:rsidRDefault="00AD6BE7" w:rsidP="00AD6BE7">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Pogodbena vrednos</w:t>
            </w:r>
            <w:r w:rsidR="00E239EB" w:rsidRPr="00A24062">
              <w:rPr>
                <w:rFonts w:ascii="Arial" w:eastAsia="Times New Roman" w:hAnsi="Arial" w:cs="Arial"/>
                <w:color w:val="000000" w:themeColor="text1"/>
                <w:sz w:val="18"/>
                <w:szCs w:val="18"/>
                <w:lang w:eastAsia="sl-SI"/>
              </w:rPr>
              <w:t>t</w:t>
            </w:r>
            <w:r w:rsidR="00F36C50" w:rsidRPr="00A24062">
              <w:rPr>
                <w:rFonts w:ascii="Arial" w:eastAsia="Times New Roman" w:hAnsi="Arial" w:cs="Arial"/>
                <w:color w:val="000000" w:themeColor="text1"/>
                <w:sz w:val="18"/>
                <w:szCs w:val="18"/>
                <w:lang w:eastAsia="sl-SI"/>
              </w:rPr>
              <w:t xml:space="preserve"> (v EUR)</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3684A8" w14:textId="77777777" w:rsidR="00AD6BE7" w:rsidRPr="00A24062" w:rsidRDefault="00AD6BE7" w:rsidP="00AD6BE7">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Delež v št. postopkov</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8BDAF3" w14:textId="77777777" w:rsidR="00AD6BE7" w:rsidRPr="00A24062" w:rsidRDefault="00AD6BE7" w:rsidP="00AD6BE7">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Delež v vrednosti</w:t>
            </w:r>
          </w:p>
        </w:tc>
        <w:tc>
          <w:tcPr>
            <w:tcW w:w="15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5B85C6" w14:textId="77777777" w:rsidR="00AD6BE7" w:rsidRPr="00A24062" w:rsidRDefault="00AD6BE7" w:rsidP="00AD6BE7">
            <w:pPr>
              <w:spacing w:after="0" w:line="240" w:lineRule="auto"/>
              <w:jc w:val="center"/>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Povprečno št. prejetih ponudb</w:t>
            </w:r>
          </w:p>
        </w:tc>
      </w:tr>
      <w:tr w:rsidR="00A24062" w:rsidRPr="00A24062" w14:paraId="6093B931" w14:textId="77777777" w:rsidTr="0074700F">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DB6E3A7" w14:textId="77777777" w:rsidR="00A24062" w:rsidRPr="00A24062" w:rsidRDefault="00A24062" w:rsidP="00A24062">
            <w:pPr>
              <w:spacing w:after="0" w:line="240" w:lineRule="auto"/>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1</w:t>
            </w:r>
          </w:p>
        </w:tc>
        <w:tc>
          <w:tcPr>
            <w:tcW w:w="1418" w:type="dxa"/>
            <w:tcBorders>
              <w:top w:val="nil"/>
              <w:left w:val="nil"/>
              <w:bottom w:val="single" w:sz="4" w:space="0" w:color="auto"/>
              <w:right w:val="single" w:sz="4" w:space="0" w:color="auto"/>
            </w:tcBorders>
            <w:shd w:val="clear" w:color="auto" w:fill="auto"/>
            <w:vAlign w:val="center"/>
            <w:hideMark/>
          </w:tcPr>
          <w:p w14:paraId="2C485470" w14:textId="21F20CBB"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5.412</w:t>
            </w:r>
          </w:p>
        </w:tc>
        <w:tc>
          <w:tcPr>
            <w:tcW w:w="1984" w:type="dxa"/>
            <w:tcBorders>
              <w:top w:val="nil"/>
              <w:left w:val="nil"/>
              <w:bottom w:val="single" w:sz="4" w:space="0" w:color="auto"/>
              <w:right w:val="single" w:sz="4" w:space="0" w:color="auto"/>
            </w:tcBorders>
            <w:shd w:val="clear" w:color="auto" w:fill="auto"/>
            <w:vAlign w:val="center"/>
            <w:hideMark/>
          </w:tcPr>
          <w:p w14:paraId="6DDC0D33" w14:textId="6D8DF232"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bookmarkStart w:id="34" w:name="_Hlk176329365"/>
            <w:r w:rsidRPr="00A24062">
              <w:rPr>
                <w:rFonts w:ascii="Arial" w:eastAsia="Times New Roman" w:hAnsi="Arial" w:cs="Arial"/>
                <w:color w:val="000000" w:themeColor="text1"/>
                <w:sz w:val="18"/>
                <w:szCs w:val="18"/>
                <w:lang w:eastAsia="sl-SI"/>
              </w:rPr>
              <w:t>3.764.983.319</w:t>
            </w:r>
            <w:bookmarkEnd w:id="34"/>
          </w:p>
        </w:tc>
        <w:tc>
          <w:tcPr>
            <w:tcW w:w="1418" w:type="dxa"/>
            <w:tcBorders>
              <w:top w:val="nil"/>
              <w:left w:val="nil"/>
              <w:bottom w:val="single" w:sz="4" w:space="0" w:color="auto"/>
              <w:right w:val="single" w:sz="4" w:space="0" w:color="auto"/>
            </w:tcBorders>
            <w:shd w:val="clear" w:color="auto" w:fill="auto"/>
            <w:vAlign w:val="center"/>
          </w:tcPr>
          <w:p w14:paraId="2DF3466E" w14:textId="3E56DC07"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75,69 %</w:t>
            </w:r>
          </w:p>
        </w:tc>
        <w:tc>
          <w:tcPr>
            <w:tcW w:w="1275" w:type="dxa"/>
            <w:tcBorders>
              <w:top w:val="nil"/>
              <w:left w:val="nil"/>
              <w:bottom w:val="single" w:sz="4" w:space="0" w:color="auto"/>
              <w:right w:val="single" w:sz="4" w:space="0" w:color="auto"/>
            </w:tcBorders>
            <w:shd w:val="clear" w:color="auto" w:fill="auto"/>
            <w:vAlign w:val="center"/>
          </w:tcPr>
          <w:p w14:paraId="68E1A8D3" w14:textId="3518F4B7"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60,41 %</w:t>
            </w:r>
          </w:p>
        </w:tc>
        <w:tc>
          <w:tcPr>
            <w:tcW w:w="1544" w:type="dxa"/>
            <w:tcBorders>
              <w:top w:val="nil"/>
              <w:left w:val="nil"/>
              <w:bottom w:val="single" w:sz="4" w:space="0" w:color="auto"/>
              <w:right w:val="single" w:sz="4" w:space="0" w:color="auto"/>
            </w:tcBorders>
            <w:shd w:val="clear" w:color="auto" w:fill="auto"/>
            <w:vAlign w:val="center"/>
          </w:tcPr>
          <w:p w14:paraId="34168FB4" w14:textId="77F0831C"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2,2</w:t>
            </w:r>
          </w:p>
        </w:tc>
      </w:tr>
      <w:tr w:rsidR="00A24062" w:rsidRPr="00A24062" w14:paraId="6C141CA0" w14:textId="77777777" w:rsidTr="0074700F">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346D9C" w14:textId="2A34759E" w:rsidR="00A24062" w:rsidRPr="00A24062" w:rsidRDefault="00A24062" w:rsidP="00A24062">
            <w:pPr>
              <w:spacing w:after="0" w:line="240" w:lineRule="auto"/>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2–10</w:t>
            </w:r>
          </w:p>
        </w:tc>
        <w:tc>
          <w:tcPr>
            <w:tcW w:w="1418" w:type="dxa"/>
            <w:tcBorders>
              <w:top w:val="nil"/>
              <w:left w:val="nil"/>
              <w:bottom w:val="single" w:sz="4" w:space="0" w:color="auto"/>
              <w:right w:val="single" w:sz="4" w:space="0" w:color="auto"/>
            </w:tcBorders>
            <w:shd w:val="clear" w:color="auto" w:fill="auto"/>
            <w:vAlign w:val="center"/>
            <w:hideMark/>
          </w:tcPr>
          <w:p w14:paraId="5C5DC739" w14:textId="3BF15176"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1.431</w:t>
            </w:r>
          </w:p>
        </w:tc>
        <w:tc>
          <w:tcPr>
            <w:tcW w:w="1984" w:type="dxa"/>
            <w:tcBorders>
              <w:top w:val="nil"/>
              <w:left w:val="nil"/>
              <w:bottom w:val="single" w:sz="4" w:space="0" w:color="auto"/>
              <w:right w:val="single" w:sz="4" w:space="0" w:color="auto"/>
            </w:tcBorders>
            <w:shd w:val="clear" w:color="auto" w:fill="auto"/>
            <w:vAlign w:val="center"/>
            <w:hideMark/>
          </w:tcPr>
          <w:p w14:paraId="14B0AF79" w14:textId="00D97E56"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1.338.848.405</w:t>
            </w:r>
          </w:p>
        </w:tc>
        <w:tc>
          <w:tcPr>
            <w:tcW w:w="1418" w:type="dxa"/>
            <w:tcBorders>
              <w:top w:val="nil"/>
              <w:left w:val="nil"/>
              <w:bottom w:val="single" w:sz="4" w:space="0" w:color="auto"/>
              <w:right w:val="single" w:sz="4" w:space="0" w:color="auto"/>
            </w:tcBorders>
            <w:shd w:val="clear" w:color="auto" w:fill="auto"/>
            <w:vAlign w:val="center"/>
          </w:tcPr>
          <w:p w14:paraId="59487FA9" w14:textId="1AE008B7"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20,01 %</w:t>
            </w:r>
          </w:p>
        </w:tc>
        <w:tc>
          <w:tcPr>
            <w:tcW w:w="1275" w:type="dxa"/>
            <w:tcBorders>
              <w:top w:val="nil"/>
              <w:left w:val="nil"/>
              <w:bottom w:val="single" w:sz="4" w:space="0" w:color="auto"/>
              <w:right w:val="single" w:sz="4" w:space="0" w:color="auto"/>
            </w:tcBorders>
            <w:shd w:val="clear" w:color="auto" w:fill="auto"/>
            <w:vAlign w:val="center"/>
          </w:tcPr>
          <w:p w14:paraId="4D5653E8" w14:textId="67189D8F"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21,48 %</w:t>
            </w:r>
          </w:p>
        </w:tc>
        <w:tc>
          <w:tcPr>
            <w:tcW w:w="1544" w:type="dxa"/>
            <w:tcBorders>
              <w:top w:val="nil"/>
              <w:left w:val="nil"/>
              <w:bottom w:val="single" w:sz="4" w:space="0" w:color="auto"/>
              <w:right w:val="single" w:sz="4" w:space="0" w:color="auto"/>
            </w:tcBorders>
            <w:shd w:val="clear" w:color="auto" w:fill="auto"/>
            <w:vAlign w:val="center"/>
          </w:tcPr>
          <w:p w14:paraId="03DDB923" w14:textId="24007995"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2,5</w:t>
            </w:r>
          </w:p>
        </w:tc>
      </w:tr>
      <w:tr w:rsidR="00A24062" w:rsidRPr="00A24062" w14:paraId="4039F237" w14:textId="77777777" w:rsidTr="0074700F">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A9B06B5" w14:textId="758A7E81" w:rsidR="00A24062" w:rsidRPr="00A24062" w:rsidRDefault="00A24062" w:rsidP="00A24062">
            <w:pPr>
              <w:spacing w:after="0" w:line="240" w:lineRule="auto"/>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11–20</w:t>
            </w:r>
          </w:p>
        </w:tc>
        <w:tc>
          <w:tcPr>
            <w:tcW w:w="1418" w:type="dxa"/>
            <w:tcBorders>
              <w:top w:val="nil"/>
              <w:left w:val="nil"/>
              <w:bottom w:val="single" w:sz="4" w:space="0" w:color="auto"/>
              <w:right w:val="single" w:sz="4" w:space="0" w:color="auto"/>
            </w:tcBorders>
            <w:shd w:val="clear" w:color="auto" w:fill="auto"/>
            <w:vAlign w:val="center"/>
            <w:hideMark/>
          </w:tcPr>
          <w:p w14:paraId="085D2CD7" w14:textId="32231275"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214</w:t>
            </w:r>
          </w:p>
        </w:tc>
        <w:tc>
          <w:tcPr>
            <w:tcW w:w="1984" w:type="dxa"/>
            <w:tcBorders>
              <w:top w:val="nil"/>
              <w:left w:val="nil"/>
              <w:bottom w:val="single" w:sz="4" w:space="0" w:color="auto"/>
              <w:right w:val="single" w:sz="4" w:space="0" w:color="auto"/>
            </w:tcBorders>
            <w:shd w:val="clear" w:color="auto" w:fill="auto"/>
            <w:vAlign w:val="center"/>
            <w:hideMark/>
          </w:tcPr>
          <w:p w14:paraId="798DFAD6" w14:textId="0267C143"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928.799.415</w:t>
            </w:r>
          </w:p>
        </w:tc>
        <w:tc>
          <w:tcPr>
            <w:tcW w:w="1418" w:type="dxa"/>
            <w:tcBorders>
              <w:top w:val="nil"/>
              <w:left w:val="nil"/>
              <w:bottom w:val="single" w:sz="4" w:space="0" w:color="auto"/>
              <w:right w:val="single" w:sz="4" w:space="0" w:color="auto"/>
            </w:tcBorders>
            <w:shd w:val="clear" w:color="auto" w:fill="auto"/>
            <w:vAlign w:val="center"/>
          </w:tcPr>
          <w:p w14:paraId="56DCCF90" w14:textId="51F45E0F"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2,99 %</w:t>
            </w:r>
          </w:p>
        </w:tc>
        <w:tc>
          <w:tcPr>
            <w:tcW w:w="1275" w:type="dxa"/>
            <w:tcBorders>
              <w:top w:val="nil"/>
              <w:left w:val="nil"/>
              <w:bottom w:val="single" w:sz="4" w:space="0" w:color="auto"/>
              <w:right w:val="single" w:sz="4" w:space="0" w:color="auto"/>
            </w:tcBorders>
            <w:shd w:val="clear" w:color="auto" w:fill="auto"/>
            <w:vAlign w:val="center"/>
          </w:tcPr>
          <w:p w14:paraId="7013AFD6" w14:textId="112EEFD3"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14,90 %</w:t>
            </w:r>
          </w:p>
        </w:tc>
        <w:tc>
          <w:tcPr>
            <w:tcW w:w="1544" w:type="dxa"/>
            <w:tcBorders>
              <w:top w:val="nil"/>
              <w:left w:val="nil"/>
              <w:bottom w:val="single" w:sz="4" w:space="0" w:color="auto"/>
              <w:right w:val="single" w:sz="4" w:space="0" w:color="auto"/>
            </w:tcBorders>
            <w:shd w:val="clear" w:color="auto" w:fill="auto"/>
            <w:vAlign w:val="center"/>
          </w:tcPr>
          <w:p w14:paraId="3E4D8D7E" w14:textId="30840645"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2,6</w:t>
            </w:r>
          </w:p>
        </w:tc>
      </w:tr>
      <w:tr w:rsidR="00A24062" w:rsidRPr="00A24062" w14:paraId="00FE7DCA" w14:textId="77777777" w:rsidTr="0074700F">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A0E00D9" w14:textId="5D24142C" w:rsidR="00A24062" w:rsidRPr="00A24062" w:rsidRDefault="00A24062" w:rsidP="00A24062">
            <w:pPr>
              <w:spacing w:after="0" w:line="240" w:lineRule="auto"/>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21–40</w:t>
            </w:r>
          </w:p>
        </w:tc>
        <w:tc>
          <w:tcPr>
            <w:tcW w:w="1418" w:type="dxa"/>
            <w:tcBorders>
              <w:top w:val="nil"/>
              <w:left w:val="nil"/>
              <w:bottom w:val="single" w:sz="4" w:space="0" w:color="auto"/>
              <w:right w:val="single" w:sz="4" w:space="0" w:color="auto"/>
            </w:tcBorders>
            <w:shd w:val="clear" w:color="auto" w:fill="auto"/>
            <w:vAlign w:val="center"/>
            <w:hideMark/>
          </w:tcPr>
          <w:p w14:paraId="564348A4" w14:textId="6466555E"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78</w:t>
            </w:r>
          </w:p>
        </w:tc>
        <w:tc>
          <w:tcPr>
            <w:tcW w:w="1984" w:type="dxa"/>
            <w:tcBorders>
              <w:top w:val="nil"/>
              <w:left w:val="nil"/>
              <w:bottom w:val="single" w:sz="4" w:space="0" w:color="auto"/>
              <w:right w:val="single" w:sz="4" w:space="0" w:color="auto"/>
            </w:tcBorders>
            <w:shd w:val="clear" w:color="auto" w:fill="auto"/>
            <w:vAlign w:val="center"/>
            <w:hideMark/>
          </w:tcPr>
          <w:p w14:paraId="6E46A42D" w14:textId="1320A8E4"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135.351.663</w:t>
            </w:r>
          </w:p>
        </w:tc>
        <w:tc>
          <w:tcPr>
            <w:tcW w:w="1418" w:type="dxa"/>
            <w:tcBorders>
              <w:top w:val="nil"/>
              <w:left w:val="nil"/>
              <w:bottom w:val="single" w:sz="4" w:space="0" w:color="auto"/>
              <w:right w:val="single" w:sz="4" w:space="0" w:color="auto"/>
            </w:tcBorders>
            <w:shd w:val="clear" w:color="auto" w:fill="auto"/>
            <w:vAlign w:val="center"/>
          </w:tcPr>
          <w:p w14:paraId="27154211" w14:textId="06B4F15C"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1,09 %</w:t>
            </w:r>
          </w:p>
        </w:tc>
        <w:tc>
          <w:tcPr>
            <w:tcW w:w="1275" w:type="dxa"/>
            <w:tcBorders>
              <w:top w:val="nil"/>
              <w:left w:val="nil"/>
              <w:bottom w:val="single" w:sz="4" w:space="0" w:color="auto"/>
              <w:right w:val="single" w:sz="4" w:space="0" w:color="auto"/>
            </w:tcBorders>
            <w:shd w:val="clear" w:color="auto" w:fill="auto"/>
            <w:vAlign w:val="center"/>
          </w:tcPr>
          <w:p w14:paraId="7594596B" w14:textId="0943449B"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2,17 %</w:t>
            </w:r>
          </w:p>
        </w:tc>
        <w:tc>
          <w:tcPr>
            <w:tcW w:w="1544" w:type="dxa"/>
            <w:tcBorders>
              <w:top w:val="nil"/>
              <w:left w:val="nil"/>
              <w:bottom w:val="single" w:sz="4" w:space="0" w:color="auto"/>
              <w:right w:val="single" w:sz="4" w:space="0" w:color="auto"/>
            </w:tcBorders>
            <w:shd w:val="clear" w:color="auto" w:fill="auto"/>
            <w:vAlign w:val="center"/>
          </w:tcPr>
          <w:p w14:paraId="57375681" w14:textId="19E0DFEE"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2,5</w:t>
            </w:r>
          </w:p>
        </w:tc>
      </w:tr>
      <w:tr w:rsidR="00A24062" w:rsidRPr="00A24062" w14:paraId="70715E18" w14:textId="77777777" w:rsidTr="0074700F">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E2C6994" w14:textId="65334007" w:rsidR="00A24062" w:rsidRPr="00A24062" w:rsidRDefault="00A24062" w:rsidP="00A24062">
            <w:pPr>
              <w:spacing w:after="0" w:line="240" w:lineRule="auto"/>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41–60</w:t>
            </w:r>
          </w:p>
        </w:tc>
        <w:tc>
          <w:tcPr>
            <w:tcW w:w="1418" w:type="dxa"/>
            <w:tcBorders>
              <w:top w:val="nil"/>
              <w:left w:val="nil"/>
              <w:bottom w:val="single" w:sz="4" w:space="0" w:color="auto"/>
              <w:right w:val="single" w:sz="4" w:space="0" w:color="auto"/>
            </w:tcBorders>
            <w:shd w:val="clear" w:color="auto" w:fill="auto"/>
            <w:vAlign w:val="center"/>
            <w:hideMark/>
          </w:tcPr>
          <w:p w14:paraId="48DB1946" w14:textId="2EA23807"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8</w:t>
            </w:r>
          </w:p>
        </w:tc>
        <w:tc>
          <w:tcPr>
            <w:tcW w:w="1984" w:type="dxa"/>
            <w:tcBorders>
              <w:top w:val="nil"/>
              <w:left w:val="nil"/>
              <w:bottom w:val="single" w:sz="4" w:space="0" w:color="auto"/>
              <w:right w:val="single" w:sz="4" w:space="0" w:color="auto"/>
            </w:tcBorders>
            <w:shd w:val="clear" w:color="auto" w:fill="auto"/>
            <w:vAlign w:val="center"/>
            <w:hideMark/>
          </w:tcPr>
          <w:p w14:paraId="186574D0" w14:textId="5F2C6C63"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10.437.090</w:t>
            </w:r>
          </w:p>
        </w:tc>
        <w:tc>
          <w:tcPr>
            <w:tcW w:w="1418" w:type="dxa"/>
            <w:tcBorders>
              <w:top w:val="nil"/>
              <w:left w:val="nil"/>
              <w:bottom w:val="single" w:sz="4" w:space="0" w:color="auto"/>
              <w:right w:val="single" w:sz="4" w:space="0" w:color="auto"/>
            </w:tcBorders>
            <w:shd w:val="clear" w:color="auto" w:fill="auto"/>
            <w:vAlign w:val="center"/>
          </w:tcPr>
          <w:p w14:paraId="073F1600" w14:textId="74F4EA03"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0,11 %</w:t>
            </w:r>
          </w:p>
        </w:tc>
        <w:tc>
          <w:tcPr>
            <w:tcW w:w="1275" w:type="dxa"/>
            <w:tcBorders>
              <w:top w:val="nil"/>
              <w:left w:val="nil"/>
              <w:bottom w:val="single" w:sz="4" w:space="0" w:color="auto"/>
              <w:right w:val="single" w:sz="4" w:space="0" w:color="auto"/>
            </w:tcBorders>
            <w:shd w:val="clear" w:color="auto" w:fill="auto"/>
            <w:vAlign w:val="center"/>
          </w:tcPr>
          <w:p w14:paraId="1A3BA796" w14:textId="2651B011"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0,17 %</w:t>
            </w:r>
          </w:p>
        </w:tc>
        <w:tc>
          <w:tcPr>
            <w:tcW w:w="1544" w:type="dxa"/>
            <w:tcBorders>
              <w:top w:val="nil"/>
              <w:left w:val="nil"/>
              <w:bottom w:val="single" w:sz="4" w:space="0" w:color="auto"/>
              <w:right w:val="single" w:sz="4" w:space="0" w:color="auto"/>
            </w:tcBorders>
            <w:shd w:val="clear" w:color="auto" w:fill="auto"/>
            <w:vAlign w:val="center"/>
          </w:tcPr>
          <w:p w14:paraId="7D98F80F" w14:textId="24EDF540"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2,7</w:t>
            </w:r>
          </w:p>
        </w:tc>
      </w:tr>
      <w:tr w:rsidR="00A24062" w:rsidRPr="00A24062" w14:paraId="20799E6D" w14:textId="77777777" w:rsidTr="0074700F">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1D8E9CEA" w14:textId="51387241" w:rsidR="00A24062" w:rsidRPr="00A24062" w:rsidRDefault="00A24062" w:rsidP="00A24062">
            <w:pPr>
              <w:spacing w:after="0" w:line="240" w:lineRule="auto"/>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61-100</w:t>
            </w:r>
          </w:p>
        </w:tc>
        <w:tc>
          <w:tcPr>
            <w:tcW w:w="1418" w:type="dxa"/>
            <w:tcBorders>
              <w:top w:val="nil"/>
              <w:left w:val="nil"/>
              <w:bottom w:val="single" w:sz="4" w:space="0" w:color="auto"/>
              <w:right w:val="single" w:sz="4" w:space="0" w:color="auto"/>
            </w:tcBorders>
            <w:shd w:val="clear" w:color="auto" w:fill="auto"/>
            <w:vAlign w:val="center"/>
          </w:tcPr>
          <w:p w14:paraId="03267056" w14:textId="79387F39"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5</w:t>
            </w:r>
          </w:p>
        </w:tc>
        <w:tc>
          <w:tcPr>
            <w:tcW w:w="1984" w:type="dxa"/>
            <w:tcBorders>
              <w:top w:val="nil"/>
              <w:left w:val="nil"/>
              <w:bottom w:val="single" w:sz="4" w:space="0" w:color="auto"/>
              <w:right w:val="single" w:sz="4" w:space="0" w:color="auto"/>
            </w:tcBorders>
            <w:shd w:val="clear" w:color="auto" w:fill="auto"/>
            <w:vAlign w:val="center"/>
          </w:tcPr>
          <w:p w14:paraId="74B056F9" w14:textId="515B1A31"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46.942.713</w:t>
            </w:r>
          </w:p>
        </w:tc>
        <w:tc>
          <w:tcPr>
            <w:tcW w:w="1418" w:type="dxa"/>
            <w:tcBorders>
              <w:top w:val="nil"/>
              <w:left w:val="nil"/>
              <w:bottom w:val="single" w:sz="4" w:space="0" w:color="auto"/>
              <w:right w:val="single" w:sz="4" w:space="0" w:color="auto"/>
            </w:tcBorders>
            <w:shd w:val="clear" w:color="auto" w:fill="auto"/>
            <w:vAlign w:val="center"/>
          </w:tcPr>
          <w:p w14:paraId="2C059675" w14:textId="6CC8B58A"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0,07 %</w:t>
            </w:r>
          </w:p>
        </w:tc>
        <w:tc>
          <w:tcPr>
            <w:tcW w:w="1275" w:type="dxa"/>
            <w:tcBorders>
              <w:top w:val="nil"/>
              <w:left w:val="nil"/>
              <w:bottom w:val="single" w:sz="4" w:space="0" w:color="auto"/>
              <w:right w:val="single" w:sz="4" w:space="0" w:color="auto"/>
            </w:tcBorders>
            <w:shd w:val="clear" w:color="auto" w:fill="auto"/>
            <w:vAlign w:val="center"/>
          </w:tcPr>
          <w:p w14:paraId="6D69C49E" w14:textId="145BF64A"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0,75 %</w:t>
            </w:r>
          </w:p>
        </w:tc>
        <w:tc>
          <w:tcPr>
            <w:tcW w:w="1544" w:type="dxa"/>
            <w:tcBorders>
              <w:top w:val="nil"/>
              <w:left w:val="nil"/>
              <w:bottom w:val="single" w:sz="4" w:space="0" w:color="auto"/>
              <w:right w:val="single" w:sz="4" w:space="0" w:color="auto"/>
            </w:tcBorders>
            <w:shd w:val="clear" w:color="auto" w:fill="auto"/>
            <w:vAlign w:val="center"/>
          </w:tcPr>
          <w:p w14:paraId="0DA8D17F" w14:textId="55639D2D"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2,5</w:t>
            </w:r>
          </w:p>
        </w:tc>
      </w:tr>
      <w:tr w:rsidR="00A24062" w:rsidRPr="00A24062" w14:paraId="39C07FC5" w14:textId="77777777" w:rsidTr="0074700F">
        <w:trPr>
          <w:trHeight w:val="255"/>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833A84B" w14:textId="47EB34DC" w:rsidR="00A24062" w:rsidRPr="00A24062" w:rsidRDefault="00A24062" w:rsidP="00A24062">
            <w:pPr>
              <w:spacing w:after="0" w:line="240" w:lineRule="auto"/>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101–145</w:t>
            </w:r>
          </w:p>
        </w:tc>
        <w:tc>
          <w:tcPr>
            <w:tcW w:w="1418" w:type="dxa"/>
            <w:tcBorders>
              <w:top w:val="nil"/>
              <w:left w:val="nil"/>
              <w:bottom w:val="single" w:sz="4" w:space="0" w:color="auto"/>
              <w:right w:val="single" w:sz="4" w:space="0" w:color="auto"/>
            </w:tcBorders>
            <w:shd w:val="clear" w:color="auto" w:fill="auto"/>
            <w:vAlign w:val="center"/>
            <w:hideMark/>
          </w:tcPr>
          <w:p w14:paraId="00CC1C8B" w14:textId="143F56AA"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w:t>
            </w:r>
          </w:p>
        </w:tc>
        <w:tc>
          <w:tcPr>
            <w:tcW w:w="1984" w:type="dxa"/>
            <w:tcBorders>
              <w:top w:val="nil"/>
              <w:left w:val="nil"/>
              <w:bottom w:val="single" w:sz="4" w:space="0" w:color="auto"/>
              <w:right w:val="single" w:sz="4" w:space="0" w:color="auto"/>
            </w:tcBorders>
            <w:shd w:val="clear" w:color="auto" w:fill="auto"/>
            <w:vAlign w:val="center"/>
            <w:hideMark/>
          </w:tcPr>
          <w:p w14:paraId="316FA510" w14:textId="69BCE433"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bookmarkStart w:id="35" w:name="_Hlk175306493"/>
            <w:r w:rsidRPr="00A24062">
              <w:rPr>
                <w:rFonts w:ascii="Arial" w:eastAsia="Times New Roman" w:hAnsi="Arial" w:cs="Arial"/>
                <w:color w:val="000000" w:themeColor="text1"/>
                <w:sz w:val="18"/>
                <w:szCs w:val="18"/>
                <w:lang w:eastAsia="sl-SI"/>
              </w:rPr>
              <w:t>6.888.364</w:t>
            </w:r>
            <w:bookmarkEnd w:id="35"/>
          </w:p>
        </w:tc>
        <w:tc>
          <w:tcPr>
            <w:tcW w:w="1418" w:type="dxa"/>
            <w:tcBorders>
              <w:top w:val="nil"/>
              <w:left w:val="nil"/>
              <w:bottom w:val="single" w:sz="4" w:space="0" w:color="auto"/>
              <w:right w:val="single" w:sz="4" w:space="0" w:color="auto"/>
            </w:tcBorders>
            <w:shd w:val="clear" w:color="auto" w:fill="auto"/>
            <w:vAlign w:val="center"/>
          </w:tcPr>
          <w:p w14:paraId="231C22DE" w14:textId="692AB973"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0,03 %</w:t>
            </w:r>
          </w:p>
        </w:tc>
        <w:tc>
          <w:tcPr>
            <w:tcW w:w="1275" w:type="dxa"/>
            <w:tcBorders>
              <w:top w:val="nil"/>
              <w:left w:val="nil"/>
              <w:bottom w:val="single" w:sz="4" w:space="0" w:color="auto"/>
              <w:right w:val="single" w:sz="4" w:space="0" w:color="auto"/>
            </w:tcBorders>
            <w:shd w:val="clear" w:color="auto" w:fill="auto"/>
            <w:vAlign w:val="center"/>
          </w:tcPr>
          <w:p w14:paraId="09726BA4" w14:textId="129AC6B1"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hAnsi="Arial" w:cs="Arial"/>
                <w:color w:val="000000"/>
                <w:sz w:val="18"/>
                <w:szCs w:val="18"/>
              </w:rPr>
              <w:t>0,11 %</w:t>
            </w:r>
          </w:p>
        </w:tc>
        <w:tc>
          <w:tcPr>
            <w:tcW w:w="1544" w:type="dxa"/>
            <w:tcBorders>
              <w:top w:val="nil"/>
              <w:left w:val="nil"/>
              <w:bottom w:val="single" w:sz="4" w:space="0" w:color="auto"/>
              <w:right w:val="single" w:sz="4" w:space="0" w:color="auto"/>
            </w:tcBorders>
            <w:shd w:val="clear" w:color="auto" w:fill="auto"/>
            <w:vAlign w:val="center"/>
          </w:tcPr>
          <w:p w14:paraId="05982B44" w14:textId="0B92FD7B" w:rsidR="00A24062" w:rsidRPr="00A24062" w:rsidRDefault="00A24062" w:rsidP="00A24062">
            <w:pPr>
              <w:spacing w:after="0" w:line="240" w:lineRule="auto"/>
              <w:jc w:val="right"/>
              <w:rPr>
                <w:rFonts w:ascii="Arial" w:eastAsia="Times New Roman" w:hAnsi="Arial" w:cs="Arial"/>
                <w:color w:val="000000" w:themeColor="text1"/>
                <w:sz w:val="18"/>
                <w:szCs w:val="18"/>
                <w:lang w:eastAsia="sl-SI"/>
              </w:rPr>
            </w:pPr>
            <w:r w:rsidRPr="00A24062">
              <w:rPr>
                <w:rFonts w:ascii="Arial" w:eastAsia="Times New Roman" w:hAnsi="Arial" w:cs="Arial"/>
                <w:color w:val="000000" w:themeColor="text1"/>
                <w:sz w:val="18"/>
                <w:szCs w:val="18"/>
                <w:lang w:eastAsia="sl-SI"/>
              </w:rPr>
              <w:t>2,2</w:t>
            </w:r>
          </w:p>
        </w:tc>
      </w:tr>
      <w:tr w:rsidR="00A24062" w:rsidRPr="00A24062" w14:paraId="046C57EA" w14:textId="77777777" w:rsidTr="0074700F">
        <w:trPr>
          <w:trHeight w:val="255"/>
          <w:jc w:val="center"/>
        </w:trPr>
        <w:tc>
          <w:tcPr>
            <w:tcW w:w="127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F28345" w14:textId="77777777" w:rsidR="00A24062" w:rsidRPr="00A24062" w:rsidRDefault="00A24062" w:rsidP="00A24062">
            <w:pPr>
              <w:spacing w:after="0" w:line="240" w:lineRule="auto"/>
              <w:rPr>
                <w:rFonts w:ascii="Arial" w:eastAsia="Times New Roman" w:hAnsi="Arial" w:cs="Arial"/>
                <w:b/>
                <w:bCs/>
                <w:color w:val="000000" w:themeColor="text1"/>
                <w:sz w:val="18"/>
                <w:szCs w:val="18"/>
                <w:lang w:eastAsia="sl-SI"/>
              </w:rPr>
            </w:pPr>
            <w:r w:rsidRPr="00A24062">
              <w:rPr>
                <w:rFonts w:ascii="Arial" w:eastAsia="Times New Roman" w:hAnsi="Arial" w:cs="Arial"/>
                <w:b/>
                <w:bCs/>
                <w:color w:val="000000" w:themeColor="text1"/>
                <w:sz w:val="18"/>
                <w:szCs w:val="18"/>
                <w:lang w:eastAsia="sl-SI"/>
              </w:rPr>
              <w:t>Skupaj</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7AA2B000" w14:textId="34D28463" w:rsidR="00A24062" w:rsidRPr="00A24062" w:rsidRDefault="00A24062" w:rsidP="00A24062">
            <w:pPr>
              <w:spacing w:after="0" w:line="240" w:lineRule="auto"/>
              <w:jc w:val="right"/>
              <w:rPr>
                <w:rFonts w:ascii="Arial" w:eastAsia="Times New Roman" w:hAnsi="Arial" w:cs="Arial"/>
                <w:b/>
                <w:bCs/>
                <w:color w:val="000000" w:themeColor="text1"/>
                <w:sz w:val="18"/>
                <w:szCs w:val="18"/>
                <w:lang w:eastAsia="sl-SI"/>
              </w:rPr>
            </w:pPr>
            <w:r w:rsidRPr="00A24062">
              <w:rPr>
                <w:rFonts w:ascii="Arial" w:hAnsi="Arial" w:cs="Arial"/>
                <w:b/>
                <w:bCs/>
                <w:color w:val="000000"/>
                <w:sz w:val="18"/>
                <w:szCs w:val="18"/>
              </w:rPr>
              <w:t>7.150</w:t>
            </w:r>
          </w:p>
        </w:tc>
        <w:tc>
          <w:tcPr>
            <w:tcW w:w="1984" w:type="dxa"/>
            <w:tcBorders>
              <w:top w:val="nil"/>
              <w:left w:val="nil"/>
              <w:bottom w:val="single" w:sz="4" w:space="0" w:color="auto"/>
              <w:right w:val="single" w:sz="4" w:space="0" w:color="auto"/>
            </w:tcBorders>
            <w:shd w:val="clear" w:color="auto" w:fill="F2F2F2" w:themeFill="background1" w:themeFillShade="F2"/>
            <w:vAlign w:val="center"/>
          </w:tcPr>
          <w:p w14:paraId="4E46EA35" w14:textId="0B2D9978" w:rsidR="00A24062" w:rsidRPr="00A24062" w:rsidRDefault="00A24062" w:rsidP="00A24062">
            <w:pPr>
              <w:spacing w:after="0" w:line="240" w:lineRule="auto"/>
              <w:jc w:val="right"/>
              <w:rPr>
                <w:rFonts w:ascii="Arial" w:eastAsia="Times New Roman" w:hAnsi="Arial" w:cs="Arial"/>
                <w:b/>
                <w:bCs/>
                <w:color w:val="000000" w:themeColor="text1"/>
                <w:sz w:val="18"/>
                <w:szCs w:val="18"/>
                <w:lang w:eastAsia="sl-SI"/>
              </w:rPr>
            </w:pPr>
            <w:r w:rsidRPr="00A24062">
              <w:rPr>
                <w:rFonts w:ascii="Arial" w:hAnsi="Arial" w:cs="Arial"/>
                <w:b/>
                <w:bCs/>
                <w:color w:val="000000"/>
                <w:sz w:val="18"/>
                <w:szCs w:val="18"/>
              </w:rPr>
              <w:t>6.232.250.969</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1193D6FD" w14:textId="65010A0C" w:rsidR="00A24062" w:rsidRPr="00A24062" w:rsidRDefault="00A24062" w:rsidP="00A24062">
            <w:pPr>
              <w:spacing w:after="0" w:line="240" w:lineRule="auto"/>
              <w:jc w:val="right"/>
              <w:rPr>
                <w:rFonts w:ascii="Arial" w:eastAsia="Times New Roman" w:hAnsi="Arial" w:cs="Arial"/>
                <w:b/>
                <w:bCs/>
                <w:color w:val="000000" w:themeColor="text1"/>
                <w:sz w:val="18"/>
                <w:szCs w:val="18"/>
                <w:lang w:eastAsia="sl-SI"/>
              </w:rPr>
            </w:pPr>
            <w:r w:rsidRPr="00A24062">
              <w:rPr>
                <w:rFonts w:ascii="Arial" w:hAnsi="Arial" w:cs="Arial"/>
                <w:b/>
                <w:bCs/>
                <w:color w:val="000000"/>
                <w:sz w:val="18"/>
                <w:szCs w:val="18"/>
              </w:rPr>
              <w:t>100,00 %</w:t>
            </w: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6FAB5251" w14:textId="29736232" w:rsidR="00A24062" w:rsidRPr="00A24062" w:rsidRDefault="00A24062" w:rsidP="00A24062">
            <w:pPr>
              <w:spacing w:after="0" w:line="240" w:lineRule="auto"/>
              <w:jc w:val="right"/>
              <w:rPr>
                <w:rFonts w:ascii="Arial" w:eastAsia="Times New Roman" w:hAnsi="Arial" w:cs="Arial"/>
                <w:b/>
                <w:bCs/>
                <w:color w:val="000000" w:themeColor="text1"/>
                <w:sz w:val="18"/>
                <w:szCs w:val="18"/>
                <w:lang w:eastAsia="sl-SI"/>
              </w:rPr>
            </w:pPr>
            <w:r w:rsidRPr="00A24062">
              <w:rPr>
                <w:rFonts w:ascii="Arial" w:hAnsi="Arial" w:cs="Arial"/>
                <w:b/>
                <w:bCs/>
                <w:color w:val="000000"/>
                <w:sz w:val="18"/>
                <w:szCs w:val="18"/>
              </w:rPr>
              <w:t>100,00 %</w:t>
            </w:r>
          </w:p>
        </w:tc>
        <w:tc>
          <w:tcPr>
            <w:tcW w:w="1544" w:type="dxa"/>
            <w:tcBorders>
              <w:top w:val="nil"/>
              <w:left w:val="nil"/>
              <w:bottom w:val="single" w:sz="4" w:space="0" w:color="auto"/>
              <w:right w:val="single" w:sz="4" w:space="0" w:color="auto"/>
            </w:tcBorders>
            <w:shd w:val="clear" w:color="auto" w:fill="F2F2F2" w:themeFill="background1" w:themeFillShade="F2"/>
            <w:vAlign w:val="center"/>
          </w:tcPr>
          <w:p w14:paraId="1A81E64A" w14:textId="4CD8A65E" w:rsidR="00A24062" w:rsidRPr="00A24062" w:rsidRDefault="00A24062" w:rsidP="00A24062">
            <w:pPr>
              <w:spacing w:after="0" w:line="240" w:lineRule="auto"/>
              <w:jc w:val="right"/>
              <w:rPr>
                <w:rFonts w:ascii="Arial" w:eastAsia="Times New Roman" w:hAnsi="Arial" w:cs="Arial"/>
                <w:b/>
                <w:bCs/>
                <w:color w:val="000000" w:themeColor="text1"/>
                <w:sz w:val="18"/>
                <w:szCs w:val="18"/>
                <w:lang w:eastAsia="sl-SI"/>
              </w:rPr>
            </w:pPr>
            <w:r w:rsidRPr="00A24062">
              <w:rPr>
                <w:rFonts w:ascii="Arial" w:eastAsia="Times New Roman" w:hAnsi="Arial" w:cs="Arial"/>
                <w:b/>
                <w:bCs/>
                <w:color w:val="000000" w:themeColor="text1"/>
                <w:sz w:val="18"/>
                <w:szCs w:val="18"/>
                <w:lang w:eastAsia="sl-SI"/>
              </w:rPr>
              <w:t>2,4</w:t>
            </w:r>
          </w:p>
        </w:tc>
      </w:tr>
    </w:tbl>
    <w:p w14:paraId="65F74595" w14:textId="5A355C0A" w:rsidR="00AD6BE7" w:rsidRPr="00A24062" w:rsidRDefault="00AD6BE7" w:rsidP="00F4617A">
      <w:pPr>
        <w:tabs>
          <w:tab w:val="left" w:pos="567"/>
          <w:tab w:val="left" w:pos="993"/>
        </w:tabs>
        <w:spacing w:after="0" w:line="240" w:lineRule="auto"/>
        <w:ind w:left="1701" w:hanging="1701"/>
        <w:jc w:val="both"/>
        <w:rPr>
          <w:rFonts w:ascii="Arial" w:hAnsi="Arial" w:cs="Arial"/>
          <w:b/>
          <w:bCs/>
          <w:color w:val="000000" w:themeColor="text1"/>
          <w:sz w:val="20"/>
        </w:rPr>
      </w:pPr>
    </w:p>
    <w:p w14:paraId="7A9FDE81" w14:textId="54F40AA4" w:rsidR="00821795" w:rsidRPr="00A24062" w:rsidRDefault="00821795" w:rsidP="004A613D">
      <w:pPr>
        <w:spacing w:after="0" w:line="240" w:lineRule="auto"/>
        <w:jc w:val="center"/>
        <w:rPr>
          <w:rFonts w:ascii="Arial" w:hAnsi="Arial" w:cs="Arial"/>
          <w:color w:val="000000" w:themeColor="text1"/>
          <w:sz w:val="18"/>
        </w:rPr>
      </w:pPr>
      <w:r w:rsidRPr="00A24062">
        <w:rPr>
          <w:rFonts w:ascii="Arial" w:hAnsi="Arial" w:cs="Arial"/>
          <w:color w:val="000000" w:themeColor="text1"/>
          <w:sz w:val="18"/>
        </w:rPr>
        <w:t>Vir: Statistični podatki o javnih naročilih, oddanih v letu 20</w:t>
      </w:r>
      <w:r w:rsidR="00E239EB" w:rsidRPr="00A24062">
        <w:rPr>
          <w:rFonts w:ascii="Arial" w:hAnsi="Arial" w:cs="Arial"/>
          <w:color w:val="000000" w:themeColor="text1"/>
          <w:sz w:val="18"/>
        </w:rPr>
        <w:t>2</w:t>
      </w:r>
      <w:r w:rsidR="004109BB" w:rsidRPr="00A24062">
        <w:rPr>
          <w:rFonts w:ascii="Arial" w:hAnsi="Arial" w:cs="Arial"/>
          <w:color w:val="000000" w:themeColor="text1"/>
          <w:sz w:val="18"/>
        </w:rPr>
        <w:t>3</w:t>
      </w:r>
      <w:r w:rsidR="000F01DD" w:rsidRPr="00A24062">
        <w:rPr>
          <w:rFonts w:ascii="Arial" w:hAnsi="Arial" w:cs="Arial"/>
          <w:color w:val="000000" w:themeColor="text1"/>
          <w:sz w:val="18"/>
        </w:rPr>
        <w:t>.</w:t>
      </w:r>
    </w:p>
    <w:p w14:paraId="3752FD87" w14:textId="21F41463" w:rsidR="004A613D" w:rsidRPr="00637ACF" w:rsidRDefault="004A613D" w:rsidP="000F2B07">
      <w:pPr>
        <w:tabs>
          <w:tab w:val="left" w:pos="567"/>
          <w:tab w:val="left" w:pos="993"/>
        </w:tabs>
        <w:spacing w:after="0" w:line="360" w:lineRule="auto"/>
        <w:jc w:val="both"/>
        <w:rPr>
          <w:rFonts w:ascii="Arial" w:hAnsi="Arial" w:cs="Arial"/>
          <w:color w:val="000000" w:themeColor="text1"/>
          <w:sz w:val="20"/>
          <w:szCs w:val="20"/>
          <w:highlight w:val="yellow"/>
        </w:rPr>
      </w:pPr>
    </w:p>
    <w:p w14:paraId="133DFDF6" w14:textId="072EA415" w:rsidR="007B5C52" w:rsidRPr="00283957" w:rsidRDefault="007B5C52" w:rsidP="00E96696">
      <w:pPr>
        <w:spacing w:line="360" w:lineRule="auto"/>
        <w:jc w:val="both"/>
        <w:rPr>
          <w:rFonts w:ascii="Arial" w:eastAsia="Times New Roman" w:hAnsi="Arial" w:cs="Arial"/>
          <w:color w:val="000000" w:themeColor="text1"/>
          <w:sz w:val="20"/>
          <w:szCs w:val="20"/>
          <w:lang w:eastAsia="sl-SI"/>
        </w:rPr>
      </w:pPr>
      <w:r w:rsidRPr="00283957">
        <w:rPr>
          <w:rFonts w:ascii="Arial" w:hAnsi="Arial" w:cs="Arial"/>
          <w:color w:val="000000" w:themeColor="text1"/>
          <w:sz w:val="20"/>
          <w:szCs w:val="20"/>
        </w:rPr>
        <w:t>Iz statističnih podatkov o javnih naročilih, oddanih v letu 20</w:t>
      </w:r>
      <w:r w:rsidR="00865254" w:rsidRPr="00283957">
        <w:rPr>
          <w:rFonts w:ascii="Arial" w:hAnsi="Arial" w:cs="Arial"/>
          <w:color w:val="000000" w:themeColor="text1"/>
          <w:sz w:val="20"/>
          <w:szCs w:val="20"/>
        </w:rPr>
        <w:t>2</w:t>
      </w:r>
      <w:r w:rsidR="00B56C8F" w:rsidRPr="00283957">
        <w:rPr>
          <w:rFonts w:ascii="Arial" w:hAnsi="Arial" w:cs="Arial"/>
          <w:color w:val="000000" w:themeColor="text1"/>
          <w:sz w:val="20"/>
          <w:szCs w:val="20"/>
        </w:rPr>
        <w:t>3</w:t>
      </w:r>
      <w:r w:rsidRPr="00283957">
        <w:rPr>
          <w:rFonts w:ascii="Arial" w:hAnsi="Arial" w:cs="Arial"/>
          <w:color w:val="000000" w:themeColor="text1"/>
          <w:sz w:val="20"/>
          <w:szCs w:val="20"/>
        </w:rPr>
        <w:t xml:space="preserve">, </w:t>
      </w:r>
      <w:r w:rsidR="00FD48CF" w:rsidRPr="00283957">
        <w:rPr>
          <w:rFonts w:ascii="Arial" w:hAnsi="Arial" w:cs="Arial"/>
          <w:color w:val="000000" w:themeColor="text1"/>
          <w:sz w:val="20"/>
          <w:szCs w:val="20"/>
        </w:rPr>
        <w:t>izhaja</w:t>
      </w:r>
      <w:r w:rsidRPr="00283957">
        <w:rPr>
          <w:rFonts w:ascii="Arial" w:hAnsi="Arial" w:cs="Arial"/>
          <w:color w:val="000000" w:themeColor="text1"/>
          <w:sz w:val="20"/>
          <w:szCs w:val="20"/>
        </w:rPr>
        <w:t xml:space="preserve"> tudi, da so naročniki </w:t>
      </w:r>
      <w:r w:rsidR="000B77E2" w:rsidRPr="00283957">
        <w:rPr>
          <w:rFonts w:ascii="Arial" w:hAnsi="Arial" w:cs="Arial"/>
          <w:color w:val="000000" w:themeColor="text1"/>
          <w:sz w:val="20"/>
          <w:szCs w:val="20"/>
        </w:rPr>
        <w:t xml:space="preserve">postopek javnega naročanja </w:t>
      </w:r>
      <w:r w:rsidR="00FD4717" w:rsidRPr="00283957">
        <w:rPr>
          <w:rFonts w:ascii="Arial" w:hAnsi="Arial" w:cs="Arial"/>
          <w:color w:val="000000" w:themeColor="text1"/>
          <w:sz w:val="20"/>
          <w:szCs w:val="20"/>
        </w:rPr>
        <w:t xml:space="preserve">največkrat </w:t>
      </w:r>
      <w:r w:rsidR="000B77E2" w:rsidRPr="00283957">
        <w:rPr>
          <w:rFonts w:ascii="Arial" w:hAnsi="Arial" w:cs="Arial"/>
          <w:color w:val="000000" w:themeColor="text1"/>
          <w:sz w:val="20"/>
          <w:szCs w:val="20"/>
        </w:rPr>
        <w:t xml:space="preserve">delili na več javnih naročil pri naročanju </w:t>
      </w:r>
      <w:r w:rsidRPr="00283957">
        <w:rPr>
          <w:rFonts w:ascii="Arial" w:hAnsi="Arial" w:cs="Arial"/>
          <w:color w:val="000000" w:themeColor="text1"/>
          <w:sz w:val="20"/>
          <w:szCs w:val="20"/>
        </w:rPr>
        <w:t xml:space="preserve">blaga, in sicer v </w:t>
      </w:r>
      <w:r w:rsidR="007044FF" w:rsidRPr="00283957">
        <w:rPr>
          <w:rFonts w:ascii="Arial" w:hAnsi="Arial" w:cs="Arial"/>
          <w:color w:val="000000" w:themeColor="text1"/>
          <w:sz w:val="20"/>
          <w:szCs w:val="20"/>
        </w:rPr>
        <w:t>1</w:t>
      </w:r>
      <w:r w:rsidR="008477FE" w:rsidRPr="00283957">
        <w:rPr>
          <w:rFonts w:ascii="Arial" w:hAnsi="Arial" w:cs="Arial"/>
          <w:color w:val="000000" w:themeColor="text1"/>
          <w:sz w:val="20"/>
          <w:szCs w:val="20"/>
        </w:rPr>
        <w:t>.</w:t>
      </w:r>
      <w:r w:rsidR="00B56C8F" w:rsidRPr="00283957">
        <w:rPr>
          <w:rFonts w:ascii="Arial" w:hAnsi="Arial" w:cs="Arial"/>
          <w:color w:val="000000" w:themeColor="text1"/>
          <w:sz w:val="20"/>
          <w:szCs w:val="20"/>
        </w:rPr>
        <w:t>112</w:t>
      </w:r>
      <w:r w:rsidRPr="00283957">
        <w:rPr>
          <w:rFonts w:ascii="Arial" w:hAnsi="Arial" w:cs="Arial"/>
          <w:color w:val="000000" w:themeColor="text1"/>
          <w:sz w:val="20"/>
          <w:szCs w:val="20"/>
        </w:rPr>
        <w:t xml:space="preserve"> primerih oziroma </w:t>
      </w:r>
      <w:r w:rsidR="00FD48CF" w:rsidRPr="00283957">
        <w:rPr>
          <w:rFonts w:ascii="Arial" w:hAnsi="Arial" w:cs="Arial"/>
          <w:color w:val="000000" w:themeColor="text1"/>
          <w:sz w:val="20"/>
          <w:szCs w:val="20"/>
        </w:rPr>
        <w:t xml:space="preserve">pri </w:t>
      </w:r>
      <w:r w:rsidR="007044FF" w:rsidRPr="00283957">
        <w:rPr>
          <w:rFonts w:ascii="Arial" w:hAnsi="Arial" w:cs="Arial"/>
          <w:color w:val="000000" w:themeColor="text1"/>
          <w:sz w:val="20"/>
          <w:szCs w:val="20"/>
        </w:rPr>
        <w:t>3</w:t>
      </w:r>
      <w:r w:rsidR="00B56C8F" w:rsidRPr="00283957">
        <w:rPr>
          <w:rFonts w:ascii="Arial" w:hAnsi="Arial" w:cs="Arial"/>
          <w:color w:val="000000" w:themeColor="text1"/>
          <w:sz w:val="20"/>
          <w:szCs w:val="20"/>
        </w:rPr>
        <w:t>4,1</w:t>
      </w:r>
      <w:r w:rsidR="00283957" w:rsidRPr="00283957">
        <w:rPr>
          <w:rFonts w:ascii="Arial" w:hAnsi="Arial" w:cs="Arial"/>
          <w:color w:val="000000" w:themeColor="text1"/>
          <w:sz w:val="20"/>
          <w:szCs w:val="20"/>
        </w:rPr>
        <w:t>3</w:t>
      </w:r>
      <w:r w:rsidR="00970F15" w:rsidRPr="00283957">
        <w:rPr>
          <w:rFonts w:ascii="Arial" w:hAnsi="Arial" w:cs="Arial"/>
          <w:color w:val="000000" w:themeColor="text1"/>
          <w:sz w:val="20"/>
          <w:szCs w:val="20"/>
        </w:rPr>
        <w:t> </w:t>
      </w:r>
      <w:r w:rsidR="00AC0027" w:rsidRPr="00283957">
        <w:rPr>
          <w:rFonts w:ascii="Arial" w:hAnsi="Arial" w:cs="Arial"/>
          <w:color w:val="000000" w:themeColor="text1"/>
          <w:sz w:val="20"/>
          <w:szCs w:val="20"/>
        </w:rPr>
        <w:t>odstotka</w:t>
      </w:r>
      <w:r w:rsidRPr="00283957">
        <w:rPr>
          <w:rFonts w:ascii="Arial" w:hAnsi="Arial" w:cs="Arial"/>
          <w:color w:val="000000" w:themeColor="text1"/>
          <w:sz w:val="20"/>
          <w:szCs w:val="20"/>
        </w:rPr>
        <w:t xml:space="preserve"> naročil blaga, najmanjkrat pa pri oddaji naročil gradenj, in sicer v </w:t>
      </w:r>
      <w:r w:rsidR="00B32D46" w:rsidRPr="00283957">
        <w:rPr>
          <w:rFonts w:ascii="Arial" w:hAnsi="Arial" w:cs="Arial"/>
          <w:color w:val="000000" w:themeColor="text1"/>
          <w:sz w:val="20"/>
          <w:szCs w:val="20"/>
        </w:rPr>
        <w:t>1</w:t>
      </w:r>
      <w:r w:rsidR="00B56C8F" w:rsidRPr="00283957">
        <w:rPr>
          <w:rFonts w:ascii="Arial" w:hAnsi="Arial" w:cs="Arial"/>
          <w:color w:val="000000" w:themeColor="text1"/>
          <w:sz w:val="20"/>
          <w:szCs w:val="20"/>
        </w:rPr>
        <w:t>26</w:t>
      </w:r>
      <w:r w:rsidRPr="00283957">
        <w:rPr>
          <w:rFonts w:ascii="Arial" w:hAnsi="Arial" w:cs="Arial"/>
          <w:color w:val="000000" w:themeColor="text1"/>
          <w:sz w:val="20"/>
          <w:szCs w:val="20"/>
        </w:rPr>
        <w:t xml:space="preserve"> primerih oziroma </w:t>
      </w:r>
      <w:r w:rsidR="00FD48CF" w:rsidRPr="00283957">
        <w:rPr>
          <w:rFonts w:ascii="Arial" w:hAnsi="Arial" w:cs="Arial"/>
          <w:color w:val="000000" w:themeColor="text1"/>
          <w:sz w:val="20"/>
          <w:szCs w:val="20"/>
        </w:rPr>
        <w:t xml:space="preserve">pri </w:t>
      </w:r>
      <w:r w:rsidR="00823B43" w:rsidRPr="00283957">
        <w:rPr>
          <w:rFonts w:ascii="Arial" w:hAnsi="Arial" w:cs="Arial"/>
          <w:color w:val="000000" w:themeColor="text1"/>
          <w:sz w:val="20"/>
          <w:szCs w:val="20"/>
        </w:rPr>
        <w:t>9,</w:t>
      </w:r>
      <w:r w:rsidR="00B56C8F" w:rsidRPr="00283957">
        <w:rPr>
          <w:rFonts w:ascii="Arial" w:hAnsi="Arial" w:cs="Arial"/>
          <w:color w:val="000000" w:themeColor="text1"/>
          <w:sz w:val="20"/>
          <w:szCs w:val="20"/>
        </w:rPr>
        <w:t>7</w:t>
      </w:r>
      <w:r w:rsidR="00283957" w:rsidRPr="00283957">
        <w:rPr>
          <w:rFonts w:ascii="Arial" w:hAnsi="Arial" w:cs="Arial"/>
          <w:color w:val="000000" w:themeColor="text1"/>
          <w:sz w:val="20"/>
          <w:szCs w:val="20"/>
        </w:rPr>
        <w:t>2</w:t>
      </w:r>
      <w:r w:rsidR="00970F15" w:rsidRPr="00283957">
        <w:rPr>
          <w:rFonts w:ascii="Arial" w:eastAsia="Times New Roman" w:hAnsi="Arial" w:cs="Arial"/>
          <w:color w:val="000000" w:themeColor="text1"/>
          <w:sz w:val="20"/>
          <w:szCs w:val="20"/>
          <w:lang w:eastAsia="sl-SI"/>
        </w:rPr>
        <w:t> </w:t>
      </w:r>
      <w:r w:rsidR="00AC0027" w:rsidRPr="00283957">
        <w:rPr>
          <w:rFonts w:ascii="Arial" w:hAnsi="Arial" w:cs="Arial"/>
          <w:color w:val="000000" w:themeColor="text1"/>
          <w:sz w:val="20"/>
          <w:szCs w:val="20"/>
        </w:rPr>
        <w:t>odstotka</w:t>
      </w:r>
      <w:r w:rsidRPr="00283957">
        <w:rPr>
          <w:rFonts w:ascii="Arial" w:hAnsi="Arial" w:cs="Arial"/>
          <w:color w:val="000000" w:themeColor="text1"/>
          <w:sz w:val="20"/>
          <w:szCs w:val="20"/>
        </w:rPr>
        <w:t xml:space="preserve"> naročil gradenj.</w:t>
      </w:r>
    </w:p>
    <w:p w14:paraId="7DC1F829" w14:textId="419AF706" w:rsidR="008354FC" w:rsidRPr="00283957" w:rsidRDefault="008354FC" w:rsidP="008A61FD">
      <w:pPr>
        <w:spacing w:before="120" w:after="120" w:line="240" w:lineRule="auto"/>
        <w:jc w:val="both"/>
        <w:rPr>
          <w:rFonts w:ascii="Arial" w:hAnsi="Arial" w:cs="Arial"/>
          <w:color w:val="000000" w:themeColor="text1"/>
          <w:sz w:val="20"/>
        </w:rPr>
      </w:pPr>
      <w:r w:rsidRPr="00283957">
        <w:rPr>
          <w:rFonts w:ascii="Arial" w:hAnsi="Arial" w:cs="Arial"/>
          <w:color w:val="000000" w:themeColor="text1"/>
          <w:sz w:val="20"/>
        </w:rPr>
        <w:t xml:space="preserve">Preglednica </w:t>
      </w:r>
      <w:r w:rsidR="00512F52" w:rsidRPr="00283957">
        <w:rPr>
          <w:rFonts w:ascii="Arial" w:hAnsi="Arial" w:cs="Arial"/>
          <w:color w:val="000000" w:themeColor="text1"/>
          <w:sz w:val="20"/>
        </w:rPr>
        <w:t>3</w:t>
      </w:r>
      <w:r w:rsidR="00274CE8" w:rsidRPr="00283957">
        <w:rPr>
          <w:rFonts w:ascii="Arial" w:hAnsi="Arial" w:cs="Arial"/>
          <w:color w:val="000000" w:themeColor="text1"/>
          <w:sz w:val="20"/>
        </w:rPr>
        <w:t>1</w:t>
      </w:r>
      <w:r w:rsidRPr="00283957">
        <w:rPr>
          <w:rFonts w:ascii="Arial" w:hAnsi="Arial" w:cs="Arial"/>
          <w:color w:val="000000" w:themeColor="text1"/>
          <w:sz w:val="20"/>
        </w:rPr>
        <w:t xml:space="preserve">: Delitev postopkov javnega naročanja na naročila </w:t>
      </w:r>
      <w:r w:rsidR="00FD48CF" w:rsidRPr="00283957">
        <w:rPr>
          <w:rFonts w:ascii="Arial" w:hAnsi="Arial" w:cs="Arial"/>
          <w:color w:val="000000" w:themeColor="text1"/>
          <w:sz w:val="20"/>
        </w:rPr>
        <w:t>po</w:t>
      </w:r>
      <w:r w:rsidRPr="00283957">
        <w:rPr>
          <w:rFonts w:ascii="Arial" w:hAnsi="Arial" w:cs="Arial"/>
          <w:color w:val="000000" w:themeColor="text1"/>
          <w:sz w:val="20"/>
        </w:rPr>
        <w:t xml:space="preserve"> številu in vrednosti glede na predmet naročanja </w:t>
      </w:r>
    </w:p>
    <w:tbl>
      <w:tblPr>
        <w:tblW w:w="0" w:type="auto"/>
        <w:tblInd w:w="421" w:type="dxa"/>
        <w:tblCellMar>
          <w:left w:w="70" w:type="dxa"/>
          <w:right w:w="70" w:type="dxa"/>
        </w:tblCellMar>
        <w:tblLook w:val="04A0" w:firstRow="1" w:lastRow="0" w:firstColumn="1" w:lastColumn="0" w:noHBand="0" w:noVBand="1"/>
      </w:tblPr>
      <w:tblGrid>
        <w:gridCol w:w="850"/>
        <w:gridCol w:w="1559"/>
        <w:gridCol w:w="1985"/>
        <w:gridCol w:w="1701"/>
        <w:gridCol w:w="1701"/>
      </w:tblGrid>
      <w:tr w:rsidR="007F6D70" w:rsidRPr="00283957" w14:paraId="085638BD" w14:textId="77777777" w:rsidTr="007F6D70">
        <w:trPr>
          <w:trHeight w:val="480"/>
          <w:tblHeader/>
        </w:trPr>
        <w:tc>
          <w:tcPr>
            <w:tcW w:w="8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7CE706" w14:textId="77777777" w:rsidR="007F6D70" w:rsidRPr="00283957" w:rsidRDefault="007F6D70" w:rsidP="007F6D70">
            <w:pPr>
              <w:spacing w:after="0" w:line="240" w:lineRule="auto"/>
              <w:jc w:val="center"/>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Predmet</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2CB79165" w14:textId="77777777" w:rsidR="007F6D70" w:rsidRPr="00283957" w:rsidRDefault="007F6D70" w:rsidP="007F6D70">
            <w:pPr>
              <w:spacing w:after="0" w:line="240" w:lineRule="auto"/>
              <w:jc w:val="center"/>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Št. postopkov z enim naročilom</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14:paraId="19519CB8" w14:textId="13D42626" w:rsidR="007F6D70" w:rsidRPr="00283957" w:rsidRDefault="007F6D70" w:rsidP="007F6D70">
            <w:pPr>
              <w:spacing w:after="0" w:line="240" w:lineRule="auto"/>
              <w:jc w:val="center"/>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Vrednost postopkov z enim naročilom</w:t>
            </w:r>
            <w:r w:rsidR="00986395" w:rsidRPr="00283957">
              <w:rPr>
                <w:rFonts w:ascii="Arial" w:eastAsia="Times New Roman" w:hAnsi="Arial" w:cs="Arial"/>
                <w:color w:val="000000"/>
                <w:sz w:val="18"/>
                <w:szCs w:val="18"/>
                <w:lang w:eastAsia="sl-SI"/>
              </w:rPr>
              <w:t xml:space="preserve"> </w:t>
            </w:r>
            <w:r w:rsidR="00986395" w:rsidRPr="00283957">
              <w:rPr>
                <w:rFonts w:ascii="Arial" w:eastAsia="Times New Roman" w:hAnsi="Arial" w:cs="Arial"/>
                <w:color w:val="000000" w:themeColor="text1"/>
                <w:sz w:val="18"/>
                <w:szCs w:val="18"/>
                <w:lang w:eastAsia="sl-SI"/>
              </w:rPr>
              <w:t>(v EUR)</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6AF60E31" w14:textId="77777777" w:rsidR="007F6D70" w:rsidRPr="00283957" w:rsidRDefault="007F6D70" w:rsidP="007F6D70">
            <w:pPr>
              <w:spacing w:after="0" w:line="240" w:lineRule="auto"/>
              <w:jc w:val="center"/>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Št. postopkov z več naročili</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7C8B5559" w14:textId="5538BB2D" w:rsidR="007F6D70" w:rsidRPr="00283957" w:rsidRDefault="007F6D70" w:rsidP="007F6D70">
            <w:pPr>
              <w:spacing w:after="0" w:line="240" w:lineRule="auto"/>
              <w:jc w:val="center"/>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Vrednost postopkov z več naročili</w:t>
            </w:r>
            <w:r w:rsidR="00986395" w:rsidRPr="00283957">
              <w:rPr>
                <w:rFonts w:ascii="Arial" w:eastAsia="Times New Roman" w:hAnsi="Arial" w:cs="Arial"/>
                <w:color w:val="000000"/>
                <w:sz w:val="18"/>
                <w:szCs w:val="18"/>
                <w:lang w:eastAsia="sl-SI"/>
              </w:rPr>
              <w:t xml:space="preserve"> </w:t>
            </w:r>
            <w:r w:rsidR="00986395" w:rsidRPr="00283957">
              <w:rPr>
                <w:rFonts w:ascii="Arial" w:eastAsia="Times New Roman" w:hAnsi="Arial" w:cs="Arial"/>
                <w:color w:val="000000" w:themeColor="text1"/>
                <w:sz w:val="18"/>
                <w:szCs w:val="18"/>
                <w:lang w:eastAsia="sl-SI"/>
              </w:rPr>
              <w:t>(v EUR)</w:t>
            </w:r>
          </w:p>
        </w:tc>
      </w:tr>
      <w:tr w:rsidR="007F6D70" w:rsidRPr="00283957" w14:paraId="0FD5AA69" w14:textId="77777777" w:rsidTr="007F6D70">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ECB5272" w14:textId="77777777" w:rsidR="007F6D70" w:rsidRPr="00283957" w:rsidRDefault="007F6D70" w:rsidP="007F6D70">
            <w:pPr>
              <w:spacing w:after="0" w:line="240" w:lineRule="auto"/>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Blago</w:t>
            </w:r>
          </w:p>
        </w:tc>
        <w:tc>
          <w:tcPr>
            <w:tcW w:w="1559" w:type="dxa"/>
            <w:tcBorders>
              <w:top w:val="nil"/>
              <w:left w:val="nil"/>
              <w:bottom w:val="single" w:sz="4" w:space="0" w:color="auto"/>
              <w:right w:val="single" w:sz="4" w:space="0" w:color="auto"/>
            </w:tcBorders>
            <w:shd w:val="clear" w:color="auto" w:fill="auto"/>
            <w:vAlign w:val="center"/>
            <w:hideMark/>
          </w:tcPr>
          <w:p w14:paraId="0926CA91" w14:textId="51B6307E"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2.14</w:t>
            </w:r>
            <w:r w:rsidR="00283957" w:rsidRPr="00283957">
              <w:rPr>
                <w:rFonts w:ascii="Arial" w:eastAsia="Times New Roman" w:hAnsi="Arial" w:cs="Arial"/>
                <w:color w:val="000000"/>
                <w:sz w:val="18"/>
                <w:szCs w:val="18"/>
                <w:lang w:eastAsia="sl-SI"/>
              </w:rPr>
              <w:t>6</w:t>
            </w:r>
          </w:p>
        </w:tc>
        <w:tc>
          <w:tcPr>
            <w:tcW w:w="1985" w:type="dxa"/>
            <w:tcBorders>
              <w:top w:val="nil"/>
              <w:left w:val="nil"/>
              <w:bottom w:val="single" w:sz="4" w:space="0" w:color="auto"/>
              <w:right w:val="single" w:sz="4" w:space="0" w:color="auto"/>
            </w:tcBorders>
            <w:shd w:val="clear" w:color="auto" w:fill="auto"/>
            <w:vAlign w:val="center"/>
            <w:hideMark/>
          </w:tcPr>
          <w:p w14:paraId="3035C690" w14:textId="62B8E601"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1.449.3</w:t>
            </w:r>
            <w:r w:rsidR="00283957" w:rsidRPr="00283957">
              <w:rPr>
                <w:rFonts w:ascii="Arial" w:eastAsia="Times New Roman" w:hAnsi="Arial" w:cs="Arial"/>
                <w:color w:val="000000"/>
                <w:sz w:val="18"/>
                <w:szCs w:val="18"/>
                <w:lang w:eastAsia="sl-SI"/>
              </w:rPr>
              <w:t>21</w:t>
            </w:r>
            <w:r w:rsidRPr="00283957">
              <w:rPr>
                <w:rFonts w:ascii="Arial" w:eastAsia="Times New Roman" w:hAnsi="Arial" w:cs="Arial"/>
                <w:color w:val="000000"/>
                <w:sz w:val="18"/>
                <w:szCs w:val="18"/>
                <w:lang w:eastAsia="sl-SI"/>
              </w:rPr>
              <w:t>.</w:t>
            </w:r>
            <w:r w:rsidR="00283957" w:rsidRPr="00283957">
              <w:rPr>
                <w:rFonts w:ascii="Arial" w:eastAsia="Times New Roman" w:hAnsi="Arial" w:cs="Arial"/>
                <w:color w:val="000000"/>
                <w:sz w:val="18"/>
                <w:szCs w:val="18"/>
                <w:lang w:eastAsia="sl-SI"/>
              </w:rPr>
              <w:t>0</w:t>
            </w:r>
            <w:r w:rsidRPr="00283957">
              <w:rPr>
                <w:rFonts w:ascii="Arial" w:eastAsia="Times New Roman" w:hAnsi="Arial" w:cs="Arial"/>
                <w:color w:val="000000"/>
                <w:sz w:val="18"/>
                <w:szCs w:val="18"/>
                <w:lang w:eastAsia="sl-SI"/>
              </w:rPr>
              <w:t>12</w:t>
            </w:r>
          </w:p>
        </w:tc>
        <w:tc>
          <w:tcPr>
            <w:tcW w:w="1701" w:type="dxa"/>
            <w:tcBorders>
              <w:top w:val="nil"/>
              <w:left w:val="nil"/>
              <w:bottom w:val="single" w:sz="4" w:space="0" w:color="auto"/>
              <w:right w:val="single" w:sz="4" w:space="0" w:color="auto"/>
            </w:tcBorders>
            <w:shd w:val="clear" w:color="auto" w:fill="auto"/>
            <w:vAlign w:val="center"/>
            <w:hideMark/>
          </w:tcPr>
          <w:p w14:paraId="1A0F4A65" w14:textId="77777777"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1.112</w:t>
            </w:r>
          </w:p>
        </w:tc>
        <w:tc>
          <w:tcPr>
            <w:tcW w:w="1701" w:type="dxa"/>
            <w:tcBorders>
              <w:top w:val="nil"/>
              <w:left w:val="nil"/>
              <w:bottom w:val="single" w:sz="4" w:space="0" w:color="auto"/>
              <w:right w:val="single" w:sz="4" w:space="0" w:color="auto"/>
            </w:tcBorders>
            <w:shd w:val="clear" w:color="auto" w:fill="auto"/>
            <w:vAlign w:val="center"/>
            <w:hideMark/>
          </w:tcPr>
          <w:p w14:paraId="57A5D47D" w14:textId="77777777"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1.158.278.236</w:t>
            </w:r>
          </w:p>
        </w:tc>
      </w:tr>
      <w:tr w:rsidR="007F6D70" w:rsidRPr="00283957" w14:paraId="7C02E2DD" w14:textId="77777777" w:rsidTr="007F6D70">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2F7404F" w14:textId="77777777" w:rsidR="007F6D70" w:rsidRPr="00283957" w:rsidRDefault="007F6D70" w:rsidP="007F6D70">
            <w:pPr>
              <w:spacing w:after="0" w:line="240" w:lineRule="auto"/>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Storitve</w:t>
            </w:r>
          </w:p>
        </w:tc>
        <w:tc>
          <w:tcPr>
            <w:tcW w:w="1559" w:type="dxa"/>
            <w:tcBorders>
              <w:top w:val="nil"/>
              <w:left w:val="nil"/>
              <w:bottom w:val="single" w:sz="4" w:space="0" w:color="auto"/>
              <w:right w:val="single" w:sz="4" w:space="0" w:color="auto"/>
            </w:tcBorders>
            <w:shd w:val="clear" w:color="auto" w:fill="auto"/>
            <w:vAlign w:val="center"/>
            <w:hideMark/>
          </w:tcPr>
          <w:p w14:paraId="326AD916" w14:textId="77777777"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2.096</w:t>
            </w:r>
          </w:p>
        </w:tc>
        <w:tc>
          <w:tcPr>
            <w:tcW w:w="1985" w:type="dxa"/>
            <w:tcBorders>
              <w:top w:val="nil"/>
              <w:left w:val="nil"/>
              <w:bottom w:val="single" w:sz="4" w:space="0" w:color="auto"/>
              <w:right w:val="single" w:sz="4" w:space="0" w:color="auto"/>
            </w:tcBorders>
            <w:shd w:val="clear" w:color="auto" w:fill="auto"/>
            <w:vAlign w:val="center"/>
            <w:hideMark/>
          </w:tcPr>
          <w:p w14:paraId="4816F849" w14:textId="77777777"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1.012.983.536</w:t>
            </w:r>
          </w:p>
        </w:tc>
        <w:tc>
          <w:tcPr>
            <w:tcW w:w="1701" w:type="dxa"/>
            <w:tcBorders>
              <w:top w:val="nil"/>
              <w:left w:val="nil"/>
              <w:bottom w:val="single" w:sz="4" w:space="0" w:color="auto"/>
              <w:right w:val="single" w:sz="4" w:space="0" w:color="auto"/>
            </w:tcBorders>
            <w:shd w:val="clear" w:color="auto" w:fill="auto"/>
            <w:vAlign w:val="center"/>
            <w:hideMark/>
          </w:tcPr>
          <w:p w14:paraId="343FD373" w14:textId="77777777"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500</w:t>
            </w:r>
          </w:p>
        </w:tc>
        <w:tc>
          <w:tcPr>
            <w:tcW w:w="1701" w:type="dxa"/>
            <w:tcBorders>
              <w:top w:val="nil"/>
              <w:left w:val="nil"/>
              <w:bottom w:val="single" w:sz="4" w:space="0" w:color="auto"/>
              <w:right w:val="single" w:sz="4" w:space="0" w:color="auto"/>
            </w:tcBorders>
            <w:shd w:val="clear" w:color="auto" w:fill="auto"/>
            <w:vAlign w:val="center"/>
            <w:hideMark/>
          </w:tcPr>
          <w:p w14:paraId="0F9FAED5" w14:textId="77777777"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1.184.751.518</w:t>
            </w:r>
          </w:p>
        </w:tc>
      </w:tr>
      <w:tr w:rsidR="007F6D70" w:rsidRPr="00283957" w14:paraId="1D9BF5E3" w14:textId="77777777" w:rsidTr="007F6D70">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5C62F0D" w14:textId="77777777" w:rsidR="007F6D70" w:rsidRPr="00283957" w:rsidRDefault="007F6D70" w:rsidP="007F6D70">
            <w:pPr>
              <w:spacing w:after="0" w:line="240" w:lineRule="auto"/>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Gradnje</w:t>
            </w:r>
          </w:p>
        </w:tc>
        <w:tc>
          <w:tcPr>
            <w:tcW w:w="1559" w:type="dxa"/>
            <w:tcBorders>
              <w:top w:val="nil"/>
              <w:left w:val="nil"/>
              <w:bottom w:val="single" w:sz="4" w:space="0" w:color="auto"/>
              <w:right w:val="single" w:sz="4" w:space="0" w:color="auto"/>
            </w:tcBorders>
            <w:shd w:val="clear" w:color="auto" w:fill="auto"/>
            <w:vAlign w:val="center"/>
            <w:hideMark/>
          </w:tcPr>
          <w:p w14:paraId="6F07B573" w14:textId="7BF070C0"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1.17</w:t>
            </w:r>
            <w:r w:rsidR="00283957" w:rsidRPr="00283957">
              <w:rPr>
                <w:rFonts w:ascii="Arial" w:eastAsia="Times New Roman" w:hAnsi="Arial" w:cs="Arial"/>
                <w:color w:val="000000"/>
                <w:sz w:val="18"/>
                <w:szCs w:val="18"/>
                <w:lang w:eastAsia="sl-SI"/>
              </w:rPr>
              <w:t>0</w:t>
            </w:r>
          </w:p>
        </w:tc>
        <w:tc>
          <w:tcPr>
            <w:tcW w:w="1985" w:type="dxa"/>
            <w:tcBorders>
              <w:top w:val="nil"/>
              <w:left w:val="nil"/>
              <w:bottom w:val="single" w:sz="4" w:space="0" w:color="auto"/>
              <w:right w:val="single" w:sz="4" w:space="0" w:color="auto"/>
            </w:tcBorders>
            <w:shd w:val="clear" w:color="auto" w:fill="auto"/>
            <w:vAlign w:val="center"/>
            <w:hideMark/>
          </w:tcPr>
          <w:p w14:paraId="15C8F1AB" w14:textId="3928D51B"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1.302.</w:t>
            </w:r>
            <w:r w:rsidR="00283957" w:rsidRPr="00283957">
              <w:rPr>
                <w:rFonts w:ascii="Arial" w:eastAsia="Times New Roman" w:hAnsi="Arial" w:cs="Arial"/>
                <w:color w:val="000000"/>
                <w:sz w:val="18"/>
                <w:szCs w:val="18"/>
                <w:lang w:eastAsia="sl-SI"/>
              </w:rPr>
              <w:t>678</w:t>
            </w:r>
            <w:r w:rsidRPr="00283957">
              <w:rPr>
                <w:rFonts w:ascii="Arial" w:eastAsia="Times New Roman" w:hAnsi="Arial" w:cs="Arial"/>
                <w:color w:val="000000"/>
                <w:sz w:val="18"/>
                <w:szCs w:val="18"/>
                <w:lang w:eastAsia="sl-SI"/>
              </w:rPr>
              <w:t>.</w:t>
            </w:r>
            <w:r w:rsidR="00283957" w:rsidRPr="00283957">
              <w:rPr>
                <w:rFonts w:ascii="Arial" w:eastAsia="Times New Roman" w:hAnsi="Arial" w:cs="Arial"/>
                <w:color w:val="000000"/>
                <w:sz w:val="18"/>
                <w:szCs w:val="18"/>
                <w:lang w:eastAsia="sl-SI"/>
              </w:rPr>
              <w:t>77</w:t>
            </w:r>
            <w:r w:rsidRPr="00283957">
              <w:rPr>
                <w:rFonts w:ascii="Arial" w:eastAsia="Times New Roman" w:hAnsi="Arial" w:cs="Arial"/>
                <w:color w:val="000000"/>
                <w:sz w:val="18"/>
                <w:szCs w:val="18"/>
                <w:lang w:eastAsia="sl-SI"/>
              </w:rPr>
              <w:t>1</w:t>
            </w:r>
          </w:p>
        </w:tc>
        <w:tc>
          <w:tcPr>
            <w:tcW w:w="1701" w:type="dxa"/>
            <w:tcBorders>
              <w:top w:val="nil"/>
              <w:left w:val="nil"/>
              <w:bottom w:val="single" w:sz="4" w:space="0" w:color="auto"/>
              <w:right w:val="single" w:sz="4" w:space="0" w:color="auto"/>
            </w:tcBorders>
            <w:shd w:val="clear" w:color="auto" w:fill="auto"/>
            <w:vAlign w:val="center"/>
            <w:hideMark/>
          </w:tcPr>
          <w:p w14:paraId="58EBEE62" w14:textId="77777777"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126</w:t>
            </w:r>
          </w:p>
        </w:tc>
        <w:tc>
          <w:tcPr>
            <w:tcW w:w="1701" w:type="dxa"/>
            <w:tcBorders>
              <w:top w:val="nil"/>
              <w:left w:val="nil"/>
              <w:bottom w:val="single" w:sz="4" w:space="0" w:color="auto"/>
              <w:right w:val="single" w:sz="4" w:space="0" w:color="auto"/>
            </w:tcBorders>
            <w:shd w:val="clear" w:color="auto" w:fill="auto"/>
            <w:vAlign w:val="center"/>
            <w:hideMark/>
          </w:tcPr>
          <w:p w14:paraId="6E250775" w14:textId="77777777" w:rsidR="007F6D70" w:rsidRPr="00283957" w:rsidRDefault="007F6D70" w:rsidP="007F6D70">
            <w:pPr>
              <w:spacing w:after="0" w:line="240" w:lineRule="auto"/>
              <w:jc w:val="right"/>
              <w:rPr>
                <w:rFonts w:ascii="Arial" w:eastAsia="Times New Roman" w:hAnsi="Arial" w:cs="Arial"/>
                <w:color w:val="000000"/>
                <w:sz w:val="18"/>
                <w:szCs w:val="18"/>
                <w:lang w:eastAsia="sl-SI"/>
              </w:rPr>
            </w:pPr>
            <w:r w:rsidRPr="00283957">
              <w:rPr>
                <w:rFonts w:ascii="Arial" w:eastAsia="Times New Roman" w:hAnsi="Arial" w:cs="Arial"/>
                <w:color w:val="000000"/>
                <w:sz w:val="18"/>
                <w:szCs w:val="18"/>
                <w:lang w:eastAsia="sl-SI"/>
              </w:rPr>
              <w:t>124.237.896</w:t>
            </w:r>
          </w:p>
        </w:tc>
      </w:tr>
      <w:tr w:rsidR="00283957" w:rsidRPr="00283957" w14:paraId="05B186CB" w14:textId="77777777" w:rsidTr="00283957">
        <w:trPr>
          <w:trHeight w:val="300"/>
        </w:trPr>
        <w:tc>
          <w:tcPr>
            <w:tcW w:w="85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34CBFA" w14:textId="77777777" w:rsidR="00283957" w:rsidRPr="00283957" w:rsidRDefault="00283957" w:rsidP="00283957">
            <w:pPr>
              <w:spacing w:after="0" w:line="240" w:lineRule="auto"/>
              <w:rPr>
                <w:rFonts w:ascii="Arial" w:eastAsia="Times New Roman" w:hAnsi="Arial" w:cs="Arial"/>
                <w:b/>
                <w:bCs/>
                <w:color w:val="000000"/>
                <w:sz w:val="18"/>
                <w:szCs w:val="18"/>
                <w:lang w:eastAsia="sl-SI"/>
              </w:rPr>
            </w:pPr>
            <w:r w:rsidRPr="00283957">
              <w:rPr>
                <w:rFonts w:ascii="Arial" w:eastAsia="Times New Roman" w:hAnsi="Arial" w:cs="Arial"/>
                <w:b/>
                <w:bCs/>
                <w:color w:val="000000"/>
                <w:sz w:val="18"/>
                <w:szCs w:val="18"/>
                <w:lang w:eastAsia="sl-SI"/>
              </w:rPr>
              <w:t>Skupaj</w:t>
            </w: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14:paraId="1B81E660" w14:textId="16373097" w:rsidR="00283957" w:rsidRPr="00283957" w:rsidRDefault="00283957" w:rsidP="00283957">
            <w:pPr>
              <w:spacing w:after="0" w:line="240" w:lineRule="auto"/>
              <w:jc w:val="right"/>
              <w:rPr>
                <w:rFonts w:ascii="Arial" w:eastAsia="Times New Roman" w:hAnsi="Arial" w:cs="Arial"/>
                <w:b/>
                <w:bCs/>
                <w:color w:val="000000"/>
                <w:sz w:val="18"/>
                <w:szCs w:val="18"/>
                <w:lang w:eastAsia="sl-SI"/>
              </w:rPr>
            </w:pPr>
            <w:r w:rsidRPr="00283957">
              <w:rPr>
                <w:rFonts w:ascii="Arial" w:eastAsia="Times New Roman" w:hAnsi="Arial" w:cs="Arial"/>
                <w:b/>
                <w:bCs/>
                <w:color w:val="000000"/>
                <w:sz w:val="18"/>
                <w:szCs w:val="18"/>
                <w:lang w:eastAsia="sl-SI"/>
              </w:rPr>
              <w:t>5.412</w:t>
            </w:r>
          </w:p>
        </w:tc>
        <w:tc>
          <w:tcPr>
            <w:tcW w:w="1985" w:type="dxa"/>
            <w:tcBorders>
              <w:top w:val="nil"/>
              <w:left w:val="nil"/>
              <w:bottom w:val="single" w:sz="4" w:space="0" w:color="auto"/>
              <w:right w:val="single" w:sz="4" w:space="0" w:color="auto"/>
            </w:tcBorders>
            <w:shd w:val="clear" w:color="auto" w:fill="F2F2F2" w:themeFill="background1" w:themeFillShade="F2"/>
            <w:noWrap/>
            <w:vAlign w:val="center"/>
          </w:tcPr>
          <w:p w14:paraId="616FBF53" w14:textId="5E4FDB08" w:rsidR="00283957" w:rsidRPr="00283957" w:rsidRDefault="00283957" w:rsidP="00283957">
            <w:pPr>
              <w:spacing w:after="0" w:line="240" w:lineRule="auto"/>
              <w:jc w:val="right"/>
              <w:rPr>
                <w:rFonts w:ascii="Arial" w:eastAsia="Times New Roman" w:hAnsi="Arial" w:cs="Arial"/>
                <w:b/>
                <w:bCs/>
                <w:color w:val="000000"/>
                <w:sz w:val="18"/>
                <w:szCs w:val="18"/>
                <w:lang w:eastAsia="sl-SI"/>
              </w:rPr>
            </w:pPr>
            <w:r w:rsidRPr="00283957">
              <w:rPr>
                <w:rFonts w:ascii="Arial" w:eastAsia="Times New Roman" w:hAnsi="Arial" w:cs="Arial"/>
                <w:b/>
                <w:bCs/>
                <w:color w:val="000000"/>
                <w:sz w:val="18"/>
                <w:szCs w:val="18"/>
                <w:lang w:eastAsia="sl-SI"/>
              </w:rPr>
              <w:t>3.764.983.319</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70BCAD1" w14:textId="77777777" w:rsidR="00283957" w:rsidRPr="00283957" w:rsidRDefault="00283957" w:rsidP="00283957">
            <w:pPr>
              <w:spacing w:after="0" w:line="240" w:lineRule="auto"/>
              <w:jc w:val="right"/>
              <w:rPr>
                <w:rFonts w:ascii="Arial" w:eastAsia="Times New Roman" w:hAnsi="Arial" w:cs="Arial"/>
                <w:b/>
                <w:bCs/>
                <w:color w:val="000000"/>
                <w:sz w:val="18"/>
                <w:szCs w:val="18"/>
                <w:lang w:eastAsia="sl-SI"/>
              </w:rPr>
            </w:pPr>
            <w:r w:rsidRPr="00283957">
              <w:rPr>
                <w:rFonts w:ascii="Arial" w:eastAsia="Times New Roman" w:hAnsi="Arial" w:cs="Arial"/>
                <w:b/>
                <w:bCs/>
                <w:color w:val="000000"/>
                <w:sz w:val="18"/>
                <w:szCs w:val="18"/>
                <w:lang w:eastAsia="sl-SI"/>
              </w:rPr>
              <w:t>1.738</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3A706A79" w14:textId="77777777" w:rsidR="00283957" w:rsidRPr="00283957" w:rsidRDefault="00283957" w:rsidP="00283957">
            <w:pPr>
              <w:spacing w:after="0" w:line="240" w:lineRule="auto"/>
              <w:jc w:val="right"/>
              <w:rPr>
                <w:rFonts w:ascii="Arial" w:eastAsia="Times New Roman" w:hAnsi="Arial" w:cs="Arial"/>
                <w:b/>
                <w:bCs/>
                <w:color w:val="000000"/>
                <w:sz w:val="18"/>
                <w:szCs w:val="18"/>
                <w:lang w:eastAsia="sl-SI"/>
              </w:rPr>
            </w:pPr>
            <w:r w:rsidRPr="00283957">
              <w:rPr>
                <w:rFonts w:ascii="Arial" w:eastAsia="Times New Roman" w:hAnsi="Arial" w:cs="Arial"/>
                <w:b/>
                <w:bCs/>
                <w:color w:val="000000"/>
                <w:sz w:val="18"/>
                <w:szCs w:val="18"/>
                <w:lang w:eastAsia="sl-SI"/>
              </w:rPr>
              <w:t>2.467.267.650</w:t>
            </w:r>
          </w:p>
        </w:tc>
      </w:tr>
    </w:tbl>
    <w:p w14:paraId="5C0B9BC6" w14:textId="4463EEC5" w:rsidR="00865254" w:rsidRPr="00283957" w:rsidRDefault="00865254" w:rsidP="00865254">
      <w:pPr>
        <w:spacing w:after="0" w:line="240" w:lineRule="auto"/>
        <w:jc w:val="both"/>
        <w:rPr>
          <w:rFonts w:ascii="Arial" w:hAnsi="Arial" w:cs="Arial"/>
          <w:color w:val="000000" w:themeColor="text1"/>
          <w:sz w:val="20"/>
        </w:rPr>
      </w:pPr>
    </w:p>
    <w:p w14:paraId="601898F5" w14:textId="5581E938" w:rsidR="008354FC" w:rsidRPr="00283957" w:rsidRDefault="008354FC" w:rsidP="00701C10">
      <w:pPr>
        <w:spacing w:after="240" w:line="240" w:lineRule="auto"/>
        <w:jc w:val="center"/>
        <w:rPr>
          <w:rFonts w:ascii="Arial" w:hAnsi="Arial" w:cs="Arial"/>
          <w:color w:val="000000" w:themeColor="text1"/>
          <w:sz w:val="18"/>
        </w:rPr>
      </w:pPr>
      <w:r w:rsidRPr="00283957">
        <w:rPr>
          <w:rFonts w:ascii="Arial" w:hAnsi="Arial" w:cs="Arial"/>
          <w:color w:val="000000" w:themeColor="text1"/>
          <w:sz w:val="18"/>
        </w:rPr>
        <w:t>Vir: Statistični podatki o javni</w:t>
      </w:r>
      <w:r w:rsidR="00E74372" w:rsidRPr="00283957">
        <w:rPr>
          <w:rFonts w:ascii="Arial" w:hAnsi="Arial" w:cs="Arial"/>
          <w:color w:val="000000" w:themeColor="text1"/>
          <w:sz w:val="18"/>
        </w:rPr>
        <w:t>h naročilih, oddanih v letu 20</w:t>
      </w:r>
      <w:r w:rsidR="00865254" w:rsidRPr="00283957">
        <w:rPr>
          <w:rFonts w:ascii="Arial" w:hAnsi="Arial" w:cs="Arial"/>
          <w:color w:val="000000" w:themeColor="text1"/>
          <w:sz w:val="18"/>
        </w:rPr>
        <w:t>2</w:t>
      </w:r>
      <w:r w:rsidR="007F6D70" w:rsidRPr="00283957">
        <w:rPr>
          <w:rFonts w:ascii="Arial" w:hAnsi="Arial" w:cs="Arial"/>
          <w:color w:val="000000" w:themeColor="text1"/>
          <w:sz w:val="18"/>
        </w:rPr>
        <w:t>3</w:t>
      </w:r>
      <w:r w:rsidR="00970F15" w:rsidRPr="00283957">
        <w:rPr>
          <w:rFonts w:ascii="Arial" w:hAnsi="Arial" w:cs="Arial"/>
          <w:color w:val="000000" w:themeColor="text1"/>
          <w:sz w:val="18"/>
        </w:rPr>
        <w:t>.</w:t>
      </w:r>
    </w:p>
    <w:p w14:paraId="3AE1E579" w14:textId="77777777" w:rsidR="00283957" w:rsidRPr="00E67E03" w:rsidRDefault="00283957" w:rsidP="00701C10">
      <w:pPr>
        <w:spacing w:after="240" w:line="240" w:lineRule="auto"/>
        <w:jc w:val="center"/>
        <w:rPr>
          <w:rFonts w:ascii="Arial" w:hAnsi="Arial" w:cs="Arial"/>
          <w:color w:val="000000" w:themeColor="text1"/>
          <w:sz w:val="18"/>
        </w:rPr>
      </w:pPr>
    </w:p>
    <w:p w14:paraId="7644EEFA" w14:textId="5A1F3BF2" w:rsidR="00E426BE" w:rsidRPr="00E67E03" w:rsidRDefault="00E426BE" w:rsidP="002A1622">
      <w:pPr>
        <w:tabs>
          <w:tab w:val="left" w:pos="567"/>
          <w:tab w:val="left" w:pos="993"/>
        </w:tabs>
        <w:spacing w:line="360" w:lineRule="auto"/>
        <w:jc w:val="both"/>
        <w:rPr>
          <w:rFonts w:ascii="Arial" w:hAnsi="Arial" w:cs="Arial"/>
          <w:color w:val="000000" w:themeColor="text1"/>
          <w:sz w:val="20"/>
          <w:szCs w:val="20"/>
        </w:rPr>
      </w:pPr>
      <w:r w:rsidRPr="00E67E03">
        <w:rPr>
          <w:rFonts w:ascii="Arial" w:hAnsi="Arial" w:cs="Arial"/>
          <w:color w:val="000000" w:themeColor="text1"/>
          <w:sz w:val="20"/>
          <w:szCs w:val="20"/>
        </w:rPr>
        <w:t>Iz spodnje preglednice je razvidno, da je v postopkih, v katerih je bilo vključenih več naročil, konkurenčnost večja.</w:t>
      </w:r>
    </w:p>
    <w:p w14:paraId="6FCEBACC" w14:textId="77777777" w:rsidR="008477FE" w:rsidRPr="00637ACF" w:rsidRDefault="008477FE">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7C29CA70" w14:textId="34B3C664" w:rsidR="00E426BE" w:rsidRPr="00866768" w:rsidRDefault="00E426BE" w:rsidP="00E426BE">
      <w:pPr>
        <w:spacing w:before="120" w:after="120" w:line="240" w:lineRule="auto"/>
        <w:jc w:val="both"/>
        <w:rPr>
          <w:rFonts w:ascii="Arial" w:hAnsi="Arial" w:cs="Arial"/>
          <w:color w:val="000000" w:themeColor="text1"/>
          <w:sz w:val="20"/>
        </w:rPr>
      </w:pPr>
      <w:r w:rsidRPr="00866768">
        <w:rPr>
          <w:rFonts w:ascii="Arial" w:hAnsi="Arial" w:cs="Arial"/>
          <w:color w:val="000000" w:themeColor="text1"/>
          <w:sz w:val="20"/>
        </w:rPr>
        <w:lastRenderedPageBreak/>
        <w:t xml:space="preserve">Preglednica </w:t>
      </w:r>
      <w:r w:rsidR="00512F52" w:rsidRPr="00866768">
        <w:rPr>
          <w:rFonts w:ascii="Arial" w:hAnsi="Arial" w:cs="Arial"/>
          <w:color w:val="000000" w:themeColor="text1"/>
          <w:sz w:val="20"/>
        </w:rPr>
        <w:t>3</w:t>
      </w:r>
      <w:r w:rsidR="00274CE8" w:rsidRPr="00866768">
        <w:rPr>
          <w:rFonts w:ascii="Arial" w:hAnsi="Arial" w:cs="Arial"/>
          <w:color w:val="000000" w:themeColor="text1"/>
          <w:sz w:val="20"/>
        </w:rPr>
        <w:t>2</w:t>
      </w:r>
      <w:r w:rsidRPr="00866768">
        <w:rPr>
          <w:rFonts w:ascii="Arial" w:hAnsi="Arial" w:cs="Arial"/>
          <w:color w:val="000000" w:themeColor="text1"/>
          <w:sz w:val="20"/>
        </w:rPr>
        <w:t xml:space="preserve">: Število in deleži </w:t>
      </w:r>
      <w:r w:rsidR="003972E1" w:rsidRPr="00866768">
        <w:rPr>
          <w:rFonts w:ascii="Arial" w:hAnsi="Arial" w:cs="Arial"/>
          <w:color w:val="000000" w:themeColor="text1"/>
          <w:sz w:val="20"/>
        </w:rPr>
        <w:t>postopkov</w:t>
      </w:r>
      <w:r w:rsidRPr="00866768">
        <w:rPr>
          <w:rFonts w:ascii="Arial" w:hAnsi="Arial" w:cs="Arial"/>
          <w:color w:val="000000" w:themeColor="text1"/>
          <w:sz w:val="20"/>
        </w:rPr>
        <w:t xml:space="preserve"> z eno </w:t>
      </w:r>
      <w:r w:rsidR="003972E1" w:rsidRPr="00866768">
        <w:rPr>
          <w:rFonts w:ascii="Arial" w:hAnsi="Arial" w:cs="Arial"/>
          <w:color w:val="000000" w:themeColor="text1"/>
          <w:sz w:val="20"/>
        </w:rPr>
        <w:t>ali več prejetimi</w:t>
      </w:r>
      <w:r w:rsidRPr="00866768">
        <w:rPr>
          <w:rFonts w:ascii="Arial" w:hAnsi="Arial" w:cs="Arial"/>
          <w:color w:val="000000" w:themeColor="text1"/>
          <w:sz w:val="20"/>
        </w:rPr>
        <w:t xml:space="preserve"> ponudb</w:t>
      </w:r>
      <w:r w:rsidR="003972E1" w:rsidRPr="00866768">
        <w:rPr>
          <w:rFonts w:ascii="Arial" w:hAnsi="Arial" w:cs="Arial"/>
          <w:color w:val="000000" w:themeColor="text1"/>
          <w:sz w:val="20"/>
        </w:rPr>
        <w:t>ami</w:t>
      </w:r>
      <w:r w:rsidRPr="00866768">
        <w:rPr>
          <w:rFonts w:ascii="Arial" w:hAnsi="Arial" w:cs="Arial"/>
          <w:color w:val="000000" w:themeColor="text1"/>
          <w:sz w:val="20"/>
        </w:rPr>
        <w:t xml:space="preserve"> v postopkih z enim </w:t>
      </w:r>
      <w:r w:rsidR="007A3E35" w:rsidRPr="00866768">
        <w:rPr>
          <w:rFonts w:ascii="Arial" w:hAnsi="Arial" w:cs="Arial"/>
          <w:color w:val="000000" w:themeColor="text1"/>
          <w:sz w:val="20"/>
        </w:rPr>
        <w:t>ali</w:t>
      </w:r>
      <w:r w:rsidR="003972E1" w:rsidRPr="00866768">
        <w:rPr>
          <w:rFonts w:ascii="Arial" w:hAnsi="Arial" w:cs="Arial"/>
          <w:color w:val="000000" w:themeColor="text1"/>
          <w:sz w:val="20"/>
        </w:rPr>
        <w:t xml:space="preserve"> več </w:t>
      </w:r>
      <w:r w:rsidRPr="00866768">
        <w:rPr>
          <w:rFonts w:ascii="Arial" w:hAnsi="Arial" w:cs="Arial"/>
          <w:color w:val="000000" w:themeColor="text1"/>
          <w:sz w:val="20"/>
        </w:rPr>
        <w:t>naročil</w:t>
      </w:r>
      <w:r w:rsidR="007A3E35" w:rsidRPr="00866768">
        <w:rPr>
          <w:rFonts w:ascii="Arial" w:hAnsi="Arial" w:cs="Arial"/>
          <w:color w:val="000000" w:themeColor="text1"/>
          <w:sz w:val="20"/>
        </w:rPr>
        <w:t>i</w:t>
      </w:r>
      <w:r w:rsidRPr="00866768">
        <w:rPr>
          <w:rFonts w:ascii="Arial" w:hAnsi="Arial" w:cs="Arial"/>
          <w:color w:val="000000" w:themeColor="text1"/>
          <w:sz w:val="20"/>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9"/>
        <w:gridCol w:w="961"/>
        <w:gridCol w:w="1160"/>
        <w:gridCol w:w="1380"/>
      </w:tblGrid>
      <w:tr w:rsidR="00122C38" w:rsidRPr="00866768" w14:paraId="5DACFB20" w14:textId="77777777" w:rsidTr="00C34ECE">
        <w:trPr>
          <w:trHeight w:val="255"/>
          <w:jc w:val="center"/>
        </w:trPr>
        <w:tc>
          <w:tcPr>
            <w:tcW w:w="4999" w:type="dxa"/>
            <w:shd w:val="clear" w:color="auto" w:fill="F2F2F2" w:themeFill="background1" w:themeFillShade="F2"/>
            <w:vAlign w:val="center"/>
            <w:hideMark/>
          </w:tcPr>
          <w:p w14:paraId="0C98F1AD" w14:textId="77777777" w:rsidR="00E425F1" w:rsidRPr="00866768" w:rsidRDefault="00E425F1" w:rsidP="00E425F1">
            <w:pPr>
              <w:spacing w:after="0" w:line="240" w:lineRule="auto"/>
              <w:jc w:val="center"/>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Delitev postopkov na naročila in št. prejetih ponudb</w:t>
            </w:r>
          </w:p>
        </w:tc>
        <w:tc>
          <w:tcPr>
            <w:tcW w:w="961" w:type="dxa"/>
            <w:shd w:val="clear" w:color="auto" w:fill="F2F2F2" w:themeFill="background1" w:themeFillShade="F2"/>
            <w:vAlign w:val="center"/>
            <w:hideMark/>
          </w:tcPr>
          <w:p w14:paraId="627C3AF5" w14:textId="59BEF6D2" w:rsidR="00E425F1" w:rsidRPr="00866768" w:rsidRDefault="00E425F1" w:rsidP="00E425F1">
            <w:pPr>
              <w:spacing w:after="0" w:line="240" w:lineRule="auto"/>
              <w:jc w:val="center"/>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Št</w:t>
            </w:r>
            <w:r w:rsidR="00ED4F85" w:rsidRPr="00866768">
              <w:rPr>
                <w:rFonts w:ascii="Arial" w:eastAsia="Times New Roman" w:hAnsi="Arial" w:cs="Arial"/>
                <w:color w:val="000000" w:themeColor="text1"/>
                <w:sz w:val="18"/>
                <w:szCs w:val="18"/>
                <w:lang w:eastAsia="sl-SI"/>
              </w:rPr>
              <w:t>.</w:t>
            </w:r>
            <w:r w:rsidRPr="00866768">
              <w:rPr>
                <w:rFonts w:ascii="Arial" w:eastAsia="Times New Roman" w:hAnsi="Arial" w:cs="Arial"/>
                <w:color w:val="000000" w:themeColor="text1"/>
                <w:sz w:val="18"/>
                <w:szCs w:val="18"/>
                <w:lang w:eastAsia="sl-SI"/>
              </w:rPr>
              <w:t xml:space="preserve"> postopkov</w:t>
            </w:r>
          </w:p>
        </w:tc>
        <w:tc>
          <w:tcPr>
            <w:tcW w:w="1160" w:type="dxa"/>
            <w:shd w:val="clear" w:color="auto" w:fill="F2F2F2" w:themeFill="background1" w:themeFillShade="F2"/>
            <w:vAlign w:val="center"/>
            <w:hideMark/>
          </w:tcPr>
          <w:p w14:paraId="52EEC349" w14:textId="77777777" w:rsidR="00E425F1" w:rsidRPr="00866768" w:rsidRDefault="00E425F1" w:rsidP="00E425F1">
            <w:pPr>
              <w:spacing w:after="0" w:line="240" w:lineRule="auto"/>
              <w:jc w:val="center"/>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Delež v št. postopkov</w:t>
            </w:r>
          </w:p>
        </w:tc>
        <w:tc>
          <w:tcPr>
            <w:tcW w:w="1380" w:type="dxa"/>
            <w:shd w:val="clear" w:color="auto" w:fill="F2F2F2" w:themeFill="background1" w:themeFillShade="F2"/>
            <w:vAlign w:val="center"/>
            <w:hideMark/>
          </w:tcPr>
          <w:p w14:paraId="2CC6B225" w14:textId="77777777" w:rsidR="00E425F1" w:rsidRPr="00866768" w:rsidRDefault="00E425F1" w:rsidP="00E425F1">
            <w:pPr>
              <w:spacing w:after="0" w:line="240" w:lineRule="auto"/>
              <w:jc w:val="center"/>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Delež v št. vseh postopkov</w:t>
            </w:r>
          </w:p>
        </w:tc>
      </w:tr>
      <w:tr w:rsidR="00EA028B" w:rsidRPr="00866768" w14:paraId="4547ACD4" w14:textId="77777777" w:rsidTr="00A46299">
        <w:trPr>
          <w:trHeight w:val="255"/>
          <w:jc w:val="center"/>
        </w:trPr>
        <w:tc>
          <w:tcPr>
            <w:tcW w:w="4999" w:type="dxa"/>
            <w:shd w:val="clear" w:color="auto" w:fill="auto"/>
            <w:vAlign w:val="center"/>
            <w:hideMark/>
          </w:tcPr>
          <w:p w14:paraId="502AD19E" w14:textId="77777777" w:rsidR="00EA028B" w:rsidRPr="00866768" w:rsidRDefault="00EA028B" w:rsidP="00EA028B">
            <w:pPr>
              <w:spacing w:after="0" w:line="240" w:lineRule="auto"/>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 xml:space="preserve">Postopek z enim naročilom </w:t>
            </w:r>
            <w:r w:rsidRPr="00866768">
              <w:rPr>
                <w:rFonts w:ascii="Symbol" w:eastAsia="Times New Roman" w:hAnsi="Symbol" w:cs="Arial"/>
                <w:color w:val="000000" w:themeColor="text1"/>
                <w:sz w:val="18"/>
                <w:szCs w:val="18"/>
                <w:lang w:eastAsia="sl-SI"/>
              </w:rPr>
              <w:t></w:t>
            </w:r>
            <w:r w:rsidRPr="00866768">
              <w:rPr>
                <w:rFonts w:ascii="Arial" w:eastAsia="Times New Roman" w:hAnsi="Arial" w:cs="Arial"/>
                <w:color w:val="000000" w:themeColor="text1"/>
                <w:sz w:val="18"/>
                <w:szCs w:val="18"/>
                <w:lang w:eastAsia="sl-SI"/>
              </w:rPr>
              <w:t xml:space="preserve"> prejeta ena ponudba</w:t>
            </w:r>
          </w:p>
        </w:tc>
        <w:tc>
          <w:tcPr>
            <w:tcW w:w="961" w:type="dxa"/>
            <w:shd w:val="clear" w:color="auto" w:fill="auto"/>
            <w:vAlign w:val="center"/>
            <w:hideMark/>
          </w:tcPr>
          <w:p w14:paraId="15B86FD2" w14:textId="73896E75" w:rsidR="00EA028B" w:rsidRPr="00866768" w:rsidRDefault="00EA028B" w:rsidP="00EA028B">
            <w:pPr>
              <w:spacing w:after="0" w:line="240" w:lineRule="auto"/>
              <w:jc w:val="right"/>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3.03</w:t>
            </w:r>
            <w:r w:rsidR="00866768" w:rsidRPr="00866768">
              <w:rPr>
                <w:rFonts w:ascii="Arial" w:eastAsia="Times New Roman" w:hAnsi="Arial" w:cs="Arial"/>
                <w:color w:val="000000" w:themeColor="text1"/>
                <w:sz w:val="18"/>
                <w:szCs w:val="18"/>
                <w:lang w:eastAsia="sl-SI"/>
              </w:rPr>
              <w:t>0</w:t>
            </w:r>
          </w:p>
        </w:tc>
        <w:tc>
          <w:tcPr>
            <w:tcW w:w="1160" w:type="dxa"/>
            <w:shd w:val="clear" w:color="auto" w:fill="auto"/>
            <w:vAlign w:val="center"/>
            <w:hideMark/>
          </w:tcPr>
          <w:p w14:paraId="5FA68176" w14:textId="12CF4173" w:rsidR="00EA028B" w:rsidRPr="00866768" w:rsidRDefault="00EA028B" w:rsidP="00EA028B">
            <w:pPr>
              <w:spacing w:after="0" w:line="240" w:lineRule="auto"/>
              <w:jc w:val="right"/>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55,9</w:t>
            </w:r>
            <w:r w:rsidR="00866768" w:rsidRPr="00866768">
              <w:rPr>
                <w:rFonts w:ascii="Arial" w:eastAsia="Times New Roman" w:hAnsi="Arial" w:cs="Arial"/>
                <w:color w:val="000000" w:themeColor="text1"/>
                <w:sz w:val="18"/>
                <w:szCs w:val="18"/>
                <w:lang w:eastAsia="sl-SI"/>
              </w:rPr>
              <w:t>9</w:t>
            </w:r>
            <w:r w:rsidR="009A172B" w:rsidRPr="00866768">
              <w:rPr>
                <w:rFonts w:ascii="Arial" w:eastAsia="Times New Roman" w:hAnsi="Arial" w:cs="Arial"/>
                <w:color w:val="000000" w:themeColor="text1"/>
                <w:sz w:val="18"/>
                <w:szCs w:val="18"/>
                <w:lang w:eastAsia="sl-SI"/>
              </w:rPr>
              <w:t xml:space="preserve"> </w:t>
            </w:r>
            <w:r w:rsidRPr="00866768">
              <w:rPr>
                <w:rFonts w:ascii="Arial" w:eastAsia="Times New Roman" w:hAnsi="Arial" w:cs="Arial"/>
                <w:color w:val="000000" w:themeColor="text1"/>
                <w:sz w:val="18"/>
                <w:szCs w:val="18"/>
                <w:lang w:eastAsia="sl-SI"/>
              </w:rPr>
              <w:t>%</w:t>
            </w:r>
          </w:p>
        </w:tc>
        <w:tc>
          <w:tcPr>
            <w:tcW w:w="1380" w:type="dxa"/>
            <w:vMerge w:val="restart"/>
            <w:shd w:val="clear" w:color="auto" w:fill="auto"/>
            <w:vAlign w:val="center"/>
            <w:hideMark/>
          </w:tcPr>
          <w:p w14:paraId="11C17239" w14:textId="664443BB" w:rsidR="00EA028B" w:rsidRPr="00866768" w:rsidRDefault="00EA028B" w:rsidP="00A46299">
            <w:pPr>
              <w:spacing w:after="0" w:line="240" w:lineRule="auto"/>
              <w:jc w:val="center"/>
              <w:rPr>
                <w:rFonts w:ascii="Arial" w:eastAsia="Times New Roman" w:hAnsi="Arial" w:cs="Arial"/>
                <w:b/>
                <w:bCs/>
                <w:color w:val="000000" w:themeColor="text1"/>
                <w:sz w:val="18"/>
                <w:szCs w:val="18"/>
                <w:lang w:eastAsia="sl-SI"/>
              </w:rPr>
            </w:pPr>
            <w:r w:rsidRPr="00866768">
              <w:rPr>
                <w:rFonts w:ascii="Arial" w:eastAsia="Times New Roman" w:hAnsi="Arial" w:cs="Arial"/>
                <w:b/>
                <w:bCs/>
                <w:color w:val="000000" w:themeColor="text1"/>
                <w:sz w:val="18"/>
                <w:szCs w:val="18"/>
                <w:lang w:eastAsia="sl-SI"/>
              </w:rPr>
              <w:t>75,</w:t>
            </w:r>
            <w:r w:rsidR="00866768" w:rsidRPr="00866768">
              <w:rPr>
                <w:rFonts w:ascii="Arial" w:eastAsia="Times New Roman" w:hAnsi="Arial" w:cs="Arial"/>
                <w:b/>
                <w:bCs/>
                <w:color w:val="000000" w:themeColor="text1"/>
                <w:sz w:val="18"/>
                <w:szCs w:val="18"/>
                <w:lang w:eastAsia="sl-SI"/>
              </w:rPr>
              <w:t>69</w:t>
            </w:r>
            <w:r w:rsidRPr="00866768">
              <w:rPr>
                <w:rFonts w:ascii="Arial" w:eastAsia="Times New Roman" w:hAnsi="Arial" w:cs="Arial"/>
                <w:b/>
                <w:bCs/>
                <w:color w:val="000000" w:themeColor="text1"/>
                <w:sz w:val="18"/>
                <w:szCs w:val="18"/>
                <w:lang w:eastAsia="sl-SI"/>
              </w:rPr>
              <w:t xml:space="preserve"> %</w:t>
            </w:r>
          </w:p>
        </w:tc>
      </w:tr>
      <w:tr w:rsidR="00EA028B" w:rsidRPr="00866768" w14:paraId="67EB60B7" w14:textId="77777777" w:rsidTr="00A46299">
        <w:trPr>
          <w:trHeight w:val="255"/>
          <w:jc w:val="center"/>
        </w:trPr>
        <w:tc>
          <w:tcPr>
            <w:tcW w:w="4999" w:type="dxa"/>
            <w:shd w:val="clear" w:color="auto" w:fill="auto"/>
            <w:vAlign w:val="center"/>
            <w:hideMark/>
          </w:tcPr>
          <w:p w14:paraId="69BE1CBA" w14:textId="77777777" w:rsidR="00EA028B" w:rsidRPr="00866768" w:rsidRDefault="00EA028B" w:rsidP="00EA028B">
            <w:pPr>
              <w:spacing w:after="0" w:line="240" w:lineRule="auto"/>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 xml:space="preserve">Postopek z enim naročilom </w:t>
            </w:r>
            <w:r w:rsidRPr="00866768">
              <w:rPr>
                <w:rFonts w:ascii="Symbol" w:eastAsia="Times New Roman" w:hAnsi="Symbol" w:cs="Arial"/>
                <w:color w:val="000000" w:themeColor="text1"/>
                <w:sz w:val="18"/>
                <w:szCs w:val="18"/>
                <w:lang w:eastAsia="sl-SI"/>
              </w:rPr>
              <w:t></w:t>
            </w:r>
            <w:r w:rsidRPr="00866768">
              <w:rPr>
                <w:rFonts w:ascii="Arial" w:eastAsia="Times New Roman" w:hAnsi="Arial" w:cs="Arial"/>
                <w:color w:val="000000" w:themeColor="text1"/>
                <w:sz w:val="18"/>
                <w:szCs w:val="18"/>
                <w:lang w:eastAsia="sl-SI"/>
              </w:rPr>
              <w:t xml:space="preserve"> prejetih več ponudb</w:t>
            </w:r>
          </w:p>
        </w:tc>
        <w:tc>
          <w:tcPr>
            <w:tcW w:w="961" w:type="dxa"/>
            <w:shd w:val="clear" w:color="auto" w:fill="auto"/>
            <w:vAlign w:val="center"/>
            <w:hideMark/>
          </w:tcPr>
          <w:p w14:paraId="3D60F1FF" w14:textId="3CB4F5B1" w:rsidR="00EA028B" w:rsidRPr="00866768" w:rsidRDefault="00EA028B" w:rsidP="00EA028B">
            <w:pPr>
              <w:spacing w:after="0" w:line="240" w:lineRule="auto"/>
              <w:jc w:val="right"/>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2.38</w:t>
            </w:r>
            <w:r w:rsidR="00866768" w:rsidRPr="00866768">
              <w:rPr>
                <w:rFonts w:ascii="Arial" w:eastAsia="Times New Roman" w:hAnsi="Arial" w:cs="Arial"/>
                <w:color w:val="000000" w:themeColor="text1"/>
                <w:sz w:val="18"/>
                <w:szCs w:val="18"/>
                <w:lang w:eastAsia="sl-SI"/>
              </w:rPr>
              <w:t>2</w:t>
            </w:r>
          </w:p>
        </w:tc>
        <w:tc>
          <w:tcPr>
            <w:tcW w:w="1160" w:type="dxa"/>
            <w:shd w:val="clear" w:color="auto" w:fill="auto"/>
            <w:vAlign w:val="center"/>
            <w:hideMark/>
          </w:tcPr>
          <w:p w14:paraId="4B30A917" w14:textId="2BE579C5" w:rsidR="00EA028B" w:rsidRPr="00866768" w:rsidRDefault="00EA028B" w:rsidP="00EA028B">
            <w:pPr>
              <w:spacing w:after="0" w:line="240" w:lineRule="auto"/>
              <w:jc w:val="right"/>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44,0</w:t>
            </w:r>
            <w:r w:rsidR="00866768" w:rsidRPr="00866768">
              <w:rPr>
                <w:rFonts w:ascii="Arial" w:eastAsia="Times New Roman" w:hAnsi="Arial" w:cs="Arial"/>
                <w:color w:val="000000" w:themeColor="text1"/>
                <w:sz w:val="18"/>
                <w:szCs w:val="18"/>
                <w:lang w:eastAsia="sl-SI"/>
              </w:rPr>
              <w:t>1</w:t>
            </w:r>
            <w:r w:rsidR="009A172B" w:rsidRPr="00866768">
              <w:rPr>
                <w:rFonts w:ascii="Arial" w:eastAsia="Times New Roman" w:hAnsi="Arial" w:cs="Arial"/>
                <w:color w:val="000000" w:themeColor="text1"/>
                <w:sz w:val="18"/>
                <w:szCs w:val="18"/>
                <w:lang w:eastAsia="sl-SI"/>
              </w:rPr>
              <w:t xml:space="preserve"> </w:t>
            </w:r>
            <w:r w:rsidRPr="00866768">
              <w:rPr>
                <w:rFonts w:ascii="Arial" w:eastAsia="Times New Roman" w:hAnsi="Arial" w:cs="Arial"/>
                <w:color w:val="000000" w:themeColor="text1"/>
                <w:sz w:val="18"/>
                <w:szCs w:val="18"/>
                <w:lang w:eastAsia="sl-SI"/>
              </w:rPr>
              <w:t>%</w:t>
            </w:r>
          </w:p>
        </w:tc>
        <w:tc>
          <w:tcPr>
            <w:tcW w:w="1380" w:type="dxa"/>
            <w:vMerge/>
            <w:vAlign w:val="center"/>
            <w:hideMark/>
          </w:tcPr>
          <w:p w14:paraId="24D3AEF3" w14:textId="77777777" w:rsidR="00EA028B" w:rsidRPr="00866768" w:rsidRDefault="00EA028B" w:rsidP="00A46299">
            <w:pPr>
              <w:spacing w:after="0" w:line="240" w:lineRule="auto"/>
              <w:jc w:val="center"/>
              <w:rPr>
                <w:rFonts w:ascii="Arial" w:eastAsia="Times New Roman" w:hAnsi="Arial" w:cs="Arial"/>
                <w:b/>
                <w:bCs/>
                <w:color w:val="000000" w:themeColor="text1"/>
                <w:sz w:val="18"/>
                <w:szCs w:val="18"/>
                <w:lang w:eastAsia="sl-SI"/>
              </w:rPr>
            </w:pPr>
          </w:p>
        </w:tc>
      </w:tr>
      <w:tr w:rsidR="00EA028B" w:rsidRPr="00866768" w14:paraId="3F06515E" w14:textId="77777777" w:rsidTr="00A46299">
        <w:trPr>
          <w:trHeight w:val="255"/>
          <w:jc w:val="center"/>
        </w:trPr>
        <w:tc>
          <w:tcPr>
            <w:tcW w:w="4999" w:type="dxa"/>
            <w:shd w:val="clear" w:color="auto" w:fill="auto"/>
            <w:vAlign w:val="center"/>
            <w:hideMark/>
          </w:tcPr>
          <w:p w14:paraId="4BEA2E69" w14:textId="77777777" w:rsidR="00EA028B" w:rsidRPr="00866768" w:rsidRDefault="00EA028B" w:rsidP="00EA028B">
            <w:pPr>
              <w:spacing w:after="0" w:line="240" w:lineRule="auto"/>
              <w:rPr>
                <w:rFonts w:ascii="Arial" w:eastAsia="Times New Roman" w:hAnsi="Arial" w:cs="Arial"/>
                <w:b/>
                <w:bCs/>
                <w:color w:val="000000" w:themeColor="text1"/>
                <w:sz w:val="18"/>
                <w:szCs w:val="18"/>
                <w:lang w:eastAsia="sl-SI"/>
              </w:rPr>
            </w:pPr>
            <w:r w:rsidRPr="00866768">
              <w:rPr>
                <w:rFonts w:ascii="Arial" w:eastAsia="Times New Roman" w:hAnsi="Arial" w:cs="Arial"/>
                <w:b/>
                <w:bCs/>
                <w:color w:val="000000" w:themeColor="text1"/>
                <w:sz w:val="18"/>
                <w:szCs w:val="18"/>
                <w:lang w:eastAsia="sl-SI"/>
              </w:rPr>
              <w:t xml:space="preserve">Skupaj </w:t>
            </w:r>
          </w:p>
        </w:tc>
        <w:tc>
          <w:tcPr>
            <w:tcW w:w="961" w:type="dxa"/>
            <w:shd w:val="clear" w:color="auto" w:fill="auto"/>
            <w:vAlign w:val="center"/>
            <w:hideMark/>
          </w:tcPr>
          <w:p w14:paraId="72035B7E" w14:textId="5CACC9BC" w:rsidR="00EA028B" w:rsidRPr="00866768" w:rsidRDefault="00EA028B" w:rsidP="00EA028B">
            <w:pPr>
              <w:spacing w:after="0" w:line="240" w:lineRule="auto"/>
              <w:jc w:val="right"/>
              <w:rPr>
                <w:rFonts w:ascii="Arial" w:eastAsia="Times New Roman" w:hAnsi="Arial" w:cs="Arial"/>
                <w:b/>
                <w:bCs/>
                <w:color w:val="000000" w:themeColor="text1"/>
                <w:sz w:val="18"/>
                <w:szCs w:val="18"/>
                <w:lang w:eastAsia="sl-SI"/>
              </w:rPr>
            </w:pPr>
            <w:r w:rsidRPr="00866768">
              <w:rPr>
                <w:rFonts w:ascii="Arial" w:eastAsia="Times New Roman" w:hAnsi="Arial" w:cs="Arial"/>
                <w:b/>
                <w:bCs/>
                <w:color w:val="000000" w:themeColor="text1"/>
                <w:sz w:val="18"/>
                <w:szCs w:val="18"/>
                <w:lang w:eastAsia="sl-SI"/>
              </w:rPr>
              <w:t>5.41</w:t>
            </w:r>
            <w:r w:rsidR="00866768" w:rsidRPr="00866768">
              <w:rPr>
                <w:rFonts w:ascii="Arial" w:eastAsia="Times New Roman" w:hAnsi="Arial" w:cs="Arial"/>
                <w:b/>
                <w:bCs/>
                <w:color w:val="000000" w:themeColor="text1"/>
                <w:sz w:val="18"/>
                <w:szCs w:val="18"/>
                <w:lang w:eastAsia="sl-SI"/>
              </w:rPr>
              <w:t>2</w:t>
            </w:r>
          </w:p>
        </w:tc>
        <w:tc>
          <w:tcPr>
            <w:tcW w:w="1160" w:type="dxa"/>
            <w:shd w:val="clear" w:color="auto" w:fill="auto"/>
            <w:vAlign w:val="center"/>
            <w:hideMark/>
          </w:tcPr>
          <w:p w14:paraId="05D9D974" w14:textId="3396007E" w:rsidR="00EA028B" w:rsidRPr="00866768" w:rsidRDefault="00EA028B" w:rsidP="00EA028B">
            <w:pPr>
              <w:spacing w:after="0" w:line="240" w:lineRule="auto"/>
              <w:jc w:val="right"/>
              <w:rPr>
                <w:rFonts w:ascii="Arial" w:eastAsia="Times New Roman" w:hAnsi="Arial" w:cs="Arial"/>
                <w:b/>
                <w:bCs/>
                <w:color w:val="000000" w:themeColor="text1"/>
                <w:sz w:val="18"/>
                <w:szCs w:val="18"/>
                <w:lang w:eastAsia="sl-SI"/>
              </w:rPr>
            </w:pPr>
            <w:r w:rsidRPr="00866768">
              <w:rPr>
                <w:rFonts w:ascii="Arial" w:eastAsia="Times New Roman" w:hAnsi="Arial" w:cs="Arial"/>
                <w:b/>
                <w:bCs/>
                <w:color w:val="000000" w:themeColor="text1"/>
                <w:sz w:val="18"/>
                <w:szCs w:val="18"/>
                <w:lang w:eastAsia="sl-SI"/>
              </w:rPr>
              <w:t>100,00 %</w:t>
            </w:r>
          </w:p>
        </w:tc>
        <w:tc>
          <w:tcPr>
            <w:tcW w:w="1380" w:type="dxa"/>
            <w:vMerge/>
            <w:vAlign w:val="center"/>
            <w:hideMark/>
          </w:tcPr>
          <w:p w14:paraId="1177E12E" w14:textId="77777777" w:rsidR="00EA028B" w:rsidRPr="00866768" w:rsidRDefault="00EA028B" w:rsidP="00A46299">
            <w:pPr>
              <w:spacing w:after="0" w:line="240" w:lineRule="auto"/>
              <w:jc w:val="center"/>
              <w:rPr>
                <w:rFonts w:ascii="Arial" w:eastAsia="Times New Roman" w:hAnsi="Arial" w:cs="Arial"/>
                <w:b/>
                <w:bCs/>
                <w:color w:val="000000" w:themeColor="text1"/>
                <w:sz w:val="18"/>
                <w:szCs w:val="18"/>
                <w:lang w:eastAsia="sl-SI"/>
              </w:rPr>
            </w:pPr>
          </w:p>
        </w:tc>
      </w:tr>
      <w:tr w:rsidR="00EA028B" w:rsidRPr="00866768" w14:paraId="639591FE" w14:textId="77777777" w:rsidTr="00A46299">
        <w:trPr>
          <w:trHeight w:val="255"/>
          <w:jc w:val="center"/>
        </w:trPr>
        <w:tc>
          <w:tcPr>
            <w:tcW w:w="4999" w:type="dxa"/>
            <w:shd w:val="clear" w:color="auto" w:fill="auto"/>
            <w:vAlign w:val="center"/>
            <w:hideMark/>
          </w:tcPr>
          <w:p w14:paraId="706C4AB4" w14:textId="04417FEA" w:rsidR="00EA028B" w:rsidRPr="00866768" w:rsidRDefault="00EA028B" w:rsidP="00EA028B">
            <w:pPr>
              <w:spacing w:after="0" w:line="240" w:lineRule="auto"/>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 xml:space="preserve">Postopek z več naročili  </w:t>
            </w:r>
            <w:r w:rsidRPr="00866768">
              <w:rPr>
                <w:rFonts w:ascii="Symbol" w:eastAsia="Times New Roman" w:hAnsi="Symbol" w:cs="Arial"/>
                <w:color w:val="000000" w:themeColor="text1"/>
                <w:sz w:val="18"/>
                <w:szCs w:val="18"/>
                <w:lang w:eastAsia="sl-SI"/>
              </w:rPr>
              <w:t></w:t>
            </w:r>
            <w:r w:rsidRPr="00866768">
              <w:rPr>
                <w:rFonts w:ascii="Symbol" w:eastAsia="Times New Roman" w:hAnsi="Symbol" w:cs="Arial"/>
                <w:color w:val="000000" w:themeColor="text1"/>
                <w:sz w:val="18"/>
                <w:szCs w:val="18"/>
                <w:lang w:eastAsia="sl-SI"/>
              </w:rPr>
              <w:t></w:t>
            </w:r>
            <w:r w:rsidRPr="00866768">
              <w:rPr>
                <w:rFonts w:ascii="Arial" w:eastAsia="Times New Roman" w:hAnsi="Arial" w:cs="Arial"/>
                <w:color w:val="000000" w:themeColor="text1"/>
                <w:sz w:val="18"/>
                <w:szCs w:val="18"/>
                <w:lang w:eastAsia="sl-SI"/>
              </w:rPr>
              <w:t>prejeta ena ponudba</w:t>
            </w:r>
          </w:p>
        </w:tc>
        <w:tc>
          <w:tcPr>
            <w:tcW w:w="961" w:type="dxa"/>
            <w:shd w:val="clear" w:color="auto" w:fill="auto"/>
            <w:vAlign w:val="center"/>
            <w:hideMark/>
          </w:tcPr>
          <w:p w14:paraId="057AC724" w14:textId="4FE670B6" w:rsidR="00EA028B" w:rsidRPr="00866768" w:rsidRDefault="00EA028B" w:rsidP="00EA028B">
            <w:pPr>
              <w:spacing w:after="0" w:line="240" w:lineRule="auto"/>
              <w:jc w:val="right"/>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483</w:t>
            </w:r>
          </w:p>
        </w:tc>
        <w:tc>
          <w:tcPr>
            <w:tcW w:w="1160" w:type="dxa"/>
            <w:shd w:val="clear" w:color="auto" w:fill="auto"/>
            <w:vAlign w:val="center"/>
            <w:hideMark/>
          </w:tcPr>
          <w:p w14:paraId="52366B58" w14:textId="18DB5838" w:rsidR="00EA028B" w:rsidRPr="00866768" w:rsidRDefault="00EA028B" w:rsidP="00EA028B">
            <w:pPr>
              <w:spacing w:after="0" w:line="240" w:lineRule="auto"/>
              <w:jc w:val="right"/>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27,79</w:t>
            </w:r>
            <w:r w:rsidR="009A172B" w:rsidRPr="00866768">
              <w:rPr>
                <w:rFonts w:ascii="Arial" w:eastAsia="Times New Roman" w:hAnsi="Arial" w:cs="Arial"/>
                <w:color w:val="000000" w:themeColor="text1"/>
                <w:sz w:val="18"/>
                <w:szCs w:val="18"/>
                <w:lang w:eastAsia="sl-SI"/>
              </w:rPr>
              <w:t xml:space="preserve"> </w:t>
            </w:r>
            <w:r w:rsidRPr="00866768">
              <w:rPr>
                <w:rFonts w:ascii="Arial" w:eastAsia="Times New Roman" w:hAnsi="Arial" w:cs="Arial"/>
                <w:color w:val="000000" w:themeColor="text1"/>
                <w:sz w:val="18"/>
                <w:szCs w:val="18"/>
                <w:lang w:eastAsia="sl-SI"/>
              </w:rPr>
              <w:t>%</w:t>
            </w:r>
          </w:p>
        </w:tc>
        <w:tc>
          <w:tcPr>
            <w:tcW w:w="1380" w:type="dxa"/>
            <w:vMerge w:val="restart"/>
            <w:shd w:val="clear" w:color="auto" w:fill="auto"/>
            <w:vAlign w:val="center"/>
            <w:hideMark/>
          </w:tcPr>
          <w:p w14:paraId="0CC102D0" w14:textId="3D54803E" w:rsidR="00EA028B" w:rsidRPr="00866768" w:rsidRDefault="00EA028B" w:rsidP="00A46299">
            <w:pPr>
              <w:spacing w:after="0" w:line="240" w:lineRule="auto"/>
              <w:jc w:val="center"/>
              <w:rPr>
                <w:rFonts w:ascii="Arial" w:eastAsia="Times New Roman" w:hAnsi="Arial" w:cs="Arial"/>
                <w:b/>
                <w:bCs/>
                <w:color w:val="000000" w:themeColor="text1"/>
                <w:sz w:val="18"/>
                <w:szCs w:val="18"/>
                <w:lang w:eastAsia="sl-SI"/>
              </w:rPr>
            </w:pPr>
            <w:r w:rsidRPr="00866768">
              <w:rPr>
                <w:rFonts w:ascii="Arial" w:eastAsia="Times New Roman" w:hAnsi="Arial" w:cs="Arial"/>
                <w:b/>
                <w:bCs/>
                <w:color w:val="000000" w:themeColor="text1"/>
                <w:sz w:val="18"/>
                <w:szCs w:val="18"/>
                <w:lang w:eastAsia="sl-SI"/>
              </w:rPr>
              <w:t>24,3</w:t>
            </w:r>
            <w:r w:rsidR="00866768" w:rsidRPr="00866768">
              <w:rPr>
                <w:rFonts w:ascii="Arial" w:eastAsia="Times New Roman" w:hAnsi="Arial" w:cs="Arial"/>
                <w:b/>
                <w:bCs/>
                <w:color w:val="000000" w:themeColor="text1"/>
                <w:sz w:val="18"/>
                <w:szCs w:val="18"/>
                <w:lang w:eastAsia="sl-SI"/>
              </w:rPr>
              <w:t>1</w:t>
            </w:r>
            <w:r w:rsidRPr="00866768">
              <w:rPr>
                <w:rFonts w:ascii="Arial" w:eastAsia="Times New Roman" w:hAnsi="Arial" w:cs="Arial"/>
                <w:b/>
                <w:bCs/>
                <w:color w:val="000000" w:themeColor="text1"/>
                <w:sz w:val="18"/>
                <w:szCs w:val="18"/>
                <w:lang w:eastAsia="sl-SI"/>
              </w:rPr>
              <w:t xml:space="preserve"> %</w:t>
            </w:r>
          </w:p>
        </w:tc>
      </w:tr>
      <w:tr w:rsidR="00EA028B" w:rsidRPr="00866768" w14:paraId="52C3D3F2" w14:textId="77777777" w:rsidTr="00EA028B">
        <w:trPr>
          <w:trHeight w:val="255"/>
          <w:jc w:val="center"/>
        </w:trPr>
        <w:tc>
          <w:tcPr>
            <w:tcW w:w="4999" w:type="dxa"/>
            <w:shd w:val="clear" w:color="auto" w:fill="auto"/>
            <w:vAlign w:val="center"/>
            <w:hideMark/>
          </w:tcPr>
          <w:p w14:paraId="7C0EB275" w14:textId="046E20FC" w:rsidR="00EA028B" w:rsidRPr="00866768" w:rsidRDefault="00EA028B" w:rsidP="00EA028B">
            <w:pPr>
              <w:spacing w:after="0" w:line="240" w:lineRule="auto"/>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 xml:space="preserve">Postopek z več naročili </w:t>
            </w:r>
            <w:r w:rsidRPr="00866768">
              <w:rPr>
                <w:rFonts w:ascii="Symbol" w:eastAsia="Times New Roman" w:hAnsi="Symbol" w:cs="Arial"/>
                <w:color w:val="000000" w:themeColor="text1"/>
                <w:sz w:val="18"/>
                <w:szCs w:val="18"/>
                <w:lang w:eastAsia="sl-SI"/>
              </w:rPr>
              <w:t></w:t>
            </w:r>
            <w:r w:rsidRPr="00866768">
              <w:rPr>
                <w:rFonts w:ascii="Arial" w:eastAsia="Times New Roman" w:hAnsi="Arial" w:cs="Arial"/>
                <w:color w:val="000000" w:themeColor="text1"/>
                <w:sz w:val="18"/>
                <w:szCs w:val="18"/>
                <w:lang w:eastAsia="sl-SI"/>
              </w:rPr>
              <w:t xml:space="preserve"> prejetih več ponudb</w:t>
            </w:r>
          </w:p>
        </w:tc>
        <w:tc>
          <w:tcPr>
            <w:tcW w:w="961" w:type="dxa"/>
            <w:shd w:val="clear" w:color="auto" w:fill="auto"/>
            <w:vAlign w:val="center"/>
            <w:hideMark/>
          </w:tcPr>
          <w:p w14:paraId="5AE13600" w14:textId="3422223E" w:rsidR="00EA028B" w:rsidRPr="00866768" w:rsidRDefault="00EA028B" w:rsidP="00EA028B">
            <w:pPr>
              <w:spacing w:after="0" w:line="240" w:lineRule="auto"/>
              <w:jc w:val="right"/>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1.255</w:t>
            </w:r>
          </w:p>
        </w:tc>
        <w:tc>
          <w:tcPr>
            <w:tcW w:w="1160" w:type="dxa"/>
            <w:shd w:val="clear" w:color="auto" w:fill="auto"/>
            <w:vAlign w:val="center"/>
            <w:hideMark/>
          </w:tcPr>
          <w:p w14:paraId="0CE195D0" w14:textId="31D42699" w:rsidR="00EA028B" w:rsidRPr="00866768" w:rsidRDefault="00EA028B" w:rsidP="00EA028B">
            <w:pPr>
              <w:spacing w:after="0" w:line="240" w:lineRule="auto"/>
              <w:jc w:val="right"/>
              <w:rPr>
                <w:rFonts w:ascii="Arial" w:eastAsia="Times New Roman" w:hAnsi="Arial" w:cs="Arial"/>
                <w:color w:val="000000" w:themeColor="text1"/>
                <w:sz w:val="18"/>
                <w:szCs w:val="18"/>
                <w:lang w:eastAsia="sl-SI"/>
              </w:rPr>
            </w:pPr>
            <w:r w:rsidRPr="00866768">
              <w:rPr>
                <w:rFonts w:ascii="Arial" w:eastAsia="Times New Roman" w:hAnsi="Arial" w:cs="Arial"/>
                <w:color w:val="000000" w:themeColor="text1"/>
                <w:sz w:val="18"/>
                <w:szCs w:val="18"/>
                <w:lang w:eastAsia="sl-SI"/>
              </w:rPr>
              <w:t>72,21</w:t>
            </w:r>
            <w:r w:rsidR="009A172B" w:rsidRPr="00866768">
              <w:rPr>
                <w:rFonts w:ascii="Arial" w:eastAsia="Times New Roman" w:hAnsi="Arial" w:cs="Arial"/>
                <w:color w:val="000000" w:themeColor="text1"/>
                <w:sz w:val="18"/>
                <w:szCs w:val="18"/>
                <w:lang w:eastAsia="sl-SI"/>
              </w:rPr>
              <w:t xml:space="preserve"> </w:t>
            </w:r>
            <w:r w:rsidRPr="00866768">
              <w:rPr>
                <w:rFonts w:ascii="Arial" w:eastAsia="Times New Roman" w:hAnsi="Arial" w:cs="Arial"/>
                <w:color w:val="000000" w:themeColor="text1"/>
                <w:sz w:val="18"/>
                <w:szCs w:val="18"/>
                <w:lang w:eastAsia="sl-SI"/>
              </w:rPr>
              <w:t>%</w:t>
            </w:r>
          </w:p>
        </w:tc>
        <w:tc>
          <w:tcPr>
            <w:tcW w:w="1380" w:type="dxa"/>
            <w:vMerge/>
            <w:vAlign w:val="center"/>
            <w:hideMark/>
          </w:tcPr>
          <w:p w14:paraId="453D110C" w14:textId="77777777" w:rsidR="00EA028B" w:rsidRPr="00866768" w:rsidRDefault="00EA028B" w:rsidP="00EA028B">
            <w:pPr>
              <w:spacing w:after="0" w:line="240" w:lineRule="auto"/>
              <w:rPr>
                <w:rFonts w:ascii="Arial" w:eastAsia="Times New Roman" w:hAnsi="Arial" w:cs="Arial"/>
                <w:b/>
                <w:bCs/>
                <w:color w:val="000000" w:themeColor="text1"/>
                <w:sz w:val="18"/>
                <w:szCs w:val="18"/>
                <w:lang w:eastAsia="sl-SI"/>
              </w:rPr>
            </w:pPr>
          </w:p>
        </w:tc>
      </w:tr>
      <w:tr w:rsidR="00EA028B" w:rsidRPr="00866768" w14:paraId="1F688C49" w14:textId="77777777" w:rsidTr="00EA028B">
        <w:trPr>
          <w:trHeight w:val="255"/>
          <w:jc w:val="center"/>
        </w:trPr>
        <w:tc>
          <w:tcPr>
            <w:tcW w:w="4999" w:type="dxa"/>
            <w:shd w:val="clear" w:color="auto" w:fill="auto"/>
            <w:vAlign w:val="center"/>
            <w:hideMark/>
          </w:tcPr>
          <w:p w14:paraId="3DA6DBE8" w14:textId="77777777" w:rsidR="00EA028B" w:rsidRPr="00866768" w:rsidRDefault="00EA028B" w:rsidP="00EA028B">
            <w:pPr>
              <w:spacing w:after="0" w:line="240" w:lineRule="auto"/>
              <w:rPr>
                <w:rFonts w:ascii="Arial" w:eastAsia="Times New Roman" w:hAnsi="Arial" w:cs="Arial"/>
                <w:b/>
                <w:bCs/>
                <w:color w:val="000000" w:themeColor="text1"/>
                <w:sz w:val="18"/>
                <w:szCs w:val="18"/>
                <w:lang w:eastAsia="sl-SI"/>
              </w:rPr>
            </w:pPr>
            <w:r w:rsidRPr="00866768">
              <w:rPr>
                <w:rFonts w:ascii="Arial" w:eastAsia="Times New Roman" w:hAnsi="Arial" w:cs="Arial"/>
                <w:b/>
                <w:bCs/>
                <w:color w:val="000000" w:themeColor="text1"/>
                <w:sz w:val="18"/>
                <w:szCs w:val="18"/>
                <w:lang w:eastAsia="sl-SI"/>
              </w:rPr>
              <w:t>Skupaj</w:t>
            </w:r>
          </w:p>
        </w:tc>
        <w:tc>
          <w:tcPr>
            <w:tcW w:w="961" w:type="dxa"/>
            <w:shd w:val="clear" w:color="auto" w:fill="auto"/>
            <w:vAlign w:val="center"/>
            <w:hideMark/>
          </w:tcPr>
          <w:p w14:paraId="454F29D3" w14:textId="1C88675D" w:rsidR="00EA028B" w:rsidRPr="00866768" w:rsidRDefault="00EA028B" w:rsidP="00EA028B">
            <w:pPr>
              <w:spacing w:after="0" w:line="240" w:lineRule="auto"/>
              <w:jc w:val="right"/>
              <w:rPr>
                <w:rFonts w:ascii="Arial" w:eastAsia="Times New Roman" w:hAnsi="Arial" w:cs="Arial"/>
                <w:b/>
                <w:bCs/>
                <w:color w:val="000000" w:themeColor="text1"/>
                <w:sz w:val="18"/>
                <w:szCs w:val="18"/>
                <w:lang w:eastAsia="sl-SI"/>
              </w:rPr>
            </w:pPr>
            <w:r w:rsidRPr="00866768">
              <w:rPr>
                <w:rFonts w:ascii="Arial" w:eastAsia="Times New Roman" w:hAnsi="Arial" w:cs="Arial"/>
                <w:b/>
                <w:bCs/>
                <w:color w:val="000000" w:themeColor="text1"/>
                <w:sz w:val="18"/>
                <w:szCs w:val="18"/>
                <w:lang w:eastAsia="sl-SI"/>
              </w:rPr>
              <w:t>1.738</w:t>
            </w:r>
          </w:p>
        </w:tc>
        <w:tc>
          <w:tcPr>
            <w:tcW w:w="1160" w:type="dxa"/>
            <w:shd w:val="clear" w:color="auto" w:fill="auto"/>
            <w:vAlign w:val="center"/>
            <w:hideMark/>
          </w:tcPr>
          <w:p w14:paraId="090455A1" w14:textId="199FBDF9" w:rsidR="00EA028B" w:rsidRPr="00866768" w:rsidRDefault="00EA028B" w:rsidP="00EA028B">
            <w:pPr>
              <w:spacing w:after="0" w:line="240" w:lineRule="auto"/>
              <w:jc w:val="right"/>
              <w:rPr>
                <w:rFonts w:ascii="Arial" w:eastAsia="Times New Roman" w:hAnsi="Arial" w:cs="Arial"/>
                <w:b/>
                <w:bCs/>
                <w:color w:val="000000" w:themeColor="text1"/>
                <w:sz w:val="18"/>
                <w:szCs w:val="18"/>
                <w:lang w:eastAsia="sl-SI"/>
              </w:rPr>
            </w:pPr>
            <w:r w:rsidRPr="00866768">
              <w:rPr>
                <w:rFonts w:ascii="Arial" w:eastAsia="Times New Roman" w:hAnsi="Arial" w:cs="Arial"/>
                <w:b/>
                <w:bCs/>
                <w:color w:val="000000" w:themeColor="text1"/>
                <w:sz w:val="18"/>
                <w:szCs w:val="18"/>
                <w:lang w:eastAsia="sl-SI"/>
              </w:rPr>
              <w:t>100,00</w:t>
            </w:r>
            <w:r w:rsidR="00E67E03">
              <w:rPr>
                <w:rFonts w:ascii="Arial" w:eastAsia="Times New Roman" w:hAnsi="Arial" w:cs="Arial"/>
                <w:b/>
                <w:bCs/>
                <w:color w:val="000000" w:themeColor="text1"/>
                <w:sz w:val="18"/>
                <w:szCs w:val="18"/>
                <w:lang w:eastAsia="sl-SI"/>
              </w:rPr>
              <w:t xml:space="preserve"> </w:t>
            </w:r>
            <w:r w:rsidRPr="00866768">
              <w:rPr>
                <w:rFonts w:ascii="Arial" w:eastAsia="Times New Roman" w:hAnsi="Arial" w:cs="Arial"/>
                <w:b/>
                <w:bCs/>
                <w:color w:val="000000" w:themeColor="text1"/>
                <w:sz w:val="18"/>
                <w:szCs w:val="18"/>
                <w:lang w:eastAsia="sl-SI"/>
              </w:rPr>
              <w:t>%</w:t>
            </w:r>
          </w:p>
        </w:tc>
        <w:tc>
          <w:tcPr>
            <w:tcW w:w="1380" w:type="dxa"/>
            <w:vMerge/>
            <w:shd w:val="clear" w:color="auto" w:fill="auto"/>
            <w:vAlign w:val="center"/>
            <w:hideMark/>
          </w:tcPr>
          <w:p w14:paraId="0655AA07" w14:textId="77777777" w:rsidR="00EA028B" w:rsidRPr="00866768" w:rsidRDefault="00EA028B" w:rsidP="00EA028B">
            <w:pPr>
              <w:spacing w:after="0" w:line="240" w:lineRule="auto"/>
              <w:rPr>
                <w:rFonts w:ascii="Arial" w:eastAsia="Times New Roman" w:hAnsi="Arial" w:cs="Arial"/>
                <w:b/>
                <w:bCs/>
                <w:color w:val="000000" w:themeColor="text1"/>
                <w:sz w:val="18"/>
                <w:szCs w:val="18"/>
                <w:lang w:eastAsia="sl-SI"/>
              </w:rPr>
            </w:pPr>
          </w:p>
        </w:tc>
      </w:tr>
    </w:tbl>
    <w:p w14:paraId="3FDAE6F8" w14:textId="77777777" w:rsidR="008E08B4" w:rsidRPr="00866768" w:rsidRDefault="008E08B4" w:rsidP="008E08B4">
      <w:pPr>
        <w:spacing w:after="0" w:line="240" w:lineRule="auto"/>
        <w:jc w:val="center"/>
        <w:rPr>
          <w:rFonts w:ascii="Arial" w:hAnsi="Arial" w:cs="Arial"/>
          <w:color w:val="000000" w:themeColor="text1"/>
          <w:sz w:val="18"/>
        </w:rPr>
      </w:pPr>
    </w:p>
    <w:p w14:paraId="0A9AC13C" w14:textId="551D7BE6" w:rsidR="008E08B4" w:rsidRPr="00866768" w:rsidRDefault="008E08B4" w:rsidP="008E08B4">
      <w:pPr>
        <w:spacing w:after="240" w:line="240" w:lineRule="auto"/>
        <w:jc w:val="center"/>
        <w:rPr>
          <w:rFonts w:ascii="Arial" w:hAnsi="Arial" w:cs="Arial"/>
          <w:color w:val="000000" w:themeColor="text1"/>
          <w:sz w:val="18"/>
        </w:rPr>
      </w:pPr>
      <w:r w:rsidRPr="00866768">
        <w:rPr>
          <w:rFonts w:ascii="Arial" w:hAnsi="Arial" w:cs="Arial"/>
          <w:color w:val="000000" w:themeColor="text1"/>
          <w:sz w:val="18"/>
        </w:rPr>
        <w:t>Vir: Statistični podatki o javnih naročilih, oddanih v letu 20</w:t>
      </w:r>
      <w:r w:rsidR="00EC78EF" w:rsidRPr="00866768">
        <w:rPr>
          <w:rFonts w:ascii="Arial" w:hAnsi="Arial" w:cs="Arial"/>
          <w:color w:val="000000" w:themeColor="text1"/>
          <w:sz w:val="18"/>
        </w:rPr>
        <w:t>2</w:t>
      </w:r>
      <w:r w:rsidR="00EA028B" w:rsidRPr="00866768">
        <w:rPr>
          <w:rFonts w:ascii="Arial" w:hAnsi="Arial" w:cs="Arial"/>
          <w:color w:val="000000" w:themeColor="text1"/>
          <w:sz w:val="18"/>
        </w:rPr>
        <w:t>3</w:t>
      </w:r>
      <w:r w:rsidR="00970F15" w:rsidRPr="00866768">
        <w:rPr>
          <w:rFonts w:ascii="Arial" w:hAnsi="Arial" w:cs="Arial"/>
          <w:color w:val="000000" w:themeColor="text1"/>
          <w:sz w:val="18"/>
        </w:rPr>
        <w:t>.</w:t>
      </w:r>
    </w:p>
    <w:p w14:paraId="71D49FE3" w14:textId="0F4E2D94" w:rsidR="002A1622" w:rsidRPr="00352B56" w:rsidRDefault="002A1622" w:rsidP="002A1622">
      <w:pPr>
        <w:tabs>
          <w:tab w:val="left" w:pos="567"/>
          <w:tab w:val="left" w:pos="993"/>
        </w:tabs>
        <w:spacing w:line="360" w:lineRule="auto"/>
        <w:jc w:val="both"/>
        <w:rPr>
          <w:rFonts w:ascii="Arial" w:hAnsi="Arial" w:cs="Arial"/>
          <w:color w:val="000000" w:themeColor="text1"/>
          <w:sz w:val="20"/>
          <w:szCs w:val="20"/>
        </w:rPr>
      </w:pPr>
      <w:r w:rsidRPr="0068525E">
        <w:rPr>
          <w:rFonts w:ascii="Arial" w:hAnsi="Arial" w:cs="Arial"/>
          <w:color w:val="000000" w:themeColor="text1"/>
          <w:sz w:val="20"/>
          <w:szCs w:val="20"/>
        </w:rPr>
        <w:t xml:space="preserve">Naročniki so v postopkih z enim naročilom prejeli samo eno ponudbo v </w:t>
      </w:r>
      <w:r w:rsidR="00EE33DC" w:rsidRPr="0068525E">
        <w:rPr>
          <w:rFonts w:ascii="Arial" w:hAnsi="Arial" w:cs="Arial"/>
          <w:color w:val="000000" w:themeColor="text1"/>
          <w:sz w:val="20"/>
          <w:szCs w:val="20"/>
        </w:rPr>
        <w:t>7</w:t>
      </w:r>
      <w:r w:rsidR="00986395" w:rsidRPr="0068525E">
        <w:rPr>
          <w:rFonts w:ascii="Arial" w:hAnsi="Arial" w:cs="Arial"/>
          <w:color w:val="000000" w:themeColor="text1"/>
          <w:sz w:val="20"/>
          <w:szCs w:val="20"/>
        </w:rPr>
        <w:t>.</w:t>
      </w:r>
      <w:r w:rsidR="00EE33DC" w:rsidRPr="0068525E">
        <w:rPr>
          <w:rFonts w:ascii="Arial" w:hAnsi="Arial" w:cs="Arial"/>
          <w:color w:val="000000" w:themeColor="text1"/>
          <w:sz w:val="20"/>
          <w:szCs w:val="20"/>
        </w:rPr>
        <w:t>76</w:t>
      </w:r>
      <w:r w:rsidR="0068525E" w:rsidRPr="0068525E">
        <w:rPr>
          <w:rFonts w:ascii="Arial" w:hAnsi="Arial" w:cs="Arial"/>
          <w:color w:val="000000" w:themeColor="text1"/>
          <w:sz w:val="20"/>
          <w:szCs w:val="20"/>
        </w:rPr>
        <w:t>8</w:t>
      </w:r>
      <w:r w:rsidR="00784900" w:rsidRPr="0068525E">
        <w:rPr>
          <w:rFonts w:ascii="Arial" w:hAnsi="Arial" w:cs="Arial"/>
          <w:color w:val="000000" w:themeColor="text1"/>
          <w:sz w:val="20"/>
          <w:szCs w:val="20"/>
        </w:rPr>
        <w:t xml:space="preserve"> </w:t>
      </w:r>
      <w:r w:rsidRPr="0068525E">
        <w:rPr>
          <w:rFonts w:ascii="Arial" w:hAnsi="Arial" w:cs="Arial"/>
          <w:color w:val="000000" w:themeColor="text1"/>
          <w:sz w:val="20"/>
          <w:szCs w:val="20"/>
        </w:rPr>
        <w:t xml:space="preserve">primerih. </w:t>
      </w:r>
      <w:r w:rsidR="00F55D6A" w:rsidRPr="0068525E">
        <w:rPr>
          <w:rFonts w:ascii="Arial" w:hAnsi="Arial" w:cs="Arial"/>
          <w:color w:val="000000" w:themeColor="text1"/>
          <w:sz w:val="20"/>
          <w:szCs w:val="20"/>
        </w:rPr>
        <w:t xml:space="preserve">Naročniki so eno </w:t>
      </w:r>
      <w:r w:rsidR="00F55D6A" w:rsidRPr="00352B56">
        <w:rPr>
          <w:rFonts w:ascii="Arial" w:hAnsi="Arial" w:cs="Arial"/>
          <w:color w:val="000000" w:themeColor="text1"/>
          <w:sz w:val="20"/>
          <w:szCs w:val="20"/>
        </w:rPr>
        <w:t xml:space="preserve">ponudbo za naročilo največkrat prejeli v </w:t>
      </w:r>
      <w:r w:rsidR="00784900" w:rsidRPr="00352B56">
        <w:rPr>
          <w:rFonts w:ascii="Arial" w:hAnsi="Arial" w:cs="Arial"/>
          <w:color w:val="000000" w:themeColor="text1"/>
          <w:sz w:val="20"/>
          <w:szCs w:val="20"/>
        </w:rPr>
        <w:t xml:space="preserve">odprtih </w:t>
      </w:r>
      <w:r w:rsidR="00F55D6A" w:rsidRPr="00352B56">
        <w:rPr>
          <w:rFonts w:ascii="Arial" w:hAnsi="Arial" w:cs="Arial"/>
          <w:color w:val="000000" w:themeColor="text1"/>
          <w:sz w:val="20"/>
          <w:szCs w:val="20"/>
        </w:rPr>
        <w:t>postopkih</w:t>
      </w:r>
      <w:r w:rsidR="00784900" w:rsidRPr="00352B56">
        <w:rPr>
          <w:rFonts w:ascii="Arial" w:hAnsi="Arial" w:cs="Arial"/>
          <w:color w:val="000000" w:themeColor="text1"/>
          <w:sz w:val="20"/>
          <w:szCs w:val="20"/>
        </w:rPr>
        <w:t xml:space="preserve">, in sicer </w:t>
      </w:r>
      <w:r w:rsidR="00EA747F" w:rsidRPr="00352B56">
        <w:rPr>
          <w:rFonts w:ascii="Arial" w:hAnsi="Arial" w:cs="Arial"/>
          <w:color w:val="000000" w:themeColor="text1"/>
          <w:sz w:val="20"/>
          <w:szCs w:val="20"/>
        </w:rPr>
        <w:t xml:space="preserve">pri </w:t>
      </w:r>
      <w:r w:rsidR="00EE33DC" w:rsidRPr="00352B56">
        <w:rPr>
          <w:rFonts w:ascii="Arial" w:hAnsi="Arial" w:cs="Arial"/>
          <w:color w:val="000000" w:themeColor="text1"/>
          <w:sz w:val="20"/>
          <w:szCs w:val="20"/>
        </w:rPr>
        <w:t>3</w:t>
      </w:r>
      <w:r w:rsidR="00986395" w:rsidRPr="00352B56">
        <w:rPr>
          <w:rFonts w:ascii="Arial" w:hAnsi="Arial" w:cs="Arial"/>
          <w:color w:val="000000" w:themeColor="text1"/>
          <w:sz w:val="20"/>
          <w:szCs w:val="20"/>
        </w:rPr>
        <w:t>.</w:t>
      </w:r>
      <w:r w:rsidR="00EE33DC" w:rsidRPr="00352B56">
        <w:rPr>
          <w:rFonts w:ascii="Arial" w:hAnsi="Arial" w:cs="Arial"/>
          <w:color w:val="000000" w:themeColor="text1"/>
          <w:sz w:val="20"/>
          <w:szCs w:val="20"/>
        </w:rPr>
        <w:t>53</w:t>
      </w:r>
      <w:r w:rsidR="0068525E" w:rsidRPr="00352B56">
        <w:rPr>
          <w:rFonts w:ascii="Arial" w:hAnsi="Arial" w:cs="Arial"/>
          <w:color w:val="000000" w:themeColor="text1"/>
          <w:sz w:val="20"/>
          <w:szCs w:val="20"/>
        </w:rPr>
        <w:t>4</w:t>
      </w:r>
      <w:r w:rsidR="00EA747F" w:rsidRPr="00352B56">
        <w:rPr>
          <w:rFonts w:ascii="Arial" w:hAnsi="Arial" w:cs="Arial"/>
          <w:color w:val="000000" w:themeColor="text1"/>
          <w:sz w:val="20"/>
          <w:szCs w:val="20"/>
        </w:rPr>
        <w:t xml:space="preserve"> naročilih oziroma </w:t>
      </w:r>
      <w:r w:rsidR="00784900" w:rsidRPr="00352B56">
        <w:rPr>
          <w:rFonts w:ascii="Arial" w:hAnsi="Arial" w:cs="Arial"/>
          <w:color w:val="000000" w:themeColor="text1"/>
          <w:sz w:val="20"/>
          <w:szCs w:val="20"/>
        </w:rPr>
        <w:t>4</w:t>
      </w:r>
      <w:r w:rsidR="00EE33DC" w:rsidRPr="00352B56">
        <w:rPr>
          <w:rFonts w:ascii="Arial" w:hAnsi="Arial" w:cs="Arial"/>
          <w:color w:val="000000" w:themeColor="text1"/>
          <w:sz w:val="20"/>
          <w:szCs w:val="20"/>
        </w:rPr>
        <w:t>1,14</w:t>
      </w:r>
      <w:r w:rsidR="00784900" w:rsidRPr="00352B56">
        <w:rPr>
          <w:rFonts w:ascii="Arial" w:hAnsi="Arial" w:cs="Arial"/>
          <w:color w:val="000000" w:themeColor="text1"/>
          <w:sz w:val="20"/>
          <w:szCs w:val="20"/>
        </w:rPr>
        <w:t xml:space="preserve"> </w:t>
      </w:r>
      <w:r w:rsidR="00AC0027" w:rsidRPr="00352B56">
        <w:rPr>
          <w:rFonts w:ascii="Arial" w:hAnsi="Arial" w:cs="Arial"/>
          <w:color w:val="000000" w:themeColor="text1"/>
          <w:sz w:val="20"/>
          <w:szCs w:val="20"/>
        </w:rPr>
        <w:t>odstotka</w:t>
      </w:r>
      <w:r w:rsidR="00EA747F" w:rsidRPr="00352B56">
        <w:rPr>
          <w:rFonts w:ascii="Arial" w:hAnsi="Arial" w:cs="Arial"/>
          <w:color w:val="000000" w:themeColor="text1"/>
          <w:sz w:val="20"/>
          <w:szCs w:val="20"/>
        </w:rPr>
        <w:t xml:space="preserve"> teh naročil.</w:t>
      </w:r>
      <w:r w:rsidR="00F55D6A" w:rsidRPr="00352B56">
        <w:rPr>
          <w:rFonts w:ascii="Arial" w:hAnsi="Arial" w:cs="Arial"/>
          <w:color w:val="000000" w:themeColor="text1"/>
          <w:sz w:val="20"/>
          <w:szCs w:val="20"/>
        </w:rPr>
        <w:t xml:space="preserve"> Veliko postopkov, kjer je naročnik prejel samo eno ponudbo, je tudi </w:t>
      </w:r>
      <w:r w:rsidR="00784900" w:rsidRPr="00352B56">
        <w:rPr>
          <w:rFonts w:ascii="Arial" w:hAnsi="Arial" w:cs="Arial"/>
          <w:color w:val="000000" w:themeColor="text1"/>
          <w:sz w:val="20"/>
          <w:szCs w:val="20"/>
        </w:rPr>
        <w:t>pri</w:t>
      </w:r>
      <w:r w:rsidR="00F55D6A" w:rsidRPr="00352B56">
        <w:rPr>
          <w:rFonts w:ascii="Arial" w:hAnsi="Arial" w:cs="Arial"/>
          <w:color w:val="000000" w:themeColor="text1"/>
          <w:sz w:val="20"/>
          <w:szCs w:val="20"/>
        </w:rPr>
        <w:t xml:space="preserve"> </w:t>
      </w:r>
      <w:r w:rsidR="00784900" w:rsidRPr="00352B56">
        <w:rPr>
          <w:rFonts w:ascii="Arial" w:hAnsi="Arial" w:cs="Arial"/>
          <w:color w:val="000000" w:themeColor="text1"/>
          <w:sz w:val="20"/>
          <w:szCs w:val="20"/>
        </w:rPr>
        <w:t>naročilih male vrednosti</w:t>
      </w:r>
      <w:r w:rsidR="00F55D6A" w:rsidRPr="00352B56">
        <w:rPr>
          <w:rFonts w:ascii="Arial" w:eastAsia="Times New Roman" w:hAnsi="Arial" w:cs="Arial"/>
          <w:color w:val="000000" w:themeColor="text1"/>
          <w:sz w:val="20"/>
          <w:szCs w:val="20"/>
          <w:lang w:eastAsia="sl-SI"/>
        </w:rPr>
        <w:t xml:space="preserve">, </w:t>
      </w:r>
      <w:r w:rsidR="00F55D6A" w:rsidRPr="00352B56">
        <w:rPr>
          <w:rFonts w:ascii="Arial" w:hAnsi="Arial" w:cs="Arial"/>
          <w:color w:val="000000" w:themeColor="text1"/>
          <w:sz w:val="20"/>
          <w:szCs w:val="20"/>
        </w:rPr>
        <w:t xml:space="preserve">kjer je takih primerov </w:t>
      </w:r>
      <w:r w:rsidR="00EE33DC" w:rsidRPr="00352B56">
        <w:rPr>
          <w:rFonts w:ascii="Arial" w:hAnsi="Arial" w:cs="Arial"/>
          <w:color w:val="000000" w:themeColor="text1"/>
          <w:sz w:val="20"/>
          <w:szCs w:val="20"/>
        </w:rPr>
        <w:t>2</w:t>
      </w:r>
      <w:r w:rsidR="00986395" w:rsidRPr="00352B56">
        <w:rPr>
          <w:rFonts w:ascii="Arial" w:hAnsi="Arial" w:cs="Arial"/>
          <w:color w:val="000000" w:themeColor="text1"/>
          <w:sz w:val="20"/>
          <w:szCs w:val="20"/>
        </w:rPr>
        <w:t>.</w:t>
      </w:r>
      <w:r w:rsidR="00EE33DC" w:rsidRPr="00352B56">
        <w:rPr>
          <w:rFonts w:ascii="Arial" w:hAnsi="Arial" w:cs="Arial"/>
          <w:color w:val="000000" w:themeColor="text1"/>
          <w:sz w:val="20"/>
          <w:szCs w:val="20"/>
        </w:rPr>
        <w:t>981</w:t>
      </w:r>
      <w:r w:rsidR="00F55D6A" w:rsidRPr="00352B56">
        <w:rPr>
          <w:rFonts w:ascii="Arial" w:hAnsi="Arial" w:cs="Arial"/>
          <w:color w:val="000000" w:themeColor="text1"/>
          <w:sz w:val="20"/>
          <w:szCs w:val="20"/>
        </w:rPr>
        <w:t xml:space="preserve"> oziroma </w:t>
      </w:r>
      <w:r w:rsidR="00784900" w:rsidRPr="00352B56">
        <w:rPr>
          <w:rFonts w:ascii="Arial" w:hAnsi="Arial" w:cs="Arial"/>
          <w:color w:val="000000" w:themeColor="text1"/>
          <w:sz w:val="20"/>
          <w:szCs w:val="20"/>
        </w:rPr>
        <w:t>4</w:t>
      </w:r>
      <w:r w:rsidR="00EE33DC" w:rsidRPr="00352B56">
        <w:rPr>
          <w:rFonts w:ascii="Arial" w:hAnsi="Arial" w:cs="Arial"/>
          <w:color w:val="000000" w:themeColor="text1"/>
          <w:sz w:val="20"/>
          <w:szCs w:val="20"/>
        </w:rPr>
        <w:t>8,65</w:t>
      </w:r>
      <w:r w:rsidR="001A3829" w:rsidRPr="00352B56">
        <w:rPr>
          <w:rFonts w:ascii="Arial" w:hAnsi="Arial" w:cs="Arial"/>
          <w:color w:val="000000" w:themeColor="text1"/>
          <w:sz w:val="20"/>
          <w:szCs w:val="20"/>
        </w:rPr>
        <w:t> </w:t>
      </w:r>
      <w:r w:rsidR="00AC0027" w:rsidRPr="00352B56">
        <w:rPr>
          <w:rFonts w:ascii="Arial" w:hAnsi="Arial" w:cs="Arial"/>
          <w:color w:val="000000" w:themeColor="text1"/>
          <w:sz w:val="20"/>
          <w:szCs w:val="20"/>
        </w:rPr>
        <w:t>odstotka</w:t>
      </w:r>
      <w:r w:rsidR="00F55D6A" w:rsidRPr="00352B56">
        <w:rPr>
          <w:rFonts w:ascii="Arial" w:hAnsi="Arial" w:cs="Arial"/>
          <w:color w:val="000000" w:themeColor="text1"/>
          <w:sz w:val="20"/>
          <w:szCs w:val="20"/>
        </w:rPr>
        <w:t xml:space="preserve"> </w:t>
      </w:r>
      <w:r w:rsidR="000D5878" w:rsidRPr="00352B56">
        <w:rPr>
          <w:rFonts w:ascii="Arial" w:hAnsi="Arial" w:cs="Arial"/>
          <w:color w:val="000000" w:themeColor="text1"/>
          <w:sz w:val="20"/>
          <w:szCs w:val="20"/>
        </w:rPr>
        <w:t xml:space="preserve">teh </w:t>
      </w:r>
      <w:r w:rsidR="00F55D6A" w:rsidRPr="00352B56">
        <w:rPr>
          <w:rFonts w:ascii="Arial" w:hAnsi="Arial" w:cs="Arial"/>
          <w:color w:val="000000" w:themeColor="text1"/>
          <w:sz w:val="20"/>
          <w:szCs w:val="20"/>
        </w:rPr>
        <w:t>naročil.</w:t>
      </w:r>
    </w:p>
    <w:p w14:paraId="71524D95" w14:textId="72AAA5FD" w:rsidR="00784900" w:rsidRPr="00352B56" w:rsidRDefault="00784900" w:rsidP="00784900">
      <w:pPr>
        <w:spacing w:before="120" w:after="120" w:line="240" w:lineRule="auto"/>
        <w:jc w:val="both"/>
        <w:rPr>
          <w:rFonts w:ascii="Arial" w:hAnsi="Arial" w:cs="Arial"/>
          <w:color w:val="000000" w:themeColor="text1"/>
          <w:sz w:val="20"/>
        </w:rPr>
      </w:pPr>
      <w:r w:rsidRPr="00352B56">
        <w:rPr>
          <w:rFonts w:ascii="Arial" w:hAnsi="Arial" w:cs="Arial"/>
          <w:color w:val="000000" w:themeColor="text1"/>
          <w:sz w:val="20"/>
        </w:rPr>
        <w:t xml:space="preserve">Preglednica 33: Število, vrednost in deleži naročil z eno prejeto ponudbo glede na vrsto postopka </w:t>
      </w:r>
    </w:p>
    <w:tbl>
      <w:tblPr>
        <w:tblW w:w="4865" w:type="pct"/>
        <w:jc w:val="center"/>
        <w:tblCellMar>
          <w:left w:w="70" w:type="dxa"/>
          <w:right w:w="70" w:type="dxa"/>
        </w:tblCellMar>
        <w:tblLook w:val="04A0" w:firstRow="1" w:lastRow="0" w:firstColumn="1" w:lastColumn="0" w:noHBand="0" w:noVBand="1"/>
      </w:tblPr>
      <w:tblGrid>
        <w:gridCol w:w="3538"/>
        <w:gridCol w:w="850"/>
        <w:gridCol w:w="1423"/>
        <w:gridCol w:w="1558"/>
        <w:gridCol w:w="1557"/>
      </w:tblGrid>
      <w:tr w:rsidR="00122C38" w:rsidRPr="00352B56" w14:paraId="01C62139" w14:textId="77777777" w:rsidTr="0068525E">
        <w:trPr>
          <w:trHeight w:val="427"/>
          <w:jc w:val="center"/>
        </w:trPr>
        <w:tc>
          <w:tcPr>
            <w:tcW w:w="198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CBAD93D" w14:textId="77777777" w:rsidR="00784900" w:rsidRPr="00352B56" w:rsidRDefault="00784900" w:rsidP="009F7B6D">
            <w:pPr>
              <w:spacing w:after="0" w:line="240" w:lineRule="auto"/>
              <w:jc w:val="center"/>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Vrsta postopka</w:t>
            </w:r>
          </w:p>
        </w:tc>
        <w:tc>
          <w:tcPr>
            <w:tcW w:w="476" w:type="pct"/>
            <w:tcBorders>
              <w:top w:val="single" w:sz="4" w:space="0" w:color="auto"/>
              <w:left w:val="nil"/>
              <w:bottom w:val="single" w:sz="4" w:space="0" w:color="auto"/>
              <w:right w:val="single" w:sz="4" w:space="0" w:color="auto"/>
            </w:tcBorders>
            <w:shd w:val="clear" w:color="000000" w:fill="F2F2F2"/>
            <w:vAlign w:val="center"/>
            <w:hideMark/>
          </w:tcPr>
          <w:p w14:paraId="272D03A1" w14:textId="77777777" w:rsidR="00784900" w:rsidRPr="00352B56" w:rsidRDefault="00784900" w:rsidP="009F7B6D">
            <w:pPr>
              <w:spacing w:after="0" w:line="240" w:lineRule="auto"/>
              <w:jc w:val="center"/>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Št. naročil</w:t>
            </w:r>
          </w:p>
        </w:tc>
        <w:tc>
          <w:tcPr>
            <w:tcW w:w="797" w:type="pct"/>
            <w:tcBorders>
              <w:top w:val="single" w:sz="4" w:space="0" w:color="auto"/>
              <w:left w:val="nil"/>
              <w:bottom w:val="single" w:sz="4" w:space="0" w:color="auto"/>
              <w:right w:val="single" w:sz="4" w:space="0" w:color="auto"/>
            </w:tcBorders>
            <w:shd w:val="clear" w:color="000000" w:fill="F2F2F2"/>
            <w:vAlign w:val="center"/>
            <w:hideMark/>
          </w:tcPr>
          <w:p w14:paraId="04F104BE" w14:textId="77777777" w:rsidR="00784900" w:rsidRPr="00352B56" w:rsidRDefault="00784900" w:rsidP="009F7B6D">
            <w:pPr>
              <w:spacing w:after="0" w:line="240" w:lineRule="auto"/>
              <w:jc w:val="center"/>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Pogodbena vrednost</w:t>
            </w:r>
          </w:p>
        </w:tc>
        <w:tc>
          <w:tcPr>
            <w:tcW w:w="873" w:type="pct"/>
            <w:tcBorders>
              <w:top w:val="single" w:sz="4" w:space="0" w:color="auto"/>
              <w:left w:val="nil"/>
              <w:bottom w:val="single" w:sz="4" w:space="0" w:color="auto"/>
              <w:right w:val="single" w:sz="4" w:space="0" w:color="auto"/>
            </w:tcBorders>
            <w:shd w:val="clear" w:color="000000" w:fill="F2F2F2"/>
            <w:vAlign w:val="center"/>
            <w:hideMark/>
          </w:tcPr>
          <w:p w14:paraId="5293902D" w14:textId="77777777" w:rsidR="00784900" w:rsidRPr="00352B56" w:rsidRDefault="00784900" w:rsidP="009F7B6D">
            <w:pPr>
              <w:spacing w:after="0" w:line="240" w:lineRule="auto"/>
              <w:jc w:val="center"/>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Delež v št. istovrstnih naročil</w:t>
            </w:r>
          </w:p>
        </w:tc>
        <w:tc>
          <w:tcPr>
            <w:tcW w:w="872" w:type="pct"/>
            <w:tcBorders>
              <w:top w:val="single" w:sz="4" w:space="0" w:color="auto"/>
              <w:left w:val="nil"/>
              <w:bottom w:val="single" w:sz="4" w:space="0" w:color="auto"/>
              <w:right w:val="single" w:sz="4" w:space="0" w:color="auto"/>
            </w:tcBorders>
            <w:shd w:val="clear" w:color="000000" w:fill="F2F2F2"/>
            <w:vAlign w:val="center"/>
            <w:hideMark/>
          </w:tcPr>
          <w:p w14:paraId="020EEA4A" w14:textId="77777777" w:rsidR="00784900" w:rsidRPr="00352B56" w:rsidRDefault="00784900" w:rsidP="009F7B6D">
            <w:pPr>
              <w:spacing w:after="0" w:line="240" w:lineRule="auto"/>
              <w:jc w:val="center"/>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Delež v vrednosti istovrstnih naročil</w:t>
            </w:r>
          </w:p>
        </w:tc>
      </w:tr>
      <w:tr w:rsidR="00352B56" w:rsidRPr="00352B56" w14:paraId="3AA76BB5"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hideMark/>
          </w:tcPr>
          <w:p w14:paraId="28F53484" w14:textId="77777777"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Konkurenčni dialog</w:t>
            </w:r>
          </w:p>
        </w:tc>
        <w:tc>
          <w:tcPr>
            <w:tcW w:w="476" w:type="pct"/>
            <w:tcBorders>
              <w:top w:val="nil"/>
              <w:left w:val="nil"/>
              <w:bottom w:val="single" w:sz="4" w:space="0" w:color="auto"/>
              <w:right w:val="single" w:sz="4" w:space="0" w:color="auto"/>
            </w:tcBorders>
            <w:shd w:val="clear" w:color="auto" w:fill="auto"/>
            <w:vAlign w:val="center"/>
            <w:hideMark/>
          </w:tcPr>
          <w:p w14:paraId="61EC7742" w14:textId="304A8321"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17</w:t>
            </w:r>
          </w:p>
        </w:tc>
        <w:tc>
          <w:tcPr>
            <w:tcW w:w="797" w:type="pct"/>
            <w:tcBorders>
              <w:top w:val="nil"/>
              <w:left w:val="nil"/>
              <w:bottom w:val="single" w:sz="4" w:space="0" w:color="auto"/>
              <w:right w:val="single" w:sz="4" w:space="0" w:color="auto"/>
            </w:tcBorders>
            <w:shd w:val="clear" w:color="auto" w:fill="auto"/>
            <w:vAlign w:val="center"/>
            <w:hideMark/>
          </w:tcPr>
          <w:p w14:paraId="47A7FE83" w14:textId="3D1A466A"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222.481.834</w:t>
            </w:r>
          </w:p>
        </w:tc>
        <w:tc>
          <w:tcPr>
            <w:tcW w:w="873" w:type="pct"/>
            <w:tcBorders>
              <w:top w:val="nil"/>
              <w:left w:val="nil"/>
              <w:bottom w:val="single" w:sz="4" w:space="0" w:color="auto"/>
              <w:right w:val="single" w:sz="4" w:space="0" w:color="auto"/>
            </w:tcBorders>
            <w:shd w:val="clear" w:color="auto" w:fill="auto"/>
            <w:noWrap/>
            <w:vAlign w:val="center"/>
          </w:tcPr>
          <w:p w14:paraId="51C32F17" w14:textId="345F50C0"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85,00 %</w:t>
            </w:r>
          </w:p>
        </w:tc>
        <w:tc>
          <w:tcPr>
            <w:tcW w:w="872" w:type="pct"/>
            <w:tcBorders>
              <w:top w:val="nil"/>
              <w:left w:val="nil"/>
              <w:bottom w:val="single" w:sz="4" w:space="0" w:color="auto"/>
              <w:right w:val="single" w:sz="4" w:space="0" w:color="auto"/>
            </w:tcBorders>
            <w:shd w:val="clear" w:color="auto" w:fill="auto"/>
            <w:noWrap/>
            <w:vAlign w:val="center"/>
          </w:tcPr>
          <w:p w14:paraId="47F2785F" w14:textId="54999BD4"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95,92 %</w:t>
            </w:r>
          </w:p>
        </w:tc>
      </w:tr>
      <w:tr w:rsidR="00352B56" w:rsidRPr="00352B56" w14:paraId="168B6CBC"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hideMark/>
          </w:tcPr>
          <w:p w14:paraId="43DBD081" w14:textId="77777777"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Konkurenčni postopek s pogajanji</w:t>
            </w:r>
          </w:p>
        </w:tc>
        <w:tc>
          <w:tcPr>
            <w:tcW w:w="476" w:type="pct"/>
            <w:tcBorders>
              <w:top w:val="nil"/>
              <w:left w:val="nil"/>
              <w:bottom w:val="single" w:sz="4" w:space="0" w:color="auto"/>
              <w:right w:val="single" w:sz="4" w:space="0" w:color="auto"/>
            </w:tcBorders>
            <w:shd w:val="clear" w:color="auto" w:fill="auto"/>
            <w:vAlign w:val="center"/>
            <w:hideMark/>
          </w:tcPr>
          <w:p w14:paraId="62DAAD3E" w14:textId="746739B6"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133</w:t>
            </w:r>
          </w:p>
        </w:tc>
        <w:tc>
          <w:tcPr>
            <w:tcW w:w="797" w:type="pct"/>
            <w:tcBorders>
              <w:top w:val="nil"/>
              <w:left w:val="nil"/>
              <w:bottom w:val="single" w:sz="4" w:space="0" w:color="auto"/>
              <w:right w:val="single" w:sz="4" w:space="0" w:color="auto"/>
            </w:tcBorders>
            <w:shd w:val="clear" w:color="auto" w:fill="auto"/>
            <w:vAlign w:val="center"/>
            <w:hideMark/>
          </w:tcPr>
          <w:p w14:paraId="7A350F31" w14:textId="149B4666"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125.241.070</w:t>
            </w:r>
          </w:p>
        </w:tc>
        <w:tc>
          <w:tcPr>
            <w:tcW w:w="873" w:type="pct"/>
            <w:tcBorders>
              <w:top w:val="nil"/>
              <w:left w:val="nil"/>
              <w:bottom w:val="single" w:sz="4" w:space="0" w:color="auto"/>
              <w:right w:val="single" w:sz="4" w:space="0" w:color="auto"/>
            </w:tcBorders>
            <w:shd w:val="clear" w:color="auto" w:fill="auto"/>
            <w:noWrap/>
            <w:vAlign w:val="center"/>
          </w:tcPr>
          <w:p w14:paraId="5FC066AC" w14:textId="127C20C3"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60,18 %</w:t>
            </w:r>
          </w:p>
        </w:tc>
        <w:tc>
          <w:tcPr>
            <w:tcW w:w="872" w:type="pct"/>
            <w:tcBorders>
              <w:top w:val="nil"/>
              <w:left w:val="nil"/>
              <w:bottom w:val="single" w:sz="4" w:space="0" w:color="auto"/>
              <w:right w:val="single" w:sz="4" w:space="0" w:color="auto"/>
            </w:tcBorders>
            <w:shd w:val="clear" w:color="auto" w:fill="auto"/>
            <w:noWrap/>
            <w:vAlign w:val="center"/>
          </w:tcPr>
          <w:p w14:paraId="732FCC71" w14:textId="37FE01C8"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40,49 %</w:t>
            </w:r>
          </w:p>
        </w:tc>
      </w:tr>
      <w:tr w:rsidR="00352B56" w:rsidRPr="00352B56" w14:paraId="57C32E28"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hideMark/>
          </w:tcPr>
          <w:p w14:paraId="7DD737CB" w14:textId="77777777"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Odprti postopek</w:t>
            </w:r>
          </w:p>
        </w:tc>
        <w:tc>
          <w:tcPr>
            <w:tcW w:w="476" w:type="pct"/>
            <w:tcBorders>
              <w:top w:val="nil"/>
              <w:left w:val="nil"/>
              <w:bottom w:val="single" w:sz="4" w:space="0" w:color="auto"/>
              <w:right w:val="single" w:sz="4" w:space="0" w:color="auto"/>
            </w:tcBorders>
            <w:shd w:val="clear" w:color="auto" w:fill="auto"/>
            <w:vAlign w:val="center"/>
            <w:hideMark/>
          </w:tcPr>
          <w:p w14:paraId="44845C3C" w14:textId="3B3354D4"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3.534</w:t>
            </w:r>
          </w:p>
        </w:tc>
        <w:tc>
          <w:tcPr>
            <w:tcW w:w="797" w:type="pct"/>
            <w:tcBorders>
              <w:top w:val="nil"/>
              <w:left w:val="nil"/>
              <w:bottom w:val="single" w:sz="4" w:space="0" w:color="auto"/>
              <w:right w:val="single" w:sz="4" w:space="0" w:color="auto"/>
            </w:tcBorders>
            <w:shd w:val="clear" w:color="auto" w:fill="auto"/>
            <w:vAlign w:val="center"/>
            <w:hideMark/>
          </w:tcPr>
          <w:p w14:paraId="24D33C72" w14:textId="2547C752"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1.733.268.917</w:t>
            </w:r>
          </w:p>
        </w:tc>
        <w:tc>
          <w:tcPr>
            <w:tcW w:w="873" w:type="pct"/>
            <w:tcBorders>
              <w:top w:val="nil"/>
              <w:left w:val="nil"/>
              <w:bottom w:val="single" w:sz="4" w:space="0" w:color="auto"/>
              <w:right w:val="single" w:sz="4" w:space="0" w:color="auto"/>
            </w:tcBorders>
            <w:shd w:val="clear" w:color="auto" w:fill="auto"/>
            <w:noWrap/>
            <w:vAlign w:val="center"/>
          </w:tcPr>
          <w:p w14:paraId="41DFD252" w14:textId="1022D707"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41,14 %</w:t>
            </w:r>
          </w:p>
        </w:tc>
        <w:tc>
          <w:tcPr>
            <w:tcW w:w="872" w:type="pct"/>
            <w:tcBorders>
              <w:top w:val="nil"/>
              <w:left w:val="nil"/>
              <w:bottom w:val="single" w:sz="4" w:space="0" w:color="auto"/>
              <w:right w:val="single" w:sz="4" w:space="0" w:color="auto"/>
            </w:tcBorders>
            <w:shd w:val="clear" w:color="auto" w:fill="auto"/>
            <w:noWrap/>
            <w:vAlign w:val="center"/>
          </w:tcPr>
          <w:p w14:paraId="42945859" w14:textId="495CA110"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50,34 %</w:t>
            </w:r>
          </w:p>
        </w:tc>
      </w:tr>
      <w:tr w:rsidR="00352B56" w:rsidRPr="00352B56" w14:paraId="02C7D372"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hideMark/>
          </w:tcPr>
          <w:p w14:paraId="75CEA957" w14:textId="77777777"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Omejeni postopek</w:t>
            </w:r>
          </w:p>
        </w:tc>
        <w:tc>
          <w:tcPr>
            <w:tcW w:w="476" w:type="pct"/>
            <w:tcBorders>
              <w:top w:val="nil"/>
              <w:left w:val="nil"/>
              <w:bottom w:val="single" w:sz="4" w:space="0" w:color="auto"/>
              <w:right w:val="single" w:sz="4" w:space="0" w:color="auto"/>
            </w:tcBorders>
            <w:shd w:val="clear" w:color="auto" w:fill="auto"/>
            <w:vAlign w:val="center"/>
            <w:hideMark/>
          </w:tcPr>
          <w:p w14:paraId="144375A1" w14:textId="385D32A8"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201</w:t>
            </w:r>
          </w:p>
        </w:tc>
        <w:tc>
          <w:tcPr>
            <w:tcW w:w="797" w:type="pct"/>
            <w:tcBorders>
              <w:top w:val="nil"/>
              <w:left w:val="nil"/>
              <w:bottom w:val="single" w:sz="4" w:space="0" w:color="auto"/>
              <w:right w:val="single" w:sz="4" w:space="0" w:color="auto"/>
            </w:tcBorders>
            <w:shd w:val="clear" w:color="auto" w:fill="auto"/>
            <w:vAlign w:val="center"/>
            <w:hideMark/>
          </w:tcPr>
          <w:p w14:paraId="7B046140" w14:textId="7AD042FB"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85.792.232</w:t>
            </w:r>
          </w:p>
        </w:tc>
        <w:tc>
          <w:tcPr>
            <w:tcW w:w="873" w:type="pct"/>
            <w:tcBorders>
              <w:top w:val="nil"/>
              <w:left w:val="nil"/>
              <w:bottom w:val="single" w:sz="4" w:space="0" w:color="auto"/>
              <w:right w:val="single" w:sz="4" w:space="0" w:color="auto"/>
            </w:tcBorders>
            <w:shd w:val="clear" w:color="auto" w:fill="auto"/>
            <w:noWrap/>
            <w:vAlign w:val="center"/>
          </w:tcPr>
          <w:p w14:paraId="5821FD7E" w14:textId="4DF78BF8"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25,38 %</w:t>
            </w:r>
          </w:p>
        </w:tc>
        <w:tc>
          <w:tcPr>
            <w:tcW w:w="872" w:type="pct"/>
            <w:tcBorders>
              <w:top w:val="nil"/>
              <w:left w:val="nil"/>
              <w:bottom w:val="single" w:sz="4" w:space="0" w:color="auto"/>
              <w:right w:val="single" w:sz="4" w:space="0" w:color="auto"/>
            </w:tcBorders>
            <w:shd w:val="clear" w:color="auto" w:fill="auto"/>
            <w:noWrap/>
            <w:vAlign w:val="center"/>
          </w:tcPr>
          <w:p w14:paraId="2B06B998" w14:textId="18A8F25E"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11,43 %</w:t>
            </w:r>
          </w:p>
        </w:tc>
      </w:tr>
      <w:tr w:rsidR="00352B56" w:rsidRPr="00352B56" w14:paraId="7DD5A00A"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tcPr>
          <w:p w14:paraId="76ADB677" w14:textId="3104F616"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Partnerstvo za inovacije</w:t>
            </w:r>
          </w:p>
        </w:tc>
        <w:tc>
          <w:tcPr>
            <w:tcW w:w="476" w:type="pct"/>
            <w:tcBorders>
              <w:top w:val="nil"/>
              <w:left w:val="nil"/>
              <w:bottom w:val="single" w:sz="4" w:space="0" w:color="auto"/>
              <w:right w:val="single" w:sz="4" w:space="0" w:color="auto"/>
            </w:tcBorders>
            <w:shd w:val="clear" w:color="auto" w:fill="auto"/>
            <w:vAlign w:val="center"/>
          </w:tcPr>
          <w:p w14:paraId="013DDEC2" w14:textId="6F270959"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1</w:t>
            </w:r>
          </w:p>
        </w:tc>
        <w:tc>
          <w:tcPr>
            <w:tcW w:w="797" w:type="pct"/>
            <w:tcBorders>
              <w:top w:val="nil"/>
              <w:left w:val="nil"/>
              <w:bottom w:val="single" w:sz="4" w:space="0" w:color="auto"/>
              <w:right w:val="single" w:sz="4" w:space="0" w:color="auto"/>
            </w:tcBorders>
            <w:shd w:val="clear" w:color="auto" w:fill="auto"/>
            <w:vAlign w:val="center"/>
          </w:tcPr>
          <w:p w14:paraId="3D975EC4" w14:textId="479E7DB6"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79.800</w:t>
            </w:r>
          </w:p>
        </w:tc>
        <w:tc>
          <w:tcPr>
            <w:tcW w:w="873" w:type="pct"/>
            <w:tcBorders>
              <w:top w:val="nil"/>
              <w:left w:val="nil"/>
              <w:bottom w:val="single" w:sz="4" w:space="0" w:color="auto"/>
              <w:right w:val="single" w:sz="4" w:space="0" w:color="auto"/>
            </w:tcBorders>
            <w:shd w:val="clear" w:color="auto" w:fill="auto"/>
            <w:noWrap/>
            <w:vAlign w:val="center"/>
          </w:tcPr>
          <w:p w14:paraId="731B5812" w14:textId="121A1D68"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100,00 %</w:t>
            </w:r>
          </w:p>
        </w:tc>
        <w:tc>
          <w:tcPr>
            <w:tcW w:w="872" w:type="pct"/>
            <w:tcBorders>
              <w:top w:val="nil"/>
              <w:left w:val="nil"/>
              <w:bottom w:val="single" w:sz="4" w:space="0" w:color="auto"/>
              <w:right w:val="single" w:sz="4" w:space="0" w:color="auto"/>
            </w:tcBorders>
            <w:shd w:val="clear" w:color="auto" w:fill="auto"/>
            <w:noWrap/>
            <w:vAlign w:val="center"/>
          </w:tcPr>
          <w:p w14:paraId="7B0EB228" w14:textId="46F20D19"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100,00 %</w:t>
            </w:r>
          </w:p>
        </w:tc>
      </w:tr>
      <w:tr w:rsidR="00352B56" w:rsidRPr="00352B56" w14:paraId="4B98EFCD"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hideMark/>
          </w:tcPr>
          <w:p w14:paraId="47076D31" w14:textId="28725E07"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Postopek naročila male vrednosti</w:t>
            </w:r>
          </w:p>
        </w:tc>
        <w:tc>
          <w:tcPr>
            <w:tcW w:w="476" w:type="pct"/>
            <w:tcBorders>
              <w:top w:val="nil"/>
              <w:left w:val="nil"/>
              <w:bottom w:val="single" w:sz="4" w:space="0" w:color="auto"/>
              <w:right w:val="single" w:sz="4" w:space="0" w:color="auto"/>
            </w:tcBorders>
            <w:shd w:val="clear" w:color="auto" w:fill="auto"/>
            <w:vAlign w:val="center"/>
            <w:hideMark/>
          </w:tcPr>
          <w:p w14:paraId="02F4D429" w14:textId="37FA7110"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2.981</w:t>
            </w:r>
          </w:p>
        </w:tc>
        <w:tc>
          <w:tcPr>
            <w:tcW w:w="797" w:type="pct"/>
            <w:tcBorders>
              <w:top w:val="nil"/>
              <w:left w:val="nil"/>
              <w:bottom w:val="single" w:sz="4" w:space="0" w:color="auto"/>
              <w:right w:val="single" w:sz="4" w:space="0" w:color="auto"/>
            </w:tcBorders>
            <w:shd w:val="clear" w:color="auto" w:fill="auto"/>
            <w:vAlign w:val="center"/>
            <w:hideMark/>
          </w:tcPr>
          <w:p w14:paraId="057BEDD5" w14:textId="5C7544B1"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283.750.578</w:t>
            </w:r>
          </w:p>
        </w:tc>
        <w:tc>
          <w:tcPr>
            <w:tcW w:w="873" w:type="pct"/>
            <w:tcBorders>
              <w:top w:val="nil"/>
              <w:left w:val="nil"/>
              <w:bottom w:val="single" w:sz="4" w:space="0" w:color="auto"/>
              <w:right w:val="single" w:sz="4" w:space="0" w:color="auto"/>
            </w:tcBorders>
            <w:shd w:val="clear" w:color="auto" w:fill="auto"/>
            <w:noWrap/>
            <w:vAlign w:val="center"/>
          </w:tcPr>
          <w:p w14:paraId="4FF6DD0F" w14:textId="025851CE"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48,65 %</w:t>
            </w:r>
          </w:p>
        </w:tc>
        <w:tc>
          <w:tcPr>
            <w:tcW w:w="872" w:type="pct"/>
            <w:tcBorders>
              <w:top w:val="nil"/>
              <w:left w:val="nil"/>
              <w:bottom w:val="single" w:sz="4" w:space="0" w:color="auto"/>
              <w:right w:val="single" w:sz="4" w:space="0" w:color="auto"/>
            </w:tcBorders>
            <w:shd w:val="clear" w:color="auto" w:fill="auto"/>
            <w:noWrap/>
            <w:vAlign w:val="center"/>
          </w:tcPr>
          <w:p w14:paraId="4C8B7159" w14:textId="6CC5E5D6"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35,01 %</w:t>
            </w:r>
          </w:p>
        </w:tc>
      </w:tr>
      <w:tr w:rsidR="00352B56" w:rsidRPr="00352B56" w14:paraId="4570E53B"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hideMark/>
          </w:tcPr>
          <w:p w14:paraId="45346C48" w14:textId="77777777"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Postopek s pogajanji brez predhodne objave</w:t>
            </w:r>
          </w:p>
        </w:tc>
        <w:tc>
          <w:tcPr>
            <w:tcW w:w="476" w:type="pct"/>
            <w:tcBorders>
              <w:top w:val="nil"/>
              <w:left w:val="nil"/>
              <w:bottom w:val="single" w:sz="4" w:space="0" w:color="auto"/>
              <w:right w:val="single" w:sz="4" w:space="0" w:color="auto"/>
            </w:tcBorders>
            <w:shd w:val="clear" w:color="auto" w:fill="auto"/>
            <w:vAlign w:val="center"/>
            <w:hideMark/>
          </w:tcPr>
          <w:p w14:paraId="072AD3B6" w14:textId="79439224"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675</w:t>
            </w:r>
          </w:p>
        </w:tc>
        <w:tc>
          <w:tcPr>
            <w:tcW w:w="797" w:type="pct"/>
            <w:tcBorders>
              <w:top w:val="nil"/>
              <w:left w:val="nil"/>
              <w:bottom w:val="single" w:sz="4" w:space="0" w:color="auto"/>
              <w:right w:val="single" w:sz="4" w:space="0" w:color="auto"/>
            </w:tcBorders>
            <w:shd w:val="clear" w:color="auto" w:fill="auto"/>
            <w:vAlign w:val="center"/>
            <w:hideMark/>
          </w:tcPr>
          <w:p w14:paraId="1108A085" w14:textId="330C20DD"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357.589.683</w:t>
            </w:r>
          </w:p>
        </w:tc>
        <w:tc>
          <w:tcPr>
            <w:tcW w:w="873" w:type="pct"/>
            <w:tcBorders>
              <w:top w:val="nil"/>
              <w:left w:val="nil"/>
              <w:bottom w:val="single" w:sz="4" w:space="0" w:color="auto"/>
              <w:right w:val="single" w:sz="4" w:space="0" w:color="auto"/>
            </w:tcBorders>
            <w:shd w:val="clear" w:color="auto" w:fill="auto"/>
            <w:noWrap/>
            <w:vAlign w:val="center"/>
          </w:tcPr>
          <w:p w14:paraId="62CACE5D" w14:textId="05D6031E"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93,75 %</w:t>
            </w:r>
          </w:p>
        </w:tc>
        <w:tc>
          <w:tcPr>
            <w:tcW w:w="872" w:type="pct"/>
            <w:tcBorders>
              <w:top w:val="nil"/>
              <w:left w:val="nil"/>
              <w:bottom w:val="single" w:sz="4" w:space="0" w:color="auto"/>
              <w:right w:val="single" w:sz="4" w:space="0" w:color="auto"/>
            </w:tcBorders>
            <w:shd w:val="clear" w:color="auto" w:fill="auto"/>
            <w:noWrap/>
            <w:vAlign w:val="center"/>
          </w:tcPr>
          <w:p w14:paraId="195BBB80" w14:textId="513C2B94"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96,32 %</w:t>
            </w:r>
          </w:p>
        </w:tc>
      </w:tr>
      <w:tr w:rsidR="00352B56" w:rsidRPr="00352B56" w14:paraId="1A54CB90"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hideMark/>
          </w:tcPr>
          <w:p w14:paraId="1716D576" w14:textId="77777777"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Postopek s pogajanji po predhodni objavi</w:t>
            </w:r>
          </w:p>
        </w:tc>
        <w:tc>
          <w:tcPr>
            <w:tcW w:w="476" w:type="pct"/>
            <w:tcBorders>
              <w:top w:val="nil"/>
              <w:left w:val="nil"/>
              <w:bottom w:val="single" w:sz="4" w:space="0" w:color="auto"/>
              <w:right w:val="single" w:sz="4" w:space="0" w:color="auto"/>
            </w:tcBorders>
            <w:shd w:val="clear" w:color="auto" w:fill="auto"/>
            <w:vAlign w:val="center"/>
            <w:hideMark/>
          </w:tcPr>
          <w:p w14:paraId="6207DF37" w14:textId="7C095E16"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210</w:t>
            </w:r>
          </w:p>
        </w:tc>
        <w:tc>
          <w:tcPr>
            <w:tcW w:w="797" w:type="pct"/>
            <w:tcBorders>
              <w:top w:val="nil"/>
              <w:left w:val="nil"/>
              <w:bottom w:val="single" w:sz="4" w:space="0" w:color="auto"/>
              <w:right w:val="single" w:sz="4" w:space="0" w:color="auto"/>
            </w:tcBorders>
            <w:shd w:val="clear" w:color="auto" w:fill="auto"/>
            <w:vAlign w:val="center"/>
            <w:hideMark/>
          </w:tcPr>
          <w:p w14:paraId="630B2888" w14:textId="49484E16"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146.156.150</w:t>
            </w:r>
          </w:p>
        </w:tc>
        <w:tc>
          <w:tcPr>
            <w:tcW w:w="873" w:type="pct"/>
            <w:tcBorders>
              <w:top w:val="nil"/>
              <w:left w:val="nil"/>
              <w:bottom w:val="single" w:sz="4" w:space="0" w:color="auto"/>
              <w:right w:val="single" w:sz="4" w:space="0" w:color="auto"/>
            </w:tcBorders>
            <w:shd w:val="clear" w:color="auto" w:fill="auto"/>
            <w:noWrap/>
            <w:vAlign w:val="center"/>
          </w:tcPr>
          <w:p w14:paraId="40FC26CF" w14:textId="7523401D"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63,83 %</w:t>
            </w:r>
          </w:p>
        </w:tc>
        <w:tc>
          <w:tcPr>
            <w:tcW w:w="872" w:type="pct"/>
            <w:tcBorders>
              <w:top w:val="nil"/>
              <w:left w:val="nil"/>
              <w:bottom w:val="single" w:sz="4" w:space="0" w:color="auto"/>
              <w:right w:val="single" w:sz="4" w:space="0" w:color="auto"/>
            </w:tcBorders>
            <w:shd w:val="clear" w:color="auto" w:fill="auto"/>
            <w:noWrap/>
            <w:vAlign w:val="center"/>
          </w:tcPr>
          <w:p w14:paraId="2469A6AC" w14:textId="3F993D42"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46,84 %</w:t>
            </w:r>
          </w:p>
        </w:tc>
      </w:tr>
      <w:tr w:rsidR="00352B56" w:rsidRPr="00352B56" w14:paraId="3D9B9345"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auto"/>
            <w:vAlign w:val="center"/>
            <w:hideMark/>
          </w:tcPr>
          <w:p w14:paraId="4212177F" w14:textId="77777777" w:rsidR="00352B56" w:rsidRPr="00352B56" w:rsidRDefault="00352B56" w:rsidP="00352B56">
            <w:pPr>
              <w:spacing w:after="0" w:line="240" w:lineRule="auto"/>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Postopek zbiranja ponudb po predhodni objavi</w:t>
            </w:r>
          </w:p>
        </w:tc>
        <w:tc>
          <w:tcPr>
            <w:tcW w:w="476" w:type="pct"/>
            <w:tcBorders>
              <w:top w:val="nil"/>
              <w:left w:val="nil"/>
              <w:bottom w:val="single" w:sz="4" w:space="0" w:color="auto"/>
              <w:right w:val="single" w:sz="4" w:space="0" w:color="auto"/>
            </w:tcBorders>
            <w:shd w:val="clear" w:color="auto" w:fill="auto"/>
            <w:vAlign w:val="center"/>
            <w:hideMark/>
          </w:tcPr>
          <w:p w14:paraId="4B1C4837" w14:textId="7B1813BF"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16</w:t>
            </w:r>
          </w:p>
        </w:tc>
        <w:tc>
          <w:tcPr>
            <w:tcW w:w="797" w:type="pct"/>
            <w:tcBorders>
              <w:top w:val="nil"/>
              <w:left w:val="nil"/>
              <w:bottom w:val="single" w:sz="4" w:space="0" w:color="auto"/>
              <w:right w:val="single" w:sz="4" w:space="0" w:color="auto"/>
            </w:tcBorders>
            <w:shd w:val="clear" w:color="auto" w:fill="auto"/>
            <w:vAlign w:val="center"/>
            <w:hideMark/>
          </w:tcPr>
          <w:p w14:paraId="170B4119" w14:textId="417C2D26"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eastAsia="Times New Roman" w:hAnsi="Arial" w:cs="Arial"/>
                <w:color w:val="000000" w:themeColor="text1"/>
                <w:sz w:val="18"/>
                <w:szCs w:val="18"/>
                <w:lang w:eastAsia="sl-SI"/>
              </w:rPr>
              <w:t>1.702.208</w:t>
            </w:r>
          </w:p>
        </w:tc>
        <w:tc>
          <w:tcPr>
            <w:tcW w:w="873" w:type="pct"/>
            <w:tcBorders>
              <w:top w:val="nil"/>
              <w:left w:val="nil"/>
              <w:bottom w:val="single" w:sz="4" w:space="0" w:color="auto"/>
              <w:right w:val="single" w:sz="4" w:space="0" w:color="auto"/>
            </w:tcBorders>
            <w:shd w:val="clear" w:color="auto" w:fill="auto"/>
            <w:noWrap/>
            <w:vAlign w:val="center"/>
          </w:tcPr>
          <w:p w14:paraId="3D68DE26" w14:textId="63B4B5AD"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69,57 %</w:t>
            </w:r>
          </w:p>
        </w:tc>
        <w:tc>
          <w:tcPr>
            <w:tcW w:w="872" w:type="pct"/>
            <w:tcBorders>
              <w:top w:val="nil"/>
              <w:left w:val="nil"/>
              <w:bottom w:val="single" w:sz="4" w:space="0" w:color="auto"/>
              <w:right w:val="single" w:sz="4" w:space="0" w:color="auto"/>
            </w:tcBorders>
            <w:shd w:val="clear" w:color="auto" w:fill="auto"/>
            <w:noWrap/>
            <w:vAlign w:val="center"/>
          </w:tcPr>
          <w:p w14:paraId="7B1F346A" w14:textId="7CAA7CFA" w:rsidR="00352B56" w:rsidRPr="00352B56" w:rsidRDefault="00352B56" w:rsidP="00352B56">
            <w:pPr>
              <w:spacing w:after="0" w:line="240" w:lineRule="auto"/>
              <w:jc w:val="right"/>
              <w:rPr>
                <w:rFonts w:ascii="Arial" w:eastAsia="Times New Roman" w:hAnsi="Arial" w:cs="Arial"/>
                <w:color w:val="000000" w:themeColor="text1"/>
                <w:sz w:val="18"/>
                <w:szCs w:val="18"/>
                <w:lang w:eastAsia="sl-SI"/>
              </w:rPr>
            </w:pPr>
            <w:r w:rsidRPr="00352B56">
              <w:rPr>
                <w:rFonts w:ascii="Arial" w:hAnsi="Arial" w:cs="Arial"/>
                <w:color w:val="000000"/>
                <w:sz w:val="18"/>
                <w:szCs w:val="18"/>
              </w:rPr>
              <w:t>59,72 %</w:t>
            </w:r>
          </w:p>
        </w:tc>
      </w:tr>
      <w:tr w:rsidR="00352B56" w:rsidRPr="00352B56" w14:paraId="2993CF3C" w14:textId="77777777" w:rsidTr="00352B56">
        <w:trPr>
          <w:trHeight w:val="287"/>
          <w:jc w:val="center"/>
        </w:trPr>
        <w:tc>
          <w:tcPr>
            <w:tcW w:w="19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6DA3D2" w14:textId="2B6A2DCA" w:rsidR="00352B56" w:rsidRPr="00352B56" w:rsidRDefault="00352B56" w:rsidP="00352B56">
            <w:pPr>
              <w:spacing w:after="0" w:line="240" w:lineRule="auto"/>
              <w:rPr>
                <w:rFonts w:ascii="Arial" w:eastAsia="Times New Roman" w:hAnsi="Arial" w:cs="Arial"/>
                <w:b/>
                <w:bCs/>
                <w:color w:val="000000" w:themeColor="text1"/>
                <w:sz w:val="18"/>
                <w:szCs w:val="18"/>
                <w:lang w:eastAsia="sl-SI"/>
              </w:rPr>
            </w:pPr>
            <w:r w:rsidRPr="00352B56">
              <w:rPr>
                <w:rFonts w:ascii="Arial" w:eastAsia="Times New Roman" w:hAnsi="Arial" w:cs="Arial"/>
                <w:b/>
                <w:bCs/>
                <w:color w:val="000000" w:themeColor="text1"/>
                <w:sz w:val="18"/>
                <w:szCs w:val="18"/>
                <w:lang w:eastAsia="sl-SI"/>
              </w:rPr>
              <w:t>Skupaj ne glede na vrsto postopka</w:t>
            </w:r>
          </w:p>
        </w:tc>
        <w:tc>
          <w:tcPr>
            <w:tcW w:w="476" w:type="pct"/>
            <w:tcBorders>
              <w:top w:val="nil"/>
              <w:left w:val="nil"/>
              <w:bottom w:val="single" w:sz="4" w:space="0" w:color="auto"/>
              <w:right w:val="single" w:sz="4" w:space="0" w:color="auto"/>
            </w:tcBorders>
            <w:shd w:val="clear" w:color="auto" w:fill="F2F2F2" w:themeFill="background1" w:themeFillShade="F2"/>
            <w:noWrap/>
            <w:vAlign w:val="center"/>
          </w:tcPr>
          <w:p w14:paraId="4D327C64" w14:textId="38BB003B" w:rsidR="00352B56" w:rsidRPr="00352B56" w:rsidRDefault="00352B56" w:rsidP="00352B56">
            <w:pPr>
              <w:spacing w:after="0" w:line="240" w:lineRule="auto"/>
              <w:jc w:val="right"/>
              <w:rPr>
                <w:rFonts w:ascii="Arial" w:eastAsia="Times New Roman" w:hAnsi="Arial" w:cs="Arial"/>
                <w:b/>
                <w:bCs/>
                <w:color w:val="000000" w:themeColor="text1"/>
                <w:sz w:val="18"/>
                <w:szCs w:val="18"/>
                <w:lang w:eastAsia="sl-SI"/>
              </w:rPr>
            </w:pPr>
            <w:r w:rsidRPr="00352B56">
              <w:rPr>
                <w:rFonts w:ascii="Arial" w:eastAsia="Times New Roman" w:hAnsi="Arial" w:cs="Arial"/>
                <w:b/>
                <w:bCs/>
                <w:color w:val="000000" w:themeColor="text1"/>
                <w:sz w:val="18"/>
                <w:szCs w:val="18"/>
                <w:lang w:eastAsia="sl-SI"/>
              </w:rPr>
              <w:t>7.768</w:t>
            </w:r>
          </w:p>
        </w:tc>
        <w:tc>
          <w:tcPr>
            <w:tcW w:w="797" w:type="pct"/>
            <w:tcBorders>
              <w:top w:val="nil"/>
              <w:left w:val="nil"/>
              <w:bottom w:val="single" w:sz="4" w:space="0" w:color="auto"/>
              <w:right w:val="single" w:sz="4" w:space="0" w:color="auto"/>
            </w:tcBorders>
            <w:shd w:val="clear" w:color="auto" w:fill="F2F2F2" w:themeFill="background1" w:themeFillShade="F2"/>
            <w:noWrap/>
            <w:vAlign w:val="center"/>
          </w:tcPr>
          <w:p w14:paraId="24DADEA6" w14:textId="0BF39147" w:rsidR="00352B56" w:rsidRPr="00352B56" w:rsidRDefault="00352B56" w:rsidP="00352B56">
            <w:pPr>
              <w:spacing w:after="0" w:line="240" w:lineRule="auto"/>
              <w:jc w:val="right"/>
              <w:rPr>
                <w:rFonts w:ascii="Arial" w:eastAsia="Times New Roman" w:hAnsi="Arial" w:cs="Arial"/>
                <w:b/>
                <w:bCs/>
                <w:color w:val="000000" w:themeColor="text1"/>
                <w:sz w:val="18"/>
                <w:szCs w:val="18"/>
                <w:lang w:eastAsia="sl-SI"/>
              </w:rPr>
            </w:pPr>
            <w:r w:rsidRPr="00352B56">
              <w:rPr>
                <w:rFonts w:ascii="Arial" w:eastAsia="Times New Roman" w:hAnsi="Arial" w:cs="Arial"/>
                <w:b/>
                <w:bCs/>
                <w:color w:val="000000" w:themeColor="text1"/>
                <w:sz w:val="18"/>
                <w:szCs w:val="18"/>
                <w:lang w:eastAsia="sl-SI"/>
              </w:rPr>
              <w:t>2.956.062.472</w:t>
            </w:r>
          </w:p>
        </w:tc>
        <w:tc>
          <w:tcPr>
            <w:tcW w:w="873" w:type="pct"/>
            <w:tcBorders>
              <w:top w:val="nil"/>
              <w:left w:val="nil"/>
              <w:bottom w:val="single" w:sz="4" w:space="0" w:color="auto"/>
              <w:right w:val="single" w:sz="4" w:space="0" w:color="auto"/>
            </w:tcBorders>
            <w:shd w:val="clear" w:color="auto" w:fill="F2F2F2" w:themeFill="background1" w:themeFillShade="F2"/>
            <w:noWrap/>
            <w:vAlign w:val="center"/>
          </w:tcPr>
          <w:p w14:paraId="6193850F" w14:textId="3E3D85E0" w:rsidR="00352B56" w:rsidRPr="00352B56" w:rsidRDefault="00352B56" w:rsidP="00352B56">
            <w:pPr>
              <w:spacing w:after="0" w:line="240" w:lineRule="auto"/>
              <w:jc w:val="right"/>
              <w:rPr>
                <w:rFonts w:ascii="Arial" w:eastAsia="Times New Roman" w:hAnsi="Arial" w:cs="Arial"/>
                <w:b/>
                <w:bCs/>
                <w:color w:val="000000" w:themeColor="text1"/>
                <w:sz w:val="18"/>
                <w:szCs w:val="18"/>
                <w:lang w:eastAsia="sl-SI"/>
              </w:rPr>
            </w:pPr>
            <w:r w:rsidRPr="00352B56">
              <w:rPr>
                <w:rFonts w:ascii="Arial" w:hAnsi="Arial" w:cs="Arial"/>
                <w:b/>
                <w:bCs/>
                <w:color w:val="000000"/>
                <w:sz w:val="18"/>
                <w:szCs w:val="18"/>
              </w:rPr>
              <w:t>46,17 %</w:t>
            </w:r>
          </w:p>
        </w:tc>
        <w:tc>
          <w:tcPr>
            <w:tcW w:w="872" w:type="pct"/>
            <w:tcBorders>
              <w:top w:val="nil"/>
              <w:left w:val="nil"/>
              <w:bottom w:val="single" w:sz="4" w:space="0" w:color="auto"/>
              <w:right w:val="single" w:sz="4" w:space="0" w:color="auto"/>
            </w:tcBorders>
            <w:shd w:val="clear" w:color="auto" w:fill="F2F2F2" w:themeFill="background1" w:themeFillShade="F2"/>
            <w:noWrap/>
            <w:vAlign w:val="center"/>
          </w:tcPr>
          <w:p w14:paraId="73647633" w14:textId="614FD2CD" w:rsidR="00352B56" w:rsidRPr="00352B56" w:rsidRDefault="00352B56" w:rsidP="00352B56">
            <w:pPr>
              <w:spacing w:after="0" w:line="240" w:lineRule="auto"/>
              <w:jc w:val="right"/>
              <w:rPr>
                <w:rFonts w:ascii="Arial" w:eastAsia="Times New Roman" w:hAnsi="Arial" w:cs="Arial"/>
                <w:b/>
                <w:bCs/>
                <w:color w:val="000000" w:themeColor="text1"/>
                <w:sz w:val="18"/>
                <w:szCs w:val="18"/>
                <w:lang w:eastAsia="sl-SI"/>
              </w:rPr>
            </w:pPr>
            <w:r w:rsidRPr="00352B56">
              <w:rPr>
                <w:rFonts w:ascii="Arial" w:hAnsi="Arial" w:cs="Arial"/>
                <w:b/>
                <w:bCs/>
                <w:color w:val="000000"/>
                <w:sz w:val="18"/>
                <w:szCs w:val="18"/>
              </w:rPr>
              <w:t>47,43 %</w:t>
            </w:r>
          </w:p>
        </w:tc>
      </w:tr>
    </w:tbl>
    <w:p w14:paraId="331D180E" w14:textId="77777777" w:rsidR="00784900" w:rsidRPr="00352B56" w:rsidRDefault="00784900" w:rsidP="00784900">
      <w:pPr>
        <w:spacing w:after="0" w:line="240" w:lineRule="auto"/>
        <w:jc w:val="center"/>
        <w:rPr>
          <w:rFonts w:ascii="Arial" w:hAnsi="Arial" w:cs="Arial"/>
          <w:color w:val="000000" w:themeColor="text1"/>
          <w:sz w:val="18"/>
        </w:rPr>
      </w:pPr>
    </w:p>
    <w:p w14:paraId="0528694A" w14:textId="2C7C6B57" w:rsidR="00784900" w:rsidRPr="00352B56" w:rsidRDefault="00784900" w:rsidP="00784900">
      <w:pPr>
        <w:spacing w:after="0" w:line="240" w:lineRule="auto"/>
        <w:jc w:val="center"/>
        <w:rPr>
          <w:rFonts w:ascii="Arial" w:hAnsi="Arial" w:cs="Arial"/>
          <w:color w:val="000000" w:themeColor="text1"/>
          <w:sz w:val="18"/>
        </w:rPr>
      </w:pPr>
      <w:r w:rsidRPr="00352B56">
        <w:rPr>
          <w:rFonts w:ascii="Arial" w:hAnsi="Arial" w:cs="Arial"/>
          <w:color w:val="000000" w:themeColor="text1"/>
          <w:sz w:val="18"/>
        </w:rPr>
        <w:t>Vir: Statistični podatki o javnih naročilih, oddanih v letu 202</w:t>
      </w:r>
      <w:r w:rsidR="00EE33DC" w:rsidRPr="00352B56">
        <w:rPr>
          <w:rFonts w:ascii="Arial" w:hAnsi="Arial" w:cs="Arial"/>
          <w:color w:val="000000" w:themeColor="text1"/>
          <w:sz w:val="18"/>
        </w:rPr>
        <w:t>3</w:t>
      </w:r>
      <w:r w:rsidRPr="00352B56">
        <w:rPr>
          <w:rFonts w:ascii="Arial" w:hAnsi="Arial" w:cs="Arial"/>
          <w:color w:val="000000" w:themeColor="text1"/>
          <w:sz w:val="18"/>
        </w:rPr>
        <w:t>.</w:t>
      </w:r>
    </w:p>
    <w:p w14:paraId="20B39D61" w14:textId="77777777" w:rsidR="008477FE" w:rsidRPr="00637ACF" w:rsidRDefault="008477FE" w:rsidP="00784900">
      <w:pPr>
        <w:spacing w:after="0" w:line="240" w:lineRule="auto"/>
        <w:jc w:val="center"/>
        <w:rPr>
          <w:rFonts w:ascii="Arial" w:hAnsi="Arial" w:cs="Arial"/>
          <w:color w:val="000000" w:themeColor="text1"/>
          <w:sz w:val="18"/>
          <w:highlight w:val="yellow"/>
        </w:rPr>
      </w:pPr>
    </w:p>
    <w:p w14:paraId="63343A6B" w14:textId="2C6F87F4" w:rsidR="00B11580" w:rsidRPr="00136280" w:rsidRDefault="00B11580" w:rsidP="00CF1FCD">
      <w:pPr>
        <w:pStyle w:val="Naslov3"/>
      </w:pPr>
      <w:bookmarkStart w:id="36" w:name="_Toc175563867"/>
      <w:r w:rsidRPr="00136280">
        <w:t>2.</w:t>
      </w:r>
      <w:r w:rsidR="00FA2740" w:rsidRPr="00136280">
        <w:t>6</w:t>
      </w:r>
      <w:r w:rsidRPr="00136280">
        <w:t>.2 Sedež ponudnikov</w:t>
      </w:r>
      <w:bookmarkEnd w:id="36"/>
    </w:p>
    <w:p w14:paraId="6A4FC8F6" w14:textId="1E4F5264" w:rsidR="004A613D" w:rsidRPr="00136280" w:rsidRDefault="004A613D" w:rsidP="002149C7">
      <w:pPr>
        <w:pStyle w:val="ZADEVA"/>
        <w:jc w:val="both"/>
        <w:rPr>
          <w:rFonts w:cs="Arial"/>
          <w:b w:val="0"/>
          <w:color w:val="000000" w:themeColor="text1"/>
          <w:szCs w:val="20"/>
          <w:lang w:val="sl-SI"/>
        </w:rPr>
      </w:pPr>
    </w:p>
    <w:p w14:paraId="1F6EABEB" w14:textId="5B0760D2" w:rsidR="002149C7" w:rsidRPr="00136280" w:rsidRDefault="002149C7" w:rsidP="00E36A05">
      <w:pPr>
        <w:spacing w:line="360" w:lineRule="auto"/>
        <w:jc w:val="both"/>
        <w:rPr>
          <w:rFonts w:ascii="Arial" w:hAnsi="Arial" w:cs="Arial"/>
          <w:color w:val="000000" w:themeColor="text1"/>
          <w:sz w:val="20"/>
          <w:szCs w:val="20"/>
          <w:lang w:eastAsia="sl-SI"/>
        </w:rPr>
      </w:pPr>
      <w:r w:rsidRPr="00136280">
        <w:rPr>
          <w:rFonts w:ascii="Arial" w:hAnsi="Arial" w:cs="Arial"/>
          <w:bCs/>
          <w:color w:val="000000" w:themeColor="text1"/>
          <w:sz w:val="20"/>
          <w:szCs w:val="20"/>
          <w:lang w:eastAsia="sl-SI"/>
        </w:rPr>
        <w:t xml:space="preserve">Naročniki so </w:t>
      </w:r>
      <w:r w:rsidR="001A3829" w:rsidRPr="00136280">
        <w:rPr>
          <w:rFonts w:ascii="Arial" w:hAnsi="Arial" w:cs="Arial"/>
          <w:bCs/>
          <w:color w:val="000000" w:themeColor="text1"/>
          <w:sz w:val="20"/>
          <w:szCs w:val="20"/>
          <w:lang w:eastAsia="sl-SI"/>
        </w:rPr>
        <w:t>leta</w:t>
      </w:r>
      <w:r w:rsidR="00E36A05" w:rsidRPr="00136280">
        <w:rPr>
          <w:rFonts w:ascii="Arial" w:hAnsi="Arial" w:cs="Arial"/>
          <w:bCs/>
          <w:color w:val="000000" w:themeColor="text1"/>
          <w:sz w:val="20"/>
          <w:szCs w:val="20"/>
          <w:lang w:eastAsia="sl-SI"/>
        </w:rPr>
        <w:t xml:space="preserve"> 20</w:t>
      </w:r>
      <w:r w:rsidR="00274CE8" w:rsidRPr="00136280">
        <w:rPr>
          <w:rFonts w:ascii="Arial" w:hAnsi="Arial" w:cs="Arial"/>
          <w:bCs/>
          <w:color w:val="000000" w:themeColor="text1"/>
          <w:sz w:val="20"/>
          <w:szCs w:val="20"/>
          <w:lang w:eastAsia="sl-SI"/>
        </w:rPr>
        <w:t>2</w:t>
      </w:r>
      <w:r w:rsidR="00FC0513" w:rsidRPr="00136280">
        <w:rPr>
          <w:rFonts w:ascii="Arial" w:hAnsi="Arial" w:cs="Arial"/>
          <w:bCs/>
          <w:color w:val="000000" w:themeColor="text1"/>
          <w:sz w:val="20"/>
          <w:szCs w:val="20"/>
          <w:lang w:eastAsia="sl-SI"/>
        </w:rPr>
        <w:t>3</w:t>
      </w:r>
      <w:r w:rsidR="00E36A05" w:rsidRPr="00136280">
        <w:rPr>
          <w:rFonts w:ascii="Arial" w:hAnsi="Arial" w:cs="Arial"/>
          <w:bCs/>
          <w:color w:val="000000" w:themeColor="text1"/>
          <w:sz w:val="20"/>
          <w:szCs w:val="20"/>
          <w:lang w:eastAsia="sl-SI"/>
        </w:rPr>
        <w:t xml:space="preserve"> ponudnikom s sedežem v Republiki Sloveniji oddali več kot 97</w:t>
      </w:r>
      <w:r w:rsidR="00E9321E" w:rsidRPr="00136280">
        <w:rPr>
          <w:rFonts w:ascii="Arial" w:hAnsi="Arial" w:cs="Arial"/>
          <w:bCs/>
          <w:color w:val="000000" w:themeColor="text1"/>
          <w:sz w:val="20"/>
          <w:szCs w:val="20"/>
          <w:lang w:eastAsia="sl-SI"/>
        </w:rPr>
        <w:t> </w:t>
      </w:r>
      <w:r w:rsidR="00AC0027" w:rsidRPr="00136280">
        <w:rPr>
          <w:rFonts w:ascii="Arial" w:hAnsi="Arial" w:cs="Arial"/>
          <w:bCs/>
          <w:color w:val="000000" w:themeColor="text1"/>
          <w:sz w:val="20"/>
          <w:szCs w:val="20"/>
          <w:lang w:eastAsia="sl-SI"/>
        </w:rPr>
        <w:t>odstotkov</w:t>
      </w:r>
      <w:r w:rsidR="00E36A05" w:rsidRPr="00136280">
        <w:rPr>
          <w:rFonts w:ascii="Arial" w:hAnsi="Arial" w:cs="Arial"/>
          <w:bCs/>
          <w:color w:val="000000" w:themeColor="text1"/>
          <w:sz w:val="20"/>
          <w:szCs w:val="20"/>
          <w:lang w:eastAsia="sl-SI"/>
        </w:rPr>
        <w:t xml:space="preserve"> javnih naročil. Vrednost teh naročil </w:t>
      </w:r>
      <w:r w:rsidR="00AE7174" w:rsidRPr="00136280">
        <w:rPr>
          <w:rFonts w:ascii="Arial" w:hAnsi="Arial" w:cs="Arial"/>
          <w:bCs/>
          <w:color w:val="000000" w:themeColor="text1"/>
          <w:sz w:val="20"/>
          <w:szCs w:val="20"/>
          <w:lang w:eastAsia="sl-SI"/>
        </w:rPr>
        <w:t xml:space="preserve">je </w:t>
      </w:r>
      <w:r w:rsidR="00472CC0" w:rsidRPr="00136280">
        <w:rPr>
          <w:rFonts w:ascii="Arial" w:hAnsi="Arial" w:cs="Arial"/>
          <w:bCs/>
          <w:color w:val="000000" w:themeColor="text1"/>
          <w:sz w:val="20"/>
          <w:szCs w:val="20"/>
          <w:lang w:eastAsia="sl-SI"/>
        </w:rPr>
        <w:t>9</w:t>
      </w:r>
      <w:r w:rsidR="00FC0513" w:rsidRPr="00136280">
        <w:rPr>
          <w:rFonts w:ascii="Arial" w:hAnsi="Arial" w:cs="Arial"/>
          <w:bCs/>
          <w:color w:val="000000" w:themeColor="text1"/>
          <w:sz w:val="20"/>
          <w:szCs w:val="20"/>
          <w:lang w:eastAsia="sl-SI"/>
        </w:rPr>
        <w:t>2,</w:t>
      </w:r>
      <w:r w:rsidR="00CF1FCD" w:rsidRPr="00136280">
        <w:rPr>
          <w:rFonts w:ascii="Arial" w:hAnsi="Arial" w:cs="Arial"/>
          <w:bCs/>
          <w:color w:val="000000" w:themeColor="text1"/>
          <w:sz w:val="20"/>
          <w:szCs w:val="20"/>
          <w:lang w:eastAsia="sl-SI"/>
        </w:rPr>
        <w:t>49</w:t>
      </w:r>
      <w:r w:rsidR="00E9321E" w:rsidRPr="00136280">
        <w:rPr>
          <w:rFonts w:ascii="Arial" w:hAnsi="Arial" w:cs="Arial"/>
          <w:bCs/>
          <w:color w:val="000000" w:themeColor="text1"/>
          <w:sz w:val="20"/>
          <w:szCs w:val="20"/>
          <w:lang w:eastAsia="sl-SI"/>
        </w:rPr>
        <w:t> </w:t>
      </w:r>
      <w:r w:rsidR="00AC0027" w:rsidRPr="00136280">
        <w:rPr>
          <w:rFonts w:ascii="Arial" w:hAnsi="Arial" w:cs="Arial"/>
          <w:bCs/>
          <w:color w:val="000000" w:themeColor="text1"/>
          <w:sz w:val="20"/>
          <w:szCs w:val="20"/>
          <w:lang w:eastAsia="sl-SI"/>
        </w:rPr>
        <w:t>odstotka</w:t>
      </w:r>
      <w:r w:rsidR="00CD4647" w:rsidRPr="00136280">
        <w:rPr>
          <w:rFonts w:ascii="Arial" w:hAnsi="Arial" w:cs="Arial"/>
          <w:bCs/>
          <w:color w:val="000000" w:themeColor="text1"/>
          <w:sz w:val="20"/>
          <w:szCs w:val="20"/>
          <w:lang w:eastAsia="sl-SI"/>
        </w:rPr>
        <w:t xml:space="preserve"> </w:t>
      </w:r>
      <w:r w:rsidR="00E36A05" w:rsidRPr="00136280">
        <w:rPr>
          <w:rFonts w:ascii="Arial" w:hAnsi="Arial" w:cs="Arial"/>
          <w:bCs/>
          <w:color w:val="000000" w:themeColor="text1"/>
          <w:sz w:val="20"/>
          <w:szCs w:val="20"/>
          <w:lang w:eastAsia="sl-SI"/>
        </w:rPr>
        <w:t>vseh oddanih javnih naročil.</w:t>
      </w:r>
      <w:r w:rsidRPr="00136280">
        <w:rPr>
          <w:rFonts w:ascii="Arial" w:hAnsi="Arial" w:cs="Arial"/>
          <w:color w:val="000000" w:themeColor="text1"/>
          <w:sz w:val="20"/>
          <w:szCs w:val="20"/>
          <w:lang w:eastAsia="sl-SI"/>
        </w:rPr>
        <w:t xml:space="preserve"> </w:t>
      </w:r>
    </w:p>
    <w:p w14:paraId="5342B8AD" w14:textId="7C6A5B0F" w:rsidR="008F7759" w:rsidRPr="00136280" w:rsidRDefault="008F7759" w:rsidP="008F7759">
      <w:pPr>
        <w:spacing w:line="360" w:lineRule="auto"/>
        <w:jc w:val="both"/>
        <w:rPr>
          <w:rFonts w:ascii="Arial" w:hAnsi="Arial" w:cs="Arial"/>
          <w:color w:val="000000" w:themeColor="text1"/>
          <w:sz w:val="20"/>
          <w:szCs w:val="20"/>
          <w:lang w:eastAsia="sl-SI"/>
        </w:rPr>
      </w:pPr>
      <w:r w:rsidRPr="00136280">
        <w:rPr>
          <w:rFonts w:ascii="Arial" w:hAnsi="Arial" w:cs="Arial"/>
          <w:bCs/>
          <w:color w:val="000000" w:themeColor="text1"/>
          <w:sz w:val="20"/>
          <w:szCs w:val="20"/>
          <w:lang w:eastAsia="sl-SI"/>
        </w:rPr>
        <w:t>Naročniki so pri tujih ponudnikih najpogosteje naročali blago</w:t>
      </w:r>
      <w:r w:rsidR="00A84A86" w:rsidRPr="00136280">
        <w:rPr>
          <w:rFonts w:ascii="Arial" w:hAnsi="Arial" w:cs="Arial"/>
          <w:bCs/>
          <w:color w:val="000000" w:themeColor="text1"/>
          <w:sz w:val="20"/>
          <w:szCs w:val="20"/>
          <w:lang w:eastAsia="sl-SI"/>
        </w:rPr>
        <w:t xml:space="preserve">. </w:t>
      </w:r>
      <w:r w:rsidR="00CD4647" w:rsidRPr="00136280">
        <w:rPr>
          <w:rFonts w:ascii="Arial" w:hAnsi="Arial" w:cs="Arial"/>
          <w:bCs/>
          <w:color w:val="000000" w:themeColor="text1"/>
          <w:sz w:val="20"/>
          <w:szCs w:val="20"/>
          <w:lang w:eastAsia="sl-SI"/>
        </w:rPr>
        <w:t>Leta</w:t>
      </w:r>
      <w:r w:rsidR="00A84A86" w:rsidRPr="00136280">
        <w:rPr>
          <w:rFonts w:ascii="Arial" w:hAnsi="Arial" w:cs="Arial"/>
          <w:bCs/>
          <w:color w:val="000000" w:themeColor="text1"/>
          <w:sz w:val="20"/>
          <w:szCs w:val="20"/>
          <w:lang w:eastAsia="sl-SI"/>
        </w:rPr>
        <w:t xml:space="preserve"> 20</w:t>
      </w:r>
      <w:r w:rsidR="00E02634" w:rsidRPr="00136280">
        <w:rPr>
          <w:rFonts w:ascii="Arial" w:hAnsi="Arial" w:cs="Arial"/>
          <w:bCs/>
          <w:color w:val="000000" w:themeColor="text1"/>
          <w:sz w:val="20"/>
          <w:szCs w:val="20"/>
          <w:lang w:eastAsia="sl-SI"/>
        </w:rPr>
        <w:t>2</w:t>
      </w:r>
      <w:r w:rsidR="00056EB4" w:rsidRPr="00136280">
        <w:rPr>
          <w:rFonts w:ascii="Arial" w:hAnsi="Arial" w:cs="Arial"/>
          <w:bCs/>
          <w:color w:val="000000" w:themeColor="text1"/>
          <w:sz w:val="20"/>
          <w:szCs w:val="20"/>
          <w:lang w:eastAsia="sl-SI"/>
        </w:rPr>
        <w:t>3</w:t>
      </w:r>
      <w:r w:rsidRPr="00136280">
        <w:rPr>
          <w:rFonts w:ascii="Arial" w:hAnsi="Arial" w:cs="Arial"/>
          <w:bCs/>
          <w:color w:val="000000" w:themeColor="text1"/>
          <w:sz w:val="20"/>
          <w:szCs w:val="20"/>
          <w:lang w:eastAsia="sl-SI"/>
        </w:rPr>
        <w:t xml:space="preserve"> je bilo tovrstnih oddanih </w:t>
      </w:r>
      <w:r w:rsidR="00526D5F" w:rsidRPr="00136280">
        <w:rPr>
          <w:rFonts w:ascii="Arial" w:hAnsi="Arial" w:cs="Arial"/>
          <w:bCs/>
          <w:color w:val="000000" w:themeColor="text1"/>
          <w:sz w:val="20"/>
          <w:szCs w:val="20"/>
          <w:lang w:eastAsia="sl-SI"/>
        </w:rPr>
        <w:t>javnih naročil</w:t>
      </w:r>
      <w:r w:rsidRPr="00136280">
        <w:rPr>
          <w:rFonts w:ascii="Arial" w:hAnsi="Arial" w:cs="Arial"/>
          <w:bCs/>
          <w:color w:val="000000" w:themeColor="text1"/>
          <w:sz w:val="20"/>
          <w:szCs w:val="20"/>
          <w:lang w:eastAsia="sl-SI"/>
        </w:rPr>
        <w:t xml:space="preserve"> </w:t>
      </w:r>
      <w:r w:rsidR="009A6CF5" w:rsidRPr="00136280">
        <w:rPr>
          <w:rFonts w:ascii="Arial" w:hAnsi="Arial" w:cs="Arial"/>
          <w:bCs/>
          <w:color w:val="000000" w:themeColor="text1"/>
          <w:sz w:val="20"/>
          <w:szCs w:val="20"/>
          <w:lang w:eastAsia="sl-SI"/>
        </w:rPr>
        <w:t>3</w:t>
      </w:r>
      <w:r w:rsidR="00FC0513" w:rsidRPr="00136280">
        <w:rPr>
          <w:rFonts w:ascii="Arial" w:hAnsi="Arial" w:cs="Arial"/>
          <w:bCs/>
          <w:color w:val="000000" w:themeColor="text1"/>
          <w:sz w:val="20"/>
          <w:szCs w:val="20"/>
          <w:lang w:eastAsia="sl-SI"/>
        </w:rPr>
        <w:t>5</w:t>
      </w:r>
      <w:r w:rsidR="009A6CF5" w:rsidRPr="00136280">
        <w:rPr>
          <w:rFonts w:ascii="Arial" w:hAnsi="Arial" w:cs="Arial"/>
          <w:bCs/>
          <w:color w:val="000000" w:themeColor="text1"/>
          <w:sz w:val="20"/>
          <w:szCs w:val="20"/>
          <w:lang w:eastAsia="sl-SI"/>
        </w:rPr>
        <w:t>4</w:t>
      </w:r>
      <w:r w:rsidRPr="00136280">
        <w:rPr>
          <w:rFonts w:ascii="Arial" w:hAnsi="Arial" w:cs="Arial"/>
          <w:bCs/>
          <w:color w:val="000000" w:themeColor="text1"/>
          <w:sz w:val="20"/>
          <w:szCs w:val="20"/>
          <w:lang w:eastAsia="sl-SI"/>
        </w:rPr>
        <w:t xml:space="preserve">, njihova skupna vrednost pa </w:t>
      </w:r>
      <w:r w:rsidR="00416593" w:rsidRPr="00136280">
        <w:rPr>
          <w:rFonts w:ascii="Arial" w:hAnsi="Arial" w:cs="Arial"/>
          <w:bCs/>
          <w:color w:val="000000" w:themeColor="text1"/>
          <w:sz w:val="20"/>
          <w:szCs w:val="20"/>
          <w:lang w:eastAsia="sl-SI"/>
        </w:rPr>
        <w:t xml:space="preserve">znaša </w:t>
      </w:r>
      <w:r w:rsidR="00FC0513" w:rsidRPr="00136280">
        <w:rPr>
          <w:rFonts w:ascii="Arial" w:hAnsi="Arial" w:cs="Arial"/>
          <w:bCs/>
          <w:color w:val="000000" w:themeColor="text1"/>
          <w:sz w:val="20"/>
          <w:szCs w:val="20"/>
          <w:lang w:eastAsia="sl-SI"/>
        </w:rPr>
        <w:t xml:space="preserve">332.372.624 </w:t>
      </w:r>
      <w:r w:rsidRPr="00136280">
        <w:rPr>
          <w:rFonts w:ascii="Arial" w:hAnsi="Arial" w:cs="Arial"/>
          <w:color w:val="000000" w:themeColor="text1"/>
          <w:sz w:val="20"/>
          <w:szCs w:val="20"/>
          <w:lang w:eastAsia="sl-SI"/>
        </w:rPr>
        <w:t xml:space="preserve">evrov. </w:t>
      </w:r>
      <w:r w:rsidR="00526D5F" w:rsidRPr="00136280">
        <w:rPr>
          <w:rFonts w:ascii="Arial" w:hAnsi="Arial" w:cs="Arial"/>
          <w:color w:val="000000" w:themeColor="text1"/>
          <w:sz w:val="20"/>
          <w:szCs w:val="20"/>
          <w:lang w:eastAsia="sl-SI"/>
        </w:rPr>
        <w:t xml:space="preserve">Podrobnejša razporeditev oddanih javnih naročil glede na predmet naročanja in sedež ponudnika je </w:t>
      </w:r>
      <w:r w:rsidR="00C82337" w:rsidRPr="00136280">
        <w:rPr>
          <w:rFonts w:ascii="Arial" w:hAnsi="Arial" w:cs="Arial"/>
          <w:color w:val="000000" w:themeColor="text1"/>
          <w:sz w:val="20"/>
          <w:szCs w:val="20"/>
          <w:lang w:eastAsia="sl-SI"/>
        </w:rPr>
        <w:t>prikazana</w:t>
      </w:r>
      <w:r w:rsidR="00526D5F" w:rsidRPr="00136280">
        <w:rPr>
          <w:rFonts w:ascii="Arial" w:hAnsi="Arial" w:cs="Arial"/>
          <w:color w:val="000000" w:themeColor="text1"/>
          <w:sz w:val="20"/>
          <w:szCs w:val="20"/>
          <w:lang w:eastAsia="sl-SI"/>
        </w:rPr>
        <w:t xml:space="preserve"> v spodnji preglednici.</w:t>
      </w:r>
    </w:p>
    <w:p w14:paraId="323D24A8" w14:textId="77777777" w:rsidR="008477FE" w:rsidRPr="00637ACF" w:rsidRDefault="008477FE">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3B07886A" w14:textId="216EC9B7" w:rsidR="00E36A05" w:rsidRPr="00136280" w:rsidRDefault="00E36A05" w:rsidP="008A61FD">
      <w:pPr>
        <w:spacing w:before="120" w:after="120" w:line="240" w:lineRule="auto"/>
        <w:jc w:val="both"/>
        <w:rPr>
          <w:rFonts w:ascii="Arial" w:hAnsi="Arial" w:cs="Arial"/>
          <w:color w:val="000000" w:themeColor="text1"/>
          <w:sz w:val="20"/>
        </w:rPr>
      </w:pPr>
      <w:r w:rsidRPr="00136280">
        <w:rPr>
          <w:rFonts w:ascii="Arial" w:hAnsi="Arial" w:cs="Arial"/>
          <w:color w:val="000000" w:themeColor="text1"/>
          <w:sz w:val="20"/>
        </w:rPr>
        <w:lastRenderedPageBreak/>
        <w:t xml:space="preserve">Preglednica </w:t>
      </w:r>
      <w:r w:rsidR="00512F52" w:rsidRPr="00136280">
        <w:rPr>
          <w:rFonts w:ascii="Arial" w:hAnsi="Arial" w:cs="Arial"/>
          <w:color w:val="000000" w:themeColor="text1"/>
          <w:sz w:val="20"/>
        </w:rPr>
        <w:t>3</w:t>
      </w:r>
      <w:r w:rsidR="00EA747F" w:rsidRPr="00136280">
        <w:rPr>
          <w:rFonts w:ascii="Arial" w:hAnsi="Arial" w:cs="Arial"/>
          <w:color w:val="000000" w:themeColor="text1"/>
          <w:sz w:val="20"/>
        </w:rPr>
        <w:t>4</w:t>
      </w:r>
      <w:r w:rsidRPr="00136280">
        <w:rPr>
          <w:rFonts w:ascii="Arial" w:hAnsi="Arial" w:cs="Arial"/>
          <w:color w:val="000000" w:themeColor="text1"/>
          <w:sz w:val="20"/>
        </w:rPr>
        <w:t>: Delež uspešnosti tujih ponudnikov glede na predmet naročanja</w:t>
      </w:r>
    </w:p>
    <w:tbl>
      <w:tblPr>
        <w:tblW w:w="8648" w:type="dxa"/>
        <w:jc w:val="center"/>
        <w:tblCellMar>
          <w:left w:w="70" w:type="dxa"/>
          <w:right w:w="70" w:type="dxa"/>
        </w:tblCellMar>
        <w:tblLook w:val="04A0" w:firstRow="1" w:lastRow="0" w:firstColumn="1" w:lastColumn="0" w:noHBand="0" w:noVBand="1"/>
      </w:tblPr>
      <w:tblGrid>
        <w:gridCol w:w="988"/>
        <w:gridCol w:w="1943"/>
        <w:gridCol w:w="960"/>
        <w:gridCol w:w="1497"/>
        <w:gridCol w:w="1723"/>
        <w:gridCol w:w="1537"/>
      </w:tblGrid>
      <w:tr w:rsidR="008B3ADE" w:rsidRPr="00136280" w14:paraId="2843A660" w14:textId="77777777" w:rsidTr="00CD447F">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08ADAF" w14:textId="77777777" w:rsidR="00E02634" w:rsidRPr="00136280" w:rsidRDefault="00E02634" w:rsidP="00E02634">
            <w:pPr>
              <w:spacing w:after="0" w:line="240" w:lineRule="auto"/>
              <w:jc w:val="center"/>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 xml:space="preserve">Predmet </w:t>
            </w:r>
          </w:p>
        </w:tc>
        <w:tc>
          <w:tcPr>
            <w:tcW w:w="19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FBCE98" w14:textId="77777777" w:rsidR="00E02634" w:rsidRPr="00136280" w:rsidRDefault="00E02634" w:rsidP="00E02634">
            <w:pPr>
              <w:spacing w:after="0" w:line="240" w:lineRule="auto"/>
              <w:jc w:val="center"/>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Sedež ponudnika</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3163A7" w14:textId="77777777" w:rsidR="00E02634" w:rsidRPr="00136280" w:rsidRDefault="00E02634" w:rsidP="00E02634">
            <w:pPr>
              <w:spacing w:after="0" w:line="240" w:lineRule="auto"/>
              <w:jc w:val="center"/>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Št. naročil</w:t>
            </w:r>
          </w:p>
        </w:tc>
        <w:tc>
          <w:tcPr>
            <w:tcW w:w="14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C8CD9E" w14:textId="1AE5D6D3" w:rsidR="00E02634" w:rsidRPr="00136280" w:rsidRDefault="00E02634" w:rsidP="00E02634">
            <w:pPr>
              <w:spacing w:after="0" w:line="240" w:lineRule="auto"/>
              <w:jc w:val="center"/>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 xml:space="preserve">Pogodbena vrednost </w:t>
            </w:r>
            <w:r w:rsidR="00986395" w:rsidRPr="00136280">
              <w:rPr>
                <w:rFonts w:ascii="Arial" w:eastAsia="Times New Roman" w:hAnsi="Arial" w:cs="Arial"/>
                <w:color w:val="000000" w:themeColor="text1"/>
                <w:sz w:val="18"/>
                <w:szCs w:val="18"/>
                <w:lang w:eastAsia="sl-SI"/>
              </w:rPr>
              <w:t>(v EUR)</w:t>
            </w:r>
          </w:p>
        </w:tc>
        <w:tc>
          <w:tcPr>
            <w:tcW w:w="17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84F8F9" w14:textId="77777777" w:rsidR="00E02634" w:rsidRPr="00136280" w:rsidRDefault="00E02634" w:rsidP="00E02634">
            <w:pPr>
              <w:spacing w:after="0" w:line="240" w:lineRule="auto"/>
              <w:jc w:val="center"/>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Delež v št. istovrstnih naročil</w:t>
            </w:r>
          </w:p>
        </w:tc>
        <w:tc>
          <w:tcPr>
            <w:tcW w:w="153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502261" w14:textId="77777777" w:rsidR="00E02634" w:rsidRPr="00136280" w:rsidRDefault="00E02634" w:rsidP="00E02634">
            <w:pPr>
              <w:spacing w:after="0" w:line="240" w:lineRule="auto"/>
              <w:jc w:val="center"/>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Delež v vrednosti istovrstnih naročil</w:t>
            </w:r>
          </w:p>
        </w:tc>
      </w:tr>
      <w:tr w:rsidR="00136280" w:rsidRPr="00136280" w14:paraId="754D1037" w14:textId="77777777" w:rsidTr="00136280">
        <w:trPr>
          <w:trHeight w:val="255"/>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46528120" w14:textId="77777777"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Blago</w:t>
            </w:r>
          </w:p>
        </w:tc>
        <w:tc>
          <w:tcPr>
            <w:tcW w:w="1943" w:type="dxa"/>
            <w:tcBorders>
              <w:top w:val="nil"/>
              <w:left w:val="nil"/>
              <w:bottom w:val="single" w:sz="4" w:space="0" w:color="auto"/>
              <w:right w:val="single" w:sz="4" w:space="0" w:color="auto"/>
            </w:tcBorders>
            <w:shd w:val="clear" w:color="auto" w:fill="auto"/>
            <w:vAlign w:val="center"/>
            <w:hideMark/>
          </w:tcPr>
          <w:p w14:paraId="663070B4" w14:textId="77777777"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Slovenija</w:t>
            </w:r>
          </w:p>
        </w:tc>
        <w:tc>
          <w:tcPr>
            <w:tcW w:w="960" w:type="dxa"/>
            <w:tcBorders>
              <w:top w:val="nil"/>
              <w:left w:val="nil"/>
              <w:bottom w:val="single" w:sz="4" w:space="0" w:color="auto"/>
              <w:right w:val="single" w:sz="4" w:space="0" w:color="auto"/>
            </w:tcBorders>
            <w:shd w:val="clear" w:color="auto" w:fill="auto"/>
            <w:vAlign w:val="center"/>
          </w:tcPr>
          <w:p w14:paraId="6B609F8D" w14:textId="3BBB7878"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10.253</w:t>
            </w:r>
          </w:p>
        </w:tc>
        <w:tc>
          <w:tcPr>
            <w:tcW w:w="1497" w:type="dxa"/>
            <w:tcBorders>
              <w:top w:val="nil"/>
              <w:left w:val="nil"/>
              <w:bottom w:val="single" w:sz="4" w:space="0" w:color="auto"/>
              <w:right w:val="single" w:sz="4" w:space="0" w:color="auto"/>
            </w:tcBorders>
            <w:shd w:val="clear" w:color="auto" w:fill="auto"/>
            <w:vAlign w:val="center"/>
          </w:tcPr>
          <w:p w14:paraId="74D5CF38" w14:textId="5EFD09E4"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2.275.226.624</w:t>
            </w:r>
          </w:p>
        </w:tc>
        <w:tc>
          <w:tcPr>
            <w:tcW w:w="1723" w:type="dxa"/>
            <w:tcBorders>
              <w:top w:val="nil"/>
              <w:left w:val="nil"/>
              <w:bottom w:val="single" w:sz="4" w:space="0" w:color="auto"/>
              <w:right w:val="single" w:sz="4" w:space="0" w:color="auto"/>
            </w:tcBorders>
            <w:shd w:val="clear" w:color="auto" w:fill="auto"/>
            <w:vAlign w:val="center"/>
          </w:tcPr>
          <w:p w14:paraId="497B7FDE" w14:textId="709127DD"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96,66 %</w:t>
            </w:r>
          </w:p>
        </w:tc>
        <w:tc>
          <w:tcPr>
            <w:tcW w:w="1537" w:type="dxa"/>
            <w:tcBorders>
              <w:top w:val="nil"/>
              <w:left w:val="nil"/>
              <w:bottom w:val="single" w:sz="4" w:space="0" w:color="auto"/>
              <w:right w:val="single" w:sz="4" w:space="0" w:color="auto"/>
            </w:tcBorders>
            <w:shd w:val="clear" w:color="auto" w:fill="auto"/>
            <w:vAlign w:val="center"/>
          </w:tcPr>
          <w:p w14:paraId="21E5507A" w14:textId="75E68B4C"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87,25 %</w:t>
            </w:r>
          </w:p>
        </w:tc>
      </w:tr>
      <w:tr w:rsidR="00136280" w:rsidRPr="00136280" w14:paraId="66E93682" w14:textId="77777777" w:rsidTr="00136280">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2873FB27"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0476D3AC" w14:textId="1984FE7D"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Druga država EU</w:t>
            </w:r>
          </w:p>
        </w:tc>
        <w:tc>
          <w:tcPr>
            <w:tcW w:w="960" w:type="dxa"/>
            <w:tcBorders>
              <w:top w:val="nil"/>
              <w:left w:val="nil"/>
              <w:bottom w:val="single" w:sz="4" w:space="0" w:color="auto"/>
              <w:right w:val="single" w:sz="4" w:space="0" w:color="auto"/>
            </w:tcBorders>
            <w:shd w:val="clear" w:color="auto" w:fill="auto"/>
            <w:vAlign w:val="center"/>
          </w:tcPr>
          <w:p w14:paraId="5DA3326B" w14:textId="15739EAB"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292</w:t>
            </w:r>
          </w:p>
        </w:tc>
        <w:tc>
          <w:tcPr>
            <w:tcW w:w="1497" w:type="dxa"/>
            <w:tcBorders>
              <w:top w:val="nil"/>
              <w:left w:val="nil"/>
              <w:bottom w:val="single" w:sz="4" w:space="0" w:color="auto"/>
              <w:right w:val="single" w:sz="4" w:space="0" w:color="auto"/>
            </w:tcBorders>
            <w:shd w:val="clear" w:color="auto" w:fill="auto"/>
            <w:vAlign w:val="center"/>
          </w:tcPr>
          <w:p w14:paraId="58D210E8" w14:textId="4052E5A7"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300.334.328</w:t>
            </w:r>
          </w:p>
        </w:tc>
        <w:tc>
          <w:tcPr>
            <w:tcW w:w="1723" w:type="dxa"/>
            <w:tcBorders>
              <w:top w:val="nil"/>
              <w:left w:val="nil"/>
              <w:bottom w:val="single" w:sz="4" w:space="0" w:color="auto"/>
              <w:right w:val="single" w:sz="4" w:space="0" w:color="auto"/>
            </w:tcBorders>
            <w:shd w:val="clear" w:color="auto" w:fill="auto"/>
            <w:vAlign w:val="center"/>
          </w:tcPr>
          <w:p w14:paraId="0DDF6C8D" w14:textId="0CFD3BA8"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2,75 %</w:t>
            </w:r>
          </w:p>
        </w:tc>
        <w:tc>
          <w:tcPr>
            <w:tcW w:w="1537" w:type="dxa"/>
            <w:tcBorders>
              <w:top w:val="nil"/>
              <w:left w:val="nil"/>
              <w:bottom w:val="single" w:sz="4" w:space="0" w:color="auto"/>
              <w:right w:val="single" w:sz="4" w:space="0" w:color="auto"/>
            </w:tcBorders>
            <w:shd w:val="clear" w:color="auto" w:fill="auto"/>
            <w:vAlign w:val="center"/>
          </w:tcPr>
          <w:p w14:paraId="4F540FA6" w14:textId="42ECA6C1"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11,52 %</w:t>
            </w:r>
          </w:p>
        </w:tc>
      </w:tr>
      <w:tr w:rsidR="00136280" w:rsidRPr="00136280" w14:paraId="6626BBD4" w14:textId="77777777" w:rsidTr="00136280">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1BDD05F3"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093A0443" w14:textId="1E23B317"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Zunaj EU</w:t>
            </w:r>
          </w:p>
        </w:tc>
        <w:tc>
          <w:tcPr>
            <w:tcW w:w="960" w:type="dxa"/>
            <w:tcBorders>
              <w:top w:val="nil"/>
              <w:left w:val="nil"/>
              <w:bottom w:val="single" w:sz="4" w:space="0" w:color="auto"/>
              <w:right w:val="single" w:sz="4" w:space="0" w:color="auto"/>
            </w:tcBorders>
            <w:shd w:val="clear" w:color="auto" w:fill="auto"/>
            <w:vAlign w:val="center"/>
          </w:tcPr>
          <w:p w14:paraId="11C22EAC" w14:textId="4E921031"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62</w:t>
            </w:r>
          </w:p>
        </w:tc>
        <w:tc>
          <w:tcPr>
            <w:tcW w:w="1497" w:type="dxa"/>
            <w:tcBorders>
              <w:top w:val="nil"/>
              <w:left w:val="nil"/>
              <w:bottom w:val="single" w:sz="4" w:space="0" w:color="auto"/>
              <w:right w:val="single" w:sz="4" w:space="0" w:color="auto"/>
            </w:tcBorders>
            <w:shd w:val="clear" w:color="auto" w:fill="auto"/>
            <w:vAlign w:val="center"/>
          </w:tcPr>
          <w:p w14:paraId="61853607" w14:textId="66DE06A5"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32.038.296</w:t>
            </w:r>
          </w:p>
        </w:tc>
        <w:tc>
          <w:tcPr>
            <w:tcW w:w="1723" w:type="dxa"/>
            <w:tcBorders>
              <w:top w:val="nil"/>
              <w:left w:val="nil"/>
              <w:bottom w:val="single" w:sz="4" w:space="0" w:color="auto"/>
              <w:right w:val="single" w:sz="4" w:space="0" w:color="auto"/>
            </w:tcBorders>
            <w:shd w:val="clear" w:color="auto" w:fill="auto"/>
            <w:vAlign w:val="center"/>
          </w:tcPr>
          <w:p w14:paraId="4E769790" w14:textId="4723BE64"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0,58 %</w:t>
            </w:r>
          </w:p>
        </w:tc>
        <w:tc>
          <w:tcPr>
            <w:tcW w:w="1537" w:type="dxa"/>
            <w:tcBorders>
              <w:top w:val="nil"/>
              <w:left w:val="nil"/>
              <w:bottom w:val="single" w:sz="4" w:space="0" w:color="auto"/>
              <w:right w:val="single" w:sz="4" w:space="0" w:color="auto"/>
            </w:tcBorders>
            <w:shd w:val="clear" w:color="auto" w:fill="auto"/>
            <w:vAlign w:val="center"/>
          </w:tcPr>
          <w:p w14:paraId="36A1542B" w14:textId="19272E51"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1,23 %</w:t>
            </w:r>
          </w:p>
        </w:tc>
      </w:tr>
      <w:tr w:rsidR="00136280" w:rsidRPr="00136280" w14:paraId="0E06C9CF" w14:textId="77777777" w:rsidTr="00136280">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7700956B"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6C712F2B" w14:textId="77777777" w:rsidR="00136280" w:rsidRPr="00136280" w:rsidRDefault="00136280" w:rsidP="00136280">
            <w:pPr>
              <w:spacing w:after="0" w:line="240" w:lineRule="auto"/>
              <w:jc w:val="both"/>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Skupaj</w:t>
            </w:r>
          </w:p>
        </w:tc>
        <w:tc>
          <w:tcPr>
            <w:tcW w:w="960" w:type="dxa"/>
            <w:tcBorders>
              <w:top w:val="nil"/>
              <w:left w:val="nil"/>
              <w:bottom w:val="single" w:sz="4" w:space="0" w:color="auto"/>
              <w:right w:val="single" w:sz="4" w:space="0" w:color="auto"/>
            </w:tcBorders>
            <w:shd w:val="clear" w:color="auto" w:fill="auto"/>
            <w:vAlign w:val="center"/>
          </w:tcPr>
          <w:p w14:paraId="4D2B63DB" w14:textId="29C994E1"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10.607</w:t>
            </w:r>
          </w:p>
        </w:tc>
        <w:tc>
          <w:tcPr>
            <w:tcW w:w="1497" w:type="dxa"/>
            <w:tcBorders>
              <w:top w:val="nil"/>
              <w:left w:val="nil"/>
              <w:bottom w:val="single" w:sz="4" w:space="0" w:color="auto"/>
              <w:right w:val="single" w:sz="4" w:space="0" w:color="auto"/>
            </w:tcBorders>
            <w:shd w:val="clear" w:color="auto" w:fill="auto"/>
            <w:vAlign w:val="center"/>
          </w:tcPr>
          <w:p w14:paraId="14A29D4E" w14:textId="7233DF66"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2.607.599.248</w:t>
            </w:r>
          </w:p>
        </w:tc>
        <w:tc>
          <w:tcPr>
            <w:tcW w:w="1723" w:type="dxa"/>
            <w:tcBorders>
              <w:top w:val="nil"/>
              <w:left w:val="nil"/>
              <w:bottom w:val="single" w:sz="4" w:space="0" w:color="auto"/>
              <w:right w:val="single" w:sz="4" w:space="0" w:color="auto"/>
            </w:tcBorders>
            <w:shd w:val="clear" w:color="auto" w:fill="auto"/>
            <w:vAlign w:val="center"/>
          </w:tcPr>
          <w:p w14:paraId="3D797D85" w14:textId="251F0426"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100,00 %</w:t>
            </w:r>
          </w:p>
        </w:tc>
        <w:tc>
          <w:tcPr>
            <w:tcW w:w="1537" w:type="dxa"/>
            <w:tcBorders>
              <w:top w:val="nil"/>
              <w:left w:val="nil"/>
              <w:bottom w:val="single" w:sz="4" w:space="0" w:color="auto"/>
              <w:right w:val="single" w:sz="4" w:space="0" w:color="auto"/>
            </w:tcBorders>
            <w:shd w:val="clear" w:color="auto" w:fill="auto"/>
            <w:vAlign w:val="center"/>
          </w:tcPr>
          <w:p w14:paraId="78D13C64" w14:textId="345D01F5"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100,00 %</w:t>
            </w:r>
          </w:p>
        </w:tc>
      </w:tr>
      <w:tr w:rsidR="00136280" w:rsidRPr="00136280" w14:paraId="23B76489" w14:textId="77777777" w:rsidTr="00136280">
        <w:trPr>
          <w:trHeight w:val="255"/>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3578B8E1" w14:textId="77777777"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Storitve</w:t>
            </w:r>
          </w:p>
        </w:tc>
        <w:tc>
          <w:tcPr>
            <w:tcW w:w="1943" w:type="dxa"/>
            <w:tcBorders>
              <w:top w:val="nil"/>
              <w:left w:val="nil"/>
              <w:bottom w:val="single" w:sz="4" w:space="0" w:color="auto"/>
              <w:right w:val="single" w:sz="4" w:space="0" w:color="auto"/>
            </w:tcBorders>
            <w:shd w:val="clear" w:color="auto" w:fill="auto"/>
            <w:vAlign w:val="center"/>
            <w:hideMark/>
          </w:tcPr>
          <w:p w14:paraId="73596FCB" w14:textId="77777777"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Slovenija</w:t>
            </w:r>
          </w:p>
        </w:tc>
        <w:tc>
          <w:tcPr>
            <w:tcW w:w="960" w:type="dxa"/>
            <w:tcBorders>
              <w:top w:val="nil"/>
              <w:left w:val="nil"/>
              <w:bottom w:val="single" w:sz="4" w:space="0" w:color="auto"/>
              <w:right w:val="single" w:sz="4" w:space="0" w:color="auto"/>
            </w:tcBorders>
            <w:shd w:val="clear" w:color="auto" w:fill="auto"/>
            <w:vAlign w:val="center"/>
          </w:tcPr>
          <w:p w14:paraId="4922B9B4" w14:textId="2175FD2C"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4.530</w:t>
            </w:r>
          </w:p>
        </w:tc>
        <w:tc>
          <w:tcPr>
            <w:tcW w:w="1497" w:type="dxa"/>
            <w:tcBorders>
              <w:top w:val="nil"/>
              <w:left w:val="nil"/>
              <w:bottom w:val="single" w:sz="4" w:space="0" w:color="auto"/>
              <w:right w:val="single" w:sz="4" w:space="0" w:color="auto"/>
            </w:tcBorders>
            <w:shd w:val="clear" w:color="auto" w:fill="auto"/>
            <w:vAlign w:val="center"/>
          </w:tcPr>
          <w:p w14:paraId="543B0B13" w14:textId="77107219"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2.072.223.541</w:t>
            </w:r>
          </w:p>
        </w:tc>
        <w:tc>
          <w:tcPr>
            <w:tcW w:w="1723" w:type="dxa"/>
            <w:tcBorders>
              <w:top w:val="nil"/>
              <w:left w:val="nil"/>
              <w:bottom w:val="single" w:sz="4" w:space="0" w:color="auto"/>
              <w:right w:val="single" w:sz="4" w:space="0" w:color="auto"/>
            </w:tcBorders>
            <w:shd w:val="clear" w:color="auto" w:fill="auto"/>
            <w:vAlign w:val="center"/>
          </w:tcPr>
          <w:p w14:paraId="7824CC30" w14:textId="5B37C153"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97,38 %</w:t>
            </w:r>
          </w:p>
        </w:tc>
        <w:tc>
          <w:tcPr>
            <w:tcW w:w="1537" w:type="dxa"/>
            <w:tcBorders>
              <w:top w:val="nil"/>
              <w:left w:val="nil"/>
              <w:bottom w:val="single" w:sz="4" w:space="0" w:color="auto"/>
              <w:right w:val="single" w:sz="4" w:space="0" w:color="auto"/>
            </w:tcBorders>
            <w:shd w:val="clear" w:color="auto" w:fill="auto"/>
            <w:vAlign w:val="center"/>
          </w:tcPr>
          <w:p w14:paraId="36BA4A0B" w14:textId="7BEEEAC5"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94,29 %</w:t>
            </w:r>
          </w:p>
        </w:tc>
      </w:tr>
      <w:tr w:rsidR="00136280" w:rsidRPr="00136280" w14:paraId="0CA6F916" w14:textId="77777777" w:rsidTr="00136280">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4D989BC2"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729C3FF5" w14:textId="5A9A3D3D"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Druga država EU</w:t>
            </w:r>
          </w:p>
        </w:tc>
        <w:tc>
          <w:tcPr>
            <w:tcW w:w="960" w:type="dxa"/>
            <w:tcBorders>
              <w:top w:val="nil"/>
              <w:left w:val="nil"/>
              <w:bottom w:val="single" w:sz="4" w:space="0" w:color="auto"/>
              <w:right w:val="single" w:sz="4" w:space="0" w:color="auto"/>
            </w:tcBorders>
            <w:shd w:val="clear" w:color="auto" w:fill="auto"/>
            <w:vAlign w:val="center"/>
          </w:tcPr>
          <w:p w14:paraId="6F4E9C14" w14:textId="15FD2C78"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101</w:t>
            </w:r>
          </w:p>
        </w:tc>
        <w:tc>
          <w:tcPr>
            <w:tcW w:w="1497" w:type="dxa"/>
            <w:tcBorders>
              <w:top w:val="nil"/>
              <w:left w:val="nil"/>
              <w:bottom w:val="single" w:sz="4" w:space="0" w:color="auto"/>
              <w:right w:val="single" w:sz="4" w:space="0" w:color="auto"/>
            </w:tcBorders>
            <w:shd w:val="clear" w:color="auto" w:fill="auto"/>
            <w:vAlign w:val="center"/>
          </w:tcPr>
          <w:p w14:paraId="35C691B2" w14:textId="046443DD"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94.097.680</w:t>
            </w:r>
          </w:p>
        </w:tc>
        <w:tc>
          <w:tcPr>
            <w:tcW w:w="1723" w:type="dxa"/>
            <w:tcBorders>
              <w:top w:val="nil"/>
              <w:left w:val="nil"/>
              <w:bottom w:val="single" w:sz="4" w:space="0" w:color="auto"/>
              <w:right w:val="single" w:sz="4" w:space="0" w:color="auto"/>
            </w:tcBorders>
            <w:shd w:val="clear" w:color="auto" w:fill="auto"/>
            <w:vAlign w:val="center"/>
          </w:tcPr>
          <w:p w14:paraId="1DD018D5" w14:textId="0EEC36C0"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2,17 %</w:t>
            </w:r>
          </w:p>
        </w:tc>
        <w:tc>
          <w:tcPr>
            <w:tcW w:w="1537" w:type="dxa"/>
            <w:tcBorders>
              <w:top w:val="nil"/>
              <w:left w:val="nil"/>
              <w:bottom w:val="single" w:sz="4" w:space="0" w:color="auto"/>
              <w:right w:val="single" w:sz="4" w:space="0" w:color="auto"/>
            </w:tcBorders>
            <w:shd w:val="clear" w:color="auto" w:fill="auto"/>
            <w:vAlign w:val="center"/>
          </w:tcPr>
          <w:p w14:paraId="53555B93" w14:textId="0742B44E"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4,28 %</w:t>
            </w:r>
          </w:p>
        </w:tc>
      </w:tr>
      <w:tr w:rsidR="00136280" w:rsidRPr="00136280" w14:paraId="712C6491" w14:textId="77777777" w:rsidTr="00136280">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7CAE7CEE"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4CFBC2A7" w14:textId="6A2C3CBA"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Zunaj EU</w:t>
            </w:r>
          </w:p>
        </w:tc>
        <w:tc>
          <w:tcPr>
            <w:tcW w:w="960" w:type="dxa"/>
            <w:tcBorders>
              <w:top w:val="nil"/>
              <w:left w:val="nil"/>
              <w:bottom w:val="single" w:sz="4" w:space="0" w:color="auto"/>
              <w:right w:val="single" w:sz="4" w:space="0" w:color="auto"/>
            </w:tcBorders>
            <w:shd w:val="clear" w:color="auto" w:fill="auto"/>
            <w:vAlign w:val="center"/>
          </w:tcPr>
          <w:p w14:paraId="716754CF" w14:textId="3C856344"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21</w:t>
            </w:r>
          </w:p>
        </w:tc>
        <w:tc>
          <w:tcPr>
            <w:tcW w:w="1497" w:type="dxa"/>
            <w:tcBorders>
              <w:top w:val="nil"/>
              <w:left w:val="nil"/>
              <w:bottom w:val="single" w:sz="4" w:space="0" w:color="auto"/>
              <w:right w:val="single" w:sz="4" w:space="0" w:color="auto"/>
            </w:tcBorders>
            <w:shd w:val="clear" w:color="auto" w:fill="auto"/>
            <w:vAlign w:val="center"/>
          </w:tcPr>
          <w:p w14:paraId="242D88BB" w14:textId="3BA28E17"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31.413.833</w:t>
            </w:r>
          </w:p>
        </w:tc>
        <w:tc>
          <w:tcPr>
            <w:tcW w:w="1723" w:type="dxa"/>
            <w:tcBorders>
              <w:top w:val="nil"/>
              <w:left w:val="nil"/>
              <w:bottom w:val="single" w:sz="4" w:space="0" w:color="auto"/>
              <w:right w:val="single" w:sz="4" w:space="0" w:color="auto"/>
            </w:tcBorders>
            <w:shd w:val="clear" w:color="auto" w:fill="auto"/>
            <w:vAlign w:val="center"/>
          </w:tcPr>
          <w:p w14:paraId="01E32768" w14:textId="50D4DE89"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0,45 %</w:t>
            </w:r>
          </w:p>
        </w:tc>
        <w:tc>
          <w:tcPr>
            <w:tcW w:w="1537" w:type="dxa"/>
            <w:tcBorders>
              <w:top w:val="nil"/>
              <w:left w:val="nil"/>
              <w:bottom w:val="single" w:sz="4" w:space="0" w:color="auto"/>
              <w:right w:val="single" w:sz="4" w:space="0" w:color="auto"/>
            </w:tcBorders>
            <w:shd w:val="clear" w:color="auto" w:fill="auto"/>
            <w:vAlign w:val="center"/>
          </w:tcPr>
          <w:p w14:paraId="026B8079" w14:textId="2B4E21DF"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1,43 %</w:t>
            </w:r>
          </w:p>
        </w:tc>
      </w:tr>
      <w:tr w:rsidR="00136280" w:rsidRPr="00136280" w14:paraId="46D31CC0" w14:textId="77777777" w:rsidTr="00136280">
        <w:trPr>
          <w:trHeight w:val="255"/>
          <w:jc w:val="center"/>
        </w:trPr>
        <w:tc>
          <w:tcPr>
            <w:tcW w:w="988" w:type="dxa"/>
            <w:vMerge/>
            <w:tcBorders>
              <w:top w:val="nil"/>
              <w:left w:val="single" w:sz="4" w:space="0" w:color="auto"/>
              <w:bottom w:val="single" w:sz="4" w:space="0" w:color="auto"/>
              <w:right w:val="single" w:sz="4" w:space="0" w:color="auto"/>
            </w:tcBorders>
            <w:vAlign w:val="center"/>
            <w:hideMark/>
          </w:tcPr>
          <w:p w14:paraId="4F1B11DF"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5C896C4E" w14:textId="77777777" w:rsidR="00136280" w:rsidRPr="00136280" w:rsidRDefault="00136280" w:rsidP="00136280">
            <w:pPr>
              <w:spacing w:after="0" w:line="240" w:lineRule="auto"/>
              <w:jc w:val="both"/>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Skupaj</w:t>
            </w:r>
          </w:p>
        </w:tc>
        <w:tc>
          <w:tcPr>
            <w:tcW w:w="960" w:type="dxa"/>
            <w:tcBorders>
              <w:top w:val="nil"/>
              <w:left w:val="nil"/>
              <w:bottom w:val="single" w:sz="4" w:space="0" w:color="auto"/>
              <w:right w:val="single" w:sz="4" w:space="0" w:color="auto"/>
            </w:tcBorders>
            <w:shd w:val="clear" w:color="auto" w:fill="auto"/>
            <w:vAlign w:val="center"/>
          </w:tcPr>
          <w:p w14:paraId="1F0CD371" w14:textId="08FB4D47"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4.652</w:t>
            </w:r>
          </w:p>
        </w:tc>
        <w:tc>
          <w:tcPr>
            <w:tcW w:w="1497" w:type="dxa"/>
            <w:tcBorders>
              <w:top w:val="nil"/>
              <w:left w:val="nil"/>
              <w:bottom w:val="single" w:sz="4" w:space="0" w:color="auto"/>
              <w:right w:val="single" w:sz="4" w:space="0" w:color="auto"/>
            </w:tcBorders>
            <w:shd w:val="clear" w:color="auto" w:fill="auto"/>
            <w:vAlign w:val="center"/>
          </w:tcPr>
          <w:p w14:paraId="4A184721" w14:textId="727BCF09"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2.197.735.054</w:t>
            </w:r>
          </w:p>
        </w:tc>
        <w:tc>
          <w:tcPr>
            <w:tcW w:w="1723" w:type="dxa"/>
            <w:tcBorders>
              <w:top w:val="nil"/>
              <w:left w:val="nil"/>
              <w:bottom w:val="single" w:sz="4" w:space="0" w:color="auto"/>
              <w:right w:val="single" w:sz="4" w:space="0" w:color="auto"/>
            </w:tcBorders>
            <w:shd w:val="clear" w:color="auto" w:fill="auto"/>
            <w:vAlign w:val="center"/>
          </w:tcPr>
          <w:p w14:paraId="206D95DB" w14:textId="25564A8D"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100,00 %</w:t>
            </w:r>
          </w:p>
        </w:tc>
        <w:tc>
          <w:tcPr>
            <w:tcW w:w="1537" w:type="dxa"/>
            <w:tcBorders>
              <w:top w:val="nil"/>
              <w:left w:val="nil"/>
              <w:bottom w:val="single" w:sz="4" w:space="0" w:color="auto"/>
              <w:right w:val="single" w:sz="4" w:space="0" w:color="auto"/>
            </w:tcBorders>
            <w:shd w:val="clear" w:color="auto" w:fill="auto"/>
            <w:vAlign w:val="center"/>
          </w:tcPr>
          <w:p w14:paraId="271AB65F" w14:textId="3C2B4A93"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100,00 %</w:t>
            </w:r>
          </w:p>
        </w:tc>
      </w:tr>
      <w:tr w:rsidR="00136280" w:rsidRPr="00136280" w14:paraId="146DC838" w14:textId="77777777" w:rsidTr="00136280">
        <w:trPr>
          <w:trHeight w:val="255"/>
          <w:jc w:val="center"/>
        </w:trPr>
        <w:tc>
          <w:tcPr>
            <w:tcW w:w="988" w:type="dxa"/>
            <w:vMerge w:val="restart"/>
            <w:tcBorders>
              <w:top w:val="nil"/>
              <w:left w:val="single" w:sz="4" w:space="0" w:color="auto"/>
              <w:right w:val="single" w:sz="4" w:space="0" w:color="auto"/>
            </w:tcBorders>
            <w:shd w:val="clear" w:color="auto" w:fill="auto"/>
            <w:vAlign w:val="center"/>
            <w:hideMark/>
          </w:tcPr>
          <w:p w14:paraId="2C02BB1B" w14:textId="77777777"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Gradnje</w:t>
            </w:r>
          </w:p>
        </w:tc>
        <w:tc>
          <w:tcPr>
            <w:tcW w:w="1943" w:type="dxa"/>
            <w:tcBorders>
              <w:top w:val="nil"/>
              <w:left w:val="nil"/>
              <w:bottom w:val="single" w:sz="4" w:space="0" w:color="auto"/>
              <w:right w:val="single" w:sz="4" w:space="0" w:color="auto"/>
            </w:tcBorders>
            <w:shd w:val="clear" w:color="auto" w:fill="auto"/>
            <w:vAlign w:val="center"/>
            <w:hideMark/>
          </w:tcPr>
          <w:p w14:paraId="7FD0CDFA" w14:textId="77777777"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Slovenija</w:t>
            </w:r>
          </w:p>
        </w:tc>
        <w:tc>
          <w:tcPr>
            <w:tcW w:w="960" w:type="dxa"/>
            <w:tcBorders>
              <w:top w:val="nil"/>
              <w:left w:val="nil"/>
              <w:bottom w:val="single" w:sz="4" w:space="0" w:color="auto"/>
              <w:right w:val="single" w:sz="4" w:space="0" w:color="auto"/>
            </w:tcBorders>
            <w:shd w:val="clear" w:color="auto" w:fill="auto"/>
            <w:vAlign w:val="center"/>
          </w:tcPr>
          <w:p w14:paraId="087AE17E" w14:textId="67E3B74C"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1.557</w:t>
            </w:r>
          </w:p>
        </w:tc>
        <w:tc>
          <w:tcPr>
            <w:tcW w:w="1497" w:type="dxa"/>
            <w:tcBorders>
              <w:top w:val="nil"/>
              <w:left w:val="nil"/>
              <w:bottom w:val="single" w:sz="4" w:space="0" w:color="auto"/>
              <w:right w:val="single" w:sz="4" w:space="0" w:color="auto"/>
            </w:tcBorders>
            <w:shd w:val="clear" w:color="auto" w:fill="auto"/>
            <w:vAlign w:val="center"/>
          </w:tcPr>
          <w:p w14:paraId="6D294103" w14:textId="479D45E5"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1.416.483.859</w:t>
            </w:r>
          </w:p>
        </w:tc>
        <w:tc>
          <w:tcPr>
            <w:tcW w:w="1723" w:type="dxa"/>
            <w:tcBorders>
              <w:top w:val="nil"/>
              <w:left w:val="nil"/>
              <w:bottom w:val="single" w:sz="4" w:space="0" w:color="auto"/>
              <w:right w:val="single" w:sz="4" w:space="0" w:color="auto"/>
            </w:tcBorders>
            <w:shd w:val="clear" w:color="auto" w:fill="auto"/>
            <w:vAlign w:val="center"/>
          </w:tcPr>
          <w:p w14:paraId="62B010AA" w14:textId="0A239D1A"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99,49 %</w:t>
            </w:r>
          </w:p>
        </w:tc>
        <w:tc>
          <w:tcPr>
            <w:tcW w:w="1537" w:type="dxa"/>
            <w:tcBorders>
              <w:top w:val="nil"/>
              <w:left w:val="nil"/>
              <w:bottom w:val="single" w:sz="4" w:space="0" w:color="auto"/>
              <w:right w:val="single" w:sz="4" w:space="0" w:color="auto"/>
            </w:tcBorders>
            <w:shd w:val="clear" w:color="auto" w:fill="auto"/>
            <w:vAlign w:val="center"/>
          </w:tcPr>
          <w:p w14:paraId="177C3E46" w14:textId="4975FA1D"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99,27 %</w:t>
            </w:r>
          </w:p>
        </w:tc>
      </w:tr>
      <w:tr w:rsidR="00136280" w:rsidRPr="00136280" w14:paraId="3989AF8C" w14:textId="77777777" w:rsidTr="00136280">
        <w:trPr>
          <w:trHeight w:val="255"/>
          <w:jc w:val="center"/>
        </w:trPr>
        <w:tc>
          <w:tcPr>
            <w:tcW w:w="988" w:type="dxa"/>
            <w:vMerge/>
            <w:tcBorders>
              <w:left w:val="single" w:sz="4" w:space="0" w:color="auto"/>
              <w:right w:val="single" w:sz="4" w:space="0" w:color="auto"/>
            </w:tcBorders>
            <w:vAlign w:val="center"/>
            <w:hideMark/>
          </w:tcPr>
          <w:p w14:paraId="52A6B614"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60A3FDC6" w14:textId="3E22972B"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Druga država EU</w:t>
            </w:r>
          </w:p>
        </w:tc>
        <w:tc>
          <w:tcPr>
            <w:tcW w:w="960" w:type="dxa"/>
            <w:tcBorders>
              <w:top w:val="nil"/>
              <w:left w:val="nil"/>
              <w:bottom w:val="single" w:sz="4" w:space="0" w:color="auto"/>
              <w:right w:val="single" w:sz="4" w:space="0" w:color="auto"/>
            </w:tcBorders>
            <w:shd w:val="clear" w:color="auto" w:fill="auto"/>
            <w:vAlign w:val="center"/>
          </w:tcPr>
          <w:p w14:paraId="0E4B6CF9" w14:textId="54F29D27"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7</w:t>
            </w:r>
          </w:p>
        </w:tc>
        <w:tc>
          <w:tcPr>
            <w:tcW w:w="1497" w:type="dxa"/>
            <w:tcBorders>
              <w:top w:val="nil"/>
              <w:left w:val="nil"/>
              <w:bottom w:val="single" w:sz="4" w:space="0" w:color="auto"/>
              <w:right w:val="single" w:sz="4" w:space="0" w:color="auto"/>
            </w:tcBorders>
            <w:shd w:val="clear" w:color="auto" w:fill="auto"/>
            <w:vAlign w:val="center"/>
          </w:tcPr>
          <w:p w14:paraId="7EA05057" w14:textId="2981FAB8"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9.901.656</w:t>
            </w:r>
          </w:p>
        </w:tc>
        <w:tc>
          <w:tcPr>
            <w:tcW w:w="1723" w:type="dxa"/>
            <w:tcBorders>
              <w:top w:val="nil"/>
              <w:left w:val="nil"/>
              <w:bottom w:val="single" w:sz="4" w:space="0" w:color="auto"/>
              <w:right w:val="single" w:sz="4" w:space="0" w:color="auto"/>
            </w:tcBorders>
            <w:shd w:val="clear" w:color="auto" w:fill="auto"/>
            <w:vAlign w:val="center"/>
          </w:tcPr>
          <w:p w14:paraId="6737092C" w14:textId="4D218FB7"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0,45 %</w:t>
            </w:r>
          </w:p>
        </w:tc>
        <w:tc>
          <w:tcPr>
            <w:tcW w:w="1537" w:type="dxa"/>
            <w:tcBorders>
              <w:top w:val="nil"/>
              <w:left w:val="nil"/>
              <w:bottom w:val="single" w:sz="4" w:space="0" w:color="auto"/>
              <w:right w:val="single" w:sz="4" w:space="0" w:color="auto"/>
            </w:tcBorders>
            <w:shd w:val="clear" w:color="auto" w:fill="auto"/>
            <w:vAlign w:val="center"/>
          </w:tcPr>
          <w:p w14:paraId="4567C8A8" w14:textId="7C217867"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0,69 %</w:t>
            </w:r>
          </w:p>
        </w:tc>
      </w:tr>
      <w:tr w:rsidR="00136280" w:rsidRPr="00136280" w14:paraId="17C1C47E" w14:textId="77777777" w:rsidTr="00136280">
        <w:trPr>
          <w:trHeight w:val="255"/>
          <w:jc w:val="center"/>
        </w:trPr>
        <w:tc>
          <w:tcPr>
            <w:tcW w:w="988" w:type="dxa"/>
            <w:vMerge/>
            <w:tcBorders>
              <w:left w:val="single" w:sz="4" w:space="0" w:color="auto"/>
              <w:right w:val="single" w:sz="4" w:space="0" w:color="auto"/>
            </w:tcBorders>
            <w:vAlign w:val="center"/>
            <w:hideMark/>
          </w:tcPr>
          <w:p w14:paraId="700BEA8D"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hideMark/>
          </w:tcPr>
          <w:p w14:paraId="1432205B" w14:textId="3E91593E" w:rsidR="00136280" w:rsidRPr="00136280" w:rsidRDefault="00136280" w:rsidP="00136280">
            <w:pPr>
              <w:spacing w:after="0" w:line="240" w:lineRule="auto"/>
              <w:jc w:val="both"/>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Zunaj EU</w:t>
            </w:r>
          </w:p>
        </w:tc>
        <w:tc>
          <w:tcPr>
            <w:tcW w:w="960" w:type="dxa"/>
            <w:tcBorders>
              <w:top w:val="nil"/>
              <w:left w:val="nil"/>
              <w:bottom w:val="single" w:sz="4" w:space="0" w:color="auto"/>
              <w:right w:val="single" w:sz="4" w:space="0" w:color="auto"/>
            </w:tcBorders>
            <w:shd w:val="clear" w:color="auto" w:fill="auto"/>
            <w:vAlign w:val="center"/>
          </w:tcPr>
          <w:p w14:paraId="621003B8" w14:textId="7C2A328A"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1</w:t>
            </w:r>
          </w:p>
        </w:tc>
        <w:tc>
          <w:tcPr>
            <w:tcW w:w="1497" w:type="dxa"/>
            <w:tcBorders>
              <w:top w:val="nil"/>
              <w:left w:val="nil"/>
              <w:bottom w:val="single" w:sz="4" w:space="0" w:color="auto"/>
              <w:right w:val="single" w:sz="4" w:space="0" w:color="auto"/>
            </w:tcBorders>
            <w:shd w:val="clear" w:color="auto" w:fill="auto"/>
            <w:vAlign w:val="center"/>
          </w:tcPr>
          <w:p w14:paraId="1B6BA0AF" w14:textId="691562E6"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531.152</w:t>
            </w:r>
          </w:p>
        </w:tc>
        <w:tc>
          <w:tcPr>
            <w:tcW w:w="1723" w:type="dxa"/>
            <w:tcBorders>
              <w:top w:val="nil"/>
              <w:left w:val="nil"/>
              <w:bottom w:val="single" w:sz="4" w:space="0" w:color="auto"/>
              <w:right w:val="single" w:sz="4" w:space="0" w:color="auto"/>
            </w:tcBorders>
            <w:shd w:val="clear" w:color="auto" w:fill="auto"/>
            <w:vAlign w:val="center"/>
          </w:tcPr>
          <w:p w14:paraId="0B001033" w14:textId="60DDAFFD"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0,06 %</w:t>
            </w:r>
          </w:p>
        </w:tc>
        <w:tc>
          <w:tcPr>
            <w:tcW w:w="1537" w:type="dxa"/>
            <w:tcBorders>
              <w:top w:val="nil"/>
              <w:left w:val="nil"/>
              <w:bottom w:val="single" w:sz="4" w:space="0" w:color="auto"/>
              <w:right w:val="single" w:sz="4" w:space="0" w:color="auto"/>
            </w:tcBorders>
            <w:shd w:val="clear" w:color="auto" w:fill="auto"/>
            <w:vAlign w:val="center"/>
          </w:tcPr>
          <w:p w14:paraId="1C7A37F7" w14:textId="530F4468" w:rsidR="00136280" w:rsidRPr="00136280" w:rsidRDefault="00136280" w:rsidP="00136280">
            <w:pPr>
              <w:spacing w:after="0" w:line="240" w:lineRule="auto"/>
              <w:jc w:val="right"/>
              <w:rPr>
                <w:rFonts w:ascii="Arial" w:eastAsia="Times New Roman" w:hAnsi="Arial" w:cs="Arial"/>
                <w:color w:val="000000" w:themeColor="text1"/>
                <w:sz w:val="18"/>
                <w:szCs w:val="18"/>
                <w:lang w:eastAsia="sl-SI"/>
              </w:rPr>
            </w:pPr>
            <w:r w:rsidRPr="00136280">
              <w:rPr>
                <w:rFonts w:ascii="Arial" w:eastAsia="Times New Roman" w:hAnsi="Arial" w:cs="Arial"/>
                <w:color w:val="000000" w:themeColor="text1"/>
                <w:sz w:val="18"/>
                <w:szCs w:val="18"/>
                <w:lang w:eastAsia="sl-SI"/>
              </w:rPr>
              <w:t>0,04 %</w:t>
            </w:r>
          </w:p>
        </w:tc>
      </w:tr>
      <w:tr w:rsidR="00136280" w:rsidRPr="00136280" w14:paraId="0D8A1789" w14:textId="77777777" w:rsidTr="00136280">
        <w:trPr>
          <w:trHeight w:val="255"/>
          <w:jc w:val="center"/>
        </w:trPr>
        <w:tc>
          <w:tcPr>
            <w:tcW w:w="988" w:type="dxa"/>
            <w:vMerge/>
            <w:tcBorders>
              <w:left w:val="single" w:sz="4" w:space="0" w:color="auto"/>
              <w:bottom w:val="single" w:sz="4" w:space="0" w:color="auto"/>
              <w:right w:val="single" w:sz="4" w:space="0" w:color="auto"/>
            </w:tcBorders>
            <w:vAlign w:val="center"/>
          </w:tcPr>
          <w:p w14:paraId="1C629CDA" w14:textId="77777777" w:rsidR="00136280" w:rsidRPr="00136280" w:rsidRDefault="00136280" w:rsidP="00136280">
            <w:pPr>
              <w:spacing w:after="0" w:line="240" w:lineRule="auto"/>
              <w:rPr>
                <w:rFonts w:ascii="Arial" w:eastAsia="Times New Roman" w:hAnsi="Arial" w:cs="Arial"/>
                <w:color w:val="000000" w:themeColor="text1"/>
                <w:sz w:val="18"/>
                <w:szCs w:val="18"/>
                <w:lang w:eastAsia="sl-SI"/>
              </w:rPr>
            </w:pPr>
          </w:p>
        </w:tc>
        <w:tc>
          <w:tcPr>
            <w:tcW w:w="1943" w:type="dxa"/>
            <w:tcBorders>
              <w:top w:val="nil"/>
              <w:left w:val="nil"/>
              <w:bottom w:val="single" w:sz="4" w:space="0" w:color="auto"/>
              <w:right w:val="single" w:sz="4" w:space="0" w:color="auto"/>
            </w:tcBorders>
            <w:shd w:val="clear" w:color="auto" w:fill="auto"/>
            <w:vAlign w:val="center"/>
          </w:tcPr>
          <w:p w14:paraId="0E280F3F" w14:textId="00E13337" w:rsidR="00136280" w:rsidRPr="00136280" w:rsidRDefault="00136280" w:rsidP="00136280">
            <w:pPr>
              <w:spacing w:after="0" w:line="240" w:lineRule="auto"/>
              <w:jc w:val="both"/>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Skupaj</w:t>
            </w:r>
          </w:p>
        </w:tc>
        <w:tc>
          <w:tcPr>
            <w:tcW w:w="960" w:type="dxa"/>
            <w:tcBorders>
              <w:top w:val="nil"/>
              <w:left w:val="nil"/>
              <w:bottom w:val="single" w:sz="4" w:space="0" w:color="auto"/>
              <w:right w:val="single" w:sz="4" w:space="0" w:color="auto"/>
            </w:tcBorders>
            <w:shd w:val="clear" w:color="auto" w:fill="auto"/>
            <w:vAlign w:val="center"/>
          </w:tcPr>
          <w:p w14:paraId="31DD9245" w14:textId="0CC1936B"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1.565</w:t>
            </w:r>
          </w:p>
        </w:tc>
        <w:tc>
          <w:tcPr>
            <w:tcW w:w="1497" w:type="dxa"/>
            <w:tcBorders>
              <w:top w:val="nil"/>
              <w:left w:val="nil"/>
              <w:bottom w:val="single" w:sz="4" w:space="0" w:color="auto"/>
              <w:right w:val="single" w:sz="4" w:space="0" w:color="auto"/>
            </w:tcBorders>
            <w:shd w:val="clear" w:color="auto" w:fill="auto"/>
            <w:vAlign w:val="center"/>
          </w:tcPr>
          <w:p w14:paraId="1C412541" w14:textId="530FBDD7"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1.426.916.667</w:t>
            </w:r>
          </w:p>
        </w:tc>
        <w:tc>
          <w:tcPr>
            <w:tcW w:w="1723" w:type="dxa"/>
            <w:tcBorders>
              <w:top w:val="nil"/>
              <w:left w:val="nil"/>
              <w:bottom w:val="single" w:sz="4" w:space="0" w:color="auto"/>
              <w:right w:val="single" w:sz="4" w:space="0" w:color="auto"/>
            </w:tcBorders>
            <w:shd w:val="clear" w:color="auto" w:fill="auto"/>
            <w:vAlign w:val="center"/>
          </w:tcPr>
          <w:p w14:paraId="0A3EED55" w14:textId="66B8AA32"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100,00 %</w:t>
            </w:r>
          </w:p>
        </w:tc>
        <w:tc>
          <w:tcPr>
            <w:tcW w:w="1537" w:type="dxa"/>
            <w:tcBorders>
              <w:top w:val="nil"/>
              <w:left w:val="nil"/>
              <w:bottom w:val="single" w:sz="4" w:space="0" w:color="auto"/>
              <w:right w:val="single" w:sz="4" w:space="0" w:color="auto"/>
            </w:tcBorders>
            <w:shd w:val="clear" w:color="auto" w:fill="auto"/>
            <w:vAlign w:val="center"/>
          </w:tcPr>
          <w:p w14:paraId="2B238AA1" w14:textId="4DD7524C"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100,00 %</w:t>
            </w:r>
          </w:p>
        </w:tc>
      </w:tr>
      <w:tr w:rsidR="00136280" w:rsidRPr="00136280" w14:paraId="1E9A44E0" w14:textId="77777777" w:rsidTr="00136280">
        <w:trPr>
          <w:gridAfter w:val="2"/>
          <w:wAfter w:w="3260" w:type="dxa"/>
          <w:trHeight w:val="255"/>
          <w:jc w:val="center"/>
        </w:trPr>
        <w:tc>
          <w:tcPr>
            <w:tcW w:w="2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BCD5E" w14:textId="77777777" w:rsidR="00136280" w:rsidRPr="00136280" w:rsidRDefault="00136280" w:rsidP="00136280">
            <w:pPr>
              <w:spacing w:after="0" w:line="240" w:lineRule="auto"/>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Skupaj</w:t>
            </w:r>
          </w:p>
        </w:tc>
        <w:tc>
          <w:tcPr>
            <w:tcW w:w="960" w:type="dxa"/>
            <w:tcBorders>
              <w:top w:val="nil"/>
              <w:left w:val="nil"/>
              <w:bottom w:val="single" w:sz="4" w:space="0" w:color="auto"/>
              <w:right w:val="single" w:sz="4" w:space="0" w:color="auto"/>
            </w:tcBorders>
            <w:shd w:val="clear" w:color="auto" w:fill="F2F2F2" w:themeFill="background1" w:themeFillShade="F2"/>
            <w:vAlign w:val="center"/>
          </w:tcPr>
          <w:p w14:paraId="172286D0" w14:textId="346CA944"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16.824</w:t>
            </w:r>
          </w:p>
        </w:tc>
        <w:tc>
          <w:tcPr>
            <w:tcW w:w="1497" w:type="dxa"/>
            <w:tcBorders>
              <w:top w:val="nil"/>
              <w:left w:val="nil"/>
              <w:bottom w:val="single" w:sz="4" w:space="0" w:color="auto"/>
              <w:right w:val="single" w:sz="4" w:space="0" w:color="auto"/>
            </w:tcBorders>
            <w:shd w:val="clear" w:color="auto" w:fill="F2F2F2" w:themeFill="background1" w:themeFillShade="F2"/>
            <w:vAlign w:val="center"/>
          </w:tcPr>
          <w:p w14:paraId="229A9030" w14:textId="5784F3FE" w:rsidR="00136280" w:rsidRPr="00136280" w:rsidRDefault="00136280" w:rsidP="00136280">
            <w:pPr>
              <w:spacing w:after="0" w:line="240" w:lineRule="auto"/>
              <w:jc w:val="right"/>
              <w:rPr>
                <w:rFonts w:ascii="Arial" w:eastAsia="Times New Roman" w:hAnsi="Arial" w:cs="Arial"/>
                <w:b/>
                <w:bCs/>
                <w:color w:val="000000" w:themeColor="text1"/>
                <w:sz w:val="18"/>
                <w:szCs w:val="18"/>
                <w:lang w:eastAsia="sl-SI"/>
              </w:rPr>
            </w:pPr>
            <w:r w:rsidRPr="00136280">
              <w:rPr>
                <w:rFonts w:ascii="Arial" w:eastAsia="Times New Roman" w:hAnsi="Arial" w:cs="Arial"/>
                <w:b/>
                <w:bCs/>
                <w:color w:val="000000" w:themeColor="text1"/>
                <w:sz w:val="18"/>
                <w:szCs w:val="18"/>
                <w:lang w:eastAsia="sl-SI"/>
              </w:rPr>
              <w:t>6.232.250.969</w:t>
            </w:r>
          </w:p>
        </w:tc>
      </w:tr>
    </w:tbl>
    <w:p w14:paraId="07386A36" w14:textId="77777777" w:rsidR="00E02634" w:rsidRPr="00136280" w:rsidRDefault="00E02634" w:rsidP="00E02634">
      <w:pPr>
        <w:spacing w:after="0" w:line="240" w:lineRule="auto"/>
        <w:jc w:val="center"/>
        <w:rPr>
          <w:rFonts w:ascii="Arial" w:hAnsi="Arial" w:cs="Arial"/>
          <w:color w:val="000000" w:themeColor="text1"/>
          <w:sz w:val="18"/>
        </w:rPr>
      </w:pPr>
    </w:p>
    <w:p w14:paraId="3C8B949A" w14:textId="11A852D5" w:rsidR="008F7759" w:rsidRPr="00136280" w:rsidRDefault="008F7759" w:rsidP="00701C10">
      <w:pPr>
        <w:spacing w:after="240" w:line="240" w:lineRule="auto"/>
        <w:jc w:val="center"/>
        <w:rPr>
          <w:rFonts w:ascii="Arial" w:hAnsi="Arial" w:cs="Arial"/>
          <w:color w:val="000000" w:themeColor="text1"/>
          <w:sz w:val="18"/>
        </w:rPr>
      </w:pPr>
      <w:r w:rsidRPr="00136280">
        <w:rPr>
          <w:rFonts w:ascii="Arial" w:hAnsi="Arial" w:cs="Arial"/>
          <w:color w:val="000000" w:themeColor="text1"/>
          <w:sz w:val="18"/>
        </w:rPr>
        <w:t>Vir: Statistični podatki o javni</w:t>
      </w:r>
      <w:r w:rsidR="007E6D2B" w:rsidRPr="00136280">
        <w:rPr>
          <w:rFonts w:ascii="Arial" w:hAnsi="Arial" w:cs="Arial"/>
          <w:color w:val="000000" w:themeColor="text1"/>
          <w:sz w:val="18"/>
        </w:rPr>
        <w:t>h naročilih, oddanih v letu 20</w:t>
      </w:r>
      <w:r w:rsidR="00E02634" w:rsidRPr="00136280">
        <w:rPr>
          <w:rFonts w:ascii="Arial" w:hAnsi="Arial" w:cs="Arial"/>
          <w:color w:val="000000" w:themeColor="text1"/>
          <w:sz w:val="18"/>
        </w:rPr>
        <w:t>2</w:t>
      </w:r>
      <w:r w:rsidR="00AC0C43" w:rsidRPr="00136280">
        <w:rPr>
          <w:rFonts w:ascii="Arial" w:hAnsi="Arial" w:cs="Arial"/>
          <w:color w:val="000000" w:themeColor="text1"/>
          <w:sz w:val="18"/>
        </w:rPr>
        <w:t>3</w:t>
      </w:r>
      <w:r w:rsidR="00E9321E" w:rsidRPr="00136280">
        <w:rPr>
          <w:rFonts w:ascii="Arial" w:hAnsi="Arial" w:cs="Arial"/>
          <w:color w:val="000000" w:themeColor="text1"/>
          <w:sz w:val="18"/>
        </w:rPr>
        <w:t>.</w:t>
      </w:r>
    </w:p>
    <w:p w14:paraId="2EB1A85A" w14:textId="1EFF5AFE" w:rsidR="00D56BC9" w:rsidRPr="00637ACF" w:rsidRDefault="00CD4647" w:rsidP="009865C3">
      <w:pPr>
        <w:spacing w:line="360" w:lineRule="auto"/>
        <w:jc w:val="both"/>
        <w:rPr>
          <w:rFonts w:ascii="Arial" w:hAnsi="Arial" w:cs="Arial"/>
          <w:bCs/>
          <w:color w:val="FF0000"/>
          <w:sz w:val="20"/>
          <w:szCs w:val="20"/>
          <w:highlight w:val="yellow"/>
          <w:lang w:eastAsia="sl-SI"/>
        </w:rPr>
      </w:pPr>
      <w:r w:rsidRPr="00136280">
        <w:rPr>
          <w:rFonts w:ascii="Arial" w:hAnsi="Arial" w:cs="Arial"/>
          <w:color w:val="000000" w:themeColor="text1"/>
          <w:sz w:val="20"/>
          <w:szCs w:val="20"/>
        </w:rPr>
        <w:t>Leta</w:t>
      </w:r>
      <w:r w:rsidR="00170C9C" w:rsidRPr="00136280">
        <w:rPr>
          <w:rFonts w:ascii="Arial" w:hAnsi="Arial" w:cs="Arial"/>
          <w:color w:val="000000" w:themeColor="text1"/>
          <w:sz w:val="20"/>
          <w:szCs w:val="20"/>
        </w:rPr>
        <w:t xml:space="preserve"> 20</w:t>
      </w:r>
      <w:r w:rsidR="006A508B" w:rsidRPr="00136280">
        <w:rPr>
          <w:rFonts w:ascii="Arial" w:hAnsi="Arial" w:cs="Arial"/>
          <w:color w:val="000000" w:themeColor="text1"/>
          <w:sz w:val="20"/>
          <w:szCs w:val="20"/>
        </w:rPr>
        <w:t>2</w:t>
      </w:r>
      <w:r w:rsidR="003D16A3" w:rsidRPr="00136280">
        <w:rPr>
          <w:rFonts w:ascii="Arial" w:hAnsi="Arial" w:cs="Arial"/>
          <w:color w:val="000000" w:themeColor="text1"/>
          <w:sz w:val="20"/>
          <w:szCs w:val="20"/>
        </w:rPr>
        <w:t>3</w:t>
      </w:r>
      <w:r w:rsidR="00170C9C" w:rsidRPr="00136280">
        <w:rPr>
          <w:rFonts w:ascii="Arial" w:hAnsi="Arial" w:cs="Arial"/>
          <w:color w:val="000000" w:themeColor="text1"/>
          <w:sz w:val="20"/>
          <w:szCs w:val="20"/>
        </w:rPr>
        <w:t xml:space="preserve"> je bilo slovenskim ponudnikom oddanih </w:t>
      </w:r>
      <w:r w:rsidR="000251EB" w:rsidRPr="00136280">
        <w:rPr>
          <w:rFonts w:ascii="Arial" w:hAnsi="Arial" w:cs="Arial"/>
          <w:color w:val="000000" w:themeColor="text1"/>
          <w:sz w:val="20"/>
          <w:szCs w:val="20"/>
        </w:rPr>
        <w:t>1</w:t>
      </w:r>
      <w:r w:rsidR="00C11849" w:rsidRPr="00136280">
        <w:rPr>
          <w:rFonts w:ascii="Arial" w:hAnsi="Arial" w:cs="Arial"/>
          <w:color w:val="000000" w:themeColor="text1"/>
          <w:sz w:val="20"/>
          <w:szCs w:val="20"/>
        </w:rPr>
        <w:t>6.</w:t>
      </w:r>
      <w:r w:rsidR="003D16A3" w:rsidRPr="00136280">
        <w:rPr>
          <w:rFonts w:ascii="Arial" w:hAnsi="Arial" w:cs="Arial"/>
          <w:color w:val="000000" w:themeColor="text1"/>
          <w:sz w:val="20"/>
          <w:szCs w:val="20"/>
        </w:rPr>
        <w:t>34</w:t>
      </w:r>
      <w:r w:rsidR="00136280" w:rsidRPr="00136280">
        <w:rPr>
          <w:rFonts w:ascii="Arial" w:hAnsi="Arial" w:cs="Arial"/>
          <w:color w:val="000000" w:themeColor="text1"/>
          <w:sz w:val="20"/>
          <w:szCs w:val="20"/>
        </w:rPr>
        <w:t>0</w:t>
      </w:r>
      <w:r w:rsidR="000251EB" w:rsidRPr="00136280">
        <w:rPr>
          <w:rFonts w:ascii="Arial" w:hAnsi="Arial" w:cs="Arial"/>
          <w:color w:val="000000" w:themeColor="text1"/>
          <w:sz w:val="20"/>
          <w:szCs w:val="20"/>
        </w:rPr>
        <w:t xml:space="preserve"> </w:t>
      </w:r>
      <w:r w:rsidR="00170C9C" w:rsidRPr="00136280">
        <w:rPr>
          <w:rFonts w:ascii="Arial" w:hAnsi="Arial" w:cs="Arial"/>
          <w:color w:val="000000" w:themeColor="text1"/>
          <w:sz w:val="20"/>
          <w:szCs w:val="20"/>
        </w:rPr>
        <w:t xml:space="preserve">javnih naročil, ki jih je treba objaviti na portalu javnih naročil oziroma v Uradnem listu Evropske unije, in sicer v skupni vrednosti </w:t>
      </w:r>
      <w:r w:rsidR="00136280" w:rsidRPr="00136280">
        <w:rPr>
          <w:rFonts w:ascii="Arial" w:hAnsi="Arial" w:cs="Arial"/>
          <w:color w:val="000000" w:themeColor="text1"/>
          <w:sz w:val="20"/>
          <w:szCs w:val="20"/>
        </w:rPr>
        <w:t xml:space="preserve">5.763.934.024 </w:t>
      </w:r>
      <w:r w:rsidR="00170C9C" w:rsidRPr="00136280">
        <w:rPr>
          <w:rFonts w:ascii="Arial" w:hAnsi="Arial" w:cs="Arial"/>
          <w:color w:val="000000" w:themeColor="text1"/>
          <w:sz w:val="20"/>
          <w:szCs w:val="20"/>
        </w:rPr>
        <w:t>evrov, kar je 97,</w:t>
      </w:r>
      <w:r w:rsidR="000012D2" w:rsidRPr="00136280">
        <w:rPr>
          <w:rFonts w:ascii="Arial" w:hAnsi="Arial" w:cs="Arial"/>
          <w:color w:val="000000" w:themeColor="text1"/>
          <w:sz w:val="20"/>
          <w:szCs w:val="20"/>
        </w:rPr>
        <w:t>12</w:t>
      </w:r>
      <w:r w:rsidR="00E9321E" w:rsidRPr="00136280">
        <w:rPr>
          <w:rFonts w:ascii="Arial" w:hAnsi="Arial" w:cs="Arial"/>
          <w:color w:val="000000" w:themeColor="text1"/>
          <w:sz w:val="20"/>
          <w:szCs w:val="20"/>
        </w:rPr>
        <w:t> </w:t>
      </w:r>
      <w:r w:rsidR="00AC0027" w:rsidRPr="00136280">
        <w:rPr>
          <w:rFonts w:ascii="Arial" w:hAnsi="Arial" w:cs="Arial"/>
          <w:color w:val="000000" w:themeColor="text1"/>
          <w:sz w:val="20"/>
          <w:szCs w:val="20"/>
        </w:rPr>
        <w:t>odstotka</w:t>
      </w:r>
      <w:r w:rsidR="00170C9C" w:rsidRPr="00136280">
        <w:rPr>
          <w:rFonts w:ascii="Arial" w:hAnsi="Arial" w:cs="Arial"/>
          <w:color w:val="000000" w:themeColor="text1"/>
          <w:sz w:val="20"/>
          <w:szCs w:val="20"/>
        </w:rPr>
        <w:t xml:space="preserve"> vseh naročil, ki jih je treba objaviti, in </w:t>
      </w:r>
      <w:r w:rsidR="000251EB" w:rsidRPr="00136280">
        <w:rPr>
          <w:rFonts w:ascii="Arial" w:hAnsi="Arial" w:cs="Arial"/>
          <w:color w:val="000000" w:themeColor="text1"/>
          <w:sz w:val="20"/>
          <w:szCs w:val="20"/>
        </w:rPr>
        <w:t>9</w:t>
      </w:r>
      <w:r w:rsidR="000012D2" w:rsidRPr="00136280">
        <w:rPr>
          <w:rFonts w:ascii="Arial" w:hAnsi="Arial" w:cs="Arial"/>
          <w:color w:val="000000" w:themeColor="text1"/>
          <w:sz w:val="20"/>
          <w:szCs w:val="20"/>
        </w:rPr>
        <w:t>2,</w:t>
      </w:r>
      <w:r w:rsidR="00D4243D" w:rsidRPr="00136280">
        <w:rPr>
          <w:rFonts w:ascii="Arial" w:hAnsi="Arial" w:cs="Arial"/>
          <w:color w:val="000000" w:themeColor="text1"/>
          <w:sz w:val="20"/>
          <w:szCs w:val="20"/>
        </w:rPr>
        <w:t>49</w:t>
      </w:r>
      <w:r w:rsidR="00E9321E" w:rsidRPr="00136280">
        <w:rPr>
          <w:rFonts w:ascii="Arial" w:hAnsi="Arial" w:cs="Arial"/>
          <w:color w:val="000000" w:themeColor="text1"/>
          <w:sz w:val="20"/>
          <w:szCs w:val="20"/>
        </w:rPr>
        <w:t> </w:t>
      </w:r>
      <w:r w:rsidR="00AC0027" w:rsidRPr="00136280">
        <w:rPr>
          <w:rFonts w:ascii="Arial" w:hAnsi="Arial" w:cs="Arial"/>
          <w:color w:val="000000" w:themeColor="text1"/>
          <w:sz w:val="20"/>
          <w:szCs w:val="20"/>
        </w:rPr>
        <w:t>odstotka</w:t>
      </w:r>
      <w:r w:rsidR="00170C9C" w:rsidRPr="00136280">
        <w:rPr>
          <w:rFonts w:ascii="Arial" w:hAnsi="Arial" w:cs="Arial"/>
          <w:color w:val="000000" w:themeColor="text1"/>
          <w:sz w:val="20"/>
          <w:szCs w:val="20"/>
        </w:rPr>
        <w:t xml:space="preserve"> vrednosti teh naročil. Ponudniki iz drugih držav so pridobili </w:t>
      </w:r>
      <w:r w:rsidR="006A508B" w:rsidRPr="00136280">
        <w:rPr>
          <w:rFonts w:ascii="Arial" w:hAnsi="Arial" w:cs="Arial"/>
          <w:color w:val="000000" w:themeColor="text1"/>
          <w:sz w:val="20"/>
          <w:szCs w:val="20"/>
        </w:rPr>
        <w:t>4</w:t>
      </w:r>
      <w:r w:rsidR="000012D2" w:rsidRPr="00136280">
        <w:rPr>
          <w:rFonts w:ascii="Arial" w:hAnsi="Arial" w:cs="Arial"/>
          <w:color w:val="000000" w:themeColor="text1"/>
          <w:sz w:val="20"/>
          <w:szCs w:val="20"/>
        </w:rPr>
        <w:t>84</w:t>
      </w:r>
      <w:r w:rsidR="00170C9C" w:rsidRPr="00136280">
        <w:rPr>
          <w:rFonts w:ascii="Arial" w:hAnsi="Arial" w:cs="Arial"/>
          <w:color w:val="000000" w:themeColor="text1"/>
          <w:sz w:val="20"/>
          <w:szCs w:val="20"/>
        </w:rPr>
        <w:t xml:space="preserve"> javnih naročil v vrednosti </w:t>
      </w:r>
      <w:r w:rsidR="000012D2" w:rsidRPr="00136280">
        <w:rPr>
          <w:rFonts w:ascii="Arial" w:hAnsi="Arial" w:cs="Arial"/>
          <w:color w:val="000000" w:themeColor="text1"/>
          <w:sz w:val="20"/>
          <w:szCs w:val="20"/>
        </w:rPr>
        <w:t xml:space="preserve">468.316.945 </w:t>
      </w:r>
      <w:r w:rsidR="00E9321E" w:rsidRPr="00136280">
        <w:rPr>
          <w:rFonts w:ascii="Arial" w:hAnsi="Arial" w:cs="Arial"/>
          <w:color w:val="000000" w:themeColor="text1"/>
          <w:sz w:val="20"/>
          <w:szCs w:val="20"/>
        </w:rPr>
        <w:t>evrov</w:t>
      </w:r>
      <w:r w:rsidR="00170C9C" w:rsidRPr="00136280">
        <w:rPr>
          <w:rFonts w:ascii="Arial" w:hAnsi="Arial" w:cs="Arial"/>
          <w:color w:val="000000" w:themeColor="text1"/>
          <w:sz w:val="20"/>
          <w:szCs w:val="20"/>
        </w:rPr>
        <w:t>, kar je po številu 2,</w:t>
      </w:r>
      <w:r w:rsidR="000012D2" w:rsidRPr="00136280">
        <w:rPr>
          <w:rFonts w:ascii="Arial" w:hAnsi="Arial" w:cs="Arial"/>
          <w:color w:val="000000" w:themeColor="text1"/>
          <w:sz w:val="20"/>
          <w:szCs w:val="20"/>
        </w:rPr>
        <w:t>8</w:t>
      </w:r>
      <w:r w:rsidR="00C11849" w:rsidRPr="00136280">
        <w:rPr>
          <w:rFonts w:ascii="Arial" w:hAnsi="Arial" w:cs="Arial"/>
          <w:color w:val="000000" w:themeColor="text1"/>
          <w:sz w:val="20"/>
          <w:szCs w:val="20"/>
        </w:rPr>
        <w:t>8</w:t>
      </w:r>
      <w:r w:rsidR="00E9321E" w:rsidRPr="00136280">
        <w:rPr>
          <w:rFonts w:ascii="Arial" w:hAnsi="Arial" w:cs="Arial"/>
          <w:color w:val="000000" w:themeColor="text1"/>
          <w:sz w:val="20"/>
          <w:szCs w:val="20"/>
        </w:rPr>
        <w:t> </w:t>
      </w:r>
      <w:r w:rsidR="00AC0027" w:rsidRPr="00136280">
        <w:rPr>
          <w:rFonts w:ascii="Arial" w:hAnsi="Arial" w:cs="Arial"/>
          <w:color w:val="000000" w:themeColor="text1"/>
          <w:sz w:val="20"/>
          <w:szCs w:val="20"/>
        </w:rPr>
        <w:t>odstotka</w:t>
      </w:r>
      <w:r w:rsidR="00170C9C" w:rsidRPr="00136280">
        <w:rPr>
          <w:rFonts w:ascii="Arial" w:hAnsi="Arial" w:cs="Arial"/>
          <w:color w:val="000000" w:themeColor="text1"/>
          <w:sz w:val="20"/>
          <w:szCs w:val="20"/>
        </w:rPr>
        <w:t xml:space="preserve"> naročil, ki jih je treba objaviti, po vrednosti pa </w:t>
      </w:r>
      <w:r w:rsidR="000012D2" w:rsidRPr="00136280">
        <w:rPr>
          <w:rFonts w:ascii="Arial" w:hAnsi="Arial" w:cs="Arial"/>
          <w:color w:val="000000" w:themeColor="text1"/>
          <w:sz w:val="20"/>
          <w:szCs w:val="20"/>
        </w:rPr>
        <w:t>7,</w:t>
      </w:r>
      <w:r w:rsidR="00D4243D" w:rsidRPr="00136280">
        <w:rPr>
          <w:rFonts w:ascii="Arial" w:hAnsi="Arial" w:cs="Arial"/>
          <w:color w:val="000000" w:themeColor="text1"/>
          <w:sz w:val="20"/>
          <w:szCs w:val="20"/>
        </w:rPr>
        <w:t>5</w:t>
      </w:r>
      <w:r w:rsidR="0063402E">
        <w:rPr>
          <w:rFonts w:ascii="Arial" w:hAnsi="Arial" w:cs="Arial"/>
          <w:color w:val="000000" w:themeColor="text1"/>
          <w:sz w:val="20"/>
          <w:szCs w:val="20"/>
        </w:rPr>
        <w:t>1</w:t>
      </w:r>
      <w:r w:rsidR="000012D2" w:rsidRPr="00136280">
        <w:rPr>
          <w:rFonts w:ascii="Arial" w:hAnsi="Arial" w:cs="Arial"/>
          <w:color w:val="000000" w:themeColor="text1"/>
          <w:sz w:val="20"/>
          <w:szCs w:val="20"/>
        </w:rPr>
        <w:t xml:space="preserve"> </w:t>
      </w:r>
      <w:r w:rsidR="00AC0027" w:rsidRPr="00136280">
        <w:rPr>
          <w:rFonts w:ascii="Arial" w:hAnsi="Arial" w:cs="Arial"/>
          <w:color w:val="000000" w:themeColor="text1"/>
          <w:sz w:val="20"/>
          <w:szCs w:val="20"/>
        </w:rPr>
        <w:t>odstotka</w:t>
      </w:r>
      <w:r w:rsidR="00170C9C" w:rsidRPr="00136280">
        <w:rPr>
          <w:rFonts w:ascii="Arial" w:hAnsi="Arial" w:cs="Arial"/>
          <w:color w:val="000000" w:themeColor="text1"/>
          <w:sz w:val="20"/>
          <w:szCs w:val="20"/>
        </w:rPr>
        <w:t xml:space="preserve"> teh naročil</w:t>
      </w:r>
      <w:r w:rsidR="00170C9C" w:rsidRPr="00136280">
        <w:rPr>
          <w:rFonts w:ascii="Arial" w:hAnsi="Arial" w:cs="Arial"/>
          <w:bCs/>
          <w:color w:val="000000" w:themeColor="text1"/>
          <w:sz w:val="20"/>
          <w:szCs w:val="20"/>
          <w:lang w:eastAsia="sl-SI"/>
        </w:rPr>
        <w:t>.</w:t>
      </w:r>
    </w:p>
    <w:p w14:paraId="4337F8AD" w14:textId="2C51C9FA" w:rsidR="009865C3" w:rsidRPr="00637ACF" w:rsidRDefault="00DD2501" w:rsidP="009865C3">
      <w:pPr>
        <w:spacing w:line="360" w:lineRule="auto"/>
        <w:jc w:val="both"/>
        <w:rPr>
          <w:rFonts w:ascii="Arial" w:hAnsi="Arial" w:cs="Arial"/>
          <w:color w:val="FF0000"/>
          <w:sz w:val="20"/>
          <w:szCs w:val="20"/>
          <w:highlight w:val="yellow"/>
          <w:lang w:eastAsia="sl-SI"/>
        </w:rPr>
      </w:pPr>
      <w:r w:rsidRPr="00B2646D">
        <w:rPr>
          <w:rFonts w:ascii="Arial" w:hAnsi="Arial" w:cs="Arial"/>
          <w:color w:val="000000" w:themeColor="text1"/>
          <w:sz w:val="20"/>
          <w:szCs w:val="20"/>
          <w:lang w:eastAsia="sl-SI"/>
        </w:rPr>
        <w:t>Največja razlika v d</w:t>
      </w:r>
      <w:r w:rsidR="00D346AF" w:rsidRPr="00B2646D">
        <w:rPr>
          <w:rFonts w:ascii="Arial" w:hAnsi="Arial" w:cs="Arial"/>
          <w:color w:val="000000" w:themeColor="text1"/>
          <w:sz w:val="20"/>
          <w:szCs w:val="20"/>
          <w:lang w:eastAsia="sl-SI"/>
        </w:rPr>
        <w:t>elež</w:t>
      </w:r>
      <w:r w:rsidRPr="00B2646D">
        <w:rPr>
          <w:rFonts w:ascii="Arial" w:hAnsi="Arial" w:cs="Arial"/>
          <w:color w:val="000000" w:themeColor="text1"/>
          <w:sz w:val="20"/>
          <w:szCs w:val="20"/>
          <w:lang w:eastAsia="sl-SI"/>
        </w:rPr>
        <w:t>u</w:t>
      </w:r>
      <w:r w:rsidR="00D346AF" w:rsidRPr="00B2646D">
        <w:rPr>
          <w:rFonts w:ascii="Arial" w:hAnsi="Arial" w:cs="Arial"/>
          <w:color w:val="000000" w:themeColor="text1"/>
          <w:sz w:val="20"/>
          <w:szCs w:val="20"/>
          <w:lang w:eastAsia="sl-SI"/>
        </w:rPr>
        <w:t xml:space="preserve"> tujih ponudnikov </w:t>
      </w:r>
      <w:r w:rsidR="00C82337" w:rsidRPr="00B2646D">
        <w:rPr>
          <w:rFonts w:ascii="Arial" w:hAnsi="Arial" w:cs="Arial"/>
          <w:color w:val="000000" w:themeColor="text1"/>
          <w:sz w:val="20"/>
          <w:szCs w:val="20"/>
          <w:lang w:eastAsia="sl-SI"/>
        </w:rPr>
        <w:t>po</w:t>
      </w:r>
      <w:r w:rsidR="00D346AF" w:rsidRPr="00B2646D">
        <w:rPr>
          <w:rFonts w:ascii="Arial" w:hAnsi="Arial" w:cs="Arial"/>
          <w:color w:val="000000" w:themeColor="text1"/>
          <w:sz w:val="20"/>
          <w:szCs w:val="20"/>
          <w:lang w:eastAsia="sl-SI"/>
        </w:rPr>
        <w:t xml:space="preserve"> številu oddanih </w:t>
      </w:r>
      <w:r w:rsidRPr="00B2646D">
        <w:rPr>
          <w:rFonts w:ascii="Arial" w:hAnsi="Arial" w:cs="Arial"/>
          <w:color w:val="000000" w:themeColor="text1"/>
          <w:sz w:val="20"/>
          <w:szCs w:val="20"/>
          <w:lang w:eastAsia="sl-SI"/>
        </w:rPr>
        <w:t>javnih naročil</w:t>
      </w:r>
      <w:r w:rsidR="009865C3" w:rsidRPr="00B2646D">
        <w:rPr>
          <w:rFonts w:ascii="Arial" w:hAnsi="Arial" w:cs="Arial"/>
          <w:color w:val="000000" w:themeColor="text1"/>
          <w:sz w:val="20"/>
          <w:szCs w:val="20"/>
          <w:lang w:eastAsia="sl-SI"/>
        </w:rPr>
        <w:t>,</w:t>
      </w:r>
      <w:r w:rsidR="00D346AF" w:rsidRPr="00B2646D">
        <w:rPr>
          <w:rFonts w:ascii="Arial" w:hAnsi="Arial" w:cs="Arial"/>
          <w:color w:val="000000" w:themeColor="text1"/>
          <w:sz w:val="20"/>
          <w:szCs w:val="20"/>
          <w:lang w:eastAsia="sl-SI"/>
        </w:rPr>
        <w:t xml:space="preserve"> objavljenih na portalu javnih naročil in v </w:t>
      </w:r>
      <w:r w:rsidR="00D346AF" w:rsidRPr="00B2646D">
        <w:rPr>
          <w:rFonts w:ascii="Arial" w:hAnsi="Arial" w:cs="Arial"/>
          <w:bCs/>
          <w:color w:val="000000" w:themeColor="text1"/>
          <w:sz w:val="20"/>
          <w:szCs w:val="20"/>
        </w:rPr>
        <w:t xml:space="preserve">Uradnem listu Evropske unije, glede na delež pri </w:t>
      </w:r>
      <w:r w:rsidRPr="00B2646D">
        <w:rPr>
          <w:rFonts w:ascii="Arial" w:hAnsi="Arial" w:cs="Arial"/>
          <w:bCs/>
          <w:color w:val="000000" w:themeColor="text1"/>
          <w:sz w:val="20"/>
          <w:szCs w:val="20"/>
        </w:rPr>
        <w:t xml:space="preserve">javnih </w:t>
      </w:r>
      <w:r w:rsidR="00D346AF" w:rsidRPr="00B2646D">
        <w:rPr>
          <w:rFonts w:ascii="Arial" w:hAnsi="Arial" w:cs="Arial"/>
          <w:bCs/>
          <w:color w:val="000000" w:themeColor="text1"/>
          <w:sz w:val="20"/>
          <w:szCs w:val="20"/>
        </w:rPr>
        <w:t xml:space="preserve">naročilih, objavljenih </w:t>
      </w:r>
      <w:r w:rsidR="00D346AF" w:rsidRPr="00B2646D">
        <w:rPr>
          <w:rFonts w:ascii="Arial" w:hAnsi="Arial" w:cs="Arial"/>
          <w:color w:val="000000" w:themeColor="text1"/>
          <w:sz w:val="20"/>
          <w:szCs w:val="20"/>
          <w:lang w:eastAsia="sl-SI"/>
        </w:rPr>
        <w:t>samo na portalu javnih naročil</w:t>
      </w:r>
      <w:r w:rsidR="00AE3124" w:rsidRPr="00B2646D">
        <w:rPr>
          <w:rFonts w:ascii="Arial" w:hAnsi="Arial" w:cs="Arial"/>
          <w:color w:val="000000" w:themeColor="text1"/>
          <w:sz w:val="20"/>
          <w:szCs w:val="20"/>
          <w:lang w:eastAsia="sl-SI"/>
        </w:rPr>
        <w:t>,</w:t>
      </w:r>
      <w:r w:rsidR="00A402D7" w:rsidRPr="00B2646D">
        <w:rPr>
          <w:rFonts w:ascii="Arial" w:hAnsi="Arial" w:cs="Arial"/>
          <w:color w:val="000000" w:themeColor="text1"/>
          <w:sz w:val="20"/>
          <w:szCs w:val="20"/>
          <w:lang w:eastAsia="sl-SI"/>
        </w:rPr>
        <w:t xml:space="preserve"> je pri naročilih </w:t>
      </w:r>
      <w:r w:rsidR="002A51DA" w:rsidRPr="00B2646D">
        <w:rPr>
          <w:rFonts w:ascii="Arial" w:hAnsi="Arial" w:cs="Arial"/>
          <w:color w:val="000000" w:themeColor="text1"/>
          <w:sz w:val="20"/>
          <w:szCs w:val="20"/>
          <w:lang w:eastAsia="sl-SI"/>
        </w:rPr>
        <w:t>blaga</w:t>
      </w:r>
      <w:r w:rsidRPr="00B2646D">
        <w:rPr>
          <w:rFonts w:ascii="Arial" w:hAnsi="Arial" w:cs="Arial"/>
          <w:color w:val="000000" w:themeColor="text1"/>
          <w:sz w:val="20"/>
          <w:szCs w:val="20"/>
          <w:lang w:eastAsia="sl-SI"/>
        </w:rPr>
        <w:t>, in sicer</w:t>
      </w:r>
      <w:r w:rsidR="00D346AF" w:rsidRPr="00B2646D">
        <w:rPr>
          <w:rFonts w:ascii="Arial" w:hAnsi="Arial" w:cs="Arial"/>
          <w:color w:val="000000" w:themeColor="text1"/>
          <w:sz w:val="20"/>
          <w:szCs w:val="20"/>
          <w:lang w:eastAsia="sl-SI"/>
        </w:rPr>
        <w:t xml:space="preserve"> </w:t>
      </w:r>
      <w:r w:rsidR="00C00ADC" w:rsidRPr="00B2646D">
        <w:rPr>
          <w:rFonts w:ascii="Arial" w:hAnsi="Arial" w:cs="Arial"/>
          <w:color w:val="000000" w:themeColor="text1"/>
          <w:sz w:val="20"/>
          <w:szCs w:val="20"/>
          <w:lang w:eastAsia="sl-SI"/>
        </w:rPr>
        <w:t>2,53</w:t>
      </w:r>
      <w:r w:rsidR="00D346AF" w:rsidRPr="00B2646D">
        <w:rPr>
          <w:rFonts w:ascii="Arial" w:hAnsi="Arial" w:cs="Arial"/>
          <w:color w:val="000000" w:themeColor="text1"/>
          <w:sz w:val="20"/>
          <w:szCs w:val="20"/>
          <w:lang w:eastAsia="sl-SI"/>
        </w:rPr>
        <w:t xml:space="preserve"> odstotne točke. </w:t>
      </w:r>
      <w:r w:rsidR="00596017" w:rsidRPr="00B2646D">
        <w:rPr>
          <w:rFonts w:ascii="Arial" w:hAnsi="Arial" w:cs="Arial"/>
          <w:color w:val="000000" w:themeColor="text1"/>
          <w:sz w:val="20"/>
          <w:szCs w:val="20"/>
          <w:lang w:eastAsia="sl-SI"/>
        </w:rPr>
        <w:t>Tudi r</w:t>
      </w:r>
      <w:r w:rsidR="009865C3" w:rsidRPr="00B2646D">
        <w:rPr>
          <w:rFonts w:ascii="Arial" w:hAnsi="Arial" w:cs="Arial"/>
          <w:color w:val="000000" w:themeColor="text1"/>
          <w:sz w:val="20"/>
          <w:szCs w:val="20"/>
          <w:lang w:eastAsia="sl-SI"/>
        </w:rPr>
        <w:t xml:space="preserve">azlika v deležu vrednosti </w:t>
      </w:r>
      <w:r w:rsidR="00AE3124" w:rsidRPr="00B2646D">
        <w:rPr>
          <w:rFonts w:ascii="Arial" w:hAnsi="Arial" w:cs="Arial"/>
          <w:color w:val="000000" w:themeColor="text1"/>
          <w:sz w:val="20"/>
          <w:szCs w:val="20"/>
          <w:lang w:eastAsia="sl-SI"/>
        </w:rPr>
        <w:t xml:space="preserve">je </w:t>
      </w:r>
      <w:r w:rsidR="009865C3" w:rsidRPr="00B2646D">
        <w:rPr>
          <w:rFonts w:ascii="Arial" w:hAnsi="Arial" w:cs="Arial"/>
          <w:color w:val="000000" w:themeColor="text1"/>
          <w:sz w:val="20"/>
          <w:szCs w:val="20"/>
          <w:lang w:eastAsia="sl-SI"/>
        </w:rPr>
        <w:t>največja pri naročilih</w:t>
      </w:r>
      <w:r w:rsidR="00DF2EF4" w:rsidRPr="00B2646D">
        <w:rPr>
          <w:rFonts w:ascii="Arial" w:hAnsi="Arial" w:cs="Arial"/>
          <w:color w:val="000000" w:themeColor="text1"/>
          <w:sz w:val="20"/>
          <w:szCs w:val="20"/>
          <w:lang w:eastAsia="sl-SI"/>
        </w:rPr>
        <w:t xml:space="preserve"> </w:t>
      </w:r>
      <w:r w:rsidR="00596017" w:rsidRPr="00B2646D">
        <w:rPr>
          <w:rFonts w:ascii="Arial" w:hAnsi="Arial" w:cs="Arial"/>
          <w:color w:val="000000" w:themeColor="text1"/>
          <w:sz w:val="20"/>
          <w:szCs w:val="20"/>
          <w:lang w:eastAsia="sl-SI"/>
        </w:rPr>
        <w:t>blaga</w:t>
      </w:r>
      <w:r w:rsidR="009865C3" w:rsidRPr="00B2646D">
        <w:rPr>
          <w:rFonts w:ascii="Arial" w:hAnsi="Arial" w:cs="Arial"/>
          <w:color w:val="000000" w:themeColor="text1"/>
          <w:sz w:val="20"/>
          <w:szCs w:val="20"/>
          <w:lang w:eastAsia="sl-SI"/>
        </w:rPr>
        <w:t xml:space="preserve">, kjer je delež pri številu naročil, oddanih tujim ponudnikom, </w:t>
      </w:r>
      <w:r w:rsidR="002E0EEE" w:rsidRPr="00B2646D">
        <w:rPr>
          <w:rFonts w:ascii="Arial" w:hAnsi="Arial" w:cs="Arial"/>
          <w:color w:val="000000" w:themeColor="text1"/>
          <w:sz w:val="20"/>
          <w:szCs w:val="20"/>
          <w:lang w:eastAsia="sl-SI"/>
        </w:rPr>
        <w:t>večji</w:t>
      </w:r>
      <w:r w:rsidR="009865C3" w:rsidRPr="00B2646D">
        <w:rPr>
          <w:rFonts w:ascii="Arial" w:hAnsi="Arial" w:cs="Arial"/>
          <w:color w:val="000000" w:themeColor="text1"/>
          <w:sz w:val="20"/>
          <w:szCs w:val="20"/>
          <w:lang w:eastAsia="sl-SI"/>
        </w:rPr>
        <w:t xml:space="preserve"> pri naročilih, objavljen</w:t>
      </w:r>
      <w:r w:rsidR="00DB6B1C" w:rsidRPr="00B2646D">
        <w:rPr>
          <w:rFonts w:ascii="Arial" w:hAnsi="Arial" w:cs="Arial"/>
          <w:color w:val="000000" w:themeColor="text1"/>
          <w:sz w:val="20"/>
          <w:szCs w:val="20"/>
          <w:lang w:eastAsia="sl-SI"/>
        </w:rPr>
        <w:t>ih</w:t>
      </w:r>
      <w:r w:rsidR="00226AE1" w:rsidRPr="00B2646D">
        <w:rPr>
          <w:rFonts w:ascii="Arial" w:hAnsi="Arial" w:cs="Arial"/>
          <w:color w:val="000000" w:themeColor="text1"/>
          <w:sz w:val="20"/>
          <w:szCs w:val="20"/>
          <w:lang w:eastAsia="sl-SI"/>
        </w:rPr>
        <w:t xml:space="preserve"> </w:t>
      </w:r>
      <w:r w:rsidR="00247F21" w:rsidRPr="00B2646D">
        <w:rPr>
          <w:rFonts w:ascii="Arial" w:hAnsi="Arial" w:cs="Arial"/>
          <w:color w:val="000000" w:themeColor="text1"/>
          <w:sz w:val="20"/>
          <w:szCs w:val="20"/>
          <w:lang w:eastAsia="sl-SI"/>
        </w:rPr>
        <w:t xml:space="preserve">samo </w:t>
      </w:r>
      <w:r w:rsidR="00226AE1" w:rsidRPr="00B2646D">
        <w:rPr>
          <w:rFonts w:ascii="Arial" w:hAnsi="Arial" w:cs="Arial"/>
          <w:color w:val="000000" w:themeColor="text1"/>
          <w:sz w:val="20"/>
          <w:szCs w:val="20"/>
          <w:lang w:eastAsia="sl-SI"/>
        </w:rPr>
        <w:t>na portalu javnih naročil</w:t>
      </w:r>
      <w:r w:rsidR="00247F21" w:rsidRPr="00B2646D">
        <w:rPr>
          <w:rFonts w:ascii="Arial" w:hAnsi="Arial" w:cs="Arial"/>
          <w:color w:val="000000" w:themeColor="text1"/>
          <w:sz w:val="20"/>
          <w:szCs w:val="20"/>
          <w:lang w:eastAsia="sl-SI"/>
        </w:rPr>
        <w:t xml:space="preserve">, </w:t>
      </w:r>
      <w:r w:rsidR="009865C3" w:rsidRPr="00B2646D">
        <w:rPr>
          <w:rFonts w:ascii="Arial" w:hAnsi="Arial" w:cs="Arial"/>
          <w:color w:val="000000" w:themeColor="text1"/>
          <w:sz w:val="20"/>
          <w:szCs w:val="20"/>
          <w:lang w:eastAsia="sl-SI"/>
        </w:rPr>
        <w:t xml:space="preserve">in sicer za </w:t>
      </w:r>
      <w:r w:rsidR="00C00ADC" w:rsidRPr="00B2646D">
        <w:rPr>
          <w:rFonts w:ascii="Arial" w:hAnsi="Arial" w:cs="Arial"/>
          <w:color w:val="000000" w:themeColor="text1"/>
          <w:sz w:val="20"/>
          <w:szCs w:val="20"/>
          <w:lang w:eastAsia="sl-SI"/>
        </w:rPr>
        <w:t>2,</w:t>
      </w:r>
      <w:r w:rsidR="00596017" w:rsidRPr="00B2646D">
        <w:rPr>
          <w:rFonts w:ascii="Arial" w:hAnsi="Arial" w:cs="Arial"/>
          <w:color w:val="000000" w:themeColor="text1"/>
          <w:sz w:val="20"/>
          <w:szCs w:val="20"/>
          <w:lang w:eastAsia="sl-SI"/>
        </w:rPr>
        <w:t>94</w:t>
      </w:r>
      <w:r w:rsidR="00E9321E" w:rsidRPr="00B2646D">
        <w:rPr>
          <w:rFonts w:ascii="Arial" w:hAnsi="Arial" w:cs="Arial"/>
          <w:color w:val="000000" w:themeColor="text1"/>
          <w:sz w:val="20"/>
          <w:szCs w:val="20"/>
          <w:lang w:eastAsia="sl-SI"/>
        </w:rPr>
        <w:t> </w:t>
      </w:r>
      <w:r w:rsidR="009865C3" w:rsidRPr="00B2646D">
        <w:rPr>
          <w:rFonts w:ascii="Arial" w:hAnsi="Arial" w:cs="Arial"/>
          <w:color w:val="000000" w:themeColor="text1"/>
          <w:sz w:val="20"/>
          <w:szCs w:val="20"/>
          <w:lang w:eastAsia="sl-SI"/>
        </w:rPr>
        <w:t>odstotne točke.</w:t>
      </w:r>
    </w:p>
    <w:p w14:paraId="0ED0CAAE" w14:textId="77777777" w:rsidR="008477FE" w:rsidRPr="00637ACF" w:rsidRDefault="008477FE">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013DBEA3" w14:textId="6EB41D31" w:rsidR="00856997" w:rsidRPr="00B2646D" w:rsidRDefault="00780489" w:rsidP="008A61FD">
      <w:pPr>
        <w:spacing w:before="120" w:after="120" w:line="240" w:lineRule="auto"/>
        <w:jc w:val="both"/>
        <w:rPr>
          <w:rFonts w:ascii="Arial" w:hAnsi="Arial" w:cs="Arial"/>
          <w:color w:val="000000" w:themeColor="text1"/>
          <w:sz w:val="20"/>
        </w:rPr>
      </w:pPr>
      <w:r w:rsidRPr="00B2646D">
        <w:rPr>
          <w:rFonts w:ascii="Arial" w:hAnsi="Arial" w:cs="Arial"/>
          <w:color w:val="000000" w:themeColor="text1"/>
          <w:sz w:val="20"/>
        </w:rPr>
        <w:lastRenderedPageBreak/>
        <w:t xml:space="preserve">Preglednica </w:t>
      </w:r>
      <w:r w:rsidR="00512F52" w:rsidRPr="00B2646D">
        <w:rPr>
          <w:rFonts w:ascii="Arial" w:hAnsi="Arial" w:cs="Arial"/>
          <w:color w:val="000000" w:themeColor="text1"/>
          <w:sz w:val="20"/>
        </w:rPr>
        <w:t>3</w:t>
      </w:r>
      <w:r w:rsidR="00EA747F" w:rsidRPr="00B2646D">
        <w:rPr>
          <w:rFonts w:ascii="Arial" w:hAnsi="Arial" w:cs="Arial"/>
          <w:color w:val="000000" w:themeColor="text1"/>
          <w:sz w:val="20"/>
        </w:rPr>
        <w:t>5</w:t>
      </w:r>
      <w:r w:rsidRPr="00B2646D">
        <w:rPr>
          <w:rFonts w:ascii="Arial" w:hAnsi="Arial" w:cs="Arial"/>
          <w:color w:val="000000" w:themeColor="text1"/>
          <w:sz w:val="20"/>
        </w:rPr>
        <w:t xml:space="preserve">: Delež uspešnosti tujih ponudnikov </w:t>
      </w:r>
      <w:r w:rsidR="00AC44FC" w:rsidRPr="00B2646D">
        <w:rPr>
          <w:rFonts w:ascii="Arial" w:hAnsi="Arial" w:cs="Arial"/>
          <w:color w:val="000000" w:themeColor="text1"/>
          <w:sz w:val="20"/>
        </w:rPr>
        <w:t>glede na predmet naročanja in mesto objave javnega naročila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9"/>
        <w:gridCol w:w="1189"/>
        <w:gridCol w:w="1204"/>
        <w:gridCol w:w="1187"/>
        <w:gridCol w:w="1789"/>
        <w:gridCol w:w="1431"/>
        <w:gridCol w:w="1185"/>
      </w:tblGrid>
      <w:tr w:rsidR="00596017" w:rsidRPr="00B2646D" w14:paraId="06EED744" w14:textId="77777777" w:rsidTr="00760D66">
        <w:trPr>
          <w:trHeight w:val="960"/>
          <w:tblHeader/>
        </w:trPr>
        <w:tc>
          <w:tcPr>
            <w:tcW w:w="648" w:type="pct"/>
            <w:shd w:val="clear" w:color="000000" w:fill="F2F2F2"/>
            <w:vAlign w:val="center"/>
            <w:hideMark/>
          </w:tcPr>
          <w:p w14:paraId="1D018665" w14:textId="77777777" w:rsidR="00BA3A9A" w:rsidRPr="00B2646D" w:rsidRDefault="00BA3A9A" w:rsidP="00BA3A9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 xml:space="preserve">Predmet </w:t>
            </w:r>
          </w:p>
        </w:tc>
        <w:tc>
          <w:tcPr>
            <w:tcW w:w="648" w:type="pct"/>
            <w:shd w:val="clear" w:color="000000" w:fill="F2F2F2"/>
            <w:vAlign w:val="center"/>
            <w:hideMark/>
          </w:tcPr>
          <w:p w14:paraId="5E8D96E6" w14:textId="77777777" w:rsidR="00BA3A9A" w:rsidRPr="00B2646D" w:rsidRDefault="00BA3A9A" w:rsidP="00BA3A9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Objava v UL EU</w:t>
            </w:r>
          </w:p>
        </w:tc>
        <w:tc>
          <w:tcPr>
            <w:tcW w:w="656" w:type="pct"/>
            <w:shd w:val="clear" w:color="000000" w:fill="F2F2F2"/>
            <w:vAlign w:val="center"/>
            <w:hideMark/>
          </w:tcPr>
          <w:p w14:paraId="78E2D6F5" w14:textId="77777777" w:rsidR="00BA3A9A" w:rsidRPr="00B2646D" w:rsidRDefault="00BA3A9A" w:rsidP="00BA3A9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Sedež ponudnika</w:t>
            </w:r>
          </w:p>
        </w:tc>
        <w:tc>
          <w:tcPr>
            <w:tcW w:w="647" w:type="pct"/>
            <w:shd w:val="clear" w:color="000000" w:fill="F2F2F2"/>
            <w:vAlign w:val="center"/>
            <w:hideMark/>
          </w:tcPr>
          <w:p w14:paraId="315D7A4D" w14:textId="77777777" w:rsidR="00BA3A9A" w:rsidRPr="00B2646D" w:rsidRDefault="00BA3A9A" w:rsidP="00BA3A9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Št. naročil</w:t>
            </w:r>
          </w:p>
        </w:tc>
        <w:tc>
          <w:tcPr>
            <w:tcW w:w="975" w:type="pct"/>
            <w:shd w:val="clear" w:color="000000" w:fill="F2F2F2"/>
            <w:vAlign w:val="center"/>
            <w:hideMark/>
          </w:tcPr>
          <w:p w14:paraId="6A29BB34" w14:textId="0DC9D401" w:rsidR="00BA3A9A" w:rsidRPr="00B2646D" w:rsidRDefault="00BA3A9A" w:rsidP="00BA3A9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Pogodbena vrednost</w:t>
            </w:r>
            <w:r w:rsidR="00986395" w:rsidRPr="00B2646D">
              <w:rPr>
                <w:rFonts w:ascii="Arial" w:eastAsia="Times New Roman" w:hAnsi="Arial" w:cs="Arial"/>
                <w:color w:val="000000" w:themeColor="text1"/>
                <w:sz w:val="18"/>
                <w:szCs w:val="18"/>
                <w:lang w:eastAsia="sl-SI"/>
              </w:rPr>
              <w:t xml:space="preserve"> (v EUR)</w:t>
            </w:r>
          </w:p>
        </w:tc>
        <w:tc>
          <w:tcPr>
            <w:tcW w:w="780" w:type="pct"/>
            <w:shd w:val="clear" w:color="000000" w:fill="F2F2F2"/>
            <w:vAlign w:val="center"/>
            <w:hideMark/>
          </w:tcPr>
          <w:p w14:paraId="5DFFB4EC" w14:textId="77777777" w:rsidR="00BA3A9A" w:rsidRPr="00B2646D" w:rsidRDefault="00BA3A9A" w:rsidP="00BA3A9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Delež v št. istovrstnih naročil</w:t>
            </w:r>
          </w:p>
        </w:tc>
        <w:tc>
          <w:tcPr>
            <w:tcW w:w="646" w:type="pct"/>
            <w:shd w:val="clear" w:color="000000" w:fill="F2F2F2"/>
            <w:vAlign w:val="center"/>
            <w:hideMark/>
          </w:tcPr>
          <w:p w14:paraId="35CCA551" w14:textId="77777777" w:rsidR="00BA3A9A" w:rsidRPr="00B2646D" w:rsidRDefault="00BA3A9A" w:rsidP="00BA3A9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Delež v vrednosti istovrstnih naročil</w:t>
            </w:r>
          </w:p>
        </w:tc>
      </w:tr>
      <w:tr w:rsidR="00B2646D" w:rsidRPr="00B2646D" w14:paraId="3D946942" w14:textId="77777777" w:rsidTr="00B2646D">
        <w:trPr>
          <w:trHeight w:val="300"/>
        </w:trPr>
        <w:tc>
          <w:tcPr>
            <w:tcW w:w="648" w:type="pct"/>
            <w:vMerge w:val="restart"/>
            <w:shd w:val="clear" w:color="auto" w:fill="auto"/>
            <w:noWrap/>
            <w:vAlign w:val="center"/>
            <w:hideMark/>
          </w:tcPr>
          <w:p w14:paraId="13C50015" w14:textId="77777777" w:rsidR="00B2646D" w:rsidRPr="00B2646D" w:rsidRDefault="00B2646D" w:rsidP="00B2646D">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Blago</w:t>
            </w:r>
          </w:p>
        </w:tc>
        <w:tc>
          <w:tcPr>
            <w:tcW w:w="648" w:type="pct"/>
            <w:vMerge w:val="restart"/>
            <w:shd w:val="clear" w:color="auto" w:fill="auto"/>
            <w:noWrap/>
            <w:vAlign w:val="center"/>
            <w:hideMark/>
          </w:tcPr>
          <w:p w14:paraId="07A0D7D6" w14:textId="77777777" w:rsidR="00B2646D" w:rsidRPr="00B2646D" w:rsidRDefault="00B2646D" w:rsidP="00B2646D">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DA</w:t>
            </w:r>
          </w:p>
        </w:tc>
        <w:tc>
          <w:tcPr>
            <w:tcW w:w="656" w:type="pct"/>
            <w:shd w:val="clear" w:color="auto" w:fill="auto"/>
            <w:noWrap/>
            <w:vAlign w:val="center"/>
            <w:hideMark/>
          </w:tcPr>
          <w:p w14:paraId="4084D4AE" w14:textId="77777777" w:rsidR="00B2646D" w:rsidRPr="00B2646D" w:rsidRDefault="00B2646D" w:rsidP="00B2646D">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Slovenija</w:t>
            </w:r>
          </w:p>
        </w:tc>
        <w:tc>
          <w:tcPr>
            <w:tcW w:w="647" w:type="pct"/>
            <w:shd w:val="clear" w:color="auto" w:fill="auto"/>
            <w:noWrap/>
            <w:vAlign w:val="center"/>
            <w:hideMark/>
          </w:tcPr>
          <w:p w14:paraId="42DFE9EF" w14:textId="08A525D1" w:rsidR="00B2646D" w:rsidRPr="00B2646D" w:rsidRDefault="00B2646D"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7.069</w:t>
            </w:r>
          </w:p>
        </w:tc>
        <w:tc>
          <w:tcPr>
            <w:tcW w:w="975" w:type="pct"/>
            <w:shd w:val="clear" w:color="auto" w:fill="auto"/>
            <w:noWrap/>
            <w:vAlign w:val="center"/>
            <w:hideMark/>
          </w:tcPr>
          <w:p w14:paraId="231E3DAF" w14:textId="5399A1AD" w:rsidR="00B2646D" w:rsidRPr="00B2646D" w:rsidRDefault="00B2646D"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2.097.704.596</w:t>
            </w:r>
          </w:p>
        </w:tc>
        <w:tc>
          <w:tcPr>
            <w:tcW w:w="780" w:type="pct"/>
            <w:shd w:val="clear" w:color="auto" w:fill="auto"/>
            <w:noWrap/>
            <w:vAlign w:val="center"/>
          </w:tcPr>
          <w:p w14:paraId="5A311D77" w14:textId="00EB2529" w:rsidR="00B2646D" w:rsidRPr="00B2646D" w:rsidRDefault="00B2646D"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97,46</w:t>
            </w:r>
            <w:r w:rsidR="00B10C84">
              <w:rPr>
                <w:rFonts w:ascii="Arial" w:eastAsia="Times New Roman" w:hAnsi="Arial" w:cs="Arial"/>
                <w:color w:val="000000" w:themeColor="text1"/>
                <w:sz w:val="18"/>
                <w:szCs w:val="18"/>
                <w:lang w:eastAsia="sl-SI"/>
              </w:rPr>
              <w:t xml:space="preserve"> </w:t>
            </w:r>
            <w:r w:rsidRPr="00B2646D">
              <w:rPr>
                <w:rFonts w:ascii="Arial" w:eastAsia="Times New Roman" w:hAnsi="Arial" w:cs="Arial"/>
                <w:color w:val="000000" w:themeColor="text1"/>
                <w:sz w:val="18"/>
                <w:szCs w:val="18"/>
                <w:lang w:eastAsia="sl-SI"/>
              </w:rPr>
              <w:t>%</w:t>
            </w:r>
          </w:p>
        </w:tc>
        <w:tc>
          <w:tcPr>
            <w:tcW w:w="646" w:type="pct"/>
            <w:shd w:val="clear" w:color="auto" w:fill="auto"/>
            <w:noWrap/>
            <w:vAlign w:val="center"/>
          </w:tcPr>
          <w:p w14:paraId="29445598" w14:textId="57FD5030" w:rsidR="00B2646D" w:rsidRPr="00B2646D" w:rsidRDefault="00B2646D"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87,03</w:t>
            </w:r>
            <w:r w:rsidR="00B10C84">
              <w:rPr>
                <w:rFonts w:ascii="Arial" w:eastAsia="Times New Roman" w:hAnsi="Arial" w:cs="Arial"/>
                <w:color w:val="000000" w:themeColor="text1"/>
                <w:sz w:val="18"/>
                <w:szCs w:val="18"/>
                <w:lang w:eastAsia="sl-SI"/>
              </w:rPr>
              <w:t xml:space="preserve"> </w:t>
            </w:r>
            <w:r w:rsidRPr="00B2646D">
              <w:rPr>
                <w:rFonts w:ascii="Arial" w:eastAsia="Times New Roman" w:hAnsi="Arial" w:cs="Arial"/>
                <w:color w:val="000000" w:themeColor="text1"/>
                <w:sz w:val="18"/>
                <w:szCs w:val="18"/>
                <w:lang w:eastAsia="sl-SI"/>
              </w:rPr>
              <w:t>%</w:t>
            </w:r>
          </w:p>
        </w:tc>
      </w:tr>
      <w:tr w:rsidR="00596017" w:rsidRPr="00B2646D" w14:paraId="2EDB70DD" w14:textId="77777777" w:rsidTr="00B2646D">
        <w:trPr>
          <w:trHeight w:val="300"/>
        </w:trPr>
        <w:tc>
          <w:tcPr>
            <w:tcW w:w="648" w:type="pct"/>
            <w:vMerge/>
            <w:vAlign w:val="center"/>
            <w:hideMark/>
          </w:tcPr>
          <w:p w14:paraId="0196D5EF"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p>
        </w:tc>
        <w:tc>
          <w:tcPr>
            <w:tcW w:w="648" w:type="pct"/>
            <w:vMerge/>
            <w:vAlign w:val="center"/>
            <w:hideMark/>
          </w:tcPr>
          <w:p w14:paraId="1299D3D8"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p>
        </w:tc>
        <w:tc>
          <w:tcPr>
            <w:tcW w:w="656" w:type="pct"/>
            <w:shd w:val="clear" w:color="auto" w:fill="auto"/>
            <w:noWrap/>
            <w:vAlign w:val="center"/>
            <w:hideMark/>
          </w:tcPr>
          <w:p w14:paraId="3260CAC8"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tujina</w:t>
            </w:r>
          </w:p>
        </w:tc>
        <w:tc>
          <w:tcPr>
            <w:tcW w:w="647" w:type="pct"/>
            <w:shd w:val="clear" w:color="auto" w:fill="auto"/>
            <w:noWrap/>
            <w:vAlign w:val="center"/>
            <w:hideMark/>
          </w:tcPr>
          <w:p w14:paraId="46501A4F" w14:textId="192A948D"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184</w:t>
            </w:r>
          </w:p>
        </w:tc>
        <w:tc>
          <w:tcPr>
            <w:tcW w:w="975" w:type="pct"/>
            <w:shd w:val="clear" w:color="auto" w:fill="auto"/>
            <w:noWrap/>
            <w:vAlign w:val="center"/>
            <w:hideMark/>
          </w:tcPr>
          <w:p w14:paraId="0A0E1B03" w14:textId="192EA19E"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312.573.345</w:t>
            </w:r>
          </w:p>
        </w:tc>
        <w:tc>
          <w:tcPr>
            <w:tcW w:w="780" w:type="pct"/>
            <w:shd w:val="clear" w:color="auto" w:fill="auto"/>
            <w:noWrap/>
            <w:vAlign w:val="center"/>
          </w:tcPr>
          <w:p w14:paraId="5A2EF6D7" w14:textId="637088D8"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2,54 %</w:t>
            </w:r>
          </w:p>
        </w:tc>
        <w:tc>
          <w:tcPr>
            <w:tcW w:w="646" w:type="pct"/>
            <w:shd w:val="clear" w:color="auto" w:fill="auto"/>
            <w:noWrap/>
            <w:vAlign w:val="center"/>
          </w:tcPr>
          <w:p w14:paraId="56C06B26" w14:textId="4DB51C42"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12,97 %</w:t>
            </w:r>
          </w:p>
        </w:tc>
      </w:tr>
      <w:tr w:rsidR="00596017" w:rsidRPr="00B2646D" w14:paraId="6AC5F94D" w14:textId="77777777" w:rsidTr="00B2646D">
        <w:trPr>
          <w:trHeight w:val="300"/>
        </w:trPr>
        <w:tc>
          <w:tcPr>
            <w:tcW w:w="648" w:type="pct"/>
            <w:vMerge/>
            <w:vAlign w:val="center"/>
            <w:hideMark/>
          </w:tcPr>
          <w:p w14:paraId="3385A2E1"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p>
        </w:tc>
        <w:tc>
          <w:tcPr>
            <w:tcW w:w="648" w:type="pct"/>
            <w:vMerge w:val="restart"/>
            <w:shd w:val="clear" w:color="auto" w:fill="auto"/>
            <w:noWrap/>
            <w:vAlign w:val="center"/>
            <w:hideMark/>
          </w:tcPr>
          <w:p w14:paraId="28C66E5A"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NE</w:t>
            </w:r>
          </w:p>
        </w:tc>
        <w:tc>
          <w:tcPr>
            <w:tcW w:w="656" w:type="pct"/>
            <w:shd w:val="clear" w:color="auto" w:fill="auto"/>
            <w:noWrap/>
            <w:vAlign w:val="center"/>
            <w:hideMark/>
          </w:tcPr>
          <w:p w14:paraId="5F8439A7"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Slovenija</w:t>
            </w:r>
          </w:p>
        </w:tc>
        <w:tc>
          <w:tcPr>
            <w:tcW w:w="647" w:type="pct"/>
            <w:shd w:val="clear" w:color="auto" w:fill="auto"/>
            <w:noWrap/>
            <w:vAlign w:val="center"/>
            <w:hideMark/>
          </w:tcPr>
          <w:p w14:paraId="6EA49607" w14:textId="4067DD6B"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3.184</w:t>
            </w:r>
          </w:p>
        </w:tc>
        <w:tc>
          <w:tcPr>
            <w:tcW w:w="975" w:type="pct"/>
            <w:shd w:val="clear" w:color="auto" w:fill="auto"/>
            <w:noWrap/>
            <w:vAlign w:val="center"/>
            <w:hideMark/>
          </w:tcPr>
          <w:p w14:paraId="3B1C8CFE" w14:textId="6BA6250A"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177.522.028</w:t>
            </w:r>
          </w:p>
        </w:tc>
        <w:tc>
          <w:tcPr>
            <w:tcW w:w="780" w:type="pct"/>
            <w:shd w:val="clear" w:color="auto" w:fill="auto"/>
            <w:noWrap/>
            <w:vAlign w:val="center"/>
          </w:tcPr>
          <w:p w14:paraId="5159CF41" w14:textId="6F3EBAAE"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94,93 %</w:t>
            </w:r>
          </w:p>
        </w:tc>
        <w:tc>
          <w:tcPr>
            <w:tcW w:w="646" w:type="pct"/>
            <w:shd w:val="clear" w:color="auto" w:fill="auto"/>
            <w:noWrap/>
            <w:vAlign w:val="center"/>
          </w:tcPr>
          <w:p w14:paraId="7D70C86D" w14:textId="3809EDDD"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89,97 %</w:t>
            </w:r>
          </w:p>
        </w:tc>
      </w:tr>
      <w:tr w:rsidR="00596017" w:rsidRPr="00B2646D" w14:paraId="4257EB8F" w14:textId="77777777" w:rsidTr="00B2646D">
        <w:trPr>
          <w:trHeight w:val="300"/>
        </w:trPr>
        <w:tc>
          <w:tcPr>
            <w:tcW w:w="648" w:type="pct"/>
            <w:vMerge/>
            <w:vAlign w:val="center"/>
            <w:hideMark/>
          </w:tcPr>
          <w:p w14:paraId="47F9FAFB"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p>
        </w:tc>
        <w:tc>
          <w:tcPr>
            <w:tcW w:w="648" w:type="pct"/>
            <w:vMerge/>
            <w:vAlign w:val="center"/>
            <w:hideMark/>
          </w:tcPr>
          <w:p w14:paraId="5C1E3A56"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p>
        </w:tc>
        <w:tc>
          <w:tcPr>
            <w:tcW w:w="656" w:type="pct"/>
            <w:shd w:val="clear" w:color="auto" w:fill="auto"/>
            <w:noWrap/>
            <w:vAlign w:val="center"/>
            <w:hideMark/>
          </w:tcPr>
          <w:p w14:paraId="0EB0D634" w14:textId="77777777" w:rsidR="00596017" w:rsidRPr="00B2646D" w:rsidRDefault="00596017" w:rsidP="00596017">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tujina</w:t>
            </w:r>
          </w:p>
        </w:tc>
        <w:tc>
          <w:tcPr>
            <w:tcW w:w="647" w:type="pct"/>
            <w:shd w:val="clear" w:color="auto" w:fill="auto"/>
            <w:noWrap/>
            <w:vAlign w:val="center"/>
            <w:hideMark/>
          </w:tcPr>
          <w:p w14:paraId="31163E04" w14:textId="60AFC255"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170</w:t>
            </w:r>
          </w:p>
        </w:tc>
        <w:tc>
          <w:tcPr>
            <w:tcW w:w="975" w:type="pct"/>
            <w:shd w:val="clear" w:color="auto" w:fill="auto"/>
            <w:noWrap/>
            <w:vAlign w:val="center"/>
            <w:hideMark/>
          </w:tcPr>
          <w:p w14:paraId="3D55F0FA" w14:textId="2C8936A5"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19.799.279</w:t>
            </w:r>
          </w:p>
        </w:tc>
        <w:tc>
          <w:tcPr>
            <w:tcW w:w="780" w:type="pct"/>
            <w:shd w:val="clear" w:color="auto" w:fill="auto"/>
            <w:noWrap/>
            <w:vAlign w:val="center"/>
          </w:tcPr>
          <w:p w14:paraId="250A7246" w14:textId="548C9AD9"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5,07 %</w:t>
            </w:r>
          </w:p>
        </w:tc>
        <w:tc>
          <w:tcPr>
            <w:tcW w:w="646" w:type="pct"/>
            <w:shd w:val="clear" w:color="auto" w:fill="auto"/>
            <w:noWrap/>
            <w:vAlign w:val="center"/>
          </w:tcPr>
          <w:p w14:paraId="1CCEBDE6" w14:textId="6FF7019D" w:rsidR="00596017" w:rsidRPr="00B2646D" w:rsidRDefault="00596017"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10,03 %</w:t>
            </w:r>
          </w:p>
        </w:tc>
      </w:tr>
      <w:tr w:rsidR="00B2646D" w:rsidRPr="00B2646D" w14:paraId="31138DCF" w14:textId="77777777" w:rsidTr="00B2646D">
        <w:trPr>
          <w:gridAfter w:val="2"/>
          <w:wAfter w:w="1426" w:type="pct"/>
          <w:trHeight w:val="300"/>
        </w:trPr>
        <w:tc>
          <w:tcPr>
            <w:tcW w:w="648" w:type="pct"/>
            <w:vMerge/>
            <w:vAlign w:val="center"/>
            <w:hideMark/>
          </w:tcPr>
          <w:p w14:paraId="41F49FF8" w14:textId="77777777" w:rsidR="00B2646D" w:rsidRPr="00B2646D" w:rsidRDefault="00B2646D" w:rsidP="00B2646D">
            <w:pPr>
              <w:spacing w:after="0" w:line="240" w:lineRule="auto"/>
              <w:rPr>
                <w:rFonts w:ascii="Arial" w:eastAsia="Times New Roman" w:hAnsi="Arial" w:cs="Arial"/>
                <w:color w:val="000000" w:themeColor="text1"/>
                <w:sz w:val="18"/>
                <w:szCs w:val="18"/>
                <w:lang w:eastAsia="sl-SI"/>
              </w:rPr>
            </w:pPr>
          </w:p>
        </w:tc>
        <w:tc>
          <w:tcPr>
            <w:tcW w:w="1304" w:type="pct"/>
            <w:gridSpan w:val="2"/>
            <w:shd w:val="clear" w:color="auto" w:fill="auto"/>
            <w:noWrap/>
            <w:vAlign w:val="center"/>
            <w:hideMark/>
          </w:tcPr>
          <w:p w14:paraId="60A9D0D2" w14:textId="77777777" w:rsidR="00B2646D" w:rsidRPr="00B2646D" w:rsidRDefault="00B2646D" w:rsidP="00B2646D">
            <w:pPr>
              <w:spacing w:after="0" w:line="240" w:lineRule="auto"/>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Skupaj</w:t>
            </w:r>
          </w:p>
        </w:tc>
        <w:tc>
          <w:tcPr>
            <w:tcW w:w="647" w:type="pct"/>
            <w:shd w:val="clear" w:color="auto" w:fill="auto"/>
            <w:noWrap/>
            <w:vAlign w:val="center"/>
          </w:tcPr>
          <w:p w14:paraId="6DBCFF6C" w14:textId="7235E91E" w:rsidR="00B2646D" w:rsidRPr="00B2646D" w:rsidRDefault="00B2646D" w:rsidP="00B2646D">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10.607</w:t>
            </w:r>
          </w:p>
        </w:tc>
        <w:tc>
          <w:tcPr>
            <w:tcW w:w="975" w:type="pct"/>
            <w:shd w:val="clear" w:color="auto" w:fill="auto"/>
            <w:noWrap/>
            <w:vAlign w:val="center"/>
          </w:tcPr>
          <w:p w14:paraId="069FCB19" w14:textId="5A70A1AD" w:rsidR="00B2646D" w:rsidRPr="00B2646D" w:rsidRDefault="00B2646D" w:rsidP="00B2646D">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2.607.599.248</w:t>
            </w:r>
          </w:p>
        </w:tc>
      </w:tr>
      <w:tr w:rsidR="00596017" w:rsidRPr="00B2646D" w14:paraId="00C8555B" w14:textId="77777777" w:rsidTr="00B2646D">
        <w:trPr>
          <w:trHeight w:val="300"/>
        </w:trPr>
        <w:tc>
          <w:tcPr>
            <w:tcW w:w="648" w:type="pct"/>
            <w:vMerge w:val="restart"/>
            <w:shd w:val="clear" w:color="auto" w:fill="auto"/>
            <w:noWrap/>
            <w:vAlign w:val="center"/>
            <w:hideMark/>
          </w:tcPr>
          <w:p w14:paraId="56340A2E"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Storitve</w:t>
            </w:r>
          </w:p>
        </w:tc>
        <w:tc>
          <w:tcPr>
            <w:tcW w:w="648" w:type="pct"/>
            <w:vMerge w:val="restart"/>
            <w:shd w:val="clear" w:color="auto" w:fill="auto"/>
            <w:noWrap/>
            <w:vAlign w:val="center"/>
            <w:hideMark/>
          </w:tcPr>
          <w:p w14:paraId="2577583C"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DA</w:t>
            </w:r>
          </w:p>
        </w:tc>
        <w:tc>
          <w:tcPr>
            <w:tcW w:w="656" w:type="pct"/>
            <w:shd w:val="clear" w:color="auto" w:fill="auto"/>
            <w:noWrap/>
            <w:vAlign w:val="center"/>
            <w:hideMark/>
          </w:tcPr>
          <w:p w14:paraId="6E80C13F"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Slovenija</w:t>
            </w:r>
          </w:p>
        </w:tc>
        <w:tc>
          <w:tcPr>
            <w:tcW w:w="647" w:type="pct"/>
            <w:shd w:val="clear" w:color="auto" w:fill="auto"/>
            <w:noWrap/>
            <w:vAlign w:val="center"/>
            <w:hideMark/>
          </w:tcPr>
          <w:p w14:paraId="5C828AB7" w14:textId="661F1B6F"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2.406</w:t>
            </w:r>
          </w:p>
        </w:tc>
        <w:tc>
          <w:tcPr>
            <w:tcW w:w="975" w:type="pct"/>
            <w:shd w:val="clear" w:color="auto" w:fill="auto"/>
            <w:noWrap/>
            <w:vAlign w:val="center"/>
            <w:hideMark/>
          </w:tcPr>
          <w:p w14:paraId="17108000" w14:textId="23F0495E"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1.897.161.740</w:t>
            </w:r>
          </w:p>
        </w:tc>
        <w:tc>
          <w:tcPr>
            <w:tcW w:w="780" w:type="pct"/>
            <w:shd w:val="clear" w:color="auto" w:fill="auto"/>
            <w:noWrap/>
            <w:vAlign w:val="center"/>
            <w:hideMark/>
          </w:tcPr>
          <w:p w14:paraId="6F0B3A97" w14:textId="7FC2B3BF"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97,77 %</w:t>
            </w:r>
          </w:p>
        </w:tc>
        <w:tc>
          <w:tcPr>
            <w:tcW w:w="646" w:type="pct"/>
            <w:shd w:val="clear" w:color="auto" w:fill="auto"/>
            <w:noWrap/>
            <w:vAlign w:val="center"/>
            <w:hideMark/>
          </w:tcPr>
          <w:p w14:paraId="1CD3B4B5" w14:textId="40944F9B"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94,12 %</w:t>
            </w:r>
          </w:p>
        </w:tc>
      </w:tr>
      <w:tr w:rsidR="00596017" w:rsidRPr="00B2646D" w14:paraId="5AF99587" w14:textId="77777777" w:rsidTr="00B2646D">
        <w:trPr>
          <w:trHeight w:val="300"/>
        </w:trPr>
        <w:tc>
          <w:tcPr>
            <w:tcW w:w="648" w:type="pct"/>
            <w:vMerge/>
            <w:vAlign w:val="center"/>
            <w:hideMark/>
          </w:tcPr>
          <w:p w14:paraId="207F301E"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48" w:type="pct"/>
            <w:vMerge/>
            <w:vAlign w:val="center"/>
            <w:hideMark/>
          </w:tcPr>
          <w:p w14:paraId="4A65C13F"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56" w:type="pct"/>
            <w:shd w:val="clear" w:color="auto" w:fill="auto"/>
            <w:noWrap/>
            <w:vAlign w:val="center"/>
            <w:hideMark/>
          </w:tcPr>
          <w:p w14:paraId="3CB364C4"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tujina</w:t>
            </w:r>
          </w:p>
        </w:tc>
        <w:tc>
          <w:tcPr>
            <w:tcW w:w="647" w:type="pct"/>
            <w:shd w:val="clear" w:color="auto" w:fill="auto"/>
            <w:noWrap/>
            <w:vAlign w:val="center"/>
            <w:hideMark/>
          </w:tcPr>
          <w:p w14:paraId="492D9150" w14:textId="7F678718"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55</w:t>
            </w:r>
          </w:p>
        </w:tc>
        <w:tc>
          <w:tcPr>
            <w:tcW w:w="975" w:type="pct"/>
            <w:shd w:val="clear" w:color="auto" w:fill="auto"/>
            <w:noWrap/>
            <w:vAlign w:val="center"/>
            <w:hideMark/>
          </w:tcPr>
          <w:p w14:paraId="742C894B" w14:textId="16BE4648"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118.623.248</w:t>
            </w:r>
          </w:p>
        </w:tc>
        <w:tc>
          <w:tcPr>
            <w:tcW w:w="780" w:type="pct"/>
            <w:shd w:val="clear" w:color="auto" w:fill="auto"/>
            <w:noWrap/>
            <w:vAlign w:val="center"/>
            <w:hideMark/>
          </w:tcPr>
          <w:p w14:paraId="6B9BFD47" w14:textId="73CE66C9"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2,23 %</w:t>
            </w:r>
          </w:p>
        </w:tc>
        <w:tc>
          <w:tcPr>
            <w:tcW w:w="646" w:type="pct"/>
            <w:shd w:val="clear" w:color="auto" w:fill="auto"/>
            <w:noWrap/>
            <w:vAlign w:val="center"/>
            <w:hideMark/>
          </w:tcPr>
          <w:p w14:paraId="5A507085" w14:textId="49C3E94C"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5,88 %</w:t>
            </w:r>
          </w:p>
        </w:tc>
      </w:tr>
      <w:tr w:rsidR="00596017" w:rsidRPr="00B2646D" w14:paraId="11CB0647" w14:textId="77777777" w:rsidTr="00B2646D">
        <w:trPr>
          <w:trHeight w:val="300"/>
        </w:trPr>
        <w:tc>
          <w:tcPr>
            <w:tcW w:w="648" w:type="pct"/>
            <w:vMerge/>
            <w:vAlign w:val="center"/>
            <w:hideMark/>
          </w:tcPr>
          <w:p w14:paraId="33EA3582"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48" w:type="pct"/>
            <w:vMerge w:val="restart"/>
            <w:shd w:val="clear" w:color="auto" w:fill="auto"/>
            <w:noWrap/>
            <w:vAlign w:val="center"/>
            <w:hideMark/>
          </w:tcPr>
          <w:p w14:paraId="3B13916C"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NE</w:t>
            </w:r>
          </w:p>
        </w:tc>
        <w:tc>
          <w:tcPr>
            <w:tcW w:w="656" w:type="pct"/>
            <w:shd w:val="clear" w:color="auto" w:fill="auto"/>
            <w:noWrap/>
            <w:vAlign w:val="center"/>
            <w:hideMark/>
          </w:tcPr>
          <w:p w14:paraId="78BEA3DD"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Slovenija</w:t>
            </w:r>
          </w:p>
        </w:tc>
        <w:tc>
          <w:tcPr>
            <w:tcW w:w="647" w:type="pct"/>
            <w:shd w:val="clear" w:color="auto" w:fill="auto"/>
            <w:noWrap/>
            <w:vAlign w:val="center"/>
            <w:hideMark/>
          </w:tcPr>
          <w:p w14:paraId="44A14800" w14:textId="6D62A45F"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2.124</w:t>
            </w:r>
          </w:p>
        </w:tc>
        <w:tc>
          <w:tcPr>
            <w:tcW w:w="975" w:type="pct"/>
            <w:shd w:val="clear" w:color="auto" w:fill="auto"/>
            <w:noWrap/>
            <w:vAlign w:val="center"/>
            <w:hideMark/>
          </w:tcPr>
          <w:p w14:paraId="7A54056F" w14:textId="0C292019"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175.061.801</w:t>
            </w:r>
          </w:p>
        </w:tc>
        <w:tc>
          <w:tcPr>
            <w:tcW w:w="780" w:type="pct"/>
            <w:shd w:val="clear" w:color="auto" w:fill="auto"/>
            <w:noWrap/>
            <w:vAlign w:val="center"/>
            <w:hideMark/>
          </w:tcPr>
          <w:p w14:paraId="04616093" w14:textId="713B82A9"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96,94 %</w:t>
            </w:r>
          </w:p>
        </w:tc>
        <w:tc>
          <w:tcPr>
            <w:tcW w:w="646" w:type="pct"/>
            <w:shd w:val="clear" w:color="auto" w:fill="auto"/>
            <w:noWrap/>
            <w:vAlign w:val="center"/>
            <w:hideMark/>
          </w:tcPr>
          <w:p w14:paraId="26C29496" w14:textId="7D2BF74A"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96,21 %</w:t>
            </w:r>
          </w:p>
        </w:tc>
      </w:tr>
      <w:tr w:rsidR="00596017" w:rsidRPr="00B2646D" w14:paraId="4C6574AE" w14:textId="77777777" w:rsidTr="00B2646D">
        <w:trPr>
          <w:trHeight w:val="300"/>
        </w:trPr>
        <w:tc>
          <w:tcPr>
            <w:tcW w:w="648" w:type="pct"/>
            <w:vMerge/>
            <w:vAlign w:val="center"/>
            <w:hideMark/>
          </w:tcPr>
          <w:p w14:paraId="34BC85B8"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48" w:type="pct"/>
            <w:vMerge/>
            <w:vAlign w:val="center"/>
            <w:hideMark/>
          </w:tcPr>
          <w:p w14:paraId="3F62B8F6"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56" w:type="pct"/>
            <w:shd w:val="clear" w:color="auto" w:fill="auto"/>
            <w:noWrap/>
            <w:vAlign w:val="center"/>
            <w:hideMark/>
          </w:tcPr>
          <w:p w14:paraId="495E9C65"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tujina</w:t>
            </w:r>
          </w:p>
        </w:tc>
        <w:tc>
          <w:tcPr>
            <w:tcW w:w="647" w:type="pct"/>
            <w:shd w:val="clear" w:color="auto" w:fill="auto"/>
            <w:noWrap/>
            <w:vAlign w:val="center"/>
            <w:hideMark/>
          </w:tcPr>
          <w:p w14:paraId="4DA29F2A" w14:textId="0ACE793E"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67</w:t>
            </w:r>
          </w:p>
        </w:tc>
        <w:tc>
          <w:tcPr>
            <w:tcW w:w="975" w:type="pct"/>
            <w:shd w:val="clear" w:color="auto" w:fill="auto"/>
            <w:noWrap/>
            <w:vAlign w:val="center"/>
            <w:hideMark/>
          </w:tcPr>
          <w:p w14:paraId="72C0EB3E" w14:textId="67F0DB84"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6.888.265</w:t>
            </w:r>
          </w:p>
        </w:tc>
        <w:tc>
          <w:tcPr>
            <w:tcW w:w="780" w:type="pct"/>
            <w:shd w:val="clear" w:color="auto" w:fill="auto"/>
            <w:noWrap/>
            <w:vAlign w:val="center"/>
            <w:hideMark/>
          </w:tcPr>
          <w:p w14:paraId="6E0D9352" w14:textId="0DE37341"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3,06 %</w:t>
            </w:r>
          </w:p>
        </w:tc>
        <w:tc>
          <w:tcPr>
            <w:tcW w:w="646" w:type="pct"/>
            <w:shd w:val="clear" w:color="auto" w:fill="auto"/>
            <w:noWrap/>
            <w:vAlign w:val="center"/>
            <w:hideMark/>
          </w:tcPr>
          <w:p w14:paraId="19D99CEA" w14:textId="69092A0D"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3,79 %</w:t>
            </w:r>
          </w:p>
        </w:tc>
      </w:tr>
      <w:tr w:rsidR="00760D66" w:rsidRPr="00B2646D" w14:paraId="780756A3" w14:textId="77777777" w:rsidTr="00B2646D">
        <w:trPr>
          <w:gridAfter w:val="2"/>
          <w:wAfter w:w="1426" w:type="pct"/>
          <w:trHeight w:val="300"/>
        </w:trPr>
        <w:tc>
          <w:tcPr>
            <w:tcW w:w="648" w:type="pct"/>
            <w:vMerge/>
            <w:vAlign w:val="center"/>
            <w:hideMark/>
          </w:tcPr>
          <w:p w14:paraId="6B3A0F79" w14:textId="77777777" w:rsidR="00760D66" w:rsidRPr="00B2646D" w:rsidRDefault="00760D66" w:rsidP="00AB6615">
            <w:pPr>
              <w:spacing w:after="0" w:line="240" w:lineRule="auto"/>
              <w:rPr>
                <w:rFonts w:ascii="Arial" w:eastAsia="Times New Roman" w:hAnsi="Arial" w:cs="Arial"/>
                <w:color w:val="000000" w:themeColor="text1"/>
                <w:sz w:val="18"/>
                <w:szCs w:val="18"/>
                <w:lang w:eastAsia="sl-SI"/>
              </w:rPr>
            </w:pPr>
          </w:p>
        </w:tc>
        <w:tc>
          <w:tcPr>
            <w:tcW w:w="1304" w:type="pct"/>
            <w:gridSpan w:val="2"/>
            <w:shd w:val="clear" w:color="auto" w:fill="auto"/>
            <w:noWrap/>
            <w:vAlign w:val="center"/>
            <w:hideMark/>
          </w:tcPr>
          <w:p w14:paraId="2D70941D" w14:textId="77777777" w:rsidR="00760D66" w:rsidRPr="00B2646D" w:rsidRDefault="00760D66" w:rsidP="00AB6615">
            <w:pPr>
              <w:spacing w:after="0" w:line="240" w:lineRule="auto"/>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Skupaj</w:t>
            </w:r>
          </w:p>
        </w:tc>
        <w:tc>
          <w:tcPr>
            <w:tcW w:w="647" w:type="pct"/>
            <w:shd w:val="clear" w:color="auto" w:fill="auto"/>
            <w:noWrap/>
            <w:vAlign w:val="center"/>
            <w:hideMark/>
          </w:tcPr>
          <w:p w14:paraId="52EED973" w14:textId="611E5806" w:rsidR="00760D66" w:rsidRPr="00B2646D" w:rsidRDefault="00760D66" w:rsidP="00B2646D">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4.652</w:t>
            </w:r>
          </w:p>
        </w:tc>
        <w:tc>
          <w:tcPr>
            <w:tcW w:w="975" w:type="pct"/>
            <w:shd w:val="clear" w:color="auto" w:fill="auto"/>
            <w:noWrap/>
            <w:vAlign w:val="center"/>
            <w:hideMark/>
          </w:tcPr>
          <w:p w14:paraId="30190478" w14:textId="4ACFF88C" w:rsidR="00760D66" w:rsidRPr="00B2646D" w:rsidRDefault="00760D66" w:rsidP="00B2646D">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2.197.735.054</w:t>
            </w:r>
          </w:p>
        </w:tc>
      </w:tr>
      <w:tr w:rsidR="00596017" w:rsidRPr="00B2646D" w14:paraId="1681D57C" w14:textId="77777777" w:rsidTr="00B2646D">
        <w:trPr>
          <w:trHeight w:val="300"/>
        </w:trPr>
        <w:tc>
          <w:tcPr>
            <w:tcW w:w="648" w:type="pct"/>
            <w:vMerge w:val="restart"/>
            <w:shd w:val="clear" w:color="auto" w:fill="auto"/>
            <w:noWrap/>
            <w:vAlign w:val="center"/>
          </w:tcPr>
          <w:p w14:paraId="2B42C966" w14:textId="3A74823F"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Gradnje</w:t>
            </w:r>
          </w:p>
        </w:tc>
        <w:tc>
          <w:tcPr>
            <w:tcW w:w="648" w:type="pct"/>
            <w:vMerge w:val="restart"/>
            <w:shd w:val="clear" w:color="auto" w:fill="auto"/>
            <w:noWrap/>
            <w:vAlign w:val="center"/>
          </w:tcPr>
          <w:p w14:paraId="3C350FB1" w14:textId="206A9135"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DA</w:t>
            </w:r>
          </w:p>
        </w:tc>
        <w:tc>
          <w:tcPr>
            <w:tcW w:w="656" w:type="pct"/>
            <w:shd w:val="clear" w:color="auto" w:fill="auto"/>
            <w:noWrap/>
            <w:vAlign w:val="center"/>
          </w:tcPr>
          <w:p w14:paraId="5AA7D7A2" w14:textId="55C2961D"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Slovenija</w:t>
            </w:r>
          </w:p>
        </w:tc>
        <w:tc>
          <w:tcPr>
            <w:tcW w:w="647" w:type="pct"/>
            <w:shd w:val="clear" w:color="auto" w:fill="auto"/>
            <w:noWrap/>
            <w:vAlign w:val="center"/>
          </w:tcPr>
          <w:p w14:paraId="740855FD" w14:textId="0FACF708"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185</w:t>
            </w:r>
          </w:p>
        </w:tc>
        <w:tc>
          <w:tcPr>
            <w:tcW w:w="975" w:type="pct"/>
            <w:shd w:val="clear" w:color="auto" w:fill="auto"/>
            <w:noWrap/>
            <w:vAlign w:val="center"/>
          </w:tcPr>
          <w:p w14:paraId="7ED7B993" w14:textId="798DADAB"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843.250.289</w:t>
            </w:r>
          </w:p>
        </w:tc>
        <w:tc>
          <w:tcPr>
            <w:tcW w:w="780" w:type="pct"/>
            <w:shd w:val="clear" w:color="auto" w:fill="auto"/>
            <w:noWrap/>
            <w:vAlign w:val="center"/>
          </w:tcPr>
          <w:p w14:paraId="34F7478C" w14:textId="3451D83C"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99,46 %</w:t>
            </w:r>
          </w:p>
        </w:tc>
        <w:tc>
          <w:tcPr>
            <w:tcW w:w="646" w:type="pct"/>
            <w:shd w:val="clear" w:color="auto" w:fill="auto"/>
            <w:noWrap/>
            <w:vAlign w:val="center"/>
          </w:tcPr>
          <w:p w14:paraId="0D80852D" w14:textId="57FE1A4B"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99,81 %</w:t>
            </w:r>
          </w:p>
        </w:tc>
      </w:tr>
      <w:tr w:rsidR="00596017" w:rsidRPr="00B2646D" w14:paraId="7A496CA5" w14:textId="77777777" w:rsidTr="00B2646D">
        <w:trPr>
          <w:trHeight w:val="300"/>
        </w:trPr>
        <w:tc>
          <w:tcPr>
            <w:tcW w:w="648" w:type="pct"/>
            <w:vMerge/>
            <w:shd w:val="clear" w:color="auto" w:fill="auto"/>
            <w:noWrap/>
            <w:vAlign w:val="center"/>
            <w:hideMark/>
          </w:tcPr>
          <w:p w14:paraId="4C93A9FE" w14:textId="4D39B8D4"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48" w:type="pct"/>
            <w:vMerge/>
            <w:shd w:val="clear" w:color="auto" w:fill="auto"/>
            <w:noWrap/>
            <w:vAlign w:val="center"/>
            <w:hideMark/>
          </w:tcPr>
          <w:p w14:paraId="57ED5C00" w14:textId="27FFEE6D"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56" w:type="pct"/>
            <w:shd w:val="clear" w:color="auto" w:fill="auto"/>
            <w:noWrap/>
            <w:vAlign w:val="center"/>
            <w:hideMark/>
          </w:tcPr>
          <w:p w14:paraId="47EF46F6" w14:textId="4E12D3ED"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tujina</w:t>
            </w:r>
          </w:p>
        </w:tc>
        <w:tc>
          <w:tcPr>
            <w:tcW w:w="647" w:type="pct"/>
            <w:shd w:val="clear" w:color="auto" w:fill="auto"/>
            <w:noWrap/>
            <w:vAlign w:val="center"/>
            <w:hideMark/>
          </w:tcPr>
          <w:p w14:paraId="418238D6" w14:textId="01BA4A02"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w:t>
            </w:r>
          </w:p>
        </w:tc>
        <w:tc>
          <w:tcPr>
            <w:tcW w:w="975" w:type="pct"/>
            <w:shd w:val="clear" w:color="auto" w:fill="auto"/>
            <w:noWrap/>
            <w:vAlign w:val="center"/>
            <w:hideMark/>
          </w:tcPr>
          <w:p w14:paraId="3BCB520B" w14:textId="743E32E2"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1.599.998</w:t>
            </w:r>
          </w:p>
        </w:tc>
        <w:tc>
          <w:tcPr>
            <w:tcW w:w="780" w:type="pct"/>
            <w:shd w:val="clear" w:color="auto" w:fill="auto"/>
            <w:noWrap/>
            <w:vAlign w:val="center"/>
            <w:hideMark/>
          </w:tcPr>
          <w:p w14:paraId="021743D8" w14:textId="1BC3C49B"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0,54 %</w:t>
            </w:r>
          </w:p>
        </w:tc>
        <w:tc>
          <w:tcPr>
            <w:tcW w:w="646" w:type="pct"/>
            <w:shd w:val="clear" w:color="auto" w:fill="auto"/>
            <w:noWrap/>
            <w:vAlign w:val="center"/>
            <w:hideMark/>
          </w:tcPr>
          <w:p w14:paraId="519272C2" w14:textId="604165FD"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0,19 %</w:t>
            </w:r>
          </w:p>
        </w:tc>
      </w:tr>
      <w:tr w:rsidR="00B2646D" w:rsidRPr="00B2646D" w14:paraId="2B924793" w14:textId="77777777" w:rsidTr="00B2646D">
        <w:trPr>
          <w:trHeight w:val="300"/>
        </w:trPr>
        <w:tc>
          <w:tcPr>
            <w:tcW w:w="648" w:type="pct"/>
            <w:vMerge/>
            <w:vAlign w:val="center"/>
            <w:hideMark/>
          </w:tcPr>
          <w:p w14:paraId="6DD9E38F" w14:textId="77777777" w:rsidR="00B2646D" w:rsidRPr="00B2646D" w:rsidRDefault="00B2646D" w:rsidP="00B2646D">
            <w:pPr>
              <w:spacing w:after="0" w:line="240" w:lineRule="auto"/>
              <w:rPr>
                <w:rFonts w:ascii="Arial" w:eastAsia="Times New Roman" w:hAnsi="Arial" w:cs="Arial"/>
                <w:color w:val="000000" w:themeColor="text1"/>
                <w:sz w:val="18"/>
                <w:szCs w:val="18"/>
                <w:lang w:eastAsia="sl-SI"/>
              </w:rPr>
            </w:pPr>
          </w:p>
        </w:tc>
        <w:tc>
          <w:tcPr>
            <w:tcW w:w="648" w:type="pct"/>
            <w:vMerge w:val="restart"/>
            <w:shd w:val="clear" w:color="auto" w:fill="auto"/>
            <w:noWrap/>
            <w:vAlign w:val="center"/>
            <w:hideMark/>
          </w:tcPr>
          <w:p w14:paraId="5AFBDB42" w14:textId="2C8951E6" w:rsidR="00B2646D" w:rsidRPr="00B2646D" w:rsidRDefault="00B2646D" w:rsidP="00B2646D">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NE</w:t>
            </w:r>
          </w:p>
        </w:tc>
        <w:tc>
          <w:tcPr>
            <w:tcW w:w="656" w:type="pct"/>
            <w:shd w:val="clear" w:color="auto" w:fill="auto"/>
            <w:noWrap/>
            <w:vAlign w:val="center"/>
            <w:hideMark/>
          </w:tcPr>
          <w:p w14:paraId="0B176BFD" w14:textId="77777777" w:rsidR="00B2646D" w:rsidRPr="00B2646D" w:rsidRDefault="00B2646D" w:rsidP="00B2646D">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Slovenija</w:t>
            </w:r>
          </w:p>
        </w:tc>
        <w:tc>
          <w:tcPr>
            <w:tcW w:w="647" w:type="pct"/>
            <w:shd w:val="clear" w:color="auto" w:fill="auto"/>
            <w:noWrap/>
            <w:vAlign w:val="center"/>
            <w:hideMark/>
          </w:tcPr>
          <w:p w14:paraId="1C9689CD" w14:textId="39A6A19F" w:rsidR="00B2646D" w:rsidRPr="00B2646D" w:rsidRDefault="00B2646D"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1.372</w:t>
            </w:r>
          </w:p>
        </w:tc>
        <w:tc>
          <w:tcPr>
            <w:tcW w:w="975" w:type="pct"/>
            <w:shd w:val="clear" w:color="auto" w:fill="auto"/>
            <w:noWrap/>
            <w:vAlign w:val="center"/>
            <w:hideMark/>
          </w:tcPr>
          <w:p w14:paraId="56313C7C" w14:textId="50D9077D" w:rsidR="00B2646D" w:rsidRPr="00B2646D" w:rsidRDefault="00B2646D"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573.233.570</w:t>
            </w:r>
          </w:p>
        </w:tc>
        <w:tc>
          <w:tcPr>
            <w:tcW w:w="780" w:type="pct"/>
            <w:shd w:val="clear" w:color="auto" w:fill="auto"/>
            <w:noWrap/>
            <w:vAlign w:val="center"/>
          </w:tcPr>
          <w:p w14:paraId="39EA5809" w14:textId="128FB0D0" w:rsidR="00B2646D" w:rsidRPr="00B2646D" w:rsidRDefault="00B2646D"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99,49%</w:t>
            </w:r>
          </w:p>
        </w:tc>
        <w:tc>
          <w:tcPr>
            <w:tcW w:w="646" w:type="pct"/>
            <w:shd w:val="clear" w:color="auto" w:fill="auto"/>
            <w:noWrap/>
            <w:vAlign w:val="center"/>
          </w:tcPr>
          <w:p w14:paraId="6E4015D4" w14:textId="77F5C07A" w:rsidR="00B2646D" w:rsidRPr="00B2646D" w:rsidRDefault="00B2646D"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98,48%</w:t>
            </w:r>
          </w:p>
        </w:tc>
      </w:tr>
      <w:tr w:rsidR="00596017" w:rsidRPr="00B2646D" w14:paraId="6F9C2017" w14:textId="77777777" w:rsidTr="00B2646D">
        <w:trPr>
          <w:trHeight w:val="300"/>
        </w:trPr>
        <w:tc>
          <w:tcPr>
            <w:tcW w:w="648" w:type="pct"/>
            <w:vMerge/>
            <w:vAlign w:val="center"/>
          </w:tcPr>
          <w:p w14:paraId="3B761C22" w14:textId="77777777"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48" w:type="pct"/>
            <w:vMerge/>
            <w:shd w:val="clear" w:color="auto" w:fill="auto"/>
            <w:noWrap/>
            <w:vAlign w:val="center"/>
          </w:tcPr>
          <w:p w14:paraId="3D22095C" w14:textId="527CAB29" w:rsidR="00AB6615" w:rsidRPr="00B2646D" w:rsidRDefault="00AB6615" w:rsidP="00AB6615">
            <w:pPr>
              <w:spacing w:after="0" w:line="240" w:lineRule="auto"/>
              <w:rPr>
                <w:rFonts w:ascii="Arial" w:eastAsia="Times New Roman" w:hAnsi="Arial" w:cs="Arial"/>
                <w:color w:val="000000" w:themeColor="text1"/>
                <w:sz w:val="18"/>
                <w:szCs w:val="18"/>
                <w:lang w:eastAsia="sl-SI"/>
              </w:rPr>
            </w:pPr>
          </w:p>
        </w:tc>
        <w:tc>
          <w:tcPr>
            <w:tcW w:w="656" w:type="pct"/>
            <w:shd w:val="clear" w:color="auto" w:fill="auto"/>
            <w:noWrap/>
            <w:vAlign w:val="center"/>
          </w:tcPr>
          <w:p w14:paraId="5DCDF36C" w14:textId="382B289C" w:rsidR="00AB6615" w:rsidRPr="00B2646D" w:rsidRDefault="00AB6615" w:rsidP="00AB6615">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tujina</w:t>
            </w:r>
          </w:p>
        </w:tc>
        <w:tc>
          <w:tcPr>
            <w:tcW w:w="647" w:type="pct"/>
            <w:shd w:val="clear" w:color="auto" w:fill="auto"/>
            <w:noWrap/>
            <w:vAlign w:val="center"/>
          </w:tcPr>
          <w:p w14:paraId="410070BE" w14:textId="5C1440F1"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7</w:t>
            </w:r>
          </w:p>
        </w:tc>
        <w:tc>
          <w:tcPr>
            <w:tcW w:w="975" w:type="pct"/>
            <w:shd w:val="clear" w:color="auto" w:fill="auto"/>
            <w:noWrap/>
            <w:vAlign w:val="center"/>
          </w:tcPr>
          <w:p w14:paraId="48F20230" w14:textId="3F962A6C"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8.832.810</w:t>
            </w:r>
          </w:p>
        </w:tc>
        <w:tc>
          <w:tcPr>
            <w:tcW w:w="780" w:type="pct"/>
            <w:shd w:val="clear" w:color="auto" w:fill="auto"/>
            <w:noWrap/>
            <w:vAlign w:val="center"/>
          </w:tcPr>
          <w:p w14:paraId="074ACB20" w14:textId="0B0E594A"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0,51 %</w:t>
            </w:r>
          </w:p>
        </w:tc>
        <w:tc>
          <w:tcPr>
            <w:tcW w:w="646" w:type="pct"/>
            <w:shd w:val="clear" w:color="auto" w:fill="auto"/>
            <w:noWrap/>
            <w:vAlign w:val="center"/>
          </w:tcPr>
          <w:p w14:paraId="5B5F3C60" w14:textId="2A2961C6" w:rsidR="00AB6615" w:rsidRPr="00B2646D" w:rsidRDefault="00AB6615" w:rsidP="00B2646D">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1,52 %</w:t>
            </w:r>
          </w:p>
        </w:tc>
      </w:tr>
      <w:tr w:rsidR="00B2646D" w:rsidRPr="00B2646D" w14:paraId="389C12C3" w14:textId="77777777" w:rsidTr="00B2646D">
        <w:trPr>
          <w:gridAfter w:val="2"/>
          <w:wAfter w:w="1426" w:type="pct"/>
          <w:trHeight w:val="300"/>
        </w:trPr>
        <w:tc>
          <w:tcPr>
            <w:tcW w:w="648" w:type="pct"/>
            <w:vMerge/>
            <w:vAlign w:val="center"/>
            <w:hideMark/>
          </w:tcPr>
          <w:p w14:paraId="25D09910" w14:textId="77777777" w:rsidR="00B2646D" w:rsidRPr="00B2646D" w:rsidRDefault="00B2646D" w:rsidP="00B2646D">
            <w:pPr>
              <w:spacing w:after="0" w:line="240" w:lineRule="auto"/>
              <w:rPr>
                <w:rFonts w:ascii="Arial" w:eastAsia="Times New Roman" w:hAnsi="Arial" w:cs="Arial"/>
                <w:color w:val="000000" w:themeColor="text1"/>
                <w:sz w:val="18"/>
                <w:szCs w:val="18"/>
                <w:lang w:eastAsia="sl-SI"/>
              </w:rPr>
            </w:pPr>
          </w:p>
        </w:tc>
        <w:tc>
          <w:tcPr>
            <w:tcW w:w="1304" w:type="pct"/>
            <w:gridSpan w:val="2"/>
            <w:shd w:val="clear" w:color="auto" w:fill="auto"/>
            <w:noWrap/>
            <w:vAlign w:val="center"/>
            <w:hideMark/>
          </w:tcPr>
          <w:p w14:paraId="4E8CB94D" w14:textId="77777777" w:rsidR="00B2646D" w:rsidRPr="00B2646D" w:rsidRDefault="00B2646D" w:rsidP="00B2646D">
            <w:pPr>
              <w:spacing w:after="0" w:line="240" w:lineRule="auto"/>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Skupaj</w:t>
            </w:r>
          </w:p>
        </w:tc>
        <w:tc>
          <w:tcPr>
            <w:tcW w:w="647" w:type="pct"/>
            <w:shd w:val="clear" w:color="auto" w:fill="auto"/>
            <w:noWrap/>
            <w:vAlign w:val="center"/>
            <w:hideMark/>
          </w:tcPr>
          <w:p w14:paraId="07ADAB8C" w14:textId="1BD5036D" w:rsidR="00B2646D" w:rsidRPr="00B2646D" w:rsidRDefault="00B2646D" w:rsidP="00B2646D">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1.565</w:t>
            </w:r>
          </w:p>
        </w:tc>
        <w:tc>
          <w:tcPr>
            <w:tcW w:w="975" w:type="pct"/>
            <w:shd w:val="clear" w:color="auto" w:fill="auto"/>
            <w:noWrap/>
            <w:vAlign w:val="center"/>
            <w:hideMark/>
          </w:tcPr>
          <w:p w14:paraId="2C9AD4E8" w14:textId="20C6CF4A" w:rsidR="00B2646D" w:rsidRPr="00B2646D" w:rsidRDefault="00B2646D" w:rsidP="00B2646D">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1.426.916.667</w:t>
            </w:r>
          </w:p>
        </w:tc>
      </w:tr>
      <w:tr w:rsidR="00B2646D" w:rsidRPr="00B2646D" w14:paraId="7E8953AE" w14:textId="77777777" w:rsidTr="00B2646D">
        <w:trPr>
          <w:gridAfter w:val="2"/>
          <w:wAfter w:w="1426" w:type="pct"/>
          <w:trHeight w:val="300"/>
        </w:trPr>
        <w:tc>
          <w:tcPr>
            <w:tcW w:w="1952" w:type="pct"/>
            <w:gridSpan w:val="3"/>
            <w:shd w:val="clear" w:color="auto" w:fill="F2F2F2" w:themeFill="background1" w:themeFillShade="F2"/>
            <w:noWrap/>
            <w:vAlign w:val="center"/>
            <w:hideMark/>
          </w:tcPr>
          <w:p w14:paraId="5688842D" w14:textId="77777777" w:rsidR="00B2646D" w:rsidRPr="00B2646D" w:rsidRDefault="00B2646D" w:rsidP="00B2646D">
            <w:pPr>
              <w:spacing w:after="0" w:line="240" w:lineRule="auto"/>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Skupaj</w:t>
            </w:r>
          </w:p>
        </w:tc>
        <w:tc>
          <w:tcPr>
            <w:tcW w:w="647" w:type="pct"/>
            <w:shd w:val="clear" w:color="auto" w:fill="F2F2F2" w:themeFill="background1" w:themeFillShade="F2"/>
            <w:noWrap/>
            <w:vAlign w:val="center"/>
          </w:tcPr>
          <w:p w14:paraId="4E439B2C" w14:textId="62F270C5" w:rsidR="00B2646D" w:rsidRPr="00B2646D" w:rsidRDefault="00B2646D" w:rsidP="00B2646D">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16.824</w:t>
            </w:r>
          </w:p>
        </w:tc>
        <w:tc>
          <w:tcPr>
            <w:tcW w:w="975" w:type="pct"/>
            <w:shd w:val="clear" w:color="auto" w:fill="F2F2F2" w:themeFill="background1" w:themeFillShade="F2"/>
            <w:noWrap/>
            <w:vAlign w:val="center"/>
          </w:tcPr>
          <w:p w14:paraId="12A4C53F" w14:textId="03F7B42D" w:rsidR="00B2646D" w:rsidRPr="00B2646D" w:rsidRDefault="00B2646D" w:rsidP="00B2646D">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6.232.250.969</w:t>
            </w:r>
          </w:p>
        </w:tc>
      </w:tr>
    </w:tbl>
    <w:p w14:paraId="07D03A61" w14:textId="77777777" w:rsidR="004A613D" w:rsidRPr="00B2646D" w:rsidRDefault="004A613D" w:rsidP="004A613D">
      <w:pPr>
        <w:spacing w:after="0" w:line="240" w:lineRule="auto"/>
        <w:jc w:val="center"/>
        <w:rPr>
          <w:rFonts w:ascii="Arial" w:hAnsi="Arial" w:cs="Arial"/>
          <w:color w:val="000000" w:themeColor="text1"/>
          <w:sz w:val="18"/>
        </w:rPr>
      </w:pPr>
    </w:p>
    <w:p w14:paraId="1F54C4F6" w14:textId="4C5E54CD" w:rsidR="002149C7" w:rsidRPr="00B2646D" w:rsidRDefault="002149C7" w:rsidP="00D94701">
      <w:pPr>
        <w:spacing w:after="120" w:line="240" w:lineRule="auto"/>
        <w:jc w:val="center"/>
        <w:rPr>
          <w:rFonts w:ascii="Arial" w:hAnsi="Arial" w:cs="Arial"/>
          <w:color w:val="000000" w:themeColor="text1"/>
          <w:sz w:val="18"/>
        </w:rPr>
      </w:pPr>
      <w:r w:rsidRPr="00B2646D">
        <w:rPr>
          <w:rFonts w:ascii="Arial" w:hAnsi="Arial" w:cs="Arial"/>
          <w:color w:val="000000" w:themeColor="text1"/>
          <w:sz w:val="18"/>
        </w:rPr>
        <w:t>Vir: Statistični podatki o javni</w:t>
      </w:r>
      <w:r w:rsidR="00550208" w:rsidRPr="00B2646D">
        <w:rPr>
          <w:rFonts w:ascii="Arial" w:hAnsi="Arial" w:cs="Arial"/>
          <w:color w:val="000000" w:themeColor="text1"/>
          <w:sz w:val="18"/>
        </w:rPr>
        <w:t>h naročilih, oddanih v letu 20</w:t>
      </w:r>
      <w:r w:rsidR="002A51DA" w:rsidRPr="00B2646D">
        <w:rPr>
          <w:rFonts w:ascii="Arial" w:hAnsi="Arial" w:cs="Arial"/>
          <w:color w:val="000000" w:themeColor="text1"/>
          <w:sz w:val="18"/>
        </w:rPr>
        <w:t>2</w:t>
      </w:r>
      <w:r w:rsidR="00AB6615" w:rsidRPr="00B2646D">
        <w:rPr>
          <w:rFonts w:ascii="Arial" w:hAnsi="Arial" w:cs="Arial"/>
          <w:color w:val="000000" w:themeColor="text1"/>
          <w:sz w:val="18"/>
        </w:rPr>
        <w:t>3</w:t>
      </w:r>
      <w:r w:rsidR="00E9321E" w:rsidRPr="00B2646D">
        <w:rPr>
          <w:rFonts w:ascii="Arial" w:hAnsi="Arial" w:cs="Arial"/>
          <w:color w:val="000000" w:themeColor="text1"/>
          <w:sz w:val="18"/>
        </w:rPr>
        <w:t>.</w:t>
      </w:r>
    </w:p>
    <w:p w14:paraId="4DE7B43B" w14:textId="77777777" w:rsidR="00F81313" w:rsidRPr="00B2646D" w:rsidRDefault="00F81313" w:rsidP="004A613D">
      <w:pPr>
        <w:spacing w:after="0" w:line="240" w:lineRule="auto"/>
        <w:jc w:val="center"/>
        <w:rPr>
          <w:rFonts w:ascii="Arial" w:hAnsi="Arial" w:cs="Arial"/>
          <w:color w:val="FF0000"/>
          <w:sz w:val="18"/>
        </w:rPr>
      </w:pPr>
    </w:p>
    <w:p w14:paraId="437750E5" w14:textId="5D41F698" w:rsidR="001F6CF7" w:rsidRPr="00B2646D" w:rsidRDefault="006A0A09" w:rsidP="006A0A09">
      <w:pPr>
        <w:spacing w:line="360" w:lineRule="auto"/>
        <w:jc w:val="both"/>
        <w:rPr>
          <w:rFonts w:ascii="Arial" w:hAnsi="Arial" w:cs="Arial"/>
          <w:color w:val="000000" w:themeColor="text1"/>
          <w:sz w:val="20"/>
          <w:szCs w:val="20"/>
          <w:lang w:eastAsia="sl-SI"/>
        </w:rPr>
      </w:pPr>
      <w:r w:rsidRPr="00B2646D">
        <w:rPr>
          <w:rFonts w:ascii="Arial" w:hAnsi="Arial" w:cs="Arial"/>
          <w:color w:val="000000" w:themeColor="text1"/>
          <w:sz w:val="20"/>
          <w:szCs w:val="20"/>
          <w:lang w:eastAsia="sl-SI"/>
        </w:rPr>
        <w:t>Graf </w:t>
      </w:r>
      <w:r w:rsidR="002B1D8E" w:rsidRPr="00B2646D">
        <w:rPr>
          <w:rFonts w:ascii="Arial" w:hAnsi="Arial" w:cs="Arial"/>
          <w:color w:val="000000" w:themeColor="text1"/>
          <w:sz w:val="20"/>
          <w:szCs w:val="20"/>
          <w:lang w:eastAsia="sl-SI"/>
        </w:rPr>
        <w:t>6</w:t>
      </w:r>
      <w:r w:rsidRPr="00B2646D">
        <w:rPr>
          <w:rFonts w:ascii="Arial" w:hAnsi="Arial" w:cs="Arial"/>
          <w:color w:val="000000" w:themeColor="text1"/>
          <w:sz w:val="20"/>
          <w:szCs w:val="20"/>
          <w:lang w:eastAsia="sl-SI"/>
        </w:rPr>
        <w:t xml:space="preserve"> prikazuje, da so bili </w:t>
      </w:r>
      <w:r w:rsidR="00CD4647" w:rsidRPr="00B2646D">
        <w:rPr>
          <w:rFonts w:ascii="Arial" w:hAnsi="Arial" w:cs="Arial"/>
          <w:color w:val="000000" w:themeColor="text1"/>
          <w:sz w:val="20"/>
          <w:szCs w:val="20"/>
          <w:lang w:eastAsia="sl-SI"/>
        </w:rPr>
        <w:t>leta</w:t>
      </w:r>
      <w:r w:rsidRPr="00B2646D">
        <w:rPr>
          <w:rFonts w:ascii="Arial" w:hAnsi="Arial" w:cs="Arial"/>
          <w:color w:val="000000" w:themeColor="text1"/>
          <w:sz w:val="20"/>
          <w:szCs w:val="20"/>
          <w:lang w:eastAsia="sl-SI"/>
        </w:rPr>
        <w:t xml:space="preserve"> 20</w:t>
      </w:r>
      <w:r w:rsidR="004E56F5" w:rsidRPr="00B2646D">
        <w:rPr>
          <w:rFonts w:ascii="Arial" w:hAnsi="Arial" w:cs="Arial"/>
          <w:color w:val="000000" w:themeColor="text1"/>
          <w:sz w:val="20"/>
          <w:szCs w:val="20"/>
          <w:lang w:eastAsia="sl-SI"/>
        </w:rPr>
        <w:t>2</w:t>
      </w:r>
      <w:r w:rsidR="00040E09" w:rsidRPr="00B2646D">
        <w:rPr>
          <w:rFonts w:ascii="Arial" w:hAnsi="Arial" w:cs="Arial"/>
          <w:color w:val="000000" w:themeColor="text1"/>
          <w:sz w:val="20"/>
          <w:szCs w:val="20"/>
          <w:lang w:eastAsia="sl-SI"/>
        </w:rPr>
        <w:t>3</w:t>
      </w:r>
      <w:r w:rsidRPr="00B2646D">
        <w:rPr>
          <w:rFonts w:ascii="Arial" w:hAnsi="Arial" w:cs="Arial"/>
          <w:color w:val="000000" w:themeColor="text1"/>
          <w:sz w:val="20"/>
          <w:szCs w:val="20"/>
          <w:lang w:eastAsia="sl-SI"/>
        </w:rPr>
        <w:t xml:space="preserve"> v postopkih javnih naročil po vrednosti oddanih </w:t>
      </w:r>
      <w:r w:rsidR="009B2527" w:rsidRPr="00B2646D">
        <w:rPr>
          <w:rFonts w:ascii="Arial" w:hAnsi="Arial" w:cs="Arial"/>
          <w:color w:val="000000" w:themeColor="text1"/>
          <w:sz w:val="20"/>
          <w:szCs w:val="20"/>
          <w:lang w:eastAsia="sl-SI"/>
        </w:rPr>
        <w:t>naročil</w:t>
      </w:r>
      <w:r w:rsidRPr="00B2646D">
        <w:rPr>
          <w:rFonts w:ascii="Arial" w:hAnsi="Arial" w:cs="Arial"/>
          <w:color w:val="000000" w:themeColor="text1"/>
          <w:sz w:val="20"/>
          <w:szCs w:val="20"/>
          <w:lang w:eastAsia="sl-SI"/>
        </w:rPr>
        <w:t xml:space="preserve"> med tujimi </w:t>
      </w:r>
      <w:r w:rsidR="002240CA" w:rsidRPr="00B2646D">
        <w:rPr>
          <w:rFonts w:ascii="Arial" w:hAnsi="Arial" w:cs="Arial"/>
          <w:color w:val="000000" w:themeColor="text1"/>
          <w:sz w:val="20"/>
          <w:szCs w:val="20"/>
          <w:lang w:eastAsia="sl-SI"/>
        </w:rPr>
        <w:t xml:space="preserve">ponudniki </w:t>
      </w:r>
      <w:r w:rsidRPr="00B2646D">
        <w:rPr>
          <w:rFonts w:ascii="Arial" w:hAnsi="Arial" w:cs="Arial"/>
          <w:color w:val="000000" w:themeColor="text1"/>
          <w:sz w:val="20"/>
          <w:szCs w:val="20"/>
          <w:lang w:eastAsia="sl-SI"/>
        </w:rPr>
        <w:t xml:space="preserve">najuspešnejši ponudniki iz </w:t>
      </w:r>
      <w:r w:rsidR="00040E09" w:rsidRPr="00B2646D">
        <w:rPr>
          <w:rFonts w:ascii="Arial" w:hAnsi="Arial" w:cs="Arial"/>
          <w:color w:val="000000" w:themeColor="text1"/>
          <w:sz w:val="20"/>
          <w:szCs w:val="20"/>
          <w:lang w:eastAsia="sl-SI"/>
        </w:rPr>
        <w:t xml:space="preserve">Poljske, </w:t>
      </w:r>
      <w:r w:rsidR="00BD3B20" w:rsidRPr="00B2646D">
        <w:rPr>
          <w:rFonts w:ascii="Arial" w:hAnsi="Arial" w:cs="Arial"/>
          <w:color w:val="000000" w:themeColor="text1"/>
          <w:sz w:val="20"/>
          <w:szCs w:val="20"/>
          <w:lang w:eastAsia="sl-SI"/>
        </w:rPr>
        <w:t>Švic</w:t>
      </w:r>
      <w:r w:rsidR="00040E09" w:rsidRPr="00B2646D">
        <w:rPr>
          <w:rFonts w:ascii="Arial" w:hAnsi="Arial" w:cs="Arial"/>
          <w:color w:val="000000" w:themeColor="text1"/>
          <w:sz w:val="20"/>
          <w:szCs w:val="20"/>
          <w:lang w:eastAsia="sl-SI"/>
        </w:rPr>
        <w:t>e in Španije</w:t>
      </w:r>
      <w:r w:rsidR="00203977" w:rsidRPr="00B2646D">
        <w:rPr>
          <w:rFonts w:ascii="Arial" w:hAnsi="Arial" w:cs="Arial"/>
          <w:color w:val="000000" w:themeColor="text1"/>
          <w:sz w:val="20"/>
          <w:szCs w:val="20"/>
          <w:lang w:eastAsia="sl-SI"/>
        </w:rPr>
        <w:t>.</w:t>
      </w:r>
      <w:r w:rsidRPr="00B2646D">
        <w:rPr>
          <w:rFonts w:ascii="Arial" w:hAnsi="Arial" w:cs="Arial"/>
          <w:color w:val="000000" w:themeColor="text1"/>
          <w:sz w:val="20"/>
          <w:szCs w:val="20"/>
          <w:lang w:eastAsia="sl-SI"/>
        </w:rPr>
        <w:t xml:space="preserve"> Ponudniki iz </w:t>
      </w:r>
      <w:r w:rsidR="00040E09" w:rsidRPr="00B2646D">
        <w:rPr>
          <w:rFonts w:ascii="Arial" w:hAnsi="Arial" w:cs="Arial"/>
          <w:color w:val="000000" w:themeColor="text1"/>
          <w:sz w:val="20"/>
          <w:szCs w:val="20"/>
          <w:lang w:eastAsia="sl-SI"/>
        </w:rPr>
        <w:t>Poljske</w:t>
      </w:r>
      <w:r w:rsidR="004E56F5" w:rsidRPr="00B2646D">
        <w:rPr>
          <w:rFonts w:ascii="Arial" w:hAnsi="Arial" w:cs="Arial"/>
          <w:color w:val="000000" w:themeColor="text1"/>
          <w:sz w:val="20"/>
          <w:szCs w:val="20"/>
          <w:lang w:eastAsia="sl-SI"/>
        </w:rPr>
        <w:t xml:space="preserve"> </w:t>
      </w:r>
      <w:r w:rsidRPr="00B2646D">
        <w:rPr>
          <w:rFonts w:ascii="Arial" w:hAnsi="Arial" w:cs="Arial"/>
          <w:color w:val="000000" w:themeColor="text1"/>
          <w:sz w:val="20"/>
          <w:szCs w:val="20"/>
          <w:lang w:eastAsia="sl-SI"/>
        </w:rPr>
        <w:t>so pridobili</w:t>
      </w:r>
      <w:r w:rsidR="00BD3B20" w:rsidRPr="00B2646D">
        <w:rPr>
          <w:rFonts w:ascii="Arial" w:hAnsi="Arial" w:cs="Arial"/>
          <w:color w:val="000000" w:themeColor="text1"/>
          <w:sz w:val="20"/>
          <w:szCs w:val="20"/>
          <w:lang w:eastAsia="sl-SI"/>
        </w:rPr>
        <w:t xml:space="preserve"> </w:t>
      </w:r>
      <w:r w:rsidR="00B32435" w:rsidRPr="00B2646D">
        <w:rPr>
          <w:rFonts w:ascii="Arial" w:hAnsi="Arial" w:cs="Arial"/>
          <w:color w:val="000000" w:themeColor="text1"/>
          <w:sz w:val="20"/>
          <w:szCs w:val="20"/>
          <w:lang w:eastAsia="sl-SI"/>
        </w:rPr>
        <w:t>7</w:t>
      </w:r>
      <w:r w:rsidR="00BD3B20" w:rsidRPr="00B2646D">
        <w:rPr>
          <w:rFonts w:ascii="Arial" w:hAnsi="Arial" w:cs="Arial"/>
          <w:color w:val="000000" w:themeColor="text1"/>
          <w:sz w:val="20"/>
          <w:szCs w:val="20"/>
          <w:lang w:eastAsia="sl-SI"/>
        </w:rPr>
        <w:t xml:space="preserve"> </w:t>
      </w:r>
      <w:r w:rsidR="004E56F5" w:rsidRPr="00B2646D">
        <w:rPr>
          <w:rFonts w:ascii="Arial" w:hAnsi="Arial" w:cs="Arial"/>
          <w:color w:val="000000" w:themeColor="text1"/>
          <w:sz w:val="20"/>
          <w:szCs w:val="20"/>
          <w:lang w:eastAsia="sl-SI"/>
        </w:rPr>
        <w:t>n</w:t>
      </w:r>
      <w:r w:rsidR="00C8023B" w:rsidRPr="00B2646D">
        <w:rPr>
          <w:rFonts w:ascii="Arial" w:hAnsi="Arial" w:cs="Arial"/>
          <w:color w:val="000000" w:themeColor="text1"/>
          <w:sz w:val="20"/>
          <w:szCs w:val="20"/>
          <w:lang w:eastAsia="sl-SI"/>
        </w:rPr>
        <w:t>aročil</w:t>
      </w:r>
      <w:r w:rsidR="00653914" w:rsidRPr="00B2646D">
        <w:rPr>
          <w:rFonts w:ascii="Arial" w:hAnsi="Arial" w:cs="Arial"/>
          <w:color w:val="000000" w:themeColor="text1"/>
          <w:sz w:val="20"/>
          <w:szCs w:val="20"/>
          <w:lang w:eastAsia="sl-SI"/>
        </w:rPr>
        <w:t xml:space="preserve"> v vrednosti</w:t>
      </w:r>
      <w:r w:rsidRPr="00B2646D">
        <w:rPr>
          <w:rFonts w:ascii="Arial" w:hAnsi="Arial" w:cs="Arial"/>
          <w:color w:val="000000" w:themeColor="text1"/>
          <w:sz w:val="20"/>
          <w:szCs w:val="20"/>
          <w:lang w:eastAsia="sl-SI"/>
        </w:rPr>
        <w:t xml:space="preserve"> </w:t>
      </w:r>
      <w:r w:rsidR="00B32435" w:rsidRPr="00B2646D">
        <w:rPr>
          <w:rFonts w:ascii="Arial" w:hAnsi="Arial" w:cs="Arial"/>
          <w:color w:val="000000" w:themeColor="text1"/>
          <w:sz w:val="20"/>
          <w:szCs w:val="20"/>
          <w:lang w:eastAsia="sl-SI"/>
        </w:rPr>
        <w:t xml:space="preserve">149.612.510 </w:t>
      </w:r>
      <w:r w:rsidRPr="00B2646D">
        <w:rPr>
          <w:rFonts w:ascii="Arial" w:hAnsi="Arial" w:cs="Arial"/>
          <w:color w:val="000000" w:themeColor="text1"/>
          <w:sz w:val="20"/>
          <w:szCs w:val="20"/>
          <w:lang w:eastAsia="sl-SI"/>
        </w:rPr>
        <w:t xml:space="preserve">evrov, kar je po vrednosti </w:t>
      </w:r>
      <w:r w:rsidR="00B32435" w:rsidRPr="00B2646D">
        <w:rPr>
          <w:rFonts w:ascii="Arial" w:hAnsi="Arial" w:cs="Arial"/>
          <w:color w:val="000000" w:themeColor="text1"/>
          <w:sz w:val="20"/>
          <w:szCs w:val="20"/>
          <w:lang w:eastAsia="sl-SI"/>
        </w:rPr>
        <w:t>31,95</w:t>
      </w:r>
      <w:r w:rsidR="00862C47" w:rsidRPr="00B2646D">
        <w:rPr>
          <w:rFonts w:ascii="Arial" w:hAnsi="Arial" w:cs="Arial"/>
          <w:color w:val="000000" w:themeColor="text1"/>
          <w:sz w:val="20"/>
          <w:szCs w:val="20"/>
          <w:lang w:eastAsia="sl-SI"/>
        </w:rPr>
        <w:t> </w:t>
      </w:r>
      <w:r w:rsidR="00AC0027" w:rsidRPr="00B2646D">
        <w:rPr>
          <w:rFonts w:ascii="Arial" w:hAnsi="Arial" w:cs="Arial"/>
          <w:color w:val="000000" w:themeColor="text1"/>
          <w:sz w:val="20"/>
          <w:szCs w:val="20"/>
          <w:lang w:eastAsia="sl-SI"/>
        </w:rPr>
        <w:t>odstotka</w:t>
      </w:r>
      <w:r w:rsidRPr="00B2646D">
        <w:rPr>
          <w:rFonts w:ascii="Arial" w:hAnsi="Arial" w:cs="Arial"/>
          <w:color w:val="000000" w:themeColor="text1"/>
          <w:sz w:val="20"/>
          <w:szCs w:val="20"/>
          <w:lang w:eastAsia="sl-SI"/>
        </w:rPr>
        <w:t xml:space="preserve"> vseh </w:t>
      </w:r>
      <w:r w:rsidR="00653914" w:rsidRPr="00B2646D">
        <w:rPr>
          <w:rFonts w:ascii="Arial" w:hAnsi="Arial" w:cs="Arial"/>
          <w:color w:val="000000" w:themeColor="text1"/>
          <w:sz w:val="20"/>
          <w:szCs w:val="20"/>
          <w:lang w:eastAsia="sl-SI"/>
        </w:rPr>
        <w:t>naročil</w:t>
      </w:r>
      <w:r w:rsidRPr="00B2646D">
        <w:rPr>
          <w:rFonts w:ascii="Arial" w:hAnsi="Arial" w:cs="Arial"/>
          <w:color w:val="000000" w:themeColor="text1"/>
          <w:sz w:val="20"/>
          <w:szCs w:val="20"/>
          <w:lang w:eastAsia="sl-SI"/>
        </w:rPr>
        <w:t>, ki so bil</w:t>
      </w:r>
      <w:r w:rsidR="00B417B3" w:rsidRPr="00B2646D">
        <w:rPr>
          <w:rFonts w:ascii="Arial" w:hAnsi="Arial" w:cs="Arial"/>
          <w:color w:val="000000" w:themeColor="text1"/>
          <w:sz w:val="20"/>
          <w:szCs w:val="20"/>
          <w:lang w:eastAsia="sl-SI"/>
        </w:rPr>
        <w:t>a</w:t>
      </w:r>
      <w:r w:rsidRPr="00B2646D">
        <w:rPr>
          <w:rFonts w:ascii="Arial" w:hAnsi="Arial" w:cs="Arial"/>
          <w:color w:val="000000" w:themeColor="text1"/>
          <w:sz w:val="20"/>
          <w:szCs w:val="20"/>
          <w:lang w:eastAsia="sl-SI"/>
        </w:rPr>
        <w:t xml:space="preserve"> </w:t>
      </w:r>
      <w:r w:rsidR="00CD4647" w:rsidRPr="00B2646D">
        <w:rPr>
          <w:rFonts w:ascii="Arial" w:hAnsi="Arial" w:cs="Arial"/>
          <w:color w:val="000000" w:themeColor="text1"/>
          <w:sz w:val="20"/>
          <w:szCs w:val="20"/>
          <w:lang w:eastAsia="sl-SI"/>
        </w:rPr>
        <w:t xml:space="preserve">leta </w:t>
      </w:r>
      <w:r w:rsidRPr="00B2646D">
        <w:rPr>
          <w:rFonts w:ascii="Arial" w:hAnsi="Arial" w:cs="Arial"/>
          <w:color w:val="000000" w:themeColor="text1"/>
          <w:sz w:val="20"/>
          <w:szCs w:val="20"/>
          <w:lang w:eastAsia="sl-SI"/>
        </w:rPr>
        <w:t>20</w:t>
      </w:r>
      <w:r w:rsidR="004E56F5" w:rsidRPr="00B2646D">
        <w:rPr>
          <w:rFonts w:ascii="Arial" w:hAnsi="Arial" w:cs="Arial"/>
          <w:color w:val="000000" w:themeColor="text1"/>
          <w:sz w:val="20"/>
          <w:szCs w:val="20"/>
          <w:lang w:eastAsia="sl-SI"/>
        </w:rPr>
        <w:t>2</w:t>
      </w:r>
      <w:r w:rsidR="00B32435" w:rsidRPr="00B2646D">
        <w:rPr>
          <w:rFonts w:ascii="Arial" w:hAnsi="Arial" w:cs="Arial"/>
          <w:color w:val="000000" w:themeColor="text1"/>
          <w:sz w:val="20"/>
          <w:szCs w:val="20"/>
          <w:lang w:eastAsia="sl-SI"/>
        </w:rPr>
        <w:t>3</w:t>
      </w:r>
      <w:r w:rsidRPr="00B2646D">
        <w:rPr>
          <w:rFonts w:ascii="Arial" w:hAnsi="Arial" w:cs="Arial"/>
          <w:color w:val="000000" w:themeColor="text1"/>
          <w:sz w:val="20"/>
          <w:szCs w:val="20"/>
          <w:lang w:eastAsia="sl-SI"/>
        </w:rPr>
        <w:t xml:space="preserve"> oddan</w:t>
      </w:r>
      <w:r w:rsidR="00AE3124" w:rsidRPr="00B2646D">
        <w:rPr>
          <w:rFonts w:ascii="Arial" w:hAnsi="Arial" w:cs="Arial"/>
          <w:color w:val="000000" w:themeColor="text1"/>
          <w:sz w:val="20"/>
          <w:szCs w:val="20"/>
          <w:lang w:eastAsia="sl-SI"/>
        </w:rPr>
        <w:t>a</w:t>
      </w:r>
      <w:r w:rsidRPr="00B2646D">
        <w:rPr>
          <w:rFonts w:ascii="Arial" w:hAnsi="Arial" w:cs="Arial"/>
          <w:color w:val="000000" w:themeColor="text1"/>
          <w:sz w:val="20"/>
          <w:szCs w:val="20"/>
          <w:lang w:eastAsia="sl-SI"/>
        </w:rPr>
        <w:t xml:space="preserve"> tujim ponudnikom. Po vrednosti </w:t>
      </w:r>
      <w:r w:rsidR="00C5601E" w:rsidRPr="00B2646D">
        <w:rPr>
          <w:rFonts w:ascii="Arial" w:hAnsi="Arial" w:cs="Arial"/>
          <w:color w:val="000000" w:themeColor="text1"/>
          <w:sz w:val="20"/>
          <w:szCs w:val="20"/>
          <w:lang w:eastAsia="sl-SI"/>
        </w:rPr>
        <w:t xml:space="preserve">so za </w:t>
      </w:r>
      <w:r w:rsidR="00653914" w:rsidRPr="00B2646D">
        <w:rPr>
          <w:rFonts w:ascii="Arial" w:hAnsi="Arial" w:cs="Arial"/>
          <w:color w:val="000000" w:themeColor="text1"/>
          <w:sz w:val="20"/>
          <w:szCs w:val="20"/>
          <w:lang w:eastAsia="sl-SI"/>
        </w:rPr>
        <w:t>ponudnik</w:t>
      </w:r>
      <w:r w:rsidR="00C5601E" w:rsidRPr="00B2646D">
        <w:rPr>
          <w:rFonts w:ascii="Arial" w:hAnsi="Arial" w:cs="Arial"/>
          <w:color w:val="000000" w:themeColor="text1"/>
          <w:sz w:val="20"/>
          <w:szCs w:val="20"/>
          <w:lang w:eastAsia="sl-SI"/>
        </w:rPr>
        <w:t>i</w:t>
      </w:r>
      <w:r w:rsidR="00653914" w:rsidRPr="00B2646D">
        <w:rPr>
          <w:rFonts w:ascii="Arial" w:hAnsi="Arial" w:cs="Arial"/>
          <w:color w:val="000000" w:themeColor="text1"/>
          <w:sz w:val="20"/>
          <w:szCs w:val="20"/>
          <w:lang w:eastAsia="sl-SI"/>
        </w:rPr>
        <w:t xml:space="preserve"> iz</w:t>
      </w:r>
      <w:r w:rsidR="00BD3B20" w:rsidRPr="00B2646D">
        <w:rPr>
          <w:rFonts w:ascii="Arial" w:hAnsi="Arial" w:cs="Arial"/>
          <w:color w:val="000000" w:themeColor="text1"/>
          <w:sz w:val="20"/>
          <w:szCs w:val="20"/>
          <w:lang w:eastAsia="sl-SI"/>
        </w:rPr>
        <w:t xml:space="preserve"> </w:t>
      </w:r>
      <w:r w:rsidR="00B32435" w:rsidRPr="00B2646D">
        <w:rPr>
          <w:rFonts w:ascii="Arial" w:hAnsi="Arial" w:cs="Arial"/>
          <w:color w:val="000000" w:themeColor="text1"/>
          <w:sz w:val="20"/>
          <w:szCs w:val="20"/>
          <w:lang w:eastAsia="sl-SI"/>
        </w:rPr>
        <w:t>Poljske</w:t>
      </w:r>
      <w:r w:rsidR="004E56F5" w:rsidRPr="00B2646D">
        <w:rPr>
          <w:rFonts w:ascii="Arial" w:hAnsi="Arial" w:cs="Arial"/>
          <w:color w:val="000000" w:themeColor="text1"/>
          <w:sz w:val="20"/>
          <w:szCs w:val="20"/>
          <w:lang w:eastAsia="sl-SI"/>
        </w:rPr>
        <w:t xml:space="preserve"> </w:t>
      </w:r>
      <w:r w:rsidR="00C5601E" w:rsidRPr="00B2646D">
        <w:rPr>
          <w:rFonts w:ascii="Arial" w:hAnsi="Arial" w:cs="Arial"/>
          <w:color w:val="000000" w:themeColor="text1"/>
          <w:sz w:val="20"/>
          <w:szCs w:val="20"/>
          <w:lang w:eastAsia="sl-SI"/>
        </w:rPr>
        <w:t>na drugem mestu</w:t>
      </w:r>
      <w:r w:rsidRPr="00B2646D">
        <w:rPr>
          <w:rFonts w:ascii="Arial" w:hAnsi="Arial" w:cs="Arial"/>
          <w:color w:val="000000" w:themeColor="text1"/>
          <w:sz w:val="20"/>
          <w:szCs w:val="20"/>
          <w:lang w:eastAsia="sl-SI"/>
        </w:rPr>
        <w:t xml:space="preserve"> ponudniki i</w:t>
      </w:r>
      <w:r w:rsidR="004E56F5" w:rsidRPr="00B2646D">
        <w:rPr>
          <w:rFonts w:ascii="Arial" w:hAnsi="Arial" w:cs="Arial"/>
          <w:color w:val="000000" w:themeColor="text1"/>
          <w:sz w:val="20"/>
          <w:szCs w:val="20"/>
          <w:lang w:eastAsia="sl-SI"/>
        </w:rPr>
        <w:t>z</w:t>
      </w:r>
      <w:r w:rsidR="00BD3B20" w:rsidRPr="00B2646D">
        <w:rPr>
          <w:rFonts w:ascii="Arial" w:hAnsi="Arial" w:cs="Arial"/>
          <w:color w:val="000000" w:themeColor="text1"/>
          <w:sz w:val="20"/>
          <w:szCs w:val="20"/>
          <w:lang w:eastAsia="sl-SI"/>
        </w:rPr>
        <w:t xml:space="preserve"> </w:t>
      </w:r>
      <w:r w:rsidR="00B32435" w:rsidRPr="00B2646D">
        <w:rPr>
          <w:rFonts w:ascii="Arial" w:hAnsi="Arial" w:cs="Arial"/>
          <w:color w:val="000000" w:themeColor="text1"/>
          <w:sz w:val="20"/>
          <w:szCs w:val="20"/>
          <w:lang w:eastAsia="sl-SI"/>
        </w:rPr>
        <w:t>Švice</w:t>
      </w:r>
      <w:r w:rsidRPr="00B2646D">
        <w:rPr>
          <w:rFonts w:ascii="Arial" w:hAnsi="Arial" w:cs="Arial"/>
          <w:color w:val="000000" w:themeColor="text1"/>
          <w:sz w:val="20"/>
          <w:szCs w:val="20"/>
          <w:lang w:eastAsia="sl-SI"/>
        </w:rPr>
        <w:t xml:space="preserve">, ki jim je bilo oddanih </w:t>
      </w:r>
      <w:r w:rsidR="00B32435" w:rsidRPr="00B2646D">
        <w:rPr>
          <w:rFonts w:ascii="Arial" w:hAnsi="Arial" w:cs="Arial"/>
          <w:color w:val="000000" w:themeColor="text1"/>
          <w:sz w:val="20"/>
          <w:szCs w:val="20"/>
          <w:lang w:eastAsia="sl-SI"/>
        </w:rPr>
        <w:t>17</w:t>
      </w:r>
      <w:r w:rsidR="00653914" w:rsidRPr="00B2646D">
        <w:rPr>
          <w:rFonts w:ascii="Arial" w:hAnsi="Arial" w:cs="Arial"/>
          <w:color w:val="000000" w:themeColor="text1"/>
          <w:sz w:val="20"/>
          <w:szCs w:val="20"/>
          <w:lang w:eastAsia="sl-SI"/>
        </w:rPr>
        <w:t xml:space="preserve"> naročil</w:t>
      </w:r>
      <w:r w:rsidRPr="00B2646D">
        <w:rPr>
          <w:rFonts w:ascii="Arial" w:hAnsi="Arial" w:cs="Arial"/>
          <w:color w:val="000000" w:themeColor="text1"/>
          <w:sz w:val="20"/>
          <w:szCs w:val="20"/>
          <w:lang w:eastAsia="sl-SI"/>
        </w:rPr>
        <w:t xml:space="preserve"> v vrednosti </w:t>
      </w:r>
      <w:r w:rsidR="00B32435" w:rsidRPr="00B2646D">
        <w:rPr>
          <w:rFonts w:ascii="Arial" w:hAnsi="Arial" w:cs="Arial"/>
          <w:color w:val="000000" w:themeColor="text1"/>
          <w:sz w:val="20"/>
          <w:szCs w:val="20"/>
          <w:lang w:eastAsia="sl-SI"/>
        </w:rPr>
        <w:t xml:space="preserve">40.362.885 </w:t>
      </w:r>
      <w:r w:rsidRPr="00B2646D">
        <w:rPr>
          <w:rFonts w:ascii="Arial" w:hAnsi="Arial" w:cs="Arial"/>
          <w:color w:val="000000" w:themeColor="text1"/>
          <w:sz w:val="20"/>
          <w:szCs w:val="20"/>
          <w:lang w:eastAsia="sl-SI"/>
        </w:rPr>
        <w:t>evrov.</w:t>
      </w:r>
      <w:r w:rsidR="00155413" w:rsidRPr="00B2646D">
        <w:rPr>
          <w:rFonts w:ascii="Arial" w:hAnsi="Arial" w:cs="Arial"/>
          <w:color w:val="000000" w:themeColor="text1"/>
          <w:sz w:val="20"/>
          <w:szCs w:val="20"/>
          <w:lang w:eastAsia="sl-SI"/>
        </w:rPr>
        <w:t xml:space="preserve"> </w:t>
      </w:r>
      <w:r w:rsidR="00C5601E" w:rsidRPr="00B2646D">
        <w:rPr>
          <w:rFonts w:ascii="Arial" w:hAnsi="Arial" w:cs="Arial"/>
          <w:color w:val="000000" w:themeColor="text1"/>
          <w:sz w:val="20"/>
          <w:szCs w:val="20"/>
          <w:lang w:eastAsia="sl-SI"/>
        </w:rPr>
        <w:t>Za</w:t>
      </w:r>
      <w:r w:rsidR="00B32435" w:rsidRPr="00B2646D">
        <w:rPr>
          <w:rFonts w:ascii="Arial" w:hAnsi="Arial" w:cs="Arial"/>
          <w:color w:val="000000" w:themeColor="text1"/>
          <w:sz w:val="20"/>
          <w:szCs w:val="20"/>
          <w:lang w:eastAsia="sl-SI"/>
        </w:rPr>
        <w:t xml:space="preserve"> švicarskimi</w:t>
      </w:r>
      <w:r w:rsidR="004E56F5" w:rsidRPr="00B2646D">
        <w:rPr>
          <w:rFonts w:ascii="Arial" w:hAnsi="Arial" w:cs="Arial"/>
          <w:color w:val="000000" w:themeColor="text1"/>
          <w:sz w:val="20"/>
          <w:szCs w:val="20"/>
          <w:lang w:eastAsia="sl-SI"/>
        </w:rPr>
        <w:t xml:space="preserve"> </w:t>
      </w:r>
      <w:r w:rsidRPr="00B2646D">
        <w:rPr>
          <w:rFonts w:ascii="Arial" w:hAnsi="Arial" w:cs="Arial"/>
          <w:color w:val="000000" w:themeColor="text1"/>
          <w:sz w:val="20"/>
          <w:szCs w:val="20"/>
          <w:lang w:eastAsia="sl-SI"/>
        </w:rPr>
        <w:t>ponudnik</w:t>
      </w:r>
      <w:r w:rsidR="00C5601E" w:rsidRPr="00B2646D">
        <w:rPr>
          <w:rFonts w:ascii="Arial" w:hAnsi="Arial" w:cs="Arial"/>
          <w:color w:val="000000" w:themeColor="text1"/>
          <w:sz w:val="20"/>
          <w:szCs w:val="20"/>
          <w:lang w:eastAsia="sl-SI"/>
        </w:rPr>
        <w:t>i so</w:t>
      </w:r>
      <w:r w:rsidRPr="00B2646D">
        <w:rPr>
          <w:rFonts w:ascii="Arial" w:hAnsi="Arial" w:cs="Arial"/>
          <w:color w:val="000000" w:themeColor="text1"/>
          <w:sz w:val="20"/>
          <w:szCs w:val="20"/>
          <w:lang w:eastAsia="sl-SI"/>
        </w:rPr>
        <w:t xml:space="preserve"> </w:t>
      </w:r>
      <w:r w:rsidR="00653914" w:rsidRPr="00B2646D">
        <w:rPr>
          <w:rFonts w:ascii="Arial" w:hAnsi="Arial" w:cs="Arial"/>
          <w:color w:val="000000" w:themeColor="text1"/>
          <w:sz w:val="20"/>
          <w:szCs w:val="20"/>
          <w:lang w:eastAsia="sl-SI"/>
        </w:rPr>
        <w:t xml:space="preserve">po vrednosti ponudniki iz </w:t>
      </w:r>
      <w:r w:rsidR="00B32435" w:rsidRPr="00B2646D">
        <w:rPr>
          <w:rFonts w:ascii="Arial" w:hAnsi="Arial" w:cs="Arial"/>
          <w:color w:val="000000" w:themeColor="text1"/>
          <w:sz w:val="20"/>
          <w:szCs w:val="20"/>
          <w:lang w:eastAsia="sl-SI"/>
        </w:rPr>
        <w:t>Španije</w:t>
      </w:r>
      <w:r w:rsidR="00653914" w:rsidRPr="00B2646D">
        <w:rPr>
          <w:rFonts w:ascii="Arial" w:hAnsi="Arial" w:cs="Arial"/>
          <w:color w:val="000000" w:themeColor="text1"/>
          <w:sz w:val="20"/>
          <w:szCs w:val="20"/>
          <w:lang w:eastAsia="sl-SI"/>
        </w:rPr>
        <w:t xml:space="preserve">, </w:t>
      </w:r>
      <w:r w:rsidR="00AE3124" w:rsidRPr="00B2646D">
        <w:rPr>
          <w:rFonts w:ascii="Arial" w:hAnsi="Arial" w:cs="Arial"/>
          <w:color w:val="000000" w:themeColor="text1"/>
          <w:sz w:val="20"/>
          <w:szCs w:val="20"/>
          <w:lang w:eastAsia="sl-SI"/>
        </w:rPr>
        <w:t xml:space="preserve">tem </w:t>
      </w:r>
      <w:r w:rsidR="00653914" w:rsidRPr="00B2646D">
        <w:rPr>
          <w:rFonts w:ascii="Arial" w:hAnsi="Arial" w:cs="Arial"/>
          <w:color w:val="000000" w:themeColor="text1"/>
          <w:sz w:val="20"/>
          <w:szCs w:val="20"/>
          <w:lang w:eastAsia="sl-SI"/>
        </w:rPr>
        <w:t>je bilo oddanih</w:t>
      </w:r>
      <w:r w:rsidR="00155413" w:rsidRPr="00B2646D">
        <w:rPr>
          <w:rFonts w:ascii="Arial" w:hAnsi="Arial" w:cs="Arial"/>
          <w:color w:val="000000" w:themeColor="text1"/>
          <w:sz w:val="20"/>
          <w:szCs w:val="20"/>
          <w:lang w:eastAsia="sl-SI"/>
        </w:rPr>
        <w:t xml:space="preserve"> </w:t>
      </w:r>
      <w:r w:rsidR="00B32435" w:rsidRPr="00B2646D">
        <w:rPr>
          <w:rFonts w:ascii="Arial" w:hAnsi="Arial" w:cs="Arial"/>
          <w:color w:val="000000" w:themeColor="text1"/>
          <w:sz w:val="20"/>
          <w:szCs w:val="20"/>
          <w:lang w:eastAsia="sl-SI"/>
        </w:rPr>
        <w:t>17</w:t>
      </w:r>
      <w:r w:rsidR="00653914" w:rsidRPr="00B2646D">
        <w:rPr>
          <w:rFonts w:ascii="Arial" w:hAnsi="Arial" w:cs="Arial"/>
          <w:color w:val="000000" w:themeColor="text1"/>
          <w:sz w:val="20"/>
          <w:szCs w:val="20"/>
          <w:lang w:eastAsia="sl-SI"/>
        </w:rPr>
        <w:t xml:space="preserve"> naročil</w:t>
      </w:r>
      <w:r w:rsidRPr="00B2646D">
        <w:rPr>
          <w:rFonts w:ascii="Arial" w:hAnsi="Arial" w:cs="Arial"/>
          <w:color w:val="000000" w:themeColor="text1"/>
          <w:sz w:val="20"/>
          <w:szCs w:val="20"/>
          <w:lang w:eastAsia="sl-SI"/>
        </w:rPr>
        <w:t xml:space="preserve"> v vrednosti </w:t>
      </w:r>
      <w:r w:rsidR="00B32435" w:rsidRPr="00B2646D">
        <w:rPr>
          <w:rFonts w:ascii="Arial" w:hAnsi="Arial" w:cs="Arial"/>
          <w:color w:val="000000" w:themeColor="text1"/>
          <w:sz w:val="20"/>
          <w:szCs w:val="20"/>
          <w:lang w:eastAsia="sl-SI"/>
        </w:rPr>
        <w:t xml:space="preserve">40.115.019 </w:t>
      </w:r>
      <w:r w:rsidRPr="00B2646D">
        <w:rPr>
          <w:rFonts w:ascii="Arial" w:hAnsi="Arial" w:cs="Arial"/>
          <w:color w:val="000000" w:themeColor="text1"/>
          <w:sz w:val="20"/>
          <w:szCs w:val="20"/>
          <w:lang w:eastAsia="sl-SI"/>
        </w:rPr>
        <w:t>evrov</w:t>
      </w:r>
      <w:r w:rsidR="00653914" w:rsidRPr="00B2646D">
        <w:rPr>
          <w:rFonts w:ascii="Arial" w:hAnsi="Arial" w:cs="Arial"/>
          <w:color w:val="000000" w:themeColor="text1"/>
          <w:sz w:val="20"/>
          <w:szCs w:val="20"/>
          <w:lang w:eastAsia="sl-SI"/>
        </w:rPr>
        <w:t xml:space="preserve">. Ponudnikom iz navedenih treh držav </w:t>
      </w:r>
      <w:r w:rsidR="005D4DB0" w:rsidRPr="00B2646D">
        <w:rPr>
          <w:rFonts w:ascii="Arial" w:hAnsi="Arial" w:cs="Arial"/>
          <w:color w:val="000000" w:themeColor="text1"/>
          <w:sz w:val="20"/>
          <w:szCs w:val="20"/>
          <w:lang w:eastAsia="sl-SI"/>
        </w:rPr>
        <w:t>je</w:t>
      </w:r>
      <w:r w:rsidR="00653914" w:rsidRPr="00B2646D">
        <w:rPr>
          <w:rFonts w:ascii="Arial" w:hAnsi="Arial" w:cs="Arial"/>
          <w:color w:val="000000" w:themeColor="text1"/>
          <w:sz w:val="20"/>
          <w:szCs w:val="20"/>
          <w:lang w:eastAsia="sl-SI"/>
        </w:rPr>
        <w:t xml:space="preserve"> </w:t>
      </w:r>
      <w:r w:rsidR="005D4DB0" w:rsidRPr="00B2646D">
        <w:rPr>
          <w:rFonts w:ascii="Arial" w:hAnsi="Arial" w:cs="Arial"/>
          <w:color w:val="000000" w:themeColor="text1"/>
          <w:sz w:val="20"/>
          <w:szCs w:val="20"/>
          <w:lang w:eastAsia="sl-SI"/>
        </w:rPr>
        <w:t xml:space="preserve">bila po vrednosti </w:t>
      </w:r>
      <w:r w:rsidR="00653914" w:rsidRPr="00B2646D">
        <w:rPr>
          <w:rFonts w:ascii="Arial" w:hAnsi="Arial" w:cs="Arial"/>
          <w:color w:val="000000" w:themeColor="text1"/>
          <w:sz w:val="20"/>
          <w:szCs w:val="20"/>
          <w:lang w:eastAsia="sl-SI"/>
        </w:rPr>
        <w:t xml:space="preserve">oddana </w:t>
      </w:r>
      <w:r w:rsidR="00A478BE" w:rsidRPr="00B2646D">
        <w:rPr>
          <w:rFonts w:ascii="Arial" w:hAnsi="Arial" w:cs="Arial"/>
          <w:color w:val="000000" w:themeColor="text1"/>
          <w:sz w:val="20"/>
          <w:szCs w:val="20"/>
          <w:lang w:eastAsia="sl-SI"/>
        </w:rPr>
        <w:t>slaba</w:t>
      </w:r>
      <w:r w:rsidR="00653914" w:rsidRPr="00B2646D">
        <w:rPr>
          <w:rFonts w:ascii="Arial" w:hAnsi="Arial" w:cs="Arial"/>
          <w:color w:val="000000" w:themeColor="text1"/>
          <w:sz w:val="20"/>
          <w:szCs w:val="20"/>
          <w:lang w:eastAsia="sl-SI"/>
        </w:rPr>
        <w:t xml:space="preserve"> polovica</w:t>
      </w:r>
      <w:r w:rsidR="004A67FB" w:rsidRPr="00B2646D">
        <w:rPr>
          <w:rFonts w:ascii="Arial" w:hAnsi="Arial" w:cs="Arial"/>
          <w:color w:val="000000" w:themeColor="text1"/>
          <w:sz w:val="20"/>
          <w:szCs w:val="20"/>
          <w:lang w:eastAsia="sl-SI"/>
        </w:rPr>
        <w:t xml:space="preserve"> vseh</w:t>
      </w:r>
      <w:r w:rsidR="00653914" w:rsidRPr="00B2646D">
        <w:rPr>
          <w:rFonts w:ascii="Arial" w:hAnsi="Arial" w:cs="Arial"/>
          <w:color w:val="000000" w:themeColor="text1"/>
          <w:sz w:val="20"/>
          <w:szCs w:val="20"/>
          <w:lang w:eastAsia="sl-SI"/>
        </w:rPr>
        <w:t xml:space="preserve"> naročil</w:t>
      </w:r>
      <w:r w:rsidR="005D4DB0" w:rsidRPr="00B2646D">
        <w:rPr>
          <w:rFonts w:ascii="Arial" w:hAnsi="Arial" w:cs="Arial"/>
          <w:color w:val="000000" w:themeColor="text1"/>
          <w:sz w:val="20"/>
          <w:szCs w:val="20"/>
          <w:lang w:eastAsia="sl-SI"/>
        </w:rPr>
        <w:t>, oddan</w:t>
      </w:r>
      <w:r w:rsidR="00DB6B1C" w:rsidRPr="00B2646D">
        <w:rPr>
          <w:rFonts w:ascii="Arial" w:hAnsi="Arial" w:cs="Arial"/>
          <w:color w:val="000000" w:themeColor="text1"/>
          <w:sz w:val="20"/>
          <w:szCs w:val="20"/>
          <w:lang w:eastAsia="sl-SI"/>
        </w:rPr>
        <w:t>ih</w:t>
      </w:r>
      <w:r w:rsidR="005D4DB0" w:rsidRPr="00B2646D">
        <w:rPr>
          <w:rFonts w:ascii="Arial" w:hAnsi="Arial" w:cs="Arial"/>
          <w:color w:val="000000" w:themeColor="text1"/>
          <w:sz w:val="20"/>
          <w:szCs w:val="20"/>
          <w:lang w:eastAsia="sl-SI"/>
        </w:rPr>
        <w:t xml:space="preserve"> tujim ponudnikom.</w:t>
      </w:r>
      <w:r w:rsidR="00653914" w:rsidRPr="00B2646D">
        <w:rPr>
          <w:rFonts w:ascii="Arial" w:hAnsi="Arial" w:cs="Arial"/>
          <w:color w:val="000000" w:themeColor="text1"/>
          <w:sz w:val="20"/>
          <w:szCs w:val="20"/>
          <w:lang w:eastAsia="sl-SI"/>
        </w:rPr>
        <w:t xml:space="preserve"> </w:t>
      </w:r>
    </w:p>
    <w:p w14:paraId="033F7CAC" w14:textId="77777777" w:rsidR="0096639E" w:rsidRPr="00637ACF" w:rsidRDefault="0096639E">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1C7E31D8" w14:textId="6BFA0513" w:rsidR="00203977" w:rsidRPr="00B2646D" w:rsidRDefault="00203977" w:rsidP="008A61FD">
      <w:pPr>
        <w:spacing w:before="120" w:after="120" w:line="240" w:lineRule="auto"/>
        <w:jc w:val="both"/>
        <w:rPr>
          <w:rFonts w:ascii="Arial" w:hAnsi="Arial" w:cs="Arial"/>
          <w:color w:val="000000" w:themeColor="text1"/>
          <w:sz w:val="20"/>
        </w:rPr>
      </w:pPr>
      <w:r w:rsidRPr="00B2646D">
        <w:rPr>
          <w:rFonts w:ascii="Arial" w:hAnsi="Arial" w:cs="Arial"/>
          <w:color w:val="000000" w:themeColor="text1"/>
          <w:sz w:val="20"/>
        </w:rPr>
        <w:lastRenderedPageBreak/>
        <w:t xml:space="preserve">Graf </w:t>
      </w:r>
      <w:r w:rsidR="002B1D8E" w:rsidRPr="00B2646D">
        <w:rPr>
          <w:rFonts w:ascii="Arial" w:hAnsi="Arial" w:cs="Arial"/>
          <w:color w:val="000000" w:themeColor="text1"/>
          <w:sz w:val="20"/>
        </w:rPr>
        <w:t>6</w:t>
      </w:r>
      <w:r w:rsidRPr="00B2646D">
        <w:rPr>
          <w:rFonts w:ascii="Arial" w:hAnsi="Arial" w:cs="Arial"/>
          <w:color w:val="000000" w:themeColor="text1"/>
          <w:sz w:val="20"/>
        </w:rPr>
        <w:t>: Delež tujih ponudnikov glede na vrednost vseh oddanih javnih naročil</w:t>
      </w:r>
      <w:r w:rsidR="00C77DD6" w:rsidRPr="00B2646D">
        <w:rPr>
          <w:rFonts w:ascii="Arial" w:hAnsi="Arial" w:cs="Arial"/>
          <w:color w:val="000000" w:themeColor="text1"/>
          <w:sz w:val="20"/>
        </w:rPr>
        <w:t xml:space="preserve"> </w:t>
      </w:r>
    </w:p>
    <w:p w14:paraId="43DC76B6" w14:textId="3E07CBC1" w:rsidR="00040E09" w:rsidRPr="00B2646D" w:rsidRDefault="00040E09" w:rsidP="00040E09">
      <w:pPr>
        <w:spacing w:after="240" w:line="240" w:lineRule="auto"/>
        <w:jc w:val="center"/>
        <w:rPr>
          <w:rFonts w:ascii="Arial" w:hAnsi="Arial" w:cs="Arial"/>
          <w:color w:val="000000" w:themeColor="text1"/>
          <w:sz w:val="18"/>
        </w:rPr>
      </w:pPr>
      <w:r w:rsidRPr="00B2646D">
        <w:rPr>
          <w:noProof/>
          <w:color w:val="000000" w:themeColor="text1"/>
          <w:lang w:eastAsia="sl-SI"/>
        </w:rPr>
        <w:drawing>
          <wp:inline distT="0" distB="0" distL="0" distR="0" wp14:anchorId="4C208E65" wp14:editId="60C18FF9">
            <wp:extent cx="4267053" cy="3510951"/>
            <wp:effectExtent l="0" t="0" r="635" b="0"/>
            <wp:docPr id="1" name="Slika 1" descr="Graf prikazuje delež vrednosti oddanih naročil po državah, iz katerih prihajajo ponudniki, katerim je bilo oddano javno naročilo v letu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af prikazuje delež vrednosti oddanih naročil po državah, iz katerih prihajajo ponudniki, katerim je bilo oddano javno naročilo v letu 2023"/>
                    <pic:cNvPicPr/>
                  </pic:nvPicPr>
                  <pic:blipFill rotWithShape="1">
                    <a:blip r:embed="rId14"/>
                    <a:srcRect r="1486"/>
                    <a:stretch/>
                  </pic:blipFill>
                  <pic:spPr bwMode="auto">
                    <a:xfrm>
                      <a:off x="0" y="0"/>
                      <a:ext cx="4330407" cy="3563079"/>
                    </a:xfrm>
                    <a:prstGeom prst="rect">
                      <a:avLst/>
                    </a:prstGeom>
                    <a:ln>
                      <a:noFill/>
                    </a:ln>
                    <a:extLst>
                      <a:ext uri="{53640926-AAD7-44D8-BBD7-CCE9431645EC}">
                        <a14:shadowObscured xmlns:a14="http://schemas.microsoft.com/office/drawing/2010/main"/>
                      </a:ext>
                    </a:extLst>
                  </pic:spPr>
                </pic:pic>
              </a:graphicData>
            </a:graphic>
          </wp:inline>
        </w:drawing>
      </w:r>
    </w:p>
    <w:p w14:paraId="179F0E3F" w14:textId="1368FB2E" w:rsidR="00203977" w:rsidRPr="00B2646D" w:rsidRDefault="00203977" w:rsidP="007D2A53">
      <w:pPr>
        <w:spacing w:after="240" w:line="240" w:lineRule="auto"/>
        <w:jc w:val="center"/>
        <w:rPr>
          <w:rFonts w:ascii="Arial" w:hAnsi="Arial" w:cs="Arial"/>
          <w:color w:val="000000" w:themeColor="text1"/>
          <w:sz w:val="18"/>
        </w:rPr>
      </w:pPr>
      <w:r w:rsidRPr="00B2646D">
        <w:rPr>
          <w:rFonts w:ascii="Arial" w:hAnsi="Arial" w:cs="Arial"/>
          <w:color w:val="000000" w:themeColor="text1"/>
          <w:sz w:val="18"/>
        </w:rPr>
        <w:t>Vir: Statistični podatki o javnih naročilih, oddanih v letu 20</w:t>
      </w:r>
      <w:r w:rsidR="004E56F5" w:rsidRPr="00B2646D">
        <w:rPr>
          <w:rFonts w:ascii="Arial" w:hAnsi="Arial" w:cs="Arial"/>
          <w:color w:val="000000" w:themeColor="text1"/>
          <w:sz w:val="18"/>
        </w:rPr>
        <w:t>2</w:t>
      </w:r>
      <w:r w:rsidR="00040E09" w:rsidRPr="00B2646D">
        <w:rPr>
          <w:rFonts w:ascii="Arial" w:hAnsi="Arial" w:cs="Arial"/>
          <w:color w:val="000000" w:themeColor="text1"/>
          <w:sz w:val="18"/>
        </w:rPr>
        <w:t>3</w:t>
      </w:r>
      <w:r w:rsidR="00862C47" w:rsidRPr="00B2646D">
        <w:rPr>
          <w:rFonts w:ascii="Arial" w:hAnsi="Arial" w:cs="Arial"/>
          <w:color w:val="000000" w:themeColor="text1"/>
          <w:sz w:val="18"/>
        </w:rPr>
        <w:t>.</w:t>
      </w:r>
    </w:p>
    <w:p w14:paraId="04A13AB6" w14:textId="49E91C59" w:rsidR="00203977" w:rsidRPr="00B2646D" w:rsidRDefault="00203977" w:rsidP="00203977">
      <w:pPr>
        <w:spacing w:line="360" w:lineRule="auto"/>
        <w:jc w:val="both"/>
        <w:rPr>
          <w:rFonts w:ascii="Arial" w:hAnsi="Arial" w:cs="Arial"/>
          <w:color w:val="000000" w:themeColor="text1"/>
          <w:sz w:val="20"/>
          <w:szCs w:val="20"/>
          <w:lang w:eastAsia="sl-SI"/>
        </w:rPr>
      </w:pPr>
      <w:r w:rsidRPr="00B2646D">
        <w:rPr>
          <w:rFonts w:ascii="Arial" w:hAnsi="Arial" w:cs="Arial"/>
          <w:color w:val="000000" w:themeColor="text1"/>
          <w:sz w:val="20"/>
          <w:szCs w:val="20"/>
          <w:lang w:eastAsia="sl-SI"/>
        </w:rPr>
        <w:t>Naročnik</w:t>
      </w:r>
      <w:r w:rsidR="00826F93" w:rsidRPr="00B2646D">
        <w:rPr>
          <w:rFonts w:ascii="Arial" w:hAnsi="Arial" w:cs="Arial"/>
          <w:color w:val="000000" w:themeColor="text1"/>
          <w:sz w:val="20"/>
          <w:szCs w:val="20"/>
          <w:lang w:eastAsia="sl-SI"/>
        </w:rPr>
        <w:t xml:space="preserve">i so tujim ponudnikom oddali </w:t>
      </w:r>
      <w:r w:rsidR="00175821" w:rsidRPr="00B2646D">
        <w:rPr>
          <w:rFonts w:ascii="Arial" w:hAnsi="Arial" w:cs="Arial"/>
          <w:color w:val="000000" w:themeColor="text1"/>
          <w:sz w:val="20"/>
          <w:szCs w:val="20"/>
          <w:lang w:eastAsia="sl-SI"/>
        </w:rPr>
        <w:t>4</w:t>
      </w:r>
      <w:r w:rsidR="005B11D0" w:rsidRPr="00B2646D">
        <w:rPr>
          <w:rFonts w:ascii="Arial" w:hAnsi="Arial" w:cs="Arial"/>
          <w:color w:val="000000" w:themeColor="text1"/>
          <w:sz w:val="20"/>
          <w:szCs w:val="20"/>
          <w:lang w:eastAsia="sl-SI"/>
        </w:rPr>
        <w:t>8</w:t>
      </w:r>
      <w:r w:rsidR="001D159E" w:rsidRPr="00B2646D">
        <w:rPr>
          <w:rFonts w:ascii="Arial" w:hAnsi="Arial" w:cs="Arial"/>
          <w:color w:val="000000" w:themeColor="text1"/>
          <w:sz w:val="20"/>
          <w:szCs w:val="20"/>
          <w:lang w:eastAsia="sl-SI"/>
        </w:rPr>
        <w:t>4</w:t>
      </w:r>
      <w:r w:rsidR="00175821" w:rsidRPr="00B2646D">
        <w:rPr>
          <w:rFonts w:ascii="Arial" w:hAnsi="Arial" w:cs="Arial"/>
          <w:color w:val="000000" w:themeColor="text1"/>
          <w:sz w:val="20"/>
          <w:szCs w:val="20"/>
          <w:lang w:eastAsia="sl-SI"/>
        </w:rPr>
        <w:t xml:space="preserve"> na</w:t>
      </w:r>
      <w:r w:rsidR="00653914" w:rsidRPr="00B2646D">
        <w:rPr>
          <w:rFonts w:ascii="Arial" w:hAnsi="Arial" w:cs="Arial"/>
          <w:color w:val="000000" w:themeColor="text1"/>
          <w:sz w:val="20"/>
          <w:szCs w:val="20"/>
          <w:lang w:eastAsia="sl-SI"/>
        </w:rPr>
        <w:t>ročil</w:t>
      </w:r>
      <w:r w:rsidRPr="00B2646D">
        <w:rPr>
          <w:rFonts w:ascii="Arial" w:hAnsi="Arial" w:cs="Arial"/>
          <w:color w:val="000000" w:themeColor="text1"/>
          <w:sz w:val="20"/>
          <w:szCs w:val="20"/>
          <w:lang w:eastAsia="sl-SI"/>
        </w:rPr>
        <w:t xml:space="preserve"> v vrednosti </w:t>
      </w:r>
      <w:r w:rsidR="005B11D0" w:rsidRPr="00B2646D">
        <w:rPr>
          <w:rFonts w:ascii="Arial" w:hAnsi="Arial" w:cs="Arial"/>
          <w:color w:val="000000" w:themeColor="text1"/>
          <w:sz w:val="20"/>
          <w:szCs w:val="20"/>
          <w:lang w:eastAsia="sl-SI"/>
        </w:rPr>
        <w:t xml:space="preserve">468.316.945 </w:t>
      </w:r>
      <w:r w:rsidRPr="00B2646D">
        <w:rPr>
          <w:rFonts w:ascii="Arial" w:hAnsi="Arial" w:cs="Arial"/>
          <w:color w:val="000000" w:themeColor="text1"/>
          <w:sz w:val="20"/>
          <w:szCs w:val="20"/>
          <w:lang w:eastAsia="sl-SI"/>
        </w:rPr>
        <w:t xml:space="preserve">evrov. Največ </w:t>
      </w:r>
      <w:r w:rsidR="004A67FB" w:rsidRPr="00B2646D">
        <w:rPr>
          <w:rFonts w:ascii="Arial" w:hAnsi="Arial" w:cs="Arial"/>
          <w:color w:val="000000" w:themeColor="text1"/>
          <w:sz w:val="20"/>
          <w:szCs w:val="20"/>
          <w:lang w:eastAsia="sl-SI"/>
        </w:rPr>
        <w:t>naročil so</w:t>
      </w:r>
      <w:r w:rsidR="00B417B3" w:rsidRPr="00B2646D">
        <w:rPr>
          <w:rFonts w:ascii="Arial" w:hAnsi="Arial" w:cs="Arial"/>
          <w:color w:val="000000" w:themeColor="text1"/>
          <w:sz w:val="20"/>
          <w:szCs w:val="20"/>
          <w:lang w:eastAsia="sl-SI"/>
        </w:rPr>
        <w:t xml:space="preserve"> </w:t>
      </w:r>
      <w:r w:rsidRPr="00B2646D">
        <w:rPr>
          <w:rFonts w:ascii="Arial" w:hAnsi="Arial" w:cs="Arial"/>
          <w:color w:val="000000" w:themeColor="text1"/>
          <w:sz w:val="20"/>
          <w:szCs w:val="20"/>
          <w:lang w:eastAsia="sl-SI"/>
        </w:rPr>
        <w:t>tujim ponudnikom oddali naročniki iz osrednjeslovenske regije, in sicer</w:t>
      </w:r>
      <w:r w:rsidR="00826F93" w:rsidRPr="00B2646D">
        <w:rPr>
          <w:rFonts w:ascii="Arial" w:hAnsi="Arial" w:cs="Arial"/>
          <w:color w:val="000000" w:themeColor="text1"/>
          <w:sz w:val="20"/>
          <w:szCs w:val="20"/>
          <w:lang w:eastAsia="sl-SI"/>
        </w:rPr>
        <w:t xml:space="preserve"> </w:t>
      </w:r>
      <w:r w:rsidR="00175821" w:rsidRPr="00B2646D">
        <w:rPr>
          <w:rFonts w:ascii="Arial" w:hAnsi="Arial" w:cs="Arial"/>
          <w:color w:val="000000" w:themeColor="text1"/>
          <w:sz w:val="20"/>
          <w:szCs w:val="20"/>
          <w:lang w:eastAsia="sl-SI"/>
        </w:rPr>
        <w:t>2</w:t>
      </w:r>
      <w:r w:rsidR="005B11D0" w:rsidRPr="00B2646D">
        <w:rPr>
          <w:rFonts w:ascii="Arial" w:hAnsi="Arial" w:cs="Arial"/>
          <w:color w:val="000000" w:themeColor="text1"/>
          <w:sz w:val="20"/>
          <w:szCs w:val="20"/>
          <w:lang w:eastAsia="sl-SI"/>
        </w:rPr>
        <w:t>0</w:t>
      </w:r>
      <w:r w:rsidR="001D159E" w:rsidRPr="00B2646D">
        <w:rPr>
          <w:rFonts w:ascii="Arial" w:hAnsi="Arial" w:cs="Arial"/>
          <w:color w:val="000000" w:themeColor="text1"/>
          <w:sz w:val="20"/>
          <w:szCs w:val="20"/>
          <w:lang w:eastAsia="sl-SI"/>
        </w:rPr>
        <w:t>9</w:t>
      </w:r>
      <w:r w:rsidRPr="00B2646D">
        <w:rPr>
          <w:rFonts w:ascii="Arial" w:hAnsi="Arial" w:cs="Arial"/>
          <w:color w:val="000000" w:themeColor="text1"/>
          <w:sz w:val="20"/>
          <w:szCs w:val="20"/>
          <w:lang w:eastAsia="sl-SI"/>
        </w:rPr>
        <w:t>. Tuj</w:t>
      </w:r>
      <w:r w:rsidR="00826F93" w:rsidRPr="00B2646D">
        <w:rPr>
          <w:rFonts w:ascii="Arial" w:hAnsi="Arial" w:cs="Arial"/>
          <w:color w:val="000000" w:themeColor="text1"/>
          <w:sz w:val="20"/>
          <w:szCs w:val="20"/>
          <w:lang w:eastAsia="sl-SI"/>
        </w:rPr>
        <w:t xml:space="preserve">im ponudnikom so naročniki iz </w:t>
      </w:r>
      <w:r w:rsidR="00E500EF" w:rsidRPr="00B2646D">
        <w:rPr>
          <w:rFonts w:ascii="Arial" w:hAnsi="Arial" w:cs="Arial"/>
          <w:color w:val="000000" w:themeColor="text1"/>
          <w:sz w:val="20"/>
          <w:szCs w:val="20"/>
          <w:lang w:eastAsia="sl-SI"/>
        </w:rPr>
        <w:t>osrednjeslovenske</w:t>
      </w:r>
      <w:r w:rsidRPr="00B2646D">
        <w:rPr>
          <w:rFonts w:ascii="Arial" w:hAnsi="Arial" w:cs="Arial"/>
          <w:color w:val="000000" w:themeColor="text1"/>
          <w:sz w:val="20"/>
          <w:szCs w:val="20"/>
          <w:lang w:eastAsia="sl-SI"/>
        </w:rPr>
        <w:t xml:space="preserve"> regije oddali </w:t>
      </w:r>
      <w:r w:rsidR="00653914" w:rsidRPr="00B2646D">
        <w:rPr>
          <w:rFonts w:ascii="Arial" w:hAnsi="Arial" w:cs="Arial"/>
          <w:color w:val="000000" w:themeColor="text1"/>
          <w:sz w:val="20"/>
          <w:szCs w:val="20"/>
          <w:lang w:eastAsia="sl-SI"/>
        </w:rPr>
        <w:t>naročila v</w:t>
      </w:r>
      <w:r w:rsidRPr="00B2646D">
        <w:rPr>
          <w:rFonts w:ascii="Arial" w:hAnsi="Arial" w:cs="Arial"/>
          <w:color w:val="000000" w:themeColor="text1"/>
          <w:sz w:val="20"/>
          <w:szCs w:val="20"/>
          <w:lang w:eastAsia="sl-SI"/>
        </w:rPr>
        <w:t xml:space="preserve"> največji </w:t>
      </w:r>
      <w:r w:rsidR="004A67FB" w:rsidRPr="00B2646D">
        <w:rPr>
          <w:rFonts w:ascii="Arial" w:hAnsi="Arial" w:cs="Arial"/>
          <w:color w:val="000000" w:themeColor="text1"/>
          <w:sz w:val="20"/>
          <w:szCs w:val="20"/>
          <w:lang w:eastAsia="sl-SI"/>
        </w:rPr>
        <w:t xml:space="preserve">skupni </w:t>
      </w:r>
      <w:r w:rsidRPr="00B2646D">
        <w:rPr>
          <w:rFonts w:ascii="Arial" w:hAnsi="Arial" w:cs="Arial"/>
          <w:color w:val="000000" w:themeColor="text1"/>
          <w:sz w:val="20"/>
          <w:szCs w:val="20"/>
          <w:lang w:eastAsia="sl-SI"/>
        </w:rPr>
        <w:t xml:space="preserve">vrednosti, in sicer za </w:t>
      </w:r>
      <w:r w:rsidR="005B11D0" w:rsidRPr="00B2646D">
        <w:rPr>
          <w:rFonts w:ascii="Arial" w:hAnsi="Arial" w:cs="Arial"/>
          <w:color w:val="000000" w:themeColor="text1"/>
          <w:sz w:val="20"/>
          <w:szCs w:val="20"/>
          <w:lang w:eastAsia="sl-SI"/>
        </w:rPr>
        <w:t xml:space="preserve">341.531.844 </w:t>
      </w:r>
      <w:r w:rsidRPr="00B2646D">
        <w:rPr>
          <w:rFonts w:ascii="Arial" w:hAnsi="Arial" w:cs="Arial"/>
          <w:color w:val="000000" w:themeColor="text1"/>
          <w:sz w:val="20"/>
          <w:szCs w:val="20"/>
          <w:lang w:eastAsia="sl-SI"/>
        </w:rPr>
        <w:t xml:space="preserve">evrov. V deležu števila vseh oddanih </w:t>
      </w:r>
      <w:r w:rsidR="00653914" w:rsidRPr="00B2646D">
        <w:rPr>
          <w:rFonts w:ascii="Arial" w:hAnsi="Arial" w:cs="Arial"/>
          <w:color w:val="000000" w:themeColor="text1"/>
          <w:sz w:val="20"/>
          <w:szCs w:val="20"/>
          <w:lang w:eastAsia="sl-SI"/>
        </w:rPr>
        <w:t>naročil</w:t>
      </w:r>
      <w:r w:rsidRPr="00B2646D">
        <w:rPr>
          <w:rFonts w:ascii="Arial" w:hAnsi="Arial" w:cs="Arial"/>
          <w:color w:val="000000" w:themeColor="text1"/>
          <w:sz w:val="20"/>
          <w:szCs w:val="20"/>
          <w:lang w:eastAsia="sl-SI"/>
        </w:rPr>
        <w:t xml:space="preserve"> tujim ponudnikom so </w:t>
      </w:r>
      <w:r w:rsidR="005B11D0" w:rsidRPr="00B2646D">
        <w:rPr>
          <w:rFonts w:ascii="Arial" w:hAnsi="Arial" w:cs="Arial"/>
          <w:color w:val="000000" w:themeColor="text1"/>
          <w:sz w:val="20"/>
          <w:szCs w:val="20"/>
          <w:lang w:eastAsia="sl-SI"/>
        </w:rPr>
        <w:t>naročniki</w:t>
      </w:r>
      <w:r w:rsidRPr="00B2646D">
        <w:rPr>
          <w:rFonts w:ascii="Arial" w:hAnsi="Arial" w:cs="Arial"/>
          <w:color w:val="000000" w:themeColor="text1"/>
          <w:sz w:val="20"/>
          <w:szCs w:val="20"/>
          <w:lang w:eastAsia="sl-SI"/>
        </w:rPr>
        <w:t xml:space="preserve"> iz </w:t>
      </w:r>
      <w:r w:rsidR="00653914" w:rsidRPr="00B2646D">
        <w:rPr>
          <w:rFonts w:ascii="Arial" w:hAnsi="Arial" w:cs="Arial"/>
          <w:color w:val="000000" w:themeColor="text1"/>
          <w:sz w:val="20"/>
          <w:szCs w:val="20"/>
          <w:lang w:eastAsia="sl-SI"/>
        </w:rPr>
        <w:t>te regije</w:t>
      </w:r>
      <w:r w:rsidRPr="00B2646D">
        <w:rPr>
          <w:rFonts w:ascii="Arial" w:hAnsi="Arial" w:cs="Arial"/>
          <w:color w:val="000000" w:themeColor="text1"/>
          <w:sz w:val="20"/>
          <w:szCs w:val="20"/>
          <w:lang w:eastAsia="sl-SI"/>
        </w:rPr>
        <w:t xml:space="preserve"> oddali </w:t>
      </w:r>
      <w:r w:rsidR="005B11D0" w:rsidRPr="00B2646D">
        <w:rPr>
          <w:rFonts w:ascii="Arial" w:hAnsi="Arial" w:cs="Arial"/>
          <w:color w:val="000000" w:themeColor="text1"/>
          <w:sz w:val="20"/>
          <w:szCs w:val="20"/>
          <w:lang w:eastAsia="sl-SI"/>
        </w:rPr>
        <w:t>slabo</w:t>
      </w:r>
      <w:r w:rsidRPr="00B2646D">
        <w:rPr>
          <w:rFonts w:ascii="Arial" w:hAnsi="Arial" w:cs="Arial"/>
          <w:color w:val="000000" w:themeColor="text1"/>
          <w:sz w:val="20"/>
          <w:szCs w:val="20"/>
          <w:lang w:eastAsia="sl-SI"/>
        </w:rPr>
        <w:t xml:space="preserve"> </w:t>
      </w:r>
      <w:r w:rsidR="00A52CFD" w:rsidRPr="00B2646D">
        <w:rPr>
          <w:rFonts w:ascii="Arial" w:hAnsi="Arial" w:cs="Arial"/>
          <w:color w:val="000000" w:themeColor="text1"/>
          <w:sz w:val="20"/>
          <w:szCs w:val="20"/>
          <w:lang w:eastAsia="sl-SI"/>
        </w:rPr>
        <w:t>polovico</w:t>
      </w:r>
      <w:r w:rsidR="00653914" w:rsidRPr="00B2646D">
        <w:rPr>
          <w:rFonts w:ascii="Arial" w:hAnsi="Arial" w:cs="Arial"/>
          <w:color w:val="000000" w:themeColor="text1"/>
          <w:sz w:val="20"/>
          <w:szCs w:val="20"/>
          <w:lang w:eastAsia="sl-SI"/>
        </w:rPr>
        <w:t xml:space="preserve">, po vrednosti pa </w:t>
      </w:r>
      <w:r w:rsidR="006535C1" w:rsidRPr="00B2646D">
        <w:rPr>
          <w:rFonts w:ascii="Arial" w:hAnsi="Arial" w:cs="Arial"/>
          <w:color w:val="000000" w:themeColor="text1"/>
          <w:sz w:val="20"/>
          <w:szCs w:val="20"/>
          <w:lang w:eastAsia="sl-SI"/>
        </w:rPr>
        <w:t>slabe tri četrtine</w:t>
      </w:r>
      <w:r w:rsidR="001D159E" w:rsidRPr="00B2646D">
        <w:rPr>
          <w:rFonts w:ascii="Arial" w:hAnsi="Arial" w:cs="Arial"/>
          <w:color w:val="000000" w:themeColor="text1"/>
          <w:sz w:val="20"/>
          <w:szCs w:val="20"/>
          <w:lang w:eastAsia="sl-SI"/>
        </w:rPr>
        <w:t xml:space="preserve"> </w:t>
      </w:r>
      <w:r w:rsidR="00653914" w:rsidRPr="00B2646D">
        <w:rPr>
          <w:rFonts w:ascii="Arial" w:hAnsi="Arial" w:cs="Arial"/>
          <w:color w:val="000000" w:themeColor="text1"/>
          <w:sz w:val="20"/>
          <w:szCs w:val="20"/>
          <w:lang w:eastAsia="sl-SI"/>
        </w:rPr>
        <w:t>vseh naročil.</w:t>
      </w:r>
      <w:r w:rsidRPr="00B2646D">
        <w:rPr>
          <w:rFonts w:ascii="Arial" w:hAnsi="Arial" w:cs="Arial"/>
          <w:color w:val="000000" w:themeColor="text1"/>
          <w:sz w:val="20"/>
          <w:szCs w:val="20"/>
          <w:lang w:eastAsia="sl-SI"/>
        </w:rPr>
        <w:t xml:space="preserve"> </w:t>
      </w:r>
    </w:p>
    <w:p w14:paraId="79BC4E90" w14:textId="393FCD1E" w:rsidR="006A0A09" w:rsidRPr="00B2646D" w:rsidRDefault="006A0A09" w:rsidP="001C08E5">
      <w:pPr>
        <w:rPr>
          <w:rFonts w:ascii="Arial" w:hAnsi="Arial" w:cs="Arial"/>
          <w:color w:val="000000" w:themeColor="text1"/>
          <w:sz w:val="20"/>
        </w:rPr>
      </w:pPr>
      <w:r w:rsidRPr="00B2646D">
        <w:rPr>
          <w:rFonts w:ascii="Arial" w:hAnsi="Arial" w:cs="Arial"/>
          <w:color w:val="000000" w:themeColor="text1"/>
          <w:sz w:val="20"/>
        </w:rPr>
        <w:t xml:space="preserve">Preglednica </w:t>
      </w:r>
      <w:r w:rsidR="00512F52" w:rsidRPr="00B2646D">
        <w:rPr>
          <w:rFonts w:ascii="Arial" w:hAnsi="Arial" w:cs="Arial"/>
          <w:color w:val="000000" w:themeColor="text1"/>
          <w:sz w:val="20"/>
        </w:rPr>
        <w:t>3</w:t>
      </w:r>
      <w:r w:rsidR="00EA747F" w:rsidRPr="00B2646D">
        <w:rPr>
          <w:rFonts w:ascii="Arial" w:hAnsi="Arial" w:cs="Arial"/>
          <w:color w:val="000000" w:themeColor="text1"/>
          <w:sz w:val="20"/>
        </w:rPr>
        <w:t>6</w:t>
      </w:r>
      <w:r w:rsidRPr="00B2646D">
        <w:rPr>
          <w:rFonts w:ascii="Arial" w:hAnsi="Arial" w:cs="Arial"/>
          <w:color w:val="000000" w:themeColor="text1"/>
          <w:sz w:val="20"/>
        </w:rPr>
        <w:t>: Uspešnost tujih ponudnikov glede na regijo naročnika</w:t>
      </w:r>
    </w:p>
    <w:tbl>
      <w:tblPr>
        <w:tblW w:w="5000" w:type="pct"/>
        <w:jc w:val="center"/>
        <w:tblCellMar>
          <w:left w:w="70" w:type="dxa"/>
          <w:right w:w="70" w:type="dxa"/>
        </w:tblCellMar>
        <w:tblLook w:val="04A0" w:firstRow="1" w:lastRow="0" w:firstColumn="1" w:lastColumn="0" w:noHBand="0" w:noVBand="1"/>
      </w:tblPr>
      <w:tblGrid>
        <w:gridCol w:w="2562"/>
        <w:gridCol w:w="1262"/>
        <w:gridCol w:w="1842"/>
        <w:gridCol w:w="1653"/>
        <w:gridCol w:w="1855"/>
      </w:tblGrid>
      <w:tr w:rsidR="008C26BB" w:rsidRPr="00B2646D" w14:paraId="0723B388" w14:textId="77777777" w:rsidTr="008C26BB">
        <w:trPr>
          <w:trHeight w:val="480"/>
          <w:jc w:val="center"/>
        </w:trPr>
        <w:tc>
          <w:tcPr>
            <w:tcW w:w="139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1F1AC29" w14:textId="77777777" w:rsidR="005F125A" w:rsidRPr="00B2646D" w:rsidRDefault="005F125A" w:rsidP="005F125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Regija naročnika</w:t>
            </w:r>
          </w:p>
        </w:tc>
        <w:tc>
          <w:tcPr>
            <w:tcW w:w="688" w:type="pct"/>
            <w:tcBorders>
              <w:top w:val="single" w:sz="4" w:space="0" w:color="auto"/>
              <w:left w:val="nil"/>
              <w:bottom w:val="single" w:sz="4" w:space="0" w:color="auto"/>
              <w:right w:val="single" w:sz="4" w:space="0" w:color="auto"/>
            </w:tcBorders>
            <w:shd w:val="clear" w:color="000000" w:fill="F2F2F2"/>
            <w:vAlign w:val="center"/>
            <w:hideMark/>
          </w:tcPr>
          <w:p w14:paraId="1F6669F4" w14:textId="77777777" w:rsidR="005F125A" w:rsidRPr="00B2646D" w:rsidRDefault="005F125A" w:rsidP="005F125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Št. naročil</w:t>
            </w:r>
          </w:p>
        </w:tc>
        <w:tc>
          <w:tcPr>
            <w:tcW w:w="1004" w:type="pct"/>
            <w:tcBorders>
              <w:top w:val="single" w:sz="4" w:space="0" w:color="auto"/>
              <w:left w:val="nil"/>
              <w:bottom w:val="single" w:sz="4" w:space="0" w:color="auto"/>
              <w:right w:val="single" w:sz="4" w:space="0" w:color="auto"/>
            </w:tcBorders>
            <w:shd w:val="clear" w:color="000000" w:fill="F2F2F2"/>
            <w:vAlign w:val="center"/>
            <w:hideMark/>
          </w:tcPr>
          <w:p w14:paraId="36FB6CF0" w14:textId="6E2A9F5C" w:rsidR="005F125A" w:rsidRPr="00B2646D" w:rsidRDefault="005F125A" w:rsidP="005F125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Pogodbena vrednost</w:t>
            </w:r>
            <w:r w:rsidR="00986395" w:rsidRPr="00B2646D">
              <w:rPr>
                <w:rFonts w:ascii="Arial" w:eastAsia="Times New Roman" w:hAnsi="Arial" w:cs="Arial"/>
                <w:color w:val="000000" w:themeColor="text1"/>
                <w:sz w:val="18"/>
                <w:szCs w:val="18"/>
                <w:lang w:eastAsia="sl-SI"/>
              </w:rPr>
              <w:t xml:space="preserve"> (v EUR)</w:t>
            </w:r>
          </w:p>
        </w:tc>
        <w:tc>
          <w:tcPr>
            <w:tcW w:w="901" w:type="pct"/>
            <w:tcBorders>
              <w:top w:val="single" w:sz="4" w:space="0" w:color="auto"/>
              <w:left w:val="nil"/>
              <w:bottom w:val="single" w:sz="4" w:space="0" w:color="auto"/>
              <w:right w:val="single" w:sz="4" w:space="0" w:color="auto"/>
            </w:tcBorders>
            <w:shd w:val="clear" w:color="000000" w:fill="F2F2F2"/>
            <w:vAlign w:val="center"/>
            <w:hideMark/>
          </w:tcPr>
          <w:p w14:paraId="668F0EF9" w14:textId="77777777" w:rsidR="005F125A" w:rsidRPr="00B2646D" w:rsidRDefault="005F125A" w:rsidP="005F125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Delež v št. naročil</w:t>
            </w:r>
          </w:p>
        </w:tc>
        <w:tc>
          <w:tcPr>
            <w:tcW w:w="1011" w:type="pct"/>
            <w:tcBorders>
              <w:top w:val="single" w:sz="4" w:space="0" w:color="auto"/>
              <w:left w:val="nil"/>
              <w:bottom w:val="single" w:sz="4" w:space="0" w:color="auto"/>
              <w:right w:val="single" w:sz="4" w:space="0" w:color="auto"/>
            </w:tcBorders>
            <w:shd w:val="clear" w:color="000000" w:fill="F2F2F2"/>
            <w:vAlign w:val="center"/>
            <w:hideMark/>
          </w:tcPr>
          <w:p w14:paraId="193E53DB" w14:textId="77777777" w:rsidR="005F125A" w:rsidRPr="00B2646D" w:rsidRDefault="005F125A" w:rsidP="005F125A">
            <w:pPr>
              <w:spacing w:after="0" w:line="240" w:lineRule="auto"/>
              <w:jc w:val="center"/>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Delež v vrednosti</w:t>
            </w:r>
          </w:p>
        </w:tc>
      </w:tr>
      <w:tr w:rsidR="008C26BB" w:rsidRPr="00B2646D" w14:paraId="7E2A84C5"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7FAB1A01" w14:textId="4BEB97CE"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OSREDNJESLOVENSKA</w:t>
            </w:r>
          </w:p>
        </w:tc>
        <w:tc>
          <w:tcPr>
            <w:tcW w:w="688" w:type="pct"/>
            <w:tcBorders>
              <w:top w:val="nil"/>
              <w:left w:val="nil"/>
              <w:bottom w:val="single" w:sz="4" w:space="0" w:color="auto"/>
              <w:right w:val="single" w:sz="4" w:space="0" w:color="auto"/>
            </w:tcBorders>
            <w:shd w:val="clear" w:color="auto" w:fill="auto"/>
            <w:noWrap/>
            <w:vAlign w:val="center"/>
            <w:hideMark/>
          </w:tcPr>
          <w:p w14:paraId="6211A201" w14:textId="484F1125"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209</w:t>
            </w:r>
          </w:p>
        </w:tc>
        <w:tc>
          <w:tcPr>
            <w:tcW w:w="1004" w:type="pct"/>
            <w:tcBorders>
              <w:top w:val="nil"/>
              <w:left w:val="nil"/>
              <w:bottom w:val="single" w:sz="4" w:space="0" w:color="auto"/>
              <w:right w:val="single" w:sz="4" w:space="0" w:color="auto"/>
            </w:tcBorders>
            <w:shd w:val="clear" w:color="auto" w:fill="auto"/>
            <w:noWrap/>
            <w:vAlign w:val="center"/>
            <w:hideMark/>
          </w:tcPr>
          <w:p w14:paraId="5980F420" w14:textId="007CA4CC"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341.531.844</w:t>
            </w:r>
          </w:p>
        </w:tc>
        <w:tc>
          <w:tcPr>
            <w:tcW w:w="901" w:type="pct"/>
            <w:tcBorders>
              <w:top w:val="nil"/>
              <w:left w:val="nil"/>
              <w:bottom w:val="single" w:sz="4" w:space="0" w:color="auto"/>
              <w:right w:val="single" w:sz="4" w:space="0" w:color="auto"/>
            </w:tcBorders>
            <w:shd w:val="clear" w:color="auto" w:fill="auto"/>
            <w:noWrap/>
            <w:vAlign w:val="center"/>
            <w:hideMark/>
          </w:tcPr>
          <w:p w14:paraId="432261D1" w14:textId="13197D00"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43,18 %</w:t>
            </w:r>
          </w:p>
        </w:tc>
        <w:tc>
          <w:tcPr>
            <w:tcW w:w="1011" w:type="pct"/>
            <w:tcBorders>
              <w:top w:val="nil"/>
              <w:left w:val="nil"/>
              <w:bottom w:val="single" w:sz="4" w:space="0" w:color="auto"/>
              <w:right w:val="single" w:sz="4" w:space="0" w:color="auto"/>
            </w:tcBorders>
            <w:shd w:val="clear" w:color="auto" w:fill="auto"/>
            <w:noWrap/>
            <w:vAlign w:val="center"/>
            <w:hideMark/>
          </w:tcPr>
          <w:p w14:paraId="190F61E0" w14:textId="64948640"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72,93 %</w:t>
            </w:r>
          </w:p>
        </w:tc>
      </w:tr>
      <w:tr w:rsidR="008C26BB" w:rsidRPr="00B2646D" w14:paraId="7C86F3ED"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403474D3" w14:textId="2B2081C5"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POSAVSKA</w:t>
            </w:r>
          </w:p>
        </w:tc>
        <w:tc>
          <w:tcPr>
            <w:tcW w:w="688" w:type="pct"/>
            <w:tcBorders>
              <w:top w:val="nil"/>
              <w:left w:val="nil"/>
              <w:bottom w:val="single" w:sz="4" w:space="0" w:color="auto"/>
              <w:right w:val="single" w:sz="4" w:space="0" w:color="auto"/>
            </w:tcBorders>
            <w:shd w:val="clear" w:color="auto" w:fill="auto"/>
            <w:noWrap/>
            <w:vAlign w:val="center"/>
            <w:hideMark/>
          </w:tcPr>
          <w:p w14:paraId="377294D9" w14:textId="55E19BAA"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98</w:t>
            </w:r>
          </w:p>
        </w:tc>
        <w:tc>
          <w:tcPr>
            <w:tcW w:w="1004" w:type="pct"/>
            <w:tcBorders>
              <w:top w:val="nil"/>
              <w:left w:val="nil"/>
              <w:bottom w:val="single" w:sz="4" w:space="0" w:color="auto"/>
              <w:right w:val="single" w:sz="4" w:space="0" w:color="auto"/>
            </w:tcBorders>
            <w:shd w:val="clear" w:color="auto" w:fill="auto"/>
            <w:noWrap/>
            <w:vAlign w:val="center"/>
            <w:hideMark/>
          </w:tcPr>
          <w:p w14:paraId="41C52CA3" w14:textId="4D749C6A"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78.116.979</w:t>
            </w:r>
          </w:p>
        </w:tc>
        <w:tc>
          <w:tcPr>
            <w:tcW w:w="901" w:type="pct"/>
            <w:tcBorders>
              <w:top w:val="nil"/>
              <w:left w:val="nil"/>
              <w:bottom w:val="single" w:sz="4" w:space="0" w:color="auto"/>
              <w:right w:val="single" w:sz="4" w:space="0" w:color="auto"/>
            </w:tcBorders>
            <w:shd w:val="clear" w:color="auto" w:fill="auto"/>
            <w:noWrap/>
            <w:vAlign w:val="center"/>
            <w:hideMark/>
          </w:tcPr>
          <w:p w14:paraId="444E40F5" w14:textId="61B37993"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20,25 %</w:t>
            </w:r>
          </w:p>
        </w:tc>
        <w:tc>
          <w:tcPr>
            <w:tcW w:w="1011" w:type="pct"/>
            <w:tcBorders>
              <w:top w:val="nil"/>
              <w:left w:val="nil"/>
              <w:bottom w:val="single" w:sz="4" w:space="0" w:color="auto"/>
              <w:right w:val="single" w:sz="4" w:space="0" w:color="auto"/>
            </w:tcBorders>
            <w:shd w:val="clear" w:color="auto" w:fill="auto"/>
            <w:noWrap/>
            <w:vAlign w:val="center"/>
            <w:hideMark/>
          </w:tcPr>
          <w:p w14:paraId="091EC562" w14:textId="26186424"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16,68 %</w:t>
            </w:r>
          </w:p>
        </w:tc>
      </w:tr>
      <w:tr w:rsidR="008C26BB" w:rsidRPr="00B2646D" w14:paraId="438B9DE4"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6048B532" w14:textId="5DA25BDC"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SAVINJSKA</w:t>
            </w:r>
          </w:p>
        </w:tc>
        <w:tc>
          <w:tcPr>
            <w:tcW w:w="688" w:type="pct"/>
            <w:tcBorders>
              <w:top w:val="nil"/>
              <w:left w:val="nil"/>
              <w:bottom w:val="single" w:sz="4" w:space="0" w:color="auto"/>
              <w:right w:val="single" w:sz="4" w:space="0" w:color="auto"/>
            </w:tcBorders>
            <w:shd w:val="clear" w:color="auto" w:fill="auto"/>
            <w:noWrap/>
            <w:vAlign w:val="center"/>
            <w:hideMark/>
          </w:tcPr>
          <w:p w14:paraId="605C20CB" w14:textId="58B35CCF"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50</w:t>
            </w:r>
          </w:p>
        </w:tc>
        <w:tc>
          <w:tcPr>
            <w:tcW w:w="1004" w:type="pct"/>
            <w:tcBorders>
              <w:top w:val="nil"/>
              <w:left w:val="nil"/>
              <w:bottom w:val="single" w:sz="4" w:space="0" w:color="auto"/>
              <w:right w:val="single" w:sz="4" w:space="0" w:color="auto"/>
            </w:tcBorders>
            <w:shd w:val="clear" w:color="auto" w:fill="auto"/>
            <w:noWrap/>
            <w:vAlign w:val="center"/>
            <w:hideMark/>
          </w:tcPr>
          <w:p w14:paraId="4962FF96" w14:textId="30EBAF67"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13.709.398</w:t>
            </w:r>
          </w:p>
        </w:tc>
        <w:tc>
          <w:tcPr>
            <w:tcW w:w="901" w:type="pct"/>
            <w:tcBorders>
              <w:top w:val="nil"/>
              <w:left w:val="nil"/>
              <w:bottom w:val="single" w:sz="4" w:space="0" w:color="auto"/>
              <w:right w:val="single" w:sz="4" w:space="0" w:color="auto"/>
            </w:tcBorders>
            <w:shd w:val="clear" w:color="auto" w:fill="auto"/>
            <w:noWrap/>
            <w:vAlign w:val="center"/>
            <w:hideMark/>
          </w:tcPr>
          <w:p w14:paraId="75F3F049" w14:textId="27BDCF92"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10,33 %</w:t>
            </w:r>
          </w:p>
        </w:tc>
        <w:tc>
          <w:tcPr>
            <w:tcW w:w="1011" w:type="pct"/>
            <w:tcBorders>
              <w:top w:val="nil"/>
              <w:left w:val="nil"/>
              <w:bottom w:val="single" w:sz="4" w:space="0" w:color="auto"/>
              <w:right w:val="single" w:sz="4" w:space="0" w:color="auto"/>
            </w:tcBorders>
            <w:shd w:val="clear" w:color="auto" w:fill="auto"/>
            <w:noWrap/>
            <w:vAlign w:val="center"/>
            <w:hideMark/>
          </w:tcPr>
          <w:p w14:paraId="2A5615B6" w14:textId="6104134B"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2,93 %</w:t>
            </w:r>
          </w:p>
        </w:tc>
      </w:tr>
      <w:tr w:rsidR="008C26BB" w:rsidRPr="00B2646D" w14:paraId="4A99A809"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5E350533" w14:textId="0E524C74"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OBALNO-KRAŠKA</w:t>
            </w:r>
          </w:p>
        </w:tc>
        <w:tc>
          <w:tcPr>
            <w:tcW w:w="688" w:type="pct"/>
            <w:tcBorders>
              <w:top w:val="nil"/>
              <w:left w:val="nil"/>
              <w:bottom w:val="single" w:sz="4" w:space="0" w:color="auto"/>
              <w:right w:val="single" w:sz="4" w:space="0" w:color="auto"/>
            </w:tcBorders>
            <w:shd w:val="clear" w:color="auto" w:fill="auto"/>
            <w:noWrap/>
            <w:vAlign w:val="center"/>
            <w:hideMark/>
          </w:tcPr>
          <w:p w14:paraId="33155968" w14:textId="2D9E6899"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50</w:t>
            </w:r>
          </w:p>
        </w:tc>
        <w:tc>
          <w:tcPr>
            <w:tcW w:w="1004" w:type="pct"/>
            <w:tcBorders>
              <w:top w:val="nil"/>
              <w:left w:val="nil"/>
              <w:bottom w:val="single" w:sz="4" w:space="0" w:color="auto"/>
              <w:right w:val="single" w:sz="4" w:space="0" w:color="auto"/>
            </w:tcBorders>
            <w:shd w:val="clear" w:color="auto" w:fill="auto"/>
            <w:noWrap/>
            <w:vAlign w:val="center"/>
            <w:hideMark/>
          </w:tcPr>
          <w:p w14:paraId="5513C97D" w14:textId="1DDD2CD0"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6.169.267</w:t>
            </w:r>
          </w:p>
        </w:tc>
        <w:tc>
          <w:tcPr>
            <w:tcW w:w="901" w:type="pct"/>
            <w:tcBorders>
              <w:top w:val="nil"/>
              <w:left w:val="nil"/>
              <w:bottom w:val="single" w:sz="4" w:space="0" w:color="auto"/>
              <w:right w:val="single" w:sz="4" w:space="0" w:color="auto"/>
            </w:tcBorders>
            <w:shd w:val="clear" w:color="auto" w:fill="auto"/>
            <w:noWrap/>
            <w:vAlign w:val="center"/>
            <w:hideMark/>
          </w:tcPr>
          <w:p w14:paraId="7325B106" w14:textId="64DE3C59"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10,33 %</w:t>
            </w:r>
          </w:p>
        </w:tc>
        <w:tc>
          <w:tcPr>
            <w:tcW w:w="1011" w:type="pct"/>
            <w:tcBorders>
              <w:top w:val="nil"/>
              <w:left w:val="nil"/>
              <w:bottom w:val="single" w:sz="4" w:space="0" w:color="auto"/>
              <w:right w:val="single" w:sz="4" w:space="0" w:color="auto"/>
            </w:tcBorders>
            <w:shd w:val="clear" w:color="auto" w:fill="auto"/>
            <w:noWrap/>
            <w:vAlign w:val="center"/>
            <w:hideMark/>
          </w:tcPr>
          <w:p w14:paraId="0805339C" w14:textId="616E5F69"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1,32 %</w:t>
            </w:r>
          </w:p>
        </w:tc>
      </w:tr>
      <w:tr w:rsidR="008C26BB" w:rsidRPr="00B2646D" w14:paraId="57912986"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03D03C3D" w14:textId="245C445F"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PODRAVSKA</w:t>
            </w:r>
          </w:p>
        </w:tc>
        <w:tc>
          <w:tcPr>
            <w:tcW w:w="688" w:type="pct"/>
            <w:tcBorders>
              <w:top w:val="nil"/>
              <w:left w:val="nil"/>
              <w:bottom w:val="single" w:sz="4" w:space="0" w:color="auto"/>
              <w:right w:val="single" w:sz="4" w:space="0" w:color="auto"/>
            </w:tcBorders>
            <w:shd w:val="clear" w:color="auto" w:fill="auto"/>
            <w:noWrap/>
            <w:vAlign w:val="center"/>
            <w:hideMark/>
          </w:tcPr>
          <w:p w14:paraId="66A390E7" w14:textId="1DD80F2D"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28</w:t>
            </w:r>
          </w:p>
        </w:tc>
        <w:tc>
          <w:tcPr>
            <w:tcW w:w="1004" w:type="pct"/>
            <w:tcBorders>
              <w:top w:val="nil"/>
              <w:left w:val="nil"/>
              <w:bottom w:val="single" w:sz="4" w:space="0" w:color="auto"/>
              <w:right w:val="single" w:sz="4" w:space="0" w:color="auto"/>
            </w:tcBorders>
            <w:shd w:val="clear" w:color="auto" w:fill="auto"/>
            <w:noWrap/>
            <w:vAlign w:val="center"/>
            <w:hideMark/>
          </w:tcPr>
          <w:p w14:paraId="2BFAD638" w14:textId="7AD2751E"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15.547.415</w:t>
            </w:r>
          </w:p>
        </w:tc>
        <w:tc>
          <w:tcPr>
            <w:tcW w:w="901" w:type="pct"/>
            <w:tcBorders>
              <w:top w:val="nil"/>
              <w:left w:val="nil"/>
              <w:bottom w:val="single" w:sz="4" w:space="0" w:color="auto"/>
              <w:right w:val="single" w:sz="4" w:space="0" w:color="auto"/>
            </w:tcBorders>
            <w:shd w:val="clear" w:color="auto" w:fill="auto"/>
            <w:noWrap/>
            <w:vAlign w:val="center"/>
            <w:hideMark/>
          </w:tcPr>
          <w:p w14:paraId="50F8F630" w14:textId="126F6B57"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5,79 %</w:t>
            </w:r>
          </w:p>
        </w:tc>
        <w:tc>
          <w:tcPr>
            <w:tcW w:w="1011" w:type="pct"/>
            <w:tcBorders>
              <w:top w:val="nil"/>
              <w:left w:val="nil"/>
              <w:bottom w:val="single" w:sz="4" w:space="0" w:color="auto"/>
              <w:right w:val="single" w:sz="4" w:space="0" w:color="auto"/>
            </w:tcBorders>
            <w:shd w:val="clear" w:color="auto" w:fill="auto"/>
            <w:noWrap/>
            <w:vAlign w:val="center"/>
            <w:hideMark/>
          </w:tcPr>
          <w:p w14:paraId="7A097317" w14:textId="550BADA5"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3,32 %</w:t>
            </w:r>
          </w:p>
        </w:tc>
      </w:tr>
      <w:tr w:rsidR="008C26BB" w:rsidRPr="00B2646D" w14:paraId="781E790F"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76F2D05E" w14:textId="5A2951EF"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GORENJSKA</w:t>
            </w:r>
          </w:p>
        </w:tc>
        <w:tc>
          <w:tcPr>
            <w:tcW w:w="688" w:type="pct"/>
            <w:tcBorders>
              <w:top w:val="nil"/>
              <w:left w:val="nil"/>
              <w:bottom w:val="single" w:sz="4" w:space="0" w:color="auto"/>
              <w:right w:val="single" w:sz="4" w:space="0" w:color="auto"/>
            </w:tcBorders>
            <w:shd w:val="clear" w:color="auto" w:fill="auto"/>
            <w:noWrap/>
            <w:vAlign w:val="center"/>
            <w:hideMark/>
          </w:tcPr>
          <w:p w14:paraId="5C30AC6B" w14:textId="259F5B68"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12</w:t>
            </w:r>
          </w:p>
        </w:tc>
        <w:tc>
          <w:tcPr>
            <w:tcW w:w="1004" w:type="pct"/>
            <w:tcBorders>
              <w:top w:val="nil"/>
              <w:left w:val="nil"/>
              <w:bottom w:val="single" w:sz="4" w:space="0" w:color="auto"/>
              <w:right w:val="single" w:sz="4" w:space="0" w:color="auto"/>
            </w:tcBorders>
            <w:shd w:val="clear" w:color="auto" w:fill="auto"/>
            <w:noWrap/>
            <w:vAlign w:val="center"/>
            <w:hideMark/>
          </w:tcPr>
          <w:p w14:paraId="525371E4" w14:textId="3F328E9C"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3.401.526</w:t>
            </w:r>
          </w:p>
        </w:tc>
        <w:tc>
          <w:tcPr>
            <w:tcW w:w="901" w:type="pct"/>
            <w:tcBorders>
              <w:top w:val="nil"/>
              <w:left w:val="nil"/>
              <w:bottom w:val="single" w:sz="4" w:space="0" w:color="auto"/>
              <w:right w:val="single" w:sz="4" w:space="0" w:color="auto"/>
            </w:tcBorders>
            <w:shd w:val="clear" w:color="auto" w:fill="auto"/>
            <w:noWrap/>
            <w:vAlign w:val="center"/>
            <w:hideMark/>
          </w:tcPr>
          <w:p w14:paraId="66451CAE" w14:textId="06DF9FCB"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2,48 %</w:t>
            </w:r>
          </w:p>
        </w:tc>
        <w:tc>
          <w:tcPr>
            <w:tcW w:w="1011" w:type="pct"/>
            <w:tcBorders>
              <w:top w:val="nil"/>
              <w:left w:val="nil"/>
              <w:bottom w:val="single" w:sz="4" w:space="0" w:color="auto"/>
              <w:right w:val="single" w:sz="4" w:space="0" w:color="auto"/>
            </w:tcBorders>
            <w:shd w:val="clear" w:color="auto" w:fill="auto"/>
            <w:noWrap/>
            <w:vAlign w:val="center"/>
            <w:hideMark/>
          </w:tcPr>
          <w:p w14:paraId="046A2BC9" w14:textId="7F2DF7ED"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0,73 %</w:t>
            </w:r>
          </w:p>
        </w:tc>
      </w:tr>
      <w:tr w:rsidR="008C26BB" w:rsidRPr="00B2646D" w14:paraId="63CEF49D"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441739BF" w14:textId="71E5BF8E"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GORIŠKA</w:t>
            </w:r>
          </w:p>
        </w:tc>
        <w:tc>
          <w:tcPr>
            <w:tcW w:w="688" w:type="pct"/>
            <w:tcBorders>
              <w:top w:val="nil"/>
              <w:left w:val="nil"/>
              <w:bottom w:val="single" w:sz="4" w:space="0" w:color="auto"/>
              <w:right w:val="single" w:sz="4" w:space="0" w:color="auto"/>
            </w:tcBorders>
            <w:shd w:val="clear" w:color="auto" w:fill="auto"/>
            <w:noWrap/>
            <w:vAlign w:val="center"/>
            <w:hideMark/>
          </w:tcPr>
          <w:p w14:paraId="4A0F339F" w14:textId="315C6C2E"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10</w:t>
            </w:r>
          </w:p>
        </w:tc>
        <w:tc>
          <w:tcPr>
            <w:tcW w:w="1004" w:type="pct"/>
            <w:tcBorders>
              <w:top w:val="nil"/>
              <w:left w:val="nil"/>
              <w:bottom w:val="single" w:sz="4" w:space="0" w:color="auto"/>
              <w:right w:val="single" w:sz="4" w:space="0" w:color="auto"/>
            </w:tcBorders>
            <w:shd w:val="clear" w:color="auto" w:fill="auto"/>
            <w:noWrap/>
            <w:vAlign w:val="center"/>
            <w:hideMark/>
          </w:tcPr>
          <w:p w14:paraId="443C2F6E" w14:textId="6DAFA8D8"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1.103.622</w:t>
            </w:r>
          </w:p>
        </w:tc>
        <w:tc>
          <w:tcPr>
            <w:tcW w:w="901" w:type="pct"/>
            <w:tcBorders>
              <w:top w:val="nil"/>
              <w:left w:val="nil"/>
              <w:bottom w:val="single" w:sz="4" w:space="0" w:color="auto"/>
              <w:right w:val="single" w:sz="4" w:space="0" w:color="auto"/>
            </w:tcBorders>
            <w:shd w:val="clear" w:color="auto" w:fill="auto"/>
            <w:noWrap/>
            <w:vAlign w:val="center"/>
            <w:hideMark/>
          </w:tcPr>
          <w:p w14:paraId="53F4728A" w14:textId="445A6C5B"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2,07 %</w:t>
            </w:r>
          </w:p>
        </w:tc>
        <w:tc>
          <w:tcPr>
            <w:tcW w:w="1011" w:type="pct"/>
            <w:tcBorders>
              <w:top w:val="nil"/>
              <w:left w:val="nil"/>
              <w:bottom w:val="single" w:sz="4" w:space="0" w:color="auto"/>
              <w:right w:val="single" w:sz="4" w:space="0" w:color="auto"/>
            </w:tcBorders>
            <w:shd w:val="clear" w:color="auto" w:fill="auto"/>
            <w:noWrap/>
            <w:vAlign w:val="center"/>
            <w:hideMark/>
          </w:tcPr>
          <w:p w14:paraId="63DB0155" w14:textId="627586C9"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0,24 %</w:t>
            </w:r>
          </w:p>
        </w:tc>
      </w:tr>
      <w:tr w:rsidR="008C26BB" w:rsidRPr="00B2646D" w14:paraId="149F5712"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158B29F7" w14:textId="1932DD45"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JUGOVZHODNA SLOVENIJA</w:t>
            </w:r>
          </w:p>
        </w:tc>
        <w:tc>
          <w:tcPr>
            <w:tcW w:w="688" w:type="pct"/>
            <w:tcBorders>
              <w:top w:val="nil"/>
              <w:left w:val="nil"/>
              <w:bottom w:val="single" w:sz="4" w:space="0" w:color="auto"/>
              <w:right w:val="single" w:sz="4" w:space="0" w:color="auto"/>
            </w:tcBorders>
            <w:shd w:val="clear" w:color="auto" w:fill="auto"/>
            <w:noWrap/>
            <w:vAlign w:val="center"/>
            <w:hideMark/>
          </w:tcPr>
          <w:p w14:paraId="16D5B709" w14:textId="1BB74CB9"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8</w:t>
            </w:r>
          </w:p>
        </w:tc>
        <w:tc>
          <w:tcPr>
            <w:tcW w:w="1004" w:type="pct"/>
            <w:tcBorders>
              <w:top w:val="nil"/>
              <w:left w:val="nil"/>
              <w:bottom w:val="single" w:sz="4" w:space="0" w:color="auto"/>
              <w:right w:val="single" w:sz="4" w:space="0" w:color="auto"/>
            </w:tcBorders>
            <w:shd w:val="clear" w:color="auto" w:fill="auto"/>
            <w:noWrap/>
            <w:vAlign w:val="center"/>
            <w:hideMark/>
          </w:tcPr>
          <w:p w14:paraId="1FDB80A1" w14:textId="42861784"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6.081.033</w:t>
            </w:r>
          </w:p>
        </w:tc>
        <w:tc>
          <w:tcPr>
            <w:tcW w:w="901" w:type="pct"/>
            <w:tcBorders>
              <w:top w:val="nil"/>
              <w:left w:val="nil"/>
              <w:bottom w:val="single" w:sz="4" w:space="0" w:color="auto"/>
              <w:right w:val="single" w:sz="4" w:space="0" w:color="auto"/>
            </w:tcBorders>
            <w:shd w:val="clear" w:color="auto" w:fill="auto"/>
            <w:noWrap/>
            <w:vAlign w:val="center"/>
            <w:hideMark/>
          </w:tcPr>
          <w:p w14:paraId="42E26858" w14:textId="6A4C0F5F"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1,65 %</w:t>
            </w:r>
          </w:p>
        </w:tc>
        <w:tc>
          <w:tcPr>
            <w:tcW w:w="1011" w:type="pct"/>
            <w:tcBorders>
              <w:top w:val="nil"/>
              <w:left w:val="nil"/>
              <w:bottom w:val="single" w:sz="4" w:space="0" w:color="auto"/>
              <w:right w:val="single" w:sz="4" w:space="0" w:color="auto"/>
            </w:tcBorders>
            <w:shd w:val="clear" w:color="auto" w:fill="auto"/>
            <w:noWrap/>
            <w:vAlign w:val="center"/>
            <w:hideMark/>
          </w:tcPr>
          <w:p w14:paraId="02C9D93B" w14:textId="4A55CCF5"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1,30 %</w:t>
            </w:r>
          </w:p>
        </w:tc>
      </w:tr>
      <w:tr w:rsidR="008C26BB" w:rsidRPr="00B2646D" w14:paraId="52F5D3F2"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3FDC0E94" w14:textId="1A92C4F3"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POMURSKA</w:t>
            </w:r>
          </w:p>
        </w:tc>
        <w:tc>
          <w:tcPr>
            <w:tcW w:w="688" w:type="pct"/>
            <w:tcBorders>
              <w:top w:val="nil"/>
              <w:left w:val="nil"/>
              <w:bottom w:val="single" w:sz="4" w:space="0" w:color="auto"/>
              <w:right w:val="single" w:sz="4" w:space="0" w:color="auto"/>
            </w:tcBorders>
            <w:shd w:val="clear" w:color="auto" w:fill="auto"/>
            <w:noWrap/>
            <w:vAlign w:val="center"/>
            <w:hideMark/>
          </w:tcPr>
          <w:p w14:paraId="782827B8" w14:textId="41AF7A2B"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8</w:t>
            </w:r>
          </w:p>
        </w:tc>
        <w:tc>
          <w:tcPr>
            <w:tcW w:w="1004" w:type="pct"/>
            <w:tcBorders>
              <w:top w:val="nil"/>
              <w:left w:val="nil"/>
              <w:bottom w:val="single" w:sz="4" w:space="0" w:color="auto"/>
              <w:right w:val="single" w:sz="4" w:space="0" w:color="auto"/>
            </w:tcBorders>
            <w:shd w:val="clear" w:color="auto" w:fill="auto"/>
            <w:noWrap/>
            <w:vAlign w:val="center"/>
            <w:hideMark/>
          </w:tcPr>
          <w:p w14:paraId="3788A386" w14:textId="76716EA3"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1.571.581</w:t>
            </w:r>
          </w:p>
        </w:tc>
        <w:tc>
          <w:tcPr>
            <w:tcW w:w="901" w:type="pct"/>
            <w:tcBorders>
              <w:top w:val="nil"/>
              <w:left w:val="nil"/>
              <w:bottom w:val="single" w:sz="4" w:space="0" w:color="auto"/>
              <w:right w:val="single" w:sz="4" w:space="0" w:color="auto"/>
            </w:tcBorders>
            <w:shd w:val="clear" w:color="auto" w:fill="auto"/>
            <w:noWrap/>
            <w:vAlign w:val="center"/>
            <w:hideMark/>
          </w:tcPr>
          <w:p w14:paraId="0FF611E4" w14:textId="41035D95"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1,65 %</w:t>
            </w:r>
          </w:p>
        </w:tc>
        <w:tc>
          <w:tcPr>
            <w:tcW w:w="1011" w:type="pct"/>
            <w:tcBorders>
              <w:top w:val="nil"/>
              <w:left w:val="nil"/>
              <w:bottom w:val="single" w:sz="4" w:space="0" w:color="auto"/>
              <w:right w:val="single" w:sz="4" w:space="0" w:color="auto"/>
            </w:tcBorders>
            <w:shd w:val="clear" w:color="auto" w:fill="auto"/>
            <w:noWrap/>
            <w:vAlign w:val="center"/>
            <w:hideMark/>
          </w:tcPr>
          <w:p w14:paraId="6E1912DE" w14:textId="1AB7D0F9"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0,34 %</w:t>
            </w:r>
          </w:p>
        </w:tc>
      </w:tr>
      <w:tr w:rsidR="008C26BB" w:rsidRPr="00B2646D" w14:paraId="2710BFF3"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3BD0CA26" w14:textId="3D94E460"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ZASAVSKA</w:t>
            </w:r>
          </w:p>
        </w:tc>
        <w:tc>
          <w:tcPr>
            <w:tcW w:w="688" w:type="pct"/>
            <w:tcBorders>
              <w:top w:val="nil"/>
              <w:left w:val="nil"/>
              <w:bottom w:val="single" w:sz="4" w:space="0" w:color="auto"/>
              <w:right w:val="single" w:sz="4" w:space="0" w:color="auto"/>
            </w:tcBorders>
            <w:shd w:val="clear" w:color="auto" w:fill="auto"/>
            <w:noWrap/>
            <w:vAlign w:val="center"/>
            <w:hideMark/>
          </w:tcPr>
          <w:p w14:paraId="53E7E879" w14:textId="76C429BC"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6</w:t>
            </w:r>
          </w:p>
        </w:tc>
        <w:tc>
          <w:tcPr>
            <w:tcW w:w="1004" w:type="pct"/>
            <w:tcBorders>
              <w:top w:val="nil"/>
              <w:left w:val="nil"/>
              <w:bottom w:val="single" w:sz="4" w:space="0" w:color="auto"/>
              <w:right w:val="single" w:sz="4" w:space="0" w:color="auto"/>
            </w:tcBorders>
            <w:shd w:val="clear" w:color="auto" w:fill="auto"/>
            <w:noWrap/>
            <w:vAlign w:val="center"/>
            <w:hideMark/>
          </w:tcPr>
          <w:p w14:paraId="02CE4D8A" w14:textId="3E08D748"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224.972</w:t>
            </w:r>
          </w:p>
        </w:tc>
        <w:tc>
          <w:tcPr>
            <w:tcW w:w="901" w:type="pct"/>
            <w:tcBorders>
              <w:top w:val="nil"/>
              <w:left w:val="nil"/>
              <w:bottom w:val="single" w:sz="4" w:space="0" w:color="auto"/>
              <w:right w:val="single" w:sz="4" w:space="0" w:color="auto"/>
            </w:tcBorders>
            <w:shd w:val="clear" w:color="auto" w:fill="auto"/>
            <w:noWrap/>
            <w:vAlign w:val="center"/>
            <w:hideMark/>
          </w:tcPr>
          <w:p w14:paraId="3F8169F8" w14:textId="4B9E1C3B"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1,24 %</w:t>
            </w:r>
          </w:p>
        </w:tc>
        <w:tc>
          <w:tcPr>
            <w:tcW w:w="1011" w:type="pct"/>
            <w:tcBorders>
              <w:top w:val="nil"/>
              <w:left w:val="nil"/>
              <w:bottom w:val="single" w:sz="4" w:space="0" w:color="auto"/>
              <w:right w:val="single" w:sz="4" w:space="0" w:color="auto"/>
            </w:tcBorders>
            <w:shd w:val="clear" w:color="auto" w:fill="auto"/>
            <w:noWrap/>
            <w:vAlign w:val="center"/>
            <w:hideMark/>
          </w:tcPr>
          <w:p w14:paraId="62CB29D5" w14:textId="2A4D7E3D"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0,05 %</w:t>
            </w:r>
          </w:p>
        </w:tc>
      </w:tr>
      <w:tr w:rsidR="008C26BB" w:rsidRPr="00B2646D" w14:paraId="035AD483"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14:paraId="48A09283" w14:textId="61ABA897"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KOROŠKA</w:t>
            </w:r>
          </w:p>
        </w:tc>
        <w:tc>
          <w:tcPr>
            <w:tcW w:w="688" w:type="pct"/>
            <w:tcBorders>
              <w:top w:val="nil"/>
              <w:left w:val="nil"/>
              <w:bottom w:val="single" w:sz="4" w:space="0" w:color="auto"/>
              <w:right w:val="single" w:sz="4" w:space="0" w:color="auto"/>
            </w:tcBorders>
            <w:shd w:val="clear" w:color="auto" w:fill="auto"/>
            <w:noWrap/>
            <w:vAlign w:val="center"/>
            <w:hideMark/>
          </w:tcPr>
          <w:p w14:paraId="53217F22" w14:textId="63C0EA56"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3</w:t>
            </w:r>
          </w:p>
        </w:tc>
        <w:tc>
          <w:tcPr>
            <w:tcW w:w="1004" w:type="pct"/>
            <w:tcBorders>
              <w:top w:val="nil"/>
              <w:left w:val="nil"/>
              <w:bottom w:val="single" w:sz="4" w:space="0" w:color="auto"/>
              <w:right w:val="single" w:sz="4" w:space="0" w:color="auto"/>
            </w:tcBorders>
            <w:shd w:val="clear" w:color="auto" w:fill="auto"/>
            <w:noWrap/>
            <w:vAlign w:val="center"/>
            <w:hideMark/>
          </w:tcPr>
          <w:p w14:paraId="4717297F" w14:textId="1E886E13"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673.052</w:t>
            </w:r>
          </w:p>
        </w:tc>
        <w:tc>
          <w:tcPr>
            <w:tcW w:w="901" w:type="pct"/>
            <w:tcBorders>
              <w:top w:val="nil"/>
              <w:left w:val="nil"/>
              <w:bottom w:val="single" w:sz="4" w:space="0" w:color="auto"/>
              <w:right w:val="single" w:sz="4" w:space="0" w:color="auto"/>
            </w:tcBorders>
            <w:shd w:val="clear" w:color="auto" w:fill="auto"/>
            <w:noWrap/>
            <w:vAlign w:val="center"/>
            <w:hideMark/>
          </w:tcPr>
          <w:p w14:paraId="5E9FC76C" w14:textId="21C1E686"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0,62 %</w:t>
            </w:r>
          </w:p>
        </w:tc>
        <w:tc>
          <w:tcPr>
            <w:tcW w:w="1011" w:type="pct"/>
            <w:tcBorders>
              <w:top w:val="nil"/>
              <w:left w:val="nil"/>
              <w:bottom w:val="single" w:sz="4" w:space="0" w:color="auto"/>
              <w:right w:val="single" w:sz="4" w:space="0" w:color="auto"/>
            </w:tcBorders>
            <w:shd w:val="clear" w:color="auto" w:fill="auto"/>
            <w:noWrap/>
            <w:vAlign w:val="center"/>
            <w:hideMark/>
          </w:tcPr>
          <w:p w14:paraId="32B275B8" w14:textId="17497C1A"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0,14 %</w:t>
            </w:r>
          </w:p>
        </w:tc>
      </w:tr>
      <w:tr w:rsidR="008C26BB" w:rsidRPr="00B2646D" w14:paraId="787A17C3"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auto"/>
            <w:noWrap/>
            <w:vAlign w:val="center"/>
          </w:tcPr>
          <w:p w14:paraId="260D4DEB" w14:textId="116F90DC" w:rsidR="005B11D0" w:rsidRPr="00B2646D" w:rsidRDefault="005B11D0" w:rsidP="005B11D0">
            <w:pPr>
              <w:spacing w:after="0" w:line="240" w:lineRule="auto"/>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PRIMORSKO-NOTRANJSKA</w:t>
            </w:r>
          </w:p>
        </w:tc>
        <w:tc>
          <w:tcPr>
            <w:tcW w:w="688" w:type="pct"/>
            <w:tcBorders>
              <w:top w:val="nil"/>
              <w:left w:val="nil"/>
              <w:bottom w:val="single" w:sz="4" w:space="0" w:color="auto"/>
              <w:right w:val="single" w:sz="4" w:space="0" w:color="auto"/>
            </w:tcBorders>
            <w:shd w:val="clear" w:color="auto" w:fill="auto"/>
            <w:noWrap/>
            <w:vAlign w:val="center"/>
          </w:tcPr>
          <w:p w14:paraId="6772E50B" w14:textId="342F49E7"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2</w:t>
            </w:r>
          </w:p>
        </w:tc>
        <w:tc>
          <w:tcPr>
            <w:tcW w:w="1004" w:type="pct"/>
            <w:tcBorders>
              <w:top w:val="nil"/>
              <w:left w:val="nil"/>
              <w:bottom w:val="single" w:sz="4" w:space="0" w:color="auto"/>
              <w:right w:val="single" w:sz="4" w:space="0" w:color="auto"/>
            </w:tcBorders>
            <w:shd w:val="clear" w:color="auto" w:fill="auto"/>
            <w:noWrap/>
            <w:vAlign w:val="center"/>
          </w:tcPr>
          <w:p w14:paraId="3DC9CB6F" w14:textId="1532F950"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186.256</w:t>
            </w:r>
          </w:p>
        </w:tc>
        <w:tc>
          <w:tcPr>
            <w:tcW w:w="901" w:type="pct"/>
            <w:tcBorders>
              <w:top w:val="nil"/>
              <w:left w:val="nil"/>
              <w:bottom w:val="single" w:sz="4" w:space="0" w:color="auto"/>
              <w:right w:val="single" w:sz="4" w:space="0" w:color="auto"/>
            </w:tcBorders>
            <w:shd w:val="clear" w:color="auto" w:fill="auto"/>
            <w:noWrap/>
            <w:vAlign w:val="center"/>
          </w:tcPr>
          <w:p w14:paraId="018E4582" w14:textId="73BB06C4"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0,41 %</w:t>
            </w:r>
          </w:p>
        </w:tc>
        <w:tc>
          <w:tcPr>
            <w:tcW w:w="1011" w:type="pct"/>
            <w:tcBorders>
              <w:top w:val="nil"/>
              <w:left w:val="nil"/>
              <w:bottom w:val="single" w:sz="4" w:space="0" w:color="auto"/>
              <w:right w:val="single" w:sz="4" w:space="0" w:color="auto"/>
            </w:tcBorders>
            <w:shd w:val="clear" w:color="auto" w:fill="auto"/>
            <w:noWrap/>
            <w:vAlign w:val="center"/>
          </w:tcPr>
          <w:p w14:paraId="4A0D3A15" w14:textId="2D9EAF04" w:rsidR="005B11D0" w:rsidRPr="00B2646D" w:rsidRDefault="005B11D0" w:rsidP="005B11D0">
            <w:pPr>
              <w:spacing w:after="0" w:line="240" w:lineRule="auto"/>
              <w:jc w:val="right"/>
              <w:rPr>
                <w:rFonts w:ascii="Arial" w:eastAsia="Times New Roman" w:hAnsi="Arial" w:cs="Arial"/>
                <w:color w:val="000000" w:themeColor="text1"/>
                <w:sz w:val="18"/>
                <w:szCs w:val="18"/>
                <w:lang w:eastAsia="sl-SI"/>
              </w:rPr>
            </w:pPr>
            <w:r w:rsidRPr="00B2646D">
              <w:rPr>
                <w:rFonts w:ascii="Arial" w:eastAsia="Times New Roman" w:hAnsi="Arial" w:cs="Arial"/>
                <w:color w:val="000000" w:themeColor="text1"/>
                <w:sz w:val="18"/>
                <w:szCs w:val="18"/>
                <w:lang w:eastAsia="sl-SI"/>
              </w:rPr>
              <w:t>0,04 %</w:t>
            </w:r>
          </w:p>
        </w:tc>
      </w:tr>
      <w:tr w:rsidR="008C26BB" w:rsidRPr="00B2646D" w14:paraId="45813A70" w14:textId="77777777" w:rsidTr="008C26BB">
        <w:trPr>
          <w:trHeight w:val="300"/>
          <w:jc w:val="center"/>
        </w:trPr>
        <w:tc>
          <w:tcPr>
            <w:tcW w:w="139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974FB3" w14:textId="77777777" w:rsidR="005B11D0" w:rsidRPr="00B2646D" w:rsidRDefault="005B11D0" w:rsidP="005B11D0">
            <w:pPr>
              <w:spacing w:after="0" w:line="240" w:lineRule="auto"/>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Skupaj</w:t>
            </w:r>
          </w:p>
        </w:tc>
        <w:tc>
          <w:tcPr>
            <w:tcW w:w="688" w:type="pct"/>
            <w:tcBorders>
              <w:top w:val="nil"/>
              <w:left w:val="nil"/>
              <w:bottom w:val="single" w:sz="4" w:space="0" w:color="auto"/>
              <w:right w:val="single" w:sz="4" w:space="0" w:color="auto"/>
            </w:tcBorders>
            <w:shd w:val="clear" w:color="auto" w:fill="F2F2F2" w:themeFill="background1" w:themeFillShade="F2"/>
            <w:noWrap/>
            <w:vAlign w:val="center"/>
            <w:hideMark/>
          </w:tcPr>
          <w:p w14:paraId="1DD96304" w14:textId="6B00041B" w:rsidR="005B11D0" w:rsidRPr="00B2646D" w:rsidRDefault="005B11D0" w:rsidP="005B11D0">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484</w:t>
            </w:r>
          </w:p>
        </w:tc>
        <w:tc>
          <w:tcPr>
            <w:tcW w:w="1004" w:type="pct"/>
            <w:tcBorders>
              <w:top w:val="nil"/>
              <w:left w:val="nil"/>
              <w:bottom w:val="single" w:sz="4" w:space="0" w:color="auto"/>
              <w:right w:val="single" w:sz="4" w:space="0" w:color="auto"/>
            </w:tcBorders>
            <w:shd w:val="clear" w:color="auto" w:fill="F2F2F2" w:themeFill="background1" w:themeFillShade="F2"/>
            <w:noWrap/>
            <w:vAlign w:val="center"/>
            <w:hideMark/>
          </w:tcPr>
          <w:p w14:paraId="37B853E4" w14:textId="763AD015" w:rsidR="005B11D0" w:rsidRPr="00B2646D" w:rsidRDefault="005B11D0" w:rsidP="005B11D0">
            <w:pPr>
              <w:spacing w:after="0" w:line="240" w:lineRule="auto"/>
              <w:jc w:val="right"/>
              <w:rPr>
                <w:rFonts w:ascii="Arial" w:eastAsia="Times New Roman" w:hAnsi="Arial" w:cs="Arial"/>
                <w:b/>
                <w:bCs/>
                <w:color w:val="000000" w:themeColor="text1"/>
                <w:sz w:val="18"/>
                <w:szCs w:val="18"/>
                <w:lang w:eastAsia="sl-SI"/>
              </w:rPr>
            </w:pPr>
            <w:bookmarkStart w:id="37" w:name="_Hlk175058370"/>
            <w:r w:rsidRPr="00B2646D">
              <w:rPr>
                <w:rFonts w:ascii="Arial" w:eastAsia="Times New Roman" w:hAnsi="Arial" w:cs="Arial"/>
                <w:b/>
                <w:bCs/>
                <w:color w:val="000000" w:themeColor="text1"/>
                <w:sz w:val="18"/>
                <w:szCs w:val="18"/>
                <w:lang w:eastAsia="sl-SI"/>
              </w:rPr>
              <w:t>468.316.945</w:t>
            </w:r>
            <w:bookmarkEnd w:id="37"/>
          </w:p>
        </w:tc>
        <w:tc>
          <w:tcPr>
            <w:tcW w:w="901" w:type="pct"/>
            <w:tcBorders>
              <w:top w:val="nil"/>
              <w:left w:val="nil"/>
              <w:bottom w:val="single" w:sz="4" w:space="0" w:color="auto"/>
              <w:right w:val="single" w:sz="4" w:space="0" w:color="auto"/>
            </w:tcBorders>
            <w:shd w:val="clear" w:color="auto" w:fill="F2F2F2" w:themeFill="background1" w:themeFillShade="F2"/>
            <w:noWrap/>
            <w:vAlign w:val="center"/>
            <w:hideMark/>
          </w:tcPr>
          <w:p w14:paraId="35771796" w14:textId="733F91CF" w:rsidR="005B11D0" w:rsidRPr="00B2646D" w:rsidRDefault="005B11D0" w:rsidP="005B11D0">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100,00 %</w:t>
            </w:r>
          </w:p>
        </w:tc>
        <w:tc>
          <w:tcPr>
            <w:tcW w:w="1011" w:type="pct"/>
            <w:tcBorders>
              <w:top w:val="nil"/>
              <w:left w:val="nil"/>
              <w:bottom w:val="single" w:sz="4" w:space="0" w:color="auto"/>
              <w:right w:val="single" w:sz="4" w:space="0" w:color="auto"/>
            </w:tcBorders>
            <w:shd w:val="clear" w:color="auto" w:fill="F2F2F2" w:themeFill="background1" w:themeFillShade="F2"/>
            <w:noWrap/>
            <w:vAlign w:val="center"/>
            <w:hideMark/>
          </w:tcPr>
          <w:p w14:paraId="34D0B374" w14:textId="1C5DD023" w:rsidR="005B11D0" w:rsidRPr="00B2646D" w:rsidRDefault="005B11D0" w:rsidP="005B11D0">
            <w:pPr>
              <w:spacing w:after="0" w:line="240" w:lineRule="auto"/>
              <w:jc w:val="right"/>
              <w:rPr>
                <w:rFonts w:ascii="Arial" w:eastAsia="Times New Roman" w:hAnsi="Arial" w:cs="Arial"/>
                <w:b/>
                <w:bCs/>
                <w:color w:val="000000" w:themeColor="text1"/>
                <w:sz w:val="18"/>
                <w:szCs w:val="18"/>
                <w:lang w:eastAsia="sl-SI"/>
              </w:rPr>
            </w:pPr>
            <w:r w:rsidRPr="00B2646D">
              <w:rPr>
                <w:rFonts w:ascii="Arial" w:eastAsia="Times New Roman" w:hAnsi="Arial" w:cs="Arial"/>
                <w:b/>
                <w:bCs/>
                <w:color w:val="000000" w:themeColor="text1"/>
                <w:sz w:val="18"/>
                <w:szCs w:val="18"/>
                <w:lang w:eastAsia="sl-SI"/>
              </w:rPr>
              <w:t>100,00 %</w:t>
            </w:r>
          </w:p>
        </w:tc>
      </w:tr>
    </w:tbl>
    <w:p w14:paraId="62926C4E" w14:textId="77777777" w:rsidR="00203977" w:rsidRPr="00B2646D" w:rsidRDefault="00203977" w:rsidP="00F4617A">
      <w:pPr>
        <w:spacing w:after="0" w:line="240" w:lineRule="auto"/>
        <w:ind w:left="1701" w:hanging="1701"/>
        <w:jc w:val="both"/>
        <w:rPr>
          <w:rFonts w:ascii="Arial" w:hAnsi="Arial" w:cs="Arial"/>
          <w:color w:val="000000" w:themeColor="text1"/>
          <w:sz w:val="20"/>
          <w:szCs w:val="20"/>
          <w:lang w:eastAsia="sl-SI"/>
        </w:rPr>
      </w:pPr>
    </w:p>
    <w:p w14:paraId="7EACE49E" w14:textId="6794CF60" w:rsidR="00760D66" w:rsidRPr="00B2646D" w:rsidRDefault="006A0A09" w:rsidP="004A65AD">
      <w:pPr>
        <w:spacing w:after="0" w:line="240" w:lineRule="auto"/>
        <w:jc w:val="center"/>
        <w:rPr>
          <w:rFonts w:ascii="Arial" w:hAnsi="Arial" w:cs="Arial"/>
          <w:color w:val="000000" w:themeColor="text1"/>
          <w:sz w:val="18"/>
        </w:rPr>
      </w:pPr>
      <w:r w:rsidRPr="00B2646D">
        <w:rPr>
          <w:rFonts w:ascii="Arial" w:hAnsi="Arial" w:cs="Arial"/>
          <w:color w:val="000000" w:themeColor="text1"/>
          <w:sz w:val="18"/>
        </w:rPr>
        <w:t>Vir: Statistični podatki o javnih naročilih, oddanih v letu 20</w:t>
      </w:r>
      <w:r w:rsidR="00175821" w:rsidRPr="00B2646D">
        <w:rPr>
          <w:rFonts w:ascii="Arial" w:hAnsi="Arial" w:cs="Arial"/>
          <w:color w:val="000000" w:themeColor="text1"/>
          <w:sz w:val="18"/>
        </w:rPr>
        <w:t>2</w:t>
      </w:r>
      <w:r w:rsidR="005B11D0" w:rsidRPr="00B2646D">
        <w:rPr>
          <w:rFonts w:ascii="Arial" w:hAnsi="Arial" w:cs="Arial"/>
          <w:color w:val="000000" w:themeColor="text1"/>
          <w:sz w:val="18"/>
        </w:rPr>
        <w:t>3</w:t>
      </w:r>
      <w:r w:rsidR="00862C47" w:rsidRPr="00B2646D">
        <w:rPr>
          <w:rFonts w:ascii="Arial" w:hAnsi="Arial" w:cs="Arial"/>
          <w:color w:val="000000" w:themeColor="text1"/>
          <w:sz w:val="18"/>
        </w:rPr>
        <w:t>.</w:t>
      </w:r>
    </w:p>
    <w:p w14:paraId="2ECC6632" w14:textId="0E7D0BFF" w:rsidR="00E71F9A" w:rsidRPr="00201F5C" w:rsidRDefault="00E71F9A" w:rsidP="008C26BB">
      <w:pPr>
        <w:pStyle w:val="Naslov3"/>
      </w:pPr>
      <w:bookmarkStart w:id="38" w:name="_Toc175563868"/>
      <w:r w:rsidRPr="00201F5C">
        <w:lastRenderedPageBreak/>
        <w:t>2.</w:t>
      </w:r>
      <w:r w:rsidR="00FA2740" w:rsidRPr="00201F5C">
        <w:t>6</w:t>
      </w:r>
      <w:r w:rsidRPr="00201F5C">
        <w:t>.3 Lokalno naročanje</w:t>
      </w:r>
      <w:bookmarkEnd w:id="38"/>
      <w:r w:rsidRPr="00201F5C">
        <w:t xml:space="preserve"> </w:t>
      </w:r>
    </w:p>
    <w:p w14:paraId="7279615B" w14:textId="77777777" w:rsidR="00B11580" w:rsidRPr="00201F5C" w:rsidRDefault="00B11580" w:rsidP="00854405">
      <w:pPr>
        <w:pStyle w:val="ZADEVA"/>
        <w:jc w:val="both"/>
        <w:rPr>
          <w:rFonts w:cs="Arial"/>
          <w:b w:val="0"/>
          <w:color w:val="000000" w:themeColor="text1"/>
          <w:szCs w:val="20"/>
          <w:lang w:val="sl-SI"/>
        </w:rPr>
      </w:pPr>
    </w:p>
    <w:p w14:paraId="3598CE0E" w14:textId="60925906" w:rsidR="00F83DD4" w:rsidRPr="00201F5C" w:rsidRDefault="00CD4647" w:rsidP="00F83DD4">
      <w:pPr>
        <w:spacing w:line="360" w:lineRule="auto"/>
        <w:jc w:val="both"/>
        <w:rPr>
          <w:rFonts w:ascii="Arial" w:hAnsi="Arial" w:cs="Arial"/>
          <w:color w:val="000000" w:themeColor="text1"/>
          <w:sz w:val="20"/>
          <w:szCs w:val="20"/>
          <w:lang w:eastAsia="sl-SI"/>
        </w:rPr>
      </w:pPr>
      <w:r w:rsidRPr="00201F5C">
        <w:rPr>
          <w:rFonts w:ascii="Arial" w:hAnsi="Arial" w:cs="Arial"/>
          <w:color w:val="000000" w:themeColor="text1"/>
          <w:sz w:val="20"/>
          <w:szCs w:val="20"/>
        </w:rPr>
        <w:t>Leta</w:t>
      </w:r>
      <w:r w:rsidR="00223908" w:rsidRPr="00201F5C">
        <w:rPr>
          <w:rFonts w:ascii="Arial" w:hAnsi="Arial" w:cs="Arial"/>
          <w:color w:val="000000" w:themeColor="text1"/>
          <w:sz w:val="20"/>
          <w:szCs w:val="20"/>
        </w:rPr>
        <w:t xml:space="preserve"> 20</w:t>
      </w:r>
      <w:r w:rsidR="005E1B7C" w:rsidRPr="00201F5C">
        <w:rPr>
          <w:rFonts w:ascii="Arial" w:hAnsi="Arial" w:cs="Arial"/>
          <w:color w:val="000000" w:themeColor="text1"/>
          <w:sz w:val="20"/>
          <w:szCs w:val="20"/>
        </w:rPr>
        <w:t>2</w:t>
      </w:r>
      <w:r w:rsidR="00250391" w:rsidRPr="00201F5C">
        <w:rPr>
          <w:rFonts w:ascii="Arial" w:hAnsi="Arial" w:cs="Arial"/>
          <w:color w:val="000000" w:themeColor="text1"/>
          <w:sz w:val="20"/>
          <w:szCs w:val="20"/>
        </w:rPr>
        <w:t>3</w:t>
      </w:r>
      <w:r w:rsidR="00F83DD4" w:rsidRPr="00201F5C">
        <w:rPr>
          <w:rFonts w:ascii="Arial" w:hAnsi="Arial" w:cs="Arial"/>
          <w:color w:val="000000" w:themeColor="text1"/>
          <w:sz w:val="20"/>
          <w:szCs w:val="20"/>
        </w:rPr>
        <w:t xml:space="preserve"> so naročniki slovenskim ponudnikom oddali </w:t>
      </w:r>
      <w:r w:rsidR="005A22F3" w:rsidRPr="00201F5C">
        <w:rPr>
          <w:rFonts w:ascii="Arial" w:hAnsi="Arial" w:cs="Arial"/>
          <w:color w:val="000000" w:themeColor="text1"/>
          <w:sz w:val="20"/>
          <w:szCs w:val="20"/>
        </w:rPr>
        <w:t>1</w:t>
      </w:r>
      <w:r w:rsidR="001A376E" w:rsidRPr="00201F5C">
        <w:rPr>
          <w:rFonts w:ascii="Arial" w:hAnsi="Arial" w:cs="Arial"/>
          <w:color w:val="000000" w:themeColor="text1"/>
          <w:sz w:val="20"/>
          <w:szCs w:val="20"/>
        </w:rPr>
        <w:t>6</w:t>
      </w:r>
      <w:r w:rsidR="009E461C" w:rsidRPr="00201F5C">
        <w:rPr>
          <w:rFonts w:ascii="Arial" w:hAnsi="Arial" w:cs="Arial"/>
          <w:color w:val="000000" w:themeColor="text1"/>
          <w:sz w:val="20"/>
          <w:szCs w:val="20"/>
        </w:rPr>
        <w:t>.</w:t>
      </w:r>
      <w:r w:rsidR="00250391" w:rsidRPr="00201F5C">
        <w:rPr>
          <w:rFonts w:ascii="Arial" w:hAnsi="Arial" w:cs="Arial"/>
          <w:color w:val="000000" w:themeColor="text1"/>
          <w:sz w:val="20"/>
          <w:szCs w:val="20"/>
        </w:rPr>
        <w:t>34</w:t>
      </w:r>
      <w:r w:rsidR="00201F5C" w:rsidRPr="00201F5C">
        <w:rPr>
          <w:rFonts w:ascii="Arial" w:hAnsi="Arial" w:cs="Arial"/>
          <w:color w:val="000000" w:themeColor="text1"/>
          <w:sz w:val="20"/>
          <w:szCs w:val="20"/>
        </w:rPr>
        <w:t>0</w:t>
      </w:r>
      <w:r w:rsidR="00F83DD4" w:rsidRPr="00201F5C">
        <w:rPr>
          <w:rFonts w:ascii="Arial" w:hAnsi="Arial" w:cs="Arial"/>
          <w:color w:val="000000" w:themeColor="text1"/>
          <w:sz w:val="20"/>
          <w:szCs w:val="20"/>
        </w:rPr>
        <w:t xml:space="preserve"> javnih naročil v vrednosti </w:t>
      </w:r>
      <w:r w:rsidR="00201F5C" w:rsidRPr="00201F5C">
        <w:rPr>
          <w:rFonts w:ascii="Arial" w:hAnsi="Arial" w:cs="Arial"/>
          <w:color w:val="000000" w:themeColor="text1"/>
          <w:sz w:val="20"/>
          <w:szCs w:val="20"/>
        </w:rPr>
        <w:t xml:space="preserve">5.763.934.024 </w:t>
      </w:r>
      <w:r w:rsidR="00F83DD4" w:rsidRPr="00201F5C">
        <w:rPr>
          <w:rFonts w:ascii="Arial" w:hAnsi="Arial" w:cs="Arial"/>
          <w:color w:val="000000" w:themeColor="text1"/>
          <w:sz w:val="20"/>
          <w:szCs w:val="20"/>
        </w:rPr>
        <w:t xml:space="preserve">evrov. Največ javnih naročil je bilo dodeljenih ponudnikom iz osrednjeslovenske regije, in sicer </w:t>
      </w:r>
      <w:r w:rsidR="00250391" w:rsidRPr="00201F5C">
        <w:rPr>
          <w:rFonts w:ascii="Arial" w:hAnsi="Arial" w:cs="Arial"/>
          <w:color w:val="000000" w:themeColor="text1"/>
          <w:sz w:val="20"/>
          <w:szCs w:val="20"/>
        </w:rPr>
        <w:t>8</w:t>
      </w:r>
      <w:r w:rsidR="008477FE" w:rsidRPr="00201F5C">
        <w:rPr>
          <w:rFonts w:ascii="Arial" w:hAnsi="Arial" w:cs="Arial"/>
          <w:color w:val="000000" w:themeColor="text1"/>
          <w:sz w:val="20"/>
          <w:szCs w:val="20"/>
        </w:rPr>
        <w:t>.</w:t>
      </w:r>
      <w:r w:rsidR="00250391" w:rsidRPr="00201F5C">
        <w:rPr>
          <w:rFonts w:ascii="Arial" w:hAnsi="Arial" w:cs="Arial"/>
          <w:color w:val="000000" w:themeColor="text1"/>
          <w:sz w:val="20"/>
          <w:szCs w:val="20"/>
        </w:rPr>
        <w:t>67</w:t>
      </w:r>
      <w:r w:rsidR="00201F5C" w:rsidRPr="00201F5C">
        <w:rPr>
          <w:rFonts w:ascii="Arial" w:hAnsi="Arial" w:cs="Arial"/>
          <w:color w:val="000000" w:themeColor="text1"/>
          <w:sz w:val="20"/>
          <w:szCs w:val="20"/>
        </w:rPr>
        <w:t>0</w:t>
      </w:r>
      <w:r w:rsidR="00F83DD4" w:rsidRPr="00201F5C">
        <w:rPr>
          <w:rFonts w:ascii="Arial" w:hAnsi="Arial" w:cs="Arial"/>
          <w:color w:val="000000" w:themeColor="text1"/>
          <w:sz w:val="20"/>
          <w:szCs w:val="20"/>
        </w:rPr>
        <w:t xml:space="preserve"> </w:t>
      </w:r>
      <w:r w:rsidRPr="00201F5C">
        <w:rPr>
          <w:rFonts w:ascii="Arial" w:hAnsi="Arial" w:cs="Arial"/>
          <w:color w:val="000000" w:themeColor="text1"/>
          <w:sz w:val="20"/>
          <w:szCs w:val="20"/>
        </w:rPr>
        <w:t>(</w:t>
      </w:r>
      <w:r w:rsidR="00F83DD4" w:rsidRPr="00201F5C">
        <w:rPr>
          <w:rFonts w:ascii="Arial" w:hAnsi="Arial" w:cs="Arial"/>
          <w:color w:val="000000" w:themeColor="text1"/>
          <w:sz w:val="20"/>
          <w:szCs w:val="20"/>
        </w:rPr>
        <w:t xml:space="preserve">v vrednosti </w:t>
      </w:r>
      <w:r w:rsidR="00201F5C" w:rsidRPr="00201F5C">
        <w:rPr>
          <w:rFonts w:ascii="Arial" w:hAnsi="Arial" w:cs="Arial"/>
          <w:color w:val="000000" w:themeColor="text1"/>
          <w:sz w:val="20"/>
          <w:szCs w:val="20"/>
        </w:rPr>
        <w:t xml:space="preserve">3.229.753.712 </w:t>
      </w:r>
      <w:r w:rsidR="00F83DD4" w:rsidRPr="00201F5C">
        <w:rPr>
          <w:rFonts w:ascii="Arial" w:hAnsi="Arial" w:cs="Arial"/>
          <w:color w:val="000000" w:themeColor="text1"/>
          <w:sz w:val="20"/>
          <w:szCs w:val="20"/>
        </w:rPr>
        <w:t>evrov</w:t>
      </w:r>
      <w:r w:rsidRPr="00201F5C">
        <w:rPr>
          <w:rFonts w:ascii="Arial" w:hAnsi="Arial" w:cs="Arial"/>
          <w:color w:val="000000" w:themeColor="text1"/>
          <w:sz w:val="20"/>
          <w:szCs w:val="20"/>
        </w:rPr>
        <w:t>)</w:t>
      </w:r>
      <w:r w:rsidR="00F83DD4" w:rsidRPr="00201F5C">
        <w:rPr>
          <w:rFonts w:ascii="Arial" w:hAnsi="Arial" w:cs="Arial"/>
          <w:color w:val="000000" w:themeColor="text1"/>
          <w:sz w:val="20"/>
          <w:szCs w:val="20"/>
        </w:rPr>
        <w:t xml:space="preserve">. </w:t>
      </w:r>
      <w:r w:rsidR="00321B1F" w:rsidRPr="00201F5C">
        <w:rPr>
          <w:rFonts w:ascii="Arial" w:hAnsi="Arial" w:cs="Arial"/>
          <w:color w:val="000000" w:themeColor="text1"/>
          <w:sz w:val="20"/>
          <w:szCs w:val="20"/>
        </w:rPr>
        <w:t>P</w:t>
      </w:r>
      <w:r w:rsidR="00F83DD4" w:rsidRPr="00201F5C">
        <w:rPr>
          <w:rFonts w:ascii="Arial" w:hAnsi="Arial" w:cs="Arial"/>
          <w:color w:val="000000" w:themeColor="text1"/>
          <w:sz w:val="20"/>
          <w:szCs w:val="20"/>
        </w:rPr>
        <w:t>reglednica </w:t>
      </w:r>
      <w:r w:rsidR="00321B1F" w:rsidRPr="00201F5C">
        <w:rPr>
          <w:rFonts w:ascii="Arial" w:hAnsi="Arial" w:cs="Arial"/>
          <w:color w:val="000000" w:themeColor="text1"/>
          <w:sz w:val="20"/>
          <w:szCs w:val="20"/>
        </w:rPr>
        <w:t>3</w:t>
      </w:r>
      <w:r w:rsidR="00250391" w:rsidRPr="00201F5C">
        <w:rPr>
          <w:rFonts w:ascii="Arial" w:hAnsi="Arial" w:cs="Arial"/>
          <w:color w:val="000000" w:themeColor="text1"/>
          <w:sz w:val="20"/>
          <w:szCs w:val="20"/>
        </w:rPr>
        <w:t>7</w:t>
      </w:r>
      <w:r w:rsidR="00321B1F" w:rsidRPr="00201F5C">
        <w:rPr>
          <w:rFonts w:ascii="Arial" w:hAnsi="Arial" w:cs="Arial"/>
          <w:color w:val="000000" w:themeColor="text1"/>
          <w:sz w:val="20"/>
          <w:szCs w:val="20"/>
        </w:rPr>
        <w:t xml:space="preserve"> </w:t>
      </w:r>
      <w:r w:rsidR="00F83DD4" w:rsidRPr="00201F5C">
        <w:rPr>
          <w:rFonts w:ascii="Arial" w:hAnsi="Arial" w:cs="Arial"/>
          <w:color w:val="000000" w:themeColor="text1"/>
          <w:sz w:val="20"/>
          <w:szCs w:val="20"/>
        </w:rPr>
        <w:t>prikazuje delež javnih naročil, oddanih slovenskim ponudnikom, glede na regijo</w:t>
      </w:r>
      <w:r w:rsidR="00F83DD4" w:rsidRPr="00201F5C">
        <w:rPr>
          <w:rFonts w:ascii="Arial" w:hAnsi="Arial" w:cs="Arial"/>
          <w:color w:val="000000" w:themeColor="text1"/>
          <w:sz w:val="20"/>
          <w:szCs w:val="20"/>
          <w:lang w:eastAsia="sl-SI"/>
        </w:rPr>
        <w:t>.</w:t>
      </w:r>
      <w:r w:rsidR="005A22F3" w:rsidRPr="00201F5C">
        <w:rPr>
          <w:rFonts w:ascii="Arial" w:hAnsi="Arial" w:cs="Arial"/>
          <w:color w:val="000000" w:themeColor="text1"/>
          <w:sz w:val="20"/>
          <w:szCs w:val="20"/>
        </w:rPr>
        <w:t xml:space="preserve"> </w:t>
      </w:r>
    </w:p>
    <w:p w14:paraId="4225BB70" w14:textId="03DA52A1" w:rsidR="00F83DD4" w:rsidRPr="00201F5C" w:rsidRDefault="00F83DD4" w:rsidP="008A61FD">
      <w:pPr>
        <w:spacing w:before="120" w:after="120" w:line="240" w:lineRule="auto"/>
        <w:jc w:val="both"/>
        <w:rPr>
          <w:rFonts w:ascii="Arial" w:hAnsi="Arial" w:cs="Arial"/>
          <w:color w:val="000000" w:themeColor="text1"/>
          <w:sz w:val="20"/>
        </w:rPr>
      </w:pPr>
      <w:r w:rsidRPr="00201F5C">
        <w:rPr>
          <w:rFonts w:ascii="Arial" w:hAnsi="Arial" w:cs="Arial"/>
          <w:color w:val="000000" w:themeColor="text1"/>
          <w:sz w:val="18"/>
          <w:szCs w:val="18"/>
        </w:rPr>
        <w:t>Preglednica</w:t>
      </w:r>
      <w:r w:rsidRPr="00201F5C">
        <w:rPr>
          <w:rFonts w:ascii="Arial" w:hAnsi="Arial" w:cs="Arial"/>
          <w:color w:val="000000" w:themeColor="text1"/>
          <w:sz w:val="20"/>
        </w:rPr>
        <w:t> </w:t>
      </w:r>
      <w:r w:rsidR="00512F52" w:rsidRPr="00201F5C">
        <w:rPr>
          <w:rFonts w:ascii="Arial" w:hAnsi="Arial" w:cs="Arial"/>
          <w:color w:val="000000" w:themeColor="text1"/>
          <w:sz w:val="20"/>
        </w:rPr>
        <w:t>3</w:t>
      </w:r>
      <w:r w:rsidR="00EA747F" w:rsidRPr="00201F5C">
        <w:rPr>
          <w:rFonts w:ascii="Arial" w:hAnsi="Arial" w:cs="Arial"/>
          <w:color w:val="000000" w:themeColor="text1"/>
          <w:sz w:val="20"/>
        </w:rPr>
        <w:t>7</w:t>
      </w:r>
      <w:r w:rsidRPr="00201F5C">
        <w:rPr>
          <w:rFonts w:ascii="Arial" w:hAnsi="Arial" w:cs="Arial"/>
          <w:color w:val="000000" w:themeColor="text1"/>
          <w:sz w:val="20"/>
        </w:rPr>
        <w:t>: Javna naročila, oddana slovenskim ponudnikom</w:t>
      </w:r>
      <w:r w:rsidR="00DD2501" w:rsidRPr="00201F5C">
        <w:rPr>
          <w:rFonts w:ascii="Arial" w:hAnsi="Arial" w:cs="Arial"/>
          <w:color w:val="000000" w:themeColor="text1"/>
          <w:sz w:val="20"/>
        </w:rPr>
        <w:t>, glede na regijo ponudnika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6"/>
        <w:gridCol w:w="1215"/>
        <w:gridCol w:w="1862"/>
        <w:gridCol w:w="1308"/>
        <w:gridCol w:w="1253"/>
      </w:tblGrid>
      <w:tr w:rsidR="008C26BB" w:rsidRPr="00201F5C" w14:paraId="2E1F1B65" w14:textId="77777777" w:rsidTr="00A631D9">
        <w:trPr>
          <w:trHeight w:val="468"/>
          <w:tblHeader/>
        </w:trPr>
        <w:tc>
          <w:tcPr>
            <w:tcW w:w="1927" w:type="pct"/>
            <w:shd w:val="clear" w:color="000000" w:fill="F2F2F2"/>
            <w:vAlign w:val="center"/>
            <w:hideMark/>
          </w:tcPr>
          <w:p w14:paraId="48BDF7A9" w14:textId="77777777" w:rsidR="008C26BB" w:rsidRPr="00201F5C" w:rsidRDefault="008C26BB" w:rsidP="008C26BB">
            <w:pPr>
              <w:spacing w:after="0" w:line="240" w:lineRule="auto"/>
              <w:jc w:val="center"/>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Regija ponudnika</w:t>
            </w:r>
          </w:p>
        </w:tc>
        <w:tc>
          <w:tcPr>
            <w:tcW w:w="662" w:type="pct"/>
            <w:shd w:val="clear" w:color="000000" w:fill="F2F2F2"/>
            <w:vAlign w:val="center"/>
            <w:hideMark/>
          </w:tcPr>
          <w:p w14:paraId="3AD2DDD2" w14:textId="77777777" w:rsidR="008C26BB" w:rsidRPr="00201F5C" w:rsidRDefault="008C26BB" w:rsidP="008C26BB">
            <w:pPr>
              <w:spacing w:after="0" w:line="240" w:lineRule="auto"/>
              <w:jc w:val="center"/>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Št. naročil</w:t>
            </w:r>
          </w:p>
        </w:tc>
        <w:tc>
          <w:tcPr>
            <w:tcW w:w="1015" w:type="pct"/>
            <w:shd w:val="clear" w:color="000000" w:fill="F2F2F2"/>
            <w:vAlign w:val="center"/>
            <w:hideMark/>
          </w:tcPr>
          <w:p w14:paraId="46948972" w14:textId="0C28F78F" w:rsidR="008C26BB" w:rsidRPr="00201F5C" w:rsidRDefault="008C26BB" w:rsidP="008C26BB">
            <w:pPr>
              <w:spacing w:after="0" w:line="240" w:lineRule="auto"/>
              <w:jc w:val="center"/>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Pogodbena vrednost</w:t>
            </w:r>
            <w:r w:rsidR="00986395" w:rsidRPr="00201F5C">
              <w:rPr>
                <w:rFonts w:ascii="Arial" w:eastAsia="Times New Roman" w:hAnsi="Arial" w:cs="Arial"/>
                <w:color w:val="000000" w:themeColor="text1"/>
                <w:sz w:val="18"/>
                <w:szCs w:val="18"/>
                <w:lang w:eastAsia="sl-SI"/>
              </w:rPr>
              <w:t xml:space="preserve"> (v EUR)</w:t>
            </w:r>
          </w:p>
        </w:tc>
        <w:tc>
          <w:tcPr>
            <w:tcW w:w="713" w:type="pct"/>
            <w:shd w:val="clear" w:color="000000" w:fill="F2F2F2"/>
            <w:vAlign w:val="center"/>
            <w:hideMark/>
          </w:tcPr>
          <w:p w14:paraId="4B69B12E" w14:textId="77777777" w:rsidR="008C26BB" w:rsidRPr="00201F5C" w:rsidRDefault="008C26BB" w:rsidP="008C26BB">
            <w:pPr>
              <w:spacing w:after="0" w:line="240" w:lineRule="auto"/>
              <w:jc w:val="center"/>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Delež v št. naročil</w:t>
            </w:r>
          </w:p>
        </w:tc>
        <w:tc>
          <w:tcPr>
            <w:tcW w:w="683" w:type="pct"/>
            <w:shd w:val="clear" w:color="000000" w:fill="F2F2F2"/>
            <w:vAlign w:val="center"/>
            <w:hideMark/>
          </w:tcPr>
          <w:p w14:paraId="30BF1897" w14:textId="77777777" w:rsidR="008C26BB" w:rsidRPr="00201F5C" w:rsidRDefault="008C26BB" w:rsidP="008C26BB">
            <w:pPr>
              <w:spacing w:after="0" w:line="240" w:lineRule="auto"/>
              <w:jc w:val="center"/>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Delež v vrednosti</w:t>
            </w:r>
          </w:p>
        </w:tc>
      </w:tr>
      <w:tr w:rsidR="00A631D9" w:rsidRPr="00201F5C" w14:paraId="34ECCC00" w14:textId="77777777" w:rsidTr="00A631D9">
        <w:trPr>
          <w:trHeight w:val="300"/>
        </w:trPr>
        <w:tc>
          <w:tcPr>
            <w:tcW w:w="1927" w:type="pct"/>
            <w:shd w:val="clear" w:color="auto" w:fill="auto"/>
            <w:noWrap/>
            <w:vAlign w:val="center"/>
            <w:hideMark/>
          </w:tcPr>
          <w:p w14:paraId="7A6AB08E"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OSREDNJESLOVENSKA</w:t>
            </w:r>
          </w:p>
        </w:tc>
        <w:tc>
          <w:tcPr>
            <w:tcW w:w="662" w:type="pct"/>
            <w:shd w:val="clear" w:color="auto" w:fill="auto"/>
            <w:noWrap/>
            <w:vAlign w:val="center"/>
            <w:hideMark/>
          </w:tcPr>
          <w:p w14:paraId="6A0420A2" w14:textId="24673C6B"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8.670</w:t>
            </w:r>
          </w:p>
        </w:tc>
        <w:tc>
          <w:tcPr>
            <w:tcW w:w="1015" w:type="pct"/>
            <w:shd w:val="clear" w:color="auto" w:fill="auto"/>
            <w:noWrap/>
            <w:vAlign w:val="center"/>
            <w:hideMark/>
          </w:tcPr>
          <w:p w14:paraId="3B64DA2B" w14:textId="4953A9ED"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bookmarkStart w:id="39" w:name="_Hlk176335597"/>
            <w:r w:rsidRPr="00201F5C">
              <w:rPr>
                <w:rFonts w:ascii="Arial" w:eastAsia="Times New Roman" w:hAnsi="Arial" w:cs="Arial"/>
                <w:color w:val="000000" w:themeColor="text1"/>
                <w:sz w:val="18"/>
                <w:szCs w:val="18"/>
                <w:lang w:eastAsia="sl-SI"/>
              </w:rPr>
              <w:t>3.229.753.712</w:t>
            </w:r>
            <w:bookmarkEnd w:id="39"/>
          </w:p>
        </w:tc>
        <w:tc>
          <w:tcPr>
            <w:tcW w:w="713" w:type="pct"/>
            <w:shd w:val="clear" w:color="auto" w:fill="auto"/>
            <w:noWrap/>
            <w:vAlign w:val="center"/>
            <w:hideMark/>
          </w:tcPr>
          <w:p w14:paraId="27126C01" w14:textId="18A15E32"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53,06 %</w:t>
            </w:r>
          </w:p>
        </w:tc>
        <w:tc>
          <w:tcPr>
            <w:tcW w:w="683" w:type="pct"/>
            <w:shd w:val="clear" w:color="auto" w:fill="auto"/>
            <w:noWrap/>
            <w:vAlign w:val="center"/>
            <w:hideMark/>
          </w:tcPr>
          <w:p w14:paraId="08C627AD" w14:textId="0CEDF3D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56,03 %</w:t>
            </w:r>
          </w:p>
        </w:tc>
      </w:tr>
      <w:tr w:rsidR="00A631D9" w:rsidRPr="00201F5C" w14:paraId="5C9E74E3" w14:textId="77777777" w:rsidTr="00A631D9">
        <w:trPr>
          <w:trHeight w:val="300"/>
        </w:trPr>
        <w:tc>
          <w:tcPr>
            <w:tcW w:w="1927" w:type="pct"/>
            <w:shd w:val="clear" w:color="auto" w:fill="auto"/>
            <w:noWrap/>
            <w:vAlign w:val="center"/>
            <w:hideMark/>
          </w:tcPr>
          <w:p w14:paraId="7B5ADFA8"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PODRAVSKA</w:t>
            </w:r>
          </w:p>
        </w:tc>
        <w:tc>
          <w:tcPr>
            <w:tcW w:w="662" w:type="pct"/>
            <w:shd w:val="clear" w:color="auto" w:fill="auto"/>
            <w:noWrap/>
            <w:vAlign w:val="center"/>
            <w:hideMark/>
          </w:tcPr>
          <w:p w14:paraId="6843310E" w14:textId="6A293B68"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1.919</w:t>
            </w:r>
          </w:p>
        </w:tc>
        <w:tc>
          <w:tcPr>
            <w:tcW w:w="1015" w:type="pct"/>
            <w:shd w:val="clear" w:color="auto" w:fill="auto"/>
            <w:noWrap/>
            <w:vAlign w:val="center"/>
            <w:hideMark/>
          </w:tcPr>
          <w:p w14:paraId="74BDDE31" w14:textId="011FDA8D"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595.020.557</w:t>
            </w:r>
          </w:p>
        </w:tc>
        <w:tc>
          <w:tcPr>
            <w:tcW w:w="713" w:type="pct"/>
            <w:shd w:val="clear" w:color="auto" w:fill="auto"/>
            <w:noWrap/>
            <w:vAlign w:val="center"/>
            <w:hideMark/>
          </w:tcPr>
          <w:p w14:paraId="33020486" w14:textId="43B430C5"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11,74 %</w:t>
            </w:r>
          </w:p>
        </w:tc>
        <w:tc>
          <w:tcPr>
            <w:tcW w:w="683" w:type="pct"/>
            <w:shd w:val="clear" w:color="auto" w:fill="auto"/>
            <w:noWrap/>
            <w:vAlign w:val="center"/>
            <w:hideMark/>
          </w:tcPr>
          <w:p w14:paraId="6F7452EE" w14:textId="44AE1D1B"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10,32 %</w:t>
            </w:r>
          </w:p>
        </w:tc>
      </w:tr>
      <w:tr w:rsidR="00A631D9" w:rsidRPr="00201F5C" w14:paraId="0C735334" w14:textId="77777777" w:rsidTr="00A631D9">
        <w:trPr>
          <w:trHeight w:val="300"/>
        </w:trPr>
        <w:tc>
          <w:tcPr>
            <w:tcW w:w="1927" w:type="pct"/>
            <w:shd w:val="clear" w:color="auto" w:fill="auto"/>
            <w:noWrap/>
            <w:vAlign w:val="center"/>
            <w:hideMark/>
          </w:tcPr>
          <w:p w14:paraId="45F70F31"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GORENJSKA</w:t>
            </w:r>
          </w:p>
        </w:tc>
        <w:tc>
          <w:tcPr>
            <w:tcW w:w="662" w:type="pct"/>
            <w:shd w:val="clear" w:color="auto" w:fill="auto"/>
            <w:noWrap/>
            <w:vAlign w:val="center"/>
            <w:hideMark/>
          </w:tcPr>
          <w:p w14:paraId="320EA5C4"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1.202</w:t>
            </w:r>
          </w:p>
        </w:tc>
        <w:tc>
          <w:tcPr>
            <w:tcW w:w="1015" w:type="pct"/>
            <w:shd w:val="clear" w:color="auto" w:fill="auto"/>
            <w:noWrap/>
            <w:vAlign w:val="center"/>
            <w:hideMark/>
          </w:tcPr>
          <w:p w14:paraId="76FA174F"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537.308.629</w:t>
            </w:r>
          </w:p>
        </w:tc>
        <w:tc>
          <w:tcPr>
            <w:tcW w:w="713" w:type="pct"/>
            <w:shd w:val="clear" w:color="auto" w:fill="auto"/>
            <w:noWrap/>
            <w:vAlign w:val="center"/>
            <w:hideMark/>
          </w:tcPr>
          <w:p w14:paraId="735D19FF" w14:textId="0D2B2A91"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7,36 %</w:t>
            </w:r>
          </w:p>
        </w:tc>
        <w:tc>
          <w:tcPr>
            <w:tcW w:w="683" w:type="pct"/>
            <w:shd w:val="clear" w:color="auto" w:fill="auto"/>
            <w:noWrap/>
            <w:vAlign w:val="center"/>
            <w:hideMark/>
          </w:tcPr>
          <w:p w14:paraId="55BB45D8" w14:textId="1E97D0CA"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9,32 %</w:t>
            </w:r>
          </w:p>
        </w:tc>
      </w:tr>
      <w:tr w:rsidR="00A631D9" w:rsidRPr="00201F5C" w14:paraId="0F665539" w14:textId="77777777" w:rsidTr="00A631D9">
        <w:trPr>
          <w:trHeight w:val="300"/>
        </w:trPr>
        <w:tc>
          <w:tcPr>
            <w:tcW w:w="1927" w:type="pct"/>
            <w:shd w:val="clear" w:color="auto" w:fill="auto"/>
            <w:noWrap/>
            <w:vAlign w:val="center"/>
            <w:hideMark/>
          </w:tcPr>
          <w:p w14:paraId="3F4B9C4D"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SAVINJSKA</w:t>
            </w:r>
          </w:p>
        </w:tc>
        <w:tc>
          <w:tcPr>
            <w:tcW w:w="662" w:type="pct"/>
            <w:shd w:val="clear" w:color="auto" w:fill="auto"/>
            <w:noWrap/>
            <w:vAlign w:val="center"/>
            <w:hideMark/>
          </w:tcPr>
          <w:p w14:paraId="52B80878"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1.572</w:t>
            </w:r>
          </w:p>
        </w:tc>
        <w:tc>
          <w:tcPr>
            <w:tcW w:w="1015" w:type="pct"/>
            <w:shd w:val="clear" w:color="auto" w:fill="auto"/>
            <w:noWrap/>
            <w:vAlign w:val="center"/>
            <w:hideMark/>
          </w:tcPr>
          <w:p w14:paraId="7929BCE8"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402.777.095</w:t>
            </w:r>
          </w:p>
        </w:tc>
        <w:tc>
          <w:tcPr>
            <w:tcW w:w="713" w:type="pct"/>
            <w:shd w:val="clear" w:color="auto" w:fill="auto"/>
            <w:noWrap/>
            <w:vAlign w:val="center"/>
            <w:hideMark/>
          </w:tcPr>
          <w:p w14:paraId="5140FDE7" w14:textId="270E128F"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9,62 %</w:t>
            </w:r>
          </w:p>
        </w:tc>
        <w:tc>
          <w:tcPr>
            <w:tcW w:w="683" w:type="pct"/>
            <w:shd w:val="clear" w:color="auto" w:fill="auto"/>
            <w:noWrap/>
            <w:vAlign w:val="center"/>
            <w:hideMark/>
          </w:tcPr>
          <w:p w14:paraId="455956DE" w14:textId="03EFF891"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6,99 %</w:t>
            </w:r>
          </w:p>
        </w:tc>
      </w:tr>
      <w:tr w:rsidR="00A631D9" w:rsidRPr="00201F5C" w14:paraId="5E119136" w14:textId="77777777" w:rsidTr="00A631D9">
        <w:trPr>
          <w:trHeight w:val="300"/>
        </w:trPr>
        <w:tc>
          <w:tcPr>
            <w:tcW w:w="1927" w:type="pct"/>
            <w:shd w:val="clear" w:color="auto" w:fill="auto"/>
            <w:noWrap/>
            <w:vAlign w:val="center"/>
            <w:hideMark/>
          </w:tcPr>
          <w:p w14:paraId="63E025A0"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GORIŠKA</w:t>
            </w:r>
          </w:p>
        </w:tc>
        <w:tc>
          <w:tcPr>
            <w:tcW w:w="662" w:type="pct"/>
            <w:shd w:val="clear" w:color="auto" w:fill="auto"/>
            <w:noWrap/>
            <w:vAlign w:val="center"/>
            <w:hideMark/>
          </w:tcPr>
          <w:p w14:paraId="291054A0"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612</w:t>
            </w:r>
          </w:p>
        </w:tc>
        <w:tc>
          <w:tcPr>
            <w:tcW w:w="1015" w:type="pct"/>
            <w:shd w:val="clear" w:color="auto" w:fill="auto"/>
            <w:noWrap/>
            <w:vAlign w:val="center"/>
            <w:hideMark/>
          </w:tcPr>
          <w:p w14:paraId="728B4E5F"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302.734.878</w:t>
            </w:r>
          </w:p>
        </w:tc>
        <w:tc>
          <w:tcPr>
            <w:tcW w:w="713" w:type="pct"/>
            <w:shd w:val="clear" w:color="auto" w:fill="auto"/>
            <w:noWrap/>
            <w:vAlign w:val="center"/>
            <w:hideMark/>
          </w:tcPr>
          <w:p w14:paraId="654A80F4" w14:textId="5A1FF239"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3,75 %</w:t>
            </w:r>
          </w:p>
        </w:tc>
        <w:tc>
          <w:tcPr>
            <w:tcW w:w="683" w:type="pct"/>
            <w:shd w:val="clear" w:color="auto" w:fill="auto"/>
            <w:noWrap/>
            <w:vAlign w:val="center"/>
            <w:hideMark/>
          </w:tcPr>
          <w:p w14:paraId="764206F3" w14:textId="04EE6900"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5,25 %</w:t>
            </w:r>
          </w:p>
        </w:tc>
      </w:tr>
      <w:tr w:rsidR="00A631D9" w:rsidRPr="00201F5C" w14:paraId="51459316" w14:textId="77777777" w:rsidTr="00A631D9">
        <w:trPr>
          <w:trHeight w:val="300"/>
        </w:trPr>
        <w:tc>
          <w:tcPr>
            <w:tcW w:w="1927" w:type="pct"/>
            <w:shd w:val="clear" w:color="auto" w:fill="auto"/>
            <w:noWrap/>
            <w:vAlign w:val="center"/>
            <w:hideMark/>
          </w:tcPr>
          <w:p w14:paraId="62FCA50C"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OBALNO-KRAŠKA</w:t>
            </w:r>
          </w:p>
        </w:tc>
        <w:tc>
          <w:tcPr>
            <w:tcW w:w="662" w:type="pct"/>
            <w:shd w:val="clear" w:color="auto" w:fill="auto"/>
            <w:noWrap/>
            <w:vAlign w:val="center"/>
            <w:hideMark/>
          </w:tcPr>
          <w:p w14:paraId="1154B4CC"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441</w:t>
            </w:r>
          </w:p>
        </w:tc>
        <w:tc>
          <w:tcPr>
            <w:tcW w:w="1015" w:type="pct"/>
            <w:shd w:val="clear" w:color="auto" w:fill="auto"/>
            <w:noWrap/>
            <w:vAlign w:val="center"/>
            <w:hideMark/>
          </w:tcPr>
          <w:p w14:paraId="79A8BE1D"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184.218.217</w:t>
            </w:r>
          </w:p>
        </w:tc>
        <w:tc>
          <w:tcPr>
            <w:tcW w:w="713" w:type="pct"/>
            <w:shd w:val="clear" w:color="auto" w:fill="auto"/>
            <w:noWrap/>
            <w:vAlign w:val="center"/>
            <w:hideMark/>
          </w:tcPr>
          <w:p w14:paraId="59924DBA" w14:textId="0D147A33"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2,70 %</w:t>
            </w:r>
          </w:p>
        </w:tc>
        <w:tc>
          <w:tcPr>
            <w:tcW w:w="683" w:type="pct"/>
            <w:shd w:val="clear" w:color="auto" w:fill="auto"/>
            <w:noWrap/>
            <w:vAlign w:val="center"/>
            <w:hideMark/>
          </w:tcPr>
          <w:p w14:paraId="5CBCC7B0" w14:textId="60EE6B4A"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3,20 %</w:t>
            </w:r>
          </w:p>
        </w:tc>
      </w:tr>
      <w:tr w:rsidR="00A631D9" w:rsidRPr="00201F5C" w14:paraId="7B62CCEB" w14:textId="77777777" w:rsidTr="00A631D9">
        <w:trPr>
          <w:trHeight w:val="300"/>
        </w:trPr>
        <w:tc>
          <w:tcPr>
            <w:tcW w:w="1927" w:type="pct"/>
            <w:shd w:val="clear" w:color="auto" w:fill="auto"/>
            <w:noWrap/>
            <w:vAlign w:val="center"/>
            <w:hideMark/>
          </w:tcPr>
          <w:p w14:paraId="75289F43"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POMURSKA</w:t>
            </w:r>
          </w:p>
        </w:tc>
        <w:tc>
          <w:tcPr>
            <w:tcW w:w="662" w:type="pct"/>
            <w:shd w:val="clear" w:color="auto" w:fill="auto"/>
            <w:noWrap/>
            <w:vAlign w:val="center"/>
            <w:hideMark/>
          </w:tcPr>
          <w:p w14:paraId="3272B93D"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624</w:t>
            </w:r>
          </w:p>
        </w:tc>
        <w:tc>
          <w:tcPr>
            <w:tcW w:w="1015" w:type="pct"/>
            <w:shd w:val="clear" w:color="auto" w:fill="auto"/>
            <w:noWrap/>
            <w:vAlign w:val="center"/>
            <w:hideMark/>
          </w:tcPr>
          <w:p w14:paraId="76392236"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162.214.398</w:t>
            </w:r>
          </w:p>
        </w:tc>
        <w:tc>
          <w:tcPr>
            <w:tcW w:w="713" w:type="pct"/>
            <w:shd w:val="clear" w:color="auto" w:fill="auto"/>
            <w:noWrap/>
            <w:vAlign w:val="center"/>
            <w:hideMark/>
          </w:tcPr>
          <w:p w14:paraId="08E275A5" w14:textId="79F00CBB"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3,82 %</w:t>
            </w:r>
          </w:p>
        </w:tc>
        <w:tc>
          <w:tcPr>
            <w:tcW w:w="683" w:type="pct"/>
            <w:shd w:val="clear" w:color="auto" w:fill="auto"/>
            <w:noWrap/>
            <w:vAlign w:val="center"/>
            <w:hideMark/>
          </w:tcPr>
          <w:p w14:paraId="72C7F083" w14:textId="7B29DF56"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2,81 %</w:t>
            </w:r>
          </w:p>
        </w:tc>
      </w:tr>
      <w:tr w:rsidR="00A631D9" w:rsidRPr="00201F5C" w14:paraId="1C8E0837" w14:textId="77777777" w:rsidTr="00A631D9">
        <w:trPr>
          <w:trHeight w:val="300"/>
        </w:trPr>
        <w:tc>
          <w:tcPr>
            <w:tcW w:w="1927" w:type="pct"/>
            <w:shd w:val="clear" w:color="auto" w:fill="auto"/>
            <w:noWrap/>
            <w:vAlign w:val="center"/>
            <w:hideMark/>
          </w:tcPr>
          <w:p w14:paraId="185C52FA"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JUGOVZHODNA SLOVENIJA</w:t>
            </w:r>
          </w:p>
        </w:tc>
        <w:tc>
          <w:tcPr>
            <w:tcW w:w="662" w:type="pct"/>
            <w:shd w:val="clear" w:color="auto" w:fill="auto"/>
            <w:noWrap/>
            <w:vAlign w:val="center"/>
            <w:hideMark/>
          </w:tcPr>
          <w:p w14:paraId="28E8012F"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437</w:t>
            </w:r>
          </w:p>
        </w:tc>
        <w:tc>
          <w:tcPr>
            <w:tcW w:w="1015" w:type="pct"/>
            <w:shd w:val="clear" w:color="auto" w:fill="auto"/>
            <w:noWrap/>
            <w:vAlign w:val="center"/>
            <w:hideMark/>
          </w:tcPr>
          <w:p w14:paraId="67824309"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143.605.664</w:t>
            </w:r>
          </w:p>
        </w:tc>
        <w:tc>
          <w:tcPr>
            <w:tcW w:w="713" w:type="pct"/>
            <w:shd w:val="clear" w:color="auto" w:fill="auto"/>
            <w:noWrap/>
            <w:vAlign w:val="center"/>
            <w:hideMark/>
          </w:tcPr>
          <w:p w14:paraId="0B529DBE" w14:textId="4955D99D"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2,67 %</w:t>
            </w:r>
          </w:p>
        </w:tc>
        <w:tc>
          <w:tcPr>
            <w:tcW w:w="683" w:type="pct"/>
            <w:shd w:val="clear" w:color="auto" w:fill="auto"/>
            <w:noWrap/>
            <w:vAlign w:val="center"/>
            <w:hideMark/>
          </w:tcPr>
          <w:p w14:paraId="7B7A43F5" w14:textId="38CED4BB"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2,49 %</w:t>
            </w:r>
          </w:p>
        </w:tc>
      </w:tr>
      <w:tr w:rsidR="00A631D9" w:rsidRPr="00201F5C" w14:paraId="50B0B1F8" w14:textId="77777777" w:rsidTr="00A631D9">
        <w:trPr>
          <w:trHeight w:val="300"/>
        </w:trPr>
        <w:tc>
          <w:tcPr>
            <w:tcW w:w="1927" w:type="pct"/>
            <w:shd w:val="clear" w:color="auto" w:fill="auto"/>
            <w:noWrap/>
            <w:vAlign w:val="center"/>
            <w:hideMark/>
          </w:tcPr>
          <w:p w14:paraId="0FDDE35A"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POSAVSKA</w:t>
            </w:r>
          </w:p>
        </w:tc>
        <w:tc>
          <w:tcPr>
            <w:tcW w:w="662" w:type="pct"/>
            <w:shd w:val="clear" w:color="auto" w:fill="auto"/>
            <w:noWrap/>
            <w:vAlign w:val="center"/>
            <w:hideMark/>
          </w:tcPr>
          <w:p w14:paraId="4E679E1B"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282</w:t>
            </w:r>
          </w:p>
        </w:tc>
        <w:tc>
          <w:tcPr>
            <w:tcW w:w="1015" w:type="pct"/>
            <w:shd w:val="clear" w:color="auto" w:fill="auto"/>
            <w:noWrap/>
            <w:vAlign w:val="center"/>
            <w:hideMark/>
          </w:tcPr>
          <w:p w14:paraId="7829444D"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85.790.422</w:t>
            </w:r>
          </w:p>
        </w:tc>
        <w:tc>
          <w:tcPr>
            <w:tcW w:w="713" w:type="pct"/>
            <w:shd w:val="clear" w:color="auto" w:fill="auto"/>
            <w:noWrap/>
            <w:vAlign w:val="center"/>
            <w:hideMark/>
          </w:tcPr>
          <w:p w14:paraId="622E3DA6" w14:textId="0225BEB1"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1,73 %</w:t>
            </w:r>
          </w:p>
        </w:tc>
        <w:tc>
          <w:tcPr>
            <w:tcW w:w="683" w:type="pct"/>
            <w:shd w:val="clear" w:color="auto" w:fill="auto"/>
            <w:noWrap/>
            <w:vAlign w:val="center"/>
            <w:hideMark/>
          </w:tcPr>
          <w:p w14:paraId="22FFF6ED" w14:textId="1BE4EEA8"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1,49 %</w:t>
            </w:r>
          </w:p>
        </w:tc>
      </w:tr>
      <w:tr w:rsidR="00A631D9" w:rsidRPr="00201F5C" w14:paraId="17B64DE2" w14:textId="77777777" w:rsidTr="00A631D9">
        <w:trPr>
          <w:trHeight w:val="300"/>
        </w:trPr>
        <w:tc>
          <w:tcPr>
            <w:tcW w:w="1927" w:type="pct"/>
            <w:shd w:val="clear" w:color="auto" w:fill="auto"/>
            <w:noWrap/>
            <w:vAlign w:val="center"/>
            <w:hideMark/>
          </w:tcPr>
          <w:p w14:paraId="25A86910"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ZASAVSKA</w:t>
            </w:r>
          </w:p>
        </w:tc>
        <w:tc>
          <w:tcPr>
            <w:tcW w:w="662" w:type="pct"/>
            <w:shd w:val="clear" w:color="auto" w:fill="auto"/>
            <w:noWrap/>
            <w:vAlign w:val="center"/>
            <w:hideMark/>
          </w:tcPr>
          <w:p w14:paraId="48D348DA"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161</w:t>
            </w:r>
          </w:p>
        </w:tc>
        <w:tc>
          <w:tcPr>
            <w:tcW w:w="1015" w:type="pct"/>
            <w:shd w:val="clear" w:color="auto" w:fill="auto"/>
            <w:noWrap/>
            <w:vAlign w:val="center"/>
            <w:hideMark/>
          </w:tcPr>
          <w:p w14:paraId="6C9EBC51"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66.427.780</w:t>
            </w:r>
          </w:p>
        </w:tc>
        <w:tc>
          <w:tcPr>
            <w:tcW w:w="713" w:type="pct"/>
            <w:shd w:val="clear" w:color="auto" w:fill="auto"/>
            <w:noWrap/>
            <w:vAlign w:val="center"/>
            <w:hideMark/>
          </w:tcPr>
          <w:p w14:paraId="20AB6990" w14:textId="15DC30C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0,99 %</w:t>
            </w:r>
          </w:p>
        </w:tc>
        <w:tc>
          <w:tcPr>
            <w:tcW w:w="683" w:type="pct"/>
            <w:shd w:val="clear" w:color="auto" w:fill="auto"/>
            <w:noWrap/>
            <w:vAlign w:val="center"/>
            <w:hideMark/>
          </w:tcPr>
          <w:p w14:paraId="6AFD6FC8" w14:textId="5455C519"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1,15 %</w:t>
            </w:r>
          </w:p>
        </w:tc>
      </w:tr>
      <w:tr w:rsidR="00A631D9" w:rsidRPr="00201F5C" w14:paraId="5F8BFAB6" w14:textId="77777777" w:rsidTr="00A631D9">
        <w:trPr>
          <w:trHeight w:val="300"/>
        </w:trPr>
        <w:tc>
          <w:tcPr>
            <w:tcW w:w="1927" w:type="pct"/>
            <w:shd w:val="clear" w:color="auto" w:fill="auto"/>
            <w:noWrap/>
            <w:vAlign w:val="center"/>
            <w:hideMark/>
          </w:tcPr>
          <w:p w14:paraId="47D6A540"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KOROŠKA</w:t>
            </w:r>
          </w:p>
        </w:tc>
        <w:tc>
          <w:tcPr>
            <w:tcW w:w="662" w:type="pct"/>
            <w:shd w:val="clear" w:color="auto" w:fill="auto"/>
            <w:noWrap/>
            <w:vAlign w:val="center"/>
            <w:hideMark/>
          </w:tcPr>
          <w:p w14:paraId="108E7367"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187</w:t>
            </w:r>
          </w:p>
        </w:tc>
        <w:tc>
          <w:tcPr>
            <w:tcW w:w="1015" w:type="pct"/>
            <w:shd w:val="clear" w:color="auto" w:fill="auto"/>
            <w:noWrap/>
            <w:vAlign w:val="center"/>
            <w:hideMark/>
          </w:tcPr>
          <w:p w14:paraId="43EDE027"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40.232.313</w:t>
            </w:r>
          </w:p>
        </w:tc>
        <w:tc>
          <w:tcPr>
            <w:tcW w:w="713" w:type="pct"/>
            <w:shd w:val="clear" w:color="auto" w:fill="auto"/>
            <w:noWrap/>
            <w:vAlign w:val="center"/>
            <w:hideMark/>
          </w:tcPr>
          <w:p w14:paraId="17BD18AE" w14:textId="6C144E74"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1,14 %</w:t>
            </w:r>
          </w:p>
        </w:tc>
        <w:tc>
          <w:tcPr>
            <w:tcW w:w="683" w:type="pct"/>
            <w:shd w:val="clear" w:color="auto" w:fill="auto"/>
            <w:noWrap/>
            <w:vAlign w:val="center"/>
            <w:hideMark/>
          </w:tcPr>
          <w:p w14:paraId="4C687CE3" w14:textId="037BD69E"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0,70 %</w:t>
            </w:r>
          </w:p>
        </w:tc>
      </w:tr>
      <w:tr w:rsidR="00A631D9" w:rsidRPr="00201F5C" w14:paraId="5C22ABB0" w14:textId="77777777" w:rsidTr="00A631D9">
        <w:trPr>
          <w:trHeight w:val="300"/>
        </w:trPr>
        <w:tc>
          <w:tcPr>
            <w:tcW w:w="1927" w:type="pct"/>
            <w:shd w:val="clear" w:color="auto" w:fill="auto"/>
            <w:noWrap/>
            <w:vAlign w:val="center"/>
            <w:hideMark/>
          </w:tcPr>
          <w:p w14:paraId="181E07B0" w14:textId="77777777" w:rsidR="00A631D9" w:rsidRPr="00201F5C" w:rsidRDefault="00A631D9" w:rsidP="00A631D9">
            <w:pPr>
              <w:spacing w:after="0" w:line="240" w:lineRule="auto"/>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PRIMORSKO-NOTRANJSKA</w:t>
            </w:r>
          </w:p>
        </w:tc>
        <w:tc>
          <w:tcPr>
            <w:tcW w:w="662" w:type="pct"/>
            <w:shd w:val="clear" w:color="auto" w:fill="auto"/>
            <w:noWrap/>
            <w:vAlign w:val="center"/>
            <w:hideMark/>
          </w:tcPr>
          <w:p w14:paraId="5319B02C"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233</w:t>
            </w:r>
          </w:p>
        </w:tc>
        <w:tc>
          <w:tcPr>
            <w:tcW w:w="1015" w:type="pct"/>
            <w:shd w:val="clear" w:color="auto" w:fill="auto"/>
            <w:noWrap/>
            <w:vAlign w:val="center"/>
            <w:hideMark/>
          </w:tcPr>
          <w:p w14:paraId="1B885B88" w14:textId="77777777"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13.850.359</w:t>
            </w:r>
          </w:p>
        </w:tc>
        <w:tc>
          <w:tcPr>
            <w:tcW w:w="713" w:type="pct"/>
            <w:shd w:val="clear" w:color="auto" w:fill="auto"/>
            <w:noWrap/>
            <w:vAlign w:val="center"/>
            <w:hideMark/>
          </w:tcPr>
          <w:p w14:paraId="592C3830" w14:textId="2E858414"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1,43 %</w:t>
            </w:r>
          </w:p>
        </w:tc>
        <w:tc>
          <w:tcPr>
            <w:tcW w:w="683" w:type="pct"/>
            <w:shd w:val="clear" w:color="auto" w:fill="auto"/>
            <w:noWrap/>
            <w:vAlign w:val="center"/>
            <w:hideMark/>
          </w:tcPr>
          <w:p w14:paraId="107463BB" w14:textId="5C185B98" w:rsidR="00A631D9" w:rsidRPr="00201F5C" w:rsidRDefault="00A631D9" w:rsidP="00A631D9">
            <w:pPr>
              <w:spacing w:after="0" w:line="240" w:lineRule="auto"/>
              <w:jc w:val="right"/>
              <w:rPr>
                <w:rFonts w:ascii="Arial" w:eastAsia="Times New Roman" w:hAnsi="Arial" w:cs="Arial"/>
                <w:color w:val="000000" w:themeColor="text1"/>
                <w:sz w:val="18"/>
                <w:szCs w:val="18"/>
                <w:lang w:eastAsia="sl-SI"/>
              </w:rPr>
            </w:pPr>
            <w:r w:rsidRPr="00201F5C">
              <w:rPr>
                <w:rFonts w:ascii="Arial" w:eastAsia="Times New Roman" w:hAnsi="Arial" w:cs="Arial"/>
                <w:color w:val="000000" w:themeColor="text1"/>
                <w:sz w:val="18"/>
                <w:szCs w:val="18"/>
                <w:lang w:eastAsia="sl-SI"/>
              </w:rPr>
              <w:t>0,24 %</w:t>
            </w:r>
          </w:p>
        </w:tc>
      </w:tr>
      <w:tr w:rsidR="00201F5C" w:rsidRPr="00201F5C" w14:paraId="62FD48C4" w14:textId="77777777" w:rsidTr="00A631D9">
        <w:trPr>
          <w:trHeight w:val="300"/>
        </w:trPr>
        <w:tc>
          <w:tcPr>
            <w:tcW w:w="1927" w:type="pct"/>
            <w:shd w:val="clear" w:color="000000" w:fill="F2F2F2"/>
            <w:noWrap/>
            <w:vAlign w:val="center"/>
            <w:hideMark/>
          </w:tcPr>
          <w:p w14:paraId="392165F7" w14:textId="77777777" w:rsidR="00201F5C" w:rsidRPr="00201F5C" w:rsidRDefault="00201F5C" w:rsidP="00201F5C">
            <w:pPr>
              <w:spacing w:after="0" w:line="240" w:lineRule="auto"/>
              <w:rPr>
                <w:rFonts w:ascii="Arial" w:eastAsia="Times New Roman" w:hAnsi="Arial" w:cs="Arial"/>
                <w:b/>
                <w:bCs/>
                <w:color w:val="000000" w:themeColor="text1"/>
                <w:sz w:val="18"/>
                <w:szCs w:val="18"/>
                <w:lang w:eastAsia="sl-SI"/>
              </w:rPr>
            </w:pPr>
            <w:r w:rsidRPr="00201F5C">
              <w:rPr>
                <w:rFonts w:ascii="Arial" w:eastAsia="Times New Roman" w:hAnsi="Arial" w:cs="Arial"/>
                <w:b/>
                <w:bCs/>
                <w:color w:val="000000" w:themeColor="text1"/>
                <w:sz w:val="18"/>
                <w:szCs w:val="18"/>
                <w:lang w:eastAsia="sl-SI"/>
              </w:rPr>
              <w:t>Skupaj</w:t>
            </w:r>
          </w:p>
        </w:tc>
        <w:tc>
          <w:tcPr>
            <w:tcW w:w="662" w:type="pct"/>
            <w:shd w:val="clear" w:color="000000" w:fill="F2F2F2"/>
            <w:noWrap/>
            <w:vAlign w:val="center"/>
            <w:hideMark/>
          </w:tcPr>
          <w:p w14:paraId="51518534" w14:textId="022FBB6B" w:rsidR="00201F5C" w:rsidRPr="00201F5C" w:rsidRDefault="00201F5C" w:rsidP="00201F5C">
            <w:pPr>
              <w:spacing w:after="0" w:line="240" w:lineRule="auto"/>
              <w:jc w:val="right"/>
              <w:rPr>
                <w:rFonts w:ascii="Arial" w:eastAsia="Times New Roman" w:hAnsi="Arial" w:cs="Arial"/>
                <w:b/>
                <w:bCs/>
                <w:color w:val="000000" w:themeColor="text1"/>
                <w:sz w:val="18"/>
                <w:szCs w:val="18"/>
                <w:lang w:eastAsia="sl-SI"/>
              </w:rPr>
            </w:pPr>
            <w:r w:rsidRPr="00201F5C">
              <w:rPr>
                <w:rFonts w:ascii="Arial" w:hAnsi="Arial" w:cs="Arial"/>
                <w:b/>
                <w:bCs/>
                <w:color w:val="000000"/>
                <w:sz w:val="18"/>
                <w:szCs w:val="18"/>
              </w:rPr>
              <w:t>16.340</w:t>
            </w:r>
          </w:p>
        </w:tc>
        <w:tc>
          <w:tcPr>
            <w:tcW w:w="1015" w:type="pct"/>
            <w:shd w:val="clear" w:color="000000" w:fill="F2F2F2"/>
            <w:noWrap/>
            <w:vAlign w:val="center"/>
            <w:hideMark/>
          </w:tcPr>
          <w:p w14:paraId="3F6FF8E1" w14:textId="2FEA5ECE" w:rsidR="00201F5C" w:rsidRPr="00201F5C" w:rsidRDefault="00201F5C" w:rsidP="00201F5C">
            <w:pPr>
              <w:spacing w:after="0" w:line="240" w:lineRule="auto"/>
              <w:jc w:val="right"/>
              <w:rPr>
                <w:rFonts w:ascii="Arial" w:eastAsia="Times New Roman" w:hAnsi="Arial" w:cs="Arial"/>
                <w:b/>
                <w:bCs/>
                <w:color w:val="000000" w:themeColor="text1"/>
                <w:sz w:val="18"/>
                <w:szCs w:val="18"/>
                <w:lang w:eastAsia="sl-SI"/>
              </w:rPr>
            </w:pPr>
            <w:r w:rsidRPr="00201F5C">
              <w:rPr>
                <w:rFonts w:ascii="Arial" w:hAnsi="Arial" w:cs="Arial"/>
                <w:b/>
                <w:bCs/>
                <w:color w:val="000000"/>
                <w:sz w:val="18"/>
                <w:szCs w:val="18"/>
              </w:rPr>
              <w:t>5.763.934.024</w:t>
            </w:r>
          </w:p>
        </w:tc>
        <w:tc>
          <w:tcPr>
            <w:tcW w:w="713" w:type="pct"/>
            <w:shd w:val="clear" w:color="auto" w:fill="F2F2F2" w:themeFill="background1" w:themeFillShade="F2"/>
            <w:noWrap/>
            <w:vAlign w:val="center"/>
            <w:hideMark/>
          </w:tcPr>
          <w:p w14:paraId="45AB932C" w14:textId="74E96AEE" w:rsidR="00201F5C" w:rsidRPr="00201F5C" w:rsidRDefault="00201F5C" w:rsidP="00201F5C">
            <w:pPr>
              <w:spacing w:after="0" w:line="240" w:lineRule="auto"/>
              <w:jc w:val="right"/>
              <w:rPr>
                <w:rFonts w:ascii="Arial" w:eastAsia="Times New Roman" w:hAnsi="Arial" w:cs="Arial"/>
                <w:b/>
                <w:bCs/>
                <w:color w:val="000000" w:themeColor="text1"/>
                <w:sz w:val="18"/>
                <w:szCs w:val="18"/>
                <w:lang w:eastAsia="sl-SI"/>
              </w:rPr>
            </w:pPr>
            <w:r w:rsidRPr="00201F5C">
              <w:rPr>
                <w:rFonts w:ascii="Arial" w:eastAsia="Times New Roman" w:hAnsi="Arial" w:cs="Arial"/>
                <w:b/>
                <w:bCs/>
                <w:color w:val="000000" w:themeColor="text1"/>
                <w:sz w:val="18"/>
                <w:szCs w:val="18"/>
                <w:lang w:eastAsia="sl-SI"/>
              </w:rPr>
              <w:t>100,00 %</w:t>
            </w:r>
          </w:p>
        </w:tc>
        <w:tc>
          <w:tcPr>
            <w:tcW w:w="683" w:type="pct"/>
            <w:shd w:val="clear" w:color="auto" w:fill="F2F2F2" w:themeFill="background1" w:themeFillShade="F2"/>
            <w:noWrap/>
            <w:vAlign w:val="center"/>
            <w:hideMark/>
          </w:tcPr>
          <w:p w14:paraId="6239EB1B" w14:textId="6976A8DA" w:rsidR="00201F5C" w:rsidRPr="00201F5C" w:rsidRDefault="00201F5C" w:rsidP="00201F5C">
            <w:pPr>
              <w:spacing w:after="0" w:line="240" w:lineRule="auto"/>
              <w:jc w:val="right"/>
              <w:rPr>
                <w:rFonts w:ascii="Arial" w:eastAsia="Times New Roman" w:hAnsi="Arial" w:cs="Arial"/>
                <w:b/>
                <w:bCs/>
                <w:color w:val="000000" w:themeColor="text1"/>
                <w:sz w:val="18"/>
                <w:szCs w:val="18"/>
                <w:lang w:eastAsia="sl-SI"/>
              </w:rPr>
            </w:pPr>
            <w:r w:rsidRPr="00201F5C">
              <w:rPr>
                <w:rFonts w:ascii="Arial" w:eastAsia="Times New Roman" w:hAnsi="Arial" w:cs="Arial"/>
                <w:b/>
                <w:bCs/>
                <w:color w:val="000000" w:themeColor="text1"/>
                <w:sz w:val="18"/>
                <w:szCs w:val="18"/>
                <w:lang w:eastAsia="sl-SI"/>
              </w:rPr>
              <w:t>100,00 %</w:t>
            </w:r>
          </w:p>
        </w:tc>
      </w:tr>
    </w:tbl>
    <w:p w14:paraId="2F333A19" w14:textId="5B488F7F" w:rsidR="005E1B7C" w:rsidRPr="00201F5C" w:rsidRDefault="005E1B7C" w:rsidP="005E1B7C">
      <w:pPr>
        <w:spacing w:after="0" w:line="240" w:lineRule="auto"/>
        <w:jc w:val="both"/>
        <w:rPr>
          <w:rFonts w:ascii="Arial" w:hAnsi="Arial" w:cs="Arial"/>
          <w:color w:val="000000" w:themeColor="text1"/>
          <w:sz w:val="20"/>
        </w:rPr>
      </w:pPr>
    </w:p>
    <w:p w14:paraId="4CF29524" w14:textId="1EF477F8" w:rsidR="00F83DD4" w:rsidRPr="00201F5C" w:rsidRDefault="00F83DD4" w:rsidP="004A613D">
      <w:pPr>
        <w:spacing w:after="0" w:line="360" w:lineRule="auto"/>
        <w:jc w:val="center"/>
        <w:rPr>
          <w:rFonts w:ascii="Arial" w:hAnsi="Arial" w:cs="Arial"/>
          <w:color w:val="000000" w:themeColor="text1"/>
          <w:sz w:val="18"/>
        </w:rPr>
      </w:pPr>
      <w:r w:rsidRPr="00201F5C">
        <w:rPr>
          <w:rFonts w:ascii="Arial" w:hAnsi="Arial" w:cs="Arial"/>
          <w:color w:val="000000" w:themeColor="text1"/>
          <w:sz w:val="18"/>
        </w:rPr>
        <w:t>Vir: Statistični podatki o javni</w:t>
      </w:r>
      <w:r w:rsidR="00CA1B75" w:rsidRPr="00201F5C">
        <w:rPr>
          <w:rFonts w:ascii="Arial" w:hAnsi="Arial" w:cs="Arial"/>
          <w:color w:val="000000" w:themeColor="text1"/>
          <w:sz w:val="18"/>
        </w:rPr>
        <w:t>h naročilih, oddanih v letu 20</w:t>
      </w:r>
      <w:r w:rsidR="005E1B7C" w:rsidRPr="00201F5C">
        <w:rPr>
          <w:rFonts w:ascii="Arial" w:hAnsi="Arial" w:cs="Arial"/>
          <w:color w:val="000000" w:themeColor="text1"/>
          <w:sz w:val="18"/>
        </w:rPr>
        <w:t>2</w:t>
      </w:r>
      <w:r w:rsidR="00250391" w:rsidRPr="00201F5C">
        <w:rPr>
          <w:rFonts w:ascii="Arial" w:hAnsi="Arial" w:cs="Arial"/>
          <w:color w:val="000000" w:themeColor="text1"/>
          <w:sz w:val="18"/>
        </w:rPr>
        <w:t>3</w:t>
      </w:r>
      <w:r w:rsidR="00C20AF0" w:rsidRPr="00201F5C">
        <w:rPr>
          <w:rFonts w:ascii="Arial" w:hAnsi="Arial" w:cs="Arial"/>
          <w:color w:val="000000" w:themeColor="text1"/>
          <w:sz w:val="18"/>
        </w:rPr>
        <w:t>.</w:t>
      </w:r>
    </w:p>
    <w:p w14:paraId="651C910A" w14:textId="3F6FB265" w:rsidR="00310231" w:rsidRPr="00D2662E" w:rsidRDefault="00310231" w:rsidP="0058576E">
      <w:pPr>
        <w:spacing w:after="0" w:line="240" w:lineRule="auto"/>
        <w:jc w:val="both"/>
        <w:rPr>
          <w:rFonts w:ascii="Arial" w:hAnsi="Arial" w:cs="Arial"/>
          <w:color w:val="FF0000"/>
          <w:sz w:val="20"/>
          <w:szCs w:val="20"/>
          <w:lang w:eastAsia="sl-SI"/>
        </w:rPr>
      </w:pPr>
    </w:p>
    <w:p w14:paraId="7F8B46FA" w14:textId="059F5A71" w:rsidR="00760D66" w:rsidRPr="00D2662E" w:rsidRDefault="00F83DD4" w:rsidP="001B3568">
      <w:pPr>
        <w:spacing w:line="360" w:lineRule="auto"/>
        <w:jc w:val="both"/>
        <w:rPr>
          <w:rFonts w:ascii="Arial" w:hAnsi="Arial" w:cs="Arial"/>
          <w:color w:val="000000" w:themeColor="text1"/>
          <w:sz w:val="20"/>
          <w:szCs w:val="20"/>
          <w:lang w:eastAsia="sl-SI"/>
        </w:rPr>
      </w:pPr>
      <w:r w:rsidRPr="00D2662E">
        <w:rPr>
          <w:rFonts w:ascii="Arial" w:hAnsi="Arial" w:cs="Arial"/>
          <w:color w:val="000000" w:themeColor="text1"/>
          <w:sz w:val="20"/>
          <w:szCs w:val="20"/>
          <w:lang w:eastAsia="sl-SI"/>
        </w:rPr>
        <w:t xml:space="preserve">Slika 1 prikazuje delež javnih naročil, ki so jih naročniki iz posamezne regije oddali ponudnikom iz iste regije, in sicer glede na vrednost javnih naročil te regije, oddanih slovenskim ponudnikom. </w:t>
      </w:r>
      <w:r w:rsidR="001B3568" w:rsidRPr="00D2662E">
        <w:rPr>
          <w:rFonts w:ascii="Arial" w:hAnsi="Arial" w:cs="Arial"/>
          <w:color w:val="000000" w:themeColor="text1"/>
          <w:sz w:val="20"/>
          <w:szCs w:val="20"/>
          <w:lang w:eastAsia="sl-SI"/>
        </w:rPr>
        <w:t>Naročila, ki jih naročniki oddajo na podlagi petega odstavka 73. člena ZJN-3 (načelo kratkih verig), niso v</w:t>
      </w:r>
      <w:r w:rsidR="00FD7055" w:rsidRPr="00D2662E">
        <w:rPr>
          <w:rFonts w:ascii="Arial" w:hAnsi="Arial" w:cs="Arial"/>
          <w:color w:val="000000" w:themeColor="text1"/>
          <w:sz w:val="20"/>
          <w:szCs w:val="20"/>
          <w:lang w:eastAsia="sl-SI"/>
        </w:rPr>
        <w:t>ključena</w:t>
      </w:r>
      <w:r w:rsidR="001B3568" w:rsidRPr="00D2662E">
        <w:rPr>
          <w:rFonts w:ascii="Arial" w:hAnsi="Arial" w:cs="Arial"/>
          <w:color w:val="000000" w:themeColor="text1"/>
        </w:rPr>
        <w:t xml:space="preserve">. </w:t>
      </w:r>
      <w:r w:rsidRPr="00D2662E">
        <w:rPr>
          <w:rFonts w:ascii="Arial" w:hAnsi="Arial" w:cs="Arial"/>
          <w:color w:val="000000" w:themeColor="text1"/>
          <w:sz w:val="20"/>
          <w:szCs w:val="20"/>
          <w:lang w:eastAsia="sl-SI"/>
        </w:rPr>
        <w:t xml:space="preserve">Največji delež vrednosti naročil, ki so jih naročniki oddali ponudnikom iz iste regije, je pri naročnikih iz </w:t>
      </w:r>
      <w:r w:rsidR="00E264EA" w:rsidRPr="00D2662E">
        <w:rPr>
          <w:rFonts w:ascii="Arial" w:hAnsi="Arial" w:cs="Arial"/>
          <w:color w:val="000000" w:themeColor="text1"/>
          <w:sz w:val="20"/>
          <w:szCs w:val="20"/>
          <w:lang w:eastAsia="sl-SI"/>
        </w:rPr>
        <w:t>osrednjeslovenske</w:t>
      </w:r>
      <w:r w:rsidRPr="00D2662E">
        <w:rPr>
          <w:rFonts w:ascii="Arial" w:hAnsi="Arial" w:cs="Arial"/>
          <w:color w:val="000000" w:themeColor="text1"/>
          <w:sz w:val="20"/>
          <w:szCs w:val="20"/>
          <w:lang w:eastAsia="sl-SI"/>
        </w:rPr>
        <w:t xml:space="preserve"> regije</w:t>
      </w:r>
      <w:r w:rsidR="00CD4647" w:rsidRPr="00D2662E">
        <w:rPr>
          <w:rFonts w:ascii="Arial" w:hAnsi="Arial" w:cs="Arial"/>
          <w:color w:val="000000" w:themeColor="text1"/>
          <w:sz w:val="20"/>
          <w:szCs w:val="20"/>
          <w:lang w:eastAsia="sl-SI"/>
        </w:rPr>
        <w:t>,</w:t>
      </w:r>
      <w:r w:rsidRPr="00D2662E">
        <w:rPr>
          <w:rFonts w:ascii="Arial" w:hAnsi="Arial" w:cs="Arial"/>
          <w:color w:val="000000" w:themeColor="text1"/>
          <w:sz w:val="20"/>
          <w:szCs w:val="20"/>
          <w:lang w:eastAsia="sl-SI"/>
        </w:rPr>
        <w:t xml:space="preserve"> in </w:t>
      </w:r>
      <w:r w:rsidR="00CD4647" w:rsidRPr="00D2662E">
        <w:rPr>
          <w:rFonts w:ascii="Arial" w:hAnsi="Arial" w:cs="Arial"/>
          <w:color w:val="000000" w:themeColor="text1"/>
          <w:sz w:val="20"/>
          <w:szCs w:val="20"/>
          <w:lang w:eastAsia="sl-SI"/>
        </w:rPr>
        <w:t xml:space="preserve">sicer </w:t>
      </w:r>
      <w:r w:rsidR="00704207" w:rsidRPr="00D2662E">
        <w:rPr>
          <w:rFonts w:ascii="Arial" w:hAnsi="Arial" w:cs="Arial"/>
          <w:color w:val="000000" w:themeColor="text1"/>
          <w:sz w:val="20"/>
          <w:szCs w:val="20"/>
          <w:lang w:eastAsia="sl-SI"/>
        </w:rPr>
        <w:t>68,41</w:t>
      </w:r>
      <w:r w:rsidR="00C20AF0" w:rsidRPr="00D2662E">
        <w:rPr>
          <w:rFonts w:ascii="Arial" w:hAnsi="Arial" w:cs="Arial"/>
          <w:color w:val="000000" w:themeColor="text1"/>
          <w:sz w:val="20"/>
          <w:szCs w:val="20"/>
          <w:lang w:eastAsia="sl-SI"/>
        </w:rPr>
        <w:t> </w:t>
      </w:r>
      <w:r w:rsidR="00AC0027" w:rsidRPr="00D2662E">
        <w:rPr>
          <w:rFonts w:ascii="Arial" w:hAnsi="Arial" w:cs="Arial"/>
          <w:color w:val="000000" w:themeColor="text1"/>
          <w:sz w:val="20"/>
          <w:szCs w:val="20"/>
          <w:lang w:eastAsia="sl-SI"/>
        </w:rPr>
        <w:t>odstotka</w:t>
      </w:r>
      <w:r w:rsidRPr="00D2662E">
        <w:rPr>
          <w:rFonts w:ascii="Arial" w:hAnsi="Arial" w:cs="Arial"/>
          <w:color w:val="000000" w:themeColor="text1"/>
          <w:sz w:val="20"/>
          <w:szCs w:val="20"/>
          <w:lang w:eastAsia="sl-SI"/>
        </w:rPr>
        <w:t xml:space="preserve"> oziroma</w:t>
      </w:r>
      <w:r w:rsidR="005D075B" w:rsidRPr="00D2662E">
        <w:rPr>
          <w:rFonts w:ascii="Arial" w:hAnsi="Arial" w:cs="Arial"/>
          <w:color w:val="000000" w:themeColor="text1"/>
          <w:sz w:val="20"/>
          <w:szCs w:val="20"/>
          <w:lang w:eastAsia="sl-SI"/>
        </w:rPr>
        <w:t xml:space="preserve"> </w:t>
      </w:r>
      <w:r w:rsidR="003D5E36">
        <w:rPr>
          <w:rFonts w:ascii="Arial" w:hAnsi="Arial" w:cs="Arial"/>
          <w:color w:val="000000" w:themeColor="text1"/>
          <w:sz w:val="20"/>
          <w:szCs w:val="20"/>
          <w:lang w:eastAsia="sl-SI"/>
        </w:rPr>
        <w:t xml:space="preserve">v vrednosti </w:t>
      </w:r>
      <w:r w:rsidR="00704207" w:rsidRPr="00D2662E">
        <w:rPr>
          <w:rFonts w:ascii="Arial" w:hAnsi="Arial" w:cs="Arial"/>
          <w:color w:val="000000" w:themeColor="text1"/>
          <w:sz w:val="20"/>
          <w:szCs w:val="20"/>
          <w:lang w:eastAsia="sl-SI"/>
        </w:rPr>
        <w:t xml:space="preserve">2.259.556.764 </w:t>
      </w:r>
      <w:r w:rsidRPr="00D2662E">
        <w:rPr>
          <w:rFonts w:ascii="Arial" w:hAnsi="Arial" w:cs="Arial"/>
          <w:color w:val="000000" w:themeColor="text1"/>
          <w:sz w:val="20"/>
          <w:szCs w:val="20"/>
          <w:lang w:eastAsia="sl-SI"/>
        </w:rPr>
        <w:t>evrov. Najmanjši delež vrednosti naročil, ki so jih naročniki oddali ponudnikom iz iste regije</w:t>
      </w:r>
      <w:r w:rsidR="00B417B3" w:rsidRPr="00D2662E">
        <w:rPr>
          <w:rFonts w:ascii="Arial" w:hAnsi="Arial" w:cs="Arial"/>
          <w:color w:val="000000" w:themeColor="text1"/>
          <w:sz w:val="20"/>
          <w:szCs w:val="20"/>
          <w:lang w:eastAsia="sl-SI"/>
        </w:rPr>
        <w:t>,</w:t>
      </w:r>
      <w:r w:rsidRPr="00D2662E">
        <w:rPr>
          <w:rFonts w:ascii="Arial" w:hAnsi="Arial" w:cs="Arial"/>
          <w:color w:val="000000" w:themeColor="text1"/>
          <w:sz w:val="20"/>
          <w:szCs w:val="20"/>
          <w:lang w:eastAsia="sl-SI"/>
        </w:rPr>
        <w:t xml:space="preserve"> je pri naročnikih iz </w:t>
      </w:r>
      <w:r w:rsidR="00D7231F" w:rsidRPr="00D2662E">
        <w:rPr>
          <w:rFonts w:ascii="Arial" w:hAnsi="Arial" w:cs="Arial"/>
          <w:color w:val="000000" w:themeColor="text1"/>
          <w:sz w:val="20"/>
          <w:szCs w:val="20"/>
          <w:lang w:eastAsia="sl-SI"/>
        </w:rPr>
        <w:t xml:space="preserve">primorsko-notranjske </w:t>
      </w:r>
      <w:r w:rsidRPr="00D2662E">
        <w:rPr>
          <w:rFonts w:ascii="Arial" w:hAnsi="Arial" w:cs="Arial"/>
          <w:color w:val="000000" w:themeColor="text1"/>
          <w:sz w:val="20"/>
          <w:szCs w:val="20"/>
          <w:lang w:eastAsia="sl-SI"/>
        </w:rPr>
        <w:t>regije</w:t>
      </w:r>
      <w:r w:rsidR="00CD4647" w:rsidRPr="00D2662E">
        <w:rPr>
          <w:rFonts w:ascii="Arial" w:hAnsi="Arial" w:cs="Arial"/>
          <w:color w:val="000000" w:themeColor="text1"/>
          <w:sz w:val="20"/>
          <w:szCs w:val="20"/>
          <w:lang w:eastAsia="sl-SI"/>
        </w:rPr>
        <w:t>,</w:t>
      </w:r>
      <w:r w:rsidRPr="00D2662E">
        <w:rPr>
          <w:rFonts w:ascii="Arial" w:hAnsi="Arial" w:cs="Arial"/>
          <w:color w:val="000000" w:themeColor="text1"/>
          <w:sz w:val="20"/>
          <w:szCs w:val="20"/>
          <w:lang w:eastAsia="sl-SI"/>
        </w:rPr>
        <w:t xml:space="preserve"> in </w:t>
      </w:r>
      <w:r w:rsidR="00CD4647" w:rsidRPr="00D2662E">
        <w:rPr>
          <w:rFonts w:ascii="Arial" w:hAnsi="Arial" w:cs="Arial"/>
          <w:color w:val="000000" w:themeColor="text1"/>
          <w:sz w:val="20"/>
          <w:szCs w:val="20"/>
          <w:lang w:eastAsia="sl-SI"/>
        </w:rPr>
        <w:t xml:space="preserve">sicer </w:t>
      </w:r>
      <w:r w:rsidR="00841351" w:rsidRPr="00D2662E">
        <w:rPr>
          <w:rFonts w:ascii="Arial" w:hAnsi="Arial" w:cs="Arial"/>
          <w:color w:val="000000" w:themeColor="text1"/>
          <w:sz w:val="20"/>
          <w:szCs w:val="20"/>
          <w:lang w:eastAsia="sl-SI"/>
        </w:rPr>
        <w:t>10,03</w:t>
      </w:r>
      <w:r w:rsidR="006B4026" w:rsidRPr="00D2662E">
        <w:rPr>
          <w:rFonts w:ascii="Arial" w:hAnsi="Arial" w:cs="Arial"/>
          <w:color w:val="000000" w:themeColor="text1"/>
          <w:sz w:val="20"/>
          <w:szCs w:val="20"/>
          <w:lang w:eastAsia="sl-SI"/>
        </w:rPr>
        <w:t xml:space="preserve"> </w:t>
      </w:r>
      <w:r w:rsidR="00AC0027" w:rsidRPr="00D2662E">
        <w:rPr>
          <w:rFonts w:ascii="Arial" w:hAnsi="Arial" w:cs="Arial"/>
          <w:color w:val="000000" w:themeColor="text1"/>
          <w:sz w:val="20"/>
          <w:szCs w:val="20"/>
          <w:lang w:eastAsia="sl-SI"/>
        </w:rPr>
        <w:t>odstotka</w:t>
      </w:r>
      <w:r w:rsidR="006011DB" w:rsidRPr="00D2662E">
        <w:rPr>
          <w:rFonts w:ascii="Arial" w:hAnsi="Arial" w:cs="Arial"/>
          <w:color w:val="000000" w:themeColor="text1"/>
          <w:sz w:val="20"/>
          <w:szCs w:val="20"/>
          <w:lang w:eastAsia="sl-SI"/>
        </w:rPr>
        <w:t xml:space="preserve"> oziroma </w:t>
      </w:r>
      <w:r w:rsidR="003D5E36">
        <w:rPr>
          <w:rFonts w:ascii="Arial" w:hAnsi="Arial" w:cs="Arial"/>
          <w:color w:val="000000" w:themeColor="text1"/>
          <w:sz w:val="20"/>
          <w:szCs w:val="20"/>
          <w:lang w:eastAsia="sl-SI"/>
        </w:rPr>
        <w:t xml:space="preserve">v vrednosti </w:t>
      </w:r>
      <w:r w:rsidR="00841351" w:rsidRPr="00D2662E">
        <w:rPr>
          <w:rFonts w:ascii="Arial" w:hAnsi="Arial" w:cs="Arial"/>
          <w:color w:val="000000" w:themeColor="text1"/>
          <w:sz w:val="20"/>
          <w:szCs w:val="20"/>
          <w:lang w:eastAsia="sl-SI"/>
        </w:rPr>
        <w:t xml:space="preserve">2.893.687 </w:t>
      </w:r>
      <w:r w:rsidR="006011DB" w:rsidRPr="00D2662E">
        <w:rPr>
          <w:rFonts w:ascii="Arial" w:hAnsi="Arial" w:cs="Arial"/>
          <w:color w:val="000000" w:themeColor="text1"/>
          <w:sz w:val="20"/>
          <w:szCs w:val="20"/>
          <w:lang w:eastAsia="sl-SI"/>
        </w:rPr>
        <w:t>evrov</w:t>
      </w:r>
      <w:r w:rsidRPr="00D2662E">
        <w:rPr>
          <w:rFonts w:ascii="Arial" w:hAnsi="Arial" w:cs="Arial"/>
          <w:color w:val="000000" w:themeColor="text1"/>
          <w:sz w:val="20"/>
          <w:szCs w:val="20"/>
          <w:lang w:eastAsia="sl-SI"/>
        </w:rPr>
        <w:t>.</w:t>
      </w:r>
      <w:r w:rsidR="00C717D2" w:rsidRPr="00D2662E">
        <w:rPr>
          <w:rFonts w:ascii="Arial" w:hAnsi="Arial" w:cs="Arial"/>
          <w:color w:val="000000" w:themeColor="text1"/>
          <w:sz w:val="20"/>
          <w:szCs w:val="20"/>
          <w:lang w:eastAsia="sl-SI"/>
        </w:rPr>
        <w:t xml:space="preserve"> </w:t>
      </w:r>
    </w:p>
    <w:p w14:paraId="52661F13" w14:textId="77777777" w:rsidR="00760D66" w:rsidRPr="00637ACF" w:rsidRDefault="00760D66">
      <w:pPr>
        <w:rPr>
          <w:rFonts w:ascii="Arial" w:hAnsi="Arial" w:cs="Arial"/>
          <w:color w:val="000000" w:themeColor="text1"/>
          <w:sz w:val="20"/>
          <w:szCs w:val="20"/>
          <w:highlight w:val="yellow"/>
          <w:lang w:eastAsia="sl-SI"/>
        </w:rPr>
      </w:pPr>
      <w:r w:rsidRPr="00637ACF">
        <w:rPr>
          <w:rFonts w:ascii="Arial" w:hAnsi="Arial" w:cs="Arial"/>
          <w:color w:val="000000" w:themeColor="text1"/>
          <w:sz w:val="20"/>
          <w:szCs w:val="20"/>
          <w:highlight w:val="yellow"/>
          <w:lang w:eastAsia="sl-SI"/>
        </w:rPr>
        <w:br w:type="page"/>
      </w:r>
    </w:p>
    <w:p w14:paraId="68C0079C" w14:textId="18478377" w:rsidR="006011DB" w:rsidRPr="00D2662E" w:rsidRDefault="00F83DD4" w:rsidP="00AF22F2">
      <w:pPr>
        <w:spacing w:before="120" w:after="120" w:line="240" w:lineRule="auto"/>
        <w:jc w:val="both"/>
        <w:rPr>
          <w:rFonts w:ascii="Arial" w:hAnsi="Arial" w:cs="Arial"/>
          <w:color w:val="000000" w:themeColor="text1"/>
          <w:sz w:val="20"/>
        </w:rPr>
      </w:pPr>
      <w:r w:rsidRPr="00D2662E">
        <w:rPr>
          <w:rFonts w:ascii="Arial" w:hAnsi="Arial" w:cs="Arial"/>
          <w:color w:val="000000" w:themeColor="text1"/>
          <w:sz w:val="20"/>
        </w:rPr>
        <w:lastRenderedPageBreak/>
        <w:t xml:space="preserve">Slika 1: </w:t>
      </w:r>
      <w:r w:rsidR="004F4843" w:rsidRPr="00D2662E">
        <w:rPr>
          <w:rFonts w:ascii="Arial" w:hAnsi="Arial" w:cs="Arial"/>
          <w:color w:val="000000" w:themeColor="text1"/>
          <w:sz w:val="20"/>
        </w:rPr>
        <w:t>Ozemeljska</w:t>
      </w:r>
      <w:r w:rsidR="004F22C9" w:rsidRPr="00D2662E">
        <w:rPr>
          <w:rFonts w:ascii="Arial" w:hAnsi="Arial" w:cs="Arial"/>
          <w:color w:val="000000" w:themeColor="text1"/>
          <w:sz w:val="20"/>
        </w:rPr>
        <w:t xml:space="preserve"> porazdelitev javnih naročil</w:t>
      </w:r>
    </w:p>
    <w:p w14:paraId="6E972B77" w14:textId="77FD3049" w:rsidR="00EB115B" w:rsidRPr="00D2662E" w:rsidRDefault="009807E1" w:rsidP="00D82B70">
      <w:pPr>
        <w:spacing w:before="120" w:after="120" w:line="240" w:lineRule="auto"/>
        <w:jc w:val="center"/>
        <w:rPr>
          <w:rFonts w:ascii="Arial" w:hAnsi="Arial" w:cs="Arial"/>
          <w:color w:val="000000" w:themeColor="text1"/>
          <w:sz w:val="20"/>
        </w:rPr>
      </w:pPr>
      <w:r w:rsidRPr="00D2662E">
        <w:rPr>
          <w:noProof/>
          <w:lang w:eastAsia="sl-SI"/>
        </w:rPr>
        <w:drawing>
          <wp:inline distT="0" distB="0" distL="0" distR="0" wp14:anchorId="52235FDB" wp14:editId="6AA83882">
            <wp:extent cx="5313872" cy="2777706"/>
            <wp:effectExtent l="0" t="0" r="1270" b="3810"/>
            <wp:docPr id="22" name="Slika 22" descr="Slika prikazuje delež javnih naročil, ki so jih naročniki iz posamezne regije oddali ponudnikom iz iste regije, in sicer glede na vrednost javnih naročil te regije, oddanih slovenskim ponudnik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Slika prikazuje delež javnih naročil, ki so jih naročniki iz posamezne regije oddali ponudnikom iz iste regije, in sicer glede na vrednost javnih naročil te regije, oddanih slovenskim ponudnikom. "/>
                    <pic:cNvPicPr/>
                  </pic:nvPicPr>
                  <pic:blipFill rotWithShape="1">
                    <a:blip r:embed="rId15"/>
                    <a:srcRect t="1" r="2997" b="1212"/>
                    <a:stretch/>
                  </pic:blipFill>
                  <pic:spPr bwMode="auto">
                    <a:xfrm>
                      <a:off x="0" y="0"/>
                      <a:ext cx="5320471" cy="2781156"/>
                    </a:xfrm>
                    <a:prstGeom prst="rect">
                      <a:avLst/>
                    </a:prstGeom>
                    <a:ln>
                      <a:noFill/>
                    </a:ln>
                    <a:extLst>
                      <a:ext uri="{53640926-AAD7-44D8-BBD7-CCE9431645EC}">
                        <a14:shadowObscured xmlns:a14="http://schemas.microsoft.com/office/drawing/2010/main"/>
                      </a:ext>
                    </a:extLst>
                  </pic:spPr>
                </pic:pic>
              </a:graphicData>
            </a:graphic>
          </wp:inline>
        </w:drawing>
      </w:r>
    </w:p>
    <w:p w14:paraId="49E7C63B" w14:textId="02A5FFA1" w:rsidR="00F83DD4" w:rsidRPr="00D2662E" w:rsidRDefault="00F83DD4" w:rsidP="00701C10">
      <w:pPr>
        <w:spacing w:after="240" w:line="240" w:lineRule="auto"/>
        <w:jc w:val="center"/>
        <w:rPr>
          <w:rFonts w:ascii="Arial" w:hAnsi="Arial" w:cs="Arial"/>
          <w:color w:val="000000" w:themeColor="text1"/>
          <w:sz w:val="18"/>
        </w:rPr>
      </w:pPr>
      <w:r w:rsidRPr="00D2662E">
        <w:rPr>
          <w:rFonts w:ascii="Arial" w:hAnsi="Arial" w:cs="Arial"/>
          <w:color w:val="000000" w:themeColor="text1"/>
          <w:sz w:val="18"/>
        </w:rPr>
        <w:t>Vir: Statistični podatki o javni</w:t>
      </w:r>
      <w:r w:rsidR="00F859E3" w:rsidRPr="00D2662E">
        <w:rPr>
          <w:rFonts w:ascii="Arial" w:hAnsi="Arial" w:cs="Arial"/>
          <w:color w:val="000000" w:themeColor="text1"/>
          <w:sz w:val="18"/>
        </w:rPr>
        <w:t>h naročilih, oddanih v letu 20</w:t>
      </w:r>
      <w:r w:rsidR="00B060A4" w:rsidRPr="00D2662E">
        <w:rPr>
          <w:rFonts w:ascii="Arial" w:hAnsi="Arial" w:cs="Arial"/>
          <w:color w:val="000000" w:themeColor="text1"/>
          <w:sz w:val="18"/>
        </w:rPr>
        <w:t>2</w:t>
      </w:r>
      <w:r w:rsidR="008F728E" w:rsidRPr="00D2662E">
        <w:rPr>
          <w:rFonts w:ascii="Arial" w:hAnsi="Arial" w:cs="Arial"/>
          <w:color w:val="000000" w:themeColor="text1"/>
          <w:sz w:val="18"/>
        </w:rPr>
        <w:t>3</w:t>
      </w:r>
      <w:r w:rsidR="00C20AF0" w:rsidRPr="00D2662E">
        <w:rPr>
          <w:rFonts w:ascii="Arial" w:hAnsi="Arial" w:cs="Arial"/>
          <w:color w:val="000000" w:themeColor="text1"/>
          <w:sz w:val="18"/>
        </w:rPr>
        <w:t>.</w:t>
      </w:r>
    </w:p>
    <w:p w14:paraId="15C9FAFD" w14:textId="77777777" w:rsidR="00F83DD4" w:rsidRPr="00637ACF" w:rsidRDefault="00F83DD4" w:rsidP="00854405">
      <w:pPr>
        <w:pStyle w:val="ZADEVA"/>
        <w:jc w:val="both"/>
        <w:rPr>
          <w:rFonts w:cs="Arial"/>
          <w:b w:val="0"/>
          <w:color w:val="FF0000"/>
          <w:szCs w:val="20"/>
          <w:highlight w:val="yellow"/>
          <w:lang w:val="sl-SI"/>
        </w:rPr>
      </w:pPr>
    </w:p>
    <w:p w14:paraId="00AE7F33" w14:textId="703CFEDA" w:rsidR="001C6865" w:rsidRPr="00AE6C25" w:rsidRDefault="001C6865" w:rsidP="004479F4">
      <w:pPr>
        <w:pStyle w:val="Naslov3"/>
      </w:pPr>
      <w:bookmarkStart w:id="40" w:name="_Toc175563869"/>
      <w:r w:rsidRPr="00AE6C25">
        <w:t>2.</w:t>
      </w:r>
      <w:r w:rsidR="00FA2740" w:rsidRPr="00AE6C25">
        <w:t>6</w:t>
      </w:r>
      <w:r w:rsidRPr="00AE6C25">
        <w:t>.4 Velikost ponudnikov</w:t>
      </w:r>
      <w:bookmarkEnd w:id="40"/>
    </w:p>
    <w:p w14:paraId="41527F59" w14:textId="77777777" w:rsidR="00B11580" w:rsidRPr="00AE6C25" w:rsidRDefault="00B11580" w:rsidP="00854405">
      <w:pPr>
        <w:pStyle w:val="ZADEVA"/>
        <w:jc w:val="both"/>
        <w:rPr>
          <w:rFonts w:cs="Arial"/>
          <w:b w:val="0"/>
          <w:color w:val="000000" w:themeColor="text1"/>
          <w:szCs w:val="20"/>
          <w:lang w:val="sl-SI"/>
        </w:rPr>
      </w:pPr>
    </w:p>
    <w:p w14:paraId="4B19E6C8" w14:textId="545AAFD2" w:rsidR="00F83DD4" w:rsidRPr="002C53B3" w:rsidRDefault="004F4843" w:rsidP="000F2B07">
      <w:pPr>
        <w:spacing w:line="360" w:lineRule="auto"/>
        <w:jc w:val="both"/>
        <w:rPr>
          <w:rFonts w:ascii="Arial" w:hAnsi="Arial" w:cs="Arial"/>
          <w:bCs/>
          <w:color w:val="000000" w:themeColor="text1"/>
          <w:sz w:val="20"/>
          <w:szCs w:val="20"/>
          <w:lang w:eastAsia="sl-SI"/>
        </w:rPr>
      </w:pPr>
      <w:r w:rsidRPr="00AE6C25">
        <w:rPr>
          <w:rFonts w:ascii="Arial" w:hAnsi="Arial" w:cs="Arial"/>
          <w:bCs/>
          <w:color w:val="000000" w:themeColor="text1"/>
          <w:sz w:val="20"/>
          <w:szCs w:val="20"/>
          <w:lang w:eastAsia="sl-SI"/>
        </w:rPr>
        <w:t>P</w:t>
      </w:r>
      <w:r w:rsidR="00F83DD4" w:rsidRPr="00AE6C25">
        <w:rPr>
          <w:rFonts w:ascii="Arial" w:hAnsi="Arial" w:cs="Arial"/>
          <w:bCs/>
          <w:color w:val="000000" w:themeColor="text1"/>
          <w:sz w:val="20"/>
          <w:szCs w:val="20"/>
          <w:lang w:eastAsia="sl-SI"/>
        </w:rPr>
        <w:t>odatk</w:t>
      </w:r>
      <w:r w:rsidRPr="00AE6C25">
        <w:rPr>
          <w:rFonts w:ascii="Arial" w:hAnsi="Arial" w:cs="Arial"/>
          <w:bCs/>
          <w:color w:val="000000" w:themeColor="text1"/>
          <w:sz w:val="20"/>
          <w:szCs w:val="20"/>
          <w:lang w:eastAsia="sl-SI"/>
        </w:rPr>
        <w:t>i</w:t>
      </w:r>
      <w:r w:rsidR="00F83DD4" w:rsidRPr="00AE6C25">
        <w:rPr>
          <w:rFonts w:ascii="Arial" w:hAnsi="Arial" w:cs="Arial"/>
          <w:bCs/>
          <w:color w:val="000000" w:themeColor="text1"/>
          <w:sz w:val="20"/>
          <w:szCs w:val="20"/>
          <w:lang w:eastAsia="sl-SI"/>
        </w:rPr>
        <w:t xml:space="preserve"> iz Poslovnega registra Slovenije, ki jih obdeluje Agencija Republike Slovenije za javnopravne evidence in storitve (AJPES), o velikosti posameznih ponudn</w:t>
      </w:r>
      <w:r w:rsidR="00717CB6" w:rsidRPr="00AE6C25">
        <w:rPr>
          <w:rFonts w:ascii="Arial" w:hAnsi="Arial" w:cs="Arial"/>
          <w:bCs/>
          <w:color w:val="000000" w:themeColor="text1"/>
          <w:sz w:val="20"/>
          <w:szCs w:val="20"/>
          <w:lang w:eastAsia="sl-SI"/>
        </w:rPr>
        <w:t>ikov, ki so jim bila v letu 20</w:t>
      </w:r>
      <w:r w:rsidR="002C18B8" w:rsidRPr="00AE6C25">
        <w:rPr>
          <w:rFonts w:ascii="Arial" w:hAnsi="Arial" w:cs="Arial"/>
          <w:bCs/>
          <w:color w:val="000000" w:themeColor="text1"/>
          <w:sz w:val="20"/>
          <w:szCs w:val="20"/>
          <w:lang w:eastAsia="sl-SI"/>
        </w:rPr>
        <w:t>2</w:t>
      </w:r>
      <w:r w:rsidR="00AD3A69" w:rsidRPr="00AE6C25">
        <w:rPr>
          <w:rFonts w:ascii="Arial" w:hAnsi="Arial" w:cs="Arial"/>
          <w:bCs/>
          <w:color w:val="000000" w:themeColor="text1"/>
          <w:sz w:val="20"/>
          <w:szCs w:val="20"/>
          <w:lang w:eastAsia="sl-SI"/>
        </w:rPr>
        <w:t>3</w:t>
      </w:r>
      <w:r w:rsidR="00F83DD4" w:rsidRPr="00AE6C25">
        <w:rPr>
          <w:rFonts w:ascii="Arial" w:hAnsi="Arial" w:cs="Arial"/>
          <w:bCs/>
          <w:color w:val="000000" w:themeColor="text1"/>
          <w:sz w:val="20"/>
          <w:szCs w:val="20"/>
          <w:lang w:eastAsia="sl-SI"/>
        </w:rPr>
        <w:t xml:space="preserve"> dodeljena javna naročila, in podatk</w:t>
      </w:r>
      <w:r w:rsidRPr="00AE6C25">
        <w:rPr>
          <w:rFonts w:ascii="Arial" w:hAnsi="Arial" w:cs="Arial"/>
          <w:bCs/>
          <w:color w:val="000000" w:themeColor="text1"/>
          <w:sz w:val="20"/>
          <w:szCs w:val="20"/>
          <w:lang w:eastAsia="sl-SI"/>
        </w:rPr>
        <w:t>i</w:t>
      </w:r>
      <w:r w:rsidR="00F83DD4" w:rsidRPr="00AE6C25">
        <w:rPr>
          <w:rFonts w:ascii="Arial" w:hAnsi="Arial" w:cs="Arial"/>
          <w:bCs/>
          <w:color w:val="000000" w:themeColor="text1"/>
          <w:sz w:val="20"/>
          <w:szCs w:val="20"/>
          <w:lang w:eastAsia="sl-SI"/>
        </w:rPr>
        <w:t xml:space="preserve">, ki so jih naročniki oddali na portalu javnih naročil, </w:t>
      </w:r>
      <w:r w:rsidRPr="00AE6C25">
        <w:rPr>
          <w:rFonts w:ascii="Arial" w:hAnsi="Arial" w:cs="Arial"/>
          <w:bCs/>
          <w:color w:val="000000" w:themeColor="text1"/>
          <w:sz w:val="20"/>
          <w:szCs w:val="20"/>
          <w:lang w:eastAsia="sl-SI"/>
        </w:rPr>
        <w:t>kažejo</w:t>
      </w:r>
      <w:r w:rsidR="00F83DD4" w:rsidRPr="00AE6C25">
        <w:rPr>
          <w:rFonts w:ascii="Arial" w:hAnsi="Arial" w:cs="Arial"/>
          <w:bCs/>
          <w:color w:val="000000" w:themeColor="text1"/>
          <w:sz w:val="20"/>
          <w:szCs w:val="20"/>
          <w:lang w:eastAsia="sl-SI"/>
        </w:rPr>
        <w:t xml:space="preserve"> razpršenost oziroma porazdelitev javnih naročil glede na velikost slovenskih ponudnikov (na </w:t>
      </w:r>
      <w:proofErr w:type="spellStart"/>
      <w:r w:rsidR="00F83DD4" w:rsidRPr="00AE6C25">
        <w:rPr>
          <w:rFonts w:ascii="Arial" w:hAnsi="Arial" w:cs="Arial"/>
          <w:bCs/>
          <w:color w:val="000000" w:themeColor="text1"/>
          <w:sz w:val="20"/>
          <w:szCs w:val="20"/>
          <w:lang w:eastAsia="sl-SI"/>
        </w:rPr>
        <w:t>mikro</w:t>
      </w:r>
      <w:proofErr w:type="spellEnd"/>
      <w:r w:rsidR="00F83DD4" w:rsidRPr="00AE6C25">
        <w:rPr>
          <w:rFonts w:ascii="Arial" w:hAnsi="Arial" w:cs="Arial"/>
          <w:bCs/>
          <w:color w:val="000000" w:themeColor="text1"/>
          <w:sz w:val="20"/>
          <w:szCs w:val="20"/>
          <w:lang w:eastAsia="sl-SI"/>
        </w:rPr>
        <w:t>, ma</w:t>
      </w:r>
      <w:r w:rsidRPr="00AE6C25">
        <w:rPr>
          <w:rFonts w:ascii="Arial" w:hAnsi="Arial" w:cs="Arial"/>
          <w:bCs/>
          <w:color w:val="000000" w:themeColor="text1"/>
          <w:sz w:val="20"/>
          <w:szCs w:val="20"/>
          <w:lang w:eastAsia="sl-SI"/>
        </w:rPr>
        <w:t>jhne</w:t>
      </w:r>
      <w:r w:rsidR="00F83DD4" w:rsidRPr="00AE6C25">
        <w:rPr>
          <w:rFonts w:ascii="Arial" w:hAnsi="Arial" w:cs="Arial"/>
          <w:bCs/>
          <w:color w:val="000000" w:themeColor="text1"/>
          <w:sz w:val="20"/>
          <w:szCs w:val="20"/>
          <w:lang w:eastAsia="sl-SI"/>
        </w:rPr>
        <w:t xml:space="preserve">, srednje in velike </w:t>
      </w:r>
      <w:r w:rsidR="00F83DD4" w:rsidRPr="002C53B3">
        <w:rPr>
          <w:rFonts w:ascii="Arial" w:hAnsi="Arial" w:cs="Arial"/>
          <w:bCs/>
          <w:color w:val="000000" w:themeColor="text1"/>
          <w:sz w:val="20"/>
          <w:szCs w:val="20"/>
          <w:lang w:eastAsia="sl-SI"/>
        </w:rPr>
        <w:t>družbe ter ma</w:t>
      </w:r>
      <w:r w:rsidRPr="002C53B3">
        <w:rPr>
          <w:rFonts w:ascii="Arial" w:hAnsi="Arial" w:cs="Arial"/>
          <w:bCs/>
          <w:color w:val="000000" w:themeColor="text1"/>
          <w:sz w:val="20"/>
          <w:szCs w:val="20"/>
          <w:lang w:eastAsia="sl-SI"/>
        </w:rPr>
        <w:t>jhne</w:t>
      </w:r>
      <w:r w:rsidR="00F83DD4" w:rsidRPr="002C53B3">
        <w:rPr>
          <w:rFonts w:ascii="Arial" w:hAnsi="Arial" w:cs="Arial"/>
          <w:bCs/>
          <w:color w:val="000000" w:themeColor="text1"/>
          <w:sz w:val="20"/>
          <w:szCs w:val="20"/>
          <w:lang w:eastAsia="sl-SI"/>
        </w:rPr>
        <w:t>, srednje in velike podjetnike).</w:t>
      </w:r>
    </w:p>
    <w:p w14:paraId="159CA297" w14:textId="28337252" w:rsidR="00180D5C" w:rsidRPr="002C53B3" w:rsidRDefault="00F83DD4" w:rsidP="00CD10B9">
      <w:pPr>
        <w:spacing w:line="360" w:lineRule="auto"/>
        <w:jc w:val="both"/>
        <w:rPr>
          <w:rFonts w:ascii="Arial" w:hAnsi="Arial" w:cs="Arial"/>
          <w:color w:val="000000" w:themeColor="text1"/>
          <w:sz w:val="20"/>
          <w:szCs w:val="20"/>
          <w:lang w:eastAsia="sl-SI"/>
        </w:rPr>
      </w:pPr>
      <w:r w:rsidRPr="002C53B3">
        <w:rPr>
          <w:rFonts w:ascii="Arial" w:hAnsi="Arial" w:cs="Arial"/>
          <w:color w:val="000000" w:themeColor="text1"/>
          <w:sz w:val="20"/>
          <w:szCs w:val="20"/>
        </w:rPr>
        <w:t>V deležu oddanih javnih naročil glede na vrednost imajo</w:t>
      </w:r>
      <w:r w:rsidR="004F4843" w:rsidRPr="002C53B3">
        <w:rPr>
          <w:rFonts w:ascii="Arial" w:hAnsi="Arial" w:cs="Arial"/>
          <w:color w:val="000000" w:themeColor="text1"/>
          <w:sz w:val="20"/>
          <w:szCs w:val="20"/>
        </w:rPr>
        <w:t xml:space="preserve"> </w:t>
      </w:r>
      <w:r w:rsidR="00250834" w:rsidRPr="002C53B3">
        <w:rPr>
          <w:rFonts w:ascii="Arial" w:hAnsi="Arial" w:cs="Arial"/>
          <w:color w:val="000000" w:themeColor="text1"/>
          <w:sz w:val="20"/>
          <w:szCs w:val="20"/>
        </w:rPr>
        <w:t>velike</w:t>
      </w:r>
      <w:r w:rsidRPr="002C53B3">
        <w:rPr>
          <w:rFonts w:ascii="Arial" w:hAnsi="Arial" w:cs="Arial"/>
          <w:color w:val="000000" w:themeColor="text1"/>
          <w:sz w:val="20"/>
          <w:szCs w:val="20"/>
        </w:rPr>
        <w:t xml:space="preserve"> enote največji delež, in sicer ta znaša </w:t>
      </w:r>
      <w:r w:rsidR="00352BF1" w:rsidRPr="002C53B3">
        <w:rPr>
          <w:rFonts w:ascii="Arial" w:hAnsi="Arial" w:cs="Arial"/>
          <w:color w:val="000000" w:themeColor="text1"/>
          <w:sz w:val="20"/>
          <w:szCs w:val="20"/>
        </w:rPr>
        <w:t>44,12</w:t>
      </w:r>
      <w:r w:rsidR="00C20AF0" w:rsidRPr="002C53B3">
        <w:rPr>
          <w:rFonts w:ascii="Arial" w:hAnsi="Arial" w:cs="Arial"/>
          <w:color w:val="000000" w:themeColor="text1"/>
          <w:sz w:val="20"/>
          <w:szCs w:val="20"/>
        </w:rPr>
        <w:t> </w:t>
      </w:r>
      <w:r w:rsidR="00AC0027" w:rsidRPr="002C53B3">
        <w:rPr>
          <w:rFonts w:ascii="Arial" w:hAnsi="Arial" w:cs="Arial"/>
          <w:color w:val="000000" w:themeColor="text1"/>
          <w:sz w:val="20"/>
          <w:szCs w:val="20"/>
        </w:rPr>
        <w:t>odstotka</w:t>
      </w:r>
      <w:r w:rsidRPr="002C53B3">
        <w:rPr>
          <w:rFonts w:ascii="Arial" w:hAnsi="Arial" w:cs="Arial"/>
          <w:color w:val="000000" w:themeColor="text1"/>
          <w:sz w:val="20"/>
          <w:szCs w:val="20"/>
        </w:rPr>
        <w:t>, dodeljenih pa jim je bilo</w:t>
      </w:r>
      <w:r w:rsidR="00250834" w:rsidRPr="002C53B3">
        <w:rPr>
          <w:rFonts w:ascii="Arial" w:hAnsi="Arial" w:cs="Arial"/>
          <w:color w:val="000000" w:themeColor="text1"/>
          <w:sz w:val="20"/>
          <w:szCs w:val="20"/>
        </w:rPr>
        <w:t xml:space="preserve"> </w:t>
      </w:r>
      <w:r w:rsidR="00352BF1" w:rsidRPr="002C53B3">
        <w:rPr>
          <w:rFonts w:ascii="Arial" w:hAnsi="Arial" w:cs="Arial"/>
          <w:color w:val="000000" w:themeColor="text1"/>
          <w:sz w:val="20"/>
          <w:szCs w:val="20"/>
        </w:rPr>
        <w:t>3</w:t>
      </w:r>
      <w:r w:rsidR="007A2114" w:rsidRPr="002C53B3">
        <w:rPr>
          <w:rFonts w:ascii="Arial" w:hAnsi="Arial" w:cs="Arial"/>
          <w:color w:val="000000" w:themeColor="text1"/>
          <w:sz w:val="20"/>
          <w:szCs w:val="20"/>
        </w:rPr>
        <w:t>.</w:t>
      </w:r>
      <w:r w:rsidR="00352BF1" w:rsidRPr="002C53B3">
        <w:rPr>
          <w:rFonts w:ascii="Arial" w:hAnsi="Arial" w:cs="Arial"/>
          <w:color w:val="000000" w:themeColor="text1"/>
          <w:sz w:val="20"/>
          <w:szCs w:val="20"/>
        </w:rPr>
        <w:t>669</w:t>
      </w:r>
      <w:r w:rsidR="00250834" w:rsidRPr="002C53B3">
        <w:rPr>
          <w:rFonts w:ascii="Arial" w:hAnsi="Arial" w:cs="Arial"/>
          <w:color w:val="000000" w:themeColor="text1"/>
          <w:sz w:val="20"/>
          <w:szCs w:val="20"/>
        </w:rPr>
        <w:t xml:space="preserve"> </w:t>
      </w:r>
      <w:r w:rsidR="00CD10B9" w:rsidRPr="002C53B3">
        <w:rPr>
          <w:rFonts w:ascii="Arial" w:hAnsi="Arial" w:cs="Arial"/>
          <w:color w:val="000000" w:themeColor="text1"/>
          <w:sz w:val="20"/>
          <w:szCs w:val="20"/>
        </w:rPr>
        <w:t xml:space="preserve">javnih </w:t>
      </w:r>
      <w:r w:rsidRPr="002C53B3">
        <w:rPr>
          <w:rFonts w:ascii="Arial" w:hAnsi="Arial" w:cs="Arial"/>
          <w:color w:val="000000" w:themeColor="text1"/>
          <w:sz w:val="20"/>
          <w:szCs w:val="20"/>
        </w:rPr>
        <w:t xml:space="preserve">naročil v vrednosti </w:t>
      </w:r>
      <w:r w:rsidR="00352BF1" w:rsidRPr="002C53B3">
        <w:rPr>
          <w:rFonts w:ascii="Arial" w:hAnsi="Arial" w:cs="Arial"/>
          <w:color w:val="000000" w:themeColor="text1"/>
          <w:sz w:val="20"/>
          <w:szCs w:val="20"/>
        </w:rPr>
        <w:t xml:space="preserve">2.543.001.884 </w:t>
      </w:r>
      <w:r w:rsidRPr="002C53B3">
        <w:rPr>
          <w:rFonts w:ascii="Arial" w:hAnsi="Arial" w:cs="Arial"/>
          <w:color w:val="000000" w:themeColor="text1"/>
          <w:sz w:val="20"/>
          <w:szCs w:val="20"/>
        </w:rPr>
        <w:t>evrov. Največji delež v številu oddanih naročil imajo</w:t>
      </w:r>
      <w:r w:rsidR="00250834" w:rsidRPr="002C53B3">
        <w:rPr>
          <w:rFonts w:ascii="Arial" w:hAnsi="Arial" w:cs="Arial"/>
          <w:color w:val="000000" w:themeColor="text1"/>
          <w:sz w:val="20"/>
          <w:szCs w:val="20"/>
        </w:rPr>
        <w:t xml:space="preserve"> </w:t>
      </w:r>
      <w:r w:rsidRPr="002C53B3">
        <w:rPr>
          <w:rFonts w:ascii="Arial" w:hAnsi="Arial" w:cs="Arial"/>
          <w:color w:val="000000" w:themeColor="text1"/>
          <w:sz w:val="20"/>
          <w:szCs w:val="20"/>
        </w:rPr>
        <w:t>m</w:t>
      </w:r>
      <w:r w:rsidR="00A4663C" w:rsidRPr="002C53B3">
        <w:rPr>
          <w:rFonts w:ascii="Arial" w:hAnsi="Arial" w:cs="Arial"/>
          <w:color w:val="000000" w:themeColor="text1"/>
          <w:sz w:val="20"/>
          <w:szCs w:val="20"/>
        </w:rPr>
        <w:t>ajhne</w:t>
      </w:r>
      <w:r w:rsidRPr="002C53B3">
        <w:rPr>
          <w:rFonts w:ascii="Arial" w:hAnsi="Arial" w:cs="Arial"/>
          <w:color w:val="000000" w:themeColor="text1"/>
          <w:sz w:val="20"/>
          <w:szCs w:val="20"/>
        </w:rPr>
        <w:t xml:space="preserve"> enote, in sicer </w:t>
      </w:r>
      <w:r w:rsidR="00734842" w:rsidRPr="002C53B3">
        <w:rPr>
          <w:rFonts w:ascii="Arial" w:hAnsi="Arial" w:cs="Arial"/>
          <w:color w:val="000000" w:themeColor="text1"/>
          <w:sz w:val="20"/>
          <w:szCs w:val="20"/>
        </w:rPr>
        <w:t>3</w:t>
      </w:r>
      <w:r w:rsidR="00352BF1" w:rsidRPr="002C53B3">
        <w:rPr>
          <w:rFonts w:ascii="Arial" w:hAnsi="Arial" w:cs="Arial"/>
          <w:color w:val="000000" w:themeColor="text1"/>
          <w:sz w:val="20"/>
          <w:szCs w:val="20"/>
        </w:rPr>
        <w:t>5,4</w:t>
      </w:r>
      <w:r w:rsidR="002C53B3" w:rsidRPr="002C53B3">
        <w:rPr>
          <w:rFonts w:ascii="Arial" w:hAnsi="Arial" w:cs="Arial"/>
          <w:color w:val="000000" w:themeColor="text1"/>
          <w:sz w:val="20"/>
          <w:szCs w:val="20"/>
        </w:rPr>
        <w:t>7</w:t>
      </w:r>
      <w:r w:rsidR="00C20AF0" w:rsidRPr="002C53B3">
        <w:rPr>
          <w:rFonts w:ascii="Arial" w:hAnsi="Arial" w:cs="Arial"/>
          <w:color w:val="000000" w:themeColor="text1"/>
          <w:sz w:val="20"/>
          <w:szCs w:val="20"/>
        </w:rPr>
        <w:t> </w:t>
      </w:r>
      <w:r w:rsidR="00AC0027" w:rsidRPr="002C53B3">
        <w:rPr>
          <w:rFonts w:ascii="Arial" w:hAnsi="Arial" w:cs="Arial"/>
          <w:color w:val="000000" w:themeColor="text1"/>
          <w:sz w:val="20"/>
          <w:szCs w:val="20"/>
        </w:rPr>
        <w:t>odstotka</w:t>
      </w:r>
      <w:r w:rsidR="00A4663C" w:rsidRPr="002C53B3">
        <w:rPr>
          <w:rFonts w:ascii="Arial" w:hAnsi="Arial" w:cs="Arial"/>
          <w:color w:val="000000" w:themeColor="text1"/>
          <w:sz w:val="20"/>
          <w:szCs w:val="20"/>
        </w:rPr>
        <w:t xml:space="preserve">. </w:t>
      </w:r>
      <w:r w:rsidRPr="002C53B3">
        <w:rPr>
          <w:rFonts w:ascii="Arial" w:hAnsi="Arial" w:cs="Arial"/>
          <w:color w:val="000000" w:themeColor="text1"/>
          <w:sz w:val="20"/>
          <w:szCs w:val="20"/>
        </w:rPr>
        <w:t>Porazdel</w:t>
      </w:r>
      <w:r w:rsidR="007869A2" w:rsidRPr="002C53B3">
        <w:rPr>
          <w:rFonts w:ascii="Arial" w:hAnsi="Arial" w:cs="Arial"/>
          <w:color w:val="000000" w:themeColor="text1"/>
          <w:sz w:val="20"/>
          <w:szCs w:val="20"/>
        </w:rPr>
        <w:t>itev oddanih naročil v letu 20</w:t>
      </w:r>
      <w:r w:rsidR="002C18B8" w:rsidRPr="002C53B3">
        <w:rPr>
          <w:rFonts w:ascii="Arial" w:hAnsi="Arial" w:cs="Arial"/>
          <w:color w:val="000000" w:themeColor="text1"/>
          <w:sz w:val="20"/>
          <w:szCs w:val="20"/>
        </w:rPr>
        <w:t>2</w:t>
      </w:r>
      <w:r w:rsidR="00352BF1" w:rsidRPr="002C53B3">
        <w:rPr>
          <w:rFonts w:ascii="Arial" w:hAnsi="Arial" w:cs="Arial"/>
          <w:color w:val="000000" w:themeColor="text1"/>
          <w:sz w:val="20"/>
          <w:szCs w:val="20"/>
        </w:rPr>
        <w:t>3</w:t>
      </w:r>
      <w:r w:rsidRPr="002C53B3">
        <w:rPr>
          <w:rFonts w:ascii="Arial" w:hAnsi="Arial" w:cs="Arial"/>
          <w:color w:val="000000" w:themeColor="text1"/>
          <w:sz w:val="20"/>
          <w:szCs w:val="20"/>
        </w:rPr>
        <w:t xml:space="preserve"> glede na velikost slovenskih ponudnikov, njihov delež v številu oddanih naročil </w:t>
      </w:r>
      <w:r w:rsidR="001B3568" w:rsidRPr="002C53B3">
        <w:rPr>
          <w:rFonts w:ascii="Arial" w:hAnsi="Arial" w:cs="Arial"/>
          <w:color w:val="000000" w:themeColor="text1"/>
          <w:sz w:val="20"/>
          <w:szCs w:val="20"/>
        </w:rPr>
        <w:t>in njihov</w:t>
      </w:r>
      <w:r w:rsidR="00B35EB2" w:rsidRPr="002C53B3">
        <w:rPr>
          <w:rFonts w:ascii="Arial" w:hAnsi="Arial" w:cs="Arial"/>
          <w:color w:val="000000" w:themeColor="text1"/>
          <w:sz w:val="20"/>
          <w:szCs w:val="20"/>
        </w:rPr>
        <w:t>a</w:t>
      </w:r>
      <w:r w:rsidR="001B3568" w:rsidRPr="002C53B3">
        <w:rPr>
          <w:rFonts w:ascii="Arial" w:hAnsi="Arial" w:cs="Arial"/>
          <w:color w:val="000000" w:themeColor="text1"/>
          <w:sz w:val="20"/>
          <w:szCs w:val="20"/>
        </w:rPr>
        <w:t xml:space="preserve"> vrednost </w:t>
      </w:r>
      <w:r w:rsidR="004F4843" w:rsidRPr="002C53B3">
        <w:rPr>
          <w:rFonts w:ascii="Arial" w:hAnsi="Arial" w:cs="Arial"/>
          <w:color w:val="000000" w:themeColor="text1"/>
          <w:sz w:val="20"/>
          <w:szCs w:val="20"/>
        </w:rPr>
        <w:t>so prikazani</w:t>
      </w:r>
      <w:r w:rsidR="001B3568" w:rsidRPr="002C53B3">
        <w:rPr>
          <w:rFonts w:ascii="Arial" w:hAnsi="Arial" w:cs="Arial"/>
          <w:color w:val="000000" w:themeColor="text1"/>
          <w:sz w:val="20"/>
          <w:szCs w:val="20"/>
        </w:rPr>
        <w:t xml:space="preserve"> </w:t>
      </w:r>
      <w:r w:rsidR="004F4843" w:rsidRPr="002C53B3">
        <w:rPr>
          <w:rFonts w:ascii="Arial" w:hAnsi="Arial" w:cs="Arial"/>
          <w:color w:val="000000" w:themeColor="text1"/>
          <w:sz w:val="20"/>
          <w:szCs w:val="20"/>
        </w:rPr>
        <w:t>v</w:t>
      </w:r>
      <w:r w:rsidR="001B3568" w:rsidRPr="002C53B3">
        <w:rPr>
          <w:rFonts w:ascii="Arial" w:hAnsi="Arial" w:cs="Arial"/>
          <w:color w:val="000000" w:themeColor="text1"/>
          <w:sz w:val="20"/>
          <w:szCs w:val="20"/>
        </w:rPr>
        <w:t xml:space="preserve"> spodnj</w:t>
      </w:r>
      <w:r w:rsidR="004F4843" w:rsidRPr="002C53B3">
        <w:rPr>
          <w:rFonts w:ascii="Arial" w:hAnsi="Arial" w:cs="Arial"/>
          <w:color w:val="000000" w:themeColor="text1"/>
          <w:sz w:val="20"/>
          <w:szCs w:val="20"/>
        </w:rPr>
        <w:t>i</w:t>
      </w:r>
      <w:r w:rsidR="001B3568" w:rsidRPr="002C53B3">
        <w:rPr>
          <w:rFonts w:ascii="Arial" w:hAnsi="Arial" w:cs="Arial"/>
          <w:color w:val="000000" w:themeColor="text1"/>
          <w:sz w:val="20"/>
          <w:szCs w:val="20"/>
        </w:rPr>
        <w:t xml:space="preserve"> preglednic</w:t>
      </w:r>
      <w:r w:rsidR="004F4843" w:rsidRPr="002C53B3">
        <w:rPr>
          <w:rFonts w:ascii="Arial" w:hAnsi="Arial" w:cs="Arial"/>
          <w:color w:val="000000" w:themeColor="text1"/>
          <w:sz w:val="20"/>
          <w:szCs w:val="20"/>
        </w:rPr>
        <w:t>i</w:t>
      </w:r>
      <w:r w:rsidR="001B3568" w:rsidRPr="002C53B3">
        <w:rPr>
          <w:rFonts w:ascii="Arial" w:hAnsi="Arial" w:cs="Arial"/>
          <w:color w:val="000000" w:themeColor="text1"/>
          <w:sz w:val="20"/>
          <w:szCs w:val="20"/>
        </w:rPr>
        <w:t>.</w:t>
      </w:r>
    </w:p>
    <w:p w14:paraId="351627E3" w14:textId="224B9243" w:rsidR="00180D5C" w:rsidRPr="002C53B3" w:rsidRDefault="00CD10B9" w:rsidP="008A61FD">
      <w:pPr>
        <w:spacing w:before="120" w:after="120" w:line="240" w:lineRule="auto"/>
        <w:jc w:val="both"/>
        <w:rPr>
          <w:rFonts w:ascii="Arial" w:hAnsi="Arial" w:cs="Arial"/>
          <w:color w:val="000000" w:themeColor="text1"/>
          <w:sz w:val="20"/>
        </w:rPr>
      </w:pPr>
      <w:r w:rsidRPr="002C53B3">
        <w:rPr>
          <w:rFonts w:ascii="Arial" w:hAnsi="Arial" w:cs="Arial"/>
          <w:color w:val="000000" w:themeColor="text1"/>
          <w:sz w:val="20"/>
        </w:rPr>
        <w:t xml:space="preserve">Preglednica </w:t>
      </w:r>
      <w:r w:rsidR="00512F52" w:rsidRPr="002C53B3">
        <w:rPr>
          <w:rFonts w:ascii="Arial" w:hAnsi="Arial" w:cs="Arial"/>
          <w:color w:val="000000" w:themeColor="text1"/>
          <w:sz w:val="20"/>
        </w:rPr>
        <w:t>3</w:t>
      </w:r>
      <w:r w:rsidR="00EA747F" w:rsidRPr="002C53B3">
        <w:rPr>
          <w:rFonts w:ascii="Arial" w:hAnsi="Arial" w:cs="Arial"/>
          <w:color w:val="000000" w:themeColor="text1"/>
          <w:sz w:val="20"/>
        </w:rPr>
        <w:t>8</w:t>
      </w:r>
      <w:r w:rsidRPr="002C53B3">
        <w:rPr>
          <w:rFonts w:ascii="Arial" w:hAnsi="Arial" w:cs="Arial"/>
          <w:color w:val="000000" w:themeColor="text1"/>
          <w:sz w:val="20"/>
        </w:rPr>
        <w:t>: Porazdelitev oddanih javnih naročil glede na velikost slovenskih ponudnikov, delež v številu oddanih istovrstnih naročil in delež v pogodbenih vrednostih glede na predmet naročanj</w:t>
      </w:r>
      <w:r w:rsidR="00642E79" w:rsidRPr="002C53B3">
        <w:rPr>
          <w:rFonts w:ascii="Arial" w:hAnsi="Arial" w:cs="Arial"/>
          <w:color w:val="000000" w:themeColor="text1"/>
          <w:sz w:val="20"/>
        </w:rPr>
        <w:t>a</w:t>
      </w:r>
    </w:p>
    <w:tbl>
      <w:tblPr>
        <w:tblW w:w="5000" w:type="pct"/>
        <w:tblCellMar>
          <w:left w:w="70" w:type="dxa"/>
          <w:right w:w="70" w:type="dxa"/>
        </w:tblCellMar>
        <w:tblLook w:val="04A0" w:firstRow="1" w:lastRow="0" w:firstColumn="1" w:lastColumn="0" w:noHBand="0" w:noVBand="1"/>
      </w:tblPr>
      <w:tblGrid>
        <w:gridCol w:w="821"/>
        <w:gridCol w:w="2576"/>
        <w:gridCol w:w="1560"/>
        <w:gridCol w:w="2314"/>
        <w:gridCol w:w="951"/>
        <w:gridCol w:w="952"/>
      </w:tblGrid>
      <w:tr w:rsidR="004479F4" w:rsidRPr="002C53B3" w14:paraId="7B6363FC" w14:textId="77777777" w:rsidTr="003C6CE1">
        <w:trPr>
          <w:trHeight w:val="960"/>
          <w:tblHeader/>
        </w:trPr>
        <w:tc>
          <w:tcPr>
            <w:tcW w:w="44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08FC666" w14:textId="77777777" w:rsidR="004479F4" w:rsidRPr="002C53B3" w:rsidRDefault="004479F4" w:rsidP="004479F4">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 xml:space="preserve">Predmet </w:t>
            </w:r>
          </w:p>
        </w:tc>
        <w:tc>
          <w:tcPr>
            <w:tcW w:w="1404" w:type="pct"/>
            <w:tcBorders>
              <w:top w:val="single" w:sz="4" w:space="0" w:color="auto"/>
              <w:left w:val="nil"/>
              <w:bottom w:val="single" w:sz="4" w:space="0" w:color="auto"/>
              <w:right w:val="single" w:sz="4" w:space="0" w:color="auto"/>
            </w:tcBorders>
            <w:shd w:val="clear" w:color="000000" w:fill="F2F2F2"/>
            <w:vAlign w:val="center"/>
            <w:hideMark/>
          </w:tcPr>
          <w:p w14:paraId="06BB2DBF" w14:textId="77777777" w:rsidR="004479F4" w:rsidRPr="002C53B3" w:rsidRDefault="004479F4" w:rsidP="004479F4">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Velikost ponudnika</w:t>
            </w:r>
          </w:p>
        </w:tc>
        <w:tc>
          <w:tcPr>
            <w:tcW w:w="850" w:type="pct"/>
            <w:tcBorders>
              <w:top w:val="single" w:sz="4" w:space="0" w:color="auto"/>
              <w:left w:val="nil"/>
              <w:bottom w:val="single" w:sz="4" w:space="0" w:color="auto"/>
              <w:right w:val="single" w:sz="4" w:space="0" w:color="auto"/>
            </w:tcBorders>
            <w:shd w:val="clear" w:color="000000" w:fill="F2F2F2"/>
            <w:vAlign w:val="center"/>
            <w:hideMark/>
          </w:tcPr>
          <w:p w14:paraId="55D6A112" w14:textId="77777777" w:rsidR="004479F4" w:rsidRPr="002C53B3" w:rsidRDefault="004479F4" w:rsidP="004479F4">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Št. naročil</w:t>
            </w:r>
          </w:p>
        </w:tc>
        <w:tc>
          <w:tcPr>
            <w:tcW w:w="1261" w:type="pct"/>
            <w:tcBorders>
              <w:top w:val="single" w:sz="4" w:space="0" w:color="auto"/>
              <w:left w:val="nil"/>
              <w:bottom w:val="single" w:sz="4" w:space="0" w:color="auto"/>
              <w:right w:val="single" w:sz="4" w:space="0" w:color="auto"/>
            </w:tcBorders>
            <w:shd w:val="clear" w:color="000000" w:fill="F2F2F2"/>
            <w:vAlign w:val="center"/>
            <w:hideMark/>
          </w:tcPr>
          <w:p w14:paraId="25EE2195" w14:textId="1E6EC5AD" w:rsidR="004479F4" w:rsidRPr="002C53B3" w:rsidRDefault="004479F4" w:rsidP="004479F4">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Pogodbena vrednost</w:t>
            </w:r>
            <w:r w:rsidR="00986395" w:rsidRPr="002C53B3">
              <w:rPr>
                <w:rFonts w:ascii="Arial" w:eastAsia="Times New Roman" w:hAnsi="Arial" w:cs="Arial"/>
                <w:color w:val="000000"/>
                <w:sz w:val="18"/>
                <w:szCs w:val="18"/>
                <w:lang w:eastAsia="sl-SI"/>
              </w:rPr>
              <w:t xml:space="preserve"> </w:t>
            </w:r>
            <w:r w:rsidR="00986395" w:rsidRPr="002C53B3">
              <w:rPr>
                <w:rFonts w:ascii="Arial" w:eastAsia="Times New Roman" w:hAnsi="Arial" w:cs="Arial"/>
                <w:color w:val="000000" w:themeColor="text1"/>
                <w:sz w:val="18"/>
                <w:szCs w:val="18"/>
                <w:lang w:eastAsia="sl-SI"/>
              </w:rPr>
              <w:t>(v EUR)</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3B8B1623" w14:textId="77777777" w:rsidR="004479F4" w:rsidRPr="002C53B3" w:rsidRDefault="004479F4" w:rsidP="004479F4">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Delež v št. istovrstnih naročil</w:t>
            </w:r>
          </w:p>
        </w:tc>
        <w:tc>
          <w:tcPr>
            <w:tcW w:w="519" w:type="pct"/>
            <w:tcBorders>
              <w:top w:val="single" w:sz="4" w:space="0" w:color="auto"/>
              <w:left w:val="nil"/>
              <w:bottom w:val="single" w:sz="4" w:space="0" w:color="auto"/>
              <w:right w:val="single" w:sz="4" w:space="0" w:color="auto"/>
            </w:tcBorders>
            <w:shd w:val="clear" w:color="000000" w:fill="F2F2F2"/>
            <w:vAlign w:val="center"/>
            <w:hideMark/>
          </w:tcPr>
          <w:p w14:paraId="61DD21B7" w14:textId="77777777" w:rsidR="004479F4" w:rsidRPr="002C53B3" w:rsidRDefault="004479F4" w:rsidP="004479F4">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Delež v vrednosti istovrstnih naročil</w:t>
            </w:r>
          </w:p>
        </w:tc>
      </w:tr>
      <w:tr w:rsidR="00930007" w:rsidRPr="002C53B3" w14:paraId="4D5A096B" w14:textId="77777777" w:rsidTr="00930007">
        <w:trPr>
          <w:trHeight w:val="300"/>
        </w:trPr>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2EFFBA14"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Blago</w:t>
            </w:r>
          </w:p>
        </w:tc>
        <w:tc>
          <w:tcPr>
            <w:tcW w:w="1404" w:type="pct"/>
            <w:tcBorders>
              <w:top w:val="nil"/>
              <w:left w:val="nil"/>
              <w:bottom w:val="single" w:sz="4" w:space="0" w:color="auto"/>
              <w:right w:val="single" w:sz="4" w:space="0" w:color="auto"/>
            </w:tcBorders>
            <w:shd w:val="clear" w:color="auto" w:fill="auto"/>
            <w:vAlign w:val="center"/>
            <w:hideMark/>
          </w:tcPr>
          <w:p w14:paraId="23924ABD" w14:textId="77777777" w:rsidR="00930007" w:rsidRPr="002C53B3" w:rsidRDefault="00930007" w:rsidP="00930007">
            <w:pPr>
              <w:spacing w:after="0" w:line="240" w:lineRule="auto"/>
              <w:rPr>
                <w:rFonts w:ascii="Arial" w:eastAsia="Times New Roman" w:hAnsi="Arial" w:cs="Arial"/>
                <w:color w:val="000000"/>
                <w:sz w:val="18"/>
                <w:szCs w:val="18"/>
                <w:lang w:eastAsia="sl-SI"/>
              </w:rPr>
            </w:pPr>
            <w:proofErr w:type="spellStart"/>
            <w:r w:rsidRPr="002C53B3">
              <w:rPr>
                <w:rFonts w:ascii="Arial" w:eastAsia="Times New Roman" w:hAnsi="Arial" w:cs="Arial"/>
                <w:color w:val="000000"/>
                <w:sz w:val="18"/>
                <w:szCs w:val="18"/>
                <w:lang w:eastAsia="sl-SI"/>
              </w:rPr>
              <w:t>Mikro</w:t>
            </w:r>
            <w:proofErr w:type="spellEnd"/>
            <w:r w:rsidRPr="002C53B3">
              <w:rPr>
                <w:rFonts w:ascii="Arial" w:eastAsia="Times New Roman" w:hAnsi="Arial" w:cs="Arial"/>
                <w:color w:val="000000"/>
                <w:sz w:val="18"/>
                <w:szCs w:val="18"/>
                <w:lang w:eastAsia="sl-SI"/>
              </w:rPr>
              <w:t xml:space="preserve"> enote</w:t>
            </w:r>
          </w:p>
        </w:tc>
        <w:tc>
          <w:tcPr>
            <w:tcW w:w="850" w:type="pct"/>
            <w:tcBorders>
              <w:top w:val="nil"/>
              <w:left w:val="nil"/>
              <w:bottom w:val="single" w:sz="4" w:space="0" w:color="auto"/>
              <w:right w:val="single" w:sz="4" w:space="0" w:color="auto"/>
            </w:tcBorders>
            <w:shd w:val="clear" w:color="auto" w:fill="auto"/>
            <w:vAlign w:val="center"/>
            <w:hideMark/>
          </w:tcPr>
          <w:p w14:paraId="3E49F45A" w14:textId="08FA4549"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709</w:t>
            </w:r>
          </w:p>
        </w:tc>
        <w:tc>
          <w:tcPr>
            <w:tcW w:w="1261" w:type="pct"/>
            <w:tcBorders>
              <w:top w:val="nil"/>
              <w:left w:val="nil"/>
              <w:bottom w:val="single" w:sz="4" w:space="0" w:color="auto"/>
              <w:right w:val="single" w:sz="4" w:space="0" w:color="auto"/>
            </w:tcBorders>
            <w:shd w:val="clear" w:color="auto" w:fill="auto"/>
            <w:vAlign w:val="center"/>
            <w:hideMark/>
          </w:tcPr>
          <w:p w14:paraId="362FE34F" w14:textId="43973359"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58.333.448</w:t>
            </w:r>
          </w:p>
        </w:tc>
        <w:tc>
          <w:tcPr>
            <w:tcW w:w="518" w:type="pct"/>
            <w:tcBorders>
              <w:top w:val="nil"/>
              <w:left w:val="nil"/>
              <w:bottom w:val="single" w:sz="4" w:space="0" w:color="auto"/>
              <w:right w:val="single" w:sz="4" w:space="0" w:color="auto"/>
            </w:tcBorders>
            <w:shd w:val="clear" w:color="auto" w:fill="auto"/>
            <w:noWrap/>
            <w:vAlign w:val="center"/>
            <w:hideMark/>
          </w:tcPr>
          <w:p w14:paraId="66301388" w14:textId="559A678B"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6,92 %</w:t>
            </w:r>
          </w:p>
        </w:tc>
        <w:tc>
          <w:tcPr>
            <w:tcW w:w="519" w:type="pct"/>
            <w:tcBorders>
              <w:top w:val="nil"/>
              <w:left w:val="nil"/>
              <w:bottom w:val="single" w:sz="4" w:space="0" w:color="auto"/>
              <w:right w:val="single" w:sz="4" w:space="0" w:color="auto"/>
            </w:tcBorders>
            <w:shd w:val="clear" w:color="auto" w:fill="auto"/>
            <w:noWrap/>
            <w:vAlign w:val="center"/>
            <w:hideMark/>
          </w:tcPr>
          <w:p w14:paraId="5D6A2D55" w14:textId="04306141"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2,56 %</w:t>
            </w:r>
          </w:p>
        </w:tc>
      </w:tr>
      <w:tr w:rsidR="00930007" w:rsidRPr="002C53B3" w14:paraId="594B501F"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12282B29"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4" w:type="pct"/>
            <w:tcBorders>
              <w:top w:val="nil"/>
              <w:left w:val="nil"/>
              <w:bottom w:val="single" w:sz="4" w:space="0" w:color="auto"/>
              <w:right w:val="single" w:sz="4" w:space="0" w:color="auto"/>
            </w:tcBorders>
            <w:shd w:val="clear" w:color="auto" w:fill="auto"/>
            <w:vAlign w:val="center"/>
            <w:hideMark/>
          </w:tcPr>
          <w:p w14:paraId="2A0C7CD7"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Majhne enote</w:t>
            </w:r>
          </w:p>
        </w:tc>
        <w:tc>
          <w:tcPr>
            <w:tcW w:w="850" w:type="pct"/>
            <w:tcBorders>
              <w:top w:val="nil"/>
              <w:left w:val="nil"/>
              <w:bottom w:val="single" w:sz="4" w:space="0" w:color="auto"/>
              <w:right w:val="single" w:sz="4" w:space="0" w:color="auto"/>
            </w:tcBorders>
            <w:shd w:val="clear" w:color="auto" w:fill="auto"/>
            <w:vAlign w:val="center"/>
            <w:hideMark/>
          </w:tcPr>
          <w:p w14:paraId="3C1E1FBE" w14:textId="186B157C"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3.575</w:t>
            </w:r>
          </w:p>
        </w:tc>
        <w:tc>
          <w:tcPr>
            <w:tcW w:w="1261" w:type="pct"/>
            <w:tcBorders>
              <w:top w:val="nil"/>
              <w:left w:val="nil"/>
              <w:bottom w:val="single" w:sz="4" w:space="0" w:color="auto"/>
              <w:right w:val="single" w:sz="4" w:space="0" w:color="auto"/>
            </w:tcBorders>
            <w:shd w:val="clear" w:color="auto" w:fill="auto"/>
            <w:vAlign w:val="center"/>
            <w:hideMark/>
          </w:tcPr>
          <w:p w14:paraId="6AB49B7B" w14:textId="031844F2"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593.442.449</w:t>
            </w:r>
          </w:p>
        </w:tc>
        <w:tc>
          <w:tcPr>
            <w:tcW w:w="518" w:type="pct"/>
            <w:tcBorders>
              <w:top w:val="nil"/>
              <w:left w:val="nil"/>
              <w:bottom w:val="single" w:sz="4" w:space="0" w:color="auto"/>
              <w:right w:val="single" w:sz="4" w:space="0" w:color="auto"/>
            </w:tcBorders>
            <w:shd w:val="clear" w:color="auto" w:fill="auto"/>
            <w:noWrap/>
            <w:vAlign w:val="center"/>
            <w:hideMark/>
          </w:tcPr>
          <w:p w14:paraId="2DBDA742" w14:textId="2662E7DE"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34,87 %</w:t>
            </w:r>
          </w:p>
        </w:tc>
        <w:tc>
          <w:tcPr>
            <w:tcW w:w="519" w:type="pct"/>
            <w:tcBorders>
              <w:top w:val="nil"/>
              <w:left w:val="nil"/>
              <w:bottom w:val="single" w:sz="4" w:space="0" w:color="auto"/>
              <w:right w:val="single" w:sz="4" w:space="0" w:color="auto"/>
            </w:tcBorders>
            <w:shd w:val="clear" w:color="auto" w:fill="auto"/>
            <w:noWrap/>
            <w:vAlign w:val="center"/>
            <w:hideMark/>
          </w:tcPr>
          <w:p w14:paraId="5FC66631" w14:textId="518D145A"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26,08 %</w:t>
            </w:r>
          </w:p>
        </w:tc>
      </w:tr>
      <w:tr w:rsidR="00930007" w:rsidRPr="002C53B3" w14:paraId="7D389CF0"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394DABCD"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4" w:type="pct"/>
            <w:tcBorders>
              <w:top w:val="nil"/>
              <w:left w:val="nil"/>
              <w:bottom w:val="single" w:sz="4" w:space="0" w:color="auto"/>
              <w:right w:val="single" w:sz="4" w:space="0" w:color="auto"/>
            </w:tcBorders>
            <w:shd w:val="clear" w:color="auto" w:fill="auto"/>
            <w:vAlign w:val="center"/>
            <w:hideMark/>
          </w:tcPr>
          <w:p w14:paraId="73C49895"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Srednje enote</w:t>
            </w:r>
          </w:p>
        </w:tc>
        <w:tc>
          <w:tcPr>
            <w:tcW w:w="850" w:type="pct"/>
            <w:tcBorders>
              <w:top w:val="nil"/>
              <w:left w:val="nil"/>
              <w:bottom w:val="single" w:sz="4" w:space="0" w:color="auto"/>
              <w:right w:val="single" w:sz="4" w:space="0" w:color="auto"/>
            </w:tcBorders>
            <w:shd w:val="clear" w:color="auto" w:fill="auto"/>
            <w:vAlign w:val="center"/>
            <w:hideMark/>
          </w:tcPr>
          <w:p w14:paraId="581E8669" w14:textId="7FAC3B8C"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3.032</w:t>
            </w:r>
          </w:p>
        </w:tc>
        <w:tc>
          <w:tcPr>
            <w:tcW w:w="1261" w:type="pct"/>
            <w:tcBorders>
              <w:top w:val="nil"/>
              <w:left w:val="nil"/>
              <w:bottom w:val="single" w:sz="4" w:space="0" w:color="auto"/>
              <w:right w:val="single" w:sz="4" w:space="0" w:color="auto"/>
            </w:tcBorders>
            <w:shd w:val="clear" w:color="auto" w:fill="auto"/>
            <w:vAlign w:val="center"/>
            <w:hideMark/>
          </w:tcPr>
          <w:p w14:paraId="261754C5" w14:textId="6BCC010F"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518.220.835</w:t>
            </w:r>
          </w:p>
        </w:tc>
        <w:tc>
          <w:tcPr>
            <w:tcW w:w="518" w:type="pct"/>
            <w:tcBorders>
              <w:top w:val="nil"/>
              <w:left w:val="nil"/>
              <w:bottom w:val="single" w:sz="4" w:space="0" w:color="auto"/>
              <w:right w:val="single" w:sz="4" w:space="0" w:color="auto"/>
            </w:tcBorders>
            <w:shd w:val="clear" w:color="auto" w:fill="auto"/>
            <w:noWrap/>
            <w:vAlign w:val="center"/>
            <w:hideMark/>
          </w:tcPr>
          <w:p w14:paraId="681BCF3F" w14:textId="7A9D0D4E"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29,57 %</w:t>
            </w:r>
          </w:p>
        </w:tc>
        <w:tc>
          <w:tcPr>
            <w:tcW w:w="519" w:type="pct"/>
            <w:tcBorders>
              <w:top w:val="nil"/>
              <w:left w:val="nil"/>
              <w:bottom w:val="single" w:sz="4" w:space="0" w:color="auto"/>
              <w:right w:val="single" w:sz="4" w:space="0" w:color="auto"/>
            </w:tcBorders>
            <w:shd w:val="clear" w:color="auto" w:fill="auto"/>
            <w:noWrap/>
            <w:vAlign w:val="center"/>
            <w:hideMark/>
          </w:tcPr>
          <w:p w14:paraId="0DEAA13F" w14:textId="07E547AD"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22,78 %</w:t>
            </w:r>
          </w:p>
        </w:tc>
      </w:tr>
      <w:tr w:rsidR="00930007" w:rsidRPr="002C53B3" w14:paraId="2F4B5CD9"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7FE9A615"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4" w:type="pct"/>
            <w:tcBorders>
              <w:top w:val="nil"/>
              <w:left w:val="nil"/>
              <w:bottom w:val="single" w:sz="4" w:space="0" w:color="auto"/>
              <w:right w:val="single" w:sz="4" w:space="0" w:color="auto"/>
            </w:tcBorders>
            <w:shd w:val="clear" w:color="auto" w:fill="auto"/>
            <w:vAlign w:val="center"/>
            <w:hideMark/>
          </w:tcPr>
          <w:p w14:paraId="4195806B" w14:textId="1752AB55" w:rsidR="00930007" w:rsidRPr="002C53B3" w:rsidRDefault="002C53B3" w:rsidP="00930007">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930007" w:rsidRPr="002C53B3">
              <w:rPr>
                <w:rFonts w:ascii="Arial" w:eastAsia="Times New Roman" w:hAnsi="Arial" w:cs="Arial"/>
                <w:color w:val="000000"/>
                <w:sz w:val="18"/>
                <w:szCs w:val="18"/>
                <w:lang w:eastAsia="sl-SI"/>
              </w:rPr>
              <w:t>elike enote</w:t>
            </w:r>
          </w:p>
        </w:tc>
        <w:tc>
          <w:tcPr>
            <w:tcW w:w="850" w:type="pct"/>
            <w:tcBorders>
              <w:top w:val="nil"/>
              <w:left w:val="nil"/>
              <w:bottom w:val="single" w:sz="4" w:space="0" w:color="auto"/>
              <w:right w:val="single" w:sz="4" w:space="0" w:color="auto"/>
            </w:tcBorders>
            <w:shd w:val="clear" w:color="auto" w:fill="auto"/>
            <w:vAlign w:val="center"/>
            <w:hideMark/>
          </w:tcPr>
          <w:p w14:paraId="1F6C6E67" w14:textId="41D46355"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2.754</w:t>
            </w:r>
          </w:p>
        </w:tc>
        <w:tc>
          <w:tcPr>
            <w:tcW w:w="1261" w:type="pct"/>
            <w:tcBorders>
              <w:top w:val="nil"/>
              <w:left w:val="nil"/>
              <w:bottom w:val="single" w:sz="4" w:space="0" w:color="auto"/>
              <w:right w:val="single" w:sz="4" w:space="0" w:color="auto"/>
            </w:tcBorders>
            <w:shd w:val="clear" w:color="auto" w:fill="auto"/>
            <w:vAlign w:val="center"/>
            <w:hideMark/>
          </w:tcPr>
          <w:p w14:paraId="1DD41D9E" w14:textId="1AAD30B7"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940.753.639</w:t>
            </w:r>
          </w:p>
        </w:tc>
        <w:tc>
          <w:tcPr>
            <w:tcW w:w="518" w:type="pct"/>
            <w:tcBorders>
              <w:top w:val="nil"/>
              <w:left w:val="nil"/>
              <w:bottom w:val="single" w:sz="4" w:space="0" w:color="auto"/>
              <w:right w:val="single" w:sz="4" w:space="0" w:color="auto"/>
            </w:tcBorders>
            <w:shd w:val="clear" w:color="auto" w:fill="auto"/>
            <w:noWrap/>
            <w:vAlign w:val="center"/>
            <w:hideMark/>
          </w:tcPr>
          <w:p w14:paraId="6D80F2B7" w14:textId="23123AB1"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26,86 %</w:t>
            </w:r>
          </w:p>
        </w:tc>
        <w:tc>
          <w:tcPr>
            <w:tcW w:w="519" w:type="pct"/>
            <w:tcBorders>
              <w:top w:val="nil"/>
              <w:left w:val="nil"/>
              <w:bottom w:val="single" w:sz="4" w:space="0" w:color="auto"/>
              <w:right w:val="single" w:sz="4" w:space="0" w:color="auto"/>
            </w:tcBorders>
            <w:shd w:val="clear" w:color="auto" w:fill="auto"/>
            <w:noWrap/>
            <w:vAlign w:val="center"/>
            <w:hideMark/>
          </w:tcPr>
          <w:p w14:paraId="06EC38CA" w14:textId="11B99AAD"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41,35 %</w:t>
            </w:r>
          </w:p>
        </w:tc>
      </w:tr>
      <w:tr w:rsidR="00930007" w:rsidRPr="002C53B3" w14:paraId="137E9EAC"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7935C4E6"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4" w:type="pct"/>
            <w:tcBorders>
              <w:top w:val="nil"/>
              <w:left w:val="nil"/>
              <w:bottom w:val="single" w:sz="4" w:space="0" w:color="auto"/>
              <w:right w:val="single" w:sz="4" w:space="0" w:color="auto"/>
            </w:tcBorders>
            <w:shd w:val="clear" w:color="auto" w:fill="auto"/>
            <w:vAlign w:val="center"/>
            <w:hideMark/>
          </w:tcPr>
          <w:p w14:paraId="1ECFA41E" w14:textId="0BDAFF76"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 xml:space="preserve">Velikost </w:t>
            </w:r>
            <w:r w:rsidRPr="00B8399C">
              <w:rPr>
                <w:rFonts w:ascii="Arial" w:eastAsia="Times New Roman" w:hAnsi="Arial" w:cs="Arial"/>
                <w:color w:val="000000"/>
                <w:sz w:val="18"/>
                <w:szCs w:val="18"/>
                <w:lang w:eastAsia="sl-SI"/>
              </w:rPr>
              <w:t>RS</w:t>
            </w:r>
            <w:r w:rsidRPr="002C53B3">
              <w:rPr>
                <w:rFonts w:ascii="Arial" w:eastAsia="Times New Roman" w:hAnsi="Arial" w:cs="Arial"/>
                <w:color w:val="000000"/>
                <w:sz w:val="18"/>
                <w:szCs w:val="18"/>
                <w:lang w:eastAsia="sl-SI"/>
              </w:rPr>
              <w:t xml:space="preserve"> se ne izračunava</w:t>
            </w:r>
          </w:p>
        </w:tc>
        <w:tc>
          <w:tcPr>
            <w:tcW w:w="850" w:type="pct"/>
            <w:tcBorders>
              <w:top w:val="nil"/>
              <w:left w:val="nil"/>
              <w:bottom w:val="single" w:sz="4" w:space="0" w:color="auto"/>
              <w:right w:val="single" w:sz="4" w:space="0" w:color="auto"/>
            </w:tcBorders>
            <w:shd w:val="clear" w:color="auto" w:fill="auto"/>
            <w:vAlign w:val="center"/>
            <w:hideMark/>
          </w:tcPr>
          <w:p w14:paraId="1ED7D06B" w14:textId="77F06309"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110</w:t>
            </w:r>
          </w:p>
        </w:tc>
        <w:tc>
          <w:tcPr>
            <w:tcW w:w="1261" w:type="pct"/>
            <w:tcBorders>
              <w:top w:val="nil"/>
              <w:left w:val="nil"/>
              <w:bottom w:val="single" w:sz="4" w:space="0" w:color="auto"/>
              <w:right w:val="single" w:sz="4" w:space="0" w:color="auto"/>
            </w:tcBorders>
            <w:shd w:val="clear" w:color="auto" w:fill="auto"/>
            <w:vAlign w:val="center"/>
            <w:hideMark/>
          </w:tcPr>
          <w:p w14:paraId="58635137" w14:textId="122F25FB"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151.048.957</w:t>
            </w:r>
          </w:p>
        </w:tc>
        <w:tc>
          <w:tcPr>
            <w:tcW w:w="518" w:type="pct"/>
            <w:tcBorders>
              <w:top w:val="nil"/>
              <w:left w:val="nil"/>
              <w:bottom w:val="single" w:sz="4" w:space="0" w:color="auto"/>
              <w:right w:val="single" w:sz="4" w:space="0" w:color="auto"/>
            </w:tcBorders>
            <w:shd w:val="clear" w:color="auto" w:fill="auto"/>
            <w:noWrap/>
            <w:vAlign w:val="center"/>
            <w:hideMark/>
          </w:tcPr>
          <w:p w14:paraId="752F9B98" w14:textId="09E5FBFE"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1,07 %</w:t>
            </w:r>
          </w:p>
        </w:tc>
        <w:tc>
          <w:tcPr>
            <w:tcW w:w="519" w:type="pct"/>
            <w:tcBorders>
              <w:top w:val="nil"/>
              <w:left w:val="nil"/>
              <w:bottom w:val="single" w:sz="4" w:space="0" w:color="auto"/>
              <w:right w:val="single" w:sz="4" w:space="0" w:color="auto"/>
            </w:tcBorders>
            <w:shd w:val="clear" w:color="auto" w:fill="auto"/>
            <w:noWrap/>
            <w:vAlign w:val="center"/>
            <w:hideMark/>
          </w:tcPr>
          <w:p w14:paraId="3E7116A5" w14:textId="5CD1C5E0"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6,64 %</w:t>
            </w:r>
          </w:p>
        </w:tc>
      </w:tr>
      <w:tr w:rsidR="00930007" w:rsidRPr="002C53B3" w14:paraId="6377E0F4"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7B99E115"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4" w:type="pct"/>
            <w:tcBorders>
              <w:top w:val="nil"/>
              <w:left w:val="nil"/>
              <w:bottom w:val="single" w:sz="4" w:space="0" w:color="auto"/>
              <w:right w:val="single" w:sz="4" w:space="0" w:color="auto"/>
            </w:tcBorders>
            <w:shd w:val="clear" w:color="auto" w:fill="auto"/>
            <w:vAlign w:val="center"/>
            <w:hideMark/>
          </w:tcPr>
          <w:p w14:paraId="595CD019"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Ni podatka o velikosti</w:t>
            </w:r>
          </w:p>
        </w:tc>
        <w:tc>
          <w:tcPr>
            <w:tcW w:w="850" w:type="pct"/>
            <w:tcBorders>
              <w:top w:val="nil"/>
              <w:left w:val="nil"/>
              <w:bottom w:val="single" w:sz="4" w:space="0" w:color="auto"/>
              <w:right w:val="single" w:sz="4" w:space="0" w:color="auto"/>
            </w:tcBorders>
            <w:shd w:val="clear" w:color="auto" w:fill="auto"/>
            <w:vAlign w:val="center"/>
            <w:hideMark/>
          </w:tcPr>
          <w:p w14:paraId="58A83775" w14:textId="440F22F3"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73</w:t>
            </w:r>
          </w:p>
        </w:tc>
        <w:tc>
          <w:tcPr>
            <w:tcW w:w="1261" w:type="pct"/>
            <w:tcBorders>
              <w:top w:val="nil"/>
              <w:left w:val="nil"/>
              <w:bottom w:val="single" w:sz="4" w:space="0" w:color="auto"/>
              <w:right w:val="single" w:sz="4" w:space="0" w:color="auto"/>
            </w:tcBorders>
            <w:shd w:val="clear" w:color="auto" w:fill="auto"/>
            <w:vAlign w:val="center"/>
            <w:hideMark/>
          </w:tcPr>
          <w:p w14:paraId="48645E51" w14:textId="43E5AF46"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13.427.296</w:t>
            </w:r>
          </w:p>
        </w:tc>
        <w:tc>
          <w:tcPr>
            <w:tcW w:w="518" w:type="pct"/>
            <w:tcBorders>
              <w:top w:val="nil"/>
              <w:left w:val="nil"/>
              <w:bottom w:val="single" w:sz="4" w:space="0" w:color="auto"/>
              <w:right w:val="single" w:sz="4" w:space="0" w:color="auto"/>
            </w:tcBorders>
            <w:shd w:val="clear" w:color="auto" w:fill="auto"/>
            <w:noWrap/>
            <w:vAlign w:val="center"/>
            <w:hideMark/>
          </w:tcPr>
          <w:p w14:paraId="4D8328F5" w14:textId="1996B48B"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0,71 %</w:t>
            </w:r>
          </w:p>
        </w:tc>
        <w:tc>
          <w:tcPr>
            <w:tcW w:w="519" w:type="pct"/>
            <w:tcBorders>
              <w:top w:val="nil"/>
              <w:left w:val="nil"/>
              <w:bottom w:val="single" w:sz="4" w:space="0" w:color="auto"/>
              <w:right w:val="single" w:sz="4" w:space="0" w:color="auto"/>
            </w:tcBorders>
            <w:shd w:val="clear" w:color="auto" w:fill="auto"/>
            <w:noWrap/>
            <w:vAlign w:val="center"/>
            <w:hideMark/>
          </w:tcPr>
          <w:p w14:paraId="3BC72F8C" w14:textId="171A3BB3"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0,59 %</w:t>
            </w:r>
          </w:p>
        </w:tc>
      </w:tr>
      <w:tr w:rsidR="00930007" w:rsidRPr="00637ACF" w14:paraId="2443A116"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08FDDB58"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4" w:type="pct"/>
            <w:tcBorders>
              <w:top w:val="nil"/>
              <w:left w:val="nil"/>
              <w:bottom w:val="single" w:sz="4" w:space="0" w:color="auto"/>
              <w:right w:val="single" w:sz="4" w:space="0" w:color="auto"/>
            </w:tcBorders>
            <w:shd w:val="clear" w:color="auto" w:fill="auto"/>
            <w:vAlign w:val="center"/>
            <w:hideMark/>
          </w:tcPr>
          <w:p w14:paraId="0DD46543" w14:textId="77777777" w:rsidR="00930007" w:rsidRPr="002C53B3" w:rsidRDefault="00930007" w:rsidP="00930007">
            <w:pPr>
              <w:spacing w:after="0" w:line="240" w:lineRule="auto"/>
              <w:rPr>
                <w:rFonts w:ascii="Arial" w:eastAsia="Times New Roman" w:hAnsi="Arial" w:cs="Arial"/>
                <w:b/>
                <w:bCs/>
                <w:color w:val="000000"/>
                <w:sz w:val="18"/>
                <w:szCs w:val="18"/>
                <w:lang w:eastAsia="sl-SI"/>
              </w:rPr>
            </w:pPr>
            <w:r w:rsidRPr="002C53B3">
              <w:rPr>
                <w:rFonts w:ascii="Arial" w:eastAsia="Times New Roman" w:hAnsi="Arial" w:cs="Arial"/>
                <w:b/>
                <w:bCs/>
                <w:color w:val="000000"/>
                <w:sz w:val="18"/>
                <w:szCs w:val="18"/>
                <w:lang w:eastAsia="sl-SI"/>
              </w:rPr>
              <w:t>Skupaj</w:t>
            </w:r>
          </w:p>
        </w:tc>
        <w:tc>
          <w:tcPr>
            <w:tcW w:w="850" w:type="pct"/>
            <w:tcBorders>
              <w:top w:val="nil"/>
              <w:left w:val="nil"/>
              <w:bottom w:val="single" w:sz="4" w:space="0" w:color="auto"/>
              <w:right w:val="single" w:sz="4" w:space="0" w:color="auto"/>
            </w:tcBorders>
            <w:shd w:val="clear" w:color="auto" w:fill="auto"/>
            <w:vAlign w:val="center"/>
            <w:hideMark/>
          </w:tcPr>
          <w:p w14:paraId="283D67D9" w14:textId="0982638F"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10.253</w:t>
            </w:r>
          </w:p>
        </w:tc>
        <w:tc>
          <w:tcPr>
            <w:tcW w:w="1261" w:type="pct"/>
            <w:tcBorders>
              <w:top w:val="nil"/>
              <w:left w:val="nil"/>
              <w:bottom w:val="single" w:sz="4" w:space="0" w:color="auto"/>
              <w:right w:val="single" w:sz="4" w:space="0" w:color="auto"/>
            </w:tcBorders>
            <w:shd w:val="clear" w:color="auto" w:fill="auto"/>
            <w:vAlign w:val="center"/>
            <w:hideMark/>
          </w:tcPr>
          <w:p w14:paraId="56C5C5A0" w14:textId="1DE5CA86"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2.275.226.624</w:t>
            </w:r>
          </w:p>
        </w:tc>
        <w:tc>
          <w:tcPr>
            <w:tcW w:w="518" w:type="pct"/>
            <w:tcBorders>
              <w:top w:val="nil"/>
              <w:left w:val="nil"/>
              <w:bottom w:val="single" w:sz="4" w:space="0" w:color="auto"/>
              <w:right w:val="single" w:sz="4" w:space="0" w:color="auto"/>
            </w:tcBorders>
            <w:shd w:val="clear" w:color="auto" w:fill="auto"/>
            <w:noWrap/>
            <w:vAlign w:val="center"/>
            <w:hideMark/>
          </w:tcPr>
          <w:p w14:paraId="7C3B6423" w14:textId="5F4487FA"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0D7D8AD4" w14:textId="163E4099"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100,00 %</w:t>
            </w:r>
          </w:p>
        </w:tc>
      </w:tr>
    </w:tbl>
    <w:p w14:paraId="4AD7668F" w14:textId="77777777" w:rsidR="008477FE" w:rsidRPr="00637ACF" w:rsidRDefault="008477FE">
      <w:pPr>
        <w:rPr>
          <w:highlight w:val="yellow"/>
        </w:rPr>
      </w:pPr>
      <w:r w:rsidRPr="00637ACF">
        <w:rPr>
          <w:highlight w:val="yellow"/>
        </w:rPr>
        <w:br w:type="page"/>
      </w:r>
    </w:p>
    <w:tbl>
      <w:tblPr>
        <w:tblW w:w="5000" w:type="pct"/>
        <w:tblCellMar>
          <w:left w:w="70" w:type="dxa"/>
          <w:right w:w="70" w:type="dxa"/>
        </w:tblCellMar>
        <w:tblLook w:val="04A0" w:firstRow="1" w:lastRow="0" w:firstColumn="1" w:lastColumn="0" w:noHBand="0" w:noVBand="1"/>
      </w:tblPr>
      <w:tblGrid>
        <w:gridCol w:w="821"/>
        <w:gridCol w:w="2577"/>
        <w:gridCol w:w="1559"/>
        <w:gridCol w:w="2314"/>
        <w:gridCol w:w="951"/>
        <w:gridCol w:w="952"/>
      </w:tblGrid>
      <w:tr w:rsidR="005171DC" w:rsidRPr="002C53B3" w14:paraId="31E83459" w14:textId="77777777" w:rsidTr="00930007">
        <w:trPr>
          <w:trHeight w:val="960"/>
          <w:tblHeader/>
        </w:trPr>
        <w:tc>
          <w:tcPr>
            <w:tcW w:w="44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6F0AFAC" w14:textId="77777777" w:rsidR="005171DC" w:rsidRPr="002C53B3" w:rsidRDefault="005171DC" w:rsidP="001E21A1">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lastRenderedPageBreak/>
              <w:t xml:space="preserve">Predmet </w:t>
            </w:r>
          </w:p>
        </w:tc>
        <w:tc>
          <w:tcPr>
            <w:tcW w:w="1405" w:type="pct"/>
            <w:tcBorders>
              <w:top w:val="single" w:sz="4" w:space="0" w:color="auto"/>
              <w:left w:val="nil"/>
              <w:bottom w:val="single" w:sz="4" w:space="0" w:color="auto"/>
              <w:right w:val="single" w:sz="4" w:space="0" w:color="auto"/>
            </w:tcBorders>
            <w:shd w:val="clear" w:color="000000" w:fill="F2F2F2"/>
            <w:vAlign w:val="center"/>
            <w:hideMark/>
          </w:tcPr>
          <w:p w14:paraId="5A9003AB" w14:textId="77777777" w:rsidR="005171DC" w:rsidRPr="002C53B3" w:rsidRDefault="005171DC" w:rsidP="001E21A1">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Velikost ponudnika</w:t>
            </w:r>
          </w:p>
        </w:tc>
        <w:tc>
          <w:tcPr>
            <w:tcW w:w="850" w:type="pct"/>
            <w:tcBorders>
              <w:top w:val="single" w:sz="4" w:space="0" w:color="auto"/>
              <w:left w:val="nil"/>
              <w:bottom w:val="single" w:sz="4" w:space="0" w:color="auto"/>
              <w:right w:val="single" w:sz="4" w:space="0" w:color="auto"/>
            </w:tcBorders>
            <w:shd w:val="clear" w:color="000000" w:fill="F2F2F2"/>
            <w:vAlign w:val="center"/>
            <w:hideMark/>
          </w:tcPr>
          <w:p w14:paraId="61E99B13" w14:textId="77777777" w:rsidR="005171DC" w:rsidRPr="002C53B3" w:rsidRDefault="005171DC" w:rsidP="001E21A1">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Št. naročil</w:t>
            </w:r>
          </w:p>
        </w:tc>
        <w:tc>
          <w:tcPr>
            <w:tcW w:w="1261" w:type="pct"/>
            <w:tcBorders>
              <w:top w:val="single" w:sz="4" w:space="0" w:color="auto"/>
              <w:left w:val="nil"/>
              <w:bottom w:val="single" w:sz="4" w:space="0" w:color="auto"/>
              <w:right w:val="single" w:sz="4" w:space="0" w:color="auto"/>
            </w:tcBorders>
            <w:shd w:val="clear" w:color="000000" w:fill="F2F2F2"/>
            <w:vAlign w:val="center"/>
            <w:hideMark/>
          </w:tcPr>
          <w:p w14:paraId="59EF0D94" w14:textId="77777777" w:rsidR="005171DC" w:rsidRPr="002C53B3" w:rsidRDefault="005171DC" w:rsidP="001E21A1">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 xml:space="preserve">Pogodbena vrednost </w:t>
            </w:r>
            <w:r w:rsidRPr="002C53B3">
              <w:rPr>
                <w:rFonts w:ascii="Arial" w:eastAsia="Times New Roman" w:hAnsi="Arial" w:cs="Arial"/>
                <w:color w:val="000000" w:themeColor="text1"/>
                <w:sz w:val="18"/>
                <w:szCs w:val="18"/>
                <w:lang w:eastAsia="sl-SI"/>
              </w:rPr>
              <w:t>(v EUR)</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42E8D343" w14:textId="77777777" w:rsidR="005171DC" w:rsidRPr="002C53B3" w:rsidRDefault="005171DC" w:rsidP="001E21A1">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Delež v št. istovrstnih naročil</w:t>
            </w:r>
          </w:p>
        </w:tc>
        <w:tc>
          <w:tcPr>
            <w:tcW w:w="519" w:type="pct"/>
            <w:tcBorders>
              <w:top w:val="single" w:sz="4" w:space="0" w:color="auto"/>
              <w:left w:val="nil"/>
              <w:bottom w:val="single" w:sz="4" w:space="0" w:color="auto"/>
              <w:right w:val="single" w:sz="4" w:space="0" w:color="auto"/>
            </w:tcBorders>
            <w:shd w:val="clear" w:color="000000" w:fill="F2F2F2"/>
            <w:vAlign w:val="center"/>
            <w:hideMark/>
          </w:tcPr>
          <w:p w14:paraId="78FD8BC6" w14:textId="77777777" w:rsidR="005171DC" w:rsidRPr="002C53B3" w:rsidRDefault="005171DC" w:rsidP="001E21A1">
            <w:pPr>
              <w:spacing w:after="0" w:line="240" w:lineRule="auto"/>
              <w:jc w:val="center"/>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Delež v vrednosti istovrstnih naročil</w:t>
            </w:r>
          </w:p>
        </w:tc>
      </w:tr>
      <w:tr w:rsidR="00930007" w:rsidRPr="002C53B3" w14:paraId="6A8C2D0C" w14:textId="77777777" w:rsidTr="002C53B3">
        <w:trPr>
          <w:trHeight w:val="300"/>
        </w:trPr>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51879A10" w14:textId="08CD663A" w:rsidR="00930007" w:rsidRPr="002C53B3" w:rsidRDefault="00930007" w:rsidP="002C53B3">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Storitve</w:t>
            </w:r>
          </w:p>
        </w:tc>
        <w:tc>
          <w:tcPr>
            <w:tcW w:w="1405" w:type="pct"/>
            <w:tcBorders>
              <w:top w:val="nil"/>
              <w:left w:val="nil"/>
              <w:bottom w:val="single" w:sz="4" w:space="0" w:color="auto"/>
              <w:right w:val="single" w:sz="4" w:space="0" w:color="auto"/>
            </w:tcBorders>
            <w:shd w:val="clear" w:color="auto" w:fill="auto"/>
            <w:vAlign w:val="center"/>
            <w:hideMark/>
          </w:tcPr>
          <w:p w14:paraId="5A2E462E" w14:textId="77777777" w:rsidR="00930007" w:rsidRPr="002C53B3" w:rsidRDefault="00930007" w:rsidP="00930007">
            <w:pPr>
              <w:spacing w:after="0" w:line="240" w:lineRule="auto"/>
              <w:rPr>
                <w:rFonts w:ascii="Arial" w:eastAsia="Times New Roman" w:hAnsi="Arial" w:cs="Arial"/>
                <w:color w:val="000000"/>
                <w:sz w:val="18"/>
                <w:szCs w:val="18"/>
                <w:lang w:eastAsia="sl-SI"/>
              </w:rPr>
            </w:pPr>
            <w:proofErr w:type="spellStart"/>
            <w:r w:rsidRPr="002C53B3">
              <w:rPr>
                <w:rFonts w:ascii="Arial" w:eastAsia="Times New Roman" w:hAnsi="Arial" w:cs="Arial"/>
                <w:color w:val="000000"/>
                <w:sz w:val="18"/>
                <w:szCs w:val="18"/>
                <w:lang w:eastAsia="sl-SI"/>
              </w:rPr>
              <w:t>Mikro</w:t>
            </w:r>
            <w:proofErr w:type="spellEnd"/>
            <w:r w:rsidRPr="002C53B3">
              <w:rPr>
                <w:rFonts w:ascii="Arial" w:eastAsia="Times New Roman" w:hAnsi="Arial" w:cs="Arial"/>
                <w:color w:val="000000"/>
                <w:sz w:val="18"/>
                <w:szCs w:val="18"/>
                <w:lang w:eastAsia="sl-SI"/>
              </w:rPr>
              <w:t xml:space="preserve"> enote</w:t>
            </w:r>
          </w:p>
        </w:tc>
        <w:tc>
          <w:tcPr>
            <w:tcW w:w="850" w:type="pct"/>
            <w:tcBorders>
              <w:top w:val="nil"/>
              <w:left w:val="nil"/>
              <w:bottom w:val="single" w:sz="4" w:space="0" w:color="auto"/>
              <w:right w:val="single" w:sz="4" w:space="0" w:color="auto"/>
            </w:tcBorders>
            <w:shd w:val="clear" w:color="auto" w:fill="auto"/>
            <w:vAlign w:val="center"/>
            <w:hideMark/>
          </w:tcPr>
          <w:p w14:paraId="3C4741E8" w14:textId="7BEA3641"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1.097</w:t>
            </w:r>
          </w:p>
        </w:tc>
        <w:tc>
          <w:tcPr>
            <w:tcW w:w="1261" w:type="pct"/>
            <w:tcBorders>
              <w:top w:val="nil"/>
              <w:left w:val="nil"/>
              <w:bottom w:val="single" w:sz="4" w:space="0" w:color="auto"/>
              <w:right w:val="single" w:sz="4" w:space="0" w:color="auto"/>
            </w:tcBorders>
            <w:shd w:val="clear" w:color="auto" w:fill="auto"/>
            <w:vAlign w:val="center"/>
            <w:hideMark/>
          </w:tcPr>
          <w:p w14:paraId="14B82A0A" w14:textId="52812430"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112.025.422</w:t>
            </w:r>
          </w:p>
        </w:tc>
        <w:tc>
          <w:tcPr>
            <w:tcW w:w="518" w:type="pct"/>
            <w:tcBorders>
              <w:top w:val="nil"/>
              <w:left w:val="nil"/>
              <w:bottom w:val="single" w:sz="4" w:space="0" w:color="auto"/>
              <w:right w:val="single" w:sz="4" w:space="0" w:color="auto"/>
            </w:tcBorders>
            <w:shd w:val="clear" w:color="auto" w:fill="auto"/>
            <w:noWrap/>
            <w:vAlign w:val="center"/>
            <w:hideMark/>
          </w:tcPr>
          <w:p w14:paraId="7831836B" w14:textId="299CA8E8"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24,22</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1E8B8C25" w14:textId="173DA728"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5,41</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610E5F13"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1EA91BC0"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589A47ED"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Majhne enote</w:t>
            </w:r>
          </w:p>
        </w:tc>
        <w:tc>
          <w:tcPr>
            <w:tcW w:w="850" w:type="pct"/>
            <w:tcBorders>
              <w:top w:val="nil"/>
              <w:left w:val="nil"/>
              <w:bottom w:val="single" w:sz="4" w:space="0" w:color="auto"/>
              <w:right w:val="single" w:sz="4" w:space="0" w:color="auto"/>
            </w:tcBorders>
            <w:shd w:val="clear" w:color="auto" w:fill="auto"/>
            <w:vAlign w:val="center"/>
            <w:hideMark/>
          </w:tcPr>
          <w:p w14:paraId="31C62B43" w14:textId="1CB07BF7"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1.496</w:t>
            </w:r>
          </w:p>
        </w:tc>
        <w:tc>
          <w:tcPr>
            <w:tcW w:w="1261" w:type="pct"/>
            <w:tcBorders>
              <w:top w:val="nil"/>
              <w:left w:val="nil"/>
              <w:bottom w:val="single" w:sz="4" w:space="0" w:color="auto"/>
              <w:right w:val="single" w:sz="4" w:space="0" w:color="auto"/>
            </w:tcBorders>
            <w:shd w:val="clear" w:color="auto" w:fill="auto"/>
            <w:vAlign w:val="center"/>
            <w:hideMark/>
          </w:tcPr>
          <w:p w14:paraId="1A766CDA" w14:textId="76CCECF8"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635.819.814</w:t>
            </w:r>
          </w:p>
        </w:tc>
        <w:tc>
          <w:tcPr>
            <w:tcW w:w="518" w:type="pct"/>
            <w:tcBorders>
              <w:top w:val="nil"/>
              <w:left w:val="nil"/>
              <w:bottom w:val="single" w:sz="4" w:space="0" w:color="auto"/>
              <w:right w:val="single" w:sz="4" w:space="0" w:color="auto"/>
            </w:tcBorders>
            <w:shd w:val="clear" w:color="auto" w:fill="auto"/>
            <w:noWrap/>
            <w:vAlign w:val="center"/>
            <w:hideMark/>
          </w:tcPr>
          <w:p w14:paraId="4C3AB3EC" w14:textId="7A0891A9"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33,02</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03153E94" w14:textId="33426A32"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30,68</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35E34A77"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7F62354A"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75A36379"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Srednje enote</w:t>
            </w:r>
          </w:p>
        </w:tc>
        <w:tc>
          <w:tcPr>
            <w:tcW w:w="850" w:type="pct"/>
            <w:tcBorders>
              <w:top w:val="nil"/>
              <w:left w:val="nil"/>
              <w:bottom w:val="single" w:sz="4" w:space="0" w:color="auto"/>
              <w:right w:val="single" w:sz="4" w:space="0" w:color="auto"/>
            </w:tcBorders>
            <w:shd w:val="clear" w:color="auto" w:fill="auto"/>
            <w:vAlign w:val="center"/>
            <w:hideMark/>
          </w:tcPr>
          <w:p w14:paraId="182C0216" w14:textId="43798ABF"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824</w:t>
            </w:r>
          </w:p>
        </w:tc>
        <w:tc>
          <w:tcPr>
            <w:tcW w:w="1261" w:type="pct"/>
            <w:tcBorders>
              <w:top w:val="nil"/>
              <w:left w:val="nil"/>
              <w:bottom w:val="single" w:sz="4" w:space="0" w:color="auto"/>
              <w:right w:val="single" w:sz="4" w:space="0" w:color="auto"/>
            </w:tcBorders>
            <w:shd w:val="clear" w:color="auto" w:fill="auto"/>
            <w:vAlign w:val="center"/>
            <w:hideMark/>
          </w:tcPr>
          <w:p w14:paraId="6B58B379" w14:textId="4B1B80DF"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327.901.627</w:t>
            </w:r>
          </w:p>
        </w:tc>
        <w:tc>
          <w:tcPr>
            <w:tcW w:w="518" w:type="pct"/>
            <w:tcBorders>
              <w:top w:val="nil"/>
              <w:left w:val="nil"/>
              <w:bottom w:val="single" w:sz="4" w:space="0" w:color="auto"/>
              <w:right w:val="single" w:sz="4" w:space="0" w:color="auto"/>
            </w:tcBorders>
            <w:shd w:val="clear" w:color="auto" w:fill="auto"/>
            <w:noWrap/>
            <w:vAlign w:val="center"/>
            <w:hideMark/>
          </w:tcPr>
          <w:p w14:paraId="44EA0C9D" w14:textId="35C9083E"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18,19</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61F2ACFD" w14:textId="15F0D0A4"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15,82</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74024028"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6BAC87ED"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54E780FD"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Velike enote</w:t>
            </w:r>
          </w:p>
        </w:tc>
        <w:tc>
          <w:tcPr>
            <w:tcW w:w="850" w:type="pct"/>
            <w:tcBorders>
              <w:top w:val="nil"/>
              <w:left w:val="nil"/>
              <w:bottom w:val="single" w:sz="4" w:space="0" w:color="auto"/>
              <w:right w:val="single" w:sz="4" w:space="0" w:color="auto"/>
            </w:tcBorders>
            <w:shd w:val="clear" w:color="auto" w:fill="auto"/>
            <w:vAlign w:val="center"/>
            <w:hideMark/>
          </w:tcPr>
          <w:p w14:paraId="504C4758" w14:textId="72C2175C"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715</w:t>
            </w:r>
          </w:p>
        </w:tc>
        <w:tc>
          <w:tcPr>
            <w:tcW w:w="1261" w:type="pct"/>
            <w:tcBorders>
              <w:top w:val="nil"/>
              <w:left w:val="nil"/>
              <w:bottom w:val="single" w:sz="4" w:space="0" w:color="auto"/>
              <w:right w:val="single" w:sz="4" w:space="0" w:color="auto"/>
            </w:tcBorders>
            <w:shd w:val="clear" w:color="auto" w:fill="auto"/>
            <w:vAlign w:val="center"/>
            <w:hideMark/>
          </w:tcPr>
          <w:p w14:paraId="1959E838" w14:textId="7C205F5A"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913.241.664</w:t>
            </w:r>
          </w:p>
        </w:tc>
        <w:tc>
          <w:tcPr>
            <w:tcW w:w="518" w:type="pct"/>
            <w:tcBorders>
              <w:top w:val="nil"/>
              <w:left w:val="nil"/>
              <w:bottom w:val="single" w:sz="4" w:space="0" w:color="auto"/>
              <w:right w:val="single" w:sz="4" w:space="0" w:color="auto"/>
            </w:tcBorders>
            <w:shd w:val="clear" w:color="auto" w:fill="auto"/>
            <w:noWrap/>
            <w:vAlign w:val="center"/>
            <w:hideMark/>
          </w:tcPr>
          <w:p w14:paraId="292E5961" w14:textId="7C4DF222"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15,78</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72279815" w14:textId="5280DA33"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44,07</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47D22064"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15643957"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40F88D5B" w14:textId="1832BA63"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 xml:space="preserve">Velikost </w:t>
            </w:r>
            <w:r w:rsidRPr="00B8399C">
              <w:rPr>
                <w:rFonts w:ascii="Arial" w:eastAsia="Times New Roman" w:hAnsi="Arial" w:cs="Arial"/>
                <w:color w:val="000000"/>
                <w:sz w:val="18"/>
                <w:szCs w:val="18"/>
                <w:lang w:eastAsia="sl-SI"/>
              </w:rPr>
              <w:t>RS</w:t>
            </w:r>
            <w:r w:rsidRPr="002C53B3">
              <w:rPr>
                <w:rFonts w:ascii="Arial" w:eastAsia="Times New Roman" w:hAnsi="Arial" w:cs="Arial"/>
                <w:color w:val="000000"/>
                <w:sz w:val="18"/>
                <w:szCs w:val="18"/>
                <w:lang w:eastAsia="sl-SI"/>
              </w:rPr>
              <w:t xml:space="preserve"> se ne izračunava</w:t>
            </w:r>
          </w:p>
        </w:tc>
        <w:tc>
          <w:tcPr>
            <w:tcW w:w="850" w:type="pct"/>
            <w:tcBorders>
              <w:top w:val="nil"/>
              <w:left w:val="nil"/>
              <w:bottom w:val="single" w:sz="4" w:space="0" w:color="auto"/>
              <w:right w:val="single" w:sz="4" w:space="0" w:color="auto"/>
            </w:tcBorders>
            <w:shd w:val="clear" w:color="auto" w:fill="auto"/>
            <w:vAlign w:val="center"/>
            <w:hideMark/>
          </w:tcPr>
          <w:p w14:paraId="1A53B23B" w14:textId="09A12F56"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341</w:t>
            </w:r>
          </w:p>
        </w:tc>
        <w:tc>
          <w:tcPr>
            <w:tcW w:w="1261" w:type="pct"/>
            <w:tcBorders>
              <w:top w:val="nil"/>
              <w:left w:val="nil"/>
              <w:bottom w:val="single" w:sz="4" w:space="0" w:color="auto"/>
              <w:right w:val="single" w:sz="4" w:space="0" w:color="auto"/>
            </w:tcBorders>
            <w:shd w:val="clear" w:color="auto" w:fill="auto"/>
            <w:vAlign w:val="center"/>
            <w:hideMark/>
          </w:tcPr>
          <w:p w14:paraId="17E93091" w14:textId="60A261E2"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49.924.958</w:t>
            </w:r>
          </w:p>
        </w:tc>
        <w:tc>
          <w:tcPr>
            <w:tcW w:w="518" w:type="pct"/>
            <w:tcBorders>
              <w:top w:val="nil"/>
              <w:left w:val="nil"/>
              <w:bottom w:val="single" w:sz="4" w:space="0" w:color="auto"/>
              <w:right w:val="single" w:sz="4" w:space="0" w:color="auto"/>
            </w:tcBorders>
            <w:shd w:val="clear" w:color="auto" w:fill="auto"/>
            <w:noWrap/>
            <w:vAlign w:val="center"/>
            <w:hideMark/>
          </w:tcPr>
          <w:p w14:paraId="67F8E7D1" w14:textId="554F0AB8"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7,53</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52E21F28" w14:textId="343FC054"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2,41</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23854F40"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63317484"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7B4FE423"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Ni podatka o velikosti</w:t>
            </w:r>
          </w:p>
        </w:tc>
        <w:tc>
          <w:tcPr>
            <w:tcW w:w="850" w:type="pct"/>
            <w:tcBorders>
              <w:top w:val="nil"/>
              <w:left w:val="nil"/>
              <w:bottom w:val="single" w:sz="4" w:space="0" w:color="auto"/>
              <w:right w:val="single" w:sz="4" w:space="0" w:color="auto"/>
            </w:tcBorders>
            <w:shd w:val="clear" w:color="auto" w:fill="auto"/>
            <w:vAlign w:val="center"/>
            <w:hideMark/>
          </w:tcPr>
          <w:p w14:paraId="42EFFA0B" w14:textId="7E2FBBF6"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57</w:t>
            </w:r>
          </w:p>
        </w:tc>
        <w:tc>
          <w:tcPr>
            <w:tcW w:w="1261" w:type="pct"/>
            <w:tcBorders>
              <w:top w:val="nil"/>
              <w:left w:val="nil"/>
              <w:bottom w:val="single" w:sz="4" w:space="0" w:color="auto"/>
              <w:right w:val="single" w:sz="4" w:space="0" w:color="auto"/>
            </w:tcBorders>
            <w:shd w:val="clear" w:color="auto" w:fill="auto"/>
            <w:vAlign w:val="center"/>
            <w:hideMark/>
          </w:tcPr>
          <w:p w14:paraId="0B583E0F" w14:textId="35667384"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33.310.056</w:t>
            </w:r>
          </w:p>
        </w:tc>
        <w:tc>
          <w:tcPr>
            <w:tcW w:w="518" w:type="pct"/>
            <w:tcBorders>
              <w:top w:val="nil"/>
              <w:left w:val="nil"/>
              <w:bottom w:val="single" w:sz="4" w:space="0" w:color="auto"/>
              <w:right w:val="single" w:sz="4" w:space="0" w:color="auto"/>
            </w:tcBorders>
            <w:shd w:val="clear" w:color="auto" w:fill="auto"/>
            <w:noWrap/>
            <w:vAlign w:val="center"/>
            <w:hideMark/>
          </w:tcPr>
          <w:p w14:paraId="5351728E" w14:textId="545B2529"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1,26</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76A498C2" w14:textId="0CC21C47"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1,61</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7DA733FC"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4C3E1EFE"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0637E0D3" w14:textId="77777777" w:rsidR="00930007" w:rsidRPr="002C53B3" w:rsidRDefault="00930007" w:rsidP="00930007">
            <w:pPr>
              <w:spacing w:after="0" w:line="240" w:lineRule="auto"/>
              <w:rPr>
                <w:rFonts w:ascii="Arial" w:eastAsia="Times New Roman" w:hAnsi="Arial" w:cs="Arial"/>
                <w:b/>
                <w:bCs/>
                <w:color w:val="000000"/>
                <w:sz w:val="18"/>
                <w:szCs w:val="18"/>
                <w:lang w:eastAsia="sl-SI"/>
              </w:rPr>
            </w:pPr>
            <w:r w:rsidRPr="002C53B3">
              <w:rPr>
                <w:rFonts w:ascii="Arial" w:eastAsia="Times New Roman" w:hAnsi="Arial" w:cs="Arial"/>
                <w:b/>
                <w:bCs/>
                <w:color w:val="000000"/>
                <w:sz w:val="18"/>
                <w:szCs w:val="18"/>
                <w:lang w:eastAsia="sl-SI"/>
              </w:rPr>
              <w:t>Skupaj</w:t>
            </w:r>
          </w:p>
        </w:tc>
        <w:tc>
          <w:tcPr>
            <w:tcW w:w="850" w:type="pct"/>
            <w:tcBorders>
              <w:top w:val="nil"/>
              <w:left w:val="nil"/>
              <w:bottom w:val="single" w:sz="4" w:space="0" w:color="auto"/>
              <w:right w:val="single" w:sz="4" w:space="0" w:color="auto"/>
            </w:tcBorders>
            <w:shd w:val="clear" w:color="auto" w:fill="auto"/>
            <w:vAlign w:val="center"/>
            <w:hideMark/>
          </w:tcPr>
          <w:p w14:paraId="28B8BD5E" w14:textId="7DE4ED5F"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4.530</w:t>
            </w:r>
          </w:p>
        </w:tc>
        <w:tc>
          <w:tcPr>
            <w:tcW w:w="1261" w:type="pct"/>
            <w:tcBorders>
              <w:top w:val="nil"/>
              <w:left w:val="nil"/>
              <w:bottom w:val="single" w:sz="4" w:space="0" w:color="auto"/>
              <w:right w:val="single" w:sz="4" w:space="0" w:color="auto"/>
            </w:tcBorders>
            <w:shd w:val="clear" w:color="auto" w:fill="auto"/>
            <w:vAlign w:val="center"/>
            <w:hideMark/>
          </w:tcPr>
          <w:p w14:paraId="52459A43" w14:textId="2E66F6BF"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2.072.223.541</w:t>
            </w:r>
          </w:p>
        </w:tc>
        <w:tc>
          <w:tcPr>
            <w:tcW w:w="518" w:type="pct"/>
            <w:tcBorders>
              <w:top w:val="nil"/>
              <w:left w:val="nil"/>
              <w:bottom w:val="single" w:sz="4" w:space="0" w:color="auto"/>
              <w:right w:val="single" w:sz="4" w:space="0" w:color="auto"/>
            </w:tcBorders>
            <w:shd w:val="clear" w:color="auto" w:fill="auto"/>
            <w:noWrap/>
            <w:vAlign w:val="center"/>
            <w:hideMark/>
          </w:tcPr>
          <w:p w14:paraId="533BD162" w14:textId="47AD7A73"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100,00</w:t>
            </w:r>
            <w:r w:rsidR="002C53B3">
              <w:rPr>
                <w:rFonts w:ascii="Arial" w:eastAsia="Times New Roman" w:hAnsi="Arial" w:cs="Arial"/>
                <w:b/>
                <w:bCs/>
                <w:color w:val="000000" w:themeColor="text1"/>
                <w:sz w:val="18"/>
                <w:szCs w:val="18"/>
                <w:lang w:eastAsia="sl-SI"/>
              </w:rPr>
              <w:t xml:space="preserve"> </w:t>
            </w:r>
            <w:r w:rsidRPr="002C53B3">
              <w:rPr>
                <w:rFonts w:ascii="Arial" w:eastAsia="Times New Roman" w:hAnsi="Arial" w:cs="Arial"/>
                <w:b/>
                <w:bCs/>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38DC7CA9" w14:textId="0DC38765"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100,00</w:t>
            </w:r>
            <w:r w:rsidR="002C53B3">
              <w:rPr>
                <w:rFonts w:ascii="Arial" w:eastAsia="Times New Roman" w:hAnsi="Arial" w:cs="Arial"/>
                <w:b/>
                <w:bCs/>
                <w:color w:val="000000" w:themeColor="text1"/>
                <w:sz w:val="18"/>
                <w:szCs w:val="18"/>
                <w:lang w:eastAsia="sl-SI"/>
              </w:rPr>
              <w:t xml:space="preserve"> </w:t>
            </w:r>
            <w:r w:rsidRPr="002C53B3">
              <w:rPr>
                <w:rFonts w:ascii="Arial" w:eastAsia="Times New Roman" w:hAnsi="Arial" w:cs="Arial"/>
                <w:b/>
                <w:bCs/>
                <w:color w:val="000000" w:themeColor="text1"/>
                <w:sz w:val="18"/>
                <w:szCs w:val="18"/>
                <w:lang w:eastAsia="sl-SI"/>
              </w:rPr>
              <w:t>%</w:t>
            </w:r>
          </w:p>
        </w:tc>
      </w:tr>
      <w:tr w:rsidR="00930007" w:rsidRPr="002C53B3" w14:paraId="77081AB5" w14:textId="77777777" w:rsidTr="002C53B3">
        <w:trPr>
          <w:trHeight w:val="300"/>
        </w:trPr>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12824D86" w14:textId="77777777" w:rsidR="00930007" w:rsidRPr="002C53B3" w:rsidRDefault="00930007" w:rsidP="002C53B3">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Gradnje</w:t>
            </w:r>
          </w:p>
        </w:tc>
        <w:tc>
          <w:tcPr>
            <w:tcW w:w="1405" w:type="pct"/>
            <w:tcBorders>
              <w:top w:val="nil"/>
              <w:left w:val="nil"/>
              <w:bottom w:val="single" w:sz="4" w:space="0" w:color="auto"/>
              <w:right w:val="single" w:sz="4" w:space="0" w:color="auto"/>
            </w:tcBorders>
            <w:shd w:val="clear" w:color="auto" w:fill="auto"/>
            <w:vAlign w:val="center"/>
            <w:hideMark/>
          </w:tcPr>
          <w:p w14:paraId="2BE4D4A3" w14:textId="77777777" w:rsidR="00930007" w:rsidRPr="002C53B3" w:rsidRDefault="00930007" w:rsidP="00930007">
            <w:pPr>
              <w:spacing w:after="0" w:line="240" w:lineRule="auto"/>
              <w:rPr>
                <w:rFonts w:ascii="Arial" w:eastAsia="Times New Roman" w:hAnsi="Arial" w:cs="Arial"/>
                <w:color w:val="000000"/>
                <w:sz w:val="18"/>
                <w:szCs w:val="18"/>
                <w:lang w:eastAsia="sl-SI"/>
              </w:rPr>
            </w:pPr>
            <w:proofErr w:type="spellStart"/>
            <w:r w:rsidRPr="002C53B3">
              <w:rPr>
                <w:rFonts w:ascii="Arial" w:eastAsia="Times New Roman" w:hAnsi="Arial" w:cs="Arial"/>
                <w:color w:val="000000"/>
                <w:sz w:val="18"/>
                <w:szCs w:val="18"/>
                <w:lang w:eastAsia="sl-SI"/>
              </w:rPr>
              <w:t>Mikro</w:t>
            </w:r>
            <w:proofErr w:type="spellEnd"/>
            <w:r w:rsidRPr="002C53B3">
              <w:rPr>
                <w:rFonts w:ascii="Arial" w:eastAsia="Times New Roman" w:hAnsi="Arial" w:cs="Arial"/>
                <w:color w:val="000000"/>
                <w:sz w:val="18"/>
                <w:szCs w:val="18"/>
                <w:lang w:eastAsia="sl-SI"/>
              </w:rPr>
              <w:t xml:space="preserve"> enote</w:t>
            </w:r>
          </w:p>
        </w:tc>
        <w:tc>
          <w:tcPr>
            <w:tcW w:w="850" w:type="pct"/>
            <w:tcBorders>
              <w:top w:val="nil"/>
              <w:left w:val="nil"/>
              <w:bottom w:val="single" w:sz="4" w:space="0" w:color="auto"/>
              <w:right w:val="single" w:sz="4" w:space="0" w:color="auto"/>
            </w:tcBorders>
            <w:shd w:val="clear" w:color="auto" w:fill="auto"/>
            <w:vAlign w:val="center"/>
            <w:hideMark/>
          </w:tcPr>
          <w:p w14:paraId="04BE4B95" w14:textId="51AB479A"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219</w:t>
            </w:r>
          </w:p>
        </w:tc>
        <w:tc>
          <w:tcPr>
            <w:tcW w:w="1261" w:type="pct"/>
            <w:tcBorders>
              <w:top w:val="nil"/>
              <w:left w:val="nil"/>
              <w:bottom w:val="single" w:sz="4" w:space="0" w:color="auto"/>
              <w:right w:val="single" w:sz="4" w:space="0" w:color="auto"/>
            </w:tcBorders>
            <w:shd w:val="clear" w:color="auto" w:fill="auto"/>
            <w:vAlign w:val="center"/>
            <w:hideMark/>
          </w:tcPr>
          <w:p w14:paraId="136648DB" w14:textId="571DF645"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58.270.904</w:t>
            </w:r>
          </w:p>
        </w:tc>
        <w:tc>
          <w:tcPr>
            <w:tcW w:w="518" w:type="pct"/>
            <w:tcBorders>
              <w:top w:val="nil"/>
              <w:left w:val="nil"/>
              <w:bottom w:val="single" w:sz="4" w:space="0" w:color="auto"/>
              <w:right w:val="single" w:sz="4" w:space="0" w:color="auto"/>
            </w:tcBorders>
            <w:shd w:val="clear" w:color="auto" w:fill="auto"/>
            <w:noWrap/>
            <w:vAlign w:val="center"/>
            <w:hideMark/>
          </w:tcPr>
          <w:p w14:paraId="5605B61A" w14:textId="653F5E79"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14,07</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3427D44B" w14:textId="212DD8A1"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4,11</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000E1281"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0CF58D50"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433AFDC5"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Majhne enote</w:t>
            </w:r>
          </w:p>
        </w:tc>
        <w:tc>
          <w:tcPr>
            <w:tcW w:w="850" w:type="pct"/>
            <w:tcBorders>
              <w:top w:val="nil"/>
              <w:left w:val="nil"/>
              <w:bottom w:val="single" w:sz="4" w:space="0" w:color="auto"/>
              <w:right w:val="single" w:sz="4" w:space="0" w:color="auto"/>
            </w:tcBorders>
            <w:shd w:val="clear" w:color="auto" w:fill="auto"/>
            <w:vAlign w:val="center"/>
            <w:hideMark/>
          </w:tcPr>
          <w:p w14:paraId="492641E3" w14:textId="628243BF"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724</w:t>
            </w:r>
          </w:p>
        </w:tc>
        <w:tc>
          <w:tcPr>
            <w:tcW w:w="1261" w:type="pct"/>
            <w:tcBorders>
              <w:top w:val="nil"/>
              <w:left w:val="nil"/>
              <w:bottom w:val="single" w:sz="4" w:space="0" w:color="auto"/>
              <w:right w:val="single" w:sz="4" w:space="0" w:color="auto"/>
            </w:tcBorders>
            <w:shd w:val="clear" w:color="auto" w:fill="auto"/>
            <w:vAlign w:val="center"/>
            <w:hideMark/>
          </w:tcPr>
          <w:p w14:paraId="5BBA7AB4" w14:textId="26FBB7A4"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234.893.249</w:t>
            </w:r>
          </w:p>
        </w:tc>
        <w:tc>
          <w:tcPr>
            <w:tcW w:w="518" w:type="pct"/>
            <w:tcBorders>
              <w:top w:val="nil"/>
              <w:left w:val="nil"/>
              <w:bottom w:val="single" w:sz="4" w:space="0" w:color="auto"/>
              <w:right w:val="single" w:sz="4" w:space="0" w:color="auto"/>
            </w:tcBorders>
            <w:shd w:val="clear" w:color="auto" w:fill="auto"/>
            <w:noWrap/>
            <w:vAlign w:val="center"/>
            <w:hideMark/>
          </w:tcPr>
          <w:p w14:paraId="1C02320B" w14:textId="4B1839D9"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46,50</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1B46A3FE" w14:textId="76DC4F08"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16,58</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74393CEF"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36E8A06D"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155F4CF8"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Srednje enote</w:t>
            </w:r>
          </w:p>
        </w:tc>
        <w:tc>
          <w:tcPr>
            <w:tcW w:w="850" w:type="pct"/>
            <w:tcBorders>
              <w:top w:val="nil"/>
              <w:left w:val="nil"/>
              <w:bottom w:val="single" w:sz="4" w:space="0" w:color="auto"/>
              <w:right w:val="single" w:sz="4" w:space="0" w:color="auto"/>
            </w:tcBorders>
            <w:shd w:val="clear" w:color="auto" w:fill="auto"/>
            <w:vAlign w:val="center"/>
            <w:hideMark/>
          </w:tcPr>
          <w:p w14:paraId="04187F45" w14:textId="703DE25A"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398</w:t>
            </w:r>
          </w:p>
        </w:tc>
        <w:tc>
          <w:tcPr>
            <w:tcW w:w="1261" w:type="pct"/>
            <w:tcBorders>
              <w:top w:val="nil"/>
              <w:left w:val="nil"/>
              <w:bottom w:val="single" w:sz="4" w:space="0" w:color="auto"/>
              <w:right w:val="single" w:sz="4" w:space="0" w:color="auto"/>
            </w:tcBorders>
            <w:shd w:val="clear" w:color="auto" w:fill="auto"/>
            <w:vAlign w:val="center"/>
            <w:hideMark/>
          </w:tcPr>
          <w:p w14:paraId="3AD71DE2" w14:textId="504ACB70"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432.392.049</w:t>
            </w:r>
          </w:p>
        </w:tc>
        <w:tc>
          <w:tcPr>
            <w:tcW w:w="518" w:type="pct"/>
            <w:tcBorders>
              <w:top w:val="nil"/>
              <w:left w:val="nil"/>
              <w:bottom w:val="single" w:sz="4" w:space="0" w:color="auto"/>
              <w:right w:val="single" w:sz="4" w:space="0" w:color="auto"/>
            </w:tcBorders>
            <w:shd w:val="clear" w:color="auto" w:fill="auto"/>
            <w:noWrap/>
            <w:vAlign w:val="center"/>
            <w:hideMark/>
          </w:tcPr>
          <w:p w14:paraId="69A23A32" w14:textId="7B701744"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25,56</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0F9F7ADD" w14:textId="7CD0EF19"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30,53</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7924E142"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52E3960F"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00009365" w14:textId="661307C1" w:rsidR="00930007" w:rsidRPr="002C53B3" w:rsidRDefault="002C53B3" w:rsidP="00930007">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w:t>
            </w:r>
            <w:r w:rsidR="00930007" w:rsidRPr="002C53B3">
              <w:rPr>
                <w:rFonts w:ascii="Arial" w:eastAsia="Times New Roman" w:hAnsi="Arial" w:cs="Arial"/>
                <w:color w:val="000000"/>
                <w:sz w:val="18"/>
                <w:szCs w:val="18"/>
                <w:lang w:eastAsia="sl-SI"/>
              </w:rPr>
              <w:t>elike enote</w:t>
            </w:r>
          </w:p>
        </w:tc>
        <w:tc>
          <w:tcPr>
            <w:tcW w:w="850" w:type="pct"/>
            <w:tcBorders>
              <w:top w:val="nil"/>
              <w:left w:val="nil"/>
              <w:bottom w:val="single" w:sz="4" w:space="0" w:color="auto"/>
              <w:right w:val="single" w:sz="4" w:space="0" w:color="auto"/>
            </w:tcBorders>
            <w:shd w:val="clear" w:color="auto" w:fill="auto"/>
            <w:vAlign w:val="center"/>
            <w:hideMark/>
          </w:tcPr>
          <w:p w14:paraId="31234A48" w14:textId="0161AAE4"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200</w:t>
            </w:r>
          </w:p>
        </w:tc>
        <w:tc>
          <w:tcPr>
            <w:tcW w:w="1261" w:type="pct"/>
            <w:tcBorders>
              <w:top w:val="nil"/>
              <w:left w:val="nil"/>
              <w:bottom w:val="single" w:sz="4" w:space="0" w:color="auto"/>
              <w:right w:val="single" w:sz="4" w:space="0" w:color="auto"/>
            </w:tcBorders>
            <w:shd w:val="clear" w:color="auto" w:fill="auto"/>
            <w:vAlign w:val="center"/>
            <w:hideMark/>
          </w:tcPr>
          <w:p w14:paraId="31E575AA" w14:textId="7862E990"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689.006.581</w:t>
            </w:r>
          </w:p>
        </w:tc>
        <w:tc>
          <w:tcPr>
            <w:tcW w:w="518" w:type="pct"/>
            <w:tcBorders>
              <w:top w:val="nil"/>
              <w:left w:val="nil"/>
              <w:bottom w:val="single" w:sz="4" w:space="0" w:color="auto"/>
              <w:right w:val="single" w:sz="4" w:space="0" w:color="auto"/>
            </w:tcBorders>
            <w:shd w:val="clear" w:color="auto" w:fill="auto"/>
            <w:noWrap/>
            <w:vAlign w:val="center"/>
            <w:hideMark/>
          </w:tcPr>
          <w:p w14:paraId="4ADFC34A" w14:textId="163978F4"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12,85</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0553C122" w14:textId="76718266"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48,64</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3707BC78"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16E28BC1"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0C181873"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 xml:space="preserve">Velikost </w:t>
            </w:r>
            <w:r w:rsidRPr="00B8399C">
              <w:rPr>
                <w:rFonts w:ascii="Arial" w:eastAsia="Times New Roman" w:hAnsi="Arial" w:cs="Arial"/>
                <w:color w:val="000000"/>
                <w:sz w:val="18"/>
                <w:szCs w:val="18"/>
                <w:lang w:eastAsia="sl-SI"/>
              </w:rPr>
              <w:t>RS</w:t>
            </w:r>
            <w:r w:rsidRPr="002C53B3">
              <w:rPr>
                <w:rFonts w:ascii="Arial" w:eastAsia="Times New Roman" w:hAnsi="Arial" w:cs="Arial"/>
                <w:color w:val="000000"/>
                <w:sz w:val="18"/>
                <w:szCs w:val="18"/>
                <w:lang w:eastAsia="sl-SI"/>
              </w:rPr>
              <w:t xml:space="preserve"> se ne izračunava</w:t>
            </w:r>
          </w:p>
        </w:tc>
        <w:tc>
          <w:tcPr>
            <w:tcW w:w="850" w:type="pct"/>
            <w:tcBorders>
              <w:top w:val="nil"/>
              <w:left w:val="nil"/>
              <w:bottom w:val="single" w:sz="4" w:space="0" w:color="auto"/>
              <w:right w:val="single" w:sz="4" w:space="0" w:color="auto"/>
            </w:tcBorders>
            <w:shd w:val="clear" w:color="auto" w:fill="auto"/>
            <w:vAlign w:val="center"/>
            <w:hideMark/>
          </w:tcPr>
          <w:p w14:paraId="136EA323" w14:textId="677579F6"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9</w:t>
            </w:r>
          </w:p>
        </w:tc>
        <w:tc>
          <w:tcPr>
            <w:tcW w:w="1261" w:type="pct"/>
            <w:tcBorders>
              <w:top w:val="nil"/>
              <w:left w:val="nil"/>
              <w:bottom w:val="single" w:sz="4" w:space="0" w:color="auto"/>
              <w:right w:val="single" w:sz="4" w:space="0" w:color="auto"/>
            </w:tcBorders>
            <w:shd w:val="clear" w:color="auto" w:fill="auto"/>
            <w:vAlign w:val="center"/>
            <w:hideMark/>
          </w:tcPr>
          <w:p w14:paraId="16752167" w14:textId="1F48C098"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271.948</w:t>
            </w:r>
          </w:p>
        </w:tc>
        <w:tc>
          <w:tcPr>
            <w:tcW w:w="518" w:type="pct"/>
            <w:tcBorders>
              <w:top w:val="nil"/>
              <w:left w:val="nil"/>
              <w:bottom w:val="single" w:sz="4" w:space="0" w:color="auto"/>
              <w:right w:val="single" w:sz="4" w:space="0" w:color="auto"/>
            </w:tcBorders>
            <w:shd w:val="clear" w:color="auto" w:fill="auto"/>
            <w:noWrap/>
            <w:vAlign w:val="center"/>
            <w:hideMark/>
          </w:tcPr>
          <w:p w14:paraId="268F1BED" w14:textId="35E1D5D3"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0,58</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5B2F0CB7" w14:textId="7BA467AE"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0,02</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59BE5682"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3ED62854"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38D5E519" w14:textId="77777777" w:rsidR="00930007" w:rsidRPr="002C53B3" w:rsidRDefault="00930007" w:rsidP="00930007">
            <w:pPr>
              <w:spacing w:after="0" w:line="240" w:lineRule="auto"/>
              <w:rPr>
                <w:rFonts w:ascii="Arial" w:eastAsia="Times New Roman" w:hAnsi="Arial" w:cs="Arial"/>
                <w:color w:val="000000"/>
                <w:sz w:val="18"/>
                <w:szCs w:val="18"/>
                <w:lang w:eastAsia="sl-SI"/>
              </w:rPr>
            </w:pPr>
            <w:r w:rsidRPr="002C53B3">
              <w:rPr>
                <w:rFonts w:ascii="Arial" w:eastAsia="Times New Roman" w:hAnsi="Arial" w:cs="Arial"/>
                <w:color w:val="000000"/>
                <w:sz w:val="18"/>
                <w:szCs w:val="18"/>
                <w:lang w:eastAsia="sl-SI"/>
              </w:rPr>
              <w:t>Ni podatka o velikosti</w:t>
            </w:r>
          </w:p>
        </w:tc>
        <w:tc>
          <w:tcPr>
            <w:tcW w:w="850" w:type="pct"/>
            <w:tcBorders>
              <w:top w:val="nil"/>
              <w:left w:val="nil"/>
              <w:bottom w:val="single" w:sz="4" w:space="0" w:color="auto"/>
              <w:right w:val="single" w:sz="4" w:space="0" w:color="auto"/>
            </w:tcBorders>
            <w:shd w:val="clear" w:color="auto" w:fill="auto"/>
            <w:vAlign w:val="center"/>
            <w:hideMark/>
          </w:tcPr>
          <w:p w14:paraId="00C2CDF9" w14:textId="178A3DB1"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7</w:t>
            </w:r>
          </w:p>
        </w:tc>
        <w:tc>
          <w:tcPr>
            <w:tcW w:w="1261" w:type="pct"/>
            <w:tcBorders>
              <w:top w:val="nil"/>
              <w:left w:val="nil"/>
              <w:bottom w:val="single" w:sz="4" w:space="0" w:color="auto"/>
              <w:right w:val="single" w:sz="4" w:space="0" w:color="auto"/>
            </w:tcBorders>
            <w:shd w:val="clear" w:color="auto" w:fill="auto"/>
            <w:vAlign w:val="center"/>
            <w:hideMark/>
          </w:tcPr>
          <w:p w14:paraId="4C646D6C" w14:textId="5B13DFB4"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1.649.128</w:t>
            </w:r>
          </w:p>
        </w:tc>
        <w:tc>
          <w:tcPr>
            <w:tcW w:w="518" w:type="pct"/>
            <w:tcBorders>
              <w:top w:val="nil"/>
              <w:left w:val="nil"/>
              <w:bottom w:val="single" w:sz="4" w:space="0" w:color="auto"/>
              <w:right w:val="single" w:sz="4" w:space="0" w:color="auto"/>
            </w:tcBorders>
            <w:shd w:val="clear" w:color="auto" w:fill="auto"/>
            <w:noWrap/>
            <w:vAlign w:val="center"/>
            <w:hideMark/>
          </w:tcPr>
          <w:p w14:paraId="43C6A945" w14:textId="33D4C76F"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0,45</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375883A0" w14:textId="6D2A7C50" w:rsidR="00930007" w:rsidRPr="002C53B3" w:rsidRDefault="00930007" w:rsidP="00930007">
            <w:pPr>
              <w:spacing w:after="0" w:line="240" w:lineRule="auto"/>
              <w:jc w:val="right"/>
              <w:rPr>
                <w:rFonts w:ascii="Arial" w:eastAsia="Times New Roman" w:hAnsi="Arial" w:cs="Arial"/>
                <w:color w:val="000000" w:themeColor="text1"/>
                <w:sz w:val="18"/>
                <w:szCs w:val="18"/>
                <w:lang w:eastAsia="sl-SI"/>
              </w:rPr>
            </w:pPr>
            <w:r w:rsidRPr="002C53B3">
              <w:rPr>
                <w:rFonts w:ascii="Arial" w:eastAsia="Times New Roman" w:hAnsi="Arial" w:cs="Arial"/>
                <w:color w:val="000000" w:themeColor="text1"/>
                <w:sz w:val="18"/>
                <w:szCs w:val="18"/>
                <w:lang w:eastAsia="sl-SI"/>
              </w:rPr>
              <w:t>0,12</w:t>
            </w:r>
            <w:r w:rsidR="002C53B3">
              <w:rPr>
                <w:rFonts w:ascii="Arial" w:eastAsia="Times New Roman" w:hAnsi="Arial" w:cs="Arial"/>
                <w:color w:val="000000" w:themeColor="text1"/>
                <w:sz w:val="18"/>
                <w:szCs w:val="18"/>
                <w:lang w:eastAsia="sl-SI"/>
              </w:rPr>
              <w:t xml:space="preserve"> </w:t>
            </w:r>
            <w:r w:rsidRPr="002C53B3">
              <w:rPr>
                <w:rFonts w:ascii="Arial" w:eastAsia="Times New Roman" w:hAnsi="Arial" w:cs="Arial"/>
                <w:color w:val="000000" w:themeColor="text1"/>
                <w:sz w:val="18"/>
                <w:szCs w:val="18"/>
                <w:lang w:eastAsia="sl-SI"/>
              </w:rPr>
              <w:t>%</w:t>
            </w:r>
          </w:p>
        </w:tc>
      </w:tr>
      <w:tr w:rsidR="00930007" w:rsidRPr="002C53B3" w14:paraId="785CA49A" w14:textId="77777777" w:rsidTr="00930007">
        <w:trPr>
          <w:trHeight w:val="300"/>
        </w:trPr>
        <w:tc>
          <w:tcPr>
            <w:tcW w:w="447" w:type="pct"/>
            <w:vMerge/>
            <w:tcBorders>
              <w:top w:val="nil"/>
              <w:left w:val="single" w:sz="4" w:space="0" w:color="auto"/>
              <w:bottom w:val="single" w:sz="4" w:space="0" w:color="auto"/>
              <w:right w:val="single" w:sz="4" w:space="0" w:color="auto"/>
            </w:tcBorders>
            <w:vAlign w:val="center"/>
            <w:hideMark/>
          </w:tcPr>
          <w:p w14:paraId="76099AB5" w14:textId="77777777" w:rsidR="00930007" w:rsidRPr="002C53B3" w:rsidRDefault="00930007" w:rsidP="00930007">
            <w:pPr>
              <w:spacing w:after="0" w:line="240" w:lineRule="auto"/>
              <w:rPr>
                <w:rFonts w:ascii="Arial" w:eastAsia="Times New Roman" w:hAnsi="Arial" w:cs="Arial"/>
                <w:color w:val="000000"/>
                <w:sz w:val="18"/>
                <w:szCs w:val="18"/>
                <w:lang w:eastAsia="sl-SI"/>
              </w:rPr>
            </w:pPr>
          </w:p>
        </w:tc>
        <w:tc>
          <w:tcPr>
            <w:tcW w:w="1405" w:type="pct"/>
            <w:tcBorders>
              <w:top w:val="nil"/>
              <w:left w:val="nil"/>
              <w:bottom w:val="single" w:sz="4" w:space="0" w:color="auto"/>
              <w:right w:val="single" w:sz="4" w:space="0" w:color="auto"/>
            </w:tcBorders>
            <w:shd w:val="clear" w:color="auto" w:fill="auto"/>
            <w:vAlign w:val="center"/>
            <w:hideMark/>
          </w:tcPr>
          <w:p w14:paraId="6980F7A7" w14:textId="77777777" w:rsidR="00930007" w:rsidRPr="002C53B3" w:rsidRDefault="00930007" w:rsidP="00930007">
            <w:pPr>
              <w:spacing w:after="0" w:line="240" w:lineRule="auto"/>
              <w:rPr>
                <w:rFonts w:ascii="Arial" w:eastAsia="Times New Roman" w:hAnsi="Arial" w:cs="Arial"/>
                <w:b/>
                <w:bCs/>
                <w:color w:val="000000"/>
                <w:sz w:val="18"/>
                <w:szCs w:val="18"/>
                <w:lang w:eastAsia="sl-SI"/>
              </w:rPr>
            </w:pPr>
            <w:r w:rsidRPr="002C53B3">
              <w:rPr>
                <w:rFonts w:ascii="Arial" w:eastAsia="Times New Roman" w:hAnsi="Arial" w:cs="Arial"/>
                <w:b/>
                <w:bCs/>
                <w:color w:val="000000"/>
                <w:sz w:val="18"/>
                <w:szCs w:val="18"/>
                <w:lang w:eastAsia="sl-SI"/>
              </w:rPr>
              <w:t>Skupaj</w:t>
            </w:r>
          </w:p>
        </w:tc>
        <w:tc>
          <w:tcPr>
            <w:tcW w:w="850" w:type="pct"/>
            <w:tcBorders>
              <w:top w:val="nil"/>
              <w:left w:val="nil"/>
              <w:bottom w:val="single" w:sz="4" w:space="0" w:color="auto"/>
              <w:right w:val="single" w:sz="4" w:space="0" w:color="auto"/>
            </w:tcBorders>
            <w:shd w:val="clear" w:color="auto" w:fill="auto"/>
            <w:noWrap/>
            <w:vAlign w:val="center"/>
            <w:hideMark/>
          </w:tcPr>
          <w:p w14:paraId="13A9C312" w14:textId="227F2AA1"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1.557</w:t>
            </w:r>
          </w:p>
        </w:tc>
        <w:tc>
          <w:tcPr>
            <w:tcW w:w="1261" w:type="pct"/>
            <w:tcBorders>
              <w:top w:val="nil"/>
              <w:left w:val="nil"/>
              <w:bottom w:val="single" w:sz="4" w:space="0" w:color="auto"/>
              <w:right w:val="single" w:sz="4" w:space="0" w:color="auto"/>
            </w:tcBorders>
            <w:shd w:val="clear" w:color="auto" w:fill="auto"/>
            <w:noWrap/>
            <w:vAlign w:val="center"/>
            <w:hideMark/>
          </w:tcPr>
          <w:p w14:paraId="72AD579D" w14:textId="3F847676"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1.416.483.859</w:t>
            </w:r>
          </w:p>
        </w:tc>
        <w:tc>
          <w:tcPr>
            <w:tcW w:w="518" w:type="pct"/>
            <w:tcBorders>
              <w:top w:val="nil"/>
              <w:left w:val="nil"/>
              <w:bottom w:val="single" w:sz="4" w:space="0" w:color="auto"/>
              <w:right w:val="single" w:sz="4" w:space="0" w:color="auto"/>
            </w:tcBorders>
            <w:shd w:val="clear" w:color="auto" w:fill="auto"/>
            <w:noWrap/>
            <w:vAlign w:val="center"/>
            <w:hideMark/>
          </w:tcPr>
          <w:p w14:paraId="7F070636" w14:textId="04F3C79E"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100,00</w:t>
            </w:r>
            <w:r w:rsidR="002C53B3">
              <w:rPr>
                <w:rFonts w:ascii="Arial" w:eastAsia="Times New Roman" w:hAnsi="Arial" w:cs="Arial"/>
                <w:b/>
                <w:bCs/>
                <w:color w:val="000000" w:themeColor="text1"/>
                <w:sz w:val="18"/>
                <w:szCs w:val="18"/>
                <w:lang w:eastAsia="sl-SI"/>
              </w:rPr>
              <w:t xml:space="preserve"> </w:t>
            </w:r>
            <w:r w:rsidRPr="002C53B3">
              <w:rPr>
                <w:rFonts w:ascii="Arial" w:eastAsia="Times New Roman" w:hAnsi="Arial" w:cs="Arial"/>
                <w:b/>
                <w:bCs/>
                <w:color w:val="000000" w:themeColor="text1"/>
                <w:sz w:val="18"/>
                <w:szCs w:val="18"/>
                <w:lang w:eastAsia="sl-SI"/>
              </w:rPr>
              <w:t>%</w:t>
            </w:r>
          </w:p>
        </w:tc>
        <w:tc>
          <w:tcPr>
            <w:tcW w:w="519" w:type="pct"/>
            <w:tcBorders>
              <w:top w:val="nil"/>
              <w:left w:val="nil"/>
              <w:bottom w:val="single" w:sz="4" w:space="0" w:color="auto"/>
              <w:right w:val="single" w:sz="4" w:space="0" w:color="auto"/>
            </w:tcBorders>
            <w:shd w:val="clear" w:color="auto" w:fill="auto"/>
            <w:noWrap/>
            <w:vAlign w:val="center"/>
            <w:hideMark/>
          </w:tcPr>
          <w:p w14:paraId="4B864046" w14:textId="11EFFDE1"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100,00</w:t>
            </w:r>
            <w:r w:rsidR="002C53B3">
              <w:rPr>
                <w:rFonts w:ascii="Arial" w:eastAsia="Times New Roman" w:hAnsi="Arial" w:cs="Arial"/>
                <w:b/>
                <w:bCs/>
                <w:color w:val="000000" w:themeColor="text1"/>
                <w:sz w:val="18"/>
                <w:szCs w:val="18"/>
                <w:lang w:eastAsia="sl-SI"/>
              </w:rPr>
              <w:t xml:space="preserve"> </w:t>
            </w:r>
            <w:r w:rsidRPr="002C53B3">
              <w:rPr>
                <w:rFonts w:ascii="Arial" w:eastAsia="Times New Roman" w:hAnsi="Arial" w:cs="Arial"/>
                <w:b/>
                <w:bCs/>
                <w:color w:val="000000" w:themeColor="text1"/>
                <w:sz w:val="18"/>
                <w:szCs w:val="18"/>
                <w:lang w:eastAsia="sl-SI"/>
              </w:rPr>
              <w:t>%</w:t>
            </w:r>
          </w:p>
        </w:tc>
      </w:tr>
      <w:tr w:rsidR="00930007" w:rsidRPr="002C53B3" w14:paraId="4F0C797A" w14:textId="77777777" w:rsidTr="00930007">
        <w:trPr>
          <w:gridAfter w:val="2"/>
          <w:wAfter w:w="1037" w:type="pct"/>
          <w:trHeight w:val="300"/>
        </w:trPr>
        <w:tc>
          <w:tcPr>
            <w:tcW w:w="18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3ACB9" w14:textId="77777777" w:rsidR="00930007" w:rsidRPr="002C53B3" w:rsidRDefault="00930007" w:rsidP="00930007">
            <w:pPr>
              <w:spacing w:after="0" w:line="240" w:lineRule="auto"/>
              <w:rPr>
                <w:rFonts w:ascii="Arial" w:eastAsia="Times New Roman" w:hAnsi="Arial" w:cs="Arial"/>
                <w:b/>
                <w:bCs/>
                <w:color w:val="000000"/>
                <w:sz w:val="18"/>
                <w:szCs w:val="18"/>
                <w:lang w:eastAsia="sl-SI"/>
              </w:rPr>
            </w:pPr>
            <w:r w:rsidRPr="002C53B3">
              <w:rPr>
                <w:rFonts w:ascii="Arial" w:eastAsia="Times New Roman" w:hAnsi="Arial" w:cs="Arial"/>
                <w:b/>
                <w:bCs/>
                <w:color w:val="000000"/>
                <w:sz w:val="18"/>
                <w:szCs w:val="18"/>
                <w:lang w:eastAsia="sl-SI"/>
              </w:rPr>
              <w:t>Skupaj</w:t>
            </w:r>
          </w:p>
        </w:tc>
        <w:tc>
          <w:tcPr>
            <w:tcW w:w="850" w:type="pct"/>
            <w:tcBorders>
              <w:top w:val="nil"/>
              <w:left w:val="nil"/>
              <w:bottom w:val="single" w:sz="4" w:space="0" w:color="auto"/>
              <w:right w:val="single" w:sz="4" w:space="0" w:color="auto"/>
            </w:tcBorders>
            <w:shd w:val="clear" w:color="auto" w:fill="F2F2F2" w:themeFill="background1" w:themeFillShade="F2"/>
            <w:noWrap/>
            <w:vAlign w:val="center"/>
            <w:hideMark/>
          </w:tcPr>
          <w:p w14:paraId="14A5E397" w14:textId="5F09F6EE"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16.340</w:t>
            </w:r>
          </w:p>
        </w:tc>
        <w:tc>
          <w:tcPr>
            <w:tcW w:w="1261" w:type="pct"/>
            <w:tcBorders>
              <w:top w:val="nil"/>
              <w:left w:val="nil"/>
              <w:bottom w:val="single" w:sz="4" w:space="0" w:color="auto"/>
              <w:right w:val="single" w:sz="4" w:space="0" w:color="auto"/>
            </w:tcBorders>
            <w:shd w:val="clear" w:color="auto" w:fill="F2F2F2" w:themeFill="background1" w:themeFillShade="F2"/>
            <w:noWrap/>
            <w:vAlign w:val="center"/>
            <w:hideMark/>
          </w:tcPr>
          <w:p w14:paraId="3B18DC0A" w14:textId="35E8314E" w:rsidR="00930007" w:rsidRPr="002C53B3" w:rsidRDefault="00930007" w:rsidP="00930007">
            <w:pPr>
              <w:spacing w:after="0" w:line="240" w:lineRule="auto"/>
              <w:jc w:val="right"/>
              <w:rPr>
                <w:rFonts w:ascii="Arial" w:eastAsia="Times New Roman" w:hAnsi="Arial" w:cs="Arial"/>
                <w:b/>
                <w:bCs/>
                <w:color w:val="000000" w:themeColor="text1"/>
                <w:sz w:val="18"/>
                <w:szCs w:val="18"/>
                <w:lang w:eastAsia="sl-SI"/>
              </w:rPr>
            </w:pPr>
            <w:r w:rsidRPr="002C53B3">
              <w:rPr>
                <w:rFonts w:ascii="Arial" w:eastAsia="Times New Roman" w:hAnsi="Arial" w:cs="Arial"/>
                <w:b/>
                <w:bCs/>
                <w:color w:val="000000" w:themeColor="text1"/>
                <w:sz w:val="18"/>
                <w:szCs w:val="18"/>
                <w:lang w:eastAsia="sl-SI"/>
              </w:rPr>
              <w:t>5.763.934.024</w:t>
            </w:r>
          </w:p>
        </w:tc>
      </w:tr>
    </w:tbl>
    <w:p w14:paraId="3C9610DC" w14:textId="64119BB1" w:rsidR="002C18B8" w:rsidRPr="002C53B3" w:rsidRDefault="002C18B8" w:rsidP="004A613D">
      <w:pPr>
        <w:spacing w:after="0" w:line="240" w:lineRule="auto"/>
        <w:jc w:val="center"/>
        <w:rPr>
          <w:rFonts w:ascii="Arial" w:hAnsi="Arial" w:cs="Arial"/>
          <w:color w:val="000000" w:themeColor="text1"/>
          <w:sz w:val="18"/>
        </w:rPr>
      </w:pPr>
    </w:p>
    <w:p w14:paraId="718BA743" w14:textId="3A5DF3FC" w:rsidR="00180D5C" w:rsidRPr="002C53B3" w:rsidRDefault="00180D5C" w:rsidP="004A613D">
      <w:pPr>
        <w:spacing w:after="0" w:line="240" w:lineRule="auto"/>
        <w:jc w:val="center"/>
        <w:rPr>
          <w:rFonts w:ascii="Arial" w:hAnsi="Arial" w:cs="Arial"/>
          <w:color w:val="000000" w:themeColor="text1"/>
          <w:sz w:val="18"/>
        </w:rPr>
      </w:pPr>
      <w:r w:rsidRPr="002C53B3">
        <w:rPr>
          <w:rFonts w:ascii="Arial" w:hAnsi="Arial" w:cs="Arial"/>
          <w:color w:val="000000" w:themeColor="text1"/>
          <w:sz w:val="18"/>
        </w:rPr>
        <w:t>Vir: Statistični podatki o javni</w:t>
      </w:r>
      <w:r w:rsidR="00815600" w:rsidRPr="002C53B3">
        <w:rPr>
          <w:rFonts w:ascii="Arial" w:hAnsi="Arial" w:cs="Arial"/>
          <w:color w:val="000000" w:themeColor="text1"/>
          <w:sz w:val="18"/>
        </w:rPr>
        <w:t>h naročilih, oddanih v letu 20</w:t>
      </w:r>
      <w:r w:rsidR="002C18B8" w:rsidRPr="002C53B3">
        <w:rPr>
          <w:rFonts w:ascii="Arial" w:hAnsi="Arial" w:cs="Arial"/>
          <w:color w:val="000000" w:themeColor="text1"/>
          <w:sz w:val="18"/>
        </w:rPr>
        <w:t>2</w:t>
      </w:r>
      <w:r w:rsidR="004479F4" w:rsidRPr="002C53B3">
        <w:rPr>
          <w:rFonts w:ascii="Arial" w:hAnsi="Arial" w:cs="Arial"/>
          <w:color w:val="000000" w:themeColor="text1"/>
          <w:sz w:val="18"/>
        </w:rPr>
        <w:t>3</w:t>
      </w:r>
      <w:r w:rsidR="00B0329F" w:rsidRPr="002C53B3">
        <w:rPr>
          <w:rFonts w:ascii="Arial" w:hAnsi="Arial" w:cs="Arial"/>
          <w:color w:val="000000" w:themeColor="text1"/>
          <w:sz w:val="18"/>
        </w:rPr>
        <w:t>.</w:t>
      </w:r>
    </w:p>
    <w:p w14:paraId="51DE5BC6" w14:textId="77777777" w:rsidR="0036792C" w:rsidRPr="00637ACF" w:rsidRDefault="0036792C" w:rsidP="004A613D">
      <w:pPr>
        <w:spacing w:after="0" w:line="240" w:lineRule="auto"/>
        <w:jc w:val="center"/>
        <w:rPr>
          <w:rFonts w:ascii="Arial" w:hAnsi="Arial" w:cs="Arial"/>
          <w:color w:val="FF0000"/>
          <w:sz w:val="18"/>
          <w:highlight w:val="yellow"/>
        </w:rPr>
      </w:pPr>
    </w:p>
    <w:p w14:paraId="517EB067" w14:textId="77777777" w:rsidR="00B11580" w:rsidRPr="00637ACF" w:rsidRDefault="00B11580" w:rsidP="00854405">
      <w:pPr>
        <w:pStyle w:val="ZADEVA"/>
        <w:jc w:val="both"/>
        <w:rPr>
          <w:rFonts w:cs="Arial"/>
          <w:b w:val="0"/>
          <w:color w:val="FF0000"/>
          <w:szCs w:val="20"/>
          <w:highlight w:val="yellow"/>
          <w:lang w:val="sl-SI"/>
        </w:rPr>
      </w:pPr>
    </w:p>
    <w:p w14:paraId="04424626" w14:textId="6B6D6893" w:rsidR="001C6865" w:rsidRPr="001E7D82" w:rsidRDefault="001C6865" w:rsidP="00167586">
      <w:pPr>
        <w:pStyle w:val="Naslov3"/>
      </w:pPr>
      <w:bookmarkStart w:id="41" w:name="_Toc175563870"/>
      <w:r w:rsidRPr="001E7D82">
        <w:t>2.</w:t>
      </w:r>
      <w:r w:rsidR="00FA2740" w:rsidRPr="001E7D82">
        <w:t>6</w:t>
      </w:r>
      <w:r w:rsidRPr="001E7D82">
        <w:t>.5 Izločanje ponudnikov</w:t>
      </w:r>
      <w:bookmarkEnd w:id="41"/>
      <w:r w:rsidR="00B90B8D" w:rsidRPr="001E7D82">
        <w:t xml:space="preserve"> </w:t>
      </w:r>
    </w:p>
    <w:p w14:paraId="7D89D467" w14:textId="77777777" w:rsidR="00B11580" w:rsidRPr="001E7D82" w:rsidRDefault="00B11580" w:rsidP="00854405">
      <w:pPr>
        <w:pStyle w:val="ZADEVA"/>
        <w:jc w:val="both"/>
        <w:rPr>
          <w:rFonts w:cs="Arial"/>
          <w:b w:val="0"/>
          <w:color w:val="000000" w:themeColor="text1"/>
          <w:szCs w:val="20"/>
          <w:lang w:val="sl-SI"/>
        </w:rPr>
      </w:pPr>
    </w:p>
    <w:p w14:paraId="07E4984A" w14:textId="50FA6585" w:rsidR="000B0538" w:rsidRPr="001E7D82" w:rsidRDefault="000B0538" w:rsidP="000B0538">
      <w:pPr>
        <w:spacing w:line="360" w:lineRule="auto"/>
        <w:jc w:val="both"/>
        <w:rPr>
          <w:rFonts w:ascii="Arial" w:hAnsi="Arial" w:cs="Arial"/>
          <w:color w:val="000000" w:themeColor="text1"/>
          <w:sz w:val="20"/>
          <w:szCs w:val="20"/>
        </w:rPr>
      </w:pPr>
      <w:r w:rsidRPr="001E7D82">
        <w:rPr>
          <w:rFonts w:ascii="Arial" w:hAnsi="Arial" w:cs="Arial"/>
          <w:color w:val="000000" w:themeColor="text1"/>
          <w:sz w:val="20"/>
          <w:szCs w:val="20"/>
        </w:rPr>
        <w:t xml:space="preserve">Naročniki so v skladu z </w:t>
      </w:r>
      <w:proofErr w:type="spellStart"/>
      <w:r w:rsidRPr="001E7D82">
        <w:rPr>
          <w:rFonts w:ascii="Arial" w:hAnsi="Arial" w:cs="Arial"/>
          <w:color w:val="000000" w:themeColor="text1"/>
          <w:sz w:val="20"/>
          <w:szCs w:val="20"/>
        </w:rPr>
        <w:t>javnonaročniško</w:t>
      </w:r>
      <w:proofErr w:type="spellEnd"/>
      <w:r w:rsidRPr="001E7D82">
        <w:rPr>
          <w:rFonts w:ascii="Arial" w:hAnsi="Arial" w:cs="Arial"/>
          <w:color w:val="000000" w:themeColor="text1"/>
          <w:sz w:val="20"/>
          <w:szCs w:val="20"/>
        </w:rPr>
        <w:t xml:space="preserve"> zakonodajo iz postopka javnega naročanja </w:t>
      </w:r>
      <w:r w:rsidR="00F92565" w:rsidRPr="001E7D82">
        <w:rPr>
          <w:rFonts w:ascii="Arial" w:hAnsi="Arial" w:cs="Arial"/>
          <w:color w:val="000000" w:themeColor="text1"/>
          <w:sz w:val="20"/>
          <w:szCs w:val="20"/>
        </w:rPr>
        <w:t xml:space="preserve">pri </w:t>
      </w:r>
      <w:r w:rsidR="00E1482A" w:rsidRPr="001E7D82">
        <w:rPr>
          <w:rFonts w:ascii="Arial" w:hAnsi="Arial" w:cs="Arial"/>
          <w:color w:val="000000" w:themeColor="text1"/>
          <w:sz w:val="20"/>
          <w:szCs w:val="20"/>
        </w:rPr>
        <w:t>50</w:t>
      </w:r>
      <w:r w:rsidR="001107AD" w:rsidRPr="001E7D82">
        <w:rPr>
          <w:rFonts w:ascii="Arial" w:hAnsi="Arial" w:cs="Arial"/>
          <w:color w:val="000000" w:themeColor="text1"/>
          <w:sz w:val="20"/>
          <w:szCs w:val="20"/>
        </w:rPr>
        <w:t xml:space="preserve"> javnih naročilih </w:t>
      </w:r>
      <w:r w:rsidRPr="001E7D82">
        <w:rPr>
          <w:rFonts w:ascii="Arial" w:hAnsi="Arial" w:cs="Arial"/>
          <w:color w:val="000000" w:themeColor="text1"/>
          <w:sz w:val="20"/>
          <w:szCs w:val="20"/>
        </w:rPr>
        <w:t xml:space="preserve">izločili </w:t>
      </w:r>
      <w:r w:rsidR="00E1482A" w:rsidRPr="001E7D82">
        <w:rPr>
          <w:rFonts w:ascii="Arial" w:hAnsi="Arial" w:cs="Arial"/>
          <w:color w:val="000000" w:themeColor="text1"/>
          <w:sz w:val="20"/>
          <w:szCs w:val="20"/>
        </w:rPr>
        <w:t>77</w:t>
      </w:r>
      <w:r w:rsidRPr="001E7D82">
        <w:rPr>
          <w:rFonts w:ascii="Arial" w:hAnsi="Arial" w:cs="Arial"/>
          <w:color w:val="000000" w:themeColor="text1"/>
          <w:sz w:val="20"/>
          <w:szCs w:val="20"/>
        </w:rPr>
        <w:t xml:space="preserve"> </w:t>
      </w:r>
      <w:r w:rsidR="001107AD" w:rsidRPr="001E7D82">
        <w:rPr>
          <w:rFonts w:ascii="Arial" w:hAnsi="Arial" w:cs="Arial"/>
          <w:color w:val="000000" w:themeColor="text1"/>
          <w:sz w:val="20"/>
          <w:szCs w:val="20"/>
        </w:rPr>
        <w:t>ponudnikov</w:t>
      </w:r>
      <w:r w:rsidRPr="001E7D82">
        <w:rPr>
          <w:rFonts w:ascii="Arial" w:hAnsi="Arial" w:cs="Arial"/>
          <w:color w:val="000000" w:themeColor="text1"/>
          <w:sz w:val="20"/>
          <w:szCs w:val="20"/>
        </w:rPr>
        <w:t xml:space="preserve">, ker so bili ti ali njihovi zakoniti zastopniki pravnomočno obsojeni za kazniva dejanja. </w:t>
      </w:r>
      <w:r w:rsidR="001107AD" w:rsidRPr="001E7D82">
        <w:rPr>
          <w:rFonts w:ascii="Arial" w:hAnsi="Arial" w:cs="Arial"/>
          <w:color w:val="000000" w:themeColor="text1"/>
          <w:sz w:val="20"/>
          <w:szCs w:val="20"/>
        </w:rPr>
        <w:t xml:space="preserve">Največ gospodarskih subjektov je bilo izločenih pri izvedbi </w:t>
      </w:r>
      <w:r w:rsidR="00DF1072" w:rsidRPr="001E7D82">
        <w:rPr>
          <w:rFonts w:ascii="Arial" w:hAnsi="Arial" w:cs="Arial"/>
          <w:color w:val="000000" w:themeColor="text1"/>
          <w:sz w:val="20"/>
          <w:szCs w:val="20"/>
        </w:rPr>
        <w:t>postopka naročila male vrednosti</w:t>
      </w:r>
      <w:r w:rsidR="001107AD" w:rsidRPr="001E7D82">
        <w:rPr>
          <w:rFonts w:ascii="Arial" w:hAnsi="Arial" w:cs="Arial"/>
          <w:color w:val="000000" w:themeColor="text1"/>
          <w:sz w:val="20"/>
          <w:szCs w:val="20"/>
        </w:rPr>
        <w:t xml:space="preserve"> za naročanje </w:t>
      </w:r>
      <w:r w:rsidR="00863AD0" w:rsidRPr="001E7D82">
        <w:rPr>
          <w:rFonts w:ascii="Arial" w:hAnsi="Arial" w:cs="Arial"/>
          <w:color w:val="000000" w:themeColor="text1"/>
          <w:sz w:val="20"/>
          <w:szCs w:val="20"/>
        </w:rPr>
        <w:t>blaga</w:t>
      </w:r>
      <w:r w:rsidR="001107AD" w:rsidRPr="001E7D82">
        <w:rPr>
          <w:rFonts w:ascii="Arial" w:hAnsi="Arial" w:cs="Arial"/>
          <w:color w:val="000000" w:themeColor="text1"/>
          <w:sz w:val="20"/>
          <w:szCs w:val="20"/>
        </w:rPr>
        <w:t xml:space="preserve"> </w:t>
      </w:r>
      <w:r w:rsidR="003420F0" w:rsidRPr="001E7D82">
        <w:rPr>
          <w:rFonts w:ascii="Arial" w:hAnsi="Arial" w:cs="Arial"/>
          <w:color w:val="000000" w:themeColor="text1"/>
          <w:sz w:val="20"/>
          <w:szCs w:val="20"/>
        </w:rPr>
        <w:t xml:space="preserve">na </w:t>
      </w:r>
      <w:r w:rsidR="001107AD" w:rsidRPr="001E7D82">
        <w:rPr>
          <w:rFonts w:ascii="Arial" w:hAnsi="Arial" w:cs="Arial"/>
          <w:color w:val="000000" w:themeColor="text1"/>
          <w:sz w:val="20"/>
          <w:szCs w:val="20"/>
        </w:rPr>
        <w:t>sploš</w:t>
      </w:r>
      <w:r w:rsidR="006C2244" w:rsidRPr="001E7D82">
        <w:rPr>
          <w:rFonts w:ascii="Arial" w:hAnsi="Arial" w:cs="Arial"/>
          <w:color w:val="000000" w:themeColor="text1"/>
          <w:sz w:val="20"/>
          <w:szCs w:val="20"/>
        </w:rPr>
        <w:t xml:space="preserve">nem področju, kjer je </w:t>
      </w:r>
      <w:r w:rsidR="004E1AA3" w:rsidRPr="001E7D82">
        <w:rPr>
          <w:rFonts w:ascii="Arial" w:hAnsi="Arial" w:cs="Arial"/>
          <w:color w:val="000000" w:themeColor="text1"/>
          <w:sz w:val="20"/>
          <w:szCs w:val="20"/>
        </w:rPr>
        <w:t xml:space="preserve">bilo pri </w:t>
      </w:r>
      <w:r w:rsidR="00DF1072" w:rsidRPr="001E7D82">
        <w:rPr>
          <w:rFonts w:ascii="Arial" w:hAnsi="Arial" w:cs="Arial"/>
          <w:color w:val="000000" w:themeColor="text1"/>
          <w:sz w:val="20"/>
          <w:szCs w:val="20"/>
        </w:rPr>
        <w:t>enem naročilu</w:t>
      </w:r>
      <w:r w:rsidR="001107AD" w:rsidRPr="001E7D82">
        <w:rPr>
          <w:rFonts w:ascii="Arial" w:hAnsi="Arial" w:cs="Arial"/>
          <w:color w:val="000000" w:themeColor="text1"/>
          <w:sz w:val="20"/>
          <w:szCs w:val="20"/>
        </w:rPr>
        <w:t xml:space="preserve"> izločen</w:t>
      </w:r>
      <w:r w:rsidR="004E1AA3" w:rsidRPr="001E7D82">
        <w:rPr>
          <w:rFonts w:ascii="Arial" w:hAnsi="Arial" w:cs="Arial"/>
          <w:color w:val="000000" w:themeColor="text1"/>
          <w:sz w:val="20"/>
          <w:szCs w:val="20"/>
        </w:rPr>
        <w:t>ih</w:t>
      </w:r>
      <w:r w:rsidR="001107AD" w:rsidRPr="001E7D82">
        <w:rPr>
          <w:rFonts w:ascii="Arial" w:hAnsi="Arial" w:cs="Arial"/>
          <w:color w:val="000000" w:themeColor="text1"/>
          <w:sz w:val="20"/>
          <w:szCs w:val="20"/>
        </w:rPr>
        <w:t xml:space="preserve"> </w:t>
      </w:r>
      <w:r w:rsidR="00863AD0" w:rsidRPr="001E7D82">
        <w:rPr>
          <w:rFonts w:ascii="Arial" w:hAnsi="Arial" w:cs="Arial"/>
          <w:color w:val="000000" w:themeColor="text1"/>
          <w:sz w:val="20"/>
          <w:szCs w:val="20"/>
        </w:rPr>
        <w:t>7</w:t>
      </w:r>
      <w:r w:rsidR="004E1AA3" w:rsidRPr="001E7D82">
        <w:rPr>
          <w:rFonts w:ascii="Arial" w:hAnsi="Arial" w:cs="Arial"/>
          <w:color w:val="000000" w:themeColor="text1"/>
          <w:sz w:val="20"/>
          <w:szCs w:val="20"/>
        </w:rPr>
        <w:t xml:space="preserve"> ponudnikov</w:t>
      </w:r>
      <w:r w:rsidR="001107AD" w:rsidRPr="001E7D82">
        <w:rPr>
          <w:rFonts w:ascii="Arial" w:hAnsi="Arial" w:cs="Arial"/>
          <w:color w:val="000000" w:themeColor="text1"/>
          <w:sz w:val="20"/>
          <w:szCs w:val="20"/>
        </w:rPr>
        <w:t xml:space="preserve">. </w:t>
      </w:r>
    </w:p>
    <w:p w14:paraId="08B3D719" w14:textId="3CB9F3AE" w:rsidR="00FD0DD3" w:rsidRPr="001E7D82" w:rsidRDefault="00B37E65" w:rsidP="00A4539E">
      <w:pPr>
        <w:spacing w:before="120" w:after="120" w:line="240" w:lineRule="auto"/>
        <w:jc w:val="both"/>
        <w:rPr>
          <w:rFonts w:ascii="Arial" w:hAnsi="Arial" w:cs="Arial"/>
          <w:color w:val="000000" w:themeColor="text1"/>
          <w:sz w:val="18"/>
        </w:rPr>
      </w:pPr>
      <w:r w:rsidRPr="001E7D82">
        <w:rPr>
          <w:rFonts w:ascii="Arial" w:hAnsi="Arial" w:cs="Arial"/>
          <w:color w:val="000000" w:themeColor="text1"/>
          <w:sz w:val="20"/>
        </w:rPr>
        <w:t>Preglednica </w:t>
      </w:r>
      <w:r w:rsidR="00EA747F" w:rsidRPr="001E7D82">
        <w:rPr>
          <w:rFonts w:ascii="Arial" w:hAnsi="Arial" w:cs="Arial"/>
          <w:color w:val="000000" w:themeColor="text1"/>
          <w:sz w:val="20"/>
        </w:rPr>
        <w:t>39</w:t>
      </w:r>
      <w:r w:rsidRPr="001E7D82">
        <w:rPr>
          <w:rFonts w:ascii="Arial" w:hAnsi="Arial" w:cs="Arial"/>
          <w:color w:val="000000" w:themeColor="text1"/>
          <w:sz w:val="20"/>
        </w:rPr>
        <w:t xml:space="preserve">: </w:t>
      </w:r>
      <w:r w:rsidR="0046668F" w:rsidRPr="001E7D82">
        <w:rPr>
          <w:rFonts w:ascii="Arial" w:hAnsi="Arial" w:cs="Arial"/>
          <w:color w:val="000000" w:themeColor="text1"/>
          <w:sz w:val="20"/>
        </w:rPr>
        <w:t>P</w:t>
      </w:r>
      <w:r w:rsidRPr="001E7D82">
        <w:rPr>
          <w:rFonts w:ascii="Arial" w:hAnsi="Arial" w:cs="Arial"/>
          <w:color w:val="000000" w:themeColor="text1"/>
          <w:sz w:val="20"/>
        </w:rPr>
        <w:t>onudniki</w:t>
      </w:r>
      <w:r w:rsidR="0046668F" w:rsidRPr="001E7D82">
        <w:rPr>
          <w:rFonts w:ascii="Arial" w:hAnsi="Arial" w:cs="Arial"/>
          <w:color w:val="000000" w:themeColor="text1"/>
          <w:sz w:val="20"/>
        </w:rPr>
        <w:t>,</w:t>
      </w:r>
      <w:r w:rsidRPr="001E7D82">
        <w:rPr>
          <w:rFonts w:ascii="Arial" w:hAnsi="Arial" w:cs="Arial"/>
          <w:color w:val="000000" w:themeColor="text1"/>
          <w:sz w:val="20"/>
        </w:rPr>
        <w:t xml:space="preserve"> </w:t>
      </w:r>
      <w:r w:rsidR="0046668F" w:rsidRPr="001E7D82">
        <w:rPr>
          <w:rFonts w:ascii="Arial" w:hAnsi="Arial" w:cs="Arial"/>
          <w:color w:val="000000" w:themeColor="text1"/>
          <w:sz w:val="20"/>
        </w:rPr>
        <w:t xml:space="preserve">izločeni </w:t>
      </w:r>
      <w:r w:rsidRPr="001E7D82">
        <w:rPr>
          <w:rFonts w:ascii="Arial" w:hAnsi="Arial" w:cs="Arial"/>
          <w:color w:val="000000" w:themeColor="text1"/>
          <w:sz w:val="20"/>
        </w:rPr>
        <w:t>zaradi pravnomočne kazenske obsodbe</w:t>
      </w:r>
      <w:r w:rsidR="00A659FB" w:rsidRPr="001E7D82">
        <w:rPr>
          <w:rFonts w:ascii="Arial" w:hAnsi="Arial" w:cs="Arial"/>
          <w:color w:val="000000" w:themeColor="text1"/>
          <w:sz w:val="20"/>
        </w:rPr>
        <w:t>,</w:t>
      </w:r>
      <w:r w:rsidRPr="001E7D82">
        <w:rPr>
          <w:rFonts w:ascii="Arial" w:hAnsi="Arial" w:cs="Arial"/>
          <w:color w:val="000000" w:themeColor="text1"/>
          <w:sz w:val="20"/>
        </w:rPr>
        <w:t xml:space="preserve"> glede na področje, predmet in vrsto postopka</w:t>
      </w:r>
    </w:p>
    <w:tbl>
      <w:tblPr>
        <w:tblW w:w="5000" w:type="pct"/>
        <w:tblCellMar>
          <w:left w:w="70" w:type="dxa"/>
          <w:right w:w="70" w:type="dxa"/>
        </w:tblCellMar>
        <w:tblLook w:val="04A0" w:firstRow="1" w:lastRow="0" w:firstColumn="1" w:lastColumn="0" w:noHBand="0" w:noVBand="1"/>
      </w:tblPr>
      <w:tblGrid>
        <w:gridCol w:w="1301"/>
        <w:gridCol w:w="821"/>
        <w:gridCol w:w="3543"/>
        <w:gridCol w:w="671"/>
        <w:gridCol w:w="2838"/>
      </w:tblGrid>
      <w:tr w:rsidR="00863AD0" w:rsidRPr="001E7D82" w14:paraId="4E177CD8" w14:textId="77777777" w:rsidTr="00863AD0">
        <w:trPr>
          <w:trHeight w:val="300"/>
          <w:tblHeader/>
        </w:trPr>
        <w:tc>
          <w:tcPr>
            <w:tcW w:w="59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2CC3059" w14:textId="77777777" w:rsidR="00863AD0" w:rsidRPr="001E7D82" w:rsidRDefault="00863AD0" w:rsidP="00863AD0">
            <w:pPr>
              <w:spacing w:after="0" w:line="240" w:lineRule="auto"/>
              <w:jc w:val="center"/>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Področje</w:t>
            </w:r>
          </w:p>
        </w:tc>
        <w:tc>
          <w:tcPr>
            <w:tcW w:w="338" w:type="pct"/>
            <w:tcBorders>
              <w:top w:val="single" w:sz="4" w:space="0" w:color="auto"/>
              <w:left w:val="nil"/>
              <w:bottom w:val="single" w:sz="4" w:space="0" w:color="auto"/>
              <w:right w:val="single" w:sz="4" w:space="0" w:color="auto"/>
            </w:tcBorders>
            <w:shd w:val="clear" w:color="000000" w:fill="F2F2F2"/>
            <w:vAlign w:val="center"/>
            <w:hideMark/>
          </w:tcPr>
          <w:p w14:paraId="3E679408" w14:textId="77777777" w:rsidR="00863AD0" w:rsidRPr="001E7D82" w:rsidRDefault="00863AD0" w:rsidP="00863AD0">
            <w:pPr>
              <w:spacing w:after="0" w:line="240" w:lineRule="auto"/>
              <w:jc w:val="center"/>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 xml:space="preserve">Predmet </w:t>
            </w:r>
          </w:p>
        </w:tc>
        <w:tc>
          <w:tcPr>
            <w:tcW w:w="2051" w:type="pct"/>
            <w:tcBorders>
              <w:top w:val="single" w:sz="4" w:space="0" w:color="auto"/>
              <w:left w:val="nil"/>
              <w:bottom w:val="single" w:sz="4" w:space="0" w:color="auto"/>
              <w:right w:val="single" w:sz="4" w:space="0" w:color="auto"/>
            </w:tcBorders>
            <w:shd w:val="clear" w:color="000000" w:fill="F2F2F2"/>
            <w:vAlign w:val="center"/>
            <w:hideMark/>
          </w:tcPr>
          <w:p w14:paraId="26A6DE9C" w14:textId="77777777" w:rsidR="00863AD0" w:rsidRPr="001E7D82" w:rsidRDefault="00863AD0" w:rsidP="00863AD0">
            <w:pPr>
              <w:spacing w:after="0" w:line="240" w:lineRule="auto"/>
              <w:jc w:val="center"/>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Vrsta postopka</w:t>
            </w:r>
          </w:p>
        </w:tc>
        <w:tc>
          <w:tcPr>
            <w:tcW w:w="353" w:type="pct"/>
            <w:tcBorders>
              <w:top w:val="single" w:sz="4" w:space="0" w:color="auto"/>
              <w:left w:val="nil"/>
              <w:bottom w:val="single" w:sz="4" w:space="0" w:color="auto"/>
              <w:right w:val="single" w:sz="4" w:space="0" w:color="auto"/>
            </w:tcBorders>
            <w:shd w:val="clear" w:color="000000" w:fill="F2F2F2"/>
            <w:vAlign w:val="center"/>
            <w:hideMark/>
          </w:tcPr>
          <w:p w14:paraId="6AB6C922" w14:textId="77777777" w:rsidR="00863AD0" w:rsidRPr="001E7D82" w:rsidRDefault="00863AD0" w:rsidP="00863AD0">
            <w:pPr>
              <w:spacing w:after="0" w:line="240" w:lineRule="auto"/>
              <w:jc w:val="center"/>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Št. naročil</w:t>
            </w:r>
          </w:p>
        </w:tc>
        <w:tc>
          <w:tcPr>
            <w:tcW w:w="1666" w:type="pct"/>
            <w:tcBorders>
              <w:top w:val="single" w:sz="4" w:space="0" w:color="auto"/>
              <w:left w:val="nil"/>
              <w:bottom w:val="single" w:sz="4" w:space="0" w:color="auto"/>
              <w:right w:val="single" w:sz="4" w:space="0" w:color="auto"/>
            </w:tcBorders>
            <w:shd w:val="clear" w:color="000000" w:fill="F2F2F2"/>
            <w:vAlign w:val="center"/>
            <w:hideMark/>
          </w:tcPr>
          <w:p w14:paraId="014EFB9E" w14:textId="77777777" w:rsidR="00863AD0" w:rsidRPr="001E7D82" w:rsidRDefault="00863AD0" w:rsidP="00863AD0">
            <w:pPr>
              <w:spacing w:after="0" w:line="240" w:lineRule="auto"/>
              <w:jc w:val="center"/>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Št. izločenih ponudnikov pri posameznem naročilu</w:t>
            </w:r>
          </w:p>
        </w:tc>
      </w:tr>
      <w:tr w:rsidR="00863AD0" w:rsidRPr="001E7D82" w14:paraId="07F02559" w14:textId="77777777" w:rsidTr="00863AD0">
        <w:trPr>
          <w:trHeight w:val="300"/>
        </w:trPr>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14:paraId="761D36E5" w14:textId="1D1A2252"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Splošno</w:t>
            </w:r>
          </w:p>
        </w:tc>
        <w:tc>
          <w:tcPr>
            <w:tcW w:w="338" w:type="pct"/>
            <w:vMerge w:val="restart"/>
            <w:tcBorders>
              <w:top w:val="nil"/>
              <w:left w:val="single" w:sz="4" w:space="0" w:color="auto"/>
              <w:bottom w:val="single" w:sz="4" w:space="0" w:color="000000"/>
              <w:right w:val="single" w:sz="4" w:space="0" w:color="auto"/>
            </w:tcBorders>
            <w:shd w:val="clear" w:color="auto" w:fill="auto"/>
            <w:vAlign w:val="center"/>
            <w:hideMark/>
          </w:tcPr>
          <w:p w14:paraId="59CFDEFC"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Blago</w:t>
            </w:r>
          </w:p>
        </w:tc>
        <w:tc>
          <w:tcPr>
            <w:tcW w:w="2051" w:type="pct"/>
            <w:tcBorders>
              <w:top w:val="nil"/>
              <w:left w:val="nil"/>
              <w:bottom w:val="single" w:sz="4" w:space="0" w:color="auto"/>
              <w:right w:val="single" w:sz="4" w:space="0" w:color="auto"/>
            </w:tcBorders>
            <w:shd w:val="clear" w:color="auto" w:fill="auto"/>
            <w:vAlign w:val="center"/>
            <w:hideMark/>
          </w:tcPr>
          <w:p w14:paraId="16AA43B0"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Odprti postopek</w:t>
            </w:r>
          </w:p>
        </w:tc>
        <w:tc>
          <w:tcPr>
            <w:tcW w:w="353" w:type="pct"/>
            <w:tcBorders>
              <w:top w:val="nil"/>
              <w:left w:val="nil"/>
              <w:bottom w:val="single" w:sz="4" w:space="0" w:color="auto"/>
              <w:right w:val="single" w:sz="4" w:space="0" w:color="auto"/>
            </w:tcBorders>
            <w:shd w:val="clear" w:color="auto" w:fill="auto"/>
            <w:vAlign w:val="center"/>
            <w:hideMark/>
          </w:tcPr>
          <w:p w14:paraId="1CF37E1F"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21</w:t>
            </w:r>
          </w:p>
        </w:tc>
        <w:tc>
          <w:tcPr>
            <w:tcW w:w="1666" w:type="pct"/>
            <w:tcBorders>
              <w:top w:val="nil"/>
              <w:left w:val="nil"/>
              <w:bottom w:val="single" w:sz="4" w:space="0" w:color="auto"/>
              <w:right w:val="single" w:sz="4" w:space="0" w:color="auto"/>
            </w:tcBorders>
            <w:shd w:val="clear" w:color="auto" w:fill="auto"/>
            <w:vAlign w:val="center"/>
            <w:hideMark/>
          </w:tcPr>
          <w:p w14:paraId="443A342B"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30</w:t>
            </w:r>
          </w:p>
        </w:tc>
      </w:tr>
      <w:tr w:rsidR="00863AD0" w:rsidRPr="001E7D82" w14:paraId="4F7A9FCF"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22D58500"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vMerge/>
            <w:tcBorders>
              <w:top w:val="nil"/>
              <w:left w:val="single" w:sz="4" w:space="0" w:color="auto"/>
              <w:bottom w:val="single" w:sz="4" w:space="0" w:color="000000"/>
              <w:right w:val="single" w:sz="4" w:space="0" w:color="auto"/>
            </w:tcBorders>
            <w:vAlign w:val="center"/>
            <w:hideMark/>
          </w:tcPr>
          <w:p w14:paraId="745C1748"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2051" w:type="pct"/>
            <w:tcBorders>
              <w:top w:val="nil"/>
              <w:left w:val="nil"/>
              <w:bottom w:val="single" w:sz="4" w:space="0" w:color="auto"/>
              <w:right w:val="single" w:sz="4" w:space="0" w:color="auto"/>
            </w:tcBorders>
            <w:shd w:val="clear" w:color="auto" w:fill="auto"/>
            <w:vAlign w:val="center"/>
            <w:hideMark/>
          </w:tcPr>
          <w:p w14:paraId="0BF60D89"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Omejeni postopek</w:t>
            </w:r>
          </w:p>
        </w:tc>
        <w:tc>
          <w:tcPr>
            <w:tcW w:w="353" w:type="pct"/>
            <w:tcBorders>
              <w:top w:val="nil"/>
              <w:left w:val="nil"/>
              <w:bottom w:val="single" w:sz="4" w:space="0" w:color="auto"/>
              <w:right w:val="single" w:sz="4" w:space="0" w:color="auto"/>
            </w:tcBorders>
            <w:shd w:val="clear" w:color="auto" w:fill="auto"/>
            <w:vAlign w:val="center"/>
            <w:hideMark/>
          </w:tcPr>
          <w:p w14:paraId="7971F54B"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c>
          <w:tcPr>
            <w:tcW w:w="1666" w:type="pct"/>
            <w:tcBorders>
              <w:top w:val="nil"/>
              <w:left w:val="nil"/>
              <w:bottom w:val="single" w:sz="4" w:space="0" w:color="auto"/>
              <w:right w:val="single" w:sz="4" w:space="0" w:color="auto"/>
            </w:tcBorders>
            <w:shd w:val="clear" w:color="auto" w:fill="auto"/>
            <w:vAlign w:val="center"/>
            <w:hideMark/>
          </w:tcPr>
          <w:p w14:paraId="23DC24C0"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r>
      <w:tr w:rsidR="00863AD0" w:rsidRPr="001E7D82" w14:paraId="54C8F929"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2E519BAC"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vMerge/>
            <w:tcBorders>
              <w:top w:val="nil"/>
              <w:left w:val="single" w:sz="4" w:space="0" w:color="auto"/>
              <w:bottom w:val="single" w:sz="4" w:space="0" w:color="000000"/>
              <w:right w:val="single" w:sz="4" w:space="0" w:color="auto"/>
            </w:tcBorders>
            <w:vAlign w:val="center"/>
            <w:hideMark/>
          </w:tcPr>
          <w:p w14:paraId="0BCDD64D"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2051" w:type="pct"/>
            <w:tcBorders>
              <w:top w:val="nil"/>
              <w:left w:val="nil"/>
              <w:bottom w:val="single" w:sz="4" w:space="0" w:color="auto"/>
              <w:right w:val="single" w:sz="4" w:space="0" w:color="auto"/>
            </w:tcBorders>
            <w:shd w:val="clear" w:color="auto" w:fill="auto"/>
            <w:vAlign w:val="center"/>
            <w:hideMark/>
          </w:tcPr>
          <w:p w14:paraId="72A30004" w14:textId="4A2BDF94"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Postopek naročila male vrednosti</w:t>
            </w:r>
          </w:p>
        </w:tc>
        <w:tc>
          <w:tcPr>
            <w:tcW w:w="353" w:type="pct"/>
            <w:tcBorders>
              <w:top w:val="nil"/>
              <w:left w:val="nil"/>
              <w:bottom w:val="single" w:sz="4" w:space="0" w:color="auto"/>
              <w:right w:val="single" w:sz="4" w:space="0" w:color="auto"/>
            </w:tcBorders>
            <w:shd w:val="clear" w:color="auto" w:fill="auto"/>
            <w:vAlign w:val="center"/>
            <w:hideMark/>
          </w:tcPr>
          <w:p w14:paraId="7244948F"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9</w:t>
            </w:r>
          </w:p>
        </w:tc>
        <w:tc>
          <w:tcPr>
            <w:tcW w:w="1666" w:type="pct"/>
            <w:tcBorders>
              <w:top w:val="nil"/>
              <w:left w:val="nil"/>
              <w:bottom w:val="single" w:sz="4" w:space="0" w:color="auto"/>
              <w:right w:val="single" w:sz="4" w:space="0" w:color="auto"/>
            </w:tcBorders>
            <w:shd w:val="clear" w:color="auto" w:fill="auto"/>
            <w:vAlign w:val="center"/>
            <w:hideMark/>
          </w:tcPr>
          <w:p w14:paraId="4C041C92"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24</w:t>
            </w:r>
          </w:p>
        </w:tc>
      </w:tr>
      <w:tr w:rsidR="00863AD0" w:rsidRPr="001E7D82" w14:paraId="3DB769C7"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3D0B77DB"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vMerge/>
            <w:tcBorders>
              <w:top w:val="nil"/>
              <w:left w:val="single" w:sz="4" w:space="0" w:color="auto"/>
              <w:bottom w:val="single" w:sz="4" w:space="0" w:color="000000"/>
              <w:right w:val="single" w:sz="4" w:space="0" w:color="auto"/>
            </w:tcBorders>
            <w:vAlign w:val="center"/>
            <w:hideMark/>
          </w:tcPr>
          <w:p w14:paraId="7C01DDDA"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2051" w:type="pct"/>
            <w:tcBorders>
              <w:top w:val="nil"/>
              <w:left w:val="nil"/>
              <w:bottom w:val="single" w:sz="4" w:space="0" w:color="auto"/>
              <w:right w:val="single" w:sz="4" w:space="0" w:color="auto"/>
            </w:tcBorders>
            <w:shd w:val="clear" w:color="auto" w:fill="auto"/>
            <w:vAlign w:val="center"/>
            <w:hideMark/>
          </w:tcPr>
          <w:p w14:paraId="6EA8F778"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Postopek s pogajanji brez predhodne objave</w:t>
            </w:r>
          </w:p>
        </w:tc>
        <w:tc>
          <w:tcPr>
            <w:tcW w:w="353" w:type="pct"/>
            <w:tcBorders>
              <w:top w:val="nil"/>
              <w:left w:val="nil"/>
              <w:bottom w:val="single" w:sz="4" w:space="0" w:color="auto"/>
              <w:right w:val="single" w:sz="4" w:space="0" w:color="auto"/>
            </w:tcBorders>
            <w:shd w:val="clear" w:color="auto" w:fill="auto"/>
            <w:vAlign w:val="center"/>
            <w:hideMark/>
          </w:tcPr>
          <w:p w14:paraId="632A996C"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c>
          <w:tcPr>
            <w:tcW w:w="1666" w:type="pct"/>
            <w:tcBorders>
              <w:top w:val="nil"/>
              <w:left w:val="nil"/>
              <w:bottom w:val="single" w:sz="4" w:space="0" w:color="auto"/>
              <w:right w:val="single" w:sz="4" w:space="0" w:color="auto"/>
            </w:tcBorders>
            <w:shd w:val="clear" w:color="auto" w:fill="auto"/>
            <w:vAlign w:val="center"/>
            <w:hideMark/>
          </w:tcPr>
          <w:p w14:paraId="744CB48D"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r>
      <w:tr w:rsidR="00863AD0" w:rsidRPr="001E7D82" w14:paraId="281EA528"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4061C824"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vMerge w:val="restart"/>
            <w:tcBorders>
              <w:top w:val="nil"/>
              <w:left w:val="single" w:sz="4" w:space="0" w:color="auto"/>
              <w:bottom w:val="single" w:sz="4" w:space="0" w:color="000000"/>
              <w:right w:val="single" w:sz="4" w:space="0" w:color="auto"/>
            </w:tcBorders>
            <w:shd w:val="clear" w:color="auto" w:fill="auto"/>
            <w:vAlign w:val="center"/>
            <w:hideMark/>
          </w:tcPr>
          <w:p w14:paraId="0247E68C"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Storitve</w:t>
            </w:r>
          </w:p>
        </w:tc>
        <w:tc>
          <w:tcPr>
            <w:tcW w:w="2051" w:type="pct"/>
            <w:tcBorders>
              <w:top w:val="nil"/>
              <w:left w:val="nil"/>
              <w:bottom w:val="single" w:sz="4" w:space="0" w:color="auto"/>
              <w:right w:val="single" w:sz="4" w:space="0" w:color="auto"/>
            </w:tcBorders>
            <w:shd w:val="clear" w:color="auto" w:fill="auto"/>
            <w:vAlign w:val="center"/>
            <w:hideMark/>
          </w:tcPr>
          <w:p w14:paraId="1B6437B1"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Odprti postopek</w:t>
            </w:r>
          </w:p>
        </w:tc>
        <w:tc>
          <w:tcPr>
            <w:tcW w:w="353" w:type="pct"/>
            <w:tcBorders>
              <w:top w:val="nil"/>
              <w:left w:val="nil"/>
              <w:bottom w:val="single" w:sz="4" w:space="0" w:color="auto"/>
              <w:right w:val="single" w:sz="4" w:space="0" w:color="auto"/>
            </w:tcBorders>
            <w:shd w:val="clear" w:color="auto" w:fill="auto"/>
            <w:vAlign w:val="center"/>
            <w:hideMark/>
          </w:tcPr>
          <w:p w14:paraId="6EB948EF"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7</w:t>
            </w:r>
          </w:p>
        </w:tc>
        <w:tc>
          <w:tcPr>
            <w:tcW w:w="1666" w:type="pct"/>
            <w:tcBorders>
              <w:top w:val="nil"/>
              <w:left w:val="nil"/>
              <w:bottom w:val="single" w:sz="4" w:space="0" w:color="auto"/>
              <w:right w:val="single" w:sz="4" w:space="0" w:color="auto"/>
            </w:tcBorders>
            <w:shd w:val="clear" w:color="auto" w:fill="auto"/>
            <w:vAlign w:val="center"/>
            <w:hideMark/>
          </w:tcPr>
          <w:p w14:paraId="552FDC2E"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7</w:t>
            </w:r>
          </w:p>
        </w:tc>
      </w:tr>
      <w:tr w:rsidR="00863AD0" w:rsidRPr="001E7D82" w14:paraId="5ACF34E5"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3AB2BE35"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vMerge/>
            <w:tcBorders>
              <w:top w:val="nil"/>
              <w:left w:val="single" w:sz="4" w:space="0" w:color="auto"/>
              <w:bottom w:val="single" w:sz="4" w:space="0" w:color="000000"/>
              <w:right w:val="single" w:sz="4" w:space="0" w:color="auto"/>
            </w:tcBorders>
            <w:vAlign w:val="center"/>
            <w:hideMark/>
          </w:tcPr>
          <w:p w14:paraId="7637C673"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2051" w:type="pct"/>
            <w:tcBorders>
              <w:top w:val="nil"/>
              <w:left w:val="nil"/>
              <w:bottom w:val="single" w:sz="4" w:space="0" w:color="auto"/>
              <w:right w:val="single" w:sz="4" w:space="0" w:color="auto"/>
            </w:tcBorders>
            <w:shd w:val="clear" w:color="auto" w:fill="auto"/>
            <w:vAlign w:val="center"/>
            <w:hideMark/>
          </w:tcPr>
          <w:p w14:paraId="54C529C1" w14:textId="388D96B3"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Postopek naročila male vrednosti</w:t>
            </w:r>
          </w:p>
        </w:tc>
        <w:tc>
          <w:tcPr>
            <w:tcW w:w="353" w:type="pct"/>
            <w:tcBorders>
              <w:top w:val="nil"/>
              <w:left w:val="nil"/>
              <w:bottom w:val="single" w:sz="4" w:space="0" w:color="auto"/>
              <w:right w:val="single" w:sz="4" w:space="0" w:color="auto"/>
            </w:tcBorders>
            <w:shd w:val="clear" w:color="auto" w:fill="auto"/>
            <w:vAlign w:val="center"/>
            <w:hideMark/>
          </w:tcPr>
          <w:p w14:paraId="2ADFB43F"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5</w:t>
            </w:r>
          </w:p>
        </w:tc>
        <w:tc>
          <w:tcPr>
            <w:tcW w:w="1666" w:type="pct"/>
            <w:tcBorders>
              <w:top w:val="nil"/>
              <w:left w:val="nil"/>
              <w:bottom w:val="single" w:sz="4" w:space="0" w:color="auto"/>
              <w:right w:val="single" w:sz="4" w:space="0" w:color="auto"/>
            </w:tcBorders>
            <w:shd w:val="clear" w:color="auto" w:fill="auto"/>
            <w:vAlign w:val="center"/>
            <w:hideMark/>
          </w:tcPr>
          <w:p w14:paraId="63129446"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7</w:t>
            </w:r>
          </w:p>
        </w:tc>
      </w:tr>
      <w:tr w:rsidR="00863AD0" w:rsidRPr="001E7D82" w14:paraId="64C676CE"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5A2D0B82"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vMerge/>
            <w:tcBorders>
              <w:top w:val="nil"/>
              <w:left w:val="single" w:sz="4" w:space="0" w:color="auto"/>
              <w:bottom w:val="single" w:sz="4" w:space="0" w:color="000000"/>
              <w:right w:val="single" w:sz="4" w:space="0" w:color="auto"/>
            </w:tcBorders>
            <w:vAlign w:val="center"/>
            <w:hideMark/>
          </w:tcPr>
          <w:p w14:paraId="0D1F5DA9"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2051" w:type="pct"/>
            <w:tcBorders>
              <w:top w:val="nil"/>
              <w:left w:val="nil"/>
              <w:bottom w:val="single" w:sz="4" w:space="0" w:color="auto"/>
              <w:right w:val="single" w:sz="4" w:space="0" w:color="auto"/>
            </w:tcBorders>
            <w:shd w:val="clear" w:color="auto" w:fill="auto"/>
            <w:vAlign w:val="center"/>
            <w:hideMark/>
          </w:tcPr>
          <w:p w14:paraId="0758D14C"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Postopek s pogajanji brez predhodne objave</w:t>
            </w:r>
          </w:p>
        </w:tc>
        <w:tc>
          <w:tcPr>
            <w:tcW w:w="353" w:type="pct"/>
            <w:tcBorders>
              <w:top w:val="nil"/>
              <w:left w:val="nil"/>
              <w:bottom w:val="single" w:sz="4" w:space="0" w:color="auto"/>
              <w:right w:val="single" w:sz="4" w:space="0" w:color="auto"/>
            </w:tcBorders>
            <w:shd w:val="clear" w:color="auto" w:fill="auto"/>
            <w:vAlign w:val="center"/>
            <w:hideMark/>
          </w:tcPr>
          <w:p w14:paraId="75620D39"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c>
          <w:tcPr>
            <w:tcW w:w="1666" w:type="pct"/>
            <w:tcBorders>
              <w:top w:val="nil"/>
              <w:left w:val="nil"/>
              <w:bottom w:val="single" w:sz="4" w:space="0" w:color="auto"/>
              <w:right w:val="single" w:sz="4" w:space="0" w:color="auto"/>
            </w:tcBorders>
            <w:shd w:val="clear" w:color="auto" w:fill="auto"/>
            <w:vAlign w:val="center"/>
            <w:hideMark/>
          </w:tcPr>
          <w:p w14:paraId="4DA241E3"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r>
      <w:tr w:rsidR="00863AD0" w:rsidRPr="001E7D82" w14:paraId="260D6999"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2CC8B8C5"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tcBorders>
              <w:top w:val="nil"/>
              <w:left w:val="nil"/>
              <w:bottom w:val="single" w:sz="4" w:space="0" w:color="auto"/>
              <w:right w:val="single" w:sz="4" w:space="0" w:color="auto"/>
            </w:tcBorders>
            <w:shd w:val="clear" w:color="auto" w:fill="auto"/>
            <w:vAlign w:val="center"/>
            <w:hideMark/>
          </w:tcPr>
          <w:p w14:paraId="2B6521AE"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Gradnje</w:t>
            </w:r>
          </w:p>
        </w:tc>
        <w:tc>
          <w:tcPr>
            <w:tcW w:w="2051" w:type="pct"/>
            <w:tcBorders>
              <w:top w:val="nil"/>
              <w:left w:val="nil"/>
              <w:bottom w:val="single" w:sz="4" w:space="0" w:color="auto"/>
              <w:right w:val="single" w:sz="4" w:space="0" w:color="auto"/>
            </w:tcBorders>
            <w:shd w:val="clear" w:color="auto" w:fill="auto"/>
            <w:vAlign w:val="center"/>
            <w:hideMark/>
          </w:tcPr>
          <w:p w14:paraId="61C9C7F5" w14:textId="232AEE5D"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Postopek naročila male vrednosti</w:t>
            </w:r>
          </w:p>
        </w:tc>
        <w:tc>
          <w:tcPr>
            <w:tcW w:w="353" w:type="pct"/>
            <w:tcBorders>
              <w:top w:val="nil"/>
              <w:left w:val="nil"/>
              <w:bottom w:val="single" w:sz="4" w:space="0" w:color="auto"/>
              <w:right w:val="single" w:sz="4" w:space="0" w:color="auto"/>
            </w:tcBorders>
            <w:shd w:val="clear" w:color="auto" w:fill="auto"/>
            <w:vAlign w:val="center"/>
            <w:hideMark/>
          </w:tcPr>
          <w:p w14:paraId="1508E13E"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2</w:t>
            </w:r>
          </w:p>
        </w:tc>
        <w:tc>
          <w:tcPr>
            <w:tcW w:w="1666" w:type="pct"/>
            <w:tcBorders>
              <w:top w:val="nil"/>
              <w:left w:val="nil"/>
              <w:bottom w:val="single" w:sz="4" w:space="0" w:color="auto"/>
              <w:right w:val="single" w:sz="4" w:space="0" w:color="auto"/>
            </w:tcBorders>
            <w:shd w:val="clear" w:color="auto" w:fill="auto"/>
            <w:vAlign w:val="center"/>
            <w:hideMark/>
          </w:tcPr>
          <w:p w14:paraId="10B5B5D5"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2</w:t>
            </w:r>
          </w:p>
        </w:tc>
      </w:tr>
      <w:tr w:rsidR="00863AD0" w:rsidRPr="001E7D82" w14:paraId="15A5F8A9" w14:textId="77777777" w:rsidTr="00863AD0">
        <w:trPr>
          <w:trHeight w:val="300"/>
        </w:trPr>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14:paraId="6B98D56A" w14:textId="2E4E7B3C"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Infrastrukturno</w:t>
            </w:r>
          </w:p>
        </w:tc>
        <w:tc>
          <w:tcPr>
            <w:tcW w:w="338" w:type="pct"/>
            <w:vMerge w:val="restart"/>
            <w:tcBorders>
              <w:top w:val="nil"/>
              <w:left w:val="single" w:sz="4" w:space="0" w:color="auto"/>
              <w:bottom w:val="single" w:sz="4" w:space="0" w:color="000000"/>
              <w:right w:val="single" w:sz="4" w:space="0" w:color="auto"/>
            </w:tcBorders>
            <w:shd w:val="clear" w:color="auto" w:fill="auto"/>
            <w:vAlign w:val="center"/>
            <w:hideMark/>
          </w:tcPr>
          <w:p w14:paraId="6140449C"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Storitve</w:t>
            </w:r>
          </w:p>
        </w:tc>
        <w:tc>
          <w:tcPr>
            <w:tcW w:w="2051" w:type="pct"/>
            <w:tcBorders>
              <w:top w:val="nil"/>
              <w:left w:val="nil"/>
              <w:bottom w:val="single" w:sz="4" w:space="0" w:color="auto"/>
              <w:right w:val="single" w:sz="4" w:space="0" w:color="auto"/>
            </w:tcBorders>
            <w:shd w:val="clear" w:color="auto" w:fill="auto"/>
            <w:vAlign w:val="center"/>
            <w:hideMark/>
          </w:tcPr>
          <w:p w14:paraId="7994ED4F"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Omejeni postopek</w:t>
            </w:r>
          </w:p>
        </w:tc>
        <w:tc>
          <w:tcPr>
            <w:tcW w:w="353" w:type="pct"/>
            <w:tcBorders>
              <w:top w:val="nil"/>
              <w:left w:val="nil"/>
              <w:bottom w:val="single" w:sz="4" w:space="0" w:color="auto"/>
              <w:right w:val="single" w:sz="4" w:space="0" w:color="auto"/>
            </w:tcBorders>
            <w:shd w:val="clear" w:color="auto" w:fill="auto"/>
            <w:vAlign w:val="center"/>
            <w:hideMark/>
          </w:tcPr>
          <w:p w14:paraId="6160EB54"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c>
          <w:tcPr>
            <w:tcW w:w="1666" w:type="pct"/>
            <w:tcBorders>
              <w:top w:val="nil"/>
              <w:left w:val="nil"/>
              <w:bottom w:val="single" w:sz="4" w:space="0" w:color="auto"/>
              <w:right w:val="single" w:sz="4" w:space="0" w:color="auto"/>
            </w:tcBorders>
            <w:shd w:val="clear" w:color="auto" w:fill="auto"/>
            <w:vAlign w:val="center"/>
            <w:hideMark/>
          </w:tcPr>
          <w:p w14:paraId="5E30EAA1"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2</w:t>
            </w:r>
          </w:p>
        </w:tc>
      </w:tr>
      <w:tr w:rsidR="00863AD0" w:rsidRPr="001E7D82" w14:paraId="1EB824E2"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1B411A87"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vMerge/>
            <w:tcBorders>
              <w:top w:val="nil"/>
              <w:left w:val="single" w:sz="4" w:space="0" w:color="auto"/>
              <w:bottom w:val="single" w:sz="4" w:space="0" w:color="000000"/>
              <w:right w:val="single" w:sz="4" w:space="0" w:color="auto"/>
            </w:tcBorders>
            <w:vAlign w:val="center"/>
            <w:hideMark/>
          </w:tcPr>
          <w:p w14:paraId="2BA36A30"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2051" w:type="pct"/>
            <w:tcBorders>
              <w:top w:val="nil"/>
              <w:left w:val="nil"/>
              <w:bottom w:val="single" w:sz="4" w:space="0" w:color="auto"/>
              <w:right w:val="single" w:sz="4" w:space="0" w:color="auto"/>
            </w:tcBorders>
            <w:shd w:val="clear" w:color="auto" w:fill="auto"/>
            <w:vAlign w:val="center"/>
            <w:hideMark/>
          </w:tcPr>
          <w:p w14:paraId="372D6F4E" w14:textId="6D4CB725"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Postopek naročila male vrednosti</w:t>
            </w:r>
          </w:p>
        </w:tc>
        <w:tc>
          <w:tcPr>
            <w:tcW w:w="353" w:type="pct"/>
            <w:tcBorders>
              <w:top w:val="nil"/>
              <w:left w:val="nil"/>
              <w:bottom w:val="single" w:sz="4" w:space="0" w:color="auto"/>
              <w:right w:val="single" w:sz="4" w:space="0" w:color="auto"/>
            </w:tcBorders>
            <w:shd w:val="clear" w:color="auto" w:fill="auto"/>
            <w:vAlign w:val="center"/>
            <w:hideMark/>
          </w:tcPr>
          <w:p w14:paraId="6513E231"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c>
          <w:tcPr>
            <w:tcW w:w="1666" w:type="pct"/>
            <w:tcBorders>
              <w:top w:val="nil"/>
              <w:left w:val="nil"/>
              <w:bottom w:val="single" w:sz="4" w:space="0" w:color="auto"/>
              <w:right w:val="single" w:sz="4" w:space="0" w:color="auto"/>
            </w:tcBorders>
            <w:shd w:val="clear" w:color="auto" w:fill="auto"/>
            <w:vAlign w:val="center"/>
            <w:hideMark/>
          </w:tcPr>
          <w:p w14:paraId="46D9705B"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r>
      <w:tr w:rsidR="00863AD0" w:rsidRPr="001E7D82" w14:paraId="7A1BFA2D" w14:textId="77777777" w:rsidTr="00863AD0">
        <w:trPr>
          <w:trHeight w:val="300"/>
        </w:trPr>
        <w:tc>
          <w:tcPr>
            <w:tcW w:w="592" w:type="pct"/>
            <w:vMerge/>
            <w:tcBorders>
              <w:top w:val="nil"/>
              <w:left w:val="single" w:sz="4" w:space="0" w:color="auto"/>
              <w:bottom w:val="single" w:sz="4" w:space="0" w:color="000000"/>
              <w:right w:val="single" w:sz="4" w:space="0" w:color="auto"/>
            </w:tcBorders>
            <w:vAlign w:val="center"/>
            <w:hideMark/>
          </w:tcPr>
          <w:p w14:paraId="196BB311" w14:textId="77777777" w:rsidR="00863AD0" w:rsidRPr="001E7D82" w:rsidRDefault="00863AD0" w:rsidP="00863AD0">
            <w:pPr>
              <w:spacing w:after="0" w:line="240" w:lineRule="auto"/>
              <w:rPr>
                <w:rFonts w:ascii="Arial" w:eastAsia="Times New Roman" w:hAnsi="Arial" w:cs="Arial"/>
                <w:color w:val="000000"/>
                <w:sz w:val="18"/>
                <w:szCs w:val="18"/>
                <w:lang w:eastAsia="sl-SI"/>
              </w:rPr>
            </w:pPr>
          </w:p>
        </w:tc>
        <w:tc>
          <w:tcPr>
            <w:tcW w:w="338" w:type="pct"/>
            <w:tcBorders>
              <w:top w:val="nil"/>
              <w:left w:val="nil"/>
              <w:bottom w:val="single" w:sz="4" w:space="0" w:color="auto"/>
              <w:right w:val="single" w:sz="4" w:space="0" w:color="auto"/>
            </w:tcBorders>
            <w:shd w:val="clear" w:color="auto" w:fill="auto"/>
            <w:vAlign w:val="center"/>
            <w:hideMark/>
          </w:tcPr>
          <w:p w14:paraId="53C15928" w14:textId="77777777" w:rsidR="00863AD0" w:rsidRPr="001E7D82" w:rsidRDefault="00863AD0"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Gradnje</w:t>
            </w:r>
          </w:p>
        </w:tc>
        <w:tc>
          <w:tcPr>
            <w:tcW w:w="2051" w:type="pct"/>
            <w:tcBorders>
              <w:top w:val="nil"/>
              <w:left w:val="nil"/>
              <w:bottom w:val="single" w:sz="4" w:space="0" w:color="auto"/>
              <w:right w:val="single" w:sz="4" w:space="0" w:color="auto"/>
            </w:tcBorders>
            <w:shd w:val="clear" w:color="auto" w:fill="auto"/>
            <w:vAlign w:val="center"/>
            <w:hideMark/>
          </w:tcPr>
          <w:p w14:paraId="3B864666" w14:textId="3625E2F8" w:rsidR="00863AD0" w:rsidRPr="001E7D82" w:rsidRDefault="00BE3EA6" w:rsidP="00863AD0">
            <w:pPr>
              <w:spacing w:after="0" w:line="240" w:lineRule="auto"/>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Postopek s pogajanji brez predhodne objave</w:t>
            </w:r>
          </w:p>
        </w:tc>
        <w:tc>
          <w:tcPr>
            <w:tcW w:w="353" w:type="pct"/>
            <w:tcBorders>
              <w:top w:val="nil"/>
              <w:left w:val="nil"/>
              <w:bottom w:val="single" w:sz="4" w:space="0" w:color="auto"/>
              <w:right w:val="single" w:sz="4" w:space="0" w:color="auto"/>
            </w:tcBorders>
            <w:shd w:val="clear" w:color="auto" w:fill="auto"/>
            <w:vAlign w:val="center"/>
            <w:hideMark/>
          </w:tcPr>
          <w:p w14:paraId="29477BFE"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c>
          <w:tcPr>
            <w:tcW w:w="1666" w:type="pct"/>
            <w:tcBorders>
              <w:top w:val="nil"/>
              <w:left w:val="nil"/>
              <w:bottom w:val="single" w:sz="4" w:space="0" w:color="auto"/>
              <w:right w:val="single" w:sz="4" w:space="0" w:color="auto"/>
            </w:tcBorders>
            <w:shd w:val="clear" w:color="auto" w:fill="auto"/>
            <w:vAlign w:val="center"/>
            <w:hideMark/>
          </w:tcPr>
          <w:p w14:paraId="366C76F2" w14:textId="77777777" w:rsidR="00863AD0" w:rsidRPr="001E7D82" w:rsidRDefault="00863AD0" w:rsidP="00863AD0">
            <w:pPr>
              <w:spacing w:after="0" w:line="240" w:lineRule="auto"/>
              <w:jc w:val="right"/>
              <w:rPr>
                <w:rFonts w:ascii="Arial" w:eastAsia="Times New Roman" w:hAnsi="Arial" w:cs="Arial"/>
                <w:color w:val="000000"/>
                <w:sz w:val="18"/>
                <w:szCs w:val="18"/>
                <w:lang w:eastAsia="sl-SI"/>
              </w:rPr>
            </w:pPr>
            <w:r w:rsidRPr="001E7D82">
              <w:rPr>
                <w:rFonts w:ascii="Arial" w:eastAsia="Times New Roman" w:hAnsi="Arial" w:cs="Arial"/>
                <w:color w:val="000000"/>
                <w:sz w:val="18"/>
                <w:szCs w:val="18"/>
                <w:lang w:eastAsia="sl-SI"/>
              </w:rPr>
              <w:t>1</w:t>
            </w:r>
          </w:p>
        </w:tc>
      </w:tr>
    </w:tbl>
    <w:p w14:paraId="64C87AB0" w14:textId="237D99F3" w:rsidR="00FD0DD3" w:rsidRPr="001E7D82" w:rsidRDefault="00FD0DD3" w:rsidP="004A613D">
      <w:pPr>
        <w:spacing w:after="0" w:line="240" w:lineRule="auto"/>
        <w:jc w:val="center"/>
        <w:rPr>
          <w:rFonts w:ascii="Arial" w:hAnsi="Arial" w:cs="Arial"/>
          <w:color w:val="000000" w:themeColor="text1"/>
          <w:sz w:val="18"/>
        </w:rPr>
      </w:pPr>
    </w:p>
    <w:p w14:paraId="5615E034" w14:textId="321E0942" w:rsidR="00B37E65" w:rsidRPr="001E7D82" w:rsidRDefault="00B37E65" w:rsidP="004A613D">
      <w:pPr>
        <w:spacing w:after="0" w:line="240" w:lineRule="auto"/>
        <w:jc w:val="center"/>
        <w:rPr>
          <w:rFonts w:ascii="Arial" w:hAnsi="Arial" w:cs="Arial"/>
          <w:color w:val="000000" w:themeColor="text1"/>
          <w:sz w:val="18"/>
        </w:rPr>
      </w:pPr>
      <w:r w:rsidRPr="001E7D82">
        <w:rPr>
          <w:rFonts w:ascii="Arial" w:hAnsi="Arial" w:cs="Arial"/>
          <w:color w:val="000000" w:themeColor="text1"/>
          <w:sz w:val="18"/>
        </w:rPr>
        <w:t>Vir: Statistični podatki o javni</w:t>
      </w:r>
      <w:r w:rsidR="00612CAA" w:rsidRPr="001E7D82">
        <w:rPr>
          <w:rFonts w:ascii="Arial" w:hAnsi="Arial" w:cs="Arial"/>
          <w:color w:val="000000" w:themeColor="text1"/>
          <w:sz w:val="18"/>
        </w:rPr>
        <w:t>h naročilih, oddanih v letu 20</w:t>
      </w:r>
      <w:r w:rsidR="00FD0DD3" w:rsidRPr="001E7D82">
        <w:rPr>
          <w:rFonts w:ascii="Arial" w:hAnsi="Arial" w:cs="Arial"/>
          <w:color w:val="000000" w:themeColor="text1"/>
          <w:sz w:val="18"/>
        </w:rPr>
        <w:t>2</w:t>
      </w:r>
      <w:r w:rsidR="00167586" w:rsidRPr="001E7D82">
        <w:rPr>
          <w:rFonts w:ascii="Arial" w:hAnsi="Arial" w:cs="Arial"/>
          <w:color w:val="000000" w:themeColor="text1"/>
          <w:sz w:val="18"/>
        </w:rPr>
        <w:t>3</w:t>
      </w:r>
      <w:r w:rsidR="00B0329F" w:rsidRPr="001E7D82">
        <w:rPr>
          <w:rFonts w:ascii="Arial" w:hAnsi="Arial" w:cs="Arial"/>
          <w:color w:val="000000" w:themeColor="text1"/>
          <w:sz w:val="18"/>
        </w:rPr>
        <w:t>.</w:t>
      </w:r>
    </w:p>
    <w:p w14:paraId="5EEDB018" w14:textId="44864B39" w:rsidR="00B905EB" w:rsidRPr="001E7D82" w:rsidRDefault="00B905EB" w:rsidP="00122C38">
      <w:pPr>
        <w:pStyle w:val="Naslov2"/>
        <w:rPr>
          <w:szCs w:val="20"/>
        </w:rPr>
      </w:pPr>
      <w:bookmarkStart w:id="42" w:name="_Toc175563871"/>
      <w:r w:rsidRPr="001E7D82">
        <w:lastRenderedPageBreak/>
        <w:t>2.</w:t>
      </w:r>
      <w:r w:rsidR="00FA2740" w:rsidRPr="001E7D82">
        <w:t>7</w:t>
      </w:r>
      <w:r w:rsidRPr="001E7D82">
        <w:t xml:space="preserve"> Največji naročniki, najuspešnejši ponudniki in največja naročila</w:t>
      </w:r>
      <w:bookmarkEnd w:id="42"/>
    </w:p>
    <w:p w14:paraId="0032DAC2" w14:textId="01ECD0C1" w:rsidR="00CB617D" w:rsidRPr="001E7D82" w:rsidRDefault="00CB617D" w:rsidP="004611B6">
      <w:pPr>
        <w:pStyle w:val="ZADEVA"/>
        <w:ind w:left="0" w:firstLine="0"/>
        <w:jc w:val="both"/>
        <w:rPr>
          <w:rFonts w:cs="Arial"/>
          <w:b w:val="0"/>
          <w:color w:val="FF0000"/>
          <w:szCs w:val="20"/>
          <w:lang w:val="sl-SI"/>
        </w:rPr>
      </w:pPr>
    </w:p>
    <w:p w14:paraId="34CA974B" w14:textId="6B6F517A" w:rsidR="00A25CC2" w:rsidRPr="001E7D82" w:rsidRDefault="00A25CC2" w:rsidP="00122C38">
      <w:pPr>
        <w:pStyle w:val="Naslov3"/>
      </w:pPr>
      <w:bookmarkStart w:id="43" w:name="_Toc175563872"/>
      <w:r w:rsidRPr="001E7D82">
        <w:t>2.</w:t>
      </w:r>
      <w:r w:rsidR="00FA2740" w:rsidRPr="001E7D82">
        <w:t>7</w:t>
      </w:r>
      <w:r w:rsidRPr="001E7D82">
        <w:t>.1 Naročniki z največjo vrednostjo oddanih naročil v letu 20</w:t>
      </w:r>
      <w:r w:rsidR="004D43C6" w:rsidRPr="001E7D82">
        <w:t>2</w:t>
      </w:r>
      <w:r w:rsidR="00F54AE6" w:rsidRPr="001E7D82">
        <w:t>3</w:t>
      </w:r>
      <w:bookmarkEnd w:id="43"/>
    </w:p>
    <w:p w14:paraId="5B1AF42F" w14:textId="77777777" w:rsidR="00B905EB" w:rsidRPr="001E7D82" w:rsidRDefault="00B905EB" w:rsidP="00854405">
      <w:pPr>
        <w:pStyle w:val="ZADEVA"/>
        <w:jc w:val="both"/>
        <w:rPr>
          <w:rFonts w:cs="Arial"/>
          <w:b w:val="0"/>
          <w:color w:val="FF0000"/>
          <w:szCs w:val="20"/>
          <w:lang w:val="sl-SI"/>
        </w:rPr>
      </w:pPr>
    </w:p>
    <w:p w14:paraId="671FCD70" w14:textId="1B763EAF" w:rsidR="00F54AE6" w:rsidRPr="001E7D82" w:rsidRDefault="00711BE8" w:rsidP="00F54AE6">
      <w:pPr>
        <w:spacing w:line="360" w:lineRule="auto"/>
        <w:jc w:val="both"/>
        <w:rPr>
          <w:rFonts w:ascii="Arial" w:hAnsi="Arial" w:cs="Arial"/>
          <w:color w:val="000000" w:themeColor="text1"/>
          <w:sz w:val="20"/>
          <w:szCs w:val="20"/>
        </w:rPr>
      </w:pPr>
      <w:r w:rsidRPr="001E7D82">
        <w:rPr>
          <w:rFonts w:ascii="Arial" w:hAnsi="Arial" w:cs="Arial"/>
          <w:color w:val="000000" w:themeColor="text1"/>
          <w:sz w:val="20"/>
          <w:szCs w:val="20"/>
        </w:rPr>
        <w:t>Leta</w:t>
      </w:r>
      <w:r w:rsidR="002A5FF5" w:rsidRPr="001E7D82">
        <w:rPr>
          <w:rFonts w:ascii="Arial" w:hAnsi="Arial" w:cs="Arial"/>
          <w:color w:val="000000" w:themeColor="text1"/>
          <w:sz w:val="20"/>
          <w:szCs w:val="20"/>
        </w:rPr>
        <w:t xml:space="preserve"> 20</w:t>
      </w:r>
      <w:r w:rsidR="004D43C6" w:rsidRPr="001E7D82">
        <w:rPr>
          <w:rFonts w:ascii="Arial" w:hAnsi="Arial" w:cs="Arial"/>
          <w:color w:val="000000" w:themeColor="text1"/>
          <w:sz w:val="20"/>
          <w:szCs w:val="20"/>
        </w:rPr>
        <w:t>2</w:t>
      </w:r>
      <w:r w:rsidR="00F54AE6" w:rsidRPr="001E7D82">
        <w:rPr>
          <w:rFonts w:ascii="Arial" w:hAnsi="Arial" w:cs="Arial"/>
          <w:color w:val="000000" w:themeColor="text1"/>
          <w:sz w:val="20"/>
          <w:szCs w:val="20"/>
        </w:rPr>
        <w:t>3</w:t>
      </w:r>
      <w:r w:rsidR="00F83DD4" w:rsidRPr="001E7D82">
        <w:rPr>
          <w:rFonts w:ascii="Arial" w:hAnsi="Arial" w:cs="Arial"/>
          <w:color w:val="000000" w:themeColor="text1"/>
          <w:sz w:val="20"/>
          <w:szCs w:val="20"/>
        </w:rPr>
        <w:t xml:space="preserve"> so največ sredstev za blago, storitve oziroma gradnje namenili </w:t>
      </w:r>
      <w:r w:rsidR="00F54AE6" w:rsidRPr="001E7D82">
        <w:rPr>
          <w:rFonts w:ascii="Arial" w:hAnsi="Arial" w:cs="Arial"/>
          <w:color w:val="000000" w:themeColor="text1"/>
          <w:sz w:val="20"/>
          <w:szCs w:val="20"/>
        </w:rPr>
        <w:t>Ministrstvo za okolje, podnebje in energijo</w:t>
      </w:r>
      <w:r w:rsidR="003D5E36">
        <w:rPr>
          <w:rFonts w:ascii="Arial" w:hAnsi="Arial" w:cs="Arial"/>
          <w:color w:val="000000" w:themeColor="text1"/>
          <w:sz w:val="20"/>
          <w:szCs w:val="20"/>
        </w:rPr>
        <w:t xml:space="preserve"> Republike Slovenije</w:t>
      </w:r>
      <w:r w:rsidR="00F54AE6" w:rsidRPr="001E7D82">
        <w:rPr>
          <w:rFonts w:ascii="Arial" w:hAnsi="Arial" w:cs="Arial"/>
          <w:color w:val="000000" w:themeColor="text1"/>
          <w:sz w:val="20"/>
          <w:szCs w:val="20"/>
        </w:rPr>
        <w:t>, Direkcija Republike Slovenije za infrastrukturo</w:t>
      </w:r>
      <w:r w:rsidR="0063256E" w:rsidRPr="001E7D82">
        <w:rPr>
          <w:rFonts w:ascii="Arial" w:hAnsi="Arial" w:cs="Arial"/>
          <w:color w:val="000000" w:themeColor="text1"/>
          <w:sz w:val="20"/>
          <w:szCs w:val="20"/>
        </w:rPr>
        <w:t xml:space="preserve"> in Ministrstvo za obrambo</w:t>
      </w:r>
      <w:r w:rsidR="003D5E36">
        <w:rPr>
          <w:rFonts w:ascii="Arial" w:hAnsi="Arial" w:cs="Arial"/>
          <w:color w:val="000000" w:themeColor="text1"/>
          <w:sz w:val="20"/>
          <w:szCs w:val="20"/>
        </w:rPr>
        <w:t xml:space="preserve"> Republike Slovenije</w:t>
      </w:r>
      <w:r w:rsidR="00F54AE6" w:rsidRPr="001E7D82">
        <w:rPr>
          <w:rFonts w:ascii="Arial" w:hAnsi="Arial" w:cs="Arial"/>
          <w:color w:val="000000" w:themeColor="text1"/>
          <w:sz w:val="20"/>
          <w:szCs w:val="20"/>
        </w:rPr>
        <w:t>.</w:t>
      </w:r>
    </w:p>
    <w:p w14:paraId="70125AFD" w14:textId="0012AA66" w:rsidR="00F83DD4" w:rsidRPr="001E7D82" w:rsidRDefault="00F83DD4" w:rsidP="00F54AE6">
      <w:pPr>
        <w:spacing w:line="360" w:lineRule="auto"/>
        <w:jc w:val="both"/>
        <w:rPr>
          <w:rFonts w:ascii="Arial" w:hAnsi="Arial" w:cs="Arial"/>
          <w:color w:val="000000" w:themeColor="text1"/>
          <w:sz w:val="20"/>
        </w:rPr>
      </w:pPr>
      <w:r w:rsidRPr="001E7D82">
        <w:rPr>
          <w:rFonts w:ascii="Arial" w:hAnsi="Arial" w:cs="Arial"/>
          <w:color w:val="000000" w:themeColor="text1"/>
          <w:sz w:val="20"/>
        </w:rPr>
        <w:t xml:space="preserve">Preglednica </w:t>
      </w:r>
      <w:r w:rsidR="00EA747F" w:rsidRPr="001E7D82">
        <w:rPr>
          <w:rFonts w:ascii="Arial" w:hAnsi="Arial" w:cs="Arial"/>
          <w:color w:val="000000" w:themeColor="text1"/>
          <w:sz w:val="20"/>
        </w:rPr>
        <w:t>40</w:t>
      </w:r>
      <w:r w:rsidRPr="001E7D82">
        <w:rPr>
          <w:rFonts w:ascii="Arial" w:hAnsi="Arial" w:cs="Arial"/>
          <w:color w:val="000000" w:themeColor="text1"/>
          <w:sz w:val="20"/>
        </w:rPr>
        <w:t xml:space="preserve">: </w:t>
      </w:r>
      <w:r w:rsidR="00252272" w:rsidRPr="001E7D82">
        <w:rPr>
          <w:rFonts w:ascii="Arial" w:hAnsi="Arial" w:cs="Arial"/>
          <w:color w:val="000000" w:themeColor="text1"/>
          <w:sz w:val="20"/>
        </w:rPr>
        <w:t>Petnajst</w:t>
      </w:r>
      <w:r w:rsidRPr="001E7D82">
        <w:rPr>
          <w:rFonts w:ascii="Arial" w:hAnsi="Arial" w:cs="Arial"/>
          <w:color w:val="000000" w:themeColor="text1"/>
          <w:sz w:val="20"/>
        </w:rPr>
        <w:t xml:space="preserve"> naročnikov z največjo vredno</w:t>
      </w:r>
      <w:r w:rsidR="009C708C" w:rsidRPr="001E7D82">
        <w:rPr>
          <w:rFonts w:ascii="Arial" w:hAnsi="Arial" w:cs="Arial"/>
          <w:color w:val="000000" w:themeColor="text1"/>
          <w:sz w:val="20"/>
        </w:rPr>
        <w:t>stjo oddanih naročil v letu 20</w:t>
      </w:r>
      <w:r w:rsidR="0058576E" w:rsidRPr="001E7D82">
        <w:rPr>
          <w:rFonts w:ascii="Arial" w:hAnsi="Arial" w:cs="Arial"/>
          <w:color w:val="000000" w:themeColor="text1"/>
          <w:sz w:val="20"/>
        </w:rPr>
        <w:t>2</w:t>
      </w:r>
      <w:r w:rsidR="00F54AE6" w:rsidRPr="001E7D82">
        <w:rPr>
          <w:rFonts w:ascii="Arial" w:hAnsi="Arial" w:cs="Arial"/>
          <w:color w:val="000000" w:themeColor="text1"/>
          <w:sz w:val="20"/>
        </w:rPr>
        <w:t>3</w:t>
      </w:r>
    </w:p>
    <w:tbl>
      <w:tblPr>
        <w:tblW w:w="5000" w:type="pct"/>
        <w:tblCellMar>
          <w:left w:w="70" w:type="dxa"/>
          <w:right w:w="70" w:type="dxa"/>
        </w:tblCellMar>
        <w:tblLook w:val="04A0" w:firstRow="1" w:lastRow="0" w:firstColumn="1" w:lastColumn="0" w:noHBand="0" w:noVBand="1"/>
      </w:tblPr>
      <w:tblGrid>
        <w:gridCol w:w="549"/>
        <w:gridCol w:w="7183"/>
        <w:gridCol w:w="1442"/>
      </w:tblGrid>
      <w:tr w:rsidR="0063256E" w:rsidRPr="001E7D82" w14:paraId="3C51CBDF" w14:textId="77777777" w:rsidTr="00A801CE">
        <w:trPr>
          <w:trHeight w:val="300"/>
        </w:trPr>
        <w:tc>
          <w:tcPr>
            <w:tcW w:w="29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E94EA73" w14:textId="77777777" w:rsidR="00A801CE" w:rsidRPr="001E7D82" w:rsidRDefault="00A801CE" w:rsidP="007F5593">
            <w:pPr>
              <w:spacing w:after="0" w:line="240" w:lineRule="auto"/>
              <w:jc w:val="center"/>
              <w:rPr>
                <w:rFonts w:ascii="Arial" w:eastAsia="Times New Roman" w:hAnsi="Arial" w:cs="Arial"/>
                <w:color w:val="000000" w:themeColor="text1"/>
                <w:sz w:val="18"/>
                <w:szCs w:val="18"/>
                <w:lang w:eastAsia="sl-SI"/>
              </w:rPr>
            </w:pPr>
            <w:proofErr w:type="spellStart"/>
            <w:r w:rsidRPr="001E7D82">
              <w:rPr>
                <w:rFonts w:ascii="Arial" w:eastAsia="Times New Roman" w:hAnsi="Arial" w:cs="Arial"/>
                <w:color w:val="000000" w:themeColor="text1"/>
                <w:sz w:val="18"/>
                <w:szCs w:val="18"/>
                <w:lang w:eastAsia="sl-SI"/>
              </w:rPr>
              <w:t>Zap</w:t>
            </w:r>
            <w:proofErr w:type="spellEnd"/>
            <w:r w:rsidRPr="001E7D82">
              <w:rPr>
                <w:rFonts w:ascii="Arial" w:eastAsia="Times New Roman" w:hAnsi="Arial" w:cs="Arial"/>
                <w:color w:val="000000" w:themeColor="text1"/>
                <w:sz w:val="18"/>
                <w:szCs w:val="18"/>
                <w:lang w:eastAsia="sl-SI"/>
              </w:rPr>
              <w:t xml:space="preserve">. št. </w:t>
            </w:r>
          </w:p>
        </w:tc>
        <w:tc>
          <w:tcPr>
            <w:tcW w:w="3915" w:type="pct"/>
            <w:tcBorders>
              <w:top w:val="single" w:sz="4" w:space="0" w:color="auto"/>
              <w:left w:val="nil"/>
              <w:bottom w:val="single" w:sz="4" w:space="0" w:color="auto"/>
              <w:right w:val="single" w:sz="4" w:space="0" w:color="auto"/>
            </w:tcBorders>
            <w:shd w:val="clear" w:color="000000" w:fill="F2F2F2"/>
            <w:vAlign w:val="center"/>
            <w:hideMark/>
          </w:tcPr>
          <w:p w14:paraId="11F31E83" w14:textId="77777777" w:rsidR="00A801CE" w:rsidRPr="001E7D82" w:rsidRDefault="00A801CE" w:rsidP="007F5593">
            <w:pPr>
              <w:spacing w:after="0" w:line="240" w:lineRule="auto"/>
              <w:jc w:val="center"/>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Naročnik</w:t>
            </w:r>
          </w:p>
        </w:tc>
        <w:tc>
          <w:tcPr>
            <w:tcW w:w="786" w:type="pct"/>
            <w:tcBorders>
              <w:top w:val="single" w:sz="4" w:space="0" w:color="auto"/>
              <w:left w:val="nil"/>
              <w:bottom w:val="single" w:sz="4" w:space="0" w:color="auto"/>
              <w:right w:val="single" w:sz="4" w:space="0" w:color="auto"/>
            </w:tcBorders>
            <w:shd w:val="clear" w:color="000000" w:fill="F2F2F2"/>
            <w:vAlign w:val="center"/>
            <w:hideMark/>
          </w:tcPr>
          <w:p w14:paraId="36E64E2C" w14:textId="094FF0A1" w:rsidR="00A801CE" w:rsidRPr="001E7D82" w:rsidRDefault="00A801CE" w:rsidP="007F5593">
            <w:pPr>
              <w:spacing w:after="0" w:line="240" w:lineRule="auto"/>
              <w:jc w:val="center"/>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Pogodbena vrednost</w:t>
            </w:r>
            <w:r w:rsidR="00986395" w:rsidRPr="001E7D82">
              <w:rPr>
                <w:rFonts w:ascii="Arial" w:eastAsia="Times New Roman" w:hAnsi="Arial" w:cs="Arial"/>
                <w:color w:val="000000" w:themeColor="text1"/>
                <w:sz w:val="18"/>
                <w:szCs w:val="18"/>
                <w:lang w:eastAsia="sl-SI"/>
              </w:rPr>
              <w:t xml:space="preserve"> (v EUR)</w:t>
            </w:r>
          </w:p>
        </w:tc>
      </w:tr>
      <w:tr w:rsidR="0063256E" w:rsidRPr="001E7D82" w14:paraId="584BC4E2"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906F458"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w:t>
            </w:r>
          </w:p>
        </w:tc>
        <w:tc>
          <w:tcPr>
            <w:tcW w:w="3915" w:type="pct"/>
            <w:tcBorders>
              <w:top w:val="nil"/>
              <w:left w:val="nil"/>
              <w:bottom w:val="single" w:sz="4" w:space="0" w:color="auto"/>
              <w:right w:val="single" w:sz="4" w:space="0" w:color="auto"/>
            </w:tcBorders>
            <w:shd w:val="clear" w:color="auto" w:fill="auto"/>
            <w:vAlign w:val="center"/>
            <w:hideMark/>
          </w:tcPr>
          <w:p w14:paraId="0AD88EA4" w14:textId="23BD4DD2"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MINISTRSTVO ZA OKOLJE, PODNEBJE IN ENERGIJO</w:t>
            </w:r>
          </w:p>
        </w:tc>
        <w:tc>
          <w:tcPr>
            <w:tcW w:w="786" w:type="pct"/>
            <w:tcBorders>
              <w:top w:val="nil"/>
              <w:left w:val="nil"/>
              <w:bottom w:val="single" w:sz="4" w:space="0" w:color="auto"/>
              <w:right w:val="single" w:sz="4" w:space="0" w:color="auto"/>
            </w:tcBorders>
            <w:shd w:val="clear" w:color="auto" w:fill="auto"/>
            <w:vAlign w:val="center"/>
            <w:hideMark/>
          </w:tcPr>
          <w:p w14:paraId="30E4E5AC" w14:textId="51C0EEF2"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645.330.192</w:t>
            </w:r>
          </w:p>
        </w:tc>
      </w:tr>
      <w:tr w:rsidR="0063256E" w:rsidRPr="001E7D82" w14:paraId="0709D128"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DCD044A"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2</w:t>
            </w:r>
          </w:p>
        </w:tc>
        <w:tc>
          <w:tcPr>
            <w:tcW w:w="3915" w:type="pct"/>
            <w:tcBorders>
              <w:top w:val="nil"/>
              <w:left w:val="nil"/>
              <w:bottom w:val="single" w:sz="4" w:space="0" w:color="auto"/>
              <w:right w:val="single" w:sz="4" w:space="0" w:color="auto"/>
            </w:tcBorders>
            <w:shd w:val="clear" w:color="auto" w:fill="auto"/>
            <w:vAlign w:val="center"/>
            <w:hideMark/>
          </w:tcPr>
          <w:p w14:paraId="6D2A8430" w14:textId="799CB7FB"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MINISTRSTVO ZA INFRASTRUKTURO, DIREKCIJA REPUBLIKE SLOVENIJE ZA INFRASTRUKTURO</w:t>
            </w:r>
          </w:p>
        </w:tc>
        <w:tc>
          <w:tcPr>
            <w:tcW w:w="786" w:type="pct"/>
            <w:tcBorders>
              <w:top w:val="nil"/>
              <w:left w:val="nil"/>
              <w:bottom w:val="single" w:sz="4" w:space="0" w:color="auto"/>
              <w:right w:val="single" w:sz="4" w:space="0" w:color="auto"/>
            </w:tcBorders>
            <w:shd w:val="clear" w:color="auto" w:fill="auto"/>
            <w:vAlign w:val="center"/>
            <w:hideMark/>
          </w:tcPr>
          <w:p w14:paraId="131E28A4" w14:textId="343ECA64"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312.982.121</w:t>
            </w:r>
          </w:p>
        </w:tc>
      </w:tr>
      <w:tr w:rsidR="0063256E" w:rsidRPr="001E7D82" w14:paraId="43FC8976"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EA99A24"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3</w:t>
            </w:r>
          </w:p>
        </w:tc>
        <w:tc>
          <w:tcPr>
            <w:tcW w:w="3915" w:type="pct"/>
            <w:tcBorders>
              <w:top w:val="nil"/>
              <w:left w:val="nil"/>
              <w:bottom w:val="single" w:sz="4" w:space="0" w:color="auto"/>
              <w:right w:val="single" w:sz="4" w:space="0" w:color="auto"/>
            </w:tcBorders>
            <w:shd w:val="clear" w:color="auto" w:fill="auto"/>
            <w:vAlign w:val="center"/>
            <w:hideMark/>
          </w:tcPr>
          <w:p w14:paraId="6B8B09CD" w14:textId="2A321483"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MINISTRSTVO ZA OBRAMBO</w:t>
            </w:r>
          </w:p>
        </w:tc>
        <w:tc>
          <w:tcPr>
            <w:tcW w:w="786" w:type="pct"/>
            <w:tcBorders>
              <w:top w:val="nil"/>
              <w:left w:val="nil"/>
              <w:bottom w:val="single" w:sz="4" w:space="0" w:color="auto"/>
              <w:right w:val="single" w:sz="4" w:space="0" w:color="auto"/>
            </w:tcBorders>
            <w:shd w:val="clear" w:color="auto" w:fill="auto"/>
            <w:vAlign w:val="center"/>
            <w:hideMark/>
          </w:tcPr>
          <w:p w14:paraId="5003FC8D" w14:textId="4DE2D4E6"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274.830.155</w:t>
            </w:r>
          </w:p>
        </w:tc>
      </w:tr>
      <w:tr w:rsidR="0063256E" w:rsidRPr="001E7D82" w14:paraId="79F0EE91"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A323E58"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4</w:t>
            </w:r>
          </w:p>
        </w:tc>
        <w:tc>
          <w:tcPr>
            <w:tcW w:w="3915" w:type="pct"/>
            <w:tcBorders>
              <w:top w:val="nil"/>
              <w:left w:val="nil"/>
              <w:bottom w:val="single" w:sz="4" w:space="0" w:color="auto"/>
              <w:right w:val="single" w:sz="4" w:space="0" w:color="auto"/>
            </w:tcBorders>
            <w:shd w:val="clear" w:color="auto" w:fill="auto"/>
            <w:vAlign w:val="center"/>
            <w:hideMark/>
          </w:tcPr>
          <w:p w14:paraId="048EA4F1" w14:textId="4DFF920F"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UNIVERZITETNI KLINIČNI CENTER MARIBOR</w:t>
            </w:r>
          </w:p>
        </w:tc>
        <w:tc>
          <w:tcPr>
            <w:tcW w:w="786" w:type="pct"/>
            <w:tcBorders>
              <w:top w:val="nil"/>
              <w:left w:val="nil"/>
              <w:bottom w:val="single" w:sz="4" w:space="0" w:color="auto"/>
              <w:right w:val="single" w:sz="4" w:space="0" w:color="auto"/>
            </w:tcBorders>
            <w:shd w:val="clear" w:color="auto" w:fill="auto"/>
            <w:vAlign w:val="center"/>
            <w:hideMark/>
          </w:tcPr>
          <w:p w14:paraId="6F5A6566" w14:textId="05CC55EF"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221.660.134</w:t>
            </w:r>
          </w:p>
        </w:tc>
      </w:tr>
      <w:tr w:rsidR="0063256E" w:rsidRPr="001E7D82" w14:paraId="2390A91D"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AFD1BE6"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5</w:t>
            </w:r>
          </w:p>
        </w:tc>
        <w:tc>
          <w:tcPr>
            <w:tcW w:w="3915" w:type="pct"/>
            <w:tcBorders>
              <w:top w:val="nil"/>
              <w:left w:val="nil"/>
              <w:bottom w:val="single" w:sz="4" w:space="0" w:color="auto"/>
              <w:right w:val="single" w:sz="4" w:space="0" w:color="auto"/>
            </w:tcBorders>
            <w:shd w:val="clear" w:color="auto" w:fill="auto"/>
            <w:vAlign w:val="center"/>
            <w:hideMark/>
          </w:tcPr>
          <w:p w14:paraId="4B241DB2" w14:textId="000A88F9"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2TDK, DRUŽBA ZA RAZVOJ PROJEKTA, D.O.O.</w:t>
            </w:r>
          </w:p>
        </w:tc>
        <w:tc>
          <w:tcPr>
            <w:tcW w:w="786" w:type="pct"/>
            <w:tcBorders>
              <w:top w:val="nil"/>
              <w:left w:val="nil"/>
              <w:bottom w:val="single" w:sz="4" w:space="0" w:color="auto"/>
              <w:right w:val="single" w:sz="4" w:space="0" w:color="auto"/>
            </w:tcBorders>
            <w:shd w:val="clear" w:color="auto" w:fill="auto"/>
            <w:vAlign w:val="center"/>
            <w:hideMark/>
          </w:tcPr>
          <w:p w14:paraId="43941905" w14:textId="2CAEC1B3"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216.221.022</w:t>
            </w:r>
          </w:p>
        </w:tc>
      </w:tr>
      <w:tr w:rsidR="0063256E" w:rsidRPr="001E7D82" w14:paraId="5E3D1C6B"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FB47E45"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6</w:t>
            </w:r>
          </w:p>
        </w:tc>
        <w:tc>
          <w:tcPr>
            <w:tcW w:w="3915" w:type="pct"/>
            <w:tcBorders>
              <w:top w:val="nil"/>
              <w:left w:val="nil"/>
              <w:bottom w:val="single" w:sz="4" w:space="0" w:color="auto"/>
              <w:right w:val="single" w:sz="4" w:space="0" w:color="auto"/>
            </w:tcBorders>
            <w:shd w:val="clear" w:color="auto" w:fill="auto"/>
            <w:vAlign w:val="center"/>
            <w:hideMark/>
          </w:tcPr>
          <w:p w14:paraId="4A5D1ADF" w14:textId="7559353D"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DRUŽBA ZA AVTOCESTE V REPUBLIKI SLOVENIJI D.D.</w:t>
            </w:r>
          </w:p>
        </w:tc>
        <w:tc>
          <w:tcPr>
            <w:tcW w:w="786" w:type="pct"/>
            <w:tcBorders>
              <w:top w:val="nil"/>
              <w:left w:val="nil"/>
              <w:bottom w:val="single" w:sz="4" w:space="0" w:color="auto"/>
              <w:right w:val="single" w:sz="4" w:space="0" w:color="auto"/>
            </w:tcBorders>
            <w:shd w:val="clear" w:color="auto" w:fill="auto"/>
            <w:vAlign w:val="center"/>
            <w:hideMark/>
          </w:tcPr>
          <w:p w14:paraId="70DCB5F3" w14:textId="45505677"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196.464.012</w:t>
            </w:r>
          </w:p>
        </w:tc>
      </w:tr>
      <w:tr w:rsidR="0063256E" w:rsidRPr="001E7D82" w14:paraId="33F2D25B"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978197F"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7</w:t>
            </w:r>
          </w:p>
        </w:tc>
        <w:tc>
          <w:tcPr>
            <w:tcW w:w="3915" w:type="pct"/>
            <w:tcBorders>
              <w:top w:val="nil"/>
              <w:left w:val="nil"/>
              <w:bottom w:val="single" w:sz="4" w:space="0" w:color="auto"/>
              <w:right w:val="single" w:sz="4" w:space="0" w:color="auto"/>
            </w:tcBorders>
            <w:shd w:val="clear" w:color="auto" w:fill="auto"/>
            <w:vAlign w:val="center"/>
            <w:hideMark/>
          </w:tcPr>
          <w:p w14:paraId="3F771B2B" w14:textId="6A980800"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SKUPNOST OBČIN SLOVENIJE</w:t>
            </w:r>
          </w:p>
        </w:tc>
        <w:tc>
          <w:tcPr>
            <w:tcW w:w="786" w:type="pct"/>
            <w:tcBorders>
              <w:top w:val="nil"/>
              <w:left w:val="nil"/>
              <w:bottom w:val="single" w:sz="4" w:space="0" w:color="auto"/>
              <w:right w:val="single" w:sz="4" w:space="0" w:color="auto"/>
            </w:tcBorders>
            <w:shd w:val="clear" w:color="auto" w:fill="auto"/>
            <w:vAlign w:val="center"/>
            <w:hideMark/>
          </w:tcPr>
          <w:p w14:paraId="575A0807" w14:textId="40764E35"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186.784.084</w:t>
            </w:r>
          </w:p>
        </w:tc>
      </w:tr>
      <w:tr w:rsidR="0063256E" w:rsidRPr="001E7D82" w14:paraId="4724D143"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57CB06C"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8</w:t>
            </w:r>
          </w:p>
        </w:tc>
        <w:tc>
          <w:tcPr>
            <w:tcW w:w="3915" w:type="pct"/>
            <w:tcBorders>
              <w:top w:val="nil"/>
              <w:left w:val="nil"/>
              <w:bottom w:val="single" w:sz="4" w:space="0" w:color="auto"/>
              <w:right w:val="single" w:sz="4" w:space="0" w:color="auto"/>
            </w:tcBorders>
            <w:shd w:val="clear" w:color="auto" w:fill="auto"/>
            <w:vAlign w:val="center"/>
            <w:hideMark/>
          </w:tcPr>
          <w:p w14:paraId="1B88DE07" w14:textId="2BCC8354"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JAVNI HOLDING MARIBOR, D.O.O.</w:t>
            </w:r>
          </w:p>
        </w:tc>
        <w:tc>
          <w:tcPr>
            <w:tcW w:w="786" w:type="pct"/>
            <w:tcBorders>
              <w:top w:val="nil"/>
              <w:left w:val="nil"/>
              <w:bottom w:val="single" w:sz="4" w:space="0" w:color="auto"/>
              <w:right w:val="single" w:sz="4" w:space="0" w:color="auto"/>
            </w:tcBorders>
            <w:shd w:val="clear" w:color="auto" w:fill="auto"/>
            <w:vAlign w:val="center"/>
            <w:hideMark/>
          </w:tcPr>
          <w:p w14:paraId="6CBA6E42" w14:textId="529BF545"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182.362.916</w:t>
            </w:r>
          </w:p>
        </w:tc>
      </w:tr>
      <w:tr w:rsidR="0063256E" w:rsidRPr="001E7D82" w14:paraId="212ED358"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A7CD7C5"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9</w:t>
            </w:r>
          </w:p>
        </w:tc>
        <w:tc>
          <w:tcPr>
            <w:tcW w:w="3915" w:type="pct"/>
            <w:tcBorders>
              <w:top w:val="nil"/>
              <w:left w:val="nil"/>
              <w:bottom w:val="single" w:sz="4" w:space="0" w:color="auto"/>
              <w:right w:val="single" w:sz="4" w:space="0" w:color="auto"/>
            </w:tcBorders>
            <w:shd w:val="clear" w:color="auto" w:fill="auto"/>
            <w:vAlign w:val="center"/>
            <w:hideMark/>
          </w:tcPr>
          <w:p w14:paraId="526E9800" w14:textId="31B6C46F"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MESTNA OBČINA LJUBLJANA</w:t>
            </w:r>
          </w:p>
        </w:tc>
        <w:tc>
          <w:tcPr>
            <w:tcW w:w="786" w:type="pct"/>
            <w:tcBorders>
              <w:top w:val="nil"/>
              <w:left w:val="nil"/>
              <w:bottom w:val="single" w:sz="4" w:space="0" w:color="auto"/>
              <w:right w:val="single" w:sz="4" w:space="0" w:color="auto"/>
            </w:tcBorders>
            <w:shd w:val="clear" w:color="auto" w:fill="auto"/>
            <w:vAlign w:val="center"/>
            <w:hideMark/>
          </w:tcPr>
          <w:p w14:paraId="77CA265E" w14:textId="064E64FD"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171.233.740</w:t>
            </w:r>
          </w:p>
        </w:tc>
      </w:tr>
      <w:tr w:rsidR="0063256E" w:rsidRPr="001E7D82" w14:paraId="5D1DF969"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C6E9FBA"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10</w:t>
            </w:r>
          </w:p>
        </w:tc>
        <w:tc>
          <w:tcPr>
            <w:tcW w:w="3915" w:type="pct"/>
            <w:tcBorders>
              <w:top w:val="nil"/>
              <w:left w:val="nil"/>
              <w:bottom w:val="single" w:sz="4" w:space="0" w:color="auto"/>
              <w:right w:val="single" w:sz="4" w:space="0" w:color="auto"/>
            </w:tcBorders>
            <w:shd w:val="clear" w:color="auto" w:fill="auto"/>
            <w:vAlign w:val="center"/>
            <w:hideMark/>
          </w:tcPr>
          <w:p w14:paraId="5AF2645B" w14:textId="6EFF36B4"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ONKOLOŠKI INŠTITUT LJUBLJANA</w:t>
            </w:r>
          </w:p>
        </w:tc>
        <w:tc>
          <w:tcPr>
            <w:tcW w:w="786" w:type="pct"/>
            <w:tcBorders>
              <w:top w:val="nil"/>
              <w:left w:val="nil"/>
              <w:bottom w:val="single" w:sz="4" w:space="0" w:color="auto"/>
              <w:right w:val="single" w:sz="4" w:space="0" w:color="auto"/>
            </w:tcBorders>
            <w:shd w:val="clear" w:color="auto" w:fill="auto"/>
            <w:vAlign w:val="center"/>
            <w:hideMark/>
          </w:tcPr>
          <w:p w14:paraId="2000E355" w14:textId="412F475D"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166.761.522</w:t>
            </w:r>
          </w:p>
        </w:tc>
      </w:tr>
      <w:tr w:rsidR="0063256E" w:rsidRPr="001E7D82" w14:paraId="0C1E8CEC"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1F62090"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11</w:t>
            </w:r>
          </w:p>
        </w:tc>
        <w:tc>
          <w:tcPr>
            <w:tcW w:w="3915" w:type="pct"/>
            <w:tcBorders>
              <w:top w:val="nil"/>
              <w:left w:val="nil"/>
              <w:bottom w:val="single" w:sz="4" w:space="0" w:color="auto"/>
              <w:right w:val="single" w:sz="4" w:space="0" w:color="auto"/>
            </w:tcBorders>
            <w:shd w:val="clear" w:color="auto" w:fill="auto"/>
            <w:vAlign w:val="center"/>
            <w:hideMark/>
          </w:tcPr>
          <w:p w14:paraId="3A4C11F9" w14:textId="7DE05D0B"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MINISTRSTVO ZA JAVNO UPRAVO</w:t>
            </w:r>
          </w:p>
        </w:tc>
        <w:tc>
          <w:tcPr>
            <w:tcW w:w="786" w:type="pct"/>
            <w:tcBorders>
              <w:top w:val="nil"/>
              <w:left w:val="nil"/>
              <w:bottom w:val="single" w:sz="4" w:space="0" w:color="auto"/>
              <w:right w:val="single" w:sz="4" w:space="0" w:color="auto"/>
            </w:tcBorders>
            <w:shd w:val="clear" w:color="auto" w:fill="auto"/>
            <w:vAlign w:val="center"/>
            <w:hideMark/>
          </w:tcPr>
          <w:p w14:paraId="135A593F" w14:textId="757B9046"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156.729.605</w:t>
            </w:r>
          </w:p>
        </w:tc>
      </w:tr>
      <w:tr w:rsidR="0063256E" w:rsidRPr="001E7D82" w14:paraId="1C2561EF"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B10F4B5"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12</w:t>
            </w:r>
          </w:p>
        </w:tc>
        <w:tc>
          <w:tcPr>
            <w:tcW w:w="3915" w:type="pct"/>
            <w:tcBorders>
              <w:top w:val="nil"/>
              <w:left w:val="nil"/>
              <w:bottom w:val="single" w:sz="4" w:space="0" w:color="auto"/>
              <w:right w:val="single" w:sz="4" w:space="0" w:color="auto"/>
            </w:tcBorders>
            <w:shd w:val="clear" w:color="auto" w:fill="auto"/>
            <w:vAlign w:val="center"/>
            <w:hideMark/>
          </w:tcPr>
          <w:p w14:paraId="2488755C" w14:textId="7C857530"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 xml:space="preserve">SLOVENSKE ŽELEZNICE </w:t>
            </w:r>
            <w:r w:rsidR="003D5E36">
              <w:rPr>
                <w:rFonts w:ascii="Arial" w:eastAsia="Times New Roman" w:hAnsi="Arial" w:cs="Arial"/>
                <w:color w:val="000000" w:themeColor="text1"/>
                <w:sz w:val="18"/>
                <w:szCs w:val="18"/>
                <w:lang w:eastAsia="sl-SI"/>
              </w:rPr>
              <w:t>–</w:t>
            </w:r>
            <w:r w:rsidRPr="001E7D82">
              <w:rPr>
                <w:rFonts w:ascii="Arial" w:eastAsia="Times New Roman" w:hAnsi="Arial" w:cs="Arial"/>
                <w:color w:val="000000" w:themeColor="text1"/>
                <w:sz w:val="18"/>
                <w:szCs w:val="18"/>
                <w:lang w:eastAsia="sl-SI"/>
              </w:rPr>
              <w:t xml:space="preserve"> POTNIŠKI PROMET, D.O.O.</w:t>
            </w:r>
          </w:p>
        </w:tc>
        <w:tc>
          <w:tcPr>
            <w:tcW w:w="786" w:type="pct"/>
            <w:tcBorders>
              <w:top w:val="nil"/>
              <w:left w:val="nil"/>
              <w:bottom w:val="single" w:sz="4" w:space="0" w:color="auto"/>
              <w:right w:val="single" w:sz="4" w:space="0" w:color="auto"/>
            </w:tcBorders>
            <w:shd w:val="clear" w:color="auto" w:fill="auto"/>
            <w:vAlign w:val="center"/>
            <w:hideMark/>
          </w:tcPr>
          <w:p w14:paraId="220B0757" w14:textId="46AE32E6"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149.260.563</w:t>
            </w:r>
          </w:p>
        </w:tc>
      </w:tr>
      <w:tr w:rsidR="0063256E" w:rsidRPr="001E7D82" w14:paraId="0EA6D926"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12AD2AE"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13</w:t>
            </w:r>
          </w:p>
        </w:tc>
        <w:tc>
          <w:tcPr>
            <w:tcW w:w="3915" w:type="pct"/>
            <w:tcBorders>
              <w:top w:val="nil"/>
              <w:left w:val="nil"/>
              <w:bottom w:val="single" w:sz="4" w:space="0" w:color="auto"/>
              <w:right w:val="single" w:sz="4" w:space="0" w:color="auto"/>
            </w:tcBorders>
            <w:shd w:val="clear" w:color="auto" w:fill="auto"/>
            <w:vAlign w:val="center"/>
            <w:hideMark/>
          </w:tcPr>
          <w:p w14:paraId="42E15AA4" w14:textId="6B7CFDC8"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UNIVERZITETNI KLINIČNI CENTER LJUBLJANA</w:t>
            </w:r>
          </w:p>
        </w:tc>
        <w:tc>
          <w:tcPr>
            <w:tcW w:w="786" w:type="pct"/>
            <w:tcBorders>
              <w:top w:val="nil"/>
              <w:left w:val="nil"/>
              <w:bottom w:val="single" w:sz="4" w:space="0" w:color="auto"/>
              <w:right w:val="single" w:sz="4" w:space="0" w:color="auto"/>
            </w:tcBorders>
            <w:shd w:val="clear" w:color="auto" w:fill="auto"/>
            <w:vAlign w:val="center"/>
            <w:hideMark/>
          </w:tcPr>
          <w:p w14:paraId="5A5F21F7" w14:textId="4996C5E4"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130.841.472</w:t>
            </w:r>
          </w:p>
        </w:tc>
      </w:tr>
      <w:tr w:rsidR="0063256E" w:rsidRPr="001E7D82" w14:paraId="05CD81E3"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1E5472B"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14</w:t>
            </w:r>
          </w:p>
        </w:tc>
        <w:tc>
          <w:tcPr>
            <w:tcW w:w="3915" w:type="pct"/>
            <w:tcBorders>
              <w:top w:val="nil"/>
              <w:left w:val="nil"/>
              <w:bottom w:val="single" w:sz="4" w:space="0" w:color="auto"/>
              <w:right w:val="single" w:sz="4" w:space="0" w:color="auto"/>
            </w:tcBorders>
            <w:shd w:val="clear" w:color="auto" w:fill="auto"/>
            <w:vAlign w:val="center"/>
            <w:hideMark/>
          </w:tcPr>
          <w:p w14:paraId="43E81796" w14:textId="0AA9D002"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SLOVENSKI DRŽAVNI GOZDOVI, D. O. O.</w:t>
            </w:r>
          </w:p>
        </w:tc>
        <w:tc>
          <w:tcPr>
            <w:tcW w:w="786" w:type="pct"/>
            <w:tcBorders>
              <w:top w:val="nil"/>
              <w:left w:val="nil"/>
              <w:bottom w:val="single" w:sz="4" w:space="0" w:color="auto"/>
              <w:right w:val="single" w:sz="4" w:space="0" w:color="auto"/>
            </w:tcBorders>
            <w:shd w:val="clear" w:color="auto" w:fill="auto"/>
            <w:vAlign w:val="center"/>
            <w:hideMark/>
          </w:tcPr>
          <w:p w14:paraId="39DD9C9A" w14:textId="4B39067C"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118.062.443</w:t>
            </w:r>
          </w:p>
        </w:tc>
      </w:tr>
      <w:tr w:rsidR="0063256E" w:rsidRPr="001E7D82" w14:paraId="49425C29" w14:textId="77777777" w:rsidTr="0063256E">
        <w:trPr>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7FC8EF2" w14:textId="77777777"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15</w:t>
            </w:r>
          </w:p>
        </w:tc>
        <w:tc>
          <w:tcPr>
            <w:tcW w:w="3915" w:type="pct"/>
            <w:tcBorders>
              <w:top w:val="nil"/>
              <w:left w:val="nil"/>
              <w:bottom w:val="single" w:sz="4" w:space="0" w:color="auto"/>
              <w:right w:val="single" w:sz="4" w:space="0" w:color="auto"/>
            </w:tcBorders>
            <w:shd w:val="clear" w:color="auto" w:fill="auto"/>
            <w:vAlign w:val="center"/>
            <w:hideMark/>
          </w:tcPr>
          <w:p w14:paraId="6F04BD91" w14:textId="42C86625" w:rsidR="0063256E" w:rsidRPr="001E7D82" w:rsidRDefault="0063256E" w:rsidP="0063256E">
            <w:pPr>
              <w:spacing w:after="0" w:line="240" w:lineRule="auto"/>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ELES, D.O.O.</w:t>
            </w:r>
          </w:p>
        </w:tc>
        <w:tc>
          <w:tcPr>
            <w:tcW w:w="786" w:type="pct"/>
            <w:tcBorders>
              <w:top w:val="nil"/>
              <w:left w:val="nil"/>
              <w:bottom w:val="single" w:sz="4" w:space="0" w:color="auto"/>
              <w:right w:val="single" w:sz="4" w:space="0" w:color="auto"/>
            </w:tcBorders>
            <w:shd w:val="clear" w:color="auto" w:fill="auto"/>
            <w:vAlign w:val="center"/>
            <w:hideMark/>
          </w:tcPr>
          <w:p w14:paraId="23E953D8" w14:textId="2A3EEDC0" w:rsidR="0063256E" w:rsidRPr="001E7D82" w:rsidRDefault="0063256E" w:rsidP="0063256E">
            <w:pPr>
              <w:spacing w:after="0" w:line="240" w:lineRule="auto"/>
              <w:jc w:val="right"/>
              <w:rPr>
                <w:rFonts w:ascii="Arial" w:eastAsia="Times New Roman" w:hAnsi="Arial" w:cs="Arial"/>
                <w:color w:val="000000" w:themeColor="text1"/>
                <w:sz w:val="18"/>
                <w:szCs w:val="18"/>
                <w:lang w:eastAsia="sl-SI"/>
              </w:rPr>
            </w:pPr>
            <w:r w:rsidRPr="001E7D82">
              <w:rPr>
                <w:rFonts w:ascii="Arial" w:eastAsia="Times New Roman" w:hAnsi="Arial" w:cs="Arial"/>
                <w:color w:val="000000" w:themeColor="text1"/>
                <w:sz w:val="18"/>
                <w:szCs w:val="18"/>
                <w:lang w:eastAsia="sl-SI"/>
              </w:rPr>
              <w:t>108.725.925</w:t>
            </w:r>
          </w:p>
        </w:tc>
      </w:tr>
    </w:tbl>
    <w:p w14:paraId="661F4739" w14:textId="77777777" w:rsidR="0058576E" w:rsidRPr="001E7D82" w:rsidRDefault="0058576E" w:rsidP="004A613D">
      <w:pPr>
        <w:spacing w:after="0" w:line="240" w:lineRule="auto"/>
        <w:jc w:val="center"/>
        <w:rPr>
          <w:rFonts w:ascii="Arial" w:hAnsi="Arial" w:cs="Arial"/>
          <w:color w:val="000000" w:themeColor="text1"/>
          <w:sz w:val="18"/>
        </w:rPr>
      </w:pPr>
    </w:p>
    <w:p w14:paraId="00AD530E" w14:textId="51D23D28" w:rsidR="00B905EB" w:rsidRPr="001E7D82" w:rsidRDefault="00F83DD4" w:rsidP="004A613D">
      <w:pPr>
        <w:spacing w:after="0" w:line="240" w:lineRule="auto"/>
        <w:jc w:val="center"/>
        <w:rPr>
          <w:rFonts w:ascii="Arial" w:hAnsi="Arial" w:cs="Arial"/>
          <w:color w:val="000000" w:themeColor="text1"/>
          <w:sz w:val="18"/>
        </w:rPr>
      </w:pPr>
      <w:r w:rsidRPr="001E7D82">
        <w:rPr>
          <w:rFonts w:ascii="Arial" w:hAnsi="Arial" w:cs="Arial"/>
          <w:color w:val="000000" w:themeColor="text1"/>
          <w:sz w:val="18"/>
        </w:rPr>
        <w:t>Vir: Statistični podatki o javni</w:t>
      </w:r>
      <w:r w:rsidR="009C708C" w:rsidRPr="001E7D82">
        <w:rPr>
          <w:rFonts w:ascii="Arial" w:hAnsi="Arial" w:cs="Arial"/>
          <w:color w:val="000000" w:themeColor="text1"/>
          <w:sz w:val="18"/>
        </w:rPr>
        <w:t>h naročilih, oddanih v letu 20</w:t>
      </w:r>
      <w:r w:rsidR="004D43C6" w:rsidRPr="001E7D82">
        <w:rPr>
          <w:rFonts w:ascii="Arial" w:hAnsi="Arial" w:cs="Arial"/>
          <w:color w:val="000000" w:themeColor="text1"/>
          <w:sz w:val="18"/>
        </w:rPr>
        <w:t>2</w:t>
      </w:r>
      <w:r w:rsidR="00F54AE6" w:rsidRPr="001E7D82">
        <w:rPr>
          <w:rFonts w:ascii="Arial" w:hAnsi="Arial" w:cs="Arial"/>
          <w:color w:val="000000" w:themeColor="text1"/>
          <w:sz w:val="18"/>
        </w:rPr>
        <w:t>3</w:t>
      </w:r>
      <w:r w:rsidR="00B0329F" w:rsidRPr="001E7D82">
        <w:rPr>
          <w:rFonts w:ascii="Arial" w:hAnsi="Arial" w:cs="Arial"/>
          <w:color w:val="000000" w:themeColor="text1"/>
          <w:sz w:val="18"/>
        </w:rPr>
        <w:t>.</w:t>
      </w:r>
    </w:p>
    <w:p w14:paraId="2546BF2A" w14:textId="40E37859" w:rsidR="00B45EE0" w:rsidRPr="00637ACF" w:rsidRDefault="00B45EE0" w:rsidP="004A613D">
      <w:pPr>
        <w:spacing w:after="0" w:line="240" w:lineRule="auto"/>
        <w:jc w:val="center"/>
        <w:rPr>
          <w:rFonts w:ascii="Arial" w:hAnsi="Arial" w:cs="Arial"/>
          <w:color w:val="FF0000"/>
          <w:sz w:val="18"/>
          <w:highlight w:val="yellow"/>
        </w:rPr>
      </w:pPr>
    </w:p>
    <w:p w14:paraId="718CD342" w14:textId="77777777" w:rsidR="004E69E6" w:rsidRPr="00637ACF" w:rsidRDefault="004E69E6" w:rsidP="004A613D">
      <w:pPr>
        <w:spacing w:after="0" w:line="240" w:lineRule="auto"/>
        <w:jc w:val="center"/>
        <w:rPr>
          <w:rFonts w:ascii="Arial" w:hAnsi="Arial" w:cs="Arial"/>
          <w:color w:val="FF0000"/>
          <w:sz w:val="18"/>
          <w:highlight w:val="yellow"/>
        </w:rPr>
      </w:pPr>
    </w:p>
    <w:p w14:paraId="6B5F179C" w14:textId="659CCBA6" w:rsidR="004A21A3" w:rsidRPr="008B3F1C" w:rsidRDefault="004A21A3" w:rsidP="00122C38">
      <w:pPr>
        <w:pStyle w:val="Naslov3"/>
      </w:pPr>
      <w:bookmarkStart w:id="44" w:name="_Toc175563873"/>
      <w:r w:rsidRPr="008B3F1C">
        <w:t>2.</w:t>
      </w:r>
      <w:r w:rsidR="00FA2740" w:rsidRPr="008B3F1C">
        <w:t>7</w:t>
      </w:r>
      <w:r w:rsidRPr="008B3F1C">
        <w:t xml:space="preserve">.2 </w:t>
      </w:r>
      <w:r w:rsidR="00252272" w:rsidRPr="008B3F1C">
        <w:t>Ponudniki</w:t>
      </w:r>
      <w:r w:rsidRPr="008B3F1C">
        <w:t xml:space="preserve"> z največjo vrednostjo oddanih naročil v letu 20</w:t>
      </w:r>
      <w:r w:rsidR="001A32BB" w:rsidRPr="008B3F1C">
        <w:t>2</w:t>
      </w:r>
      <w:r w:rsidR="00B96C04" w:rsidRPr="008B3F1C">
        <w:t>3</w:t>
      </w:r>
      <w:bookmarkEnd w:id="44"/>
    </w:p>
    <w:p w14:paraId="3A19BDA3" w14:textId="77777777" w:rsidR="00B905EB" w:rsidRPr="008B3F1C" w:rsidRDefault="00B905EB" w:rsidP="00854405">
      <w:pPr>
        <w:pStyle w:val="ZADEVA"/>
        <w:jc w:val="both"/>
        <w:rPr>
          <w:rFonts w:cs="Arial"/>
          <w:b w:val="0"/>
          <w:color w:val="FF0000"/>
          <w:szCs w:val="20"/>
          <w:lang w:val="sl-SI"/>
        </w:rPr>
      </w:pPr>
    </w:p>
    <w:p w14:paraId="1FFFE294" w14:textId="26ED9EB6" w:rsidR="00F83DD4" w:rsidRPr="008B3F1C" w:rsidRDefault="00711BE8" w:rsidP="00252272">
      <w:pPr>
        <w:spacing w:line="360" w:lineRule="auto"/>
        <w:jc w:val="both"/>
        <w:rPr>
          <w:rFonts w:ascii="Arial" w:hAnsi="Arial" w:cs="Arial"/>
          <w:b/>
          <w:i/>
          <w:color w:val="000000" w:themeColor="text1"/>
          <w:sz w:val="20"/>
          <w:szCs w:val="20"/>
          <w:lang w:eastAsia="sl-SI"/>
        </w:rPr>
      </w:pPr>
      <w:r w:rsidRPr="008B3F1C">
        <w:rPr>
          <w:rFonts w:ascii="Arial" w:hAnsi="Arial" w:cs="Arial"/>
          <w:color w:val="000000" w:themeColor="text1"/>
          <w:sz w:val="20"/>
          <w:szCs w:val="20"/>
        </w:rPr>
        <w:t>Leta</w:t>
      </w:r>
      <w:r w:rsidR="0007470C" w:rsidRPr="008B3F1C">
        <w:rPr>
          <w:rFonts w:ascii="Arial" w:hAnsi="Arial" w:cs="Arial"/>
          <w:color w:val="000000" w:themeColor="text1"/>
          <w:sz w:val="20"/>
          <w:szCs w:val="20"/>
        </w:rPr>
        <w:t xml:space="preserve"> 20</w:t>
      </w:r>
      <w:r w:rsidR="001A32BB" w:rsidRPr="008B3F1C">
        <w:rPr>
          <w:rFonts w:ascii="Arial" w:hAnsi="Arial" w:cs="Arial"/>
          <w:color w:val="000000" w:themeColor="text1"/>
          <w:sz w:val="20"/>
          <w:szCs w:val="20"/>
        </w:rPr>
        <w:t>2</w:t>
      </w:r>
      <w:r w:rsidR="00B96C04" w:rsidRPr="008B3F1C">
        <w:rPr>
          <w:rFonts w:ascii="Arial" w:hAnsi="Arial" w:cs="Arial"/>
          <w:color w:val="000000" w:themeColor="text1"/>
          <w:sz w:val="20"/>
          <w:szCs w:val="20"/>
        </w:rPr>
        <w:t>3</w:t>
      </w:r>
      <w:r w:rsidR="00252272" w:rsidRPr="008B3F1C">
        <w:rPr>
          <w:rFonts w:ascii="Arial" w:hAnsi="Arial" w:cs="Arial"/>
          <w:color w:val="000000" w:themeColor="text1"/>
          <w:sz w:val="20"/>
          <w:szCs w:val="20"/>
        </w:rPr>
        <w:t xml:space="preserve"> je bilo </w:t>
      </w:r>
      <w:r w:rsidR="00F37A5E" w:rsidRPr="008B3F1C">
        <w:rPr>
          <w:rFonts w:ascii="Arial" w:hAnsi="Arial" w:cs="Arial"/>
          <w:color w:val="000000" w:themeColor="text1"/>
          <w:sz w:val="20"/>
          <w:szCs w:val="20"/>
        </w:rPr>
        <w:t>d</w:t>
      </w:r>
      <w:r w:rsidR="00B96C04" w:rsidRPr="008B3F1C">
        <w:rPr>
          <w:rFonts w:ascii="Arial" w:hAnsi="Arial" w:cs="Arial"/>
          <w:color w:val="000000" w:themeColor="text1"/>
          <w:sz w:val="20"/>
          <w:szCs w:val="20"/>
        </w:rPr>
        <w:t>evet</w:t>
      </w:r>
      <w:r w:rsidR="00252272" w:rsidRPr="008B3F1C">
        <w:rPr>
          <w:rFonts w:ascii="Arial" w:hAnsi="Arial" w:cs="Arial"/>
          <w:color w:val="000000" w:themeColor="text1"/>
          <w:sz w:val="20"/>
          <w:szCs w:val="20"/>
        </w:rPr>
        <w:t xml:space="preserve"> ponudnikov, ki so po vrednosti pridobili največ javnih naročil</w:t>
      </w:r>
      <w:r w:rsidR="00934EFD" w:rsidRPr="008B3F1C">
        <w:rPr>
          <w:rFonts w:ascii="Arial" w:hAnsi="Arial" w:cs="Arial"/>
          <w:color w:val="000000" w:themeColor="text1"/>
          <w:sz w:val="20"/>
          <w:szCs w:val="20"/>
        </w:rPr>
        <w:t>,</w:t>
      </w:r>
      <w:r w:rsidR="00252272" w:rsidRPr="008B3F1C">
        <w:rPr>
          <w:rFonts w:ascii="Arial" w:hAnsi="Arial" w:cs="Arial"/>
          <w:color w:val="000000" w:themeColor="text1"/>
          <w:sz w:val="20"/>
          <w:szCs w:val="20"/>
        </w:rPr>
        <w:t xml:space="preserve"> iz Slovenije</w:t>
      </w:r>
      <w:r w:rsidR="00B96C04" w:rsidRPr="008B3F1C">
        <w:rPr>
          <w:rFonts w:ascii="Arial" w:hAnsi="Arial" w:cs="Arial"/>
          <w:color w:val="000000" w:themeColor="text1"/>
          <w:sz w:val="20"/>
          <w:szCs w:val="20"/>
        </w:rPr>
        <w:t xml:space="preserve">, eden </w:t>
      </w:r>
      <w:r w:rsidR="003D5E36">
        <w:rPr>
          <w:rFonts w:ascii="Arial" w:hAnsi="Arial" w:cs="Arial"/>
          <w:color w:val="000000" w:themeColor="text1"/>
          <w:sz w:val="20"/>
          <w:szCs w:val="20"/>
        </w:rPr>
        <w:t xml:space="preserve">je bil </w:t>
      </w:r>
      <w:r w:rsidR="00B96C04" w:rsidRPr="008B3F1C">
        <w:rPr>
          <w:rFonts w:ascii="Arial" w:hAnsi="Arial" w:cs="Arial"/>
          <w:color w:val="000000" w:themeColor="text1"/>
          <w:sz w:val="20"/>
          <w:szCs w:val="20"/>
        </w:rPr>
        <w:t>iz tujine</w:t>
      </w:r>
      <w:r w:rsidR="00934EFD" w:rsidRPr="008B3F1C">
        <w:rPr>
          <w:rFonts w:ascii="Arial" w:hAnsi="Arial" w:cs="Arial"/>
          <w:color w:val="000000" w:themeColor="text1"/>
          <w:sz w:val="20"/>
          <w:szCs w:val="20"/>
        </w:rPr>
        <w:t>.</w:t>
      </w:r>
    </w:p>
    <w:p w14:paraId="36A40E0D" w14:textId="4DBBDC47" w:rsidR="00F83DD4" w:rsidRPr="008B3F1C" w:rsidRDefault="00F83DD4" w:rsidP="0096196E">
      <w:pPr>
        <w:rPr>
          <w:rFonts w:ascii="Arial" w:hAnsi="Arial" w:cs="Arial"/>
          <w:color w:val="000000" w:themeColor="text1"/>
          <w:sz w:val="20"/>
        </w:rPr>
      </w:pPr>
      <w:r w:rsidRPr="008B3F1C">
        <w:rPr>
          <w:rFonts w:ascii="Arial" w:hAnsi="Arial" w:cs="Arial"/>
          <w:color w:val="000000" w:themeColor="text1"/>
          <w:sz w:val="20"/>
        </w:rPr>
        <w:t xml:space="preserve">Preglednica </w:t>
      </w:r>
      <w:r w:rsidR="00512F52" w:rsidRPr="008B3F1C">
        <w:rPr>
          <w:rFonts w:ascii="Arial" w:hAnsi="Arial" w:cs="Arial"/>
          <w:color w:val="000000" w:themeColor="text1"/>
          <w:sz w:val="20"/>
        </w:rPr>
        <w:t>4</w:t>
      </w:r>
      <w:r w:rsidR="00EA747F" w:rsidRPr="008B3F1C">
        <w:rPr>
          <w:rFonts w:ascii="Arial" w:hAnsi="Arial" w:cs="Arial"/>
          <w:color w:val="000000" w:themeColor="text1"/>
          <w:sz w:val="20"/>
        </w:rPr>
        <w:t>1</w:t>
      </w:r>
      <w:r w:rsidR="007A4AEF" w:rsidRPr="008B3F1C">
        <w:rPr>
          <w:rFonts w:ascii="Arial" w:hAnsi="Arial" w:cs="Arial"/>
          <w:color w:val="000000" w:themeColor="text1"/>
          <w:sz w:val="20"/>
        </w:rPr>
        <w:t>: Deset ponudnikov s skupno</w:t>
      </w:r>
      <w:r w:rsidRPr="008B3F1C">
        <w:rPr>
          <w:rFonts w:ascii="Arial" w:hAnsi="Arial" w:cs="Arial"/>
          <w:color w:val="000000" w:themeColor="text1"/>
          <w:sz w:val="20"/>
        </w:rPr>
        <w:t xml:space="preserve"> največjo vrednostj</w:t>
      </w:r>
      <w:r w:rsidR="003C5EDA" w:rsidRPr="008B3F1C">
        <w:rPr>
          <w:rFonts w:ascii="Arial" w:hAnsi="Arial" w:cs="Arial"/>
          <w:color w:val="000000" w:themeColor="text1"/>
          <w:sz w:val="20"/>
        </w:rPr>
        <w:t>o dodeljenih naročil v letu 20</w:t>
      </w:r>
      <w:r w:rsidR="001A32BB" w:rsidRPr="008B3F1C">
        <w:rPr>
          <w:rFonts w:ascii="Arial" w:hAnsi="Arial" w:cs="Arial"/>
          <w:color w:val="000000" w:themeColor="text1"/>
          <w:sz w:val="20"/>
        </w:rPr>
        <w:t>2</w:t>
      </w:r>
      <w:r w:rsidR="00B96C04" w:rsidRPr="008B3F1C">
        <w:rPr>
          <w:rFonts w:ascii="Arial" w:hAnsi="Arial" w:cs="Arial"/>
          <w:color w:val="000000" w:themeColor="text1"/>
          <w:sz w:val="20"/>
        </w:rPr>
        <w:t>3</w:t>
      </w:r>
    </w:p>
    <w:tbl>
      <w:tblPr>
        <w:tblW w:w="5000" w:type="pct"/>
        <w:tblCellMar>
          <w:left w:w="70" w:type="dxa"/>
          <w:right w:w="70" w:type="dxa"/>
        </w:tblCellMar>
        <w:tblLook w:val="04A0" w:firstRow="1" w:lastRow="0" w:firstColumn="1" w:lastColumn="0" w:noHBand="0" w:noVBand="1"/>
      </w:tblPr>
      <w:tblGrid>
        <w:gridCol w:w="501"/>
        <w:gridCol w:w="7482"/>
        <w:gridCol w:w="1191"/>
      </w:tblGrid>
      <w:tr w:rsidR="008267AB" w:rsidRPr="008B3F1C" w14:paraId="57BB45F1" w14:textId="77777777" w:rsidTr="00760D66">
        <w:trPr>
          <w:trHeight w:val="300"/>
          <w:tblHeader/>
        </w:trPr>
        <w:tc>
          <w:tcPr>
            <w:tcW w:w="27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44B86CB" w14:textId="77777777" w:rsidR="00934EFD" w:rsidRPr="008B3F1C" w:rsidRDefault="00934EFD" w:rsidP="00934EFD">
            <w:pPr>
              <w:spacing w:after="0" w:line="240" w:lineRule="auto"/>
              <w:rPr>
                <w:rFonts w:ascii="Arial" w:eastAsia="Times New Roman" w:hAnsi="Arial" w:cs="Arial"/>
                <w:color w:val="000000" w:themeColor="text1"/>
                <w:sz w:val="18"/>
                <w:szCs w:val="18"/>
                <w:lang w:eastAsia="sl-SI"/>
              </w:rPr>
            </w:pPr>
            <w:proofErr w:type="spellStart"/>
            <w:r w:rsidRPr="008B3F1C">
              <w:rPr>
                <w:rFonts w:ascii="Arial" w:eastAsia="Times New Roman" w:hAnsi="Arial" w:cs="Arial"/>
                <w:color w:val="000000" w:themeColor="text1"/>
                <w:sz w:val="18"/>
                <w:szCs w:val="18"/>
                <w:lang w:eastAsia="sl-SI"/>
              </w:rPr>
              <w:t>Zap</w:t>
            </w:r>
            <w:proofErr w:type="spellEnd"/>
            <w:r w:rsidRPr="008B3F1C">
              <w:rPr>
                <w:rFonts w:ascii="Arial" w:eastAsia="Times New Roman" w:hAnsi="Arial" w:cs="Arial"/>
                <w:color w:val="000000" w:themeColor="text1"/>
                <w:sz w:val="18"/>
                <w:szCs w:val="18"/>
                <w:lang w:eastAsia="sl-SI"/>
              </w:rPr>
              <w:t xml:space="preserve">. št. </w:t>
            </w:r>
          </w:p>
        </w:tc>
        <w:tc>
          <w:tcPr>
            <w:tcW w:w="4078" w:type="pct"/>
            <w:tcBorders>
              <w:top w:val="single" w:sz="4" w:space="0" w:color="auto"/>
              <w:left w:val="nil"/>
              <w:bottom w:val="single" w:sz="4" w:space="0" w:color="auto"/>
              <w:right w:val="single" w:sz="4" w:space="0" w:color="auto"/>
            </w:tcBorders>
            <w:shd w:val="clear" w:color="000000" w:fill="F2F2F2"/>
            <w:noWrap/>
            <w:vAlign w:val="center"/>
            <w:hideMark/>
          </w:tcPr>
          <w:p w14:paraId="607ED11E" w14:textId="77777777" w:rsidR="00934EFD" w:rsidRPr="008B3F1C" w:rsidRDefault="00934EFD" w:rsidP="00934EFD">
            <w:pPr>
              <w:spacing w:after="0" w:line="240" w:lineRule="auto"/>
              <w:jc w:val="center"/>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Ponudnik</w:t>
            </w:r>
          </w:p>
        </w:tc>
        <w:tc>
          <w:tcPr>
            <w:tcW w:w="649" w:type="pct"/>
            <w:tcBorders>
              <w:top w:val="single" w:sz="4" w:space="0" w:color="auto"/>
              <w:left w:val="nil"/>
              <w:bottom w:val="single" w:sz="4" w:space="0" w:color="auto"/>
              <w:right w:val="single" w:sz="4" w:space="0" w:color="auto"/>
            </w:tcBorders>
            <w:shd w:val="clear" w:color="000000" w:fill="F2F2F2"/>
            <w:vAlign w:val="center"/>
            <w:hideMark/>
          </w:tcPr>
          <w:p w14:paraId="7C294EA7" w14:textId="7A904608" w:rsidR="00934EFD" w:rsidRPr="008B3F1C" w:rsidRDefault="00934EFD" w:rsidP="00934EFD">
            <w:pPr>
              <w:spacing w:after="0" w:line="240" w:lineRule="auto"/>
              <w:jc w:val="center"/>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Pogodbena vrednost</w:t>
            </w:r>
            <w:r w:rsidR="00986395" w:rsidRPr="008B3F1C">
              <w:rPr>
                <w:rFonts w:ascii="Arial" w:eastAsia="Times New Roman" w:hAnsi="Arial" w:cs="Arial"/>
                <w:color w:val="000000" w:themeColor="text1"/>
                <w:sz w:val="18"/>
                <w:szCs w:val="18"/>
                <w:lang w:eastAsia="sl-SI"/>
              </w:rPr>
              <w:t xml:space="preserve"> (v EUR)</w:t>
            </w:r>
          </w:p>
        </w:tc>
      </w:tr>
      <w:tr w:rsidR="008267AB" w:rsidRPr="008B3F1C" w14:paraId="2D13BB0C"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46771055"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1</w:t>
            </w:r>
          </w:p>
        </w:tc>
        <w:tc>
          <w:tcPr>
            <w:tcW w:w="4078" w:type="pct"/>
            <w:tcBorders>
              <w:top w:val="nil"/>
              <w:left w:val="nil"/>
              <w:bottom w:val="single" w:sz="4" w:space="0" w:color="auto"/>
              <w:right w:val="single" w:sz="4" w:space="0" w:color="auto"/>
            </w:tcBorders>
            <w:shd w:val="clear" w:color="auto" w:fill="auto"/>
            <w:vAlign w:val="center"/>
            <w:hideMark/>
          </w:tcPr>
          <w:p w14:paraId="60BA684A" w14:textId="65D758F5"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NOMAGO, STORITVE MOBILNOSTI IN POTOVANJ, D.O.O.</w:t>
            </w:r>
          </w:p>
        </w:tc>
        <w:tc>
          <w:tcPr>
            <w:tcW w:w="649" w:type="pct"/>
            <w:tcBorders>
              <w:top w:val="nil"/>
              <w:left w:val="nil"/>
              <w:bottom w:val="single" w:sz="4" w:space="0" w:color="auto"/>
              <w:right w:val="single" w:sz="4" w:space="0" w:color="auto"/>
            </w:tcBorders>
            <w:shd w:val="clear" w:color="auto" w:fill="auto"/>
            <w:vAlign w:val="center"/>
            <w:hideMark/>
          </w:tcPr>
          <w:p w14:paraId="6A3FCFCC" w14:textId="73C2234C"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312.055.809</w:t>
            </w:r>
          </w:p>
        </w:tc>
      </w:tr>
      <w:tr w:rsidR="008267AB" w:rsidRPr="008B3F1C" w14:paraId="27C85376"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68FB9173"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2</w:t>
            </w:r>
          </w:p>
        </w:tc>
        <w:tc>
          <w:tcPr>
            <w:tcW w:w="4078" w:type="pct"/>
            <w:tcBorders>
              <w:top w:val="nil"/>
              <w:left w:val="nil"/>
              <w:bottom w:val="single" w:sz="4" w:space="0" w:color="auto"/>
              <w:right w:val="single" w:sz="4" w:space="0" w:color="auto"/>
            </w:tcBorders>
            <w:shd w:val="clear" w:color="auto" w:fill="auto"/>
            <w:vAlign w:val="center"/>
            <w:hideMark/>
          </w:tcPr>
          <w:p w14:paraId="1607DDAB" w14:textId="6204DD1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ARRIVA, DRUŽBA ZA PREVOZ POTNIKOV, D.O.O.</w:t>
            </w:r>
          </w:p>
        </w:tc>
        <w:tc>
          <w:tcPr>
            <w:tcW w:w="649" w:type="pct"/>
            <w:tcBorders>
              <w:top w:val="nil"/>
              <w:left w:val="nil"/>
              <w:bottom w:val="single" w:sz="4" w:space="0" w:color="auto"/>
              <w:right w:val="single" w:sz="4" w:space="0" w:color="auto"/>
            </w:tcBorders>
            <w:shd w:val="clear" w:color="auto" w:fill="auto"/>
            <w:vAlign w:val="center"/>
            <w:hideMark/>
          </w:tcPr>
          <w:p w14:paraId="46CFAA62" w14:textId="4C67A3A5"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310.178.881</w:t>
            </w:r>
          </w:p>
        </w:tc>
      </w:tr>
      <w:tr w:rsidR="008267AB" w:rsidRPr="008B3F1C" w14:paraId="350E616F"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4B3691E2"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3</w:t>
            </w:r>
          </w:p>
        </w:tc>
        <w:tc>
          <w:tcPr>
            <w:tcW w:w="4078" w:type="pct"/>
            <w:tcBorders>
              <w:top w:val="nil"/>
              <w:left w:val="nil"/>
              <w:bottom w:val="single" w:sz="4" w:space="0" w:color="auto"/>
              <w:right w:val="single" w:sz="4" w:space="0" w:color="auto"/>
            </w:tcBorders>
            <w:shd w:val="clear" w:color="auto" w:fill="auto"/>
            <w:vAlign w:val="center"/>
            <w:hideMark/>
          </w:tcPr>
          <w:p w14:paraId="078777E7" w14:textId="29872A43"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ELEKTRO MARIBOR ENERGIJA PLUS, PODJETJE ZA TRŽENJE ENERGIJE IN STORITEV D.O.O.</w:t>
            </w:r>
          </w:p>
        </w:tc>
        <w:tc>
          <w:tcPr>
            <w:tcW w:w="649" w:type="pct"/>
            <w:tcBorders>
              <w:top w:val="nil"/>
              <w:left w:val="nil"/>
              <w:bottom w:val="single" w:sz="4" w:space="0" w:color="auto"/>
              <w:right w:val="single" w:sz="4" w:space="0" w:color="auto"/>
            </w:tcBorders>
            <w:shd w:val="clear" w:color="auto" w:fill="auto"/>
            <w:vAlign w:val="center"/>
            <w:hideMark/>
          </w:tcPr>
          <w:p w14:paraId="730F8280" w14:textId="0F2B74C1"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244.830.645</w:t>
            </w:r>
          </w:p>
        </w:tc>
      </w:tr>
      <w:tr w:rsidR="008267AB" w:rsidRPr="008B3F1C" w14:paraId="115F3B58"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03BCBFC3"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4</w:t>
            </w:r>
          </w:p>
        </w:tc>
        <w:tc>
          <w:tcPr>
            <w:tcW w:w="4078" w:type="pct"/>
            <w:tcBorders>
              <w:top w:val="nil"/>
              <w:left w:val="nil"/>
              <w:bottom w:val="single" w:sz="4" w:space="0" w:color="auto"/>
              <w:right w:val="single" w:sz="4" w:space="0" w:color="auto"/>
            </w:tcBorders>
            <w:shd w:val="clear" w:color="auto" w:fill="auto"/>
            <w:vAlign w:val="center"/>
            <w:hideMark/>
          </w:tcPr>
          <w:p w14:paraId="7B15468C" w14:textId="785B83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 xml:space="preserve">SŽ </w:t>
            </w:r>
            <w:r w:rsidR="003D5E36">
              <w:rPr>
                <w:rFonts w:ascii="Arial" w:eastAsia="Times New Roman" w:hAnsi="Arial" w:cs="Arial"/>
                <w:color w:val="000000" w:themeColor="text1"/>
                <w:sz w:val="18"/>
                <w:szCs w:val="18"/>
                <w:lang w:eastAsia="sl-SI"/>
              </w:rPr>
              <w:t>–</w:t>
            </w:r>
            <w:r w:rsidRPr="008B3F1C">
              <w:rPr>
                <w:rFonts w:ascii="Arial" w:eastAsia="Times New Roman" w:hAnsi="Arial" w:cs="Arial"/>
                <w:color w:val="000000" w:themeColor="text1"/>
                <w:sz w:val="18"/>
                <w:szCs w:val="18"/>
                <w:lang w:eastAsia="sl-SI"/>
              </w:rPr>
              <w:t xml:space="preserve"> ŽELEZNIŠKO GRADBENO PODJETJE LJUBLJANA D.D.</w:t>
            </w:r>
          </w:p>
        </w:tc>
        <w:tc>
          <w:tcPr>
            <w:tcW w:w="649" w:type="pct"/>
            <w:tcBorders>
              <w:top w:val="nil"/>
              <w:left w:val="nil"/>
              <w:bottom w:val="single" w:sz="4" w:space="0" w:color="auto"/>
              <w:right w:val="single" w:sz="4" w:space="0" w:color="auto"/>
            </w:tcBorders>
            <w:shd w:val="clear" w:color="auto" w:fill="auto"/>
            <w:vAlign w:val="center"/>
            <w:hideMark/>
          </w:tcPr>
          <w:p w14:paraId="7A40573A" w14:textId="73505694"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213.627.780</w:t>
            </w:r>
          </w:p>
        </w:tc>
      </w:tr>
      <w:tr w:rsidR="008267AB" w:rsidRPr="008B3F1C" w14:paraId="0BDFECA9"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0D744868"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5</w:t>
            </w:r>
          </w:p>
        </w:tc>
        <w:tc>
          <w:tcPr>
            <w:tcW w:w="4078" w:type="pct"/>
            <w:tcBorders>
              <w:top w:val="nil"/>
              <w:left w:val="nil"/>
              <w:bottom w:val="single" w:sz="4" w:space="0" w:color="auto"/>
              <w:right w:val="single" w:sz="4" w:space="0" w:color="auto"/>
            </w:tcBorders>
            <w:shd w:val="clear" w:color="auto" w:fill="auto"/>
            <w:vAlign w:val="center"/>
            <w:hideMark/>
          </w:tcPr>
          <w:p w14:paraId="410A826A" w14:textId="32C5E004"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PETROL, SLOVENSKA ENERGETSKA DRUŽBA, D.D., LJUBLJANA</w:t>
            </w:r>
          </w:p>
        </w:tc>
        <w:tc>
          <w:tcPr>
            <w:tcW w:w="649" w:type="pct"/>
            <w:tcBorders>
              <w:top w:val="nil"/>
              <w:left w:val="nil"/>
              <w:bottom w:val="single" w:sz="4" w:space="0" w:color="auto"/>
              <w:right w:val="single" w:sz="4" w:space="0" w:color="auto"/>
            </w:tcBorders>
            <w:shd w:val="clear" w:color="auto" w:fill="auto"/>
            <w:vAlign w:val="center"/>
            <w:hideMark/>
          </w:tcPr>
          <w:p w14:paraId="4B3A0508" w14:textId="7EBBD917"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161.392.371</w:t>
            </w:r>
          </w:p>
        </w:tc>
      </w:tr>
      <w:tr w:rsidR="008267AB" w:rsidRPr="008B3F1C" w14:paraId="0AB79B11"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886C053"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6</w:t>
            </w:r>
          </w:p>
        </w:tc>
        <w:tc>
          <w:tcPr>
            <w:tcW w:w="4078" w:type="pct"/>
            <w:tcBorders>
              <w:top w:val="nil"/>
              <w:left w:val="nil"/>
              <w:bottom w:val="single" w:sz="4" w:space="0" w:color="auto"/>
              <w:right w:val="single" w:sz="4" w:space="0" w:color="auto"/>
            </w:tcBorders>
            <w:shd w:val="clear" w:color="auto" w:fill="auto"/>
            <w:vAlign w:val="center"/>
            <w:hideMark/>
          </w:tcPr>
          <w:p w14:paraId="548CFB14" w14:textId="79F07CBA"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STADLER POLSKA SP. Z O.O.</w:t>
            </w:r>
          </w:p>
        </w:tc>
        <w:tc>
          <w:tcPr>
            <w:tcW w:w="649" w:type="pct"/>
            <w:tcBorders>
              <w:top w:val="nil"/>
              <w:left w:val="nil"/>
              <w:bottom w:val="single" w:sz="4" w:space="0" w:color="auto"/>
              <w:right w:val="single" w:sz="4" w:space="0" w:color="auto"/>
            </w:tcBorders>
            <w:shd w:val="clear" w:color="auto" w:fill="auto"/>
            <w:vAlign w:val="center"/>
            <w:hideMark/>
          </w:tcPr>
          <w:p w14:paraId="3F8920AE" w14:textId="54FF9955"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148.300.000</w:t>
            </w:r>
          </w:p>
        </w:tc>
      </w:tr>
      <w:tr w:rsidR="008267AB" w:rsidRPr="008B3F1C" w14:paraId="718C0350"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40C48536"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7</w:t>
            </w:r>
          </w:p>
        </w:tc>
        <w:tc>
          <w:tcPr>
            <w:tcW w:w="4078" w:type="pct"/>
            <w:tcBorders>
              <w:top w:val="nil"/>
              <w:left w:val="nil"/>
              <w:bottom w:val="single" w:sz="4" w:space="0" w:color="auto"/>
              <w:right w:val="single" w:sz="4" w:space="0" w:color="auto"/>
            </w:tcBorders>
            <w:shd w:val="clear" w:color="auto" w:fill="auto"/>
            <w:vAlign w:val="center"/>
            <w:hideMark/>
          </w:tcPr>
          <w:p w14:paraId="4E373EA2" w14:textId="57E31D70"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ZAVOD REPUBLIKE SLOVENIJE ZA TRANSFUZIJSKO MEDICINO</w:t>
            </w:r>
          </w:p>
        </w:tc>
        <w:tc>
          <w:tcPr>
            <w:tcW w:w="649" w:type="pct"/>
            <w:tcBorders>
              <w:top w:val="nil"/>
              <w:left w:val="nil"/>
              <w:bottom w:val="single" w:sz="4" w:space="0" w:color="auto"/>
              <w:right w:val="single" w:sz="4" w:space="0" w:color="auto"/>
            </w:tcBorders>
            <w:shd w:val="clear" w:color="auto" w:fill="auto"/>
            <w:vAlign w:val="center"/>
            <w:hideMark/>
          </w:tcPr>
          <w:p w14:paraId="386ABAC6" w14:textId="2B556F99"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141.276.933</w:t>
            </w:r>
          </w:p>
        </w:tc>
      </w:tr>
      <w:tr w:rsidR="008267AB" w:rsidRPr="008B3F1C" w14:paraId="6124B7AF"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2367F58C"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lastRenderedPageBreak/>
              <w:t>8</w:t>
            </w:r>
          </w:p>
        </w:tc>
        <w:tc>
          <w:tcPr>
            <w:tcW w:w="4078" w:type="pct"/>
            <w:tcBorders>
              <w:top w:val="nil"/>
              <w:left w:val="nil"/>
              <w:bottom w:val="single" w:sz="4" w:space="0" w:color="auto"/>
              <w:right w:val="single" w:sz="4" w:space="0" w:color="auto"/>
            </w:tcBorders>
            <w:shd w:val="clear" w:color="auto" w:fill="auto"/>
            <w:vAlign w:val="center"/>
            <w:hideMark/>
          </w:tcPr>
          <w:p w14:paraId="6643BB79" w14:textId="2C242728"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KOLEKTOR KOLING INŽENIRING, INSTALACIJE, PROIZVODNJA D.O.O.</w:t>
            </w:r>
          </w:p>
        </w:tc>
        <w:tc>
          <w:tcPr>
            <w:tcW w:w="649" w:type="pct"/>
            <w:tcBorders>
              <w:top w:val="nil"/>
              <w:left w:val="nil"/>
              <w:bottom w:val="single" w:sz="4" w:space="0" w:color="auto"/>
              <w:right w:val="single" w:sz="4" w:space="0" w:color="auto"/>
            </w:tcBorders>
            <w:shd w:val="clear" w:color="auto" w:fill="auto"/>
            <w:vAlign w:val="center"/>
            <w:hideMark/>
          </w:tcPr>
          <w:p w14:paraId="4F7BF2F6" w14:textId="2BAA8DCB"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95.392.384</w:t>
            </w:r>
          </w:p>
        </w:tc>
      </w:tr>
      <w:tr w:rsidR="008267AB" w:rsidRPr="008B3F1C" w14:paraId="29B4A0AB"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58A79920"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9</w:t>
            </w:r>
          </w:p>
        </w:tc>
        <w:tc>
          <w:tcPr>
            <w:tcW w:w="4078" w:type="pct"/>
            <w:tcBorders>
              <w:top w:val="nil"/>
              <w:left w:val="nil"/>
              <w:bottom w:val="single" w:sz="4" w:space="0" w:color="auto"/>
              <w:right w:val="single" w:sz="4" w:space="0" w:color="auto"/>
            </w:tcBorders>
            <w:shd w:val="clear" w:color="auto" w:fill="auto"/>
            <w:vAlign w:val="center"/>
            <w:hideMark/>
          </w:tcPr>
          <w:p w14:paraId="30AA57B0" w14:textId="4A7D3BCA"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SALUS PROMET S FARMACEVTSKIMI, MEDICINSKIMI IN DRUGIMI PROIZVODI, D.D., LJUBLJANA</w:t>
            </w:r>
          </w:p>
        </w:tc>
        <w:tc>
          <w:tcPr>
            <w:tcW w:w="649" w:type="pct"/>
            <w:tcBorders>
              <w:top w:val="nil"/>
              <w:left w:val="nil"/>
              <w:bottom w:val="single" w:sz="4" w:space="0" w:color="auto"/>
              <w:right w:val="single" w:sz="4" w:space="0" w:color="auto"/>
            </w:tcBorders>
            <w:shd w:val="clear" w:color="auto" w:fill="auto"/>
            <w:vAlign w:val="center"/>
            <w:hideMark/>
          </w:tcPr>
          <w:p w14:paraId="11F2C678" w14:textId="5780C3C4"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91.282.344</w:t>
            </w:r>
          </w:p>
        </w:tc>
      </w:tr>
      <w:tr w:rsidR="008267AB" w:rsidRPr="00637ACF" w14:paraId="71632A1A" w14:textId="77777777" w:rsidTr="008267AB">
        <w:trPr>
          <w:trHeight w:val="300"/>
        </w:trPr>
        <w:tc>
          <w:tcPr>
            <w:tcW w:w="273" w:type="pct"/>
            <w:tcBorders>
              <w:top w:val="nil"/>
              <w:left w:val="single" w:sz="4" w:space="0" w:color="auto"/>
              <w:bottom w:val="single" w:sz="4" w:space="0" w:color="auto"/>
              <w:right w:val="single" w:sz="4" w:space="0" w:color="auto"/>
            </w:tcBorders>
            <w:shd w:val="clear" w:color="auto" w:fill="auto"/>
            <w:vAlign w:val="center"/>
            <w:hideMark/>
          </w:tcPr>
          <w:p w14:paraId="11848702" w14:textId="77777777"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10</w:t>
            </w:r>
          </w:p>
        </w:tc>
        <w:tc>
          <w:tcPr>
            <w:tcW w:w="4078" w:type="pct"/>
            <w:tcBorders>
              <w:top w:val="nil"/>
              <w:left w:val="nil"/>
              <w:bottom w:val="single" w:sz="4" w:space="0" w:color="auto"/>
              <w:right w:val="single" w:sz="4" w:space="0" w:color="auto"/>
            </w:tcBorders>
            <w:shd w:val="clear" w:color="auto" w:fill="auto"/>
            <w:vAlign w:val="center"/>
            <w:hideMark/>
          </w:tcPr>
          <w:p w14:paraId="243C04C3" w14:textId="7E0DF19F" w:rsidR="008267AB" w:rsidRPr="008B3F1C" w:rsidRDefault="008267AB" w:rsidP="008267AB">
            <w:pPr>
              <w:spacing w:after="0" w:line="240" w:lineRule="auto"/>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CGP, DRUŽBA ZA GRADBENIŠTVO, INŽENIRING, PROIZVODNJO IN VZDRŽEVANJE CEST, D.D.</w:t>
            </w:r>
          </w:p>
        </w:tc>
        <w:tc>
          <w:tcPr>
            <w:tcW w:w="649" w:type="pct"/>
            <w:tcBorders>
              <w:top w:val="nil"/>
              <w:left w:val="nil"/>
              <w:bottom w:val="single" w:sz="4" w:space="0" w:color="auto"/>
              <w:right w:val="single" w:sz="4" w:space="0" w:color="auto"/>
            </w:tcBorders>
            <w:shd w:val="clear" w:color="auto" w:fill="auto"/>
            <w:vAlign w:val="center"/>
            <w:hideMark/>
          </w:tcPr>
          <w:p w14:paraId="2D8F66B0" w14:textId="03421B49" w:rsidR="008267AB" w:rsidRPr="008B3F1C" w:rsidRDefault="008267AB" w:rsidP="008267AB">
            <w:pPr>
              <w:spacing w:after="0" w:line="240" w:lineRule="auto"/>
              <w:jc w:val="right"/>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74.400.490</w:t>
            </w:r>
          </w:p>
        </w:tc>
      </w:tr>
    </w:tbl>
    <w:p w14:paraId="5EC8BE95" w14:textId="77777777" w:rsidR="00D06862" w:rsidRPr="00637ACF" w:rsidRDefault="00D06862" w:rsidP="004A613D">
      <w:pPr>
        <w:spacing w:after="0" w:line="240" w:lineRule="auto"/>
        <w:jc w:val="center"/>
        <w:rPr>
          <w:rFonts w:ascii="Arial" w:hAnsi="Arial" w:cs="Arial"/>
          <w:color w:val="000000" w:themeColor="text1"/>
          <w:sz w:val="18"/>
          <w:highlight w:val="yellow"/>
        </w:rPr>
      </w:pPr>
    </w:p>
    <w:p w14:paraId="37107AAA" w14:textId="7060D7EC" w:rsidR="00F83DD4" w:rsidRPr="008B3F1C" w:rsidRDefault="00F83DD4" w:rsidP="004A613D">
      <w:pPr>
        <w:spacing w:after="0" w:line="240" w:lineRule="auto"/>
        <w:jc w:val="center"/>
        <w:rPr>
          <w:rFonts w:ascii="Arial" w:hAnsi="Arial" w:cs="Arial"/>
          <w:color w:val="000000" w:themeColor="text1"/>
          <w:sz w:val="18"/>
        </w:rPr>
      </w:pPr>
      <w:r w:rsidRPr="008B3F1C">
        <w:rPr>
          <w:rFonts w:ascii="Arial" w:hAnsi="Arial" w:cs="Arial"/>
          <w:color w:val="000000" w:themeColor="text1"/>
          <w:sz w:val="18"/>
        </w:rPr>
        <w:t>Vir: Statistični podatki o javni</w:t>
      </w:r>
      <w:r w:rsidR="003C5EDA" w:rsidRPr="008B3F1C">
        <w:rPr>
          <w:rFonts w:ascii="Arial" w:hAnsi="Arial" w:cs="Arial"/>
          <w:color w:val="000000" w:themeColor="text1"/>
          <w:sz w:val="18"/>
        </w:rPr>
        <w:t>h naročilih, oddanih v letu 20</w:t>
      </w:r>
      <w:r w:rsidR="001A32BB" w:rsidRPr="008B3F1C">
        <w:rPr>
          <w:rFonts w:ascii="Arial" w:hAnsi="Arial" w:cs="Arial"/>
          <w:color w:val="000000" w:themeColor="text1"/>
          <w:sz w:val="18"/>
        </w:rPr>
        <w:t>2</w:t>
      </w:r>
      <w:r w:rsidR="00B96C04" w:rsidRPr="008B3F1C">
        <w:rPr>
          <w:rFonts w:ascii="Arial" w:hAnsi="Arial" w:cs="Arial"/>
          <w:color w:val="000000" w:themeColor="text1"/>
          <w:sz w:val="18"/>
        </w:rPr>
        <w:t>3</w:t>
      </w:r>
      <w:r w:rsidR="00B0329F" w:rsidRPr="008B3F1C">
        <w:rPr>
          <w:rFonts w:ascii="Arial" w:hAnsi="Arial" w:cs="Arial"/>
          <w:color w:val="000000" w:themeColor="text1"/>
          <w:sz w:val="18"/>
        </w:rPr>
        <w:t>.</w:t>
      </w:r>
    </w:p>
    <w:p w14:paraId="4797C246" w14:textId="77777777" w:rsidR="00122C38" w:rsidRPr="008B3F1C" w:rsidRDefault="00122C38" w:rsidP="004A613D">
      <w:pPr>
        <w:spacing w:after="0" w:line="240" w:lineRule="auto"/>
        <w:jc w:val="center"/>
        <w:rPr>
          <w:rFonts w:ascii="Arial" w:hAnsi="Arial" w:cs="Arial"/>
          <w:color w:val="FF0000"/>
          <w:sz w:val="18"/>
        </w:rPr>
      </w:pPr>
    </w:p>
    <w:p w14:paraId="13CB571C" w14:textId="3EE8261E" w:rsidR="004A21A3" w:rsidRPr="008B3F1C" w:rsidRDefault="004A21A3" w:rsidP="00122C38">
      <w:pPr>
        <w:pStyle w:val="Naslov3"/>
      </w:pPr>
      <w:bookmarkStart w:id="45" w:name="_Toc175563874"/>
      <w:r w:rsidRPr="008B3F1C">
        <w:t>2.</w:t>
      </w:r>
      <w:r w:rsidR="00FA2740" w:rsidRPr="008B3F1C">
        <w:t>7</w:t>
      </w:r>
      <w:r w:rsidRPr="008B3F1C">
        <w:t>.3 Največja oddana naročila v letu 20</w:t>
      </w:r>
      <w:r w:rsidR="000C1FF7" w:rsidRPr="008B3F1C">
        <w:t>2</w:t>
      </w:r>
      <w:r w:rsidR="00B96C04" w:rsidRPr="008B3F1C">
        <w:t>3</w:t>
      </w:r>
      <w:bookmarkEnd w:id="45"/>
    </w:p>
    <w:p w14:paraId="7AD99ACB" w14:textId="77777777" w:rsidR="004A21A3" w:rsidRPr="008B3F1C" w:rsidRDefault="004A21A3" w:rsidP="00854405">
      <w:pPr>
        <w:pStyle w:val="ZADEVA"/>
        <w:jc w:val="both"/>
        <w:rPr>
          <w:rFonts w:cs="Arial"/>
          <w:b w:val="0"/>
          <w:color w:val="FF0000"/>
          <w:szCs w:val="20"/>
          <w:lang w:val="sl-SI"/>
        </w:rPr>
      </w:pPr>
    </w:p>
    <w:p w14:paraId="30B78E93" w14:textId="1DF3E063" w:rsidR="009155CC" w:rsidRPr="008B3F1C" w:rsidRDefault="009155CC" w:rsidP="00AC44FC">
      <w:pPr>
        <w:spacing w:line="360" w:lineRule="auto"/>
        <w:jc w:val="both"/>
        <w:rPr>
          <w:rFonts w:ascii="Arial" w:hAnsi="Arial" w:cs="Arial"/>
          <w:color w:val="000000" w:themeColor="text1"/>
          <w:sz w:val="20"/>
          <w:szCs w:val="20"/>
          <w:lang w:eastAsia="sl-SI"/>
        </w:rPr>
      </w:pPr>
      <w:r w:rsidRPr="008B3F1C">
        <w:rPr>
          <w:rFonts w:ascii="Arial" w:hAnsi="Arial" w:cs="Arial"/>
          <w:color w:val="000000" w:themeColor="text1"/>
          <w:sz w:val="20"/>
          <w:szCs w:val="20"/>
          <w:lang w:eastAsia="sl-SI"/>
        </w:rPr>
        <w:t xml:space="preserve">Iz statističnih podatkov </w:t>
      </w:r>
      <w:r w:rsidR="001E6D56" w:rsidRPr="008B3F1C">
        <w:rPr>
          <w:rFonts w:ascii="Arial" w:hAnsi="Arial" w:cs="Arial"/>
          <w:color w:val="000000" w:themeColor="text1"/>
          <w:sz w:val="20"/>
          <w:szCs w:val="20"/>
          <w:lang w:eastAsia="sl-SI"/>
        </w:rPr>
        <w:t>izhaja</w:t>
      </w:r>
      <w:r w:rsidRPr="008B3F1C">
        <w:rPr>
          <w:rFonts w:ascii="Arial" w:hAnsi="Arial" w:cs="Arial"/>
          <w:color w:val="000000" w:themeColor="text1"/>
          <w:sz w:val="20"/>
          <w:szCs w:val="20"/>
          <w:lang w:eastAsia="sl-SI"/>
        </w:rPr>
        <w:t>, da 15 največjih</w:t>
      </w:r>
      <w:r w:rsidR="003F5C42" w:rsidRPr="008B3F1C">
        <w:rPr>
          <w:rFonts w:ascii="Arial" w:hAnsi="Arial" w:cs="Arial"/>
          <w:color w:val="000000" w:themeColor="text1"/>
          <w:sz w:val="20"/>
          <w:szCs w:val="20"/>
          <w:lang w:eastAsia="sl-SI"/>
        </w:rPr>
        <w:t xml:space="preserve"> javnih</w:t>
      </w:r>
      <w:r w:rsidR="002C0EF5" w:rsidRPr="008B3F1C">
        <w:rPr>
          <w:rFonts w:ascii="Arial" w:hAnsi="Arial" w:cs="Arial"/>
          <w:color w:val="000000" w:themeColor="text1"/>
          <w:sz w:val="20"/>
          <w:szCs w:val="20"/>
          <w:lang w:eastAsia="sl-SI"/>
        </w:rPr>
        <w:t xml:space="preserve"> naročil v letu 20</w:t>
      </w:r>
      <w:r w:rsidR="000C1FF7" w:rsidRPr="008B3F1C">
        <w:rPr>
          <w:rFonts w:ascii="Arial" w:hAnsi="Arial" w:cs="Arial"/>
          <w:color w:val="000000" w:themeColor="text1"/>
          <w:sz w:val="20"/>
          <w:szCs w:val="20"/>
          <w:lang w:eastAsia="sl-SI"/>
        </w:rPr>
        <w:t>2</w:t>
      </w:r>
      <w:r w:rsidR="00E90BCD" w:rsidRPr="008B3F1C">
        <w:rPr>
          <w:rFonts w:ascii="Arial" w:hAnsi="Arial" w:cs="Arial"/>
          <w:color w:val="000000" w:themeColor="text1"/>
          <w:sz w:val="20"/>
          <w:szCs w:val="20"/>
          <w:lang w:eastAsia="sl-SI"/>
        </w:rPr>
        <w:t>3</w:t>
      </w:r>
      <w:r w:rsidRPr="008B3F1C">
        <w:rPr>
          <w:rFonts w:ascii="Arial" w:hAnsi="Arial" w:cs="Arial"/>
          <w:color w:val="000000" w:themeColor="text1"/>
          <w:sz w:val="20"/>
          <w:szCs w:val="20"/>
          <w:lang w:eastAsia="sl-SI"/>
        </w:rPr>
        <w:t xml:space="preserve"> po vrednosti obsega</w:t>
      </w:r>
      <w:r w:rsidR="00524531" w:rsidRPr="008B3F1C">
        <w:rPr>
          <w:rFonts w:ascii="Arial" w:hAnsi="Arial" w:cs="Arial"/>
          <w:color w:val="000000" w:themeColor="text1"/>
          <w:sz w:val="20"/>
          <w:szCs w:val="20"/>
          <w:lang w:eastAsia="sl-SI"/>
        </w:rPr>
        <w:t xml:space="preserve"> </w:t>
      </w:r>
      <w:r w:rsidR="006E154A" w:rsidRPr="008B3F1C">
        <w:rPr>
          <w:rFonts w:ascii="Arial" w:hAnsi="Arial" w:cs="Arial"/>
          <w:color w:val="000000" w:themeColor="text1"/>
          <w:sz w:val="20"/>
          <w:szCs w:val="20"/>
          <w:lang w:eastAsia="sl-SI"/>
        </w:rPr>
        <w:t xml:space="preserve">slabo </w:t>
      </w:r>
      <w:r w:rsidR="00E90BCD" w:rsidRPr="008B3F1C">
        <w:rPr>
          <w:rFonts w:ascii="Arial" w:hAnsi="Arial" w:cs="Arial"/>
          <w:color w:val="000000" w:themeColor="text1"/>
          <w:sz w:val="20"/>
          <w:szCs w:val="20"/>
          <w:lang w:eastAsia="sl-SI"/>
        </w:rPr>
        <w:t>četrtino</w:t>
      </w:r>
      <w:r w:rsidRPr="008B3F1C">
        <w:rPr>
          <w:rFonts w:ascii="Arial" w:hAnsi="Arial" w:cs="Arial"/>
          <w:color w:val="000000" w:themeColor="text1"/>
          <w:sz w:val="20"/>
          <w:szCs w:val="20"/>
          <w:lang w:eastAsia="sl-SI"/>
        </w:rPr>
        <w:t xml:space="preserve"> (</w:t>
      </w:r>
      <w:r w:rsidR="00E90BCD" w:rsidRPr="008B3F1C">
        <w:rPr>
          <w:rFonts w:ascii="Arial" w:hAnsi="Arial" w:cs="Arial"/>
          <w:color w:val="000000" w:themeColor="text1"/>
          <w:sz w:val="20"/>
          <w:szCs w:val="20"/>
          <w:lang w:eastAsia="sl-SI"/>
        </w:rPr>
        <w:t>22,92</w:t>
      </w:r>
      <w:r w:rsidR="00B0329F" w:rsidRPr="008B3F1C">
        <w:rPr>
          <w:rFonts w:ascii="Arial" w:hAnsi="Arial" w:cs="Arial"/>
          <w:color w:val="000000" w:themeColor="text1"/>
          <w:sz w:val="20"/>
          <w:szCs w:val="20"/>
          <w:lang w:eastAsia="sl-SI"/>
        </w:rPr>
        <w:t> </w:t>
      </w:r>
      <w:r w:rsidR="00AC0027" w:rsidRPr="008B3F1C">
        <w:rPr>
          <w:rFonts w:ascii="Arial" w:hAnsi="Arial" w:cs="Arial"/>
          <w:color w:val="000000" w:themeColor="text1"/>
          <w:sz w:val="20"/>
          <w:szCs w:val="20"/>
          <w:lang w:eastAsia="sl-SI"/>
        </w:rPr>
        <w:t>odstotka</w:t>
      </w:r>
      <w:r w:rsidRPr="008B3F1C">
        <w:rPr>
          <w:rFonts w:ascii="Arial" w:hAnsi="Arial" w:cs="Arial"/>
          <w:color w:val="000000" w:themeColor="text1"/>
          <w:sz w:val="20"/>
          <w:szCs w:val="20"/>
          <w:lang w:eastAsia="sl-SI"/>
        </w:rPr>
        <w:t xml:space="preserve">) vseh </w:t>
      </w:r>
      <w:r w:rsidR="003F5C42" w:rsidRPr="008B3F1C">
        <w:rPr>
          <w:rFonts w:ascii="Arial" w:hAnsi="Arial" w:cs="Arial"/>
          <w:color w:val="000000" w:themeColor="text1"/>
          <w:sz w:val="20"/>
          <w:szCs w:val="20"/>
          <w:lang w:eastAsia="sl-SI"/>
        </w:rPr>
        <w:t xml:space="preserve">javnih </w:t>
      </w:r>
      <w:r w:rsidRPr="008B3F1C">
        <w:rPr>
          <w:rFonts w:ascii="Arial" w:hAnsi="Arial" w:cs="Arial"/>
          <w:color w:val="000000" w:themeColor="text1"/>
          <w:sz w:val="20"/>
          <w:szCs w:val="20"/>
          <w:lang w:eastAsia="sl-SI"/>
        </w:rPr>
        <w:t>naročil, ki so jih naročniki objavili na portalu javnih naročil in v Uradnem listu Evropske unije</w:t>
      </w:r>
      <w:r w:rsidR="002E1FC4" w:rsidRPr="008B3F1C">
        <w:rPr>
          <w:rFonts w:ascii="Arial" w:hAnsi="Arial" w:cs="Arial"/>
          <w:color w:val="000000" w:themeColor="text1"/>
          <w:sz w:val="20"/>
          <w:szCs w:val="20"/>
          <w:lang w:eastAsia="sl-SI"/>
        </w:rPr>
        <w:t xml:space="preserve">. </w:t>
      </w:r>
      <w:r w:rsidR="00636C03" w:rsidRPr="008B3F1C">
        <w:rPr>
          <w:rFonts w:ascii="Arial" w:hAnsi="Arial" w:cs="Arial"/>
          <w:color w:val="000000" w:themeColor="text1"/>
          <w:sz w:val="20"/>
          <w:szCs w:val="20"/>
          <w:lang w:eastAsia="sl-SI"/>
        </w:rPr>
        <w:t>Dvanajst j</w:t>
      </w:r>
      <w:r w:rsidR="003F5C42" w:rsidRPr="008B3F1C">
        <w:rPr>
          <w:rFonts w:ascii="Arial" w:hAnsi="Arial" w:cs="Arial"/>
          <w:color w:val="000000" w:themeColor="text1"/>
          <w:sz w:val="20"/>
          <w:szCs w:val="20"/>
          <w:lang w:eastAsia="sl-SI"/>
        </w:rPr>
        <w:t xml:space="preserve">avnih </w:t>
      </w:r>
      <w:r w:rsidRPr="008B3F1C">
        <w:rPr>
          <w:rFonts w:ascii="Arial" w:hAnsi="Arial" w:cs="Arial"/>
          <w:color w:val="000000" w:themeColor="text1"/>
          <w:sz w:val="20"/>
          <w:szCs w:val="20"/>
          <w:lang w:eastAsia="sl-SI"/>
        </w:rPr>
        <w:t>naročil je bilo oddanih na splošnem,</w:t>
      </w:r>
      <w:r w:rsidR="000E4796" w:rsidRPr="008B3F1C">
        <w:rPr>
          <w:rFonts w:ascii="Arial" w:hAnsi="Arial" w:cs="Arial"/>
          <w:color w:val="000000" w:themeColor="text1"/>
          <w:sz w:val="20"/>
          <w:szCs w:val="20"/>
          <w:lang w:eastAsia="sl-SI"/>
        </w:rPr>
        <w:t xml:space="preserve"> </w:t>
      </w:r>
      <w:r w:rsidR="00636C03" w:rsidRPr="008B3F1C">
        <w:rPr>
          <w:rFonts w:ascii="Arial" w:hAnsi="Arial" w:cs="Arial"/>
          <w:color w:val="000000" w:themeColor="text1"/>
          <w:sz w:val="20"/>
          <w:szCs w:val="20"/>
          <w:lang w:eastAsia="sl-SI"/>
        </w:rPr>
        <w:t>tri</w:t>
      </w:r>
      <w:r w:rsidR="002E1FC4" w:rsidRPr="008B3F1C">
        <w:rPr>
          <w:rFonts w:ascii="Arial" w:hAnsi="Arial" w:cs="Arial"/>
          <w:color w:val="000000" w:themeColor="text1"/>
          <w:sz w:val="20"/>
          <w:szCs w:val="20"/>
          <w:lang w:eastAsia="sl-SI"/>
        </w:rPr>
        <w:t xml:space="preserve"> pa</w:t>
      </w:r>
      <w:r w:rsidRPr="008B3F1C">
        <w:rPr>
          <w:rFonts w:ascii="Arial" w:hAnsi="Arial" w:cs="Arial"/>
          <w:color w:val="000000" w:themeColor="text1"/>
          <w:sz w:val="20"/>
          <w:szCs w:val="20"/>
          <w:lang w:eastAsia="sl-SI"/>
        </w:rPr>
        <w:t xml:space="preserve"> na infrastrukturnem</w:t>
      </w:r>
      <w:r w:rsidR="000E4796" w:rsidRPr="008B3F1C">
        <w:rPr>
          <w:rFonts w:ascii="Arial" w:hAnsi="Arial" w:cs="Arial"/>
          <w:color w:val="000000" w:themeColor="text1"/>
          <w:sz w:val="20"/>
          <w:szCs w:val="20"/>
          <w:lang w:eastAsia="sl-SI"/>
        </w:rPr>
        <w:t xml:space="preserve"> </w:t>
      </w:r>
      <w:r w:rsidR="002E1FC4" w:rsidRPr="008B3F1C">
        <w:rPr>
          <w:rFonts w:ascii="Arial" w:hAnsi="Arial" w:cs="Arial"/>
          <w:color w:val="000000" w:themeColor="text1"/>
          <w:sz w:val="20"/>
          <w:szCs w:val="20"/>
          <w:lang w:eastAsia="sl-SI"/>
        </w:rPr>
        <w:t>področju</w:t>
      </w:r>
      <w:r w:rsidRPr="008B3F1C">
        <w:rPr>
          <w:rFonts w:ascii="Arial" w:hAnsi="Arial" w:cs="Arial"/>
          <w:color w:val="000000" w:themeColor="text1"/>
          <w:sz w:val="20"/>
          <w:szCs w:val="20"/>
          <w:lang w:eastAsia="sl-SI"/>
        </w:rPr>
        <w:t xml:space="preserve">. Prevladovalo je naročanje </w:t>
      </w:r>
      <w:r w:rsidR="006E154A" w:rsidRPr="008B3F1C">
        <w:rPr>
          <w:rFonts w:ascii="Arial" w:hAnsi="Arial" w:cs="Arial"/>
          <w:color w:val="000000" w:themeColor="text1"/>
          <w:sz w:val="20"/>
          <w:szCs w:val="20"/>
          <w:lang w:eastAsia="sl-SI"/>
        </w:rPr>
        <w:t>storitev (</w:t>
      </w:r>
      <w:r w:rsidR="003906EC" w:rsidRPr="008B3F1C">
        <w:rPr>
          <w:rFonts w:ascii="Arial" w:hAnsi="Arial" w:cs="Arial"/>
          <w:color w:val="000000" w:themeColor="text1"/>
          <w:sz w:val="20"/>
          <w:szCs w:val="20"/>
          <w:lang w:eastAsia="sl-SI"/>
        </w:rPr>
        <w:t>8</w:t>
      </w:r>
      <w:r w:rsidR="006E154A" w:rsidRPr="008B3F1C">
        <w:rPr>
          <w:rFonts w:ascii="Arial" w:hAnsi="Arial" w:cs="Arial"/>
          <w:color w:val="000000" w:themeColor="text1"/>
          <w:sz w:val="20"/>
          <w:szCs w:val="20"/>
          <w:lang w:eastAsia="sl-SI"/>
        </w:rPr>
        <w:t xml:space="preserve"> javnih naročil), naročanje </w:t>
      </w:r>
      <w:r w:rsidR="003906EC" w:rsidRPr="008B3F1C">
        <w:rPr>
          <w:rFonts w:ascii="Arial" w:hAnsi="Arial" w:cs="Arial"/>
          <w:color w:val="000000" w:themeColor="text1"/>
          <w:sz w:val="20"/>
          <w:szCs w:val="20"/>
          <w:lang w:eastAsia="sl-SI"/>
        </w:rPr>
        <w:t>blaga</w:t>
      </w:r>
      <w:r w:rsidR="006E154A" w:rsidRPr="008B3F1C">
        <w:rPr>
          <w:rFonts w:ascii="Arial" w:hAnsi="Arial" w:cs="Arial"/>
          <w:color w:val="000000" w:themeColor="text1"/>
          <w:sz w:val="20"/>
          <w:szCs w:val="20"/>
          <w:lang w:eastAsia="sl-SI"/>
        </w:rPr>
        <w:t xml:space="preserve"> (</w:t>
      </w:r>
      <w:r w:rsidR="003906EC" w:rsidRPr="008B3F1C">
        <w:rPr>
          <w:rFonts w:ascii="Arial" w:hAnsi="Arial" w:cs="Arial"/>
          <w:color w:val="000000" w:themeColor="text1"/>
          <w:sz w:val="20"/>
          <w:szCs w:val="20"/>
          <w:lang w:eastAsia="sl-SI"/>
        </w:rPr>
        <w:t xml:space="preserve">4 </w:t>
      </w:r>
      <w:r w:rsidR="006E154A" w:rsidRPr="008B3F1C">
        <w:rPr>
          <w:rFonts w:ascii="Arial" w:hAnsi="Arial" w:cs="Arial"/>
          <w:color w:val="000000" w:themeColor="text1"/>
          <w:sz w:val="20"/>
          <w:szCs w:val="20"/>
          <w:lang w:eastAsia="sl-SI"/>
        </w:rPr>
        <w:t xml:space="preserve">javna naročila), preostalo naročilo </w:t>
      </w:r>
      <w:r w:rsidR="00013C26" w:rsidRPr="008B3F1C">
        <w:rPr>
          <w:rFonts w:ascii="Arial" w:hAnsi="Arial" w:cs="Arial"/>
          <w:color w:val="000000" w:themeColor="text1"/>
          <w:sz w:val="20"/>
          <w:szCs w:val="20"/>
          <w:lang w:eastAsia="sl-SI"/>
        </w:rPr>
        <w:t>p</w:t>
      </w:r>
      <w:r w:rsidR="006E154A" w:rsidRPr="008B3F1C">
        <w:rPr>
          <w:rFonts w:ascii="Arial" w:hAnsi="Arial" w:cs="Arial"/>
          <w:color w:val="000000" w:themeColor="text1"/>
          <w:sz w:val="20"/>
          <w:szCs w:val="20"/>
          <w:lang w:eastAsia="sl-SI"/>
        </w:rPr>
        <w:t xml:space="preserve">a je bilo naročilo </w:t>
      </w:r>
      <w:r w:rsidR="003906EC" w:rsidRPr="008B3F1C">
        <w:rPr>
          <w:rFonts w:ascii="Arial" w:hAnsi="Arial" w:cs="Arial"/>
          <w:color w:val="000000" w:themeColor="text1"/>
          <w:sz w:val="20"/>
          <w:szCs w:val="20"/>
          <w:lang w:eastAsia="sl-SI"/>
        </w:rPr>
        <w:t>gradenj</w:t>
      </w:r>
      <w:r w:rsidR="006E154A" w:rsidRPr="008B3F1C">
        <w:rPr>
          <w:rFonts w:ascii="Arial" w:hAnsi="Arial" w:cs="Arial"/>
          <w:color w:val="000000" w:themeColor="text1"/>
          <w:sz w:val="20"/>
          <w:szCs w:val="20"/>
          <w:lang w:eastAsia="sl-SI"/>
        </w:rPr>
        <w:t xml:space="preserve">. </w:t>
      </w:r>
    </w:p>
    <w:p w14:paraId="7B5A3D2B" w14:textId="2915BDEB" w:rsidR="003F5C42" w:rsidRPr="008B3F1C" w:rsidRDefault="003F5C42" w:rsidP="008A61FD">
      <w:pPr>
        <w:spacing w:before="120" w:after="120" w:line="240" w:lineRule="auto"/>
        <w:jc w:val="both"/>
        <w:rPr>
          <w:rFonts w:ascii="Arial" w:hAnsi="Arial" w:cs="Arial"/>
          <w:color w:val="000000" w:themeColor="text1"/>
          <w:sz w:val="20"/>
        </w:rPr>
      </w:pPr>
      <w:r w:rsidRPr="008B3F1C">
        <w:rPr>
          <w:rFonts w:ascii="Arial" w:hAnsi="Arial" w:cs="Arial"/>
          <w:color w:val="000000" w:themeColor="text1"/>
          <w:sz w:val="20"/>
        </w:rPr>
        <w:t xml:space="preserve">Preglednica </w:t>
      </w:r>
      <w:r w:rsidR="00512F52" w:rsidRPr="008B3F1C">
        <w:rPr>
          <w:rFonts w:ascii="Arial" w:hAnsi="Arial" w:cs="Arial"/>
          <w:color w:val="000000" w:themeColor="text1"/>
          <w:sz w:val="20"/>
        </w:rPr>
        <w:t>4</w:t>
      </w:r>
      <w:r w:rsidR="00EA747F" w:rsidRPr="008B3F1C">
        <w:rPr>
          <w:rFonts w:ascii="Arial" w:hAnsi="Arial" w:cs="Arial"/>
          <w:color w:val="000000" w:themeColor="text1"/>
          <w:sz w:val="20"/>
        </w:rPr>
        <w:t>2</w:t>
      </w:r>
      <w:r w:rsidRPr="008B3F1C">
        <w:rPr>
          <w:rFonts w:ascii="Arial" w:hAnsi="Arial" w:cs="Arial"/>
          <w:color w:val="000000" w:themeColor="text1"/>
          <w:sz w:val="20"/>
        </w:rPr>
        <w:t>: Petnaj</w:t>
      </w:r>
      <w:r w:rsidR="001D1611" w:rsidRPr="008B3F1C">
        <w:rPr>
          <w:rFonts w:ascii="Arial" w:hAnsi="Arial" w:cs="Arial"/>
          <w:color w:val="000000" w:themeColor="text1"/>
          <w:sz w:val="20"/>
        </w:rPr>
        <w:t>st največjih naročil v letu 20</w:t>
      </w:r>
      <w:r w:rsidR="000C1FF7" w:rsidRPr="008B3F1C">
        <w:rPr>
          <w:rFonts w:ascii="Arial" w:hAnsi="Arial" w:cs="Arial"/>
          <w:color w:val="000000" w:themeColor="text1"/>
          <w:sz w:val="20"/>
        </w:rPr>
        <w:t>2</w:t>
      </w:r>
      <w:r w:rsidR="00910C9E" w:rsidRPr="008B3F1C">
        <w:rPr>
          <w:rFonts w:ascii="Arial" w:hAnsi="Arial" w:cs="Arial"/>
          <w:color w:val="000000" w:themeColor="text1"/>
          <w:sz w:val="20"/>
        </w:rPr>
        <w:t>3</w:t>
      </w:r>
    </w:p>
    <w:tbl>
      <w:tblPr>
        <w:tblW w:w="5000" w:type="pct"/>
        <w:tblCellMar>
          <w:left w:w="70" w:type="dxa"/>
          <w:right w:w="70" w:type="dxa"/>
        </w:tblCellMar>
        <w:tblLook w:val="04A0" w:firstRow="1" w:lastRow="0" w:firstColumn="1" w:lastColumn="0" w:noHBand="0" w:noVBand="1"/>
      </w:tblPr>
      <w:tblGrid>
        <w:gridCol w:w="501"/>
        <w:gridCol w:w="2570"/>
        <w:gridCol w:w="4141"/>
        <w:gridCol w:w="821"/>
        <w:gridCol w:w="1141"/>
      </w:tblGrid>
      <w:tr w:rsidR="00636C03" w:rsidRPr="008B3F1C" w14:paraId="5054C90F" w14:textId="77777777" w:rsidTr="00636C03">
        <w:trPr>
          <w:trHeight w:val="456"/>
          <w:tblHeader/>
        </w:trPr>
        <w:tc>
          <w:tcPr>
            <w:tcW w:w="22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8A1CF26" w14:textId="77777777" w:rsidR="00636C03" w:rsidRPr="008B3F1C" w:rsidRDefault="00636C03" w:rsidP="00636C03">
            <w:pPr>
              <w:spacing w:after="0" w:line="240" w:lineRule="auto"/>
              <w:jc w:val="center"/>
              <w:rPr>
                <w:rFonts w:ascii="Arial" w:eastAsia="Times New Roman" w:hAnsi="Arial" w:cs="Arial"/>
                <w:color w:val="000000" w:themeColor="text1"/>
                <w:sz w:val="18"/>
                <w:szCs w:val="18"/>
                <w:lang w:eastAsia="sl-SI"/>
              </w:rPr>
            </w:pPr>
            <w:proofErr w:type="spellStart"/>
            <w:r w:rsidRPr="008B3F1C">
              <w:rPr>
                <w:rFonts w:ascii="Arial" w:eastAsia="Times New Roman" w:hAnsi="Arial" w:cs="Arial"/>
                <w:color w:val="000000" w:themeColor="text1"/>
                <w:sz w:val="18"/>
                <w:szCs w:val="18"/>
                <w:lang w:eastAsia="sl-SI"/>
              </w:rPr>
              <w:t>Zap</w:t>
            </w:r>
            <w:proofErr w:type="spellEnd"/>
            <w:r w:rsidRPr="008B3F1C">
              <w:rPr>
                <w:rFonts w:ascii="Arial" w:eastAsia="Times New Roman" w:hAnsi="Arial" w:cs="Arial"/>
                <w:color w:val="000000" w:themeColor="text1"/>
                <w:sz w:val="18"/>
                <w:szCs w:val="18"/>
                <w:lang w:eastAsia="sl-SI"/>
              </w:rPr>
              <w:t xml:space="preserve">. št. </w:t>
            </w:r>
          </w:p>
        </w:tc>
        <w:tc>
          <w:tcPr>
            <w:tcW w:w="1619" w:type="pct"/>
            <w:tcBorders>
              <w:top w:val="single" w:sz="4" w:space="0" w:color="auto"/>
              <w:left w:val="nil"/>
              <w:bottom w:val="single" w:sz="4" w:space="0" w:color="auto"/>
              <w:right w:val="single" w:sz="4" w:space="0" w:color="auto"/>
            </w:tcBorders>
            <w:shd w:val="clear" w:color="000000" w:fill="F2F2F2"/>
            <w:vAlign w:val="center"/>
            <w:hideMark/>
          </w:tcPr>
          <w:p w14:paraId="5294CF6D" w14:textId="77777777" w:rsidR="00636C03" w:rsidRPr="008B3F1C" w:rsidRDefault="00636C03" w:rsidP="00636C03">
            <w:pPr>
              <w:spacing w:after="0" w:line="240" w:lineRule="auto"/>
              <w:jc w:val="center"/>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Naročnik</w:t>
            </w:r>
          </w:p>
        </w:tc>
        <w:tc>
          <w:tcPr>
            <w:tcW w:w="2475" w:type="pct"/>
            <w:tcBorders>
              <w:top w:val="single" w:sz="4" w:space="0" w:color="auto"/>
              <w:left w:val="nil"/>
              <w:bottom w:val="single" w:sz="4" w:space="0" w:color="auto"/>
              <w:right w:val="single" w:sz="4" w:space="0" w:color="auto"/>
            </w:tcBorders>
            <w:shd w:val="clear" w:color="000000" w:fill="F2F2F2"/>
            <w:vAlign w:val="center"/>
            <w:hideMark/>
          </w:tcPr>
          <w:p w14:paraId="31E674A5" w14:textId="77777777" w:rsidR="00636C03" w:rsidRPr="008B3F1C" w:rsidRDefault="00636C03" w:rsidP="00636C03">
            <w:pPr>
              <w:spacing w:after="0" w:line="240" w:lineRule="auto"/>
              <w:jc w:val="center"/>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Ponudnik</w:t>
            </w:r>
          </w:p>
        </w:tc>
        <w:tc>
          <w:tcPr>
            <w:tcW w:w="277" w:type="pct"/>
            <w:tcBorders>
              <w:top w:val="single" w:sz="4" w:space="0" w:color="auto"/>
              <w:left w:val="nil"/>
              <w:bottom w:val="single" w:sz="4" w:space="0" w:color="auto"/>
              <w:right w:val="single" w:sz="4" w:space="0" w:color="auto"/>
            </w:tcBorders>
            <w:shd w:val="clear" w:color="000000" w:fill="F2F2F2"/>
            <w:vAlign w:val="center"/>
            <w:hideMark/>
          </w:tcPr>
          <w:p w14:paraId="7115B4EE" w14:textId="77777777" w:rsidR="00636C03" w:rsidRPr="008B3F1C" w:rsidRDefault="00636C03" w:rsidP="00636C03">
            <w:pPr>
              <w:spacing w:after="0" w:line="240" w:lineRule="auto"/>
              <w:jc w:val="center"/>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Predmet</w:t>
            </w:r>
          </w:p>
        </w:tc>
        <w:tc>
          <w:tcPr>
            <w:tcW w:w="405" w:type="pct"/>
            <w:tcBorders>
              <w:top w:val="single" w:sz="4" w:space="0" w:color="auto"/>
              <w:left w:val="nil"/>
              <w:bottom w:val="single" w:sz="4" w:space="0" w:color="auto"/>
              <w:right w:val="single" w:sz="4" w:space="0" w:color="auto"/>
            </w:tcBorders>
            <w:shd w:val="clear" w:color="000000" w:fill="F2F2F2"/>
            <w:vAlign w:val="center"/>
            <w:hideMark/>
          </w:tcPr>
          <w:p w14:paraId="68CB0A3E" w14:textId="1BCF6F87" w:rsidR="00636C03" w:rsidRPr="008B3F1C" w:rsidRDefault="00636C03" w:rsidP="00636C03">
            <w:pPr>
              <w:spacing w:after="0" w:line="240" w:lineRule="auto"/>
              <w:jc w:val="center"/>
              <w:rPr>
                <w:rFonts w:ascii="Arial" w:eastAsia="Times New Roman" w:hAnsi="Arial" w:cs="Arial"/>
                <w:color w:val="000000" w:themeColor="text1"/>
                <w:sz w:val="18"/>
                <w:szCs w:val="18"/>
                <w:lang w:eastAsia="sl-SI"/>
              </w:rPr>
            </w:pPr>
            <w:r w:rsidRPr="008B3F1C">
              <w:rPr>
                <w:rFonts w:ascii="Arial" w:eastAsia="Times New Roman" w:hAnsi="Arial" w:cs="Arial"/>
                <w:color w:val="000000" w:themeColor="text1"/>
                <w:sz w:val="18"/>
                <w:szCs w:val="18"/>
                <w:lang w:eastAsia="sl-SI"/>
              </w:rPr>
              <w:t>Pogodbena vrednost</w:t>
            </w:r>
            <w:r w:rsidR="00986395" w:rsidRPr="008B3F1C">
              <w:rPr>
                <w:rFonts w:ascii="Arial" w:eastAsia="Times New Roman" w:hAnsi="Arial" w:cs="Arial"/>
                <w:color w:val="000000" w:themeColor="text1"/>
                <w:sz w:val="18"/>
                <w:szCs w:val="18"/>
                <w:lang w:eastAsia="sl-SI"/>
              </w:rPr>
              <w:t xml:space="preserve"> (v EUR)</w:t>
            </w:r>
          </w:p>
        </w:tc>
      </w:tr>
      <w:tr w:rsidR="00636C03" w:rsidRPr="008B3F1C" w14:paraId="5E84DCD5"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5FB22ACD"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w:t>
            </w:r>
          </w:p>
        </w:tc>
        <w:tc>
          <w:tcPr>
            <w:tcW w:w="1619" w:type="pct"/>
            <w:tcBorders>
              <w:top w:val="nil"/>
              <w:left w:val="nil"/>
              <w:bottom w:val="single" w:sz="4" w:space="0" w:color="auto"/>
              <w:right w:val="single" w:sz="4" w:space="0" w:color="auto"/>
            </w:tcBorders>
            <w:shd w:val="clear" w:color="auto" w:fill="auto"/>
            <w:vAlign w:val="center"/>
            <w:hideMark/>
          </w:tcPr>
          <w:p w14:paraId="5120D8F5"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2TDK, Družba za razvoj projekta, d.o.o.</w:t>
            </w:r>
          </w:p>
        </w:tc>
        <w:tc>
          <w:tcPr>
            <w:tcW w:w="2475" w:type="pct"/>
            <w:tcBorders>
              <w:top w:val="nil"/>
              <w:left w:val="nil"/>
              <w:bottom w:val="single" w:sz="4" w:space="0" w:color="auto"/>
              <w:right w:val="single" w:sz="4" w:space="0" w:color="auto"/>
            </w:tcBorders>
            <w:shd w:val="clear" w:color="auto" w:fill="auto"/>
            <w:vAlign w:val="center"/>
            <w:hideMark/>
          </w:tcPr>
          <w:p w14:paraId="74300AB7" w14:textId="2E7F0150"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 xml:space="preserve">SŽ </w:t>
            </w:r>
            <w:r w:rsidR="003D5E36">
              <w:rPr>
                <w:rFonts w:ascii="Arial" w:eastAsia="Times New Roman" w:hAnsi="Arial" w:cs="Arial"/>
                <w:color w:val="000000"/>
                <w:sz w:val="18"/>
                <w:szCs w:val="18"/>
                <w:lang w:eastAsia="sl-SI"/>
              </w:rPr>
              <w:t>–</w:t>
            </w:r>
            <w:r w:rsidRPr="008B3F1C">
              <w:rPr>
                <w:rFonts w:ascii="Arial" w:eastAsia="Times New Roman" w:hAnsi="Arial" w:cs="Arial"/>
                <w:color w:val="000000"/>
                <w:sz w:val="18"/>
                <w:szCs w:val="18"/>
                <w:lang w:eastAsia="sl-SI"/>
              </w:rPr>
              <w:t xml:space="preserve"> ŽELEZNIŠKO GRADBENO PODJETJE LJUBLJANA </w:t>
            </w:r>
            <w:proofErr w:type="spellStart"/>
            <w:r w:rsidRPr="008B3F1C">
              <w:rPr>
                <w:rFonts w:ascii="Arial" w:eastAsia="Times New Roman" w:hAnsi="Arial" w:cs="Arial"/>
                <w:color w:val="000000"/>
                <w:sz w:val="18"/>
                <w:szCs w:val="18"/>
                <w:lang w:eastAsia="sl-SI"/>
              </w:rPr>
              <w:t>d.d</w:t>
            </w:r>
            <w:proofErr w:type="spellEnd"/>
            <w:r w:rsidRPr="008B3F1C">
              <w:rPr>
                <w:rFonts w:ascii="Arial" w:eastAsia="Times New Roman" w:hAnsi="Arial" w:cs="Arial"/>
                <w:color w:val="000000"/>
                <w:sz w:val="18"/>
                <w:szCs w:val="18"/>
                <w:lang w:eastAsia="sl-SI"/>
              </w:rPr>
              <w:t>.</w:t>
            </w:r>
          </w:p>
        </w:tc>
        <w:tc>
          <w:tcPr>
            <w:tcW w:w="277" w:type="pct"/>
            <w:tcBorders>
              <w:top w:val="nil"/>
              <w:left w:val="nil"/>
              <w:bottom w:val="single" w:sz="4" w:space="0" w:color="auto"/>
              <w:right w:val="single" w:sz="4" w:space="0" w:color="auto"/>
            </w:tcBorders>
            <w:shd w:val="clear" w:color="auto" w:fill="auto"/>
            <w:vAlign w:val="center"/>
            <w:hideMark/>
          </w:tcPr>
          <w:p w14:paraId="7217F4E8"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Gradnje</w:t>
            </w:r>
          </w:p>
        </w:tc>
        <w:tc>
          <w:tcPr>
            <w:tcW w:w="405" w:type="pct"/>
            <w:tcBorders>
              <w:top w:val="nil"/>
              <w:left w:val="nil"/>
              <w:bottom w:val="single" w:sz="4" w:space="0" w:color="auto"/>
              <w:right w:val="single" w:sz="4" w:space="0" w:color="auto"/>
            </w:tcBorders>
            <w:shd w:val="clear" w:color="auto" w:fill="auto"/>
            <w:vAlign w:val="center"/>
            <w:hideMark/>
          </w:tcPr>
          <w:p w14:paraId="1C1B4DD0"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203.800.754</w:t>
            </w:r>
          </w:p>
        </w:tc>
      </w:tr>
      <w:tr w:rsidR="00636C03" w:rsidRPr="008B3F1C" w14:paraId="50B64B1B"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A18C108"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2</w:t>
            </w:r>
          </w:p>
        </w:tc>
        <w:tc>
          <w:tcPr>
            <w:tcW w:w="1619" w:type="pct"/>
            <w:tcBorders>
              <w:top w:val="nil"/>
              <w:left w:val="nil"/>
              <w:bottom w:val="single" w:sz="4" w:space="0" w:color="auto"/>
              <w:right w:val="single" w:sz="4" w:space="0" w:color="auto"/>
            </w:tcBorders>
            <w:shd w:val="clear" w:color="auto" w:fill="auto"/>
            <w:vAlign w:val="center"/>
            <w:hideMark/>
          </w:tcPr>
          <w:p w14:paraId="12B207BB"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SKUPNOST OBČIN SLOVENIJE</w:t>
            </w:r>
          </w:p>
        </w:tc>
        <w:tc>
          <w:tcPr>
            <w:tcW w:w="2475" w:type="pct"/>
            <w:tcBorders>
              <w:top w:val="nil"/>
              <w:left w:val="nil"/>
              <w:bottom w:val="single" w:sz="4" w:space="0" w:color="auto"/>
              <w:right w:val="single" w:sz="4" w:space="0" w:color="auto"/>
            </w:tcBorders>
            <w:shd w:val="clear" w:color="auto" w:fill="auto"/>
            <w:vAlign w:val="center"/>
            <w:hideMark/>
          </w:tcPr>
          <w:p w14:paraId="52DF50C6"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Elektro Maribor Energija plus, podjetje za trženje energije in storitev d.o.o.</w:t>
            </w:r>
          </w:p>
        </w:tc>
        <w:tc>
          <w:tcPr>
            <w:tcW w:w="277" w:type="pct"/>
            <w:tcBorders>
              <w:top w:val="nil"/>
              <w:left w:val="nil"/>
              <w:bottom w:val="single" w:sz="4" w:space="0" w:color="auto"/>
              <w:right w:val="single" w:sz="4" w:space="0" w:color="auto"/>
            </w:tcBorders>
            <w:shd w:val="clear" w:color="auto" w:fill="auto"/>
            <w:vAlign w:val="center"/>
            <w:hideMark/>
          </w:tcPr>
          <w:p w14:paraId="5C2A8C7A"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Blago</w:t>
            </w:r>
          </w:p>
        </w:tc>
        <w:tc>
          <w:tcPr>
            <w:tcW w:w="405" w:type="pct"/>
            <w:tcBorders>
              <w:top w:val="nil"/>
              <w:left w:val="nil"/>
              <w:bottom w:val="single" w:sz="4" w:space="0" w:color="auto"/>
              <w:right w:val="single" w:sz="4" w:space="0" w:color="auto"/>
            </w:tcBorders>
            <w:shd w:val="clear" w:color="auto" w:fill="auto"/>
            <w:vAlign w:val="center"/>
            <w:hideMark/>
          </w:tcPr>
          <w:p w14:paraId="675C0846"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173.453.668</w:t>
            </w:r>
          </w:p>
        </w:tc>
      </w:tr>
      <w:tr w:rsidR="00636C03" w:rsidRPr="008B3F1C" w14:paraId="75FB2EAA"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7C6C374D"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3</w:t>
            </w:r>
          </w:p>
        </w:tc>
        <w:tc>
          <w:tcPr>
            <w:tcW w:w="1619" w:type="pct"/>
            <w:tcBorders>
              <w:top w:val="nil"/>
              <w:left w:val="nil"/>
              <w:bottom w:val="single" w:sz="4" w:space="0" w:color="auto"/>
              <w:right w:val="single" w:sz="4" w:space="0" w:color="auto"/>
            </w:tcBorders>
            <w:shd w:val="clear" w:color="auto" w:fill="auto"/>
            <w:vAlign w:val="center"/>
            <w:hideMark/>
          </w:tcPr>
          <w:p w14:paraId="5E9285C6"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Slovenske železnice - Potniški promet, d.o.o.</w:t>
            </w:r>
          </w:p>
        </w:tc>
        <w:tc>
          <w:tcPr>
            <w:tcW w:w="2475" w:type="pct"/>
            <w:tcBorders>
              <w:top w:val="nil"/>
              <w:left w:val="nil"/>
              <w:bottom w:val="single" w:sz="4" w:space="0" w:color="auto"/>
              <w:right w:val="single" w:sz="4" w:space="0" w:color="auto"/>
            </w:tcBorders>
            <w:shd w:val="clear" w:color="auto" w:fill="auto"/>
            <w:vAlign w:val="center"/>
            <w:hideMark/>
          </w:tcPr>
          <w:p w14:paraId="3622E010"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 xml:space="preserve">STADLER </w:t>
            </w:r>
            <w:proofErr w:type="spellStart"/>
            <w:r w:rsidRPr="008B3F1C">
              <w:rPr>
                <w:rFonts w:ascii="Arial" w:eastAsia="Times New Roman" w:hAnsi="Arial" w:cs="Arial"/>
                <w:color w:val="000000"/>
                <w:sz w:val="18"/>
                <w:szCs w:val="18"/>
                <w:lang w:eastAsia="sl-SI"/>
              </w:rPr>
              <w:t>Polska</w:t>
            </w:r>
            <w:proofErr w:type="spellEnd"/>
            <w:r w:rsidRPr="008B3F1C">
              <w:rPr>
                <w:rFonts w:ascii="Arial" w:eastAsia="Times New Roman" w:hAnsi="Arial" w:cs="Arial"/>
                <w:color w:val="000000"/>
                <w:sz w:val="18"/>
                <w:szCs w:val="18"/>
                <w:lang w:eastAsia="sl-SI"/>
              </w:rPr>
              <w:t xml:space="preserve"> Sp. Z </w:t>
            </w:r>
            <w:proofErr w:type="spellStart"/>
            <w:r w:rsidRPr="008B3F1C">
              <w:rPr>
                <w:rFonts w:ascii="Arial" w:eastAsia="Times New Roman" w:hAnsi="Arial" w:cs="Arial"/>
                <w:color w:val="000000"/>
                <w:sz w:val="18"/>
                <w:szCs w:val="18"/>
                <w:lang w:eastAsia="sl-SI"/>
              </w:rPr>
              <w:t>o.o</w:t>
            </w:r>
            <w:proofErr w:type="spellEnd"/>
            <w:r w:rsidRPr="008B3F1C">
              <w:rPr>
                <w:rFonts w:ascii="Arial" w:eastAsia="Times New Roman" w:hAnsi="Arial" w:cs="Arial"/>
                <w:color w:val="000000"/>
                <w:sz w:val="18"/>
                <w:szCs w:val="18"/>
                <w:lang w:eastAsia="sl-SI"/>
              </w:rPr>
              <w:t>.</w:t>
            </w:r>
          </w:p>
        </w:tc>
        <w:tc>
          <w:tcPr>
            <w:tcW w:w="277" w:type="pct"/>
            <w:tcBorders>
              <w:top w:val="nil"/>
              <w:left w:val="nil"/>
              <w:bottom w:val="single" w:sz="4" w:space="0" w:color="auto"/>
              <w:right w:val="single" w:sz="4" w:space="0" w:color="auto"/>
            </w:tcBorders>
            <w:shd w:val="clear" w:color="auto" w:fill="auto"/>
            <w:vAlign w:val="center"/>
            <w:hideMark/>
          </w:tcPr>
          <w:p w14:paraId="72FA8533"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Blago</w:t>
            </w:r>
          </w:p>
        </w:tc>
        <w:tc>
          <w:tcPr>
            <w:tcW w:w="405" w:type="pct"/>
            <w:tcBorders>
              <w:top w:val="nil"/>
              <w:left w:val="nil"/>
              <w:bottom w:val="single" w:sz="4" w:space="0" w:color="auto"/>
              <w:right w:val="single" w:sz="4" w:space="0" w:color="auto"/>
            </w:tcBorders>
            <w:shd w:val="clear" w:color="auto" w:fill="auto"/>
            <w:vAlign w:val="center"/>
            <w:hideMark/>
          </w:tcPr>
          <w:p w14:paraId="0FD4E8FF"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148.300.000</w:t>
            </w:r>
          </w:p>
        </w:tc>
      </w:tr>
      <w:tr w:rsidR="00636C03" w:rsidRPr="008B3F1C" w14:paraId="516BD5D8"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403A1A28"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4</w:t>
            </w:r>
          </w:p>
        </w:tc>
        <w:tc>
          <w:tcPr>
            <w:tcW w:w="1619" w:type="pct"/>
            <w:tcBorders>
              <w:top w:val="nil"/>
              <w:left w:val="nil"/>
              <w:bottom w:val="single" w:sz="4" w:space="0" w:color="auto"/>
              <w:right w:val="single" w:sz="4" w:space="0" w:color="auto"/>
            </w:tcBorders>
            <w:shd w:val="clear" w:color="auto" w:fill="auto"/>
            <w:vAlign w:val="center"/>
            <w:hideMark/>
          </w:tcPr>
          <w:p w14:paraId="100A47AD"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ONKOLOŠKI INŠTITUT LJUBLJANA</w:t>
            </w:r>
          </w:p>
        </w:tc>
        <w:tc>
          <w:tcPr>
            <w:tcW w:w="2475" w:type="pct"/>
            <w:tcBorders>
              <w:top w:val="nil"/>
              <w:left w:val="nil"/>
              <w:bottom w:val="single" w:sz="4" w:space="0" w:color="auto"/>
              <w:right w:val="single" w:sz="4" w:space="0" w:color="auto"/>
            </w:tcBorders>
            <w:shd w:val="clear" w:color="auto" w:fill="auto"/>
            <w:vAlign w:val="center"/>
            <w:hideMark/>
          </w:tcPr>
          <w:p w14:paraId="756C74D6"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ZAVOD REPUBLIKE SLOVENIJE ZA TRANSFUZIJSKO medicino</w:t>
            </w:r>
          </w:p>
        </w:tc>
        <w:tc>
          <w:tcPr>
            <w:tcW w:w="277" w:type="pct"/>
            <w:tcBorders>
              <w:top w:val="nil"/>
              <w:left w:val="nil"/>
              <w:bottom w:val="single" w:sz="4" w:space="0" w:color="auto"/>
              <w:right w:val="single" w:sz="4" w:space="0" w:color="auto"/>
            </w:tcBorders>
            <w:shd w:val="clear" w:color="auto" w:fill="auto"/>
            <w:vAlign w:val="center"/>
            <w:hideMark/>
          </w:tcPr>
          <w:p w14:paraId="5CCB3066"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Blago</w:t>
            </w:r>
          </w:p>
        </w:tc>
        <w:tc>
          <w:tcPr>
            <w:tcW w:w="405" w:type="pct"/>
            <w:tcBorders>
              <w:top w:val="nil"/>
              <w:left w:val="nil"/>
              <w:bottom w:val="single" w:sz="4" w:space="0" w:color="auto"/>
              <w:right w:val="single" w:sz="4" w:space="0" w:color="auto"/>
            </w:tcBorders>
            <w:shd w:val="clear" w:color="auto" w:fill="auto"/>
            <w:vAlign w:val="center"/>
            <w:hideMark/>
          </w:tcPr>
          <w:p w14:paraId="7A0CA03A"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108.164.400</w:t>
            </w:r>
          </w:p>
        </w:tc>
      </w:tr>
      <w:tr w:rsidR="00636C03" w:rsidRPr="008B3F1C" w14:paraId="0EB32182"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30F79437"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5</w:t>
            </w:r>
          </w:p>
        </w:tc>
        <w:tc>
          <w:tcPr>
            <w:tcW w:w="1619" w:type="pct"/>
            <w:tcBorders>
              <w:top w:val="nil"/>
              <w:left w:val="nil"/>
              <w:bottom w:val="single" w:sz="4" w:space="0" w:color="auto"/>
              <w:right w:val="single" w:sz="4" w:space="0" w:color="auto"/>
            </w:tcBorders>
            <w:shd w:val="clear" w:color="auto" w:fill="auto"/>
            <w:vAlign w:val="center"/>
            <w:hideMark/>
          </w:tcPr>
          <w:p w14:paraId="24FDC62B"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MINISTRSTVO ZA OKOLJE, PODNEBJE IN ENERGIJO</w:t>
            </w:r>
          </w:p>
        </w:tc>
        <w:tc>
          <w:tcPr>
            <w:tcW w:w="2475" w:type="pct"/>
            <w:tcBorders>
              <w:top w:val="nil"/>
              <w:left w:val="nil"/>
              <w:bottom w:val="single" w:sz="4" w:space="0" w:color="auto"/>
              <w:right w:val="single" w:sz="4" w:space="0" w:color="auto"/>
            </w:tcBorders>
            <w:shd w:val="clear" w:color="auto" w:fill="auto"/>
            <w:vAlign w:val="center"/>
            <w:hideMark/>
          </w:tcPr>
          <w:p w14:paraId="36A81E56"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ARRIVA, družba za prevoz potnikov, d.o.o.</w:t>
            </w:r>
          </w:p>
        </w:tc>
        <w:tc>
          <w:tcPr>
            <w:tcW w:w="277" w:type="pct"/>
            <w:tcBorders>
              <w:top w:val="nil"/>
              <w:left w:val="nil"/>
              <w:bottom w:val="single" w:sz="4" w:space="0" w:color="auto"/>
              <w:right w:val="single" w:sz="4" w:space="0" w:color="auto"/>
            </w:tcBorders>
            <w:shd w:val="clear" w:color="auto" w:fill="auto"/>
            <w:vAlign w:val="center"/>
            <w:hideMark/>
          </w:tcPr>
          <w:p w14:paraId="6AA0A45A"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Storitve</w:t>
            </w:r>
          </w:p>
        </w:tc>
        <w:tc>
          <w:tcPr>
            <w:tcW w:w="405" w:type="pct"/>
            <w:tcBorders>
              <w:top w:val="nil"/>
              <w:left w:val="nil"/>
              <w:bottom w:val="single" w:sz="4" w:space="0" w:color="auto"/>
              <w:right w:val="single" w:sz="4" w:space="0" w:color="auto"/>
            </w:tcBorders>
            <w:shd w:val="clear" w:color="auto" w:fill="auto"/>
            <w:vAlign w:val="center"/>
            <w:hideMark/>
          </w:tcPr>
          <w:p w14:paraId="2FCE0C1B"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99.932.017</w:t>
            </w:r>
          </w:p>
        </w:tc>
      </w:tr>
      <w:tr w:rsidR="00636C03" w:rsidRPr="008B3F1C" w14:paraId="62234F31"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09192676"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6</w:t>
            </w:r>
          </w:p>
        </w:tc>
        <w:tc>
          <w:tcPr>
            <w:tcW w:w="1619" w:type="pct"/>
            <w:tcBorders>
              <w:top w:val="nil"/>
              <w:left w:val="nil"/>
              <w:bottom w:val="single" w:sz="4" w:space="0" w:color="auto"/>
              <w:right w:val="single" w:sz="4" w:space="0" w:color="auto"/>
            </w:tcBorders>
            <w:shd w:val="clear" w:color="auto" w:fill="auto"/>
            <w:vAlign w:val="center"/>
            <w:hideMark/>
          </w:tcPr>
          <w:p w14:paraId="24E5331E"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MINISTRSTVO ZA OKOLJE, PODNEBJE IN ENERGIJO</w:t>
            </w:r>
          </w:p>
        </w:tc>
        <w:tc>
          <w:tcPr>
            <w:tcW w:w="2475" w:type="pct"/>
            <w:tcBorders>
              <w:top w:val="nil"/>
              <w:left w:val="nil"/>
              <w:bottom w:val="single" w:sz="4" w:space="0" w:color="auto"/>
              <w:right w:val="single" w:sz="4" w:space="0" w:color="auto"/>
            </w:tcBorders>
            <w:shd w:val="clear" w:color="auto" w:fill="auto"/>
            <w:vAlign w:val="center"/>
            <w:hideMark/>
          </w:tcPr>
          <w:p w14:paraId="07E6CCDC"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ARRIVA, družba za prevoz potnikov, d.o.o.</w:t>
            </w:r>
          </w:p>
        </w:tc>
        <w:tc>
          <w:tcPr>
            <w:tcW w:w="277" w:type="pct"/>
            <w:tcBorders>
              <w:top w:val="nil"/>
              <w:left w:val="nil"/>
              <w:bottom w:val="single" w:sz="4" w:space="0" w:color="auto"/>
              <w:right w:val="single" w:sz="4" w:space="0" w:color="auto"/>
            </w:tcBorders>
            <w:shd w:val="clear" w:color="auto" w:fill="auto"/>
            <w:vAlign w:val="center"/>
            <w:hideMark/>
          </w:tcPr>
          <w:p w14:paraId="3C4DC7EC"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Storitve</w:t>
            </w:r>
          </w:p>
        </w:tc>
        <w:tc>
          <w:tcPr>
            <w:tcW w:w="405" w:type="pct"/>
            <w:tcBorders>
              <w:top w:val="nil"/>
              <w:left w:val="nil"/>
              <w:bottom w:val="single" w:sz="4" w:space="0" w:color="auto"/>
              <w:right w:val="single" w:sz="4" w:space="0" w:color="auto"/>
            </w:tcBorders>
            <w:shd w:val="clear" w:color="auto" w:fill="auto"/>
            <w:vAlign w:val="center"/>
            <w:hideMark/>
          </w:tcPr>
          <w:p w14:paraId="0EFB84D3"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92.285.772</w:t>
            </w:r>
          </w:p>
        </w:tc>
      </w:tr>
      <w:tr w:rsidR="00636C03" w:rsidRPr="008B3F1C" w14:paraId="58CC24A3"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7FA20202"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7</w:t>
            </w:r>
          </w:p>
        </w:tc>
        <w:tc>
          <w:tcPr>
            <w:tcW w:w="1619" w:type="pct"/>
            <w:tcBorders>
              <w:top w:val="nil"/>
              <w:left w:val="nil"/>
              <w:bottom w:val="single" w:sz="4" w:space="0" w:color="auto"/>
              <w:right w:val="single" w:sz="4" w:space="0" w:color="auto"/>
            </w:tcBorders>
            <w:shd w:val="clear" w:color="auto" w:fill="auto"/>
            <w:vAlign w:val="center"/>
            <w:hideMark/>
          </w:tcPr>
          <w:p w14:paraId="0534068F"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UNIVERZITETNI KLINIČNI CENTER MARIBOR</w:t>
            </w:r>
          </w:p>
        </w:tc>
        <w:tc>
          <w:tcPr>
            <w:tcW w:w="2475" w:type="pct"/>
            <w:tcBorders>
              <w:top w:val="nil"/>
              <w:left w:val="nil"/>
              <w:bottom w:val="single" w:sz="4" w:space="0" w:color="auto"/>
              <w:right w:val="single" w:sz="4" w:space="0" w:color="auto"/>
            </w:tcBorders>
            <w:shd w:val="clear" w:color="auto" w:fill="auto"/>
            <w:vAlign w:val="center"/>
            <w:hideMark/>
          </w:tcPr>
          <w:p w14:paraId="37EC4AEE"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 xml:space="preserve">SALUS promet s farmacevtskimi, medicinskimi in drugimi proizvodi, </w:t>
            </w:r>
            <w:proofErr w:type="spellStart"/>
            <w:r w:rsidRPr="008B3F1C">
              <w:rPr>
                <w:rFonts w:ascii="Arial" w:eastAsia="Times New Roman" w:hAnsi="Arial" w:cs="Arial"/>
                <w:color w:val="000000"/>
                <w:sz w:val="18"/>
                <w:szCs w:val="18"/>
                <w:lang w:eastAsia="sl-SI"/>
              </w:rPr>
              <w:t>d.d</w:t>
            </w:r>
            <w:proofErr w:type="spellEnd"/>
            <w:r w:rsidRPr="008B3F1C">
              <w:rPr>
                <w:rFonts w:ascii="Arial" w:eastAsia="Times New Roman" w:hAnsi="Arial" w:cs="Arial"/>
                <w:color w:val="000000"/>
                <w:sz w:val="18"/>
                <w:szCs w:val="18"/>
                <w:lang w:eastAsia="sl-SI"/>
              </w:rPr>
              <w:t>., Ljubljana</w:t>
            </w:r>
          </w:p>
        </w:tc>
        <w:tc>
          <w:tcPr>
            <w:tcW w:w="277" w:type="pct"/>
            <w:tcBorders>
              <w:top w:val="nil"/>
              <w:left w:val="nil"/>
              <w:bottom w:val="single" w:sz="4" w:space="0" w:color="auto"/>
              <w:right w:val="single" w:sz="4" w:space="0" w:color="auto"/>
            </w:tcBorders>
            <w:shd w:val="clear" w:color="auto" w:fill="auto"/>
            <w:vAlign w:val="center"/>
            <w:hideMark/>
          </w:tcPr>
          <w:p w14:paraId="7F036207"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Blago</w:t>
            </w:r>
          </w:p>
        </w:tc>
        <w:tc>
          <w:tcPr>
            <w:tcW w:w="405" w:type="pct"/>
            <w:tcBorders>
              <w:top w:val="nil"/>
              <w:left w:val="nil"/>
              <w:bottom w:val="single" w:sz="4" w:space="0" w:color="auto"/>
              <w:right w:val="single" w:sz="4" w:space="0" w:color="auto"/>
            </w:tcBorders>
            <w:shd w:val="clear" w:color="auto" w:fill="auto"/>
            <w:vAlign w:val="center"/>
            <w:hideMark/>
          </w:tcPr>
          <w:p w14:paraId="3FD49104"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90.767.104</w:t>
            </w:r>
          </w:p>
        </w:tc>
      </w:tr>
      <w:tr w:rsidR="00636C03" w:rsidRPr="008B3F1C" w14:paraId="1FAC887A"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AA6676B"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8</w:t>
            </w:r>
          </w:p>
        </w:tc>
        <w:tc>
          <w:tcPr>
            <w:tcW w:w="1619" w:type="pct"/>
            <w:tcBorders>
              <w:top w:val="nil"/>
              <w:left w:val="nil"/>
              <w:bottom w:val="single" w:sz="4" w:space="0" w:color="auto"/>
              <w:right w:val="single" w:sz="4" w:space="0" w:color="auto"/>
            </w:tcBorders>
            <w:shd w:val="clear" w:color="auto" w:fill="auto"/>
            <w:vAlign w:val="center"/>
            <w:hideMark/>
          </w:tcPr>
          <w:p w14:paraId="4CDA446B"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MINISTRSTVO ZA OKOLJE, PODNEBJE IN ENERGIJO</w:t>
            </w:r>
          </w:p>
        </w:tc>
        <w:tc>
          <w:tcPr>
            <w:tcW w:w="2475" w:type="pct"/>
            <w:tcBorders>
              <w:top w:val="nil"/>
              <w:left w:val="nil"/>
              <w:bottom w:val="single" w:sz="4" w:space="0" w:color="auto"/>
              <w:right w:val="single" w:sz="4" w:space="0" w:color="auto"/>
            </w:tcBorders>
            <w:shd w:val="clear" w:color="auto" w:fill="auto"/>
            <w:vAlign w:val="center"/>
            <w:hideMark/>
          </w:tcPr>
          <w:p w14:paraId="6C7FA0D3"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NOMAGO, storitve mobilnosti in potovanj, d.o.o.</w:t>
            </w:r>
          </w:p>
        </w:tc>
        <w:tc>
          <w:tcPr>
            <w:tcW w:w="277" w:type="pct"/>
            <w:tcBorders>
              <w:top w:val="nil"/>
              <w:left w:val="nil"/>
              <w:bottom w:val="single" w:sz="4" w:space="0" w:color="auto"/>
              <w:right w:val="single" w:sz="4" w:space="0" w:color="auto"/>
            </w:tcBorders>
            <w:shd w:val="clear" w:color="auto" w:fill="auto"/>
            <w:vAlign w:val="center"/>
            <w:hideMark/>
          </w:tcPr>
          <w:p w14:paraId="7749A454"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Storitve</w:t>
            </w:r>
          </w:p>
        </w:tc>
        <w:tc>
          <w:tcPr>
            <w:tcW w:w="405" w:type="pct"/>
            <w:tcBorders>
              <w:top w:val="nil"/>
              <w:left w:val="nil"/>
              <w:bottom w:val="single" w:sz="4" w:space="0" w:color="auto"/>
              <w:right w:val="single" w:sz="4" w:space="0" w:color="auto"/>
            </w:tcBorders>
            <w:shd w:val="clear" w:color="auto" w:fill="auto"/>
            <w:vAlign w:val="center"/>
            <w:hideMark/>
          </w:tcPr>
          <w:p w14:paraId="5F321716"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75.376.864</w:t>
            </w:r>
          </w:p>
        </w:tc>
      </w:tr>
      <w:tr w:rsidR="00636C03" w:rsidRPr="008B3F1C" w14:paraId="21463CCE"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38FC6FDC"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9</w:t>
            </w:r>
          </w:p>
        </w:tc>
        <w:tc>
          <w:tcPr>
            <w:tcW w:w="1619" w:type="pct"/>
            <w:tcBorders>
              <w:top w:val="nil"/>
              <w:left w:val="nil"/>
              <w:bottom w:val="single" w:sz="4" w:space="0" w:color="auto"/>
              <w:right w:val="single" w:sz="4" w:space="0" w:color="auto"/>
            </w:tcBorders>
            <w:shd w:val="clear" w:color="auto" w:fill="auto"/>
            <w:vAlign w:val="center"/>
            <w:hideMark/>
          </w:tcPr>
          <w:p w14:paraId="475C25F6"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LUKA KOPER INPO - invalidsko podjetje, d.o.o.</w:t>
            </w:r>
          </w:p>
        </w:tc>
        <w:tc>
          <w:tcPr>
            <w:tcW w:w="2475" w:type="pct"/>
            <w:tcBorders>
              <w:top w:val="nil"/>
              <w:left w:val="nil"/>
              <w:bottom w:val="single" w:sz="4" w:space="0" w:color="auto"/>
              <w:right w:val="single" w:sz="4" w:space="0" w:color="auto"/>
            </w:tcBorders>
            <w:shd w:val="clear" w:color="auto" w:fill="auto"/>
            <w:vAlign w:val="center"/>
            <w:hideMark/>
          </w:tcPr>
          <w:p w14:paraId="35291C72"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T.P.G. AGENT, pomorska agencija in storitve, d.o.o.</w:t>
            </w:r>
          </w:p>
        </w:tc>
        <w:tc>
          <w:tcPr>
            <w:tcW w:w="277" w:type="pct"/>
            <w:tcBorders>
              <w:top w:val="nil"/>
              <w:left w:val="nil"/>
              <w:bottom w:val="single" w:sz="4" w:space="0" w:color="auto"/>
              <w:right w:val="single" w:sz="4" w:space="0" w:color="auto"/>
            </w:tcBorders>
            <w:shd w:val="clear" w:color="auto" w:fill="auto"/>
            <w:vAlign w:val="center"/>
            <w:hideMark/>
          </w:tcPr>
          <w:p w14:paraId="0534FF3C"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Storitve</w:t>
            </w:r>
          </w:p>
        </w:tc>
        <w:tc>
          <w:tcPr>
            <w:tcW w:w="405" w:type="pct"/>
            <w:tcBorders>
              <w:top w:val="nil"/>
              <w:left w:val="nil"/>
              <w:bottom w:val="single" w:sz="4" w:space="0" w:color="auto"/>
              <w:right w:val="single" w:sz="4" w:space="0" w:color="auto"/>
            </w:tcBorders>
            <w:shd w:val="clear" w:color="auto" w:fill="auto"/>
            <w:vAlign w:val="center"/>
            <w:hideMark/>
          </w:tcPr>
          <w:p w14:paraId="5D304EA7"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73.500.000</w:t>
            </w:r>
          </w:p>
        </w:tc>
      </w:tr>
      <w:tr w:rsidR="00636C03" w:rsidRPr="008B3F1C" w14:paraId="4453E7DC"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1E97600A"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10</w:t>
            </w:r>
          </w:p>
        </w:tc>
        <w:tc>
          <w:tcPr>
            <w:tcW w:w="1619" w:type="pct"/>
            <w:tcBorders>
              <w:top w:val="nil"/>
              <w:left w:val="nil"/>
              <w:bottom w:val="single" w:sz="4" w:space="0" w:color="auto"/>
              <w:right w:val="single" w:sz="4" w:space="0" w:color="auto"/>
            </w:tcBorders>
            <w:shd w:val="clear" w:color="auto" w:fill="auto"/>
            <w:vAlign w:val="center"/>
            <w:hideMark/>
          </w:tcPr>
          <w:p w14:paraId="304C11C3"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Slovenski državni gozdovi, d. o. o.</w:t>
            </w:r>
          </w:p>
        </w:tc>
        <w:tc>
          <w:tcPr>
            <w:tcW w:w="2475" w:type="pct"/>
            <w:tcBorders>
              <w:top w:val="nil"/>
              <w:left w:val="nil"/>
              <w:bottom w:val="single" w:sz="4" w:space="0" w:color="auto"/>
              <w:right w:val="single" w:sz="4" w:space="0" w:color="auto"/>
            </w:tcBorders>
            <w:shd w:val="clear" w:color="auto" w:fill="auto"/>
            <w:vAlign w:val="center"/>
            <w:hideMark/>
          </w:tcPr>
          <w:p w14:paraId="71522D2B"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AMBROLES, gozdarstvo, proizvodnja, trgovina in storitve, d.o.o.</w:t>
            </w:r>
          </w:p>
        </w:tc>
        <w:tc>
          <w:tcPr>
            <w:tcW w:w="277" w:type="pct"/>
            <w:tcBorders>
              <w:top w:val="nil"/>
              <w:left w:val="nil"/>
              <w:bottom w:val="single" w:sz="4" w:space="0" w:color="auto"/>
              <w:right w:val="single" w:sz="4" w:space="0" w:color="auto"/>
            </w:tcBorders>
            <w:shd w:val="clear" w:color="auto" w:fill="auto"/>
            <w:vAlign w:val="center"/>
            <w:hideMark/>
          </w:tcPr>
          <w:p w14:paraId="789BC7D3"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Storitve</w:t>
            </w:r>
          </w:p>
        </w:tc>
        <w:tc>
          <w:tcPr>
            <w:tcW w:w="405" w:type="pct"/>
            <w:tcBorders>
              <w:top w:val="nil"/>
              <w:left w:val="nil"/>
              <w:bottom w:val="single" w:sz="4" w:space="0" w:color="auto"/>
              <w:right w:val="single" w:sz="4" w:space="0" w:color="auto"/>
            </w:tcBorders>
            <w:shd w:val="clear" w:color="auto" w:fill="auto"/>
            <w:vAlign w:val="center"/>
            <w:hideMark/>
          </w:tcPr>
          <w:p w14:paraId="0B4DD793"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71.832.000</w:t>
            </w:r>
          </w:p>
        </w:tc>
      </w:tr>
      <w:tr w:rsidR="00636C03" w:rsidRPr="008B3F1C" w14:paraId="4322E04A"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61F2CB5F"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11</w:t>
            </w:r>
          </w:p>
        </w:tc>
        <w:tc>
          <w:tcPr>
            <w:tcW w:w="1619" w:type="pct"/>
            <w:tcBorders>
              <w:top w:val="nil"/>
              <w:left w:val="nil"/>
              <w:bottom w:val="single" w:sz="4" w:space="0" w:color="auto"/>
              <w:right w:val="single" w:sz="4" w:space="0" w:color="auto"/>
            </w:tcBorders>
            <w:shd w:val="clear" w:color="auto" w:fill="auto"/>
            <w:vAlign w:val="center"/>
            <w:hideMark/>
          </w:tcPr>
          <w:p w14:paraId="3A70DD4B"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MESTNA OBČINA LJUBLJANA</w:t>
            </w:r>
          </w:p>
        </w:tc>
        <w:tc>
          <w:tcPr>
            <w:tcW w:w="2475" w:type="pct"/>
            <w:tcBorders>
              <w:top w:val="nil"/>
              <w:left w:val="nil"/>
              <w:bottom w:val="single" w:sz="4" w:space="0" w:color="auto"/>
              <w:right w:val="single" w:sz="4" w:space="0" w:color="auto"/>
            </w:tcBorders>
            <w:shd w:val="clear" w:color="auto" w:fill="auto"/>
            <w:vAlign w:val="center"/>
            <w:hideMark/>
          </w:tcPr>
          <w:p w14:paraId="16E661A9"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PRENOVA - GRADBENIK d.o.o., splošno gradbeništvo in trgovina</w:t>
            </w:r>
          </w:p>
        </w:tc>
        <w:tc>
          <w:tcPr>
            <w:tcW w:w="277" w:type="pct"/>
            <w:tcBorders>
              <w:top w:val="nil"/>
              <w:left w:val="nil"/>
              <w:bottom w:val="single" w:sz="4" w:space="0" w:color="auto"/>
              <w:right w:val="single" w:sz="4" w:space="0" w:color="auto"/>
            </w:tcBorders>
            <w:shd w:val="clear" w:color="auto" w:fill="auto"/>
            <w:vAlign w:val="center"/>
            <w:hideMark/>
          </w:tcPr>
          <w:p w14:paraId="1F3D5AF3"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Gradnje</w:t>
            </w:r>
          </w:p>
        </w:tc>
        <w:tc>
          <w:tcPr>
            <w:tcW w:w="405" w:type="pct"/>
            <w:tcBorders>
              <w:top w:val="nil"/>
              <w:left w:val="nil"/>
              <w:bottom w:val="single" w:sz="4" w:space="0" w:color="auto"/>
              <w:right w:val="single" w:sz="4" w:space="0" w:color="auto"/>
            </w:tcBorders>
            <w:shd w:val="clear" w:color="auto" w:fill="auto"/>
            <w:vAlign w:val="center"/>
            <w:hideMark/>
          </w:tcPr>
          <w:p w14:paraId="0FD6EBDB"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63.857.427</w:t>
            </w:r>
          </w:p>
        </w:tc>
      </w:tr>
      <w:tr w:rsidR="00636C03" w:rsidRPr="008B3F1C" w14:paraId="2E221567"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C034569"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12</w:t>
            </w:r>
          </w:p>
        </w:tc>
        <w:tc>
          <w:tcPr>
            <w:tcW w:w="1619" w:type="pct"/>
            <w:tcBorders>
              <w:top w:val="nil"/>
              <w:left w:val="nil"/>
              <w:bottom w:val="single" w:sz="4" w:space="0" w:color="auto"/>
              <w:right w:val="single" w:sz="4" w:space="0" w:color="auto"/>
            </w:tcBorders>
            <w:shd w:val="clear" w:color="auto" w:fill="auto"/>
            <w:vAlign w:val="center"/>
            <w:hideMark/>
          </w:tcPr>
          <w:p w14:paraId="148A8E69"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MINISTRSTVO ZA OKOLJE, PODNEBJE IN ENERGIJO</w:t>
            </w:r>
          </w:p>
        </w:tc>
        <w:tc>
          <w:tcPr>
            <w:tcW w:w="2475" w:type="pct"/>
            <w:tcBorders>
              <w:top w:val="nil"/>
              <w:left w:val="nil"/>
              <w:bottom w:val="single" w:sz="4" w:space="0" w:color="auto"/>
              <w:right w:val="single" w:sz="4" w:space="0" w:color="auto"/>
            </w:tcBorders>
            <w:shd w:val="clear" w:color="auto" w:fill="auto"/>
            <w:vAlign w:val="center"/>
            <w:hideMark/>
          </w:tcPr>
          <w:p w14:paraId="22860DA4"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NOMAGO, storitve mobilnosti in potovanj, d.o.o.</w:t>
            </w:r>
          </w:p>
        </w:tc>
        <w:tc>
          <w:tcPr>
            <w:tcW w:w="277" w:type="pct"/>
            <w:tcBorders>
              <w:top w:val="nil"/>
              <w:left w:val="nil"/>
              <w:bottom w:val="single" w:sz="4" w:space="0" w:color="auto"/>
              <w:right w:val="single" w:sz="4" w:space="0" w:color="auto"/>
            </w:tcBorders>
            <w:shd w:val="clear" w:color="auto" w:fill="auto"/>
            <w:vAlign w:val="center"/>
            <w:hideMark/>
          </w:tcPr>
          <w:p w14:paraId="0BC60899"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Storitve</w:t>
            </w:r>
          </w:p>
        </w:tc>
        <w:tc>
          <w:tcPr>
            <w:tcW w:w="405" w:type="pct"/>
            <w:tcBorders>
              <w:top w:val="nil"/>
              <w:left w:val="nil"/>
              <w:bottom w:val="single" w:sz="4" w:space="0" w:color="auto"/>
              <w:right w:val="single" w:sz="4" w:space="0" w:color="auto"/>
            </w:tcBorders>
            <w:shd w:val="clear" w:color="auto" w:fill="auto"/>
            <w:vAlign w:val="center"/>
            <w:hideMark/>
          </w:tcPr>
          <w:p w14:paraId="47449C04"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60.831.965</w:t>
            </w:r>
          </w:p>
        </w:tc>
      </w:tr>
      <w:tr w:rsidR="00636C03" w:rsidRPr="008B3F1C" w14:paraId="79254DE2"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6C9BE2FD"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13</w:t>
            </w:r>
          </w:p>
        </w:tc>
        <w:tc>
          <w:tcPr>
            <w:tcW w:w="1619" w:type="pct"/>
            <w:tcBorders>
              <w:top w:val="nil"/>
              <w:left w:val="nil"/>
              <w:bottom w:val="single" w:sz="4" w:space="0" w:color="auto"/>
              <w:right w:val="single" w:sz="4" w:space="0" w:color="auto"/>
            </w:tcBorders>
            <w:shd w:val="clear" w:color="auto" w:fill="auto"/>
            <w:vAlign w:val="center"/>
            <w:hideMark/>
          </w:tcPr>
          <w:p w14:paraId="335FE432"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MINISTRSTVO ZA OKOLJE, PODNEBJE IN ENERGIJO</w:t>
            </w:r>
          </w:p>
        </w:tc>
        <w:tc>
          <w:tcPr>
            <w:tcW w:w="2475" w:type="pct"/>
            <w:tcBorders>
              <w:top w:val="nil"/>
              <w:left w:val="nil"/>
              <w:bottom w:val="single" w:sz="4" w:space="0" w:color="auto"/>
              <w:right w:val="single" w:sz="4" w:space="0" w:color="auto"/>
            </w:tcBorders>
            <w:shd w:val="clear" w:color="auto" w:fill="auto"/>
            <w:vAlign w:val="center"/>
            <w:hideMark/>
          </w:tcPr>
          <w:p w14:paraId="00C21561"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ARRIVA, družba za prevoz potnikov, d.o.o.</w:t>
            </w:r>
          </w:p>
        </w:tc>
        <w:tc>
          <w:tcPr>
            <w:tcW w:w="277" w:type="pct"/>
            <w:tcBorders>
              <w:top w:val="nil"/>
              <w:left w:val="nil"/>
              <w:bottom w:val="single" w:sz="4" w:space="0" w:color="auto"/>
              <w:right w:val="single" w:sz="4" w:space="0" w:color="auto"/>
            </w:tcBorders>
            <w:shd w:val="clear" w:color="auto" w:fill="auto"/>
            <w:vAlign w:val="center"/>
            <w:hideMark/>
          </w:tcPr>
          <w:p w14:paraId="30BADB18"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Storitve</w:t>
            </w:r>
          </w:p>
        </w:tc>
        <w:tc>
          <w:tcPr>
            <w:tcW w:w="405" w:type="pct"/>
            <w:tcBorders>
              <w:top w:val="nil"/>
              <w:left w:val="nil"/>
              <w:bottom w:val="single" w:sz="4" w:space="0" w:color="auto"/>
              <w:right w:val="single" w:sz="4" w:space="0" w:color="auto"/>
            </w:tcBorders>
            <w:shd w:val="clear" w:color="auto" w:fill="auto"/>
            <w:vAlign w:val="center"/>
            <w:hideMark/>
          </w:tcPr>
          <w:p w14:paraId="0B73EBAF"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57.661.781</w:t>
            </w:r>
          </w:p>
        </w:tc>
      </w:tr>
      <w:tr w:rsidR="00636C03" w:rsidRPr="008B3F1C" w14:paraId="7E70AC59"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729CD3A"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14</w:t>
            </w:r>
          </w:p>
        </w:tc>
        <w:tc>
          <w:tcPr>
            <w:tcW w:w="1619" w:type="pct"/>
            <w:tcBorders>
              <w:top w:val="nil"/>
              <w:left w:val="nil"/>
              <w:bottom w:val="single" w:sz="4" w:space="0" w:color="auto"/>
              <w:right w:val="single" w:sz="4" w:space="0" w:color="auto"/>
            </w:tcBorders>
            <w:shd w:val="clear" w:color="auto" w:fill="auto"/>
            <w:vAlign w:val="center"/>
            <w:hideMark/>
          </w:tcPr>
          <w:p w14:paraId="09B2FE85"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DRUŽBA ZA AVTOCESTE V REPUBLIKI SLOVENIJI D.D.</w:t>
            </w:r>
          </w:p>
        </w:tc>
        <w:tc>
          <w:tcPr>
            <w:tcW w:w="2475" w:type="pct"/>
            <w:tcBorders>
              <w:top w:val="nil"/>
              <w:left w:val="nil"/>
              <w:bottom w:val="single" w:sz="4" w:space="0" w:color="auto"/>
              <w:right w:val="single" w:sz="4" w:space="0" w:color="auto"/>
            </w:tcBorders>
            <w:shd w:val="clear" w:color="auto" w:fill="auto"/>
            <w:vAlign w:val="center"/>
            <w:hideMark/>
          </w:tcPr>
          <w:p w14:paraId="32DADCA1"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STRABAG gradbene storitve d.o.o.</w:t>
            </w:r>
          </w:p>
        </w:tc>
        <w:tc>
          <w:tcPr>
            <w:tcW w:w="277" w:type="pct"/>
            <w:tcBorders>
              <w:top w:val="nil"/>
              <w:left w:val="nil"/>
              <w:bottom w:val="single" w:sz="4" w:space="0" w:color="auto"/>
              <w:right w:val="single" w:sz="4" w:space="0" w:color="auto"/>
            </w:tcBorders>
            <w:shd w:val="clear" w:color="auto" w:fill="auto"/>
            <w:vAlign w:val="center"/>
            <w:hideMark/>
          </w:tcPr>
          <w:p w14:paraId="114EDBB1"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Gradnje</w:t>
            </w:r>
          </w:p>
        </w:tc>
        <w:tc>
          <w:tcPr>
            <w:tcW w:w="405" w:type="pct"/>
            <w:tcBorders>
              <w:top w:val="nil"/>
              <w:left w:val="nil"/>
              <w:bottom w:val="single" w:sz="4" w:space="0" w:color="auto"/>
              <w:right w:val="single" w:sz="4" w:space="0" w:color="auto"/>
            </w:tcBorders>
            <w:shd w:val="clear" w:color="auto" w:fill="auto"/>
            <w:vAlign w:val="center"/>
            <w:hideMark/>
          </w:tcPr>
          <w:p w14:paraId="194EC88E"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55.450.454</w:t>
            </w:r>
          </w:p>
        </w:tc>
      </w:tr>
      <w:tr w:rsidR="00636C03" w:rsidRPr="008B3F1C" w14:paraId="2BEEB6B3" w14:textId="77777777" w:rsidTr="00636C03">
        <w:trPr>
          <w:trHeight w:val="30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4390DE73"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15</w:t>
            </w:r>
          </w:p>
        </w:tc>
        <w:tc>
          <w:tcPr>
            <w:tcW w:w="1619" w:type="pct"/>
            <w:tcBorders>
              <w:top w:val="nil"/>
              <w:left w:val="nil"/>
              <w:bottom w:val="single" w:sz="4" w:space="0" w:color="auto"/>
              <w:right w:val="single" w:sz="4" w:space="0" w:color="auto"/>
            </w:tcBorders>
            <w:shd w:val="clear" w:color="auto" w:fill="auto"/>
            <w:vAlign w:val="center"/>
            <w:hideMark/>
          </w:tcPr>
          <w:p w14:paraId="27B2AF08"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MINISTRSTVO ZA OKOLJE, PODNEBJE IN ENERGIJO</w:t>
            </w:r>
          </w:p>
        </w:tc>
        <w:tc>
          <w:tcPr>
            <w:tcW w:w="2475" w:type="pct"/>
            <w:tcBorders>
              <w:top w:val="nil"/>
              <w:left w:val="nil"/>
              <w:bottom w:val="single" w:sz="4" w:space="0" w:color="auto"/>
              <w:right w:val="single" w:sz="4" w:space="0" w:color="auto"/>
            </w:tcBorders>
            <w:shd w:val="clear" w:color="auto" w:fill="auto"/>
            <w:vAlign w:val="center"/>
            <w:hideMark/>
          </w:tcPr>
          <w:p w14:paraId="0CF183CD"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ARRIVA, družba za prevoz potnikov, d.o.o.</w:t>
            </w:r>
          </w:p>
        </w:tc>
        <w:tc>
          <w:tcPr>
            <w:tcW w:w="277" w:type="pct"/>
            <w:tcBorders>
              <w:top w:val="nil"/>
              <w:left w:val="nil"/>
              <w:bottom w:val="single" w:sz="4" w:space="0" w:color="auto"/>
              <w:right w:val="single" w:sz="4" w:space="0" w:color="auto"/>
            </w:tcBorders>
            <w:shd w:val="clear" w:color="auto" w:fill="auto"/>
            <w:vAlign w:val="center"/>
            <w:hideMark/>
          </w:tcPr>
          <w:p w14:paraId="285A044D" w14:textId="77777777" w:rsidR="00636C03" w:rsidRPr="008B3F1C" w:rsidRDefault="00636C03" w:rsidP="00636C03">
            <w:pPr>
              <w:spacing w:after="0" w:line="240" w:lineRule="auto"/>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Storitve</w:t>
            </w:r>
          </w:p>
        </w:tc>
        <w:tc>
          <w:tcPr>
            <w:tcW w:w="405" w:type="pct"/>
            <w:tcBorders>
              <w:top w:val="nil"/>
              <w:left w:val="nil"/>
              <w:bottom w:val="single" w:sz="4" w:space="0" w:color="auto"/>
              <w:right w:val="single" w:sz="4" w:space="0" w:color="auto"/>
            </w:tcBorders>
            <w:shd w:val="clear" w:color="auto" w:fill="auto"/>
            <w:vAlign w:val="center"/>
            <w:hideMark/>
          </w:tcPr>
          <w:p w14:paraId="2063B3A0" w14:textId="77777777" w:rsidR="00636C03" w:rsidRPr="008B3F1C" w:rsidRDefault="00636C03" w:rsidP="00636C03">
            <w:pPr>
              <w:spacing w:after="0" w:line="240" w:lineRule="auto"/>
              <w:jc w:val="right"/>
              <w:rPr>
                <w:rFonts w:ascii="Arial" w:eastAsia="Times New Roman" w:hAnsi="Arial" w:cs="Arial"/>
                <w:color w:val="000000"/>
                <w:sz w:val="18"/>
                <w:szCs w:val="18"/>
                <w:lang w:eastAsia="sl-SI"/>
              </w:rPr>
            </w:pPr>
            <w:r w:rsidRPr="008B3F1C">
              <w:rPr>
                <w:rFonts w:ascii="Arial" w:eastAsia="Times New Roman" w:hAnsi="Arial" w:cs="Arial"/>
                <w:color w:val="000000"/>
                <w:sz w:val="18"/>
                <w:szCs w:val="18"/>
                <w:lang w:eastAsia="sl-SI"/>
              </w:rPr>
              <w:t>53.367.199</w:t>
            </w:r>
          </w:p>
        </w:tc>
      </w:tr>
    </w:tbl>
    <w:p w14:paraId="3B11A7C5" w14:textId="77777777" w:rsidR="000C1FF7" w:rsidRPr="008B3F1C" w:rsidRDefault="000C1FF7" w:rsidP="00910C9E">
      <w:pPr>
        <w:pStyle w:val="ZADEVA"/>
        <w:spacing w:line="240" w:lineRule="auto"/>
        <w:ind w:left="0" w:firstLine="0"/>
        <w:jc w:val="both"/>
        <w:rPr>
          <w:rFonts w:cs="Arial"/>
          <w:b w:val="0"/>
          <w:color w:val="000000" w:themeColor="text1"/>
          <w:szCs w:val="20"/>
          <w:lang w:val="sl-SI"/>
        </w:rPr>
      </w:pPr>
    </w:p>
    <w:p w14:paraId="22651557" w14:textId="1F85E1EC" w:rsidR="004E69E6" w:rsidRPr="008B3F1C" w:rsidRDefault="00F83DD4" w:rsidP="000110D0">
      <w:pPr>
        <w:spacing w:after="120" w:line="240" w:lineRule="auto"/>
        <w:jc w:val="center"/>
        <w:rPr>
          <w:rFonts w:ascii="Arial" w:hAnsi="Arial" w:cs="Arial"/>
          <w:color w:val="000000" w:themeColor="text1"/>
          <w:sz w:val="18"/>
        </w:rPr>
      </w:pPr>
      <w:r w:rsidRPr="008B3F1C">
        <w:rPr>
          <w:rFonts w:ascii="Arial" w:hAnsi="Arial" w:cs="Arial"/>
          <w:color w:val="000000" w:themeColor="text1"/>
          <w:sz w:val="18"/>
        </w:rPr>
        <w:t>Vir: Statistični podatki o javni</w:t>
      </w:r>
      <w:r w:rsidR="001D1611" w:rsidRPr="008B3F1C">
        <w:rPr>
          <w:rFonts w:ascii="Arial" w:hAnsi="Arial" w:cs="Arial"/>
          <w:color w:val="000000" w:themeColor="text1"/>
          <w:sz w:val="18"/>
        </w:rPr>
        <w:t>h naročilih, oddanih v letu 20</w:t>
      </w:r>
      <w:r w:rsidR="000C1FF7" w:rsidRPr="008B3F1C">
        <w:rPr>
          <w:rFonts w:ascii="Arial" w:hAnsi="Arial" w:cs="Arial"/>
          <w:color w:val="000000" w:themeColor="text1"/>
          <w:sz w:val="18"/>
        </w:rPr>
        <w:t>2</w:t>
      </w:r>
      <w:r w:rsidR="00910C9E" w:rsidRPr="008B3F1C">
        <w:rPr>
          <w:rFonts w:ascii="Arial" w:hAnsi="Arial" w:cs="Arial"/>
          <w:color w:val="000000" w:themeColor="text1"/>
          <w:sz w:val="18"/>
        </w:rPr>
        <w:t>3.</w:t>
      </w:r>
    </w:p>
    <w:p w14:paraId="3B59456F" w14:textId="77777777" w:rsidR="00EF4A55" w:rsidRPr="00C57579" w:rsidRDefault="00EF4A55" w:rsidP="00EF4A55">
      <w:pPr>
        <w:spacing w:after="0" w:line="240" w:lineRule="auto"/>
        <w:jc w:val="center"/>
        <w:rPr>
          <w:rFonts w:ascii="Arial" w:hAnsi="Arial" w:cs="Arial"/>
          <w:color w:val="FF0000"/>
          <w:sz w:val="18"/>
        </w:rPr>
      </w:pPr>
    </w:p>
    <w:p w14:paraId="071F0064" w14:textId="74C17A91" w:rsidR="00806D8E" w:rsidRPr="00C57579" w:rsidRDefault="00806D8E" w:rsidP="009A140F">
      <w:pPr>
        <w:pStyle w:val="Naslov2"/>
        <w:rPr>
          <w:szCs w:val="20"/>
        </w:rPr>
      </w:pPr>
      <w:bookmarkStart w:id="46" w:name="_Toc175563875"/>
      <w:r w:rsidRPr="00C57579">
        <w:t>2.</w:t>
      </w:r>
      <w:r w:rsidR="00FA2740" w:rsidRPr="00C57579">
        <w:t>8</w:t>
      </w:r>
      <w:r w:rsidRPr="00C57579">
        <w:t xml:space="preserve"> Naročila, </w:t>
      </w:r>
      <w:r w:rsidR="00B90B8D" w:rsidRPr="00C57579">
        <w:t>(</w:t>
      </w:r>
      <w:r w:rsidRPr="00C57579">
        <w:t>so</w:t>
      </w:r>
      <w:r w:rsidR="00B90B8D" w:rsidRPr="00C57579">
        <w:t>)</w:t>
      </w:r>
      <w:r w:rsidRPr="00C57579">
        <w:t>financirana s sredstvi Evropske unije</w:t>
      </w:r>
      <w:bookmarkEnd w:id="46"/>
      <w:r w:rsidR="00B90B8D" w:rsidRPr="00C57579">
        <w:t xml:space="preserve"> </w:t>
      </w:r>
    </w:p>
    <w:p w14:paraId="4B5EC35C" w14:textId="77777777" w:rsidR="004A21A3" w:rsidRPr="00C57579" w:rsidRDefault="004A21A3" w:rsidP="00854405">
      <w:pPr>
        <w:pStyle w:val="ZADEVA"/>
        <w:jc w:val="both"/>
        <w:rPr>
          <w:rFonts w:cs="Arial"/>
          <w:b w:val="0"/>
          <w:color w:val="FF0000"/>
          <w:szCs w:val="20"/>
          <w:lang w:val="sl-SI"/>
        </w:rPr>
      </w:pPr>
    </w:p>
    <w:p w14:paraId="3DD53D69" w14:textId="3FE55B3F" w:rsidR="003F5C42" w:rsidRPr="00C57579" w:rsidRDefault="002B74A3" w:rsidP="006359DE">
      <w:pPr>
        <w:spacing w:line="360" w:lineRule="auto"/>
        <w:jc w:val="both"/>
        <w:rPr>
          <w:rFonts w:ascii="Arial" w:eastAsia="Times New Roman" w:hAnsi="Arial" w:cs="Arial"/>
          <w:color w:val="000000" w:themeColor="text1"/>
          <w:sz w:val="20"/>
          <w:szCs w:val="20"/>
          <w:lang w:eastAsia="sl-SI"/>
        </w:rPr>
      </w:pPr>
      <w:r w:rsidRPr="00C57579">
        <w:rPr>
          <w:rFonts w:ascii="Arial" w:hAnsi="Arial" w:cs="Arial"/>
          <w:color w:val="000000" w:themeColor="text1"/>
          <w:sz w:val="20"/>
          <w:szCs w:val="20"/>
          <w:lang w:eastAsia="sl-SI"/>
        </w:rPr>
        <w:lastRenderedPageBreak/>
        <w:t>Leta</w:t>
      </w:r>
      <w:r w:rsidR="00CF29C9" w:rsidRPr="00C57579">
        <w:rPr>
          <w:rFonts w:ascii="Arial" w:hAnsi="Arial" w:cs="Arial"/>
          <w:color w:val="000000" w:themeColor="text1"/>
          <w:sz w:val="20"/>
          <w:szCs w:val="20"/>
          <w:lang w:eastAsia="sl-SI"/>
        </w:rPr>
        <w:t xml:space="preserve"> 20</w:t>
      </w:r>
      <w:r w:rsidR="001472BF" w:rsidRPr="00C57579">
        <w:rPr>
          <w:rFonts w:ascii="Arial" w:hAnsi="Arial" w:cs="Arial"/>
          <w:color w:val="000000" w:themeColor="text1"/>
          <w:sz w:val="20"/>
          <w:szCs w:val="20"/>
          <w:lang w:eastAsia="sl-SI"/>
        </w:rPr>
        <w:t>2</w:t>
      </w:r>
      <w:r w:rsidR="00CF727D" w:rsidRPr="00C57579">
        <w:rPr>
          <w:rFonts w:ascii="Arial" w:hAnsi="Arial" w:cs="Arial"/>
          <w:color w:val="000000" w:themeColor="text1"/>
          <w:sz w:val="20"/>
          <w:szCs w:val="20"/>
          <w:lang w:eastAsia="sl-SI"/>
        </w:rPr>
        <w:t>3</w:t>
      </w:r>
      <w:r w:rsidR="005954B6" w:rsidRPr="00C57579">
        <w:rPr>
          <w:rFonts w:ascii="Arial" w:hAnsi="Arial" w:cs="Arial"/>
          <w:color w:val="000000" w:themeColor="text1"/>
          <w:sz w:val="20"/>
          <w:szCs w:val="20"/>
          <w:lang w:eastAsia="sl-SI"/>
        </w:rPr>
        <w:t xml:space="preserve"> </w:t>
      </w:r>
      <w:r w:rsidR="0017040B" w:rsidRPr="00C57579">
        <w:rPr>
          <w:rFonts w:ascii="Arial" w:hAnsi="Arial" w:cs="Arial"/>
          <w:color w:val="000000" w:themeColor="text1"/>
          <w:sz w:val="20"/>
          <w:szCs w:val="20"/>
          <w:lang w:eastAsia="sl-SI"/>
        </w:rPr>
        <w:t xml:space="preserve">je bilo oddanih </w:t>
      </w:r>
      <w:r w:rsidR="00CF727D" w:rsidRPr="00C57579">
        <w:rPr>
          <w:rFonts w:ascii="Arial" w:hAnsi="Arial" w:cs="Arial"/>
          <w:color w:val="000000" w:themeColor="text1"/>
          <w:sz w:val="20"/>
          <w:szCs w:val="20"/>
          <w:lang w:eastAsia="sl-SI"/>
        </w:rPr>
        <w:t>83</w:t>
      </w:r>
      <w:r w:rsidR="00C57579" w:rsidRPr="00C57579">
        <w:rPr>
          <w:rFonts w:ascii="Arial" w:hAnsi="Arial" w:cs="Arial"/>
          <w:color w:val="000000" w:themeColor="text1"/>
          <w:sz w:val="20"/>
          <w:szCs w:val="20"/>
          <w:lang w:eastAsia="sl-SI"/>
        </w:rPr>
        <w:t>6</w:t>
      </w:r>
      <w:r w:rsidR="0017040B" w:rsidRPr="00C57579">
        <w:rPr>
          <w:rFonts w:ascii="Arial" w:hAnsi="Arial" w:cs="Arial"/>
          <w:color w:val="000000" w:themeColor="text1"/>
          <w:sz w:val="20"/>
          <w:szCs w:val="20"/>
          <w:lang w:eastAsia="sl-SI"/>
        </w:rPr>
        <w:t xml:space="preserve"> naročil,</w:t>
      </w:r>
      <w:r w:rsidR="003F5C42" w:rsidRPr="00C57579">
        <w:rPr>
          <w:rFonts w:ascii="Arial" w:hAnsi="Arial" w:cs="Arial"/>
          <w:color w:val="000000" w:themeColor="text1"/>
          <w:sz w:val="20"/>
          <w:szCs w:val="20"/>
          <w:lang w:eastAsia="sl-SI"/>
        </w:rPr>
        <w:t xml:space="preserve"> ki </w:t>
      </w:r>
      <w:r w:rsidRPr="00C57579">
        <w:rPr>
          <w:rFonts w:ascii="Arial" w:hAnsi="Arial" w:cs="Arial"/>
          <w:color w:val="000000" w:themeColor="text1"/>
          <w:sz w:val="20"/>
          <w:szCs w:val="20"/>
          <w:lang w:eastAsia="sl-SI"/>
        </w:rPr>
        <w:t>s</w:t>
      </w:r>
      <w:r w:rsidR="0017040B" w:rsidRPr="00C57579">
        <w:rPr>
          <w:rFonts w:ascii="Arial" w:hAnsi="Arial" w:cs="Arial"/>
          <w:color w:val="000000" w:themeColor="text1"/>
          <w:sz w:val="20"/>
          <w:szCs w:val="20"/>
          <w:lang w:eastAsia="sl-SI"/>
        </w:rPr>
        <w:t>o</w:t>
      </w:r>
      <w:r w:rsidRPr="00C57579">
        <w:rPr>
          <w:rFonts w:ascii="Arial" w:hAnsi="Arial" w:cs="Arial"/>
          <w:color w:val="000000" w:themeColor="text1"/>
          <w:sz w:val="20"/>
          <w:szCs w:val="20"/>
          <w:lang w:eastAsia="sl-SI"/>
        </w:rPr>
        <w:t xml:space="preserve"> </w:t>
      </w:r>
      <w:r w:rsidR="003F5C42" w:rsidRPr="00C57579">
        <w:rPr>
          <w:rFonts w:ascii="Arial" w:hAnsi="Arial" w:cs="Arial"/>
          <w:color w:val="000000" w:themeColor="text1"/>
          <w:sz w:val="20"/>
          <w:szCs w:val="20"/>
          <w:lang w:eastAsia="sl-SI"/>
        </w:rPr>
        <w:t>bila (so)</w:t>
      </w:r>
      <w:r w:rsidRPr="00C57579">
        <w:rPr>
          <w:rFonts w:ascii="Arial" w:hAnsi="Arial" w:cs="Arial"/>
          <w:color w:val="000000" w:themeColor="text1"/>
          <w:sz w:val="20"/>
          <w:szCs w:val="20"/>
          <w:lang w:eastAsia="sl-SI"/>
        </w:rPr>
        <w:t>financiran</w:t>
      </w:r>
      <w:r w:rsidR="00B35EB2" w:rsidRPr="00C57579">
        <w:rPr>
          <w:rFonts w:ascii="Arial" w:hAnsi="Arial" w:cs="Arial"/>
          <w:color w:val="000000" w:themeColor="text1"/>
          <w:sz w:val="20"/>
          <w:szCs w:val="20"/>
          <w:lang w:eastAsia="sl-SI"/>
        </w:rPr>
        <w:t>a</w:t>
      </w:r>
      <w:r w:rsidRPr="00C57579">
        <w:rPr>
          <w:rFonts w:ascii="Arial" w:hAnsi="Arial" w:cs="Arial"/>
          <w:color w:val="000000" w:themeColor="text1"/>
          <w:sz w:val="20"/>
          <w:szCs w:val="20"/>
          <w:lang w:eastAsia="sl-SI"/>
        </w:rPr>
        <w:t xml:space="preserve"> </w:t>
      </w:r>
      <w:r w:rsidR="003F5C42" w:rsidRPr="00C57579">
        <w:rPr>
          <w:rFonts w:ascii="Arial" w:hAnsi="Arial" w:cs="Arial"/>
          <w:color w:val="000000" w:themeColor="text1"/>
          <w:sz w:val="20"/>
          <w:szCs w:val="20"/>
          <w:lang w:eastAsia="sl-SI"/>
        </w:rPr>
        <w:t xml:space="preserve">s sredstvi Evropske unije iz različnih skladov in programov. Vrednost oddanih naročil je bila </w:t>
      </w:r>
      <w:r w:rsidR="00C57579" w:rsidRPr="00C57579">
        <w:rPr>
          <w:rFonts w:ascii="Arial" w:hAnsi="Arial" w:cs="Arial"/>
          <w:color w:val="000000" w:themeColor="text1"/>
          <w:sz w:val="20"/>
          <w:szCs w:val="20"/>
          <w:lang w:eastAsia="sl-SI"/>
        </w:rPr>
        <w:t xml:space="preserve">896.382.126 </w:t>
      </w:r>
      <w:r w:rsidR="003F5C42" w:rsidRPr="00C57579">
        <w:rPr>
          <w:rFonts w:ascii="Arial" w:hAnsi="Arial" w:cs="Arial"/>
          <w:color w:val="000000" w:themeColor="text1"/>
          <w:sz w:val="20"/>
          <w:szCs w:val="20"/>
          <w:lang w:eastAsia="sl-SI"/>
        </w:rPr>
        <w:t>evrov.</w:t>
      </w:r>
    </w:p>
    <w:p w14:paraId="38A1A9C8" w14:textId="59621FF8" w:rsidR="003F5C42" w:rsidRPr="00C57579" w:rsidRDefault="003F5C42" w:rsidP="003F5C42">
      <w:pPr>
        <w:spacing w:line="360" w:lineRule="auto"/>
        <w:jc w:val="both"/>
        <w:rPr>
          <w:rFonts w:ascii="Arial" w:hAnsi="Arial" w:cs="Arial"/>
          <w:color w:val="000000" w:themeColor="text1"/>
          <w:sz w:val="20"/>
          <w:szCs w:val="20"/>
          <w:lang w:eastAsia="sl-SI"/>
        </w:rPr>
      </w:pPr>
      <w:r w:rsidRPr="00C57579">
        <w:rPr>
          <w:rFonts w:ascii="Arial" w:hAnsi="Arial" w:cs="Arial"/>
          <w:color w:val="000000" w:themeColor="text1"/>
          <w:sz w:val="20"/>
          <w:szCs w:val="20"/>
          <w:lang w:eastAsia="sl-SI"/>
        </w:rPr>
        <w:t xml:space="preserve">Največ </w:t>
      </w:r>
      <w:r w:rsidR="0046317B" w:rsidRPr="00C57579">
        <w:rPr>
          <w:rFonts w:ascii="Arial" w:hAnsi="Arial" w:cs="Arial"/>
          <w:color w:val="000000" w:themeColor="text1"/>
          <w:sz w:val="20"/>
          <w:szCs w:val="20"/>
          <w:lang w:eastAsia="sl-SI"/>
        </w:rPr>
        <w:t>javni</w:t>
      </w:r>
      <w:r w:rsidR="00B16993" w:rsidRPr="00C57579">
        <w:rPr>
          <w:rFonts w:ascii="Arial" w:hAnsi="Arial" w:cs="Arial"/>
          <w:color w:val="000000" w:themeColor="text1"/>
          <w:sz w:val="20"/>
          <w:szCs w:val="20"/>
          <w:lang w:eastAsia="sl-SI"/>
        </w:rPr>
        <w:t>h</w:t>
      </w:r>
      <w:r w:rsidR="0046317B" w:rsidRPr="00C57579">
        <w:rPr>
          <w:rFonts w:ascii="Arial" w:hAnsi="Arial" w:cs="Arial"/>
          <w:color w:val="000000" w:themeColor="text1"/>
          <w:sz w:val="20"/>
          <w:szCs w:val="20"/>
          <w:lang w:eastAsia="sl-SI"/>
        </w:rPr>
        <w:t xml:space="preserve"> </w:t>
      </w:r>
      <w:r w:rsidRPr="00C57579">
        <w:rPr>
          <w:rFonts w:ascii="Arial" w:hAnsi="Arial" w:cs="Arial"/>
          <w:color w:val="000000" w:themeColor="text1"/>
          <w:sz w:val="20"/>
          <w:szCs w:val="20"/>
          <w:lang w:eastAsia="sl-SI"/>
        </w:rPr>
        <w:t xml:space="preserve">naročil po številu  </w:t>
      </w:r>
      <w:r w:rsidR="007F5593" w:rsidRPr="00C57579">
        <w:rPr>
          <w:rFonts w:ascii="Arial" w:hAnsi="Arial" w:cs="Arial"/>
          <w:color w:val="000000" w:themeColor="text1"/>
          <w:sz w:val="20"/>
          <w:szCs w:val="20"/>
          <w:lang w:eastAsia="sl-SI"/>
        </w:rPr>
        <w:t>so oddali javni zavodi</w:t>
      </w:r>
      <w:r w:rsidR="00F30D93" w:rsidRPr="00C57579">
        <w:rPr>
          <w:rFonts w:ascii="Arial" w:hAnsi="Arial" w:cs="Arial"/>
          <w:color w:val="000000" w:themeColor="text1"/>
          <w:sz w:val="20"/>
          <w:szCs w:val="20"/>
          <w:lang w:eastAsia="sl-SI"/>
        </w:rPr>
        <w:t>, in sice</w:t>
      </w:r>
      <w:r w:rsidR="00813308" w:rsidRPr="00C57579">
        <w:rPr>
          <w:rFonts w:ascii="Arial" w:hAnsi="Arial" w:cs="Arial"/>
          <w:color w:val="000000" w:themeColor="text1"/>
          <w:sz w:val="20"/>
          <w:szCs w:val="20"/>
          <w:lang w:eastAsia="sl-SI"/>
        </w:rPr>
        <w:t>r 277</w:t>
      </w:r>
      <w:r w:rsidRPr="00C57579">
        <w:rPr>
          <w:rFonts w:ascii="Arial" w:hAnsi="Arial" w:cs="Arial"/>
          <w:color w:val="000000" w:themeColor="text1"/>
          <w:sz w:val="20"/>
          <w:szCs w:val="20"/>
          <w:lang w:eastAsia="sl-SI"/>
        </w:rPr>
        <w:t xml:space="preserve"> naročil v skupni vrednosti </w:t>
      </w:r>
      <w:r w:rsidR="00813308" w:rsidRPr="00C57579">
        <w:rPr>
          <w:rFonts w:ascii="Arial" w:hAnsi="Arial" w:cs="Arial"/>
          <w:color w:val="000000" w:themeColor="text1"/>
          <w:sz w:val="20"/>
          <w:szCs w:val="20"/>
          <w:lang w:eastAsia="sl-SI"/>
        </w:rPr>
        <w:t xml:space="preserve">100.607.645 </w:t>
      </w:r>
      <w:r w:rsidRPr="00C57579">
        <w:rPr>
          <w:rFonts w:ascii="Arial" w:hAnsi="Arial" w:cs="Arial"/>
          <w:color w:val="000000" w:themeColor="text1"/>
          <w:sz w:val="20"/>
          <w:szCs w:val="20"/>
          <w:lang w:eastAsia="sl-SI"/>
        </w:rPr>
        <w:t>evrov</w:t>
      </w:r>
      <w:r w:rsidR="00813308" w:rsidRPr="00C57579">
        <w:rPr>
          <w:rFonts w:ascii="Arial" w:hAnsi="Arial" w:cs="Arial"/>
          <w:color w:val="000000" w:themeColor="text1"/>
          <w:sz w:val="20"/>
          <w:szCs w:val="20"/>
          <w:lang w:eastAsia="sl-SI"/>
        </w:rPr>
        <w:t xml:space="preserve">, po vrednosti pa </w:t>
      </w:r>
      <w:r w:rsidR="00D7656B" w:rsidRPr="00C57579">
        <w:rPr>
          <w:rFonts w:ascii="Arial" w:hAnsi="Arial" w:cs="Arial"/>
          <w:color w:val="000000" w:themeColor="text1"/>
          <w:sz w:val="20"/>
          <w:szCs w:val="20"/>
          <w:lang w:eastAsia="sl-SI"/>
        </w:rPr>
        <w:t>o</w:t>
      </w:r>
      <w:r w:rsidR="00813308" w:rsidRPr="00C57579">
        <w:rPr>
          <w:rFonts w:ascii="Arial" w:hAnsi="Arial" w:cs="Arial"/>
          <w:color w:val="000000" w:themeColor="text1"/>
          <w:sz w:val="20"/>
          <w:szCs w:val="20"/>
          <w:lang w:eastAsia="sl-SI"/>
        </w:rPr>
        <w:t>rgani Republike Slovenije, 231 naročil v vrednosti  242.597.144 evrov</w:t>
      </w:r>
      <w:r w:rsidRPr="00C57579">
        <w:rPr>
          <w:rFonts w:ascii="Arial" w:hAnsi="Arial" w:cs="Arial"/>
          <w:color w:val="000000" w:themeColor="text1"/>
          <w:sz w:val="20"/>
          <w:szCs w:val="20"/>
          <w:lang w:eastAsia="sl-SI"/>
        </w:rPr>
        <w:t xml:space="preserve">. </w:t>
      </w:r>
      <w:r w:rsidR="0046317B" w:rsidRPr="00C57579">
        <w:rPr>
          <w:rFonts w:ascii="Arial" w:hAnsi="Arial" w:cs="Arial"/>
          <w:color w:val="000000" w:themeColor="text1"/>
          <w:sz w:val="20"/>
          <w:szCs w:val="20"/>
          <w:lang w:eastAsia="sl-SI"/>
        </w:rPr>
        <w:t xml:space="preserve">V spodnji preglednici so </w:t>
      </w:r>
      <w:r w:rsidR="00A22784" w:rsidRPr="00C57579">
        <w:rPr>
          <w:rFonts w:ascii="Arial" w:hAnsi="Arial" w:cs="Arial"/>
          <w:color w:val="000000" w:themeColor="text1"/>
          <w:sz w:val="20"/>
          <w:szCs w:val="20"/>
          <w:lang w:eastAsia="sl-SI"/>
        </w:rPr>
        <w:t>navedeni</w:t>
      </w:r>
      <w:r w:rsidR="0046317B" w:rsidRPr="00C57579">
        <w:rPr>
          <w:rFonts w:ascii="Arial" w:hAnsi="Arial" w:cs="Arial"/>
          <w:color w:val="000000" w:themeColor="text1"/>
          <w:sz w:val="20"/>
          <w:szCs w:val="20"/>
          <w:lang w:eastAsia="sl-SI"/>
        </w:rPr>
        <w:t xml:space="preserve"> podatki o številu, vrednosti oddanih javnih naročil, (so)financiranih s </w:t>
      </w:r>
      <w:r w:rsidRPr="00C57579">
        <w:rPr>
          <w:rFonts w:ascii="Arial" w:hAnsi="Arial" w:cs="Arial"/>
          <w:color w:val="000000" w:themeColor="text1"/>
          <w:sz w:val="20"/>
          <w:szCs w:val="20"/>
          <w:lang w:eastAsia="sl-SI"/>
        </w:rPr>
        <w:t>sredstvi Evropske unije</w:t>
      </w:r>
      <w:r w:rsidR="001E6D56" w:rsidRPr="00C57579">
        <w:rPr>
          <w:rFonts w:ascii="Arial" w:hAnsi="Arial" w:cs="Arial"/>
          <w:color w:val="000000" w:themeColor="text1"/>
          <w:sz w:val="20"/>
          <w:szCs w:val="20"/>
          <w:lang w:eastAsia="sl-SI"/>
        </w:rPr>
        <w:t>,</w:t>
      </w:r>
      <w:r w:rsidR="0046317B" w:rsidRPr="00C57579">
        <w:rPr>
          <w:rFonts w:ascii="Arial" w:hAnsi="Arial" w:cs="Arial"/>
          <w:color w:val="000000" w:themeColor="text1"/>
          <w:sz w:val="20"/>
          <w:szCs w:val="20"/>
          <w:lang w:eastAsia="sl-SI"/>
        </w:rPr>
        <w:t xml:space="preserve"> </w:t>
      </w:r>
      <w:r w:rsidR="001E6D56" w:rsidRPr="00C57579">
        <w:rPr>
          <w:rFonts w:ascii="Arial" w:hAnsi="Arial" w:cs="Arial"/>
          <w:color w:val="000000" w:themeColor="text1"/>
          <w:sz w:val="20"/>
          <w:szCs w:val="20"/>
          <w:lang w:eastAsia="sl-SI"/>
        </w:rPr>
        <w:t>in</w:t>
      </w:r>
      <w:r w:rsidR="0046317B" w:rsidRPr="00C57579">
        <w:rPr>
          <w:rFonts w:ascii="Arial" w:hAnsi="Arial" w:cs="Arial"/>
          <w:color w:val="000000" w:themeColor="text1"/>
          <w:sz w:val="20"/>
          <w:szCs w:val="20"/>
          <w:lang w:eastAsia="sl-SI"/>
        </w:rPr>
        <w:t xml:space="preserve"> njihovi deleži v vrednosti vseh oddanih javnih naročil </w:t>
      </w:r>
      <w:r w:rsidR="001E6D56" w:rsidRPr="00C57579">
        <w:rPr>
          <w:rFonts w:ascii="Arial" w:hAnsi="Arial" w:cs="Arial"/>
          <w:color w:val="000000" w:themeColor="text1"/>
          <w:sz w:val="20"/>
          <w:szCs w:val="20"/>
          <w:lang w:eastAsia="sl-SI"/>
        </w:rPr>
        <w:t>v okviru posamezne</w:t>
      </w:r>
      <w:r w:rsidR="00A9062B" w:rsidRPr="00C57579">
        <w:rPr>
          <w:rFonts w:ascii="Arial" w:hAnsi="Arial" w:cs="Arial"/>
          <w:color w:val="000000" w:themeColor="text1"/>
          <w:sz w:val="20"/>
          <w:szCs w:val="20"/>
          <w:lang w:eastAsia="sl-SI"/>
        </w:rPr>
        <w:t xml:space="preserve"> </w:t>
      </w:r>
      <w:r w:rsidR="0046317B" w:rsidRPr="00C57579">
        <w:rPr>
          <w:rFonts w:ascii="Arial" w:hAnsi="Arial" w:cs="Arial"/>
          <w:color w:val="000000" w:themeColor="text1"/>
          <w:sz w:val="20"/>
          <w:szCs w:val="20"/>
          <w:lang w:eastAsia="sl-SI"/>
        </w:rPr>
        <w:t>kategorije naročnika.</w:t>
      </w:r>
    </w:p>
    <w:p w14:paraId="2CFB1FD2" w14:textId="5F7F74B3" w:rsidR="003F5C42" w:rsidRPr="00C57579" w:rsidRDefault="003F5C42" w:rsidP="008A61FD">
      <w:pPr>
        <w:spacing w:before="120" w:after="120" w:line="240" w:lineRule="auto"/>
        <w:jc w:val="both"/>
        <w:rPr>
          <w:rFonts w:ascii="Arial" w:hAnsi="Arial" w:cs="Arial"/>
          <w:color w:val="000000" w:themeColor="text1"/>
          <w:sz w:val="20"/>
        </w:rPr>
      </w:pPr>
      <w:r w:rsidRPr="00C57579">
        <w:rPr>
          <w:rFonts w:ascii="Arial" w:hAnsi="Arial" w:cs="Arial"/>
          <w:color w:val="000000" w:themeColor="text1"/>
          <w:sz w:val="20"/>
        </w:rPr>
        <w:t xml:space="preserve">Preglednica </w:t>
      </w:r>
      <w:r w:rsidR="00512F52" w:rsidRPr="00C57579">
        <w:rPr>
          <w:rFonts w:ascii="Arial" w:hAnsi="Arial" w:cs="Arial"/>
          <w:color w:val="000000" w:themeColor="text1"/>
          <w:sz w:val="20"/>
        </w:rPr>
        <w:t>4</w:t>
      </w:r>
      <w:r w:rsidR="00EA747F" w:rsidRPr="00C57579">
        <w:rPr>
          <w:rFonts w:ascii="Arial" w:hAnsi="Arial" w:cs="Arial"/>
          <w:color w:val="000000" w:themeColor="text1"/>
          <w:sz w:val="20"/>
        </w:rPr>
        <w:t>3</w:t>
      </w:r>
      <w:r w:rsidRPr="00C57579">
        <w:rPr>
          <w:rFonts w:ascii="Arial" w:hAnsi="Arial" w:cs="Arial"/>
          <w:color w:val="000000" w:themeColor="text1"/>
          <w:sz w:val="20"/>
        </w:rPr>
        <w:t xml:space="preserve">: </w:t>
      </w:r>
      <w:r w:rsidR="0046317B" w:rsidRPr="00C57579">
        <w:rPr>
          <w:rFonts w:ascii="Arial" w:hAnsi="Arial" w:cs="Arial"/>
          <w:color w:val="000000" w:themeColor="text1"/>
          <w:sz w:val="20"/>
        </w:rPr>
        <w:t>Število javnih naročil</w:t>
      </w:r>
      <w:r w:rsidR="00D6524D" w:rsidRPr="00C57579">
        <w:rPr>
          <w:rFonts w:ascii="Arial" w:hAnsi="Arial" w:cs="Arial"/>
          <w:color w:val="000000" w:themeColor="text1"/>
          <w:sz w:val="20"/>
        </w:rPr>
        <w:t>,</w:t>
      </w:r>
      <w:r w:rsidR="0046317B" w:rsidRPr="00C57579">
        <w:rPr>
          <w:rFonts w:ascii="Arial" w:hAnsi="Arial" w:cs="Arial"/>
          <w:color w:val="000000" w:themeColor="text1"/>
          <w:sz w:val="20"/>
        </w:rPr>
        <w:t xml:space="preserve"> (so)financiranih</w:t>
      </w:r>
      <w:r w:rsidRPr="00C57579">
        <w:rPr>
          <w:rFonts w:ascii="Arial" w:hAnsi="Arial" w:cs="Arial"/>
          <w:color w:val="000000" w:themeColor="text1"/>
          <w:sz w:val="20"/>
        </w:rPr>
        <w:t xml:space="preserve"> s sredstvi Evropske unije, </w:t>
      </w:r>
      <w:r w:rsidR="0046317B" w:rsidRPr="00C57579">
        <w:rPr>
          <w:rFonts w:ascii="Arial" w:hAnsi="Arial" w:cs="Arial"/>
          <w:color w:val="000000" w:themeColor="text1"/>
          <w:sz w:val="20"/>
        </w:rPr>
        <w:t xml:space="preserve">njihova vrednost in delež v vrednosti vseh javnih naročil </w:t>
      </w:r>
      <w:r w:rsidR="00422CFD" w:rsidRPr="00C57579">
        <w:rPr>
          <w:rFonts w:ascii="Arial" w:hAnsi="Arial" w:cs="Arial"/>
          <w:color w:val="000000" w:themeColor="text1"/>
          <w:sz w:val="20"/>
        </w:rPr>
        <w:t xml:space="preserve">v okviru posamezne </w:t>
      </w:r>
      <w:r w:rsidR="00615E69" w:rsidRPr="00C57579">
        <w:rPr>
          <w:rFonts w:ascii="Arial" w:hAnsi="Arial" w:cs="Arial"/>
          <w:color w:val="000000" w:themeColor="text1"/>
          <w:sz w:val="20"/>
        </w:rPr>
        <w:t>kategorije</w:t>
      </w:r>
      <w:r w:rsidR="00A15487" w:rsidRPr="00C57579">
        <w:rPr>
          <w:rFonts w:ascii="Arial" w:hAnsi="Arial" w:cs="Arial"/>
          <w:color w:val="000000" w:themeColor="text1"/>
          <w:sz w:val="20"/>
        </w:rPr>
        <w:t xml:space="preserve">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2"/>
        <w:gridCol w:w="672"/>
        <w:gridCol w:w="1255"/>
        <w:gridCol w:w="1985"/>
        <w:gridCol w:w="1890"/>
      </w:tblGrid>
      <w:tr w:rsidR="00122C38" w:rsidRPr="00C57579" w14:paraId="333A8C28" w14:textId="77777777" w:rsidTr="00813308">
        <w:trPr>
          <w:trHeight w:val="300"/>
        </w:trPr>
        <w:tc>
          <w:tcPr>
            <w:tcW w:w="1838" w:type="pct"/>
            <w:shd w:val="clear" w:color="000000" w:fill="F2F2F2"/>
            <w:vAlign w:val="center"/>
            <w:hideMark/>
          </w:tcPr>
          <w:p w14:paraId="091AB536" w14:textId="6C5C2228" w:rsidR="007F5593" w:rsidRPr="00C57579" w:rsidRDefault="007F5593" w:rsidP="007F5593">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Kategorija naročnika</w:t>
            </w:r>
          </w:p>
        </w:tc>
        <w:tc>
          <w:tcPr>
            <w:tcW w:w="366" w:type="pct"/>
            <w:shd w:val="clear" w:color="000000" w:fill="F2F2F2"/>
            <w:vAlign w:val="center"/>
            <w:hideMark/>
          </w:tcPr>
          <w:p w14:paraId="60A698AE" w14:textId="77777777" w:rsidR="007F5593" w:rsidRPr="00C57579" w:rsidRDefault="007F5593" w:rsidP="007F5593">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Št. naročil</w:t>
            </w:r>
          </w:p>
        </w:tc>
        <w:tc>
          <w:tcPr>
            <w:tcW w:w="684" w:type="pct"/>
            <w:shd w:val="clear" w:color="000000" w:fill="F2F2F2"/>
            <w:vAlign w:val="center"/>
            <w:hideMark/>
          </w:tcPr>
          <w:p w14:paraId="723C30A9" w14:textId="5C7319CD" w:rsidR="007F5593" w:rsidRPr="00C57579" w:rsidRDefault="007F5593" w:rsidP="007F5593">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Pogodbena vrednost</w:t>
            </w:r>
            <w:r w:rsidR="00986395" w:rsidRPr="00C57579">
              <w:rPr>
                <w:rFonts w:ascii="Arial" w:eastAsia="Times New Roman" w:hAnsi="Arial" w:cs="Arial"/>
                <w:color w:val="000000" w:themeColor="text1"/>
                <w:sz w:val="18"/>
                <w:szCs w:val="18"/>
                <w:lang w:eastAsia="sl-SI"/>
              </w:rPr>
              <w:t xml:space="preserve"> (v EUR)</w:t>
            </w:r>
          </w:p>
        </w:tc>
        <w:tc>
          <w:tcPr>
            <w:tcW w:w="1082" w:type="pct"/>
            <w:shd w:val="clear" w:color="000000" w:fill="F2F2F2"/>
            <w:vAlign w:val="center"/>
            <w:hideMark/>
          </w:tcPr>
          <w:p w14:paraId="0A23C15A" w14:textId="16FC58A6" w:rsidR="007F5593" w:rsidRPr="00C57579" w:rsidRDefault="007F5593" w:rsidP="007F5593">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Delež št. naročil v št. vseh naročil glede na kategorijo naročnika</w:t>
            </w:r>
          </w:p>
        </w:tc>
        <w:tc>
          <w:tcPr>
            <w:tcW w:w="1030" w:type="pct"/>
            <w:shd w:val="clear" w:color="000000" w:fill="F2F2F2"/>
            <w:vAlign w:val="center"/>
            <w:hideMark/>
          </w:tcPr>
          <w:p w14:paraId="18BD5A36" w14:textId="78AE2C18" w:rsidR="007F5593" w:rsidRPr="00C57579" w:rsidRDefault="007F5593" w:rsidP="007F5593">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Delež v vrednosti vseh naročil glede na kategorijo naročnika</w:t>
            </w:r>
          </w:p>
        </w:tc>
      </w:tr>
      <w:tr w:rsidR="00C57579" w:rsidRPr="00C57579" w14:paraId="72EF9EA2" w14:textId="77777777" w:rsidTr="00813308">
        <w:trPr>
          <w:trHeight w:hRule="exact" w:val="284"/>
        </w:trPr>
        <w:tc>
          <w:tcPr>
            <w:tcW w:w="1838" w:type="pct"/>
            <w:shd w:val="clear" w:color="auto" w:fill="auto"/>
            <w:vAlign w:val="center"/>
            <w:hideMark/>
          </w:tcPr>
          <w:p w14:paraId="681F9965" w14:textId="048A274C" w:rsidR="00C57579" w:rsidRPr="00C57579" w:rsidRDefault="00C57579" w:rsidP="00C57579">
            <w:pPr>
              <w:spacing w:after="0" w:line="240" w:lineRule="auto"/>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Organi Republike Slovenije</w:t>
            </w:r>
          </w:p>
        </w:tc>
        <w:tc>
          <w:tcPr>
            <w:tcW w:w="366" w:type="pct"/>
            <w:shd w:val="clear" w:color="auto" w:fill="auto"/>
            <w:vAlign w:val="center"/>
            <w:hideMark/>
          </w:tcPr>
          <w:p w14:paraId="1F4CA0BE" w14:textId="56CBBDFE"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231</w:t>
            </w:r>
          </w:p>
        </w:tc>
        <w:tc>
          <w:tcPr>
            <w:tcW w:w="684" w:type="pct"/>
            <w:shd w:val="clear" w:color="auto" w:fill="auto"/>
            <w:vAlign w:val="center"/>
            <w:hideMark/>
          </w:tcPr>
          <w:p w14:paraId="59BF65D3" w14:textId="2253289A"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242.597.144</w:t>
            </w:r>
          </w:p>
        </w:tc>
        <w:tc>
          <w:tcPr>
            <w:tcW w:w="1082" w:type="pct"/>
            <w:shd w:val="clear" w:color="auto" w:fill="auto"/>
            <w:noWrap/>
            <w:vAlign w:val="center"/>
            <w:hideMark/>
          </w:tcPr>
          <w:p w14:paraId="1EB23076" w14:textId="3127BAA7"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12,71 %</w:t>
            </w:r>
          </w:p>
        </w:tc>
        <w:tc>
          <w:tcPr>
            <w:tcW w:w="1030" w:type="pct"/>
            <w:shd w:val="clear" w:color="auto" w:fill="auto"/>
            <w:noWrap/>
            <w:vAlign w:val="center"/>
            <w:hideMark/>
          </w:tcPr>
          <w:p w14:paraId="34F9EC6B" w14:textId="4527EAA1"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14,64 %</w:t>
            </w:r>
          </w:p>
        </w:tc>
      </w:tr>
      <w:tr w:rsidR="00C57579" w:rsidRPr="00C57579" w14:paraId="2193CF70" w14:textId="77777777" w:rsidTr="00C57579">
        <w:trPr>
          <w:trHeight w:hRule="exact" w:val="284"/>
        </w:trPr>
        <w:tc>
          <w:tcPr>
            <w:tcW w:w="1838" w:type="pct"/>
            <w:shd w:val="clear" w:color="auto" w:fill="auto"/>
            <w:vAlign w:val="center"/>
            <w:hideMark/>
          </w:tcPr>
          <w:p w14:paraId="6DA59DEA" w14:textId="77777777" w:rsidR="00C57579" w:rsidRPr="00C57579" w:rsidRDefault="00C57579" w:rsidP="00C57579">
            <w:pPr>
              <w:spacing w:after="0" w:line="240" w:lineRule="auto"/>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Samoupravne lokalne skupnosti</w:t>
            </w:r>
          </w:p>
        </w:tc>
        <w:tc>
          <w:tcPr>
            <w:tcW w:w="366" w:type="pct"/>
            <w:shd w:val="clear" w:color="auto" w:fill="auto"/>
            <w:vAlign w:val="center"/>
            <w:hideMark/>
          </w:tcPr>
          <w:p w14:paraId="05A81DF6" w14:textId="73B8E0B0"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198</w:t>
            </w:r>
          </w:p>
        </w:tc>
        <w:tc>
          <w:tcPr>
            <w:tcW w:w="684" w:type="pct"/>
            <w:shd w:val="clear" w:color="auto" w:fill="auto"/>
            <w:vAlign w:val="center"/>
            <w:hideMark/>
          </w:tcPr>
          <w:p w14:paraId="1D9214E6" w14:textId="47F4902C"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144.961.000</w:t>
            </w:r>
          </w:p>
        </w:tc>
        <w:tc>
          <w:tcPr>
            <w:tcW w:w="1082" w:type="pct"/>
            <w:shd w:val="clear" w:color="auto" w:fill="auto"/>
            <w:noWrap/>
            <w:vAlign w:val="center"/>
            <w:hideMark/>
          </w:tcPr>
          <w:p w14:paraId="08388DAE" w14:textId="4E7DB708"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10,96 %</w:t>
            </w:r>
          </w:p>
        </w:tc>
        <w:tc>
          <w:tcPr>
            <w:tcW w:w="1030" w:type="pct"/>
            <w:shd w:val="clear" w:color="auto" w:fill="auto"/>
            <w:noWrap/>
            <w:vAlign w:val="center"/>
            <w:hideMark/>
          </w:tcPr>
          <w:p w14:paraId="7CA002AE" w14:textId="00E0E4C9"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17,99 %</w:t>
            </w:r>
          </w:p>
        </w:tc>
      </w:tr>
      <w:tr w:rsidR="00C57579" w:rsidRPr="00C57579" w14:paraId="46370195" w14:textId="77777777" w:rsidTr="00813308">
        <w:trPr>
          <w:trHeight w:hRule="exact" w:val="284"/>
        </w:trPr>
        <w:tc>
          <w:tcPr>
            <w:tcW w:w="1838" w:type="pct"/>
            <w:shd w:val="clear" w:color="auto" w:fill="auto"/>
            <w:vAlign w:val="center"/>
            <w:hideMark/>
          </w:tcPr>
          <w:p w14:paraId="3E89C9D7" w14:textId="76A314B0" w:rsidR="00C57579" w:rsidRPr="00C57579" w:rsidRDefault="00C57579" w:rsidP="00C57579">
            <w:pPr>
              <w:spacing w:after="0" w:line="240" w:lineRule="auto"/>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Javni skladi</w:t>
            </w:r>
          </w:p>
        </w:tc>
        <w:tc>
          <w:tcPr>
            <w:tcW w:w="366" w:type="pct"/>
            <w:shd w:val="clear" w:color="auto" w:fill="auto"/>
            <w:vAlign w:val="center"/>
            <w:hideMark/>
          </w:tcPr>
          <w:p w14:paraId="471101E4" w14:textId="379235E2"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7</w:t>
            </w:r>
          </w:p>
        </w:tc>
        <w:tc>
          <w:tcPr>
            <w:tcW w:w="684" w:type="pct"/>
            <w:shd w:val="clear" w:color="auto" w:fill="auto"/>
            <w:vAlign w:val="center"/>
            <w:hideMark/>
          </w:tcPr>
          <w:p w14:paraId="728257EC" w14:textId="058B4665"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1.476.503</w:t>
            </w:r>
          </w:p>
        </w:tc>
        <w:tc>
          <w:tcPr>
            <w:tcW w:w="1082" w:type="pct"/>
            <w:shd w:val="clear" w:color="auto" w:fill="auto"/>
            <w:noWrap/>
            <w:vAlign w:val="center"/>
            <w:hideMark/>
          </w:tcPr>
          <w:p w14:paraId="0D73FF9C" w14:textId="27C17ED5"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10,77 %</w:t>
            </w:r>
          </w:p>
        </w:tc>
        <w:tc>
          <w:tcPr>
            <w:tcW w:w="1030" w:type="pct"/>
            <w:shd w:val="clear" w:color="auto" w:fill="auto"/>
            <w:noWrap/>
            <w:vAlign w:val="center"/>
            <w:hideMark/>
          </w:tcPr>
          <w:p w14:paraId="3621B55A" w14:textId="2F21BC34"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4,28 %</w:t>
            </w:r>
          </w:p>
        </w:tc>
      </w:tr>
      <w:tr w:rsidR="00C57579" w:rsidRPr="00C57579" w14:paraId="51C0B75E" w14:textId="77777777" w:rsidTr="00813308">
        <w:trPr>
          <w:trHeight w:hRule="exact" w:val="284"/>
        </w:trPr>
        <w:tc>
          <w:tcPr>
            <w:tcW w:w="1838" w:type="pct"/>
            <w:shd w:val="clear" w:color="auto" w:fill="auto"/>
            <w:vAlign w:val="center"/>
            <w:hideMark/>
          </w:tcPr>
          <w:p w14:paraId="47447A55" w14:textId="49A25D10" w:rsidR="00C57579" w:rsidRPr="00C57579" w:rsidRDefault="00C57579" w:rsidP="00C57579">
            <w:pPr>
              <w:spacing w:after="0" w:line="240" w:lineRule="auto"/>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Javne agencije</w:t>
            </w:r>
          </w:p>
        </w:tc>
        <w:tc>
          <w:tcPr>
            <w:tcW w:w="366" w:type="pct"/>
            <w:shd w:val="clear" w:color="auto" w:fill="auto"/>
            <w:vAlign w:val="center"/>
            <w:hideMark/>
          </w:tcPr>
          <w:p w14:paraId="2915FA7A" w14:textId="7C49BF4F"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18</w:t>
            </w:r>
          </w:p>
        </w:tc>
        <w:tc>
          <w:tcPr>
            <w:tcW w:w="684" w:type="pct"/>
            <w:shd w:val="clear" w:color="auto" w:fill="auto"/>
            <w:vAlign w:val="center"/>
            <w:hideMark/>
          </w:tcPr>
          <w:p w14:paraId="4B36EDDD" w14:textId="29DDBBF2"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9.117.256</w:t>
            </w:r>
          </w:p>
        </w:tc>
        <w:tc>
          <w:tcPr>
            <w:tcW w:w="1082" w:type="pct"/>
            <w:shd w:val="clear" w:color="auto" w:fill="auto"/>
            <w:noWrap/>
            <w:vAlign w:val="center"/>
            <w:hideMark/>
          </w:tcPr>
          <w:p w14:paraId="1550256F" w14:textId="2C9FC642"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12,50 %</w:t>
            </w:r>
          </w:p>
        </w:tc>
        <w:tc>
          <w:tcPr>
            <w:tcW w:w="1030" w:type="pct"/>
            <w:shd w:val="clear" w:color="auto" w:fill="auto"/>
            <w:noWrap/>
            <w:vAlign w:val="center"/>
            <w:hideMark/>
          </w:tcPr>
          <w:p w14:paraId="3EB8C740" w14:textId="07EFC733"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35,20 %</w:t>
            </w:r>
          </w:p>
        </w:tc>
      </w:tr>
      <w:tr w:rsidR="00C57579" w:rsidRPr="00C57579" w14:paraId="709636A6" w14:textId="77777777" w:rsidTr="00813308">
        <w:trPr>
          <w:trHeight w:hRule="exact" w:val="284"/>
        </w:trPr>
        <w:tc>
          <w:tcPr>
            <w:tcW w:w="1838" w:type="pct"/>
            <w:shd w:val="clear" w:color="auto" w:fill="auto"/>
            <w:vAlign w:val="center"/>
            <w:hideMark/>
          </w:tcPr>
          <w:p w14:paraId="6947782C" w14:textId="445BE9C8" w:rsidR="00C57579" w:rsidRPr="00C57579" w:rsidRDefault="00C57579" w:rsidP="00C57579">
            <w:pPr>
              <w:spacing w:after="0" w:line="240" w:lineRule="auto"/>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Javni zavodi</w:t>
            </w:r>
          </w:p>
        </w:tc>
        <w:tc>
          <w:tcPr>
            <w:tcW w:w="366" w:type="pct"/>
            <w:shd w:val="clear" w:color="auto" w:fill="auto"/>
            <w:vAlign w:val="center"/>
            <w:hideMark/>
          </w:tcPr>
          <w:p w14:paraId="75DA26D1" w14:textId="5A9EDA81"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277</w:t>
            </w:r>
          </w:p>
        </w:tc>
        <w:tc>
          <w:tcPr>
            <w:tcW w:w="684" w:type="pct"/>
            <w:shd w:val="clear" w:color="auto" w:fill="auto"/>
            <w:vAlign w:val="center"/>
            <w:hideMark/>
          </w:tcPr>
          <w:p w14:paraId="4D102346" w14:textId="514C0012"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100.607.645</w:t>
            </w:r>
          </w:p>
        </w:tc>
        <w:tc>
          <w:tcPr>
            <w:tcW w:w="1082" w:type="pct"/>
            <w:shd w:val="clear" w:color="auto" w:fill="auto"/>
            <w:noWrap/>
            <w:vAlign w:val="center"/>
            <w:hideMark/>
          </w:tcPr>
          <w:p w14:paraId="7F261E4D" w14:textId="32EB354D"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3,11 %</w:t>
            </w:r>
          </w:p>
        </w:tc>
        <w:tc>
          <w:tcPr>
            <w:tcW w:w="1030" w:type="pct"/>
            <w:shd w:val="clear" w:color="auto" w:fill="auto"/>
            <w:noWrap/>
            <w:vAlign w:val="center"/>
            <w:hideMark/>
          </w:tcPr>
          <w:p w14:paraId="7465630F" w14:textId="3B4B8AF9"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6,41 %</w:t>
            </w:r>
          </w:p>
        </w:tc>
      </w:tr>
      <w:tr w:rsidR="00C57579" w:rsidRPr="00C57579" w14:paraId="7EB028D3" w14:textId="77777777" w:rsidTr="00813308">
        <w:trPr>
          <w:trHeight w:hRule="exact" w:val="284"/>
        </w:trPr>
        <w:tc>
          <w:tcPr>
            <w:tcW w:w="1838" w:type="pct"/>
            <w:shd w:val="clear" w:color="auto" w:fill="auto"/>
            <w:vAlign w:val="center"/>
            <w:hideMark/>
          </w:tcPr>
          <w:p w14:paraId="4DBB766A" w14:textId="3211DFEF" w:rsidR="00C57579" w:rsidRPr="00C57579" w:rsidRDefault="00C57579" w:rsidP="00C57579">
            <w:pPr>
              <w:spacing w:after="0" w:line="240" w:lineRule="auto"/>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Javni gospodarski zavodi</w:t>
            </w:r>
          </w:p>
        </w:tc>
        <w:tc>
          <w:tcPr>
            <w:tcW w:w="366" w:type="pct"/>
            <w:shd w:val="clear" w:color="auto" w:fill="auto"/>
            <w:vAlign w:val="center"/>
            <w:hideMark/>
          </w:tcPr>
          <w:p w14:paraId="2BBAA0F1" w14:textId="2E63605A"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w:t>
            </w:r>
          </w:p>
        </w:tc>
        <w:tc>
          <w:tcPr>
            <w:tcW w:w="684" w:type="pct"/>
            <w:shd w:val="clear" w:color="auto" w:fill="auto"/>
            <w:vAlign w:val="center"/>
            <w:hideMark/>
          </w:tcPr>
          <w:p w14:paraId="31BD0EA0" w14:textId="4565C290"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92.500</w:t>
            </w:r>
          </w:p>
        </w:tc>
        <w:tc>
          <w:tcPr>
            <w:tcW w:w="1082" w:type="pct"/>
            <w:shd w:val="clear" w:color="auto" w:fill="auto"/>
            <w:noWrap/>
            <w:vAlign w:val="center"/>
            <w:hideMark/>
          </w:tcPr>
          <w:p w14:paraId="3CE6D822" w14:textId="34189B50"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1,25 %</w:t>
            </w:r>
          </w:p>
        </w:tc>
        <w:tc>
          <w:tcPr>
            <w:tcW w:w="1030" w:type="pct"/>
            <w:shd w:val="clear" w:color="auto" w:fill="auto"/>
            <w:noWrap/>
            <w:vAlign w:val="center"/>
            <w:hideMark/>
          </w:tcPr>
          <w:p w14:paraId="7EFE592E" w14:textId="5927472F"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0,57 %</w:t>
            </w:r>
          </w:p>
        </w:tc>
      </w:tr>
      <w:tr w:rsidR="00C57579" w:rsidRPr="00C57579" w14:paraId="55C19AF0" w14:textId="77777777" w:rsidTr="00813308">
        <w:trPr>
          <w:trHeight w:val="300"/>
        </w:trPr>
        <w:tc>
          <w:tcPr>
            <w:tcW w:w="1838" w:type="pct"/>
            <w:shd w:val="clear" w:color="auto" w:fill="auto"/>
            <w:vAlign w:val="center"/>
            <w:hideMark/>
          </w:tcPr>
          <w:p w14:paraId="471B353E" w14:textId="77777777" w:rsidR="00C57579" w:rsidRPr="00C57579" w:rsidRDefault="00C57579" w:rsidP="00C57579">
            <w:pPr>
              <w:spacing w:after="0" w:line="240" w:lineRule="auto"/>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 xml:space="preserve">Drugi naročniki (osebe javnega prava, javna podjetja, subjekt s posebnimi infrastrukturnimi pravicami) </w:t>
            </w:r>
          </w:p>
        </w:tc>
        <w:tc>
          <w:tcPr>
            <w:tcW w:w="366" w:type="pct"/>
            <w:shd w:val="clear" w:color="auto" w:fill="auto"/>
            <w:vAlign w:val="center"/>
            <w:hideMark/>
          </w:tcPr>
          <w:p w14:paraId="79D65879" w14:textId="6F5562D6"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86</w:t>
            </w:r>
          </w:p>
        </w:tc>
        <w:tc>
          <w:tcPr>
            <w:tcW w:w="684" w:type="pct"/>
            <w:shd w:val="clear" w:color="auto" w:fill="auto"/>
            <w:vAlign w:val="center"/>
            <w:hideMark/>
          </w:tcPr>
          <w:p w14:paraId="2F0D08B4" w14:textId="39C853B3"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184.087.965</w:t>
            </w:r>
          </w:p>
        </w:tc>
        <w:tc>
          <w:tcPr>
            <w:tcW w:w="1082" w:type="pct"/>
            <w:shd w:val="clear" w:color="auto" w:fill="auto"/>
            <w:noWrap/>
            <w:vAlign w:val="center"/>
            <w:hideMark/>
          </w:tcPr>
          <w:p w14:paraId="2213A6DA" w14:textId="603276C5"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2,20 %</w:t>
            </w:r>
          </w:p>
        </w:tc>
        <w:tc>
          <w:tcPr>
            <w:tcW w:w="1030" w:type="pct"/>
            <w:shd w:val="clear" w:color="auto" w:fill="auto"/>
            <w:noWrap/>
            <w:vAlign w:val="center"/>
            <w:hideMark/>
          </w:tcPr>
          <w:p w14:paraId="66F4BB48" w14:textId="18265BA2"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9,97 %</w:t>
            </w:r>
          </w:p>
        </w:tc>
      </w:tr>
      <w:tr w:rsidR="00C57579" w:rsidRPr="00C57579" w14:paraId="5F8873B9" w14:textId="77777777" w:rsidTr="00813308">
        <w:trPr>
          <w:trHeight w:hRule="exact" w:val="284"/>
        </w:trPr>
        <w:tc>
          <w:tcPr>
            <w:tcW w:w="1838" w:type="pct"/>
            <w:shd w:val="clear" w:color="auto" w:fill="auto"/>
            <w:vAlign w:val="center"/>
            <w:hideMark/>
          </w:tcPr>
          <w:p w14:paraId="7F61C499" w14:textId="52C7BF0A" w:rsidR="00C57579" w:rsidRPr="00C57579" w:rsidRDefault="00C57579" w:rsidP="00C57579">
            <w:pPr>
              <w:spacing w:after="0" w:line="240" w:lineRule="auto"/>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Drugi subjekti</w:t>
            </w:r>
          </w:p>
        </w:tc>
        <w:tc>
          <w:tcPr>
            <w:tcW w:w="366" w:type="pct"/>
            <w:shd w:val="clear" w:color="auto" w:fill="auto"/>
            <w:vAlign w:val="center"/>
            <w:hideMark/>
          </w:tcPr>
          <w:p w14:paraId="64C0127F" w14:textId="0C67E08F"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18</w:t>
            </w:r>
          </w:p>
        </w:tc>
        <w:tc>
          <w:tcPr>
            <w:tcW w:w="684" w:type="pct"/>
            <w:shd w:val="clear" w:color="auto" w:fill="auto"/>
            <w:vAlign w:val="center"/>
            <w:hideMark/>
          </w:tcPr>
          <w:p w14:paraId="37928826" w14:textId="1377F9DF"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213.442.113</w:t>
            </w:r>
          </w:p>
        </w:tc>
        <w:tc>
          <w:tcPr>
            <w:tcW w:w="1082" w:type="pct"/>
            <w:shd w:val="clear" w:color="auto" w:fill="auto"/>
            <w:noWrap/>
            <w:vAlign w:val="center"/>
            <w:hideMark/>
          </w:tcPr>
          <w:p w14:paraId="0B7DF6DF" w14:textId="24ED1F47"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18,75 %</w:t>
            </w:r>
          </w:p>
        </w:tc>
        <w:tc>
          <w:tcPr>
            <w:tcW w:w="1030" w:type="pct"/>
            <w:shd w:val="clear" w:color="auto" w:fill="auto"/>
            <w:noWrap/>
            <w:vAlign w:val="center"/>
            <w:hideMark/>
          </w:tcPr>
          <w:p w14:paraId="7A746D0D" w14:textId="1D74423A"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sz w:val="18"/>
                <w:szCs w:val="18"/>
              </w:rPr>
              <w:t>77,15 %</w:t>
            </w:r>
          </w:p>
        </w:tc>
      </w:tr>
    </w:tbl>
    <w:p w14:paraId="009EA269" w14:textId="60C94413" w:rsidR="001472BF" w:rsidRPr="00C57579" w:rsidRDefault="001472BF" w:rsidP="001472BF">
      <w:pPr>
        <w:spacing w:after="0" w:line="240" w:lineRule="auto"/>
        <w:jc w:val="both"/>
        <w:rPr>
          <w:rFonts w:ascii="Arial" w:hAnsi="Arial" w:cs="Arial"/>
          <w:color w:val="000000" w:themeColor="text1"/>
          <w:sz w:val="20"/>
        </w:rPr>
      </w:pPr>
    </w:p>
    <w:p w14:paraId="3852EB52" w14:textId="04AF7BD8" w:rsidR="004E69E6" w:rsidRPr="00C57579" w:rsidRDefault="003F5C42" w:rsidP="004E69E6">
      <w:pPr>
        <w:spacing w:after="0" w:line="240" w:lineRule="auto"/>
        <w:jc w:val="center"/>
        <w:rPr>
          <w:rFonts w:ascii="Arial" w:hAnsi="Arial" w:cs="Arial"/>
          <w:color w:val="000000" w:themeColor="text1"/>
          <w:sz w:val="18"/>
        </w:rPr>
      </w:pPr>
      <w:r w:rsidRPr="00C57579">
        <w:rPr>
          <w:rFonts w:ascii="Arial" w:hAnsi="Arial" w:cs="Arial"/>
          <w:color w:val="000000" w:themeColor="text1"/>
          <w:sz w:val="18"/>
        </w:rPr>
        <w:t>Vir: Statistični podatki o javni</w:t>
      </w:r>
      <w:r w:rsidR="00F30D93" w:rsidRPr="00C57579">
        <w:rPr>
          <w:rFonts w:ascii="Arial" w:hAnsi="Arial" w:cs="Arial"/>
          <w:color w:val="000000" w:themeColor="text1"/>
          <w:sz w:val="18"/>
        </w:rPr>
        <w:t>h naročilih, oddanih v letu 20</w:t>
      </w:r>
      <w:r w:rsidR="001472BF" w:rsidRPr="00C57579">
        <w:rPr>
          <w:rFonts w:ascii="Arial" w:hAnsi="Arial" w:cs="Arial"/>
          <w:color w:val="000000" w:themeColor="text1"/>
          <w:sz w:val="18"/>
        </w:rPr>
        <w:t>2</w:t>
      </w:r>
      <w:r w:rsidR="007777C4" w:rsidRPr="00C57579">
        <w:rPr>
          <w:rFonts w:ascii="Arial" w:hAnsi="Arial" w:cs="Arial"/>
          <w:color w:val="000000" w:themeColor="text1"/>
          <w:sz w:val="18"/>
        </w:rPr>
        <w:t>3</w:t>
      </w:r>
      <w:r w:rsidR="00427811" w:rsidRPr="00C57579">
        <w:rPr>
          <w:rFonts w:ascii="Arial" w:hAnsi="Arial" w:cs="Arial"/>
          <w:color w:val="000000" w:themeColor="text1"/>
          <w:sz w:val="18"/>
        </w:rPr>
        <w:t>.</w:t>
      </w:r>
    </w:p>
    <w:p w14:paraId="4D0469B1" w14:textId="77777777" w:rsidR="004E69E6" w:rsidRPr="00C57579" w:rsidRDefault="004E69E6" w:rsidP="004E69E6">
      <w:pPr>
        <w:spacing w:after="0" w:line="240" w:lineRule="auto"/>
        <w:jc w:val="center"/>
        <w:rPr>
          <w:rFonts w:ascii="Arial" w:hAnsi="Arial" w:cs="Arial"/>
          <w:color w:val="FF0000"/>
          <w:sz w:val="18"/>
        </w:rPr>
      </w:pPr>
    </w:p>
    <w:p w14:paraId="6ED887A6" w14:textId="6B0BC922" w:rsidR="003F5C42" w:rsidRPr="00C57579" w:rsidRDefault="00422CFD" w:rsidP="00E913F2">
      <w:pPr>
        <w:spacing w:line="360" w:lineRule="auto"/>
        <w:jc w:val="both"/>
        <w:rPr>
          <w:rFonts w:ascii="Arial" w:hAnsi="Arial" w:cs="Arial"/>
          <w:color w:val="000000" w:themeColor="text1"/>
          <w:sz w:val="20"/>
          <w:szCs w:val="20"/>
          <w:lang w:eastAsia="sl-SI"/>
        </w:rPr>
      </w:pPr>
      <w:r w:rsidRPr="00C57579">
        <w:rPr>
          <w:rFonts w:ascii="Arial" w:hAnsi="Arial" w:cs="Arial"/>
          <w:color w:val="000000" w:themeColor="text1"/>
          <w:sz w:val="20"/>
          <w:szCs w:val="20"/>
          <w:lang w:eastAsia="sl-SI"/>
        </w:rPr>
        <w:t>Med</w:t>
      </w:r>
      <w:r w:rsidR="003F5C42" w:rsidRPr="00C57579">
        <w:rPr>
          <w:rFonts w:ascii="Arial" w:hAnsi="Arial" w:cs="Arial"/>
          <w:color w:val="000000" w:themeColor="text1"/>
          <w:sz w:val="20"/>
          <w:szCs w:val="20"/>
          <w:lang w:eastAsia="sl-SI"/>
        </w:rPr>
        <w:t xml:space="preserve"> naročil</w:t>
      </w:r>
      <w:r w:rsidRPr="00C57579">
        <w:rPr>
          <w:rFonts w:ascii="Arial" w:hAnsi="Arial" w:cs="Arial"/>
          <w:color w:val="000000" w:themeColor="text1"/>
          <w:sz w:val="20"/>
          <w:szCs w:val="20"/>
          <w:lang w:eastAsia="sl-SI"/>
        </w:rPr>
        <w:t>i</w:t>
      </w:r>
      <w:r w:rsidR="003F5C42" w:rsidRPr="00C57579">
        <w:rPr>
          <w:rFonts w:ascii="Arial" w:hAnsi="Arial" w:cs="Arial"/>
          <w:color w:val="000000" w:themeColor="text1"/>
          <w:sz w:val="20"/>
          <w:szCs w:val="20"/>
          <w:lang w:eastAsia="sl-SI"/>
        </w:rPr>
        <w:t>, (so)financirani</w:t>
      </w:r>
      <w:r w:rsidRPr="00C57579">
        <w:rPr>
          <w:rFonts w:ascii="Arial" w:hAnsi="Arial" w:cs="Arial"/>
          <w:color w:val="000000" w:themeColor="text1"/>
          <w:sz w:val="20"/>
          <w:szCs w:val="20"/>
          <w:lang w:eastAsia="sl-SI"/>
        </w:rPr>
        <w:t>mi</w:t>
      </w:r>
      <w:r w:rsidR="003F5C42" w:rsidRPr="00C57579">
        <w:rPr>
          <w:rFonts w:ascii="Arial" w:hAnsi="Arial" w:cs="Arial"/>
          <w:color w:val="000000" w:themeColor="text1"/>
          <w:sz w:val="20"/>
          <w:szCs w:val="20"/>
          <w:lang w:eastAsia="sl-SI"/>
        </w:rPr>
        <w:t xml:space="preserve"> s sredstvi Evropske unije, so naročniki vrednostno oddali največ </w:t>
      </w:r>
      <w:r w:rsidR="0046317B" w:rsidRPr="00C57579">
        <w:rPr>
          <w:rFonts w:ascii="Arial" w:hAnsi="Arial" w:cs="Arial"/>
          <w:color w:val="000000" w:themeColor="text1"/>
          <w:sz w:val="20"/>
          <w:szCs w:val="20"/>
          <w:lang w:eastAsia="sl-SI"/>
        </w:rPr>
        <w:t xml:space="preserve">javnih </w:t>
      </w:r>
      <w:r w:rsidR="003F5C42" w:rsidRPr="00C57579">
        <w:rPr>
          <w:rFonts w:ascii="Arial" w:hAnsi="Arial" w:cs="Arial"/>
          <w:color w:val="000000" w:themeColor="text1"/>
          <w:sz w:val="20"/>
          <w:szCs w:val="20"/>
          <w:lang w:eastAsia="sl-SI"/>
        </w:rPr>
        <w:t>naročil gradenj</w:t>
      </w:r>
      <w:r w:rsidR="00E913F2" w:rsidRPr="00C57579">
        <w:rPr>
          <w:rFonts w:ascii="Arial" w:hAnsi="Arial" w:cs="Arial"/>
          <w:color w:val="000000" w:themeColor="text1"/>
          <w:sz w:val="20"/>
          <w:szCs w:val="20"/>
          <w:lang w:eastAsia="sl-SI"/>
        </w:rPr>
        <w:t xml:space="preserve">, in sicer </w:t>
      </w:r>
      <w:r w:rsidR="00CF727D" w:rsidRPr="00C57579">
        <w:rPr>
          <w:rFonts w:ascii="Arial" w:hAnsi="Arial" w:cs="Arial"/>
          <w:color w:val="000000" w:themeColor="text1"/>
          <w:sz w:val="20"/>
          <w:szCs w:val="20"/>
          <w:lang w:eastAsia="sl-SI"/>
        </w:rPr>
        <w:t>17</w:t>
      </w:r>
      <w:r w:rsidR="00C57579" w:rsidRPr="00C57579">
        <w:rPr>
          <w:rFonts w:ascii="Arial" w:hAnsi="Arial" w:cs="Arial"/>
          <w:color w:val="000000" w:themeColor="text1"/>
          <w:sz w:val="20"/>
          <w:szCs w:val="20"/>
          <w:lang w:eastAsia="sl-SI"/>
        </w:rPr>
        <w:t>4</w:t>
      </w:r>
      <w:r w:rsidR="003F5C42" w:rsidRPr="00C57579">
        <w:rPr>
          <w:rFonts w:ascii="Arial" w:hAnsi="Arial" w:cs="Arial"/>
          <w:color w:val="000000" w:themeColor="text1"/>
          <w:sz w:val="20"/>
          <w:szCs w:val="20"/>
          <w:lang w:eastAsia="sl-SI"/>
        </w:rPr>
        <w:t xml:space="preserve"> v vrednosti </w:t>
      </w:r>
      <w:r w:rsidR="00C57579" w:rsidRPr="00C57579">
        <w:rPr>
          <w:rFonts w:ascii="Arial" w:hAnsi="Arial" w:cs="Arial"/>
          <w:color w:val="000000" w:themeColor="text1"/>
          <w:sz w:val="20"/>
          <w:szCs w:val="20"/>
          <w:lang w:eastAsia="sl-SI"/>
        </w:rPr>
        <w:t xml:space="preserve">589.520.300 </w:t>
      </w:r>
      <w:r w:rsidR="003F5C42" w:rsidRPr="00C57579">
        <w:rPr>
          <w:rFonts w:ascii="Arial" w:hAnsi="Arial" w:cs="Arial"/>
          <w:color w:val="000000" w:themeColor="text1"/>
          <w:sz w:val="20"/>
          <w:szCs w:val="20"/>
          <w:lang w:eastAsia="sl-SI"/>
        </w:rPr>
        <w:t>e</w:t>
      </w:r>
      <w:r w:rsidR="00E913F2" w:rsidRPr="00C57579">
        <w:rPr>
          <w:rFonts w:ascii="Arial" w:hAnsi="Arial" w:cs="Arial"/>
          <w:color w:val="000000" w:themeColor="text1"/>
          <w:sz w:val="20"/>
          <w:szCs w:val="20"/>
          <w:lang w:eastAsia="sl-SI"/>
        </w:rPr>
        <w:t>vrov</w:t>
      </w:r>
      <w:r w:rsidR="00450D38" w:rsidRPr="00C57579">
        <w:rPr>
          <w:rFonts w:ascii="Arial" w:hAnsi="Arial" w:cs="Arial"/>
          <w:color w:val="000000" w:themeColor="text1"/>
          <w:sz w:val="20"/>
          <w:szCs w:val="20"/>
          <w:lang w:eastAsia="sl-SI"/>
        </w:rPr>
        <w:t>,</w:t>
      </w:r>
      <w:r w:rsidRPr="00C57579">
        <w:rPr>
          <w:rFonts w:ascii="Arial" w:hAnsi="Arial" w:cs="Arial"/>
          <w:color w:val="000000" w:themeColor="text1"/>
          <w:sz w:val="20"/>
          <w:szCs w:val="20"/>
          <w:lang w:eastAsia="sl-SI"/>
        </w:rPr>
        <w:t xml:space="preserve"> in </w:t>
      </w:r>
      <w:r w:rsidR="00CF727D" w:rsidRPr="00C57579">
        <w:rPr>
          <w:rFonts w:ascii="Arial" w:hAnsi="Arial" w:cs="Arial"/>
          <w:color w:val="000000" w:themeColor="text1"/>
          <w:sz w:val="20"/>
          <w:szCs w:val="20"/>
          <w:lang w:eastAsia="sl-SI"/>
        </w:rPr>
        <w:t>377</w:t>
      </w:r>
      <w:r w:rsidR="003F5C42" w:rsidRPr="00C57579">
        <w:rPr>
          <w:rFonts w:ascii="Arial" w:hAnsi="Arial" w:cs="Arial"/>
          <w:color w:val="000000" w:themeColor="text1"/>
          <w:sz w:val="20"/>
          <w:szCs w:val="20"/>
          <w:lang w:eastAsia="sl-SI"/>
        </w:rPr>
        <w:t xml:space="preserve"> </w:t>
      </w:r>
      <w:r w:rsidR="0046317B" w:rsidRPr="00C57579">
        <w:rPr>
          <w:rFonts w:ascii="Arial" w:hAnsi="Arial" w:cs="Arial"/>
          <w:color w:val="000000" w:themeColor="text1"/>
          <w:sz w:val="20"/>
          <w:szCs w:val="20"/>
          <w:lang w:eastAsia="sl-SI"/>
        </w:rPr>
        <w:t xml:space="preserve">javnih </w:t>
      </w:r>
      <w:r w:rsidR="003F5C42" w:rsidRPr="00C57579">
        <w:rPr>
          <w:rFonts w:ascii="Arial" w:hAnsi="Arial" w:cs="Arial"/>
          <w:color w:val="000000" w:themeColor="text1"/>
          <w:sz w:val="20"/>
          <w:szCs w:val="20"/>
          <w:lang w:eastAsia="sl-SI"/>
        </w:rPr>
        <w:t xml:space="preserve">naročil </w:t>
      </w:r>
      <w:r w:rsidR="00C00CF1" w:rsidRPr="00C57579">
        <w:rPr>
          <w:rFonts w:ascii="Arial" w:hAnsi="Arial" w:cs="Arial"/>
          <w:color w:val="000000" w:themeColor="text1"/>
          <w:sz w:val="20"/>
          <w:szCs w:val="20"/>
          <w:lang w:eastAsia="sl-SI"/>
        </w:rPr>
        <w:t>blaga</w:t>
      </w:r>
      <w:r w:rsidR="003F5C42" w:rsidRPr="00C57579">
        <w:rPr>
          <w:rFonts w:ascii="Arial" w:hAnsi="Arial" w:cs="Arial"/>
          <w:color w:val="000000" w:themeColor="text1"/>
          <w:sz w:val="20"/>
          <w:szCs w:val="20"/>
          <w:lang w:eastAsia="sl-SI"/>
        </w:rPr>
        <w:t xml:space="preserve"> v vrednosti </w:t>
      </w:r>
      <w:r w:rsidR="00CF727D" w:rsidRPr="00C57579">
        <w:rPr>
          <w:rFonts w:ascii="Arial" w:hAnsi="Arial" w:cs="Arial"/>
          <w:color w:val="000000" w:themeColor="text1"/>
          <w:sz w:val="20"/>
          <w:szCs w:val="20"/>
          <w:lang w:eastAsia="sl-SI"/>
        </w:rPr>
        <w:t xml:space="preserve">193.937.955 </w:t>
      </w:r>
      <w:r w:rsidR="003F5C42" w:rsidRPr="00C57579">
        <w:rPr>
          <w:rFonts w:ascii="Arial" w:hAnsi="Arial" w:cs="Arial"/>
          <w:color w:val="000000" w:themeColor="text1"/>
          <w:sz w:val="20"/>
          <w:szCs w:val="20"/>
          <w:lang w:eastAsia="sl-SI"/>
        </w:rPr>
        <w:t xml:space="preserve">evrov. Vrednostno najmanj je bilo </w:t>
      </w:r>
      <w:r w:rsidR="0046317B" w:rsidRPr="00C57579">
        <w:rPr>
          <w:rFonts w:ascii="Arial" w:hAnsi="Arial" w:cs="Arial"/>
          <w:color w:val="000000" w:themeColor="text1"/>
          <w:sz w:val="20"/>
          <w:szCs w:val="20"/>
          <w:lang w:eastAsia="sl-SI"/>
        </w:rPr>
        <w:t xml:space="preserve">javnih </w:t>
      </w:r>
      <w:r w:rsidR="003F5C42" w:rsidRPr="00C57579">
        <w:rPr>
          <w:rFonts w:ascii="Arial" w:hAnsi="Arial" w:cs="Arial"/>
          <w:color w:val="000000" w:themeColor="text1"/>
          <w:sz w:val="20"/>
          <w:szCs w:val="20"/>
          <w:lang w:eastAsia="sl-SI"/>
        </w:rPr>
        <w:t xml:space="preserve">naročil </w:t>
      </w:r>
      <w:r w:rsidR="00C00CF1" w:rsidRPr="00C57579">
        <w:rPr>
          <w:rFonts w:ascii="Arial" w:hAnsi="Arial" w:cs="Arial"/>
          <w:color w:val="000000" w:themeColor="text1"/>
          <w:sz w:val="20"/>
          <w:szCs w:val="20"/>
          <w:lang w:eastAsia="sl-SI"/>
        </w:rPr>
        <w:t>storitev</w:t>
      </w:r>
      <w:r w:rsidR="00E913F2" w:rsidRPr="00C57579">
        <w:rPr>
          <w:rFonts w:ascii="Arial" w:hAnsi="Arial" w:cs="Arial"/>
          <w:color w:val="000000" w:themeColor="text1"/>
          <w:sz w:val="20"/>
          <w:szCs w:val="20"/>
          <w:lang w:eastAsia="sl-SI"/>
        </w:rPr>
        <w:t xml:space="preserve">, saj so naročniki oddali </w:t>
      </w:r>
      <w:r w:rsidR="00BC373F" w:rsidRPr="00C57579">
        <w:rPr>
          <w:rFonts w:ascii="Arial" w:hAnsi="Arial" w:cs="Arial"/>
          <w:color w:val="000000" w:themeColor="text1"/>
          <w:sz w:val="20"/>
          <w:szCs w:val="20"/>
          <w:lang w:eastAsia="sl-SI"/>
        </w:rPr>
        <w:t>2</w:t>
      </w:r>
      <w:r w:rsidR="00CF727D" w:rsidRPr="00C57579">
        <w:rPr>
          <w:rFonts w:ascii="Arial" w:hAnsi="Arial" w:cs="Arial"/>
          <w:color w:val="000000" w:themeColor="text1"/>
          <w:sz w:val="20"/>
          <w:szCs w:val="20"/>
          <w:lang w:eastAsia="sl-SI"/>
        </w:rPr>
        <w:t>85</w:t>
      </w:r>
      <w:r w:rsidR="003F5C42" w:rsidRPr="00C57579">
        <w:rPr>
          <w:rFonts w:ascii="Arial" w:hAnsi="Arial" w:cs="Arial"/>
          <w:color w:val="000000" w:themeColor="text1"/>
          <w:sz w:val="20"/>
          <w:szCs w:val="20"/>
          <w:lang w:eastAsia="sl-SI"/>
        </w:rPr>
        <w:t xml:space="preserve"> naročil s pogodbeno vrednostjo </w:t>
      </w:r>
      <w:r w:rsidR="00CF727D" w:rsidRPr="00C57579">
        <w:rPr>
          <w:rFonts w:ascii="Arial" w:hAnsi="Arial" w:cs="Arial"/>
          <w:color w:val="000000" w:themeColor="text1"/>
          <w:sz w:val="20"/>
          <w:szCs w:val="20"/>
          <w:lang w:eastAsia="sl-SI"/>
        </w:rPr>
        <w:t xml:space="preserve">112.923.871 </w:t>
      </w:r>
      <w:r w:rsidR="003F5C42" w:rsidRPr="00C57579">
        <w:rPr>
          <w:rFonts w:ascii="Arial" w:hAnsi="Arial" w:cs="Arial"/>
          <w:color w:val="000000" w:themeColor="text1"/>
          <w:sz w:val="20"/>
          <w:szCs w:val="20"/>
          <w:lang w:eastAsia="sl-SI"/>
        </w:rPr>
        <w:t>evrov.</w:t>
      </w:r>
    </w:p>
    <w:p w14:paraId="03D8E451" w14:textId="4DD39C6F" w:rsidR="003F5C42" w:rsidRPr="00C57579" w:rsidRDefault="003F5C42" w:rsidP="008A61FD">
      <w:pPr>
        <w:spacing w:before="120" w:after="120" w:line="240" w:lineRule="auto"/>
        <w:jc w:val="both"/>
        <w:rPr>
          <w:rFonts w:ascii="Arial" w:hAnsi="Arial" w:cs="Arial"/>
          <w:color w:val="000000" w:themeColor="text1"/>
          <w:sz w:val="20"/>
        </w:rPr>
      </w:pPr>
      <w:r w:rsidRPr="00C57579">
        <w:rPr>
          <w:rFonts w:ascii="Arial" w:hAnsi="Arial" w:cs="Arial"/>
          <w:color w:val="000000" w:themeColor="text1"/>
          <w:sz w:val="20"/>
        </w:rPr>
        <w:t xml:space="preserve">Preglednica </w:t>
      </w:r>
      <w:r w:rsidR="00512F52" w:rsidRPr="00C57579">
        <w:rPr>
          <w:rFonts w:ascii="Arial" w:hAnsi="Arial" w:cs="Arial"/>
          <w:color w:val="000000" w:themeColor="text1"/>
          <w:sz w:val="20"/>
        </w:rPr>
        <w:t>4</w:t>
      </w:r>
      <w:r w:rsidR="00EA747F" w:rsidRPr="00C57579">
        <w:rPr>
          <w:rFonts w:ascii="Arial" w:hAnsi="Arial" w:cs="Arial"/>
          <w:color w:val="000000" w:themeColor="text1"/>
          <w:sz w:val="20"/>
        </w:rPr>
        <w:t>4</w:t>
      </w:r>
      <w:r w:rsidRPr="00C57579">
        <w:rPr>
          <w:rFonts w:ascii="Arial" w:hAnsi="Arial" w:cs="Arial"/>
          <w:color w:val="000000" w:themeColor="text1"/>
          <w:sz w:val="20"/>
        </w:rPr>
        <w:t>: Javna naročila, (so</w:t>
      </w:r>
      <w:r w:rsidR="0046317B" w:rsidRPr="00C57579">
        <w:rPr>
          <w:rFonts w:ascii="Arial" w:hAnsi="Arial" w:cs="Arial"/>
          <w:color w:val="000000" w:themeColor="text1"/>
          <w:sz w:val="20"/>
        </w:rPr>
        <w:t>)</w:t>
      </w:r>
      <w:r w:rsidRPr="00C57579">
        <w:rPr>
          <w:rFonts w:ascii="Arial" w:hAnsi="Arial" w:cs="Arial"/>
          <w:color w:val="000000" w:themeColor="text1"/>
          <w:sz w:val="20"/>
        </w:rPr>
        <w:t>financirana s sredstvi Evropske unije, po predmetu naročanja</w:t>
      </w:r>
    </w:p>
    <w:tbl>
      <w:tblPr>
        <w:tblW w:w="0" w:type="auto"/>
        <w:jc w:val="center"/>
        <w:tblCellMar>
          <w:left w:w="70" w:type="dxa"/>
          <w:right w:w="70" w:type="dxa"/>
        </w:tblCellMar>
        <w:tblLook w:val="04A0" w:firstRow="1" w:lastRow="0" w:firstColumn="1" w:lastColumn="0" w:noHBand="0" w:noVBand="1"/>
      </w:tblPr>
      <w:tblGrid>
        <w:gridCol w:w="821"/>
        <w:gridCol w:w="941"/>
        <w:gridCol w:w="2492"/>
        <w:gridCol w:w="1561"/>
        <w:gridCol w:w="1521"/>
      </w:tblGrid>
      <w:tr w:rsidR="009A140F" w:rsidRPr="00C57579" w14:paraId="79330572" w14:textId="77777777" w:rsidTr="0096639E">
        <w:trPr>
          <w:trHeight w:val="25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DA357C" w14:textId="77777777" w:rsidR="00C00CF1" w:rsidRPr="00C57579" w:rsidRDefault="00C00CF1" w:rsidP="00C00CF1">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Predmet</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428E77" w14:textId="77777777" w:rsidR="00C00CF1" w:rsidRPr="00C57579" w:rsidRDefault="00C00CF1" w:rsidP="00C00CF1">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Št. naročil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6062D0" w14:textId="7068ADA5" w:rsidR="00C00CF1" w:rsidRPr="00C57579" w:rsidRDefault="00C00CF1" w:rsidP="00C00CF1">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Pogodbena vrednost</w:t>
            </w:r>
            <w:r w:rsidR="00986395" w:rsidRPr="00C57579">
              <w:rPr>
                <w:rFonts w:ascii="Arial" w:eastAsia="Times New Roman" w:hAnsi="Arial" w:cs="Arial"/>
                <w:color w:val="000000" w:themeColor="text1"/>
                <w:sz w:val="18"/>
                <w:szCs w:val="18"/>
                <w:lang w:eastAsia="sl-SI"/>
              </w:rPr>
              <w:t xml:space="preserve"> (v EUR)</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BBC1DE" w14:textId="77777777" w:rsidR="00C00CF1" w:rsidRPr="00C57579" w:rsidRDefault="00C00CF1" w:rsidP="00C00CF1">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Delež v št. naročil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209489A" w14:textId="77777777" w:rsidR="00C00CF1" w:rsidRPr="00C57579" w:rsidRDefault="00C00CF1" w:rsidP="00C00CF1">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Delež v vrednosti</w:t>
            </w:r>
          </w:p>
        </w:tc>
      </w:tr>
      <w:tr w:rsidR="00C57579" w:rsidRPr="00C57579" w14:paraId="0DD1AB23" w14:textId="77777777" w:rsidTr="00C5757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4EDE3" w14:textId="77777777" w:rsidR="00C57579" w:rsidRPr="00C57579" w:rsidRDefault="00C57579" w:rsidP="00C57579">
            <w:pPr>
              <w:spacing w:after="0" w:line="240" w:lineRule="auto"/>
              <w:jc w:val="both"/>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 xml:space="preserve">Blago </w:t>
            </w:r>
          </w:p>
        </w:tc>
        <w:tc>
          <w:tcPr>
            <w:tcW w:w="0" w:type="auto"/>
            <w:tcBorders>
              <w:top w:val="nil"/>
              <w:left w:val="nil"/>
              <w:bottom w:val="single" w:sz="4" w:space="0" w:color="auto"/>
              <w:right w:val="single" w:sz="4" w:space="0" w:color="auto"/>
            </w:tcBorders>
            <w:shd w:val="clear" w:color="auto" w:fill="auto"/>
            <w:vAlign w:val="center"/>
            <w:hideMark/>
          </w:tcPr>
          <w:p w14:paraId="7C06E086" w14:textId="1F8ADB70"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377</w:t>
            </w:r>
          </w:p>
        </w:tc>
        <w:tc>
          <w:tcPr>
            <w:tcW w:w="0" w:type="auto"/>
            <w:tcBorders>
              <w:top w:val="nil"/>
              <w:left w:val="nil"/>
              <w:bottom w:val="single" w:sz="4" w:space="0" w:color="auto"/>
              <w:right w:val="single" w:sz="4" w:space="0" w:color="auto"/>
            </w:tcBorders>
            <w:shd w:val="clear" w:color="auto" w:fill="auto"/>
            <w:vAlign w:val="center"/>
            <w:hideMark/>
          </w:tcPr>
          <w:p w14:paraId="2EE06453" w14:textId="07106072"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193.937.955</w:t>
            </w:r>
          </w:p>
        </w:tc>
        <w:tc>
          <w:tcPr>
            <w:tcW w:w="0" w:type="auto"/>
            <w:tcBorders>
              <w:top w:val="nil"/>
              <w:left w:val="nil"/>
              <w:bottom w:val="single" w:sz="4" w:space="0" w:color="auto"/>
              <w:right w:val="single" w:sz="4" w:space="0" w:color="auto"/>
            </w:tcBorders>
            <w:shd w:val="clear" w:color="auto" w:fill="auto"/>
            <w:vAlign w:val="center"/>
            <w:hideMark/>
          </w:tcPr>
          <w:p w14:paraId="71759080" w14:textId="4C4D5D71"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45,10 %</w:t>
            </w:r>
          </w:p>
        </w:tc>
        <w:tc>
          <w:tcPr>
            <w:tcW w:w="0" w:type="auto"/>
            <w:tcBorders>
              <w:top w:val="nil"/>
              <w:left w:val="nil"/>
              <w:bottom w:val="single" w:sz="4" w:space="0" w:color="auto"/>
              <w:right w:val="single" w:sz="4" w:space="0" w:color="auto"/>
            </w:tcBorders>
            <w:shd w:val="clear" w:color="auto" w:fill="auto"/>
            <w:vAlign w:val="center"/>
            <w:hideMark/>
          </w:tcPr>
          <w:p w14:paraId="46358239" w14:textId="75ABBDEB"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21,64 %</w:t>
            </w:r>
          </w:p>
        </w:tc>
      </w:tr>
      <w:tr w:rsidR="00C57579" w:rsidRPr="00C57579" w14:paraId="0A775DDF" w14:textId="77777777" w:rsidTr="00C5757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F1CCE" w14:textId="77777777" w:rsidR="00C57579" w:rsidRPr="00C57579" w:rsidRDefault="00C57579" w:rsidP="00C57579">
            <w:pPr>
              <w:spacing w:after="0" w:line="240" w:lineRule="auto"/>
              <w:jc w:val="both"/>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Storitve</w:t>
            </w:r>
          </w:p>
        </w:tc>
        <w:tc>
          <w:tcPr>
            <w:tcW w:w="0" w:type="auto"/>
            <w:tcBorders>
              <w:top w:val="nil"/>
              <w:left w:val="nil"/>
              <w:bottom w:val="single" w:sz="4" w:space="0" w:color="auto"/>
              <w:right w:val="single" w:sz="4" w:space="0" w:color="auto"/>
            </w:tcBorders>
            <w:shd w:val="clear" w:color="auto" w:fill="auto"/>
            <w:vAlign w:val="center"/>
            <w:hideMark/>
          </w:tcPr>
          <w:p w14:paraId="5620E26D" w14:textId="7DF2C68D"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285</w:t>
            </w:r>
          </w:p>
        </w:tc>
        <w:tc>
          <w:tcPr>
            <w:tcW w:w="0" w:type="auto"/>
            <w:tcBorders>
              <w:top w:val="nil"/>
              <w:left w:val="nil"/>
              <w:bottom w:val="single" w:sz="4" w:space="0" w:color="auto"/>
              <w:right w:val="single" w:sz="4" w:space="0" w:color="auto"/>
            </w:tcBorders>
            <w:shd w:val="clear" w:color="auto" w:fill="auto"/>
            <w:vAlign w:val="center"/>
            <w:hideMark/>
          </w:tcPr>
          <w:p w14:paraId="469B5666" w14:textId="5F998CC3"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112.923.871</w:t>
            </w:r>
          </w:p>
        </w:tc>
        <w:tc>
          <w:tcPr>
            <w:tcW w:w="0" w:type="auto"/>
            <w:tcBorders>
              <w:top w:val="nil"/>
              <w:left w:val="nil"/>
              <w:bottom w:val="single" w:sz="4" w:space="0" w:color="auto"/>
              <w:right w:val="single" w:sz="4" w:space="0" w:color="auto"/>
            </w:tcBorders>
            <w:shd w:val="clear" w:color="auto" w:fill="auto"/>
            <w:vAlign w:val="center"/>
            <w:hideMark/>
          </w:tcPr>
          <w:p w14:paraId="504E68FC" w14:textId="4F06836E"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34,09 %</w:t>
            </w:r>
          </w:p>
        </w:tc>
        <w:tc>
          <w:tcPr>
            <w:tcW w:w="0" w:type="auto"/>
            <w:tcBorders>
              <w:top w:val="nil"/>
              <w:left w:val="nil"/>
              <w:bottom w:val="single" w:sz="4" w:space="0" w:color="auto"/>
              <w:right w:val="single" w:sz="4" w:space="0" w:color="auto"/>
            </w:tcBorders>
            <w:shd w:val="clear" w:color="auto" w:fill="auto"/>
            <w:vAlign w:val="center"/>
            <w:hideMark/>
          </w:tcPr>
          <w:p w14:paraId="6B1E74E5" w14:textId="58A1C79F"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12,60 %</w:t>
            </w:r>
          </w:p>
        </w:tc>
      </w:tr>
      <w:tr w:rsidR="00C57579" w:rsidRPr="00C57579" w14:paraId="0B4B2198" w14:textId="77777777" w:rsidTr="00C57579">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58DE0C" w14:textId="77777777" w:rsidR="00C57579" w:rsidRPr="00C57579" w:rsidRDefault="00C57579" w:rsidP="00C57579">
            <w:pPr>
              <w:spacing w:after="0" w:line="240" w:lineRule="auto"/>
              <w:jc w:val="both"/>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Gradnje</w:t>
            </w:r>
          </w:p>
        </w:tc>
        <w:tc>
          <w:tcPr>
            <w:tcW w:w="0" w:type="auto"/>
            <w:tcBorders>
              <w:top w:val="nil"/>
              <w:left w:val="nil"/>
              <w:bottom w:val="single" w:sz="4" w:space="0" w:color="auto"/>
              <w:right w:val="single" w:sz="4" w:space="0" w:color="auto"/>
            </w:tcBorders>
            <w:shd w:val="clear" w:color="auto" w:fill="auto"/>
            <w:vAlign w:val="center"/>
            <w:hideMark/>
          </w:tcPr>
          <w:p w14:paraId="0C4B4861" w14:textId="3C8A7C7E"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174</w:t>
            </w:r>
          </w:p>
        </w:tc>
        <w:tc>
          <w:tcPr>
            <w:tcW w:w="0" w:type="auto"/>
            <w:tcBorders>
              <w:top w:val="nil"/>
              <w:left w:val="nil"/>
              <w:bottom w:val="single" w:sz="4" w:space="0" w:color="auto"/>
              <w:right w:val="single" w:sz="4" w:space="0" w:color="auto"/>
            </w:tcBorders>
            <w:shd w:val="clear" w:color="auto" w:fill="auto"/>
            <w:vAlign w:val="center"/>
            <w:hideMark/>
          </w:tcPr>
          <w:p w14:paraId="3F2478CC" w14:textId="775B30B1"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589.520.300</w:t>
            </w:r>
          </w:p>
        </w:tc>
        <w:tc>
          <w:tcPr>
            <w:tcW w:w="0" w:type="auto"/>
            <w:tcBorders>
              <w:top w:val="nil"/>
              <w:left w:val="nil"/>
              <w:bottom w:val="single" w:sz="4" w:space="0" w:color="auto"/>
              <w:right w:val="single" w:sz="4" w:space="0" w:color="auto"/>
            </w:tcBorders>
            <w:shd w:val="clear" w:color="auto" w:fill="auto"/>
            <w:vAlign w:val="center"/>
            <w:hideMark/>
          </w:tcPr>
          <w:p w14:paraId="753AEF7D" w14:textId="47ECE276"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20,81 %</w:t>
            </w:r>
          </w:p>
        </w:tc>
        <w:tc>
          <w:tcPr>
            <w:tcW w:w="0" w:type="auto"/>
            <w:tcBorders>
              <w:top w:val="nil"/>
              <w:left w:val="nil"/>
              <w:bottom w:val="single" w:sz="4" w:space="0" w:color="auto"/>
              <w:right w:val="single" w:sz="4" w:space="0" w:color="auto"/>
            </w:tcBorders>
            <w:shd w:val="clear" w:color="auto" w:fill="auto"/>
            <w:vAlign w:val="center"/>
            <w:hideMark/>
          </w:tcPr>
          <w:p w14:paraId="71029641" w14:textId="5174044A" w:rsidR="00C57579" w:rsidRPr="00C57579" w:rsidRDefault="00C57579" w:rsidP="00C57579">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65,77 %</w:t>
            </w:r>
          </w:p>
        </w:tc>
      </w:tr>
      <w:tr w:rsidR="00C57579" w:rsidRPr="00C57579" w14:paraId="08623C82" w14:textId="77777777" w:rsidTr="00C57579">
        <w:trPr>
          <w:trHeight w:val="255"/>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547FEF" w14:textId="77777777" w:rsidR="00C57579" w:rsidRPr="00C57579" w:rsidRDefault="00C57579" w:rsidP="00C57579">
            <w:pPr>
              <w:spacing w:after="0" w:line="240" w:lineRule="auto"/>
              <w:jc w:val="both"/>
              <w:rPr>
                <w:rFonts w:ascii="Arial" w:eastAsia="Times New Roman" w:hAnsi="Arial" w:cs="Arial"/>
                <w:b/>
                <w:bCs/>
                <w:color w:val="000000" w:themeColor="text1"/>
                <w:sz w:val="18"/>
                <w:szCs w:val="18"/>
                <w:lang w:eastAsia="sl-SI"/>
              </w:rPr>
            </w:pPr>
            <w:r w:rsidRPr="00C57579">
              <w:rPr>
                <w:rFonts w:ascii="Arial" w:eastAsia="Times New Roman" w:hAnsi="Arial" w:cs="Arial"/>
                <w:b/>
                <w:bCs/>
                <w:color w:val="000000" w:themeColor="text1"/>
                <w:sz w:val="18"/>
                <w:szCs w:val="18"/>
                <w:lang w:eastAsia="sl-SI"/>
              </w:rPr>
              <w:t xml:space="preserve">Skupaj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0BCEB1C" w14:textId="2877B6FD" w:rsidR="00C57579" w:rsidRPr="00C57579" w:rsidRDefault="00C57579" w:rsidP="00C57579">
            <w:pPr>
              <w:spacing w:after="0" w:line="240" w:lineRule="auto"/>
              <w:jc w:val="right"/>
              <w:rPr>
                <w:rFonts w:ascii="Arial" w:eastAsia="Times New Roman" w:hAnsi="Arial" w:cs="Arial"/>
                <w:b/>
                <w:bCs/>
                <w:color w:val="000000" w:themeColor="text1"/>
                <w:sz w:val="18"/>
                <w:szCs w:val="18"/>
                <w:lang w:eastAsia="sl-SI"/>
              </w:rPr>
            </w:pPr>
            <w:r w:rsidRPr="00C57579">
              <w:rPr>
                <w:rFonts w:ascii="Arial" w:eastAsia="Times New Roman" w:hAnsi="Arial" w:cs="Arial"/>
                <w:b/>
                <w:bCs/>
                <w:color w:val="000000" w:themeColor="text1"/>
                <w:sz w:val="18"/>
                <w:szCs w:val="18"/>
                <w:lang w:eastAsia="sl-SI"/>
              </w:rPr>
              <w:t>836</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A94719A" w14:textId="76D9F511" w:rsidR="00C57579" w:rsidRPr="00C57579" w:rsidRDefault="00C57579" w:rsidP="00C57579">
            <w:pPr>
              <w:spacing w:after="0" w:line="240" w:lineRule="auto"/>
              <w:jc w:val="right"/>
              <w:rPr>
                <w:rFonts w:ascii="Arial" w:eastAsia="Times New Roman" w:hAnsi="Arial" w:cs="Arial"/>
                <w:b/>
                <w:bCs/>
                <w:color w:val="000000" w:themeColor="text1"/>
                <w:sz w:val="18"/>
                <w:szCs w:val="18"/>
                <w:lang w:eastAsia="sl-SI"/>
              </w:rPr>
            </w:pPr>
            <w:r w:rsidRPr="00C57579">
              <w:rPr>
                <w:rFonts w:ascii="Arial" w:eastAsia="Times New Roman" w:hAnsi="Arial" w:cs="Arial"/>
                <w:b/>
                <w:bCs/>
                <w:color w:val="000000" w:themeColor="text1"/>
                <w:sz w:val="18"/>
                <w:szCs w:val="18"/>
                <w:lang w:eastAsia="sl-SI"/>
              </w:rPr>
              <w:t>896.382.126</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0BD71862" w14:textId="65B897FD" w:rsidR="00C57579" w:rsidRPr="00C57579" w:rsidRDefault="00C57579" w:rsidP="00C57579">
            <w:pPr>
              <w:spacing w:after="0" w:line="240" w:lineRule="auto"/>
              <w:jc w:val="right"/>
              <w:rPr>
                <w:rFonts w:ascii="Arial" w:eastAsia="Times New Roman" w:hAnsi="Arial" w:cs="Arial"/>
                <w:b/>
                <w:bCs/>
                <w:color w:val="000000" w:themeColor="text1"/>
                <w:sz w:val="18"/>
                <w:szCs w:val="18"/>
                <w:lang w:eastAsia="sl-SI"/>
              </w:rPr>
            </w:pPr>
            <w:r w:rsidRPr="00C57579">
              <w:rPr>
                <w:rFonts w:ascii="Arial" w:eastAsia="Times New Roman" w:hAnsi="Arial" w:cs="Arial"/>
                <w:b/>
                <w:bCs/>
                <w:color w:val="000000" w:themeColor="text1"/>
                <w:sz w:val="18"/>
                <w:szCs w:val="18"/>
                <w:lang w:eastAsia="sl-SI"/>
              </w:rPr>
              <w:t>100,00 %</w:t>
            </w: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5CF2F9B" w14:textId="6AD56971" w:rsidR="00C57579" w:rsidRPr="00C57579" w:rsidRDefault="00C57579" w:rsidP="00C57579">
            <w:pPr>
              <w:spacing w:after="0" w:line="240" w:lineRule="auto"/>
              <w:jc w:val="right"/>
              <w:rPr>
                <w:rFonts w:ascii="Arial" w:eastAsia="Times New Roman" w:hAnsi="Arial" w:cs="Arial"/>
                <w:b/>
                <w:bCs/>
                <w:color w:val="000000" w:themeColor="text1"/>
                <w:sz w:val="18"/>
                <w:szCs w:val="18"/>
                <w:lang w:eastAsia="sl-SI"/>
              </w:rPr>
            </w:pPr>
            <w:r w:rsidRPr="00C57579">
              <w:rPr>
                <w:rFonts w:ascii="Arial" w:eastAsia="Times New Roman" w:hAnsi="Arial" w:cs="Arial"/>
                <w:b/>
                <w:bCs/>
                <w:color w:val="000000" w:themeColor="text1"/>
                <w:sz w:val="18"/>
                <w:szCs w:val="18"/>
                <w:lang w:eastAsia="sl-SI"/>
              </w:rPr>
              <w:t>100,01 %</w:t>
            </w:r>
          </w:p>
        </w:tc>
      </w:tr>
    </w:tbl>
    <w:p w14:paraId="10B268B4" w14:textId="77777777" w:rsidR="004A613D" w:rsidRPr="00C57579" w:rsidRDefault="004A613D" w:rsidP="004A613D">
      <w:pPr>
        <w:spacing w:after="0" w:line="240" w:lineRule="auto"/>
        <w:jc w:val="center"/>
        <w:rPr>
          <w:rFonts w:ascii="Arial" w:hAnsi="Arial" w:cs="Arial"/>
          <w:color w:val="000000" w:themeColor="text1"/>
          <w:sz w:val="18"/>
        </w:rPr>
      </w:pPr>
    </w:p>
    <w:p w14:paraId="20E41A96" w14:textId="270633F4" w:rsidR="00782528" w:rsidRPr="00C57579" w:rsidRDefault="00782528" w:rsidP="004A613D">
      <w:pPr>
        <w:spacing w:after="0" w:line="240" w:lineRule="auto"/>
        <w:jc w:val="center"/>
        <w:rPr>
          <w:rFonts w:ascii="Arial" w:hAnsi="Arial" w:cs="Arial"/>
          <w:color w:val="000000" w:themeColor="text1"/>
          <w:sz w:val="18"/>
        </w:rPr>
      </w:pPr>
      <w:r w:rsidRPr="00C57579">
        <w:rPr>
          <w:rFonts w:ascii="Arial" w:hAnsi="Arial" w:cs="Arial"/>
          <w:color w:val="000000" w:themeColor="text1"/>
          <w:sz w:val="18"/>
        </w:rPr>
        <w:t>Vir: Statistični podatki o javni</w:t>
      </w:r>
      <w:r w:rsidR="00E913F2" w:rsidRPr="00C57579">
        <w:rPr>
          <w:rFonts w:ascii="Arial" w:hAnsi="Arial" w:cs="Arial"/>
          <w:color w:val="000000" w:themeColor="text1"/>
          <w:sz w:val="18"/>
        </w:rPr>
        <w:t>h naročilih, oddanih v letu 20</w:t>
      </w:r>
      <w:r w:rsidR="00C00CF1" w:rsidRPr="00C57579">
        <w:rPr>
          <w:rFonts w:ascii="Arial" w:hAnsi="Arial" w:cs="Arial"/>
          <w:color w:val="000000" w:themeColor="text1"/>
          <w:sz w:val="18"/>
        </w:rPr>
        <w:t>2</w:t>
      </w:r>
      <w:r w:rsidR="00CF727D" w:rsidRPr="00C57579">
        <w:rPr>
          <w:rFonts w:ascii="Arial" w:hAnsi="Arial" w:cs="Arial"/>
          <w:color w:val="000000" w:themeColor="text1"/>
          <w:sz w:val="18"/>
        </w:rPr>
        <w:t>3</w:t>
      </w:r>
      <w:r w:rsidR="00427811" w:rsidRPr="00C57579">
        <w:rPr>
          <w:rFonts w:ascii="Arial" w:hAnsi="Arial" w:cs="Arial"/>
          <w:color w:val="000000" w:themeColor="text1"/>
          <w:sz w:val="18"/>
        </w:rPr>
        <w:t>.</w:t>
      </w:r>
    </w:p>
    <w:p w14:paraId="56A2C7EB" w14:textId="77777777" w:rsidR="009A140F" w:rsidRPr="009431B4" w:rsidRDefault="009A140F" w:rsidP="003F5C42">
      <w:pPr>
        <w:pStyle w:val="Standard"/>
        <w:spacing w:line="360" w:lineRule="auto"/>
        <w:rPr>
          <w:rFonts w:cs="Arial"/>
          <w:color w:val="000000" w:themeColor="text1"/>
          <w:sz w:val="20"/>
          <w:szCs w:val="20"/>
          <w:lang w:eastAsia="sl-SI"/>
        </w:rPr>
      </w:pPr>
    </w:p>
    <w:p w14:paraId="0A3926D8" w14:textId="73D89396" w:rsidR="003F5C42" w:rsidRPr="009431B4" w:rsidRDefault="00BB4C01" w:rsidP="003F5C42">
      <w:pPr>
        <w:pStyle w:val="Standard"/>
        <w:spacing w:line="360" w:lineRule="auto"/>
        <w:rPr>
          <w:rFonts w:cs="Arial"/>
          <w:color w:val="000000" w:themeColor="text1"/>
          <w:sz w:val="20"/>
          <w:szCs w:val="20"/>
          <w:lang w:eastAsia="sl-SI"/>
        </w:rPr>
      </w:pPr>
      <w:r w:rsidRPr="009431B4">
        <w:rPr>
          <w:rFonts w:cs="Arial"/>
          <w:color w:val="000000" w:themeColor="text1"/>
          <w:sz w:val="20"/>
          <w:szCs w:val="20"/>
          <w:lang w:eastAsia="sl-SI"/>
        </w:rPr>
        <w:t xml:space="preserve">Največjo vrednost naročil so </w:t>
      </w:r>
      <w:r w:rsidR="003F5C42" w:rsidRPr="009431B4">
        <w:rPr>
          <w:rFonts w:cs="Arial"/>
          <w:color w:val="000000" w:themeColor="text1"/>
          <w:sz w:val="20"/>
          <w:szCs w:val="20"/>
          <w:lang w:eastAsia="sl-SI"/>
        </w:rPr>
        <w:t xml:space="preserve">naročniki oddali z uporabo </w:t>
      </w:r>
      <w:r w:rsidR="00466FC8" w:rsidRPr="009431B4">
        <w:rPr>
          <w:rFonts w:cs="Arial"/>
          <w:color w:val="000000" w:themeColor="text1"/>
          <w:sz w:val="20"/>
          <w:szCs w:val="20"/>
          <w:lang w:eastAsia="sl-SI"/>
        </w:rPr>
        <w:t>odprtega postopka</w:t>
      </w:r>
      <w:r w:rsidR="003D3D5C" w:rsidRPr="009431B4">
        <w:rPr>
          <w:rFonts w:cs="Arial"/>
          <w:color w:val="000000" w:themeColor="text1"/>
          <w:sz w:val="20"/>
          <w:szCs w:val="20"/>
          <w:lang w:eastAsia="sl-SI"/>
        </w:rPr>
        <w:t xml:space="preserve">, in sicer </w:t>
      </w:r>
      <w:r w:rsidR="00466FC8" w:rsidRPr="009431B4">
        <w:rPr>
          <w:rFonts w:cs="Arial"/>
          <w:color w:val="000000" w:themeColor="text1"/>
          <w:sz w:val="20"/>
          <w:szCs w:val="20"/>
          <w:lang w:eastAsia="sl-SI"/>
        </w:rPr>
        <w:t>392</w:t>
      </w:r>
      <w:r w:rsidR="003F5C42" w:rsidRPr="009431B4">
        <w:rPr>
          <w:rFonts w:cs="Arial"/>
          <w:color w:val="000000" w:themeColor="text1"/>
          <w:sz w:val="20"/>
          <w:szCs w:val="20"/>
          <w:lang w:eastAsia="sl-SI"/>
        </w:rPr>
        <w:t xml:space="preserve"> naročil v vrednosti </w:t>
      </w:r>
      <w:r w:rsidR="00466FC8" w:rsidRPr="009431B4">
        <w:rPr>
          <w:rFonts w:cs="Arial"/>
          <w:color w:val="000000" w:themeColor="text1"/>
          <w:sz w:val="20"/>
          <w:szCs w:val="20"/>
          <w:lang w:eastAsia="sl-SI"/>
        </w:rPr>
        <w:t xml:space="preserve">409.195.621 </w:t>
      </w:r>
      <w:r w:rsidR="003F5C42" w:rsidRPr="009431B4">
        <w:rPr>
          <w:rFonts w:cs="Arial"/>
          <w:color w:val="000000" w:themeColor="text1"/>
          <w:sz w:val="20"/>
          <w:szCs w:val="20"/>
          <w:lang w:eastAsia="sl-SI"/>
        </w:rPr>
        <w:t xml:space="preserve">evrov, kar je </w:t>
      </w:r>
      <w:r w:rsidR="00466FC8" w:rsidRPr="009431B4">
        <w:rPr>
          <w:rFonts w:cs="Arial"/>
          <w:color w:val="000000" w:themeColor="text1"/>
          <w:sz w:val="20"/>
          <w:szCs w:val="20"/>
          <w:lang w:eastAsia="sl-SI"/>
        </w:rPr>
        <w:t>45,64</w:t>
      </w:r>
      <w:r w:rsidR="00C00BE3" w:rsidRPr="009431B4">
        <w:rPr>
          <w:rFonts w:cs="Arial"/>
          <w:color w:val="000000" w:themeColor="text1"/>
          <w:sz w:val="20"/>
          <w:szCs w:val="20"/>
          <w:lang w:eastAsia="sl-SI"/>
        </w:rPr>
        <w:t xml:space="preserve"> </w:t>
      </w:r>
      <w:r w:rsidR="00AC0027" w:rsidRPr="009431B4">
        <w:rPr>
          <w:rFonts w:cs="Arial"/>
          <w:color w:val="000000" w:themeColor="text1"/>
          <w:sz w:val="20"/>
          <w:szCs w:val="20"/>
          <w:lang w:eastAsia="sl-SI"/>
        </w:rPr>
        <w:t>odstotka</w:t>
      </w:r>
      <w:r w:rsidR="003F5C42" w:rsidRPr="009431B4">
        <w:rPr>
          <w:rFonts w:cs="Arial"/>
          <w:color w:val="000000" w:themeColor="text1"/>
          <w:sz w:val="20"/>
          <w:szCs w:val="20"/>
          <w:lang w:eastAsia="sl-SI"/>
        </w:rPr>
        <w:t xml:space="preserve"> vrednosti naročil, </w:t>
      </w:r>
      <w:r w:rsidR="0009505B" w:rsidRPr="009431B4">
        <w:rPr>
          <w:rFonts w:cs="Arial"/>
          <w:color w:val="000000" w:themeColor="text1"/>
          <w:sz w:val="20"/>
          <w:szCs w:val="20"/>
          <w:lang w:eastAsia="sl-SI"/>
        </w:rPr>
        <w:t>(</w:t>
      </w:r>
      <w:r w:rsidR="003F5C42" w:rsidRPr="009431B4">
        <w:rPr>
          <w:rFonts w:cs="Arial"/>
          <w:color w:val="000000" w:themeColor="text1"/>
          <w:sz w:val="20"/>
          <w:szCs w:val="20"/>
          <w:lang w:eastAsia="sl-SI"/>
        </w:rPr>
        <w:t>so</w:t>
      </w:r>
      <w:r w:rsidR="0009505B" w:rsidRPr="009431B4">
        <w:rPr>
          <w:rFonts w:cs="Arial"/>
          <w:color w:val="000000" w:themeColor="text1"/>
          <w:sz w:val="20"/>
          <w:szCs w:val="20"/>
          <w:lang w:eastAsia="sl-SI"/>
        </w:rPr>
        <w:t>)</w:t>
      </w:r>
      <w:r w:rsidR="003F5C42" w:rsidRPr="009431B4">
        <w:rPr>
          <w:rFonts w:cs="Arial"/>
          <w:color w:val="000000" w:themeColor="text1"/>
          <w:sz w:val="20"/>
          <w:szCs w:val="20"/>
          <w:lang w:eastAsia="sl-SI"/>
        </w:rPr>
        <w:t>financiranih s sredstvi Evropske unije.</w:t>
      </w:r>
    </w:p>
    <w:p w14:paraId="7C488BF4" w14:textId="77777777" w:rsidR="008477FE" w:rsidRPr="00637ACF" w:rsidRDefault="008477FE">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3C45611F" w14:textId="0791B7E5" w:rsidR="003F5C42" w:rsidRPr="009431B4" w:rsidRDefault="003F5C42" w:rsidP="00701C10">
      <w:pPr>
        <w:spacing w:before="120" w:after="120" w:line="240" w:lineRule="auto"/>
        <w:jc w:val="both"/>
        <w:rPr>
          <w:rFonts w:ascii="Arial" w:hAnsi="Arial" w:cs="Arial"/>
          <w:color w:val="000000" w:themeColor="text1"/>
          <w:sz w:val="20"/>
        </w:rPr>
      </w:pPr>
      <w:r w:rsidRPr="009431B4">
        <w:rPr>
          <w:rFonts w:ascii="Arial" w:hAnsi="Arial" w:cs="Arial"/>
          <w:color w:val="000000" w:themeColor="text1"/>
          <w:sz w:val="20"/>
        </w:rPr>
        <w:lastRenderedPageBreak/>
        <w:t xml:space="preserve">Preglednica </w:t>
      </w:r>
      <w:r w:rsidR="00512F52" w:rsidRPr="009431B4">
        <w:rPr>
          <w:rFonts w:ascii="Arial" w:hAnsi="Arial" w:cs="Arial"/>
          <w:color w:val="000000" w:themeColor="text1"/>
          <w:sz w:val="20"/>
        </w:rPr>
        <w:t>4</w:t>
      </w:r>
      <w:r w:rsidR="00EA747F" w:rsidRPr="009431B4">
        <w:rPr>
          <w:rFonts w:ascii="Arial" w:hAnsi="Arial" w:cs="Arial"/>
          <w:color w:val="000000" w:themeColor="text1"/>
          <w:sz w:val="20"/>
        </w:rPr>
        <w:t>5</w:t>
      </w:r>
      <w:r w:rsidRPr="009431B4">
        <w:rPr>
          <w:rFonts w:ascii="Arial" w:hAnsi="Arial" w:cs="Arial"/>
          <w:color w:val="000000" w:themeColor="text1"/>
          <w:sz w:val="20"/>
        </w:rPr>
        <w:t xml:space="preserve">: Javna naročila, </w:t>
      </w:r>
      <w:r w:rsidR="0009505B" w:rsidRPr="009431B4">
        <w:rPr>
          <w:rFonts w:ascii="Arial" w:hAnsi="Arial" w:cs="Arial"/>
          <w:color w:val="000000" w:themeColor="text1"/>
          <w:sz w:val="20"/>
        </w:rPr>
        <w:t>(</w:t>
      </w:r>
      <w:r w:rsidRPr="009431B4">
        <w:rPr>
          <w:rFonts w:ascii="Arial" w:hAnsi="Arial" w:cs="Arial"/>
          <w:color w:val="000000" w:themeColor="text1"/>
          <w:sz w:val="20"/>
        </w:rPr>
        <w:t>so</w:t>
      </w:r>
      <w:r w:rsidR="0009505B" w:rsidRPr="009431B4">
        <w:rPr>
          <w:rFonts w:ascii="Arial" w:hAnsi="Arial" w:cs="Arial"/>
          <w:color w:val="000000" w:themeColor="text1"/>
          <w:sz w:val="20"/>
        </w:rPr>
        <w:t>)</w:t>
      </w:r>
      <w:r w:rsidRPr="009431B4">
        <w:rPr>
          <w:rFonts w:ascii="Arial" w:hAnsi="Arial" w:cs="Arial"/>
          <w:color w:val="000000" w:themeColor="text1"/>
          <w:sz w:val="20"/>
        </w:rPr>
        <w:t>financirana s sredstvi Evropske unije, po vrsti postopka</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992"/>
        <w:gridCol w:w="1843"/>
        <w:gridCol w:w="1701"/>
        <w:gridCol w:w="1600"/>
      </w:tblGrid>
      <w:tr w:rsidR="009A140F" w:rsidRPr="009431B4" w14:paraId="7742B08B" w14:textId="77777777" w:rsidTr="00760D66">
        <w:trPr>
          <w:trHeight w:val="255"/>
        </w:trPr>
        <w:tc>
          <w:tcPr>
            <w:tcW w:w="3256" w:type="dxa"/>
            <w:shd w:val="clear" w:color="auto" w:fill="F2F2F2" w:themeFill="background1" w:themeFillShade="F2"/>
            <w:vAlign w:val="center"/>
            <w:hideMark/>
          </w:tcPr>
          <w:p w14:paraId="074D7848" w14:textId="77777777" w:rsidR="00503D37" w:rsidRPr="009431B4" w:rsidRDefault="00503D37" w:rsidP="00503D37">
            <w:pPr>
              <w:spacing w:after="0" w:line="240" w:lineRule="auto"/>
              <w:jc w:val="center"/>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Vrsta postopka</w:t>
            </w:r>
          </w:p>
        </w:tc>
        <w:tc>
          <w:tcPr>
            <w:tcW w:w="992" w:type="dxa"/>
            <w:shd w:val="clear" w:color="auto" w:fill="F2F2F2" w:themeFill="background1" w:themeFillShade="F2"/>
            <w:vAlign w:val="center"/>
            <w:hideMark/>
          </w:tcPr>
          <w:p w14:paraId="420C1DE0" w14:textId="77777777" w:rsidR="00503D37" w:rsidRPr="009431B4" w:rsidRDefault="00503D37" w:rsidP="00503D37">
            <w:pPr>
              <w:spacing w:after="0" w:line="240" w:lineRule="auto"/>
              <w:jc w:val="center"/>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Št. naročil</w:t>
            </w:r>
          </w:p>
        </w:tc>
        <w:tc>
          <w:tcPr>
            <w:tcW w:w="1843" w:type="dxa"/>
            <w:shd w:val="clear" w:color="auto" w:fill="F2F2F2" w:themeFill="background1" w:themeFillShade="F2"/>
            <w:vAlign w:val="center"/>
            <w:hideMark/>
          </w:tcPr>
          <w:p w14:paraId="65E2EB4C" w14:textId="29770DBD" w:rsidR="00503D37" w:rsidRPr="009431B4" w:rsidRDefault="00503D37" w:rsidP="00503D37">
            <w:pPr>
              <w:spacing w:after="0" w:line="240" w:lineRule="auto"/>
              <w:jc w:val="center"/>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Pogodbena vrednost</w:t>
            </w:r>
            <w:r w:rsidR="00986395" w:rsidRPr="009431B4">
              <w:rPr>
                <w:rFonts w:ascii="Arial" w:eastAsia="Times New Roman" w:hAnsi="Arial" w:cs="Arial"/>
                <w:color w:val="000000" w:themeColor="text1"/>
                <w:sz w:val="18"/>
                <w:szCs w:val="18"/>
                <w:lang w:eastAsia="sl-SI"/>
              </w:rPr>
              <w:t xml:space="preserve"> (v EUR)</w:t>
            </w:r>
          </w:p>
        </w:tc>
        <w:tc>
          <w:tcPr>
            <w:tcW w:w="1701" w:type="dxa"/>
            <w:shd w:val="clear" w:color="auto" w:fill="F2F2F2" w:themeFill="background1" w:themeFillShade="F2"/>
            <w:vAlign w:val="center"/>
            <w:hideMark/>
          </w:tcPr>
          <w:p w14:paraId="4D69A30B" w14:textId="77777777" w:rsidR="00503D37" w:rsidRPr="009431B4" w:rsidRDefault="00503D37" w:rsidP="00503D37">
            <w:pPr>
              <w:spacing w:after="0" w:line="240" w:lineRule="auto"/>
              <w:jc w:val="center"/>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Delež v št. naročil</w:t>
            </w:r>
          </w:p>
        </w:tc>
        <w:tc>
          <w:tcPr>
            <w:tcW w:w="1600" w:type="dxa"/>
            <w:shd w:val="clear" w:color="auto" w:fill="F2F2F2" w:themeFill="background1" w:themeFillShade="F2"/>
            <w:vAlign w:val="center"/>
            <w:hideMark/>
          </w:tcPr>
          <w:p w14:paraId="68A0AE11" w14:textId="77777777" w:rsidR="00503D37" w:rsidRPr="009431B4" w:rsidRDefault="00503D37" w:rsidP="00503D37">
            <w:pPr>
              <w:spacing w:after="0" w:line="240" w:lineRule="auto"/>
              <w:jc w:val="center"/>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Delež v vrednosti</w:t>
            </w:r>
          </w:p>
        </w:tc>
      </w:tr>
      <w:tr w:rsidR="009431B4" w:rsidRPr="009431B4" w14:paraId="6A612EF5" w14:textId="77777777" w:rsidTr="009431B4">
        <w:trPr>
          <w:trHeight w:val="255"/>
        </w:trPr>
        <w:tc>
          <w:tcPr>
            <w:tcW w:w="3256" w:type="dxa"/>
            <w:shd w:val="clear" w:color="auto" w:fill="auto"/>
            <w:vAlign w:val="center"/>
            <w:hideMark/>
          </w:tcPr>
          <w:p w14:paraId="547BB3B0" w14:textId="43818C1C" w:rsidR="009431B4" w:rsidRPr="009431B4" w:rsidRDefault="009431B4" w:rsidP="009431B4">
            <w:pPr>
              <w:spacing w:after="0" w:line="240" w:lineRule="auto"/>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Konkurenčni dialog</w:t>
            </w:r>
          </w:p>
        </w:tc>
        <w:tc>
          <w:tcPr>
            <w:tcW w:w="992" w:type="dxa"/>
            <w:shd w:val="clear" w:color="auto" w:fill="auto"/>
            <w:vAlign w:val="center"/>
            <w:hideMark/>
          </w:tcPr>
          <w:p w14:paraId="28A9560F" w14:textId="67D4FAEE"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6</w:t>
            </w:r>
          </w:p>
        </w:tc>
        <w:tc>
          <w:tcPr>
            <w:tcW w:w="1843" w:type="dxa"/>
            <w:shd w:val="clear" w:color="auto" w:fill="auto"/>
            <w:vAlign w:val="center"/>
            <w:hideMark/>
          </w:tcPr>
          <w:p w14:paraId="03573F3E" w14:textId="7D4A9DE4"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217.868.740</w:t>
            </w:r>
          </w:p>
        </w:tc>
        <w:tc>
          <w:tcPr>
            <w:tcW w:w="1701" w:type="dxa"/>
            <w:shd w:val="clear" w:color="auto" w:fill="auto"/>
            <w:noWrap/>
            <w:vAlign w:val="center"/>
          </w:tcPr>
          <w:p w14:paraId="4521CD11" w14:textId="23D2F9EF"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0,72 %</w:t>
            </w:r>
          </w:p>
        </w:tc>
        <w:tc>
          <w:tcPr>
            <w:tcW w:w="1600" w:type="dxa"/>
            <w:shd w:val="clear" w:color="auto" w:fill="auto"/>
            <w:noWrap/>
            <w:vAlign w:val="center"/>
          </w:tcPr>
          <w:p w14:paraId="3CC4F113" w14:textId="5CE40170"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24,31 %</w:t>
            </w:r>
          </w:p>
        </w:tc>
      </w:tr>
      <w:tr w:rsidR="009431B4" w:rsidRPr="009431B4" w14:paraId="66AD5F25" w14:textId="77777777" w:rsidTr="009431B4">
        <w:trPr>
          <w:trHeight w:val="255"/>
        </w:trPr>
        <w:tc>
          <w:tcPr>
            <w:tcW w:w="3256" w:type="dxa"/>
            <w:shd w:val="clear" w:color="auto" w:fill="auto"/>
            <w:vAlign w:val="center"/>
            <w:hideMark/>
          </w:tcPr>
          <w:p w14:paraId="2D534AAA" w14:textId="0EDABDA2" w:rsidR="009431B4" w:rsidRPr="009431B4" w:rsidRDefault="009431B4" w:rsidP="009431B4">
            <w:pPr>
              <w:spacing w:after="0" w:line="240" w:lineRule="auto"/>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Konkurenčni postopek s pogajanji</w:t>
            </w:r>
          </w:p>
        </w:tc>
        <w:tc>
          <w:tcPr>
            <w:tcW w:w="992" w:type="dxa"/>
            <w:shd w:val="clear" w:color="auto" w:fill="auto"/>
            <w:vAlign w:val="center"/>
            <w:hideMark/>
          </w:tcPr>
          <w:p w14:paraId="6F64378B" w14:textId="4B848EF5"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25</w:t>
            </w:r>
          </w:p>
        </w:tc>
        <w:tc>
          <w:tcPr>
            <w:tcW w:w="1843" w:type="dxa"/>
            <w:shd w:val="clear" w:color="auto" w:fill="auto"/>
            <w:vAlign w:val="center"/>
            <w:hideMark/>
          </w:tcPr>
          <w:p w14:paraId="72B3BCE3" w14:textId="700AEE90"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100.230.452</w:t>
            </w:r>
          </w:p>
        </w:tc>
        <w:tc>
          <w:tcPr>
            <w:tcW w:w="1701" w:type="dxa"/>
            <w:shd w:val="clear" w:color="auto" w:fill="auto"/>
            <w:noWrap/>
            <w:vAlign w:val="center"/>
          </w:tcPr>
          <w:p w14:paraId="74625828" w14:textId="62307BFC"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2,99 %</w:t>
            </w:r>
          </w:p>
        </w:tc>
        <w:tc>
          <w:tcPr>
            <w:tcW w:w="1600" w:type="dxa"/>
            <w:shd w:val="clear" w:color="auto" w:fill="auto"/>
            <w:noWrap/>
            <w:vAlign w:val="center"/>
          </w:tcPr>
          <w:p w14:paraId="7BDCF4EF" w14:textId="27C90258"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11,18 %</w:t>
            </w:r>
          </w:p>
        </w:tc>
      </w:tr>
      <w:tr w:rsidR="009431B4" w:rsidRPr="009431B4" w14:paraId="67373BCF" w14:textId="77777777" w:rsidTr="009431B4">
        <w:trPr>
          <w:trHeight w:val="255"/>
        </w:trPr>
        <w:tc>
          <w:tcPr>
            <w:tcW w:w="3256" w:type="dxa"/>
            <w:shd w:val="clear" w:color="auto" w:fill="auto"/>
            <w:vAlign w:val="center"/>
            <w:hideMark/>
          </w:tcPr>
          <w:p w14:paraId="2428050E" w14:textId="20476F8B" w:rsidR="009431B4" w:rsidRPr="009431B4" w:rsidRDefault="009431B4" w:rsidP="009431B4">
            <w:pPr>
              <w:spacing w:after="0" w:line="240" w:lineRule="auto"/>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Odprti postopek</w:t>
            </w:r>
          </w:p>
        </w:tc>
        <w:tc>
          <w:tcPr>
            <w:tcW w:w="992" w:type="dxa"/>
            <w:shd w:val="clear" w:color="auto" w:fill="auto"/>
            <w:vAlign w:val="center"/>
            <w:hideMark/>
          </w:tcPr>
          <w:p w14:paraId="2E56B22B" w14:textId="06940D83"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329</w:t>
            </w:r>
          </w:p>
        </w:tc>
        <w:tc>
          <w:tcPr>
            <w:tcW w:w="1843" w:type="dxa"/>
            <w:shd w:val="clear" w:color="auto" w:fill="auto"/>
            <w:vAlign w:val="center"/>
            <w:hideMark/>
          </w:tcPr>
          <w:p w14:paraId="4EFDEB6B" w14:textId="6CA83AD4"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409.195.621</w:t>
            </w:r>
          </w:p>
        </w:tc>
        <w:tc>
          <w:tcPr>
            <w:tcW w:w="1701" w:type="dxa"/>
            <w:shd w:val="clear" w:color="auto" w:fill="auto"/>
            <w:noWrap/>
            <w:vAlign w:val="center"/>
          </w:tcPr>
          <w:p w14:paraId="7E3D52DD" w14:textId="71C5338F"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39,35 %</w:t>
            </w:r>
          </w:p>
        </w:tc>
        <w:tc>
          <w:tcPr>
            <w:tcW w:w="1600" w:type="dxa"/>
            <w:shd w:val="clear" w:color="auto" w:fill="auto"/>
            <w:noWrap/>
            <w:vAlign w:val="center"/>
          </w:tcPr>
          <w:p w14:paraId="11A0F72D" w14:textId="08C0FDCD"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45,65 %</w:t>
            </w:r>
          </w:p>
        </w:tc>
      </w:tr>
      <w:tr w:rsidR="009431B4" w:rsidRPr="009431B4" w14:paraId="2A76F7BE" w14:textId="77777777" w:rsidTr="009431B4">
        <w:trPr>
          <w:trHeight w:val="255"/>
        </w:trPr>
        <w:tc>
          <w:tcPr>
            <w:tcW w:w="3256" w:type="dxa"/>
            <w:shd w:val="clear" w:color="auto" w:fill="auto"/>
            <w:vAlign w:val="center"/>
            <w:hideMark/>
          </w:tcPr>
          <w:p w14:paraId="4CFE5275" w14:textId="5667D4A5" w:rsidR="009431B4" w:rsidRPr="009431B4" w:rsidRDefault="009431B4" w:rsidP="009431B4">
            <w:pPr>
              <w:spacing w:after="0" w:line="240" w:lineRule="auto"/>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Omejeni postopek</w:t>
            </w:r>
          </w:p>
        </w:tc>
        <w:tc>
          <w:tcPr>
            <w:tcW w:w="992" w:type="dxa"/>
            <w:shd w:val="clear" w:color="auto" w:fill="auto"/>
            <w:vAlign w:val="center"/>
            <w:hideMark/>
          </w:tcPr>
          <w:p w14:paraId="53AE3FAC" w14:textId="340AC3B0"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67</w:t>
            </w:r>
          </w:p>
        </w:tc>
        <w:tc>
          <w:tcPr>
            <w:tcW w:w="1843" w:type="dxa"/>
            <w:shd w:val="clear" w:color="auto" w:fill="auto"/>
            <w:vAlign w:val="center"/>
            <w:hideMark/>
          </w:tcPr>
          <w:p w14:paraId="5ECD9C46" w14:textId="13BDF153"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33.400.975</w:t>
            </w:r>
          </w:p>
        </w:tc>
        <w:tc>
          <w:tcPr>
            <w:tcW w:w="1701" w:type="dxa"/>
            <w:shd w:val="clear" w:color="auto" w:fill="auto"/>
            <w:noWrap/>
            <w:vAlign w:val="center"/>
          </w:tcPr>
          <w:p w14:paraId="10F10DC3" w14:textId="085129A7"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8,01 %</w:t>
            </w:r>
          </w:p>
        </w:tc>
        <w:tc>
          <w:tcPr>
            <w:tcW w:w="1600" w:type="dxa"/>
            <w:shd w:val="clear" w:color="auto" w:fill="auto"/>
            <w:noWrap/>
            <w:vAlign w:val="center"/>
          </w:tcPr>
          <w:p w14:paraId="0AA9ADA3" w14:textId="1BA61D03"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3,73 %</w:t>
            </w:r>
          </w:p>
        </w:tc>
      </w:tr>
      <w:tr w:rsidR="009431B4" w:rsidRPr="009431B4" w14:paraId="617726C3" w14:textId="77777777" w:rsidTr="009431B4">
        <w:trPr>
          <w:trHeight w:val="255"/>
        </w:trPr>
        <w:tc>
          <w:tcPr>
            <w:tcW w:w="3256" w:type="dxa"/>
            <w:shd w:val="clear" w:color="auto" w:fill="auto"/>
            <w:vAlign w:val="center"/>
            <w:hideMark/>
          </w:tcPr>
          <w:p w14:paraId="1EA8B7ED" w14:textId="0636F58F" w:rsidR="009431B4" w:rsidRPr="009431B4" w:rsidRDefault="009431B4" w:rsidP="009431B4">
            <w:pPr>
              <w:spacing w:after="0" w:line="240" w:lineRule="auto"/>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Postopek naročila male vrednosti</w:t>
            </w:r>
          </w:p>
        </w:tc>
        <w:tc>
          <w:tcPr>
            <w:tcW w:w="992" w:type="dxa"/>
            <w:shd w:val="clear" w:color="auto" w:fill="auto"/>
            <w:vAlign w:val="center"/>
            <w:hideMark/>
          </w:tcPr>
          <w:p w14:paraId="49A4CDFF" w14:textId="0B2F2D59"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381</w:t>
            </w:r>
          </w:p>
        </w:tc>
        <w:tc>
          <w:tcPr>
            <w:tcW w:w="1843" w:type="dxa"/>
            <w:shd w:val="clear" w:color="auto" w:fill="auto"/>
            <w:vAlign w:val="center"/>
            <w:hideMark/>
          </w:tcPr>
          <w:p w14:paraId="527F93BD" w14:textId="002EF165"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113.865.556</w:t>
            </w:r>
          </w:p>
        </w:tc>
        <w:tc>
          <w:tcPr>
            <w:tcW w:w="1701" w:type="dxa"/>
            <w:shd w:val="clear" w:color="auto" w:fill="auto"/>
            <w:noWrap/>
            <w:vAlign w:val="center"/>
          </w:tcPr>
          <w:p w14:paraId="0353AD47" w14:textId="60BEC430"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45,57 %</w:t>
            </w:r>
          </w:p>
        </w:tc>
        <w:tc>
          <w:tcPr>
            <w:tcW w:w="1600" w:type="dxa"/>
            <w:shd w:val="clear" w:color="auto" w:fill="auto"/>
            <w:noWrap/>
            <w:vAlign w:val="center"/>
          </w:tcPr>
          <w:p w14:paraId="3C2B3AAF" w14:textId="75F5BC03"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12,70 %</w:t>
            </w:r>
          </w:p>
        </w:tc>
      </w:tr>
      <w:tr w:rsidR="009431B4" w:rsidRPr="009431B4" w14:paraId="270296EB" w14:textId="77777777" w:rsidTr="009431B4">
        <w:trPr>
          <w:trHeight w:val="255"/>
        </w:trPr>
        <w:tc>
          <w:tcPr>
            <w:tcW w:w="3256" w:type="dxa"/>
            <w:shd w:val="clear" w:color="auto" w:fill="auto"/>
            <w:noWrap/>
            <w:vAlign w:val="center"/>
            <w:hideMark/>
          </w:tcPr>
          <w:p w14:paraId="2D3E8D49" w14:textId="00A91E4F" w:rsidR="009431B4" w:rsidRPr="009431B4" w:rsidRDefault="009431B4" w:rsidP="009431B4">
            <w:pPr>
              <w:spacing w:after="0" w:line="240" w:lineRule="auto"/>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Postopek s pogajanji brez predhodne objave</w:t>
            </w:r>
          </w:p>
        </w:tc>
        <w:tc>
          <w:tcPr>
            <w:tcW w:w="992" w:type="dxa"/>
            <w:shd w:val="clear" w:color="auto" w:fill="auto"/>
            <w:vAlign w:val="center"/>
            <w:hideMark/>
          </w:tcPr>
          <w:p w14:paraId="53BF0395" w14:textId="7B174E2F"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28</w:t>
            </w:r>
          </w:p>
        </w:tc>
        <w:tc>
          <w:tcPr>
            <w:tcW w:w="1843" w:type="dxa"/>
            <w:shd w:val="clear" w:color="auto" w:fill="auto"/>
            <w:vAlign w:val="center"/>
            <w:hideMark/>
          </w:tcPr>
          <w:p w14:paraId="61F951B4" w14:textId="733A9CB2"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21.820.782</w:t>
            </w:r>
          </w:p>
        </w:tc>
        <w:tc>
          <w:tcPr>
            <w:tcW w:w="1701" w:type="dxa"/>
            <w:shd w:val="clear" w:color="auto" w:fill="auto"/>
            <w:noWrap/>
            <w:vAlign w:val="center"/>
          </w:tcPr>
          <w:p w14:paraId="34C059C8" w14:textId="3814DCAC"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3,35 %</w:t>
            </w:r>
          </w:p>
        </w:tc>
        <w:tc>
          <w:tcPr>
            <w:tcW w:w="1600" w:type="dxa"/>
            <w:shd w:val="clear" w:color="auto" w:fill="auto"/>
            <w:noWrap/>
            <w:vAlign w:val="center"/>
          </w:tcPr>
          <w:p w14:paraId="52411D01" w14:textId="448076EA" w:rsidR="009431B4" w:rsidRPr="009431B4" w:rsidRDefault="009431B4" w:rsidP="009431B4">
            <w:pPr>
              <w:spacing w:after="0" w:line="240" w:lineRule="auto"/>
              <w:jc w:val="right"/>
              <w:rPr>
                <w:rFonts w:ascii="Arial" w:eastAsia="Times New Roman" w:hAnsi="Arial" w:cs="Arial"/>
                <w:color w:val="000000" w:themeColor="text1"/>
                <w:sz w:val="18"/>
                <w:szCs w:val="18"/>
                <w:lang w:eastAsia="sl-SI"/>
              </w:rPr>
            </w:pPr>
            <w:r w:rsidRPr="009431B4">
              <w:rPr>
                <w:rFonts w:ascii="Arial" w:eastAsia="Times New Roman" w:hAnsi="Arial" w:cs="Arial"/>
                <w:color w:val="000000" w:themeColor="text1"/>
                <w:sz w:val="18"/>
                <w:szCs w:val="18"/>
                <w:lang w:eastAsia="sl-SI"/>
              </w:rPr>
              <w:t>2,43 %</w:t>
            </w:r>
          </w:p>
        </w:tc>
      </w:tr>
      <w:tr w:rsidR="009431B4" w:rsidRPr="009431B4" w14:paraId="3E6BCA55" w14:textId="77777777" w:rsidTr="009431B4">
        <w:trPr>
          <w:trHeight w:val="255"/>
        </w:trPr>
        <w:tc>
          <w:tcPr>
            <w:tcW w:w="3256" w:type="dxa"/>
            <w:shd w:val="clear" w:color="auto" w:fill="F2F2F2" w:themeFill="background1" w:themeFillShade="F2"/>
            <w:vAlign w:val="center"/>
            <w:hideMark/>
          </w:tcPr>
          <w:p w14:paraId="296469E6" w14:textId="77777777" w:rsidR="009431B4" w:rsidRPr="009431B4" w:rsidRDefault="009431B4" w:rsidP="009431B4">
            <w:pPr>
              <w:spacing w:after="0" w:line="240" w:lineRule="auto"/>
              <w:rPr>
                <w:rFonts w:ascii="Arial" w:eastAsia="Times New Roman" w:hAnsi="Arial" w:cs="Arial"/>
                <w:b/>
                <w:bCs/>
                <w:color w:val="000000" w:themeColor="text1"/>
                <w:sz w:val="18"/>
                <w:szCs w:val="18"/>
                <w:lang w:eastAsia="sl-SI"/>
              </w:rPr>
            </w:pPr>
            <w:r w:rsidRPr="009431B4">
              <w:rPr>
                <w:rFonts w:ascii="Arial" w:eastAsia="Times New Roman" w:hAnsi="Arial" w:cs="Arial"/>
                <w:b/>
                <w:bCs/>
                <w:color w:val="000000" w:themeColor="text1"/>
                <w:sz w:val="18"/>
                <w:szCs w:val="18"/>
                <w:lang w:eastAsia="sl-SI"/>
              </w:rPr>
              <w:t>Skupaj</w:t>
            </w:r>
          </w:p>
        </w:tc>
        <w:tc>
          <w:tcPr>
            <w:tcW w:w="992" w:type="dxa"/>
            <w:shd w:val="clear" w:color="auto" w:fill="F2F2F2" w:themeFill="background1" w:themeFillShade="F2"/>
            <w:noWrap/>
            <w:vAlign w:val="center"/>
            <w:hideMark/>
          </w:tcPr>
          <w:p w14:paraId="0C3F5CB2" w14:textId="2782CBC2" w:rsidR="009431B4" w:rsidRPr="009431B4" w:rsidRDefault="009431B4" w:rsidP="009431B4">
            <w:pPr>
              <w:spacing w:after="0" w:line="240" w:lineRule="auto"/>
              <w:jc w:val="right"/>
              <w:rPr>
                <w:rFonts w:ascii="Arial" w:eastAsia="Times New Roman" w:hAnsi="Arial" w:cs="Arial"/>
                <w:b/>
                <w:bCs/>
                <w:color w:val="000000" w:themeColor="text1"/>
                <w:sz w:val="18"/>
                <w:szCs w:val="18"/>
                <w:lang w:eastAsia="sl-SI"/>
              </w:rPr>
            </w:pPr>
            <w:r w:rsidRPr="009431B4">
              <w:rPr>
                <w:rFonts w:ascii="Arial" w:eastAsia="Times New Roman" w:hAnsi="Arial" w:cs="Arial"/>
                <w:b/>
                <w:bCs/>
                <w:color w:val="000000" w:themeColor="text1"/>
                <w:sz w:val="18"/>
                <w:szCs w:val="18"/>
                <w:lang w:eastAsia="sl-SI"/>
              </w:rPr>
              <w:t>836</w:t>
            </w:r>
          </w:p>
        </w:tc>
        <w:tc>
          <w:tcPr>
            <w:tcW w:w="1843" w:type="dxa"/>
            <w:shd w:val="clear" w:color="auto" w:fill="F2F2F2" w:themeFill="background1" w:themeFillShade="F2"/>
            <w:noWrap/>
            <w:vAlign w:val="center"/>
            <w:hideMark/>
          </w:tcPr>
          <w:p w14:paraId="75D3DEB8" w14:textId="37B3703C" w:rsidR="009431B4" w:rsidRPr="009431B4" w:rsidRDefault="009431B4" w:rsidP="009431B4">
            <w:pPr>
              <w:spacing w:after="0" w:line="240" w:lineRule="auto"/>
              <w:jc w:val="right"/>
              <w:rPr>
                <w:rFonts w:ascii="Arial" w:eastAsia="Times New Roman" w:hAnsi="Arial" w:cs="Arial"/>
                <w:b/>
                <w:bCs/>
                <w:color w:val="000000" w:themeColor="text1"/>
                <w:sz w:val="18"/>
                <w:szCs w:val="18"/>
                <w:lang w:eastAsia="sl-SI"/>
              </w:rPr>
            </w:pPr>
            <w:r w:rsidRPr="009431B4">
              <w:rPr>
                <w:rFonts w:ascii="Arial" w:eastAsia="Times New Roman" w:hAnsi="Arial" w:cs="Arial"/>
                <w:b/>
                <w:bCs/>
                <w:color w:val="000000" w:themeColor="text1"/>
                <w:sz w:val="18"/>
                <w:szCs w:val="18"/>
                <w:lang w:eastAsia="sl-SI"/>
              </w:rPr>
              <w:t>896.382.126</w:t>
            </w:r>
          </w:p>
        </w:tc>
        <w:tc>
          <w:tcPr>
            <w:tcW w:w="1701" w:type="dxa"/>
            <w:shd w:val="clear" w:color="auto" w:fill="F2F2F2" w:themeFill="background1" w:themeFillShade="F2"/>
            <w:noWrap/>
            <w:vAlign w:val="center"/>
          </w:tcPr>
          <w:p w14:paraId="5C1432AD" w14:textId="414F09E3" w:rsidR="009431B4" w:rsidRPr="009431B4" w:rsidRDefault="009431B4" w:rsidP="009431B4">
            <w:pPr>
              <w:spacing w:after="0" w:line="240" w:lineRule="auto"/>
              <w:jc w:val="right"/>
              <w:rPr>
                <w:rFonts w:ascii="Arial" w:eastAsia="Times New Roman" w:hAnsi="Arial" w:cs="Arial"/>
                <w:b/>
                <w:bCs/>
                <w:color w:val="000000" w:themeColor="text1"/>
                <w:sz w:val="18"/>
                <w:szCs w:val="18"/>
                <w:lang w:eastAsia="sl-SI"/>
              </w:rPr>
            </w:pPr>
            <w:r w:rsidRPr="009431B4">
              <w:rPr>
                <w:rFonts w:ascii="Arial" w:eastAsia="Times New Roman" w:hAnsi="Arial" w:cs="Arial"/>
                <w:b/>
                <w:bCs/>
                <w:color w:val="000000" w:themeColor="text1"/>
                <w:sz w:val="18"/>
                <w:szCs w:val="18"/>
                <w:lang w:eastAsia="sl-SI"/>
              </w:rPr>
              <w:t>99,99 %</w:t>
            </w:r>
          </w:p>
        </w:tc>
        <w:tc>
          <w:tcPr>
            <w:tcW w:w="1600" w:type="dxa"/>
            <w:shd w:val="clear" w:color="auto" w:fill="F2F2F2" w:themeFill="background1" w:themeFillShade="F2"/>
            <w:noWrap/>
            <w:vAlign w:val="center"/>
          </w:tcPr>
          <w:p w14:paraId="0DE8FE2D" w14:textId="44901DFF" w:rsidR="009431B4" w:rsidRPr="009431B4" w:rsidRDefault="009431B4" w:rsidP="009431B4">
            <w:pPr>
              <w:spacing w:after="0" w:line="240" w:lineRule="auto"/>
              <w:jc w:val="right"/>
              <w:rPr>
                <w:rFonts w:ascii="Arial" w:eastAsia="Times New Roman" w:hAnsi="Arial" w:cs="Arial"/>
                <w:b/>
                <w:bCs/>
                <w:color w:val="000000" w:themeColor="text1"/>
                <w:sz w:val="18"/>
                <w:szCs w:val="18"/>
                <w:lang w:eastAsia="sl-SI"/>
              </w:rPr>
            </w:pPr>
            <w:r w:rsidRPr="009431B4">
              <w:rPr>
                <w:rFonts w:ascii="Arial" w:eastAsia="Times New Roman" w:hAnsi="Arial" w:cs="Arial"/>
                <w:b/>
                <w:bCs/>
                <w:color w:val="000000" w:themeColor="text1"/>
                <w:sz w:val="18"/>
                <w:szCs w:val="18"/>
                <w:lang w:eastAsia="sl-SI"/>
              </w:rPr>
              <w:t>100,00 %</w:t>
            </w:r>
          </w:p>
        </w:tc>
      </w:tr>
    </w:tbl>
    <w:p w14:paraId="74C7F74E" w14:textId="77777777" w:rsidR="00503D37" w:rsidRPr="009431B4" w:rsidRDefault="00503D37" w:rsidP="004A613D">
      <w:pPr>
        <w:spacing w:after="0" w:line="240" w:lineRule="auto"/>
        <w:jc w:val="center"/>
        <w:rPr>
          <w:rFonts w:ascii="Arial" w:hAnsi="Arial" w:cs="Arial"/>
          <w:color w:val="000000" w:themeColor="text1"/>
          <w:sz w:val="18"/>
        </w:rPr>
      </w:pPr>
    </w:p>
    <w:p w14:paraId="7A148D8D" w14:textId="1FA59221" w:rsidR="003F5C42" w:rsidRPr="009431B4" w:rsidRDefault="003F5C42" w:rsidP="0001172F">
      <w:pPr>
        <w:spacing w:after="240" w:line="240" w:lineRule="auto"/>
        <w:jc w:val="center"/>
        <w:rPr>
          <w:rFonts w:ascii="Arial" w:hAnsi="Arial" w:cs="Arial"/>
          <w:color w:val="000000" w:themeColor="text1"/>
          <w:sz w:val="18"/>
        </w:rPr>
      </w:pPr>
      <w:r w:rsidRPr="009431B4">
        <w:rPr>
          <w:rFonts w:ascii="Arial" w:hAnsi="Arial" w:cs="Arial"/>
          <w:color w:val="000000" w:themeColor="text1"/>
          <w:sz w:val="18"/>
        </w:rPr>
        <w:t>Vir: Statistični podatki o javnih naročilih, oddanih</w:t>
      </w:r>
      <w:r w:rsidR="003D3D5C" w:rsidRPr="009431B4">
        <w:rPr>
          <w:rFonts w:ascii="Arial" w:hAnsi="Arial" w:cs="Arial"/>
          <w:color w:val="000000" w:themeColor="text1"/>
          <w:sz w:val="18"/>
        </w:rPr>
        <w:t xml:space="preserve"> v letu 20</w:t>
      </w:r>
      <w:r w:rsidR="00C34099" w:rsidRPr="009431B4">
        <w:rPr>
          <w:rFonts w:ascii="Arial" w:hAnsi="Arial" w:cs="Arial"/>
          <w:color w:val="000000" w:themeColor="text1"/>
          <w:sz w:val="18"/>
        </w:rPr>
        <w:t>2</w:t>
      </w:r>
      <w:r w:rsidR="00F50F3D" w:rsidRPr="009431B4">
        <w:rPr>
          <w:rFonts w:ascii="Arial" w:hAnsi="Arial" w:cs="Arial"/>
          <w:color w:val="000000" w:themeColor="text1"/>
          <w:sz w:val="18"/>
        </w:rPr>
        <w:t>3</w:t>
      </w:r>
      <w:r w:rsidR="00427811" w:rsidRPr="009431B4">
        <w:rPr>
          <w:rFonts w:ascii="Arial" w:hAnsi="Arial" w:cs="Arial"/>
          <w:color w:val="000000" w:themeColor="text1"/>
          <w:sz w:val="18"/>
        </w:rPr>
        <w:t>.</w:t>
      </w:r>
    </w:p>
    <w:p w14:paraId="000653B3" w14:textId="4EACCF7F" w:rsidR="00A6598C" w:rsidRPr="00C57579" w:rsidRDefault="002B74A3" w:rsidP="009B1F9D">
      <w:pPr>
        <w:spacing w:before="120" w:after="120" w:line="360" w:lineRule="auto"/>
        <w:jc w:val="both"/>
        <w:rPr>
          <w:rFonts w:ascii="Arial" w:hAnsi="Arial" w:cs="Arial"/>
          <w:color w:val="000000" w:themeColor="text1"/>
          <w:sz w:val="20"/>
          <w:szCs w:val="20"/>
          <w:lang w:eastAsia="sl-SI"/>
        </w:rPr>
      </w:pPr>
      <w:r w:rsidRPr="00C57579">
        <w:rPr>
          <w:rFonts w:ascii="Arial" w:hAnsi="Arial" w:cs="Arial"/>
          <w:color w:val="000000" w:themeColor="text1"/>
          <w:sz w:val="20"/>
          <w:szCs w:val="20"/>
          <w:lang w:eastAsia="sl-SI"/>
        </w:rPr>
        <w:t>Leta</w:t>
      </w:r>
      <w:r w:rsidR="009B1F9D" w:rsidRPr="00C57579">
        <w:rPr>
          <w:rFonts w:ascii="Arial" w:hAnsi="Arial" w:cs="Arial"/>
          <w:color w:val="000000" w:themeColor="text1"/>
          <w:sz w:val="20"/>
          <w:szCs w:val="20"/>
          <w:lang w:eastAsia="sl-SI"/>
        </w:rPr>
        <w:t xml:space="preserve"> 20</w:t>
      </w:r>
      <w:r w:rsidR="00C33EE6" w:rsidRPr="00C57579">
        <w:rPr>
          <w:rFonts w:ascii="Arial" w:hAnsi="Arial" w:cs="Arial"/>
          <w:color w:val="000000" w:themeColor="text1"/>
          <w:sz w:val="20"/>
          <w:szCs w:val="20"/>
          <w:lang w:eastAsia="sl-SI"/>
        </w:rPr>
        <w:t>2</w:t>
      </w:r>
      <w:r w:rsidR="003E445D" w:rsidRPr="00C57579">
        <w:rPr>
          <w:rFonts w:ascii="Arial" w:hAnsi="Arial" w:cs="Arial"/>
          <w:color w:val="000000" w:themeColor="text1"/>
          <w:sz w:val="20"/>
          <w:szCs w:val="20"/>
          <w:lang w:eastAsia="sl-SI"/>
        </w:rPr>
        <w:t>3</w:t>
      </w:r>
      <w:r w:rsidR="009B1F9D" w:rsidRPr="00C57579">
        <w:rPr>
          <w:rFonts w:ascii="Arial" w:hAnsi="Arial" w:cs="Arial"/>
          <w:color w:val="000000" w:themeColor="text1"/>
          <w:sz w:val="20"/>
          <w:szCs w:val="20"/>
          <w:lang w:eastAsia="sl-SI"/>
        </w:rPr>
        <w:t xml:space="preserve"> </w:t>
      </w:r>
      <w:r w:rsidR="00325434" w:rsidRPr="00C57579">
        <w:rPr>
          <w:rFonts w:ascii="Arial" w:hAnsi="Arial" w:cs="Arial"/>
          <w:color w:val="000000" w:themeColor="text1"/>
          <w:sz w:val="20"/>
          <w:szCs w:val="20"/>
          <w:lang w:eastAsia="sl-SI"/>
        </w:rPr>
        <w:t xml:space="preserve">so bile </w:t>
      </w:r>
      <w:r w:rsidR="009B1F9D" w:rsidRPr="00C57579">
        <w:rPr>
          <w:rFonts w:ascii="Arial" w:hAnsi="Arial" w:cs="Arial"/>
          <w:color w:val="000000" w:themeColor="text1"/>
          <w:sz w:val="20"/>
          <w:szCs w:val="20"/>
          <w:lang w:eastAsia="sl-SI"/>
        </w:rPr>
        <w:t xml:space="preserve">pogodbene vrednosti pri javnih naročilih, (so)financiranih s sredstvi Evropske unije, </w:t>
      </w:r>
      <w:r w:rsidR="00C60447" w:rsidRPr="00C57579">
        <w:rPr>
          <w:rFonts w:ascii="Arial" w:hAnsi="Arial" w:cs="Arial"/>
          <w:color w:val="000000" w:themeColor="text1"/>
          <w:sz w:val="20"/>
          <w:szCs w:val="20"/>
          <w:lang w:eastAsia="sl-SI"/>
        </w:rPr>
        <w:t>višje</w:t>
      </w:r>
      <w:r w:rsidR="00E52825" w:rsidRPr="00C57579">
        <w:rPr>
          <w:rFonts w:ascii="Arial" w:hAnsi="Arial" w:cs="Arial"/>
          <w:color w:val="000000" w:themeColor="text1"/>
          <w:sz w:val="20"/>
          <w:szCs w:val="20"/>
          <w:lang w:eastAsia="sl-SI"/>
        </w:rPr>
        <w:t xml:space="preserve"> kot v </w:t>
      </w:r>
      <w:r w:rsidR="00AF6C62" w:rsidRPr="00C57579">
        <w:rPr>
          <w:rFonts w:ascii="Arial" w:hAnsi="Arial" w:cs="Arial"/>
          <w:color w:val="000000" w:themeColor="text1"/>
          <w:sz w:val="20"/>
          <w:szCs w:val="20"/>
          <w:lang w:eastAsia="sl-SI"/>
        </w:rPr>
        <w:t>pre</w:t>
      </w:r>
      <w:r w:rsidR="00A22784" w:rsidRPr="00C57579">
        <w:rPr>
          <w:rFonts w:ascii="Arial" w:hAnsi="Arial" w:cs="Arial"/>
          <w:color w:val="000000" w:themeColor="text1"/>
          <w:sz w:val="20"/>
          <w:szCs w:val="20"/>
          <w:lang w:eastAsia="sl-SI"/>
        </w:rPr>
        <w:t>jšnjem</w:t>
      </w:r>
      <w:r w:rsidR="00AF6C62" w:rsidRPr="00C57579">
        <w:rPr>
          <w:rFonts w:ascii="Arial" w:hAnsi="Arial" w:cs="Arial"/>
          <w:color w:val="000000" w:themeColor="text1"/>
          <w:sz w:val="20"/>
          <w:szCs w:val="20"/>
          <w:lang w:eastAsia="sl-SI"/>
        </w:rPr>
        <w:t xml:space="preserve"> letu.</w:t>
      </w:r>
    </w:p>
    <w:p w14:paraId="3F68A792" w14:textId="1E2B03CF" w:rsidR="003F5C42" w:rsidRPr="00C57579" w:rsidRDefault="003F5C42" w:rsidP="00701C10">
      <w:pPr>
        <w:spacing w:before="120" w:after="120" w:line="240" w:lineRule="auto"/>
        <w:jc w:val="both"/>
        <w:rPr>
          <w:rFonts w:ascii="Arial" w:hAnsi="Arial" w:cs="Arial"/>
          <w:color w:val="000000" w:themeColor="text1"/>
          <w:sz w:val="20"/>
        </w:rPr>
      </w:pPr>
      <w:r w:rsidRPr="00C57579">
        <w:rPr>
          <w:rFonts w:ascii="Arial" w:hAnsi="Arial" w:cs="Arial"/>
          <w:color w:val="000000" w:themeColor="text1"/>
          <w:sz w:val="20"/>
        </w:rPr>
        <w:t xml:space="preserve">Preglednica </w:t>
      </w:r>
      <w:r w:rsidR="00512F52" w:rsidRPr="00C57579">
        <w:rPr>
          <w:rFonts w:ascii="Arial" w:hAnsi="Arial" w:cs="Arial"/>
          <w:color w:val="000000" w:themeColor="text1"/>
          <w:sz w:val="20"/>
        </w:rPr>
        <w:t>4</w:t>
      </w:r>
      <w:r w:rsidR="00EA747F" w:rsidRPr="00C57579">
        <w:rPr>
          <w:rFonts w:ascii="Arial" w:hAnsi="Arial" w:cs="Arial"/>
          <w:color w:val="000000" w:themeColor="text1"/>
          <w:sz w:val="20"/>
        </w:rPr>
        <w:t>6</w:t>
      </w:r>
      <w:r w:rsidRPr="00C57579">
        <w:rPr>
          <w:rFonts w:ascii="Arial" w:hAnsi="Arial" w:cs="Arial"/>
          <w:color w:val="000000" w:themeColor="text1"/>
          <w:sz w:val="20"/>
        </w:rPr>
        <w:t xml:space="preserve">: Javna naročila, (so)financirana s sredstvi Evropske unije, v </w:t>
      </w:r>
      <w:r w:rsidR="00D126AA" w:rsidRPr="00C57579">
        <w:rPr>
          <w:rFonts w:ascii="Arial" w:hAnsi="Arial" w:cs="Arial"/>
          <w:color w:val="000000" w:themeColor="text1"/>
          <w:sz w:val="20"/>
        </w:rPr>
        <w:t xml:space="preserve">letih </w:t>
      </w:r>
      <w:r w:rsidR="00013C26" w:rsidRPr="00C57579">
        <w:rPr>
          <w:rFonts w:ascii="Arial" w:hAnsi="Arial" w:cs="Arial"/>
          <w:color w:val="000000" w:themeColor="text1"/>
          <w:sz w:val="18"/>
        </w:rPr>
        <w:t>2012</w:t>
      </w:r>
      <w:r w:rsidR="00013C26" w:rsidRPr="00C57579">
        <w:rPr>
          <w:rFonts w:ascii="Arial" w:eastAsia="Times New Roman" w:hAnsi="Arial" w:cs="Arial"/>
          <w:color w:val="000000" w:themeColor="text1"/>
          <w:sz w:val="18"/>
          <w:szCs w:val="18"/>
          <w:lang w:eastAsia="sl-SI"/>
        </w:rPr>
        <w:sym w:font="Symbol" w:char="F02D"/>
      </w:r>
      <w:r w:rsidR="00013C26" w:rsidRPr="00C57579">
        <w:rPr>
          <w:rFonts w:ascii="Arial" w:hAnsi="Arial" w:cs="Arial"/>
          <w:color w:val="000000" w:themeColor="text1"/>
          <w:sz w:val="18"/>
        </w:rPr>
        <w:t>202</w:t>
      </w:r>
      <w:r w:rsidR="00C60447" w:rsidRPr="00C57579">
        <w:rPr>
          <w:rFonts w:ascii="Arial" w:hAnsi="Arial" w:cs="Arial"/>
          <w:color w:val="000000" w:themeColor="text1"/>
          <w:sz w:val="18"/>
        </w:rPr>
        <w:t>3</w:t>
      </w:r>
    </w:p>
    <w:tbl>
      <w:tblPr>
        <w:tblW w:w="4820" w:type="dxa"/>
        <w:jc w:val="center"/>
        <w:tblCellMar>
          <w:left w:w="70" w:type="dxa"/>
          <w:right w:w="70" w:type="dxa"/>
        </w:tblCellMar>
        <w:tblLook w:val="04A0" w:firstRow="1" w:lastRow="0" w:firstColumn="1" w:lastColumn="0" w:noHBand="0" w:noVBand="1"/>
      </w:tblPr>
      <w:tblGrid>
        <w:gridCol w:w="2620"/>
        <w:gridCol w:w="2200"/>
      </w:tblGrid>
      <w:tr w:rsidR="009A140F" w:rsidRPr="00C57579" w14:paraId="031695EB" w14:textId="77777777" w:rsidTr="00CD447F">
        <w:trPr>
          <w:trHeight w:val="255"/>
          <w:tblHeader/>
          <w:jc w:val="center"/>
        </w:trPr>
        <w:tc>
          <w:tcPr>
            <w:tcW w:w="2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C2C89" w14:textId="77777777" w:rsidR="00C37684" w:rsidRPr="00C57579" w:rsidRDefault="00C37684" w:rsidP="00C3768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Leto</w:t>
            </w:r>
          </w:p>
        </w:tc>
        <w:tc>
          <w:tcPr>
            <w:tcW w:w="22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B57357" w14:textId="02852A11" w:rsidR="00C37684" w:rsidRPr="00C57579" w:rsidRDefault="00C37684" w:rsidP="00C3768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Pogodbena vrednost</w:t>
            </w:r>
            <w:r w:rsidR="00055BE0" w:rsidRPr="00C57579">
              <w:rPr>
                <w:rFonts w:ascii="Arial" w:eastAsia="Times New Roman" w:hAnsi="Arial" w:cs="Arial"/>
                <w:color w:val="000000" w:themeColor="text1"/>
                <w:sz w:val="18"/>
                <w:szCs w:val="18"/>
                <w:lang w:eastAsia="sl-SI"/>
              </w:rPr>
              <w:t xml:space="preserve"> (v EUR)</w:t>
            </w:r>
          </w:p>
        </w:tc>
      </w:tr>
      <w:tr w:rsidR="009A140F" w:rsidRPr="00C57579" w14:paraId="670FDF45" w14:textId="77777777" w:rsidTr="001A5099">
        <w:trPr>
          <w:trHeight w:val="2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4820C86" w14:textId="77777777" w:rsidR="00C37684" w:rsidRPr="00C57579" w:rsidRDefault="00C37684" w:rsidP="00C3768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2012</w:t>
            </w:r>
          </w:p>
        </w:tc>
        <w:tc>
          <w:tcPr>
            <w:tcW w:w="2200" w:type="dxa"/>
            <w:tcBorders>
              <w:top w:val="nil"/>
              <w:left w:val="nil"/>
              <w:bottom w:val="single" w:sz="4" w:space="0" w:color="auto"/>
              <w:right w:val="single" w:sz="4" w:space="0" w:color="auto"/>
            </w:tcBorders>
            <w:shd w:val="clear" w:color="auto" w:fill="auto"/>
            <w:noWrap/>
            <w:vAlign w:val="center"/>
            <w:hideMark/>
          </w:tcPr>
          <w:p w14:paraId="5C273457" w14:textId="77777777" w:rsidR="00C37684" w:rsidRPr="00C57579" w:rsidRDefault="00C37684" w:rsidP="00C37684">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633.505.237</w:t>
            </w:r>
          </w:p>
        </w:tc>
      </w:tr>
      <w:tr w:rsidR="009A140F" w:rsidRPr="00C57579" w14:paraId="010ED150" w14:textId="77777777" w:rsidTr="001A5099">
        <w:trPr>
          <w:trHeight w:val="2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6F548F5" w14:textId="77777777" w:rsidR="00C37684" w:rsidRPr="00C57579" w:rsidRDefault="00C37684" w:rsidP="00C3768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2013</w:t>
            </w:r>
          </w:p>
        </w:tc>
        <w:tc>
          <w:tcPr>
            <w:tcW w:w="2200" w:type="dxa"/>
            <w:tcBorders>
              <w:top w:val="nil"/>
              <w:left w:val="nil"/>
              <w:bottom w:val="single" w:sz="4" w:space="0" w:color="auto"/>
              <w:right w:val="single" w:sz="4" w:space="0" w:color="auto"/>
            </w:tcBorders>
            <w:shd w:val="clear" w:color="auto" w:fill="auto"/>
            <w:noWrap/>
            <w:vAlign w:val="center"/>
            <w:hideMark/>
          </w:tcPr>
          <w:p w14:paraId="6AFCD89C" w14:textId="77777777" w:rsidR="00C37684" w:rsidRPr="00C57579" w:rsidRDefault="00C37684" w:rsidP="00C37684">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1.510.376.463</w:t>
            </w:r>
          </w:p>
        </w:tc>
      </w:tr>
      <w:tr w:rsidR="009A140F" w:rsidRPr="00C57579" w14:paraId="44F7B2C7" w14:textId="77777777" w:rsidTr="001A5099">
        <w:trPr>
          <w:trHeight w:val="2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0808843" w14:textId="77777777" w:rsidR="00C37684" w:rsidRPr="00C57579" w:rsidRDefault="00C37684" w:rsidP="00C3768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2014</w:t>
            </w:r>
          </w:p>
        </w:tc>
        <w:tc>
          <w:tcPr>
            <w:tcW w:w="2200" w:type="dxa"/>
            <w:tcBorders>
              <w:top w:val="nil"/>
              <w:left w:val="nil"/>
              <w:bottom w:val="single" w:sz="4" w:space="0" w:color="auto"/>
              <w:right w:val="single" w:sz="4" w:space="0" w:color="auto"/>
            </w:tcBorders>
            <w:shd w:val="clear" w:color="auto" w:fill="auto"/>
            <w:vAlign w:val="center"/>
            <w:hideMark/>
          </w:tcPr>
          <w:p w14:paraId="4DF82D89" w14:textId="77777777" w:rsidR="00C37684" w:rsidRPr="00C57579" w:rsidRDefault="00C37684" w:rsidP="00C37684">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621.366.346</w:t>
            </w:r>
          </w:p>
        </w:tc>
      </w:tr>
      <w:tr w:rsidR="009A140F" w:rsidRPr="00C57579" w14:paraId="75DE387A" w14:textId="77777777" w:rsidTr="001A5099">
        <w:trPr>
          <w:trHeight w:val="255"/>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D9261E5" w14:textId="77777777" w:rsidR="00C37684" w:rsidRPr="00C57579" w:rsidRDefault="00C37684" w:rsidP="00C3768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2015</w:t>
            </w:r>
          </w:p>
        </w:tc>
        <w:tc>
          <w:tcPr>
            <w:tcW w:w="2200" w:type="dxa"/>
            <w:tcBorders>
              <w:top w:val="nil"/>
              <w:left w:val="nil"/>
              <w:bottom w:val="single" w:sz="4" w:space="0" w:color="auto"/>
              <w:right w:val="single" w:sz="4" w:space="0" w:color="auto"/>
            </w:tcBorders>
            <w:shd w:val="clear" w:color="auto" w:fill="auto"/>
            <w:vAlign w:val="center"/>
            <w:hideMark/>
          </w:tcPr>
          <w:p w14:paraId="23C273B9" w14:textId="77777777" w:rsidR="00C37684" w:rsidRPr="00C57579" w:rsidRDefault="00C37684" w:rsidP="00C37684">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270.467.037</w:t>
            </w:r>
          </w:p>
        </w:tc>
      </w:tr>
      <w:tr w:rsidR="009A140F" w:rsidRPr="00C57579" w14:paraId="5C3BC2BC"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989F8" w14:textId="77777777" w:rsidR="00C37684" w:rsidRPr="00C57579" w:rsidRDefault="00C37684" w:rsidP="00C3768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2016</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99ECD6D" w14:textId="77777777" w:rsidR="00C37684" w:rsidRPr="00C57579" w:rsidRDefault="00C37684" w:rsidP="00C37684">
            <w:pPr>
              <w:spacing w:after="0" w:line="240" w:lineRule="auto"/>
              <w:jc w:val="right"/>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132.491.958</w:t>
            </w:r>
          </w:p>
        </w:tc>
      </w:tr>
      <w:tr w:rsidR="009A140F" w:rsidRPr="00C57579" w14:paraId="2F929590"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7FBCF12" w14:textId="507CAC93" w:rsidR="000C19F4" w:rsidRPr="00C57579" w:rsidRDefault="000C19F4" w:rsidP="000C19F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2017</w:t>
            </w:r>
          </w:p>
        </w:tc>
        <w:tc>
          <w:tcPr>
            <w:tcW w:w="2200" w:type="dxa"/>
            <w:tcBorders>
              <w:top w:val="single" w:sz="4" w:space="0" w:color="auto"/>
              <w:left w:val="nil"/>
              <w:bottom w:val="single" w:sz="4" w:space="0" w:color="auto"/>
              <w:right w:val="single" w:sz="4" w:space="0" w:color="auto"/>
            </w:tcBorders>
            <w:shd w:val="clear" w:color="auto" w:fill="auto"/>
            <w:vAlign w:val="center"/>
          </w:tcPr>
          <w:p w14:paraId="7243D6C1" w14:textId="39A14791" w:rsidR="000C19F4" w:rsidRPr="00C57579" w:rsidRDefault="000C19F4" w:rsidP="000C19F4">
            <w:pPr>
              <w:spacing w:after="0" w:line="240" w:lineRule="auto"/>
              <w:jc w:val="right"/>
              <w:rPr>
                <w:rFonts w:ascii="Arial" w:eastAsia="Times New Roman" w:hAnsi="Arial" w:cs="Arial"/>
                <w:color w:val="000000" w:themeColor="text1"/>
                <w:sz w:val="18"/>
                <w:szCs w:val="18"/>
                <w:lang w:eastAsia="sl-SI"/>
              </w:rPr>
            </w:pPr>
            <w:r w:rsidRPr="00C57579">
              <w:rPr>
                <w:rFonts w:ascii="Arial" w:hAnsi="Arial" w:cs="Arial"/>
                <w:color w:val="000000" w:themeColor="text1"/>
                <w:sz w:val="18"/>
                <w:szCs w:val="18"/>
              </w:rPr>
              <w:t>238.429.978</w:t>
            </w:r>
          </w:p>
        </w:tc>
      </w:tr>
      <w:tr w:rsidR="009A140F" w:rsidRPr="00C57579" w14:paraId="6B174003"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EFE391F" w14:textId="60D26D0B" w:rsidR="009F5906" w:rsidRPr="00C57579" w:rsidRDefault="009F5906" w:rsidP="000C19F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2018</w:t>
            </w:r>
          </w:p>
        </w:tc>
        <w:tc>
          <w:tcPr>
            <w:tcW w:w="2200" w:type="dxa"/>
            <w:tcBorders>
              <w:top w:val="single" w:sz="4" w:space="0" w:color="auto"/>
              <w:left w:val="nil"/>
              <w:bottom w:val="single" w:sz="4" w:space="0" w:color="auto"/>
              <w:right w:val="single" w:sz="4" w:space="0" w:color="auto"/>
            </w:tcBorders>
            <w:shd w:val="clear" w:color="auto" w:fill="auto"/>
            <w:vAlign w:val="center"/>
          </w:tcPr>
          <w:p w14:paraId="29E25658" w14:textId="7C2B798A" w:rsidR="009F5906" w:rsidRPr="00C57579" w:rsidRDefault="009F5906" w:rsidP="000C19F4">
            <w:pPr>
              <w:spacing w:after="0" w:line="240" w:lineRule="auto"/>
              <w:jc w:val="right"/>
              <w:rPr>
                <w:rFonts w:ascii="Arial" w:hAnsi="Arial" w:cs="Arial"/>
                <w:color w:val="000000" w:themeColor="text1"/>
                <w:sz w:val="18"/>
                <w:szCs w:val="18"/>
              </w:rPr>
            </w:pPr>
            <w:r w:rsidRPr="00C57579">
              <w:rPr>
                <w:rFonts w:ascii="Arial" w:hAnsi="Arial" w:cs="Arial"/>
                <w:color w:val="000000" w:themeColor="text1"/>
                <w:sz w:val="18"/>
                <w:szCs w:val="18"/>
                <w:lang w:eastAsia="sl-SI"/>
              </w:rPr>
              <w:t>354.663.683</w:t>
            </w:r>
          </w:p>
        </w:tc>
      </w:tr>
      <w:tr w:rsidR="009A140F" w:rsidRPr="00C57579" w14:paraId="662AB4E1"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45D5699" w14:textId="4B244724" w:rsidR="003D1A6A" w:rsidRPr="00C57579" w:rsidRDefault="003D1A6A" w:rsidP="000C19F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2019</w:t>
            </w:r>
          </w:p>
        </w:tc>
        <w:tc>
          <w:tcPr>
            <w:tcW w:w="2200" w:type="dxa"/>
            <w:tcBorders>
              <w:top w:val="single" w:sz="4" w:space="0" w:color="auto"/>
              <w:left w:val="nil"/>
              <w:bottom w:val="single" w:sz="4" w:space="0" w:color="auto"/>
              <w:right w:val="single" w:sz="4" w:space="0" w:color="auto"/>
            </w:tcBorders>
            <w:shd w:val="clear" w:color="auto" w:fill="auto"/>
            <w:vAlign w:val="center"/>
          </w:tcPr>
          <w:p w14:paraId="2BD003B3" w14:textId="08EBEB52" w:rsidR="003D1A6A" w:rsidRPr="00C57579" w:rsidRDefault="003D1A6A" w:rsidP="000C19F4">
            <w:pPr>
              <w:spacing w:after="0" w:line="240" w:lineRule="auto"/>
              <w:jc w:val="right"/>
              <w:rPr>
                <w:rFonts w:ascii="Arial" w:hAnsi="Arial" w:cs="Arial"/>
                <w:color w:val="000000" w:themeColor="text1"/>
                <w:sz w:val="18"/>
                <w:szCs w:val="18"/>
                <w:lang w:eastAsia="sl-SI"/>
              </w:rPr>
            </w:pPr>
            <w:r w:rsidRPr="00C57579">
              <w:rPr>
                <w:rFonts w:ascii="Arial" w:hAnsi="Arial" w:cs="Arial"/>
                <w:color w:val="000000" w:themeColor="text1"/>
                <w:sz w:val="18"/>
                <w:szCs w:val="18"/>
                <w:lang w:eastAsia="sl-SI"/>
              </w:rPr>
              <w:t>568.378.373</w:t>
            </w:r>
          </w:p>
        </w:tc>
      </w:tr>
      <w:tr w:rsidR="009A140F" w:rsidRPr="00C57579" w14:paraId="1E3366E5"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0378ECA" w14:textId="2786B1CF" w:rsidR="00C33EE6" w:rsidRPr="00C57579" w:rsidRDefault="00C33EE6" w:rsidP="000C19F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2020</w:t>
            </w:r>
          </w:p>
        </w:tc>
        <w:tc>
          <w:tcPr>
            <w:tcW w:w="2200" w:type="dxa"/>
            <w:tcBorders>
              <w:top w:val="single" w:sz="4" w:space="0" w:color="auto"/>
              <w:left w:val="nil"/>
              <w:bottom w:val="single" w:sz="4" w:space="0" w:color="auto"/>
              <w:right w:val="single" w:sz="4" w:space="0" w:color="auto"/>
            </w:tcBorders>
            <w:shd w:val="clear" w:color="auto" w:fill="auto"/>
            <w:vAlign w:val="center"/>
          </w:tcPr>
          <w:p w14:paraId="0E6D9D2C" w14:textId="54D189B6" w:rsidR="00C33EE6" w:rsidRPr="00C57579" w:rsidRDefault="00C33EE6" w:rsidP="000C19F4">
            <w:pPr>
              <w:spacing w:after="0" w:line="240" w:lineRule="auto"/>
              <w:jc w:val="right"/>
              <w:rPr>
                <w:rFonts w:ascii="Arial" w:hAnsi="Arial" w:cs="Arial"/>
                <w:color w:val="000000" w:themeColor="text1"/>
                <w:sz w:val="18"/>
                <w:szCs w:val="18"/>
                <w:lang w:eastAsia="sl-SI"/>
              </w:rPr>
            </w:pPr>
            <w:r w:rsidRPr="00C57579">
              <w:rPr>
                <w:rFonts w:ascii="Arial" w:hAnsi="Arial" w:cs="Arial"/>
                <w:color w:val="000000" w:themeColor="text1"/>
                <w:sz w:val="18"/>
                <w:szCs w:val="18"/>
                <w:lang w:eastAsia="sl-SI"/>
              </w:rPr>
              <w:t>573.256.737</w:t>
            </w:r>
          </w:p>
        </w:tc>
      </w:tr>
      <w:tr w:rsidR="009A140F" w:rsidRPr="00C57579" w14:paraId="6B476EF1"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36CF91F" w14:textId="3F35821F" w:rsidR="00562D70" w:rsidRPr="00C57579" w:rsidRDefault="00562D70" w:rsidP="000C19F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2021</w:t>
            </w:r>
          </w:p>
        </w:tc>
        <w:tc>
          <w:tcPr>
            <w:tcW w:w="2200" w:type="dxa"/>
            <w:tcBorders>
              <w:top w:val="single" w:sz="4" w:space="0" w:color="auto"/>
              <w:left w:val="nil"/>
              <w:bottom w:val="single" w:sz="4" w:space="0" w:color="auto"/>
              <w:right w:val="single" w:sz="4" w:space="0" w:color="auto"/>
            </w:tcBorders>
            <w:shd w:val="clear" w:color="auto" w:fill="auto"/>
            <w:vAlign w:val="center"/>
          </w:tcPr>
          <w:p w14:paraId="369E203C" w14:textId="7ED439F6" w:rsidR="00562D70" w:rsidRPr="00C57579" w:rsidRDefault="00562D70" w:rsidP="000C19F4">
            <w:pPr>
              <w:spacing w:after="0" w:line="240" w:lineRule="auto"/>
              <w:jc w:val="right"/>
              <w:rPr>
                <w:rFonts w:ascii="Arial" w:hAnsi="Arial" w:cs="Arial"/>
                <w:color w:val="000000" w:themeColor="text1"/>
                <w:sz w:val="18"/>
                <w:szCs w:val="18"/>
                <w:lang w:eastAsia="sl-SI"/>
              </w:rPr>
            </w:pPr>
            <w:r w:rsidRPr="00C57579">
              <w:rPr>
                <w:rFonts w:ascii="Arial" w:hAnsi="Arial" w:cs="Arial"/>
                <w:color w:val="000000" w:themeColor="text1"/>
                <w:sz w:val="18"/>
                <w:szCs w:val="18"/>
                <w:lang w:eastAsia="sl-SI"/>
              </w:rPr>
              <w:t>1.474.851.478</w:t>
            </w:r>
          </w:p>
        </w:tc>
      </w:tr>
      <w:tr w:rsidR="009A140F" w:rsidRPr="00C57579" w14:paraId="53680F27"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077948D9" w14:textId="638218E5" w:rsidR="003E400A" w:rsidRPr="00C57579" w:rsidRDefault="003E400A" w:rsidP="000C19F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2022</w:t>
            </w:r>
          </w:p>
        </w:tc>
        <w:tc>
          <w:tcPr>
            <w:tcW w:w="2200" w:type="dxa"/>
            <w:tcBorders>
              <w:top w:val="single" w:sz="4" w:space="0" w:color="auto"/>
              <w:left w:val="nil"/>
              <w:bottom w:val="single" w:sz="4" w:space="0" w:color="auto"/>
              <w:right w:val="single" w:sz="4" w:space="0" w:color="auto"/>
            </w:tcBorders>
            <w:shd w:val="clear" w:color="auto" w:fill="auto"/>
            <w:vAlign w:val="center"/>
          </w:tcPr>
          <w:p w14:paraId="52EC6EEB" w14:textId="57AF1B23" w:rsidR="003E400A" w:rsidRPr="00C57579" w:rsidRDefault="003E400A" w:rsidP="000C19F4">
            <w:pPr>
              <w:spacing w:after="0" w:line="240" w:lineRule="auto"/>
              <w:jc w:val="right"/>
              <w:rPr>
                <w:rFonts w:ascii="Arial" w:hAnsi="Arial" w:cs="Arial"/>
                <w:color w:val="000000" w:themeColor="text1"/>
                <w:sz w:val="18"/>
                <w:szCs w:val="18"/>
                <w:lang w:eastAsia="sl-SI"/>
              </w:rPr>
            </w:pPr>
            <w:r w:rsidRPr="00C57579">
              <w:rPr>
                <w:rFonts w:ascii="Arial" w:hAnsi="Arial" w:cs="Arial"/>
                <w:color w:val="000000" w:themeColor="text1"/>
                <w:sz w:val="18"/>
                <w:szCs w:val="18"/>
                <w:lang w:eastAsia="sl-SI"/>
              </w:rPr>
              <w:t>711.711.015</w:t>
            </w:r>
          </w:p>
        </w:tc>
      </w:tr>
      <w:tr w:rsidR="00C60447" w:rsidRPr="00C57579" w14:paraId="3C6BD570" w14:textId="77777777" w:rsidTr="001A5099">
        <w:trPr>
          <w:trHeight w:val="255"/>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0A1F5BC" w14:textId="73E34A1A" w:rsidR="00C60447" w:rsidRPr="00C57579" w:rsidRDefault="00C60447" w:rsidP="000C19F4">
            <w:pPr>
              <w:spacing w:after="0" w:line="240" w:lineRule="auto"/>
              <w:jc w:val="center"/>
              <w:rPr>
                <w:rFonts w:ascii="Arial" w:eastAsia="Times New Roman" w:hAnsi="Arial" w:cs="Arial"/>
                <w:color w:val="000000" w:themeColor="text1"/>
                <w:sz w:val="18"/>
                <w:szCs w:val="18"/>
                <w:lang w:eastAsia="sl-SI"/>
              </w:rPr>
            </w:pPr>
            <w:r w:rsidRPr="00C57579">
              <w:rPr>
                <w:rFonts w:ascii="Arial" w:eastAsia="Times New Roman" w:hAnsi="Arial" w:cs="Arial"/>
                <w:color w:val="000000" w:themeColor="text1"/>
                <w:sz w:val="18"/>
                <w:szCs w:val="18"/>
                <w:lang w:eastAsia="sl-SI"/>
              </w:rPr>
              <w:t>2023</w:t>
            </w:r>
          </w:p>
        </w:tc>
        <w:tc>
          <w:tcPr>
            <w:tcW w:w="2200" w:type="dxa"/>
            <w:tcBorders>
              <w:top w:val="single" w:sz="4" w:space="0" w:color="auto"/>
              <w:left w:val="nil"/>
              <w:bottom w:val="single" w:sz="4" w:space="0" w:color="auto"/>
              <w:right w:val="single" w:sz="4" w:space="0" w:color="auto"/>
            </w:tcBorders>
            <w:shd w:val="clear" w:color="auto" w:fill="auto"/>
            <w:vAlign w:val="center"/>
          </w:tcPr>
          <w:p w14:paraId="705D0A94" w14:textId="571C8D57" w:rsidR="00C60447" w:rsidRPr="00C57579" w:rsidRDefault="00C57579" w:rsidP="000C19F4">
            <w:pPr>
              <w:spacing w:after="0" w:line="240" w:lineRule="auto"/>
              <w:jc w:val="right"/>
              <w:rPr>
                <w:rFonts w:ascii="Arial" w:hAnsi="Arial" w:cs="Arial"/>
                <w:color w:val="000000" w:themeColor="text1"/>
                <w:sz w:val="18"/>
                <w:szCs w:val="18"/>
                <w:lang w:eastAsia="sl-SI"/>
              </w:rPr>
            </w:pPr>
            <w:r w:rsidRPr="00C57579">
              <w:rPr>
                <w:rFonts w:ascii="Arial" w:hAnsi="Arial" w:cs="Arial"/>
                <w:color w:val="000000" w:themeColor="text1"/>
                <w:sz w:val="18"/>
                <w:szCs w:val="18"/>
                <w:lang w:eastAsia="sl-SI"/>
              </w:rPr>
              <w:t>896.382.126</w:t>
            </w:r>
          </w:p>
        </w:tc>
      </w:tr>
    </w:tbl>
    <w:p w14:paraId="5FBFBE33" w14:textId="77777777" w:rsidR="004A613D" w:rsidRPr="00C57579" w:rsidRDefault="004A613D" w:rsidP="004A613D">
      <w:pPr>
        <w:spacing w:after="0" w:line="240" w:lineRule="auto"/>
        <w:jc w:val="center"/>
        <w:rPr>
          <w:rFonts w:ascii="Arial" w:hAnsi="Arial" w:cs="Arial"/>
          <w:color w:val="000000" w:themeColor="text1"/>
          <w:sz w:val="18"/>
        </w:rPr>
      </w:pPr>
    </w:p>
    <w:p w14:paraId="358CC245" w14:textId="7C492DE2" w:rsidR="004A613D" w:rsidRPr="00C57579" w:rsidRDefault="00C37684" w:rsidP="00EF4A55">
      <w:pPr>
        <w:spacing w:after="120" w:line="240" w:lineRule="auto"/>
        <w:jc w:val="center"/>
        <w:rPr>
          <w:rFonts w:ascii="Arial" w:hAnsi="Arial" w:cs="Arial"/>
          <w:color w:val="000000" w:themeColor="text1"/>
          <w:sz w:val="18"/>
        </w:rPr>
      </w:pPr>
      <w:r w:rsidRPr="00C57579">
        <w:rPr>
          <w:rFonts w:ascii="Arial" w:hAnsi="Arial" w:cs="Arial"/>
          <w:color w:val="000000" w:themeColor="text1"/>
          <w:sz w:val="18"/>
        </w:rPr>
        <w:t xml:space="preserve">Vir: Statistični podatki o javnih naročilih, oddanih v </w:t>
      </w:r>
      <w:r w:rsidR="000C19F4" w:rsidRPr="00C57579">
        <w:rPr>
          <w:rFonts w:ascii="Arial" w:hAnsi="Arial" w:cs="Arial"/>
          <w:color w:val="000000" w:themeColor="text1"/>
          <w:sz w:val="18"/>
        </w:rPr>
        <w:t>letih 2012</w:t>
      </w:r>
      <w:r w:rsidR="002B74A3" w:rsidRPr="00C57579">
        <w:rPr>
          <w:rFonts w:ascii="Arial" w:eastAsia="Times New Roman" w:hAnsi="Arial" w:cs="Arial"/>
          <w:color w:val="000000" w:themeColor="text1"/>
          <w:sz w:val="18"/>
          <w:szCs w:val="18"/>
          <w:lang w:eastAsia="sl-SI"/>
        </w:rPr>
        <w:sym w:font="Symbol" w:char="F02D"/>
      </w:r>
      <w:r w:rsidR="000C19F4" w:rsidRPr="00C57579">
        <w:rPr>
          <w:rFonts w:ascii="Arial" w:hAnsi="Arial" w:cs="Arial"/>
          <w:color w:val="000000" w:themeColor="text1"/>
          <w:sz w:val="18"/>
        </w:rPr>
        <w:t>20</w:t>
      </w:r>
      <w:r w:rsidR="00C33EE6" w:rsidRPr="00C57579">
        <w:rPr>
          <w:rFonts w:ascii="Arial" w:hAnsi="Arial" w:cs="Arial"/>
          <w:color w:val="000000" w:themeColor="text1"/>
          <w:sz w:val="18"/>
        </w:rPr>
        <w:t>2</w:t>
      </w:r>
      <w:r w:rsidR="00C60447" w:rsidRPr="00C57579">
        <w:rPr>
          <w:rFonts w:ascii="Arial" w:hAnsi="Arial" w:cs="Arial"/>
          <w:color w:val="000000" w:themeColor="text1"/>
          <w:sz w:val="18"/>
        </w:rPr>
        <w:t>3</w:t>
      </w:r>
      <w:r w:rsidR="00427811" w:rsidRPr="00C57579">
        <w:rPr>
          <w:rFonts w:ascii="Arial" w:hAnsi="Arial" w:cs="Arial"/>
          <w:color w:val="000000" w:themeColor="text1"/>
          <w:sz w:val="18"/>
        </w:rPr>
        <w:t>.</w:t>
      </w:r>
    </w:p>
    <w:p w14:paraId="3BB4DA5B" w14:textId="77777777" w:rsidR="004E33EF" w:rsidRPr="009431B4" w:rsidRDefault="004E33EF" w:rsidP="004A613D">
      <w:pPr>
        <w:spacing w:after="0" w:line="240" w:lineRule="auto"/>
        <w:jc w:val="center"/>
        <w:rPr>
          <w:rFonts w:ascii="Arial" w:hAnsi="Arial" w:cs="Arial"/>
          <w:color w:val="FF0000"/>
          <w:sz w:val="18"/>
        </w:rPr>
      </w:pPr>
    </w:p>
    <w:p w14:paraId="4C97B8D1" w14:textId="40064965" w:rsidR="00806D8E" w:rsidRPr="009431B4" w:rsidRDefault="00806D8E" w:rsidP="00281C56">
      <w:pPr>
        <w:pStyle w:val="Naslov2"/>
        <w:rPr>
          <w:szCs w:val="20"/>
        </w:rPr>
      </w:pPr>
      <w:bookmarkStart w:id="47" w:name="_Toc175563876"/>
      <w:r w:rsidRPr="009431B4">
        <w:t>2.</w:t>
      </w:r>
      <w:r w:rsidR="00FA2740" w:rsidRPr="009431B4">
        <w:t>9</w:t>
      </w:r>
      <w:r w:rsidRPr="009431B4">
        <w:t xml:space="preserve"> </w:t>
      </w:r>
      <w:r w:rsidR="00731C4D" w:rsidRPr="009431B4">
        <w:t xml:space="preserve">Zeleno in </w:t>
      </w:r>
      <w:r w:rsidRPr="009431B4">
        <w:t xml:space="preserve">družbeno odgovorno </w:t>
      </w:r>
      <w:r w:rsidR="00731C4D" w:rsidRPr="009431B4">
        <w:t xml:space="preserve">javno </w:t>
      </w:r>
      <w:r w:rsidRPr="009431B4">
        <w:t>naročanje</w:t>
      </w:r>
      <w:bookmarkEnd w:id="47"/>
    </w:p>
    <w:p w14:paraId="739A19B7" w14:textId="77777777" w:rsidR="00B905EB" w:rsidRPr="009431B4" w:rsidRDefault="00B905EB" w:rsidP="00854405">
      <w:pPr>
        <w:pStyle w:val="ZADEVA"/>
        <w:jc w:val="both"/>
        <w:rPr>
          <w:rFonts w:cs="Arial"/>
          <w:b w:val="0"/>
          <w:color w:val="000000" w:themeColor="text1"/>
          <w:szCs w:val="20"/>
          <w:lang w:val="sl-SI"/>
        </w:rPr>
      </w:pPr>
    </w:p>
    <w:p w14:paraId="26737AF5" w14:textId="2680529E" w:rsidR="00575CFA" w:rsidRPr="009431B4" w:rsidRDefault="00575CFA" w:rsidP="00281C56">
      <w:pPr>
        <w:pStyle w:val="Naslov3"/>
        <w:rPr>
          <w:szCs w:val="20"/>
        </w:rPr>
      </w:pPr>
      <w:bookmarkStart w:id="48" w:name="_Toc175563877"/>
      <w:r w:rsidRPr="009431B4">
        <w:t>2.</w:t>
      </w:r>
      <w:r w:rsidR="00FA2740" w:rsidRPr="009431B4">
        <w:t>9</w:t>
      </w:r>
      <w:r w:rsidR="00731C4D" w:rsidRPr="009431B4">
        <w:t>.1</w:t>
      </w:r>
      <w:r w:rsidRPr="009431B4">
        <w:t xml:space="preserve"> Zeleno javno naročanje</w:t>
      </w:r>
      <w:bookmarkEnd w:id="48"/>
    </w:p>
    <w:p w14:paraId="3740D103" w14:textId="77777777" w:rsidR="00806D8E" w:rsidRPr="009431B4" w:rsidRDefault="00806D8E" w:rsidP="00854405">
      <w:pPr>
        <w:pStyle w:val="ZADEVA"/>
        <w:jc w:val="both"/>
        <w:rPr>
          <w:rFonts w:cs="Arial"/>
          <w:b w:val="0"/>
          <w:color w:val="000000" w:themeColor="text1"/>
          <w:szCs w:val="20"/>
          <w:lang w:val="sl-SI"/>
        </w:rPr>
      </w:pPr>
    </w:p>
    <w:p w14:paraId="7EA41C9F" w14:textId="5BB653D6" w:rsidR="00F742E4" w:rsidRPr="009431B4" w:rsidRDefault="00F742E4" w:rsidP="00F742E4">
      <w:pPr>
        <w:spacing w:line="360" w:lineRule="auto"/>
        <w:jc w:val="both"/>
        <w:rPr>
          <w:rFonts w:ascii="Arial" w:hAnsi="Arial" w:cs="Arial"/>
          <w:color w:val="000000" w:themeColor="text1"/>
          <w:sz w:val="20"/>
          <w:szCs w:val="20"/>
          <w:lang w:eastAsia="sl-SI"/>
        </w:rPr>
      </w:pPr>
      <w:r w:rsidRPr="009431B4">
        <w:rPr>
          <w:rFonts w:ascii="Arial" w:hAnsi="Arial" w:cs="Arial"/>
          <w:color w:val="000000" w:themeColor="text1"/>
          <w:sz w:val="20"/>
          <w:szCs w:val="20"/>
          <w:lang w:eastAsia="sl-SI"/>
        </w:rPr>
        <w:t xml:space="preserve">Zeleno javno naročanje je naročanje, pri katerem naročnik po ZJN-3 naroča blago, storitve ali gradnje, ki imajo v primerjavi z običajnim blagom, storitvami in gradnjami v celotnem obdobju njihovega trajanja manjši vpliv na okolje </w:t>
      </w:r>
      <w:r w:rsidR="00427811" w:rsidRPr="009431B4">
        <w:rPr>
          <w:rFonts w:ascii="Arial" w:hAnsi="Arial" w:cs="Arial"/>
          <w:color w:val="000000" w:themeColor="text1"/>
          <w:sz w:val="20"/>
          <w:szCs w:val="20"/>
          <w:lang w:eastAsia="sl-SI"/>
        </w:rPr>
        <w:t xml:space="preserve">ter </w:t>
      </w:r>
      <w:r w:rsidRPr="009431B4">
        <w:rPr>
          <w:rFonts w:ascii="Arial" w:hAnsi="Arial" w:cs="Arial"/>
          <w:color w:val="000000" w:themeColor="text1"/>
          <w:sz w:val="20"/>
          <w:szCs w:val="20"/>
          <w:lang w:eastAsia="sl-SI"/>
        </w:rPr>
        <w:t>enako ali boljšo funkcionalnost. Uredba o zelenem javnem naročanju (</w:t>
      </w:r>
      <w:r w:rsidR="003E36C9" w:rsidRPr="009431B4">
        <w:rPr>
          <w:rStyle w:val="ui-provider"/>
          <w:rFonts w:ascii="Arial" w:hAnsi="Arial" w:cs="Arial"/>
          <w:sz w:val="20"/>
          <w:szCs w:val="20"/>
        </w:rPr>
        <w:t>Uradni list RS, št. 51/17, 64/19, 121/21 in 132/23</w:t>
      </w:r>
      <w:r w:rsidRPr="009431B4">
        <w:rPr>
          <w:rFonts w:ascii="Arial" w:hAnsi="Arial" w:cs="Arial"/>
          <w:color w:val="000000" w:themeColor="text1"/>
          <w:sz w:val="20"/>
          <w:szCs w:val="20"/>
          <w:lang w:eastAsia="sl-SI"/>
        </w:rPr>
        <w:t xml:space="preserve">; </w:t>
      </w:r>
      <w:r w:rsidR="00601649" w:rsidRPr="009431B4">
        <w:rPr>
          <w:rFonts w:ascii="Arial" w:hAnsi="Arial" w:cs="Arial"/>
          <w:color w:val="000000" w:themeColor="text1"/>
          <w:sz w:val="20"/>
          <w:szCs w:val="20"/>
          <w:lang w:eastAsia="sl-SI"/>
        </w:rPr>
        <w:t xml:space="preserve">v nadaljnjem besedilu: </w:t>
      </w:r>
      <w:r w:rsidR="002762BE">
        <w:rPr>
          <w:rFonts w:ascii="Arial" w:hAnsi="Arial" w:cs="Arial"/>
          <w:color w:val="000000" w:themeColor="text1"/>
          <w:sz w:val="20"/>
          <w:szCs w:val="20"/>
          <w:lang w:eastAsia="sl-SI"/>
        </w:rPr>
        <w:t>u</w:t>
      </w:r>
      <w:r w:rsidRPr="009431B4">
        <w:rPr>
          <w:rFonts w:ascii="Arial" w:hAnsi="Arial" w:cs="Arial"/>
          <w:color w:val="000000" w:themeColor="text1"/>
          <w:sz w:val="20"/>
          <w:szCs w:val="20"/>
          <w:lang w:eastAsia="sl-SI"/>
        </w:rPr>
        <w:t xml:space="preserve">redba o </w:t>
      </w:r>
      <w:proofErr w:type="spellStart"/>
      <w:r w:rsidRPr="009431B4">
        <w:rPr>
          <w:rFonts w:ascii="Arial" w:hAnsi="Arial" w:cs="Arial"/>
          <w:color w:val="000000" w:themeColor="text1"/>
          <w:sz w:val="20"/>
          <w:szCs w:val="20"/>
          <w:lang w:eastAsia="sl-SI"/>
        </w:rPr>
        <w:t>ZeJN</w:t>
      </w:r>
      <w:proofErr w:type="spellEnd"/>
      <w:r w:rsidRPr="009431B4">
        <w:rPr>
          <w:rFonts w:ascii="Arial" w:hAnsi="Arial" w:cs="Arial"/>
          <w:color w:val="000000" w:themeColor="text1"/>
          <w:sz w:val="20"/>
          <w:szCs w:val="20"/>
          <w:lang w:eastAsia="sl-SI"/>
        </w:rPr>
        <w:t>) določa 2</w:t>
      </w:r>
      <w:r w:rsidR="00B90937" w:rsidRPr="009431B4">
        <w:rPr>
          <w:rFonts w:ascii="Arial" w:hAnsi="Arial" w:cs="Arial"/>
          <w:color w:val="000000" w:themeColor="text1"/>
          <w:sz w:val="20"/>
          <w:szCs w:val="20"/>
          <w:lang w:eastAsia="sl-SI"/>
        </w:rPr>
        <w:t>2</w:t>
      </w:r>
      <w:r w:rsidRPr="009431B4">
        <w:rPr>
          <w:rFonts w:ascii="Arial" w:hAnsi="Arial" w:cs="Arial"/>
          <w:color w:val="000000" w:themeColor="text1"/>
          <w:sz w:val="20"/>
          <w:szCs w:val="20"/>
          <w:lang w:eastAsia="sl-SI"/>
        </w:rPr>
        <w:t xml:space="preserve"> predmetov zelenega javnega naročanja, pri katerih je zeleno javno naročanje obvezno. Uredba o </w:t>
      </w:r>
      <w:proofErr w:type="spellStart"/>
      <w:r w:rsidRPr="009431B4">
        <w:rPr>
          <w:rFonts w:ascii="Arial" w:hAnsi="Arial" w:cs="Arial"/>
          <w:color w:val="000000" w:themeColor="text1"/>
          <w:sz w:val="20"/>
          <w:szCs w:val="20"/>
          <w:lang w:eastAsia="sl-SI"/>
        </w:rPr>
        <w:t>ZeJN</w:t>
      </w:r>
      <w:proofErr w:type="spellEnd"/>
      <w:r w:rsidRPr="009431B4">
        <w:rPr>
          <w:rFonts w:ascii="Arial" w:hAnsi="Arial" w:cs="Arial"/>
          <w:color w:val="000000" w:themeColor="text1"/>
          <w:sz w:val="20"/>
          <w:szCs w:val="20"/>
          <w:lang w:eastAsia="sl-SI"/>
        </w:rPr>
        <w:t xml:space="preserve"> določa cilje za posamezne predmete pri vsakokratni oddaji naročila, ki jih morajo naročniki izpolniti ob oddaji posameznega zelenega javnega naročila. </w:t>
      </w:r>
      <w:proofErr w:type="spellStart"/>
      <w:r w:rsidRPr="009431B4">
        <w:rPr>
          <w:rFonts w:ascii="Arial" w:hAnsi="Arial" w:cs="Arial"/>
          <w:color w:val="000000" w:themeColor="text1"/>
          <w:sz w:val="20"/>
          <w:szCs w:val="20"/>
          <w:lang w:eastAsia="sl-SI"/>
        </w:rPr>
        <w:t>Okoljske</w:t>
      </w:r>
      <w:proofErr w:type="spellEnd"/>
      <w:r w:rsidRPr="009431B4">
        <w:rPr>
          <w:rFonts w:ascii="Arial" w:hAnsi="Arial" w:cs="Arial"/>
          <w:color w:val="000000" w:themeColor="text1"/>
          <w:sz w:val="20"/>
          <w:szCs w:val="20"/>
          <w:lang w:eastAsia="sl-SI"/>
        </w:rPr>
        <w:t xml:space="preserve"> zahteve lahko naročniki v postopek javnega naročila vključijo na več načinov</w:t>
      </w:r>
      <w:r w:rsidR="00FC1B91" w:rsidRPr="009431B4">
        <w:rPr>
          <w:rFonts w:ascii="Arial" w:hAnsi="Arial" w:cs="Arial"/>
          <w:color w:val="000000" w:themeColor="text1"/>
          <w:sz w:val="20"/>
          <w:szCs w:val="20"/>
          <w:lang w:eastAsia="sl-SI"/>
        </w:rPr>
        <w:t>:</w:t>
      </w:r>
      <w:r w:rsidRPr="009431B4">
        <w:rPr>
          <w:rFonts w:ascii="Arial" w:hAnsi="Arial" w:cs="Arial"/>
          <w:color w:val="000000" w:themeColor="text1"/>
          <w:sz w:val="20"/>
          <w:szCs w:val="20"/>
          <w:lang w:eastAsia="sl-SI"/>
        </w:rPr>
        <w:t xml:space="preserve"> kot tehnične specifikacije, razlog za izključitev, pogoj za sodelovanje, merilo za oddajo javnega naročila ali </w:t>
      </w:r>
      <w:r w:rsidR="00FC1B91" w:rsidRPr="009431B4">
        <w:rPr>
          <w:rFonts w:ascii="Arial" w:hAnsi="Arial" w:cs="Arial"/>
          <w:color w:val="000000" w:themeColor="text1"/>
          <w:sz w:val="20"/>
          <w:szCs w:val="20"/>
          <w:lang w:eastAsia="sl-SI"/>
        </w:rPr>
        <w:t xml:space="preserve">kot </w:t>
      </w:r>
      <w:r w:rsidRPr="009431B4">
        <w:rPr>
          <w:rFonts w:ascii="Arial" w:hAnsi="Arial" w:cs="Arial"/>
          <w:color w:val="000000" w:themeColor="text1"/>
          <w:sz w:val="20"/>
          <w:szCs w:val="20"/>
          <w:lang w:eastAsia="sl-SI"/>
        </w:rPr>
        <w:t xml:space="preserve">posebno pogodbeno določilo. Naročniki </w:t>
      </w:r>
      <w:r w:rsidR="00A22784" w:rsidRPr="009431B4">
        <w:rPr>
          <w:rFonts w:ascii="Arial" w:hAnsi="Arial" w:cs="Arial"/>
          <w:color w:val="000000" w:themeColor="text1"/>
          <w:sz w:val="20"/>
          <w:szCs w:val="20"/>
          <w:lang w:eastAsia="sl-SI"/>
        </w:rPr>
        <w:t xml:space="preserve">lahko </w:t>
      </w:r>
      <w:r w:rsidRPr="009431B4">
        <w:rPr>
          <w:rFonts w:ascii="Arial" w:hAnsi="Arial" w:cs="Arial"/>
          <w:color w:val="000000" w:themeColor="text1"/>
          <w:sz w:val="20"/>
          <w:szCs w:val="20"/>
          <w:lang w:eastAsia="sl-SI"/>
        </w:rPr>
        <w:t xml:space="preserve">pri posameznem naročilu </w:t>
      </w:r>
      <w:proofErr w:type="spellStart"/>
      <w:r w:rsidRPr="009431B4">
        <w:rPr>
          <w:rFonts w:ascii="Arial" w:hAnsi="Arial" w:cs="Arial"/>
          <w:color w:val="000000" w:themeColor="text1"/>
          <w:sz w:val="20"/>
          <w:szCs w:val="20"/>
          <w:lang w:eastAsia="sl-SI"/>
        </w:rPr>
        <w:t>okoljske</w:t>
      </w:r>
      <w:proofErr w:type="spellEnd"/>
      <w:r w:rsidRPr="009431B4">
        <w:rPr>
          <w:rFonts w:ascii="Arial" w:hAnsi="Arial" w:cs="Arial"/>
          <w:color w:val="000000" w:themeColor="text1"/>
          <w:sz w:val="20"/>
          <w:szCs w:val="20"/>
          <w:lang w:eastAsia="sl-SI"/>
        </w:rPr>
        <w:t xml:space="preserve"> zahteve vključijo na navedeni način ali </w:t>
      </w:r>
      <w:r w:rsidR="00FC1B91" w:rsidRPr="009431B4">
        <w:rPr>
          <w:rFonts w:ascii="Arial" w:hAnsi="Arial" w:cs="Arial"/>
          <w:color w:val="000000" w:themeColor="text1"/>
          <w:sz w:val="20"/>
          <w:szCs w:val="20"/>
          <w:lang w:eastAsia="sl-SI"/>
        </w:rPr>
        <w:t xml:space="preserve">na </w:t>
      </w:r>
      <w:r w:rsidRPr="009431B4">
        <w:rPr>
          <w:rFonts w:ascii="Arial" w:hAnsi="Arial" w:cs="Arial"/>
          <w:color w:val="000000" w:themeColor="text1"/>
          <w:sz w:val="20"/>
          <w:szCs w:val="20"/>
          <w:lang w:eastAsia="sl-SI"/>
        </w:rPr>
        <w:t>več navedenih načinov.</w:t>
      </w:r>
    </w:p>
    <w:p w14:paraId="78EAEE47" w14:textId="2D5CEAFE" w:rsidR="00F742E4" w:rsidRPr="00637ACF" w:rsidRDefault="002B74A3" w:rsidP="00F742E4">
      <w:pPr>
        <w:spacing w:line="360" w:lineRule="auto"/>
        <w:jc w:val="both"/>
        <w:rPr>
          <w:rFonts w:ascii="Arial" w:hAnsi="Arial" w:cs="Arial"/>
          <w:color w:val="000000" w:themeColor="text1"/>
          <w:sz w:val="20"/>
          <w:szCs w:val="20"/>
          <w:highlight w:val="yellow"/>
          <w:lang w:eastAsia="sl-SI"/>
        </w:rPr>
      </w:pPr>
      <w:r w:rsidRPr="0046640C">
        <w:rPr>
          <w:rFonts w:ascii="Arial" w:hAnsi="Arial" w:cs="Arial"/>
          <w:color w:val="000000" w:themeColor="text1"/>
          <w:sz w:val="20"/>
          <w:szCs w:val="20"/>
          <w:lang w:eastAsia="sl-SI"/>
        </w:rPr>
        <w:lastRenderedPageBreak/>
        <w:t>Leta</w:t>
      </w:r>
      <w:r w:rsidR="00F742E4" w:rsidRPr="0046640C">
        <w:rPr>
          <w:rFonts w:ascii="Arial" w:hAnsi="Arial" w:cs="Arial"/>
          <w:color w:val="000000" w:themeColor="text1"/>
          <w:sz w:val="20"/>
          <w:szCs w:val="20"/>
          <w:lang w:eastAsia="sl-SI"/>
        </w:rPr>
        <w:t xml:space="preserve"> 20</w:t>
      </w:r>
      <w:r w:rsidR="001A40F0" w:rsidRPr="0046640C">
        <w:rPr>
          <w:rFonts w:ascii="Arial" w:hAnsi="Arial" w:cs="Arial"/>
          <w:color w:val="000000" w:themeColor="text1"/>
          <w:sz w:val="20"/>
          <w:szCs w:val="20"/>
          <w:lang w:eastAsia="sl-SI"/>
        </w:rPr>
        <w:t>2</w:t>
      </w:r>
      <w:r w:rsidR="00283DCD" w:rsidRPr="0046640C">
        <w:rPr>
          <w:rFonts w:ascii="Arial" w:hAnsi="Arial" w:cs="Arial"/>
          <w:color w:val="000000" w:themeColor="text1"/>
          <w:sz w:val="20"/>
          <w:szCs w:val="20"/>
          <w:lang w:eastAsia="sl-SI"/>
        </w:rPr>
        <w:t>3</w:t>
      </w:r>
      <w:r w:rsidR="00F742E4" w:rsidRPr="0046640C">
        <w:rPr>
          <w:rFonts w:ascii="Arial" w:hAnsi="Arial" w:cs="Arial"/>
          <w:color w:val="000000" w:themeColor="text1"/>
          <w:sz w:val="20"/>
          <w:szCs w:val="20"/>
          <w:lang w:eastAsia="sl-SI"/>
        </w:rPr>
        <w:t xml:space="preserve"> so naročniki oddali 1</w:t>
      </w:r>
      <w:r w:rsidR="00283DCD" w:rsidRPr="0046640C">
        <w:rPr>
          <w:rFonts w:ascii="Arial" w:hAnsi="Arial" w:cs="Arial"/>
          <w:color w:val="000000" w:themeColor="text1"/>
          <w:sz w:val="20"/>
          <w:szCs w:val="20"/>
          <w:lang w:eastAsia="sl-SI"/>
        </w:rPr>
        <w:t>6</w:t>
      </w:r>
      <w:r w:rsidR="000605E6" w:rsidRPr="0046640C">
        <w:rPr>
          <w:rFonts w:ascii="Arial" w:hAnsi="Arial" w:cs="Arial"/>
          <w:color w:val="000000" w:themeColor="text1"/>
          <w:sz w:val="20"/>
          <w:szCs w:val="20"/>
          <w:lang w:eastAsia="sl-SI"/>
        </w:rPr>
        <w:t>.</w:t>
      </w:r>
      <w:r w:rsidR="00283DCD" w:rsidRPr="0046640C">
        <w:rPr>
          <w:rFonts w:ascii="Arial" w:hAnsi="Arial" w:cs="Arial"/>
          <w:color w:val="000000" w:themeColor="text1"/>
          <w:sz w:val="20"/>
          <w:szCs w:val="20"/>
          <w:lang w:eastAsia="sl-SI"/>
        </w:rPr>
        <w:t>82</w:t>
      </w:r>
      <w:r w:rsidR="009431B4" w:rsidRPr="0046640C">
        <w:rPr>
          <w:rFonts w:ascii="Arial" w:hAnsi="Arial" w:cs="Arial"/>
          <w:color w:val="000000" w:themeColor="text1"/>
          <w:sz w:val="20"/>
          <w:szCs w:val="20"/>
          <w:lang w:eastAsia="sl-SI"/>
        </w:rPr>
        <w:t>4</w:t>
      </w:r>
      <w:r w:rsidR="00F742E4" w:rsidRPr="0046640C">
        <w:rPr>
          <w:rFonts w:ascii="Arial" w:hAnsi="Arial" w:cs="Arial"/>
          <w:color w:val="000000" w:themeColor="text1"/>
          <w:sz w:val="20"/>
          <w:szCs w:val="20"/>
          <w:lang w:eastAsia="sl-SI"/>
        </w:rPr>
        <w:t xml:space="preserve"> naročil v vrednosti </w:t>
      </w:r>
      <w:r w:rsidR="00283DCD" w:rsidRPr="0046640C">
        <w:rPr>
          <w:rFonts w:ascii="Arial" w:hAnsi="Arial" w:cs="Arial"/>
          <w:color w:val="000000" w:themeColor="text1"/>
          <w:sz w:val="20"/>
          <w:szCs w:val="20"/>
          <w:lang w:eastAsia="sl-SI"/>
        </w:rPr>
        <w:t>6.232.</w:t>
      </w:r>
      <w:r w:rsidR="009431B4" w:rsidRPr="0046640C">
        <w:rPr>
          <w:rFonts w:ascii="Arial" w:hAnsi="Arial" w:cs="Arial"/>
          <w:color w:val="000000" w:themeColor="text1"/>
          <w:sz w:val="20"/>
          <w:szCs w:val="20"/>
          <w:lang w:eastAsia="sl-SI"/>
        </w:rPr>
        <w:t>250</w:t>
      </w:r>
      <w:r w:rsidR="00283DCD" w:rsidRPr="0046640C">
        <w:rPr>
          <w:rFonts w:ascii="Arial" w:hAnsi="Arial" w:cs="Arial"/>
          <w:color w:val="000000" w:themeColor="text1"/>
          <w:sz w:val="20"/>
          <w:szCs w:val="20"/>
          <w:lang w:eastAsia="sl-SI"/>
        </w:rPr>
        <w:t>.</w:t>
      </w:r>
      <w:r w:rsidR="009431B4" w:rsidRPr="0046640C">
        <w:rPr>
          <w:rFonts w:ascii="Arial" w:hAnsi="Arial" w:cs="Arial"/>
          <w:color w:val="000000" w:themeColor="text1"/>
          <w:sz w:val="20"/>
          <w:szCs w:val="20"/>
          <w:lang w:eastAsia="sl-SI"/>
        </w:rPr>
        <w:t>969</w:t>
      </w:r>
      <w:r w:rsidR="00283DCD" w:rsidRPr="0046640C">
        <w:rPr>
          <w:rFonts w:ascii="Arial" w:hAnsi="Arial" w:cs="Arial"/>
          <w:color w:val="000000" w:themeColor="text1"/>
          <w:sz w:val="20"/>
          <w:szCs w:val="20"/>
          <w:lang w:eastAsia="sl-SI"/>
        </w:rPr>
        <w:t xml:space="preserve"> </w:t>
      </w:r>
      <w:r w:rsidR="00F742E4" w:rsidRPr="0046640C">
        <w:rPr>
          <w:rFonts w:ascii="Arial" w:hAnsi="Arial" w:cs="Arial"/>
          <w:color w:val="000000" w:themeColor="text1"/>
          <w:sz w:val="20"/>
          <w:szCs w:val="20"/>
          <w:lang w:eastAsia="sl-SI"/>
        </w:rPr>
        <w:t>evrov.</w:t>
      </w:r>
      <w:r w:rsidR="00F10172" w:rsidRPr="0046640C">
        <w:rPr>
          <w:rFonts w:ascii="Arial" w:hAnsi="Arial" w:cs="Arial"/>
          <w:color w:val="000000" w:themeColor="text1"/>
          <w:sz w:val="20"/>
          <w:szCs w:val="20"/>
          <w:lang w:eastAsia="sl-SI"/>
        </w:rPr>
        <w:t xml:space="preserve"> </w:t>
      </w:r>
      <w:r w:rsidR="00F742E4" w:rsidRPr="0046640C">
        <w:rPr>
          <w:rFonts w:ascii="Arial" w:hAnsi="Arial" w:cs="Arial"/>
          <w:color w:val="000000" w:themeColor="text1"/>
          <w:sz w:val="20"/>
          <w:szCs w:val="20"/>
          <w:lang w:eastAsia="sl-SI"/>
        </w:rPr>
        <w:t xml:space="preserve">Najmanj en </w:t>
      </w:r>
      <w:proofErr w:type="spellStart"/>
      <w:r w:rsidR="00F742E4" w:rsidRPr="0046640C">
        <w:rPr>
          <w:rFonts w:ascii="Arial" w:hAnsi="Arial" w:cs="Arial"/>
          <w:color w:val="000000" w:themeColor="text1"/>
          <w:sz w:val="20"/>
          <w:szCs w:val="20"/>
          <w:lang w:eastAsia="sl-SI"/>
        </w:rPr>
        <w:t>okoljski</w:t>
      </w:r>
      <w:proofErr w:type="spellEnd"/>
      <w:r w:rsidR="00F742E4" w:rsidRPr="0046640C">
        <w:rPr>
          <w:rFonts w:ascii="Arial" w:hAnsi="Arial" w:cs="Arial"/>
          <w:color w:val="000000" w:themeColor="text1"/>
          <w:sz w:val="20"/>
          <w:szCs w:val="20"/>
          <w:lang w:eastAsia="sl-SI"/>
        </w:rPr>
        <w:t xml:space="preserve"> vidik so vključili v </w:t>
      </w:r>
      <w:r w:rsidR="00283DCD" w:rsidRPr="0046640C">
        <w:rPr>
          <w:rFonts w:ascii="Arial" w:hAnsi="Arial" w:cs="Arial"/>
          <w:color w:val="000000" w:themeColor="text1"/>
          <w:sz w:val="20"/>
          <w:szCs w:val="20"/>
          <w:lang w:eastAsia="sl-SI"/>
        </w:rPr>
        <w:t>480</w:t>
      </w:r>
      <w:r w:rsidR="0046640C" w:rsidRPr="0046640C">
        <w:rPr>
          <w:rFonts w:ascii="Arial" w:hAnsi="Arial" w:cs="Arial"/>
          <w:color w:val="000000" w:themeColor="text1"/>
          <w:sz w:val="20"/>
          <w:szCs w:val="20"/>
          <w:lang w:eastAsia="sl-SI"/>
        </w:rPr>
        <w:t>4</w:t>
      </w:r>
      <w:r w:rsidR="00F742E4" w:rsidRPr="0046640C">
        <w:rPr>
          <w:rFonts w:ascii="Arial" w:hAnsi="Arial" w:cs="Arial"/>
          <w:color w:val="000000" w:themeColor="text1"/>
          <w:sz w:val="20"/>
          <w:szCs w:val="20"/>
          <w:lang w:eastAsia="sl-SI"/>
        </w:rPr>
        <w:t xml:space="preserve"> naročilih, kar pomeni </w:t>
      </w:r>
      <w:r w:rsidR="00283DCD" w:rsidRPr="0046640C">
        <w:rPr>
          <w:rFonts w:ascii="Arial" w:hAnsi="Arial" w:cs="Arial"/>
          <w:color w:val="000000" w:themeColor="text1"/>
          <w:sz w:val="20"/>
          <w:szCs w:val="20"/>
          <w:lang w:eastAsia="sl-SI"/>
        </w:rPr>
        <w:t>28,5</w:t>
      </w:r>
      <w:r w:rsidR="0046640C" w:rsidRPr="0046640C">
        <w:rPr>
          <w:rFonts w:ascii="Arial" w:hAnsi="Arial" w:cs="Arial"/>
          <w:color w:val="000000" w:themeColor="text1"/>
          <w:sz w:val="20"/>
          <w:szCs w:val="20"/>
          <w:lang w:eastAsia="sl-SI"/>
        </w:rPr>
        <w:t>5</w:t>
      </w:r>
      <w:r w:rsidR="00427811" w:rsidRPr="0046640C">
        <w:rPr>
          <w:rFonts w:ascii="Arial" w:hAnsi="Arial" w:cs="Arial"/>
          <w:color w:val="000000" w:themeColor="text1"/>
          <w:sz w:val="20"/>
          <w:szCs w:val="20"/>
          <w:lang w:eastAsia="sl-SI"/>
        </w:rPr>
        <w:t> </w:t>
      </w:r>
      <w:r w:rsidR="00AC0027" w:rsidRPr="0046640C">
        <w:rPr>
          <w:rFonts w:ascii="Arial" w:hAnsi="Arial" w:cs="Arial"/>
          <w:color w:val="000000" w:themeColor="text1"/>
          <w:sz w:val="20"/>
          <w:szCs w:val="20"/>
          <w:lang w:eastAsia="sl-SI"/>
        </w:rPr>
        <w:t>odstotka</w:t>
      </w:r>
      <w:r w:rsidR="00F742E4" w:rsidRPr="0046640C">
        <w:rPr>
          <w:rFonts w:ascii="Arial" w:hAnsi="Arial" w:cs="Arial"/>
          <w:color w:val="000000" w:themeColor="text1"/>
          <w:sz w:val="20"/>
          <w:szCs w:val="20"/>
          <w:lang w:eastAsia="sl-SI"/>
        </w:rPr>
        <w:t xml:space="preserve"> vseh oddanih naročil v tem letu. Vrednost teh </w:t>
      </w:r>
      <w:r w:rsidR="00F742E4" w:rsidRPr="00737DC2">
        <w:rPr>
          <w:rFonts w:ascii="Arial" w:hAnsi="Arial" w:cs="Arial"/>
          <w:color w:val="000000" w:themeColor="text1"/>
          <w:sz w:val="20"/>
          <w:szCs w:val="20"/>
          <w:lang w:eastAsia="sl-SI"/>
        </w:rPr>
        <w:t xml:space="preserve">naročil je </w:t>
      </w:r>
      <w:bookmarkStart w:id="49" w:name="OLE_LINK4"/>
      <w:r w:rsidR="0046640C" w:rsidRPr="00737DC2">
        <w:rPr>
          <w:rFonts w:ascii="Arial" w:hAnsi="Arial" w:cs="Arial"/>
          <w:color w:val="000000" w:themeColor="text1"/>
          <w:sz w:val="20"/>
          <w:szCs w:val="20"/>
          <w:lang w:eastAsia="sl-SI"/>
        </w:rPr>
        <w:t xml:space="preserve">2.137.671.914 </w:t>
      </w:r>
      <w:bookmarkEnd w:id="49"/>
      <w:r w:rsidR="00F742E4" w:rsidRPr="00737DC2">
        <w:rPr>
          <w:rFonts w:ascii="Arial" w:hAnsi="Arial" w:cs="Arial"/>
          <w:color w:val="000000" w:themeColor="text1"/>
          <w:sz w:val="20"/>
          <w:szCs w:val="20"/>
          <w:lang w:eastAsia="sl-SI"/>
        </w:rPr>
        <w:t xml:space="preserve">evrov, kar pomeni </w:t>
      </w:r>
      <w:r w:rsidR="00283DCD" w:rsidRPr="00737DC2">
        <w:rPr>
          <w:rFonts w:ascii="Arial" w:hAnsi="Arial" w:cs="Arial"/>
          <w:color w:val="000000" w:themeColor="text1"/>
          <w:sz w:val="20"/>
          <w:szCs w:val="20"/>
          <w:lang w:eastAsia="sl-SI"/>
        </w:rPr>
        <w:t>34,3</w:t>
      </w:r>
      <w:r w:rsidR="00F742E4" w:rsidRPr="00737DC2">
        <w:rPr>
          <w:rFonts w:ascii="Arial" w:hAnsi="Arial" w:cs="Arial"/>
          <w:color w:val="000000" w:themeColor="text1"/>
          <w:sz w:val="20"/>
          <w:szCs w:val="20"/>
          <w:lang w:eastAsia="sl-SI"/>
        </w:rPr>
        <w:t xml:space="preserve">-odstotni delež. </w:t>
      </w:r>
      <w:r w:rsidR="003B5ED3" w:rsidRPr="00737DC2">
        <w:rPr>
          <w:rFonts w:ascii="Arial" w:hAnsi="Arial" w:cs="Arial"/>
          <w:color w:val="000000" w:themeColor="text1"/>
          <w:sz w:val="20"/>
          <w:szCs w:val="20"/>
          <w:lang w:eastAsia="sl-SI"/>
        </w:rPr>
        <w:t>V primerjavi z letom 20</w:t>
      </w:r>
      <w:r w:rsidR="000605E6" w:rsidRPr="00737DC2">
        <w:rPr>
          <w:rFonts w:ascii="Arial" w:hAnsi="Arial" w:cs="Arial"/>
          <w:color w:val="000000" w:themeColor="text1"/>
          <w:sz w:val="20"/>
          <w:szCs w:val="20"/>
          <w:lang w:eastAsia="sl-SI"/>
        </w:rPr>
        <w:t>2</w:t>
      </w:r>
      <w:r w:rsidR="00283DCD" w:rsidRPr="00737DC2">
        <w:rPr>
          <w:rFonts w:ascii="Arial" w:hAnsi="Arial" w:cs="Arial"/>
          <w:color w:val="000000" w:themeColor="text1"/>
          <w:sz w:val="20"/>
          <w:szCs w:val="20"/>
          <w:lang w:eastAsia="sl-SI"/>
        </w:rPr>
        <w:t>2</w:t>
      </w:r>
      <w:r w:rsidR="003B5ED3" w:rsidRPr="00737DC2">
        <w:rPr>
          <w:rFonts w:ascii="Arial" w:hAnsi="Arial" w:cs="Arial"/>
          <w:color w:val="000000" w:themeColor="text1"/>
          <w:sz w:val="20"/>
          <w:szCs w:val="20"/>
          <w:lang w:eastAsia="sl-SI"/>
        </w:rPr>
        <w:t xml:space="preserve"> </w:t>
      </w:r>
      <w:r w:rsidR="00FC1B91" w:rsidRPr="00737DC2">
        <w:rPr>
          <w:rFonts w:ascii="Arial" w:hAnsi="Arial" w:cs="Arial"/>
          <w:color w:val="000000" w:themeColor="text1"/>
          <w:sz w:val="20"/>
          <w:szCs w:val="20"/>
          <w:lang w:eastAsia="sl-SI"/>
        </w:rPr>
        <w:t xml:space="preserve">sta </w:t>
      </w:r>
      <w:r w:rsidR="003B5ED3" w:rsidRPr="00737DC2">
        <w:rPr>
          <w:rFonts w:ascii="Arial" w:hAnsi="Arial" w:cs="Arial"/>
          <w:color w:val="000000" w:themeColor="text1"/>
          <w:sz w:val="20"/>
          <w:szCs w:val="20"/>
          <w:lang w:eastAsia="sl-SI"/>
        </w:rPr>
        <w:t>opazn</w:t>
      </w:r>
      <w:r w:rsidR="00C42744" w:rsidRPr="00737DC2">
        <w:rPr>
          <w:rFonts w:ascii="Arial" w:hAnsi="Arial" w:cs="Arial"/>
          <w:color w:val="000000" w:themeColor="text1"/>
          <w:sz w:val="20"/>
          <w:szCs w:val="20"/>
          <w:lang w:eastAsia="sl-SI"/>
        </w:rPr>
        <w:t>i</w:t>
      </w:r>
      <w:r w:rsidR="003B5ED3" w:rsidRPr="00737DC2">
        <w:rPr>
          <w:rFonts w:ascii="Arial" w:hAnsi="Arial" w:cs="Arial"/>
          <w:color w:val="000000" w:themeColor="text1"/>
          <w:sz w:val="20"/>
          <w:szCs w:val="20"/>
          <w:lang w:eastAsia="sl-SI"/>
        </w:rPr>
        <w:t xml:space="preserve"> </w:t>
      </w:r>
      <w:r w:rsidR="00E5304C" w:rsidRPr="00737DC2">
        <w:rPr>
          <w:rFonts w:ascii="Arial" w:hAnsi="Arial" w:cs="Arial"/>
          <w:color w:val="000000" w:themeColor="text1"/>
          <w:sz w:val="20"/>
          <w:szCs w:val="20"/>
          <w:lang w:eastAsia="sl-SI"/>
        </w:rPr>
        <w:t>zmanjšanje</w:t>
      </w:r>
      <w:r w:rsidR="003B5ED3" w:rsidRPr="00737DC2">
        <w:rPr>
          <w:rFonts w:ascii="Arial" w:hAnsi="Arial" w:cs="Arial"/>
          <w:color w:val="000000" w:themeColor="text1"/>
          <w:sz w:val="20"/>
          <w:szCs w:val="20"/>
          <w:lang w:eastAsia="sl-SI"/>
        </w:rPr>
        <w:t xml:space="preserve"> števila naročil z vključenimi </w:t>
      </w:r>
      <w:proofErr w:type="spellStart"/>
      <w:r w:rsidR="003B5ED3" w:rsidRPr="00737DC2">
        <w:rPr>
          <w:rFonts w:ascii="Arial" w:hAnsi="Arial" w:cs="Arial"/>
          <w:color w:val="000000" w:themeColor="text1"/>
          <w:sz w:val="20"/>
          <w:szCs w:val="20"/>
          <w:lang w:eastAsia="sl-SI"/>
        </w:rPr>
        <w:t>okoljskimi</w:t>
      </w:r>
      <w:proofErr w:type="spellEnd"/>
      <w:r w:rsidR="003B5ED3" w:rsidRPr="00737DC2">
        <w:rPr>
          <w:rFonts w:ascii="Arial" w:hAnsi="Arial" w:cs="Arial"/>
          <w:color w:val="000000" w:themeColor="text1"/>
          <w:sz w:val="20"/>
          <w:szCs w:val="20"/>
          <w:lang w:eastAsia="sl-SI"/>
        </w:rPr>
        <w:t xml:space="preserve"> vidiki za </w:t>
      </w:r>
      <w:r w:rsidR="005B1C0F" w:rsidRPr="00737DC2">
        <w:rPr>
          <w:rFonts w:ascii="Arial" w:hAnsi="Arial" w:cs="Arial"/>
          <w:color w:val="000000" w:themeColor="text1"/>
          <w:sz w:val="20"/>
          <w:szCs w:val="20"/>
          <w:lang w:eastAsia="sl-SI"/>
        </w:rPr>
        <w:t>6,9</w:t>
      </w:r>
      <w:r w:rsidR="00737DC2" w:rsidRPr="00737DC2">
        <w:rPr>
          <w:rFonts w:ascii="Arial" w:hAnsi="Arial" w:cs="Arial"/>
          <w:color w:val="000000" w:themeColor="text1"/>
          <w:sz w:val="20"/>
          <w:szCs w:val="20"/>
          <w:lang w:eastAsia="sl-SI"/>
        </w:rPr>
        <w:t>4</w:t>
      </w:r>
      <w:r w:rsidR="00613D20" w:rsidRPr="00737DC2">
        <w:rPr>
          <w:rFonts w:ascii="Arial" w:hAnsi="Arial" w:cs="Arial"/>
          <w:color w:val="000000" w:themeColor="text1"/>
          <w:sz w:val="20"/>
          <w:szCs w:val="20"/>
          <w:lang w:eastAsia="sl-SI"/>
        </w:rPr>
        <w:t xml:space="preserve"> </w:t>
      </w:r>
      <w:r w:rsidR="00AC0027" w:rsidRPr="00737DC2">
        <w:rPr>
          <w:rFonts w:ascii="Arial" w:hAnsi="Arial" w:cs="Arial"/>
          <w:color w:val="000000" w:themeColor="text1"/>
          <w:sz w:val="20"/>
          <w:szCs w:val="20"/>
          <w:lang w:eastAsia="sl-SI"/>
        </w:rPr>
        <w:t>odstotka</w:t>
      </w:r>
      <w:r w:rsidR="003B5ED3" w:rsidRPr="00737DC2">
        <w:rPr>
          <w:rFonts w:ascii="Arial" w:hAnsi="Arial" w:cs="Arial"/>
          <w:color w:val="000000" w:themeColor="text1"/>
          <w:sz w:val="20"/>
          <w:szCs w:val="20"/>
          <w:lang w:eastAsia="sl-SI"/>
        </w:rPr>
        <w:t xml:space="preserve"> in</w:t>
      </w:r>
      <w:r w:rsidR="00F52298" w:rsidRPr="00737DC2">
        <w:rPr>
          <w:rFonts w:ascii="Arial" w:hAnsi="Arial" w:cs="Arial"/>
          <w:color w:val="000000" w:themeColor="text1"/>
          <w:sz w:val="20"/>
          <w:szCs w:val="20"/>
          <w:lang w:eastAsia="sl-SI"/>
        </w:rPr>
        <w:t xml:space="preserve"> </w:t>
      </w:r>
      <w:r w:rsidR="00E5304C" w:rsidRPr="00737DC2">
        <w:rPr>
          <w:rFonts w:ascii="Arial" w:hAnsi="Arial" w:cs="Arial"/>
          <w:color w:val="000000" w:themeColor="text1"/>
          <w:sz w:val="20"/>
          <w:szCs w:val="20"/>
          <w:lang w:eastAsia="sl-SI"/>
        </w:rPr>
        <w:t>povečanje</w:t>
      </w:r>
      <w:r w:rsidR="003B5ED3" w:rsidRPr="00737DC2">
        <w:rPr>
          <w:rFonts w:ascii="Arial" w:hAnsi="Arial" w:cs="Arial"/>
          <w:color w:val="000000" w:themeColor="text1"/>
          <w:sz w:val="20"/>
          <w:szCs w:val="20"/>
          <w:lang w:eastAsia="sl-SI"/>
        </w:rPr>
        <w:t xml:space="preserve"> vrednosti za </w:t>
      </w:r>
      <w:r w:rsidR="005B1C0F" w:rsidRPr="00737DC2">
        <w:rPr>
          <w:rFonts w:ascii="Arial" w:hAnsi="Arial" w:cs="Arial"/>
          <w:color w:val="000000" w:themeColor="text1"/>
          <w:sz w:val="20"/>
          <w:szCs w:val="20"/>
          <w:lang w:eastAsia="sl-SI"/>
        </w:rPr>
        <w:t>50,2</w:t>
      </w:r>
      <w:r w:rsidR="00737DC2" w:rsidRPr="00737DC2">
        <w:rPr>
          <w:rFonts w:ascii="Arial" w:hAnsi="Arial" w:cs="Arial"/>
          <w:color w:val="000000" w:themeColor="text1"/>
          <w:sz w:val="20"/>
          <w:szCs w:val="20"/>
          <w:lang w:eastAsia="sl-SI"/>
        </w:rPr>
        <w:t>5</w:t>
      </w:r>
      <w:r w:rsidR="00E5304C" w:rsidRPr="00737DC2">
        <w:rPr>
          <w:rFonts w:ascii="Arial" w:hAnsi="Arial" w:cs="Arial"/>
          <w:color w:val="000000" w:themeColor="text1"/>
          <w:sz w:val="20"/>
          <w:szCs w:val="20"/>
          <w:lang w:eastAsia="sl-SI"/>
        </w:rPr>
        <w:t xml:space="preserve"> </w:t>
      </w:r>
      <w:r w:rsidR="00AC0027" w:rsidRPr="00737DC2">
        <w:rPr>
          <w:rFonts w:ascii="Arial" w:hAnsi="Arial" w:cs="Arial"/>
          <w:color w:val="000000" w:themeColor="text1"/>
          <w:sz w:val="20"/>
          <w:szCs w:val="20"/>
          <w:lang w:eastAsia="sl-SI"/>
        </w:rPr>
        <w:t>odstotka</w:t>
      </w:r>
      <w:r w:rsidR="003B5ED3" w:rsidRPr="00737DC2">
        <w:rPr>
          <w:rFonts w:ascii="Arial" w:hAnsi="Arial" w:cs="Arial"/>
          <w:color w:val="000000" w:themeColor="text1"/>
          <w:sz w:val="20"/>
          <w:szCs w:val="20"/>
          <w:lang w:eastAsia="sl-SI"/>
        </w:rPr>
        <w:t>.</w:t>
      </w:r>
    </w:p>
    <w:p w14:paraId="2258E16D" w14:textId="676AF5E2" w:rsidR="00F742E4" w:rsidRPr="008B1F8E" w:rsidRDefault="00F742E4" w:rsidP="00F742E4">
      <w:pPr>
        <w:spacing w:line="360" w:lineRule="auto"/>
        <w:jc w:val="both"/>
        <w:rPr>
          <w:rFonts w:ascii="Arial" w:hAnsi="Arial" w:cs="Arial"/>
          <w:color w:val="000000" w:themeColor="text1"/>
          <w:sz w:val="20"/>
          <w:szCs w:val="20"/>
          <w:lang w:eastAsia="sl-SI"/>
        </w:rPr>
      </w:pPr>
      <w:r w:rsidRPr="000571EC">
        <w:rPr>
          <w:rFonts w:ascii="Arial" w:hAnsi="Arial" w:cs="Arial"/>
          <w:color w:val="000000" w:themeColor="text1"/>
          <w:sz w:val="20"/>
          <w:szCs w:val="20"/>
          <w:lang w:eastAsia="sl-SI"/>
        </w:rPr>
        <w:t xml:space="preserve">Med temi je bilo oddanih </w:t>
      </w:r>
      <w:r w:rsidR="005B1C0F" w:rsidRPr="000571EC">
        <w:rPr>
          <w:rFonts w:ascii="Arial" w:hAnsi="Arial" w:cs="Arial"/>
          <w:color w:val="000000" w:themeColor="text1"/>
          <w:sz w:val="20"/>
          <w:szCs w:val="20"/>
          <w:lang w:eastAsia="sl-SI"/>
        </w:rPr>
        <w:t>4</w:t>
      </w:r>
      <w:r w:rsidR="00F62353" w:rsidRPr="000571EC">
        <w:rPr>
          <w:rFonts w:ascii="Arial" w:hAnsi="Arial" w:cs="Arial"/>
          <w:color w:val="000000" w:themeColor="text1"/>
          <w:sz w:val="20"/>
          <w:szCs w:val="20"/>
          <w:lang w:eastAsia="sl-SI"/>
        </w:rPr>
        <w:t>.</w:t>
      </w:r>
      <w:r w:rsidR="005B1C0F" w:rsidRPr="000571EC">
        <w:rPr>
          <w:rFonts w:ascii="Arial" w:hAnsi="Arial" w:cs="Arial"/>
          <w:color w:val="000000" w:themeColor="text1"/>
          <w:sz w:val="20"/>
          <w:szCs w:val="20"/>
          <w:lang w:eastAsia="sl-SI"/>
        </w:rPr>
        <w:t>5</w:t>
      </w:r>
      <w:r w:rsidR="000571EC" w:rsidRPr="000571EC">
        <w:rPr>
          <w:rFonts w:ascii="Arial" w:hAnsi="Arial" w:cs="Arial"/>
          <w:color w:val="000000" w:themeColor="text1"/>
          <w:sz w:val="20"/>
          <w:szCs w:val="20"/>
          <w:lang w:eastAsia="sl-SI"/>
        </w:rPr>
        <w:t>69</w:t>
      </w:r>
      <w:r w:rsidRPr="000571EC">
        <w:rPr>
          <w:rFonts w:ascii="Arial" w:hAnsi="Arial" w:cs="Arial"/>
          <w:color w:val="000000" w:themeColor="text1"/>
          <w:sz w:val="20"/>
          <w:szCs w:val="20"/>
          <w:lang w:eastAsia="sl-SI"/>
        </w:rPr>
        <w:t xml:space="preserve"> naročil, za katere </w:t>
      </w:r>
      <w:proofErr w:type="spellStart"/>
      <w:r w:rsidRPr="000571EC">
        <w:rPr>
          <w:rFonts w:ascii="Arial" w:hAnsi="Arial" w:cs="Arial"/>
          <w:color w:val="000000" w:themeColor="text1"/>
          <w:sz w:val="20"/>
          <w:szCs w:val="20"/>
          <w:lang w:eastAsia="sl-SI"/>
        </w:rPr>
        <w:t>okoljske</w:t>
      </w:r>
      <w:proofErr w:type="spellEnd"/>
      <w:r w:rsidRPr="000571EC">
        <w:rPr>
          <w:rFonts w:ascii="Arial" w:hAnsi="Arial" w:cs="Arial"/>
          <w:color w:val="000000" w:themeColor="text1"/>
          <w:sz w:val="20"/>
          <w:szCs w:val="20"/>
          <w:lang w:eastAsia="sl-SI"/>
        </w:rPr>
        <w:t xml:space="preserve"> zahteve določa </w:t>
      </w:r>
      <w:r w:rsidR="00A22784" w:rsidRPr="000571EC">
        <w:rPr>
          <w:rFonts w:ascii="Arial" w:hAnsi="Arial" w:cs="Arial"/>
          <w:color w:val="000000" w:themeColor="text1"/>
          <w:sz w:val="20"/>
          <w:szCs w:val="20"/>
          <w:lang w:eastAsia="sl-SI"/>
        </w:rPr>
        <w:t>u</w:t>
      </w:r>
      <w:r w:rsidRPr="000571EC">
        <w:rPr>
          <w:rFonts w:ascii="Arial" w:hAnsi="Arial" w:cs="Arial"/>
          <w:color w:val="000000" w:themeColor="text1"/>
          <w:sz w:val="20"/>
          <w:szCs w:val="20"/>
          <w:lang w:eastAsia="sl-SI"/>
        </w:rPr>
        <w:t xml:space="preserve">redba o </w:t>
      </w:r>
      <w:proofErr w:type="spellStart"/>
      <w:r w:rsidRPr="000571EC">
        <w:rPr>
          <w:rFonts w:ascii="Arial" w:hAnsi="Arial" w:cs="Arial"/>
          <w:color w:val="000000" w:themeColor="text1"/>
          <w:sz w:val="20"/>
          <w:szCs w:val="20"/>
          <w:lang w:eastAsia="sl-SI"/>
        </w:rPr>
        <w:t>ZeJN</w:t>
      </w:r>
      <w:proofErr w:type="spellEnd"/>
      <w:r w:rsidRPr="000571EC">
        <w:rPr>
          <w:rFonts w:ascii="Arial" w:hAnsi="Arial" w:cs="Arial"/>
          <w:color w:val="000000" w:themeColor="text1"/>
          <w:sz w:val="20"/>
          <w:szCs w:val="20"/>
          <w:lang w:eastAsia="sl-SI"/>
        </w:rPr>
        <w:t xml:space="preserve">, v vrednosti </w:t>
      </w:r>
      <w:r w:rsidR="005B1C0F" w:rsidRPr="008B1F8E">
        <w:rPr>
          <w:rFonts w:ascii="Arial" w:hAnsi="Arial" w:cs="Arial"/>
          <w:color w:val="000000" w:themeColor="text1"/>
          <w:sz w:val="20"/>
          <w:szCs w:val="20"/>
          <w:lang w:eastAsia="sl-SI"/>
        </w:rPr>
        <w:t>1.227.</w:t>
      </w:r>
      <w:r w:rsidR="000571EC" w:rsidRPr="008B1F8E">
        <w:rPr>
          <w:rFonts w:ascii="Arial" w:hAnsi="Arial" w:cs="Arial"/>
          <w:color w:val="000000" w:themeColor="text1"/>
          <w:sz w:val="20"/>
          <w:szCs w:val="20"/>
          <w:lang w:eastAsia="sl-SI"/>
        </w:rPr>
        <w:t>078</w:t>
      </w:r>
      <w:r w:rsidR="005B1C0F" w:rsidRPr="008B1F8E">
        <w:rPr>
          <w:rFonts w:ascii="Arial" w:hAnsi="Arial" w:cs="Arial"/>
          <w:color w:val="000000" w:themeColor="text1"/>
          <w:sz w:val="20"/>
          <w:szCs w:val="20"/>
          <w:lang w:eastAsia="sl-SI"/>
        </w:rPr>
        <w:t>.</w:t>
      </w:r>
      <w:r w:rsidR="000571EC" w:rsidRPr="008B1F8E">
        <w:rPr>
          <w:rFonts w:ascii="Arial" w:hAnsi="Arial" w:cs="Arial"/>
          <w:color w:val="000000" w:themeColor="text1"/>
          <w:sz w:val="20"/>
          <w:szCs w:val="20"/>
          <w:lang w:eastAsia="sl-SI"/>
        </w:rPr>
        <w:t>08</w:t>
      </w:r>
      <w:r w:rsidR="005B1C0F" w:rsidRPr="008B1F8E">
        <w:rPr>
          <w:rFonts w:ascii="Arial" w:hAnsi="Arial" w:cs="Arial"/>
          <w:color w:val="000000" w:themeColor="text1"/>
          <w:sz w:val="20"/>
          <w:szCs w:val="20"/>
          <w:lang w:eastAsia="sl-SI"/>
        </w:rPr>
        <w:t xml:space="preserve">0 </w:t>
      </w:r>
      <w:r w:rsidRPr="008B1F8E">
        <w:rPr>
          <w:rFonts w:ascii="Arial" w:hAnsi="Arial" w:cs="Arial"/>
          <w:color w:val="000000" w:themeColor="text1"/>
          <w:sz w:val="20"/>
          <w:szCs w:val="20"/>
          <w:lang w:eastAsia="sl-SI"/>
        </w:rPr>
        <w:t xml:space="preserve">evrov. Delež teh pomeni </w:t>
      </w:r>
      <w:r w:rsidR="00AC04F2" w:rsidRPr="008B1F8E">
        <w:rPr>
          <w:rFonts w:ascii="Arial" w:hAnsi="Arial" w:cs="Arial"/>
          <w:color w:val="000000" w:themeColor="text1"/>
          <w:sz w:val="20"/>
          <w:szCs w:val="20"/>
          <w:lang w:eastAsia="sl-SI"/>
        </w:rPr>
        <w:t>27,16</w:t>
      </w:r>
      <w:r w:rsidR="00427811" w:rsidRPr="008B1F8E">
        <w:rPr>
          <w:rFonts w:ascii="Arial" w:hAnsi="Arial" w:cs="Arial"/>
          <w:color w:val="000000" w:themeColor="text1"/>
          <w:sz w:val="20"/>
          <w:szCs w:val="20"/>
          <w:lang w:eastAsia="sl-SI"/>
        </w:rPr>
        <w:t> </w:t>
      </w:r>
      <w:r w:rsidR="00AC0027" w:rsidRPr="008B1F8E">
        <w:rPr>
          <w:rFonts w:ascii="Arial" w:hAnsi="Arial" w:cs="Arial"/>
          <w:color w:val="000000" w:themeColor="text1"/>
          <w:sz w:val="20"/>
          <w:szCs w:val="20"/>
          <w:lang w:eastAsia="sl-SI"/>
        </w:rPr>
        <w:t>odstotka</w:t>
      </w:r>
      <w:r w:rsidRPr="008B1F8E">
        <w:rPr>
          <w:rFonts w:ascii="Arial" w:hAnsi="Arial" w:cs="Arial"/>
          <w:color w:val="000000" w:themeColor="text1"/>
          <w:sz w:val="20"/>
          <w:szCs w:val="20"/>
          <w:lang w:eastAsia="sl-SI"/>
        </w:rPr>
        <w:t xml:space="preserve"> v številu in </w:t>
      </w:r>
      <w:r w:rsidR="00A76F83" w:rsidRPr="008B1F8E">
        <w:rPr>
          <w:rFonts w:ascii="Arial" w:hAnsi="Arial" w:cs="Arial"/>
          <w:color w:val="000000" w:themeColor="text1"/>
          <w:sz w:val="20"/>
          <w:szCs w:val="20"/>
          <w:lang w:eastAsia="sl-SI"/>
        </w:rPr>
        <w:t>1</w:t>
      </w:r>
      <w:r w:rsidR="00AC04F2" w:rsidRPr="008B1F8E">
        <w:rPr>
          <w:rFonts w:ascii="Arial" w:hAnsi="Arial" w:cs="Arial"/>
          <w:color w:val="000000" w:themeColor="text1"/>
          <w:sz w:val="20"/>
          <w:szCs w:val="20"/>
          <w:lang w:eastAsia="sl-SI"/>
        </w:rPr>
        <w:t>9,69</w:t>
      </w:r>
      <w:r w:rsidR="00427811" w:rsidRPr="008B1F8E">
        <w:rPr>
          <w:rFonts w:ascii="Arial" w:hAnsi="Arial" w:cs="Arial"/>
          <w:color w:val="000000" w:themeColor="text1"/>
          <w:sz w:val="20"/>
          <w:szCs w:val="20"/>
          <w:lang w:eastAsia="sl-SI"/>
        </w:rPr>
        <w:t> </w:t>
      </w:r>
      <w:r w:rsidR="00AC0027" w:rsidRPr="008B1F8E">
        <w:rPr>
          <w:rFonts w:ascii="Arial" w:hAnsi="Arial" w:cs="Arial"/>
          <w:color w:val="000000" w:themeColor="text1"/>
          <w:sz w:val="20"/>
          <w:szCs w:val="20"/>
          <w:lang w:eastAsia="sl-SI"/>
        </w:rPr>
        <w:t>odstotka</w:t>
      </w:r>
      <w:r w:rsidRPr="008B1F8E">
        <w:rPr>
          <w:rFonts w:ascii="Arial" w:hAnsi="Arial" w:cs="Arial"/>
          <w:color w:val="000000" w:themeColor="text1"/>
          <w:sz w:val="20"/>
          <w:szCs w:val="20"/>
          <w:lang w:eastAsia="sl-SI"/>
        </w:rPr>
        <w:t xml:space="preserve"> v vrednosti vseh oddanih naročil v letu 20</w:t>
      </w:r>
      <w:r w:rsidR="00232215" w:rsidRPr="008B1F8E">
        <w:rPr>
          <w:rFonts w:ascii="Arial" w:hAnsi="Arial" w:cs="Arial"/>
          <w:color w:val="000000" w:themeColor="text1"/>
          <w:sz w:val="20"/>
          <w:szCs w:val="20"/>
          <w:lang w:eastAsia="sl-SI"/>
        </w:rPr>
        <w:t>2</w:t>
      </w:r>
      <w:r w:rsidR="008D73CC" w:rsidRPr="008B1F8E">
        <w:rPr>
          <w:rFonts w:ascii="Arial" w:hAnsi="Arial" w:cs="Arial"/>
          <w:color w:val="000000" w:themeColor="text1"/>
          <w:sz w:val="20"/>
          <w:szCs w:val="20"/>
          <w:lang w:eastAsia="sl-SI"/>
        </w:rPr>
        <w:t>3</w:t>
      </w:r>
      <w:r w:rsidRPr="008B1F8E">
        <w:rPr>
          <w:rFonts w:ascii="Arial" w:hAnsi="Arial" w:cs="Arial"/>
          <w:color w:val="000000" w:themeColor="text1"/>
          <w:sz w:val="20"/>
          <w:szCs w:val="20"/>
          <w:lang w:eastAsia="sl-SI"/>
        </w:rPr>
        <w:t xml:space="preserve">. V preostalih </w:t>
      </w:r>
      <w:r w:rsidR="005B1C0F" w:rsidRPr="008B1F8E">
        <w:rPr>
          <w:rFonts w:ascii="Arial" w:hAnsi="Arial" w:cs="Arial"/>
          <w:color w:val="000000" w:themeColor="text1"/>
          <w:sz w:val="20"/>
          <w:szCs w:val="20"/>
          <w:lang w:eastAsia="sl-SI"/>
        </w:rPr>
        <w:t>235</w:t>
      </w:r>
      <w:r w:rsidRPr="008B1F8E">
        <w:rPr>
          <w:rFonts w:ascii="Arial" w:hAnsi="Arial" w:cs="Arial"/>
          <w:color w:val="000000" w:themeColor="text1"/>
          <w:sz w:val="20"/>
          <w:szCs w:val="20"/>
          <w:lang w:eastAsia="sl-SI"/>
        </w:rPr>
        <w:t xml:space="preserve"> naročilih v vrednosti </w:t>
      </w:r>
      <w:r w:rsidR="005B1C0F" w:rsidRPr="008B1F8E">
        <w:rPr>
          <w:rFonts w:ascii="Arial" w:hAnsi="Arial" w:cs="Arial"/>
          <w:color w:val="000000" w:themeColor="text1"/>
          <w:sz w:val="20"/>
          <w:szCs w:val="20"/>
          <w:lang w:eastAsia="sl-SI"/>
        </w:rPr>
        <w:t xml:space="preserve">910.593.834 </w:t>
      </w:r>
      <w:r w:rsidRPr="008B1F8E">
        <w:rPr>
          <w:rFonts w:ascii="Arial" w:hAnsi="Arial" w:cs="Arial"/>
          <w:color w:val="000000" w:themeColor="text1"/>
          <w:sz w:val="20"/>
          <w:szCs w:val="20"/>
          <w:lang w:eastAsia="sl-SI"/>
        </w:rPr>
        <w:t xml:space="preserve">evrov so naročniki </w:t>
      </w:r>
      <w:proofErr w:type="spellStart"/>
      <w:r w:rsidRPr="008B1F8E">
        <w:rPr>
          <w:rFonts w:ascii="Arial" w:hAnsi="Arial" w:cs="Arial"/>
          <w:color w:val="000000" w:themeColor="text1"/>
          <w:sz w:val="20"/>
          <w:szCs w:val="20"/>
          <w:lang w:eastAsia="sl-SI"/>
        </w:rPr>
        <w:t>okoljski</w:t>
      </w:r>
      <w:proofErr w:type="spellEnd"/>
      <w:r w:rsidRPr="008B1F8E">
        <w:rPr>
          <w:rFonts w:ascii="Arial" w:hAnsi="Arial" w:cs="Arial"/>
          <w:color w:val="000000" w:themeColor="text1"/>
          <w:sz w:val="20"/>
          <w:szCs w:val="20"/>
          <w:lang w:eastAsia="sl-SI"/>
        </w:rPr>
        <w:t xml:space="preserve"> vidik upoštevali prostovoljno, kar je</w:t>
      </w:r>
      <w:r w:rsidR="00F914C3" w:rsidRPr="008B1F8E">
        <w:rPr>
          <w:rFonts w:ascii="Arial" w:hAnsi="Arial" w:cs="Arial"/>
          <w:color w:val="000000" w:themeColor="text1"/>
          <w:sz w:val="20"/>
          <w:szCs w:val="20"/>
          <w:lang w:eastAsia="sl-SI"/>
        </w:rPr>
        <w:t xml:space="preserve"> </w:t>
      </w:r>
      <w:r w:rsidR="00AC04F2" w:rsidRPr="008B1F8E">
        <w:rPr>
          <w:rFonts w:ascii="Arial" w:hAnsi="Arial" w:cs="Arial"/>
          <w:color w:val="000000" w:themeColor="text1"/>
          <w:sz w:val="20"/>
          <w:szCs w:val="20"/>
          <w:lang w:eastAsia="sl-SI"/>
        </w:rPr>
        <w:t>1,4</w:t>
      </w:r>
      <w:r w:rsidR="005D5B62" w:rsidRPr="008B1F8E">
        <w:rPr>
          <w:rFonts w:ascii="Arial" w:hAnsi="Arial" w:cs="Arial"/>
          <w:color w:val="000000" w:themeColor="text1"/>
          <w:sz w:val="20"/>
          <w:szCs w:val="20"/>
          <w:lang w:eastAsia="sl-SI"/>
        </w:rPr>
        <w:t> </w:t>
      </w:r>
      <w:r w:rsidR="00AC0027" w:rsidRPr="008B1F8E">
        <w:rPr>
          <w:rFonts w:ascii="Arial" w:hAnsi="Arial" w:cs="Arial"/>
          <w:color w:val="000000" w:themeColor="text1"/>
          <w:sz w:val="20"/>
          <w:szCs w:val="20"/>
          <w:lang w:eastAsia="sl-SI"/>
        </w:rPr>
        <w:t>odstotka</w:t>
      </w:r>
      <w:r w:rsidR="00FA0EF9" w:rsidRPr="008B1F8E">
        <w:rPr>
          <w:rFonts w:ascii="Arial" w:hAnsi="Arial" w:cs="Arial"/>
          <w:color w:val="000000" w:themeColor="text1"/>
          <w:sz w:val="20"/>
          <w:szCs w:val="20"/>
          <w:lang w:eastAsia="sl-SI"/>
        </w:rPr>
        <w:t xml:space="preserve"> </w:t>
      </w:r>
      <w:r w:rsidRPr="008B1F8E">
        <w:rPr>
          <w:rFonts w:ascii="Arial" w:hAnsi="Arial" w:cs="Arial"/>
          <w:color w:val="000000" w:themeColor="text1"/>
          <w:sz w:val="20"/>
          <w:szCs w:val="20"/>
          <w:lang w:eastAsia="sl-SI"/>
        </w:rPr>
        <w:t xml:space="preserve">vseh naročil </w:t>
      </w:r>
      <w:r w:rsidR="006767B5" w:rsidRPr="008B1F8E">
        <w:rPr>
          <w:rFonts w:ascii="Arial" w:hAnsi="Arial" w:cs="Arial"/>
          <w:color w:val="000000" w:themeColor="text1"/>
          <w:sz w:val="20"/>
          <w:szCs w:val="20"/>
          <w:lang w:eastAsia="sl-SI"/>
        </w:rPr>
        <w:t xml:space="preserve">in </w:t>
      </w:r>
      <w:r w:rsidR="00AC04F2" w:rsidRPr="008B1F8E">
        <w:rPr>
          <w:rFonts w:ascii="Arial" w:hAnsi="Arial" w:cs="Arial"/>
          <w:color w:val="000000" w:themeColor="text1"/>
          <w:sz w:val="20"/>
          <w:szCs w:val="20"/>
          <w:lang w:eastAsia="sl-SI"/>
        </w:rPr>
        <w:t>14,61</w:t>
      </w:r>
      <w:r w:rsidR="005D5B62" w:rsidRPr="008B1F8E">
        <w:rPr>
          <w:rFonts w:ascii="Arial" w:hAnsi="Arial" w:cs="Arial"/>
          <w:color w:val="000000" w:themeColor="text1"/>
          <w:sz w:val="20"/>
          <w:szCs w:val="20"/>
          <w:lang w:eastAsia="sl-SI"/>
        </w:rPr>
        <w:t> </w:t>
      </w:r>
      <w:r w:rsidR="00AC0027" w:rsidRPr="008B1F8E">
        <w:rPr>
          <w:rFonts w:ascii="Arial" w:hAnsi="Arial" w:cs="Arial"/>
          <w:color w:val="000000" w:themeColor="text1"/>
          <w:sz w:val="20"/>
          <w:szCs w:val="20"/>
          <w:lang w:eastAsia="sl-SI"/>
        </w:rPr>
        <w:t>odstotka</w:t>
      </w:r>
      <w:r w:rsidR="00FA0EF9" w:rsidRPr="008B1F8E">
        <w:rPr>
          <w:rFonts w:ascii="Arial" w:hAnsi="Arial" w:cs="Arial"/>
          <w:color w:val="000000" w:themeColor="text1"/>
          <w:sz w:val="20"/>
          <w:szCs w:val="20"/>
          <w:lang w:eastAsia="sl-SI"/>
        </w:rPr>
        <w:t xml:space="preserve"> </w:t>
      </w:r>
      <w:r w:rsidRPr="008B1F8E">
        <w:rPr>
          <w:rFonts w:ascii="Arial" w:hAnsi="Arial" w:cs="Arial"/>
          <w:color w:val="000000" w:themeColor="text1"/>
          <w:sz w:val="20"/>
          <w:szCs w:val="20"/>
          <w:lang w:eastAsia="sl-SI"/>
        </w:rPr>
        <w:t>vrednosti vseh oddanih naročil v letu 20</w:t>
      </w:r>
      <w:r w:rsidR="00232215" w:rsidRPr="008B1F8E">
        <w:rPr>
          <w:rFonts w:ascii="Arial" w:hAnsi="Arial" w:cs="Arial"/>
          <w:color w:val="000000" w:themeColor="text1"/>
          <w:sz w:val="20"/>
          <w:szCs w:val="20"/>
          <w:lang w:eastAsia="sl-SI"/>
        </w:rPr>
        <w:t>2</w:t>
      </w:r>
      <w:r w:rsidR="00AC04F2" w:rsidRPr="008B1F8E">
        <w:rPr>
          <w:rFonts w:ascii="Arial" w:hAnsi="Arial" w:cs="Arial"/>
          <w:color w:val="000000" w:themeColor="text1"/>
          <w:sz w:val="20"/>
          <w:szCs w:val="20"/>
          <w:lang w:eastAsia="sl-SI"/>
        </w:rPr>
        <w:t>3</w:t>
      </w:r>
      <w:r w:rsidRPr="008B1F8E">
        <w:rPr>
          <w:rFonts w:ascii="Arial" w:hAnsi="Arial" w:cs="Arial"/>
          <w:color w:val="000000" w:themeColor="text1"/>
          <w:sz w:val="20"/>
          <w:szCs w:val="20"/>
          <w:lang w:eastAsia="sl-SI"/>
        </w:rPr>
        <w:t>.</w:t>
      </w:r>
    </w:p>
    <w:p w14:paraId="3E7F5F24" w14:textId="062DFF96" w:rsidR="008C1A77" w:rsidRPr="008B1F8E" w:rsidRDefault="008C1A77" w:rsidP="008C1A77">
      <w:pPr>
        <w:spacing w:line="360" w:lineRule="auto"/>
        <w:jc w:val="both"/>
        <w:rPr>
          <w:rFonts w:ascii="Arial" w:hAnsi="Arial" w:cs="Arial"/>
          <w:color w:val="000000" w:themeColor="text1"/>
          <w:sz w:val="20"/>
          <w:szCs w:val="20"/>
        </w:rPr>
      </w:pPr>
      <w:r w:rsidRPr="008B1F8E">
        <w:rPr>
          <w:rFonts w:ascii="Arial" w:hAnsi="Arial" w:cs="Arial"/>
          <w:color w:val="000000" w:themeColor="text1"/>
          <w:sz w:val="20"/>
          <w:szCs w:val="20"/>
        </w:rPr>
        <w:t xml:space="preserve">Iz statističnih podatkov izhaja, da naročniki v </w:t>
      </w:r>
      <w:r w:rsidR="00E86FC6" w:rsidRPr="008B1F8E">
        <w:rPr>
          <w:rFonts w:ascii="Arial" w:hAnsi="Arial" w:cs="Arial"/>
          <w:color w:val="000000" w:themeColor="text1"/>
          <w:sz w:val="20"/>
          <w:szCs w:val="20"/>
        </w:rPr>
        <w:t>1</w:t>
      </w:r>
      <w:r w:rsidR="008477FE" w:rsidRPr="008B1F8E">
        <w:rPr>
          <w:rFonts w:ascii="Arial" w:hAnsi="Arial" w:cs="Arial"/>
          <w:color w:val="000000" w:themeColor="text1"/>
          <w:sz w:val="20"/>
          <w:szCs w:val="20"/>
        </w:rPr>
        <w:t>.</w:t>
      </w:r>
      <w:r w:rsidR="00A31D1C" w:rsidRPr="008B1F8E">
        <w:rPr>
          <w:rFonts w:ascii="Arial" w:hAnsi="Arial" w:cs="Arial"/>
          <w:color w:val="000000" w:themeColor="text1"/>
          <w:sz w:val="20"/>
          <w:szCs w:val="20"/>
        </w:rPr>
        <w:t>706</w:t>
      </w:r>
      <w:r w:rsidRPr="008B1F8E">
        <w:rPr>
          <w:rFonts w:ascii="Arial" w:hAnsi="Arial" w:cs="Arial"/>
          <w:color w:val="000000" w:themeColor="text1"/>
          <w:sz w:val="20"/>
          <w:szCs w:val="20"/>
        </w:rPr>
        <w:t xml:space="preserve"> naročilih v vrednosti </w:t>
      </w:r>
      <w:r w:rsidR="00E86FC6" w:rsidRPr="008B1F8E">
        <w:rPr>
          <w:rFonts w:ascii="Arial" w:hAnsi="Arial" w:cs="Arial"/>
          <w:color w:val="000000" w:themeColor="text1"/>
          <w:sz w:val="20"/>
          <w:szCs w:val="20"/>
        </w:rPr>
        <w:t>3</w:t>
      </w:r>
      <w:r w:rsidR="00A31D1C" w:rsidRPr="008B1F8E">
        <w:rPr>
          <w:rFonts w:ascii="Arial" w:hAnsi="Arial" w:cs="Arial"/>
          <w:color w:val="000000" w:themeColor="text1"/>
          <w:sz w:val="20"/>
          <w:szCs w:val="20"/>
        </w:rPr>
        <w:t>65</w:t>
      </w:r>
      <w:r w:rsidR="00E86FC6" w:rsidRPr="008B1F8E">
        <w:rPr>
          <w:rFonts w:ascii="Arial" w:hAnsi="Arial" w:cs="Arial"/>
          <w:color w:val="000000" w:themeColor="text1"/>
          <w:sz w:val="20"/>
          <w:szCs w:val="20"/>
        </w:rPr>
        <w:t>.</w:t>
      </w:r>
      <w:r w:rsidR="00A31D1C" w:rsidRPr="008B1F8E">
        <w:rPr>
          <w:rFonts w:ascii="Arial" w:hAnsi="Arial" w:cs="Arial"/>
          <w:color w:val="000000" w:themeColor="text1"/>
          <w:sz w:val="20"/>
          <w:szCs w:val="20"/>
        </w:rPr>
        <w:t>805</w:t>
      </w:r>
      <w:r w:rsidR="00E86FC6" w:rsidRPr="008B1F8E">
        <w:rPr>
          <w:rFonts w:ascii="Arial" w:hAnsi="Arial" w:cs="Arial"/>
          <w:color w:val="000000" w:themeColor="text1"/>
          <w:sz w:val="20"/>
          <w:szCs w:val="20"/>
        </w:rPr>
        <w:t>.</w:t>
      </w:r>
      <w:r w:rsidR="00A31D1C" w:rsidRPr="008B1F8E">
        <w:rPr>
          <w:rFonts w:ascii="Arial" w:hAnsi="Arial" w:cs="Arial"/>
          <w:color w:val="000000" w:themeColor="text1"/>
          <w:sz w:val="20"/>
          <w:szCs w:val="20"/>
        </w:rPr>
        <w:t>884</w:t>
      </w:r>
      <w:r w:rsidR="00E86FC6" w:rsidRPr="008B1F8E">
        <w:rPr>
          <w:rFonts w:ascii="Arial" w:hAnsi="Arial" w:cs="Arial"/>
          <w:color w:val="000000" w:themeColor="text1"/>
          <w:sz w:val="20"/>
          <w:szCs w:val="20"/>
        </w:rPr>
        <w:t xml:space="preserve"> </w:t>
      </w:r>
      <w:r w:rsidRPr="008B1F8E">
        <w:rPr>
          <w:rFonts w:ascii="Arial" w:hAnsi="Arial" w:cs="Arial"/>
          <w:color w:val="000000" w:themeColor="text1"/>
          <w:sz w:val="20"/>
          <w:szCs w:val="20"/>
        </w:rPr>
        <w:t xml:space="preserve">evrov, kjer predmet naročanja </w:t>
      </w:r>
      <w:r w:rsidR="00FC1B91" w:rsidRPr="008B1F8E">
        <w:rPr>
          <w:rFonts w:ascii="Arial" w:hAnsi="Arial" w:cs="Arial"/>
          <w:color w:val="000000" w:themeColor="text1"/>
          <w:sz w:val="20"/>
          <w:szCs w:val="20"/>
        </w:rPr>
        <w:t xml:space="preserve">pomeni </w:t>
      </w:r>
      <w:r w:rsidRPr="008B1F8E">
        <w:rPr>
          <w:rFonts w:ascii="Arial" w:hAnsi="Arial" w:cs="Arial"/>
          <w:color w:val="000000" w:themeColor="text1"/>
          <w:sz w:val="20"/>
          <w:szCs w:val="20"/>
        </w:rPr>
        <w:t xml:space="preserve">vsaj enega </w:t>
      </w:r>
      <w:r w:rsidR="005D5B62" w:rsidRPr="008B1F8E">
        <w:rPr>
          <w:rFonts w:ascii="Arial" w:hAnsi="Arial" w:cs="Arial"/>
          <w:color w:val="000000" w:themeColor="text1"/>
          <w:sz w:val="20"/>
          <w:szCs w:val="20"/>
        </w:rPr>
        <w:t xml:space="preserve">od </w:t>
      </w:r>
      <w:r w:rsidRPr="008B1F8E">
        <w:rPr>
          <w:rFonts w:ascii="Arial" w:hAnsi="Arial" w:cs="Arial"/>
          <w:color w:val="000000" w:themeColor="text1"/>
          <w:sz w:val="20"/>
          <w:szCs w:val="20"/>
        </w:rPr>
        <w:t xml:space="preserve">predmetov zelenega javnega naročanja, niso vključili nobenega okoljskega vidika. </w:t>
      </w:r>
    </w:p>
    <w:p w14:paraId="3B83B9CC" w14:textId="66DF9216" w:rsidR="00F742E4" w:rsidRPr="008B1F8E" w:rsidRDefault="008C1A77" w:rsidP="008C1A77">
      <w:pPr>
        <w:spacing w:line="360" w:lineRule="auto"/>
        <w:jc w:val="both"/>
        <w:rPr>
          <w:rFonts w:ascii="Arial" w:hAnsi="Arial" w:cs="Arial"/>
          <w:color w:val="000000" w:themeColor="text1"/>
          <w:sz w:val="20"/>
          <w:szCs w:val="20"/>
          <w:lang w:eastAsia="sl-SI"/>
        </w:rPr>
      </w:pPr>
      <w:r w:rsidRPr="008B1F8E">
        <w:rPr>
          <w:rFonts w:ascii="Arial" w:hAnsi="Arial" w:cs="Arial"/>
          <w:color w:val="000000" w:themeColor="text1"/>
          <w:sz w:val="20"/>
          <w:szCs w:val="20"/>
        </w:rPr>
        <w:t>Največji delež zelenih naročil v vseh naročilih glede na področje je na splošnem področju, kjer zelena naročila</w:t>
      </w:r>
      <w:r w:rsidR="00E44BEE" w:rsidRPr="008B1F8E">
        <w:rPr>
          <w:rFonts w:ascii="Arial" w:hAnsi="Arial" w:cs="Arial"/>
          <w:color w:val="000000" w:themeColor="text1"/>
          <w:sz w:val="20"/>
          <w:szCs w:val="20"/>
        </w:rPr>
        <w:t xml:space="preserve"> </w:t>
      </w:r>
      <w:r w:rsidR="001D3DD9" w:rsidRPr="008B1F8E">
        <w:rPr>
          <w:rFonts w:ascii="Arial" w:hAnsi="Arial" w:cs="Arial"/>
          <w:color w:val="000000" w:themeColor="text1"/>
          <w:sz w:val="20"/>
          <w:szCs w:val="20"/>
        </w:rPr>
        <w:t>zavzemajo</w:t>
      </w:r>
      <w:r w:rsidRPr="008B1F8E">
        <w:rPr>
          <w:rFonts w:ascii="Arial" w:hAnsi="Arial" w:cs="Arial"/>
          <w:color w:val="000000" w:themeColor="text1"/>
          <w:sz w:val="20"/>
          <w:szCs w:val="20"/>
        </w:rPr>
        <w:t xml:space="preserve"> </w:t>
      </w:r>
      <w:r w:rsidR="00F65A6E" w:rsidRPr="008B1F8E">
        <w:rPr>
          <w:rFonts w:ascii="Arial" w:hAnsi="Arial" w:cs="Arial"/>
          <w:color w:val="000000" w:themeColor="text1"/>
          <w:sz w:val="20"/>
          <w:szCs w:val="20"/>
        </w:rPr>
        <w:t>slabo</w:t>
      </w:r>
      <w:r w:rsidRPr="008B1F8E">
        <w:rPr>
          <w:rFonts w:ascii="Arial" w:hAnsi="Arial" w:cs="Arial"/>
          <w:color w:val="000000" w:themeColor="text1"/>
          <w:sz w:val="20"/>
          <w:szCs w:val="20"/>
        </w:rPr>
        <w:t xml:space="preserve"> </w:t>
      </w:r>
      <w:r w:rsidR="00191A12" w:rsidRPr="008B1F8E">
        <w:rPr>
          <w:rFonts w:ascii="Arial" w:hAnsi="Arial" w:cs="Arial"/>
          <w:color w:val="000000" w:themeColor="text1"/>
          <w:sz w:val="20"/>
          <w:szCs w:val="20"/>
        </w:rPr>
        <w:t>tretjin</w:t>
      </w:r>
      <w:r w:rsidR="00E44BEE" w:rsidRPr="008B1F8E">
        <w:rPr>
          <w:rFonts w:ascii="Arial" w:hAnsi="Arial" w:cs="Arial"/>
          <w:color w:val="000000" w:themeColor="text1"/>
          <w:sz w:val="20"/>
          <w:szCs w:val="20"/>
        </w:rPr>
        <w:t>o</w:t>
      </w:r>
      <w:r w:rsidRPr="008B1F8E">
        <w:rPr>
          <w:rFonts w:ascii="Arial" w:hAnsi="Arial" w:cs="Arial"/>
          <w:color w:val="000000" w:themeColor="text1"/>
          <w:sz w:val="20"/>
          <w:szCs w:val="20"/>
        </w:rPr>
        <w:t xml:space="preserve"> vseh oddanih naročil na tem področju. Prav tako je na splošnem področju največji delež zelenih naročil po vrednosti vseh naročil glede na področje.</w:t>
      </w:r>
    </w:p>
    <w:p w14:paraId="23B0AD6E" w14:textId="660DDAFF" w:rsidR="00F83DD4" w:rsidRPr="008B1F8E" w:rsidRDefault="00F83DD4" w:rsidP="00701C10">
      <w:pPr>
        <w:spacing w:before="120" w:after="120" w:line="240" w:lineRule="auto"/>
        <w:jc w:val="both"/>
        <w:rPr>
          <w:rFonts w:ascii="Arial" w:hAnsi="Arial" w:cs="Arial"/>
          <w:color w:val="000000" w:themeColor="text1"/>
          <w:sz w:val="20"/>
        </w:rPr>
      </w:pPr>
      <w:r w:rsidRPr="008B1F8E">
        <w:rPr>
          <w:rFonts w:ascii="Arial" w:hAnsi="Arial" w:cs="Arial"/>
          <w:color w:val="000000" w:themeColor="text1"/>
          <w:sz w:val="20"/>
        </w:rPr>
        <w:t xml:space="preserve">Preglednica </w:t>
      </w:r>
      <w:r w:rsidR="00512F52" w:rsidRPr="008B1F8E">
        <w:rPr>
          <w:rFonts w:ascii="Arial" w:hAnsi="Arial" w:cs="Arial"/>
          <w:color w:val="000000" w:themeColor="text1"/>
          <w:sz w:val="20"/>
        </w:rPr>
        <w:t>4</w:t>
      </w:r>
      <w:r w:rsidR="00EA747F" w:rsidRPr="008B1F8E">
        <w:rPr>
          <w:rFonts w:ascii="Arial" w:hAnsi="Arial" w:cs="Arial"/>
          <w:color w:val="000000" w:themeColor="text1"/>
          <w:sz w:val="20"/>
        </w:rPr>
        <w:t>7</w:t>
      </w:r>
      <w:r w:rsidRPr="008B1F8E">
        <w:rPr>
          <w:rFonts w:ascii="Arial" w:hAnsi="Arial" w:cs="Arial"/>
          <w:color w:val="000000" w:themeColor="text1"/>
          <w:sz w:val="20"/>
        </w:rPr>
        <w:t>: Število in vrednosti ter deleži zelenih naročil glede na področje</w:t>
      </w:r>
      <w:r w:rsidR="00B4367F" w:rsidRPr="008B1F8E">
        <w:rPr>
          <w:rFonts w:ascii="Arial" w:hAnsi="Arial" w:cs="Arial"/>
          <w:color w:val="000000" w:themeColor="text1"/>
          <w:sz w:val="20"/>
        </w:rPr>
        <w:t xml:space="preserve"> naročanja</w:t>
      </w:r>
    </w:p>
    <w:tbl>
      <w:tblPr>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332"/>
        <w:gridCol w:w="1503"/>
        <w:gridCol w:w="1701"/>
        <w:gridCol w:w="1703"/>
      </w:tblGrid>
      <w:tr w:rsidR="006D1A48" w:rsidRPr="008B1F8E" w14:paraId="72986040" w14:textId="77777777" w:rsidTr="00EF3ACA">
        <w:trPr>
          <w:trHeight w:val="255"/>
          <w:jc w:val="center"/>
        </w:trPr>
        <w:tc>
          <w:tcPr>
            <w:tcW w:w="1413" w:type="dxa"/>
            <w:shd w:val="clear" w:color="auto" w:fill="F2F2F2" w:themeFill="background1" w:themeFillShade="F2"/>
            <w:vAlign w:val="center"/>
            <w:hideMark/>
          </w:tcPr>
          <w:p w14:paraId="73B4F1D8" w14:textId="77777777" w:rsidR="00503D37" w:rsidRPr="008B1F8E" w:rsidRDefault="00503D37" w:rsidP="00503D37">
            <w:pPr>
              <w:spacing w:after="0" w:line="240" w:lineRule="auto"/>
              <w:jc w:val="center"/>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 xml:space="preserve">Področje </w:t>
            </w:r>
          </w:p>
        </w:tc>
        <w:tc>
          <w:tcPr>
            <w:tcW w:w="1332" w:type="dxa"/>
            <w:shd w:val="clear" w:color="auto" w:fill="F2F2F2" w:themeFill="background1" w:themeFillShade="F2"/>
            <w:vAlign w:val="center"/>
            <w:hideMark/>
          </w:tcPr>
          <w:p w14:paraId="7FAEE573" w14:textId="77777777" w:rsidR="00503D37" w:rsidRPr="008B1F8E" w:rsidRDefault="00503D37" w:rsidP="00503D37">
            <w:pPr>
              <w:spacing w:after="0" w:line="240" w:lineRule="auto"/>
              <w:jc w:val="center"/>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Št. zelenih naročil</w:t>
            </w:r>
          </w:p>
        </w:tc>
        <w:tc>
          <w:tcPr>
            <w:tcW w:w="1503" w:type="dxa"/>
            <w:shd w:val="clear" w:color="auto" w:fill="F2F2F2" w:themeFill="background1" w:themeFillShade="F2"/>
            <w:vAlign w:val="center"/>
            <w:hideMark/>
          </w:tcPr>
          <w:p w14:paraId="73A561E3" w14:textId="4B6999C4" w:rsidR="00503D37" w:rsidRPr="008B1F8E" w:rsidRDefault="00503D37" w:rsidP="00503D37">
            <w:pPr>
              <w:spacing w:after="0" w:line="240" w:lineRule="auto"/>
              <w:jc w:val="center"/>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Pogodbena vrednost</w:t>
            </w:r>
            <w:r w:rsidR="00055BE0" w:rsidRPr="008B1F8E">
              <w:rPr>
                <w:rFonts w:ascii="Arial" w:eastAsia="Times New Roman" w:hAnsi="Arial" w:cs="Arial"/>
                <w:color w:val="000000" w:themeColor="text1"/>
                <w:sz w:val="18"/>
                <w:szCs w:val="18"/>
                <w:lang w:eastAsia="sl-SI"/>
              </w:rPr>
              <w:t xml:space="preserve"> (v EUR)</w:t>
            </w:r>
          </w:p>
        </w:tc>
        <w:tc>
          <w:tcPr>
            <w:tcW w:w="1701" w:type="dxa"/>
            <w:shd w:val="clear" w:color="auto" w:fill="F2F2F2" w:themeFill="background1" w:themeFillShade="F2"/>
            <w:vAlign w:val="center"/>
            <w:hideMark/>
          </w:tcPr>
          <w:p w14:paraId="2AA93E12" w14:textId="77777777" w:rsidR="00503D37" w:rsidRPr="008B1F8E" w:rsidRDefault="00503D37" w:rsidP="00503D37">
            <w:pPr>
              <w:spacing w:after="0" w:line="240" w:lineRule="auto"/>
              <w:jc w:val="center"/>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Delež v št. naročil na istem področju</w:t>
            </w:r>
          </w:p>
        </w:tc>
        <w:tc>
          <w:tcPr>
            <w:tcW w:w="1703" w:type="dxa"/>
            <w:shd w:val="clear" w:color="auto" w:fill="F2F2F2" w:themeFill="background1" w:themeFillShade="F2"/>
            <w:vAlign w:val="center"/>
            <w:hideMark/>
          </w:tcPr>
          <w:p w14:paraId="39BF1514" w14:textId="77777777" w:rsidR="00503D37" w:rsidRPr="008B1F8E" w:rsidRDefault="00503D37" w:rsidP="00503D37">
            <w:pPr>
              <w:spacing w:after="0" w:line="240" w:lineRule="auto"/>
              <w:jc w:val="center"/>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Delež v vrednosti na istem področju</w:t>
            </w:r>
          </w:p>
        </w:tc>
      </w:tr>
      <w:tr w:rsidR="007376AD" w:rsidRPr="008B1F8E" w14:paraId="5B9DC6F6" w14:textId="77777777" w:rsidTr="00EF3ACA">
        <w:trPr>
          <w:trHeight w:val="255"/>
          <w:jc w:val="center"/>
        </w:trPr>
        <w:tc>
          <w:tcPr>
            <w:tcW w:w="1413" w:type="dxa"/>
            <w:shd w:val="clear" w:color="auto" w:fill="auto"/>
            <w:vAlign w:val="center"/>
            <w:hideMark/>
          </w:tcPr>
          <w:p w14:paraId="5AB17C19" w14:textId="77777777" w:rsidR="007376AD" w:rsidRPr="008B1F8E" w:rsidRDefault="007376AD" w:rsidP="007376AD">
            <w:pPr>
              <w:spacing w:after="0" w:line="240" w:lineRule="auto"/>
              <w:jc w:val="both"/>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Splošno</w:t>
            </w:r>
          </w:p>
        </w:tc>
        <w:tc>
          <w:tcPr>
            <w:tcW w:w="1332" w:type="dxa"/>
            <w:shd w:val="clear" w:color="auto" w:fill="auto"/>
            <w:vAlign w:val="center"/>
            <w:hideMark/>
          </w:tcPr>
          <w:p w14:paraId="65F2A6DE" w14:textId="36289CC8" w:rsidR="007376AD" w:rsidRPr="008B1F8E" w:rsidRDefault="007376AD"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4.5</w:t>
            </w:r>
            <w:r w:rsidR="008B1F8E" w:rsidRPr="008B1F8E">
              <w:rPr>
                <w:rFonts w:ascii="Arial" w:eastAsia="Times New Roman" w:hAnsi="Arial" w:cs="Arial"/>
                <w:color w:val="000000" w:themeColor="text1"/>
                <w:sz w:val="18"/>
                <w:szCs w:val="18"/>
                <w:lang w:eastAsia="sl-SI"/>
              </w:rPr>
              <w:t>79</w:t>
            </w:r>
          </w:p>
        </w:tc>
        <w:tc>
          <w:tcPr>
            <w:tcW w:w="1503" w:type="dxa"/>
            <w:shd w:val="clear" w:color="auto" w:fill="auto"/>
            <w:vAlign w:val="center"/>
            <w:hideMark/>
          </w:tcPr>
          <w:p w14:paraId="28F8800C" w14:textId="1C9517EF" w:rsidR="007376AD" w:rsidRPr="008B1F8E" w:rsidRDefault="007376AD"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1.84</w:t>
            </w:r>
            <w:r w:rsidR="008B1F8E" w:rsidRPr="008B1F8E">
              <w:rPr>
                <w:rFonts w:ascii="Arial" w:eastAsia="Times New Roman" w:hAnsi="Arial" w:cs="Arial"/>
                <w:color w:val="000000" w:themeColor="text1"/>
                <w:sz w:val="18"/>
                <w:szCs w:val="18"/>
                <w:lang w:eastAsia="sl-SI"/>
              </w:rPr>
              <w:t>1</w:t>
            </w:r>
            <w:r w:rsidRPr="008B1F8E">
              <w:rPr>
                <w:rFonts w:ascii="Arial" w:eastAsia="Times New Roman" w:hAnsi="Arial" w:cs="Arial"/>
                <w:color w:val="000000" w:themeColor="text1"/>
                <w:sz w:val="18"/>
                <w:szCs w:val="18"/>
                <w:lang w:eastAsia="sl-SI"/>
              </w:rPr>
              <w:t>.</w:t>
            </w:r>
            <w:r w:rsidR="008B1F8E" w:rsidRPr="008B1F8E">
              <w:rPr>
                <w:rFonts w:ascii="Arial" w:eastAsia="Times New Roman" w:hAnsi="Arial" w:cs="Arial"/>
                <w:color w:val="000000" w:themeColor="text1"/>
                <w:sz w:val="18"/>
                <w:szCs w:val="18"/>
                <w:lang w:eastAsia="sl-SI"/>
              </w:rPr>
              <w:t>904</w:t>
            </w:r>
            <w:r w:rsidRPr="008B1F8E">
              <w:rPr>
                <w:rFonts w:ascii="Arial" w:eastAsia="Times New Roman" w:hAnsi="Arial" w:cs="Arial"/>
                <w:color w:val="000000" w:themeColor="text1"/>
                <w:sz w:val="18"/>
                <w:szCs w:val="18"/>
                <w:lang w:eastAsia="sl-SI"/>
              </w:rPr>
              <w:t>.</w:t>
            </w:r>
            <w:r w:rsidR="008B1F8E" w:rsidRPr="008B1F8E">
              <w:rPr>
                <w:rFonts w:ascii="Arial" w:eastAsia="Times New Roman" w:hAnsi="Arial" w:cs="Arial"/>
                <w:color w:val="000000" w:themeColor="text1"/>
                <w:sz w:val="18"/>
                <w:szCs w:val="18"/>
                <w:lang w:eastAsia="sl-SI"/>
              </w:rPr>
              <w:t>44</w:t>
            </w:r>
            <w:r w:rsidRPr="008B1F8E">
              <w:rPr>
                <w:rFonts w:ascii="Arial" w:eastAsia="Times New Roman" w:hAnsi="Arial" w:cs="Arial"/>
                <w:color w:val="000000" w:themeColor="text1"/>
                <w:sz w:val="18"/>
                <w:szCs w:val="18"/>
                <w:lang w:eastAsia="sl-SI"/>
              </w:rPr>
              <w:t>2</w:t>
            </w:r>
          </w:p>
        </w:tc>
        <w:tc>
          <w:tcPr>
            <w:tcW w:w="1701" w:type="dxa"/>
            <w:shd w:val="clear" w:color="auto" w:fill="auto"/>
            <w:vAlign w:val="center"/>
            <w:hideMark/>
          </w:tcPr>
          <w:p w14:paraId="60550754" w14:textId="68697224" w:rsidR="007376AD" w:rsidRPr="008B1F8E" w:rsidRDefault="007376AD"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32,31 %</w:t>
            </w:r>
          </w:p>
        </w:tc>
        <w:tc>
          <w:tcPr>
            <w:tcW w:w="1703" w:type="dxa"/>
            <w:shd w:val="clear" w:color="auto" w:fill="auto"/>
            <w:vAlign w:val="center"/>
            <w:hideMark/>
          </w:tcPr>
          <w:p w14:paraId="3906F97B" w14:textId="6F309FA6" w:rsidR="007376AD" w:rsidRPr="008B1F8E" w:rsidRDefault="007376AD"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39,73 %</w:t>
            </w:r>
          </w:p>
        </w:tc>
      </w:tr>
      <w:tr w:rsidR="007376AD" w:rsidRPr="008B1F8E" w14:paraId="1B0EDDAB" w14:textId="77777777" w:rsidTr="00EF3ACA">
        <w:trPr>
          <w:trHeight w:val="255"/>
          <w:jc w:val="center"/>
        </w:trPr>
        <w:tc>
          <w:tcPr>
            <w:tcW w:w="1413" w:type="dxa"/>
            <w:shd w:val="clear" w:color="auto" w:fill="auto"/>
            <w:vAlign w:val="center"/>
            <w:hideMark/>
          </w:tcPr>
          <w:p w14:paraId="4EE6BF0E" w14:textId="77777777" w:rsidR="007376AD" w:rsidRPr="008B1F8E" w:rsidRDefault="007376AD" w:rsidP="007376AD">
            <w:pPr>
              <w:spacing w:after="0" w:line="240" w:lineRule="auto"/>
              <w:jc w:val="both"/>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Infrastrukturno</w:t>
            </w:r>
          </w:p>
        </w:tc>
        <w:tc>
          <w:tcPr>
            <w:tcW w:w="1332" w:type="dxa"/>
            <w:shd w:val="clear" w:color="auto" w:fill="auto"/>
            <w:vAlign w:val="center"/>
            <w:hideMark/>
          </w:tcPr>
          <w:p w14:paraId="053C6750" w14:textId="3B0C600C" w:rsidR="007376AD" w:rsidRPr="008B1F8E" w:rsidRDefault="007376AD"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225</w:t>
            </w:r>
          </w:p>
        </w:tc>
        <w:tc>
          <w:tcPr>
            <w:tcW w:w="1503" w:type="dxa"/>
            <w:shd w:val="clear" w:color="auto" w:fill="auto"/>
            <w:vAlign w:val="center"/>
            <w:hideMark/>
          </w:tcPr>
          <w:p w14:paraId="795418C3" w14:textId="37FBEE3B" w:rsidR="007376AD" w:rsidRPr="008B1F8E" w:rsidRDefault="007376AD"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295.767.472</w:t>
            </w:r>
          </w:p>
        </w:tc>
        <w:tc>
          <w:tcPr>
            <w:tcW w:w="1701" w:type="dxa"/>
            <w:shd w:val="clear" w:color="auto" w:fill="auto"/>
            <w:vAlign w:val="center"/>
            <w:hideMark/>
          </w:tcPr>
          <w:p w14:paraId="2A46F397" w14:textId="304CB5BB" w:rsidR="007376AD" w:rsidRPr="008B1F8E" w:rsidRDefault="007376AD"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8,92 %</w:t>
            </w:r>
          </w:p>
        </w:tc>
        <w:tc>
          <w:tcPr>
            <w:tcW w:w="1703" w:type="dxa"/>
            <w:shd w:val="clear" w:color="auto" w:fill="auto"/>
            <w:vAlign w:val="center"/>
            <w:hideMark/>
          </w:tcPr>
          <w:p w14:paraId="7EFBC058" w14:textId="37699B91" w:rsidR="007376AD" w:rsidRPr="008B1F8E" w:rsidRDefault="007376AD"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20,53 %</w:t>
            </w:r>
          </w:p>
        </w:tc>
      </w:tr>
      <w:tr w:rsidR="006D1A48" w:rsidRPr="008B1F8E" w14:paraId="0942D665" w14:textId="77777777" w:rsidTr="00EF3ACA">
        <w:trPr>
          <w:trHeight w:val="255"/>
          <w:jc w:val="center"/>
        </w:trPr>
        <w:tc>
          <w:tcPr>
            <w:tcW w:w="1413" w:type="dxa"/>
            <w:shd w:val="clear" w:color="auto" w:fill="auto"/>
            <w:vAlign w:val="center"/>
            <w:hideMark/>
          </w:tcPr>
          <w:p w14:paraId="245A999A" w14:textId="77777777" w:rsidR="00F65A6E" w:rsidRPr="008B1F8E" w:rsidRDefault="00F65A6E" w:rsidP="00F65A6E">
            <w:pPr>
              <w:spacing w:after="0" w:line="240" w:lineRule="auto"/>
              <w:jc w:val="both"/>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Obrambno</w:t>
            </w:r>
          </w:p>
        </w:tc>
        <w:tc>
          <w:tcPr>
            <w:tcW w:w="1332" w:type="dxa"/>
            <w:shd w:val="clear" w:color="auto" w:fill="auto"/>
            <w:vAlign w:val="center"/>
            <w:hideMark/>
          </w:tcPr>
          <w:p w14:paraId="42C3706D" w14:textId="56CEA3F3" w:rsidR="00F65A6E" w:rsidRPr="008B1F8E" w:rsidRDefault="00F65A6E"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0</w:t>
            </w:r>
          </w:p>
        </w:tc>
        <w:tc>
          <w:tcPr>
            <w:tcW w:w="1503" w:type="dxa"/>
            <w:shd w:val="clear" w:color="auto" w:fill="auto"/>
            <w:vAlign w:val="center"/>
            <w:hideMark/>
          </w:tcPr>
          <w:p w14:paraId="5EBCEA60" w14:textId="23C5CFFB" w:rsidR="00F65A6E" w:rsidRPr="008B1F8E" w:rsidRDefault="00F65A6E"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0</w:t>
            </w:r>
          </w:p>
        </w:tc>
        <w:tc>
          <w:tcPr>
            <w:tcW w:w="1701" w:type="dxa"/>
            <w:shd w:val="clear" w:color="auto" w:fill="auto"/>
            <w:vAlign w:val="center"/>
            <w:hideMark/>
          </w:tcPr>
          <w:p w14:paraId="10784A7B" w14:textId="221867B1" w:rsidR="00F65A6E" w:rsidRPr="008B1F8E" w:rsidRDefault="00F65A6E"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0,00 %</w:t>
            </w:r>
          </w:p>
        </w:tc>
        <w:tc>
          <w:tcPr>
            <w:tcW w:w="1703" w:type="dxa"/>
            <w:shd w:val="clear" w:color="auto" w:fill="auto"/>
            <w:vAlign w:val="center"/>
            <w:hideMark/>
          </w:tcPr>
          <w:p w14:paraId="71CE0FD8" w14:textId="6981D1AE" w:rsidR="00F65A6E" w:rsidRPr="008B1F8E" w:rsidRDefault="00F65A6E" w:rsidP="007376AD">
            <w:pPr>
              <w:spacing w:after="0" w:line="240" w:lineRule="auto"/>
              <w:jc w:val="right"/>
              <w:rPr>
                <w:rFonts w:ascii="Arial" w:eastAsia="Times New Roman" w:hAnsi="Arial" w:cs="Arial"/>
                <w:color w:val="000000" w:themeColor="text1"/>
                <w:sz w:val="18"/>
                <w:szCs w:val="18"/>
                <w:lang w:eastAsia="sl-SI"/>
              </w:rPr>
            </w:pPr>
            <w:r w:rsidRPr="008B1F8E">
              <w:rPr>
                <w:rFonts w:ascii="Arial" w:eastAsia="Times New Roman" w:hAnsi="Arial" w:cs="Arial"/>
                <w:color w:val="000000" w:themeColor="text1"/>
                <w:sz w:val="18"/>
                <w:szCs w:val="18"/>
                <w:lang w:eastAsia="sl-SI"/>
              </w:rPr>
              <w:t xml:space="preserve">0,00 </w:t>
            </w:r>
            <w:r w:rsidR="007376AD" w:rsidRPr="008B1F8E">
              <w:rPr>
                <w:rFonts w:ascii="Arial" w:eastAsia="Times New Roman" w:hAnsi="Arial" w:cs="Arial"/>
                <w:color w:val="000000" w:themeColor="text1"/>
                <w:sz w:val="18"/>
                <w:szCs w:val="18"/>
                <w:lang w:eastAsia="sl-SI"/>
              </w:rPr>
              <w:t xml:space="preserve"> </w:t>
            </w:r>
            <w:r w:rsidRPr="008B1F8E">
              <w:rPr>
                <w:rFonts w:ascii="Arial" w:eastAsia="Times New Roman" w:hAnsi="Arial" w:cs="Arial"/>
                <w:color w:val="000000" w:themeColor="text1"/>
                <w:sz w:val="18"/>
                <w:szCs w:val="18"/>
                <w:lang w:eastAsia="sl-SI"/>
              </w:rPr>
              <w:t>%</w:t>
            </w:r>
          </w:p>
        </w:tc>
      </w:tr>
      <w:tr w:rsidR="008B1F8E" w:rsidRPr="008B1F8E" w14:paraId="36F91196" w14:textId="77777777" w:rsidTr="008B1F8E">
        <w:trPr>
          <w:trHeight w:val="255"/>
          <w:jc w:val="center"/>
        </w:trPr>
        <w:tc>
          <w:tcPr>
            <w:tcW w:w="1413" w:type="dxa"/>
            <w:shd w:val="clear" w:color="auto" w:fill="F2F2F2" w:themeFill="background1" w:themeFillShade="F2"/>
            <w:vAlign w:val="center"/>
            <w:hideMark/>
          </w:tcPr>
          <w:p w14:paraId="64279D28" w14:textId="77777777" w:rsidR="008B1F8E" w:rsidRPr="008B1F8E" w:rsidRDefault="008B1F8E" w:rsidP="008B1F8E">
            <w:pPr>
              <w:spacing w:after="0" w:line="240" w:lineRule="auto"/>
              <w:jc w:val="both"/>
              <w:rPr>
                <w:rFonts w:ascii="Arial" w:eastAsia="Times New Roman" w:hAnsi="Arial" w:cs="Arial"/>
                <w:b/>
                <w:bCs/>
                <w:color w:val="000000" w:themeColor="text1"/>
                <w:sz w:val="18"/>
                <w:szCs w:val="18"/>
                <w:lang w:eastAsia="sl-SI"/>
              </w:rPr>
            </w:pPr>
            <w:r w:rsidRPr="008B1F8E">
              <w:rPr>
                <w:rFonts w:ascii="Arial" w:eastAsia="Times New Roman" w:hAnsi="Arial" w:cs="Arial"/>
                <w:b/>
                <w:bCs/>
                <w:color w:val="000000" w:themeColor="text1"/>
                <w:sz w:val="18"/>
                <w:szCs w:val="18"/>
                <w:lang w:eastAsia="sl-SI"/>
              </w:rPr>
              <w:t>Skupaj</w:t>
            </w:r>
          </w:p>
        </w:tc>
        <w:tc>
          <w:tcPr>
            <w:tcW w:w="1332" w:type="dxa"/>
            <w:shd w:val="clear" w:color="auto" w:fill="F2F2F2" w:themeFill="background1" w:themeFillShade="F2"/>
            <w:vAlign w:val="center"/>
          </w:tcPr>
          <w:p w14:paraId="5EC4F7C6" w14:textId="525C0E68" w:rsidR="008B1F8E" w:rsidRPr="008B1F8E" w:rsidRDefault="008B1F8E" w:rsidP="008B1F8E">
            <w:pPr>
              <w:spacing w:after="0" w:line="240" w:lineRule="auto"/>
              <w:jc w:val="right"/>
              <w:rPr>
                <w:rFonts w:ascii="Arial" w:eastAsia="Times New Roman" w:hAnsi="Arial" w:cs="Arial"/>
                <w:b/>
                <w:bCs/>
                <w:color w:val="000000" w:themeColor="text1"/>
                <w:sz w:val="18"/>
                <w:szCs w:val="18"/>
                <w:lang w:eastAsia="sl-SI"/>
              </w:rPr>
            </w:pPr>
            <w:r w:rsidRPr="008B1F8E">
              <w:rPr>
                <w:rFonts w:ascii="Arial" w:eastAsia="Times New Roman" w:hAnsi="Arial" w:cs="Arial"/>
                <w:b/>
                <w:bCs/>
                <w:color w:val="000000" w:themeColor="text1"/>
                <w:sz w:val="18"/>
                <w:szCs w:val="18"/>
                <w:lang w:eastAsia="sl-SI"/>
              </w:rPr>
              <w:t>4.804</w:t>
            </w:r>
          </w:p>
        </w:tc>
        <w:tc>
          <w:tcPr>
            <w:tcW w:w="1503" w:type="dxa"/>
            <w:shd w:val="clear" w:color="auto" w:fill="F2F2F2" w:themeFill="background1" w:themeFillShade="F2"/>
            <w:vAlign w:val="center"/>
          </w:tcPr>
          <w:p w14:paraId="45624484" w14:textId="30A18B77" w:rsidR="008B1F8E" w:rsidRPr="008B1F8E" w:rsidRDefault="008B1F8E" w:rsidP="008B1F8E">
            <w:pPr>
              <w:spacing w:after="0" w:line="240" w:lineRule="auto"/>
              <w:jc w:val="right"/>
              <w:rPr>
                <w:rFonts w:ascii="Arial" w:eastAsia="Times New Roman" w:hAnsi="Arial" w:cs="Arial"/>
                <w:b/>
                <w:bCs/>
                <w:color w:val="000000" w:themeColor="text1"/>
                <w:sz w:val="18"/>
                <w:szCs w:val="18"/>
                <w:lang w:eastAsia="sl-SI"/>
              </w:rPr>
            </w:pPr>
            <w:r w:rsidRPr="008B1F8E">
              <w:rPr>
                <w:rFonts w:ascii="Arial" w:eastAsia="Times New Roman" w:hAnsi="Arial" w:cs="Arial"/>
                <w:b/>
                <w:bCs/>
                <w:color w:val="000000" w:themeColor="text1"/>
                <w:sz w:val="18"/>
                <w:szCs w:val="18"/>
                <w:lang w:eastAsia="sl-SI"/>
              </w:rPr>
              <w:t>2.137.671.914</w:t>
            </w:r>
          </w:p>
        </w:tc>
        <w:tc>
          <w:tcPr>
            <w:tcW w:w="1701" w:type="dxa"/>
            <w:shd w:val="clear" w:color="auto" w:fill="F2F2F2" w:themeFill="background1" w:themeFillShade="F2"/>
            <w:vAlign w:val="center"/>
            <w:hideMark/>
          </w:tcPr>
          <w:p w14:paraId="65EB50C5" w14:textId="5925358A" w:rsidR="008B1F8E" w:rsidRPr="008B1F8E" w:rsidRDefault="008B1F8E" w:rsidP="008B1F8E">
            <w:pPr>
              <w:spacing w:after="0" w:line="240" w:lineRule="auto"/>
              <w:jc w:val="right"/>
              <w:rPr>
                <w:rFonts w:ascii="Arial" w:eastAsia="Times New Roman" w:hAnsi="Arial" w:cs="Arial"/>
                <w:b/>
                <w:bCs/>
                <w:color w:val="000000" w:themeColor="text1"/>
                <w:sz w:val="18"/>
                <w:szCs w:val="18"/>
                <w:lang w:eastAsia="sl-SI"/>
              </w:rPr>
            </w:pPr>
            <w:r w:rsidRPr="008B1F8E">
              <w:rPr>
                <w:rFonts w:ascii="Arial" w:eastAsia="Times New Roman" w:hAnsi="Arial" w:cs="Arial"/>
                <w:b/>
                <w:bCs/>
                <w:color w:val="000000" w:themeColor="text1"/>
                <w:sz w:val="18"/>
                <w:szCs w:val="18"/>
                <w:lang w:eastAsia="sl-SI"/>
              </w:rPr>
              <w:t>28,55 %</w:t>
            </w:r>
          </w:p>
        </w:tc>
        <w:tc>
          <w:tcPr>
            <w:tcW w:w="1703" w:type="dxa"/>
            <w:shd w:val="clear" w:color="auto" w:fill="F2F2F2" w:themeFill="background1" w:themeFillShade="F2"/>
            <w:vAlign w:val="center"/>
            <w:hideMark/>
          </w:tcPr>
          <w:p w14:paraId="0F868716" w14:textId="3455EF68" w:rsidR="008B1F8E" w:rsidRPr="008B1F8E" w:rsidRDefault="008B1F8E" w:rsidP="008B1F8E">
            <w:pPr>
              <w:spacing w:after="0" w:line="240" w:lineRule="auto"/>
              <w:jc w:val="right"/>
              <w:rPr>
                <w:rFonts w:ascii="Arial" w:eastAsia="Times New Roman" w:hAnsi="Arial" w:cs="Arial"/>
                <w:b/>
                <w:bCs/>
                <w:color w:val="000000" w:themeColor="text1"/>
                <w:sz w:val="18"/>
                <w:szCs w:val="18"/>
                <w:lang w:eastAsia="sl-SI"/>
              </w:rPr>
            </w:pPr>
            <w:r w:rsidRPr="008B1F8E">
              <w:rPr>
                <w:rFonts w:ascii="Arial" w:eastAsia="Times New Roman" w:hAnsi="Arial" w:cs="Arial"/>
                <w:b/>
                <w:bCs/>
                <w:color w:val="000000" w:themeColor="text1"/>
                <w:sz w:val="18"/>
                <w:szCs w:val="18"/>
                <w:lang w:eastAsia="sl-SI"/>
              </w:rPr>
              <w:t>34,30 %</w:t>
            </w:r>
          </w:p>
        </w:tc>
      </w:tr>
    </w:tbl>
    <w:p w14:paraId="65204603" w14:textId="222ACFD6" w:rsidR="00503D37" w:rsidRPr="008B1F8E" w:rsidRDefault="00503D37" w:rsidP="00503D37">
      <w:pPr>
        <w:spacing w:after="0" w:line="240" w:lineRule="auto"/>
        <w:jc w:val="both"/>
        <w:rPr>
          <w:rFonts w:ascii="Arial" w:hAnsi="Arial" w:cs="Arial"/>
          <w:color w:val="000000" w:themeColor="text1"/>
          <w:sz w:val="20"/>
        </w:rPr>
      </w:pPr>
    </w:p>
    <w:p w14:paraId="5BED9C84" w14:textId="03606215" w:rsidR="00F83DD4" w:rsidRPr="008B1F8E" w:rsidRDefault="00F83DD4" w:rsidP="004A613D">
      <w:pPr>
        <w:spacing w:after="0" w:line="240" w:lineRule="auto"/>
        <w:jc w:val="center"/>
        <w:rPr>
          <w:rFonts w:ascii="Arial" w:hAnsi="Arial" w:cs="Arial"/>
          <w:color w:val="000000" w:themeColor="text1"/>
          <w:sz w:val="18"/>
        </w:rPr>
      </w:pPr>
      <w:r w:rsidRPr="008B1F8E">
        <w:rPr>
          <w:rFonts w:ascii="Arial" w:hAnsi="Arial" w:cs="Arial"/>
          <w:color w:val="000000" w:themeColor="text1"/>
          <w:sz w:val="18"/>
        </w:rPr>
        <w:t>Vir: Statistični podatki o javni</w:t>
      </w:r>
      <w:r w:rsidR="00141C15" w:rsidRPr="008B1F8E">
        <w:rPr>
          <w:rFonts w:ascii="Arial" w:hAnsi="Arial" w:cs="Arial"/>
          <w:color w:val="000000" w:themeColor="text1"/>
          <w:sz w:val="18"/>
        </w:rPr>
        <w:t>h naročilih, oddanih v letu 20</w:t>
      </w:r>
      <w:r w:rsidR="00503D37" w:rsidRPr="008B1F8E">
        <w:rPr>
          <w:rFonts w:ascii="Arial" w:hAnsi="Arial" w:cs="Arial"/>
          <w:color w:val="000000" w:themeColor="text1"/>
          <w:sz w:val="18"/>
        </w:rPr>
        <w:t>2</w:t>
      </w:r>
      <w:r w:rsidR="007376AD" w:rsidRPr="008B1F8E">
        <w:rPr>
          <w:rFonts w:ascii="Arial" w:hAnsi="Arial" w:cs="Arial"/>
          <w:color w:val="000000" w:themeColor="text1"/>
          <w:sz w:val="18"/>
        </w:rPr>
        <w:t>3</w:t>
      </w:r>
      <w:r w:rsidR="005D5B62" w:rsidRPr="008B1F8E">
        <w:rPr>
          <w:rFonts w:ascii="Arial" w:hAnsi="Arial" w:cs="Arial"/>
          <w:color w:val="000000" w:themeColor="text1"/>
          <w:sz w:val="18"/>
        </w:rPr>
        <w:t>.</w:t>
      </w:r>
    </w:p>
    <w:p w14:paraId="7CED62E6" w14:textId="77777777" w:rsidR="0001172F" w:rsidRPr="004A252E" w:rsidRDefault="0001172F" w:rsidP="0001172F">
      <w:pPr>
        <w:spacing w:after="0" w:line="240" w:lineRule="auto"/>
        <w:jc w:val="both"/>
        <w:rPr>
          <w:rFonts w:ascii="Arial" w:hAnsi="Arial" w:cs="Arial"/>
          <w:bCs/>
          <w:color w:val="000000" w:themeColor="text1"/>
          <w:sz w:val="20"/>
          <w:szCs w:val="20"/>
        </w:rPr>
      </w:pPr>
    </w:p>
    <w:p w14:paraId="459A5DC0" w14:textId="7E809C3C" w:rsidR="00F83DD4" w:rsidRPr="004A252E" w:rsidRDefault="00F83DD4" w:rsidP="00F83DD4">
      <w:pPr>
        <w:spacing w:line="360" w:lineRule="auto"/>
        <w:jc w:val="both"/>
        <w:rPr>
          <w:rFonts w:ascii="Arial" w:hAnsi="Arial" w:cs="Arial"/>
          <w:bCs/>
          <w:color w:val="000000" w:themeColor="text1"/>
          <w:sz w:val="20"/>
          <w:szCs w:val="20"/>
        </w:rPr>
      </w:pPr>
      <w:r w:rsidRPr="004A252E">
        <w:rPr>
          <w:rFonts w:ascii="Arial" w:hAnsi="Arial" w:cs="Arial"/>
          <w:bCs/>
          <w:color w:val="000000" w:themeColor="text1"/>
          <w:sz w:val="20"/>
          <w:szCs w:val="20"/>
        </w:rPr>
        <w:t>Glede na predmet naročanja je največji de</w:t>
      </w:r>
      <w:r w:rsidR="00E01FC9" w:rsidRPr="004A252E">
        <w:rPr>
          <w:rFonts w:ascii="Arial" w:hAnsi="Arial" w:cs="Arial"/>
          <w:bCs/>
          <w:color w:val="000000" w:themeColor="text1"/>
          <w:sz w:val="20"/>
          <w:szCs w:val="20"/>
        </w:rPr>
        <w:t>lež zelenih naročil po številu</w:t>
      </w:r>
      <w:r w:rsidR="00BB4C01" w:rsidRPr="004A252E">
        <w:rPr>
          <w:rFonts w:ascii="Arial" w:hAnsi="Arial" w:cs="Arial"/>
          <w:bCs/>
          <w:color w:val="000000" w:themeColor="text1"/>
          <w:sz w:val="20"/>
          <w:szCs w:val="20"/>
        </w:rPr>
        <w:t xml:space="preserve"> pri naročilih blaga</w:t>
      </w:r>
      <w:r w:rsidRPr="004A252E">
        <w:rPr>
          <w:rFonts w:ascii="Arial" w:hAnsi="Arial" w:cs="Arial"/>
          <w:bCs/>
          <w:color w:val="000000" w:themeColor="text1"/>
          <w:sz w:val="20"/>
          <w:szCs w:val="20"/>
        </w:rPr>
        <w:t xml:space="preserve">, </w:t>
      </w:r>
      <w:r w:rsidR="00E01FC9" w:rsidRPr="004A252E">
        <w:rPr>
          <w:rFonts w:ascii="Arial" w:hAnsi="Arial" w:cs="Arial"/>
          <w:bCs/>
          <w:color w:val="000000" w:themeColor="text1"/>
          <w:sz w:val="20"/>
          <w:szCs w:val="20"/>
        </w:rPr>
        <w:t xml:space="preserve">po vrednosti pa pri naročilih </w:t>
      </w:r>
      <w:r w:rsidR="00611185" w:rsidRPr="004A252E">
        <w:rPr>
          <w:rFonts w:ascii="Arial" w:hAnsi="Arial" w:cs="Arial"/>
          <w:bCs/>
          <w:color w:val="000000" w:themeColor="text1"/>
          <w:sz w:val="20"/>
          <w:szCs w:val="20"/>
        </w:rPr>
        <w:t>storitev</w:t>
      </w:r>
      <w:r w:rsidR="00E01FC9" w:rsidRPr="004A252E">
        <w:rPr>
          <w:rFonts w:ascii="Arial" w:hAnsi="Arial" w:cs="Arial"/>
          <w:bCs/>
          <w:color w:val="000000" w:themeColor="text1"/>
          <w:sz w:val="20"/>
          <w:szCs w:val="20"/>
        </w:rPr>
        <w:t xml:space="preserve">, </w:t>
      </w:r>
      <w:r w:rsidRPr="004A252E">
        <w:rPr>
          <w:rFonts w:ascii="Arial" w:hAnsi="Arial" w:cs="Arial"/>
          <w:bCs/>
          <w:color w:val="000000" w:themeColor="text1"/>
          <w:sz w:val="20"/>
          <w:szCs w:val="20"/>
        </w:rPr>
        <w:t xml:space="preserve">kar </w:t>
      </w:r>
      <w:r w:rsidR="00325434" w:rsidRPr="004A252E">
        <w:rPr>
          <w:rFonts w:ascii="Arial" w:hAnsi="Arial" w:cs="Arial"/>
          <w:bCs/>
          <w:color w:val="000000" w:themeColor="text1"/>
          <w:sz w:val="20"/>
          <w:szCs w:val="20"/>
        </w:rPr>
        <w:t>prikazuje</w:t>
      </w:r>
      <w:r w:rsidRPr="004A252E">
        <w:rPr>
          <w:rFonts w:ascii="Arial" w:hAnsi="Arial" w:cs="Arial"/>
          <w:bCs/>
          <w:color w:val="000000" w:themeColor="text1"/>
          <w:sz w:val="20"/>
          <w:szCs w:val="20"/>
        </w:rPr>
        <w:t xml:space="preserve"> spodnj</w:t>
      </w:r>
      <w:r w:rsidR="00325434" w:rsidRPr="004A252E">
        <w:rPr>
          <w:rFonts w:ascii="Arial" w:hAnsi="Arial" w:cs="Arial"/>
          <w:bCs/>
          <w:color w:val="000000" w:themeColor="text1"/>
          <w:sz w:val="20"/>
          <w:szCs w:val="20"/>
        </w:rPr>
        <w:t>a</w:t>
      </w:r>
      <w:r w:rsidRPr="004A252E">
        <w:rPr>
          <w:rFonts w:ascii="Arial" w:hAnsi="Arial" w:cs="Arial"/>
          <w:bCs/>
          <w:color w:val="000000" w:themeColor="text1"/>
          <w:sz w:val="20"/>
          <w:szCs w:val="20"/>
        </w:rPr>
        <w:t xml:space="preserve"> preglednic</w:t>
      </w:r>
      <w:r w:rsidR="00325434" w:rsidRPr="004A252E">
        <w:rPr>
          <w:rFonts w:ascii="Arial" w:hAnsi="Arial" w:cs="Arial"/>
          <w:bCs/>
          <w:color w:val="000000" w:themeColor="text1"/>
          <w:sz w:val="20"/>
          <w:szCs w:val="20"/>
        </w:rPr>
        <w:t>a</w:t>
      </w:r>
      <w:r w:rsidRPr="004A252E">
        <w:rPr>
          <w:rFonts w:ascii="Arial" w:hAnsi="Arial" w:cs="Arial"/>
          <w:bCs/>
          <w:color w:val="000000" w:themeColor="text1"/>
          <w:sz w:val="20"/>
          <w:szCs w:val="20"/>
        </w:rPr>
        <w:t>.</w:t>
      </w:r>
    </w:p>
    <w:p w14:paraId="4E0B7ADF" w14:textId="130EC649" w:rsidR="00F83DD4" w:rsidRPr="004A252E" w:rsidRDefault="00F83DD4" w:rsidP="00701C10">
      <w:pPr>
        <w:spacing w:before="120" w:after="120" w:line="240" w:lineRule="auto"/>
        <w:jc w:val="both"/>
        <w:rPr>
          <w:rFonts w:ascii="Arial" w:hAnsi="Arial" w:cs="Arial"/>
          <w:color w:val="000000" w:themeColor="text1"/>
          <w:sz w:val="20"/>
        </w:rPr>
      </w:pPr>
      <w:r w:rsidRPr="004A252E">
        <w:rPr>
          <w:rFonts w:ascii="Arial" w:hAnsi="Arial" w:cs="Arial"/>
          <w:color w:val="000000" w:themeColor="text1"/>
          <w:sz w:val="20"/>
        </w:rPr>
        <w:t xml:space="preserve">Preglednica </w:t>
      </w:r>
      <w:r w:rsidR="00512F52" w:rsidRPr="004A252E">
        <w:rPr>
          <w:rFonts w:ascii="Arial" w:hAnsi="Arial" w:cs="Arial"/>
          <w:color w:val="000000" w:themeColor="text1"/>
          <w:sz w:val="20"/>
        </w:rPr>
        <w:t>4</w:t>
      </w:r>
      <w:r w:rsidR="00EA747F" w:rsidRPr="004A252E">
        <w:rPr>
          <w:rFonts w:ascii="Arial" w:hAnsi="Arial" w:cs="Arial"/>
          <w:color w:val="000000" w:themeColor="text1"/>
          <w:sz w:val="20"/>
        </w:rPr>
        <w:t>8</w:t>
      </w:r>
      <w:r w:rsidRPr="004A252E">
        <w:rPr>
          <w:rFonts w:ascii="Arial" w:hAnsi="Arial" w:cs="Arial"/>
          <w:color w:val="000000" w:themeColor="text1"/>
          <w:sz w:val="20"/>
        </w:rPr>
        <w:t>: Število in vrednosti ter deleži zelenih naročil glede na predmet</w:t>
      </w:r>
      <w:r w:rsidR="000F2B07" w:rsidRPr="004A252E">
        <w:rPr>
          <w:rFonts w:ascii="Arial" w:hAnsi="Arial" w:cs="Arial"/>
          <w:color w:val="000000" w:themeColor="text1"/>
          <w:sz w:val="20"/>
        </w:rPr>
        <w:t xml:space="preserve"> naročanja</w:t>
      </w:r>
    </w:p>
    <w:tbl>
      <w:tblPr>
        <w:tblW w:w="7673" w:type="dxa"/>
        <w:jc w:val="center"/>
        <w:tblCellMar>
          <w:left w:w="70" w:type="dxa"/>
          <w:right w:w="70" w:type="dxa"/>
        </w:tblCellMar>
        <w:tblLook w:val="04A0" w:firstRow="1" w:lastRow="0" w:firstColumn="1" w:lastColumn="0" w:noHBand="0" w:noVBand="1"/>
      </w:tblPr>
      <w:tblGrid>
        <w:gridCol w:w="1413"/>
        <w:gridCol w:w="1276"/>
        <w:gridCol w:w="1559"/>
        <w:gridCol w:w="1701"/>
        <w:gridCol w:w="1724"/>
      </w:tblGrid>
      <w:tr w:rsidR="006D1A48" w:rsidRPr="004A252E" w14:paraId="172C8440" w14:textId="77777777" w:rsidTr="00A46615">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7EA5C7" w14:textId="77777777" w:rsidR="00E84A0B" w:rsidRPr="004A252E" w:rsidRDefault="00E84A0B" w:rsidP="00E84A0B">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 xml:space="preserve">Predmet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AA6E00" w14:textId="77777777" w:rsidR="00E84A0B" w:rsidRPr="004A252E" w:rsidRDefault="00E84A0B" w:rsidP="00E84A0B">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Št. zelenih naročil</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4AE45F" w14:textId="210B280E" w:rsidR="00E84A0B" w:rsidRPr="004A252E" w:rsidRDefault="00E84A0B" w:rsidP="00E84A0B">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Pogodbena vrednost</w:t>
            </w:r>
            <w:r w:rsidR="00055BE0" w:rsidRPr="004A252E">
              <w:rPr>
                <w:rFonts w:ascii="Arial" w:eastAsia="Times New Roman" w:hAnsi="Arial" w:cs="Arial"/>
                <w:color w:val="000000" w:themeColor="text1"/>
                <w:sz w:val="18"/>
                <w:szCs w:val="18"/>
                <w:lang w:eastAsia="sl-SI"/>
              </w:rPr>
              <w:t xml:space="preserve"> (v EUR)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27D96B" w14:textId="77777777" w:rsidR="00E84A0B" w:rsidRPr="004A252E" w:rsidRDefault="00E84A0B" w:rsidP="00E84A0B">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Delež v št. naročil</w:t>
            </w:r>
          </w:p>
        </w:tc>
        <w:tc>
          <w:tcPr>
            <w:tcW w:w="17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CCAD99" w14:textId="77777777" w:rsidR="00E84A0B" w:rsidRPr="004A252E" w:rsidRDefault="00E84A0B" w:rsidP="00E84A0B">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 xml:space="preserve">Delež v vrednosti </w:t>
            </w:r>
          </w:p>
        </w:tc>
      </w:tr>
      <w:tr w:rsidR="00283EC9" w:rsidRPr="004A252E" w14:paraId="532838B7" w14:textId="77777777" w:rsidTr="00283EC9">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DA5189" w14:textId="77777777" w:rsidR="00283EC9" w:rsidRPr="004A252E" w:rsidRDefault="00283EC9" w:rsidP="00283EC9">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Blago</w:t>
            </w:r>
          </w:p>
        </w:tc>
        <w:tc>
          <w:tcPr>
            <w:tcW w:w="1276" w:type="dxa"/>
            <w:tcBorders>
              <w:top w:val="nil"/>
              <w:left w:val="nil"/>
              <w:bottom w:val="single" w:sz="4" w:space="0" w:color="auto"/>
              <w:right w:val="single" w:sz="4" w:space="0" w:color="auto"/>
            </w:tcBorders>
            <w:shd w:val="clear" w:color="auto" w:fill="auto"/>
            <w:vAlign w:val="center"/>
            <w:hideMark/>
          </w:tcPr>
          <w:p w14:paraId="4F76B6C8" w14:textId="53C5F901"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3.696</w:t>
            </w:r>
          </w:p>
        </w:tc>
        <w:tc>
          <w:tcPr>
            <w:tcW w:w="1559" w:type="dxa"/>
            <w:tcBorders>
              <w:top w:val="nil"/>
              <w:left w:val="nil"/>
              <w:bottom w:val="single" w:sz="4" w:space="0" w:color="auto"/>
              <w:right w:val="single" w:sz="4" w:space="0" w:color="auto"/>
            </w:tcBorders>
            <w:shd w:val="clear" w:color="auto" w:fill="auto"/>
            <w:vAlign w:val="center"/>
            <w:hideMark/>
          </w:tcPr>
          <w:p w14:paraId="184EF179" w14:textId="127504AE"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647.048.105</w:t>
            </w:r>
          </w:p>
        </w:tc>
        <w:tc>
          <w:tcPr>
            <w:tcW w:w="1701" w:type="dxa"/>
            <w:tcBorders>
              <w:top w:val="nil"/>
              <w:left w:val="nil"/>
              <w:bottom w:val="single" w:sz="4" w:space="0" w:color="auto"/>
              <w:right w:val="single" w:sz="4" w:space="0" w:color="auto"/>
            </w:tcBorders>
            <w:shd w:val="clear" w:color="auto" w:fill="auto"/>
            <w:vAlign w:val="center"/>
            <w:hideMark/>
          </w:tcPr>
          <w:p w14:paraId="27926821" w14:textId="61803A02"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76,94 %</w:t>
            </w:r>
          </w:p>
        </w:tc>
        <w:tc>
          <w:tcPr>
            <w:tcW w:w="1724" w:type="dxa"/>
            <w:tcBorders>
              <w:top w:val="nil"/>
              <w:left w:val="nil"/>
              <w:bottom w:val="single" w:sz="4" w:space="0" w:color="auto"/>
              <w:right w:val="single" w:sz="4" w:space="0" w:color="auto"/>
            </w:tcBorders>
            <w:shd w:val="clear" w:color="auto" w:fill="auto"/>
            <w:vAlign w:val="center"/>
            <w:hideMark/>
          </w:tcPr>
          <w:p w14:paraId="36B1842B" w14:textId="75F3D318"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30,27 %</w:t>
            </w:r>
          </w:p>
        </w:tc>
      </w:tr>
      <w:tr w:rsidR="00283EC9" w:rsidRPr="004A252E" w14:paraId="39538CDE" w14:textId="77777777" w:rsidTr="00283EC9">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914AF2E" w14:textId="77777777" w:rsidR="00283EC9" w:rsidRPr="004A252E" w:rsidRDefault="00283EC9" w:rsidP="00283EC9">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Storitve</w:t>
            </w:r>
          </w:p>
        </w:tc>
        <w:tc>
          <w:tcPr>
            <w:tcW w:w="1276" w:type="dxa"/>
            <w:tcBorders>
              <w:top w:val="nil"/>
              <w:left w:val="nil"/>
              <w:bottom w:val="single" w:sz="4" w:space="0" w:color="auto"/>
              <w:right w:val="single" w:sz="4" w:space="0" w:color="auto"/>
            </w:tcBorders>
            <w:shd w:val="clear" w:color="auto" w:fill="auto"/>
            <w:vAlign w:val="center"/>
            <w:hideMark/>
          </w:tcPr>
          <w:p w14:paraId="3991445D" w14:textId="75B2F2CE"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573</w:t>
            </w:r>
          </w:p>
        </w:tc>
        <w:tc>
          <w:tcPr>
            <w:tcW w:w="1559" w:type="dxa"/>
            <w:tcBorders>
              <w:top w:val="nil"/>
              <w:left w:val="nil"/>
              <w:bottom w:val="single" w:sz="4" w:space="0" w:color="auto"/>
              <w:right w:val="single" w:sz="4" w:space="0" w:color="auto"/>
            </w:tcBorders>
            <w:shd w:val="clear" w:color="auto" w:fill="auto"/>
            <w:vAlign w:val="center"/>
            <w:hideMark/>
          </w:tcPr>
          <w:p w14:paraId="14F876A9" w14:textId="0F3CEDA9"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797.885.150</w:t>
            </w:r>
          </w:p>
        </w:tc>
        <w:tc>
          <w:tcPr>
            <w:tcW w:w="1701" w:type="dxa"/>
            <w:tcBorders>
              <w:top w:val="nil"/>
              <w:left w:val="nil"/>
              <w:bottom w:val="single" w:sz="4" w:space="0" w:color="auto"/>
              <w:right w:val="single" w:sz="4" w:space="0" w:color="auto"/>
            </w:tcBorders>
            <w:shd w:val="clear" w:color="auto" w:fill="auto"/>
            <w:vAlign w:val="center"/>
            <w:hideMark/>
          </w:tcPr>
          <w:p w14:paraId="1AECE0D4" w14:textId="0F3E3A4B"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11,93 %</w:t>
            </w:r>
          </w:p>
        </w:tc>
        <w:tc>
          <w:tcPr>
            <w:tcW w:w="1724" w:type="dxa"/>
            <w:tcBorders>
              <w:top w:val="nil"/>
              <w:left w:val="nil"/>
              <w:bottom w:val="single" w:sz="4" w:space="0" w:color="auto"/>
              <w:right w:val="single" w:sz="4" w:space="0" w:color="auto"/>
            </w:tcBorders>
            <w:shd w:val="clear" w:color="auto" w:fill="auto"/>
            <w:vAlign w:val="center"/>
            <w:hideMark/>
          </w:tcPr>
          <w:p w14:paraId="0C79D7AC" w14:textId="25F62D91"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37,32 %</w:t>
            </w:r>
          </w:p>
        </w:tc>
      </w:tr>
      <w:tr w:rsidR="00283EC9" w:rsidRPr="004A252E" w14:paraId="2D1163BD" w14:textId="77777777" w:rsidTr="00283EC9">
        <w:trPr>
          <w:trHeight w:val="25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5500101" w14:textId="77777777" w:rsidR="00283EC9" w:rsidRPr="004A252E" w:rsidRDefault="00283EC9" w:rsidP="00283EC9">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Gradnje</w:t>
            </w:r>
          </w:p>
        </w:tc>
        <w:tc>
          <w:tcPr>
            <w:tcW w:w="1276" w:type="dxa"/>
            <w:tcBorders>
              <w:top w:val="nil"/>
              <w:left w:val="nil"/>
              <w:bottom w:val="single" w:sz="4" w:space="0" w:color="auto"/>
              <w:right w:val="single" w:sz="4" w:space="0" w:color="auto"/>
            </w:tcBorders>
            <w:shd w:val="clear" w:color="auto" w:fill="auto"/>
            <w:vAlign w:val="center"/>
            <w:hideMark/>
          </w:tcPr>
          <w:p w14:paraId="794373D4" w14:textId="104DC420"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535</w:t>
            </w:r>
          </w:p>
        </w:tc>
        <w:tc>
          <w:tcPr>
            <w:tcW w:w="1559" w:type="dxa"/>
            <w:tcBorders>
              <w:top w:val="nil"/>
              <w:left w:val="nil"/>
              <w:bottom w:val="single" w:sz="4" w:space="0" w:color="auto"/>
              <w:right w:val="single" w:sz="4" w:space="0" w:color="auto"/>
            </w:tcBorders>
            <w:shd w:val="clear" w:color="auto" w:fill="auto"/>
            <w:vAlign w:val="center"/>
            <w:hideMark/>
          </w:tcPr>
          <w:p w14:paraId="2BBF7E82" w14:textId="4651E981"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692.738.659</w:t>
            </w:r>
          </w:p>
        </w:tc>
        <w:tc>
          <w:tcPr>
            <w:tcW w:w="1701" w:type="dxa"/>
            <w:tcBorders>
              <w:top w:val="nil"/>
              <w:left w:val="nil"/>
              <w:bottom w:val="single" w:sz="4" w:space="0" w:color="auto"/>
              <w:right w:val="single" w:sz="4" w:space="0" w:color="auto"/>
            </w:tcBorders>
            <w:shd w:val="clear" w:color="auto" w:fill="auto"/>
            <w:vAlign w:val="center"/>
            <w:hideMark/>
          </w:tcPr>
          <w:p w14:paraId="6C6509AE" w14:textId="614F015F"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11,14 %</w:t>
            </w:r>
          </w:p>
        </w:tc>
        <w:tc>
          <w:tcPr>
            <w:tcW w:w="1724" w:type="dxa"/>
            <w:tcBorders>
              <w:top w:val="nil"/>
              <w:left w:val="nil"/>
              <w:bottom w:val="single" w:sz="4" w:space="0" w:color="auto"/>
              <w:right w:val="single" w:sz="4" w:space="0" w:color="auto"/>
            </w:tcBorders>
            <w:shd w:val="clear" w:color="auto" w:fill="auto"/>
            <w:vAlign w:val="center"/>
            <w:hideMark/>
          </w:tcPr>
          <w:p w14:paraId="7B314AD9" w14:textId="703ED23D" w:rsidR="00283EC9" w:rsidRPr="004A252E" w:rsidRDefault="00283EC9" w:rsidP="00283EC9">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32,41 %</w:t>
            </w:r>
          </w:p>
        </w:tc>
      </w:tr>
      <w:tr w:rsidR="00283EC9" w:rsidRPr="004A252E" w14:paraId="0ABFA43D" w14:textId="77777777" w:rsidTr="00283EC9">
        <w:trPr>
          <w:trHeight w:val="255"/>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2C1BB6" w14:textId="77777777" w:rsidR="00283EC9" w:rsidRPr="004A252E" w:rsidRDefault="00283EC9" w:rsidP="00283EC9">
            <w:pPr>
              <w:spacing w:after="0" w:line="240" w:lineRule="auto"/>
              <w:jc w:val="both"/>
              <w:rPr>
                <w:rFonts w:ascii="Arial" w:eastAsia="Times New Roman" w:hAnsi="Arial" w:cs="Arial"/>
                <w:b/>
                <w:bCs/>
                <w:color w:val="000000" w:themeColor="text1"/>
                <w:sz w:val="18"/>
                <w:szCs w:val="18"/>
                <w:lang w:eastAsia="sl-SI"/>
              </w:rPr>
            </w:pPr>
            <w:r w:rsidRPr="004A252E">
              <w:rPr>
                <w:rFonts w:ascii="Arial" w:eastAsia="Times New Roman" w:hAnsi="Arial" w:cs="Arial"/>
                <w:b/>
                <w:bCs/>
                <w:color w:val="000000" w:themeColor="text1"/>
                <w:sz w:val="18"/>
                <w:szCs w:val="18"/>
                <w:lang w:eastAsia="sl-SI"/>
              </w:rPr>
              <w:t>Skupaj</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2A2FC4A0" w14:textId="20B77DE9" w:rsidR="00283EC9" w:rsidRPr="004A252E" w:rsidRDefault="00283EC9" w:rsidP="00283EC9">
            <w:pPr>
              <w:spacing w:after="0" w:line="240" w:lineRule="auto"/>
              <w:jc w:val="right"/>
              <w:rPr>
                <w:rFonts w:ascii="Arial" w:eastAsia="Times New Roman" w:hAnsi="Arial" w:cs="Arial"/>
                <w:b/>
                <w:bCs/>
                <w:color w:val="000000" w:themeColor="text1"/>
                <w:sz w:val="18"/>
                <w:szCs w:val="18"/>
                <w:lang w:eastAsia="sl-SI"/>
              </w:rPr>
            </w:pPr>
            <w:r w:rsidRPr="004A252E">
              <w:rPr>
                <w:rFonts w:ascii="Arial" w:hAnsi="Arial" w:cs="Arial"/>
                <w:b/>
                <w:bCs/>
                <w:color w:val="000000"/>
                <w:sz w:val="18"/>
                <w:szCs w:val="18"/>
              </w:rPr>
              <w:t>4.804</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14:paraId="0596E7C0" w14:textId="3A662445" w:rsidR="00283EC9" w:rsidRPr="004A252E" w:rsidRDefault="00283EC9" w:rsidP="00283EC9">
            <w:pPr>
              <w:spacing w:after="0" w:line="240" w:lineRule="auto"/>
              <w:jc w:val="right"/>
              <w:rPr>
                <w:rFonts w:ascii="Arial" w:eastAsia="Times New Roman" w:hAnsi="Arial" w:cs="Arial"/>
                <w:b/>
                <w:bCs/>
                <w:color w:val="000000" w:themeColor="text1"/>
                <w:sz w:val="18"/>
                <w:szCs w:val="18"/>
                <w:lang w:eastAsia="sl-SI"/>
              </w:rPr>
            </w:pPr>
            <w:r w:rsidRPr="004A252E">
              <w:rPr>
                <w:rFonts w:ascii="Arial" w:hAnsi="Arial" w:cs="Arial"/>
                <w:b/>
                <w:bCs/>
                <w:color w:val="000000"/>
                <w:sz w:val="18"/>
                <w:szCs w:val="18"/>
              </w:rPr>
              <w:t>2.137.671.914</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09455804" w14:textId="2EF48735" w:rsidR="00283EC9" w:rsidRPr="004A252E" w:rsidRDefault="00283EC9" w:rsidP="00283EC9">
            <w:pPr>
              <w:spacing w:after="0" w:line="240" w:lineRule="auto"/>
              <w:jc w:val="right"/>
              <w:rPr>
                <w:rFonts w:ascii="Arial" w:eastAsia="Times New Roman" w:hAnsi="Arial" w:cs="Arial"/>
                <w:b/>
                <w:bCs/>
                <w:color w:val="000000" w:themeColor="text1"/>
                <w:sz w:val="18"/>
                <w:szCs w:val="18"/>
                <w:lang w:eastAsia="sl-SI"/>
              </w:rPr>
            </w:pPr>
            <w:r w:rsidRPr="004A252E">
              <w:rPr>
                <w:rFonts w:ascii="Arial" w:eastAsia="Times New Roman" w:hAnsi="Arial" w:cs="Arial"/>
                <w:b/>
                <w:bCs/>
                <w:color w:val="000000" w:themeColor="text1"/>
                <w:sz w:val="18"/>
                <w:szCs w:val="18"/>
                <w:lang w:eastAsia="sl-SI"/>
              </w:rPr>
              <w:t>100,00 %</w:t>
            </w:r>
          </w:p>
        </w:tc>
        <w:tc>
          <w:tcPr>
            <w:tcW w:w="1724" w:type="dxa"/>
            <w:tcBorders>
              <w:top w:val="nil"/>
              <w:left w:val="nil"/>
              <w:bottom w:val="single" w:sz="4" w:space="0" w:color="auto"/>
              <w:right w:val="single" w:sz="4" w:space="0" w:color="auto"/>
            </w:tcBorders>
            <w:shd w:val="clear" w:color="auto" w:fill="F2F2F2" w:themeFill="background1" w:themeFillShade="F2"/>
            <w:vAlign w:val="center"/>
            <w:hideMark/>
          </w:tcPr>
          <w:p w14:paraId="444E4BD3" w14:textId="351461B3" w:rsidR="00283EC9" w:rsidRPr="004A252E" w:rsidRDefault="00283EC9" w:rsidP="00283EC9">
            <w:pPr>
              <w:spacing w:after="0" w:line="240" w:lineRule="auto"/>
              <w:jc w:val="right"/>
              <w:rPr>
                <w:rFonts w:ascii="Arial" w:eastAsia="Times New Roman" w:hAnsi="Arial" w:cs="Arial"/>
                <w:b/>
                <w:bCs/>
                <w:color w:val="000000" w:themeColor="text1"/>
                <w:sz w:val="18"/>
                <w:szCs w:val="18"/>
                <w:lang w:eastAsia="sl-SI"/>
              </w:rPr>
            </w:pPr>
            <w:r w:rsidRPr="004A252E">
              <w:rPr>
                <w:rFonts w:ascii="Arial" w:eastAsia="Times New Roman" w:hAnsi="Arial" w:cs="Arial"/>
                <w:b/>
                <w:bCs/>
                <w:color w:val="000000" w:themeColor="text1"/>
                <w:sz w:val="18"/>
                <w:szCs w:val="18"/>
                <w:lang w:eastAsia="sl-SI"/>
              </w:rPr>
              <w:t>100,00 %</w:t>
            </w:r>
          </w:p>
        </w:tc>
      </w:tr>
    </w:tbl>
    <w:p w14:paraId="178A829E" w14:textId="77777777" w:rsidR="00BB4C01" w:rsidRPr="004A252E" w:rsidRDefault="00BB4C01" w:rsidP="004A613D">
      <w:pPr>
        <w:spacing w:after="0" w:line="240" w:lineRule="auto"/>
        <w:jc w:val="center"/>
        <w:rPr>
          <w:rFonts w:ascii="Arial" w:hAnsi="Arial" w:cs="Arial"/>
          <w:color w:val="000000" w:themeColor="text1"/>
          <w:sz w:val="18"/>
        </w:rPr>
      </w:pPr>
    </w:p>
    <w:p w14:paraId="02E7D9E2" w14:textId="4DE36838" w:rsidR="00F83DD4" w:rsidRPr="004A252E" w:rsidRDefault="00F83DD4" w:rsidP="004A613D">
      <w:pPr>
        <w:spacing w:after="0" w:line="240" w:lineRule="auto"/>
        <w:jc w:val="center"/>
        <w:rPr>
          <w:rFonts w:ascii="Arial" w:hAnsi="Arial" w:cs="Arial"/>
          <w:color w:val="000000" w:themeColor="text1"/>
          <w:sz w:val="18"/>
        </w:rPr>
      </w:pPr>
      <w:r w:rsidRPr="004A252E">
        <w:rPr>
          <w:rFonts w:ascii="Arial" w:hAnsi="Arial" w:cs="Arial"/>
          <w:color w:val="000000" w:themeColor="text1"/>
          <w:sz w:val="18"/>
        </w:rPr>
        <w:t>Vir: Statistični podatki o javni</w:t>
      </w:r>
      <w:r w:rsidR="00E01FC9" w:rsidRPr="004A252E">
        <w:rPr>
          <w:rFonts w:ascii="Arial" w:hAnsi="Arial" w:cs="Arial"/>
          <w:color w:val="000000" w:themeColor="text1"/>
          <w:sz w:val="18"/>
        </w:rPr>
        <w:t>h naročilih, oddanih v letu 20</w:t>
      </w:r>
      <w:r w:rsidR="00E84A0B" w:rsidRPr="004A252E">
        <w:rPr>
          <w:rFonts w:ascii="Arial" w:hAnsi="Arial" w:cs="Arial"/>
          <w:color w:val="000000" w:themeColor="text1"/>
          <w:sz w:val="18"/>
        </w:rPr>
        <w:t>2</w:t>
      </w:r>
      <w:r w:rsidR="00611185" w:rsidRPr="004A252E">
        <w:rPr>
          <w:rFonts w:ascii="Arial" w:hAnsi="Arial" w:cs="Arial"/>
          <w:color w:val="000000" w:themeColor="text1"/>
          <w:sz w:val="18"/>
        </w:rPr>
        <w:t>3</w:t>
      </w:r>
      <w:r w:rsidR="005D5B62" w:rsidRPr="004A252E">
        <w:rPr>
          <w:rFonts w:ascii="Arial" w:hAnsi="Arial" w:cs="Arial"/>
          <w:color w:val="000000" w:themeColor="text1"/>
          <w:sz w:val="18"/>
        </w:rPr>
        <w:t>.</w:t>
      </w:r>
    </w:p>
    <w:p w14:paraId="700349DE" w14:textId="77777777" w:rsidR="00474678" w:rsidRPr="004A252E" w:rsidRDefault="00474678" w:rsidP="0001172F">
      <w:pPr>
        <w:spacing w:after="0" w:line="240" w:lineRule="auto"/>
        <w:jc w:val="both"/>
        <w:rPr>
          <w:rFonts w:ascii="Arial" w:hAnsi="Arial" w:cs="Arial"/>
          <w:color w:val="000000" w:themeColor="text1"/>
          <w:sz w:val="20"/>
          <w:szCs w:val="20"/>
        </w:rPr>
      </w:pPr>
    </w:p>
    <w:p w14:paraId="7ECE5C7A" w14:textId="422F72EF" w:rsidR="00FD1E71" w:rsidRPr="004A252E" w:rsidRDefault="002B74A3" w:rsidP="00FD1E71">
      <w:pPr>
        <w:spacing w:line="360" w:lineRule="auto"/>
        <w:jc w:val="both"/>
        <w:rPr>
          <w:rFonts w:ascii="Arial" w:hAnsi="Arial" w:cs="Arial"/>
          <w:color w:val="000000" w:themeColor="text1"/>
          <w:sz w:val="20"/>
          <w:szCs w:val="20"/>
        </w:rPr>
      </w:pPr>
      <w:r w:rsidRPr="004A252E">
        <w:rPr>
          <w:rFonts w:ascii="Arial" w:hAnsi="Arial" w:cs="Arial"/>
          <w:color w:val="000000" w:themeColor="text1"/>
          <w:sz w:val="20"/>
          <w:szCs w:val="20"/>
        </w:rPr>
        <w:t>Leta</w:t>
      </w:r>
      <w:r w:rsidR="00FD1E71" w:rsidRPr="004A252E">
        <w:rPr>
          <w:rFonts w:ascii="Arial" w:hAnsi="Arial" w:cs="Arial"/>
          <w:color w:val="000000" w:themeColor="text1"/>
          <w:sz w:val="20"/>
          <w:szCs w:val="20"/>
        </w:rPr>
        <w:t xml:space="preserve"> 20</w:t>
      </w:r>
      <w:r w:rsidR="002D713E" w:rsidRPr="004A252E">
        <w:rPr>
          <w:rFonts w:ascii="Arial" w:hAnsi="Arial" w:cs="Arial"/>
          <w:color w:val="000000" w:themeColor="text1"/>
          <w:sz w:val="20"/>
          <w:szCs w:val="20"/>
        </w:rPr>
        <w:t>2</w:t>
      </w:r>
      <w:r w:rsidR="00CF1B1C" w:rsidRPr="004A252E">
        <w:rPr>
          <w:rFonts w:ascii="Arial" w:hAnsi="Arial" w:cs="Arial"/>
          <w:color w:val="000000" w:themeColor="text1"/>
          <w:sz w:val="20"/>
          <w:szCs w:val="20"/>
        </w:rPr>
        <w:t>3</w:t>
      </w:r>
      <w:r w:rsidR="00FD1E71" w:rsidRPr="004A252E">
        <w:rPr>
          <w:rFonts w:ascii="Arial" w:hAnsi="Arial" w:cs="Arial"/>
          <w:color w:val="000000" w:themeColor="text1"/>
          <w:sz w:val="20"/>
          <w:szCs w:val="20"/>
        </w:rPr>
        <w:t xml:space="preserve"> so naročniki </w:t>
      </w:r>
      <w:proofErr w:type="spellStart"/>
      <w:r w:rsidR="00FD1E71" w:rsidRPr="004A252E">
        <w:rPr>
          <w:rFonts w:ascii="Arial" w:hAnsi="Arial" w:cs="Arial"/>
          <w:color w:val="000000" w:themeColor="text1"/>
          <w:sz w:val="20"/>
          <w:szCs w:val="20"/>
        </w:rPr>
        <w:t>okoljske</w:t>
      </w:r>
      <w:proofErr w:type="spellEnd"/>
      <w:r w:rsidR="00FD1E71" w:rsidRPr="004A252E">
        <w:rPr>
          <w:rFonts w:ascii="Arial" w:hAnsi="Arial" w:cs="Arial"/>
          <w:color w:val="000000" w:themeColor="text1"/>
          <w:sz w:val="20"/>
          <w:szCs w:val="20"/>
        </w:rPr>
        <w:t xml:space="preserve"> zahteve najpogosteje </w:t>
      </w:r>
      <w:r w:rsidR="00854B81" w:rsidRPr="004A252E">
        <w:rPr>
          <w:rFonts w:ascii="Arial" w:hAnsi="Arial" w:cs="Arial"/>
          <w:color w:val="000000" w:themeColor="text1"/>
          <w:sz w:val="20"/>
          <w:szCs w:val="20"/>
        </w:rPr>
        <w:t xml:space="preserve">umeščali </w:t>
      </w:r>
      <w:r w:rsidR="00FD1E71" w:rsidRPr="004A252E">
        <w:rPr>
          <w:rFonts w:ascii="Arial" w:hAnsi="Arial" w:cs="Arial"/>
          <w:color w:val="000000" w:themeColor="text1"/>
          <w:sz w:val="20"/>
          <w:szCs w:val="20"/>
        </w:rPr>
        <w:t xml:space="preserve">med tehnične specifikacije, in sicer pri </w:t>
      </w:r>
      <w:r w:rsidR="0019260C" w:rsidRPr="004A252E">
        <w:rPr>
          <w:rFonts w:ascii="Arial" w:hAnsi="Arial" w:cs="Arial"/>
          <w:color w:val="000000" w:themeColor="text1"/>
          <w:sz w:val="20"/>
          <w:szCs w:val="20"/>
        </w:rPr>
        <w:t>3</w:t>
      </w:r>
      <w:r w:rsidR="008477FE" w:rsidRPr="004A252E">
        <w:rPr>
          <w:rFonts w:ascii="Arial" w:hAnsi="Arial" w:cs="Arial"/>
          <w:color w:val="000000" w:themeColor="text1"/>
          <w:sz w:val="20"/>
          <w:szCs w:val="20"/>
        </w:rPr>
        <w:t>.</w:t>
      </w:r>
      <w:r w:rsidR="005D4F2F" w:rsidRPr="004A252E">
        <w:rPr>
          <w:rFonts w:ascii="Arial" w:hAnsi="Arial" w:cs="Arial"/>
          <w:color w:val="000000" w:themeColor="text1"/>
          <w:sz w:val="20"/>
          <w:szCs w:val="20"/>
        </w:rPr>
        <w:t>151</w:t>
      </w:r>
      <w:r w:rsidR="00FD1E71" w:rsidRPr="004A252E">
        <w:rPr>
          <w:rFonts w:ascii="Arial" w:hAnsi="Arial" w:cs="Arial"/>
          <w:color w:val="000000" w:themeColor="text1"/>
          <w:sz w:val="20"/>
          <w:szCs w:val="20"/>
        </w:rPr>
        <w:t xml:space="preserve"> naročilih, kar pomeni, da so bile te zahteve </w:t>
      </w:r>
      <w:r w:rsidR="00854B81" w:rsidRPr="004A252E">
        <w:rPr>
          <w:rFonts w:ascii="Arial" w:hAnsi="Arial" w:cs="Arial"/>
          <w:color w:val="000000" w:themeColor="text1"/>
          <w:sz w:val="20"/>
          <w:szCs w:val="20"/>
        </w:rPr>
        <w:t xml:space="preserve">upoštevane </w:t>
      </w:r>
      <w:r w:rsidR="00FD1E71" w:rsidRPr="004A252E">
        <w:rPr>
          <w:rFonts w:ascii="Arial" w:hAnsi="Arial" w:cs="Arial"/>
          <w:color w:val="000000" w:themeColor="text1"/>
          <w:sz w:val="20"/>
          <w:szCs w:val="20"/>
        </w:rPr>
        <w:t xml:space="preserve">v </w:t>
      </w:r>
      <w:r w:rsidR="00432EA5" w:rsidRPr="004A252E">
        <w:rPr>
          <w:rFonts w:ascii="Arial" w:hAnsi="Arial" w:cs="Arial"/>
          <w:color w:val="000000" w:themeColor="text1"/>
          <w:sz w:val="20"/>
          <w:szCs w:val="20"/>
        </w:rPr>
        <w:t>slabih</w:t>
      </w:r>
      <w:r w:rsidR="00FD1E71" w:rsidRPr="004A252E">
        <w:rPr>
          <w:rFonts w:ascii="Arial" w:hAnsi="Arial" w:cs="Arial"/>
          <w:color w:val="000000" w:themeColor="text1"/>
          <w:sz w:val="20"/>
          <w:szCs w:val="20"/>
        </w:rPr>
        <w:t xml:space="preserve"> dve</w:t>
      </w:r>
      <w:r w:rsidR="00854B81" w:rsidRPr="004A252E">
        <w:rPr>
          <w:rFonts w:ascii="Arial" w:hAnsi="Arial" w:cs="Arial"/>
          <w:color w:val="000000" w:themeColor="text1"/>
          <w:sz w:val="20"/>
          <w:szCs w:val="20"/>
        </w:rPr>
        <w:t>h</w:t>
      </w:r>
      <w:r w:rsidR="00FD1E71" w:rsidRPr="004A252E">
        <w:rPr>
          <w:rFonts w:ascii="Arial" w:hAnsi="Arial" w:cs="Arial"/>
          <w:color w:val="000000" w:themeColor="text1"/>
          <w:sz w:val="20"/>
          <w:szCs w:val="20"/>
        </w:rPr>
        <w:t xml:space="preserve"> tretjin</w:t>
      </w:r>
      <w:r w:rsidR="00854B81" w:rsidRPr="004A252E">
        <w:rPr>
          <w:rFonts w:ascii="Arial" w:hAnsi="Arial" w:cs="Arial"/>
          <w:color w:val="000000" w:themeColor="text1"/>
          <w:sz w:val="20"/>
          <w:szCs w:val="20"/>
        </w:rPr>
        <w:t>ah</w:t>
      </w:r>
      <w:r w:rsidR="00FD1E71" w:rsidRPr="004A252E">
        <w:rPr>
          <w:rFonts w:ascii="Arial" w:hAnsi="Arial" w:cs="Arial"/>
          <w:color w:val="000000" w:themeColor="text1"/>
          <w:sz w:val="20"/>
          <w:szCs w:val="20"/>
        </w:rPr>
        <w:t xml:space="preserve"> naročil. </w:t>
      </w:r>
      <w:proofErr w:type="spellStart"/>
      <w:r w:rsidR="00FD1E71" w:rsidRPr="004A252E">
        <w:rPr>
          <w:rFonts w:ascii="Arial" w:hAnsi="Arial" w:cs="Arial"/>
          <w:color w:val="000000" w:themeColor="text1"/>
          <w:sz w:val="20"/>
          <w:szCs w:val="20"/>
        </w:rPr>
        <w:t>Okoljske</w:t>
      </w:r>
      <w:proofErr w:type="spellEnd"/>
      <w:r w:rsidR="00FD1E71" w:rsidRPr="004A252E">
        <w:rPr>
          <w:rFonts w:ascii="Arial" w:hAnsi="Arial" w:cs="Arial"/>
          <w:color w:val="000000" w:themeColor="text1"/>
          <w:sz w:val="20"/>
          <w:szCs w:val="20"/>
        </w:rPr>
        <w:t xml:space="preserve"> vidike so</w:t>
      </w:r>
      <w:r w:rsidR="005D5B62" w:rsidRPr="004A252E">
        <w:rPr>
          <w:rFonts w:ascii="Arial" w:hAnsi="Arial" w:cs="Arial"/>
          <w:color w:val="000000" w:themeColor="text1"/>
          <w:sz w:val="20"/>
          <w:szCs w:val="20"/>
        </w:rPr>
        <w:t xml:space="preserve"> pri</w:t>
      </w:r>
      <w:r w:rsidR="00FD1E71" w:rsidRPr="004A252E">
        <w:rPr>
          <w:rFonts w:ascii="Arial" w:hAnsi="Arial" w:cs="Arial"/>
          <w:color w:val="000000" w:themeColor="text1"/>
          <w:sz w:val="20"/>
          <w:szCs w:val="20"/>
        </w:rPr>
        <w:t xml:space="preserve"> </w:t>
      </w:r>
      <w:r w:rsidR="00432EA5" w:rsidRPr="004A252E">
        <w:rPr>
          <w:rFonts w:ascii="Arial" w:hAnsi="Arial" w:cs="Arial"/>
          <w:color w:val="000000" w:themeColor="text1"/>
          <w:sz w:val="20"/>
          <w:szCs w:val="20"/>
        </w:rPr>
        <w:t>merilih za oddajo</w:t>
      </w:r>
      <w:r w:rsidR="00FD1E71" w:rsidRPr="004A252E">
        <w:rPr>
          <w:rFonts w:ascii="Arial" w:hAnsi="Arial" w:cs="Arial"/>
          <w:color w:val="000000" w:themeColor="text1"/>
          <w:sz w:val="20"/>
          <w:szCs w:val="20"/>
        </w:rPr>
        <w:t xml:space="preserve"> naročniki upoštevali v </w:t>
      </w:r>
      <w:r w:rsidR="005D4F2F" w:rsidRPr="004A252E">
        <w:rPr>
          <w:rFonts w:ascii="Arial" w:hAnsi="Arial" w:cs="Arial"/>
          <w:color w:val="000000" w:themeColor="text1"/>
          <w:sz w:val="20"/>
          <w:szCs w:val="20"/>
        </w:rPr>
        <w:t>1</w:t>
      </w:r>
      <w:r w:rsidR="008477FE" w:rsidRPr="004A252E">
        <w:rPr>
          <w:rFonts w:ascii="Arial" w:hAnsi="Arial" w:cs="Arial"/>
          <w:color w:val="000000" w:themeColor="text1"/>
          <w:sz w:val="20"/>
          <w:szCs w:val="20"/>
        </w:rPr>
        <w:t>.</w:t>
      </w:r>
      <w:r w:rsidR="005D4F2F" w:rsidRPr="004A252E">
        <w:rPr>
          <w:rFonts w:ascii="Arial" w:hAnsi="Arial" w:cs="Arial"/>
          <w:color w:val="000000" w:themeColor="text1"/>
          <w:sz w:val="20"/>
          <w:szCs w:val="20"/>
        </w:rPr>
        <w:t>937</w:t>
      </w:r>
      <w:r w:rsidR="00FD1E71" w:rsidRPr="004A252E">
        <w:rPr>
          <w:rFonts w:ascii="Arial" w:hAnsi="Arial" w:cs="Arial"/>
          <w:color w:val="000000" w:themeColor="text1"/>
          <w:sz w:val="20"/>
          <w:szCs w:val="20"/>
        </w:rPr>
        <w:t xml:space="preserve"> naročilih, kar pomeni, da so bile te zahteve </w:t>
      </w:r>
      <w:r w:rsidR="00854B81" w:rsidRPr="004A252E">
        <w:rPr>
          <w:rFonts w:ascii="Arial" w:hAnsi="Arial" w:cs="Arial"/>
          <w:color w:val="000000" w:themeColor="text1"/>
          <w:sz w:val="20"/>
          <w:szCs w:val="20"/>
        </w:rPr>
        <w:t xml:space="preserve">upoštevane </w:t>
      </w:r>
      <w:r w:rsidR="00FD1E71" w:rsidRPr="004A252E">
        <w:rPr>
          <w:rFonts w:ascii="Arial" w:hAnsi="Arial" w:cs="Arial"/>
          <w:color w:val="000000" w:themeColor="text1"/>
          <w:sz w:val="20"/>
          <w:szCs w:val="20"/>
        </w:rPr>
        <w:t xml:space="preserve">v </w:t>
      </w:r>
      <w:r w:rsidR="00B560DD" w:rsidRPr="004A252E">
        <w:rPr>
          <w:rFonts w:ascii="Arial" w:hAnsi="Arial" w:cs="Arial"/>
          <w:color w:val="000000" w:themeColor="text1"/>
          <w:sz w:val="20"/>
          <w:szCs w:val="20"/>
        </w:rPr>
        <w:t>slabi polovici</w:t>
      </w:r>
      <w:r w:rsidR="00FD1E71" w:rsidRPr="004A252E">
        <w:rPr>
          <w:rFonts w:ascii="Arial" w:hAnsi="Arial" w:cs="Arial"/>
          <w:color w:val="000000" w:themeColor="text1"/>
          <w:sz w:val="20"/>
          <w:szCs w:val="20"/>
        </w:rPr>
        <w:t xml:space="preserve"> vseh zelenih naročil.</w:t>
      </w:r>
    </w:p>
    <w:p w14:paraId="5559E705" w14:textId="77777777" w:rsidR="001B4AB5" w:rsidRPr="004A252E" w:rsidRDefault="00FD1E71" w:rsidP="001B4AB5">
      <w:pPr>
        <w:spacing w:line="360" w:lineRule="auto"/>
        <w:jc w:val="both"/>
        <w:rPr>
          <w:rFonts w:ascii="Arial" w:hAnsi="Arial" w:cs="Arial"/>
          <w:color w:val="000000" w:themeColor="text1"/>
          <w:sz w:val="20"/>
          <w:szCs w:val="20"/>
        </w:rPr>
      </w:pPr>
      <w:r w:rsidRPr="004A252E">
        <w:rPr>
          <w:rFonts w:ascii="Arial" w:hAnsi="Arial" w:cs="Arial"/>
          <w:color w:val="000000" w:themeColor="text1"/>
          <w:sz w:val="20"/>
          <w:szCs w:val="20"/>
        </w:rPr>
        <w:lastRenderedPageBreak/>
        <w:t xml:space="preserve">Pri </w:t>
      </w:r>
      <w:r w:rsidR="005D4F2F" w:rsidRPr="004A252E">
        <w:rPr>
          <w:rFonts w:ascii="Arial" w:hAnsi="Arial" w:cs="Arial"/>
          <w:color w:val="000000" w:themeColor="text1"/>
          <w:sz w:val="20"/>
          <w:szCs w:val="20"/>
        </w:rPr>
        <w:t>489</w:t>
      </w:r>
      <w:r w:rsidR="002D713E" w:rsidRPr="004A252E">
        <w:rPr>
          <w:rFonts w:ascii="Arial" w:hAnsi="Arial" w:cs="Arial"/>
          <w:color w:val="000000" w:themeColor="text1"/>
          <w:sz w:val="20"/>
          <w:szCs w:val="20"/>
        </w:rPr>
        <w:t xml:space="preserve"> </w:t>
      </w:r>
      <w:r w:rsidRPr="004A252E">
        <w:rPr>
          <w:rFonts w:ascii="Arial" w:hAnsi="Arial" w:cs="Arial"/>
          <w:color w:val="000000" w:themeColor="text1"/>
          <w:sz w:val="20"/>
          <w:szCs w:val="20"/>
        </w:rPr>
        <w:t xml:space="preserve">naročilih so naročniki </w:t>
      </w:r>
      <w:proofErr w:type="spellStart"/>
      <w:r w:rsidRPr="004A252E">
        <w:rPr>
          <w:rFonts w:ascii="Arial" w:hAnsi="Arial" w:cs="Arial"/>
          <w:color w:val="000000" w:themeColor="text1"/>
          <w:sz w:val="20"/>
          <w:szCs w:val="20"/>
        </w:rPr>
        <w:t>okoljske</w:t>
      </w:r>
      <w:proofErr w:type="spellEnd"/>
      <w:r w:rsidRPr="004A252E">
        <w:rPr>
          <w:rFonts w:ascii="Arial" w:hAnsi="Arial" w:cs="Arial"/>
          <w:color w:val="000000" w:themeColor="text1"/>
          <w:sz w:val="20"/>
          <w:szCs w:val="20"/>
        </w:rPr>
        <w:t xml:space="preserve"> zahteve </w:t>
      </w:r>
      <w:r w:rsidR="00854B81" w:rsidRPr="004A252E">
        <w:rPr>
          <w:rFonts w:ascii="Arial" w:hAnsi="Arial" w:cs="Arial"/>
          <w:color w:val="000000" w:themeColor="text1"/>
          <w:sz w:val="20"/>
          <w:szCs w:val="20"/>
        </w:rPr>
        <w:t xml:space="preserve">uvrstili </w:t>
      </w:r>
      <w:r w:rsidRPr="004A252E">
        <w:rPr>
          <w:rFonts w:ascii="Arial" w:hAnsi="Arial" w:cs="Arial"/>
          <w:color w:val="000000" w:themeColor="text1"/>
          <w:sz w:val="20"/>
          <w:szCs w:val="20"/>
        </w:rPr>
        <w:t xml:space="preserve">med tehnične specifikacije, merila za izbiro, </w:t>
      </w:r>
      <w:r w:rsidR="001D3DD9" w:rsidRPr="004A252E">
        <w:rPr>
          <w:rFonts w:ascii="Arial" w:hAnsi="Arial" w:cs="Arial"/>
          <w:color w:val="000000" w:themeColor="text1"/>
          <w:sz w:val="20"/>
          <w:szCs w:val="20"/>
        </w:rPr>
        <w:t xml:space="preserve">med </w:t>
      </w:r>
      <w:r w:rsidRPr="004A252E">
        <w:rPr>
          <w:rFonts w:ascii="Arial" w:hAnsi="Arial" w:cs="Arial"/>
          <w:color w:val="000000" w:themeColor="text1"/>
          <w:sz w:val="20"/>
          <w:szCs w:val="20"/>
        </w:rPr>
        <w:t>pogoje za ugotavljanje sposobnosti</w:t>
      </w:r>
      <w:r w:rsidR="002D713E" w:rsidRPr="004A252E">
        <w:rPr>
          <w:rFonts w:ascii="Arial" w:hAnsi="Arial" w:cs="Arial"/>
          <w:color w:val="000000" w:themeColor="text1"/>
          <w:sz w:val="20"/>
          <w:szCs w:val="20"/>
        </w:rPr>
        <w:t>,</w:t>
      </w:r>
      <w:r w:rsidRPr="004A252E">
        <w:rPr>
          <w:rFonts w:ascii="Arial" w:hAnsi="Arial" w:cs="Arial"/>
          <w:color w:val="000000" w:themeColor="text1"/>
          <w:sz w:val="20"/>
          <w:szCs w:val="20"/>
        </w:rPr>
        <w:t xml:space="preserve"> </w:t>
      </w:r>
      <w:r w:rsidR="001D3DD9" w:rsidRPr="004A252E">
        <w:rPr>
          <w:rFonts w:ascii="Arial" w:hAnsi="Arial" w:cs="Arial"/>
          <w:color w:val="000000" w:themeColor="text1"/>
          <w:sz w:val="20"/>
          <w:szCs w:val="20"/>
        </w:rPr>
        <w:t xml:space="preserve">med </w:t>
      </w:r>
      <w:r w:rsidRPr="004A252E">
        <w:rPr>
          <w:rFonts w:ascii="Arial" w:hAnsi="Arial" w:cs="Arial"/>
          <w:color w:val="000000" w:themeColor="text1"/>
          <w:sz w:val="20"/>
          <w:szCs w:val="20"/>
        </w:rPr>
        <w:t>pogodbena določila</w:t>
      </w:r>
      <w:r w:rsidR="002D713E" w:rsidRPr="004A252E">
        <w:rPr>
          <w:rFonts w:ascii="Arial" w:hAnsi="Arial" w:cs="Arial"/>
          <w:color w:val="000000" w:themeColor="text1"/>
          <w:sz w:val="20"/>
          <w:szCs w:val="20"/>
        </w:rPr>
        <w:t xml:space="preserve"> in razloge za izključitev</w:t>
      </w:r>
      <w:r w:rsidRPr="004A252E">
        <w:rPr>
          <w:rFonts w:ascii="Arial" w:hAnsi="Arial" w:cs="Arial"/>
          <w:color w:val="000000" w:themeColor="text1"/>
          <w:sz w:val="20"/>
          <w:szCs w:val="20"/>
        </w:rPr>
        <w:t xml:space="preserve">. </w:t>
      </w:r>
    </w:p>
    <w:p w14:paraId="25D5E4D0" w14:textId="46C6D804" w:rsidR="00FD1E71" w:rsidRPr="004A252E" w:rsidRDefault="00FD1E71" w:rsidP="001B4AB5">
      <w:pPr>
        <w:spacing w:line="360" w:lineRule="auto"/>
        <w:jc w:val="both"/>
        <w:rPr>
          <w:rFonts w:ascii="Arial" w:hAnsi="Arial" w:cs="Arial"/>
          <w:color w:val="000000" w:themeColor="text1"/>
          <w:sz w:val="20"/>
        </w:rPr>
      </w:pPr>
      <w:r w:rsidRPr="004A252E">
        <w:rPr>
          <w:rFonts w:ascii="Arial" w:hAnsi="Arial" w:cs="Arial"/>
          <w:color w:val="000000" w:themeColor="text1"/>
          <w:sz w:val="20"/>
        </w:rPr>
        <w:t>Preglednica </w:t>
      </w:r>
      <w:r w:rsidR="00EA747F" w:rsidRPr="004A252E">
        <w:rPr>
          <w:rFonts w:ascii="Arial" w:hAnsi="Arial" w:cs="Arial"/>
          <w:color w:val="000000" w:themeColor="text1"/>
          <w:sz w:val="20"/>
        </w:rPr>
        <w:t>49</w:t>
      </w:r>
      <w:r w:rsidRPr="004A252E">
        <w:rPr>
          <w:rFonts w:ascii="Arial" w:hAnsi="Arial" w:cs="Arial"/>
          <w:color w:val="000000" w:themeColor="text1"/>
          <w:sz w:val="20"/>
        </w:rPr>
        <w:t xml:space="preserve">: Način vključitve </w:t>
      </w:r>
      <w:proofErr w:type="spellStart"/>
      <w:r w:rsidRPr="004A252E">
        <w:rPr>
          <w:rFonts w:ascii="Arial" w:hAnsi="Arial" w:cs="Arial"/>
          <w:color w:val="000000" w:themeColor="text1"/>
          <w:sz w:val="20"/>
        </w:rPr>
        <w:t>okoljskih</w:t>
      </w:r>
      <w:proofErr w:type="spellEnd"/>
      <w:r w:rsidRPr="004A252E">
        <w:rPr>
          <w:rFonts w:ascii="Arial" w:hAnsi="Arial" w:cs="Arial"/>
          <w:color w:val="000000" w:themeColor="text1"/>
          <w:sz w:val="20"/>
        </w:rPr>
        <w:t xml:space="preserve"> zahtev </w:t>
      </w:r>
      <w:r w:rsidR="006A68C7" w:rsidRPr="004A252E">
        <w:rPr>
          <w:rFonts w:ascii="Arial" w:hAnsi="Arial" w:cs="Arial"/>
          <w:color w:val="000000" w:themeColor="text1"/>
          <w:sz w:val="20"/>
        </w:rPr>
        <w:t>v</w:t>
      </w:r>
      <w:r w:rsidRPr="004A252E">
        <w:rPr>
          <w:rFonts w:ascii="Arial" w:hAnsi="Arial" w:cs="Arial"/>
          <w:color w:val="000000" w:themeColor="text1"/>
          <w:sz w:val="20"/>
        </w:rPr>
        <w:t xml:space="preserve"> javn</w:t>
      </w:r>
      <w:r w:rsidR="006A68C7" w:rsidRPr="004A252E">
        <w:rPr>
          <w:rFonts w:ascii="Arial" w:hAnsi="Arial" w:cs="Arial"/>
          <w:color w:val="000000" w:themeColor="text1"/>
          <w:sz w:val="20"/>
        </w:rPr>
        <w:t>a</w:t>
      </w:r>
      <w:r w:rsidRPr="004A252E">
        <w:rPr>
          <w:rFonts w:ascii="Arial" w:hAnsi="Arial" w:cs="Arial"/>
          <w:color w:val="000000" w:themeColor="text1"/>
          <w:sz w:val="20"/>
        </w:rPr>
        <w:t xml:space="preserve"> naročil</w:t>
      </w:r>
      <w:r w:rsidR="006A68C7" w:rsidRPr="004A252E">
        <w:rPr>
          <w:rFonts w:ascii="Arial" w:hAnsi="Arial" w:cs="Arial"/>
          <w:color w:val="000000" w:themeColor="text1"/>
          <w:sz w:val="20"/>
        </w:rPr>
        <w:t>a</w:t>
      </w:r>
      <w:r w:rsidRPr="004A252E">
        <w:rPr>
          <w:rFonts w:ascii="Arial" w:hAnsi="Arial" w:cs="Arial"/>
          <w:color w:val="000000" w:themeColor="text1"/>
          <w:sz w:val="20"/>
        </w:rPr>
        <w:t>, oddan</w:t>
      </w:r>
      <w:r w:rsidR="006A68C7" w:rsidRPr="004A252E">
        <w:rPr>
          <w:rFonts w:ascii="Arial" w:hAnsi="Arial" w:cs="Arial"/>
          <w:color w:val="000000" w:themeColor="text1"/>
          <w:sz w:val="20"/>
        </w:rPr>
        <w:t>a</w:t>
      </w:r>
      <w:r w:rsidRPr="004A252E">
        <w:rPr>
          <w:rFonts w:ascii="Arial" w:hAnsi="Arial" w:cs="Arial"/>
          <w:color w:val="000000" w:themeColor="text1"/>
          <w:sz w:val="20"/>
        </w:rPr>
        <w:t xml:space="preserve"> v letu 20</w:t>
      </w:r>
      <w:r w:rsidR="002D713E" w:rsidRPr="004A252E">
        <w:rPr>
          <w:rFonts w:ascii="Arial" w:hAnsi="Arial" w:cs="Arial"/>
          <w:color w:val="000000" w:themeColor="text1"/>
          <w:sz w:val="20"/>
        </w:rPr>
        <w:t>2</w:t>
      </w:r>
      <w:r w:rsidR="0064366A" w:rsidRPr="004A252E">
        <w:rPr>
          <w:rFonts w:ascii="Arial" w:hAnsi="Arial" w:cs="Arial"/>
          <w:color w:val="000000" w:themeColor="text1"/>
          <w:sz w:val="20"/>
        </w:rPr>
        <w:t>3</w:t>
      </w:r>
    </w:p>
    <w:tbl>
      <w:tblPr>
        <w:tblW w:w="8775" w:type="dxa"/>
        <w:jc w:val="center"/>
        <w:tblCellMar>
          <w:left w:w="70" w:type="dxa"/>
          <w:right w:w="70" w:type="dxa"/>
        </w:tblCellMar>
        <w:tblLook w:val="04A0" w:firstRow="1" w:lastRow="0" w:firstColumn="1" w:lastColumn="0" w:noHBand="0" w:noVBand="1"/>
      </w:tblPr>
      <w:tblGrid>
        <w:gridCol w:w="3256"/>
        <w:gridCol w:w="1092"/>
        <w:gridCol w:w="1542"/>
        <w:gridCol w:w="1335"/>
        <w:gridCol w:w="1550"/>
      </w:tblGrid>
      <w:tr w:rsidR="008F7016" w:rsidRPr="004A252E" w14:paraId="56C88EAB" w14:textId="77777777" w:rsidTr="004A252E">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88C85B" w14:textId="77777777" w:rsidR="008F7016" w:rsidRPr="004A252E" w:rsidRDefault="008F7016" w:rsidP="008F7016">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 xml:space="preserve">Način vključevanja </w:t>
            </w:r>
            <w:proofErr w:type="spellStart"/>
            <w:r w:rsidRPr="004A252E">
              <w:rPr>
                <w:rFonts w:ascii="Arial" w:eastAsia="Times New Roman" w:hAnsi="Arial" w:cs="Arial"/>
                <w:color w:val="000000" w:themeColor="text1"/>
                <w:sz w:val="18"/>
                <w:szCs w:val="18"/>
                <w:lang w:eastAsia="sl-SI"/>
              </w:rPr>
              <w:t>okoljskih</w:t>
            </w:r>
            <w:proofErr w:type="spellEnd"/>
            <w:r w:rsidRPr="004A252E">
              <w:rPr>
                <w:rFonts w:ascii="Arial" w:eastAsia="Times New Roman" w:hAnsi="Arial" w:cs="Arial"/>
                <w:color w:val="000000" w:themeColor="text1"/>
                <w:sz w:val="18"/>
                <w:szCs w:val="18"/>
                <w:lang w:eastAsia="sl-SI"/>
              </w:rPr>
              <w:t xml:space="preserve"> vidikov v javno naročanje</w:t>
            </w:r>
          </w:p>
        </w:tc>
        <w:tc>
          <w:tcPr>
            <w:tcW w:w="10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7B1217" w14:textId="77777777" w:rsidR="008F7016" w:rsidRPr="004A252E" w:rsidRDefault="008F7016" w:rsidP="008F7016">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Št. zelenih naročil</w:t>
            </w:r>
          </w:p>
        </w:tc>
        <w:tc>
          <w:tcPr>
            <w:tcW w:w="154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71DDAF" w14:textId="77777777" w:rsidR="008F7016" w:rsidRPr="004A252E" w:rsidRDefault="008F7016" w:rsidP="008F7016">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Pogodbena vrednost</w:t>
            </w:r>
          </w:p>
        </w:tc>
        <w:tc>
          <w:tcPr>
            <w:tcW w:w="13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5280E6" w14:textId="77777777" w:rsidR="008F7016" w:rsidRPr="004A252E" w:rsidRDefault="008F7016" w:rsidP="008F7016">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Delež v št. zelenih naročil</w:t>
            </w:r>
          </w:p>
        </w:tc>
        <w:tc>
          <w:tcPr>
            <w:tcW w:w="15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280159" w14:textId="77777777" w:rsidR="008F7016" w:rsidRPr="004A252E" w:rsidRDefault="008F7016" w:rsidP="008F7016">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Delež v vrednosti zelenih naročil</w:t>
            </w:r>
          </w:p>
        </w:tc>
      </w:tr>
      <w:tr w:rsidR="004A252E" w:rsidRPr="004A252E" w14:paraId="1D9794A2" w14:textId="77777777" w:rsidTr="004A252E">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2011" w14:textId="77777777" w:rsidR="004A252E" w:rsidRPr="004A252E" w:rsidRDefault="004A252E" w:rsidP="004A252E">
            <w:pPr>
              <w:spacing w:after="0" w:line="240" w:lineRule="auto"/>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Tehnične specifikacije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56D9263C"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3.151</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639CA183"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1.720.015.731</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0AED1701" w14:textId="50E32536"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65,59 %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49830DE" w14:textId="3EAD20B9"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80,46 %</w:t>
            </w:r>
          </w:p>
        </w:tc>
      </w:tr>
      <w:tr w:rsidR="004A252E" w:rsidRPr="004A252E" w14:paraId="42FC0F1E" w14:textId="77777777" w:rsidTr="004A252E">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D87A" w14:textId="77777777" w:rsidR="004A252E" w:rsidRPr="004A252E" w:rsidRDefault="004A252E" w:rsidP="004A252E">
            <w:pPr>
              <w:spacing w:after="0" w:line="240" w:lineRule="auto"/>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 xml:space="preserve">Merila za oddajo javnega naročila </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08D6A10E"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1.937</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2CED5CAB"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789.722.278</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2908EA02" w14:textId="35177890"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40,32 %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606190E" w14:textId="12CD233D"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36,94 %</w:t>
            </w:r>
          </w:p>
        </w:tc>
      </w:tr>
      <w:tr w:rsidR="004A252E" w:rsidRPr="004A252E" w14:paraId="1ECC4D17" w14:textId="77777777" w:rsidTr="004A252E">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D45A" w14:textId="77777777" w:rsidR="004A252E" w:rsidRPr="004A252E" w:rsidRDefault="004A252E" w:rsidP="004A252E">
            <w:pPr>
              <w:spacing w:after="0" w:line="240" w:lineRule="auto"/>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Pogoji za sodelovanje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4CB7475"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1.660</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6C3F9EB1"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387.507.410</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FB7E59C" w14:textId="6078EE06"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34,55 %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2CF06E82" w14:textId="62CDA051"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18,13 %</w:t>
            </w:r>
          </w:p>
        </w:tc>
      </w:tr>
      <w:tr w:rsidR="004A252E" w:rsidRPr="004A252E" w14:paraId="31C97114" w14:textId="77777777" w:rsidTr="004A252E">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6395C" w14:textId="77777777" w:rsidR="004A252E" w:rsidRPr="004A252E" w:rsidRDefault="004A252E" w:rsidP="004A252E">
            <w:pPr>
              <w:spacing w:after="0" w:line="240" w:lineRule="auto"/>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Pogodbena določila iz obligacijskega razmerja</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4FC33545" w14:textId="1AEAA87C"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1.227</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0EDF7069" w14:textId="68785184"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377.848.850</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2CE8258B" w14:textId="1A50417C"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25,54 %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0F4FE37" w14:textId="058C365F"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17,68 %</w:t>
            </w:r>
          </w:p>
        </w:tc>
      </w:tr>
      <w:tr w:rsidR="004A252E" w:rsidRPr="004A252E" w14:paraId="4AA6B973" w14:textId="77777777" w:rsidTr="004A252E">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D1BA" w14:textId="77777777" w:rsidR="004A252E" w:rsidRPr="004A252E" w:rsidRDefault="004A252E" w:rsidP="004A252E">
            <w:pPr>
              <w:spacing w:after="0" w:line="240" w:lineRule="auto"/>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Razlogi za izključitev</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5918EA8"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850</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1C1AA4D1"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33.904.303</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45319AFA" w14:textId="13ECFBB4"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17,69 %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1B133360" w14:textId="6F0E800C"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1,59 %</w:t>
            </w:r>
          </w:p>
        </w:tc>
      </w:tr>
      <w:tr w:rsidR="004A252E" w:rsidRPr="004A252E" w14:paraId="1918FFF5" w14:textId="77777777" w:rsidTr="004A252E">
        <w:trPr>
          <w:trHeight w:val="2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546DE" w14:textId="77777777" w:rsidR="004A252E" w:rsidRPr="004A252E" w:rsidRDefault="004A252E" w:rsidP="004A252E">
            <w:pPr>
              <w:spacing w:after="0" w:line="240" w:lineRule="auto"/>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Drugo</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261CA78A"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34</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34541A65" w14:textId="77777777"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5.864.698</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1985768D" w14:textId="0580F113"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0,71 %</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3021BB3E" w14:textId="1A534CA4" w:rsidR="004A252E" w:rsidRPr="004A252E" w:rsidRDefault="004A252E" w:rsidP="004A252E">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0,27 %</w:t>
            </w:r>
          </w:p>
        </w:tc>
      </w:tr>
    </w:tbl>
    <w:p w14:paraId="600D8FE7" w14:textId="77777777" w:rsidR="00FD1E71" w:rsidRPr="004A252E" w:rsidRDefault="00FD1E71" w:rsidP="00FD1E71">
      <w:pPr>
        <w:spacing w:after="0" w:line="240" w:lineRule="auto"/>
        <w:jc w:val="center"/>
        <w:rPr>
          <w:rFonts w:ascii="Arial" w:hAnsi="Arial" w:cs="Arial"/>
          <w:color w:val="000000" w:themeColor="text1"/>
          <w:sz w:val="18"/>
        </w:rPr>
      </w:pPr>
    </w:p>
    <w:p w14:paraId="035678C6" w14:textId="21E41E9C" w:rsidR="00FD1E71" w:rsidRPr="00690139" w:rsidRDefault="00FD1E71" w:rsidP="00FD1E71">
      <w:pPr>
        <w:spacing w:after="240" w:line="240" w:lineRule="auto"/>
        <w:jc w:val="center"/>
        <w:rPr>
          <w:rFonts w:ascii="Arial" w:hAnsi="Arial" w:cs="Arial"/>
          <w:color w:val="000000" w:themeColor="text1"/>
          <w:sz w:val="18"/>
        </w:rPr>
      </w:pPr>
      <w:r w:rsidRPr="00690139">
        <w:rPr>
          <w:rFonts w:ascii="Arial" w:hAnsi="Arial" w:cs="Arial"/>
          <w:color w:val="000000" w:themeColor="text1"/>
          <w:sz w:val="18"/>
        </w:rPr>
        <w:t>Vir: Statistični podatki o javnih naročilih, oddanih v letu 20</w:t>
      </w:r>
      <w:r w:rsidR="002D713E" w:rsidRPr="00690139">
        <w:rPr>
          <w:rFonts w:ascii="Arial" w:hAnsi="Arial" w:cs="Arial"/>
          <w:color w:val="000000" w:themeColor="text1"/>
          <w:sz w:val="18"/>
        </w:rPr>
        <w:t>2</w:t>
      </w:r>
      <w:r w:rsidR="0064366A" w:rsidRPr="00690139">
        <w:rPr>
          <w:rFonts w:ascii="Arial" w:hAnsi="Arial" w:cs="Arial"/>
          <w:color w:val="000000" w:themeColor="text1"/>
          <w:sz w:val="18"/>
        </w:rPr>
        <w:t>3</w:t>
      </w:r>
      <w:r w:rsidR="005D5B62" w:rsidRPr="00690139">
        <w:rPr>
          <w:rFonts w:ascii="Arial" w:hAnsi="Arial" w:cs="Arial"/>
          <w:color w:val="000000" w:themeColor="text1"/>
          <w:sz w:val="18"/>
        </w:rPr>
        <w:t>.</w:t>
      </w:r>
    </w:p>
    <w:p w14:paraId="5AFE8C23" w14:textId="4DFE91CD" w:rsidR="00AB5280" w:rsidRPr="00690139" w:rsidRDefault="00AB5280" w:rsidP="00AB5280">
      <w:pPr>
        <w:spacing w:line="360" w:lineRule="auto"/>
        <w:jc w:val="both"/>
        <w:rPr>
          <w:rFonts w:ascii="Arial" w:hAnsi="Arial" w:cs="Arial"/>
          <w:color w:val="000000" w:themeColor="text1"/>
          <w:sz w:val="20"/>
          <w:szCs w:val="20"/>
        </w:rPr>
      </w:pPr>
      <w:r w:rsidRPr="00690139">
        <w:rPr>
          <w:rFonts w:ascii="Arial" w:hAnsi="Arial" w:cs="Arial"/>
          <w:color w:val="000000" w:themeColor="text1"/>
          <w:sz w:val="20"/>
          <w:szCs w:val="20"/>
        </w:rPr>
        <w:t xml:space="preserve">Največ naročil, pri katerih je bil upoštevan </w:t>
      </w:r>
      <w:proofErr w:type="spellStart"/>
      <w:r w:rsidRPr="00690139">
        <w:rPr>
          <w:rFonts w:ascii="Arial" w:hAnsi="Arial" w:cs="Arial"/>
          <w:color w:val="000000" w:themeColor="text1"/>
          <w:sz w:val="20"/>
          <w:szCs w:val="20"/>
        </w:rPr>
        <w:t>okoljski</w:t>
      </w:r>
      <w:proofErr w:type="spellEnd"/>
      <w:r w:rsidRPr="00690139">
        <w:rPr>
          <w:rFonts w:ascii="Arial" w:hAnsi="Arial" w:cs="Arial"/>
          <w:color w:val="000000" w:themeColor="text1"/>
          <w:sz w:val="20"/>
          <w:szCs w:val="20"/>
        </w:rPr>
        <w:t xml:space="preserve"> vidik, so od</w:t>
      </w:r>
      <w:r w:rsidR="00CE15B6" w:rsidRPr="00690139">
        <w:rPr>
          <w:rFonts w:ascii="Arial" w:hAnsi="Arial" w:cs="Arial"/>
          <w:color w:val="000000" w:themeColor="text1"/>
          <w:sz w:val="20"/>
          <w:szCs w:val="20"/>
        </w:rPr>
        <w:t xml:space="preserve">dali javni zavodi, in sicer </w:t>
      </w:r>
      <w:r w:rsidR="001B397B" w:rsidRPr="00690139">
        <w:rPr>
          <w:rFonts w:ascii="Arial" w:hAnsi="Arial" w:cs="Arial"/>
          <w:color w:val="000000" w:themeColor="text1"/>
          <w:sz w:val="20"/>
          <w:szCs w:val="20"/>
        </w:rPr>
        <w:t>3</w:t>
      </w:r>
      <w:r w:rsidR="00931978" w:rsidRPr="00690139">
        <w:rPr>
          <w:rFonts w:ascii="Arial" w:hAnsi="Arial" w:cs="Arial"/>
          <w:color w:val="000000" w:themeColor="text1"/>
          <w:sz w:val="20"/>
          <w:szCs w:val="20"/>
        </w:rPr>
        <w:t>.</w:t>
      </w:r>
      <w:r w:rsidR="00D671AD" w:rsidRPr="00690139">
        <w:rPr>
          <w:rFonts w:ascii="Arial" w:hAnsi="Arial" w:cs="Arial"/>
          <w:color w:val="000000" w:themeColor="text1"/>
          <w:sz w:val="20"/>
          <w:szCs w:val="20"/>
        </w:rPr>
        <w:t>240</w:t>
      </w:r>
      <w:r w:rsidRPr="00690139">
        <w:rPr>
          <w:rFonts w:ascii="Arial" w:hAnsi="Arial" w:cs="Arial"/>
          <w:color w:val="000000" w:themeColor="text1"/>
          <w:sz w:val="20"/>
          <w:szCs w:val="20"/>
        </w:rPr>
        <w:t xml:space="preserve"> naročil v vrednosti </w:t>
      </w:r>
      <w:r w:rsidR="00D671AD" w:rsidRPr="00690139">
        <w:rPr>
          <w:rFonts w:ascii="Arial" w:hAnsi="Arial" w:cs="Arial"/>
          <w:color w:val="000000" w:themeColor="text1"/>
          <w:sz w:val="20"/>
          <w:szCs w:val="20"/>
        </w:rPr>
        <w:t xml:space="preserve">346.184.378 </w:t>
      </w:r>
      <w:r w:rsidRPr="00690139">
        <w:rPr>
          <w:rFonts w:ascii="Arial" w:hAnsi="Arial" w:cs="Arial"/>
          <w:color w:val="000000" w:themeColor="text1"/>
          <w:sz w:val="20"/>
          <w:szCs w:val="20"/>
        </w:rPr>
        <w:t>evrov</w:t>
      </w:r>
      <w:r w:rsidR="00325434" w:rsidRPr="00690139">
        <w:rPr>
          <w:rFonts w:ascii="Arial" w:hAnsi="Arial" w:cs="Arial"/>
          <w:color w:val="000000" w:themeColor="text1"/>
          <w:sz w:val="20"/>
          <w:szCs w:val="20"/>
        </w:rPr>
        <w:t>,</w:t>
      </w:r>
      <w:r w:rsidR="00FA0EF9" w:rsidRPr="00690139">
        <w:rPr>
          <w:rFonts w:ascii="Arial" w:hAnsi="Arial" w:cs="Arial"/>
          <w:color w:val="000000" w:themeColor="text1"/>
          <w:sz w:val="20"/>
          <w:szCs w:val="20"/>
        </w:rPr>
        <w:t xml:space="preserve"> </w:t>
      </w:r>
      <w:r w:rsidRPr="00690139">
        <w:rPr>
          <w:rFonts w:ascii="Arial" w:hAnsi="Arial" w:cs="Arial"/>
          <w:color w:val="000000" w:themeColor="text1"/>
          <w:sz w:val="20"/>
          <w:szCs w:val="20"/>
        </w:rPr>
        <w:t>sam</w:t>
      </w:r>
      <w:r w:rsidR="00CE15B6" w:rsidRPr="00690139">
        <w:rPr>
          <w:rFonts w:ascii="Arial" w:hAnsi="Arial" w:cs="Arial"/>
          <w:color w:val="000000" w:themeColor="text1"/>
          <w:sz w:val="20"/>
          <w:szCs w:val="20"/>
        </w:rPr>
        <w:t xml:space="preserve">oupravne lokalne skupnosti s </w:t>
      </w:r>
      <w:r w:rsidR="00D671AD" w:rsidRPr="00690139">
        <w:rPr>
          <w:rFonts w:ascii="Arial" w:hAnsi="Arial" w:cs="Arial"/>
          <w:color w:val="000000" w:themeColor="text1"/>
          <w:sz w:val="20"/>
          <w:szCs w:val="20"/>
        </w:rPr>
        <w:t>7</w:t>
      </w:r>
      <w:r w:rsidR="00690139" w:rsidRPr="00690139">
        <w:rPr>
          <w:rFonts w:ascii="Arial" w:hAnsi="Arial" w:cs="Arial"/>
          <w:color w:val="000000" w:themeColor="text1"/>
          <w:sz w:val="20"/>
          <w:szCs w:val="20"/>
        </w:rPr>
        <w:t>39</w:t>
      </w:r>
      <w:r w:rsidRPr="00690139">
        <w:rPr>
          <w:rFonts w:ascii="Arial" w:hAnsi="Arial" w:cs="Arial"/>
          <w:color w:val="000000" w:themeColor="text1"/>
          <w:sz w:val="20"/>
          <w:szCs w:val="20"/>
        </w:rPr>
        <w:t xml:space="preserve"> naročili v vrednosti </w:t>
      </w:r>
      <w:r w:rsidR="00690139" w:rsidRPr="00690139">
        <w:rPr>
          <w:rFonts w:ascii="Arial" w:hAnsi="Arial" w:cs="Arial"/>
          <w:color w:val="000000" w:themeColor="text1"/>
          <w:sz w:val="20"/>
          <w:szCs w:val="20"/>
        </w:rPr>
        <w:t xml:space="preserve">446.223.861 </w:t>
      </w:r>
      <w:r w:rsidRPr="00690139">
        <w:rPr>
          <w:rFonts w:ascii="Arial" w:hAnsi="Arial" w:cs="Arial"/>
          <w:color w:val="000000" w:themeColor="text1"/>
          <w:sz w:val="20"/>
          <w:szCs w:val="20"/>
        </w:rPr>
        <w:t>evrov in drugi naročniki (osebe javnega prava, javna podjetja, subjekt s posebnimi in</w:t>
      </w:r>
      <w:r w:rsidR="00CE15B6" w:rsidRPr="00690139">
        <w:rPr>
          <w:rFonts w:ascii="Arial" w:hAnsi="Arial" w:cs="Arial"/>
          <w:color w:val="000000" w:themeColor="text1"/>
          <w:sz w:val="20"/>
          <w:szCs w:val="20"/>
        </w:rPr>
        <w:t xml:space="preserve">frastrukturnimi pravicami) s </w:t>
      </w:r>
      <w:r w:rsidR="00D671AD" w:rsidRPr="00690139">
        <w:rPr>
          <w:rFonts w:ascii="Arial" w:hAnsi="Arial" w:cs="Arial"/>
          <w:color w:val="000000" w:themeColor="text1"/>
          <w:sz w:val="20"/>
          <w:szCs w:val="20"/>
        </w:rPr>
        <w:t>394</w:t>
      </w:r>
      <w:r w:rsidRPr="00690139">
        <w:rPr>
          <w:rFonts w:ascii="Arial" w:hAnsi="Arial" w:cs="Arial"/>
          <w:color w:val="000000" w:themeColor="text1"/>
          <w:sz w:val="20"/>
          <w:szCs w:val="20"/>
        </w:rPr>
        <w:t xml:space="preserve"> naročili v vrednosti </w:t>
      </w:r>
      <w:r w:rsidR="00D671AD" w:rsidRPr="00690139">
        <w:rPr>
          <w:rFonts w:ascii="Arial" w:hAnsi="Arial" w:cs="Arial"/>
          <w:color w:val="000000" w:themeColor="text1"/>
          <w:sz w:val="20"/>
          <w:szCs w:val="20"/>
        </w:rPr>
        <w:t xml:space="preserve">271.635.705 </w:t>
      </w:r>
      <w:r w:rsidRPr="00690139">
        <w:rPr>
          <w:rFonts w:ascii="Arial" w:hAnsi="Arial" w:cs="Arial"/>
          <w:color w:val="000000" w:themeColor="text1"/>
          <w:sz w:val="20"/>
          <w:szCs w:val="20"/>
        </w:rPr>
        <w:t>evrov. Organi R</w:t>
      </w:r>
      <w:r w:rsidR="00CE15B6" w:rsidRPr="00690139">
        <w:rPr>
          <w:rFonts w:ascii="Arial" w:hAnsi="Arial" w:cs="Arial"/>
          <w:color w:val="000000" w:themeColor="text1"/>
          <w:sz w:val="20"/>
          <w:szCs w:val="20"/>
        </w:rPr>
        <w:t xml:space="preserve">epublike Slovenije so oddali </w:t>
      </w:r>
      <w:r w:rsidR="00D671AD" w:rsidRPr="00690139">
        <w:rPr>
          <w:rFonts w:ascii="Arial" w:hAnsi="Arial" w:cs="Arial"/>
          <w:color w:val="000000" w:themeColor="text1"/>
          <w:sz w:val="20"/>
          <w:szCs w:val="20"/>
        </w:rPr>
        <w:t>367</w:t>
      </w:r>
      <w:r w:rsidRPr="00690139">
        <w:rPr>
          <w:rFonts w:ascii="Arial" w:hAnsi="Arial" w:cs="Arial"/>
          <w:color w:val="000000" w:themeColor="text1"/>
          <w:sz w:val="20"/>
          <w:szCs w:val="20"/>
        </w:rPr>
        <w:t xml:space="preserve"> zelenih naročil v vrednosti </w:t>
      </w:r>
      <w:r w:rsidR="00D671AD" w:rsidRPr="00690139">
        <w:rPr>
          <w:rFonts w:ascii="Arial" w:hAnsi="Arial" w:cs="Arial"/>
          <w:color w:val="000000" w:themeColor="text1"/>
          <w:sz w:val="20"/>
          <w:szCs w:val="20"/>
        </w:rPr>
        <w:t xml:space="preserve">856.910.954 </w:t>
      </w:r>
      <w:r w:rsidRPr="00690139">
        <w:rPr>
          <w:rFonts w:ascii="Arial" w:hAnsi="Arial" w:cs="Arial"/>
          <w:color w:val="000000" w:themeColor="text1"/>
          <w:sz w:val="20"/>
          <w:szCs w:val="20"/>
        </w:rPr>
        <w:t>evrov.</w:t>
      </w:r>
    </w:p>
    <w:p w14:paraId="70552238" w14:textId="7562541C" w:rsidR="00F513C9" w:rsidRPr="004A252E" w:rsidRDefault="002B74A3" w:rsidP="00CA253A">
      <w:pPr>
        <w:spacing w:line="360" w:lineRule="auto"/>
        <w:jc w:val="both"/>
        <w:rPr>
          <w:rFonts w:ascii="Arial" w:hAnsi="Arial" w:cs="Arial"/>
          <w:color w:val="000000" w:themeColor="text1"/>
          <w:sz w:val="20"/>
          <w:szCs w:val="20"/>
        </w:rPr>
      </w:pPr>
      <w:r w:rsidRPr="004A252E">
        <w:rPr>
          <w:rFonts w:ascii="Arial" w:hAnsi="Arial" w:cs="Arial"/>
          <w:color w:val="000000" w:themeColor="text1"/>
          <w:sz w:val="20"/>
          <w:szCs w:val="20"/>
        </w:rPr>
        <w:t>Leta</w:t>
      </w:r>
      <w:r w:rsidR="006E455E" w:rsidRPr="004A252E">
        <w:rPr>
          <w:rFonts w:ascii="Arial" w:hAnsi="Arial" w:cs="Arial"/>
          <w:color w:val="000000" w:themeColor="text1"/>
          <w:sz w:val="20"/>
          <w:szCs w:val="20"/>
        </w:rPr>
        <w:t xml:space="preserve"> 20</w:t>
      </w:r>
      <w:r w:rsidR="00053D94" w:rsidRPr="004A252E">
        <w:rPr>
          <w:rFonts w:ascii="Arial" w:hAnsi="Arial" w:cs="Arial"/>
          <w:color w:val="000000" w:themeColor="text1"/>
          <w:sz w:val="20"/>
          <w:szCs w:val="20"/>
        </w:rPr>
        <w:t>2</w:t>
      </w:r>
      <w:r w:rsidR="00D671AD" w:rsidRPr="004A252E">
        <w:rPr>
          <w:rFonts w:ascii="Arial" w:hAnsi="Arial" w:cs="Arial"/>
          <w:color w:val="000000" w:themeColor="text1"/>
          <w:sz w:val="20"/>
          <w:szCs w:val="20"/>
        </w:rPr>
        <w:t>3</w:t>
      </w:r>
      <w:r w:rsidR="006C0EB0" w:rsidRPr="004A252E">
        <w:rPr>
          <w:rFonts w:ascii="Arial" w:hAnsi="Arial" w:cs="Arial"/>
          <w:color w:val="000000" w:themeColor="text1"/>
          <w:sz w:val="20"/>
          <w:szCs w:val="20"/>
        </w:rPr>
        <w:t xml:space="preserve"> je največ naročnikov, ki so oddali vsaj eno naročilo </w:t>
      </w:r>
      <w:r w:rsidR="00617E9A" w:rsidRPr="004A252E">
        <w:rPr>
          <w:rFonts w:ascii="Arial" w:hAnsi="Arial" w:cs="Arial"/>
          <w:color w:val="000000" w:themeColor="text1"/>
          <w:sz w:val="20"/>
          <w:szCs w:val="20"/>
        </w:rPr>
        <w:t xml:space="preserve">z vključenimi </w:t>
      </w:r>
      <w:proofErr w:type="spellStart"/>
      <w:r w:rsidR="00617E9A" w:rsidRPr="004A252E">
        <w:rPr>
          <w:rFonts w:ascii="Arial" w:hAnsi="Arial" w:cs="Arial"/>
          <w:color w:val="000000" w:themeColor="text1"/>
          <w:sz w:val="20"/>
          <w:szCs w:val="20"/>
        </w:rPr>
        <w:t>okoljskimi</w:t>
      </w:r>
      <w:proofErr w:type="spellEnd"/>
      <w:r w:rsidR="00617E9A" w:rsidRPr="004A252E">
        <w:rPr>
          <w:rFonts w:ascii="Arial" w:hAnsi="Arial" w:cs="Arial"/>
          <w:color w:val="000000" w:themeColor="text1"/>
          <w:sz w:val="20"/>
          <w:szCs w:val="20"/>
        </w:rPr>
        <w:t xml:space="preserve"> vidiki</w:t>
      </w:r>
      <w:r w:rsidR="00410FB1" w:rsidRPr="004A252E">
        <w:rPr>
          <w:rFonts w:ascii="Arial" w:hAnsi="Arial" w:cs="Arial"/>
          <w:color w:val="000000" w:themeColor="text1"/>
          <w:sz w:val="20"/>
          <w:szCs w:val="20"/>
        </w:rPr>
        <w:t>,</w:t>
      </w:r>
      <w:r w:rsidR="00617E9A" w:rsidRPr="004A252E">
        <w:rPr>
          <w:rFonts w:ascii="Arial" w:hAnsi="Arial" w:cs="Arial"/>
          <w:color w:val="000000" w:themeColor="text1"/>
          <w:sz w:val="20"/>
          <w:szCs w:val="20"/>
        </w:rPr>
        <w:t xml:space="preserve"> </w:t>
      </w:r>
      <w:r w:rsidR="006C0EB0" w:rsidRPr="004A252E">
        <w:rPr>
          <w:rFonts w:ascii="Arial" w:hAnsi="Arial" w:cs="Arial"/>
          <w:color w:val="000000" w:themeColor="text1"/>
          <w:sz w:val="20"/>
          <w:szCs w:val="20"/>
        </w:rPr>
        <w:t xml:space="preserve">iz </w:t>
      </w:r>
      <w:r w:rsidR="00325434" w:rsidRPr="004A252E">
        <w:rPr>
          <w:rFonts w:ascii="Arial" w:hAnsi="Arial" w:cs="Arial"/>
          <w:color w:val="000000" w:themeColor="text1"/>
          <w:sz w:val="20"/>
          <w:szCs w:val="20"/>
        </w:rPr>
        <w:t>skupine</w:t>
      </w:r>
      <w:r w:rsidR="006C0EB0" w:rsidRPr="004A252E">
        <w:rPr>
          <w:rFonts w:ascii="Arial" w:hAnsi="Arial" w:cs="Arial"/>
          <w:color w:val="000000" w:themeColor="text1"/>
          <w:sz w:val="20"/>
          <w:szCs w:val="20"/>
        </w:rPr>
        <w:t xml:space="preserve"> javni zavodi</w:t>
      </w:r>
      <w:r w:rsidR="006E455E" w:rsidRPr="004A252E">
        <w:rPr>
          <w:rFonts w:ascii="Arial" w:hAnsi="Arial" w:cs="Arial"/>
          <w:color w:val="000000" w:themeColor="text1"/>
          <w:sz w:val="20"/>
          <w:szCs w:val="20"/>
        </w:rPr>
        <w:t xml:space="preserve">, in sicer </w:t>
      </w:r>
      <w:r w:rsidR="00053D94" w:rsidRPr="004A252E">
        <w:rPr>
          <w:rFonts w:ascii="Arial" w:hAnsi="Arial" w:cs="Arial"/>
          <w:color w:val="000000" w:themeColor="text1"/>
          <w:sz w:val="20"/>
          <w:szCs w:val="20"/>
        </w:rPr>
        <w:t>3</w:t>
      </w:r>
      <w:r w:rsidR="001B397B" w:rsidRPr="004A252E">
        <w:rPr>
          <w:rFonts w:ascii="Arial" w:hAnsi="Arial" w:cs="Arial"/>
          <w:color w:val="000000" w:themeColor="text1"/>
          <w:sz w:val="20"/>
          <w:szCs w:val="20"/>
        </w:rPr>
        <w:t>25</w:t>
      </w:r>
      <w:r w:rsidR="006C0EB0" w:rsidRPr="004A252E">
        <w:rPr>
          <w:rFonts w:ascii="Arial" w:hAnsi="Arial" w:cs="Arial"/>
          <w:color w:val="000000" w:themeColor="text1"/>
          <w:sz w:val="20"/>
          <w:szCs w:val="20"/>
        </w:rPr>
        <w:t xml:space="preserve">. V tej </w:t>
      </w:r>
      <w:r w:rsidR="00301627" w:rsidRPr="004A252E">
        <w:rPr>
          <w:rFonts w:ascii="Arial" w:hAnsi="Arial" w:cs="Arial"/>
          <w:color w:val="000000" w:themeColor="text1"/>
          <w:sz w:val="20"/>
          <w:szCs w:val="20"/>
        </w:rPr>
        <w:t>skupini</w:t>
      </w:r>
      <w:r w:rsidR="006C0EB0" w:rsidRPr="004A252E">
        <w:rPr>
          <w:rFonts w:ascii="Arial" w:hAnsi="Arial" w:cs="Arial"/>
          <w:color w:val="000000" w:themeColor="text1"/>
          <w:sz w:val="20"/>
          <w:szCs w:val="20"/>
        </w:rPr>
        <w:t xml:space="preserve"> je </w:t>
      </w:r>
      <w:r w:rsidR="00617E9A" w:rsidRPr="004A252E">
        <w:rPr>
          <w:rFonts w:ascii="Arial" w:hAnsi="Arial" w:cs="Arial"/>
          <w:color w:val="000000" w:themeColor="text1"/>
          <w:sz w:val="20"/>
          <w:szCs w:val="20"/>
        </w:rPr>
        <w:t xml:space="preserve">tudi </w:t>
      </w:r>
      <w:r w:rsidR="006E455E" w:rsidRPr="004A252E">
        <w:rPr>
          <w:rFonts w:ascii="Arial" w:hAnsi="Arial" w:cs="Arial"/>
          <w:color w:val="000000" w:themeColor="text1"/>
          <w:sz w:val="20"/>
          <w:szCs w:val="20"/>
        </w:rPr>
        <w:t>1</w:t>
      </w:r>
      <w:r w:rsidR="00D671AD" w:rsidRPr="004A252E">
        <w:rPr>
          <w:rFonts w:ascii="Arial" w:hAnsi="Arial" w:cs="Arial"/>
          <w:color w:val="000000" w:themeColor="text1"/>
          <w:sz w:val="20"/>
          <w:szCs w:val="20"/>
        </w:rPr>
        <w:t>6</w:t>
      </w:r>
      <w:r w:rsidR="001B397B" w:rsidRPr="004A252E">
        <w:rPr>
          <w:rFonts w:ascii="Arial" w:hAnsi="Arial" w:cs="Arial"/>
          <w:color w:val="000000" w:themeColor="text1"/>
          <w:sz w:val="20"/>
          <w:szCs w:val="20"/>
        </w:rPr>
        <w:t>8</w:t>
      </w:r>
      <w:r w:rsidR="006C0EB0" w:rsidRPr="004A252E">
        <w:rPr>
          <w:rFonts w:ascii="Arial" w:hAnsi="Arial" w:cs="Arial"/>
          <w:color w:val="000000" w:themeColor="text1"/>
          <w:sz w:val="20"/>
          <w:szCs w:val="20"/>
        </w:rPr>
        <w:t xml:space="preserve"> naročnikov, ki so oddali vsaj eno naročilo, vendar </w:t>
      </w:r>
      <w:r w:rsidR="00617E9A" w:rsidRPr="004A252E">
        <w:rPr>
          <w:rFonts w:ascii="Arial" w:hAnsi="Arial" w:cs="Arial"/>
          <w:color w:val="000000" w:themeColor="text1"/>
          <w:sz w:val="20"/>
          <w:szCs w:val="20"/>
        </w:rPr>
        <w:t xml:space="preserve">v nobenem niso bili upoštevani </w:t>
      </w:r>
      <w:proofErr w:type="spellStart"/>
      <w:r w:rsidR="00617E9A" w:rsidRPr="004A252E">
        <w:rPr>
          <w:rFonts w:ascii="Arial" w:hAnsi="Arial" w:cs="Arial"/>
          <w:color w:val="000000" w:themeColor="text1"/>
          <w:sz w:val="20"/>
          <w:szCs w:val="20"/>
        </w:rPr>
        <w:t>okoljski</w:t>
      </w:r>
      <w:proofErr w:type="spellEnd"/>
      <w:r w:rsidR="00617E9A" w:rsidRPr="004A252E">
        <w:rPr>
          <w:rFonts w:ascii="Arial" w:hAnsi="Arial" w:cs="Arial"/>
          <w:color w:val="000000" w:themeColor="text1"/>
          <w:sz w:val="20"/>
          <w:szCs w:val="20"/>
        </w:rPr>
        <w:t xml:space="preserve"> vidiki.</w:t>
      </w:r>
      <w:r w:rsidR="006C0EB0" w:rsidRPr="004A252E">
        <w:rPr>
          <w:rFonts w:ascii="Arial" w:hAnsi="Arial" w:cs="Arial"/>
          <w:color w:val="000000" w:themeColor="text1"/>
          <w:sz w:val="20"/>
          <w:szCs w:val="20"/>
        </w:rPr>
        <w:t xml:space="preserve"> </w:t>
      </w:r>
    </w:p>
    <w:p w14:paraId="445CE4C6" w14:textId="7CBB15E0" w:rsidR="00F83DD4" w:rsidRPr="004A252E" w:rsidRDefault="00F83DD4" w:rsidP="00701C10">
      <w:pPr>
        <w:spacing w:before="120" w:after="120" w:line="240" w:lineRule="auto"/>
        <w:jc w:val="both"/>
        <w:rPr>
          <w:rFonts w:ascii="Arial" w:hAnsi="Arial" w:cs="Arial"/>
          <w:color w:val="000000" w:themeColor="text1"/>
          <w:sz w:val="20"/>
        </w:rPr>
      </w:pPr>
      <w:r w:rsidRPr="004A252E">
        <w:rPr>
          <w:rFonts w:ascii="Arial" w:hAnsi="Arial" w:cs="Arial"/>
          <w:color w:val="000000" w:themeColor="text1"/>
          <w:sz w:val="20"/>
        </w:rPr>
        <w:t>Preglednica </w:t>
      </w:r>
      <w:r w:rsidR="00212872" w:rsidRPr="004A252E">
        <w:rPr>
          <w:rFonts w:ascii="Arial" w:hAnsi="Arial" w:cs="Arial"/>
          <w:color w:val="000000" w:themeColor="text1"/>
          <w:sz w:val="20"/>
        </w:rPr>
        <w:t>5</w:t>
      </w:r>
      <w:r w:rsidR="00EA747F" w:rsidRPr="004A252E">
        <w:rPr>
          <w:rFonts w:ascii="Arial" w:hAnsi="Arial" w:cs="Arial"/>
          <w:color w:val="000000" w:themeColor="text1"/>
          <w:sz w:val="20"/>
        </w:rPr>
        <w:t>0</w:t>
      </w:r>
      <w:r w:rsidRPr="004A252E">
        <w:rPr>
          <w:rFonts w:ascii="Arial" w:hAnsi="Arial" w:cs="Arial"/>
          <w:color w:val="000000" w:themeColor="text1"/>
          <w:sz w:val="20"/>
        </w:rPr>
        <w:t xml:space="preserve">: Število naročnikov z oddanimi </w:t>
      </w:r>
      <w:r w:rsidR="00617E9A" w:rsidRPr="004A252E">
        <w:rPr>
          <w:rFonts w:ascii="Arial" w:hAnsi="Arial" w:cs="Arial"/>
          <w:color w:val="000000" w:themeColor="text1"/>
          <w:sz w:val="20"/>
        </w:rPr>
        <w:t xml:space="preserve">naročili z upoštevanimi </w:t>
      </w:r>
      <w:proofErr w:type="spellStart"/>
      <w:r w:rsidR="00617E9A" w:rsidRPr="004A252E">
        <w:rPr>
          <w:rFonts w:ascii="Arial" w:hAnsi="Arial" w:cs="Arial"/>
          <w:color w:val="000000" w:themeColor="text1"/>
          <w:sz w:val="20"/>
        </w:rPr>
        <w:t>okoljskimi</w:t>
      </w:r>
      <w:proofErr w:type="spellEnd"/>
      <w:r w:rsidR="00617E9A" w:rsidRPr="004A252E">
        <w:rPr>
          <w:rFonts w:ascii="Arial" w:hAnsi="Arial" w:cs="Arial"/>
          <w:color w:val="000000" w:themeColor="text1"/>
          <w:sz w:val="20"/>
        </w:rPr>
        <w:t xml:space="preserve"> vidiki</w:t>
      </w:r>
      <w:r w:rsidRPr="004A252E">
        <w:rPr>
          <w:rFonts w:ascii="Arial" w:hAnsi="Arial" w:cs="Arial"/>
          <w:color w:val="000000" w:themeColor="text1"/>
          <w:sz w:val="20"/>
        </w:rPr>
        <w:t xml:space="preserve"> glede na</w:t>
      </w:r>
      <w:r w:rsidR="009D69AF" w:rsidRPr="004A252E">
        <w:rPr>
          <w:rFonts w:ascii="Arial" w:hAnsi="Arial" w:cs="Arial"/>
          <w:color w:val="000000" w:themeColor="text1"/>
          <w:sz w:val="20"/>
        </w:rPr>
        <w:t xml:space="preserve"> </w:t>
      </w:r>
      <w:r w:rsidR="00272F8F" w:rsidRPr="004A252E">
        <w:rPr>
          <w:rFonts w:ascii="Arial" w:hAnsi="Arial" w:cs="Arial"/>
          <w:color w:val="000000" w:themeColor="text1"/>
          <w:sz w:val="20"/>
        </w:rPr>
        <w:t>kategorij</w:t>
      </w:r>
      <w:r w:rsidR="00301627" w:rsidRPr="004A252E">
        <w:rPr>
          <w:rFonts w:ascii="Arial" w:hAnsi="Arial" w:cs="Arial"/>
          <w:color w:val="000000" w:themeColor="text1"/>
          <w:sz w:val="20"/>
        </w:rPr>
        <w:t>o</w:t>
      </w:r>
      <w:r w:rsidRPr="004A252E">
        <w:rPr>
          <w:rFonts w:ascii="Arial" w:hAnsi="Arial" w:cs="Arial"/>
          <w:color w:val="000000" w:themeColor="text1"/>
          <w:sz w:val="20"/>
        </w:rPr>
        <w:t xml:space="preserve"> naročnika</w:t>
      </w:r>
    </w:p>
    <w:tbl>
      <w:tblPr>
        <w:tblW w:w="8359" w:type="dxa"/>
        <w:jc w:val="center"/>
        <w:tblCellMar>
          <w:left w:w="70" w:type="dxa"/>
          <w:right w:w="70" w:type="dxa"/>
        </w:tblCellMar>
        <w:tblLook w:val="04A0" w:firstRow="1" w:lastRow="0" w:firstColumn="1" w:lastColumn="0" w:noHBand="0" w:noVBand="1"/>
      </w:tblPr>
      <w:tblGrid>
        <w:gridCol w:w="4445"/>
        <w:gridCol w:w="1787"/>
        <w:gridCol w:w="2127"/>
      </w:tblGrid>
      <w:tr w:rsidR="006D1A48" w:rsidRPr="004A252E" w14:paraId="1E023FDD" w14:textId="77777777" w:rsidTr="00CD447F">
        <w:trPr>
          <w:trHeight w:val="255"/>
          <w:jc w:val="center"/>
        </w:trPr>
        <w:tc>
          <w:tcPr>
            <w:tcW w:w="4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3F3BD" w14:textId="6F02ED0E" w:rsidR="009D76BE" w:rsidRPr="004A252E" w:rsidRDefault="009D76BE" w:rsidP="009D76BE">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Kategorija naročnika</w:t>
            </w:r>
          </w:p>
        </w:tc>
        <w:tc>
          <w:tcPr>
            <w:tcW w:w="17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EA7539" w14:textId="77777777" w:rsidR="009D76BE" w:rsidRPr="004A252E" w:rsidRDefault="009D76BE" w:rsidP="009D76BE">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Št. naročnikov, ki so oddali vsaj eno zeleno naročilo</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9FE432" w14:textId="311F5339" w:rsidR="009D76BE" w:rsidRPr="004A252E" w:rsidRDefault="009D76BE" w:rsidP="009D76BE">
            <w:pPr>
              <w:spacing w:after="0" w:line="240" w:lineRule="auto"/>
              <w:jc w:val="center"/>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 xml:space="preserve">Št. naročnikov, ki so oddali vsaj eno naročilo, </w:t>
            </w:r>
            <w:r w:rsidR="007B25B7" w:rsidRPr="004A252E">
              <w:rPr>
                <w:rFonts w:ascii="Arial" w:eastAsia="Times New Roman" w:hAnsi="Arial" w:cs="Arial"/>
                <w:color w:val="000000" w:themeColor="text1"/>
                <w:sz w:val="18"/>
                <w:szCs w:val="18"/>
                <w:lang w:eastAsia="sl-SI"/>
              </w:rPr>
              <w:t xml:space="preserve">vendar </w:t>
            </w:r>
            <w:r w:rsidRPr="004A252E">
              <w:rPr>
                <w:rFonts w:ascii="Arial" w:eastAsia="Times New Roman" w:hAnsi="Arial" w:cs="Arial"/>
                <w:color w:val="000000" w:themeColor="text1"/>
                <w:sz w:val="18"/>
                <w:szCs w:val="18"/>
                <w:lang w:eastAsia="sl-SI"/>
              </w:rPr>
              <w:t>nobeno ni bilo zeleno</w:t>
            </w:r>
          </w:p>
        </w:tc>
      </w:tr>
      <w:tr w:rsidR="009C7445" w:rsidRPr="004A252E" w14:paraId="74ED934C"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5758B1C3" w14:textId="2B1C2251" w:rsidR="009C7445" w:rsidRPr="004A252E" w:rsidRDefault="009C7445" w:rsidP="009C7445">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Organi Republike Slovenije</w:t>
            </w:r>
          </w:p>
        </w:tc>
        <w:tc>
          <w:tcPr>
            <w:tcW w:w="1787" w:type="dxa"/>
            <w:tcBorders>
              <w:top w:val="nil"/>
              <w:left w:val="nil"/>
              <w:bottom w:val="single" w:sz="4" w:space="0" w:color="auto"/>
              <w:right w:val="single" w:sz="4" w:space="0" w:color="auto"/>
            </w:tcBorders>
            <w:shd w:val="clear" w:color="auto" w:fill="auto"/>
            <w:vAlign w:val="center"/>
            <w:hideMark/>
          </w:tcPr>
          <w:p w14:paraId="00A873B0" w14:textId="251BE404"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32</w:t>
            </w:r>
          </w:p>
        </w:tc>
        <w:tc>
          <w:tcPr>
            <w:tcW w:w="2127" w:type="dxa"/>
            <w:tcBorders>
              <w:top w:val="nil"/>
              <w:left w:val="nil"/>
              <w:bottom w:val="single" w:sz="4" w:space="0" w:color="auto"/>
              <w:right w:val="single" w:sz="4" w:space="0" w:color="auto"/>
            </w:tcBorders>
            <w:shd w:val="clear" w:color="auto" w:fill="auto"/>
            <w:vAlign w:val="center"/>
            <w:hideMark/>
          </w:tcPr>
          <w:p w14:paraId="596AE55A" w14:textId="74AD7EC5"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45</w:t>
            </w:r>
          </w:p>
        </w:tc>
      </w:tr>
      <w:tr w:rsidR="009C7445" w:rsidRPr="004A252E" w14:paraId="3EA818A7"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5938BB9A" w14:textId="77777777" w:rsidR="009C7445" w:rsidRPr="004A252E" w:rsidRDefault="009C7445" w:rsidP="009C7445">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Samoupravne lokalne skupnosti</w:t>
            </w:r>
          </w:p>
        </w:tc>
        <w:tc>
          <w:tcPr>
            <w:tcW w:w="1787" w:type="dxa"/>
            <w:tcBorders>
              <w:top w:val="nil"/>
              <w:left w:val="nil"/>
              <w:bottom w:val="single" w:sz="4" w:space="0" w:color="auto"/>
              <w:right w:val="single" w:sz="4" w:space="0" w:color="auto"/>
            </w:tcBorders>
            <w:shd w:val="clear" w:color="auto" w:fill="auto"/>
            <w:vAlign w:val="center"/>
            <w:hideMark/>
          </w:tcPr>
          <w:p w14:paraId="7081D97C" w14:textId="3F6A31EB"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127</w:t>
            </w:r>
          </w:p>
        </w:tc>
        <w:tc>
          <w:tcPr>
            <w:tcW w:w="2127" w:type="dxa"/>
            <w:tcBorders>
              <w:top w:val="nil"/>
              <w:left w:val="nil"/>
              <w:bottom w:val="single" w:sz="4" w:space="0" w:color="auto"/>
              <w:right w:val="single" w:sz="4" w:space="0" w:color="auto"/>
            </w:tcBorders>
            <w:shd w:val="clear" w:color="auto" w:fill="auto"/>
            <w:vAlign w:val="center"/>
            <w:hideMark/>
          </w:tcPr>
          <w:p w14:paraId="40816262" w14:textId="7EAC89E5"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73</w:t>
            </w:r>
          </w:p>
        </w:tc>
      </w:tr>
      <w:tr w:rsidR="009C7445" w:rsidRPr="004A252E" w14:paraId="72028FD0"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51C68A58" w14:textId="77777777" w:rsidR="009C7445" w:rsidRPr="004A252E" w:rsidRDefault="009C7445" w:rsidP="009C7445">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Javni skladi</w:t>
            </w:r>
          </w:p>
        </w:tc>
        <w:tc>
          <w:tcPr>
            <w:tcW w:w="1787" w:type="dxa"/>
            <w:tcBorders>
              <w:top w:val="nil"/>
              <w:left w:val="nil"/>
              <w:bottom w:val="single" w:sz="4" w:space="0" w:color="auto"/>
              <w:right w:val="single" w:sz="4" w:space="0" w:color="auto"/>
            </w:tcBorders>
            <w:shd w:val="clear" w:color="auto" w:fill="auto"/>
            <w:vAlign w:val="center"/>
            <w:hideMark/>
          </w:tcPr>
          <w:p w14:paraId="48B63D57" w14:textId="5AC19044"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5</w:t>
            </w:r>
          </w:p>
        </w:tc>
        <w:tc>
          <w:tcPr>
            <w:tcW w:w="2127" w:type="dxa"/>
            <w:tcBorders>
              <w:top w:val="nil"/>
              <w:left w:val="nil"/>
              <w:bottom w:val="single" w:sz="4" w:space="0" w:color="auto"/>
              <w:right w:val="single" w:sz="4" w:space="0" w:color="auto"/>
            </w:tcBorders>
            <w:shd w:val="clear" w:color="auto" w:fill="auto"/>
            <w:vAlign w:val="center"/>
            <w:hideMark/>
          </w:tcPr>
          <w:p w14:paraId="125C179D" w14:textId="0E1D1BF5"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4</w:t>
            </w:r>
          </w:p>
        </w:tc>
      </w:tr>
      <w:tr w:rsidR="009C7445" w:rsidRPr="004A252E" w14:paraId="5D44F762"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67541E17" w14:textId="77777777" w:rsidR="009C7445" w:rsidRPr="004A252E" w:rsidRDefault="009C7445" w:rsidP="009C7445">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Javne agencije</w:t>
            </w:r>
          </w:p>
        </w:tc>
        <w:tc>
          <w:tcPr>
            <w:tcW w:w="1787" w:type="dxa"/>
            <w:tcBorders>
              <w:top w:val="nil"/>
              <w:left w:val="nil"/>
              <w:bottom w:val="single" w:sz="4" w:space="0" w:color="auto"/>
              <w:right w:val="single" w:sz="4" w:space="0" w:color="auto"/>
            </w:tcBorders>
            <w:shd w:val="clear" w:color="auto" w:fill="auto"/>
            <w:vAlign w:val="center"/>
            <w:hideMark/>
          </w:tcPr>
          <w:p w14:paraId="21133831" w14:textId="7976DEF2"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7</w:t>
            </w:r>
          </w:p>
        </w:tc>
        <w:tc>
          <w:tcPr>
            <w:tcW w:w="2127" w:type="dxa"/>
            <w:tcBorders>
              <w:top w:val="nil"/>
              <w:left w:val="nil"/>
              <w:bottom w:val="single" w:sz="4" w:space="0" w:color="auto"/>
              <w:right w:val="single" w:sz="4" w:space="0" w:color="auto"/>
            </w:tcBorders>
            <w:shd w:val="clear" w:color="auto" w:fill="auto"/>
            <w:vAlign w:val="center"/>
            <w:hideMark/>
          </w:tcPr>
          <w:p w14:paraId="795F6F7D" w14:textId="09B4888E"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7</w:t>
            </w:r>
          </w:p>
        </w:tc>
      </w:tr>
      <w:tr w:rsidR="009C7445" w:rsidRPr="004A252E" w14:paraId="653DEBC3"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39D356E0" w14:textId="77777777" w:rsidR="009C7445" w:rsidRPr="004A252E" w:rsidRDefault="009C7445" w:rsidP="009C7445">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Javni zavodi</w:t>
            </w:r>
          </w:p>
        </w:tc>
        <w:tc>
          <w:tcPr>
            <w:tcW w:w="1787" w:type="dxa"/>
            <w:tcBorders>
              <w:top w:val="nil"/>
              <w:left w:val="nil"/>
              <w:bottom w:val="single" w:sz="4" w:space="0" w:color="auto"/>
              <w:right w:val="single" w:sz="4" w:space="0" w:color="auto"/>
            </w:tcBorders>
            <w:shd w:val="clear" w:color="auto" w:fill="auto"/>
            <w:vAlign w:val="center"/>
            <w:hideMark/>
          </w:tcPr>
          <w:p w14:paraId="7BB894E8" w14:textId="0E85AFDC"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325</w:t>
            </w:r>
          </w:p>
        </w:tc>
        <w:tc>
          <w:tcPr>
            <w:tcW w:w="2127" w:type="dxa"/>
            <w:tcBorders>
              <w:top w:val="nil"/>
              <w:left w:val="nil"/>
              <w:bottom w:val="single" w:sz="4" w:space="0" w:color="auto"/>
              <w:right w:val="single" w:sz="4" w:space="0" w:color="auto"/>
            </w:tcBorders>
            <w:shd w:val="clear" w:color="auto" w:fill="auto"/>
            <w:vAlign w:val="center"/>
            <w:hideMark/>
          </w:tcPr>
          <w:p w14:paraId="733577B2" w14:textId="62D87713"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168</w:t>
            </w:r>
          </w:p>
        </w:tc>
      </w:tr>
      <w:tr w:rsidR="009C7445" w:rsidRPr="004A252E" w14:paraId="46E0FC55"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138A7AAC" w14:textId="77777777" w:rsidR="009C7445" w:rsidRPr="004A252E" w:rsidRDefault="009C7445" w:rsidP="009C7445">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Javni gospodarski zavodi</w:t>
            </w:r>
          </w:p>
        </w:tc>
        <w:tc>
          <w:tcPr>
            <w:tcW w:w="1787" w:type="dxa"/>
            <w:tcBorders>
              <w:top w:val="nil"/>
              <w:left w:val="nil"/>
              <w:bottom w:val="single" w:sz="4" w:space="0" w:color="auto"/>
              <w:right w:val="single" w:sz="4" w:space="0" w:color="auto"/>
            </w:tcBorders>
            <w:shd w:val="clear" w:color="auto" w:fill="auto"/>
            <w:vAlign w:val="center"/>
            <w:hideMark/>
          </w:tcPr>
          <w:p w14:paraId="4290E25D" w14:textId="6AB4D271"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5</w:t>
            </w:r>
          </w:p>
        </w:tc>
        <w:tc>
          <w:tcPr>
            <w:tcW w:w="2127" w:type="dxa"/>
            <w:tcBorders>
              <w:top w:val="nil"/>
              <w:left w:val="nil"/>
              <w:bottom w:val="single" w:sz="4" w:space="0" w:color="auto"/>
              <w:right w:val="single" w:sz="4" w:space="0" w:color="auto"/>
            </w:tcBorders>
            <w:shd w:val="clear" w:color="auto" w:fill="auto"/>
            <w:vAlign w:val="center"/>
            <w:hideMark/>
          </w:tcPr>
          <w:p w14:paraId="4B48E75F" w14:textId="7C3E3F7B"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7</w:t>
            </w:r>
          </w:p>
        </w:tc>
      </w:tr>
      <w:tr w:rsidR="009C7445" w:rsidRPr="004A252E" w14:paraId="11B94175"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403D1408" w14:textId="77777777" w:rsidR="009C7445" w:rsidRPr="004A252E" w:rsidRDefault="009C7445" w:rsidP="009C7445">
            <w:pPr>
              <w:spacing w:after="0" w:line="240" w:lineRule="auto"/>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Drugi naročniki (osebe javnega prava, javna podjetja, subjekt s posebnimi infrastrukturnimi pravicami)</w:t>
            </w:r>
          </w:p>
        </w:tc>
        <w:tc>
          <w:tcPr>
            <w:tcW w:w="1787" w:type="dxa"/>
            <w:tcBorders>
              <w:top w:val="nil"/>
              <w:left w:val="nil"/>
              <w:bottom w:val="single" w:sz="4" w:space="0" w:color="auto"/>
              <w:right w:val="single" w:sz="4" w:space="0" w:color="auto"/>
            </w:tcBorders>
            <w:shd w:val="clear" w:color="auto" w:fill="auto"/>
            <w:vAlign w:val="center"/>
            <w:hideMark/>
          </w:tcPr>
          <w:p w14:paraId="023657DE" w14:textId="59C137D0"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68</w:t>
            </w:r>
          </w:p>
        </w:tc>
        <w:tc>
          <w:tcPr>
            <w:tcW w:w="2127" w:type="dxa"/>
            <w:tcBorders>
              <w:top w:val="nil"/>
              <w:left w:val="nil"/>
              <w:bottom w:val="single" w:sz="4" w:space="0" w:color="auto"/>
              <w:right w:val="single" w:sz="4" w:space="0" w:color="auto"/>
            </w:tcBorders>
            <w:shd w:val="clear" w:color="auto" w:fill="auto"/>
            <w:vAlign w:val="center"/>
            <w:hideMark/>
          </w:tcPr>
          <w:p w14:paraId="79D594C5" w14:textId="21CC092A"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67</w:t>
            </w:r>
          </w:p>
        </w:tc>
      </w:tr>
      <w:tr w:rsidR="009C7445" w:rsidRPr="004A252E" w14:paraId="507AE806"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auto"/>
            <w:vAlign w:val="center"/>
            <w:hideMark/>
          </w:tcPr>
          <w:p w14:paraId="0B10E1AD" w14:textId="049F4586" w:rsidR="009C7445" w:rsidRPr="004A252E" w:rsidRDefault="009C7445" w:rsidP="009C7445">
            <w:pPr>
              <w:spacing w:after="0" w:line="240" w:lineRule="auto"/>
              <w:jc w:val="both"/>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Drugi subjekti</w:t>
            </w:r>
          </w:p>
        </w:tc>
        <w:tc>
          <w:tcPr>
            <w:tcW w:w="1787" w:type="dxa"/>
            <w:tcBorders>
              <w:top w:val="nil"/>
              <w:left w:val="nil"/>
              <w:bottom w:val="single" w:sz="4" w:space="0" w:color="auto"/>
              <w:right w:val="single" w:sz="4" w:space="0" w:color="auto"/>
            </w:tcBorders>
            <w:shd w:val="clear" w:color="auto" w:fill="auto"/>
            <w:vAlign w:val="center"/>
            <w:hideMark/>
          </w:tcPr>
          <w:p w14:paraId="21AE57DB" w14:textId="2B5AD341"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16</w:t>
            </w:r>
          </w:p>
        </w:tc>
        <w:tc>
          <w:tcPr>
            <w:tcW w:w="2127" w:type="dxa"/>
            <w:tcBorders>
              <w:top w:val="nil"/>
              <w:left w:val="nil"/>
              <w:bottom w:val="single" w:sz="4" w:space="0" w:color="auto"/>
              <w:right w:val="single" w:sz="4" w:space="0" w:color="auto"/>
            </w:tcBorders>
            <w:shd w:val="clear" w:color="auto" w:fill="auto"/>
            <w:vAlign w:val="center"/>
            <w:hideMark/>
          </w:tcPr>
          <w:p w14:paraId="386D3444" w14:textId="26420D78" w:rsidR="009C7445" w:rsidRPr="004A252E" w:rsidRDefault="009C7445" w:rsidP="009C7445">
            <w:pPr>
              <w:spacing w:after="0" w:line="240" w:lineRule="auto"/>
              <w:jc w:val="right"/>
              <w:rPr>
                <w:rFonts w:ascii="Arial" w:eastAsia="Times New Roman" w:hAnsi="Arial" w:cs="Arial"/>
                <w:color w:val="000000" w:themeColor="text1"/>
                <w:sz w:val="18"/>
                <w:szCs w:val="18"/>
                <w:lang w:eastAsia="sl-SI"/>
              </w:rPr>
            </w:pPr>
            <w:r w:rsidRPr="004A252E">
              <w:rPr>
                <w:rFonts w:ascii="Arial" w:eastAsia="Times New Roman" w:hAnsi="Arial" w:cs="Arial"/>
                <w:color w:val="000000" w:themeColor="text1"/>
                <w:sz w:val="18"/>
                <w:szCs w:val="18"/>
                <w:lang w:eastAsia="sl-SI"/>
              </w:rPr>
              <w:t>31</w:t>
            </w:r>
          </w:p>
        </w:tc>
      </w:tr>
      <w:tr w:rsidR="009C7445" w:rsidRPr="004A252E" w14:paraId="28E1CA27" w14:textId="77777777" w:rsidTr="009C7445">
        <w:trPr>
          <w:trHeight w:val="255"/>
          <w:jc w:val="center"/>
        </w:trPr>
        <w:tc>
          <w:tcPr>
            <w:tcW w:w="444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24076C" w14:textId="77777777" w:rsidR="009C7445" w:rsidRPr="004A252E" w:rsidRDefault="009C7445" w:rsidP="009C7445">
            <w:pPr>
              <w:spacing w:after="0" w:line="240" w:lineRule="auto"/>
              <w:jc w:val="both"/>
              <w:rPr>
                <w:rFonts w:ascii="Arial" w:eastAsia="Times New Roman" w:hAnsi="Arial" w:cs="Arial"/>
                <w:b/>
                <w:bCs/>
                <w:color w:val="000000" w:themeColor="text1"/>
                <w:sz w:val="18"/>
                <w:szCs w:val="18"/>
                <w:lang w:eastAsia="sl-SI"/>
              </w:rPr>
            </w:pPr>
            <w:r w:rsidRPr="004A252E">
              <w:rPr>
                <w:rFonts w:ascii="Arial" w:eastAsia="Times New Roman" w:hAnsi="Arial" w:cs="Arial"/>
                <w:b/>
                <w:bCs/>
                <w:color w:val="000000" w:themeColor="text1"/>
                <w:sz w:val="18"/>
                <w:szCs w:val="18"/>
                <w:lang w:eastAsia="sl-SI"/>
              </w:rPr>
              <w:t>Skupaj</w:t>
            </w:r>
          </w:p>
        </w:tc>
        <w:tc>
          <w:tcPr>
            <w:tcW w:w="1787" w:type="dxa"/>
            <w:tcBorders>
              <w:top w:val="nil"/>
              <w:left w:val="nil"/>
              <w:bottom w:val="single" w:sz="4" w:space="0" w:color="auto"/>
              <w:right w:val="single" w:sz="4" w:space="0" w:color="auto"/>
            </w:tcBorders>
            <w:shd w:val="clear" w:color="auto" w:fill="F2F2F2" w:themeFill="background1" w:themeFillShade="F2"/>
            <w:vAlign w:val="center"/>
            <w:hideMark/>
          </w:tcPr>
          <w:p w14:paraId="7F3D7A85" w14:textId="24C8E8BC" w:rsidR="009C7445" w:rsidRPr="004A252E" w:rsidRDefault="009C7445" w:rsidP="009C7445">
            <w:pPr>
              <w:spacing w:after="0" w:line="240" w:lineRule="auto"/>
              <w:jc w:val="right"/>
              <w:rPr>
                <w:rFonts w:ascii="Arial" w:eastAsia="Times New Roman" w:hAnsi="Arial" w:cs="Arial"/>
                <w:b/>
                <w:bCs/>
                <w:color w:val="000000" w:themeColor="text1"/>
                <w:sz w:val="18"/>
                <w:szCs w:val="18"/>
                <w:lang w:eastAsia="sl-SI"/>
              </w:rPr>
            </w:pPr>
            <w:r w:rsidRPr="004A252E">
              <w:rPr>
                <w:rFonts w:ascii="Arial" w:eastAsia="Times New Roman" w:hAnsi="Arial" w:cs="Arial"/>
                <w:b/>
                <w:bCs/>
                <w:color w:val="000000" w:themeColor="text1"/>
                <w:sz w:val="18"/>
                <w:szCs w:val="18"/>
                <w:lang w:eastAsia="sl-SI"/>
              </w:rPr>
              <w:t>585</w:t>
            </w:r>
          </w:p>
        </w:tc>
        <w:tc>
          <w:tcPr>
            <w:tcW w:w="2127" w:type="dxa"/>
            <w:tcBorders>
              <w:top w:val="nil"/>
              <w:left w:val="nil"/>
              <w:bottom w:val="single" w:sz="4" w:space="0" w:color="auto"/>
              <w:right w:val="single" w:sz="4" w:space="0" w:color="auto"/>
            </w:tcBorders>
            <w:shd w:val="clear" w:color="auto" w:fill="F2F2F2" w:themeFill="background1" w:themeFillShade="F2"/>
            <w:vAlign w:val="center"/>
            <w:hideMark/>
          </w:tcPr>
          <w:p w14:paraId="74923AAC" w14:textId="07FF9A09" w:rsidR="009C7445" w:rsidRPr="004A252E" w:rsidRDefault="009C7445" w:rsidP="009C7445">
            <w:pPr>
              <w:spacing w:after="0" w:line="240" w:lineRule="auto"/>
              <w:jc w:val="right"/>
              <w:rPr>
                <w:rFonts w:ascii="Arial" w:eastAsia="Times New Roman" w:hAnsi="Arial" w:cs="Arial"/>
                <w:b/>
                <w:bCs/>
                <w:color w:val="000000" w:themeColor="text1"/>
                <w:sz w:val="18"/>
                <w:szCs w:val="18"/>
                <w:lang w:eastAsia="sl-SI"/>
              </w:rPr>
            </w:pPr>
            <w:r w:rsidRPr="004A252E">
              <w:rPr>
                <w:rFonts w:ascii="Arial" w:eastAsia="Times New Roman" w:hAnsi="Arial" w:cs="Arial"/>
                <w:b/>
                <w:bCs/>
                <w:color w:val="000000" w:themeColor="text1"/>
                <w:sz w:val="18"/>
                <w:szCs w:val="18"/>
                <w:lang w:eastAsia="sl-SI"/>
              </w:rPr>
              <w:t>402</w:t>
            </w:r>
          </w:p>
        </w:tc>
      </w:tr>
    </w:tbl>
    <w:p w14:paraId="13FC6F2D" w14:textId="5641CA24" w:rsidR="009D76BE" w:rsidRPr="004A252E" w:rsidRDefault="009D76BE" w:rsidP="009D76BE">
      <w:pPr>
        <w:spacing w:after="0" w:line="240" w:lineRule="auto"/>
        <w:jc w:val="both"/>
        <w:rPr>
          <w:rFonts w:ascii="Arial" w:hAnsi="Arial" w:cs="Arial"/>
          <w:color w:val="000000" w:themeColor="text1"/>
          <w:sz w:val="20"/>
        </w:rPr>
      </w:pPr>
    </w:p>
    <w:p w14:paraId="5618DBF3" w14:textId="567478F8" w:rsidR="00915080" w:rsidRPr="004A252E" w:rsidRDefault="00881EA7" w:rsidP="004E44C4">
      <w:pPr>
        <w:spacing w:after="240" w:line="240" w:lineRule="auto"/>
        <w:jc w:val="center"/>
        <w:rPr>
          <w:rFonts w:ascii="Arial" w:hAnsi="Arial" w:cs="Arial"/>
          <w:color w:val="000000" w:themeColor="text1"/>
          <w:sz w:val="18"/>
        </w:rPr>
      </w:pPr>
      <w:r w:rsidRPr="004A252E">
        <w:rPr>
          <w:rFonts w:ascii="Arial" w:hAnsi="Arial" w:cs="Arial"/>
          <w:color w:val="000000" w:themeColor="text1"/>
          <w:sz w:val="18"/>
        </w:rPr>
        <w:t xml:space="preserve">Vir: Statistični podatki o javnih </w:t>
      </w:r>
      <w:r w:rsidR="003B3059" w:rsidRPr="004A252E">
        <w:rPr>
          <w:rFonts w:ascii="Arial" w:hAnsi="Arial" w:cs="Arial"/>
          <w:color w:val="000000" w:themeColor="text1"/>
          <w:sz w:val="18"/>
        </w:rPr>
        <w:t>naročilih, oddanih v letu 20</w:t>
      </w:r>
      <w:r w:rsidR="00543332" w:rsidRPr="004A252E">
        <w:rPr>
          <w:rFonts w:ascii="Arial" w:hAnsi="Arial" w:cs="Arial"/>
          <w:color w:val="000000" w:themeColor="text1"/>
          <w:sz w:val="18"/>
        </w:rPr>
        <w:t>2</w:t>
      </w:r>
      <w:r w:rsidR="009C7445" w:rsidRPr="004A252E">
        <w:rPr>
          <w:rFonts w:ascii="Arial" w:hAnsi="Arial" w:cs="Arial"/>
          <w:color w:val="000000" w:themeColor="text1"/>
          <w:sz w:val="18"/>
        </w:rPr>
        <w:t>3</w:t>
      </w:r>
      <w:r w:rsidR="007B25B7" w:rsidRPr="004A252E">
        <w:rPr>
          <w:rFonts w:ascii="Arial" w:hAnsi="Arial" w:cs="Arial"/>
          <w:color w:val="000000" w:themeColor="text1"/>
          <w:sz w:val="18"/>
        </w:rPr>
        <w:t>.</w:t>
      </w:r>
    </w:p>
    <w:p w14:paraId="25718E17" w14:textId="77777777" w:rsidR="00EF4A55" w:rsidRPr="00637ACF" w:rsidRDefault="00EF4A55" w:rsidP="00EF4A55">
      <w:pPr>
        <w:spacing w:after="0" w:line="240" w:lineRule="auto"/>
        <w:jc w:val="center"/>
        <w:rPr>
          <w:rFonts w:ascii="Arial" w:hAnsi="Arial" w:cs="Arial"/>
          <w:color w:val="FF0000"/>
          <w:sz w:val="18"/>
          <w:highlight w:val="yellow"/>
        </w:rPr>
      </w:pPr>
    </w:p>
    <w:p w14:paraId="7005FBBF" w14:textId="0685E7D5" w:rsidR="005C6424" w:rsidRPr="000F761E" w:rsidRDefault="005C6424" w:rsidP="001468C8">
      <w:pPr>
        <w:pStyle w:val="Naslov3"/>
        <w:rPr>
          <w:szCs w:val="20"/>
        </w:rPr>
      </w:pPr>
      <w:bookmarkStart w:id="50" w:name="_Toc175563878"/>
      <w:r w:rsidRPr="000F761E">
        <w:t>2.</w:t>
      </w:r>
      <w:r w:rsidR="00FA2740" w:rsidRPr="000F761E">
        <w:t>9</w:t>
      </w:r>
      <w:r w:rsidRPr="000F761E">
        <w:t>.</w:t>
      </w:r>
      <w:r w:rsidR="00731C4D" w:rsidRPr="000F761E">
        <w:t>2</w:t>
      </w:r>
      <w:r w:rsidRPr="000F761E">
        <w:t xml:space="preserve"> </w:t>
      </w:r>
      <w:r w:rsidR="004B2D1D" w:rsidRPr="000F761E">
        <w:t>Družbeno odgovorno javno naročanje</w:t>
      </w:r>
      <w:bookmarkEnd w:id="50"/>
      <w:r w:rsidR="00731C4D" w:rsidRPr="000F761E">
        <w:t xml:space="preserve"> </w:t>
      </w:r>
    </w:p>
    <w:p w14:paraId="3097B843" w14:textId="77777777" w:rsidR="00806D8E" w:rsidRPr="000F761E" w:rsidRDefault="00806D8E" w:rsidP="00854405">
      <w:pPr>
        <w:pStyle w:val="ZADEVA"/>
        <w:jc w:val="both"/>
        <w:rPr>
          <w:rFonts w:cs="Arial"/>
          <w:b w:val="0"/>
          <w:color w:val="000000" w:themeColor="text1"/>
          <w:szCs w:val="20"/>
          <w:lang w:val="sl-SI"/>
        </w:rPr>
      </w:pPr>
    </w:p>
    <w:p w14:paraId="237BB04D" w14:textId="4EC47FEA" w:rsidR="007F3DED" w:rsidRPr="000F761E" w:rsidRDefault="005522FF" w:rsidP="007F3DED">
      <w:pPr>
        <w:spacing w:line="360" w:lineRule="auto"/>
        <w:jc w:val="both"/>
        <w:rPr>
          <w:rFonts w:ascii="Arial" w:hAnsi="Arial" w:cs="Arial"/>
          <w:color w:val="000000" w:themeColor="text1"/>
          <w:sz w:val="20"/>
          <w:szCs w:val="20"/>
        </w:rPr>
      </w:pPr>
      <w:r w:rsidRPr="000F761E">
        <w:rPr>
          <w:rFonts w:ascii="Arial" w:hAnsi="Arial" w:cs="Arial"/>
          <w:color w:val="000000" w:themeColor="text1"/>
          <w:sz w:val="20"/>
          <w:szCs w:val="20"/>
        </w:rPr>
        <w:t>Leta</w:t>
      </w:r>
      <w:r w:rsidR="00341176" w:rsidRPr="000F761E">
        <w:rPr>
          <w:rFonts w:ascii="Arial" w:hAnsi="Arial" w:cs="Arial"/>
          <w:color w:val="000000" w:themeColor="text1"/>
          <w:sz w:val="20"/>
          <w:szCs w:val="20"/>
        </w:rPr>
        <w:t xml:space="preserve"> 20</w:t>
      </w:r>
      <w:r w:rsidR="00AA19C5" w:rsidRPr="000F761E">
        <w:rPr>
          <w:rFonts w:ascii="Arial" w:hAnsi="Arial" w:cs="Arial"/>
          <w:color w:val="000000" w:themeColor="text1"/>
          <w:sz w:val="20"/>
          <w:szCs w:val="20"/>
        </w:rPr>
        <w:t>2</w:t>
      </w:r>
      <w:r w:rsidR="00E23432" w:rsidRPr="000F761E">
        <w:rPr>
          <w:rFonts w:ascii="Arial" w:hAnsi="Arial" w:cs="Arial"/>
          <w:color w:val="000000" w:themeColor="text1"/>
          <w:sz w:val="20"/>
          <w:szCs w:val="20"/>
        </w:rPr>
        <w:t>3</w:t>
      </w:r>
      <w:r w:rsidR="00341176" w:rsidRPr="000F761E">
        <w:rPr>
          <w:rFonts w:ascii="Arial" w:hAnsi="Arial" w:cs="Arial"/>
          <w:color w:val="000000" w:themeColor="text1"/>
          <w:sz w:val="20"/>
          <w:szCs w:val="20"/>
        </w:rPr>
        <w:t xml:space="preserve"> je bilo oddanih </w:t>
      </w:r>
      <w:r w:rsidR="00AA19C5" w:rsidRPr="000F761E">
        <w:rPr>
          <w:rFonts w:ascii="Arial" w:hAnsi="Arial" w:cs="Arial"/>
          <w:color w:val="000000" w:themeColor="text1"/>
          <w:sz w:val="20"/>
          <w:szCs w:val="20"/>
        </w:rPr>
        <w:t>2</w:t>
      </w:r>
      <w:r w:rsidR="00931978" w:rsidRPr="000F761E">
        <w:rPr>
          <w:rFonts w:ascii="Arial" w:hAnsi="Arial" w:cs="Arial"/>
          <w:color w:val="000000" w:themeColor="text1"/>
          <w:sz w:val="20"/>
          <w:szCs w:val="20"/>
        </w:rPr>
        <w:t>.</w:t>
      </w:r>
      <w:r w:rsidR="00E23432" w:rsidRPr="000F761E">
        <w:rPr>
          <w:rFonts w:ascii="Arial" w:hAnsi="Arial" w:cs="Arial"/>
          <w:color w:val="000000" w:themeColor="text1"/>
          <w:sz w:val="20"/>
          <w:szCs w:val="20"/>
        </w:rPr>
        <w:t>39</w:t>
      </w:r>
      <w:r w:rsidR="000F761E" w:rsidRPr="000F761E">
        <w:rPr>
          <w:rFonts w:ascii="Arial" w:hAnsi="Arial" w:cs="Arial"/>
          <w:color w:val="000000" w:themeColor="text1"/>
          <w:sz w:val="20"/>
          <w:szCs w:val="20"/>
        </w:rPr>
        <w:t>2</w:t>
      </w:r>
      <w:r w:rsidR="007F3DED" w:rsidRPr="000F761E">
        <w:rPr>
          <w:rFonts w:ascii="Arial" w:hAnsi="Arial" w:cs="Arial"/>
          <w:color w:val="000000" w:themeColor="text1"/>
          <w:sz w:val="20"/>
          <w:szCs w:val="20"/>
        </w:rPr>
        <w:t xml:space="preserve"> naročil v vrednosti </w:t>
      </w:r>
      <w:r w:rsidR="000F761E" w:rsidRPr="000F761E">
        <w:rPr>
          <w:rFonts w:ascii="Arial" w:hAnsi="Arial" w:cs="Arial"/>
          <w:color w:val="000000" w:themeColor="text1"/>
          <w:sz w:val="20"/>
          <w:szCs w:val="20"/>
        </w:rPr>
        <w:t xml:space="preserve">1.680.281.948 </w:t>
      </w:r>
      <w:r w:rsidR="007F3DED" w:rsidRPr="000F761E">
        <w:rPr>
          <w:rFonts w:ascii="Arial" w:hAnsi="Arial" w:cs="Arial"/>
          <w:color w:val="000000" w:themeColor="text1"/>
          <w:sz w:val="20"/>
          <w:szCs w:val="20"/>
        </w:rPr>
        <w:t xml:space="preserve">evrov, v katerih so bili upoštevani socialni vidiki oziroma zahteve. Delež teh </w:t>
      </w:r>
      <w:r w:rsidR="00410FB1" w:rsidRPr="000F761E">
        <w:rPr>
          <w:rFonts w:ascii="Arial" w:hAnsi="Arial" w:cs="Arial"/>
          <w:color w:val="000000" w:themeColor="text1"/>
          <w:sz w:val="20"/>
          <w:szCs w:val="20"/>
        </w:rPr>
        <w:t xml:space="preserve">je </w:t>
      </w:r>
      <w:r w:rsidR="00E23432" w:rsidRPr="000F761E">
        <w:rPr>
          <w:rFonts w:ascii="Arial" w:hAnsi="Arial" w:cs="Arial"/>
          <w:color w:val="000000" w:themeColor="text1"/>
          <w:sz w:val="20"/>
          <w:szCs w:val="20"/>
        </w:rPr>
        <w:t>14,22</w:t>
      </w:r>
      <w:r w:rsidR="007B25B7" w:rsidRPr="000F761E">
        <w:rPr>
          <w:rFonts w:ascii="Arial" w:hAnsi="Arial" w:cs="Arial"/>
          <w:color w:val="000000" w:themeColor="text1"/>
          <w:sz w:val="20"/>
          <w:szCs w:val="20"/>
        </w:rPr>
        <w:t> </w:t>
      </w:r>
      <w:r w:rsidR="00AC0027" w:rsidRPr="000F761E">
        <w:rPr>
          <w:rFonts w:ascii="Arial" w:hAnsi="Arial" w:cs="Arial"/>
          <w:color w:val="000000" w:themeColor="text1"/>
          <w:sz w:val="20"/>
          <w:szCs w:val="20"/>
        </w:rPr>
        <w:t>odstotka</w:t>
      </w:r>
      <w:r w:rsidR="00A96351" w:rsidRPr="000F761E">
        <w:rPr>
          <w:rFonts w:ascii="Arial" w:hAnsi="Arial" w:cs="Arial"/>
          <w:color w:val="000000" w:themeColor="text1"/>
          <w:sz w:val="20"/>
          <w:szCs w:val="20"/>
        </w:rPr>
        <w:t xml:space="preserve"> v številu vseh naročil in </w:t>
      </w:r>
      <w:r w:rsidR="00E23432" w:rsidRPr="000F761E">
        <w:rPr>
          <w:rFonts w:ascii="Arial" w:hAnsi="Arial" w:cs="Arial"/>
          <w:color w:val="000000" w:themeColor="text1"/>
          <w:sz w:val="20"/>
          <w:szCs w:val="20"/>
        </w:rPr>
        <w:t>26,96</w:t>
      </w:r>
      <w:r w:rsidR="007B25B7" w:rsidRPr="000F761E">
        <w:rPr>
          <w:rFonts w:ascii="Arial" w:hAnsi="Arial" w:cs="Arial"/>
          <w:color w:val="000000" w:themeColor="text1"/>
          <w:sz w:val="20"/>
          <w:szCs w:val="20"/>
        </w:rPr>
        <w:t> </w:t>
      </w:r>
      <w:r w:rsidR="00AC0027" w:rsidRPr="000F761E">
        <w:rPr>
          <w:rFonts w:ascii="Arial" w:hAnsi="Arial" w:cs="Arial"/>
          <w:color w:val="000000" w:themeColor="text1"/>
          <w:sz w:val="20"/>
          <w:szCs w:val="20"/>
        </w:rPr>
        <w:t>odstotka</w:t>
      </w:r>
      <w:r w:rsidR="007F3DED" w:rsidRPr="000F761E">
        <w:rPr>
          <w:rFonts w:ascii="Arial" w:hAnsi="Arial" w:cs="Arial"/>
          <w:color w:val="000000" w:themeColor="text1"/>
          <w:sz w:val="20"/>
          <w:szCs w:val="20"/>
        </w:rPr>
        <w:t xml:space="preserve"> v vr</w:t>
      </w:r>
      <w:r w:rsidR="00A96351" w:rsidRPr="000F761E">
        <w:rPr>
          <w:rFonts w:ascii="Arial" w:hAnsi="Arial" w:cs="Arial"/>
          <w:color w:val="000000" w:themeColor="text1"/>
          <w:sz w:val="20"/>
          <w:szCs w:val="20"/>
        </w:rPr>
        <w:t>ednosti vseh naročil v letu 20</w:t>
      </w:r>
      <w:r w:rsidR="00AA19C5" w:rsidRPr="000F761E">
        <w:rPr>
          <w:rFonts w:ascii="Arial" w:hAnsi="Arial" w:cs="Arial"/>
          <w:color w:val="000000" w:themeColor="text1"/>
          <w:sz w:val="20"/>
          <w:szCs w:val="20"/>
        </w:rPr>
        <w:t>2</w:t>
      </w:r>
      <w:r w:rsidR="00E23432" w:rsidRPr="000F761E">
        <w:rPr>
          <w:rFonts w:ascii="Arial" w:hAnsi="Arial" w:cs="Arial"/>
          <w:color w:val="000000" w:themeColor="text1"/>
          <w:sz w:val="20"/>
          <w:szCs w:val="20"/>
        </w:rPr>
        <w:t>3</w:t>
      </w:r>
      <w:r w:rsidR="007F3DED" w:rsidRPr="000F761E">
        <w:rPr>
          <w:rFonts w:ascii="Arial" w:hAnsi="Arial" w:cs="Arial"/>
          <w:color w:val="000000" w:themeColor="text1"/>
          <w:sz w:val="20"/>
          <w:szCs w:val="20"/>
        </w:rPr>
        <w:t>.</w:t>
      </w:r>
    </w:p>
    <w:p w14:paraId="33E6299B" w14:textId="0FE493D2" w:rsidR="00F513C9" w:rsidRPr="000F761E" w:rsidRDefault="007F3DED" w:rsidP="00F513C9">
      <w:pPr>
        <w:spacing w:line="360" w:lineRule="auto"/>
        <w:jc w:val="both"/>
        <w:rPr>
          <w:rFonts w:ascii="Arial" w:hAnsi="Arial" w:cs="Arial"/>
          <w:color w:val="000000" w:themeColor="text1"/>
          <w:sz w:val="20"/>
          <w:szCs w:val="20"/>
          <w:lang w:eastAsia="sl-SI"/>
        </w:rPr>
      </w:pPr>
      <w:r w:rsidRPr="000F761E">
        <w:rPr>
          <w:rFonts w:ascii="Arial" w:hAnsi="Arial" w:cs="Arial"/>
          <w:color w:val="000000" w:themeColor="text1"/>
          <w:sz w:val="20"/>
          <w:szCs w:val="20"/>
        </w:rPr>
        <w:lastRenderedPageBreak/>
        <w:t>Javni zavodi so oddali največ</w:t>
      </w:r>
      <w:r w:rsidR="006E3F05" w:rsidRPr="000F761E">
        <w:rPr>
          <w:rFonts w:ascii="Arial" w:hAnsi="Arial" w:cs="Arial"/>
          <w:color w:val="000000" w:themeColor="text1"/>
          <w:sz w:val="20"/>
          <w:szCs w:val="20"/>
        </w:rPr>
        <w:t xml:space="preserve"> tovrstnih naročil, in sicer </w:t>
      </w:r>
      <w:r w:rsidR="00E23432" w:rsidRPr="000F761E">
        <w:rPr>
          <w:rFonts w:ascii="Arial" w:hAnsi="Arial" w:cs="Arial"/>
          <w:color w:val="000000" w:themeColor="text1"/>
          <w:sz w:val="20"/>
          <w:szCs w:val="20"/>
        </w:rPr>
        <w:t>995</w:t>
      </w:r>
      <w:r w:rsidR="00301627" w:rsidRPr="000F761E">
        <w:rPr>
          <w:rFonts w:ascii="Arial" w:hAnsi="Arial" w:cs="Arial"/>
          <w:color w:val="000000" w:themeColor="text1"/>
          <w:sz w:val="20"/>
          <w:szCs w:val="20"/>
        </w:rPr>
        <w:t xml:space="preserve"> v</w:t>
      </w:r>
      <w:r w:rsidRPr="000F761E">
        <w:rPr>
          <w:rFonts w:ascii="Arial" w:hAnsi="Arial" w:cs="Arial"/>
          <w:color w:val="000000" w:themeColor="text1"/>
          <w:sz w:val="20"/>
          <w:szCs w:val="20"/>
        </w:rPr>
        <w:t xml:space="preserve"> vrednost</w:t>
      </w:r>
      <w:r w:rsidR="00301627" w:rsidRPr="000F761E">
        <w:rPr>
          <w:rFonts w:ascii="Arial" w:hAnsi="Arial" w:cs="Arial"/>
          <w:color w:val="000000" w:themeColor="text1"/>
          <w:sz w:val="20"/>
          <w:szCs w:val="20"/>
        </w:rPr>
        <w:t>i</w:t>
      </w:r>
      <w:r w:rsidR="006E4504" w:rsidRPr="000F761E">
        <w:rPr>
          <w:rFonts w:ascii="Arial" w:hAnsi="Arial" w:cs="Arial"/>
          <w:color w:val="000000" w:themeColor="text1"/>
          <w:sz w:val="20"/>
          <w:szCs w:val="20"/>
        </w:rPr>
        <w:t xml:space="preserve"> </w:t>
      </w:r>
      <w:r w:rsidR="00E23432" w:rsidRPr="000F761E">
        <w:rPr>
          <w:rFonts w:ascii="Arial" w:hAnsi="Arial" w:cs="Arial"/>
          <w:color w:val="000000" w:themeColor="text1"/>
          <w:sz w:val="20"/>
          <w:szCs w:val="20"/>
        </w:rPr>
        <w:t xml:space="preserve">170.184.982 </w:t>
      </w:r>
      <w:r w:rsidRPr="000F761E">
        <w:rPr>
          <w:rFonts w:ascii="Arial" w:hAnsi="Arial" w:cs="Arial"/>
          <w:color w:val="000000" w:themeColor="text1"/>
          <w:sz w:val="20"/>
          <w:szCs w:val="20"/>
        </w:rPr>
        <w:t xml:space="preserve">evrov. Po vrednosti so največ naročil oddali </w:t>
      </w:r>
      <w:r w:rsidR="00E23432" w:rsidRPr="000F761E">
        <w:rPr>
          <w:rFonts w:ascii="Arial" w:hAnsi="Arial" w:cs="Arial"/>
          <w:color w:val="000000" w:themeColor="text1"/>
          <w:sz w:val="20"/>
          <w:szCs w:val="20"/>
          <w:lang w:eastAsia="sl-SI"/>
        </w:rPr>
        <w:t>organi Republike Slovenije,</w:t>
      </w:r>
      <w:r w:rsidR="006E3F05" w:rsidRPr="000F761E">
        <w:rPr>
          <w:rFonts w:ascii="Arial" w:hAnsi="Arial" w:cs="Arial"/>
          <w:color w:val="000000" w:themeColor="text1"/>
          <w:sz w:val="20"/>
          <w:szCs w:val="20"/>
          <w:lang w:eastAsia="sl-SI"/>
        </w:rPr>
        <w:t xml:space="preserve"> in sicer </w:t>
      </w:r>
      <w:r w:rsidR="00E23432" w:rsidRPr="000F761E">
        <w:rPr>
          <w:rFonts w:ascii="Arial" w:hAnsi="Arial" w:cs="Arial"/>
          <w:color w:val="000000" w:themeColor="text1"/>
          <w:sz w:val="20"/>
          <w:szCs w:val="20"/>
          <w:lang w:eastAsia="sl-SI"/>
        </w:rPr>
        <w:t>198</w:t>
      </w:r>
      <w:r w:rsidRPr="000F761E">
        <w:rPr>
          <w:rFonts w:ascii="Arial" w:hAnsi="Arial" w:cs="Arial"/>
          <w:color w:val="000000" w:themeColor="text1"/>
          <w:sz w:val="20"/>
          <w:szCs w:val="20"/>
          <w:lang w:eastAsia="sl-SI"/>
        </w:rPr>
        <w:t xml:space="preserve"> naročil v vrednosti </w:t>
      </w:r>
      <w:r w:rsidR="00E23432" w:rsidRPr="000F761E">
        <w:rPr>
          <w:rFonts w:ascii="Arial" w:hAnsi="Arial" w:cs="Arial"/>
          <w:color w:val="000000" w:themeColor="text1"/>
          <w:sz w:val="20"/>
          <w:szCs w:val="20"/>
          <w:lang w:eastAsia="sl-SI"/>
        </w:rPr>
        <w:t xml:space="preserve">689.679.874 </w:t>
      </w:r>
      <w:r w:rsidRPr="000F761E">
        <w:rPr>
          <w:rFonts w:ascii="Arial" w:hAnsi="Arial" w:cs="Arial"/>
          <w:color w:val="000000" w:themeColor="text1"/>
          <w:sz w:val="20"/>
          <w:szCs w:val="20"/>
        </w:rPr>
        <w:t xml:space="preserve">evrov. Delež števila naročil in pogodbene vrednosti glede na kategorijo naročnika </w:t>
      </w:r>
      <w:r w:rsidR="002762BE">
        <w:rPr>
          <w:rFonts w:ascii="Arial" w:hAnsi="Arial" w:cs="Arial"/>
          <w:color w:val="000000" w:themeColor="text1"/>
          <w:sz w:val="20"/>
          <w:szCs w:val="20"/>
        </w:rPr>
        <w:t>so</w:t>
      </w:r>
      <w:r w:rsidRPr="000F761E">
        <w:rPr>
          <w:rFonts w:ascii="Arial" w:hAnsi="Arial" w:cs="Arial"/>
          <w:color w:val="000000" w:themeColor="text1"/>
          <w:sz w:val="20"/>
          <w:szCs w:val="20"/>
        </w:rPr>
        <w:t xml:space="preserve"> prikazan</w:t>
      </w:r>
      <w:r w:rsidR="002762BE">
        <w:rPr>
          <w:rFonts w:ascii="Arial" w:hAnsi="Arial" w:cs="Arial"/>
          <w:color w:val="000000" w:themeColor="text1"/>
          <w:sz w:val="20"/>
          <w:szCs w:val="20"/>
        </w:rPr>
        <w:t>i</w:t>
      </w:r>
      <w:r w:rsidRPr="000F761E">
        <w:rPr>
          <w:rFonts w:ascii="Arial" w:hAnsi="Arial" w:cs="Arial"/>
          <w:color w:val="000000" w:themeColor="text1"/>
          <w:sz w:val="20"/>
          <w:szCs w:val="20"/>
        </w:rPr>
        <w:t xml:space="preserve"> v spodnji preglednici.</w:t>
      </w:r>
      <w:r w:rsidR="00F83DD4" w:rsidRPr="000F761E">
        <w:rPr>
          <w:rFonts w:ascii="Arial" w:hAnsi="Arial" w:cs="Arial"/>
          <w:color w:val="000000" w:themeColor="text1"/>
          <w:sz w:val="20"/>
          <w:szCs w:val="20"/>
          <w:lang w:eastAsia="sl-SI"/>
        </w:rPr>
        <w:t xml:space="preserve"> </w:t>
      </w:r>
    </w:p>
    <w:p w14:paraId="61AC407B" w14:textId="4F078AAC" w:rsidR="007F3DED" w:rsidRPr="000F761E" w:rsidRDefault="00F83DD4" w:rsidP="00376E7F">
      <w:pPr>
        <w:spacing w:before="120" w:after="120" w:line="240" w:lineRule="auto"/>
        <w:jc w:val="both"/>
        <w:rPr>
          <w:rFonts w:ascii="Arial" w:hAnsi="Arial" w:cs="Arial"/>
          <w:color w:val="000000" w:themeColor="text1"/>
        </w:rPr>
      </w:pPr>
      <w:r w:rsidRPr="000F761E">
        <w:rPr>
          <w:rFonts w:ascii="Arial" w:hAnsi="Arial" w:cs="Arial"/>
          <w:color w:val="000000" w:themeColor="text1"/>
          <w:sz w:val="20"/>
        </w:rPr>
        <w:t>Preglednica </w:t>
      </w:r>
      <w:r w:rsidR="00512F52" w:rsidRPr="000F761E">
        <w:rPr>
          <w:rFonts w:ascii="Arial" w:hAnsi="Arial" w:cs="Arial"/>
          <w:color w:val="000000" w:themeColor="text1"/>
          <w:sz w:val="20"/>
        </w:rPr>
        <w:t>5</w:t>
      </w:r>
      <w:r w:rsidR="00EA747F" w:rsidRPr="000F761E">
        <w:rPr>
          <w:rFonts w:ascii="Arial" w:hAnsi="Arial" w:cs="Arial"/>
          <w:color w:val="000000" w:themeColor="text1"/>
          <w:sz w:val="20"/>
        </w:rPr>
        <w:t>1</w:t>
      </w:r>
      <w:r w:rsidRPr="000F761E">
        <w:rPr>
          <w:rFonts w:ascii="Arial" w:hAnsi="Arial" w:cs="Arial"/>
          <w:color w:val="000000" w:themeColor="text1"/>
          <w:sz w:val="20"/>
        </w:rPr>
        <w:t xml:space="preserve">: </w:t>
      </w:r>
      <w:r w:rsidR="00F513C9" w:rsidRPr="000F761E">
        <w:rPr>
          <w:rFonts w:ascii="Arial" w:hAnsi="Arial" w:cs="Arial"/>
          <w:color w:val="000000" w:themeColor="text1"/>
          <w:sz w:val="20"/>
        </w:rPr>
        <w:t>Število in vrednosti ter deleži naročil z upoštevanimi socialnimi vidiki glede na kategorijo naročnika</w:t>
      </w:r>
    </w:p>
    <w:tbl>
      <w:tblPr>
        <w:tblW w:w="8784" w:type="dxa"/>
        <w:jc w:val="center"/>
        <w:tblCellMar>
          <w:left w:w="70" w:type="dxa"/>
          <w:right w:w="70" w:type="dxa"/>
        </w:tblCellMar>
        <w:tblLook w:val="04A0" w:firstRow="1" w:lastRow="0" w:firstColumn="1" w:lastColumn="0" w:noHBand="0" w:noVBand="1"/>
      </w:tblPr>
      <w:tblGrid>
        <w:gridCol w:w="3834"/>
        <w:gridCol w:w="835"/>
        <w:gridCol w:w="1422"/>
        <w:gridCol w:w="992"/>
        <w:gridCol w:w="1701"/>
      </w:tblGrid>
      <w:tr w:rsidR="006D1A48" w:rsidRPr="000F761E" w14:paraId="554D26DE" w14:textId="77777777" w:rsidTr="000F761E">
        <w:trPr>
          <w:trHeight w:val="255"/>
          <w:tblHeader/>
          <w:jc w:val="center"/>
        </w:trPr>
        <w:tc>
          <w:tcPr>
            <w:tcW w:w="3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5A1EF0" w14:textId="4DDDA58B" w:rsidR="00AA19C5" w:rsidRPr="000F761E" w:rsidRDefault="00AA19C5" w:rsidP="00AA19C5">
            <w:pPr>
              <w:spacing w:after="0" w:line="240" w:lineRule="auto"/>
              <w:jc w:val="center"/>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Kategorija naročnika</w:t>
            </w:r>
          </w:p>
        </w:tc>
        <w:tc>
          <w:tcPr>
            <w:tcW w:w="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61AEA2" w14:textId="77777777" w:rsidR="00AA19C5" w:rsidRPr="000F761E" w:rsidRDefault="00AA19C5" w:rsidP="00AA19C5">
            <w:pPr>
              <w:spacing w:after="0" w:line="240" w:lineRule="auto"/>
              <w:jc w:val="center"/>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Št. naročil</w:t>
            </w:r>
          </w:p>
        </w:tc>
        <w:tc>
          <w:tcPr>
            <w:tcW w:w="14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7567B3" w14:textId="35578E34" w:rsidR="00AA19C5" w:rsidRPr="000F761E" w:rsidRDefault="00AA19C5" w:rsidP="00AA19C5">
            <w:pPr>
              <w:spacing w:after="0" w:line="240" w:lineRule="auto"/>
              <w:jc w:val="center"/>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Pogodbena vrednost</w:t>
            </w:r>
            <w:r w:rsidR="00055BE0" w:rsidRPr="000F761E">
              <w:rPr>
                <w:rFonts w:ascii="Arial" w:eastAsia="Times New Roman" w:hAnsi="Arial" w:cs="Arial"/>
                <w:color w:val="000000" w:themeColor="text1"/>
                <w:sz w:val="18"/>
                <w:szCs w:val="18"/>
                <w:lang w:eastAsia="sl-SI"/>
              </w:rPr>
              <w:t xml:space="preserve"> (v EUR)</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1818C4" w14:textId="77777777" w:rsidR="00AA19C5" w:rsidRPr="000F761E" w:rsidRDefault="00AA19C5" w:rsidP="00AA19C5">
            <w:pPr>
              <w:spacing w:after="0" w:line="240" w:lineRule="auto"/>
              <w:jc w:val="center"/>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 xml:space="preserve">Delež v št. vseh naročil </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7AEFC5" w14:textId="77777777" w:rsidR="00AA19C5" w:rsidRPr="000F761E" w:rsidRDefault="00AA19C5" w:rsidP="00AA19C5">
            <w:pPr>
              <w:spacing w:after="0" w:line="240" w:lineRule="auto"/>
              <w:jc w:val="center"/>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Delež v vrednosti vseh naročil</w:t>
            </w:r>
          </w:p>
        </w:tc>
      </w:tr>
      <w:tr w:rsidR="000F761E" w:rsidRPr="000F761E" w14:paraId="3EDDDC9E"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14:paraId="0BD8E55F" w14:textId="3D9A5A75" w:rsidR="000F761E" w:rsidRPr="000F761E" w:rsidRDefault="000F761E" w:rsidP="000F761E">
            <w:pPr>
              <w:spacing w:after="0" w:line="240" w:lineRule="auto"/>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Organi Republike Slovenije</w:t>
            </w:r>
          </w:p>
        </w:tc>
        <w:tc>
          <w:tcPr>
            <w:tcW w:w="835" w:type="dxa"/>
            <w:tcBorders>
              <w:top w:val="nil"/>
              <w:left w:val="nil"/>
              <w:bottom w:val="single" w:sz="4" w:space="0" w:color="auto"/>
              <w:right w:val="single" w:sz="4" w:space="0" w:color="auto"/>
            </w:tcBorders>
            <w:shd w:val="clear" w:color="auto" w:fill="auto"/>
            <w:vAlign w:val="center"/>
            <w:hideMark/>
          </w:tcPr>
          <w:p w14:paraId="1AE4355F" w14:textId="706C4E57"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198</w:t>
            </w:r>
          </w:p>
        </w:tc>
        <w:tc>
          <w:tcPr>
            <w:tcW w:w="1422" w:type="dxa"/>
            <w:tcBorders>
              <w:top w:val="nil"/>
              <w:left w:val="nil"/>
              <w:bottom w:val="single" w:sz="4" w:space="0" w:color="auto"/>
              <w:right w:val="single" w:sz="4" w:space="0" w:color="auto"/>
            </w:tcBorders>
            <w:shd w:val="clear" w:color="auto" w:fill="auto"/>
            <w:vAlign w:val="center"/>
            <w:hideMark/>
          </w:tcPr>
          <w:p w14:paraId="3FE03868" w14:textId="3A072305"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689.679.874</w:t>
            </w:r>
          </w:p>
        </w:tc>
        <w:tc>
          <w:tcPr>
            <w:tcW w:w="992" w:type="dxa"/>
            <w:tcBorders>
              <w:top w:val="nil"/>
              <w:left w:val="nil"/>
              <w:bottom w:val="single" w:sz="4" w:space="0" w:color="auto"/>
              <w:right w:val="single" w:sz="4" w:space="0" w:color="auto"/>
            </w:tcBorders>
            <w:shd w:val="clear" w:color="auto" w:fill="auto"/>
            <w:noWrap/>
            <w:vAlign w:val="center"/>
            <w:hideMark/>
          </w:tcPr>
          <w:p w14:paraId="17E0BEC8" w14:textId="4834D28C"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8,28 %</w:t>
            </w:r>
          </w:p>
        </w:tc>
        <w:tc>
          <w:tcPr>
            <w:tcW w:w="1701" w:type="dxa"/>
            <w:tcBorders>
              <w:top w:val="nil"/>
              <w:left w:val="nil"/>
              <w:bottom w:val="single" w:sz="4" w:space="0" w:color="auto"/>
              <w:right w:val="single" w:sz="4" w:space="0" w:color="auto"/>
            </w:tcBorders>
            <w:shd w:val="clear" w:color="auto" w:fill="auto"/>
            <w:noWrap/>
            <w:vAlign w:val="center"/>
            <w:hideMark/>
          </w:tcPr>
          <w:p w14:paraId="2403BFB2" w14:textId="5955B73E"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41,05 %</w:t>
            </w:r>
          </w:p>
        </w:tc>
      </w:tr>
      <w:tr w:rsidR="000F761E" w:rsidRPr="000F761E" w14:paraId="074B8B48"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14:paraId="606561C7" w14:textId="77777777" w:rsidR="000F761E" w:rsidRPr="000F761E" w:rsidRDefault="000F761E" w:rsidP="000F761E">
            <w:pPr>
              <w:spacing w:after="0" w:line="240" w:lineRule="auto"/>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Samoupravne lokalne skupnosti</w:t>
            </w:r>
          </w:p>
        </w:tc>
        <w:tc>
          <w:tcPr>
            <w:tcW w:w="835" w:type="dxa"/>
            <w:tcBorders>
              <w:top w:val="nil"/>
              <w:left w:val="nil"/>
              <w:bottom w:val="single" w:sz="4" w:space="0" w:color="auto"/>
              <w:right w:val="single" w:sz="4" w:space="0" w:color="auto"/>
            </w:tcBorders>
            <w:shd w:val="clear" w:color="auto" w:fill="auto"/>
            <w:vAlign w:val="center"/>
            <w:hideMark/>
          </w:tcPr>
          <w:p w14:paraId="2C64FAF7" w14:textId="45004ADC"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370</w:t>
            </w:r>
          </w:p>
        </w:tc>
        <w:tc>
          <w:tcPr>
            <w:tcW w:w="1422" w:type="dxa"/>
            <w:tcBorders>
              <w:top w:val="nil"/>
              <w:left w:val="nil"/>
              <w:bottom w:val="single" w:sz="4" w:space="0" w:color="auto"/>
              <w:right w:val="single" w:sz="4" w:space="0" w:color="auto"/>
            </w:tcBorders>
            <w:shd w:val="clear" w:color="auto" w:fill="auto"/>
            <w:vAlign w:val="center"/>
            <w:hideMark/>
          </w:tcPr>
          <w:p w14:paraId="38FCB03F" w14:textId="0F2DBFBA"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119.331.136</w:t>
            </w:r>
          </w:p>
        </w:tc>
        <w:tc>
          <w:tcPr>
            <w:tcW w:w="992" w:type="dxa"/>
            <w:tcBorders>
              <w:top w:val="nil"/>
              <w:left w:val="nil"/>
              <w:bottom w:val="single" w:sz="4" w:space="0" w:color="auto"/>
              <w:right w:val="single" w:sz="4" w:space="0" w:color="auto"/>
            </w:tcBorders>
            <w:shd w:val="clear" w:color="auto" w:fill="auto"/>
            <w:noWrap/>
            <w:vAlign w:val="center"/>
            <w:hideMark/>
          </w:tcPr>
          <w:p w14:paraId="5102248C" w14:textId="333E496E"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15,47 %</w:t>
            </w:r>
          </w:p>
        </w:tc>
        <w:tc>
          <w:tcPr>
            <w:tcW w:w="1701" w:type="dxa"/>
            <w:tcBorders>
              <w:top w:val="nil"/>
              <w:left w:val="nil"/>
              <w:bottom w:val="single" w:sz="4" w:space="0" w:color="auto"/>
              <w:right w:val="single" w:sz="4" w:space="0" w:color="auto"/>
            </w:tcBorders>
            <w:shd w:val="clear" w:color="auto" w:fill="auto"/>
            <w:noWrap/>
            <w:vAlign w:val="center"/>
            <w:hideMark/>
          </w:tcPr>
          <w:p w14:paraId="5A40E985" w14:textId="7B947ACB"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7,10 %</w:t>
            </w:r>
          </w:p>
        </w:tc>
      </w:tr>
      <w:tr w:rsidR="000F761E" w:rsidRPr="000F761E" w14:paraId="0A90FF31"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14:paraId="782AF536" w14:textId="77777777" w:rsidR="000F761E" w:rsidRPr="000F761E" w:rsidRDefault="000F761E" w:rsidP="000F761E">
            <w:pPr>
              <w:spacing w:after="0" w:line="240" w:lineRule="auto"/>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Javni skladi</w:t>
            </w:r>
          </w:p>
        </w:tc>
        <w:tc>
          <w:tcPr>
            <w:tcW w:w="835" w:type="dxa"/>
            <w:tcBorders>
              <w:top w:val="nil"/>
              <w:left w:val="nil"/>
              <w:bottom w:val="single" w:sz="4" w:space="0" w:color="auto"/>
              <w:right w:val="single" w:sz="4" w:space="0" w:color="auto"/>
            </w:tcBorders>
            <w:shd w:val="clear" w:color="auto" w:fill="auto"/>
            <w:vAlign w:val="center"/>
            <w:hideMark/>
          </w:tcPr>
          <w:p w14:paraId="230E1154" w14:textId="7ABA202E"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27</w:t>
            </w:r>
          </w:p>
        </w:tc>
        <w:tc>
          <w:tcPr>
            <w:tcW w:w="1422" w:type="dxa"/>
            <w:tcBorders>
              <w:top w:val="nil"/>
              <w:left w:val="nil"/>
              <w:bottom w:val="single" w:sz="4" w:space="0" w:color="auto"/>
              <w:right w:val="single" w:sz="4" w:space="0" w:color="auto"/>
            </w:tcBorders>
            <w:shd w:val="clear" w:color="auto" w:fill="auto"/>
            <w:vAlign w:val="center"/>
            <w:hideMark/>
          </w:tcPr>
          <w:p w14:paraId="6DBB8EF7" w14:textId="0A1081D3"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17.661.924</w:t>
            </w:r>
          </w:p>
        </w:tc>
        <w:tc>
          <w:tcPr>
            <w:tcW w:w="992" w:type="dxa"/>
            <w:tcBorders>
              <w:top w:val="nil"/>
              <w:left w:val="nil"/>
              <w:bottom w:val="single" w:sz="4" w:space="0" w:color="auto"/>
              <w:right w:val="single" w:sz="4" w:space="0" w:color="auto"/>
            </w:tcBorders>
            <w:shd w:val="clear" w:color="auto" w:fill="auto"/>
            <w:noWrap/>
            <w:vAlign w:val="center"/>
            <w:hideMark/>
          </w:tcPr>
          <w:p w14:paraId="4F68968F" w14:textId="1454497F"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1,13 %</w:t>
            </w:r>
          </w:p>
        </w:tc>
        <w:tc>
          <w:tcPr>
            <w:tcW w:w="1701" w:type="dxa"/>
            <w:tcBorders>
              <w:top w:val="nil"/>
              <w:left w:val="nil"/>
              <w:bottom w:val="single" w:sz="4" w:space="0" w:color="auto"/>
              <w:right w:val="single" w:sz="4" w:space="0" w:color="auto"/>
            </w:tcBorders>
            <w:shd w:val="clear" w:color="auto" w:fill="auto"/>
            <w:noWrap/>
            <w:vAlign w:val="center"/>
            <w:hideMark/>
          </w:tcPr>
          <w:p w14:paraId="7A64DD76" w14:textId="5528DA0E"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1,05 %</w:t>
            </w:r>
          </w:p>
        </w:tc>
      </w:tr>
      <w:tr w:rsidR="000F761E" w:rsidRPr="000F761E" w14:paraId="44D999DC"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auto"/>
            <w:vAlign w:val="center"/>
          </w:tcPr>
          <w:p w14:paraId="7E61C40C" w14:textId="3E7FAA4C" w:rsidR="000F761E" w:rsidRPr="000F761E" w:rsidRDefault="000F761E" w:rsidP="000F761E">
            <w:pPr>
              <w:spacing w:after="0" w:line="240" w:lineRule="auto"/>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Javne agencije</w:t>
            </w:r>
          </w:p>
        </w:tc>
        <w:tc>
          <w:tcPr>
            <w:tcW w:w="835" w:type="dxa"/>
            <w:tcBorders>
              <w:top w:val="nil"/>
              <w:left w:val="nil"/>
              <w:bottom w:val="single" w:sz="4" w:space="0" w:color="auto"/>
              <w:right w:val="single" w:sz="4" w:space="0" w:color="auto"/>
            </w:tcBorders>
            <w:shd w:val="clear" w:color="auto" w:fill="auto"/>
            <w:vAlign w:val="center"/>
          </w:tcPr>
          <w:p w14:paraId="07AAECEF" w14:textId="1461DBC9"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16</w:t>
            </w:r>
          </w:p>
        </w:tc>
        <w:tc>
          <w:tcPr>
            <w:tcW w:w="1422" w:type="dxa"/>
            <w:tcBorders>
              <w:top w:val="nil"/>
              <w:left w:val="nil"/>
              <w:bottom w:val="single" w:sz="4" w:space="0" w:color="auto"/>
              <w:right w:val="single" w:sz="4" w:space="0" w:color="auto"/>
            </w:tcBorders>
            <w:shd w:val="clear" w:color="auto" w:fill="auto"/>
            <w:vAlign w:val="center"/>
          </w:tcPr>
          <w:p w14:paraId="435047F1" w14:textId="09396073"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1.643.255</w:t>
            </w:r>
          </w:p>
        </w:tc>
        <w:tc>
          <w:tcPr>
            <w:tcW w:w="992" w:type="dxa"/>
            <w:tcBorders>
              <w:top w:val="nil"/>
              <w:left w:val="nil"/>
              <w:bottom w:val="single" w:sz="4" w:space="0" w:color="auto"/>
              <w:right w:val="single" w:sz="4" w:space="0" w:color="auto"/>
            </w:tcBorders>
            <w:shd w:val="clear" w:color="auto" w:fill="auto"/>
            <w:noWrap/>
            <w:vAlign w:val="center"/>
          </w:tcPr>
          <w:p w14:paraId="79E4CE73" w14:textId="569A722F"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0,67 %</w:t>
            </w:r>
          </w:p>
        </w:tc>
        <w:tc>
          <w:tcPr>
            <w:tcW w:w="1701" w:type="dxa"/>
            <w:tcBorders>
              <w:top w:val="nil"/>
              <w:left w:val="nil"/>
              <w:bottom w:val="single" w:sz="4" w:space="0" w:color="auto"/>
              <w:right w:val="single" w:sz="4" w:space="0" w:color="auto"/>
            </w:tcBorders>
            <w:shd w:val="clear" w:color="auto" w:fill="auto"/>
            <w:noWrap/>
            <w:vAlign w:val="center"/>
          </w:tcPr>
          <w:p w14:paraId="59D1132D" w14:textId="7C864C72"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0,10 %</w:t>
            </w:r>
          </w:p>
        </w:tc>
      </w:tr>
      <w:tr w:rsidR="000F761E" w:rsidRPr="000F761E" w14:paraId="16CF60D9"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14:paraId="3D9E6FA0" w14:textId="77777777" w:rsidR="000F761E" w:rsidRPr="000F761E" w:rsidRDefault="000F761E" w:rsidP="000F761E">
            <w:pPr>
              <w:spacing w:after="0" w:line="240" w:lineRule="auto"/>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Javni zavodi</w:t>
            </w:r>
          </w:p>
        </w:tc>
        <w:tc>
          <w:tcPr>
            <w:tcW w:w="835" w:type="dxa"/>
            <w:tcBorders>
              <w:top w:val="nil"/>
              <w:left w:val="nil"/>
              <w:bottom w:val="single" w:sz="4" w:space="0" w:color="auto"/>
              <w:right w:val="single" w:sz="4" w:space="0" w:color="auto"/>
            </w:tcBorders>
            <w:shd w:val="clear" w:color="auto" w:fill="auto"/>
            <w:vAlign w:val="center"/>
            <w:hideMark/>
          </w:tcPr>
          <w:p w14:paraId="022D1E47" w14:textId="38FE1916"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995</w:t>
            </w:r>
          </w:p>
        </w:tc>
        <w:tc>
          <w:tcPr>
            <w:tcW w:w="1422" w:type="dxa"/>
            <w:tcBorders>
              <w:top w:val="nil"/>
              <w:left w:val="nil"/>
              <w:bottom w:val="single" w:sz="4" w:space="0" w:color="auto"/>
              <w:right w:val="single" w:sz="4" w:space="0" w:color="auto"/>
            </w:tcBorders>
            <w:shd w:val="clear" w:color="auto" w:fill="auto"/>
            <w:vAlign w:val="center"/>
            <w:hideMark/>
          </w:tcPr>
          <w:p w14:paraId="17EF3268" w14:textId="54CF4B6E"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bookmarkStart w:id="51" w:name="_Hlk175228075"/>
            <w:r w:rsidRPr="000F761E">
              <w:rPr>
                <w:rFonts w:ascii="Arial" w:eastAsia="Times New Roman" w:hAnsi="Arial" w:cs="Arial"/>
                <w:color w:val="000000" w:themeColor="text1"/>
                <w:sz w:val="18"/>
                <w:szCs w:val="18"/>
                <w:lang w:eastAsia="sl-SI"/>
              </w:rPr>
              <w:t>170.184.982</w:t>
            </w:r>
            <w:bookmarkEnd w:id="51"/>
          </w:p>
        </w:tc>
        <w:tc>
          <w:tcPr>
            <w:tcW w:w="992" w:type="dxa"/>
            <w:tcBorders>
              <w:top w:val="nil"/>
              <w:left w:val="nil"/>
              <w:bottom w:val="single" w:sz="4" w:space="0" w:color="auto"/>
              <w:right w:val="single" w:sz="4" w:space="0" w:color="auto"/>
            </w:tcBorders>
            <w:shd w:val="clear" w:color="auto" w:fill="auto"/>
            <w:noWrap/>
            <w:vAlign w:val="center"/>
            <w:hideMark/>
          </w:tcPr>
          <w:p w14:paraId="4E6D847E" w14:textId="0D2DBB98"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41,60 %</w:t>
            </w:r>
          </w:p>
        </w:tc>
        <w:tc>
          <w:tcPr>
            <w:tcW w:w="1701" w:type="dxa"/>
            <w:tcBorders>
              <w:top w:val="nil"/>
              <w:left w:val="nil"/>
              <w:bottom w:val="single" w:sz="4" w:space="0" w:color="auto"/>
              <w:right w:val="single" w:sz="4" w:space="0" w:color="auto"/>
            </w:tcBorders>
            <w:shd w:val="clear" w:color="auto" w:fill="auto"/>
            <w:noWrap/>
            <w:vAlign w:val="center"/>
            <w:hideMark/>
          </w:tcPr>
          <w:p w14:paraId="5A80B5E8" w14:textId="5E87A788"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10,13 %</w:t>
            </w:r>
          </w:p>
        </w:tc>
      </w:tr>
      <w:tr w:rsidR="000F761E" w:rsidRPr="000F761E" w14:paraId="115A8592"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14:paraId="2CC316F6" w14:textId="77777777" w:rsidR="000F761E" w:rsidRPr="000F761E" w:rsidRDefault="000F761E" w:rsidP="000F761E">
            <w:pPr>
              <w:spacing w:after="0" w:line="240" w:lineRule="auto"/>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Javni gospodarski zavodi</w:t>
            </w:r>
          </w:p>
        </w:tc>
        <w:tc>
          <w:tcPr>
            <w:tcW w:w="835" w:type="dxa"/>
            <w:tcBorders>
              <w:top w:val="nil"/>
              <w:left w:val="nil"/>
              <w:bottom w:val="single" w:sz="4" w:space="0" w:color="auto"/>
              <w:right w:val="single" w:sz="4" w:space="0" w:color="auto"/>
            </w:tcBorders>
            <w:shd w:val="clear" w:color="auto" w:fill="auto"/>
            <w:vAlign w:val="center"/>
            <w:hideMark/>
          </w:tcPr>
          <w:p w14:paraId="5354A2B3" w14:textId="390CA5BA"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4</w:t>
            </w:r>
          </w:p>
        </w:tc>
        <w:tc>
          <w:tcPr>
            <w:tcW w:w="1422" w:type="dxa"/>
            <w:tcBorders>
              <w:top w:val="nil"/>
              <w:left w:val="nil"/>
              <w:bottom w:val="single" w:sz="4" w:space="0" w:color="auto"/>
              <w:right w:val="single" w:sz="4" w:space="0" w:color="auto"/>
            </w:tcBorders>
            <w:shd w:val="clear" w:color="auto" w:fill="auto"/>
            <w:vAlign w:val="center"/>
            <w:hideMark/>
          </w:tcPr>
          <w:p w14:paraId="70F283DE" w14:textId="4083CB29"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277.717</w:t>
            </w:r>
          </w:p>
        </w:tc>
        <w:tc>
          <w:tcPr>
            <w:tcW w:w="992" w:type="dxa"/>
            <w:tcBorders>
              <w:top w:val="nil"/>
              <w:left w:val="nil"/>
              <w:bottom w:val="single" w:sz="4" w:space="0" w:color="auto"/>
              <w:right w:val="single" w:sz="4" w:space="0" w:color="auto"/>
            </w:tcBorders>
            <w:shd w:val="clear" w:color="auto" w:fill="auto"/>
            <w:noWrap/>
            <w:vAlign w:val="center"/>
            <w:hideMark/>
          </w:tcPr>
          <w:p w14:paraId="22B9C97F" w14:textId="5C19B7AC"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0,17 %</w:t>
            </w:r>
          </w:p>
        </w:tc>
        <w:tc>
          <w:tcPr>
            <w:tcW w:w="1701" w:type="dxa"/>
            <w:tcBorders>
              <w:top w:val="nil"/>
              <w:left w:val="nil"/>
              <w:bottom w:val="single" w:sz="4" w:space="0" w:color="auto"/>
              <w:right w:val="single" w:sz="4" w:space="0" w:color="auto"/>
            </w:tcBorders>
            <w:shd w:val="clear" w:color="auto" w:fill="auto"/>
            <w:noWrap/>
            <w:vAlign w:val="center"/>
            <w:hideMark/>
          </w:tcPr>
          <w:p w14:paraId="4C73CBB4" w14:textId="0894B7AF"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0,02 %</w:t>
            </w:r>
          </w:p>
        </w:tc>
      </w:tr>
      <w:tr w:rsidR="000F761E" w:rsidRPr="000F761E" w14:paraId="306F65E8"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14:paraId="58C2E8F6" w14:textId="107C725E" w:rsidR="000F761E" w:rsidRPr="000F761E" w:rsidRDefault="000F761E" w:rsidP="000F761E">
            <w:pPr>
              <w:spacing w:after="0" w:line="240" w:lineRule="auto"/>
              <w:rPr>
                <w:rFonts w:ascii="Arial" w:eastAsia="Times New Roman" w:hAnsi="Arial" w:cs="Arial"/>
                <w:color w:val="000000" w:themeColor="text1"/>
                <w:sz w:val="18"/>
                <w:szCs w:val="18"/>
                <w:lang w:eastAsia="sl-SI"/>
              </w:rPr>
            </w:pPr>
            <w:bookmarkStart w:id="52" w:name="_Hlk106096411"/>
            <w:r w:rsidRPr="000F761E">
              <w:rPr>
                <w:rFonts w:ascii="Arial" w:eastAsia="Times New Roman" w:hAnsi="Arial" w:cs="Arial"/>
                <w:color w:val="000000" w:themeColor="text1"/>
                <w:sz w:val="18"/>
                <w:szCs w:val="18"/>
                <w:lang w:eastAsia="sl-SI"/>
              </w:rPr>
              <w:t>Drugi naročniki (osebe javnega prava, javna podjetja, subjekt s posebnimi infrastrukturnimi pravicami)</w:t>
            </w:r>
            <w:bookmarkEnd w:id="52"/>
          </w:p>
        </w:tc>
        <w:tc>
          <w:tcPr>
            <w:tcW w:w="835" w:type="dxa"/>
            <w:tcBorders>
              <w:top w:val="nil"/>
              <w:left w:val="nil"/>
              <w:bottom w:val="single" w:sz="4" w:space="0" w:color="auto"/>
              <w:right w:val="single" w:sz="4" w:space="0" w:color="auto"/>
            </w:tcBorders>
            <w:shd w:val="clear" w:color="auto" w:fill="auto"/>
            <w:vAlign w:val="center"/>
            <w:hideMark/>
          </w:tcPr>
          <w:p w14:paraId="487004AD" w14:textId="225EE041"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758</w:t>
            </w:r>
          </w:p>
        </w:tc>
        <w:tc>
          <w:tcPr>
            <w:tcW w:w="1422" w:type="dxa"/>
            <w:tcBorders>
              <w:top w:val="nil"/>
              <w:left w:val="nil"/>
              <w:bottom w:val="single" w:sz="4" w:space="0" w:color="auto"/>
              <w:right w:val="single" w:sz="4" w:space="0" w:color="auto"/>
            </w:tcBorders>
            <w:shd w:val="clear" w:color="auto" w:fill="auto"/>
            <w:vAlign w:val="center"/>
            <w:hideMark/>
          </w:tcPr>
          <w:p w14:paraId="0C703C7D" w14:textId="7011A30F"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471.978.758</w:t>
            </w:r>
          </w:p>
        </w:tc>
        <w:tc>
          <w:tcPr>
            <w:tcW w:w="992" w:type="dxa"/>
            <w:tcBorders>
              <w:top w:val="nil"/>
              <w:left w:val="nil"/>
              <w:bottom w:val="single" w:sz="4" w:space="0" w:color="auto"/>
              <w:right w:val="single" w:sz="4" w:space="0" w:color="auto"/>
            </w:tcBorders>
            <w:shd w:val="clear" w:color="auto" w:fill="auto"/>
            <w:noWrap/>
            <w:vAlign w:val="center"/>
            <w:hideMark/>
          </w:tcPr>
          <w:p w14:paraId="48CD4081" w14:textId="4E6B0179"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31,69 %</w:t>
            </w:r>
          </w:p>
        </w:tc>
        <w:tc>
          <w:tcPr>
            <w:tcW w:w="1701" w:type="dxa"/>
            <w:tcBorders>
              <w:top w:val="nil"/>
              <w:left w:val="nil"/>
              <w:bottom w:val="single" w:sz="4" w:space="0" w:color="auto"/>
              <w:right w:val="single" w:sz="4" w:space="0" w:color="auto"/>
            </w:tcBorders>
            <w:shd w:val="clear" w:color="auto" w:fill="auto"/>
            <w:noWrap/>
            <w:vAlign w:val="center"/>
            <w:hideMark/>
          </w:tcPr>
          <w:p w14:paraId="05307E71" w14:textId="624C5ACD"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28,09 %</w:t>
            </w:r>
          </w:p>
        </w:tc>
      </w:tr>
      <w:tr w:rsidR="000F761E" w:rsidRPr="000F761E" w14:paraId="79EEA805"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auto"/>
            <w:vAlign w:val="center"/>
            <w:hideMark/>
          </w:tcPr>
          <w:p w14:paraId="3CA5393E" w14:textId="0973017E" w:rsidR="000F761E" w:rsidRPr="000F761E" w:rsidRDefault="000F761E" w:rsidP="000F761E">
            <w:pPr>
              <w:spacing w:after="0" w:line="240" w:lineRule="auto"/>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Drugi subjekti</w:t>
            </w:r>
          </w:p>
        </w:tc>
        <w:tc>
          <w:tcPr>
            <w:tcW w:w="835" w:type="dxa"/>
            <w:tcBorders>
              <w:top w:val="nil"/>
              <w:left w:val="nil"/>
              <w:bottom w:val="single" w:sz="4" w:space="0" w:color="auto"/>
              <w:right w:val="single" w:sz="4" w:space="0" w:color="auto"/>
            </w:tcBorders>
            <w:shd w:val="clear" w:color="auto" w:fill="auto"/>
            <w:vAlign w:val="center"/>
            <w:hideMark/>
          </w:tcPr>
          <w:p w14:paraId="2991CFB3" w14:textId="796288A2"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24</w:t>
            </w:r>
          </w:p>
        </w:tc>
        <w:tc>
          <w:tcPr>
            <w:tcW w:w="1422" w:type="dxa"/>
            <w:tcBorders>
              <w:top w:val="nil"/>
              <w:left w:val="nil"/>
              <w:bottom w:val="single" w:sz="4" w:space="0" w:color="auto"/>
              <w:right w:val="single" w:sz="4" w:space="0" w:color="auto"/>
            </w:tcBorders>
            <w:shd w:val="clear" w:color="auto" w:fill="auto"/>
            <w:vAlign w:val="center"/>
            <w:hideMark/>
          </w:tcPr>
          <w:p w14:paraId="59D9C724" w14:textId="017BC55B"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209.524.302</w:t>
            </w:r>
          </w:p>
        </w:tc>
        <w:tc>
          <w:tcPr>
            <w:tcW w:w="992" w:type="dxa"/>
            <w:tcBorders>
              <w:top w:val="nil"/>
              <w:left w:val="nil"/>
              <w:bottom w:val="single" w:sz="4" w:space="0" w:color="auto"/>
              <w:right w:val="single" w:sz="4" w:space="0" w:color="auto"/>
            </w:tcBorders>
            <w:shd w:val="clear" w:color="auto" w:fill="auto"/>
            <w:noWrap/>
            <w:vAlign w:val="center"/>
            <w:hideMark/>
          </w:tcPr>
          <w:p w14:paraId="12B98400" w14:textId="276D1B2A"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1,00 %</w:t>
            </w:r>
          </w:p>
        </w:tc>
        <w:tc>
          <w:tcPr>
            <w:tcW w:w="1701" w:type="dxa"/>
            <w:tcBorders>
              <w:top w:val="nil"/>
              <w:left w:val="nil"/>
              <w:bottom w:val="single" w:sz="4" w:space="0" w:color="auto"/>
              <w:right w:val="single" w:sz="4" w:space="0" w:color="auto"/>
            </w:tcBorders>
            <w:shd w:val="clear" w:color="auto" w:fill="auto"/>
            <w:noWrap/>
            <w:vAlign w:val="center"/>
            <w:hideMark/>
          </w:tcPr>
          <w:p w14:paraId="7209B842" w14:textId="6A08EF35" w:rsidR="000F761E" w:rsidRPr="000F761E" w:rsidRDefault="000F761E" w:rsidP="000F761E">
            <w:pPr>
              <w:spacing w:after="0" w:line="240" w:lineRule="auto"/>
              <w:jc w:val="right"/>
              <w:rPr>
                <w:rFonts w:ascii="Arial" w:eastAsia="Times New Roman" w:hAnsi="Arial" w:cs="Arial"/>
                <w:color w:val="000000" w:themeColor="text1"/>
                <w:sz w:val="18"/>
                <w:szCs w:val="18"/>
                <w:lang w:eastAsia="sl-SI"/>
              </w:rPr>
            </w:pPr>
            <w:r w:rsidRPr="000F761E">
              <w:rPr>
                <w:rFonts w:ascii="Arial" w:eastAsia="Times New Roman" w:hAnsi="Arial" w:cs="Arial"/>
                <w:color w:val="000000" w:themeColor="text1"/>
                <w:sz w:val="18"/>
                <w:szCs w:val="18"/>
                <w:lang w:eastAsia="sl-SI"/>
              </w:rPr>
              <w:t>12,47 %</w:t>
            </w:r>
          </w:p>
        </w:tc>
      </w:tr>
      <w:tr w:rsidR="000F761E" w:rsidRPr="000F761E" w14:paraId="3B8E3C5F" w14:textId="77777777" w:rsidTr="000F761E">
        <w:trPr>
          <w:trHeight w:val="255"/>
          <w:jc w:val="center"/>
        </w:trPr>
        <w:tc>
          <w:tcPr>
            <w:tcW w:w="383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B0C552" w14:textId="77777777" w:rsidR="000F761E" w:rsidRPr="000F761E" w:rsidRDefault="000F761E" w:rsidP="000F761E">
            <w:pPr>
              <w:spacing w:after="0" w:line="240" w:lineRule="auto"/>
              <w:rPr>
                <w:rFonts w:ascii="Arial" w:eastAsia="Times New Roman" w:hAnsi="Arial" w:cs="Arial"/>
                <w:b/>
                <w:bCs/>
                <w:color w:val="000000" w:themeColor="text1"/>
                <w:sz w:val="18"/>
                <w:szCs w:val="18"/>
                <w:lang w:eastAsia="sl-SI"/>
              </w:rPr>
            </w:pPr>
            <w:r w:rsidRPr="000F761E">
              <w:rPr>
                <w:rFonts w:ascii="Arial" w:eastAsia="Times New Roman" w:hAnsi="Arial" w:cs="Arial"/>
                <w:b/>
                <w:bCs/>
                <w:color w:val="000000" w:themeColor="text1"/>
                <w:sz w:val="18"/>
                <w:szCs w:val="18"/>
                <w:lang w:eastAsia="sl-SI"/>
              </w:rPr>
              <w:t>Skupaj</w:t>
            </w:r>
          </w:p>
        </w:tc>
        <w:tc>
          <w:tcPr>
            <w:tcW w:w="835" w:type="dxa"/>
            <w:tcBorders>
              <w:top w:val="nil"/>
              <w:left w:val="nil"/>
              <w:bottom w:val="single" w:sz="4" w:space="0" w:color="auto"/>
              <w:right w:val="single" w:sz="4" w:space="0" w:color="auto"/>
            </w:tcBorders>
            <w:shd w:val="clear" w:color="auto" w:fill="F2F2F2" w:themeFill="background1" w:themeFillShade="F2"/>
            <w:vAlign w:val="center"/>
          </w:tcPr>
          <w:p w14:paraId="3F8EBE38" w14:textId="58D84096" w:rsidR="000F761E" w:rsidRPr="000F761E" w:rsidRDefault="000F761E" w:rsidP="000F761E">
            <w:pPr>
              <w:spacing w:after="0" w:line="240" w:lineRule="auto"/>
              <w:jc w:val="right"/>
              <w:rPr>
                <w:rFonts w:ascii="Arial" w:eastAsia="Times New Roman" w:hAnsi="Arial" w:cs="Arial"/>
                <w:b/>
                <w:bCs/>
                <w:color w:val="000000" w:themeColor="text1"/>
                <w:sz w:val="18"/>
                <w:szCs w:val="18"/>
                <w:lang w:eastAsia="sl-SI"/>
              </w:rPr>
            </w:pPr>
            <w:r w:rsidRPr="000F761E">
              <w:rPr>
                <w:rFonts w:ascii="Arial" w:eastAsia="Times New Roman" w:hAnsi="Arial" w:cs="Arial"/>
                <w:b/>
                <w:bCs/>
                <w:color w:val="000000" w:themeColor="text1"/>
                <w:sz w:val="18"/>
                <w:szCs w:val="18"/>
                <w:lang w:eastAsia="sl-SI"/>
              </w:rPr>
              <w:t>2.392</w:t>
            </w:r>
          </w:p>
        </w:tc>
        <w:tc>
          <w:tcPr>
            <w:tcW w:w="1422" w:type="dxa"/>
            <w:tcBorders>
              <w:top w:val="nil"/>
              <w:left w:val="nil"/>
              <w:bottom w:val="single" w:sz="4" w:space="0" w:color="auto"/>
              <w:right w:val="single" w:sz="4" w:space="0" w:color="auto"/>
            </w:tcBorders>
            <w:shd w:val="clear" w:color="auto" w:fill="F2F2F2" w:themeFill="background1" w:themeFillShade="F2"/>
            <w:vAlign w:val="center"/>
          </w:tcPr>
          <w:p w14:paraId="6224459B" w14:textId="7B329A2C" w:rsidR="000F761E" w:rsidRPr="000F761E" w:rsidRDefault="000F761E" w:rsidP="000F761E">
            <w:pPr>
              <w:spacing w:after="0" w:line="240" w:lineRule="auto"/>
              <w:jc w:val="right"/>
              <w:rPr>
                <w:rFonts w:ascii="Arial" w:eastAsia="Times New Roman" w:hAnsi="Arial" w:cs="Arial"/>
                <w:b/>
                <w:bCs/>
                <w:color w:val="000000" w:themeColor="text1"/>
                <w:sz w:val="18"/>
                <w:szCs w:val="18"/>
                <w:lang w:eastAsia="sl-SI"/>
              </w:rPr>
            </w:pPr>
            <w:r w:rsidRPr="000F761E">
              <w:rPr>
                <w:rFonts w:ascii="Arial" w:eastAsia="Times New Roman" w:hAnsi="Arial" w:cs="Arial"/>
                <w:b/>
                <w:bCs/>
                <w:color w:val="000000" w:themeColor="text1"/>
                <w:sz w:val="18"/>
                <w:szCs w:val="18"/>
                <w:lang w:eastAsia="sl-SI"/>
              </w:rPr>
              <w:t>1.680.281.948</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14:paraId="248F2E4A" w14:textId="3555EC70" w:rsidR="000F761E" w:rsidRPr="000F761E" w:rsidRDefault="000F761E" w:rsidP="000F761E">
            <w:pPr>
              <w:spacing w:after="0" w:line="240" w:lineRule="auto"/>
              <w:jc w:val="right"/>
              <w:rPr>
                <w:rFonts w:ascii="Arial" w:eastAsia="Times New Roman" w:hAnsi="Arial" w:cs="Arial"/>
                <w:b/>
                <w:bCs/>
                <w:color w:val="000000" w:themeColor="text1"/>
                <w:sz w:val="18"/>
                <w:szCs w:val="18"/>
                <w:lang w:eastAsia="sl-SI"/>
              </w:rPr>
            </w:pPr>
            <w:r w:rsidRPr="000F761E">
              <w:rPr>
                <w:rFonts w:ascii="Arial" w:eastAsia="Times New Roman" w:hAnsi="Arial" w:cs="Arial"/>
                <w:b/>
                <w:bCs/>
                <w:color w:val="000000" w:themeColor="text1"/>
                <w:sz w:val="18"/>
                <w:szCs w:val="18"/>
                <w:lang w:eastAsia="sl-SI"/>
              </w:rPr>
              <w:t>100,00 %</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23EFA4B3" w14:textId="3F5B2A70" w:rsidR="000F761E" w:rsidRPr="000F761E" w:rsidRDefault="000F761E" w:rsidP="000F761E">
            <w:pPr>
              <w:spacing w:after="0" w:line="240" w:lineRule="auto"/>
              <w:jc w:val="right"/>
              <w:rPr>
                <w:rFonts w:ascii="Arial" w:eastAsia="Times New Roman" w:hAnsi="Arial" w:cs="Arial"/>
                <w:b/>
                <w:bCs/>
                <w:color w:val="000000" w:themeColor="text1"/>
                <w:sz w:val="18"/>
                <w:szCs w:val="18"/>
                <w:lang w:eastAsia="sl-SI"/>
              </w:rPr>
            </w:pPr>
            <w:r w:rsidRPr="000F761E">
              <w:rPr>
                <w:rFonts w:ascii="Arial" w:eastAsia="Times New Roman" w:hAnsi="Arial" w:cs="Arial"/>
                <w:b/>
                <w:bCs/>
                <w:color w:val="000000" w:themeColor="text1"/>
                <w:sz w:val="18"/>
                <w:szCs w:val="18"/>
                <w:lang w:eastAsia="sl-SI"/>
              </w:rPr>
              <w:t>100,00 %</w:t>
            </w:r>
          </w:p>
        </w:tc>
      </w:tr>
    </w:tbl>
    <w:p w14:paraId="7DC8C67E" w14:textId="77777777" w:rsidR="00AA19C5" w:rsidRPr="000F761E" w:rsidRDefault="00AA19C5" w:rsidP="00376E7F">
      <w:pPr>
        <w:spacing w:after="0" w:line="240" w:lineRule="auto"/>
        <w:jc w:val="center"/>
        <w:rPr>
          <w:rFonts w:ascii="Arial" w:hAnsi="Arial" w:cs="Arial"/>
          <w:color w:val="000000" w:themeColor="text1"/>
          <w:sz w:val="18"/>
        </w:rPr>
      </w:pPr>
    </w:p>
    <w:p w14:paraId="2720FA8A" w14:textId="02864BAB" w:rsidR="00F83DD4" w:rsidRPr="000F761E" w:rsidRDefault="00F83DD4" w:rsidP="00701C10">
      <w:pPr>
        <w:spacing w:after="240" w:line="240" w:lineRule="auto"/>
        <w:jc w:val="center"/>
        <w:rPr>
          <w:rFonts w:ascii="Arial" w:hAnsi="Arial" w:cs="Arial"/>
          <w:color w:val="000000" w:themeColor="text1"/>
          <w:sz w:val="18"/>
        </w:rPr>
      </w:pPr>
      <w:r w:rsidRPr="000F761E">
        <w:rPr>
          <w:rFonts w:ascii="Arial" w:hAnsi="Arial" w:cs="Arial"/>
          <w:color w:val="000000" w:themeColor="text1"/>
          <w:sz w:val="18"/>
        </w:rPr>
        <w:t>Vir: Statistični podatki o javni</w:t>
      </w:r>
      <w:r w:rsidR="00F20CC1" w:rsidRPr="000F761E">
        <w:rPr>
          <w:rFonts w:ascii="Arial" w:hAnsi="Arial" w:cs="Arial"/>
          <w:color w:val="000000" w:themeColor="text1"/>
          <w:sz w:val="18"/>
        </w:rPr>
        <w:t>h naročilih, oddanih v letu 20</w:t>
      </w:r>
      <w:r w:rsidR="00376E7F" w:rsidRPr="000F761E">
        <w:rPr>
          <w:rFonts w:ascii="Arial" w:hAnsi="Arial" w:cs="Arial"/>
          <w:color w:val="000000" w:themeColor="text1"/>
          <w:sz w:val="18"/>
        </w:rPr>
        <w:t>2</w:t>
      </w:r>
      <w:r w:rsidR="00E23432" w:rsidRPr="000F761E">
        <w:rPr>
          <w:rFonts w:ascii="Arial" w:hAnsi="Arial" w:cs="Arial"/>
          <w:color w:val="000000" w:themeColor="text1"/>
          <w:sz w:val="18"/>
        </w:rPr>
        <w:t>3</w:t>
      </w:r>
      <w:r w:rsidR="007B25B7" w:rsidRPr="000F761E">
        <w:rPr>
          <w:rFonts w:ascii="Arial" w:hAnsi="Arial" w:cs="Arial"/>
          <w:color w:val="000000" w:themeColor="text1"/>
          <w:sz w:val="18"/>
        </w:rPr>
        <w:t>.</w:t>
      </w:r>
    </w:p>
    <w:p w14:paraId="6E5F5A21" w14:textId="36229E3A" w:rsidR="007F3DED" w:rsidRPr="00A72DCD" w:rsidRDefault="007F3DED" w:rsidP="007F3DED">
      <w:pPr>
        <w:spacing w:line="360" w:lineRule="auto"/>
        <w:jc w:val="both"/>
        <w:rPr>
          <w:rFonts w:ascii="Arial" w:hAnsi="Arial" w:cs="Arial"/>
          <w:color w:val="000000" w:themeColor="text1"/>
          <w:sz w:val="20"/>
          <w:szCs w:val="20"/>
        </w:rPr>
      </w:pPr>
      <w:r w:rsidRPr="000F761E">
        <w:rPr>
          <w:rFonts w:ascii="Arial" w:hAnsi="Arial" w:cs="Arial"/>
          <w:color w:val="000000" w:themeColor="text1"/>
          <w:sz w:val="20"/>
          <w:szCs w:val="20"/>
        </w:rPr>
        <w:t xml:space="preserve">Iz statističnih podatkov </w:t>
      </w:r>
      <w:r w:rsidR="00164E3D" w:rsidRPr="000F761E">
        <w:rPr>
          <w:rFonts w:ascii="Arial" w:hAnsi="Arial" w:cs="Arial"/>
          <w:color w:val="000000" w:themeColor="text1"/>
          <w:sz w:val="20"/>
          <w:szCs w:val="20"/>
        </w:rPr>
        <w:t>izhaja</w:t>
      </w:r>
      <w:r w:rsidRPr="000F761E">
        <w:rPr>
          <w:rFonts w:ascii="Arial" w:hAnsi="Arial" w:cs="Arial"/>
          <w:color w:val="000000" w:themeColor="text1"/>
          <w:sz w:val="20"/>
          <w:szCs w:val="20"/>
        </w:rPr>
        <w:t xml:space="preserve">, da so naročniki socialne vidike upoštevali pri </w:t>
      </w:r>
      <w:r w:rsidR="00E07D43" w:rsidRPr="000F761E">
        <w:rPr>
          <w:rFonts w:ascii="Arial" w:hAnsi="Arial" w:cs="Arial"/>
          <w:color w:val="000000" w:themeColor="text1"/>
          <w:sz w:val="20"/>
          <w:szCs w:val="20"/>
        </w:rPr>
        <w:t>20</w:t>
      </w:r>
      <w:r w:rsidR="000F761E" w:rsidRPr="000F761E">
        <w:rPr>
          <w:rFonts w:ascii="Arial" w:hAnsi="Arial" w:cs="Arial"/>
          <w:color w:val="000000" w:themeColor="text1"/>
          <w:sz w:val="20"/>
          <w:szCs w:val="20"/>
        </w:rPr>
        <w:t>19</w:t>
      </w:r>
      <w:r w:rsidRPr="000F761E">
        <w:rPr>
          <w:rFonts w:ascii="Arial" w:hAnsi="Arial" w:cs="Arial"/>
          <w:color w:val="000000" w:themeColor="text1"/>
          <w:sz w:val="20"/>
          <w:szCs w:val="20"/>
        </w:rPr>
        <w:t xml:space="preserve"> naročilih na splošnem področju v vrednosti </w:t>
      </w:r>
      <w:r w:rsidR="000F761E" w:rsidRPr="000F761E">
        <w:rPr>
          <w:rFonts w:ascii="Arial" w:hAnsi="Arial" w:cs="Arial"/>
          <w:color w:val="000000" w:themeColor="text1"/>
          <w:sz w:val="20"/>
          <w:szCs w:val="20"/>
        </w:rPr>
        <w:t xml:space="preserve">1.093.078.006 </w:t>
      </w:r>
      <w:r w:rsidR="000B67CB" w:rsidRPr="000F761E">
        <w:rPr>
          <w:rFonts w:ascii="Arial" w:hAnsi="Arial" w:cs="Arial"/>
          <w:color w:val="000000" w:themeColor="text1"/>
          <w:sz w:val="20"/>
          <w:szCs w:val="20"/>
        </w:rPr>
        <w:t xml:space="preserve">evrov in </w:t>
      </w:r>
      <w:r w:rsidR="00301627" w:rsidRPr="000F761E">
        <w:rPr>
          <w:rFonts w:ascii="Arial" w:hAnsi="Arial" w:cs="Arial"/>
          <w:color w:val="000000" w:themeColor="text1"/>
          <w:sz w:val="20"/>
          <w:szCs w:val="20"/>
        </w:rPr>
        <w:t>pri</w:t>
      </w:r>
      <w:r w:rsidR="000B67CB" w:rsidRPr="000F761E">
        <w:rPr>
          <w:rFonts w:ascii="Arial" w:hAnsi="Arial" w:cs="Arial"/>
          <w:color w:val="000000" w:themeColor="text1"/>
          <w:sz w:val="20"/>
          <w:szCs w:val="20"/>
        </w:rPr>
        <w:t xml:space="preserve"> </w:t>
      </w:r>
      <w:r w:rsidR="00E07D43" w:rsidRPr="000F761E">
        <w:rPr>
          <w:rFonts w:ascii="Arial" w:hAnsi="Arial" w:cs="Arial"/>
          <w:color w:val="000000" w:themeColor="text1"/>
          <w:sz w:val="20"/>
          <w:szCs w:val="20"/>
        </w:rPr>
        <w:t>373</w:t>
      </w:r>
      <w:r w:rsidRPr="000F761E">
        <w:rPr>
          <w:rFonts w:ascii="Arial" w:hAnsi="Arial" w:cs="Arial"/>
          <w:color w:val="000000" w:themeColor="text1"/>
          <w:sz w:val="20"/>
          <w:szCs w:val="20"/>
        </w:rPr>
        <w:t xml:space="preserve"> naročilih na infrastrukturnem področju v vrednosti </w:t>
      </w:r>
      <w:r w:rsidR="00E07D43" w:rsidRPr="00A72DCD">
        <w:rPr>
          <w:rFonts w:ascii="Arial" w:hAnsi="Arial" w:cs="Arial"/>
          <w:color w:val="000000" w:themeColor="text1"/>
          <w:sz w:val="20"/>
          <w:szCs w:val="20"/>
        </w:rPr>
        <w:t xml:space="preserve">587.203.942 </w:t>
      </w:r>
      <w:r w:rsidRPr="00A72DCD">
        <w:rPr>
          <w:rFonts w:ascii="Arial" w:hAnsi="Arial" w:cs="Arial"/>
          <w:color w:val="000000" w:themeColor="text1"/>
          <w:sz w:val="20"/>
          <w:szCs w:val="20"/>
        </w:rPr>
        <w:t>evrov.</w:t>
      </w:r>
    </w:p>
    <w:p w14:paraId="027F9514" w14:textId="4FB1089D" w:rsidR="00F83DD4" w:rsidRPr="00A72DCD" w:rsidRDefault="00F83DD4" w:rsidP="00701C10">
      <w:pPr>
        <w:spacing w:before="120" w:after="120" w:line="240" w:lineRule="auto"/>
        <w:jc w:val="both"/>
        <w:rPr>
          <w:rFonts w:ascii="Arial" w:hAnsi="Arial" w:cs="Arial"/>
          <w:color w:val="000000" w:themeColor="text1"/>
          <w:sz w:val="20"/>
        </w:rPr>
      </w:pPr>
      <w:r w:rsidRPr="00A72DCD">
        <w:rPr>
          <w:rFonts w:ascii="Arial" w:hAnsi="Arial" w:cs="Arial"/>
          <w:color w:val="000000" w:themeColor="text1"/>
          <w:sz w:val="20"/>
        </w:rPr>
        <w:t xml:space="preserve">Preglednica </w:t>
      </w:r>
      <w:r w:rsidR="00512F52" w:rsidRPr="00A72DCD">
        <w:rPr>
          <w:rFonts w:ascii="Arial" w:hAnsi="Arial" w:cs="Arial"/>
          <w:color w:val="000000" w:themeColor="text1"/>
          <w:sz w:val="20"/>
        </w:rPr>
        <w:t>5</w:t>
      </w:r>
      <w:r w:rsidR="00EA747F" w:rsidRPr="00A72DCD">
        <w:rPr>
          <w:rFonts w:ascii="Arial" w:hAnsi="Arial" w:cs="Arial"/>
          <w:color w:val="000000" w:themeColor="text1"/>
          <w:sz w:val="20"/>
        </w:rPr>
        <w:t>2</w:t>
      </w:r>
      <w:r w:rsidRPr="00A72DCD">
        <w:rPr>
          <w:rFonts w:ascii="Arial" w:hAnsi="Arial" w:cs="Arial"/>
          <w:color w:val="000000" w:themeColor="text1"/>
          <w:sz w:val="20"/>
        </w:rPr>
        <w:t>: Število in vrednosti ter deleži naročil z upoštevanimi socialnimi vidiki glede na področje</w:t>
      </w:r>
      <w:r w:rsidR="00807FCE" w:rsidRPr="00A72DCD">
        <w:rPr>
          <w:rFonts w:ascii="Arial" w:hAnsi="Arial" w:cs="Arial"/>
          <w:color w:val="000000" w:themeColor="text1"/>
          <w:sz w:val="20"/>
        </w:rPr>
        <w:t xml:space="preserve"> naročanja</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0"/>
        <w:gridCol w:w="960"/>
        <w:gridCol w:w="1780"/>
        <w:gridCol w:w="1380"/>
        <w:gridCol w:w="1380"/>
      </w:tblGrid>
      <w:tr w:rsidR="006D1A48" w:rsidRPr="00A72DCD" w14:paraId="11E42788" w14:textId="77777777" w:rsidTr="00B71903">
        <w:trPr>
          <w:trHeight w:val="255"/>
          <w:jc w:val="center"/>
        </w:trPr>
        <w:tc>
          <w:tcPr>
            <w:tcW w:w="2300" w:type="dxa"/>
            <w:shd w:val="clear" w:color="auto" w:fill="F2F2F2" w:themeFill="background1" w:themeFillShade="F2"/>
            <w:vAlign w:val="center"/>
            <w:hideMark/>
          </w:tcPr>
          <w:p w14:paraId="6400F2A1" w14:textId="77777777" w:rsidR="006B05B1" w:rsidRPr="00A72DCD" w:rsidRDefault="006B05B1" w:rsidP="006B05B1">
            <w:pPr>
              <w:spacing w:after="0" w:line="240" w:lineRule="auto"/>
              <w:jc w:val="center"/>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Področje</w:t>
            </w:r>
          </w:p>
        </w:tc>
        <w:tc>
          <w:tcPr>
            <w:tcW w:w="960" w:type="dxa"/>
            <w:shd w:val="clear" w:color="auto" w:fill="F2F2F2" w:themeFill="background1" w:themeFillShade="F2"/>
            <w:vAlign w:val="center"/>
            <w:hideMark/>
          </w:tcPr>
          <w:p w14:paraId="13690513" w14:textId="77777777" w:rsidR="006B05B1" w:rsidRPr="00A72DCD" w:rsidRDefault="006B05B1" w:rsidP="006B05B1">
            <w:pPr>
              <w:spacing w:after="0" w:line="240" w:lineRule="auto"/>
              <w:jc w:val="center"/>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 xml:space="preserve">Št. naročil </w:t>
            </w:r>
          </w:p>
        </w:tc>
        <w:tc>
          <w:tcPr>
            <w:tcW w:w="1780" w:type="dxa"/>
            <w:shd w:val="clear" w:color="auto" w:fill="F2F2F2" w:themeFill="background1" w:themeFillShade="F2"/>
            <w:vAlign w:val="center"/>
            <w:hideMark/>
          </w:tcPr>
          <w:p w14:paraId="3EF463AC" w14:textId="4C0852F4" w:rsidR="006B05B1" w:rsidRPr="00A72DCD" w:rsidRDefault="006B05B1" w:rsidP="006B05B1">
            <w:pPr>
              <w:spacing w:after="0" w:line="240" w:lineRule="auto"/>
              <w:jc w:val="center"/>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Pogodbena vrednost</w:t>
            </w:r>
            <w:r w:rsidR="00055BE0" w:rsidRPr="00A72DCD">
              <w:rPr>
                <w:rFonts w:ascii="Arial" w:eastAsia="Times New Roman" w:hAnsi="Arial" w:cs="Arial"/>
                <w:color w:val="000000" w:themeColor="text1"/>
                <w:sz w:val="18"/>
                <w:szCs w:val="18"/>
                <w:lang w:eastAsia="sl-SI"/>
              </w:rPr>
              <w:t xml:space="preserve"> (v EUR)</w:t>
            </w:r>
          </w:p>
        </w:tc>
        <w:tc>
          <w:tcPr>
            <w:tcW w:w="1380" w:type="dxa"/>
            <w:shd w:val="clear" w:color="auto" w:fill="F2F2F2" w:themeFill="background1" w:themeFillShade="F2"/>
            <w:vAlign w:val="center"/>
            <w:hideMark/>
          </w:tcPr>
          <w:p w14:paraId="40A0990C" w14:textId="77777777" w:rsidR="006B05B1" w:rsidRPr="00A72DCD" w:rsidRDefault="006B05B1" w:rsidP="006B05B1">
            <w:pPr>
              <w:spacing w:after="0" w:line="240" w:lineRule="auto"/>
              <w:jc w:val="center"/>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Delež v št. naročil na istem področju</w:t>
            </w:r>
          </w:p>
        </w:tc>
        <w:tc>
          <w:tcPr>
            <w:tcW w:w="1380" w:type="dxa"/>
            <w:shd w:val="clear" w:color="auto" w:fill="F2F2F2" w:themeFill="background1" w:themeFillShade="F2"/>
            <w:vAlign w:val="center"/>
            <w:hideMark/>
          </w:tcPr>
          <w:p w14:paraId="6C1C39D9" w14:textId="77777777" w:rsidR="006B05B1" w:rsidRPr="00A72DCD" w:rsidRDefault="006B05B1" w:rsidP="006B05B1">
            <w:pPr>
              <w:spacing w:after="0" w:line="240" w:lineRule="auto"/>
              <w:jc w:val="center"/>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Delež v vrednosti na istem področju</w:t>
            </w:r>
          </w:p>
        </w:tc>
      </w:tr>
      <w:tr w:rsidR="00A72DCD" w:rsidRPr="00A72DCD" w14:paraId="60CAA745" w14:textId="77777777" w:rsidTr="00A72DCD">
        <w:trPr>
          <w:trHeight w:val="255"/>
          <w:jc w:val="center"/>
        </w:trPr>
        <w:tc>
          <w:tcPr>
            <w:tcW w:w="2300" w:type="dxa"/>
            <w:shd w:val="clear" w:color="auto" w:fill="auto"/>
            <w:vAlign w:val="center"/>
            <w:hideMark/>
          </w:tcPr>
          <w:p w14:paraId="78CD3CE2" w14:textId="77777777" w:rsidR="00A72DCD" w:rsidRPr="00A72DCD" w:rsidRDefault="00A72DCD" w:rsidP="00A72DCD">
            <w:pPr>
              <w:spacing w:after="0" w:line="240" w:lineRule="auto"/>
              <w:jc w:val="both"/>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Splošno</w:t>
            </w:r>
          </w:p>
        </w:tc>
        <w:tc>
          <w:tcPr>
            <w:tcW w:w="960" w:type="dxa"/>
            <w:shd w:val="clear" w:color="auto" w:fill="auto"/>
            <w:vAlign w:val="center"/>
            <w:hideMark/>
          </w:tcPr>
          <w:p w14:paraId="74A597F2" w14:textId="084835BF"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2.019</w:t>
            </w:r>
          </w:p>
        </w:tc>
        <w:tc>
          <w:tcPr>
            <w:tcW w:w="1780" w:type="dxa"/>
            <w:shd w:val="clear" w:color="auto" w:fill="auto"/>
            <w:vAlign w:val="center"/>
            <w:hideMark/>
          </w:tcPr>
          <w:p w14:paraId="0FC303D9" w14:textId="688BEBE9"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1.093.078.006</w:t>
            </w:r>
          </w:p>
        </w:tc>
        <w:tc>
          <w:tcPr>
            <w:tcW w:w="1380" w:type="dxa"/>
            <w:shd w:val="clear" w:color="auto" w:fill="auto"/>
            <w:vAlign w:val="center"/>
            <w:hideMark/>
          </w:tcPr>
          <w:p w14:paraId="477742B8" w14:textId="7BD44965"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14,24 %</w:t>
            </w:r>
          </w:p>
        </w:tc>
        <w:tc>
          <w:tcPr>
            <w:tcW w:w="1380" w:type="dxa"/>
            <w:shd w:val="clear" w:color="auto" w:fill="auto"/>
            <w:vAlign w:val="center"/>
            <w:hideMark/>
          </w:tcPr>
          <w:p w14:paraId="45477119" w14:textId="15DD37CE"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23,58 %</w:t>
            </w:r>
          </w:p>
        </w:tc>
      </w:tr>
      <w:tr w:rsidR="00A72DCD" w:rsidRPr="00A72DCD" w14:paraId="317E7F13" w14:textId="77777777" w:rsidTr="00A72DCD">
        <w:trPr>
          <w:trHeight w:val="255"/>
          <w:jc w:val="center"/>
        </w:trPr>
        <w:tc>
          <w:tcPr>
            <w:tcW w:w="2300" w:type="dxa"/>
            <w:shd w:val="clear" w:color="auto" w:fill="auto"/>
            <w:vAlign w:val="center"/>
            <w:hideMark/>
          </w:tcPr>
          <w:p w14:paraId="597FDE14" w14:textId="43B7C445" w:rsidR="00A72DCD" w:rsidRPr="00A72DCD" w:rsidRDefault="00A72DCD" w:rsidP="00A72DCD">
            <w:pPr>
              <w:spacing w:after="0" w:line="240" w:lineRule="auto"/>
              <w:jc w:val="both"/>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Infrastrukturno</w:t>
            </w:r>
          </w:p>
        </w:tc>
        <w:tc>
          <w:tcPr>
            <w:tcW w:w="960" w:type="dxa"/>
            <w:shd w:val="clear" w:color="auto" w:fill="auto"/>
            <w:vAlign w:val="center"/>
            <w:hideMark/>
          </w:tcPr>
          <w:p w14:paraId="19778135" w14:textId="1D67669E"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373</w:t>
            </w:r>
          </w:p>
        </w:tc>
        <w:tc>
          <w:tcPr>
            <w:tcW w:w="1780" w:type="dxa"/>
            <w:shd w:val="clear" w:color="auto" w:fill="auto"/>
            <w:vAlign w:val="center"/>
            <w:hideMark/>
          </w:tcPr>
          <w:p w14:paraId="18A47CDD" w14:textId="67A050D3"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587.203.942</w:t>
            </w:r>
          </w:p>
        </w:tc>
        <w:tc>
          <w:tcPr>
            <w:tcW w:w="1380" w:type="dxa"/>
            <w:shd w:val="clear" w:color="auto" w:fill="auto"/>
            <w:vAlign w:val="center"/>
            <w:hideMark/>
          </w:tcPr>
          <w:p w14:paraId="7956DD02" w14:textId="1A10A8F2"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14,79 %</w:t>
            </w:r>
          </w:p>
        </w:tc>
        <w:tc>
          <w:tcPr>
            <w:tcW w:w="1380" w:type="dxa"/>
            <w:shd w:val="clear" w:color="auto" w:fill="auto"/>
            <w:vAlign w:val="center"/>
            <w:hideMark/>
          </w:tcPr>
          <w:p w14:paraId="146994CF" w14:textId="62B29B06"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40,77 %</w:t>
            </w:r>
          </w:p>
        </w:tc>
      </w:tr>
      <w:tr w:rsidR="00A72DCD" w:rsidRPr="00A72DCD" w14:paraId="4AF2CA15" w14:textId="77777777" w:rsidTr="00A72DCD">
        <w:trPr>
          <w:trHeight w:val="255"/>
          <w:jc w:val="center"/>
        </w:trPr>
        <w:tc>
          <w:tcPr>
            <w:tcW w:w="2300" w:type="dxa"/>
            <w:shd w:val="clear" w:color="auto" w:fill="auto"/>
            <w:vAlign w:val="center"/>
            <w:hideMark/>
          </w:tcPr>
          <w:p w14:paraId="5CDDC661" w14:textId="7BF1614E" w:rsidR="00A72DCD" w:rsidRPr="00A72DCD" w:rsidRDefault="00A72DCD" w:rsidP="00A72DCD">
            <w:pPr>
              <w:spacing w:after="0" w:line="240" w:lineRule="auto"/>
              <w:jc w:val="both"/>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Obrambno</w:t>
            </w:r>
          </w:p>
        </w:tc>
        <w:tc>
          <w:tcPr>
            <w:tcW w:w="960" w:type="dxa"/>
            <w:shd w:val="clear" w:color="auto" w:fill="auto"/>
            <w:vAlign w:val="center"/>
            <w:hideMark/>
          </w:tcPr>
          <w:p w14:paraId="43106635" w14:textId="27E98C6D"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0</w:t>
            </w:r>
          </w:p>
        </w:tc>
        <w:tc>
          <w:tcPr>
            <w:tcW w:w="1780" w:type="dxa"/>
            <w:shd w:val="clear" w:color="auto" w:fill="auto"/>
            <w:vAlign w:val="center"/>
            <w:hideMark/>
          </w:tcPr>
          <w:p w14:paraId="672DD977" w14:textId="7E199420"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0</w:t>
            </w:r>
          </w:p>
        </w:tc>
        <w:tc>
          <w:tcPr>
            <w:tcW w:w="1380" w:type="dxa"/>
            <w:shd w:val="clear" w:color="auto" w:fill="auto"/>
            <w:vAlign w:val="center"/>
            <w:hideMark/>
          </w:tcPr>
          <w:p w14:paraId="64FC9EBE" w14:textId="0C2E0C22"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0,00 %</w:t>
            </w:r>
          </w:p>
        </w:tc>
        <w:tc>
          <w:tcPr>
            <w:tcW w:w="1380" w:type="dxa"/>
            <w:shd w:val="clear" w:color="auto" w:fill="auto"/>
            <w:vAlign w:val="center"/>
            <w:hideMark/>
          </w:tcPr>
          <w:p w14:paraId="4A62CA2C" w14:textId="78F21011" w:rsidR="00A72DCD" w:rsidRPr="00A72DCD" w:rsidRDefault="00A72DCD" w:rsidP="00A72DCD">
            <w:pPr>
              <w:spacing w:after="0" w:line="240" w:lineRule="auto"/>
              <w:jc w:val="right"/>
              <w:rPr>
                <w:rFonts w:ascii="Arial" w:eastAsia="Times New Roman" w:hAnsi="Arial" w:cs="Arial"/>
                <w:color w:val="000000" w:themeColor="text1"/>
                <w:sz w:val="18"/>
                <w:szCs w:val="18"/>
                <w:lang w:eastAsia="sl-SI"/>
              </w:rPr>
            </w:pPr>
            <w:r w:rsidRPr="00A72DCD">
              <w:rPr>
                <w:rFonts w:ascii="Arial" w:eastAsia="Times New Roman" w:hAnsi="Arial" w:cs="Arial"/>
                <w:color w:val="000000" w:themeColor="text1"/>
                <w:sz w:val="18"/>
                <w:szCs w:val="18"/>
                <w:lang w:eastAsia="sl-SI"/>
              </w:rPr>
              <w:t>0,00 %</w:t>
            </w:r>
          </w:p>
        </w:tc>
      </w:tr>
      <w:tr w:rsidR="00A72DCD" w:rsidRPr="00A72DCD" w14:paraId="79BA93C5" w14:textId="77777777" w:rsidTr="00A72DCD">
        <w:trPr>
          <w:trHeight w:val="255"/>
          <w:jc w:val="center"/>
        </w:trPr>
        <w:tc>
          <w:tcPr>
            <w:tcW w:w="2300" w:type="dxa"/>
            <w:shd w:val="clear" w:color="auto" w:fill="F2F2F2" w:themeFill="background1" w:themeFillShade="F2"/>
            <w:vAlign w:val="center"/>
            <w:hideMark/>
          </w:tcPr>
          <w:p w14:paraId="5F3F6823" w14:textId="77777777" w:rsidR="00A72DCD" w:rsidRPr="00A72DCD" w:rsidRDefault="00A72DCD" w:rsidP="00A72DCD">
            <w:pPr>
              <w:spacing w:after="0" w:line="240" w:lineRule="auto"/>
              <w:jc w:val="both"/>
              <w:rPr>
                <w:rFonts w:ascii="Arial" w:eastAsia="Times New Roman" w:hAnsi="Arial" w:cs="Arial"/>
                <w:b/>
                <w:bCs/>
                <w:color w:val="000000" w:themeColor="text1"/>
                <w:sz w:val="18"/>
                <w:szCs w:val="18"/>
                <w:lang w:eastAsia="sl-SI"/>
              </w:rPr>
            </w:pPr>
            <w:r w:rsidRPr="00A72DCD">
              <w:rPr>
                <w:rFonts w:ascii="Arial" w:eastAsia="Times New Roman" w:hAnsi="Arial" w:cs="Arial"/>
                <w:b/>
                <w:bCs/>
                <w:color w:val="000000" w:themeColor="text1"/>
                <w:sz w:val="18"/>
                <w:szCs w:val="18"/>
                <w:lang w:eastAsia="sl-SI"/>
              </w:rPr>
              <w:t>Skupaj</w:t>
            </w:r>
          </w:p>
        </w:tc>
        <w:tc>
          <w:tcPr>
            <w:tcW w:w="960" w:type="dxa"/>
            <w:shd w:val="clear" w:color="auto" w:fill="F2F2F2" w:themeFill="background1" w:themeFillShade="F2"/>
            <w:vAlign w:val="center"/>
          </w:tcPr>
          <w:p w14:paraId="1E8ADEC2" w14:textId="55264165" w:rsidR="00A72DCD" w:rsidRPr="00A72DCD" w:rsidRDefault="00A72DCD" w:rsidP="00A72DCD">
            <w:pPr>
              <w:spacing w:after="0" w:line="240" w:lineRule="auto"/>
              <w:jc w:val="right"/>
              <w:rPr>
                <w:rFonts w:ascii="Arial" w:eastAsia="Times New Roman" w:hAnsi="Arial" w:cs="Arial"/>
                <w:b/>
                <w:bCs/>
                <w:color w:val="000000" w:themeColor="text1"/>
                <w:sz w:val="18"/>
                <w:szCs w:val="18"/>
                <w:lang w:eastAsia="sl-SI"/>
              </w:rPr>
            </w:pPr>
            <w:r w:rsidRPr="00A72DCD">
              <w:rPr>
                <w:rFonts w:ascii="Arial" w:eastAsia="Times New Roman" w:hAnsi="Arial" w:cs="Arial"/>
                <w:b/>
                <w:bCs/>
                <w:color w:val="000000" w:themeColor="text1"/>
                <w:sz w:val="18"/>
                <w:szCs w:val="18"/>
                <w:lang w:eastAsia="sl-SI"/>
              </w:rPr>
              <w:t>2.392</w:t>
            </w:r>
          </w:p>
        </w:tc>
        <w:tc>
          <w:tcPr>
            <w:tcW w:w="1780" w:type="dxa"/>
            <w:shd w:val="clear" w:color="auto" w:fill="F2F2F2" w:themeFill="background1" w:themeFillShade="F2"/>
            <w:vAlign w:val="center"/>
          </w:tcPr>
          <w:p w14:paraId="50907C5C" w14:textId="37A7A1D9" w:rsidR="00A72DCD" w:rsidRPr="00A72DCD" w:rsidRDefault="00A72DCD" w:rsidP="00A72DCD">
            <w:pPr>
              <w:spacing w:after="0" w:line="240" w:lineRule="auto"/>
              <w:jc w:val="right"/>
              <w:rPr>
                <w:rFonts w:ascii="Arial" w:eastAsia="Times New Roman" w:hAnsi="Arial" w:cs="Arial"/>
                <w:b/>
                <w:bCs/>
                <w:color w:val="000000" w:themeColor="text1"/>
                <w:sz w:val="18"/>
                <w:szCs w:val="18"/>
                <w:lang w:eastAsia="sl-SI"/>
              </w:rPr>
            </w:pPr>
            <w:r w:rsidRPr="00A72DCD">
              <w:rPr>
                <w:rFonts w:ascii="Arial" w:eastAsia="Times New Roman" w:hAnsi="Arial" w:cs="Arial"/>
                <w:b/>
                <w:bCs/>
                <w:color w:val="000000" w:themeColor="text1"/>
                <w:sz w:val="18"/>
                <w:szCs w:val="18"/>
                <w:lang w:eastAsia="sl-SI"/>
              </w:rPr>
              <w:t>1.680.281.948</w:t>
            </w:r>
          </w:p>
        </w:tc>
        <w:tc>
          <w:tcPr>
            <w:tcW w:w="1380" w:type="dxa"/>
            <w:shd w:val="clear" w:color="auto" w:fill="F2F2F2" w:themeFill="background1" w:themeFillShade="F2"/>
            <w:vAlign w:val="center"/>
            <w:hideMark/>
          </w:tcPr>
          <w:p w14:paraId="51FFC4FD" w14:textId="5D941B03" w:rsidR="00A72DCD" w:rsidRPr="00A72DCD" w:rsidRDefault="00A72DCD" w:rsidP="00A72DCD">
            <w:pPr>
              <w:spacing w:after="0" w:line="240" w:lineRule="auto"/>
              <w:jc w:val="right"/>
              <w:rPr>
                <w:rFonts w:ascii="Arial" w:eastAsia="Times New Roman" w:hAnsi="Arial" w:cs="Arial"/>
                <w:b/>
                <w:bCs/>
                <w:color w:val="000000" w:themeColor="text1"/>
                <w:sz w:val="18"/>
                <w:szCs w:val="18"/>
                <w:lang w:eastAsia="sl-SI"/>
              </w:rPr>
            </w:pPr>
            <w:r w:rsidRPr="00A72DCD">
              <w:rPr>
                <w:rFonts w:ascii="Arial" w:eastAsia="Times New Roman" w:hAnsi="Arial" w:cs="Arial"/>
                <w:b/>
                <w:bCs/>
                <w:color w:val="000000" w:themeColor="text1"/>
                <w:sz w:val="18"/>
                <w:szCs w:val="18"/>
                <w:lang w:eastAsia="sl-SI"/>
              </w:rPr>
              <w:t>14,22 %</w:t>
            </w:r>
          </w:p>
        </w:tc>
        <w:tc>
          <w:tcPr>
            <w:tcW w:w="1380" w:type="dxa"/>
            <w:shd w:val="clear" w:color="auto" w:fill="F2F2F2" w:themeFill="background1" w:themeFillShade="F2"/>
            <w:vAlign w:val="center"/>
            <w:hideMark/>
          </w:tcPr>
          <w:p w14:paraId="5C350981" w14:textId="795F42AD" w:rsidR="00A72DCD" w:rsidRPr="00A72DCD" w:rsidRDefault="00A72DCD" w:rsidP="00A72DCD">
            <w:pPr>
              <w:spacing w:after="0" w:line="240" w:lineRule="auto"/>
              <w:jc w:val="right"/>
              <w:rPr>
                <w:rFonts w:ascii="Arial" w:eastAsia="Times New Roman" w:hAnsi="Arial" w:cs="Arial"/>
                <w:b/>
                <w:bCs/>
                <w:color w:val="000000" w:themeColor="text1"/>
                <w:sz w:val="18"/>
                <w:szCs w:val="18"/>
                <w:lang w:eastAsia="sl-SI"/>
              </w:rPr>
            </w:pPr>
            <w:r w:rsidRPr="00A72DCD">
              <w:rPr>
                <w:rFonts w:ascii="Arial" w:eastAsia="Times New Roman" w:hAnsi="Arial" w:cs="Arial"/>
                <w:b/>
                <w:bCs/>
                <w:color w:val="000000" w:themeColor="text1"/>
                <w:sz w:val="18"/>
                <w:szCs w:val="18"/>
                <w:lang w:eastAsia="sl-SI"/>
              </w:rPr>
              <w:t>26,96 %</w:t>
            </w:r>
          </w:p>
        </w:tc>
      </w:tr>
    </w:tbl>
    <w:p w14:paraId="507B282D" w14:textId="657F5B9C" w:rsidR="004A613D" w:rsidRPr="00A72DCD" w:rsidRDefault="004A613D" w:rsidP="004A613D">
      <w:pPr>
        <w:spacing w:after="0" w:line="240" w:lineRule="auto"/>
        <w:jc w:val="center"/>
        <w:rPr>
          <w:rFonts w:ascii="Arial" w:hAnsi="Arial" w:cs="Arial"/>
          <w:color w:val="000000" w:themeColor="text1"/>
          <w:sz w:val="18"/>
        </w:rPr>
      </w:pPr>
    </w:p>
    <w:p w14:paraId="75952EB9" w14:textId="08589F60" w:rsidR="00F83DD4" w:rsidRPr="00A72DCD" w:rsidRDefault="00F83DD4" w:rsidP="004A613D">
      <w:pPr>
        <w:spacing w:after="0" w:line="240" w:lineRule="auto"/>
        <w:jc w:val="center"/>
        <w:rPr>
          <w:rFonts w:ascii="Arial" w:hAnsi="Arial" w:cs="Arial"/>
          <w:color w:val="000000" w:themeColor="text1"/>
          <w:sz w:val="18"/>
        </w:rPr>
      </w:pPr>
      <w:r w:rsidRPr="00A72DCD">
        <w:rPr>
          <w:rFonts w:ascii="Arial" w:hAnsi="Arial" w:cs="Arial"/>
          <w:color w:val="000000" w:themeColor="text1"/>
          <w:sz w:val="18"/>
        </w:rPr>
        <w:t>Vir: Statistični podatki o javnih naročilih, oddanih v letu 20</w:t>
      </w:r>
      <w:r w:rsidR="00CF14F4" w:rsidRPr="00A72DCD">
        <w:rPr>
          <w:rFonts w:ascii="Arial" w:hAnsi="Arial" w:cs="Arial"/>
          <w:color w:val="000000" w:themeColor="text1"/>
          <w:sz w:val="18"/>
        </w:rPr>
        <w:t>2</w:t>
      </w:r>
      <w:r w:rsidR="00E07D43" w:rsidRPr="00A72DCD">
        <w:rPr>
          <w:rFonts w:ascii="Arial" w:hAnsi="Arial" w:cs="Arial"/>
          <w:color w:val="000000" w:themeColor="text1"/>
          <w:sz w:val="18"/>
        </w:rPr>
        <w:t>3</w:t>
      </w:r>
      <w:r w:rsidR="007B25B7" w:rsidRPr="00A72DCD">
        <w:rPr>
          <w:rFonts w:ascii="Arial" w:hAnsi="Arial" w:cs="Arial"/>
          <w:color w:val="000000" w:themeColor="text1"/>
          <w:sz w:val="18"/>
        </w:rPr>
        <w:t>.</w:t>
      </w:r>
    </w:p>
    <w:p w14:paraId="63AD0122" w14:textId="7C31795D" w:rsidR="004A613D" w:rsidRPr="00637ACF" w:rsidRDefault="004A613D" w:rsidP="00EF4A55">
      <w:pPr>
        <w:spacing w:after="120" w:line="240" w:lineRule="auto"/>
        <w:jc w:val="both"/>
        <w:rPr>
          <w:rFonts w:ascii="Arial" w:hAnsi="Arial" w:cs="Arial"/>
          <w:color w:val="000000" w:themeColor="text1"/>
          <w:sz w:val="20"/>
          <w:szCs w:val="20"/>
          <w:highlight w:val="yellow"/>
        </w:rPr>
      </w:pPr>
    </w:p>
    <w:p w14:paraId="7F39B48D" w14:textId="2A90012A" w:rsidR="00F513C9" w:rsidRPr="00B5751A" w:rsidRDefault="00F83DD4" w:rsidP="00F513C9">
      <w:pPr>
        <w:spacing w:line="360" w:lineRule="auto"/>
        <w:jc w:val="both"/>
        <w:rPr>
          <w:rFonts w:ascii="Arial" w:hAnsi="Arial" w:cs="Arial"/>
          <w:color w:val="000000" w:themeColor="text1"/>
          <w:sz w:val="20"/>
          <w:szCs w:val="20"/>
        </w:rPr>
      </w:pPr>
      <w:r w:rsidRPr="00B5751A">
        <w:rPr>
          <w:rFonts w:ascii="Arial" w:hAnsi="Arial" w:cs="Arial"/>
          <w:color w:val="000000" w:themeColor="text1"/>
          <w:sz w:val="20"/>
          <w:szCs w:val="20"/>
        </w:rPr>
        <w:t xml:space="preserve">Naročniki so socialne vidike upoštevali </w:t>
      </w:r>
      <w:r w:rsidR="004F0828" w:rsidRPr="00B5751A">
        <w:rPr>
          <w:rFonts w:ascii="Arial" w:hAnsi="Arial" w:cs="Arial"/>
          <w:color w:val="000000" w:themeColor="text1"/>
          <w:sz w:val="20"/>
          <w:szCs w:val="20"/>
        </w:rPr>
        <w:t>pri</w:t>
      </w:r>
      <w:r w:rsidR="00415E9F" w:rsidRPr="00B5751A">
        <w:rPr>
          <w:rFonts w:ascii="Arial" w:hAnsi="Arial" w:cs="Arial"/>
          <w:color w:val="000000" w:themeColor="text1"/>
          <w:sz w:val="20"/>
          <w:szCs w:val="20"/>
        </w:rPr>
        <w:t xml:space="preserve"> </w:t>
      </w:r>
      <w:r w:rsidR="00D4238E" w:rsidRPr="00B5751A">
        <w:rPr>
          <w:rFonts w:ascii="Arial" w:hAnsi="Arial" w:cs="Arial"/>
          <w:color w:val="000000" w:themeColor="text1"/>
          <w:sz w:val="20"/>
          <w:szCs w:val="20"/>
        </w:rPr>
        <w:t xml:space="preserve">razlogih za izključitev, </w:t>
      </w:r>
      <w:r w:rsidR="00AA14EC" w:rsidRPr="00B5751A">
        <w:rPr>
          <w:rFonts w:ascii="Arial" w:hAnsi="Arial" w:cs="Arial"/>
          <w:color w:val="000000" w:themeColor="text1"/>
          <w:sz w:val="20"/>
          <w:szCs w:val="20"/>
        </w:rPr>
        <w:t xml:space="preserve">pri </w:t>
      </w:r>
      <w:r w:rsidR="00B216DF" w:rsidRPr="00B5751A">
        <w:rPr>
          <w:rFonts w:ascii="Arial" w:hAnsi="Arial" w:cs="Arial"/>
          <w:color w:val="000000" w:themeColor="text1"/>
          <w:sz w:val="20"/>
          <w:szCs w:val="20"/>
        </w:rPr>
        <w:t xml:space="preserve">tehničnih </w:t>
      </w:r>
      <w:r w:rsidRPr="00B5751A">
        <w:rPr>
          <w:rFonts w:ascii="Arial" w:hAnsi="Arial" w:cs="Arial"/>
          <w:color w:val="000000" w:themeColor="text1"/>
          <w:sz w:val="20"/>
          <w:szCs w:val="20"/>
        </w:rPr>
        <w:t>specifikacijah, merilih, pogodbi in pogojih za priznanje sposobnosti oziroma na drug način. Pri posameznem naročilu so lahko socialne vidike upoštevali na en</w:t>
      </w:r>
      <w:r w:rsidR="00A558B6" w:rsidRPr="00B5751A">
        <w:rPr>
          <w:rFonts w:ascii="Arial" w:hAnsi="Arial" w:cs="Arial"/>
          <w:color w:val="000000" w:themeColor="text1"/>
          <w:sz w:val="20"/>
          <w:szCs w:val="20"/>
        </w:rPr>
        <w:t>ega</w:t>
      </w:r>
      <w:r w:rsidRPr="00B5751A">
        <w:rPr>
          <w:rFonts w:ascii="Arial" w:hAnsi="Arial" w:cs="Arial"/>
          <w:color w:val="000000" w:themeColor="text1"/>
          <w:sz w:val="20"/>
          <w:szCs w:val="20"/>
        </w:rPr>
        <w:t xml:space="preserve"> ali več načinov. Največkrat so jih upoštevali v </w:t>
      </w:r>
      <w:r w:rsidR="00254501" w:rsidRPr="00B5751A">
        <w:rPr>
          <w:rFonts w:ascii="Arial" w:eastAsia="Times New Roman" w:hAnsi="Arial" w:cs="Arial"/>
          <w:color w:val="000000" w:themeColor="text1"/>
          <w:sz w:val="20"/>
          <w:szCs w:val="20"/>
          <w:lang w:eastAsia="sl-SI"/>
        </w:rPr>
        <w:t>pogodbenih določilih iz obligacijskega razmerja</w:t>
      </w:r>
      <w:r w:rsidRPr="00B5751A">
        <w:rPr>
          <w:rFonts w:ascii="Arial" w:hAnsi="Arial" w:cs="Arial"/>
          <w:color w:val="000000" w:themeColor="text1"/>
          <w:sz w:val="20"/>
          <w:szCs w:val="20"/>
        </w:rPr>
        <w:t xml:space="preserve">, in sicer </w:t>
      </w:r>
      <w:r w:rsidR="00B438B8" w:rsidRPr="00B5751A">
        <w:rPr>
          <w:rFonts w:ascii="Arial" w:hAnsi="Arial" w:cs="Arial"/>
          <w:color w:val="000000" w:themeColor="text1"/>
          <w:sz w:val="20"/>
          <w:szCs w:val="20"/>
        </w:rPr>
        <w:t>pri</w:t>
      </w:r>
      <w:r w:rsidR="00415E9F" w:rsidRPr="00B5751A">
        <w:rPr>
          <w:rFonts w:ascii="Arial" w:hAnsi="Arial" w:cs="Arial"/>
          <w:color w:val="000000" w:themeColor="text1"/>
          <w:sz w:val="20"/>
          <w:szCs w:val="20"/>
        </w:rPr>
        <w:t xml:space="preserve"> </w:t>
      </w:r>
      <w:r w:rsidR="002808FB" w:rsidRPr="00B5751A">
        <w:rPr>
          <w:rFonts w:ascii="Arial" w:hAnsi="Arial" w:cs="Arial"/>
          <w:color w:val="000000" w:themeColor="text1"/>
          <w:sz w:val="20"/>
          <w:szCs w:val="20"/>
        </w:rPr>
        <w:t>1</w:t>
      </w:r>
      <w:r w:rsidR="00055BE0" w:rsidRPr="00B5751A">
        <w:rPr>
          <w:rFonts w:ascii="Arial" w:hAnsi="Arial" w:cs="Arial"/>
          <w:color w:val="000000" w:themeColor="text1"/>
          <w:sz w:val="20"/>
          <w:szCs w:val="20"/>
        </w:rPr>
        <w:t>.</w:t>
      </w:r>
      <w:r w:rsidR="00851FC7" w:rsidRPr="00B5751A">
        <w:rPr>
          <w:rFonts w:ascii="Arial" w:hAnsi="Arial" w:cs="Arial"/>
          <w:color w:val="000000" w:themeColor="text1"/>
          <w:sz w:val="20"/>
          <w:szCs w:val="20"/>
        </w:rPr>
        <w:t>2</w:t>
      </w:r>
      <w:r w:rsidR="00E44698" w:rsidRPr="00B5751A">
        <w:rPr>
          <w:rFonts w:ascii="Arial" w:hAnsi="Arial" w:cs="Arial"/>
          <w:color w:val="000000" w:themeColor="text1"/>
          <w:sz w:val="20"/>
          <w:szCs w:val="20"/>
        </w:rPr>
        <w:t>8</w:t>
      </w:r>
      <w:r w:rsidR="00B5751A" w:rsidRPr="00B5751A">
        <w:rPr>
          <w:rFonts w:ascii="Arial" w:hAnsi="Arial" w:cs="Arial"/>
          <w:color w:val="000000" w:themeColor="text1"/>
          <w:sz w:val="20"/>
          <w:szCs w:val="20"/>
        </w:rPr>
        <w:t>1</w:t>
      </w:r>
      <w:r w:rsidR="002808FB" w:rsidRPr="00B5751A">
        <w:rPr>
          <w:rFonts w:ascii="Arial" w:hAnsi="Arial" w:cs="Arial"/>
          <w:color w:val="000000" w:themeColor="text1"/>
          <w:sz w:val="20"/>
          <w:szCs w:val="20"/>
        </w:rPr>
        <w:t xml:space="preserve"> n</w:t>
      </w:r>
      <w:r w:rsidR="009B2527" w:rsidRPr="00B5751A">
        <w:rPr>
          <w:rFonts w:ascii="Arial" w:hAnsi="Arial" w:cs="Arial"/>
          <w:color w:val="000000" w:themeColor="text1"/>
          <w:sz w:val="20"/>
          <w:szCs w:val="20"/>
        </w:rPr>
        <w:t>aročilih</w:t>
      </w:r>
      <w:r w:rsidRPr="00B5751A">
        <w:rPr>
          <w:rFonts w:ascii="Arial" w:hAnsi="Arial" w:cs="Arial"/>
          <w:color w:val="000000" w:themeColor="text1"/>
          <w:sz w:val="20"/>
          <w:szCs w:val="20"/>
        </w:rPr>
        <w:t>.</w:t>
      </w:r>
      <w:r w:rsidR="00F513C9" w:rsidRPr="00B5751A">
        <w:rPr>
          <w:rFonts w:ascii="Arial" w:hAnsi="Arial" w:cs="Arial"/>
          <w:color w:val="000000" w:themeColor="text1"/>
          <w:sz w:val="20"/>
          <w:szCs w:val="20"/>
        </w:rPr>
        <w:t xml:space="preserve"> </w:t>
      </w:r>
    </w:p>
    <w:p w14:paraId="761B7C85" w14:textId="77777777" w:rsidR="00931978" w:rsidRPr="00637ACF" w:rsidRDefault="00931978">
      <w:pPr>
        <w:rPr>
          <w:rFonts w:ascii="Arial" w:hAnsi="Arial" w:cs="Arial"/>
          <w:color w:val="000000" w:themeColor="text1"/>
          <w:sz w:val="20"/>
          <w:highlight w:val="yellow"/>
        </w:rPr>
      </w:pPr>
      <w:r w:rsidRPr="00637ACF">
        <w:rPr>
          <w:rFonts w:ascii="Arial" w:hAnsi="Arial" w:cs="Arial"/>
          <w:color w:val="000000" w:themeColor="text1"/>
          <w:sz w:val="20"/>
          <w:highlight w:val="yellow"/>
        </w:rPr>
        <w:br w:type="page"/>
      </w:r>
    </w:p>
    <w:p w14:paraId="4A414EA7" w14:textId="687BF2B8" w:rsidR="00F83DD4" w:rsidRPr="00F576ED" w:rsidRDefault="00F83DD4" w:rsidP="00701C10">
      <w:pPr>
        <w:spacing w:before="120" w:after="120" w:line="240" w:lineRule="auto"/>
        <w:jc w:val="both"/>
        <w:rPr>
          <w:rFonts w:ascii="Arial" w:hAnsi="Arial" w:cs="Arial"/>
          <w:color w:val="000000" w:themeColor="text1"/>
          <w:sz w:val="20"/>
        </w:rPr>
      </w:pPr>
      <w:r w:rsidRPr="00F576ED">
        <w:rPr>
          <w:rFonts w:ascii="Arial" w:hAnsi="Arial" w:cs="Arial"/>
          <w:color w:val="000000" w:themeColor="text1"/>
          <w:sz w:val="20"/>
        </w:rPr>
        <w:lastRenderedPageBreak/>
        <w:t>Preglednica </w:t>
      </w:r>
      <w:r w:rsidR="00512F52" w:rsidRPr="00F576ED">
        <w:rPr>
          <w:rFonts w:ascii="Arial" w:hAnsi="Arial" w:cs="Arial"/>
          <w:color w:val="000000" w:themeColor="text1"/>
          <w:sz w:val="20"/>
        </w:rPr>
        <w:t>5</w:t>
      </w:r>
      <w:r w:rsidR="00EA747F" w:rsidRPr="00F576ED">
        <w:rPr>
          <w:rFonts w:ascii="Arial" w:hAnsi="Arial" w:cs="Arial"/>
          <w:color w:val="000000" w:themeColor="text1"/>
          <w:sz w:val="20"/>
        </w:rPr>
        <w:t>3</w:t>
      </w:r>
      <w:r w:rsidRPr="00F576ED">
        <w:rPr>
          <w:rFonts w:ascii="Arial" w:hAnsi="Arial" w:cs="Arial"/>
          <w:color w:val="000000" w:themeColor="text1"/>
          <w:sz w:val="20"/>
        </w:rPr>
        <w:t>: Število in vrednost glede na način upoštevanja socialnih vidikov</w:t>
      </w:r>
    </w:p>
    <w:tbl>
      <w:tblPr>
        <w:tblW w:w="5000" w:type="pct"/>
        <w:jc w:val="center"/>
        <w:tblCellMar>
          <w:left w:w="70" w:type="dxa"/>
          <w:right w:w="70" w:type="dxa"/>
        </w:tblCellMar>
        <w:tblLook w:val="04A0" w:firstRow="1" w:lastRow="0" w:firstColumn="1" w:lastColumn="0" w:noHBand="0" w:noVBand="1"/>
      </w:tblPr>
      <w:tblGrid>
        <w:gridCol w:w="3269"/>
        <w:gridCol w:w="910"/>
        <w:gridCol w:w="1453"/>
        <w:gridCol w:w="1771"/>
        <w:gridCol w:w="1771"/>
      </w:tblGrid>
      <w:tr w:rsidR="006D1A48" w:rsidRPr="00F576ED" w14:paraId="178905B6" w14:textId="77777777" w:rsidTr="00E44698">
        <w:trPr>
          <w:trHeight w:val="255"/>
          <w:jc w:val="center"/>
        </w:trPr>
        <w:tc>
          <w:tcPr>
            <w:tcW w:w="17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ECA7D6" w14:textId="77777777" w:rsidR="002808FB" w:rsidRPr="00F576ED" w:rsidRDefault="002808FB" w:rsidP="002808FB">
            <w:pPr>
              <w:spacing w:after="0" w:line="240" w:lineRule="auto"/>
              <w:jc w:val="center"/>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Način upoštevanja socialnih vidikov pri javnem naročanju</w:t>
            </w:r>
          </w:p>
        </w:tc>
        <w:tc>
          <w:tcPr>
            <w:tcW w:w="4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EFAAF6" w14:textId="77777777" w:rsidR="002808FB" w:rsidRPr="00F576ED" w:rsidRDefault="002808FB" w:rsidP="002808FB">
            <w:pPr>
              <w:spacing w:after="0" w:line="240" w:lineRule="auto"/>
              <w:jc w:val="center"/>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 xml:space="preserve">Št. naročil </w:t>
            </w:r>
          </w:p>
        </w:tc>
        <w:tc>
          <w:tcPr>
            <w:tcW w:w="7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7E809F" w14:textId="05D5EE49" w:rsidR="002808FB" w:rsidRPr="00F576ED" w:rsidRDefault="002808FB" w:rsidP="002808FB">
            <w:pPr>
              <w:spacing w:after="0" w:line="240" w:lineRule="auto"/>
              <w:jc w:val="center"/>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Pogodbena vrednost</w:t>
            </w:r>
            <w:r w:rsidR="00055BE0" w:rsidRPr="00F576ED">
              <w:rPr>
                <w:rFonts w:ascii="Arial" w:eastAsia="Times New Roman" w:hAnsi="Arial" w:cs="Arial"/>
                <w:color w:val="000000" w:themeColor="text1"/>
                <w:sz w:val="18"/>
                <w:szCs w:val="18"/>
                <w:lang w:eastAsia="sl-SI"/>
              </w:rPr>
              <w:t xml:space="preserve"> (v EUR)</w:t>
            </w:r>
          </w:p>
        </w:tc>
        <w:tc>
          <w:tcPr>
            <w:tcW w:w="9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F194B20" w14:textId="77777777" w:rsidR="002808FB" w:rsidRPr="00F576ED" w:rsidRDefault="002808FB" w:rsidP="002808FB">
            <w:pPr>
              <w:spacing w:after="0" w:line="240" w:lineRule="auto"/>
              <w:jc w:val="center"/>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Delež v številu naročil (socialni vidiki)</w:t>
            </w:r>
          </w:p>
        </w:tc>
        <w:tc>
          <w:tcPr>
            <w:tcW w:w="9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63CBAA" w14:textId="77777777" w:rsidR="002808FB" w:rsidRPr="00F576ED" w:rsidRDefault="002808FB" w:rsidP="002808FB">
            <w:pPr>
              <w:spacing w:after="0" w:line="240" w:lineRule="auto"/>
              <w:jc w:val="center"/>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Delež v vrednosti naročil (socialni vidiki)</w:t>
            </w:r>
          </w:p>
        </w:tc>
      </w:tr>
      <w:tr w:rsidR="00F576ED" w:rsidRPr="00F576ED" w14:paraId="3E2A5ED3" w14:textId="77777777" w:rsidTr="00F576ED">
        <w:trPr>
          <w:trHeight w:val="255"/>
          <w:jc w:val="center"/>
        </w:trPr>
        <w:tc>
          <w:tcPr>
            <w:tcW w:w="1782" w:type="pct"/>
            <w:tcBorders>
              <w:top w:val="nil"/>
              <w:left w:val="single" w:sz="4" w:space="0" w:color="auto"/>
              <w:bottom w:val="single" w:sz="4" w:space="0" w:color="auto"/>
              <w:right w:val="single" w:sz="4" w:space="0" w:color="auto"/>
            </w:tcBorders>
            <w:shd w:val="clear" w:color="auto" w:fill="auto"/>
            <w:vAlign w:val="center"/>
            <w:hideMark/>
          </w:tcPr>
          <w:p w14:paraId="7EACDF7F" w14:textId="77777777" w:rsidR="00F576ED" w:rsidRPr="00F576ED" w:rsidRDefault="00F576ED" w:rsidP="00F576ED">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Tehnične specifikacije</w:t>
            </w:r>
          </w:p>
        </w:tc>
        <w:tc>
          <w:tcPr>
            <w:tcW w:w="496" w:type="pct"/>
            <w:tcBorders>
              <w:top w:val="nil"/>
              <w:left w:val="nil"/>
              <w:bottom w:val="single" w:sz="4" w:space="0" w:color="auto"/>
              <w:right w:val="single" w:sz="4" w:space="0" w:color="auto"/>
            </w:tcBorders>
            <w:shd w:val="clear" w:color="auto" w:fill="auto"/>
            <w:vAlign w:val="center"/>
            <w:hideMark/>
          </w:tcPr>
          <w:p w14:paraId="4906F6CF" w14:textId="2D981AD9"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136</w:t>
            </w:r>
          </w:p>
        </w:tc>
        <w:tc>
          <w:tcPr>
            <w:tcW w:w="792" w:type="pct"/>
            <w:tcBorders>
              <w:top w:val="nil"/>
              <w:left w:val="nil"/>
              <w:bottom w:val="single" w:sz="4" w:space="0" w:color="auto"/>
              <w:right w:val="single" w:sz="4" w:space="0" w:color="auto"/>
            </w:tcBorders>
            <w:shd w:val="clear" w:color="auto" w:fill="auto"/>
            <w:vAlign w:val="center"/>
            <w:hideMark/>
          </w:tcPr>
          <w:p w14:paraId="2B373DCA" w14:textId="302956B7"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220.902.698</w:t>
            </w:r>
          </w:p>
        </w:tc>
        <w:tc>
          <w:tcPr>
            <w:tcW w:w="965" w:type="pct"/>
            <w:tcBorders>
              <w:top w:val="nil"/>
              <w:left w:val="nil"/>
              <w:bottom w:val="single" w:sz="4" w:space="0" w:color="auto"/>
              <w:right w:val="single" w:sz="4" w:space="0" w:color="auto"/>
            </w:tcBorders>
            <w:shd w:val="clear" w:color="auto" w:fill="auto"/>
            <w:vAlign w:val="center"/>
            <w:hideMark/>
          </w:tcPr>
          <w:p w14:paraId="014A3904" w14:textId="33259A6A"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5,69 %</w:t>
            </w:r>
          </w:p>
        </w:tc>
        <w:tc>
          <w:tcPr>
            <w:tcW w:w="965" w:type="pct"/>
            <w:tcBorders>
              <w:top w:val="nil"/>
              <w:left w:val="nil"/>
              <w:bottom w:val="single" w:sz="4" w:space="0" w:color="auto"/>
              <w:right w:val="single" w:sz="4" w:space="0" w:color="auto"/>
            </w:tcBorders>
            <w:shd w:val="clear" w:color="auto" w:fill="auto"/>
            <w:vAlign w:val="center"/>
            <w:hideMark/>
          </w:tcPr>
          <w:p w14:paraId="1779FEA3" w14:textId="6EAF8883"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13,15 %</w:t>
            </w:r>
          </w:p>
        </w:tc>
      </w:tr>
      <w:tr w:rsidR="00F576ED" w:rsidRPr="00F576ED" w14:paraId="087A9937" w14:textId="77777777" w:rsidTr="00F576ED">
        <w:trPr>
          <w:trHeight w:val="255"/>
          <w:jc w:val="center"/>
        </w:trPr>
        <w:tc>
          <w:tcPr>
            <w:tcW w:w="1782" w:type="pct"/>
            <w:tcBorders>
              <w:top w:val="nil"/>
              <w:left w:val="single" w:sz="4" w:space="0" w:color="auto"/>
              <w:bottom w:val="single" w:sz="4" w:space="0" w:color="auto"/>
              <w:right w:val="single" w:sz="4" w:space="0" w:color="auto"/>
            </w:tcBorders>
            <w:shd w:val="clear" w:color="auto" w:fill="auto"/>
            <w:vAlign w:val="center"/>
            <w:hideMark/>
          </w:tcPr>
          <w:p w14:paraId="7A849F0D" w14:textId="77777777" w:rsidR="00F576ED" w:rsidRPr="00F576ED" w:rsidRDefault="00F576ED" w:rsidP="00F576ED">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 xml:space="preserve">Merila za oddajo javnega naročila </w:t>
            </w:r>
          </w:p>
        </w:tc>
        <w:tc>
          <w:tcPr>
            <w:tcW w:w="496" w:type="pct"/>
            <w:tcBorders>
              <w:top w:val="nil"/>
              <w:left w:val="nil"/>
              <w:bottom w:val="single" w:sz="4" w:space="0" w:color="auto"/>
              <w:right w:val="single" w:sz="4" w:space="0" w:color="auto"/>
            </w:tcBorders>
            <w:shd w:val="clear" w:color="auto" w:fill="auto"/>
            <w:vAlign w:val="center"/>
            <w:hideMark/>
          </w:tcPr>
          <w:p w14:paraId="4CD6A883" w14:textId="63B39D16"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488</w:t>
            </w:r>
          </w:p>
        </w:tc>
        <w:tc>
          <w:tcPr>
            <w:tcW w:w="792" w:type="pct"/>
            <w:tcBorders>
              <w:top w:val="nil"/>
              <w:left w:val="nil"/>
              <w:bottom w:val="single" w:sz="4" w:space="0" w:color="auto"/>
              <w:right w:val="single" w:sz="4" w:space="0" w:color="auto"/>
            </w:tcBorders>
            <w:shd w:val="clear" w:color="auto" w:fill="auto"/>
            <w:vAlign w:val="center"/>
            <w:hideMark/>
          </w:tcPr>
          <w:p w14:paraId="620B8DEB" w14:textId="7468B430"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740.470.272</w:t>
            </w:r>
          </w:p>
        </w:tc>
        <w:tc>
          <w:tcPr>
            <w:tcW w:w="965" w:type="pct"/>
            <w:tcBorders>
              <w:top w:val="nil"/>
              <w:left w:val="nil"/>
              <w:bottom w:val="single" w:sz="4" w:space="0" w:color="auto"/>
              <w:right w:val="single" w:sz="4" w:space="0" w:color="auto"/>
            </w:tcBorders>
            <w:shd w:val="clear" w:color="auto" w:fill="auto"/>
            <w:vAlign w:val="center"/>
            <w:hideMark/>
          </w:tcPr>
          <w:p w14:paraId="70505286" w14:textId="44A19E3D"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20,40 %</w:t>
            </w:r>
          </w:p>
        </w:tc>
        <w:tc>
          <w:tcPr>
            <w:tcW w:w="965" w:type="pct"/>
            <w:tcBorders>
              <w:top w:val="nil"/>
              <w:left w:val="nil"/>
              <w:bottom w:val="single" w:sz="4" w:space="0" w:color="auto"/>
              <w:right w:val="single" w:sz="4" w:space="0" w:color="auto"/>
            </w:tcBorders>
            <w:shd w:val="clear" w:color="auto" w:fill="auto"/>
            <w:vAlign w:val="center"/>
            <w:hideMark/>
          </w:tcPr>
          <w:p w14:paraId="547ADCEF" w14:textId="5F14FDCD"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44,07 %</w:t>
            </w:r>
          </w:p>
        </w:tc>
      </w:tr>
      <w:tr w:rsidR="00F576ED" w:rsidRPr="00F576ED" w14:paraId="3149641A" w14:textId="77777777" w:rsidTr="00F576ED">
        <w:trPr>
          <w:trHeight w:val="255"/>
          <w:jc w:val="center"/>
        </w:trPr>
        <w:tc>
          <w:tcPr>
            <w:tcW w:w="1782" w:type="pct"/>
            <w:tcBorders>
              <w:top w:val="nil"/>
              <w:left w:val="single" w:sz="4" w:space="0" w:color="auto"/>
              <w:bottom w:val="single" w:sz="4" w:space="0" w:color="auto"/>
              <w:right w:val="single" w:sz="4" w:space="0" w:color="auto"/>
            </w:tcBorders>
            <w:shd w:val="clear" w:color="auto" w:fill="auto"/>
            <w:vAlign w:val="center"/>
            <w:hideMark/>
          </w:tcPr>
          <w:p w14:paraId="62548508" w14:textId="77777777" w:rsidR="00F576ED" w:rsidRPr="00F576ED" w:rsidRDefault="00F576ED" w:rsidP="00F576ED">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Pogoji za sodelovanje</w:t>
            </w:r>
          </w:p>
        </w:tc>
        <w:tc>
          <w:tcPr>
            <w:tcW w:w="496" w:type="pct"/>
            <w:tcBorders>
              <w:top w:val="nil"/>
              <w:left w:val="nil"/>
              <w:bottom w:val="single" w:sz="4" w:space="0" w:color="auto"/>
              <w:right w:val="single" w:sz="4" w:space="0" w:color="auto"/>
            </w:tcBorders>
            <w:shd w:val="clear" w:color="auto" w:fill="auto"/>
            <w:vAlign w:val="center"/>
            <w:hideMark/>
          </w:tcPr>
          <w:p w14:paraId="5F806AA2" w14:textId="31914E5B"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638</w:t>
            </w:r>
          </w:p>
        </w:tc>
        <w:tc>
          <w:tcPr>
            <w:tcW w:w="792" w:type="pct"/>
            <w:tcBorders>
              <w:top w:val="nil"/>
              <w:left w:val="nil"/>
              <w:bottom w:val="single" w:sz="4" w:space="0" w:color="auto"/>
              <w:right w:val="single" w:sz="4" w:space="0" w:color="auto"/>
            </w:tcBorders>
            <w:shd w:val="clear" w:color="auto" w:fill="auto"/>
            <w:vAlign w:val="center"/>
            <w:hideMark/>
          </w:tcPr>
          <w:p w14:paraId="5C87A3D0" w14:textId="38F26C2A"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274.458.728</w:t>
            </w:r>
          </w:p>
        </w:tc>
        <w:tc>
          <w:tcPr>
            <w:tcW w:w="965" w:type="pct"/>
            <w:tcBorders>
              <w:top w:val="nil"/>
              <w:left w:val="nil"/>
              <w:bottom w:val="single" w:sz="4" w:space="0" w:color="auto"/>
              <w:right w:val="single" w:sz="4" w:space="0" w:color="auto"/>
            </w:tcBorders>
            <w:shd w:val="clear" w:color="auto" w:fill="auto"/>
            <w:vAlign w:val="center"/>
            <w:hideMark/>
          </w:tcPr>
          <w:p w14:paraId="5AA45008" w14:textId="074059D0"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26,67 %</w:t>
            </w:r>
          </w:p>
        </w:tc>
        <w:tc>
          <w:tcPr>
            <w:tcW w:w="965" w:type="pct"/>
            <w:tcBorders>
              <w:top w:val="nil"/>
              <w:left w:val="nil"/>
              <w:bottom w:val="single" w:sz="4" w:space="0" w:color="auto"/>
              <w:right w:val="single" w:sz="4" w:space="0" w:color="auto"/>
            </w:tcBorders>
            <w:shd w:val="clear" w:color="auto" w:fill="auto"/>
            <w:vAlign w:val="center"/>
            <w:hideMark/>
          </w:tcPr>
          <w:p w14:paraId="6C9F2B34" w14:textId="4359972F"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16,33 %</w:t>
            </w:r>
          </w:p>
        </w:tc>
      </w:tr>
      <w:tr w:rsidR="00F576ED" w:rsidRPr="00F576ED" w14:paraId="32941B24" w14:textId="77777777" w:rsidTr="00F576ED">
        <w:trPr>
          <w:trHeight w:val="255"/>
          <w:jc w:val="center"/>
        </w:trPr>
        <w:tc>
          <w:tcPr>
            <w:tcW w:w="1782" w:type="pct"/>
            <w:tcBorders>
              <w:top w:val="nil"/>
              <w:left w:val="single" w:sz="4" w:space="0" w:color="auto"/>
              <w:bottom w:val="single" w:sz="4" w:space="0" w:color="auto"/>
              <w:right w:val="single" w:sz="4" w:space="0" w:color="auto"/>
            </w:tcBorders>
            <w:shd w:val="clear" w:color="auto" w:fill="auto"/>
            <w:vAlign w:val="center"/>
            <w:hideMark/>
          </w:tcPr>
          <w:p w14:paraId="6791F6CF" w14:textId="77777777" w:rsidR="00F576ED" w:rsidRPr="00F576ED" w:rsidRDefault="00F576ED" w:rsidP="00F576ED">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Pogodbena določila iz obligacijskega razmerja</w:t>
            </w:r>
          </w:p>
        </w:tc>
        <w:tc>
          <w:tcPr>
            <w:tcW w:w="496" w:type="pct"/>
            <w:tcBorders>
              <w:top w:val="nil"/>
              <w:left w:val="nil"/>
              <w:bottom w:val="single" w:sz="4" w:space="0" w:color="auto"/>
              <w:right w:val="single" w:sz="4" w:space="0" w:color="auto"/>
            </w:tcBorders>
            <w:shd w:val="clear" w:color="auto" w:fill="auto"/>
            <w:vAlign w:val="center"/>
            <w:hideMark/>
          </w:tcPr>
          <w:p w14:paraId="65B65A55" w14:textId="43C3DC95"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1.281</w:t>
            </w:r>
          </w:p>
        </w:tc>
        <w:tc>
          <w:tcPr>
            <w:tcW w:w="792" w:type="pct"/>
            <w:tcBorders>
              <w:top w:val="nil"/>
              <w:left w:val="nil"/>
              <w:bottom w:val="single" w:sz="4" w:space="0" w:color="auto"/>
              <w:right w:val="single" w:sz="4" w:space="0" w:color="auto"/>
            </w:tcBorders>
            <w:shd w:val="clear" w:color="auto" w:fill="auto"/>
            <w:vAlign w:val="center"/>
            <w:hideMark/>
          </w:tcPr>
          <w:p w14:paraId="1FB467BE" w14:textId="1D8D95B5"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643.787.697</w:t>
            </w:r>
          </w:p>
        </w:tc>
        <w:tc>
          <w:tcPr>
            <w:tcW w:w="965" w:type="pct"/>
            <w:tcBorders>
              <w:top w:val="nil"/>
              <w:left w:val="nil"/>
              <w:bottom w:val="single" w:sz="4" w:space="0" w:color="auto"/>
              <w:right w:val="single" w:sz="4" w:space="0" w:color="auto"/>
            </w:tcBorders>
            <w:shd w:val="clear" w:color="auto" w:fill="auto"/>
            <w:vAlign w:val="center"/>
            <w:hideMark/>
          </w:tcPr>
          <w:p w14:paraId="66FC96F9" w14:textId="4AC23743"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53,55 %</w:t>
            </w:r>
          </w:p>
        </w:tc>
        <w:tc>
          <w:tcPr>
            <w:tcW w:w="965" w:type="pct"/>
            <w:tcBorders>
              <w:top w:val="nil"/>
              <w:left w:val="nil"/>
              <w:bottom w:val="single" w:sz="4" w:space="0" w:color="auto"/>
              <w:right w:val="single" w:sz="4" w:space="0" w:color="auto"/>
            </w:tcBorders>
            <w:shd w:val="clear" w:color="auto" w:fill="auto"/>
            <w:vAlign w:val="center"/>
            <w:hideMark/>
          </w:tcPr>
          <w:p w14:paraId="0338BC15" w14:textId="5F09CDA0"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38,31 %</w:t>
            </w:r>
          </w:p>
        </w:tc>
      </w:tr>
      <w:tr w:rsidR="00F576ED" w:rsidRPr="00F576ED" w14:paraId="49DE59D3" w14:textId="77777777" w:rsidTr="00F576ED">
        <w:trPr>
          <w:trHeight w:val="255"/>
          <w:jc w:val="center"/>
        </w:trPr>
        <w:tc>
          <w:tcPr>
            <w:tcW w:w="1782" w:type="pct"/>
            <w:tcBorders>
              <w:top w:val="nil"/>
              <w:left w:val="single" w:sz="4" w:space="0" w:color="auto"/>
              <w:bottom w:val="single" w:sz="4" w:space="0" w:color="auto"/>
              <w:right w:val="single" w:sz="4" w:space="0" w:color="auto"/>
            </w:tcBorders>
            <w:shd w:val="clear" w:color="auto" w:fill="auto"/>
            <w:vAlign w:val="center"/>
            <w:hideMark/>
          </w:tcPr>
          <w:p w14:paraId="76E1FFAE" w14:textId="77777777" w:rsidR="00F576ED" w:rsidRPr="00F576ED" w:rsidRDefault="00F576ED" w:rsidP="00F576ED">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Razlogi za izključitev</w:t>
            </w:r>
          </w:p>
        </w:tc>
        <w:tc>
          <w:tcPr>
            <w:tcW w:w="496" w:type="pct"/>
            <w:tcBorders>
              <w:top w:val="nil"/>
              <w:left w:val="nil"/>
              <w:bottom w:val="single" w:sz="4" w:space="0" w:color="auto"/>
              <w:right w:val="single" w:sz="4" w:space="0" w:color="auto"/>
            </w:tcBorders>
            <w:shd w:val="clear" w:color="auto" w:fill="auto"/>
            <w:vAlign w:val="center"/>
            <w:hideMark/>
          </w:tcPr>
          <w:p w14:paraId="571AB19E" w14:textId="6D46F223"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502</w:t>
            </w:r>
          </w:p>
        </w:tc>
        <w:tc>
          <w:tcPr>
            <w:tcW w:w="792" w:type="pct"/>
            <w:tcBorders>
              <w:top w:val="nil"/>
              <w:left w:val="nil"/>
              <w:bottom w:val="single" w:sz="4" w:space="0" w:color="auto"/>
              <w:right w:val="single" w:sz="4" w:space="0" w:color="auto"/>
            </w:tcBorders>
            <w:shd w:val="clear" w:color="auto" w:fill="auto"/>
            <w:vAlign w:val="center"/>
            <w:hideMark/>
          </w:tcPr>
          <w:p w14:paraId="361CDA88" w14:textId="62EDB8BF"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306.423.668</w:t>
            </w:r>
          </w:p>
        </w:tc>
        <w:tc>
          <w:tcPr>
            <w:tcW w:w="965" w:type="pct"/>
            <w:tcBorders>
              <w:top w:val="nil"/>
              <w:left w:val="nil"/>
              <w:bottom w:val="single" w:sz="4" w:space="0" w:color="auto"/>
              <w:right w:val="single" w:sz="4" w:space="0" w:color="auto"/>
            </w:tcBorders>
            <w:shd w:val="clear" w:color="auto" w:fill="auto"/>
            <w:vAlign w:val="center"/>
            <w:hideMark/>
          </w:tcPr>
          <w:p w14:paraId="0BF86EF9" w14:textId="17CECFBF"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20,99 %</w:t>
            </w:r>
          </w:p>
        </w:tc>
        <w:tc>
          <w:tcPr>
            <w:tcW w:w="965" w:type="pct"/>
            <w:tcBorders>
              <w:top w:val="nil"/>
              <w:left w:val="nil"/>
              <w:bottom w:val="single" w:sz="4" w:space="0" w:color="auto"/>
              <w:right w:val="single" w:sz="4" w:space="0" w:color="auto"/>
            </w:tcBorders>
            <w:shd w:val="clear" w:color="auto" w:fill="auto"/>
            <w:vAlign w:val="center"/>
            <w:hideMark/>
          </w:tcPr>
          <w:p w14:paraId="54C5F895" w14:textId="16224E04"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18,24 %</w:t>
            </w:r>
          </w:p>
        </w:tc>
      </w:tr>
      <w:tr w:rsidR="00F576ED" w:rsidRPr="00F576ED" w14:paraId="644CE6CD" w14:textId="77777777" w:rsidTr="00F576ED">
        <w:trPr>
          <w:trHeight w:val="255"/>
          <w:jc w:val="center"/>
        </w:trPr>
        <w:tc>
          <w:tcPr>
            <w:tcW w:w="1782" w:type="pct"/>
            <w:tcBorders>
              <w:top w:val="nil"/>
              <w:left w:val="single" w:sz="4" w:space="0" w:color="auto"/>
              <w:bottom w:val="single" w:sz="4" w:space="0" w:color="auto"/>
              <w:right w:val="single" w:sz="4" w:space="0" w:color="auto"/>
            </w:tcBorders>
            <w:shd w:val="clear" w:color="auto" w:fill="auto"/>
            <w:vAlign w:val="center"/>
            <w:hideMark/>
          </w:tcPr>
          <w:p w14:paraId="7228CA7E" w14:textId="77777777" w:rsidR="00F576ED" w:rsidRPr="00F576ED" w:rsidRDefault="00F576ED" w:rsidP="00F576ED">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Drugo</w:t>
            </w:r>
          </w:p>
        </w:tc>
        <w:tc>
          <w:tcPr>
            <w:tcW w:w="496" w:type="pct"/>
            <w:tcBorders>
              <w:top w:val="nil"/>
              <w:left w:val="nil"/>
              <w:bottom w:val="single" w:sz="4" w:space="0" w:color="auto"/>
              <w:right w:val="single" w:sz="4" w:space="0" w:color="auto"/>
            </w:tcBorders>
            <w:shd w:val="clear" w:color="auto" w:fill="auto"/>
            <w:vAlign w:val="center"/>
            <w:hideMark/>
          </w:tcPr>
          <w:p w14:paraId="21ED319F" w14:textId="2218B218"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8</w:t>
            </w:r>
          </w:p>
        </w:tc>
        <w:tc>
          <w:tcPr>
            <w:tcW w:w="792" w:type="pct"/>
            <w:tcBorders>
              <w:top w:val="nil"/>
              <w:left w:val="nil"/>
              <w:bottom w:val="single" w:sz="4" w:space="0" w:color="auto"/>
              <w:right w:val="single" w:sz="4" w:space="0" w:color="auto"/>
            </w:tcBorders>
            <w:shd w:val="clear" w:color="auto" w:fill="auto"/>
            <w:vAlign w:val="center"/>
            <w:hideMark/>
          </w:tcPr>
          <w:p w14:paraId="23955F54" w14:textId="45F7005F"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19.182.100</w:t>
            </w:r>
          </w:p>
        </w:tc>
        <w:tc>
          <w:tcPr>
            <w:tcW w:w="965" w:type="pct"/>
            <w:tcBorders>
              <w:top w:val="nil"/>
              <w:left w:val="nil"/>
              <w:bottom w:val="single" w:sz="4" w:space="0" w:color="auto"/>
              <w:right w:val="single" w:sz="4" w:space="0" w:color="auto"/>
            </w:tcBorders>
            <w:shd w:val="clear" w:color="auto" w:fill="auto"/>
            <w:vAlign w:val="center"/>
            <w:hideMark/>
          </w:tcPr>
          <w:p w14:paraId="3476E6B1" w14:textId="74049405"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0,33 %</w:t>
            </w:r>
          </w:p>
        </w:tc>
        <w:tc>
          <w:tcPr>
            <w:tcW w:w="965" w:type="pct"/>
            <w:tcBorders>
              <w:top w:val="nil"/>
              <w:left w:val="nil"/>
              <w:bottom w:val="single" w:sz="4" w:space="0" w:color="auto"/>
              <w:right w:val="single" w:sz="4" w:space="0" w:color="auto"/>
            </w:tcBorders>
            <w:shd w:val="clear" w:color="auto" w:fill="auto"/>
            <w:vAlign w:val="center"/>
            <w:hideMark/>
          </w:tcPr>
          <w:p w14:paraId="507CF196" w14:textId="3D17AF98" w:rsidR="00F576ED" w:rsidRPr="00F576ED" w:rsidRDefault="00F576ED" w:rsidP="00F576ED">
            <w:pPr>
              <w:spacing w:after="0" w:line="240" w:lineRule="auto"/>
              <w:jc w:val="right"/>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1,14 %</w:t>
            </w:r>
          </w:p>
        </w:tc>
      </w:tr>
    </w:tbl>
    <w:p w14:paraId="0D58F257" w14:textId="77777777" w:rsidR="00731C4D" w:rsidRPr="00F576ED" w:rsidRDefault="00731C4D" w:rsidP="004A613D">
      <w:pPr>
        <w:spacing w:after="0" w:line="240" w:lineRule="auto"/>
        <w:jc w:val="center"/>
        <w:rPr>
          <w:rFonts w:ascii="Arial" w:hAnsi="Arial" w:cs="Arial"/>
          <w:color w:val="000000" w:themeColor="text1"/>
          <w:sz w:val="20"/>
          <w:szCs w:val="20"/>
        </w:rPr>
      </w:pPr>
    </w:p>
    <w:p w14:paraId="7752BBEF" w14:textId="2E3B2E33" w:rsidR="00F83DD4" w:rsidRPr="00F576ED" w:rsidRDefault="00F83DD4" w:rsidP="004A613D">
      <w:pPr>
        <w:spacing w:after="0" w:line="240" w:lineRule="auto"/>
        <w:jc w:val="center"/>
        <w:rPr>
          <w:rFonts w:ascii="Arial" w:hAnsi="Arial" w:cs="Arial"/>
          <w:color w:val="000000" w:themeColor="text1"/>
          <w:sz w:val="18"/>
        </w:rPr>
      </w:pPr>
      <w:r w:rsidRPr="00F576ED">
        <w:rPr>
          <w:rFonts w:ascii="Arial" w:hAnsi="Arial" w:cs="Arial"/>
          <w:color w:val="000000" w:themeColor="text1"/>
          <w:sz w:val="18"/>
        </w:rPr>
        <w:t>Vir: Statistični podatki o javni</w:t>
      </w:r>
      <w:r w:rsidR="00BB63A6" w:rsidRPr="00F576ED">
        <w:rPr>
          <w:rFonts w:ascii="Arial" w:hAnsi="Arial" w:cs="Arial"/>
          <w:color w:val="000000" w:themeColor="text1"/>
          <w:sz w:val="18"/>
        </w:rPr>
        <w:t>h naročilih, oddanih v letu 20</w:t>
      </w:r>
      <w:r w:rsidR="002808FB" w:rsidRPr="00F576ED">
        <w:rPr>
          <w:rFonts w:ascii="Arial" w:hAnsi="Arial" w:cs="Arial"/>
          <w:color w:val="000000" w:themeColor="text1"/>
          <w:sz w:val="18"/>
        </w:rPr>
        <w:t>2</w:t>
      </w:r>
      <w:r w:rsidR="00531848" w:rsidRPr="00F576ED">
        <w:rPr>
          <w:rFonts w:ascii="Arial" w:hAnsi="Arial" w:cs="Arial"/>
          <w:color w:val="000000" w:themeColor="text1"/>
          <w:sz w:val="18"/>
        </w:rPr>
        <w:t>3</w:t>
      </w:r>
      <w:r w:rsidR="007B25B7" w:rsidRPr="00F576ED">
        <w:rPr>
          <w:rFonts w:ascii="Arial" w:hAnsi="Arial" w:cs="Arial"/>
          <w:color w:val="000000" w:themeColor="text1"/>
          <w:sz w:val="18"/>
        </w:rPr>
        <w:t>.</w:t>
      </w:r>
    </w:p>
    <w:p w14:paraId="224513A5" w14:textId="77777777" w:rsidR="004A613D" w:rsidRPr="00F576ED" w:rsidRDefault="004A613D" w:rsidP="00807FCE">
      <w:pPr>
        <w:spacing w:after="0" w:line="360" w:lineRule="auto"/>
        <w:jc w:val="both"/>
        <w:rPr>
          <w:rFonts w:ascii="Arial" w:hAnsi="Arial" w:cs="Arial"/>
          <w:color w:val="000000" w:themeColor="text1"/>
          <w:sz w:val="20"/>
          <w:szCs w:val="20"/>
        </w:rPr>
      </w:pPr>
    </w:p>
    <w:p w14:paraId="3C00A547" w14:textId="42A11030" w:rsidR="00F83DD4" w:rsidRPr="00F576ED" w:rsidRDefault="00F83DD4" w:rsidP="00F83DD4">
      <w:pPr>
        <w:spacing w:line="360" w:lineRule="auto"/>
        <w:jc w:val="both"/>
        <w:rPr>
          <w:rFonts w:ascii="Arial" w:hAnsi="Arial" w:cs="Arial"/>
          <w:color w:val="000000" w:themeColor="text1"/>
          <w:sz w:val="20"/>
          <w:szCs w:val="20"/>
        </w:rPr>
      </w:pPr>
      <w:r w:rsidRPr="00F576ED">
        <w:rPr>
          <w:rFonts w:ascii="Arial" w:hAnsi="Arial" w:cs="Arial"/>
          <w:color w:val="000000" w:themeColor="text1"/>
          <w:sz w:val="20"/>
          <w:szCs w:val="20"/>
        </w:rPr>
        <w:t xml:space="preserve">Med naročili, v katerih </w:t>
      </w:r>
      <w:r w:rsidR="00E5190B" w:rsidRPr="00F576ED">
        <w:rPr>
          <w:rFonts w:ascii="Arial" w:hAnsi="Arial" w:cs="Arial"/>
          <w:color w:val="000000" w:themeColor="text1"/>
          <w:sz w:val="20"/>
          <w:szCs w:val="20"/>
        </w:rPr>
        <w:t xml:space="preserve">so bili </w:t>
      </w:r>
      <w:r w:rsidR="005522FF" w:rsidRPr="00F576ED">
        <w:rPr>
          <w:rFonts w:ascii="Arial" w:hAnsi="Arial" w:cs="Arial"/>
          <w:color w:val="000000" w:themeColor="text1"/>
          <w:sz w:val="20"/>
          <w:szCs w:val="20"/>
        </w:rPr>
        <w:t>leta</w:t>
      </w:r>
      <w:r w:rsidR="00E5190B" w:rsidRPr="00F576ED">
        <w:rPr>
          <w:rFonts w:ascii="Arial" w:hAnsi="Arial" w:cs="Arial"/>
          <w:color w:val="000000" w:themeColor="text1"/>
          <w:sz w:val="20"/>
          <w:szCs w:val="20"/>
        </w:rPr>
        <w:t xml:space="preserve"> 20</w:t>
      </w:r>
      <w:r w:rsidR="002808FB" w:rsidRPr="00F576ED">
        <w:rPr>
          <w:rFonts w:ascii="Arial" w:hAnsi="Arial" w:cs="Arial"/>
          <w:color w:val="000000" w:themeColor="text1"/>
          <w:sz w:val="20"/>
          <w:szCs w:val="20"/>
        </w:rPr>
        <w:t>2</w:t>
      </w:r>
      <w:r w:rsidR="00531848" w:rsidRPr="00F576ED">
        <w:rPr>
          <w:rFonts w:ascii="Arial" w:hAnsi="Arial" w:cs="Arial"/>
          <w:color w:val="000000" w:themeColor="text1"/>
          <w:sz w:val="20"/>
          <w:szCs w:val="20"/>
        </w:rPr>
        <w:t>3</w:t>
      </w:r>
      <w:r w:rsidRPr="00F576ED">
        <w:rPr>
          <w:rFonts w:ascii="Arial" w:hAnsi="Arial" w:cs="Arial"/>
          <w:color w:val="000000" w:themeColor="text1"/>
          <w:sz w:val="20"/>
          <w:szCs w:val="20"/>
        </w:rPr>
        <w:t xml:space="preserve"> upoštevani socialni vidiki, so naročniki najpogosteje uporabili </w:t>
      </w:r>
      <w:r w:rsidR="00531848" w:rsidRPr="00F576ED">
        <w:rPr>
          <w:rFonts w:ascii="Arial" w:hAnsi="Arial" w:cs="Arial"/>
          <w:color w:val="000000" w:themeColor="text1"/>
          <w:sz w:val="20"/>
          <w:szCs w:val="20"/>
        </w:rPr>
        <w:t>odprti postopek</w:t>
      </w:r>
      <w:r w:rsidRPr="00F576ED">
        <w:rPr>
          <w:rFonts w:ascii="Arial" w:hAnsi="Arial" w:cs="Arial"/>
          <w:color w:val="000000" w:themeColor="text1"/>
          <w:sz w:val="20"/>
          <w:szCs w:val="20"/>
        </w:rPr>
        <w:t xml:space="preserve">, in sicer </w:t>
      </w:r>
      <w:r w:rsidR="00B438B8" w:rsidRPr="00F576ED">
        <w:rPr>
          <w:rFonts w:ascii="Arial" w:hAnsi="Arial" w:cs="Arial"/>
          <w:color w:val="000000" w:themeColor="text1"/>
          <w:sz w:val="20"/>
          <w:szCs w:val="20"/>
        </w:rPr>
        <w:t>v</w:t>
      </w:r>
      <w:r w:rsidRPr="00F576ED">
        <w:rPr>
          <w:rFonts w:ascii="Arial" w:hAnsi="Arial" w:cs="Arial"/>
          <w:color w:val="000000" w:themeColor="text1"/>
          <w:sz w:val="20"/>
          <w:szCs w:val="20"/>
        </w:rPr>
        <w:t xml:space="preserve"> </w:t>
      </w:r>
      <w:r w:rsidR="00531848" w:rsidRPr="00F576ED">
        <w:rPr>
          <w:rFonts w:ascii="Arial" w:hAnsi="Arial" w:cs="Arial"/>
          <w:color w:val="000000" w:themeColor="text1"/>
          <w:sz w:val="20"/>
          <w:szCs w:val="20"/>
        </w:rPr>
        <w:t>1</w:t>
      </w:r>
      <w:r w:rsidR="00055BE0" w:rsidRPr="00F576ED">
        <w:rPr>
          <w:rFonts w:ascii="Arial" w:hAnsi="Arial" w:cs="Arial"/>
          <w:color w:val="000000" w:themeColor="text1"/>
          <w:sz w:val="20"/>
          <w:szCs w:val="20"/>
        </w:rPr>
        <w:t>.</w:t>
      </w:r>
      <w:r w:rsidR="00531848" w:rsidRPr="00F576ED">
        <w:rPr>
          <w:rFonts w:ascii="Arial" w:hAnsi="Arial" w:cs="Arial"/>
          <w:color w:val="000000" w:themeColor="text1"/>
          <w:sz w:val="20"/>
          <w:szCs w:val="20"/>
        </w:rPr>
        <w:t>172</w:t>
      </w:r>
      <w:r w:rsidRPr="00F576ED">
        <w:rPr>
          <w:rFonts w:ascii="Arial" w:hAnsi="Arial" w:cs="Arial"/>
          <w:color w:val="000000" w:themeColor="text1"/>
          <w:sz w:val="20"/>
          <w:szCs w:val="20"/>
        </w:rPr>
        <w:t xml:space="preserve"> naročil</w:t>
      </w:r>
      <w:r w:rsidR="00B438B8" w:rsidRPr="00F576ED">
        <w:rPr>
          <w:rFonts w:ascii="Arial" w:hAnsi="Arial" w:cs="Arial"/>
          <w:color w:val="000000" w:themeColor="text1"/>
          <w:sz w:val="20"/>
          <w:szCs w:val="20"/>
        </w:rPr>
        <w:t>ih</w:t>
      </w:r>
      <w:r w:rsidRPr="00F576ED">
        <w:rPr>
          <w:rFonts w:ascii="Arial" w:hAnsi="Arial" w:cs="Arial"/>
          <w:color w:val="000000" w:themeColor="text1"/>
          <w:sz w:val="20"/>
          <w:szCs w:val="20"/>
        </w:rPr>
        <w:t xml:space="preserve"> v vrednosti</w:t>
      </w:r>
      <w:r w:rsidR="00E5190B" w:rsidRPr="00F576ED">
        <w:rPr>
          <w:rFonts w:ascii="Arial" w:hAnsi="Arial" w:cs="Arial"/>
          <w:color w:val="000000" w:themeColor="text1"/>
          <w:sz w:val="20"/>
          <w:szCs w:val="20"/>
        </w:rPr>
        <w:t xml:space="preserve"> </w:t>
      </w:r>
      <w:r w:rsidR="00531848" w:rsidRPr="00F576ED">
        <w:rPr>
          <w:rFonts w:ascii="Arial" w:hAnsi="Arial" w:cs="Arial"/>
          <w:color w:val="000000" w:themeColor="text1"/>
          <w:sz w:val="20"/>
          <w:szCs w:val="20"/>
        </w:rPr>
        <w:t xml:space="preserve">1.082.836.268 </w:t>
      </w:r>
      <w:r w:rsidRPr="00F576ED">
        <w:rPr>
          <w:rFonts w:ascii="Arial" w:hAnsi="Arial" w:cs="Arial"/>
          <w:color w:val="000000" w:themeColor="text1"/>
          <w:sz w:val="20"/>
          <w:szCs w:val="20"/>
        </w:rPr>
        <w:t xml:space="preserve">evrov. </w:t>
      </w:r>
    </w:p>
    <w:p w14:paraId="7FD16C88" w14:textId="2E70E7BC" w:rsidR="00F83DD4" w:rsidRPr="00F576ED" w:rsidRDefault="00F83DD4" w:rsidP="00701C10">
      <w:pPr>
        <w:spacing w:before="120" w:after="120" w:line="240" w:lineRule="auto"/>
        <w:jc w:val="both"/>
        <w:rPr>
          <w:rFonts w:ascii="Arial" w:hAnsi="Arial" w:cs="Arial"/>
          <w:color w:val="000000" w:themeColor="text1"/>
          <w:sz w:val="20"/>
        </w:rPr>
      </w:pPr>
      <w:r w:rsidRPr="00F576ED">
        <w:rPr>
          <w:rFonts w:ascii="Arial" w:hAnsi="Arial" w:cs="Arial"/>
          <w:color w:val="000000" w:themeColor="text1"/>
          <w:sz w:val="20"/>
        </w:rPr>
        <w:t xml:space="preserve">Preglednica </w:t>
      </w:r>
      <w:r w:rsidR="00512F52" w:rsidRPr="00F576ED">
        <w:rPr>
          <w:rFonts w:ascii="Arial" w:hAnsi="Arial" w:cs="Arial"/>
          <w:color w:val="000000" w:themeColor="text1"/>
          <w:sz w:val="20"/>
        </w:rPr>
        <w:t>5</w:t>
      </w:r>
      <w:r w:rsidR="00EA747F" w:rsidRPr="00F576ED">
        <w:rPr>
          <w:rFonts w:ascii="Arial" w:hAnsi="Arial" w:cs="Arial"/>
          <w:color w:val="000000" w:themeColor="text1"/>
          <w:sz w:val="20"/>
        </w:rPr>
        <w:t>4</w:t>
      </w:r>
      <w:r w:rsidRPr="00F576ED">
        <w:rPr>
          <w:rFonts w:ascii="Arial" w:hAnsi="Arial" w:cs="Arial"/>
          <w:color w:val="000000" w:themeColor="text1"/>
          <w:sz w:val="20"/>
        </w:rPr>
        <w:t>: Vrste postopkov, v katerih so bili upoštev</w:t>
      </w:r>
      <w:r w:rsidR="00AD5FD8" w:rsidRPr="00F576ED">
        <w:rPr>
          <w:rFonts w:ascii="Arial" w:hAnsi="Arial" w:cs="Arial"/>
          <w:color w:val="000000" w:themeColor="text1"/>
          <w:sz w:val="20"/>
        </w:rPr>
        <w:t>a</w:t>
      </w:r>
      <w:r w:rsidRPr="00F576ED">
        <w:rPr>
          <w:rFonts w:ascii="Arial" w:hAnsi="Arial" w:cs="Arial"/>
          <w:color w:val="000000" w:themeColor="text1"/>
          <w:sz w:val="20"/>
        </w:rPr>
        <w:t>ni socialni vidiki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1842"/>
        <w:gridCol w:w="2659"/>
      </w:tblGrid>
      <w:tr w:rsidR="006D1A48" w:rsidRPr="00F576ED" w14:paraId="7EC69A39" w14:textId="77777777" w:rsidTr="00153ACA">
        <w:trPr>
          <w:trHeight w:val="313"/>
          <w:tblHeader/>
        </w:trPr>
        <w:tc>
          <w:tcPr>
            <w:tcW w:w="2547" w:type="pct"/>
            <w:shd w:val="clear" w:color="000000" w:fill="F2F2F2"/>
            <w:vAlign w:val="center"/>
            <w:hideMark/>
          </w:tcPr>
          <w:p w14:paraId="1F48B470" w14:textId="77777777" w:rsidR="0061248B" w:rsidRPr="00F576ED" w:rsidRDefault="0061248B" w:rsidP="0061248B">
            <w:pPr>
              <w:spacing w:after="0" w:line="240" w:lineRule="auto"/>
              <w:jc w:val="center"/>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Vrsta postopka</w:t>
            </w:r>
          </w:p>
        </w:tc>
        <w:tc>
          <w:tcPr>
            <w:tcW w:w="1004" w:type="pct"/>
            <w:shd w:val="clear" w:color="000000" w:fill="F2F2F2"/>
            <w:vAlign w:val="center"/>
            <w:hideMark/>
          </w:tcPr>
          <w:p w14:paraId="433EFE0F" w14:textId="77777777" w:rsidR="0061248B" w:rsidRPr="00F576ED" w:rsidRDefault="0061248B" w:rsidP="0061248B">
            <w:pPr>
              <w:spacing w:after="0" w:line="240" w:lineRule="auto"/>
              <w:jc w:val="center"/>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Št. naročil</w:t>
            </w:r>
          </w:p>
        </w:tc>
        <w:tc>
          <w:tcPr>
            <w:tcW w:w="1449" w:type="pct"/>
            <w:shd w:val="clear" w:color="000000" w:fill="F2F2F2"/>
            <w:vAlign w:val="center"/>
            <w:hideMark/>
          </w:tcPr>
          <w:p w14:paraId="62A56954" w14:textId="6163749A" w:rsidR="0061248B" w:rsidRPr="00F576ED" w:rsidRDefault="0061248B" w:rsidP="0061248B">
            <w:pPr>
              <w:spacing w:after="0" w:line="240" w:lineRule="auto"/>
              <w:jc w:val="center"/>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 xml:space="preserve">Pogodbena vrednost </w:t>
            </w:r>
            <w:r w:rsidR="00055BE0" w:rsidRPr="00F576ED">
              <w:rPr>
                <w:rFonts w:ascii="Arial" w:eastAsia="Times New Roman" w:hAnsi="Arial" w:cs="Arial"/>
                <w:color w:val="000000" w:themeColor="text1"/>
                <w:sz w:val="18"/>
                <w:szCs w:val="18"/>
                <w:lang w:eastAsia="sl-SI"/>
              </w:rPr>
              <w:t>(v EUR)</w:t>
            </w:r>
          </w:p>
        </w:tc>
      </w:tr>
      <w:tr w:rsidR="00531848" w:rsidRPr="00F576ED" w14:paraId="0488F3DF" w14:textId="77777777" w:rsidTr="00F576ED">
        <w:trPr>
          <w:trHeight w:val="300"/>
        </w:trPr>
        <w:tc>
          <w:tcPr>
            <w:tcW w:w="2547" w:type="pct"/>
            <w:shd w:val="clear" w:color="auto" w:fill="auto"/>
            <w:noWrap/>
            <w:vAlign w:val="center"/>
            <w:hideMark/>
          </w:tcPr>
          <w:p w14:paraId="24176D54" w14:textId="77777777" w:rsidR="00531848" w:rsidRPr="00F576ED" w:rsidRDefault="00531848" w:rsidP="00531848">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Konkurenčni dialog</w:t>
            </w:r>
          </w:p>
        </w:tc>
        <w:tc>
          <w:tcPr>
            <w:tcW w:w="1004" w:type="pct"/>
            <w:shd w:val="clear" w:color="auto" w:fill="auto"/>
            <w:noWrap/>
            <w:vAlign w:val="center"/>
            <w:hideMark/>
          </w:tcPr>
          <w:p w14:paraId="31C9E34B" w14:textId="32453AFB"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3</w:t>
            </w:r>
          </w:p>
        </w:tc>
        <w:tc>
          <w:tcPr>
            <w:tcW w:w="1449" w:type="pct"/>
            <w:shd w:val="clear" w:color="auto" w:fill="auto"/>
            <w:noWrap/>
            <w:vAlign w:val="center"/>
            <w:hideMark/>
          </w:tcPr>
          <w:p w14:paraId="29217B6E" w14:textId="523F939D"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210.426.714</w:t>
            </w:r>
          </w:p>
        </w:tc>
      </w:tr>
      <w:tr w:rsidR="00531848" w:rsidRPr="00F576ED" w14:paraId="534193AB" w14:textId="77777777" w:rsidTr="00F576ED">
        <w:trPr>
          <w:trHeight w:val="300"/>
        </w:trPr>
        <w:tc>
          <w:tcPr>
            <w:tcW w:w="2547" w:type="pct"/>
            <w:shd w:val="clear" w:color="auto" w:fill="auto"/>
            <w:noWrap/>
            <w:vAlign w:val="center"/>
            <w:hideMark/>
          </w:tcPr>
          <w:p w14:paraId="15005B60" w14:textId="77777777" w:rsidR="00531848" w:rsidRPr="00F576ED" w:rsidRDefault="00531848" w:rsidP="00531848">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Konkurenčni postopek s pogajanji</w:t>
            </w:r>
          </w:p>
        </w:tc>
        <w:tc>
          <w:tcPr>
            <w:tcW w:w="1004" w:type="pct"/>
            <w:shd w:val="clear" w:color="auto" w:fill="auto"/>
            <w:noWrap/>
            <w:vAlign w:val="center"/>
            <w:hideMark/>
          </w:tcPr>
          <w:p w14:paraId="49BE2F8A" w14:textId="0D7B7509"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48</w:t>
            </w:r>
          </w:p>
        </w:tc>
        <w:tc>
          <w:tcPr>
            <w:tcW w:w="1449" w:type="pct"/>
            <w:shd w:val="clear" w:color="auto" w:fill="auto"/>
            <w:noWrap/>
            <w:vAlign w:val="center"/>
            <w:hideMark/>
          </w:tcPr>
          <w:p w14:paraId="2032ADC8" w14:textId="0A253808"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27.815.403</w:t>
            </w:r>
          </w:p>
        </w:tc>
      </w:tr>
      <w:tr w:rsidR="00531848" w:rsidRPr="00F576ED" w14:paraId="6085E30A" w14:textId="77777777" w:rsidTr="00F576ED">
        <w:trPr>
          <w:trHeight w:val="300"/>
        </w:trPr>
        <w:tc>
          <w:tcPr>
            <w:tcW w:w="2547" w:type="pct"/>
            <w:shd w:val="clear" w:color="auto" w:fill="auto"/>
            <w:noWrap/>
            <w:vAlign w:val="center"/>
            <w:hideMark/>
          </w:tcPr>
          <w:p w14:paraId="15CAE1F0" w14:textId="77777777" w:rsidR="00531848" w:rsidRPr="00F576ED" w:rsidRDefault="00531848" w:rsidP="00531848">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Odprti postopek</w:t>
            </w:r>
          </w:p>
        </w:tc>
        <w:tc>
          <w:tcPr>
            <w:tcW w:w="1004" w:type="pct"/>
            <w:shd w:val="clear" w:color="auto" w:fill="auto"/>
            <w:noWrap/>
            <w:vAlign w:val="center"/>
            <w:hideMark/>
          </w:tcPr>
          <w:p w14:paraId="234A6D5C" w14:textId="3681626F"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1.172</w:t>
            </w:r>
          </w:p>
        </w:tc>
        <w:tc>
          <w:tcPr>
            <w:tcW w:w="1449" w:type="pct"/>
            <w:shd w:val="clear" w:color="auto" w:fill="auto"/>
            <w:noWrap/>
            <w:vAlign w:val="center"/>
            <w:hideMark/>
          </w:tcPr>
          <w:p w14:paraId="79522C99" w14:textId="418638EF" w:rsidR="00531848" w:rsidRPr="00F576ED" w:rsidRDefault="00531848" w:rsidP="00F576ED">
            <w:pPr>
              <w:spacing w:after="0" w:line="240" w:lineRule="auto"/>
              <w:jc w:val="right"/>
              <w:rPr>
                <w:rFonts w:ascii="Arial" w:hAnsi="Arial" w:cs="Arial"/>
                <w:color w:val="000000" w:themeColor="text1"/>
                <w:sz w:val="18"/>
                <w:szCs w:val="18"/>
              </w:rPr>
            </w:pPr>
            <w:bookmarkStart w:id="53" w:name="_Hlk175228680"/>
            <w:r w:rsidRPr="00F576ED">
              <w:rPr>
                <w:rFonts w:ascii="Arial" w:hAnsi="Arial" w:cs="Arial"/>
                <w:color w:val="000000" w:themeColor="text1"/>
                <w:sz w:val="18"/>
                <w:szCs w:val="18"/>
              </w:rPr>
              <w:t>1.082.836.268</w:t>
            </w:r>
            <w:bookmarkEnd w:id="53"/>
          </w:p>
        </w:tc>
      </w:tr>
      <w:tr w:rsidR="00531848" w:rsidRPr="00F576ED" w14:paraId="7318A3C9" w14:textId="77777777" w:rsidTr="00F576ED">
        <w:trPr>
          <w:trHeight w:val="300"/>
        </w:trPr>
        <w:tc>
          <w:tcPr>
            <w:tcW w:w="2547" w:type="pct"/>
            <w:shd w:val="clear" w:color="auto" w:fill="auto"/>
            <w:noWrap/>
            <w:vAlign w:val="center"/>
            <w:hideMark/>
          </w:tcPr>
          <w:p w14:paraId="0B63E169" w14:textId="77777777" w:rsidR="00531848" w:rsidRPr="00F576ED" w:rsidRDefault="00531848" w:rsidP="00531848">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Omejeni postopek</w:t>
            </w:r>
          </w:p>
        </w:tc>
        <w:tc>
          <w:tcPr>
            <w:tcW w:w="1004" w:type="pct"/>
            <w:shd w:val="clear" w:color="auto" w:fill="auto"/>
            <w:noWrap/>
            <w:vAlign w:val="center"/>
            <w:hideMark/>
          </w:tcPr>
          <w:p w14:paraId="11CB2668" w14:textId="0645CB62"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67</w:t>
            </w:r>
          </w:p>
        </w:tc>
        <w:tc>
          <w:tcPr>
            <w:tcW w:w="1449" w:type="pct"/>
            <w:shd w:val="clear" w:color="auto" w:fill="auto"/>
            <w:noWrap/>
            <w:vAlign w:val="center"/>
            <w:hideMark/>
          </w:tcPr>
          <w:p w14:paraId="398D0C2B" w14:textId="6CF8AF97"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149.551.495</w:t>
            </w:r>
          </w:p>
        </w:tc>
      </w:tr>
      <w:tr w:rsidR="00531848" w:rsidRPr="00F576ED" w14:paraId="6612B0D7" w14:textId="77777777" w:rsidTr="00F576ED">
        <w:trPr>
          <w:trHeight w:val="300"/>
        </w:trPr>
        <w:tc>
          <w:tcPr>
            <w:tcW w:w="2547" w:type="pct"/>
            <w:shd w:val="clear" w:color="auto" w:fill="auto"/>
            <w:noWrap/>
            <w:vAlign w:val="center"/>
            <w:hideMark/>
          </w:tcPr>
          <w:p w14:paraId="135051E1" w14:textId="2BE067FE" w:rsidR="00531848" w:rsidRPr="00F576ED" w:rsidRDefault="00531848" w:rsidP="00531848">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Postopek naročila male vrednosti</w:t>
            </w:r>
          </w:p>
        </w:tc>
        <w:tc>
          <w:tcPr>
            <w:tcW w:w="1004" w:type="pct"/>
            <w:shd w:val="clear" w:color="auto" w:fill="auto"/>
            <w:noWrap/>
            <w:vAlign w:val="center"/>
            <w:hideMark/>
          </w:tcPr>
          <w:p w14:paraId="0B61E1F5" w14:textId="42BB1743"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97</w:t>
            </w:r>
            <w:r w:rsidR="00F576ED" w:rsidRPr="00F576ED">
              <w:rPr>
                <w:rFonts w:ascii="Arial" w:hAnsi="Arial" w:cs="Arial"/>
                <w:color w:val="000000" w:themeColor="text1"/>
                <w:sz w:val="18"/>
                <w:szCs w:val="18"/>
              </w:rPr>
              <w:t>3</w:t>
            </w:r>
          </w:p>
        </w:tc>
        <w:tc>
          <w:tcPr>
            <w:tcW w:w="1449" w:type="pct"/>
            <w:shd w:val="clear" w:color="auto" w:fill="auto"/>
            <w:noWrap/>
            <w:vAlign w:val="center"/>
            <w:hideMark/>
          </w:tcPr>
          <w:p w14:paraId="452636D7" w14:textId="23A4897A"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143.</w:t>
            </w:r>
            <w:r w:rsidR="00F576ED" w:rsidRPr="00F576ED">
              <w:rPr>
                <w:rFonts w:ascii="Arial" w:hAnsi="Arial" w:cs="Arial"/>
                <w:color w:val="000000" w:themeColor="text1"/>
                <w:sz w:val="18"/>
                <w:szCs w:val="18"/>
              </w:rPr>
              <w:t>610</w:t>
            </w:r>
            <w:r w:rsidRPr="00F576ED">
              <w:rPr>
                <w:rFonts w:ascii="Arial" w:hAnsi="Arial" w:cs="Arial"/>
                <w:color w:val="000000" w:themeColor="text1"/>
                <w:sz w:val="18"/>
                <w:szCs w:val="18"/>
              </w:rPr>
              <w:t>.</w:t>
            </w:r>
            <w:r w:rsidR="00F576ED" w:rsidRPr="00F576ED">
              <w:rPr>
                <w:rFonts w:ascii="Arial" w:hAnsi="Arial" w:cs="Arial"/>
                <w:color w:val="000000" w:themeColor="text1"/>
                <w:sz w:val="18"/>
                <w:szCs w:val="18"/>
              </w:rPr>
              <w:t>938</w:t>
            </w:r>
          </w:p>
        </w:tc>
      </w:tr>
      <w:tr w:rsidR="00531848" w:rsidRPr="00F576ED" w14:paraId="712D49A4" w14:textId="77777777" w:rsidTr="00F576ED">
        <w:trPr>
          <w:trHeight w:val="300"/>
        </w:trPr>
        <w:tc>
          <w:tcPr>
            <w:tcW w:w="2547" w:type="pct"/>
            <w:shd w:val="clear" w:color="auto" w:fill="auto"/>
            <w:noWrap/>
            <w:vAlign w:val="center"/>
            <w:hideMark/>
          </w:tcPr>
          <w:p w14:paraId="76172708" w14:textId="77777777" w:rsidR="00531848" w:rsidRPr="00F576ED" w:rsidRDefault="00531848" w:rsidP="00531848">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Postopek s pogajanji brez predhodne objave</w:t>
            </w:r>
          </w:p>
        </w:tc>
        <w:tc>
          <w:tcPr>
            <w:tcW w:w="1004" w:type="pct"/>
            <w:shd w:val="clear" w:color="auto" w:fill="auto"/>
            <w:noWrap/>
            <w:vAlign w:val="center"/>
            <w:hideMark/>
          </w:tcPr>
          <w:p w14:paraId="71415291" w14:textId="255BAB30"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101</w:t>
            </w:r>
          </w:p>
        </w:tc>
        <w:tc>
          <w:tcPr>
            <w:tcW w:w="1449" w:type="pct"/>
            <w:shd w:val="clear" w:color="auto" w:fill="auto"/>
            <w:noWrap/>
            <w:vAlign w:val="center"/>
            <w:hideMark/>
          </w:tcPr>
          <w:p w14:paraId="72097DD5" w14:textId="7CAAD77A"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32.439.937</w:t>
            </w:r>
          </w:p>
        </w:tc>
      </w:tr>
      <w:tr w:rsidR="00531848" w:rsidRPr="00F576ED" w14:paraId="4259156F" w14:textId="77777777" w:rsidTr="00F576ED">
        <w:trPr>
          <w:trHeight w:val="300"/>
        </w:trPr>
        <w:tc>
          <w:tcPr>
            <w:tcW w:w="2547" w:type="pct"/>
            <w:shd w:val="clear" w:color="auto" w:fill="auto"/>
            <w:noWrap/>
            <w:vAlign w:val="center"/>
            <w:hideMark/>
          </w:tcPr>
          <w:p w14:paraId="716EFCC1" w14:textId="77777777" w:rsidR="00531848" w:rsidRPr="00F576ED" w:rsidRDefault="00531848" w:rsidP="00531848">
            <w:pPr>
              <w:spacing w:after="0" w:line="240" w:lineRule="auto"/>
              <w:rPr>
                <w:rFonts w:ascii="Arial" w:eastAsia="Times New Roman" w:hAnsi="Arial" w:cs="Arial"/>
                <w:color w:val="000000" w:themeColor="text1"/>
                <w:sz w:val="18"/>
                <w:szCs w:val="18"/>
                <w:lang w:eastAsia="sl-SI"/>
              </w:rPr>
            </w:pPr>
            <w:r w:rsidRPr="00F576ED">
              <w:rPr>
                <w:rFonts w:ascii="Arial" w:eastAsia="Times New Roman" w:hAnsi="Arial" w:cs="Arial"/>
                <w:color w:val="000000" w:themeColor="text1"/>
                <w:sz w:val="18"/>
                <w:szCs w:val="18"/>
                <w:lang w:eastAsia="sl-SI"/>
              </w:rPr>
              <w:t>Postopek s pogajanji po predhodni objavi</w:t>
            </w:r>
          </w:p>
        </w:tc>
        <w:tc>
          <w:tcPr>
            <w:tcW w:w="1004" w:type="pct"/>
            <w:shd w:val="clear" w:color="auto" w:fill="auto"/>
            <w:noWrap/>
            <w:vAlign w:val="center"/>
            <w:hideMark/>
          </w:tcPr>
          <w:p w14:paraId="49E372C5" w14:textId="06FA72C5"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28</w:t>
            </w:r>
          </w:p>
        </w:tc>
        <w:tc>
          <w:tcPr>
            <w:tcW w:w="1449" w:type="pct"/>
            <w:shd w:val="clear" w:color="auto" w:fill="auto"/>
            <w:noWrap/>
            <w:vAlign w:val="center"/>
            <w:hideMark/>
          </w:tcPr>
          <w:p w14:paraId="35B6D6BE" w14:textId="2F29B1D4" w:rsidR="00531848" w:rsidRPr="00F576ED" w:rsidRDefault="00531848" w:rsidP="00F576ED">
            <w:pPr>
              <w:spacing w:after="0" w:line="240" w:lineRule="auto"/>
              <w:jc w:val="right"/>
              <w:rPr>
                <w:rFonts w:ascii="Arial" w:hAnsi="Arial" w:cs="Arial"/>
                <w:color w:val="000000" w:themeColor="text1"/>
                <w:sz w:val="18"/>
                <w:szCs w:val="18"/>
              </w:rPr>
            </w:pPr>
            <w:r w:rsidRPr="00F576ED">
              <w:rPr>
                <w:rFonts w:ascii="Arial" w:hAnsi="Arial" w:cs="Arial"/>
                <w:color w:val="000000" w:themeColor="text1"/>
                <w:sz w:val="18"/>
                <w:szCs w:val="18"/>
              </w:rPr>
              <w:t>33.601.193</w:t>
            </w:r>
          </w:p>
        </w:tc>
      </w:tr>
      <w:tr w:rsidR="00F576ED" w:rsidRPr="00F576ED" w14:paraId="774D0F5F" w14:textId="77777777" w:rsidTr="00F576ED">
        <w:trPr>
          <w:trHeight w:val="300"/>
        </w:trPr>
        <w:tc>
          <w:tcPr>
            <w:tcW w:w="2547" w:type="pct"/>
            <w:shd w:val="clear" w:color="auto" w:fill="F2F2F2" w:themeFill="background1" w:themeFillShade="F2"/>
            <w:noWrap/>
            <w:vAlign w:val="center"/>
            <w:hideMark/>
          </w:tcPr>
          <w:p w14:paraId="6E981811" w14:textId="77777777" w:rsidR="00F576ED" w:rsidRPr="00F576ED" w:rsidRDefault="00F576ED" w:rsidP="00F576ED">
            <w:pPr>
              <w:spacing w:after="0" w:line="240" w:lineRule="auto"/>
              <w:rPr>
                <w:rFonts w:ascii="Arial" w:eastAsia="Times New Roman" w:hAnsi="Arial" w:cs="Arial"/>
                <w:b/>
                <w:bCs/>
                <w:color w:val="000000" w:themeColor="text1"/>
                <w:sz w:val="18"/>
                <w:szCs w:val="18"/>
                <w:lang w:eastAsia="sl-SI"/>
              </w:rPr>
            </w:pPr>
            <w:r w:rsidRPr="00F576ED">
              <w:rPr>
                <w:rFonts w:ascii="Arial" w:eastAsia="Times New Roman" w:hAnsi="Arial" w:cs="Arial"/>
                <w:b/>
                <w:bCs/>
                <w:color w:val="000000" w:themeColor="text1"/>
                <w:sz w:val="18"/>
                <w:szCs w:val="18"/>
                <w:lang w:eastAsia="sl-SI"/>
              </w:rPr>
              <w:t>Skupaj</w:t>
            </w:r>
          </w:p>
        </w:tc>
        <w:tc>
          <w:tcPr>
            <w:tcW w:w="1004" w:type="pct"/>
            <w:shd w:val="clear" w:color="auto" w:fill="F2F2F2" w:themeFill="background1" w:themeFillShade="F2"/>
            <w:noWrap/>
            <w:vAlign w:val="center"/>
          </w:tcPr>
          <w:p w14:paraId="5BE02EB9" w14:textId="729358FA" w:rsidR="00F576ED" w:rsidRPr="00F576ED" w:rsidRDefault="00F576ED" w:rsidP="00F576ED">
            <w:pPr>
              <w:spacing w:after="0" w:line="240" w:lineRule="auto"/>
              <w:jc w:val="right"/>
              <w:rPr>
                <w:rFonts w:ascii="Arial" w:hAnsi="Arial" w:cs="Arial"/>
                <w:b/>
                <w:bCs/>
                <w:color w:val="000000" w:themeColor="text1"/>
                <w:sz w:val="18"/>
                <w:szCs w:val="18"/>
              </w:rPr>
            </w:pPr>
            <w:r w:rsidRPr="00F576ED">
              <w:rPr>
                <w:rFonts w:ascii="Arial" w:hAnsi="Arial" w:cs="Arial"/>
                <w:b/>
                <w:bCs/>
                <w:color w:val="000000"/>
                <w:sz w:val="18"/>
                <w:szCs w:val="18"/>
              </w:rPr>
              <w:t>2.392</w:t>
            </w:r>
          </w:p>
        </w:tc>
        <w:tc>
          <w:tcPr>
            <w:tcW w:w="1449" w:type="pct"/>
            <w:shd w:val="clear" w:color="auto" w:fill="F2F2F2" w:themeFill="background1" w:themeFillShade="F2"/>
            <w:noWrap/>
            <w:vAlign w:val="center"/>
          </w:tcPr>
          <w:p w14:paraId="426D546F" w14:textId="19C960A4" w:rsidR="00F576ED" w:rsidRPr="00F576ED" w:rsidRDefault="00F576ED" w:rsidP="00F576ED">
            <w:pPr>
              <w:spacing w:after="0" w:line="240" w:lineRule="auto"/>
              <w:jc w:val="right"/>
              <w:rPr>
                <w:rFonts w:ascii="Arial" w:hAnsi="Arial" w:cs="Arial"/>
                <w:b/>
                <w:bCs/>
                <w:color w:val="000000" w:themeColor="text1"/>
                <w:sz w:val="18"/>
                <w:szCs w:val="18"/>
              </w:rPr>
            </w:pPr>
            <w:r w:rsidRPr="00F576ED">
              <w:rPr>
                <w:rFonts w:ascii="Arial" w:hAnsi="Arial" w:cs="Arial"/>
                <w:b/>
                <w:bCs/>
                <w:color w:val="000000"/>
                <w:sz w:val="18"/>
                <w:szCs w:val="18"/>
              </w:rPr>
              <w:t>1.680.281.948</w:t>
            </w:r>
          </w:p>
        </w:tc>
      </w:tr>
    </w:tbl>
    <w:p w14:paraId="58662D3A" w14:textId="77777777" w:rsidR="002808FB" w:rsidRPr="00F576ED" w:rsidRDefault="002808FB" w:rsidP="004A613D">
      <w:pPr>
        <w:spacing w:after="0" w:line="240" w:lineRule="auto"/>
        <w:jc w:val="center"/>
        <w:rPr>
          <w:rFonts w:ascii="Arial" w:hAnsi="Arial" w:cs="Arial"/>
          <w:color w:val="000000" w:themeColor="text1"/>
          <w:sz w:val="18"/>
        </w:rPr>
      </w:pPr>
    </w:p>
    <w:p w14:paraId="6BF2A174" w14:textId="3ECC6D02" w:rsidR="00F83DD4" w:rsidRPr="00F576ED" w:rsidRDefault="00F83DD4" w:rsidP="004A613D">
      <w:pPr>
        <w:spacing w:after="0" w:line="240" w:lineRule="auto"/>
        <w:jc w:val="center"/>
        <w:rPr>
          <w:rFonts w:ascii="Arial" w:hAnsi="Arial" w:cs="Arial"/>
          <w:color w:val="000000" w:themeColor="text1"/>
          <w:sz w:val="18"/>
        </w:rPr>
      </w:pPr>
      <w:r w:rsidRPr="00F576ED">
        <w:rPr>
          <w:rFonts w:ascii="Arial" w:hAnsi="Arial" w:cs="Arial"/>
          <w:color w:val="000000" w:themeColor="text1"/>
          <w:sz w:val="18"/>
        </w:rPr>
        <w:t>Vir: Statistični podatki o javni</w:t>
      </w:r>
      <w:r w:rsidR="00D53E93" w:rsidRPr="00F576ED">
        <w:rPr>
          <w:rFonts w:ascii="Arial" w:hAnsi="Arial" w:cs="Arial"/>
          <w:color w:val="000000" w:themeColor="text1"/>
          <w:sz w:val="18"/>
        </w:rPr>
        <w:t>h naročilih, oddanih v letu 20</w:t>
      </w:r>
      <w:r w:rsidR="002808FB" w:rsidRPr="00F576ED">
        <w:rPr>
          <w:rFonts w:ascii="Arial" w:hAnsi="Arial" w:cs="Arial"/>
          <w:color w:val="000000" w:themeColor="text1"/>
          <w:sz w:val="18"/>
        </w:rPr>
        <w:t>2</w:t>
      </w:r>
      <w:r w:rsidR="00531848" w:rsidRPr="00F576ED">
        <w:rPr>
          <w:rFonts w:ascii="Arial" w:hAnsi="Arial" w:cs="Arial"/>
          <w:color w:val="000000" w:themeColor="text1"/>
          <w:sz w:val="18"/>
        </w:rPr>
        <w:t>3</w:t>
      </w:r>
      <w:r w:rsidR="007B25B7" w:rsidRPr="00F576ED">
        <w:rPr>
          <w:rFonts w:ascii="Arial" w:hAnsi="Arial" w:cs="Arial"/>
          <w:color w:val="000000" w:themeColor="text1"/>
          <w:sz w:val="18"/>
        </w:rPr>
        <w:t>.</w:t>
      </w:r>
    </w:p>
    <w:p w14:paraId="51A9F405" w14:textId="527A7C05" w:rsidR="00121807" w:rsidRPr="00637ACF" w:rsidRDefault="00121807">
      <w:pPr>
        <w:rPr>
          <w:rFonts w:ascii="Arial" w:eastAsiaTheme="majorEastAsia" w:hAnsi="Arial" w:cs="Arial"/>
          <w:color w:val="000000" w:themeColor="text1"/>
          <w:highlight w:val="yellow"/>
        </w:rPr>
      </w:pPr>
    </w:p>
    <w:p w14:paraId="60A6DA8B" w14:textId="5A0D7763" w:rsidR="006341A4" w:rsidRPr="00F10172" w:rsidRDefault="006341A4" w:rsidP="006D1A48">
      <w:pPr>
        <w:pStyle w:val="Naslov2"/>
        <w:rPr>
          <w:szCs w:val="20"/>
        </w:rPr>
      </w:pPr>
      <w:bookmarkStart w:id="54" w:name="_Toc175563879"/>
      <w:r w:rsidRPr="00F10172">
        <w:t>2.1</w:t>
      </w:r>
      <w:r w:rsidR="00FA2740" w:rsidRPr="00F10172">
        <w:t>0</w:t>
      </w:r>
      <w:r w:rsidRPr="00F10172">
        <w:t xml:space="preserve"> Evidenčna naročila</w:t>
      </w:r>
      <w:bookmarkEnd w:id="54"/>
    </w:p>
    <w:p w14:paraId="7C1AF802" w14:textId="41E223D5" w:rsidR="006341A4" w:rsidRPr="00F10172" w:rsidRDefault="006341A4" w:rsidP="00854405">
      <w:pPr>
        <w:pStyle w:val="ZADEVA"/>
        <w:jc w:val="both"/>
        <w:rPr>
          <w:rFonts w:cs="Arial"/>
          <w:b w:val="0"/>
          <w:color w:val="FF0000"/>
          <w:szCs w:val="20"/>
          <w:lang w:val="sl-SI"/>
        </w:rPr>
      </w:pPr>
    </w:p>
    <w:p w14:paraId="63136648" w14:textId="1784E7F0" w:rsidR="00285A7C" w:rsidRPr="00F10172" w:rsidRDefault="00285A7C" w:rsidP="00285A7C">
      <w:pPr>
        <w:spacing w:line="360" w:lineRule="auto"/>
        <w:jc w:val="both"/>
        <w:rPr>
          <w:rFonts w:ascii="Arial" w:eastAsia="Times New Roman" w:hAnsi="Arial" w:cs="Arial"/>
          <w:color w:val="000000" w:themeColor="text1"/>
          <w:sz w:val="20"/>
          <w:szCs w:val="20"/>
          <w:lang w:eastAsia="sl-SI"/>
        </w:rPr>
      </w:pPr>
      <w:r w:rsidRPr="00F10172">
        <w:rPr>
          <w:rFonts w:ascii="Arial" w:hAnsi="Arial" w:cs="Arial"/>
          <w:bCs/>
          <w:color w:val="000000" w:themeColor="text1"/>
          <w:sz w:val="20"/>
          <w:szCs w:val="20"/>
        </w:rPr>
        <w:t>Podatke o evidenčnih naročilih v letu 2023 je sporočilo 2</w:t>
      </w:r>
      <w:r w:rsidR="00931978" w:rsidRPr="00F10172">
        <w:rPr>
          <w:rFonts w:ascii="Arial" w:hAnsi="Arial" w:cs="Arial"/>
          <w:bCs/>
          <w:color w:val="000000" w:themeColor="text1"/>
          <w:sz w:val="20"/>
          <w:szCs w:val="20"/>
        </w:rPr>
        <w:t>.</w:t>
      </w:r>
      <w:r w:rsidRPr="00F10172">
        <w:rPr>
          <w:rFonts w:ascii="Arial" w:hAnsi="Arial" w:cs="Arial"/>
          <w:bCs/>
          <w:color w:val="000000" w:themeColor="text1"/>
          <w:sz w:val="20"/>
          <w:szCs w:val="20"/>
        </w:rPr>
        <w:t xml:space="preserve">056 naročnikov. Skupno število evidenčnih naročil v letu 2023 je bilo 1.102.810 v vrednosti 1.484.325.448 evrov. </w:t>
      </w:r>
    </w:p>
    <w:p w14:paraId="7A47BBE2" w14:textId="77777777" w:rsidR="00285A7C" w:rsidRPr="00F10172" w:rsidRDefault="00285A7C" w:rsidP="00285A7C">
      <w:pPr>
        <w:tabs>
          <w:tab w:val="left" w:pos="567"/>
          <w:tab w:val="left" w:pos="993"/>
        </w:tabs>
        <w:spacing w:line="360" w:lineRule="auto"/>
        <w:jc w:val="both"/>
        <w:rPr>
          <w:rFonts w:ascii="Arial" w:hAnsi="Arial" w:cs="Arial"/>
          <w:bCs/>
          <w:color w:val="000000" w:themeColor="text1"/>
          <w:sz w:val="20"/>
          <w:szCs w:val="20"/>
        </w:rPr>
      </w:pPr>
      <w:r w:rsidRPr="00F10172">
        <w:rPr>
          <w:rFonts w:ascii="Arial" w:hAnsi="Arial" w:cs="Arial"/>
          <w:bCs/>
          <w:color w:val="000000" w:themeColor="text1"/>
          <w:sz w:val="20"/>
          <w:szCs w:val="20"/>
        </w:rPr>
        <w:t>V primerjavi z letom 2022 se je povečalo število evidenčnih naročil za 1,86 %, skupna vrednost evidenčnih naročil se je povečala za 3,31 %, povprečna vrednost evidenčnega naročila pa za 1,43 %.</w:t>
      </w:r>
    </w:p>
    <w:p w14:paraId="771D71C9" w14:textId="293D08A2" w:rsidR="0093150A" w:rsidRPr="00F10172" w:rsidRDefault="0093150A" w:rsidP="0093150A">
      <w:pPr>
        <w:rPr>
          <w:rFonts w:ascii="Arial" w:hAnsi="Arial" w:cs="Arial"/>
          <w:color w:val="000000" w:themeColor="text1"/>
          <w:sz w:val="20"/>
        </w:rPr>
      </w:pPr>
      <w:r w:rsidRPr="00F10172">
        <w:rPr>
          <w:rFonts w:ascii="Arial" w:hAnsi="Arial" w:cs="Arial"/>
          <w:color w:val="000000" w:themeColor="text1"/>
          <w:sz w:val="20"/>
        </w:rPr>
        <w:t>Pre</w:t>
      </w:r>
      <w:r w:rsidR="004B0127" w:rsidRPr="00F10172">
        <w:rPr>
          <w:rFonts w:ascii="Arial" w:hAnsi="Arial" w:cs="Arial"/>
          <w:color w:val="000000" w:themeColor="text1"/>
          <w:sz w:val="20"/>
        </w:rPr>
        <w:t xml:space="preserve">glednica </w:t>
      </w:r>
      <w:r w:rsidR="00EA747F" w:rsidRPr="00F10172">
        <w:rPr>
          <w:rFonts w:ascii="Arial" w:hAnsi="Arial" w:cs="Arial"/>
          <w:color w:val="000000" w:themeColor="text1"/>
          <w:sz w:val="20"/>
        </w:rPr>
        <w:t>55</w:t>
      </w:r>
      <w:r w:rsidRPr="00F10172">
        <w:rPr>
          <w:rFonts w:ascii="Arial" w:hAnsi="Arial" w:cs="Arial"/>
          <w:color w:val="000000" w:themeColor="text1"/>
          <w:sz w:val="20"/>
        </w:rPr>
        <w:t>: Vrednost, število in povprečna vrednost evidenčnih naročil v letih</w:t>
      </w:r>
      <w:r w:rsidR="00F32B68" w:rsidRPr="00F10172">
        <w:rPr>
          <w:rFonts w:ascii="Arial" w:hAnsi="Arial" w:cs="Arial"/>
          <w:color w:val="000000" w:themeColor="text1"/>
          <w:sz w:val="20"/>
        </w:rPr>
        <w:t xml:space="preserve"> </w:t>
      </w:r>
      <w:r w:rsidR="00212872" w:rsidRPr="00F10172">
        <w:rPr>
          <w:rFonts w:ascii="Arial" w:hAnsi="Arial" w:cs="Arial"/>
          <w:color w:val="000000" w:themeColor="text1"/>
          <w:sz w:val="20"/>
        </w:rPr>
        <w:t>201</w:t>
      </w:r>
      <w:r w:rsidR="00FE7D0D" w:rsidRPr="00F10172">
        <w:rPr>
          <w:rFonts w:ascii="Arial" w:hAnsi="Arial" w:cs="Arial"/>
          <w:color w:val="000000" w:themeColor="text1"/>
          <w:sz w:val="20"/>
        </w:rPr>
        <w:t>8</w:t>
      </w:r>
      <w:r w:rsidR="00212872" w:rsidRPr="00F10172">
        <w:rPr>
          <w:rFonts w:ascii="Arial" w:hAnsi="Arial" w:cs="Arial"/>
          <w:color w:val="000000" w:themeColor="text1"/>
          <w:sz w:val="20"/>
        </w:rPr>
        <w:t>–202</w:t>
      </w:r>
      <w:r w:rsidR="00285A7C" w:rsidRPr="00F10172">
        <w:rPr>
          <w:rFonts w:ascii="Arial" w:hAnsi="Arial" w:cs="Arial"/>
          <w:color w:val="000000" w:themeColor="text1"/>
          <w:sz w:val="20"/>
        </w:rPr>
        <w:t>3</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0"/>
        <w:gridCol w:w="1311"/>
        <w:gridCol w:w="1310"/>
        <w:gridCol w:w="1311"/>
        <w:gridCol w:w="1311"/>
        <w:gridCol w:w="1311"/>
        <w:gridCol w:w="1311"/>
      </w:tblGrid>
      <w:tr w:rsidR="00FE7D0D" w:rsidRPr="00F10172" w14:paraId="1B72F7FC" w14:textId="77777777" w:rsidTr="00FE7D0D">
        <w:trPr>
          <w:trHeight w:val="255"/>
          <w:jc w:val="center"/>
        </w:trPr>
        <w:tc>
          <w:tcPr>
            <w:tcW w:w="1310" w:type="dxa"/>
            <w:shd w:val="clear" w:color="auto" w:fill="F2F2F2" w:themeFill="background1" w:themeFillShade="F2"/>
            <w:noWrap/>
            <w:vAlign w:val="center"/>
            <w:hideMark/>
          </w:tcPr>
          <w:p w14:paraId="69536078" w14:textId="77777777" w:rsidR="00FE7D0D" w:rsidRPr="00F10172" w:rsidRDefault="00FE7D0D" w:rsidP="001E21A1">
            <w:pPr>
              <w:spacing w:after="0" w:line="240" w:lineRule="auto"/>
              <w:jc w:val="both"/>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 </w:t>
            </w:r>
          </w:p>
        </w:tc>
        <w:tc>
          <w:tcPr>
            <w:tcW w:w="1311" w:type="dxa"/>
            <w:shd w:val="clear" w:color="auto" w:fill="F2F2F2" w:themeFill="background1" w:themeFillShade="F2"/>
            <w:vAlign w:val="center"/>
            <w:hideMark/>
          </w:tcPr>
          <w:p w14:paraId="6EC5B5A0" w14:textId="77777777" w:rsidR="00FE7D0D" w:rsidRPr="00F10172" w:rsidRDefault="00FE7D0D" w:rsidP="001E21A1">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Leto 2018</w:t>
            </w:r>
          </w:p>
        </w:tc>
        <w:tc>
          <w:tcPr>
            <w:tcW w:w="1310" w:type="dxa"/>
            <w:shd w:val="clear" w:color="auto" w:fill="F2F2F2" w:themeFill="background1" w:themeFillShade="F2"/>
            <w:vAlign w:val="center"/>
            <w:hideMark/>
          </w:tcPr>
          <w:p w14:paraId="31D5A274" w14:textId="77777777" w:rsidR="00FE7D0D" w:rsidRPr="00F10172" w:rsidRDefault="00FE7D0D" w:rsidP="001E21A1">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Leto 2019</w:t>
            </w:r>
          </w:p>
        </w:tc>
        <w:tc>
          <w:tcPr>
            <w:tcW w:w="1311" w:type="dxa"/>
            <w:shd w:val="clear" w:color="auto" w:fill="F2F2F2" w:themeFill="background1" w:themeFillShade="F2"/>
            <w:noWrap/>
            <w:vAlign w:val="center"/>
            <w:hideMark/>
          </w:tcPr>
          <w:p w14:paraId="6BC60232" w14:textId="77777777" w:rsidR="00FE7D0D" w:rsidRPr="00F10172" w:rsidRDefault="00FE7D0D" w:rsidP="001E21A1">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Leto 2020</w:t>
            </w:r>
          </w:p>
        </w:tc>
        <w:tc>
          <w:tcPr>
            <w:tcW w:w="1311" w:type="dxa"/>
            <w:shd w:val="clear" w:color="auto" w:fill="F2F2F2" w:themeFill="background1" w:themeFillShade="F2"/>
            <w:vAlign w:val="center"/>
          </w:tcPr>
          <w:p w14:paraId="264F3200" w14:textId="77777777" w:rsidR="00FE7D0D" w:rsidRPr="00F10172" w:rsidRDefault="00FE7D0D" w:rsidP="001E21A1">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Leto 2021</w:t>
            </w:r>
          </w:p>
        </w:tc>
        <w:tc>
          <w:tcPr>
            <w:tcW w:w="1311" w:type="dxa"/>
            <w:shd w:val="clear" w:color="auto" w:fill="F2F2F2" w:themeFill="background1" w:themeFillShade="F2"/>
            <w:vAlign w:val="center"/>
          </w:tcPr>
          <w:p w14:paraId="473DEAF6" w14:textId="77777777" w:rsidR="00FE7D0D" w:rsidRPr="00F10172" w:rsidRDefault="00FE7D0D" w:rsidP="001E21A1">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Leto 2022</w:t>
            </w:r>
          </w:p>
        </w:tc>
        <w:tc>
          <w:tcPr>
            <w:tcW w:w="1311" w:type="dxa"/>
            <w:shd w:val="clear" w:color="auto" w:fill="F2F2F2" w:themeFill="background1" w:themeFillShade="F2"/>
            <w:vAlign w:val="center"/>
          </w:tcPr>
          <w:p w14:paraId="2D6BCBB7" w14:textId="77777777" w:rsidR="00FE7D0D" w:rsidRPr="00F10172" w:rsidRDefault="00FE7D0D" w:rsidP="001E21A1">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Leto 2023</w:t>
            </w:r>
          </w:p>
        </w:tc>
      </w:tr>
      <w:tr w:rsidR="00FE7D0D" w:rsidRPr="00F10172" w14:paraId="6BA27117" w14:textId="77777777" w:rsidTr="00FE7D0D">
        <w:trPr>
          <w:trHeight w:val="255"/>
          <w:jc w:val="center"/>
        </w:trPr>
        <w:tc>
          <w:tcPr>
            <w:tcW w:w="1310" w:type="dxa"/>
            <w:shd w:val="clear" w:color="auto" w:fill="auto"/>
            <w:noWrap/>
            <w:vAlign w:val="center"/>
            <w:hideMark/>
          </w:tcPr>
          <w:p w14:paraId="24A0437C" w14:textId="77777777" w:rsidR="00FE7D0D" w:rsidRPr="00F10172" w:rsidRDefault="00FE7D0D" w:rsidP="001E21A1">
            <w:pPr>
              <w:spacing w:after="0" w:line="240" w:lineRule="auto"/>
              <w:jc w:val="both"/>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Število naročil</w:t>
            </w:r>
          </w:p>
        </w:tc>
        <w:tc>
          <w:tcPr>
            <w:tcW w:w="1311" w:type="dxa"/>
            <w:shd w:val="clear" w:color="auto" w:fill="auto"/>
            <w:vAlign w:val="center"/>
            <w:hideMark/>
          </w:tcPr>
          <w:p w14:paraId="2B1AA21C"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1.052.365</w:t>
            </w:r>
          </w:p>
        </w:tc>
        <w:tc>
          <w:tcPr>
            <w:tcW w:w="1310" w:type="dxa"/>
            <w:shd w:val="clear" w:color="auto" w:fill="auto"/>
            <w:vAlign w:val="center"/>
            <w:hideMark/>
          </w:tcPr>
          <w:p w14:paraId="37C9E4F6"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1.062.405</w:t>
            </w:r>
          </w:p>
        </w:tc>
        <w:tc>
          <w:tcPr>
            <w:tcW w:w="1311" w:type="dxa"/>
            <w:shd w:val="clear" w:color="auto" w:fill="auto"/>
            <w:noWrap/>
            <w:vAlign w:val="center"/>
            <w:hideMark/>
          </w:tcPr>
          <w:p w14:paraId="57619492"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897.133</w:t>
            </w:r>
          </w:p>
        </w:tc>
        <w:tc>
          <w:tcPr>
            <w:tcW w:w="1311" w:type="dxa"/>
            <w:vAlign w:val="center"/>
          </w:tcPr>
          <w:p w14:paraId="558D91C2"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1.004.600</w:t>
            </w:r>
          </w:p>
        </w:tc>
        <w:tc>
          <w:tcPr>
            <w:tcW w:w="1311" w:type="dxa"/>
            <w:vAlign w:val="center"/>
          </w:tcPr>
          <w:p w14:paraId="331DAED2"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1.082.656</w:t>
            </w:r>
          </w:p>
        </w:tc>
        <w:tc>
          <w:tcPr>
            <w:tcW w:w="1311" w:type="dxa"/>
            <w:vAlign w:val="center"/>
          </w:tcPr>
          <w:p w14:paraId="14C884FC"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1.102.810</w:t>
            </w:r>
          </w:p>
        </w:tc>
      </w:tr>
      <w:tr w:rsidR="00FE7D0D" w:rsidRPr="00F10172" w14:paraId="719ECFCC" w14:textId="77777777" w:rsidTr="00FE7D0D">
        <w:trPr>
          <w:trHeight w:val="255"/>
          <w:jc w:val="center"/>
        </w:trPr>
        <w:tc>
          <w:tcPr>
            <w:tcW w:w="1310" w:type="dxa"/>
            <w:shd w:val="clear" w:color="auto" w:fill="auto"/>
            <w:noWrap/>
            <w:vAlign w:val="center"/>
            <w:hideMark/>
          </w:tcPr>
          <w:p w14:paraId="51D96C60" w14:textId="2C30D341" w:rsidR="00FE7D0D" w:rsidRPr="00F10172" w:rsidRDefault="00FE7D0D" w:rsidP="0095799F">
            <w:pPr>
              <w:spacing w:after="0" w:line="240" w:lineRule="auto"/>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Pogodbena vrednost</w:t>
            </w:r>
            <w:r w:rsidR="00055BE0" w:rsidRPr="00F10172">
              <w:rPr>
                <w:rFonts w:ascii="Arial" w:eastAsia="Times New Roman" w:hAnsi="Arial" w:cs="Arial"/>
                <w:color w:val="000000" w:themeColor="text1"/>
                <w:sz w:val="18"/>
                <w:szCs w:val="18"/>
                <w:lang w:eastAsia="sl-SI"/>
              </w:rPr>
              <w:t xml:space="preserve"> (v EUR)</w:t>
            </w:r>
          </w:p>
        </w:tc>
        <w:tc>
          <w:tcPr>
            <w:tcW w:w="1311" w:type="dxa"/>
            <w:shd w:val="clear" w:color="auto" w:fill="auto"/>
            <w:vAlign w:val="center"/>
            <w:hideMark/>
          </w:tcPr>
          <w:p w14:paraId="5D104303"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1.007.513.578</w:t>
            </w:r>
          </w:p>
        </w:tc>
        <w:tc>
          <w:tcPr>
            <w:tcW w:w="1310" w:type="dxa"/>
            <w:shd w:val="clear" w:color="auto" w:fill="auto"/>
            <w:vAlign w:val="center"/>
            <w:hideMark/>
          </w:tcPr>
          <w:p w14:paraId="53E7A760"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1.032.255.312</w:t>
            </w:r>
          </w:p>
        </w:tc>
        <w:tc>
          <w:tcPr>
            <w:tcW w:w="1311" w:type="dxa"/>
            <w:shd w:val="clear" w:color="auto" w:fill="auto"/>
            <w:noWrap/>
            <w:vAlign w:val="center"/>
            <w:hideMark/>
          </w:tcPr>
          <w:p w14:paraId="790CED2E"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1.071.471.718</w:t>
            </w:r>
          </w:p>
        </w:tc>
        <w:tc>
          <w:tcPr>
            <w:tcW w:w="1311" w:type="dxa"/>
            <w:vAlign w:val="center"/>
          </w:tcPr>
          <w:p w14:paraId="7FF3FFB5"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1.247.795.009</w:t>
            </w:r>
          </w:p>
        </w:tc>
        <w:tc>
          <w:tcPr>
            <w:tcW w:w="1311" w:type="dxa"/>
            <w:vAlign w:val="center"/>
          </w:tcPr>
          <w:p w14:paraId="4EA5C8A6"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1.436.796.005</w:t>
            </w:r>
          </w:p>
        </w:tc>
        <w:tc>
          <w:tcPr>
            <w:tcW w:w="1311" w:type="dxa"/>
            <w:vAlign w:val="center"/>
          </w:tcPr>
          <w:p w14:paraId="490F78EC"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1.484.325.448</w:t>
            </w:r>
          </w:p>
        </w:tc>
      </w:tr>
      <w:tr w:rsidR="00FE7D0D" w:rsidRPr="00F10172" w14:paraId="7A31C9F4" w14:textId="77777777" w:rsidTr="00FE7D0D">
        <w:trPr>
          <w:trHeight w:val="255"/>
          <w:jc w:val="center"/>
        </w:trPr>
        <w:tc>
          <w:tcPr>
            <w:tcW w:w="1310" w:type="dxa"/>
            <w:shd w:val="clear" w:color="auto" w:fill="auto"/>
            <w:noWrap/>
            <w:vAlign w:val="center"/>
            <w:hideMark/>
          </w:tcPr>
          <w:p w14:paraId="7496ABAF" w14:textId="15C4A562" w:rsidR="00FE7D0D" w:rsidRPr="00F10172" w:rsidRDefault="00FE7D0D" w:rsidP="0095799F">
            <w:pPr>
              <w:spacing w:after="0" w:line="240" w:lineRule="auto"/>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Povprečna vrednost naročila</w:t>
            </w:r>
            <w:r w:rsidR="00055BE0" w:rsidRPr="00F10172">
              <w:rPr>
                <w:rFonts w:ascii="Arial" w:eastAsia="Times New Roman" w:hAnsi="Arial" w:cs="Arial"/>
                <w:color w:val="000000" w:themeColor="text1"/>
                <w:sz w:val="18"/>
                <w:szCs w:val="18"/>
                <w:lang w:eastAsia="sl-SI"/>
              </w:rPr>
              <w:t xml:space="preserve"> (v EUR)</w:t>
            </w:r>
          </w:p>
        </w:tc>
        <w:tc>
          <w:tcPr>
            <w:tcW w:w="1311" w:type="dxa"/>
            <w:shd w:val="clear" w:color="auto" w:fill="auto"/>
            <w:vAlign w:val="center"/>
            <w:hideMark/>
          </w:tcPr>
          <w:p w14:paraId="2482F207"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957</w:t>
            </w:r>
          </w:p>
        </w:tc>
        <w:tc>
          <w:tcPr>
            <w:tcW w:w="1310" w:type="dxa"/>
            <w:shd w:val="clear" w:color="auto" w:fill="auto"/>
            <w:vAlign w:val="center"/>
            <w:hideMark/>
          </w:tcPr>
          <w:p w14:paraId="4E8BBA94"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972</w:t>
            </w:r>
          </w:p>
        </w:tc>
        <w:tc>
          <w:tcPr>
            <w:tcW w:w="1311" w:type="dxa"/>
            <w:shd w:val="clear" w:color="auto" w:fill="auto"/>
            <w:noWrap/>
            <w:vAlign w:val="center"/>
            <w:hideMark/>
          </w:tcPr>
          <w:p w14:paraId="618196E8"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1.194</w:t>
            </w:r>
          </w:p>
        </w:tc>
        <w:tc>
          <w:tcPr>
            <w:tcW w:w="1311" w:type="dxa"/>
            <w:vAlign w:val="center"/>
          </w:tcPr>
          <w:p w14:paraId="438725A3"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1.242</w:t>
            </w:r>
          </w:p>
        </w:tc>
        <w:tc>
          <w:tcPr>
            <w:tcW w:w="1311" w:type="dxa"/>
            <w:vAlign w:val="center"/>
          </w:tcPr>
          <w:p w14:paraId="32BBB283"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1.327</w:t>
            </w:r>
          </w:p>
        </w:tc>
        <w:tc>
          <w:tcPr>
            <w:tcW w:w="1311" w:type="dxa"/>
            <w:vAlign w:val="center"/>
          </w:tcPr>
          <w:p w14:paraId="65BC0C53" w14:textId="77777777" w:rsidR="00FE7D0D" w:rsidRPr="00F10172" w:rsidRDefault="00FE7D0D" w:rsidP="001E21A1">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1.346</w:t>
            </w:r>
          </w:p>
        </w:tc>
      </w:tr>
    </w:tbl>
    <w:p w14:paraId="29020837" w14:textId="77777777" w:rsidR="0093150A" w:rsidRPr="00F10172" w:rsidRDefault="0093150A" w:rsidP="0093150A">
      <w:pPr>
        <w:spacing w:after="0" w:line="240" w:lineRule="auto"/>
        <w:jc w:val="center"/>
        <w:rPr>
          <w:rFonts w:ascii="Arial" w:hAnsi="Arial" w:cs="Arial"/>
          <w:noProof/>
          <w:color w:val="000000" w:themeColor="text1"/>
          <w:sz w:val="20"/>
          <w:szCs w:val="20"/>
          <w:lang w:eastAsia="sl-SI"/>
        </w:rPr>
      </w:pPr>
    </w:p>
    <w:p w14:paraId="3E106957" w14:textId="126612B7" w:rsidR="0093150A" w:rsidRPr="00F10172" w:rsidRDefault="0093150A" w:rsidP="004404F0">
      <w:pPr>
        <w:spacing w:after="240" w:line="240" w:lineRule="auto"/>
        <w:jc w:val="center"/>
        <w:rPr>
          <w:rFonts w:ascii="Arial" w:hAnsi="Arial" w:cs="Arial"/>
          <w:color w:val="000000" w:themeColor="text1"/>
          <w:sz w:val="18"/>
          <w:szCs w:val="18"/>
        </w:rPr>
      </w:pPr>
      <w:r w:rsidRPr="00F10172">
        <w:rPr>
          <w:rFonts w:ascii="Arial" w:hAnsi="Arial" w:cs="Arial"/>
          <w:color w:val="000000" w:themeColor="text1"/>
          <w:sz w:val="18"/>
          <w:szCs w:val="18"/>
        </w:rPr>
        <w:t xml:space="preserve">Vir: Statistični podatki o javnih naročilih, oddanih v letih </w:t>
      </w:r>
      <w:r w:rsidR="00212872" w:rsidRPr="00F10172">
        <w:rPr>
          <w:rFonts w:ascii="Arial" w:hAnsi="Arial" w:cs="Arial"/>
          <w:color w:val="000000" w:themeColor="text1"/>
          <w:sz w:val="18"/>
          <w:szCs w:val="18"/>
        </w:rPr>
        <w:t>201</w:t>
      </w:r>
      <w:r w:rsidR="00FE7D0D" w:rsidRPr="00F10172">
        <w:rPr>
          <w:rFonts w:ascii="Arial" w:hAnsi="Arial" w:cs="Arial"/>
          <w:color w:val="000000" w:themeColor="text1"/>
          <w:sz w:val="18"/>
          <w:szCs w:val="18"/>
        </w:rPr>
        <w:t>8</w:t>
      </w:r>
      <w:r w:rsidR="00212872" w:rsidRPr="00F10172">
        <w:rPr>
          <w:rFonts w:ascii="Arial" w:hAnsi="Arial" w:cs="Arial"/>
          <w:color w:val="000000" w:themeColor="text1"/>
          <w:sz w:val="18"/>
          <w:szCs w:val="18"/>
        </w:rPr>
        <w:t>–202</w:t>
      </w:r>
      <w:r w:rsidR="00285A7C" w:rsidRPr="00F10172">
        <w:rPr>
          <w:rFonts w:ascii="Arial" w:hAnsi="Arial" w:cs="Arial"/>
          <w:color w:val="000000" w:themeColor="text1"/>
          <w:sz w:val="18"/>
          <w:szCs w:val="18"/>
        </w:rPr>
        <w:t>3</w:t>
      </w:r>
      <w:r w:rsidR="007B25B7" w:rsidRPr="00F10172">
        <w:rPr>
          <w:rFonts w:ascii="Arial" w:hAnsi="Arial" w:cs="Arial"/>
          <w:color w:val="000000" w:themeColor="text1"/>
          <w:sz w:val="18"/>
          <w:szCs w:val="18"/>
        </w:rPr>
        <w:t>.</w:t>
      </w:r>
    </w:p>
    <w:p w14:paraId="33122AFD" w14:textId="6B42CD02" w:rsidR="00315538" w:rsidRPr="00F10172" w:rsidRDefault="00315538" w:rsidP="00315538">
      <w:pPr>
        <w:tabs>
          <w:tab w:val="left" w:pos="567"/>
          <w:tab w:val="left" w:pos="993"/>
        </w:tabs>
        <w:spacing w:line="360" w:lineRule="auto"/>
        <w:jc w:val="both"/>
        <w:rPr>
          <w:rFonts w:ascii="Arial" w:hAnsi="Arial" w:cs="Arial"/>
          <w:bCs/>
          <w:color w:val="000000" w:themeColor="text1"/>
          <w:sz w:val="20"/>
          <w:szCs w:val="20"/>
        </w:rPr>
      </w:pPr>
      <w:r w:rsidRPr="00F10172">
        <w:rPr>
          <w:rFonts w:ascii="Arial" w:hAnsi="Arial" w:cs="Arial"/>
          <w:bCs/>
          <w:color w:val="000000" w:themeColor="text1"/>
          <w:sz w:val="20"/>
          <w:szCs w:val="20"/>
        </w:rPr>
        <w:lastRenderedPageBreak/>
        <w:t xml:space="preserve">Iz preglednice </w:t>
      </w:r>
      <w:r w:rsidR="00512F52" w:rsidRPr="00F10172">
        <w:rPr>
          <w:rFonts w:ascii="Arial" w:hAnsi="Arial" w:cs="Arial"/>
          <w:bCs/>
          <w:color w:val="000000" w:themeColor="text1"/>
          <w:sz w:val="20"/>
          <w:szCs w:val="20"/>
        </w:rPr>
        <w:t>5</w:t>
      </w:r>
      <w:r w:rsidR="00EA747F" w:rsidRPr="00F10172">
        <w:rPr>
          <w:rFonts w:ascii="Arial" w:hAnsi="Arial" w:cs="Arial"/>
          <w:bCs/>
          <w:color w:val="000000" w:themeColor="text1"/>
          <w:sz w:val="20"/>
          <w:szCs w:val="20"/>
        </w:rPr>
        <w:t>6</w:t>
      </w:r>
      <w:r w:rsidRPr="00F10172">
        <w:rPr>
          <w:rFonts w:ascii="Arial" w:hAnsi="Arial" w:cs="Arial"/>
          <w:bCs/>
          <w:color w:val="000000" w:themeColor="text1"/>
          <w:sz w:val="20"/>
          <w:szCs w:val="20"/>
        </w:rPr>
        <w:t xml:space="preserve"> izhaja, da so naročniki po številu in vrednosti največ evidenčnih naročil oddali na splošnem in najmanj na obrambnem področju.</w:t>
      </w:r>
    </w:p>
    <w:p w14:paraId="7A821060" w14:textId="40119AF0" w:rsidR="0093150A" w:rsidRPr="00F10172" w:rsidRDefault="004B0127" w:rsidP="00DA241A">
      <w:pPr>
        <w:tabs>
          <w:tab w:val="left" w:pos="567"/>
          <w:tab w:val="left" w:pos="993"/>
        </w:tabs>
        <w:spacing w:line="360" w:lineRule="auto"/>
        <w:jc w:val="both"/>
        <w:rPr>
          <w:rFonts w:ascii="Arial" w:hAnsi="Arial" w:cs="Arial"/>
          <w:color w:val="000000" w:themeColor="text1"/>
          <w:sz w:val="20"/>
        </w:rPr>
      </w:pPr>
      <w:r w:rsidRPr="00F10172">
        <w:rPr>
          <w:rFonts w:ascii="Arial" w:hAnsi="Arial" w:cs="Arial"/>
          <w:color w:val="000000" w:themeColor="text1"/>
          <w:sz w:val="20"/>
        </w:rPr>
        <w:t xml:space="preserve">Preglednica </w:t>
      </w:r>
      <w:r w:rsidR="00EA747F" w:rsidRPr="00F10172">
        <w:rPr>
          <w:rFonts w:ascii="Arial" w:hAnsi="Arial" w:cs="Arial"/>
          <w:color w:val="000000" w:themeColor="text1"/>
          <w:sz w:val="20"/>
        </w:rPr>
        <w:t>56</w:t>
      </w:r>
      <w:r w:rsidR="0093150A" w:rsidRPr="00F10172">
        <w:rPr>
          <w:rFonts w:ascii="Arial" w:hAnsi="Arial" w:cs="Arial"/>
          <w:color w:val="000000" w:themeColor="text1"/>
          <w:sz w:val="20"/>
        </w:rPr>
        <w:t>: Vrednost, število in deleži evidenčnih naročil po področj</w:t>
      </w:r>
      <w:r w:rsidR="00DB6DE7" w:rsidRPr="00F10172">
        <w:rPr>
          <w:rFonts w:ascii="Arial" w:hAnsi="Arial" w:cs="Arial"/>
          <w:color w:val="000000" w:themeColor="text1"/>
          <w:sz w:val="20"/>
        </w:rPr>
        <w:t>ih</w:t>
      </w:r>
      <w:r w:rsidR="0093150A" w:rsidRPr="00F10172">
        <w:rPr>
          <w:rFonts w:ascii="Arial" w:hAnsi="Arial" w:cs="Arial"/>
          <w:color w:val="000000" w:themeColor="text1"/>
          <w:sz w:val="20"/>
        </w:rPr>
        <w:t xml:space="preserve"> naročanja</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276"/>
        <w:gridCol w:w="1559"/>
        <w:gridCol w:w="1276"/>
        <w:gridCol w:w="1417"/>
      </w:tblGrid>
      <w:tr w:rsidR="006D1A48" w:rsidRPr="00F10172" w14:paraId="1E7B697D" w14:textId="77777777" w:rsidTr="009F76B3">
        <w:trPr>
          <w:trHeight w:val="255"/>
          <w:jc w:val="center"/>
        </w:trPr>
        <w:tc>
          <w:tcPr>
            <w:tcW w:w="1838" w:type="dxa"/>
            <w:shd w:val="clear" w:color="auto" w:fill="F2F2F2" w:themeFill="background1" w:themeFillShade="F2"/>
            <w:vAlign w:val="center"/>
            <w:hideMark/>
          </w:tcPr>
          <w:p w14:paraId="2B6983E4" w14:textId="77777777" w:rsidR="00F32B68" w:rsidRPr="00F10172" w:rsidRDefault="00F32B68" w:rsidP="00F32B68">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Področje</w:t>
            </w:r>
          </w:p>
        </w:tc>
        <w:tc>
          <w:tcPr>
            <w:tcW w:w="1276" w:type="dxa"/>
            <w:shd w:val="clear" w:color="auto" w:fill="F2F2F2" w:themeFill="background1" w:themeFillShade="F2"/>
            <w:vAlign w:val="center"/>
            <w:hideMark/>
          </w:tcPr>
          <w:p w14:paraId="09F57994" w14:textId="77777777" w:rsidR="00F32B68" w:rsidRPr="00F10172" w:rsidRDefault="00F32B68" w:rsidP="00F32B68">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Št. naročil</w:t>
            </w:r>
          </w:p>
        </w:tc>
        <w:tc>
          <w:tcPr>
            <w:tcW w:w="1559" w:type="dxa"/>
            <w:shd w:val="clear" w:color="auto" w:fill="F2F2F2" w:themeFill="background1" w:themeFillShade="F2"/>
            <w:vAlign w:val="center"/>
            <w:hideMark/>
          </w:tcPr>
          <w:p w14:paraId="2945DBA3" w14:textId="35B14046" w:rsidR="00F32B68" w:rsidRPr="00F10172" w:rsidRDefault="00F32B68" w:rsidP="00F32B68">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Pogodbena vrednost</w:t>
            </w:r>
            <w:r w:rsidR="00055BE0" w:rsidRPr="00F10172">
              <w:rPr>
                <w:rFonts w:ascii="Arial" w:eastAsia="Times New Roman" w:hAnsi="Arial" w:cs="Arial"/>
                <w:color w:val="000000" w:themeColor="text1"/>
                <w:sz w:val="18"/>
                <w:szCs w:val="18"/>
                <w:lang w:eastAsia="sl-SI"/>
              </w:rPr>
              <w:t xml:space="preserve"> (v EUR)</w:t>
            </w:r>
          </w:p>
        </w:tc>
        <w:tc>
          <w:tcPr>
            <w:tcW w:w="1276" w:type="dxa"/>
            <w:shd w:val="clear" w:color="auto" w:fill="F2F2F2" w:themeFill="background1" w:themeFillShade="F2"/>
            <w:vAlign w:val="center"/>
            <w:hideMark/>
          </w:tcPr>
          <w:p w14:paraId="7807D0E1" w14:textId="77777777" w:rsidR="00F32B68" w:rsidRPr="00F10172" w:rsidRDefault="00F32B68" w:rsidP="00F32B68">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Delež v št. naročil</w:t>
            </w:r>
          </w:p>
        </w:tc>
        <w:tc>
          <w:tcPr>
            <w:tcW w:w="1417" w:type="dxa"/>
            <w:shd w:val="clear" w:color="auto" w:fill="F2F2F2" w:themeFill="background1" w:themeFillShade="F2"/>
            <w:vAlign w:val="center"/>
            <w:hideMark/>
          </w:tcPr>
          <w:p w14:paraId="5EE551AE" w14:textId="77777777" w:rsidR="00F32B68" w:rsidRPr="00F10172" w:rsidRDefault="00F32B68" w:rsidP="00F32B68">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Delež v vrednosti</w:t>
            </w:r>
          </w:p>
        </w:tc>
      </w:tr>
      <w:tr w:rsidR="006D1A48" w:rsidRPr="00F10172" w14:paraId="11C9539D" w14:textId="77777777" w:rsidTr="00285A7C">
        <w:trPr>
          <w:trHeight w:val="255"/>
          <w:jc w:val="center"/>
        </w:trPr>
        <w:tc>
          <w:tcPr>
            <w:tcW w:w="1838" w:type="dxa"/>
            <w:shd w:val="clear" w:color="auto" w:fill="auto"/>
            <w:vAlign w:val="center"/>
            <w:hideMark/>
          </w:tcPr>
          <w:p w14:paraId="7F8A9BC0" w14:textId="77777777" w:rsidR="00285A7C" w:rsidRPr="00F10172" w:rsidRDefault="00285A7C" w:rsidP="00285A7C">
            <w:pPr>
              <w:spacing w:after="0" w:line="240" w:lineRule="auto"/>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Splošno</w:t>
            </w:r>
          </w:p>
        </w:tc>
        <w:tc>
          <w:tcPr>
            <w:tcW w:w="1276" w:type="dxa"/>
            <w:shd w:val="clear" w:color="auto" w:fill="auto"/>
            <w:vAlign w:val="center"/>
            <w:hideMark/>
          </w:tcPr>
          <w:p w14:paraId="03860F90" w14:textId="291B86B1"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1.030.825</w:t>
            </w:r>
          </w:p>
        </w:tc>
        <w:tc>
          <w:tcPr>
            <w:tcW w:w="1559" w:type="dxa"/>
            <w:shd w:val="clear" w:color="auto" w:fill="auto"/>
            <w:vAlign w:val="center"/>
            <w:hideMark/>
          </w:tcPr>
          <w:p w14:paraId="490FAFB3" w14:textId="5FD49328"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1.300.471.740</w:t>
            </w:r>
          </w:p>
        </w:tc>
        <w:tc>
          <w:tcPr>
            <w:tcW w:w="1276" w:type="dxa"/>
            <w:shd w:val="clear" w:color="auto" w:fill="auto"/>
            <w:noWrap/>
            <w:vAlign w:val="center"/>
            <w:hideMark/>
          </w:tcPr>
          <w:p w14:paraId="79D43C31" w14:textId="1D939616"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93,47 %</w:t>
            </w:r>
          </w:p>
        </w:tc>
        <w:tc>
          <w:tcPr>
            <w:tcW w:w="1417" w:type="dxa"/>
            <w:shd w:val="clear" w:color="auto" w:fill="auto"/>
            <w:noWrap/>
            <w:vAlign w:val="center"/>
            <w:hideMark/>
          </w:tcPr>
          <w:p w14:paraId="5E161FA8" w14:textId="67D1BCFD"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87,61 %</w:t>
            </w:r>
          </w:p>
        </w:tc>
      </w:tr>
      <w:tr w:rsidR="006D1A48" w:rsidRPr="00F10172" w14:paraId="0D37130D" w14:textId="77777777" w:rsidTr="00285A7C">
        <w:trPr>
          <w:trHeight w:val="255"/>
          <w:jc w:val="center"/>
        </w:trPr>
        <w:tc>
          <w:tcPr>
            <w:tcW w:w="1838" w:type="dxa"/>
            <w:shd w:val="clear" w:color="auto" w:fill="auto"/>
            <w:vAlign w:val="center"/>
            <w:hideMark/>
          </w:tcPr>
          <w:p w14:paraId="739970DE" w14:textId="01C0346F" w:rsidR="00285A7C" w:rsidRPr="00F10172" w:rsidRDefault="00285A7C" w:rsidP="00285A7C">
            <w:pPr>
              <w:spacing w:after="0" w:line="240" w:lineRule="auto"/>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Infrastrukturno</w:t>
            </w:r>
          </w:p>
        </w:tc>
        <w:tc>
          <w:tcPr>
            <w:tcW w:w="1276" w:type="dxa"/>
            <w:shd w:val="clear" w:color="auto" w:fill="auto"/>
            <w:vAlign w:val="center"/>
            <w:hideMark/>
          </w:tcPr>
          <w:p w14:paraId="608BF5C0" w14:textId="28522467"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71.948</w:t>
            </w:r>
          </w:p>
        </w:tc>
        <w:tc>
          <w:tcPr>
            <w:tcW w:w="1559" w:type="dxa"/>
            <w:shd w:val="clear" w:color="auto" w:fill="auto"/>
            <w:vAlign w:val="center"/>
            <w:hideMark/>
          </w:tcPr>
          <w:p w14:paraId="745F9F63" w14:textId="4CDBA5F7"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183.347.033</w:t>
            </w:r>
          </w:p>
        </w:tc>
        <w:tc>
          <w:tcPr>
            <w:tcW w:w="1276" w:type="dxa"/>
            <w:shd w:val="clear" w:color="auto" w:fill="auto"/>
            <w:noWrap/>
            <w:vAlign w:val="center"/>
            <w:hideMark/>
          </w:tcPr>
          <w:p w14:paraId="13729499" w14:textId="7D4E1FFC"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6,52 %</w:t>
            </w:r>
          </w:p>
        </w:tc>
        <w:tc>
          <w:tcPr>
            <w:tcW w:w="1417" w:type="dxa"/>
            <w:shd w:val="clear" w:color="auto" w:fill="auto"/>
            <w:noWrap/>
            <w:vAlign w:val="center"/>
            <w:hideMark/>
          </w:tcPr>
          <w:p w14:paraId="2DBB8055" w14:textId="37A2F008"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12,35 %</w:t>
            </w:r>
          </w:p>
        </w:tc>
      </w:tr>
      <w:tr w:rsidR="006D1A48" w:rsidRPr="00F10172" w14:paraId="1748F8A6" w14:textId="77777777" w:rsidTr="00285A7C">
        <w:trPr>
          <w:trHeight w:val="255"/>
          <w:jc w:val="center"/>
        </w:trPr>
        <w:tc>
          <w:tcPr>
            <w:tcW w:w="1838" w:type="dxa"/>
            <w:shd w:val="clear" w:color="auto" w:fill="auto"/>
            <w:vAlign w:val="center"/>
            <w:hideMark/>
          </w:tcPr>
          <w:p w14:paraId="14E288DB" w14:textId="762EF028" w:rsidR="00285A7C" w:rsidRPr="00F10172" w:rsidRDefault="00285A7C" w:rsidP="00285A7C">
            <w:pPr>
              <w:spacing w:after="0" w:line="240" w:lineRule="auto"/>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Obrambno</w:t>
            </w:r>
          </w:p>
        </w:tc>
        <w:tc>
          <w:tcPr>
            <w:tcW w:w="1276" w:type="dxa"/>
            <w:shd w:val="clear" w:color="auto" w:fill="auto"/>
            <w:vAlign w:val="center"/>
            <w:hideMark/>
          </w:tcPr>
          <w:p w14:paraId="51A8F6B3" w14:textId="0B5BC8E7"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37</w:t>
            </w:r>
          </w:p>
        </w:tc>
        <w:tc>
          <w:tcPr>
            <w:tcW w:w="1559" w:type="dxa"/>
            <w:shd w:val="clear" w:color="auto" w:fill="auto"/>
            <w:vAlign w:val="center"/>
            <w:hideMark/>
          </w:tcPr>
          <w:p w14:paraId="5A0D1342" w14:textId="695D7A18"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506.675</w:t>
            </w:r>
          </w:p>
        </w:tc>
        <w:tc>
          <w:tcPr>
            <w:tcW w:w="1276" w:type="dxa"/>
            <w:shd w:val="clear" w:color="auto" w:fill="auto"/>
            <w:noWrap/>
            <w:vAlign w:val="center"/>
            <w:hideMark/>
          </w:tcPr>
          <w:p w14:paraId="42A8A9D6" w14:textId="2544CAB3"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0,00 %</w:t>
            </w:r>
          </w:p>
        </w:tc>
        <w:tc>
          <w:tcPr>
            <w:tcW w:w="1417" w:type="dxa"/>
            <w:shd w:val="clear" w:color="auto" w:fill="auto"/>
            <w:noWrap/>
            <w:vAlign w:val="center"/>
            <w:hideMark/>
          </w:tcPr>
          <w:p w14:paraId="5B884EEE" w14:textId="1BD46863"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0,03 %</w:t>
            </w:r>
          </w:p>
        </w:tc>
      </w:tr>
      <w:tr w:rsidR="006D1A48" w:rsidRPr="00F10172" w14:paraId="2123E853" w14:textId="77777777" w:rsidTr="00285A7C">
        <w:trPr>
          <w:trHeight w:val="255"/>
          <w:jc w:val="center"/>
        </w:trPr>
        <w:tc>
          <w:tcPr>
            <w:tcW w:w="1838" w:type="dxa"/>
            <w:shd w:val="clear" w:color="auto" w:fill="F2F2F2" w:themeFill="background1" w:themeFillShade="F2"/>
            <w:vAlign w:val="center"/>
            <w:hideMark/>
          </w:tcPr>
          <w:p w14:paraId="6577B944" w14:textId="77777777" w:rsidR="00285A7C" w:rsidRPr="00F10172" w:rsidRDefault="00285A7C" w:rsidP="00285A7C">
            <w:pPr>
              <w:spacing w:after="0" w:line="240" w:lineRule="auto"/>
              <w:jc w:val="both"/>
              <w:rPr>
                <w:rFonts w:ascii="Arial" w:eastAsia="Times New Roman" w:hAnsi="Arial" w:cs="Arial"/>
                <w:b/>
                <w:bCs/>
                <w:color w:val="000000" w:themeColor="text1"/>
                <w:sz w:val="18"/>
                <w:szCs w:val="18"/>
                <w:lang w:eastAsia="sl-SI"/>
              </w:rPr>
            </w:pPr>
            <w:r w:rsidRPr="00F10172">
              <w:rPr>
                <w:rFonts w:ascii="Arial" w:eastAsia="Times New Roman" w:hAnsi="Arial" w:cs="Arial"/>
                <w:b/>
                <w:bCs/>
                <w:color w:val="000000" w:themeColor="text1"/>
                <w:sz w:val="18"/>
                <w:szCs w:val="18"/>
                <w:lang w:eastAsia="sl-SI"/>
              </w:rPr>
              <w:t>Skupaj</w:t>
            </w:r>
          </w:p>
        </w:tc>
        <w:tc>
          <w:tcPr>
            <w:tcW w:w="1276" w:type="dxa"/>
            <w:shd w:val="clear" w:color="auto" w:fill="F2F2F2" w:themeFill="background1" w:themeFillShade="F2"/>
            <w:noWrap/>
            <w:vAlign w:val="center"/>
            <w:hideMark/>
          </w:tcPr>
          <w:p w14:paraId="3D0B520D" w14:textId="4EB9F9EF" w:rsidR="00285A7C" w:rsidRPr="00F10172" w:rsidRDefault="00285A7C" w:rsidP="00285A7C">
            <w:pPr>
              <w:spacing w:after="0" w:line="240" w:lineRule="auto"/>
              <w:jc w:val="right"/>
              <w:rPr>
                <w:rFonts w:ascii="Arial" w:eastAsia="Times New Roman" w:hAnsi="Arial" w:cs="Arial"/>
                <w:b/>
                <w:bCs/>
                <w:color w:val="000000" w:themeColor="text1"/>
                <w:sz w:val="18"/>
                <w:szCs w:val="18"/>
                <w:lang w:eastAsia="sl-SI"/>
              </w:rPr>
            </w:pPr>
            <w:r w:rsidRPr="00F10172">
              <w:rPr>
                <w:rFonts w:ascii="Arial" w:eastAsia="Times New Roman" w:hAnsi="Arial" w:cs="Arial"/>
                <w:b/>
                <w:bCs/>
                <w:color w:val="000000" w:themeColor="text1"/>
                <w:sz w:val="18"/>
                <w:szCs w:val="18"/>
                <w:lang w:eastAsia="sl-SI"/>
              </w:rPr>
              <w:t>1.102.810</w:t>
            </w:r>
          </w:p>
        </w:tc>
        <w:tc>
          <w:tcPr>
            <w:tcW w:w="1559" w:type="dxa"/>
            <w:shd w:val="clear" w:color="auto" w:fill="F2F2F2" w:themeFill="background1" w:themeFillShade="F2"/>
            <w:noWrap/>
            <w:vAlign w:val="center"/>
            <w:hideMark/>
          </w:tcPr>
          <w:p w14:paraId="76578939" w14:textId="1C1709D5" w:rsidR="00285A7C" w:rsidRPr="00F10172" w:rsidRDefault="00285A7C" w:rsidP="00285A7C">
            <w:pPr>
              <w:spacing w:after="0" w:line="240" w:lineRule="auto"/>
              <w:jc w:val="right"/>
              <w:rPr>
                <w:rFonts w:ascii="Arial" w:eastAsia="Times New Roman" w:hAnsi="Arial" w:cs="Arial"/>
                <w:b/>
                <w:bCs/>
                <w:color w:val="000000" w:themeColor="text1"/>
                <w:sz w:val="18"/>
                <w:szCs w:val="18"/>
                <w:lang w:eastAsia="sl-SI"/>
              </w:rPr>
            </w:pPr>
            <w:r w:rsidRPr="00F10172">
              <w:rPr>
                <w:rFonts w:ascii="Arial" w:eastAsia="Times New Roman" w:hAnsi="Arial" w:cs="Arial"/>
                <w:b/>
                <w:bCs/>
                <w:color w:val="000000" w:themeColor="text1"/>
                <w:sz w:val="18"/>
                <w:szCs w:val="18"/>
                <w:lang w:eastAsia="sl-SI"/>
              </w:rPr>
              <w:t>1.484.325.448</w:t>
            </w:r>
          </w:p>
        </w:tc>
        <w:tc>
          <w:tcPr>
            <w:tcW w:w="1276" w:type="dxa"/>
            <w:shd w:val="clear" w:color="auto" w:fill="F2F2F2" w:themeFill="background1" w:themeFillShade="F2"/>
            <w:noWrap/>
            <w:vAlign w:val="center"/>
            <w:hideMark/>
          </w:tcPr>
          <w:p w14:paraId="17383B02" w14:textId="63F3534D" w:rsidR="00285A7C" w:rsidRPr="00F10172" w:rsidRDefault="00285A7C" w:rsidP="00285A7C">
            <w:pPr>
              <w:spacing w:after="0" w:line="240" w:lineRule="auto"/>
              <w:jc w:val="right"/>
              <w:rPr>
                <w:rFonts w:ascii="Arial" w:eastAsia="Times New Roman" w:hAnsi="Arial" w:cs="Arial"/>
                <w:b/>
                <w:bCs/>
                <w:color w:val="000000" w:themeColor="text1"/>
                <w:sz w:val="18"/>
                <w:szCs w:val="18"/>
                <w:lang w:eastAsia="sl-SI"/>
              </w:rPr>
            </w:pPr>
            <w:r w:rsidRPr="00F10172">
              <w:rPr>
                <w:rFonts w:ascii="Arial" w:eastAsia="Times New Roman" w:hAnsi="Arial" w:cs="Arial"/>
                <w:b/>
                <w:bCs/>
                <w:color w:val="000000" w:themeColor="text1"/>
                <w:sz w:val="18"/>
                <w:szCs w:val="18"/>
                <w:lang w:eastAsia="sl-SI"/>
              </w:rPr>
              <w:t>100,00 %</w:t>
            </w:r>
          </w:p>
        </w:tc>
        <w:tc>
          <w:tcPr>
            <w:tcW w:w="1417" w:type="dxa"/>
            <w:shd w:val="clear" w:color="auto" w:fill="F2F2F2" w:themeFill="background1" w:themeFillShade="F2"/>
            <w:noWrap/>
            <w:vAlign w:val="center"/>
            <w:hideMark/>
          </w:tcPr>
          <w:p w14:paraId="633C7365" w14:textId="20D013EA" w:rsidR="00285A7C" w:rsidRPr="00F10172" w:rsidRDefault="00285A7C" w:rsidP="00285A7C">
            <w:pPr>
              <w:spacing w:after="0" w:line="240" w:lineRule="auto"/>
              <w:jc w:val="right"/>
              <w:rPr>
                <w:rFonts w:ascii="Arial" w:eastAsia="Times New Roman" w:hAnsi="Arial" w:cs="Arial"/>
                <w:b/>
                <w:bCs/>
                <w:color w:val="000000" w:themeColor="text1"/>
                <w:sz w:val="18"/>
                <w:szCs w:val="18"/>
                <w:lang w:eastAsia="sl-SI"/>
              </w:rPr>
            </w:pPr>
            <w:r w:rsidRPr="00F10172">
              <w:rPr>
                <w:rFonts w:ascii="Arial" w:eastAsia="Times New Roman" w:hAnsi="Arial" w:cs="Arial"/>
                <w:b/>
                <w:bCs/>
                <w:color w:val="000000" w:themeColor="text1"/>
                <w:sz w:val="18"/>
                <w:szCs w:val="18"/>
                <w:lang w:eastAsia="sl-SI"/>
              </w:rPr>
              <w:t>100,00 %</w:t>
            </w:r>
          </w:p>
        </w:tc>
      </w:tr>
    </w:tbl>
    <w:p w14:paraId="1AE62ABA" w14:textId="77777777" w:rsidR="0093150A" w:rsidRPr="00F10172" w:rsidRDefault="0093150A" w:rsidP="0093150A">
      <w:pPr>
        <w:spacing w:after="0" w:line="240" w:lineRule="auto"/>
        <w:jc w:val="center"/>
        <w:rPr>
          <w:rFonts w:ascii="Arial" w:hAnsi="Arial" w:cs="Arial"/>
          <w:color w:val="000000" w:themeColor="text1"/>
          <w:sz w:val="18"/>
        </w:rPr>
      </w:pPr>
    </w:p>
    <w:p w14:paraId="0B01F352" w14:textId="08848AD6" w:rsidR="0093150A" w:rsidRPr="00F10172" w:rsidRDefault="0093150A" w:rsidP="0093150A">
      <w:pPr>
        <w:spacing w:after="0" w:line="240" w:lineRule="auto"/>
        <w:jc w:val="center"/>
        <w:rPr>
          <w:rFonts w:ascii="Arial" w:hAnsi="Arial" w:cs="Arial"/>
          <w:color w:val="000000" w:themeColor="text1"/>
          <w:sz w:val="18"/>
        </w:rPr>
      </w:pPr>
      <w:r w:rsidRPr="00F10172">
        <w:rPr>
          <w:rFonts w:ascii="Arial" w:hAnsi="Arial" w:cs="Arial"/>
          <w:color w:val="000000" w:themeColor="text1"/>
          <w:sz w:val="18"/>
        </w:rPr>
        <w:t>Vir: Statistični podatki o javnih naročilih, oddanih v letu 20</w:t>
      </w:r>
      <w:r w:rsidR="009D4C4E" w:rsidRPr="00F10172">
        <w:rPr>
          <w:rFonts w:ascii="Arial" w:hAnsi="Arial" w:cs="Arial"/>
          <w:color w:val="000000" w:themeColor="text1"/>
          <w:sz w:val="18"/>
        </w:rPr>
        <w:t>2</w:t>
      </w:r>
      <w:r w:rsidR="00285A7C" w:rsidRPr="00F10172">
        <w:rPr>
          <w:rFonts w:ascii="Arial" w:hAnsi="Arial" w:cs="Arial"/>
          <w:color w:val="000000" w:themeColor="text1"/>
          <w:sz w:val="18"/>
        </w:rPr>
        <w:t>3</w:t>
      </w:r>
      <w:r w:rsidR="007B25B7" w:rsidRPr="00F10172">
        <w:rPr>
          <w:rFonts w:ascii="Arial" w:hAnsi="Arial" w:cs="Arial"/>
          <w:color w:val="000000" w:themeColor="text1"/>
          <w:sz w:val="18"/>
        </w:rPr>
        <w:t>.</w:t>
      </w:r>
    </w:p>
    <w:p w14:paraId="64E04AC8" w14:textId="77777777" w:rsidR="0093150A" w:rsidRPr="00F10172" w:rsidRDefault="0093150A" w:rsidP="0093150A">
      <w:pPr>
        <w:tabs>
          <w:tab w:val="left" w:pos="567"/>
          <w:tab w:val="left" w:pos="993"/>
        </w:tabs>
        <w:spacing w:after="0" w:line="360" w:lineRule="auto"/>
        <w:jc w:val="both"/>
        <w:rPr>
          <w:rFonts w:ascii="Arial" w:hAnsi="Arial" w:cs="Arial"/>
          <w:color w:val="000000" w:themeColor="text1"/>
          <w:sz w:val="20"/>
          <w:szCs w:val="20"/>
          <w:lang w:eastAsia="sl-SI"/>
        </w:rPr>
      </w:pPr>
    </w:p>
    <w:p w14:paraId="1E69ADF3" w14:textId="77777777" w:rsidR="00285A7C" w:rsidRPr="00F10172" w:rsidRDefault="00285A7C" w:rsidP="00285A7C">
      <w:pPr>
        <w:tabs>
          <w:tab w:val="left" w:pos="567"/>
          <w:tab w:val="left" w:pos="993"/>
        </w:tabs>
        <w:spacing w:line="360" w:lineRule="auto"/>
        <w:jc w:val="both"/>
        <w:rPr>
          <w:rFonts w:ascii="Arial" w:hAnsi="Arial" w:cs="Arial"/>
          <w:color w:val="000000" w:themeColor="text1"/>
          <w:sz w:val="20"/>
          <w:szCs w:val="20"/>
          <w:lang w:eastAsia="sl-SI"/>
        </w:rPr>
      </w:pPr>
      <w:r w:rsidRPr="00F10172">
        <w:rPr>
          <w:rFonts w:ascii="Arial" w:hAnsi="Arial" w:cs="Arial"/>
          <w:color w:val="000000" w:themeColor="text1"/>
          <w:sz w:val="20"/>
          <w:szCs w:val="20"/>
          <w:lang w:eastAsia="sl-SI"/>
        </w:rPr>
        <w:t xml:space="preserve">Glede na predmet naročanja slaba polovica naročil blaga znaša dobro tretjino vrednosti vseh evidenčnih naročil. </w:t>
      </w:r>
    </w:p>
    <w:p w14:paraId="027DB221" w14:textId="4C430127" w:rsidR="00315538" w:rsidRPr="00F10172" w:rsidRDefault="00315538" w:rsidP="00315538">
      <w:pPr>
        <w:spacing w:before="120" w:after="120" w:line="240" w:lineRule="auto"/>
        <w:jc w:val="both"/>
        <w:rPr>
          <w:rFonts w:ascii="Arial" w:hAnsi="Arial" w:cs="Arial"/>
          <w:color w:val="000000" w:themeColor="text1"/>
          <w:sz w:val="20"/>
        </w:rPr>
      </w:pPr>
      <w:r w:rsidRPr="00F10172">
        <w:rPr>
          <w:rFonts w:ascii="Arial" w:hAnsi="Arial" w:cs="Arial"/>
          <w:color w:val="000000" w:themeColor="text1"/>
          <w:sz w:val="20"/>
        </w:rPr>
        <w:t xml:space="preserve">Preglednica </w:t>
      </w:r>
      <w:r w:rsidR="00512F52" w:rsidRPr="00F10172">
        <w:rPr>
          <w:rFonts w:ascii="Arial" w:hAnsi="Arial" w:cs="Arial"/>
          <w:color w:val="000000" w:themeColor="text1"/>
          <w:sz w:val="20"/>
        </w:rPr>
        <w:t>5</w:t>
      </w:r>
      <w:r w:rsidR="00EA747F" w:rsidRPr="00F10172">
        <w:rPr>
          <w:rFonts w:ascii="Arial" w:hAnsi="Arial" w:cs="Arial"/>
          <w:color w:val="000000" w:themeColor="text1"/>
          <w:sz w:val="20"/>
        </w:rPr>
        <w:t>7</w:t>
      </w:r>
      <w:r w:rsidRPr="00F10172">
        <w:rPr>
          <w:rFonts w:ascii="Arial" w:hAnsi="Arial" w:cs="Arial"/>
          <w:color w:val="000000" w:themeColor="text1"/>
          <w:sz w:val="20"/>
        </w:rPr>
        <w:t>: Vrednost, število in deleži evidenčnih naročil po predmetu naročanja</w:t>
      </w:r>
    </w:p>
    <w:tbl>
      <w:tblPr>
        <w:tblW w:w="7118" w:type="dxa"/>
        <w:jc w:val="center"/>
        <w:tblCellMar>
          <w:left w:w="70" w:type="dxa"/>
          <w:right w:w="70" w:type="dxa"/>
        </w:tblCellMar>
        <w:tblLook w:val="04A0" w:firstRow="1" w:lastRow="0" w:firstColumn="1" w:lastColumn="0" w:noHBand="0" w:noVBand="1"/>
      </w:tblPr>
      <w:tblGrid>
        <w:gridCol w:w="1701"/>
        <w:gridCol w:w="1271"/>
        <w:gridCol w:w="1559"/>
        <w:gridCol w:w="1281"/>
        <w:gridCol w:w="1306"/>
      </w:tblGrid>
      <w:tr w:rsidR="006D1A48" w:rsidRPr="00F10172" w14:paraId="59C14A9C" w14:textId="77777777" w:rsidTr="00CD447F">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10FC46" w14:textId="77777777" w:rsidR="00F517FD" w:rsidRPr="00F10172" w:rsidRDefault="00F517FD" w:rsidP="00F517FD">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 xml:space="preserve">Predmet </w:t>
            </w:r>
          </w:p>
        </w:tc>
        <w:tc>
          <w:tcPr>
            <w:tcW w:w="12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AACBD1" w14:textId="77777777" w:rsidR="00F517FD" w:rsidRPr="00F10172" w:rsidRDefault="00F517FD" w:rsidP="00F517FD">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Št. naročil</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59E837" w14:textId="7BF0F209" w:rsidR="00F517FD" w:rsidRPr="00F10172" w:rsidRDefault="00F517FD" w:rsidP="00F517FD">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Pogodbena vrednost</w:t>
            </w:r>
            <w:r w:rsidR="00055BE0" w:rsidRPr="00F10172">
              <w:rPr>
                <w:rFonts w:ascii="Arial" w:eastAsia="Times New Roman" w:hAnsi="Arial" w:cs="Arial"/>
                <w:color w:val="000000" w:themeColor="text1"/>
                <w:sz w:val="18"/>
                <w:szCs w:val="18"/>
                <w:lang w:eastAsia="sl-SI"/>
              </w:rPr>
              <w:t xml:space="preserve"> (v EUR)</w:t>
            </w:r>
          </w:p>
        </w:tc>
        <w:tc>
          <w:tcPr>
            <w:tcW w:w="128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2E7745" w14:textId="77777777" w:rsidR="00F517FD" w:rsidRPr="00F10172" w:rsidRDefault="00F517FD" w:rsidP="00F517FD">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Delež v št. naročil</w:t>
            </w:r>
          </w:p>
        </w:tc>
        <w:tc>
          <w:tcPr>
            <w:tcW w:w="130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A2847C" w14:textId="77777777" w:rsidR="00F517FD" w:rsidRPr="00F10172" w:rsidRDefault="00F517FD" w:rsidP="00F517FD">
            <w:pPr>
              <w:spacing w:after="0" w:line="240" w:lineRule="auto"/>
              <w:jc w:val="center"/>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Delež v vrednosti</w:t>
            </w:r>
          </w:p>
        </w:tc>
      </w:tr>
      <w:tr w:rsidR="006D1A48" w:rsidRPr="00F10172" w14:paraId="0DB9EE5F" w14:textId="77777777" w:rsidTr="00AF6C62">
        <w:trPr>
          <w:trHeight w:val="25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7581A09" w14:textId="77777777" w:rsidR="00285A7C" w:rsidRPr="00F10172" w:rsidRDefault="00285A7C" w:rsidP="00285A7C">
            <w:pPr>
              <w:spacing w:after="0" w:line="240" w:lineRule="auto"/>
              <w:jc w:val="both"/>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Blago</w:t>
            </w:r>
          </w:p>
        </w:tc>
        <w:tc>
          <w:tcPr>
            <w:tcW w:w="1271" w:type="dxa"/>
            <w:tcBorders>
              <w:top w:val="nil"/>
              <w:left w:val="nil"/>
              <w:bottom w:val="single" w:sz="4" w:space="0" w:color="auto"/>
              <w:right w:val="single" w:sz="4" w:space="0" w:color="auto"/>
            </w:tcBorders>
            <w:shd w:val="clear" w:color="auto" w:fill="auto"/>
            <w:vAlign w:val="center"/>
            <w:hideMark/>
          </w:tcPr>
          <w:p w14:paraId="39EBC388" w14:textId="49B1B08F"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551.338</w:t>
            </w:r>
          </w:p>
        </w:tc>
        <w:tc>
          <w:tcPr>
            <w:tcW w:w="1559" w:type="dxa"/>
            <w:tcBorders>
              <w:top w:val="nil"/>
              <w:left w:val="nil"/>
              <w:bottom w:val="single" w:sz="4" w:space="0" w:color="auto"/>
              <w:right w:val="single" w:sz="4" w:space="0" w:color="auto"/>
            </w:tcBorders>
            <w:shd w:val="clear" w:color="auto" w:fill="auto"/>
            <w:vAlign w:val="center"/>
            <w:hideMark/>
          </w:tcPr>
          <w:p w14:paraId="24B90057" w14:textId="66320DDC"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495.884.082</w:t>
            </w:r>
          </w:p>
        </w:tc>
        <w:tc>
          <w:tcPr>
            <w:tcW w:w="1281" w:type="dxa"/>
            <w:tcBorders>
              <w:top w:val="nil"/>
              <w:left w:val="nil"/>
              <w:bottom w:val="single" w:sz="4" w:space="0" w:color="auto"/>
              <w:right w:val="single" w:sz="4" w:space="0" w:color="auto"/>
            </w:tcBorders>
            <w:shd w:val="clear" w:color="auto" w:fill="auto"/>
            <w:noWrap/>
            <w:vAlign w:val="center"/>
            <w:hideMark/>
          </w:tcPr>
          <w:p w14:paraId="684ECB77" w14:textId="2C35C6F4"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49,99 %</w:t>
            </w:r>
          </w:p>
        </w:tc>
        <w:tc>
          <w:tcPr>
            <w:tcW w:w="1306" w:type="dxa"/>
            <w:tcBorders>
              <w:top w:val="nil"/>
              <w:left w:val="nil"/>
              <w:bottom w:val="single" w:sz="4" w:space="0" w:color="auto"/>
              <w:right w:val="single" w:sz="4" w:space="0" w:color="auto"/>
            </w:tcBorders>
            <w:shd w:val="clear" w:color="auto" w:fill="auto"/>
            <w:noWrap/>
            <w:vAlign w:val="center"/>
            <w:hideMark/>
          </w:tcPr>
          <w:p w14:paraId="31E08779" w14:textId="7194C220"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33,41 %</w:t>
            </w:r>
          </w:p>
        </w:tc>
      </w:tr>
      <w:tr w:rsidR="006D1A48" w:rsidRPr="00F10172" w14:paraId="0412BFD2" w14:textId="77777777" w:rsidTr="00AF6C62">
        <w:trPr>
          <w:trHeight w:val="25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0FA7BF1" w14:textId="77777777" w:rsidR="00285A7C" w:rsidRPr="00F10172" w:rsidRDefault="00285A7C" w:rsidP="00285A7C">
            <w:pPr>
              <w:spacing w:after="0" w:line="240" w:lineRule="auto"/>
              <w:jc w:val="both"/>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Storitve</w:t>
            </w:r>
          </w:p>
        </w:tc>
        <w:tc>
          <w:tcPr>
            <w:tcW w:w="1271" w:type="dxa"/>
            <w:tcBorders>
              <w:top w:val="nil"/>
              <w:left w:val="nil"/>
              <w:bottom w:val="single" w:sz="4" w:space="0" w:color="auto"/>
              <w:right w:val="single" w:sz="4" w:space="0" w:color="auto"/>
            </w:tcBorders>
            <w:shd w:val="clear" w:color="auto" w:fill="auto"/>
            <w:vAlign w:val="center"/>
            <w:hideMark/>
          </w:tcPr>
          <w:p w14:paraId="1471A6B1" w14:textId="51FCDCA8"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536.569</w:t>
            </w:r>
          </w:p>
        </w:tc>
        <w:tc>
          <w:tcPr>
            <w:tcW w:w="1559" w:type="dxa"/>
            <w:tcBorders>
              <w:top w:val="nil"/>
              <w:left w:val="nil"/>
              <w:bottom w:val="single" w:sz="4" w:space="0" w:color="auto"/>
              <w:right w:val="single" w:sz="4" w:space="0" w:color="auto"/>
            </w:tcBorders>
            <w:shd w:val="clear" w:color="auto" w:fill="auto"/>
            <w:vAlign w:val="center"/>
            <w:hideMark/>
          </w:tcPr>
          <w:p w14:paraId="67149B7B" w14:textId="52917BBF"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809.441.099</w:t>
            </w:r>
          </w:p>
        </w:tc>
        <w:tc>
          <w:tcPr>
            <w:tcW w:w="1281" w:type="dxa"/>
            <w:tcBorders>
              <w:top w:val="nil"/>
              <w:left w:val="nil"/>
              <w:bottom w:val="single" w:sz="4" w:space="0" w:color="auto"/>
              <w:right w:val="single" w:sz="4" w:space="0" w:color="auto"/>
            </w:tcBorders>
            <w:shd w:val="clear" w:color="auto" w:fill="auto"/>
            <w:noWrap/>
            <w:vAlign w:val="center"/>
            <w:hideMark/>
          </w:tcPr>
          <w:p w14:paraId="1C9DACF4" w14:textId="2407F504"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48,65 %</w:t>
            </w:r>
          </w:p>
        </w:tc>
        <w:tc>
          <w:tcPr>
            <w:tcW w:w="1306" w:type="dxa"/>
            <w:tcBorders>
              <w:top w:val="nil"/>
              <w:left w:val="nil"/>
              <w:bottom w:val="single" w:sz="4" w:space="0" w:color="auto"/>
              <w:right w:val="single" w:sz="4" w:space="0" w:color="auto"/>
            </w:tcBorders>
            <w:shd w:val="clear" w:color="auto" w:fill="auto"/>
            <w:noWrap/>
            <w:vAlign w:val="center"/>
            <w:hideMark/>
          </w:tcPr>
          <w:p w14:paraId="6800DC5D" w14:textId="62D6F6CC"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54,53 %</w:t>
            </w:r>
          </w:p>
        </w:tc>
      </w:tr>
      <w:tr w:rsidR="006D1A48" w:rsidRPr="00F10172" w14:paraId="0461B9C0" w14:textId="77777777" w:rsidTr="00AF6C62">
        <w:trPr>
          <w:trHeight w:val="255"/>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E557B35" w14:textId="77777777" w:rsidR="00285A7C" w:rsidRPr="00F10172" w:rsidRDefault="00285A7C" w:rsidP="00285A7C">
            <w:pPr>
              <w:spacing w:after="0" w:line="240" w:lineRule="auto"/>
              <w:jc w:val="both"/>
              <w:rPr>
                <w:rFonts w:ascii="Arial" w:eastAsia="Times New Roman" w:hAnsi="Arial" w:cs="Arial"/>
                <w:color w:val="000000" w:themeColor="text1"/>
                <w:sz w:val="18"/>
                <w:szCs w:val="18"/>
                <w:lang w:eastAsia="sl-SI"/>
              </w:rPr>
            </w:pPr>
            <w:r w:rsidRPr="00F10172">
              <w:rPr>
                <w:rFonts w:ascii="Arial" w:eastAsia="Times New Roman" w:hAnsi="Arial" w:cs="Arial"/>
                <w:color w:val="000000" w:themeColor="text1"/>
                <w:sz w:val="18"/>
                <w:szCs w:val="18"/>
                <w:lang w:eastAsia="sl-SI"/>
              </w:rPr>
              <w:t>Gradnje</w:t>
            </w:r>
          </w:p>
        </w:tc>
        <w:tc>
          <w:tcPr>
            <w:tcW w:w="1271" w:type="dxa"/>
            <w:tcBorders>
              <w:top w:val="nil"/>
              <w:left w:val="nil"/>
              <w:bottom w:val="single" w:sz="4" w:space="0" w:color="auto"/>
              <w:right w:val="single" w:sz="4" w:space="0" w:color="auto"/>
            </w:tcBorders>
            <w:shd w:val="clear" w:color="auto" w:fill="auto"/>
            <w:vAlign w:val="center"/>
            <w:hideMark/>
          </w:tcPr>
          <w:p w14:paraId="106488A2" w14:textId="4574B2FB"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14.903</w:t>
            </w:r>
          </w:p>
        </w:tc>
        <w:tc>
          <w:tcPr>
            <w:tcW w:w="1559" w:type="dxa"/>
            <w:tcBorders>
              <w:top w:val="nil"/>
              <w:left w:val="nil"/>
              <w:bottom w:val="single" w:sz="4" w:space="0" w:color="auto"/>
              <w:right w:val="single" w:sz="4" w:space="0" w:color="auto"/>
            </w:tcBorders>
            <w:shd w:val="clear" w:color="auto" w:fill="auto"/>
            <w:vAlign w:val="center"/>
            <w:hideMark/>
          </w:tcPr>
          <w:p w14:paraId="7BDA634C" w14:textId="7A559AFC"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179.000.267</w:t>
            </w:r>
          </w:p>
        </w:tc>
        <w:tc>
          <w:tcPr>
            <w:tcW w:w="1281" w:type="dxa"/>
            <w:tcBorders>
              <w:top w:val="nil"/>
              <w:left w:val="nil"/>
              <w:bottom w:val="single" w:sz="4" w:space="0" w:color="auto"/>
              <w:right w:val="single" w:sz="4" w:space="0" w:color="auto"/>
            </w:tcBorders>
            <w:shd w:val="clear" w:color="auto" w:fill="auto"/>
            <w:noWrap/>
            <w:vAlign w:val="center"/>
            <w:hideMark/>
          </w:tcPr>
          <w:p w14:paraId="04206083" w14:textId="289A3959"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1,35 %</w:t>
            </w:r>
          </w:p>
        </w:tc>
        <w:tc>
          <w:tcPr>
            <w:tcW w:w="1306" w:type="dxa"/>
            <w:tcBorders>
              <w:top w:val="nil"/>
              <w:left w:val="nil"/>
              <w:bottom w:val="single" w:sz="4" w:space="0" w:color="auto"/>
              <w:right w:val="single" w:sz="4" w:space="0" w:color="auto"/>
            </w:tcBorders>
            <w:shd w:val="clear" w:color="auto" w:fill="auto"/>
            <w:noWrap/>
            <w:vAlign w:val="center"/>
            <w:hideMark/>
          </w:tcPr>
          <w:p w14:paraId="6923257A" w14:textId="17C09EBE" w:rsidR="00285A7C" w:rsidRPr="00F10172" w:rsidRDefault="00285A7C" w:rsidP="00285A7C">
            <w:pPr>
              <w:spacing w:after="0" w:line="240" w:lineRule="auto"/>
              <w:jc w:val="right"/>
              <w:rPr>
                <w:rFonts w:ascii="Arial" w:eastAsia="Times New Roman" w:hAnsi="Arial" w:cs="Arial"/>
                <w:color w:val="000000" w:themeColor="text1"/>
                <w:sz w:val="18"/>
                <w:szCs w:val="18"/>
                <w:lang w:eastAsia="sl-SI"/>
              </w:rPr>
            </w:pPr>
            <w:r w:rsidRPr="00F10172">
              <w:rPr>
                <w:rFonts w:ascii="Arial" w:hAnsi="Arial" w:cs="Arial"/>
                <w:color w:val="000000" w:themeColor="text1"/>
                <w:sz w:val="18"/>
                <w:szCs w:val="18"/>
              </w:rPr>
              <w:t>12,06 %</w:t>
            </w:r>
          </w:p>
        </w:tc>
      </w:tr>
      <w:tr w:rsidR="006D1A48" w:rsidRPr="00F10172" w14:paraId="1BF7552F" w14:textId="77777777" w:rsidTr="00AF6C62">
        <w:trPr>
          <w:trHeight w:val="255"/>
          <w:jc w:val="center"/>
        </w:trPr>
        <w:tc>
          <w:tcPr>
            <w:tcW w:w="170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1FBAF7" w14:textId="77777777" w:rsidR="00285A7C" w:rsidRPr="00F10172" w:rsidRDefault="00285A7C" w:rsidP="00285A7C">
            <w:pPr>
              <w:spacing w:after="0" w:line="240" w:lineRule="auto"/>
              <w:jc w:val="both"/>
              <w:rPr>
                <w:rFonts w:ascii="Arial" w:eastAsia="Times New Roman" w:hAnsi="Arial" w:cs="Arial"/>
                <w:b/>
                <w:bCs/>
                <w:color w:val="000000" w:themeColor="text1"/>
                <w:sz w:val="18"/>
                <w:szCs w:val="18"/>
                <w:lang w:eastAsia="sl-SI"/>
              </w:rPr>
            </w:pPr>
            <w:r w:rsidRPr="00F10172">
              <w:rPr>
                <w:rFonts w:ascii="Arial" w:eastAsia="Times New Roman" w:hAnsi="Arial" w:cs="Arial"/>
                <w:b/>
                <w:bCs/>
                <w:color w:val="000000" w:themeColor="text1"/>
                <w:sz w:val="18"/>
                <w:szCs w:val="18"/>
                <w:lang w:eastAsia="sl-SI"/>
              </w:rPr>
              <w:t>Skupaj</w:t>
            </w:r>
          </w:p>
        </w:tc>
        <w:tc>
          <w:tcPr>
            <w:tcW w:w="1271" w:type="dxa"/>
            <w:tcBorders>
              <w:top w:val="nil"/>
              <w:left w:val="nil"/>
              <w:bottom w:val="single" w:sz="4" w:space="0" w:color="auto"/>
              <w:right w:val="single" w:sz="4" w:space="0" w:color="auto"/>
            </w:tcBorders>
            <w:shd w:val="clear" w:color="auto" w:fill="F2F2F2" w:themeFill="background1" w:themeFillShade="F2"/>
            <w:noWrap/>
            <w:vAlign w:val="center"/>
            <w:hideMark/>
          </w:tcPr>
          <w:p w14:paraId="405462C2" w14:textId="5242ACE3" w:rsidR="00285A7C" w:rsidRPr="00F10172" w:rsidRDefault="00285A7C" w:rsidP="00285A7C">
            <w:pPr>
              <w:spacing w:after="0" w:line="240" w:lineRule="auto"/>
              <w:jc w:val="right"/>
              <w:rPr>
                <w:rFonts w:ascii="Arial" w:eastAsia="Times New Roman" w:hAnsi="Arial" w:cs="Arial"/>
                <w:b/>
                <w:bCs/>
                <w:color w:val="000000" w:themeColor="text1"/>
                <w:sz w:val="18"/>
                <w:szCs w:val="18"/>
                <w:lang w:eastAsia="sl-SI"/>
              </w:rPr>
            </w:pPr>
            <w:r w:rsidRPr="00F10172">
              <w:rPr>
                <w:rFonts w:ascii="Arial" w:hAnsi="Arial" w:cs="Arial"/>
                <w:b/>
                <w:bCs/>
                <w:color w:val="000000" w:themeColor="text1"/>
                <w:sz w:val="18"/>
                <w:szCs w:val="18"/>
              </w:rPr>
              <w:t>1.102.810</w:t>
            </w: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hideMark/>
          </w:tcPr>
          <w:p w14:paraId="005D7BD4" w14:textId="14CF83D8" w:rsidR="00285A7C" w:rsidRPr="00F10172" w:rsidRDefault="00285A7C" w:rsidP="00285A7C">
            <w:pPr>
              <w:spacing w:after="0" w:line="240" w:lineRule="auto"/>
              <w:jc w:val="right"/>
              <w:rPr>
                <w:rFonts w:ascii="Arial" w:eastAsia="Times New Roman" w:hAnsi="Arial" w:cs="Arial"/>
                <w:b/>
                <w:bCs/>
                <w:color w:val="000000" w:themeColor="text1"/>
                <w:sz w:val="18"/>
                <w:szCs w:val="18"/>
                <w:lang w:eastAsia="sl-SI"/>
              </w:rPr>
            </w:pPr>
            <w:r w:rsidRPr="00F10172">
              <w:rPr>
                <w:rFonts w:ascii="Arial" w:hAnsi="Arial" w:cs="Arial"/>
                <w:b/>
                <w:bCs/>
                <w:color w:val="000000" w:themeColor="text1"/>
                <w:sz w:val="18"/>
                <w:szCs w:val="18"/>
              </w:rPr>
              <w:t>1.484.325.448</w:t>
            </w:r>
          </w:p>
        </w:tc>
        <w:tc>
          <w:tcPr>
            <w:tcW w:w="1281" w:type="dxa"/>
            <w:tcBorders>
              <w:top w:val="nil"/>
              <w:left w:val="nil"/>
              <w:bottom w:val="single" w:sz="4" w:space="0" w:color="auto"/>
              <w:right w:val="single" w:sz="4" w:space="0" w:color="auto"/>
            </w:tcBorders>
            <w:shd w:val="clear" w:color="auto" w:fill="F2F2F2" w:themeFill="background1" w:themeFillShade="F2"/>
            <w:noWrap/>
            <w:vAlign w:val="center"/>
            <w:hideMark/>
          </w:tcPr>
          <w:p w14:paraId="1D643535" w14:textId="75F41877" w:rsidR="00285A7C" w:rsidRPr="00F10172" w:rsidRDefault="00285A7C" w:rsidP="00285A7C">
            <w:pPr>
              <w:spacing w:after="0" w:line="240" w:lineRule="auto"/>
              <w:jc w:val="right"/>
              <w:rPr>
                <w:rFonts w:ascii="Arial" w:eastAsia="Times New Roman" w:hAnsi="Arial" w:cs="Arial"/>
                <w:b/>
                <w:bCs/>
                <w:color w:val="000000" w:themeColor="text1"/>
                <w:sz w:val="18"/>
                <w:szCs w:val="18"/>
                <w:lang w:eastAsia="sl-SI"/>
              </w:rPr>
            </w:pPr>
            <w:r w:rsidRPr="00F10172">
              <w:rPr>
                <w:rFonts w:ascii="Arial" w:hAnsi="Arial" w:cs="Arial"/>
                <w:b/>
                <w:bCs/>
                <w:color w:val="000000" w:themeColor="text1"/>
                <w:sz w:val="18"/>
                <w:szCs w:val="18"/>
              </w:rPr>
              <w:t>100,00 %</w:t>
            </w:r>
          </w:p>
        </w:tc>
        <w:tc>
          <w:tcPr>
            <w:tcW w:w="1306" w:type="dxa"/>
            <w:tcBorders>
              <w:top w:val="nil"/>
              <w:left w:val="nil"/>
              <w:bottom w:val="single" w:sz="4" w:space="0" w:color="auto"/>
              <w:right w:val="single" w:sz="4" w:space="0" w:color="auto"/>
            </w:tcBorders>
            <w:shd w:val="clear" w:color="auto" w:fill="F2F2F2" w:themeFill="background1" w:themeFillShade="F2"/>
            <w:noWrap/>
            <w:vAlign w:val="center"/>
            <w:hideMark/>
          </w:tcPr>
          <w:p w14:paraId="2859E6C8" w14:textId="44396277" w:rsidR="00285A7C" w:rsidRPr="00F10172" w:rsidRDefault="00285A7C" w:rsidP="00285A7C">
            <w:pPr>
              <w:spacing w:after="0" w:line="240" w:lineRule="auto"/>
              <w:jc w:val="right"/>
              <w:rPr>
                <w:rFonts w:ascii="Arial" w:eastAsia="Times New Roman" w:hAnsi="Arial" w:cs="Arial"/>
                <w:b/>
                <w:bCs/>
                <w:color w:val="000000" w:themeColor="text1"/>
                <w:sz w:val="18"/>
                <w:szCs w:val="18"/>
                <w:lang w:eastAsia="sl-SI"/>
              </w:rPr>
            </w:pPr>
            <w:r w:rsidRPr="00F10172">
              <w:rPr>
                <w:rFonts w:ascii="Arial" w:hAnsi="Arial" w:cs="Arial"/>
                <w:b/>
                <w:bCs/>
                <w:color w:val="000000" w:themeColor="text1"/>
                <w:sz w:val="18"/>
                <w:szCs w:val="18"/>
              </w:rPr>
              <w:t>100,00 %</w:t>
            </w:r>
          </w:p>
        </w:tc>
      </w:tr>
    </w:tbl>
    <w:p w14:paraId="3B23648A" w14:textId="77777777" w:rsidR="00F517FD" w:rsidRPr="00F10172" w:rsidRDefault="00F517FD" w:rsidP="00315538">
      <w:pPr>
        <w:spacing w:after="0" w:line="240" w:lineRule="auto"/>
        <w:jc w:val="center"/>
        <w:rPr>
          <w:rFonts w:ascii="Arial" w:hAnsi="Arial" w:cs="Arial"/>
          <w:noProof/>
          <w:color w:val="000000" w:themeColor="text1"/>
          <w:sz w:val="20"/>
          <w:szCs w:val="20"/>
          <w:lang w:eastAsia="sl-SI"/>
        </w:rPr>
      </w:pPr>
    </w:p>
    <w:p w14:paraId="3A0F5B70" w14:textId="11AAD14A" w:rsidR="00315538" w:rsidRPr="00F10172" w:rsidRDefault="00315538" w:rsidP="00315538">
      <w:pPr>
        <w:spacing w:after="0" w:line="360" w:lineRule="auto"/>
        <w:jc w:val="center"/>
        <w:rPr>
          <w:rFonts w:ascii="Arial" w:hAnsi="Arial" w:cs="Arial"/>
          <w:color w:val="000000" w:themeColor="text1"/>
          <w:sz w:val="18"/>
        </w:rPr>
      </w:pPr>
      <w:r w:rsidRPr="00F10172">
        <w:rPr>
          <w:rFonts w:ascii="Arial" w:hAnsi="Arial" w:cs="Arial"/>
          <w:color w:val="000000" w:themeColor="text1"/>
          <w:sz w:val="18"/>
        </w:rPr>
        <w:t>Vir: Statistični podatki o javnih naročilih, oddanih v letu 20</w:t>
      </w:r>
      <w:r w:rsidR="00F517FD" w:rsidRPr="00F10172">
        <w:rPr>
          <w:rFonts w:ascii="Arial" w:hAnsi="Arial" w:cs="Arial"/>
          <w:color w:val="000000" w:themeColor="text1"/>
          <w:sz w:val="18"/>
        </w:rPr>
        <w:t>2</w:t>
      </w:r>
      <w:r w:rsidR="00285A7C" w:rsidRPr="00F10172">
        <w:rPr>
          <w:rFonts w:ascii="Arial" w:hAnsi="Arial" w:cs="Arial"/>
          <w:color w:val="000000" w:themeColor="text1"/>
          <w:sz w:val="18"/>
        </w:rPr>
        <w:t>3</w:t>
      </w:r>
      <w:r w:rsidR="007B25B7" w:rsidRPr="00F10172">
        <w:rPr>
          <w:rFonts w:ascii="Arial" w:hAnsi="Arial" w:cs="Arial"/>
          <w:color w:val="000000" w:themeColor="text1"/>
          <w:sz w:val="18"/>
        </w:rPr>
        <w:t>.</w:t>
      </w:r>
    </w:p>
    <w:p w14:paraId="1D60AAC5" w14:textId="77777777" w:rsidR="00AF6C62" w:rsidRPr="00F10172" w:rsidRDefault="00AF6C62" w:rsidP="00AF6C62">
      <w:pPr>
        <w:spacing w:line="360" w:lineRule="auto"/>
        <w:jc w:val="both"/>
        <w:rPr>
          <w:rFonts w:ascii="Arial" w:hAnsi="Arial" w:cs="Arial"/>
          <w:color w:val="000000" w:themeColor="text1"/>
          <w:sz w:val="20"/>
          <w:szCs w:val="20"/>
          <w:lang w:eastAsia="sl-SI"/>
        </w:rPr>
      </w:pPr>
    </w:p>
    <w:p w14:paraId="19989088" w14:textId="6C42C4FB" w:rsidR="006416B1" w:rsidRPr="00F10172" w:rsidRDefault="006416B1" w:rsidP="006416B1">
      <w:pPr>
        <w:spacing w:line="360" w:lineRule="auto"/>
        <w:jc w:val="both"/>
        <w:rPr>
          <w:rFonts w:ascii="Arial" w:eastAsia="Times New Roman" w:hAnsi="Arial" w:cs="Arial"/>
          <w:color w:val="000000" w:themeColor="text1"/>
          <w:sz w:val="20"/>
          <w:szCs w:val="20"/>
          <w:lang w:eastAsia="sl-SI"/>
        </w:rPr>
      </w:pPr>
      <w:r w:rsidRPr="00F10172">
        <w:rPr>
          <w:rFonts w:ascii="Arial" w:hAnsi="Arial" w:cs="Arial"/>
          <w:color w:val="000000" w:themeColor="text1"/>
          <w:sz w:val="20"/>
          <w:szCs w:val="20"/>
          <w:lang w:eastAsia="sl-SI"/>
        </w:rPr>
        <w:t xml:space="preserve">Leta 2023 so po vrednosti največ evidenčnih naročil oddali: </w:t>
      </w:r>
      <w:r w:rsidRPr="00F10172">
        <w:rPr>
          <w:rFonts w:ascii="Arial" w:eastAsia="Times New Roman" w:hAnsi="Arial" w:cs="Arial"/>
          <w:color w:val="000000" w:themeColor="text1"/>
          <w:sz w:val="20"/>
          <w:szCs w:val="20"/>
          <w:lang w:eastAsia="sl-SI"/>
        </w:rPr>
        <w:t>Univerzitetni klinični center Ljubljana (88.330 naročil v vrednosti 124.214.475 evrov), Mestna občina Ljubljana (3</w:t>
      </w:r>
      <w:r w:rsidR="00055BE0" w:rsidRPr="00F10172">
        <w:rPr>
          <w:rFonts w:ascii="Arial" w:eastAsia="Times New Roman" w:hAnsi="Arial" w:cs="Arial"/>
          <w:color w:val="000000" w:themeColor="text1"/>
          <w:sz w:val="20"/>
          <w:szCs w:val="20"/>
          <w:lang w:eastAsia="sl-SI"/>
        </w:rPr>
        <w:t>.</w:t>
      </w:r>
      <w:r w:rsidRPr="00F10172">
        <w:rPr>
          <w:rFonts w:ascii="Arial" w:eastAsia="Times New Roman" w:hAnsi="Arial" w:cs="Arial"/>
          <w:color w:val="000000" w:themeColor="text1"/>
          <w:sz w:val="20"/>
          <w:szCs w:val="20"/>
          <w:lang w:eastAsia="sl-SI"/>
        </w:rPr>
        <w:t>137 naročil v vrednosti 14.831.362  evrov), Ministrstvo za obrambo</w:t>
      </w:r>
      <w:r w:rsidR="00ED7BD4">
        <w:rPr>
          <w:rFonts w:ascii="Arial" w:eastAsia="Times New Roman" w:hAnsi="Arial" w:cs="Arial"/>
          <w:color w:val="000000" w:themeColor="text1"/>
          <w:sz w:val="20"/>
          <w:szCs w:val="20"/>
          <w:lang w:eastAsia="sl-SI"/>
        </w:rPr>
        <w:t xml:space="preserve"> Republike Slovenije</w:t>
      </w:r>
      <w:r w:rsidRPr="00F10172">
        <w:rPr>
          <w:rFonts w:ascii="Arial" w:eastAsia="Times New Roman" w:hAnsi="Arial" w:cs="Arial"/>
          <w:color w:val="000000" w:themeColor="text1"/>
          <w:sz w:val="20"/>
          <w:szCs w:val="20"/>
          <w:lang w:eastAsia="sl-SI"/>
        </w:rPr>
        <w:t xml:space="preserve"> (5</w:t>
      </w:r>
      <w:r w:rsidR="00055BE0" w:rsidRPr="00F10172">
        <w:rPr>
          <w:rFonts w:ascii="Arial" w:eastAsia="Times New Roman" w:hAnsi="Arial" w:cs="Arial"/>
          <w:color w:val="000000" w:themeColor="text1"/>
          <w:sz w:val="20"/>
          <w:szCs w:val="20"/>
          <w:lang w:eastAsia="sl-SI"/>
        </w:rPr>
        <w:t>.</w:t>
      </w:r>
      <w:r w:rsidRPr="00F10172">
        <w:rPr>
          <w:rFonts w:ascii="Arial" w:eastAsia="Times New Roman" w:hAnsi="Arial" w:cs="Arial"/>
          <w:color w:val="000000" w:themeColor="text1"/>
          <w:sz w:val="20"/>
          <w:szCs w:val="20"/>
          <w:lang w:eastAsia="sl-SI"/>
        </w:rPr>
        <w:t>455 naročil v vrednosti 13.623.646 evrov), Nuklearna elektrarna Krško</w:t>
      </w:r>
      <w:r w:rsidR="00ED7BD4">
        <w:rPr>
          <w:rFonts w:ascii="Arial" w:eastAsia="Times New Roman" w:hAnsi="Arial" w:cs="Arial"/>
          <w:color w:val="000000" w:themeColor="text1"/>
          <w:sz w:val="20"/>
          <w:szCs w:val="20"/>
          <w:lang w:eastAsia="sl-SI"/>
        </w:rPr>
        <w:t>,</w:t>
      </w:r>
      <w:r w:rsidRPr="00F10172">
        <w:rPr>
          <w:rFonts w:ascii="Arial" w:eastAsia="Times New Roman" w:hAnsi="Arial" w:cs="Arial"/>
          <w:color w:val="000000" w:themeColor="text1"/>
          <w:sz w:val="20"/>
          <w:szCs w:val="20"/>
          <w:lang w:eastAsia="sl-SI"/>
        </w:rPr>
        <w:t xml:space="preserve"> d.o.o. (1</w:t>
      </w:r>
      <w:r w:rsidR="00055BE0" w:rsidRPr="00F10172">
        <w:rPr>
          <w:rFonts w:ascii="Arial" w:eastAsia="Times New Roman" w:hAnsi="Arial" w:cs="Arial"/>
          <w:color w:val="000000" w:themeColor="text1"/>
          <w:sz w:val="20"/>
          <w:szCs w:val="20"/>
          <w:lang w:eastAsia="sl-SI"/>
        </w:rPr>
        <w:t>.</w:t>
      </w:r>
      <w:r w:rsidRPr="00F10172">
        <w:rPr>
          <w:rFonts w:ascii="Arial" w:eastAsia="Times New Roman" w:hAnsi="Arial" w:cs="Arial"/>
          <w:color w:val="000000" w:themeColor="text1"/>
          <w:sz w:val="20"/>
          <w:szCs w:val="20"/>
          <w:lang w:eastAsia="sl-SI"/>
        </w:rPr>
        <w:t>800 naročil v vrednosti 13.436.916 evrov) in Ministrstvo za notranje zadeve</w:t>
      </w:r>
      <w:r w:rsidR="00ED7BD4">
        <w:rPr>
          <w:rFonts w:ascii="Arial" w:eastAsia="Times New Roman" w:hAnsi="Arial" w:cs="Arial"/>
          <w:color w:val="000000" w:themeColor="text1"/>
          <w:sz w:val="20"/>
          <w:szCs w:val="20"/>
          <w:lang w:eastAsia="sl-SI"/>
        </w:rPr>
        <w:t xml:space="preserve"> Republike Slovenije –</w:t>
      </w:r>
      <w:r w:rsidRPr="00F10172">
        <w:rPr>
          <w:rFonts w:ascii="Arial" w:eastAsia="Times New Roman" w:hAnsi="Arial" w:cs="Arial"/>
          <w:color w:val="000000" w:themeColor="text1"/>
          <w:sz w:val="20"/>
          <w:szCs w:val="20"/>
          <w:lang w:eastAsia="sl-SI"/>
        </w:rPr>
        <w:t xml:space="preserve"> Policija (2141 naročil v vrednosti 12.851.738 evrov). </w:t>
      </w:r>
    </w:p>
    <w:p w14:paraId="6015A716" w14:textId="7AB53668" w:rsidR="006341A4" w:rsidRPr="00F10172" w:rsidRDefault="006341A4" w:rsidP="006D1A48">
      <w:pPr>
        <w:pStyle w:val="Naslov2"/>
        <w:rPr>
          <w:szCs w:val="20"/>
        </w:rPr>
      </w:pPr>
      <w:bookmarkStart w:id="55" w:name="_Toc175563880"/>
      <w:r w:rsidRPr="00F10172">
        <w:t>2.1</w:t>
      </w:r>
      <w:r w:rsidR="00FA2740" w:rsidRPr="00F10172">
        <w:t>1</w:t>
      </w:r>
      <w:r w:rsidRPr="00F10172">
        <w:t xml:space="preserve"> Javni natečaji</w:t>
      </w:r>
      <w:bookmarkEnd w:id="55"/>
    </w:p>
    <w:p w14:paraId="39B7DA1F" w14:textId="77777777" w:rsidR="006341A4" w:rsidRPr="00F10172" w:rsidRDefault="006341A4" w:rsidP="00854405">
      <w:pPr>
        <w:pStyle w:val="ZADEVA"/>
        <w:jc w:val="both"/>
        <w:rPr>
          <w:rFonts w:cs="Arial"/>
          <w:b w:val="0"/>
          <w:color w:val="FF0000"/>
          <w:szCs w:val="20"/>
          <w:lang w:val="sl-SI"/>
        </w:rPr>
      </w:pPr>
    </w:p>
    <w:p w14:paraId="5D37BD03" w14:textId="5C1346E2" w:rsidR="006341A4" w:rsidRPr="00F10172" w:rsidRDefault="005522FF" w:rsidP="00A7513D">
      <w:pPr>
        <w:spacing w:line="360" w:lineRule="auto"/>
        <w:jc w:val="both"/>
        <w:rPr>
          <w:rFonts w:ascii="Arial" w:hAnsi="Arial" w:cs="Arial"/>
          <w:color w:val="000000" w:themeColor="text1"/>
          <w:sz w:val="20"/>
          <w:szCs w:val="20"/>
          <w:lang w:eastAsia="sl-SI"/>
        </w:rPr>
      </w:pPr>
      <w:r w:rsidRPr="00F10172">
        <w:rPr>
          <w:rFonts w:ascii="Arial" w:hAnsi="Arial" w:cs="Arial"/>
          <w:color w:val="000000" w:themeColor="text1"/>
          <w:sz w:val="20"/>
          <w:szCs w:val="20"/>
          <w:lang w:eastAsia="sl-SI"/>
        </w:rPr>
        <w:t>Leta</w:t>
      </w:r>
      <w:r w:rsidR="00F30D5E" w:rsidRPr="00F10172">
        <w:rPr>
          <w:rFonts w:ascii="Arial" w:hAnsi="Arial" w:cs="Arial"/>
          <w:color w:val="000000" w:themeColor="text1"/>
          <w:sz w:val="20"/>
          <w:szCs w:val="20"/>
          <w:lang w:eastAsia="sl-SI"/>
        </w:rPr>
        <w:t xml:space="preserve"> 20</w:t>
      </w:r>
      <w:r w:rsidR="00967B8D" w:rsidRPr="00F10172">
        <w:rPr>
          <w:rFonts w:ascii="Arial" w:hAnsi="Arial" w:cs="Arial"/>
          <w:color w:val="000000" w:themeColor="text1"/>
          <w:sz w:val="20"/>
          <w:szCs w:val="20"/>
          <w:lang w:eastAsia="sl-SI"/>
        </w:rPr>
        <w:t>2</w:t>
      </w:r>
      <w:r w:rsidR="006C0138" w:rsidRPr="00F10172">
        <w:rPr>
          <w:rFonts w:ascii="Arial" w:hAnsi="Arial" w:cs="Arial"/>
          <w:color w:val="000000" w:themeColor="text1"/>
          <w:sz w:val="20"/>
          <w:szCs w:val="20"/>
          <w:lang w:eastAsia="sl-SI"/>
        </w:rPr>
        <w:t>3</w:t>
      </w:r>
      <w:r w:rsidR="0045098C" w:rsidRPr="00F10172">
        <w:rPr>
          <w:rFonts w:ascii="Arial" w:hAnsi="Arial" w:cs="Arial"/>
          <w:color w:val="000000" w:themeColor="text1"/>
          <w:sz w:val="20"/>
          <w:szCs w:val="20"/>
          <w:lang w:eastAsia="sl-SI"/>
        </w:rPr>
        <w:t xml:space="preserve"> so naročniki izvedli </w:t>
      </w:r>
      <w:r w:rsidR="006C0138" w:rsidRPr="00F10172">
        <w:rPr>
          <w:rFonts w:ascii="Arial" w:hAnsi="Arial" w:cs="Arial"/>
          <w:color w:val="000000" w:themeColor="text1"/>
          <w:sz w:val="20"/>
          <w:szCs w:val="20"/>
          <w:lang w:eastAsia="sl-SI"/>
        </w:rPr>
        <w:t>deset</w:t>
      </w:r>
      <w:r w:rsidR="00A7513D" w:rsidRPr="00F10172">
        <w:rPr>
          <w:rFonts w:ascii="Arial" w:hAnsi="Arial" w:cs="Arial"/>
          <w:color w:val="000000" w:themeColor="text1"/>
          <w:sz w:val="20"/>
          <w:szCs w:val="20"/>
          <w:lang w:eastAsia="sl-SI"/>
        </w:rPr>
        <w:t xml:space="preserve"> javnih</w:t>
      </w:r>
      <w:r w:rsidR="0045098C" w:rsidRPr="00F10172">
        <w:rPr>
          <w:rFonts w:ascii="Arial" w:hAnsi="Arial" w:cs="Arial"/>
          <w:color w:val="000000" w:themeColor="text1"/>
          <w:sz w:val="20"/>
          <w:szCs w:val="20"/>
          <w:lang w:eastAsia="sl-SI"/>
        </w:rPr>
        <w:t xml:space="preserve"> natečajev. </w:t>
      </w:r>
      <w:r w:rsidR="006C0138" w:rsidRPr="00F10172">
        <w:rPr>
          <w:rFonts w:ascii="Arial" w:hAnsi="Arial" w:cs="Arial"/>
          <w:color w:val="000000" w:themeColor="text1"/>
          <w:sz w:val="20"/>
          <w:szCs w:val="20"/>
          <w:lang w:eastAsia="sl-SI"/>
        </w:rPr>
        <w:t>Pet</w:t>
      </w:r>
      <w:r w:rsidR="006207FF" w:rsidRPr="00F10172">
        <w:rPr>
          <w:rFonts w:ascii="Arial" w:hAnsi="Arial" w:cs="Arial"/>
          <w:color w:val="000000" w:themeColor="text1"/>
          <w:sz w:val="20"/>
          <w:szCs w:val="20"/>
          <w:lang w:eastAsia="sl-SI"/>
        </w:rPr>
        <w:t xml:space="preserve"> </w:t>
      </w:r>
      <w:r w:rsidR="007E7431" w:rsidRPr="00F10172">
        <w:rPr>
          <w:rFonts w:ascii="Arial" w:hAnsi="Arial" w:cs="Arial"/>
          <w:color w:val="000000" w:themeColor="text1"/>
          <w:sz w:val="20"/>
          <w:szCs w:val="20"/>
          <w:lang w:eastAsia="sl-SI"/>
        </w:rPr>
        <w:t xml:space="preserve">so jih </w:t>
      </w:r>
      <w:r w:rsidR="006207FF" w:rsidRPr="00F10172">
        <w:rPr>
          <w:rFonts w:ascii="Arial" w:hAnsi="Arial" w:cs="Arial"/>
          <w:color w:val="000000" w:themeColor="text1"/>
          <w:sz w:val="20"/>
          <w:szCs w:val="20"/>
          <w:lang w:eastAsia="sl-SI"/>
        </w:rPr>
        <w:t xml:space="preserve">izvedli </w:t>
      </w:r>
      <w:r w:rsidR="00881E08" w:rsidRPr="00F10172">
        <w:rPr>
          <w:rFonts w:ascii="Arial" w:hAnsi="Arial" w:cs="Arial"/>
          <w:color w:val="000000" w:themeColor="text1"/>
          <w:sz w:val="20"/>
          <w:szCs w:val="20"/>
          <w:lang w:eastAsia="sl-SI"/>
        </w:rPr>
        <w:t xml:space="preserve">organi samoupravnih </w:t>
      </w:r>
      <w:r w:rsidR="001F6C83" w:rsidRPr="00F10172">
        <w:rPr>
          <w:rFonts w:ascii="Arial" w:hAnsi="Arial" w:cs="Arial"/>
          <w:color w:val="000000" w:themeColor="text1"/>
          <w:sz w:val="20"/>
          <w:szCs w:val="20"/>
          <w:lang w:eastAsia="sl-SI"/>
        </w:rPr>
        <w:t>lokalnih</w:t>
      </w:r>
      <w:r w:rsidR="00881E08" w:rsidRPr="00F10172">
        <w:rPr>
          <w:rFonts w:ascii="Arial" w:hAnsi="Arial" w:cs="Arial"/>
          <w:color w:val="000000" w:themeColor="text1"/>
          <w:sz w:val="20"/>
          <w:szCs w:val="20"/>
          <w:lang w:eastAsia="sl-SI"/>
        </w:rPr>
        <w:t xml:space="preserve"> skupnosti,</w:t>
      </w:r>
      <w:r w:rsidR="006207FF" w:rsidRPr="00F10172">
        <w:rPr>
          <w:rFonts w:ascii="Arial" w:hAnsi="Arial" w:cs="Arial"/>
          <w:color w:val="000000" w:themeColor="text1"/>
          <w:sz w:val="20"/>
          <w:szCs w:val="20"/>
          <w:lang w:eastAsia="sl-SI"/>
        </w:rPr>
        <w:t xml:space="preserve"> </w:t>
      </w:r>
      <w:r w:rsidR="007E7431" w:rsidRPr="00F10172">
        <w:rPr>
          <w:rFonts w:ascii="Arial" w:hAnsi="Arial" w:cs="Arial"/>
          <w:color w:val="000000" w:themeColor="text1"/>
          <w:sz w:val="20"/>
          <w:szCs w:val="20"/>
          <w:lang w:eastAsia="sl-SI"/>
        </w:rPr>
        <w:t xml:space="preserve">vsak </w:t>
      </w:r>
      <w:r w:rsidR="006C0138" w:rsidRPr="00F10172">
        <w:rPr>
          <w:rFonts w:ascii="Arial" w:hAnsi="Arial" w:cs="Arial"/>
          <w:color w:val="000000" w:themeColor="text1"/>
          <w:sz w:val="20"/>
          <w:szCs w:val="20"/>
          <w:lang w:eastAsia="sl-SI"/>
        </w:rPr>
        <w:t>po dva javna natečaja</w:t>
      </w:r>
      <w:r w:rsidR="006207FF" w:rsidRPr="00F10172">
        <w:rPr>
          <w:rFonts w:ascii="Arial" w:hAnsi="Arial" w:cs="Arial"/>
          <w:color w:val="000000" w:themeColor="text1"/>
          <w:sz w:val="20"/>
          <w:szCs w:val="20"/>
          <w:lang w:eastAsia="sl-SI"/>
        </w:rPr>
        <w:t xml:space="preserve"> </w:t>
      </w:r>
      <w:r w:rsidR="007E7431" w:rsidRPr="00F10172">
        <w:rPr>
          <w:rFonts w:ascii="Arial" w:hAnsi="Arial" w:cs="Arial"/>
          <w:color w:val="000000" w:themeColor="text1"/>
          <w:sz w:val="20"/>
          <w:szCs w:val="20"/>
          <w:lang w:eastAsia="sl-SI"/>
        </w:rPr>
        <w:t>sta izvedla organa</w:t>
      </w:r>
      <w:r w:rsidR="006C0138" w:rsidRPr="00F10172">
        <w:rPr>
          <w:rFonts w:ascii="Arial" w:hAnsi="Arial" w:cs="Arial"/>
          <w:color w:val="000000" w:themeColor="text1"/>
          <w:sz w:val="20"/>
          <w:szCs w:val="20"/>
          <w:lang w:eastAsia="sl-SI"/>
        </w:rPr>
        <w:t xml:space="preserve"> R</w:t>
      </w:r>
      <w:r w:rsidR="007E7431" w:rsidRPr="00F10172">
        <w:rPr>
          <w:rFonts w:ascii="Arial" w:hAnsi="Arial" w:cs="Arial"/>
          <w:color w:val="000000" w:themeColor="text1"/>
          <w:sz w:val="20"/>
          <w:szCs w:val="20"/>
          <w:lang w:eastAsia="sl-SI"/>
        </w:rPr>
        <w:t>epublike Slovenije</w:t>
      </w:r>
      <w:r w:rsidR="006C0138" w:rsidRPr="00F10172">
        <w:rPr>
          <w:rFonts w:ascii="Arial" w:hAnsi="Arial" w:cs="Arial"/>
          <w:color w:val="000000" w:themeColor="text1"/>
          <w:sz w:val="20"/>
          <w:szCs w:val="20"/>
          <w:lang w:eastAsia="sl-SI"/>
        </w:rPr>
        <w:t xml:space="preserve"> </w:t>
      </w:r>
      <w:r w:rsidR="007E7431" w:rsidRPr="00F10172">
        <w:rPr>
          <w:rFonts w:ascii="Arial" w:hAnsi="Arial" w:cs="Arial"/>
          <w:color w:val="000000" w:themeColor="text1"/>
          <w:sz w:val="20"/>
          <w:szCs w:val="20"/>
          <w:lang w:eastAsia="sl-SI"/>
        </w:rPr>
        <w:t>in javna zavoda</w:t>
      </w:r>
      <w:r w:rsidR="006207FF" w:rsidRPr="00F10172">
        <w:rPr>
          <w:rFonts w:ascii="Arial" w:hAnsi="Arial" w:cs="Arial"/>
          <w:color w:val="000000" w:themeColor="text1"/>
          <w:sz w:val="20"/>
          <w:szCs w:val="20"/>
          <w:lang w:eastAsia="sl-SI"/>
        </w:rPr>
        <w:t xml:space="preserve">, </w:t>
      </w:r>
      <w:r w:rsidR="006C0138" w:rsidRPr="00F10172">
        <w:rPr>
          <w:rFonts w:ascii="Arial" w:hAnsi="Arial" w:cs="Arial"/>
          <w:color w:val="000000" w:themeColor="text1"/>
          <w:sz w:val="20"/>
          <w:szCs w:val="20"/>
          <w:lang w:eastAsia="sl-SI"/>
        </w:rPr>
        <w:t>enega pa javni sklad.</w:t>
      </w:r>
    </w:p>
    <w:p w14:paraId="2FB9A456" w14:textId="303F1292" w:rsidR="00EE60C3" w:rsidRPr="00F10172" w:rsidRDefault="006C0EB0" w:rsidP="00EE60C3">
      <w:pPr>
        <w:spacing w:line="360" w:lineRule="auto"/>
        <w:jc w:val="both"/>
        <w:rPr>
          <w:rFonts w:ascii="Arial" w:eastAsia="Times New Roman" w:hAnsi="Arial" w:cs="Arial"/>
          <w:color w:val="000000" w:themeColor="text1"/>
          <w:sz w:val="20"/>
          <w:szCs w:val="20"/>
          <w:lang w:eastAsia="sl-SI"/>
        </w:rPr>
      </w:pPr>
      <w:r w:rsidRPr="00F10172">
        <w:rPr>
          <w:rFonts w:ascii="Arial" w:hAnsi="Arial" w:cs="Arial"/>
          <w:color w:val="000000" w:themeColor="text1"/>
          <w:sz w:val="20"/>
          <w:szCs w:val="20"/>
          <w:lang w:eastAsia="sl-SI"/>
        </w:rPr>
        <w:t xml:space="preserve">Predmet javnega natečaja so bile </w:t>
      </w:r>
      <w:r w:rsidR="00EE60C3" w:rsidRPr="00F10172">
        <w:rPr>
          <w:rFonts w:ascii="Arial" w:hAnsi="Arial" w:cs="Arial"/>
          <w:color w:val="000000" w:themeColor="text1"/>
          <w:sz w:val="20"/>
          <w:szCs w:val="20"/>
          <w:lang w:eastAsia="sl-SI"/>
        </w:rPr>
        <w:t xml:space="preserve">v </w:t>
      </w:r>
      <w:r w:rsidR="00791504" w:rsidRPr="00F10172">
        <w:rPr>
          <w:rFonts w:ascii="Arial" w:hAnsi="Arial" w:cs="Arial"/>
          <w:color w:val="000000" w:themeColor="text1"/>
          <w:sz w:val="20"/>
          <w:szCs w:val="20"/>
          <w:lang w:eastAsia="sl-SI"/>
        </w:rPr>
        <w:t>devetih</w:t>
      </w:r>
      <w:r w:rsidRPr="00F10172">
        <w:rPr>
          <w:rFonts w:ascii="Arial" w:hAnsi="Arial" w:cs="Arial"/>
          <w:color w:val="000000" w:themeColor="text1"/>
          <w:sz w:val="20"/>
          <w:szCs w:val="20"/>
          <w:lang w:eastAsia="sl-SI"/>
        </w:rPr>
        <w:t xml:space="preserve"> primerih arhitekturne, gradben</w:t>
      </w:r>
      <w:r w:rsidR="00974C8A" w:rsidRPr="00F10172">
        <w:rPr>
          <w:rFonts w:ascii="Arial" w:hAnsi="Arial" w:cs="Arial"/>
          <w:color w:val="000000" w:themeColor="text1"/>
          <w:sz w:val="20"/>
          <w:szCs w:val="20"/>
          <w:lang w:eastAsia="sl-SI"/>
        </w:rPr>
        <w:t>iške,</w:t>
      </w:r>
      <w:r w:rsidRPr="00F10172">
        <w:rPr>
          <w:rFonts w:ascii="Arial" w:hAnsi="Arial" w:cs="Arial"/>
          <w:color w:val="000000" w:themeColor="text1"/>
          <w:sz w:val="20"/>
          <w:szCs w:val="20"/>
          <w:lang w:eastAsia="sl-SI"/>
        </w:rPr>
        <w:t xml:space="preserve"> inženirske </w:t>
      </w:r>
      <w:r w:rsidR="00974C8A" w:rsidRPr="00F10172">
        <w:rPr>
          <w:rFonts w:ascii="Arial" w:hAnsi="Arial" w:cs="Arial"/>
          <w:color w:val="000000" w:themeColor="text1"/>
          <w:sz w:val="20"/>
          <w:szCs w:val="20"/>
          <w:lang w:eastAsia="sl-SI"/>
        </w:rPr>
        <w:t xml:space="preserve">in inšpekcijske </w:t>
      </w:r>
      <w:r w:rsidRPr="00F10172">
        <w:rPr>
          <w:rFonts w:ascii="Arial" w:hAnsi="Arial" w:cs="Arial"/>
          <w:color w:val="000000" w:themeColor="text1"/>
          <w:sz w:val="20"/>
          <w:szCs w:val="20"/>
          <w:lang w:eastAsia="sl-SI"/>
        </w:rPr>
        <w:t>storitve</w:t>
      </w:r>
      <w:r w:rsidR="006207FF" w:rsidRPr="00F10172">
        <w:rPr>
          <w:rFonts w:ascii="Arial" w:hAnsi="Arial" w:cs="Arial"/>
          <w:color w:val="000000" w:themeColor="text1"/>
          <w:sz w:val="20"/>
          <w:szCs w:val="20"/>
          <w:lang w:eastAsia="sl-SI"/>
        </w:rPr>
        <w:t xml:space="preserve"> ter v enem primeru poslovne storitve: pravo, trženje, svetovanje, zaposlovanje, tiskanje in varnost</w:t>
      </w:r>
      <w:r w:rsidR="002B3E22" w:rsidRPr="00F10172">
        <w:rPr>
          <w:rFonts w:ascii="Arial" w:hAnsi="Arial" w:cs="Arial"/>
          <w:color w:val="000000" w:themeColor="text1"/>
          <w:sz w:val="20"/>
          <w:szCs w:val="20"/>
          <w:lang w:eastAsia="sl-SI"/>
        </w:rPr>
        <w:t>.</w:t>
      </w:r>
    </w:p>
    <w:p w14:paraId="768E8BE3" w14:textId="67B57353" w:rsidR="00137086" w:rsidRPr="00637ACF" w:rsidRDefault="00137086">
      <w:pPr>
        <w:rPr>
          <w:rFonts w:ascii="Arial" w:hAnsi="Arial" w:cs="Arial"/>
          <w:color w:val="FF0000"/>
          <w:sz w:val="20"/>
          <w:szCs w:val="20"/>
          <w:highlight w:val="yellow"/>
          <w:lang w:eastAsia="sl-SI"/>
        </w:rPr>
      </w:pPr>
      <w:r w:rsidRPr="00637ACF">
        <w:rPr>
          <w:rFonts w:ascii="Arial" w:hAnsi="Arial" w:cs="Arial"/>
          <w:color w:val="FF0000"/>
          <w:sz w:val="20"/>
          <w:szCs w:val="20"/>
          <w:highlight w:val="yellow"/>
          <w:lang w:eastAsia="sl-SI"/>
        </w:rPr>
        <w:br w:type="page"/>
      </w:r>
    </w:p>
    <w:p w14:paraId="61331E98" w14:textId="77777777" w:rsidR="00662735" w:rsidRPr="00F10172" w:rsidRDefault="00662735" w:rsidP="00E900D0">
      <w:pPr>
        <w:pStyle w:val="Naslov1"/>
      </w:pPr>
      <w:bookmarkStart w:id="56" w:name="_Toc175563881"/>
      <w:bookmarkStart w:id="57" w:name="_Hlk77840539"/>
      <w:r w:rsidRPr="00F10172">
        <w:lastRenderedPageBreak/>
        <w:t>Izhodišča in pravne podlage</w:t>
      </w:r>
      <w:bookmarkEnd w:id="56"/>
    </w:p>
    <w:p w14:paraId="078F829E" w14:textId="77777777" w:rsidR="002C1179" w:rsidRPr="00F10172" w:rsidRDefault="002C1179" w:rsidP="002C1179">
      <w:pPr>
        <w:spacing w:line="276" w:lineRule="auto"/>
        <w:jc w:val="both"/>
        <w:rPr>
          <w:rStyle w:val="Naslov2Znak"/>
          <w:rFonts w:cs="Arial"/>
          <w:b/>
          <w:color w:val="000000" w:themeColor="text1"/>
          <w:sz w:val="20"/>
          <w:szCs w:val="20"/>
        </w:rPr>
      </w:pPr>
    </w:p>
    <w:p w14:paraId="3E6A4D59" w14:textId="08581E26"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Ministrstvo za javno upravo v skladu z ZJN-3 in ZJNPOV pripravi statistično poročilo, in sicer na podlagi podatkov o oddanih javnih naročilih v pre</w:t>
      </w:r>
      <w:r w:rsidR="00653B9C" w:rsidRPr="00F10172">
        <w:rPr>
          <w:rFonts w:ascii="Arial" w:hAnsi="Arial" w:cs="Arial"/>
          <w:color w:val="000000" w:themeColor="text1"/>
          <w:sz w:val="20"/>
          <w:szCs w:val="20"/>
        </w:rPr>
        <w:t>jšnjem</w:t>
      </w:r>
      <w:r w:rsidRPr="00F10172">
        <w:rPr>
          <w:rFonts w:ascii="Arial" w:hAnsi="Arial" w:cs="Arial"/>
          <w:color w:val="000000" w:themeColor="text1"/>
          <w:sz w:val="20"/>
          <w:szCs w:val="20"/>
        </w:rPr>
        <w:t xml:space="preserve"> letu, ki se zajemajo neposredno iz obvestil o oddaji naročil, objavljenih na portalu javnih naročil oziroma sporočenih </w:t>
      </w:r>
      <w:r w:rsidR="00ED7BD4">
        <w:rPr>
          <w:rFonts w:ascii="Arial" w:hAnsi="Arial" w:cs="Arial"/>
          <w:color w:val="000000" w:themeColor="text1"/>
          <w:sz w:val="20"/>
          <w:szCs w:val="20"/>
        </w:rPr>
        <w:t>m</w:t>
      </w:r>
      <w:r w:rsidRPr="00F10172">
        <w:rPr>
          <w:rFonts w:ascii="Arial" w:hAnsi="Arial" w:cs="Arial"/>
          <w:color w:val="000000" w:themeColor="text1"/>
          <w:sz w:val="20"/>
          <w:szCs w:val="20"/>
        </w:rPr>
        <w:t>inistrstvu za javno upravo s posebn</w:t>
      </w:r>
      <w:r w:rsidR="002179B3" w:rsidRPr="00F10172">
        <w:rPr>
          <w:rFonts w:ascii="Arial" w:hAnsi="Arial" w:cs="Arial"/>
          <w:color w:val="000000" w:themeColor="text1"/>
          <w:sz w:val="20"/>
          <w:szCs w:val="20"/>
        </w:rPr>
        <w:t>im</w:t>
      </w:r>
      <w:r w:rsidRPr="00F10172">
        <w:rPr>
          <w:rFonts w:ascii="Arial" w:hAnsi="Arial" w:cs="Arial"/>
          <w:color w:val="000000" w:themeColor="text1"/>
          <w:sz w:val="20"/>
          <w:szCs w:val="20"/>
        </w:rPr>
        <w:t xml:space="preserve"> </w:t>
      </w:r>
      <w:r w:rsidR="002179B3" w:rsidRPr="00F10172">
        <w:rPr>
          <w:rFonts w:ascii="Arial" w:hAnsi="Arial" w:cs="Arial"/>
          <w:color w:val="000000" w:themeColor="text1"/>
          <w:sz w:val="20"/>
          <w:szCs w:val="20"/>
        </w:rPr>
        <w:t>namenskim programom (</w:t>
      </w:r>
      <w:r w:rsidRPr="00F10172">
        <w:rPr>
          <w:rFonts w:ascii="Arial" w:hAnsi="Arial" w:cs="Arial"/>
          <w:color w:val="000000" w:themeColor="text1"/>
          <w:sz w:val="20"/>
          <w:szCs w:val="20"/>
        </w:rPr>
        <w:t>aplikacijo</w:t>
      </w:r>
      <w:r w:rsidR="002179B3" w:rsidRPr="00F10172">
        <w:rPr>
          <w:rFonts w:ascii="Arial" w:hAnsi="Arial" w:cs="Arial"/>
          <w:color w:val="000000" w:themeColor="text1"/>
          <w:sz w:val="20"/>
          <w:szCs w:val="20"/>
        </w:rPr>
        <w:t>)</w:t>
      </w:r>
      <w:r w:rsidRPr="00F10172">
        <w:rPr>
          <w:rFonts w:ascii="Arial" w:hAnsi="Arial" w:cs="Arial"/>
          <w:color w:val="000000" w:themeColor="text1"/>
          <w:sz w:val="20"/>
          <w:szCs w:val="20"/>
        </w:rPr>
        <w:t xml:space="preserve"> na portalu javnih naročil. Tako </w:t>
      </w:r>
      <w:r w:rsidR="00ED7BD4">
        <w:rPr>
          <w:rFonts w:ascii="Arial" w:hAnsi="Arial" w:cs="Arial"/>
          <w:color w:val="000000" w:themeColor="text1"/>
          <w:sz w:val="20"/>
          <w:szCs w:val="20"/>
        </w:rPr>
        <w:t>m</w:t>
      </w:r>
      <w:r w:rsidR="00475740" w:rsidRPr="00F10172">
        <w:rPr>
          <w:rFonts w:ascii="Arial" w:hAnsi="Arial" w:cs="Arial"/>
          <w:color w:val="000000" w:themeColor="text1"/>
          <w:sz w:val="20"/>
          <w:szCs w:val="20"/>
        </w:rPr>
        <w:t>inistrstvo za javno upravo</w:t>
      </w:r>
      <w:r w:rsidRPr="00F10172">
        <w:rPr>
          <w:rFonts w:ascii="Arial" w:hAnsi="Arial" w:cs="Arial"/>
          <w:color w:val="000000" w:themeColor="text1"/>
          <w:sz w:val="20"/>
          <w:szCs w:val="20"/>
        </w:rPr>
        <w:t xml:space="preserve"> spremlja stanje na področju javnega naročanja ter na podlagi analize pripravlja sistemske in zakonodajne spremembe tega področja. Statistična analiza o javnih naročilih je pomemben vir informacij o poslovanju posameznih naročnikov, </w:t>
      </w:r>
      <w:proofErr w:type="spellStart"/>
      <w:r w:rsidRPr="00F10172">
        <w:rPr>
          <w:rFonts w:ascii="Arial" w:hAnsi="Arial" w:cs="Arial"/>
          <w:color w:val="000000" w:themeColor="text1"/>
          <w:sz w:val="20"/>
          <w:szCs w:val="20"/>
        </w:rPr>
        <w:t>javnonaročniških</w:t>
      </w:r>
      <w:proofErr w:type="spellEnd"/>
      <w:r w:rsidRPr="00F10172">
        <w:rPr>
          <w:rFonts w:ascii="Arial" w:hAnsi="Arial" w:cs="Arial"/>
          <w:color w:val="000000" w:themeColor="text1"/>
          <w:sz w:val="20"/>
          <w:szCs w:val="20"/>
        </w:rPr>
        <w:t xml:space="preserve"> </w:t>
      </w:r>
      <w:r w:rsidR="002179B3" w:rsidRPr="00F10172">
        <w:rPr>
          <w:rFonts w:ascii="Arial" w:hAnsi="Arial" w:cs="Arial"/>
          <w:color w:val="000000" w:themeColor="text1"/>
          <w:sz w:val="20"/>
          <w:szCs w:val="20"/>
        </w:rPr>
        <w:t>vzorcih sprememb (</w:t>
      </w:r>
      <w:r w:rsidRPr="00F10172">
        <w:rPr>
          <w:rFonts w:ascii="Arial" w:hAnsi="Arial" w:cs="Arial"/>
          <w:color w:val="000000" w:themeColor="text1"/>
          <w:sz w:val="20"/>
          <w:szCs w:val="20"/>
        </w:rPr>
        <w:t>trendih</w:t>
      </w:r>
      <w:r w:rsidR="002179B3" w:rsidRPr="00F10172">
        <w:rPr>
          <w:rFonts w:ascii="Arial" w:hAnsi="Arial" w:cs="Arial"/>
          <w:color w:val="000000" w:themeColor="text1"/>
          <w:sz w:val="20"/>
          <w:szCs w:val="20"/>
        </w:rPr>
        <w:t>)</w:t>
      </w:r>
      <w:r w:rsidRPr="00F10172">
        <w:rPr>
          <w:rFonts w:ascii="Arial" w:hAnsi="Arial" w:cs="Arial"/>
          <w:color w:val="000000" w:themeColor="text1"/>
          <w:sz w:val="20"/>
          <w:szCs w:val="20"/>
        </w:rPr>
        <w:t xml:space="preserve"> in pomanjkljivostih, ki nastanejo zaradi morebitne </w:t>
      </w:r>
      <w:r w:rsidR="001D6A61" w:rsidRPr="00F10172">
        <w:rPr>
          <w:rFonts w:ascii="Arial" w:hAnsi="Arial" w:cs="Arial"/>
          <w:color w:val="000000" w:themeColor="text1"/>
          <w:sz w:val="20"/>
          <w:szCs w:val="20"/>
        </w:rPr>
        <w:t>neustrezn</w:t>
      </w:r>
      <w:r w:rsidR="00ED7BD4">
        <w:rPr>
          <w:rFonts w:ascii="Arial" w:hAnsi="Arial" w:cs="Arial"/>
          <w:color w:val="000000" w:themeColor="text1"/>
          <w:sz w:val="20"/>
          <w:szCs w:val="20"/>
        </w:rPr>
        <w:t xml:space="preserve">e </w:t>
      </w:r>
      <w:r w:rsidRPr="00F10172">
        <w:rPr>
          <w:rFonts w:ascii="Arial" w:hAnsi="Arial" w:cs="Arial"/>
          <w:color w:val="000000" w:themeColor="text1"/>
          <w:sz w:val="20"/>
          <w:szCs w:val="20"/>
        </w:rPr>
        <w:t xml:space="preserve">zakonodaje oziroma neprimerne prakse. </w:t>
      </w:r>
    </w:p>
    <w:p w14:paraId="507127C9" w14:textId="0542075A" w:rsidR="00DE2690" w:rsidRPr="00F10172" w:rsidRDefault="00C13751" w:rsidP="00DE2690">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 xml:space="preserve">Statistično poročilo temelji na analizi podatkov, ki so bili zajeti neposredno iz obvestil o oddaji naročil, objavljenih na portalu javnih naročil oziroma sporočenih </w:t>
      </w:r>
      <w:r w:rsidR="00ED7BD4">
        <w:rPr>
          <w:rFonts w:ascii="Arial" w:hAnsi="Arial" w:cs="Arial"/>
          <w:color w:val="000000" w:themeColor="text1"/>
          <w:sz w:val="20"/>
          <w:szCs w:val="20"/>
        </w:rPr>
        <w:t>m</w:t>
      </w:r>
      <w:r w:rsidRPr="00F10172">
        <w:rPr>
          <w:rFonts w:ascii="Arial" w:hAnsi="Arial" w:cs="Arial"/>
          <w:color w:val="000000" w:themeColor="text1"/>
          <w:sz w:val="20"/>
          <w:szCs w:val="20"/>
        </w:rPr>
        <w:t>inistrstvu za javno upravo z uporabo posebne</w:t>
      </w:r>
      <w:r w:rsidR="005A2D74" w:rsidRPr="00F10172">
        <w:rPr>
          <w:rFonts w:ascii="Arial" w:hAnsi="Arial" w:cs="Arial"/>
          <w:color w:val="000000" w:themeColor="text1"/>
          <w:sz w:val="20"/>
          <w:szCs w:val="20"/>
        </w:rPr>
        <w:t>ga namenskega programa (</w:t>
      </w:r>
      <w:r w:rsidRPr="00F10172">
        <w:rPr>
          <w:rFonts w:ascii="Arial" w:hAnsi="Arial" w:cs="Arial"/>
          <w:color w:val="000000" w:themeColor="text1"/>
          <w:sz w:val="20"/>
          <w:szCs w:val="20"/>
        </w:rPr>
        <w:t>aplikacije</w:t>
      </w:r>
      <w:r w:rsidR="005A2D74" w:rsidRPr="00F10172">
        <w:rPr>
          <w:rFonts w:ascii="Arial" w:hAnsi="Arial" w:cs="Arial"/>
          <w:color w:val="000000" w:themeColor="text1"/>
          <w:sz w:val="20"/>
          <w:szCs w:val="20"/>
        </w:rPr>
        <w:t>)</w:t>
      </w:r>
      <w:r w:rsidRPr="00F10172">
        <w:rPr>
          <w:rFonts w:ascii="Arial" w:hAnsi="Arial" w:cs="Arial"/>
          <w:color w:val="000000" w:themeColor="text1"/>
          <w:sz w:val="20"/>
          <w:szCs w:val="20"/>
        </w:rPr>
        <w:t xml:space="preserve"> na portalu javnih naročil. Skupino obveznih statističnih podatkov določata </w:t>
      </w:r>
      <w:bookmarkStart w:id="58" w:name="f10n"/>
      <w:bookmarkEnd w:id="58"/>
      <w:r w:rsidRPr="00F10172">
        <w:rPr>
          <w:rFonts w:ascii="Arial" w:hAnsi="Arial" w:cs="Arial"/>
          <w:color w:val="000000" w:themeColor="text1"/>
          <w:sz w:val="20"/>
          <w:szCs w:val="20"/>
        </w:rPr>
        <w:t xml:space="preserve">Pravilnik o vrstah in načinu zbiranja podatkov za letno statistično poročilo o oddanih javnih naročilih (Uradni list RS, št. 39/16) </w:t>
      </w:r>
      <w:r w:rsidR="00946DEB" w:rsidRPr="00F10172">
        <w:rPr>
          <w:rFonts w:ascii="Arial" w:hAnsi="Arial" w:cs="Arial"/>
          <w:color w:val="000000" w:themeColor="text1"/>
          <w:sz w:val="20"/>
          <w:szCs w:val="20"/>
        </w:rPr>
        <w:t xml:space="preserve">ter </w:t>
      </w:r>
      <w:r w:rsidRPr="00F10172">
        <w:rPr>
          <w:rFonts w:ascii="Arial" w:hAnsi="Arial" w:cs="Arial"/>
          <w:color w:val="000000" w:themeColor="text1"/>
          <w:sz w:val="20"/>
          <w:szCs w:val="20"/>
        </w:rPr>
        <w:t>Pravilnik o vrstah podatkov o oddanih javnih naročilih v preteklem letu na podlagi Zakona o javnem naročanju na področju obrambe in varnosti ter načinu njihovega zbiranja (Uradni list RS, št. 57/13, 3/15 in 71/16).</w:t>
      </w:r>
    </w:p>
    <w:p w14:paraId="60068C34" w14:textId="5C9463A7" w:rsidR="00C13751" w:rsidRPr="00F10172" w:rsidRDefault="00C13751" w:rsidP="00DE2690">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Glede na navedeno to poročilo zajema naročila, oddana v skladu z ZJN-3 in ZJNPOV.</w:t>
      </w:r>
    </w:p>
    <w:p w14:paraId="2E65A0CD" w14:textId="65C03B1F"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 xml:space="preserve">V tem poročilu so zajeta vsa javna naročila, ki so bila </w:t>
      </w:r>
      <w:r w:rsidR="00653B9C" w:rsidRPr="00F10172">
        <w:rPr>
          <w:rFonts w:ascii="Arial" w:hAnsi="Arial" w:cs="Arial"/>
          <w:color w:val="000000" w:themeColor="text1"/>
          <w:sz w:val="20"/>
          <w:szCs w:val="20"/>
        </w:rPr>
        <w:t>po</w:t>
      </w:r>
      <w:r w:rsidRPr="00F10172">
        <w:rPr>
          <w:rFonts w:ascii="Arial" w:hAnsi="Arial" w:cs="Arial"/>
          <w:color w:val="000000" w:themeColor="text1"/>
          <w:sz w:val="20"/>
          <w:szCs w:val="20"/>
        </w:rPr>
        <w:t xml:space="preserve"> navedb</w:t>
      </w:r>
      <w:r w:rsidR="00653B9C" w:rsidRPr="00F10172">
        <w:rPr>
          <w:rFonts w:ascii="Arial" w:hAnsi="Arial" w:cs="Arial"/>
          <w:color w:val="000000" w:themeColor="text1"/>
          <w:sz w:val="20"/>
          <w:szCs w:val="20"/>
        </w:rPr>
        <w:t>ah</w:t>
      </w:r>
      <w:r w:rsidRPr="00F10172">
        <w:rPr>
          <w:rFonts w:ascii="Arial" w:hAnsi="Arial" w:cs="Arial"/>
          <w:color w:val="000000" w:themeColor="text1"/>
          <w:sz w:val="20"/>
          <w:szCs w:val="20"/>
        </w:rPr>
        <w:t xml:space="preserve"> naročnikov oddana </w:t>
      </w:r>
      <w:r w:rsidR="005522FF" w:rsidRPr="00F10172">
        <w:rPr>
          <w:rFonts w:ascii="Arial" w:hAnsi="Arial" w:cs="Arial"/>
          <w:color w:val="000000" w:themeColor="text1"/>
          <w:sz w:val="20"/>
          <w:szCs w:val="20"/>
        </w:rPr>
        <w:t>leta</w:t>
      </w:r>
      <w:r w:rsidRPr="00F10172">
        <w:rPr>
          <w:rFonts w:ascii="Arial" w:hAnsi="Arial" w:cs="Arial"/>
          <w:color w:val="000000" w:themeColor="text1"/>
          <w:sz w:val="20"/>
          <w:szCs w:val="20"/>
        </w:rPr>
        <w:t xml:space="preserve"> 20</w:t>
      </w:r>
      <w:r w:rsidR="00E83FAC" w:rsidRPr="00F10172">
        <w:rPr>
          <w:rFonts w:ascii="Arial" w:hAnsi="Arial" w:cs="Arial"/>
          <w:color w:val="000000" w:themeColor="text1"/>
          <w:sz w:val="20"/>
          <w:szCs w:val="20"/>
        </w:rPr>
        <w:t>2</w:t>
      </w:r>
      <w:r w:rsidR="005171DC" w:rsidRPr="00F10172">
        <w:rPr>
          <w:rFonts w:ascii="Arial" w:hAnsi="Arial" w:cs="Arial"/>
          <w:color w:val="000000" w:themeColor="text1"/>
          <w:sz w:val="20"/>
          <w:szCs w:val="20"/>
        </w:rPr>
        <w:t>3</w:t>
      </w:r>
      <w:r w:rsidRPr="00F10172">
        <w:rPr>
          <w:rFonts w:ascii="Arial" w:hAnsi="Arial" w:cs="Arial"/>
          <w:color w:val="000000" w:themeColor="text1"/>
          <w:sz w:val="20"/>
          <w:szCs w:val="20"/>
        </w:rPr>
        <w:t>. Pri tem so bila v poročilo o javnih naročilih, oddanih v letu 20</w:t>
      </w:r>
      <w:r w:rsidR="00E83FAC" w:rsidRPr="00F10172">
        <w:rPr>
          <w:rFonts w:ascii="Arial" w:hAnsi="Arial" w:cs="Arial"/>
          <w:color w:val="000000" w:themeColor="text1"/>
          <w:sz w:val="20"/>
          <w:szCs w:val="20"/>
        </w:rPr>
        <w:t>2</w:t>
      </w:r>
      <w:r w:rsidR="00F62353" w:rsidRPr="00F10172">
        <w:rPr>
          <w:rFonts w:ascii="Arial" w:hAnsi="Arial" w:cs="Arial"/>
          <w:color w:val="000000" w:themeColor="text1"/>
          <w:sz w:val="20"/>
          <w:szCs w:val="20"/>
        </w:rPr>
        <w:t>3</w:t>
      </w:r>
      <w:r w:rsidRPr="00F10172">
        <w:rPr>
          <w:rFonts w:ascii="Arial" w:hAnsi="Arial" w:cs="Arial"/>
          <w:color w:val="000000" w:themeColor="text1"/>
          <w:sz w:val="20"/>
          <w:szCs w:val="20"/>
        </w:rPr>
        <w:t>, vključena vsa naročila, oddana v postopku javnega naročanja</w:t>
      </w:r>
      <w:r w:rsidR="005171DC" w:rsidRPr="00F10172">
        <w:rPr>
          <w:rFonts w:ascii="Arial" w:hAnsi="Arial" w:cs="Arial"/>
          <w:color w:val="000000" w:themeColor="text1"/>
          <w:sz w:val="20"/>
          <w:szCs w:val="20"/>
        </w:rPr>
        <w:t xml:space="preserve"> v letu 2023, ne glede na to</w:t>
      </w:r>
      <w:r w:rsidR="00ED7BD4">
        <w:rPr>
          <w:rFonts w:ascii="Arial" w:hAnsi="Arial" w:cs="Arial"/>
          <w:color w:val="000000" w:themeColor="text1"/>
          <w:sz w:val="20"/>
          <w:szCs w:val="20"/>
        </w:rPr>
        <w:t>,</w:t>
      </w:r>
      <w:r w:rsidR="005171DC" w:rsidRPr="00F10172">
        <w:rPr>
          <w:rFonts w:ascii="Arial" w:hAnsi="Arial" w:cs="Arial"/>
          <w:color w:val="000000" w:themeColor="text1"/>
          <w:sz w:val="20"/>
          <w:szCs w:val="20"/>
        </w:rPr>
        <w:t xml:space="preserve"> kdaj je bil postopek začet.</w:t>
      </w:r>
      <w:r w:rsidRPr="00F10172">
        <w:rPr>
          <w:rFonts w:ascii="Arial" w:hAnsi="Arial" w:cs="Arial"/>
          <w:color w:val="000000" w:themeColor="text1"/>
          <w:sz w:val="20"/>
          <w:szCs w:val="20"/>
        </w:rPr>
        <w:t xml:space="preserve"> </w:t>
      </w:r>
    </w:p>
    <w:p w14:paraId="0BD69D8F" w14:textId="4311E004"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 xml:space="preserve">V poročilu se </w:t>
      </w:r>
      <w:r w:rsidR="0037106B" w:rsidRPr="00F10172">
        <w:rPr>
          <w:rFonts w:ascii="Arial" w:hAnsi="Arial" w:cs="Arial"/>
          <w:color w:val="000000" w:themeColor="text1"/>
          <w:sz w:val="20"/>
          <w:szCs w:val="20"/>
        </w:rPr>
        <w:t>izraz</w:t>
      </w:r>
      <w:r w:rsidRPr="00F10172">
        <w:rPr>
          <w:rFonts w:ascii="Arial" w:hAnsi="Arial" w:cs="Arial"/>
          <w:color w:val="000000" w:themeColor="text1"/>
          <w:sz w:val="20"/>
          <w:szCs w:val="20"/>
        </w:rPr>
        <w:t xml:space="preserve"> postopek javnega naročanja uporablja za postopek, ki ga je naročnik izvedel v skladu z zakonom, </w:t>
      </w:r>
      <w:r w:rsidR="0037106B" w:rsidRPr="00F10172">
        <w:rPr>
          <w:rFonts w:ascii="Arial" w:hAnsi="Arial" w:cs="Arial"/>
          <w:color w:val="000000" w:themeColor="text1"/>
          <w:sz w:val="20"/>
          <w:szCs w:val="20"/>
        </w:rPr>
        <w:t>izraz</w:t>
      </w:r>
      <w:r w:rsidRPr="00F10172">
        <w:rPr>
          <w:rFonts w:ascii="Arial" w:hAnsi="Arial" w:cs="Arial"/>
          <w:color w:val="000000" w:themeColor="text1"/>
          <w:sz w:val="20"/>
          <w:szCs w:val="20"/>
        </w:rPr>
        <w:t xml:space="preserve"> naročilo pa se uporablja za sklop postopka. Če je bil v postopku oblikovan le en sklop, se šteje, da je bilo z njim oddano eno naročilo; če je bilo v postopku oblikovanih več sklopov, se šteje, da je bilo v njem oddanih toliko naročil, kolikor je bilo sklopov, in sicer ne glede na to, ali je bilo več sklopov oddanih istemu ponudniku. </w:t>
      </w:r>
    </w:p>
    <w:p w14:paraId="43673C8F" w14:textId="178D7CE7"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Javni natečaji so v poročilu prikazan</w:t>
      </w:r>
      <w:r w:rsidR="009D69AF" w:rsidRPr="00F10172">
        <w:rPr>
          <w:rFonts w:ascii="Arial" w:hAnsi="Arial" w:cs="Arial"/>
          <w:color w:val="000000" w:themeColor="text1"/>
          <w:sz w:val="20"/>
          <w:szCs w:val="20"/>
        </w:rPr>
        <w:t>i</w:t>
      </w:r>
      <w:r w:rsidRPr="00F10172">
        <w:rPr>
          <w:rFonts w:ascii="Arial" w:hAnsi="Arial" w:cs="Arial"/>
          <w:color w:val="000000" w:themeColor="text1"/>
          <w:sz w:val="20"/>
          <w:szCs w:val="20"/>
        </w:rPr>
        <w:t xml:space="preserve"> v samostojnih poglavjih, v </w:t>
      </w:r>
      <w:r w:rsidR="0037106B" w:rsidRPr="00F10172">
        <w:rPr>
          <w:rFonts w:ascii="Arial" w:hAnsi="Arial" w:cs="Arial"/>
          <w:color w:val="000000" w:themeColor="text1"/>
          <w:sz w:val="20"/>
          <w:szCs w:val="20"/>
        </w:rPr>
        <w:t>drugih</w:t>
      </w:r>
      <w:r w:rsidRPr="00F10172">
        <w:rPr>
          <w:rFonts w:ascii="Arial" w:hAnsi="Arial" w:cs="Arial"/>
          <w:color w:val="000000" w:themeColor="text1"/>
          <w:sz w:val="20"/>
          <w:szCs w:val="20"/>
        </w:rPr>
        <w:t xml:space="preserve"> poglavjih pa niso </w:t>
      </w:r>
      <w:r w:rsidR="005522FF" w:rsidRPr="00F10172">
        <w:rPr>
          <w:rFonts w:ascii="Arial" w:hAnsi="Arial" w:cs="Arial"/>
          <w:color w:val="000000" w:themeColor="text1"/>
          <w:sz w:val="20"/>
          <w:szCs w:val="20"/>
        </w:rPr>
        <w:t xml:space="preserve">vključeni </w:t>
      </w:r>
      <w:r w:rsidRPr="00F10172">
        <w:rPr>
          <w:rFonts w:ascii="Arial" w:hAnsi="Arial" w:cs="Arial"/>
          <w:color w:val="000000" w:themeColor="text1"/>
          <w:sz w:val="20"/>
          <w:szCs w:val="20"/>
        </w:rPr>
        <w:t xml:space="preserve">v analizo. </w:t>
      </w:r>
    </w:p>
    <w:p w14:paraId="6A8B09F8" w14:textId="79697694" w:rsidR="00C13751" w:rsidRPr="00F10172" w:rsidRDefault="00C13751" w:rsidP="00C13751">
      <w:pPr>
        <w:pStyle w:val="Standard"/>
        <w:spacing w:line="360" w:lineRule="auto"/>
        <w:rPr>
          <w:rFonts w:cs="Arial"/>
          <w:color w:val="000000" w:themeColor="text1"/>
          <w:sz w:val="20"/>
          <w:szCs w:val="20"/>
        </w:rPr>
      </w:pPr>
      <w:r w:rsidRPr="00F10172">
        <w:rPr>
          <w:rFonts w:cs="Arial"/>
          <w:color w:val="000000" w:themeColor="text1"/>
          <w:sz w:val="20"/>
          <w:szCs w:val="20"/>
        </w:rPr>
        <w:t>V poročilu so</w:t>
      </w:r>
      <w:r w:rsidR="0037106B" w:rsidRPr="00F10172">
        <w:rPr>
          <w:rFonts w:cs="Arial"/>
          <w:color w:val="000000" w:themeColor="text1"/>
          <w:sz w:val="20"/>
          <w:szCs w:val="20"/>
        </w:rPr>
        <w:t xml:space="preserve"> navedeni</w:t>
      </w:r>
      <w:r w:rsidRPr="00F10172">
        <w:rPr>
          <w:rFonts w:cs="Arial"/>
          <w:color w:val="000000" w:themeColor="text1"/>
          <w:sz w:val="20"/>
          <w:szCs w:val="20"/>
        </w:rPr>
        <w:t xml:space="preserve"> tudi postopki, ki niso obravnavani glede na zakon, v skladu s katerim so bili oddani oziroma izvedeni, temveč glede na področje javnega naročanja, in sicer se kot:</w:t>
      </w:r>
    </w:p>
    <w:p w14:paraId="730A6EFE" w14:textId="1AA8FC91" w:rsidR="00C13751" w:rsidRPr="00F10172" w:rsidRDefault="00C13751" w:rsidP="00C13751">
      <w:pPr>
        <w:pStyle w:val="Standard"/>
        <w:numPr>
          <w:ilvl w:val="0"/>
          <w:numId w:val="24"/>
        </w:numPr>
        <w:spacing w:line="360" w:lineRule="auto"/>
        <w:textAlignment w:val="auto"/>
        <w:rPr>
          <w:rFonts w:cs="Arial"/>
          <w:color w:val="000000" w:themeColor="text1"/>
          <w:sz w:val="20"/>
          <w:szCs w:val="20"/>
        </w:rPr>
      </w:pPr>
      <w:r w:rsidRPr="00F10172">
        <w:rPr>
          <w:rFonts w:cs="Arial"/>
          <w:color w:val="000000" w:themeColor="text1"/>
          <w:sz w:val="20"/>
          <w:szCs w:val="20"/>
        </w:rPr>
        <w:t>naročila na splošnem področju štejejo naročila, oddana v skladu z določili ZJN-3</w:t>
      </w:r>
      <w:r w:rsidR="00ED7BD4">
        <w:rPr>
          <w:rFonts w:cs="Arial"/>
          <w:color w:val="000000" w:themeColor="text1"/>
          <w:sz w:val="20"/>
          <w:szCs w:val="20"/>
        </w:rPr>
        <w:t>,</w:t>
      </w:r>
      <w:r w:rsidRPr="00F10172">
        <w:rPr>
          <w:rFonts w:cs="Arial"/>
          <w:color w:val="000000" w:themeColor="text1"/>
          <w:sz w:val="20"/>
          <w:szCs w:val="20"/>
        </w:rPr>
        <w:t xml:space="preserve"> za naročila na splošnem področju;</w:t>
      </w:r>
    </w:p>
    <w:p w14:paraId="725108CC" w14:textId="5FEDF428" w:rsidR="00C13751" w:rsidRPr="00F10172" w:rsidRDefault="00C13751" w:rsidP="00C13751">
      <w:pPr>
        <w:pStyle w:val="Standard"/>
        <w:numPr>
          <w:ilvl w:val="0"/>
          <w:numId w:val="24"/>
        </w:numPr>
        <w:spacing w:line="360" w:lineRule="auto"/>
        <w:textAlignment w:val="auto"/>
        <w:rPr>
          <w:rFonts w:cs="Arial"/>
          <w:color w:val="000000" w:themeColor="text1"/>
          <w:sz w:val="20"/>
          <w:szCs w:val="20"/>
        </w:rPr>
      </w:pPr>
      <w:r w:rsidRPr="00F10172">
        <w:rPr>
          <w:rFonts w:cs="Arial"/>
          <w:color w:val="000000" w:themeColor="text1"/>
          <w:sz w:val="20"/>
          <w:szCs w:val="20"/>
        </w:rPr>
        <w:t>naročila na infrastrukturnem področju štejejo naročila, oddana v skladu z določili ZJN-3</w:t>
      </w:r>
      <w:r w:rsidR="00ED7BD4">
        <w:rPr>
          <w:rFonts w:cs="Arial"/>
          <w:color w:val="000000" w:themeColor="text1"/>
          <w:sz w:val="20"/>
          <w:szCs w:val="20"/>
        </w:rPr>
        <w:t>,</w:t>
      </w:r>
      <w:r w:rsidRPr="00F10172">
        <w:rPr>
          <w:rFonts w:cs="Arial"/>
          <w:color w:val="000000" w:themeColor="text1"/>
          <w:sz w:val="20"/>
          <w:szCs w:val="20"/>
        </w:rPr>
        <w:t xml:space="preserve"> za naročila na infrastrukturnem področju;</w:t>
      </w:r>
    </w:p>
    <w:p w14:paraId="29CB6422" w14:textId="77777777" w:rsidR="00C13751" w:rsidRPr="00F10172" w:rsidRDefault="00C13751" w:rsidP="00C13751">
      <w:pPr>
        <w:pStyle w:val="Standard"/>
        <w:numPr>
          <w:ilvl w:val="0"/>
          <w:numId w:val="24"/>
        </w:numPr>
        <w:spacing w:line="360" w:lineRule="auto"/>
        <w:textAlignment w:val="auto"/>
        <w:rPr>
          <w:rFonts w:cs="Arial"/>
          <w:color w:val="000000" w:themeColor="text1"/>
          <w:sz w:val="20"/>
          <w:szCs w:val="20"/>
        </w:rPr>
      </w:pPr>
      <w:r w:rsidRPr="00F10172">
        <w:rPr>
          <w:rFonts w:cs="Arial"/>
          <w:color w:val="000000" w:themeColor="text1"/>
          <w:sz w:val="20"/>
          <w:szCs w:val="20"/>
        </w:rPr>
        <w:t>naročila na obrambnem področju štejejo naročila, oddana v skladu z določili ZJNPOV.</w:t>
      </w:r>
    </w:p>
    <w:p w14:paraId="28270E2A" w14:textId="77777777" w:rsidR="00DC0F5C" w:rsidRPr="00F10172" w:rsidRDefault="00DC0F5C" w:rsidP="00C13751">
      <w:pPr>
        <w:spacing w:line="360" w:lineRule="auto"/>
        <w:jc w:val="both"/>
        <w:rPr>
          <w:rFonts w:ascii="Arial" w:hAnsi="Arial" w:cs="Arial"/>
          <w:color w:val="000000" w:themeColor="text1"/>
          <w:sz w:val="20"/>
          <w:szCs w:val="20"/>
        </w:rPr>
      </w:pPr>
    </w:p>
    <w:p w14:paraId="302D15EC" w14:textId="46BC8630"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lastRenderedPageBreak/>
        <w:t xml:space="preserve">Pri izračunu deleža javnih naročil v BDP in </w:t>
      </w:r>
      <w:r w:rsidR="00ED7BD4">
        <w:rPr>
          <w:rFonts w:ascii="Arial" w:hAnsi="Arial" w:cs="Arial"/>
          <w:color w:val="000000" w:themeColor="text1"/>
          <w:sz w:val="20"/>
          <w:szCs w:val="20"/>
        </w:rPr>
        <w:t xml:space="preserve">pri </w:t>
      </w:r>
      <w:r w:rsidRPr="00F10172">
        <w:rPr>
          <w:rFonts w:ascii="Arial" w:hAnsi="Arial" w:cs="Arial"/>
          <w:color w:val="000000" w:themeColor="text1"/>
          <w:sz w:val="20"/>
          <w:szCs w:val="20"/>
        </w:rPr>
        <w:t xml:space="preserve">odhodkih proračuna so upoštevana evidenčna naročila in tista, za katera je bilo obvestilo o oddaji naročila objavljeno na portalu javnih naročil (tudi naročila, ki se nanašajo na sklenitev okvirnega sporazuma), </w:t>
      </w:r>
      <w:r w:rsidR="00653B9C" w:rsidRPr="00F10172">
        <w:rPr>
          <w:rFonts w:ascii="Arial" w:hAnsi="Arial" w:cs="Arial"/>
          <w:color w:val="000000" w:themeColor="text1"/>
          <w:sz w:val="20"/>
          <w:szCs w:val="20"/>
        </w:rPr>
        <w:t>razen</w:t>
      </w:r>
      <w:r w:rsidRPr="00F10172">
        <w:rPr>
          <w:rFonts w:ascii="Arial" w:hAnsi="Arial" w:cs="Arial"/>
          <w:color w:val="000000" w:themeColor="text1"/>
          <w:sz w:val="20"/>
          <w:szCs w:val="20"/>
        </w:rPr>
        <w:t xml:space="preserve"> javnih natečajev in posameznih naročil, oddanih na podlagi sklenjenih okvirnih sporazumov. </w:t>
      </w:r>
    </w:p>
    <w:p w14:paraId="4CAECD2F" w14:textId="01D8899E"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V poročilu uporablj</w:t>
      </w:r>
      <w:r w:rsidR="0037106B" w:rsidRPr="00F10172">
        <w:rPr>
          <w:rFonts w:ascii="Arial" w:hAnsi="Arial" w:cs="Arial"/>
          <w:color w:val="000000" w:themeColor="text1"/>
          <w:sz w:val="20"/>
          <w:szCs w:val="20"/>
        </w:rPr>
        <w:t>eni</w:t>
      </w:r>
      <w:r w:rsidRPr="00F10172">
        <w:rPr>
          <w:rFonts w:ascii="Arial" w:hAnsi="Arial" w:cs="Arial"/>
          <w:color w:val="000000" w:themeColor="text1"/>
          <w:sz w:val="20"/>
          <w:szCs w:val="20"/>
        </w:rPr>
        <w:t xml:space="preserve"> </w:t>
      </w:r>
      <w:r w:rsidR="0037106B" w:rsidRPr="00F10172">
        <w:rPr>
          <w:rFonts w:ascii="Arial" w:hAnsi="Arial" w:cs="Arial"/>
          <w:color w:val="000000" w:themeColor="text1"/>
          <w:sz w:val="20"/>
          <w:szCs w:val="20"/>
        </w:rPr>
        <w:t>izraz</w:t>
      </w:r>
      <w:r w:rsidRPr="00F10172">
        <w:rPr>
          <w:rFonts w:ascii="Arial" w:hAnsi="Arial" w:cs="Arial"/>
          <w:color w:val="000000" w:themeColor="text1"/>
          <w:sz w:val="20"/>
          <w:szCs w:val="20"/>
        </w:rPr>
        <w:t xml:space="preserve"> nep</w:t>
      </w:r>
      <w:r w:rsidR="0037106B" w:rsidRPr="00F10172">
        <w:rPr>
          <w:rFonts w:ascii="Arial" w:hAnsi="Arial" w:cs="Arial"/>
          <w:color w:val="000000" w:themeColor="text1"/>
          <w:sz w:val="20"/>
          <w:szCs w:val="20"/>
        </w:rPr>
        <w:t>rednostne</w:t>
      </w:r>
      <w:r w:rsidRPr="00F10172">
        <w:rPr>
          <w:rFonts w:ascii="Arial" w:hAnsi="Arial" w:cs="Arial"/>
          <w:color w:val="000000" w:themeColor="text1"/>
          <w:sz w:val="20"/>
          <w:szCs w:val="20"/>
        </w:rPr>
        <w:t xml:space="preserve"> storitve</w:t>
      </w:r>
      <w:r w:rsidR="0034008E" w:rsidRPr="00F10172">
        <w:rPr>
          <w:rFonts w:ascii="Arial" w:hAnsi="Arial" w:cs="Arial"/>
          <w:color w:val="000000" w:themeColor="text1"/>
          <w:sz w:val="20"/>
          <w:szCs w:val="20"/>
        </w:rPr>
        <w:t xml:space="preserve"> </w:t>
      </w:r>
      <w:r w:rsidRPr="00F10172">
        <w:rPr>
          <w:rFonts w:ascii="Arial" w:hAnsi="Arial" w:cs="Arial"/>
          <w:color w:val="000000" w:themeColor="text1"/>
          <w:sz w:val="20"/>
          <w:szCs w:val="20"/>
        </w:rPr>
        <w:t>zajema socialne in druge posebne s</w:t>
      </w:r>
      <w:r w:rsidR="00ED0DC0" w:rsidRPr="00F10172">
        <w:rPr>
          <w:rFonts w:ascii="Arial" w:hAnsi="Arial" w:cs="Arial"/>
          <w:color w:val="000000" w:themeColor="text1"/>
          <w:sz w:val="20"/>
          <w:szCs w:val="20"/>
        </w:rPr>
        <w:t>toritve, ki jih ureja ZJN-3.</w:t>
      </w:r>
    </w:p>
    <w:p w14:paraId="690264BB" w14:textId="4E1D5063" w:rsidR="00C13751" w:rsidRPr="00F10172" w:rsidRDefault="0037106B"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V</w:t>
      </w:r>
      <w:r w:rsidR="00C13751" w:rsidRPr="00F10172">
        <w:rPr>
          <w:rFonts w:ascii="Arial" w:hAnsi="Arial" w:cs="Arial"/>
          <w:color w:val="000000" w:themeColor="text1"/>
          <w:sz w:val="20"/>
          <w:szCs w:val="20"/>
        </w:rPr>
        <w:t xml:space="preserve"> t</w:t>
      </w:r>
      <w:r w:rsidRPr="00F10172">
        <w:rPr>
          <w:rFonts w:ascii="Arial" w:hAnsi="Arial" w:cs="Arial"/>
          <w:color w:val="000000" w:themeColor="text1"/>
          <w:sz w:val="20"/>
          <w:szCs w:val="20"/>
        </w:rPr>
        <w:t>em</w:t>
      </w:r>
      <w:r w:rsidR="00C13751" w:rsidRPr="00F10172">
        <w:rPr>
          <w:rFonts w:ascii="Arial" w:hAnsi="Arial" w:cs="Arial"/>
          <w:color w:val="000000" w:themeColor="text1"/>
          <w:sz w:val="20"/>
          <w:szCs w:val="20"/>
        </w:rPr>
        <w:t xml:space="preserve"> poročil</w:t>
      </w:r>
      <w:r w:rsidRPr="00F10172">
        <w:rPr>
          <w:rFonts w:ascii="Arial" w:hAnsi="Arial" w:cs="Arial"/>
          <w:color w:val="000000" w:themeColor="text1"/>
          <w:sz w:val="20"/>
          <w:szCs w:val="20"/>
        </w:rPr>
        <w:t>u</w:t>
      </w:r>
      <w:r w:rsidR="00C13751" w:rsidRPr="00F10172">
        <w:rPr>
          <w:rFonts w:ascii="Arial" w:hAnsi="Arial" w:cs="Arial"/>
          <w:color w:val="000000" w:themeColor="text1"/>
          <w:sz w:val="20"/>
          <w:szCs w:val="20"/>
        </w:rPr>
        <w:t xml:space="preserve"> se za javna naročila pod mejno vrednostjo</w:t>
      </w:r>
      <w:r w:rsidR="00601649" w:rsidRPr="00F10172">
        <w:rPr>
          <w:rFonts w:ascii="Arial" w:hAnsi="Arial" w:cs="Arial"/>
          <w:color w:val="000000" w:themeColor="text1"/>
          <w:sz w:val="20"/>
          <w:szCs w:val="20"/>
        </w:rPr>
        <w:t xml:space="preserve"> za uporabo zakona</w:t>
      </w:r>
      <w:r w:rsidR="00C13751" w:rsidRPr="00F10172">
        <w:rPr>
          <w:rFonts w:ascii="Arial" w:hAnsi="Arial" w:cs="Arial"/>
          <w:color w:val="000000" w:themeColor="text1"/>
          <w:sz w:val="20"/>
          <w:szCs w:val="20"/>
        </w:rPr>
        <w:t xml:space="preserve">, tj. za naročila, za </w:t>
      </w:r>
      <w:r w:rsidR="005A2D74" w:rsidRPr="00F10172">
        <w:rPr>
          <w:rFonts w:ascii="Arial" w:hAnsi="Arial" w:cs="Arial"/>
          <w:color w:val="000000" w:themeColor="text1"/>
          <w:sz w:val="20"/>
          <w:szCs w:val="20"/>
        </w:rPr>
        <w:t xml:space="preserve">katerih </w:t>
      </w:r>
      <w:r w:rsidR="00C13751" w:rsidRPr="00F10172">
        <w:rPr>
          <w:rFonts w:ascii="Arial" w:hAnsi="Arial" w:cs="Arial"/>
          <w:color w:val="000000" w:themeColor="text1"/>
          <w:sz w:val="20"/>
          <w:szCs w:val="20"/>
        </w:rPr>
        <w:t xml:space="preserve">oddajo naročniku zaradi </w:t>
      </w:r>
      <w:r w:rsidR="00ED7BD4">
        <w:rPr>
          <w:rFonts w:ascii="Arial" w:hAnsi="Arial" w:cs="Arial"/>
          <w:color w:val="000000" w:themeColor="text1"/>
          <w:sz w:val="20"/>
          <w:szCs w:val="20"/>
        </w:rPr>
        <w:t>majhne</w:t>
      </w:r>
      <w:r w:rsidR="00C13751" w:rsidRPr="00F10172">
        <w:rPr>
          <w:rFonts w:ascii="Arial" w:hAnsi="Arial" w:cs="Arial"/>
          <w:color w:val="000000" w:themeColor="text1"/>
          <w:sz w:val="20"/>
          <w:szCs w:val="20"/>
        </w:rPr>
        <w:t xml:space="preserve"> vrednosti ni treba izvesti postopka javnega naročanja po zakonu, uporablja izraz evidenčna naročila. </w:t>
      </w:r>
    </w:p>
    <w:p w14:paraId="1BDF3FEA" w14:textId="1AEB1C92"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 xml:space="preserve">To so naročila, ki so bila oddana na podlagi ZJN-3 in katerih vrednost je </w:t>
      </w:r>
      <w:r w:rsidR="00ED7BD4">
        <w:rPr>
          <w:rFonts w:ascii="Arial" w:hAnsi="Arial" w:cs="Arial"/>
          <w:color w:val="000000" w:themeColor="text1"/>
          <w:sz w:val="20"/>
          <w:szCs w:val="20"/>
        </w:rPr>
        <w:t>manjša</w:t>
      </w:r>
      <w:r w:rsidRPr="00F10172">
        <w:rPr>
          <w:rFonts w:ascii="Arial" w:hAnsi="Arial" w:cs="Arial"/>
          <w:color w:val="000000" w:themeColor="text1"/>
          <w:sz w:val="20"/>
          <w:szCs w:val="20"/>
        </w:rPr>
        <w:t xml:space="preserve"> od:</w:t>
      </w:r>
    </w:p>
    <w:p w14:paraId="5EA3AFA6" w14:textId="77777777"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a)     na splošnem področju:</w:t>
      </w:r>
    </w:p>
    <w:p w14:paraId="4896639F" w14:textId="292D9EAE" w:rsidR="00C13751" w:rsidRPr="00F10172" w:rsidRDefault="00FF6916" w:rsidP="004D1B3A">
      <w:pPr>
        <w:pStyle w:val="Odstavekseznama"/>
        <w:numPr>
          <w:ilvl w:val="0"/>
          <w:numId w:val="25"/>
        </w:numPr>
        <w:spacing w:line="360" w:lineRule="auto"/>
        <w:rPr>
          <w:rFonts w:cs="Arial"/>
          <w:color w:val="000000" w:themeColor="text1"/>
          <w:sz w:val="20"/>
          <w:szCs w:val="20"/>
        </w:rPr>
      </w:pPr>
      <w:r w:rsidRPr="00F10172">
        <w:rPr>
          <w:rFonts w:cs="Arial"/>
          <w:color w:val="000000" w:themeColor="text1"/>
          <w:sz w:val="20"/>
          <w:szCs w:val="20"/>
        </w:rPr>
        <w:t>4</w:t>
      </w:r>
      <w:r w:rsidR="00C13751" w:rsidRPr="00F10172">
        <w:rPr>
          <w:rFonts w:cs="Arial"/>
          <w:color w:val="000000" w:themeColor="text1"/>
          <w:sz w:val="20"/>
          <w:szCs w:val="20"/>
        </w:rPr>
        <w:t>0.000 e</w:t>
      </w:r>
      <w:r w:rsidR="0037106B" w:rsidRPr="00F10172">
        <w:rPr>
          <w:rFonts w:cs="Arial"/>
          <w:color w:val="000000" w:themeColor="text1"/>
          <w:sz w:val="20"/>
          <w:szCs w:val="20"/>
        </w:rPr>
        <w:t>v</w:t>
      </w:r>
      <w:r w:rsidR="00C13751" w:rsidRPr="00F10172">
        <w:rPr>
          <w:rFonts w:cs="Arial"/>
          <w:color w:val="000000" w:themeColor="text1"/>
          <w:sz w:val="20"/>
          <w:szCs w:val="20"/>
        </w:rPr>
        <w:t>rov za javno naročilo blaga ali storitev ali projektni natečaj</w:t>
      </w:r>
      <w:r w:rsidR="002C4281" w:rsidRPr="00F10172">
        <w:rPr>
          <w:rFonts w:cs="Arial"/>
          <w:color w:val="000000" w:themeColor="text1"/>
          <w:sz w:val="20"/>
          <w:szCs w:val="20"/>
        </w:rPr>
        <w:t>,</w:t>
      </w:r>
    </w:p>
    <w:p w14:paraId="4C78AF51" w14:textId="167C8D36" w:rsidR="00C13751" w:rsidRPr="00F10172" w:rsidRDefault="00FF6916" w:rsidP="004D1B3A">
      <w:pPr>
        <w:pStyle w:val="Odstavekseznama"/>
        <w:numPr>
          <w:ilvl w:val="0"/>
          <w:numId w:val="25"/>
        </w:numPr>
        <w:spacing w:line="360" w:lineRule="auto"/>
        <w:rPr>
          <w:rFonts w:cs="Arial"/>
          <w:color w:val="000000" w:themeColor="text1"/>
          <w:sz w:val="20"/>
          <w:szCs w:val="20"/>
        </w:rPr>
      </w:pPr>
      <w:r w:rsidRPr="00F10172">
        <w:rPr>
          <w:rFonts w:cs="Arial"/>
          <w:color w:val="000000" w:themeColor="text1"/>
          <w:sz w:val="20"/>
          <w:szCs w:val="20"/>
        </w:rPr>
        <w:t>8</w:t>
      </w:r>
      <w:r w:rsidR="00C13751" w:rsidRPr="00F10172">
        <w:rPr>
          <w:rFonts w:cs="Arial"/>
          <w:color w:val="000000" w:themeColor="text1"/>
          <w:sz w:val="20"/>
          <w:szCs w:val="20"/>
        </w:rPr>
        <w:t>0.000 e</w:t>
      </w:r>
      <w:r w:rsidR="0037106B" w:rsidRPr="00F10172">
        <w:rPr>
          <w:rFonts w:cs="Arial"/>
          <w:color w:val="000000" w:themeColor="text1"/>
          <w:sz w:val="20"/>
          <w:szCs w:val="20"/>
        </w:rPr>
        <w:t>v</w:t>
      </w:r>
      <w:r w:rsidR="00C13751" w:rsidRPr="00F10172">
        <w:rPr>
          <w:rFonts w:cs="Arial"/>
          <w:color w:val="000000" w:themeColor="text1"/>
          <w:sz w:val="20"/>
          <w:szCs w:val="20"/>
        </w:rPr>
        <w:t>rov za javno naročilo graden</w:t>
      </w:r>
      <w:r w:rsidR="00CF664F" w:rsidRPr="00F10172">
        <w:rPr>
          <w:rFonts w:cs="Arial"/>
          <w:color w:val="000000" w:themeColor="text1"/>
          <w:sz w:val="20"/>
          <w:szCs w:val="20"/>
        </w:rPr>
        <w:t>j</w:t>
      </w:r>
      <w:r w:rsidR="002C4281" w:rsidRPr="00F10172">
        <w:rPr>
          <w:rFonts w:cs="Arial"/>
          <w:color w:val="000000" w:themeColor="text1"/>
          <w:sz w:val="20"/>
          <w:szCs w:val="20"/>
        </w:rPr>
        <w:t>,</w:t>
      </w:r>
    </w:p>
    <w:p w14:paraId="4CEA8720" w14:textId="4C0743C5" w:rsidR="00C13751" w:rsidRPr="00F10172" w:rsidRDefault="00C13751" w:rsidP="009F7B6D">
      <w:pPr>
        <w:pStyle w:val="Odstavekseznama"/>
        <w:numPr>
          <w:ilvl w:val="0"/>
          <w:numId w:val="25"/>
        </w:numPr>
        <w:spacing w:line="360" w:lineRule="auto"/>
        <w:rPr>
          <w:rFonts w:cs="Arial"/>
          <w:color w:val="000000" w:themeColor="text1"/>
          <w:sz w:val="20"/>
          <w:szCs w:val="20"/>
        </w:rPr>
      </w:pPr>
      <w:r w:rsidRPr="00F10172">
        <w:rPr>
          <w:rFonts w:cs="Arial"/>
          <w:color w:val="000000" w:themeColor="text1"/>
          <w:sz w:val="20"/>
          <w:szCs w:val="20"/>
        </w:rPr>
        <w:t>750.000 e</w:t>
      </w:r>
      <w:r w:rsidR="0037106B" w:rsidRPr="00F10172">
        <w:rPr>
          <w:rFonts w:cs="Arial"/>
          <w:color w:val="000000" w:themeColor="text1"/>
          <w:sz w:val="20"/>
          <w:szCs w:val="20"/>
        </w:rPr>
        <w:t>v</w:t>
      </w:r>
      <w:r w:rsidRPr="00F10172">
        <w:rPr>
          <w:rFonts w:cs="Arial"/>
          <w:color w:val="000000" w:themeColor="text1"/>
          <w:sz w:val="20"/>
          <w:szCs w:val="20"/>
        </w:rPr>
        <w:t xml:space="preserve">rov za javno naročilo storitev, ki jih določata </w:t>
      </w:r>
      <w:r w:rsidR="0037106B" w:rsidRPr="00F10172">
        <w:rPr>
          <w:rFonts w:cs="Arial"/>
          <w:color w:val="000000" w:themeColor="text1"/>
          <w:sz w:val="20"/>
          <w:szCs w:val="20"/>
        </w:rPr>
        <w:t>p</w:t>
      </w:r>
      <w:r w:rsidRPr="00F10172">
        <w:rPr>
          <w:rFonts w:cs="Arial"/>
          <w:color w:val="000000" w:themeColor="text1"/>
          <w:sz w:val="20"/>
          <w:szCs w:val="20"/>
        </w:rPr>
        <w:t xml:space="preserve">riloga XIV Direktive 2014/24/EU in </w:t>
      </w:r>
      <w:r w:rsidR="0037106B" w:rsidRPr="00F10172">
        <w:rPr>
          <w:rFonts w:cs="Arial"/>
          <w:color w:val="000000" w:themeColor="text1"/>
          <w:sz w:val="20"/>
          <w:szCs w:val="20"/>
        </w:rPr>
        <w:t>p</w:t>
      </w:r>
      <w:r w:rsidRPr="00F10172">
        <w:rPr>
          <w:rFonts w:cs="Arial"/>
          <w:color w:val="000000" w:themeColor="text1"/>
          <w:sz w:val="20"/>
          <w:szCs w:val="20"/>
        </w:rPr>
        <w:t xml:space="preserve">riloga XVII Direktive 2014/25/EU (v nadaljnjem besedilu: socialne in druge posebne storitve), </w:t>
      </w:r>
      <w:r w:rsidR="008D7986" w:rsidRPr="00F10172">
        <w:rPr>
          <w:rFonts w:cs="Arial"/>
          <w:color w:val="000000" w:themeColor="text1"/>
          <w:sz w:val="20"/>
          <w:szCs w:val="20"/>
        </w:rPr>
        <w:t>razen storitev, zajetih s kodami CPV 79713000-5, 79100000-5, 79110000-8, 79111000-5, 79112000-2, 79112100-3 in 79140000-7</w:t>
      </w:r>
      <w:r w:rsidR="0037106B" w:rsidRPr="00F10172">
        <w:rPr>
          <w:rFonts w:cs="Arial"/>
          <w:color w:val="000000" w:themeColor="text1"/>
          <w:sz w:val="20"/>
          <w:szCs w:val="20"/>
        </w:rPr>
        <w:t>;</w:t>
      </w:r>
    </w:p>
    <w:p w14:paraId="251DE4EA" w14:textId="77777777" w:rsidR="00D04A5F" w:rsidRPr="00F10172" w:rsidRDefault="00D04A5F" w:rsidP="00D04A5F">
      <w:pPr>
        <w:pStyle w:val="Odstavekseznama"/>
        <w:spacing w:line="360" w:lineRule="auto"/>
        <w:rPr>
          <w:rFonts w:cs="Arial"/>
          <w:color w:val="000000" w:themeColor="text1"/>
          <w:sz w:val="20"/>
          <w:szCs w:val="20"/>
        </w:rPr>
      </w:pPr>
    </w:p>
    <w:p w14:paraId="5C4EA227" w14:textId="77777777"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b)     na infrastrukturnem področju:</w:t>
      </w:r>
    </w:p>
    <w:p w14:paraId="4FAF8F9A" w14:textId="26391FEE" w:rsidR="00C13751" w:rsidRPr="00F10172" w:rsidRDefault="00C13751" w:rsidP="00C0460E">
      <w:pPr>
        <w:pStyle w:val="Odstavekseznama"/>
        <w:numPr>
          <w:ilvl w:val="0"/>
          <w:numId w:val="25"/>
        </w:numPr>
        <w:spacing w:line="360" w:lineRule="auto"/>
        <w:rPr>
          <w:rFonts w:cs="Arial"/>
          <w:color w:val="000000" w:themeColor="text1"/>
          <w:sz w:val="20"/>
          <w:szCs w:val="20"/>
        </w:rPr>
      </w:pPr>
      <w:r w:rsidRPr="00F10172">
        <w:rPr>
          <w:rFonts w:cs="Arial"/>
          <w:color w:val="000000" w:themeColor="text1"/>
          <w:sz w:val="20"/>
          <w:szCs w:val="20"/>
        </w:rPr>
        <w:t>50.000 e</w:t>
      </w:r>
      <w:r w:rsidR="00DD3892" w:rsidRPr="00F10172">
        <w:rPr>
          <w:rFonts w:cs="Arial"/>
          <w:color w:val="000000" w:themeColor="text1"/>
          <w:sz w:val="20"/>
          <w:szCs w:val="20"/>
        </w:rPr>
        <w:t>v</w:t>
      </w:r>
      <w:r w:rsidRPr="00F10172">
        <w:rPr>
          <w:rFonts w:cs="Arial"/>
          <w:color w:val="000000" w:themeColor="text1"/>
          <w:sz w:val="20"/>
          <w:szCs w:val="20"/>
        </w:rPr>
        <w:t>rov za javno naročilo blaga ali storitev ali projektni natečaj</w:t>
      </w:r>
      <w:r w:rsidR="002C4281" w:rsidRPr="00F10172">
        <w:rPr>
          <w:rFonts w:cs="Arial"/>
          <w:color w:val="000000" w:themeColor="text1"/>
          <w:sz w:val="20"/>
          <w:szCs w:val="20"/>
        </w:rPr>
        <w:t>,</w:t>
      </w:r>
    </w:p>
    <w:p w14:paraId="1D24F431" w14:textId="788AAB59" w:rsidR="00C13751" w:rsidRPr="00F10172" w:rsidRDefault="00C13751" w:rsidP="00C0460E">
      <w:pPr>
        <w:pStyle w:val="Odstavekseznama"/>
        <w:numPr>
          <w:ilvl w:val="0"/>
          <w:numId w:val="25"/>
        </w:numPr>
        <w:spacing w:line="360" w:lineRule="auto"/>
        <w:rPr>
          <w:rFonts w:cs="Arial"/>
          <w:color w:val="000000" w:themeColor="text1"/>
          <w:sz w:val="20"/>
          <w:szCs w:val="20"/>
        </w:rPr>
      </w:pPr>
      <w:r w:rsidRPr="00F10172">
        <w:rPr>
          <w:rFonts w:cs="Arial"/>
          <w:color w:val="000000" w:themeColor="text1"/>
          <w:sz w:val="20"/>
          <w:szCs w:val="20"/>
        </w:rPr>
        <w:t>100.000 e</w:t>
      </w:r>
      <w:r w:rsidR="00DD3892" w:rsidRPr="00F10172">
        <w:rPr>
          <w:rFonts w:cs="Arial"/>
          <w:color w:val="000000" w:themeColor="text1"/>
          <w:sz w:val="20"/>
          <w:szCs w:val="20"/>
        </w:rPr>
        <w:t>v</w:t>
      </w:r>
      <w:r w:rsidRPr="00F10172">
        <w:rPr>
          <w:rFonts w:cs="Arial"/>
          <w:color w:val="000000" w:themeColor="text1"/>
          <w:sz w:val="20"/>
          <w:szCs w:val="20"/>
        </w:rPr>
        <w:t>rov za javno naročilo gradenj</w:t>
      </w:r>
      <w:r w:rsidR="002C4281" w:rsidRPr="00F10172">
        <w:rPr>
          <w:rFonts w:cs="Arial"/>
          <w:color w:val="000000" w:themeColor="text1"/>
          <w:sz w:val="20"/>
          <w:szCs w:val="20"/>
        </w:rPr>
        <w:t>,</w:t>
      </w:r>
    </w:p>
    <w:p w14:paraId="2DB8CF33" w14:textId="3476C591" w:rsidR="00C13751" w:rsidRPr="00F10172" w:rsidRDefault="00C13751" w:rsidP="00C0460E">
      <w:pPr>
        <w:pStyle w:val="Odstavekseznama"/>
        <w:numPr>
          <w:ilvl w:val="0"/>
          <w:numId w:val="25"/>
        </w:numPr>
        <w:spacing w:line="360" w:lineRule="auto"/>
        <w:rPr>
          <w:rFonts w:cs="Arial"/>
          <w:color w:val="000000" w:themeColor="text1"/>
          <w:sz w:val="20"/>
          <w:szCs w:val="20"/>
        </w:rPr>
      </w:pPr>
      <w:r w:rsidRPr="00F10172">
        <w:rPr>
          <w:rFonts w:cs="Arial"/>
          <w:color w:val="000000" w:themeColor="text1"/>
          <w:sz w:val="20"/>
          <w:szCs w:val="20"/>
        </w:rPr>
        <w:t xml:space="preserve">1.000.000 </w:t>
      </w:r>
      <w:r w:rsidR="008D7986" w:rsidRPr="00F10172">
        <w:rPr>
          <w:rFonts w:cs="Arial"/>
          <w:color w:val="000000" w:themeColor="text1"/>
          <w:sz w:val="20"/>
          <w:szCs w:val="20"/>
        </w:rPr>
        <w:t>evrov za javno naročilo socialnih in drugih posebnih storitev, razen storitev, zajetih s kodami CPV 79713000-5, 79100000-5, 79110000-8, 79111000-5, 79112000-2, 79112100-3 in 79140000-7</w:t>
      </w:r>
      <w:r w:rsidR="00DD3892" w:rsidRPr="00F10172">
        <w:rPr>
          <w:rFonts w:cs="Arial"/>
          <w:color w:val="000000" w:themeColor="text1"/>
          <w:sz w:val="20"/>
          <w:szCs w:val="20"/>
        </w:rPr>
        <w:t>;</w:t>
      </w:r>
    </w:p>
    <w:p w14:paraId="08047693" w14:textId="77777777" w:rsidR="00C0460E" w:rsidRPr="00F10172" w:rsidRDefault="00C0460E" w:rsidP="00C0460E">
      <w:pPr>
        <w:spacing w:after="0" w:line="240" w:lineRule="auto"/>
        <w:jc w:val="both"/>
        <w:rPr>
          <w:rFonts w:ascii="Arial" w:hAnsi="Arial" w:cs="Arial"/>
          <w:color w:val="000000" w:themeColor="text1"/>
          <w:sz w:val="20"/>
          <w:szCs w:val="20"/>
        </w:rPr>
      </w:pPr>
    </w:p>
    <w:p w14:paraId="25F19160" w14:textId="77B9D99D" w:rsidR="00C13751" w:rsidRPr="00F10172" w:rsidRDefault="00DD3892"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t</w:t>
      </w:r>
      <w:r w:rsidR="00C13751" w:rsidRPr="00F10172">
        <w:rPr>
          <w:rFonts w:ascii="Arial" w:hAnsi="Arial" w:cs="Arial"/>
          <w:color w:val="000000" w:themeColor="text1"/>
          <w:sz w:val="20"/>
          <w:szCs w:val="20"/>
        </w:rPr>
        <w:t xml:space="preserve">er naročila, ki so bila oddana na podlagi ZJNPOV in katerih vrednost je </w:t>
      </w:r>
      <w:r w:rsidR="00ED7BD4">
        <w:rPr>
          <w:rFonts w:ascii="Arial" w:hAnsi="Arial" w:cs="Arial"/>
          <w:color w:val="000000" w:themeColor="text1"/>
          <w:sz w:val="20"/>
          <w:szCs w:val="20"/>
        </w:rPr>
        <w:t>manjša</w:t>
      </w:r>
      <w:r w:rsidR="00C13751" w:rsidRPr="00F10172">
        <w:rPr>
          <w:rFonts w:ascii="Arial" w:hAnsi="Arial" w:cs="Arial"/>
          <w:color w:val="000000" w:themeColor="text1"/>
          <w:sz w:val="20"/>
          <w:szCs w:val="20"/>
        </w:rPr>
        <w:t xml:space="preserve"> od:</w:t>
      </w:r>
    </w:p>
    <w:p w14:paraId="3F62CC0B" w14:textId="2D4F80E1" w:rsidR="00C13751" w:rsidRPr="00F10172" w:rsidRDefault="00C13751" w:rsidP="00C0460E">
      <w:pPr>
        <w:pStyle w:val="Odstavekseznama"/>
        <w:numPr>
          <w:ilvl w:val="0"/>
          <w:numId w:val="37"/>
        </w:numPr>
        <w:spacing w:line="360" w:lineRule="auto"/>
        <w:rPr>
          <w:rFonts w:cs="Arial"/>
          <w:color w:val="000000" w:themeColor="text1"/>
          <w:sz w:val="20"/>
          <w:szCs w:val="20"/>
        </w:rPr>
      </w:pPr>
      <w:r w:rsidRPr="00F10172">
        <w:rPr>
          <w:rFonts w:cs="Arial"/>
          <w:color w:val="000000" w:themeColor="text1"/>
          <w:sz w:val="20"/>
          <w:szCs w:val="20"/>
        </w:rPr>
        <w:t>40.000 e</w:t>
      </w:r>
      <w:r w:rsidR="00DD3892" w:rsidRPr="00F10172">
        <w:rPr>
          <w:rFonts w:cs="Arial"/>
          <w:color w:val="000000" w:themeColor="text1"/>
          <w:sz w:val="20"/>
          <w:szCs w:val="20"/>
        </w:rPr>
        <w:t>v</w:t>
      </w:r>
      <w:r w:rsidRPr="00F10172">
        <w:rPr>
          <w:rFonts w:cs="Arial"/>
          <w:color w:val="000000" w:themeColor="text1"/>
          <w:sz w:val="20"/>
          <w:szCs w:val="20"/>
        </w:rPr>
        <w:t>rov pri naročanju blaga ali storitev,</w:t>
      </w:r>
    </w:p>
    <w:p w14:paraId="4C3A965D" w14:textId="03C7576C" w:rsidR="00C13751" w:rsidRPr="00F10172" w:rsidRDefault="00C13751" w:rsidP="00C0460E">
      <w:pPr>
        <w:pStyle w:val="Odstavekseznama"/>
        <w:numPr>
          <w:ilvl w:val="0"/>
          <w:numId w:val="37"/>
        </w:numPr>
        <w:spacing w:line="360" w:lineRule="auto"/>
        <w:rPr>
          <w:rFonts w:cs="Arial"/>
          <w:color w:val="000000" w:themeColor="text1"/>
          <w:sz w:val="20"/>
          <w:szCs w:val="20"/>
        </w:rPr>
      </w:pPr>
      <w:r w:rsidRPr="00F10172">
        <w:rPr>
          <w:rFonts w:cs="Arial"/>
          <w:color w:val="000000" w:themeColor="text1"/>
          <w:sz w:val="20"/>
          <w:szCs w:val="20"/>
        </w:rPr>
        <w:t>80.000 e</w:t>
      </w:r>
      <w:r w:rsidR="00DD3892" w:rsidRPr="00F10172">
        <w:rPr>
          <w:rFonts w:cs="Arial"/>
          <w:color w:val="000000" w:themeColor="text1"/>
          <w:sz w:val="20"/>
          <w:szCs w:val="20"/>
        </w:rPr>
        <w:t>v</w:t>
      </w:r>
      <w:r w:rsidRPr="00F10172">
        <w:rPr>
          <w:rFonts w:cs="Arial"/>
          <w:color w:val="000000" w:themeColor="text1"/>
          <w:sz w:val="20"/>
          <w:szCs w:val="20"/>
        </w:rPr>
        <w:t>rov pri naročanju gradenj.</w:t>
      </w:r>
    </w:p>
    <w:p w14:paraId="117182CF" w14:textId="77777777" w:rsidR="004F63F5" w:rsidRPr="00F10172" w:rsidRDefault="004F63F5" w:rsidP="004F63F5">
      <w:pPr>
        <w:pStyle w:val="Odstavekseznama"/>
        <w:spacing w:line="360" w:lineRule="auto"/>
        <w:ind w:left="360"/>
        <w:rPr>
          <w:rFonts w:cs="Arial"/>
          <w:color w:val="000000" w:themeColor="text1"/>
          <w:sz w:val="20"/>
          <w:szCs w:val="20"/>
        </w:rPr>
      </w:pPr>
    </w:p>
    <w:p w14:paraId="7EA75BDA" w14:textId="1B4FE1A3"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 xml:space="preserve">Pri tem </w:t>
      </w:r>
      <w:r w:rsidR="003E7F7D" w:rsidRPr="00F10172">
        <w:rPr>
          <w:rFonts w:ascii="Arial" w:hAnsi="Arial" w:cs="Arial"/>
          <w:color w:val="000000" w:themeColor="text1"/>
          <w:sz w:val="20"/>
          <w:szCs w:val="20"/>
        </w:rPr>
        <w:t xml:space="preserve">se </w:t>
      </w:r>
      <w:r w:rsidRPr="00F10172">
        <w:rPr>
          <w:rFonts w:ascii="Arial" w:hAnsi="Arial" w:cs="Arial"/>
          <w:color w:val="000000" w:themeColor="text1"/>
          <w:sz w:val="20"/>
          <w:szCs w:val="20"/>
        </w:rPr>
        <w:t>ne glede na navedene vrednosti</w:t>
      </w:r>
      <w:r w:rsidR="003E7F7D" w:rsidRPr="00F10172">
        <w:rPr>
          <w:rFonts w:ascii="Arial" w:hAnsi="Arial" w:cs="Arial"/>
          <w:color w:val="000000" w:themeColor="text1"/>
          <w:sz w:val="20"/>
          <w:szCs w:val="20"/>
        </w:rPr>
        <w:t xml:space="preserve"> za</w:t>
      </w:r>
      <w:r w:rsidRPr="00F10172">
        <w:rPr>
          <w:rFonts w:ascii="Arial" w:hAnsi="Arial" w:cs="Arial"/>
          <w:color w:val="000000" w:themeColor="text1"/>
          <w:sz w:val="20"/>
          <w:szCs w:val="20"/>
        </w:rPr>
        <w:t xml:space="preserve"> evidenčna naročila štejejo tudi naročila, oddana po </w:t>
      </w:r>
      <w:r w:rsidR="001F27C4" w:rsidRPr="00F10172">
        <w:rPr>
          <w:rFonts w:ascii="Arial" w:hAnsi="Arial" w:cs="Arial"/>
          <w:color w:val="000000" w:themeColor="text1"/>
          <w:sz w:val="20"/>
          <w:szCs w:val="20"/>
        </w:rPr>
        <w:t>tako imenovanem</w:t>
      </w:r>
      <w:r w:rsidRPr="00F10172">
        <w:rPr>
          <w:rFonts w:ascii="Arial" w:hAnsi="Arial" w:cs="Arial"/>
          <w:color w:val="000000" w:themeColor="text1"/>
          <w:sz w:val="20"/>
          <w:szCs w:val="20"/>
        </w:rPr>
        <w:t xml:space="preserve"> načelu kratkih verig</w:t>
      </w:r>
      <w:r w:rsidR="004D5CA4" w:rsidRPr="00F10172">
        <w:rPr>
          <w:rFonts w:ascii="Arial" w:hAnsi="Arial" w:cs="Arial"/>
          <w:color w:val="000000" w:themeColor="text1"/>
          <w:sz w:val="20"/>
          <w:szCs w:val="20"/>
        </w:rPr>
        <w:t xml:space="preserve"> </w:t>
      </w:r>
      <w:r w:rsidR="00324207" w:rsidRPr="00F10172">
        <w:rPr>
          <w:rFonts w:ascii="Arial" w:hAnsi="Arial" w:cs="Arial"/>
          <w:color w:val="000000" w:themeColor="text1"/>
          <w:sz w:val="20"/>
          <w:szCs w:val="20"/>
        </w:rPr>
        <w:t>oziroma</w:t>
      </w:r>
      <w:r w:rsidR="004D5CA4" w:rsidRPr="00F10172">
        <w:rPr>
          <w:rFonts w:ascii="Arial" w:hAnsi="Arial" w:cs="Arial"/>
          <w:color w:val="000000" w:themeColor="text1"/>
          <w:sz w:val="20"/>
          <w:szCs w:val="20"/>
        </w:rPr>
        <w:t xml:space="preserve"> kot izločeni sklopi</w:t>
      </w:r>
      <w:r w:rsidRPr="00F10172">
        <w:rPr>
          <w:rFonts w:ascii="Arial" w:hAnsi="Arial" w:cs="Arial"/>
          <w:color w:val="000000" w:themeColor="text1"/>
          <w:sz w:val="20"/>
          <w:szCs w:val="20"/>
        </w:rPr>
        <w:t>.</w:t>
      </w:r>
      <w:r w:rsidRPr="00F10172">
        <w:rPr>
          <w:rStyle w:val="Sprotnaopomba-sklic"/>
          <w:rFonts w:ascii="Arial" w:hAnsi="Arial" w:cs="Arial"/>
          <w:color w:val="000000" w:themeColor="text1"/>
          <w:sz w:val="20"/>
          <w:szCs w:val="20"/>
        </w:rPr>
        <w:footnoteReference w:id="5"/>
      </w:r>
    </w:p>
    <w:p w14:paraId="757BB3E0" w14:textId="4921F364" w:rsidR="00C13751" w:rsidRPr="00F10172"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Vse denarne vrednosti, navedene v poročilu, so vrednosti brez davka na dodano vrednost (DDV) v evrih, razen denarnih vrednosti v točk</w:t>
      </w:r>
      <w:r w:rsidR="00164E3D" w:rsidRPr="00F10172">
        <w:rPr>
          <w:rFonts w:ascii="Arial" w:hAnsi="Arial" w:cs="Arial"/>
          <w:color w:val="000000" w:themeColor="text1"/>
          <w:sz w:val="20"/>
          <w:szCs w:val="20"/>
        </w:rPr>
        <w:t>ah</w:t>
      </w:r>
      <w:r w:rsidRPr="00F10172">
        <w:rPr>
          <w:rFonts w:ascii="Arial" w:hAnsi="Arial" w:cs="Arial"/>
          <w:color w:val="000000" w:themeColor="text1"/>
          <w:sz w:val="20"/>
          <w:szCs w:val="20"/>
        </w:rPr>
        <w:t xml:space="preserve"> 2.1.1 in 2.1.2, </w:t>
      </w:r>
      <w:r w:rsidR="002C4281" w:rsidRPr="00F10172">
        <w:rPr>
          <w:rFonts w:ascii="Arial" w:hAnsi="Arial" w:cs="Arial"/>
          <w:color w:val="000000" w:themeColor="text1"/>
          <w:sz w:val="20"/>
          <w:szCs w:val="20"/>
        </w:rPr>
        <w:t xml:space="preserve">pri katerih </w:t>
      </w:r>
      <w:r w:rsidRPr="00F10172">
        <w:rPr>
          <w:rFonts w:ascii="Arial" w:hAnsi="Arial" w:cs="Arial"/>
          <w:color w:val="000000" w:themeColor="text1"/>
          <w:sz w:val="20"/>
          <w:szCs w:val="20"/>
        </w:rPr>
        <w:t xml:space="preserve">je bila pri izračunu deleža javnih naročil v BDP in proračunu </w:t>
      </w:r>
      <w:r w:rsidR="001F27C4" w:rsidRPr="00F10172">
        <w:rPr>
          <w:rFonts w:ascii="Arial" w:hAnsi="Arial" w:cs="Arial"/>
          <w:color w:val="000000" w:themeColor="text1"/>
          <w:sz w:val="20"/>
          <w:szCs w:val="20"/>
        </w:rPr>
        <w:t xml:space="preserve">ter </w:t>
      </w:r>
      <w:r w:rsidRPr="00F10172">
        <w:rPr>
          <w:rFonts w:ascii="Arial" w:hAnsi="Arial" w:cs="Arial"/>
          <w:color w:val="000000" w:themeColor="text1"/>
          <w:sz w:val="20"/>
          <w:szCs w:val="20"/>
        </w:rPr>
        <w:t>odhodkih proračuna upoštevana tudi povprečna vrednost DDV, ki jo izračunava Statistični urad Republike Slovenije.</w:t>
      </w:r>
    </w:p>
    <w:p w14:paraId="25B097FB" w14:textId="5F292F06" w:rsidR="00C13751" w:rsidRPr="00F10172" w:rsidRDefault="00C13751" w:rsidP="00C13751">
      <w:pPr>
        <w:pStyle w:val="Standard"/>
        <w:spacing w:line="360" w:lineRule="auto"/>
        <w:rPr>
          <w:rFonts w:cs="Arial"/>
          <w:color w:val="000000" w:themeColor="text1"/>
          <w:sz w:val="20"/>
          <w:szCs w:val="20"/>
        </w:rPr>
      </w:pPr>
      <w:r w:rsidRPr="00F10172">
        <w:rPr>
          <w:rFonts w:cs="Arial"/>
          <w:color w:val="000000" w:themeColor="text1"/>
          <w:sz w:val="20"/>
          <w:szCs w:val="20"/>
        </w:rPr>
        <w:lastRenderedPageBreak/>
        <w:t>V tem poročilu so naročniki</w:t>
      </w:r>
      <w:r w:rsidR="00164E3D" w:rsidRPr="00F10172">
        <w:rPr>
          <w:rFonts w:cs="Arial"/>
          <w:color w:val="000000" w:themeColor="text1"/>
          <w:sz w:val="20"/>
          <w:szCs w:val="20"/>
        </w:rPr>
        <w:t xml:space="preserve"> </w:t>
      </w:r>
      <w:r w:rsidRPr="00F10172">
        <w:rPr>
          <w:rFonts w:cs="Arial"/>
          <w:color w:val="000000" w:themeColor="text1"/>
          <w:sz w:val="20"/>
          <w:szCs w:val="20"/>
        </w:rPr>
        <w:t xml:space="preserve">razvrščeni v osem </w:t>
      </w:r>
      <w:r w:rsidR="00164E3D" w:rsidRPr="00F10172">
        <w:rPr>
          <w:rFonts w:cs="Arial"/>
          <w:color w:val="000000" w:themeColor="text1"/>
          <w:sz w:val="20"/>
          <w:szCs w:val="20"/>
        </w:rPr>
        <w:t>skupin</w:t>
      </w:r>
      <w:r w:rsidRPr="00F10172">
        <w:rPr>
          <w:rFonts w:cs="Arial"/>
          <w:color w:val="000000" w:themeColor="text1"/>
          <w:sz w:val="20"/>
          <w:szCs w:val="20"/>
        </w:rPr>
        <w:t>:</w:t>
      </w:r>
    </w:p>
    <w:p w14:paraId="02C3388D" w14:textId="2139295F" w:rsidR="00C13751" w:rsidRPr="00F10172" w:rsidRDefault="00C13751" w:rsidP="00C13751">
      <w:pPr>
        <w:pStyle w:val="Standard"/>
        <w:numPr>
          <w:ilvl w:val="0"/>
          <w:numId w:val="18"/>
        </w:numPr>
        <w:spacing w:line="360" w:lineRule="auto"/>
        <w:textAlignment w:val="auto"/>
        <w:rPr>
          <w:rFonts w:cs="Arial"/>
          <w:color w:val="000000" w:themeColor="text1"/>
          <w:sz w:val="20"/>
          <w:szCs w:val="20"/>
        </w:rPr>
      </w:pPr>
      <w:r w:rsidRPr="00F10172">
        <w:rPr>
          <w:rFonts w:cs="Arial"/>
          <w:color w:val="000000" w:themeColor="text1"/>
          <w:sz w:val="20"/>
          <w:szCs w:val="20"/>
        </w:rPr>
        <w:t>organi R</w:t>
      </w:r>
      <w:r w:rsidR="003E7F7D" w:rsidRPr="00F10172">
        <w:rPr>
          <w:rFonts w:cs="Arial"/>
          <w:color w:val="000000" w:themeColor="text1"/>
          <w:sz w:val="20"/>
          <w:szCs w:val="20"/>
        </w:rPr>
        <w:t>epublike Slovenije</w:t>
      </w:r>
      <w:r w:rsidRPr="00F10172">
        <w:rPr>
          <w:rFonts w:cs="Arial"/>
          <w:color w:val="000000" w:themeColor="text1"/>
          <w:sz w:val="20"/>
          <w:szCs w:val="20"/>
        </w:rPr>
        <w:t xml:space="preserve">, kar </w:t>
      </w:r>
      <w:r w:rsidR="00A558B6" w:rsidRPr="00F10172">
        <w:rPr>
          <w:rFonts w:cs="Arial"/>
          <w:color w:val="000000" w:themeColor="text1"/>
          <w:sz w:val="20"/>
          <w:szCs w:val="20"/>
        </w:rPr>
        <w:t xml:space="preserve">zajema </w:t>
      </w:r>
      <w:r w:rsidRPr="00F10172">
        <w:rPr>
          <w:rFonts w:cs="Arial"/>
          <w:color w:val="000000" w:themeColor="text1"/>
          <w:sz w:val="20"/>
          <w:szCs w:val="20"/>
        </w:rPr>
        <w:t xml:space="preserve">centralizirano in decentralizirano raven (tj. tudi upravne enote), </w:t>
      </w:r>
    </w:p>
    <w:p w14:paraId="165D2DD3" w14:textId="77777777" w:rsidR="00C13751" w:rsidRPr="00F10172" w:rsidRDefault="00C13751" w:rsidP="00C13751">
      <w:pPr>
        <w:pStyle w:val="Standard"/>
        <w:numPr>
          <w:ilvl w:val="0"/>
          <w:numId w:val="18"/>
        </w:numPr>
        <w:spacing w:line="360" w:lineRule="auto"/>
        <w:textAlignment w:val="auto"/>
        <w:rPr>
          <w:rFonts w:cs="Arial"/>
          <w:color w:val="000000" w:themeColor="text1"/>
          <w:sz w:val="20"/>
          <w:szCs w:val="20"/>
        </w:rPr>
      </w:pPr>
      <w:r w:rsidRPr="00F10172">
        <w:rPr>
          <w:rFonts w:cs="Arial"/>
          <w:color w:val="000000" w:themeColor="text1"/>
          <w:sz w:val="20"/>
          <w:szCs w:val="20"/>
        </w:rPr>
        <w:t>samoupravne lokalne skupnosti,</w:t>
      </w:r>
    </w:p>
    <w:p w14:paraId="0FB3BEC4" w14:textId="77777777" w:rsidR="00C13751" w:rsidRPr="00F10172" w:rsidRDefault="00C13751" w:rsidP="00C13751">
      <w:pPr>
        <w:pStyle w:val="Standard"/>
        <w:numPr>
          <w:ilvl w:val="0"/>
          <w:numId w:val="18"/>
        </w:numPr>
        <w:spacing w:line="360" w:lineRule="auto"/>
        <w:textAlignment w:val="auto"/>
        <w:rPr>
          <w:rFonts w:cs="Arial"/>
          <w:color w:val="000000" w:themeColor="text1"/>
          <w:sz w:val="20"/>
          <w:szCs w:val="20"/>
          <w:lang w:eastAsia="sl-SI"/>
        </w:rPr>
      </w:pPr>
      <w:r w:rsidRPr="00F10172">
        <w:rPr>
          <w:rFonts w:cs="Arial"/>
          <w:color w:val="000000" w:themeColor="text1"/>
          <w:sz w:val="20"/>
          <w:szCs w:val="20"/>
          <w:lang w:eastAsia="sl-SI"/>
        </w:rPr>
        <w:t>javni skladi,</w:t>
      </w:r>
    </w:p>
    <w:p w14:paraId="7DAA17C7" w14:textId="77777777" w:rsidR="00C13751" w:rsidRPr="00F10172" w:rsidRDefault="00C13751" w:rsidP="00C13751">
      <w:pPr>
        <w:pStyle w:val="Standard"/>
        <w:numPr>
          <w:ilvl w:val="0"/>
          <w:numId w:val="18"/>
        </w:numPr>
        <w:spacing w:line="360" w:lineRule="auto"/>
        <w:textAlignment w:val="auto"/>
        <w:rPr>
          <w:rFonts w:cs="Arial"/>
          <w:color w:val="000000" w:themeColor="text1"/>
          <w:sz w:val="20"/>
          <w:szCs w:val="20"/>
          <w:lang w:eastAsia="sl-SI"/>
        </w:rPr>
      </w:pPr>
      <w:r w:rsidRPr="00F10172">
        <w:rPr>
          <w:rFonts w:cs="Arial"/>
          <w:color w:val="000000" w:themeColor="text1"/>
          <w:sz w:val="20"/>
          <w:szCs w:val="20"/>
          <w:lang w:eastAsia="sl-SI"/>
        </w:rPr>
        <w:t>javne agencije,</w:t>
      </w:r>
    </w:p>
    <w:p w14:paraId="015F1E70" w14:textId="77777777" w:rsidR="00C13751" w:rsidRPr="00F10172" w:rsidRDefault="00C13751" w:rsidP="00C13751">
      <w:pPr>
        <w:pStyle w:val="Standard"/>
        <w:numPr>
          <w:ilvl w:val="0"/>
          <w:numId w:val="18"/>
        </w:numPr>
        <w:spacing w:line="360" w:lineRule="auto"/>
        <w:textAlignment w:val="auto"/>
        <w:rPr>
          <w:rFonts w:cs="Arial"/>
          <w:color w:val="000000" w:themeColor="text1"/>
          <w:sz w:val="20"/>
          <w:szCs w:val="20"/>
          <w:lang w:eastAsia="sl-SI"/>
        </w:rPr>
      </w:pPr>
      <w:r w:rsidRPr="00F10172">
        <w:rPr>
          <w:rFonts w:cs="Arial"/>
          <w:color w:val="000000" w:themeColor="text1"/>
          <w:sz w:val="20"/>
          <w:szCs w:val="20"/>
          <w:lang w:eastAsia="sl-SI"/>
        </w:rPr>
        <w:t>javni zavodi,</w:t>
      </w:r>
    </w:p>
    <w:p w14:paraId="391F6CF4" w14:textId="77777777" w:rsidR="00C13751" w:rsidRPr="00F10172" w:rsidRDefault="00C13751" w:rsidP="00C13751">
      <w:pPr>
        <w:pStyle w:val="Standard"/>
        <w:numPr>
          <w:ilvl w:val="0"/>
          <w:numId w:val="18"/>
        </w:numPr>
        <w:spacing w:line="360" w:lineRule="auto"/>
        <w:textAlignment w:val="auto"/>
        <w:rPr>
          <w:rFonts w:cs="Arial"/>
          <w:color w:val="000000" w:themeColor="text1"/>
          <w:sz w:val="20"/>
          <w:szCs w:val="20"/>
          <w:lang w:eastAsia="sl-SI"/>
        </w:rPr>
      </w:pPr>
      <w:r w:rsidRPr="00F10172">
        <w:rPr>
          <w:rFonts w:cs="Arial"/>
          <w:color w:val="000000" w:themeColor="text1"/>
          <w:sz w:val="20"/>
          <w:szCs w:val="20"/>
          <w:lang w:eastAsia="sl-SI"/>
        </w:rPr>
        <w:t>javni gospodarski zavodi,</w:t>
      </w:r>
    </w:p>
    <w:p w14:paraId="05A3A450" w14:textId="2ED786DA" w:rsidR="00C13751" w:rsidRPr="00F10172" w:rsidRDefault="00C13751" w:rsidP="00C13751">
      <w:pPr>
        <w:pStyle w:val="Standard"/>
        <w:numPr>
          <w:ilvl w:val="0"/>
          <w:numId w:val="18"/>
        </w:numPr>
        <w:spacing w:line="360" w:lineRule="auto"/>
        <w:textAlignment w:val="auto"/>
        <w:rPr>
          <w:rFonts w:cs="Arial"/>
          <w:color w:val="000000" w:themeColor="text1"/>
          <w:sz w:val="20"/>
          <w:szCs w:val="20"/>
          <w:lang w:eastAsia="sl-SI"/>
        </w:rPr>
      </w:pPr>
      <w:r w:rsidRPr="00F10172">
        <w:rPr>
          <w:rFonts w:cs="Arial"/>
          <w:color w:val="000000" w:themeColor="text1"/>
          <w:sz w:val="20"/>
          <w:szCs w:val="20"/>
          <w:lang w:eastAsia="sl-SI"/>
        </w:rPr>
        <w:t xml:space="preserve">drugi naročniki, kar zajema osebe javnega prava, ki niso vključene v točke od 3 do 6, javna podjetja na infrastrukturnem področju, subjekte, ki so jim bile na infrastrukturnem področju </w:t>
      </w:r>
      <w:r w:rsidR="00A558B6" w:rsidRPr="00F10172">
        <w:rPr>
          <w:rFonts w:cs="Arial"/>
          <w:color w:val="000000" w:themeColor="text1"/>
          <w:sz w:val="20"/>
          <w:szCs w:val="20"/>
          <w:lang w:eastAsia="sl-SI"/>
        </w:rPr>
        <w:t xml:space="preserve">nepregledno </w:t>
      </w:r>
      <w:r w:rsidRPr="00F10172">
        <w:rPr>
          <w:rFonts w:cs="Arial"/>
          <w:color w:val="000000" w:themeColor="text1"/>
          <w:sz w:val="20"/>
          <w:szCs w:val="20"/>
          <w:lang w:eastAsia="sl-SI"/>
        </w:rPr>
        <w:t>in nekonkurenč</w:t>
      </w:r>
      <w:r w:rsidR="00DD3892" w:rsidRPr="00F10172">
        <w:rPr>
          <w:rFonts w:cs="Arial"/>
          <w:color w:val="000000" w:themeColor="text1"/>
          <w:sz w:val="20"/>
          <w:szCs w:val="20"/>
          <w:lang w:eastAsia="sl-SI"/>
        </w:rPr>
        <w:t>no</w:t>
      </w:r>
      <w:r w:rsidRPr="00F10172">
        <w:rPr>
          <w:rFonts w:cs="Arial"/>
          <w:color w:val="000000" w:themeColor="text1"/>
          <w:sz w:val="20"/>
          <w:szCs w:val="20"/>
          <w:lang w:eastAsia="sl-SI"/>
        </w:rPr>
        <w:t xml:space="preserve"> podeljene posebne ali izključne pravice,</w:t>
      </w:r>
    </w:p>
    <w:p w14:paraId="71E33D91" w14:textId="58232086" w:rsidR="00C13751" w:rsidRPr="00F10172" w:rsidRDefault="00942A80" w:rsidP="00C13751">
      <w:pPr>
        <w:pStyle w:val="Standard"/>
        <w:numPr>
          <w:ilvl w:val="0"/>
          <w:numId w:val="18"/>
        </w:numPr>
        <w:spacing w:line="360" w:lineRule="auto"/>
        <w:textAlignment w:val="auto"/>
        <w:rPr>
          <w:rFonts w:cs="Arial"/>
          <w:color w:val="000000" w:themeColor="text1"/>
          <w:sz w:val="20"/>
          <w:szCs w:val="20"/>
        </w:rPr>
      </w:pPr>
      <w:r w:rsidRPr="00F10172">
        <w:rPr>
          <w:rFonts w:cs="Arial"/>
          <w:color w:val="000000" w:themeColor="text1"/>
          <w:sz w:val="20"/>
          <w:szCs w:val="20"/>
          <w:lang w:eastAsia="sl-SI"/>
        </w:rPr>
        <w:t>drugi</w:t>
      </w:r>
      <w:r w:rsidR="00C13751" w:rsidRPr="00F10172">
        <w:rPr>
          <w:rFonts w:cs="Arial"/>
          <w:color w:val="000000" w:themeColor="text1"/>
          <w:sz w:val="20"/>
          <w:szCs w:val="20"/>
          <w:lang w:eastAsia="sl-SI"/>
        </w:rPr>
        <w:t xml:space="preserve"> subjekti, kar zajema </w:t>
      </w:r>
      <w:r w:rsidR="00C13751" w:rsidRPr="00F10172">
        <w:rPr>
          <w:rFonts w:cs="Arial"/>
          <w:color w:val="000000" w:themeColor="text1"/>
          <w:sz w:val="20"/>
          <w:szCs w:val="20"/>
        </w:rPr>
        <w:t>gospodarske subjekte, ki so pravila javnega naročanja upoštevali v okviru določenega projekta, ker je bil ta (so)financiran z javnimi sredstvi Republike Slovenije</w:t>
      </w:r>
      <w:r w:rsidR="00DD3892" w:rsidRPr="00F10172">
        <w:rPr>
          <w:rFonts w:cs="Arial"/>
          <w:color w:val="000000" w:themeColor="text1"/>
          <w:sz w:val="20"/>
          <w:szCs w:val="20"/>
        </w:rPr>
        <w:t xml:space="preserve"> </w:t>
      </w:r>
      <w:r w:rsidR="002C4281" w:rsidRPr="00F10172">
        <w:rPr>
          <w:rFonts w:cs="Arial"/>
          <w:color w:val="000000" w:themeColor="text1"/>
          <w:sz w:val="20"/>
          <w:szCs w:val="20"/>
        </w:rPr>
        <w:t xml:space="preserve">ali </w:t>
      </w:r>
      <w:r w:rsidR="00C13751" w:rsidRPr="00F10172">
        <w:rPr>
          <w:rFonts w:cs="Arial"/>
          <w:color w:val="000000" w:themeColor="text1"/>
          <w:sz w:val="20"/>
          <w:szCs w:val="20"/>
          <w:lang w:eastAsia="sl-SI"/>
        </w:rPr>
        <w:t>Evropske unije</w:t>
      </w:r>
      <w:r w:rsidR="00C13751" w:rsidRPr="00F10172">
        <w:rPr>
          <w:rFonts w:cs="Arial"/>
          <w:color w:val="000000" w:themeColor="text1"/>
          <w:sz w:val="20"/>
          <w:szCs w:val="20"/>
        </w:rPr>
        <w:t>.</w:t>
      </w:r>
    </w:p>
    <w:p w14:paraId="35BDDFD5" w14:textId="77777777" w:rsidR="00C13751" w:rsidRPr="00F10172" w:rsidRDefault="00C13751" w:rsidP="00C13751">
      <w:pPr>
        <w:pStyle w:val="Standard"/>
        <w:spacing w:line="360" w:lineRule="auto"/>
        <w:rPr>
          <w:rFonts w:cs="Arial"/>
          <w:color w:val="000000" w:themeColor="text1"/>
          <w:sz w:val="20"/>
          <w:szCs w:val="20"/>
        </w:rPr>
      </w:pPr>
    </w:p>
    <w:p w14:paraId="5040C778" w14:textId="77777777" w:rsidR="00C13751" w:rsidRPr="00931978" w:rsidRDefault="00C13751" w:rsidP="00C13751">
      <w:pPr>
        <w:spacing w:line="360" w:lineRule="auto"/>
        <w:jc w:val="both"/>
        <w:rPr>
          <w:rFonts w:ascii="Arial" w:hAnsi="Arial" w:cs="Arial"/>
          <w:color w:val="000000" w:themeColor="text1"/>
          <w:sz w:val="20"/>
          <w:szCs w:val="20"/>
        </w:rPr>
      </w:pPr>
      <w:r w:rsidRPr="00F10172">
        <w:rPr>
          <w:rFonts w:ascii="Arial" w:hAnsi="Arial" w:cs="Arial"/>
          <w:color w:val="000000" w:themeColor="text1"/>
          <w:sz w:val="20"/>
          <w:szCs w:val="20"/>
        </w:rPr>
        <w:t>Analiza podatkov o naročnikih in ponudnikih temelji na davčni in matični številki posameznega subjekta.</w:t>
      </w:r>
    </w:p>
    <w:bookmarkEnd w:id="57"/>
    <w:p w14:paraId="31F19A94" w14:textId="77777777" w:rsidR="00662735" w:rsidRPr="00931978" w:rsidRDefault="00662735" w:rsidP="00CD56F6">
      <w:pPr>
        <w:pStyle w:val="ZADEVA"/>
        <w:spacing w:line="312" w:lineRule="auto"/>
        <w:jc w:val="both"/>
        <w:rPr>
          <w:rFonts w:cs="Arial"/>
          <w:b w:val="0"/>
          <w:color w:val="000000" w:themeColor="text1"/>
          <w:szCs w:val="20"/>
          <w:lang w:val="sl-SI"/>
        </w:rPr>
      </w:pPr>
    </w:p>
    <w:p w14:paraId="1CC3FF74" w14:textId="77777777" w:rsidR="00662735" w:rsidRPr="00931978" w:rsidRDefault="00662735" w:rsidP="00CD56F6">
      <w:pPr>
        <w:pStyle w:val="ZADEVA"/>
        <w:spacing w:line="312" w:lineRule="auto"/>
        <w:jc w:val="both"/>
        <w:rPr>
          <w:rFonts w:cs="Arial"/>
          <w:b w:val="0"/>
          <w:color w:val="000000" w:themeColor="text1"/>
          <w:szCs w:val="20"/>
          <w:lang w:val="sl-SI"/>
        </w:rPr>
      </w:pPr>
    </w:p>
    <w:p w14:paraId="602C8476" w14:textId="1BDA79DA" w:rsidR="00D048EA" w:rsidRDefault="00D048EA">
      <w:pPr>
        <w:rPr>
          <w:rFonts w:ascii="Arial" w:eastAsiaTheme="majorEastAsia" w:hAnsi="Arial" w:cs="Arial"/>
          <w:b/>
          <w:color w:val="000000" w:themeColor="text1"/>
        </w:rPr>
      </w:pPr>
    </w:p>
    <w:p w14:paraId="563D526C" w14:textId="77777777" w:rsidR="00F24E18" w:rsidRDefault="00F24E18">
      <w:pPr>
        <w:rPr>
          <w:rFonts w:ascii="Arial" w:eastAsiaTheme="majorEastAsia" w:hAnsi="Arial" w:cs="Arial"/>
          <w:b/>
          <w:color w:val="000000" w:themeColor="text1"/>
        </w:rPr>
      </w:pPr>
    </w:p>
    <w:p w14:paraId="6E144C66" w14:textId="77777777" w:rsidR="00F24E18" w:rsidRDefault="00F24E18">
      <w:pPr>
        <w:rPr>
          <w:rFonts w:ascii="Arial" w:eastAsiaTheme="majorEastAsia" w:hAnsi="Arial" w:cs="Arial"/>
          <w:b/>
          <w:color w:val="000000" w:themeColor="text1"/>
        </w:rPr>
      </w:pPr>
    </w:p>
    <w:p w14:paraId="4378BB28" w14:textId="77777777" w:rsidR="00F24E18" w:rsidRDefault="00F24E18">
      <w:pPr>
        <w:rPr>
          <w:rFonts w:ascii="Arial" w:eastAsiaTheme="majorEastAsia" w:hAnsi="Arial" w:cs="Arial"/>
          <w:b/>
          <w:color w:val="000000" w:themeColor="text1"/>
        </w:rPr>
      </w:pPr>
    </w:p>
    <w:p w14:paraId="5EAF2FBE" w14:textId="77777777" w:rsidR="00F24E18" w:rsidRDefault="00F24E18">
      <w:pPr>
        <w:rPr>
          <w:rFonts w:ascii="Arial" w:eastAsiaTheme="majorEastAsia" w:hAnsi="Arial" w:cs="Arial"/>
          <w:b/>
          <w:color w:val="000000" w:themeColor="text1"/>
        </w:rPr>
      </w:pPr>
    </w:p>
    <w:p w14:paraId="5A733742" w14:textId="77777777" w:rsidR="00F24E18" w:rsidRDefault="00F24E18">
      <w:pPr>
        <w:rPr>
          <w:rFonts w:ascii="Arial" w:eastAsiaTheme="majorEastAsia" w:hAnsi="Arial" w:cs="Arial"/>
          <w:b/>
          <w:color w:val="000000" w:themeColor="text1"/>
        </w:rPr>
      </w:pPr>
    </w:p>
    <w:p w14:paraId="6F297720" w14:textId="77777777" w:rsidR="00F24E18" w:rsidRDefault="00F24E18">
      <w:pPr>
        <w:rPr>
          <w:rFonts w:ascii="Arial" w:eastAsiaTheme="majorEastAsia" w:hAnsi="Arial" w:cs="Arial"/>
          <w:b/>
          <w:color w:val="000000" w:themeColor="text1"/>
        </w:rPr>
      </w:pPr>
    </w:p>
    <w:p w14:paraId="3F602518" w14:textId="77777777" w:rsidR="00F24E18" w:rsidRDefault="00F24E18">
      <w:pPr>
        <w:rPr>
          <w:rFonts w:ascii="Arial" w:eastAsiaTheme="majorEastAsia" w:hAnsi="Arial" w:cs="Arial"/>
          <w:b/>
          <w:color w:val="000000" w:themeColor="text1"/>
        </w:rPr>
      </w:pPr>
    </w:p>
    <w:p w14:paraId="39FB14F1" w14:textId="77777777" w:rsidR="00F24E18" w:rsidRDefault="00F24E18">
      <w:pPr>
        <w:rPr>
          <w:rFonts w:ascii="Arial" w:eastAsiaTheme="majorEastAsia" w:hAnsi="Arial" w:cs="Arial"/>
          <w:b/>
          <w:color w:val="000000" w:themeColor="text1"/>
        </w:rPr>
      </w:pPr>
    </w:p>
    <w:p w14:paraId="0E1D7808" w14:textId="77777777" w:rsidR="00F24E18" w:rsidRDefault="00F24E18">
      <w:pPr>
        <w:rPr>
          <w:rFonts w:ascii="Arial" w:eastAsiaTheme="majorEastAsia" w:hAnsi="Arial" w:cs="Arial"/>
          <w:b/>
          <w:color w:val="000000" w:themeColor="text1"/>
        </w:rPr>
      </w:pPr>
    </w:p>
    <w:p w14:paraId="6090EA0B" w14:textId="77777777" w:rsidR="00F24E18" w:rsidRDefault="00F24E18">
      <w:pPr>
        <w:rPr>
          <w:rFonts w:ascii="Arial" w:eastAsiaTheme="majorEastAsia" w:hAnsi="Arial" w:cs="Arial"/>
          <w:b/>
          <w:color w:val="000000" w:themeColor="text1"/>
        </w:rPr>
      </w:pPr>
    </w:p>
    <w:p w14:paraId="7EEB1156" w14:textId="77777777" w:rsidR="00F24E18" w:rsidRDefault="00F24E18">
      <w:pPr>
        <w:rPr>
          <w:rFonts w:ascii="Arial" w:eastAsiaTheme="majorEastAsia" w:hAnsi="Arial" w:cs="Arial"/>
          <w:b/>
          <w:color w:val="000000" w:themeColor="text1"/>
        </w:rPr>
      </w:pPr>
    </w:p>
    <w:p w14:paraId="2BADFEAA" w14:textId="77777777" w:rsidR="00F24E18" w:rsidRDefault="00F24E18">
      <w:pPr>
        <w:rPr>
          <w:rFonts w:ascii="Arial" w:eastAsiaTheme="majorEastAsia" w:hAnsi="Arial" w:cs="Arial"/>
          <w:b/>
          <w:color w:val="000000" w:themeColor="text1"/>
        </w:rPr>
      </w:pPr>
    </w:p>
    <w:p w14:paraId="6711DBF4" w14:textId="77777777" w:rsidR="00F24E18" w:rsidRDefault="00F24E18">
      <w:pPr>
        <w:rPr>
          <w:rFonts w:ascii="Arial" w:eastAsiaTheme="majorEastAsia" w:hAnsi="Arial" w:cs="Arial"/>
          <w:b/>
          <w:color w:val="000000" w:themeColor="text1"/>
        </w:rPr>
      </w:pPr>
    </w:p>
    <w:p w14:paraId="58119557" w14:textId="77777777" w:rsidR="00F24E18" w:rsidRDefault="00F24E18">
      <w:pPr>
        <w:rPr>
          <w:rFonts w:ascii="Arial" w:eastAsiaTheme="majorEastAsia" w:hAnsi="Arial" w:cs="Arial"/>
          <w:b/>
          <w:color w:val="000000" w:themeColor="text1"/>
        </w:rPr>
      </w:pPr>
    </w:p>
    <w:p w14:paraId="15F54760" w14:textId="77777777" w:rsidR="00F24E18" w:rsidRDefault="00F24E18">
      <w:pPr>
        <w:rPr>
          <w:rFonts w:ascii="Arial" w:eastAsiaTheme="majorEastAsia" w:hAnsi="Arial" w:cs="Arial"/>
          <w:b/>
          <w:color w:val="000000" w:themeColor="text1"/>
        </w:rPr>
      </w:pPr>
    </w:p>
    <w:p w14:paraId="46519E90" w14:textId="77777777" w:rsidR="00F24E18" w:rsidRDefault="00F24E18">
      <w:pPr>
        <w:rPr>
          <w:rFonts w:ascii="Arial" w:eastAsiaTheme="majorEastAsia" w:hAnsi="Arial" w:cs="Arial"/>
          <w:b/>
          <w:color w:val="000000" w:themeColor="text1"/>
        </w:rPr>
      </w:pPr>
    </w:p>
    <w:p w14:paraId="6EAED64D" w14:textId="77777777" w:rsidR="00F24E18" w:rsidRDefault="00F24E18">
      <w:pPr>
        <w:rPr>
          <w:rFonts w:ascii="Arial" w:eastAsiaTheme="majorEastAsia" w:hAnsi="Arial" w:cs="Arial"/>
          <w:b/>
          <w:color w:val="000000" w:themeColor="text1"/>
        </w:rPr>
      </w:pPr>
    </w:p>
    <w:p w14:paraId="2CE7A0D7" w14:textId="77777777" w:rsidR="00F24E18" w:rsidRPr="004A439A" w:rsidRDefault="00F24E18" w:rsidP="00F24E18">
      <w:pPr>
        <w:pStyle w:val="Naslov1"/>
        <w:rPr>
          <w:rFonts w:cs="Arial"/>
          <w:b/>
          <w:szCs w:val="22"/>
        </w:rPr>
      </w:pPr>
      <w:bookmarkStart w:id="59" w:name="_Toc78877469"/>
      <w:bookmarkStart w:id="60" w:name="_Toc113009135"/>
      <w:bookmarkStart w:id="61" w:name="_Toc141864084"/>
      <w:r w:rsidRPr="004A439A">
        <w:rPr>
          <w:rFonts w:cs="Arial"/>
          <w:b/>
          <w:szCs w:val="22"/>
        </w:rPr>
        <w:lastRenderedPageBreak/>
        <w:t>Priloge</w:t>
      </w:r>
      <w:bookmarkEnd w:id="59"/>
      <w:bookmarkEnd w:id="60"/>
      <w:bookmarkEnd w:id="61"/>
    </w:p>
    <w:p w14:paraId="4D1215B2" w14:textId="77777777" w:rsidR="00F24E18" w:rsidRPr="004A439A" w:rsidRDefault="00F24E18" w:rsidP="00F24E18">
      <w:pPr>
        <w:rPr>
          <w:rFonts w:ascii="Arial" w:eastAsiaTheme="majorEastAsia" w:hAnsi="Arial" w:cs="Arial"/>
          <w:b/>
          <w:color w:val="2F5496" w:themeColor="accent1" w:themeShade="BF"/>
        </w:rPr>
      </w:pPr>
    </w:p>
    <w:p w14:paraId="49D73357" w14:textId="77777777" w:rsidR="00F24E18" w:rsidRPr="004A439A" w:rsidRDefault="00F24E18" w:rsidP="00F24E18">
      <w:pPr>
        <w:pStyle w:val="ZADEVA"/>
        <w:spacing w:before="120" w:line="240" w:lineRule="auto"/>
        <w:jc w:val="both"/>
        <w:rPr>
          <w:rFonts w:cs="Arial"/>
          <w:b w:val="0"/>
          <w:iCs/>
          <w:szCs w:val="20"/>
          <w:lang w:val="sl-SI"/>
        </w:rPr>
      </w:pPr>
      <w:bookmarkStart w:id="62" w:name="_Toc367054474"/>
      <w:bookmarkStart w:id="63" w:name="_Toc367193247"/>
      <w:bookmarkStart w:id="64" w:name="_Toc367784261"/>
      <w:bookmarkStart w:id="65" w:name="_Toc368925705"/>
      <w:bookmarkStart w:id="66" w:name="_Toc369000988"/>
      <w:bookmarkStart w:id="67" w:name="_Toc398038705"/>
      <w:bookmarkStart w:id="68" w:name="_Toc398040184"/>
      <w:bookmarkStart w:id="69" w:name="_Toc398584422"/>
      <w:bookmarkStart w:id="70" w:name="_Toc461086442"/>
      <w:bookmarkStart w:id="71" w:name="_Toc461608814"/>
      <w:bookmarkStart w:id="72" w:name="_Toc462401233"/>
      <w:r w:rsidRPr="004A439A">
        <w:rPr>
          <w:rFonts w:cs="Arial"/>
          <w:b w:val="0"/>
          <w:iCs/>
          <w:color w:val="000000" w:themeColor="text1"/>
          <w:szCs w:val="20"/>
          <w:lang w:val="sl-SI"/>
        </w:rPr>
        <w:t xml:space="preserve">Preglednica 58: </w:t>
      </w:r>
      <w:bookmarkEnd w:id="62"/>
      <w:bookmarkEnd w:id="63"/>
      <w:r w:rsidRPr="004A439A">
        <w:rPr>
          <w:rFonts w:cs="Arial"/>
          <w:b w:val="0"/>
          <w:iCs/>
          <w:szCs w:val="20"/>
          <w:lang w:val="sl-SI"/>
        </w:rPr>
        <w:t>Javna naročila glede na področje naročanja in vrsto postopka</w:t>
      </w:r>
      <w:bookmarkEnd w:id="64"/>
      <w:bookmarkEnd w:id="65"/>
      <w:bookmarkEnd w:id="66"/>
      <w:bookmarkEnd w:id="67"/>
      <w:bookmarkEnd w:id="68"/>
      <w:bookmarkEnd w:id="69"/>
      <w:bookmarkEnd w:id="70"/>
      <w:bookmarkEnd w:id="71"/>
      <w:bookmarkEnd w:id="72"/>
    </w:p>
    <w:p w14:paraId="5FD97D1A" w14:textId="77777777" w:rsidR="00F24E18" w:rsidRPr="00242E41" w:rsidRDefault="00F24E18" w:rsidP="00F24E18">
      <w:pPr>
        <w:pStyle w:val="ZADEVA"/>
        <w:spacing w:line="240" w:lineRule="auto"/>
        <w:jc w:val="both"/>
        <w:rPr>
          <w:rFonts w:cs="Arial"/>
          <w:b w:val="0"/>
          <w:iCs/>
          <w:szCs w:val="20"/>
          <w:highlight w:val="yellow"/>
          <w:lang w:val="sl-SI"/>
        </w:rPr>
      </w:pPr>
    </w:p>
    <w:tbl>
      <w:tblPr>
        <w:tblW w:w="5000" w:type="pct"/>
        <w:tblCellMar>
          <w:left w:w="70" w:type="dxa"/>
          <w:right w:w="70" w:type="dxa"/>
        </w:tblCellMar>
        <w:tblLook w:val="04A0" w:firstRow="1" w:lastRow="0" w:firstColumn="1" w:lastColumn="0" w:noHBand="0" w:noVBand="1"/>
      </w:tblPr>
      <w:tblGrid>
        <w:gridCol w:w="1301"/>
        <w:gridCol w:w="3604"/>
        <w:gridCol w:w="961"/>
        <w:gridCol w:w="1431"/>
        <w:gridCol w:w="961"/>
        <w:gridCol w:w="916"/>
      </w:tblGrid>
      <w:tr w:rsidR="00F24E18" w:rsidRPr="004A439A" w14:paraId="0A4F451F" w14:textId="77777777" w:rsidTr="000E18B5">
        <w:trPr>
          <w:trHeight w:val="720"/>
        </w:trPr>
        <w:tc>
          <w:tcPr>
            <w:tcW w:w="7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A128E2" w14:textId="77777777" w:rsidR="00F24E18" w:rsidRPr="004A439A" w:rsidRDefault="00F24E18" w:rsidP="000E18B5">
            <w:pPr>
              <w:spacing w:after="0" w:line="240" w:lineRule="auto"/>
              <w:jc w:val="center"/>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Področje</w:t>
            </w:r>
          </w:p>
        </w:tc>
        <w:tc>
          <w:tcPr>
            <w:tcW w:w="196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2AA4929" w14:textId="77777777" w:rsidR="00F24E18" w:rsidRPr="004A439A" w:rsidRDefault="00F24E18" w:rsidP="000E18B5">
            <w:pPr>
              <w:spacing w:after="0" w:line="240" w:lineRule="auto"/>
              <w:jc w:val="center"/>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Vrsta postopka</w:t>
            </w:r>
          </w:p>
        </w:tc>
        <w:tc>
          <w:tcPr>
            <w:tcW w:w="5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C56250" w14:textId="77777777" w:rsidR="00F24E18" w:rsidRPr="004A439A" w:rsidRDefault="00F24E18" w:rsidP="000E18B5">
            <w:pPr>
              <w:spacing w:after="0" w:line="240" w:lineRule="auto"/>
              <w:jc w:val="center"/>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Št. postopkov</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598EA8" w14:textId="77777777" w:rsidR="00F24E18" w:rsidRPr="004A439A" w:rsidRDefault="00F24E18" w:rsidP="000E18B5">
            <w:pPr>
              <w:spacing w:after="0" w:line="240" w:lineRule="auto"/>
              <w:jc w:val="center"/>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Pogodbena vrednost</w:t>
            </w:r>
          </w:p>
        </w:tc>
        <w:tc>
          <w:tcPr>
            <w:tcW w:w="5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AC2633F" w14:textId="77777777" w:rsidR="00F24E18" w:rsidRPr="004A439A" w:rsidRDefault="00F24E18" w:rsidP="000E18B5">
            <w:pPr>
              <w:spacing w:after="0" w:line="240" w:lineRule="auto"/>
              <w:jc w:val="center"/>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Delež v št. postopkov</w:t>
            </w:r>
          </w:p>
        </w:tc>
        <w:tc>
          <w:tcPr>
            <w:tcW w:w="49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666C23" w14:textId="77777777" w:rsidR="00F24E18" w:rsidRPr="004A439A" w:rsidRDefault="00F24E18" w:rsidP="000E18B5">
            <w:pPr>
              <w:spacing w:after="0" w:line="240" w:lineRule="auto"/>
              <w:jc w:val="center"/>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Delež v vrednosti</w:t>
            </w:r>
          </w:p>
        </w:tc>
      </w:tr>
      <w:tr w:rsidR="00F24E18" w:rsidRPr="004A439A" w14:paraId="4BECC8F8"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1E1B77E7"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Splošno</w:t>
            </w:r>
          </w:p>
        </w:tc>
        <w:tc>
          <w:tcPr>
            <w:tcW w:w="1964" w:type="pct"/>
            <w:tcBorders>
              <w:top w:val="nil"/>
              <w:left w:val="nil"/>
              <w:bottom w:val="single" w:sz="4" w:space="0" w:color="auto"/>
              <w:right w:val="single" w:sz="4" w:space="0" w:color="auto"/>
            </w:tcBorders>
            <w:shd w:val="clear" w:color="auto" w:fill="auto"/>
            <w:vAlign w:val="center"/>
            <w:hideMark/>
          </w:tcPr>
          <w:p w14:paraId="1ED390E4"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Konkurenčni dialog</w:t>
            </w:r>
          </w:p>
        </w:tc>
        <w:tc>
          <w:tcPr>
            <w:tcW w:w="524" w:type="pct"/>
            <w:tcBorders>
              <w:top w:val="nil"/>
              <w:left w:val="nil"/>
              <w:bottom w:val="single" w:sz="4" w:space="0" w:color="auto"/>
              <w:right w:val="single" w:sz="4" w:space="0" w:color="auto"/>
            </w:tcBorders>
            <w:shd w:val="clear" w:color="auto" w:fill="auto"/>
            <w:vAlign w:val="center"/>
          </w:tcPr>
          <w:p w14:paraId="356A489B"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6</w:t>
            </w:r>
          </w:p>
        </w:tc>
        <w:tc>
          <w:tcPr>
            <w:tcW w:w="780" w:type="pct"/>
            <w:tcBorders>
              <w:top w:val="nil"/>
              <w:left w:val="nil"/>
              <w:bottom w:val="single" w:sz="4" w:space="0" w:color="auto"/>
              <w:right w:val="single" w:sz="4" w:space="0" w:color="auto"/>
            </w:tcBorders>
            <w:shd w:val="clear" w:color="auto" w:fill="auto"/>
            <w:vAlign w:val="center"/>
          </w:tcPr>
          <w:p w14:paraId="49702A9D"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14.270.681</w:t>
            </w:r>
          </w:p>
        </w:tc>
        <w:tc>
          <w:tcPr>
            <w:tcW w:w="524" w:type="pct"/>
            <w:tcBorders>
              <w:top w:val="nil"/>
              <w:left w:val="nil"/>
              <w:bottom w:val="single" w:sz="4" w:space="0" w:color="auto"/>
              <w:right w:val="single" w:sz="4" w:space="0" w:color="auto"/>
            </w:tcBorders>
            <w:shd w:val="clear" w:color="auto" w:fill="auto"/>
            <w:noWrap/>
            <w:vAlign w:val="center"/>
          </w:tcPr>
          <w:p w14:paraId="6F1FADB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0,11 %</w:t>
            </w:r>
          </w:p>
        </w:tc>
        <w:tc>
          <w:tcPr>
            <w:tcW w:w="499" w:type="pct"/>
            <w:tcBorders>
              <w:top w:val="nil"/>
              <w:left w:val="nil"/>
              <w:bottom w:val="single" w:sz="4" w:space="0" w:color="auto"/>
              <w:right w:val="single" w:sz="4" w:space="0" w:color="auto"/>
            </w:tcBorders>
            <w:shd w:val="clear" w:color="auto" w:fill="auto"/>
            <w:noWrap/>
            <w:vAlign w:val="center"/>
          </w:tcPr>
          <w:p w14:paraId="2D590A4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0,31 %</w:t>
            </w:r>
          </w:p>
        </w:tc>
      </w:tr>
      <w:tr w:rsidR="00F24E18" w:rsidRPr="004A439A" w14:paraId="5B7459E8"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5E6B73F"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0F10CDF9"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Konkurenčni postopek s pogajanji</w:t>
            </w:r>
          </w:p>
        </w:tc>
        <w:tc>
          <w:tcPr>
            <w:tcW w:w="524" w:type="pct"/>
            <w:tcBorders>
              <w:top w:val="nil"/>
              <w:left w:val="nil"/>
              <w:bottom w:val="single" w:sz="4" w:space="0" w:color="auto"/>
              <w:right w:val="single" w:sz="4" w:space="0" w:color="auto"/>
            </w:tcBorders>
            <w:shd w:val="clear" w:color="auto" w:fill="auto"/>
            <w:vAlign w:val="center"/>
          </w:tcPr>
          <w:p w14:paraId="12BA7405"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146</w:t>
            </w:r>
          </w:p>
        </w:tc>
        <w:tc>
          <w:tcPr>
            <w:tcW w:w="780" w:type="pct"/>
            <w:tcBorders>
              <w:top w:val="nil"/>
              <w:left w:val="nil"/>
              <w:bottom w:val="single" w:sz="4" w:space="0" w:color="auto"/>
              <w:right w:val="single" w:sz="4" w:space="0" w:color="auto"/>
            </w:tcBorders>
            <w:shd w:val="clear" w:color="auto" w:fill="auto"/>
            <w:vAlign w:val="center"/>
          </w:tcPr>
          <w:p w14:paraId="16019DE4"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309.319.751</w:t>
            </w:r>
          </w:p>
        </w:tc>
        <w:tc>
          <w:tcPr>
            <w:tcW w:w="524" w:type="pct"/>
            <w:tcBorders>
              <w:top w:val="nil"/>
              <w:left w:val="nil"/>
              <w:bottom w:val="single" w:sz="4" w:space="0" w:color="auto"/>
              <w:right w:val="single" w:sz="4" w:space="0" w:color="auto"/>
            </w:tcBorders>
            <w:shd w:val="clear" w:color="auto" w:fill="auto"/>
            <w:noWrap/>
            <w:vAlign w:val="center"/>
          </w:tcPr>
          <w:p w14:paraId="5712DE89"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2,63 %</w:t>
            </w:r>
          </w:p>
        </w:tc>
        <w:tc>
          <w:tcPr>
            <w:tcW w:w="499" w:type="pct"/>
            <w:tcBorders>
              <w:top w:val="nil"/>
              <w:left w:val="nil"/>
              <w:bottom w:val="single" w:sz="4" w:space="0" w:color="auto"/>
              <w:right w:val="single" w:sz="4" w:space="0" w:color="auto"/>
            </w:tcBorders>
            <w:shd w:val="clear" w:color="auto" w:fill="auto"/>
            <w:noWrap/>
            <w:vAlign w:val="center"/>
          </w:tcPr>
          <w:p w14:paraId="09F01C24"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6,67 %</w:t>
            </w:r>
          </w:p>
        </w:tc>
      </w:tr>
      <w:tr w:rsidR="00F24E18" w:rsidRPr="004A439A" w14:paraId="5115222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9AA0867"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2B111935"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Odprti postopek</w:t>
            </w:r>
          </w:p>
        </w:tc>
        <w:tc>
          <w:tcPr>
            <w:tcW w:w="524" w:type="pct"/>
            <w:tcBorders>
              <w:top w:val="nil"/>
              <w:left w:val="nil"/>
              <w:bottom w:val="single" w:sz="4" w:space="0" w:color="auto"/>
              <w:right w:val="single" w:sz="4" w:space="0" w:color="auto"/>
            </w:tcBorders>
            <w:shd w:val="clear" w:color="auto" w:fill="auto"/>
            <w:vAlign w:val="center"/>
          </w:tcPr>
          <w:p w14:paraId="4A00CC29"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1.775</w:t>
            </w:r>
          </w:p>
        </w:tc>
        <w:tc>
          <w:tcPr>
            <w:tcW w:w="780" w:type="pct"/>
            <w:tcBorders>
              <w:top w:val="nil"/>
              <w:left w:val="nil"/>
              <w:bottom w:val="single" w:sz="4" w:space="0" w:color="auto"/>
              <w:right w:val="single" w:sz="4" w:space="0" w:color="auto"/>
            </w:tcBorders>
            <w:shd w:val="clear" w:color="auto" w:fill="auto"/>
            <w:vAlign w:val="center"/>
          </w:tcPr>
          <w:p w14:paraId="1BA52CCB"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2.839.570.319</w:t>
            </w:r>
          </w:p>
        </w:tc>
        <w:tc>
          <w:tcPr>
            <w:tcW w:w="524" w:type="pct"/>
            <w:tcBorders>
              <w:top w:val="nil"/>
              <w:left w:val="nil"/>
              <w:bottom w:val="single" w:sz="4" w:space="0" w:color="auto"/>
              <w:right w:val="single" w:sz="4" w:space="0" w:color="auto"/>
            </w:tcBorders>
            <w:shd w:val="clear" w:color="auto" w:fill="auto"/>
            <w:noWrap/>
            <w:vAlign w:val="center"/>
          </w:tcPr>
          <w:p w14:paraId="2AB430CE"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31,97 %</w:t>
            </w:r>
          </w:p>
        </w:tc>
        <w:tc>
          <w:tcPr>
            <w:tcW w:w="499" w:type="pct"/>
            <w:tcBorders>
              <w:top w:val="nil"/>
              <w:left w:val="nil"/>
              <w:bottom w:val="single" w:sz="4" w:space="0" w:color="auto"/>
              <w:right w:val="single" w:sz="4" w:space="0" w:color="auto"/>
            </w:tcBorders>
            <w:shd w:val="clear" w:color="auto" w:fill="auto"/>
            <w:noWrap/>
            <w:vAlign w:val="center"/>
          </w:tcPr>
          <w:p w14:paraId="5DC10622"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61,25 %</w:t>
            </w:r>
          </w:p>
        </w:tc>
      </w:tr>
      <w:tr w:rsidR="00F24E18" w:rsidRPr="004A439A" w14:paraId="16B2806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2CB861C"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44E4C181"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Omejeni postopek</w:t>
            </w:r>
          </w:p>
        </w:tc>
        <w:tc>
          <w:tcPr>
            <w:tcW w:w="524" w:type="pct"/>
            <w:tcBorders>
              <w:top w:val="nil"/>
              <w:left w:val="nil"/>
              <w:bottom w:val="single" w:sz="4" w:space="0" w:color="auto"/>
              <w:right w:val="single" w:sz="4" w:space="0" w:color="auto"/>
            </w:tcBorders>
            <w:shd w:val="clear" w:color="auto" w:fill="auto"/>
            <w:vAlign w:val="center"/>
          </w:tcPr>
          <w:p w14:paraId="16E049D5"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244</w:t>
            </w:r>
          </w:p>
        </w:tc>
        <w:tc>
          <w:tcPr>
            <w:tcW w:w="780" w:type="pct"/>
            <w:tcBorders>
              <w:top w:val="nil"/>
              <w:left w:val="nil"/>
              <w:bottom w:val="single" w:sz="4" w:space="0" w:color="auto"/>
              <w:right w:val="single" w:sz="4" w:space="0" w:color="auto"/>
            </w:tcBorders>
            <w:shd w:val="clear" w:color="auto" w:fill="auto"/>
            <w:vAlign w:val="center"/>
          </w:tcPr>
          <w:p w14:paraId="357D2D4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566.253.910</w:t>
            </w:r>
          </w:p>
        </w:tc>
        <w:tc>
          <w:tcPr>
            <w:tcW w:w="524" w:type="pct"/>
            <w:tcBorders>
              <w:top w:val="nil"/>
              <w:left w:val="nil"/>
              <w:bottom w:val="single" w:sz="4" w:space="0" w:color="auto"/>
              <w:right w:val="single" w:sz="4" w:space="0" w:color="auto"/>
            </w:tcBorders>
            <w:shd w:val="clear" w:color="auto" w:fill="auto"/>
            <w:noWrap/>
            <w:vAlign w:val="center"/>
          </w:tcPr>
          <w:p w14:paraId="1E3F89F0"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4,39 %</w:t>
            </w:r>
          </w:p>
        </w:tc>
        <w:tc>
          <w:tcPr>
            <w:tcW w:w="499" w:type="pct"/>
            <w:tcBorders>
              <w:top w:val="nil"/>
              <w:left w:val="nil"/>
              <w:bottom w:val="single" w:sz="4" w:space="0" w:color="auto"/>
              <w:right w:val="single" w:sz="4" w:space="0" w:color="auto"/>
            </w:tcBorders>
            <w:shd w:val="clear" w:color="auto" w:fill="auto"/>
            <w:noWrap/>
            <w:vAlign w:val="center"/>
          </w:tcPr>
          <w:p w14:paraId="069B810D"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12,21 %</w:t>
            </w:r>
          </w:p>
        </w:tc>
      </w:tr>
      <w:tr w:rsidR="00F24E18" w:rsidRPr="004A439A" w14:paraId="384DAF6F"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8F5B1FC"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64B9E8F6"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Partnerstvo za inovacije</w:t>
            </w:r>
          </w:p>
        </w:tc>
        <w:tc>
          <w:tcPr>
            <w:tcW w:w="524" w:type="pct"/>
            <w:tcBorders>
              <w:top w:val="nil"/>
              <w:left w:val="nil"/>
              <w:bottom w:val="single" w:sz="4" w:space="0" w:color="auto"/>
              <w:right w:val="single" w:sz="4" w:space="0" w:color="auto"/>
            </w:tcBorders>
            <w:shd w:val="clear" w:color="auto" w:fill="auto"/>
            <w:vAlign w:val="center"/>
          </w:tcPr>
          <w:p w14:paraId="4B2B0C18"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w:t>
            </w:r>
          </w:p>
        </w:tc>
        <w:tc>
          <w:tcPr>
            <w:tcW w:w="780" w:type="pct"/>
            <w:tcBorders>
              <w:top w:val="nil"/>
              <w:left w:val="nil"/>
              <w:bottom w:val="single" w:sz="4" w:space="0" w:color="auto"/>
              <w:right w:val="single" w:sz="4" w:space="0" w:color="auto"/>
            </w:tcBorders>
            <w:shd w:val="clear" w:color="auto" w:fill="auto"/>
            <w:vAlign w:val="center"/>
          </w:tcPr>
          <w:p w14:paraId="4D7BCFAE"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79.800</w:t>
            </w:r>
          </w:p>
        </w:tc>
        <w:tc>
          <w:tcPr>
            <w:tcW w:w="524" w:type="pct"/>
            <w:tcBorders>
              <w:top w:val="nil"/>
              <w:left w:val="nil"/>
              <w:bottom w:val="single" w:sz="4" w:space="0" w:color="auto"/>
              <w:right w:val="single" w:sz="4" w:space="0" w:color="auto"/>
            </w:tcBorders>
            <w:shd w:val="clear" w:color="auto" w:fill="auto"/>
            <w:noWrap/>
            <w:vAlign w:val="center"/>
          </w:tcPr>
          <w:p w14:paraId="21DB33AF"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0,02 %</w:t>
            </w:r>
          </w:p>
        </w:tc>
        <w:tc>
          <w:tcPr>
            <w:tcW w:w="499" w:type="pct"/>
            <w:tcBorders>
              <w:top w:val="nil"/>
              <w:left w:val="nil"/>
              <w:bottom w:val="single" w:sz="4" w:space="0" w:color="auto"/>
              <w:right w:val="single" w:sz="4" w:space="0" w:color="auto"/>
            </w:tcBorders>
            <w:shd w:val="clear" w:color="auto" w:fill="auto"/>
            <w:noWrap/>
            <w:vAlign w:val="center"/>
          </w:tcPr>
          <w:p w14:paraId="715A8282"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0,00 %</w:t>
            </w:r>
          </w:p>
        </w:tc>
      </w:tr>
      <w:tr w:rsidR="00F24E18" w:rsidRPr="004A439A" w14:paraId="51C8137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tcPr>
          <w:p w14:paraId="1750190E"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tcPr>
          <w:p w14:paraId="76DDFEDB"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Postopek naročila male vrednosti</w:t>
            </w:r>
          </w:p>
        </w:tc>
        <w:tc>
          <w:tcPr>
            <w:tcW w:w="524" w:type="pct"/>
            <w:tcBorders>
              <w:top w:val="nil"/>
              <w:left w:val="nil"/>
              <w:bottom w:val="single" w:sz="4" w:space="0" w:color="auto"/>
              <w:right w:val="single" w:sz="4" w:space="0" w:color="auto"/>
            </w:tcBorders>
            <w:shd w:val="clear" w:color="auto" w:fill="auto"/>
            <w:vAlign w:val="center"/>
          </w:tcPr>
          <w:p w14:paraId="3D87106B"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3.015</w:t>
            </w:r>
          </w:p>
        </w:tc>
        <w:tc>
          <w:tcPr>
            <w:tcW w:w="780" w:type="pct"/>
            <w:tcBorders>
              <w:top w:val="nil"/>
              <w:left w:val="nil"/>
              <w:bottom w:val="single" w:sz="4" w:space="0" w:color="auto"/>
              <w:right w:val="single" w:sz="4" w:space="0" w:color="auto"/>
            </w:tcBorders>
            <w:shd w:val="clear" w:color="auto" w:fill="auto"/>
            <w:vAlign w:val="center"/>
          </w:tcPr>
          <w:p w14:paraId="018DB244"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651.404.200</w:t>
            </w:r>
          </w:p>
        </w:tc>
        <w:tc>
          <w:tcPr>
            <w:tcW w:w="524" w:type="pct"/>
            <w:tcBorders>
              <w:top w:val="nil"/>
              <w:left w:val="nil"/>
              <w:bottom w:val="single" w:sz="4" w:space="0" w:color="auto"/>
              <w:right w:val="single" w:sz="4" w:space="0" w:color="auto"/>
            </w:tcBorders>
            <w:shd w:val="clear" w:color="auto" w:fill="auto"/>
            <w:noWrap/>
            <w:vAlign w:val="center"/>
          </w:tcPr>
          <w:p w14:paraId="33FC8291"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54,30 %</w:t>
            </w:r>
          </w:p>
        </w:tc>
        <w:tc>
          <w:tcPr>
            <w:tcW w:w="499" w:type="pct"/>
            <w:tcBorders>
              <w:top w:val="nil"/>
              <w:left w:val="nil"/>
              <w:bottom w:val="single" w:sz="4" w:space="0" w:color="auto"/>
              <w:right w:val="single" w:sz="4" w:space="0" w:color="auto"/>
            </w:tcBorders>
            <w:shd w:val="clear" w:color="auto" w:fill="auto"/>
            <w:noWrap/>
            <w:vAlign w:val="center"/>
          </w:tcPr>
          <w:p w14:paraId="7929C06D"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14,05 %</w:t>
            </w:r>
          </w:p>
        </w:tc>
      </w:tr>
      <w:tr w:rsidR="00F24E18" w:rsidRPr="004A439A" w14:paraId="4DFD238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39E9F42"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77506C35"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Postopek s pogajanji brez predhodne objave</w:t>
            </w:r>
          </w:p>
        </w:tc>
        <w:tc>
          <w:tcPr>
            <w:tcW w:w="524" w:type="pct"/>
            <w:tcBorders>
              <w:top w:val="nil"/>
              <w:left w:val="nil"/>
              <w:bottom w:val="single" w:sz="4" w:space="0" w:color="auto"/>
              <w:right w:val="single" w:sz="4" w:space="0" w:color="auto"/>
            </w:tcBorders>
            <w:shd w:val="clear" w:color="auto" w:fill="auto"/>
            <w:vAlign w:val="center"/>
          </w:tcPr>
          <w:p w14:paraId="63542729"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365</w:t>
            </w:r>
          </w:p>
        </w:tc>
        <w:tc>
          <w:tcPr>
            <w:tcW w:w="780" w:type="pct"/>
            <w:tcBorders>
              <w:top w:val="nil"/>
              <w:left w:val="nil"/>
              <w:bottom w:val="single" w:sz="4" w:space="0" w:color="auto"/>
              <w:right w:val="single" w:sz="4" w:space="0" w:color="auto"/>
            </w:tcBorders>
            <w:shd w:val="clear" w:color="auto" w:fill="auto"/>
            <w:vAlign w:val="center"/>
          </w:tcPr>
          <w:p w14:paraId="2E6F3E1E"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255.492.643</w:t>
            </w:r>
          </w:p>
        </w:tc>
        <w:tc>
          <w:tcPr>
            <w:tcW w:w="524" w:type="pct"/>
            <w:tcBorders>
              <w:top w:val="nil"/>
              <w:left w:val="nil"/>
              <w:bottom w:val="single" w:sz="4" w:space="0" w:color="auto"/>
              <w:right w:val="single" w:sz="4" w:space="0" w:color="auto"/>
            </w:tcBorders>
            <w:shd w:val="clear" w:color="auto" w:fill="auto"/>
            <w:noWrap/>
            <w:vAlign w:val="center"/>
          </w:tcPr>
          <w:p w14:paraId="7CAEBFCA"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6,57 %</w:t>
            </w:r>
          </w:p>
        </w:tc>
        <w:tc>
          <w:tcPr>
            <w:tcW w:w="499" w:type="pct"/>
            <w:tcBorders>
              <w:top w:val="nil"/>
              <w:left w:val="nil"/>
              <w:bottom w:val="single" w:sz="4" w:space="0" w:color="auto"/>
              <w:right w:val="single" w:sz="4" w:space="0" w:color="auto"/>
            </w:tcBorders>
            <w:shd w:val="clear" w:color="auto" w:fill="auto"/>
            <w:noWrap/>
            <w:vAlign w:val="center"/>
          </w:tcPr>
          <w:p w14:paraId="57009FBE"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5,51 %</w:t>
            </w:r>
          </w:p>
        </w:tc>
      </w:tr>
      <w:tr w:rsidR="00F24E18" w:rsidRPr="004A439A" w14:paraId="01E799FF"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347B96C"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71A1287E" w14:textId="77777777" w:rsidR="00F24E18" w:rsidRPr="004A439A" w:rsidRDefault="00F24E18" w:rsidP="000E18B5">
            <w:pPr>
              <w:spacing w:after="0" w:line="240" w:lineRule="auto"/>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auto"/>
            <w:vAlign w:val="center"/>
          </w:tcPr>
          <w:p w14:paraId="4E9B55D2"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5.552</w:t>
            </w:r>
          </w:p>
        </w:tc>
        <w:tc>
          <w:tcPr>
            <w:tcW w:w="780" w:type="pct"/>
            <w:tcBorders>
              <w:top w:val="nil"/>
              <w:left w:val="nil"/>
              <w:bottom w:val="single" w:sz="4" w:space="0" w:color="auto"/>
              <w:right w:val="single" w:sz="4" w:space="0" w:color="auto"/>
            </w:tcBorders>
            <w:shd w:val="clear" w:color="auto" w:fill="auto"/>
            <w:vAlign w:val="center"/>
          </w:tcPr>
          <w:p w14:paraId="3838475C"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4.636.391.304</w:t>
            </w:r>
          </w:p>
        </w:tc>
        <w:tc>
          <w:tcPr>
            <w:tcW w:w="524" w:type="pct"/>
            <w:tcBorders>
              <w:top w:val="nil"/>
              <w:left w:val="nil"/>
              <w:bottom w:val="single" w:sz="4" w:space="0" w:color="auto"/>
              <w:right w:val="single" w:sz="4" w:space="0" w:color="auto"/>
            </w:tcBorders>
            <w:shd w:val="clear" w:color="auto" w:fill="auto"/>
            <w:noWrap/>
            <w:vAlign w:val="center"/>
          </w:tcPr>
          <w:p w14:paraId="621667BE"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100,00 %</w:t>
            </w:r>
          </w:p>
        </w:tc>
        <w:tc>
          <w:tcPr>
            <w:tcW w:w="499" w:type="pct"/>
            <w:tcBorders>
              <w:top w:val="nil"/>
              <w:left w:val="nil"/>
              <w:bottom w:val="single" w:sz="4" w:space="0" w:color="auto"/>
              <w:right w:val="single" w:sz="4" w:space="0" w:color="auto"/>
            </w:tcBorders>
            <w:shd w:val="clear" w:color="auto" w:fill="auto"/>
            <w:noWrap/>
            <w:vAlign w:val="center"/>
          </w:tcPr>
          <w:p w14:paraId="1096BD44"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100,00 %</w:t>
            </w:r>
          </w:p>
        </w:tc>
      </w:tr>
      <w:tr w:rsidR="00F24E18" w:rsidRPr="004A439A" w14:paraId="70212633"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2D0B7945"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Infrastrukturno</w:t>
            </w:r>
          </w:p>
        </w:tc>
        <w:tc>
          <w:tcPr>
            <w:tcW w:w="1964" w:type="pct"/>
            <w:tcBorders>
              <w:top w:val="nil"/>
              <w:left w:val="nil"/>
              <w:bottom w:val="single" w:sz="4" w:space="0" w:color="auto"/>
              <w:right w:val="single" w:sz="4" w:space="0" w:color="auto"/>
            </w:tcBorders>
            <w:shd w:val="clear" w:color="auto" w:fill="auto"/>
            <w:vAlign w:val="center"/>
            <w:hideMark/>
          </w:tcPr>
          <w:p w14:paraId="2C38174C"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Konkurenčni dialog</w:t>
            </w:r>
          </w:p>
        </w:tc>
        <w:tc>
          <w:tcPr>
            <w:tcW w:w="524" w:type="pct"/>
            <w:tcBorders>
              <w:top w:val="nil"/>
              <w:left w:val="nil"/>
              <w:bottom w:val="single" w:sz="4" w:space="0" w:color="auto"/>
              <w:right w:val="single" w:sz="4" w:space="0" w:color="auto"/>
            </w:tcBorders>
            <w:shd w:val="clear" w:color="auto" w:fill="auto"/>
            <w:vAlign w:val="center"/>
          </w:tcPr>
          <w:p w14:paraId="7EE2972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14</w:t>
            </w:r>
          </w:p>
        </w:tc>
        <w:tc>
          <w:tcPr>
            <w:tcW w:w="780" w:type="pct"/>
            <w:tcBorders>
              <w:top w:val="nil"/>
              <w:left w:val="nil"/>
              <w:bottom w:val="single" w:sz="4" w:space="0" w:color="auto"/>
              <w:right w:val="single" w:sz="4" w:space="0" w:color="auto"/>
            </w:tcBorders>
            <w:shd w:val="clear" w:color="auto" w:fill="auto"/>
            <w:vAlign w:val="center"/>
          </w:tcPr>
          <w:p w14:paraId="55CE67A6"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217.663.615</w:t>
            </w:r>
          </w:p>
        </w:tc>
        <w:tc>
          <w:tcPr>
            <w:tcW w:w="524" w:type="pct"/>
            <w:tcBorders>
              <w:top w:val="nil"/>
              <w:left w:val="nil"/>
              <w:bottom w:val="single" w:sz="4" w:space="0" w:color="auto"/>
              <w:right w:val="single" w:sz="4" w:space="0" w:color="auto"/>
            </w:tcBorders>
            <w:shd w:val="clear" w:color="auto" w:fill="auto"/>
            <w:noWrap/>
            <w:vAlign w:val="center"/>
          </w:tcPr>
          <w:p w14:paraId="6A6B1E19"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0,94 %</w:t>
            </w:r>
          </w:p>
        </w:tc>
        <w:tc>
          <w:tcPr>
            <w:tcW w:w="499" w:type="pct"/>
            <w:tcBorders>
              <w:top w:val="nil"/>
              <w:left w:val="nil"/>
              <w:bottom w:val="single" w:sz="4" w:space="0" w:color="auto"/>
              <w:right w:val="single" w:sz="4" w:space="0" w:color="auto"/>
            </w:tcBorders>
            <w:shd w:val="clear" w:color="auto" w:fill="auto"/>
            <w:noWrap/>
            <w:vAlign w:val="center"/>
          </w:tcPr>
          <w:p w14:paraId="2A6E9A46"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15,11 %</w:t>
            </w:r>
          </w:p>
        </w:tc>
      </w:tr>
      <w:tr w:rsidR="00F24E18" w:rsidRPr="004A439A" w14:paraId="59EBE0D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2C36A43"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5DD0705E"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Odprti postopek</w:t>
            </w:r>
          </w:p>
        </w:tc>
        <w:tc>
          <w:tcPr>
            <w:tcW w:w="524" w:type="pct"/>
            <w:tcBorders>
              <w:top w:val="nil"/>
              <w:left w:val="nil"/>
              <w:bottom w:val="single" w:sz="4" w:space="0" w:color="auto"/>
              <w:right w:val="single" w:sz="4" w:space="0" w:color="auto"/>
            </w:tcBorders>
            <w:shd w:val="clear" w:color="auto" w:fill="auto"/>
            <w:vAlign w:val="center"/>
          </w:tcPr>
          <w:p w14:paraId="2073B2C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209</w:t>
            </w:r>
          </w:p>
        </w:tc>
        <w:tc>
          <w:tcPr>
            <w:tcW w:w="780" w:type="pct"/>
            <w:tcBorders>
              <w:top w:val="nil"/>
              <w:left w:val="nil"/>
              <w:bottom w:val="single" w:sz="4" w:space="0" w:color="auto"/>
              <w:right w:val="single" w:sz="4" w:space="0" w:color="auto"/>
            </w:tcBorders>
            <w:shd w:val="clear" w:color="auto" w:fill="auto"/>
            <w:vAlign w:val="center"/>
          </w:tcPr>
          <w:p w14:paraId="119EFE20"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603.890.443</w:t>
            </w:r>
          </w:p>
        </w:tc>
        <w:tc>
          <w:tcPr>
            <w:tcW w:w="524" w:type="pct"/>
            <w:tcBorders>
              <w:top w:val="nil"/>
              <w:left w:val="nil"/>
              <w:bottom w:val="single" w:sz="4" w:space="0" w:color="auto"/>
              <w:right w:val="single" w:sz="4" w:space="0" w:color="auto"/>
            </w:tcBorders>
            <w:shd w:val="clear" w:color="auto" w:fill="auto"/>
            <w:noWrap/>
            <w:vAlign w:val="center"/>
          </w:tcPr>
          <w:p w14:paraId="1B87C614"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14,03 %</w:t>
            </w:r>
          </w:p>
        </w:tc>
        <w:tc>
          <w:tcPr>
            <w:tcW w:w="499" w:type="pct"/>
            <w:tcBorders>
              <w:top w:val="nil"/>
              <w:left w:val="nil"/>
              <w:bottom w:val="single" w:sz="4" w:space="0" w:color="auto"/>
              <w:right w:val="single" w:sz="4" w:space="0" w:color="auto"/>
            </w:tcBorders>
            <w:shd w:val="clear" w:color="auto" w:fill="auto"/>
            <w:noWrap/>
            <w:vAlign w:val="center"/>
          </w:tcPr>
          <w:p w14:paraId="42C6A670"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41,92 %</w:t>
            </w:r>
          </w:p>
        </w:tc>
      </w:tr>
      <w:tr w:rsidR="00F24E18" w:rsidRPr="004A439A" w14:paraId="2438648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91E77BE"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30E49EB9"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Omejeni postopek</w:t>
            </w:r>
          </w:p>
        </w:tc>
        <w:tc>
          <w:tcPr>
            <w:tcW w:w="524" w:type="pct"/>
            <w:tcBorders>
              <w:top w:val="nil"/>
              <w:left w:val="nil"/>
              <w:bottom w:val="single" w:sz="4" w:space="0" w:color="auto"/>
              <w:right w:val="single" w:sz="4" w:space="0" w:color="auto"/>
            </w:tcBorders>
            <w:shd w:val="clear" w:color="auto" w:fill="auto"/>
            <w:vAlign w:val="center"/>
          </w:tcPr>
          <w:p w14:paraId="4DA9EBD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152</w:t>
            </w:r>
          </w:p>
        </w:tc>
        <w:tc>
          <w:tcPr>
            <w:tcW w:w="780" w:type="pct"/>
            <w:tcBorders>
              <w:top w:val="nil"/>
              <w:left w:val="nil"/>
              <w:bottom w:val="single" w:sz="4" w:space="0" w:color="auto"/>
              <w:right w:val="single" w:sz="4" w:space="0" w:color="auto"/>
            </w:tcBorders>
            <w:shd w:val="clear" w:color="auto" w:fill="auto"/>
            <w:vAlign w:val="center"/>
          </w:tcPr>
          <w:p w14:paraId="0ACA29C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184.501.149</w:t>
            </w:r>
          </w:p>
        </w:tc>
        <w:tc>
          <w:tcPr>
            <w:tcW w:w="524" w:type="pct"/>
            <w:tcBorders>
              <w:top w:val="nil"/>
              <w:left w:val="nil"/>
              <w:bottom w:val="single" w:sz="4" w:space="0" w:color="auto"/>
              <w:right w:val="single" w:sz="4" w:space="0" w:color="auto"/>
            </w:tcBorders>
            <w:shd w:val="clear" w:color="auto" w:fill="auto"/>
            <w:noWrap/>
            <w:vAlign w:val="center"/>
          </w:tcPr>
          <w:p w14:paraId="08B2268B"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10,20 %</w:t>
            </w:r>
          </w:p>
        </w:tc>
        <w:tc>
          <w:tcPr>
            <w:tcW w:w="499" w:type="pct"/>
            <w:tcBorders>
              <w:top w:val="nil"/>
              <w:left w:val="nil"/>
              <w:bottom w:val="single" w:sz="4" w:space="0" w:color="auto"/>
              <w:right w:val="single" w:sz="4" w:space="0" w:color="auto"/>
            </w:tcBorders>
            <w:shd w:val="clear" w:color="auto" w:fill="auto"/>
            <w:noWrap/>
            <w:vAlign w:val="center"/>
          </w:tcPr>
          <w:p w14:paraId="357D5526"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12,81 %</w:t>
            </w:r>
          </w:p>
        </w:tc>
      </w:tr>
      <w:tr w:rsidR="00F24E18" w:rsidRPr="004A439A" w14:paraId="5100CDFD"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22765595"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30BDFF3C"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Postopek naročila male vrednosti</w:t>
            </w:r>
          </w:p>
        </w:tc>
        <w:tc>
          <w:tcPr>
            <w:tcW w:w="524" w:type="pct"/>
            <w:tcBorders>
              <w:top w:val="nil"/>
              <w:left w:val="nil"/>
              <w:bottom w:val="single" w:sz="4" w:space="0" w:color="auto"/>
              <w:right w:val="single" w:sz="4" w:space="0" w:color="auto"/>
            </w:tcBorders>
            <w:shd w:val="clear" w:color="auto" w:fill="auto"/>
            <w:vAlign w:val="center"/>
          </w:tcPr>
          <w:p w14:paraId="03F56CEE"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789</w:t>
            </w:r>
          </w:p>
        </w:tc>
        <w:tc>
          <w:tcPr>
            <w:tcW w:w="780" w:type="pct"/>
            <w:tcBorders>
              <w:top w:val="nil"/>
              <w:left w:val="nil"/>
              <w:bottom w:val="single" w:sz="4" w:space="0" w:color="auto"/>
              <w:right w:val="single" w:sz="4" w:space="0" w:color="auto"/>
            </w:tcBorders>
            <w:shd w:val="clear" w:color="auto" w:fill="auto"/>
            <w:vAlign w:val="center"/>
          </w:tcPr>
          <w:p w14:paraId="7960888D"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159.158.868</w:t>
            </w:r>
          </w:p>
        </w:tc>
        <w:tc>
          <w:tcPr>
            <w:tcW w:w="524" w:type="pct"/>
            <w:tcBorders>
              <w:top w:val="nil"/>
              <w:left w:val="nil"/>
              <w:bottom w:val="single" w:sz="4" w:space="0" w:color="auto"/>
              <w:right w:val="single" w:sz="4" w:space="0" w:color="auto"/>
            </w:tcBorders>
            <w:shd w:val="clear" w:color="auto" w:fill="auto"/>
            <w:noWrap/>
            <w:vAlign w:val="center"/>
          </w:tcPr>
          <w:p w14:paraId="07637BDE"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52,95 %</w:t>
            </w:r>
          </w:p>
        </w:tc>
        <w:tc>
          <w:tcPr>
            <w:tcW w:w="499" w:type="pct"/>
            <w:tcBorders>
              <w:top w:val="nil"/>
              <w:left w:val="nil"/>
              <w:bottom w:val="single" w:sz="4" w:space="0" w:color="auto"/>
              <w:right w:val="single" w:sz="4" w:space="0" w:color="auto"/>
            </w:tcBorders>
            <w:shd w:val="clear" w:color="auto" w:fill="auto"/>
            <w:noWrap/>
            <w:vAlign w:val="center"/>
          </w:tcPr>
          <w:p w14:paraId="0E93A3D5"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11,05 %</w:t>
            </w:r>
          </w:p>
        </w:tc>
      </w:tr>
      <w:tr w:rsidR="00F24E18" w:rsidRPr="004A439A" w14:paraId="78126071"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26EB31D0"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27E2B64E"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Postopek s pogajanji brez predhodne objave</w:t>
            </w:r>
          </w:p>
        </w:tc>
        <w:tc>
          <w:tcPr>
            <w:tcW w:w="524" w:type="pct"/>
            <w:tcBorders>
              <w:top w:val="nil"/>
              <w:left w:val="nil"/>
              <w:bottom w:val="single" w:sz="4" w:space="0" w:color="auto"/>
              <w:right w:val="single" w:sz="4" w:space="0" w:color="auto"/>
            </w:tcBorders>
            <w:shd w:val="clear" w:color="auto" w:fill="auto"/>
            <w:vAlign w:val="center"/>
          </w:tcPr>
          <w:p w14:paraId="3F789B96"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198</w:t>
            </w:r>
          </w:p>
        </w:tc>
        <w:tc>
          <w:tcPr>
            <w:tcW w:w="780" w:type="pct"/>
            <w:tcBorders>
              <w:top w:val="nil"/>
              <w:left w:val="nil"/>
              <w:bottom w:val="single" w:sz="4" w:space="0" w:color="auto"/>
              <w:right w:val="single" w:sz="4" w:space="0" w:color="auto"/>
            </w:tcBorders>
            <w:shd w:val="clear" w:color="auto" w:fill="auto"/>
            <w:vAlign w:val="center"/>
          </w:tcPr>
          <w:p w14:paraId="10F5ADC0"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61.328.129</w:t>
            </w:r>
          </w:p>
        </w:tc>
        <w:tc>
          <w:tcPr>
            <w:tcW w:w="524" w:type="pct"/>
            <w:tcBorders>
              <w:top w:val="nil"/>
              <w:left w:val="nil"/>
              <w:bottom w:val="single" w:sz="4" w:space="0" w:color="auto"/>
              <w:right w:val="single" w:sz="4" w:space="0" w:color="auto"/>
            </w:tcBorders>
            <w:shd w:val="clear" w:color="auto" w:fill="auto"/>
            <w:noWrap/>
            <w:vAlign w:val="center"/>
          </w:tcPr>
          <w:p w14:paraId="3C175393"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13,29 %</w:t>
            </w:r>
          </w:p>
        </w:tc>
        <w:tc>
          <w:tcPr>
            <w:tcW w:w="499" w:type="pct"/>
            <w:tcBorders>
              <w:top w:val="nil"/>
              <w:left w:val="nil"/>
              <w:bottom w:val="single" w:sz="4" w:space="0" w:color="auto"/>
              <w:right w:val="single" w:sz="4" w:space="0" w:color="auto"/>
            </w:tcBorders>
            <w:shd w:val="clear" w:color="auto" w:fill="auto"/>
            <w:noWrap/>
            <w:vAlign w:val="center"/>
          </w:tcPr>
          <w:p w14:paraId="65EE0A6A"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4,26 %</w:t>
            </w:r>
          </w:p>
        </w:tc>
      </w:tr>
      <w:tr w:rsidR="00F24E18" w:rsidRPr="004A439A" w14:paraId="1936889C"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40ACA61"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5D02EAD7"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Postopek s pogajanji po predhodni objavi</w:t>
            </w:r>
          </w:p>
        </w:tc>
        <w:tc>
          <w:tcPr>
            <w:tcW w:w="524" w:type="pct"/>
            <w:tcBorders>
              <w:top w:val="nil"/>
              <w:left w:val="nil"/>
              <w:bottom w:val="single" w:sz="4" w:space="0" w:color="auto"/>
              <w:right w:val="single" w:sz="4" w:space="0" w:color="auto"/>
            </w:tcBorders>
            <w:shd w:val="clear" w:color="auto" w:fill="auto"/>
            <w:vAlign w:val="center"/>
          </w:tcPr>
          <w:p w14:paraId="53F820D5"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128</w:t>
            </w:r>
          </w:p>
        </w:tc>
        <w:tc>
          <w:tcPr>
            <w:tcW w:w="780" w:type="pct"/>
            <w:tcBorders>
              <w:top w:val="nil"/>
              <w:left w:val="nil"/>
              <w:bottom w:val="single" w:sz="4" w:space="0" w:color="auto"/>
              <w:right w:val="single" w:sz="4" w:space="0" w:color="auto"/>
            </w:tcBorders>
            <w:shd w:val="clear" w:color="auto" w:fill="auto"/>
            <w:vAlign w:val="center"/>
          </w:tcPr>
          <w:p w14:paraId="71106657"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213.893.904</w:t>
            </w:r>
          </w:p>
        </w:tc>
        <w:tc>
          <w:tcPr>
            <w:tcW w:w="524" w:type="pct"/>
            <w:tcBorders>
              <w:top w:val="nil"/>
              <w:left w:val="nil"/>
              <w:bottom w:val="single" w:sz="4" w:space="0" w:color="auto"/>
              <w:right w:val="single" w:sz="4" w:space="0" w:color="auto"/>
            </w:tcBorders>
            <w:shd w:val="clear" w:color="auto" w:fill="auto"/>
            <w:noWrap/>
            <w:vAlign w:val="center"/>
          </w:tcPr>
          <w:p w14:paraId="1D330514"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8,59 %</w:t>
            </w:r>
          </w:p>
        </w:tc>
        <w:tc>
          <w:tcPr>
            <w:tcW w:w="499" w:type="pct"/>
            <w:tcBorders>
              <w:top w:val="nil"/>
              <w:left w:val="nil"/>
              <w:bottom w:val="single" w:sz="4" w:space="0" w:color="auto"/>
              <w:right w:val="single" w:sz="4" w:space="0" w:color="auto"/>
            </w:tcBorders>
            <w:shd w:val="clear" w:color="auto" w:fill="auto"/>
            <w:noWrap/>
            <w:vAlign w:val="center"/>
          </w:tcPr>
          <w:p w14:paraId="49569247"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14,85 %</w:t>
            </w:r>
          </w:p>
        </w:tc>
      </w:tr>
      <w:tr w:rsidR="00F24E18" w:rsidRPr="004A439A" w14:paraId="5212F391"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C2381D7"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593905A6" w14:textId="77777777" w:rsidR="00F24E18" w:rsidRPr="004A439A" w:rsidRDefault="00F24E18" w:rsidP="000E18B5">
            <w:pPr>
              <w:spacing w:after="0" w:line="240" w:lineRule="auto"/>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auto"/>
            <w:vAlign w:val="center"/>
          </w:tcPr>
          <w:p w14:paraId="7B9A8466"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1.490</w:t>
            </w:r>
          </w:p>
        </w:tc>
        <w:tc>
          <w:tcPr>
            <w:tcW w:w="780" w:type="pct"/>
            <w:tcBorders>
              <w:top w:val="nil"/>
              <w:left w:val="nil"/>
              <w:bottom w:val="single" w:sz="4" w:space="0" w:color="auto"/>
              <w:right w:val="single" w:sz="4" w:space="0" w:color="auto"/>
            </w:tcBorders>
            <w:shd w:val="clear" w:color="auto" w:fill="auto"/>
            <w:vAlign w:val="center"/>
          </w:tcPr>
          <w:p w14:paraId="71D627C0"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1.440.436.108</w:t>
            </w:r>
          </w:p>
        </w:tc>
        <w:tc>
          <w:tcPr>
            <w:tcW w:w="524" w:type="pct"/>
            <w:tcBorders>
              <w:top w:val="nil"/>
              <w:left w:val="nil"/>
              <w:bottom w:val="single" w:sz="4" w:space="0" w:color="auto"/>
              <w:right w:val="single" w:sz="4" w:space="0" w:color="auto"/>
            </w:tcBorders>
            <w:shd w:val="clear" w:color="auto" w:fill="auto"/>
            <w:noWrap/>
            <w:vAlign w:val="center"/>
          </w:tcPr>
          <w:p w14:paraId="3FBFE3C4"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100,00 %</w:t>
            </w:r>
          </w:p>
        </w:tc>
        <w:tc>
          <w:tcPr>
            <w:tcW w:w="499" w:type="pct"/>
            <w:tcBorders>
              <w:top w:val="nil"/>
              <w:left w:val="nil"/>
              <w:bottom w:val="single" w:sz="4" w:space="0" w:color="auto"/>
              <w:right w:val="single" w:sz="4" w:space="0" w:color="auto"/>
            </w:tcBorders>
            <w:shd w:val="clear" w:color="auto" w:fill="auto"/>
            <w:noWrap/>
            <w:vAlign w:val="center"/>
          </w:tcPr>
          <w:p w14:paraId="3F91A926"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100,00 %</w:t>
            </w:r>
          </w:p>
        </w:tc>
      </w:tr>
      <w:tr w:rsidR="00F24E18" w:rsidRPr="004A439A" w14:paraId="1CA42DF2"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3C16D692"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Obrambno</w:t>
            </w:r>
          </w:p>
        </w:tc>
        <w:tc>
          <w:tcPr>
            <w:tcW w:w="1964" w:type="pct"/>
            <w:tcBorders>
              <w:top w:val="nil"/>
              <w:left w:val="nil"/>
              <w:bottom w:val="single" w:sz="4" w:space="0" w:color="auto"/>
              <w:right w:val="single" w:sz="4" w:space="0" w:color="auto"/>
            </w:tcBorders>
            <w:shd w:val="clear" w:color="auto" w:fill="auto"/>
            <w:vAlign w:val="center"/>
            <w:hideMark/>
          </w:tcPr>
          <w:p w14:paraId="53327129"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Postopek s pogajanji brez predhodne objave</w:t>
            </w:r>
          </w:p>
        </w:tc>
        <w:tc>
          <w:tcPr>
            <w:tcW w:w="524" w:type="pct"/>
            <w:tcBorders>
              <w:top w:val="nil"/>
              <w:left w:val="nil"/>
              <w:bottom w:val="single" w:sz="4" w:space="0" w:color="auto"/>
              <w:right w:val="single" w:sz="4" w:space="0" w:color="auto"/>
            </w:tcBorders>
            <w:shd w:val="clear" w:color="auto" w:fill="auto"/>
            <w:vAlign w:val="center"/>
          </w:tcPr>
          <w:p w14:paraId="512C0EBB"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56</w:t>
            </w:r>
          </w:p>
        </w:tc>
        <w:tc>
          <w:tcPr>
            <w:tcW w:w="780" w:type="pct"/>
            <w:tcBorders>
              <w:top w:val="nil"/>
              <w:left w:val="nil"/>
              <w:bottom w:val="single" w:sz="4" w:space="0" w:color="auto"/>
              <w:right w:val="single" w:sz="4" w:space="0" w:color="auto"/>
            </w:tcBorders>
            <w:shd w:val="clear" w:color="auto" w:fill="auto"/>
            <w:vAlign w:val="center"/>
          </w:tcPr>
          <w:p w14:paraId="223DF7C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54.424.622</w:t>
            </w:r>
          </w:p>
        </w:tc>
        <w:tc>
          <w:tcPr>
            <w:tcW w:w="524" w:type="pct"/>
            <w:tcBorders>
              <w:top w:val="nil"/>
              <w:left w:val="nil"/>
              <w:bottom w:val="single" w:sz="4" w:space="0" w:color="auto"/>
              <w:right w:val="single" w:sz="4" w:space="0" w:color="auto"/>
            </w:tcBorders>
            <w:shd w:val="clear" w:color="auto" w:fill="auto"/>
            <w:noWrap/>
            <w:vAlign w:val="center"/>
          </w:tcPr>
          <w:p w14:paraId="3E581B1C"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51,85 %</w:t>
            </w:r>
          </w:p>
        </w:tc>
        <w:tc>
          <w:tcPr>
            <w:tcW w:w="499" w:type="pct"/>
            <w:tcBorders>
              <w:top w:val="nil"/>
              <w:left w:val="nil"/>
              <w:bottom w:val="single" w:sz="4" w:space="0" w:color="auto"/>
              <w:right w:val="single" w:sz="4" w:space="0" w:color="auto"/>
            </w:tcBorders>
            <w:shd w:val="clear" w:color="auto" w:fill="auto"/>
            <w:noWrap/>
            <w:vAlign w:val="center"/>
          </w:tcPr>
          <w:p w14:paraId="5514DE62"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35,02 %</w:t>
            </w:r>
          </w:p>
        </w:tc>
      </w:tr>
      <w:tr w:rsidR="00F24E18" w:rsidRPr="004A439A" w14:paraId="52526E36"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183564F"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0692F3C9"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Postopek s pogajanji po predhodni objavi</w:t>
            </w:r>
          </w:p>
        </w:tc>
        <w:tc>
          <w:tcPr>
            <w:tcW w:w="524" w:type="pct"/>
            <w:tcBorders>
              <w:top w:val="nil"/>
              <w:left w:val="nil"/>
              <w:bottom w:val="single" w:sz="4" w:space="0" w:color="auto"/>
              <w:right w:val="single" w:sz="4" w:space="0" w:color="auto"/>
            </w:tcBorders>
            <w:shd w:val="clear" w:color="auto" w:fill="auto"/>
            <w:vAlign w:val="center"/>
          </w:tcPr>
          <w:p w14:paraId="4E9F2CC0"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33</w:t>
            </w:r>
          </w:p>
        </w:tc>
        <w:tc>
          <w:tcPr>
            <w:tcW w:w="780" w:type="pct"/>
            <w:tcBorders>
              <w:top w:val="nil"/>
              <w:left w:val="nil"/>
              <w:bottom w:val="single" w:sz="4" w:space="0" w:color="auto"/>
              <w:right w:val="single" w:sz="4" w:space="0" w:color="auto"/>
            </w:tcBorders>
            <w:shd w:val="clear" w:color="auto" w:fill="auto"/>
            <w:vAlign w:val="center"/>
          </w:tcPr>
          <w:p w14:paraId="4B84AD92"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98.148.570</w:t>
            </w:r>
          </w:p>
        </w:tc>
        <w:tc>
          <w:tcPr>
            <w:tcW w:w="524" w:type="pct"/>
            <w:tcBorders>
              <w:top w:val="nil"/>
              <w:left w:val="nil"/>
              <w:bottom w:val="single" w:sz="4" w:space="0" w:color="auto"/>
              <w:right w:val="single" w:sz="4" w:space="0" w:color="auto"/>
            </w:tcBorders>
            <w:shd w:val="clear" w:color="auto" w:fill="auto"/>
            <w:noWrap/>
            <w:vAlign w:val="center"/>
          </w:tcPr>
          <w:p w14:paraId="3C03A27D"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30,56 %</w:t>
            </w:r>
          </w:p>
        </w:tc>
        <w:tc>
          <w:tcPr>
            <w:tcW w:w="499" w:type="pct"/>
            <w:tcBorders>
              <w:top w:val="nil"/>
              <w:left w:val="nil"/>
              <w:bottom w:val="single" w:sz="4" w:space="0" w:color="auto"/>
              <w:right w:val="single" w:sz="4" w:space="0" w:color="auto"/>
            </w:tcBorders>
            <w:shd w:val="clear" w:color="auto" w:fill="auto"/>
            <w:noWrap/>
            <w:vAlign w:val="center"/>
          </w:tcPr>
          <w:p w14:paraId="727D7730"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63,15 %</w:t>
            </w:r>
          </w:p>
        </w:tc>
      </w:tr>
      <w:tr w:rsidR="00F24E18" w:rsidRPr="004A439A" w14:paraId="4882E23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F5AFE89"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20E39D58" w14:textId="77777777" w:rsidR="00F24E18" w:rsidRPr="004A439A" w:rsidRDefault="00F24E18" w:rsidP="000E18B5">
            <w:pPr>
              <w:spacing w:after="0" w:line="240" w:lineRule="auto"/>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Postopek zbiranja ponudb po predhodni objavi</w:t>
            </w:r>
          </w:p>
        </w:tc>
        <w:tc>
          <w:tcPr>
            <w:tcW w:w="524" w:type="pct"/>
            <w:tcBorders>
              <w:top w:val="nil"/>
              <w:left w:val="nil"/>
              <w:bottom w:val="single" w:sz="4" w:space="0" w:color="auto"/>
              <w:right w:val="single" w:sz="4" w:space="0" w:color="auto"/>
            </w:tcBorders>
            <w:shd w:val="clear" w:color="auto" w:fill="auto"/>
            <w:vAlign w:val="center"/>
          </w:tcPr>
          <w:p w14:paraId="57180F0F"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19</w:t>
            </w:r>
          </w:p>
        </w:tc>
        <w:tc>
          <w:tcPr>
            <w:tcW w:w="780" w:type="pct"/>
            <w:tcBorders>
              <w:top w:val="nil"/>
              <w:left w:val="nil"/>
              <w:bottom w:val="single" w:sz="4" w:space="0" w:color="auto"/>
              <w:right w:val="single" w:sz="4" w:space="0" w:color="auto"/>
            </w:tcBorders>
            <w:shd w:val="clear" w:color="auto" w:fill="auto"/>
            <w:vAlign w:val="center"/>
          </w:tcPr>
          <w:p w14:paraId="5106A756"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2.850.365</w:t>
            </w:r>
          </w:p>
        </w:tc>
        <w:tc>
          <w:tcPr>
            <w:tcW w:w="524" w:type="pct"/>
            <w:tcBorders>
              <w:top w:val="nil"/>
              <w:left w:val="nil"/>
              <w:bottom w:val="single" w:sz="4" w:space="0" w:color="auto"/>
              <w:right w:val="single" w:sz="4" w:space="0" w:color="auto"/>
            </w:tcBorders>
            <w:shd w:val="clear" w:color="auto" w:fill="auto"/>
            <w:noWrap/>
            <w:vAlign w:val="center"/>
          </w:tcPr>
          <w:p w14:paraId="074E75DF"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17,59 %</w:t>
            </w:r>
          </w:p>
        </w:tc>
        <w:tc>
          <w:tcPr>
            <w:tcW w:w="499" w:type="pct"/>
            <w:tcBorders>
              <w:top w:val="nil"/>
              <w:left w:val="nil"/>
              <w:bottom w:val="single" w:sz="4" w:space="0" w:color="auto"/>
              <w:right w:val="single" w:sz="4" w:space="0" w:color="auto"/>
            </w:tcBorders>
            <w:shd w:val="clear" w:color="auto" w:fill="auto"/>
            <w:noWrap/>
            <w:vAlign w:val="center"/>
          </w:tcPr>
          <w:p w14:paraId="680CA781"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r w:rsidRPr="004A439A">
              <w:rPr>
                <w:rFonts w:ascii="Arial" w:eastAsia="Times New Roman" w:hAnsi="Arial" w:cs="Arial"/>
                <w:color w:val="000000"/>
                <w:sz w:val="18"/>
                <w:szCs w:val="18"/>
                <w:lang w:eastAsia="sl-SI"/>
              </w:rPr>
              <w:t>1,83 %</w:t>
            </w:r>
          </w:p>
        </w:tc>
      </w:tr>
      <w:tr w:rsidR="00F24E18" w:rsidRPr="004A439A" w14:paraId="4F6E36D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02E5151" w14:textId="77777777" w:rsidR="00F24E18" w:rsidRPr="004A439A" w:rsidRDefault="00F24E18" w:rsidP="000E18B5">
            <w:pPr>
              <w:spacing w:after="0" w:line="240" w:lineRule="auto"/>
              <w:rPr>
                <w:rFonts w:ascii="Arial" w:eastAsia="Times New Roman" w:hAnsi="Arial" w:cs="Arial"/>
                <w:color w:val="000000"/>
                <w:sz w:val="18"/>
                <w:szCs w:val="18"/>
                <w:lang w:eastAsia="sl-SI"/>
              </w:rPr>
            </w:pPr>
          </w:p>
        </w:tc>
        <w:tc>
          <w:tcPr>
            <w:tcW w:w="1964" w:type="pct"/>
            <w:tcBorders>
              <w:top w:val="nil"/>
              <w:left w:val="nil"/>
              <w:bottom w:val="single" w:sz="4" w:space="0" w:color="auto"/>
              <w:right w:val="single" w:sz="4" w:space="0" w:color="auto"/>
            </w:tcBorders>
            <w:shd w:val="clear" w:color="auto" w:fill="auto"/>
            <w:vAlign w:val="center"/>
            <w:hideMark/>
          </w:tcPr>
          <w:p w14:paraId="6BF286BC" w14:textId="77777777" w:rsidR="00F24E18" w:rsidRPr="004A439A" w:rsidRDefault="00F24E18" w:rsidP="000E18B5">
            <w:pPr>
              <w:spacing w:after="0" w:line="240" w:lineRule="auto"/>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auto"/>
            <w:noWrap/>
            <w:vAlign w:val="center"/>
          </w:tcPr>
          <w:p w14:paraId="5227D33B"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108</w:t>
            </w:r>
          </w:p>
        </w:tc>
        <w:tc>
          <w:tcPr>
            <w:tcW w:w="780" w:type="pct"/>
            <w:tcBorders>
              <w:top w:val="nil"/>
              <w:left w:val="nil"/>
              <w:bottom w:val="single" w:sz="4" w:space="0" w:color="auto"/>
              <w:right w:val="single" w:sz="4" w:space="0" w:color="auto"/>
            </w:tcBorders>
            <w:shd w:val="clear" w:color="auto" w:fill="auto"/>
            <w:noWrap/>
            <w:vAlign w:val="center"/>
          </w:tcPr>
          <w:p w14:paraId="5CDF5EDD"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155.423.557</w:t>
            </w:r>
          </w:p>
        </w:tc>
        <w:tc>
          <w:tcPr>
            <w:tcW w:w="524" w:type="pct"/>
            <w:tcBorders>
              <w:top w:val="nil"/>
              <w:left w:val="nil"/>
              <w:bottom w:val="single" w:sz="4" w:space="0" w:color="auto"/>
              <w:right w:val="single" w:sz="4" w:space="0" w:color="auto"/>
            </w:tcBorders>
            <w:shd w:val="clear" w:color="auto" w:fill="auto"/>
            <w:noWrap/>
            <w:vAlign w:val="center"/>
          </w:tcPr>
          <w:p w14:paraId="00473BBA"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100,00 %</w:t>
            </w:r>
          </w:p>
        </w:tc>
        <w:tc>
          <w:tcPr>
            <w:tcW w:w="499" w:type="pct"/>
            <w:tcBorders>
              <w:top w:val="nil"/>
              <w:left w:val="nil"/>
              <w:bottom w:val="single" w:sz="4" w:space="0" w:color="auto"/>
              <w:right w:val="single" w:sz="4" w:space="0" w:color="auto"/>
            </w:tcBorders>
            <w:shd w:val="clear" w:color="auto" w:fill="auto"/>
            <w:noWrap/>
            <w:vAlign w:val="center"/>
          </w:tcPr>
          <w:p w14:paraId="47CAF037"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100,00 %</w:t>
            </w:r>
          </w:p>
        </w:tc>
      </w:tr>
      <w:tr w:rsidR="00F24E18" w:rsidRPr="00242E41" w14:paraId="595876BA" w14:textId="77777777" w:rsidTr="000E18B5">
        <w:trPr>
          <w:trHeight w:val="371"/>
        </w:trPr>
        <w:tc>
          <w:tcPr>
            <w:tcW w:w="26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39A0B4" w14:textId="77777777" w:rsidR="00F24E18" w:rsidRPr="004A439A" w:rsidRDefault="00F24E18" w:rsidP="000E18B5">
            <w:pPr>
              <w:spacing w:after="0" w:line="240" w:lineRule="auto"/>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Skupaj</w:t>
            </w:r>
          </w:p>
        </w:tc>
        <w:tc>
          <w:tcPr>
            <w:tcW w:w="524" w:type="pct"/>
            <w:tcBorders>
              <w:top w:val="nil"/>
              <w:left w:val="nil"/>
              <w:bottom w:val="single" w:sz="4" w:space="0" w:color="auto"/>
              <w:right w:val="single" w:sz="4" w:space="0" w:color="auto"/>
            </w:tcBorders>
            <w:shd w:val="clear" w:color="auto" w:fill="F2F2F2" w:themeFill="background1" w:themeFillShade="F2"/>
            <w:noWrap/>
            <w:vAlign w:val="center"/>
          </w:tcPr>
          <w:p w14:paraId="07D6FCC0"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7.150</w:t>
            </w:r>
          </w:p>
        </w:tc>
        <w:tc>
          <w:tcPr>
            <w:tcW w:w="780" w:type="pct"/>
            <w:tcBorders>
              <w:top w:val="nil"/>
              <w:left w:val="nil"/>
              <w:bottom w:val="single" w:sz="4" w:space="0" w:color="auto"/>
              <w:right w:val="single" w:sz="4" w:space="0" w:color="auto"/>
            </w:tcBorders>
            <w:shd w:val="clear" w:color="auto" w:fill="F2F2F2" w:themeFill="background1" w:themeFillShade="F2"/>
            <w:noWrap/>
            <w:vAlign w:val="center"/>
          </w:tcPr>
          <w:p w14:paraId="5DAAFFAE" w14:textId="77777777" w:rsidR="00F24E18" w:rsidRPr="004A439A" w:rsidRDefault="00F24E18" w:rsidP="000E18B5">
            <w:pPr>
              <w:spacing w:after="0" w:line="240" w:lineRule="auto"/>
              <w:jc w:val="right"/>
              <w:rPr>
                <w:rFonts w:ascii="Arial" w:eastAsia="Times New Roman" w:hAnsi="Arial" w:cs="Arial"/>
                <w:b/>
                <w:bCs/>
                <w:color w:val="000000"/>
                <w:sz w:val="18"/>
                <w:szCs w:val="18"/>
                <w:lang w:eastAsia="sl-SI"/>
              </w:rPr>
            </w:pPr>
            <w:r w:rsidRPr="004A439A">
              <w:rPr>
                <w:rFonts w:ascii="Arial" w:eastAsia="Times New Roman" w:hAnsi="Arial" w:cs="Arial"/>
                <w:b/>
                <w:bCs/>
                <w:color w:val="000000"/>
                <w:sz w:val="18"/>
                <w:szCs w:val="18"/>
                <w:lang w:eastAsia="sl-SI"/>
              </w:rPr>
              <w:t>6.232.250.969</w:t>
            </w:r>
          </w:p>
        </w:tc>
        <w:tc>
          <w:tcPr>
            <w:tcW w:w="524" w:type="pct"/>
            <w:tcBorders>
              <w:top w:val="nil"/>
              <w:left w:val="nil"/>
              <w:bottom w:val="nil"/>
              <w:right w:val="nil"/>
            </w:tcBorders>
            <w:shd w:val="clear" w:color="auto" w:fill="auto"/>
            <w:noWrap/>
            <w:vAlign w:val="center"/>
            <w:hideMark/>
          </w:tcPr>
          <w:p w14:paraId="041F9D51"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p>
        </w:tc>
        <w:tc>
          <w:tcPr>
            <w:tcW w:w="499" w:type="pct"/>
            <w:tcBorders>
              <w:top w:val="nil"/>
              <w:left w:val="nil"/>
              <w:bottom w:val="nil"/>
              <w:right w:val="nil"/>
            </w:tcBorders>
            <w:shd w:val="clear" w:color="auto" w:fill="auto"/>
            <w:noWrap/>
            <w:vAlign w:val="center"/>
            <w:hideMark/>
          </w:tcPr>
          <w:p w14:paraId="4BE2DD81" w14:textId="77777777" w:rsidR="00F24E18" w:rsidRPr="004A439A" w:rsidRDefault="00F24E18" w:rsidP="000E18B5">
            <w:pPr>
              <w:spacing w:after="0" w:line="240" w:lineRule="auto"/>
              <w:jc w:val="right"/>
              <w:rPr>
                <w:rFonts w:ascii="Arial" w:eastAsia="Times New Roman" w:hAnsi="Arial" w:cs="Arial"/>
                <w:color w:val="000000"/>
                <w:sz w:val="18"/>
                <w:szCs w:val="18"/>
                <w:lang w:eastAsia="sl-SI"/>
              </w:rPr>
            </w:pPr>
          </w:p>
        </w:tc>
      </w:tr>
    </w:tbl>
    <w:p w14:paraId="31CFA7BF" w14:textId="77777777" w:rsidR="00F24E18" w:rsidRPr="00242E41" w:rsidRDefault="00F24E18" w:rsidP="00F24E18">
      <w:pPr>
        <w:pStyle w:val="ZADEVA"/>
        <w:spacing w:line="240" w:lineRule="auto"/>
        <w:jc w:val="both"/>
        <w:rPr>
          <w:rFonts w:cs="Arial"/>
          <w:b w:val="0"/>
          <w:szCs w:val="20"/>
          <w:highlight w:val="yellow"/>
          <w:lang w:val="sl-SI"/>
        </w:rPr>
      </w:pPr>
    </w:p>
    <w:p w14:paraId="06630CA1" w14:textId="77777777" w:rsidR="00F24E18" w:rsidRPr="00242E41" w:rsidRDefault="00F24E18" w:rsidP="00F24E18">
      <w:pPr>
        <w:pStyle w:val="ZADEVA"/>
        <w:spacing w:before="120" w:line="240" w:lineRule="auto"/>
        <w:jc w:val="both"/>
        <w:rPr>
          <w:rFonts w:cs="Arial"/>
          <w:b w:val="0"/>
          <w:iCs/>
          <w:szCs w:val="20"/>
          <w:highlight w:val="yellow"/>
          <w:lang w:val="sl-SI"/>
        </w:rPr>
      </w:pPr>
      <w:r w:rsidRPr="00D624B3">
        <w:rPr>
          <w:rFonts w:cs="Arial"/>
          <w:b w:val="0"/>
          <w:iCs/>
          <w:szCs w:val="20"/>
          <w:lang w:val="sl-SI"/>
        </w:rPr>
        <w:t>Preglednica 59: Javna naročila glede na področje, vrsto postopka in predmet naročanja</w:t>
      </w:r>
    </w:p>
    <w:p w14:paraId="20E81F7B" w14:textId="77777777" w:rsidR="00F24E18" w:rsidRPr="00242E41" w:rsidRDefault="00F24E18" w:rsidP="00F24E18">
      <w:pPr>
        <w:pStyle w:val="ZADEVA"/>
        <w:spacing w:line="240" w:lineRule="auto"/>
        <w:jc w:val="both"/>
        <w:rPr>
          <w:rFonts w:cs="Arial"/>
          <w:b w:val="0"/>
          <w:iCs/>
          <w:szCs w:val="20"/>
          <w:highlight w:val="yellow"/>
          <w:lang w:val="sl-SI"/>
        </w:rPr>
      </w:pPr>
    </w:p>
    <w:tbl>
      <w:tblPr>
        <w:tblW w:w="5000" w:type="pct"/>
        <w:tblCellMar>
          <w:left w:w="70" w:type="dxa"/>
          <w:right w:w="70" w:type="dxa"/>
        </w:tblCellMar>
        <w:tblLook w:val="04A0" w:firstRow="1" w:lastRow="0" w:firstColumn="1" w:lastColumn="0" w:noHBand="0" w:noVBand="1"/>
      </w:tblPr>
      <w:tblGrid>
        <w:gridCol w:w="1301"/>
        <w:gridCol w:w="4018"/>
        <w:gridCol w:w="822"/>
        <w:gridCol w:w="1231"/>
        <w:gridCol w:w="1802"/>
      </w:tblGrid>
      <w:tr w:rsidR="00F24E18" w:rsidRPr="00D624B3" w14:paraId="02F64564" w14:textId="77777777" w:rsidTr="000E18B5">
        <w:trPr>
          <w:trHeight w:val="300"/>
          <w:tblHeader/>
        </w:trPr>
        <w:tc>
          <w:tcPr>
            <w:tcW w:w="7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C84DC" w14:textId="77777777" w:rsidR="00F24E18" w:rsidRPr="00D624B3" w:rsidRDefault="00F24E18" w:rsidP="000E18B5">
            <w:pPr>
              <w:spacing w:after="0" w:line="240" w:lineRule="auto"/>
              <w:jc w:val="center"/>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Področje</w:t>
            </w:r>
          </w:p>
        </w:tc>
        <w:tc>
          <w:tcPr>
            <w:tcW w:w="219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F5190DC" w14:textId="77777777" w:rsidR="00F24E18" w:rsidRPr="00D624B3" w:rsidRDefault="00F24E18" w:rsidP="000E18B5">
            <w:pPr>
              <w:spacing w:after="0" w:line="240" w:lineRule="auto"/>
              <w:jc w:val="center"/>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Vrsta postopka</w:t>
            </w:r>
          </w:p>
        </w:tc>
        <w:tc>
          <w:tcPr>
            <w:tcW w:w="44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2F36D1" w14:textId="77777777" w:rsidR="00F24E18" w:rsidRPr="00D624B3" w:rsidRDefault="00F24E18" w:rsidP="000E18B5">
            <w:pPr>
              <w:spacing w:after="0" w:line="240" w:lineRule="auto"/>
              <w:jc w:val="center"/>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Predmet</w:t>
            </w:r>
          </w:p>
        </w:tc>
        <w:tc>
          <w:tcPr>
            <w:tcW w:w="6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56C32B" w14:textId="77777777" w:rsidR="00F24E18" w:rsidRPr="00D624B3" w:rsidRDefault="00F24E18" w:rsidP="000E18B5">
            <w:pPr>
              <w:spacing w:after="0" w:line="240" w:lineRule="auto"/>
              <w:jc w:val="center"/>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Št. postopkov</w:t>
            </w:r>
          </w:p>
        </w:tc>
        <w:tc>
          <w:tcPr>
            <w:tcW w:w="98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8A4141" w14:textId="77777777" w:rsidR="00F24E18" w:rsidRPr="00D624B3" w:rsidRDefault="00F24E18" w:rsidP="000E18B5">
            <w:pPr>
              <w:spacing w:after="0" w:line="240" w:lineRule="auto"/>
              <w:jc w:val="center"/>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Pogodbena vrednost</w:t>
            </w:r>
          </w:p>
        </w:tc>
      </w:tr>
      <w:tr w:rsidR="00F24E18" w:rsidRPr="00D624B3" w14:paraId="15FC7BA4"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CD0BAA9"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Splošno</w:t>
            </w: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95BB1E"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Konkurenčni dialog</w:t>
            </w:r>
          </w:p>
        </w:tc>
        <w:tc>
          <w:tcPr>
            <w:tcW w:w="448" w:type="pct"/>
            <w:tcBorders>
              <w:top w:val="nil"/>
              <w:left w:val="nil"/>
              <w:bottom w:val="single" w:sz="4" w:space="0" w:color="auto"/>
              <w:right w:val="single" w:sz="4" w:space="0" w:color="auto"/>
            </w:tcBorders>
            <w:shd w:val="clear" w:color="auto" w:fill="auto"/>
            <w:noWrap/>
            <w:vAlign w:val="center"/>
            <w:hideMark/>
          </w:tcPr>
          <w:p w14:paraId="41383096"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23ACB74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w:t>
            </w:r>
          </w:p>
        </w:tc>
        <w:tc>
          <w:tcPr>
            <w:tcW w:w="982" w:type="pct"/>
            <w:tcBorders>
              <w:top w:val="nil"/>
              <w:left w:val="nil"/>
              <w:bottom w:val="single" w:sz="4" w:space="0" w:color="auto"/>
              <w:right w:val="single" w:sz="4" w:space="0" w:color="auto"/>
            </w:tcBorders>
            <w:shd w:val="clear" w:color="auto" w:fill="auto"/>
            <w:noWrap/>
            <w:vAlign w:val="center"/>
            <w:hideMark/>
          </w:tcPr>
          <w:p w14:paraId="3400990E"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906.503</w:t>
            </w:r>
          </w:p>
        </w:tc>
      </w:tr>
      <w:tr w:rsidR="00F24E18" w:rsidRPr="00D624B3" w14:paraId="20C2C51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21FF5FB"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6F2C68E2"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15C0A9FA"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1B45A9A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w:t>
            </w:r>
          </w:p>
        </w:tc>
        <w:tc>
          <w:tcPr>
            <w:tcW w:w="982" w:type="pct"/>
            <w:tcBorders>
              <w:top w:val="nil"/>
              <w:left w:val="nil"/>
              <w:bottom w:val="single" w:sz="4" w:space="0" w:color="auto"/>
              <w:right w:val="single" w:sz="4" w:space="0" w:color="auto"/>
            </w:tcBorders>
            <w:shd w:val="clear" w:color="auto" w:fill="auto"/>
            <w:noWrap/>
            <w:vAlign w:val="center"/>
            <w:hideMark/>
          </w:tcPr>
          <w:p w14:paraId="5A8AFAC2"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8.864.939</w:t>
            </w:r>
          </w:p>
        </w:tc>
      </w:tr>
      <w:tr w:rsidR="00F24E18" w:rsidRPr="00D624B3" w14:paraId="4E2C0C0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B0EAF75"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2D6E01A2"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70416D81"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1912DCE9"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w:t>
            </w:r>
          </w:p>
        </w:tc>
        <w:tc>
          <w:tcPr>
            <w:tcW w:w="982" w:type="pct"/>
            <w:tcBorders>
              <w:top w:val="nil"/>
              <w:left w:val="nil"/>
              <w:bottom w:val="single" w:sz="4" w:space="0" w:color="auto"/>
              <w:right w:val="single" w:sz="4" w:space="0" w:color="auto"/>
            </w:tcBorders>
            <w:shd w:val="clear" w:color="auto" w:fill="auto"/>
            <w:noWrap/>
            <w:vAlign w:val="center"/>
            <w:hideMark/>
          </w:tcPr>
          <w:p w14:paraId="03B1919E"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4.499.239</w:t>
            </w:r>
          </w:p>
        </w:tc>
      </w:tr>
      <w:tr w:rsidR="00F24E18" w:rsidRPr="00D624B3" w14:paraId="49BF9F42"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AD53F49"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E97A7C"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Konkurenčni postopek s pogajanji</w:t>
            </w:r>
          </w:p>
        </w:tc>
        <w:tc>
          <w:tcPr>
            <w:tcW w:w="448" w:type="pct"/>
            <w:tcBorders>
              <w:top w:val="nil"/>
              <w:left w:val="nil"/>
              <w:bottom w:val="single" w:sz="4" w:space="0" w:color="auto"/>
              <w:right w:val="single" w:sz="4" w:space="0" w:color="auto"/>
            </w:tcBorders>
            <w:shd w:val="clear" w:color="auto" w:fill="auto"/>
            <w:noWrap/>
            <w:vAlign w:val="center"/>
            <w:hideMark/>
          </w:tcPr>
          <w:p w14:paraId="650CABE7"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322BBA59"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41</w:t>
            </w:r>
          </w:p>
        </w:tc>
        <w:tc>
          <w:tcPr>
            <w:tcW w:w="982" w:type="pct"/>
            <w:tcBorders>
              <w:top w:val="nil"/>
              <w:left w:val="nil"/>
              <w:bottom w:val="single" w:sz="4" w:space="0" w:color="auto"/>
              <w:right w:val="single" w:sz="4" w:space="0" w:color="auto"/>
            </w:tcBorders>
            <w:shd w:val="clear" w:color="auto" w:fill="auto"/>
            <w:noWrap/>
            <w:vAlign w:val="center"/>
            <w:hideMark/>
          </w:tcPr>
          <w:p w14:paraId="5298C4B8"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39.084.971</w:t>
            </w:r>
          </w:p>
        </w:tc>
      </w:tr>
      <w:tr w:rsidR="00F24E18" w:rsidRPr="00D624B3" w14:paraId="5E78A666"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74D8DB4"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55420D5A"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6207232A"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46DCEA8F"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66</w:t>
            </w:r>
          </w:p>
        </w:tc>
        <w:tc>
          <w:tcPr>
            <w:tcW w:w="982" w:type="pct"/>
            <w:tcBorders>
              <w:top w:val="nil"/>
              <w:left w:val="nil"/>
              <w:bottom w:val="single" w:sz="4" w:space="0" w:color="auto"/>
              <w:right w:val="single" w:sz="4" w:space="0" w:color="auto"/>
            </w:tcBorders>
            <w:shd w:val="clear" w:color="auto" w:fill="auto"/>
            <w:noWrap/>
            <w:vAlign w:val="center"/>
            <w:hideMark/>
          </w:tcPr>
          <w:p w14:paraId="241F43C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116.665.189</w:t>
            </w:r>
          </w:p>
        </w:tc>
      </w:tr>
      <w:tr w:rsidR="00F24E18" w:rsidRPr="00D624B3" w14:paraId="42608721"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5948739"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3E146C53"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308C8518"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19DAB480"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39</w:t>
            </w:r>
          </w:p>
        </w:tc>
        <w:tc>
          <w:tcPr>
            <w:tcW w:w="982" w:type="pct"/>
            <w:tcBorders>
              <w:top w:val="nil"/>
              <w:left w:val="nil"/>
              <w:bottom w:val="single" w:sz="4" w:space="0" w:color="auto"/>
              <w:right w:val="single" w:sz="4" w:space="0" w:color="auto"/>
            </w:tcBorders>
            <w:shd w:val="clear" w:color="auto" w:fill="auto"/>
            <w:noWrap/>
            <w:vAlign w:val="center"/>
            <w:hideMark/>
          </w:tcPr>
          <w:p w14:paraId="764B509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153.569.591</w:t>
            </w:r>
          </w:p>
        </w:tc>
      </w:tr>
      <w:tr w:rsidR="00F24E18" w:rsidRPr="00D624B3" w14:paraId="7266FBF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C2CCCA4"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B36647"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Odprti postopek</w:t>
            </w:r>
          </w:p>
        </w:tc>
        <w:tc>
          <w:tcPr>
            <w:tcW w:w="448" w:type="pct"/>
            <w:tcBorders>
              <w:top w:val="nil"/>
              <w:left w:val="nil"/>
              <w:bottom w:val="single" w:sz="4" w:space="0" w:color="auto"/>
              <w:right w:val="single" w:sz="4" w:space="0" w:color="auto"/>
            </w:tcBorders>
            <w:shd w:val="clear" w:color="auto" w:fill="auto"/>
            <w:noWrap/>
            <w:vAlign w:val="center"/>
            <w:hideMark/>
          </w:tcPr>
          <w:p w14:paraId="56677C32"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5B14722A"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1.025</w:t>
            </w:r>
          </w:p>
        </w:tc>
        <w:tc>
          <w:tcPr>
            <w:tcW w:w="982" w:type="pct"/>
            <w:tcBorders>
              <w:top w:val="nil"/>
              <w:left w:val="nil"/>
              <w:bottom w:val="single" w:sz="4" w:space="0" w:color="auto"/>
              <w:right w:val="single" w:sz="4" w:space="0" w:color="auto"/>
            </w:tcBorders>
            <w:shd w:val="clear" w:color="auto" w:fill="auto"/>
            <w:noWrap/>
            <w:vAlign w:val="center"/>
            <w:hideMark/>
          </w:tcPr>
          <w:p w14:paraId="3A6C9398"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1.147.876.937</w:t>
            </w:r>
          </w:p>
        </w:tc>
      </w:tr>
      <w:tr w:rsidR="00F24E18" w:rsidRPr="00D624B3" w14:paraId="541A506A"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3DE2DF1"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2D955B55"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55DD8B31"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2F31C34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710</w:t>
            </w:r>
          </w:p>
        </w:tc>
        <w:tc>
          <w:tcPr>
            <w:tcW w:w="982" w:type="pct"/>
            <w:tcBorders>
              <w:top w:val="nil"/>
              <w:left w:val="nil"/>
              <w:bottom w:val="single" w:sz="4" w:space="0" w:color="auto"/>
              <w:right w:val="single" w:sz="4" w:space="0" w:color="auto"/>
            </w:tcBorders>
            <w:shd w:val="clear" w:color="auto" w:fill="auto"/>
            <w:noWrap/>
            <w:vAlign w:val="center"/>
            <w:hideMark/>
          </w:tcPr>
          <w:p w14:paraId="231E150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1.427.570.746</w:t>
            </w:r>
          </w:p>
        </w:tc>
      </w:tr>
      <w:tr w:rsidR="00F24E18" w:rsidRPr="00D624B3" w14:paraId="00B4BF3A"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08BD14C"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5EE8FB78"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2B04008A"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53956EB8"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40</w:t>
            </w:r>
          </w:p>
        </w:tc>
        <w:tc>
          <w:tcPr>
            <w:tcW w:w="982" w:type="pct"/>
            <w:tcBorders>
              <w:top w:val="nil"/>
              <w:left w:val="nil"/>
              <w:bottom w:val="single" w:sz="4" w:space="0" w:color="auto"/>
              <w:right w:val="single" w:sz="4" w:space="0" w:color="auto"/>
            </w:tcBorders>
            <w:shd w:val="clear" w:color="auto" w:fill="auto"/>
            <w:noWrap/>
            <w:vAlign w:val="center"/>
            <w:hideMark/>
          </w:tcPr>
          <w:p w14:paraId="26C578B7"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264.122.636</w:t>
            </w:r>
          </w:p>
        </w:tc>
      </w:tr>
      <w:tr w:rsidR="00F24E18" w:rsidRPr="00D624B3" w14:paraId="3E568558"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118D722"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01FCA3"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Omejeni postopek</w:t>
            </w:r>
          </w:p>
        </w:tc>
        <w:tc>
          <w:tcPr>
            <w:tcW w:w="448" w:type="pct"/>
            <w:tcBorders>
              <w:top w:val="nil"/>
              <w:left w:val="nil"/>
              <w:bottom w:val="single" w:sz="4" w:space="0" w:color="auto"/>
              <w:right w:val="single" w:sz="4" w:space="0" w:color="auto"/>
            </w:tcBorders>
            <w:shd w:val="clear" w:color="auto" w:fill="auto"/>
            <w:noWrap/>
            <w:vAlign w:val="center"/>
            <w:hideMark/>
          </w:tcPr>
          <w:p w14:paraId="6445AA8E"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5FACE7A8"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163</w:t>
            </w:r>
          </w:p>
        </w:tc>
        <w:tc>
          <w:tcPr>
            <w:tcW w:w="982" w:type="pct"/>
            <w:tcBorders>
              <w:top w:val="nil"/>
              <w:left w:val="nil"/>
              <w:bottom w:val="single" w:sz="4" w:space="0" w:color="auto"/>
              <w:right w:val="single" w:sz="4" w:space="0" w:color="auto"/>
            </w:tcBorders>
            <w:shd w:val="clear" w:color="auto" w:fill="auto"/>
            <w:noWrap/>
            <w:vAlign w:val="center"/>
            <w:hideMark/>
          </w:tcPr>
          <w:p w14:paraId="074006EE"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490.523.947</w:t>
            </w:r>
          </w:p>
        </w:tc>
      </w:tr>
      <w:tr w:rsidR="00F24E18" w:rsidRPr="00D624B3" w14:paraId="3887A517"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846533E"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5CF435EE"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1FC5E572"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0600152B"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51</w:t>
            </w:r>
          </w:p>
        </w:tc>
        <w:tc>
          <w:tcPr>
            <w:tcW w:w="982" w:type="pct"/>
            <w:tcBorders>
              <w:top w:val="nil"/>
              <w:left w:val="nil"/>
              <w:bottom w:val="single" w:sz="4" w:space="0" w:color="auto"/>
              <w:right w:val="single" w:sz="4" w:space="0" w:color="auto"/>
            </w:tcBorders>
            <w:shd w:val="clear" w:color="auto" w:fill="auto"/>
            <w:noWrap/>
            <w:vAlign w:val="center"/>
            <w:hideMark/>
          </w:tcPr>
          <w:p w14:paraId="4C38C26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17.767.244</w:t>
            </w:r>
          </w:p>
        </w:tc>
      </w:tr>
      <w:tr w:rsidR="00F24E18" w:rsidRPr="00D624B3" w14:paraId="2BC6DF02"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6D546DC"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7F0C4826"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1538DF08"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41D0E7E2"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30</w:t>
            </w:r>
          </w:p>
        </w:tc>
        <w:tc>
          <w:tcPr>
            <w:tcW w:w="982" w:type="pct"/>
            <w:tcBorders>
              <w:top w:val="nil"/>
              <w:left w:val="nil"/>
              <w:bottom w:val="single" w:sz="4" w:space="0" w:color="auto"/>
              <w:right w:val="single" w:sz="4" w:space="0" w:color="auto"/>
            </w:tcBorders>
            <w:shd w:val="clear" w:color="auto" w:fill="auto"/>
            <w:noWrap/>
            <w:vAlign w:val="center"/>
            <w:hideMark/>
          </w:tcPr>
          <w:p w14:paraId="065CA8D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57.962.719</w:t>
            </w:r>
          </w:p>
        </w:tc>
      </w:tr>
      <w:tr w:rsidR="00F24E18" w:rsidRPr="00D624B3" w14:paraId="0DB51AE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7661676"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tcBorders>
              <w:top w:val="nil"/>
              <w:left w:val="nil"/>
              <w:bottom w:val="single" w:sz="4" w:space="0" w:color="auto"/>
              <w:right w:val="single" w:sz="4" w:space="0" w:color="auto"/>
            </w:tcBorders>
            <w:shd w:val="clear" w:color="auto" w:fill="auto"/>
            <w:noWrap/>
            <w:vAlign w:val="center"/>
            <w:hideMark/>
          </w:tcPr>
          <w:p w14:paraId="72787253"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Partnerstvo za inovacije</w:t>
            </w:r>
          </w:p>
        </w:tc>
        <w:tc>
          <w:tcPr>
            <w:tcW w:w="448" w:type="pct"/>
            <w:tcBorders>
              <w:top w:val="nil"/>
              <w:left w:val="nil"/>
              <w:bottom w:val="single" w:sz="4" w:space="0" w:color="auto"/>
              <w:right w:val="single" w:sz="4" w:space="0" w:color="auto"/>
            </w:tcBorders>
            <w:shd w:val="clear" w:color="auto" w:fill="auto"/>
            <w:noWrap/>
            <w:vAlign w:val="center"/>
            <w:hideMark/>
          </w:tcPr>
          <w:p w14:paraId="11C6C29B"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11246FE1"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w:t>
            </w:r>
          </w:p>
        </w:tc>
        <w:tc>
          <w:tcPr>
            <w:tcW w:w="982" w:type="pct"/>
            <w:tcBorders>
              <w:top w:val="nil"/>
              <w:left w:val="nil"/>
              <w:bottom w:val="single" w:sz="4" w:space="0" w:color="auto"/>
              <w:right w:val="single" w:sz="4" w:space="0" w:color="auto"/>
            </w:tcBorders>
            <w:shd w:val="clear" w:color="auto" w:fill="auto"/>
            <w:noWrap/>
            <w:vAlign w:val="center"/>
            <w:hideMark/>
          </w:tcPr>
          <w:p w14:paraId="3DE4CDBA"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79.800</w:t>
            </w:r>
          </w:p>
        </w:tc>
      </w:tr>
      <w:tr w:rsidR="00F24E18" w:rsidRPr="00D624B3" w14:paraId="23DFE448"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7D5206C"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49C4A6"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Postopek naročila male vrednosti</w:t>
            </w:r>
          </w:p>
        </w:tc>
        <w:tc>
          <w:tcPr>
            <w:tcW w:w="448" w:type="pct"/>
            <w:tcBorders>
              <w:top w:val="nil"/>
              <w:left w:val="nil"/>
              <w:bottom w:val="single" w:sz="4" w:space="0" w:color="auto"/>
              <w:right w:val="single" w:sz="4" w:space="0" w:color="auto"/>
            </w:tcBorders>
            <w:shd w:val="clear" w:color="auto" w:fill="auto"/>
            <w:noWrap/>
            <w:vAlign w:val="center"/>
            <w:hideMark/>
          </w:tcPr>
          <w:p w14:paraId="1709E00F"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70E56B6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1.183</w:t>
            </w:r>
          </w:p>
        </w:tc>
        <w:tc>
          <w:tcPr>
            <w:tcW w:w="982" w:type="pct"/>
            <w:tcBorders>
              <w:top w:val="nil"/>
              <w:left w:val="nil"/>
              <w:bottom w:val="single" w:sz="4" w:space="0" w:color="auto"/>
              <w:right w:val="single" w:sz="4" w:space="0" w:color="auto"/>
            </w:tcBorders>
            <w:shd w:val="clear" w:color="auto" w:fill="auto"/>
            <w:noWrap/>
            <w:vAlign w:val="center"/>
            <w:hideMark/>
          </w:tcPr>
          <w:p w14:paraId="2C57157B"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107.150.774</w:t>
            </w:r>
          </w:p>
        </w:tc>
      </w:tr>
      <w:tr w:rsidR="00F24E18" w:rsidRPr="00D624B3" w14:paraId="10D1A3D2"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F455467"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01C3E0BE"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52918D06"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34DBFB45"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938</w:t>
            </w:r>
          </w:p>
        </w:tc>
        <w:tc>
          <w:tcPr>
            <w:tcW w:w="982" w:type="pct"/>
            <w:tcBorders>
              <w:top w:val="nil"/>
              <w:left w:val="nil"/>
              <w:bottom w:val="single" w:sz="4" w:space="0" w:color="auto"/>
              <w:right w:val="single" w:sz="4" w:space="0" w:color="auto"/>
            </w:tcBorders>
            <w:shd w:val="clear" w:color="auto" w:fill="auto"/>
            <w:noWrap/>
            <w:vAlign w:val="center"/>
            <w:hideMark/>
          </w:tcPr>
          <w:p w14:paraId="7643599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89.696.984</w:t>
            </w:r>
          </w:p>
        </w:tc>
      </w:tr>
      <w:tr w:rsidR="00F24E18" w:rsidRPr="00D624B3" w14:paraId="63B76BB5"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586635D"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1F9EC9D8"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29B21BE4"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30E4CB0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894</w:t>
            </w:r>
          </w:p>
        </w:tc>
        <w:tc>
          <w:tcPr>
            <w:tcW w:w="982" w:type="pct"/>
            <w:tcBorders>
              <w:top w:val="nil"/>
              <w:left w:val="nil"/>
              <w:bottom w:val="single" w:sz="4" w:space="0" w:color="auto"/>
              <w:right w:val="single" w:sz="4" w:space="0" w:color="auto"/>
            </w:tcBorders>
            <w:shd w:val="clear" w:color="auto" w:fill="auto"/>
            <w:noWrap/>
            <w:vAlign w:val="center"/>
            <w:hideMark/>
          </w:tcPr>
          <w:p w14:paraId="544E87AA"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454.556.442</w:t>
            </w:r>
          </w:p>
        </w:tc>
      </w:tr>
      <w:tr w:rsidR="00F24E18" w:rsidRPr="00D624B3" w14:paraId="088D39FB"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EABEEA0"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EE2ADE"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Postopek s pogajanji brez predhodne objave</w:t>
            </w:r>
          </w:p>
        </w:tc>
        <w:tc>
          <w:tcPr>
            <w:tcW w:w="448" w:type="pct"/>
            <w:tcBorders>
              <w:top w:val="nil"/>
              <w:left w:val="nil"/>
              <w:bottom w:val="single" w:sz="4" w:space="0" w:color="auto"/>
              <w:right w:val="single" w:sz="4" w:space="0" w:color="auto"/>
            </w:tcBorders>
            <w:shd w:val="clear" w:color="auto" w:fill="auto"/>
            <w:noWrap/>
            <w:vAlign w:val="center"/>
            <w:hideMark/>
          </w:tcPr>
          <w:p w14:paraId="6FEF7012"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4FAB5242"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93</w:t>
            </w:r>
          </w:p>
        </w:tc>
        <w:tc>
          <w:tcPr>
            <w:tcW w:w="982" w:type="pct"/>
            <w:tcBorders>
              <w:top w:val="nil"/>
              <w:left w:val="nil"/>
              <w:bottom w:val="single" w:sz="4" w:space="0" w:color="auto"/>
              <w:right w:val="single" w:sz="4" w:space="0" w:color="auto"/>
            </w:tcBorders>
            <w:shd w:val="clear" w:color="auto" w:fill="auto"/>
            <w:noWrap/>
            <w:vAlign w:val="center"/>
            <w:hideMark/>
          </w:tcPr>
          <w:p w14:paraId="7A7F8138"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87.589.535</w:t>
            </w:r>
          </w:p>
        </w:tc>
      </w:tr>
      <w:tr w:rsidR="00F24E18" w:rsidRPr="00D624B3" w14:paraId="547F6619"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2CF616BF"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77D35894"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01FA12A4"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71A9CE34"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234</w:t>
            </w:r>
          </w:p>
        </w:tc>
        <w:tc>
          <w:tcPr>
            <w:tcW w:w="982" w:type="pct"/>
            <w:tcBorders>
              <w:top w:val="nil"/>
              <w:left w:val="nil"/>
              <w:bottom w:val="single" w:sz="4" w:space="0" w:color="auto"/>
              <w:right w:val="single" w:sz="4" w:space="0" w:color="auto"/>
            </w:tcBorders>
            <w:shd w:val="clear" w:color="auto" w:fill="auto"/>
            <w:noWrap/>
            <w:vAlign w:val="center"/>
            <w:hideMark/>
          </w:tcPr>
          <w:p w14:paraId="1A589CA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139.040.874</w:t>
            </w:r>
          </w:p>
        </w:tc>
      </w:tr>
      <w:tr w:rsidR="00F24E18" w:rsidRPr="00D624B3" w14:paraId="0946217D"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67CB156"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68AC0B6E"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2B3F56F9"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37F86A65"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38</w:t>
            </w:r>
          </w:p>
        </w:tc>
        <w:tc>
          <w:tcPr>
            <w:tcW w:w="982" w:type="pct"/>
            <w:tcBorders>
              <w:top w:val="nil"/>
              <w:left w:val="nil"/>
              <w:bottom w:val="single" w:sz="4" w:space="0" w:color="auto"/>
              <w:right w:val="single" w:sz="4" w:space="0" w:color="auto"/>
            </w:tcBorders>
            <w:shd w:val="clear" w:color="auto" w:fill="auto"/>
            <w:noWrap/>
            <w:vAlign w:val="center"/>
            <w:hideMark/>
          </w:tcPr>
          <w:p w14:paraId="501679A9"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28.862.234</w:t>
            </w:r>
          </w:p>
        </w:tc>
      </w:tr>
      <w:tr w:rsidR="00F24E18" w:rsidRPr="00D624B3" w14:paraId="59D99E8F"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7F6AC3"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Infrastrukturno</w:t>
            </w: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2F9713"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Konkurenčni dialog</w:t>
            </w:r>
          </w:p>
        </w:tc>
        <w:tc>
          <w:tcPr>
            <w:tcW w:w="448" w:type="pct"/>
            <w:tcBorders>
              <w:top w:val="nil"/>
              <w:left w:val="nil"/>
              <w:bottom w:val="single" w:sz="4" w:space="0" w:color="auto"/>
              <w:right w:val="single" w:sz="4" w:space="0" w:color="auto"/>
            </w:tcBorders>
            <w:shd w:val="clear" w:color="auto" w:fill="auto"/>
            <w:noWrap/>
            <w:vAlign w:val="center"/>
            <w:hideMark/>
          </w:tcPr>
          <w:p w14:paraId="35C3A4BF"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2D93FBFE"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6</w:t>
            </w:r>
          </w:p>
        </w:tc>
        <w:tc>
          <w:tcPr>
            <w:tcW w:w="982" w:type="pct"/>
            <w:tcBorders>
              <w:top w:val="nil"/>
              <w:left w:val="nil"/>
              <w:bottom w:val="single" w:sz="4" w:space="0" w:color="auto"/>
              <w:right w:val="single" w:sz="4" w:space="0" w:color="auto"/>
            </w:tcBorders>
            <w:shd w:val="clear" w:color="auto" w:fill="auto"/>
            <w:noWrap/>
            <w:vAlign w:val="center"/>
            <w:hideMark/>
          </w:tcPr>
          <w:p w14:paraId="2137197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1.786.690</w:t>
            </w:r>
          </w:p>
        </w:tc>
      </w:tr>
      <w:tr w:rsidR="00F24E18" w:rsidRPr="00D624B3" w14:paraId="3F067059"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CA4BF1A"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2743F22F"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74AEAF37"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6C84CF62"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w:t>
            </w:r>
          </w:p>
        </w:tc>
        <w:tc>
          <w:tcPr>
            <w:tcW w:w="982" w:type="pct"/>
            <w:tcBorders>
              <w:top w:val="nil"/>
              <w:left w:val="nil"/>
              <w:bottom w:val="single" w:sz="4" w:space="0" w:color="auto"/>
              <w:right w:val="single" w:sz="4" w:space="0" w:color="auto"/>
            </w:tcBorders>
            <w:shd w:val="clear" w:color="auto" w:fill="auto"/>
            <w:noWrap/>
            <w:vAlign w:val="center"/>
            <w:hideMark/>
          </w:tcPr>
          <w:p w14:paraId="3E14CCE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1.601.590</w:t>
            </w:r>
          </w:p>
        </w:tc>
      </w:tr>
      <w:tr w:rsidR="00F24E18" w:rsidRPr="00D624B3" w14:paraId="29242D1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510CE69"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20CB884F"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3B390369"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15449C47"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w:t>
            </w:r>
          </w:p>
        </w:tc>
        <w:tc>
          <w:tcPr>
            <w:tcW w:w="982" w:type="pct"/>
            <w:tcBorders>
              <w:top w:val="nil"/>
              <w:left w:val="nil"/>
              <w:bottom w:val="single" w:sz="4" w:space="0" w:color="auto"/>
              <w:right w:val="single" w:sz="4" w:space="0" w:color="auto"/>
            </w:tcBorders>
            <w:shd w:val="clear" w:color="auto" w:fill="auto"/>
            <w:noWrap/>
            <w:vAlign w:val="center"/>
            <w:hideMark/>
          </w:tcPr>
          <w:p w14:paraId="042C0E10"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214.275.335</w:t>
            </w:r>
          </w:p>
        </w:tc>
      </w:tr>
      <w:tr w:rsidR="00F24E18" w:rsidRPr="00D624B3" w14:paraId="2EE5C1BC"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BE39F4E"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635126"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Odprti postopek</w:t>
            </w:r>
          </w:p>
        </w:tc>
        <w:tc>
          <w:tcPr>
            <w:tcW w:w="448" w:type="pct"/>
            <w:tcBorders>
              <w:top w:val="nil"/>
              <w:left w:val="nil"/>
              <w:bottom w:val="single" w:sz="4" w:space="0" w:color="auto"/>
              <w:right w:val="single" w:sz="4" w:space="0" w:color="auto"/>
            </w:tcBorders>
            <w:shd w:val="clear" w:color="auto" w:fill="auto"/>
            <w:noWrap/>
            <w:vAlign w:val="center"/>
            <w:hideMark/>
          </w:tcPr>
          <w:p w14:paraId="7B2CE229"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03ED4A6A"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129</w:t>
            </w:r>
          </w:p>
        </w:tc>
        <w:tc>
          <w:tcPr>
            <w:tcW w:w="982" w:type="pct"/>
            <w:tcBorders>
              <w:top w:val="nil"/>
              <w:left w:val="nil"/>
              <w:bottom w:val="single" w:sz="4" w:space="0" w:color="auto"/>
              <w:right w:val="single" w:sz="4" w:space="0" w:color="auto"/>
            </w:tcBorders>
            <w:shd w:val="clear" w:color="auto" w:fill="auto"/>
            <w:noWrap/>
            <w:vAlign w:val="center"/>
            <w:hideMark/>
          </w:tcPr>
          <w:p w14:paraId="414C8060"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384.319.587</w:t>
            </w:r>
          </w:p>
        </w:tc>
      </w:tr>
      <w:tr w:rsidR="00F24E18" w:rsidRPr="00D624B3" w14:paraId="00D03CAF"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F46217D"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007F8A3C"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37E6E0C3"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2F495ED3"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62</w:t>
            </w:r>
          </w:p>
        </w:tc>
        <w:tc>
          <w:tcPr>
            <w:tcW w:w="982" w:type="pct"/>
            <w:tcBorders>
              <w:top w:val="nil"/>
              <w:left w:val="nil"/>
              <w:bottom w:val="single" w:sz="4" w:space="0" w:color="auto"/>
              <w:right w:val="single" w:sz="4" w:space="0" w:color="auto"/>
            </w:tcBorders>
            <w:shd w:val="clear" w:color="auto" w:fill="auto"/>
            <w:noWrap/>
            <w:vAlign w:val="center"/>
            <w:hideMark/>
          </w:tcPr>
          <w:p w14:paraId="2CC79C9F"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60.780.258</w:t>
            </w:r>
          </w:p>
        </w:tc>
      </w:tr>
      <w:tr w:rsidR="00F24E18" w:rsidRPr="00D624B3" w14:paraId="314D1BB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FB4AC89"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614BEEFE"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391C68CE"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11ED7B35"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18</w:t>
            </w:r>
          </w:p>
        </w:tc>
        <w:tc>
          <w:tcPr>
            <w:tcW w:w="982" w:type="pct"/>
            <w:tcBorders>
              <w:top w:val="nil"/>
              <w:left w:val="nil"/>
              <w:bottom w:val="single" w:sz="4" w:space="0" w:color="auto"/>
              <w:right w:val="single" w:sz="4" w:space="0" w:color="auto"/>
            </w:tcBorders>
            <w:shd w:val="clear" w:color="auto" w:fill="auto"/>
            <w:noWrap/>
            <w:vAlign w:val="center"/>
            <w:hideMark/>
          </w:tcPr>
          <w:p w14:paraId="5E9C67F5"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158.790.598</w:t>
            </w:r>
          </w:p>
        </w:tc>
      </w:tr>
      <w:tr w:rsidR="00F24E18" w:rsidRPr="00D624B3" w14:paraId="5C3AC264"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62C082D"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428D01"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Omejeni postopek</w:t>
            </w:r>
          </w:p>
        </w:tc>
        <w:tc>
          <w:tcPr>
            <w:tcW w:w="448" w:type="pct"/>
            <w:tcBorders>
              <w:top w:val="nil"/>
              <w:left w:val="nil"/>
              <w:bottom w:val="single" w:sz="4" w:space="0" w:color="auto"/>
              <w:right w:val="single" w:sz="4" w:space="0" w:color="auto"/>
            </w:tcBorders>
            <w:shd w:val="clear" w:color="auto" w:fill="auto"/>
            <w:noWrap/>
            <w:vAlign w:val="center"/>
            <w:hideMark/>
          </w:tcPr>
          <w:p w14:paraId="1E280D26"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018D1D9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63</w:t>
            </w:r>
          </w:p>
        </w:tc>
        <w:tc>
          <w:tcPr>
            <w:tcW w:w="982" w:type="pct"/>
            <w:tcBorders>
              <w:top w:val="nil"/>
              <w:left w:val="nil"/>
              <w:bottom w:val="single" w:sz="4" w:space="0" w:color="auto"/>
              <w:right w:val="single" w:sz="4" w:space="0" w:color="auto"/>
            </w:tcBorders>
            <w:shd w:val="clear" w:color="auto" w:fill="auto"/>
            <w:noWrap/>
            <w:vAlign w:val="center"/>
            <w:hideMark/>
          </w:tcPr>
          <w:p w14:paraId="1DB5A2FF"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100.927.459</w:t>
            </w:r>
          </w:p>
        </w:tc>
      </w:tr>
      <w:tr w:rsidR="00F24E18" w:rsidRPr="00D624B3" w14:paraId="49BD0559"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5404CAF"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1ECAA959"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5FCF71A7"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344807F5"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17</w:t>
            </w:r>
          </w:p>
        </w:tc>
        <w:tc>
          <w:tcPr>
            <w:tcW w:w="982" w:type="pct"/>
            <w:tcBorders>
              <w:top w:val="nil"/>
              <w:left w:val="nil"/>
              <w:bottom w:val="single" w:sz="4" w:space="0" w:color="auto"/>
              <w:right w:val="single" w:sz="4" w:space="0" w:color="auto"/>
            </w:tcBorders>
            <w:shd w:val="clear" w:color="auto" w:fill="auto"/>
            <w:noWrap/>
            <w:vAlign w:val="center"/>
            <w:hideMark/>
          </w:tcPr>
          <w:p w14:paraId="4A66183F"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76.617.260</w:t>
            </w:r>
          </w:p>
        </w:tc>
      </w:tr>
      <w:tr w:rsidR="00F24E18" w:rsidRPr="00D624B3" w14:paraId="67F7B1E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38306B7"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04A57D17"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5BBC9054"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6BF9D076"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72</w:t>
            </w:r>
          </w:p>
        </w:tc>
        <w:tc>
          <w:tcPr>
            <w:tcW w:w="982" w:type="pct"/>
            <w:tcBorders>
              <w:top w:val="nil"/>
              <w:left w:val="nil"/>
              <w:bottom w:val="single" w:sz="4" w:space="0" w:color="auto"/>
              <w:right w:val="single" w:sz="4" w:space="0" w:color="auto"/>
            </w:tcBorders>
            <w:shd w:val="clear" w:color="auto" w:fill="auto"/>
            <w:noWrap/>
            <w:vAlign w:val="center"/>
            <w:hideMark/>
          </w:tcPr>
          <w:p w14:paraId="69BF38E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6.956.430</w:t>
            </w:r>
          </w:p>
        </w:tc>
      </w:tr>
      <w:tr w:rsidR="00F24E18" w:rsidRPr="00D624B3" w14:paraId="66264457"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247050D8"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DA4038"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Postopek naročila male vrednosti</w:t>
            </w:r>
          </w:p>
        </w:tc>
        <w:tc>
          <w:tcPr>
            <w:tcW w:w="448" w:type="pct"/>
            <w:tcBorders>
              <w:top w:val="nil"/>
              <w:left w:val="nil"/>
              <w:bottom w:val="single" w:sz="4" w:space="0" w:color="auto"/>
              <w:right w:val="single" w:sz="4" w:space="0" w:color="auto"/>
            </w:tcBorders>
            <w:shd w:val="clear" w:color="auto" w:fill="auto"/>
            <w:noWrap/>
            <w:vAlign w:val="center"/>
            <w:hideMark/>
          </w:tcPr>
          <w:p w14:paraId="66DE5E56"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7BD5F9B5"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347</w:t>
            </w:r>
          </w:p>
        </w:tc>
        <w:tc>
          <w:tcPr>
            <w:tcW w:w="982" w:type="pct"/>
            <w:tcBorders>
              <w:top w:val="nil"/>
              <w:left w:val="nil"/>
              <w:bottom w:val="single" w:sz="4" w:space="0" w:color="auto"/>
              <w:right w:val="single" w:sz="4" w:space="0" w:color="auto"/>
            </w:tcBorders>
            <w:shd w:val="clear" w:color="auto" w:fill="auto"/>
            <w:noWrap/>
            <w:vAlign w:val="center"/>
            <w:hideMark/>
          </w:tcPr>
          <w:p w14:paraId="5AD9873E"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55.364.120</w:t>
            </w:r>
          </w:p>
        </w:tc>
      </w:tr>
      <w:tr w:rsidR="00F24E18" w:rsidRPr="00D624B3" w14:paraId="020C63BB"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518B03E"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7F2E3747"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2B0B8931"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749AF3F1"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306</w:t>
            </w:r>
          </w:p>
        </w:tc>
        <w:tc>
          <w:tcPr>
            <w:tcW w:w="982" w:type="pct"/>
            <w:tcBorders>
              <w:top w:val="nil"/>
              <w:left w:val="nil"/>
              <w:bottom w:val="single" w:sz="4" w:space="0" w:color="auto"/>
              <w:right w:val="single" w:sz="4" w:space="0" w:color="auto"/>
            </w:tcBorders>
            <w:shd w:val="clear" w:color="auto" w:fill="auto"/>
            <w:noWrap/>
            <w:vAlign w:val="center"/>
            <w:hideMark/>
          </w:tcPr>
          <w:p w14:paraId="778D47E7"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48.246.669</w:t>
            </w:r>
          </w:p>
        </w:tc>
      </w:tr>
      <w:tr w:rsidR="00F24E18" w:rsidRPr="00D624B3" w14:paraId="64A1E24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05AA552"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208510F6"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2BE87380"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0FA3CFF1"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136</w:t>
            </w:r>
          </w:p>
        </w:tc>
        <w:tc>
          <w:tcPr>
            <w:tcW w:w="982" w:type="pct"/>
            <w:tcBorders>
              <w:top w:val="nil"/>
              <w:left w:val="nil"/>
              <w:bottom w:val="single" w:sz="4" w:space="0" w:color="auto"/>
              <w:right w:val="single" w:sz="4" w:space="0" w:color="auto"/>
            </w:tcBorders>
            <w:shd w:val="clear" w:color="auto" w:fill="auto"/>
            <w:noWrap/>
            <w:vAlign w:val="center"/>
            <w:hideMark/>
          </w:tcPr>
          <w:p w14:paraId="1A6D0D3F"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55.548.079</w:t>
            </w:r>
          </w:p>
        </w:tc>
      </w:tr>
      <w:tr w:rsidR="00F24E18" w:rsidRPr="00D624B3" w14:paraId="5C2AA064"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173C1EC"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E350AD"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Postopek s pogajanji brez predhodne objave</w:t>
            </w:r>
          </w:p>
        </w:tc>
        <w:tc>
          <w:tcPr>
            <w:tcW w:w="448" w:type="pct"/>
            <w:tcBorders>
              <w:top w:val="nil"/>
              <w:left w:val="nil"/>
              <w:bottom w:val="single" w:sz="4" w:space="0" w:color="auto"/>
              <w:right w:val="single" w:sz="4" w:space="0" w:color="auto"/>
            </w:tcBorders>
            <w:shd w:val="clear" w:color="auto" w:fill="auto"/>
            <w:noWrap/>
            <w:vAlign w:val="center"/>
            <w:hideMark/>
          </w:tcPr>
          <w:p w14:paraId="6B9AE3CC"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3021F8FB"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100</w:t>
            </w:r>
          </w:p>
        </w:tc>
        <w:tc>
          <w:tcPr>
            <w:tcW w:w="982" w:type="pct"/>
            <w:tcBorders>
              <w:top w:val="nil"/>
              <w:left w:val="nil"/>
              <w:bottom w:val="single" w:sz="4" w:space="0" w:color="auto"/>
              <w:right w:val="single" w:sz="4" w:space="0" w:color="auto"/>
            </w:tcBorders>
            <w:shd w:val="clear" w:color="auto" w:fill="auto"/>
            <w:noWrap/>
            <w:vAlign w:val="center"/>
            <w:hideMark/>
          </w:tcPr>
          <w:p w14:paraId="22597001"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23.602.788</w:t>
            </w:r>
          </w:p>
        </w:tc>
      </w:tr>
      <w:tr w:rsidR="00F24E18" w:rsidRPr="00D624B3" w14:paraId="64121CBB"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A5807D9"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4E3202C6"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6FA131D4"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1601924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83</w:t>
            </w:r>
          </w:p>
        </w:tc>
        <w:tc>
          <w:tcPr>
            <w:tcW w:w="982" w:type="pct"/>
            <w:tcBorders>
              <w:top w:val="nil"/>
              <w:left w:val="nil"/>
              <w:bottom w:val="single" w:sz="4" w:space="0" w:color="auto"/>
              <w:right w:val="single" w:sz="4" w:space="0" w:color="auto"/>
            </w:tcBorders>
            <w:shd w:val="clear" w:color="auto" w:fill="auto"/>
            <w:noWrap/>
            <w:vAlign w:val="center"/>
            <w:hideMark/>
          </w:tcPr>
          <w:p w14:paraId="55561FE3"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33.930.040</w:t>
            </w:r>
          </w:p>
        </w:tc>
      </w:tr>
      <w:tr w:rsidR="00F24E18" w:rsidRPr="00D624B3" w14:paraId="4E3BDF71"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25E526E6"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63120DC9"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46A7B5C1"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2AF48FDF"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15</w:t>
            </w:r>
          </w:p>
        </w:tc>
        <w:tc>
          <w:tcPr>
            <w:tcW w:w="982" w:type="pct"/>
            <w:tcBorders>
              <w:top w:val="nil"/>
              <w:left w:val="nil"/>
              <w:bottom w:val="single" w:sz="4" w:space="0" w:color="auto"/>
              <w:right w:val="single" w:sz="4" w:space="0" w:color="auto"/>
            </w:tcBorders>
            <w:shd w:val="clear" w:color="auto" w:fill="auto"/>
            <w:noWrap/>
            <w:vAlign w:val="center"/>
            <w:hideMark/>
          </w:tcPr>
          <w:p w14:paraId="034020E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3.795.301</w:t>
            </w:r>
          </w:p>
        </w:tc>
      </w:tr>
      <w:tr w:rsidR="00F24E18" w:rsidRPr="00D624B3" w14:paraId="00969C1B"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9F7C67F"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86DBD0"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Postopek s pogajanji po predhodni objavi</w:t>
            </w:r>
          </w:p>
        </w:tc>
        <w:tc>
          <w:tcPr>
            <w:tcW w:w="448" w:type="pct"/>
            <w:tcBorders>
              <w:top w:val="nil"/>
              <w:left w:val="nil"/>
              <w:bottom w:val="single" w:sz="4" w:space="0" w:color="auto"/>
              <w:right w:val="single" w:sz="4" w:space="0" w:color="auto"/>
            </w:tcBorders>
            <w:shd w:val="clear" w:color="auto" w:fill="auto"/>
            <w:noWrap/>
            <w:vAlign w:val="center"/>
            <w:hideMark/>
          </w:tcPr>
          <w:p w14:paraId="0DABA710"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0D34C4E4"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37</w:t>
            </w:r>
          </w:p>
        </w:tc>
        <w:tc>
          <w:tcPr>
            <w:tcW w:w="982" w:type="pct"/>
            <w:tcBorders>
              <w:top w:val="nil"/>
              <w:left w:val="nil"/>
              <w:bottom w:val="single" w:sz="4" w:space="0" w:color="auto"/>
              <w:right w:val="single" w:sz="4" w:space="0" w:color="auto"/>
            </w:tcBorders>
            <w:shd w:val="clear" w:color="auto" w:fill="auto"/>
            <w:noWrap/>
            <w:vAlign w:val="center"/>
            <w:hideMark/>
          </w:tcPr>
          <w:p w14:paraId="3C721B85"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63.806.619</w:t>
            </w:r>
          </w:p>
        </w:tc>
      </w:tr>
      <w:tr w:rsidR="00F24E18" w:rsidRPr="00D624B3" w14:paraId="29DF216B"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2CEF62AB"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76A91010"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4EDA2844"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224790E5"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86</w:t>
            </w:r>
          </w:p>
        </w:tc>
        <w:tc>
          <w:tcPr>
            <w:tcW w:w="982" w:type="pct"/>
            <w:tcBorders>
              <w:top w:val="nil"/>
              <w:left w:val="nil"/>
              <w:bottom w:val="single" w:sz="4" w:space="0" w:color="auto"/>
              <w:right w:val="single" w:sz="4" w:space="0" w:color="auto"/>
            </w:tcBorders>
            <w:shd w:val="clear" w:color="auto" w:fill="auto"/>
            <w:noWrap/>
            <w:vAlign w:val="center"/>
            <w:hideMark/>
          </w:tcPr>
          <w:p w14:paraId="2E8E7304"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130.859.032</w:t>
            </w:r>
          </w:p>
        </w:tc>
      </w:tr>
      <w:tr w:rsidR="00F24E18" w:rsidRPr="00D624B3" w14:paraId="019D306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011CBDA"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75C65D0F"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55ECF3D2"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7E52A45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5</w:t>
            </w:r>
          </w:p>
        </w:tc>
        <w:tc>
          <w:tcPr>
            <w:tcW w:w="982" w:type="pct"/>
            <w:tcBorders>
              <w:top w:val="nil"/>
              <w:left w:val="nil"/>
              <w:bottom w:val="single" w:sz="4" w:space="0" w:color="auto"/>
              <w:right w:val="single" w:sz="4" w:space="0" w:color="auto"/>
            </w:tcBorders>
            <w:shd w:val="clear" w:color="auto" w:fill="auto"/>
            <w:noWrap/>
            <w:vAlign w:val="center"/>
            <w:hideMark/>
          </w:tcPr>
          <w:p w14:paraId="43788543"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19.228.253</w:t>
            </w:r>
          </w:p>
        </w:tc>
      </w:tr>
      <w:tr w:rsidR="00F24E18" w:rsidRPr="00D624B3" w14:paraId="507A1E0B"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55FFAA"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Obrambno</w:t>
            </w: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3DCAFE"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Postopek s pogajanji brez predhodne objave</w:t>
            </w:r>
          </w:p>
        </w:tc>
        <w:tc>
          <w:tcPr>
            <w:tcW w:w="448" w:type="pct"/>
            <w:tcBorders>
              <w:top w:val="nil"/>
              <w:left w:val="nil"/>
              <w:bottom w:val="single" w:sz="4" w:space="0" w:color="auto"/>
              <w:right w:val="single" w:sz="4" w:space="0" w:color="auto"/>
            </w:tcBorders>
            <w:shd w:val="clear" w:color="auto" w:fill="auto"/>
            <w:noWrap/>
            <w:vAlign w:val="center"/>
            <w:hideMark/>
          </w:tcPr>
          <w:p w14:paraId="59A13404"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185571C8"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33</w:t>
            </w:r>
          </w:p>
        </w:tc>
        <w:tc>
          <w:tcPr>
            <w:tcW w:w="982" w:type="pct"/>
            <w:tcBorders>
              <w:top w:val="nil"/>
              <w:left w:val="nil"/>
              <w:bottom w:val="single" w:sz="4" w:space="0" w:color="auto"/>
              <w:right w:val="single" w:sz="4" w:space="0" w:color="auto"/>
            </w:tcBorders>
            <w:shd w:val="clear" w:color="auto" w:fill="auto"/>
            <w:noWrap/>
            <w:vAlign w:val="center"/>
            <w:hideMark/>
          </w:tcPr>
          <w:p w14:paraId="20FACC3E"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32.272.226</w:t>
            </w:r>
          </w:p>
        </w:tc>
      </w:tr>
      <w:tr w:rsidR="00F24E18" w:rsidRPr="00D624B3" w14:paraId="38922A88"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7DF7CAF"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53BF4CF8"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6CF8A89F"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1A69D67F"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21</w:t>
            </w:r>
          </w:p>
        </w:tc>
        <w:tc>
          <w:tcPr>
            <w:tcW w:w="982" w:type="pct"/>
            <w:tcBorders>
              <w:top w:val="nil"/>
              <w:left w:val="nil"/>
              <w:bottom w:val="single" w:sz="4" w:space="0" w:color="auto"/>
              <w:right w:val="single" w:sz="4" w:space="0" w:color="auto"/>
            </w:tcBorders>
            <w:shd w:val="clear" w:color="auto" w:fill="auto"/>
            <w:noWrap/>
            <w:vAlign w:val="center"/>
            <w:hideMark/>
          </w:tcPr>
          <w:p w14:paraId="69568DFE"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17.509.098</w:t>
            </w:r>
          </w:p>
        </w:tc>
      </w:tr>
      <w:tr w:rsidR="00F24E18" w:rsidRPr="00D624B3" w14:paraId="61B7555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A767467"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0D5C7AD3"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2FE0973E"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5616EDE7"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w:t>
            </w:r>
          </w:p>
        </w:tc>
        <w:tc>
          <w:tcPr>
            <w:tcW w:w="982" w:type="pct"/>
            <w:tcBorders>
              <w:top w:val="nil"/>
              <w:left w:val="nil"/>
              <w:bottom w:val="single" w:sz="4" w:space="0" w:color="auto"/>
              <w:right w:val="single" w:sz="4" w:space="0" w:color="auto"/>
            </w:tcBorders>
            <w:shd w:val="clear" w:color="auto" w:fill="auto"/>
            <w:noWrap/>
            <w:vAlign w:val="center"/>
            <w:hideMark/>
          </w:tcPr>
          <w:p w14:paraId="48B1A297"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4.643.298</w:t>
            </w:r>
          </w:p>
        </w:tc>
      </w:tr>
      <w:tr w:rsidR="00F24E18" w:rsidRPr="00D624B3" w14:paraId="460618E9"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152E12C"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952FA5"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Postopek s pogajanji po predhodni objavi</w:t>
            </w:r>
          </w:p>
        </w:tc>
        <w:tc>
          <w:tcPr>
            <w:tcW w:w="448" w:type="pct"/>
            <w:tcBorders>
              <w:top w:val="nil"/>
              <w:left w:val="nil"/>
              <w:bottom w:val="single" w:sz="4" w:space="0" w:color="auto"/>
              <w:right w:val="single" w:sz="4" w:space="0" w:color="auto"/>
            </w:tcBorders>
            <w:shd w:val="clear" w:color="auto" w:fill="auto"/>
            <w:noWrap/>
            <w:vAlign w:val="center"/>
            <w:hideMark/>
          </w:tcPr>
          <w:p w14:paraId="3D51C4E7"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04FBA46B"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26</w:t>
            </w:r>
          </w:p>
        </w:tc>
        <w:tc>
          <w:tcPr>
            <w:tcW w:w="982" w:type="pct"/>
            <w:tcBorders>
              <w:top w:val="nil"/>
              <w:left w:val="nil"/>
              <w:bottom w:val="single" w:sz="4" w:space="0" w:color="auto"/>
              <w:right w:val="single" w:sz="4" w:space="0" w:color="auto"/>
            </w:tcBorders>
            <w:shd w:val="clear" w:color="auto" w:fill="auto"/>
            <w:noWrap/>
            <w:vAlign w:val="center"/>
            <w:hideMark/>
          </w:tcPr>
          <w:p w14:paraId="44DF4FD3"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70.275.685</w:t>
            </w:r>
          </w:p>
        </w:tc>
      </w:tr>
      <w:tr w:rsidR="00F24E18" w:rsidRPr="00D624B3" w14:paraId="3BB23B57"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2F67284"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739423EB"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1532D2DA"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59CFBF00"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7</w:t>
            </w:r>
          </w:p>
        </w:tc>
        <w:tc>
          <w:tcPr>
            <w:tcW w:w="982" w:type="pct"/>
            <w:tcBorders>
              <w:top w:val="nil"/>
              <w:left w:val="nil"/>
              <w:bottom w:val="single" w:sz="4" w:space="0" w:color="auto"/>
              <w:right w:val="single" w:sz="4" w:space="0" w:color="auto"/>
            </w:tcBorders>
            <w:shd w:val="clear" w:color="auto" w:fill="auto"/>
            <w:noWrap/>
            <w:vAlign w:val="center"/>
            <w:hideMark/>
          </w:tcPr>
          <w:p w14:paraId="11DF399F"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27.872.885</w:t>
            </w:r>
          </w:p>
        </w:tc>
      </w:tr>
      <w:tr w:rsidR="00F24E18" w:rsidRPr="00D624B3" w14:paraId="73E47859"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F9B4362"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74EB15"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Postopek zbiranja ponudb po predhodni objavi</w:t>
            </w:r>
          </w:p>
        </w:tc>
        <w:tc>
          <w:tcPr>
            <w:tcW w:w="448" w:type="pct"/>
            <w:tcBorders>
              <w:top w:val="nil"/>
              <w:left w:val="nil"/>
              <w:bottom w:val="single" w:sz="4" w:space="0" w:color="auto"/>
              <w:right w:val="single" w:sz="4" w:space="0" w:color="auto"/>
            </w:tcBorders>
            <w:shd w:val="clear" w:color="auto" w:fill="auto"/>
            <w:noWrap/>
            <w:vAlign w:val="center"/>
            <w:hideMark/>
          </w:tcPr>
          <w:p w14:paraId="1A6B4E5C"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Blago</w:t>
            </w:r>
          </w:p>
        </w:tc>
        <w:tc>
          <w:tcPr>
            <w:tcW w:w="671" w:type="pct"/>
            <w:tcBorders>
              <w:top w:val="nil"/>
              <w:left w:val="nil"/>
              <w:bottom w:val="single" w:sz="4" w:space="0" w:color="auto"/>
              <w:right w:val="single" w:sz="4" w:space="0" w:color="auto"/>
            </w:tcBorders>
            <w:shd w:val="clear" w:color="auto" w:fill="auto"/>
            <w:noWrap/>
            <w:vAlign w:val="center"/>
            <w:hideMark/>
          </w:tcPr>
          <w:p w14:paraId="21A9EF13"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11</w:t>
            </w:r>
          </w:p>
        </w:tc>
        <w:tc>
          <w:tcPr>
            <w:tcW w:w="982" w:type="pct"/>
            <w:tcBorders>
              <w:top w:val="nil"/>
              <w:left w:val="nil"/>
              <w:bottom w:val="single" w:sz="4" w:space="0" w:color="auto"/>
              <w:right w:val="single" w:sz="4" w:space="0" w:color="auto"/>
            </w:tcBorders>
            <w:shd w:val="clear" w:color="auto" w:fill="auto"/>
            <w:noWrap/>
            <w:vAlign w:val="center"/>
            <w:hideMark/>
          </w:tcPr>
          <w:p w14:paraId="0F45629A"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2.111.407</w:t>
            </w:r>
          </w:p>
        </w:tc>
      </w:tr>
      <w:tr w:rsidR="00F24E18" w:rsidRPr="00D624B3" w14:paraId="5831FB0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EE9D656"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0BD05938"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52FB60C1"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Storitve</w:t>
            </w:r>
          </w:p>
        </w:tc>
        <w:tc>
          <w:tcPr>
            <w:tcW w:w="671" w:type="pct"/>
            <w:tcBorders>
              <w:top w:val="nil"/>
              <w:left w:val="nil"/>
              <w:bottom w:val="single" w:sz="4" w:space="0" w:color="auto"/>
              <w:right w:val="single" w:sz="4" w:space="0" w:color="auto"/>
            </w:tcBorders>
            <w:shd w:val="clear" w:color="auto" w:fill="auto"/>
            <w:noWrap/>
            <w:vAlign w:val="center"/>
            <w:hideMark/>
          </w:tcPr>
          <w:p w14:paraId="10BBBAC9"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7</w:t>
            </w:r>
          </w:p>
        </w:tc>
        <w:tc>
          <w:tcPr>
            <w:tcW w:w="982" w:type="pct"/>
            <w:tcBorders>
              <w:top w:val="nil"/>
              <w:left w:val="nil"/>
              <w:bottom w:val="single" w:sz="4" w:space="0" w:color="auto"/>
              <w:right w:val="single" w:sz="4" w:space="0" w:color="auto"/>
            </w:tcBorders>
            <w:shd w:val="clear" w:color="auto" w:fill="auto"/>
            <w:noWrap/>
            <w:vAlign w:val="center"/>
            <w:hideMark/>
          </w:tcPr>
          <w:p w14:paraId="0CF96F5D"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632.446</w:t>
            </w:r>
          </w:p>
        </w:tc>
      </w:tr>
      <w:tr w:rsidR="00F24E18" w:rsidRPr="00D624B3" w14:paraId="7AC98EAC"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07931BD"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2190" w:type="pct"/>
            <w:vMerge/>
            <w:tcBorders>
              <w:top w:val="nil"/>
              <w:left w:val="single" w:sz="4" w:space="0" w:color="auto"/>
              <w:bottom w:val="single" w:sz="4" w:space="0" w:color="auto"/>
              <w:right w:val="single" w:sz="4" w:space="0" w:color="auto"/>
            </w:tcBorders>
            <w:vAlign w:val="center"/>
            <w:hideMark/>
          </w:tcPr>
          <w:p w14:paraId="1475D77C" w14:textId="77777777" w:rsidR="00F24E18" w:rsidRPr="00D624B3" w:rsidRDefault="00F24E18" w:rsidP="000E18B5">
            <w:pPr>
              <w:spacing w:after="0" w:line="240" w:lineRule="auto"/>
              <w:rPr>
                <w:rFonts w:ascii="Arial" w:eastAsia="Times New Roman" w:hAnsi="Arial" w:cs="Arial"/>
                <w:color w:val="000000"/>
                <w:sz w:val="18"/>
                <w:szCs w:val="18"/>
                <w:lang w:eastAsia="sl-SI"/>
              </w:rPr>
            </w:pPr>
          </w:p>
        </w:tc>
        <w:tc>
          <w:tcPr>
            <w:tcW w:w="448" w:type="pct"/>
            <w:tcBorders>
              <w:top w:val="nil"/>
              <w:left w:val="nil"/>
              <w:bottom w:val="single" w:sz="4" w:space="0" w:color="auto"/>
              <w:right w:val="single" w:sz="4" w:space="0" w:color="auto"/>
            </w:tcBorders>
            <w:shd w:val="clear" w:color="auto" w:fill="auto"/>
            <w:noWrap/>
            <w:vAlign w:val="center"/>
            <w:hideMark/>
          </w:tcPr>
          <w:p w14:paraId="07D86FE4" w14:textId="77777777" w:rsidR="00F24E18" w:rsidRPr="00D624B3" w:rsidRDefault="00F24E18" w:rsidP="000E18B5">
            <w:pPr>
              <w:spacing w:after="0" w:line="240" w:lineRule="auto"/>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Gradnje</w:t>
            </w:r>
          </w:p>
        </w:tc>
        <w:tc>
          <w:tcPr>
            <w:tcW w:w="671" w:type="pct"/>
            <w:tcBorders>
              <w:top w:val="nil"/>
              <w:left w:val="nil"/>
              <w:bottom w:val="single" w:sz="4" w:space="0" w:color="auto"/>
              <w:right w:val="single" w:sz="4" w:space="0" w:color="auto"/>
            </w:tcBorders>
            <w:shd w:val="clear" w:color="auto" w:fill="auto"/>
            <w:noWrap/>
            <w:vAlign w:val="center"/>
            <w:hideMark/>
          </w:tcPr>
          <w:p w14:paraId="15492804"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w:t>
            </w:r>
          </w:p>
        </w:tc>
        <w:tc>
          <w:tcPr>
            <w:tcW w:w="982" w:type="pct"/>
            <w:tcBorders>
              <w:top w:val="nil"/>
              <w:left w:val="nil"/>
              <w:bottom w:val="single" w:sz="4" w:space="0" w:color="auto"/>
              <w:right w:val="single" w:sz="4" w:space="0" w:color="auto"/>
            </w:tcBorders>
            <w:shd w:val="clear" w:color="auto" w:fill="auto"/>
            <w:noWrap/>
            <w:vAlign w:val="center"/>
            <w:hideMark/>
          </w:tcPr>
          <w:p w14:paraId="3290DF0C" w14:textId="77777777" w:rsidR="00F24E18" w:rsidRPr="00D624B3" w:rsidRDefault="00F24E18" w:rsidP="000E18B5">
            <w:pPr>
              <w:spacing w:after="0" w:line="240" w:lineRule="auto"/>
              <w:jc w:val="right"/>
              <w:rPr>
                <w:rFonts w:ascii="Arial" w:eastAsia="Times New Roman" w:hAnsi="Arial" w:cs="Arial"/>
                <w:color w:val="000000"/>
                <w:sz w:val="18"/>
                <w:szCs w:val="18"/>
                <w:lang w:eastAsia="sl-SI"/>
              </w:rPr>
            </w:pPr>
            <w:r w:rsidRPr="00D624B3">
              <w:rPr>
                <w:rFonts w:ascii="Arial" w:eastAsia="Times New Roman" w:hAnsi="Arial" w:cs="Arial"/>
                <w:color w:val="000000"/>
                <w:sz w:val="18"/>
                <w:szCs w:val="18"/>
                <w:lang w:eastAsia="sl-SI"/>
              </w:rPr>
              <w:t>106.512</w:t>
            </w:r>
          </w:p>
        </w:tc>
      </w:tr>
      <w:tr w:rsidR="00F24E18" w:rsidRPr="00242E41" w14:paraId="5F8125B5" w14:textId="77777777" w:rsidTr="000E18B5">
        <w:trPr>
          <w:trHeight w:val="300"/>
        </w:trPr>
        <w:tc>
          <w:tcPr>
            <w:tcW w:w="3347" w:type="pct"/>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217348FC" w14:textId="77777777" w:rsidR="00F24E18" w:rsidRPr="00D624B3" w:rsidRDefault="00F24E18" w:rsidP="000E18B5">
            <w:pPr>
              <w:spacing w:after="0" w:line="240" w:lineRule="auto"/>
              <w:rPr>
                <w:rFonts w:ascii="Arial" w:eastAsia="Times New Roman" w:hAnsi="Arial" w:cs="Arial"/>
                <w:b/>
                <w:bCs/>
                <w:color w:val="000000"/>
                <w:sz w:val="18"/>
                <w:szCs w:val="18"/>
                <w:lang w:eastAsia="sl-SI"/>
              </w:rPr>
            </w:pPr>
            <w:r w:rsidRPr="00D624B3">
              <w:rPr>
                <w:rFonts w:ascii="Arial" w:eastAsia="Times New Roman" w:hAnsi="Arial" w:cs="Arial"/>
                <w:b/>
                <w:bCs/>
                <w:color w:val="000000"/>
                <w:sz w:val="18"/>
                <w:szCs w:val="18"/>
                <w:lang w:eastAsia="sl-SI"/>
              </w:rPr>
              <w:t>Skupaj</w:t>
            </w:r>
          </w:p>
        </w:tc>
        <w:tc>
          <w:tcPr>
            <w:tcW w:w="671" w:type="pct"/>
            <w:tcBorders>
              <w:top w:val="nil"/>
              <w:left w:val="nil"/>
              <w:bottom w:val="single" w:sz="4" w:space="0" w:color="auto"/>
              <w:right w:val="single" w:sz="4" w:space="0" w:color="auto"/>
            </w:tcBorders>
            <w:shd w:val="clear" w:color="auto" w:fill="F2F2F2" w:themeFill="background1" w:themeFillShade="F2"/>
            <w:noWrap/>
            <w:vAlign w:val="center"/>
            <w:hideMark/>
          </w:tcPr>
          <w:p w14:paraId="5EC39F9F" w14:textId="77777777" w:rsidR="00F24E18" w:rsidRPr="00D624B3" w:rsidRDefault="00F24E18" w:rsidP="000E18B5">
            <w:pPr>
              <w:spacing w:after="0" w:line="240" w:lineRule="auto"/>
              <w:jc w:val="right"/>
              <w:rPr>
                <w:rFonts w:ascii="Arial" w:eastAsia="Times New Roman" w:hAnsi="Arial" w:cs="Arial"/>
                <w:b/>
                <w:bCs/>
                <w:color w:val="000000"/>
                <w:sz w:val="18"/>
                <w:szCs w:val="18"/>
                <w:lang w:eastAsia="sl-SI"/>
              </w:rPr>
            </w:pPr>
            <w:r w:rsidRPr="00D624B3">
              <w:rPr>
                <w:rFonts w:ascii="Arial" w:hAnsi="Arial" w:cs="Arial"/>
                <w:b/>
                <w:bCs/>
                <w:color w:val="000000"/>
                <w:sz w:val="18"/>
                <w:szCs w:val="18"/>
              </w:rPr>
              <w:t>7.150</w:t>
            </w:r>
          </w:p>
        </w:tc>
        <w:tc>
          <w:tcPr>
            <w:tcW w:w="982" w:type="pct"/>
            <w:tcBorders>
              <w:top w:val="nil"/>
              <w:left w:val="nil"/>
              <w:bottom w:val="single" w:sz="4" w:space="0" w:color="auto"/>
              <w:right w:val="single" w:sz="4" w:space="0" w:color="auto"/>
            </w:tcBorders>
            <w:shd w:val="clear" w:color="auto" w:fill="F2F2F2" w:themeFill="background1" w:themeFillShade="F2"/>
            <w:noWrap/>
            <w:vAlign w:val="center"/>
            <w:hideMark/>
          </w:tcPr>
          <w:p w14:paraId="11CF79D2" w14:textId="77777777" w:rsidR="00F24E18" w:rsidRPr="00D624B3" w:rsidRDefault="00F24E18" w:rsidP="000E18B5">
            <w:pPr>
              <w:spacing w:after="0" w:line="240" w:lineRule="auto"/>
              <w:jc w:val="right"/>
              <w:rPr>
                <w:rFonts w:ascii="Arial" w:eastAsia="Times New Roman" w:hAnsi="Arial" w:cs="Arial"/>
                <w:b/>
                <w:bCs/>
                <w:color w:val="000000"/>
                <w:sz w:val="18"/>
                <w:szCs w:val="18"/>
                <w:lang w:eastAsia="sl-SI"/>
              </w:rPr>
            </w:pPr>
            <w:r w:rsidRPr="00D624B3">
              <w:rPr>
                <w:rFonts w:ascii="Arial" w:hAnsi="Arial" w:cs="Arial"/>
                <w:b/>
                <w:bCs/>
                <w:color w:val="000000"/>
                <w:sz w:val="18"/>
                <w:szCs w:val="18"/>
              </w:rPr>
              <w:t>6.232.250.969</w:t>
            </w:r>
          </w:p>
        </w:tc>
      </w:tr>
    </w:tbl>
    <w:p w14:paraId="78908856" w14:textId="77777777" w:rsidR="00F24E18" w:rsidRPr="00242E41" w:rsidRDefault="00F24E18" w:rsidP="00F24E18">
      <w:pPr>
        <w:pStyle w:val="ZADEVA"/>
        <w:spacing w:line="240" w:lineRule="auto"/>
        <w:jc w:val="both"/>
        <w:rPr>
          <w:rFonts w:cs="Arial"/>
          <w:b w:val="0"/>
          <w:iCs/>
          <w:szCs w:val="20"/>
          <w:highlight w:val="yellow"/>
        </w:rPr>
      </w:pPr>
    </w:p>
    <w:p w14:paraId="5BCB478C" w14:textId="77777777" w:rsidR="00F24E18" w:rsidRPr="009452EC" w:rsidRDefault="00F24E18" w:rsidP="00F24E18">
      <w:pPr>
        <w:pStyle w:val="ZADEVA"/>
        <w:spacing w:before="120" w:line="240" w:lineRule="auto"/>
        <w:jc w:val="both"/>
        <w:rPr>
          <w:rFonts w:cs="Arial"/>
          <w:b w:val="0"/>
          <w:szCs w:val="20"/>
          <w:lang w:val="sl-SI"/>
        </w:rPr>
      </w:pPr>
      <w:r w:rsidRPr="009452EC">
        <w:rPr>
          <w:rFonts w:cs="Arial"/>
          <w:b w:val="0"/>
          <w:szCs w:val="20"/>
          <w:lang w:val="sl-SI"/>
        </w:rPr>
        <w:t>Preglednica 60: Javna naročila glede na kategorijo naročnika in predmet naročanja</w:t>
      </w:r>
    </w:p>
    <w:p w14:paraId="2084ACE3" w14:textId="77777777" w:rsidR="00F24E18" w:rsidRPr="00242E41" w:rsidRDefault="00F24E18" w:rsidP="00F24E18">
      <w:pPr>
        <w:pStyle w:val="ZADEVA"/>
        <w:spacing w:line="240" w:lineRule="auto"/>
        <w:jc w:val="both"/>
        <w:rPr>
          <w:rFonts w:cs="Arial"/>
          <w:b w:val="0"/>
          <w:szCs w:val="20"/>
          <w:highlight w:val="yellow"/>
          <w:lang w:val="sl-SI"/>
        </w:rPr>
      </w:pPr>
    </w:p>
    <w:tbl>
      <w:tblPr>
        <w:tblW w:w="5000" w:type="pct"/>
        <w:tblCellMar>
          <w:left w:w="70" w:type="dxa"/>
          <w:right w:w="70" w:type="dxa"/>
        </w:tblCellMar>
        <w:tblLook w:val="04A0" w:firstRow="1" w:lastRow="0" w:firstColumn="1" w:lastColumn="0" w:noHBand="0" w:noVBand="1"/>
      </w:tblPr>
      <w:tblGrid>
        <w:gridCol w:w="952"/>
        <w:gridCol w:w="4446"/>
        <w:gridCol w:w="908"/>
        <w:gridCol w:w="908"/>
        <w:gridCol w:w="1960"/>
      </w:tblGrid>
      <w:tr w:rsidR="00F24E18" w:rsidRPr="009452EC" w14:paraId="54CB2BE9" w14:textId="77777777" w:rsidTr="000E18B5">
        <w:trPr>
          <w:trHeight w:val="480"/>
          <w:tblHeader/>
        </w:trPr>
        <w:tc>
          <w:tcPr>
            <w:tcW w:w="51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CE950F1" w14:textId="77777777" w:rsidR="00F24E18" w:rsidRPr="009452EC" w:rsidRDefault="00F24E18" w:rsidP="000E18B5">
            <w:pPr>
              <w:spacing w:after="0" w:line="240" w:lineRule="auto"/>
              <w:jc w:val="center"/>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Kategorija naročnika</w:t>
            </w:r>
          </w:p>
        </w:tc>
        <w:tc>
          <w:tcPr>
            <w:tcW w:w="2423" w:type="pct"/>
            <w:tcBorders>
              <w:top w:val="single" w:sz="4" w:space="0" w:color="auto"/>
              <w:left w:val="nil"/>
              <w:bottom w:val="single" w:sz="4" w:space="0" w:color="auto"/>
              <w:right w:val="single" w:sz="4" w:space="0" w:color="auto"/>
            </w:tcBorders>
            <w:shd w:val="clear" w:color="000000" w:fill="F2F2F2"/>
            <w:vAlign w:val="center"/>
            <w:hideMark/>
          </w:tcPr>
          <w:p w14:paraId="3DD2E42D" w14:textId="77777777" w:rsidR="00F24E18" w:rsidRPr="009452EC" w:rsidRDefault="00F24E18" w:rsidP="000E18B5">
            <w:pPr>
              <w:spacing w:after="0" w:line="240" w:lineRule="auto"/>
              <w:jc w:val="center"/>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Opis kategorije</w:t>
            </w:r>
          </w:p>
        </w:tc>
        <w:tc>
          <w:tcPr>
            <w:tcW w:w="495" w:type="pct"/>
            <w:tcBorders>
              <w:top w:val="single" w:sz="4" w:space="0" w:color="auto"/>
              <w:left w:val="nil"/>
              <w:bottom w:val="single" w:sz="4" w:space="0" w:color="auto"/>
              <w:right w:val="single" w:sz="4" w:space="0" w:color="auto"/>
            </w:tcBorders>
            <w:shd w:val="clear" w:color="000000" w:fill="F2F2F2"/>
            <w:vAlign w:val="center"/>
            <w:hideMark/>
          </w:tcPr>
          <w:p w14:paraId="5E8855C8" w14:textId="77777777" w:rsidR="00F24E18" w:rsidRPr="009452EC" w:rsidRDefault="00F24E18" w:rsidP="000E18B5">
            <w:pPr>
              <w:spacing w:after="0" w:line="240" w:lineRule="auto"/>
              <w:jc w:val="center"/>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 xml:space="preserve">Predmet </w:t>
            </w:r>
          </w:p>
        </w:tc>
        <w:tc>
          <w:tcPr>
            <w:tcW w:w="495" w:type="pct"/>
            <w:tcBorders>
              <w:top w:val="single" w:sz="4" w:space="0" w:color="auto"/>
              <w:left w:val="nil"/>
              <w:bottom w:val="single" w:sz="4" w:space="0" w:color="auto"/>
              <w:right w:val="single" w:sz="4" w:space="0" w:color="auto"/>
            </w:tcBorders>
            <w:shd w:val="clear" w:color="000000" w:fill="F2F2F2"/>
            <w:vAlign w:val="center"/>
            <w:hideMark/>
          </w:tcPr>
          <w:p w14:paraId="2F4FC5C7" w14:textId="77777777" w:rsidR="00F24E18" w:rsidRPr="009452EC" w:rsidRDefault="00F24E18" w:rsidP="000E18B5">
            <w:pPr>
              <w:spacing w:after="0" w:line="240" w:lineRule="auto"/>
              <w:jc w:val="center"/>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Št. naročil</w:t>
            </w:r>
          </w:p>
        </w:tc>
        <w:tc>
          <w:tcPr>
            <w:tcW w:w="1068" w:type="pct"/>
            <w:tcBorders>
              <w:top w:val="single" w:sz="4" w:space="0" w:color="auto"/>
              <w:left w:val="nil"/>
              <w:bottom w:val="single" w:sz="4" w:space="0" w:color="auto"/>
              <w:right w:val="single" w:sz="4" w:space="0" w:color="auto"/>
            </w:tcBorders>
            <w:shd w:val="clear" w:color="000000" w:fill="F2F2F2"/>
            <w:vAlign w:val="center"/>
            <w:hideMark/>
          </w:tcPr>
          <w:p w14:paraId="22634141" w14:textId="77777777" w:rsidR="00F24E18" w:rsidRPr="009452EC" w:rsidRDefault="00F24E18" w:rsidP="000E18B5">
            <w:pPr>
              <w:spacing w:after="0" w:line="240" w:lineRule="auto"/>
              <w:jc w:val="center"/>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Pogodbena vrednost</w:t>
            </w:r>
          </w:p>
        </w:tc>
      </w:tr>
      <w:tr w:rsidR="00F24E18" w:rsidRPr="009452EC" w14:paraId="6F52B5D5" w14:textId="77777777" w:rsidTr="000E18B5">
        <w:trPr>
          <w:trHeight w:val="300"/>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60668F"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1</w:t>
            </w:r>
          </w:p>
        </w:tc>
        <w:tc>
          <w:tcPr>
            <w:tcW w:w="2423" w:type="pct"/>
            <w:vMerge w:val="restart"/>
            <w:tcBorders>
              <w:top w:val="nil"/>
              <w:left w:val="single" w:sz="4" w:space="0" w:color="auto"/>
              <w:bottom w:val="single" w:sz="4" w:space="0" w:color="auto"/>
              <w:right w:val="single" w:sz="4" w:space="0" w:color="auto"/>
            </w:tcBorders>
            <w:shd w:val="clear" w:color="auto" w:fill="auto"/>
            <w:vAlign w:val="center"/>
            <w:hideMark/>
          </w:tcPr>
          <w:p w14:paraId="3A4B386B"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Organi Republike Slovenije</w:t>
            </w:r>
          </w:p>
        </w:tc>
        <w:tc>
          <w:tcPr>
            <w:tcW w:w="495" w:type="pct"/>
            <w:tcBorders>
              <w:top w:val="nil"/>
              <w:left w:val="nil"/>
              <w:bottom w:val="single" w:sz="4" w:space="0" w:color="auto"/>
              <w:right w:val="single" w:sz="4" w:space="0" w:color="auto"/>
            </w:tcBorders>
            <w:shd w:val="clear" w:color="auto" w:fill="auto"/>
            <w:noWrap/>
            <w:vAlign w:val="center"/>
            <w:hideMark/>
          </w:tcPr>
          <w:p w14:paraId="72C02ABF"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auto"/>
            <w:noWrap/>
            <w:vAlign w:val="center"/>
            <w:hideMark/>
          </w:tcPr>
          <w:p w14:paraId="5134E556"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870</w:t>
            </w:r>
          </w:p>
        </w:tc>
        <w:tc>
          <w:tcPr>
            <w:tcW w:w="1068" w:type="pct"/>
            <w:tcBorders>
              <w:top w:val="nil"/>
              <w:left w:val="nil"/>
              <w:bottom w:val="single" w:sz="4" w:space="0" w:color="auto"/>
              <w:right w:val="single" w:sz="4" w:space="0" w:color="auto"/>
            </w:tcBorders>
            <w:shd w:val="clear" w:color="auto" w:fill="auto"/>
            <w:noWrap/>
            <w:vAlign w:val="center"/>
            <w:hideMark/>
          </w:tcPr>
          <w:p w14:paraId="754EE922"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326.488.539</w:t>
            </w:r>
          </w:p>
        </w:tc>
      </w:tr>
      <w:tr w:rsidR="00F24E18" w:rsidRPr="009452EC" w14:paraId="68F87292"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5316AF94"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285A9CB4"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373A7A5C"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auto"/>
            <w:noWrap/>
            <w:vAlign w:val="center"/>
            <w:hideMark/>
          </w:tcPr>
          <w:p w14:paraId="5974F483"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825</w:t>
            </w:r>
          </w:p>
        </w:tc>
        <w:tc>
          <w:tcPr>
            <w:tcW w:w="1068" w:type="pct"/>
            <w:tcBorders>
              <w:top w:val="nil"/>
              <w:left w:val="nil"/>
              <w:bottom w:val="single" w:sz="4" w:space="0" w:color="auto"/>
              <w:right w:val="single" w:sz="4" w:space="0" w:color="auto"/>
            </w:tcBorders>
            <w:shd w:val="clear" w:color="auto" w:fill="auto"/>
            <w:noWrap/>
            <w:vAlign w:val="center"/>
            <w:hideMark/>
          </w:tcPr>
          <w:p w14:paraId="76D51E4D"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1.081.694.706</w:t>
            </w:r>
          </w:p>
        </w:tc>
      </w:tr>
      <w:tr w:rsidR="00F24E18" w:rsidRPr="009452EC" w14:paraId="1599D491"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1E503BF5"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0718F595"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639204DB"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Gradnje</w:t>
            </w:r>
          </w:p>
        </w:tc>
        <w:tc>
          <w:tcPr>
            <w:tcW w:w="495" w:type="pct"/>
            <w:tcBorders>
              <w:top w:val="nil"/>
              <w:left w:val="nil"/>
              <w:bottom w:val="single" w:sz="4" w:space="0" w:color="auto"/>
              <w:right w:val="single" w:sz="4" w:space="0" w:color="auto"/>
            </w:tcBorders>
            <w:shd w:val="clear" w:color="auto" w:fill="auto"/>
            <w:noWrap/>
            <w:vAlign w:val="center"/>
            <w:hideMark/>
          </w:tcPr>
          <w:p w14:paraId="73D13A72"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123</w:t>
            </w:r>
          </w:p>
        </w:tc>
        <w:tc>
          <w:tcPr>
            <w:tcW w:w="1068" w:type="pct"/>
            <w:tcBorders>
              <w:top w:val="nil"/>
              <w:left w:val="nil"/>
              <w:bottom w:val="single" w:sz="4" w:space="0" w:color="auto"/>
              <w:right w:val="single" w:sz="4" w:space="0" w:color="auto"/>
            </w:tcBorders>
            <w:shd w:val="clear" w:color="auto" w:fill="auto"/>
            <w:noWrap/>
            <w:vAlign w:val="center"/>
            <w:hideMark/>
          </w:tcPr>
          <w:p w14:paraId="3CBC0F0A"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248.747.472</w:t>
            </w:r>
          </w:p>
        </w:tc>
      </w:tr>
      <w:tr w:rsidR="00F24E18" w:rsidRPr="009452EC" w14:paraId="519877BF"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497C81A9"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48871912"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01D997DE"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auto"/>
            <w:noWrap/>
            <w:vAlign w:val="center"/>
            <w:hideMark/>
          </w:tcPr>
          <w:p w14:paraId="13A3C856"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1.818</w:t>
            </w:r>
          </w:p>
        </w:tc>
        <w:tc>
          <w:tcPr>
            <w:tcW w:w="1068" w:type="pct"/>
            <w:tcBorders>
              <w:top w:val="nil"/>
              <w:left w:val="nil"/>
              <w:bottom w:val="single" w:sz="4" w:space="0" w:color="auto"/>
              <w:right w:val="single" w:sz="4" w:space="0" w:color="auto"/>
            </w:tcBorders>
            <w:shd w:val="clear" w:color="auto" w:fill="auto"/>
            <w:noWrap/>
            <w:vAlign w:val="center"/>
            <w:hideMark/>
          </w:tcPr>
          <w:p w14:paraId="0D4956ED"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1.656.930.717</w:t>
            </w:r>
          </w:p>
        </w:tc>
      </w:tr>
      <w:tr w:rsidR="00F24E18" w:rsidRPr="009452EC" w14:paraId="2DF6B815" w14:textId="77777777" w:rsidTr="000E18B5">
        <w:trPr>
          <w:trHeight w:val="300"/>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36B652"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2</w:t>
            </w:r>
          </w:p>
        </w:tc>
        <w:tc>
          <w:tcPr>
            <w:tcW w:w="2423" w:type="pct"/>
            <w:vMerge w:val="restart"/>
            <w:tcBorders>
              <w:top w:val="nil"/>
              <w:left w:val="single" w:sz="4" w:space="0" w:color="auto"/>
              <w:bottom w:val="single" w:sz="4" w:space="0" w:color="auto"/>
              <w:right w:val="single" w:sz="4" w:space="0" w:color="auto"/>
            </w:tcBorders>
            <w:shd w:val="clear" w:color="auto" w:fill="auto"/>
            <w:vAlign w:val="center"/>
            <w:hideMark/>
          </w:tcPr>
          <w:p w14:paraId="0AFD6320"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Organi samoupravnih lokalnih skupnosti</w:t>
            </w:r>
          </w:p>
        </w:tc>
        <w:tc>
          <w:tcPr>
            <w:tcW w:w="495" w:type="pct"/>
            <w:tcBorders>
              <w:top w:val="nil"/>
              <w:left w:val="nil"/>
              <w:bottom w:val="single" w:sz="4" w:space="0" w:color="auto"/>
              <w:right w:val="single" w:sz="4" w:space="0" w:color="auto"/>
            </w:tcBorders>
            <w:shd w:val="clear" w:color="auto" w:fill="auto"/>
            <w:noWrap/>
            <w:vAlign w:val="center"/>
            <w:hideMark/>
          </w:tcPr>
          <w:p w14:paraId="35D0755A"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auto"/>
            <w:noWrap/>
            <w:vAlign w:val="center"/>
            <w:hideMark/>
          </w:tcPr>
          <w:p w14:paraId="1932D66A"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330</w:t>
            </w:r>
          </w:p>
        </w:tc>
        <w:tc>
          <w:tcPr>
            <w:tcW w:w="1068" w:type="pct"/>
            <w:tcBorders>
              <w:top w:val="nil"/>
              <w:left w:val="nil"/>
              <w:bottom w:val="single" w:sz="4" w:space="0" w:color="auto"/>
              <w:right w:val="single" w:sz="4" w:space="0" w:color="auto"/>
            </w:tcBorders>
            <w:shd w:val="clear" w:color="auto" w:fill="auto"/>
            <w:noWrap/>
            <w:vAlign w:val="center"/>
            <w:hideMark/>
          </w:tcPr>
          <w:p w14:paraId="4E585661"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226.326.551</w:t>
            </w:r>
          </w:p>
        </w:tc>
      </w:tr>
      <w:tr w:rsidR="00F24E18" w:rsidRPr="009452EC" w14:paraId="450F729E"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6D00C63B"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51C1C603"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11D62F3E"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auto"/>
            <w:noWrap/>
            <w:vAlign w:val="center"/>
            <w:hideMark/>
          </w:tcPr>
          <w:p w14:paraId="60DF224E"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694</w:t>
            </w:r>
          </w:p>
        </w:tc>
        <w:tc>
          <w:tcPr>
            <w:tcW w:w="1068" w:type="pct"/>
            <w:tcBorders>
              <w:top w:val="nil"/>
              <w:left w:val="nil"/>
              <w:bottom w:val="single" w:sz="4" w:space="0" w:color="auto"/>
              <w:right w:val="single" w:sz="4" w:space="0" w:color="auto"/>
            </w:tcBorders>
            <w:shd w:val="clear" w:color="auto" w:fill="auto"/>
            <w:noWrap/>
            <w:vAlign w:val="center"/>
            <w:hideMark/>
          </w:tcPr>
          <w:p w14:paraId="6B3400CC"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163.582.541</w:t>
            </w:r>
          </w:p>
        </w:tc>
      </w:tr>
      <w:tr w:rsidR="00F24E18" w:rsidRPr="009452EC" w14:paraId="7C187120"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7CACEF70"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116A85F0"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3EA1118B"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Gradnje</w:t>
            </w:r>
          </w:p>
        </w:tc>
        <w:tc>
          <w:tcPr>
            <w:tcW w:w="495" w:type="pct"/>
            <w:tcBorders>
              <w:top w:val="nil"/>
              <w:left w:val="nil"/>
              <w:bottom w:val="single" w:sz="4" w:space="0" w:color="auto"/>
              <w:right w:val="single" w:sz="4" w:space="0" w:color="auto"/>
            </w:tcBorders>
            <w:shd w:val="clear" w:color="auto" w:fill="auto"/>
            <w:noWrap/>
            <w:vAlign w:val="center"/>
            <w:hideMark/>
          </w:tcPr>
          <w:p w14:paraId="442AD4AB"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783</w:t>
            </w:r>
          </w:p>
        </w:tc>
        <w:tc>
          <w:tcPr>
            <w:tcW w:w="1068" w:type="pct"/>
            <w:tcBorders>
              <w:top w:val="nil"/>
              <w:left w:val="nil"/>
              <w:bottom w:val="single" w:sz="4" w:space="0" w:color="auto"/>
              <w:right w:val="single" w:sz="4" w:space="0" w:color="auto"/>
            </w:tcBorders>
            <w:shd w:val="clear" w:color="auto" w:fill="auto"/>
            <w:noWrap/>
            <w:vAlign w:val="center"/>
            <w:hideMark/>
          </w:tcPr>
          <w:p w14:paraId="3A2D6F6D"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416.024.441</w:t>
            </w:r>
          </w:p>
        </w:tc>
      </w:tr>
      <w:tr w:rsidR="00F24E18" w:rsidRPr="009452EC" w14:paraId="2F4A38E0"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50B8D23C"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5D661A24"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3105C8D2"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auto"/>
            <w:noWrap/>
            <w:vAlign w:val="center"/>
          </w:tcPr>
          <w:p w14:paraId="45F5EFCA"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1.807</w:t>
            </w:r>
          </w:p>
        </w:tc>
        <w:tc>
          <w:tcPr>
            <w:tcW w:w="1068" w:type="pct"/>
            <w:tcBorders>
              <w:top w:val="nil"/>
              <w:left w:val="nil"/>
              <w:bottom w:val="single" w:sz="4" w:space="0" w:color="auto"/>
              <w:right w:val="single" w:sz="4" w:space="0" w:color="auto"/>
            </w:tcBorders>
            <w:shd w:val="clear" w:color="auto" w:fill="auto"/>
            <w:noWrap/>
            <w:vAlign w:val="center"/>
          </w:tcPr>
          <w:p w14:paraId="06FCE783"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805.933.533</w:t>
            </w:r>
          </w:p>
        </w:tc>
      </w:tr>
      <w:tr w:rsidR="00F24E18" w:rsidRPr="009452EC" w14:paraId="4B2E0B14" w14:textId="77777777" w:rsidTr="000E18B5">
        <w:trPr>
          <w:trHeight w:val="300"/>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74AA43"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3</w:t>
            </w:r>
          </w:p>
        </w:tc>
        <w:tc>
          <w:tcPr>
            <w:tcW w:w="2423" w:type="pct"/>
            <w:vMerge w:val="restart"/>
            <w:tcBorders>
              <w:top w:val="nil"/>
              <w:left w:val="single" w:sz="4" w:space="0" w:color="auto"/>
              <w:bottom w:val="single" w:sz="4" w:space="0" w:color="auto"/>
              <w:right w:val="single" w:sz="4" w:space="0" w:color="auto"/>
            </w:tcBorders>
            <w:shd w:val="clear" w:color="auto" w:fill="auto"/>
            <w:vAlign w:val="center"/>
            <w:hideMark/>
          </w:tcPr>
          <w:p w14:paraId="0FB4B1B9"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Javni skladi</w:t>
            </w:r>
          </w:p>
        </w:tc>
        <w:tc>
          <w:tcPr>
            <w:tcW w:w="495" w:type="pct"/>
            <w:tcBorders>
              <w:top w:val="nil"/>
              <w:left w:val="nil"/>
              <w:bottom w:val="single" w:sz="4" w:space="0" w:color="auto"/>
              <w:right w:val="single" w:sz="4" w:space="0" w:color="auto"/>
            </w:tcBorders>
            <w:shd w:val="clear" w:color="auto" w:fill="auto"/>
            <w:noWrap/>
            <w:vAlign w:val="center"/>
            <w:hideMark/>
          </w:tcPr>
          <w:p w14:paraId="2212B078"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auto"/>
            <w:noWrap/>
            <w:vAlign w:val="center"/>
            <w:hideMark/>
          </w:tcPr>
          <w:p w14:paraId="4208B027"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6</w:t>
            </w:r>
          </w:p>
        </w:tc>
        <w:tc>
          <w:tcPr>
            <w:tcW w:w="1068" w:type="pct"/>
            <w:tcBorders>
              <w:top w:val="nil"/>
              <w:left w:val="nil"/>
              <w:bottom w:val="single" w:sz="4" w:space="0" w:color="auto"/>
              <w:right w:val="single" w:sz="4" w:space="0" w:color="auto"/>
            </w:tcBorders>
            <w:shd w:val="clear" w:color="auto" w:fill="auto"/>
            <w:noWrap/>
            <w:vAlign w:val="center"/>
            <w:hideMark/>
          </w:tcPr>
          <w:p w14:paraId="625AA9B9"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1.270.407</w:t>
            </w:r>
          </w:p>
        </w:tc>
      </w:tr>
      <w:tr w:rsidR="00F24E18" w:rsidRPr="009452EC" w14:paraId="69AF8885"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406BD52F"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03DE3A87"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7F780755"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auto"/>
            <w:noWrap/>
            <w:vAlign w:val="center"/>
            <w:hideMark/>
          </w:tcPr>
          <w:p w14:paraId="3ABE5438"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27</w:t>
            </w:r>
          </w:p>
        </w:tc>
        <w:tc>
          <w:tcPr>
            <w:tcW w:w="1068" w:type="pct"/>
            <w:tcBorders>
              <w:top w:val="nil"/>
              <w:left w:val="nil"/>
              <w:bottom w:val="single" w:sz="4" w:space="0" w:color="auto"/>
              <w:right w:val="single" w:sz="4" w:space="0" w:color="auto"/>
            </w:tcBorders>
            <w:shd w:val="clear" w:color="auto" w:fill="auto"/>
            <w:noWrap/>
            <w:vAlign w:val="center"/>
            <w:hideMark/>
          </w:tcPr>
          <w:p w14:paraId="32B1CA6D"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6.975.362</w:t>
            </w:r>
          </w:p>
        </w:tc>
      </w:tr>
      <w:tr w:rsidR="00F24E18" w:rsidRPr="009452EC" w14:paraId="3CADE9CE"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0E1536C1"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5EE234D2"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27114AA9"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Gradnje</w:t>
            </w:r>
          </w:p>
        </w:tc>
        <w:tc>
          <w:tcPr>
            <w:tcW w:w="495" w:type="pct"/>
            <w:tcBorders>
              <w:top w:val="nil"/>
              <w:left w:val="nil"/>
              <w:bottom w:val="single" w:sz="4" w:space="0" w:color="auto"/>
              <w:right w:val="single" w:sz="4" w:space="0" w:color="auto"/>
            </w:tcBorders>
            <w:shd w:val="clear" w:color="auto" w:fill="auto"/>
            <w:noWrap/>
            <w:vAlign w:val="center"/>
            <w:hideMark/>
          </w:tcPr>
          <w:p w14:paraId="5D69FE39"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32</w:t>
            </w:r>
          </w:p>
        </w:tc>
        <w:tc>
          <w:tcPr>
            <w:tcW w:w="1068" w:type="pct"/>
            <w:tcBorders>
              <w:top w:val="nil"/>
              <w:left w:val="nil"/>
              <w:bottom w:val="single" w:sz="4" w:space="0" w:color="auto"/>
              <w:right w:val="single" w:sz="4" w:space="0" w:color="auto"/>
            </w:tcBorders>
            <w:shd w:val="clear" w:color="auto" w:fill="auto"/>
            <w:noWrap/>
            <w:vAlign w:val="center"/>
            <w:hideMark/>
          </w:tcPr>
          <w:p w14:paraId="464ABFD3"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26.229.288</w:t>
            </w:r>
          </w:p>
        </w:tc>
      </w:tr>
      <w:tr w:rsidR="00F24E18" w:rsidRPr="009452EC" w14:paraId="2015350E"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76EF49BE"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54ECE9EB"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1FD6CBCB"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auto"/>
            <w:noWrap/>
            <w:vAlign w:val="center"/>
            <w:hideMark/>
          </w:tcPr>
          <w:p w14:paraId="0E54E20C"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65</w:t>
            </w:r>
          </w:p>
        </w:tc>
        <w:tc>
          <w:tcPr>
            <w:tcW w:w="1068" w:type="pct"/>
            <w:tcBorders>
              <w:top w:val="nil"/>
              <w:left w:val="nil"/>
              <w:bottom w:val="single" w:sz="4" w:space="0" w:color="auto"/>
              <w:right w:val="single" w:sz="4" w:space="0" w:color="auto"/>
            </w:tcBorders>
            <w:shd w:val="clear" w:color="auto" w:fill="auto"/>
            <w:noWrap/>
            <w:vAlign w:val="center"/>
            <w:hideMark/>
          </w:tcPr>
          <w:p w14:paraId="69709BC8"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34.475.057</w:t>
            </w:r>
          </w:p>
        </w:tc>
      </w:tr>
      <w:tr w:rsidR="00F24E18" w:rsidRPr="009452EC" w14:paraId="103D660A" w14:textId="77777777" w:rsidTr="000E18B5">
        <w:trPr>
          <w:trHeight w:val="300"/>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A1150D"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4</w:t>
            </w:r>
          </w:p>
        </w:tc>
        <w:tc>
          <w:tcPr>
            <w:tcW w:w="2423" w:type="pct"/>
            <w:vMerge w:val="restart"/>
            <w:tcBorders>
              <w:top w:val="nil"/>
              <w:left w:val="single" w:sz="4" w:space="0" w:color="auto"/>
              <w:bottom w:val="single" w:sz="4" w:space="0" w:color="auto"/>
              <w:right w:val="single" w:sz="4" w:space="0" w:color="auto"/>
            </w:tcBorders>
            <w:shd w:val="clear" w:color="auto" w:fill="auto"/>
            <w:vAlign w:val="center"/>
            <w:hideMark/>
          </w:tcPr>
          <w:p w14:paraId="06B1920E"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Javne agencije</w:t>
            </w:r>
          </w:p>
        </w:tc>
        <w:tc>
          <w:tcPr>
            <w:tcW w:w="495" w:type="pct"/>
            <w:tcBorders>
              <w:top w:val="nil"/>
              <w:left w:val="nil"/>
              <w:bottom w:val="single" w:sz="4" w:space="0" w:color="auto"/>
              <w:right w:val="single" w:sz="4" w:space="0" w:color="auto"/>
            </w:tcBorders>
            <w:shd w:val="clear" w:color="auto" w:fill="auto"/>
            <w:noWrap/>
            <w:vAlign w:val="center"/>
            <w:hideMark/>
          </w:tcPr>
          <w:p w14:paraId="653CE000"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auto"/>
            <w:noWrap/>
            <w:vAlign w:val="center"/>
            <w:hideMark/>
          </w:tcPr>
          <w:p w14:paraId="6B6A53B0"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55</w:t>
            </w:r>
          </w:p>
        </w:tc>
        <w:tc>
          <w:tcPr>
            <w:tcW w:w="1068" w:type="pct"/>
            <w:tcBorders>
              <w:top w:val="nil"/>
              <w:left w:val="nil"/>
              <w:bottom w:val="single" w:sz="4" w:space="0" w:color="auto"/>
              <w:right w:val="single" w:sz="4" w:space="0" w:color="auto"/>
            </w:tcBorders>
            <w:shd w:val="clear" w:color="auto" w:fill="auto"/>
            <w:noWrap/>
            <w:vAlign w:val="center"/>
            <w:hideMark/>
          </w:tcPr>
          <w:p w14:paraId="69197228"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4.193.783</w:t>
            </w:r>
          </w:p>
        </w:tc>
      </w:tr>
      <w:tr w:rsidR="00F24E18" w:rsidRPr="009452EC" w14:paraId="11ABFD0C"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1E804AA0"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3ABBB06C"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4D6BDFF9"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auto"/>
            <w:noWrap/>
            <w:vAlign w:val="center"/>
            <w:hideMark/>
          </w:tcPr>
          <w:p w14:paraId="3E7C2AE6"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89</w:t>
            </w:r>
          </w:p>
        </w:tc>
        <w:tc>
          <w:tcPr>
            <w:tcW w:w="1068" w:type="pct"/>
            <w:tcBorders>
              <w:top w:val="nil"/>
              <w:left w:val="nil"/>
              <w:bottom w:val="single" w:sz="4" w:space="0" w:color="auto"/>
              <w:right w:val="single" w:sz="4" w:space="0" w:color="auto"/>
            </w:tcBorders>
            <w:shd w:val="clear" w:color="auto" w:fill="auto"/>
            <w:noWrap/>
            <w:vAlign w:val="center"/>
            <w:hideMark/>
          </w:tcPr>
          <w:p w14:paraId="3C86926C"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21.710.291</w:t>
            </w:r>
          </w:p>
        </w:tc>
      </w:tr>
      <w:tr w:rsidR="00F24E18" w:rsidRPr="009452EC" w14:paraId="682D878F"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0E177799"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3553F1F0"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7075575B"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auto"/>
            <w:noWrap/>
            <w:vAlign w:val="center"/>
            <w:hideMark/>
          </w:tcPr>
          <w:p w14:paraId="60A52FB9"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144</w:t>
            </w:r>
          </w:p>
        </w:tc>
        <w:tc>
          <w:tcPr>
            <w:tcW w:w="1068" w:type="pct"/>
            <w:tcBorders>
              <w:top w:val="nil"/>
              <w:left w:val="nil"/>
              <w:bottom w:val="single" w:sz="4" w:space="0" w:color="auto"/>
              <w:right w:val="single" w:sz="4" w:space="0" w:color="auto"/>
            </w:tcBorders>
            <w:shd w:val="clear" w:color="auto" w:fill="auto"/>
            <w:noWrap/>
            <w:vAlign w:val="center"/>
            <w:hideMark/>
          </w:tcPr>
          <w:p w14:paraId="3C24BB2D"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25.904.074</w:t>
            </w:r>
          </w:p>
        </w:tc>
      </w:tr>
      <w:tr w:rsidR="00F24E18" w:rsidRPr="009452EC" w14:paraId="3973FCB5" w14:textId="77777777" w:rsidTr="000E18B5">
        <w:trPr>
          <w:trHeight w:val="300"/>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B66D77"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5</w:t>
            </w:r>
          </w:p>
        </w:tc>
        <w:tc>
          <w:tcPr>
            <w:tcW w:w="2423" w:type="pct"/>
            <w:vMerge w:val="restart"/>
            <w:tcBorders>
              <w:top w:val="nil"/>
              <w:left w:val="single" w:sz="4" w:space="0" w:color="auto"/>
              <w:bottom w:val="single" w:sz="4" w:space="0" w:color="auto"/>
              <w:right w:val="single" w:sz="4" w:space="0" w:color="auto"/>
            </w:tcBorders>
            <w:shd w:val="clear" w:color="auto" w:fill="auto"/>
            <w:vAlign w:val="center"/>
            <w:hideMark/>
          </w:tcPr>
          <w:p w14:paraId="32923304"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Javni zavodi</w:t>
            </w:r>
          </w:p>
        </w:tc>
        <w:tc>
          <w:tcPr>
            <w:tcW w:w="495" w:type="pct"/>
            <w:tcBorders>
              <w:top w:val="nil"/>
              <w:left w:val="nil"/>
              <w:bottom w:val="single" w:sz="4" w:space="0" w:color="auto"/>
              <w:right w:val="single" w:sz="4" w:space="0" w:color="auto"/>
            </w:tcBorders>
            <w:shd w:val="clear" w:color="auto" w:fill="auto"/>
            <w:noWrap/>
            <w:vAlign w:val="center"/>
            <w:hideMark/>
          </w:tcPr>
          <w:p w14:paraId="2DBBF08E"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auto"/>
            <w:noWrap/>
            <w:vAlign w:val="center"/>
            <w:hideMark/>
          </w:tcPr>
          <w:p w14:paraId="1E0831BC"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7.419</w:t>
            </w:r>
          </w:p>
        </w:tc>
        <w:tc>
          <w:tcPr>
            <w:tcW w:w="1068" w:type="pct"/>
            <w:tcBorders>
              <w:top w:val="nil"/>
              <w:left w:val="nil"/>
              <w:bottom w:val="single" w:sz="4" w:space="0" w:color="auto"/>
              <w:right w:val="single" w:sz="4" w:space="0" w:color="auto"/>
            </w:tcBorders>
            <w:shd w:val="clear" w:color="auto" w:fill="auto"/>
            <w:noWrap/>
            <w:vAlign w:val="center"/>
            <w:hideMark/>
          </w:tcPr>
          <w:p w14:paraId="3B68AAFA"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1.204.178.617</w:t>
            </w:r>
          </w:p>
        </w:tc>
      </w:tr>
      <w:tr w:rsidR="00F24E18" w:rsidRPr="009452EC" w14:paraId="165F3D7F"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31B274F6"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263DC69A"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2AF8D57E"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auto"/>
            <w:noWrap/>
            <w:vAlign w:val="center"/>
            <w:hideMark/>
          </w:tcPr>
          <w:p w14:paraId="27230A8E"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1.259</w:t>
            </w:r>
          </w:p>
        </w:tc>
        <w:tc>
          <w:tcPr>
            <w:tcW w:w="1068" w:type="pct"/>
            <w:tcBorders>
              <w:top w:val="nil"/>
              <w:left w:val="nil"/>
              <w:bottom w:val="single" w:sz="4" w:space="0" w:color="auto"/>
              <w:right w:val="single" w:sz="4" w:space="0" w:color="auto"/>
            </w:tcBorders>
            <w:shd w:val="clear" w:color="auto" w:fill="auto"/>
            <w:noWrap/>
            <w:vAlign w:val="center"/>
            <w:hideMark/>
          </w:tcPr>
          <w:p w14:paraId="0658C3E1"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263.882.279</w:t>
            </w:r>
          </w:p>
        </w:tc>
      </w:tr>
      <w:tr w:rsidR="00F24E18" w:rsidRPr="009452EC" w14:paraId="3164E5E3"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5EC6F1CC"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113715F3"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0951C1E7"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Gradnje</w:t>
            </w:r>
          </w:p>
        </w:tc>
        <w:tc>
          <w:tcPr>
            <w:tcW w:w="495" w:type="pct"/>
            <w:tcBorders>
              <w:top w:val="nil"/>
              <w:left w:val="nil"/>
              <w:bottom w:val="single" w:sz="4" w:space="0" w:color="auto"/>
              <w:right w:val="single" w:sz="4" w:space="0" w:color="auto"/>
            </w:tcBorders>
            <w:shd w:val="clear" w:color="auto" w:fill="auto"/>
            <w:noWrap/>
            <w:vAlign w:val="center"/>
            <w:hideMark/>
          </w:tcPr>
          <w:p w14:paraId="20887E5B"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223</w:t>
            </w:r>
          </w:p>
        </w:tc>
        <w:tc>
          <w:tcPr>
            <w:tcW w:w="1068" w:type="pct"/>
            <w:tcBorders>
              <w:top w:val="nil"/>
              <w:left w:val="nil"/>
              <w:bottom w:val="single" w:sz="4" w:space="0" w:color="auto"/>
              <w:right w:val="single" w:sz="4" w:space="0" w:color="auto"/>
            </w:tcBorders>
            <w:shd w:val="clear" w:color="auto" w:fill="auto"/>
            <w:noWrap/>
            <w:vAlign w:val="center"/>
            <w:hideMark/>
          </w:tcPr>
          <w:p w14:paraId="2F642ED1"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102.033.439</w:t>
            </w:r>
          </w:p>
        </w:tc>
      </w:tr>
      <w:tr w:rsidR="00F24E18" w:rsidRPr="009452EC" w14:paraId="62659CF4"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06D406C4"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0F1443C1"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1777FF95"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auto"/>
            <w:noWrap/>
            <w:vAlign w:val="center"/>
            <w:hideMark/>
          </w:tcPr>
          <w:p w14:paraId="7194C101"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8.901</w:t>
            </w:r>
          </w:p>
        </w:tc>
        <w:tc>
          <w:tcPr>
            <w:tcW w:w="1068" w:type="pct"/>
            <w:tcBorders>
              <w:top w:val="nil"/>
              <w:left w:val="nil"/>
              <w:bottom w:val="single" w:sz="4" w:space="0" w:color="auto"/>
              <w:right w:val="single" w:sz="4" w:space="0" w:color="auto"/>
            </w:tcBorders>
            <w:shd w:val="clear" w:color="auto" w:fill="auto"/>
            <w:noWrap/>
            <w:vAlign w:val="center"/>
            <w:hideMark/>
          </w:tcPr>
          <w:p w14:paraId="72BD474F"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1.570.094.335</w:t>
            </w:r>
          </w:p>
        </w:tc>
      </w:tr>
      <w:tr w:rsidR="00F24E18" w:rsidRPr="009452EC" w14:paraId="1B82B4D3" w14:textId="77777777" w:rsidTr="000E18B5">
        <w:trPr>
          <w:trHeight w:val="300"/>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433533"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6</w:t>
            </w:r>
          </w:p>
        </w:tc>
        <w:tc>
          <w:tcPr>
            <w:tcW w:w="2423" w:type="pct"/>
            <w:vMerge w:val="restart"/>
            <w:tcBorders>
              <w:top w:val="nil"/>
              <w:left w:val="single" w:sz="4" w:space="0" w:color="auto"/>
              <w:bottom w:val="single" w:sz="4" w:space="0" w:color="auto"/>
              <w:right w:val="single" w:sz="4" w:space="0" w:color="auto"/>
            </w:tcBorders>
            <w:shd w:val="clear" w:color="auto" w:fill="auto"/>
            <w:vAlign w:val="center"/>
            <w:hideMark/>
          </w:tcPr>
          <w:p w14:paraId="005CC956"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Javni gospodarski zavodi</w:t>
            </w:r>
          </w:p>
        </w:tc>
        <w:tc>
          <w:tcPr>
            <w:tcW w:w="495" w:type="pct"/>
            <w:tcBorders>
              <w:top w:val="nil"/>
              <w:left w:val="nil"/>
              <w:bottom w:val="single" w:sz="4" w:space="0" w:color="auto"/>
              <w:right w:val="single" w:sz="4" w:space="0" w:color="auto"/>
            </w:tcBorders>
            <w:shd w:val="clear" w:color="auto" w:fill="auto"/>
            <w:noWrap/>
            <w:vAlign w:val="center"/>
            <w:hideMark/>
          </w:tcPr>
          <w:p w14:paraId="02A499A0"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auto"/>
            <w:noWrap/>
            <w:vAlign w:val="center"/>
            <w:hideMark/>
          </w:tcPr>
          <w:p w14:paraId="7FA63722"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52</w:t>
            </w:r>
          </w:p>
        </w:tc>
        <w:tc>
          <w:tcPr>
            <w:tcW w:w="1068" w:type="pct"/>
            <w:tcBorders>
              <w:top w:val="nil"/>
              <w:left w:val="nil"/>
              <w:bottom w:val="single" w:sz="4" w:space="0" w:color="auto"/>
              <w:right w:val="single" w:sz="4" w:space="0" w:color="auto"/>
            </w:tcBorders>
            <w:shd w:val="clear" w:color="auto" w:fill="auto"/>
            <w:noWrap/>
            <w:vAlign w:val="center"/>
            <w:hideMark/>
          </w:tcPr>
          <w:p w14:paraId="269E21C8"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6.983.536</w:t>
            </w:r>
          </w:p>
        </w:tc>
      </w:tr>
      <w:tr w:rsidR="00F24E18" w:rsidRPr="009452EC" w14:paraId="31228F8A"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005FBADA"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738FF983"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7563F8E5"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auto"/>
            <w:noWrap/>
            <w:vAlign w:val="center"/>
            <w:hideMark/>
          </w:tcPr>
          <w:p w14:paraId="17505D68"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24</w:t>
            </w:r>
          </w:p>
        </w:tc>
        <w:tc>
          <w:tcPr>
            <w:tcW w:w="1068" w:type="pct"/>
            <w:tcBorders>
              <w:top w:val="nil"/>
              <w:left w:val="nil"/>
              <w:bottom w:val="single" w:sz="4" w:space="0" w:color="auto"/>
              <w:right w:val="single" w:sz="4" w:space="0" w:color="auto"/>
            </w:tcBorders>
            <w:shd w:val="clear" w:color="auto" w:fill="auto"/>
            <w:noWrap/>
            <w:vAlign w:val="center"/>
            <w:hideMark/>
          </w:tcPr>
          <w:p w14:paraId="011C2E22"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1.846.747</w:t>
            </w:r>
          </w:p>
        </w:tc>
      </w:tr>
      <w:tr w:rsidR="00F24E18" w:rsidRPr="009452EC" w14:paraId="113BAA4E"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15E97C06"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3947BDD2"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1049F600"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Gradnje</w:t>
            </w:r>
          </w:p>
        </w:tc>
        <w:tc>
          <w:tcPr>
            <w:tcW w:w="495" w:type="pct"/>
            <w:tcBorders>
              <w:top w:val="nil"/>
              <w:left w:val="nil"/>
              <w:bottom w:val="single" w:sz="4" w:space="0" w:color="auto"/>
              <w:right w:val="single" w:sz="4" w:space="0" w:color="auto"/>
            </w:tcBorders>
            <w:shd w:val="clear" w:color="auto" w:fill="auto"/>
            <w:noWrap/>
            <w:vAlign w:val="center"/>
            <w:hideMark/>
          </w:tcPr>
          <w:p w14:paraId="006F0B90"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4</w:t>
            </w:r>
          </w:p>
        </w:tc>
        <w:tc>
          <w:tcPr>
            <w:tcW w:w="1068" w:type="pct"/>
            <w:tcBorders>
              <w:top w:val="nil"/>
              <w:left w:val="nil"/>
              <w:bottom w:val="single" w:sz="4" w:space="0" w:color="auto"/>
              <w:right w:val="single" w:sz="4" w:space="0" w:color="auto"/>
            </w:tcBorders>
            <w:shd w:val="clear" w:color="auto" w:fill="auto"/>
            <w:noWrap/>
            <w:vAlign w:val="center"/>
            <w:hideMark/>
          </w:tcPr>
          <w:p w14:paraId="3F1B3136"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7.489.214</w:t>
            </w:r>
          </w:p>
        </w:tc>
      </w:tr>
      <w:tr w:rsidR="00F24E18" w:rsidRPr="009452EC" w14:paraId="0480C4D0"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39012E6E"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7D5EFF5C"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40775E9D"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auto"/>
            <w:noWrap/>
            <w:vAlign w:val="center"/>
            <w:hideMark/>
          </w:tcPr>
          <w:p w14:paraId="3E757FFB"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80</w:t>
            </w:r>
          </w:p>
        </w:tc>
        <w:tc>
          <w:tcPr>
            <w:tcW w:w="1068" w:type="pct"/>
            <w:tcBorders>
              <w:top w:val="nil"/>
              <w:left w:val="nil"/>
              <w:bottom w:val="single" w:sz="4" w:space="0" w:color="auto"/>
              <w:right w:val="single" w:sz="4" w:space="0" w:color="auto"/>
            </w:tcBorders>
            <w:shd w:val="clear" w:color="auto" w:fill="auto"/>
            <w:noWrap/>
            <w:vAlign w:val="center"/>
            <w:hideMark/>
          </w:tcPr>
          <w:p w14:paraId="3CBB9CF2"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16.319.497</w:t>
            </w:r>
          </w:p>
        </w:tc>
      </w:tr>
      <w:tr w:rsidR="00F24E18" w:rsidRPr="009452EC" w14:paraId="223F01E7" w14:textId="77777777" w:rsidTr="000E18B5">
        <w:trPr>
          <w:trHeight w:val="300"/>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0B0B52"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7</w:t>
            </w:r>
          </w:p>
        </w:tc>
        <w:tc>
          <w:tcPr>
            <w:tcW w:w="2423" w:type="pct"/>
            <w:vMerge w:val="restart"/>
            <w:tcBorders>
              <w:top w:val="nil"/>
              <w:left w:val="single" w:sz="4" w:space="0" w:color="auto"/>
              <w:bottom w:val="single" w:sz="4" w:space="0" w:color="auto"/>
              <w:right w:val="single" w:sz="4" w:space="0" w:color="auto"/>
            </w:tcBorders>
            <w:shd w:val="clear" w:color="auto" w:fill="auto"/>
            <w:vAlign w:val="center"/>
            <w:hideMark/>
          </w:tcPr>
          <w:p w14:paraId="51BE25A0"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Drugi naročniki (osebe javnega prava, javna podjetja, subjekt s posebnimi infrastrukturnimi pravicami)</w:t>
            </w:r>
          </w:p>
        </w:tc>
        <w:tc>
          <w:tcPr>
            <w:tcW w:w="495" w:type="pct"/>
            <w:tcBorders>
              <w:top w:val="nil"/>
              <w:left w:val="nil"/>
              <w:bottom w:val="single" w:sz="4" w:space="0" w:color="auto"/>
              <w:right w:val="single" w:sz="4" w:space="0" w:color="auto"/>
            </w:tcBorders>
            <w:shd w:val="clear" w:color="auto" w:fill="auto"/>
            <w:noWrap/>
            <w:vAlign w:val="center"/>
            <w:hideMark/>
          </w:tcPr>
          <w:p w14:paraId="06B646FE"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auto"/>
            <w:noWrap/>
            <w:vAlign w:val="center"/>
            <w:hideMark/>
          </w:tcPr>
          <w:p w14:paraId="19CE25EA"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1.817</w:t>
            </w:r>
          </w:p>
        </w:tc>
        <w:tc>
          <w:tcPr>
            <w:tcW w:w="1068" w:type="pct"/>
            <w:tcBorders>
              <w:top w:val="nil"/>
              <w:left w:val="nil"/>
              <w:bottom w:val="single" w:sz="4" w:space="0" w:color="auto"/>
              <w:right w:val="single" w:sz="4" w:space="0" w:color="auto"/>
            </w:tcBorders>
            <w:shd w:val="clear" w:color="auto" w:fill="auto"/>
            <w:noWrap/>
            <w:vAlign w:val="center"/>
            <w:hideMark/>
          </w:tcPr>
          <w:p w14:paraId="149138DC"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781.226.950</w:t>
            </w:r>
          </w:p>
        </w:tc>
      </w:tr>
      <w:tr w:rsidR="00F24E18" w:rsidRPr="009452EC" w14:paraId="251C3A1F"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6638B450"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286A4026"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0F2BB88A"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auto"/>
            <w:noWrap/>
            <w:vAlign w:val="center"/>
            <w:hideMark/>
          </w:tcPr>
          <w:p w14:paraId="1B534B98"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1.704</w:t>
            </w:r>
          </w:p>
        </w:tc>
        <w:tc>
          <w:tcPr>
            <w:tcW w:w="1068" w:type="pct"/>
            <w:tcBorders>
              <w:top w:val="nil"/>
              <w:left w:val="nil"/>
              <w:bottom w:val="single" w:sz="4" w:space="0" w:color="auto"/>
              <w:right w:val="single" w:sz="4" w:space="0" w:color="auto"/>
            </w:tcBorders>
            <w:shd w:val="clear" w:color="auto" w:fill="auto"/>
            <w:noWrap/>
            <w:vAlign w:val="center"/>
            <w:hideMark/>
          </w:tcPr>
          <w:p w14:paraId="6587C84E"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655.118.460</w:t>
            </w:r>
          </w:p>
        </w:tc>
      </w:tr>
      <w:tr w:rsidR="00F24E18" w:rsidRPr="009452EC" w14:paraId="1853EEE3"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46EE6C50"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43BE039E"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6B9D93F8"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Gradnje</w:t>
            </w:r>
          </w:p>
        </w:tc>
        <w:tc>
          <w:tcPr>
            <w:tcW w:w="495" w:type="pct"/>
            <w:tcBorders>
              <w:top w:val="nil"/>
              <w:left w:val="nil"/>
              <w:bottom w:val="single" w:sz="4" w:space="0" w:color="auto"/>
              <w:right w:val="single" w:sz="4" w:space="0" w:color="auto"/>
            </w:tcBorders>
            <w:shd w:val="clear" w:color="auto" w:fill="auto"/>
            <w:noWrap/>
            <w:vAlign w:val="center"/>
            <w:hideMark/>
          </w:tcPr>
          <w:p w14:paraId="17428D8D"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392</w:t>
            </w:r>
          </w:p>
        </w:tc>
        <w:tc>
          <w:tcPr>
            <w:tcW w:w="1068" w:type="pct"/>
            <w:tcBorders>
              <w:top w:val="nil"/>
              <w:left w:val="nil"/>
              <w:bottom w:val="single" w:sz="4" w:space="0" w:color="auto"/>
              <w:right w:val="single" w:sz="4" w:space="0" w:color="auto"/>
            </w:tcBorders>
            <w:shd w:val="clear" w:color="auto" w:fill="auto"/>
            <w:noWrap/>
            <w:vAlign w:val="center"/>
            <w:hideMark/>
          </w:tcPr>
          <w:p w14:paraId="6F3D28D2"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409.584.690</w:t>
            </w:r>
          </w:p>
        </w:tc>
      </w:tr>
      <w:tr w:rsidR="00F24E18" w:rsidRPr="009452EC" w14:paraId="79D71040"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670031D6"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0D84C180"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39000E69"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auto"/>
            <w:noWrap/>
            <w:vAlign w:val="center"/>
          </w:tcPr>
          <w:p w14:paraId="5235B3DA"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3.913</w:t>
            </w:r>
          </w:p>
        </w:tc>
        <w:tc>
          <w:tcPr>
            <w:tcW w:w="1068" w:type="pct"/>
            <w:tcBorders>
              <w:top w:val="nil"/>
              <w:left w:val="nil"/>
              <w:bottom w:val="single" w:sz="4" w:space="0" w:color="auto"/>
              <w:right w:val="single" w:sz="4" w:space="0" w:color="auto"/>
            </w:tcBorders>
            <w:shd w:val="clear" w:color="auto" w:fill="auto"/>
            <w:noWrap/>
            <w:vAlign w:val="center"/>
          </w:tcPr>
          <w:p w14:paraId="714186A3"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1.845.930.100</w:t>
            </w:r>
          </w:p>
        </w:tc>
      </w:tr>
      <w:tr w:rsidR="00F24E18" w:rsidRPr="009452EC" w14:paraId="4F0C2BDD" w14:textId="77777777" w:rsidTr="000E18B5">
        <w:trPr>
          <w:trHeight w:val="300"/>
        </w:trPr>
        <w:tc>
          <w:tcPr>
            <w:tcW w:w="5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975CF6"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8</w:t>
            </w:r>
          </w:p>
        </w:tc>
        <w:tc>
          <w:tcPr>
            <w:tcW w:w="2423" w:type="pct"/>
            <w:vMerge w:val="restart"/>
            <w:tcBorders>
              <w:top w:val="nil"/>
              <w:left w:val="single" w:sz="4" w:space="0" w:color="auto"/>
              <w:bottom w:val="single" w:sz="4" w:space="0" w:color="auto"/>
              <w:right w:val="single" w:sz="4" w:space="0" w:color="auto"/>
            </w:tcBorders>
            <w:shd w:val="clear" w:color="auto" w:fill="auto"/>
            <w:vAlign w:val="center"/>
            <w:hideMark/>
          </w:tcPr>
          <w:p w14:paraId="2BD630FF"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Drugi subjekti</w:t>
            </w:r>
          </w:p>
        </w:tc>
        <w:tc>
          <w:tcPr>
            <w:tcW w:w="495" w:type="pct"/>
            <w:tcBorders>
              <w:top w:val="nil"/>
              <w:left w:val="nil"/>
              <w:bottom w:val="single" w:sz="4" w:space="0" w:color="auto"/>
              <w:right w:val="single" w:sz="4" w:space="0" w:color="auto"/>
            </w:tcBorders>
            <w:shd w:val="clear" w:color="auto" w:fill="auto"/>
            <w:noWrap/>
            <w:vAlign w:val="center"/>
            <w:hideMark/>
          </w:tcPr>
          <w:p w14:paraId="53226221"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auto"/>
            <w:noWrap/>
            <w:vAlign w:val="center"/>
            <w:hideMark/>
          </w:tcPr>
          <w:p w14:paraId="691B6E5E"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58</w:t>
            </w:r>
          </w:p>
        </w:tc>
        <w:tc>
          <w:tcPr>
            <w:tcW w:w="1068" w:type="pct"/>
            <w:tcBorders>
              <w:top w:val="nil"/>
              <w:left w:val="nil"/>
              <w:bottom w:val="single" w:sz="4" w:space="0" w:color="auto"/>
              <w:right w:val="single" w:sz="4" w:space="0" w:color="auto"/>
            </w:tcBorders>
            <w:shd w:val="clear" w:color="auto" w:fill="auto"/>
            <w:noWrap/>
            <w:vAlign w:val="center"/>
            <w:hideMark/>
          </w:tcPr>
          <w:p w14:paraId="5C65F8F1"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56.930.865</w:t>
            </w:r>
          </w:p>
        </w:tc>
      </w:tr>
      <w:tr w:rsidR="00F24E18" w:rsidRPr="009452EC" w14:paraId="124303B5"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20FB8FDC"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6DCAA4D7"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1222B59C"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auto"/>
            <w:noWrap/>
            <w:vAlign w:val="center"/>
            <w:hideMark/>
          </w:tcPr>
          <w:p w14:paraId="589DCB8E"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30</w:t>
            </w:r>
          </w:p>
        </w:tc>
        <w:tc>
          <w:tcPr>
            <w:tcW w:w="1068" w:type="pct"/>
            <w:tcBorders>
              <w:top w:val="nil"/>
              <w:left w:val="nil"/>
              <w:bottom w:val="single" w:sz="4" w:space="0" w:color="auto"/>
              <w:right w:val="single" w:sz="4" w:space="0" w:color="auto"/>
            </w:tcBorders>
            <w:shd w:val="clear" w:color="auto" w:fill="auto"/>
            <w:noWrap/>
            <w:vAlign w:val="center"/>
            <w:hideMark/>
          </w:tcPr>
          <w:p w14:paraId="3896F508"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2.924.668</w:t>
            </w:r>
          </w:p>
        </w:tc>
      </w:tr>
      <w:tr w:rsidR="00F24E18" w:rsidRPr="009452EC" w14:paraId="3775CEFC"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2FF1FB64"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7145ED7D"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22B4BD29"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Gradnje</w:t>
            </w:r>
          </w:p>
        </w:tc>
        <w:tc>
          <w:tcPr>
            <w:tcW w:w="495" w:type="pct"/>
            <w:tcBorders>
              <w:top w:val="nil"/>
              <w:left w:val="nil"/>
              <w:bottom w:val="single" w:sz="4" w:space="0" w:color="auto"/>
              <w:right w:val="single" w:sz="4" w:space="0" w:color="auto"/>
            </w:tcBorders>
            <w:shd w:val="clear" w:color="auto" w:fill="auto"/>
            <w:noWrap/>
            <w:vAlign w:val="center"/>
            <w:hideMark/>
          </w:tcPr>
          <w:p w14:paraId="0AC9A557"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8</w:t>
            </w:r>
          </w:p>
        </w:tc>
        <w:tc>
          <w:tcPr>
            <w:tcW w:w="1068" w:type="pct"/>
            <w:tcBorders>
              <w:top w:val="nil"/>
              <w:left w:val="nil"/>
              <w:bottom w:val="single" w:sz="4" w:space="0" w:color="auto"/>
              <w:right w:val="single" w:sz="4" w:space="0" w:color="auto"/>
            </w:tcBorders>
            <w:shd w:val="clear" w:color="auto" w:fill="auto"/>
            <w:noWrap/>
            <w:vAlign w:val="center"/>
            <w:hideMark/>
          </w:tcPr>
          <w:p w14:paraId="74D8AD1B"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hAnsi="Arial" w:cs="Arial"/>
                <w:color w:val="000000"/>
                <w:sz w:val="18"/>
                <w:szCs w:val="18"/>
              </w:rPr>
              <w:t>216.808.123</w:t>
            </w:r>
          </w:p>
        </w:tc>
      </w:tr>
      <w:tr w:rsidR="00F24E18" w:rsidRPr="009452EC" w14:paraId="2D896B09" w14:textId="77777777" w:rsidTr="000E18B5">
        <w:trPr>
          <w:trHeight w:val="300"/>
        </w:trPr>
        <w:tc>
          <w:tcPr>
            <w:tcW w:w="519" w:type="pct"/>
            <w:vMerge/>
            <w:tcBorders>
              <w:top w:val="nil"/>
              <w:left w:val="single" w:sz="4" w:space="0" w:color="auto"/>
              <w:bottom w:val="single" w:sz="4" w:space="0" w:color="auto"/>
              <w:right w:val="single" w:sz="4" w:space="0" w:color="auto"/>
            </w:tcBorders>
            <w:vAlign w:val="center"/>
            <w:hideMark/>
          </w:tcPr>
          <w:p w14:paraId="3D925BDC"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2423" w:type="pct"/>
            <w:vMerge/>
            <w:tcBorders>
              <w:top w:val="nil"/>
              <w:left w:val="single" w:sz="4" w:space="0" w:color="auto"/>
              <w:bottom w:val="single" w:sz="4" w:space="0" w:color="auto"/>
              <w:right w:val="single" w:sz="4" w:space="0" w:color="auto"/>
            </w:tcBorders>
            <w:vAlign w:val="center"/>
            <w:hideMark/>
          </w:tcPr>
          <w:p w14:paraId="32DAD73F"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auto"/>
            <w:noWrap/>
            <w:vAlign w:val="center"/>
            <w:hideMark/>
          </w:tcPr>
          <w:p w14:paraId="10805AF0"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auto"/>
            <w:noWrap/>
            <w:vAlign w:val="center"/>
            <w:hideMark/>
          </w:tcPr>
          <w:p w14:paraId="272D74DE"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96</w:t>
            </w:r>
          </w:p>
        </w:tc>
        <w:tc>
          <w:tcPr>
            <w:tcW w:w="1068" w:type="pct"/>
            <w:tcBorders>
              <w:top w:val="nil"/>
              <w:left w:val="nil"/>
              <w:bottom w:val="single" w:sz="4" w:space="0" w:color="auto"/>
              <w:right w:val="single" w:sz="4" w:space="0" w:color="auto"/>
            </w:tcBorders>
            <w:shd w:val="clear" w:color="auto" w:fill="auto"/>
            <w:noWrap/>
            <w:vAlign w:val="center"/>
            <w:hideMark/>
          </w:tcPr>
          <w:p w14:paraId="15E92DA9"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276.663.656</w:t>
            </w:r>
          </w:p>
        </w:tc>
      </w:tr>
      <w:tr w:rsidR="00F24E18" w:rsidRPr="009452EC" w14:paraId="54086B83" w14:textId="77777777" w:rsidTr="000E18B5">
        <w:trPr>
          <w:trHeight w:val="300"/>
        </w:trPr>
        <w:tc>
          <w:tcPr>
            <w:tcW w:w="2942"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BDC0C6B"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F2F2F2" w:themeFill="background1" w:themeFillShade="F2"/>
            <w:noWrap/>
            <w:vAlign w:val="center"/>
            <w:hideMark/>
          </w:tcPr>
          <w:p w14:paraId="13D517AD"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Blago</w:t>
            </w:r>
          </w:p>
        </w:tc>
        <w:tc>
          <w:tcPr>
            <w:tcW w:w="495" w:type="pct"/>
            <w:tcBorders>
              <w:top w:val="nil"/>
              <w:left w:val="nil"/>
              <w:bottom w:val="single" w:sz="4" w:space="0" w:color="auto"/>
              <w:right w:val="single" w:sz="4" w:space="0" w:color="auto"/>
            </w:tcBorders>
            <w:shd w:val="clear" w:color="auto" w:fill="F2F2F2" w:themeFill="background1" w:themeFillShade="F2"/>
            <w:vAlign w:val="center"/>
          </w:tcPr>
          <w:p w14:paraId="70FA012A"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eastAsia="Times New Roman" w:hAnsi="Arial" w:cs="Arial"/>
                <w:color w:val="000000" w:themeColor="text1"/>
                <w:sz w:val="18"/>
                <w:szCs w:val="18"/>
                <w:lang w:eastAsia="sl-SI"/>
              </w:rPr>
              <w:t>10.607</w:t>
            </w:r>
          </w:p>
        </w:tc>
        <w:tc>
          <w:tcPr>
            <w:tcW w:w="1068" w:type="pct"/>
            <w:tcBorders>
              <w:top w:val="nil"/>
              <w:left w:val="nil"/>
              <w:bottom w:val="single" w:sz="4" w:space="0" w:color="auto"/>
              <w:right w:val="single" w:sz="4" w:space="0" w:color="auto"/>
            </w:tcBorders>
            <w:shd w:val="clear" w:color="auto" w:fill="F2F2F2" w:themeFill="background1" w:themeFillShade="F2"/>
            <w:vAlign w:val="center"/>
          </w:tcPr>
          <w:p w14:paraId="420BA6BD"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eastAsia="Times New Roman" w:hAnsi="Arial" w:cs="Arial"/>
                <w:color w:val="000000" w:themeColor="text1"/>
                <w:sz w:val="18"/>
                <w:szCs w:val="18"/>
                <w:lang w:eastAsia="sl-SI"/>
              </w:rPr>
              <w:t>2.607.599.248</w:t>
            </w:r>
          </w:p>
        </w:tc>
      </w:tr>
      <w:tr w:rsidR="00F24E18" w:rsidRPr="009452EC" w14:paraId="1647184B" w14:textId="77777777" w:rsidTr="000E18B5">
        <w:trPr>
          <w:trHeight w:val="300"/>
        </w:trPr>
        <w:tc>
          <w:tcPr>
            <w:tcW w:w="294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116C09"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F2F2F2" w:themeFill="background1" w:themeFillShade="F2"/>
            <w:noWrap/>
            <w:vAlign w:val="center"/>
            <w:hideMark/>
          </w:tcPr>
          <w:p w14:paraId="516A813E"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Storitve</w:t>
            </w:r>
          </w:p>
        </w:tc>
        <w:tc>
          <w:tcPr>
            <w:tcW w:w="495" w:type="pct"/>
            <w:tcBorders>
              <w:top w:val="nil"/>
              <w:left w:val="nil"/>
              <w:bottom w:val="single" w:sz="4" w:space="0" w:color="auto"/>
              <w:right w:val="single" w:sz="4" w:space="0" w:color="auto"/>
            </w:tcBorders>
            <w:shd w:val="clear" w:color="auto" w:fill="F2F2F2" w:themeFill="background1" w:themeFillShade="F2"/>
            <w:vAlign w:val="center"/>
          </w:tcPr>
          <w:p w14:paraId="7DECF78B"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eastAsia="Times New Roman" w:hAnsi="Arial" w:cs="Arial"/>
                <w:color w:val="000000" w:themeColor="text1"/>
                <w:sz w:val="18"/>
                <w:szCs w:val="18"/>
                <w:lang w:eastAsia="sl-SI"/>
              </w:rPr>
              <w:t>4.652</w:t>
            </w:r>
          </w:p>
        </w:tc>
        <w:tc>
          <w:tcPr>
            <w:tcW w:w="1068" w:type="pct"/>
            <w:tcBorders>
              <w:top w:val="nil"/>
              <w:left w:val="nil"/>
              <w:bottom w:val="single" w:sz="4" w:space="0" w:color="auto"/>
              <w:right w:val="single" w:sz="4" w:space="0" w:color="auto"/>
            </w:tcBorders>
            <w:shd w:val="clear" w:color="auto" w:fill="F2F2F2" w:themeFill="background1" w:themeFillShade="F2"/>
            <w:vAlign w:val="center"/>
          </w:tcPr>
          <w:p w14:paraId="06E18F67"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eastAsia="Times New Roman" w:hAnsi="Arial" w:cs="Arial"/>
                <w:color w:val="000000" w:themeColor="text1"/>
                <w:sz w:val="18"/>
                <w:szCs w:val="18"/>
                <w:lang w:eastAsia="sl-SI"/>
              </w:rPr>
              <w:t>2.197.735.054</w:t>
            </w:r>
          </w:p>
        </w:tc>
      </w:tr>
      <w:tr w:rsidR="00F24E18" w:rsidRPr="009452EC" w14:paraId="44ADC317" w14:textId="77777777" w:rsidTr="000E18B5">
        <w:trPr>
          <w:trHeight w:val="300"/>
        </w:trPr>
        <w:tc>
          <w:tcPr>
            <w:tcW w:w="294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7BBFBA"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F2F2F2" w:themeFill="background1" w:themeFillShade="F2"/>
            <w:noWrap/>
            <w:vAlign w:val="center"/>
            <w:hideMark/>
          </w:tcPr>
          <w:p w14:paraId="66770B2C" w14:textId="77777777" w:rsidR="00F24E18" w:rsidRPr="009452EC" w:rsidRDefault="00F24E18" w:rsidP="000E18B5">
            <w:pPr>
              <w:spacing w:after="0" w:line="240" w:lineRule="auto"/>
              <w:rPr>
                <w:rFonts w:ascii="Arial" w:eastAsia="Times New Roman" w:hAnsi="Arial" w:cs="Arial"/>
                <w:color w:val="000000"/>
                <w:sz w:val="18"/>
                <w:szCs w:val="18"/>
                <w:lang w:eastAsia="sl-SI"/>
              </w:rPr>
            </w:pPr>
            <w:r w:rsidRPr="009452EC">
              <w:rPr>
                <w:rFonts w:ascii="Arial" w:eastAsia="Times New Roman" w:hAnsi="Arial" w:cs="Arial"/>
                <w:color w:val="000000"/>
                <w:sz w:val="18"/>
                <w:szCs w:val="18"/>
                <w:lang w:eastAsia="sl-SI"/>
              </w:rPr>
              <w:t>Gradnje</w:t>
            </w:r>
          </w:p>
        </w:tc>
        <w:tc>
          <w:tcPr>
            <w:tcW w:w="495" w:type="pct"/>
            <w:tcBorders>
              <w:top w:val="nil"/>
              <w:left w:val="nil"/>
              <w:bottom w:val="single" w:sz="4" w:space="0" w:color="auto"/>
              <w:right w:val="single" w:sz="4" w:space="0" w:color="auto"/>
            </w:tcBorders>
            <w:shd w:val="clear" w:color="auto" w:fill="F2F2F2" w:themeFill="background1" w:themeFillShade="F2"/>
            <w:vAlign w:val="center"/>
          </w:tcPr>
          <w:p w14:paraId="7FF4978F"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eastAsia="Times New Roman" w:hAnsi="Arial" w:cs="Arial"/>
                <w:color w:val="000000" w:themeColor="text1"/>
                <w:sz w:val="18"/>
                <w:szCs w:val="18"/>
                <w:lang w:eastAsia="sl-SI"/>
              </w:rPr>
              <w:t>1.565</w:t>
            </w:r>
          </w:p>
        </w:tc>
        <w:tc>
          <w:tcPr>
            <w:tcW w:w="1068" w:type="pct"/>
            <w:tcBorders>
              <w:top w:val="nil"/>
              <w:left w:val="nil"/>
              <w:bottom w:val="single" w:sz="4" w:space="0" w:color="auto"/>
              <w:right w:val="single" w:sz="4" w:space="0" w:color="auto"/>
            </w:tcBorders>
            <w:shd w:val="clear" w:color="auto" w:fill="F2F2F2" w:themeFill="background1" w:themeFillShade="F2"/>
            <w:vAlign w:val="center"/>
          </w:tcPr>
          <w:p w14:paraId="65673D76" w14:textId="77777777" w:rsidR="00F24E18" w:rsidRPr="009452EC" w:rsidRDefault="00F24E18" w:rsidP="000E18B5">
            <w:pPr>
              <w:spacing w:after="0" w:line="240" w:lineRule="auto"/>
              <w:jc w:val="right"/>
              <w:rPr>
                <w:rFonts w:ascii="Arial" w:eastAsia="Times New Roman" w:hAnsi="Arial" w:cs="Arial"/>
                <w:color w:val="000000"/>
                <w:sz w:val="18"/>
                <w:szCs w:val="18"/>
                <w:lang w:eastAsia="sl-SI"/>
              </w:rPr>
            </w:pPr>
            <w:r w:rsidRPr="009452EC">
              <w:rPr>
                <w:rFonts w:ascii="Arial" w:eastAsia="Times New Roman" w:hAnsi="Arial" w:cs="Arial"/>
                <w:color w:val="000000" w:themeColor="text1"/>
                <w:sz w:val="18"/>
                <w:szCs w:val="18"/>
                <w:lang w:eastAsia="sl-SI"/>
              </w:rPr>
              <w:t>1.426.916.667</w:t>
            </w:r>
          </w:p>
        </w:tc>
      </w:tr>
      <w:tr w:rsidR="00F24E18" w:rsidRPr="009452EC" w14:paraId="5B5D07DD" w14:textId="77777777" w:rsidTr="000E18B5">
        <w:trPr>
          <w:trHeight w:val="300"/>
        </w:trPr>
        <w:tc>
          <w:tcPr>
            <w:tcW w:w="294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22206C" w14:textId="77777777" w:rsidR="00F24E18" w:rsidRPr="009452EC" w:rsidRDefault="00F24E18" w:rsidP="000E18B5">
            <w:pPr>
              <w:spacing w:after="0" w:line="240" w:lineRule="auto"/>
              <w:rPr>
                <w:rFonts w:ascii="Arial" w:eastAsia="Times New Roman" w:hAnsi="Arial" w:cs="Arial"/>
                <w:color w:val="000000"/>
                <w:sz w:val="18"/>
                <w:szCs w:val="18"/>
                <w:lang w:eastAsia="sl-SI"/>
              </w:rPr>
            </w:pPr>
          </w:p>
        </w:tc>
        <w:tc>
          <w:tcPr>
            <w:tcW w:w="495" w:type="pct"/>
            <w:tcBorders>
              <w:top w:val="nil"/>
              <w:left w:val="nil"/>
              <w:bottom w:val="single" w:sz="4" w:space="0" w:color="auto"/>
              <w:right w:val="single" w:sz="4" w:space="0" w:color="auto"/>
            </w:tcBorders>
            <w:shd w:val="clear" w:color="auto" w:fill="F2F2F2" w:themeFill="background1" w:themeFillShade="F2"/>
            <w:noWrap/>
            <w:vAlign w:val="center"/>
            <w:hideMark/>
          </w:tcPr>
          <w:p w14:paraId="0D42ABA0" w14:textId="77777777" w:rsidR="00F24E18" w:rsidRPr="009452EC" w:rsidRDefault="00F24E18" w:rsidP="000E18B5">
            <w:pPr>
              <w:spacing w:after="0" w:line="240" w:lineRule="auto"/>
              <w:rPr>
                <w:rFonts w:ascii="Arial" w:eastAsia="Times New Roman" w:hAnsi="Arial" w:cs="Arial"/>
                <w:b/>
                <w:bCs/>
                <w:color w:val="000000"/>
                <w:sz w:val="18"/>
                <w:szCs w:val="18"/>
                <w:lang w:eastAsia="sl-SI"/>
              </w:rPr>
            </w:pPr>
            <w:r w:rsidRPr="009452EC">
              <w:rPr>
                <w:rFonts w:ascii="Arial" w:eastAsia="Times New Roman" w:hAnsi="Arial" w:cs="Arial"/>
                <w:b/>
                <w:bCs/>
                <w:color w:val="000000"/>
                <w:sz w:val="18"/>
                <w:szCs w:val="18"/>
                <w:lang w:eastAsia="sl-SI"/>
              </w:rPr>
              <w:t>Skupaj</w:t>
            </w:r>
          </w:p>
        </w:tc>
        <w:tc>
          <w:tcPr>
            <w:tcW w:w="495" w:type="pct"/>
            <w:tcBorders>
              <w:top w:val="nil"/>
              <w:left w:val="nil"/>
              <w:bottom w:val="single" w:sz="4" w:space="0" w:color="auto"/>
              <w:right w:val="single" w:sz="4" w:space="0" w:color="auto"/>
            </w:tcBorders>
            <w:shd w:val="clear" w:color="auto" w:fill="F2F2F2" w:themeFill="background1" w:themeFillShade="F2"/>
            <w:noWrap/>
            <w:vAlign w:val="center"/>
            <w:hideMark/>
          </w:tcPr>
          <w:p w14:paraId="51BECB2D"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16.824</w:t>
            </w:r>
          </w:p>
        </w:tc>
        <w:tc>
          <w:tcPr>
            <w:tcW w:w="1068" w:type="pct"/>
            <w:tcBorders>
              <w:top w:val="nil"/>
              <w:left w:val="nil"/>
              <w:bottom w:val="single" w:sz="4" w:space="0" w:color="auto"/>
              <w:right w:val="single" w:sz="4" w:space="0" w:color="auto"/>
            </w:tcBorders>
            <w:shd w:val="clear" w:color="auto" w:fill="F2F2F2" w:themeFill="background1" w:themeFillShade="F2"/>
            <w:noWrap/>
            <w:vAlign w:val="center"/>
            <w:hideMark/>
          </w:tcPr>
          <w:p w14:paraId="1F856414" w14:textId="77777777" w:rsidR="00F24E18" w:rsidRPr="009452EC" w:rsidRDefault="00F24E18" w:rsidP="000E18B5">
            <w:pPr>
              <w:spacing w:after="0" w:line="240" w:lineRule="auto"/>
              <w:jc w:val="right"/>
              <w:rPr>
                <w:rFonts w:ascii="Arial" w:eastAsia="Times New Roman" w:hAnsi="Arial" w:cs="Arial"/>
                <w:b/>
                <w:bCs/>
                <w:color w:val="000000"/>
                <w:sz w:val="18"/>
                <w:szCs w:val="18"/>
                <w:lang w:eastAsia="sl-SI"/>
              </w:rPr>
            </w:pPr>
            <w:r w:rsidRPr="009452EC">
              <w:rPr>
                <w:rFonts w:ascii="Arial" w:hAnsi="Arial" w:cs="Arial"/>
                <w:b/>
                <w:bCs/>
                <w:color w:val="000000"/>
                <w:sz w:val="18"/>
                <w:szCs w:val="18"/>
              </w:rPr>
              <w:t>6.232.250.969</w:t>
            </w:r>
          </w:p>
        </w:tc>
      </w:tr>
    </w:tbl>
    <w:p w14:paraId="1B0396C2" w14:textId="77777777" w:rsidR="00F24E18" w:rsidRPr="00242E41" w:rsidRDefault="00F24E18" w:rsidP="00F24E18">
      <w:pPr>
        <w:pStyle w:val="ZADEVA"/>
        <w:spacing w:line="240" w:lineRule="auto"/>
        <w:jc w:val="both"/>
        <w:rPr>
          <w:rFonts w:cs="Arial"/>
          <w:b w:val="0"/>
          <w:szCs w:val="20"/>
          <w:highlight w:val="yellow"/>
          <w:lang w:val="sl-SI"/>
        </w:rPr>
      </w:pPr>
    </w:p>
    <w:p w14:paraId="73BB5269" w14:textId="77777777" w:rsidR="00F24E18" w:rsidRPr="00822F5D" w:rsidRDefault="00F24E18" w:rsidP="00F24E18">
      <w:pPr>
        <w:pStyle w:val="ZADEVA"/>
        <w:spacing w:before="120" w:line="240" w:lineRule="auto"/>
        <w:jc w:val="both"/>
        <w:rPr>
          <w:rFonts w:cs="Arial"/>
          <w:b w:val="0"/>
          <w:szCs w:val="20"/>
          <w:lang w:val="sl-SI"/>
        </w:rPr>
      </w:pPr>
      <w:r w:rsidRPr="00822F5D">
        <w:rPr>
          <w:rFonts w:cs="Arial"/>
          <w:b w:val="0"/>
          <w:szCs w:val="20"/>
          <w:lang w:val="sl-SI"/>
        </w:rPr>
        <w:t>Preglednica 61: Javna naročila glede na predmet naročanja in vrsto postopka</w:t>
      </w:r>
    </w:p>
    <w:p w14:paraId="7455805A" w14:textId="77777777" w:rsidR="00F24E18" w:rsidRPr="00242E41" w:rsidRDefault="00F24E18" w:rsidP="00F24E18">
      <w:pPr>
        <w:pStyle w:val="ZADEVA"/>
        <w:spacing w:line="240" w:lineRule="auto"/>
        <w:jc w:val="both"/>
        <w:rPr>
          <w:rFonts w:cs="Arial"/>
          <w:b w:val="0"/>
          <w:szCs w:val="20"/>
          <w:highlight w:val="yellow"/>
          <w:lang w:val="sl-SI"/>
        </w:rPr>
      </w:pPr>
    </w:p>
    <w:tbl>
      <w:tblPr>
        <w:tblW w:w="5000" w:type="pct"/>
        <w:tblCellMar>
          <w:left w:w="70" w:type="dxa"/>
          <w:right w:w="70" w:type="dxa"/>
        </w:tblCellMar>
        <w:tblLook w:val="04A0" w:firstRow="1" w:lastRow="0" w:firstColumn="1" w:lastColumn="0" w:noHBand="0" w:noVBand="1"/>
      </w:tblPr>
      <w:tblGrid>
        <w:gridCol w:w="929"/>
        <w:gridCol w:w="4948"/>
        <w:gridCol w:w="1303"/>
        <w:gridCol w:w="1994"/>
      </w:tblGrid>
      <w:tr w:rsidR="00F24E18" w:rsidRPr="00822F5D" w14:paraId="32A8F075" w14:textId="77777777" w:rsidTr="000E18B5">
        <w:trPr>
          <w:trHeight w:val="300"/>
          <w:tblHeader/>
        </w:trPr>
        <w:tc>
          <w:tcPr>
            <w:tcW w:w="50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29E06E"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Predmet</w:t>
            </w:r>
          </w:p>
        </w:tc>
        <w:tc>
          <w:tcPr>
            <w:tcW w:w="2697" w:type="pct"/>
            <w:tcBorders>
              <w:top w:val="single" w:sz="4" w:space="0" w:color="auto"/>
              <w:left w:val="nil"/>
              <w:bottom w:val="single" w:sz="4" w:space="0" w:color="auto"/>
              <w:right w:val="single" w:sz="4" w:space="0" w:color="auto"/>
            </w:tcBorders>
            <w:shd w:val="clear" w:color="000000" w:fill="F2F2F2"/>
            <w:noWrap/>
            <w:vAlign w:val="center"/>
            <w:hideMark/>
          </w:tcPr>
          <w:p w14:paraId="54938672" w14:textId="77777777" w:rsidR="00F24E18" w:rsidRPr="00822F5D" w:rsidRDefault="00F24E18" w:rsidP="000E18B5">
            <w:pPr>
              <w:spacing w:after="0" w:line="240" w:lineRule="auto"/>
              <w:jc w:val="center"/>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Vrsta postopka</w:t>
            </w:r>
          </w:p>
        </w:tc>
        <w:tc>
          <w:tcPr>
            <w:tcW w:w="710" w:type="pct"/>
            <w:tcBorders>
              <w:top w:val="single" w:sz="4" w:space="0" w:color="auto"/>
              <w:left w:val="nil"/>
              <w:bottom w:val="single" w:sz="4" w:space="0" w:color="auto"/>
              <w:right w:val="single" w:sz="4" w:space="0" w:color="auto"/>
            </w:tcBorders>
            <w:shd w:val="clear" w:color="000000" w:fill="F2F2F2"/>
            <w:noWrap/>
            <w:vAlign w:val="center"/>
            <w:hideMark/>
          </w:tcPr>
          <w:p w14:paraId="3A999CE1" w14:textId="77777777" w:rsidR="00F24E18" w:rsidRPr="00822F5D" w:rsidRDefault="00F24E18" w:rsidP="000E18B5">
            <w:pPr>
              <w:spacing w:after="0" w:line="240" w:lineRule="auto"/>
              <w:jc w:val="center"/>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Št. postopkov</w:t>
            </w:r>
          </w:p>
        </w:tc>
        <w:tc>
          <w:tcPr>
            <w:tcW w:w="1087" w:type="pct"/>
            <w:tcBorders>
              <w:top w:val="single" w:sz="4" w:space="0" w:color="auto"/>
              <w:left w:val="nil"/>
              <w:bottom w:val="single" w:sz="4" w:space="0" w:color="auto"/>
              <w:right w:val="single" w:sz="4" w:space="0" w:color="auto"/>
            </w:tcBorders>
            <w:shd w:val="clear" w:color="000000" w:fill="F2F2F2"/>
            <w:noWrap/>
            <w:vAlign w:val="center"/>
            <w:hideMark/>
          </w:tcPr>
          <w:p w14:paraId="322438EF" w14:textId="77777777" w:rsidR="00F24E18" w:rsidRPr="00822F5D" w:rsidRDefault="00F24E18" w:rsidP="000E18B5">
            <w:pPr>
              <w:spacing w:after="0" w:line="240" w:lineRule="auto"/>
              <w:jc w:val="center"/>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Pogodbena vrednost</w:t>
            </w:r>
          </w:p>
        </w:tc>
      </w:tr>
      <w:tr w:rsidR="00F24E18" w:rsidRPr="00822F5D" w14:paraId="2242C220" w14:textId="77777777" w:rsidTr="000E18B5">
        <w:trPr>
          <w:trHeight w:val="300"/>
        </w:trPr>
        <w:tc>
          <w:tcPr>
            <w:tcW w:w="50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1D84DC"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Blago</w:t>
            </w:r>
          </w:p>
        </w:tc>
        <w:tc>
          <w:tcPr>
            <w:tcW w:w="2697" w:type="pct"/>
            <w:tcBorders>
              <w:top w:val="nil"/>
              <w:left w:val="nil"/>
              <w:bottom w:val="single" w:sz="4" w:space="0" w:color="auto"/>
              <w:right w:val="single" w:sz="4" w:space="0" w:color="auto"/>
            </w:tcBorders>
            <w:shd w:val="clear" w:color="auto" w:fill="auto"/>
            <w:noWrap/>
            <w:vAlign w:val="center"/>
            <w:hideMark/>
          </w:tcPr>
          <w:p w14:paraId="057EA2EC"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Konkurenčni dialog</w:t>
            </w:r>
          </w:p>
        </w:tc>
        <w:tc>
          <w:tcPr>
            <w:tcW w:w="710" w:type="pct"/>
            <w:tcBorders>
              <w:top w:val="nil"/>
              <w:left w:val="nil"/>
              <w:bottom w:val="single" w:sz="4" w:space="0" w:color="auto"/>
              <w:right w:val="single" w:sz="4" w:space="0" w:color="auto"/>
            </w:tcBorders>
            <w:shd w:val="clear" w:color="auto" w:fill="auto"/>
            <w:noWrap/>
            <w:vAlign w:val="center"/>
            <w:hideMark/>
          </w:tcPr>
          <w:p w14:paraId="663CF7A5"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7</w:t>
            </w:r>
          </w:p>
        </w:tc>
        <w:tc>
          <w:tcPr>
            <w:tcW w:w="1087" w:type="pct"/>
            <w:tcBorders>
              <w:top w:val="nil"/>
              <w:left w:val="nil"/>
              <w:bottom w:val="single" w:sz="4" w:space="0" w:color="auto"/>
              <w:right w:val="single" w:sz="4" w:space="0" w:color="auto"/>
            </w:tcBorders>
            <w:shd w:val="clear" w:color="auto" w:fill="auto"/>
            <w:noWrap/>
            <w:vAlign w:val="center"/>
            <w:hideMark/>
          </w:tcPr>
          <w:p w14:paraId="4BF572D2"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2.693.193</w:t>
            </w:r>
          </w:p>
        </w:tc>
      </w:tr>
      <w:tr w:rsidR="00F24E18" w:rsidRPr="00822F5D" w14:paraId="64F88DD5"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761E0550"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78BEB709"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Konkurenčni postopek s pogajanji</w:t>
            </w:r>
          </w:p>
        </w:tc>
        <w:tc>
          <w:tcPr>
            <w:tcW w:w="710" w:type="pct"/>
            <w:tcBorders>
              <w:top w:val="nil"/>
              <w:left w:val="nil"/>
              <w:bottom w:val="single" w:sz="4" w:space="0" w:color="auto"/>
              <w:right w:val="single" w:sz="4" w:space="0" w:color="auto"/>
            </w:tcBorders>
            <w:shd w:val="clear" w:color="auto" w:fill="auto"/>
            <w:noWrap/>
            <w:vAlign w:val="center"/>
            <w:hideMark/>
          </w:tcPr>
          <w:p w14:paraId="4780C08A"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41</w:t>
            </w:r>
          </w:p>
        </w:tc>
        <w:tc>
          <w:tcPr>
            <w:tcW w:w="1087" w:type="pct"/>
            <w:tcBorders>
              <w:top w:val="nil"/>
              <w:left w:val="nil"/>
              <w:bottom w:val="single" w:sz="4" w:space="0" w:color="auto"/>
              <w:right w:val="single" w:sz="4" w:space="0" w:color="auto"/>
            </w:tcBorders>
            <w:shd w:val="clear" w:color="auto" w:fill="auto"/>
            <w:noWrap/>
            <w:vAlign w:val="center"/>
            <w:hideMark/>
          </w:tcPr>
          <w:p w14:paraId="31675A1B"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39.084.971</w:t>
            </w:r>
          </w:p>
        </w:tc>
      </w:tr>
      <w:tr w:rsidR="00F24E18" w:rsidRPr="00822F5D" w14:paraId="135E04F2"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2E65FDEB"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19CAFC89"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Odprti postopek</w:t>
            </w:r>
          </w:p>
        </w:tc>
        <w:tc>
          <w:tcPr>
            <w:tcW w:w="710" w:type="pct"/>
            <w:tcBorders>
              <w:top w:val="nil"/>
              <w:left w:val="nil"/>
              <w:bottom w:val="single" w:sz="4" w:space="0" w:color="auto"/>
              <w:right w:val="single" w:sz="4" w:space="0" w:color="auto"/>
            </w:tcBorders>
            <w:shd w:val="clear" w:color="auto" w:fill="auto"/>
            <w:noWrap/>
            <w:vAlign w:val="center"/>
            <w:hideMark/>
          </w:tcPr>
          <w:p w14:paraId="1B46D748"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1.154</w:t>
            </w:r>
          </w:p>
        </w:tc>
        <w:tc>
          <w:tcPr>
            <w:tcW w:w="1087" w:type="pct"/>
            <w:tcBorders>
              <w:top w:val="nil"/>
              <w:left w:val="nil"/>
              <w:bottom w:val="single" w:sz="4" w:space="0" w:color="auto"/>
              <w:right w:val="single" w:sz="4" w:space="0" w:color="auto"/>
            </w:tcBorders>
            <w:shd w:val="clear" w:color="auto" w:fill="auto"/>
            <w:noWrap/>
            <w:vAlign w:val="center"/>
            <w:hideMark/>
          </w:tcPr>
          <w:p w14:paraId="07BDB1E3"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1.532.196.524</w:t>
            </w:r>
          </w:p>
        </w:tc>
      </w:tr>
      <w:tr w:rsidR="00F24E18" w:rsidRPr="00822F5D" w14:paraId="63D5841E"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18F0633A"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591B5B18"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Omejeni postopek</w:t>
            </w:r>
          </w:p>
        </w:tc>
        <w:tc>
          <w:tcPr>
            <w:tcW w:w="710" w:type="pct"/>
            <w:tcBorders>
              <w:top w:val="nil"/>
              <w:left w:val="nil"/>
              <w:bottom w:val="single" w:sz="4" w:space="0" w:color="auto"/>
              <w:right w:val="single" w:sz="4" w:space="0" w:color="auto"/>
            </w:tcBorders>
            <w:shd w:val="clear" w:color="auto" w:fill="auto"/>
            <w:noWrap/>
            <w:vAlign w:val="center"/>
            <w:hideMark/>
          </w:tcPr>
          <w:p w14:paraId="09829C50"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226</w:t>
            </w:r>
          </w:p>
        </w:tc>
        <w:tc>
          <w:tcPr>
            <w:tcW w:w="1087" w:type="pct"/>
            <w:tcBorders>
              <w:top w:val="nil"/>
              <w:left w:val="nil"/>
              <w:bottom w:val="single" w:sz="4" w:space="0" w:color="auto"/>
              <w:right w:val="single" w:sz="4" w:space="0" w:color="auto"/>
            </w:tcBorders>
            <w:shd w:val="clear" w:color="auto" w:fill="auto"/>
            <w:noWrap/>
            <w:vAlign w:val="center"/>
            <w:hideMark/>
          </w:tcPr>
          <w:p w14:paraId="72B34E73"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591.451.406</w:t>
            </w:r>
          </w:p>
        </w:tc>
      </w:tr>
      <w:tr w:rsidR="00F24E18" w:rsidRPr="00822F5D" w14:paraId="503DC36C"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113A53EF"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05B2B3EC"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naročila male vrednosti</w:t>
            </w:r>
          </w:p>
        </w:tc>
        <w:tc>
          <w:tcPr>
            <w:tcW w:w="710" w:type="pct"/>
            <w:tcBorders>
              <w:top w:val="nil"/>
              <w:left w:val="nil"/>
              <w:bottom w:val="single" w:sz="4" w:space="0" w:color="auto"/>
              <w:right w:val="single" w:sz="4" w:space="0" w:color="auto"/>
            </w:tcBorders>
            <w:shd w:val="clear" w:color="auto" w:fill="auto"/>
            <w:noWrap/>
            <w:vAlign w:val="center"/>
            <w:hideMark/>
          </w:tcPr>
          <w:p w14:paraId="33AD0BC6"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1.530</w:t>
            </w:r>
          </w:p>
        </w:tc>
        <w:tc>
          <w:tcPr>
            <w:tcW w:w="1087" w:type="pct"/>
            <w:tcBorders>
              <w:top w:val="nil"/>
              <w:left w:val="nil"/>
              <w:bottom w:val="single" w:sz="4" w:space="0" w:color="auto"/>
              <w:right w:val="single" w:sz="4" w:space="0" w:color="auto"/>
            </w:tcBorders>
            <w:shd w:val="clear" w:color="auto" w:fill="auto"/>
            <w:noWrap/>
            <w:vAlign w:val="center"/>
            <w:hideMark/>
          </w:tcPr>
          <w:p w14:paraId="10A976C3"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162.514.894</w:t>
            </w:r>
          </w:p>
        </w:tc>
      </w:tr>
      <w:tr w:rsidR="00F24E18" w:rsidRPr="00822F5D" w14:paraId="04B81C7F"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6C7EE2FE"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5AD72587"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s pogajanji brez predhodne objave</w:t>
            </w:r>
          </w:p>
        </w:tc>
        <w:tc>
          <w:tcPr>
            <w:tcW w:w="710" w:type="pct"/>
            <w:tcBorders>
              <w:top w:val="nil"/>
              <w:left w:val="nil"/>
              <w:bottom w:val="single" w:sz="4" w:space="0" w:color="auto"/>
              <w:right w:val="single" w:sz="4" w:space="0" w:color="auto"/>
            </w:tcBorders>
            <w:shd w:val="clear" w:color="auto" w:fill="auto"/>
            <w:noWrap/>
            <w:vAlign w:val="center"/>
            <w:hideMark/>
          </w:tcPr>
          <w:p w14:paraId="0AC7A49B"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226</w:t>
            </w:r>
          </w:p>
        </w:tc>
        <w:tc>
          <w:tcPr>
            <w:tcW w:w="1087" w:type="pct"/>
            <w:tcBorders>
              <w:top w:val="nil"/>
              <w:left w:val="nil"/>
              <w:bottom w:val="single" w:sz="4" w:space="0" w:color="auto"/>
              <w:right w:val="single" w:sz="4" w:space="0" w:color="auto"/>
            </w:tcBorders>
            <w:shd w:val="clear" w:color="auto" w:fill="auto"/>
            <w:noWrap/>
            <w:vAlign w:val="center"/>
            <w:hideMark/>
          </w:tcPr>
          <w:p w14:paraId="28028BC0"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143.464.549</w:t>
            </w:r>
          </w:p>
        </w:tc>
      </w:tr>
      <w:tr w:rsidR="00F24E18" w:rsidRPr="00822F5D" w14:paraId="28B9D96B"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2629DC26"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2EEF777F"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s pogajanji po predhodni objavi</w:t>
            </w:r>
          </w:p>
        </w:tc>
        <w:tc>
          <w:tcPr>
            <w:tcW w:w="710" w:type="pct"/>
            <w:tcBorders>
              <w:top w:val="nil"/>
              <w:left w:val="nil"/>
              <w:bottom w:val="single" w:sz="4" w:space="0" w:color="auto"/>
              <w:right w:val="single" w:sz="4" w:space="0" w:color="auto"/>
            </w:tcBorders>
            <w:shd w:val="clear" w:color="auto" w:fill="auto"/>
            <w:noWrap/>
            <w:vAlign w:val="center"/>
            <w:hideMark/>
          </w:tcPr>
          <w:p w14:paraId="33C806DF"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63</w:t>
            </w:r>
          </w:p>
        </w:tc>
        <w:tc>
          <w:tcPr>
            <w:tcW w:w="1087" w:type="pct"/>
            <w:tcBorders>
              <w:top w:val="nil"/>
              <w:left w:val="nil"/>
              <w:bottom w:val="single" w:sz="4" w:space="0" w:color="auto"/>
              <w:right w:val="single" w:sz="4" w:space="0" w:color="auto"/>
            </w:tcBorders>
            <w:shd w:val="clear" w:color="auto" w:fill="auto"/>
            <w:noWrap/>
            <w:vAlign w:val="center"/>
            <w:hideMark/>
          </w:tcPr>
          <w:p w14:paraId="1BBC7AA5"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134.082.304</w:t>
            </w:r>
          </w:p>
        </w:tc>
      </w:tr>
      <w:tr w:rsidR="00F24E18" w:rsidRPr="00822F5D" w14:paraId="623B6F99"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7CD6B0AA"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53445EF2"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zbiranja ponudb po predhodni objavi</w:t>
            </w:r>
          </w:p>
        </w:tc>
        <w:tc>
          <w:tcPr>
            <w:tcW w:w="710" w:type="pct"/>
            <w:tcBorders>
              <w:top w:val="nil"/>
              <w:left w:val="nil"/>
              <w:bottom w:val="single" w:sz="4" w:space="0" w:color="auto"/>
              <w:right w:val="single" w:sz="4" w:space="0" w:color="auto"/>
            </w:tcBorders>
            <w:shd w:val="clear" w:color="auto" w:fill="auto"/>
            <w:noWrap/>
            <w:vAlign w:val="center"/>
            <w:hideMark/>
          </w:tcPr>
          <w:p w14:paraId="00FB470E"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11</w:t>
            </w:r>
          </w:p>
        </w:tc>
        <w:tc>
          <w:tcPr>
            <w:tcW w:w="1087" w:type="pct"/>
            <w:tcBorders>
              <w:top w:val="nil"/>
              <w:left w:val="nil"/>
              <w:bottom w:val="single" w:sz="4" w:space="0" w:color="auto"/>
              <w:right w:val="single" w:sz="4" w:space="0" w:color="auto"/>
            </w:tcBorders>
            <w:shd w:val="clear" w:color="auto" w:fill="auto"/>
            <w:noWrap/>
            <w:vAlign w:val="center"/>
            <w:hideMark/>
          </w:tcPr>
          <w:p w14:paraId="42E18F18"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2.111.407</w:t>
            </w:r>
          </w:p>
        </w:tc>
      </w:tr>
      <w:tr w:rsidR="00F24E18" w:rsidRPr="00822F5D" w14:paraId="1EC7BB50"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1D352AC2"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1BB616B7" w14:textId="77777777" w:rsidR="00F24E18" w:rsidRPr="00822F5D" w:rsidRDefault="00F24E18" w:rsidP="000E18B5">
            <w:pPr>
              <w:spacing w:after="0" w:line="240" w:lineRule="auto"/>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Skupaj</w:t>
            </w:r>
          </w:p>
        </w:tc>
        <w:tc>
          <w:tcPr>
            <w:tcW w:w="710" w:type="pct"/>
            <w:tcBorders>
              <w:top w:val="nil"/>
              <w:left w:val="nil"/>
              <w:bottom w:val="single" w:sz="4" w:space="0" w:color="auto"/>
              <w:right w:val="single" w:sz="4" w:space="0" w:color="auto"/>
            </w:tcBorders>
            <w:shd w:val="clear" w:color="auto" w:fill="auto"/>
            <w:noWrap/>
            <w:vAlign w:val="center"/>
          </w:tcPr>
          <w:p w14:paraId="339233D6"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3.258</w:t>
            </w:r>
          </w:p>
        </w:tc>
        <w:tc>
          <w:tcPr>
            <w:tcW w:w="1087" w:type="pct"/>
            <w:tcBorders>
              <w:top w:val="nil"/>
              <w:left w:val="nil"/>
              <w:bottom w:val="single" w:sz="4" w:space="0" w:color="auto"/>
              <w:right w:val="single" w:sz="4" w:space="0" w:color="auto"/>
            </w:tcBorders>
            <w:shd w:val="clear" w:color="auto" w:fill="auto"/>
            <w:noWrap/>
            <w:vAlign w:val="center"/>
          </w:tcPr>
          <w:p w14:paraId="0ADB6BEB"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2.607.599.248</w:t>
            </w:r>
          </w:p>
        </w:tc>
      </w:tr>
      <w:tr w:rsidR="00F24E18" w:rsidRPr="00822F5D" w14:paraId="6FD2E4F0" w14:textId="77777777" w:rsidTr="000E18B5">
        <w:trPr>
          <w:trHeight w:val="300"/>
        </w:trPr>
        <w:tc>
          <w:tcPr>
            <w:tcW w:w="50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69B497"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Storitve</w:t>
            </w:r>
          </w:p>
        </w:tc>
        <w:tc>
          <w:tcPr>
            <w:tcW w:w="2697" w:type="pct"/>
            <w:tcBorders>
              <w:top w:val="nil"/>
              <w:left w:val="nil"/>
              <w:bottom w:val="single" w:sz="4" w:space="0" w:color="auto"/>
              <w:right w:val="single" w:sz="4" w:space="0" w:color="auto"/>
            </w:tcBorders>
            <w:shd w:val="clear" w:color="auto" w:fill="auto"/>
            <w:noWrap/>
            <w:vAlign w:val="center"/>
            <w:hideMark/>
          </w:tcPr>
          <w:p w14:paraId="4541FE77"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Konkurenčni dialog</w:t>
            </w:r>
          </w:p>
        </w:tc>
        <w:tc>
          <w:tcPr>
            <w:tcW w:w="710" w:type="pct"/>
            <w:tcBorders>
              <w:top w:val="nil"/>
              <w:left w:val="nil"/>
              <w:bottom w:val="single" w:sz="4" w:space="0" w:color="auto"/>
              <w:right w:val="single" w:sz="4" w:space="0" w:color="auto"/>
            </w:tcBorders>
            <w:shd w:val="clear" w:color="auto" w:fill="auto"/>
            <w:noWrap/>
            <w:vAlign w:val="center"/>
            <w:hideMark/>
          </w:tcPr>
          <w:p w14:paraId="0FCBED94"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7</w:t>
            </w:r>
          </w:p>
        </w:tc>
        <w:tc>
          <w:tcPr>
            <w:tcW w:w="1087" w:type="pct"/>
            <w:tcBorders>
              <w:top w:val="nil"/>
              <w:left w:val="nil"/>
              <w:bottom w:val="single" w:sz="4" w:space="0" w:color="auto"/>
              <w:right w:val="single" w:sz="4" w:space="0" w:color="auto"/>
            </w:tcBorders>
            <w:shd w:val="clear" w:color="auto" w:fill="auto"/>
            <w:noWrap/>
            <w:vAlign w:val="center"/>
            <w:hideMark/>
          </w:tcPr>
          <w:p w14:paraId="1D661225"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10.466.529</w:t>
            </w:r>
          </w:p>
        </w:tc>
      </w:tr>
      <w:tr w:rsidR="00F24E18" w:rsidRPr="00822F5D" w14:paraId="2F2C4993"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08A5C0AE"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59DD7F7E"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Konkurenčni postopek s pogajanji</w:t>
            </w:r>
          </w:p>
        </w:tc>
        <w:tc>
          <w:tcPr>
            <w:tcW w:w="710" w:type="pct"/>
            <w:tcBorders>
              <w:top w:val="nil"/>
              <w:left w:val="nil"/>
              <w:bottom w:val="single" w:sz="4" w:space="0" w:color="auto"/>
              <w:right w:val="single" w:sz="4" w:space="0" w:color="auto"/>
            </w:tcBorders>
            <w:shd w:val="clear" w:color="auto" w:fill="auto"/>
            <w:noWrap/>
            <w:vAlign w:val="center"/>
            <w:hideMark/>
          </w:tcPr>
          <w:p w14:paraId="2170EC07"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66</w:t>
            </w:r>
          </w:p>
        </w:tc>
        <w:tc>
          <w:tcPr>
            <w:tcW w:w="1087" w:type="pct"/>
            <w:tcBorders>
              <w:top w:val="nil"/>
              <w:left w:val="nil"/>
              <w:bottom w:val="single" w:sz="4" w:space="0" w:color="auto"/>
              <w:right w:val="single" w:sz="4" w:space="0" w:color="auto"/>
            </w:tcBorders>
            <w:shd w:val="clear" w:color="auto" w:fill="auto"/>
            <w:noWrap/>
            <w:vAlign w:val="center"/>
            <w:hideMark/>
          </w:tcPr>
          <w:p w14:paraId="041B8790"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116.665.189</w:t>
            </w:r>
          </w:p>
        </w:tc>
      </w:tr>
      <w:tr w:rsidR="00F24E18" w:rsidRPr="00822F5D" w14:paraId="5C5ACC85"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510F50F6"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53A1CEEC"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Odprti postopek</w:t>
            </w:r>
          </w:p>
        </w:tc>
        <w:tc>
          <w:tcPr>
            <w:tcW w:w="710" w:type="pct"/>
            <w:tcBorders>
              <w:top w:val="nil"/>
              <w:left w:val="nil"/>
              <w:bottom w:val="single" w:sz="4" w:space="0" w:color="auto"/>
              <w:right w:val="single" w:sz="4" w:space="0" w:color="auto"/>
            </w:tcBorders>
            <w:shd w:val="clear" w:color="auto" w:fill="auto"/>
            <w:noWrap/>
            <w:vAlign w:val="center"/>
            <w:hideMark/>
          </w:tcPr>
          <w:p w14:paraId="018C209C"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772</w:t>
            </w:r>
          </w:p>
        </w:tc>
        <w:tc>
          <w:tcPr>
            <w:tcW w:w="1087" w:type="pct"/>
            <w:tcBorders>
              <w:top w:val="nil"/>
              <w:left w:val="nil"/>
              <w:bottom w:val="single" w:sz="4" w:space="0" w:color="auto"/>
              <w:right w:val="single" w:sz="4" w:space="0" w:color="auto"/>
            </w:tcBorders>
            <w:shd w:val="clear" w:color="auto" w:fill="auto"/>
            <w:noWrap/>
            <w:vAlign w:val="center"/>
            <w:hideMark/>
          </w:tcPr>
          <w:p w14:paraId="77CBB139"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1.488.351.004</w:t>
            </w:r>
          </w:p>
        </w:tc>
      </w:tr>
      <w:tr w:rsidR="00F24E18" w:rsidRPr="00822F5D" w14:paraId="040DA022"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2264F697"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1654C464"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Omejeni postopek</w:t>
            </w:r>
          </w:p>
        </w:tc>
        <w:tc>
          <w:tcPr>
            <w:tcW w:w="710" w:type="pct"/>
            <w:tcBorders>
              <w:top w:val="nil"/>
              <w:left w:val="nil"/>
              <w:bottom w:val="single" w:sz="4" w:space="0" w:color="auto"/>
              <w:right w:val="single" w:sz="4" w:space="0" w:color="auto"/>
            </w:tcBorders>
            <w:shd w:val="clear" w:color="auto" w:fill="auto"/>
            <w:noWrap/>
            <w:vAlign w:val="center"/>
            <w:hideMark/>
          </w:tcPr>
          <w:p w14:paraId="4CFEF962"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68</w:t>
            </w:r>
          </w:p>
        </w:tc>
        <w:tc>
          <w:tcPr>
            <w:tcW w:w="1087" w:type="pct"/>
            <w:tcBorders>
              <w:top w:val="nil"/>
              <w:left w:val="nil"/>
              <w:bottom w:val="single" w:sz="4" w:space="0" w:color="auto"/>
              <w:right w:val="single" w:sz="4" w:space="0" w:color="auto"/>
            </w:tcBorders>
            <w:shd w:val="clear" w:color="auto" w:fill="auto"/>
            <w:noWrap/>
            <w:vAlign w:val="center"/>
            <w:hideMark/>
          </w:tcPr>
          <w:p w14:paraId="6CB20242"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94.384.504</w:t>
            </w:r>
          </w:p>
        </w:tc>
      </w:tr>
      <w:tr w:rsidR="00F24E18" w:rsidRPr="00822F5D" w14:paraId="3068D087"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19C4D919"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2FC95605"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Partnerstvo za inovacije</w:t>
            </w:r>
          </w:p>
        </w:tc>
        <w:tc>
          <w:tcPr>
            <w:tcW w:w="710" w:type="pct"/>
            <w:tcBorders>
              <w:top w:val="nil"/>
              <w:left w:val="nil"/>
              <w:bottom w:val="single" w:sz="4" w:space="0" w:color="auto"/>
              <w:right w:val="single" w:sz="4" w:space="0" w:color="auto"/>
            </w:tcBorders>
            <w:shd w:val="clear" w:color="auto" w:fill="auto"/>
            <w:noWrap/>
            <w:vAlign w:val="center"/>
            <w:hideMark/>
          </w:tcPr>
          <w:p w14:paraId="59F5D1A9"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w:t>
            </w:r>
          </w:p>
        </w:tc>
        <w:tc>
          <w:tcPr>
            <w:tcW w:w="1087" w:type="pct"/>
            <w:tcBorders>
              <w:top w:val="nil"/>
              <w:left w:val="nil"/>
              <w:bottom w:val="single" w:sz="4" w:space="0" w:color="auto"/>
              <w:right w:val="single" w:sz="4" w:space="0" w:color="auto"/>
            </w:tcBorders>
            <w:shd w:val="clear" w:color="auto" w:fill="auto"/>
            <w:noWrap/>
            <w:vAlign w:val="center"/>
            <w:hideMark/>
          </w:tcPr>
          <w:p w14:paraId="4679240D"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79.800</w:t>
            </w:r>
          </w:p>
        </w:tc>
      </w:tr>
      <w:tr w:rsidR="00F24E18" w:rsidRPr="00822F5D" w14:paraId="5FC76C14"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4014A1A9"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728AA955"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naročila male vrednosti</w:t>
            </w:r>
          </w:p>
        </w:tc>
        <w:tc>
          <w:tcPr>
            <w:tcW w:w="710" w:type="pct"/>
            <w:tcBorders>
              <w:top w:val="nil"/>
              <w:left w:val="nil"/>
              <w:bottom w:val="single" w:sz="4" w:space="0" w:color="auto"/>
              <w:right w:val="single" w:sz="4" w:space="0" w:color="auto"/>
            </w:tcBorders>
            <w:shd w:val="clear" w:color="auto" w:fill="auto"/>
            <w:noWrap/>
            <w:vAlign w:val="center"/>
            <w:hideMark/>
          </w:tcPr>
          <w:p w14:paraId="4C8F1305"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1.244</w:t>
            </w:r>
          </w:p>
        </w:tc>
        <w:tc>
          <w:tcPr>
            <w:tcW w:w="1087" w:type="pct"/>
            <w:tcBorders>
              <w:top w:val="nil"/>
              <w:left w:val="nil"/>
              <w:bottom w:val="single" w:sz="4" w:space="0" w:color="auto"/>
              <w:right w:val="single" w:sz="4" w:space="0" w:color="auto"/>
            </w:tcBorders>
            <w:shd w:val="clear" w:color="auto" w:fill="auto"/>
            <w:noWrap/>
            <w:vAlign w:val="center"/>
            <w:hideMark/>
          </w:tcPr>
          <w:p w14:paraId="27D98B72"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137.943.653</w:t>
            </w:r>
          </w:p>
        </w:tc>
      </w:tr>
      <w:tr w:rsidR="00F24E18" w:rsidRPr="00822F5D" w14:paraId="3D44FB1B"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008A290A"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4F551C14"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s pogajanji brez predhodne objave</w:t>
            </w:r>
          </w:p>
        </w:tc>
        <w:tc>
          <w:tcPr>
            <w:tcW w:w="710" w:type="pct"/>
            <w:tcBorders>
              <w:top w:val="nil"/>
              <w:left w:val="nil"/>
              <w:bottom w:val="single" w:sz="4" w:space="0" w:color="auto"/>
              <w:right w:val="single" w:sz="4" w:space="0" w:color="auto"/>
            </w:tcBorders>
            <w:shd w:val="clear" w:color="auto" w:fill="auto"/>
            <w:noWrap/>
            <w:vAlign w:val="center"/>
            <w:hideMark/>
          </w:tcPr>
          <w:p w14:paraId="0F2314FE"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338</w:t>
            </w:r>
          </w:p>
        </w:tc>
        <w:tc>
          <w:tcPr>
            <w:tcW w:w="1087" w:type="pct"/>
            <w:tcBorders>
              <w:top w:val="nil"/>
              <w:left w:val="nil"/>
              <w:bottom w:val="single" w:sz="4" w:space="0" w:color="auto"/>
              <w:right w:val="single" w:sz="4" w:space="0" w:color="auto"/>
            </w:tcBorders>
            <w:shd w:val="clear" w:color="auto" w:fill="auto"/>
            <w:noWrap/>
            <w:vAlign w:val="center"/>
            <w:hideMark/>
          </w:tcPr>
          <w:p w14:paraId="4FE91E87"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190.480.012</w:t>
            </w:r>
          </w:p>
        </w:tc>
      </w:tr>
      <w:tr w:rsidR="00F24E18" w:rsidRPr="00822F5D" w14:paraId="7F44F8F2"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1A622163"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41A79FFE"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s pogajanji po predhodni objavi</w:t>
            </w:r>
          </w:p>
        </w:tc>
        <w:tc>
          <w:tcPr>
            <w:tcW w:w="710" w:type="pct"/>
            <w:tcBorders>
              <w:top w:val="nil"/>
              <w:left w:val="nil"/>
              <w:bottom w:val="single" w:sz="4" w:space="0" w:color="auto"/>
              <w:right w:val="single" w:sz="4" w:space="0" w:color="auto"/>
            </w:tcBorders>
            <w:shd w:val="clear" w:color="auto" w:fill="auto"/>
            <w:noWrap/>
            <w:vAlign w:val="center"/>
            <w:hideMark/>
          </w:tcPr>
          <w:p w14:paraId="56B1A29F"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93</w:t>
            </w:r>
          </w:p>
        </w:tc>
        <w:tc>
          <w:tcPr>
            <w:tcW w:w="1087" w:type="pct"/>
            <w:tcBorders>
              <w:top w:val="nil"/>
              <w:left w:val="nil"/>
              <w:bottom w:val="single" w:sz="4" w:space="0" w:color="auto"/>
              <w:right w:val="single" w:sz="4" w:space="0" w:color="auto"/>
            </w:tcBorders>
            <w:shd w:val="clear" w:color="auto" w:fill="auto"/>
            <w:noWrap/>
            <w:vAlign w:val="center"/>
            <w:hideMark/>
          </w:tcPr>
          <w:p w14:paraId="77B8954F"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158.731.917</w:t>
            </w:r>
          </w:p>
        </w:tc>
      </w:tr>
      <w:tr w:rsidR="00F24E18" w:rsidRPr="00822F5D" w14:paraId="7BC9EA32"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140F68DB"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2E3666A9"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zbiranja ponudb po predhodni objavi</w:t>
            </w:r>
          </w:p>
        </w:tc>
        <w:tc>
          <w:tcPr>
            <w:tcW w:w="710" w:type="pct"/>
            <w:tcBorders>
              <w:top w:val="nil"/>
              <w:left w:val="nil"/>
              <w:bottom w:val="single" w:sz="4" w:space="0" w:color="auto"/>
              <w:right w:val="single" w:sz="4" w:space="0" w:color="auto"/>
            </w:tcBorders>
            <w:shd w:val="clear" w:color="auto" w:fill="auto"/>
            <w:noWrap/>
            <w:vAlign w:val="center"/>
            <w:hideMark/>
          </w:tcPr>
          <w:p w14:paraId="780D37B5"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7</w:t>
            </w:r>
          </w:p>
        </w:tc>
        <w:tc>
          <w:tcPr>
            <w:tcW w:w="1087" w:type="pct"/>
            <w:tcBorders>
              <w:top w:val="nil"/>
              <w:left w:val="nil"/>
              <w:bottom w:val="single" w:sz="4" w:space="0" w:color="auto"/>
              <w:right w:val="single" w:sz="4" w:space="0" w:color="auto"/>
            </w:tcBorders>
            <w:shd w:val="clear" w:color="auto" w:fill="auto"/>
            <w:noWrap/>
            <w:vAlign w:val="center"/>
            <w:hideMark/>
          </w:tcPr>
          <w:p w14:paraId="2E1F248C"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632.446</w:t>
            </w:r>
          </w:p>
        </w:tc>
      </w:tr>
      <w:tr w:rsidR="00F24E18" w:rsidRPr="00822F5D" w14:paraId="096BB155"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0C2A6A1E"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5235AE61" w14:textId="77777777" w:rsidR="00F24E18" w:rsidRPr="00822F5D" w:rsidRDefault="00F24E18" w:rsidP="000E18B5">
            <w:pPr>
              <w:spacing w:after="0" w:line="240" w:lineRule="auto"/>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Skupaj</w:t>
            </w:r>
          </w:p>
        </w:tc>
        <w:tc>
          <w:tcPr>
            <w:tcW w:w="710" w:type="pct"/>
            <w:tcBorders>
              <w:top w:val="nil"/>
              <w:left w:val="nil"/>
              <w:bottom w:val="single" w:sz="4" w:space="0" w:color="auto"/>
              <w:right w:val="single" w:sz="4" w:space="0" w:color="auto"/>
            </w:tcBorders>
            <w:shd w:val="clear" w:color="auto" w:fill="auto"/>
            <w:noWrap/>
            <w:vAlign w:val="center"/>
            <w:hideMark/>
          </w:tcPr>
          <w:p w14:paraId="706FA2E4"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2.596</w:t>
            </w:r>
          </w:p>
        </w:tc>
        <w:tc>
          <w:tcPr>
            <w:tcW w:w="1087" w:type="pct"/>
            <w:tcBorders>
              <w:top w:val="nil"/>
              <w:left w:val="nil"/>
              <w:bottom w:val="single" w:sz="4" w:space="0" w:color="auto"/>
              <w:right w:val="single" w:sz="4" w:space="0" w:color="auto"/>
            </w:tcBorders>
            <w:shd w:val="clear" w:color="auto" w:fill="auto"/>
            <w:noWrap/>
            <w:vAlign w:val="center"/>
            <w:hideMark/>
          </w:tcPr>
          <w:p w14:paraId="05C8F500"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2.197.735.054</w:t>
            </w:r>
          </w:p>
        </w:tc>
      </w:tr>
      <w:tr w:rsidR="00F24E18" w:rsidRPr="00822F5D" w14:paraId="72C0A7E0" w14:textId="77777777" w:rsidTr="000E18B5">
        <w:trPr>
          <w:trHeight w:val="300"/>
        </w:trPr>
        <w:tc>
          <w:tcPr>
            <w:tcW w:w="50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7EC36E"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Gradnje</w:t>
            </w:r>
          </w:p>
        </w:tc>
        <w:tc>
          <w:tcPr>
            <w:tcW w:w="2697" w:type="pct"/>
            <w:tcBorders>
              <w:top w:val="nil"/>
              <w:left w:val="nil"/>
              <w:bottom w:val="single" w:sz="4" w:space="0" w:color="auto"/>
              <w:right w:val="single" w:sz="4" w:space="0" w:color="auto"/>
            </w:tcBorders>
            <w:shd w:val="clear" w:color="auto" w:fill="auto"/>
            <w:noWrap/>
            <w:vAlign w:val="center"/>
            <w:hideMark/>
          </w:tcPr>
          <w:p w14:paraId="311BF342"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Konkurenčni dialog</w:t>
            </w:r>
          </w:p>
        </w:tc>
        <w:tc>
          <w:tcPr>
            <w:tcW w:w="710" w:type="pct"/>
            <w:tcBorders>
              <w:top w:val="nil"/>
              <w:left w:val="nil"/>
              <w:bottom w:val="single" w:sz="4" w:space="0" w:color="auto"/>
              <w:right w:val="single" w:sz="4" w:space="0" w:color="auto"/>
            </w:tcBorders>
            <w:shd w:val="clear" w:color="auto" w:fill="auto"/>
            <w:noWrap/>
            <w:vAlign w:val="center"/>
            <w:hideMark/>
          </w:tcPr>
          <w:p w14:paraId="184FE978"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6</w:t>
            </w:r>
          </w:p>
        </w:tc>
        <w:tc>
          <w:tcPr>
            <w:tcW w:w="1087" w:type="pct"/>
            <w:tcBorders>
              <w:top w:val="nil"/>
              <w:left w:val="nil"/>
              <w:bottom w:val="single" w:sz="4" w:space="0" w:color="auto"/>
              <w:right w:val="single" w:sz="4" w:space="0" w:color="auto"/>
            </w:tcBorders>
            <w:shd w:val="clear" w:color="auto" w:fill="auto"/>
            <w:noWrap/>
            <w:vAlign w:val="center"/>
            <w:hideMark/>
          </w:tcPr>
          <w:p w14:paraId="4CBC66CD"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218.774.574</w:t>
            </w:r>
          </w:p>
        </w:tc>
      </w:tr>
      <w:tr w:rsidR="00F24E18" w:rsidRPr="00822F5D" w14:paraId="696FD4D1"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63F541AC"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52E542B8"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Konkurenčni postopek s pogajanji</w:t>
            </w:r>
          </w:p>
        </w:tc>
        <w:tc>
          <w:tcPr>
            <w:tcW w:w="710" w:type="pct"/>
            <w:tcBorders>
              <w:top w:val="nil"/>
              <w:left w:val="nil"/>
              <w:bottom w:val="single" w:sz="4" w:space="0" w:color="auto"/>
              <w:right w:val="single" w:sz="4" w:space="0" w:color="auto"/>
            </w:tcBorders>
            <w:shd w:val="clear" w:color="auto" w:fill="auto"/>
            <w:noWrap/>
            <w:vAlign w:val="center"/>
            <w:hideMark/>
          </w:tcPr>
          <w:p w14:paraId="403D6183"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39</w:t>
            </w:r>
          </w:p>
        </w:tc>
        <w:tc>
          <w:tcPr>
            <w:tcW w:w="1087" w:type="pct"/>
            <w:tcBorders>
              <w:top w:val="nil"/>
              <w:left w:val="nil"/>
              <w:bottom w:val="single" w:sz="4" w:space="0" w:color="auto"/>
              <w:right w:val="single" w:sz="4" w:space="0" w:color="auto"/>
            </w:tcBorders>
            <w:shd w:val="clear" w:color="auto" w:fill="auto"/>
            <w:noWrap/>
            <w:vAlign w:val="center"/>
            <w:hideMark/>
          </w:tcPr>
          <w:p w14:paraId="0DD2C22C"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153.569.591</w:t>
            </w:r>
          </w:p>
        </w:tc>
      </w:tr>
      <w:tr w:rsidR="00F24E18" w:rsidRPr="00822F5D" w14:paraId="3862775D"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02445708"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12CB801C"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Odprti postopek</w:t>
            </w:r>
          </w:p>
        </w:tc>
        <w:tc>
          <w:tcPr>
            <w:tcW w:w="710" w:type="pct"/>
            <w:tcBorders>
              <w:top w:val="nil"/>
              <w:left w:val="nil"/>
              <w:bottom w:val="single" w:sz="4" w:space="0" w:color="auto"/>
              <w:right w:val="single" w:sz="4" w:space="0" w:color="auto"/>
            </w:tcBorders>
            <w:shd w:val="clear" w:color="auto" w:fill="auto"/>
            <w:noWrap/>
            <w:vAlign w:val="center"/>
            <w:hideMark/>
          </w:tcPr>
          <w:p w14:paraId="23FE807A"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58</w:t>
            </w:r>
          </w:p>
        </w:tc>
        <w:tc>
          <w:tcPr>
            <w:tcW w:w="1087" w:type="pct"/>
            <w:tcBorders>
              <w:top w:val="nil"/>
              <w:left w:val="nil"/>
              <w:bottom w:val="single" w:sz="4" w:space="0" w:color="auto"/>
              <w:right w:val="single" w:sz="4" w:space="0" w:color="auto"/>
            </w:tcBorders>
            <w:shd w:val="clear" w:color="auto" w:fill="auto"/>
            <w:noWrap/>
            <w:vAlign w:val="center"/>
            <w:hideMark/>
          </w:tcPr>
          <w:p w14:paraId="75938BAE"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422.913.234</w:t>
            </w:r>
          </w:p>
        </w:tc>
      </w:tr>
      <w:tr w:rsidR="00F24E18" w:rsidRPr="00822F5D" w14:paraId="573CAEA6"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348A0D04"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2F223150"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Omejeni postopek</w:t>
            </w:r>
          </w:p>
        </w:tc>
        <w:tc>
          <w:tcPr>
            <w:tcW w:w="710" w:type="pct"/>
            <w:tcBorders>
              <w:top w:val="nil"/>
              <w:left w:val="nil"/>
              <w:bottom w:val="single" w:sz="4" w:space="0" w:color="auto"/>
              <w:right w:val="single" w:sz="4" w:space="0" w:color="auto"/>
            </w:tcBorders>
            <w:shd w:val="clear" w:color="auto" w:fill="auto"/>
            <w:noWrap/>
            <w:vAlign w:val="center"/>
            <w:hideMark/>
          </w:tcPr>
          <w:p w14:paraId="4DCAA241"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102</w:t>
            </w:r>
          </w:p>
        </w:tc>
        <w:tc>
          <w:tcPr>
            <w:tcW w:w="1087" w:type="pct"/>
            <w:tcBorders>
              <w:top w:val="nil"/>
              <w:left w:val="nil"/>
              <w:bottom w:val="single" w:sz="4" w:space="0" w:color="auto"/>
              <w:right w:val="single" w:sz="4" w:space="0" w:color="auto"/>
            </w:tcBorders>
            <w:shd w:val="clear" w:color="auto" w:fill="auto"/>
            <w:noWrap/>
            <w:vAlign w:val="center"/>
            <w:hideMark/>
          </w:tcPr>
          <w:p w14:paraId="71BF696F"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64.919.149</w:t>
            </w:r>
          </w:p>
        </w:tc>
      </w:tr>
      <w:tr w:rsidR="00F24E18" w:rsidRPr="00822F5D" w14:paraId="49EBE36A"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4E0502BA"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31466D0B"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naročila male vrednosti</w:t>
            </w:r>
          </w:p>
        </w:tc>
        <w:tc>
          <w:tcPr>
            <w:tcW w:w="710" w:type="pct"/>
            <w:tcBorders>
              <w:top w:val="nil"/>
              <w:left w:val="nil"/>
              <w:bottom w:val="single" w:sz="4" w:space="0" w:color="auto"/>
              <w:right w:val="single" w:sz="4" w:space="0" w:color="auto"/>
            </w:tcBorders>
            <w:shd w:val="clear" w:color="auto" w:fill="auto"/>
            <w:noWrap/>
            <w:vAlign w:val="center"/>
            <w:hideMark/>
          </w:tcPr>
          <w:p w14:paraId="75D1FFCE"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1.030</w:t>
            </w:r>
          </w:p>
        </w:tc>
        <w:tc>
          <w:tcPr>
            <w:tcW w:w="1087" w:type="pct"/>
            <w:tcBorders>
              <w:top w:val="nil"/>
              <w:left w:val="nil"/>
              <w:bottom w:val="single" w:sz="4" w:space="0" w:color="auto"/>
              <w:right w:val="single" w:sz="4" w:space="0" w:color="auto"/>
            </w:tcBorders>
            <w:shd w:val="clear" w:color="auto" w:fill="auto"/>
            <w:noWrap/>
            <w:vAlign w:val="center"/>
            <w:hideMark/>
          </w:tcPr>
          <w:p w14:paraId="144F869D"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510.104.521</w:t>
            </w:r>
          </w:p>
        </w:tc>
      </w:tr>
      <w:tr w:rsidR="00F24E18" w:rsidRPr="00822F5D" w14:paraId="0AA90E8A"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7980440D"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48BFB22A"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s pogajanji brez predhodne objave</w:t>
            </w:r>
          </w:p>
        </w:tc>
        <w:tc>
          <w:tcPr>
            <w:tcW w:w="710" w:type="pct"/>
            <w:tcBorders>
              <w:top w:val="nil"/>
              <w:left w:val="nil"/>
              <w:bottom w:val="single" w:sz="4" w:space="0" w:color="auto"/>
              <w:right w:val="single" w:sz="4" w:space="0" w:color="auto"/>
            </w:tcBorders>
            <w:shd w:val="clear" w:color="auto" w:fill="auto"/>
            <w:noWrap/>
            <w:vAlign w:val="center"/>
            <w:hideMark/>
          </w:tcPr>
          <w:p w14:paraId="7D22D071"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55</w:t>
            </w:r>
          </w:p>
        </w:tc>
        <w:tc>
          <w:tcPr>
            <w:tcW w:w="1087" w:type="pct"/>
            <w:tcBorders>
              <w:top w:val="nil"/>
              <w:left w:val="nil"/>
              <w:bottom w:val="single" w:sz="4" w:space="0" w:color="auto"/>
              <w:right w:val="single" w:sz="4" w:space="0" w:color="auto"/>
            </w:tcBorders>
            <w:shd w:val="clear" w:color="auto" w:fill="auto"/>
            <w:noWrap/>
            <w:vAlign w:val="center"/>
            <w:hideMark/>
          </w:tcPr>
          <w:p w14:paraId="3BA3816D"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37.300.833</w:t>
            </w:r>
          </w:p>
        </w:tc>
      </w:tr>
      <w:tr w:rsidR="00F24E18" w:rsidRPr="00822F5D" w14:paraId="304E0A26"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129F72BE"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0A0195C1"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s pogajanji po predhodni objavi</w:t>
            </w:r>
          </w:p>
        </w:tc>
        <w:tc>
          <w:tcPr>
            <w:tcW w:w="710" w:type="pct"/>
            <w:tcBorders>
              <w:top w:val="nil"/>
              <w:left w:val="nil"/>
              <w:bottom w:val="single" w:sz="4" w:space="0" w:color="auto"/>
              <w:right w:val="single" w:sz="4" w:space="0" w:color="auto"/>
            </w:tcBorders>
            <w:shd w:val="clear" w:color="auto" w:fill="auto"/>
            <w:noWrap/>
            <w:vAlign w:val="center"/>
            <w:hideMark/>
          </w:tcPr>
          <w:p w14:paraId="79DABF76"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5</w:t>
            </w:r>
          </w:p>
        </w:tc>
        <w:tc>
          <w:tcPr>
            <w:tcW w:w="1087" w:type="pct"/>
            <w:tcBorders>
              <w:top w:val="nil"/>
              <w:left w:val="nil"/>
              <w:bottom w:val="single" w:sz="4" w:space="0" w:color="auto"/>
              <w:right w:val="single" w:sz="4" w:space="0" w:color="auto"/>
            </w:tcBorders>
            <w:shd w:val="clear" w:color="auto" w:fill="auto"/>
            <w:noWrap/>
            <w:vAlign w:val="center"/>
            <w:hideMark/>
          </w:tcPr>
          <w:p w14:paraId="57F01477"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19.228.253</w:t>
            </w:r>
          </w:p>
        </w:tc>
      </w:tr>
      <w:tr w:rsidR="00F24E18" w:rsidRPr="00822F5D" w14:paraId="374BB3DA"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3CE82361"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30A21655"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Postopek zbiranja ponudb po predhodni objavi</w:t>
            </w:r>
          </w:p>
        </w:tc>
        <w:tc>
          <w:tcPr>
            <w:tcW w:w="710" w:type="pct"/>
            <w:tcBorders>
              <w:top w:val="nil"/>
              <w:left w:val="nil"/>
              <w:bottom w:val="single" w:sz="4" w:space="0" w:color="auto"/>
              <w:right w:val="single" w:sz="4" w:space="0" w:color="auto"/>
            </w:tcBorders>
            <w:shd w:val="clear" w:color="auto" w:fill="auto"/>
            <w:noWrap/>
            <w:vAlign w:val="center"/>
            <w:hideMark/>
          </w:tcPr>
          <w:p w14:paraId="553F8967"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w:t>
            </w:r>
          </w:p>
        </w:tc>
        <w:tc>
          <w:tcPr>
            <w:tcW w:w="1087" w:type="pct"/>
            <w:tcBorders>
              <w:top w:val="nil"/>
              <w:left w:val="nil"/>
              <w:bottom w:val="single" w:sz="4" w:space="0" w:color="auto"/>
              <w:right w:val="single" w:sz="4" w:space="0" w:color="auto"/>
            </w:tcBorders>
            <w:shd w:val="clear" w:color="auto" w:fill="auto"/>
            <w:noWrap/>
            <w:vAlign w:val="center"/>
            <w:hideMark/>
          </w:tcPr>
          <w:p w14:paraId="01871C0C"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106.512</w:t>
            </w:r>
          </w:p>
        </w:tc>
      </w:tr>
      <w:tr w:rsidR="00F24E18" w:rsidRPr="00822F5D" w14:paraId="6BAF8206" w14:textId="77777777" w:rsidTr="000E18B5">
        <w:trPr>
          <w:trHeight w:val="300"/>
        </w:trPr>
        <w:tc>
          <w:tcPr>
            <w:tcW w:w="506" w:type="pct"/>
            <w:vMerge/>
            <w:tcBorders>
              <w:top w:val="nil"/>
              <w:left w:val="single" w:sz="4" w:space="0" w:color="auto"/>
              <w:bottom w:val="single" w:sz="4" w:space="0" w:color="auto"/>
              <w:right w:val="single" w:sz="4" w:space="0" w:color="auto"/>
            </w:tcBorders>
            <w:vAlign w:val="center"/>
            <w:hideMark/>
          </w:tcPr>
          <w:p w14:paraId="6E3F9493"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2697" w:type="pct"/>
            <w:tcBorders>
              <w:top w:val="nil"/>
              <w:left w:val="nil"/>
              <w:bottom w:val="single" w:sz="4" w:space="0" w:color="auto"/>
              <w:right w:val="single" w:sz="4" w:space="0" w:color="auto"/>
            </w:tcBorders>
            <w:shd w:val="clear" w:color="auto" w:fill="auto"/>
            <w:noWrap/>
            <w:vAlign w:val="center"/>
            <w:hideMark/>
          </w:tcPr>
          <w:p w14:paraId="1833C3AA" w14:textId="77777777" w:rsidR="00F24E18" w:rsidRPr="00822F5D" w:rsidRDefault="00F24E18" w:rsidP="000E18B5">
            <w:pPr>
              <w:spacing w:after="0" w:line="240" w:lineRule="auto"/>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Skupaj</w:t>
            </w:r>
          </w:p>
        </w:tc>
        <w:tc>
          <w:tcPr>
            <w:tcW w:w="710" w:type="pct"/>
            <w:tcBorders>
              <w:top w:val="nil"/>
              <w:left w:val="nil"/>
              <w:bottom w:val="single" w:sz="4" w:space="0" w:color="auto"/>
              <w:right w:val="single" w:sz="4" w:space="0" w:color="auto"/>
            </w:tcBorders>
            <w:shd w:val="clear" w:color="auto" w:fill="auto"/>
            <w:noWrap/>
            <w:vAlign w:val="center"/>
          </w:tcPr>
          <w:p w14:paraId="14E618C4"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1.296</w:t>
            </w:r>
          </w:p>
        </w:tc>
        <w:tc>
          <w:tcPr>
            <w:tcW w:w="1087" w:type="pct"/>
            <w:tcBorders>
              <w:top w:val="nil"/>
              <w:left w:val="nil"/>
              <w:bottom w:val="single" w:sz="4" w:space="0" w:color="auto"/>
              <w:right w:val="single" w:sz="4" w:space="0" w:color="auto"/>
            </w:tcBorders>
            <w:shd w:val="clear" w:color="auto" w:fill="auto"/>
            <w:noWrap/>
            <w:vAlign w:val="center"/>
          </w:tcPr>
          <w:p w14:paraId="5A50E008"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1.426.916.667</w:t>
            </w:r>
          </w:p>
        </w:tc>
      </w:tr>
      <w:tr w:rsidR="00F24E18" w:rsidRPr="00242E41" w14:paraId="35A8B035" w14:textId="77777777" w:rsidTr="000E18B5">
        <w:trPr>
          <w:trHeight w:val="300"/>
        </w:trPr>
        <w:tc>
          <w:tcPr>
            <w:tcW w:w="320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1C0854" w14:textId="77777777" w:rsidR="00F24E18" w:rsidRPr="00822F5D" w:rsidRDefault="00F24E18" w:rsidP="000E18B5">
            <w:pPr>
              <w:spacing w:after="0" w:line="240" w:lineRule="auto"/>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Skupaj</w:t>
            </w:r>
          </w:p>
        </w:tc>
        <w:tc>
          <w:tcPr>
            <w:tcW w:w="710" w:type="pct"/>
            <w:tcBorders>
              <w:top w:val="nil"/>
              <w:left w:val="nil"/>
              <w:bottom w:val="single" w:sz="4" w:space="0" w:color="auto"/>
              <w:right w:val="single" w:sz="4" w:space="0" w:color="auto"/>
            </w:tcBorders>
            <w:shd w:val="clear" w:color="auto" w:fill="F2F2F2" w:themeFill="background1" w:themeFillShade="F2"/>
            <w:noWrap/>
            <w:vAlign w:val="center"/>
          </w:tcPr>
          <w:p w14:paraId="19786AF1"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7.150</w:t>
            </w:r>
          </w:p>
        </w:tc>
        <w:tc>
          <w:tcPr>
            <w:tcW w:w="1087" w:type="pct"/>
            <w:tcBorders>
              <w:top w:val="nil"/>
              <w:left w:val="nil"/>
              <w:bottom w:val="single" w:sz="4" w:space="0" w:color="auto"/>
              <w:right w:val="single" w:sz="4" w:space="0" w:color="auto"/>
            </w:tcBorders>
            <w:shd w:val="clear" w:color="auto" w:fill="F2F2F2" w:themeFill="background1" w:themeFillShade="F2"/>
            <w:noWrap/>
            <w:vAlign w:val="center"/>
          </w:tcPr>
          <w:p w14:paraId="3BAB4CA9"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6.232.250.969</w:t>
            </w:r>
          </w:p>
        </w:tc>
      </w:tr>
    </w:tbl>
    <w:p w14:paraId="237CBFAA" w14:textId="77777777" w:rsidR="00F24E18" w:rsidRPr="00242E41" w:rsidRDefault="00F24E18" w:rsidP="00F24E18">
      <w:pPr>
        <w:spacing w:before="120" w:after="120" w:line="240" w:lineRule="auto"/>
        <w:jc w:val="both"/>
        <w:rPr>
          <w:rFonts w:ascii="Arial" w:hAnsi="Arial" w:cs="Arial"/>
          <w:sz w:val="20"/>
          <w:highlight w:val="yellow"/>
        </w:rPr>
      </w:pPr>
    </w:p>
    <w:p w14:paraId="03D1B181" w14:textId="77777777" w:rsidR="00F24E18" w:rsidRPr="00822F5D" w:rsidRDefault="00F24E18" w:rsidP="00F24E18">
      <w:pPr>
        <w:pStyle w:val="ZADEVA"/>
        <w:spacing w:before="120" w:line="240" w:lineRule="auto"/>
        <w:jc w:val="both"/>
        <w:rPr>
          <w:rFonts w:cs="Arial"/>
          <w:b w:val="0"/>
          <w:szCs w:val="20"/>
          <w:lang w:val="sl-SI"/>
        </w:rPr>
      </w:pPr>
      <w:r w:rsidRPr="00822F5D">
        <w:rPr>
          <w:rFonts w:cs="Arial"/>
          <w:b w:val="0"/>
          <w:szCs w:val="20"/>
          <w:lang w:val="sl-SI"/>
        </w:rPr>
        <w:t>Preglednica 62: Evidenčna naročila v letu 2023</w:t>
      </w:r>
    </w:p>
    <w:p w14:paraId="1E93660D" w14:textId="77777777" w:rsidR="00F24E18" w:rsidRPr="00822F5D" w:rsidRDefault="00F24E18" w:rsidP="00F24E18">
      <w:pPr>
        <w:pStyle w:val="ZADEVA"/>
        <w:spacing w:line="240" w:lineRule="auto"/>
        <w:jc w:val="both"/>
        <w:rPr>
          <w:rFonts w:cs="Arial"/>
          <w:b w:val="0"/>
          <w:szCs w:val="20"/>
          <w:lang w:val="sl-SI"/>
        </w:rPr>
      </w:pPr>
    </w:p>
    <w:tbl>
      <w:tblPr>
        <w:tblW w:w="5000" w:type="pct"/>
        <w:tblCellMar>
          <w:left w:w="70" w:type="dxa"/>
          <w:right w:w="70" w:type="dxa"/>
        </w:tblCellMar>
        <w:tblLook w:val="04A0" w:firstRow="1" w:lastRow="0" w:firstColumn="1" w:lastColumn="0" w:noHBand="0" w:noVBand="1"/>
      </w:tblPr>
      <w:tblGrid>
        <w:gridCol w:w="2130"/>
        <w:gridCol w:w="1574"/>
        <w:gridCol w:w="2523"/>
        <w:gridCol w:w="2947"/>
      </w:tblGrid>
      <w:tr w:rsidR="00F24E18" w:rsidRPr="00822F5D" w14:paraId="07A422B0" w14:textId="77777777" w:rsidTr="000E18B5">
        <w:trPr>
          <w:trHeight w:val="252"/>
        </w:trPr>
        <w:tc>
          <w:tcPr>
            <w:tcW w:w="116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BEBF71" w14:textId="77777777" w:rsidR="00F24E18" w:rsidRPr="00822F5D" w:rsidRDefault="00F24E18" w:rsidP="000E18B5">
            <w:pPr>
              <w:spacing w:after="0" w:line="240" w:lineRule="auto"/>
              <w:jc w:val="center"/>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Področje</w:t>
            </w:r>
          </w:p>
        </w:tc>
        <w:tc>
          <w:tcPr>
            <w:tcW w:w="8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C306CE" w14:textId="77777777" w:rsidR="00F24E18" w:rsidRPr="00822F5D" w:rsidRDefault="00F24E18" w:rsidP="000E18B5">
            <w:pPr>
              <w:spacing w:after="0" w:line="240" w:lineRule="auto"/>
              <w:jc w:val="center"/>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Predmet</w:t>
            </w:r>
          </w:p>
        </w:tc>
        <w:tc>
          <w:tcPr>
            <w:tcW w:w="137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E8BB84" w14:textId="77777777" w:rsidR="00F24E18" w:rsidRPr="00822F5D" w:rsidRDefault="00F24E18" w:rsidP="000E18B5">
            <w:pPr>
              <w:spacing w:after="0" w:line="240" w:lineRule="auto"/>
              <w:jc w:val="center"/>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Št. naročil</w:t>
            </w: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6E9703" w14:textId="77777777" w:rsidR="00F24E18" w:rsidRPr="00822F5D" w:rsidRDefault="00F24E18" w:rsidP="000E18B5">
            <w:pPr>
              <w:spacing w:after="0" w:line="240" w:lineRule="auto"/>
              <w:jc w:val="center"/>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Pogodbena vrednost</w:t>
            </w:r>
          </w:p>
        </w:tc>
      </w:tr>
      <w:tr w:rsidR="00F24E18" w:rsidRPr="00822F5D" w14:paraId="437568E4" w14:textId="77777777" w:rsidTr="000E18B5">
        <w:trPr>
          <w:trHeight w:val="252"/>
        </w:trPr>
        <w:tc>
          <w:tcPr>
            <w:tcW w:w="1161" w:type="pct"/>
            <w:vMerge w:val="restart"/>
            <w:tcBorders>
              <w:top w:val="nil"/>
              <w:left w:val="single" w:sz="4" w:space="0" w:color="auto"/>
              <w:bottom w:val="single" w:sz="4" w:space="0" w:color="auto"/>
              <w:right w:val="single" w:sz="4" w:space="0" w:color="auto"/>
            </w:tcBorders>
            <w:shd w:val="clear" w:color="auto" w:fill="auto"/>
            <w:vAlign w:val="center"/>
            <w:hideMark/>
          </w:tcPr>
          <w:p w14:paraId="3ED37030"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Splošno</w:t>
            </w:r>
          </w:p>
        </w:tc>
        <w:tc>
          <w:tcPr>
            <w:tcW w:w="858" w:type="pct"/>
            <w:tcBorders>
              <w:top w:val="nil"/>
              <w:left w:val="nil"/>
              <w:bottom w:val="single" w:sz="4" w:space="0" w:color="auto"/>
              <w:right w:val="single" w:sz="4" w:space="0" w:color="auto"/>
            </w:tcBorders>
            <w:shd w:val="clear" w:color="auto" w:fill="auto"/>
            <w:vAlign w:val="center"/>
            <w:hideMark/>
          </w:tcPr>
          <w:p w14:paraId="5083A865"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Blago</w:t>
            </w:r>
          </w:p>
        </w:tc>
        <w:tc>
          <w:tcPr>
            <w:tcW w:w="1375" w:type="pct"/>
            <w:tcBorders>
              <w:top w:val="nil"/>
              <w:left w:val="nil"/>
              <w:bottom w:val="single" w:sz="4" w:space="0" w:color="auto"/>
              <w:right w:val="single" w:sz="4" w:space="0" w:color="auto"/>
            </w:tcBorders>
            <w:shd w:val="clear" w:color="auto" w:fill="auto"/>
            <w:vAlign w:val="center"/>
            <w:hideMark/>
          </w:tcPr>
          <w:p w14:paraId="65E0050E"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512.426</w:t>
            </w:r>
          </w:p>
        </w:tc>
        <w:tc>
          <w:tcPr>
            <w:tcW w:w="1606" w:type="pct"/>
            <w:tcBorders>
              <w:top w:val="nil"/>
              <w:left w:val="nil"/>
              <w:bottom w:val="single" w:sz="4" w:space="0" w:color="auto"/>
              <w:right w:val="single" w:sz="4" w:space="0" w:color="auto"/>
            </w:tcBorders>
            <w:shd w:val="clear" w:color="auto" w:fill="auto"/>
            <w:vAlign w:val="center"/>
            <w:hideMark/>
          </w:tcPr>
          <w:p w14:paraId="5E2EC62C"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438.255.044</w:t>
            </w:r>
          </w:p>
        </w:tc>
      </w:tr>
      <w:tr w:rsidR="00F24E18" w:rsidRPr="00822F5D" w14:paraId="70243F05"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0A45C3AE"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31709D50"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Storitve</w:t>
            </w:r>
          </w:p>
        </w:tc>
        <w:tc>
          <w:tcPr>
            <w:tcW w:w="1375" w:type="pct"/>
            <w:tcBorders>
              <w:top w:val="nil"/>
              <w:left w:val="nil"/>
              <w:bottom w:val="single" w:sz="4" w:space="0" w:color="auto"/>
              <w:right w:val="single" w:sz="4" w:space="0" w:color="auto"/>
            </w:tcBorders>
            <w:shd w:val="clear" w:color="auto" w:fill="auto"/>
            <w:vAlign w:val="center"/>
            <w:hideMark/>
          </w:tcPr>
          <w:p w14:paraId="484FDB41"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505.971</w:t>
            </w:r>
          </w:p>
        </w:tc>
        <w:tc>
          <w:tcPr>
            <w:tcW w:w="1606" w:type="pct"/>
            <w:tcBorders>
              <w:top w:val="nil"/>
              <w:left w:val="nil"/>
              <w:bottom w:val="single" w:sz="4" w:space="0" w:color="auto"/>
              <w:right w:val="single" w:sz="4" w:space="0" w:color="auto"/>
            </w:tcBorders>
            <w:shd w:val="clear" w:color="auto" w:fill="auto"/>
            <w:vAlign w:val="center"/>
            <w:hideMark/>
          </w:tcPr>
          <w:p w14:paraId="3A9B3A9C"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720.973.100</w:t>
            </w:r>
          </w:p>
        </w:tc>
      </w:tr>
      <w:tr w:rsidR="00F24E18" w:rsidRPr="00822F5D" w14:paraId="39E29387"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3992A68B"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4A0BE28F"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Gradnje</w:t>
            </w:r>
          </w:p>
        </w:tc>
        <w:tc>
          <w:tcPr>
            <w:tcW w:w="1375" w:type="pct"/>
            <w:tcBorders>
              <w:top w:val="nil"/>
              <w:left w:val="nil"/>
              <w:bottom w:val="single" w:sz="4" w:space="0" w:color="auto"/>
              <w:right w:val="single" w:sz="4" w:space="0" w:color="auto"/>
            </w:tcBorders>
            <w:shd w:val="clear" w:color="auto" w:fill="auto"/>
            <w:vAlign w:val="center"/>
            <w:hideMark/>
          </w:tcPr>
          <w:p w14:paraId="44FF6D67"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12.428</w:t>
            </w:r>
          </w:p>
        </w:tc>
        <w:tc>
          <w:tcPr>
            <w:tcW w:w="1606" w:type="pct"/>
            <w:tcBorders>
              <w:top w:val="nil"/>
              <w:left w:val="nil"/>
              <w:bottom w:val="single" w:sz="4" w:space="0" w:color="auto"/>
              <w:right w:val="single" w:sz="4" w:space="0" w:color="auto"/>
            </w:tcBorders>
            <w:shd w:val="clear" w:color="auto" w:fill="auto"/>
            <w:vAlign w:val="center"/>
            <w:hideMark/>
          </w:tcPr>
          <w:p w14:paraId="1614E003"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141.243.596</w:t>
            </w:r>
          </w:p>
        </w:tc>
      </w:tr>
      <w:tr w:rsidR="00F24E18" w:rsidRPr="00822F5D" w14:paraId="038E3C10"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444283F9"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46CDD0CE" w14:textId="77777777" w:rsidR="00F24E18" w:rsidRPr="00822F5D" w:rsidRDefault="00F24E18" w:rsidP="000E18B5">
            <w:pPr>
              <w:spacing w:after="0" w:line="240" w:lineRule="auto"/>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Skupaj</w:t>
            </w:r>
          </w:p>
        </w:tc>
        <w:tc>
          <w:tcPr>
            <w:tcW w:w="1375" w:type="pct"/>
            <w:tcBorders>
              <w:top w:val="nil"/>
              <w:left w:val="nil"/>
              <w:bottom w:val="single" w:sz="4" w:space="0" w:color="auto"/>
              <w:right w:val="single" w:sz="4" w:space="0" w:color="auto"/>
            </w:tcBorders>
            <w:shd w:val="clear" w:color="auto" w:fill="auto"/>
            <w:vAlign w:val="center"/>
            <w:hideMark/>
          </w:tcPr>
          <w:p w14:paraId="60D05782"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1.030.825</w:t>
            </w:r>
          </w:p>
        </w:tc>
        <w:tc>
          <w:tcPr>
            <w:tcW w:w="1606" w:type="pct"/>
            <w:tcBorders>
              <w:top w:val="nil"/>
              <w:left w:val="nil"/>
              <w:bottom w:val="single" w:sz="4" w:space="0" w:color="auto"/>
              <w:right w:val="single" w:sz="4" w:space="0" w:color="auto"/>
            </w:tcBorders>
            <w:shd w:val="clear" w:color="auto" w:fill="auto"/>
            <w:vAlign w:val="center"/>
            <w:hideMark/>
          </w:tcPr>
          <w:p w14:paraId="33BA0CEA"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1.300.471.740</w:t>
            </w:r>
          </w:p>
        </w:tc>
      </w:tr>
      <w:tr w:rsidR="00F24E18" w:rsidRPr="00822F5D" w14:paraId="2E85BDAC" w14:textId="77777777" w:rsidTr="000E18B5">
        <w:trPr>
          <w:trHeight w:val="252"/>
        </w:trPr>
        <w:tc>
          <w:tcPr>
            <w:tcW w:w="1161" w:type="pct"/>
            <w:vMerge w:val="restart"/>
            <w:tcBorders>
              <w:top w:val="nil"/>
              <w:left w:val="single" w:sz="4" w:space="0" w:color="auto"/>
              <w:bottom w:val="single" w:sz="4" w:space="0" w:color="auto"/>
              <w:right w:val="single" w:sz="4" w:space="0" w:color="auto"/>
            </w:tcBorders>
            <w:shd w:val="clear" w:color="auto" w:fill="auto"/>
            <w:vAlign w:val="center"/>
            <w:hideMark/>
          </w:tcPr>
          <w:p w14:paraId="02A2D722"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Infrastrukturno</w:t>
            </w:r>
          </w:p>
        </w:tc>
        <w:tc>
          <w:tcPr>
            <w:tcW w:w="858" w:type="pct"/>
            <w:tcBorders>
              <w:top w:val="nil"/>
              <w:left w:val="nil"/>
              <w:bottom w:val="single" w:sz="4" w:space="0" w:color="auto"/>
              <w:right w:val="single" w:sz="4" w:space="0" w:color="auto"/>
            </w:tcBorders>
            <w:shd w:val="clear" w:color="auto" w:fill="auto"/>
            <w:vAlign w:val="center"/>
            <w:hideMark/>
          </w:tcPr>
          <w:p w14:paraId="3C23D1FF"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Blago</w:t>
            </w:r>
          </w:p>
        </w:tc>
        <w:tc>
          <w:tcPr>
            <w:tcW w:w="1375" w:type="pct"/>
            <w:tcBorders>
              <w:top w:val="nil"/>
              <w:left w:val="nil"/>
              <w:bottom w:val="single" w:sz="4" w:space="0" w:color="auto"/>
              <w:right w:val="single" w:sz="4" w:space="0" w:color="auto"/>
            </w:tcBorders>
            <w:shd w:val="clear" w:color="auto" w:fill="auto"/>
            <w:vAlign w:val="center"/>
            <w:hideMark/>
          </w:tcPr>
          <w:p w14:paraId="453C08A4"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38.901</w:t>
            </w:r>
          </w:p>
        </w:tc>
        <w:tc>
          <w:tcPr>
            <w:tcW w:w="1606" w:type="pct"/>
            <w:tcBorders>
              <w:top w:val="nil"/>
              <w:left w:val="nil"/>
              <w:bottom w:val="single" w:sz="4" w:space="0" w:color="auto"/>
              <w:right w:val="single" w:sz="4" w:space="0" w:color="auto"/>
            </w:tcBorders>
            <w:shd w:val="clear" w:color="auto" w:fill="auto"/>
            <w:vAlign w:val="center"/>
            <w:hideMark/>
          </w:tcPr>
          <w:p w14:paraId="2B2466BA"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57.393.503</w:t>
            </w:r>
          </w:p>
        </w:tc>
      </w:tr>
      <w:tr w:rsidR="00F24E18" w:rsidRPr="00822F5D" w14:paraId="1C1C731E"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5BCA29A1"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75ABDD87"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Storitve</w:t>
            </w:r>
          </w:p>
        </w:tc>
        <w:tc>
          <w:tcPr>
            <w:tcW w:w="1375" w:type="pct"/>
            <w:tcBorders>
              <w:top w:val="nil"/>
              <w:left w:val="nil"/>
              <w:bottom w:val="single" w:sz="4" w:space="0" w:color="auto"/>
              <w:right w:val="single" w:sz="4" w:space="0" w:color="auto"/>
            </w:tcBorders>
            <w:shd w:val="clear" w:color="auto" w:fill="auto"/>
            <w:vAlign w:val="center"/>
            <w:hideMark/>
          </w:tcPr>
          <w:p w14:paraId="5D5E6E4A"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30.572</w:t>
            </w:r>
          </w:p>
        </w:tc>
        <w:tc>
          <w:tcPr>
            <w:tcW w:w="1606" w:type="pct"/>
            <w:tcBorders>
              <w:top w:val="nil"/>
              <w:left w:val="nil"/>
              <w:bottom w:val="single" w:sz="4" w:space="0" w:color="auto"/>
              <w:right w:val="single" w:sz="4" w:space="0" w:color="auto"/>
            </w:tcBorders>
            <w:shd w:val="clear" w:color="auto" w:fill="auto"/>
            <w:vAlign w:val="center"/>
            <w:hideMark/>
          </w:tcPr>
          <w:p w14:paraId="0AB9FC9B"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88.196.859</w:t>
            </w:r>
          </w:p>
        </w:tc>
      </w:tr>
      <w:tr w:rsidR="00F24E18" w:rsidRPr="00822F5D" w14:paraId="71390D69"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0A791134"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6195C06B"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Gradnje</w:t>
            </w:r>
          </w:p>
        </w:tc>
        <w:tc>
          <w:tcPr>
            <w:tcW w:w="1375" w:type="pct"/>
            <w:tcBorders>
              <w:top w:val="nil"/>
              <w:left w:val="nil"/>
              <w:bottom w:val="single" w:sz="4" w:space="0" w:color="auto"/>
              <w:right w:val="single" w:sz="4" w:space="0" w:color="auto"/>
            </w:tcBorders>
            <w:shd w:val="clear" w:color="auto" w:fill="auto"/>
            <w:vAlign w:val="center"/>
            <w:hideMark/>
          </w:tcPr>
          <w:p w14:paraId="4903C27B"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2.475</w:t>
            </w:r>
          </w:p>
        </w:tc>
        <w:tc>
          <w:tcPr>
            <w:tcW w:w="1606" w:type="pct"/>
            <w:tcBorders>
              <w:top w:val="nil"/>
              <w:left w:val="nil"/>
              <w:bottom w:val="single" w:sz="4" w:space="0" w:color="auto"/>
              <w:right w:val="single" w:sz="4" w:space="0" w:color="auto"/>
            </w:tcBorders>
            <w:shd w:val="clear" w:color="auto" w:fill="auto"/>
            <w:vAlign w:val="center"/>
            <w:hideMark/>
          </w:tcPr>
          <w:p w14:paraId="3048BAF5"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37.756.671</w:t>
            </w:r>
          </w:p>
        </w:tc>
      </w:tr>
      <w:tr w:rsidR="00F24E18" w:rsidRPr="00822F5D" w14:paraId="496ED779"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34C46F21"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6EE813BC" w14:textId="77777777" w:rsidR="00F24E18" w:rsidRPr="00822F5D" w:rsidRDefault="00F24E18" w:rsidP="000E18B5">
            <w:pPr>
              <w:spacing w:after="0" w:line="240" w:lineRule="auto"/>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Skupaj</w:t>
            </w:r>
          </w:p>
        </w:tc>
        <w:tc>
          <w:tcPr>
            <w:tcW w:w="1375" w:type="pct"/>
            <w:tcBorders>
              <w:top w:val="nil"/>
              <w:left w:val="nil"/>
              <w:bottom w:val="single" w:sz="4" w:space="0" w:color="auto"/>
              <w:right w:val="single" w:sz="4" w:space="0" w:color="auto"/>
            </w:tcBorders>
            <w:shd w:val="clear" w:color="auto" w:fill="auto"/>
            <w:vAlign w:val="center"/>
            <w:hideMark/>
          </w:tcPr>
          <w:p w14:paraId="584A0FD4"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71.948</w:t>
            </w:r>
          </w:p>
        </w:tc>
        <w:tc>
          <w:tcPr>
            <w:tcW w:w="1606" w:type="pct"/>
            <w:tcBorders>
              <w:top w:val="nil"/>
              <w:left w:val="nil"/>
              <w:bottom w:val="single" w:sz="4" w:space="0" w:color="auto"/>
              <w:right w:val="single" w:sz="4" w:space="0" w:color="auto"/>
            </w:tcBorders>
            <w:shd w:val="clear" w:color="auto" w:fill="auto"/>
            <w:vAlign w:val="center"/>
            <w:hideMark/>
          </w:tcPr>
          <w:p w14:paraId="2C4E0DA9"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183.347.033</w:t>
            </w:r>
          </w:p>
        </w:tc>
      </w:tr>
      <w:tr w:rsidR="00F24E18" w:rsidRPr="00822F5D" w14:paraId="4C348DEE" w14:textId="77777777" w:rsidTr="000E18B5">
        <w:trPr>
          <w:trHeight w:val="252"/>
        </w:trPr>
        <w:tc>
          <w:tcPr>
            <w:tcW w:w="1161" w:type="pct"/>
            <w:vMerge w:val="restart"/>
            <w:tcBorders>
              <w:top w:val="nil"/>
              <w:left w:val="single" w:sz="4" w:space="0" w:color="auto"/>
              <w:bottom w:val="single" w:sz="4" w:space="0" w:color="auto"/>
              <w:right w:val="single" w:sz="4" w:space="0" w:color="auto"/>
            </w:tcBorders>
            <w:shd w:val="clear" w:color="auto" w:fill="auto"/>
            <w:vAlign w:val="center"/>
            <w:hideMark/>
          </w:tcPr>
          <w:p w14:paraId="3C4D16F2"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Obrambno</w:t>
            </w:r>
          </w:p>
        </w:tc>
        <w:tc>
          <w:tcPr>
            <w:tcW w:w="858" w:type="pct"/>
            <w:tcBorders>
              <w:top w:val="nil"/>
              <w:left w:val="nil"/>
              <w:bottom w:val="single" w:sz="4" w:space="0" w:color="auto"/>
              <w:right w:val="single" w:sz="4" w:space="0" w:color="auto"/>
            </w:tcBorders>
            <w:shd w:val="clear" w:color="auto" w:fill="auto"/>
            <w:vAlign w:val="center"/>
            <w:hideMark/>
          </w:tcPr>
          <w:p w14:paraId="74762185"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Blago</w:t>
            </w:r>
          </w:p>
        </w:tc>
        <w:tc>
          <w:tcPr>
            <w:tcW w:w="1375" w:type="pct"/>
            <w:tcBorders>
              <w:top w:val="nil"/>
              <w:left w:val="nil"/>
              <w:bottom w:val="single" w:sz="4" w:space="0" w:color="auto"/>
              <w:right w:val="single" w:sz="4" w:space="0" w:color="auto"/>
            </w:tcBorders>
            <w:shd w:val="clear" w:color="auto" w:fill="auto"/>
            <w:vAlign w:val="center"/>
            <w:hideMark/>
          </w:tcPr>
          <w:p w14:paraId="72F0E2D3"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11</w:t>
            </w:r>
          </w:p>
        </w:tc>
        <w:tc>
          <w:tcPr>
            <w:tcW w:w="1606" w:type="pct"/>
            <w:tcBorders>
              <w:top w:val="nil"/>
              <w:left w:val="nil"/>
              <w:bottom w:val="single" w:sz="4" w:space="0" w:color="auto"/>
              <w:right w:val="single" w:sz="4" w:space="0" w:color="auto"/>
            </w:tcBorders>
            <w:shd w:val="clear" w:color="auto" w:fill="auto"/>
            <w:vAlign w:val="center"/>
            <w:hideMark/>
          </w:tcPr>
          <w:p w14:paraId="1E3AAE11"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235.535</w:t>
            </w:r>
          </w:p>
        </w:tc>
      </w:tr>
      <w:tr w:rsidR="00F24E18" w:rsidRPr="00822F5D" w14:paraId="70423DC2"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1735AF71"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01983C93"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Storitve</w:t>
            </w:r>
          </w:p>
        </w:tc>
        <w:tc>
          <w:tcPr>
            <w:tcW w:w="1375" w:type="pct"/>
            <w:tcBorders>
              <w:top w:val="nil"/>
              <w:left w:val="nil"/>
              <w:bottom w:val="single" w:sz="4" w:space="0" w:color="auto"/>
              <w:right w:val="single" w:sz="4" w:space="0" w:color="auto"/>
            </w:tcBorders>
            <w:shd w:val="clear" w:color="auto" w:fill="auto"/>
            <w:vAlign w:val="center"/>
            <w:hideMark/>
          </w:tcPr>
          <w:p w14:paraId="4858818F"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26</w:t>
            </w:r>
          </w:p>
        </w:tc>
        <w:tc>
          <w:tcPr>
            <w:tcW w:w="1606" w:type="pct"/>
            <w:tcBorders>
              <w:top w:val="nil"/>
              <w:left w:val="nil"/>
              <w:bottom w:val="single" w:sz="4" w:space="0" w:color="auto"/>
              <w:right w:val="single" w:sz="4" w:space="0" w:color="auto"/>
            </w:tcBorders>
            <w:shd w:val="clear" w:color="auto" w:fill="auto"/>
            <w:vAlign w:val="center"/>
            <w:hideMark/>
          </w:tcPr>
          <w:p w14:paraId="066F2099"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271.140</w:t>
            </w:r>
          </w:p>
        </w:tc>
      </w:tr>
      <w:tr w:rsidR="00F24E18" w:rsidRPr="00822F5D" w14:paraId="0EB0546B"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384833D0"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44F8819D" w14:textId="77777777" w:rsidR="00F24E18" w:rsidRPr="00822F5D" w:rsidRDefault="00F24E18" w:rsidP="000E18B5">
            <w:pPr>
              <w:spacing w:after="0" w:line="240" w:lineRule="auto"/>
              <w:rPr>
                <w:rFonts w:ascii="Arial" w:eastAsia="Times New Roman" w:hAnsi="Arial" w:cs="Arial"/>
                <w:color w:val="000000"/>
                <w:sz w:val="18"/>
                <w:szCs w:val="18"/>
                <w:lang w:eastAsia="sl-SI"/>
              </w:rPr>
            </w:pPr>
            <w:r w:rsidRPr="00822F5D">
              <w:rPr>
                <w:rFonts w:ascii="Arial" w:eastAsia="Times New Roman" w:hAnsi="Arial" w:cs="Arial"/>
                <w:color w:val="000000"/>
                <w:sz w:val="18"/>
                <w:szCs w:val="18"/>
                <w:lang w:eastAsia="sl-SI"/>
              </w:rPr>
              <w:t>Gradnje</w:t>
            </w:r>
          </w:p>
        </w:tc>
        <w:tc>
          <w:tcPr>
            <w:tcW w:w="1375" w:type="pct"/>
            <w:tcBorders>
              <w:top w:val="nil"/>
              <w:left w:val="nil"/>
              <w:bottom w:val="single" w:sz="4" w:space="0" w:color="auto"/>
              <w:right w:val="single" w:sz="4" w:space="0" w:color="auto"/>
            </w:tcBorders>
            <w:shd w:val="clear" w:color="auto" w:fill="auto"/>
            <w:vAlign w:val="center"/>
            <w:hideMark/>
          </w:tcPr>
          <w:p w14:paraId="0C912FB7"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0</w:t>
            </w:r>
          </w:p>
        </w:tc>
        <w:tc>
          <w:tcPr>
            <w:tcW w:w="1606" w:type="pct"/>
            <w:tcBorders>
              <w:top w:val="nil"/>
              <w:left w:val="nil"/>
              <w:bottom w:val="single" w:sz="4" w:space="0" w:color="auto"/>
              <w:right w:val="single" w:sz="4" w:space="0" w:color="auto"/>
            </w:tcBorders>
            <w:shd w:val="clear" w:color="auto" w:fill="auto"/>
            <w:vAlign w:val="center"/>
            <w:hideMark/>
          </w:tcPr>
          <w:p w14:paraId="38E0447D" w14:textId="77777777" w:rsidR="00F24E18" w:rsidRPr="00822F5D" w:rsidRDefault="00F24E18" w:rsidP="000E18B5">
            <w:pPr>
              <w:spacing w:after="0" w:line="240" w:lineRule="auto"/>
              <w:jc w:val="right"/>
              <w:rPr>
                <w:rFonts w:ascii="Arial" w:eastAsia="Times New Roman" w:hAnsi="Arial" w:cs="Arial"/>
                <w:color w:val="000000"/>
                <w:sz w:val="18"/>
                <w:szCs w:val="18"/>
                <w:lang w:eastAsia="sl-SI"/>
              </w:rPr>
            </w:pPr>
            <w:r w:rsidRPr="00822F5D">
              <w:rPr>
                <w:rFonts w:ascii="Arial" w:hAnsi="Arial" w:cs="Arial"/>
                <w:color w:val="000000"/>
                <w:sz w:val="18"/>
                <w:szCs w:val="18"/>
              </w:rPr>
              <w:t>0</w:t>
            </w:r>
          </w:p>
        </w:tc>
      </w:tr>
      <w:tr w:rsidR="00F24E18" w:rsidRPr="00822F5D" w14:paraId="195FB651" w14:textId="77777777" w:rsidTr="000E18B5">
        <w:trPr>
          <w:trHeight w:val="252"/>
        </w:trPr>
        <w:tc>
          <w:tcPr>
            <w:tcW w:w="1161" w:type="pct"/>
            <w:vMerge/>
            <w:tcBorders>
              <w:top w:val="nil"/>
              <w:left w:val="single" w:sz="4" w:space="0" w:color="auto"/>
              <w:bottom w:val="single" w:sz="4" w:space="0" w:color="auto"/>
              <w:right w:val="single" w:sz="4" w:space="0" w:color="auto"/>
            </w:tcBorders>
            <w:vAlign w:val="center"/>
            <w:hideMark/>
          </w:tcPr>
          <w:p w14:paraId="1DA33AA8" w14:textId="77777777" w:rsidR="00F24E18" w:rsidRPr="00822F5D" w:rsidRDefault="00F24E18" w:rsidP="000E18B5">
            <w:pPr>
              <w:spacing w:after="0" w:line="240" w:lineRule="auto"/>
              <w:rPr>
                <w:rFonts w:ascii="Arial" w:eastAsia="Times New Roman" w:hAnsi="Arial" w:cs="Arial"/>
                <w:color w:val="000000"/>
                <w:sz w:val="18"/>
                <w:szCs w:val="18"/>
                <w:lang w:eastAsia="sl-SI"/>
              </w:rPr>
            </w:pPr>
          </w:p>
        </w:tc>
        <w:tc>
          <w:tcPr>
            <w:tcW w:w="858" w:type="pct"/>
            <w:tcBorders>
              <w:top w:val="nil"/>
              <w:left w:val="nil"/>
              <w:bottom w:val="single" w:sz="4" w:space="0" w:color="auto"/>
              <w:right w:val="single" w:sz="4" w:space="0" w:color="auto"/>
            </w:tcBorders>
            <w:shd w:val="clear" w:color="auto" w:fill="auto"/>
            <w:vAlign w:val="center"/>
            <w:hideMark/>
          </w:tcPr>
          <w:p w14:paraId="1A0DF1D6" w14:textId="77777777" w:rsidR="00F24E18" w:rsidRPr="00822F5D" w:rsidRDefault="00F24E18" w:rsidP="000E18B5">
            <w:pPr>
              <w:spacing w:after="0" w:line="240" w:lineRule="auto"/>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Skupaj</w:t>
            </w:r>
          </w:p>
        </w:tc>
        <w:tc>
          <w:tcPr>
            <w:tcW w:w="1375" w:type="pct"/>
            <w:tcBorders>
              <w:top w:val="nil"/>
              <w:left w:val="nil"/>
              <w:bottom w:val="single" w:sz="4" w:space="0" w:color="auto"/>
              <w:right w:val="single" w:sz="4" w:space="0" w:color="auto"/>
            </w:tcBorders>
            <w:shd w:val="clear" w:color="auto" w:fill="auto"/>
            <w:noWrap/>
            <w:vAlign w:val="center"/>
            <w:hideMark/>
          </w:tcPr>
          <w:p w14:paraId="24035810"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37</w:t>
            </w:r>
          </w:p>
        </w:tc>
        <w:tc>
          <w:tcPr>
            <w:tcW w:w="1606" w:type="pct"/>
            <w:tcBorders>
              <w:top w:val="nil"/>
              <w:left w:val="nil"/>
              <w:bottom w:val="single" w:sz="4" w:space="0" w:color="auto"/>
              <w:right w:val="single" w:sz="4" w:space="0" w:color="auto"/>
            </w:tcBorders>
            <w:shd w:val="clear" w:color="auto" w:fill="auto"/>
            <w:noWrap/>
            <w:vAlign w:val="center"/>
            <w:hideMark/>
          </w:tcPr>
          <w:p w14:paraId="2F5635EE"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506.675</w:t>
            </w:r>
          </w:p>
        </w:tc>
      </w:tr>
      <w:tr w:rsidR="00F24E18" w:rsidRPr="00822F5D" w14:paraId="3A5E1BC3" w14:textId="77777777" w:rsidTr="000E18B5">
        <w:trPr>
          <w:trHeight w:val="252"/>
        </w:trPr>
        <w:tc>
          <w:tcPr>
            <w:tcW w:w="20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E20683" w14:textId="77777777" w:rsidR="00F24E18" w:rsidRPr="00822F5D" w:rsidRDefault="00F24E18" w:rsidP="000E18B5">
            <w:pPr>
              <w:spacing w:after="0" w:line="240" w:lineRule="auto"/>
              <w:rPr>
                <w:rFonts w:ascii="Arial" w:eastAsia="Times New Roman" w:hAnsi="Arial" w:cs="Arial"/>
                <w:b/>
                <w:bCs/>
                <w:color w:val="000000"/>
                <w:sz w:val="18"/>
                <w:szCs w:val="18"/>
                <w:lang w:eastAsia="sl-SI"/>
              </w:rPr>
            </w:pPr>
            <w:r w:rsidRPr="00822F5D">
              <w:rPr>
                <w:rFonts w:ascii="Arial" w:eastAsia="Times New Roman" w:hAnsi="Arial" w:cs="Arial"/>
                <w:b/>
                <w:bCs/>
                <w:color w:val="000000"/>
                <w:sz w:val="18"/>
                <w:szCs w:val="18"/>
                <w:lang w:eastAsia="sl-SI"/>
              </w:rPr>
              <w:t>Skupaj</w:t>
            </w:r>
          </w:p>
        </w:tc>
        <w:tc>
          <w:tcPr>
            <w:tcW w:w="1375" w:type="pct"/>
            <w:tcBorders>
              <w:top w:val="nil"/>
              <w:left w:val="nil"/>
              <w:bottom w:val="single" w:sz="4" w:space="0" w:color="auto"/>
              <w:right w:val="single" w:sz="4" w:space="0" w:color="auto"/>
            </w:tcBorders>
            <w:shd w:val="clear" w:color="auto" w:fill="F2F2F2" w:themeFill="background1" w:themeFillShade="F2"/>
            <w:noWrap/>
            <w:vAlign w:val="center"/>
            <w:hideMark/>
          </w:tcPr>
          <w:p w14:paraId="05209534"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1.102.810</w:t>
            </w:r>
          </w:p>
        </w:tc>
        <w:tc>
          <w:tcPr>
            <w:tcW w:w="1606" w:type="pct"/>
            <w:tcBorders>
              <w:top w:val="nil"/>
              <w:left w:val="nil"/>
              <w:bottom w:val="single" w:sz="4" w:space="0" w:color="auto"/>
              <w:right w:val="single" w:sz="4" w:space="0" w:color="auto"/>
            </w:tcBorders>
            <w:shd w:val="clear" w:color="auto" w:fill="F2F2F2" w:themeFill="background1" w:themeFillShade="F2"/>
            <w:noWrap/>
            <w:vAlign w:val="center"/>
            <w:hideMark/>
          </w:tcPr>
          <w:p w14:paraId="4E08958D" w14:textId="77777777" w:rsidR="00F24E18" w:rsidRPr="00822F5D" w:rsidRDefault="00F24E18" w:rsidP="000E18B5">
            <w:pPr>
              <w:spacing w:after="0" w:line="240" w:lineRule="auto"/>
              <w:jc w:val="right"/>
              <w:rPr>
                <w:rFonts w:ascii="Arial" w:eastAsia="Times New Roman" w:hAnsi="Arial" w:cs="Arial"/>
                <w:b/>
                <w:bCs/>
                <w:color w:val="000000"/>
                <w:sz w:val="18"/>
                <w:szCs w:val="18"/>
                <w:lang w:eastAsia="sl-SI"/>
              </w:rPr>
            </w:pPr>
            <w:r w:rsidRPr="00822F5D">
              <w:rPr>
                <w:rFonts w:ascii="Arial" w:hAnsi="Arial" w:cs="Arial"/>
                <w:b/>
                <w:bCs/>
                <w:color w:val="000000"/>
                <w:sz w:val="18"/>
                <w:szCs w:val="18"/>
              </w:rPr>
              <w:t>1.484.325.448</w:t>
            </w:r>
          </w:p>
        </w:tc>
      </w:tr>
    </w:tbl>
    <w:p w14:paraId="475BE400" w14:textId="77777777" w:rsidR="00F24E18" w:rsidRPr="00822F5D" w:rsidRDefault="00F24E18" w:rsidP="00F24E18">
      <w:pPr>
        <w:spacing w:after="0" w:line="240" w:lineRule="auto"/>
        <w:jc w:val="both"/>
        <w:rPr>
          <w:rFonts w:ascii="Arial" w:hAnsi="Arial" w:cs="Arial"/>
          <w:sz w:val="20"/>
        </w:rPr>
      </w:pPr>
    </w:p>
    <w:p w14:paraId="2B46BDE0" w14:textId="77777777" w:rsidR="00F24E18" w:rsidRPr="005751A9" w:rsidRDefault="00F24E18" w:rsidP="00F24E18">
      <w:pPr>
        <w:spacing w:before="120" w:after="0" w:line="240" w:lineRule="auto"/>
        <w:jc w:val="both"/>
        <w:rPr>
          <w:rFonts w:ascii="Arial" w:hAnsi="Arial" w:cs="Arial"/>
          <w:sz w:val="20"/>
        </w:rPr>
      </w:pPr>
      <w:r w:rsidRPr="005751A9">
        <w:rPr>
          <w:rFonts w:ascii="Arial" w:hAnsi="Arial" w:cs="Arial"/>
          <w:sz w:val="20"/>
        </w:rPr>
        <w:t>Preglednica 63: Naročila, objavljena samo na portalu javnih naročil glede na področje in predmet naročanja</w:t>
      </w:r>
    </w:p>
    <w:p w14:paraId="53EF071A"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301"/>
        <w:gridCol w:w="821"/>
        <w:gridCol w:w="825"/>
        <w:gridCol w:w="1700"/>
        <w:gridCol w:w="1434"/>
        <w:gridCol w:w="1418"/>
        <w:gridCol w:w="804"/>
        <w:gridCol w:w="871"/>
      </w:tblGrid>
      <w:tr w:rsidR="00F24E18" w:rsidRPr="005751A9" w14:paraId="61381455" w14:textId="77777777" w:rsidTr="000E18B5">
        <w:trPr>
          <w:trHeight w:val="960"/>
          <w:tblHeader/>
        </w:trPr>
        <w:tc>
          <w:tcPr>
            <w:tcW w:w="70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3F04A4A" w14:textId="77777777" w:rsidR="00F24E18" w:rsidRPr="005751A9" w:rsidRDefault="00F24E18" w:rsidP="000E18B5">
            <w:pPr>
              <w:spacing w:after="0" w:line="240" w:lineRule="auto"/>
              <w:jc w:val="center"/>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Področje</w:t>
            </w:r>
          </w:p>
        </w:tc>
        <w:tc>
          <w:tcPr>
            <w:tcW w:w="447" w:type="pct"/>
            <w:tcBorders>
              <w:top w:val="single" w:sz="4" w:space="0" w:color="auto"/>
              <w:left w:val="nil"/>
              <w:bottom w:val="single" w:sz="4" w:space="0" w:color="auto"/>
              <w:right w:val="single" w:sz="4" w:space="0" w:color="auto"/>
            </w:tcBorders>
            <w:shd w:val="clear" w:color="000000" w:fill="F2F2F2"/>
            <w:vAlign w:val="center"/>
            <w:hideMark/>
          </w:tcPr>
          <w:p w14:paraId="045EA432" w14:textId="77777777" w:rsidR="00F24E18" w:rsidRPr="005751A9" w:rsidRDefault="00F24E18" w:rsidP="000E18B5">
            <w:pPr>
              <w:spacing w:after="0" w:line="240" w:lineRule="auto"/>
              <w:jc w:val="center"/>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Predmet</w:t>
            </w:r>
          </w:p>
        </w:tc>
        <w:tc>
          <w:tcPr>
            <w:tcW w:w="450" w:type="pct"/>
            <w:tcBorders>
              <w:top w:val="single" w:sz="4" w:space="0" w:color="auto"/>
              <w:left w:val="nil"/>
              <w:bottom w:val="single" w:sz="4" w:space="0" w:color="auto"/>
              <w:right w:val="single" w:sz="4" w:space="0" w:color="auto"/>
            </w:tcBorders>
            <w:shd w:val="clear" w:color="000000" w:fill="F2F2F2"/>
            <w:vAlign w:val="center"/>
            <w:hideMark/>
          </w:tcPr>
          <w:p w14:paraId="3DCDC531" w14:textId="77777777" w:rsidR="00F24E18" w:rsidRPr="005751A9" w:rsidRDefault="00F24E18" w:rsidP="000E18B5">
            <w:pPr>
              <w:spacing w:after="0" w:line="240" w:lineRule="auto"/>
              <w:jc w:val="center"/>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Št. naročil</w:t>
            </w:r>
          </w:p>
        </w:tc>
        <w:tc>
          <w:tcPr>
            <w:tcW w:w="927" w:type="pct"/>
            <w:tcBorders>
              <w:top w:val="single" w:sz="4" w:space="0" w:color="auto"/>
              <w:left w:val="nil"/>
              <w:bottom w:val="single" w:sz="4" w:space="0" w:color="auto"/>
              <w:right w:val="single" w:sz="4" w:space="0" w:color="auto"/>
            </w:tcBorders>
            <w:shd w:val="clear" w:color="000000" w:fill="F2F2F2"/>
            <w:vAlign w:val="center"/>
            <w:hideMark/>
          </w:tcPr>
          <w:p w14:paraId="1A12B707" w14:textId="77777777" w:rsidR="00F24E18" w:rsidRPr="005751A9" w:rsidRDefault="00F24E18" w:rsidP="000E18B5">
            <w:pPr>
              <w:spacing w:after="0" w:line="240" w:lineRule="auto"/>
              <w:jc w:val="center"/>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Pogodbena vrednost</w:t>
            </w:r>
          </w:p>
        </w:tc>
        <w:tc>
          <w:tcPr>
            <w:tcW w:w="782" w:type="pct"/>
            <w:tcBorders>
              <w:top w:val="single" w:sz="4" w:space="0" w:color="auto"/>
              <w:left w:val="nil"/>
              <w:bottom w:val="single" w:sz="4" w:space="0" w:color="auto"/>
              <w:right w:val="single" w:sz="4" w:space="0" w:color="auto"/>
            </w:tcBorders>
            <w:shd w:val="clear" w:color="000000" w:fill="F2F2F2"/>
            <w:vAlign w:val="center"/>
            <w:hideMark/>
          </w:tcPr>
          <w:p w14:paraId="5B04534B" w14:textId="77777777" w:rsidR="00F24E18" w:rsidRPr="005751A9" w:rsidRDefault="00F24E18" w:rsidP="000E18B5">
            <w:pPr>
              <w:spacing w:after="0" w:line="240" w:lineRule="auto"/>
              <w:jc w:val="center"/>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Delež v št. istovrstnih naročil</w:t>
            </w:r>
          </w:p>
        </w:tc>
        <w:tc>
          <w:tcPr>
            <w:tcW w:w="773" w:type="pct"/>
            <w:tcBorders>
              <w:top w:val="single" w:sz="4" w:space="0" w:color="auto"/>
              <w:left w:val="nil"/>
              <w:bottom w:val="single" w:sz="4" w:space="0" w:color="auto"/>
              <w:right w:val="single" w:sz="4" w:space="0" w:color="auto"/>
            </w:tcBorders>
            <w:shd w:val="clear" w:color="000000" w:fill="F2F2F2"/>
            <w:vAlign w:val="center"/>
            <w:hideMark/>
          </w:tcPr>
          <w:p w14:paraId="4FFC5696" w14:textId="77777777" w:rsidR="00F24E18" w:rsidRPr="005751A9" w:rsidRDefault="00F24E18" w:rsidP="000E18B5">
            <w:pPr>
              <w:spacing w:after="0" w:line="240" w:lineRule="auto"/>
              <w:jc w:val="center"/>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Delež  vrednosti istovrstnih naročil</w:t>
            </w:r>
          </w:p>
        </w:tc>
        <w:tc>
          <w:tcPr>
            <w:tcW w:w="438" w:type="pct"/>
            <w:tcBorders>
              <w:top w:val="single" w:sz="4" w:space="0" w:color="auto"/>
              <w:left w:val="nil"/>
              <w:bottom w:val="single" w:sz="4" w:space="0" w:color="auto"/>
              <w:right w:val="single" w:sz="4" w:space="0" w:color="auto"/>
            </w:tcBorders>
            <w:shd w:val="clear" w:color="000000" w:fill="F2F2F2"/>
            <w:vAlign w:val="center"/>
            <w:hideMark/>
          </w:tcPr>
          <w:p w14:paraId="1E929960" w14:textId="77777777" w:rsidR="00F24E18" w:rsidRPr="005751A9" w:rsidRDefault="00F24E18" w:rsidP="000E18B5">
            <w:pPr>
              <w:spacing w:after="0" w:line="240" w:lineRule="auto"/>
              <w:jc w:val="center"/>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Delež v št. vseh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7912CC64" w14:textId="77777777" w:rsidR="00F24E18" w:rsidRPr="005751A9" w:rsidRDefault="00F24E18" w:rsidP="000E18B5">
            <w:pPr>
              <w:spacing w:after="0" w:line="240" w:lineRule="auto"/>
              <w:jc w:val="center"/>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Delež v vrednosti vseh naročil</w:t>
            </w:r>
          </w:p>
        </w:tc>
      </w:tr>
      <w:tr w:rsidR="00F24E18" w:rsidRPr="005751A9" w14:paraId="27DFE70E"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70F265"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Splošno</w:t>
            </w:r>
          </w:p>
        </w:tc>
        <w:tc>
          <w:tcPr>
            <w:tcW w:w="447" w:type="pct"/>
            <w:tcBorders>
              <w:top w:val="nil"/>
              <w:left w:val="nil"/>
              <w:bottom w:val="single" w:sz="4" w:space="0" w:color="auto"/>
              <w:right w:val="single" w:sz="4" w:space="0" w:color="auto"/>
            </w:tcBorders>
            <w:shd w:val="clear" w:color="auto" w:fill="auto"/>
            <w:noWrap/>
            <w:vAlign w:val="center"/>
            <w:hideMark/>
          </w:tcPr>
          <w:p w14:paraId="6B0FEDA5"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Blago</w:t>
            </w:r>
          </w:p>
        </w:tc>
        <w:tc>
          <w:tcPr>
            <w:tcW w:w="450" w:type="pct"/>
            <w:tcBorders>
              <w:top w:val="nil"/>
              <w:left w:val="nil"/>
              <w:bottom w:val="single" w:sz="4" w:space="0" w:color="auto"/>
              <w:right w:val="single" w:sz="4" w:space="0" w:color="auto"/>
            </w:tcBorders>
            <w:shd w:val="clear" w:color="auto" w:fill="auto"/>
            <w:noWrap/>
            <w:vAlign w:val="center"/>
            <w:hideMark/>
          </w:tcPr>
          <w:p w14:paraId="5D1CD4CA"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2.630</w:t>
            </w:r>
          </w:p>
        </w:tc>
        <w:tc>
          <w:tcPr>
            <w:tcW w:w="927" w:type="pct"/>
            <w:tcBorders>
              <w:top w:val="nil"/>
              <w:left w:val="nil"/>
              <w:bottom w:val="single" w:sz="4" w:space="0" w:color="auto"/>
              <w:right w:val="single" w:sz="4" w:space="0" w:color="auto"/>
            </w:tcBorders>
            <w:shd w:val="clear" w:color="auto" w:fill="auto"/>
            <w:noWrap/>
            <w:vAlign w:val="center"/>
            <w:hideMark/>
          </w:tcPr>
          <w:p w14:paraId="361C415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122.395.433</w:t>
            </w:r>
          </w:p>
        </w:tc>
        <w:tc>
          <w:tcPr>
            <w:tcW w:w="782" w:type="pct"/>
            <w:tcBorders>
              <w:top w:val="nil"/>
              <w:left w:val="nil"/>
              <w:bottom w:val="single" w:sz="4" w:space="0" w:color="auto"/>
              <w:right w:val="single" w:sz="4" w:space="0" w:color="auto"/>
            </w:tcBorders>
            <w:shd w:val="clear" w:color="auto" w:fill="auto"/>
            <w:noWrap/>
            <w:vAlign w:val="center"/>
            <w:hideMark/>
          </w:tcPr>
          <w:p w14:paraId="75039F63"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49,01 %</w:t>
            </w:r>
          </w:p>
        </w:tc>
        <w:tc>
          <w:tcPr>
            <w:tcW w:w="773" w:type="pct"/>
            <w:tcBorders>
              <w:top w:val="nil"/>
              <w:left w:val="nil"/>
              <w:bottom w:val="single" w:sz="4" w:space="0" w:color="auto"/>
              <w:right w:val="single" w:sz="4" w:space="0" w:color="auto"/>
            </w:tcBorders>
            <w:shd w:val="clear" w:color="auto" w:fill="auto"/>
            <w:noWrap/>
            <w:vAlign w:val="center"/>
            <w:hideMark/>
          </w:tcPr>
          <w:p w14:paraId="270691AD"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16,23 %</w:t>
            </w:r>
          </w:p>
        </w:tc>
        <w:tc>
          <w:tcPr>
            <w:tcW w:w="438" w:type="pct"/>
            <w:tcBorders>
              <w:top w:val="nil"/>
              <w:left w:val="nil"/>
              <w:bottom w:val="single" w:sz="4" w:space="0" w:color="auto"/>
              <w:right w:val="single" w:sz="4" w:space="0" w:color="auto"/>
            </w:tcBorders>
            <w:shd w:val="clear" w:color="auto" w:fill="auto"/>
            <w:noWrap/>
            <w:vAlign w:val="center"/>
            <w:hideMark/>
          </w:tcPr>
          <w:p w14:paraId="420F654D"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37,98 %</w:t>
            </w:r>
          </w:p>
        </w:tc>
        <w:tc>
          <w:tcPr>
            <w:tcW w:w="475" w:type="pct"/>
            <w:tcBorders>
              <w:top w:val="nil"/>
              <w:left w:val="nil"/>
              <w:bottom w:val="single" w:sz="4" w:space="0" w:color="auto"/>
              <w:right w:val="single" w:sz="4" w:space="0" w:color="auto"/>
            </w:tcBorders>
            <w:shd w:val="clear" w:color="auto" w:fill="auto"/>
            <w:noWrap/>
            <w:vAlign w:val="center"/>
            <w:hideMark/>
          </w:tcPr>
          <w:p w14:paraId="63AE1170"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12,73 %</w:t>
            </w:r>
          </w:p>
        </w:tc>
      </w:tr>
      <w:tr w:rsidR="00F24E18" w:rsidRPr="005751A9" w14:paraId="24449EE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3AFD71B"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1BDC0A8A"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Storitve</w:t>
            </w:r>
          </w:p>
        </w:tc>
        <w:tc>
          <w:tcPr>
            <w:tcW w:w="450" w:type="pct"/>
            <w:tcBorders>
              <w:top w:val="nil"/>
              <w:left w:val="nil"/>
              <w:bottom w:val="single" w:sz="4" w:space="0" w:color="auto"/>
              <w:right w:val="single" w:sz="4" w:space="0" w:color="auto"/>
            </w:tcBorders>
            <w:shd w:val="clear" w:color="auto" w:fill="auto"/>
            <w:noWrap/>
            <w:vAlign w:val="center"/>
            <w:hideMark/>
          </w:tcPr>
          <w:p w14:paraId="638D20E7"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1.552</w:t>
            </w:r>
          </w:p>
        </w:tc>
        <w:tc>
          <w:tcPr>
            <w:tcW w:w="927" w:type="pct"/>
            <w:tcBorders>
              <w:top w:val="nil"/>
              <w:left w:val="nil"/>
              <w:bottom w:val="single" w:sz="4" w:space="0" w:color="auto"/>
              <w:right w:val="single" w:sz="4" w:space="0" w:color="auto"/>
            </w:tcBorders>
            <w:shd w:val="clear" w:color="auto" w:fill="auto"/>
            <w:noWrap/>
            <w:vAlign w:val="center"/>
            <w:hideMark/>
          </w:tcPr>
          <w:p w14:paraId="383436C7"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118.533.618</w:t>
            </w:r>
          </w:p>
        </w:tc>
        <w:tc>
          <w:tcPr>
            <w:tcW w:w="782" w:type="pct"/>
            <w:tcBorders>
              <w:top w:val="nil"/>
              <w:left w:val="nil"/>
              <w:bottom w:val="single" w:sz="4" w:space="0" w:color="auto"/>
              <w:right w:val="single" w:sz="4" w:space="0" w:color="auto"/>
            </w:tcBorders>
            <w:shd w:val="clear" w:color="auto" w:fill="auto"/>
            <w:noWrap/>
            <w:vAlign w:val="center"/>
            <w:hideMark/>
          </w:tcPr>
          <w:p w14:paraId="4626499C"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28,92 %</w:t>
            </w:r>
          </w:p>
        </w:tc>
        <w:tc>
          <w:tcPr>
            <w:tcW w:w="773" w:type="pct"/>
            <w:tcBorders>
              <w:top w:val="nil"/>
              <w:left w:val="nil"/>
              <w:bottom w:val="single" w:sz="4" w:space="0" w:color="auto"/>
              <w:right w:val="single" w:sz="4" w:space="0" w:color="auto"/>
            </w:tcBorders>
            <w:shd w:val="clear" w:color="auto" w:fill="auto"/>
            <w:noWrap/>
            <w:vAlign w:val="center"/>
            <w:hideMark/>
          </w:tcPr>
          <w:p w14:paraId="45E2ACEE"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15,72 %</w:t>
            </w:r>
          </w:p>
        </w:tc>
        <w:tc>
          <w:tcPr>
            <w:tcW w:w="438" w:type="pct"/>
            <w:tcBorders>
              <w:top w:val="nil"/>
              <w:left w:val="nil"/>
              <w:bottom w:val="single" w:sz="4" w:space="0" w:color="auto"/>
              <w:right w:val="single" w:sz="4" w:space="0" w:color="auto"/>
            </w:tcBorders>
            <w:shd w:val="clear" w:color="auto" w:fill="auto"/>
            <w:noWrap/>
            <w:vAlign w:val="center"/>
            <w:hideMark/>
          </w:tcPr>
          <w:p w14:paraId="2410F656"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22,41 %</w:t>
            </w:r>
          </w:p>
        </w:tc>
        <w:tc>
          <w:tcPr>
            <w:tcW w:w="475" w:type="pct"/>
            <w:tcBorders>
              <w:top w:val="nil"/>
              <w:left w:val="nil"/>
              <w:bottom w:val="single" w:sz="4" w:space="0" w:color="auto"/>
              <w:right w:val="single" w:sz="4" w:space="0" w:color="auto"/>
            </w:tcBorders>
            <w:shd w:val="clear" w:color="auto" w:fill="auto"/>
            <w:noWrap/>
            <w:vAlign w:val="center"/>
            <w:hideMark/>
          </w:tcPr>
          <w:p w14:paraId="39C70CD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12,33 %</w:t>
            </w:r>
          </w:p>
        </w:tc>
      </w:tr>
      <w:tr w:rsidR="00F24E18" w:rsidRPr="005751A9" w14:paraId="0387C699"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78FBA22"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5FE4A47C"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Gradnje</w:t>
            </w:r>
          </w:p>
        </w:tc>
        <w:tc>
          <w:tcPr>
            <w:tcW w:w="450" w:type="pct"/>
            <w:tcBorders>
              <w:top w:val="nil"/>
              <w:left w:val="nil"/>
              <w:bottom w:val="single" w:sz="4" w:space="0" w:color="auto"/>
              <w:right w:val="single" w:sz="4" w:space="0" w:color="auto"/>
            </w:tcBorders>
            <w:shd w:val="clear" w:color="auto" w:fill="auto"/>
            <w:noWrap/>
            <w:vAlign w:val="center"/>
            <w:hideMark/>
          </w:tcPr>
          <w:p w14:paraId="618705E2"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1.184</w:t>
            </w:r>
          </w:p>
        </w:tc>
        <w:tc>
          <w:tcPr>
            <w:tcW w:w="927" w:type="pct"/>
            <w:tcBorders>
              <w:top w:val="nil"/>
              <w:left w:val="nil"/>
              <w:bottom w:val="single" w:sz="4" w:space="0" w:color="auto"/>
              <w:right w:val="single" w:sz="4" w:space="0" w:color="auto"/>
            </w:tcBorders>
            <w:shd w:val="clear" w:color="auto" w:fill="auto"/>
            <w:noWrap/>
            <w:vAlign w:val="center"/>
            <w:hideMark/>
          </w:tcPr>
          <w:p w14:paraId="13F98AF7"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513.219.990</w:t>
            </w:r>
          </w:p>
        </w:tc>
        <w:tc>
          <w:tcPr>
            <w:tcW w:w="782" w:type="pct"/>
            <w:tcBorders>
              <w:top w:val="nil"/>
              <w:left w:val="nil"/>
              <w:bottom w:val="single" w:sz="4" w:space="0" w:color="auto"/>
              <w:right w:val="single" w:sz="4" w:space="0" w:color="auto"/>
            </w:tcBorders>
            <w:shd w:val="clear" w:color="auto" w:fill="auto"/>
            <w:noWrap/>
            <w:vAlign w:val="center"/>
            <w:hideMark/>
          </w:tcPr>
          <w:p w14:paraId="6754F3BB"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22,06 %</w:t>
            </w:r>
          </w:p>
        </w:tc>
        <w:tc>
          <w:tcPr>
            <w:tcW w:w="773" w:type="pct"/>
            <w:tcBorders>
              <w:top w:val="nil"/>
              <w:left w:val="nil"/>
              <w:bottom w:val="single" w:sz="4" w:space="0" w:color="auto"/>
              <w:right w:val="single" w:sz="4" w:space="0" w:color="auto"/>
            </w:tcBorders>
            <w:shd w:val="clear" w:color="auto" w:fill="auto"/>
            <w:noWrap/>
            <w:vAlign w:val="center"/>
            <w:hideMark/>
          </w:tcPr>
          <w:p w14:paraId="41172A25"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68,05 %</w:t>
            </w:r>
          </w:p>
        </w:tc>
        <w:tc>
          <w:tcPr>
            <w:tcW w:w="438" w:type="pct"/>
            <w:tcBorders>
              <w:top w:val="nil"/>
              <w:left w:val="nil"/>
              <w:bottom w:val="single" w:sz="4" w:space="0" w:color="auto"/>
              <w:right w:val="single" w:sz="4" w:space="0" w:color="auto"/>
            </w:tcBorders>
            <w:shd w:val="clear" w:color="auto" w:fill="auto"/>
            <w:noWrap/>
            <w:vAlign w:val="center"/>
            <w:hideMark/>
          </w:tcPr>
          <w:p w14:paraId="30B8A5C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17,10 %</w:t>
            </w:r>
          </w:p>
        </w:tc>
        <w:tc>
          <w:tcPr>
            <w:tcW w:w="475" w:type="pct"/>
            <w:tcBorders>
              <w:top w:val="nil"/>
              <w:left w:val="nil"/>
              <w:bottom w:val="single" w:sz="4" w:space="0" w:color="auto"/>
              <w:right w:val="single" w:sz="4" w:space="0" w:color="auto"/>
            </w:tcBorders>
            <w:shd w:val="clear" w:color="auto" w:fill="auto"/>
            <w:noWrap/>
            <w:vAlign w:val="center"/>
            <w:hideMark/>
          </w:tcPr>
          <w:p w14:paraId="36BCC96A"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53,39 %</w:t>
            </w:r>
          </w:p>
        </w:tc>
      </w:tr>
      <w:tr w:rsidR="00F24E18" w:rsidRPr="005751A9" w14:paraId="03AE043B"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ADA7BF4"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7AD20519" w14:textId="77777777" w:rsidR="00F24E18" w:rsidRPr="005751A9" w:rsidRDefault="00F24E18" w:rsidP="000E18B5">
            <w:pPr>
              <w:spacing w:after="0" w:line="240" w:lineRule="auto"/>
              <w:rPr>
                <w:rFonts w:ascii="Arial" w:eastAsia="Times New Roman" w:hAnsi="Arial" w:cs="Arial"/>
                <w:b/>
                <w:bCs/>
                <w:color w:val="000000"/>
                <w:sz w:val="18"/>
                <w:szCs w:val="18"/>
                <w:lang w:eastAsia="sl-SI"/>
              </w:rPr>
            </w:pPr>
            <w:r w:rsidRPr="005751A9">
              <w:rPr>
                <w:rFonts w:ascii="Arial" w:eastAsia="Times New Roman" w:hAnsi="Arial" w:cs="Arial"/>
                <w:b/>
                <w:bCs/>
                <w:color w:val="000000"/>
                <w:sz w:val="18"/>
                <w:szCs w:val="18"/>
                <w:lang w:eastAsia="sl-SI"/>
              </w:rPr>
              <w:t>Skupaj</w:t>
            </w:r>
          </w:p>
        </w:tc>
        <w:tc>
          <w:tcPr>
            <w:tcW w:w="450" w:type="pct"/>
            <w:tcBorders>
              <w:top w:val="nil"/>
              <w:left w:val="nil"/>
              <w:bottom w:val="single" w:sz="4" w:space="0" w:color="auto"/>
              <w:right w:val="single" w:sz="4" w:space="0" w:color="auto"/>
            </w:tcBorders>
            <w:shd w:val="clear" w:color="auto" w:fill="auto"/>
            <w:noWrap/>
            <w:vAlign w:val="center"/>
            <w:hideMark/>
          </w:tcPr>
          <w:p w14:paraId="661A7888"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5.366</w:t>
            </w:r>
          </w:p>
        </w:tc>
        <w:tc>
          <w:tcPr>
            <w:tcW w:w="927" w:type="pct"/>
            <w:tcBorders>
              <w:top w:val="nil"/>
              <w:left w:val="nil"/>
              <w:bottom w:val="single" w:sz="4" w:space="0" w:color="auto"/>
              <w:right w:val="single" w:sz="4" w:space="0" w:color="auto"/>
            </w:tcBorders>
            <w:shd w:val="clear" w:color="auto" w:fill="auto"/>
            <w:noWrap/>
            <w:vAlign w:val="center"/>
            <w:hideMark/>
          </w:tcPr>
          <w:p w14:paraId="208EDB57"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754.149.041</w:t>
            </w:r>
          </w:p>
        </w:tc>
        <w:tc>
          <w:tcPr>
            <w:tcW w:w="782" w:type="pct"/>
            <w:tcBorders>
              <w:top w:val="nil"/>
              <w:left w:val="nil"/>
              <w:bottom w:val="single" w:sz="4" w:space="0" w:color="auto"/>
              <w:right w:val="single" w:sz="4" w:space="0" w:color="auto"/>
            </w:tcBorders>
            <w:shd w:val="clear" w:color="auto" w:fill="auto"/>
            <w:noWrap/>
            <w:vAlign w:val="center"/>
            <w:hideMark/>
          </w:tcPr>
          <w:p w14:paraId="23815B98"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100,00 %</w:t>
            </w:r>
          </w:p>
        </w:tc>
        <w:tc>
          <w:tcPr>
            <w:tcW w:w="773" w:type="pct"/>
            <w:tcBorders>
              <w:top w:val="nil"/>
              <w:left w:val="nil"/>
              <w:bottom w:val="single" w:sz="4" w:space="0" w:color="auto"/>
              <w:right w:val="single" w:sz="4" w:space="0" w:color="auto"/>
            </w:tcBorders>
            <w:shd w:val="clear" w:color="auto" w:fill="auto"/>
            <w:noWrap/>
            <w:vAlign w:val="center"/>
            <w:hideMark/>
          </w:tcPr>
          <w:p w14:paraId="34A39888"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100,00 %</w:t>
            </w:r>
          </w:p>
        </w:tc>
        <w:tc>
          <w:tcPr>
            <w:tcW w:w="438" w:type="pct"/>
            <w:tcBorders>
              <w:top w:val="nil"/>
              <w:left w:val="nil"/>
              <w:bottom w:val="single" w:sz="4" w:space="0" w:color="auto"/>
              <w:right w:val="single" w:sz="4" w:space="0" w:color="auto"/>
            </w:tcBorders>
            <w:shd w:val="clear" w:color="auto" w:fill="auto"/>
            <w:noWrap/>
            <w:vAlign w:val="center"/>
            <w:hideMark/>
          </w:tcPr>
          <w:p w14:paraId="031F69BC"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77,50 %</w:t>
            </w:r>
          </w:p>
        </w:tc>
        <w:tc>
          <w:tcPr>
            <w:tcW w:w="475" w:type="pct"/>
            <w:tcBorders>
              <w:top w:val="nil"/>
              <w:left w:val="nil"/>
              <w:bottom w:val="single" w:sz="4" w:space="0" w:color="auto"/>
              <w:right w:val="single" w:sz="4" w:space="0" w:color="auto"/>
            </w:tcBorders>
            <w:shd w:val="clear" w:color="auto" w:fill="auto"/>
            <w:noWrap/>
            <w:vAlign w:val="center"/>
            <w:hideMark/>
          </w:tcPr>
          <w:p w14:paraId="6727F9FB"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78,45 %</w:t>
            </w:r>
          </w:p>
        </w:tc>
      </w:tr>
      <w:tr w:rsidR="00F24E18" w:rsidRPr="005751A9" w14:paraId="766B8A8B"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E50115"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Infrastrukturno</w:t>
            </w:r>
          </w:p>
        </w:tc>
        <w:tc>
          <w:tcPr>
            <w:tcW w:w="447" w:type="pct"/>
            <w:tcBorders>
              <w:top w:val="nil"/>
              <w:left w:val="nil"/>
              <w:bottom w:val="single" w:sz="4" w:space="0" w:color="auto"/>
              <w:right w:val="single" w:sz="4" w:space="0" w:color="auto"/>
            </w:tcBorders>
            <w:shd w:val="clear" w:color="auto" w:fill="auto"/>
            <w:noWrap/>
            <w:vAlign w:val="center"/>
            <w:hideMark/>
          </w:tcPr>
          <w:p w14:paraId="7D675E90"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Blago</w:t>
            </w:r>
          </w:p>
        </w:tc>
        <w:tc>
          <w:tcPr>
            <w:tcW w:w="450" w:type="pct"/>
            <w:tcBorders>
              <w:top w:val="nil"/>
              <w:left w:val="nil"/>
              <w:bottom w:val="single" w:sz="4" w:space="0" w:color="auto"/>
              <w:right w:val="single" w:sz="4" w:space="0" w:color="auto"/>
            </w:tcBorders>
            <w:shd w:val="clear" w:color="auto" w:fill="auto"/>
            <w:noWrap/>
            <w:vAlign w:val="center"/>
            <w:hideMark/>
          </w:tcPr>
          <w:p w14:paraId="01A3B5A6"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687</w:t>
            </w:r>
          </w:p>
        </w:tc>
        <w:tc>
          <w:tcPr>
            <w:tcW w:w="927" w:type="pct"/>
            <w:tcBorders>
              <w:top w:val="nil"/>
              <w:left w:val="nil"/>
              <w:bottom w:val="single" w:sz="4" w:space="0" w:color="auto"/>
              <w:right w:val="single" w:sz="4" w:space="0" w:color="auto"/>
            </w:tcBorders>
            <w:shd w:val="clear" w:color="auto" w:fill="auto"/>
            <w:noWrap/>
            <w:vAlign w:val="center"/>
            <w:hideMark/>
          </w:tcPr>
          <w:p w14:paraId="007C542F"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69.365.618</w:t>
            </w:r>
          </w:p>
        </w:tc>
        <w:tc>
          <w:tcPr>
            <w:tcW w:w="782" w:type="pct"/>
            <w:tcBorders>
              <w:top w:val="nil"/>
              <w:left w:val="nil"/>
              <w:bottom w:val="single" w:sz="4" w:space="0" w:color="auto"/>
              <w:right w:val="single" w:sz="4" w:space="0" w:color="auto"/>
            </w:tcBorders>
            <w:shd w:val="clear" w:color="auto" w:fill="auto"/>
            <w:noWrap/>
            <w:vAlign w:val="center"/>
            <w:hideMark/>
          </w:tcPr>
          <w:p w14:paraId="3CB64F5D"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45,95 %</w:t>
            </w:r>
          </w:p>
        </w:tc>
        <w:tc>
          <w:tcPr>
            <w:tcW w:w="773" w:type="pct"/>
            <w:tcBorders>
              <w:top w:val="nil"/>
              <w:left w:val="nil"/>
              <w:bottom w:val="single" w:sz="4" w:space="0" w:color="auto"/>
              <w:right w:val="single" w:sz="4" w:space="0" w:color="auto"/>
            </w:tcBorders>
            <w:shd w:val="clear" w:color="auto" w:fill="auto"/>
            <w:noWrap/>
            <w:vAlign w:val="center"/>
            <w:hideMark/>
          </w:tcPr>
          <w:p w14:paraId="390F824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36,02 %</w:t>
            </w:r>
          </w:p>
        </w:tc>
        <w:tc>
          <w:tcPr>
            <w:tcW w:w="438" w:type="pct"/>
            <w:tcBorders>
              <w:top w:val="nil"/>
              <w:left w:val="nil"/>
              <w:bottom w:val="single" w:sz="4" w:space="0" w:color="auto"/>
              <w:right w:val="single" w:sz="4" w:space="0" w:color="auto"/>
            </w:tcBorders>
            <w:shd w:val="clear" w:color="auto" w:fill="auto"/>
            <w:noWrap/>
            <w:vAlign w:val="center"/>
            <w:hideMark/>
          </w:tcPr>
          <w:p w14:paraId="2305C712"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9,92 %</w:t>
            </w:r>
          </w:p>
        </w:tc>
        <w:tc>
          <w:tcPr>
            <w:tcW w:w="475" w:type="pct"/>
            <w:tcBorders>
              <w:top w:val="nil"/>
              <w:left w:val="nil"/>
              <w:bottom w:val="single" w:sz="4" w:space="0" w:color="auto"/>
              <w:right w:val="single" w:sz="4" w:space="0" w:color="auto"/>
            </w:tcBorders>
            <w:shd w:val="clear" w:color="auto" w:fill="auto"/>
            <w:noWrap/>
            <w:vAlign w:val="center"/>
            <w:hideMark/>
          </w:tcPr>
          <w:p w14:paraId="2FB2B8E2"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7,22 %</w:t>
            </w:r>
          </w:p>
        </w:tc>
      </w:tr>
      <w:tr w:rsidR="00F24E18" w:rsidRPr="005751A9" w14:paraId="2B838CF8"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6AEEB89"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4F8EB61E"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Storitve</w:t>
            </w:r>
          </w:p>
        </w:tc>
        <w:tc>
          <w:tcPr>
            <w:tcW w:w="450" w:type="pct"/>
            <w:tcBorders>
              <w:top w:val="nil"/>
              <w:left w:val="nil"/>
              <w:bottom w:val="single" w:sz="4" w:space="0" w:color="auto"/>
              <w:right w:val="single" w:sz="4" w:space="0" w:color="auto"/>
            </w:tcBorders>
            <w:shd w:val="clear" w:color="auto" w:fill="auto"/>
            <w:noWrap/>
            <w:vAlign w:val="center"/>
            <w:hideMark/>
          </w:tcPr>
          <w:p w14:paraId="30ED8473"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616</w:t>
            </w:r>
          </w:p>
        </w:tc>
        <w:tc>
          <w:tcPr>
            <w:tcW w:w="927" w:type="pct"/>
            <w:tcBorders>
              <w:top w:val="nil"/>
              <w:left w:val="nil"/>
              <w:bottom w:val="single" w:sz="4" w:space="0" w:color="auto"/>
              <w:right w:val="single" w:sz="4" w:space="0" w:color="auto"/>
            </w:tcBorders>
            <w:shd w:val="clear" w:color="auto" w:fill="auto"/>
            <w:noWrap/>
            <w:vAlign w:val="center"/>
            <w:hideMark/>
          </w:tcPr>
          <w:p w14:paraId="22FF0AAB"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59.108.809</w:t>
            </w:r>
          </w:p>
        </w:tc>
        <w:tc>
          <w:tcPr>
            <w:tcW w:w="782" w:type="pct"/>
            <w:tcBorders>
              <w:top w:val="nil"/>
              <w:left w:val="nil"/>
              <w:bottom w:val="single" w:sz="4" w:space="0" w:color="auto"/>
              <w:right w:val="single" w:sz="4" w:space="0" w:color="auto"/>
            </w:tcBorders>
            <w:shd w:val="clear" w:color="auto" w:fill="auto"/>
            <w:noWrap/>
            <w:vAlign w:val="center"/>
            <w:hideMark/>
          </w:tcPr>
          <w:p w14:paraId="2D490243"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41,20 %</w:t>
            </w:r>
          </w:p>
        </w:tc>
        <w:tc>
          <w:tcPr>
            <w:tcW w:w="773" w:type="pct"/>
            <w:tcBorders>
              <w:top w:val="nil"/>
              <w:left w:val="nil"/>
              <w:bottom w:val="single" w:sz="4" w:space="0" w:color="auto"/>
              <w:right w:val="single" w:sz="4" w:space="0" w:color="auto"/>
            </w:tcBorders>
            <w:shd w:val="clear" w:color="auto" w:fill="auto"/>
            <w:noWrap/>
            <w:vAlign w:val="center"/>
            <w:hideMark/>
          </w:tcPr>
          <w:p w14:paraId="64E88A65"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30,69 %</w:t>
            </w:r>
          </w:p>
        </w:tc>
        <w:tc>
          <w:tcPr>
            <w:tcW w:w="438" w:type="pct"/>
            <w:tcBorders>
              <w:top w:val="nil"/>
              <w:left w:val="nil"/>
              <w:bottom w:val="single" w:sz="4" w:space="0" w:color="auto"/>
              <w:right w:val="single" w:sz="4" w:space="0" w:color="auto"/>
            </w:tcBorders>
            <w:shd w:val="clear" w:color="auto" w:fill="auto"/>
            <w:noWrap/>
            <w:vAlign w:val="center"/>
            <w:hideMark/>
          </w:tcPr>
          <w:p w14:paraId="48123E86"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8,90 %</w:t>
            </w:r>
          </w:p>
        </w:tc>
        <w:tc>
          <w:tcPr>
            <w:tcW w:w="475" w:type="pct"/>
            <w:tcBorders>
              <w:top w:val="nil"/>
              <w:left w:val="nil"/>
              <w:bottom w:val="single" w:sz="4" w:space="0" w:color="auto"/>
              <w:right w:val="single" w:sz="4" w:space="0" w:color="auto"/>
            </w:tcBorders>
            <w:shd w:val="clear" w:color="auto" w:fill="auto"/>
            <w:noWrap/>
            <w:vAlign w:val="center"/>
            <w:hideMark/>
          </w:tcPr>
          <w:p w14:paraId="7EF581DA"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6,15 %</w:t>
            </w:r>
          </w:p>
        </w:tc>
      </w:tr>
      <w:tr w:rsidR="00F24E18" w:rsidRPr="005751A9" w14:paraId="6594209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0C3DAD6"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24AF2E4B"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Gradnje</w:t>
            </w:r>
          </w:p>
        </w:tc>
        <w:tc>
          <w:tcPr>
            <w:tcW w:w="450" w:type="pct"/>
            <w:tcBorders>
              <w:top w:val="nil"/>
              <w:left w:val="nil"/>
              <w:bottom w:val="single" w:sz="4" w:space="0" w:color="auto"/>
              <w:right w:val="single" w:sz="4" w:space="0" w:color="auto"/>
            </w:tcBorders>
            <w:shd w:val="clear" w:color="auto" w:fill="auto"/>
            <w:noWrap/>
            <w:vAlign w:val="center"/>
            <w:hideMark/>
          </w:tcPr>
          <w:p w14:paraId="6F8FB21C"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192</w:t>
            </w:r>
          </w:p>
        </w:tc>
        <w:tc>
          <w:tcPr>
            <w:tcW w:w="927" w:type="pct"/>
            <w:tcBorders>
              <w:top w:val="nil"/>
              <w:left w:val="nil"/>
              <w:bottom w:val="single" w:sz="4" w:space="0" w:color="auto"/>
              <w:right w:val="single" w:sz="4" w:space="0" w:color="auto"/>
            </w:tcBorders>
            <w:shd w:val="clear" w:color="auto" w:fill="auto"/>
            <w:noWrap/>
            <w:vAlign w:val="center"/>
            <w:hideMark/>
          </w:tcPr>
          <w:p w14:paraId="76B0C53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64.096.580</w:t>
            </w:r>
          </w:p>
        </w:tc>
        <w:tc>
          <w:tcPr>
            <w:tcW w:w="782" w:type="pct"/>
            <w:tcBorders>
              <w:top w:val="nil"/>
              <w:left w:val="nil"/>
              <w:bottom w:val="single" w:sz="4" w:space="0" w:color="auto"/>
              <w:right w:val="single" w:sz="4" w:space="0" w:color="auto"/>
            </w:tcBorders>
            <w:shd w:val="clear" w:color="auto" w:fill="auto"/>
            <w:noWrap/>
            <w:vAlign w:val="center"/>
            <w:hideMark/>
          </w:tcPr>
          <w:p w14:paraId="768AE8A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12,84 %</w:t>
            </w:r>
          </w:p>
        </w:tc>
        <w:tc>
          <w:tcPr>
            <w:tcW w:w="773" w:type="pct"/>
            <w:tcBorders>
              <w:top w:val="nil"/>
              <w:left w:val="nil"/>
              <w:bottom w:val="single" w:sz="4" w:space="0" w:color="auto"/>
              <w:right w:val="single" w:sz="4" w:space="0" w:color="auto"/>
            </w:tcBorders>
            <w:shd w:val="clear" w:color="auto" w:fill="auto"/>
            <w:noWrap/>
            <w:vAlign w:val="center"/>
            <w:hideMark/>
          </w:tcPr>
          <w:p w14:paraId="4A0C63DA"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33,28 %</w:t>
            </w:r>
          </w:p>
        </w:tc>
        <w:tc>
          <w:tcPr>
            <w:tcW w:w="438" w:type="pct"/>
            <w:tcBorders>
              <w:top w:val="nil"/>
              <w:left w:val="nil"/>
              <w:bottom w:val="single" w:sz="4" w:space="0" w:color="auto"/>
              <w:right w:val="single" w:sz="4" w:space="0" w:color="auto"/>
            </w:tcBorders>
            <w:shd w:val="clear" w:color="auto" w:fill="auto"/>
            <w:noWrap/>
            <w:vAlign w:val="center"/>
            <w:hideMark/>
          </w:tcPr>
          <w:p w14:paraId="585F6E8C"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2,77 %</w:t>
            </w:r>
          </w:p>
        </w:tc>
        <w:tc>
          <w:tcPr>
            <w:tcW w:w="475" w:type="pct"/>
            <w:tcBorders>
              <w:top w:val="nil"/>
              <w:left w:val="nil"/>
              <w:bottom w:val="single" w:sz="4" w:space="0" w:color="auto"/>
              <w:right w:val="single" w:sz="4" w:space="0" w:color="auto"/>
            </w:tcBorders>
            <w:shd w:val="clear" w:color="auto" w:fill="auto"/>
            <w:noWrap/>
            <w:vAlign w:val="center"/>
            <w:hideMark/>
          </w:tcPr>
          <w:p w14:paraId="6020CE3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6,67 %</w:t>
            </w:r>
          </w:p>
        </w:tc>
      </w:tr>
      <w:tr w:rsidR="00F24E18" w:rsidRPr="005751A9" w14:paraId="77D66DA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EB44B46"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65B8C2A0" w14:textId="77777777" w:rsidR="00F24E18" w:rsidRPr="005751A9" w:rsidRDefault="00F24E18" w:rsidP="000E18B5">
            <w:pPr>
              <w:spacing w:after="0" w:line="240" w:lineRule="auto"/>
              <w:rPr>
                <w:rFonts w:ascii="Arial" w:eastAsia="Times New Roman" w:hAnsi="Arial" w:cs="Arial"/>
                <w:b/>
                <w:bCs/>
                <w:color w:val="000000"/>
                <w:sz w:val="18"/>
                <w:szCs w:val="18"/>
                <w:lang w:eastAsia="sl-SI"/>
              </w:rPr>
            </w:pPr>
            <w:r w:rsidRPr="005751A9">
              <w:rPr>
                <w:rFonts w:ascii="Arial" w:eastAsia="Times New Roman" w:hAnsi="Arial" w:cs="Arial"/>
                <w:b/>
                <w:bCs/>
                <w:color w:val="000000"/>
                <w:sz w:val="18"/>
                <w:szCs w:val="18"/>
                <w:lang w:eastAsia="sl-SI"/>
              </w:rPr>
              <w:t>Skupaj</w:t>
            </w:r>
          </w:p>
        </w:tc>
        <w:tc>
          <w:tcPr>
            <w:tcW w:w="450" w:type="pct"/>
            <w:tcBorders>
              <w:top w:val="nil"/>
              <w:left w:val="nil"/>
              <w:bottom w:val="single" w:sz="4" w:space="0" w:color="auto"/>
              <w:right w:val="single" w:sz="4" w:space="0" w:color="auto"/>
            </w:tcBorders>
            <w:shd w:val="clear" w:color="auto" w:fill="auto"/>
            <w:noWrap/>
            <w:vAlign w:val="center"/>
            <w:hideMark/>
          </w:tcPr>
          <w:p w14:paraId="7C0F5A40"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1.495</w:t>
            </w:r>
          </w:p>
        </w:tc>
        <w:tc>
          <w:tcPr>
            <w:tcW w:w="927" w:type="pct"/>
            <w:tcBorders>
              <w:top w:val="nil"/>
              <w:left w:val="nil"/>
              <w:bottom w:val="single" w:sz="4" w:space="0" w:color="auto"/>
              <w:right w:val="single" w:sz="4" w:space="0" w:color="auto"/>
            </w:tcBorders>
            <w:shd w:val="clear" w:color="auto" w:fill="auto"/>
            <w:noWrap/>
            <w:vAlign w:val="center"/>
            <w:hideMark/>
          </w:tcPr>
          <w:p w14:paraId="74063931"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192.571.007</w:t>
            </w:r>
          </w:p>
        </w:tc>
        <w:tc>
          <w:tcPr>
            <w:tcW w:w="782" w:type="pct"/>
            <w:tcBorders>
              <w:top w:val="nil"/>
              <w:left w:val="nil"/>
              <w:bottom w:val="single" w:sz="4" w:space="0" w:color="auto"/>
              <w:right w:val="single" w:sz="4" w:space="0" w:color="auto"/>
            </w:tcBorders>
            <w:shd w:val="clear" w:color="auto" w:fill="auto"/>
            <w:noWrap/>
            <w:vAlign w:val="center"/>
            <w:hideMark/>
          </w:tcPr>
          <w:p w14:paraId="2DCCF507"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100,00 %</w:t>
            </w:r>
          </w:p>
        </w:tc>
        <w:tc>
          <w:tcPr>
            <w:tcW w:w="773" w:type="pct"/>
            <w:tcBorders>
              <w:top w:val="nil"/>
              <w:left w:val="nil"/>
              <w:bottom w:val="single" w:sz="4" w:space="0" w:color="auto"/>
              <w:right w:val="single" w:sz="4" w:space="0" w:color="auto"/>
            </w:tcBorders>
            <w:shd w:val="clear" w:color="auto" w:fill="auto"/>
            <w:noWrap/>
            <w:vAlign w:val="center"/>
            <w:hideMark/>
          </w:tcPr>
          <w:p w14:paraId="2AE0DA7F"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100,00 %</w:t>
            </w:r>
          </w:p>
        </w:tc>
        <w:tc>
          <w:tcPr>
            <w:tcW w:w="438" w:type="pct"/>
            <w:tcBorders>
              <w:top w:val="nil"/>
              <w:left w:val="nil"/>
              <w:bottom w:val="single" w:sz="4" w:space="0" w:color="auto"/>
              <w:right w:val="single" w:sz="4" w:space="0" w:color="auto"/>
            </w:tcBorders>
            <w:shd w:val="clear" w:color="auto" w:fill="auto"/>
            <w:noWrap/>
            <w:vAlign w:val="center"/>
            <w:hideMark/>
          </w:tcPr>
          <w:p w14:paraId="0F2B0285"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21,59 %</w:t>
            </w:r>
          </w:p>
        </w:tc>
        <w:tc>
          <w:tcPr>
            <w:tcW w:w="475" w:type="pct"/>
            <w:tcBorders>
              <w:top w:val="nil"/>
              <w:left w:val="nil"/>
              <w:bottom w:val="single" w:sz="4" w:space="0" w:color="auto"/>
              <w:right w:val="single" w:sz="4" w:space="0" w:color="auto"/>
            </w:tcBorders>
            <w:shd w:val="clear" w:color="auto" w:fill="auto"/>
            <w:noWrap/>
            <w:vAlign w:val="center"/>
            <w:hideMark/>
          </w:tcPr>
          <w:p w14:paraId="000C6DA1"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20,03 %</w:t>
            </w:r>
          </w:p>
        </w:tc>
      </w:tr>
      <w:tr w:rsidR="00F24E18" w:rsidRPr="005751A9" w14:paraId="4F64BEA4"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38F03D"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Obrambno</w:t>
            </w:r>
          </w:p>
        </w:tc>
        <w:tc>
          <w:tcPr>
            <w:tcW w:w="447" w:type="pct"/>
            <w:tcBorders>
              <w:top w:val="nil"/>
              <w:left w:val="nil"/>
              <w:bottom w:val="single" w:sz="4" w:space="0" w:color="auto"/>
              <w:right w:val="single" w:sz="4" w:space="0" w:color="auto"/>
            </w:tcBorders>
            <w:shd w:val="clear" w:color="auto" w:fill="auto"/>
            <w:noWrap/>
            <w:vAlign w:val="center"/>
            <w:hideMark/>
          </w:tcPr>
          <w:p w14:paraId="3B653C89"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Blago</w:t>
            </w:r>
          </w:p>
        </w:tc>
        <w:tc>
          <w:tcPr>
            <w:tcW w:w="450" w:type="pct"/>
            <w:tcBorders>
              <w:top w:val="nil"/>
              <w:left w:val="nil"/>
              <w:bottom w:val="single" w:sz="4" w:space="0" w:color="auto"/>
              <w:right w:val="single" w:sz="4" w:space="0" w:color="auto"/>
            </w:tcBorders>
            <w:shd w:val="clear" w:color="auto" w:fill="auto"/>
            <w:noWrap/>
            <w:vAlign w:val="center"/>
            <w:hideMark/>
          </w:tcPr>
          <w:p w14:paraId="35D02EA9"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37</w:t>
            </w:r>
          </w:p>
        </w:tc>
        <w:tc>
          <w:tcPr>
            <w:tcW w:w="927" w:type="pct"/>
            <w:tcBorders>
              <w:top w:val="nil"/>
              <w:left w:val="nil"/>
              <w:bottom w:val="single" w:sz="4" w:space="0" w:color="auto"/>
              <w:right w:val="single" w:sz="4" w:space="0" w:color="auto"/>
            </w:tcBorders>
            <w:shd w:val="clear" w:color="auto" w:fill="auto"/>
            <w:noWrap/>
            <w:vAlign w:val="center"/>
            <w:hideMark/>
          </w:tcPr>
          <w:p w14:paraId="0E9AC989"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5.560.256</w:t>
            </w:r>
          </w:p>
        </w:tc>
        <w:tc>
          <w:tcPr>
            <w:tcW w:w="782" w:type="pct"/>
            <w:tcBorders>
              <w:top w:val="nil"/>
              <w:left w:val="nil"/>
              <w:bottom w:val="single" w:sz="4" w:space="0" w:color="auto"/>
              <w:right w:val="single" w:sz="4" w:space="0" w:color="auto"/>
            </w:tcBorders>
            <w:shd w:val="clear" w:color="auto" w:fill="auto"/>
            <w:noWrap/>
            <w:vAlign w:val="center"/>
            <w:hideMark/>
          </w:tcPr>
          <w:p w14:paraId="633252D3"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58,73 %</w:t>
            </w:r>
          </w:p>
        </w:tc>
        <w:tc>
          <w:tcPr>
            <w:tcW w:w="773" w:type="pct"/>
            <w:tcBorders>
              <w:top w:val="nil"/>
              <w:left w:val="nil"/>
              <w:bottom w:val="single" w:sz="4" w:space="0" w:color="auto"/>
              <w:right w:val="single" w:sz="4" w:space="0" w:color="auto"/>
            </w:tcBorders>
            <w:shd w:val="clear" w:color="auto" w:fill="auto"/>
            <w:noWrap/>
            <w:vAlign w:val="center"/>
            <w:hideMark/>
          </w:tcPr>
          <w:p w14:paraId="1CA0627D"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38,04 %</w:t>
            </w:r>
          </w:p>
        </w:tc>
        <w:tc>
          <w:tcPr>
            <w:tcW w:w="438" w:type="pct"/>
            <w:tcBorders>
              <w:top w:val="nil"/>
              <w:left w:val="nil"/>
              <w:bottom w:val="single" w:sz="4" w:space="0" w:color="auto"/>
              <w:right w:val="single" w:sz="4" w:space="0" w:color="auto"/>
            </w:tcBorders>
            <w:shd w:val="clear" w:color="auto" w:fill="auto"/>
            <w:noWrap/>
            <w:vAlign w:val="center"/>
            <w:hideMark/>
          </w:tcPr>
          <w:p w14:paraId="4FEF1639"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0,53 %</w:t>
            </w:r>
          </w:p>
        </w:tc>
        <w:tc>
          <w:tcPr>
            <w:tcW w:w="475" w:type="pct"/>
            <w:tcBorders>
              <w:top w:val="nil"/>
              <w:left w:val="nil"/>
              <w:bottom w:val="single" w:sz="4" w:space="0" w:color="auto"/>
              <w:right w:val="single" w:sz="4" w:space="0" w:color="auto"/>
            </w:tcBorders>
            <w:shd w:val="clear" w:color="auto" w:fill="auto"/>
            <w:noWrap/>
            <w:vAlign w:val="center"/>
            <w:hideMark/>
          </w:tcPr>
          <w:p w14:paraId="2234671E"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0,58 %</w:t>
            </w:r>
          </w:p>
        </w:tc>
      </w:tr>
      <w:tr w:rsidR="00F24E18" w:rsidRPr="005751A9" w14:paraId="0F6935FB"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6F28420"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00C3A4B5"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Storitve</w:t>
            </w:r>
          </w:p>
        </w:tc>
        <w:tc>
          <w:tcPr>
            <w:tcW w:w="450" w:type="pct"/>
            <w:tcBorders>
              <w:top w:val="nil"/>
              <w:left w:val="nil"/>
              <w:bottom w:val="single" w:sz="4" w:space="0" w:color="auto"/>
              <w:right w:val="single" w:sz="4" w:space="0" w:color="auto"/>
            </w:tcBorders>
            <w:shd w:val="clear" w:color="auto" w:fill="auto"/>
            <w:noWrap/>
            <w:vAlign w:val="center"/>
            <w:hideMark/>
          </w:tcPr>
          <w:p w14:paraId="6C926880"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23</w:t>
            </w:r>
          </w:p>
        </w:tc>
        <w:tc>
          <w:tcPr>
            <w:tcW w:w="927" w:type="pct"/>
            <w:tcBorders>
              <w:top w:val="nil"/>
              <w:left w:val="nil"/>
              <w:bottom w:val="single" w:sz="4" w:space="0" w:color="auto"/>
              <w:right w:val="single" w:sz="4" w:space="0" w:color="auto"/>
            </w:tcBorders>
            <w:shd w:val="clear" w:color="auto" w:fill="auto"/>
            <w:noWrap/>
            <w:vAlign w:val="center"/>
            <w:hideMark/>
          </w:tcPr>
          <w:p w14:paraId="47BFF1E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4.307.639</w:t>
            </w:r>
          </w:p>
        </w:tc>
        <w:tc>
          <w:tcPr>
            <w:tcW w:w="782" w:type="pct"/>
            <w:tcBorders>
              <w:top w:val="nil"/>
              <w:left w:val="nil"/>
              <w:bottom w:val="single" w:sz="4" w:space="0" w:color="auto"/>
              <w:right w:val="single" w:sz="4" w:space="0" w:color="auto"/>
            </w:tcBorders>
            <w:shd w:val="clear" w:color="auto" w:fill="auto"/>
            <w:noWrap/>
            <w:vAlign w:val="center"/>
            <w:hideMark/>
          </w:tcPr>
          <w:p w14:paraId="29B03CF4"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36,51 %</w:t>
            </w:r>
          </w:p>
        </w:tc>
        <w:tc>
          <w:tcPr>
            <w:tcW w:w="773" w:type="pct"/>
            <w:tcBorders>
              <w:top w:val="nil"/>
              <w:left w:val="nil"/>
              <w:bottom w:val="single" w:sz="4" w:space="0" w:color="auto"/>
              <w:right w:val="single" w:sz="4" w:space="0" w:color="auto"/>
            </w:tcBorders>
            <w:shd w:val="clear" w:color="auto" w:fill="auto"/>
            <w:noWrap/>
            <w:vAlign w:val="center"/>
            <w:hideMark/>
          </w:tcPr>
          <w:p w14:paraId="691F3727"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29,47 %</w:t>
            </w:r>
          </w:p>
        </w:tc>
        <w:tc>
          <w:tcPr>
            <w:tcW w:w="438" w:type="pct"/>
            <w:tcBorders>
              <w:top w:val="nil"/>
              <w:left w:val="nil"/>
              <w:bottom w:val="single" w:sz="4" w:space="0" w:color="auto"/>
              <w:right w:val="single" w:sz="4" w:space="0" w:color="auto"/>
            </w:tcBorders>
            <w:shd w:val="clear" w:color="auto" w:fill="auto"/>
            <w:noWrap/>
            <w:vAlign w:val="center"/>
            <w:hideMark/>
          </w:tcPr>
          <w:p w14:paraId="6D93BD30"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0,33 %</w:t>
            </w:r>
          </w:p>
        </w:tc>
        <w:tc>
          <w:tcPr>
            <w:tcW w:w="475" w:type="pct"/>
            <w:tcBorders>
              <w:top w:val="nil"/>
              <w:left w:val="nil"/>
              <w:bottom w:val="single" w:sz="4" w:space="0" w:color="auto"/>
              <w:right w:val="single" w:sz="4" w:space="0" w:color="auto"/>
            </w:tcBorders>
            <w:shd w:val="clear" w:color="auto" w:fill="auto"/>
            <w:noWrap/>
            <w:vAlign w:val="center"/>
            <w:hideMark/>
          </w:tcPr>
          <w:p w14:paraId="57CDDB77"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0,45 %</w:t>
            </w:r>
          </w:p>
        </w:tc>
      </w:tr>
      <w:tr w:rsidR="00F24E18" w:rsidRPr="005751A9" w14:paraId="5188E77D"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248982D"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4602E6D1" w14:textId="77777777" w:rsidR="00F24E18" w:rsidRPr="005751A9" w:rsidRDefault="00F24E18" w:rsidP="000E18B5">
            <w:pPr>
              <w:spacing w:after="0" w:line="240" w:lineRule="auto"/>
              <w:rPr>
                <w:rFonts w:ascii="Arial" w:eastAsia="Times New Roman" w:hAnsi="Arial" w:cs="Arial"/>
                <w:color w:val="000000"/>
                <w:sz w:val="18"/>
                <w:szCs w:val="18"/>
                <w:lang w:eastAsia="sl-SI"/>
              </w:rPr>
            </w:pPr>
            <w:r w:rsidRPr="005751A9">
              <w:rPr>
                <w:rFonts w:ascii="Arial" w:eastAsia="Times New Roman" w:hAnsi="Arial" w:cs="Arial"/>
                <w:color w:val="000000"/>
                <w:sz w:val="18"/>
                <w:szCs w:val="18"/>
                <w:lang w:eastAsia="sl-SI"/>
              </w:rPr>
              <w:t>Gradnje</w:t>
            </w:r>
          </w:p>
        </w:tc>
        <w:tc>
          <w:tcPr>
            <w:tcW w:w="450" w:type="pct"/>
            <w:tcBorders>
              <w:top w:val="nil"/>
              <w:left w:val="nil"/>
              <w:bottom w:val="single" w:sz="4" w:space="0" w:color="auto"/>
              <w:right w:val="single" w:sz="4" w:space="0" w:color="auto"/>
            </w:tcBorders>
            <w:shd w:val="clear" w:color="auto" w:fill="auto"/>
            <w:noWrap/>
            <w:vAlign w:val="center"/>
            <w:hideMark/>
          </w:tcPr>
          <w:p w14:paraId="785DAC0D"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w:t>
            </w:r>
          </w:p>
        </w:tc>
        <w:tc>
          <w:tcPr>
            <w:tcW w:w="927" w:type="pct"/>
            <w:tcBorders>
              <w:top w:val="nil"/>
              <w:left w:val="nil"/>
              <w:bottom w:val="single" w:sz="4" w:space="0" w:color="auto"/>
              <w:right w:val="single" w:sz="4" w:space="0" w:color="auto"/>
            </w:tcBorders>
            <w:shd w:val="clear" w:color="auto" w:fill="auto"/>
            <w:noWrap/>
            <w:vAlign w:val="center"/>
            <w:hideMark/>
          </w:tcPr>
          <w:p w14:paraId="3C9E5D8B"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4.749.810</w:t>
            </w:r>
          </w:p>
        </w:tc>
        <w:tc>
          <w:tcPr>
            <w:tcW w:w="782" w:type="pct"/>
            <w:tcBorders>
              <w:top w:val="nil"/>
              <w:left w:val="nil"/>
              <w:bottom w:val="single" w:sz="4" w:space="0" w:color="auto"/>
              <w:right w:val="single" w:sz="4" w:space="0" w:color="auto"/>
            </w:tcBorders>
            <w:shd w:val="clear" w:color="auto" w:fill="auto"/>
            <w:noWrap/>
            <w:vAlign w:val="center"/>
            <w:hideMark/>
          </w:tcPr>
          <w:p w14:paraId="227769DA"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4,76 %</w:t>
            </w:r>
          </w:p>
        </w:tc>
        <w:tc>
          <w:tcPr>
            <w:tcW w:w="773" w:type="pct"/>
            <w:tcBorders>
              <w:top w:val="nil"/>
              <w:left w:val="nil"/>
              <w:bottom w:val="single" w:sz="4" w:space="0" w:color="auto"/>
              <w:right w:val="single" w:sz="4" w:space="0" w:color="auto"/>
            </w:tcBorders>
            <w:shd w:val="clear" w:color="auto" w:fill="auto"/>
            <w:noWrap/>
            <w:vAlign w:val="center"/>
            <w:hideMark/>
          </w:tcPr>
          <w:p w14:paraId="5A248731"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32,49 %</w:t>
            </w:r>
          </w:p>
        </w:tc>
        <w:tc>
          <w:tcPr>
            <w:tcW w:w="438" w:type="pct"/>
            <w:tcBorders>
              <w:top w:val="nil"/>
              <w:left w:val="nil"/>
              <w:bottom w:val="single" w:sz="4" w:space="0" w:color="auto"/>
              <w:right w:val="single" w:sz="4" w:space="0" w:color="auto"/>
            </w:tcBorders>
            <w:shd w:val="clear" w:color="auto" w:fill="auto"/>
            <w:noWrap/>
            <w:vAlign w:val="center"/>
            <w:hideMark/>
          </w:tcPr>
          <w:p w14:paraId="46634914"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0,04 %</w:t>
            </w:r>
          </w:p>
        </w:tc>
        <w:tc>
          <w:tcPr>
            <w:tcW w:w="475" w:type="pct"/>
            <w:tcBorders>
              <w:top w:val="nil"/>
              <w:left w:val="nil"/>
              <w:bottom w:val="single" w:sz="4" w:space="0" w:color="auto"/>
              <w:right w:val="single" w:sz="4" w:space="0" w:color="auto"/>
            </w:tcBorders>
            <w:shd w:val="clear" w:color="auto" w:fill="auto"/>
            <w:noWrap/>
            <w:vAlign w:val="center"/>
            <w:hideMark/>
          </w:tcPr>
          <w:p w14:paraId="69F75BC8" w14:textId="77777777" w:rsidR="00F24E18" w:rsidRPr="005751A9" w:rsidRDefault="00F24E18" w:rsidP="000E18B5">
            <w:pPr>
              <w:spacing w:after="0" w:line="240" w:lineRule="auto"/>
              <w:jc w:val="right"/>
              <w:rPr>
                <w:rFonts w:ascii="Arial" w:eastAsia="Times New Roman" w:hAnsi="Arial" w:cs="Arial"/>
                <w:color w:val="000000"/>
                <w:sz w:val="18"/>
                <w:szCs w:val="18"/>
                <w:lang w:eastAsia="sl-SI"/>
              </w:rPr>
            </w:pPr>
            <w:r w:rsidRPr="005751A9">
              <w:rPr>
                <w:rFonts w:ascii="Arial" w:hAnsi="Arial" w:cs="Arial"/>
                <w:color w:val="000000"/>
                <w:sz w:val="18"/>
                <w:szCs w:val="18"/>
              </w:rPr>
              <w:t>0,49 %</w:t>
            </w:r>
          </w:p>
        </w:tc>
      </w:tr>
      <w:tr w:rsidR="00F24E18" w:rsidRPr="005751A9" w14:paraId="12AF3605"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C258C77" w14:textId="77777777" w:rsidR="00F24E18" w:rsidRPr="005751A9" w:rsidRDefault="00F24E18" w:rsidP="000E18B5">
            <w:pPr>
              <w:spacing w:after="0" w:line="240" w:lineRule="auto"/>
              <w:rPr>
                <w:rFonts w:ascii="Arial" w:eastAsia="Times New Roman" w:hAnsi="Arial" w:cs="Arial"/>
                <w:color w:val="000000"/>
                <w:sz w:val="18"/>
                <w:szCs w:val="18"/>
                <w:lang w:eastAsia="sl-SI"/>
              </w:rPr>
            </w:pPr>
          </w:p>
        </w:tc>
        <w:tc>
          <w:tcPr>
            <w:tcW w:w="447" w:type="pct"/>
            <w:tcBorders>
              <w:top w:val="nil"/>
              <w:left w:val="nil"/>
              <w:bottom w:val="single" w:sz="4" w:space="0" w:color="auto"/>
              <w:right w:val="single" w:sz="4" w:space="0" w:color="auto"/>
            </w:tcBorders>
            <w:shd w:val="clear" w:color="auto" w:fill="auto"/>
            <w:noWrap/>
            <w:vAlign w:val="center"/>
            <w:hideMark/>
          </w:tcPr>
          <w:p w14:paraId="178A73D8" w14:textId="77777777" w:rsidR="00F24E18" w:rsidRPr="005751A9" w:rsidRDefault="00F24E18" w:rsidP="000E18B5">
            <w:pPr>
              <w:spacing w:after="0" w:line="240" w:lineRule="auto"/>
              <w:rPr>
                <w:rFonts w:ascii="Arial" w:eastAsia="Times New Roman" w:hAnsi="Arial" w:cs="Arial"/>
                <w:b/>
                <w:bCs/>
                <w:color w:val="000000"/>
                <w:sz w:val="18"/>
                <w:szCs w:val="18"/>
                <w:lang w:eastAsia="sl-SI"/>
              </w:rPr>
            </w:pPr>
            <w:r w:rsidRPr="005751A9">
              <w:rPr>
                <w:rFonts w:ascii="Arial" w:eastAsia="Times New Roman" w:hAnsi="Arial" w:cs="Arial"/>
                <w:b/>
                <w:bCs/>
                <w:color w:val="000000"/>
                <w:sz w:val="18"/>
                <w:szCs w:val="18"/>
                <w:lang w:eastAsia="sl-SI"/>
              </w:rPr>
              <w:t>Skupaj</w:t>
            </w:r>
          </w:p>
        </w:tc>
        <w:tc>
          <w:tcPr>
            <w:tcW w:w="450" w:type="pct"/>
            <w:tcBorders>
              <w:top w:val="nil"/>
              <w:left w:val="nil"/>
              <w:bottom w:val="single" w:sz="4" w:space="0" w:color="auto"/>
              <w:right w:val="single" w:sz="4" w:space="0" w:color="auto"/>
            </w:tcBorders>
            <w:shd w:val="clear" w:color="auto" w:fill="auto"/>
            <w:noWrap/>
            <w:vAlign w:val="center"/>
            <w:hideMark/>
          </w:tcPr>
          <w:p w14:paraId="358AEB4E"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63</w:t>
            </w:r>
          </w:p>
        </w:tc>
        <w:tc>
          <w:tcPr>
            <w:tcW w:w="927" w:type="pct"/>
            <w:tcBorders>
              <w:top w:val="nil"/>
              <w:left w:val="nil"/>
              <w:bottom w:val="single" w:sz="4" w:space="0" w:color="auto"/>
              <w:right w:val="single" w:sz="4" w:space="0" w:color="auto"/>
            </w:tcBorders>
            <w:shd w:val="clear" w:color="auto" w:fill="auto"/>
            <w:noWrap/>
            <w:vAlign w:val="center"/>
            <w:hideMark/>
          </w:tcPr>
          <w:p w14:paraId="2D71CDE7"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14.617.705</w:t>
            </w:r>
          </w:p>
        </w:tc>
        <w:tc>
          <w:tcPr>
            <w:tcW w:w="782" w:type="pct"/>
            <w:tcBorders>
              <w:top w:val="nil"/>
              <w:left w:val="nil"/>
              <w:bottom w:val="single" w:sz="4" w:space="0" w:color="auto"/>
              <w:right w:val="single" w:sz="4" w:space="0" w:color="auto"/>
            </w:tcBorders>
            <w:shd w:val="clear" w:color="auto" w:fill="auto"/>
            <w:noWrap/>
            <w:vAlign w:val="center"/>
            <w:hideMark/>
          </w:tcPr>
          <w:p w14:paraId="01F4E419"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100,00 %</w:t>
            </w:r>
          </w:p>
        </w:tc>
        <w:tc>
          <w:tcPr>
            <w:tcW w:w="773" w:type="pct"/>
            <w:tcBorders>
              <w:top w:val="nil"/>
              <w:left w:val="nil"/>
              <w:bottom w:val="single" w:sz="4" w:space="0" w:color="auto"/>
              <w:right w:val="single" w:sz="4" w:space="0" w:color="auto"/>
            </w:tcBorders>
            <w:shd w:val="clear" w:color="auto" w:fill="auto"/>
            <w:noWrap/>
            <w:vAlign w:val="center"/>
            <w:hideMark/>
          </w:tcPr>
          <w:p w14:paraId="2ADF4A02"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100,00 %</w:t>
            </w:r>
          </w:p>
        </w:tc>
        <w:tc>
          <w:tcPr>
            <w:tcW w:w="438" w:type="pct"/>
            <w:tcBorders>
              <w:top w:val="nil"/>
              <w:left w:val="nil"/>
              <w:bottom w:val="single" w:sz="4" w:space="0" w:color="auto"/>
              <w:right w:val="single" w:sz="4" w:space="0" w:color="auto"/>
            </w:tcBorders>
            <w:shd w:val="clear" w:color="auto" w:fill="auto"/>
            <w:noWrap/>
            <w:vAlign w:val="center"/>
            <w:hideMark/>
          </w:tcPr>
          <w:p w14:paraId="5326E7AC"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0,91 %</w:t>
            </w:r>
          </w:p>
        </w:tc>
        <w:tc>
          <w:tcPr>
            <w:tcW w:w="475" w:type="pct"/>
            <w:tcBorders>
              <w:top w:val="nil"/>
              <w:left w:val="nil"/>
              <w:bottom w:val="single" w:sz="4" w:space="0" w:color="auto"/>
              <w:right w:val="single" w:sz="4" w:space="0" w:color="auto"/>
            </w:tcBorders>
            <w:shd w:val="clear" w:color="auto" w:fill="auto"/>
            <w:noWrap/>
            <w:vAlign w:val="center"/>
            <w:hideMark/>
          </w:tcPr>
          <w:p w14:paraId="1692A421"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1,52 %</w:t>
            </w:r>
          </w:p>
        </w:tc>
      </w:tr>
      <w:tr w:rsidR="00F24E18" w:rsidRPr="005751A9" w14:paraId="42FA66E0" w14:textId="77777777" w:rsidTr="000E18B5">
        <w:trPr>
          <w:gridAfter w:val="4"/>
          <w:wAfter w:w="2467" w:type="pct"/>
          <w:trHeight w:val="300"/>
        </w:trPr>
        <w:tc>
          <w:tcPr>
            <w:tcW w:w="1157"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66B821D9" w14:textId="77777777" w:rsidR="00F24E18" w:rsidRPr="005751A9" w:rsidRDefault="00F24E18" w:rsidP="000E18B5">
            <w:pPr>
              <w:spacing w:after="0" w:line="240" w:lineRule="auto"/>
              <w:rPr>
                <w:rFonts w:ascii="Arial" w:eastAsia="Times New Roman" w:hAnsi="Arial" w:cs="Arial"/>
                <w:b/>
                <w:bCs/>
                <w:color w:val="000000"/>
                <w:sz w:val="18"/>
                <w:szCs w:val="18"/>
                <w:lang w:eastAsia="sl-SI"/>
              </w:rPr>
            </w:pPr>
            <w:r w:rsidRPr="005751A9">
              <w:rPr>
                <w:rFonts w:ascii="Arial" w:eastAsia="Times New Roman" w:hAnsi="Arial" w:cs="Arial"/>
                <w:b/>
                <w:bCs/>
                <w:color w:val="000000"/>
                <w:sz w:val="18"/>
                <w:szCs w:val="18"/>
                <w:lang w:eastAsia="sl-SI"/>
              </w:rPr>
              <w:t>Skupaj</w:t>
            </w:r>
          </w:p>
        </w:tc>
        <w:tc>
          <w:tcPr>
            <w:tcW w:w="450" w:type="pct"/>
            <w:tcBorders>
              <w:top w:val="nil"/>
              <w:left w:val="nil"/>
              <w:bottom w:val="single" w:sz="4" w:space="0" w:color="auto"/>
              <w:right w:val="single" w:sz="4" w:space="0" w:color="auto"/>
            </w:tcBorders>
            <w:shd w:val="clear" w:color="auto" w:fill="F2F2F2" w:themeFill="background1" w:themeFillShade="F2"/>
            <w:noWrap/>
            <w:vAlign w:val="center"/>
            <w:hideMark/>
          </w:tcPr>
          <w:p w14:paraId="40F77F56"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6.924</w:t>
            </w:r>
          </w:p>
        </w:tc>
        <w:tc>
          <w:tcPr>
            <w:tcW w:w="927" w:type="pct"/>
            <w:tcBorders>
              <w:top w:val="nil"/>
              <w:left w:val="nil"/>
              <w:bottom w:val="single" w:sz="4" w:space="0" w:color="auto"/>
              <w:right w:val="single" w:sz="4" w:space="0" w:color="auto"/>
            </w:tcBorders>
            <w:shd w:val="clear" w:color="auto" w:fill="F2F2F2" w:themeFill="background1" w:themeFillShade="F2"/>
            <w:noWrap/>
            <w:vAlign w:val="center"/>
            <w:hideMark/>
          </w:tcPr>
          <w:p w14:paraId="71DCE998" w14:textId="77777777" w:rsidR="00F24E18" w:rsidRPr="005751A9" w:rsidRDefault="00F24E18" w:rsidP="000E18B5">
            <w:pPr>
              <w:spacing w:after="0" w:line="240" w:lineRule="auto"/>
              <w:jc w:val="right"/>
              <w:rPr>
                <w:rFonts w:ascii="Arial" w:eastAsia="Times New Roman" w:hAnsi="Arial" w:cs="Arial"/>
                <w:b/>
                <w:bCs/>
                <w:color w:val="000000"/>
                <w:sz w:val="18"/>
                <w:szCs w:val="18"/>
                <w:lang w:eastAsia="sl-SI"/>
              </w:rPr>
            </w:pPr>
            <w:r w:rsidRPr="005751A9">
              <w:rPr>
                <w:rFonts w:ascii="Arial" w:hAnsi="Arial" w:cs="Arial"/>
                <w:b/>
                <w:bCs/>
                <w:color w:val="000000"/>
                <w:sz w:val="18"/>
                <w:szCs w:val="18"/>
              </w:rPr>
              <w:t>961.337.753</w:t>
            </w:r>
          </w:p>
        </w:tc>
      </w:tr>
    </w:tbl>
    <w:p w14:paraId="1B49868E" w14:textId="77777777" w:rsidR="00F24E18" w:rsidRPr="00242E41" w:rsidRDefault="00F24E18" w:rsidP="00F24E18">
      <w:pPr>
        <w:spacing w:after="0" w:line="240" w:lineRule="auto"/>
        <w:jc w:val="both"/>
        <w:rPr>
          <w:rFonts w:ascii="Arial" w:hAnsi="Arial" w:cs="Arial"/>
          <w:sz w:val="20"/>
          <w:highlight w:val="yellow"/>
        </w:rPr>
      </w:pPr>
    </w:p>
    <w:p w14:paraId="6EBBADA1" w14:textId="77777777" w:rsidR="00F24E18" w:rsidRPr="00242E41" w:rsidRDefault="00F24E18" w:rsidP="00F24E18">
      <w:pPr>
        <w:spacing w:before="120" w:after="0" w:line="240" w:lineRule="auto"/>
        <w:jc w:val="both"/>
        <w:rPr>
          <w:rFonts w:ascii="Arial" w:hAnsi="Arial" w:cs="Arial"/>
          <w:sz w:val="20"/>
          <w:highlight w:val="yellow"/>
        </w:rPr>
      </w:pPr>
      <w:r w:rsidRPr="002F3C69">
        <w:rPr>
          <w:rFonts w:ascii="Arial" w:hAnsi="Arial" w:cs="Arial"/>
          <w:sz w:val="20"/>
        </w:rPr>
        <w:t xml:space="preserve">Preglednica 64: Naročila, objavljena samo na portalu javnih naročil glede na področje in vrsto postopka </w:t>
      </w:r>
    </w:p>
    <w:p w14:paraId="3100F499"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301"/>
        <w:gridCol w:w="3878"/>
        <w:gridCol w:w="671"/>
        <w:gridCol w:w="1422"/>
        <w:gridCol w:w="951"/>
        <w:gridCol w:w="951"/>
      </w:tblGrid>
      <w:tr w:rsidR="00F24E18" w:rsidRPr="002F3C69" w14:paraId="6BC96982" w14:textId="77777777" w:rsidTr="000E18B5">
        <w:trPr>
          <w:trHeight w:val="960"/>
        </w:trPr>
        <w:tc>
          <w:tcPr>
            <w:tcW w:w="70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CB455D8" w14:textId="77777777" w:rsidR="00F24E18" w:rsidRPr="002F3C69" w:rsidRDefault="00F24E18" w:rsidP="000E18B5">
            <w:pPr>
              <w:spacing w:after="0" w:line="240" w:lineRule="auto"/>
              <w:jc w:val="center"/>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Področje</w:t>
            </w:r>
          </w:p>
        </w:tc>
        <w:tc>
          <w:tcPr>
            <w:tcW w:w="2114" w:type="pct"/>
            <w:tcBorders>
              <w:top w:val="single" w:sz="4" w:space="0" w:color="auto"/>
              <w:left w:val="nil"/>
              <w:bottom w:val="single" w:sz="4" w:space="0" w:color="auto"/>
              <w:right w:val="single" w:sz="4" w:space="0" w:color="auto"/>
            </w:tcBorders>
            <w:shd w:val="clear" w:color="000000" w:fill="F2F2F2"/>
            <w:vAlign w:val="center"/>
            <w:hideMark/>
          </w:tcPr>
          <w:p w14:paraId="7D4E0526" w14:textId="77777777" w:rsidR="00F24E18" w:rsidRPr="002F3C69" w:rsidRDefault="00F24E18" w:rsidP="000E18B5">
            <w:pPr>
              <w:spacing w:after="0" w:line="240" w:lineRule="auto"/>
              <w:jc w:val="center"/>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Vrsta postopka</w:t>
            </w:r>
          </w:p>
        </w:tc>
        <w:tc>
          <w:tcPr>
            <w:tcW w:w="366" w:type="pct"/>
            <w:tcBorders>
              <w:top w:val="single" w:sz="4" w:space="0" w:color="auto"/>
              <w:left w:val="nil"/>
              <w:bottom w:val="single" w:sz="4" w:space="0" w:color="auto"/>
              <w:right w:val="single" w:sz="4" w:space="0" w:color="auto"/>
            </w:tcBorders>
            <w:shd w:val="clear" w:color="000000" w:fill="F2F2F2"/>
            <w:vAlign w:val="center"/>
            <w:hideMark/>
          </w:tcPr>
          <w:p w14:paraId="35288029" w14:textId="77777777" w:rsidR="00F24E18" w:rsidRPr="002F3C69" w:rsidRDefault="00F24E18" w:rsidP="000E18B5">
            <w:pPr>
              <w:spacing w:after="0" w:line="240" w:lineRule="auto"/>
              <w:jc w:val="center"/>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Št. naročil</w:t>
            </w:r>
          </w:p>
        </w:tc>
        <w:tc>
          <w:tcPr>
            <w:tcW w:w="775" w:type="pct"/>
            <w:tcBorders>
              <w:top w:val="single" w:sz="4" w:space="0" w:color="auto"/>
              <w:left w:val="nil"/>
              <w:bottom w:val="single" w:sz="4" w:space="0" w:color="auto"/>
              <w:right w:val="single" w:sz="4" w:space="0" w:color="auto"/>
            </w:tcBorders>
            <w:shd w:val="clear" w:color="000000" w:fill="F2F2F2"/>
            <w:vAlign w:val="center"/>
            <w:hideMark/>
          </w:tcPr>
          <w:p w14:paraId="6DC97A63" w14:textId="77777777" w:rsidR="00F24E18" w:rsidRPr="002F3C69" w:rsidRDefault="00F24E18" w:rsidP="000E18B5">
            <w:pPr>
              <w:spacing w:after="0" w:line="240" w:lineRule="auto"/>
              <w:jc w:val="center"/>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Pogodbena vrednost</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65690B78" w14:textId="77777777" w:rsidR="00F24E18" w:rsidRPr="002F3C69" w:rsidRDefault="00F24E18" w:rsidP="000E18B5">
            <w:pPr>
              <w:spacing w:after="0" w:line="240" w:lineRule="auto"/>
              <w:jc w:val="center"/>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Delež v št. istovrstnih naročil</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09E9DCD4" w14:textId="77777777" w:rsidR="00F24E18" w:rsidRPr="002F3C69" w:rsidRDefault="00F24E18" w:rsidP="000E18B5">
            <w:pPr>
              <w:spacing w:after="0" w:line="240" w:lineRule="auto"/>
              <w:jc w:val="center"/>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Delež  vrednosti istovrstnih naročil</w:t>
            </w:r>
          </w:p>
        </w:tc>
      </w:tr>
      <w:tr w:rsidR="00F24E18" w:rsidRPr="002F3C69" w14:paraId="31FE923D"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28E19EC8"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Splošno</w:t>
            </w:r>
          </w:p>
        </w:tc>
        <w:tc>
          <w:tcPr>
            <w:tcW w:w="2114" w:type="pct"/>
            <w:tcBorders>
              <w:top w:val="nil"/>
              <w:left w:val="nil"/>
              <w:bottom w:val="single" w:sz="4" w:space="0" w:color="auto"/>
              <w:right w:val="single" w:sz="4" w:space="0" w:color="auto"/>
            </w:tcBorders>
            <w:shd w:val="clear" w:color="auto" w:fill="auto"/>
            <w:vAlign w:val="center"/>
            <w:hideMark/>
          </w:tcPr>
          <w:p w14:paraId="7295308D"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hAnsi="Arial" w:cs="Arial"/>
                <w:color w:val="000000"/>
                <w:sz w:val="18"/>
                <w:szCs w:val="18"/>
              </w:rPr>
              <w:t>Konkurenčni dialog</w:t>
            </w:r>
          </w:p>
        </w:tc>
        <w:tc>
          <w:tcPr>
            <w:tcW w:w="366" w:type="pct"/>
            <w:tcBorders>
              <w:top w:val="nil"/>
              <w:left w:val="nil"/>
              <w:bottom w:val="single" w:sz="4" w:space="0" w:color="auto"/>
              <w:right w:val="single" w:sz="4" w:space="0" w:color="auto"/>
            </w:tcBorders>
            <w:shd w:val="clear" w:color="auto" w:fill="auto"/>
            <w:vAlign w:val="center"/>
            <w:hideMark/>
          </w:tcPr>
          <w:p w14:paraId="60747F84"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w:t>
            </w:r>
          </w:p>
        </w:tc>
        <w:tc>
          <w:tcPr>
            <w:tcW w:w="775" w:type="pct"/>
            <w:tcBorders>
              <w:top w:val="nil"/>
              <w:left w:val="nil"/>
              <w:bottom w:val="single" w:sz="4" w:space="0" w:color="auto"/>
              <w:right w:val="single" w:sz="4" w:space="0" w:color="auto"/>
            </w:tcBorders>
            <w:shd w:val="clear" w:color="auto" w:fill="auto"/>
            <w:vAlign w:val="center"/>
            <w:hideMark/>
          </w:tcPr>
          <w:p w14:paraId="704CD32D"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4.499.239</w:t>
            </w:r>
          </w:p>
        </w:tc>
        <w:tc>
          <w:tcPr>
            <w:tcW w:w="518" w:type="pct"/>
            <w:tcBorders>
              <w:top w:val="nil"/>
              <w:left w:val="nil"/>
              <w:bottom w:val="single" w:sz="4" w:space="0" w:color="auto"/>
              <w:right w:val="single" w:sz="4" w:space="0" w:color="auto"/>
            </w:tcBorders>
            <w:shd w:val="clear" w:color="auto" w:fill="auto"/>
            <w:noWrap/>
            <w:vAlign w:val="center"/>
          </w:tcPr>
          <w:p w14:paraId="4E4E5896"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0,04 %</w:t>
            </w:r>
          </w:p>
        </w:tc>
        <w:tc>
          <w:tcPr>
            <w:tcW w:w="518" w:type="pct"/>
            <w:tcBorders>
              <w:top w:val="nil"/>
              <w:left w:val="nil"/>
              <w:bottom w:val="single" w:sz="4" w:space="0" w:color="auto"/>
              <w:right w:val="single" w:sz="4" w:space="0" w:color="auto"/>
            </w:tcBorders>
            <w:shd w:val="clear" w:color="auto" w:fill="auto"/>
            <w:noWrap/>
            <w:vAlign w:val="center"/>
          </w:tcPr>
          <w:p w14:paraId="2EA95A6B"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0,60 %</w:t>
            </w:r>
          </w:p>
        </w:tc>
      </w:tr>
      <w:tr w:rsidR="00F24E18" w:rsidRPr="002F3C69" w14:paraId="57B13FDF"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E3D000F"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55380761"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hAnsi="Arial" w:cs="Arial"/>
                <w:color w:val="000000"/>
                <w:sz w:val="18"/>
                <w:szCs w:val="18"/>
              </w:rPr>
              <w:t>Konkurenčni postopek s pogajanji</w:t>
            </w:r>
          </w:p>
        </w:tc>
        <w:tc>
          <w:tcPr>
            <w:tcW w:w="366" w:type="pct"/>
            <w:tcBorders>
              <w:top w:val="nil"/>
              <w:left w:val="nil"/>
              <w:bottom w:val="single" w:sz="4" w:space="0" w:color="auto"/>
              <w:right w:val="single" w:sz="4" w:space="0" w:color="auto"/>
            </w:tcBorders>
            <w:shd w:val="clear" w:color="auto" w:fill="auto"/>
            <w:vAlign w:val="center"/>
            <w:hideMark/>
          </w:tcPr>
          <w:p w14:paraId="617FFC76"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83</w:t>
            </w:r>
          </w:p>
        </w:tc>
        <w:tc>
          <w:tcPr>
            <w:tcW w:w="775" w:type="pct"/>
            <w:tcBorders>
              <w:top w:val="nil"/>
              <w:left w:val="nil"/>
              <w:bottom w:val="single" w:sz="4" w:space="0" w:color="auto"/>
              <w:right w:val="single" w:sz="4" w:space="0" w:color="auto"/>
            </w:tcBorders>
            <w:shd w:val="clear" w:color="auto" w:fill="auto"/>
            <w:vAlign w:val="center"/>
            <w:hideMark/>
          </w:tcPr>
          <w:p w14:paraId="06052E1C"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41.748.766</w:t>
            </w:r>
          </w:p>
        </w:tc>
        <w:tc>
          <w:tcPr>
            <w:tcW w:w="518" w:type="pct"/>
            <w:tcBorders>
              <w:top w:val="nil"/>
              <w:left w:val="nil"/>
              <w:bottom w:val="single" w:sz="4" w:space="0" w:color="auto"/>
              <w:right w:val="single" w:sz="4" w:space="0" w:color="auto"/>
            </w:tcBorders>
            <w:shd w:val="clear" w:color="auto" w:fill="auto"/>
            <w:noWrap/>
            <w:vAlign w:val="center"/>
          </w:tcPr>
          <w:p w14:paraId="0FC6A996"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1,55 %</w:t>
            </w:r>
          </w:p>
        </w:tc>
        <w:tc>
          <w:tcPr>
            <w:tcW w:w="518" w:type="pct"/>
            <w:tcBorders>
              <w:top w:val="nil"/>
              <w:left w:val="nil"/>
              <w:bottom w:val="single" w:sz="4" w:space="0" w:color="auto"/>
              <w:right w:val="single" w:sz="4" w:space="0" w:color="auto"/>
            </w:tcBorders>
            <w:shd w:val="clear" w:color="auto" w:fill="auto"/>
            <w:noWrap/>
            <w:vAlign w:val="center"/>
          </w:tcPr>
          <w:p w14:paraId="5364A8EC"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5,54 %</w:t>
            </w:r>
          </w:p>
        </w:tc>
      </w:tr>
      <w:tr w:rsidR="00F24E18" w:rsidRPr="002F3C69" w14:paraId="3ED77528"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5EC3B8F"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2B5A5DC"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hAnsi="Arial" w:cs="Arial"/>
                <w:color w:val="000000"/>
                <w:sz w:val="18"/>
                <w:szCs w:val="18"/>
              </w:rPr>
              <w:t>Odprti postopek</w:t>
            </w:r>
          </w:p>
        </w:tc>
        <w:tc>
          <w:tcPr>
            <w:tcW w:w="366" w:type="pct"/>
            <w:tcBorders>
              <w:top w:val="nil"/>
              <w:left w:val="nil"/>
              <w:bottom w:val="single" w:sz="4" w:space="0" w:color="auto"/>
              <w:right w:val="single" w:sz="4" w:space="0" w:color="auto"/>
            </w:tcBorders>
            <w:shd w:val="clear" w:color="auto" w:fill="auto"/>
            <w:vAlign w:val="center"/>
            <w:hideMark/>
          </w:tcPr>
          <w:p w14:paraId="5DA8924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158</w:t>
            </w:r>
          </w:p>
        </w:tc>
        <w:tc>
          <w:tcPr>
            <w:tcW w:w="775" w:type="pct"/>
            <w:tcBorders>
              <w:top w:val="nil"/>
              <w:left w:val="nil"/>
              <w:bottom w:val="single" w:sz="4" w:space="0" w:color="auto"/>
              <w:right w:val="single" w:sz="4" w:space="0" w:color="auto"/>
            </w:tcBorders>
            <w:shd w:val="clear" w:color="auto" w:fill="auto"/>
            <w:vAlign w:val="center"/>
            <w:hideMark/>
          </w:tcPr>
          <w:p w14:paraId="2700B830"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26.171.671</w:t>
            </w:r>
          </w:p>
        </w:tc>
        <w:tc>
          <w:tcPr>
            <w:tcW w:w="518" w:type="pct"/>
            <w:tcBorders>
              <w:top w:val="nil"/>
              <w:left w:val="nil"/>
              <w:bottom w:val="single" w:sz="4" w:space="0" w:color="auto"/>
              <w:right w:val="single" w:sz="4" w:space="0" w:color="auto"/>
            </w:tcBorders>
            <w:shd w:val="clear" w:color="auto" w:fill="auto"/>
            <w:noWrap/>
            <w:vAlign w:val="center"/>
          </w:tcPr>
          <w:p w14:paraId="61A6CFB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2,94 %</w:t>
            </w:r>
          </w:p>
        </w:tc>
        <w:tc>
          <w:tcPr>
            <w:tcW w:w="518" w:type="pct"/>
            <w:tcBorders>
              <w:top w:val="nil"/>
              <w:left w:val="nil"/>
              <w:bottom w:val="single" w:sz="4" w:space="0" w:color="auto"/>
              <w:right w:val="single" w:sz="4" w:space="0" w:color="auto"/>
            </w:tcBorders>
            <w:shd w:val="clear" w:color="auto" w:fill="auto"/>
            <w:noWrap/>
            <w:vAlign w:val="center"/>
          </w:tcPr>
          <w:p w14:paraId="577BAE3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3,47 %</w:t>
            </w:r>
          </w:p>
        </w:tc>
      </w:tr>
      <w:tr w:rsidR="00F24E18" w:rsidRPr="002F3C69" w14:paraId="700F4E76"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AB65F10"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7169D95A"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hAnsi="Arial" w:cs="Arial"/>
                <w:color w:val="000000"/>
                <w:sz w:val="18"/>
                <w:szCs w:val="18"/>
              </w:rPr>
              <w:t>Omejeni postopek</w:t>
            </w:r>
          </w:p>
        </w:tc>
        <w:tc>
          <w:tcPr>
            <w:tcW w:w="366" w:type="pct"/>
            <w:tcBorders>
              <w:top w:val="nil"/>
              <w:left w:val="nil"/>
              <w:bottom w:val="single" w:sz="4" w:space="0" w:color="auto"/>
              <w:right w:val="single" w:sz="4" w:space="0" w:color="auto"/>
            </w:tcBorders>
            <w:shd w:val="clear" w:color="auto" w:fill="auto"/>
            <w:vAlign w:val="center"/>
            <w:hideMark/>
          </w:tcPr>
          <w:p w14:paraId="04C44B2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77</w:t>
            </w:r>
          </w:p>
        </w:tc>
        <w:tc>
          <w:tcPr>
            <w:tcW w:w="775" w:type="pct"/>
            <w:tcBorders>
              <w:top w:val="nil"/>
              <w:left w:val="nil"/>
              <w:bottom w:val="single" w:sz="4" w:space="0" w:color="auto"/>
              <w:right w:val="single" w:sz="4" w:space="0" w:color="auto"/>
            </w:tcBorders>
            <w:shd w:val="clear" w:color="auto" w:fill="auto"/>
            <w:vAlign w:val="center"/>
            <w:hideMark/>
          </w:tcPr>
          <w:p w14:paraId="798401F0"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2.544.513</w:t>
            </w:r>
          </w:p>
        </w:tc>
        <w:tc>
          <w:tcPr>
            <w:tcW w:w="518" w:type="pct"/>
            <w:tcBorders>
              <w:top w:val="nil"/>
              <w:left w:val="nil"/>
              <w:bottom w:val="single" w:sz="4" w:space="0" w:color="auto"/>
              <w:right w:val="single" w:sz="4" w:space="0" w:color="auto"/>
            </w:tcBorders>
            <w:shd w:val="clear" w:color="auto" w:fill="auto"/>
            <w:noWrap/>
            <w:vAlign w:val="center"/>
          </w:tcPr>
          <w:p w14:paraId="584B4E2B"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1,43 %</w:t>
            </w:r>
          </w:p>
        </w:tc>
        <w:tc>
          <w:tcPr>
            <w:tcW w:w="518" w:type="pct"/>
            <w:tcBorders>
              <w:top w:val="nil"/>
              <w:left w:val="nil"/>
              <w:bottom w:val="single" w:sz="4" w:space="0" w:color="auto"/>
              <w:right w:val="single" w:sz="4" w:space="0" w:color="auto"/>
            </w:tcBorders>
            <w:shd w:val="clear" w:color="auto" w:fill="auto"/>
            <w:noWrap/>
            <w:vAlign w:val="center"/>
          </w:tcPr>
          <w:p w14:paraId="5C02BCBC"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0,34 %</w:t>
            </w:r>
          </w:p>
        </w:tc>
      </w:tr>
      <w:tr w:rsidR="00F24E18" w:rsidRPr="002F3C69" w14:paraId="5C70E0F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64200BA"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7D229CC9"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hAnsi="Arial" w:cs="Arial"/>
                <w:color w:val="000000"/>
                <w:sz w:val="18"/>
                <w:szCs w:val="18"/>
              </w:rPr>
              <w:t>Partnerstvo za inovacije</w:t>
            </w:r>
          </w:p>
        </w:tc>
        <w:tc>
          <w:tcPr>
            <w:tcW w:w="366" w:type="pct"/>
            <w:tcBorders>
              <w:top w:val="nil"/>
              <w:left w:val="nil"/>
              <w:bottom w:val="single" w:sz="4" w:space="0" w:color="auto"/>
              <w:right w:val="single" w:sz="4" w:space="0" w:color="auto"/>
            </w:tcBorders>
            <w:shd w:val="clear" w:color="auto" w:fill="auto"/>
            <w:vAlign w:val="center"/>
            <w:hideMark/>
          </w:tcPr>
          <w:p w14:paraId="33E5B43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w:t>
            </w:r>
          </w:p>
        </w:tc>
        <w:tc>
          <w:tcPr>
            <w:tcW w:w="775" w:type="pct"/>
            <w:tcBorders>
              <w:top w:val="nil"/>
              <w:left w:val="nil"/>
              <w:bottom w:val="single" w:sz="4" w:space="0" w:color="auto"/>
              <w:right w:val="single" w:sz="4" w:space="0" w:color="auto"/>
            </w:tcBorders>
            <w:shd w:val="clear" w:color="auto" w:fill="auto"/>
            <w:vAlign w:val="center"/>
            <w:hideMark/>
          </w:tcPr>
          <w:p w14:paraId="0E3FA316"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79.800</w:t>
            </w:r>
          </w:p>
        </w:tc>
        <w:tc>
          <w:tcPr>
            <w:tcW w:w="518" w:type="pct"/>
            <w:tcBorders>
              <w:top w:val="nil"/>
              <w:left w:val="nil"/>
              <w:bottom w:val="single" w:sz="4" w:space="0" w:color="auto"/>
              <w:right w:val="single" w:sz="4" w:space="0" w:color="auto"/>
            </w:tcBorders>
            <w:shd w:val="clear" w:color="auto" w:fill="auto"/>
            <w:noWrap/>
            <w:vAlign w:val="center"/>
          </w:tcPr>
          <w:p w14:paraId="3A603532"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0,02 %</w:t>
            </w:r>
          </w:p>
        </w:tc>
        <w:tc>
          <w:tcPr>
            <w:tcW w:w="518" w:type="pct"/>
            <w:tcBorders>
              <w:top w:val="nil"/>
              <w:left w:val="nil"/>
              <w:bottom w:val="single" w:sz="4" w:space="0" w:color="auto"/>
              <w:right w:val="single" w:sz="4" w:space="0" w:color="auto"/>
            </w:tcBorders>
            <w:shd w:val="clear" w:color="auto" w:fill="auto"/>
            <w:noWrap/>
            <w:vAlign w:val="center"/>
          </w:tcPr>
          <w:p w14:paraId="17E58D7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0,01 %</w:t>
            </w:r>
          </w:p>
        </w:tc>
      </w:tr>
      <w:tr w:rsidR="00F24E18" w:rsidRPr="002F3C69" w14:paraId="644147EC"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tcPr>
          <w:p w14:paraId="7172B87F"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tcPr>
          <w:p w14:paraId="591CC164"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hAnsi="Arial" w:cs="Arial"/>
                <w:color w:val="000000"/>
                <w:sz w:val="18"/>
                <w:szCs w:val="18"/>
              </w:rPr>
              <w:t>Postopek naročila male vrednosti</w:t>
            </w:r>
          </w:p>
        </w:tc>
        <w:tc>
          <w:tcPr>
            <w:tcW w:w="366" w:type="pct"/>
            <w:tcBorders>
              <w:top w:val="nil"/>
              <w:left w:val="nil"/>
              <w:bottom w:val="single" w:sz="4" w:space="0" w:color="auto"/>
              <w:right w:val="single" w:sz="4" w:space="0" w:color="auto"/>
            </w:tcBorders>
            <w:shd w:val="clear" w:color="auto" w:fill="auto"/>
            <w:vAlign w:val="center"/>
          </w:tcPr>
          <w:p w14:paraId="3F3410D7" w14:textId="77777777" w:rsidR="00F24E18" w:rsidRPr="002F3C69" w:rsidRDefault="00F24E18" w:rsidP="000E18B5">
            <w:pPr>
              <w:spacing w:after="0" w:line="240" w:lineRule="auto"/>
              <w:jc w:val="right"/>
              <w:rPr>
                <w:rFonts w:ascii="Arial" w:hAnsi="Arial" w:cs="Arial"/>
                <w:color w:val="000000"/>
                <w:sz w:val="18"/>
                <w:szCs w:val="18"/>
              </w:rPr>
            </w:pPr>
            <w:r w:rsidRPr="002F3C69">
              <w:rPr>
                <w:rFonts w:ascii="Arial" w:hAnsi="Arial" w:cs="Arial"/>
                <w:color w:val="000000"/>
                <w:sz w:val="18"/>
                <w:szCs w:val="18"/>
              </w:rPr>
              <w:t>4.832</w:t>
            </w:r>
          </w:p>
        </w:tc>
        <w:tc>
          <w:tcPr>
            <w:tcW w:w="775" w:type="pct"/>
            <w:tcBorders>
              <w:top w:val="nil"/>
              <w:left w:val="nil"/>
              <w:bottom w:val="single" w:sz="4" w:space="0" w:color="auto"/>
              <w:right w:val="single" w:sz="4" w:space="0" w:color="auto"/>
            </w:tcBorders>
            <w:shd w:val="clear" w:color="auto" w:fill="auto"/>
            <w:vAlign w:val="center"/>
          </w:tcPr>
          <w:p w14:paraId="4B76D714" w14:textId="77777777" w:rsidR="00F24E18" w:rsidRPr="002F3C69" w:rsidRDefault="00F24E18" w:rsidP="000E18B5">
            <w:pPr>
              <w:spacing w:after="0" w:line="240" w:lineRule="auto"/>
              <w:jc w:val="right"/>
              <w:rPr>
                <w:rFonts w:ascii="Arial" w:hAnsi="Arial" w:cs="Arial"/>
                <w:color w:val="000000"/>
                <w:sz w:val="18"/>
                <w:szCs w:val="18"/>
              </w:rPr>
            </w:pPr>
            <w:r w:rsidRPr="002F3C69">
              <w:rPr>
                <w:rFonts w:ascii="Arial" w:hAnsi="Arial" w:cs="Arial"/>
                <w:color w:val="000000"/>
                <w:sz w:val="18"/>
                <w:szCs w:val="18"/>
              </w:rPr>
              <w:t>651.404.200</w:t>
            </w:r>
          </w:p>
        </w:tc>
        <w:tc>
          <w:tcPr>
            <w:tcW w:w="518" w:type="pct"/>
            <w:tcBorders>
              <w:top w:val="nil"/>
              <w:left w:val="nil"/>
              <w:bottom w:val="single" w:sz="4" w:space="0" w:color="auto"/>
              <w:right w:val="single" w:sz="4" w:space="0" w:color="auto"/>
            </w:tcBorders>
            <w:shd w:val="clear" w:color="auto" w:fill="auto"/>
            <w:noWrap/>
            <w:vAlign w:val="center"/>
          </w:tcPr>
          <w:p w14:paraId="29260557" w14:textId="77777777" w:rsidR="00F24E18" w:rsidRPr="002F3C69" w:rsidRDefault="00F24E18" w:rsidP="000E18B5">
            <w:pPr>
              <w:spacing w:after="0" w:line="240" w:lineRule="auto"/>
              <w:jc w:val="right"/>
              <w:rPr>
                <w:rFonts w:ascii="Arial" w:hAnsi="Arial" w:cs="Arial"/>
                <w:sz w:val="18"/>
                <w:szCs w:val="18"/>
              </w:rPr>
            </w:pPr>
            <w:r w:rsidRPr="002F3C69">
              <w:rPr>
                <w:rFonts w:ascii="Arial" w:hAnsi="Arial" w:cs="Arial"/>
                <w:color w:val="000000"/>
                <w:sz w:val="18"/>
                <w:szCs w:val="18"/>
              </w:rPr>
              <w:t>90,05 %</w:t>
            </w:r>
          </w:p>
        </w:tc>
        <w:tc>
          <w:tcPr>
            <w:tcW w:w="518" w:type="pct"/>
            <w:tcBorders>
              <w:top w:val="nil"/>
              <w:left w:val="nil"/>
              <w:bottom w:val="single" w:sz="4" w:space="0" w:color="auto"/>
              <w:right w:val="single" w:sz="4" w:space="0" w:color="auto"/>
            </w:tcBorders>
            <w:shd w:val="clear" w:color="auto" w:fill="auto"/>
            <w:noWrap/>
            <w:vAlign w:val="center"/>
          </w:tcPr>
          <w:p w14:paraId="32A7A3BD" w14:textId="77777777" w:rsidR="00F24E18" w:rsidRPr="002F3C69" w:rsidRDefault="00F24E18" w:rsidP="000E18B5">
            <w:pPr>
              <w:spacing w:after="0" w:line="240" w:lineRule="auto"/>
              <w:jc w:val="right"/>
              <w:rPr>
                <w:rFonts w:ascii="Arial" w:hAnsi="Arial" w:cs="Arial"/>
                <w:sz w:val="18"/>
                <w:szCs w:val="18"/>
              </w:rPr>
            </w:pPr>
            <w:r w:rsidRPr="002F3C69">
              <w:rPr>
                <w:rFonts w:ascii="Arial" w:hAnsi="Arial" w:cs="Arial"/>
                <w:color w:val="000000"/>
                <w:sz w:val="18"/>
                <w:szCs w:val="18"/>
              </w:rPr>
              <w:t>86,38 %</w:t>
            </w:r>
          </w:p>
        </w:tc>
      </w:tr>
      <w:tr w:rsidR="00F24E18" w:rsidRPr="002F3C69" w14:paraId="1A7F02F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77126C4"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0AE8F49D"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hAnsi="Arial" w:cs="Arial"/>
                <w:color w:val="000000"/>
                <w:sz w:val="18"/>
                <w:szCs w:val="18"/>
              </w:rPr>
              <w:t>Postopek s pogajanji brez predhodne objave</w:t>
            </w:r>
          </w:p>
        </w:tc>
        <w:tc>
          <w:tcPr>
            <w:tcW w:w="366" w:type="pct"/>
            <w:tcBorders>
              <w:top w:val="nil"/>
              <w:left w:val="nil"/>
              <w:bottom w:val="single" w:sz="4" w:space="0" w:color="auto"/>
              <w:right w:val="single" w:sz="4" w:space="0" w:color="auto"/>
            </w:tcBorders>
            <w:shd w:val="clear" w:color="auto" w:fill="auto"/>
            <w:vAlign w:val="center"/>
            <w:hideMark/>
          </w:tcPr>
          <w:p w14:paraId="25FCE27C"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213</w:t>
            </w:r>
          </w:p>
        </w:tc>
        <w:tc>
          <w:tcPr>
            <w:tcW w:w="775" w:type="pct"/>
            <w:tcBorders>
              <w:top w:val="nil"/>
              <w:left w:val="nil"/>
              <w:bottom w:val="single" w:sz="4" w:space="0" w:color="auto"/>
              <w:right w:val="single" w:sz="4" w:space="0" w:color="auto"/>
            </w:tcBorders>
            <w:shd w:val="clear" w:color="auto" w:fill="auto"/>
            <w:vAlign w:val="center"/>
            <w:hideMark/>
          </w:tcPr>
          <w:p w14:paraId="7189726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27.700.852</w:t>
            </w:r>
          </w:p>
        </w:tc>
        <w:tc>
          <w:tcPr>
            <w:tcW w:w="518" w:type="pct"/>
            <w:tcBorders>
              <w:top w:val="nil"/>
              <w:left w:val="nil"/>
              <w:bottom w:val="single" w:sz="4" w:space="0" w:color="auto"/>
              <w:right w:val="single" w:sz="4" w:space="0" w:color="auto"/>
            </w:tcBorders>
            <w:shd w:val="clear" w:color="auto" w:fill="auto"/>
            <w:noWrap/>
            <w:vAlign w:val="center"/>
          </w:tcPr>
          <w:p w14:paraId="40F6E4EF"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3,97 %</w:t>
            </w:r>
          </w:p>
        </w:tc>
        <w:tc>
          <w:tcPr>
            <w:tcW w:w="518" w:type="pct"/>
            <w:tcBorders>
              <w:top w:val="nil"/>
              <w:left w:val="nil"/>
              <w:bottom w:val="single" w:sz="4" w:space="0" w:color="auto"/>
              <w:right w:val="single" w:sz="4" w:space="0" w:color="auto"/>
            </w:tcBorders>
            <w:shd w:val="clear" w:color="auto" w:fill="auto"/>
            <w:noWrap/>
            <w:vAlign w:val="center"/>
          </w:tcPr>
          <w:p w14:paraId="5AB9870E"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3,67 %</w:t>
            </w:r>
          </w:p>
        </w:tc>
      </w:tr>
      <w:tr w:rsidR="00F24E18" w:rsidRPr="002F3C69" w14:paraId="47517DB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5A0D61C" w14:textId="77777777" w:rsidR="00F24E18" w:rsidRPr="002F3C69" w:rsidRDefault="00F24E18" w:rsidP="000E18B5">
            <w:pPr>
              <w:spacing w:after="0" w:line="240" w:lineRule="auto"/>
              <w:rPr>
                <w:rFonts w:ascii="Arial" w:eastAsia="Times New Roman" w:hAnsi="Arial" w:cs="Arial"/>
                <w:b/>
                <w:bCs/>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56429BA1" w14:textId="77777777" w:rsidR="00F24E18" w:rsidRPr="002F3C69" w:rsidRDefault="00F24E18" w:rsidP="000E18B5">
            <w:pPr>
              <w:spacing w:after="0" w:line="240" w:lineRule="auto"/>
              <w:rPr>
                <w:rFonts w:ascii="Arial" w:eastAsia="Times New Roman" w:hAnsi="Arial" w:cs="Arial"/>
                <w:b/>
                <w:bCs/>
                <w:color w:val="000000"/>
                <w:sz w:val="18"/>
                <w:szCs w:val="18"/>
                <w:lang w:eastAsia="sl-SI"/>
              </w:rPr>
            </w:pPr>
            <w:r w:rsidRPr="002F3C69">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auto"/>
            <w:vAlign w:val="center"/>
          </w:tcPr>
          <w:p w14:paraId="545956D0"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5.366</w:t>
            </w:r>
          </w:p>
        </w:tc>
        <w:tc>
          <w:tcPr>
            <w:tcW w:w="775" w:type="pct"/>
            <w:tcBorders>
              <w:top w:val="nil"/>
              <w:left w:val="nil"/>
              <w:bottom w:val="single" w:sz="4" w:space="0" w:color="auto"/>
              <w:right w:val="single" w:sz="4" w:space="0" w:color="auto"/>
            </w:tcBorders>
            <w:shd w:val="clear" w:color="auto" w:fill="auto"/>
            <w:vAlign w:val="center"/>
          </w:tcPr>
          <w:p w14:paraId="026455EA"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754.149.041</w:t>
            </w:r>
          </w:p>
        </w:tc>
        <w:tc>
          <w:tcPr>
            <w:tcW w:w="518" w:type="pct"/>
            <w:tcBorders>
              <w:top w:val="nil"/>
              <w:left w:val="nil"/>
              <w:bottom w:val="single" w:sz="4" w:space="0" w:color="auto"/>
              <w:right w:val="single" w:sz="4" w:space="0" w:color="auto"/>
            </w:tcBorders>
            <w:shd w:val="clear" w:color="auto" w:fill="auto"/>
            <w:noWrap/>
            <w:vAlign w:val="center"/>
          </w:tcPr>
          <w:p w14:paraId="5E409825"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tcPr>
          <w:p w14:paraId="6F19AEBD"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100,00 %</w:t>
            </w:r>
          </w:p>
        </w:tc>
      </w:tr>
      <w:tr w:rsidR="00F24E18" w:rsidRPr="002F3C69" w14:paraId="7666754C"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1C500B61"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Infrastrukturno</w:t>
            </w:r>
          </w:p>
        </w:tc>
        <w:tc>
          <w:tcPr>
            <w:tcW w:w="2114" w:type="pct"/>
            <w:tcBorders>
              <w:top w:val="nil"/>
              <w:left w:val="nil"/>
              <w:bottom w:val="single" w:sz="4" w:space="0" w:color="auto"/>
              <w:right w:val="single" w:sz="4" w:space="0" w:color="auto"/>
            </w:tcBorders>
            <w:shd w:val="clear" w:color="auto" w:fill="auto"/>
            <w:vAlign w:val="center"/>
            <w:hideMark/>
          </w:tcPr>
          <w:p w14:paraId="45D1496D"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Konkurenčni dialog</w:t>
            </w:r>
          </w:p>
        </w:tc>
        <w:tc>
          <w:tcPr>
            <w:tcW w:w="366" w:type="pct"/>
            <w:tcBorders>
              <w:top w:val="nil"/>
              <w:left w:val="nil"/>
              <w:bottom w:val="single" w:sz="4" w:space="0" w:color="auto"/>
              <w:right w:val="single" w:sz="4" w:space="0" w:color="auto"/>
            </w:tcBorders>
            <w:shd w:val="clear" w:color="auto" w:fill="auto"/>
            <w:vAlign w:val="center"/>
            <w:hideMark/>
          </w:tcPr>
          <w:p w14:paraId="08FAB57D"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w:t>
            </w:r>
          </w:p>
        </w:tc>
        <w:tc>
          <w:tcPr>
            <w:tcW w:w="775" w:type="pct"/>
            <w:tcBorders>
              <w:top w:val="nil"/>
              <w:left w:val="nil"/>
              <w:bottom w:val="single" w:sz="4" w:space="0" w:color="auto"/>
              <w:right w:val="single" w:sz="4" w:space="0" w:color="auto"/>
            </w:tcBorders>
            <w:shd w:val="clear" w:color="auto" w:fill="auto"/>
            <w:vAlign w:val="center"/>
            <w:hideMark/>
          </w:tcPr>
          <w:p w14:paraId="15113C8D"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2.430.000</w:t>
            </w:r>
          </w:p>
        </w:tc>
        <w:tc>
          <w:tcPr>
            <w:tcW w:w="518" w:type="pct"/>
            <w:tcBorders>
              <w:top w:val="nil"/>
              <w:left w:val="nil"/>
              <w:bottom w:val="single" w:sz="4" w:space="0" w:color="auto"/>
              <w:right w:val="single" w:sz="4" w:space="0" w:color="auto"/>
            </w:tcBorders>
            <w:shd w:val="clear" w:color="auto" w:fill="auto"/>
            <w:noWrap/>
            <w:vAlign w:val="center"/>
          </w:tcPr>
          <w:p w14:paraId="514CB34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0,07 %</w:t>
            </w:r>
          </w:p>
        </w:tc>
        <w:tc>
          <w:tcPr>
            <w:tcW w:w="518" w:type="pct"/>
            <w:tcBorders>
              <w:top w:val="nil"/>
              <w:left w:val="nil"/>
              <w:bottom w:val="single" w:sz="4" w:space="0" w:color="auto"/>
              <w:right w:val="single" w:sz="4" w:space="0" w:color="auto"/>
            </w:tcBorders>
            <w:shd w:val="clear" w:color="auto" w:fill="auto"/>
            <w:noWrap/>
            <w:vAlign w:val="center"/>
          </w:tcPr>
          <w:p w14:paraId="0686A4A1"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1,26 %</w:t>
            </w:r>
          </w:p>
        </w:tc>
      </w:tr>
      <w:tr w:rsidR="00F24E18" w:rsidRPr="002F3C69" w14:paraId="6C6ACA62"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3AEE962"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783C2958"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Odprti postopek</w:t>
            </w:r>
          </w:p>
        </w:tc>
        <w:tc>
          <w:tcPr>
            <w:tcW w:w="366" w:type="pct"/>
            <w:tcBorders>
              <w:top w:val="nil"/>
              <w:left w:val="nil"/>
              <w:bottom w:val="single" w:sz="4" w:space="0" w:color="auto"/>
              <w:right w:val="single" w:sz="4" w:space="0" w:color="auto"/>
            </w:tcBorders>
            <w:shd w:val="clear" w:color="auto" w:fill="auto"/>
            <w:vAlign w:val="center"/>
            <w:hideMark/>
          </w:tcPr>
          <w:p w14:paraId="370AFF85"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17</w:t>
            </w:r>
          </w:p>
        </w:tc>
        <w:tc>
          <w:tcPr>
            <w:tcW w:w="775" w:type="pct"/>
            <w:tcBorders>
              <w:top w:val="nil"/>
              <w:left w:val="nil"/>
              <w:bottom w:val="single" w:sz="4" w:space="0" w:color="auto"/>
              <w:right w:val="single" w:sz="4" w:space="0" w:color="auto"/>
            </w:tcBorders>
            <w:shd w:val="clear" w:color="auto" w:fill="auto"/>
            <w:vAlign w:val="center"/>
            <w:hideMark/>
          </w:tcPr>
          <w:p w14:paraId="3BF9502F"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4.870.571</w:t>
            </w:r>
          </w:p>
        </w:tc>
        <w:tc>
          <w:tcPr>
            <w:tcW w:w="518" w:type="pct"/>
            <w:tcBorders>
              <w:top w:val="nil"/>
              <w:left w:val="nil"/>
              <w:bottom w:val="single" w:sz="4" w:space="0" w:color="auto"/>
              <w:right w:val="single" w:sz="4" w:space="0" w:color="auto"/>
            </w:tcBorders>
            <w:shd w:val="clear" w:color="auto" w:fill="auto"/>
            <w:noWrap/>
            <w:vAlign w:val="center"/>
          </w:tcPr>
          <w:p w14:paraId="6685DDC2"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1,14 %</w:t>
            </w:r>
          </w:p>
        </w:tc>
        <w:tc>
          <w:tcPr>
            <w:tcW w:w="518" w:type="pct"/>
            <w:tcBorders>
              <w:top w:val="nil"/>
              <w:left w:val="nil"/>
              <w:bottom w:val="single" w:sz="4" w:space="0" w:color="auto"/>
              <w:right w:val="single" w:sz="4" w:space="0" w:color="auto"/>
            </w:tcBorders>
            <w:shd w:val="clear" w:color="auto" w:fill="auto"/>
            <w:noWrap/>
            <w:vAlign w:val="center"/>
          </w:tcPr>
          <w:p w14:paraId="38994EA4"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2,53 %</w:t>
            </w:r>
          </w:p>
        </w:tc>
      </w:tr>
      <w:tr w:rsidR="00F24E18" w:rsidRPr="002F3C69" w14:paraId="16984F04"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7E30584"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3B5772CB"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Omejeni postopek</w:t>
            </w:r>
          </w:p>
        </w:tc>
        <w:tc>
          <w:tcPr>
            <w:tcW w:w="366" w:type="pct"/>
            <w:tcBorders>
              <w:top w:val="nil"/>
              <w:left w:val="nil"/>
              <w:bottom w:val="single" w:sz="4" w:space="0" w:color="auto"/>
              <w:right w:val="single" w:sz="4" w:space="0" w:color="auto"/>
            </w:tcBorders>
            <w:shd w:val="clear" w:color="auto" w:fill="auto"/>
            <w:vAlign w:val="center"/>
            <w:hideMark/>
          </w:tcPr>
          <w:p w14:paraId="24DBA76B"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w:t>
            </w:r>
          </w:p>
        </w:tc>
        <w:tc>
          <w:tcPr>
            <w:tcW w:w="775" w:type="pct"/>
            <w:tcBorders>
              <w:top w:val="nil"/>
              <w:left w:val="nil"/>
              <w:bottom w:val="single" w:sz="4" w:space="0" w:color="auto"/>
              <w:right w:val="single" w:sz="4" w:space="0" w:color="auto"/>
            </w:tcBorders>
            <w:shd w:val="clear" w:color="auto" w:fill="auto"/>
            <w:vAlign w:val="center"/>
            <w:hideMark/>
          </w:tcPr>
          <w:p w14:paraId="19B28D43"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94.230</w:t>
            </w:r>
          </w:p>
        </w:tc>
        <w:tc>
          <w:tcPr>
            <w:tcW w:w="518" w:type="pct"/>
            <w:tcBorders>
              <w:top w:val="nil"/>
              <w:left w:val="nil"/>
              <w:bottom w:val="single" w:sz="4" w:space="0" w:color="auto"/>
              <w:right w:val="single" w:sz="4" w:space="0" w:color="auto"/>
            </w:tcBorders>
            <w:shd w:val="clear" w:color="auto" w:fill="auto"/>
            <w:noWrap/>
            <w:vAlign w:val="center"/>
          </w:tcPr>
          <w:p w14:paraId="71E21190"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0,07 %</w:t>
            </w:r>
          </w:p>
        </w:tc>
        <w:tc>
          <w:tcPr>
            <w:tcW w:w="518" w:type="pct"/>
            <w:tcBorders>
              <w:top w:val="nil"/>
              <w:left w:val="nil"/>
              <w:bottom w:val="single" w:sz="4" w:space="0" w:color="auto"/>
              <w:right w:val="single" w:sz="4" w:space="0" w:color="auto"/>
            </w:tcBorders>
            <w:shd w:val="clear" w:color="auto" w:fill="auto"/>
            <w:noWrap/>
            <w:vAlign w:val="center"/>
          </w:tcPr>
          <w:p w14:paraId="08C8B36F"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0,05 %</w:t>
            </w:r>
          </w:p>
        </w:tc>
      </w:tr>
      <w:tr w:rsidR="00F24E18" w:rsidRPr="002F3C69" w14:paraId="07EF9AB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C1C0DF0"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0B4FA6F4"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Postopek naročila male vrednosti</w:t>
            </w:r>
          </w:p>
        </w:tc>
        <w:tc>
          <w:tcPr>
            <w:tcW w:w="366" w:type="pct"/>
            <w:tcBorders>
              <w:top w:val="nil"/>
              <w:left w:val="nil"/>
              <w:bottom w:val="single" w:sz="4" w:space="0" w:color="auto"/>
              <w:right w:val="single" w:sz="4" w:space="0" w:color="auto"/>
            </w:tcBorders>
            <w:shd w:val="clear" w:color="auto" w:fill="auto"/>
            <w:vAlign w:val="center"/>
            <w:hideMark/>
          </w:tcPr>
          <w:p w14:paraId="09C48E60"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1.295</w:t>
            </w:r>
          </w:p>
        </w:tc>
        <w:tc>
          <w:tcPr>
            <w:tcW w:w="775" w:type="pct"/>
            <w:tcBorders>
              <w:top w:val="nil"/>
              <w:left w:val="nil"/>
              <w:bottom w:val="single" w:sz="4" w:space="0" w:color="auto"/>
              <w:right w:val="single" w:sz="4" w:space="0" w:color="auto"/>
            </w:tcBorders>
            <w:shd w:val="clear" w:color="auto" w:fill="auto"/>
            <w:vAlign w:val="center"/>
            <w:hideMark/>
          </w:tcPr>
          <w:p w14:paraId="5496A109"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159.158.868</w:t>
            </w:r>
          </w:p>
        </w:tc>
        <w:tc>
          <w:tcPr>
            <w:tcW w:w="518" w:type="pct"/>
            <w:tcBorders>
              <w:top w:val="nil"/>
              <w:left w:val="nil"/>
              <w:bottom w:val="single" w:sz="4" w:space="0" w:color="auto"/>
              <w:right w:val="single" w:sz="4" w:space="0" w:color="auto"/>
            </w:tcBorders>
            <w:shd w:val="clear" w:color="auto" w:fill="auto"/>
            <w:noWrap/>
            <w:vAlign w:val="center"/>
          </w:tcPr>
          <w:p w14:paraId="31ACBDE6"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86,62 %</w:t>
            </w:r>
          </w:p>
        </w:tc>
        <w:tc>
          <w:tcPr>
            <w:tcW w:w="518" w:type="pct"/>
            <w:tcBorders>
              <w:top w:val="nil"/>
              <w:left w:val="nil"/>
              <w:bottom w:val="single" w:sz="4" w:space="0" w:color="auto"/>
              <w:right w:val="single" w:sz="4" w:space="0" w:color="auto"/>
            </w:tcBorders>
            <w:shd w:val="clear" w:color="auto" w:fill="auto"/>
            <w:noWrap/>
            <w:vAlign w:val="center"/>
          </w:tcPr>
          <w:p w14:paraId="4AFDDC0C"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82,65 %</w:t>
            </w:r>
          </w:p>
        </w:tc>
      </w:tr>
      <w:tr w:rsidR="00F24E18" w:rsidRPr="002F3C69" w14:paraId="202FE9D3"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E103176"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E462574"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Postopek s pogajanji brez predhodne objave</w:t>
            </w:r>
          </w:p>
        </w:tc>
        <w:tc>
          <w:tcPr>
            <w:tcW w:w="366" w:type="pct"/>
            <w:tcBorders>
              <w:top w:val="nil"/>
              <w:left w:val="nil"/>
              <w:bottom w:val="single" w:sz="4" w:space="0" w:color="auto"/>
              <w:right w:val="single" w:sz="4" w:space="0" w:color="auto"/>
            </w:tcBorders>
            <w:shd w:val="clear" w:color="auto" w:fill="auto"/>
            <w:vAlign w:val="center"/>
            <w:hideMark/>
          </w:tcPr>
          <w:p w14:paraId="0417A5B7"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158</w:t>
            </w:r>
          </w:p>
        </w:tc>
        <w:tc>
          <w:tcPr>
            <w:tcW w:w="775" w:type="pct"/>
            <w:tcBorders>
              <w:top w:val="nil"/>
              <w:left w:val="nil"/>
              <w:bottom w:val="single" w:sz="4" w:space="0" w:color="auto"/>
              <w:right w:val="single" w:sz="4" w:space="0" w:color="auto"/>
            </w:tcBorders>
            <w:shd w:val="clear" w:color="auto" w:fill="auto"/>
            <w:vAlign w:val="center"/>
            <w:hideMark/>
          </w:tcPr>
          <w:p w14:paraId="1A3D1767"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22.898.568</w:t>
            </w:r>
          </w:p>
        </w:tc>
        <w:tc>
          <w:tcPr>
            <w:tcW w:w="518" w:type="pct"/>
            <w:tcBorders>
              <w:top w:val="nil"/>
              <w:left w:val="nil"/>
              <w:bottom w:val="single" w:sz="4" w:space="0" w:color="auto"/>
              <w:right w:val="single" w:sz="4" w:space="0" w:color="auto"/>
            </w:tcBorders>
            <w:shd w:val="clear" w:color="auto" w:fill="auto"/>
            <w:noWrap/>
            <w:vAlign w:val="center"/>
          </w:tcPr>
          <w:p w14:paraId="34B78D8E"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10,57 %</w:t>
            </w:r>
          </w:p>
        </w:tc>
        <w:tc>
          <w:tcPr>
            <w:tcW w:w="518" w:type="pct"/>
            <w:tcBorders>
              <w:top w:val="nil"/>
              <w:left w:val="nil"/>
              <w:bottom w:val="single" w:sz="4" w:space="0" w:color="auto"/>
              <w:right w:val="single" w:sz="4" w:space="0" w:color="auto"/>
            </w:tcBorders>
            <w:shd w:val="clear" w:color="auto" w:fill="auto"/>
            <w:noWrap/>
            <w:vAlign w:val="center"/>
          </w:tcPr>
          <w:p w14:paraId="00BE50D7"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11,89 %</w:t>
            </w:r>
          </w:p>
        </w:tc>
      </w:tr>
      <w:tr w:rsidR="00F24E18" w:rsidRPr="002F3C69" w14:paraId="5C80674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92A1373" w14:textId="77777777" w:rsidR="00F24E18" w:rsidRPr="002F3C69" w:rsidRDefault="00F24E18" w:rsidP="000E18B5">
            <w:pPr>
              <w:spacing w:after="0" w:line="240" w:lineRule="auto"/>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0E391948"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Postopek s pogajanji po predhodni objavi</w:t>
            </w:r>
          </w:p>
        </w:tc>
        <w:tc>
          <w:tcPr>
            <w:tcW w:w="366" w:type="pct"/>
            <w:tcBorders>
              <w:top w:val="nil"/>
              <w:left w:val="nil"/>
              <w:bottom w:val="single" w:sz="4" w:space="0" w:color="auto"/>
              <w:right w:val="single" w:sz="4" w:space="0" w:color="auto"/>
            </w:tcBorders>
            <w:shd w:val="clear" w:color="auto" w:fill="auto"/>
            <w:vAlign w:val="center"/>
            <w:hideMark/>
          </w:tcPr>
          <w:p w14:paraId="3F8B8991"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23</w:t>
            </w:r>
          </w:p>
        </w:tc>
        <w:tc>
          <w:tcPr>
            <w:tcW w:w="775" w:type="pct"/>
            <w:tcBorders>
              <w:top w:val="nil"/>
              <w:left w:val="nil"/>
              <w:bottom w:val="single" w:sz="4" w:space="0" w:color="auto"/>
              <w:right w:val="single" w:sz="4" w:space="0" w:color="auto"/>
            </w:tcBorders>
            <w:shd w:val="clear" w:color="auto" w:fill="auto"/>
            <w:vAlign w:val="center"/>
            <w:hideMark/>
          </w:tcPr>
          <w:p w14:paraId="6729522B"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3.118.770</w:t>
            </w:r>
          </w:p>
        </w:tc>
        <w:tc>
          <w:tcPr>
            <w:tcW w:w="518" w:type="pct"/>
            <w:tcBorders>
              <w:top w:val="nil"/>
              <w:left w:val="nil"/>
              <w:bottom w:val="single" w:sz="4" w:space="0" w:color="auto"/>
              <w:right w:val="single" w:sz="4" w:space="0" w:color="auto"/>
            </w:tcBorders>
            <w:shd w:val="clear" w:color="auto" w:fill="auto"/>
            <w:noWrap/>
            <w:vAlign w:val="center"/>
          </w:tcPr>
          <w:p w14:paraId="37423B4D"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1,54 %</w:t>
            </w:r>
          </w:p>
        </w:tc>
        <w:tc>
          <w:tcPr>
            <w:tcW w:w="518" w:type="pct"/>
            <w:tcBorders>
              <w:top w:val="nil"/>
              <w:left w:val="nil"/>
              <w:bottom w:val="single" w:sz="4" w:space="0" w:color="auto"/>
              <w:right w:val="single" w:sz="4" w:space="0" w:color="auto"/>
            </w:tcBorders>
            <w:shd w:val="clear" w:color="auto" w:fill="auto"/>
            <w:noWrap/>
            <w:vAlign w:val="center"/>
          </w:tcPr>
          <w:p w14:paraId="02E9C03C"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1,62 %</w:t>
            </w:r>
          </w:p>
        </w:tc>
      </w:tr>
      <w:tr w:rsidR="00F24E18" w:rsidRPr="002F3C69" w14:paraId="2E34C17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5080D4E" w14:textId="77777777" w:rsidR="00F24E18" w:rsidRPr="002F3C69" w:rsidRDefault="00F24E18" w:rsidP="000E18B5">
            <w:pPr>
              <w:spacing w:after="0" w:line="240" w:lineRule="auto"/>
              <w:rPr>
                <w:rFonts w:ascii="Arial" w:eastAsia="Times New Roman" w:hAnsi="Arial" w:cs="Arial"/>
                <w:b/>
                <w:bCs/>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60F33E61" w14:textId="77777777" w:rsidR="00F24E18" w:rsidRPr="002F3C69" w:rsidRDefault="00F24E18" w:rsidP="000E18B5">
            <w:pPr>
              <w:spacing w:after="0" w:line="240" w:lineRule="auto"/>
              <w:rPr>
                <w:rFonts w:ascii="Arial" w:eastAsia="Times New Roman" w:hAnsi="Arial" w:cs="Arial"/>
                <w:b/>
                <w:bCs/>
                <w:color w:val="000000"/>
                <w:sz w:val="18"/>
                <w:szCs w:val="18"/>
                <w:lang w:eastAsia="sl-SI"/>
              </w:rPr>
            </w:pPr>
            <w:r w:rsidRPr="002F3C69">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auto"/>
            <w:vAlign w:val="center"/>
            <w:hideMark/>
          </w:tcPr>
          <w:p w14:paraId="6EACEF4B"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1.495</w:t>
            </w:r>
          </w:p>
        </w:tc>
        <w:tc>
          <w:tcPr>
            <w:tcW w:w="775" w:type="pct"/>
            <w:tcBorders>
              <w:top w:val="nil"/>
              <w:left w:val="nil"/>
              <w:bottom w:val="single" w:sz="4" w:space="0" w:color="auto"/>
              <w:right w:val="single" w:sz="4" w:space="0" w:color="auto"/>
            </w:tcBorders>
            <w:shd w:val="clear" w:color="auto" w:fill="auto"/>
            <w:vAlign w:val="center"/>
            <w:hideMark/>
          </w:tcPr>
          <w:p w14:paraId="7B650B33"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192.571.007</w:t>
            </w:r>
          </w:p>
        </w:tc>
        <w:tc>
          <w:tcPr>
            <w:tcW w:w="518" w:type="pct"/>
            <w:tcBorders>
              <w:top w:val="nil"/>
              <w:left w:val="nil"/>
              <w:bottom w:val="single" w:sz="4" w:space="0" w:color="auto"/>
              <w:right w:val="single" w:sz="4" w:space="0" w:color="auto"/>
            </w:tcBorders>
            <w:shd w:val="clear" w:color="auto" w:fill="auto"/>
            <w:noWrap/>
            <w:vAlign w:val="center"/>
          </w:tcPr>
          <w:p w14:paraId="6E6BA693"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tcPr>
          <w:p w14:paraId="32E249C4"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100,00 %</w:t>
            </w:r>
          </w:p>
        </w:tc>
      </w:tr>
      <w:tr w:rsidR="00F24E18" w:rsidRPr="002F3C69" w14:paraId="303A3BC6"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38EFB7B8"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Obrambno</w:t>
            </w:r>
          </w:p>
        </w:tc>
        <w:tc>
          <w:tcPr>
            <w:tcW w:w="2114" w:type="pct"/>
            <w:tcBorders>
              <w:top w:val="nil"/>
              <w:left w:val="nil"/>
              <w:bottom w:val="single" w:sz="4" w:space="0" w:color="auto"/>
              <w:right w:val="single" w:sz="4" w:space="0" w:color="auto"/>
            </w:tcBorders>
            <w:shd w:val="clear" w:color="auto" w:fill="auto"/>
            <w:vAlign w:val="center"/>
            <w:hideMark/>
          </w:tcPr>
          <w:p w14:paraId="5F67E97B"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Postopek s pogajanji brez predhodne objave</w:t>
            </w:r>
          </w:p>
        </w:tc>
        <w:tc>
          <w:tcPr>
            <w:tcW w:w="366" w:type="pct"/>
            <w:tcBorders>
              <w:top w:val="nil"/>
              <w:left w:val="nil"/>
              <w:bottom w:val="single" w:sz="4" w:space="0" w:color="auto"/>
              <w:right w:val="single" w:sz="4" w:space="0" w:color="auto"/>
            </w:tcBorders>
            <w:shd w:val="clear" w:color="auto" w:fill="auto"/>
            <w:vAlign w:val="center"/>
            <w:hideMark/>
          </w:tcPr>
          <w:p w14:paraId="3074F325"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33</w:t>
            </w:r>
          </w:p>
        </w:tc>
        <w:tc>
          <w:tcPr>
            <w:tcW w:w="775" w:type="pct"/>
            <w:tcBorders>
              <w:top w:val="nil"/>
              <w:left w:val="nil"/>
              <w:bottom w:val="single" w:sz="4" w:space="0" w:color="auto"/>
              <w:right w:val="single" w:sz="4" w:space="0" w:color="auto"/>
            </w:tcBorders>
            <w:shd w:val="clear" w:color="auto" w:fill="auto"/>
            <w:vAlign w:val="center"/>
            <w:hideMark/>
          </w:tcPr>
          <w:p w14:paraId="11A095A8"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10.802.376</w:t>
            </w:r>
          </w:p>
        </w:tc>
        <w:tc>
          <w:tcPr>
            <w:tcW w:w="518" w:type="pct"/>
            <w:tcBorders>
              <w:top w:val="nil"/>
              <w:left w:val="nil"/>
              <w:bottom w:val="single" w:sz="4" w:space="0" w:color="auto"/>
              <w:right w:val="single" w:sz="4" w:space="0" w:color="auto"/>
            </w:tcBorders>
            <w:shd w:val="clear" w:color="auto" w:fill="auto"/>
            <w:noWrap/>
            <w:vAlign w:val="center"/>
          </w:tcPr>
          <w:p w14:paraId="5899FEE2"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52,38 %</w:t>
            </w:r>
          </w:p>
        </w:tc>
        <w:tc>
          <w:tcPr>
            <w:tcW w:w="518" w:type="pct"/>
            <w:tcBorders>
              <w:top w:val="nil"/>
              <w:left w:val="nil"/>
              <w:bottom w:val="single" w:sz="4" w:space="0" w:color="auto"/>
              <w:right w:val="single" w:sz="4" w:space="0" w:color="auto"/>
            </w:tcBorders>
            <w:shd w:val="clear" w:color="auto" w:fill="auto"/>
            <w:noWrap/>
            <w:vAlign w:val="center"/>
          </w:tcPr>
          <w:p w14:paraId="26D40E6D"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73,90 %</w:t>
            </w:r>
          </w:p>
        </w:tc>
      </w:tr>
      <w:tr w:rsidR="00F24E18" w:rsidRPr="002F3C69" w14:paraId="1F3F580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513DC0B" w14:textId="77777777" w:rsidR="00F24E18" w:rsidRPr="002F3C69" w:rsidRDefault="00F24E18" w:rsidP="000E18B5">
            <w:pPr>
              <w:spacing w:after="0" w:line="240" w:lineRule="auto"/>
              <w:outlineLvl w:val="1"/>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25ED65EB"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Postopek s pogajanji po predhodni objavi</w:t>
            </w:r>
          </w:p>
        </w:tc>
        <w:tc>
          <w:tcPr>
            <w:tcW w:w="366" w:type="pct"/>
            <w:tcBorders>
              <w:top w:val="nil"/>
              <w:left w:val="nil"/>
              <w:bottom w:val="single" w:sz="4" w:space="0" w:color="auto"/>
              <w:right w:val="single" w:sz="4" w:space="0" w:color="auto"/>
            </w:tcBorders>
            <w:shd w:val="clear" w:color="auto" w:fill="auto"/>
            <w:vAlign w:val="center"/>
            <w:hideMark/>
          </w:tcPr>
          <w:p w14:paraId="1F6BACA2"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7</w:t>
            </w:r>
          </w:p>
        </w:tc>
        <w:tc>
          <w:tcPr>
            <w:tcW w:w="775" w:type="pct"/>
            <w:tcBorders>
              <w:top w:val="nil"/>
              <w:left w:val="nil"/>
              <w:bottom w:val="single" w:sz="4" w:space="0" w:color="auto"/>
              <w:right w:val="single" w:sz="4" w:space="0" w:color="auto"/>
            </w:tcBorders>
            <w:shd w:val="clear" w:color="auto" w:fill="auto"/>
            <w:vAlign w:val="center"/>
            <w:hideMark/>
          </w:tcPr>
          <w:p w14:paraId="00CA888A"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964.964</w:t>
            </w:r>
          </w:p>
        </w:tc>
        <w:tc>
          <w:tcPr>
            <w:tcW w:w="518" w:type="pct"/>
            <w:tcBorders>
              <w:top w:val="nil"/>
              <w:left w:val="nil"/>
              <w:bottom w:val="single" w:sz="4" w:space="0" w:color="auto"/>
              <w:right w:val="single" w:sz="4" w:space="0" w:color="auto"/>
            </w:tcBorders>
            <w:shd w:val="clear" w:color="auto" w:fill="auto"/>
            <w:noWrap/>
            <w:vAlign w:val="center"/>
          </w:tcPr>
          <w:p w14:paraId="74E4C6C2" w14:textId="77777777" w:rsidR="00F24E18" w:rsidRPr="002F3C69" w:rsidRDefault="00F24E18" w:rsidP="000E18B5">
            <w:pPr>
              <w:spacing w:after="0" w:line="240" w:lineRule="auto"/>
              <w:jc w:val="right"/>
              <w:rPr>
                <w:rFonts w:ascii="Arial" w:hAnsi="Arial" w:cs="Arial"/>
                <w:color w:val="000000"/>
                <w:sz w:val="18"/>
                <w:szCs w:val="18"/>
              </w:rPr>
            </w:pPr>
            <w:r w:rsidRPr="002F3C69">
              <w:rPr>
                <w:rFonts w:ascii="Arial" w:hAnsi="Arial" w:cs="Arial"/>
                <w:color w:val="000000"/>
                <w:sz w:val="18"/>
                <w:szCs w:val="18"/>
              </w:rPr>
              <w:t>11,11 %</w:t>
            </w:r>
          </w:p>
        </w:tc>
        <w:tc>
          <w:tcPr>
            <w:tcW w:w="518" w:type="pct"/>
            <w:tcBorders>
              <w:top w:val="nil"/>
              <w:left w:val="nil"/>
              <w:bottom w:val="single" w:sz="4" w:space="0" w:color="auto"/>
              <w:right w:val="single" w:sz="4" w:space="0" w:color="auto"/>
            </w:tcBorders>
            <w:shd w:val="clear" w:color="auto" w:fill="auto"/>
            <w:noWrap/>
            <w:vAlign w:val="center"/>
          </w:tcPr>
          <w:p w14:paraId="07A9FC43" w14:textId="77777777" w:rsidR="00F24E18" w:rsidRPr="002F3C69" w:rsidRDefault="00F24E18" w:rsidP="000E18B5">
            <w:pPr>
              <w:spacing w:after="0" w:line="240" w:lineRule="auto"/>
              <w:jc w:val="right"/>
              <w:rPr>
                <w:rFonts w:ascii="Arial" w:hAnsi="Arial" w:cs="Arial"/>
                <w:color w:val="000000"/>
                <w:sz w:val="18"/>
                <w:szCs w:val="18"/>
              </w:rPr>
            </w:pPr>
            <w:r w:rsidRPr="002F3C69">
              <w:rPr>
                <w:rFonts w:ascii="Arial" w:hAnsi="Arial" w:cs="Arial"/>
                <w:color w:val="000000"/>
                <w:sz w:val="18"/>
                <w:szCs w:val="18"/>
              </w:rPr>
              <w:t>6,60 %</w:t>
            </w:r>
          </w:p>
        </w:tc>
      </w:tr>
      <w:tr w:rsidR="00F24E18" w:rsidRPr="002F3C69" w14:paraId="77517BD4"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5C21D006" w14:textId="77777777" w:rsidR="00F24E18" w:rsidRPr="002F3C69" w:rsidRDefault="00F24E18" w:rsidP="000E18B5">
            <w:pPr>
              <w:spacing w:after="0" w:line="240" w:lineRule="auto"/>
              <w:outlineLvl w:val="1"/>
              <w:rPr>
                <w:rFonts w:ascii="Arial" w:eastAsia="Times New Roman" w:hAnsi="Arial" w:cs="Arial"/>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18366633" w14:textId="77777777" w:rsidR="00F24E18" w:rsidRPr="002F3C69" w:rsidRDefault="00F24E18" w:rsidP="000E18B5">
            <w:pPr>
              <w:spacing w:after="0" w:line="240" w:lineRule="auto"/>
              <w:rPr>
                <w:rFonts w:ascii="Arial" w:eastAsia="Times New Roman" w:hAnsi="Arial" w:cs="Arial"/>
                <w:color w:val="000000"/>
                <w:sz w:val="18"/>
                <w:szCs w:val="18"/>
                <w:lang w:eastAsia="sl-SI"/>
              </w:rPr>
            </w:pPr>
            <w:r w:rsidRPr="002F3C69">
              <w:rPr>
                <w:rFonts w:ascii="Arial" w:eastAsia="Times New Roman" w:hAnsi="Arial" w:cs="Arial"/>
                <w:color w:val="000000"/>
                <w:sz w:val="18"/>
                <w:szCs w:val="18"/>
                <w:lang w:eastAsia="sl-SI"/>
              </w:rPr>
              <w:t>Postopek zbiranja ponudb po predhodni objavi</w:t>
            </w:r>
          </w:p>
        </w:tc>
        <w:tc>
          <w:tcPr>
            <w:tcW w:w="366" w:type="pct"/>
            <w:tcBorders>
              <w:top w:val="nil"/>
              <w:left w:val="nil"/>
              <w:bottom w:val="single" w:sz="4" w:space="0" w:color="auto"/>
              <w:right w:val="single" w:sz="4" w:space="0" w:color="auto"/>
            </w:tcBorders>
            <w:shd w:val="clear" w:color="auto" w:fill="auto"/>
            <w:vAlign w:val="center"/>
            <w:hideMark/>
          </w:tcPr>
          <w:p w14:paraId="79FB7B34"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23</w:t>
            </w:r>
          </w:p>
        </w:tc>
        <w:tc>
          <w:tcPr>
            <w:tcW w:w="775" w:type="pct"/>
            <w:tcBorders>
              <w:top w:val="nil"/>
              <w:left w:val="nil"/>
              <w:bottom w:val="single" w:sz="4" w:space="0" w:color="auto"/>
              <w:right w:val="single" w:sz="4" w:space="0" w:color="auto"/>
            </w:tcBorders>
            <w:shd w:val="clear" w:color="auto" w:fill="auto"/>
            <w:vAlign w:val="center"/>
            <w:hideMark/>
          </w:tcPr>
          <w:p w14:paraId="3FB28170"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r w:rsidRPr="002F3C69">
              <w:rPr>
                <w:rFonts w:ascii="Arial" w:hAnsi="Arial" w:cs="Arial"/>
                <w:color w:val="000000"/>
                <w:sz w:val="18"/>
                <w:szCs w:val="18"/>
              </w:rPr>
              <w:t>2.850.365</w:t>
            </w:r>
          </w:p>
        </w:tc>
        <w:tc>
          <w:tcPr>
            <w:tcW w:w="518" w:type="pct"/>
            <w:tcBorders>
              <w:top w:val="nil"/>
              <w:left w:val="nil"/>
              <w:bottom w:val="single" w:sz="4" w:space="0" w:color="auto"/>
              <w:right w:val="single" w:sz="4" w:space="0" w:color="auto"/>
            </w:tcBorders>
            <w:shd w:val="clear" w:color="auto" w:fill="auto"/>
            <w:noWrap/>
            <w:vAlign w:val="center"/>
          </w:tcPr>
          <w:p w14:paraId="3E1C6FCB" w14:textId="77777777" w:rsidR="00F24E18" w:rsidRPr="002F3C69" w:rsidRDefault="00F24E18" w:rsidP="000E18B5">
            <w:pPr>
              <w:spacing w:after="0" w:line="240" w:lineRule="auto"/>
              <w:jc w:val="right"/>
              <w:rPr>
                <w:rFonts w:ascii="Arial" w:hAnsi="Arial" w:cs="Arial"/>
                <w:color w:val="000000"/>
                <w:sz w:val="18"/>
                <w:szCs w:val="18"/>
              </w:rPr>
            </w:pPr>
            <w:r w:rsidRPr="002F3C69">
              <w:rPr>
                <w:rFonts w:ascii="Arial" w:hAnsi="Arial" w:cs="Arial"/>
                <w:color w:val="000000"/>
                <w:sz w:val="18"/>
                <w:szCs w:val="18"/>
              </w:rPr>
              <w:t>36,51 %</w:t>
            </w:r>
          </w:p>
        </w:tc>
        <w:tc>
          <w:tcPr>
            <w:tcW w:w="518" w:type="pct"/>
            <w:tcBorders>
              <w:top w:val="nil"/>
              <w:left w:val="nil"/>
              <w:bottom w:val="single" w:sz="4" w:space="0" w:color="auto"/>
              <w:right w:val="single" w:sz="4" w:space="0" w:color="auto"/>
            </w:tcBorders>
            <w:shd w:val="clear" w:color="auto" w:fill="auto"/>
            <w:noWrap/>
            <w:vAlign w:val="center"/>
          </w:tcPr>
          <w:p w14:paraId="63F98ADF" w14:textId="77777777" w:rsidR="00F24E18" w:rsidRPr="002F3C69" w:rsidRDefault="00F24E18" w:rsidP="000E18B5">
            <w:pPr>
              <w:spacing w:after="0" w:line="240" w:lineRule="auto"/>
              <w:jc w:val="right"/>
              <w:rPr>
                <w:rFonts w:ascii="Arial" w:hAnsi="Arial" w:cs="Arial"/>
                <w:color w:val="000000"/>
                <w:sz w:val="18"/>
                <w:szCs w:val="18"/>
              </w:rPr>
            </w:pPr>
            <w:r w:rsidRPr="002F3C69">
              <w:rPr>
                <w:rFonts w:ascii="Arial" w:hAnsi="Arial" w:cs="Arial"/>
                <w:color w:val="000000"/>
                <w:sz w:val="18"/>
                <w:szCs w:val="18"/>
              </w:rPr>
              <w:t>19,50 %</w:t>
            </w:r>
          </w:p>
        </w:tc>
      </w:tr>
      <w:tr w:rsidR="00F24E18" w:rsidRPr="002F3C69" w14:paraId="434C8B92"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C0866A9" w14:textId="77777777" w:rsidR="00F24E18" w:rsidRPr="002F3C69" w:rsidRDefault="00F24E18" w:rsidP="000E18B5">
            <w:pPr>
              <w:spacing w:after="0" w:line="240" w:lineRule="auto"/>
              <w:outlineLvl w:val="0"/>
              <w:rPr>
                <w:rFonts w:ascii="Arial" w:eastAsia="Times New Roman" w:hAnsi="Arial" w:cs="Arial"/>
                <w:b/>
                <w:bCs/>
                <w:color w:val="000000"/>
                <w:sz w:val="18"/>
                <w:szCs w:val="18"/>
                <w:lang w:eastAsia="sl-SI"/>
              </w:rPr>
            </w:pPr>
          </w:p>
        </w:tc>
        <w:tc>
          <w:tcPr>
            <w:tcW w:w="2114" w:type="pct"/>
            <w:tcBorders>
              <w:top w:val="nil"/>
              <w:left w:val="nil"/>
              <w:bottom w:val="single" w:sz="4" w:space="0" w:color="auto"/>
              <w:right w:val="single" w:sz="4" w:space="0" w:color="auto"/>
            </w:tcBorders>
            <w:shd w:val="clear" w:color="auto" w:fill="auto"/>
            <w:vAlign w:val="center"/>
            <w:hideMark/>
          </w:tcPr>
          <w:p w14:paraId="39571193" w14:textId="77777777" w:rsidR="00F24E18" w:rsidRPr="002F3C69" w:rsidRDefault="00F24E18" w:rsidP="000E18B5">
            <w:pPr>
              <w:spacing w:after="0" w:line="240" w:lineRule="auto"/>
              <w:rPr>
                <w:rFonts w:ascii="Arial" w:eastAsia="Times New Roman" w:hAnsi="Arial" w:cs="Arial"/>
                <w:b/>
                <w:bCs/>
                <w:color w:val="000000"/>
                <w:sz w:val="18"/>
                <w:szCs w:val="18"/>
                <w:lang w:eastAsia="sl-SI"/>
              </w:rPr>
            </w:pPr>
            <w:r w:rsidRPr="002F3C69">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auto"/>
            <w:vAlign w:val="center"/>
          </w:tcPr>
          <w:p w14:paraId="5C4A065F"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63</w:t>
            </w:r>
          </w:p>
        </w:tc>
        <w:tc>
          <w:tcPr>
            <w:tcW w:w="775" w:type="pct"/>
            <w:tcBorders>
              <w:top w:val="nil"/>
              <w:left w:val="nil"/>
              <w:bottom w:val="single" w:sz="4" w:space="0" w:color="auto"/>
              <w:right w:val="single" w:sz="4" w:space="0" w:color="auto"/>
            </w:tcBorders>
            <w:shd w:val="clear" w:color="auto" w:fill="auto"/>
            <w:vAlign w:val="center"/>
          </w:tcPr>
          <w:p w14:paraId="1EE35FC7"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14.617.705</w:t>
            </w:r>
          </w:p>
        </w:tc>
        <w:tc>
          <w:tcPr>
            <w:tcW w:w="518" w:type="pct"/>
            <w:tcBorders>
              <w:top w:val="nil"/>
              <w:left w:val="nil"/>
              <w:bottom w:val="single" w:sz="4" w:space="0" w:color="auto"/>
              <w:right w:val="single" w:sz="4" w:space="0" w:color="auto"/>
            </w:tcBorders>
            <w:shd w:val="clear" w:color="auto" w:fill="auto"/>
            <w:noWrap/>
            <w:vAlign w:val="center"/>
          </w:tcPr>
          <w:p w14:paraId="13DE1309"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100,00 %</w:t>
            </w:r>
          </w:p>
        </w:tc>
        <w:tc>
          <w:tcPr>
            <w:tcW w:w="518" w:type="pct"/>
            <w:tcBorders>
              <w:top w:val="nil"/>
              <w:left w:val="nil"/>
              <w:bottom w:val="single" w:sz="4" w:space="0" w:color="auto"/>
              <w:right w:val="single" w:sz="4" w:space="0" w:color="auto"/>
            </w:tcBorders>
            <w:shd w:val="clear" w:color="auto" w:fill="auto"/>
            <w:noWrap/>
            <w:vAlign w:val="center"/>
          </w:tcPr>
          <w:p w14:paraId="498D0D85" w14:textId="77777777" w:rsidR="00F24E18" w:rsidRPr="002F3C69" w:rsidRDefault="00F24E18" w:rsidP="000E18B5">
            <w:pPr>
              <w:spacing w:after="0" w:line="240" w:lineRule="auto"/>
              <w:jc w:val="right"/>
              <w:rPr>
                <w:rFonts w:ascii="Arial" w:eastAsia="Times New Roman" w:hAnsi="Arial" w:cs="Arial"/>
                <w:b/>
                <w:bCs/>
                <w:color w:val="000000"/>
                <w:sz w:val="18"/>
                <w:szCs w:val="18"/>
                <w:lang w:eastAsia="sl-SI"/>
              </w:rPr>
            </w:pPr>
            <w:r w:rsidRPr="002F3C69">
              <w:rPr>
                <w:rFonts w:ascii="Arial" w:hAnsi="Arial" w:cs="Arial"/>
                <w:b/>
                <w:bCs/>
                <w:color w:val="000000"/>
                <w:sz w:val="18"/>
                <w:szCs w:val="18"/>
              </w:rPr>
              <w:t>100,00 %</w:t>
            </w:r>
          </w:p>
        </w:tc>
      </w:tr>
      <w:tr w:rsidR="00F24E18" w:rsidRPr="00242E41" w14:paraId="35487AB2" w14:textId="77777777" w:rsidTr="000E18B5">
        <w:trPr>
          <w:trHeight w:val="300"/>
        </w:trPr>
        <w:tc>
          <w:tcPr>
            <w:tcW w:w="28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933B39" w14:textId="77777777" w:rsidR="00F24E18" w:rsidRPr="002F3C69" w:rsidRDefault="00F24E18" w:rsidP="000E18B5">
            <w:pPr>
              <w:spacing w:after="0" w:line="240" w:lineRule="auto"/>
              <w:rPr>
                <w:rFonts w:ascii="Arial" w:eastAsia="Times New Roman" w:hAnsi="Arial" w:cs="Arial"/>
                <w:b/>
                <w:bCs/>
                <w:color w:val="000000"/>
                <w:sz w:val="18"/>
                <w:szCs w:val="18"/>
                <w:lang w:eastAsia="sl-SI"/>
              </w:rPr>
            </w:pPr>
            <w:r w:rsidRPr="002F3C69">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F2F2F2" w:themeFill="background1" w:themeFillShade="F2"/>
            <w:vAlign w:val="center"/>
          </w:tcPr>
          <w:p w14:paraId="2D53FC15" w14:textId="77777777" w:rsidR="00F24E18" w:rsidRPr="002F3C69" w:rsidRDefault="00F24E18" w:rsidP="000E18B5">
            <w:pPr>
              <w:spacing w:after="0" w:line="240" w:lineRule="auto"/>
              <w:jc w:val="right"/>
              <w:rPr>
                <w:rFonts w:ascii="Arial" w:hAnsi="Arial" w:cs="Arial"/>
                <w:b/>
                <w:bCs/>
                <w:color w:val="000000"/>
                <w:sz w:val="18"/>
                <w:szCs w:val="18"/>
              </w:rPr>
            </w:pPr>
            <w:r w:rsidRPr="002F3C69">
              <w:rPr>
                <w:rFonts w:ascii="Arial" w:hAnsi="Arial" w:cs="Arial"/>
                <w:b/>
                <w:bCs/>
                <w:color w:val="000000"/>
                <w:sz w:val="18"/>
                <w:szCs w:val="18"/>
              </w:rPr>
              <w:t>6.924</w:t>
            </w:r>
          </w:p>
        </w:tc>
        <w:tc>
          <w:tcPr>
            <w:tcW w:w="775" w:type="pct"/>
            <w:tcBorders>
              <w:top w:val="nil"/>
              <w:left w:val="nil"/>
              <w:bottom w:val="single" w:sz="4" w:space="0" w:color="auto"/>
              <w:right w:val="single" w:sz="4" w:space="0" w:color="auto"/>
            </w:tcBorders>
            <w:shd w:val="clear" w:color="auto" w:fill="F2F2F2" w:themeFill="background1" w:themeFillShade="F2"/>
            <w:vAlign w:val="center"/>
          </w:tcPr>
          <w:p w14:paraId="09FA8D92" w14:textId="77777777" w:rsidR="00F24E18" w:rsidRPr="002F3C69" w:rsidRDefault="00F24E18" w:rsidP="000E18B5">
            <w:pPr>
              <w:spacing w:after="0" w:line="240" w:lineRule="auto"/>
              <w:jc w:val="right"/>
              <w:rPr>
                <w:rFonts w:ascii="Arial" w:hAnsi="Arial" w:cs="Arial"/>
                <w:b/>
                <w:bCs/>
                <w:color w:val="000000"/>
                <w:sz w:val="18"/>
                <w:szCs w:val="18"/>
              </w:rPr>
            </w:pPr>
            <w:r w:rsidRPr="002F3C69">
              <w:rPr>
                <w:rFonts w:ascii="Arial" w:hAnsi="Arial" w:cs="Arial"/>
                <w:b/>
                <w:bCs/>
                <w:color w:val="000000"/>
                <w:sz w:val="18"/>
                <w:szCs w:val="18"/>
              </w:rPr>
              <w:t>961.337.753</w:t>
            </w:r>
          </w:p>
        </w:tc>
        <w:tc>
          <w:tcPr>
            <w:tcW w:w="518" w:type="pct"/>
            <w:tcBorders>
              <w:top w:val="nil"/>
              <w:left w:val="nil"/>
              <w:bottom w:val="nil"/>
              <w:right w:val="nil"/>
            </w:tcBorders>
            <w:shd w:val="clear" w:color="auto" w:fill="auto"/>
            <w:noWrap/>
            <w:vAlign w:val="center"/>
            <w:hideMark/>
          </w:tcPr>
          <w:p w14:paraId="6C15C8A4"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p>
        </w:tc>
        <w:tc>
          <w:tcPr>
            <w:tcW w:w="518" w:type="pct"/>
            <w:tcBorders>
              <w:top w:val="nil"/>
              <w:left w:val="nil"/>
              <w:bottom w:val="nil"/>
              <w:right w:val="nil"/>
            </w:tcBorders>
            <w:shd w:val="clear" w:color="auto" w:fill="auto"/>
            <w:noWrap/>
            <w:vAlign w:val="center"/>
            <w:hideMark/>
          </w:tcPr>
          <w:p w14:paraId="1ABF3B09" w14:textId="77777777" w:rsidR="00F24E18" w:rsidRPr="002F3C69" w:rsidRDefault="00F24E18" w:rsidP="000E18B5">
            <w:pPr>
              <w:spacing w:after="0" w:line="240" w:lineRule="auto"/>
              <w:jc w:val="right"/>
              <w:rPr>
                <w:rFonts w:ascii="Arial" w:eastAsia="Times New Roman" w:hAnsi="Arial" w:cs="Arial"/>
                <w:color w:val="000000"/>
                <w:sz w:val="18"/>
                <w:szCs w:val="18"/>
                <w:lang w:eastAsia="sl-SI"/>
              </w:rPr>
            </w:pPr>
          </w:p>
        </w:tc>
      </w:tr>
    </w:tbl>
    <w:p w14:paraId="3897E1DF" w14:textId="77777777" w:rsidR="00F24E18" w:rsidRPr="00242E41" w:rsidRDefault="00F24E18" w:rsidP="00F24E18">
      <w:pPr>
        <w:spacing w:after="0" w:line="240" w:lineRule="auto"/>
        <w:jc w:val="both"/>
        <w:rPr>
          <w:rFonts w:ascii="Arial" w:hAnsi="Arial" w:cs="Arial"/>
          <w:sz w:val="20"/>
          <w:highlight w:val="yellow"/>
        </w:rPr>
      </w:pPr>
    </w:p>
    <w:p w14:paraId="35C0EE5F" w14:textId="77777777" w:rsidR="00F24E18" w:rsidRPr="00242E41" w:rsidRDefault="00F24E18" w:rsidP="00F24E18">
      <w:pPr>
        <w:spacing w:before="120" w:after="0" w:line="240" w:lineRule="auto"/>
        <w:jc w:val="both"/>
        <w:rPr>
          <w:rFonts w:ascii="Arial" w:hAnsi="Arial" w:cs="Arial"/>
          <w:sz w:val="20"/>
          <w:highlight w:val="yellow"/>
        </w:rPr>
      </w:pPr>
    </w:p>
    <w:p w14:paraId="45857B7E" w14:textId="77777777" w:rsidR="00F24E18" w:rsidRPr="00242E41" w:rsidRDefault="00F24E18" w:rsidP="00F24E18">
      <w:pPr>
        <w:spacing w:before="120" w:after="0" w:line="240" w:lineRule="auto"/>
        <w:jc w:val="both"/>
        <w:rPr>
          <w:rFonts w:ascii="Arial" w:hAnsi="Arial" w:cs="Arial"/>
          <w:sz w:val="20"/>
          <w:highlight w:val="yellow"/>
        </w:rPr>
      </w:pPr>
    </w:p>
    <w:p w14:paraId="2CDF6778" w14:textId="77777777" w:rsidR="00F24E18" w:rsidRPr="00242E41" w:rsidRDefault="00F24E18" w:rsidP="00F24E18">
      <w:pPr>
        <w:spacing w:before="120" w:after="0" w:line="240" w:lineRule="auto"/>
        <w:jc w:val="both"/>
        <w:rPr>
          <w:rFonts w:ascii="Arial" w:hAnsi="Arial" w:cs="Arial"/>
          <w:sz w:val="20"/>
          <w:highlight w:val="yellow"/>
        </w:rPr>
      </w:pPr>
    </w:p>
    <w:p w14:paraId="11912024" w14:textId="77777777" w:rsidR="00F24E18" w:rsidRPr="00CF4263" w:rsidRDefault="00F24E18" w:rsidP="00F24E18">
      <w:pPr>
        <w:spacing w:before="120" w:after="0" w:line="240" w:lineRule="auto"/>
        <w:jc w:val="both"/>
        <w:rPr>
          <w:rFonts w:ascii="Arial" w:hAnsi="Arial" w:cs="Arial"/>
          <w:sz w:val="20"/>
        </w:rPr>
      </w:pPr>
      <w:r w:rsidRPr="00CF4263">
        <w:rPr>
          <w:rFonts w:ascii="Arial" w:hAnsi="Arial" w:cs="Arial"/>
          <w:sz w:val="20"/>
        </w:rPr>
        <w:t>Preglednica 65: Naročila, objavljena na portalu javnih naročil in v Uradnem listu Evropske unije glede na področje in predmet naročanja</w:t>
      </w:r>
    </w:p>
    <w:p w14:paraId="078ACBBD" w14:textId="77777777" w:rsidR="00F24E18" w:rsidRPr="00CF4263" w:rsidRDefault="00F24E18" w:rsidP="00F24E18">
      <w:pPr>
        <w:spacing w:after="0" w:line="240" w:lineRule="auto"/>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1560"/>
        <w:gridCol w:w="1560"/>
        <w:gridCol w:w="2029"/>
        <w:gridCol w:w="1094"/>
        <w:gridCol w:w="1095"/>
      </w:tblGrid>
      <w:tr w:rsidR="00F24E18" w:rsidRPr="00CF4263" w14:paraId="6292E6BC" w14:textId="77777777" w:rsidTr="000E18B5">
        <w:trPr>
          <w:trHeight w:val="720"/>
          <w:tblHeader/>
        </w:trPr>
        <w:tc>
          <w:tcPr>
            <w:tcW w:w="1001" w:type="pct"/>
            <w:shd w:val="clear" w:color="000000" w:fill="F2F2F2"/>
            <w:vAlign w:val="center"/>
            <w:hideMark/>
          </w:tcPr>
          <w:p w14:paraId="72B6D026"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Področje</w:t>
            </w:r>
          </w:p>
        </w:tc>
        <w:tc>
          <w:tcPr>
            <w:tcW w:w="850" w:type="pct"/>
            <w:shd w:val="clear" w:color="000000" w:fill="F2F2F2"/>
            <w:vAlign w:val="center"/>
            <w:hideMark/>
          </w:tcPr>
          <w:p w14:paraId="6A5C2E60"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 xml:space="preserve">Predmet </w:t>
            </w:r>
          </w:p>
        </w:tc>
        <w:tc>
          <w:tcPr>
            <w:tcW w:w="850" w:type="pct"/>
            <w:shd w:val="clear" w:color="000000" w:fill="F2F2F2"/>
            <w:vAlign w:val="center"/>
            <w:hideMark/>
          </w:tcPr>
          <w:p w14:paraId="6D6BFA5B"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naročil</w:t>
            </w:r>
          </w:p>
        </w:tc>
        <w:tc>
          <w:tcPr>
            <w:tcW w:w="1106" w:type="pct"/>
            <w:shd w:val="clear" w:color="000000" w:fill="F2F2F2"/>
            <w:vAlign w:val="center"/>
            <w:hideMark/>
          </w:tcPr>
          <w:p w14:paraId="62705AF6"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Pogodbena vrednost</w:t>
            </w:r>
          </w:p>
        </w:tc>
        <w:tc>
          <w:tcPr>
            <w:tcW w:w="596" w:type="pct"/>
            <w:shd w:val="clear" w:color="000000" w:fill="F2F2F2"/>
            <w:vAlign w:val="center"/>
            <w:hideMark/>
          </w:tcPr>
          <w:p w14:paraId="0B5E6A69"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v št. naročil</w:t>
            </w:r>
          </w:p>
        </w:tc>
        <w:tc>
          <w:tcPr>
            <w:tcW w:w="597" w:type="pct"/>
            <w:shd w:val="clear" w:color="000000" w:fill="F2F2F2"/>
            <w:vAlign w:val="center"/>
            <w:hideMark/>
          </w:tcPr>
          <w:p w14:paraId="4024E5DB"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vrednosti naročil</w:t>
            </w:r>
          </w:p>
        </w:tc>
      </w:tr>
      <w:tr w:rsidR="00F24E18" w:rsidRPr="00CF4263" w14:paraId="4172F329" w14:textId="77777777" w:rsidTr="000E18B5">
        <w:trPr>
          <w:trHeight w:val="300"/>
        </w:trPr>
        <w:tc>
          <w:tcPr>
            <w:tcW w:w="1001" w:type="pct"/>
            <w:vMerge w:val="restart"/>
            <w:shd w:val="clear" w:color="auto" w:fill="auto"/>
            <w:vAlign w:val="center"/>
            <w:hideMark/>
          </w:tcPr>
          <w:p w14:paraId="38AAB4E1"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Splošno</w:t>
            </w:r>
          </w:p>
        </w:tc>
        <w:tc>
          <w:tcPr>
            <w:tcW w:w="850" w:type="pct"/>
            <w:shd w:val="clear" w:color="auto" w:fill="auto"/>
            <w:vAlign w:val="center"/>
            <w:hideMark/>
          </w:tcPr>
          <w:p w14:paraId="07E9FBE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850" w:type="pct"/>
            <w:shd w:val="clear" w:color="auto" w:fill="auto"/>
            <w:vAlign w:val="center"/>
            <w:hideMark/>
          </w:tcPr>
          <w:p w14:paraId="3670759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6.638</w:t>
            </w:r>
          </w:p>
        </w:tc>
        <w:tc>
          <w:tcPr>
            <w:tcW w:w="1106" w:type="pct"/>
            <w:shd w:val="clear" w:color="auto" w:fill="auto"/>
            <w:vAlign w:val="center"/>
            <w:hideMark/>
          </w:tcPr>
          <w:p w14:paraId="135B60E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1.750.737.234</w:t>
            </w:r>
          </w:p>
        </w:tc>
        <w:tc>
          <w:tcPr>
            <w:tcW w:w="596" w:type="pct"/>
            <w:shd w:val="clear" w:color="auto" w:fill="auto"/>
            <w:noWrap/>
            <w:vAlign w:val="center"/>
            <w:hideMark/>
          </w:tcPr>
          <w:p w14:paraId="33A0F88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75,36 %</w:t>
            </w:r>
          </w:p>
        </w:tc>
        <w:tc>
          <w:tcPr>
            <w:tcW w:w="597" w:type="pct"/>
            <w:shd w:val="clear" w:color="auto" w:fill="auto"/>
            <w:noWrap/>
            <w:vAlign w:val="center"/>
            <w:hideMark/>
          </w:tcPr>
          <w:p w14:paraId="416B038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45,10 %</w:t>
            </w:r>
          </w:p>
        </w:tc>
      </w:tr>
      <w:tr w:rsidR="00F24E18" w:rsidRPr="00CF4263" w14:paraId="70932E27" w14:textId="77777777" w:rsidTr="000E18B5">
        <w:trPr>
          <w:trHeight w:val="300"/>
        </w:trPr>
        <w:tc>
          <w:tcPr>
            <w:tcW w:w="1001" w:type="pct"/>
            <w:vMerge/>
            <w:vAlign w:val="center"/>
            <w:hideMark/>
          </w:tcPr>
          <w:p w14:paraId="71E750AC"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520EBC1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850" w:type="pct"/>
            <w:shd w:val="clear" w:color="auto" w:fill="auto"/>
            <w:vAlign w:val="center"/>
            <w:hideMark/>
          </w:tcPr>
          <w:p w14:paraId="1A527D8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2.098</w:t>
            </w:r>
          </w:p>
        </w:tc>
        <w:tc>
          <w:tcPr>
            <w:tcW w:w="1106" w:type="pct"/>
            <w:shd w:val="clear" w:color="auto" w:fill="auto"/>
            <w:vAlign w:val="center"/>
            <w:hideMark/>
          </w:tcPr>
          <w:p w14:paraId="69A635E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1.681.152.158</w:t>
            </w:r>
          </w:p>
        </w:tc>
        <w:tc>
          <w:tcPr>
            <w:tcW w:w="596" w:type="pct"/>
            <w:shd w:val="clear" w:color="auto" w:fill="auto"/>
            <w:noWrap/>
            <w:vAlign w:val="center"/>
            <w:hideMark/>
          </w:tcPr>
          <w:p w14:paraId="286DB50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23,82 %</w:t>
            </w:r>
          </w:p>
        </w:tc>
        <w:tc>
          <w:tcPr>
            <w:tcW w:w="597" w:type="pct"/>
            <w:shd w:val="clear" w:color="auto" w:fill="auto"/>
            <w:noWrap/>
            <w:vAlign w:val="center"/>
            <w:hideMark/>
          </w:tcPr>
          <w:p w14:paraId="13C7BC6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43,30 %</w:t>
            </w:r>
          </w:p>
        </w:tc>
      </w:tr>
      <w:tr w:rsidR="00F24E18" w:rsidRPr="00CF4263" w14:paraId="70A5D971" w14:textId="77777777" w:rsidTr="000E18B5">
        <w:trPr>
          <w:trHeight w:val="300"/>
        </w:trPr>
        <w:tc>
          <w:tcPr>
            <w:tcW w:w="1001" w:type="pct"/>
            <w:vMerge/>
            <w:vAlign w:val="center"/>
            <w:hideMark/>
          </w:tcPr>
          <w:p w14:paraId="595E8899"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1AAB4E4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Gradnje</w:t>
            </w:r>
          </w:p>
        </w:tc>
        <w:tc>
          <w:tcPr>
            <w:tcW w:w="850" w:type="pct"/>
            <w:shd w:val="clear" w:color="auto" w:fill="auto"/>
            <w:vAlign w:val="center"/>
            <w:hideMark/>
          </w:tcPr>
          <w:p w14:paraId="38E75EA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72</w:t>
            </w:r>
          </w:p>
        </w:tc>
        <w:tc>
          <w:tcPr>
            <w:tcW w:w="1106" w:type="pct"/>
            <w:shd w:val="clear" w:color="auto" w:fill="auto"/>
            <w:vAlign w:val="center"/>
            <w:hideMark/>
          </w:tcPr>
          <w:p w14:paraId="1F25EFA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450.352.871</w:t>
            </w:r>
          </w:p>
        </w:tc>
        <w:tc>
          <w:tcPr>
            <w:tcW w:w="596" w:type="pct"/>
            <w:shd w:val="clear" w:color="auto" w:fill="auto"/>
            <w:noWrap/>
            <w:vAlign w:val="center"/>
            <w:hideMark/>
          </w:tcPr>
          <w:p w14:paraId="0D669C4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0,82 %</w:t>
            </w:r>
          </w:p>
        </w:tc>
        <w:tc>
          <w:tcPr>
            <w:tcW w:w="597" w:type="pct"/>
            <w:shd w:val="clear" w:color="auto" w:fill="auto"/>
            <w:noWrap/>
            <w:vAlign w:val="center"/>
            <w:hideMark/>
          </w:tcPr>
          <w:p w14:paraId="348515E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11,60 %</w:t>
            </w:r>
          </w:p>
        </w:tc>
      </w:tr>
      <w:tr w:rsidR="00F24E18" w:rsidRPr="00CF4263" w14:paraId="51DC8E34" w14:textId="77777777" w:rsidTr="000E18B5">
        <w:trPr>
          <w:trHeight w:val="300"/>
        </w:trPr>
        <w:tc>
          <w:tcPr>
            <w:tcW w:w="1001" w:type="pct"/>
            <w:vMerge/>
            <w:vAlign w:val="center"/>
            <w:hideMark/>
          </w:tcPr>
          <w:p w14:paraId="2593A96E"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2CD7B1A9"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850" w:type="pct"/>
            <w:shd w:val="clear" w:color="auto" w:fill="auto"/>
            <w:vAlign w:val="center"/>
            <w:hideMark/>
          </w:tcPr>
          <w:p w14:paraId="69C76BEC"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8.808</w:t>
            </w:r>
          </w:p>
        </w:tc>
        <w:tc>
          <w:tcPr>
            <w:tcW w:w="1106" w:type="pct"/>
            <w:shd w:val="clear" w:color="auto" w:fill="auto"/>
            <w:vAlign w:val="center"/>
            <w:hideMark/>
          </w:tcPr>
          <w:p w14:paraId="22841A2C"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3.882.242.263</w:t>
            </w:r>
          </w:p>
        </w:tc>
        <w:tc>
          <w:tcPr>
            <w:tcW w:w="596" w:type="pct"/>
            <w:shd w:val="clear" w:color="auto" w:fill="auto"/>
            <w:noWrap/>
            <w:vAlign w:val="center"/>
            <w:hideMark/>
          </w:tcPr>
          <w:p w14:paraId="40ECD0DE"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c>
          <w:tcPr>
            <w:tcW w:w="597" w:type="pct"/>
            <w:shd w:val="clear" w:color="auto" w:fill="auto"/>
            <w:noWrap/>
            <w:vAlign w:val="center"/>
            <w:hideMark/>
          </w:tcPr>
          <w:p w14:paraId="5815A80B"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r>
      <w:tr w:rsidR="00F24E18" w:rsidRPr="00CF4263" w14:paraId="3C26C66D" w14:textId="77777777" w:rsidTr="000E18B5">
        <w:trPr>
          <w:trHeight w:val="300"/>
        </w:trPr>
        <w:tc>
          <w:tcPr>
            <w:tcW w:w="1001" w:type="pct"/>
            <w:vMerge w:val="restart"/>
            <w:shd w:val="clear" w:color="auto" w:fill="auto"/>
            <w:vAlign w:val="center"/>
            <w:hideMark/>
          </w:tcPr>
          <w:p w14:paraId="1548436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Infrastrukturno</w:t>
            </w:r>
          </w:p>
        </w:tc>
        <w:tc>
          <w:tcPr>
            <w:tcW w:w="850" w:type="pct"/>
            <w:shd w:val="clear" w:color="auto" w:fill="auto"/>
            <w:vAlign w:val="center"/>
            <w:hideMark/>
          </w:tcPr>
          <w:p w14:paraId="104F5A9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850" w:type="pct"/>
            <w:shd w:val="clear" w:color="auto" w:fill="auto"/>
            <w:vAlign w:val="center"/>
            <w:hideMark/>
          </w:tcPr>
          <w:p w14:paraId="4F53B40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565</w:t>
            </w:r>
          </w:p>
        </w:tc>
        <w:tc>
          <w:tcPr>
            <w:tcW w:w="1106" w:type="pct"/>
            <w:shd w:val="clear" w:color="auto" w:fill="auto"/>
            <w:vAlign w:val="center"/>
            <w:hideMark/>
          </w:tcPr>
          <w:p w14:paraId="592DD0C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560.441.645</w:t>
            </w:r>
          </w:p>
        </w:tc>
        <w:tc>
          <w:tcPr>
            <w:tcW w:w="596" w:type="pct"/>
            <w:shd w:val="clear" w:color="auto" w:fill="auto"/>
            <w:noWrap/>
            <w:vAlign w:val="center"/>
            <w:hideMark/>
          </w:tcPr>
          <w:p w14:paraId="4DAF152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55,01 %</w:t>
            </w:r>
          </w:p>
        </w:tc>
        <w:tc>
          <w:tcPr>
            <w:tcW w:w="597" w:type="pct"/>
            <w:shd w:val="clear" w:color="auto" w:fill="auto"/>
            <w:noWrap/>
            <w:vAlign w:val="center"/>
            <w:hideMark/>
          </w:tcPr>
          <w:p w14:paraId="50CBF94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44,91 %</w:t>
            </w:r>
          </w:p>
        </w:tc>
      </w:tr>
      <w:tr w:rsidR="00F24E18" w:rsidRPr="00CF4263" w14:paraId="12E18A11" w14:textId="77777777" w:rsidTr="000E18B5">
        <w:trPr>
          <w:trHeight w:val="300"/>
        </w:trPr>
        <w:tc>
          <w:tcPr>
            <w:tcW w:w="1001" w:type="pct"/>
            <w:vMerge/>
            <w:vAlign w:val="center"/>
            <w:hideMark/>
          </w:tcPr>
          <w:p w14:paraId="36970ED4"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5C209C9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850" w:type="pct"/>
            <w:shd w:val="clear" w:color="auto" w:fill="auto"/>
            <w:vAlign w:val="center"/>
            <w:hideMark/>
          </w:tcPr>
          <w:p w14:paraId="6A23B12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348</w:t>
            </w:r>
          </w:p>
        </w:tc>
        <w:tc>
          <w:tcPr>
            <w:tcW w:w="1106" w:type="pct"/>
            <w:shd w:val="clear" w:color="auto" w:fill="auto"/>
            <w:vAlign w:val="center"/>
            <w:hideMark/>
          </w:tcPr>
          <w:p w14:paraId="764F373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292.926.040</w:t>
            </w:r>
          </w:p>
        </w:tc>
        <w:tc>
          <w:tcPr>
            <w:tcW w:w="596" w:type="pct"/>
            <w:shd w:val="clear" w:color="auto" w:fill="auto"/>
            <w:noWrap/>
            <w:vAlign w:val="center"/>
            <w:hideMark/>
          </w:tcPr>
          <w:p w14:paraId="58075A2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33,89 %</w:t>
            </w:r>
          </w:p>
        </w:tc>
        <w:tc>
          <w:tcPr>
            <w:tcW w:w="597" w:type="pct"/>
            <w:shd w:val="clear" w:color="auto" w:fill="auto"/>
            <w:noWrap/>
            <w:vAlign w:val="center"/>
            <w:hideMark/>
          </w:tcPr>
          <w:p w14:paraId="2D1B7EF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23,47 %</w:t>
            </w:r>
          </w:p>
        </w:tc>
      </w:tr>
      <w:tr w:rsidR="00F24E18" w:rsidRPr="00CF4263" w14:paraId="0C2ECC70" w14:textId="77777777" w:rsidTr="000E18B5">
        <w:trPr>
          <w:trHeight w:val="300"/>
        </w:trPr>
        <w:tc>
          <w:tcPr>
            <w:tcW w:w="1001" w:type="pct"/>
            <w:vMerge/>
            <w:vAlign w:val="center"/>
            <w:hideMark/>
          </w:tcPr>
          <w:p w14:paraId="717A6F96"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0117BD4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Gradnje</w:t>
            </w:r>
          </w:p>
        </w:tc>
        <w:tc>
          <w:tcPr>
            <w:tcW w:w="850" w:type="pct"/>
            <w:shd w:val="clear" w:color="auto" w:fill="auto"/>
            <w:vAlign w:val="center"/>
            <w:hideMark/>
          </w:tcPr>
          <w:p w14:paraId="06C573A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114</w:t>
            </w:r>
          </w:p>
        </w:tc>
        <w:tc>
          <w:tcPr>
            <w:tcW w:w="1106" w:type="pct"/>
            <w:shd w:val="clear" w:color="auto" w:fill="auto"/>
            <w:vAlign w:val="center"/>
            <w:hideMark/>
          </w:tcPr>
          <w:p w14:paraId="5FF2E19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394.497.416</w:t>
            </w:r>
          </w:p>
        </w:tc>
        <w:tc>
          <w:tcPr>
            <w:tcW w:w="596" w:type="pct"/>
            <w:shd w:val="clear" w:color="auto" w:fill="auto"/>
            <w:noWrap/>
            <w:vAlign w:val="center"/>
            <w:hideMark/>
          </w:tcPr>
          <w:p w14:paraId="03C4BF2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11,10 %</w:t>
            </w:r>
          </w:p>
        </w:tc>
        <w:tc>
          <w:tcPr>
            <w:tcW w:w="597" w:type="pct"/>
            <w:shd w:val="clear" w:color="auto" w:fill="auto"/>
            <w:noWrap/>
            <w:vAlign w:val="center"/>
            <w:hideMark/>
          </w:tcPr>
          <w:p w14:paraId="2DE6D96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31,61 %</w:t>
            </w:r>
          </w:p>
        </w:tc>
      </w:tr>
      <w:tr w:rsidR="00F24E18" w:rsidRPr="00CF4263" w14:paraId="6EE73E28" w14:textId="77777777" w:rsidTr="000E18B5">
        <w:trPr>
          <w:trHeight w:val="300"/>
        </w:trPr>
        <w:tc>
          <w:tcPr>
            <w:tcW w:w="1001" w:type="pct"/>
            <w:vMerge/>
            <w:vAlign w:val="center"/>
            <w:hideMark/>
          </w:tcPr>
          <w:p w14:paraId="7A65A8DE"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290C5817"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850" w:type="pct"/>
            <w:shd w:val="clear" w:color="auto" w:fill="auto"/>
            <w:vAlign w:val="center"/>
            <w:hideMark/>
          </w:tcPr>
          <w:p w14:paraId="599C458B"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1.027</w:t>
            </w:r>
          </w:p>
        </w:tc>
        <w:tc>
          <w:tcPr>
            <w:tcW w:w="1106" w:type="pct"/>
            <w:shd w:val="clear" w:color="auto" w:fill="auto"/>
            <w:vAlign w:val="center"/>
            <w:hideMark/>
          </w:tcPr>
          <w:p w14:paraId="5B24C182"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1.247.865.101</w:t>
            </w:r>
          </w:p>
        </w:tc>
        <w:tc>
          <w:tcPr>
            <w:tcW w:w="596" w:type="pct"/>
            <w:shd w:val="clear" w:color="auto" w:fill="auto"/>
            <w:noWrap/>
            <w:vAlign w:val="center"/>
            <w:hideMark/>
          </w:tcPr>
          <w:p w14:paraId="2C20742A"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c>
          <w:tcPr>
            <w:tcW w:w="597" w:type="pct"/>
            <w:shd w:val="clear" w:color="auto" w:fill="auto"/>
            <w:noWrap/>
            <w:vAlign w:val="center"/>
            <w:hideMark/>
          </w:tcPr>
          <w:p w14:paraId="74154439"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r>
      <w:tr w:rsidR="00F24E18" w:rsidRPr="00CF4263" w14:paraId="69B07F6C" w14:textId="77777777" w:rsidTr="000E18B5">
        <w:trPr>
          <w:trHeight w:val="300"/>
        </w:trPr>
        <w:tc>
          <w:tcPr>
            <w:tcW w:w="1001" w:type="pct"/>
            <w:vMerge w:val="restart"/>
            <w:shd w:val="clear" w:color="auto" w:fill="auto"/>
            <w:vAlign w:val="center"/>
            <w:hideMark/>
          </w:tcPr>
          <w:p w14:paraId="384883A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Obrambno</w:t>
            </w:r>
          </w:p>
        </w:tc>
        <w:tc>
          <w:tcPr>
            <w:tcW w:w="850" w:type="pct"/>
            <w:shd w:val="clear" w:color="auto" w:fill="auto"/>
            <w:vAlign w:val="center"/>
            <w:hideMark/>
          </w:tcPr>
          <w:p w14:paraId="50F0B3D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850" w:type="pct"/>
            <w:shd w:val="clear" w:color="auto" w:fill="auto"/>
            <w:vAlign w:val="center"/>
            <w:hideMark/>
          </w:tcPr>
          <w:p w14:paraId="3D30A5E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50</w:t>
            </w:r>
          </w:p>
        </w:tc>
        <w:tc>
          <w:tcPr>
            <w:tcW w:w="1106" w:type="pct"/>
            <w:shd w:val="clear" w:color="auto" w:fill="auto"/>
            <w:vAlign w:val="center"/>
            <w:hideMark/>
          </w:tcPr>
          <w:p w14:paraId="0E58BA5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99.099.062</w:t>
            </w:r>
          </w:p>
        </w:tc>
        <w:tc>
          <w:tcPr>
            <w:tcW w:w="596" w:type="pct"/>
            <w:shd w:val="clear" w:color="auto" w:fill="auto"/>
            <w:noWrap/>
            <w:vAlign w:val="center"/>
            <w:hideMark/>
          </w:tcPr>
          <w:p w14:paraId="7CF0D937"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76,92 %</w:t>
            </w:r>
          </w:p>
        </w:tc>
        <w:tc>
          <w:tcPr>
            <w:tcW w:w="597" w:type="pct"/>
            <w:shd w:val="clear" w:color="auto" w:fill="auto"/>
            <w:noWrap/>
            <w:vAlign w:val="center"/>
            <w:hideMark/>
          </w:tcPr>
          <w:p w14:paraId="3ECA15B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70,38 %</w:t>
            </w:r>
          </w:p>
        </w:tc>
      </w:tr>
      <w:tr w:rsidR="00F24E18" w:rsidRPr="00CF4263" w14:paraId="3D542FEB" w14:textId="77777777" w:rsidTr="000E18B5">
        <w:trPr>
          <w:trHeight w:val="300"/>
        </w:trPr>
        <w:tc>
          <w:tcPr>
            <w:tcW w:w="1001" w:type="pct"/>
            <w:vMerge/>
            <w:vAlign w:val="center"/>
            <w:hideMark/>
          </w:tcPr>
          <w:p w14:paraId="33153FEE"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5142644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850" w:type="pct"/>
            <w:shd w:val="clear" w:color="auto" w:fill="auto"/>
            <w:vAlign w:val="center"/>
            <w:hideMark/>
          </w:tcPr>
          <w:p w14:paraId="7B0ECBD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15</w:t>
            </w:r>
          </w:p>
        </w:tc>
        <w:tc>
          <w:tcPr>
            <w:tcW w:w="1106" w:type="pct"/>
            <w:shd w:val="clear" w:color="auto" w:fill="auto"/>
            <w:vAlign w:val="center"/>
            <w:hideMark/>
          </w:tcPr>
          <w:p w14:paraId="01ADF5B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41.706.790</w:t>
            </w:r>
          </w:p>
        </w:tc>
        <w:tc>
          <w:tcPr>
            <w:tcW w:w="596" w:type="pct"/>
            <w:shd w:val="clear" w:color="auto" w:fill="auto"/>
            <w:noWrap/>
            <w:vAlign w:val="center"/>
            <w:hideMark/>
          </w:tcPr>
          <w:p w14:paraId="09B7E01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23,08 %</w:t>
            </w:r>
          </w:p>
        </w:tc>
        <w:tc>
          <w:tcPr>
            <w:tcW w:w="597" w:type="pct"/>
            <w:shd w:val="clear" w:color="auto" w:fill="auto"/>
            <w:noWrap/>
            <w:vAlign w:val="center"/>
            <w:hideMark/>
          </w:tcPr>
          <w:p w14:paraId="6E1BD8A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29,62 %</w:t>
            </w:r>
          </w:p>
        </w:tc>
      </w:tr>
      <w:tr w:rsidR="00F24E18" w:rsidRPr="00CF4263" w14:paraId="380DA2D5" w14:textId="77777777" w:rsidTr="000E18B5">
        <w:trPr>
          <w:trHeight w:val="300"/>
        </w:trPr>
        <w:tc>
          <w:tcPr>
            <w:tcW w:w="1001" w:type="pct"/>
            <w:vMerge/>
            <w:vAlign w:val="center"/>
            <w:hideMark/>
          </w:tcPr>
          <w:p w14:paraId="61BF1539"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850" w:type="pct"/>
            <w:shd w:val="clear" w:color="auto" w:fill="auto"/>
            <w:vAlign w:val="center"/>
            <w:hideMark/>
          </w:tcPr>
          <w:p w14:paraId="7A9E1727"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850" w:type="pct"/>
            <w:shd w:val="clear" w:color="auto" w:fill="auto"/>
            <w:vAlign w:val="center"/>
            <w:hideMark/>
          </w:tcPr>
          <w:p w14:paraId="1DEB1F24"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65</w:t>
            </w:r>
          </w:p>
        </w:tc>
        <w:tc>
          <w:tcPr>
            <w:tcW w:w="1106" w:type="pct"/>
            <w:shd w:val="clear" w:color="auto" w:fill="auto"/>
            <w:vAlign w:val="center"/>
            <w:hideMark/>
          </w:tcPr>
          <w:p w14:paraId="6016782D"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140.805.852</w:t>
            </w:r>
          </w:p>
        </w:tc>
        <w:tc>
          <w:tcPr>
            <w:tcW w:w="596" w:type="pct"/>
            <w:shd w:val="clear" w:color="auto" w:fill="auto"/>
            <w:noWrap/>
            <w:vAlign w:val="center"/>
            <w:hideMark/>
          </w:tcPr>
          <w:p w14:paraId="590D36DB"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c>
          <w:tcPr>
            <w:tcW w:w="597" w:type="pct"/>
            <w:shd w:val="clear" w:color="auto" w:fill="auto"/>
            <w:noWrap/>
            <w:vAlign w:val="center"/>
            <w:hideMark/>
          </w:tcPr>
          <w:p w14:paraId="6AFE4799"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r>
      <w:tr w:rsidR="00F24E18" w:rsidRPr="00CF4263" w14:paraId="2F08EAD4" w14:textId="77777777" w:rsidTr="000E18B5">
        <w:trPr>
          <w:gridAfter w:val="2"/>
          <w:wAfter w:w="1193" w:type="pct"/>
          <w:trHeight w:val="300"/>
        </w:trPr>
        <w:tc>
          <w:tcPr>
            <w:tcW w:w="1851" w:type="pct"/>
            <w:gridSpan w:val="2"/>
            <w:shd w:val="clear" w:color="auto" w:fill="F2F2F2" w:themeFill="background1" w:themeFillShade="F2"/>
            <w:vAlign w:val="center"/>
            <w:hideMark/>
          </w:tcPr>
          <w:p w14:paraId="7E2C8EBB"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850" w:type="pct"/>
            <w:shd w:val="clear" w:color="auto" w:fill="F2F2F2" w:themeFill="background1" w:themeFillShade="F2"/>
            <w:vAlign w:val="center"/>
            <w:hideMark/>
          </w:tcPr>
          <w:p w14:paraId="0E6C9578"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9.900</w:t>
            </w:r>
          </w:p>
        </w:tc>
        <w:tc>
          <w:tcPr>
            <w:tcW w:w="1106" w:type="pct"/>
            <w:shd w:val="clear" w:color="auto" w:fill="F2F2F2" w:themeFill="background1" w:themeFillShade="F2"/>
            <w:vAlign w:val="center"/>
            <w:hideMark/>
          </w:tcPr>
          <w:p w14:paraId="76AEE80B" w14:textId="77777777" w:rsidR="00F24E18" w:rsidRPr="00CF4263" w:rsidRDefault="00F24E18" w:rsidP="000E18B5">
            <w:pPr>
              <w:spacing w:after="0"/>
              <w:jc w:val="right"/>
              <w:rPr>
                <w:rFonts w:ascii="Arial" w:hAnsi="Arial" w:cs="Arial"/>
                <w:b/>
                <w:bCs/>
                <w:color w:val="000000"/>
                <w:sz w:val="18"/>
                <w:szCs w:val="18"/>
              </w:rPr>
            </w:pPr>
            <w:r w:rsidRPr="00CF4263">
              <w:rPr>
                <w:rFonts w:ascii="Arial" w:hAnsi="Arial" w:cs="Arial"/>
                <w:b/>
                <w:bCs/>
                <w:color w:val="000000"/>
                <w:sz w:val="18"/>
                <w:szCs w:val="18"/>
              </w:rPr>
              <w:t>5.270.913.216</w:t>
            </w:r>
          </w:p>
        </w:tc>
      </w:tr>
    </w:tbl>
    <w:p w14:paraId="0425922C" w14:textId="77777777" w:rsidR="00F24E18" w:rsidRPr="00CF4263" w:rsidRDefault="00F24E18" w:rsidP="00F24E18">
      <w:pPr>
        <w:spacing w:before="120" w:after="120" w:line="240" w:lineRule="auto"/>
        <w:jc w:val="both"/>
        <w:rPr>
          <w:rFonts w:ascii="Arial" w:hAnsi="Arial" w:cs="Arial"/>
          <w:sz w:val="20"/>
        </w:rPr>
      </w:pPr>
    </w:p>
    <w:p w14:paraId="30655C94" w14:textId="77777777" w:rsidR="00F24E18" w:rsidRPr="00CF4263" w:rsidRDefault="00F24E18" w:rsidP="00F24E18">
      <w:pPr>
        <w:spacing w:before="120" w:after="0" w:line="240" w:lineRule="auto"/>
        <w:jc w:val="both"/>
        <w:rPr>
          <w:rFonts w:ascii="Arial" w:hAnsi="Arial" w:cs="Arial"/>
          <w:sz w:val="20"/>
        </w:rPr>
      </w:pPr>
      <w:r w:rsidRPr="00CF4263">
        <w:rPr>
          <w:rFonts w:ascii="Arial" w:hAnsi="Arial" w:cs="Arial"/>
          <w:sz w:val="20"/>
        </w:rPr>
        <w:t xml:space="preserve">Preglednica 66: Naročila, objavljena na portalu javnih naročil in v Uradnem listu Evropske unije glede na področje in vrsto postopka </w:t>
      </w:r>
    </w:p>
    <w:p w14:paraId="3B9D7541"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301"/>
        <w:gridCol w:w="3707"/>
        <w:gridCol w:w="903"/>
        <w:gridCol w:w="1431"/>
        <w:gridCol w:w="916"/>
        <w:gridCol w:w="916"/>
      </w:tblGrid>
      <w:tr w:rsidR="00F24E18" w:rsidRPr="00CF4263" w14:paraId="68606810" w14:textId="77777777" w:rsidTr="000E18B5">
        <w:trPr>
          <w:trHeight w:val="720"/>
        </w:trPr>
        <w:tc>
          <w:tcPr>
            <w:tcW w:w="70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2A81023"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Področje</w:t>
            </w:r>
          </w:p>
        </w:tc>
        <w:tc>
          <w:tcPr>
            <w:tcW w:w="2021" w:type="pct"/>
            <w:tcBorders>
              <w:top w:val="single" w:sz="4" w:space="0" w:color="auto"/>
              <w:left w:val="nil"/>
              <w:bottom w:val="single" w:sz="4" w:space="0" w:color="auto"/>
              <w:right w:val="single" w:sz="4" w:space="0" w:color="auto"/>
            </w:tcBorders>
            <w:shd w:val="clear" w:color="000000" w:fill="F2F2F2"/>
            <w:vAlign w:val="center"/>
            <w:hideMark/>
          </w:tcPr>
          <w:p w14:paraId="247FDA2B"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Vrsta postopka</w:t>
            </w:r>
          </w:p>
        </w:tc>
        <w:tc>
          <w:tcPr>
            <w:tcW w:w="492" w:type="pct"/>
            <w:tcBorders>
              <w:top w:val="single" w:sz="4" w:space="0" w:color="auto"/>
              <w:left w:val="nil"/>
              <w:bottom w:val="single" w:sz="4" w:space="0" w:color="auto"/>
              <w:right w:val="single" w:sz="4" w:space="0" w:color="auto"/>
            </w:tcBorders>
            <w:shd w:val="clear" w:color="000000" w:fill="F2F2F2"/>
            <w:vAlign w:val="center"/>
            <w:hideMark/>
          </w:tcPr>
          <w:p w14:paraId="57E17A16"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naročil</w:t>
            </w:r>
          </w:p>
        </w:tc>
        <w:tc>
          <w:tcPr>
            <w:tcW w:w="780" w:type="pct"/>
            <w:tcBorders>
              <w:top w:val="single" w:sz="4" w:space="0" w:color="auto"/>
              <w:left w:val="nil"/>
              <w:bottom w:val="single" w:sz="4" w:space="0" w:color="auto"/>
              <w:right w:val="single" w:sz="4" w:space="0" w:color="auto"/>
            </w:tcBorders>
            <w:shd w:val="clear" w:color="000000" w:fill="F2F2F2"/>
            <w:vAlign w:val="center"/>
            <w:hideMark/>
          </w:tcPr>
          <w:p w14:paraId="00158F5D"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Pogodbena vrednost</w:t>
            </w:r>
          </w:p>
        </w:tc>
        <w:tc>
          <w:tcPr>
            <w:tcW w:w="499" w:type="pct"/>
            <w:tcBorders>
              <w:top w:val="single" w:sz="4" w:space="0" w:color="auto"/>
              <w:left w:val="nil"/>
              <w:bottom w:val="single" w:sz="4" w:space="0" w:color="auto"/>
              <w:right w:val="single" w:sz="4" w:space="0" w:color="auto"/>
            </w:tcBorders>
            <w:shd w:val="clear" w:color="000000" w:fill="F2F2F2"/>
            <w:vAlign w:val="center"/>
            <w:hideMark/>
          </w:tcPr>
          <w:p w14:paraId="56298F71"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v št. naročil</w:t>
            </w:r>
          </w:p>
        </w:tc>
        <w:tc>
          <w:tcPr>
            <w:tcW w:w="499" w:type="pct"/>
            <w:tcBorders>
              <w:top w:val="single" w:sz="4" w:space="0" w:color="auto"/>
              <w:left w:val="nil"/>
              <w:bottom w:val="single" w:sz="4" w:space="0" w:color="auto"/>
              <w:right w:val="single" w:sz="4" w:space="0" w:color="auto"/>
            </w:tcBorders>
            <w:shd w:val="clear" w:color="000000" w:fill="F2F2F2"/>
            <w:vAlign w:val="center"/>
            <w:hideMark/>
          </w:tcPr>
          <w:p w14:paraId="1370C5C9"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vrednosti naročil</w:t>
            </w:r>
          </w:p>
        </w:tc>
      </w:tr>
      <w:tr w:rsidR="00F24E18" w:rsidRPr="00CF4263" w14:paraId="135B763B"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558528E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Splošno</w:t>
            </w:r>
          </w:p>
        </w:tc>
        <w:tc>
          <w:tcPr>
            <w:tcW w:w="2021" w:type="pct"/>
            <w:tcBorders>
              <w:top w:val="nil"/>
              <w:left w:val="nil"/>
              <w:bottom w:val="single" w:sz="4" w:space="0" w:color="auto"/>
              <w:right w:val="single" w:sz="4" w:space="0" w:color="auto"/>
            </w:tcBorders>
            <w:shd w:val="clear" w:color="auto" w:fill="auto"/>
            <w:vAlign w:val="center"/>
            <w:hideMark/>
          </w:tcPr>
          <w:p w14:paraId="707FA9E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Konkurenčni dialog</w:t>
            </w:r>
          </w:p>
        </w:tc>
        <w:tc>
          <w:tcPr>
            <w:tcW w:w="492" w:type="pct"/>
            <w:tcBorders>
              <w:top w:val="nil"/>
              <w:left w:val="nil"/>
              <w:bottom w:val="single" w:sz="4" w:space="0" w:color="auto"/>
              <w:right w:val="single" w:sz="4" w:space="0" w:color="auto"/>
            </w:tcBorders>
            <w:shd w:val="clear" w:color="auto" w:fill="auto"/>
            <w:vAlign w:val="center"/>
            <w:hideMark/>
          </w:tcPr>
          <w:p w14:paraId="6CA6817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w:t>
            </w:r>
          </w:p>
        </w:tc>
        <w:tc>
          <w:tcPr>
            <w:tcW w:w="780" w:type="pct"/>
            <w:tcBorders>
              <w:top w:val="nil"/>
              <w:left w:val="nil"/>
              <w:bottom w:val="single" w:sz="4" w:space="0" w:color="auto"/>
              <w:right w:val="single" w:sz="4" w:space="0" w:color="auto"/>
            </w:tcBorders>
            <w:shd w:val="clear" w:color="auto" w:fill="auto"/>
            <w:vAlign w:val="center"/>
            <w:hideMark/>
          </w:tcPr>
          <w:p w14:paraId="4AC0F3F7"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9.771.442</w:t>
            </w:r>
          </w:p>
        </w:tc>
        <w:tc>
          <w:tcPr>
            <w:tcW w:w="499" w:type="pct"/>
            <w:tcBorders>
              <w:top w:val="nil"/>
              <w:left w:val="nil"/>
              <w:bottom w:val="single" w:sz="4" w:space="0" w:color="auto"/>
              <w:right w:val="single" w:sz="4" w:space="0" w:color="auto"/>
            </w:tcBorders>
            <w:shd w:val="clear" w:color="auto" w:fill="auto"/>
            <w:noWrap/>
            <w:vAlign w:val="center"/>
            <w:hideMark/>
          </w:tcPr>
          <w:p w14:paraId="675C26D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0,05 %</w:t>
            </w:r>
          </w:p>
        </w:tc>
        <w:tc>
          <w:tcPr>
            <w:tcW w:w="499" w:type="pct"/>
            <w:tcBorders>
              <w:top w:val="nil"/>
              <w:left w:val="nil"/>
              <w:bottom w:val="single" w:sz="4" w:space="0" w:color="auto"/>
              <w:right w:val="single" w:sz="4" w:space="0" w:color="auto"/>
            </w:tcBorders>
            <w:shd w:val="clear" w:color="auto" w:fill="auto"/>
            <w:noWrap/>
            <w:vAlign w:val="center"/>
            <w:hideMark/>
          </w:tcPr>
          <w:p w14:paraId="554A02D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0,25 %</w:t>
            </w:r>
          </w:p>
        </w:tc>
      </w:tr>
      <w:tr w:rsidR="00F24E18" w:rsidRPr="00CF4263" w14:paraId="115AD63B"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36D36889"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675E24F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Konkurenčni postopek s pogajanji</w:t>
            </w:r>
          </w:p>
        </w:tc>
        <w:tc>
          <w:tcPr>
            <w:tcW w:w="492" w:type="pct"/>
            <w:tcBorders>
              <w:top w:val="nil"/>
              <w:left w:val="nil"/>
              <w:bottom w:val="single" w:sz="4" w:space="0" w:color="auto"/>
              <w:right w:val="single" w:sz="4" w:space="0" w:color="auto"/>
            </w:tcBorders>
            <w:shd w:val="clear" w:color="auto" w:fill="auto"/>
            <w:vAlign w:val="center"/>
            <w:hideMark/>
          </w:tcPr>
          <w:p w14:paraId="21BCDF5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138</w:t>
            </w:r>
          </w:p>
        </w:tc>
        <w:tc>
          <w:tcPr>
            <w:tcW w:w="780" w:type="pct"/>
            <w:tcBorders>
              <w:top w:val="nil"/>
              <w:left w:val="nil"/>
              <w:bottom w:val="single" w:sz="4" w:space="0" w:color="auto"/>
              <w:right w:val="single" w:sz="4" w:space="0" w:color="auto"/>
            </w:tcBorders>
            <w:shd w:val="clear" w:color="auto" w:fill="auto"/>
            <w:vAlign w:val="center"/>
            <w:hideMark/>
          </w:tcPr>
          <w:p w14:paraId="65D1BF2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267.570.985</w:t>
            </w:r>
          </w:p>
        </w:tc>
        <w:tc>
          <w:tcPr>
            <w:tcW w:w="499" w:type="pct"/>
            <w:tcBorders>
              <w:top w:val="nil"/>
              <w:left w:val="nil"/>
              <w:bottom w:val="single" w:sz="4" w:space="0" w:color="auto"/>
              <w:right w:val="single" w:sz="4" w:space="0" w:color="auto"/>
            </w:tcBorders>
            <w:shd w:val="clear" w:color="auto" w:fill="auto"/>
            <w:noWrap/>
            <w:vAlign w:val="center"/>
            <w:hideMark/>
          </w:tcPr>
          <w:p w14:paraId="3A9E7F1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1,57 %</w:t>
            </w:r>
          </w:p>
        </w:tc>
        <w:tc>
          <w:tcPr>
            <w:tcW w:w="499" w:type="pct"/>
            <w:tcBorders>
              <w:top w:val="nil"/>
              <w:left w:val="nil"/>
              <w:bottom w:val="single" w:sz="4" w:space="0" w:color="auto"/>
              <w:right w:val="single" w:sz="4" w:space="0" w:color="auto"/>
            </w:tcBorders>
            <w:shd w:val="clear" w:color="auto" w:fill="auto"/>
            <w:noWrap/>
            <w:vAlign w:val="center"/>
            <w:hideMark/>
          </w:tcPr>
          <w:p w14:paraId="6D7DE22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6,89 %</w:t>
            </w:r>
          </w:p>
        </w:tc>
      </w:tr>
      <w:tr w:rsidR="00F24E18" w:rsidRPr="00CF4263" w14:paraId="171DD39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4D94EE7"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7FB4D9F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Odprti postopek</w:t>
            </w:r>
          </w:p>
        </w:tc>
        <w:tc>
          <w:tcPr>
            <w:tcW w:w="492" w:type="pct"/>
            <w:tcBorders>
              <w:top w:val="nil"/>
              <w:left w:val="nil"/>
              <w:bottom w:val="single" w:sz="4" w:space="0" w:color="auto"/>
              <w:right w:val="single" w:sz="4" w:space="0" w:color="auto"/>
            </w:tcBorders>
            <w:shd w:val="clear" w:color="auto" w:fill="auto"/>
            <w:vAlign w:val="center"/>
            <w:hideMark/>
          </w:tcPr>
          <w:p w14:paraId="581AE81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7.958</w:t>
            </w:r>
          </w:p>
        </w:tc>
        <w:tc>
          <w:tcPr>
            <w:tcW w:w="780" w:type="pct"/>
            <w:tcBorders>
              <w:top w:val="nil"/>
              <w:left w:val="nil"/>
              <w:bottom w:val="single" w:sz="4" w:space="0" w:color="auto"/>
              <w:right w:val="single" w:sz="4" w:space="0" w:color="auto"/>
            </w:tcBorders>
            <w:shd w:val="clear" w:color="auto" w:fill="auto"/>
            <w:vAlign w:val="center"/>
            <w:hideMark/>
          </w:tcPr>
          <w:p w14:paraId="1B45C07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2.813.398.648</w:t>
            </w:r>
          </w:p>
        </w:tc>
        <w:tc>
          <w:tcPr>
            <w:tcW w:w="499" w:type="pct"/>
            <w:tcBorders>
              <w:top w:val="nil"/>
              <w:left w:val="nil"/>
              <w:bottom w:val="single" w:sz="4" w:space="0" w:color="auto"/>
              <w:right w:val="single" w:sz="4" w:space="0" w:color="auto"/>
            </w:tcBorders>
            <w:shd w:val="clear" w:color="auto" w:fill="auto"/>
            <w:noWrap/>
            <w:vAlign w:val="center"/>
            <w:hideMark/>
          </w:tcPr>
          <w:p w14:paraId="5DF4C14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90,35 %</w:t>
            </w:r>
          </w:p>
        </w:tc>
        <w:tc>
          <w:tcPr>
            <w:tcW w:w="499" w:type="pct"/>
            <w:tcBorders>
              <w:top w:val="nil"/>
              <w:left w:val="nil"/>
              <w:bottom w:val="single" w:sz="4" w:space="0" w:color="auto"/>
              <w:right w:val="single" w:sz="4" w:space="0" w:color="auto"/>
            </w:tcBorders>
            <w:shd w:val="clear" w:color="auto" w:fill="auto"/>
            <w:noWrap/>
            <w:vAlign w:val="center"/>
            <w:hideMark/>
          </w:tcPr>
          <w:p w14:paraId="11A8E31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72,47 %</w:t>
            </w:r>
          </w:p>
        </w:tc>
      </w:tr>
      <w:tr w:rsidR="00F24E18" w:rsidRPr="00CF4263" w14:paraId="0A1CFDFE"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6E49F0BC"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25A549B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Omejeni postopek</w:t>
            </w:r>
          </w:p>
        </w:tc>
        <w:tc>
          <w:tcPr>
            <w:tcW w:w="492" w:type="pct"/>
            <w:tcBorders>
              <w:top w:val="nil"/>
              <w:left w:val="nil"/>
              <w:bottom w:val="single" w:sz="4" w:space="0" w:color="auto"/>
              <w:right w:val="single" w:sz="4" w:space="0" w:color="auto"/>
            </w:tcBorders>
            <w:shd w:val="clear" w:color="auto" w:fill="auto"/>
            <w:vAlign w:val="center"/>
            <w:hideMark/>
          </w:tcPr>
          <w:p w14:paraId="5108ECA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460</w:t>
            </w:r>
          </w:p>
        </w:tc>
        <w:tc>
          <w:tcPr>
            <w:tcW w:w="780" w:type="pct"/>
            <w:tcBorders>
              <w:top w:val="nil"/>
              <w:left w:val="nil"/>
              <w:bottom w:val="single" w:sz="4" w:space="0" w:color="auto"/>
              <w:right w:val="single" w:sz="4" w:space="0" w:color="auto"/>
            </w:tcBorders>
            <w:shd w:val="clear" w:color="auto" w:fill="auto"/>
            <w:vAlign w:val="center"/>
            <w:hideMark/>
          </w:tcPr>
          <w:p w14:paraId="5E6ADAD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563.709.397</w:t>
            </w:r>
          </w:p>
        </w:tc>
        <w:tc>
          <w:tcPr>
            <w:tcW w:w="499" w:type="pct"/>
            <w:tcBorders>
              <w:top w:val="nil"/>
              <w:left w:val="nil"/>
              <w:bottom w:val="single" w:sz="4" w:space="0" w:color="auto"/>
              <w:right w:val="single" w:sz="4" w:space="0" w:color="auto"/>
            </w:tcBorders>
            <w:shd w:val="clear" w:color="auto" w:fill="auto"/>
            <w:noWrap/>
            <w:vAlign w:val="center"/>
            <w:hideMark/>
          </w:tcPr>
          <w:p w14:paraId="4459673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5,22 %</w:t>
            </w:r>
          </w:p>
        </w:tc>
        <w:tc>
          <w:tcPr>
            <w:tcW w:w="499" w:type="pct"/>
            <w:tcBorders>
              <w:top w:val="nil"/>
              <w:left w:val="nil"/>
              <w:bottom w:val="single" w:sz="4" w:space="0" w:color="auto"/>
              <w:right w:val="single" w:sz="4" w:space="0" w:color="auto"/>
            </w:tcBorders>
            <w:shd w:val="clear" w:color="auto" w:fill="auto"/>
            <w:noWrap/>
            <w:vAlign w:val="center"/>
            <w:hideMark/>
          </w:tcPr>
          <w:p w14:paraId="34D9299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14,52 %</w:t>
            </w:r>
          </w:p>
        </w:tc>
      </w:tr>
      <w:tr w:rsidR="00F24E18" w:rsidRPr="00CF4263" w14:paraId="420DE106"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548A9FB"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1FADB83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brez predhodne objave</w:t>
            </w:r>
          </w:p>
        </w:tc>
        <w:tc>
          <w:tcPr>
            <w:tcW w:w="492" w:type="pct"/>
            <w:tcBorders>
              <w:top w:val="nil"/>
              <w:left w:val="nil"/>
              <w:bottom w:val="single" w:sz="4" w:space="0" w:color="auto"/>
              <w:right w:val="single" w:sz="4" w:space="0" w:color="auto"/>
            </w:tcBorders>
            <w:shd w:val="clear" w:color="auto" w:fill="auto"/>
            <w:vAlign w:val="center"/>
            <w:hideMark/>
          </w:tcPr>
          <w:p w14:paraId="6680A1A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248</w:t>
            </w:r>
          </w:p>
        </w:tc>
        <w:tc>
          <w:tcPr>
            <w:tcW w:w="780" w:type="pct"/>
            <w:tcBorders>
              <w:top w:val="nil"/>
              <w:left w:val="nil"/>
              <w:bottom w:val="single" w:sz="4" w:space="0" w:color="auto"/>
              <w:right w:val="single" w:sz="4" w:space="0" w:color="auto"/>
            </w:tcBorders>
            <w:shd w:val="clear" w:color="auto" w:fill="auto"/>
            <w:vAlign w:val="center"/>
            <w:hideMark/>
          </w:tcPr>
          <w:p w14:paraId="6FC703D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227.791.791</w:t>
            </w:r>
          </w:p>
        </w:tc>
        <w:tc>
          <w:tcPr>
            <w:tcW w:w="499" w:type="pct"/>
            <w:tcBorders>
              <w:top w:val="nil"/>
              <w:left w:val="nil"/>
              <w:bottom w:val="single" w:sz="4" w:space="0" w:color="auto"/>
              <w:right w:val="single" w:sz="4" w:space="0" w:color="auto"/>
            </w:tcBorders>
            <w:shd w:val="clear" w:color="auto" w:fill="auto"/>
            <w:noWrap/>
            <w:vAlign w:val="center"/>
            <w:hideMark/>
          </w:tcPr>
          <w:p w14:paraId="40EB76C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2,82 %</w:t>
            </w:r>
          </w:p>
        </w:tc>
        <w:tc>
          <w:tcPr>
            <w:tcW w:w="499" w:type="pct"/>
            <w:tcBorders>
              <w:top w:val="nil"/>
              <w:left w:val="nil"/>
              <w:bottom w:val="single" w:sz="4" w:space="0" w:color="auto"/>
              <w:right w:val="single" w:sz="4" w:space="0" w:color="auto"/>
            </w:tcBorders>
            <w:shd w:val="clear" w:color="auto" w:fill="auto"/>
            <w:noWrap/>
            <w:vAlign w:val="center"/>
            <w:hideMark/>
          </w:tcPr>
          <w:p w14:paraId="2439375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5,87 %</w:t>
            </w:r>
          </w:p>
        </w:tc>
      </w:tr>
      <w:tr w:rsidR="00F24E18" w:rsidRPr="00CF4263" w14:paraId="18400098"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297E6EC9"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726CD30F"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492" w:type="pct"/>
            <w:tcBorders>
              <w:top w:val="nil"/>
              <w:left w:val="nil"/>
              <w:bottom w:val="single" w:sz="4" w:space="0" w:color="auto"/>
              <w:right w:val="single" w:sz="4" w:space="0" w:color="auto"/>
            </w:tcBorders>
            <w:shd w:val="clear" w:color="auto" w:fill="auto"/>
            <w:vAlign w:val="center"/>
            <w:hideMark/>
          </w:tcPr>
          <w:p w14:paraId="53E9CF93"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8.808</w:t>
            </w:r>
          </w:p>
        </w:tc>
        <w:tc>
          <w:tcPr>
            <w:tcW w:w="780" w:type="pct"/>
            <w:tcBorders>
              <w:top w:val="nil"/>
              <w:left w:val="nil"/>
              <w:bottom w:val="single" w:sz="4" w:space="0" w:color="auto"/>
              <w:right w:val="single" w:sz="4" w:space="0" w:color="auto"/>
            </w:tcBorders>
            <w:shd w:val="clear" w:color="auto" w:fill="auto"/>
            <w:vAlign w:val="center"/>
            <w:hideMark/>
          </w:tcPr>
          <w:p w14:paraId="4BCD0E3F"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3.882.242.263</w:t>
            </w:r>
          </w:p>
        </w:tc>
        <w:tc>
          <w:tcPr>
            <w:tcW w:w="499" w:type="pct"/>
            <w:tcBorders>
              <w:top w:val="nil"/>
              <w:left w:val="nil"/>
              <w:bottom w:val="single" w:sz="4" w:space="0" w:color="auto"/>
              <w:right w:val="single" w:sz="4" w:space="0" w:color="auto"/>
            </w:tcBorders>
            <w:shd w:val="clear" w:color="auto" w:fill="auto"/>
            <w:noWrap/>
            <w:vAlign w:val="center"/>
            <w:hideMark/>
          </w:tcPr>
          <w:p w14:paraId="14A86A8B"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c>
          <w:tcPr>
            <w:tcW w:w="499" w:type="pct"/>
            <w:tcBorders>
              <w:top w:val="nil"/>
              <w:left w:val="nil"/>
              <w:bottom w:val="single" w:sz="4" w:space="0" w:color="auto"/>
              <w:right w:val="single" w:sz="4" w:space="0" w:color="auto"/>
            </w:tcBorders>
            <w:shd w:val="clear" w:color="auto" w:fill="auto"/>
            <w:noWrap/>
            <w:vAlign w:val="center"/>
            <w:hideMark/>
          </w:tcPr>
          <w:p w14:paraId="1C0C204E"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r>
      <w:tr w:rsidR="00F24E18" w:rsidRPr="00CF4263" w14:paraId="34BE81A6"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6A6379C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Infrastrukturno</w:t>
            </w:r>
          </w:p>
        </w:tc>
        <w:tc>
          <w:tcPr>
            <w:tcW w:w="2021" w:type="pct"/>
            <w:tcBorders>
              <w:top w:val="nil"/>
              <w:left w:val="nil"/>
              <w:bottom w:val="single" w:sz="4" w:space="0" w:color="auto"/>
              <w:right w:val="single" w:sz="4" w:space="0" w:color="auto"/>
            </w:tcBorders>
            <w:shd w:val="clear" w:color="auto" w:fill="auto"/>
            <w:vAlign w:val="center"/>
            <w:hideMark/>
          </w:tcPr>
          <w:p w14:paraId="054451E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Konkurenčni dialog</w:t>
            </w:r>
          </w:p>
        </w:tc>
        <w:tc>
          <w:tcPr>
            <w:tcW w:w="492" w:type="pct"/>
            <w:tcBorders>
              <w:top w:val="nil"/>
              <w:left w:val="nil"/>
              <w:bottom w:val="single" w:sz="4" w:space="0" w:color="auto"/>
              <w:right w:val="single" w:sz="4" w:space="0" w:color="auto"/>
            </w:tcBorders>
            <w:shd w:val="clear" w:color="auto" w:fill="auto"/>
            <w:vAlign w:val="center"/>
            <w:hideMark/>
          </w:tcPr>
          <w:p w14:paraId="290655F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13</w:t>
            </w:r>
          </w:p>
        </w:tc>
        <w:tc>
          <w:tcPr>
            <w:tcW w:w="780" w:type="pct"/>
            <w:tcBorders>
              <w:top w:val="nil"/>
              <w:left w:val="nil"/>
              <w:bottom w:val="single" w:sz="4" w:space="0" w:color="auto"/>
              <w:right w:val="single" w:sz="4" w:space="0" w:color="auto"/>
            </w:tcBorders>
            <w:shd w:val="clear" w:color="auto" w:fill="auto"/>
            <w:vAlign w:val="center"/>
            <w:hideMark/>
          </w:tcPr>
          <w:p w14:paraId="731BEEA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215.233.615</w:t>
            </w:r>
          </w:p>
        </w:tc>
        <w:tc>
          <w:tcPr>
            <w:tcW w:w="499" w:type="pct"/>
            <w:tcBorders>
              <w:top w:val="nil"/>
              <w:left w:val="nil"/>
              <w:bottom w:val="single" w:sz="4" w:space="0" w:color="auto"/>
              <w:right w:val="single" w:sz="4" w:space="0" w:color="auto"/>
            </w:tcBorders>
            <w:shd w:val="clear" w:color="auto" w:fill="auto"/>
            <w:noWrap/>
            <w:vAlign w:val="center"/>
            <w:hideMark/>
          </w:tcPr>
          <w:p w14:paraId="119EFF9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1,27 %</w:t>
            </w:r>
          </w:p>
        </w:tc>
        <w:tc>
          <w:tcPr>
            <w:tcW w:w="499" w:type="pct"/>
            <w:tcBorders>
              <w:top w:val="nil"/>
              <w:left w:val="nil"/>
              <w:bottom w:val="single" w:sz="4" w:space="0" w:color="auto"/>
              <w:right w:val="single" w:sz="4" w:space="0" w:color="auto"/>
            </w:tcBorders>
            <w:shd w:val="clear" w:color="auto" w:fill="auto"/>
            <w:noWrap/>
            <w:vAlign w:val="center"/>
            <w:hideMark/>
          </w:tcPr>
          <w:p w14:paraId="1BC020F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17,25 %</w:t>
            </w:r>
          </w:p>
        </w:tc>
      </w:tr>
      <w:tr w:rsidR="00F24E18" w:rsidRPr="00CF4263" w14:paraId="6854D420"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0B807AD3"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5AF4A8F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Odprti postopek</w:t>
            </w:r>
          </w:p>
        </w:tc>
        <w:tc>
          <w:tcPr>
            <w:tcW w:w="492" w:type="pct"/>
            <w:tcBorders>
              <w:top w:val="nil"/>
              <w:left w:val="nil"/>
              <w:bottom w:val="single" w:sz="4" w:space="0" w:color="auto"/>
              <w:right w:val="single" w:sz="4" w:space="0" w:color="auto"/>
            </w:tcBorders>
            <w:shd w:val="clear" w:color="auto" w:fill="auto"/>
            <w:vAlign w:val="center"/>
            <w:hideMark/>
          </w:tcPr>
          <w:p w14:paraId="77042F4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458</w:t>
            </w:r>
          </w:p>
        </w:tc>
        <w:tc>
          <w:tcPr>
            <w:tcW w:w="780" w:type="pct"/>
            <w:tcBorders>
              <w:top w:val="nil"/>
              <w:left w:val="nil"/>
              <w:bottom w:val="single" w:sz="4" w:space="0" w:color="auto"/>
              <w:right w:val="single" w:sz="4" w:space="0" w:color="auto"/>
            </w:tcBorders>
            <w:shd w:val="clear" w:color="auto" w:fill="auto"/>
            <w:vAlign w:val="center"/>
            <w:hideMark/>
          </w:tcPr>
          <w:p w14:paraId="7695AAA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599.019.872</w:t>
            </w:r>
          </w:p>
        </w:tc>
        <w:tc>
          <w:tcPr>
            <w:tcW w:w="499" w:type="pct"/>
            <w:tcBorders>
              <w:top w:val="nil"/>
              <w:left w:val="nil"/>
              <w:bottom w:val="single" w:sz="4" w:space="0" w:color="auto"/>
              <w:right w:val="single" w:sz="4" w:space="0" w:color="auto"/>
            </w:tcBorders>
            <w:shd w:val="clear" w:color="auto" w:fill="auto"/>
            <w:noWrap/>
            <w:vAlign w:val="center"/>
            <w:hideMark/>
          </w:tcPr>
          <w:p w14:paraId="66C1959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44,60 %</w:t>
            </w:r>
          </w:p>
        </w:tc>
        <w:tc>
          <w:tcPr>
            <w:tcW w:w="499" w:type="pct"/>
            <w:tcBorders>
              <w:top w:val="nil"/>
              <w:left w:val="nil"/>
              <w:bottom w:val="single" w:sz="4" w:space="0" w:color="auto"/>
              <w:right w:val="single" w:sz="4" w:space="0" w:color="auto"/>
            </w:tcBorders>
            <w:shd w:val="clear" w:color="auto" w:fill="auto"/>
            <w:noWrap/>
            <w:vAlign w:val="center"/>
            <w:hideMark/>
          </w:tcPr>
          <w:p w14:paraId="2B94037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48,00 %</w:t>
            </w:r>
          </w:p>
        </w:tc>
      </w:tr>
      <w:tr w:rsidR="00F24E18" w:rsidRPr="00CF4263" w14:paraId="0760DA2F"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95AB3CF"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47B0BA0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Omejeni postopek</w:t>
            </w:r>
          </w:p>
        </w:tc>
        <w:tc>
          <w:tcPr>
            <w:tcW w:w="492" w:type="pct"/>
            <w:tcBorders>
              <w:top w:val="nil"/>
              <w:left w:val="nil"/>
              <w:bottom w:val="single" w:sz="4" w:space="0" w:color="auto"/>
              <w:right w:val="single" w:sz="4" w:space="0" w:color="auto"/>
            </w:tcBorders>
            <w:shd w:val="clear" w:color="auto" w:fill="auto"/>
            <w:vAlign w:val="center"/>
            <w:hideMark/>
          </w:tcPr>
          <w:p w14:paraId="61DE8B3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254</w:t>
            </w:r>
          </w:p>
        </w:tc>
        <w:tc>
          <w:tcPr>
            <w:tcW w:w="780" w:type="pct"/>
            <w:tcBorders>
              <w:top w:val="nil"/>
              <w:left w:val="nil"/>
              <w:bottom w:val="single" w:sz="4" w:space="0" w:color="auto"/>
              <w:right w:val="single" w:sz="4" w:space="0" w:color="auto"/>
            </w:tcBorders>
            <w:shd w:val="clear" w:color="auto" w:fill="auto"/>
            <w:vAlign w:val="center"/>
            <w:hideMark/>
          </w:tcPr>
          <w:p w14:paraId="318FBEE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184.406.919</w:t>
            </w:r>
          </w:p>
        </w:tc>
        <w:tc>
          <w:tcPr>
            <w:tcW w:w="499" w:type="pct"/>
            <w:tcBorders>
              <w:top w:val="nil"/>
              <w:left w:val="nil"/>
              <w:bottom w:val="single" w:sz="4" w:space="0" w:color="auto"/>
              <w:right w:val="single" w:sz="4" w:space="0" w:color="auto"/>
            </w:tcBorders>
            <w:shd w:val="clear" w:color="auto" w:fill="auto"/>
            <w:noWrap/>
            <w:vAlign w:val="center"/>
            <w:hideMark/>
          </w:tcPr>
          <w:p w14:paraId="729BA2C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24,73 %</w:t>
            </w:r>
          </w:p>
        </w:tc>
        <w:tc>
          <w:tcPr>
            <w:tcW w:w="499" w:type="pct"/>
            <w:tcBorders>
              <w:top w:val="nil"/>
              <w:left w:val="nil"/>
              <w:bottom w:val="single" w:sz="4" w:space="0" w:color="auto"/>
              <w:right w:val="single" w:sz="4" w:space="0" w:color="auto"/>
            </w:tcBorders>
            <w:shd w:val="clear" w:color="auto" w:fill="auto"/>
            <w:noWrap/>
            <w:vAlign w:val="center"/>
            <w:hideMark/>
          </w:tcPr>
          <w:p w14:paraId="57C04D4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14,78 %</w:t>
            </w:r>
          </w:p>
        </w:tc>
      </w:tr>
      <w:tr w:rsidR="00F24E18" w:rsidRPr="00CF4263" w14:paraId="13B07F42"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299F048F"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547EA05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brez predhodne objave</w:t>
            </w:r>
          </w:p>
        </w:tc>
        <w:tc>
          <w:tcPr>
            <w:tcW w:w="492" w:type="pct"/>
            <w:tcBorders>
              <w:top w:val="nil"/>
              <w:left w:val="nil"/>
              <w:bottom w:val="single" w:sz="4" w:space="0" w:color="auto"/>
              <w:right w:val="single" w:sz="4" w:space="0" w:color="auto"/>
            </w:tcBorders>
            <w:shd w:val="clear" w:color="auto" w:fill="auto"/>
            <w:vAlign w:val="center"/>
            <w:hideMark/>
          </w:tcPr>
          <w:p w14:paraId="18DAF56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45</w:t>
            </w:r>
          </w:p>
        </w:tc>
        <w:tc>
          <w:tcPr>
            <w:tcW w:w="780" w:type="pct"/>
            <w:tcBorders>
              <w:top w:val="nil"/>
              <w:left w:val="nil"/>
              <w:bottom w:val="single" w:sz="4" w:space="0" w:color="auto"/>
              <w:right w:val="single" w:sz="4" w:space="0" w:color="auto"/>
            </w:tcBorders>
            <w:shd w:val="clear" w:color="auto" w:fill="auto"/>
            <w:vAlign w:val="center"/>
            <w:hideMark/>
          </w:tcPr>
          <w:p w14:paraId="2304BC7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38.429.561</w:t>
            </w:r>
          </w:p>
        </w:tc>
        <w:tc>
          <w:tcPr>
            <w:tcW w:w="499" w:type="pct"/>
            <w:tcBorders>
              <w:top w:val="nil"/>
              <w:left w:val="nil"/>
              <w:bottom w:val="single" w:sz="4" w:space="0" w:color="auto"/>
              <w:right w:val="single" w:sz="4" w:space="0" w:color="auto"/>
            </w:tcBorders>
            <w:shd w:val="clear" w:color="auto" w:fill="auto"/>
            <w:noWrap/>
            <w:vAlign w:val="center"/>
            <w:hideMark/>
          </w:tcPr>
          <w:p w14:paraId="07C00C5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4,38 %</w:t>
            </w:r>
          </w:p>
        </w:tc>
        <w:tc>
          <w:tcPr>
            <w:tcW w:w="499" w:type="pct"/>
            <w:tcBorders>
              <w:top w:val="nil"/>
              <w:left w:val="nil"/>
              <w:bottom w:val="single" w:sz="4" w:space="0" w:color="auto"/>
              <w:right w:val="single" w:sz="4" w:space="0" w:color="auto"/>
            </w:tcBorders>
            <w:shd w:val="clear" w:color="auto" w:fill="auto"/>
            <w:noWrap/>
            <w:vAlign w:val="center"/>
            <w:hideMark/>
          </w:tcPr>
          <w:p w14:paraId="6DA5FB8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3,08 %</w:t>
            </w:r>
          </w:p>
        </w:tc>
      </w:tr>
      <w:tr w:rsidR="00F24E18" w:rsidRPr="00CF4263" w14:paraId="5A3F4506"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750EC670"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52DFB11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po predhodni objavi</w:t>
            </w:r>
          </w:p>
        </w:tc>
        <w:tc>
          <w:tcPr>
            <w:tcW w:w="492" w:type="pct"/>
            <w:tcBorders>
              <w:top w:val="nil"/>
              <w:left w:val="nil"/>
              <w:bottom w:val="single" w:sz="4" w:space="0" w:color="auto"/>
              <w:right w:val="single" w:sz="4" w:space="0" w:color="auto"/>
            </w:tcBorders>
            <w:shd w:val="clear" w:color="auto" w:fill="auto"/>
            <w:vAlign w:val="center"/>
            <w:hideMark/>
          </w:tcPr>
          <w:p w14:paraId="6A9AC49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257</w:t>
            </w:r>
          </w:p>
        </w:tc>
        <w:tc>
          <w:tcPr>
            <w:tcW w:w="780" w:type="pct"/>
            <w:tcBorders>
              <w:top w:val="nil"/>
              <w:left w:val="nil"/>
              <w:bottom w:val="single" w:sz="4" w:space="0" w:color="auto"/>
              <w:right w:val="single" w:sz="4" w:space="0" w:color="auto"/>
            </w:tcBorders>
            <w:shd w:val="clear" w:color="auto" w:fill="auto"/>
            <w:vAlign w:val="center"/>
            <w:hideMark/>
          </w:tcPr>
          <w:p w14:paraId="4E75600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210.775.134</w:t>
            </w:r>
          </w:p>
        </w:tc>
        <w:tc>
          <w:tcPr>
            <w:tcW w:w="499" w:type="pct"/>
            <w:tcBorders>
              <w:top w:val="nil"/>
              <w:left w:val="nil"/>
              <w:bottom w:val="single" w:sz="4" w:space="0" w:color="auto"/>
              <w:right w:val="single" w:sz="4" w:space="0" w:color="auto"/>
            </w:tcBorders>
            <w:shd w:val="clear" w:color="auto" w:fill="auto"/>
            <w:noWrap/>
            <w:vAlign w:val="center"/>
            <w:hideMark/>
          </w:tcPr>
          <w:p w14:paraId="07F2A23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25,02 %</w:t>
            </w:r>
          </w:p>
        </w:tc>
        <w:tc>
          <w:tcPr>
            <w:tcW w:w="499" w:type="pct"/>
            <w:tcBorders>
              <w:top w:val="nil"/>
              <w:left w:val="nil"/>
              <w:bottom w:val="single" w:sz="4" w:space="0" w:color="auto"/>
              <w:right w:val="single" w:sz="4" w:space="0" w:color="auto"/>
            </w:tcBorders>
            <w:shd w:val="clear" w:color="auto" w:fill="auto"/>
            <w:noWrap/>
            <w:vAlign w:val="center"/>
            <w:hideMark/>
          </w:tcPr>
          <w:p w14:paraId="024633D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16,89 %</w:t>
            </w:r>
          </w:p>
        </w:tc>
      </w:tr>
      <w:tr w:rsidR="00F24E18" w:rsidRPr="00CF4263" w14:paraId="0A6AF989"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847DE6F"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082D1E58"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492" w:type="pct"/>
            <w:tcBorders>
              <w:top w:val="nil"/>
              <w:left w:val="nil"/>
              <w:bottom w:val="single" w:sz="4" w:space="0" w:color="auto"/>
              <w:right w:val="single" w:sz="4" w:space="0" w:color="auto"/>
            </w:tcBorders>
            <w:shd w:val="clear" w:color="auto" w:fill="auto"/>
            <w:vAlign w:val="center"/>
            <w:hideMark/>
          </w:tcPr>
          <w:p w14:paraId="45F1DD86"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1.027</w:t>
            </w:r>
          </w:p>
        </w:tc>
        <w:tc>
          <w:tcPr>
            <w:tcW w:w="780" w:type="pct"/>
            <w:tcBorders>
              <w:top w:val="nil"/>
              <w:left w:val="nil"/>
              <w:bottom w:val="single" w:sz="4" w:space="0" w:color="auto"/>
              <w:right w:val="single" w:sz="4" w:space="0" w:color="auto"/>
            </w:tcBorders>
            <w:shd w:val="clear" w:color="auto" w:fill="auto"/>
            <w:vAlign w:val="center"/>
            <w:hideMark/>
          </w:tcPr>
          <w:p w14:paraId="6ACC496D"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1.247.865.101</w:t>
            </w:r>
          </w:p>
        </w:tc>
        <w:tc>
          <w:tcPr>
            <w:tcW w:w="499" w:type="pct"/>
            <w:tcBorders>
              <w:top w:val="nil"/>
              <w:left w:val="nil"/>
              <w:bottom w:val="single" w:sz="4" w:space="0" w:color="auto"/>
              <w:right w:val="single" w:sz="4" w:space="0" w:color="auto"/>
            </w:tcBorders>
            <w:shd w:val="clear" w:color="auto" w:fill="auto"/>
            <w:noWrap/>
            <w:vAlign w:val="center"/>
            <w:hideMark/>
          </w:tcPr>
          <w:p w14:paraId="3A29BC14"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c>
          <w:tcPr>
            <w:tcW w:w="499" w:type="pct"/>
            <w:tcBorders>
              <w:top w:val="nil"/>
              <w:left w:val="nil"/>
              <w:bottom w:val="single" w:sz="4" w:space="0" w:color="auto"/>
              <w:right w:val="single" w:sz="4" w:space="0" w:color="auto"/>
            </w:tcBorders>
            <w:shd w:val="clear" w:color="auto" w:fill="auto"/>
            <w:noWrap/>
            <w:vAlign w:val="center"/>
            <w:hideMark/>
          </w:tcPr>
          <w:p w14:paraId="6E21313E"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r>
      <w:tr w:rsidR="00F24E18" w:rsidRPr="00CF4263" w14:paraId="3E5E4DA7" w14:textId="77777777" w:rsidTr="000E18B5">
        <w:trPr>
          <w:trHeight w:val="300"/>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14:paraId="44F3A05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Obrambno</w:t>
            </w:r>
          </w:p>
        </w:tc>
        <w:tc>
          <w:tcPr>
            <w:tcW w:w="2021" w:type="pct"/>
            <w:tcBorders>
              <w:top w:val="nil"/>
              <w:left w:val="nil"/>
              <w:bottom w:val="single" w:sz="4" w:space="0" w:color="auto"/>
              <w:right w:val="single" w:sz="4" w:space="0" w:color="auto"/>
            </w:tcBorders>
            <w:shd w:val="clear" w:color="auto" w:fill="auto"/>
            <w:vAlign w:val="center"/>
            <w:hideMark/>
          </w:tcPr>
          <w:p w14:paraId="515BCDF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brez predhodne objave</w:t>
            </w:r>
          </w:p>
        </w:tc>
        <w:tc>
          <w:tcPr>
            <w:tcW w:w="492" w:type="pct"/>
            <w:tcBorders>
              <w:top w:val="nil"/>
              <w:left w:val="nil"/>
              <w:bottom w:val="single" w:sz="4" w:space="0" w:color="auto"/>
              <w:right w:val="single" w:sz="4" w:space="0" w:color="auto"/>
            </w:tcBorders>
            <w:shd w:val="clear" w:color="auto" w:fill="auto"/>
            <w:vAlign w:val="center"/>
            <w:hideMark/>
          </w:tcPr>
          <w:p w14:paraId="49F9C08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23</w:t>
            </w:r>
          </w:p>
        </w:tc>
        <w:tc>
          <w:tcPr>
            <w:tcW w:w="780" w:type="pct"/>
            <w:tcBorders>
              <w:top w:val="nil"/>
              <w:left w:val="nil"/>
              <w:bottom w:val="single" w:sz="4" w:space="0" w:color="auto"/>
              <w:right w:val="single" w:sz="4" w:space="0" w:color="auto"/>
            </w:tcBorders>
            <w:shd w:val="clear" w:color="auto" w:fill="auto"/>
            <w:vAlign w:val="center"/>
            <w:hideMark/>
          </w:tcPr>
          <w:p w14:paraId="0D5B79D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43.622.246</w:t>
            </w:r>
          </w:p>
        </w:tc>
        <w:tc>
          <w:tcPr>
            <w:tcW w:w="499" w:type="pct"/>
            <w:tcBorders>
              <w:top w:val="nil"/>
              <w:left w:val="nil"/>
              <w:bottom w:val="single" w:sz="4" w:space="0" w:color="auto"/>
              <w:right w:val="single" w:sz="4" w:space="0" w:color="auto"/>
            </w:tcBorders>
            <w:shd w:val="clear" w:color="auto" w:fill="auto"/>
            <w:noWrap/>
            <w:vAlign w:val="center"/>
            <w:hideMark/>
          </w:tcPr>
          <w:p w14:paraId="095E30E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35,38 %</w:t>
            </w:r>
          </w:p>
        </w:tc>
        <w:tc>
          <w:tcPr>
            <w:tcW w:w="499" w:type="pct"/>
            <w:tcBorders>
              <w:top w:val="nil"/>
              <w:left w:val="nil"/>
              <w:bottom w:val="single" w:sz="4" w:space="0" w:color="auto"/>
              <w:right w:val="single" w:sz="4" w:space="0" w:color="auto"/>
            </w:tcBorders>
            <w:shd w:val="clear" w:color="auto" w:fill="auto"/>
            <w:noWrap/>
            <w:vAlign w:val="center"/>
            <w:hideMark/>
          </w:tcPr>
          <w:p w14:paraId="7D86FB2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30,98 %</w:t>
            </w:r>
          </w:p>
        </w:tc>
      </w:tr>
      <w:tr w:rsidR="00F24E18" w:rsidRPr="00CF4263" w14:paraId="64F17339"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42D5DFF3"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21FD56C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po predhodni objavi</w:t>
            </w:r>
          </w:p>
        </w:tc>
        <w:tc>
          <w:tcPr>
            <w:tcW w:w="492" w:type="pct"/>
            <w:tcBorders>
              <w:top w:val="nil"/>
              <w:left w:val="nil"/>
              <w:bottom w:val="single" w:sz="4" w:space="0" w:color="auto"/>
              <w:right w:val="single" w:sz="4" w:space="0" w:color="auto"/>
            </w:tcBorders>
            <w:shd w:val="clear" w:color="auto" w:fill="auto"/>
            <w:vAlign w:val="center"/>
            <w:hideMark/>
          </w:tcPr>
          <w:p w14:paraId="0EF6E08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42</w:t>
            </w:r>
          </w:p>
        </w:tc>
        <w:tc>
          <w:tcPr>
            <w:tcW w:w="780" w:type="pct"/>
            <w:tcBorders>
              <w:top w:val="nil"/>
              <w:left w:val="nil"/>
              <w:bottom w:val="single" w:sz="4" w:space="0" w:color="auto"/>
              <w:right w:val="single" w:sz="4" w:space="0" w:color="auto"/>
            </w:tcBorders>
            <w:shd w:val="clear" w:color="auto" w:fill="auto"/>
            <w:vAlign w:val="center"/>
            <w:hideMark/>
          </w:tcPr>
          <w:p w14:paraId="3010FC9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97.183.606</w:t>
            </w:r>
          </w:p>
        </w:tc>
        <w:tc>
          <w:tcPr>
            <w:tcW w:w="499" w:type="pct"/>
            <w:tcBorders>
              <w:top w:val="nil"/>
              <w:left w:val="nil"/>
              <w:bottom w:val="single" w:sz="4" w:space="0" w:color="auto"/>
              <w:right w:val="single" w:sz="4" w:space="0" w:color="auto"/>
            </w:tcBorders>
            <w:shd w:val="clear" w:color="auto" w:fill="auto"/>
            <w:noWrap/>
            <w:vAlign w:val="center"/>
            <w:hideMark/>
          </w:tcPr>
          <w:p w14:paraId="16B6899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64,62 %</w:t>
            </w:r>
          </w:p>
        </w:tc>
        <w:tc>
          <w:tcPr>
            <w:tcW w:w="499" w:type="pct"/>
            <w:tcBorders>
              <w:top w:val="nil"/>
              <w:left w:val="nil"/>
              <w:bottom w:val="single" w:sz="4" w:space="0" w:color="auto"/>
              <w:right w:val="single" w:sz="4" w:space="0" w:color="auto"/>
            </w:tcBorders>
            <w:shd w:val="clear" w:color="auto" w:fill="auto"/>
            <w:noWrap/>
            <w:vAlign w:val="center"/>
            <w:hideMark/>
          </w:tcPr>
          <w:p w14:paraId="73C8444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69,02 %</w:t>
            </w:r>
          </w:p>
        </w:tc>
      </w:tr>
      <w:tr w:rsidR="00F24E18" w:rsidRPr="00CF4263" w14:paraId="75257815" w14:textId="77777777" w:rsidTr="000E18B5">
        <w:trPr>
          <w:trHeight w:val="300"/>
        </w:trPr>
        <w:tc>
          <w:tcPr>
            <w:tcW w:w="709" w:type="pct"/>
            <w:vMerge/>
            <w:tcBorders>
              <w:top w:val="nil"/>
              <w:left w:val="single" w:sz="4" w:space="0" w:color="auto"/>
              <w:bottom w:val="single" w:sz="4" w:space="0" w:color="auto"/>
              <w:right w:val="single" w:sz="4" w:space="0" w:color="auto"/>
            </w:tcBorders>
            <w:vAlign w:val="center"/>
            <w:hideMark/>
          </w:tcPr>
          <w:p w14:paraId="1DDE3A89"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21" w:type="pct"/>
            <w:tcBorders>
              <w:top w:val="nil"/>
              <w:left w:val="nil"/>
              <w:bottom w:val="single" w:sz="4" w:space="0" w:color="auto"/>
              <w:right w:val="single" w:sz="4" w:space="0" w:color="auto"/>
            </w:tcBorders>
            <w:shd w:val="clear" w:color="auto" w:fill="auto"/>
            <w:vAlign w:val="center"/>
            <w:hideMark/>
          </w:tcPr>
          <w:p w14:paraId="717851AA"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492" w:type="pct"/>
            <w:tcBorders>
              <w:top w:val="nil"/>
              <w:left w:val="nil"/>
              <w:bottom w:val="single" w:sz="4" w:space="0" w:color="auto"/>
              <w:right w:val="single" w:sz="4" w:space="0" w:color="auto"/>
            </w:tcBorders>
            <w:shd w:val="clear" w:color="auto" w:fill="auto"/>
            <w:vAlign w:val="center"/>
            <w:hideMark/>
          </w:tcPr>
          <w:p w14:paraId="2FE1D3EE"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65</w:t>
            </w:r>
          </w:p>
        </w:tc>
        <w:tc>
          <w:tcPr>
            <w:tcW w:w="780" w:type="pct"/>
            <w:tcBorders>
              <w:top w:val="nil"/>
              <w:left w:val="nil"/>
              <w:bottom w:val="single" w:sz="4" w:space="0" w:color="auto"/>
              <w:right w:val="single" w:sz="4" w:space="0" w:color="auto"/>
            </w:tcBorders>
            <w:shd w:val="clear" w:color="auto" w:fill="auto"/>
            <w:vAlign w:val="center"/>
            <w:hideMark/>
          </w:tcPr>
          <w:p w14:paraId="058C1DF7"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140.805.852</w:t>
            </w:r>
          </w:p>
        </w:tc>
        <w:tc>
          <w:tcPr>
            <w:tcW w:w="499" w:type="pct"/>
            <w:tcBorders>
              <w:top w:val="nil"/>
              <w:left w:val="nil"/>
              <w:bottom w:val="single" w:sz="4" w:space="0" w:color="auto"/>
              <w:right w:val="single" w:sz="4" w:space="0" w:color="auto"/>
            </w:tcBorders>
            <w:shd w:val="clear" w:color="auto" w:fill="auto"/>
            <w:noWrap/>
            <w:vAlign w:val="center"/>
            <w:hideMark/>
          </w:tcPr>
          <w:p w14:paraId="6B6651AA"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c>
          <w:tcPr>
            <w:tcW w:w="499" w:type="pct"/>
            <w:tcBorders>
              <w:top w:val="nil"/>
              <w:left w:val="nil"/>
              <w:bottom w:val="single" w:sz="4" w:space="0" w:color="auto"/>
              <w:right w:val="single" w:sz="4" w:space="0" w:color="auto"/>
            </w:tcBorders>
            <w:shd w:val="clear" w:color="auto" w:fill="auto"/>
            <w:noWrap/>
            <w:vAlign w:val="center"/>
            <w:hideMark/>
          </w:tcPr>
          <w:p w14:paraId="4F57C4CB"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100,00 %</w:t>
            </w:r>
          </w:p>
        </w:tc>
      </w:tr>
      <w:tr w:rsidR="00F24E18" w:rsidRPr="00CF4263" w14:paraId="3548EBD7" w14:textId="77777777" w:rsidTr="000E18B5">
        <w:trPr>
          <w:trHeight w:val="300"/>
        </w:trPr>
        <w:tc>
          <w:tcPr>
            <w:tcW w:w="27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CC3C0"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492" w:type="pct"/>
            <w:tcBorders>
              <w:top w:val="nil"/>
              <w:left w:val="nil"/>
              <w:bottom w:val="single" w:sz="4" w:space="0" w:color="auto"/>
              <w:right w:val="single" w:sz="4" w:space="0" w:color="auto"/>
            </w:tcBorders>
            <w:shd w:val="clear" w:color="auto" w:fill="F2F2F2" w:themeFill="background1" w:themeFillShade="F2"/>
            <w:vAlign w:val="center"/>
            <w:hideMark/>
          </w:tcPr>
          <w:p w14:paraId="026E7BFD" w14:textId="77777777" w:rsidR="00F24E18" w:rsidRPr="00CF4263" w:rsidRDefault="00F24E18" w:rsidP="000E18B5">
            <w:pPr>
              <w:spacing w:after="0" w:line="240" w:lineRule="auto"/>
              <w:jc w:val="right"/>
              <w:rPr>
                <w:rFonts w:ascii="Arial" w:hAnsi="Arial" w:cs="Arial"/>
                <w:b/>
                <w:bCs/>
                <w:color w:val="000000"/>
                <w:sz w:val="18"/>
                <w:szCs w:val="18"/>
              </w:rPr>
            </w:pPr>
            <w:r w:rsidRPr="00CF4263">
              <w:rPr>
                <w:rFonts w:ascii="Arial" w:hAnsi="Arial" w:cs="Arial"/>
                <w:b/>
                <w:bCs/>
                <w:color w:val="000000"/>
                <w:sz w:val="18"/>
                <w:szCs w:val="18"/>
              </w:rPr>
              <w:t>9.900</w:t>
            </w:r>
          </w:p>
        </w:tc>
        <w:tc>
          <w:tcPr>
            <w:tcW w:w="780" w:type="pct"/>
            <w:tcBorders>
              <w:top w:val="nil"/>
              <w:left w:val="nil"/>
              <w:bottom w:val="single" w:sz="4" w:space="0" w:color="auto"/>
              <w:right w:val="single" w:sz="4" w:space="0" w:color="auto"/>
            </w:tcBorders>
            <w:shd w:val="clear" w:color="auto" w:fill="F2F2F2" w:themeFill="background1" w:themeFillShade="F2"/>
            <w:vAlign w:val="center"/>
            <w:hideMark/>
          </w:tcPr>
          <w:p w14:paraId="63974737" w14:textId="77777777" w:rsidR="00F24E18" w:rsidRPr="00CF4263" w:rsidRDefault="00F24E18" w:rsidP="000E18B5">
            <w:pPr>
              <w:spacing w:after="0" w:line="240" w:lineRule="auto"/>
              <w:jc w:val="right"/>
              <w:rPr>
                <w:rFonts w:ascii="Arial" w:hAnsi="Arial" w:cs="Arial"/>
                <w:b/>
                <w:bCs/>
                <w:color w:val="000000"/>
                <w:sz w:val="18"/>
                <w:szCs w:val="18"/>
              </w:rPr>
            </w:pPr>
            <w:r w:rsidRPr="00CF4263">
              <w:rPr>
                <w:rFonts w:ascii="Arial" w:hAnsi="Arial" w:cs="Arial"/>
                <w:b/>
                <w:bCs/>
                <w:color w:val="000000"/>
                <w:sz w:val="18"/>
                <w:szCs w:val="18"/>
              </w:rPr>
              <w:t>5.270.913.216</w:t>
            </w:r>
          </w:p>
        </w:tc>
        <w:tc>
          <w:tcPr>
            <w:tcW w:w="499" w:type="pct"/>
            <w:tcBorders>
              <w:top w:val="nil"/>
              <w:left w:val="nil"/>
              <w:bottom w:val="nil"/>
              <w:right w:val="nil"/>
            </w:tcBorders>
            <w:shd w:val="clear" w:color="auto" w:fill="auto"/>
            <w:noWrap/>
            <w:vAlign w:val="center"/>
            <w:hideMark/>
          </w:tcPr>
          <w:p w14:paraId="3D93EC9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p>
        </w:tc>
        <w:tc>
          <w:tcPr>
            <w:tcW w:w="499" w:type="pct"/>
            <w:tcBorders>
              <w:top w:val="nil"/>
              <w:left w:val="nil"/>
              <w:bottom w:val="nil"/>
              <w:right w:val="nil"/>
            </w:tcBorders>
            <w:shd w:val="clear" w:color="auto" w:fill="auto"/>
            <w:noWrap/>
            <w:vAlign w:val="center"/>
            <w:hideMark/>
          </w:tcPr>
          <w:p w14:paraId="6EE72A2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p>
        </w:tc>
      </w:tr>
    </w:tbl>
    <w:p w14:paraId="498C70A5" w14:textId="77777777" w:rsidR="00F24E18" w:rsidRPr="00242E41" w:rsidRDefault="00F24E18" w:rsidP="00F24E18">
      <w:pPr>
        <w:spacing w:after="0" w:line="240" w:lineRule="auto"/>
        <w:jc w:val="both"/>
        <w:rPr>
          <w:rFonts w:ascii="Arial" w:hAnsi="Arial" w:cs="Arial"/>
          <w:sz w:val="20"/>
          <w:highlight w:val="yellow"/>
        </w:rPr>
      </w:pPr>
    </w:p>
    <w:p w14:paraId="2BCA461B" w14:textId="77777777" w:rsidR="00F24E18" w:rsidRPr="00242E41" w:rsidRDefault="00F24E18" w:rsidP="00F24E18">
      <w:pPr>
        <w:spacing w:after="0" w:line="240" w:lineRule="auto"/>
        <w:jc w:val="both"/>
        <w:rPr>
          <w:rFonts w:ascii="Arial" w:hAnsi="Arial" w:cs="Arial"/>
          <w:sz w:val="20"/>
          <w:highlight w:val="yellow"/>
        </w:rPr>
      </w:pPr>
    </w:p>
    <w:p w14:paraId="09F03D53" w14:textId="77777777" w:rsidR="00F24E18" w:rsidRPr="00CF4263" w:rsidRDefault="00F24E18" w:rsidP="00F24E18">
      <w:pPr>
        <w:spacing w:after="0" w:line="240" w:lineRule="auto"/>
        <w:jc w:val="both"/>
        <w:rPr>
          <w:rFonts w:ascii="Arial" w:hAnsi="Arial" w:cs="Arial"/>
          <w:sz w:val="20"/>
        </w:rPr>
      </w:pPr>
      <w:r w:rsidRPr="00CF4263">
        <w:rPr>
          <w:rFonts w:ascii="Arial" w:hAnsi="Arial" w:cs="Arial"/>
          <w:sz w:val="20"/>
        </w:rPr>
        <w:t xml:space="preserve">Preglednica 67: Socialne in druge posebne storitve </w:t>
      </w:r>
      <w:bookmarkStart w:id="73" w:name="_Toc367784266"/>
      <w:bookmarkStart w:id="74" w:name="_Toc368925708"/>
      <w:bookmarkStart w:id="75" w:name="_Toc369000991"/>
      <w:r w:rsidRPr="00CF4263">
        <w:rPr>
          <w:rFonts w:ascii="Arial" w:hAnsi="Arial" w:cs="Arial"/>
          <w:sz w:val="20"/>
        </w:rPr>
        <w:t>glede na kategorije storitve</w:t>
      </w:r>
    </w:p>
    <w:p w14:paraId="606D3F84" w14:textId="77777777" w:rsidR="00F24E18" w:rsidRPr="00CF4263" w:rsidRDefault="00F24E18" w:rsidP="00F24E18">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3876"/>
        <w:gridCol w:w="861"/>
        <w:gridCol w:w="1635"/>
        <w:gridCol w:w="1419"/>
        <w:gridCol w:w="1383"/>
      </w:tblGrid>
      <w:tr w:rsidR="00F24E18" w:rsidRPr="00CF4263" w14:paraId="5D37F8F0" w14:textId="77777777" w:rsidTr="000E18B5">
        <w:trPr>
          <w:trHeight w:val="300"/>
          <w:tblHeader/>
        </w:trPr>
        <w:tc>
          <w:tcPr>
            <w:tcW w:w="211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2A84CA"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Kategorija storitve</w:t>
            </w:r>
          </w:p>
        </w:tc>
        <w:tc>
          <w:tcPr>
            <w:tcW w:w="46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35316B"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naročil</w:t>
            </w:r>
          </w:p>
        </w:tc>
        <w:tc>
          <w:tcPr>
            <w:tcW w:w="89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B5AF44"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Pogodbena vrednost</w:t>
            </w:r>
          </w:p>
        </w:tc>
        <w:tc>
          <w:tcPr>
            <w:tcW w:w="92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116B91"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v št. naročil</w:t>
            </w:r>
          </w:p>
        </w:tc>
        <w:tc>
          <w:tcPr>
            <w:tcW w:w="59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58656D"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v vrednosti</w:t>
            </w:r>
          </w:p>
        </w:tc>
      </w:tr>
      <w:tr w:rsidR="00F24E18" w:rsidRPr="00CF4263" w14:paraId="3E5465C4" w14:textId="77777777" w:rsidTr="000E18B5">
        <w:trPr>
          <w:trHeight w:val="300"/>
        </w:trPr>
        <w:tc>
          <w:tcPr>
            <w:tcW w:w="2112" w:type="pct"/>
            <w:tcBorders>
              <w:top w:val="nil"/>
              <w:left w:val="single" w:sz="4" w:space="0" w:color="auto"/>
              <w:bottom w:val="single" w:sz="4" w:space="0" w:color="auto"/>
              <w:right w:val="single" w:sz="4" w:space="0" w:color="auto"/>
            </w:tcBorders>
            <w:shd w:val="clear" w:color="auto" w:fill="auto"/>
            <w:noWrap/>
            <w:vAlign w:val="center"/>
            <w:hideMark/>
          </w:tcPr>
          <w:p w14:paraId="4755F01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Poštne in telekomunikacijske storitve</w:t>
            </w:r>
          </w:p>
        </w:tc>
        <w:tc>
          <w:tcPr>
            <w:tcW w:w="469" w:type="pct"/>
            <w:tcBorders>
              <w:top w:val="nil"/>
              <w:left w:val="nil"/>
              <w:bottom w:val="single" w:sz="4" w:space="0" w:color="auto"/>
              <w:right w:val="single" w:sz="4" w:space="0" w:color="auto"/>
            </w:tcBorders>
            <w:shd w:val="clear" w:color="auto" w:fill="auto"/>
            <w:noWrap/>
            <w:vAlign w:val="center"/>
            <w:hideMark/>
          </w:tcPr>
          <w:p w14:paraId="46E7B70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w:t>
            </w:r>
          </w:p>
        </w:tc>
        <w:tc>
          <w:tcPr>
            <w:tcW w:w="891" w:type="pct"/>
            <w:tcBorders>
              <w:top w:val="nil"/>
              <w:left w:val="nil"/>
              <w:bottom w:val="single" w:sz="4" w:space="0" w:color="auto"/>
              <w:right w:val="single" w:sz="4" w:space="0" w:color="auto"/>
            </w:tcBorders>
            <w:shd w:val="clear" w:color="auto" w:fill="auto"/>
            <w:noWrap/>
            <w:vAlign w:val="center"/>
            <w:hideMark/>
          </w:tcPr>
          <w:p w14:paraId="4266901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109.413.208</w:t>
            </w:r>
          </w:p>
        </w:tc>
        <w:tc>
          <w:tcPr>
            <w:tcW w:w="928" w:type="pct"/>
            <w:tcBorders>
              <w:top w:val="nil"/>
              <w:left w:val="nil"/>
              <w:bottom w:val="single" w:sz="4" w:space="0" w:color="auto"/>
              <w:right w:val="single" w:sz="4" w:space="0" w:color="auto"/>
            </w:tcBorders>
            <w:shd w:val="clear" w:color="auto" w:fill="auto"/>
            <w:noWrap/>
            <w:vAlign w:val="center"/>
            <w:hideMark/>
          </w:tcPr>
          <w:p w14:paraId="73B2B3C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20,00 %</w:t>
            </w:r>
          </w:p>
        </w:tc>
        <w:tc>
          <w:tcPr>
            <w:tcW w:w="599" w:type="pct"/>
            <w:tcBorders>
              <w:top w:val="nil"/>
              <w:left w:val="nil"/>
              <w:bottom w:val="single" w:sz="4" w:space="0" w:color="auto"/>
              <w:right w:val="single" w:sz="4" w:space="0" w:color="auto"/>
            </w:tcBorders>
            <w:shd w:val="clear" w:color="auto" w:fill="auto"/>
            <w:noWrap/>
            <w:vAlign w:val="center"/>
            <w:hideMark/>
          </w:tcPr>
          <w:p w14:paraId="29A8731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93,72 %</w:t>
            </w:r>
          </w:p>
        </w:tc>
      </w:tr>
      <w:tr w:rsidR="00F24E18" w:rsidRPr="00CF4263" w14:paraId="35EEB257" w14:textId="77777777" w:rsidTr="000E18B5">
        <w:trPr>
          <w:trHeight w:val="300"/>
        </w:trPr>
        <w:tc>
          <w:tcPr>
            <w:tcW w:w="2112" w:type="pct"/>
            <w:tcBorders>
              <w:top w:val="nil"/>
              <w:left w:val="single" w:sz="4" w:space="0" w:color="auto"/>
              <w:bottom w:val="single" w:sz="4" w:space="0" w:color="auto"/>
              <w:right w:val="single" w:sz="4" w:space="0" w:color="auto"/>
            </w:tcBorders>
            <w:shd w:val="clear" w:color="auto" w:fill="auto"/>
            <w:noWrap/>
            <w:vAlign w:val="center"/>
            <w:hideMark/>
          </w:tcPr>
          <w:p w14:paraId="46D0E85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hotelov, restavracij in trgovine na drobno</w:t>
            </w:r>
          </w:p>
        </w:tc>
        <w:tc>
          <w:tcPr>
            <w:tcW w:w="469" w:type="pct"/>
            <w:tcBorders>
              <w:top w:val="nil"/>
              <w:left w:val="nil"/>
              <w:bottom w:val="single" w:sz="4" w:space="0" w:color="auto"/>
              <w:right w:val="single" w:sz="4" w:space="0" w:color="auto"/>
            </w:tcBorders>
            <w:shd w:val="clear" w:color="auto" w:fill="auto"/>
            <w:noWrap/>
            <w:vAlign w:val="center"/>
            <w:hideMark/>
          </w:tcPr>
          <w:p w14:paraId="576D5CA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w:t>
            </w:r>
          </w:p>
        </w:tc>
        <w:tc>
          <w:tcPr>
            <w:tcW w:w="891" w:type="pct"/>
            <w:tcBorders>
              <w:top w:val="nil"/>
              <w:left w:val="nil"/>
              <w:bottom w:val="single" w:sz="4" w:space="0" w:color="auto"/>
              <w:right w:val="single" w:sz="4" w:space="0" w:color="auto"/>
            </w:tcBorders>
            <w:shd w:val="clear" w:color="auto" w:fill="auto"/>
            <w:noWrap/>
            <w:vAlign w:val="center"/>
            <w:hideMark/>
          </w:tcPr>
          <w:p w14:paraId="1987EB07"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4.025.635</w:t>
            </w:r>
          </w:p>
        </w:tc>
        <w:tc>
          <w:tcPr>
            <w:tcW w:w="928" w:type="pct"/>
            <w:tcBorders>
              <w:top w:val="nil"/>
              <w:left w:val="nil"/>
              <w:bottom w:val="single" w:sz="4" w:space="0" w:color="auto"/>
              <w:right w:val="single" w:sz="4" w:space="0" w:color="auto"/>
            </w:tcBorders>
            <w:shd w:val="clear" w:color="auto" w:fill="auto"/>
            <w:noWrap/>
            <w:vAlign w:val="center"/>
            <w:hideMark/>
          </w:tcPr>
          <w:p w14:paraId="0E50312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7,50 %</w:t>
            </w:r>
          </w:p>
        </w:tc>
        <w:tc>
          <w:tcPr>
            <w:tcW w:w="599" w:type="pct"/>
            <w:tcBorders>
              <w:top w:val="nil"/>
              <w:left w:val="nil"/>
              <w:bottom w:val="single" w:sz="4" w:space="0" w:color="auto"/>
              <w:right w:val="single" w:sz="4" w:space="0" w:color="auto"/>
            </w:tcBorders>
            <w:shd w:val="clear" w:color="auto" w:fill="auto"/>
            <w:noWrap/>
            <w:vAlign w:val="center"/>
            <w:hideMark/>
          </w:tcPr>
          <w:p w14:paraId="357A753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3,45 %</w:t>
            </w:r>
          </w:p>
        </w:tc>
      </w:tr>
      <w:tr w:rsidR="00F24E18" w:rsidRPr="00CF4263" w14:paraId="7428B9A4" w14:textId="77777777" w:rsidTr="000E18B5">
        <w:trPr>
          <w:trHeight w:val="300"/>
        </w:trPr>
        <w:tc>
          <w:tcPr>
            <w:tcW w:w="2112" w:type="pct"/>
            <w:tcBorders>
              <w:top w:val="nil"/>
              <w:left w:val="single" w:sz="4" w:space="0" w:color="auto"/>
              <w:bottom w:val="single" w:sz="4" w:space="0" w:color="auto"/>
              <w:right w:val="single" w:sz="4" w:space="0" w:color="auto"/>
            </w:tcBorders>
            <w:shd w:val="clear" w:color="auto" w:fill="auto"/>
            <w:noWrap/>
            <w:vAlign w:val="center"/>
            <w:hideMark/>
          </w:tcPr>
          <w:p w14:paraId="213C8FC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izobraževanja in usposabljanja</w:t>
            </w:r>
          </w:p>
        </w:tc>
        <w:tc>
          <w:tcPr>
            <w:tcW w:w="469" w:type="pct"/>
            <w:tcBorders>
              <w:top w:val="nil"/>
              <w:left w:val="nil"/>
              <w:bottom w:val="single" w:sz="4" w:space="0" w:color="auto"/>
              <w:right w:val="single" w:sz="4" w:space="0" w:color="auto"/>
            </w:tcBorders>
            <w:shd w:val="clear" w:color="auto" w:fill="auto"/>
            <w:noWrap/>
            <w:vAlign w:val="center"/>
            <w:hideMark/>
          </w:tcPr>
          <w:p w14:paraId="2B643C1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10</w:t>
            </w:r>
          </w:p>
        </w:tc>
        <w:tc>
          <w:tcPr>
            <w:tcW w:w="891" w:type="pct"/>
            <w:tcBorders>
              <w:top w:val="nil"/>
              <w:left w:val="nil"/>
              <w:bottom w:val="single" w:sz="4" w:space="0" w:color="auto"/>
              <w:right w:val="single" w:sz="4" w:space="0" w:color="auto"/>
            </w:tcBorders>
            <w:shd w:val="clear" w:color="auto" w:fill="auto"/>
            <w:noWrap/>
            <w:vAlign w:val="center"/>
            <w:hideMark/>
          </w:tcPr>
          <w:p w14:paraId="3F6197F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2.721.600</w:t>
            </w:r>
          </w:p>
        </w:tc>
        <w:tc>
          <w:tcPr>
            <w:tcW w:w="928" w:type="pct"/>
            <w:tcBorders>
              <w:top w:val="nil"/>
              <w:left w:val="nil"/>
              <w:bottom w:val="single" w:sz="4" w:space="0" w:color="auto"/>
              <w:right w:val="single" w:sz="4" w:space="0" w:color="auto"/>
            </w:tcBorders>
            <w:shd w:val="clear" w:color="auto" w:fill="auto"/>
            <w:noWrap/>
            <w:vAlign w:val="center"/>
            <w:hideMark/>
          </w:tcPr>
          <w:p w14:paraId="1E10C51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25,00 %</w:t>
            </w:r>
          </w:p>
        </w:tc>
        <w:tc>
          <w:tcPr>
            <w:tcW w:w="599" w:type="pct"/>
            <w:tcBorders>
              <w:top w:val="nil"/>
              <w:left w:val="nil"/>
              <w:bottom w:val="single" w:sz="4" w:space="0" w:color="auto"/>
              <w:right w:val="single" w:sz="4" w:space="0" w:color="auto"/>
            </w:tcBorders>
            <w:shd w:val="clear" w:color="auto" w:fill="auto"/>
            <w:noWrap/>
            <w:vAlign w:val="center"/>
            <w:hideMark/>
          </w:tcPr>
          <w:p w14:paraId="0466BB3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2,33 %</w:t>
            </w:r>
          </w:p>
        </w:tc>
      </w:tr>
      <w:tr w:rsidR="00F24E18" w:rsidRPr="00CF4263" w14:paraId="06FC33AB" w14:textId="77777777" w:rsidTr="000E18B5">
        <w:trPr>
          <w:trHeight w:val="300"/>
        </w:trPr>
        <w:tc>
          <w:tcPr>
            <w:tcW w:w="2112" w:type="pct"/>
            <w:tcBorders>
              <w:top w:val="nil"/>
              <w:left w:val="single" w:sz="4" w:space="0" w:color="auto"/>
              <w:bottom w:val="single" w:sz="4" w:space="0" w:color="auto"/>
              <w:right w:val="single" w:sz="4" w:space="0" w:color="auto"/>
            </w:tcBorders>
            <w:shd w:val="clear" w:color="auto" w:fill="auto"/>
            <w:noWrap/>
            <w:vAlign w:val="center"/>
            <w:hideMark/>
          </w:tcPr>
          <w:p w14:paraId="5966BD2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lastRenderedPageBreak/>
              <w:t>Storitve na področju zdravstva in socialnega varstva</w:t>
            </w:r>
          </w:p>
        </w:tc>
        <w:tc>
          <w:tcPr>
            <w:tcW w:w="469" w:type="pct"/>
            <w:tcBorders>
              <w:top w:val="nil"/>
              <w:left w:val="nil"/>
              <w:bottom w:val="single" w:sz="4" w:space="0" w:color="auto"/>
              <w:right w:val="single" w:sz="4" w:space="0" w:color="auto"/>
            </w:tcBorders>
            <w:shd w:val="clear" w:color="auto" w:fill="auto"/>
            <w:noWrap/>
            <w:vAlign w:val="center"/>
            <w:hideMark/>
          </w:tcPr>
          <w:p w14:paraId="5573E65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w:t>
            </w:r>
          </w:p>
        </w:tc>
        <w:tc>
          <w:tcPr>
            <w:tcW w:w="891" w:type="pct"/>
            <w:tcBorders>
              <w:top w:val="nil"/>
              <w:left w:val="nil"/>
              <w:bottom w:val="single" w:sz="4" w:space="0" w:color="auto"/>
              <w:right w:val="single" w:sz="4" w:space="0" w:color="auto"/>
            </w:tcBorders>
            <w:shd w:val="clear" w:color="auto" w:fill="auto"/>
            <w:noWrap/>
            <w:vAlign w:val="center"/>
            <w:hideMark/>
          </w:tcPr>
          <w:p w14:paraId="5A59BCD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18.000</w:t>
            </w:r>
          </w:p>
        </w:tc>
        <w:tc>
          <w:tcPr>
            <w:tcW w:w="928" w:type="pct"/>
            <w:tcBorders>
              <w:top w:val="nil"/>
              <w:left w:val="nil"/>
              <w:bottom w:val="single" w:sz="4" w:space="0" w:color="auto"/>
              <w:right w:val="single" w:sz="4" w:space="0" w:color="auto"/>
            </w:tcBorders>
            <w:shd w:val="clear" w:color="auto" w:fill="auto"/>
            <w:noWrap/>
            <w:vAlign w:val="center"/>
            <w:hideMark/>
          </w:tcPr>
          <w:p w14:paraId="3FAED81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2,50 %</w:t>
            </w:r>
          </w:p>
        </w:tc>
        <w:tc>
          <w:tcPr>
            <w:tcW w:w="599" w:type="pct"/>
            <w:tcBorders>
              <w:top w:val="nil"/>
              <w:left w:val="nil"/>
              <w:bottom w:val="single" w:sz="4" w:space="0" w:color="auto"/>
              <w:right w:val="single" w:sz="4" w:space="0" w:color="auto"/>
            </w:tcBorders>
            <w:shd w:val="clear" w:color="auto" w:fill="auto"/>
            <w:noWrap/>
            <w:vAlign w:val="center"/>
            <w:hideMark/>
          </w:tcPr>
          <w:p w14:paraId="31A44BC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0,02 %</w:t>
            </w:r>
          </w:p>
        </w:tc>
      </w:tr>
      <w:tr w:rsidR="00F24E18" w:rsidRPr="00CF4263" w14:paraId="30993415" w14:textId="77777777" w:rsidTr="000E18B5">
        <w:trPr>
          <w:trHeight w:val="300"/>
        </w:trPr>
        <w:tc>
          <w:tcPr>
            <w:tcW w:w="2112" w:type="pct"/>
            <w:tcBorders>
              <w:top w:val="nil"/>
              <w:left w:val="single" w:sz="4" w:space="0" w:color="auto"/>
              <w:bottom w:val="single" w:sz="4" w:space="0" w:color="auto"/>
              <w:right w:val="single" w:sz="4" w:space="0" w:color="auto"/>
            </w:tcBorders>
            <w:shd w:val="clear" w:color="auto" w:fill="auto"/>
            <w:noWrap/>
            <w:vAlign w:val="center"/>
            <w:hideMark/>
          </w:tcPr>
          <w:p w14:paraId="1456CBD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uprave, obrambe in socialnega zavarovanja</w:t>
            </w:r>
          </w:p>
        </w:tc>
        <w:tc>
          <w:tcPr>
            <w:tcW w:w="469" w:type="pct"/>
            <w:tcBorders>
              <w:top w:val="nil"/>
              <w:left w:val="nil"/>
              <w:bottom w:val="single" w:sz="4" w:space="0" w:color="auto"/>
              <w:right w:val="single" w:sz="4" w:space="0" w:color="auto"/>
            </w:tcBorders>
            <w:shd w:val="clear" w:color="auto" w:fill="auto"/>
            <w:noWrap/>
            <w:vAlign w:val="center"/>
            <w:hideMark/>
          </w:tcPr>
          <w:p w14:paraId="60D6AAB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16</w:t>
            </w:r>
          </w:p>
        </w:tc>
        <w:tc>
          <w:tcPr>
            <w:tcW w:w="891" w:type="pct"/>
            <w:tcBorders>
              <w:top w:val="nil"/>
              <w:left w:val="nil"/>
              <w:bottom w:val="single" w:sz="4" w:space="0" w:color="auto"/>
              <w:right w:val="single" w:sz="4" w:space="0" w:color="auto"/>
            </w:tcBorders>
            <w:shd w:val="clear" w:color="auto" w:fill="auto"/>
            <w:noWrap/>
            <w:vAlign w:val="center"/>
            <w:hideMark/>
          </w:tcPr>
          <w:p w14:paraId="2660A78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536.210</w:t>
            </w:r>
          </w:p>
        </w:tc>
        <w:tc>
          <w:tcPr>
            <w:tcW w:w="928" w:type="pct"/>
            <w:tcBorders>
              <w:top w:val="nil"/>
              <w:left w:val="nil"/>
              <w:bottom w:val="single" w:sz="4" w:space="0" w:color="auto"/>
              <w:right w:val="single" w:sz="4" w:space="0" w:color="auto"/>
            </w:tcBorders>
            <w:shd w:val="clear" w:color="auto" w:fill="auto"/>
            <w:noWrap/>
            <w:vAlign w:val="center"/>
            <w:hideMark/>
          </w:tcPr>
          <w:p w14:paraId="650850A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40,00 %</w:t>
            </w:r>
          </w:p>
        </w:tc>
        <w:tc>
          <w:tcPr>
            <w:tcW w:w="599" w:type="pct"/>
            <w:tcBorders>
              <w:top w:val="nil"/>
              <w:left w:val="nil"/>
              <w:bottom w:val="single" w:sz="4" w:space="0" w:color="auto"/>
              <w:right w:val="single" w:sz="4" w:space="0" w:color="auto"/>
            </w:tcBorders>
            <w:shd w:val="clear" w:color="auto" w:fill="auto"/>
            <w:noWrap/>
            <w:vAlign w:val="center"/>
            <w:hideMark/>
          </w:tcPr>
          <w:p w14:paraId="0B0A98E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0,46 %</w:t>
            </w:r>
          </w:p>
        </w:tc>
      </w:tr>
      <w:tr w:rsidR="00F24E18" w:rsidRPr="00CF4263" w14:paraId="5A8EAC4F" w14:textId="77777777" w:rsidTr="000E18B5">
        <w:trPr>
          <w:trHeight w:val="300"/>
        </w:trPr>
        <w:tc>
          <w:tcPr>
            <w:tcW w:w="2112" w:type="pct"/>
            <w:tcBorders>
              <w:top w:val="nil"/>
              <w:left w:val="single" w:sz="4" w:space="0" w:color="auto"/>
              <w:bottom w:val="single" w:sz="4" w:space="0" w:color="auto"/>
              <w:right w:val="single" w:sz="4" w:space="0" w:color="auto"/>
            </w:tcBorders>
            <w:shd w:val="clear" w:color="auto" w:fill="auto"/>
            <w:noWrap/>
            <w:vAlign w:val="center"/>
            <w:hideMark/>
          </w:tcPr>
          <w:p w14:paraId="006FD2C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zdravnikov specialistov</w:t>
            </w:r>
          </w:p>
        </w:tc>
        <w:tc>
          <w:tcPr>
            <w:tcW w:w="469" w:type="pct"/>
            <w:tcBorders>
              <w:top w:val="nil"/>
              <w:left w:val="nil"/>
              <w:bottom w:val="single" w:sz="4" w:space="0" w:color="auto"/>
              <w:right w:val="single" w:sz="4" w:space="0" w:color="auto"/>
            </w:tcBorders>
            <w:shd w:val="clear" w:color="auto" w:fill="auto"/>
            <w:noWrap/>
            <w:vAlign w:val="center"/>
            <w:hideMark/>
          </w:tcPr>
          <w:p w14:paraId="5CF5411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w:t>
            </w:r>
          </w:p>
        </w:tc>
        <w:tc>
          <w:tcPr>
            <w:tcW w:w="891" w:type="pct"/>
            <w:tcBorders>
              <w:top w:val="nil"/>
              <w:left w:val="nil"/>
              <w:bottom w:val="single" w:sz="4" w:space="0" w:color="auto"/>
              <w:right w:val="single" w:sz="4" w:space="0" w:color="auto"/>
            </w:tcBorders>
            <w:shd w:val="clear" w:color="auto" w:fill="auto"/>
            <w:noWrap/>
            <w:vAlign w:val="center"/>
            <w:hideMark/>
          </w:tcPr>
          <w:p w14:paraId="47CF807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25.755</w:t>
            </w:r>
          </w:p>
        </w:tc>
        <w:tc>
          <w:tcPr>
            <w:tcW w:w="928" w:type="pct"/>
            <w:tcBorders>
              <w:top w:val="nil"/>
              <w:left w:val="nil"/>
              <w:bottom w:val="single" w:sz="4" w:space="0" w:color="auto"/>
              <w:right w:val="single" w:sz="4" w:space="0" w:color="auto"/>
            </w:tcBorders>
            <w:shd w:val="clear" w:color="auto" w:fill="auto"/>
            <w:noWrap/>
            <w:vAlign w:val="center"/>
            <w:hideMark/>
          </w:tcPr>
          <w:p w14:paraId="7E809B3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5,00 %</w:t>
            </w:r>
          </w:p>
        </w:tc>
        <w:tc>
          <w:tcPr>
            <w:tcW w:w="599" w:type="pct"/>
            <w:tcBorders>
              <w:top w:val="nil"/>
              <w:left w:val="nil"/>
              <w:bottom w:val="single" w:sz="4" w:space="0" w:color="auto"/>
              <w:right w:val="single" w:sz="4" w:space="0" w:color="auto"/>
            </w:tcBorders>
            <w:shd w:val="clear" w:color="auto" w:fill="auto"/>
            <w:noWrap/>
            <w:vAlign w:val="center"/>
            <w:hideMark/>
          </w:tcPr>
          <w:p w14:paraId="26CE7C9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0,02 %</w:t>
            </w:r>
          </w:p>
        </w:tc>
      </w:tr>
      <w:tr w:rsidR="00F24E18" w:rsidRPr="00242E41" w14:paraId="7E599D2A" w14:textId="77777777" w:rsidTr="000E18B5">
        <w:trPr>
          <w:trHeight w:val="300"/>
        </w:trPr>
        <w:tc>
          <w:tcPr>
            <w:tcW w:w="211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752B6A"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469" w:type="pct"/>
            <w:tcBorders>
              <w:top w:val="nil"/>
              <w:left w:val="nil"/>
              <w:bottom w:val="single" w:sz="4" w:space="0" w:color="auto"/>
              <w:right w:val="single" w:sz="4" w:space="0" w:color="auto"/>
            </w:tcBorders>
            <w:shd w:val="clear" w:color="auto" w:fill="F2F2F2" w:themeFill="background1" w:themeFillShade="F2"/>
            <w:noWrap/>
            <w:vAlign w:val="center"/>
            <w:hideMark/>
          </w:tcPr>
          <w:p w14:paraId="600F5DBE"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40</w:t>
            </w:r>
          </w:p>
        </w:tc>
        <w:tc>
          <w:tcPr>
            <w:tcW w:w="891" w:type="pct"/>
            <w:tcBorders>
              <w:top w:val="nil"/>
              <w:left w:val="nil"/>
              <w:bottom w:val="single" w:sz="4" w:space="0" w:color="auto"/>
              <w:right w:val="single" w:sz="4" w:space="0" w:color="auto"/>
            </w:tcBorders>
            <w:shd w:val="clear" w:color="auto" w:fill="F2F2F2" w:themeFill="background1" w:themeFillShade="F2"/>
            <w:noWrap/>
            <w:vAlign w:val="center"/>
            <w:hideMark/>
          </w:tcPr>
          <w:p w14:paraId="488C32DE"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116.740.408</w:t>
            </w:r>
          </w:p>
        </w:tc>
        <w:tc>
          <w:tcPr>
            <w:tcW w:w="928" w:type="pct"/>
            <w:tcBorders>
              <w:top w:val="nil"/>
              <w:left w:val="nil"/>
              <w:bottom w:val="single" w:sz="4" w:space="0" w:color="auto"/>
              <w:right w:val="single" w:sz="4" w:space="0" w:color="auto"/>
            </w:tcBorders>
            <w:shd w:val="clear" w:color="auto" w:fill="F2F2F2" w:themeFill="background1" w:themeFillShade="F2"/>
            <w:noWrap/>
            <w:vAlign w:val="center"/>
            <w:hideMark/>
          </w:tcPr>
          <w:p w14:paraId="45883741"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100,00 %</w:t>
            </w:r>
          </w:p>
        </w:tc>
        <w:tc>
          <w:tcPr>
            <w:tcW w:w="599" w:type="pct"/>
            <w:tcBorders>
              <w:top w:val="nil"/>
              <w:left w:val="nil"/>
              <w:bottom w:val="single" w:sz="4" w:space="0" w:color="auto"/>
              <w:right w:val="single" w:sz="4" w:space="0" w:color="auto"/>
            </w:tcBorders>
            <w:shd w:val="clear" w:color="auto" w:fill="F2F2F2" w:themeFill="background1" w:themeFillShade="F2"/>
            <w:noWrap/>
            <w:vAlign w:val="center"/>
            <w:hideMark/>
          </w:tcPr>
          <w:p w14:paraId="15BC92D4"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100,00 %</w:t>
            </w:r>
          </w:p>
        </w:tc>
      </w:tr>
    </w:tbl>
    <w:p w14:paraId="4EEF3F68" w14:textId="77777777" w:rsidR="00F24E18" w:rsidRPr="00242E41" w:rsidRDefault="00F24E18" w:rsidP="00F24E18">
      <w:pPr>
        <w:spacing w:before="120" w:after="0" w:line="240" w:lineRule="auto"/>
        <w:jc w:val="both"/>
        <w:rPr>
          <w:rFonts w:ascii="Arial" w:hAnsi="Arial" w:cs="Arial"/>
          <w:sz w:val="20"/>
          <w:highlight w:val="yellow"/>
        </w:rPr>
      </w:pPr>
    </w:p>
    <w:p w14:paraId="4B604907" w14:textId="77777777" w:rsidR="00F24E18" w:rsidRPr="00CF4263" w:rsidRDefault="00F24E18" w:rsidP="00F24E18">
      <w:pPr>
        <w:spacing w:before="120" w:after="0" w:line="240" w:lineRule="auto"/>
        <w:jc w:val="both"/>
        <w:rPr>
          <w:rFonts w:ascii="Arial" w:hAnsi="Arial" w:cs="Arial"/>
          <w:sz w:val="20"/>
        </w:rPr>
      </w:pPr>
      <w:r w:rsidRPr="00CF4263">
        <w:rPr>
          <w:rFonts w:ascii="Arial" w:hAnsi="Arial" w:cs="Arial"/>
          <w:sz w:val="20"/>
        </w:rPr>
        <w:t xml:space="preserve">Preglednica 68: Socialne in druge posebne storitve glede na poreklo ponudnika in kategorije storitve </w:t>
      </w:r>
    </w:p>
    <w:p w14:paraId="47DE7FFD" w14:textId="77777777" w:rsidR="00F24E18" w:rsidRPr="00CF4263" w:rsidRDefault="00F24E18" w:rsidP="00F24E18">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4293"/>
        <w:gridCol w:w="991"/>
        <w:gridCol w:w="672"/>
        <w:gridCol w:w="1141"/>
        <w:gridCol w:w="1046"/>
        <w:gridCol w:w="1031"/>
      </w:tblGrid>
      <w:tr w:rsidR="00F24E18" w:rsidRPr="00CF4263" w14:paraId="6A754C80" w14:textId="77777777" w:rsidTr="000E18B5">
        <w:trPr>
          <w:trHeight w:val="300"/>
        </w:trPr>
        <w:tc>
          <w:tcPr>
            <w:tcW w:w="234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DE0DCB6"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bookmarkStart w:id="76" w:name="_Toc398038709"/>
            <w:bookmarkStart w:id="77" w:name="_Toc398040188"/>
            <w:bookmarkStart w:id="78" w:name="_Toc398584426"/>
            <w:bookmarkStart w:id="79" w:name="_Toc461086443"/>
            <w:bookmarkStart w:id="80" w:name="_Toc461608815"/>
            <w:bookmarkStart w:id="81" w:name="_Toc462401234"/>
            <w:r w:rsidRPr="00CF4263">
              <w:rPr>
                <w:rFonts w:ascii="Arial" w:eastAsia="Times New Roman" w:hAnsi="Arial" w:cs="Arial"/>
                <w:color w:val="000000"/>
                <w:sz w:val="18"/>
                <w:szCs w:val="18"/>
                <w:lang w:eastAsia="sl-SI"/>
              </w:rPr>
              <w:t>Kategorija storitve</w:t>
            </w:r>
          </w:p>
        </w:tc>
        <w:tc>
          <w:tcPr>
            <w:tcW w:w="540" w:type="pct"/>
            <w:tcBorders>
              <w:top w:val="single" w:sz="4" w:space="0" w:color="auto"/>
              <w:left w:val="nil"/>
              <w:bottom w:val="single" w:sz="4" w:space="0" w:color="auto"/>
              <w:right w:val="single" w:sz="4" w:space="0" w:color="auto"/>
            </w:tcBorders>
            <w:shd w:val="clear" w:color="000000" w:fill="F2F2F2"/>
            <w:vAlign w:val="center"/>
            <w:hideMark/>
          </w:tcPr>
          <w:p w14:paraId="767FF6C0"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Poreklo ponudnika</w:t>
            </w:r>
          </w:p>
        </w:tc>
        <w:tc>
          <w:tcPr>
            <w:tcW w:w="366" w:type="pct"/>
            <w:tcBorders>
              <w:top w:val="single" w:sz="4" w:space="0" w:color="auto"/>
              <w:left w:val="nil"/>
              <w:bottom w:val="single" w:sz="4" w:space="0" w:color="auto"/>
              <w:right w:val="single" w:sz="4" w:space="0" w:color="auto"/>
            </w:tcBorders>
            <w:shd w:val="clear" w:color="000000" w:fill="F2F2F2"/>
            <w:vAlign w:val="center"/>
            <w:hideMark/>
          </w:tcPr>
          <w:p w14:paraId="262A0C47"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naročil</w:t>
            </w:r>
          </w:p>
        </w:tc>
        <w:tc>
          <w:tcPr>
            <w:tcW w:w="622" w:type="pct"/>
            <w:tcBorders>
              <w:top w:val="single" w:sz="4" w:space="0" w:color="auto"/>
              <w:left w:val="nil"/>
              <w:bottom w:val="single" w:sz="4" w:space="0" w:color="auto"/>
              <w:right w:val="single" w:sz="4" w:space="0" w:color="auto"/>
            </w:tcBorders>
            <w:shd w:val="clear" w:color="000000" w:fill="F2F2F2"/>
            <w:vAlign w:val="center"/>
            <w:hideMark/>
          </w:tcPr>
          <w:p w14:paraId="3625C241"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Pogodbena vrednost</w:t>
            </w:r>
          </w:p>
        </w:tc>
        <w:tc>
          <w:tcPr>
            <w:tcW w:w="570" w:type="pct"/>
            <w:tcBorders>
              <w:top w:val="single" w:sz="4" w:space="0" w:color="auto"/>
              <w:left w:val="nil"/>
              <w:bottom w:val="single" w:sz="4" w:space="0" w:color="auto"/>
              <w:right w:val="single" w:sz="4" w:space="0" w:color="auto"/>
            </w:tcBorders>
            <w:shd w:val="clear" w:color="000000" w:fill="F2F2F2"/>
            <w:vAlign w:val="center"/>
            <w:hideMark/>
          </w:tcPr>
          <w:p w14:paraId="619A15DF"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v št. naročil</w:t>
            </w:r>
          </w:p>
        </w:tc>
        <w:tc>
          <w:tcPr>
            <w:tcW w:w="563" w:type="pct"/>
            <w:tcBorders>
              <w:top w:val="single" w:sz="4" w:space="0" w:color="auto"/>
              <w:left w:val="nil"/>
              <w:bottom w:val="single" w:sz="4" w:space="0" w:color="auto"/>
              <w:right w:val="single" w:sz="4" w:space="0" w:color="auto"/>
            </w:tcBorders>
            <w:shd w:val="clear" w:color="000000" w:fill="F2F2F2"/>
            <w:vAlign w:val="center"/>
            <w:hideMark/>
          </w:tcPr>
          <w:p w14:paraId="6F45F92E"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v vrednosti</w:t>
            </w:r>
          </w:p>
        </w:tc>
      </w:tr>
      <w:tr w:rsidR="00F24E18" w:rsidRPr="00CF4263" w14:paraId="3F59DA5E" w14:textId="77777777" w:rsidTr="000E18B5">
        <w:trPr>
          <w:trHeight w:val="30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14:paraId="3104AED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Poštne in telekomunikacijske storitve</w:t>
            </w:r>
          </w:p>
        </w:tc>
        <w:tc>
          <w:tcPr>
            <w:tcW w:w="540" w:type="pct"/>
            <w:tcBorders>
              <w:top w:val="nil"/>
              <w:left w:val="nil"/>
              <w:bottom w:val="single" w:sz="4" w:space="0" w:color="auto"/>
              <w:right w:val="single" w:sz="4" w:space="0" w:color="auto"/>
            </w:tcBorders>
            <w:shd w:val="clear" w:color="auto" w:fill="auto"/>
            <w:noWrap/>
            <w:vAlign w:val="center"/>
            <w:hideMark/>
          </w:tcPr>
          <w:p w14:paraId="1BB3DD2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Slovenija</w:t>
            </w:r>
          </w:p>
        </w:tc>
        <w:tc>
          <w:tcPr>
            <w:tcW w:w="366" w:type="pct"/>
            <w:tcBorders>
              <w:top w:val="nil"/>
              <w:left w:val="nil"/>
              <w:bottom w:val="single" w:sz="4" w:space="0" w:color="auto"/>
              <w:right w:val="single" w:sz="4" w:space="0" w:color="auto"/>
            </w:tcBorders>
            <w:shd w:val="clear" w:color="auto" w:fill="auto"/>
            <w:noWrap/>
            <w:vAlign w:val="center"/>
            <w:hideMark/>
          </w:tcPr>
          <w:p w14:paraId="5E38B8E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w:t>
            </w:r>
          </w:p>
        </w:tc>
        <w:tc>
          <w:tcPr>
            <w:tcW w:w="622" w:type="pct"/>
            <w:tcBorders>
              <w:top w:val="nil"/>
              <w:left w:val="nil"/>
              <w:bottom w:val="single" w:sz="4" w:space="0" w:color="auto"/>
              <w:right w:val="single" w:sz="4" w:space="0" w:color="auto"/>
            </w:tcBorders>
            <w:shd w:val="clear" w:color="auto" w:fill="auto"/>
            <w:noWrap/>
            <w:vAlign w:val="center"/>
            <w:hideMark/>
          </w:tcPr>
          <w:p w14:paraId="411945B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109.413.208</w:t>
            </w:r>
          </w:p>
        </w:tc>
        <w:tc>
          <w:tcPr>
            <w:tcW w:w="570" w:type="pct"/>
            <w:tcBorders>
              <w:top w:val="nil"/>
              <w:left w:val="nil"/>
              <w:bottom w:val="single" w:sz="4" w:space="0" w:color="auto"/>
              <w:right w:val="single" w:sz="4" w:space="0" w:color="auto"/>
            </w:tcBorders>
            <w:shd w:val="clear" w:color="auto" w:fill="auto"/>
            <w:noWrap/>
            <w:vAlign w:val="center"/>
            <w:hideMark/>
          </w:tcPr>
          <w:p w14:paraId="0193426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20,00 %</w:t>
            </w:r>
          </w:p>
        </w:tc>
        <w:tc>
          <w:tcPr>
            <w:tcW w:w="563" w:type="pct"/>
            <w:tcBorders>
              <w:top w:val="nil"/>
              <w:left w:val="nil"/>
              <w:bottom w:val="single" w:sz="4" w:space="0" w:color="auto"/>
              <w:right w:val="single" w:sz="4" w:space="0" w:color="auto"/>
            </w:tcBorders>
            <w:shd w:val="clear" w:color="auto" w:fill="auto"/>
            <w:noWrap/>
            <w:vAlign w:val="center"/>
            <w:hideMark/>
          </w:tcPr>
          <w:p w14:paraId="0966947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93,72 %</w:t>
            </w:r>
          </w:p>
        </w:tc>
      </w:tr>
      <w:tr w:rsidR="00F24E18" w:rsidRPr="00CF4263" w14:paraId="08134F98" w14:textId="77777777" w:rsidTr="000E18B5">
        <w:trPr>
          <w:trHeight w:val="30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14:paraId="751B1E4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hotelov, restavracij in trgovine na drobno</w:t>
            </w:r>
          </w:p>
        </w:tc>
        <w:tc>
          <w:tcPr>
            <w:tcW w:w="540" w:type="pct"/>
            <w:tcBorders>
              <w:top w:val="nil"/>
              <w:left w:val="nil"/>
              <w:bottom w:val="single" w:sz="4" w:space="0" w:color="auto"/>
              <w:right w:val="single" w:sz="4" w:space="0" w:color="auto"/>
            </w:tcBorders>
            <w:shd w:val="clear" w:color="auto" w:fill="auto"/>
            <w:noWrap/>
            <w:vAlign w:val="center"/>
            <w:hideMark/>
          </w:tcPr>
          <w:p w14:paraId="2C656EF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Slovenija</w:t>
            </w:r>
          </w:p>
        </w:tc>
        <w:tc>
          <w:tcPr>
            <w:tcW w:w="366" w:type="pct"/>
            <w:tcBorders>
              <w:top w:val="nil"/>
              <w:left w:val="nil"/>
              <w:bottom w:val="single" w:sz="4" w:space="0" w:color="auto"/>
              <w:right w:val="single" w:sz="4" w:space="0" w:color="auto"/>
            </w:tcBorders>
            <w:shd w:val="clear" w:color="auto" w:fill="auto"/>
            <w:noWrap/>
            <w:vAlign w:val="center"/>
            <w:hideMark/>
          </w:tcPr>
          <w:p w14:paraId="4A5E1C2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w:t>
            </w:r>
          </w:p>
        </w:tc>
        <w:tc>
          <w:tcPr>
            <w:tcW w:w="622" w:type="pct"/>
            <w:tcBorders>
              <w:top w:val="nil"/>
              <w:left w:val="nil"/>
              <w:bottom w:val="single" w:sz="4" w:space="0" w:color="auto"/>
              <w:right w:val="single" w:sz="4" w:space="0" w:color="auto"/>
            </w:tcBorders>
            <w:shd w:val="clear" w:color="auto" w:fill="auto"/>
            <w:noWrap/>
            <w:vAlign w:val="center"/>
            <w:hideMark/>
          </w:tcPr>
          <w:p w14:paraId="176A964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4.025.635</w:t>
            </w:r>
          </w:p>
        </w:tc>
        <w:tc>
          <w:tcPr>
            <w:tcW w:w="570" w:type="pct"/>
            <w:tcBorders>
              <w:top w:val="nil"/>
              <w:left w:val="nil"/>
              <w:bottom w:val="single" w:sz="4" w:space="0" w:color="auto"/>
              <w:right w:val="single" w:sz="4" w:space="0" w:color="auto"/>
            </w:tcBorders>
            <w:shd w:val="clear" w:color="auto" w:fill="auto"/>
            <w:noWrap/>
            <w:vAlign w:val="center"/>
            <w:hideMark/>
          </w:tcPr>
          <w:p w14:paraId="6F14E02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7,50 %</w:t>
            </w:r>
          </w:p>
        </w:tc>
        <w:tc>
          <w:tcPr>
            <w:tcW w:w="563" w:type="pct"/>
            <w:tcBorders>
              <w:top w:val="nil"/>
              <w:left w:val="nil"/>
              <w:bottom w:val="single" w:sz="4" w:space="0" w:color="auto"/>
              <w:right w:val="single" w:sz="4" w:space="0" w:color="auto"/>
            </w:tcBorders>
            <w:shd w:val="clear" w:color="auto" w:fill="auto"/>
            <w:noWrap/>
            <w:vAlign w:val="center"/>
            <w:hideMark/>
          </w:tcPr>
          <w:p w14:paraId="0EE87D1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3,45 %</w:t>
            </w:r>
          </w:p>
        </w:tc>
      </w:tr>
      <w:tr w:rsidR="00F24E18" w:rsidRPr="00CF4263" w14:paraId="1C764486" w14:textId="77777777" w:rsidTr="000E18B5">
        <w:trPr>
          <w:trHeight w:val="30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14:paraId="67E1403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izobraževanja in usposabljanja</w:t>
            </w:r>
          </w:p>
        </w:tc>
        <w:tc>
          <w:tcPr>
            <w:tcW w:w="540" w:type="pct"/>
            <w:tcBorders>
              <w:top w:val="nil"/>
              <w:left w:val="nil"/>
              <w:bottom w:val="single" w:sz="4" w:space="0" w:color="auto"/>
              <w:right w:val="single" w:sz="4" w:space="0" w:color="auto"/>
            </w:tcBorders>
            <w:shd w:val="clear" w:color="auto" w:fill="auto"/>
            <w:noWrap/>
            <w:vAlign w:val="center"/>
            <w:hideMark/>
          </w:tcPr>
          <w:p w14:paraId="4768D76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Slovenija</w:t>
            </w:r>
          </w:p>
        </w:tc>
        <w:tc>
          <w:tcPr>
            <w:tcW w:w="366" w:type="pct"/>
            <w:tcBorders>
              <w:top w:val="nil"/>
              <w:left w:val="nil"/>
              <w:bottom w:val="single" w:sz="4" w:space="0" w:color="auto"/>
              <w:right w:val="single" w:sz="4" w:space="0" w:color="auto"/>
            </w:tcBorders>
            <w:shd w:val="clear" w:color="auto" w:fill="auto"/>
            <w:noWrap/>
            <w:vAlign w:val="center"/>
            <w:hideMark/>
          </w:tcPr>
          <w:p w14:paraId="1C1C02A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10</w:t>
            </w:r>
          </w:p>
        </w:tc>
        <w:tc>
          <w:tcPr>
            <w:tcW w:w="622" w:type="pct"/>
            <w:tcBorders>
              <w:top w:val="nil"/>
              <w:left w:val="nil"/>
              <w:bottom w:val="single" w:sz="4" w:space="0" w:color="auto"/>
              <w:right w:val="single" w:sz="4" w:space="0" w:color="auto"/>
            </w:tcBorders>
            <w:shd w:val="clear" w:color="auto" w:fill="auto"/>
            <w:noWrap/>
            <w:vAlign w:val="center"/>
            <w:hideMark/>
          </w:tcPr>
          <w:p w14:paraId="799D922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2.721.600</w:t>
            </w:r>
          </w:p>
        </w:tc>
        <w:tc>
          <w:tcPr>
            <w:tcW w:w="570" w:type="pct"/>
            <w:tcBorders>
              <w:top w:val="nil"/>
              <w:left w:val="nil"/>
              <w:bottom w:val="single" w:sz="4" w:space="0" w:color="auto"/>
              <w:right w:val="single" w:sz="4" w:space="0" w:color="auto"/>
            </w:tcBorders>
            <w:shd w:val="clear" w:color="auto" w:fill="auto"/>
            <w:noWrap/>
            <w:vAlign w:val="center"/>
            <w:hideMark/>
          </w:tcPr>
          <w:p w14:paraId="2CFD072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25,00 %</w:t>
            </w:r>
          </w:p>
        </w:tc>
        <w:tc>
          <w:tcPr>
            <w:tcW w:w="563" w:type="pct"/>
            <w:tcBorders>
              <w:top w:val="nil"/>
              <w:left w:val="nil"/>
              <w:bottom w:val="single" w:sz="4" w:space="0" w:color="auto"/>
              <w:right w:val="single" w:sz="4" w:space="0" w:color="auto"/>
            </w:tcBorders>
            <w:shd w:val="clear" w:color="auto" w:fill="auto"/>
            <w:noWrap/>
            <w:vAlign w:val="center"/>
            <w:hideMark/>
          </w:tcPr>
          <w:p w14:paraId="020888D7"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2,33 %</w:t>
            </w:r>
          </w:p>
        </w:tc>
      </w:tr>
      <w:tr w:rsidR="00F24E18" w:rsidRPr="00CF4263" w14:paraId="377FA14B" w14:textId="77777777" w:rsidTr="000E18B5">
        <w:trPr>
          <w:trHeight w:val="30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14:paraId="002F86C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na področju zdravstva in socialnega varstva</w:t>
            </w:r>
          </w:p>
        </w:tc>
        <w:tc>
          <w:tcPr>
            <w:tcW w:w="540" w:type="pct"/>
            <w:tcBorders>
              <w:top w:val="nil"/>
              <w:left w:val="nil"/>
              <w:bottom w:val="single" w:sz="4" w:space="0" w:color="auto"/>
              <w:right w:val="single" w:sz="4" w:space="0" w:color="auto"/>
            </w:tcBorders>
            <w:shd w:val="clear" w:color="auto" w:fill="auto"/>
            <w:noWrap/>
            <w:vAlign w:val="center"/>
            <w:hideMark/>
          </w:tcPr>
          <w:p w14:paraId="3A5320D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Slovenija</w:t>
            </w:r>
          </w:p>
        </w:tc>
        <w:tc>
          <w:tcPr>
            <w:tcW w:w="366" w:type="pct"/>
            <w:tcBorders>
              <w:top w:val="nil"/>
              <w:left w:val="nil"/>
              <w:bottom w:val="single" w:sz="4" w:space="0" w:color="auto"/>
              <w:right w:val="single" w:sz="4" w:space="0" w:color="auto"/>
            </w:tcBorders>
            <w:shd w:val="clear" w:color="auto" w:fill="auto"/>
            <w:noWrap/>
            <w:vAlign w:val="center"/>
            <w:hideMark/>
          </w:tcPr>
          <w:p w14:paraId="221FC50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w:t>
            </w:r>
          </w:p>
        </w:tc>
        <w:tc>
          <w:tcPr>
            <w:tcW w:w="622" w:type="pct"/>
            <w:tcBorders>
              <w:top w:val="nil"/>
              <w:left w:val="nil"/>
              <w:bottom w:val="single" w:sz="4" w:space="0" w:color="auto"/>
              <w:right w:val="single" w:sz="4" w:space="0" w:color="auto"/>
            </w:tcBorders>
            <w:shd w:val="clear" w:color="auto" w:fill="auto"/>
            <w:noWrap/>
            <w:vAlign w:val="center"/>
            <w:hideMark/>
          </w:tcPr>
          <w:p w14:paraId="37D76FF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18.000</w:t>
            </w:r>
          </w:p>
        </w:tc>
        <w:tc>
          <w:tcPr>
            <w:tcW w:w="570" w:type="pct"/>
            <w:tcBorders>
              <w:top w:val="nil"/>
              <w:left w:val="nil"/>
              <w:bottom w:val="single" w:sz="4" w:space="0" w:color="auto"/>
              <w:right w:val="single" w:sz="4" w:space="0" w:color="auto"/>
            </w:tcBorders>
            <w:shd w:val="clear" w:color="auto" w:fill="auto"/>
            <w:noWrap/>
            <w:vAlign w:val="center"/>
            <w:hideMark/>
          </w:tcPr>
          <w:p w14:paraId="5EF04F2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2,50 %</w:t>
            </w:r>
          </w:p>
        </w:tc>
        <w:tc>
          <w:tcPr>
            <w:tcW w:w="563" w:type="pct"/>
            <w:tcBorders>
              <w:top w:val="nil"/>
              <w:left w:val="nil"/>
              <w:bottom w:val="single" w:sz="4" w:space="0" w:color="auto"/>
              <w:right w:val="single" w:sz="4" w:space="0" w:color="auto"/>
            </w:tcBorders>
            <w:shd w:val="clear" w:color="auto" w:fill="auto"/>
            <w:noWrap/>
            <w:vAlign w:val="center"/>
            <w:hideMark/>
          </w:tcPr>
          <w:p w14:paraId="441A140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0,02 %</w:t>
            </w:r>
          </w:p>
        </w:tc>
      </w:tr>
      <w:tr w:rsidR="00F24E18" w:rsidRPr="00CF4263" w14:paraId="5DEC329C" w14:textId="77777777" w:rsidTr="000E18B5">
        <w:trPr>
          <w:trHeight w:val="30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14:paraId="365B960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uprave, obrambe in socialnega zavarovanja</w:t>
            </w:r>
          </w:p>
        </w:tc>
        <w:tc>
          <w:tcPr>
            <w:tcW w:w="540" w:type="pct"/>
            <w:tcBorders>
              <w:top w:val="nil"/>
              <w:left w:val="nil"/>
              <w:bottom w:val="single" w:sz="4" w:space="0" w:color="auto"/>
              <w:right w:val="single" w:sz="4" w:space="0" w:color="auto"/>
            </w:tcBorders>
            <w:shd w:val="clear" w:color="auto" w:fill="auto"/>
            <w:noWrap/>
            <w:vAlign w:val="center"/>
            <w:hideMark/>
          </w:tcPr>
          <w:p w14:paraId="72979E4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Slovenija</w:t>
            </w:r>
          </w:p>
        </w:tc>
        <w:tc>
          <w:tcPr>
            <w:tcW w:w="366" w:type="pct"/>
            <w:tcBorders>
              <w:top w:val="nil"/>
              <w:left w:val="nil"/>
              <w:bottom w:val="single" w:sz="4" w:space="0" w:color="auto"/>
              <w:right w:val="single" w:sz="4" w:space="0" w:color="auto"/>
            </w:tcBorders>
            <w:shd w:val="clear" w:color="auto" w:fill="auto"/>
            <w:noWrap/>
            <w:vAlign w:val="center"/>
            <w:hideMark/>
          </w:tcPr>
          <w:p w14:paraId="3DA0D14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16</w:t>
            </w:r>
          </w:p>
        </w:tc>
        <w:tc>
          <w:tcPr>
            <w:tcW w:w="622" w:type="pct"/>
            <w:tcBorders>
              <w:top w:val="nil"/>
              <w:left w:val="nil"/>
              <w:bottom w:val="single" w:sz="4" w:space="0" w:color="auto"/>
              <w:right w:val="single" w:sz="4" w:space="0" w:color="auto"/>
            </w:tcBorders>
            <w:shd w:val="clear" w:color="auto" w:fill="auto"/>
            <w:noWrap/>
            <w:vAlign w:val="center"/>
            <w:hideMark/>
          </w:tcPr>
          <w:p w14:paraId="5D8A756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536.210</w:t>
            </w:r>
          </w:p>
        </w:tc>
        <w:tc>
          <w:tcPr>
            <w:tcW w:w="570" w:type="pct"/>
            <w:tcBorders>
              <w:top w:val="nil"/>
              <w:left w:val="nil"/>
              <w:bottom w:val="single" w:sz="4" w:space="0" w:color="auto"/>
              <w:right w:val="single" w:sz="4" w:space="0" w:color="auto"/>
            </w:tcBorders>
            <w:shd w:val="clear" w:color="auto" w:fill="auto"/>
            <w:noWrap/>
            <w:vAlign w:val="center"/>
            <w:hideMark/>
          </w:tcPr>
          <w:p w14:paraId="23C5CE2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40,00 %</w:t>
            </w:r>
          </w:p>
        </w:tc>
        <w:tc>
          <w:tcPr>
            <w:tcW w:w="563" w:type="pct"/>
            <w:tcBorders>
              <w:top w:val="nil"/>
              <w:left w:val="nil"/>
              <w:bottom w:val="single" w:sz="4" w:space="0" w:color="auto"/>
              <w:right w:val="single" w:sz="4" w:space="0" w:color="auto"/>
            </w:tcBorders>
            <w:shd w:val="clear" w:color="auto" w:fill="auto"/>
            <w:noWrap/>
            <w:vAlign w:val="center"/>
            <w:hideMark/>
          </w:tcPr>
          <w:p w14:paraId="76816AD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0,46 %</w:t>
            </w:r>
          </w:p>
        </w:tc>
      </w:tr>
      <w:tr w:rsidR="00F24E18" w:rsidRPr="00CF4263" w14:paraId="6A75A226" w14:textId="77777777" w:rsidTr="000E18B5">
        <w:trPr>
          <w:trHeight w:val="300"/>
        </w:trPr>
        <w:tc>
          <w:tcPr>
            <w:tcW w:w="2340" w:type="pct"/>
            <w:tcBorders>
              <w:top w:val="nil"/>
              <w:left w:val="single" w:sz="4" w:space="0" w:color="auto"/>
              <w:bottom w:val="single" w:sz="4" w:space="0" w:color="auto"/>
              <w:right w:val="single" w:sz="4" w:space="0" w:color="auto"/>
            </w:tcBorders>
            <w:shd w:val="clear" w:color="auto" w:fill="auto"/>
            <w:noWrap/>
            <w:vAlign w:val="center"/>
            <w:hideMark/>
          </w:tcPr>
          <w:p w14:paraId="495E849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zdravnikov specialistov</w:t>
            </w:r>
          </w:p>
        </w:tc>
        <w:tc>
          <w:tcPr>
            <w:tcW w:w="540" w:type="pct"/>
            <w:tcBorders>
              <w:top w:val="nil"/>
              <w:left w:val="nil"/>
              <w:bottom w:val="single" w:sz="4" w:space="0" w:color="auto"/>
              <w:right w:val="single" w:sz="4" w:space="0" w:color="auto"/>
            </w:tcBorders>
            <w:shd w:val="clear" w:color="auto" w:fill="auto"/>
            <w:noWrap/>
            <w:vAlign w:val="center"/>
            <w:hideMark/>
          </w:tcPr>
          <w:p w14:paraId="4A110FE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Slovenija</w:t>
            </w:r>
          </w:p>
        </w:tc>
        <w:tc>
          <w:tcPr>
            <w:tcW w:w="366" w:type="pct"/>
            <w:tcBorders>
              <w:top w:val="nil"/>
              <w:left w:val="nil"/>
              <w:bottom w:val="single" w:sz="4" w:space="0" w:color="auto"/>
              <w:right w:val="single" w:sz="4" w:space="0" w:color="auto"/>
            </w:tcBorders>
            <w:shd w:val="clear" w:color="auto" w:fill="auto"/>
            <w:noWrap/>
            <w:vAlign w:val="center"/>
            <w:hideMark/>
          </w:tcPr>
          <w:p w14:paraId="0B9C37F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w:t>
            </w:r>
          </w:p>
        </w:tc>
        <w:tc>
          <w:tcPr>
            <w:tcW w:w="622" w:type="pct"/>
            <w:tcBorders>
              <w:top w:val="nil"/>
              <w:left w:val="nil"/>
              <w:bottom w:val="single" w:sz="4" w:space="0" w:color="auto"/>
              <w:right w:val="single" w:sz="4" w:space="0" w:color="auto"/>
            </w:tcBorders>
            <w:shd w:val="clear" w:color="auto" w:fill="auto"/>
            <w:noWrap/>
            <w:vAlign w:val="center"/>
            <w:hideMark/>
          </w:tcPr>
          <w:p w14:paraId="031AA0F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25.755</w:t>
            </w:r>
          </w:p>
        </w:tc>
        <w:tc>
          <w:tcPr>
            <w:tcW w:w="570" w:type="pct"/>
            <w:tcBorders>
              <w:top w:val="nil"/>
              <w:left w:val="nil"/>
              <w:bottom w:val="single" w:sz="4" w:space="0" w:color="auto"/>
              <w:right w:val="single" w:sz="4" w:space="0" w:color="auto"/>
            </w:tcBorders>
            <w:shd w:val="clear" w:color="auto" w:fill="auto"/>
            <w:noWrap/>
            <w:vAlign w:val="center"/>
            <w:hideMark/>
          </w:tcPr>
          <w:p w14:paraId="2F9D249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5,00 %</w:t>
            </w:r>
          </w:p>
        </w:tc>
        <w:tc>
          <w:tcPr>
            <w:tcW w:w="563" w:type="pct"/>
            <w:tcBorders>
              <w:top w:val="nil"/>
              <w:left w:val="nil"/>
              <w:bottom w:val="single" w:sz="4" w:space="0" w:color="auto"/>
              <w:right w:val="single" w:sz="4" w:space="0" w:color="auto"/>
            </w:tcBorders>
            <w:shd w:val="clear" w:color="auto" w:fill="auto"/>
            <w:noWrap/>
            <w:vAlign w:val="center"/>
            <w:hideMark/>
          </w:tcPr>
          <w:p w14:paraId="3A91123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0,02 %</w:t>
            </w:r>
          </w:p>
        </w:tc>
      </w:tr>
      <w:tr w:rsidR="00F24E18" w:rsidRPr="00CF4263" w14:paraId="715DB00A" w14:textId="77777777" w:rsidTr="000E18B5">
        <w:trPr>
          <w:trHeight w:val="300"/>
        </w:trPr>
        <w:tc>
          <w:tcPr>
            <w:tcW w:w="2879" w:type="pct"/>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DA6C8A"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366" w:type="pct"/>
            <w:tcBorders>
              <w:top w:val="nil"/>
              <w:left w:val="nil"/>
              <w:bottom w:val="single" w:sz="4" w:space="0" w:color="auto"/>
              <w:right w:val="single" w:sz="4" w:space="0" w:color="auto"/>
            </w:tcBorders>
            <w:shd w:val="clear" w:color="auto" w:fill="F2F2F2" w:themeFill="background1" w:themeFillShade="F2"/>
            <w:noWrap/>
            <w:vAlign w:val="center"/>
            <w:hideMark/>
          </w:tcPr>
          <w:p w14:paraId="7F82B0B6"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40</w:t>
            </w:r>
          </w:p>
        </w:tc>
        <w:tc>
          <w:tcPr>
            <w:tcW w:w="622" w:type="pct"/>
            <w:tcBorders>
              <w:top w:val="nil"/>
              <w:left w:val="nil"/>
              <w:bottom w:val="single" w:sz="4" w:space="0" w:color="auto"/>
              <w:right w:val="single" w:sz="4" w:space="0" w:color="auto"/>
            </w:tcBorders>
            <w:shd w:val="clear" w:color="auto" w:fill="F2F2F2" w:themeFill="background1" w:themeFillShade="F2"/>
            <w:noWrap/>
            <w:vAlign w:val="center"/>
            <w:hideMark/>
          </w:tcPr>
          <w:p w14:paraId="53C23A5D"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116.740.408</w:t>
            </w:r>
          </w:p>
        </w:tc>
        <w:tc>
          <w:tcPr>
            <w:tcW w:w="570" w:type="pct"/>
            <w:tcBorders>
              <w:top w:val="nil"/>
              <w:left w:val="nil"/>
              <w:bottom w:val="single" w:sz="4" w:space="0" w:color="auto"/>
              <w:right w:val="single" w:sz="4" w:space="0" w:color="auto"/>
            </w:tcBorders>
            <w:shd w:val="clear" w:color="auto" w:fill="F2F2F2" w:themeFill="background1" w:themeFillShade="F2"/>
            <w:noWrap/>
            <w:vAlign w:val="center"/>
            <w:hideMark/>
          </w:tcPr>
          <w:p w14:paraId="5D45F28D"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100,00 %</w:t>
            </w:r>
          </w:p>
        </w:tc>
        <w:tc>
          <w:tcPr>
            <w:tcW w:w="563" w:type="pct"/>
            <w:tcBorders>
              <w:top w:val="nil"/>
              <w:left w:val="nil"/>
              <w:bottom w:val="single" w:sz="4" w:space="0" w:color="auto"/>
              <w:right w:val="single" w:sz="4" w:space="0" w:color="auto"/>
            </w:tcBorders>
            <w:shd w:val="clear" w:color="auto" w:fill="F2F2F2" w:themeFill="background1" w:themeFillShade="F2"/>
            <w:noWrap/>
            <w:vAlign w:val="center"/>
            <w:hideMark/>
          </w:tcPr>
          <w:p w14:paraId="5F76F339"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100,00 %</w:t>
            </w:r>
          </w:p>
        </w:tc>
      </w:tr>
    </w:tbl>
    <w:p w14:paraId="323763C6" w14:textId="77777777" w:rsidR="00F24E18" w:rsidRPr="00CF4263" w:rsidRDefault="00F24E18" w:rsidP="00F24E18">
      <w:pPr>
        <w:spacing w:before="120" w:after="120" w:line="240" w:lineRule="auto"/>
        <w:jc w:val="both"/>
        <w:rPr>
          <w:rFonts w:ascii="Arial" w:hAnsi="Arial" w:cs="Arial"/>
          <w:sz w:val="20"/>
        </w:rPr>
      </w:pPr>
    </w:p>
    <w:p w14:paraId="11FB6B63" w14:textId="77777777" w:rsidR="00F24E18" w:rsidRPr="00CF4263" w:rsidRDefault="00F24E18" w:rsidP="00F24E18">
      <w:pPr>
        <w:spacing w:before="120" w:after="0" w:line="240" w:lineRule="auto"/>
        <w:jc w:val="both"/>
        <w:rPr>
          <w:rFonts w:ascii="Arial" w:hAnsi="Arial" w:cs="Arial"/>
          <w:sz w:val="20"/>
        </w:rPr>
      </w:pPr>
      <w:r w:rsidRPr="00CF4263">
        <w:rPr>
          <w:rFonts w:ascii="Arial" w:hAnsi="Arial" w:cs="Arial"/>
          <w:sz w:val="20"/>
        </w:rPr>
        <w:t>Preglednica 69: Izvedeni postopki za sklenitev okvirnega sporazuma</w:t>
      </w:r>
      <w:bookmarkEnd w:id="73"/>
      <w:bookmarkEnd w:id="74"/>
      <w:bookmarkEnd w:id="75"/>
      <w:r w:rsidRPr="00CF4263">
        <w:rPr>
          <w:rFonts w:ascii="Arial" w:hAnsi="Arial" w:cs="Arial"/>
          <w:sz w:val="20"/>
        </w:rPr>
        <w:t xml:space="preserve"> glede na področje in predmet naroč</w:t>
      </w:r>
      <w:bookmarkEnd w:id="76"/>
      <w:bookmarkEnd w:id="77"/>
      <w:bookmarkEnd w:id="78"/>
      <w:bookmarkEnd w:id="79"/>
      <w:bookmarkEnd w:id="80"/>
      <w:bookmarkEnd w:id="81"/>
      <w:r w:rsidRPr="00CF4263">
        <w:rPr>
          <w:rFonts w:ascii="Arial" w:hAnsi="Arial" w:cs="Arial"/>
          <w:sz w:val="20"/>
        </w:rPr>
        <w:t>anja</w:t>
      </w:r>
    </w:p>
    <w:p w14:paraId="7553813D" w14:textId="77777777" w:rsidR="00F24E18" w:rsidRPr="00CF4263" w:rsidRDefault="00F24E18" w:rsidP="00F24E18">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2043"/>
        <w:gridCol w:w="1220"/>
        <w:gridCol w:w="1829"/>
        <w:gridCol w:w="1352"/>
        <w:gridCol w:w="2730"/>
      </w:tblGrid>
      <w:tr w:rsidR="00F24E18" w:rsidRPr="00CF4263" w14:paraId="5F0135A5" w14:textId="77777777" w:rsidTr="000E18B5">
        <w:trPr>
          <w:trHeight w:val="300"/>
        </w:trPr>
        <w:tc>
          <w:tcPr>
            <w:tcW w:w="111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91FDEB"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bookmarkStart w:id="82" w:name="_Toc398038710"/>
            <w:bookmarkStart w:id="83" w:name="_Toc398040189"/>
            <w:bookmarkStart w:id="84" w:name="_Toc398584427"/>
            <w:r w:rsidRPr="00CF4263">
              <w:rPr>
                <w:rFonts w:ascii="Arial" w:eastAsia="Times New Roman" w:hAnsi="Arial" w:cs="Arial"/>
                <w:color w:val="000000"/>
                <w:sz w:val="18"/>
                <w:szCs w:val="18"/>
                <w:lang w:eastAsia="sl-SI"/>
              </w:rPr>
              <w:t>Področje</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C6E47B"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Predmet</w:t>
            </w:r>
          </w:p>
        </w:tc>
        <w:tc>
          <w:tcPr>
            <w:tcW w:w="99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F3820CA"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postopkov</w:t>
            </w:r>
          </w:p>
        </w:tc>
        <w:tc>
          <w:tcPr>
            <w:tcW w:w="73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4EEAFB"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naročil</w:t>
            </w:r>
          </w:p>
        </w:tc>
        <w:tc>
          <w:tcPr>
            <w:tcW w:w="148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9973EE"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Pogodbena vrednost</w:t>
            </w:r>
          </w:p>
        </w:tc>
      </w:tr>
      <w:tr w:rsidR="00F24E18" w:rsidRPr="00CF4263" w14:paraId="08B60622" w14:textId="77777777" w:rsidTr="000E18B5">
        <w:trPr>
          <w:trHeight w:val="300"/>
        </w:trPr>
        <w:tc>
          <w:tcPr>
            <w:tcW w:w="11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73E00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Splošno</w:t>
            </w:r>
          </w:p>
        </w:tc>
        <w:tc>
          <w:tcPr>
            <w:tcW w:w="665" w:type="pct"/>
            <w:tcBorders>
              <w:top w:val="nil"/>
              <w:left w:val="nil"/>
              <w:bottom w:val="single" w:sz="4" w:space="0" w:color="auto"/>
              <w:right w:val="single" w:sz="4" w:space="0" w:color="auto"/>
            </w:tcBorders>
            <w:shd w:val="clear" w:color="auto" w:fill="auto"/>
            <w:noWrap/>
            <w:vAlign w:val="center"/>
            <w:hideMark/>
          </w:tcPr>
          <w:p w14:paraId="1465FAE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997" w:type="pct"/>
            <w:tcBorders>
              <w:top w:val="nil"/>
              <w:left w:val="nil"/>
              <w:bottom w:val="single" w:sz="4" w:space="0" w:color="auto"/>
              <w:right w:val="single" w:sz="4" w:space="0" w:color="auto"/>
            </w:tcBorders>
            <w:shd w:val="clear" w:color="auto" w:fill="auto"/>
            <w:noWrap/>
            <w:vAlign w:val="center"/>
            <w:hideMark/>
          </w:tcPr>
          <w:p w14:paraId="2758518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528</w:t>
            </w:r>
          </w:p>
        </w:tc>
        <w:tc>
          <w:tcPr>
            <w:tcW w:w="737" w:type="pct"/>
            <w:tcBorders>
              <w:top w:val="nil"/>
              <w:left w:val="nil"/>
              <w:bottom w:val="single" w:sz="4" w:space="0" w:color="auto"/>
              <w:right w:val="single" w:sz="4" w:space="0" w:color="auto"/>
            </w:tcBorders>
            <w:shd w:val="clear" w:color="auto" w:fill="auto"/>
            <w:noWrap/>
            <w:vAlign w:val="center"/>
            <w:hideMark/>
          </w:tcPr>
          <w:p w14:paraId="023BA1E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3.767</w:t>
            </w:r>
          </w:p>
        </w:tc>
        <w:tc>
          <w:tcPr>
            <w:tcW w:w="1488" w:type="pct"/>
            <w:tcBorders>
              <w:top w:val="nil"/>
              <w:left w:val="nil"/>
              <w:bottom w:val="single" w:sz="4" w:space="0" w:color="auto"/>
              <w:right w:val="single" w:sz="4" w:space="0" w:color="auto"/>
            </w:tcBorders>
            <w:shd w:val="clear" w:color="auto" w:fill="auto"/>
            <w:noWrap/>
            <w:vAlign w:val="center"/>
            <w:hideMark/>
          </w:tcPr>
          <w:p w14:paraId="44BFAF5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912.876.950</w:t>
            </w:r>
          </w:p>
        </w:tc>
      </w:tr>
      <w:tr w:rsidR="00F24E18" w:rsidRPr="00CF4263" w14:paraId="473F2DFF" w14:textId="77777777" w:rsidTr="000E18B5">
        <w:trPr>
          <w:trHeight w:val="300"/>
        </w:trPr>
        <w:tc>
          <w:tcPr>
            <w:tcW w:w="1113" w:type="pct"/>
            <w:vMerge/>
            <w:tcBorders>
              <w:top w:val="nil"/>
              <w:left w:val="single" w:sz="4" w:space="0" w:color="auto"/>
              <w:bottom w:val="single" w:sz="4" w:space="0" w:color="auto"/>
              <w:right w:val="single" w:sz="4" w:space="0" w:color="auto"/>
            </w:tcBorders>
            <w:vAlign w:val="center"/>
            <w:hideMark/>
          </w:tcPr>
          <w:p w14:paraId="4A15FDF3"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48BC249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997" w:type="pct"/>
            <w:tcBorders>
              <w:top w:val="nil"/>
              <w:left w:val="nil"/>
              <w:bottom w:val="single" w:sz="4" w:space="0" w:color="auto"/>
              <w:right w:val="single" w:sz="4" w:space="0" w:color="auto"/>
            </w:tcBorders>
            <w:shd w:val="clear" w:color="auto" w:fill="auto"/>
            <w:noWrap/>
            <w:vAlign w:val="center"/>
            <w:hideMark/>
          </w:tcPr>
          <w:p w14:paraId="74D3F84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270</w:t>
            </w:r>
          </w:p>
        </w:tc>
        <w:tc>
          <w:tcPr>
            <w:tcW w:w="737" w:type="pct"/>
            <w:tcBorders>
              <w:top w:val="nil"/>
              <w:left w:val="nil"/>
              <w:bottom w:val="single" w:sz="4" w:space="0" w:color="auto"/>
              <w:right w:val="single" w:sz="4" w:space="0" w:color="auto"/>
            </w:tcBorders>
            <w:shd w:val="clear" w:color="auto" w:fill="auto"/>
            <w:noWrap/>
            <w:vAlign w:val="center"/>
            <w:hideMark/>
          </w:tcPr>
          <w:p w14:paraId="02E9F7E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550</w:t>
            </w:r>
          </w:p>
        </w:tc>
        <w:tc>
          <w:tcPr>
            <w:tcW w:w="1488" w:type="pct"/>
            <w:tcBorders>
              <w:top w:val="nil"/>
              <w:left w:val="nil"/>
              <w:bottom w:val="single" w:sz="4" w:space="0" w:color="auto"/>
              <w:right w:val="single" w:sz="4" w:space="0" w:color="auto"/>
            </w:tcBorders>
            <w:shd w:val="clear" w:color="auto" w:fill="auto"/>
            <w:noWrap/>
            <w:vAlign w:val="center"/>
            <w:hideMark/>
          </w:tcPr>
          <w:p w14:paraId="64D7D62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342.401.535</w:t>
            </w:r>
          </w:p>
        </w:tc>
      </w:tr>
      <w:tr w:rsidR="00F24E18" w:rsidRPr="00CF4263" w14:paraId="35498CA4" w14:textId="77777777" w:rsidTr="000E18B5">
        <w:trPr>
          <w:trHeight w:val="300"/>
        </w:trPr>
        <w:tc>
          <w:tcPr>
            <w:tcW w:w="1113" w:type="pct"/>
            <w:vMerge/>
            <w:tcBorders>
              <w:top w:val="nil"/>
              <w:left w:val="single" w:sz="4" w:space="0" w:color="auto"/>
              <w:bottom w:val="single" w:sz="4" w:space="0" w:color="auto"/>
              <w:right w:val="single" w:sz="4" w:space="0" w:color="auto"/>
            </w:tcBorders>
            <w:vAlign w:val="center"/>
            <w:hideMark/>
          </w:tcPr>
          <w:p w14:paraId="5DD47756"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3AF30711"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Gradnje</w:t>
            </w:r>
          </w:p>
        </w:tc>
        <w:tc>
          <w:tcPr>
            <w:tcW w:w="997" w:type="pct"/>
            <w:tcBorders>
              <w:top w:val="nil"/>
              <w:left w:val="nil"/>
              <w:bottom w:val="single" w:sz="4" w:space="0" w:color="auto"/>
              <w:right w:val="single" w:sz="4" w:space="0" w:color="auto"/>
            </w:tcBorders>
            <w:shd w:val="clear" w:color="auto" w:fill="auto"/>
            <w:noWrap/>
            <w:vAlign w:val="center"/>
            <w:hideMark/>
          </w:tcPr>
          <w:p w14:paraId="1862F57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26</w:t>
            </w:r>
          </w:p>
        </w:tc>
        <w:tc>
          <w:tcPr>
            <w:tcW w:w="737" w:type="pct"/>
            <w:tcBorders>
              <w:top w:val="nil"/>
              <w:left w:val="nil"/>
              <w:bottom w:val="single" w:sz="4" w:space="0" w:color="auto"/>
              <w:right w:val="single" w:sz="4" w:space="0" w:color="auto"/>
            </w:tcBorders>
            <w:shd w:val="clear" w:color="auto" w:fill="auto"/>
            <w:noWrap/>
            <w:vAlign w:val="center"/>
            <w:hideMark/>
          </w:tcPr>
          <w:p w14:paraId="276E907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49</w:t>
            </w:r>
          </w:p>
        </w:tc>
        <w:tc>
          <w:tcPr>
            <w:tcW w:w="1488" w:type="pct"/>
            <w:tcBorders>
              <w:top w:val="nil"/>
              <w:left w:val="nil"/>
              <w:bottom w:val="single" w:sz="4" w:space="0" w:color="auto"/>
              <w:right w:val="single" w:sz="4" w:space="0" w:color="auto"/>
            </w:tcBorders>
            <w:shd w:val="clear" w:color="auto" w:fill="auto"/>
            <w:noWrap/>
            <w:vAlign w:val="center"/>
            <w:hideMark/>
          </w:tcPr>
          <w:p w14:paraId="57AA249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17.584.997</w:t>
            </w:r>
          </w:p>
        </w:tc>
      </w:tr>
      <w:tr w:rsidR="00F24E18" w:rsidRPr="00CF4263" w14:paraId="1B5C83AE" w14:textId="77777777" w:rsidTr="000E18B5">
        <w:trPr>
          <w:trHeight w:val="300"/>
        </w:trPr>
        <w:tc>
          <w:tcPr>
            <w:tcW w:w="1113" w:type="pct"/>
            <w:vMerge/>
            <w:tcBorders>
              <w:top w:val="nil"/>
              <w:left w:val="single" w:sz="4" w:space="0" w:color="auto"/>
              <w:bottom w:val="single" w:sz="4" w:space="0" w:color="auto"/>
              <w:right w:val="single" w:sz="4" w:space="0" w:color="auto"/>
            </w:tcBorders>
            <w:vAlign w:val="center"/>
            <w:hideMark/>
          </w:tcPr>
          <w:p w14:paraId="61A551BC"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1E3D7131"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997" w:type="pct"/>
            <w:tcBorders>
              <w:top w:val="nil"/>
              <w:left w:val="nil"/>
              <w:bottom w:val="single" w:sz="4" w:space="0" w:color="auto"/>
              <w:right w:val="single" w:sz="4" w:space="0" w:color="auto"/>
            </w:tcBorders>
            <w:shd w:val="clear" w:color="auto" w:fill="auto"/>
            <w:noWrap/>
            <w:vAlign w:val="center"/>
            <w:hideMark/>
          </w:tcPr>
          <w:p w14:paraId="362C1AC0"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824</w:t>
            </w:r>
          </w:p>
        </w:tc>
        <w:tc>
          <w:tcPr>
            <w:tcW w:w="737" w:type="pct"/>
            <w:tcBorders>
              <w:top w:val="nil"/>
              <w:left w:val="nil"/>
              <w:bottom w:val="single" w:sz="4" w:space="0" w:color="auto"/>
              <w:right w:val="single" w:sz="4" w:space="0" w:color="auto"/>
            </w:tcBorders>
            <w:shd w:val="clear" w:color="auto" w:fill="auto"/>
            <w:noWrap/>
            <w:vAlign w:val="center"/>
            <w:hideMark/>
          </w:tcPr>
          <w:p w14:paraId="550B0932"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4.366</w:t>
            </w:r>
          </w:p>
        </w:tc>
        <w:tc>
          <w:tcPr>
            <w:tcW w:w="1488" w:type="pct"/>
            <w:tcBorders>
              <w:top w:val="nil"/>
              <w:left w:val="nil"/>
              <w:bottom w:val="single" w:sz="4" w:space="0" w:color="auto"/>
              <w:right w:val="single" w:sz="4" w:space="0" w:color="auto"/>
            </w:tcBorders>
            <w:shd w:val="clear" w:color="auto" w:fill="auto"/>
            <w:noWrap/>
            <w:vAlign w:val="center"/>
            <w:hideMark/>
          </w:tcPr>
          <w:p w14:paraId="236CAE04"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1.272.863.482</w:t>
            </w:r>
          </w:p>
        </w:tc>
      </w:tr>
      <w:tr w:rsidR="00F24E18" w:rsidRPr="00CF4263" w14:paraId="7EB2B307" w14:textId="77777777" w:rsidTr="000E18B5">
        <w:trPr>
          <w:trHeight w:val="300"/>
        </w:trPr>
        <w:tc>
          <w:tcPr>
            <w:tcW w:w="11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3474D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Infrastrukturno</w:t>
            </w:r>
          </w:p>
        </w:tc>
        <w:tc>
          <w:tcPr>
            <w:tcW w:w="665" w:type="pct"/>
            <w:tcBorders>
              <w:top w:val="nil"/>
              <w:left w:val="nil"/>
              <w:bottom w:val="single" w:sz="4" w:space="0" w:color="auto"/>
              <w:right w:val="single" w:sz="4" w:space="0" w:color="auto"/>
            </w:tcBorders>
            <w:shd w:val="clear" w:color="auto" w:fill="auto"/>
            <w:noWrap/>
            <w:vAlign w:val="center"/>
            <w:hideMark/>
          </w:tcPr>
          <w:p w14:paraId="427332A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997" w:type="pct"/>
            <w:tcBorders>
              <w:top w:val="nil"/>
              <w:left w:val="nil"/>
              <w:bottom w:val="single" w:sz="4" w:space="0" w:color="auto"/>
              <w:right w:val="single" w:sz="4" w:space="0" w:color="auto"/>
            </w:tcBorders>
            <w:shd w:val="clear" w:color="auto" w:fill="auto"/>
            <w:noWrap/>
            <w:vAlign w:val="center"/>
            <w:hideMark/>
          </w:tcPr>
          <w:p w14:paraId="586ADC4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82</w:t>
            </w:r>
          </w:p>
        </w:tc>
        <w:tc>
          <w:tcPr>
            <w:tcW w:w="737" w:type="pct"/>
            <w:tcBorders>
              <w:top w:val="nil"/>
              <w:left w:val="nil"/>
              <w:bottom w:val="single" w:sz="4" w:space="0" w:color="auto"/>
              <w:right w:val="single" w:sz="4" w:space="0" w:color="auto"/>
            </w:tcBorders>
            <w:shd w:val="clear" w:color="auto" w:fill="auto"/>
            <w:noWrap/>
            <w:vAlign w:val="center"/>
            <w:hideMark/>
          </w:tcPr>
          <w:p w14:paraId="16915EB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233</w:t>
            </w:r>
          </w:p>
        </w:tc>
        <w:tc>
          <w:tcPr>
            <w:tcW w:w="1488" w:type="pct"/>
            <w:tcBorders>
              <w:top w:val="nil"/>
              <w:left w:val="nil"/>
              <w:bottom w:val="single" w:sz="4" w:space="0" w:color="auto"/>
              <w:right w:val="single" w:sz="4" w:space="0" w:color="auto"/>
            </w:tcBorders>
            <w:shd w:val="clear" w:color="auto" w:fill="auto"/>
            <w:noWrap/>
            <w:vAlign w:val="center"/>
            <w:hideMark/>
          </w:tcPr>
          <w:p w14:paraId="61EA9067"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87.120.516</w:t>
            </w:r>
          </w:p>
        </w:tc>
      </w:tr>
      <w:tr w:rsidR="00F24E18" w:rsidRPr="00CF4263" w14:paraId="2CC45758" w14:textId="77777777" w:rsidTr="000E18B5">
        <w:trPr>
          <w:trHeight w:val="300"/>
        </w:trPr>
        <w:tc>
          <w:tcPr>
            <w:tcW w:w="1113" w:type="pct"/>
            <w:vMerge/>
            <w:tcBorders>
              <w:top w:val="nil"/>
              <w:left w:val="single" w:sz="4" w:space="0" w:color="auto"/>
              <w:bottom w:val="single" w:sz="4" w:space="0" w:color="auto"/>
              <w:right w:val="single" w:sz="4" w:space="0" w:color="auto"/>
            </w:tcBorders>
            <w:vAlign w:val="center"/>
            <w:hideMark/>
          </w:tcPr>
          <w:p w14:paraId="288B1E29"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7C10E63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997" w:type="pct"/>
            <w:tcBorders>
              <w:top w:val="nil"/>
              <w:left w:val="nil"/>
              <w:bottom w:val="single" w:sz="4" w:space="0" w:color="auto"/>
              <w:right w:val="single" w:sz="4" w:space="0" w:color="auto"/>
            </w:tcBorders>
            <w:shd w:val="clear" w:color="auto" w:fill="auto"/>
            <w:noWrap/>
            <w:vAlign w:val="center"/>
            <w:hideMark/>
          </w:tcPr>
          <w:p w14:paraId="2F5D4F6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79</w:t>
            </w:r>
          </w:p>
        </w:tc>
        <w:tc>
          <w:tcPr>
            <w:tcW w:w="737" w:type="pct"/>
            <w:tcBorders>
              <w:top w:val="nil"/>
              <w:left w:val="nil"/>
              <w:bottom w:val="single" w:sz="4" w:space="0" w:color="auto"/>
              <w:right w:val="single" w:sz="4" w:space="0" w:color="auto"/>
            </w:tcBorders>
            <w:shd w:val="clear" w:color="auto" w:fill="auto"/>
            <w:noWrap/>
            <w:vAlign w:val="center"/>
            <w:hideMark/>
          </w:tcPr>
          <w:p w14:paraId="29BB367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282</w:t>
            </w:r>
          </w:p>
        </w:tc>
        <w:tc>
          <w:tcPr>
            <w:tcW w:w="1488" w:type="pct"/>
            <w:tcBorders>
              <w:top w:val="nil"/>
              <w:left w:val="nil"/>
              <w:bottom w:val="single" w:sz="4" w:space="0" w:color="auto"/>
              <w:right w:val="single" w:sz="4" w:space="0" w:color="auto"/>
            </w:tcBorders>
            <w:shd w:val="clear" w:color="auto" w:fill="auto"/>
            <w:noWrap/>
            <w:vAlign w:val="center"/>
            <w:hideMark/>
          </w:tcPr>
          <w:p w14:paraId="0E24971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69.205.865</w:t>
            </w:r>
          </w:p>
        </w:tc>
      </w:tr>
      <w:tr w:rsidR="00F24E18" w:rsidRPr="00CF4263" w14:paraId="3D0C4FAA" w14:textId="77777777" w:rsidTr="000E18B5">
        <w:trPr>
          <w:trHeight w:val="300"/>
        </w:trPr>
        <w:tc>
          <w:tcPr>
            <w:tcW w:w="1113" w:type="pct"/>
            <w:vMerge/>
            <w:tcBorders>
              <w:top w:val="nil"/>
              <w:left w:val="single" w:sz="4" w:space="0" w:color="auto"/>
              <w:bottom w:val="single" w:sz="4" w:space="0" w:color="auto"/>
              <w:right w:val="single" w:sz="4" w:space="0" w:color="auto"/>
            </w:tcBorders>
            <w:vAlign w:val="center"/>
            <w:hideMark/>
          </w:tcPr>
          <w:p w14:paraId="0357A197"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53DED06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Gradnje</w:t>
            </w:r>
          </w:p>
        </w:tc>
        <w:tc>
          <w:tcPr>
            <w:tcW w:w="997" w:type="pct"/>
            <w:tcBorders>
              <w:top w:val="nil"/>
              <w:left w:val="nil"/>
              <w:bottom w:val="single" w:sz="4" w:space="0" w:color="auto"/>
              <w:right w:val="single" w:sz="4" w:space="0" w:color="auto"/>
            </w:tcBorders>
            <w:shd w:val="clear" w:color="auto" w:fill="auto"/>
            <w:noWrap/>
            <w:vAlign w:val="center"/>
            <w:hideMark/>
          </w:tcPr>
          <w:p w14:paraId="25EEFD1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20</w:t>
            </w:r>
          </w:p>
        </w:tc>
        <w:tc>
          <w:tcPr>
            <w:tcW w:w="737" w:type="pct"/>
            <w:tcBorders>
              <w:top w:val="nil"/>
              <w:left w:val="nil"/>
              <w:bottom w:val="single" w:sz="4" w:space="0" w:color="auto"/>
              <w:right w:val="single" w:sz="4" w:space="0" w:color="auto"/>
            </w:tcBorders>
            <w:shd w:val="clear" w:color="auto" w:fill="auto"/>
            <w:noWrap/>
            <w:vAlign w:val="center"/>
            <w:hideMark/>
          </w:tcPr>
          <w:p w14:paraId="5C70B2E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33</w:t>
            </w:r>
          </w:p>
        </w:tc>
        <w:tc>
          <w:tcPr>
            <w:tcW w:w="1488" w:type="pct"/>
            <w:tcBorders>
              <w:top w:val="nil"/>
              <w:left w:val="nil"/>
              <w:bottom w:val="single" w:sz="4" w:space="0" w:color="auto"/>
              <w:right w:val="single" w:sz="4" w:space="0" w:color="auto"/>
            </w:tcBorders>
            <w:shd w:val="clear" w:color="auto" w:fill="auto"/>
            <w:noWrap/>
            <w:vAlign w:val="center"/>
            <w:hideMark/>
          </w:tcPr>
          <w:p w14:paraId="6A8CF7D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57.451.995</w:t>
            </w:r>
          </w:p>
        </w:tc>
      </w:tr>
      <w:tr w:rsidR="00F24E18" w:rsidRPr="00CF4263" w14:paraId="7ACAA99F" w14:textId="77777777" w:rsidTr="000E18B5">
        <w:trPr>
          <w:trHeight w:val="300"/>
        </w:trPr>
        <w:tc>
          <w:tcPr>
            <w:tcW w:w="1113" w:type="pct"/>
            <w:vMerge/>
            <w:tcBorders>
              <w:top w:val="nil"/>
              <w:left w:val="single" w:sz="4" w:space="0" w:color="auto"/>
              <w:bottom w:val="single" w:sz="4" w:space="0" w:color="auto"/>
              <w:right w:val="single" w:sz="4" w:space="0" w:color="auto"/>
            </w:tcBorders>
            <w:vAlign w:val="center"/>
            <w:hideMark/>
          </w:tcPr>
          <w:p w14:paraId="1C5909D2"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1EDA87B2"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997" w:type="pct"/>
            <w:tcBorders>
              <w:top w:val="nil"/>
              <w:left w:val="nil"/>
              <w:bottom w:val="single" w:sz="4" w:space="0" w:color="auto"/>
              <w:right w:val="single" w:sz="4" w:space="0" w:color="auto"/>
            </w:tcBorders>
            <w:shd w:val="clear" w:color="auto" w:fill="auto"/>
            <w:noWrap/>
            <w:vAlign w:val="center"/>
            <w:hideMark/>
          </w:tcPr>
          <w:p w14:paraId="4094794D"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181</w:t>
            </w:r>
          </w:p>
        </w:tc>
        <w:tc>
          <w:tcPr>
            <w:tcW w:w="737" w:type="pct"/>
            <w:tcBorders>
              <w:top w:val="nil"/>
              <w:left w:val="nil"/>
              <w:bottom w:val="single" w:sz="4" w:space="0" w:color="auto"/>
              <w:right w:val="single" w:sz="4" w:space="0" w:color="auto"/>
            </w:tcBorders>
            <w:shd w:val="clear" w:color="auto" w:fill="auto"/>
            <w:noWrap/>
            <w:vAlign w:val="center"/>
            <w:hideMark/>
          </w:tcPr>
          <w:p w14:paraId="1AFE5D4F"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548</w:t>
            </w:r>
          </w:p>
        </w:tc>
        <w:tc>
          <w:tcPr>
            <w:tcW w:w="1488" w:type="pct"/>
            <w:tcBorders>
              <w:top w:val="nil"/>
              <w:left w:val="nil"/>
              <w:bottom w:val="single" w:sz="4" w:space="0" w:color="auto"/>
              <w:right w:val="single" w:sz="4" w:space="0" w:color="auto"/>
            </w:tcBorders>
            <w:shd w:val="clear" w:color="auto" w:fill="auto"/>
            <w:noWrap/>
            <w:vAlign w:val="center"/>
            <w:hideMark/>
          </w:tcPr>
          <w:p w14:paraId="2B4E6D7A"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213.778.376</w:t>
            </w:r>
          </w:p>
        </w:tc>
      </w:tr>
      <w:tr w:rsidR="00F24E18" w:rsidRPr="00CF4263" w14:paraId="4905FB1B" w14:textId="77777777" w:rsidTr="000E18B5">
        <w:trPr>
          <w:trHeight w:val="300"/>
        </w:trPr>
        <w:tc>
          <w:tcPr>
            <w:tcW w:w="11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DA43D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Obrambno</w:t>
            </w:r>
          </w:p>
        </w:tc>
        <w:tc>
          <w:tcPr>
            <w:tcW w:w="665" w:type="pct"/>
            <w:tcBorders>
              <w:top w:val="nil"/>
              <w:left w:val="nil"/>
              <w:bottom w:val="single" w:sz="4" w:space="0" w:color="auto"/>
              <w:right w:val="single" w:sz="4" w:space="0" w:color="auto"/>
            </w:tcBorders>
            <w:shd w:val="clear" w:color="auto" w:fill="auto"/>
            <w:noWrap/>
            <w:vAlign w:val="center"/>
            <w:hideMark/>
          </w:tcPr>
          <w:p w14:paraId="0F68FAA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997" w:type="pct"/>
            <w:tcBorders>
              <w:top w:val="nil"/>
              <w:left w:val="nil"/>
              <w:bottom w:val="single" w:sz="4" w:space="0" w:color="auto"/>
              <w:right w:val="single" w:sz="4" w:space="0" w:color="auto"/>
            </w:tcBorders>
            <w:shd w:val="clear" w:color="auto" w:fill="auto"/>
            <w:noWrap/>
            <w:vAlign w:val="center"/>
            <w:hideMark/>
          </w:tcPr>
          <w:p w14:paraId="49649BF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w:t>
            </w:r>
          </w:p>
        </w:tc>
        <w:tc>
          <w:tcPr>
            <w:tcW w:w="737" w:type="pct"/>
            <w:tcBorders>
              <w:top w:val="nil"/>
              <w:left w:val="nil"/>
              <w:bottom w:val="single" w:sz="4" w:space="0" w:color="auto"/>
              <w:right w:val="single" w:sz="4" w:space="0" w:color="auto"/>
            </w:tcBorders>
            <w:shd w:val="clear" w:color="auto" w:fill="auto"/>
            <w:noWrap/>
            <w:vAlign w:val="center"/>
            <w:hideMark/>
          </w:tcPr>
          <w:p w14:paraId="33BFBDD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w:t>
            </w:r>
          </w:p>
        </w:tc>
        <w:tc>
          <w:tcPr>
            <w:tcW w:w="1488" w:type="pct"/>
            <w:tcBorders>
              <w:top w:val="nil"/>
              <w:left w:val="nil"/>
              <w:bottom w:val="single" w:sz="4" w:space="0" w:color="auto"/>
              <w:right w:val="single" w:sz="4" w:space="0" w:color="auto"/>
            </w:tcBorders>
            <w:shd w:val="clear" w:color="auto" w:fill="auto"/>
            <w:noWrap/>
            <w:vAlign w:val="center"/>
            <w:hideMark/>
          </w:tcPr>
          <w:p w14:paraId="5DE22DD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1.115.727</w:t>
            </w:r>
          </w:p>
        </w:tc>
      </w:tr>
      <w:tr w:rsidR="00F24E18" w:rsidRPr="00CF4263" w14:paraId="23ED430E" w14:textId="77777777" w:rsidTr="000E18B5">
        <w:trPr>
          <w:trHeight w:val="300"/>
        </w:trPr>
        <w:tc>
          <w:tcPr>
            <w:tcW w:w="1113" w:type="pct"/>
            <w:vMerge/>
            <w:tcBorders>
              <w:top w:val="nil"/>
              <w:left w:val="single" w:sz="4" w:space="0" w:color="auto"/>
              <w:bottom w:val="single" w:sz="4" w:space="0" w:color="auto"/>
              <w:right w:val="single" w:sz="4" w:space="0" w:color="auto"/>
            </w:tcBorders>
            <w:vAlign w:val="center"/>
            <w:hideMark/>
          </w:tcPr>
          <w:p w14:paraId="057F1EC4"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665" w:type="pct"/>
            <w:tcBorders>
              <w:top w:val="nil"/>
              <w:left w:val="nil"/>
              <w:bottom w:val="single" w:sz="4" w:space="0" w:color="auto"/>
              <w:right w:val="single" w:sz="4" w:space="0" w:color="auto"/>
            </w:tcBorders>
            <w:shd w:val="clear" w:color="auto" w:fill="auto"/>
            <w:noWrap/>
            <w:vAlign w:val="center"/>
            <w:hideMark/>
          </w:tcPr>
          <w:p w14:paraId="78CC0484"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997" w:type="pct"/>
            <w:tcBorders>
              <w:top w:val="nil"/>
              <w:left w:val="nil"/>
              <w:bottom w:val="single" w:sz="4" w:space="0" w:color="auto"/>
              <w:right w:val="single" w:sz="4" w:space="0" w:color="auto"/>
            </w:tcBorders>
            <w:shd w:val="clear" w:color="auto" w:fill="auto"/>
            <w:noWrap/>
            <w:vAlign w:val="center"/>
            <w:hideMark/>
          </w:tcPr>
          <w:p w14:paraId="45D62873"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w:t>
            </w:r>
          </w:p>
        </w:tc>
        <w:tc>
          <w:tcPr>
            <w:tcW w:w="737" w:type="pct"/>
            <w:tcBorders>
              <w:top w:val="nil"/>
              <w:left w:val="nil"/>
              <w:bottom w:val="single" w:sz="4" w:space="0" w:color="auto"/>
              <w:right w:val="single" w:sz="4" w:space="0" w:color="auto"/>
            </w:tcBorders>
            <w:shd w:val="clear" w:color="auto" w:fill="auto"/>
            <w:noWrap/>
            <w:vAlign w:val="center"/>
            <w:hideMark/>
          </w:tcPr>
          <w:p w14:paraId="43DA9E37"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w:t>
            </w:r>
          </w:p>
        </w:tc>
        <w:tc>
          <w:tcPr>
            <w:tcW w:w="1488" w:type="pct"/>
            <w:tcBorders>
              <w:top w:val="nil"/>
              <w:left w:val="nil"/>
              <w:bottom w:val="single" w:sz="4" w:space="0" w:color="auto"/>
              <w:right w:val="single" w:sz="4" w:space="0" w:color="auto"/>
            </w:tcBorders>
            <w:shd w:val="clear" w:color="auto" w:fill="auto"/>
            <w:noWrap/>
            <w:vAlign w:val="center"/>
            <w:hideMark/>
          </w:tcPr>
          <w:p w14:paraId="34F48709"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1.115.727</w:t>
            </w:r>
          </w:p>
        </w:tc>
      </w:tr>
      <w:tr w:rsidR="00F24E18" w:rsidRPr="00242E41" w14:paraId="57005BC1" w14:textId="77777777" w:rsidTr="000E18B5">
        <w:trPr>
          <w:trHeight w:val="300"/>
        </w:trPr>
        <w:tc>
          <w:tcPr>
            <w:tcW w:w="17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32414E"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997" w:type="pct"/>
            <w:tcBorders>
              <w:top w:val="nil"/>
              <w:left w:val="nil"/>
              <w:bottom w:val="single" w:sz="4" w:space="0" w:color="auto"/>
              <w:right w:val="single" w:sz="4" w:space="0" w:color="auto"/>
            </w:tcBorders>
            <w:shd w:val="clear" w:color="auto" w:fill="F2F2F2" w:themeFill="background1" w:themeFillShade="F2"/>
            <w:noWrap/>
            <w:vAlign w:val="center"/>
            <w:hideMark/>
          </w:tcPr>
          <w:p w14:paraId="030049A5"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1.006</w:t>
            </w:r>
          </w:p>
        </w:tc>
        <w:tc>
          <w:tcPr>
            <w:tcW w:w="737" w:type="pct"/>
            <w:tcBorders>
              <w:top w:val="nil"/>
              <w:left w:val="nil"/>
              <w:bottom w:val="single" w:sz="4" w:space="0" w:color="auto"/>
              <w:right w:val="single" w:sz="4" w:space="0" w:color="auto"/>
            </w:tcBorders>
            <w:shd w:val="clear" w:color="auto" w:fill="F2F2F2" w:themeFill="background1" w:themeFillShade="F2"/>
            <w:noWrap/>
            <w:vAlign w:val="center"/>
            <w:hideMark/>
          </w:tcPr>
          <w:p w14:paraId="3D15FF88"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4.915</w:t>
            </w:r>
          </w:p>
        </w:tc>
        <w:tc>
          <w:tcPr>
            <w:tcW w:w="1488" w:type="pct"/>
            <w:tcBorders>
              <w:top w:val="nil"/>
              <w:left w:val="nil"/>
              <w:bottom w:val="single" w:sz="4" w:space="0" w:color="auto"/>
              <w:right w:val="single" w:sz="4" w:space="0" w:color="auto"/>
            </w:tcBorders>
            <w:shd w:val="clear" w:color="auto" w:fill="F2F2F2" w:themeFill="background1" w:themeFillShade="F2"/>
            <w:noWrap/>
            <w:vAlign w:val="center"/>
            <w:hideMark/>
          </w:tcPr>
          <w:p w14:paraId="0FF8CDEB"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1.487.757.585</w:t>
            </w:r>
          </w:p>
        </w:tc>
      </w:tr>
    </w:tbl>
    <w:p w14:paraId="43CCDB79" w14:textId="77777777" w:rsidR="00F24E18" w:rsidRPr="00242E41" w:rsidRDefault="00F24E18" w:rsidP="00F24E18">
      <w:pPr>
        <w:spacing w:after="0" w:line="240" w:lineRule="auto"/>
        <w:jc w:val="both"/>
        <w:rPr>
          <w:rFonts w:ascii="Arial" w:hAnsi="Arial" w:cs="Arial"/>
          <w:sz w:val="20"/>
          <w:highlight w:val="yellow"/>
        </w:rPr>
      </w:pPr>
    </w:p>
    <w:p w14:paraId="250C7B10" w14:textId="77777777" w:rsidR="00F24E18" w:rsidRPr="00CF4263" w:rsidRDefault="00F24E18" w:rsidP="00F24E18">
      <w:pPr>
        <w:spacing w:before="120" w:after="0" w:line="240" w:lineRule="auto"/>
        <w:jc w:val="both"/>
        <w:rPr>
          <w:rFonts w:ascii="Arial" w:hAnsi="Arial" w:cs="Arial"/>
          <w:sz w:val="20"/>
        </w:rPr>
      </w:pPr>
      <w:r w:rsidRPr="00CF4263">
        <w:rPr>
          <w:rFonts w:ascii="Arial" w:hAnsi="Arial" w:cs="Arial"/>
          <w:sz w:val="20"/>
        </w:rPr>
        <w:t>Preglednica 70: Izvedeni postopki za sklenitev okvirnega sporazuma glede na področje in vrsto postopka</w:t>
      </w:r>
      <w:bookmarkEnd w:id="82"/>
      <w:bookmarkEnd w:id="83"/>
      <w:bookmarkEnd w:id="84"/>
    </w:p>
    <w:p w14:paraId="6AD9E0F0"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507"/>
        <w:gridCol w:w="3693"/>
        <w:gridCol w:w="1231"/>
        <w:gridCol w:w="941"/>
        <w:gridCol w:w="1802"/>
      </w:tblGrid>
      <w:tr w:rsidR="00F24E18" w:rsidRPr="00CF4263" w14:paraId="489181A8" w14:textId="77777777" w:rsidTr="000E18B5">
        <w:trPr>
          <w:trHeight w:val="300"/>
          <w:tblHeader/>
        </w:trPr>
        <w:tc>
          <w:tcPr>
            <w:tcW w:w="101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974602"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bookmarkStart w:id="85" w:name="_Toc398038711"/>
            <w:bookmarkStart w:id="86" w:name="_Toc398040190"/>
            <w:bookmarkStart w:id="87" w:name="_Toc398584428"/>
            <w:bookmarkStart w:id="88" w:name="_Toc461086444"/>
            <w:bookmarkStart w:id="89" w:name="_Toc461608816"/>
            <w:bookmarkStart w:id="90" w:name="_Toc462401235"/>
            <w:r w:rsidRPr="00CF4263">
              <w:rPr>
                <w:rFonts w:ascii="Arial" w:eastAsia="Times New Roman" w:hAnsi="Arial" w:cs="Arial"/>
                <w:color w:val="000000"/>
                <w:sz w:val="18"/>
                <w:szCs w:val="18"/>
                <w:lang w:eastAsia="sl-SI"/>
              </w:rPr>
              <w:t>Področje</w:t>
            </w:r>
          </w:p>
        </w:tc>
        <w:tc>
          <w:tcPr>
            <w:tcW w:w="2077" w:type="pct"/>
            <w:tcBorders>
              <w:top w:val="single" w:sz="4" w:space="0" w:color="auto"/>
              <w:left w:val="nil"/>
              <w:bottom w:val="single" w:sz="4" w:space="0" w:color="auto"/>
              <w:right w:val="single" w:sz="4" w:space="0" w:color="auto"/>
            </w:tcBorders>
            <w:shd w:val="clear" w:color="000000" w:fill="F2F2F2"/>
            <w:noWrap/>
            <w:vAlign w:val="center"/>
            <w:hideMark/>
          </w:tcPr>
          <w:p w14:paraId="1D658715"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Vrsta postopka</w:t>
            </w:r>
          </w:p>
        </w:tc>
        <w:tc>
          <w:tcPr>
            <w:tcW w:w="577" w:type="pct"/>
            <w:tcBorders>
              <w:top w:val="single" w:sz="4" w:space="0" w:color="auto"/>
              <w:left w:val="nil"/>
              <w:bottom w:val="single" w:sz="4" w:space="0" w:color="auto"/>
              <w:right w:val="single" w:sz="4" w:space="0" w:color="auto"/>
            </w:tcBorders>
            <w:shd w:val="clear" w:color="000000" w:fill="F2F2F2"/>
            <w:noWrap/>
            <w:vAlign w:val="center"/>
            <w:hideMark/>
          </w:tcPr>
          <w:p w14:paraId="5AFBE7A0"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postopkov</w:t>
            </w:r>
          </w:p>
        </w:tc>
        <w:tc>
          <w:tcPr>
            <w:tcW w:w="442" w:type="pct"/>
            <w:tcBorders>
              <w:top w:val="single" w:sz="4" w:space="0" w:color="auto"/>
              <w:left w:val="nil"/>
              <w:bottom w:val="single" w:sz="4" w:space="0" w:color="auto"/>
              <w:right w:val="single" w:sz="4" w:space="0" w:color="auto"/>
            </w:tcBorders>
            <w:shd w:val="clear" w:color="000000" w:fill="F2F2F2"/>
            <w:noWrap/>
            <w:vAlign w:val="center"/>
            <w:hideMark/>
          </w:tcPr>
          <w:p w14:paraId="0CF1CB68"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naročil</w:t>
            </w:r>
          </w:p>
        </w:tc>
        <w:tc>
          <w:tcPr>
            <w:tcW w:w="885" w:type="pct"/>
            <w:tcBorders>
              <w:top w:val="single" w:sz="4" w:space="0" w:color="auto"/>
              <w:left w:val="nil"/>
              <w:bottom w:val="single" w:sz="4" w:space="0" w:color="auto"/>
              <w:right w:val="single" w:sz="4" w:space="0" w:color="auto"/>
            </w:tcBorders>
            <w:shd w:val="clear" w:color="000000" w:fill="F2F2F2"/>
            <w:noWrap/>
            <w:vAlign w:val="center"/>
            <w:hideMark/>
          </w:tcPr>
          <w:p w14:paraId="331505EF"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Pogodbena vrednost</w:t>
            </w:r>
          </w:p>
        </w:tc>
      </w:tr>
      <w:tr w:rsidR="00F24E18" w:rsidRPr="00CF4263" w14:paraId="24504835" w14:textId="77777777" w:rsidTr="000E18B5">
        <w:trPr>
          <w:trHeight w:val="300"/>
        </w:trPr>
        <w:tc>
          <w:tcPr>
            <w:tcW w:w="101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27F01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Splošno</w:t>
            </w:r>
          </w:p>
        </w:tc>
        <w:tc>
          <w:tcPr>
            <w:tcW w:w="2077" w:type="pct"/>
            <w:tcBorders>
              <w:top w:val="nil"/>
              <w:left w:val="nil"/>
              <w:bottom w:val="single" w:sz="4" w:space="0" w:color="auto"/>
              <w:right w:val="single" w:sz="4" w:space="0" w:color="auto"/>
            </w:tcBorders>
            <w:shd w:val="clear" w:color="auto" w:fill="auto"/>
            <w:noWrap/>
            <w:vAlign w:val="center"/>
            <w:hideMark/>
          </w:tcPr>
          <w:p w14:paraId="44323E9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Konkurenčni postopek s pogajanji</w:t>
            </w:r>
          </w:p>
        </w:tc>
        <w:tc>
          <w:tcPr>
            <w:tcW w:w="577" w:type="pct"/>
            <w:tcBorders>
              <w:top w:val="nil"/>
              <w:left w:val="nil"/>
              <w:bottom w:val="single" w:sz="4" w:space="0" w:color="auto"/>
              <w:right w:val="single" w:sz="4" w:space="0" w:color="auto"/>
            </w:tcBorders>
            <w:shd w:val="clear" w:color="auto" w:fill="auto"/>
            <w:noWrap/>
            <w:vAlign w:val="center"/>
            <w:hideMark/>
          </w:tcPr>
          <w:p w14:paraId="5698862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9</w:t>
            </w:r>
          </w:p>
        </w:tc>
        <w:tc>
          <w:tcPr>
            <w:tcW w:w="442" w:type="pct"/>
            <w:tcBorders>
              <w:top w:val="nil"/>
              <w:left w:val="nil"/>
              <w:bottom w:val="single" w:sz="4" w:space="0" w:color="auto"/>
              <w:right w:val="single" w:sz="4" w:space="0" w:color="auto"/>
            </w:tcBorders>
            <w:shd w:val="clear" w:color="auto" w:fill="auto"/>
            <w:noWrap/>
            <w:vAlign w:val="center"/>
            <w:hideMark/>
          </w:tcPr>
          <w:p w14:paraId="345EF80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15</w:t>
            </w:r>
          </w:p>
        </w:tc>
        <w:tc>
          <w:tcPr>
            <w:tcW w:w="885" w:type="pct"/>
            <w:tcBorders>
              <w:top w:val="nil"/>
              <w:left w:val="nil"/>
              <w:bottom w:val="single" w:sz="4" w:space="0" w:color="auto"/>
              <w:right w:val="single" w:sz="4" w:space="0" w:color="auto"/>
            </w:tcBorders>
            <w:shd w:val="clear" w:color="auto" w:fill="auto"/>
            <w:noWrap/>
            <w:vAlign w:val="center"/>
            <w:hideMark/>
          </w:tcPr>
          <w:p w14:paraId="3A5D31E7"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19.368.040</w:t>
            </w:r>
          </w:p>
        </w:tc>
      </w:tr>
      <w:tr w:rsidR="00F24E18" w:rsidRPr="00CF4263" w14:paraId="617E5EAB"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36EED233"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0302CA2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Odprti postopek</w:t>
            </w:r>
          </w:p>
        </w:tc>
        <w:tc>
          <w:tcPr>
            <w:tcW w:w="577" w:type="pct"/>
            <w:tcBorders>
              <w:top w:val="nil"/>
              <w:left w:val="nil"/>
              <w:bottom w:val="single" w:sz="4" w:space="0" w:color="auto"/>
              <w:right w:val="single" w:sz="4" w:space="0" w:color="auto"/>
            </w:tcBorders>
            <w:shd w:val="clear" w:color="auto" w:fill="auto"/>
            <w:noWrap/>
            <w:vAlign w:val="center"/>
            <w:hideMark/>
          </w:tcPr>
          <w:p w14:paraId="1D128CB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480</w:t>
            </w:r>
          </w:p>
        </w:tc>
        <w:tc>
          <w:tcPr>
            <w:tcW w:w="442" w:type="pct"/>
            <w:tcBorders>
              <w:top w:val="nil"/>
              <w:left w:val="nil"/>
              <w:bottom w:val="single" w:sz="4" w:space="0" w:color="auto"/>
              <w:right w:val="single" w:sz="4" w:space="0" w:color="auto"/>
            </w:tcBorders>
            <w:shd w:val="clear" w:color="auto" w:fill="auto"/>
            <w:noWrap/>
            <w:vAlign w:val="center"/>
            <w:hideMark/>
          </w:tcPr>
          <w:p w14:paraId="6BAD320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3.529</w:t>
            </w:r>
          </w:p>
        </w:tc>
        <w:tc>
          <w:tcPr>
            <w:tcW w:w="885" w:type="pct"/>
            <w:tcBorders>
              <w:top w:val="nil"/>
              <w:left w:val="nil"/>
              <w:bottom w:val="single" w:sz="4" w:space="0" w:color="auto"/>
              <w:right w:val="single" w:sz="4" w:space="0" w:color="auto"/>
            </w:tcBorders>
            <w:shd w:val="clear" w:color="auto" w:fill="auto"/>
            <w:noWrap/>
            <w:vAlign w:val="center"/>
            <w:hideMark/>
          </w:tcPr>
          <w:p w14:paraId="6E66314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823.930.177</w:t>
            </w:r>
          </w:p>
        </w:tc>
      </w:tr>
      <w:tr w:rsidR="00F24E18" w:rsidRPr="00CF4263" w14:paraId="5AE06DFE"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48029E29"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277A752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Omejeni postopek</w:t>
            </w:r>
          </w:p>
        </w:tc>
        <w:tc>
          <w:tcPr>
            <w:tcW w:w="577" w:type="pct"/>
            <w:tcBorders>
              <w:top w:val="nil"/>
              <w:left w:val="nil"/>
              <w:bottom w:val="single" w:sz="4" w:space="0" w:color="auto"/>
              <w:right w:val="single" w:sz="4" w:space="0" w:color="auto"/>
            </w:tcBorders>
            <w:shd w:val="clear" w:color="auto" w:fill="auto"/>
            <w:noWrap/>
            <w:vAlign w:val="center"/>
            <w:hideMark/>
          </w:tcPr>
          <w:p w14:paraId="1FECD5A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12</w:t>
            </w:r>
          </w:p>
        </w:tc>
        <w:tc>
          <w:tcPr>
            <w:tcW w:w="442" w:type="pct"/>
            <w:tcBorders>
              <w:top w:val="nil"/>
              <w:left w:val="nil"/>
              <w:bottom w:val="single" w:sz="4" w:space="0" w:color="auto"/>
              <w:right w:val="single" w:sz="4" w:space="0" w:color="auto"/>
            </w:tcBorders>
            <w:shd w:val="clear" w:color="auto" w:fill="auto"/>
            <w:noWrap/>
            <w:vAlign w:val="center"/>
            <w:hideMark/>
          </w:tcPr>
          <w:p w14:paraId="5BCD068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25</w:t>
            </w:r>
          </w:p>
        </w:tc>
        <w:tc>
          <w:tcPr>
            <w:tcW w:w="885" w:type="pct"/>
            <w:tcBorders>
              <w:top w:val="nil"/>
              <w:left w:val="nil"/>
              <w:bottom w:val="single" w:sz="4" w:space="0" w:color="auto"/>
              <w:right w:val="single" w:sz="4" w:space="0" w:color="auto"/>
            </w:tcBorders>
            <w:shd w:val="clear" w:color="auto" w:fill="auto"/>
            <w:noWrap/>
            <w:vAlign w:val="center"/>
            <w:hideMark/>
          </w:tcPr>
          <w:p w14:paraId="6380AFA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379.700.132</w:t>
            </w:r>
          </w:p>
        </w:tc>
      </w:tr>
      <w:tr w:rsidR="00F24E18" w:rsidRPr="00CF4263" w14:paraId="7802344A"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6EE8838F"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690C006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naročila male vrednosti</w:t>
            </w:r>
          </w:p>
        </w:tc>
        <w:tc>
          <w:tcPr>
            <w:tcW w:w="577" w:type="pct"/>
            <w:tcBorders>
              <w:top w:val="nil"/>
              <w:left w:val="nil"/>
              <w:bottom w:val="single" w:sz="4" w:space="0" w:color="auto"/>
              <w:right w:val="single" w:sz="4" w:space="0" w:color="auto"/>
            </w:tcBorders>
            <w:shd w:val="clear" w:color="auto" w:fill="auto"/>
            <w:noWrap/>
            <w:vAlign w:val="center"/>
            <w:hideMark/>
          </w:tcPr>
          <w:p w14:paraId="0C7962F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296</w:t>
            </w:r>
          </w:p>
        </w:tc>
        <w:tc>
          <w:tcPr>
            <w:tcW w:w="442" w:type="pct"/>
            <w:tcBorders>
              <w:top w:val="nil"/>
              <w:left w:val="nil"/>
              <w:bottom w:val="single" w:sz="4" w:space="0" w:color="auto"/>
              <w:right w:val="single" w:sz="4" w:space="0" w:color="auto"/>
            </w:tcBorders>
            <w:shd w:val="clear" w:color="auto" w:fill="auto"/>
            <w:noWrap/>
            <w:vAlign w:val="center"/>
            <w:hideMark/>
          </w:tcPr>
          <w:p w14:paraId="27D7546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728</w:t>
            </w:r>
          </w:p>
        </w:tc>
        <w:tc>
          <w:tcPr>
            <w:tcW w:w="885" w:type="pct"/>
            <w:tcBorders>
              <w:top w:val="nil"/>
              <w:left w:val="nil"/>
              <w:bottom w:val="single" w:sz="4" w:space="0" w:color="auto"/>
              <w:right w:val="single" w:sz="4" w:space="0" w:color="auto"/>
            </w:tcBorders>
            <w:shd w:val="clear" w:color="auto" w:fill="auto"/>
            <w:noWrap/>
            <w:vAlign w:val="center"/>
            <w:hideMark/>
          </w:tcPr>
          <w:p w14:paraId="0ACD1097"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41.118.577</w:t>
            </w:r>
          </w:p>
        </w:tc>
      </w:tr>
      <w:tr w:rsidR="00F24E18" w:rsidRPr="00CF4263" w14:paraId="2C9B5CD1"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079CE702"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2956EF6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brez predhodne objave</w:t>
            </w:r>
          </w:p>
        </w:tc>
        <w:tc>
          <w:tcPr>
            <w:tcW w:w="577" w:type="pct"/>
            <w:tcBorders>
              <w:top w:val="nil"/>
              <w:left w:val="nil"/>
              <w:bottom w:val="single" w:sz="4" w:space="0" w:color="auto"/>
              <w:right w:val="single" w:sz="4" w:space="0" w:color="auto"/>
            </w:tcBorders>
            <w:shd w:val="clear" w:color="auto" w:fill="auto"/>
            <w:noWrap/>
            <w:vAlign w:val="center"/>
            <w:hideMark/>
          </w:tcPr>
          <w:p w14:paraId="072AF45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27</w:t>
            </w:r>
          </w:p>
        </w:tc>
        <w:tc>
          <w:tcPr>
            <w:tcW w:w="442" w:type="pct"/>
            <w:tcBorders>
              <w:top w:val="nil"/>
              <w:left w:val="nil"/>
              <w:bottom w:val="single" w:sz="4" w:space="0" w:color="auto"/>
              <w:right w:val="single" w:sz="4" w:space="0" w:color="auto"/>
            </w:tcBorders>
            <w:shd w:val="clear" w:color="auto" w:fill="auto"/>
            <w:noWrap/>
            <w:vAlign w:val="center"/>
            <w:hideMark/>
          </w:tcPr>
          <w:p w14:paraId="15EBC69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69</w:t>
            </w:r>
          </w:p>
        </w:tc>
        <w:tc>
          <w:tcPr>
            <w:tcW w:w="885" w:type="pct"/>
            <w:tcBorders>
              <w:top w:val="nil"/>
              <w:left w:val="nil"/>
              <w:bottom w:val="single" w:sz="4" w:space="0" w:color="auto"/>
              <w:right w:val="single" w:sz="4" w:space="0" w:color="auto"/>
            </w:tcBorders>
            <w:shd w:val="clear" w:color="auto" w:fill="auto"/>
            <w:noWrap/>
            <w:vAlign w:val="center"/>
            <w:hideMark/>
          </w:tcPr>
          <w:p w14:paraId="112DFEF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8.746.556</w:t>
            </w:r>
          </w:p>
        </w:tc>
      </w:tr>
      <w:tr w:rsidR="00F24E18" w:rsidRPr="00CF4263" w14:paraId="38A79782"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5F4486E8"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62F848F9"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577" w:type="pct"/>
            <w:tcBorders>
              <w:top w:val="nil"/>
              <w:left w:val="nil"/>
              <w:bottom w:val="single" w:sz="4" w:space="0" w:color="auto"/>
              <w:right w:val="single" w:sz="4" w:space="0" w:color="auto"/>
            </w:tcBorders>
            <w:shd w:val="clear" w:color="auto" w:fill="auto"/>
            <w:noWrap/>
            <w:vAlign w:val="center"/>
            <w:hideMark/>
          </w:tcPr>
          <w:p w14:paraId="6A14585D"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824</w:t>
            </w:r>
          </w:p>
        </w:tc>
        <w:tc>
          <w:tcPr>
            <w:tcW w:w="442" w:type="pct"/>
            <w:tcBorders>
              <w:top w:val="nil"/>
              <w:left w:val="nil"/>
              <w:bottom w:val="single" w:sz="4" w:space="0" w:color="auto"/>
              <w:right w:val="single" w:sz="4" w:space="0" w:color="auto"/>
            </w:tcBorders>
            <w:shd w:val="clear" w:color="auto" w:fill="auto"/>
            <w:noWrap/>
            <w:vAlign w:val="center"/>
            <w:hideMark/>
          </w:tcPr>
          <w:p w14:paraId="298ED4CF"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4.366</w:t>
            </w:r>
          </w:p>
        </w:tc>
        <w:tc>
          <w:tcPr>
            <w:tcW w:w="885" w:type="pct"/>
            <w:tcBorders>
              <w:top w:val="nil"/>
              <w:left w:val="nil"/>
              <w:bottom w:val="single" w:sz="4" w:space="0" w:color="auto"/>
              <w:right w:val="single" w:sz="4" w:space="0" w:color="auto"/>
            </w:tcBorders>
            <w:shd w:val="clear" w:color="auto" w:fill="auto"/>
            <w:noWrap/>
            <w:vAlign w:val="center"/>
            <w:hideMark/>
          </w:tcPr>
          <w:p w14:paraId="6786C7B0"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1.272.863.482</w:t>
            </w:r>
          </w:p>
        </w:tc>
      </w:tr>
      <w:tr w:rsidR="00F24E18" w:rsidRPr="00CF4263" w14:paraId="11B7564C" w14:textId="77777777" w:rsidTr="000E18B5">
        <w:trPr>
          <w:trHeight w:val="300"/>
        </w:trPr>
        <w:tc>
          <w:tcPr>
            <w:tcW w:w="101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6C37A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Infrastrukturno</w:t>
            </w:r>
          </w:p>
        </w:tc>
        <w:tc>
          <w:tcPr>
            <w:tcW w:w="2077" w:type="pct"/>
            <w:tcBorders>
              <w:top w:val="nil"/>
              <w:left w:val="nil"/>
              <w:bottom w:val="single" w:sz="4" w:space="0" w:color="auto"/>
              <w:right w:val="single" w:sz="4" w:space="0" w:color="auto"/>
            </w:tcBorders>
            <w:shd w:val="clear" w:color="auto" w:fill="auto"/>
            <w:noWrap/>
            <w:vAlign w:val="center"/>
            <w:hideMark/>
          </w:tcPr>
          <w:p w14:paraId="229F20C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Odprti postopek</w:t>
            </w:r>
          </w:p>
        </w:tc>
        <w:tc>
          <w:tcPr>
            <w:tcW w:w="577" w:type="pct"/>
            <w:tcBorders>
              <w:top w:val="nil"/>
              <w:left w:val="nil"/>
              <w:bottom w:val="single" w:sz="4" w:space="0" w:color="auto"/>
              <w:right w:val="single" w:sz="4" w:space="0" w:color="auto"/>
            </w:tcBorders>
            <w:shd w:val="clear" w:color="auto" w:fill="auto"/>
            <w:noWrap/>
            <w:vAlign w:val="center"/>
            <w:hideMark/>
          </w:tcPr>
          <w:p w14:paraId="4DB99E2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30</w:t>
            </w:r>
          </w:p>
        </w:tc>
        <w:tc>
          <w:tcPr>
            <w:tcW w:w="442" w:type="pct"/>
            <w:tcBorders>
              <w:top w:val="nil"/>
              <w:left w:val="nil"/>
              <w:bottom w:val="single" w:sz="4" w:space="0" w:color="auto"/>
              <w:right w:val="single" w:sz="4" w:space="0" w:color="auto"/>
            </w:tcBorders>
            <w:shd w:val="clear" w:color="auto" w:fill="auto"/>
            <w:noWrap/>
            <w:vAlign w:val="center"/>
            <w:hideMark/>
          </w:tcPr>
          <w:p w14:paraId="64F6186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129</w:t>
            </w:r>
          </w:p>
        </w:tc>
        <w:tc>
          <w:tcPr>
            <w:tcW w:w="885" w:type="pct"/>
            <w:tcBorders>
              <w:top w:val="nil"/>
              <w:left w:val="nil"/>
              <w:bottom w:val="single" w:sz="4" w:space="0" w:color="auto"/>
              <w:right w:val="single" w:sz="4" w:space="0" w:color="auto"/>
            </w:tcBorders>
            <w:shd w:val="clear" w:color="auto" w:fill="auto"/>
            <w:noWrap/>
            <w:vAlign w:val="center"/>
            <w:hideMark/>
          </w:tcPr>
          <w:p w14:paraId="50135BD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103.258.340</w:t>
            </w:r>
          </w:p>
        </w:tc>
      </w:tr>
      <w:tr w:rsidR="00F24E18" w:rsidRPr="00CF4263" w14:paraId="78ED2DCB"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41765982"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7454970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Omejeni postopek</w:t>
            </w:r>
          </w:p>
        </w:tc>
        <w:tc>
          <w:tcPr>
            <w:tcW w:w="577" w:type="pct"/>
            <w:tcBorders>
              <w:top w:val="nil"/>
              <w:left w:val="nil"/>
              <w:bottom w:val="single" w:sz="4" w:space="0" w:color="auto"/>
              <w:right w:val="single" w:sz="4" w:space="0" w:color="auto"/>
            </w:tcBorders>
            <w:shd w:val="clear" w:color="auto" w:fill="auto"/>
            <w:noWrap/>
            <w:vAlign w:val="center"/>
            <w:hideMark/>
          </w:tcPr>
          <w:p w14:paraId="6C3300B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w:t>
            </w:r>
          </w:p>
        </w:tc>
        <w:tc>
          <w:tcPr>
            <w:tcW w:w="442" w:type="pct"/>
            <w:tcBorders>
              <w:top w:val="nil"/>
              <w:left w:val="nil"/>
              <w:bottom w:val="single" w:sz="4" w:space="0" w:color="auto"/>
              <w:right w:val="single" w:sz="4" w:space="0" w:color="auto"/>
            </w:tcBorders>
            <w:shd w:val="clear" w:color="auto" w:fill="auto"/>
            <w:noWrap/>
            <w:vAlign w:val="center"/>
            <w:hideMark/>
          </w:tcPr>
          <w:p w14:paraId="7BAE90F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w:t>
            </w:r>
          </w:p>
        </w:tc>
        <w:tc>
          <w:tcPr>
            <w:tcW w:w="885" w:type="pct"/>
            <w:tcBorders>
              <w:top w:val="nil"/>
              <w:left w:val="nil"/>
              <w:bottom w:val="single" w:sz="4" w:space="0" w:color="auto"/>
              <w:right w:val="single" w:sz="4" w:space="0" w:color="auto"/>
            </w:tcBorders>
            <w:shd w:val="clear" w:color="auto" w:fill="auto"/>
            <w:noWrap/>
            <w:vAlign w:val="center"/>
            <w:hideMark/>
          </w:tcPr>
          <w:p w14:paraId="72FD428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5.177.273</w:t>
            </w:r>
          </w:p>
        </w:tc>
      </w:tr>
      <w:tr w:rsidR="00F24E18" w:rsidRPr="00CF4263" w14:paraId="421C669A"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3E02CA58"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0C1966B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naročila male vrednosti</w:t>
            </w:r>
          </w:p>
        </w:tc>
        <w:tc>
          <w:tcPr>
            <w:tcW w:w="577" w:type="pct"/>
            <w:tcBorders>
              <w:top w:val="nil"/>
              <w:left w:val="nil"/>
              <w:bottom w:val="single" w:sz="4" w:space="0" w:color="auto"/>
              <w:right w:val="single" w:sz="4" w:space="0" w:color="auto"/>
            </w:tcBorders>
            <w:shd w:val="clear" w:color="auto" w:fill="auto"/>
            <w:noWrap/>
            <w:vAlign w:val="center"/>
            <w:hideMark/>
          </w:tcPr>
          <w:p w14:paraId="45863EA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110</w:t>
            </w:r>
          </w:p>
        </w:tc>
        <w:tc>
          <w:tcPr>
            <w:tcW w:w="442" w:type="pct"/>
            <w:tcBorders>
              <w:top w:val="nil"/>
              <w:left w:val="nil"/>
              <w:bottom w:val="single" w:sz="4" w:space="0" w:color="auto"/>
              <w:right w:val="single" w:sz="4" w:space="0" w:color="auto"/>
            </w:tcBorders>
            <w:shd w:val="clear" w:color="auto" w:fill="auto"/>
            <w:noWrap/>
            <w:vAlign w:val="center"/>
            <w:hideMark/>
          </w:tcPr>
          <w:p w14:paraId="4A1EE4D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311</w:t>
            </w:r>
          </w:p>
        </w:tc>
        <w:tc>
          <w:tcPr>
            <w:tcW w:w="885" w:type="pct"/>
            <w:tcBorders>
              <w:top w:val="nil"/>
              <w:left w:val="nil"/>
              <w:bottom w:val="single" w:sz="4" w:space="0" w:color="auto"/>
              <w:right w:val="single" w:sz="4" w:space="0" w:color="auto"/>
            </w:tcBorders>
            <w:shd w:val="clear" w:color="auto" w:fill="auto"/>
            <w:noWrap/>
            <w:vAlign w:val="center"/>
            <w:hideMark/>
          </w:tcPr>
          <w:p w14:paraId="1E3DC0D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20.692.807</w:t>
            </w:r>
          </w:p>
        </w:tc>
      </w:tr>
      <w:tr w:rsidR="00F24E18" w:rsidRPr="00CF4263" w14:paraId="06AA5B53"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56990201"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46EEB4F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brez predhodne objave</w:t>
            </w:r>
          </w:p>
        </w:tc>
        <w:tc>
          <w:tcPr>
            <w:tcW w:w="577" w:type="pct"/>
            <w:tcBorders>
              <w:top w:val="nil"/>
              <w:left w:val="nil"/>
              <w:bottom w:val="single" w:sz="4" w:space="0" w:color="auto"/>
              <w:right w:val="single" w:sz="4" w:space="0" w:color="auto"/>
            </w:tcBorders>
            <w:shd w:val="clear" w:color="auto" w:fill="auto"/>
            <w:noWrap/>
            <w:vAlign w:val="center"/>
            <w:hideMark/>
          </w:tcPr>
          <w:p w14:paraId="4EA0F79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11</w:t>
            </w:r>
          </w:p>
        </w:tc>
        <w:tc>
          <w:tcPr>
            <w:tcW w:w="442" w:type="pct"/>
            <w:tcBorders>
              <w:top w:val="nil"/>
              <w:left w:val="nil"/>
              <w:bottom w:val="single" w:sz="4" w:space="0" w:color="auto"/>
              <w:right w:val="single" w:sz="4" w:space="0" w:color="auto"/>
            </w:tcBorders>
            <w:shd w:val="clear" w:color="auto" w:fill="auto"/>
            <w:noWrap/>
            <w:vAlign w:val="center"/>
            <w:hideMark/>
          </w:tcPr>
          <w:p w14:paraId="10482F5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11</w:t>
            </w:r>
          </w:p>
        </w:tc>
        <w:tc>
          <w:tcPr>
            <w:tcW w:w="885" w:type="pct"/>
            <w:tcBorders>
              <w:top w:val="nil"/>
              <w:left w:val="nil"/>
              <w:bottom w:val="single" w:sz="4" w:space="0" w:color="auto"/>
              <w:right w:val="single" w:sz="4" w:space="0" w:color="auto"/>
            </w:tcBorders>
            <w:shd w:val="clear" w:color="auto" w:fill="auto"/>
            <w:noWrap/>
            <w:vAlign w:val="center"/>
            <w:hideMark/>
          </w:tcPr>
          <w:p w14:paraId="3C4D906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8.431.770</w:t>
            </w:r>
          </w:p>
        </w:tc>
      </w:tr>
      <w:tr w:rsidR="00F24E18" w:rsidRPr="00CF4263" w14:paraId="1222AFBD"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507E3BB2"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15C4EC8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po predhodni objavi</w:t>
            </w:r>
          </w:p>
        </w:tc>
        <w:tc>
          <w:tcPr>
            <w:tcW w:w="577" w:type="pct"/>
            <w:tcBorders>
              <w:top w:val="nil"/>
              <w:left w:val="nil"/>
              <w:bottom w:val="single" w:sz="4" w:space="0" w:color="auto"/>
              <w:right w:val="single" w:sz="4" w:space="0" w:color="auto"/>
            </w:tcBorders>
            <w:shd w:val="clear" w:color="auto" w:fill="auto"/>
            <w:noWrap/>
            <w:vAlign w:val="center"/>
            <w:hideMark/>
          </w:tcPr>
          <w:p w14:paraId="3EB2370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28</w:t>
            </w:r>
          </w:p>
        </w:tc>
        <w:tc>
          <w:tcPr>
            <w:tcW w:w="442" w:type="pct"/>
            <w:tcBorders>
              <w:top w:val="nil"/>
              <w:left w:val="nil"/>
              <w:bottom w:val="single" w:sz="4" w:space="0" w:color="auto"/>
              <w:right w:val="single" w:sz="4" w:space="0" w:color="auto"/>
            </w:tcBorders>
            <w:shd w:val="clear" w:color="auto" w:fill="auto"/>
            <w:noWrap/>
            <w:vAlign w:val="center"/>
            <w:hideMark/>
          </w:tcPr>
          <w:p w14:paraId="55F6E947"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93</w:t>
            </w:r>
          </w:p>
        </w:tc>
        <w:tc>
          <w:tcPr>
            <w:tcW w:w="885" w:type="pct"/>
            <w:tcBorders>
              <w:top w:val="nil"/>
              <w:left w:val="nil"/>
              <w:bottom w:val="single" w:sz="4" w:space="0" w:color="auto"/>
              <w:right w:val="single" w:sz="4" w:space="0" w:color="auto"/>
            </w:tcBorders>
            <w:shd w:val="clear" w:color="auto" w:fill="auto"/>
            <w:noWrap/>
            <w:vAlign w:val="center"/>
            <w:hideMark/>
          </w:tcPr>
          <w:p w14:paraId="7C6036C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76.218.186</w:t>
            </w:r>
          </w:p>
        </w:tc>
      </w:tr>
      <w:tr w:rsidR="00F24E18" w:rsidRPr="00CF4263" w14:paraId="11A863CF"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57BC9CBB"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79D59F2D"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577" w:type="pct"/>
            <w:tcBorders>
              <w:top w:val="nil"/>
              <w:left w:val="nil"/>
              <w:bottom w:val="single" w:sz="4" w:space="0" w:color="auto"/>
              <w:right w:val="single" w:sz="4" w:space="0" w:color="auto"/>
            </w:tcBorders>
            <w:shd w:val="clear" w:color="auto" w:fill="auto"/>
            <w:noWrap/>
            <w:vAlign w:val="center"/>
            <w:hideMark/>
          </w:tcPr>
          <w:p w14:paraId="13487B1C"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181</w:t>
            </w:r>
          </w:p>
        </w:tc>
        <w:tc>
          <w:tcPr>
            <w:tcW w:w="442" w:type="pct"/>
            <w:tcBorders>
              <w:top w:val="nil"/>
              <w:left w:val="nil"/>
              <w:bottom w:val="single" w:sz="4" w:space="0" w:color="auto"/>
              <w:right w:val="single" w:sz="4" w:space="0" w:color="auto"/>
            </w:tcBorders>
            <w:shd w:val="clear" w:color="auto" w:fill="auto"/>
            <w:noWrap/>
            <w:vAlign w:val="center"/>
            <w:hideMark/>
          </w:tcPr>
          <w:p w14:paraId="5EA79B17"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548</w:t>
            </w:r>
          </w:p>
        </w:tc>
        <w:tc>
          <w:tcPr>
            <w:tcW w:w="885" w:type="pct"/>
            <w:tcBorders>
              <w:top w:val="nil"/>
              <w:left w:val="nil"/>
              <w:bottom w:val="single" w:sz="4" w:space="0" w:color="auto"/>
              <w:right w:val="single" w:sz="4" w:space="0" w:color="auto"/>
            </w:tcBorders>
            <w:shd w:val="clear" w:color="auto" w:fill="auto"/>
            <w:noWrap/>
            <w:vAlign w:val="center"/>
            <w:hideMark/>
          </w:tcPr>
          <w:p w14:paraId="5EF5AADA"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213.778.376</w:t>
            </w:r>
          </w:p>
        </w:tc>
      </w:tr>
      <w:tr w:rsidR="00F24E18" w:rsidRPr="00CF4263" w14:paraId="51C68396" w14:textId="77777777" w:rsidTr="000E18B5">
        <w:trPr>
          <w:trHeight w:val="300"/>
        </w:trPr>
        <w:tc>
          <w:tcPr>
            <w:tcW w:w="101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409C44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Obrambno</w:t>
            </w:r>
          </w:p>
        </w:tc>
        <w:tc>
          <w:tcPr>
            <w:tcW w:w="2077" w:type="pct"/>
            <w:tcBorders>
              <w:top w:val="nil"/>
              <w:left w:val="nil"/>
              <w:bottom w:val="single" w:sz="4" w:space="0" w:color="auto"/>
              <w:right w:val="single" w:sz="4" w:space="0" w:color="auto"/>
            </w:tcBorders>
            <w:shd w:val="clear" w:color="auto" w:fill="auto"/>
            <w:noWrap/>
            <w:vAlign w:val="center"/>
            <w:hideMark/>
          </w:tcPr>
          <w:p w14:paraId="05BBCDF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Postopek s pogajanji brez predhodne objave</w:t>
            </w:r>
          </w:p>
        </w:tc>
        <w:tc>
          <w:tcPr>
            <w:tcW w:w="577" w:type="pct"/>
            <w:tcBorders>
              <w:top w:val="nil"/>
              <w:left w:val="nil"/>
              <w:bottom w:val="single" w:sz="4" w:space="0" w:color="auto"/>
              <w:right w:val="single" w:sz="4" w:space="0" w:color="auto"/>
            </w:tcBorders>
            <w:shd w:val="clear" w:color="auto" w:fill="auto"/>
            <w:noWrap/>
            <w:vAlign w:val="center"/>
            <w:hideMark/>
          </w:tcPr>
          <w:p w14:paraId="10D8F4A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w:t>
            </w:r>
          </w:p>
        </w:tc>
        <w:tc>
          <w:tcPr>
            <w:tcW w:w="442" w:type="pct"/>
            <w:tcBorders>
              <w:top w:val="nil"/>
              <w:left w:val="nil"/>
              <w:bottom w:val="single" w:sz="4" w:space="0" w:color="auto"/>
              <w:right w:val="single" w:sz="4" w:space="0" w:color="auto"/>
            </w:tcBorders>
            <w:shd w:val="clear" w:color="auto" w:fill="auto"/>
            <w:noWrap/>
            <w:vAlign w:val="center"/>
            <w:hideMark/>
          </w:tcPr>
          <w:p w14:paraId="6E2DF9B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w:t>
            </w:r>
          </w:p>
        </w:tc>
        <w:tc>
          <w:tcPr>
            <w:tcW w:w="885" w:type="pct"/>
            <w:tcBorders>
              <w:top w:val="nil"/>
              <w:left w:val="nil"/>
              <w:bottom w:val="single" w:sz="4" w:space="0" w:color="auto"/>
              <w:right w:val="single" w:sz="4" w:space="0" w:color="auto"/>
            </w:tcBorders>
            <w:shd w:val="clear" w:color="auto" w:fill="auto"/>
            <w:noWrap/>
            <w:vAlign w:val="center"/>
            <w:hideMark/>
          </w:tcPr>
          <w:p w14:paraId="74D2B06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1.115.727</w:t>
            </w:r>
          </w:p>
        </w:tc>
      </w:tr>
      <w:tr w:rsidR="00F24E18" w:rsidRPr="00CF4263" w14:paraId="46CD1BD2" w14:textId="77777777" w:rsidTr="000E18B5">
        <w:trPr>
          <w:trHeight w:val="300"/>
        </w:trPr>
        <w:tc>
          <w:tcPr>
            <w:tcW w:w="1019" w:type="pct"/>
            <w:vMerge/>
            <w:tcBorders>
              <w:top w:val="nil"/>
              <w:left w:val="single" w:sz="4" w:space="0" w:color="auto"/>
              <w:bottom w:val="single" w:sz="4" w:space="0" w:color="000000"/>
              <w:right w:val="single" w:sz="4" w:space="0" w:color="auto"/>
            </w:tcBorders>
            <w:vAlign w:val="center"/>
            <w:hideMark/>
          </w:tcPr>
          <w:p w14:paraId="47B2EA6F"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2077" w:type="pct"/>
            <w:tcBorders>
              <w:top w:val="nil"/>
              <w:left w:val="nil"/>
              <w:bottom w:val="single" w:sz="4" w:space="0" w:color="auto"/>
              <w:right w:val="single" w:sz="4" w:space="0" w:color="auto"/>
            </w:tcBorders>
            <w:shd w:val="clear" w:color="auto" w:fill="auto"/>
            <w:noWrap/>
            <w:vAlign w:val="center"/>
            <w:hideMark/>
          </w:tcPr>
          <w:p w14:paraId="35D86F1B"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577" w:type="pct"/>
            <w:tcBorders>
              <w:top w:val="nil"/>
              <w:left w:val="nil"/>
              <w:bottom w:val="single" w:sz="4" w:space="0" w:color="auto"/>
              <w:right w:val="single" w:sz="4" w:space="0" w:color="auto"/>
            </w:tcBorders>
            <w:shd w:val="clear" w:color="auto" w:fill="auto"/>
            <w:noWrap/>
            <w:vAlign w:val="center"/>
            <w:hideMark/>
          </w:tcPr>
          <w:p w14:paraId="4B2B1CEC"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w:t>
            </w:r>
          </w:p>
        </w:tc>
        <w:tc>
          <w:tcPr>
            <w:tcW w:w="442" w:type="pct"/>
            <w:tcBorders>
              <w:top w:val="nil"/>
              <w:left w:val="nil"/>
              <w:bottom w:val="single" w:sz="4" w:space="0" w:color="auto"/>
              <w:right w:val="single" w:sz="4" w:space="0" w:color="auto"/>
            </w:tcBorders>
            <w:shd w:val="clear" w:color="auto" w:fill="auto"/>
            <w:noWrap/>
            <w:vAlign w:val="center"/>
            <w:hideMark/>
          </w:tcPr>
          <w:p w14:paraId="500179D4"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w:t>
            </w:r>
          </w:p>
        </w:tc>
        <w:tc>
          <w:tcPr>
            <w:tcW w:w="885" w:type="pct"/>
            <w:tcBorders>
              <w:top w:val="nil"/>
              <w:left w:val="nil"/>
              <w:bottom w:val="single" w:sz="4" w:space="0" w:color="auto"/>
              <w:right w:val="single" w:sz="4" w:space="0" w:color="auto"/>
            </w:tcBorders>
            <w:shd w:val="clear" w:color="auto" w:fill="auto"/>
            <w:noWrap/>
            <w:vAlign w:val="center"/>
            <w:hideMark/>
          </w:tcPr>
          <w:p w14:paraId="63AB89AA"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1.115.727</w:t>
            </w:r>
          </w:p>
        </w:tc>
      </w:tr>
      <w:tr w:rsidR="00F24E18" w:rsidRPr="00242E41" w14:paraId="417753C7" w14:textId="77777777" w:rsidTr="000E18B5">
        <w:trPr>
          <w:trHeight w:val="300"/>
        </w:trPr>
        <w:tc>
          <w:tcPr>
            <w:tcW w:w="3096"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45B111B1"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577" w:type="pct"/>
            <w:tcBorders>
              <w:top w:val="nil"/>
              <w:left w:val="nil"/>
              <w:bottom w:val="single" w:sz="4" w:space="0" w:color="auto"/>
              <w:right w:val="single" w:sz="4" w:space="0" w:color="auto"/>
            </w:tcBorders>
            <w:shd w:val="clear" w:color="auto" w:fill="F2F2F2" w:themeFill="background1" w:themeFillShade="F2"/>
            <w:noWrap/>
            <w:vAlign w:val="center"/>
            <w:hideMark/>
          </w:tcPr>
          <w:p w14:paraId="35009B4D"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1.006</w:t>
            </w:r>
          </w:p>
        </w:tc>
        <w:tc>
          <w:tcPr>
            <w:tcW w:w="442" w:type="pct"/>
            <w:tcBorders>
              <w:top w:val="nil"/>
              <w:left w:val="nil"/>
              <w:bottom w:val="single" w:sz="4" w:space="0" w:color="auto"/>
              <w:right w:val="single" w:sz="4" w:space="0" w:color="auto"/>
            </w:tcBorders>
            <w:shd w:val="clear" w:color="auto" w:fill="F2F2F2" w:themeFill="background1" w:themeFillShade="F2"/>
            <w:noWrap/>
            <w:vAlign w:val="center"/>
            <w:hideMark/>
          </w:tcPr>
          <w:p w14:paraId="7352B74E"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4.915</w:t>
            </w:r>
          </w:p>
        </w:tc>
        <w:tc>
          <w:tcPr>
            <w:tcW w:w="885" w:type="pct"/>
            <w:tcBorders>
              <w:top w:val="nil"/>
              <w:left w:val="nil"/>
              <w:bottom w:val="single" w:sz="4" w:space="0" w:color="auto"/>
              <w:right w:val="single" w:sz="4" w:space="0" w:color="auto"/>
            </w:tcBorders>
            <w:shd w:val="clear" w:color="auto" w:fill="F2F2F2" w:themeFill="background1" w:themeFillShade="F2"/>
            <w:noWrap/>
            <w:vAlign w:val="center"/>
            <w:hideMark/>
          </w:tcPr>
          <w:p w14:paraId="474F1F7A"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1.487.757.585</w:t>
            </w:r>
          </w:p>
        </w:tc>
      </w:tr>
    </w:tbl>
    <w:p w14:paraId="19D5C593" w14:textId="77777777" w:rsidR="00F24E18" w:rsidRPr="00242E41" w:rsidRDefault="00F24E18" w:rsidP="00F24E18">
      <w:pPr>
        <w:spacing w:after="0" w:line="240" w:lineRule="auto"/>
        <w:jc w:val="both"/>
        <w:rPr>
          <w:rFonts w:ascii="Arial" w:hAnsi="Arial" w:cs="Arial"/>
          <w:sz w:val="20"/>
          <w:highlight w:val="yellow"/>
        </w:rPr>
      </w:pPr>
    </w:p>
    <w:p w14:paraId="3909486F" w14:textId="77777777" w:rsidR="00F24E18" w:rsidRPr="00CF4263" w:rsidRDefault="00F24E18" w:rsidP="00F24E18">
      <w:pPr>
        <w:spacing w:before="120" w:after="0" w:line="240" w:lineRule="auto"/>
        <w:jc w:val="both"/>
        <w:rPr>
          <w:rFonts w:ascii="Arial" w:hAnsi="Arial" w:cs="Arial"/>
          <w:sz w:val="20"/>
        </w:rPr>
      </w:pPr>
      <w:r w:rsidRPr="00CF4263">
        <w:rPr>
          <w:rFonts w:ascii="Arial" w:hAnsi="Arial" w:cs="Arial"/>
          <w:sz w:val="20"/>
        </w:rPr>
        <w:t>Preglednica 71: Izvedeni postopki za sklenitev okvirnega sporazuma glede na kategorijo naročnika in vrsto pogodbe</w:t>
      </w:r>
      <w:bookmarkEnd w:id="85"/>
      <w:bookmarkEnd w:id="86"/>
      <w:bookmarkEnd w:id="87"/>
      <w:bookmarkEnd w:id="88"/>
      <w:bookmarkEnd w:id="89"/>
      <w:bookmarkEnd w:id="90"/>
    </w:p>
    <w:p w14:paraId="342C8E5C" w14:textId="77777777" w:rsidR="00F24E18" w:rsidRPr="00CF4263" w:rsidRDefault="00F24E18" w:rsidP="00F24E18">
      <w:pPr>
        <w:spacing w:after="0" w:line="240" w:lineRule="auto"/>
        <w:jc w:val="both"/>
        <w:rPr>
          <w:rFonts w:ascii="Arial" w:hAnsi="Arial" w:cs="Arial"/>
          <w:sz w:val="20"/>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72"/>
        <w:gridCol w:w="1186"/>
        <w:gridCol w:w="1350"/>
        <w:gridCol w:w="2356"/>
      </w:tblGrid>
      <w:tr w:rsidR="00F24E18" w:rsidRPr="00CF4263" w14:paraId="303E6A9C" w14:textId="77777777" w:rsidTr="000E18B5">
        <w:trPr>
          <w:trHeight w:val="255"/>
        </w:trPr>
        <w:tc>
          <w:tcPr>
            <w:tcW w:w="4172" w:type="dxa"/>
            <w:vMerge w:val="restart"/>
            <w:shd w:val="clear" w:color="auto" w:fill="F2F2F2" w:themeFill="background1" w:themeFillShade="F2"/>
            <w:vAlign w:val="center"/>
            <w:hideMark/>
          </w:tcPr>
          <w:p w14:paraId="2C5E3691"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Kategorija naročnika</w:t>
            </w:r>
          </w:p>
        </w:tc>
        <w:tc>
          <w:tcPr>
            <w:tcW w:w="2536" w:type="dxa"/>
            <w:gridSpan w:val="2"/>
            <w:shd w:val="clear" w:color="auto" w:fill="F2F2F2" w:themeFill="background1" w:themeFillShade="F2"/>
            <w:vAlign w:val="center"/>
            <w:hideMark/>
          </w:tcPr>
          <w:p w14:paraId="356015AB"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postopkov</w:t>
            </w:r>
          </w:p>
        </w:tc>
        <w:tc>
          <w:tcPr>
            <w:tcW w:w="2356" w:type="dxa"/>
            <w:vMerge w:val="restart"/>
            <w:shd w:val="clear" w:color="auto" w:fill="F2F2F2" w:themeFill="background1" w:themeFillShade="F2"/>
            <w:vAlign w:val="center"/>
            <w:hideMark/>
          </w:tcPr>
          <w:p w14:paraId="422C156A"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Delež okvirnih sporazumov v vseh postopkih, ki so jih izvedli naročniki te kategorije</w:t>
            </w:r>
          </w:p>
        </w:tc>
      </w:tr>
      <w:tr w:rsidR="00F24E18" w:rsidRPr="00CF4263" w14:paraId="6DD7FED6" w14:textId="77777777" w:rsidTr="000E18B5">
        <w:trPr>
          <w:trHeight w:val="255"/>
        </w:trPr>
        <w:tc>
          <w:tcPr>
            <w:tcW w:w="4172" w:type="dxa"/>
            <w:vMerge/>
            <w:vAlign w:val="center"/>
            <w:hideMark/>
          </w:tcPr>
          <w:p w14:paraId="658CBA1C"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c>
          <w:tcPr>
            <w:tcW w:w="1186" w:type="dxa"/>
            <w:shd w:val="clear" w:color="000000" w:fill="EDEDED"/>
            <w:vAlign w:val="center"/>
            <w:hideMark/>
          </w:tcPr>
          <w:p w14:paraId="62CCC366"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Sklenitev okvirnega sporazuma</w:t>
            </w:r>
          </w:p>
        </w:tc>
        <w:tc>
          <w:tcPr>
            <w:tcW w:w="1350" w:type="dxa"/>
            <w:shd w:val="clear" w:color="000000" w:fill="EDEDED"/>
            <w:vAlign w:val="center"/>
            <w:hideMark/>
          </w:tcPr>
          <w:p w14:paraId="64710A3A"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Sklenitev običajne odplačne pogodbe</w:t>
            </w:r>
          </w:p>
        </w:tc>
        <w:tc>
          <w:tcPr>
            <w:tcW w:w="2356" w:type="dxa"/>
            <w:vMerge/>
            <w:vAlign w:val="center"/>
            <w:hideMark/>
          </w:tcPr>
          <w:p w14:paraId="5FA23BAB" w14:textId="77777777" w:rsidR="00F24E18" w:rsidRPr="00CF4263" w:rsidRDefault="00F24E18" w:rsidP="000E18B5">
            <w:pPr>
              <w:spacing w:after="0" w:line="240" w:lineRule="auto"/>
              <w:rPr>
                <w:rFonts w:ascii="Arial" w:eastAsia="Times New Roman" w:hAnsi="Arial" w:cs="Arial"/>
                <w:color w:val="000000"/>
                <w:sz w:val="18"/>
                <w:szCs w:val="18"/>
                <w:lang w:eastAsia="sl-SI"/>
              </w:rPr>
            </w:pPr>
          </w:p>
        </w:tc>
      </w:tr>
      <w:tr w:rsidR="00F24E18" w:rsidRPr="00CF4263" w14:paraId="05C439E9" w14:textId="77777777" w:rsidTr="000E18B5">
        <w:trPr>
          <w:trHeight w:val="255"/>
        </w:trPr>
        <w:tc>
          <w:tcPr>
            <w:tcW w:w="4172" w:type="dxa"/>
            <w:shd w:val="clear" w:color="auto" w:fill="auto"/>
            <w:vAlign w:val="center"/>
            <w:hideMark/>
          </w:tcPr>
          <w:p w14:paraId="1258514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Organi Republike Slovenije</w:t>
            </w:r>
          </w:p>
        </w:tc>
        <w:tc>
          <w:tcPr>
            <w:tcW w:w="1186" w:type="dxa"/>
            <w:shd w:val="clear" w:color="auto" w:fill="auto"/>
            <w:noWrap/>
            <w:vAlign w:val="center"/>
            <w:hideMark/>
          </w:tcPr>
          <w:p w14:paraId="6132DC3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51</w:t>
            </w:r>
          </w:p>
        </w:tc>
        <w:tc>
          <w:tcPr>
            <w:tcW w:w="1350" w:type="dxa"/>
            <w:shd w:val="clear" w:color="auto" w:fill="auto"/>
            <w:vAlign w:val="center"/>
            <w:hideMark/>
          </w:tcPr>
          <w:p w14:paraId="7738335A" w14:textId="77777777" w:rsidR="00F24E18" w:rsidRPr="003859CB" w:rsidRDefault="00F24E18" w:rsidP="000E18B5">
            <w:pPr>
              <w:spacing w:after="0" w:line="240" w:lineRule="auto"/>
              <w:jc w:val="right"/>
              <w:rPr>
                <w:rFonts w:ascii="Arial" w:eastAsia="Times New Roman" w:hAnsi="Arial" w:cs="Arial"/>
                <w:color w:val="000000"/>
                <w:sz w:val="18"/>
                <w:szCs w:val="18"/>
                <w:lang w:eastAsia="sl-SI"/>
              </w:rPr>
            </w:pPr>
            <w:r w:rsidRPr="003859CB">
              <w:rPr>
                <w:rFonts w:ascii="Arial" w:hAnsi="Arial" w:cs="Arial"/>
                <w:color w:val="000000"/>
                <w:sz w:val="18"/>
                <w:szCs w:val="18"/>
              </w:rPr>
              <w:t>871</w:t>
            </w:r>
          </w:p>
        </w:tc>
        <w:tc>
          <w:tcPr>
            <w:tcW w:w="2356" w:type="dxa"/>
            <w:shd w:val="clear" w:color="auto" w:fill="auto"/>
            <w:noWrap/>
            <w:vAlign w:val="center"/>
            <w:hideMark/>
          </w:tcPr>
          <w:p w14:paraId="4216F510" w14:textId="77777777" w:rsidR="00F24E18" w:rsidRPr="003859CB" w:rsidRDefault="00F24E18" w:rsidP="000E18B5">
            <w:pPr>
              <w:spacing w:after="0" w:line="240" w:lineRule="auto"/>
              <w:jc w:val="right"/>
              <w:rPr>
                <w:rFonts w:ascii="Arial" w:hAnsi="Arial" w:cs="Arial"/>
                <w:color w:val="000000"/>
                <w:sz w:val="18"/>
                <w:szCs w:val="18"/>
                <w:highlight w:val="yellow"/>
              </w:rPr>
            </w:pPr>
            <w:r w:rsidRPr="003859CB">
              <w:rPr>
                <w:rFonts w:ascii="Arial" w:hAnsi="Arial" w:cs="Arial"/>
                <w:color w:val="000000"/>
                <w:sz w:val="18"/>
                <w:szCs w:val="18"/>
              </w:rPr>
              <w:t>5,53</w:t>
            </w:r>
            <w:r>
              <w:rPr>
                <w:rFonts w:ascii="Arial" w:hAnsi="Arial" w:cs="Arial"/>
                <w:color w:val="000000"/>
                <w:sz w:val="18"/>
                <w:szCs w:val="18"/>
              </w:rPr>
              <w:t xml:space="preserve"> </w:t>
            </w:r>
            <w:r w:rsidRPr="003859CB">
              <w:rPr>
                <w:rFonts w:ascii="Arial" w:hAnsi="Arial" w:cs="Arial"/>
                <w:color w:val="000000"/>
                <w:sz w:val="18"/>
                <w:szCs w:val="18"/>
              </w:rPr>
              <w:t>%</w:t>
            </w:r>
          </w:p>
        </w:tc>
      </w:tr>
      <w:tr w:rsidR="00F24E18" w:rsidRPr="00CF4263" w14:paraId="381AADC6" w14:textId="77777777" w:rsidTr="000E18B5">
        <w:trPr>
          <w:trHeight w:val="255"/>
        </w:trPr>
        <w:tc>
          <w:tcPr>
            <w:tcW w:w="4172" w:type="dxa"/>
            <w:shd w:val="clear" w:color="auto" w:fill="auto"/>
            <w:vAlign w:val="center"/>
            <w:hideMark/>
          </w:tcPr>
          <w:p w14:paraId="53EE63F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Samoupravne lokalne skupnosti</w:t>
            </w:r>
          </w:p>
        </w:tc>
        <w:tc>
          <w:tcPr>
            <w:tcW w:w="1186" w:type="dxa"/>
            <w:shd w:val="clear" w:color="auto" w:fill="auto"/>
            <w:vAlign w:val="center"/>
            <w:hideMark/>
          </w:tcPr>
          <w:p w14:paraId="7B7E60D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55</w:t>
            </w:r>
          </w:p>
        </w:tc>
        <w:tc>
          <w:tcPr>
            <w:tcW w:w="1350" w:type="dxa"/>
            <w:shd w:val="clear" w:color="auto" w:fill="auto"/>
            <w:vAlign w:val="center"/>
            <w:hideMark/>
          </w:tcPr>
          <w:p w14:paraId="3A55C49D" w14:textId="77777777" w:rsidR="00F24E18" w:rsidRPr="003859CB" w:rsidRDefault="00F24E18" w:rsidP="000E18B5">
            <w:pPr>
              <w:spacing w:after="0" w:line="240" w:lineRule="auto"/>
              <w:jc w:val="right"/>
              <w:rPr>
                <w:rFonts w:ascii="Arial" w:eastAsia="Times New Roman" w:hAnsi="Arial" w:cs="Arial"/>
                <w:color w:val="000000"/>
                <w:sz w:val="18"/>
                <w:szCs w:val="18"/>
                <w:lang w:eastAsia="sl-SI"/>
              </w:rPr>
            </w:pPr>
            <w:r w:rsidRPr="003859CB">
              <w:rPr>
                <w:rFonts w:ascii="Arial" w:hAnsi="Arial" w:cs="Arial"/>
                <w:color w:val="000000"/>
                <w:sz w:val="18"/>
                <w:szCs w:val="18"/>
              </w:rPr>
              <w:t>1.150</w:t>
            </w:r>
          </w:p>
        </w:tc>
        <w:tc>
          <w:tcPr>
            <w:tcW w:w="2356" w:type="dxa"/>
            <w:shd w:val="clear" w:color="auto" w:fill="auto"/>
            <w:noWrap/>
            <w:vAlign w:val="center"/>
            <w:hideMark/>
          </w:tcPr>
          <w:p w14:paraId="076490FB" w14:textId="77777777" w:rsidR="00F24E18" w:rsidRPr="003859CB" w:rsidRDefault="00F24E18" w:rsidP="000E18B5">
            <w:pPr>
              <w:spacing w:after="0" w:line="240" w:lineRule="auto"/>
              <w:jc w:val="right"/>
              <w:rPr>
                <w:rFonts w:ascii="Arial" w:hAnsi="Arial" w:cs="Arial"/>
                <w:color w:val="000000"/>
                <w:sz w:val="18"/>
                <w:szCs w:val="18"/>
                <w:highlight w:val="yellow"/>
              </w:rPr>
            </w:pPr>
            <w:r w:rsidRPr="003859CB">
              <w:rPr>
                <w:rFonts w:ascii="Arial" w:hAnsi="Arial" w:cs="Arial"/>
                <w:color w:val="000000"/>
                <w:sz w:val="18"/>
                <w:szCs w:val="18"/>
              </w:rPr>
              <w:t>4,56</w:t>
            </w:r>
            <w:r>
              <w:rPr>
                <w:rFonts w:ascii="Arial" w:hAnsi="Arial" w:cs="Arial"/>
                <w:color w:val="000000"/>
                <w:sz w:val="18"/>
                <w:szCs w:val="18"/>
              </w:rPr>
              <w:t xml:space="preserve"> </w:t>
            </w:r>
            <w:r w:rsidRPr="003859CB">
              <w:rPr>
                <w:rFonts w:ascii="Arial" w:hAnsi="Arial" w:cs="Arial"/>
                <w:color w:val="000000"/>
                <w:sz w:val="18"/>
                <w:szCs w:val="18"/>
              </w:rPr>
              <w:t>%</w:t>
            </w:r>
          </w:p>
        </w:tc>
      </w:tr>
      <w:tr w:rsidR="00F24E18" w:rsidRPr="00CF4263" w14:paraId="75C48A16" w14:textId="77777777" w:rsidTr="000E18B5">
        <w:trPr>
          <w:trHeight w:val="255"/>
        </w:trPr>
        <w:tc>
          <w:tcPr>
            <w:tcW w:w="4172" w:type="dxa"/>
            <w:shd w:val="clear" w:color="auto" w:fill="auto"/>
            <w:vAlign w:val="center"/>
            <w:hideMark/>
          </w:tcPr>
          <w:p w14:paraId="72894E6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Javni skladi</w:t>
            </w:r>
          </w:p>
        </w:tc>
        <w:tc>
          <w:tcPr>
            <w:tcW w:w="1186" w:type="dxa"/>
            <w:shd w:val="clear" w:color="auto" w:fill="auto"/>
            <w:vAlign w:val="center"/>
            <w:hideMark/>
          </w:tcPr>
          <w:p w14:paraId="1892D96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2</w:t>
            </w:r>
          </w:p>
        </w:tc>
        <w:tc>
          <w:tcPr>
            <w:tcW w:w="1350" w:type="dxa"/>
            <w:shd w:val="clear" w:color="auto" w:fill="auto"/>
            <w:vAlign w:val="center"/>
            <w:hideMark/>
          </w:tcPr>
          <w:p w14:paraId="54AC3A62" w14:textId="77777777" w:rsidR="00F24E18" w:rsidRPr="003859CB" w:rsidRDefault="00F24E18" w:rsidP="000E18B5">
            <w:pPr>
              <w:spacing w:after="0" w:line="240" w:lineRule="auto"/>
              <w:jc w:val="right"/>
              <w:rPr>
                <w:rFonts w:ascii="Arial" w:eastAsia="Times New Roman" w:hAnsi="Arial" w:cs="Arial"/>
                <w:color w:val="000000"/>
                <w:sz w:val="18"/>
                <w:szCs w:val="18"/>
                <w:lang w:eastAsia="sl-SI"/>
              </w:rPr>
            </w:pPr>
            <w:r w:rsidRPr="003859CB">
              <w:rPr>
                <w:rFonts w:ascii="Arial" w:hAnsi="Arial" w:cs="Arial"/>
                <w:color w:val="000000"/>
                <w:sz w:val="18"/>
                <w:szCs w:val="18"/>
              </w:rPr>
              <w:t>48</w:t>
            </w:r>
          </w:p>
        </w:tc>
        <w:tc>
          <w:tcPr>
            <w:tcW w:w="2356" w:type="dxa"/>
            <w:shd w:val="clear" w:color="auto" w:fill="auto"/>
            <w:noWrap/>
            <w:vAlign w:val="center"/>
            <w:hideMark/>
          </w:tcPr>
          <w:p w14:paraId="6E48B13E" w14:textId="77777777" w:rsidR="00F24E18" w:rsidRPr="003859CB" w:rsidRDefault="00F24E18" w:rsidP="000E18B5">
            <w:pPr>
              <w:spacing w:after="0" w:line="240" w:lineRule="auto"/>
              <w:jc w:val="right"/>
              <w:rPr>
                <w:rFonts w:ascii="Arial" w:hAnsi="Arial" w:cs="Arial"/>
                <w:color w:val="000000"/>
                <w:sz w:val="18"/>
                <w:szCs w:val="18"/>
                <w:highlight w:val="yellow"/>
              </w:rPr>
            </w:pPr>
            <w:r w:rsidRPr="003859CB">
              <w:rPr>
                <w:rFonts w:ascii="Arial" w:hAnsi="Arial" w:cs="Arial"/>
                <w:color w:val="000000"/>
                <w:sz w:val="18"/>
                <w:szCs w:val="18"/>
              </w:rPr>
              <w:t>4,00</w:t>
            </w:r>
            <w:r>
              <w:rPr>
                <w:rFonts w:ascii="Arial" w:hAnsi="Arial" w:cs="Arial"/>
                <w:color w:val="000000"/>
                <w:sz w:val="18"/>
                <w:szCs w:val="18"/>
              </w:rPr>
              <w:t xml:space="preserve"> </w:t>
            </w:r>
            <w:r w:rsidRPr="003859CB">
              <w:rPr>
                <w:rFonts w:ascii="Arial" w:hAnsi="Arial" w:cs="Arial"/>
                <w:color w:val="000000"/>
                <w:sz w:val="18"/>
                <w:szCs w:val="18"/>
              </w:rPr>
              <w:t>%</w:t>
            </w:r>
          </w:p>
        </w:tc>
      </w:tr>
      <w:tr w:rsidR="00F24E18" w:rsidRPr="00CF4263" w14:paraId="2F6E9ACD" w14:textId="77777777" w:rsidTr="000E18B5">
        <w:trPr>
          <w:trHeight w:val="255"/>
        </w:trPr>
        <w:tc>
          <w:tcPr>
            <w:tcW w:w="4172" w:type="dxa"/>
            <w:shd w:val="clear" w:color="auto" w:fill="auto"/>
            <w:vAlign w:val="center"/>
            <w:hideMark/>
          </w:tcPr>
          <w:p w14:paraId="0FF263D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Javne agencije</w:t>
            </w:r>
          </w:p>
        </w:tc>
        <w:tc>
          <w:tcPr>
            <w:tcW w:w="1186" w:type="dxa"/>
            <w:shd w:val="clear" w:color="auto" w:fill="auto"/>
            <w:vAlign w:val="center"/>
            <w:hideMark/>
          </w:tcPr>
          <w:p w14:paraId="60ED97C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13</w:t>
            </w:r>
          </w:p>
        </w:tc>
        <w:tc>
          <w:tcPr>
            <w:tcW w:w="1350" w:type="dxa"/>
            <w:shd w:val="clear" w:color="auto" w:fill="auto"/>
            <w:vAlign w:val="center"/>
            <w:hideMark/>
          </w:tcPr>
          <w:p w14:paraId="15E3C718" w14:textId="77777777" w:rsidR="00F24E18" w:rsidRPr="003859CB" w:rsidRDefault="00F24E18" w:rsidP="000E18B5">
            <w:pPr>
              <w:spacing w:after="0" w:line="240" w:lineRule="auto"/>
              <w:jc w:val="right"/>
              <w:rPr>
                <w:rFonts w:ascii="Arial" w:eastAsia="Times New Roman" w:hAnsi="Arial" w:cs="Arial"/>
                <w:color w:val="000000"/>
                <w:sz w:val="18"/>
                <w:szCs w:val="18"/>
                <w:lang w:eastAsia="sl-SI"/>
              </w:rPr>
            </w:pPr>
            <w:r w:rsidRPr="003859CB">
              <w:rPr>
                <w:rFonts w:ascii="Arial" w:hAnsi="Arial" w:cs="Arial"/>
                <w:color w:val="000000"/>
                <w:sz w:val="18"/>
                <w:szCs w:val="18"/>
              </w:rPr>
              <w:t>96</w:t>
            </w:r>
          </w:p>
        </w:tc>
        <w:tc>
          <w:tcPr>
            <w:tcW w:w="2356" w:type="dxa"/>
            <w:shd w:val="clear" w:color="auto" w:fill="auto"/>
            <w:noWrap/>
            <w:vAlign w:val="center"/>
            <w:hideMark/>
          </w:tcPr>
          <w:p w14:paraId="5E59A07C" w14:textId="77777777" w:rsidR="00F24E18" w:rsidRPr="003859CB" w:rsidRDefault="00F24E18" w:rsidP="000E18B5">
            <w:pPr>
              <w:spacing w:after="0" w:line="240" w:lineRule="auto"/>
              <w:jc w:val="right"/>
              <w:rPr>
                <w:rFonts w:ascii="Arial" w:hAnsi="Arial" w:cs="Arial"/>
                <w:color w:val="000000"/>
                <w:sz w:val="18"/>
                <w:szCs w:val="18"/>
                <w:highlight w:val="yellow"/>
              </w:rPr>
            </w:pPr>
            <w:r w:rsidRPr="003859CB">
              <w:rPr>
                <w:rFonts w:ascii="Arial" w:hAnsi="Arial" w:cs="Arial"/>
                <w:color w:val="000000"/>
                <w:sz w:val="18"/>
                <w:szCs w:val="18"/>
              </w:rPr>
              <w:t>11,93</w:t>
            </w:r>
            <w:r>
              <w:rPr>
                <w:rFonts w:ascii="Arial" w:hAnsi="Arial" w:cs="Arial"/>
                <w:color w:val="000000"/>
                <w:sz w:val="18"/>
                <w:szCs w:val="18"/>
              </w:rPr>
              <w:t xml:space="preserve"> </w:t>
            </w:r>
            <w:r w:rsidRPr="003859CB">
              <w:rPr>
                <w:rFonts w:ascii="Arial" w:hAnsi="Arial" w:cs="Arial"/>
                <w:color w:val="000000"/>
                <w:sz w:val="18"/>
                <w:szCs w:val="18"/>
              </w:rPr>
              <w:t>%</w:t>
            </w:r>
          </w:p>
        </w:tc>
      </w:tr>
      <w:tr w:rsidR="00F24E18" w:rsidRPr="00CF4263" w14:paraId="30727F48" w14:textId="77777777" w:rsidTr="000E18B5">
        <w:trPr>
          <w:trHeight w:val="255"/>
        </w:trPr>
        <w:tc>
          <w:tcPr>
            <w:tcW w:w="4172" w:type="dxa"/>
            <w:shd w:val="clear" w:color="auto" w:fill="auto"/>
            <w:vAlign w:val="center"/>
            <w:hideMark/>
          </w:tcPr>
          <w:p w14:paraId="4135779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Javni zavodi</w:t>
            </w:r>
          </w:p>
        </w:tc>
        <w:tc>
          <w:tcPr>
            <w:tcW w:w="1186" w:type="dxa"/>
            <w:shd w:val="clear" w:color="auto" w:fill="auto"/>
            <w:vAlign w:val="center"/>
            <w:hideMark/>
          </w:tcPr>
          <w:p w14:paraId="3B3918B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503</w:t>
            </w:r>
          </w:p>
        </w:tc>
        <w:tc>
          <w:tcPr>
            <w:tcW w:w="1350" w:type="dxa"/>
            <w:shd w:val="clear" w:color="auto" w:fill="auto"/>
            <w:vAlign w:val="center"/>
            <w:hideMark/>
          </w:tcPr>
          <w:p w14:paraId="18762E47" w14:textId="77777777" w:rsidR="00F24E18" w:rsidRPr="003859CB" w:rsidRDefault="00F24E18" w:rsidP="000E18B5">
            <w:pPr>
              <w:spacing w:after="0" w:line="240" w:lineRule="auto"/>
              <w:jc w:val="right"/>
              <w:rPr>
                <w:rFonts w:ascii="Arial" w:eastAsia="Times New Roman" w:hAnsi="Arial" w:cs="Arial"/>
                <w:color w:val="000000"/>
                <w:sz w:val="18"/>
                <w:szCs w:val="18"/>
                <w:lang w:eastAsia="sl-SI"/>
              </w:rPr>
            </w:pPr>
            <w:r w:rsidRPr="003859CB">
              <w:rPr>
                <w:rFonts w:ascii="Arial" w:hAnsi="Arial" w:cs="Arial"/>
                <w:color w:val="000000"/>
                <w:sz w:val="18"/>
                <w:szCs w:val="18"/>
              </w:rPr>
              <w:t>1.958</w:t>
            </w:r>
          </w:p>
        </w:tc>
        <w:tc>
          <w:tcPr>
            <w:tcW w:w="2356" w:type="dxa"/>
            <w:shd w:val="clear" w:color="auto" w:fill="auto"/>
            <w:noWrap/>
            <w:vAlign w:val="center"/>
            <w:hideMark/>
          </w:tcPr>
          <w:p w14:paraId="08DA0EB2" w14:textId="77777777" w:rsidR="00F24E18" w:rsidRPr="003859CB" w:rsidRDefault="00F24E18" w:rsidP="000E18B5">
            <w:pPr>
              <w:spacing w:after="0" w:line="240" w:lineRule="auto"/>
              <w:jc w:val="right"/>
              <w:rPr>
                <w:rFonts w:ascii="Arial" w:hAnsi="Arial" w:cs="Arial"/>
                <w:color w:val="000000"/>
                <w:sz w:val="18"/>
                <w:szCs w:val="18"/>
                <w:highlight w:val="yellow"/>
              </w:rPr>
            </w:pPr>
            <w:r w:rsidRPr="003859CB">
              <w:rPr>
                <w:rFonts w:ascii="Arial" w:hAnsi="Arial" w:cs="Arial"/>
                <w:color w:val="000000"/>
                <w:sz w:val="18"/>
                <w:szCs w:val="18"/>
              </w:rPr>
              <w:t>20,44</w:t>
            </w:r>
            <w:r>
              <w:rPr>
                <w:rFonts w:ascii="Arial" w:hAnsi="Arial" w:cs="Arial"/>
                <w:color w:val="000000"/>
                <w:sz w:val="18"/>
                <w:szCs w:val="18"/>
              </w:rPr>
              <w:t xml:space="preserve"> </w:t>
            </w:r>
            <w:r w:rsidRPr="003859CB">
              <w:rPr>
                <w:rFonts w:ascii="Arial" w:hAnsi="Arial" w:cs="Arial"/>
                <w:color w:val="000000"/>
                <w:sz w:val="18"/>
                <w:szCs w:val="18"/>
              </w:rPr>
              <w:t>%</w:t>
            </w:r>
          </w:p>
        </w:tc>
      </w:tr>
      <w:tr w:rsidR="00F24E18" w:rsidRPr="00CF4263" w14:paraId="3749A6EB" w14:textId="77777777" w:rsidTr="000E18B5">
        <w:trPr>
          <w:trHeight w:val="255"/>
        </w:trPr>
        <w:tc>
          <w:tcPr>
            <w:tcW w:w="4172" w:type="dxa"/>
            <w:shd w:val="clear" w:color="auto" w:fill="auto"/>
            <w:vAlign w:val="center"/>
            <w:hideMark/>
          </w:tcPr>
          <w:p w14:paraId="3389C4F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Javni gospodarski zavodi</w:t>
            </w:r>
          </w:p>
        </w:tc>
        <w:tc>
          <w:tcPr>
            <w:tcW w:w="1186" w:type="dxa"/>
            <w:shd w:val="clear" w:color="auto" w:fill="auto"/>
            <w:vAlign w:val="center"/>
            <w:hideMark/>
          </w:tcPr>
          <w:p w14:paraId="475659C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4</w:t>
            </w:r>
          </w:p>
        </w:tc>
        <w:tc>
          <w:tcPr>
            <w:tcW w:w="1350" w:type="dxa"/>
            <w:shd w:val="clear" w:color="auto" w:fill="auto"/>
            <w:vAlign w:val="center"/>
            <w:hideMark/>
          </w:tcPr>
          <w:p w14:paraId="56BFE30A" w14:textId="77777777" w:rsidR="00F24E18" w:rsidRPr="003859CB" w:rsidRDefault="00F24E18" w:rsidP="000E18B5">
            <w:pPr>
              <w:spacing w:after="0" w:line="240" w:lineRule="auto"/>
              <w:jc w:val="right"/>
              <w:rPr>
                <w:rFonts w:ascii="Arial" w:eastAsia="Times New Roman" w:hAnsi="Arial" w:cs="Arial"/>
                <w:color w:val="000000"/>
                <w:sz w:val="18"/>
                <w:szCs w:val="18"/>
                <w:lang w:eastAsia="sl-SI"/>
              </w:rPr>
            </w:pPr>
            <w:r w:rsidRPr="003859CB">
              <w:rPr>
                <w:rFonts w:ascii="Arial" w:hAnsi="Arial" w:cs="Arial"/>
                <w:color w:val="000000"/>
                <w:sz w:val="18"/>
                <w:szCs w:val="18"/>
              </w:rPr>
              <w:t>35</w:t>
            </w:r>
          </w:p>
        </w:tc>
        <w:tc>
          <w:tcPr>
            <w:tcW w:w="2356" w:type="dxa"/>
            <w:shd w:val="clear" w:color="auto" w:fill="auto"/>
            <w:noWrap/>
            <w:vAlign w:val="center"/>
            <w:hideMark/>
          </w:tcPr>
          <w:p w14:paraId="1A75E11C" w14:textId="77777777" w:rsidR="00F24E18" w:rsidRPr="003859CB" w:rsidRDefault="00F24E18" w:rsidP="000E18B5">
            <w:pPr>
              <w:spacing w:after="0" w:line="240" w:lineRule="auto"/>
              <w:jc w:val="right"/>
              <w:rPr>
                <w:rFonts w:ascii="Arial" w:hAnsi="Arial" w:cs="Arial"/>
                <w:color w:val="000000"/>
                <w:sz w:val="18"/>
                <w:szCs w:val="18"/>
                <w:highlight w:val="yellow"/>
              </w:rPr>
            </w:pPr>
            <w:r w:rsidRPr="003859CB">
              <w:rPr>
                <w:rFonts w:ascii="Arial" w:hAnsi="Arial" w:cs="Arial"/>
                <w:color w:val="000000"/>
                <w:sz w:val="18"/>
                <w:szCs w:val="18"/>
              </w:rPr>
              <w:t>10,26</w:t>
            </w:r>
            <w:r>
              <w:rPr>
                <w:rFonts w:ascii="Arial" w:hAnsi="Arial" w:cs="Arial"/>
                <w:color w:val="000000"/>
                <w:sz w:val="18"/>
                <w:szCs w:val="18"/>
              </w:rPr>
              <w:t xml:space="preserve"> </w:t>
            </w:r>
            <w:r w:rsidRPr="003859CB">
              <w:rPr>
                <w:rFonts w:ascii="Arial" w:hAnsi="Arial" w:cs="Arial"/>
                <w:color w:val="000000"/>
                <w:sz w:val="18"/>
                <w:szCs w:val="18"/>
              </w:rPr>
              <w:t>%</w:t>
            </w:r>
          </w:p>
        </w:tc>
      </w:tr>
      <w:tr w:rsidR="00F24E18" w:rsidRPr="00CF4263" w14:paraId="71925659" w14:textId="77777777" w:rsidTr="000E18B5">
        <w:trPr>
          <w:trHeight w:val="255"/>
        </w:trPr>
        <w:tc>
          <w:tcPr>
            <w:tcW w:w="4172" w:type="dxa"/>
            <w:shd w:val="clear" w:color="auto" w:fill="auto"/>
            <w:vAlign w:val="center"/>
          </w:tcPr>
          <w:p w14:paraId="1F95649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1186" w:type="dxa"/>
            <w:shd w:val="clear" w:color="auto" w:fill="auto"/>
            <w:vAlign w:val="center"/>
          </w:tcPr>
          <w:p w14:paraId="414162F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375</w:t>
            </w:r>
          </w:p>
        </w:tc>
        <w:tc>
          <w:tcPr>
            <w:tcW w:w="1350" w:type="dxa"/>
            <w:shd w:val="clear" w:color="auto" w:fill="auto"/>
            <w:vAlign w:val="center"/>
          </w:tcPr>
          <w:p w14:paraId="047EF467" w14:textId="77777777" w:rsidR="00F24E18" w:rsidRPr="003859CB" w:rsidRDefault="00F24E18" w:rsidP="000E18B5">
            <w:pPr>
              <w:spacing w:after="0" w:line="240" w:lineRule="auto"/>
              <w:jc w:val="right"/>
              <w:rPr>
                <w:rFonts w:ascii="Arial" w:eastAsia="Times New Roman" w:hAnsi="Arial" w:cs="Arial"/>
                <w:color w:val="000000"/>
                <w:sz w:val="18"/>
                <w:szCs w:val="18"/>
                <w:lang w:eastAsia="sl-SI"/>
              </w:rPr>
            </w:pPr>
            <w:r w:rsidRPr="003859CB">
              <w:rPr>
                <w:rFonts w:ascii="Arial" w:hAnsi="Arial" w:cs="Arial"/>
                <w:color w:val="000000"/>
                <w:sz w:val="18"/>
                <w:szCs w:val="18"/>
              </w:rPr>
              <w:t>1.921</w:t>
            </w:r>
          </w:p>
        </w:tc>
        <w:tc>
          <w:tcPr>
            <w:tcW w:w="2356" w:type="dxa"/>
            <w:shd w:val="clear" w:color="auto" w:fill="auto"/>
            <w:noWrap/>
            <w:vAlign w:val="center"/>
          </w:tcPr>
          <w:p w14:paraId="1572D642" w14:textId="77777777" w:rsidR="00F24E18" w:rsidRPr="003859CB" w:rsidRDefault="00F24E18" w:rsidP="000E18B5">
            <w:pPr>
              <w:spacing w:after="0" w:line="240" w:lineRule="auto"/>
              <w:jc w:val="right"/>
              <w:rPr>
                <w:rFonts w:ascii="Arial" w:hAnsi="Arial" w:cs="Arial"/>
                <w:color w:val="000000"/>
                <w:sz w:val="18"/>
                <w:szCs w:val="18"/>
                <w:highlight w:val="yellow"/>
              </w:rPr>
            </w:pPr>
            <w:r w:rsidRPr="003859CB">
              <w:rPr>
                <w:rFonts w:ascii="Arial" w:hAnsi="Arial" w:cs="Arial"/>
                <w:color w:val="000000"/>
                <w:sz w:val="18"/>
                <w:szCs w:val="18"/>
              </w:rPr>
              <w:t>16,33</w:t>
            </w:r>
            <w:r>
              <w:rPr>
                <w:rFonts w:ascii="Arial" w:hAnsi="Arial" w:cs="Arial"/>
                <w:color w:val="000000"/>
                <w:sz w:val="18"/>
                <w:szCs w:val="18"/>
              </w:rPr>
              <w:t xml:space="preserve"> </w:t>
            </w:r>
            <w:r w:rsidRPr="003859CB">
              <w:rPr>
                <w:rFonts w:ascii="Arial" w:hAnsi="Arial" w:cs="Arial"/>
                <w:color w:val="000000"/>
                <w:sz w:val="18"/>
                <w:szCs w:val="18"/>
              </w:rPr>
              <w:t>%</w:t>
            </w:r>
          </w:p>
        </w:tc>
      </w:tr>
      <w:tr w:rsidR="00F24E18" w:rsidRPr="00CF4263" w14:paraId="6CD204AD" w14:textId="77777777" w:rsidTr="000E18B5">
        <w:trPr>
          <w:trHeight w:val="255"/>
        </w:trPr>
        <w:tc>
          <w:tcPr>
            <w:tcW w:w="4172" w:type="dxa"/>
            <w:shd w:val="clear" w:color="auto" w:fill="auto"/>
            <w:vAlign w:val="center"/>
          </w:tcPr>
          <w:p w14:paraId="1607934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Drugi subjekti</w:t>
            </w:r>
          </w:p>
        </w:tc>
        <w:tc>
          <w:tcPr>
            <w:tcW w:w="1186" w:type="dxa"/>
            <w:shd w:val="clear" w:color="auto" w:fill="auto"/>
            <w:vAlign w:val="center"/>
          </w:tcPr>
          <w:p w14:paraId="3BA93FC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hAnsi="Arial" w:cs="Arial"/>
                <w:color w:val="000000"/>
                <w:sz w:val="18"/>
                <w:szCs w:val="18"/>
              </w:rPr>
              <w:t>3</w:t>
            </w:r>
          </w:p>
        </w:tc>
        <w:tc>
          <w:tcPr>
            <w:tcW w:w="1350" w:type="dxa"/>
            <w:shd w:val="clear" w:color="auto" w:fill="auto"/>
            <w:vAlign w:val="center"/>
          </w:tcPr>
          <w:p w14:paraId="6701090A" w14:textId="77777777" w:rsidR="00F24E18" w:rsidRPr="003859CB" w:rsidRDefault="00F24E18" w:rsidP="000E18B5">
            <w:pPr>
              <w:spacing w:after="0" w:line="240" w:lineRule="auto"/>
              <w:jc w:val="right"/>
              <w:rPr>
                <w:rFonts w:ascii="Arial" w:eastAsia="Times New Roman" w:hAnsi="Arial" w:cs="Arial"/>
                <w:color w:val="000000"/>
                <w:sz w:val="18"/>
                <w:szCs w:val="18"/>
                <w:lang w:eastAsia="sl-SI"/>
              </w:rPr>
            </w:pPr>
            <w:r w:rsidRPr="003859CB">
              <w:rPr>
                <w:rFonts w:ascii="Arial" w:hAnsi="Arial" w:cs="Arial"/>
                <w:color w:val="000000"/>
                <w:sz w:val="18"/>
                <w:szCs w:val="18"/>
              </w:rPr>
              <w:t>65</w:t>
            </w:r>
          </w:p>
        </w:tc>
        <w:tc>
          <w:tcPr>
            <w:tcW w:w="2356" w:type="dxa"/>
            <w:shd w:val="clear" w:color="auto" w:fill="auto"/>
            <w:noWrap/>
            <w:vAlign w:val="center"/>
          </w:tcPr>
          <w:p w14:paraId="2DC4AA9D" w14:textId="77777777" w:rsidR="00F24E18" w:rsidRPr="003859CB" w:rsidRDefault="00F24E18" w:rsidP="000E18B5">
            <w:pPr>
              <w:spacing w:after="0" w:line="240" w:lineRule="auto"/>
              <w:jc w:val="right"/>
              <w:rPr>
                <w:rFonts w:ascii="Arial" w:hAnsi="Arial" w:cs="Arial"/>
                <w:color w:val="000000"/>
                <w:sz w:val="18"/>
                <w:szCs w:val="18"/>
                <w:highlight w:val="yellow"/>
              </w:rPr>
            </w:pPr>
            <w:r w:rsidRPr="003859CB">
              <w:rPr>
                <w:rFonts w:ascii="Arial" w:hAnsi="Arial" w:cs="Arial"/>
                <w:color w:val="000000"/>
                <w:sz w:val="18"/>
                <w:szCs w:val="18"/>
              </w:rPr>
              <w:t>4,41</w:t>
            </w:r>
            <w:r>
              <w:rPr>
                <w:rFonts w:ascii="Arial" w:hAnsi="Arial" w:cs="Arial"/>
                <w:color w:val="000000"/>
                <w:sz w:val="18"/>
                <w:szCs w:val="18"/>
              </w:rPr>
              <w:t xml:space="preserve"> </w:t>
            </w:r>
            <w:r w:rsidRPr="003859CB">
              <w:rPr>
                <w:rFonts w:ascii="Arial" w:hAnsi="Arial" w:cs="Arial"/>
                <w:color w:val="000000"/>
                <w:sz w:val="18"/>
                <w:szCs w:val="18"/>
              </w:rPr>
              <w:t>%</w:t>
            </w:r>
          </w:p>
        </w:tc>
      </w:tr>
      <w:tr w:rsidR="00F24E18" w:rsidRPr="00242E41" w14:paraId="0C13BB4A" w14:textId="77777777" w:rsidTr="000E18B5">
        <w:trPr>
          <w:trHeight w:val="257"/>
        </w:trPr>
        <w:tc>
          <w:tcPr>
            <w:tcW w:w="4172" w:type="dxa"/>
            <w:shd w:val="clear" w:color="auto" w:fill="F2F2F2" w:themeFill="background1" w:themeFillShade="F2"/>
            <w:vAlign w:val="center"/>
          </w:tcPr>
          <w:p w14:paraId="500A512A" w14:textId="77777777" w:rsidR="00F24E18" w:rsidRPr="00CF4263" w:rsidRDefault="00F24E18" w:rsidP="000E18B5">
            <w:pPr>
              <w:spacing w:after="0" w:line="240" w:lineRule="auto"/>
              <w:rPr>
                <w:rFonts w:ascii="Arial" w:eastAsia="Times New Roman" w:hAnsi="Arial" w:cs="Arial"/>
                <w:b/>
                <w:bCs/>
                <w:color w:val="000000"/>
                <w:sz w:val="18"/>
                <w:szCs w:val="18"/>
                <w:lang w:eastAsia="sl-SI"/>
              </w:rPr>
            </w:pPr>
            <w:r w:rsidRPr="00CF4263">
              <w:rPr>
                <w:rFonts w:ascii="Arial" w:eastAsia="Times New Roman" w:hAnsi="Arial" w:cs="Arial"/>
                <w:b/>
                <w:bCs/>
                <w:color w:val="000000"/>
                <w:sz w:val="18"/>
                <w:szCs w:val="18"/>
                <w:lang w:eastAsia="sl-SI"/>
              </w:rPr>
              <w:t>Skupaj</w:t>
            </w:r>
          </w:p>
        </w:tc>
        <w:tc>
          <w:tcPr>
            <w:tcW w:w="1186" w:type="dxa"/>
            <w:shd w:val="clear" w:color="auto" w:fill="F2F2F2" w:themeFill="background1" w:themeFillShade="F2"/>
            <w:vAlign w:val="center"/>
          </w:tcPr>
          <w:p w14:paraId="36D89CE3" w14:textId="77777777" w:rsidR="00F24E18" w:rsidRPr="00CF4263" w:rsidRDefault="00F24E18" w:rsidP="000E18B5">
            <w:pPr>
              <w:spacing w:after="0" w:line="240" w:lineRule="auto"/>
              <w:jc w:val="right"/>
              <w:rPr>
                <w:rFonts w:ascii="Arial" w:eastAsia="Times New Roman" w:hAnsi="Arial" w:cs="Arial"/>
                <w:b/>
                <w:bCs/>
                <w:color w:val="000000"/>
                <w:sz w:val="18"/>
                <w:szCs w:val="18"/>
                <w:lang w:eastAsia="sl-SI"/>
              </w:rPr>
            </w:pPr>
            <w:r w:rsidRPr="00CF4263">
              <w:rPr>
                <w:rFonts w:ascii="Arial" w:hAnsi="Arial" w:cs="Arial"/>
                <w:b/>
                <w:bCs/>
                <w:color w:val="000000"/>
                <w:sz w:val="18"/>
                <w:szCs w:val="18"/>
              </w:rPr>
              <w:t>1.006</w:t>
            </w:r>
          </w:p>
        </w:tc>
        <w:tc>
          <w:tcPr>
            <w:tcW w:w="1350" w:type="dxa"/>
            <w:shd w:val="clear" w:color="auto" w:fill="F2F2F2" w:themeFill="background1" w:themeFillShade="F2"/>
            <w:vAlign w:val="center"/>
          </w:tcPr>
          <w:p w14:paraId="2F078822" w14:textId="77777777" w:rsidR="00F24E18" w:rsidRPr="003859CB" w:rsidRDefault="00F24E18" w:rsidP="000E18B5">
            <w:pPr>
              <w:spacing w:after="0" w:line="240" w:lineRule="auto"/>
              <w:jc w:val="right"/>
              <w:rPr>
                <w:rFonts w:ascii="Arial" w:eastAsia="Times New Roman" w:hAnsi="Arial" w:cs="Arial"/>
                <w:b/>
                <w:bCs/>
                <w:color w:val="000000"/>
                <w:sz w:val="18"/>
                <w:szCs w:val="18"/>
                <w:lang w:eastAsia="sl-SI"/>
              </w:rPr>
            </w:pPr>
            <w:r w:rsidRPr="003859CB">
              <w:rPr>
                <w:rFonts w:ascii="Arial" w:hAnsi="Arial" w:cs="Arial"/>
                <w:b/>
                <w:bCs/>
                <w:color w:val="000000"/>
                <w:sz w:val="18"/>
                <w:szCs w:val="18"/>
              </w:rPr>
              <w:t>6.144</w:t>
            </w:r>
          </w:p>
        </w:tc>
        <w:tc>
          <w:tcPr>
            <w:tcW w:w="2356" w:type="dxa"/>
            <w:shd w:val="clear" w:color="auto" w:fill="F2F2F2" w:themeFill="background1" w:themeFillShade="F2"/>
            <w:noWrap/>
            <w:vAlign w:val="center"/>
          </w:tcPr>
          <w:p w14:paraId="4EFE47C2" w14:textId="77777777" w:rsidR="00F24E18" w:rsidRPr="003859CB" w:rsidRDefault="00F24E18" w:rsidP="000E18B5">
            <w:pPr>
              <w:spacing w:after="0" w:line="240" w:lineRule="auto"/>
              <w:jc w:val="right"/>
              <w:rPr>
                <w:rFonts w:ascii="Arial" w:hAnsi="Arial" w:cs="Arial"/>
                <w:b/>
                <w:bCs/>
                <w:color w:val="000000"/>
                <w:sz w:val="18"/>
                <w:szCs w:val="18"/>
                <w:highlight w:val="yellow"/>
              </w:rPr>
            </w:pPr>
            <w:r w:rsidRPr="003859CB">
              <w:rPr>
                <w:rFonts w:ascii="Arial" w:hAnsi="Arial" w:cs="Arial"/>
                <w:b/>
                <w:bCs/>
                <w:color w:val="000000"/>
                <w:sz w:val="18"/>
                <w:szCs w:val="18"/>
              </w:rPr>
              <w:t>14,07 %</w:t>
            </w:r>
          </w:p>
        </w:tc>
      </w:tr>
    </w:tbl>
    <w:p w14:paraId="6C04C93E" w14:textId="77777777" w:rsidR="00F24E18" w:rsidRPr="00242E41" w:rsidRDefault="00F24E18" w:rsidP="00F24E18">
      <w:pPr>
        <w:spacing w:after="0" w:line="240" w:lineRule="auto"/>
        <w:jc w:val="both"/>
        <w:rPr>
          <w:rFonts w:ascii="Arial" w:hAnsi="Arial" w:cs="Arial"/>
          <w:sz w:val="20"/>
          <w:highlight w:val="yellow"/>
        </w:rPr>
      </w:pPr>
    </w:p>
    <w:p w14:paraId="0EA934AE" w14:textId="77777777" w:rsidR="00F24E18" w:rsidRPr="00CF4263" w:rsidRDefault="00F24E18" w:rsidP="00F24E18">
      <w:pPr>
        <w:spacing w:before="120" w:after="0" w:line="240" w:lineRule="auto"/>
        <w:jc w:val="both"/>
        <w:rPr>
          <w:rFonts w:ascii="Arial" w:hAnsi="Arial" w:cs="Arial"/>
          <w:sz w:val="20"/>
        </w:rPr>
      </w:pPr>
      <w:r w:rsidRPr="00CF4263">
        <w:rPr>
          <w:rFonts w:ascii="Arial" w:hAnsi="Arial" w:cs="Arial"/>
          <w:sz w:val="20"/>
        </w:rPr>
        <w:t>Preglednica 72: Postopki za sklenitev okvirnega sporazuma glede na predmet naročanja po Enotnem besednjaku javnih naročil (CPV)</w:t>
      </w:r>
    </w:p>
    <w:p w14:paraId="0C56B315"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821"/>
        <w:gridCol w:w="6621"/>
        <w:gridCol w:w="771"/>
        <w:gridCol w:w="961"/>
      </w:tblGrid>
      <w:tr w:rsidR="00F24E18" w:rsidRPr="00CF4263" w14:paraId="3D94E95B" w14:textId="77777777" w:rsidTr="000E18B5">
        <w:trPr>
          <w:trHeight w:val="300"/>
          <w:tblHeader/>
        </w:trPr>
        <w:tc>
          <w:tcPr>
            <w:tcW w:w="28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520E51F"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 xml:space="preserve">Predmet </w:t>
            </w:r>
          </w:p>
        </w:tc>
        <w:tc>
          <w:tcPr>
            <w:tcW w:w="3893" w:type="pct"/>
            <w:tcBorders>
              <w:top w:val="single" w:sz="4" w:space="0" w:color="auto"/>
              <w:left w:val="nil"/>
              <w:bottom w:val="single" w:sz="4" w:space="0" w:color="auto"/>
              <w:right w:val="single" w:sz="4" w:space="0" w:color="auto"/>
            </w:tcBorders>
            <w:shd w:val="clear" w:color="000000" w:fill="F2F2F2"/>
            <w:vAlign w:val="center"/>
            <w:hideMark/>
          </w:tcPr>
          <w:p w14:paraId="0A02D4D2"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Opis CPV oddelka</w:t>
            </w:r>
          </w:p>
        </w:tc>
        <w:tc>
          <w:tcPr>
            <w:tcW w:w="406" w:type="pct"/>
            <w:tcBorders>
              <w:top w:val="single" w:sz="4" w:space="0" w:color="auto"/>
              <w:left w:val="nil"/>
              <w:bottom w:val="single" w:sz="4" w:space="0" w:color="auto"/>
              <w:right w:val="single" w:sz="4" w:space="0" w:color="auto"/>
            </w:tcBorders>
            <w:shd w:val="clear" w:color="000000" w:fill="F2F2F2"/>
            <w:vAlign w:val="center"/>
            <w:hideMark/>
          </w:tcPr>
          <w:p w14:paraId="29AB27D3"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CPV oddelek</w:t>
            </w:r>
          </w:p>
        </w:tc>
        <w:tc>
          <w:tcPr>
            <w:tcW w:w="413" w:type="pct"/>
            <w:tcBorders>
              <w:top w:val="single" w:sz="4" w:space="0" w:color="auto"/>
              <w:left w:val="nil"/>
              <w:bottom w:val="single" w:sz="4" w:space="0" w:color="auto"/>
              <w:right w:val="single" w:sz="4" w:space="0" w:color="auto"/>
            </w:tcBorders>
            <w:shd w:val="clear" w:color="000000" w:fill="F2F2F2"/>
            <w:vAlign w:val="center"/>
            <w:hideMark/>
          </w:tcPr>
          <w:p w14:paraId="26239196" w14:textId="77777777" w:rsidR="00F24E18" w:rsidRPr="00CF4263" w:rsidRDefault="00F24E18" w:rsidP="000E18B5">
            <w:pPr>
              <w:spacing w:after="0" w:line="240" w:lineRule="auto"/>
              <w:jc w:val="center"/>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Št. postopkov</w:t>
            </w:r>
          </w:p>
        </w:tc>
      </w:tr>
      <w:tr w:rsidR="00F24E18" w:rsidRPr="00CF4263" w14:paraId="4A3B0619"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4C914F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0134FC9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Medicinska oprema, farmacevtski izdelki in izdelki za osebno nego</w:t>
            </w:r>
          </w:p>
        </w:tc>
        <w:tc>
          <w:tcPr>
            <w:tcW w:w="406" w:type="pct"/>
            <w:tcBorders>
              <w:top w:val="nil"/>
              <w:left w:val="nil"/>
              <w:bottom w:val="single" w:sz="4" w:space="0" w:color="auto"/>
              <w:right w:val="single" w:sz="4" w:space="0" w:color="auto"/>
            </w:tcBorders>
            <w:shd w:val="clear" w:color="auto" w:fill="auto"/>
            <w:vAlign w:val="center"/>
            <w:hideMark/>
          </w:tcPr>
          <w:p w14:paraId="68CB695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33</w:t>
            </w:r>
          </w:p>
        </w:tc>
        <w:tc>
          <w:tcPr>
            <w:tcW w:w="413" w:type="pct"/>
            <w:tcBorders>
              <w:top w:val="nil"/>
              <w:left w:val="nil"/>
              <w:bottom w:val="single" w:sz="4" w:space="0" w:color="auto"/>
              <w:right w:val="single" w:sz="4" w:space="0" w:color="auto"/>
            </w:tcBorders>
            <w:shd w:val="clear" w:color="auto" w:fill="auto"/>
            <w:vAlign w:val="center"/>
            <w:hideMark/>
          </w:tcPr>
          <w:p w14:paraId="5E96620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170</w:t>
            </w:r>
          </w:p>
        </w:tc>
      </w:tr>
      <w:tr w:rsidR="00F24E18" w:rsidRPr="00CF4263" w14:paraId="616B406B"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5565D45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3E8FA64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Živila, pijače, tobačni izdelki in z njimi povezani izdelki</w:t>
            </w:r>
          </w:p>
        </w:tc>
        <w:tc>
          <w:tcPr>
            <w:tcW w:w="406" w:type="pct"/>
            <w:tcBorders>
              <w:top w:val="nil"/>
              <w:left w:val="nil"/>
              <w:bottom w:val="single" w:sz="4" w:space="0" w:color="auto"/>
              <w:right w:val="single" w:sz="4" w:space="0" w:color="auto"/>
            </w:tcBorders>
            <w:shd w:val="clear" w:color="auto" w:fill="auto"/>
            <w:vAlign w:val="center"/>
            <w:hideMark/>
          </w:tcPr>
          <w:p w14:paraId="27EA029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15</w:t>
            </w:r>
          </w:p>
        </w:tc>
        <w:tc>
          <w:tcPr>
            <w:tcW w:w="413" w:type="pct"/>
            <w:tcBorders>
              <w:top w:val="nil"/>
              <w:left w:val="nil"/>
              <w:bottom w:val="single" w:sz="4" w:space="0" w:color="auto"/>
              <w:right w:val="single" w:sz="4" w:space="0" w:color="auto"/>
            </w:tcBorders>
            <w:shd w:val="clear" w:color="auto" w:fill="auto"/>
            <w:vAlign w:val="center"/>
            <w:hideMark/>
          </w:tcPr>
          <w:p w14:paraId="57729281"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162</w:t>
            </w:r>
          </w:p>
        </w:tc>
      </w:tr>
      <w:tr w:rsidR="00F24E18" w:rsidRPr="00CF4263" w14:paraId="2AC08F03"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A9335B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2C8190F1"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v zvezi z odplakami, odpadki, čiščenjem in okoljem</w:t>
            </w:r>
          </w:p>
        </w:tc>
        <w:tc>
          <w:tcPr>
            <w:tcW w:w="406" w:type="pct"/>
            <w:tcBorders>
              <w:top w:val="nil"/>
              <w:left w:val="nil"/>
              <w:bottom w:val="single" w:sz="4" w:space="0" w:color="auto"/>
              <w:right w:val="single" w:sz="4" w:space="0" w:color="auto"/>
            </w:tcBorders>
            <w:shd w:val="clear" w:color="auto" w:fill="auto"/>
            <w:vAlign w:val="center"/>
            <w:hideMark/>
          </w:tcPr>
          <w:p w14:paraId="01A23C01"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90</w:t>
            </w:r>
          </w:p>
        </w:tc>
        <w:tc>
          <w:tcPr>
            <w:tcW w:w="413" w:type="pct"/>
            <w:tcBorders>
              <w:top w:val="nil"/>
              <w:left w:val="nil"/>
              <w:bottom w:val="single" w:sz="4" w:space="0" w:color="auto"/>
              <w:right w:val="single" w:sz="4" w:space="0" w:color="auto"/>
            </w:tcBorders>
            <w:shd w:val="clear" w:color="auto" w:fill="auto"/>
            <w:vAlign w:val="center"/>
            <w:hideMark/>
          </w:tcPr>
          <w:p w14:paraId="47E4ACA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86</w:t>
            </w:r>
          </w:p>
        </w:tc>
      </w:tr>
      <w:tr w:rsidR="00F24E18" w:rsidRPr="00CF4263" w14:paraId="2B19EFC1"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383B2D3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5141BF7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popravila in vzdrževanja</w:t>
            </w:r>
          </w:p>
        </w:tc>
        <w:tc>
          <w:tcPr>
            <w:tcW w:w="406" w:type="pct"/>
            <w:tcBorders>
              <w:top w:val="nil"/>
              <w:left w:val="nil"/>
              <w:bottom w:val="single" w:sz="4" w:space="0" w:color="auto"/>
              <w:right w:val="single" w:sz="4" w:space="0" w:color="auto"/>
            </w:tcBorders>
            <w:shd w:val="clear" w:color="auto" w:fill="auto"/>
            <w:vAlign w:val="center"/>
            <w:hideMark/>
          </w:tcPr>
          <w:p w14:paraId="625B0C1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50</w:t>
            </w:r>
          </w:p>
        </w:tc>
        <w:tc>
          <w:tcPr>
            <w:tcW w:w="413" w:type="pct"/>
            <w:tcBorders>
              <w:top w:val="nil"/>
              <w:left w:val="nil"/>
              <w:bottom w:val="single" w:sz="4" w:space="0" w:color="auto"/>
              <w:right w:val="single" w:sz="4" w:space="0" w:color="auto"/>
            </w:tcBorders>
            <w:shd w:val="clear" w:color="auto" w:fill="auto"/>
            <w:vAlign w:val="center"/>
            <w:hideMark/>
          </w:tcPr>
          <w:p w14:paraId="59EB188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67</w:t>
            </w:r>
          </w:p>
        </w:tc>
      </w:tr>
      <w:tr w:rsidR="00F24E18" w:rsidRPr="00CF4263" w14:paraId="7C1BECC6"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D0F95B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79EFFFD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Naftni derivati, goriva, električna energija in drugi viri energije</w:t>
            </w:r>
          </w:p>
        </w:tc>
        <w:tc>
          <w:tcPr>
            <w:tcW w:w="406" w:type="pct"/>
            <w:tcBorders>
              <w:top w:val="nil"/>
              <w:left w:val="nil"/>
              <w:bottom w:val="single" w:sz="4" w:space="0" w:color="auto"/>
              <w:right w:val="single" w:sz="4" w:space="0" w:color="auto"/>
            </w:tcBorders>
            <w:shd w:val="clear" w:color="auto" w:fill="auto"/>
            <w:vAlign w:val="center"/>
            <w:hideMark/>
          </w:tcPr>
          <w:p w14:paraId="0737FF2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09</w:t>
            </w:r>
          </w:p>
        </w:tc>
        <w:tc>
          <w:tcPr>
            <w:tcW w:w="413" w:type="pct"/>
            <w:tcBorders>
              <w:top w:val="nil"/>
              <w:left w:val="nil"/>
              <w:bottom w:val="single" w:sz="4" w:space="0" w:color="auto"/>
              <w:right w:val="single" w:sz="4" w:space="0" w:color="auto"/>
            </w:tcBorders>
            <w:shd w:val="clear" w:color="auto" w:fill="auto"/>
            <w:vAlign w:val="center"/>
            <w:hideMark/>
          </w:tcPr>
          <w:p w14:paraId="0A445FC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53</w:t>
            </w:r>
          </w:p>
        </w:tc>
      </w:tr>
      <w:tr w:rsidR="00F24E18" w:rsidRPr="00CF4263" w14:paraId="32935BE3"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565755B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Gradnje</w:t>
            </w:r>
          </w:p>
        </w:tc>
        <w:tc>
          <w:tcPr>
            <w:tcW w:w="3893" w:type="pct"/>
            <w:tcBorders>
              <w:top w:val="nil"/>
              <w:left w:val="nil"/>
              <w:bottom w:val="single" w:sz="4" w:space="0" w:color="auto"/>
              <w:right w:val="single" w:sz="4" w:space="0" w:color="auto"/>
            </w:tcBorders>
            <w:shd w:val="clear" w:color="auto" w:fill="auto"/>
            <w:vAlign w:val="center"/>
            <w:hideMark/>
          </w:tcPr>
          <w:p w14:paraId="6F7F91E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Gradbena dela</w:t>
            </w:r>
          </w:p>
        </w:tc>
        <w:tc>
          <w:tcPr>
            <w:tcW w:w="406" w:type="pct"/>
            <w:tcBorders>
              <w:top w:val="nil"/>
              <w:left w:val="nil"/>
              <w:bottom w:val="single" w:sz="4" w:space="0" w:color="auto"/>
              <w:right w:val="single" w:sz="4" w:space="0" w:color="auto"/>
            </w:tcBorders>
            <w:shd w:val="clear" w:color="auto" w:fill="auto"/>
            <w:vAlign w:val="center"/>
            <w:hideMark/>
          </w:tcPr>
          <w:p w14:paraId="0C0D885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45</w:t>
            </w:r>
          </w:p>
        </w:tc>
        <w:tc>
          <w:tcPr>
            <w:tcW w:w="413" w:type="pct"/>
            <w:tcBorders>
              <w:top w:val="nil"/>
              <w:left w:val="nil"/>
              <w:bottom w:val="single" w:sz="4" w:space="0" w:color="auto"/>
              <w:right w:val="single" w:sz="4" w:space="0" w:color="auto"/>
            </w:tcBorders>
            <w:shd w:val="clear" w:color="auto" w:fill="auto"/>
            <w:vAlign w:val="center"/>
            <w:hideMark/>
          </w:tcPr>
          <w:p w14:paraId="7E342C45"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46</w:t>
            </w:r>
          </w:p>
        </w:tc>
      </w:tr>
      <w:tr w:rsidR="00F24E18" w:rsidRPr="00CF4263" w14:paraId="11FE74DE"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5A38E10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531D303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Gradbene strukture in materiali; pomožni gradbeni izdelki (razen električnih aparatov)</w:t>
            </w:r>
          </w:p>
        </w:tc>
        <w:tc>
          <w:tcPr>
            <w:tcW w:w="406" w:type="pct"/>
            <w:tcBorders>
              <w:top w:val="nil"/>
              <w:left w:val="nil"/>
              <w:bottom w:val="single" w:sz="4" w:space="0" w:color="auto"/>
              <w:right w:val="single" w:sz="4" w:space="0" w:color="auto"/>
            </w:tcBorders>
            <w:shd w:val="clear" w:color="auto" w:fill="auto"/>
            <w:vAlign w:val="center"/>
            <w:hideMark/>
          </w:tcPr>
          <w:p w14:paraId="21CF9F0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44</w:t>
            </w:r>
          </w:p>
        </w:tc>
        <w:tc>
          <w:tcPr>
            <w:tcW w:w="413" w:type="pct"/>
            <w:tcBorders>
              <w:top w:val="nil"/>
              <w:left w:val="nil"/>
              <w:bottom w:val="single" w:sz="4" w:space="0" w:color="auto"/>
              <w:right w:val="single" w:sz="4" w:space="0" w:color="auto"/>
            </w:tcBorders>
            <w:shd w:val="clear" w:color="auto" w:fill="auto"/>
            <w:vAlign w:val="center"/>
            <w:hideMark/>
          </w:tcPr>
          <w:p w14:paraId="35156CD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44</w:t>
            </w:r>
          </w:p>
        </w:tc>
      </w:tr>
      <w:tr w:rsidR="00F24E18" w:rsidRPr="00CF4263" w14:paraId="1ADB85CC"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9D6118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546C7B8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Prevozne storitve (razen prevoza odpadkov)</w:t>
            </w:r>
          </w:p>
        </w:tc>
        <w:tc>
          <w:tcPr>
            <w:tcW w:w="406" w:type="pct"/>
            <w:tcBorders>
              <w:top w:val="nil"/>
              <w:left w:val="nil"/>
              <w:bottom w:val="single" w:sz="4" w:space="0" w:color="auto"/>
              <w:right w:val="single" w:sz="4" w:space="0" w:color="auto"/>
            </w:tcBorders>
            <w:shd w:val="clear" w:color="auto" w:fill="auto"/>
            <w:vAlign w:val="center"/>
            <w:hideMark/>
          </w:tcPr>
          <w:p w14:paraId="60CBEF6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60</w:t>
            </w:r>
          </w:p>
        </w:tc>
        <w:tc>
          <w:tcPr>
            <w:tcW w:w="413" w:type="pct"/>
            <w:tcBorders>
              <w:top w:val="nil"/>
              <w:left w:val="nil"/>
              <w:bottom w:val="single" w:sz="4" w:space="0" w:color="auto"/>
              <w:right w:val="single" w:sz="4" w:space="0" w:color="auto"/>
            </w:tcBorders>
            <w:shd w:val="clear" w:color="auto" w:fill="auto"/>
            <w:vAlign w:val="center"/>
            <w:hideMark/>
          </w:tcPr>
          <w:p w14:paraId="0AAC9BA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41</w:t>
            </w:r>
          </w:p>
        </w:tc>
      </w:tr>
      <w:tr w:rsidR="00F24E18" w:rsidRPr="00CF4263" w14:paraId="29AD716B"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2A8A4D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4AC7F19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Poslovne storitve: pravo, trženje, svetovanje, zaposlovanje, tiskanje in varnost</w:t>
            </w:r>
          </w:p>
        </w:tc>
        <w:tc>
          <w:tcPr>
            <w:tcW w:w="406" w:type="pct"/>
            <w:tcBorders>
              <w:top w:val="nil"/>
              <w:left w:val="nil"/>
              <w:bottom w:val="single" w:sz="4" w:space="0" w:color="auto"/>
              <w:right w:val="single" w:sz="4" w:space="0" w:color="auto"/>
            </w:tcBorders>
            <w:shd w:val="clear" w:color="auto" w:fill="auto"/>
            <w:vAlign w:val="center"/>
            <w:hideMark/>
          </w:tcPr>
          <w:p w14:paraId="738C1DD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79</w:t>
            </w:r>
          </w:p>
        </w:tc>
        <w:tc>
          <w:tcPr>
            <w:tcW w:w="413" w:type="pct"/>
            <w:tcBorders>
              <w:top w:val="nil"/>
              <w:left w:val="nil"/>
              <w:bottom w:val="single" w:sz="4" w:space="0" w:color="auto"/>
              <w:right w:val="single" w:sz="4" w:space="0" w:color="auto"/>
            </w:tcBorders>
            <w:shd w:val="clear" w:color="auto" w:fill="auto"/>
            <w:vAlign w:val="center"/>
            <w:hideMark/>
          </w:tcPr>
          <w:p w14:paraId="6162E30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36</w:t>
            </w:r>
          </w:p>
        </w:tc>
      </w:tr>
      <w:tr w:rsidR="00F24E18" w:rsidRPr="00CF4263" w14:paraId="2EFF9DF3"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DE4EDD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52850E0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Pisarniški in računski stroji, oprema in potrebščine, razen pohištva in programskih paketov</w:t>
            </w:r>
          </w:p>
        </w:tc>
        <w:tc>
          <w:tcPr>
            <w:tcW w:w="406" w:type="pct"/>
            <w:tcBorders>
              <w:top w:val="nil"/>
              <w:left w:val="nil"/>
              <w:bottom w:val="single" w:sz="4" w:space="0" w:color="auto"/>
              <w:right w:val="single" w:sz="4" w:space="0" w:color="auto"/>
            </w:tcBorders>
            <w:shd w:val="clear" w:color="auto" w:fill="auto"/>
            <w:vAlign w:val="center"/>
            <w:hideMark/>
          </w:tcPr>
          <w:p w14:paraId="5577C99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30</w:t>
            </w:r>
          </w:p>
        </w:tc>
        <w:tc>
          <w:tcPr>
            <w:tcW w:w="413" w:type="pct"/>
            <w:tcBorders>
              <w:top w:val="nil"/>
              <w:left w:val="nil"/>
              <w:bottom w:val="single" w:sz="4" w:space="0" w:color="auto"/>
              <w:right w:val="single" w:sz="4" w:space="0" w:color="auto"/>
            </w:tcBorders>
            <w:shd w:val="clear" w:color="auto" w:fill="auto"/>
            <w:vAlign w:val="center"/>
            <w:hideMark/>
          </w:tcPr>
          <w:p w14:paraId="6F7D24F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30</w:t>
            </w:r>
          </w:p>
        </w:tc>
      </w:tr>
      <w:tr w:rsidR="00F24E18" w:rsidRPr="00CF4263" w14:paraId="01C6FCF4"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F5B501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0D1D446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informacijske tehnologije: svetovanje, razvoj programske opreme, internet in podpora</w:t>
            </w:r>
          </w:p>
        </w:tc>
        <w:tc>
          <w:tcPr>
            <w:tcW w:w="406" w:type="pct"/>
            <w:tcBorders>
              <w:top w:val="nil"/>
              <w:left w:val="nil"/>
              <w:bottom w:val="single" w:sz="4" w:space="0" w:color="auto"/>
              <w:right w:val="single" w:sz="4" w:space="0" w:color="auto"/>
            </w:tcBorders>
            <w:shd w:val="clear" w:color="auto" w:fill="auto"/>
            <w:vAlign w:val="center"/>
            <w:hideMark/>
          </w:tcPr>
          <w:p w14:paraId="36D5CB0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72</w:t>
            </w:r>
          </w:p>
        </w:tc>
        <w:tc>
          <w:tcPr>
            <w:tcW w:w="413" w:type="pct"/>
            <w:tcBorders>
              <w:top w:val="nil"/>
              <w:left w:val="nil"/>
              <w:bottom w:val="single" w:sz="4" w:space="0" w:color="auto"/>
              <w:right w:val="single" w:sz="4" w:space="0" w:color="auto"/>
            </w:tcBorders>
            <w:shd w:val="clear" w:color="auto" w:fill="auto"/>
            <w:vAlign w:val="center"/>
            <w:hideMark/>
          </w:tcPr>
          <w:p w14:paraId="42DBB54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27</w:t>
            </w:r>
          </w:p>
        </w:tc>
      </w:tr>
      <w:tr w:rsidR="00F24E18" w:rsidRPr="00CF4263" w14:paraId="610FBBC6"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49E2D60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1E39F65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Prevozna sredstva in dodatni proizvodi za promet</w:t>
            </w:r>
          </w:p>
        </w:tc>
        <w:tc>
          <w:tcPr>
            <w:tcW w:w="406" w:type="pct"/>
            <w:tcBorders>
              <w:top w:val="nil"/>
              <w:left w:val="nil"/>
              <w:bottom w:val="single" w:sz="4" w:space="0" w:color="auto"/>
              <w:right w:val="single" w:sz="4" w:space="0" w:color="auto"/>
            </w:tcBorders>
            <w:shd w:val="clear" w:color="auto" w:fill="auto"/>
            <w:vAlign w:val="center"/>
            <w:hideMark/>
          </w:tcPr>
          <w:p w14:paraId="30ACDEC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34</w:t>
            </w:r>
          </w:p>
        </w:tc>
        <w:tc>
          <w:tcPr>
            <w:tcW w:w="413" w:type="pct"/>
            <w:tcBorders>
              <w:top w:val="nil"/>
              <w:left w:val="nil"/>
              <w:bottom w:val="single" w:sz="4" w:space="0" w:color="auto"/>
              <w:right w:val="single" w:sz="4" w:space="0" w:color="auto"/>
            </w:tcBorders>
            <w:shd w:val="clear" w:color="auto" w:fill="auto"/>
            <w:vAlign w:val="center"/>
            <w:hideMark/>
          </w:tcPr>
          <w:p w14:paraId="72EBF48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24</w:t>
            </w:r>
          </w:p>
        </w:tc>
      </w:tr>
      <w:tr w:rsidR="00F24E18" w:rsidRPr="00CF4263" w14:paraId="3E7B13A5"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33A37CB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21F42D8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06" w:type="pct"/>
            <w:tcBorders>
              <w:top w:val="nil"/>
              <w:left w:val="nil"/>
              <w:bottom w:val="single" w:sz="4" w:space="0" w:color="auto"/>
              <w:right w:val="single" w:sz="4" w:space="0" w:color="auto"/>
            </w:tcBorders>
            <w:shd w:val="clear" w:color="auto" w:fill="auto"/>
            <w:vAlign w:val="center"/>
            <w:hideMark/>
          </w:tcPr>
          <w:p w14:paraId="2F8384F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39</w:t>
            </w:r>
          </w:p>
        </w:tc>
        <w:tc>
          <w:tcPr>
            <w:tcW w:w="413" w:type="pct"/>
            <w:tcBorders>
              <w:top w:val="nil"/>
              <w:left w:val="nil"/>
              <w:bottom w:val="single" w:sz="4" w:space="0" w:color="auto"/>
              <w:right w:val="single" w:sz="4" w:space="0" w:color="auto"/>
            </w:tcBorders>
            <w:shd w:val="clear" w:color="auto" w:fill="auto"/>
            <w:vAlign w:val="center"/>
            <w:hideMark/>
          </w:tcPr>
          <w:p w14:paraId="6390A0F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19</w:t>
            </w:r>
          </w:p>
        </w:tc>
      </w:tr>
      <w:tr w:rsidR="00F24E18" w:rsidRPr="00CF4263" w14:paraId="407CFB43"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2AD6F7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229A0FD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Arhitekturne, gradbeniške, inženirske in inšpekcijske storitve</w:t>
            </w:r>
          </w:p>
        </w:tc>
        <w:tc>
          <w:tcPr>
            <w:tcW w:w="406" w:type="pct"/>
            <w:tcBorders>
              <w:top w:val="nil"/>
              <w:left w:val="nil"/>
              <w:bottom w:val="single" w:sz="4" w:space="0" w:color="auto"/>
              <w:right w:val="single" w:sz="4" w:space="0" w:color="auto"/>
            </w:tcBorders>
            <w:shd w:val="clear" w:color="auto" w:fill="auto"/>
            <w:vAlign w:val="center"/>
            <w:hideMark/>
          </w:tcPr>
          <w:p w14:paraId="0B5F266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71</w:t>
            </w:r>
          </w:p>
        </w:tc>
        <w:tc>
          <w:tcPr>
            <w:tcW w:w="413" w:type="pct"/>
            <w:tcBorders>
              <w:top w:val="nil"/>
              <w:left w:val="nil"/>
              <w:bottom w:val="single" w:sz="4" w:space="0" w:color="auto"/>
              <w:right w:val="single" w:sz="4" w:space="0" w:color="auto"/>
            </w:tcBorders>
            <w:shd w:val="clear" w:color="auto" w:fill="auto"/>
            <w:vAlign w:val="center"/>
            <w:hideMark/>
          </w:tcPr>
          <w:p w14:paraId="5C5192E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18</w:t>
            </w:r>
          </w:p>
        </w:tc>
      </w:tr>
      <w:tr w:rsidR="00F24E18" w:rsidRPr="00CF4263" w14:paraId="0BAC838D"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5C0094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03312E7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Oblačila, obutev, prtljaga in pribor</w:t>
            </w:r>
          </w:p>
        </w:tc>
        <w:tc>
          <w:tcPr>
            <w:tcW w:w="406" w:type="pct"/>
            <w:tcBorders>
              <w:top w:val="nil"/>
              <w:left w:val="nil"/>
              <w:bottom w:val="single" w:sz="4" w:space="0" w:color="auto"/>
              <w:right w:val="single" w:sz="4" w:space="0" w:color="auto"/>
            </w:tcBorders>
            <w:shd w:val="clear" w:color="auto" w:fill="auto"/>
            <w:vAlign w:val="center"/>
            <w:hideMark/>
          </w:tcPr>
          <w:p w14:paraId="10CFF86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18</w:t>
            </w:r>
          </w:p>
        </w:tc>
        <w:tc>
          <w:tcPr>
            <w:tcW w:w="413" w:type="pct"/>
            <w:tcBorders>
              <w:top w:val="nil"/>
              <w:left w:val="nil"/>
              <w:bottom w:val="single" w:sz="4" w:space="0" w:color="auto"/>
              <w:right w:val="single" w:sz="4" w:space="0" w:color="auto"/>
            </w:tcBorders>
            <w:shd w:val="clear" w:color="auto" w:fill="auto"/>
            <w:vAlign w:val="center"/>
            <w:hideMark/>
          </w:tcPr>
          <w:p w14:paraId="157A30B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15</w:t>
            </w:r>
          </w:p>
        </w:tc>
      </w:tr>
      <w:tr w:rsidR="00F24E18" w:rsidRPr="00CF4263" w14:paraId="2111CFA9"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43F773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lastRenderedPageBreak/>
              <w:t>Storitve</w:t>
            </w:r>
          </w:p>
        </w:tc>
        <w:tc>
          <w:tcPr>
            <w:tcW w:w="3893" w:type="pct"/>
            <w:tcBorders>
              <w:top w:val="nil"/>
              <w:left w:val="nil"/>
              <w:bottom w:val="single" w:sz="4" w:space="0" w:color="auto"/>
              <w:right w:val="single" w:sz="4" w:space="0" w:color="auto"/>
            </w:tcBorders>
            <w:shd w:val="clear" w:color="auto" w:fill="auto"/>
            <w:vAlign w:val="center"/>
            <w:hideMark/>
          </w:tcPr>
          <w:p w14:paraId="41CE2FC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Finančne in zavarovalniške storitve</w:t>
            </w:r>
          </w:p>
        </w:tc>
        <w:tc>
          <w:tcPr>
            <w:tcW w:w="406" w:type="pct"/>
            <w:tcBorders>
              <w:top w:val="nil"/>
              <w:left w:val="nil"/>
              <w:bottom w:val="single" w:sz="4" w:space="0" w:color="auto"/>
              <w:right w:val="single" w:sz="4" w:space="0" w:color="auto"/>
            </w:tcBorders>
            <w:shd w:val="clear" w:color="auto" w:fill="auto"/>
            <w:vAlign w:val="center"/>
            <w:hideMark/>
          </w:tcPr>
          <w:p w14:paraId="1E0BF69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66</w:t>
            </w:r>
          </w:p>
        </w:tc>
        <w:tc>
          <w:tcPr>
            <w:tcW w:w="413" w:type="pct"/>
            <w:tcBorders>
              <w:top w:val="nil"/>
              <w:left w:val="nil"/>
              <w:bottom w:val="single" w:sz="4" w:space="0" w:color="auto"/>
              <w:right w:val="single" w:sz="4" w:space="0" w:color="auto"/>
            </w:tcBorders>
            <w:shd w:val="clear" w:color="auto" w:fill="auto"/>
            <w:vAlign w:val="center"/>
            <w:hideMark/>
          </w:tcPr>
          <w:p w14:paraId="4BFF6D52"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14</w:t>
            </w:r>
          </w:p>
        </w:tc>
      </w:tr>
      <w:tr w:rsidR="00F24E18" w:rsidRPr="00CF4263" w14:paraId="6D32344A"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43585D5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3000948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Kemični proizvodi</w:t>
            </w:r>
          </w:p>
        </w:tc>
        <w:tc>
          <w:tcPr>
            <w:tcW w:w="406" w:type="pct"/>
            <w:tcBorders>
              <w:top w:val="nil"/>
              <w:left w:val="nil"/>
              <w:bottom w:val="single" w:sz="4" w:space="0" w:color="auto"/>
              <w:right w:val="single" w:sz="4" w:space="0" w:color="auto"/>
            </w:tcBorders>
            <w:shd w:val="clear" w:color="auto" w:fill="auto"/>
            <w:vAlign w:val="center"/>
            <w:hideMark/>
          </w:tcPr>
          <w:p w14:paraId="214E464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24</w:t>
            </w:r>
          </w:p>
        </w:tc>
        <w:tc>
          <w:tcPr>
            <w:tcW w:w="413" w:type="pct"/>
            <w:tcBorders>
              <w:top w:val="nil"/>
              <w:left w:val="nil"/>
              <w:bottom w:val="single" w:sz="4" w:space="0" w:color="auto"/>
              <w:right w:val="single" w:sz="4" w:space="0" w:color="auto"/>
            </w:tcBorders>
            <w:shd w:val="clear" w:color="auto" w:fill="auto"/>
            <w:vAlign w:val="center"/>
            <w:hideMark/>
          </w:tcPr>
          <w:p w14:paraId="52E9C4D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14</w:t>
            </w:r>
          </w:p>
        </w:tc>
      </w:tr>
      <w:tr w:rsidR="00F24E18" w:rsidRPr="00CF4263" w14:paraId="41CD1BB6"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3A0CEB3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1CA7E82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Električni stroji, aparati, oprema in potrošno blago; razsvetljava</w:t>
            </w:r>
          </w:p>
        </w:tc>
        <w:tc>
          <w:tcPr>
            <w:tcW w:w="406" w:type="pct"/>
            <w:tcBorders>
              <w:top w:val="nil"/>
              <w:left w:val="nil"/>
              <w:bottom w:val="single" w:sz="4" w:space="0" w:color="auto"/>
              <w:right w:val="single" w:sz="4" w:space="0" w:color="auto"/>
            </w:tcBorders>
            <w:shd w:val="clear" w:color="auto" w:fill="auto"/>
            <w:vAlign w:val="center"/>
            <w:hideMark/>
          </w:tcPr>
          <w:p w14:paraId="70821E3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31</w:t>
            </w:r>
          </w:p>
        </w:tc>
        <w:tc>
          <w:tcPr>
            <w:tcW w:w="413" w:type="pct"/>
            <w:tcBorders>
              <w:top w:val="nil"/>
              <w:left w:val="nil"/>
              <w:bottom w:val="single" w:sz="4" w:space="0" w:color="auto"/>
              <w:right w:val="single" w:sz="4" w:space="0" w:color="auto"/>
            </w:tcBorders>
            <w:shd w:val="clear" w:color="auto" w:fill="auto"/>
            <w:vAlign w:val="center"/>
            <w:hideMark/>
          </w:tcPr>
          <w:p w14:paraId="4ACD51E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13</w:t>
            </w:r>
          </w:p>
        </w:tc>
      </w:tr>
      <w:tr w:rsidR="00F24E18" w:rsidRPr="00CF4263" w14:paraId="59003C3A"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4ACDF71"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2704F97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Laboratorijska, optična in precizna oprema (razen očal)</w:t>
            </w:r>
          </w:p>
        </w:tc>
        <w:tc>
          <w:tcPr>
            <w:tcW w:w="406" w:type="pct"/>
            <w:tcBorders>
              <w:top w:val="nil"/>
              <w:left w:val="nil"/>
              <w:bottom w:val="single" w:sz="4" w:space="0" w:color="auto"/>
              <w:right w:val="single" w:sz="4" w:space="0" w:color="auto"/>
            </w:tcBorders>
            <w:shd w:val="clear" w:color="auto" w:fill="auto"/>
            <w:vAlign w:val="center"/>
            <w:hideMark/>
          </w:tcPr>
          <w:p w14:paraId="04E26CF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38</w:t>
            </w:r>
          </w:p>
        </w:tc>
        <w:tc>
          <w:tcPr>
            <w:tcW w:w="413" w:type="pct"/>
            <w:tcBorders>
              <w:top w:val="nil"/>
              <w:left w:val="nil"/>
              <w:bottom w:val="single" w:sz="4" w:space="0" w:color="auto"/>
              <w:right w:val="single" w:sz="4" w:space="0" w:color="auto"/>
            </w:tcBorders>
            <w:shd w:val="clear" w:color="auto" w:fill="auto"/>
            <w:vAlign w:val="center"/>
            <w:hideMark/>
          </w:tcPr>
          <w:p w14:paraId="7D7A544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13</w:t>
            </w:r>
          </w:p>
        </w:tc>
      </w:tr>
      <w:tr w:rsidR="00F24E18" w:rsidRPr="00CF4263" w14:paraId="30B0880F"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913507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7502C56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Rudarstvo, navadne kovine in z njimi povezani proizvodi</w:t>
            </w:r>
          </w:p>
        </w:tc>
        <w:tc>
          <w:tcPr>
            <w:tcW w:w="406" w:type="pct"/>
            <w:tcBorders>
              <w:top w:val="nil"/>
              <w:left w:val="nil"/>
              <w:bottom w:val="single" w:sz="4" w:space="0" w:color="auto"/>
              <w:right w:val="single" w:sz="4" w:space="0" w:color="auto"/>
            </w:tcBorders>
            <w:shd w:val="clear" w:color="auto" w:fill="auto"/>
            <w:vAlign w:val="center"/>
            <w:hideMark/>
          </w:tcPr>
          <w:p w14:paraId="065D3C3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14</w:t>
            </w:r>
          </w:p>
        </w:tc>
        <w:tc>
          <w:tcPr>
            <w:tcW w:w="413" w:type="pct"/>
            <w:tcBorders>
              <w:top w:val="nil"/>
              <w:left w:val="nil"/>
              <w:bottom w:val="single" w:sz="4" w:space="0" w:color="auto"/>
              <w:right w:val="single" w:sz="4" w:space="0" w:color="auto"/>
            </w:tcBorders>
            <w:shd w:val="clear" w:color="auto" w:fill="auto"/>
            <w:vAlign w:val="center"/>
            <w:hideMark/>
          </w:tcPr>
          <w:p w14:paraId="41DC04C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12</w:t>
            </w:r>
          </w:p>
        </w:tc>
      </w:tr>
      <w:tr w:rsidR="00F24E18" w:rsidRPr="00CF4263" w14:paraId="032B2BB8"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F6076A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32B497EC"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Industrijski stroji</w:t>
            </w:r>
          </w:p>
        </w:tc>
        <w:tc>
          <w:tcPr>
            <w:tcW w:w="406" w:type="pct"/>
            <w:tcBorders>
              <w:top w:val="nil"/>
              <w:left w:val="nil"/>
              <w:bottom w:val="single" w:sz="4" w:space="0" w:color="auto"/>
              <w:right w:val="single" w:sz="4" w:space="0" w:color="auto"/>
            </w:tcBorders>
            <w:shd w:val="clear" w:color="auto" w:fill="auto"/>
            <w:vAlign w:val="center"/>
            <w:hideMark/>
          </w:tcPr>
          <w:p w14:paraId="5534F58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42</w:t>
            </w:r>
          </w:p>
        </w:tc>
        <w:tc>
          <w:tcPr>
            <w:tcW w:w="413" w:type="pct"/>
            <w:tcBorders>
              <w:top w:val="nil"/>
              <w:left w:val="nil"/>
              <w:bottom w:val="single" w:sz="4" w:space="0" w:color="auto"/>
              <w:right w:val="single" w:sz="4" w:space="0" w:color="auto"/>
            </w:tcBorders>
            <w:shd w:val="clear" w:color="auto" w:fill="auto"/>
            <w:vAlign w:val="center"/>
            <w:hideMark/>
          </w:tcPr>
          <w:p w14:paraId="6BBB1540"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10</w:t>
            </w:r>
          </w:p>
        </w:tc>
      </w:tr>
      <w:tr w:rsidR="00F24E18" w:rsidRPr="00CF4263" w14:paraId="0DD5CE1B"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2A38E1E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633E126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na področju zdravstva in socialnega varstva</w:t>
            </w:r>
          </w:p>
        </w:tc>
        <w:tc>
          <w:tcPr>
            <w:tcW w:w="406" w:type="pct"/>
            <w:tcBorders>
              <w:top w:val="nil"/>
              <w:left w:val="nil"/>
              <w:bottom w:val="single" w:sz="4" w:space="0" w:color="auto"/>
              <w:right w:val="single" w:sz="4" w:space="0" w:color="auto"/>
            </w:tcBorders>
            <w:shd w:val="clear" w:color="auto" w:fill="auto"/>
            <w:vAlign w:val="center"/>
            <w:hideMark/>
          </w:tcPr>
          <w:p w14:paraId="5F55344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85</w:t>
            </w:r>
          </w:p>
        </w:tc>
        <w:tc>
          <w:tcPr>
            <w:tcW w:w="413" w:type="pct"/>
            <w:tcBorders>
              <w:top w:val="nil"/>
              <w:left w:val="nil"/>
              <w:bottom w:val="single" w:sz="4" w:space="0" w:color="auto"/>
              <w:right w:val="single" w:sz="4" w:space="0" w:color="auto"/>
            </w:tcBorders>
            <w:shd w:val="clear" w:color="auto" w:fill="auto"/>
            <w:vAlign w:val="center"/>
            <w:hideMark/>
          </w:tcPr>
          <w:p w14:paraId="62C3D52B"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9</w:t>
            </w:r>
          </w:p>
        </w:tc>
      </w:tr>
      <w:tr w:rsidR="00F24E18" w:rsidRPr="00CF4263" w14:paraId="40629F3E"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5E50A27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5675CC6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Podporne in pomožne prevozne storitve; storitve potovalnih agencij</w:t>
            </w:r>
          </w:p>
        </w:tc>
        <w:tc>
          <w:tcPr>
            <w:tcW w:w="406" w:type="pct"/>
            <w:tcBorders>
              <w:top w:val="nil"/>
              <w:left w:val="nil"/>
              <w:bottom w:val="single" w:sz="4" w:space="0" w:color="auto"/>
              <w:right w:val="single" w:sz="4" w:space="0" w:color="auto"/>
            </w:tcBorders>
            <w:shd w:val="clear" w:color="auto" w:fill="auto"/>
            <w:vAlign w:val="center"/>
            <w:hideMark/>
          </w:tcPr>
          <w:p w14:paraId="003074F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63</w:t>
            </w:r>
          </w:p>
        </w:tc>
        <w:tc>
          <w:tcPr>
            <w:tcW w:w="413" w:type="pct"/>
            <w:tcBorders>
              <w:top w:val="nil"/>
              <w:left w:val="nil"/>
              <w:bottom w:val="single" w:sz="4" w:space="0" w:color="auto"/>
              <w:right w:val="single" w:sz="4" w:space="0" w:color="auto"/>
            </w:tcBorders>
            <w:shd w:val="clear" w:color="auto" w:fill="auto"/>
            <w:vAlign w:val="center"/>
            <w:hideMark/>
          </w:tcPr>
          <w:p w14:paraId="5E0351B6"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w:t>
            </w:r>
          </w:p>
        </w:tc>
      </w:tr>
      <w:tr w:rsidR="00F24E18" w:rsidRPr="00CF4263" w14:paraId="55BBABD7"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2283D38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3655EEB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na področju kmetijstva, gozdarstva, hortikulture, akvakulture in čebelarstva</w:t>
            </w:r>
          </w:p>
        </w:tc>
        <w:tc>
          <w:tcPr>
            <w:tcW w:w="406" w:type="pct"/>
            <w:tcBorders>
              <w:top w:val="nil"/>
              <w:left w:val="nil"/>
              <w:bottom w:val="single" w:sz="4" w:space="0" w:color="auto"/>
              <w:right w:val="single" w:sz="4" w:space="0" w:color="auto"/>
            </w:tcBorders>
            <w:shd w:val="clear" w:color="auto" w:fill="auto"/>
            <w:vAlign w:val="center"/>
            <w:hideMark/>
          </w:tcPr>
          <w:p w14:paraId="19B440D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77</w:t>
            </w:r>
          </w:p>
        </w:tc>
        <w:tc>
          <w:tcPr>
            <w:tcW w:w="413" w:type="pct"/>
            <w:tcBorders>
              <w:top w:val="nil"/>
              <w:left w:val="nil"/>
              <w:bottom w:val="single" w:sz="4" w:space="0" w:color="auto"/>
              <w:right w:val="single" w:sz="4" w:space="0" w:color="auto"/>
            </w:tcBorders>
            <w:shd w:val="clear" w:color="auto" w:fill="auto"/>
            <w:vAlign w:val="center"/>
            <w:hideMark/>
          </w:tcPr>
          <w:p w14:paraId="332962A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w:t>
            </w:r>
          </w:p>
        </w:tc>
      </w:tr>
      <w:tr w:rsidR="00F24E18" w:rsidRPr="00CF4263" w14:paraId="671DDB1A"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1BBC2FE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1D86476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inštalacije (razen programske opreme)</w:t>
            </w:r>
          </w:p>
        </w:tc>
        <w:tc>
          <w:tcPr>
            <w:tcW w:w="406" w:type="pct"/>
            <w:tcBorders>
              <w:top w:val="nil"/>
              <w:left w:val="nil"/>
              <w:bottom w:val="single" w:sz="4" w:space="0" w:color="auto"/>
              <w:right w:val="single" w:sz="4" w:space="0" w:color="auto"/>
            </w:tcBorders>
            <w:shd w:val="clear" w:color="auto" w:fill="auto"/>
            <w:vAlign w:val="center"/>
            <w:hideMark/>
          </w:tcPr>
          <w:p w14:paraId="436DDA6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51</w:t>
            </w:r>
          </w:p>
        </w:tc>
        <w:tc>
          <w:tcPr>
            <w:tcW w:w="413" w:type="pct"/>
            <w:tcBorders>
              <w:top w:val="nil"/>
              <w:left w:val="nil"/>
              <w:bottom w:val="single" w:sz="4" w:space="0" w:color="auto"/>
              <w:right w:val="single" w:sz="4" w:space="0" w:color="auto"/>
            </w:tcBorders>
            <w:shd w:val="clear" w:color="auto" w:fill="auto"/>
            <w:vAlign w:val="center"/>
            <w:hideMark/>
          </w:tcPr>
          <w:p w14:paraId="6860DD7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w:t>
            </w:r>
          </w:p>
        </w:tc>
      </w:tr>
      <w:tr w:rsidR="00F24E18" w:rsidRPr="00CF4263" w14:paraId="20392614"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F6B545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538FEDB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Programski paketi in informacijski sistemi</w:t>
            </w:r>
          </w:p>
        </w:tc>
        <w:tc>
          <w:tcPr>
            <w:tcW w:w="406" w:type="pct"/>
            <w:tcBorders>
              <w:top w:val="nil"/>
              <w:left w:val="nil"/>
              <w:bottom w:val="single" w:sz="4" w:space="0" w:color="auto"/>
              <w:right w:val="single" w:sz="4" w:space="0" w:color="auto"/>
            </w:tcBorders>
            <w:shd w:val="clear" w:color="auto" w:fill="auto"/>
            <w:vAlign w:val="center"/>
            <w:hideMark/>
          </w:tcPr>
          <w:p w14:paraId="539F6A6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48</w:t>
            </w:r>
          </w:p>
        </w:tc>
        <w:tc>
          <w:tcPr>
            <w:tcW w:w="413" w:type="pct"/>
            <w:tcBorders>
              <w:top w:val="nil"/>
              <w:left w:val="nil"/>
              <w:bottom w:val="single" w:sz="4" w:space="0" w:color="auto"/>
              <w:right w:val="single" w:sz="4" w:space="0" w:color="auto"/>
            </w:tcBorders>
            <w:shd w:val="clear" w:color="auto" w:fill="auto"/>
            <w:vAlign w:val="center"/>
            <w:hideMark/>
          </w:tcPr>
          <w:p w14:paraId="25C20B5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w:t>
            </w:r>
          </w:p>
        </w:tc>
      </w:tr>
      <w:tr w:rsidR="00F24E18" w:rsidRPr="00CF4263" w14:paraId="147D45C1"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4B76863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1D07A14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Varnostna, gasilska, policijska in obrambna oprema</w:t>
            </w:r>
          </w:p>
        </w:tc>
        <w:tc>
          <w:tcPr>
            <w:tcW w:w="406" w:type="pct"/>
            <w:tcBorders>
              <w:top w:val="nil"/>
              <w:left w:val="nil"/>
              <w:bottom w:val="single" w:sz="4" w:space="0" w:color="auto"/>
              <w:right w:val="single" w:sz="4" w:space="0" w:color="auto"/>
            </w:tcBorders>
            <w:shd w:val="clear" w:color="auto" w:fill="auto"/>
            <w:vAlign w:val="center"/>
            <w:hideMark/>
          </w:tcPr>
          <w:p w14:paraId="48C21A12"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35</w:t>
            </w:r>
          </w:p>
        </w:tc>
        <w:tc>
          <w:tcPr>
            <w:tcW w:w="413" w:type="pct"/>
            <w:tcBorders>
              <w:top w:val="nil"/>
              <w:left w:val="nil"/>
              <w:bottom w:val="single" w:sz="4" w:space="0" w:color="auto"/>
              <w:right w:val="single" w:sz="4" w:space="0" w:color="auto"/>
            </w:tcBorders>
            <w:shd w:val="clear" w:color="auto" w:fill="auto"/>
            <w:vAlign w:val="center"/>
            <w:hideMark/>
          </w:tcPr>
          <w:p w14:paraId="596F0E1D"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w:t>
            </w:r>
          </w:p>
        </w:tc>
      </w:tr>
      <w:tr w:rsidR="00F24E18" w:rsidRPr="00CF4263" w14:paraId="01C35029"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24E9C11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36A0C61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Poštne in telekomunikacijske storitve</w:t>
            </w:r>
          </w:p>
        </w:tc>
        <w:tc>
          <w:tcPr>
            <w:tcW w:w="406" w:type="pct"/>
            <w:tcBorders>
              <w:top w:val="nil"/>
              <w:left w:val="nil"/>
              <w:bottom w:val="single" w:sz="4" w:space="0" w:color="auto"/>
              <w:right w:val="single" w:sz="4" w:space="0" w:color="auto"/>
            </w:tcBorders>
            <w:shd w:val="clear" w:color="auto" w:fill="auto"/>
            <w:vAlign w:val="center"/>
            <w:hideMark/>
          </w:tcPr>
          <w:p w14:paraId="50DBAE61"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64</w:t>
            </w:r>
          </w:p>
        </w:tc>
        <w:tc>
          <w:tcPr>
            <w:tcW w:w="413" w:type="pct"/>
            <w:tcBorders>
              <w:top w:val="nil"/>
              <w:left w:val="nil"/>
              <w:bottom w:val="single" w:sz="4" w:space="0" w:color="auto"/>
              <w:right w:val="single" w:sz="4" w:space="0" w:color="auto"/>
            </w:tcBorders>
            <w:shd w:val="clear" w:color="auto" w:fill="auto"/>
            <w:vAlign w:val="center"/>
            <w:hideMark/>
          </w:tcPr>
          <w:p w14:paraId="16BD932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w:t>
            </w:r>
          </w:p>
        </w:tc>
      </w:tr>
      <w:tr w:rsidR="00F24E18" w:rsidRPr="00CF4263" w14:paraId="2B27CB61"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3CE6D43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7E6818F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Druge javne, skupne in osebne storitve</w:t>
            </w:r>
          </w:p>
        </w:tc>
        <w:tc>
          <w:tcPr>
            <w:tcW w:w="406" w:type="pct"/>
            <w:tcBorders>
              <w:top w:val="nil"/>
              <w:left w:val="nil"/>
              <w:bottom w:val="single" w:sz="4" w:space="0" w:color="auto"/>
              <w:right w:val="single" w:sz="4" w:space="0" w:color="auto"/>
            </w:tcBorders>
            <w:shd w:val="clear" w:color="auto" w:fill="auto"/>
            <w:vAlign w:val="center"/>
            <w:hideMark/>
          </w:tcPr>
          <w:p w14:paraId="7A92F4E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98</w:t>
            </w:r>
          </w:p>
        </w:tc>
        <w:tc>
          <w:tcPr>
            <w:tcW w:w="413" w:type="pct"/>
            <w:tcBorders>
              <w:top w:val="nil"/>
              <w:left w:val="nil"/>
              <w:bottom w:val="single" w:sz="4" w:space="0" w:color="auto"/>
              <w:right w:val="single" w:sz="4" w:space="0" w:color="auto"/>
            </w:tcBorders>
            <w:shd w:val="clear" w:color="auto" w:fill="auto"/>
            <w:vAlign w:val="center"/>
            <w:hideMark/>
          </w:tcPr>
          <w:p w14:paraId="72C92F48"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6</w:t>
            </w:r>
          </w:p>
        </w:tc>
      </w:tr>
      <w:tr w:rsidR="00F24E18" w:rsidRPr="00CF4263" w14:paraId="0F1D9101"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30B2033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3831E03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Tiskano gradivo in z njim povezani izdelki</w:t>
            </w:r>
          </w:p>
        </w:tc>
        <w:tc>
          <w:tcPr>
            <w:tcW w:w="406" w:type="pct"/>
            <w:tcBorders>
              <w:top w:val="nil"/>
              <w:left w:val="nil"/>
              <w:bottom w:val="single" w:sz="4" w:space="0" w:color="auto"/>
              <w:right w:val="single" w:sz="4" w:space="0" w:color="auto"/>
            </w:tcBorders>
            <w:shd w:val="clear" w:color="auto" w:fill="auto"/>
            <w:vAlign w:val="center"/>
            <w:hideMark/>
          </w:tcPr>
          <w:p w14:paraId="6C73A79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22</w:t>
            </w:r>
          </w:p>
        </w:tc>
        <w:tc>
          <w:tcPr>
            <w:tcW w:w="413" w:type="pct"/>
            <w:tcBorders>
              <w:top w:val="nil"/>
              <w:left w:val="nil"/>
              <w:bottom w:val="single" w:sz="4" w:space="0" w:color="auto"/>
              <w:right w:val="single" w:sz="4" w:space="0" w:color="auto"/>
            </w:tcBorders>
            <w:shd w:val="clear" w:color="auto" w:fill="auto"/>
            <w:vAlign w:val="center"/>
            <w:hideMark/>
          </w:tcPr>
          <w:p w14:paraId="2BF27274"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w:t>
            </w:r>
          </w:p>
        </w:tc>
      </w:tr>
      <w:tr w:rsidR="00F24E18" w:rsidRPr="00CF4263" w14:paraId="6BBA2E76"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C50841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37E75C90"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Kmetijski, ribiški, gozdarski in z njimi povezani proizvodi</w:t>
            </w:r>
          </w:p>
        </w:tc>
        <w:tc>
          <w:tcPr>
            <w:tcW w:w="406" w:type="pct"/>
            <w:tcBorders>
              <w:top w:val="nil"/>
              <w:left w:val="nil"/>
              <w:bottom w:val="single" w:sz="4" w:space="0" w:color="auto"/>
              <w:right w:val="single" w:sz="4" w:space="0" w:color="auto"/>
            </w:tcBorders>
            <w:shd w:val="clear" w:color="auto" w:fill="auto"/>
            <w:vAlign w:val="center"/>
            <w:hideMark/>
          </w:tcPr>
          <w:p w14:paraId="41D6D8C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03</w:t>
            </w:r>
          </w:p>
        </w:tc>
        <w:tc>
          <w:tcPr>
            <w:tcW w:w="413" w:type="pct"/>
            <w:tcBorders>
              <w:top w:val="nil"/>
              <w:left w:val="nil"/>
              <w:bottom w:val="single" w:sz="4" w:space="0" w:color="auto"/>
              <w:right w:val="single" w:sz="4" w:space="0" w:color="auto"/>
            </w:tcBorders>
            <w:shd w:val="clear" w:color="auto" w:fill="auto"/>
            <w:vAlign w:val="center"/>
            <w:hideMark/>
          </w:tcPr>
          <w:p w14:paraId="6A481E2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w:t>
            </w:r>
          </w:p>
        </w:tc>
      </w:tr>
      <w:tr w:rsidR="00F24E18" w:rsidRPr="00CF4263" w14:paraId="1FE09366"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09552B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5B92F50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na področju rekreacije, kulture in športa</w:t>
            </w:r>
          </w:p>
        </w:tc>
        <w:tc>
          <w:tcPr>
            <w:tcW w:w="406" w:type="pct"/>
            <w:tcBorders>
              <w:top w:val="nil"/>
              <w:left w:val="nil"/>
              <w:bottom w:val="single" w:sz="4" w:space="0" w:color="auto"/>
              <w:right w:val="single" w:sz="4" w:space="0" w:color="auto"/>
            </w:tcBorders>
            <w:shd w:val="clear" w:color="auto" w:fill="auto"/>
            <w:vAlign w:val="center"/>
            <w:hideMark/>
          </w:tcPr>
          <w:p w14:paraId="2FCF9A89"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92</w:t>
            </w:r>
          </w:p>
        </w:tc>
        <w:tc>
          <w:tcPr>
            <w:tcW w:w="413" w:type="pct"/>
            <w:tcBorders>
              <w:top w:val="nil"/>
              <w:left w:val="nil"/>
              <w:bottom w:val="single" w:sz="4" w:space="0" w:color="auto"/>
              <w:right w:val="single" w:sz="4" w:space="0" w:color="auto"/>
            </w:tcBorders>
            <w:shd w:val="clear" w:color="auto" w:fill="auto"/>
            <w:vAlign w:val="center"/>
            <w:hideMark/>
          </w:tcPr>
          <w:p w14:paraId="4A68570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w:t>
            </w:r>
          </w:p>
        </w:tc>
      </w:tr>
      <w:tr w:rsidR="00F24E18" w:rsidRPr="00CF4263" w14:paraId="11B87997"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0583655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1CD326F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Usnjeni in tekstilni materiali, plastični in gumijasti materiali</w:t>
            </w:r>
          </w:p>
        </w:tc>
        <w:tc>
          <w:tcPr>
            <w:tcW w:w="406" w:type="pct"/>
            <w:tcBorders>
              <w:top w:val="nil"/>
              <w:left w:val="nil"/>
              <w:bottom w:val="single" w:sz="4" w:space="0" w:color="auto"/>
              <w:right w:val="single" w:sz="4" w:space="0" w:color="auto"/>
            </w:tcBorders>
            <w:shd w:val="clear" w:color="auto" w:fill="auto"/>
            <w:vAlign w:val="center"/>
            <w:hideMark/>
          </w:tcPr>
          <w:p w14:paraId="6B8B080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19</w:t>
            </w:r>
          </w:p>
        </w:tc>
        <w:tc>
          <w:tcPr>
            <w:tcW w:w="413" w:type="pct"/>
            <w:tcBorders>
              <w:top w:val="nil"/>
              <w:left w:val="nil"/>
              <w:bottom w:val="single" w:sz="4" w:space="0" w:color="auto"/>
              <w:right w:val="single" w:sz="4" w:space="0" w:color="auto"/>
            </w:tcBorders>
            <w:shd w:val="clear" w:color="auto" w:fill="auto"/>
            <w:vAlign w:val="center"/>
            <w:hideMark/>
          </w:tcPr>
          <w:p w14:paraId="4FBFF21F"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w:t>
            </w:r>
          </w:p>
        </w:tc>
      </w:tr>
      <w:tr w:rsidR="00F24E18" w:rsidRPr="00CF4263" w14:paraId="62184361"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D1D3FA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1620443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Gospodarske javne službe</w:t>
            </w:r>
          </w:p>
        </w:tc>
        <w:tc>
          <w:tcPr>
            <w:tcW w:w="406" w:type="pct"/>
            <w:tcBorders>
              <w:top w:val="nil"/>
              <w:left w:val="nil"/>
              <w:bottom w:val="single" w:sz="4" w:space="0" w:color="auto"/>
              <w:right w:val="single" w:sz="4" w:space="0" w:color="auto"/>
            </w:tcBorders>
            <w:shd w:val="clear" w:color="auto" w:fill="auto"/>
            <w:vAlign w:val="center"/>
            <w:hideMark/>
          </w:tcPr>
          <w:p w14:paraId="6EE685CA"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65</w:t>
            </w:r>
          </w:p>
        </w:tc>
        <w:tc>
          <w:tcPr>
            <w:tcW w:w="413" w:type="pct"/>
            <w:tcBorders>
              <w:top w:val="nil"/>
              <w:left w:val="nil"/>
              <w:bottom w:val="single" w:sz="4" w:space="0" w:color="auto"/>
              <w:right w:val="single" w:sz="4" w:space="0" w:color="auto"/>
            </w:tcBorders>
            <w:shd w:val="clear" w:color="auto" w:fill="auto"/>
            <w:vAlign w:val="center"/>
            <w:hideMark/>
          </w:tcPr>
          <w:p w14:paraId="1CA787FA"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w:t>
            </w:r>
          </w:p>
        </w:tc>
      </w:tr>
      <w:tr w:rsidR="00F24E18" w:rsidRPr="00CF4263" w14:paraId="25AA3EC7"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57DDDDF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759944F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Radijski in televizijski aparati, komunikacijska, telekomunikacijska in z njimi povezana oprema</w:t>
            </w:r>
          </w:p>
        </w:tc>
        <w:tc>
          <w:tcPr>
            <w:tcW w:w="406" w:type="pct"/>
            <w:tcBorders>
              <w:top w:val="nil"/>
              <w:left w:val="nil"/>
              <w:bottom w:val="single" w:sz="4" w:space="0" w:color="auto"/>
              <w:right w:val="single" w:sz="4" w:space="0" w:color="auto"/>
            </w:tcBorders>
            <w:shd w:val="clear" w:color="auto" w:fill="auto"/>
            <w:vAlign w:val="center"/>
            <w:hideMark/>
          </w:tcPr>
          <w:p w14:paraId="13F88C3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32</w:t>
            </w:r>
          </w:p>
        </w:tc>
        <w:tc>
          <w:tcPr>
            <w:tcW w:w="413" w:type="pct"/>
            <w:tcBorders>
              <w:top w:val="nil"/>
              <w:left w:val="nil"/>
              <w:bottom w:val="single" w:sz="4" w:space="0" w:color="auto"/>
              <w:right w:val="single" w:sz="4" w:space="0" w:color="auto"/>
            </w:tcBorders>
            <w:shd w:val="clear" w:color="auto" w:fill="auto"/>
            <w:vAlign w:val="center"/>
            <w:hideMark/>
          </w:tcPr>
          <w:p w14:paraId="41278F1E"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w:t>
            </w:r>
          </w:p>
        </w:tc>
      </w:tr>
      <w:tr w:rsidR="00F24E18" w:rsidRPr="00CF4263" w14:paraId="55FDA829"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0F3719B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4FE1FE2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poslovanja z nepremičninami</w:t>
            </w:r>
          </w:p>
        </w:tc>
        <w:tc>
          <w:tcPr>
            <w:tcW w:w="406" w:type="pct"/>
            <w:tcBorders>
              <w:top w:val="nil"/>
              <w:left w:val="nil"/>
              <w:bottom w:val="single" w:sz="4" w:space="0" w:color="auto"/>
              <w:right w:val="single" w:sz="4" w:space="0" w:color="auto"/>
            </w:tcBorders>
            <w:shd w:val="clear" w:color="auto" w:fill="auto"/>
            <w:vAlign w:val="center"/>
            <w:hideMark/>
          </w:tcPr>
          <w:p w14:paraId="2BE12B3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70</w:t>
            </w:r>
          </w:p>
        </w:tc>
        <w:tc>
          <w:tcPr>
            <w:tcW w:w="413" w:type="pct"/>
            <w:tcBorders>
              <w:top w:val="nil"/>
              <w:left w:val="nil"/>
              <w:bottom w:val="single" w:sz="4" w:space="0" w:color="auto"/>
              <w:right w:val="single" w:sz="4" w:space="0" w:color="auto"/>
            </w:tcBorders>
            <w:shd w:val="clear" w:color="auto" w:fill="auto"/>
            <w:vAlign w:val="center"/>
            <w:hideMark/>
          </w:tcPr>
          <w:p w14:paraId="7843A42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w:t>
            </w:r>
          </w:p>
        </w:tc>
      </w:tr>
      <w:tr w:rsidR="00F24E18" w:rsidRPr="00CF4263" w14:paraId="118673D1"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7F29230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6832BB1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na področju raziskav in razvoja ter s tem povezane svetovalne storitve</w:t>
            </w:r>
          </w:p>
        </w:tc>
        <w:tc>
          <w:tcPr>
            <w:tcW w:w="406" w:type="pct"/>
            <w:tcBorders>
              <w:top w:val="nil"/>
              <w:left w:val="nil"/>
              <w:bottom w:val="single" w:sz="4" w:space="0" w:color="auto"/>
              <w:right w:val="single" w:sz="4" w:space="0" w:color="auto"/>
            </w:tcBorders>
            <w:shd w:val="clear" w:color="auto" w:fill="auto"/>
            <w:vAlign w:val="center"/>
            <w:hideMark/>
          </w:tcPr>
          <w:p w14:paraId="7D3FFD2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73</w:t>
            </w:r>
          </w:p>
        </w:tc>
        <w:tc>
          <w:tcPr>
            <w:tcW w:w="413" w:type="pct"/>
            <w:tcBorders>
              <w:top w:val="nil"/>
              <w:left w:val="nil"/>
              <w:bottom w:val="single" w:sz="4" w:space="0" w:color="auto"/>
              <w:right w:val="single" w:sz="4" w:space="0" w:color="auto"/>
            </w:tcBorders>
            <w:shd w:val="clear" w:color="auto" w:fill="auto"/>
            <w:vAlign w:val="center"/>
            <w:hideMark/>
          </w:tcPr>
          <w:p w14:paraId="1ADFA9E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w:t>
            </w:r>
          </w:p>
        </w:tc>
      </w:tr>
      <w:tr w:rsidR="00F24E18" w:rsidRPr="00CF4263" w14:paraId="45D919E2"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E15CB6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5529FEC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izobraževanja in usposabljanja</w:t>
            </w:r>
          </w:p>
        </w:tc>
        <w:tc>
          <w:tcPr>
            <w:tcW w:w="406" w:type="pct"/>
            <w:tcBorders>
              <w:top w:val="nil"/>
              <w:left w:val="nil"/>
              <w:bottom w:val="single" w:sz="4" w:space="0" w:color="auto"/>
              <w:right w:val="single" w:sz="4" w:space="0" w:color="auto"/>
            </w:tcBorders>
            <w:shd w:val="clear" w:color="auto" w:fill="auto"/>
            <w:vAlign w:val="center"/>
            <w:hideMark/>
          </w:tcPr>
          <w:p w14:paraId="471FB43E"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80</w:t>
            </w:r>
          </w:p>
        </w:tc>
        <w:tc>
          <w:tcPr>
            <w:tcW w:w="413" w:type="pct"/>
            <w:tcBorders>
              <w:top w:val="nil"/>
              <w:left w:val="nil"/>
              <w:bottom w:val="single" w:sz="4" w:space="0" w:color="auto"/>
              <w:right w:val="single" w:sz="4" w:space="0" w:color="auto"/>
            </w:tcBorders>
            <w:shd w:val="clear" w:color="auto" w:fill="auto"/>
            <w:vAlign w:val="center"/>
            <w:hideMark/>
          </w:tcPr>
          <w:p w14:paraId="26527ED9"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2</w:t>
            </w:r>
          </w:p>
        </w:tc>
      </w:tr>
      <w:tr w:rsidR="00F24E18" w:rsidRPr="00CF4263" w14:paraId="5DB395B6"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34C2BEC8"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w:t>
            </w:r>
          </w:p>
        </w:tc>
        <w:tc>
          <w:tcPr>
            <w:tcW w:w="3893" w:type="pct"/>
            <w:tcBorders>
              <w:top w:val="nil"/>
              <w:left w:val="nil"/>
              <w:bottom w:val="single" w:sz="4" w:space="0" w:color="auto"/>
              <w:right w:val="single" w:sz="4" w:space="0" w:color="auto"/>
            </w:tcBorders>
            <w:shd w:val="clear" w:color="auto" w:fill="auto"/>
            <w:vAlign w:val="center"/>
            <w:hideMark/>
          </w:tcPr>
          <w:p w14:paraId="2E1DC3AB"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Storitve hotelov, restavracij in trgovine na drobno</w:t>
            </w:r>
          </w:p>
        </w:tc>
        <w:tc>
          <w:tcPr>
            <w:tcW w:w="406" w:type="pct"/>
            <w:tcBorders>
              <w:top w:val="nil"/>
              <w:left w:val="nil"/>
              <w:bottom w:val="single" w:sz="4" w:space="0" w:color="auto"/>
              <w:right w:val="single" w:sz="4" w:space="0" w:color="auto"/>
            </w:tcBorders>
            <w:shd w:val="clear" w:color="auto" w:fill="auto"/>
            <w:vAlign w:val="center"/>
            <w:hideMark/>
          </w:tcPr>
          <w:p w14:paraId="46E835C3"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55</w:t>
            </w:r>
          </w:p>
        </w:tc>
        <w:tc>
          <w:tcPr>
            <w:tcW w:w="413" w:type="pct"/>
            <w:tcBorders>
              <w:top w:val="nil"/>
              <w:left w:val="nil"/>
              <w:bottom w:val="single" w:sz="4" w:space="0" w:color="auto"/>
              <w:right w:val="single" w:sz="4" w:space="0" w:color="auto"/>
            </w:tcBorders>
            <w:shd w:val="clear" w:color="auto" w:fill="auto"/>
            <w:vAlign w:val="center"/>
            <w:hideMark/>
          </w:tcPr>
          <w:p w14:paraId="55634DF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w:t>
            </w:r>
          </w:p>
        </w:tc>
      </w:tr>
      <w:tr w:rsidR="00F24E18" w:rsidRPr="00CF4263" w14:paraId="4DC088A6"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4D8346CD"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403FFE97"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Glasbila, športni izdelki, igre, igrače, ročna dela, umetniški materiali in dodatki</w:t>
            </w:r>
          </w:p>
        </w:tc>
        <w:tc>
          <w:tcPr>
            <w:tcW w:w="406" w:type="pct"/>
            <w:tcBorders>
              <w:top w:val="nil"/>
              <w:left w:val="nil"/>
              <w:bottom w:val="single" w:sz="4" w:space="0" w:color="auto"/>
              <w:right w:val="single" w:sz="4" w:space="0" w:color="auto"/>
            </w:tcBorders>
            <w:shd w:val="clear" w:color="auto" w:fill="auto"/>
            <w:vAlign w:val="center"/>
            <w:hideMark/>
          </w:tcPr>
          <w:p w14:paraId="7216B1B5"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37</w:t>
            </w:r>
          </w:p>
        </w:tc>
        <w:tc>
          <w:tcPr>
            <w:tcW w:w="413" w:type="pct"/>
            <w:tcBorders>
              <w:top w:val="nil"/>
              <w:left w:val="nil"/>
              <w:bottom w:val="single" w:sz="4" w:space="0" w:color="auto"/>
              <w:right w:val="single" w:sz="4" w:space="0" w:color="auto"/>
            </w:tcBorders>
            <w:shd w:val="clear" w:color="auto" w:fill="auto"/>
            <w:vAlign w:val="center"/>
            <w:hideMark/>
          </w:tcPr>
          <w:p w14:paraId="6BAC5833"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w:t>
            </w:r>
          </w:p>
        </w:tc>
      </w:tr>
      <w:tr w:rsidR="00F24E18" w:rsidRPr="00242E41" w14:paraId="66000259" w14:textId="77777777" w:rsidTr="000E18B5">
        <w:trPr>
          <w:trHeight w:val="300"/>
        </w:trPr>
        <w:tc>
          <w:tcPr>
            <w:tcW w:w="289" w:type="pct"/>
            <w:tcBorders>
              <w:top w:val="nil"/>
              <w:left w:val="single" w:sz="4" w:space="0" w:color="auto"/>
              <w:bottom w:val="single" w:sz="4" w:space="0" w:color="auto"/>
              <w:right w:val="single" w:sz="4" w:space="0" w:color="auto"/>
            </w:tcBorders>
            <w:shd w:val="clear" w:color="auto" w:fill="auto"/>
            <w:vAlign w:val="center"/>
            <w:hideMark/>
          </w:tcPr>
          <w:p w14:paraId="6E472656"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Blago</w:t>
            </w:r>
          </w:p>
        </w:tc>
        <w:tc>
          <w:tcPr>
            <w:tcW w:w="3893" w:type="pct"/>
            <w:tcBorders>
              <w:top w:val="nil"/>
              <w:left w:val="nil"/>
              <w:bottom w:val="single" w:sz="4" w:space="0" w:color="auto"/>
              <w:right w:val="single" w:sz="4" w:space="0" w:color="auto"/>
            </w:tcBorders>
            <w:shd w:val="clear" w:color="auto" w:fill="auto"/>
            <w:vAlign w:val="center"/>
            <w:hideMark/>
          </w:tcPr>
          <w:p w14:paraId="3A96AFDF"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Rudarska, kamnoseška in gradbena oprema</w:t>
            </w:r>
          </w:p>
        </w:tc>
        <w:tc>
          <w:tcPr>
            <w:tcW w:w="406" w:type="pct"/>
            <w:tcBorders>
              <w:top w:val="nil"/>
              <w:left w:val="nil"/>
              <w:bottom w:val="single" w:sz="4" w:space="0" w:color="auto"/>
              <w:right w:val="single" w:sz="4" w:space="0" w:color="auto"/>
            </w:tcBorders>
            <w:shd w:val="clear" w:color="auto" w:fill="auto"/>
            <w:vAlign w:val="center"/>
            <w:hideMark/>
          </w:tcPr>
          <w:p w14:paraId="41E5D6F4" w14:textId="77777777" w:rsidR="00F24E18" w:rsidRPr="00CF4263" w:rsidRDefault="00F24E18" w:rsidP="000E18B5">
            <w:pPr>
              <w:spacing w:after="0" w:line="240" w:lineRule="auto"/>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43</w:t>
            </w:r>
          </w:p>
        </w:tc>
        <w:tc>
          <w:tcPr>
            <w:tcW w:w="413" w:type="pct"/>
            <w:tcBorders>
              <w:top w:val="nil"/>
              <w:left w:val="nil"/>
              <w:bottom w:val="single" w:sz="4" w:space="0" w:color="auto"/>
              <w:right w:val="single" w:sz="4" w:space="0" w:color="auto"/>
            </w:tcBorders>
            <w:shd w:val="clear" w:color="auto" w:fill="auto"/>
            <w:vAlign w:val="center"/>
            <w:hideMark/>
          </w:tcPr>
          <w:p w14:paraId="2974196C" w14:textId="77777777" w:rsidR="00F24E18" w:rsidRPr="00CF4263" w:rsidRDefault="00F24E18" w:rsidP="000E18B5">
            <w:pPr>
              <w:spacing w:after="0" w:line="240" w:lineRule="auto"/>
              <w:jc w:val="right"/>
              <w:rPr>
                <w:rFonts w:ascii="Arial" w:eastAsia="Times New Roman" w:hAnsi="Arial" w:cs="Arial"/>
                <w:color w:val="000000"/>
                <w:sz w:val="18"/>
                <w:szCs w:val="18"/>
                <w:lang w:eastAsia="sl-SI"/>
              </w:rPr>
            </w:pPr>
            <w:r w:rsidRPr="00CF4263">
              <w:rPr>
                <w:rFonts w:ascii="Arial" w:eastAsia="Times New Roman" w:hAnsi="Arial" w:cs="Arial"/>
                <w:color w:val="000000"/>
                <w:sz w:val="18"/>
                <w:szCs w:val="18"/>
                <w:lang w:eastAsia="sl-SI"/>
              </w:rPr>
              <w:t>1</w:t>
            </w:r>
          </w:p>
        </w:tc>
      </w:tr>
    </w:tbl>
    <w:p w14:paraId="2967006D" w14:textId="77777777" w:rsidR="00F24E18" w:rsidRPr="00242E41" w:rsidRDefault="00F24E18" w:rsidP="00F24E18">
      <w:pPr>
        <w:spacing w:after="0" w:line="240" w:lineRule="auto"/>
        <w:jc w:val="both"/>
        <w:rPr>
          <w:rFonts w:ascii="Arial" w:hAnsi="Arial" w:cs="Arial"/>
          <w:sz w:val="20"/>
          <w:highlight w:val="yellow"/>
        </w:rPr>
      </w:pPr>
    </w:p>
    <w:p w14:paraId="6F88253E" w14:textId="77777777" w:rsidR="00F24E18" w:rsidRPr="007465B2" w:rsidRDefault="00F24E18" w:rsidP="00F24E18">
      <w:pPr>
        <w:spacing w:before="120" w:after="0" w:line="240" w:lineRule="auto"/>
        <w:jc w:val="both"/>
        <w:rPr>
          <w:rFonts w:ascii="Arial" w:hAnsi="Arial" w:cs="Arial"/>
          <w:sz w:val="20"/>
        </w:rPr>
      </w:pPr>
      <w:r w:rsidRPr="007465B2">
        <w:rPr>
          <w:rFonts w:ascii="Arial" w:hAnsi="Arial" w:cs="Arial"/>
          <w:sz w:val="20"/>
        </w:rPr>
        <w:t xml:space="preserve">Preglednica 73: Javna naročila na splošnem področju, glede na predmet naročanja po Enotnem besednjaku javnih naročil (CPV) </w:t>
      </w:r>
    </w:p>
    <w:p w14:paraId="5509BEF2" w14:textId="77777777" w:rsidR="00F24E18" w:rsidRPr="00242E41" w:rsidRDefault="00F24E18" w:rsidP="00F24E18">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9"/>
        <w:gridCol w:w="923"/>
        <w:gridCol w:w="719"/>
        <w:gridCol w:w="1438"/>
        <w:gridCol w:w="1204"/>
        <w:gridCol w:w="1171"/>
      </w:tblGrid>
      <w:tr w:rsidR="00F24E18" w:rsidRPr="007465B2" w14:paraId="476F9ABA" w14:textId="77777777" w:rsidTr="000E18B5">
        <w:trPr>
          <w:trHeight w:val="300"/>
          <w:tblHeader/>
        </w:trPr>
        <w:tc>
          <w:tcPr>
            <w:tcW w:w="2027" w:type="pct"/>
            <w:shd w:val="clear" w:color="000000" w:fill="F2F2F2"/>
            <w:vAlign w:val="center"/>
            <w:hideMark/>
          </w:tcPr>
          <w:p w14:paraId="71EF3AD4" w14:textId="77777777" w:rsidR="00F24E18" w:rsidRPr="007465B2" w:rsidRDefault="00F24E18" w:rsidP="000E18B5">
            <w:pPr>
              <w:spacing w:after="0" w:line="240" w:lineRule="auto"/>
              <w:jc w:val="center"/>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Opis CPV oddelka</w:t>
            </w:r>
          </w:p>
        </w:tc>
        <w:tc>
          <w:tcPr>
            <w:tcW w:w="503" w:type="pct"/>
            <w:shd w:val="clear" w:color="000000" w:fill="F2F2F2"/>
            <w:vAlign w:val="center"/>
            <w:hideMark/>
          </w:tcPr>
          <w:p w14:paraId="01B0CCF5" w14:textId="77777777" w:rsidR="00F24E18" w:rsidRPr="007465B2" w:rsidRDefault="00F24E18" w:rsidP="000E18B5">
            <w:pPr>
              <w:spacing w:after="0" w:line="240" w:lineRule="auto"/>
              <w:jc w:val="center"/>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CPV oddelek</w:t>
            </w:r>
          </w:p>
        </w:tc>
        <w:tc>
          <w:tcPr>
            <w:tcW w:w="392" w:type="pct"/>
            <w:shd w:val="clear" w:color="000000" w:fill="F2F2F2"/>
            <w:vAlign w:val="center"/>
            <w:hideMark/>
          </w:tcPr>
          <w:p w14:paraId="76B382E1" w14:textId="77777777" w:rsidR="00F24E18" w:rsidRPr="007465B2" w:rsidRDefault="00F24E18" w:rsidP="000E18B5">
            <w:pPr>
              <w:spacing w:after="0" w:line="240" w:lineRule="auto"/>
              <w:jc w:val="center"/>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Št. naročil</w:t>
            </w:r>
          </w:p>
        </w:tc>
        <w:tc>
          <w:tcPr>
            <w:tcW w:w="784" w:type="pct"/>
            <w:shd w:val="clear" w:color="000000" w:fill="F2F2F2"/>
            <w:vAlign w:val="center"/>
            <w:hideMark/>
          </w:tcPr>
          <w:p w14:paraId="5FB0F490" w14:textId="77777777" w:rsidR="00F24E18" w:rsidRPr="007465B2" w:rsidRDefault="00F24E18" w:rsidP="000E18B5">
            <w:pPr>
              <w:spacing w:after="0" w:line="240" w:lineRule="auto"/>
              <w:jc w:val="center"/>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Pogodbena vrednost</w:t>
            </w:r>
          </w:p>
        </w:tc>
        <w:tc>
          <w:tcPr>
            <w:tcW w:w="656" w:type="pct"/>
            <w:shd w:val="clear" w:color="000000" w:fill="F2F2F2"/>
            <w:vAlign w:val="center"/>
            <w:hideMark/>
          </w:tcPr>
          <w:p w14:paraId="22A32EC7" w14:textId="77777777" w:rsidR="00F24E18" w:rsidRPr="007465B2" w:rsidRDefault="00F24E18" w:rsidP="000E18B5">
            <w:pPr>
              <w:spacing w:after="0" w:line="240" w:lineRule="auto"/>
              <w:jc w:val="center"/>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Delež v št. naročil</w:t>
            </w:r>
          </w:p>
        </w:tc>
        <w:tc>
          <w:tcPr>
            <w:tcW w:w="638" w:type="pct"/>
            <w:shd w:val="clear" w:color="000000" w:fill="F2F2F2"/>
            <w:vAlign w:val="center"/>
            <w:hideMark/>
          </w:tcPr>
          <w:p w14:paraId="6946426F" w14:textId="77777777" w:rsidR="00F24E18" w:rsidRPr="007465B2" w:rsidRDefault="00F24E18" w:rsidP="000E18B5">
            <w:pPr>
              <w:spacing w:after="0" w:line="240" w:lineRule="auto"/>
              <w:jc w:val="center"/>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Delež v vrednosti</w:t>
            </w:r>
          </w:p>
        </w:tc>
      </w:tr>
      <w:tr w:rsidR="00F24E18" w:rsidRPr="007465B2" w14:paraId="6EB3E137" w14:textId="77777777" w:rsidTr="000E18B5">
        <w:trPr>
          <w:trHeight w:val="300"/>
        </w:trPr>
        <w:tc>
          <w:tcPr>
            <w:tcW w:w="2027" w:type="pct"/>
            <w:shd w:val="clear" w:color="auto" w:fill="auto"/>
            <w:vAlign w:val="center"/>
            <w:hideMark/>
          </w:tcPr>
          <w:p w14:paraId="1F8FBBD2"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Kmetijski, ribiški, gozdarski in z njimi povezani proizvodi</w:t>
            </w:r>
          </w:p>
        </w:tc>
        <w:tc>
          <w:tcPr>
            <w:tcW w:w="503" w:type="pct"/>
            <w:shd w:val="clear" w:color="auto" w:fill="auto"/>
            <w:vAlign w:val="center"/>
            <w:hideMark/>
          </w:tcPr>
          <w:p w14:paraId="6825307E"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03</w:t>
            </w:r>
          </w:p>
        </w:tc>
        <w:tc>
          <w:tcPr>
            <w:tcW w:w="392" w:type="pct"/>
            <w:shd w:val="clear" w:color="auto" w:fill="auto"/>
            <w:vAlign w:val="center"/>
            <w:hideMark/>
          </w:tcPr>
          <w:p w14:paraId="75C23D5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89</w:t>
            </w:r>
          </w:p>
        </w:tc>
        <w:tc>
          <w:tcPr>
            <w:tcW w:w="784" w:type="pct"/>
            <w:shd w:val="clear" w:color="auto" w:fill="auto"/>
            <w:vAlign w:val="center"/>
            <w:hideMark/>
          </w:tcPr>
          <w:p w14:paraId="37B9390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13.200.667</w:t>
            </w:r>
          </w:p>
        </w:tc>
        <w:tc>
          <w:tcPr>
            <w:tcW w:w="656" w:type="pct"/>
            <w:shd w:val="clear" w:color="auto" w:fill="auto"/>
            <w:noWrap/>
            <w:vAlign w:val="center"/>
            <w:hideMark/>
          </w:tcPr>
          <w:p w14:paraId="57CEBC4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0,63 %</w:t>
            </w:r>
          </w:p>
        </w:tc>
        <w:tc>
          <w:tcPr>
            <w:tcW w:w="638" w:type="pct"/>
            <w:shd w:val="clear" w:color="auto" w:fill="auto"/>
            <w:noWrap/>
            <w:vAlign w:val="center"/>
            <w:hideMark/>
          </w:tcPr>
          <w:p w14:paraId="311ADD9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0,28 %</w:t>
            </w:r>
          </w:p>
        </w:tc>
      </w:tr>
      <w:tr w:rsidR="00F24E18" w:rsidRPr="007465B2" w14:paraId="49334CC9" w14:textId="77777777" w:rsidTr="000E18B5">
        <w:trPr>
          <w:trHeight w:val="300"/>
        </w:trPr>
        <w:tc>
          <w:tcPr>
            <w:tcW w:w="2027" w:type="pct"/>
            <w:shd w:val="clear" w:color="auto" w:fill="auto"/>
            <w:vAlign w:val="center"/>
            <w:hideMark/>
          </w:tcPr>
          <w:p w14:paraId="05D3E263"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Naftni derivati, goriva, električna energija in drugi viri energije</w:t>
            </w:r>
          </w:p>
        </w:tc>
        <w:tc>
          <w:tcPr>
            <w:tcW w:w="503" w:type="pct"/>
            <w:shd w:val="clear" w:color="auto" w:fill="auto"/>
            <w:vAlign w:val="center"/>
            <w:hideMark/>
          </w:tcPr>
          <w:p w14:paraId="2CA0968E"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09</w:t>
            </w:r>
          </w:p>
        </w:tc>
        <w:tc>
          <w:tcPr>
            <w:tcW w:w="392" w:type="pct"/>
            <w:shd w:val="clear" w:color="auto" w:fill="auto"/>
            <w:vAlign w:val="center"/>
            <w:hideMark/>
          </w:tcPr>
          <w:p w14:paraId="27BC8DF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231</w:t>
            </w:r>
          </w:p>
        </w:tc>
        <w:tc>
          <w:tcPr>
            <w:tcW w:w="784" w:type="pct"/>
            <w:shd w:val="clear" w:color="auto" w:fill="auto"/>
            <w:vAlign w:val="center"/>
            <w:hideMark/>
          </w:tcPr>
          <w:p w14:paraId="079F286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471.976.492</w:t>
            </w:r>
          </w:p>
        </w:tc>
        <w:tc>
          <w:tcPr>
            <w:tcW w:w="656" w:type="pct"/>
            <w:shd w:val="clear" w:color="auto" w:fill="auto"/>
            <w:noWrap/>
            <w:vAlign w:val="center"/>
            <w:hideMark/>
          </w:tcPr>
          <w:p w14:paraId="7FDDD1E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1,63 %</w:t>
            </w:r>
          </w:p>
        </w:tc>
        <w:tc>
          <w:tcPr>
            <w:tcW w:w="638" w:type="pct"/>
            <w:shd w:val="clear" w:color="auto" w:fill="auto"/>
            <w:noWrap/>
            <w:vAlign w:val="center"/>
            <w:hideMark/>
          </w:tcPr>
          <w:p w14:paraId="7BCB817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10,18 %</w:t>
            </w:r>
          </w:p>
        </w:tc>
      </w:tr>
      <w:tr w:rsidR="00F24E18" w:rsidRPr="007465B2" w14:paraId="7BE14F68" w14:textId="77777777" w:rsidTr="000E18B5">
        <w:trPr>
          <w:trHeight w:val="300"/>
        </w:trPr>
        <w:tc>
          <w:tcPr>
            <w:tcW w:w="2027" w:type="pct"/>
            <w:shd w:val="clear" w:color="auto" w:fill="auto"/>
            <w:vAlign w:val="center"/>
            <w:hideMark/>
          </w:tcPr>
          <w:p w14:paraId="501593A9"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Rudarstvo, navadne kovine in z njimi povezani proizvodi</w:t>
            </w:r>
          </w:p>
        </w:tc>
        <w:tc>
          <w:tcPr>
            <w:tcW w:w="503" w:type="pct"/>
            <w:shd w:val="clear" w:color="auto" w:fill="auto"/>
            <w:vAlign w:val="center"/>
            <w:hideMark/>
          </w:tcPr>
          <w:p w14:paraId="66CE8FA9"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14</w:t>
            </w:r>
          </w:p>
        </w:tc>
        <w:tc>
          <w:tcPr>
            <w:tcW w:w="392" w:type="pct"/>
            <w:shd w:val="clear" w:color="auto" w:fill="auto"/>
            <w:vAlign w:val="center"/>
            <w:hideMark/>
          </w:tcPr>
          <w:p w14:paraId="1D6A3B5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31</w:t>
            </w:r>
          </w:p>
        </w:tc>
        <w:tc>
          <w:tcPr>
            <w:tcW w:w="784" w:type="pct"/>
            <w:shd w:val="clear" w:color="auto" w:fill="auto"/>
            <w:vAlign w:val="center"/>
            <w:hideMark/>
          </w:tcPr>
          <w:p w14:paraId="0F7400A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3.266.533</w:t>
            </w:r>
          </w:p>
        </w:tc>
        <w:tc>
          <w:tcPr>
            <w:tcW w:w="656" w:type="pct"/>
            <w:shd w:val="clear" w:color="auto" w:fill="auto"/>
            <w:noWrap/>
            <w:vAlign w:val="center"/>
            <w:hideMark/>
          </w:tcPr>
          <w:p w14:paraId="7049E46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0,22 %</w:t>
            </w:r>
          </w:p>
        </w:tc>
        <w:tc>
          <w:tcPr>
            <w:tcW w:w="638" w:type="pct"/>
            <w:shd w:val="clear" w:color="auto" w:fill="auto"/>
            <w:noWrap/>
            <w:vAlign w:val="center"/>
            <w:hideMark/>
          </w:tcPr>
          <w:p w14:paraId="5DCC262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0,07 %</w:t>
            </w:r>
          </w:p>
        </w:tc>
      </w:tr>
      <w:tr w:rsidR="00F24E18" w:rsidRPr="007465B2" w14:paraId="48258C88" w14:textId="77777777" w:rsidTr="000E18B5">
        <w:trPr>
          <w:trHeight w:val="300"/>
        </w:trPr>
        <w:tc>
          <w:tcPr>
            <w:tcW w:w="2027" w:type="pct"/>
            <w:shd w:val="clear" w:color="auto" w:fill="auto"/>
            <w:vAlign w:val="center"/>
            <w:hideMark/>
          </w:tcPr>
          <w:p w14:paraId="0DB0386E"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Živila, pijače, tobačni izdelki in z njimi povezani izdelki</w:t>
            </w:r>
          </w:p>
        </w:tc>
        <w:tc>
          <w:tcPr>
            <w:tcW w:w="503" w:type="pct"/>
            <w:shd w:val="clear" w:color="auto" w:fill="auto"/>
            <w:vAlign w:val="center"/>
            <w:hideMark/>
          </w:tcPr>
          <w:p w14:paraId="3C7179F3"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15</w:t>
            </w:r>
          </w:p>
        </w:tc>
        <w:tc>
          <w:tcPr>
            <w:tcW w:w="392" w:type="pct"/>
            <w:shd w:val="clear" w:color="auto" w:fill="auto"/>
            <w:vAlign w:val="center"/>
            <w:hideMark/>
          </w:tcPr>
          <w:p w14:paraId="68603CA3"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3.446</w:t>
            </w:r>
          </w:p>
        </w:tc>
        <w:tc>
          <w:tcPr>
            <w:tcW w:w="784" w:type="pct"/>
            <w:shd w:val="clear" w:color="auto" w:fill="auto"/>
            <w:vAlign w:val="center"/>
            <w:hideMark/>
          </w:tcPr>
          <w:p w14:paraId="4F031F7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167.496.126</w:t>
            </w:r>
          </w:p>
        </w:tc>
        <w:tc>
          <w:tcPr>
            <w:tcW w:w="656" w:type="pct"/>
            <w:shd w:val="clear" w:color="auto" w:fill="auto"/>
            <w:noWrap/>
            <w:vAlign w:val="center"/>
            <w:hideMark/>
          </w:tcPr>
          <w:p w14:paraId="45DBFC4A"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24,31 %</w:t>
            </w:r>
          </w:p>
        </w:tc>
        <w:tc>
          <w:tcPr>
            <w:tcW w:w="638" w:type="pct"/>
            <w:shd w:val="clear" w:color="auto" w:fill="auto"/>
            <w:noWrap/>
            <w:vAlign w:val="center"/>
            <w:hideMark/>
          </w:tcPr>
          <w:p w14:paraId="236A82B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3,61 %</w:t>
            </w:r>
          </w:p>
        </w:tc>
      </w:tr>
      <w:tr w:rsidR="00F24E18" w:rsidRPr="007465B2" w14:paraId="6D981C99" w14:textId="77777777" w:rsidTr="000E18B5">
        <w:trPr>
          <w:trHeight w:val="300"/>
        </w:trPr>
        <w:tc>
          <w:tcPr>
            <w:tcW w:w="2027" w:type="pct"/>
            <w:shd w:val="clear" w:color="auto" w:fill="auto"/>
            <w:vAlign w:val="center"/>
            <w:hideMark/>
          </w:tcPr>
          <w:p w14:paraId="638D2661"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Kmetijski stroji</w:t>
            </w:r>
          </w:p>
        </w:tc>
        <w:tc>
          <w:tcPr>
            <w:tcW w:w="503" w:type="pct"/>
            <w:shd w:val="clear" w:color="auto" w:fill="auto"/>
            <w:vAlign w:val="center"/>
            <w:hideMark/>
          </w:tcPr>
          <w:p w14:paraId="3906436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16</w:t>
            </w:r>
          </w:p>
        </w:tc>
        <w:tc>
          <w:tcPr>
            <w:tcW w:w="392" w:type="pct"/>
            <w:shd w:val="clear" w:color="auto" w:fill="auto"/>
            <w:vAlign w:val="center"/>
            <w:hideMark/>
          </w:tcPr>
          <w:p w14:paraId="4055DE4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16</w:t>
            </w:r>
          </w:p>
        </w:tc>
        <w:tc>
          <w:tcPr>
            <w:tcW w:w="784" w:type="pct"/>
            <w:shd w:val="clear" w:color="auto" w:fill="auto"/>
            <w:vAlign w:val="center"/>
            <w:hideMark/>
          </w:tcPr>
          <w:p w14:paraId="393C30CA"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1.760.616</w:t>
            </w:r>
          </w:p>
        </w:tc>
        <w:tc>
          <w:tcPr>
            <w:tcW w:w="656" w:type="pct"/>
            <w:shd w:val="clear" w:color="auto" w:fill="auto"/>
            <w:noWrap/>
            <w:vAlign w:val="center"/>
            <w:hideMark/>
          </w:tcPr>
          <w:p w14:paraId="552892A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0,11 %</w:t>
            </w:r>
          </w:p>
        </w:tc>
        <w:tc>
          <w:tcPr>
            <w:tcW w:w="638" w:type="pct"/>
            <w:shd w:val="clear" w:color="auto" w:fill="auto"/>
            <w:noWrap/>
            <w:vAlign w:val="center"/>
            <w:hideMark/>
          </w:tcPr>
          <w:p w14:paraId="108F896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0,04 %</w:t>
            </w:r>
          </w:p>
        </w:tc>
      </w:tr>
      <w:tr w:rsidR="00F24E18" w:rsidRPr="007465B2" w14:paraId="24153690" w14:textId="77777777" w:rsidTr="000E18B5">
        <w:trPr>
          <w:trHeight w:val="300"/>
        </w:trPr>
        <w:tc>
          <w:tcPr>
            <w:tcW w:w="2027" w:type="pct"/>
            <w:shd w:val="clear" w:color="auto" w:fill="auto"/>
            <w:vAlign w:val="center"/>
            <w:hideMark/>
          </w:tcPr>
          <w:p w14:paraId="7F8DF90A"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Oblačila, obutev, prtljaga in pribor</w:t>
            </w:r>
          </w:p>
        </w:tc>
        <w:tc>
          <w:tcPr>
            <w:tcW w:w="503" w:type="pct"/>
            <w:shd w:val="clear" w:color="auto" w:fill="auto"/>
            <w:vAlign w:val="center"/>
            <w:hideMark/>
          </w:tcPr>
          <w:p w14:paraId="0497DE5C"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18</w:t>
            </w:r>
          </w:p>
        </w:tc>
        <w:tc>
          <w:tcPr>
            <w:tcW w:w="392" w:type="pct"/>
            <w:shd w:val="clear" w:color="auto" w:fill="auto"/>
            <w:vAlign w:val="center"/>
            <w:hideMark/>
          </w:tcPr>
          <w:p w14:paraId="513A2E4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99</w:t>
            </w:r>
          </w:p>
        </w:tc>
        <w:tc>
          <w:tcPr>
            <w:tcW w:w="784" w:type="pct"/>
            <w:shd w:val="clear" w:color="auto" w:fill="auto"/>
            <w:vAlign w:val="center"/>
            <w:hideMark/>
          </w:tcPr>
          <w:p w14:paraId="400E8F9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8.576.620</w:t>
            </w:r>
          </w:p>
        </w:tc>
        <w:tc>
          <w:tcPr>
            <w:tcW w:w="656" w:type="pct"/>
            <w:shd w:val="clear" w:color="auto" w:fill="auto"/>
            <w:noWrap/>
            <w:vAlign w:val="center"/>
            <w:hideMark/>
          </w:tcPr>
          <w:p w14:paraId="09A6A0D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0,70 %</w:t>
            </w:r>
          </w:p>
        </w:tc>
        <w:tc>
          <w:tcPr>
            <w:tcW w:w="638" w:type="pct"/>
            <w:shd w:val="clear" w:color="auto" w:fill="auto"/>
            <w:noWrap/>
            <w:vAlign w:val="center"/>
            <w:hideMark/>
          </w:tcPr>
          <w:p w14:paraId="587538E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0,18 %</w:t>
            </w:r>
          </w:p>
        </w:tc>
      </w:tr>
      <w:tr w:rsidR="00F24E18" w:rsidRPr="007465B2" w14:paraId="76C4D8D1" w14:textId="77777777" w:rsidTr="000E18B5">
        <w:trPr>
          <w:trHeight w:val="300"/>
        </w:trPr>
        <w:tc>
          <w:tcPr>
            <w:tcW w:w="2027" w:type="pct"/>
            <w:shd w:val="clear" w:color="auto" w:fill="auto"/>
            <w:vAlign w:val="center"/>
            <w:hideMark/>
          </w:tcPr>
          <w:p w14:paraId="5CDAE5B6"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Usnjeni in tekstilni materiali, plastični in gumijasti materiali</w:t>
            </w:r>
          </w:p>
        </w:tc>
        <w:tc>
          <w:tcPr>
            <w:tcW w:w="503" w:type="pct"/>
            <w:shd w:val="clear" w:color="auto" w:fill="auto"/>
            <w:vAlign w:val="center"/>
            <w:hideMark/>
          </w:tcPr>
          <w:p w14:paraId="54AB682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19</w:t>
            </w:r>
          </w:p>
        </w:tc>
        <w:tc>
          <w:tcPr>
            <w:tcW w:w="392" w:type="pct"/>
            <w:shd w:val="clear" w:color="auto" w:fill="auto"/>
            <w:vAlign w:val="center"/>
            <w:hideMark/>
          </w:tcPr>
          <w:p w14:paraId="4EC8B096"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37</w:t>
            </w:r>
          </w:p>
        </w:tc>
        <w:tc>
          <w:tcPr>
            <w:tcW w:w="784" w:type="pct"/>
            <w:shd w:val="clear" w:color="auto" w:fill="auto"/>
            <w:vAlign w:val="center"/>
            <w:hideMark/>
          </w:tcPr>
          <w:p w14:paraId="042B385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1.498.310</w:t>
            </w:r>
          </w:p>
        </w:tc>
        <w:tc>
          <w:tcPr>
            <w:tcW w:w="656" w:type="pct"/>
            <w:shd w:val="clear" w:color="auto" w:fill="auto"/>
            <w:noWrap/>
            <w:vAlign w:val="center"/>
            <w:hideMark/>
          </w:tcPr>
          <w:p w14:paraId="091D573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0,26 %</w:t>
            </w:r>
          </w:p>
        </w:tc>
        <w:tc>
          <w:tcPr>
            <w:tcW w:w="638" w:type="pct"/>
            <w:shd w:val="clear" w:color="auto" w:fill="auto"/>
            <w:noWrap/>
            <w:vAlign w:val="center"/>
            <w:hideMark/>
          </w:tcPr>
          <w:p w14:paraId="45A8C61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0,03 %</w:t>
            </w:r>
          </w:p>
        </w:tc>
      </w:tr>
      <w:tr w:rsidR="00F24E18" w:rsidRPr="007465B2" w14:paraId="48A679FE" w14:textId="77777777" w:rsidTr="000E18B5">
        <w:trPr>
          <w:trHeight w:val="300"/>
        </w:trPr>
        <w:tc>
          <w:tcPr>
            <w:tcW w:w="2027" w:type="pct"/>
            <w:shd w:val="clear" w:color="auto" w:fill="auto"/>
            <w:vAlign w:val="center"/>
            <w:hideMark/>
          </w:tcPr>
          <w:p w14:paraId="78BEB00D"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Tiskano gradivo in z njim povezani izdelki</w:t>
            </w:r>
          </w:p>
        </w:tc>
        <w:tc>
          <w:tcPr>
            <w:tcW w:w="503" w:type="pct"/>
            <w:shd w:val="clear" w:color="auto" w:fill="auto"/>
            <w:vAlign w:val="center"/>
            <w:hideMark/>
          </w:tcPr>
          <w:p w14:paraId="4674D2BE"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22</w:t>
            </w:r>
          </w:p>
        </w:tc>
        <w:tc>
          <w:tcPr>
            <w:tcW w:w="392" w:type="pct"/>
            <w:shd w:val="clear" w:color="auto" w:fill="auto"/>
            <w:vAlign w:val="center"/>
            <w:hideMark/>
          </w:tcPr>
          <w:p w14:paraId="0AC58BC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98</w:t>
            </w:r>
          </w:p>
        </w:tc>
        <w:tc>
          <w:tcPr>
            <w:tcW w:w="784" w:type="pct"/>
            <w:shd w:val="clear" w:color="auto" w:fill="auto"/>
            <w:vAlign w:val="center"/>
            <w:hideMark/>
          </w:tcPr>
          <w:p w14:paraId="5790397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5.436.396</w:t>
            </w:r>
          </w:p>
        </w:tc>
        <w:tc>
          <w:tcPr>
            <w:tcW w:w="656" w:type="pct"/>
            <w:shd w:val="clear" w:color="auto" w:fill="auto"/>
            <w:noWrap/>
            <w:vAlign w:val="center"/>
            <w:hideMark/>
          </w:tcPr>
          <w:p w14:paraId="52F8905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0,69 %</w:t>
            </w:r>
          </w:p>
        </w:tc>
        <w:tc>
          <w:tcPr>
            <w:tcW w:w="638" w:type="pct"/>
            <w:shd w:val="clear" w:color="auto" w:fill="auto"/>
            <w:noWrap/>
            <w:vAlign w:val="center"/>
            <w:hideMark/>
          </w:tcPr>
          <w:p w14:paraId="24C585B0"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0,12 %</w:t>
            </w:r>
          </w:p>
        </w:tc>
      </w:tr>
      <w:tr w:rsidR="00F24E18" w:rsidRPr="007465B2" w14:paraId="4935AA08" w14:textId="77777777" w:rsidTr="000E18B5">
        <w:trPr>
          <w:trHeight w:val="300"/>
        </w:trPr>
        <w:tc>
          <w:tcPr>
            <w:tcW w:w="2027" w:type="pct"/>
            <w:shd w:val="clear" w:color="auto" w:fill="auto"/>
            <w:vAlign w:val="center"/>
            <w:hideMark/>
          </w:tcPr>
          <w:p w14:paraId="35A2E2E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Kemični proizvodi</w:t>
            </w:r>
          </w:p>
        </w:tc>
        <w:tc>
          <w:tcPr>
            <w:tcW w:w="503" w:type="pct"/>
            <w:shd w:val="clear" w:color="auto" w:fill="auto"/>
            <w:vAlign w:val="center"/>
            <w:hideMark/>
          </w:tcPr>
          <w:p w14:paraId="44E8C69D"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24</w:t>
            </w:r>
          </w:p>
        </w:tc>
        <w:tc>
          <w:tcPr>
            <w:tcW w:w="392" w:type="pct"/>
            <w:shd w:val="clear" w:color="auto" w:fill="auto"/>
            <w:vAlign w:val="center"/>
            <w:hideMark/>
          </w:tcPr>
          <w:p w14:paraId="31183C1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75</w:t>
            </w:r>
          </w:p>
        </w:tc>
        <w:tc>
          <w:tcPr>
            <w:tcW w:w="784" w:type="pct"/>
            <w:shd w:val="clear" w:color="auto" w:fill="auto"/>
            <w:vAlign w:val="center"/>
            <w:hideMark/>
          </w:tcPr>
          <w:p w14:paraId="09C53983"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13.882.923</w:t>
            </w:r>
          </w:p>
        </w:tc>
        <w:tc>
          <w:tcPr>
            <w:tcW w:w="656" w:type="pct"/>
            <w:shd w:val="clear" w:color="auto" w:fill="auto"/>
            <w:noWrap/>
            <w:vAlign w:val="center"/>
            <w:hideMark/>
          </w:tcPr>
          <w:p w14:paraId="6E3C083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0,53 %</w:t>
            </w:r>
          </w:p>
        </w:tc>
        <w:tc>
          <w:tcPr>
            <w:tcW w:w="638" w:type="pct"/>
            <w:shd w:val="clear" w:color="auto" w:fill="auto"/>
            <w:noWrap/>
            <w:vAlign w:val="center"/>
            <w:hideMark/>
          </w:tcPr>
          <w:p w14:paraId="10132316"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0,30 %</w:t>
            </w:r>
          </w:p>
        </w:tc>
      </w:tr>
      <w:tr w:rsidR="00F24E18" w:rsidRPr="007465B2" w14:paraId="3D15BACF" w14:textId="77777777" w:rsidTr="000E18B5">
        <w:trPr>
          <w:trHeight w:val="300"/>
        </w:trPr>
        <w:tc>
          <w:tcPr>
            <w:tcW w:w="2027" w:type="pct"/>
            <w:shd w:val="clear" w:color="auto" w:fill="auto"/>
            <w:vAlign w:val="center"/>
            <w:hideMark/>
          </w:tcPr>
          <w:p w14:paraId="2AC8C0BC"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lastRenderedPageBreak/>
              <w:t>Pisarniški in računski stroji, oprema in potrebščine, razen pohištva in programskih paketov</w:t>
            </w:r>
          </w:p>
        </w:tc>
        <w:tc>
          <w:tcPr>
            <w:tcW w:w="503" w:type="pct"/>
            <w:shd w:val="clear" w:color="auto" w:fill="auto"/>
            <w:vAlign w:val="center"/>
            <w:hideMark/>
          </w:tcPr>
          <w:p w14:paraId="7296BF3D"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30</w:t>
            </w:r>
          </w:p>
        </w:tc>
        <w:tc>
          <w:tcPr>
            <w:tcW w:w="392" w:type="pct"/>
            <w:shd w:val="clear" w:color="auto" w:fill="auto"/>
            <w:vAlign w:val="center"/>
            <w:hideMark/>
          </w:tcPr>
          <w:p w14:paraId="1C338A4A"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467</w:t>
            </w:r>
          </w:p>
        </w:tc>
        <w:tc>
          <w:tcPr>
            <w:tcW w:w="784" w:type="pct"/>
            <w:shd w:val="clear" w:color="auto" w:fill="auto"/>
            <w:vAlign w:val="center"/>
            <w:hideMark/>
          </w:tcPr>
          <w:p w14:paraId="004CE79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103.735.276</w:t>
            </w:r>
          </w:p>
        </w:tc>
        <w:tc>
          <w:tcPr>
            <w:tcW w:w="656" w:type="pct"/>
            <w:shd w:val="clear" w:color="auto" w:fill="auto"/>
            <w:noWrap/>
            <w:vAlign w:val="center"/>
            <w:hideMark/>
          </w:tcPr>
          <w:p w14:paraId="215C5F5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3,29 %</w:t>
            </w:r>
          </w:p>
        </w:tc>
        <w:tc>
          <w:tcPr>
            <w:tcW w:w="638" w:type="pct"/>
            <w:shd w:val="clear" w:color="auto" w:fill="auto"/>
            <w:noWrap/>
            <w:vAlign w:val="center"/>
            <w:hideMark/>
          </w:tcPr>
          <w:p w14:paraId="6FC3941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2,24 %</w:t>
            </w:r>
          </w:p>
        </w:tc>
      </w:tr>
      <w:tr w:rsidR="00F24E18" w:rsidRPr="007465B2" w14:paraId="1D8979B7" w14:textId="77777777" w:rsidTr="000E18B5">
        <w:trPr>
          <w:trHeight w:val="300"/>
        </w:trPr>
        <w:tc>
          <w:tcPr>
            <w:tcW w:w="2027" w:type="pct"/>
            <w:shd w:val="clear" w:color="auto" w:fill="auto"/>
            <w:vAlign w:val="center"/>
            <w:hideMark/>
          </w:tcPr>
          <w:p w14:paraId="05AC595D"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Električni stroji, aparati, oprema in potrošno blago; razsvetljava</w:t>
            </w:r>
          </w:p>
        </w:tc>
        <w:tc>
          <w:tcPr>
            <w:tcW w:w="503" w:type="pct"/>
            <w:shd w:val="clear" w:color="auto" w:fill="auto"/>
            <w:vAlign w:val="center"/>
            <w:hideMark/>
          </w:tcPr>
          <w:p w14:paraId="3FED072C"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31</w:t>
            </w:r>
          </w:p>
        </w:tc>
        <w:tc>
          <w:tcPr>
            <w:tcW w:w="392" w:type="pct"/>
            <w:shd w:val="clear" w:color="auto" w:fill="auto"/>
            <w:vAlign w:val="center"/>
            <w:hideMark/>
          </w:tcPr>
          <w:p w14:paraId="0338FA4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60</w:t>
            </w:r>
          </w:p>
        </w:tc>
        <w:tc>
          <w:tcPr>
            <w:tcW w:w="784" w:type="pct"/>
            <w:shd w:val="clear" w:color="auto" w:fill="auto"/>
            <w:vAlign w:val="center"/>
            <w:hideMark/>
          </w:tcPr>
          <w:p w14:paraId="3BE640B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12.289.258</w:t>
            </w:r>
          </w:p>
        </w:tc>
        <w:tc>
          <w:tcPr>
            <w:tcW w:w="656" w:type="pct"/>
            <w:shd w:val="clear" w:color="auto" w:fill="auto"/>
            <w:noWrap/>
            <w:vAlign w:val="center"/>
            <w:hideMark/>
          </w:tcPr>
          <w:p w14:paraId="0B4DC54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0,42 %</w:t>
            </w:r>
          </w:p>
        </w:tc>
        <w:tc>
          <w:tcPr>
            <w:tcW w:w="638" w:type="pct"/>
            <w:shd w:val="clear" w:color="auto" w:fill="auto"/>
            <w:noWrap/>
            <w:vAlign w:val="center"/>
            <w:hideMark/>
          </w:tcPr>
          <w:p w14:paraId="419573D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0,27 %</w:t>
            </w:r>
          </w:p>
        </w:tc>
      </w:tr>
      <w:tr w:rsidR="00F24E18" w:rsidRPr="007465B2" w14:paraId="605E1DFE" w14:textId="77777777" w:rsidTr="000E18B5">
        <w:trPr>
          <w:trHeight w:val="300"/>
        </w:trPr>
        <w:tc>
          <w:tcPr>
            <w:tcW w:w="2027" w:type="pct"/>
            <w:shd w:val="clear" w:color="auto" w:fill="auto"/>
            <w:vAlign w:val="center"/>
            <w:hideMark/>
          </w:tcPr>
          <w:p w14:paraId="3E0F11F6"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Radijski in televizijski aparati, komunikacijska, telekomunikacijska in z njimi povezana oprema</w:t>
            </w:r>
          </w:p>
        </w:tc>
        <w:tc>
          <w:tcPr>
            <w:tcW w:w="503" w:type="pct"/>
            <w:shd w:val="clear" w:color="auto" w:fill="auto"/>
            <w:vAlign w:val="center"/>
            <w:hideMark/>
          </w:tcPr>
          <w:p w14:paraId="6330D1D9"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32</w:t>
            </w:r>
          </w:p>
        </w:tc>
        <w:tc>
          <w:tcPr>
            <w:tcW w:w="392" w:type="pct"/>
            <w:shd w:val="clear" w:color="auto" w:fill="auto"/>
            <w:vAlign w:val="center"/>
            <w:hideMark/>
          </w:tcPr>
          <w:p w14:paraId="62EF569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72</w:t>
            </w:r>
          </w:p>
        </w:tc>
        <w:tc>
          <w:tcPr>
            <w:tcW w:w="784" w:type="pct"/>
            <w:shd w:val="clear" w:color="auto" w:fill="auto"/>
            <w:vAlign w:val="center"/>
            <w:hideMark/>
          </w:tcPr>
          <w:p w14:paraId="12DA844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12.641.338</w:t>
            </w:r>
          </w:p>
        </w:tc>
        <w:tc>
          <w:tcPr>
            <w:tcW w:w="656" w:type="pct"/>
            <w:shd w:val="clear" w:color="auto" w:fill="auto"/>
            <w:noWrap/>
            <w:vAlign w:val="center"/>
            <w:hideMark/>
          </w:tcPr>
          <w:p w14:paraId="641156F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0,51 %</w:t>
            </w:r>
          </w:p>
        </w:tc>
        <w:tc>
          <w:tcPr>
            <w:tcW w:w="638" w:type="pct"/>
            <w:shd w:val="clear" w:color="auto" w:fill="auto"/>
            <w:noWrap/>
            <w:vAlign w:val="center"/>
            <w:hideMark/>
          </w:tcPr>
          <w:p w14:paraId="0841D39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0,27 %</w:t>
            </w:r>
          </w:p>
        </w:tc>
      </w:tr>
      <w:tr w:rsidR="00F24E18" w:rsidRPr="007465B2" w14:paraId="37A1E3B8" w14:textId="77777777" w:rsidTr="000E18B5">
        <w:trPr>
          <w:trHeight w:val="300"/>
        </w:trPr>
        <w:tc>
          <w:tcPr>
            <w:tcW w:w="2027" w:type="pct"/>
            <w:shd w:val="clear" w:color="auto" w:fill="auto"/>
            <w:vAlign w:val="center"/>
            <w:hideMark/>
          </w:tcPr>
          <w:p w14:paraId="15B17B95"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Medicinska oprema, farmacevtski izdelki in izdelki za osebno nego</w:t>
            </w:r>
          </w:p>
        </w:tc>
        <w:tc>
          <w:tcPr>
            <w:tcW w:w="503" w:type="pct"/>
            <w:shd w:val="clear" w:color="auto" w:fill="auto"/>
            <w:vAlign w:val="center"/>
            <w:hideMark/>
          </w:tcPr>
          <w:p w14:paraId="54DEC298"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33</w:t>
            </w:r>
          </w:p>
        </w:tc>
        <w:tc>
          <w:tcPr>
            <w:tcW w:w="392" w:type="pct"/>
            <w:shd w:val="clear" w:color="auto" w:fill="auto"/>
            <w:vAlign w:val="center"/>
            <w:hideMark/>
          </w:tcPr>
          <w:p w14:paraId="00DC154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2.823</w:t>
            </w:r>
          </w:p>
        </w:tc>
        <w:tc>
          <w:tcPr>
            <w:tcW w:w="784" w:type="pct"/>
            <w:shd w:val="clear" w:color="auto" w:fill="auto"/>
            <w:vAlign w:val="center"/>
            <w:hideMark/>
          </w:tcPr>
          <w:p w14:paraId="16298A1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766.801.333</w:t>
            </w:r>
          </w:p>
        </w:tc>
        <w:tc>
          <w:tcPr>
            <w:tcW w:w="656" w:type="pct"/>
            <w:shd w:val="clear" w:color="auto" w:fill="auto"/>
            <w:noWrap/>
            <w:vAlign w:val="center"/>
            <w:hideMark/>
          </w:tcPr>
          <w:p w14:paraId="52A3051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19,92 %</w:t>
            </w:r>
          </w:p>
        </w:tc>
        <w:tc>
          <w:tcPr>
            <w:tcW w:w="638" w:type="pct"/>
            <w:shd w:val="clear" w:color="auto" w:fill="auto"/>
            <w:noWrap/>
            <w:vAlign w:val="center"/>
            <w:hideMark/>
          </w:tcPr>
          <w:p w14:paraId="530666C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16,54 %</w:t>
            </w:r>
          </w:p>
        </w:tc>
      </w:tr>
      <w:tr w:rsidR="00F24E18" w:rsidRPr="007465B2" w14:paraId="6D2DB3C3" w14:textId="77777777" w:rsidTr="000E18B5">
        <w:trPr>
          <w:trHeight w:val="300"/>
        </w:trPr>
        <w:tc>
          <w:tcPr>
            <w:tcW w:w="2027" w:type="pct"/>
            <w:shd w:val="clear" w:color="auto" w:fill="auto"/>
            <w:vAlign w:val="center"/>
            <w:hideMark/>
          </w:tcPr>
          <w:p w14:paraId="58A9D43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Prevozna sredstva in dodatni proizvodi za promet</w:t>
            </w:r>
          </w:p>
        </w:tc>
        <w:tc>
          <w:tcPr>
            <w:tcW w:w="503" w:type="pct"/>
            <w:shd w:val="clear" w:color="auto" w:fill="auto"/>
            <w:vAlign w:val="center"/>
            <w:hideMark/>
          </w:tcPr>
          <w:p w14:paraId="06405CE4"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34</w:t>
            </w:r>
          </w:p>
        </w:tc>
        <w:tc>
          <w:tcPr>
            <w:tcW w:w="392" w:type="pct"/>
            <w:shd w:val="clear" w:color="auto" w:fill="auto"/>
            <w:vAlign w:val="center"/>
            <w:hideMark/>
          </w:tcPr>
          <w:p w14:paraId="6E384EC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405</w:t>
            </w:r>
          </w:p>
        </w:tc>
        <w:tc>
          <w:tcPr>
            <w:tcW w:w="784" w:type="pct"/>
            <w:shd w:val="clear" w:color="auto" w:fill="auto"/>
            <w:vAlign w:val="center"/>
            <w:hideMark/>
          </w:tcPr>
          <w:p w14:paraId="0133DC4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86.831.942</w:t>
            </w:r>
          </w:p>
        </w:tc>
        <w:tc>
          <w:tcPr>
            <w:tcW w:w="656" w:type="pct"/>
            <w:shd w:val="clear" w:color="auto" w:fill="auto"/>
            <w:noWrap/>
            <w:vAlign w:val="center"/>
            <w:hideMark/>
          </w:tcPr>
          <w:p w14:paraId="3D954BB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2,86 %</w:t>
            </w:r>
          </w:p>
        </w:tc>
        <w:tc>
          <w:tcPr>
            <w:tcW w:w="638" w:type="pct"/>
            <w:shd w:val="clear" w:color="auto" w:fill="auto"/>
            <w:noWrap/>
            <w:vAlign w:val="center"/>
            <w:hideMark/>
          </w:tcPr>
          <w:p w14:paraId="23862B0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1,87 %</w:t>
            </w:r>
          </w:p>
        </w:tc>
      </w:tr>
      <w:tr w:rsidR="00F24E18" w:rsidRPr="007465B2" w14:paraId="0522BED5" w14:textId="77777777" w:rsidTr="000E18B5">
        <w:trPr>
          <w:trHeight w:val="300"/>
        </w:trPr>
        <w:tc>
          <w:tcPr>
            <w:tcW w:w="2027" w:type="pct"/>
            <w:shd w:val="clear" w:color="auto" w:fill="auto"/>
            <w:vAlign w:val="center"/>
            <w:hideMark/>
          </w:tcPr>
          <w:p w14:paraId="0D562239"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Varnostna, gasilska, policijska in obrambna oprema</w:t>
            </w:r>
          </w:p>
        </w:tc>
        <w:tc>
          <w:tcPr>
            <w:tcW w:w="503" w:type="pct"/>
            <w:shd w:val="clear" w:color="auto" w:fill="auto"/>
            <w:vAlign w:val="center"/>
            <w:hideMark/>
          </w:tcPr>
          <w:p w14:paraId="3C6BAB37"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35</w:t>
            </w:r>
          </w:p>
        </w:tc>
        <w:tc>
          <w:tcPr>
            <w:tcW w:w="392" w:type="pct"/>
            <w:shd w:val="clear" w:color="auto" w:fill="auto"/>
            <w:vAlign w:val="center"/>
            <w:hideMark/>
          </w:tcPr>
          <w:p w14:paraId="099433E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102</w:t>
            </w:r>
          </w:p>
        </w:tc>
        <w:tc>
          <w:tcPr>
            <w:tcW w:w="784" w:type="pct"/>
            <w:shd w:val="clear" w:color="auto" w:fill="auto"/>
            <w:vAlign w:val="center"/>
            <w:hideMark/>
          </w:tcPr>
          <w:p w14:paraId="1597CD0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17.267.173</w:t>
            </w:r>
          </w:p>
        </w:tc>
        <w:tc>
          <w:tcPr>
            <w:tcW w:w="656" w:type="pct"/>
            <w:shd w:val="clear" w:color="auto" w:fill="auto"/>
            <w:noWrap/>
            <w:vAlign w:val="center"/>
            <w:hideMark/>
          </w:tcPr>
          <w:p w14:paraId="7BA0800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0,72 %</w:t>
            </w:r>
          </w:p>
        </w:tc>
        <w:tc>
          <w:tcPr>
            <w:tcW w:w="638" w:type="pct"/>
            <w:shd w:val="clear" w:color="auto" w:fill="auto"/>
            <w:noWrap/>
            <w:vAlign w:val="center"/>
            <w:hideMark/>
          </w:tcPr>
          <w:p w14:paraId="575C25C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0,37 %</w:t>
            </w:r>
          </w:p>
        </w:tc>
      </w:tr>
      <w:tr w:rsidR="00F24E18" w:rsidRPr="007465B2" w14:paraId="7C242924" w14:textId="77777777" w:rsidTr="000E18B5">
        <w:trPr>
          <w:trHeight w:val="300"/>
        </w:trPr>
        <w:tc>
          <w:tcPr>
            <w:tcW w:w="2027" w:type="pct"/>
            <w:shd w:val="clear" w:color="auto" w:fill="auto"/>
            <w:vAlign w:val="center"/>
            <w:hideMark/>
          </w:tcPr>
          <w:p w14:paraId="20FF9BF1"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Glasbila, športni izdelki, igre, igrače, ročna dela, umetniški materiali in dodatki</w:t>
            </w:r>
          </w:p>
        </w:tc>
        <w:tc>
          <w:tcPr>
            <w:tcW w:w="503" w:type="pct"/>
            <w:shd w:val="clear" w:color="auto" w:fill="auto"/>
            <w:vAlign w:val="center"/>
            <w:hideMark/>
          </w:tcPr>
          <w:p w14:paraId="090E26A0"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37</w:t>
            </w:r>
          </w:p>
        </w:tc>
        <w:tc>
          <w:tcPr>
            <w:tcW w:w="392" w:type="pct"/>
            <w:shd w:val="clear" w:color="auto" w:fill="auto"/>
            <w:vAlign w:val="center"/>
            <w:hideMark/>
          </w:tcPr>
          <w:p w14:paraId="7EEC72D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63</w:t>
            </w:r>
          </w:p>
        </w:tc>
        <w:tc>
          <w:tcPr>
            <w:tcW w:w="784" w:type="pct"/>
            <w:shd w:val="clear" w:color="auto" w:fill="auto"/>
            <w:vAlign w:val="center"/>
            <w:hideMark/>
          </w:tcPr>
          <w:p w14:paraId="4FFE43B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2.608.783</w:t>
            </w:r>
          </w:p>
        </w:tc>
        <w:tc>
          <w:tcPr>
            <w:tcW w:w="656" w:type="pct"/>
            <w:shd w:val="clear" w:color="auto" w:fill="auto"/>
            <w:noWrap/>
            <w:vAlign w:val="center"/>
            <w:hideMark/>
          </w:tcPr>
          <w:p w14:paraId="6879E5A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0,44 %</w:t>
            </w:r>
          </w:p>
        </w:tc>
        <w:tc>
          <w:tcPr>
            <w:tcW w:w="638" w:type="pct"/>
            <w:shd w:val="clear" w:color="auto" w:fill="auto"/>
            <w:noWrap/>
            <w:vAlign w:val="center"/>
            <w:hideMark/>
          </w:tcPr>
          <w:p w14:paraId="276C2DC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0,06 %</w:t>
            </w:r>
          </w:p>
        </w:tc>
      </w:tr>
      <w:tr w:rsidR="00F24E18" w:rsidRPr="007465B2" w14:paraId="2D9466C7" w14:textId="77777777" w:rsidTr="000E18B5">
        <w:trPr>
          <w:trHeight w:val="300"/>
        </w:trPr>
        <w:tc>
          <w:tcPr>
            <w:tcW w:w="2027" w:type="pct"/>
            <w:shd w:val="clear" w:color="auto" w:fill="auto"/>
            <w:vAlign w:val="center"/>
            <w:hideMark/>
          </w:tcPr>
          <w:p w14:paraId="124B36BA"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Laboratorijska, optična in precizna oprema (razen očal)</w:t>
            </w:r>
          </w:p>
        </w:tc>
        <w:tc>
          <w:tcPr>
            <w:tcW w:w="503" w:type="pct"/>
            <w:shd w:val="clear" w:color="auto" w:fill="auto"/>
            <w:vAlign w:val="center"/>
            <w:hideMark/>
          </w:tcPr>
          <w:p w14:paraId="6A7F3FBB"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38</w:t>
            </w:r>
          </w:p>
        </w:tc>
        <w:tc>
          <w:tcPr>
            <w:tcW w:w="392" w:type="pct"/>
            <w:shd w:val="clear" w:color="auto" w:fill="auto"/>
            <w:vAlign w:val="center"/>
            <w:hideMark/>
          </w:tcPr>
          <w:p w14:paraId="2EBCD1A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321</w:t>
            </w:r>
          </w:p>
        </w:tc>
        <w:tc>
          <w:tcPr>
            <w:tcW w:w="784" w:type="pct"/>
            <w:shd w:val="clear" w:color="auto" w:fill="auto"/>
            <w:vAlign w:val="center"/>
            <w:hideMark/>
          </w:tcPr>
          <w:p w14:paraId="1CC4FDD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54.061.954</w:t>
            </w:r>
          </w:p>
        </w:tc>
        <w:tc>
          <w:tcPr>
            <w:tcW w:w="656" w:type="pct"/>
            <w:shd w:val="clear" w:color="auto" w:fill="auto"/>
            <w:noWrap/>
            <w:vAlign w:val="center"/>
            <w:hideMark/>
          </w:tcPr>
          <w:p w14:paraId="4C4BF89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2,26 %</w:t>
            </w:r>
          </w:p>
        </w:tc>
        <w:tc>
          <w:tcPr>
            <w:tcW w:w="638" w:type="pct"/>
            <w:shd w:val="clear" w:color="auto" w:fill="auto"/>
            <w:noWrap/>
            <w:vAlign w:val="center"/>
            <w:hideMark/>
          </w:tcPr>
          <w:p w14:paraId="198C11D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1,17 %</w:t>
            </w:r>
          </w:p>
        </w:tc>
      </w:tr>
      <w:tr w:rsidR="00F24E18" w:rsidRPr="007465B2" w14:paraId="78F3421A" w14:textId="77777777" w:rsidTr="000E18B5">
        <w:trPr>
          <w:trHeight w:val="300"/>
        </w:trPr>
        <w:tc>
          <w:tcPr>
            <w:tcW w:w="2027" w:type="pct"/>
            <w:shd w:val="clear" w:color="auto" w:fill="auto"/>
            <w:vAlign w:val="center"/>
            <w:hideMark/>
          </w:tcPr>
          <w:p w14:paraId="3137B0B1"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503" w:type="pct"/>
            <w:shd w:val="clear" w:color="auto" w:fill="auto"/>
            <w:vAlign w:val="center"/>
            <w:hideMark/>
          </w:tcPr>
          <w:p w14:paraId="40824C52"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39</w:t>
            </w:r>
          </w:p>
        </w:tc>
        <w:tc>
          <w:tcPr>
            <w:tcW w:w="392" w:type="pct"/>
            <w:shd w:val="clear" w:color="auto" w:fill="auto"/>
            <w:vAlign w:val="center"/>
            <w:hideMark/>
          </w:tcPr>
          <w:p w14:paraId="61B6AD5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403</w:t>
            </w:r>
          </w:p>
        </w:tc>
        <w:tc>
          <w:tcPr>
            <w:tcW w:w="784" w:type="pct"/>
            <w:shd w:val="clear" w:color="auto" w:fill="auto"/>
            <w:vAlign w:val="center"/>
            <w:hideMark/>
          </w:tcPr>
          <w:p w14:paraId="3824F4B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30.151.199</w:t>
            </w:r>
          </w:p>
        </w:tc>
        <w:tc>
          <w:tcPr>
            <w:tcW w:w="656" w:type="pct"/>
            <w:shd w:val="clear" w:color="auto" w:fill="auto"/>
            <w:noWrap/>
            <w:vAlign w:val="center"/>
            <w:hideMark/>
          </w:tcPr>
          <w:p w14:paraId="7CCCF1F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2,84 %</w:t>
            </w:r>
          </w:p>
        </w:tc>
        <w:tc>
          <w:tcPr>
            <w:tcW w:w="638" w:type="pct"/>
            <w:shd w:val="clear" w:color="auto" w:fill="auto"/>
            <w:noWrap/>
            <w:vAlign w:val="center"/>
            <w:hideMark/>
          </w:tcPr>
          <w:p w14:paraId="5D6B504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0,65 %</w:t>
            </w:r>
          </w:p>
        </w:tc>
      </w:tr>
      <w:tr w:rsidR="00F24E18" w:rsidRPr="007465B2" w14:paraId="34B36D05" w14:textId="77777777" w:rsidTr="000E18B5">
        <w:trPr>
          <w:trHeight w:val="300"/>
        </w:trPr>
        <w:tc>
          <w:tcPr>
            <w:tcW w:w="2027" w:type="pct"/>
            <w:shd w:val="clear" w:color="auto" w:fill="auto"/>
            <w:vAlign w:val="center"/>
            <w:hideMark/>
          </w:tcPr>
          <w:p w14:paraId="273BD3E3"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Zbrana in očiščena voda</w:t>
            </w:r>
          </w:p>
        </w:tc>
        <w:tc>
          <w:tcPr>
            <w:tcW w:w="503" w:type="pct"/>
            <w:shd w:val="clear" w:color="auto" w:fill="auto"/>
            <w:vAlign w:val="center"/>
            <w:hideMark/>
          </w:tcPr>
          <w:p w14:paraId="3D3C696E"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41</w:t>
            </w:r>
          </w:p>
        </w:tc>
        <w:tc>
          <w:tcPr>
            <w:tcW w:w="392" w:type="pct"/>
            <w:shd w:val="clear" w:color="auto" w:fill="auto"/>
            <w:vAlign w:val="center"/>
            <w:hideMark/>
          </w:tcPr>
          <w:p w14:paraId="51A5831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w:t>
            </w:r>
          </w:p>
        </w:tc>
        <w:tc>
          <w:tcPr>
            <w:tcW w:w="784" w:type="pct"/>
            <w:shd w:val="clear" w:color="auto" w:fill="auto"/>
            <w:vAlign w:val="center"/>
            <w:hideMark/>
          </w:tcPr>
          <w:p w14:paraId="55A3EDCA"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769.988</w:t>
            </w:r>
          </w:p>
        </w:tc>
        <w:tc>
          <w:tcPr>
            <w:tcW w:w="656" w:type="pct"/>
            <w:shd w:val="clear" w:color="auto" w:fill="auto"/>
            <w:noWrap/>
            <w:vAlign w:val="center"/>
            <w:hideMark/>
          </w:tcPr>
          <w:p w14:paraId="0CE63AB3"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0,02 %</w:t>
            </w:r>
          </w:p>
        </w:tc>
        <w:tc>
          <w:tcPr>
            <w:tcW w:w="638" w:type="pct"/>
            <w:shd w:val="clear" w:color="auto" w:fill="auto"/>
            <w:noWrap/>
            <w:vAlign w:val="center"/>
            <w:hideMark/>
          </w:tcPr>
          <w:p w14:paraId="7766901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0,02 %</w:t>
            </w:r>
          </w:p>
        </w:tc>
      </w:tr>
      <w:tr w:rsidR="00F24E18" w:rsidRPr="007465B2" w14:paraId="079B9396" w14:textId="77777777" w:rsidTr="000E18B5">
        <w:trPr>
          <w:trHeight w:val="300"/>
        </w:trPr>
        <w:tc>
          <w:tcPr>
            <w:tcW w:w="2027" w:type="pct"/>
            <w:shd w:val="clear" w:color="auto" w:fill="auto"/>
            <w:vAlign w:val="center"/>
            <w:hideMark/>
          </w:tcPr>
          <w:p w14:paraId="626A338E"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Industrijski stroji</w:t>
            </w:r>
          </w:p>
        </w:tc>
        <w:tc>
          <w:tcPr>
            <w:tcW w:w="503" w:type="pct"/>
            <w:shd w:val="clear" w:color="auto" w:fill="auto"/>
            <w:vAlign w:val="center"/>
            <w:hideMark/>
          </w:tcPr>
          <w:p w14:paraId="1F48A727"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42</w:t>
            </w:r>
          </w:p>
        </w:tc>
        <w:tc>
          <w:tcPr>
            <w:tcW w:w="392" w:type="pct"/>
            <w:shd w:val="clear" w:color="auto" w:fill="auto"/>
            <w:vAlign w:val="center"/>
            <w:hideMark/>
          </w:tcPr>
          <w:p w14:paraId="4141517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88</w:t>
            </w:r>
          </w:p>
        </w:tc>
        <w:tc>
          <w:tcPr>
            <w:tcW w:w="784" w:type="pct"/>
            <w:shd w:val="clear" w:color="auto" w:fill="auto"/>
            <w:vAlign w:val="center"/>
            <w:hideMark/>
          </w:tcPr>
          <w:p w14:paraId="01DF3B5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17.644.419</w:t>
            </w:r>
          </w:p>
        </w:tc>
        <w:tc>
          <w:tcPr>
            <w:tcW w:w="656" w:type="pct"/>
            <w:shd w:val="clear" w:color="auto" w:fill="auto"/>
            <w:noWrap/>
            <w:vAlign w:val="center"/>
            <w:hideMark/>
          </w:tcPr>
          <w:p w14:paraId="6BF35A4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0,62 %</w:t>
            </w:r>
          </w:p>
        </w:tc>
        <w:tc>
          <w:tcPr>
            <w:tcW w:w="638" w:type="pct"/>
            <w:shd w:val="clear" w:color="auto" w:fill="auto"/>
            <w:noWrap/>
            <w:vAlign w:val="center"/>
            <w:hideMark/>
          </w:tcPr>
          <w:p w14:paraId="71DB5D6A"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0,38 %</w:t>
            </w:r>
          </w:p>
        </w:tc>
      </w:tr>
      <w:tr w:rsidR="00F24E18" w:rsidRPr="007465B2" w14:paraId="729C8007" w14:textId="77777777" w:rsidTr="000E18B5">
        <w:trPr>
          <w:trHeight w:val="300"/>
        </w:trPr>
        <w:tc>
          <w:tcPr>
            <w:tcW w:w="2027" w:type="pct"/>
            <w:shd w:val="clear" w:color="auto" w:fill="auto"/>
            <w:vAlign w:val="center"/>
            <w:hideMark/>
          </w:tcPr>
          <w:p w14:paraId="7679A081"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Rudarska, kamnoseška in gradbena oprema</w:t>
            </w:r>
          </w:p>
        </w:tc>
        <w:tc>
          <w:tcPr>
            <w:tcW w:w="503" w:type="pct"/>
            <w:shd w:val="clear" w:color="auto" w:fill="auto"/>
            <w:vAlign w:val="center"/>
            <w:hideMark/>
          </w:tcPr>
          <w:p w14:paraId="330F6BDA"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43</w:t>
            </w:r>
          </w:p>
        </w:tc>
        <w:tc>
          <w:tcPr>
            <w:tcW w:w="392" w:type="pct"/>
            <w:shd w:val="clear" w:color="auto" w:fill="auto"/>
            <w:vAlign w:val="center"/>
            <w:hideMark/>
          </w:tcPr>
          <w:p w14:paraId="71A94EC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8</w:t>
            </w:r>
          </w:p>
        </w:tc>
        <w:tc>
          <w:tcPr>
            <w:tcW w:w="784" w:type="pct"/>
            <w:shd w:val="clear" w:color="auto" w:fill="auto"/>
            <w:vAlign w:val="center"/>
            <w:hideMark/>
          </w:tcPr>
          <w:p w14:paraId="073F23A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825.361</w:t>
            </w:r>
          </w:p>
        </w:tc>
        <w:tc>
          <w:tcPr>
            <w:tcW w:w="656" w:type="pct"/>
            <w:shd w:val="clear" w:color="auto" w:fill="auto"/>
            <w:noWrap/>
            <w:vAlign w:val="center"/>
            <w:hideMark/>
          </w:tcPr>
          <w:p w14:paraId="1C48442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0,06 %</w:t>
            </w:r>
          </w:p>
        </w:tc>
        <w:tc>
          <w:tcPr>
            <w:tcW w:w="638" w:type="pct"/>
            <w:shd w:val="clear" w:color="auto" w:fill="auto"/>
            <w:noWrap/>
            <w:vAlign w:val="center"/>
            <w:hideMark/>
          </w:tcPr>
          <w:p w14:paraId="1B6AFDE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0,02 %</w:t>
            </w:r>
          </w:p>
        </w:tc>
      </w:tr>
      <w:tr w:rsidR="00F24E18" w:rsidRPr="007465B2" w14:paraId="55EF9DDE" w14:textId="77777777" w:rsidTr="000E18B5">
        <w:trPr>
          <w:trHeight w:val="300"/>
        </w:trPr>
        <w:tc>
          <w:tcPr>
            <w:tcW w:w="2027" w:type="pct"/>
            <w:shd w:val="clear" w:color="auto" w:fill="auto"/>
            <w:vAlign w:val="center"/>
            <w:hideMark/>
          </w:tcPr>
          <w:p w14:paraId="78E8944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Gradbene strukture in materiali; pomožni gradbeni izdelki (razen električnih aparatov)</w:t>
            </w:r>
          </w:p>
        </w:tc>
        <w:tc>
          <w:tcPr>
            <w:tcW w:w="503" w:type="pct"/>
            <w:shd w:val="clear" w:color="auto" w:fill="auto"/>
            <w:vAlign w:val="center"/>
            <w:hideMark/>
          </w:tcPr>
          <w:p w14:paraId="0D8EA000"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44</w:t>
            </w:r>
          </w:p>
        </w:tc>
        <w:tc>
          <w:tcPr>
            <w:tcW w:w="392" w:type="pct"/>
            <w:shd w:val="clear" w:color="auto" w:fill="auto"/>
            <w:vAlign w:val="center"/>
            <w:hideMark/>
          </w:tcPr>
          <w:p w14:paraId="339CD8D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147</w:t>
            </w:r>
          </w:p>
        </w:tc>
        <w:tc>
          <w:tcPr>
            <w:tcW w:w="784" w:type="pct"/>
            <w:shd w:val="clear" w:color="auto" w:fill="auto"/>
            <w:vAlign w:val="center"/>
            <w:hideMark/>
          </w:tcPr>
          <w:p w14:paraId="2338B7A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20.458.854</w:t>
            </w:r>
          </w:p>
        </w:tc>
        <w:tc>
          <w:tcPr>
            <w:tcW w:w="656" w:type="pct"/>
            <w:shd w:val="clear" w:color="auto" w:fill="auto"/>
            <w:noWrap/>
            <w:vAlign w:val="center"/>
            <w:hideMark/>
          </w:tcPr>
          <w:p w14:paraId="51EB71CA"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1,04 %</w:t>
            </w:r>
          </w:p>
        </w:tc>
        <w:tc>
          <w:tcPr>
            <w:tcW w:w="638" w:type="pct"/>
            <w:shd w:val="clear" w:color="auto" w:fill="auto"/>
            <w:noWrap/>
            <w:vAlign w:val="center"/>
            <w:hideMark/>
          </w:tcPr>
          <w:p w14:paraId="50793B9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0,44 %</w:t>
            </w:r>
          </w:p>
        </w:tc>
      </w:tr>
      <w:tr w:rsidR="00F24E18" w:rsidRPr="007465B2" w14:paraId="10C4B0E8" w14:textId="77777777" w:rsidTr="000E18B5">
        <w:trPr>
          <w:trHeight w:val="300"/>
        </w:trPr>
        <w:tc>
          <w:tcPr>
            <w:tcW w:w="2027" w:type="pct"/>
            <w:shd w:val="clear" w:color="auto" w:fill="auto"/>
            <w:vAlign w:val="center"/>
            <w:hideMark/>
          </w:tcPr>
          <w:p w14:paraId="64882636"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Gradbena dela</w:t>
            </w:r>
          </w:p>
        </w:tc>
        <w:tc>
          <w:tcPr>
            <w:tcW w:w="503" w:type="pct"/>
            <w:shd w:val="clear" w:color="auto" w:fill="auto"/>
            <w:vAlign w:val="center"/>
            <w:hideMark/>
          </w:tcPr>
          <w:p w14:paraId="562EDA48"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45</w:t>
            </w:r>
          </w:p>
        </w:tc>
        <w:tc>
          <w:tcPr>
            <w:tcW w:w="392" w:type="pct"/>
            <w:shd w:val="clear" w:color="auto" w:fill="auto"/>
            <w:vAlign w:val="center"/>
            <w:hideMark/>
          </w:tcPr>
          <w:p w14:paraId="5E78CEE0"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1.256</w:t>
            </w:r>
          </w:p>
        </w:tc>
        <w:tc>
          <w:tcPr>
            <w:tcW w:w="784" w:type="pct"/>
            <w:shd w:val="clear" w:color="auto" w:fill="auto"/>
            <w:vAlign w:val="center"/>
            <w:hideMark/>
          </w:tcPr>
          <w:p w14:paraId="5BA5559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963.572.861</w:t>
            </w:r>
          </w:p>
        </w:tc>
        <w:tc>
          <w:tcPr>
            <w:tcW w:w="656" w:type="pct"/>
            <w:shd w:val="clear" w:color="auto" w:fill="auto"/>
            <w:noWrap/>
            <w:vAlign w:val="center"/>
            <w:hideMark/>
          </w:tcPr>
          <w:p w14:paraId="70D1897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8,86 %</w:t>
            </w:r>
          </w:p>
        </w:tc>
        <w:tc>
          <w:tcPr>
            <w:tcW w:w="638" w:type="pct"/>
            <w:shd w:val="clear" w:color="auto" w:fill="auto"/>
            <w:noWrap/>
            <w:vAlign w:val="center"/>
            <w:hideMark/>
          </w:tcPr>
          <w:p w14:paraId="3193DE5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20,78 %</w:t>
            </w:r>
          </w:p>
        </w:tc>
      </w:tr>
      <w:tr w:rsidR="00F24E18" w:rsidRPr="007465B2" w14:paraId="4B987DFD" w14:textId="77777777" w:rsidTr="000E18B5">
        <w:trPr>
          <w:trHeight w:val="300"/>
        </w:trPr>
        <w:tc>
          <w:tcPr>
            <w:tcW w:w="2027" w:type="pct"/>
            <w:shd w:val="clear" w:color="auto" w:fill="auto"/>
            <w:vAlign w:val="center"/>
            <w:hideMark/>
          </w:tcPr>
          <w:p w14:paraId="64C361D6"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Programski paketi in informacijski sistemi</w:t>
            </w:r>
          </w:p>
        </w:tc>
        <w:tc>
          <w:tcPr>
            <w:tcW w:w="503" w:type="pct"/>
            <w:shd w:val="clear" w:color="auto" w:fill="auto"/>
            <w:vAlign w:val="center"/>
            <w:hideMark/>
          </w:tcPr>
          <w:p w14:paraId="368D395E"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48</w:t>
            </w:r>
          </w:p>
        </w:tc>
        <w:tc>
          <w:tcPr>
            <w:tcW w:w="392" w:type="pct"/>
            <w:shd w:val="clear" w:color="auto" w:fill="auto"/>
            <w:vAlign w:val="center"/>
            <w:hideMark/>
          </w:tcPr>
          <w:p w14:paraId="62DE90D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184</w:t>
            </w:r>
          </w:p>
        </w:tc>
        <w:tc>
          <w:tcPr>
            <w:tcW w:w="784" w:type="pct"/>
            <w:shd w:val="clear" w:color="auto" w:fill="auto"/>
            <w:vAlign w:val="center"/>
            <w:hideMark/>
          </w:tcPr>
          <w:p w14:paraId="0F671260"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59.951.106</w:t>
            </w:r>
          </w:p>
        </w:tc>
        <w:tc>
          <w:tcPr>
            <w:tcW w:w="656" w:type="pct"/>
            <w:shd w:val="clear" w:color="auto" w:fill="auto"/>
            <w:noWrap/>
            <w:vAlign w:val="center"/>
            <w:hideMark/>
          </w:tcPr>
          <w:p w14:paraId="00389BE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1,30 %</w:t>
            </w:r>
          </w:p>
        </w:tc>
        <w:tc>
          <w:tcPr>
            <w:tcW w:w="638" w:type="pct"/>
            <w:shd w:val="clear" w:color="auto" w:fill="auto"/>
            <w:noWrap/>
            <w:vAlign w:val="center"/>
            <w:hideMark/>
          </w:tcPr>
          <w:p w14:paraId="16C2D600"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1,29 %</w:t>
            </w:r>
          </w:p>
        </w:tc>
      </w:tr>
      <w:tr w:rsidR="00F24E18" w:rsidRPr="007465B2" w14:paraId="59946EFD" w14:textId="77777777" w:rsidTr="000E18B5">
        <w:trPr>
          <w:trHeight w:val="300"/>
        </w:trPr>
        <w:tc>
          <w:tcPr>
            <w:tcW w:w="2027" w:type="pct"/>
            <w:shd w:val="clear" w:color="auto" w:fill="auto"/>
            <w:vAlign w:val="center"/>
            <w:hideMark/>
          </w:tcPr>
          <w:p w14:paraId="34263FC3"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popravila in vzdrževanja</w:t>
            </w:r>
          </w:p>
        </w:tc>
        <w:tc>
          <w:tcPr>
            <w:tcW w:w="503" w:type="pct"/>
            <w:shd w:val="clear" w:color="auto" w:fill="auto"/>
            <w:vAlign w:val="center"/>
            <w:hideMark/>
          </w:tcPr>
          <w:p w14:paraId="3A68FAA0"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50</w:t>
            </w:r>
          </w:p>
        </w:tc>
        <w:tc>
          <w:tcPr>
            <w:tcW w:w="392" w:type="pct"/>
            <w:shd w:val="clear" w:color="auto" w:fill="auto"/>
            <w:vAlign w:val="center"/>
            <w:hideMark/>
          </w:tcPr>
          <w:p w14:paraId="68639D5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617</w:t>
            </w:r>
          </w:p>
        </w:tc>
        <w:tc>
          <w:tcPr>
            <w:tcW w:w="784" w:type="pct"/>
            <w:shd w:val="clear" w:color="auto" w:fill="auto"/>
            <w:vAlign w:val="center"/>
            <w:hideMark/>
          </w:tcPr>
          <w:p w14:paraId="50983546"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161.144.017</w:t>
            </w:r>
          </w:p>
        </w:tc>
        <w:tc>
          <w:tcPr>
            <w:tcW w:w="656" w:type="pct"/>
            <w:shd w:val="clear" w:color="auto" w:fill="auto"/>
            <w:noWrap/>
            <w:vAlign w:val="center"/>
            <w:hideMark/>
          </w:tcPr>
          <w:p w14:paraId="7A40A56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4,35 %</w:t>
            </w:r>
          </w:p>
        </w:tc>
        <w:tc>
          <w:tcPr>
            <w:tcW w:w="638" w:type="pct"/>
            <w:shd w:val="clear" w:color="auto" w:fill="auto"/>
            <w:noWrap/>
            <w:vAlign w:val="center"/>
            <w:hideMark/>
          </w:tcPr>
          <w:p w14:paraId="1D156A1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3,48 %</w:t>
            </w:r>
          </w:p>
        </w:tc>
      </w:tr>
      <w:tr w:rsidR="00F24E18" w:rsidRPr="007465B2" w14:paraId="262442F4" w14:textId="77777777" w:rsidTr="000E18B5">
        <w:trPr>
          <w:trHeight w:val="300"/>
        </w:trPr>
        <w:tc>
          <w:tcPr>
            <w:tcW w:w="2027" w:type="pct"/>
            <w:shd w:val="clear" w:color="auto" w:fill="auto"/>
            <w:vAlign w:val="center"/>
            <w:hideMark/>
          </w:tcPr>
          <w:p w14:paraId="2E72D04E"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inštalacije (razen programske opreme)</w:t>
            </w:r>
          </w:p>
        </w:tc>
        <w:tc>
          <w:tcPr>
            <w:tcW w:w="503" w:type="pct"/>
            <w:shd w:val="clear" w:color="auto" w:fill="auto"/>
            <w:vAlign w:val="center"/>
            <w:hideMark/>
          </w:tcPr>
          <w:p w14:paraId="05AE0580"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51</w:t>
            </w:r>
          </w:p>
        </w:tc>
        <w:tc>
          <w:tcPr>
            <w:tcW w:w="392" w:type="pct"/>
            <w:shd w:val="clear" w:color="auto" w:fill="auto"/>
            <w:vAlign w:val="center"/>
            <w:hideMark/>
          </w:tcPr>
          <w:p w14:paraId="0015A5B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33</w:t>
            </w:r>
          </w:p>
        </w:tc>
        <w:tc>
          <w:tcPr>
            <w:tcW w:w="784" w:type="pct"/>
            <w:shd w:val="clear" w:color="auto" w:fill="auto"/>
            <w:vAlign w:val="center"/>
            <w:hideMark/>
          </w:tcPr>
          <w:p w14:paraId="5983296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3.892.551</w:t>
            </w:r>
          </w:p>
        </w:tc>
        <w:tc>
          <w:tcPr>
            <w:tcW w:w="656" w:type="pct"/>
            <w:shd w:val="clear" w:color="auto" w:fill="auto"/>
            <w:noWrap/>
            <w:vAlign w:val="center"/>
            <w:hideMark/>
          </w:tcPr>
          <w:p w14:paraId="17D76E8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0,23 %</w:t>
            </w:r>
          </w:p>
        </w:tc>
        <w:tc>
          <w:tcPr>
            <w:tcW w:w="638" w:type="pct"/>
            <w:shd w:val="clear" w:color="auto" w:fill="auto"/>
            <w:noWrap/>
            <w:vAlign w:val="center"/>
            <w:hideMark/>
          </w:tcPr>
          <w:p w14:paraId="3EB7A43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0,08 %</w:t>
            </w:r>
          </w:p>
        </w:tc>
      </w:tr>
      <w:tr w:rsidR="00F24E18" w:rsidRPr="007465B2" w14:paraId="6E648588" w14:textId="77777777" w:rsidTr="000E18B5">
        <w:trPr>
          <w:trHeight w:val="300"/>
        </w:trPr>
        <w:tc>
          <w:tcPr>
            <w:tcW w:w="2027" w:type="pct"/>
            <w:shd w:val="clear" w:color="auto" w:fill="auto"/>
            <w:vAlign w:val="center"/>
            <w:hideMark/>
          </w:tcPr>
          <w:p w14:paraId="5829441C"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hotelov, restavracij in trgovine na drobno</w:t>
            </w:r>
          </w:p>
        </w:tc>
        <w:tc>
          <w:tcPr>
            <w:tcW w:w="503" w:type="pct"/>
            <w:shd w:val="clear" w:color="auto" w:fill="auto"/>
            <w:vAlign w:val="center"/>
            <w:hideMark/>
          </w:tcPr>
          <w:p w14:paraId="4226CC39"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55</w:t>
            </w:r>
          </w:p>
        </w:tc>
        <w:tc>
          <w:tcPr>
            <w:tcW w:w="392" w:type="pct"/>
            <w:shd w:val="clear" w:color="auto" w:fill="auto"/>
            <w:vAlign w:val="center"/>
            <w:hideMark/>
          </w:tcPr>
          <w:p w14:paraId="65758FA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11</w:t>
            </w:r>
          </w:p>
        </w:tc>
        <w:tc>
          <w:tcPr>
            <w:tcW w:w="784" w:type="pct"/>
            <w:shd w:val="clear" w:color="auto" w:fill="auto"/>
            <w:vAlign w:val="center"/>
            <w:hideMark/>
          </w:tcPr>
          <w:p w14:paraId="6A15F26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16.799.599</w:t>
            </w:r>
          </w:p>
        </w:tc>
        <w:tc>
          <w:tcPr>
            <w:tcW w:w="656" w:type="pct"/>
            <w:shd w:val="clear" w:color="auto" w:fill="auto"/>
            <w:noWrap/>
            <w:vAlign w:val="center"/>
            <w:hideMark/>
          </w:tcPr>
          <w:p w14:paraId="670164B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0,08 %</w:t>
            </w:r>
          </w:p>
        </w:tc>
        <w:tc>
          <w:tcPr>
            <w:tcW w:w="638" w:type="pct"/>
            <w:shd w:val="clear" w:color="auto" w:fill="auto"/>
            <w:noWrap/>
            <w:vAlign w:val="center"/>
            <w:hideMark/>
          </w:tcPr>
          <w:p w14:paraId="3B81674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0,36 %</w:t>
            </w:r>
          </w:p>
        </w:tc>
      </w:tr>
      <w:tr w:rsidR="00F24E18" w:rsidRPr="007465B2" w14:paraId="7A24B5AC" w14:textId="77777777" w:rsidTr="000E18B5">
        <w:trPr>
          <w:trHeight w:val="300"/>
        </w:trPr>
        <w:tc>
          <w:tcPr>
            <w:tcW w:w="2027" w:type="pct"/>
            <w:shd w:val="clear" w:color="auto" w:fill="auto"/>
            <w:vAlign w:val="center"/>
            <w:hideMark/>
          </w:tcPr>
          <w:p w14:paraId="216391B8"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Prevozne storitve (razen prevoza odpadkov)</w:t>
            </w:r>
          </w:p>
        </w:tc>
        <w:tc>
          <w:tcPr>
            <w:tcW w:w="503" w:type="pct"/>
            <w:shd w:val="clear" w:color="auto" w:fill="auto"/>
            <w:vAlign w:val="center"/>
            <w:hideMark/>
          </w:tcPr>
          <w:p w14:paraId="03D9F51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60</w:t>
            </w:r>
          </w:p>
        </w:tc>
        <w:tc>
          <w:tcPr>
            <w:tcW w:w="392" w:type="pct"/>
            <w:shd w:val="clear" w:color="auto" w:fill="auto"/>
            <w:vAlign w:val="center"/>
            <w:hideMark/>
          </w:tcPr>
          <w:p w14:paraId="5B9D5F5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428</w:t>
            </w:r>
          </w:p>
        </w:tc>
        <w:tc>
          <w:tcPr>
            <w:tcW w:w="784" w:type="pct"/>
            <w:shd w:val="clear" w:color="auto" w:fill="auto"/>
            <w:vAlign w:val="center"/>
            <w:hideMark/>
          </w:tcPr>
          <w:p w14:paraId="3F600FA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725.496.959</w:t>
            </w:r>
          </w:p>
        </w:tc>
        <w:tc>
          <w:tcPr>
            <w:tcW w:w="656" w:type="pct"/>
            <w:shd w:val="clear" w:color="auto" w:fill="auto"/>
            <w:noWrap/>
            <w:vAlign w:val="center"/>
            <w:hideMark/>
          </w:tcPr>
          <w:p w14:paraId="6344911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3,02 %</w:t>
            </w:r>
          </w:p>
        </w:tc>
        <w:tc>
          <w:tcPr>
            <w:tcW w:w="638" w:type="pct"/>
            <w:shd w:val="clear" w:color="auto" w:fill="auto"/>
            <w:noWrap/>
            <w:vAlign w:val="center"/>
            <w:hideMark/>
          </w:tcPr>
          <w:p w14:paraId="587E237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15,65 %</w:t>
            </w:r>
          </w:p>
        </w:tc>
      </w:tr>
      <w:tr w:rsidR="00F24E18" w:rsidRPr="007465B2" w14:paraId="4CA38F9C" w14:textId="77777777" w:rsidTr="000E18B5">
        <w:trPr>
          <w:trHeight w:val="300"/>
        </w:trPr>
        <w:tc>
          <w:tcPr>
            <w:tcW w:w="2027" w:type="pct"/>
            <w:shd w:val="clear" w:color="auto" w:fill="auto"/>
            <w:vAlign w:val="center"/>
            <w:hideMark/>
          </w:tcPr>
          <w:p w14:paraId="6D5A6EF5"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Podporne in pomožne prevozne storitve; storitve potovalnih agencij</w:t>
            </w:r>
          </w:p>
        </w:tc>
        <w:tc>
          <w:tcPr>
            <w:tcW w:w="503" w:type="pct"/>
            <w:shd w:val="clear" w:color="auto" w:fill="auto"/>
            <w:vAlign w:val="center"/>
            <w:hideMark/>
          </w:tcPr>
          <w:p w14:paraId="415FA75D"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63</w:t>
            </w:r>
          </w:p>
        </w:tc>
        <w:tc>
          <w:tcPr>
            <w:tcW w:w="392" w:type="pct"/>
            <w:shd w:val="clear" w:color="auto" w:fill="auto"/>
            <w:vAlign w:val="center"/>
            <w:hideMark/>
          </w:tcPr>
          <w:p w14:paraId="0DA4661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27</w:t>
            </w:r>
          </w:p>
        </w:tc>
        <w:tc>
          <w:tcPr>
            <w:tcW w:w="784" w:type="pct"/>
            <w:shd w:val="clear" w:color="auto" w:fill="auto"/>
            <w:vAlign w:val="center"/>
            <w:hideMark/>
          </w:tcPr>
          <w:p w14:paraId="76ED48E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49.201.947</w:t>
            </w:r>
          </w:p>
        </w:tc>
        <w:tc>
          <w:tcPr>
            <w:tcW w:w="656" w:type="pct"/>
            <w:shd w:val="clear" w:color="auto" w:fill="auto"/>
            <w:noWrap/>
            <w:vAlign w:val="center"/>
            <w:hideMark/>
          </w:tcPr>
          <w:p w14:paraId="0811FFB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0,19 %</w:t>
            </w:r>
          </w:p>
        </w:tc>
        <w:tc>
          <w:tcPr>
            <w:tcW w:w="638" w:type="pct"/>
            <w:shd w:val="clear" w:color="auto" w:fill="auto"/>
            <w:noWrap/>
            <w:vAlign w:val="center"/>
            <w:hideMark/>
          </w:tcPr>
          <w:p w14:paraId="358BBB7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1,06 %</w:t>
            </w:r>
          </w:p>
        </w:tc>
      </w:tr>
      <w:tr w:rsidR="00F24E18" w:rsidRPr="007465B2" w14:paraId="789EBBED" w14:textId="77777777" w:rsidTr="000E18B5">
        <w:trPr>
          <w:trHeight w:val="300"/>
        </w:trPr>
        <w:tc>
          <w:tcPr>
            <w:tcW w:w="2027" w:type="pct"/>
            <w:shd w:val="clear" w:color="auto" w:fill="auto"/>
            <w:vAlign w:val="center"/>
            <w:hideMark/>
          </w:tcPr>
          <w:p w14:paraId="39C9232C"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Poštne in telekomunikacijske storitve</w:t>
            </w:r>
          </w:p>
        </w:tc>
        <w:tc>
          <w:tcPr>
            <w:tcW w:w="503" w:type="pct"/>
            <w:shd w:val="clear" w:color="auto" w:fill="auto"/>
            <w:vAlign w:val="center"/>
            <w:hideMark/>
          </w:tcPr>
          <w:p w14:paraId="74571E1B"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64</w:t>
            </w:r>
          </w:p>
        </w:tc>
        <w:tc>
          <w:tcPr>
            <w:tcW w:w="392" w:type="pct"/>
            <w:shd w:val="clear" w:color="auto" w:fill="auto"/>
            <w:vAlign w:val="center"/>
            <w:hideMark/>
          </w:tcPr>
          <w:p w14:paraId="4D2AEAD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57</w:t>
            </w:r>
          </w:p>
        </w:tc>
        <w:tc>
          <w:tcPr>
            <w:tcW w:w="784" w:type="pct"/>
            <w:shd w:val="clear" w:color="auto" w:fill="auto"/>
            <w:vAlign w:val="center"/>
            <w:hideMark/>
          </w:tcPr>
          <w:p w14:paraId="027F3B4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23.357.023</w:t>
            </w:r>
          </w:p>
        </w:tc>
        <w:tc>
          <w:tcPr>
            <w:tcW w:w="656" w:type="pct"/>
            <w:shd w:val="clear" w:color="auto" w:fill="auto"/>
            <w:noWrap/>
            <w:vAlign w:val="center"/>
            <w:hideMark/>
          </w:tcPr>
          <w:p w14:paraId="6610F29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0,40 %</w:t>
            </w:r>
          </w:p>
        </w:tc>
        <w:tc>
          <w:tcPr>
            <w:tcW w:w="638" w:type="pct"/>
            <w:shd w:val="clear" w:color="auto" w:fill="auto"/>
            <w:noWrap/>
            <w:vAlign w:val="center"/>
            <w:hideMark/>
          </w:tcPr>
          <w:p w14:paraId="3337A416"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0,50 %</w:t>
            </w:r>
          </w:p>
        </w:tc>
      </w:tr>
      <w:tr w:rsidR="00F24E18" w:rsidRPr="007465B2" w14:paraId="0EF26DE9" w14:textId="77777777" w:rsidTr="000E18B5">
        <w:trPr>
          <w:trHeight w:val="300"/>
        </w:trPr>
        <w:tc>
          <w:tcPr>
            <w:tcW w:w="2027" w:type="pct"/>
            <w:shd w:val="clear" w:color="auto" w:fill="auto"/>
            <w:vAlign w:val="center"/>
            <w:hideMark/>
          </w:tcPr>
          <w:p w14:paraId="7C9C6E6D"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Gospodarske javne službe</w:t>
            </w:r>
          </w:p>
        </w:tc>
        <w:tc>
          <w:tcPr>
            <w:tcW w:w="503" w:type="pct"/>
            <w:shd w:val="clear" w:color="auto" w:fill="auto"/>
            <w:vAlign w:val="center"/>
            <w:hideMark/>
          </w:tcPr>
          <w:p w14:paraId="18454B34"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65</w:t>
            </w:r>
          </w:p>
        </w:tc>
        <w:tc>
          <w:tcPr>
            <w:tcW w:w="392" w:type="pct"/>
            <w:shd w:val="clear" w:color="auto" w:fill="auto"/>
            <w:vAlign w:val="center"/>
            <w:hideMark/>
          </w:tcPr>
          <w:p w14:paraId="3562CA4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13</w:t>
            </w:r>
          </w:p>
        </w:tc>
        <w:tc>
          <w:tcPr>
            <w:tcW w:w="784" w:type="pct"/>
            <w:shd w:val="clear" w:color="auto" w:fill="auto"/>
            <w:vAlign w:val="center"/>
            <w:hideMark/>
          </w:tcPr>
          <w:p w14:paraId="29F5FA9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4.476.244</w:t>
            </w:r>
          </w:p>
        </w:tc>
        <w:tc>
          <w:tcPr>
            <w:tcW w:w="656" w:type="pct"/>
            <w:shd w:val="clear" w:color="auto" w:fill="auto"/>
            <w:noWrap/>
            <w:vAlign w:val="center"/>
            <w:hideMark/>
          </w:tcPr>
          <w:p w14:paraId="5C9AC6D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0,09 %</w:t>
            </w:r>
          </w:p>
        </w:tc>
        <w:tc>
          <w:tcPr>
            <w:tcW w:w="638" w:type="pct"/>
            <w:shd w:val="clear" w:color="auto" w:fill="auto"/>
            <w:noWrap/>
            <w:vAlign w:val="center"/>
            <w:hideMark/>
          </w:tcPr>
          <w:p w14:paraId="38CC4150"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0,10 %</w:t>
            </w:r>
          </w:p>
        </w:tc>
      </w:tr>
      <w:tr w:rsidR="00F24E18" w:rsidRPr="007465B2" w14:paraId="6331EE81" w14:textId="77777777" w:rsidTr="000E18B5">
        <w:trPr>
          <w:trHeight w:val="300"/>
        </w:trPr>
        <w:tc>
          <w:tcPr>
            <w:tcW w:w="2027" w:type="pct"/>
            <w:shd w:val="clear" w:color="auto" w:fill="auto"/>
            <w:vAlign w:val="center"/>
            <w:hideMark/>
          </w:tcPr>
          <w:p w14:paraId="056F40F1"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Finančne in zavarovalniške storitve</w:t>
            </w:r>
          </w:p>
        </w:tc>
        <w:tc>
          <w:tcPr>
            <w:tcW w:w="503" w:type="pct"/>
            <w:shd w:val="clear" w:color="auto" w:fill="auto"/>
            <w:vAlign w:val="center"/>
            <w:hideMark/>
          </w:tcPr>
          <w:p w14:paraId="181B00F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66</w:t>
            </w:r>
          </w:p>
        </w:tc>
        <w:tc>
          <w:tcPr>
            <w:tcW w:w="392" w:type="pct"/>
            <w:shd w:val="clear" w:color="auto" w:fill="auto"/>
            <w:vAlign w:val="center"/>
            <w:hideMark/>
          </w:tcPr>
          <w:p w14:paraId="5F01E6E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164</w:t>
            </w:r>
          </w:p>
        </w:tc>
        <w:tc>
          <w:tcPr>
            <w:tcW w:w="784" w:type="pct"/>
            <w:shd w:val="clear" w:color="auto" w:fill="auto"/>
            <w:vAlign w:val="center"/>
            <w:hideMark/>
          </w:tcPr>
          <w:p w14:paraId="670391C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101.702.779</w:t>
            </w:r>
          </w:p>
        </w:tc>
        <w:tc>
          <w:tcPr>
            <w:tcW w:w="656" w:type="pct"/>
            <w:shd w:val="clear" w:color="auto" w:fill="auto"/>
            <w:noWrap/>
            <w:vAlign w:val="center"/>
            <w:hideMark/>
          </w:tcPr>
          <w:p w14:paraId="0EFBFD5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1,16 %</w:t>
            </w:r>
          </w:p>
        </w:tc>
        <w:tc>
          <w:tcPr>
            <w:tcW w:w="638" w:type="pct"/>
            <w:shd w:val="clear" w:color="auto" w:fill="auto"/>
            <w:noWrap/>
            <w:vAlign w:val="center"/>
            <w:hideMark/>
          </w:tcPr>
          <w:p w14:paraId="7432FD7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2,19 %</w:t>
            </w:r>
          </w:p>
        </w:tc>
      </w:tr>
      <w:tr w:rsidR="00F24E18" w:rsidRPr="007465B2" w14:paraId="7D7297E5" w14:textId="77777777" w:rsidTr="000E18B5">
        <w:trPr>
          <w:trHeight w:val="300"/>
        </w:trPr>
        <w:tc>
          <w:tcPr>
            <w:tcW w:w="2027" w:type="pct"/>
            <w:shd w:val="clear" w:color="auto" w:fill="auto"/>
            <w:vAlign w:val="center"/>
            <w:hideMark/>
          </w:tcPr>
          <w:p w14:paraId="0D97C0E1"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poslovanja z nepremičninami</w:t>
            </w:r>
          </w:p>
        </w:tc>
        <w:tc>
          <w:tcPr>
            <w:tcW w:w="503" w:type="pct"/>
            <w:shd w:val="clear" w:color="auto" w:fill="auto"/>
            <w:vAlign w:val="center"/>
            <w:hideMark/>
          </w:tcPr>
          <w:p w14:paraId="11CF2E70"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70</w:t>
            </w:r>
          </w:p>
        </w:tc>
        <w:tc>
          <w:tcPr>
            <w:tcW w:w="392" w:type="pct"/>
            <w:shd w:val="clear" w:color="auto" w:fill="auto"/>
            <w:vAlign w:val="center"/>
            <w:hideMark/>
          </w:tcPr>
          <w:p w14:paraId="5435491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12</w:t>
            </w:r>
          </w:p>
        </w:tc>
        <w:tc>
          <w:tcPr>
            <w:tcW w:w="784" w:type="pct"/>
            <w:shd w:val="clear" w:color="auto" w:fill="auto"/>
            <w:vAlign w:val="center"/>
            <w:hideMark/>
          </w:tcPr>
          <w:p w14:paraId="1B41DF5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1.222.735</w:t>
            </w:r>
          </w:p>
        </w:tc>
        <w:tc>
          <w:tcPr>
            <w:tcW w:w="656" w:type="pct"/>
            <w:shd w:val="clear" w:color="auto" w:fill="auto"/>
            <w:noWrap/>
            <w:vAlign w:val="center"/>
            <w:hideMark/>
          </w:tcPr>
          <w:p w14:paraId="4922846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0,08 %</w:t>
            </w:r>
          </w:p>
        </w:tc>
        <w:tc>
          <w:tcPr>
            <w:tcW w:w="638" w:type="pct"/>
            <w:shd w:val="clear" w:color="auto" w:fill="auto"/>
            <w:noWrap/>
            <w:vAlign w:val="center"/>
            <w:hideMark/>
          </w:tcPr>
          <w:p w14:paraId="4C3DE47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0,03 %</w:t>
            </w:r>
          </w:p>
        </w:tc>
      </w:tr>
      <w:tr w:rsidR="00F24E18" w:rsidRPr="007465B2" w14:paraId="68CD4481" w14:textId="77777777" w:rsidTr="000E18B5">
        <w:trPr>
          <w:trHeight w:val="300"/>
        </w:trPr>
        <w:tc>
          <w:tcPr>
            <w:tcW w:w="2027" w:type="pct"/>
            <w:shd w:val="clear" w:color="auto" w:fill="auto"/>
            <w:vAlign w:val="center"/>
            <w:hideMark/>
          </w:tcPr>
          <w:p w14:paraId="303A3742"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Arhitekturne, gradbeniške, inženirske in inšpekcijske storitve</w:t>
            </w:r>
          </w:p>
        </w:tc>
        <w:tc>
          <w:tcPr>
            <w:tcW w:w="503" w:type="pct"/>
            <w:shd w:val="clear" w:color="auto" w:fill="auto"/>
            <w:vAlign w:val="center"/>
            <w:hideMark/>
          </w:tcPr>
          <w:p w14:paraId="4466BD9C"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71</w:t>
            </w:r>
          </w:p>
        </w:tc>
        <w:tc>
          <w:tcPr>
            <w:tcW w:w="392" w:type="pct"/>
            <w:shd w:val="clear" w:color="auto" w:fill="auto"/>
            <w:vAlign w:val="center"/>
            <w:hideMark/>
          </w:tcPr>
          <w:p w14:paraId="3484F35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396</w:t>
            </w:r>
          </w:p>
        </w:tc>
        <w:tc>
          <w:tcPr>
            <w:tcW w:w="784" w:type="pct"/>
            <w:shd w:val="clear" w:color="auto" w:fill="auto"/>
            <w:vAlign w:val="center"/>
            <w:hideMark/>
          </w:tcPr>
          <w:p w14:paraId="6B776EF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143.286.905</w:t>
            </w:r>
          </w:p>
        </w:tc>
        <w:tc>
          <w:tcPr>
            <w:tcW w:w="656" w:type="pct"/>
            <w:shd w:val="clear" w:color="auto" w:fill="auto"/>
            <w:noWrap/>
            <w:vAlign w:val="center"/>
            <w:hideMark/>
          </w:tcPr>
          <w:p w14:paraId="5FE92CA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2,79 %</w:t>
            </w:r>
          </w:p>
        </w:tc>
        <w:tc>
          <w:tcPr>
            <w:tcW w:w="638" w:type="pct"/>
            <w:shd w:val="clear" w:color="auto" w:fill="auto"/>
            <w:noWrap/>
            <w:vAlign w:val="center"/>
            <w:hideMark/>
          </w:tcPr>
          <w:p w14:paraId="0F631FF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3,09 %</w:t>
            </w:r>
          </w:p>
        </w:tc>
      </w:tr>
      <w:tr w:rsidR="00F24E18" w:rsidRPr="007465B2" w14:paraId="130F043B" w14:textId="77777777" w:rsidTr="000E18B5">
        <w:trPr>
          <w:trHeight w:val="300"/>
        </w:trPr>
        <w:tc>
          <w:tcPr>
            <w:tcW w:w="2027" w:type="pct"/>
            <w:shd w:val="clear" w:color="auto" w:fill="auto"/>
            <w:vAlign w:val="center"/>
            <w:hideMark/>
          </w:tcPr>
          <w:p w14:paraId="25C9EE8B"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informacijske tehnologije: svetovanje, razvoj programske opreme, internet in podpora</w:t>
            </w:r>
          </w:p>
        </w:tc>
        <w:tc>
          <w:tcPr>
            <w:tcW w:w="503" w:type="pct"/>
            <w:shd w:val="clear" w:color="auto" w:fill="auto"/>
            <w:vAlign w:val="center"/>
            <w:hideMark/>
          </w:tcPr>
          <w:p w14:paraId="4ED110A1"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72</w:t>
            </w:r>
          </w:p>
        </w:tc>
        <w:tc>
          <w:tcPr>
            <w:tcW w:w="392" w:type="pct"/>
            <w:shd w:val="clear" w:color="auto" w:fill="auto"/>
            <w:vAlign w:val="center"/>
            <w:hideMark/>
          </w:tcPr>
          <w:p w14:paraId="4577CAED"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435</w:t>
            </w:r>
          </w:p>
        </w:tc>
        <w:tc>
          <w:tcPr>
            <w:tcW w:w="784" w:type="pct"/>
            <w:shd w:val="clear" w:color="auto" w:fill="auto"/>
            <w:vAlign w:val="center"/>
            <w:hideMark/>
          </w:tcPr>
          <w:p w14:paraId="1FB0C92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203.987.572</w:t>
            </w:r>
          </w:p>
        </w:tc>
        <w:tc>
          <w:tcPr>
            <w:tcW w:w="656" w:type="pct"/>
            <w:shd w:val="clear" w:color="auto" w:fill="auto"/>
            <w:noWrap/>
            <w:vAlign w:val="center"/>
            <w:hideMark/>
          </w:tcPr>
          <w:p w14:paraId="5C21BBF3"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3,07 %</w:t>
            </w:r>
          </w:p>
        </w:tc>
        <w:tc>
          <w:tcPr>
            <w:tcW w:w="638" w:type="pct"/>
            <w:shd w:val="clear" w:color="auto" w:fill="auto"/>
            <w:noWrap/>
            <w:vAlign w:val="center"/>
            <w:hideMark/>
          </w:tcPr>
          <w:p w14:paraId="153450D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4,40 %</w:t>
            </w:r>
          </w:p>
        </w:tc>
      </w:tr>
      <w:tr w:rsidR="00F24E18" w:rsidRPr="007465B2" w14:paraId="6CC7E1DD" w14:textId="77777777" w:rsidTr="000E18B5">
        <w:trPr>
          <w:trHeight w:val="300"/>
        </w:trPr>
        <w:tc>
          <w:tcPr>
            <w:tcW w:w="2027" w:type="pct"/>
            <w:shd w:val="clear" w:color="auto" w:fill="auto"/>
            <w:vAlign w:val="center"/>
            <w:hideMark/>
          </w:tcPr>
          <w:p w14:paraId="42220C06"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na področju raziskav in razvoja ter s tem povezane svetovalne storitve</w:t>
            </w:r>
          </w:p>
        </w:tc>
        <w:tc>
          <w:tcPr>
            <w:tcW w:w="503" w:type="pct"/>
            <w:shd w:val="clear" w:color="auto" w:fill="auto"/>
            <w:vAlign w:val="center"/>
            <w:hideMark/>
          </w:tcPr>
          <w:p w14:paraId="2F340BB0"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73</w:t>
            </w:r>
          </w:p>
        </w:tc>
        <w:tc>
          <w:tcPr>
            <w:tcW w:w="392" w:type="pct"/>
            <w:shd w:val="clear" w:color="auto" w:fill="auto"/>
            <w:vAlign w:val="center"/>
            <w:hideMark/>
          </w:tcPr>
          <w:p w14:paraId="7AB119A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29</w:t>
            </w:r>
          </w:p>
        </w:tc>
        <w:tc>
          <w:tcPr>
            <w:tcW w:w="784" w:type="pct"/>
            <w:shd w:val="clear" w:color="auto" w:fill="auto"/>
            <w:vAlign w:val="center"/>
            <w:hideMark/>
          </w:tcPr>
          <w:p w14:paraId="773311A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3.303.733</w:t>
            </w:r>
          </w:p>
        </w:tc>
        <w:tc>
          <w:tcPr>
            <w:tcW w:w="656" w:type="pct"/>
            <w:shd w:val="clear" w:color="auto" w:fill="auto"/>
            <w:noWrap/>
            <w:vAlign w:val="center"/>
            <w:hideMark/>
          </w:tcPr>
          <w:p w14:paraId="7D38639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0,20 %</w:t>
            </w:r>
          </w:p>
        </w:tc>
        <w:tc>
          <w:tcPr>
            <w:tcW w:w="638" w:type="pct"/>
            <w:shd w:val="clear" w:color="auto" w:fill="auto"/>
            <w:noWrap/>
            <w:vAlign w:val="center"/>
            <w:hideMark/>
          </w:tcPr>
          <w:p w14:paraId="7750AB48"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0,07 %</w:t>
            </w:r>
          </w:p>
        </w:tc>
      </w:tr>
      <w:tr w:rsidR="00F24E18" w:rsidRPr="007465B2" w14:paraId="40FB9698" w14:textId="77777777" w:rsidTr="000E18B5">
        <w:trPr>
          <w:trHeight w:val="300"/>
        </w:trPr>
        <w:tc>
          <w:tcPr>
            <w:tcW w:w="2027" w:type="pct"/>
            <w:shd w:val="clear" w:color="auto" w:fill="auto"/>
            <w:vAlign w:val="center"/>
            <w:hideMark/>
          </w:tcPr>
          <w:p w14:paraId="4B30CD1A"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uprave, obrambe in socialnega zavarovanja</w:t>
            </w:r>
          </w:p>
        </w:tc>
        <w:tc>
          <w:tcPr>
            <w:tcW w:w="503" w:type="pct"/>
            <w:shd w:val="clear" w:color="auto" w:fill="auto"/>
            <w:vAlign w:val="center"/>
            <w:hideMark/>
          </w:tcPr>
          <w:p w14:paraId="2A3934FD"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75</w:t>
            </w:r>
          </w:p>
        </w:tc>
        <w:tc>
          <w:tcPr>
            <w:tcW w:w="392" w:type="pct"/>
            <w:shd w:val="clear" w:color="auto" w:fill="auto"/>
            <w:vAlign w:val="center"/>
            <w:hideMark/>
          </w:tcPr>
          <w:p w14:paraId="6FB29FE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w:t>
            </w:r>
          </w:p>
        </w:tc>
        <w:tc>
          <w:tcPr>
            <w:tcW w:w="784" w:type="pct"/>
            <w:shd w:val="clear" w:color="auto" w:fill="auto"/>
            <w:vAlign w:val="center"/>
            <w:hideMark/>
          </w:tcPr>
          <w:p w14:paraId="32AC700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2.822.400</w:t>
            </w:r>
          </w:p>
        </w:tc>
        <w:tc>
          <w:tcPr>
            <w:tcW w:w="656" w:type="pct"/>
            <w:shd w:val="clear" w:color="auto" w:fill="auto"/>
            <w:noWrap/>
            <w:vAlign w:val="center"/>
            <w:hideMark/>
          </w:tcPr>
          <w:p w14:paraId="1C51942E"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0,02 %</w:t>
            </w:r>
          </w:p>
        </w:tc>
        <w:tc>
          <w:tcPr>
            <w:tcW w:w="638" w:type="pct"/>
            <w:shd w:val="clear" w:color="auto" w:fill="auto"/>
            <w:noWrap/>
            <w:vAlign w:val="center"/>
            <w:hideMark/>
          </w:tcPr>
          <w:p w14:paraId="00AE7CE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0,06 %</w:t>
            </w:r>
          </w:p>
        </w:tc>
      </w:tr>
      <w:tr w:rsidR="00F24E18" w:rsidRPr="007465B2" w14:paraId="3529D127" w14:textId="77777777" w:rsidTr="000E18B5">
        <w:trPr>
          <w:trHeight w:val="300"/>
        </w:trPr>
        <w:tc>
          <w:tcPr>
            <w:tcW w:w="2027" w:type="pct"/>
            <w:shd w:val="clear" w:color="auto" w:fill="auto"/>
            <w:vAlign w:val="center"/>
            <w:hideMark/>
          </w:tcPr>
          <w:p w14:paraId="0ECD20C9"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povezane z industrijo nafte in zemeljskega plina</w:t>
            </w:r>
          </w:p>
        </w:tc>
        <w:tc>
          <w:tcPr>
            <w:tcW w:w="503" w:type="pct"/>
            <w:shd w:val="clear" w:color="auto" w:fill="auto"/>
            <w:vAlign w:val="center"/>
            <w:hideMark/>
          </w:tcPr>
          <w:p w14:paraId="6E6F7C9C"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76</w:t>
            </w:r>
          </w:p>
        </w:tc>
        <w:tc>
          <w:tcPr>
            <w:tcW w:w="392" w:type="pct"/>
            <w:shd w:val="clear" w:color="auto" w:fill="auto"/>
            <w:vAlign w:val="center"/>
            <w:hideMark/>
          </w:tcPr>
          <w:p w14:paraId="460C525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5</w:t>
            </w:r>
          </w:p>
        </w:tc>
        <w:tc>
          <w:tcPr>
            <w:tcW w:w="784" w:type="pct"/>
            <w:shd w:val="clear" w:color="auto" w:fill="auto"/>
            <w:vAlign w:val="center"/>
            <w:hideMark/>
          </w:tcPr>
          <w:p w14:paraId="61C00CE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1.059.074</w:t>
            </w:r>
          </w:p>
        </w:tc>
        <w:tc>
          <w:tcPr>
            <w:tcW w:w="656" w:type="pct"/>
            <w:shd w:val="clear" w:color="auto" w:fill="auto"/>
            <w:noWrap/>
            <w:vAlign w:val="center"/>
            <w:hideMark/>
          </w:tcPr>
          <w:p w14:paraId="1FBBDB5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0,04 %</w:t>
            </w:r>
          </w:p>
        </w:tc>
        <w:tc>
          <w:tcPr>
            <w:tcW w:w="638" w:type="pct"/>
            <w:shd w:val="clear" w:color="auto" w:fill="auto"/>
            <w:noWrap/>
            <w:vAlign w:val="center"/>
            <w:hideMark/>
          </w:tcPr>
          <w:p w14:paraId="04D9DE1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0,02 %</w:t>
            </w:r>
          </w:p>
        </w:tc>
      </w:tr>
      <w:tr w:rsidR="00F24E18" w:rsidRPr="007465B2" w14:paraId="51AA6A59" w14:textId="77777777" w:rsidTr="000E18B5">
        <w:trPr>
          <w:trHeight w:val="300"/>
        </w:trPr>
        <w:tc>
          <w:tcPr>
            <w:tcW w:w="2027" w:type="pct"/>
            <w:shd w:val="clear" w:color="auto" w:fill="auto"/>
            <w:vAlign w:val="center"/>
            <w:hideMark/>
          </w:tcPr>
          <w:p w14:paraId="204992D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na področju kmetijstva, gozdarstva, hortikulture, akvakulture in čebelarstva</w:t>
            </w:r>
          </w:p>
        </w:tc>
        <w:tc>
          <w:tcPr>
            <w:tcW w:w="503" w:type="pct"/>
            <w:shd w:val="clear" w:color="auto" w:fill="auto"/>
            <w:vAlign w:val="center"/>
            <w:hideMark/>
          </w:tcPr>
          <w:p w14:paraId="41943659"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77</w:t>
            </w:r>
          </w:p>
        </w:tc>
        <w:tc>
          <w:tcPr>
            <w:tcW w:w="392" w:type="pct"/>
            <w:shd w:val="clear" w:color="auto" w:fill="auto"/>
            <w:vAlign w:val="center"/>
            <w:hideMark/>
          </w:tcPr>
          <w:p w14:paraId="6DF5DD2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277</w:t>
            </w:r>
          </w:p>
        </w:tc>
        <w:tc>
          <w:tcPr>
            <w:tcW w:w="784" w:type="pct"/>
            <w:shd w:val="clear" w:color="auto" w:fill="auto"/>
            <w:vAlign w:val="center"/>
            <w:hideMark/>
          </w:tcPr>
          <w:p w14:paraId="0C3225C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103.495.658</w:t>
            </w:r>
          </w:p>
        </w:tc>
        <w:tc>
          <w:tcPr>
            <w:tcW w:w="656" w:type="pct"/>
            <w:shd w:val="clear" w:color="auto" w:fill="auto"/>
            <w:noWrap/>
            <w:vAlign w:val="center"/>
            <w:hideMark/>
          </w:tcPr>
          <w:p w14:paraId="7AE0A3B3"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1,95 %</w:t>
            </w:r>
          </w:p>
        </w:tc>
        <w:tc>
          <w:tcPr>
            <w:tcW w:w="638" w:type="pct"/>
            <w:shd w:val="clear" w:color="auto" w:fill="auto"/>
            <w:noWrap/>
            <w:vAlign w:val="center"/>
            <w:hideMark/>
          </w:tcPr>
          <w:p w14:paraId="16F50AC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2,23 %</w:t>
            </w:r>
          </w:p>
        </w:tc>
      </w:tr>
      <w:tr w:rsidR="00F24E18" w:rsidRPr="007465B2" w14:paraId="12F49DF7" w14:textId="77777777" w:rsidTr="000E18B5">
        <w:trPr>
          <w:trHeight w:val="300"/>
        </w:trPr>
        <w:tc>
          <w:tcPr>
            <w:tcW w:w="2027" w:type="pct"/>
            <w:shd w:val="clear" w:color="auto" w:fill="auto"/>
            <w:vAlign w:val="center"/>
            <w:hideMark/>
          </w:tcPr>
          <w:p w14:paraId="11BEC92D"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Poslovne storitve: pravo, trženje, svetovanje, zaposlovanje, tiskanje in varnost</w:t>
            </w:r>
          </w:p>
        </w:tc>
        <w:tc>
          <w:tcPr>
            <w:tcW w:w="503" w:type="pct"/>
            <w:shd w:val="clear" w:color="auto" w:fill="auto"/>
            <w:vAlign w:val="center"/>
            <w:hideMark/>
          </w:tcPr>
          <w:p w14:paraId="5F388BF4"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79</w:t>
            </w:r>
          </w:p>
        </w:tc>
        <w:tc>
          <w:tcPr>
            <w:tcW w:w="392" w:type="pct"/>
            <w:shd w:val="clear" w:color="auto" w:fill="auto"/>
            <w:vAlign w:val="center"/>
            <w:hideMark/>
          </w:tcPr>
          <w:p w14:paraId="175DE9D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298</w:t>
            </w:r>
          </w:p>
        </w:tc>
        <w:tc>
          <w:tcPr>
            <w:tcW w:w="784" w:type="pct"/>
            <w:shd w:val="clear" w:color="auto" w:fill="auto"/>
            <w:vAlign w:val="center"/>
            <w:hideMark/>
          </w:tcPr>
          <w:p w14:paraId="08E144B6"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71.974.748</w:t>
            </w:r>
          </w:p>
        </w:tc>
        <w:tc>
          <w:tcPr>
            <w:tcW w:w="656" w:type="pct"/>
            <w:shd w:val="clear" w:color="auto" w:fill="auto"/>
            <w:noWrap/>
            <w:vAlign w:val="center"/>
            <w:hideMark/>
          </w:tcPr>
          <w:p w14:paraId="4515BEE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2,10 %</w:t>
            </w:r>
          </w:p>
        </w:tc>
        <w:tc>
          <w:tcPr>
            <w:tcW w:w="638" w:type="pct"/>
            <w:shd w:val="clear" w:color="auto" w:fill="auto"/>
            <w:noWrap/>
            <w:vAlign w:val="center"/>
            <w:hideMark/>
          </w:tcPr>
          <w:p w14:paraId="6E49740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1,55 %</w:t>
            </w:r>
          </w:p>
        </w:tc>
      </w:tr>
      <w:tr w:rsidR="00F24E18" w:rsidRPr="007465B2" w14:paraId="26F029EB" w14:textId="77777777" w:rsidTr="000E18B5">
        <w:trPr>
          <w:trHeight w:val="300"/>
        </w:trPr>
        <w:tc>
          <w:tcPr>
            <w:tcW w:w="2027" w:type="pct"/>
            <w:shd w:val="clear" w:color="auto" w:fill="auto"/>
            <w:vAlign w:val="center"/>
            <w:hideMark/>
          </w:tcPr>
          <w:p w14:paraId="4D5CBE68"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izobraževanja in usposabljanja</w:t>
            </w:r>
          </w:p>
        </w:tc>
        <w:tc>
          <w:tcPr>
            <w:tcW w:w="503" w:type="pct"/>
            <w:shd w:val="clear" w:color="auto" w:fill="auto"/>
            <w:vAlign w:val="center"/>
            <w:hideMark/>
          </w:tcPr>
          <w:p w14:paraId="7A018607"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80</w:t>
            </w:r>
          </w:p>
        </w:tc>
        <w:tc>
          <w:tcPr>
            <w:tcW w:w="392" w:type="pct"/>
            <w:shd w:val="clear" w:color="auto" w:fill="auto"/>
            <w:vAlign w:val="center"/>
            <w:hideMark/>
          </w:tcPr>
          <w:p w14:paraId="277FAA1D"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10</w:t>
            </w:r>
          </w:p>
        </w:tc>
        <w:tc>
          <w:tcPr>
            <w:tcW w:w="784" w:type="pct"/>
            <w:shd w:val="clear" w:color="auto" w:fill="auto"/>
            <w:vAlign w:val="center"/>
            <w:hideMark/>
          </w:tcPr>
          <w:p w14:paraId="67ADDFD7"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1.827.069</w:t>
            </w:r>
          </w:p>
        </w:tc>
        <w:tc>
          <w:tcPr>
            <w:tcW w:w="656" w:type="pct"/>
            <w:shd w:val="clear" w:color="auto" w:fill="auto"/>
            <w:noWrap/>
            <w:vAlign w:val="center"/>
            <w:hideMark/>
          </w:tcPr>
          <w:p w14:paraId="14713BF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0,07 %</w:t>
            </w:r>
          </w:p>
        </w:tc>
        <w:tc>
          <w:tcPr>
            <w:tcW w:w="638" w:type="pct"/>
            <w:shd w:val="clear" w:color="auto" w:fill="auto"/>
            <w:noWrap/>
            <w:vAlign w:val="center"/>
            <w:hideMark/>
          </w:tcPr>
          <w:p w14:paraId="5716F635"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0,04 %</w:t>
            </w:r>
          </w:p>
        </w:tc>
      </w:tr>
      <w:tr w:rsidR="00F24E18" w:rsidRPr="007465B2" w14:paraId="45FE6287" w14:textId="77777777" w:rsidTr="000E18B5">
        <w:trPr>
          <w:trHeight w:val="300"/>
        </w:trPr>
        <w:tc>
          <w:tcPr>
            <w:tcW w:w="2027" w:type="pct"/>
            <w:shd w:val="clear" w:color="auto" w:fill="auto"/>
            <w:vAlign w:val="center"/>
            <w:hideMark/>
          </w:tcPr>
          <w:p w14:paraId="6684EDF7"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na področju zdravstva in socialnega varstva</w:t>
            </w:r>
          </w:p>
        </w:tc>
        <w:tc>
          <w:tcPr>
            <w:tcW w:w="503" w:type="pct"/>
            <w:shd w:val="clear" w:color="auto" w:fill="auto"/>
            <w:vAlign w:val="center"/>
            <w:hideMark/>
          </w:tcPr>
          <w:p w14:paraId="14AA1585"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85</w:t>
            </w:r>
          </w:p>
        </w:tc>
        <w:tc>
          <w:tcPr>
            <w:tcW w:w="392" w:type="pct"/>
            <w:shd w:val="clear" w:color="auto" w:fill="auto"/>
            <w:vAlign w:val="center"/>
            <w:hideMark/>
          </w:tcPr>
          <w:p w14:paraId="5C083B4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90</w:t>
            </w:r>
          </w:p>
        </w:tc>
        <w:tc>
          <w:tcPr>
            <w:tcW w:w="784" w:type="pct"/>
            <w:shd w:val="clear" w:color="auto" w:fill="auto"/>
            <w:vAlign w:val="center"/>
            <w:hideMark/>
          </w:tcPr>
          <w:p w14:paraId="42D7C45A"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25.744.958</w:t>
            </w:r>
          </w:p>
        </w:tc>
        <w:tc>
          <w:tcPr>
            <w:tcW w:w="656" w:type="pct"/>
            <w:shd w:val="clear" w:color="auto" w:fill="auto"/>
            <w:noWrap/>
            <w:vAlign w:val="center"/>
            <w:hideMark/>
          </w:tcPr>
          <w:p w14:paraId="6A94803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0,63 %</w:t>
            </w:r>
          </w:p>
        </w:tc>
        <w:tc>
          <w:tcPr>
            <w:tcW w:w="638" w:type="pct"/>
            <w:shd w:val="clear" w:color="auto" w:fill="auto"/>
            <w:noWrap/>
            <w:vAlign w:val="center"/>
            <w:hideMark/>
          </w:tcPr>
          <w:p w14:paraId="5E06CD49"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0,56 %</w:t>
            </w:r>
          </w:p>
        </w:tc>
      </w:tr>
      <w:tr w:rsidR="00F24E18" w:rsidRPr="007465B2" w14:paraId="720E17F6" w14:textId="77777777" w:rsidTr="000E18B5">
        <w:trPr>
          <w:trHeight w:val="300"/>
        </w:trPr>
        <w:tc>
          <w:tcPr>
            <w:tcW w:w="2027" w:type="pct"/>
            <w:shd w:val="clear" w:color="auto" w:fill="auto"/>
            <w:vAlign w:val="center"/>
            <w:hideMark/>
          </w:tcPr>
          <w:p w14:paraId="4B16BC4B"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lastRenderedPageBreak/>
              <w:t>Storitve v zvezi z odplakami, odpadki, čiščenjem in okoljem</w:t>
            </w:r>
          </w:p>
        </w:tc>
        <w:tc>
          <w:tcPr>
            <w:tcW w:w="503" w:type="pct"/>
            <w:shd w:val="clear" w:color="auto" w:fill="auto"/>
            <w:vAlign w:val="center"/>
            <w:hideMark/>
          </w:tcPr>
          <w:p w14:paraId="42426EA0"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90</w:t>
            </w:r>
          </w:p>
        </w:tc>
        <w:tc>
          <w:tcPr>
            <w:tcW w:w="392" w:type="pct"/>
            <w:shd w:val="clear" w:color="auto" w:fill="auto"/>
            <w:vAlign w:val="center"/>
            <w:hideMark/>
          </w:tcPr>
          <w:p w14:paraId="099AC0C0"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656</w:t>
            </w:r>
          </w:p>
        </w:tc>
        <w:tc>
          <w:tcPr>
            <w:tcW w:w="784" w:type="pct"/>
            <w:shd w:val="clear" w:color="auto" w:fill="auto"/>
            <w:vAlign w:val="center"/>
            <w:hideMark/>
          </w:tcPr>
          <w:p w14:paraId="10E14A50"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133.223.244</w:t>
            </w:r>
          </w:p>
        </w:tc>
        <w:tc>
          <w:tcPr>
            <w:tcW w:w="656" w:type="pct"/>
            <w:shd w:val="clear" w:color="auto" w:fill="auto"/>
            <w:noWrap/>
            <w:vAlign w:val="center"/>
            <w:hideMark/>
          </w:tcPr>
          <w:p w14:paraId="2DEC9A42"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4,63 %</w:t>
            </w:r>
          </w:p>
        </w:tc>
        <w:tc>
          <w:tcPr>
            <w:tcW w:w="638" w:type="pct"/>
            <w:shd w:val="clear" w:color="auto" w:fill="auto"/>
            <w:noWrap/>
            <w:vAlign w:val="center"/>
            <w:hideMark/>
          </w:tcPr>
          <w:p w14:paraId="68E69C7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2,87 %</w:t>
            </w:r>
          </w:p>
        </w:tc>
      </w:tr>
      <w:tr w:rsidR="00F24E18" w:rsidRPr="007465B2" w14:paraId="3B85BA14" w14:textId="77777777" w:rsidTr="000E18B5">
        <w:trPr>
          <w:trHeight w:val="300"/>
        </w:trPr>
        <w:tc>
          <w:tcPr>
            <w:tcW w:w="2027" w:type="pct"/>
            <w:shd w:val="clear" w:color="auto" w:fill="auto"/>
            <w:vAlign w:val="center"/>
            <w:hideMark/>
          </w:tcPr>
          <w:p w14:paraId="21BA2D2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Storitve na področju rekreacije, kulture in športa</w:t>
            </w:r>
          </w:p>
        </w:tc>
        <w:tc>
          <w:tcPr>
            <w:tcW w:w="503" w:type="pct"/>
            <w:shd w:val="clear" w:color="auto" w:fill="auto"/>
            <w:vAlign w:val="center"/>
            <w:hideMark/>
          </w:tcPr>
          <w:p w14:paraId="7E641E71"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92</w:t>
            </w:r>
          </w:p>
        </w:tc>
        <w:tc>
          <w:tcPr>
            <w:tcW w:w="392" w:type="pct"/>
            <w:shd w:val="clear" w:color="auto" w:fill="auto"/>
            <w:vAlign w:val="center"/>
            <w:hideMark/>
          </w:tcPr>
          <w:p w14:paraId="61F0C1FF"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33</w:t>
            </w:r>
          </w:p>
        </w:tc>
        <w:tc>
          <w:tcPr>
            <w:tcW w:w="784" w:type="pct"/>
            <w:shd w:val="clear" w:color="auto" w:fill="auto"/>
            <w:vAlign w:val="center"/>
            <w:hideMark/>
          </w:tcPr>
          <w:p w14:paraId="6C4F31A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5.798.099</w:t>
            </w:r>
          </w:p>
        </w:tc>
        <w:tc>
          <w:tcPr>
            <w:tcW w:w="656" w:type="pct"/>
            <w:shd w:val="clear" w:color="auto" w:fill="auto"/>
            <w:noWrap/>
            <w:vAlign w:val="center"/>
            <w:hideMark/>
          </w:tcPr>
          <w:p w14:paraId="35316BC0"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0,23 %</w:t>
            </w:r>
          </w:p>
        </w:tc>
        <w:tc>
          <w:tcPr>
            <w:tcW w:w="638" w:type="pct"/>
            <w:shd w:val="clear" w:color="auto" w:fill="auto"/>
            <w:noWrap/>
            <w:vAlign w:val="center"/>
            <w:hideMark/>
          </w:tcPr>
          <w:p w14:paraId="43FF7DB1"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0,13 %</w:t>
            </w:r>
          </w:p>
        </w:tc>
      </w:tr>
      <w:tr w:rsidR="00F24E18" w:rsidRPr="007465B2" w14:paraId="6BAFE3AF" w14:textId="77777777" w:rsidTr="000E18B5">
        <w:trPr>
          <w:trHeight w:val="300"/>
        </w:trPr>
        <w:tc>
          <w:tcPr>
            <w:tcW w:w="2027" w:type="pct"/>
            <w:shd w:val="clear" w:color="auto" w:fill="auto"/>
            <w:vAlign w:val="center"/>
            <w:hideMark/>
          </w:tcPr>
          <w:p w14:paraId="144075B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Druge javne, skupne in osebne storitve</w:t>
            </w:r>
          </w:p>
        </w:tc>
        <w:tc>
          <w:tcPr>
            <w:tcW w:w="503" w:type="pct"/>
            <w:shd w:val="clear" w:color="auto" w:fill="auto"/>
            <w:vAlign w:val="center"/>
            <w:hideMark/>
          </w:tcPr>
          <w:p w14:paraId="07F1EA1F" w14:textId="77777777" w:rsidR="00F24E18" w:rsidRPr="007465B2" w:rsidRDefault="00F24E18" w:rsidP="000E18B5">
            <w:pPr>
              <w:spacing w:after="0" w:line="240" w:lineRule="auto"/>
              <w:rPr>
                <w:rFonts w:ascii="Arial" w:eastAsia="Times New Roman" w:hAnsi="Arial" w:cs="Arial"/>
                <w:color w:val="000000"/>
                <w:sz w:val="18"/>
                <w:szCs w:val="18"/>
                <w:lang w:eastAsia="sl-SI"/>
              </w:rPr>
            </w:pPr>
            <w:r w:rsidRPr="007465B2">
              <w:rPr>
                <w:rFonts w:ascii="Arial" w:eastAsia="Times New Roman" w:hAnsi="Arial" w:cs="Arial"/>
                <w:color w:val="000000"/>
                <w:sz w:val="18"/>
                <w:szCs w:val="18"/>
                <w:lang w:eastAsia="sl-SI"/>
              </w:rPr>
              <w:t>98</w:t>
            </w:r>
          </w:p>
        </w:tc>
        <w:tc>
          <w:tcPr>
            <w:tcW w:w="392" w:type="pct"/>
            <w:shd w:val="clear" w:color="auto" w:fill="auto"/>
            <w:vAlign w:val="center"/>
            <w:hideMark/>
          </w:tcPr>
          <w:p w14:paraId="66AF508C"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56</w:t>
            </w:r>
          </w:p>
        </w:tc>
        <w:tc>
          <w:tcPr>
            <w:tcW w:w="784" w:type="pct"/>
            <w:shd w:val="clear" w:color="auto" w:fill="auto"/>
            <w:vAlign w:val="center"/>
            <w:hideMark/>
          </w:tcPr>
          <w:p w14:paraId="6EB1E7EB"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15.868.462</w:t>
            </w:r>
          </w:p>
        </w:tc>
        <w:tc>
          <w:tcPr>
            <w:tcW w:w="656" w:type="pct"/>
            <w:shd w:val="clear" w:color="auto" w:fill="auto"/>
            <w:noWrap/>
            <w:vAlign w:val="center"/>
            <w:hideMark/>
          </w:tcPr>
          <w:p w14:paraId="3A1B1324"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0,40 %</w:t>
            </w:r>
          </w:p>
        </w:tc>
        <w:tc>
          <w:tcPr>
            <w:tcW w:w="638" w:type="pct"/>
            <w:shd w:val="clear" w:color="auto" w:fill="auto"/>
            <w:noWrap/>
            <w:vAlign w:val="center"/>
            <w:hideMark/>
          </w:tcPr>
          <w:p w14:paraId="3BBA0DCA" w14:textId="77777777" w:rsidR="00F24E18" w:rsidRPr="007465B2" w:rsidRDefault="00F24E18" w:rsidP="000E18B5">
            <w:pPr>
              <w:spacing w:after="0" w:line="240" w:lineRule="auto"/>
              <w:jc w:val="right"/>
              <w:rPr>
                <w:rFonts w:ascii="Arial" w:eastAsia="Times New Roman" w:hAnsi="Arial" w:cs="Arial"/>
                <w:color w:val="000000"/>
                <w:sz w:val="18"/>
                <w:szCs w:val="18"/>
                <w:lang w:eastAsia="sl-SI"/>
              </w:rPr>
            </w:pPr>
            <w:r w:rsidRPr="007465B2">
              <w:rPr>
                <w:rFonts w:ascii="Arial" w:hAnsi="Arial" w:cs="Arial"/>
                <w:color w:val="000000"/>
                <w:sz w:val="18"/>
                <w:szCs w:val="18"/>
              </w:rPr>
              <w:t>0,34 %</w:t>
            </w:r>
          </w:p>
        </w:tc>
      </w:tr>
      <w:tr w:rsidR="00F24E18" w:rsidRPr="007465B2" w14:paraId="675224D0" w14:textId="77777777" w:rsidTr="000E18B5">
        <w:trPr>
          <w:trHeight w:val="300"/>
        </w:trPr>
        <w:tc>
          <w:tcPr>
            <w:tcW w:w="2530" w:type="pct"/>
            <w:gridSpan w:val="2"/>
            <w:shd w:val="clear" w:color="auto" w:fill="F2F2F2" w:themeFill="background1" w:themeFillShade="F2"/>
            <w:noWrap/>
            <w:vAlign w:val="center"/>
            <w:hideMark/>
          </w:tcPr>
          <w:p w14:paraId="55BEA097" w14:textId="77777777" w:rsidR="00F24E18" w:rsidRPr="007465B2" w:rsidRDefault="00F24E18" w:rsidP="000E18B5">
            <w:pPr>
              <w:spacing w:after="0" w:line="240" w:lineRule="auto"/>
              <w:rPr>
                <w:rFonts w:ascii="Arial" w:eastAsia="Times New Roman" w:hAnsi="Arial" w:cs="Arial"/>
                <w:b/>
                <w:bCs/>
                <w:color w:val="000000"/>
                <w:sz w:val="18"/>
                <w:szCs w:val="18"/>
                <w:lang w:eastAsia="sl-SI"/>
              </w:rPr>
            </w:pPr>
            <w:r w:rsidRPr="007465B2">
              <w:rPr>
                <w:rFonts w:ascii="Arial" w:eastAsia="Times New Roman" w:hAnsi="Arial" w:cs="Arial"/>
                <w:b/>
                <w:bCs/>
                <w:color w:val="000000"/>
                <w:sz w:val="18"/>
                <w:szCs w:val="18"/>
                <w:lang w:eastAsia="sl-SI"/>
              </w:rPr>
              <w:t>Skupaj</w:t>
            </w:r>
          </w:p>
        </w:tc>
        <w:tc>
          <w:tcPr>
            <w:tcW w:w="392" w:type="pct"/>
            <w:shd w:val="clear" w:color="auto" w:fill="F2F2F2" w:themeFill="background1" w:themeFillShade="F2"/>
            <w:noWrap/>
            <w:vAlign w:val="center"/>
            <w:hideMark/>
          </w:tcPr>
          <w:p w14:paraId="0D23AFFA" w14:textId="77777777" w:rsidR="00F24E18" w:rsidRPr="007465B2" w:rsidRDefault="00F24E18" w:rsidP="000E18B5">
            <w:pPr>
              <w:spacing w:after="0" w:line="240" w:lineRule="auto"/>
              <w:jc w:val="right"/>
              <w:rPr>
                <w:rFonts w:ascii="Arial" w:eastAsia="Times New Roman" w:hAnsi="Arial" w:cs="Arial"/>
                <w:b/>
                <w:bCs/>
                <w:color w:val="000000"/>
                <w:sz w:val="18"/>
                <w:szCs w:val="18"/>
                <w:lang w:eastAsia="sl-SI"/>
              </w:rPr>
            </w:pPr>
            <w:r w:rsidRPr="007465B2">
              <w:rPr>
                <w:rFonts w:ascii="Arial" w:hAnsi="Arial" w:cs="Arial"/>
                <w:b/>
                <w:bCs/>
                <w:color w:val="000000"/>
                <w:sz w:val="18"/>
                <w:szCs w:val="18"/>
              </w:rPr>
              <w:t>14.174</w:t>
            </w:r>
          </w:p>
        </w:tc>
        <w:tc>
          <w:tcPr>
            <w:tcW w:w="784" w:type="pct"/>
            <w:shd w:val="clear" w:color="auto" w:fill="F2F2F2" w:themeFill="background1" w:themeFillShade="F2"/>
            <w:noWrap/>
            <w:vAlign w:val="center"/>
            <w:hideMark/>
          </w:tcPr>
          <w:p w14:paraId="2D22CB9C" w14:textId="77777777" w:rsidR="00F24E18" w:rsidRPr="007465B2" w:rsidRDefault="00F24E18" w:rsidP="000E18B5">
            <w:pPr>
              <w:spacing w:after="0" w:line="240" w:lineRule="auto"/>
              <w:jc w:val="right"/>
              <w:rPr>
                <w:rFonts w:ascii="Arial" w:eastAsia="Times New Roman" w:hAnsi="Arial" w:cs="Arial"/>
                <w:b/>
                <w:bCs/>
                <w:color w:val="000000"/>
                <w:sz w:val="18"/>
                <w:szCs w:val="18"/>
                <w:lang w:eastAsia="sl-SI"/>
              </w:rPr>
            </w:pPr>
            <w:r w:rsidRPr="007465B2">
              <w:rPr>
                <w:rFonts w:ascii="Arial" w:hAnsi="Arial" w:cs="Arial"/>
                <w:b/>
                <w:bCs/>
                <w:color w:val="000000"/>
                <w:sz w:val="18"/>
                <w:szCs w:val="18"/>
              </w:rPr>
              <w:t>4.636.391.304</w:t>
            </w:r>
          </w:p>
        </w:tc>
        <w:tc>
          <w:tcPr>
            <w:tcW w:w="656" w:type="pct"/>
            <w:shd w:val="clear" w:color="auto" w:fill="F2F2F2" w:themeFill="background1" w:themeFillShade="F2"/>
            <w:noWrap/>
            <w:vAlign w:val="center"/>
            <w:hideMark/>
          </w:tcPr>
          <w:p w14:paraId="2AE9E595" w14:textId="77777777" w:rsidR="00F24E18" w:rsidRPr="007465B2" w:rsidRDefault="00F24E18" w:rsidP="000E18B5">
            <w:pPr>
              <w:spacing w:after="0" w:line="240" w:lineRule="auto"/>
              <w:jc w:val="right"/>
              <w:rPr>
                <w:rFonts w:ascii="Arial" w:eastAsia="Times New Roman" w:hAnsi="Arial" w:cs="Arial"/>
                <w:b/>
                <w:bCs/>
                <w:color w:val="000000"/>
                <w:sz w:val="18"/>
                <w:szCs w:val="18"/>
                <w:lang w:eastAsia="sl-SI"/>
              </w:rPr>
            </w:pPr>
            <w:r w:rsidRPr="007465B2">
              <w:rPr>
                <w:rFonts w:ascii="Arial" w:eastAsia="Times New Roman" w:hAnsi="Arial" w:cs="Arial"/>
                <w:b/>
                <w:bCs/>
                <w:color w:val="000000"/>
                <w:sz w:val="18"/>
                <w:szCs w:val="18"/>
                <w:lang w:eastAsia="sl-SI"/>
              </w:rPr>
              <w:t>100,00  %</w:t>
            </w:r>
          </w:p>
        </w:tc>
        <w:tc>
          <w:tcPr>
            <w:tcW w:w="638" w:type="pct"/>
            <w:shd w:val="clear" w:color="auto" w:fill="F2F2F2" w:themeFill="background1" w:themeFillShade="F2"/>
            <w:noWrap/>
            <w:vAlign w:val="center"/>
            <w:hideMark/>
          </w:tcPr>
          <w:p w14:paraId="6A194AA9" w14:textId="77777777" w:rsidR="00F24E18" w:rsidRPr="007465B2" w:rsidRDefault="00F24E18" w:rsidP="000E18B5">
            <w:pPr>
              <w:spacing w:after="0" w:line="240" w:lineRule="auto"/>
              <w:jc w:val="right"/>
              <w:rPr>
                <w:rFonts w:ascii="Arial" w:eastAsia="Times New Roman" w:hAnsi="Arial" w:cs="Arial"/>
                <w:b/>
                <w:bCs/>
                <w:color w:val="000000"/>
                <w:sz w:val="18"/>
                <w:szCs w:val="18"/>
                <w:lang w:eastAsia="sl-SI"/>
              </w:rPr>
            </w:pPr>
            <w:r w:rsidRPr="007465B2">
              <w:rPr>
                <w:rFonts w:ascii="Arial" w:eastAsia="Times New Roman" w:hAnsi="Arial" w:cs="Arial"/>
                <w:b/>
                <w:bCs/>
                <w:color w:val="000000"/>
                <w:sz w:val="18"/>
                <w:szCs w:val="18"/>
                <w:lang w:eastAsia="sl-SI"/>
              </w:rPr>
              <w:t>100,00  %</w:t>
            </w:r>
          </w:p>
        </w:tc>
      </w:tr>
    </w:tbl>
    <w:p w14:paraId="555B1D39" w14:textId="77777777" w:rsidR="00F24E18" w:rsidRPr="00242E41" w:rsidRDefault="00F24E18" w:rsidP="00F24E18">
      <w:pPr>
        <w:spacing w:after="0" w:line="240" w:lineRule="auto"/>
        <w:jc w:val="both"/>
        <w:rPr>
          <w:rFonts w:ascii="Arial" w:hAnsi="Arial" w:cs="Arial"/>
          <w:sz w:val="20"/>
          <w:highlight w:val="yellow"/>
        </w:rPr>
      </w:pPr>
    </w:p>
    <w:p w14:paraId="237CEF7F" w14:textId="77777777" w:rsidR="00F24E18" w:rsidRPr="00F858FD" w:rsidRDefault="00F24E18" w:rsidP="00F24E18">
      <w:pPr>
        <w:spacing w:before="120" w:after="0" w:line="240" w:lineRule="auto"/>
        <w:jc w:val="both"/>
        <w:rPr>
          <w:rFonts w:ascii="Arial" w:hAnsi="Arial" w:cs="Arial"/>
          <w:sz w:val="20"/>
        </w:rPr>
      </w:pPr>
      <w:r w:rsidRPr="00F858FD">
        <w:rPr>
          <w:rFonts w:ascii="Arial" w:hAnsi="Arial" w:cs="Arial"/>
          <w:sz w:val="20"/>
        </w:rPr>
        <w:t>Preglednica 74: Javna naročila na infrastrukturnem področju, glede na predmet naročanja po Enotnem besednjaku javnih naročil (CPV)</w:t>
      </w:r>
    </w:p>
    <w:p w14:paraId="0AFCA22C" w14:textId="77777777" w:rsidR="00F24E18" w:rsidRPr="00242E41" w:rsidRDefault="00F24E18" w:rsidP="00F24E18">
      <w:pPr>
        <w:spacing w:after="0" w:line="240" w:lineRule="auto"/>
        <w:jc w:val="both"/>
        <w:rPr>
          <w:rFonts w:ascii="Arial" w:hAnsi="Arial" w:cs="Arial"/>
          <w:sz w:val="20"/>
          <w:highlight w:val="yellow"/>
        </w:rPr>
      </w:pPr>
    </w:p>
    <w:tbl>
      <w:tblPr>
        <w:tblW w:w="5000" w:type="pct"/>
        <w:tblLayout w:type="fixed"/>
        <w:tblCellMar>
          <w:left w:w="70" w:type="dxa"/>
          <w:right w:w="70" w:type="dxa"/>
        </w:tblCellMar>
        <w:tblLook w:val="04A0" w:firstRow="1" w:lastRow="0" w:firstColumn="1" w:lastColumn="0" w:noHBand="0" w:noVBand="1"/>
      </w:tblPr>
      <w:tblGrid>
        <w:gridCol w:w="3681"/>
        <w:gridCol w:w="993"/>
        <w:gridCol w:w="708"/>
        <w:gridCol w:w="1416"/>
        <w:gridCol w:w="1136"/>
        <w:gridCol w:w="1240"/>
      </w:tblGrid>
      <w:tr w:rsidR="00F24E18" w:rsidRPr="00F858FD" w14:paraId="2B25A037" w14:textId="77777777" w:rsidTr="000E18B5">
        <w:trPr>
          <w:trHeight w:val="480"/>
          <w:tblHeader/>
        </w:trPr>
        <w:tc>
          <w:tcPr>
            <w:tcW w:w="200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8E62CF5"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Opis CPV oddelka</w:t>
            </w:r>
          </w:p>
        </w:tc>
        <w:tc>
          <w:tcPr>
            <w:tcW w:w="541" w:type="pct"/>
            <w:tcBorders>
              <w:top w:val="single" w:sz="4" w:space="0" w:color="auto"/>
              <w:left w:val="nil"/>
              <w:bottom w:val="single" w:sz="4" w:space="0" w:color="auto"/>
              <w:right w:val="single" w:sz="4" w:space="0" w:color="auto"/>
            </w:tcBorders>
            <w:shd w:val="clear" w:color="000000" w:fill="F2F2F2"/>
            <w:vAlign w:val="center"/>
            <w:hideMark/>
          </w:tcPr>
          <w:p w14:paraId="5157649B"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CPV oddelek</w:t>
            </w:r>
          </w:p>
        </w:tc>
        <w:tc>
          <w:tcPr>
            <w:tcW w:w="386" w:type="pct"/>
            <w:tcBorders>
              <w:top w:val="single" w:sz="4" w:space="0" w:color="auto"/>
              <w:left w:val="nil"/>
              <w:bottom w:val="single" w:sz="4" w:space="0" w:color="auto"/>
              <w:right w:val="single" w:sz="4" w:space="0" w:color="auto"/>
            </w:tcBorders>
            <w:shd w:val="clear" w:color="000000" w:fill="F2F2F2"/>
            <w:vAlign w:val="center"/>
            <w:hideMark/>
          </w:tcPr>
          <w:p w14:paraId="20BB7197"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Št. naročil</w:t>
            </w:r>
          </w:p>
        </w:tc>
        <w:tc>
          <w:tcPr>
            <w:tcW w:w="772" w:type="pct"/>
            <w:tcBorders>
              <w:top w:val="single" w:sz="4" w:space="0" w:color="auto"/>
              <w:left w:val="nil"/>
              <w:bottom w:val="single" w:sz="4" w:space="0" w:color="auto"/>
              <w:right w:val="single" w:sz="4" w:space="0" w:color="auto"/>
            </w:tcBorders>
            <w:shd w:val="clear" w:color="000000" w:fill="F2F2F2"/>
            <w:vAlign w:val="center"/>
            <w:hideMark/>
          </w:tcPr>
          <w:p w14:paraId="52017B2E"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Pogodbena vrednost</w:t>
            </w:r>
          </w:p>
        </w:tc>
        <w:tc>
          <w:tcPr>
            <w:tcW w:w="619" w:type="pct"/>
            <w:tcBorders>
              <w:top w:val="single" w:sz="4" w:space="0" w:color="auto"/>
              <w:left w:val="nil"/>
              <w:bottom w:val="single" w:sz="4" w:space="0" w:color="auto"/>
              <w:right w:val="single" w:sz="4" w:space="0" w:color="auto"/>
            </w:tcBorders>
            <w:shd w:val="clear" w:color="000000" w:fill="F2F2F2"/>
            <w:vAlign w:val="center"/>
            <w:hideMark/>
          </w:tcPr>
          <w:p w14:paraId="1DDF7EF0"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Delež v št. naročil</w:t>
            </w:r>
          </w:p>
        </w:tc>
        <w:tc>
          <w:tcPr>
            <w:tcW w:w="676" w:type="pct"/>
            <w:tcBorders>
              <w:top w:val="single" w:sz="4" w:space="0" w:color="auto"/>
              <w:left w:val="nil"/>
              <w:bottom w:val="single" w:sz="4" w:space="0" w:color="auto"/>
              <w:right w:val="single" w:sz="4" w:space="0" w:color="auto"/>
            </w:tcBorders>
            <w:shd w:val="clear" w:color="000000" w:fill="F2F2F2"/>
            <w:vAlign w:val="center"/>
            <w:hideMark/>
          </w:tcPr>
          <w:p w14:paraId="22156DE5"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Delež v vrednosti</w:t>
            </w:r>
          </w:p>
        </w:tc>
      </w:tr>
      <w:tr w:rsidR="00F24E18" w:rsidRPr="00F858FD" w14:paraId="1E8C2295"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5D803665"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Kmetijski, ribiški, gozdarski in z njimi povezani proizvodi</w:t>
            </w:r>
          </w:p>
        </w:tc>
        <w:tc>
          <w:tcPr>
            <w:tcW w:w="541" w:type="pct"/>
            <w:tcBorders>
              <w:top w:val="nil"/>
              <w:left w:val="nil"/>
              <w:bottom w:val="single" w:sz="4" w:space="0" w:color="auto"/>
              <w:right w:val="single" w:sz="4" w:space="0" w:color="auto"/>
            </w:tcBorders>
            <w:shd w:val="clear" w:color="auto" w:fill="auto"/>
            <w:noWrap/>
            <w:vAlign w:val="center"/>
            <w:hideMark/>
          </w:tcPr>
          <w:p w14:paraId="1AB3A76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03</w:t>
            </w:r>
          </w:p>
        </w:tc>
        <w:tc>
          <w:tcPr>
            <w:tcW w:w="386" w:type="pct"/>
            <w:tcBorders>
              <w:top w:val="nil"/>
              <w:left w:val="nil"/>
              <w:bottom w:val="single" w:sz="4" w:space="0" w:color="auto"/>
              <w:right w:val="single" w:sz="4" w:space="0" w:color="auto"/>
            </w:tcBorders>
            <w:shd w:val="clear" w:color="auto" w:fill="auto"/>
            <w:noWrap/>
            <w:vAlign w:val="center"/>
            <w:hideMark/>
          </w:tcPr>
          <w:p w14:paraId="792A8ED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772" w:type="pct"/>
            <w:tcBorders>
              <w:top w:val="nil"/>
              <w:left w:val="nil"/>
              <w:bottom w:val="single" w:sz="4" w:space="0" w:color="auto"/>
              <w:right w:val="single" w:sz="4" w:space="0" w:color="auto"/>
            </w:tcBorders>
            <w:shd w:val="clear" w:color="auto" w:fill="auto"/>
            <w:noWrap/>
            <w:vAlign w:val="center"/>
            <w:hideMark/>
          </w:tcPr>
          <w:p w14:paraId="70B66ED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99.000</w:t>
            </w:r>
          </w:p>
        </w:tc>
        <w:tc>
          <w:tcPr>
            <w:tcW w:w="619" w:type="pct"/>
            <w:tcBorders>
              <w:top w:val="nil"/>
              <w:left w:val="nil"/>
              <w:bottom w:val="single" w:sz="4" w:space="0" w:color="auto"/>
              <w:right w:val="single" w:sz="4" w:space="0" w:color="auto"/>
            </w:tcBorders>
            <w:shd w:val="clear" w:color="auto" w:fill="auto"/>
            <w:noWrap/>
            <w:vAlign w:val="center"/>
            <w:hideMark/>
          </w:tcPr>
          <w:p w14:paraId="21C7633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0,04 %</w:t>
            </w:r>
          </w:p>
        </w:tc>
        <w:tc>
          <w:tcPr>
            <w:tcW w:w="676" w:type="pct"/>
            <w:tcBorders>
              <w:top w:val="nil"/>
              <w:left w:val="nil"/>
              <w:bottom w:val="single" w:sz="4" w:space="0" w:color="auto"/>
              <w:right w:val="single" w:sz="4" w:space="0" w:color="auto"/>
            </w:tcBorders>
            <w:shd w:val="clear" w:color="auto" w:fill="auto"/>
            <w:noWrap/>
            <w:vAlign w:val="center"/>
            <w:hideMark/>
          </w:tcPr>
          <w:p w14:paraId="7935C32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0,01 %</w:t>
            </w:r>
          </w:p>
        </w:tc>
      </w:tr>
      <w:tr w:rsidR="00F24E18" w:rsidRPr="00F858FD" w14:paraId="3B3F361E"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1177431"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Naftni derivati, goriva, električna energija in drugi viri energije</w:t>
            </w:r>
          </w:p>
        </w:tc>
        <w:tc>
          <w:tcPr>
            <w:tcW w:w="541" w:type="pct"/>
            <w:tcBorders>
              <w:top w:val="nil"/>
              <w:left w:val="nil"/>
              <w:bottom w:val="single" w:sz="4" w:space="0" w:color="auto"/>
              <w:right w:val="single" w:sz="4" w:space="0" w:color="auto"/>
            </w:tcBorders>
            <w:shd w:val="clear" w:color="auto" w:fill="auto"/>
            <w:noWrap/>
            <w:vAlign w:val="center"/>
            <w:hideMark/>
          </w:tcPr>
          <w:p w14:paraId="7BD128E7"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09</w:t>
            </w:r>
          </w:p>
        </w:tc>
        <w:tc>
          <w:tcPr>
            <w:tcW w:w="386" w:type="pct"/>
            <w:tcBorders>
              <w:top w:val="nil"/>
              <w:left w:val="nil"/>
              <w:bottom w:val="single" w:sz="4" w:space="0" w:color="auto"/>
              <w:right w:val="single" w:sz="4" w:space="0" w:color="auto"/>
            </w:tcBorders>
            <w:shd w:val="clear" w:color="auto" w:fill="auto"/>
            <w:noWrap/>
            <w:vAlign w:val="center"/>
            <w:hideMark/>
          </w:tcPr>
          <w:p w14:paraId="221B337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86</w:t>
            </w:r>
          </w:p>
        </w:tc>
        <w:tc>
          <w:tcPr>
            <w:tcW w:w="772" w:type="pct"/>
            <w:tcBorders>
              <w:top w:val="nil"/>
              <w:left w:val="nil"/>
              <w:bottom w:val="single" w:sz="4" w:space="0" w:color="auto"/>
              <w:right w:val="single" w:sz="4" w:space="0" w:color="auto"/>
            </w:tcBorders>
            <w:shd w:val="clear" w:color="auto" w:fill="auto"/>
            <w:noWrap/>
            <w:vAlign w:val="center"/>
            <w:hideMark/>
          </w:tcPr>
          <w:p w14:paraId="0891F98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85.168.020</w:t>
            </w:r>
          </w:p>
        </w:tc>
        <w:tc>
          <w:tcPr>
            <w:tcW w:w="619" w:type="pct"/>
            <w:tcBorders>
              <w:top w:val="nil"/>
              <w:left w:val="nil"/>
              <w:bottom w:val="single" w:sz="4" w:space="0" w:color="auto"/>
              <w:right w:val="single" w:sz="4" w:space="0" w:color="auto"/>
            </w:tcBorders>
            <w:shd w:val="clear" w:color="auto" w:fill="auto"/>
            <w:noWrap/>
            <w:vAlign w:val="center"/>
            <w:hideMark/>
          </w:tcPr>
          <w:p w14:paraId="631E8AB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3,41 %</w:t>
            </w:r>
          </w:p>
        </w:tc>
        <w:tc>
          <w:tcPr>
            <w:tcW w:w="676" w:type="pct"/>
            <w:tcBorders>
              <w:top w:val="nil"/>
              <w:left w:val="nil"/>
              <w:bottom w:val="single" w:sz="4" w:space="0" w:color="auto"/>
              <w:right w:val="single" w:sz="4" w:space="0" w:color="auto"/>
            </w:tcBorders>
            <w:shd w:val="clear" w:color="auto" w:fill="auto"/>
            <w:noWrap/>
            <w:vAlign w:val="center"/>
            <w:hideMark/>
          </w:tcPr>
          <w:p w14:paraId="25BC135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5,91 %</w:t>
            </w:r>
          </w:p>
        </w:tc>
      </w:tr>
      <w:tr w:rsidR="00F24E18" w:rsidRPr="00F858FD" w14:paraId="5D11CF81"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30BEF4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Rudarstvo, navadne kovine in z njimi povezani proizvodi</w:t>
            </w:r>
          </w:p>
        </w:tc>
        <w:tc>
          <w:tcPr>
            <w:tcW w:w="541" w:type="pct"/>
            <w:tcBorders>
              <w:top w:val="nil"/>
              <w:left w:val="nil"/>
              <w:bottom w:val="single" w:sz="4" w:space="0" w:color="auto"/>
              <w:right w:val="single" w:sz="4" w:space="0" w:color="auto"/>
            </w:tcBorders>
            <w:shd w:val="clear" w:color="auto" w:fill="auto"/>
            <w:noWrap/>
            <w:vAlign w:val="center"/>
            <w:hideMark/>
          </w:tcPr>
          <w:p w14:paraId="7BE60F43"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w:t>
            </w:r>
          </w:p>
        </w:tc>
        <w:tc>
          <w:tcPr>
            <w:tcW w:w="386" w:type="pct"/>
            <w:tcBorders>
              <w:top w:val="nil"/>
              <w:left w:val="nil"/>
              <w:bottom w:val="single" w:sz="4" w:space="0" w:color="auto"/>
              <w:right w:val="single" w:sz="4" w:space="0" w:color="auto"/>
            </w:tcBorders>
            <w:shd w:val="clear" w:color="auto" w:fill="auto"/>
            <w:noWrap/>
            <w:vAlign w:val="center"/>
            <w:hideMark/>
          </w:tcPr>
          <w:p w14:paraId="43E4733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22</w:t>
            </w:r>
          </w:p>
        </w:tc>
        <w:tc>
          <w:tcPr>
            <w:tcW w:w="772" w:type="pct"/>
            <w:tcBorders>
              <w:top w:val="nil"/>
              <w:left w:val="nil"/>
              <w:bottom w:val="single" w:sz="4" w:space="0" w:color="auto"/>
              <w:right w:val="single" w:sz="4" w:space="0" w:color="auto"/>
            </w:tcBorders>
            <w:shd w:val="clear" w:color="auto" w:fill="auto"/>
            <w:noWrap/>
            <w:vAlign w:val="center"/>
            <w:hideMark/>
          </w:tcPr>
          <w:p w14:paraId="2E24780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14.367.742</w:t>
            </w:r>
          </w:p>
        </w:tc>
        <w:tc>
          <w:tcPr>
            <w:tcW w:w="619" w:type="pct"/>
            <w:tcBorders>
              <w:top w:val="nil"/>
              <w:left w:val="nil"/>
              <w:bottom w:val="single" w:sz="4" w:space="0" w:color="auto"/>
              <w:right w:val="single" w:sz="4" w:space="0" w:color="auto"/>
            </w:tcBorders>
            <w:shd w:val="clear" w:color="auto" w:fill="auto"/>
            <w:noWrap/>
            <w:vAlign w:val="center"/>
            <w:hideMark/>
          </w:tcPr>
          <w:p w14:paraId="481D216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0,87 %</w:t>
            </w:r>
          </w:p>
        </w:tc>
        <w:tc>
          <w:tcPr>
            <w:tcW w:w="676" w:type="pct"/>
            <w:tcBorders>
              <w:top w:val="nil"/>
              <w:left w:val="nil"/>
              <w:bottom w:val="single" w:sz="4" w:space="0" w:color="auto"/>
              <w:right w:val="single" w:sz="4" w:space="0" w:color="auto"/>
            </w:tcBorders>
            <w:shd w:val="clear" w:color="auto" w:fill="auto"/>
            <w:noWrap/>
            <w:vAlign w:val="center"/>
            <w:hideMark/>
          </w:tcPr>
          <w:p w14:paraId="209707C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1,00 %</w:t>
            </w:r>
          </w:p>
        </w:tc>
      </w:tr>
      <w:tr w:rsidR="00F24E18" w:rsidRPr="00F858FD" w14:paraId="1CC3008C"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F5277E2"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Kmetijski stroji</w:t>
            </w:r>
          </w:p>
        </w:tc>
        <w:tc>
          <w:tcPr>
            <w:tcW w:w="541" w:type="pct"/>
            <w:tcBorders>
              <w:top w:val="nil"/>
              <w:left w:val="nil"/>
              <w:bottom w:val="single" w:sz="4" w:space="0" w:color="auto"/>
              <w:right w:val="single" w:sz="4" w:space="0" w:color="auto"/>
            </w:tcBorders>
            <w:shd w:val="clear" w:color="auto" w:fill="auto"/>
            <w:noWrap/>
            <w:vAlign w:val="center"/>
            <w:hideMark/>
          </w:tcPr>
          <w:p w14:paraId="69CDE1C8"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16</w:t>
            </w:r>
          </w:p>
        </w:tc>
        <w:tc>
          <w:tcPr>
            <w:tcW w:w="386" w:type="pct"/>
            <w:tcBorders>
              <w:top w:val="nil"/>
              <w:left w:val="nil"/>
              <w:bottom w:val="single" w:sz="4" w:space="0" w:color="auto"/>
              <w:right w:val="single" w:sz="4" w:space="0" w:color="auto"/>
            </w:tcBorders>
            <w:shd w:val="clear" w:color="auto" w:fill="auto"/>
            <w:noWrap/>
            <w:vAlign w:val="center"/>
            <w:hideMark/>
          </w:tcPr>
          <w:p w14:paraId="1A5B96D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772" w:type="pct"/>
            <w:tcBorders>
              <w:top w:val="nil"/>
              <w:left w:val="nil"/>
              <w:bottom w:val="single" w:sz="4" w:space="0" w:color="auto"/>
              <w:right w:val="single" w:sz="4" w:space="0" w:color="auto"/>
            </w:tcBorders>
            <w:shd w:val="clear" w:color="auto" w:fill="auto"/>
            <w:noWrap/>
            <w:vAlign w:val="center"/>
            <w:hideMark/>
          </w:tcPr>
          <w:p w14:paraId="46B6802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70.500</w:t>
            </w:r>
          </w:p>
        </w:tc>
        <w:tc>
          <w:tcPr>
            <w:tcW w:w="619" w:type="pct"/>
            <w:tcBorders>
              <w:top w:val="nil"/>
              <w:left w:val="nil"/>
              <w:bottom w:val="single" w:sz="4" w:space="0" w:color="auto"/>
              <w:right w:val="single" w:sz="4" w:space="0" w:color="auto"/>
            </w:tcBorders>
            <w:shd w:val="clear" w:color="auto" w:fill="auto"/>
            <w:noWrap/>
            <w:vAlign w:val="center"/>
            <w:hideMark/>
          </w:tcPr>
          <w:p w14:paraId="625E83D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0,04 %</w:t>
            </w:r>
          </w:p>
        </w:tc>
        <w:tc>
          <w:tcPr>
            <w:tcW w:w="676" w:type="pct"/>
            <w:tcBorders>
              <w:top w:val="nil"/>
              <w:left w:val="nil"/>
              <w:bottom w:val="single" w:sz="4" w:space="0" w:color="auto"/>
              <w:right w:val="single" w:sz="4" w:space="0" w:color="auto"/>
            </w:tcBorders>
            <w:shd w:val="clear" w:color="auto" w:fill="auto"/>
            <w:noWrap/>
            <w:vAlign w:val="center"/>
            <w:hideMark/>
          </w:tcPr>
          <w:p w14:paraId="5EF5F4F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0,00 %</w:t>
            </w:r>
          </w:p>
        </w:tc>
      </w:tr>
      <w:tr w:rsidR="00F24E18" w:rsidRPr="00F858FD" w14:paraId="1396829B"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7FF8AE68"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Oblačila, obutev, prtljaga in pribor</w:t>
            </w:r>
          </w:p>
        </w:tc>
        <w:tc>
          <w:tcPr>
            <w:tcW w:w="541" w:type="pct"/>
            <w:tcBorders>
              <w:top w:val="nil"/>
              <w:left w:val="nil"/>
              <w:bottom w:val="single" w:sz="4" w:space="0" w:color="auto"/>
              <w:right w:val="single" w:sz="4" w:space="0" w:color="auto"/>
            </w:tcBorders>
            <w:shd w:val="clear" w:color="auto" w:fill="auto"/>
            <w:noWrap/>
            <w:vAlign w:val="center"/>
            <w:hideMark/>
          </w:tcPr>
          <w:p w14:paraId="0247CACA"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18</w:t>
            </w:r>
          </w:p>
        </w:tc>
        <w:tc>
          <w:tcPr>
            <w:tcW w:w="386" w:type="pct"/>
            <w:tcBorders>
              <w:top w:val="nil"/>
              <w:left w:val="nil"/>
              <w:bottom w:val="single" w:sz="4" w:space="0" w:color="auto"/>
              <w:right w:val="single" w:sz="4" w:space="0" w:color="auto"/>
            </w:tcBorders>
            <w:shd w:val="clear" w:color="auto" w:fill="auto"/>
            <w:noWrap/>
            <w:vAlign w:val="center"/>
            <w:hideMark/>
          </w:tcPr>
          <w:p w14:paraId="173B565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30</w:t>
            </w:r>
          </w:p>
        </w:tc>
        <w:tc>
          <w:tcPr>
            <w:tcW w:w="772" w:type="pct"/>
            <w:tcBorders>
              <w:top w:val="nil"/>
              <w:left w:val="nil"/>
              <w:bottom w:val="single" w:sz="4" w:space="0" w:color="auto"/>
              <w:right w:val="single" w:sz="4" w:space="0" w:color="auto"/>
            </w:tcBorders>
            <w:shd w:val="clear" w:color="auto" w:fill="auto"/>
            <w:noWrap/>
            <w:vAlign w:val="center"/>
            <w:hideMark/>
          </w:tcPr>
          <w:p w14:paraId="5A6D035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4.627.600</w:t>
            </w:r>
          </w:p>
        </w:tc>
        <w:tc>
          <w:tcPr>
            <w:tcW w:w="619" w:type="pct"/>
            <w:tcBorders>
              <w:top w:val="nil"/>
              <w:left w:val="nil"/>
              <w:bottom w:val="single" w:sz="4" w:space="0" w:color="auto"/>
              <w:right w:val="single" w:sz="4" w:space="0" w:color="auto"/>
            </w:tcBorders>
            <w:shd w:val="clear" w:color="auto" w:fill="auto"/>
            <w:noWrap/>
            <w:vAlign w:val="center"/>
            <w:hideMark/>
          </w:tcPr>
          <w:p w14:paraId="2326952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1,19 %</w:t>
            </w:r>
          </w:p>
        </w:tc>
        <w:tc>
          <w:tcPr>
            <w:tcW w:w="676" w:type="pct"/>
            <w:tcBorders>
              <w:top w:val="nil"/>
              <w:left w:val="nil"/>
              <w:bottom w:val="single" w:sz="4" w:space="0" w:color="auto"/>
              <w:right w:val="single" w:sz="4" w:space="0" w:color="auto"/>
            </w:tcBorders>
            <w:shd w:val="clear" w:color="auto" w:fill="auto"/>
            <w:noWrap/>
            <w:vAlign w:val="center"/>
            <w:hideMark/>
          </w:tcPr>
          <w:p w14:paraId="1A358E0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0,32 %</w:t>
            </w:r>
          </w:p>
        </w:tc>
      </w:tr>
      <w:tr w:rsidR="00F24E18" w:rsidRPr="00F858FD" w14:paraId="7B4C83D7"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101D228B"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Usnjeni in tekstilni materiali, plastični in gumijasti materiali</w:t>
            </w:r>
          </w:p>
        </w:tc>
        <w:tc>
          <w:tcPr>
            <w:tcW w:w="541" w:type="pct"/>
            <w:tcBorders>
              <w:top w:val="nil"/>
              <w:left w:val="nil"/>
              <w:bottom w:val="single" w:sz="4" w:space="0" w:color="auto"/>
              <w:right w:val="single" w:sz="4" w:space="0" w:color="auto"/>
            </w:tcBorders>
            <w:shd w:val="clear" w:color="auto" w:fill="auto"/>
            <w:noWrap/>
            <w:vAlign w:val="center"/>
            <w:hideMark/>
          </w:tcPr>
          <w:p w14:paraId="48C2E4BE"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19</w:t>
            </w:r>
          </w:p>
        </w:tc>
        <w:tc>
          <w:tcPr>
            <w:tcW w:w="386" w:type="pct"/>
            <w:tcBorders>
              <w:top w:val="nil"/>
              <w:left w:val="nil"/>
              <w:bottom w:val="single" w:sz="4" w:space="0" w:color="auto"/>
              <w:right w:val="single" w:sz="4" w:space="0" w:color="auto"/>
            </w:tcBorders>
            <w:shd w:val="clear" w:color="auto" w:fill="auto"/>
            <w:noWrap/>
            <w:vAlign w:val="center"/>
            <w:hideMark/>
          </w:tcPr>
          <w:p w14:paraId="77CE3A5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w:t>
            </w:r>
          </w:p>
        </w:tc>
        <w:tc>
          <w:tcPr>
            <w:tcW w:w="772" w:type="pct"/>
            <w:tcBorders>
              <w:top w:val="nil"/>
              <w:left w:val="nil"/>
              <w:bottom w:val="single" w:sz="4" w:space="0" w:color="auto"/>
              <w:right w:val="single" w:sz="4" w:space="0" w:color="auto"/>
            </w:tcBorders>
            <w:shd w:val="clear" w:color="auto" w:fill="auto"/>
            <w:noWrap/>
            <w:vAlign w:val="center"/>
            <w:hideMark/>
          </w:tcPr>
          <w:p w14:paraId="3DA11C5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393.034</w:t>
            </w:r>
          </w:p>
        </w:tc>
        <w:tc>
          <w:tcPr>
            <w:tcW w:w="619" w:type="pct"/>
            <w:tcBorders>
              <w:top w:val="nil"/>
              <w:left w:val="nil"/>
              <w:bottom w:val="single" w:sz="4" w:space="0" w:color="auto"/>
              <w:right w:val="single" w:sz="4" w:space="0" w:color="auto"/>
            </w:tcBorders>
            <w:shd w:val="clear" w:color="auto" w:fill="auto"/>
            <w:noWrap/>
            <w:vAlign w:val="center"/>
            <w:hideMark/>
          </w:tcPr>
          <w:p w14:paraId="68C8C51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0,12 %</w:t>
            </w:r>
          </w:p>
        </w:tc>
        <w:tc>
          <w:tcPr>
            <w:tcW w:w="676" w:type="pct"/>
            <w:tcBorders>
              <w:top w:val="nil"/>
              <w:left w:val="nil"/>
              <w:bottom w:val="single" w:sz="4" w:space="0" w:color="auto"/>
              <w:right w:val="single" w:sz="4" w:space="0" w:color="auto"/>
            </w:tcBorders>
            <w:shd w:val="clear" w:color="auto" w:fill="auto"/>
            <w:noWrap/>
            <w:vAlign w:val="center"/>
            <w:hideMark/>
          </w:tcPr>
          <w:p w14:paraId="793EDA6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0,03 %</w:t>
            </w:r>
          </w:p>
        </w:tc>
      </w:tr>
      <w:tr w:rsidR="00F24E18" w:rsidRPr="00F858FD" w14:paraId="2A9F3ACC"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416ACFC2"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Tiskano gradivo in z njim povezani izdelki</w:t>
            </w:r>
          </w:p>
        </w:tc>
        <w:tc>
          <w:tcPr>
            <w:tcW w:w="541" w:type="pct"/>
            <w:tcBorders>
              <w:top w:val="nil"/>
              <w:left w:val="nil"/>
              <w:bottom w:val="single" w:sz="4" w:space="0" w:color="auto"/>
              <w:right w:val="single" w:sz="4" w:space="0" w:color="auto"/>
            </w:tcBorders>
            <w:shd w:val="clear" w:color="auto" w:fill="auto"/>
            <w:noWrap/>
            <w:vAlign w:val="center"/>
            <w:hideMark/>
          </w:tcPr>
          <w:p w14:paraId="39B11AA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22</w:t>
            </w:r>
          </w:p>
        </w:tc>
        <w:tc>
          <w:tcPr>
            <w:tcW w:w="386" w:type="pct"/>
            <w:tcBorders>
              <w:top w:val="nil"/>
              <w:left w:val="nil"/>
              <w:bottom w:val="single" w:sz="4" w:space="0" w:color="auto"/>
              <w:right w:val="single" w:sz="4" w:space="0" w:color="auto"/>
            </w:tcBorders>
            <w:shd w:val="clear" w:color="auto" w:fill="auto"/>
            <w:noWrap/>
            <w:vAlign w:val="center"/>
            <w:hideMark/>
          </w:tcPr>
          <w:p w14:paraId="5A59001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w:t>
            </w:r>
          </w:p>
        </w:tc>
        <w:tc>
          <w:tcPr>
            <w:tcW w:w="772" w:type="pct"/>
            <w:tcBorders>
              <w:top w:val="nil"/>
              <w:left w:val="nil"/>
              <w:bottom w:val="single" w:sz="4" w:space="0" w:color="auto"/>
              <w:right w:val="single" w:sz="4" w:space="0" w:color="auto"/>
            </w:tcBorders>
            <w:shd w:val="clear" w:color="auto" w:fill="auto"/>
            <w:noWrap/>
            <w:vAlign w:val="center"/>
            <w:hideMark/>
          </w:tcPr>
          <w:p w14:paraId="23664B41"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307.169</w:t>
            </w:r>
          </w:p>
        </w:tc>
        <w:tc>
          <w:tcPr>
            <w:tcW w:w="619" w:type="pct"/>
            <w:tcBorders>
              <w:top w:val="nil"/>
              <w:left w:val="nil"/>
              <w:bottom w:val="single" w:sz="4" w:space="0" w:color="auto"/>
              <w:right w:val="single" w:sz="4" w:space="0" w:color="auto"/>
            </w:tcBorders>
            <w:shd w:val="clear" w:color="auto" w:fill="auto"/>
            <w:noWrap/>
            <w:vAlign w:val="center"/>
            <w:hideMark/>
          </w:tcPr>
          <w:p w14:paraId="2661B39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0,16 %</w:t>
            </w:r>
          </w:p>
        </w:tc>
        <w:tc>
          <w:tcPr>
            <w:tcW w:w="676" w:type="pct"/>
            <w:tcBorders>
              <w:top w:val="nil"/>
              <w:left w:val="nil"/>
              <w:bottom w:val="single" w:sz="4" w:space="0" w:color="auto"/>
              <w:right w:val="single" w:sz="4" w:space="0" w:color="auto"/>
            </w:tcBorders>
            <w:shd w:val="clear" w:color="auto" w:fill="auto"/>
            <w:noWrap/>
            <w:vAlign w:val="center"/>
            <w:hideMark/>
          </w:tcPr>
          <w:p w14:paraId="0D344DF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0,02 %</w:t>
            </w:r>
          </w:p>
        </w:tc>
      </w:tr>
      <w:tr w:rsidR="00F24E18" w:rsidRPr="00F858FD" w14:paraId="42F68240"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99F5D95"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Kemični proizvodi</w:t>
            </w:r>
          </w:p>
        </w:tc>
        <w:tc>
          <w:tcPr>
            <w:tcW w:w="541" w:type="pct"/>
            <w:tcBorders>
              <w:top w:val="nil"/>
              <w:left w:val="nil"/>
              <w:bottom w:val="single" w:sz="4" w:space="0" w:color="auto"/>
              <w:right w:val="single" w:sz="4" w:space="0" w:color="auto"/>
            </w:tcBorders>
            <w:shd w:val="clear" w:color="auto" w:fill="auto"/>
            <w:noWrap/>
            <w:vAlign w:val="center"/>
            <w:hideMark/>
          </w:tcPr>
          <w:p w14:paraId="31D5DCD2"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24</w:t>
            </w:r>
          </w:p>
        </w:tc>
        <w:tc>
          <w:tcPr>
            <w:tcW w:w="386" w:type="pct"/>
            <w:tcBorders>
              <w:top w:val="nil"/>
              <w:left w:val="nil"/>
              <w:bottom w:val="single" w:sz="4" w:space="0" w:color="auto"/>
              <w:right w:val="single" w:sz="4" w:space="0" w:color="auto"/>
            </w:tcBorders>
            <w:shd w:val="clear" w:color="auto" w:fill="auto"/>
            <w:noWrap/>
            <w:vAlign w:val="center"/>
            <w:hideMark/>
          </w:tcPr>
          <w:p w14:paraId="748526E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34</w:t>
            </w:r>
          </w:p>
        </w:tc>
        <w:tc>
          <w:tcPr>
            <w:tcW w:w="772" w:type="pct"/>
            <w:tcBorders>
              <w:top w:val="nil"/>
              <w:left w:val="nil"/>
              <w:bottom w:val="single" w:sz="4" w:space="0" w:color="auto"/>
              <w:right w:val="single" w:sz="4" w:space="0" w:color="auto"/>
            </w:tcBorders>
            <w:shd w:val="clear" w:color="auto" w:fill="auto"/>
            <w:noWrap/>
            <w:vAlign w:val="center"/>
            <w:hideMark/>
          </w:tcPr>
          <w:p w14:paraId="333231C1"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5.134.878</w:t>
            </w:r>
          </w:p>
        </w:tc>
        <w:tc>
          <w:tcPr>
            <w:tcW w:w="619" w:type="pct"/>
            <w:tcBorders>
              <w:top w:val="nil"/>
              <w:left w:val="nil"/>
              <w:bottom w:val="single" w:sz="4" w:space="0" w:color="auto"/>
              <w:right w:val="single" w:sz="4" w:space="0" w:color="auto"/>
            </w:tcBorders>
            <w:shd w:val="clear" w:color="auto" w:fill="auto"/>
            <w:noWrap/>
            <w:vAlign w:val="center"/>
            <w:hideMark/>
          </w:tcPr>
          <w:p w14:paraId="27AB77A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1,35 %</w:t>
            </w:r>
          </w:p>
        </w:tc>
        <w:tc>
          <w:tcPr>
            <w:tcW w:w="676" w:type="pct"/>
            <w:tcBorders>
              <w:top w:val="nil"/>
              <w:left w:val="nil"/>
              <w:bottom w:val="single" w:sz="4" w:space="0" w:color="auto"/>
              <w:right w:val="single" w:sz="4" w:space="0" w:color="auto"/>
            </w:tcBorders>
            <w:shd w:val="clear" w:color="auto" w:fill="auto"/>
            <w:noWrap/>
            <w:vAlign w:val="center"/>
            <w:hideMark/>
          </w:tcPr>
          <w:p w14:paraId="781B1B6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0,36 %</w:t>
            </w:r>
          </w:p>
        </w:tc>
      </w:tr>
      <w:tr w:rsidR="00F24E18" w:rsidRPr="00F858FD" w14:paraId="462FF8EC"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5EFB0A3"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Pisarniški in računski stroji, oprema in potrebščine, razen pohištva in programskih paketov</w:t>
            </w:r>
          </w:p>
        </w:tc>
        <w:tc>
          <w:tcPr>
            <w:tcW w:w="541" w:type="pct"/>
            <w:tcBorders>
              <w:top w:val="nil"/>
              <w:left w:val="nil"/>
              <w:bottom w:val="single" w:sz="4" w:space="0" w:color="auto"/>
              <w:right w:val="single" w:sz="4" w:space="0" w:color="auto"/>
            </w:tcBorders>
            <w:shd w:val="clear" w:color="auto" w:fill="auto"/>
            <w:noWrap/>
            <w:vAlign w:val="center"/>
            <w:hideMark/>
          </w:tcPr>
          <w:p w14:paraId="57581975"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30</w:t>
            </w:r>
          </w:p>
        </w:tc>
        <w:tc>
          <w:tcPr>
            <w:tcW w:w="386" w:type="pct"/>
            <w:tcBorders>
              <w:top w:val="nil"/>
              <w:left w:val="nil"/>
              <w:bottom w:val="single" w:sz="4" w:space="0" w:color="auto"/>
              <w:right w:val="single" w:sz="4" w:space="0" w:color="auto"/>
            </w:tcBorders>
            <w:shd w:val="clear" w:color="auto" w:fill="auto"/>
            <w:noWrap/>
            <w:vAlign w:val="center"/>
            <w:hideMark/>
          </w:tcPr>
          <w:p w14:paraId="69D578D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47</w:t>
            </w:r>
          </w:p>
        </w:tc>
        <w:tc>
          <w:tcPr>
            <w:tcW w:w="772" w:type="pct"/>
            <w:tcBorders>
              <w:top w:val="nil"/>
              <w:left w:val="nil"/>
              <w:bottom w:val="single" w:sz="4" w:space="0" w:color="auto"/>
              <w:right w:val="single" w:sz="4" w:space="0" w:color="auto"/>
            </w:tcBorders>
            <w:shd w:val="clear" w:color="auto" w:fill="auto"/>
            <w:noWrap/>
            <w:vAlign w:val="center"/>
            <w:hideMark/>
          </w:tcPr>
          <w:p w14:paraId="3D89BA0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6.381.426</w:t>
            </w:r>
          </w:p>
        </w:tc>
        <w:tc>
          <w:tcPr>
            <w:tcW w:w="619" w:type="pct"/>
            <w:tcBorders>
              <w:top w:val="nil"/>
              <w:left w:val="nil"/>
              <w:bottom w:val="single" w:sz="4" w:space="0" w:color="auto"/>
              <w:right w:val="single" w:sz="4" w:space="0" w:color="auto"/>
            </w:tcBorders>
            <w:shd w:val="clear" w:color="auto" w:fill="auto"/>
            <w:noWrap/>
            <w:vAlign w:val="center"/>
            <w:hideMark/>
          </w:tcPr>
          <w:p w14:paraId="67B37EC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1,86 %</w:t>
            </w:r>
          </w:p>
        </w:tc>
        <w:tc>
          <w:tcPr>
            <w:tcW w:w="676" w:type="pct"/>
            <w:tcBorders>
              <w:top w:val="nil"/>
              <w:left w:val="nil"/>
              <w:bottom w:val="single" w:sz="4" w:space="0" w:color="auto"/>
              <w:right w:val="single" w:sz="4" w:space="0" w:color="auto"/>
            </w:tcBorders>
            <w:shd w:val="clear" w:color="auto" w:fill="auto"/>
            <w:noWrap/>
            <w:vAlign w:val="center"/>
            <w:hideMark/>
          </w:tcPr>
          <w:p w14:paraId="6C13945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0,44 %</w:t>
            </w:r>
          </w:p>
        </w:tc>
      </w:tr>
      <w:tr w:rsidR="00F24E18" w:rsidRPr="00F858FD" w14:paraId="134F3593"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96D4BAE"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Električni stroji, aparati, oprema in potrošno blago; razsvetljava</w:t>
            </w:r>
          </w:p>
        </w:tc>
        <w:tc>
          <w:tcPr>
            <w:tcW w:w="541" w:type="pct"/>
            <w:tcBorders>
              <w:top w:val="nil"/>
              <w:left w:val="nil"/>
              <w:bottom w:val="single" w:sz="4" w:space="0" w:color="auto"/>
              <w:right w:val="single" w:sz="4" w:space="0" w:color="auto"/>
            </w:tcBorders>
            <w:shd w:val="clear" w:color="auto" w:fill="auto"/>
            <w:noWrap/>
            <w:vAlign w:val="center"/>
            <w:hideMark/>
          </w:tcPr>
          <w:p w14:paraId="30FD12CD"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31</w:t>
            </w:r>
          </w:p>
        </w:tc>
        <w:tc>
          <w:tcPr>
            <w:tcW w:w="386" w:type="pct"/>
            <w:tcBorders>
              <w:top w:val="nil"/>
              <w:left w:val="nil"/>
              <w:bottom w:val="single" w:sz="4" w:space="0" w:color="auto"/>
              <w:right w:val="single" w:sz="4" w:space="0" w:color="auto"/>
            </w:tcBorders>
            <w:shd w:val="clear" w:color="auto" w:fill="auto"/>
            <w:noWrap/>
            <w:vAlign w:val="center"/>
            <w:hideMark/>
          </w:tcPr>
          <w:p w14:paraId="77C70BF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222</w:t>
            </w:r>
          </w:p>
        </w:tc>
        <w:tc>
          <w:tcPr>
            <w:tcW w:w="772" w:type="pct"/>
            <w:tcBorders>
              <w:top w:val="nil"/>
              <w:left w:val="nil"/>
              <w:bottom w:val="single" w:sz="4" w:space="0" w:color="auto"/>
              <w:right w:val="single" w:sz="4" w:space="0" w:color="auto"/>
            </w:tcBorders>
            <w:shd w:val="clear" w:color="auto" w:fill="auto"/>
            <w:noWrap/>
            <w:vAlign w:val="center"/>
            <w:hideMark/>
          </w:tcPr>
          <w:p w14:paraId="2A2356E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116.682.233</w:t>
            </w:r>
          </w:p>
        </w:tc>
        <w:tc>
          <w:tcPr>
            <w:tcW w:w="619" w:type="pct"/>
            <w:tcBorders>
              <w:top w:val="nil"/>
              <w:left w:val="nil"/>
              <w:bottom w:val="single" w:sz="4" w:space="0" w:color="auto"/>
              <w:right w:val="single" w:sz="4" w:space="0" w:color="auto"/>
            </w:tcBorders>
            <w:shd w:val="clear" w:color="auto" w:fill="auto"/>
            <w:noWrap/>
            <w:vAlign w:val="center"/>
            <w:hideMark/>
          </w:tcPr>
          <w:p w14:paraId="28CAAB8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8,80 %</w:t>
            </w:r>
          </w:p>
        </w:tc>
        <w:tc>
          <w:tcPr>
            <w:tcW w:w="676" w:type="pct"/>
            <w:tcBorders>
              <w:top w:val="nil"/>
              <w:left w:val="nil"/>
              <w:bottom w:val="single" w:sz="4" w:space="0" w:color="auto"/>
              <w:right w:val="single" w:sz="4" w:space="0" w:color="auto"/>
            </w:tcBorders>
            <w:shd w:val="clear" w:color="auto" w:fill="auto"/>
            <w:noWrap/>
            <w:vAlign w:val="center"/>
            <w:hideMark/>
          </w:tcPr>
          <w:p w14:paraId="0222FCF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8,10 %</w:t>
            </w:r>
          </w:p>
        </w:tc>
      </w:tr>
      <w:tr w:rsidR="00F24E18" w:rsidRPr="00F858FD" w14:paraId="722B5806"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60C6F177"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Radijski in televizijski aparati, komunikacijska, telekomunikacijska in z njimi povezana oprema</w:t>
            </w:r>
          </w:p>
        </w:tc>
        <w:tc>
          <w:tcPr>
            <w:tcW w:w="541" w:type="pct"/>
            <w:tcBorders>
              <w:top w:val="nil"/>
              <w:left w:val="nil"/>
              <w:bottom w:val="single" w:sz="4" w:space="0" w:color="auto"/>
              <w:right w:val="single" w:sz="4" w:space="0" w:color="auto"/>
            </w:tcBorders>
            <w:shd w:val="clear" w:color="auto" w:fill="auto"/>
            <w:noWrap/>
            <w:vAlign w:val="center"/>
            <w:hideMark/>
          </w:tcPr>
          <w:p w14:paraId="4B2A416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32</w:t>
            </w:r>
          </w:p>
        </w:tc>
        <w:tc>
          <w:tcPr>
            <w:tcW w:w="386" w:type="pct"/>
            <w:tcBorders>
              <w:top w:val="nil"/>
              <w:left w:val="nil"/>
              <w:bottom w:val="single" w:sz="4" w:space="0" w:color="auto"/>
              <w:right w:val="single" w:sz="4" w:space="0" w:color="auto"/>
            </w:tcBorders>
            <w:shd w:val="clear" w:color="auto" w:fill="auto"/>
            <w:noWrap/>
            <w:vAlign w:val="center"/>
            <w:hideMark/>
          </w:tcPr>
          <w:p w14:paraId="2F1B670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28</w:t>
            </w:r>
          </w:p>
        </w:tc>
        <w:tc>
          <w:tcPr>
            <w:tcW w:w="772" w:type="pct"/>
            <w:tcBorders>
              <w:top w:val="nil"/>
              <w:left w:val="nil"/>
              <w:bottom w:val="single" w:sz="4" w:space="0" w:color="auto"/>
              <w:right w:val="single" w:sz="4" w:space="0" w:color="auto"/>
            </w:tcBorders>
            <w:shd w:val="clear" w:color="auto" w:fill="auto"/>
            <w:noWrap/>
            <w:vAlign w:val="center"/>
            <w:hideMark/>
          </w:tcPr>
          <w:p w14:paraId="494C5F3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7.507.790</w:t>
            </w:r>
          </w:p>
        </w:tc>
        <w:tc>
          <w:tcPr>
            <w:tcW w:w="619" w:type="pct"/>
            <w:tcBorders>
              <w:top w:val="nil"/>
              <w:left w:val="nil"/>
              <w:bottom w:val="single" w:sz="4" w:space="0" w:color="auto"/>
              <w:right w:val="single" w:sz="4" w:space="0" w:color="auto"/>
            </w:tcBorders>
            <w:shd w:val="clear" w:color="auto" w:fill="auto"/>
            <w:noWrap/>
            <w:vAlign w:val="center"/>
            <w:hideMark/>
          </w:tcPr>
          <w:p w14:paraId="11EEB65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1,11 %</w:t>
            </w:r>
          </w:p>
        </w:tc>
        <w:tc>
          <w:tcPr>
            <w:tcW w:w="676" w:type="pct"/>
            <w:tcBorders>
              <w:top w:val="nil"/>
              <w:left w:val="nil"/>
              <w:bottom w:val="single" w:sz="4" w:space="0" w:color="auto"/>
              <w:right w:val="single" w:sz="4" w:space="0" w:color="auto"/>
            </w:tcBorders>
            <w:shd w:val="clear" w:color="auto" w:fill="auto"/>
            <w:noWrap/>
            <w:vAlign w:val="center"/>
            <w:hideMark/>
          </w:tcPr>
          <w:p w14:paraId="0DD6529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0,52 %</w:t>
            </w:r>
          </w:p>
        </w:tc>
      </w:tr>
      <w:tr w:rsidR="00F24E18" w:rsidRPr="00F858FD" w14:paraId="127C042C"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3DCD0F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Prevozna sredstva in dodatni proizvodi za promet</w:t>
            </w:r>
          </w:p>
        </w:tc>
        <w:tc>
          <w:tcPr>
            <w:tcW w:w="541" w:type="pct"/>
            <w:tcBorders>
              <w:top w:val="nil"/>
              <w:left w:val="nil"/>
              <w:bottom w:val="single" w:sz="4" w:space="0" w:color="auto"/>
              <w:right w:val="single" w:sz="4" w:space="0" w:color="auto"/>
            </w:tcBorders>
            <w:shd w:val="clear" w:color="auto" w:fill="auto"/>
            <w:noWrap/>
            <w:vAlign w:val="center"/>
            <w:hideMark/>
          </w:tcPr>
          <w:p w14:paraId="49499E6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34</w:t>
            </w:r>
          </w:p>
        </w:tc>
        <w:tc>
          <w:tcPr>
            <w:tcW w:w="386" w:type="pct"/>
            <w:tcBorders>
              <w:top w:val="nil"/>
              <w:left w:val="nil"/>
              <w:bottom w:val="single" w:sz="4" w:space="0" w:color="auto"/>
              <w:right w:val="single" w:sz="4" w:space="0" w:color="auto"/>
            </w:tcBorders>
            <w:shd w:val="clear" w:color="auto" w:fill="auto"/>
            <w:noWrap/>
            <w:vAlign w:val="center"/>
            <w:hideMark/>
          </w:tcPr>
          <w:p w14:paraId="284F776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219</w:t>
            </w:r>
          </w:p>
        </w:tc>
        <w:tc>
          <w:tcPr>
            <w:tcW w:w="772" w:type="pct"/>
            <w:tcBorders>
              <w:top w:val="nil"/>
              <w:left w:val="nil"/>
              <w:bottom w:val="single" w:sz="4" w:space="0" w:color="auto"/>
              <w:right w:val="single" w:sz="4" w:space="0" w:color="auto"/>
            </w:tcBorders>
            <w:shd w:val="clear" w:color="auto" w:fill="auto"/>
            <w:noWrap/>
            <w:vAlign w:val="center"/>
            <w:hideMark/>
          </w:tcPr>
          <w:p w14:paraId="0BA40F3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184.870.501</w:t>
            </w:r>
          </w:p>
        </w:tc>
        <w:tc>
          <w:tcPr>
            <w:tcW w:w="619" w:type="pct"/>
            <w:tcBorders>
              <w:top w:val="nil"/>
              <w:left w:val="nil"/>
              <w:bottom w:val="single" w:sz="4" w:space="0" w:color="auto"/>
              <w:right w:val="single" w:sz="4" w:space="0" w:color="auto"/>
            </w:tcBorders>
            <w:shd w:val="clear" w:color="auto" w:fill="auto"/>
            <w:noWrap/>
            <w:vAlign w:val="center"/>
            <w:hideMark/>
          </w:tcPr>
          <w:p w14:paraId="2FE8B3A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8,68 %</w:t>
            </w:r>
          </w:p>
        </w:tc>
        <w:tc>
          <w:tcPr>
            <w:tcW w:w="676" w:type="pct"/>
            <w:tcBorders>
              <w:top w:val="nil"/>
              <w:left w:val="nil"/>
              <w:bottom w:val="single" w:sz="4" w:space="0" w:color="auto"/>
              <w:right w:val="single" w:sz="4" w:space="0" w:color="auto"/>
            </w:tcBorders>
            <w:shd w:val="clear" w:color="auto" w:fill="auto"/>
            <w:noWrap/>
            <w:vAlign w:val="center"/>
            <w:hideMark/>
          </w:tcPr>
          <w:p w14:paraId="0D41057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12,83 %</w:t>
            </w:r>
          </w:p>
        </w:tc>
      </w:tr>
      <w:tr w:rsidR="00F24E18" w:rsidRPr="00F858FD" w14:paraId="528B1C50"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AB8C036"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Varnostna, gasilska, policijska in obrambna oprema</w:t>
            </w:r>
          </w:p>
        </w:tc>
        <w:tc>
          <w:tcPr>
            <w:tcW w:w="541" w:type="pct"/>
            <w:tcBorders>
              <w:top w:val="nil"/>
              <w:left w:val="nil"/>
              <w:bottom w:val="single" w:sz="4" w:space="0" w:color="auto"/>
              <w:right w:val="single" w:sz="4" w:space="0" w:color="auto"/>
            </w:tcBorders>
            <w:shd w:val="clear" w:color="auto" w:fill="auto"/>
            <w:noWrap/>
            <w:vAlign w:val="center"/>
            <w:hideMark/>
          </w:tcPr>
          <w:p w14:paraId="5CB2A23F"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35</w:t>
            </w:r>
          </w:p>
        </w:tc>
        <w:tc>
          <w:tcPr>
            <w:tcW w:w="386" w:type="pct"/>
            <w:tcBorders>
              <w:top w:val="nil"/>
              <w:left w:val="nil"/>
              <w:bottom w:val="single" w:sz="4" w:space="0" w:color="auto"/>
              <w:right w:val="single" w:sz="4" w:space="0" w:color="auto"/>
            </w:tcBorders>
            <w:shd w:val="clear" w:color="auto" w:fill="auto"/>
            <w:noWrap/>
            <w:vAlign w:val="center"/>
            <w:hideMark/>
          </w:tcPr>
          <w:p w14:paraId="4C07216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w:t>
            </w:r>
          </w:p>
        </w:tc>
        <w:tc>
          <w:tcPr>
            <w:tcW w:w="772" w:type="pct"/>
            <w:tcBorders>
              <w:top w:val="nil"/>
              <w:left w:val="nil"/>
              <w:bottom w:val="single" w:sz="4" w:space="0" w:color="auto"/>
              <w:right w:val="single" w:sz="4" w:space="0" w:color="auto"/>
            </w:tcBorders>
            <w:shd w:val="clear" w:color="auto" w:fill="auto"/>
            <w:noWrap/>
            <w:vAlign w:val="center"/>
            <w:hideMark/>
          </w:tcPr>
          <w:p w14:paraId="489A4AE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686.981</w:t>
            </w:r>
          </w:p>
        </w:tc>
        <w:tc>
          <w:tcPr>
            <w:tcW w:w="619" w:type="pct"/>
            <w:tcBorders>
              <w:top w:val="nil"/>
              <w:left w:val="nil"/>
              <w:bottom w:val="single" w:sz="4" w:space="0" w:color="auto"/>
              <w:right w:val="single" w:sz="4" w:space="0" w:color="auto"/>
            </w:tcBorders>
            <w:shd w:val="clear" w:color="auto" w:fill="auto"/>
            <w:noWrap/>
            <w:vAlign w:val="center"/>
            <w:hideMark/>
          </w:tcPr>
          <w:p w14:paraId="623981B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0,20 %</w:t>
            </w:r>
          </w:p>
        </w:tc>
        <w:tc>
          <w:tcPr>
            <w:tcW w:w="676" w:type="pct"/>
            <w:tcBorders>
              <w:top w:val="nil"/>
              <w:left w:val="nil"/>
              <w:bottom w:val="single" w:sz="4" w:space="0" w:color="auto"/>
              <w:right w:val="single" w:sz="4" w:space="0" w:color="auto"/>
            </w:tcBorders>
            <w:shd w:val="clear" w:color="auto" w:fill="auto"/>
            <w:noWrap/>
            <w:vAlign w:val="center"/>
            <w:hideMark/>
          </w:tcPr>
          <w:p w14:paraId="53327A4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0,05 %</w:t>
            </w:r>
          </w:p>
        </w:tc>
      </w:tr>
      <w:tr w:rsidR="00F24E18" w:rsidRPr="00F858FD" w14:paraId="41305659"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DCA0D51"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Laboratorijska, optična in precizna oprema (razen očal)</w:t>
            </w:r>
          </w:p>
        </w:tc>
        <w:tc>
          <w:tcPr>
            <w:tcW w:w="541" w:type="pct"/>
            <w:tcBorders>
              <w:top w:val="nil"/>
              <w:left w:val="nil"/>
              <w:bottom w:val="single" w:sz="4" w:space="0" w:color="auto"/>
              <w:right w:val="single" w:sz="4" w:space="0" w:color="auto"/>
            </w:tcBorders>
            <w:shd w:val="clear" w:color="auto" w:fill="auto"/>
            <w:noWrap/>
            <w:vAlign w:val="center"/>
            <w:hideMark/>
          </w:tcPr>
          <w:p w14:paraId="0B6DB79E"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38</w:t>
            </w:r>
          </w:p>
        </w:tc>
        <w:tc>
          <w:tcPr>
            <w:tcW w:w="386" w:type="pct"/>
            <w:tcBorders>
              <w:top w:val="nil"/>
              <w:left w:val="nil"/>
              <w:bottom w:val="single" w:sz="4" w:space="0" w:color="auto"/>
              <w:right w:val="single" w:sz="4" w:space="0" w:color="auto"/>
            </w:tcBorders>
            <w:shd w:val="clear" w:color="auto" w:fill="auto"/>
            <w:noWrap/>
            <w:vAlign w:val="center"/>
            <w:hideMark/>
          </w:tcPr>
          <w:p w14:paraId="0B29DE0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56</w:t>
            </w:r>
          </w:p>
        </w:tc>
        <w:tc>
          <w:tcPr>
            <w:tcW w:w="772" w:type="pct"/>
            <w:tcBorders>
              <w:top w:val="nil"/>
              <w:left w:val="nil"/>
              <w:bottom w:val="single" w:sz="4" w:space="0" w:color="auto"/>
              <w:right w:val="single" w:sz="4" w:space="0" w:color="auto"/>
            </w:tcBorders>
            <w:shd w:val="clear" w:color="auto" w:fill="auto"/>
            <w:noWrap/>
            <w:vAlign w:val="center"/>
            <w:hideMark/>
          </w:tcPr>
          <w:p w14:paraId="60384E4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14.044.773</w:t>
            </w:r>
          </w:p>
        </w:tc>
        <w:tc>
          <w:tcPr>
            <w:tcW w:w="619" w:type="pct"/>
            <w:tcBorders>
              <w:top w:val="nil"/>
              <w:left w:val="nil"/>
              <w:bottom w:val="single" w:sz="4" w:space="0" w:color="auto"/>
              <w:right w:val="single" w:sz="4" w:space="0" w:color="auto"/>
            </w:tcBorders>
            <w:shd w:val="clear" w:color="auto" w:fill="auto"/>
            <w:noWrap/>
            <w:vAlign w:val="center"/>
            <w:hideMark/>
          </w:tcPr>
          <w:p w14:paraId="6B208E9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2,22 %</w:t>
            </w:r>
          </w:p>
        </w:tc>
        <w:tc>
          <w:tcPr>
            <w:tcW w:w="676" w:type="pct"/>
            <w:tcBorders>
              <w:top w:val="nil"/>
              <w:left w:val="nil"/>
              <w:bottom w:val="single" w:sz="4" w:space="0" w:color="auto"/>
              <w:right w:val="single" w:sz="4" w:space="0" w:color="auto"/>
            </w:tcBorders>
            <w:shd w:val="clear" w:color="auto" w:fill="auto"/>
            <w:noWrap/>
            <w:vAlign w:val="center"/>
            <w:hideMark/>
          </w:tcPr>
          <w:p w14:paraId="5B0A9CD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0,98 %</w:t>
            </w:r>
          </w:p>
        </w:tc>
      </w:tr>
      <w:tr w:rsidR="00F24E18" w:rsidRPr="00F858FD" w14:paraId="1617AD98"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766D778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541" w:type="pct"/>
            <w:tcBorders>
              <w:top w:val="nil"/>
              <w:left w:val="nil"/>
              <w:bottom w:val="single" w:sz="4" w:space="0" w:color="auto"/>
              <w:right w:val="single" w:sz="4" w:space="0" w:color="auto"/>
            </w:tcBorders>
            <w:shd w:val="clear" w:color="auto" w:fill="auto"/>
            <w:noWrap/>
            <w:vAlign w:val="center"/>
            <w:hideMark/>
          </w:tcPr>
          <w:p w14:paraId="608FAF7D"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39</w:t>
            </w:r>
          </w:p>
        </w:tc>
        <w:tc>
          <w:tcPr>
            <w:tcW w:w="386" w:type="pct"/>
            <w:tcBorders>
              <w:top w:val="nil"/>
              <w:left w:val="nil"/>
              <w:bottom w:val="single" w:sz="4" w:space="0" w:color="auto"/>
              <w:right w:val="single" w:sz="4" w:space="0" w:color="auto"/>
            </w:tcBorders>
            <w:shd w:val="clear" w:color="auto" w:fill="auto"/>
            <w:noWrap/>
            <w:vAlign w:val="center"/>
            <w:hideMark/>
          </w:tcPr>
          <w:p w14:paraId="034C3DD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w:t>
            </w:r>
          </w:p>
        </w:tc>
        <w:tc>
          <w:tcPr>
            <w:tcW w:w="772" w:type="pct"/>
            <w:tcBorders>
              <w:top w:val="nil"/>
              <w:left w:val="nil"/>
              <w:bottom w:val="single" w:sz="4" w:space="0" w:color="auto"/>
              <w:right w:val="single" w:sz="4" w:space="0" w:color="auto"/>
            </w:tcBorders>
            <w:shd w:val="clear" w:color="auto" w:fill="auto"/>
            <w:noWrap/>
            <w:vAlign w:val="center"/>
            <w:hideMark/>
          </w:tcPr>
          <w:p w14:paraId="1EECCBA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1.755.328</w:t>
            </w:r>
          </w:p>
        </w:tc>
        <w:tc>
          <w:tcPr>
            <w:tcW w:w="619" w:type="pct"/>
            <w:tcBorders>
              <w:top w:val="nil"/>
              <w:left w:val="nil"/>
              <w:bottom w:val="single" w:sz="4" w:space="0" w:color="auto"/>
              <w:right w:val="single" w:sz="4" w:space="0" w:color="auto"/>
            </w:tcBorders>
            <w:shd w:val="clear" w:color="auto" w:fill="auto"/>
            <w:noWrap/>
            <w:vAlign w:val="center"/>
            <w:hideMark/>
          </w:tcPr>
          <w:p w14:paraId="7D4E87A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0,56 %</w:t>
            </w:r>
          </w:p>
        </w:tc>
        <w:tc>
          <w:tcPr>
            <w:tcW w:w="676" w:type="pct"/>
            <w:tcBorders>
              <w:top w:val="nil"/>
              <w:left w:val="nil"/>
              <w:bottom w:val="single" w:sz="4" w:space="0" w:color="auto"/>
              <w:right w:val="single" w:sz="4" w:space="0" w:color="auto"/>
            </w:tcBorders>
            <w:shd w:val="clear" w:color="auto" w:fill="auto"/>
            <w:noWrap/>
            <w:vAlign w:val="center"/>
            <w:hideMark/>
          </w:tcPr>
          <w:p w14:paraId="48B6564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0,12 %</w:t>
            </w:r>
          </w:p>
        </w:tc>
      </w:tr>
      <w:tr w:rsidR="00F24E18" w:rsidRPr="00F858FD" w14:paraId="563020D4"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256B599E"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Zbrana in očiščena voda</w:t>
            </w:r>
          </w:p>
        </w:tc>
        <w:tc>
          <w:tcPr>
            <w:tcW w:w="541" w:type="pct"/>
            <w:tcBorders>
              <w:top w:val="nil"/>
              <w:left w:val="nil"/>
              <w:bottom w:val="single" w:sz="4" w:space="0" w:color="auto"/>
              <w:right w:val="single" w:sz="4" w:space="0" w:color="auto"/>
            </w:tcBorders>
            <w:shd w:val="clear" w:color="auto" w:fill="auto"/>
            <w:noWrap/>
            <w:vAlign w:val="center"/>
            <w:hideMark/>
          </w:tcPr>
          <w:p w14:paraId="2259BB1F"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41</w:t>
            </w:r>
          </w:p>
        </w:tc>
        <w:tc>
          <w:tcPr>
            <w:tcW w:w="386" w:type="pct"/>
            <w:tcBorders>
              <w:top w:val="nil"/>
              <w:left w:val="nil"/>
              <w:bottom w:val="single" w:sz="4" w:space="0" w:color="auto"/>
              <w:right w:val="single" w:sz="4" w:space="0" w:color="auto"/>
            </w:tcBorders>
            <w:shd w:val="clear" w:color="auto" w:fill="auto"/>
            <w:noWrap/>
            <w:vAlign w:val="center"/>
            <w:hideMark/>
          </w:tcPr>
          <w:p w14:paraId="676C5AF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w:t>
            </w:r>
          </w:p>
        </w:tc>
        <w:tc>
          <w:tcPr>
            <w:tcW w:w="772" w:type="pct"/>
            <w:tcBorders>
              <w:top w:val="nil"/>
              <w:left w:val="nil"/>
              <w:bottom w:val="single" w:sz="4" w:space="0" w:color="auto"/>
              <w:right w:val="single" w:sz="4" w:space="0" w:color="auto"/>
            </w:tcBorders>
            <w:shd w:val="clear" w:color="auto" w:fill="auto"/>
            <w:noWrap/>
            <w:vAlign w:val="center"/>
            <w:hideMark/>
          </w:tcPr>
          <w:p w14:paraId="42EBAE1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369.362</w:t>
            </w:r>
          </w:p>
        </w:tc>
        <w:tc>
          <w:tcPr>
            <w:tcW w:w="619" w:type="pct"/>
            <w:tcBorders>
              <w:top w:val="nil"/>
              <w:left w:val="nil"/>
              <w:bottom w:val="single" w:sz="4" w:space="0" w:color="auto"/>
              <w:right w:val="single" w:sz="4" w:space="0" w:color="auto"/>
            </w:tcBorders>
            <w:shd w:val="clear" w:color="auto" w:fill="auto"/>
            <w:noWrap/>
            <w:vAlign w:val="center"/>
            <w:hideMark/>
          </w:tcPr>
          <w:p w14:paraId="6682B72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0,28 %</w:t>
            </w:r>
          </w:p>
        </w:tc>
        <w:tc>
          <w:tcPr>
            <w:tcW w:w="676" w:type="pct"/>
            <w:tcBorders>
              <w:top w:val="nil"/>
              <w:left w:val="nil"/>
              <w:bottom w:val="single" w:sz="4" w:space="0" w:color="auto"/>
              <w:right w:val="single" w:sz="4" w:space="0" w:color="auto"/>
            </w:tcBorders>
            <w:shd w:val="clear" w:color="auto" w:fill="auto"/>
            <w:noWrap/>
            <w:vAlign w:val="center"/>
            <w:hideMark/>
          </w:tcPr>
          <w:p w14:paraId="3FB9CE6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0,03 %</w:t>
            </w:r>
          </w:p>
        </w:tc>
      </w:tr>
      <w:tr w:rsidR="00F24E18" w:rsidRPr="00F858FD" w14:paraId="20D14B5B"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F6855F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Industrijski stroji</w:t>
            </w:r>
          </w:p>
        </w:tc>
        <w:tc>
          <w:tcPr>
            <w:tcW w:w="541" w:type="pct"/>
            <w:tcBorders>
              <w:top w:val="nil"/>
              <w:left w:val="nil"/>
              <w:bottom w:val="single" w:sz="4" w:space="0" w:color="auto"/>
              <w:right w:val="single" w:sz="4" w:space="0" w:color="auto"/>
            </w:tcBorders>
            <w:shd w:val="clear" w:color="auto" w:fill="auto"/>
            <w:noWrap/>
            <w:vAlign w:val="center"/>
            <w:hideMark/>
          </w:tcPr>
          <w:p w14:paraId="30B58166"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42</w:t>
            </w:r>
          </w:p>
        </w:tc>
        <w:tc>
          <w:tcPr>
            <w:tcW w:w="386" w:type="pct"/>
            <w:tcBorders>
              <w:top w:val="nil"/>
              <w:left w:val="nil"/>
              <w:bottom w:val="single" w:sz="4" w:space="0" w:color="auto"/>
              <w:right w:val="single" w:sz="4" w:space="0" w:color="auto"/>
            </w:tcBorders>
            <w:shd w:val="clear" w:color="auto" w:fill="auto"/>
            <w:noWrap/>
            <w:vAlign w:val="center"/>
            <w:hideMark/>
          </w:tcPr>
          <w:p w14:paraId="3E31FC2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147</w:t>
            </w:r>
          </w:p>
        </w:tc>
        <w:tc>
          <w:tcPr>
            <w:tcW w:w="772" w:type="pct"/>
            <w:tcBorders>
              <w:top w:val="nil"/>
              <w:left w:val="nil"/>
              <w:bottom w:val="single" w:sz="4" w:space="0" w:color="auto"/>
              <w:right w:val="single" w:sz="4" w:space="0" w:color="auto"/>
            </w:tcBorders>
            <w:shd w:val="clear" w:color="auto" w:fill="auto"/>
            <w:noWrap/>
            <w:vAlign w:val="center"/>
            <w:hideMark/>
          </w:tcPr>
          <w:p w14:paraId="1EA30C5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21.228.987</w:t>
            </w:r>
          </w:p>
        </w:tc>
        <w:tc>
          <w:tcPr>
            <w:tcW w:w="619" w:type="pct"/>
            <w:tcBorders>
              <w:top w:val="nil"/>
              <w:left w:val="nil"/>
              <w:bottom w:val="single" w:sz="4" w:space="0" w:color="auto"/>
              <w:right w:val="single" w:sz="4" w:space="0" w:color="auto"/>
            </w:tcBorders>
            <w:shd w:val="clear" w:color="auto" w:fill="auto"/>
            <w:noWrap/>
            <w:vAlign w:val="center"/>
            <w:hideMark/>
          </w:tcPr>
          <w:p w14:paraId="701CDA2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5,83 %</w:t>
            </w:r>
          </w:p>
        </w:tc>
        <w:tc>
          <w:tcPr>
            <w:tcW w:w="676" w:type="pct"/>
            <w:tcBorders>
              <w:top w:val="nil"/>
              <w:left w:val="nil"/>
              <w:bottom w:val="single" w:sz="4" w:space="0" w:color="auto"/>
              <w:right w:val="single" w:sz="4" w:space="0" w:color="auto"/>
            </w:tcBorders>
            <w:shd w:val="clear" w:color="auto" w:fill="auto"/>
            <w:noWrap/>
            <w:vAlign w:val="center"/>
            <w:hideMark/>
          </w:tcPr>
          <w:p w14:paraId="1DE978F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1,47 %</w:t>
            </w:r>
          </w:p>
        </w:tc>
      </w:tr>
      <w:tr w:rsidR="00F24E18" w:rsidRPr="00F858FD" w14:paraId="30C7766F"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1844B66E"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Rudarska, kamnoseška in gradbena oprema</w:t>
            </w:r>
          </w:p>
        </w:tc>
        <w:tc>
          <w:tcPr>
            <w:tcW w:w="541" w:type="pct"/>
            <w:tcBorders>
              <w:top w:val="nil"/>
              <w:left w:val="nil"/>
              <w:bottom w:val="single" w:sz="4" w:space="0" w:color="auto"/>
              <w:right w:val="single" w:sz="4" w:space="0" w:color="auto"/>
            </w:tcBorders>
            <w:shd w:val="clear" w:color="auto" w:fill="auto"/>
            <w:noWrap/>
            <w:vAlign w:val="center"/>
            <w:hideMark/>
          </w:tcPr>
          <w:p w14:paraId="1F1761AB"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43</w:t>
            </w:r>
          </w:p>
        </w:tc>
        <w:tc>
          <w:tcPr>
            <w:tcW w:w="386" w:type="pct"/>
            <w:tcBorders>
              <w:top w:val="nil"/>
              <w:left w:val="nil"/>
              <w:bottom w:val="single" w:sz="4" w:space="0" w:color="auto"/>
              <w:right w:val="single" w:sz="4" w:space="0" w:color="auto"/>
            </w:tcBorders>
            <w:shd w:val="clear" w:color="auto" w:fill="auto"/>
            <w:noWrap/>
            <w:vAlign w:val="center"/>
            <w:hideMark/>
          </w:tcPr>
          <w:p w14:paraId="5F0AB071"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58</w:t>
            </w:r>
          </w:p>
        </w:tc>
        <w:tc>
          <w:tcPr>
            <w:tcW w:w="772" w:type="pct"/>
            <w:tcBorders>
              <w:top w:val="nil"/>
              <w:left w:val="nil"/>
              <w:bottom w:val="single" w:sz="4" w:space="0" w:color="auto"/>
              <w:right w:val="single" w:sz="4" w:space="0" w:color="auto"/>
            </w:tcBorders>
            <w:shd w:val="clear" w:color="auto" w:fill="auto"/>
            <w:noWrap/>
            <w:vAlign w:val="center"/>
            <w:hideMark/>
          </w:tcPr>
          <w:p w14:paraId="381FB84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11.359.875</w:t>
            </w:r>
          </w:p>
        </w:tc>
        <w:tc>
          <w:tcPr>
            <w:tcW w:w="619" w:type="pct"/>
            <w:tcBorders>
              <w:top w:val="nil"/>
              <w:left w:val="nil"/>
              <w:bottom w:val="single" w:sz="4" w:space="0" w:color="auto"/>
              <w:right w:val="single" w:sz="4" w:space="0" w:color="auto"/>
            </w:tcBorders>
            <w:shd w:val="clear" w:color="auto" w:fill="auto"/>
            <w:noWrap/>
            <w:vAlign w:val="center"/>
            <w:hideMark/>
          </w:tcPr>
          <w:p w14:paraId="33EDD58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2,30 %</w:t>
            </w:r>
          </w:p>
        </w:tc>
        <w:tc>
          <w:tcPr>
            <w:tcW w:w="676" w:type="pct"/>
            <w:tcBorders>
              <w:top w:val="nil"/>
              <w:left w:val="nil"/>
              <w:bottom w:val="single" w:sz="4" w:space="0" w:color="auto"/>
              <w:right w:val="single" w:sz="4" w:space="0" w:color="auto"/>
            </w:tcBorders>
            <w:shd w:val="clear" w:color="auto" w:fill="auto"/>
            <w:noWrap/>
            <w:vAlign w:val="center"/>
            <w:hideMark/>
          </w:tcPr>
          <w:p w14:paraId="4625BCC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0,79 %</w:t>
            </w:r>
          </w:p>
        </w:tc>
      </w:tr>
      <w:tr w:rsidR="00F24E18" w:rsidRPr="00F858FD" w14:paraId="152D730B"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6F1741E2"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Gradbene strukture in materiali; pomožni gradbeni izdelki (razen električnih aparatov)</w:t>
            </w:r>
          </w:p>
        </w:tc>
        <w:tc>
          <w:tcPr>
            <w:tcW w:w="541" w:type="pct"/>
            <w:tcBorders>
              <w:top w:val="nil"/>
              <w:left w:val="nil"/>
              <w:bottom w:val="single" w:sz="4" w:space="0" w:color="auto"/>
              <w:right w:val="single" w:sz="4" w:space="0" w:color="auto"/>
            </w:tcBorders>
            <w:shd w:val="clear" w:color="auto" w:fill="auto"/>
            <w:noWrap/>
            <w:vAlign w:val="center"/>
            <w:hideMark/>
          </w:tcPr>
          <w:p w14:paraId="6A4778D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44</w:t>
            </w:r>
          </w:p>
        </w:tc>
        <w:tc>
          <w:tcPr>
            <w:tcW w:w="386" w:type="pct"/>
            <w:tcBorders>
              <w:top w:val="nil"/>
              <w:left w:val="nil"/>
              <w:bottom w:val="single" w:sz="4" w:space="0" w:color="auto"/>
              <w:right w:val="single" w:sz="4" w:space="0" w:color="auto"/>
            </w:tcBorders>
            <w:shd w:val="clear" w:color="auto" w:fill="auto"/>
            <w:noWrap/>
            <w:vAlign w:val="center"/>
            <w:hideMark/>
          </w:tcPr>
          <w:p w14:paraId="52F3556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234</w:t>
            </w:r>
          </w:p>
        </w:tc>
        <w:tc>
          <w:tcPr>
            <w:tcW w:w="772" w:type="pct"/>
            <w:tcBorders>
              <w:top w:val="nil"/>
              <w:left w:val="nil"/>
              <w:bottom w:val="single" w:sz="4" w:space="0" w:color="auto"/>
              <w:right w:val="single" w:sz="4" w:space="0" w:color="auto"/>
            </w:tcBorders>
            <w:shd w:val="clear" w:color="auto" w:fill="auto"/>
            <w:noWrap/>
            <w:vAlign w:val="center"/>
            <w:hideMark/>
          </w:tcPr>
          <w:p w14:paraId="5C210C7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142.995.886</w:t>
            </w:r>
          </w:p>
        </w:tc>
        <w:tc>
          <w:tcPr>
            <w:tcW w:w="619" w:type="pct"/>
            <w:tcBorders>
              <w:top w:val="nil"/>
              <w:left w:val="nil"/>
              <w:bottom w:val="single" w:sz="4" w:space="0" w:color="auto"/>
              <w:right w:val="single" w:sz="4" w:space="0" w:color="auto"/>
            </w:tcBorders>
            <w:shd w:val="clear" w:color="auto" w:fill="auto"/>
            <w:noWrap/>
            <w:vAlign w:val="center"/>
            <w:hideMark/>
          </w:tcPr>
          <w:p w14:paraId="7AE8113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9,28 %</w:t>
            </w:r>
          </w:p>
        </w:tc>
        <w:tc>
          <w:tcPr>
            <w:tcW w:w="676" w:type="pct"/>
            <w:tcBorders>
              <w:top w:val="nil"/>
              <w:left w:val="nil"/>
              <w:bottom w:val="single" w:sz="4" w:space="0" w:color="auto"/>
              <w:right w:val="single" w:sz="4" w:space="0" w:color="auto"/>
            </w:tcBorders>
            <w:shd w:val="clear" w:color="auto" w:fill="auto"/>
            <w:noWrap/>
            <w:vAlign w:val="center"/>
            <w:hideMark/>
          </w:tcPr>
          <w:p w14:paraId="33E9389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9,93 %</w:t>
            </w:r>
          </w:p>
        </w:tc>
      </w:tr>
      <w:tr w:rsidR="00F24E18" w:rsidRPr="00F858FD" w14:paraId="3DABEB73"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BA33395"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Gradbena dela</w:t>
            </w:r>
          </w:p>
        </w:tc>
        <w:tc>
          <w:tcPr>
            <w:tcW w:w="541" w:type="pct"/>
            <w:tcBorders>
              <w:top w:val="nil"/>
              <w:left w:val="nil"/>
              <w:bottom w:val="single" w:sz="4" w:space="0" w:color="auto"/>
              <w:right w:val="single" w:sz="4" w:space="0" w:color="auto"/>
            </w:tcBorders>
            <w:shd w:val="clear" w:color="auto" w:fill="auto"/>
            <w:noWrap/>
            <w:vAlign w:val="center"/>
            <w:hideMark/>
          </w:tcPr>
          <w:p w14:paraId="0EFE92A7"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45</w:t>
            </w:r>
          </w:p>
        </w:tc>
        <w:tc>
          <w:tcPr>
            <w:tcW w:w="386" w:type="pct"/>
            <w:tcBorders>
              <w:top w:val="nil"/>
              <w:left w:val="nil"/>
              <w:bottom w:val="single" w:sz="4" w:space="0" w:color="auto"/>
              <w:right w:val="single" w:sz="4" w:space="0" w:color="auto"/>
            </w:tcBorders>
            <w:shd w:val="clear" w:color="auto" w:fill="auto"/>
            <w:noWrap/>
            <w:vAlign w:val="center"/>
            <w:hideMark/>
          </w:tcPr>
          <w:p w14:paraId="574CDAF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306</w:t>
            </w:r>
          </w:p>
        </w:tc>
        <w:tc>
          <w:tcPr>
            <w:tcW w:w="772" w:type="pct"/>
            <w:tcBorders>
              <w:top w:val="nil"/>
              <w:left w:val="nil"/>
              <w:bottom w:val="single" w:sz="4" w:space="0" w:color="auto"/>
              <w:right w:val="single" w:sz="4" w:space="0" w:color="auto"/>
            </w:tcBorders>
            <w:shd w:val="clear" w:color="auto" w:fill="auto"/>
            <w:noWrap/>
            <w:vAlign w:val="center"/>
            <w:hideMark/>
          </w:tcPr>
          <w:p w14:paraId="3A7A49A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458.593.996</w:t>
            </w:r>
          </w:p>
        </w:tc>
        <w:tc>
          <w:tcPr>
            <w:tcW w:w="619" w:type="pct"/>
            <w:tcBorders>
              <w:top w:val="nil"/>
              <w:left w:val="nil"/>
              <w:bottom w:val="single" w:sz="4" w:space="0" w:color="auto"/>
              <w:right w:val="single" w:sz="4" w:space="0" w:color="auto"/>
            </w:tcBorders>
            <w:shd w:val="clear" w:color="auto" w:fill="auto"/>
            <w:noWrap/>
            <w:vAlign w:val="center"/>
            <w:hideMark/>
          </w:tcPr>
          <w:p w14:paraId="0069079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12,13 %</w:t>
            </w:r>
          </w:p>
        </w:tc>
        <w:tc>
          <w:tcPr>
            <w:tcW w:w="676" w:type="pct"/>
            <w:tcBorders>
              <w:top w:val="nil"/>
              <w:left w:val="nil"/>
              <w:bottom w:val="single" w:sz="4" w:space="0" w:color="auto"/>
              <w:right w:val="single" w:sz="4" w:space="0" w:color="auto"/>
            </w:tcBorders>
            <w:shd w:val="clear" w:color="auto" w:fill="auto"/>
            <w:noWrap/>
            <w:vAlign w:val="center"/>
            <w:hideMark/>
          </w:tcPr>
          <w:p w14:paraId="5854862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31,84 %</w:t>
            </w:r>
          </w:p>
        </w:tc>
      </w:tr>
      <w:tr w:rsidR="00F24E18" w:rsidRPr="00F858FD" w14:paraId="1723DB20"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7747C1D"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Programski paketi in informacijski sistemi</w:t>
            </w:r>
          </w:p>
        </w:tc>
        <w:tc>
          <w:tcPr>
            <w:tcW w:w="541" w:type="pct"/>
            <w:tcBorders>
              <w:top w:val="nil"/>
              <w:left w:val="nil"/>
              <w:bottom w:val="single" w:sz="4" w:space="0" w:color="auto"/>
              <w:right w:val="single" w:sz="4" w:space="0" w:color="auto"/>
            </w:tcBorders>
            <w:shd w:val="clear" w:color="auto" w:fill="auto"/>
            <w:noWrap/>
            <w:vAlign w:val="center"/>
            <w:hideMark/>
          </w:tcPr>
          <w:p w14:paraId="1ACA162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48</w:t>
            </w:r>
          </w:p>
        </w:tc>
        <w:tc>
          <w:tcPr>
            <w:tcW w:w="386" w:type="pct"/>
            <w:tcBorders>
              <w:top w:val="nil"/>
              <w:left w:val="nil"/>
              <w:bottom w:val="single" w:sz="4" w:space="0" w:color="auto"/>
              <w:right w:val="single" w:sz="4" w:space="0" w:color="auto"/>
            </w:tcBorders>
            <w:shd w:val="clear" w:color="auto" w:fill="auto"/>
            <w:noWrap/>
            <w:vAlign w:val="center"/>
            <w:hideMark/>
          </w:tcPr>
          <w:p w14:paraId="55C01FF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34</w:t>
            </w:r>
          </w:p>
        </w:tc>
        <w:tc>
          <w:tcPr>
            <w:tcW w:w="772" w:type="pct"/>
            <w:tcBorders>
              <w:top w:val="nil"/>
              <w:left w:val="nil"/>
              <w:bottom w:val="single" w:sz="4" w:space="0" w:color="auto"/>
              <w:right w:val="single" w:sz="4" w:space="0" w:color="auto"/>
            </w:tcBorders>
            <w:shd w:val="clear" w:color="auto" w:fill="auto"/>
            <w:noWrap/>
            <w:vAlign w:val="center"/>
            <w:hideMark/>
          </w:tcPr>
          <w:p w14:paraId="469846F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11.756.178</w:t>
            </w:r>
          </w:p>
        </w:tc>
        <w:tc>
          <w:tcPr>
            <w:tcW w:w="619" w:type="pct"/>
            <w:tcBorders>
              <w:top w:val="nil"/>
              <w:left w:val="nil"/>
              <w:bottom w:val="single" w:sz="4" w:space="0" w:color="auto"/>
              <w:right w:val="single" w:sz="4" w:space="0" w:color="auto"/>
            </w:tcBorders>
            <w:shd w:val="clear" w:color="auto" w:fill="auto"/>
            <w:noWrap/>
            <w:vAlign w:val="center"/>
            <w:hideMark/>
          </w:tcPr>
          <w:p w14:paraId="5AE7369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1,35 %</w:t>
            </w:r>
          </w:p>
        </w:tc>
        <w:tc>
          <w:tcPr>
            <w:tcW w:w="676" w:type="pct"/>
            <w:tcBorders>
              <w:top w:val="nil"/>
              <w:left w:val="nil"/>
              <w:bottom w:val="single" w:sz="4" w:space="0" w:color="auto"/>
              <w:right w:val="single" w:sz="4" w:space="0" w:color="auto"/>
            </w:tcBorders>
            <w:shd w:val="clear" w:color="auto" w:fill="auto"/>
            <w:noWrap/>
            <w:vAlign w:val="center"/>
            <w:hideMark/>
          </w:tcPr>
          <w:p w14:paraId="732615E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0,82 %</w:t>
            </w:r>
          </w:p>
        </w:tc>
      </w:tr>
      <w:tr w:rsidR="00F24E18" w:rsidRPr="00F858FD" w14:paraId="1762E5E1"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559A0CC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popravila in vzdrževanja</w:t>
            </w:r>
          </w:p>
        </w:tc>
        <w:tc>
          <w:tcPr>
            <w:tcW w:w="541" w:type="pct"/>
            <w:tcBorders>
              <w:top w:val="nil"/>
              <w:left w:val="nil"/>
              <w:bottom w:val="single" w:sz="4" w:space="0" w:color="auto"/>
              <w:right w:val="single" w:sz="4" w:space="0" w:color="auto"/>
            </w:tcBorders>
            <w:shd w:val="clear" w:color="auto" w:fill="auto"/>
            <w:noWrap/>
            <w:vAlign w:val="center"/>
            <w:hideMark/>
          </w:tcPr>
          <w:p w14:paraId="11E80F73"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50</w:t>
            </w:r>
          </w:p>
        </w:tc>
        <w:tc>
          <w:tcPr>
            <w:tcW w:w="386" w:type="pct"/>
            <w:tcBorders>
              <w:top w:val="nil"/>
              <w:left w:val="nil"/>
              <w:bottom w:val="single" w:sz="4" w:space="0" w:color="auto"/>
              <w:right w:val="single" w:sz="4" w:space="0" w:color="auto"/>
            </w:tcBorders>
            <w:shd w:val="clear" w:color="auto" w:fill="auto"/>
            <w:noWrap/>
            <w:vAlign w:val="center"/>
            <w:hideMark/>
          </w:tcPr>
          <w:p w14:paraId="0EA55F4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449</w:t>
            </w:r>
          </w:p>
        </w:tc>
        <w:tc>
          <w:tcPr>
            <w:tcW w:w="772" w:type="pct"/>
            <w:tcBorders>
              <w:top w:val="nil"/>
              <w:left w:val="nil"/>
              <w:bottom w:val="single" w:sz="4" w:space="0" w:color="auto"/>
              <w:right w:val="single" w:sz="4" w:space="0" w:color="auto"/>
            </w:tcBorders>
            <w:shd w:val="clear" w:color="auto" w:fill="auto"/>
            <w:noWrap/>
            <w:vAlign w:val="center"/>
            <w:hideMark/>
          </w:tcPr>
          <w:p w14:paraId="79442E7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63.836.663</w:t>
            </w:r>
          </w:p>
        </w:tc>
        <w:tc>
          <w:tcPr>
            <w:tcW w:w="619" w:type="pct"/>
            <w:tcBorders>
              <w:top w:val="nil"/>
              <w:left w:val="nil"/>
              <w:bottom w:val="single" w:sz="4" w:space="0" w:color="auto"/>
              <w:right w:val="single" w:sz="4" w:space="0" w:color="auto"/>
            </w:tcBorders>
            <w:shd w:val="clear" w:color="auto" w:fill="auto"/>
            <w:noWrap/>
            <w:vAlign w:val="center"/>
            <w:hideMark/>
          </w:tcPr>
          <w:p w14:paraId="47B7234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17,80 %</w:t>
            </w:r>
          </w:p>
        </w:tc>
        <w:tc>
          <w:tcPr>
            <w:tcW w:w="676" w:type="pct"/>
            <w:tcBorders>
              <w:top w:val="nil"/>
              <w:left w:val="nil"/>
              <w:bottom w:val="single" w:sz="4" w:space="0" w:color="auto"/>
              <w:right w:val="single" w:sz="4" w:space="0" w:color="auto"/>
            </w:tcBorders>
            <w:shd w:val="clear" w:color="auto" w:fill="auto"/>
            <w:noWrap/>
            <w:vAlign w:val="center"/>
            <w:hideMark/>
          </w:tcPr>
          <w:p w14:paraId="57D166D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4,43 %</w:t>
            </w:r>
          </w:p>
        </w:tc>
      </w:tr>
      <w:tr w:rsidR="00F24E18" w:rsidRPr="00F858FD" w14:paraId="5A78FADA"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48199CD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inštalacije (razen programske opreme)</w:t>
            </w:r>
          </w:p>
        </w:tc>
        <w:tc>
          <w:tcPr>
            <w:tcW w:w="541" w:type="pct"/>
            <w:tcBorders>
              <w:top w:val="nil"/>
              <w:left w:val="nil"/>
              <w:bottom w:val="single" w:sz="4" w:space="0" w:color="auto"/>
              <w:right w:val="single" w:sz="4" w:space="0" w:color="auto"/>
            </w:tcBorders>
            <w:shd w:val="clear" w:color="auto" w:fill="auto"/>
            <w:noWrap/>
            <w:vAlign w:val="center"/>
            <w:hideMark/>
          </w:tcPr>
          <w:p w14:paraId="19A1BA9F"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51</w:t>
            </w:r>
          </w:p>
        </w:tc>
        <w:tc>
          <w:tcPr>
            <w:tcW w:w="386" w:type="pct"/>
            <w:tcBorders>
              <w:top w:val="nil"/>
              <w:left w:val="nil"/>
              <w:bottom w:val="single" w:sz="4" w:space="0" w:color="auto"/>
              <w:right w:val="single" w:sz="4" w:space="0" w:color="auto"/>
            </w:tcBorders>
            <w:shd w:val="clear" w:color="auto" w:fill="auto"/>
            <w:noWrap/>
            <w:vAlign w:val="center"/>
            <w:hideMark/>
          </w:tcPr>
          <w:p w14:paraId="6C811E2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35</w:t>
            </w:r>
          </w:p>
        </w:tc>
        <w:tc>
          <w:tcPr>
            <w:tcW w:w="772" w:type="pct"/>
            <w:tcBorders>
              <w:top w:val="nil"/>
              <w:left w:val="nil"/>
              <w:bottom w:val="single" w:sz="4" w:space="0" w:color="auto"/>
              <w:right w:val="single" w:sz="4" w:space="0" w:color="auto"/>
            </w:tcBorders>
            <w:shd w:val="clear" w:color="auto" w:fill="auto"/>
            <w:noWrap/>
            <w:vAlign w:val="center"/>
            <w:hideMark/>
          </w:tcPr>
          <w:p w14:paraId="306FC24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7.569.554</w:t>
            </w:r>
          </w:p>
        </w:tc>
        <w:tc>
          <w:tcPr>
            <w:tcW w:w="619" w:type="pct"/>
            <w:tcBorders>
              <w:top w:val="nil"/>
              <w:left w:val="nil"/>
              <w:bottom w:val="single" w:sz="4" w:space="0" w:color="auto"/>
              <w:right w:val="single" w:sz="4" w:space="0" w:color="auto"/>
            </w:tcBorders>
            <w:shd w:val="clear" w:color="auto" w:fill="auto"/>
            <w:noWrap/>
            <w:vAlign w:val="center"/>
            <w:hideMark/>
          </w:tcPr>
          <w:p w14:paraId="4A7DB38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1,39 %</w:t>
            </w:r>
          </w:p>
        </w:tc>
        <w:tc>
          <w:tcPr>
            <w:tcW w:w="676" w:type="pct"/>
            <w:tcBorders>
              <w:top w:val="nil"/>
              <w:left w:val="nil"/>
              <w:bottom w:val="single" w:sz="4" w:space="0" w:color="auto"/>
              <w:right w:val="single" w:sz="4" w:space="0" w:color="auto"/>
            </w:tcBorders>
            <w:shd w:val="clear" w:color="auto" w:fill="auto"/>
            <w:noWrap/>
            <w:vAlign w:val="center"/>
            <w:hideMark/>
          </w:tcPr>
          <w:p w14:paraId="535E0F2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0,53 %</w:t>
            </w:r>
          </w:p>
        </w:tc>
      </w:tr>
      <w:tr w:rsidR="00F24E18" w:rsidRPr="00F858FD" w14:paraId="03997E7B"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6E3C5E4D"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hotelov, restavracij in trgovine na drobno</w:t>
            </w:r>
          </w:p>
        </w:tc>
        <w:tc>
          <w:tcPr>
            <w:tcW w:w="541" w:type="pct"/>
            <w:tcBorders>
              <w:top w:val="nil"/>
              <w:left w:val="nil"/>
              <w:bottom w:val="single" w:sz="4" w:space="0" w:color="auto"/>
              <w:right w:val="single" w:sz="4" w:space="0" w:color="auto"/>
            </w:tcBorders>
            <w:shd w:val="clear" w:color="auto" w:fill="auto"/>
            <w:noWrap/>
            <w:vAlign w:val="center"/>
            <w:hideMark/>
          </w:tcPr>
          <w:p w14:paraId="1CFA9966"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55</w:t>
            </w:r>
          </w:p>
        </w:tc>
        <w:tc>
          <w:tcPr>
            <w:tcW w:w="386" w:type="pct"/>
            <w:tcBorders>
              <w:top w:val="nil"/>
              <w:left w:val="nil"/>
              <w:bottom w:val="single" w:sz="4" w:space="0" w:color="auto"/>
              <w:right w:val="single" w:sz="4" w:space="0" w:color="auto"/>
            </w:tcBorders>
            <w:shd w:val="clear" w:color="auto" w:fill="auto"/>
            <w:noWrap/>
            <w:vAlign w:val="center"/>
            <w:hideMark/>
          </w:tcPr>
          <w:p w14:paraId="54DBA76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772" w:type="pct"/>
            <w:tcBorders>
              <w:top w:val="nil"/>
              <w:left w:val="nil"/>
              <w:bottom w:val="single" w:sz="4" w:space="0" w:color="auto"/>
              <w:right w:val="single" w:sz="4" w:space="0" w:color="auto"/>
            </w:tcBorders>
            <w:shd w:val="clear" w:color="auto" w:fill="auto"/>
            <w:noWrap/>
            <w:vAlign w:val="center"/>
            <w:hideMark/>
          </w:tcPr>
          <w:p w14:paraId="09B23A5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2.086.482</w:t>
            </w:r>
          </w:p>
        </w:tc>
        <w:tc>
          <w:tcPr>
            <w:tcW w:w="619" w:type="pct"/>
            <w:tcBorders>
              <w:top w:val="nil"/>
              <w:left w:val="nil"/>
              <w:bottom w:val="single" w:sz="4" w:space="0" w:color="auto"/>
              <w:right w:val="single" w:sz="4" w:space="0" w:color="auto"/>
            </w:tcBorders>
            <w:shd w:val="clear" w:color="auto" w:fill="auto"/>
            <w:noWrap/>
            <w:vAlign w:val="center"/>
            <w:hideMark/>
          </w:tcPr>
          <w:p w14:paraId="157400B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0,04 %</w:t>
            </w:r>
          </w:p>
        </w:tc>
        <w:tc>
          <w:tcPr>
            <w:tcW w:w="676" w:type="pct"/>
            <w:tcBorders>
              <w:top w:val="nil"/>
              <w:left w:val="nil"/>
              <w:bottom w:val="single" w:sz="4" w:space="0" w:color="auto"/>
              <w:right w:val="single" w:sz="4" w:space="0" w:color="auto"/>
            </w:tcBorders>
            <w:shd w:val="clear" w:color="auto" w:fill="auto"/>
            <w:noWrap/>
            <w:vAlign w:val="center"/>
            <w:hideMark/>
          </w:tcPr>
          <w:p w14:paraId="1E4CCE7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0,14 %</w:t>
            </w:r>
          </w:p>
        </w:tc>
      </w:tr>
      <w:tr w:rsidR="00F24E18" w:rsidRPr="00F858FD" w14:paraId="233534A7"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295E098"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Prevozne storitve (razen prevoza odpadkov)</w:t>
            </w:r>
          </w:p>
        </w:tc>
        <w:tc>
          <w:tcPr>
            <w:tcW w:w="541" w:type="pct"/>
            <w:tcBorders>
              <w:top w:val="nil"/>
              <w:left w:val="nil"/>
              <w:bottom w:val="single" w:sz="4" w:space="0" w:color="auto"/>
              <w:right w:val="single" w:sz="4" w:space="0" w:color="auto"/>
            </w:tcBorders>
            <w:shd w:val="clear" w:color="auto" w:fill="auto"/>
            <w:noWrap/>
            <w:vAlign w:val="center"/>
            <w:hideMark/>
          </w:tcPr>
          <w:p w14:paraId="3AD5EBA1"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60</w:t>
            </w:r>
          </w:p>
        </w:tc>
        <w:tc>
          <w:tcPr>
            <w:tcW w:w="386" w:type="pct"/>
            <w:tcBorders>
              <w:top w:val="nil"/>
              <w:left w:val="nil"/>
              <w:bottom w:val="single" w:sz="4" w:space="0" w:color="auto"/>
              <w:right w:val="single" w:sz="4" w:space="0" w:color="auto"/>
            </w:tcBorders>
            <w:shd w:val="clear" w:color="auto" w:fill="auto"/>
            <w:noWrap/>
            <w:vAlign w:val="center"/>
            <w:hideMark/>
          </w:tcPr>
          <w:p w14:paraId="3BBD531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13</w:t>
            </w:r>
          </w:p>
        </w:tc>
        <w:tc>
          <w:tcPr>
            <w:tcW w:w="772" w:type="pct"/>
            <w:tcBorders>
              <w:top w:val="nil"/>
              <w:left w:val="nil"/>
              <w:bottom w:val="single" w:sz="4" w:space="0" w:color="auto"/>
              <w:right w:val="single" w:sz="4" w:space="0" w:color="auto"/>
            </w:tcBorders>
            <w:shd w:val="clear" w:color="auto" w:fill="auto"/>
            <w:noWrap/>
            <w:vAlign w:val="center"/>
            <w:hideMark/>
          </w:tcPr>
          <w:p w14:paraId="692A27E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82.759.569</w:t>
            </w:r>
          </w:p>
        </w:tc>
        <w:tc>
          <w:tcPr>
            <w:tcW w:w="619" w:type="pct"/>
            <w:tcBorders>
              <w:top w:val="nil"/>
              <w:left w:val="nil"/>
              <w:bottom w:val="single" w:sz="4" w:space="0" w:color="auto"/>
              <w:right w:val="single" w:sz="4" w:space="0" w:color="auto"/>
            </w:tcBorders>
            <w:shd w:val="clear" w:color="auto" w:fill="auto"/>
            <w:noWrap/>
            <w:vAlign w:val="center"/>
            <w:hideMark/>
          </w:tcPr>
          <w:p w14:paraId="114A5EE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0,52 %</w:t>
            </w:r>
          </w:p>
        </w:tc>
        <w:tc>
          <w:tcPr>
            <w:tcW w:w="676" w:type="pct"/>
            <w:tcBorders>
              <w:top w:val="nil"/>
              <w:left w:val="nil"/>
              <w:bottom w:val="single" w:sz="4" w:space="0" w:color="auto"/>
              <w:right w:val="single" w:sz="4" w:space="0" w:color="auto"/>
            </w:tcBorders>
            <w:shd w:val="clear" w:color="auto" w:fill="auto"/>
            <w:noWrap/>
            <w:vAlign w:val="center"/>
            <w:hideMark/>
          </w:tcPr>
          <w:p w14:paraId="6D27996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5,75 %</w:t>
            </w:r>
          </w:p>
        </w:tc>
      </w:tr>
      <w:tr w:rsidR="00F24E18" w:rsidRPr="00F858FD" w14:paraId="52769B28"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4B31A68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Podporne in pomožne prevozne storitve; storitve potovalnih agencij</w:t>
            </w:r>
          </w:p>
        </w:tc>
        <w:tc>
          <w:tcPr>
            <w:tcW w:w="541" w:type="pct"/>
            <w:tcBorders>
              <w:top w:val="nil"/>
              <w:left w:val="nil"/>
              <w:bottom w:val="single" w:sz="4" w:space="0" w:color="auto"/>
              <w:right w:val="single" w:sz="4" w:space="0" w:color="auto"/>
            </w:tcBorders>
            <w:shd w:val="clear" w:color="auto" w:fill="auto"/>
            <w:noWrap/>
            <w:vAlign w:val="center"/>
            <w:hideMark/>
          </w:tcPr>
          <w:p w14:paraId="4ACEB4A1"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63</w:t>
            </w:r>
          </w:p>
        </w:tc>
        <w:tc>
          <w:tcPr>
            <w:tcW w:w="386" w:type="pct"/>
            <w:tcBorders>
              <w:top w:val="nil"/>
              <w:left w:val="nil"/>
              <w:bottom w:val="single" w:sz="4" w:space="0" w:color="auto"/>
              <w:right w:val="single" w:sz="4" w:space="0" w:color="auto"/>
            </w:tcBorders>
            <w:shd w:val="clear" w:color="auto" w:fill="auto"/>
            <w:noWrap/>
            <w:vAlign w:val="center"/>
            <w:hideMark/>
          </w:tcPr>
          <w:p w14:paraId="76F45CA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w:t>
            </w:r>
          </w:p>
        </w:tc>
        <w:tc>
          <w:tcPr>
            <w:tcW w:w="772" w:type="pct"/>
            <w:tcBorders>
              <w:top w:val="nil"/>
              <w:left w:val="nil"/>
              <w:bottom w:val="single" w:sz="4" w:space="0" w:color="auto"/>
              <w:right w:val="single" w:sz="4" w:space="0" w:color="auto"/>
            </w:tcBorders>
            <w:shd w:val="clear" w:color="auto" w:fill="auto"/>
            <w:noWrap/>
            <w:vAlign w:val="center"/>
            <w:hideMark/>
          </w:tcPr>
          <w:p w14:paraId="1794510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878.370</w:t>
            </w:r>
          </w:p>
        </w:tc>
        <w:tc>
          <w:tcPr>
            <w:tcW w:w="619" w:type="pct"/>
            <w:tcBorders>
              <w:top w:val="nil"/>
              <w:left w:val="nil"/>
              <w:bottom w:val="single" w:sz="4" w:space="0" w:color="auto"/>
              <w:right w:val="single" w:sz="4" w:space="0" w:color="auto"/>
            </w:tcBorders>
            <w:shd w:val="clear" w:color="auto" w:fill="auto"/>
            <w:noWrap/>
            <w:vAlign w:val="center"/>
            <w:hideMark/>
          </w:tcPr>
          <w:p w14:paraId="2FF5873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0,08 %</w:t>
            </w:r>
          </w:p>
        </w:tc>
        <w:tc>
          <w:tcPr>
            <w:tcW w:w="676" w:type="pct"/>
            <w:tcBorders>
              <w:top w:val="nil"/>
              <w:left w:val="nil"/>
              <w:bottom w:val="single" w:sz="4" w:space="0" w:color="auto"/>
              <w:right w:val="single" w:sz="4" w:space="0" w:color="auto"/>
            </w:tcBorders>
            <w:shd w:val="clear" w:color="auto" w:fill="auto"/>
            <w:noWrap/>
            <w:vAlign w:val="center"/>
            <w:hideMark/>
          </w:tcPr>
          <w:p w14:paraId="7951CEC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0,06 %</w:t>
            </w:r>
          </w:p>
        </w:tc>
      </w:tr>
      <w:tr w:rsidR="00F24E18" w:rsidRPr="00F858FD" w14:paraId="1C59B4AB"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2B2B38E8"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lastRenderedPageBreak/>
              <w:t>Poštne in telekomunikacijske storitve</w:t>
            </w:r>
          </w:p>
        </w:tc>
        <w:tc>
          <w:tcPr>
            <w:tcW w:w="541" w:type="pct"/>
            <w:tcBorders>
              <w:top w:val="nil"/>
              <w:left w:val="nil"/>
              <w:bottom w:val="single" w:sz="4" w:space="0" w:color="auto"/>
              <w:right w:val="single" w:sz="4" w:space="0" w:color="auto"/>
            </w:tcBorders>
            <w:shd w:val="clear" w:color="auto" w:fill="auto"/>
            <w:noWrap/>
            <w:vAlign w:val="center"/>
            <w:hideMark/>
          </w:tcPr>
          <w:p w14:paraId="3432DAE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64</w:t>
            </w:r>
          </w:p>
        </w:tc>
        <w:tc>
          <w:tcPr>
            <w:tcW w:w="386" w:type="pct"/>
            <w:tcBorders>
              <w:top w:val="nil"/>
              <w:left w:val="nil"/>
              <w:bottom w:val="single" w:sz="4" w:space="0" w:color="auto"/>
              <w:right w:val="single" w:sz="4" w:space="0" w:color="auto"/>
            </w:tcBorders>
            <w:shd w:val="clear" w:color="auto" w:fill="auto"/>
            <w:noWrap/>
            <w:vAlign w:val="center"/>
            <w:hideMark/>
          </w:tcPr>
          <w:p w14:paraId="1E0563E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w:t>
            </w:r>
          </w:p>
        </w:tc>
        <w:tc>
          <w:tcPr>
            <w:tcW w:w="772" w:type="pct"/>
            <w:tcBorders>
              <w:top w:val="nil"/>
              <w:left w:val="nil"/>
              <w:bottom w:val="single" w:sz="4" w:space="0" w:color="auto"/>
              <w:right w:val="single" w:sz="4" w:space="0" w:color="auto"/>
            </w:tcBorders>
            <w:shd w:val="clear" w:color="auto" w:fill="auto"/>
            <w:noWrap/>
            <w:vAlign w:val="center"/>
            <w:hideMark/>
          </w:tcPr>
          <w:p w14:paraId="4FD587E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7.825.271</w:t>
            </w:r>
          </w:p>
        </w:tc>
        <w:tc>
          <w:tcPr>
            <w:tcW w:w="619" w:type="pct"/>
            <w:tcBorders>
              <w:top w:val="nil"/>
              <w:left w:val="nil"/>
              <w:bottom w:val="single" w:sz="4" w:space="0" w:color="auto"/>
              <w:right w:val="single" w:sz="4" w:space="0" w:color="auto"/>
            </w:tcBorders>
            <w:shd w:val="clear" w:color="auto" w:fill="auto"/>
            <w:noWrap/>
            <w:vAlign w:val="center"/>
            <w:hideMark/>
          </w:tcPr>
          <w:p w14:paraId="4DCB889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0,20 %</w:t>
            </w:r>
          </w:p>
        </w:tc>
        <w:tc>
          <w:tcPr>
            <w:tcW w:w="676" w:type="pct"/>
            <w:tcBorders>
              <w:top w:val="nil"/>
              <w:left w:val="nil"/>
              <w:bottom w:val="single" w:sz="4" w:space="0" w:color="auto"/>
              <w:right w:val="single" w:sz="4" w:space="0" w:color="auto"/>
            </w:tcBorders>
            <w:shd w:val="clear" w:color="auto" w:fill="auto"/>
            <w:noWrap/>
            <w:vAlign w:val="center"/>
            <w:hideMark/>
          </w:tcPr>
          <w:p w14:paraId="1444541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0,54 %</w:t>
            </w:r>
          </w:p>
        </w:tc>
      </w:tr>
      <w:tr w:rsidR="00F24E18" w:rsidRPr="00F858FD" w14:paraId="4EEEAA7C"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874C935"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Gospodarske javne službe</w:t>
            </w:r>
          </w:p>
        </w:tc>
        <w:tc>
          <w:tcPr>
            <w:tcW w:w="541" w:type="pct"/>
            <w:tcBorders>
              <w:top w:val="nil"/>
              <w:left w:val="nil"/>
              <w:bottom w:val="single" w:sz="4" w:space="0" w:color="auto"/>
              <w:right w:val="single" w:sz="4" w:space="0" w:color="auto"/>
            </w:tcBorders>
            <w:shd w:val="clear" w:color="auto" w:fill="auto"/>
            <w:noWrap/>
            <w:vAlign w:val="center"/>
            <w:hideMark/>
          </w:tcPr>
          <w:p w14:paraId="7357BBD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65</w:t>
            </w:r>
          </w:p>
        </w:tc>
        <w:tc>
          <w:tcPr>
            <w:tcW w:w="386" w:type="pct"/>
            <w:tcBorders>
              <w:top w:val="nil"/>
              <w:left w:val="nil"/>
              <w:bottom w:val="single" w:sz="4" w:space="0" w:color="auto"/>
              <w:right w:val="single" w:sz="4" w:space="0" w:color="auto"/>
            </w:tcBorders>
            <w:shd w:val="clear" w:color="auto" w:fill="auto"/>
            <w:noWrap/>
            <w:vAlign w:val="center"/>
            <w:hideMark/>
          </w:tcPr>
          <w:p w14:paraId="07CEDD5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w:t>
            </w:r>
          </w:p>
        </w:tc>
        <w:tc>
          <w:tcPr>
            <w:tcW w:w="772" w:type="pct"/>
            <w:tcBorders>
              <w:top w:val="nil"/>
              <w:left w:val="nil"/>
              <w:bottom w:val="single" w:sz="4" w:space="0" w:color="auto"/>
              <w:right w:val="single" w:sz="4" w:space="0" w:color="auto"/>
            </w:tcBorders>
            <w:shd w:val="clear" w:color="auto" w:fill="auto"/>
            <w:noWrap/>
            <w:vAlign w:val="center"/>
            <w:hideMark/>
          </w:tcPr>
          <w:p w14:paraId="260CF93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2.932.282</w:t>
            </w:r>
          </w:p>
        </w:tc>
        <w:tc>
          <w:tcPr>
            <w:tcW w:w="619" w:type="pct"/>
            <w:tcBorders>
              <w:top w:val="nil"/>
              <w:left w:val="nil"/>
              <w:bottom w:val="single" w:sz="4" w:space="0" w:color="auto"/>
              <w:right w:val="single" w:sz="4" w:space="0" w:color="auto"/>
            </w:tcBorders>
            <w:shd w:val="clear" w:color="auto" w:fill="auto"/>
            <w:noWrap/>
            <w:vAlign w:val="center"/>
            <w:hideMark/>
          </w:tcPr>
          <w:p w14:paraId="5AC2755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0,56 %</w:t>
            </w:r>
          </w:p>
        </w:tc>
        <w:tc>
          <w:tcPr>
            <w:tcW w:w="676" w:type="pct"/>
            <w:tcBorders>
              <w:top w:val="nil"/>
              <w:left w:val="nil"/>
              <w:bottom w:val="single" w:sz="4" w:space="0" w:color="auto"/>
              <w:right w:val="single" w:sz="4" w:space="0" w:color="auto"/>
            </w:tcBorders>
            <w:shd w:val="clear" w:color="auto" w:fill="auto"/>
            <w:noWrap/>
            <w:vAlign w:val="center"/>
            <w:hideMark/>
          </w:tcPr>
          <w:p w14:paraId="711BB4A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0,20 %</w:t>
            </w:r>
          </w:p>
        </w:tc>
      </w:tr>
      <w:tr w:rsidR="00F24E18" w:rsidRPr="00F858FD" w14:paraId="7BF63E69"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50F30E3"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Finančne in zavarovalniške storitve</w:t>
            </w:r>
          </w:p>
        </w:tc>
        <w:tc>
          <w:tcPr>
            <w:tcW w:w="541" w:type="pct"/>
            <w:tcBorders>
              <w:top w:val="nil"/>
              <w:left w:val="nil"/>
              <w:bottom w:val="single" w:sz="4" w:space="0" w:color="auto"/>
              <w:right w:val="single" w:sz="4" w:space="0" w:color="auto"/>
            </w:tcBorders>
            <w:shd w:val="clear" w:color="auto" w:fill="auto"/>
            <w:noWrap/>
            <w:vAlign w:val="center"/>
            <w:hideMark/>
          </w:tcPr>
          <w:p w14:paraId="22D3462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66</w:t>
            </w:r>
          </w:p>
        </w:tc>
        <w:tc>
          <w:tcPr>
            <w:tcW w:w="386" w:type="pct"/>
            <w:tcBorders>
              <w:top w:val="nil"/>
              <w:left w:val="nil"/>
              <w:bottom w:val="single" w:sz="4" w:space="0" w:color="auto"/>
              <w:right w:val="single" w:sz="4" w:space="0" w:color="auto"/>
            </w:tcBorders>
            <w:shd w:val="clear" w:color="auto" w:fill="auto"/>
            <w:noWrap/>
            <w:vAlign w:val="center"/>
            <w:hideMark/>
          </w:tcPr>
          <w:p w14:paraId="1E36861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23</w:t>
            </w:r>
          </w:p>
        </w:tc>
        <w:tc>
          <w:tcPr>
            <w:tcW w:w="772" w:type="pct"/>
            <w:tcBorders>
              <w:top w:val="nil"/>
              <w:left w:val="nil"/>
              <w:bottom w:val="single" w:sz="4" w:space="0" w:color="auto"/>
              <w:right w:val="single" w:sz="4" w:space="0" w:color="auto"/>
            </w:tcBorders>
            <w:shd w:val="clear" w:color="auto" w:fill="auto"/>
            <w:noWrap/>
            <w:vAlign w:val="center"/>
            <w:hideMark/>
          </w:tcPr>
          <w:p w14:paraId="2CC3880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26.863.013</w:t>
            </w:r>
          </w:p>
        </w:tc>
        <w:tc>
          <w:tcPr>
            <w:tcW w:w="619" w:type="pct"/>
            <w:tcBorders>
              <w:top w:val="nil"/>
              <w:left w:val="nil"/>
              <w:bottom w:val="single" w:sz="4" w:space="0" w:color="auto"/>
              <w:right w:val="single" w:sz="4" w:space="0" w:color="auto"/>
            </w:tcBorders>
            <w:shd w:val="clear" w:color="auto" w:fill="auto"/>
            <w:noWrap/>
            <w:vAlign w:val="center"/>
            <w:hideMark/>
          </w:tcPr>
          <w:p w14:paraId="64468D0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0,91 %</w:t>
            </w:r>
          </w:p>
        </w:tc>
        <w:tc>
          <w:tcPr>
            <w:tcW w:w="676" w:type="pct"/>
            <w:tcBorders>
              <w:top w:val="nil"/>
              <w:left w:val="nil"/>
              <w:bottom w:val="single" w:sz="4" w:space="0" w:color="auto"/>
              <w:right w:val="single" w:sz="4" w:space="0" w:color="auto"/>
            </w:tcBorders>
            <w:shd w:val="clear" w:color="auto" w:fill="auto"/>
            <w:noWrap/>
            <w:vAlign w:val="center"/>
            <w:hideMark/>
          </w:tcPr>
          <w:p w14:paraId="019CEB2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1,86 %</w:t>
            </w:r>
          </w:p>
        </w:tc>
      </w:tr>
      <w:tr w:rsidR="00F24E18" w:rsidRPr="00F858FD" w14:paraId="72453173"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0C53D08"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poslovanja z nepremičninami</w:t>
            </w:r>
          </w:p>
        </w:tc>
        <w:tc>
          <w:tcPr>
            <w:tcW w:w="541" w:type="pct"/>
            <w:tcBorders>
              <w:top w:val="nil"/>
              <w:left w:val="nil"/>
              <w:bottom w:val="single" w:sz="4" w:space="0" w:color="auto"/>
              <w:right w:val="single" w:sz="4" w:space="0" w:color="auto"/>
            </w:tcBorders>
            <w:shd w:val="clear" w:color="auto" w:fill="auto"/>
            <w:noWrap/>
            <w:vAlign w:val="center"/>
            <w:hideMark/>
          </w:tcPr>
          <w:p w14:paraId="19C316BA"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70</w:t>
            </w:r>
          </w:p>
        </w:tc>
        <w:tc>
          <w:tcPr>
            <w:tcW w:w="386" w:type="pct"/>
            <w:tcBorders>
              <w:top w:val="nil"/>
              <w:left w:val="nil"/>
              <w:bottom w:val="single" w:sz="4" w:space="0" w:color="auto"/>
              <w:right w:val="single" w:sz="4" w:space="0" w:color="auto"/>
            </w:tcBorders>
            <w:shd w:val="clear" w:color="auto" w:fill="auto"/>
            <w:noWrap/>
            <w:vAlign w:val="center"/>
            <w:hideMark/>
          </w:tcPr>
          <w:p w14:paraId="6C4BA79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772" w:type="pct"/>
            <w:tcBorders>
              <w:top w:val="nil"/>
              <w:left w:val="nil"/>
              <w:bottom w:val="single" w:sz="4" w:space="0" w:color="auto"/>
              <w:right w:val="single" w:sz="4" w:space="0" w:color="auto"/>
            </w:tcBorders>
            <w:shd w:val="clear" w:color="auto" w:fill="auto"/>
            <w:noWrap/>
            <w:vAlign w:val="center"/>
            <w:hideMark/>
          </w:tcPr>
          <w:p w14:paraId="2D69841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277.074</w:t>
            </w:r>
          </w:p>
        </w:tc>
        <w:tc>
          <w:tcPr>
            <w:tcW w:w="619" w:type="pct"/>
            <w:tcBorders>
              <w:top w:val="nil"/>
              <w:left w:val="nil"/>
              <w:bottom w:val="single" w:sz="4" w:space="0" w:color="auto"/>
              <w:right w:val="single" w:sz="4" w:space="0" w:color="auto"/>
            </w:tcBorders>
            <w:shd w:val="clear" w:color="auto" w:fill="auto"/>
            <w:noWrap/>
            <w:vAlign w:val="center"/>
            <w:hideMark/>
          </w:tcPr>
          <w:p w14:paraId="43FDCC7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0,04 %</w:t>
            </w:r>
          </w:p>
        </w:tc>
        <w:tc>
          <w:tcPr>
            <w:tcW w:w="676" w:type="pct"/>
            <w:tcBorders>
              <w:top w:val="nil"/>
              <w:left w:val="nil"/>
              <w:bottom w:val="single" w:sz="4" w:space="0" w:color="auto"/>
              <w:right w:val="single" w:sz="4" w:space="0" w:color="auto"/>
            </w:tcBorders>
            <w:shd w:val="clear" w:color="auto" w:fill="auto"/>
            <w:noWrap/>
            <w:vAlign w:val="center"/>
            <w:hideMark/>
          </w:tcPr>
          <w:p w14:paraId="7A999DB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0,02 %</w:t>
            </w:r>
          </w:p>
        </w:tc>
      </w:tr>
      <w:tr w:rsidR="00F24E18" w:rsidRPr="00F858FD" w14:paraId="31930403"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6387083B"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Arhitekturne, gradbeniške, inženirske in inšpekcijske storitve</w:t>
            </w:r>
          </w:p>
        </w:tc>
        <w:tc>
          <w:tcPr>
            <w:tcW w:w="541" w:type="pct"/>
            <w:tcBorders>
              <w:top w:val="nil"/>
              <w:left w:val="nil"/>
              <w:bottom w:val="single" w:sz="4" w:space="0" w:color="auto"/>
              <w:right w:val="single" w:sz="4" w:space="0" w:color="auto"/>
            </w:tcBorders>
            <w:shd w:val="clear" w:color="auto" w:fill="auto"/>
            <w:noWrap/>
            <w:vAlign w:val="center"/>
            <w:hideMark/>
          </w:tcPr>
          <w:p w14:paraId="4E53983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71</w:t>
            </w:r>
          </w:p>
        </w:tc>
        <w:tc>
          <w:tcPr>
            <w:tcW w:w="386" w:type="pct"/>
            <w:tcBorders>
              <w:top w:val="nil"/>
              <w:left w:val="nil"/>
              <w:bottom w:val="single" w:sz="4" w:space="0" w:color="auto"/>
              <w:right w:val="single" w:sz="4" w:space="0" w:color="auto"/>
            </w:tcBorders>
            <w:shd w:val="clear" w:color="auto" w:fill="auto"/>
            <w:noWrap/>
            <w:vAlign w:val="center"/>
            <w:hideMark/>
          </w:tcPr>
          <w:p w14:paraId="7803A5E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128</w:t>
            </w:r>
          </w:p>
        </w:tc>
        <w:tc>
          <w:tcPr>
            <w:tcW w:w="772" w:type="pct"/>
            <w:tcBorders>
              <w:top w:val="nil"/>
              <w:left w:val="nil"/>
              <w:bottom w:val="single" w:sz="4" w:space="0" w:color="auto"/>
              <w:right w:val="single" w:sz="4" w:space="0" w:color="auto"/>
            </w:tcBorders>
            <w:shd w:val="clear" w:color="auto" w:fill="auto"/>
            <w:noWrap/>
            <w:vAlign w:val="center"/>
            <w:hideMark/>
          </w:tcPr>
          <w:p w14:paraId="3F00C85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47.912.373</w:t>
            </w:r>
          </w:p>
        </w:tc>
        <w:tc>
          <w:tcPr>
            <w:tcW w:w="619" w:type="pct"/>
            <w:tcBorders>
              <w:top w:val="nil"/>
              <w:left w:val="nil"/>
              <w:bottom w:val="single" w:sz="4" w:space="0" w:color="auto"/>
              <w:right w:val="single" w:sz="4" w:space="0" w:color="auto"/>
            </w:tcBorders>
            <w:shd w:val="clear" w:color="auto" w:fill="auto"/>
            <w:noWrap/>
            <w:vAlign w:val="center"/>
            <w:hideMark/>
          </w:tcPr>
          <w:p w14:paraId="1C13873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5,08 %</w:t>
            </w:r>
          </w:p>
        </w:tc>
        <w:tc>
          <w:tcPr>
            <w:tcW w:w="676" w:type="pct"/>
            <w:tcBorders>
              <w:top w:val="nil"/>
              <w:left w:val="nil"/>
              <w:bottom w:val="single" w:sz="4" w:space="0" w:color="auto"/>
              <w:right w:val="single" w:sz="4" w:space="0" w:color="auto"/>
            </w:tcBorders>
            <w:shd w:val="clear" w:color="auto" w:fill="auto"/>
            <w:noWrap/>
            <w:vAlign w:val="center"/>
            <w:hideMark/>
          </w:tcPr>
          <w:p w14:paraId="3436B38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3,33 %</w:t>
            </w:r>
          </w:p>
        </w:tc>
      </w:tr>
      <w:tr w:rsidR="00F24E18" w:rsidRPr="00F858FD" w14:paraId="63678404"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700DAE1F"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informacijske tehnologije: svetovanje, razvoj programske opreme, internet in podpora</w:t>
            </w:r>
          </w:p>
        </w:tc>
        <w:tc>
          <w:tcPr>
            <w:tcW w:w="541" w:type="pct"/>
            <w:tcBorders>
              <w:top w:val="nil"/>
              <w:left w:val="nil"/>
              <w:bottom w:val="single" w:sz="4" w:space="0" w:color="auto"/>
              <w:right w:val="single" w:sz="4" w:space="0" w:color="auto"/>
            </w:tcBorders>
            <w:shd w:val="clear" w:color="auto" w:fill="auto"/>
            <w:noWrap/>
            <w:vAlign w:val="center"/>
            <w:hideMark/>
          </w:tcPr>
          <w:p w14:paraId="57DDBC98"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72</w:t>
            </w:r>
          </w:p>
        </w:tc>
        <w:tc>
          <w:tcPr>
            <w:tcW w:w="386" w:type="pct"/>
            <w:tcBorders>
              <w:top w:val="nil"/>
              <w:left w:val="nil"/>
              <w:bottom w:val="single" w:sz="4" w:space="0" w:color="auto"/>
              <w:right w:val="single" w:sz="4" w:space="0" w:color="auto"/>
            </w:tcBorders>
            <w:shd w:val="clear" w:color="auto" w:fill="auto"/>
            <w:noWrap/>
            <w:vAlign w:val="center"/>
            <w:hideMark/>
          </w:tcPr>
          <w:p w14:paraId="7098EB4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86</w:t>
            </w:r>
          </w:p>
        </w:tc>
        <w:tc>
          <w:tcPr>
            <w:tcW w:w="772" w:type="pct"/>
            <w:tcBorders>
              <w:top w:val="nil"/>
              <w:left w:val="nil"/>
              <w:bottom w:val="single" w:sz="4" w:space="0" w:color="auto"/>
              <w:right w:val="single" w:sz="4" w:space="0" w:color="auto"/>
            </w:tcBorders>
            <w:shd w:val="clear" w:color="auto" w:fill="auto"/>
            <w:noWrap/>
            <w:vAlign w:val="center"/>
            <w:hideMark/>
          </w:tcPr>
          <w:p w14:paraId="35862D3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44.516.958</w:t>
            </w:r>
          </w:p>
        </w:tc>
        <w:tc>
          <w:tcPr>
            <w:tcW w:w="619" w:type="pct"/>
            <w:tcBorders>
              <w:top w:val="nil"/>
              <w:left w:val="nil"/>
              <w:bottom w:val="single" w:sz="4" w:space="0" w:color="auto"/>
              <w:right w:val="single" w:sz="4" w:space="0" w:color="auto"/>
            </w:tcBorders>
            <w:shd w:val="clear" w:color="auto" w:fill="auto"/>
            <w:noWrap/>
            <w:vAlign w:val="center"/>
            <w:hideMark/>
          </w:tcPr>
          <w:p w14:paraId="7781D36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3,41 %</w:t>
            </w:r>
          </w:p>
        </w:tc>
        <w:tc>
          <w:tcPr>
            <w:tcW w:w="676" w:type="pct"/>
            <w:tcBorders>
              <w:top w:val="nil"/>
              <w:left w:val="nil"/>
              <w:bottom w:val="single" w:sz="4" w:space="0" w:color="auto"/>
              <w:right w:val="single" w:sz="4" w:space="0" w:color="auto"/>
            </w:tcBorders>
            <w:shd w:val="clear" w:color="auto" w:fill="auto"/>
            <w:noWrap/>
            <w:vAlign w:val="center"/>
            <w:hideMark/>
          </w:tcPr>
          <w:p w14:paraId="4A98CFC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3,09 %</w:t>
            </w:r>
          </w:p>
        </w:tc>
      </w:tr>
      <w:tr w:rsidR="00F24E18" w:rsidRPr="00F858FD" w14:paraId="07DB96B4"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15408A4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na področju raziskav in razvoja ter s tem povezane svetovalne storitve</w:t>
            </w:r>
          </w:p>
        </w:tc>
        <w:tc>
          <w:tcPr>
            <w:tcW w:w="541" w:type="pct"/>
            <w:tcBorders>
              <w:top w:val="nil"/>
              <w:left w:val="nil"/>
              <w:bottom w:val="single" w:sz="4" w:space="0" w:color="auto"/>
              <w:right w:val="single" w:sz="4" w:space="0" w:color="auto"/>
            </w:tcBorders>
            <w:shd w:val="clear" w:color="auto" w:fill="auto"/>
            <w:noWrap/>
            <w:vAlign w:val="center"/>
            <w:hideMark/>
          </w:tcPr>
          <w:p w14:paraId="6805DD85"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73</w:t>
            </w:r>
          </w:p>
        </w:tc>
        <w:tc>
          <w:tcPr>
            <w:tcW w:w="386" w:type="pct"/>
            <w:tcBorders>
              <w:top w:val="nil"/>
              <w:left w:val="nil"/>
              <w:bottom w:val="single" w:sz="4" w:space="0" w:color="auto"/>
              <w:right w:val="single" w:sz="4" w:space="0" w:color="auto"/>
            </w:tcBorders>
            <w:shd w:val="clear" w:color="auto" w:fill="auto"/>
            <w:noWrap/>
            <w:vAlign w:val="center"/>
            <w:hideMark/>
          </w:tcPr>
          <w:p w14:paraId="441030B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16</w:t>
            </w:r>
          </w:p>
        </w:tc>
        <w:tc>
          <w:tcPr>
            <w:tcW w:w="772" w:type="pct"/>
            <w:tcBorders>
              <w:top w:val="nil"/>
              <w:left w:val="nil"/>
              <w:bottom w:val="single" w:sz="4" w:space="0" w:color="auto"/>
              <w:right w:val="single" w:sz="4" w:space="0" w:color="auto"/>
            </w:tcBorders>
            <w:shd w:val="clear" w:color="auto" w:fill="auto"/>
            <w:noWrap/>
            <w:vAlign w:val="center"/>
            <w:hideMark/>
          </w:tcPr>
          <w:p w14:paraId="3C2926C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1.505.166</w:t>
            </w:r>
          </w:p>
        </w:tc>
        <w:tc>
          <w:tcPr>
            <w:tcW w:w="619" w:type="pct"/>
            <w:tcBorders>
              <w:top w:val="nil"/>
              <w:left w:val="nil"/>
              <w:bottom w:val="single" w:sz="4" w:space="0" w:color="auto"/>
              <w:right w:val="single" w:sz="4" w:space="0" w:color="auto"/>
            </w:tcBorders>
            <w:shd w:val="clear" w:color="auto" w:fill="auto"/>
            <w:noWrap/>
            <w:vAlign w:val="center"/>
            <w:hideMark/>
          </w:tcPr>
          <w:p w14:paraId="11C0B141"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0,63 %</w:t>
            </w:r>
          </w:p>
        </w:tc>
        <w:tc>
          <w:tcPr>
            <w:tcW w:w="676" w:type="pct"/>
            <w:tcBorders>
              <w:top w:val="nil"/>
              <w:left w:val="nil"/>
              <w:bottom w:val="single" w:sz="4" w:space="0" w:color="auto"/>
              <w:right w:val="single" w:sz="4" w:space="0" w:color="auto"/>
            </w:tcBorders>
            <w:shd w:val="clear" w:color="auto" w:fill="auto"/>
            <w:noWrap/>
            <w:vAlign w:val="center"/>
            <w:hideMark/>
          </w:tcPr>
          <w:p w14:paraId="285CB6B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0,10 %</w:t>
            </w:r>
          </w:p>
        </w:tc>
      </w:tr>
      <w:tr w:rsidR="00F24E18" w:rsidRPr="00F858FD" w14:paraId="1C30C0DB"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0E313EA7"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uprave, obrambe in socialnega zavarovanja</w:t>
            </w:r>
          </w:p>
        </w:tc>
        <w:tc>
          <w:tcPr>
            <w:tcW w:w="541" w:type="pct"/>
            <w:tcBorders>
              <w:top w:val="nil"/>
              <w:left w:val="nil"/>
              <w:bottom w:val="single" w:sz="4" w:space="0" w:color="auto"/>
              <w:right w:val="single" w:sz="4" w:space="0" w:color="auto"/>
            </w:tcBorders>
            <w:shd w:val="clear" w:color="auto" w:fill="auto"/>
            <w:noWrap/>
            <w:vAlign w:val="center"/>
            <w:hideMark/>
          </w:tcPr>
          <w:p w14:paraId="123D362E"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75</w:t>
            </w:r>
          </w:p>
        </w:tc>
        <w:tc>
          <w:tcPr>
            <w:tcW w:w="386" w:type="pct"/>
            <w:tcBorders>
              <w:top w:val="nil"/>
              <w:left w:val="nil"/>
              <w:bottom w:val="single" w:sz="4" w:space="0" w:color="auto"/>
              <w:right w:val="single" w:sz="4" w:space="0" w:color="auto"/>
            </w:tcBorders>
            <w:shd w:val="clear" w:color="auto" w:fill="auto"/>
            <w:noWrap/>
            <w:vAlign w:val="center"/>
            <w:hideMark/>
          </w:tcPr>
          <w:p w14:paraId="51544E5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w:t>
            </w:r>
          </w:p>
        </w:tc>
        <w:tc>
          <w:tcPr>
            <w:tcW w:w="772" w:type="pct"/>
            <w:tcBorders>
              <w:top w:val="nil"/>
              <w:left w:val="nil"/>
              <w:bottom w:val="single" w:sz="4" w:space="0" w:color="auto"/>
              <w:right w:val="single" w:sz="4" w:space="0" w:color="auto"/>
            </w:tcBorders>
            <w:shd w:val="clear" w:color="auto" w:fill="auto"/>
            <w:noWrap/>
            <w:vAlign w:val="center"/>
            <w:hideMark/>
          </w:tcPr>
          <w:p w14:paraId="2A4D377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1.344.116</w:t>
            </w:r>
          </w:p>
        </w:tc>
        <w:tc>
          <w:tcPr>
            <w:tcW w:w="619" w:type="pct"/>
            <w:tcBorders>
              <w:top w:val="nil"/>
              <w:left w:val="nil"/>
              <w:bottom w:val="single" w:sz="4" w:space="0" w:color="auto"/>
              <w:right w:val="single" w:sz="4" w:space="0" w:color="auto"/>
            </w:tcBorders>
            <w:shd w:val="clear" w:color="auto" w:fill="auto"/>
            <w:noWrap/>
            <w:vAlign w:val="center"/>
            <w:hideMark/>
          </w:tcPr>
          <w:p w14:paraId="6F55B95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0,24 %</w:t>
            </w:r>
          </w:p>
        </w:tc>
        <w:tc>
          <w:tcPr>
            <w:tcW w:w="676" w:type="pct"/>
            <w:tcBorders>
              <w:top w:val="nil"/>
              <w:left w:val="nil"/>
              <w:bottom w:val="single" w:sz="4" w:space="0" w:color="auto"/>
              <w:right w:val="single" w:sz="4" w:space="0" w:color="auto"/>
            </w:tcBorders>
            <w:shd w:val="clear" w:color="auto" w:fill="auto"/>
            <w:noWrap/>
            <w:vAlign w:val="center"/>
            <w:hideMark/>
          </w:tcPr>
          <w:p w14:paraId="46B4ABD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0,09 %</w:t>
            </w:r>
          </w:p>
        </w:tc>
      </w:tr>
      <w:tr w:rsidR="00F24E18" w:rsidRPr="00F858FD" w14:paraId="6F7F1A09"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1563470F"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povezane z industrijo nafte in zemeljskega plina</w:t>
            </w:r>
          </w:p>
        </w:tc>
        <w:tc>
          <w:tcPr>
            <w:tcW w:w="541" w:type="pct"/>
            <w:tcBorders>
              <w:top w:val="nil"/>
              <w:left w:val="nil"/>
              <w:bottom w:val="single" w:sz="4" w:space="0" w:color="auto"/>
              <w:right w:val="single" w:sz="4" w:space="0" w:color="auto"/>
            </w:tcBorders>
            <w:shd w:val="clear" w:color="auto" w:fill="auto"/>
            <w:noWrap/>
            <w:vAlign w:val="center"/>
            <w:hideMark/>
          </w:tcPr>
          <w:p w14:paraId="1CA9D87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76</w:t>
            </w:r>
          </w:p>
        </w:tc>
        <w:tc>
          <w:tcPr>
            <w:tcW w:w="386" w:type="pct"/>
            <w:tcBorders>
              <w:top w:val="nil"/>
              <w:left w:val="nil"/>
              <w:bottom w:val="single" w:sz="4" w:space="0" w:color="auto"/>
              <w:right w:val="single" w:sz="4" w:space="0" w:color="auto"/>
            </w:tcBorders>
            <w:shd w:val="clear" w:color="auto" w:fill="auto"/>
            <w:noWrap/>
            <w:vAlign w:val="center"/>
            <w:hideMark/>
          </w:tcPr>
          <w:p w14:paraId="3AE190F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w:t>
            </w:r>
          </w:p>
        </w:tc>
        <w:tc>
          <w:tcPr>
            <w:tcW w:w="772" w:type="pct"/>
            <w:tcBorders>
              <w:top w:val="nil"/>
              <w:left w:val="nil"/>
              <w:bottom w:val="single" w:sz="4" w:space="0" w:color="auto"/>
              <w:right w:val="single" w:sz="4" w:space="0" w:color="auto"/>
            </w:tcBorders>
            <w:shd w:val="clear" w:color="auto" w:fill="auto"/>
            <w:noWrap/>
            <w:vAlign w:val="center"/>
            <w:hideMark/>
          </w:tcPr>
          <w:p w14:paraId="7A84123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243.054</w:t>
            </w:r>
          </w:p>
        </w:tc>
        <w:tc>
          <w:tcPr>
            <w:tcW w:w="619" w:type="pct"/>
            <w:tcBorders>
              <w:top w:val="nil"/>
              <w:left w:val="nil"/>
              <w:bottom w:val="single" w:sz="4" w:space="0" w:color="auto"/>
              <w:right w:val="single" w:sz="4" w:space="0" w:color="auto"/>
            </w:tcBorders>
            <w:shd w:val="clear" w:color="auto" w:fill="auto"/>
            <w:noWrap/>
            <w:vAlign w:val="center"/>
            <w:hideMark/>
          </w:tcPr>
          <w:p w14:paraId="37BD010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0,08 %</w:t>
            </w:r>
          </w:p>
        </w:tc>
        <w:tc>
          <w:tcPr>
            <w:tcW w:w="676" w:type="pct"/>
            <w:tcBorders>
              <w:top w:val="nil"/>
              <w:left w:val="nil"/>
              <w:bottom w:val="single" w:sz="4" w:space="0" w:color="auto"/>
              <w:right w:val="single" w:sz="4" w:space="0" w:color="auto"/>
            </w:tcBorders>
            <w:shd w:val="clear" w:color="auto" w:fill="auto"/>
            <w:noWrap/>
            <w:vAlign w:val="center"/>
            <w:hideMark/>
          </w:tcPr>
          <w:p w14:paraId="68DC88F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0,02 %</w:t>
            </w:r>
          </w:p>
        </w:tc>
      </w:tr>
      <w:tr w:rsidR="00F24E18" w:rsidRPr="00F858FD" w14:paraId="654C9655"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7A16AED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na področju kmetijstva, gozdarstva, hortikulture, akvakulture in čebelarstva</w:t>
            </w:r>
          </w:p>
        </w:tc>
        <w:tc>
          <w:tcPr>
            <w:tcW w:w="541" w:type="pct"/>
            <w:tcBorders>
              <w:top w:val="nil"/>
              <w:left w:val="nil"/>
              <w:bottom w:val="single" w:sz="4" w:space="0" w:color="auto"/>
              <w:right w:val="single" w:sz="4" w:space="0" w:color="auto"/>
            </w:tcBorders>
            <w:shd w:val="clear" w:color="auto" w:fill="auto"/>
            <w:noWrap/>
            <w:vAlign w:val="center"/>
            <w:hideMark/>
          </w:tcPr>
          <w:p w14:paraId="533EA41B"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77</w:t>
            </w:r>
          </w:p>
        </w:tc>
        <w:tc>
          <w:tcPr>
            <w:tcW w:w="386" w:type="pct"/>
            <w:tcBorders>
              <w:top w:val="nil"/>
              <w:left w:val="nil"/>
              <w:bottom w:val="single" w:sz="4" w:space="0" w:color="auto"/>
              <w:right w:val="single" w:sz="4" w:space="0" w:color="auto"/>
            </w:tcBorders>
            <w:shd w:val="clear" w:color="auto" w:fill="auto"/>
            <w:noWrap/>
            <w:vAlign w:val="center"/>
            <w:hideMark/>
          </w:tcPr>
          <w:p w14:paraId="252A819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18</w:t>
            </w:r>
          </w:p>
        </w:tc>
        <w:tc>
          <w:tcPr>
            <w:tcW w:w="772" w:type="pct"/>
            <w:tcBorders>
              <w:top w:val="nil"/>
              <w:left w:val="nil"/>
              <w:bottom w:val="single" w:sz="4" w:space="0" w:color="auto"/>
              <w:right w:val="single" w:sz="4" w:space="0" w:color="auto"/>
            </w:tcBorders>
            <w:shd w:val="clear" w:color="auto" w:fill="auto"/>
            <w:noWrap/>
            <w:vAlign w:val="center"/>
            <w:hideMark/>
          </w:tcPr>
          <w:p w14:paraId="6ABA594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12.173.568</w:t>
            </w:r>
          </w:p>
        </w:tc>
        <w:tc>
          <w:tcPr>
            <w:tcW w:w="619" w:type="pct"/>
            <w:tcBorders>
              <w:top w:val="nil"/>
              <w:left w:val="nil"/>
              <w:bottom w:val="single" w:sz="4" w:space="0" w:color="auto"/>
              <w:right w:val="single" w:sz="4" w:space="0" w:color="auto"/>
            </w:tcBorders>
            <w:shd w:val="clear" w:color="auto" w:fill="auto"/>
            <w:noWrap/>
            <w:vAlign w:val="center"/>
            <w:hideMark/>
          </w:tcPr>
          <w:p w14:paraId="09FF76A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0,71 %</w:t>
            </w:r>
          </w:p>
        </w:tc>
        <w:tc>
          <w:tcPr>
            <w:tcW w:w="676" w:type="pct"/>
            <w:tcBorders>
              <w:top w:val="nil"/>
              <w:left w:val="nil"/>
              <w:bottom w:val="single" w:sz="4" w:space="0" w:color="auto"/>
              <w:right w:val="single" w:sz="4" w:space="0" w:color="auto"/>
            </w:tcBorders>
            <w:shd w:val="clear" w:color="auto" w:fill="auto"/>
            <w:noWrap/>
            <w:vAlign w:val="center"/>
            <w:hideMark/>
          </w:tcPr>
          <w:p w14:paraId="2876815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0,85 %</w:t>
            </w:r>
          </w:p>
        </w:tc>
      </w:tr>
      <w:tr w:rsidR="00F24E18" w:rsidRPr="00F858FD" w14:paraId="797BEFDC"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46302FC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Poslovne storitve: pravo, trženje, svetovanje, zaposlovanje, tiskanje in varnost</w:t>
            </w:r>
          </w:p>
        </w:tc>
        <w:tc>
          <w:tcPr>
            <w:tcW w:w="541" w:type="pct"/>
            <w:tcBorders>
              <w:top w:val="nil"/>
              <w:left w:val="nil"/>
              <w:bottom w:val="single" w:sz="4" w:space="0" w:color="auto"/>
              <w:right w:val="single" w:sz="4" w:space="0" w:color="auto"/>
            </w:tcBorders>
            <w:shd w:val="clear" w:color="auto" w:fill="auto"/>
            <w:noWrap/>
            <w:vAlign w:val="center"/>
            <w:hideMark/>
          </w:tcPr>
          <w:p w14:paraId="41A559D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79</w:t>
            </w:r>
          </w:p>
        </w:tc>
        <w:tc>
          <w:tcPr>
            <w:tcW w:w="386" w:type="pct"/>
            <w:tcBorders>
              <w:top w:val="nil"/>
              <w:left w:val="nil"/>
              <w:bottom w:val="single" w:sz="4" w:space="0" w:color="auto"/>
              <w:right w:val="single" w:sz="4" w:space="0" w:color="auto"/>
            </w:tcBorders>
            <w:shd w:val="clear" w:color="auto" w:fill="auto"/>
            <w:noWrap/>
            <w:vAlign w:val="center"/>
            <w:hideMark/>
          </w:tcPr>
          <w:p w14:paraId="7F73FBD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40</w:t>
            </w:r>
          </w:p>
        </w:tc>
        <w:tc>
          <w:tcPr>
            <w:tcW w:w="772" w:type="pct"/>
            <w:tcBorders>
              <w:top w:val="nil"/>
              <w:left w:val="nil"/>
              <w:bottom w:val="single" w:sz="4" w:space="0" w:color="auto"/>
              <w:right w:val="single" w:sz="4" w:space="0" w:color="auto"/>
            </w:tcBorders>
            <w:shd w:val="clear" w:color="auto" w:fill="auto"/>
            <w:noWrap/>
            <w:vAlign w:val="center"/>
            <w:hideMark/>
          </w:tcPr>
          <w:p w14:paraId="1F927C6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6.707.967</w:t>
            </w:r>
          </w:p>
        </w:tc>
        <w:tc>
          <w:tcPr>
            <w:tcW w:w="619" w:type="pct"/>
            <w:tcBorders>
              <w:top w:val="nil"/>
              <w:left w:val="nil"/>
              <w:bottom w:val="single" w:sz="4" w:space="0" w:color="auto"/>
              <w:right w:val="single" w:sz="4" w:space="0" w:color="auto"/>
            </w:tcBorders>
            <w:shd w:val="clear" w:color="auto" w:fill="auto"/>
            <w:noWrap/>
            <w:vAlign w:val="center"/>
            <w:hideMark/>
          </w:tcPr>
          <w:p w14:paraId="51BAF53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1,59 %</w:t>
            </w:r>
          </w:p>
        </w:tc>
        <w:tc>
          <w:tcPr>
            <w:tcW w:w="676" w:type="pct"/>
            <w:tcBorders>
              <w:top w:val="nil"/>
              <w:left w:val="nil"/>
              <w:bottom w:val="single" w:sz="4" w:space="0" w:color="auto"/>
              <w:right w:val="single" w:sz="4" w:space="0" w:color="auto"/>
            </w:tcBorders>
            <w:shd w:val="clear" w:color="auto" w:fill="auto"/>
            <w:noWrap/>
            <w:vAlign w:val="center"/>
            <w:hideMark/>
          </w:tcPr>
          <w:p w14:paraId="0C5D7C7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0,47 %</w:t>
            </w:r>
          </w:p>
        </w:tc>
      </w:tr>
      <w:tr w:rsidR="00F24E18" w:rsidRPr="00F858FD" w14:paraId="04B7FB84"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22ADD1F2"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na področju zdravstva in socialnega varstva</w:t>
            </w:r>
          </w:p>
        </w:tc>
        <w:tc>
          <w:tcPr>
            <w:tcW w:w="541" w:type="pct"/>
            <w:tcBorders>
              <w:top w:val="nil"/>
              <w:left w:val="nil"/>
              <w:bottom w:val="single" w:sz="4" w:space="0" w:color="auto"/>
              <w:right w:val="single" w:sz="4" w:space="0" w:color="auto"/>
            </w:tcBorders>
            <w:shd w:val="clear" w:color="auto" w:fill="auto"/>
            <w:noWrap/>
            <w:vAlign w:val="center"/>
            <w:hideMark/>
          </w:tcPr>
          <w:p w14:paraId="015BF0AF"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85</w:t>
            </w:r>
          </w:p>
        </w:tc>
        <w:tc>
          <w:tcPr>
            <w:tcW w:w="386" w:type="pct"/>
            <w:tcBorders>
              <w:top w:val="nil"/>
              <w:left w:val="nil"/>
              <w:bottom w:val="single" w:sz="4" w:space="0" w:color="auto"/>
              <w:right w:val="single" w:sz="4" w:space="0" w:color="auto"/>
            </w:tcBorders>
            <w:shd w:val="clear" w:color="auto" w:fill="auto"/>
            <w:noWrap/>
            <w:vAlign w:val="center"/>
            <w:hideMark/>
          </w:tcPr>
          <w:p w14:paraId="3F2D0CC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w:t>
            </w:r>
          </w:p>
        </w:tc>
        <w:tc>
          <w:tcPr>
            <w:tcW w:w="772" w:type="pct"/>
            <w:tcBorders>
              <w:top w:val="nil"/>
              <w:left w:val="nil"/>
              <w:bottom w:val="single" w:sz="4" w:space="0" w:color="auto"/>
              <w:right w:val="single" w:sz="4" w:space="0" w:color="auto"/>
            </w:tcBorders>
            <w:shd w:val="clear" w:color="auto" w:fill="auto"/>
            <w:noWrap/>
            <w:vAlign w:val="center"/>
            <w:hideMark/>
          </w:tcPr>
          <w:p w14:paraId="3E50897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599.689</w:t>
            </w:r>
          </w:p>
        </w:tc>
        <w:tc>
          <w:tcPr>
            <w:tcW w:w="619" w:type="pct"/>
            <w:tcBorders>
              <w:top w:val="nil"/>
              <w:left w:val="nil"/>
              <w:bottom w:val="single" w:sz="4" w:space="0" w:color="auto"/>
              <w:right w:val="single" w:sz="4" w:space="0" w:color="auto"/>
            </w:tcBorders>
            <w:shd w:val="clear" w:color="auto" w:fill="auto"/>
            <w:noWrap/>
            <w:vAlign w:val="center"/>
            <w:hideMark/>
          </w:tcPr>
          <w:p w14:paraId="32B63E4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0,16 %</w:t>
            </w:r>
          </w:p>
        </w:tc>
        <w:tc>
          <w:tcPr>
            <w:tcW w:w="676" w:type="pct"/>
            <w:tcBorders>
              <w:top w:val="nil"/>
              <w:left w:val="nil"/>
              <w:bottom w:val="single" w:sz="4" w:space="0" w:color="auto"/>
              <w:right w:val="single" w:sz="4" w:space="0" w:color="auto"/>
            </w:tcBorders>
            <w:shd w:val="clear" w:color="auto" w:fill="auto"/>
            <w:noWrap/>
            <w:vAlign w:val="center"/>
            <w:hideMark/>
          </w:tcPr>
          <w:p w14:paraId="147FC51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0,04 %</w:t>
            </w:r>
          </w:p>
        </w:tc>
      </w:tr>
      <w:tr w:rsidR="00F24E18" w:rsidRPr="00F858FD" w14:paraId="3FEE341F"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21389E5E"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v zvezi z odplakami, odpadki, čiščenjem in okoljem</w:t>
            </w:r>
          </w:p>
        </w:tc>
        <w:tc>
          <w:tcPr>
            <w:tcW w:w="541" w:type="pct"/>
            <w:tcBorders>
              <w:top w:val="nil"/>
              <w:left w:val="nil"/>
              <w:bottom w:val="single" w:sz="4" w:space="0" w:color="auto"/>
              <w:right w:val="single" w:sz="4" w:space="0" w:color="auto"/>
            </w:tcBorders>
            <w:shd w:val="clear" w:color="auto" w:fill="auto"/>
            <w:noWrap/>
            <w:vAlign w:val="center"/>
            <w:hideMark/>
          </w:tcPr>
          <w:p w14:paraId="14204475"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90</w:t>
            </w:r>
          </w:p>
        </w:tc>
        <w:tc>
          <w:tcPr>
            <w:tcW w:w="386" w:type="pct"/>
            <w:tcBorders>
              <w:top w:val="nil"/>
              <w:left w:val="nil"/>
              <w:bottom w:val="single" w:sz="4" w:space="0" w:color="auto"/>
              <w:right w:val="single" w:sz="4" w:space="0" w:color="auto"/>
            </w:tcBorders>
            <w:shd w:val="clear" w:color="auto" w:fill="auto"/>
            <w:noWrap/>
            <w:vAlign w:val="center"/>
            <w:hideMark/>
          </w:tcPr>
          <w:p w14:paraId="34EEFAD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102</w:t>
            </w:r>
          </w:p>
        </w:tc>
        <w:tc>
          <w:tcPr>
            <w:tcW w:w="772" w:type="pct"/>
            <w:tcBorders>
              <w:top w:val="nil"/>
              <w:left w:val="nil"/>
              <w:bottom w:val="single" w:sz="4" w:space="0" w:color="auto"/>
              <w:right w:val="single" w:sz="4" w:space="0" w:color="auto"/>
            </w:tcBorders>
            <w:shd w:val="clear" w:color="auto" w:fill="auto"/>
            <w:noWrap/>
            <w:vAlign w:val="center"/>
            <w:hideMark/>
          </w:tcPr>
          <w:p w14:paraId="4F1A0F1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19.844.719</w:t>
            </w:r>
          </w:p>
        </w:tc>
        <w:tc>
          <w:tcPr>
            <w:tcW w:w="619" w:type="pct"/>
            <w:tcBorders>
              <w:top w:val="nil"/>
              <w:left w:val="nil"/>
              <w:bottom w:val="single" w:sz="4" w:space="0" w:color="auto"/>
              <w:right w:val="single" w:sz="4" w:space="0" w:color="auto"/>
            </w:tcBorders>
            <w:shd w:val="clear" w:color="auto" w:fill="auto"/>
            <w:noWrap/>
            <w:vAlign w:val="center"/>
            <w:hideMark/>
          </w:tcPr>
          <w:p w14:paraId="35C2421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4,04 %</w:t>
            </w:r>
          </w:p>
        </w:tc>
        <w:tc>
          <w:tcPr>
            <w:tcW w:w="676" w:type="pct"/>
            <w:tcBorders>
              <w:top w:val="nil"/>
              <w:left w:val="nil"/>
              <w:bottom w:val="single" w:sz="4" w:space="0" w:color="auto"/>
              <w:right w:val="single" w:sz="4" w:space="0" w:color="auto"/>
            </w:tcBorders>
            <w:shd w:val="clear" w:color="auto" w:fill="auto"/>
            <w:noWrap/>
            <w:vAlign w:val="center"/>
            <w:hideMark/>
          </w:tcPr>
          <w:p w14:paraId="786E70E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1,38 %</w:t>
            </w:r>
          </w:p>
        </w:tc>
      </w:tr>
      <w:tr w:rsidR="00F24E18" w:rsidRPr="00F858FD" w14:paraId="6ADBA280" w14:textId="77777777" w:rsidTr="000E18B5">
        <w:trPr>
          <w:trHeight w:val="300"/>
        </w:trPr>
        <w:tc>
          <w:tcPr>
            <w:tcW w:w="2006" w:type="pct"/>
            <w:tcBorders>
              <w:top w:val="nil"/>
              <w:left w:val="single" w:sz="4" w:space="0" w:color="auto"/>
              <w:bottom w:val="single" w:sz="4" w:space="0" w:color="auto"/>
              <w:right w:val="single" w:sz="4" w:space="0" w:color="auto"/>
            </w:tcBorders>
            <w:shd w:val="clear" w:color="auto" w:fill="auto"/>
            <w:noWrap/>
            <w:vAlign w:val="center"/>
            <w:hideMark/>
          </w:tcPr>
          <w:p w14:paraId="305259D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Druge javne, skupne in osebne storitve</w:t>
            </w:r>
          </w:p>
        </w:tc>
        <w:tc>
          <w:tcPr>
            <w:tcW w:w="541" w:type="pct"/>
            <w:tcBorders>
              <w:top w:val="nil"/>
              <w:left w:val="nil"/>
              <w:bottom w:val="single" w:sz="4" w:space="0" w:color="auto"/>
              <w:right w:val="single" w:sz="4" w:space="0" w:color="auto"/>
            </w:tcBorders>
            <w:shd w:val="clear" w:color="auto" w:fill="auto"/>
            <w:noWrap/>
            <w:vAlign w:val="center"/>
            <w:hideMark/>
          </w:tcPr>
          <w:p w14:paraId="624C3E27"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98</w:t>
            </w:r>
          </w:p>
        </w:tc>
        <w:tc>
          <w:tcPr>
            <w:tcW w:w="386" w:type="pct"/>
            <w:tcBorders>
              <w:top w:val="nil"/>
              <w:left w:val="nil"/>
              <w:bottom w:val="single" w:sz="4" w:space="0" w:color="auto"/>
              <w:right w:val="single" w:sz="4" w:space="0" w:color="auto"/>
            </w:tcBorders>
            <w:shd w:val="clear" w:color="auto" w:fill="auto"/>
            <w:noWrap/>
            <w:vAlign w:val="center"/>
            <w:hideMark/>
          </w:tcPr>
          <w:p w14:paraId="21F943D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19</w:t>
            </w:r>
          </w:p>
        </w:tc>
        <w:tc>
          <w:tcPr>
            <w:tcW w:w="772" w:type="pct"/>
            <w:tcBorders>
              <w:top w:val="nil"/>
              <w:left w:val="nil"/>
              <w:bottom w:val="single" w:sz="4" w:space="0" w:color="auto"/>
              <w:right w:val="single" w:sz="4" w:space="0" w:color="auto"/>
            </w:tcBorders>
            <w:shd w:val="clear" w:color="auto" w:fill="auto"/>
            <w:noWrap/>
            <w:vAlign w:val="center"/>
            <w:hideMark/>
          </w:tcPr>
          <w:p w14:paraId="72ACA1F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22.158.961</w:t>
            </w:r>
          </w:p>
        </w:tc>
        <w:tc>
          <w:tcPr>
            <w:tcW w:w="619" w:type="pct"/>
            <w:tcBorders>
              <w:top w:val="nil"/>
              <w:left w:val="nil"/>
              <w:bottom w:val="single" w:sz="4" w:space="0" w:color="auto"/>
              <w:right w:val="single" w:sz="4" w:space="0" w:color="auto"/>
            </w:tcBorders>
            <w:shd w:val="clear" w:color="auto" w:fill="auto"/>
            <w:noWrap/>
            <w:vAlign w:val="center"/>
            <w:hideMark/>
          </w:tcPr>
          <w:p w14:paraId="63CE5B2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0,75 %</w:t>
            </w:r>
          </w:p>
        </w:tc>
        <w:tc>
          <w:tcPr>
            <w:tcW w:w="676" w:type="pct"/>
            <w:tcBorders>
              <w:top w:val="nil"/>
              <w:left w:val="nil"/>
              <w:bottom w:val="single" w:sz="4" w:space="0" w:color="auto"/>
              <w:right w:val="single" w:sz="4" w:space="0" w:color="auto"/>
            </w:tcBorders>
            <w:shd w:val="clear" w:color="auto" w:fill="auto"/>
            <w:noWrap/>
            <w:vAlign w:val="center"/>
            <w:hideMark/>
          </w:tcPr>
          <w:p w14:paraId="7E8C63B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1,54 %</w:t>
            </w:r>
          </w:p>
        </w:tc>
      </w:tr>
      <w:tr w:rsidR="00F24E18" w:rsidRPr="00242E41" w14:paraId="1F6322BC" w14:textId="77777777" w:rsidTr="000E18B5">
        <w:trPr>
          <w:trHeight w:val="300"/>
        </w:trPr>
        <w:tc>
          <w:tcPr>
            <w:tcW w:w="254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F5FC1E" w14:textId="77777777" w:rsidR="00F24E18" w:rsidRPr="00F858FD" w:rsidRDefault="00F24E18" w:rsidP="000E18B5">
            <w:pPr>
              <w:spacing w:after="0" w:line="240" w:lineRule="auto"/>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Skupaj</w:t>
            </w:r>
          </w:p>
        </w:tc>
        <w:tc>
          <w:tcPr>
            <w:tcW w:w="386" w:type="pct"/>
            <w:tcBorders>
              <w:top w:val="nil"/>
              <w:left w:val="nil"/>
              <w:bottom w:val="single" w:sz="4" w:space="0" w:color="auto"/>
              <w:right w:val="single" w:sz="4" w:space="0" w:color="auto"/>
            </w:tcBorders>
            <w:shd w:val="clear" w:color="auto" w:fill="F2F2F2" w:themeFill="background1" w:themeFillShade="F2"/>
            <w:noWrap/>
            <w:vAlign w:val="center"/>
            <w:hideMark/>
          </w:tcPr>
          <w:p w14:paraId="25D5C8DE" w14:textId="77777777" w:rsidR="00F24E18" w:rsidRPr="00F858FD" w:rsidRDefault="00F24E18" w:rsidP="000E18B5">
            <w:pPr>
              <w:spacing w:after="0" w:line="240" w:lineRule="auto"/>
              <w:jc w:val="right"/>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2.522</w:t>
            </w:r>
          </w:p>
        </w:tc>
        <w:tc>
          <w:tcPr>
            <w:tcW w:w="772" w:type="pct"/>
            <w:tcBorders>
              <w:top w:val="nil"/>
              <w:left w:val="nil"/>
              <w:bottom w:val="single" w:sz="4" w:space="0" w:color="auto"/>
              <w:right w:val="single" w:sz="4" w:space="0" w:color="auto"/>
            </w:tcBorders>
            <w:shd w:val="clear" w:color="auto" w:fill="F2F2F2" w:themeFill="background1" w:themeFillShade="F2"/>
            <w:noWrap/>
            <w:vAlign w:val="center"/>
            <w:hideMark/>
          </w:tcPr>
          <w:p w14:paraId="1587A872" w14:textId="77777777" w:rsidR="00F24E18" w:rsidRPr="00F858FD" w:rsidRDefault="00F24E18" w:rsidP="000E18B5">
            <w:pPr>
              <w:spacing w:after="0" w:line="240" w:lineRule="auto"/>
              <w:jc w:val="right"/>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1.440.436.108</w:t>
            </w:r>
          </w:p>
        </w:tc>
        <w:tc>
          <w:tcPr>
            <w:tcW w:w="619" w:type="pct"/>
            <w:tcBorders>
              <w:top w:val="nil"/>
              <w:left w:val="nil"/>
              <w:bottom w:val="single" w:sz="4" w:space="0" w:color="auto"/>
              <w:right w:val="single" w:sz="4" w:space="0" w:color="auto"/>
            </w:tcBorders>
            <w:shd w:val="clear" w:color="auto" w:fill="F2F2F2" w:themeFill="background1" w:themeFillShade="F2"/>
            <w:noWrap/>
            <w:vAlign w:val="center"/>
            <w:hideMark/>
          </w:tcPr>
          <w:p w14:paraId="1055CEF2" w14:textId="77777777" w:rsidR="00F24E18" w:rsidRPr="00F858FD" w:rsidRDefault="00F24E18" w:rsidP="000E18B5">
            <w:pPr>
              <w:spacing w:after="0" w:line="240" w:lineRule="auto"/>
              <w:jc w:val="right"/>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100,00 %</w:t>
            </w:r>
          </w:p>
        </w:tc>
        <w:tc>
          <w:tcPr>
            <w:tcW w:w="676" w:type="pct"/>
            <w:tcBorders>
              <w:top w:val="nil"/>
              <w:left w:val="nil"/>
              <w:bottom w:val="single" w:sz="4" w:space="0" w:color="auto"/>
              <w:right w:val="single" w:sz="4" w:space="0" w:color="auto"/>
            </w:tcBorders>
            <w:shd w:val="clear" w:color="auto" w:fill="F2F2F2" w:themeFill="background1" w:themeFillShade="F2"/>
            <w:noWrap/>
            <w:vAlign w:val="center"/>
            <w:hideMark/>
          </w:tcPr>
          <w:p w14:paraId="46F0CFDD" w14:textId="77777777" w:rsidR="00F24E18" w:rsidRPr="00F858FD" w:rsidRDefault="00F24E18" w:rsidP="000E18B5">
            <w:pPr>
              <w:spacing w:after="0" w:line="240" w:lineRule="auto"/>
              <w:jc w:val="right"/>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100,00 %</w:t>
            </w:r>
          </w:p>
        </w:tc>
      </w:tr>
    </w:tbl>
    <w:p w14:paraId="39384AC8" w14:textId="77777777" w:rsidR="00F24E18" w:rsidRPr="00242E41" w:rsidRDefault="00F24E18" w:rsidP="00F24E18">
      <w:pPr>
        <w:spacing w:after="0" w:line="240" w:lineRule="auto"/>
        <w:jc w:val="right"/>
        <w:rPr>
          <w:rFonts w:ascii="Arial" w:eastAsia="Times New Roman" w:hAnsi="Arial" w:cs="Arial"/>
          <w:color w:val="000000"/>
          <w:sz w:val="18"/>
          <w:szCs w:val="18"/>
          <w:highlight w:val="yellow"/>
          <w:lang w:eastAsia="sl-SI"/>
        </w:rPr>
      </w:pPr>
    </w:p>
    <w:p w14:paraId="3F99B53F" w14:textId="77777777" w:rsidR="00F24E18" w:rsidRPr="00F858FD" w:rsidRDefault="00F24E18" w:rsidP="00F24E18">
      <w:pPr>
        <w:spacing w:before="120" w:after="0" w:line="240" w:lineRule="auto"/>
        <w:rPr>
          <w:rFonts w:ascii="Arial" w:hAnsi="Arial" w:cs="Arial"/>
          <w:sz w:val="20"/>
        </w:rPr>
      </w:pPr>
      <w:r w:rsidRPr="00F858FD">
        <w:rPr>
          <w:rFonts w:ascii="Arial" w:hAnsi="Arial" w:cs="Arial"/>
          <w:sz w:val="20"/>
        </w:rPr>
        <w:t>Preglednica 75: Javna naročila na obrambnem področju, glede na predmet naročanja po Enotnem besednjaku javnih naročil (CPV)</w:t>
      </w:r>
    </w:p>
    <w:p w14:paraId="06CAFC85" w14:textId="77777777" w:rsidR="00F24E18" w:rsidRPr="00242E41" w:rsidRDefault="00F24E18" w:rsidP="00F24E18">
      <w:pPr>
        <w:spacing w:after="0"/>
        <w:rPr>
          <w:rFonts w:ascii="Arial" w:hAnsi="Arial" w:cs="Arial"/>
          <w:sz w:val="20"/>
          <w:highlight w:val="yellow"/>
        </w:rPr>
      </w:pPr>
    </w:p>
    <w:tbl>
      <w:tblPr>
        <w:tblW w:w="0" w:type="auto"/>
        <w:tblCellMar>
          <w:left w:w="70" w:type="dxa"/>
          <w:right w:w="70" w:type="dxa"/>
        </w:tblCellMar>
        <w:tblLook w:val="04A0" w:firstRow="1" w:lastRow="0" w:firstColumn="1" w:lastColumn="0" w:noHBand="0" w:noVBand="1"/>
      </w:tblPr>
      <w:tblGrid>
        <w:gridCol w:w="3405"/>
        <w:gridCol w:w="1239"/>
        <w:gridCol w:w="709"/>
        <w:gridCol w:w="1443"/>
        <w:gridCol w:w="1137"/>
        <w:gridCol w:w="1241"/>
      </w:tblGrid>
      <w:tr w:rsidR="00F24E18" w:rsidRPr="00F858FD" w14:paraId="713966B4" w14:textId="77777777" w:rsidTr="000E18B5">
        <w:trPr>
          <w:trHeight w:val="480"/>
          <w:tblHeader/>
        </w:trPr>
        <w:tc>
          <w:tcPr>
            <w:tcW w:w="3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4462A7F"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Opis CPV oddelka</w:t>
            </w:r>
          </w:p>
        </w:tc>
        <w:tc>
          <w:tcPr>
            <w:tcW w:w="1239" w:type="dxa"/>
            <w:tcBorders>
              <w:top w:val="single" w:sz="4" w:space="0" w:color="auto"/>
              <w:left w:val="nil"/>
              <w:bottom w:val="single" w:sz="4" w:space="0" w:color="auto"/>
              <w:right w:val="single" w:sz="4" w:space="0" w:color="auto"/>
            </w:tcBorders>
            <w:shd w:val="clear" w:color="000000" w:fill="F2F2F2"/>
            <w:vAlign w:val="center"/>
            <w:hideMark/>
          </w:tcPr>
          <w:p w14:paraId="02D91C1D"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CPV oddelek</w:t>
            </w:r>
          </w:p>
        </w:tc>
        <w:tc>
          <w:tcPr>
            <w:tcW w:w="709" w:type="dxa"/>
            <w:tcBorders>
              <w:top w:val="single" w:sz="4" w:space="0" w:color="auto"/>
              <w:left w:val="nil"/>
              <w:bottom w:val="single" w:sz="4" w:space="0" w:color="auto"/>
              <w:right w:val="single" w:sz="4" w:space="0" w:color="auto"/>
            </w:tcBorders>
            <w:shd w:val="clear" w:color="000000" w:fill="F2F2F2"/>
            <w:vAlign w:val="center"/>
            <w:hideMark/>
          </w:tcPr>
          <w:p w14:paraId="5E182D12"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Št. naročil</w:t>
            </w:r>
          </w:p>
        </w:tc>
        <w:tc>
          <w:tcPr>
            <w:tcW w:w="1443" w:type="dxa"/>
            <w:tcBorders>
              <w:top w:val="single" w:sz="4" w:space="0" w:color="auto"/>
              <w:left w:val="nil"/>
              <w:bottom w:val="single" w:sz="4" w:space="0" w:color="auto"/>
              <w:right w:val="single" w:sz="4" w:space="0" w:color="auto"/>
            </w:tcBorders>
            <w:shd w:val="clear" w:color="000000" w:fill="F2F2F2"/>
            <w:vAlign w:val="center"/>
            <w:hideMark/>
          </w:tcPr>
          <w:p w14:paraId="6085EFA5"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Pogodbena vrednost</w:t>
            </w:r>
          </w:p>
        </w:tc>
        <w:tc>
          <w:tcPr>
            <w:tcW w:w="1137" w:type="dxa"/>
            <w:tcBorders>
              <w:top w:val="single" w:sz="4" w:space="0" w:color="auto"/>
              <w:left w:val="nil"/>
              <w:bottom w:val="single" w:sz="4" w:space="0" w:color="auto"/>
              <w:right w:val="single" w:sz="4" w:space="0" w:color="auto"/>
            </w:tcBorders>
            <w:shd w:val="clear" w:color="000000" w:fill="F2F2F2"/>
            <w:vAlign w:val="center"/>
            <w:hideMark/>
          </w:tcPr>
          <w:p w14:paraId="0D477133"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Delež v št. naročil</w:t>
            </w:r>
          </w:p>
        </w:tc>
        <w:tc>
          <w:tcPr>
            <w:tcW w:w="1241" w:type="dxa"/>
            <w:tcBorders>
              <w:top w:val="single" w:sz="4" w:space="0" w:color="auto"/>
              <w:left w:val="nil"/>
              <w:bottom w:val="single" w:sz="4" w:space="0" w:color="auto"/>
              <w:right w:val="single" w:sz="4" w:space="0" w:color="auto"/>
            </w:tcBorders>
            <w:shd w:val="clear" w:color="000000" w:fill="F2F2F2"/>
            <w:vAlign w:val="center"/>
            <w:hideMark/>
          </w:tcPr>
          <w:p w14:paraId="08CE665B" w14:textId="77777777" w:rsidR="00F24E18" w:rsidRPr="00F858FD" w:rsidRDefault="00F24E18" w:rsidP="000E18B5">
            <w:pPr>
              <w:spacing w:after="0" w:line="240" w:lineRule="auto"/>
              <w:jc w:val="center"/>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Delež v vrednosti</w:t>
            </w:r>
          </w:p>
        </w:tc>
      </w:tr>
      <w:tr w:rsidR="00F24E18" w:rsidRPr="00F858FD" w14:paraId="58588D52"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422609B1"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Oblačila, obutev, prtljaga in pribor</w:t>
            </w:r>
          </w:p>
        </w:tc>
        <w:tc>
          <w:tcPr>
            <w:tcW w:w="1239" w:type="dxa"/>
            <w:tcBorders>
              <w:top w:val="nil"/>
              <w:left w:val="nil"/>
              <w:bottom w:val="single" w:sz="4" w:space="0" w:color="auto"/>
              <w:right w:val="single" w:sz="4" w:space="0" w:color="auto"/>
            </w:tcBorders>
            <w:shd w:val="clear" w:color="auto" w:fill="auto"/>
            <w:noWrap/>
            <w:vAlign w:val="center"/>
            <w:hideMark/>
          </w:tcPr>
          <w:p w14:paraId="484EA058"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18</w:t>
            </w:r>
          </w:p>
        </w:tc>
        <w:tc>
          <w:tcPr>
            <w:tcW w:w="709" w:type="dxa"/>
            <w:tcBorders>
              <w:top w:val="nil"/>
              <w:left w:val="nil"/>
              <w:bottom w:val="single" w:sz="4" w:space="0" w:color="auto"/>
              <w:right w:val="single" w:sz="4" w:space="0" w:color="auto"/>
            </w:tcBorders>
            <w:shd w:val="clear" w:color="auto" w:fill="auto"/>
            <w:noWrap/>
            <w:vAlign w:val="center"/>
            <w:hideMark/>
          </w:tcPr>
          <w:p w14:paraId="0B6A300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1443" w:type="dxa"/>
            <w:tcBorders>
              <w:top w:val="nil"/>
              <w:left w:val="nil"/>
              <w:bottom w:val="single" w:sz="4" w:space="0" w:color="auto"/>
              <w:right w:val="single" w:sz="4" w:space="0" w:color="auto"/>
            </w:tcBorders>
            <w:shd w:val="clear" w:color="auto" w:fill="auto"/>
            <w:noWrap/>
            <w:vAlign w:val="center"/>
            <w:hideMark/>
          </w:tcPr>
          <w:p w14:paraId="03C1512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770.028</w:t>
            </w:r>
          </w:p>
        </w:tc>
        <w:tc>
          <w:tcPr>
            <w:tcW w:w="1137" w:type="dxa"/>
            <w:tcBorders>
              <w:top w:val="nil"/>
              <w:left w:val="nil"/>
              <w:bottom w:val="single" w:sz="4" w:space="0" w:color="auto"/>
              <w:right w:val="single" w:sz="4" w:space="0" w:color="auto"/>
            </w:tcBorders>
            <w:shd w:val="clear" w:color="auto" w:fill="auto"/>
            <w:noWrap/>
            <w:vAlign w:val="center"/>
            <w:hideMark/>
          </w:tcPr>
          <w:p w14:paraId="2A52885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0,78 %</w:t>
            </w:r>
          </w:p>
        </w:tc>
        <w:tc>
          <w:tcPr>
            <w:tcW w:w="1241" w:type="dxa"/>
            <w:tcBorders>
              <w:top w:val="nil"/>
              <w:left w:val="nil"/>
              <w:bottom w:val="single" w:sz="4" w:space="0" w:color="auto"/>
              <w:right w:val="single" w:sz="4" w:space="0" w:color="auto"/>
            </w:tcBorders>
            <w:shd w:val="clear" w:color="auto" w:fill="auto"/>
            <w:noWrap/>
            <w:vAlign w:val="center"/>
            <w:hideMark/>
          </w:tcPr>
          <w:p w14:paraId="3B44C57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0,50 %</w:t>
            </w:r>
          </w:p>
        </w:tc>
      </w:tr>
      <w:tr w:rsidR="00F24E18" w:rsidRPr="00F858FD" w14:paraId="68A13C62"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58325EE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Kemični proizvodi</w:t>
            </w:r>
          </w:p>
        </w:tc>
        <w:tc>
          <w:tcPr>
            <w:tcW w:w="1239" w:type="dxa"/>
            <w:tcBorders>
              <w:top w:val="nil"/>
              <w:left w:val="nil"/>
              <w:bottom w:val="single" w:sz="4" w:space="0" w:color="auto"/>
              <w:right w:val="single" w:sz="4" w:space="0" w:color="auto"/>
            </w:tcBorders>
            <w:shd w:val="clear" w:color="auto" w:fill="auto"/>
            <w:noWrap/>
            <w:vAlign w:val="center"/>
            <w:hideMark/>
          </w:tcPr>
          <w:p w14:paraId="1F6E9A48"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24</w:t>
            </w:r>
          </w:p>
        </w:tc>
        <w:tc>
          <w:tcPr>
            <w:tcW w:w="709" w:type="dxa"/>
            <w:tcBorders>
              <w:top w:val="nil"/>
              <w:left w:val="nil"/>
              <w:bottom w:val="single" w:sz="4" w:space="0" w:color="auto"/>
              <w:right w:val="single" w:sz="4" w:space="0" w:color="auto"/>
            </w:tcBorders>
            <w:shd w:val="clear" w:color="auto" w:fill="auto"/>
            <w:noWrap/>
            <w:vAlign w:val="center"/>
            <w:hideMark/>
          </w:tcPr>
          <w:p w14:paraId="71218D0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1443" w:type="dxa"/>
            <w:tcBorders>
              <w:top w:val="nil"/>
              <w:left w:val="nil"/>
              <w:bottom w:val="single" w:sz="4" w:space="0" w:color="auto"/>
              <w:right w:val="single" w:sz="4" w:space="0" w:color="auto"/>
            </w:tcBorders>
            <w:shd w:val="clear" w:color="auto" w:fill="auto"/>
            <w:noWrap/>
            <w:vAlign w:val="center"/>
            <w:hideMark/>
          </w:tcPr>
          <w:p w14:paraId="2F2B38D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172.800</w:t>
            </w:r>
          </w:p>
        </w:tc>
        <w:tc>
          <w:tcPr>
            <w:tcW w:w="1137" w:type="dxa"/>
            <w:tcBorders>
              <w:top w:val="nil"/>
              <w:left w:val="nil"/>
              <w:bottom w:val="single" w:sz="4" w:space="0" w:color="auto"/>
              <w:right w:val="single" w:sz="4" w:space="0" w:color="auto"/>
            </w:tcBorders>
            <w:shd w:val="clear" w:color="auto" w:fill="auto"/>
            <w:noWrap/>
            <w:vAlign w:val="center"/>
            <w:hideMark/>
          </w:tcPr>
          <w:p w14:paraId="282FF25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0,78 %</w:t>
            </w:r>
          </w:p>
        </w:tc>
        <w:tc>
          <w:tcPr>
            <w:tcW w:w="1241" w:type="dxa"/>
            <w:tcBorders>
              <w:top w:val="nil"/>
              <w:left w:val="nil"/>
              <w:bottom w:val="single" w:sz="4" w:space="0" w:color="auto"/>
              <w:right w:val="single" w:sz="4" w:space="0" w:color="auto"/>
            </w:tcBorders>
            <w:shd w:val="clear" w:color="auto" w:fill="auto"/>
            <w:noWrap/>
            <w:vAlign w:val="center"/>
            <w:hideMark/>
          </w:tcPr>
          <w:p w14:paraId="527188F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0,11 %</w:t>
            </w:r>
          </w:p>
        </w:tc>
      </w:tr>
      <w:tr w:rsidR="00F24E18" w:rsidRPr="00F858FD" w14:paraId="69DF593B"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0C9659B7"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Pisarniški in računski stroji, oprema in potrebščine, razen pohištva in programskih paketov</w:t>
            </w:r>
          </w:p>
        </w:tc>
        <w:tc>
          <w:tcPr>
            <w:tcW w:w="1239" w:type="dxa"/>
            <w:tcBorders>
              <w:top w:val="nil"/>
              <w:left w:val="nil"/>
              <w:bottom w:val="single" w:sz="4" w:space="0" w:color="auto"/>
              <w:right w:val="single" w:sz="4" w:space="0" w:color="auto"/>
            </w:tcBorders>
            <w:shd w:val="clear" w:color="auto" w:fill="auto"/>
            <w:noWrap/>
            <w:vAlign w:val="center"/>
            <w:hideMark/>
          </w:tcPr>
          <w:p w14:paraId="7EFC7A5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30</w:t>
            </w:r>
          </w:p>
        </w:tc>
        <w:tc>
          <w:tcPr>
            <w:tcW w:w="709" w:type="dxa"/>
            <w:tcBorders>
              <w:top w:val="nil"/>
              <w:left w:val="nil"/>
              <w:bottom w:val="single" w:sz="4" w:space="0" w:color="auto"/>
              <w:right w:val="single" w:sz="4" w:space="0" w:color="auto"/>
            </w:tcBorders>
            <w:shd w:val="clear" w:color="auto" w:fill="auto"/>
            <w:noWrap/>
            <w:vAlign w:val="center"/>
            <w:hideMark/>
          </w:tcPr>
          <w:p w14:paraId="36EEA35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w:t>
            </w:r>
          </w:p>
        </w:tc>
        <w:tc>
          <w:tcPr>
            <w:tcW w:w="1443" w:type="dxa"/>
            <w:tcBorders>
              <w:top w:val="nil"/>
              <w:left w:val="nil"/>
              <w:bottom w:val="single" w:sz="4" w:space="0" w:color="auto"/>
              <w:right w:val="single" w:sz="4" w:space="0" w:color="auto"/>
            </w:tcBorders>
            <w:shd w:val="clear" w:color="auto" w:fill="auto"/>
            <w:noWrap/>
            <w:vAlign w:val="center"/>
            <w:hideMark/>
          </w:tcPr>
          <w:p w14:paraId="7BFE0A8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840.610</w:t>
            </w:r>
          </w:p>
        </w:tc>
        <w:tc>
          <w:tcPr>
            <w:tcW w:w="1137" w:type="dxa"/>
            <w:tcBorders>
              <w:top w:val="nil"/>
              <w:left w:val="nil"/>
              <w:bottom w:val="single" w:sz="4" w:space="0" w:color="auto"/>
              <w:right w:val="single" w:sz="4" w:space="0" w:color="auto"/>
            </w:tcBorders>
            <w:shd w:val="clear" w:color="auto" w:fill="auto"/>
            <w:noWrap/>
            <w:vAlign w:val="center"/>
            <w:hideMark/>
          </w:tcPr>
          <w:p w14:paraId="5BE63AB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2,34 %</w:t>
            </w:r>
          </w:p>
        </w:tc>
        <w:tc>
          <w:tcPr>
            <w:tcW w:w="1241" w:type="dxa"/>
            <w:tcBorders>
              <w:top w:val="nil"/>
              <w:left w:val="nil"/>
              <w:bottom w:val="single" w:sz="4" w:space="0" w:color="auto"/>
              <w:right w:val="single" w:sz="4" w:space="0" w:color="auto"/>
            </w:tcBorders>
            <w:shd w:val="clear" w:color="auto" w:fill="auto"/>
            <w:noWrap/>
            <w:vAlign w:val="center"/>
            <w:hideMark/>
          </w:tcPr>
          <w:p w14:paraId="2A67C43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0,54 %</w:t>
            </w:r>
          </w:p>
        </w:tc>
      </w:tr>
      <w:tr w:rsidR="00F24E18" w:rsidRPr="00F858FD" w14:paraId="5529F0A6"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386F11D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Električni stroji, aparati, oprema in potrošno blago; razsvetljava</w:t>
            </w:r>
          </w:p>
        </w:tc>
        <w:tc>
          <w:tcPr>
            <w:tcW w:w="1239" w:type="dxa"/>
            <w:tcBorders>
              <w:top w:val="nil"/>
              <w:left w:val="nil"/>
              <w:bottom w:val="single" w:sz="4" w:space="0" w:color="auto"/>
              <w:right w:val="single" w:sz="4" w:space="0" w:color="auto"/>
            </w:tcBorders>
            <w:shd w:val="clear" w:color="auto" w:fill="auto"/>
            <w:noWrap/>
            <w:vAlign w:val="center"/>
            <w:hideMark/>
          </w:tcPr>
          <w:p w14:paraId="180B293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31</w:t>
            </w:r>
          </w:p>
        </w:tc>
        <w:tc>
          <w:tcPr>
            <w:tcW w:w="709" w:type="dxa"/>
            <w:tcBorders>
              <w:top w:val="nil"/>
              <w:left w:val="nil"/>
              <w:bottom w:val="single" w:sz="4" w:space="0" w:color="auto"/>
              <w:right w:val="single" w:sz="4" w:space="0" w:color="auto"/>
            </w:tcBorders>
            <w:shd w:val="clear" w:color="auto" w:fill="auto"/>
            <w:noWrap/>
            <w:vAlign w:val="center"/>
            <w:hideMark/>
          </w:tcPr>
          <w:p w14:paraId="7F37DAF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1443" w:type="dxa"/>
            <w:tcBorders>
              <w:top w:val="nil"/>
              <w:left w:val="nil"/>
              <w:bottom w:val="single" w:sz="4" w:space="0" w:color="auto"/>
              <w:right w:val="single" w:sz="4" w:space="0" w:color="auto"/>
            </w:tcBorders>
            <w:shd w:val="clear" w:color="auto" w:fill="auto"/>
            <w:noWrap/>
            <w:vAlign w:val="center"/>
            <w:hideMark/>
          </w:tcPr>
          <w:p w14:paraId="1CD94A3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99.990</w:t>
            </w:r>
          </w:p>
        </w:tc>
        <w:tc>
          <w:tcPr>
            <w:tcW w:w="1137" w:type="dxa"/>
            <w:tcBorders>
              <w:top w:val="nil"/>
              <w:left w:val="nil"/>
              <w:bottom w:val="single" w:sz="4" w:space="0" w:color="auto"/>
              <w:right w:val="single" w:sz="4" w:space="0" w:color="auto"/>
            </w:tcBorders>
            <w:shd w:val="clear" w:color="auto" w:fill="auto"/>
            <w:noWrap/>
            <w:vAlign w:val="center"/>
            <w:hideMark/>
          </w:tcPr>
          <w:p w14:paraId="570026D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0,78 %</w:t>
            </w:r>
          </w:p>
        </w:tc>
        <w:tc>
          <w:tcPr>
            <w:tcW w:w="1241" w:type="dxa"/>
            <w:tcBorders>
              <w:top w:val="nil"/>
              <w:left w:val="nil"/>
              <w:bottom w:val="single" w:sz="4" w:space="0" w:color="auto"/>
              <w:right w:val="single" w:sz="4" w:space="0" w:color="auto"/>
            </w:tcBorders>
            <w:shd w:val="clear" w:color="auto" w:fill="auto"/>
            <w:noWrap/>
            <w:vAlign w:val="center"/>
            <w:hideMark/>
          </w:tcPr>
          <w:p w14:paraId="3BDE2B2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0,06 %</w:t>
            </w:r>
          </w:p>
        </w:tc>
      </w:tr>
      <w:tr w:rsidR="00F24E18" w:rsidRPr="00F858FD" w14:paraId="2E4265DE"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4501F1B6"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Radijski in televizijski aparati, komunikacijska, telekomunikacijska in z njimi povezana oprema</w:t>
            </w:r>
          </w:p>
        </w:tc>
        <w:tc>
          <w:tcPr>
            <w:tcW w:w="1239" w:type="dxa"/>
            <w:tcBorders>
              <w:top w:val="nil"/>
              <w:left w:val="nil"/>
              <w:bottom w:val="single" w:sz="4" w:space="0" w:color="auto"/>
              <w:right w:val="single" w:sz="4" w:space="0" w:color="auto"/>
            </w:tcBorders>
            <w:shd w:val="clear" w:color="auto" w:fill="auto"/>
            <w:noWrap/>
            <w:vAlign w:val="center"/>
            <w:hideMark/>
          </w:tcPr>
          <w:p w14:paraId="76A2B20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32</w:t>
            </w:r>
          </w:p>
        </w:tc>
        <w:tc>
          <w:tcPr>
            <w:tcW w:w="709" w:type="dxa"/>
            <w:tcBorders>
              <w:top w:val="nil"/>
              <w:left w:val="nil"/>
              <w:bottom w:val="single" w:sz="4" w:space="0" w:color="auto"/>
              <w:right w:val="single" w:sz="4" w:space="0" w:color="auto"/>
            </w:tcBorders>
            <w:shd w:val="clear" w:color="auto" w:fill="auto"/>
            <w:noWrap/>
            <w:vAlign w:val="center"/>
            <w:hideMark/>
          </w:tcPr>
          <w:p w14:paraId="5A957BE1"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w:t>
            </w:r>
          </w:p>
        </w:tc>
        <w:tc>
          <w:tcPr>
            <w:tcW w:w="1443" w:type="dxa"/>
            <w:tcBorders>
              <w:top w:val="nil"/>
              <w:left w:val="nil"/>
              <w:bottom w:val="single" w:sz="4" w:space="0" w:color="auto"/>
              <w:right w:val="single" w:sz="4" w:space="0" w:color="auto"/>
            </w:tcBorders>
            <w:shd w:val="clear" w:color="auto" w:fill="auto"/>
            <w:noWrap/>
            <w:vAlign w:val="center"/>
            <w:hideMark/>
          </w:tcPr>
          <w:p w14:paraId="33BE5AF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2.486.564</w:t>
            </w:r>
          </w:p>
        </w:tc>
        <w:tc>
          <w:tcPr>
            <w:tcW w:w="1137" w:type="dxa"/>
            <w:tcBorders>
              <w:top w:val="nil"/>
              <w:left w:val="nil"/>
              <w:bottom w:val="single" w:sz="4" w:space="0" w:color="auto"/>
              <w:right w:val="single" w:sz="4" w:space="0" w:color="auto"/>
            </w:tcBorders>
            <w:shd w:val="clear" w:color="auto" w:fill="auto"/>
            <w:noWrap/>
            <w:vAlign w:val="center"/>
            <w:hideMark/>
          </w:tcPr>
          <w:p w14:paraId="28B411E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3,13 %</w:t>
            </w:r>
          </w:p>
        </w:tc>
        <w:tc>
          <w:tcPr>
            <w:tcW w:w="1241" w:type="dxa"/>
            <w:tcBorders>
              <w:top w:val="nil"/>
              <w:left w:val="nil"/>
              <w:bottom w:val="single" w:sz="4" w:space="0" w:color="auto"/>
              <w:right w:val="single" w:sz="4" w:space="0" w:color="auto"/>
            </w:tcBorders>
            <w:shd w:val="clear" w:color="auto" w:fill="auto"/>
            <w:noWrap/>
            <w:vAlign w:val="center"/>
            <w:hideMark/>
          </w:tcPr>
          <w:p w14:paraId="1F201E9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1,60 %</w:t>
            </w:r>
          </w:p>
        </w:tc>
      </w:tr>
      <w:tr w:rsidR="00F24E18" w:rsidRPr="00F858FD" w14:paraId="56AB3AE2"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444AB56A"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Prevozna sredstva in dodatni proizvodi za promet</w:t>
            </w:r>
          </w:p>
        </w:tc>
        <w:tc>
          <w:tcPr>
            <w:tcW w:w="1239" w:type="dxa"/>
            <w:tcBorders>
              <w:top w:val="nil"/>
              <w:left w:val="nil"/>
              <w:bottom w:val="single" w:sz="4" w:space="0" w:color="auto"/>
              <w:right w:val="single" w:sz="4" w:space="0" w:color="auto"/>
            </w:tcBorders>
            <w:shd w:val="clear" w:color="auto" w:fill="auto"/>
            <w:noWrap/>
            <w:vAlign w:val="center"/>
            <w:hideMark/>
          </w:tcPr>
          <w:p w14:paraId="011E6D17"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34</w:t>
            </w:r>
          </w:p>
        </w:tc>
        <w:tc>
          <w:tcPr>
            <w:tcW w:w="709" w:type="dxa"/>
            <w:tcBorders>
              <w:top w:val="nil"/>
              <w:left w:val="nil"/>
              <w:bottom w:val="single" w:sz="4" w:space="0" w:color="auto"/>
              <w:right w:val="single" w:sz="4" w:space="0" w:color="auto"/>
            </w:tcBorders>
            <w:shd w:val="clear" w:color="auto" w:fill="auto"/>
            <w:noWrap/>
            <w:vAlign w:val="center"/>
            <w:hideMark/>
          </w:tcPr>
          <w:p w14:paraId="074BCD1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w:t>
            </w:r>
          </w:p>
        </w:tc>
        <w:tc>
          <w:tcPr>
            <w:tcW w:w="1443" w:type="dxa"/>
            <w:tcBorders>
              <w:top w:val="nil"/>
              <w:left w:val="nil"/>
              <w:bottom w:val="single" w:sz="4" w:space="0" w:color="auto"/>
              <w:right w:val="single" w:sz="4" w:space="0" w:color="auto"/>
            </w:tcBorders>
            <w:shd w:val="clear" w:color="auto" w:fill="auto"/>
            <w:noWrap/>
            <w:vAlign w:val="center"/>
            <w:hideMark/>
          </w:tcPr>
          <w:p w14:paraId="0206EA7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7.116.047</w:t>
            </w:r>
          </w:p>
        </w:tc>
        <w:tc>
          <w:tcPr>
            <w:tcW w:w="1137" w:type="dxa"/>
            <w:tcBorders>
              <w:top w:val="nil"/>
              <w:left w:val="nil"/>
              <w:bottom w:val="single" w:sz="4" w:space="0" w:color="auto"/>
              <w:right w:val="single" w:sz="4" w:space="0" w:color="auto"/>
            </w:tcBorders>
            <w:shd w:val="clear" w:color="auto" w:fill="auto"/>
            <w:noWrap/>
            <w:vAlign w:val="center"/>
            <w:hideMark/>
          </w:tcPr>
          <w:p w14:paraId="5E5E45D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4,69 %</w:t>
            </w:r>
          </w:p>
        </w:tc>
        <w:tc>
          <w:tcPr>
            <w:tcW w:w="1241" w:type="dxa"/>
            <w:tcBorders>
              <w:top w:val="nil"/>
              <w:left w:val="nil"/>
              <w:bottom w:val="single" w:sz="4" w:space="0" w:color="auto"/>
              <w:right w:val="single" w:sz="4" w:space="0" w:color="auto"/>
            </w:tcBorders>
            <w:shd w:val="clear" w:color="auto" w:fill="auto"/>
            <w:noWrap/>
            <w:vAlign w:val="center"/>
            <w:hideMark/>
          </w:tcPr>
          <w:p w14:paraId="61AA206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4,58 %</w:t>
            </w:r>
          </w:p>
        </w:tc>
      </w:tr>
      <w:tr w:rsidR="00F24E18" w:rsidRPr="00F858FD" w14:paraId="3E499393"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01FED3E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Varnostna, gasilska, policijska in obrambna oprema</w:t>
            </w:r>
          </w:p>
        </w:tc>
        <w:tc>
          <w:tcPr>
            <w:tcW w:w="1239" w:type="dxa"/>
            <w:tcBorders>
              <w:top w:val="nil"/>
              <w:left w:val="nil"/>
              <w:bottom w:val="single" w:sz="4" w:space="0" w:color="auto"/>
              <w:right w:val="single" w:sz="4" w:space="0" w:color="auto"/>
            </w:tcBorders>
            <w:shd w:val="clear" w:color="auto" w:fill="auto"/>
            <w:noWrap/>
            <w:vAlign w:val="center"/>
            <w:hideMark/>
          </w:tcPr>
          <w:p w14:paraId="28144306"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35</w:t>
            </w:r>
          </w:p>
        </w:tc>
        <w:tc>
          <w:tcPr>
            <w:tcW w:w="709" w:type="dxa"/>
            <w:tcBorders>
              <w:top w:val="nil"/>
              <w:left w:val="nil"/>
              <w:bottom w:val="single" w:sz="4" w:space="0" w:color="auto"/>
              <w:right w:val="single" w:sz="4" w:space="0" w:color="auto"/>
            </w:tcBorders>
            <w:shd w:val="clear" w:color="auto" w:fill="auto"/>
            <w:noWrap/>
            <w:vAlign w:val="center"/>
            <w:hideMark/>
          </w:tcPr>
          <w:p w14:paraId="2C5C0B8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62</w:t>
            </w:r>
          </w:p>
        </w:tc>
        <w:tc>
          <w:tcPr>
            <w:tcW w:w="1443" w:type="dxa"/>
            <w:tcBorders>
              <w:top w:val="nil"/>
              <w:left w:val="nil"/>
              <w:bottom w:val="single" w:sz="4" w:space="0" w:color="auto"/>
              <w:right w:val="single" w:sz="4" w:space="0" w:color="auto"/>
            </w:tcBorders>
            <w:shd w:val="clear" w:color="auto" w:fill="auto"/>
            <w:noWrap/>
            <w:vAlign w:val="center"/>
            <w:hideMark/>
          </w:tcPr>
          <w:p w14:paraId="6234374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87.885.355</w:t>
            </w:r>
          </w:p>
        </w:tc>
        <w:tc>
          <w:tcPr>
            <w:tcW w:w="1137" w:type="dxa"/>
            <w:tcBorders>
              <w:top w:val="nil"/>
              <w:left w:val="nil"/>
              <w:bottom w:val="single" w:sz="4" w:space="0" w:color="auto"/>
              <w:right w:val="single" w:sz="4" w:space="0" w:color="auto"/>
            </w:tcBorders>
            <w:shd w:val="clear" w:color="auto" w:fill="auto"/>
            <w:noWrap/>
            <w:vAlign w:val="center"/>
            <w:hideMark/>
          </w:tcPr>
          <w:p w14:paraId="08397FD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48,44 %</w:t>
            </w:r>
          </w:p>
        </w:tc>
        <w:tc>
          <w:tcPr>
            <w:tcW w:w="1241" w:type="dxa"/>
            <w:tcBorders>
              <w:top w:val="nil"/>
              <w:left w:val="nil"/>
              <w:bottom w:val="single" w:sz="4" w:space="0" w:color="auto"/>
              <w:right w:val="single" w:sz="4" w:space="0" w:color="auto"/>
            </w:tcBorders>
            <w:shd w:val="clear" w:color="auto" w:fill="auto"/>
            <w:noWrap/>
            <w:vAlign w:val="center"/>
            <w:hideMark/>
          </w:tcPr>
          <w:p w14:paraId="20E9A41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56,55 %</w:t>
            </w:r>
          </w:p>
        </w:tc>
      </w:tr>
      <w:tr w:rsidR="00F24E18" w:rsidRPr="00F858FD" w14:paraId="6CF7834E"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27AF3A3B"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Laboratorijska, optična in precizna oprema (razen očal)</w:t>
            </w:r>
          </w:p>
        </w:tc>
        <w:tc>
          <w:tcPr>
            <w:tcW w:w="1239" w:type="dxa"/>
            <w:tcBorders>
              <w:top w:val="nil"/>
              <w:left w:val="nil"/>
              <w:bottom w:val="single" w:sz="4" w:space="0" w:color="auto"/>
              <w:right w:val="single" w:sz="4" w:space="0" w:color="auto"/>
            </w:tcBorders>
            <w:shd w:val="clear" w:color="auto" w:fill="auto"/>
            <w:noWrap/>
            <w:vAlign w:val="center"/>
            <w:hideMark/>
          </w:tcPr>
          <w:p w14:paraId="0859BC62"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38</w:t>
            </w:r>
          </w:p>
        </w:tc>
        <w:tc>
          <w:tcPr>
            <w:tcW w:w="709" w:type="dxa"/>
            <w:tcBorders>
              <w:top w:val="nil"/>
              <w:left w:val="nil"/>
              <w:bottom w:val="single" w:sz="4" w:space="0" w:color="auto"/>
              <w:right w:val="single" w:sz="4" w:space="0" w:color="auto"/>
            </w:tcBorders>
            <w:shd w:val="clear" w:color="auto" w:fill="auto"/>
            <w:noWrap/>
            <w:vAlign w:val="center"/>
            <w:hideMark/>
          </w:tcPr>
          <w:p w14:paraId="759CB1F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w:t>
            </w:r>
          </w:p>
        </w:tc>
        <w:tc>
          <w:tcPr>
            <w:tcW w:w="1443" w:type="dxa"/>
            <w:tcBorders>
              <w:top w:val="nil"/>
              <w:left w:val="nil"/>
              <w:bottom w:val="single" w:sz="4" w:space="0" w:color="auto"/>
              <w:right w:val="single" w:sz="4" w:space="0" w:color="auto"/>
            </w:tcBorders>
            <w:shd w:val="clear" w:color="auto" w:fill="auto"/>
            <w:noWrap/>
            <w:vAlign w:val="center"/>
            <w:hideMark/>
          </w:tcPr>
          <w:p w14:paraId="17657EE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1.348.700</w:t>
            </w:r>
          </w:p>
        </w:tc>
        <w:tc>
          <w:tcPr>
            <w:tcW w:w="1137" w:type="dxa"/>
            <w:tcBorders>
              <w:top w:val="nil"/>
              <w:left w:val="nil"/>
              <w:bottom w:val="single" w:sz="4" w:space="0" w:color="auto"/>
              <w:right w:val="single" w:sz="4" w:space="0" w:color="auto"/>
            </w:tcBorders>
            <w:shd w:val="clear" w:color="auto" w:fill="auto"/>
            <w:noWrap/>
            <w:vAlign w:val="center"/>
            <w:hideMark/>
          </w:tcPr>
          <w:p w14:paraId="2BC1E96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2,34 %</w:t>
            </w:r>
          </w:p>
        </w:tc>
        <w:tc>
          <w:tcPr>
            <w:tcW w:w="1241" w:type="dxa"/>
            <w:tcBorders>
              <w:top w:val="nil"/>
              <w:left w:val="nil"/>
              <w:bottom w:val="single" w:sz="4" w:space="0" w:color="auto"/>
              <w:right w:val="single" w:sz="4" w:space="0" w:color="auto"/>
            </w:tcBorders>
            <w:shd w:val="clear" w:color="auto" w:fill="auto"/>
            <w:noWrap/>
            <w:vAlign w:val="center"/>
            <w:hideMark/>
          </w:tcPr>
          <w:p w14:paraId="49235EC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0,87 %</w:t>
            </w:r>
          </w:p>
        </w:tc>
      </w:tr>
      <w:tr w:rsidR="00F24E18" w:rsidRPr="00F858FD" w14:paraId="6A228A24"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6E753C12"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1239" w:type="dxa"/>
            <w:tcBorders>
              <w:top w:val="nil"/>
              <w:left w:val="nil"/>
              <w:bottom w:val="single" w:sz="4" w:space="0" w:color="auto"/>
              <w:right w:val="single" w:sz="4" w:space="0" w:color="auto"/>
            </w:tcBorders>
            <w:shd w:val="clear" w:color="auto" w:fill="auto"/>
            <w:noWrap/>
            <w:vAlign w:val="center"/>
            <w:hideMark/>
          </w:tcPr>
          <w:p w14:paraId="228E7EBE"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39</w:t>
            </w:r>
          </w:p>
        </w:tc>
        <w:tc>
          <w:tcPr>
            <w:tcW w:w="709" w:type="dxa"/>
            <w:tcBorders>
              <w:top w:val="nil"/>
              <w:left w:val="nil"/>
              <w:bottom w:val="single" w:sz="4" w:space="0" w:color="auto"/>
              <w:right w:val="single" w:sz="4" w:space="0" w:color="auto"/>
            </w:tcBorders>
            <w:shd w:val="clear" w:color="auto" w:fill="auto"/>
            <w:noWrap/>
            <w:vAlign w:val="center"/>
            <w:hideMark/>
          </w:tcPr>
          <w:p w14:paraId="4FA110C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w:t>
            </w:r>
          </w:p>
        </w:tc>
        <w:tc>
          <w:tcPr>
            <w:tcW w:w="1443" w:type="dxa"/>
            <w:tcBorders>
              <w:top w:val="nil"/>
              <w:left w:val="nil"/>
              <w:bottom w:val="single" w:sz="4" w:space="0" w:color="auto"/>
              <w:right w:val="single" w:sz="4" w:space="0" w:color="auto"/>
            </w:tcBorders>
            <w:shd w:val="clear" w:color="auto" w:fill="auto"/>
            <w:noWrap/>
            <w:vAlign w:val="center"/>
            <w:hideMark/>
          </w:tcPr>
          <w:p w14:paraId="710D35E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3.569.112</w:t>
            </w:r>
          </w:p>
        </w:tc>
        <w:tc>
          <w:tcPr>
            <w:tcW w:w="1137" w:type="dxa"/>
            <w:tcBorders>
              <w:top w:val="nil"/>
              <w:left w:val="nil"/>
              <w:bottom w:val="single" w:sz="4" w:space="0" w:color="auto"/>
              <w:right w:val="single" w:sz="4" w:space="0" w:color="auto"/>
            </w:tcBorders>
            <w:shd w:val="clear" w:color="auto" w:fill="auto"/>
            <w:noWrap/>
            <w:vAlign w:val="center"/>
            <w:hideMark/>
          </w:tcPr>
          <w:p w14:paraId="22DA8F3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2,34 %</w:t>
            </w:r>
          </w:p>
        </w:tc>
        <w:tc>
          <w:tcPr>
            <w:tcW w:w="1241" w:type="dxa"/>
            <w:tcBorders>
              <w:top w:val="nil"/>
              <w:left w:val="nil"/>
              <w:bottom w:val="single" w:sz="4" w:space="0" w:color="auto"/>
              <w:right w:val="single" w:sz="4" w:space="0" w:color="auto"/>
            </w:tcBorders>
            <w:shd w:val="clear" w:color="auto" w:fill="auto"/>
            <w:noWrap/>
            <w:vAlign w:val="center"/>
            <w:hideMark/>
          </w:tcPr>
          <w:p w14:paraId="35B48A1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2,30 %</w:t>
            </w:r>
          </w:p>
        </w:tc>
      </w:tr>
      <w:tr w:rsidR="00F24E18" w:rsidRPr="00F858FD" w14:paraId="2AE7EA1B"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4A1A759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Industrijski stroji</w:t>
            </w:r>
          </w:p>
        </w:tc>
        <w:tc>
          <w:tcPr>
            <w:tcW w:w="1239" w:type="dxa"/>
            <w:tcBorders>
              <w:top w:val="nil"/>
              <w:left w:val="nil"/>
              <w:bottom w:val="single" w:sz="4" w:space="0" w:color="auto"/>
              <w:right w:val="single" w:sz="4" w:space="0" w:color="auto"/>
            </w:tcBorders>
            <w:shd w:val="clear" w:color="auto" w:fill="auto"/>
            <w:noWrap/>
            <w:vAlign w:val="center"/>
            <w:hideMark/>
          </w:tcPr>
          <w:p w14:paraId="741E455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42</w:t>
            </w:r>
          </w:p>
        </w:tc>
        <w:tc>
          <w:tcPr>
            <w:tcW w:w="709" w:type="dxa"/>
            <w:tcBorders>
              <w:top w:val="nil"/>
              <w:left w:val="nil"/>
              <w:bottom w:val="single" w:sz="4" w:space="0" w:color="auto"/>
              <w:right w:val="single" w:sz="4" w:space="0" w:color="auto"/>
            </w:tcBorders>
            <w:shd w:val="clear" w:color="auto" w:fill="auto"/>
            <w:noWrap/>
            <w:vAlign w:val="center"/>
            <w:hideMark/>
          </w:tcPr>
          <w:p w14:paraId="48574E3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1443" w:type="dxa"/>
            <w:tcBorders>
              <w:top w:val="nil"/>
              <w:left w:val="nil"/>
              <w:bottom w:val="single" w:sz="4" w:space="0" w:color="auto"/>
              <w:right w:val="single" w:sz="4" w:space="0" w:color="auto"/>
            </w:tcBorders>
            <w:shd w:val="clear" w:color="auto" w:fill="auto"/>
            <w:noWrap/>
            <w:vAlign w:val="center"/>
            <w:hideMark/>
          </w:tcPr>
          <w:p w14:paraId="5860303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100.665</w:t>
            </w:r>
          </w:p>
        </w:tc>
        <w:tc>
          <w:tcPr>
            <w:tcW w:w="1137" w:type="dxa"/>
            <w:tcBorders>
              <w:top w:val="nil"/>
              <w:left w:val="nil"/>
              <w:bottom w:val="single" w:sz="4" w:space="0" w:color="auto"/>
              <w:right w:val="single" w:sz="4" w:space="0" w:color="auto"/>
            </w:tcBorders>
            <w:shd w:val="clear" w:color="auto" w:fill="auto"/>
            <w:noWrap/>
            <w:vAlign w:val="center"/>
            <w:hideMark/>
          </w:tcPr>
          <w:p w14:paraId="7D270D4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0,78 %</w:t>
            </w:r>
          </w:p>
        </w:tc>
        <w:tc>
          <w:tcPr>
            <w:tcW w:w="1241" w:type="dxa"/>
            <w:tcBorders>
              <w:top w:val="nil"/>
              <w:left w:val="nil"/>
              <w:bottom w:val="single" w:sz="4" w:space="0" w:color="auto"/>
              <w:right w:val="single" w:sz="4" w:space="0" w:color="auto"/>
            </w:tcBorders>
            <w:shd w:val="clear" w:color="auto" w:fill="auto"/>
            <w:noWrap/>
            <w:vAlign w:val="center"/>
            <w:hideMark/>
          </w:tcPr>
          <w:p w14:paraId="5E34CEA1"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0,06 %</w:t>
            </w:r>
          </w:p>
        </w:tc>
      </w:tr>
      <w:tr w:rsidR="00F24E18" w:rsidRPr="00F858FD" w14:paraId="634E8DD8"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1E0CCBB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Gradbene strukture in materiali; pomožni gradbeni izdelki (razen električnih aparatov)</w:t>
            </w:r>
          </w:p>
        </w:tc>
        <w:tc>
          <w:tcPr>
            <w:tcW w:w="1239" w:type="dxa"/>
            <w:tcBorders>
              <w:top w:val="nil"/>
              <w:left w:val="nil"/>
              <w:bottom w:val="single" w:sz="4" w:space="0" w:color="auto"/>
              <w:right w:val="single" w:sz="4" w:space="0" w:color="auto"/>
            </w:tcBorders>
            <w:shd w:val="clear" w:color="auto" w:fill="auto"/>
            <w:noWrap/>
            <w:vAlign w:val="center"/>
            <w:hideMark/>
          </w:tcPr>
          <w:p w14:paraId="6BEF6D36"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44</w:t>
            </w:r>
          </w:p>
        </w:tc>
        <w:tc>
          <w:tcPr>
            <w:tcW w:w="709" w:type="dxa"/>
            <w:tcBorders>
              <w:top w:val="nil"/>
              <w:left w:val="nil"/>
              <w:bottom w:val="single" w:sz="4" w:space="0" w:color="auto"/>
              <w:right w:val="single" w:sz="4" w:space="0" w:color="auto"/>
            </w:tcBorders>
            <w:shd w:val="clear" w:color="auto" w:fill="auto"/>
            <w:noWrap/>
            <w:vAlign w:val="center"/>
            <w:hideMark/>
          </w:tcPr>
          <w:p w14:paraId="5B3DB2F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1443" w:type="dxa"/>
            <w:tcBorders>
              <w:top w:val="nil"/>
              <w:left w:val="nil"/>
              <w:bottom w:val="single" w:sz="4" w:space="0" w:color="auto"/>
              <w:right w:val="single" w:sz="4" w:space="0" w:color="auto"/>
            </w:tcBorders>
            <w:shd w:val="clear" w:color="auto" w:fill="auto"/>
            <w:noWrap/>
            <w:vAlign w:val="center"/>
            <w:hideMark/>
          </w:tcPr>
          <w:p w14:paraId="6908963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111.028</w:t>
            </w:r>
          </w:p>
        </w:tc>
        <w:tc>
          <w:tcPr>
            <w:tcW w:w="1137" w:type="dxa"/>
            <w:tcBorders>
              <w:top w:val="nil"/>
              <w:left w:val="nil"/>
              <w:bottom w:val="single" w:sz="4" w:space="0" w:color="auto"/>
              <w:right w:val="single" w:sz="4" w:space="0" w:color="auto"/>
            </w:tcBorders>
            <w:shd w:val="clear" w:color="auto" w:fill="auto"/>
            <w:noWrap/>
            <w:vAlign w:val="center"/>
            <w:hideMark/>
          </w:tcPr>
          <w:p w14:paraId="09776A97"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0,78 %</w:t>
            </w:r>
          </w:p>
        </w:tc>
        <w:tc>
          <w:tcPr>
            <w:tcW w:w="1241" w:type="dxa"/>
            <w:tcBorders>
              <w:top w:val="nil"/>
              <w:left w:val="nil"/>
              <w:bottom w:val="single" w:sz="4" w:space="0" w:color="auto"/>
              <w:right w:val="single" w:sz="4" w:space="0" w:color="auto"/>
            </w:tcBorders>
            <w:shd w:val="clear" w:color="auto" w:fill="auto"/>
            <w:noWrap/>
            <w:vAlign w:val="center"/>
            <w:hideMark/>
          </w:tcPr>
          <w:p w14:paraId="4540D59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0,07 %</w:t>
            </w:r>
          </w:p>
        </w:tc>
      </w:tr>
      <w:tr w:rsidR="00F24E18" w:rsidRPr="00F858FD" w14:paraId="0B954DE8"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57A473B4"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Gradbena dela</w:t>
            </w:r>
          </w:p>
        </w:tc>
        <w:tc>
          <w:tcPr>
            <w:tcW w:w="1239" w:type="dxa"/>
            <w:tcBorders>
              <w:top w:val="nil"/>
              <w:left w:val="nil"/>
              <w:bottom w:val="single" w:sz="4" w:space="0" w:color="auto"/>
              <w:right w:val="single" w:sz="4" w:space="0" w:color="auto"/>
            </w:tcBorders>
            <w:shd w:val="clear" w:color="auto" w:fill="auto"/>
            <w:noWrap/>
            <w:vAlign w:val="center"/>
            <w:hideMark/>
          </w:tcPr>
          <w:p w14:paraId="5AF7B13B"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45</w:t>
            </w:r>
          </w:p>
        </w:tc>
        <w:tc>
          <w:tcPr>
            <w:tcW w:w="709" w:type="dxa"/>
            <w:tcBorders>
              <w:top w:val="nil"/>
              <w:left w:val="nil"/>
              <w:bottom w:val="single" w:sz="4" w:space="0" w:color="auto"/>
              <w:right w:val="single" w:sz="4" w:space="0" w:color="auto"/>
            </w:tcBorders>
            <w:shd w:val="clear" w:color="auto" w:fill="auto"/>
            <w:noWrap/>
            <w:vAlign w:val="center"/>
            <w:hideMark/>
          </w:tcPr>
          <w:p w14:paraId="6B57136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w:t>
            </w:r>
          </w:p>
        </w:tc>
        <w:tc>
          <w:tcPr>
            <w:tcW w:w="1443" w:type="dxa"/>
            <w:tcBorders>
              <w:top w:val="nil"/>
              <w:left w:val="nil"/>
              <w:bottom w:val="single" w:sz="4" w:space="0" w:color="auto"/>
              <w:right w:val="single" w:sz="4" w:space="0" w:color="auto"/>
            </w:tcBorders>
            <w:shd w:val="clear" w:color="auto" w:fill="auto"/>
            <w:noWrap/>
            <w:vAlign w:val="center"/>
            <w:hideMark/>
          </w:tcPr>
          <w:p w14:paraId="069030A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4.749.810</w:t>
            </w:r>
          </w:p>
        </w:tc>
        <w:tc>
          <w:tcPr>
            <w:tcW w:w="1137" w:type="dxa"/>
            <w:tcBorders>
              <w:top w:val="nil"/>
              <w:left w:val="nil"/>
              <w:bottom w:val="single" w:sz="4" w:space="0" w:color="auto"/>
              <w:right w:val="single" w:sz="4" w:space="0" w:color="auto"/>
            </w:tcBorders>
            <w:shd w:val="clear" w:color="auto" w:fill="auto"/>
            <w:noWrap/>
            <w:vAlign w:val="center"/>
            <w:hideMark/>
          </w:tcPr>
          <w:p w14:paraId="64A6850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2,34 %</w:t>
            </w:r>
          </w:p>
        </w:tc>
        <w:tc>
          <w:tcPr>
            <w:tcW w:w="1241" w:type="dxa"/>
            <w:tcBorders>
              <w:top w:val="nil"/>
              <w:left w:val="nil"/>
              <w:bottom w:val="single" w:sz="4" w:space="0" w:color="auto"/>
              <w:right w:val="single" w:sz="4" w:space="0" w:color="auto"/>
            </w:tcBorders>
            <w:shd w:val="clear" w:color="auto" w:fill="auto"/>
            <w:noWrap/>
            <w:vAlign w:val="center"/>
            <w:hideMark/>
          </w:tcPr>
          <w:p w14:paraId="63493C2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3,06 %</w:t>
            </w:r>
          </w:p>
        </w:tc>
      </w:tr>
      <w:tr w:rsidR="00F24E18" w:rsidRPr="00F858FD" w14:paraId="0B67504F"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79DA776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lastRenderedPageBreak/>
              <w:t>Programski paketi in informacijski sistemi</w:t>
            </w:r>
          </w:p>
        </w:tc>
        <w:tc>
          <w:tcPr>
            <w:tcW w:w="1239" w:type="dxa"/>
            <w:tcBorders>
              <w:top w:val="nil"/>
              <w:left w:val="nil"/>
              <w:bottom w:val="single" w:sz="4" w:space="0" w:color="auto"/>
              <w:right w:val="single" w:sz="4" w:space="0" w:color="auto"/>
            </w:tcBorders>
            <w:shd w:val="clear" w:color="auto" w:fill="auto"/>
            <w:noWrap/>
            <w:vAlign w:val="center"/>
            <w:hideMark/>
          </w:tcPr>
          <w:p w14:paraId="4D2468A3"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48</w:t>
            </w:r>
          </w:p>
        </w:tc>
        <w:tc>
          <w:tcPr>
            <w:tcW w:w="709" w:type="dxa"/>
            <w:tcBorders>
              <w:top w:val="nil"/>
              <w:left w:val="nil"/>
              <w:bottom w:val="single" w:sz="4" w:space="0" w:color="auto"/>
              <w:right w:val="single" w:sz="4" w:space="0" w:color="auto"/>
            </w:tcBorders>
            <w:shd w:val="clear" w:color="auto" w:fill="auto"/>
            <w:noWrap/>
            <w:vAlign w:val="center"/>
            <w:hideMark/>
          </w:tcPr>
          <w:p w14:paraId="08CF1F8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1443" w:type="dxa"/>
            <w:tcBorders>
              <w:top w:val="nil"/>
              <w:left w:val="nil"/>
              <w:bottom w:val="single" w:sz="4" w:space="0" w:color="auto"/>
              <w:right w:val="single" w:sz="4" w:space="0" w:color="auto"/>
            </w:tcBorders>
            <w:shd w:val="clear" w:color="auto" w:fill="auto"/>
            <w:noWrap/>
            <w:vAlign w:val="center"/>
            <w:hideMark/>
          </w:tcPr>
          <w:p w14:paraId="0CF9C14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158.419</w:t>
            </w:r>
          </w:p>
        </w:tc>
        <w:tc>
          <w:tcPr>
            <w:tcW w:w="1137" w:type="dxa"/>
            <w:tcBorders>
              <w:top w:val="nil"/>
              <w:left w:val="nil"/>
              <w:bottom w:val="single" w:sz="4" w:space="0" w:color="auto"/>
              <w:right w:val="single" w:sz="4" w:space="0" w:color="auto"/>
            </w:tcBorders>
            <w:shd w:val="clear" w:color="auto" w:fill="auto"/>
            <w:noWrap/>
            <w:vAlign w:val="center"/>
            <w:hideMark/>
          </w:tcPr>
          <w:p w14:paraId="6479B4C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0,78 %</w:t>
            </w:r>
          </w:p>
        </w:tc>
        <w:tc>
          <w:tcPr>
            <w:tcW w:w="1241" w:type="dxa"/>
            <w:tcBorders>
              <w:top w:val="nil"/>
              <w:left w:val="nil"/>
              <w:bottom w:val="single" w:sz="4" w:space="0" w:color="auto"/>
              <w:right w:val="single" w:sz="4" w:space="0" w:color="auto"/>
            </w:tcBorders>
            <w:shd w:val="clear" w:color="auto" w:fill="auto"/>
            <w:noWrap/>
            <w:vAlign w:val="center"/>
            <w:hideMark/>
          </w:tcPr>
          <w:p w14:paraId="2C1A637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0,10 %</w:t>
            </w:r>
          </w:p>
        </w:tc>
      </w:tr>
      <w:tr w:rsidR="00F24E18" w:rsidRPr="00F858FD" w14:paraId="0CBA0C2D"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1580AC63"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popravila in vzdrževanja</w:t>
            </w:r>
          </w:p>
        </w:tc>
        <w:tc>
          <w:tcPr>
            <w:tcW w:w="1239" w:type="dxa"/>
            <w:tcBorders>
              <w:top w:val="nil"/>
              <w:left w:val="nil"/>
              <w:bottom w:val="single" w:sz="4" w:space="0" w:color="auto"/>
              <w:right w:val="single" w:sz="4" w:space="0" w:color="auto"/>
            </w:tcBorders>
            <w:shd w:val="clear" w:color="auto" w:fill="auto"/>
            <w:noWrap/>
            <w:vAlign w:val="center"/>
            <w:hideMark/>
          </w:tcPr>
          <w:p w14:paraId="0462029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3F0A56A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17</w:t>
            </w:r>
          </w:p>
        </w:tc>
        <w:tc>
          <w:tcPr>
            <w:tcW w:w="1443" w:type="dxa"/>
            <w:tcBorders>
              <w:top w:val="nil"/>
              <w:left w:val="nil"/>
              <w:bottom w:val="single" w:sz="4" w:space="0" w:color="auto"/>
              <w:right w:val="single" w:sz="4" w:space="0" w:color="auto"/>
            </w:tcBorders>
            <w:shd w:val="clear" w:color="auto" w:fill="auto"/>
            <w:noWrap/>
            <w:vAlign w:val="center"/>
            <w:hideMark/>
          </w:tcPr>
          <w:p w14:paraId="0AAA87C1"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29.245.553</w:t>
            </w:r>
          </w:p>
        </w:tc>
        <w:tc>
          <w:tcPr>
            <w:tcW w:w="1137" w:type="dxa"/>
            <w:tcBorders>
              <w:top w:val="nil"/>
              <w:left w:val="nil"/>
              <w:bottom w:val="single" w:sz="4" w:space="0" w:color="auto"/>
              <w:right w:val="single" w:sz="4" w:space="0" w:color="auto"/>
            </w:tcBorders>
            <w:shd w:val="clear" w:color="auto" w:fill="auto"/>
            <w:noWrap/>
            <w:vAlign w:val="center"/>
            <w:hideMark/>
          </w:tcPr>
          <w:p w14:paraId="4B26B71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13,28 %</w:t>
            </w:r>
          </w:p>
        </w:tc>
        <w:tc>
          <w:tcPr>
            <w:tcW w:w="1241" w:type="dxa"/>
            <w:tcBorders>
              <w:top w:val="nil"/>
              <w:left w:val="nil"/>
              <w:bottom w:val="single" w:sz="4" w:space="0" w:color="auto"/>
              <w:right w:val="single" w:sz="4" w:space="0" w:color="auto"/>
            </w:tcBorders>
            <w:shd w:val="clear" w:color="auto" w:fill="auto"/>
            <w:noWrap/>
            <w:vAlign w:val="center"/>
            <w:hideMark/>
          </w:tcPr>
          <w:p w14:paraId="274B3EEF"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18,82 %</w:t>
            </w:r>
          </w:p>
        </w:tc>
      </w:tr>
      <w:tr w:rsidR="00F24E18" w:rsidRPr="00F858FD" w14:paraId="1E68ABCD"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5871DA6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Arhitekturne, gradbeniške, inženirske in inšpekcijske storitve</w:t>
            </w:r>
          </w:p>
        </w:tc>
        <w:tc>
          <w:tcPr>
            <w:tcW w:w="1239" w:type="dxa"/>
            <w:tcBorders>
              <w:top w:val="nil"/>
              <w:left w:val="nil"/>
              <w:bottom w:val="single" w:sz="4" w:space="0" w:color="auto"/>
              <w:right w:val="single" w:sz="4" w:space="0" w:color="auto"/>
            </w:tcBorders>
            <w:shd w:val="clear" w:color="auto" w:fill="auto"/>
            <w:noWrap/>
            <w:vAlign w:val="center"/>
            <w:hideMark/>
          </w:tcPr>
          <w:p w14:paraId="22D4D39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71</w:t>
            </w:r>
          </w:p>
        </w:tc>
        <w:tc>
          <w:tcPr>
            <w:tcW w:w="709" w:type="dxa"/>
            <w:tcBorders>
              <w:top w:val="nil"/>
              <w:left w:val="nil"/>
              <w:bottom w:val="single" w:sz="4" w:space="0" w:color="auto"/>
              <w:right w:val="single" w:sz="4" w:space="0" w:color="auto"/>
            </w:tcBorders>
            <w:shd w:val="clear" w:color="auto" w:fill="auto"/>
            <w:noWrap/>
            <w:vAlign w:val="center"/>
            <w:hideMark/>
          </w:tcPr>
          <w:p w14:paraId="59C66C2C"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w:t>
            </w:r>
          </w:p>
        </w:tc>
        <w:tc>
          <w:tcPr>
            <w:tcW w:w="1443" w:type="dxa"/>
            <w:tcBorders>
              <w:top w:val="nil"/>
              <w:left w:val="nil"/>
              <w:bottom w:val="single" w:sz="4" w:space="0" w:color="auto"/>
              <w:right w:val="single" w:sz="4" w:space="0" w:color="auto"/>
            </w:tcBorders>
            <w:shd w:val="clear" w:color="auto" w:fill="auto"/>
            <w:noWrap/>
            <w:vAlign w:val="center"/>
            <w:hideMark/>
          </w:tcPr>
          <w:p w14:paraId="2C30BAC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121.789</w:t>
            </w:r>
          </w:p>
        </w:tc>
        <w:tc>
          <w:tcPr>
            <w:tcW w:w="1137" w:type="dxa"/>
            <w:tcBorders>
              <w:top w:val="nil"/>
              <w:left w:val="nil"/>
              <w:bottom w:val="single" w:sz="4" w:space="0" w:color="auto"/>
              <w:right w:val="single" w:sz="4" w:space="0" w:color="auto"/>
            </w:tcBorders>
            <w:shd w:val="clear" w:color="auto" w:fill="auto"/>
            <w:noWrap/>
            <w:vAlign w:val="center"/>
            <w:hideMark/>
          </w:tcPr>
          <w:p w14:paraId="647A92F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1,56 %</w:t>
            </w:r>
          </w:p>
        </w:tc>
        <w:tc>
          <w:tcPr>
            <w:tcW w:w="1241" w:type="dxa"/>
            <w:tcBorders>
              <w:top w:val="nil"/>
              <w:left w:val="nil"/>
              <w:bottom w:val="single" w:sz="4" w:space="0" w:color="auto"/>
              <w:right w:val="single" w:sz="4" w:space="0" w:color="auto"/>
            </w:tcBorders>
            <w:shd w:val="clear" w:color="auto" w:fill="auto"/>
            <w:noWrap/>
            <w:vAlign w:val="center"/>
            <w:hideMark/>
          </w:tcPr>
          <w:p w14:paraId="4D645DA0"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0,08 %</w:t>
            </w:r>
          </w:p>
        </w:tc>
      </w:tr>
      <w:tr w:rsidR="00F24E18" w:rsidRPr="00F858FD" w14:paraId="39950571"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3093A7C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informacijske tehnologije: svetovanje, razvoj programske opreme, internet in podpora</w:t>
            </w:r>
          </w:p>
        </w:tc>
        <w:tc>
          <w:tcPr>
            <w:tcW w:w="1239" w:type="dxa"/>
            <w:tcBorders>
              <w:top w:val="nil"/>
              <w:left w:val="nil"/>
              <w:bottom w:val="single" w:sz="4" w:space="0" w:color="auto"/>
              <w:right w:val="single" w:sz="4" w:space="0" w:color="auto"/>
            </w:tcBorders>
            <w:shd w:val="clear" w:color="auto" w:fill="auto"/>
            <w:noWrap/>
            <w:vAlign w:val="center"/>
            <w:hideMark/>
          </w:tcPr>
          <w:p w14:paraId="2B990C2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72</w:t>
            </w:r>
          </w:p>
        </w:tc>
        <w:tc>
          <w:tcPr>
            <w:tcW w:w="709" w:type="dxa"/>
            <w:tcBorders>
              <w:top w:val="nil"/>
              <w:left w:val="nil"/>
              <w:bottom w:val="single" w:sz="4" w:space="0" w:color="auto"/>
              <w:right w:val="single" w:sz="4" w:space="0" w:color="auto"/>
            </w:tcBorders>
            <w:shd w:val="clear" w:color="auto" w:fill="auto"/>
            <w:noWrap/>
            <w:vAlign w:val="center"/>
            <w:hideMark/>
          </w:tcPr>
          <w:p w14:paraId="29744C9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2</w:t>
            </w:r>
          </w:p>
        </w:tc>
        <w:tc>
          <w:tcPr>
            <w:tcW w:w="1443" w:type="dxa"/>
            <w:tcBorders>
              <w:top w:val="nil"/>
              <w:left w:val="nil"/>
              <w:bottom w:val="single" w:sz="4" w:space="0" w:color="auto"/>
              <w:right w:val="single" w:sz="4" w:space="0" w:color="auto"/>
            </w:tcBorders>
            <w:shd w:val="clear" w:color="auto" w:fill="auto"/>
            <w:noWrap/>
            <w:vAlign w:val="center"/>
            <w:hideMark/>
          </w:tcPr>
          <w:p w14:paraId="6DAA6869"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430.278</w:t>
            </w:r>
          </w:p>
        </w:tc>
        <w:tc>
          <w:tcPr>
            <w:tcW w:w="1137" w:type="dxa"/>
            <w:tcBorders>
              <w:top w:val="nil"/>
              <w:left w:val="nil"/>
              <w:bottom w:val="single" w:sz="4" w:space="0" w:color="auto"/>
              <w:right w:val="single" w:sz="4" w:space="0" w:color="auto"/>
            </w:tcBorders>
            <w:shd w:val="clear" w:color="auto" w:fill="auto"/>
            <w:noWrap/>
            <w:vAlign w:val="center"/>
            <w:hideMark/>
          </w:tcPr>
          <w:p w14:paraId="3D746926"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1,56 %</w:t>
            </w:r>
          </w:p>
        </w:tc>
        <w:tc>
          <w:tcPr>
            <w:tcW w:w="1241" w:type="dxa"/>
            <w:tcBorders>
              <w:top w:val="nil"/>
              <w:left w:val="nil"/>
              <w:bottom w:val="single" w:sz="4" w:space="0" w:color="auto"/>
              <w:right w:val="single" w:sz="4" w:space="0" w:color="auto"/>
            </w:tcBorders>
            <w:shd w:val="clear" w:color="auto" w:fill="auto"/>
            <w:noWrap/>
            <w:vAlign w:val="center"/>
            <w:hideMark/>
          </w:tcPr>
          <w:p w14:paraId="35F2AAF3"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0,28 %</w:t>
            </w:r>
          </w:p>
        </w:tc>
      </w:tr>
      <w:tr w:rsidR="00F24E18" w:rsidRPr="00F858FD" w14:paraId="4982BB6E"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24FE9FBC"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na področju raziskav in razvoja ter s tem povezane svetovalne storitve</w:t>
            </w:r>
          </w:p>
        </w:tc>
        <w:tc>
          <w:tcPr>
            <w:tcW w:w="1239" w:type="dxa"/>
            <w:tcBorders>
              <w:top w:val="nil"/>
              <w:left w:val="nil"/>
              <w:bottom w:val="single" w:sz="4" w:space="0" w:color="auto"/>
              <w:right w:val="single" w:sz="4" w:space="0" w:color="auto"/>
            </w:tcBorders>
            <w:shd w:val="clear" w:color="auto" w:fill="auto"/>
            <w:noWrap/>
            <w:vAlign w:val="center"/>
            <w:hideMark/>
          </w:tcPr>
          <w:p w14:paraId="5742C769"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73</w:t>
            </w:r>
          </w:p>
        </w:tc>
        <w:tc>
          <w:tcPr>
            <w:tcW w:w="709" w:type="dxa"/>
            <w:tcBorders>
              <w:top w:val="nil"/>
              <w:left w:val="nil"/>
              <w:bottom w:val="single" w:sz="4" w:space="0" w:color="auto"/>
              <w:right w:val="single" w:sz="4" w:space="0" w:color="auto"/>
            </w:tcBorders>
            <w:shd w:val="clear" w:color="auto" w:fill="auto"/>
            <w:noWrap/>
            <w:vAlign w:val="center"/>
            <w:hideMark/>
          </w:tcPr>
          <w:p w14:paraId="37E8F85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15</w:t>
            </w:r>
          </w:p>
        </w:tc>
        <w:tc>
          <w:tcPr>
            <w:tcW w:w="1443" w:type="dxa"/>
            <w:tcBorders>
              <w:top w:val="nil"/>
              <w:left w:val="nil"/>
              <w:bottom w:val="single" w:sz="4" w:space="0" w:color="auto"/>
              <w:right w:val="single" w:sz="4" w:space="0" w:color="auto"/>
            </w:tcBorders>
            <w:shd w:val="clear" w:color="auto" w:fill="auto"/>
            <w:noWrap/>
            <w:vAlign w:val="center"/>
            <w:hideMark/>
          </w:tcPr>
          <w:p w14:paraId="7F8CCCD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14.581.118</w:t>
            </w:r>
          </w:p>
        </w:tc>
        <w:tc>
          <w:tcPr>
            <w:tcW w:w="1137" w:type="dxa"/>
            <w:tcBorders>
              <w:top w:val="nil"/>
              <w:left w:val="nil"/>
              <w:bottom w:val="single" w:sz="4" w:space="0" w:color="auto"/>
              <w:right w:val="single" w:sz="4" w:space="0" w:color="auto"/>
            </w:tcBorders>
            <w:shd w:val="clear" w:color="auto" w:fill="auto"/>
            <w:noWrap/>
            <w:vAlign w:val="center"/>
            <w:hideMark/>
          </w:tcPr>
          <w:p w14:paraId="579C4C9E"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11,72 %</w:t>
            </w:r>
          </w:p>
        </w:tc>
        <w:tc>
          <w:tcPr>
            <w:tcW w:w="1241" w:type="dxa"/>
            <w:tcBorders>
              <w:top w:val="nil"/>
              <w:left w:val="nil"/>
              <w:bottom w:val="single" w:sz="4" w:space="0" w:color="auto"/>
              <w:right w:val="single" w:sz="4" w:space="0" w:color="auto"/>
            </w:tcBorders>
            <w:shd w:val="clear" w:color="auto" w:fill="auto"/>
            <w:noWrap/>
            <w:vAlign w:val="center"/>
            <w:hideMark/>
          </w:tcPr>
          <w:p w14:paraId="22343FD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9,38 %</w:t>
            </w:r>
          </w:p>
        </w:tc>
      </w:tr>
      <w:tr w:rsidR="00F24E18" w:rsidRPr="00F858FD" w14:paraId="6C644CB5"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375D4301"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Storitve izobraževanja in usposabljanja</w:t>
            </w:r>
          </w:p>
        </w:tc>
        <w:tc>
          <w:tcPr>
            <w:tcW w:w="1239" w:type="dxa"/>
            <w:tcBorders>
              <w:top w:val="nil"/>
              <w:left w:val="nil"/>
              <w:bottom w:val="single" w:sz="4" w:space="0" w:color="auto"/>
              <w:right w:val="single" w:sz="4" w:space="0" w:color="auto"/>
            </w:tcBorders>
            <w:shd w:val="clear" w:color="auto" w:fill="auto"/>
            <w:noWrap/>
            <w:vAlign w:val="center"/>
            <w:hideMark/>
          </w:tcPr>
          <w:p w14:paraId="0FE04140"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80</w:t>
            </w:r>
          </w:p>
        </w:tc>
        <w:tc>
          <w:tcPr>
            <w:tcW w:w="709" w:type="dxa"/>
            <w:tcBorders>
              <w:top w:val="nil"/>
              <w:left w:val="nil"/>
              <w:bottom w:val="single" w:sz="4" w:space="0" w:color="auto"/>
              <w:right w:val="single" w:sz="4" w:space="0" w:color="auto"/>
            </w:tcBorders>
            <w:shd w:val="clear" w:color="auto" w:fill="auto"/>
            <w:noWrap/>
            <w:vAlign w:val="center"/>
            <w:hideMark/>
          </w:tcPr>
          <w:p w14:paraId="2933FD75"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1443" w:type="dxa"/>
            <w:tcBorders>
              <w:top w:val="nil"/>
              <w:left w:val="nil"/>
              <w:bottom w:val="single" w:sz="4" w:space="0" w:color="auto"/>
              <w:right w:val="single" w:sz="4" w:space="0" w:color="auto"/>
            </w:tcBorders>
            <w:shd w:val="clear" w:color="auto" w:fill="auto"/>
            <w:noWrap/>
            <w:vAlign w:val="center"/>
            <w:hideMark/>
          </w:tcPr>
          <w:p w14:paraId="4A8F36BD"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389.789</w:t>
            </w:r>
          </w:p>
        </w:tc>
        <w:tc>
          <w:tcPr>
            <w:tcW w:w="1137" w:type="dxa"/>
            <w:tcBorders>
              <w:top w:val="nil"/>
              <w:left w:val="nil"/>
              <w:bottom w:val="single" w:sz="4" w:space="0" w:color="auto"/>
              <w:right w:val="single" w:sz="4" w:space="0" w:color="auto"/>
            </w:tcBorders>
            <w:shd w:val="clear" w:color="auto" w:fill="auto"/>
            <w:noWrap/>
            <w:vAlign w:val="center"/>
            <w:hideMark/>
          </w:tcPr>
          <w:p w14:paraId="7333C434"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0,78 %</w:t>
            </w:r>
          </w:p>
        </w:tc>
        <w:tc>
          <w:tcPr>
            <w:tcW w:w="1241" w:type="dxa"/>
            <w:tcBorders>
              <w:top w:val="nil"/>
              <w:left w:val="nil"/>
              <w:bottom w:val="single" w:sz="4" w:space="0" w:color="auto"/>
              <w:right w:val="single" w:sz="4" w:space="0" w:color="auto"/>
            </w:tcBorders>
            <w:shd w:val="clear" w:color="auto" w:fill="auto"/>
            <w:noWrap/>
            <w:vAlign w:val="center"/>
            <w:hideMark/>
          </w:tcPr>
          <w:p w14:paraId="23FAED0A"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0,25 %</w:t>
            </w:r>
          </w:p>
        </w:tc>
      </w:tr>
      <w:tr w:rsidR="00F24E18" w:rsidRPr="00F858FD" w14:paraId="133766CB" w14:textId="77777777" w:rsidTr="000E18B5">
        <w:trPr>
          <w:trHeight w:val="300"/>
        </w:trPr>
        <w:tc>
          <w:tcPr>
            <w:tcW w:w="3405" w:type="dxa"/>
            <w:tcBorders>
              <w:top w:val="nil"/>
              <w:left w:val="single" w:sz="4" w:space="0" w:color="auto"/>
              <w:bottom w:val="single" w:sz="4" w:space="0" w:color="auto"/>
              <w:right w:val="single" w:sz="4" w:space="0" w:color="auto"/>
            </w:tcBorders>
            <w:shd w:val="clear" w:color="auto" w:fill="auto"/>
            <w:noWrap/>
            <w:vAlign w:val="center"/>
            <w:hideMark/>
          </w:tcPr>
          <w:p w14:paraId="5EDF9ECF"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Druge javne, skupne in osebne storitve</w:t>
            </w:r>
          </w:p>
        </w:tc>
        <w:tc>
          <w:tcPr>
            <w:tcW w:w="1239" w:type="dxa"/>
            <w:tcBorders>
              <w:top w:val="nil"/>
              <w:left w:val="nil"/>
              <w:bottom w:val="single" w:sz="4" w:space="0" w:color="auto"/>
              <w:right w:val="single" w:sz="4" w:space="0" w:color="auto"/>
            </w:tcBorders>
            <w:shd w:val="clear" w:color="auto" w:fill="auto"/>
            <w:noWrap/>
            <w:vAlign w:val="center"/>
            <w:hideMark/>
          </w:tcPr>
          <w:p w14:paraId="43DC4A22" w14:textId="77777777" w:rsidR="00F24E18" w:rsidRPr="00F858FD" w:rsidRDefault="00F24E18" w:rsidP="000E18B5">
            <w:pPr>
              <w:spacing w:after="0" w:line="240" w:lineRule="auto"/>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98</w:t>
            </w:r>
          </w:p>
        </w:tc>
        <w:tc>
          <w:tcPr>
            <w:tcW w:w="709" w:type="dxa"/>
            <w:tcBorders>
              <w:top w:val="nil"/>
              <w:left w:val="nil"/>
              <w:bottom w:val="single" w:sz="4" w:space="0" w:color="auto"/>
              <w:right w:val="single" w:sz="4" w:space="0" w:color="auto"/>
            </w:tcBorders>
            <w:shd w:val="clear" w:color="auto" w:fill="auto"/>
            <w:noWrap/>
            <w:vAlign w:val="center"/>
            <w:hideMark/>
          </w:tcPr>
          <w:p w14:paraId="7514D98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w:t>
            </w:r>
          </w:p>
        </w:tc>
        <w:tc>
          <w:tcPr>
            <w:tcW w:w="1443" w:type="dxa"/>
            <w:tcBorders>
              <w:top w:val="nil"/>
              <w:left w:val="nil"/>
              <w:bottom w:val="single" w:sz="4" w:space="0" w:color="auto"/>
              <w:right w:val="single" w:sz="4" w:space="0" w:color="auto"/>
            </w:tcBorders>
            <w:shd w:val="clear" w:color="auto" w:fill="auto"/>
            <w:noWrap/>
            <w:vAlign w:val="center"/>
            <w:hideMark/>
          </w:tcPr>
          <w:p w14:paraId="3BE9444B"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1.245.902</w:t>
            </w:r>
          </w:p>
        </w:tc>
        <w:tc>
          <w:tcPr>
            <w:tcW w:w="1137" w:type="dxa"/>
            <w:tcBorders>
              <w:top w:val="nil"/>
              <w:left w:val="nil"/>
              <w:bottom w:val="single" w:sz="4" w:space="0" w:color="auto"/>
              <w:right w:val="single" w:sz="4" w:space="0" w:color="auto"/>
            </w:tcBorders>
            <w:shd w:val="clear" w:color="auto" w:fill="auto"/>
            <w:noWrap/>
            <w:vAlign w:val="center"/>
            <w:hideMark/>
          </w:tcPr>
          <w:p w14:paraId="7EEDB2A8"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0,78 %</w:t>
            </w:r>
          </w:p>
        </w:tc>
        <w:tc>
          <w:tcPr>
            <w:tcW w:w="1241" w:type="dxa"/>
            <w:tcBorders>
              <w:top w:val="nil"/>
              <w:left w:val="nil"/>
              <w:bottom w:val="single" w:sz="4" w:space="0" w:color="auto"/>
              <w:right w:val="single" w:sz="4" w:space="0" w:color="auto"/>
            </w:tcBorders>
            <w:shd w:val="clear" w:color="auto" w:fill="auto"/>
            <w:noWrap/>
            <w:vAlign w:val="center"/>
            <w:hideMark/>
          </w:tcPr>
          <w:p w14:paraId="7FEBC6D2" w14:textId="77777777" w:rsidR="00F24E18" w:rsidRPr="00F858FD" w:rsidRDefault="00F24E18" w:rsidP="000E18B5">
            <w:pPr>
              <w:spacing w:after="0" w:line="240" w:lineRule="auto"/>
              <w:jc w:val="right"/>
              <w:rPr>
                <w:rFonts w:ascii="Arial" w:eastAsia="Times New Roman" w:hAnsi="Arial" w:cs="Arial"/>
                <w:color w:val="000000"/>
                <w:sz w:val="18"/>
                <w:szCs w:val="18"/>
                <w:lang w:eastAsia="sl-SI"/>
              </w:rPr>
            </w:pPr>
            <w:r w:rsidRPr="00F858FD">
              <w:rPr>
                <w:rFonts w:ascii="Arial" w:eastAsia="Times New Roman" w:hAnsi="Arial" w:cs="Arial"/>
                <w:color w:val="000000"/>
                <w:sz w:val="18"/>
                <w:szCs w:val="18"/>
                <w:lang w:eastAsia="sl-SI"/>
              </w:rPr>
              <w:t>0,80 %</w:t>
            </w:r>
          </w:p>
        </w:tc>
      </w:tr>
      <w:tr w:rsidR="00F24E18" w:rsidRPr="00242E41" w14:paraId="59F817F7" w14:textId="77777777" w:rsidTr="000E18B5">
        <w:trPr>
          <w:trHeight w:val="300"/>
        </w:trPr>
        <w:tc>
          <w:tcPr>
            <w:tcW w:w="46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6F4101" w14:textId="77777777" w:rsidR="00F24E18" w:rsidRPr="00F858FD" w:rsidRDefault="00F24E18" w:rsidP="000E18B5">
            <w:pPr>
              <w:spacing w:after="0" w:line="240" w:lineRule="auto"/>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Skupaj</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14:paraId="7A1D933C" w14:textId="77777777" w:rsidR="00F24E18" w:rsidRPr="00F858FD" w:rsidRDefault="00F24E18" w:rsidP="000E18B5">
            <w:pPr>
              <w:spacing w:after="0" w:line="240" w:lineRule="auto"/>
              <w:jc w:val="right"/>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128</w:t>
            </w:r>
          </w:p>
        </w:tc>
        <w:tc>
          <w:tcPr>
            <w:tcW w:w="1443" w:type="dxa"/>
            <w:tcBorders>
              <w:top w:val="nil"/>
              <w:left w:val="nil"/>
              <w:bottom w:val="single" w:sz="4" w:space="0" w:color="auto"/>
              <w:right w:val="single" w:sz="4" w:space="0" w:color="auto"/>
            </w:tcBorders>
            <w:shd w:val="clear" w:color="auto" w:fill="F2F2F2" w:themeFill="background1" w:themeFillShade="F2"/>
            <w:noWrap/>
            <w:vAlign w:val="center"/>
            <w:hideMark/>
          </w:tcPr>
          <w:p w14:paraId="5BA656C3" w14:textId="77777777" w:rsidR="00F24E18" w:rsidRPr="00F858FD" w:rsidRDefault="00F24E18" w:rsidP="000E18B5">
            <w:pPr>
              <w:spacing w:after="0" w:line="240" w:lineRule="auto"/>
              <w:jc w:val="right"/>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155.423.557</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hideMark/>
          </w:tcPr>
          <w:p w14:paraId="175B5B52" w14:textId="77777777" w:rsidR="00F24E18" w:rsidRPr="00F858FD" w:rsidRDefault="00F24E18" w:rsidP="000E18B5">
            <w:pPr>
              <w:spacing w:after="0" w:line="240" w:lineRule="auto"/>
              <w:jc w:val="right"/>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100,00 %</w:t>
            </w:r>
          </w:p>
        </w:tc>
        <w:tc>
          <w:tcPr>
            <w:tcW w:w="1241" w:type="dxa"/>
            <w:tcBorders>
              <w:top w:val="nil"/>
              <w:left w:val="nil"/>
              <w:bottom w:val="single" w:sz="4" w:space="0" w:color="auto"/>
              <w:right w:val="single" w:sz="4" w:space="0" w:color="auto"/>
            </w:tcBorders>
            <w:shd w:val="clear" w:color="auto" w:fill="F2F2F2" w:themeFill="background1" w:themeFillShade="F2"/>
            <w:noWrap/>
            <w:vAlign w:val="center"/>
            <w:hideMark/>
          </w:tcPr>
          <w:p w14:paraId="26CB2285" w14:textId="77777777" w:rsidR="00F24E18" w:rsidRPr="00F858FD" w:rsidRDefault="00F24E18" w:rsidP="000E18B5">
            <w:pPr>
              <w:spacing w:after="0" w:line="240" w:lineRule="auto"/>
              <w:jc w:val="right"/>
              <w:rPr>
                <w:rFonts w:ascii="Arial" w:eastAsia="Times New Roman" w:hAnsi="Arial" w:cs="Arial"/>
                <w:b/>
                <w:bCs/>
                <w:color w:val="000000"/>
                <w:sz w:val="18"/>
                <w:szCs w:val="18"/>
                <w:lang w:eastAsia="sl-SI"/>
              </w:rPr>
            </w:pPr>
            <w:r w:rsidRPr="00F858FD">
              <w:rPr>
                <w:rFonts w:ascii="Arial" w:eastAsia="Times New Roman" w:hAnsi="Arial" w:cs="Arial"/>
                <w:b/>
                <w:bCs/>
                <w:color w:val="000000"/>
                <w:sz w:val="18"/>
                <w:szCs w:val="18"/>
                <w:lang w:eastAsia="sl-SI"/>
              </w:rPr>
              <w:t>100,00 %</w:t>
            </w:r>
          </w:p>
        </w:tc>
      </w:tr>
    </w:tbl>
    <w:p w14:paraId="1DBC3BCB" w14:textId="77777777" w:rsidR="00F24E18" w:rsidRPr="002B5B0B" w:rsidRDefault="00F24E18" w:rsidP="00F24E18">
      <w:pPr>
        <w:spacing w:before="120" w:after="120" w:line="240" w:lineRule="auto"/>
        <w:jc w:val="both"/>
        <w:rPr>
          <w:rFonts w:ascii="Arial" w:hAnsi="Arial" w:cs="Arial"/>
          <w:sz w:val="20"/>
        </w:rPr>
      </w:pPr>
    </w:p>
    <w:p w14:paraId="594EA526" w14:textId="77777777" w:rsidR="00F24E18" w:rsidRPr="002B5B0B" w:rsidRDefault="00F24E18" w:rsidP="00F24E18">
      <w:pPr>
        <w:spacing w:before="120" w:after="0" w:line="240" w:lineRule="auto"/>
        <w:jc w:val="both"/>
        <w:rPr>
          <w:rFonts w:ascii="Arial" w:hAnsi="Arial" w:cs="Arial"/>
          <w:sz w:val="20"/>
        </w:rPr>
      </w:pPr>
      <w:r w:rsidRPr="002B5B0B">
        <w:rPr>
          <w:rFonts w:ascii="Arial" w:hAnsi="Arial" w:cs="Arial"/>
          <w:sz w:val="20"/>
        </w:rPr>
        <w:t>Preglednica 76: Trije največji predmeti javnega naročanja glede na vrednost po Enotnem besednjaku javnih naročil (CPV) za posamezno kategorijo naročnika</w:t>
      </w:r>
    </w:p>
    <w:p w14:paraId="39228ACE" w14:textId="77777777" w:rsidR="00F24E18" w:rsidRPr="00242E41" w:rsidRDefault="00F24E18" w:rsidP="00F24E18">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2"/>
        <w:gridCol w:w="772"/>
        <w:gridCol w:w="3827"/>
        <w:gridCol w:w="1136"/>
        <w:gridCol w:w="1807"/>
      </w:tblGrid>
      <w:tr w:rsidR="00F24E18" w:rsidRPr="002B5B0B" w14:paraId="681AC1F4" w14:textId="77777777" w:rsidTr="000E18B5">
        <w:trPr>
          <w:trHeight w:val="300"/>
          <w:tblHeader/>
        </w:trPr>
        <w:tc>
          <w:tcPr>
            <w:tcW w:w="889" w:type="pct"/>
            <w:shd w:val="clear" w:color="000000" w:fill="F2F2F2"/>
            <w:vAlign w:val="center"/>
            <w:hideMark/>
          </w:tcPr>
          <w:p w14:paraId="7D33DF2B" w14:textId="77777777" w:rsidR="00F24E18" w:rsidRPr="002B5B0B" w:rsidRDefault="00F24E18" w:rsidP="000E18B5">
            <w:pPr>
              <w:spacing w:after="0" w:line="240" w:lineRule="auto"/>
              <w:jc w:val="center"/>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Kategorija naročnika</w:t>
            </w:r>
          </w:p>
        </w:tc>
        <w:tc>
          <w:tcPr>
            <w:tcW w:w="421" w:type="pct"/>
            <w:shd w:val="clear" w:color="000000" w:fill="F2F2F2"/>
            <w:vAlign w:val="center"/>
            <w:hideMark/>
          </w:tcPr>
          <w:p w14:paraId="4A0568C2" w14:textId="77777777" w:rsidR="00F24E18" w:rsidRPr="002B5B0B" w:rsidRDefault="00F24E18" w:rsidP="000E18B5">
            <w:pPr>
              <w:spacing w:after="0" w:line="240" w:lineRule="auto"/>
              <w:jc w:val="center"/>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CPV oddelek</w:t>
            </w:r>
          </w:p>
        </w:tc>
        <w:tc>
          <w:tcPr>
            <w:tcW w:w="2086" w:type="pct"/>
            <w:shd w:val="clear" w:color="000000" w:fill="F2F2F2"/>
            <w:vAlign w:val="center"/>
            <w:hideMark/>
          </w:tcPr>
          <w:p w14:paraId="4C90C94C" w14:textId="77777777" w:rsidR="00F24E18" w:rsidRPr="002B5B0B" w:rsidRDefault="00F24E18" w:rsidP="000E18B5">
            <w:pPr>
              <w:spacing w:after="0" w:line="240" w:lineRule="auto"/>
              <w:jc w:val="center"/>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Opis CPV oddelka</w:t>
            </w:r>
          </w:p>
        </w:tc>
        <w:tc>
          <w:tcPr>
            <w:tcW w:w="619" w:type="pct"/>
            <w:shd w:val="clear" w:color="000000" w:fill="F2F2F2"/>
            <w:vAlign w:val="center"/>
            <w:hideMark/>
          </w:tcPr>
          <w:p w14:paraId="698734E2" w14:textId="77777777" w:rsidR="00F24E18" w:rsidRPr="002B5B0B" w:rsidRDefault="00F24E18" w:rsidP="000E18B5">
            <w:pPr>
              <w:spacing w:after="0" w:line="240" w:lineRule="auto"/>
              <w:jc w:val="center"/>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Št. naročil</w:t>
            </w:r>
          </w:p>
        </w:tc>
        <w:tc>
          <w:tcPr>
            <w:tcW w:w="985" w:type="pct"/>
            <w:shd w:val="clear" w:color="000000" w:fill="F2F2F2"/>
            <w:vAlign w:val="center"/>
            <w:hideMark/>
          </w:tcPr>
          <w:p w14:paraId="0304BEDC" w14:textId="77777777" w:rsidR="00F24E18" w:rsidRPr="002B5B0B" w:rsidRDefault="00F24E18" w:rsidP="000E18B5">
            <w:pPr>
              <w:spacing w:after="0" w:line="240" w:lineRule="auto"/>
              <w:jc w:val="center"/>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Pogodbena vrednost</w:t>
            </w:r>
          </w:p>
        </w:tc>
      </w:tr>
      <w:tr w:rsidR="00F24E18" w:rsidRPr="002B5B0B" w14:paraId="2C5B63A0" w14:textId="77777777" w:rsidTr="000E18B5">
        <w:trPr>
          <w:trHeight w:val="300"/>
        </w:trPr>
        <w:tc>
          <w:tcPr>
            <w:tcW w:w="889" w:type="pct"/>
            <w:vMerge w:val="restart"/>
            <w:shd w:val="clear" w:color="auto" w:fill="auto"/>
            <w:vAlign w:val="center"/>
            <w:hideMark/>
          </w:tcPr>
          <w:p w14:paraId="658FAB25"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Organi Republike Slovenije</w:t>
            </w:r>
          </w:p>
        </w:tc>
        <w:tc>
          <w:tcPr>
            <w:tcW w:w="421" w:type="pct"/>
            <w:shd w:val="clear" w:color="auto" w:fill="auto"/>
            <w:vAlign w:val="center"/>
            <w:hideMark/>
          </w:tcPr>
          <w:p w14:paraId="53A5A4CC"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60</w:t>
            </w:r>
          </w:p>
        </w:tc>
        <w:tc>
          <w:tcPr>
            <w:tcW w:w="2086" w:type="pct"/>
            <w:shd w:val="clear" w:color="auto" w:fill="auto"/>
            <w:vAlign w:val="center"/>
            <w:hideMark/>
          </w:tcPr>
          <w:p w14:paraId="14B017B4"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Prevozne storitve (razen prevoza odpadkov)</w:t>
            </w:r>
          </w:p>
        </w:tc>
        <w:tc>
          <w:tcPr>
            <w:tcW w:w="619" w:type="pct"/>
            <w:shd w:val="clear" w:color="auto" w:fill="auto"/>
            <w:vAlign w:val="center"/>
            <w:hideMark/>
          </w:tcPr>
          <w:p w14:paraId="428A15F4"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25</w:t>
            </w:r>
          </w:p>
        </w:tc>
        <w:tc>
          <w:tcPr>
            <w:tcW w:w="985" w:type="pct"/>
            <w:shd w:val="clear" w:color="auto" w:fill="auto"/>
            <w:vAlign w:val="center"/>
            <w:hideMark/>
          </w:tcPr>
          <w:p w14:paraId="46790902"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646.998.855</w:t>
            </w:r>
          </w:p>
        </w:tc>
      </w:tr>
      <w:tr w:rsidR="00F24E18" w:rsidRPr="002B5B0B" w14:paraId="3FE3C909" w14:textId="77777777" w:rsidTr="000E18B5">
        <w:trPr>
          <w:trHeight w:val="300"/>
        </w:trPr>
        <w:tc>
          <w:tcPr>
            <w:tcW w:w="889" w:type="pct"/>
            <w:vMerge/>
            <w:vAlign w:val="center"/>
            <w:hideMark/>
          </w:tcPr>
          <w:p w14:paraId="4909B90E"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150D3650"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45</w:t>
            </w:r>
          </w:p>
        </w:tc>
        <w:tc>
          <w:tcPr>
            <w:tcW w:w="2086" w:type="pct"/>
            <w:shd w:val="clear" w:color="auto" w:fill="auto"/>
            <w:vAlign w:val="center"/>
            <w:hideMark/>
          </w:tcPr>
          <w:p w14:paraId="36E967F1"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Gradbena dela</w:t>
            </w:r>
          </w:p>
        </w:tc>
        <w:tc>
          <w:tcPr>
            <w:tcW w:w="619" w:type="pct"/>
            <w:shd w:val="clear" w:color="auto" w:fill="auto"/>
            <w:vAlign w:val="center"/>
            <w:hideMark/>
          </w:tcPr>
          <w:p w14:paraId="334549F7"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123</w:t>
            </w:r>
          </w:p>
        </w:tc>
        <w:tc>
          <w:tcPr>
            <w:tcW w:w="985" w:type="pct"/>
            <w:shd w:val="clear" w:color="auto" w:fill="auto"/>
            <w:vAlign w:val="center"/>
            <w:hideMark/>
          </w:tcPr>
          <w:p w14:paraId="0433522A"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248.747.472</w:t>
            </w:r>
          </w:p>
        </w:tc>
      </w:tr>
      <w:tr w:rsidR="00F24E18" w:rsidRPr="002B5B0B" w14:paraId="0229633A" w14:textId="77777777" w:rsidTr="000E18B5">
        <w:trPr>
          <w:trHeight w:val="300"/>
        </w:trPr>
        <w:tc>
          <w:tcPr>
            <w:tcW w:w="889" w:type="pct"/>
            <w:vMerge/>
            <w:vAlign w:val="center"/>
            <w:hideMark/>
          </w:tcPr>
          <w:p w14:paraId="20A42574"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543D9C0C"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72</w:t>
            </w:r>
          </w:p>
        </w:tc>
        <w:tc>
          <w:tcPr>
            <w:tcW w:w="2086" w:type="pct"/>
            <w:shd w:val="clear" w:color="auto" w:fill="auto"/>
            <w:vAlign w:val="center"/>
            <w:hideMark/>
          </w:tcPr>
          <w:p w14:paraId="5A984815"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Storitve informacijske tehnologije: svetovanje, razvoj programske opreme, internet in podpora</w:t>
            </w:r>
          </w:p>
        </w:tc>
        <w:tc>
          <w:tcPr>
            <w:tcW w:w="619" w:type="pct"/>
            <w:shd w:val="clear" w:color="auto" w:fill="auto"/>
            <w:vAlign w:val="center"/>
            <w:hideMark/>
          </w:tcPr>
          <w:p w14:paraId="1F1231A9"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186</w:t>
            </w:r>
          </w:p>
        </w:tc>
        <w:tc>
          <w:tcPr>
            <w:tcW w:w="985" w:type="pct"/>
            <w:shd w:val="clear" w:color="auto" w:fill="auto"/>
            <w:vAlign w:val="center"/>
            <w:hideMark/>
          </w:tcPr>
          <w:p w14:paraId="1807E6AE"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131.856.131</w:t>
            </w:r>
          </w:p>
        </w:tc>
      </w:tr>
      <w:tr w:rsidR="00F24E18" w:rsidRPr="002B5B0B" w14:paraId="769527FC" w14:textId="77777777" w:rsidTr="000E18B5">
        <w:trPr>
          <w:trHeight w:val="300"/>
        </w:trPr>
        <w:tc>
          <w:tcPr>
            <w:tcW w:w="889" w:type="pct"/>
            <w:vMerge w:val="restart"/>
            <w:shd w:val="clear" w:color="auto" w:fill="auto"/>
            <w:vAlign w:val="center"/>
            <w:hideMark/>
          </w:tcPr>
          <w:p w14:paraId="08D05C86"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Samoupravne lokalne skupnosti</w:t>
            </w:r>
          </w:p>
        </w:tc>
        <w:tc>
          <w:tcPr>
            <w:tcW w:w="421" w:type="pct"/>
            <w:shd w:val="clear" w:color="auto" w:fill="auto"/>
            <w:vAlign w:val="center"/>
            <w:hideMark/>
          </w:tcPr>
          <w:p w14:paraId="3C7A39DA"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45</w:t>
            </w:r>
          </w:p>
        </w:tc>
        <w:tc>
          <w:tcPr>
            <w:tcW w:w="2086" w:type="pct"/>
            <w:shd w:val="clear" w:color="auto" w:fill="auto"/>
            <w:vAlign w:val="center"/>
            <w:hideMark/>
          </w:tcPr>
          <w:p w14:paraId="380A415E"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Gradbena dela</w:t>
            </w:r>
          </w:p>
        </w:tc>
        <w:tc>
          <w:tcPr>
            <w:tcW w:w="619" w:type="pct"/>
            <w:shd w:val="clear" w:color="auto" w:fill="auto"/>
            <w:vAlign w:val="center"/>
            <w:hideMark/>
          </w:tcPr>
          <w:p w14:paraId="7C7A9441" w14:textId="77777777" w:rsidR="00F24E18" w:rsidRPr="002B5B0B" w:rsidRDefault="00F24E18" w:rsidP="000E18B5">
            <w:pPr>
              <w:spacing w:after="0" w:line="240" w:lineRule="auto"/>
              <w:jc w:val="right"/>
              <w:rPr>
                <w:rFonts w:ascii="Arial" w:hAnsi="Arial" w:cs="Arial"/>
                <w:color w:val="000000"/>
                <w:sz w:val="18"/>
                <w:szCs w:val="18"/>
              </w:rPr>
            </w:pPr>
            <w:r w:rsidRPr="002B5B0B">
              <w:rPr>
                <w:rFonts w:ascii="Arial" w:hAnsi="Arial" w:cs="Arial"/>
                <w:color w:val="000000"/>
                <w:sz w:val="18"/>
                <w:szCs w:val="18"/>
              </w:rPr>
              <w:t>783</w:t>
            </w:r>
          </w:p>
        </w:tc>
        <w:tc>
          <w:tcPr>
            <w:tcW w:w="985" w:type="pct"/>
            <w:shd w:val="clear" w:color="auto" w:fill="auto"/>
            <w:vAlign w:val="center"/>
            <w:hideMark/>
          </w:tcPr>
          <w:p w14:paraId="05966B0B" w14:textId="77777777" w:rsidR="00F24E18" w:rsidRPr="002B5B0B" w:rsidRDefault="00F24E18" w:rsidP="000E18B5">
            <w:pPr>
              <w:spacing w:after="0" w:line="240" w:lineRule="auto"/>
              <w:jc w:val="right"/>
              <w:rPr>
                <w:rFonts w:ascii="Arial" w:hAnsi="Arial" w:cs="Arial"/>
                <w:color w:val="000000"/>
                <w:sz w:val="18"/>
                <w:szCs w:val="18"/>
              </w:rPr>
            </w:pPr>
            <w:r w:rsidRPr="002B5B0B">
              <w:rPr>
                <w:rFonts w:ascii="Arial" w:hAnsi="Arial" w:cs="Arial"/>
                <w:color w:val="000000"/>
                <w:sz w:val="18"/>
                <w:szCs w:val="18"/>
              </w:rPr>
              <w:t>416.024.441</w:t>
            </w:r>
          </w:p>
        </w:tc>
      </w:tr>
      <w:tr w:rsidR="00F24E18" w:rsidRPr="002B5B0B" w14:paraId="089168D3" w14:textId="77777777" w:rsidTr="000E18B5">
        <w:trPr>
          <w:trHeight w:val="300"/>
        </w:trPr>
        <w:tc>
          <w:tcPr>
            <w:tcW w:w="889" w:type="pct"/>
            <w:vMerge/>
            <w:vAlign w:val="center"/>
            <w:hideMark/>
          </w:tcPr>
          <w:p w14:paraId="532BE814"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56733915"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09</w:t>
            </w:r>
          </w:p>
        </w:tc>
        <w:tc>
          <w:tcPr>
            <w:tcW w:w="2086" w:type="pct"/>
            <w:shd w:val="clear" w:color="auto" w:fill="auto"/>
            <w:vAlign w:val="center"/>
            <w:hideMark/>
          </w:tcPr>
          <w:p w14:paraId="1D61B119"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Naftni derivati, goriva, električna energija in drugi viri energije</w:t>
            </w:r>
          </w:p>
        </w:tc>
        <w:tc>
          <w:tcPr>
            <w:tcW w:w="619" w:type="pct"/>
            <w:shd w:val="clear" w:color="auto" w:fill="auto"/>
            <w:vAlign w:val="center"/>
            <w:hideMark/>
          </w:tcPr>
          <w:p w14:paraId="47D3D716"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39</w:t>
            </w:r>
          </w:p>
        </w:tc>
        <w:tc>
          <w:tcPr>
            <w:tcW w:w="985" w:type="pct"/>
            <w:shd w:val="clear" w:color="auto" w:fill="auto"/>
            <w:vAlign w:val="center"/>
            <w:hideMark/>
          </w:tcPr>
          <w:p w14:paraId="24EF3A04"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194.671.625</w:t>
            </w:r>
          </w:p>
        </w:tc>
      </w:tr>
      <w:tr w:rsidR="00F24E18" w:rsidRPr="002B5B0B" w14:paraId="0F7FC1E1" w14:textId="77777777" w:rsidTr="000E18B5">
        <w:trPr>
          <w:trHeight w:val="300"/>
        </w:trPr>
        <w:tc>
          <w:tcPr>
            <w:tcW w:w="889" w:type="pct"/>
            <w:vMerge/>
            <w:vAlign w:val="center"/>
            <w:hideMark/>
          </w:tcPr>
          <w:p w14:paraId="4D6F1110"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38EE654F"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60</w:t>
            </w:r>
          </w:p>
        </w:tc>
        <w:tc>
          <w:tcPr>
            <w:tcW w:w="2086" w:type="pct"/>
            <w:shd w:val="clear" w:color="auto" w:fill="auto"/>
            <w:vAlign w:val="center"/>
            <w:hideMark/>
          </w:tcPr>
          <w:p w14:paraId="2CB16104"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Prevozne storitve (razen prevoza odpadkov)</w:t>
            </w:r>
          </w:p>
        </w:tc>
        <w:tc>
          <w:tcPr>
            <w:tcW w:w="619" w:type="pct"/>
            <w:shd w:val="clear" w:color="auto" w:fill="auto"/>
            <w:vAlign w:val="center"/>
            <w:hideMark/>
          </w:tcPr>
          <w:p w14:paraId="2BE39DB6"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300</w:t>
            </w:r>
          </w:p>
        </w:tc>
        <w:tc>
          <w:tcPr>
            <w:tcW w:w="985" w:type="pct"/>
            <w:shd w:val="clear" w:color="auto" w:fill="auto"/>
            <w:vAlign w:val="center"/>
            <w:hideMark/>
          </w:tcPr>
          <w:p w14:paraId="56261EFD"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44.351.937</w:t>
            </w:r>
          </w:p>
        </w:tc>
      </w:tr>
      <w:tr w:rsidR="00F24E18" w:rsidRPr="002B5B0B" w14:paraId="6A132D99" w14:textId="77777777" w:rsidTr="000E18B5">
        <w:trPr>
          <w:trHeight w:val="300"/>
        </w:trPr>
        <w:tc>
          <w:tcPr>
            <w:tcW w:w="889" w:type="pct"/>
            <w:vMerge w:val="restart"/>
            <w:shd w:val="clear" w:color="auto" w:fill="auto"/>
            <w:vAlign w:val="center"/>
            <w:hideMark/>
          </w:tcPr>
          <w:p w14:paraId="333D92C8"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Javni skladi</w:t>
            </w:r>
          </w:p>
        </w:tc>
        <w:tc>
          <w:tcPr>
            <w:tcW w:w="421" w:type="pct"/>
            <w:shd w:val="clear" w:color="auto" w:fill="auto"/>
            <w:vAlign w:val="center"/>
            <w:hideMark/>
          </w:tcPr>
          <w:p w14:paraId="5C34C56A"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45</w:t>
            </w:r>
          </w:p>
        </w:tc>
        <w:tc>
          <w:tcPr>
            <w:tcW w:w="2086" w:type="pct"/>
            <w:shd w:val="clear" w:color="auto" w:fill="auto"/>
            <w:vAlign w:val="center"/>
            <w:hideMark/>
          </w:tcPr>
          <w:p w14:paraId="6F866DA3"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Gradbena dela</w:t>
            </w:r>
          </w:p>
        </w:tc>
        <w:tc>
          <w:tcPr>
            <w:tcW w:w="619" w:type="pct"/>
            <w:shd w:val="clear" w:color="auto" w:fill="auto"/>
            <w:vAlign w:val="center"/>
            <w:hideMark/>
          </w:tcPr>
          <w:p w14:paraId="13290944"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32</w:t>
            </w:r>
          </w:p>
        </w:tc>
        <w:tc>
          <w:tcPr>
            <w:tcW w:w="985" w:type="pct"/>
            <w:shd w:val="clear" w:color="auto" w:fill="auto"/>
            <w:vAlign w:val="center"/>
            <w:hideMark/>
          </w:tcPr>
          <w:p w14:paraId="285543B5"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26.229.288</w:t>
            </w:r>
          </w:p>
        </w:tc>
      </w:tr>
      <w:tr w:rsidR="00F24E18" w:rsidRPr="002B5B0B" w14:paraId="37E77F5D" w14:textId="77777777" w:rsidTr="000E18B5">
        <w:trPr>
          <w:trHeight w:val="300"/>
        </w:trPr>
        <w:tc>
          <w:tcPr>
            <w:tcW w:w="889" w:type="pct"/>
            <w:vMerge/>
            <w:vAlign w:val="center"/>
            <w:hideMark/>
          </w:tcPr>
          <w:p w14:paraId="7CC94548"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5073E147"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71</w:t>
            </w:r>
          </w:p>
        </w:tc>
        <w:tc>
          <w:tcPr>
            <w:tcW w:w="2086" w:type="pct"/>
            <w:shd w:val="clear" w:color="auto" w:fill="auto"/>
            <w:vAlign w:val="center"/>
            <w:hideMark/>
          </w:tcPr>
          <w:p w14:paraId="08964008"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Arhitekturne, gradbeniške, inženirske in inšpekcijske storitve</w:t>
            </w:r>
          </w:p>
        </w:tc>
        <w:tc>
          <w:tcPr>
            <w:tcW w:w="619" w:type="pct"/>
            <w:shd w:val="clear" w:color="auto" w:fill="auto"/>
            <w:vAlign w:val="center"/>
            <w:hideMark/>
          </w:tcPr>
          <w:p w14:paraId="07232137"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13</w:t>
            </w:r>
          </w:p>
        </w:tc>
        <w:tc>
          <w:tcPr>
            <w:tcW w:w="985" w:type="pct"/>
            <w:shd w:val="clear" w:color="auto" w:fill="auto"/>
            <w:vAlign w:val="center"/>
            <w:hideMark/>
          </w:tcPr>
          <w:p w14:paraId="69BDF832"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4.857.043</w:t>
            </w:r>
          </w:p>
        </w:tc>
      </w:tr>
      <w:tr w:rsidR="00F24E18" w:rsidRPr="002B5B0B" w14:paraId="26D711E6" w14:textId="77777777" w:rsidTr="000E18B5">
        <w:trPr>
          <w:trHeight w:val="300"/>
        </w:trPr>
        <w:tc>
          <w:tcPr>
            <w:tcW w:w="889" w:type="pct"/>
            <w:vMerge/>
            <w:vAlign w:val="center"/>
            <w:hideMark/>
          </w:tcPr>
          <w:p w14:paraId="470DED86"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7C5E063E"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79</w:t>
            </w:r>
          </w:p>
        </w:tc>
        <w:tc>
          <w:tcPr>
            <w:tcW w:w="2086" w:type="pct"/>
            <w:shd w:val="clear" w:color="auto" w:fill="auto"/>
            <w:vAlign w:val="center"/>
            <w:hideMark/>
          </w:tcPr>
          <w:p w14:paraId="3E226D30"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Poslovne storitve: pravo, trženje, svetovanje, zaposlovanje, tiskanje in varnost</w:t>
            </w:r>
          </w:p>
        </w:tc>
        <w:tc>
          <w:tcPr>
            <w:tcW w:w="619" w:type="pct"/>
            <w:shd w:val="clear" w:color="auto" w:fill="auto"/>
            <w:vAlign w:val="center"/>
            <w:hideMark/>
          </w:tcPr>
          <w:p w14:paraId="49C39D3C"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9</w:t>
            </w:r>
          </w:p>
        </w:tc>
        <w:tc>
          <w:tcPr>
            <w:tcW w:w="985" w:type="pct"/>
            <w:shd w:val="clear" w:color="auto" w:fill="auto"/>
            <w:vAlign w:val="center"/>
            <w:hideMark/>
          </w:tcPr>
          <w:p w14:paraId="7073D59E"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1.006.362</w:t>
            </w:r>
          </w:p>
        </w:tc>
      </w:tr>
      <w:tr w:rsidR="00F24E18" w:rsidRPr="002B5B0B" w14:paraId="5EF048E0" w14:textId="77777777" w:rsidTr="000E18B5">
        <w:trPr>
          <w:trHeight w:val="300"/>
        </w:trPr>
        <w:tc>
          <w:tcPr>
            <w:tcW w:w="889" w:type="pct"/>
            <w:vMerge w:val="restart"/>
            <w:shd w:val="clear" w:color="auto" w:fill="auto"/>
            <w:vAlign w:val="center"/>
            <w:hideMark/>
          </w:tcPr>
          <w:p w14:paraId="23D67601"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Javne agencije</w:t>
            </w:r>
          </w:p>
        </w:tc>
        <w:tc>
          <w:tcPr>
            <w:tcW w:w="421" w:type="pct"/>
            <w:shd w:val="clear" w:color="auto" w:fill="auto"/>
            <w:vAlign w:val="center"/>
            <w:hideMark/>
          </w:tcPr>
          <w:p w14:paraId="7579C8D8"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79</w:t>
            </w:r>
          </w:p>
        </w:tc>
        <w:tc>
          <w:tcPr>
            <w:tcW w:w="2086" w:type="pct"/>
            <w:shd w:val="clear" w:color="auto" w:fill="auto"/>
            <w:vAlign w:val="center"/>
            <w:hideMark/>
          </w:tcPr>
          <w:p w14:paraId="5C1B076B"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Poslovne storitve: pravo, trženje, svetovanje, zaposlovanje, tiskanje in varnost</w:t>
            </w:r>
          </w:p>
        </w:tc>
        <w:tc>
          <w:tcPr>
            <w:tcW w:w="619" w:type="pct"/>
            <w:shd w:val="clear" w:color="auto" w:fill="auto"/>
            <w:vAlign w:val="center"/>
            <w:hideMark/>
          </w:tcPr>
          <w:p w14:paraId="13F884F1"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36</w:t>
            </w:r>
          </w:p>
        </w:tc>
        <w:tc>
          <w:tcPr>
            <w:tcW w:w="985" w:type="pct"/>
            <w:shd w:val="clear" w:color="auto" w:fill="auto"/>
            <w:vAlign w:val="center"/>
            <w:hideMark/>
          </w:tcPr>
          <w:p w14:paraId="4010C8B3"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11.786.192</w:t>
            </w:r>
          </w:p>
        </w:tc>
      </w:tr>
      <w:tr w:rsidR="00F24E18" w:rsidRPr="002B5B0B" w14:paraId="489D9936" w14:textId="77777777" w:rsidTr="000E18B5">
        <w:trPr>
          <w:trHeight w:val="300"/>
        </w:trPr>
        <w:tc>
          <w:tcPr>
            <w:tcW w:w="889" w:type="pct"/>
            <w:vMerge/>
            <w:vAlign w:val="center"/>
            <w:hideMark/>
          </w:tcPr>
          <w:p w14:paraId="4328AF03"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0ACEE6AD"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72</w:t>
            </w:r>
          </w:p>
        </w:tc>
        <w:tc>
          <w:tcPr>
            <w:tcW w:w="2086" w:type="pct"/>
            <w:shd w:val="clear" w:color="auto" w:fill="auto"/>
            <w:vAlign w:val="center"/>
            <w:hideMark/>
          </w:tcPr>
          <w:p w14:paraId="3E74337E"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Storitve informacijske tehnologije: svetovanje, razvoj programske opreme, internet in podpora</w:t>
            </w:r>
          </w:p>
        </w:tc>
        <w:tc>
          <w:tcPr>
            <w:tcW w:w="619" w:type="pct"/>
            <w:shd w:val="clear" w:color="auto" w:fill="auto"/>
            <w:vAlign w:val="center"/>
            <w:hideMark/>
          </w:tcPr>
          <w:p w14:paraId="0AE84EE7"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21</w:t>
            </w:r>
          </w:p>
        </w:tc>
        <w:tc>
          <w:tcPr>
            <w:tcW w:w="985" w:type="pct"/>
            <w:shd w:val="clear" w:color="auto" w:fill="auto"/>
            <w:vAlign w:val="center"/>
            <w:hideMark/>
          </w:tcPr>
          <w:p w14:paraId="0D27BD80"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5.821.351</w:t>
            </w:r>
          </w:p>
        </w:tc>
      </w:tr>
      <w:tr w:rsidR="00F24E18" w:rsidRPr="002B5B0B" w14:paraId="09695803" w14:textId="77777777" w:rsidTr="000E18B5">
        <w:trPr>
          <w:trHeight w:val="300"/>
        </w:trPr>
        <w:tc>
          <w:tcPr>
            <w:tcW w:w="889" w:type="pct"/>
            <w:vMerge/>
            <w:vAlign w:val="center"/>
            <w:hideMark/>
          </w:tcPr>
          <w:p w14:paraId="610B91EB"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13E9D464"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92</w:t>
            </w:r>
          </w:p>
        </w:tc>
        <w:tc>
          <w:tcPr>
            <w:tcW w:w="2086" w:type="pct"/>
            <w:shd w:val="clear" w:color="auto" w:fill="auto"/>
            <w:vAlign w:val="center"/>
            <w:hideMark/>
          </w:tcPr>
          <w:p w14:paraId="0C85C903"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Storitve na področju rekreacije, kulture in športa</w:t>
            </w:r>
          </w:p>
        </w:tc>
        <w:tc>
          <w:tcPr>
            <w:tcW w:w="619" w:type="pct"/>
            <w:shd w:val="clear" w:color="auto" w:fill="auto"/>
            <w:vAlign w:val="center"/>
            <w:hideMark/>
          </w:tcPr>
          <w:p w14:paraId="037D32EA"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4</w:t>
            </w:r>
          </w:p>
        </w:tc>
        <w:tc>
          <w:tcPr>
            <w:tcW w:w="985" w:type="pct"/>
            <w:shd w:val="clear" w:color="auto" w:fill="auto"/>
            <w:vAlign w:val="center"/>
            <w:hideMark/>
          </w:tcPr>
          <w:p w14:paraId="7516DEAC"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2.078.834</w:t>
            </w:r>
          </w:p>
        </w:tc>
      </w:tr>
      <w:tr w:rsidR="00F24E18" w:rsidRPr="002B5B0B" w14:paraId="0CE4BDB6" w14:textId="77777777" w:rsidTr="000E18B5">
        <w:trPr>
          <w:trHeight w:val="300"/>
        </w:trPr>
        <w:tc>
          <w:tcPr>
            <w:tcW w:w="889" w:type="pct"/>
            <w:vMerge w:val="restart"/>
            <w:shd w:val="clear" w:color="auto" w:fill="auto"/>
            <w:vAlign w:val="center"/>
            <w:hideMark/>
          </w:tcPr>
          <w:p w14:paraId="29621161"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Javni zavodi</w:t>
            </w:r>
          </w:p>
        </w:tc>
        <w:tc>
          <w:tcPr>
            <w:tcW w:w="421" w:type="pct"/>
            <w:shd w:val="clear" w:color="auto" w:fill="auto"/>
            <w:vAlign w:val="center"/>
            <w:hideMark/>
          </w:tcPr>
          <w:p w14:paraId="3241891C"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33</w:t>
            </w:r>
          </w:p>
        </w:tc>
        <w:tc>
          <w:tcPr>
            <w:tcW w:w="2086" w:type="pct"/>
            <w:shd w:val="clear" w:color="auto" w:fill="auto"/>
            <w:vAlign w:val="center"/>
            <w:hideMark/>
          </w:tcPr>
          <w:p w14:paraId="1735CCF8"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Medicinska oprema, farmacevtski izdelki in izdelki za osebno nego</w:t>
            </w:r>
          </w:p>
        </w:tc>
        <w:tc>
          <w:tcPr>
            <w:tcW w:w="619" w:type="pct"/>
            <w:shd w:val="clear" w:color="auto" w:fill="auto"/>
            <w:vAlign w:val="center"/>
            <w:hideMark/>
          </w:tcPr>
          <w:p w14:paraId="0604F8C0"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2.755</w:t>
            </w:r>
          </w:p>
        </w:tc>
        <w:tc>
          <w:tcPr>
            <w:tcW w:w="985" w:type="pct"/>
            <w:shd w:val="clear" w:color="auto" w:fill="auto"/>
            <w:vAlign w:val="center"/>
            <w:hideMark/>
          </w:tcPr>
          <w:p w14:paraId="07C78923"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715.892.930</w:t>
            </w:r>
          </w:p>
        </w:tc>
      </w:tr>
      <w:tr w:rsidR="00F24E18" w:rsidRPr="002B5B0B" w14:paraId="3DC9735C" w14:textId="77777777" w:rsidTr="000E18B5">
        <w:trPr>
          <w:trHeight w:val="300"/>
        </w:trPr>
        <w:tc>
          <w:tcPr>
            <w:tcW w:w="889" w:type="pct"/>
            <w:vMerge/>
            <w:vAlign w:val="center"/>
            <w:hideMark/>
          </w:tcPr>
          <w:p w14:paraId="3E4EB939"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6D248BD5"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15</w:t>
            </w:r>
          </w:p>
        </w:tc>
        <w:tc>
          <w:tcPr>
            <w:tcW w:w="2086" w:type="pct"/>
            <w:shd w:val="clear" w:color="auto" w:fill="auto"/>
            <w:vAlign w:val="center"/>
            <w:hideMark/>
          </w:tcPr>
          <w:p w14:paraId="2E155933"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Živila, pijače, tobačni izdelki in z njimi povezani izdelki</w:t>
            </w:r>
          </w:p>
        </w:tc>
        <w:tc>
          <w:tcPr>
            <w:tcW w:w="619" w:type="pct"/>
            <w:shd w:val="clear" w:color="auto" w:fill="auto"/>
            <w:vAlign w:val="center"/>
            <w:hideMark/>
          </w:tcPr>
          <w:p w14:paraId="040BC5E2"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3.177</w:t>
            </w:r>
          </w:p>
        </w:tc>
        <w:tc>
          <w:tcPr>
            <w:tcW w:w="985" w:type="pct"/>
            <w:shd w:val="clear" w:color="auto" w:fill="auto"/>
            <w:vAlign w:val="center"/>
            <w:hideMark/>
          </w:tcPr>
          <w:p w14:paraId="52B32619"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133.111.531</w:t>
            </w:r>
          </w:p>
        </w:tc>
      </w:tr>
      <w:tr w:rsidR="00F24E18" w:rsidRPr="002B5B0B" w14:paraId="21C408E6" w14:textId="77777777" w:rsidTr="000E18B5">
        <w:trPr>
          <w:trHeight w:val="300"/>
        </w:trPr>
        <w:tc>
          <w:tcPr>
            <w:tcW w:w="889" w:type="pct"/>
            <w:vMerge/>
            <w:vAlign w:val="center"/>
            <w:hideMark/>
          </w:tcPr>
          <w:p w14:paraId="745B67EF"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71AF4205"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09</w:t>
            </w:r>
          </w:p>
        </w:tc>
        <w:tc>
          <w:tcPr>
            <w:tcW w:w="2086" w:type="pct"/>
            <w:shd w:val="clear" w:color="auto" w:fill="auto"/>
            <w:vAlign w:val="center"/>
            <w:hideMark/>
          </w:tcPr>
          <w:p w14:paraId="6B849FF1"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Naftni derivati, goriva, električna energija in drugi viri energije</w:t>
            </w:r>
          </w:p>
        </w:tc>
        <w:tc>
          <w:tcPr>
            <w:tcW w:w="619" w:type="pct"/>
            <w:shd w:val="clear" w:color="auto" w:fill="auto"/>
            <w:vAlign w:val="center"/>
            <w:hideMark/>
          </w:tcPr>
          <w:p w14:paraId="59F8D091"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135</w:t>
            </w:r>
          </w:p>
        </w:tc>
        <w:tc>
          <w:tcPr>
            <w:tcW w:w="985" w:type="pct"/>
            <w:shd w:val="clear" w:color="auto" w:fill="auto"/>
            <w:vAlign w:val="center"/>
            <w:hideMark/>
          </w:tcPr>
          <w:p w14:paraId="396639CC"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125.911.465</w:t>
            </w:r>
          </w:p>
        </w:tc>
      </w:tr>
      <w:tr w:rsidR="00F24E18" w:rsidRPr="002B5B0B" w14:paraId="3FF9BE65" w14:textId="77777777" w:rsidTr="000E18B5">
        <w:trPr>
          <w:trHeight w:val="300"/>
        </w:trPr>
        <w:tc>
          <w:tcPr>
            <w:tcW w:w="889" w:type="pct"/>
            <w:vMerge w:val="restart"/>
            <w:shd w:val="clear" w:color="auto" w:fill="auto"/>
            <w:vAlign w:val="center"/>
            <w:hideMark/>
          </w:tcPr>
          <w:p w14:paraId="78962576"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Javni gospodarski zavodi</w:t>
            </w:r>
          </w:p>
        </w:tc>
        <w:tc>
          <w:tcPr>
            <w:tcW w:w="421" w:type="pct"/>
            <w:shd w:val="clear" w:color="auto" w:fill="auto"/>
            <w:vAlign w:val="center"/>
            <w:hideMark/>
          </w:tcPr>
          <w:p w14:paraId="33280BC4"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45</w:t>
            </w:r>
          </w:p>
        </w:tc>
        <w:tc>
          <w:tcPr>
            <w:tcW w:w="2086" w:type="pct"/>
            <w:shd w:val="clear" w:color="auto" w:fill="auto"/>
            <w:vAlign w:val="center"/>
            <w:hideMark/>
          </w:tcPr>
          <w:p w14:paraId="22582743"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Gradbena dela</w:t>
            </w:r>
          </w:p>
        </w:tc>
        <w:tc>
          <w:tcPr>
            <w:tcW w:w="619" w:type="pct"/>
            <w:shd w:val="clear" w:color="auto" w:fill="auto"/>
            <w:vAlign w:val="center"/>
            <w:hideMark/>
          </w:tcPr>
          <w:p w14:paraId="2AE6ECA3"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4</w:t>
            </w:r>
          </w:p>
        </w:tc>
        <w:tc>
          <w:tcPr>
            <w:tcW w:w="985" w:type="pct"/>
            <w:shd w:val="clear" w:color="auto" w:fill="auto"/>
            <w:vAlign w:val="center"/>
            <w:hideMark/>
          </w:tcPr>
          <w:p w14:paraId="78110500"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7.489.214</w:t>
            </w:r>
          </w:p>
        </w:tc>
      </w:tr>
      <w:tr w:rsidR="00F24E18" w:rsidRPr="002B5B0B" w14:paraId="4CBD5A00" w14:textId="77777777" w:rsidTr="000E18B5">
        <w:trPr>
          <w:trHeight w:val="300"/>
        </w:trPr>
        <w:tc>
          <w:tcPr>
            <w:tcW w:w="889" w:type="pct"/>
            <w:vMerge/>
            <w:vAlign w:val="center"/>
            <w:hideMark/>
          </w:tcPr>
          <w:p w14:paraId="6B0A0A05"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7B2F6024"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44</w:t>
            </w:r>
          </w:p>
        </w:tc>
        <w:tc>
          <w:tcPr>
            <w:tcW w:w="2086" w:type="pct"/>
            <w:shd w:val="clear" w:color="auto" w:fill="auto"/>
            <w:vAlign w:val="center"/>
            <w:hideMark/>
          </w:tcPr>
          <w:p w14:paraId="63884EDF"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Gradbene strukture in materiali; pomožni gradbeni izdelki (razen električnih aparatov)</w:t>
            </w:r>
          </w:p>
        </w:tc>
        <w:tc>
          <w:tcPr>
            <w:tcW w:w="619" w:type="pct"/>
            <w:shd w:val="clear" w:color="auto" w:fill="auto"/>
            <w:vAlign w:val="center"/>
            <w:hideMark/>
          </w:tcPr>
          <w:p w14:paraId="7F469C59"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w:t>
            </w:r>
          </w:p>
        </w:tc>
        <w:tc>
          <w:tcPr>
            <w:tcW w:w="985" w:type="pct"/>
            <w:shd w:val="clear" w:color="auto" w:fill="auto"/>
            <w:vAlign w:val="center"/>
            <w:hideMark/>
          </w:tcPr>
          <w:p w14:paraId="52E8EC48"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4.515.947</w:t>
            </w:r>
          </w:p>
        </w:tc>
      </w:tr>
      <w:tr w:rsidR="00F24E18" w:rsidRPr="002B5B0B" w14:paraId="254F8BCB" w14:textId="77777777" w:rsidTr="000E18B5">
        <w:trPr>
          <w:trHeight w:val="300"/>
        </w:trPr>
        <w:tc>
          <w:tcPr>
            <w:tcW w:w="889" w:type="pct"/>
            <w:vMerge/>
            <w:vAlign w:val="center"/>
            <w:hideMark/>
          </w:tcPr>
          <w:p w14:paraId="173295A8"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0AA417D7"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15</w:t>
            </w:r>
          </w:p>
        </w:tc>
        <w:tc>
          <w:tcPr>
            <w:tcW w:w="2086" w:type="pct"/>
            <w:shd w:val="clear" w:color="auto" w:fill="auto"/>
            <w:vAlign w:val="center"/>
            <w:hideMark/>
          </w:tcPr>
          <w:p w14:paraId="5433435C"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Živila, pijače, tobačni izdelki in z njimi povezani izdelki</w:t>
            </w:r>
          </w:p>
        </w:tc>
        <w:tc>
          <w:tcPr>
            <w:tcW w:w="619" w:type="pct"/>
            <w:shd w:val="clear" w:color="auto" w:fill="auto"/>
            <w:vAlign w:val="center"/>
            <w:hideMark/>
          </w:tcPr>
          <w:p w14:paraId="4DABF95C"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34</w:t>
            </w:r>
          </w:p>
        </w:tc>
        <w:tc>
          <w:tcPr>
            <w:tcW w:w="985" w:type="pct"/>
            <w:shd w:val="clear" w:color="auto" w:fill="auto"/>
            <w:vAlign w:val="center"/>
            <w:hideMark/>
          </w:tcPr>
          <w:p w14:paraId="598A2F90"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1.021.418</w:t>
            </w:r>
          </w:p>
        </w:tc>
      </w:tr>
      <w:tr w:rsidR="00F24E18" w:rsidRPr="002B5B0B" w14:paraId="5F983B30" w14:textId="77777777" w:rsidTr="000E18B5">
        <w:trPr>
          <w:trHeight w:val="300"/>
        </w:trPr>
        <w:tc>
          <w:tcPr>
            <w:tcW w:w="889" w:type="pct"/>
            <w:vMerge w:val="restart"/>
            <w:shd w:val="clear" w:color="auto" w:fill="auto"/>
            <w:vAlign w:val="center"/>
            <w:hideMark/>
          </w:tcPr>
          <w:p w14:paraId="77B2B479"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 xml:space="preserve">Drugi naročniki (osebe javnega prava, javna podjetja, subjekt s posebnimi </w:t>
            </w:r>
            <w:r w:rsidRPr="002B5B0B">
              <w:rPr>
                <w:rFonts w:ascii="Arial" w:eastAsia="Times New Roman" w:hAnsi="Arial" w:cs="Arial"/>
                <w:color w:val="000000"/>
                <w:sz w:val="18"/>
                <w:szCs w:val="18"/>
                <w:lang w:eastAsia="sl-SI"/>
              </w:rPr>
              <w:lastRenderedPageBreak/>
              <w:t>infrastrukturnimi pravicami)</w:t>
            </w:r>
          </w:p>
        </w:tc>
        <w:tc>
          <w:tcPr>
            <w:tcW w:w="421" w:type="pct"/>
            <w:shd w:val="clear" w:color="auto" w:fill="auto"/>
            <w:vAlign w:val="center"/>
            <w:hideMark/>
          </w:tcPr>
          <w:p w14:paraId="1DC27BF9"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lastRenderedPageBreak/>
              <w:t>45</w:t>
            </w:r>
          </w:p>
        </w:tc>
        <w:tc>
          <w:tcPr>
            <w:tcW w:w="2086" w:type="pct"/>
            <w:shd w:val="clear" w:color="auto" w:fill="auto"/>
            <w:vAlign w:val="center"/>
            <w:hideMark/>
          </w:tcPr>
          <w:p w14:paraId="491AB63B"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Gradbena dela</w:t>
            </w:r>
          </w:p>
        </w:tc>
        <w:tc>
          <w:tcPr>
            <w:tcW w:w="619" w:type="pct"/>
            <w:shd w:val="clear" w:color="auto" w:fill="auto"/>
            <w:vAlign w:val="center"/>
            <w:hideMark/>
          </w:tcPr>
          <w:p w14:paraId="20CDC6CF"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392</w:t>
            </w:r>
          </w:p>
        </w:tc>
        <w:tc>
          <w:tcPr>
            <w:tcW w:w="985" w:type="pct"/>
            <w:shd w:val="clear" w:color="auto" w:fill="auto"/>
            <w:vAlign w:val="center"/>
            <w:hideMark/>
          </w:tcPr>
          <w:p w14:paraId="1150B0B8"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409.584.690</w:t>
            </w:r>
          </w:p>
        </w:tc>
      </w:tr>
      <w:tr w:rsidR="00F24E18" w:rsidRPr="002B5B0B" w14:paraId="054A60B4" w14:textId="77777777" w:rsidTr="000E18B5">
        <w:trPr>
          <w:trHeight w:val="300"/>
        </w:trPr>
        <w:tc>
          <w:tcPr>
            <w:tcW w:w="889" w:type="pct"/>
            <w:vMerge/>
            <w:vAlign w:val="center"/>
            <w:hideMark/>
          </w:tcPr>
          <w:p w14:paraId="6E23910D"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6580A026"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34</w:t>
            </w:r>
          </w:p>
        </w:tc>
        <w:tc>
          <w:tcPr>
            <w:tcW w:w="2086" w:type="pct"/>
            <w:shd w:val="clear" w:color="auto" w:fill="auto"/>
            <w:vAlign w:val="center"/>
            <w:hideMark/>
          </w:tcPr>
          <w:p w14:paraId="128CB889"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Prevozna sredstva in dodatni proizvodi za promet</w:t>
            </w:r>
          </w:p>
        </w:tc>
        <w:tc>
          <w:tcPr>
            <w:tcW w:w="619" w:type="pct"/>
            <w:shd w:val="clear" w:color="auto" w:fill="auto"/>
            <w:vAlign w:val="center"/>
            <w:hideMark/>
          </w:tcPr>
          <w:p w14:paraId="3B90145F"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363</w:t>
            </w:r>
          </w:p>
        </w:tc>
        <w:tc>
          <w:tcPr>
            <w:tcW w:w="985" w:type="pct"/>
            <w:shd w:val="clear" w:color="auto" w:fill="auto"/>
            <w:vAlign w:val="center"/>
            <w:hideMark/>
          </w:tcPr>
          <w:p w14:paraId="216A479F"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203.364.894</w:t>
            </w:r>
          </w:p>
        </w:tc>
      </w:tr>
      <w:tr w:rsidR="00F24E18" w:rsidRPr="002B5B0B" w14:paraId="333C7E17" w14:textId="77777777" w:rsidTr="000E18B5">
        <w:trPr>
          <w:trHeight w:val="300"/>
        </w:trPr>
        <w:tc>
          <w:tcPr>
            <w:tcW w:w="889" w:type="pct"/>
            <w:vMerge/>
            <w:vAlign w:val="center"/>
            <w:hideMark/>
          </w:tcPr>
          <w:p w14:paraId="116C86E0"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0B7EFCAB"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09</w:t>
            </w:r>
          </w:p>
        </w:tc>
        <w:tc>
          <w:tcPr>
            <w:tcW w:w="2086" w:type="pct"/>
            <w:shd w:val="clear" w:color="auto" w:fill="auto"/>
            <w:vAlign w:val="center"/>
            <w:hideMark/>
          </w:tcPr>
          <w:p w14:paraId="21AFF5ED"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Naftni derivati, goriva, električna energija in drugi viri energije</w:t>
            </w:r>
          </w:p>
        </w:tc>
        <w:tc>
          <w:tcPr>
            <w:tcW w:w="619" w:type="pct"/>
            <w:shd w:val="clear" w:color="auto" w:fill="auto"/>
            <w:vAlign w:val="center"/>
            <w:hideMark/>
          </w:tcPr>
          <w:p w14:paraId="767A5BB6"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131</w:t>
            </w:r>
          </w:p>
        </w:tc>
        <w:tc>
          <w:tcPr>
            <w:tcW w:w="985" w:type="pct"/>
            <w:shd w:val="clear" w:color="auto" w:fill="auto"/>
            <w:vAlign w:val="center"/>
            <w:hideMark/>
          </w:tcPr>
          <w:p w14:paraId="4F1D546B"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158.428.607</w:t>
            </w:r>
          </w:p>
        </w:tc>
      </w:tr>
      <w:tr w:rsidR="00F24E18" w:rsidRPr="002B5B0B" w14:paraId="26052036" w14:textId="77777777" w:rsidTr="000E18B5">
        <w:trPr>
          <w:trHeight w:val="300"/>
        </w:trPr>
        <w:tc>
          <w:tcPr>
            <w:tcW w:w="889" w:type="pct"/>
            <w:vMerge w:val="restart"/>
            <w:shd w:val="clear" w:color="auto" w:fill="auto"/>
            <w:vAlign w:val="center"/>
            <w:hideMark/>
          </w:tcPr>
          <w:p w14:paraId="32BDFD71"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eastAsia="Times New Roman" w:hAnsi="Arial" w:cs="Arial"/>
                <w:color w:val="000000"/>
                <w:sz w:val="18"/>
                <w:szCs w:val="18"/>
                <w:lang w:eastAsia="sl-SI"/>
              </w:rPr>
              <w:t>Drugi subjekti</w:t>
            </w:r>
          </w:p>
        </w:tc>
        <w:tc>
          <w:tcPr>
            <w:tcW w:w="421" w:type="pct"/>
            <w:shd w:val="clear" w:color="auto" w:fill="auto"/>
            <w:vAlign w:val="center"/>
            <w:hideMark/>
          </w:tcPr>
          <w:p w14:paraId="3DB09DA9"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45</w:t>
            </w:r>
          </w:p>
        </w:tc>
        <w:tc>
          <w:tcPr>
            <w:tcW w:w="2086" w:type="pct"/>
            <w:shd w:val="clear" w:color="auto" w:fill="auto"/>
            <w:vAlign w:val="center"/>
            <w:hideMark/>
          </w:tcPr>
          <w:p w14:paraId="3B9D2C6B"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Gradbena dela</w:t>
            </w:r>
          </w:p>
        </w:tc>
        <w:tc>
          <w:tcPr>
            <w:tcW w:w="619" w:type="pct"/>
            <w:shd w:val="clear" w:color="auto" w:fill="auto"/>
            <w:vAlign w:val="center"/>
            <w:hideMark/>
          </w:tcPr>
          <w:p w14:paraId="17BDDE6A"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8</w:t>
            </w:r>
          </w:p>
        </w:tc>
        <w:tc>
          <w:tcPr>
            <w:tcW w:w="985" w:type="pct"/>
            <w:shd w:val="clear" w:color="auto" w:fill="auto"/>
            <w:vAlign w:val="center"/>
            <w:hideMark/>
          </w:tcPr>
          <w:p w14:paraId="6A0A3E4E"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216.808.123</w:t>
            </w:r>
          </w:p>
        </w:tc>
      </w:tr>
      <w:tr w:rsidR="00F24E18" w:rsidRPr="002B5B0B" w14:paraId="262FCDB2" w14:textId="77777777" w:rsidTr="000E18B5">
        <w:trPr>
          <w:trHeight w:val="300"/>
        </w:trPr>
        <w:tc>
          <w:tcPr>
            <w:tcW w:w="889" w:type="pct"/>
            <w:vMerge/>
            <w:vAlign w:val="center"/>
            <w:hideMark/>
          </w:tcPr>
          <w:p w14:paraId="2DB18458"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0E2EFDD0"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33</w:t>
            </w:r>
          </w:p>
        </w:tc>
        <w:tc>
          <w:tcPr>
            <w:tcW w:w="2086" w:type="pct"/>
            <w:shd w:val="clear" w:color="auto" w:fill="auto"/>
            <w:vAlign w:val="center"/>
            <w:hideMark/>
          </w:tcPr>
          <w:p w14:paraId="3BCBBFDF"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Medicinska oprema, farmacevtski izdelki in izdelki za osebno nego</w:t>
            </w:r>
          </w:p>
        </w:tc>
        <w:tc>
          <w:tcPr>
            <w:tcW w:w="619" w:type="pct"/>
            <w:shd w:val="clear" w:color="auto" w:fill="auto"/>
            <w:vAlign w:val="center"/>
            <w:hideMark/>
          </w:tcPr>
          <w:p w14:paraId="128CA767"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13</w:t>
            </w:r>
          </w:p>
        </w:tc>
        <w:tc>
          <w:tcPr>
            <w:tcW w:w="985" w:type="pct"/>
            <w:shd w:val="clear" w:color="auto" w:fill="auto"/>
            <w:vAlign w:val="center"/>
            <w:hideMark/>
          </w:tcPr>
          <w:p w14:paraId="38FEE8A5"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43.819.197</w:t>
            </w:r>
          </w:p>
        </w:tc>
      </w:tr>
      <w:tr w:rsidR="00F24E18" w:rsidRPr="00242E41" w14:paraId="74BCE1BC" w14:textId="77777777" w:rsidTr="000E18B5">
        <w:trPr>
          <w:trHeight w:val="300"/>
        </w:trPr>
        <w:tc>
          <w:tcPr>
            <w:tcW w:w="889" w:type="pct"/>
            <w:vMerge/>
            <w:vAlign w:val="center"/>
            <w:hideMark/>
          </w:tcPr>
          <w:p w14:paraId="12F2F1A5" w14:textId="77777777" w:rsidR="00F24E18" w:rsidRPr="002B5B0B" w:rsidRDefault="00F24E18" w:rsidP="000E18B5">
            <w:pPr>
              <w:spacing w:after="0" w:line="240" w:lineRule="auto"/>
              <w:rPr>
                <w:rFonts w:ascii="Arial" w:eastAsia="Times New Roman" w:hAnsi="Arial" w:cs="Arial"/>
                <w:color w:val="000000"/>
                <w:sz w:val="18"/>
                <w:szCs w:val="18"/>
                <w:lang w:eastAsia="sl-SI"/>
              </w:rPr>
            </w:pPr>
          </w:p>
        </w:tc>
        <w:tc>
          <w:tcPr>
            <w:tcW w:w="421" w:type="pct"/>
            <w:shd w:val="clear" w:color="auto" w:fill="auto"/>
            <w:vAlign w:val="center"/>
            <w:hideMark/>
          </w:tcPr>
          <w:p w14:paraId="0D2D0177"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34</w:t>
            </w:r>
          </w:p>
        </w:tc>
        <w:tc>
          <w:tcPr>
            <w:tcW w:w="2086" w:type="pct"/>
            <w:shd w:val="clear" w:color="auto" w:fill="auto"/>
            <w:vAlign w:val="center"/>
            <w:hideMark/>
          </w:tcPr>
          <w:p w14:paraId="129DE064" w14:textId="77777777" w:rsidR="00F24E18" w:rsidRPr="002B5B0B" w:rsidRDefault="00F24E18" w:rsidP="000E18B5">
            <w:pPr>
              <w:spacing w:after="0" w:line="240" w:lineRule="auto"/>
              <w:rPr>
                <w:rFonts w:ascii="Arial" w:eastAsia="Times New Roman" w:hAnsi="Arial" w:cs="Arial"/>
                <w:color w:val="000000"/>
                <w:sz w:val="18"/>
                <w:szCs w:val="18"/>
                <w:lang w:eastAsia="sl-SI"/>
              </w:rPr>
            </w:pPr>
            <w:r w:rsidRPr="002B5B0B">
              <w:rPr>
                <w:rFonts w:ascii="Arial" w:hAnsi="Arial" w:cs="Arial"/>
                <w:color w:val="000000"/>
                <w:sz w:val="18"/>
                <w:szCs w:val="18"/>
              </w:rPr>
              <w:t>Prevozna sredstva in dodatni proizvodi za promet</w:t>
            </w:r>
          </w:p>
        </w:tc>
        <w:tc>
          <w:tcPr>
            <w:tcW w:w="619" w:type="pct"/>
            <w:shd w:val="clear" w:color="auto" w:fill="auto"/>
            <w:vAlign w:val="center"/>
            <w:hideMark/>
          </w:tcPr>
          <w:p w14:paraId="4DB60B9B"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40</w:t>
            </w:r>
          </w:p>
        </w:tc>
        <w:tc>
          <w:tcPr>
            <w:tcW w:w="985" w:type="pct"/>
            <w:shd w:val="clear" w:color="auto" w:fill="auto"/>
            <w:vAlign w:val="center"/>
            <w:hideMark/>
          </w:tcPr>
          <w:p w14:paraId="5BE82AC0" w14:textId="77777777" w:rsidR="00F24E18" w:rsidRPr="002B5B0B" w:rsidRDefault="00F24E18" w:rsidP="000E18B5">
            <w:pPr>
              <w:spacing w:after="0" w:line="240" w:lineRule="auto"/>
              <w:jc w:val="right"/>
              <w:rPr>
                <w:rFonts w:ascii="Arial" w:eastAsia="Times New Roman" w:hAnsi="Arial" w:cs="Arial"/>
                <w:color w:val="000000"/>
                <w:sz w:val="18"/>
                <w:szCs w:val="18"/>
                <w:lang w:eastAsia="sl-SI"/>
              </w:rPr>
            </w:pPr>
            <w:r w:rsidRPr="002B5B0B">
              <w:rPr>
                <w:rFonts w:ascii="Arial" w:hAnsi="Arial" w:cs="Arial"/>
                <w:color w:val="000000"/>
                <w:sz w:val="18"/>
                <w:szCs w:val="18"/>
              </w:rPr>
              <w:t>12.466.401</w:t>
            </w:r>
          </w:p>
        </w:tc>
      </w:tr>
    </w:tbl>
    <w:p w14:paraId="0D2CEF46" w14:textId="77777777" w:rsidR="00F24E18" w:rsidRPr="00806F42" w:rsidRDefault="00F24E18" w:rsidP="00F24E18">
      <w:pPr>
        <w:spacing w:after="0" w:line="240" w:lineRule="auto"/>
        <w:jc w:val="right"/>
        <w:rPr>
          <w:rFonts w:ascii="Arial" w:eastAsia="Times New Roman" w:hAnsi="Arial" w:cs="Arial"/>
          <w:color w:val="000000"/>
          <w:sz w:val="18"/>
          <w:szCs w:val="18"/>
          <w:lang w:eastAsia="sl-SI"/>
        </w:rPr>
      </w:pPr>
    </w:p>
    <w:p w14:paraId="0FE3FB38" w14:textId="77777777" w:rsidR="00F24E18" w:rsidRPr="00806F42" w:rsidRDefault="00F24E18" w:rsidP="00F24E18">
      <w:pPr>
        <w:spacing w:before="120" w:after="0" w:line="240" w:lineRule="auto"/>
        <w:jc w:val="both"/>
        <w:rPr>
          <w:rFonts w:ascii="Arial" w:hAnsi="Arial" w:cs="Arial"/>
          <w:sz w:val="20"/>
        </w:rPr>
      </w:pPr>
      <w:r w:rsidRPr="00806F42">
        <w:rPr>
          <w:rFonts w:ascii="Arial" w:hAnsi="Arial" w:cs="Arial"/>
          <w:sz w:val="20"/>
        </w:rPr>
        <w:t>Preglednica 77: Trije najpogostejši predmeti javnega naročanja po Enotnem besednjaku javnih naročil (CPV) za posamezno kategorijo naročnika</w:t>
      </w:r>
    </w:p>
    <w:p w14:paraId="38293BF5" w14:textId="77777777" w:rsidR="00F24E18" w:rsidRPr="00242E41" w:rsidRDefault="00F24E18" w:rsidP="00F24E18">
      <w:pPr>
        <w:spacing w:after="0" w:line="240" w:lineRule="auto"/>
        <w:jc w:val="both"/>
        <w:rPr>
          <w:rFonts w:ascii="Arial" w:hAnsi="Arial" w:cs="Arial"/>
          <w:sz w:val="20"/>
          <w:highlight w:val="yellow"/>
        </w:rPr>
      </w:pPr>
    </w:p>
    <w:tbl>
      <w:tblPr>
        <w:tblW w:w="5000" w:type="pct"/>
        <w:tblLayout w:type="fixed"/>
        <w:tblCellMar>
          <w:left w:w="70" w:type="dxa"/>
          <w:right w:w="70" w:type="dxa"/>
        </w:tblCellMar>
        <w:tblLook w:val="04A0" w:firstRow="1" w:lastRow="0" w:firstColumn="1" w:lastColumn="0" w:noHBand="0" w:noVBand="1"/>
      </w:tblPr>
      <w:tblGrid>
        <w:gridCol w:w="1556"/>
        <w:gridCol w:w="848"/>
        <w:gridCol w:w="3827"/>
        <w:gridCol w:w="1136"/>
        <w:gridCol w:w="1807"/>
      </w:tblGrid>
      <w:tr w:rsidR="00F24E18" w:rsidRPr="00806F42" w14:paraId="1DBEBC5C" w14:textId="77777777" w:rsidTr="000E18B5">
        <w:trPr>
          <w:trHeight w:val="300"/>
          <w:tblHeader/>
        </w:trPr>
        <w:tc>
          <w:tcPr>
            <w:tcW w:w="84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EDEAB7" w14:textId="77777777" w:rsidR="00F24E18" w:rsidRPr="00806F42" w:rsidRDefault="00F24E18" w:rsidP="000E18B5">
            <w:pPr>
              <w:spacing w:after="0" w:line="240" w:lineRule="auto"/>
              <w:jc w:val="center"/>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Kategorija naročnika</w:t>
            </w:r>
          </w:p>
        </w:tc>
        <w:tc>
          <w:tcPr>
            <w:tcW w:w="462" w:type="pct"/>
            <w:tcBorders>
              <w:top w:val="single" w:sz="4" w:space="0" w:color="auto"/>
              <w:left w:val="nil"/>
              <w:bottom w:val="single" w:sz="4" w:space="0" w:color="auto"/>
              <w:right w:val="single" w:sz="4" w:space="0" w:color="auto"/>
            </w:tcBorders>
            <w:shd w:val="clear" w:color="000000" w:fill="F2F2F2"/>
            <w:vAlign w:val="center"/>
            <w:hideMark/>
          </w:tcPr>
          <w:p w14:paraId="6252379C" w14:textId="77777777" w:rsidR="00F24E18" w:rsidRPr="00806F42" w:rsidRDefault="00F24E18" w:rsidP="000E18B5">
            <w:pPr>
              <w:spacing w:after="0" w:line="240" w:lineRule="auto"/>
              <w:jc w:val="center"/>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CPV oddelek</w:t>
            </w:r>
          </w:p>
        </w:tc>
        <w:tc>
          <w:tcPr>
            <w:tcW w:w="2086" w:type="pct"/>
            <w:tcBorders>
              <w:top w:val="single" w:sz="4" w:space="0" w:color="auto"/>
              <w:left w:val="nil"/>
              <w:bottom w:val="single" w:sz="4" w:space="0" w:color="auto"/>
              <w:right w:val="single" w:sz="4" w:space="0" w:color="auto"/>
            </w:tcBorders>
            <w:shd w:val="clear" w:color="000000" w:fill="F2F2F2"/>
            <w:vAlign w:val="center"/>
            <w:hideMark/>
          </w:tcPr>
          <w:p w14:paraId="072C404E" w14:textId="77777777" w:rsidR="00F24E18" w:rsidRPr="00806F42" w:rsidRDefault="00F24E18" w:rsidP="000E18B5">
            <w:pPr>
              <w:spacing w:after="0" w:line="240" w:lineRule="auto"/>
              <w:jc w:val="center"/>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Opis CPV oddelka</w:t>
            </w:r>
          </w:p>
        </w:tc>
        <w:tc>
          <w:tcPr>
            <w:tcW w:w="619" w:type="pct"/>
            <w:tcBorders>
              <w:top w:val="single" w:sz="4" w:space="0" w:color="auto"/>
              <w:left w:val="nil"/>
              <w:bottom w:val="single" w:sz="4" w:space="0" w:color="auto"/>
              <w:right w:val="single" w:sz="4" w:space="0" w:color="auto"/>
            </w:tcBorders>
            <w:shd w:val="clear" w:color="000000" w:fill="F2F2F2"/>
            <w:vAlign w:val="center"/>
            <w:hideMark/>
          </w:tcPr>
          <w:p w14:paraId="47ABA1A3" w14:textId="77777777" w:rsidR="00F24E18" w:rsidRPr="00806F42" w:rsidRDefault="00F24E18" w:rsidP="000E18B5">
            <w:pPr>
              <w:spacing w:after="0" w:line="240" w:lineRule="auto"/>
              <w:jc w:val="center"/>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Št. naročil</w:t>
            </w:r>
          </w:p>
        </w:tc>
        <w:tc>
          <w:tcPr>
            <w:tcW w:w="985" w:type="pct"/>
            <w:tcBorders>
              <w:top w:val="single" w:sz="4" w:space="0" w:color="auto"/>
              <w:left w:val="nil"/>
              <w:bottom w:val="single" w:sz="4" w:space="0" w:color="auto"/>
              <w:right w:val="single" w:sz="4" w:space="0" w:color="auto"/>
            </w:tcBorders>
            <w:shd w:val="clear" w:color="000000" w:fill="F2F2F2"/>
            <w:vAlign w:val="center"/>
            <w:hideMark/>
          </w:tcPr>
          <w:p w14:paraId="1E64D7FD" w14:textId="77777777" w:rsidR="00F24E18" w:rsidRPr="00806F42" w:rsidRDefault="00F24E18" w:rsidP="000E18B5">
            <w:pPr>
              <w:spacing w:after="0" w:line="240" w:lineRule="auto"/>
              <w:jc w:val="center"/>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Pogodbena vrednost</w:t>
            </w:r>
          </w:p>
        </w:tc>
      </w:tr>
      <w:tr w:rsidR="00F24E18" w:rsidRPr="00806F42" w14:paraId="33FE421A" w14:textId="77777777" w:rsidTr="000E18B5">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4CD8C8"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Organi Republike Slovenije</w:t>
            </w:r>
          </w:p>
        </w:tc>
        <w:tc>
          <w:tcPr>
            <w:tcW w:w="462" w:type="pct"/>
            <w:tcBorders>
              <w:top w:val="nil"/>
              <w:left w:val="nil"/>
              <w:bottom w:val="single" w:sz="4" w:space="0" w:color="auto"/>
              <w:right w:val="single" w:sz="4" w:space="0" w:color="auto"/>
            </w:tcBorders>
            <w:shd w:val="clear" w:color="auto" w:fill="auto"/>
            <w:vAlign w:val="center"/>
            <w:hideMark/>
          </w:tcPr>
          <w:p w14:paraId="542555CF"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50</w:t>
            </w:r>
          </w:p>
        </w:tc>
        <w:tc>
          <w:tcPr>
            <w:tcW w:w="2086" w:type="pct"/>
            <w:tcBorders>
              <w:top w:val="nil"/>
              <w:left w:val="nil"/>
              <w:bottom w:val="single" w:sz="4" w:space="0" w:color="auto"/>
              <w:right w:val="single" w:sz="4" w:space="0" w:color="auto"/>
            </w:tcBorders>
            <w:shd w:val="clear" w:color="auto" w:fill="auto"/>
            <w:vAlign w:val="center"/>
            <w:hideMark/>
          </w:tcPr>
          <w:p w14:paraId="3759C848"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Storitve popravila in vzdrževanja</w:t>
            </w:r>
          </w:p>
        </w:tc>
        <w:tc>
          <w:tcPr>
            <w:tcW w:w="619" w:type="pct"/>
            <w:tcBorders>
              <w:top w:val="nil"/>
              <w:left w:val="nil"/>
              <w:bottom w:val="single" w:sz="4" w:space="0" w:color="auto"/>
              <w:right w:val="single" w:sz="4" w:space="0" w:color="auto"/>
            </w:tcBorders>
            <w:shd w:val="clear" w:color="auto" w:fill="auto"/>
            <w:vAlign w:val="center"/>
            <w:hideMark/>
          </w:tcPr>
          <w:p w14:paraId="0A654315"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197</w:t>
            </w:r>
          </w:p>
        </w:tc>
        <w:tc>
          <w:tcPr>
            <w:tcW w:w="985" w:type="pct"/>
            <w:tcBorders>
              <w:top w:val="nil"/>
              <w:left w:val="nil"/>
              <w:bottom w:val="single" w:sz="4" w:space="0" w:color="auto"/>
              <w:right w:val="single" w:sz="4" w:space="0" w:color="auto"/>
            </w:tcBorders>
            <w:shd w:val="clear" w:color="auto" w:fill="auto"/>
            <w:vAlign w:val="center"/>
            <w:hideMark/>
          </w:tcPr>
          <w:p w14:paraId="69CB36B2"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110.753.712</w:t>
            </w:r>
          </w:p>
        </w:tc>
      </w:tr>
      <w:tr w:rsidR="00F24E18" w:rsidRPr="00806F42" w14:paraId="6956E5ED"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3C3AA774"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3136D5F9"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72</w:t>
            </w:r>
          </w:p>
        </w:tc>
        <w:tc>
          <w:tcPr>
            <w:tcW w:w="2086" w:type="pct"/>
            <w:tcBorders>
              <w:top w:val="nil"/>
              <w:left w:val="nil"/>
              <w:bottom w:val="single" w:sz="4" w:space="0" w:color="auto"/>
              <w:right w:val="single" w:sz="4" w:space="0" w:color="auto"/>
            </w:tcBorders>
            <w:shd w:val="clear" w:color="auto" w:fill="auto"/>
            <w:vAlign w:val="center"/>
            <w:hideMark/>
          </w:tcPr>
          <w:p w14:paraId="1FBB7A37"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Storitve informacijske tehnologije: svetovanje, razvoj programske opreme, internet in podpora</w:t>
            </w:r>
          </w:p>
        </w:tc>
        <w:tc>
          <w:tcPr>
            <w:tcW w:w="619" w:type="pct"/>
            <w:tcBorders>
              <w:top w:val="nil"/>
              <w:left w:val="nil"/>
              <w:bottom w:val="single" w:sz="4" w:space="0" w:color="auto"/>
              <w:right w:val="single" w:sz="4" w:space="0" w:color="auto"/>
            </w:tcBorders>
            <w:shd w:val="clear" w:color="auto" w:fill="auto"/>
            <w:vAlign w:val="center"/>
            <w:hideMark/>
          </w:tcPr>
          <w:p w14:paraId="764C51C4"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186</w:t>
            </w:r>
          </w:p>
        </w:tc>
        <w:tc>
          <w:tcPr>
            <w:tcW w:w="985" w:type="pct"/>
            <w:tcBorders>
              <w:top w:val="nil"/>
              <w:left w:val="nil"/>
              <w:bottom w:val="single" w:sz="4" w:space="0" w:color="auto"/>
              <w:right w:val="single" w:sz="4" w:space="0" w:color="auto"/>
            </w:tcBorders>
            <w:shd w:val="clear" w:color="auto" w:fill="auto"/>
            <w:vAlign w:val="center"/>
            <w:hideMark/>
          </w:tcPr>
          <w:p w14:paraId="68E9B879"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131.856.131</w:t>
            </w:r>
          </w:p>
        </w:tc>
      </w:tr>
      <w:tr w:rsidR="00F24E18" w:rsidRPr="00806F42" w14:paraId="73FFFC6A"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45BFAB7C"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65228D96"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35</w:t>
            </w:r>
          </w:p>
        </w:tc>
        <w:tc>
          <w:tcPr>
            <w:tcW w:w="2086" w:type="pct"/>
            <w:tcBorders>
              <w:top w:val="nil"/>
              <w:left w:val="nil"/>
              <w:bottom w:val="single" w:sz="4" w:space="0" w:color="auto"/>
              <w:right w:val="single" w:sz="4" w:space="0" w:color="auto"/>
            </w:tcBorders>
            <w:shd w:val="clear" w:color="auto" w:fill="auto"/>
            <w:vAlign w:val="center"/>
            <w:hideMark/>
          </w:tcPr>
          <w:p w14:paraId="799E8FA7"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Varnostna, gasilska, policijska in obrambna oprema</w:t>
            </w:r>
          </w:p>
        </w:tc>
        <w:tc>
          <w:tcPr>
            <w:tcW w:w="619" w:type="pct"/>
            <w:tcBorders>
              <w:top w:val="nil"/>
              <w:left w:val="nil"/>
              <w:bottom w:val="single" w:sz="4" w:space="0" w:color="auto"/>
              <w:right w:val="single" w:sz="4" w:space="0" w:color="auto"/>
            </w:tcBorders>
            <w:shd w:val="clear" w:color="auto" w:fill="auto"/>
            <w:vAlign w:val="center"/>
            <w:hideMark/>
          </w:tcPr>
          <w:p w14:paraId="52F9E38A"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150</w:t>
            </w:r>
          </w:p>
        </w:tc>
        <w:tc>
          <w:tcPr>
            <w:tcW w:w="985" w:type="pct"/>
            <w:tcBorders>
              <w:top w:val="nil"/>
              <w:left w:val="nil"/>
              <w:bottom w:val="single" w:sz="4" w:space="0" w:color="auto"/>
              <w:right w:val="single" w:sz="4" w:space="0" w:color="auto"/>
            </w:tcBorders>
            <w:shd w:val="clear" w:color="auto" w:fill="auto"/>
            <w:vAlign w:val="center"/>
            <w:hideMark/>
          </w:tcPr>
          <w:p w14:paraId="579B184C"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102.652.089</w:t>
            </w:r>
          </w:p>
        </w:tc>
      </w:tr>
      <w:tr w:rsidR="00F24E18" w:rsidRPr="00806F42" w14:paraId="7A8C4B7B" w14:textId="77777777" w:rsidTr="000E18B5">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83626C"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Samoupravne</w:t>
            </w:r>
          </w:p>
          <w:p w14:paraId="5163A313"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lokalne skupnosti</w:t>
            </w:r>
          </w:p>
        </w:tc>
        <w:tc>
          <w:tcPr>
            <w:tcW w:w="462" w:type="pct"/>
            <w:tcBorders>
              <w:top w:val="nil"/>
              <w:left w:val="nil"/>
              <w:bottom w:val="single" w:sz="4" w:space="0" w:color="auto"/>
              <w:right w:val="single" w:sz="4" w:space="0" w:color="auto"/>
            </w:tcBorders>
            <w:shd w:val="clear" w:color="auto" w:fill="auto"/>
            <w:vAlign w:val="center"/>
            <w:hideMark/>
          </w:tcPr>
          <w:p w14:paraId="7673E192"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45</w:t>
            </w:r>
          </w:p>
        </w:tc>
        <w:tc>
          <w:tcPr>
            <w:tcW w:w="2086" w:type="pct"/>
            <w:tcBorders>
              <w:top w:val="nil"/>
              <w:left w:val="nil"/>
              <w:bottom w:val="single" w:sz="4" w:space="0" w:color="auto"/>
              <w:right w:val="single" w:sz="4" w:space="0" w:color="auto"/>
            </w:tcBorders>
            <w:shd w:val="clear" w:color="auto" w:fill="auto"/>
            <w:vAlign w:val="center"/>
            <w:hideMark/>
          </w:tcPr>
          <w:p w14:paraId="56A19DCA"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Gradbena dela</w:t>
            </w:r>
          </w:p>
        </w:tc>
        <w:tc>
          <w:tcPr>
            <w:tcW w:w="619" w:type="pct"/>
            <w:tcBorders>
              <w:top w:val="nil"/>
              <w:left w:val="nil"/>
              <w:bottom w:val="single" w:sz="4" w:space="0" w:color="auto"/>
              <w:right w:val="single" w:sz="4" w:space="0" w:color="auto"/>
            </w:tcBorders>
            <w:shd w:val="clear" w:color="auto" w:fill="auto"/>
            <w:vAlign w:val="center"/>
            <w:hideMark/>
          </w:tcPr>
          <w:p w14:paraId="112F430D" w14:textId="77777777" w:rsidR="00F24E18" w:rsidRPr="00806F42" w:rsidRDefault="00F24E18" w:rsidP="000E18B5">
            <w:pPr>
              <w:spacing w:after="0" w:line="240" w:lineRule="auto"/>
              <w:jc w:val="right"/>
              <w:rPr>
                <w:rFonts w:ascii="Arial" w:hAnsi="Arial" w:cs="Arial"/>
                <w:color w:val="000000"/>
                <w:sz w:val="18"/>
                <w:szCs w:val="18"/>
              </w:rPr>
            </w:pPr>
            <w:r w:rsidRPr="00806F42">
              <w:rPr>
                <w:rFonts w:ascii="Arial" w:hAnsi="Arial" w:cs="Arial"/>
                <w:color w:val="000000"/>
                <w:sz w:val="18"/>
                <w:szCs w:val="18"/>
              </w:rPr>
              <w:t>783</w:t>
            </w:r>
          </w:p>
        </w:tc>
        <w:tc>
          <w:tcPr>
            <w:tcW w:w="985" w:type="pct"/>
            <w:tcBorders>
              <w:top w:val="nil"/>
              <w:left w:val="nil"/>
              <w:bottom w:val="single" w:sz="4" w:space="0" w:color="auto"/>
              <w:right w:val="single" w:sz="4" w:space="0" w:color="auto"/>
            </w:tcBorders>
            <w:shd w:val="clear" w:color="auto" w:fill="auto"/>
            <w:vAlign w:val="center"/>
            <w:hideMark/>
          </w:tcPr>
          <w:p w14:paraId="5D2BF614" w14:textId="77777777" w:rsidR="00F24E18" w:rsidRPr="00806F42" w:rsidRDefault="00F24E18" w:rsidP="000E18B5">
            <w:pPr>
              <w:spacing w:after="0" w:line="240" w:lineRule="auto"/>
              <w:jc w:val="right"/>
              <w:rPr>
                <w:rFonts w:ascii="Arial" w:hAnsi="Arial" w:cs="Arial"/>
                <w:color w:val="000000"/>
                <w:sz w:val="18"/>
                <w:szCs w:val="18"/>
              </w:rPr>
            </w:pPr>
            <w:r w:rsidRPr="00806F42">
              <w:rPr>
                <w:rFonts w:ascii="Arial" w:hAnsi="Arial" w:cs="Arial"/>
                <w:color w:val="000000"/>
                <w:sz w:val="18"/>
                <w:szCs w:val="18"/>
              </w:rPr>
              <w:t>416.024.441</w:t>
            </w:r>
          </w:p>
        </w:tc>
      </w:tr>
      <w:tr w:rsidR="00F24E18" w:rsidRPr="00806F42" w14:paraId="0BF142A8"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7338B54D"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6190427B"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60</w:t>
            </w:r>
          </w:p>
        </w:tc>
        <w:tc>
          <w:tcPr>
            <w:tcW w:w="2086" w:type="pct"/>
            <w:tcBorders>
              <w:top w:val="nil"/>
              <w:left w:val="nil"/>
              <w:bottom w:val="single" w:sz="4" w:space="0" w:color="auto"/>
              <w:right w:val="single" w:sz="4" w:space="0" w:color="auto"/>
            </w:tcBorders>
            <w:shd w:val="clear" w:color="auto" w:fill="auto"/>
            <w:vAlign w:val="center"/>
            <w:hideMark/>
          </w:tcPr>
          <w:p w14:paraId="76535E18"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Prevozne storitve (razen prevoza odpadkov)</w:t>
            </w:r>
          </w:p>
        </w:tc>
        <w:tc>
          <w:tcPr>
            <w:tcW w:w="619" w:type="pct"/>
            <w:tcBorders>
              <w:top w:val="nil"/>
              <w:left w:val="nil"/>
              <w:bottom w:val="single" w:sz="4" w:space="0" w:color="auto"/>
              <w:right w:val="single" w:sz="4" w:space="0" w:color="auto"/>
            </w:tcBorders>
            <w:shd w:val="clear" w:color="auto" w:fill="auto"/>
            <w:vAlign w:val="center"/>
            <w:hideMark/>
          </w:tcPr>
          <w:p w14:paraId="774DB0C2"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300</w:t>
            </w:r>
          </w:p>
        </w:tc>
        <w:tc>
          <w:tcPr>
            <w:tcW w:w="985" w:type="pct"/>
            <w:tcBorders>
              <w:top w:val="nil"/>
              <w:left w:val="nil"/>
              <w:bottom w:val="single" w:sz="4" w:space="0" w:color="auto"/>
              <w:right w:val="single" w:sz="4" w:space="0" w:color="auto"/>
            </w:tcBorders>
            <w:shd w:val="clear" w:color="auto" w:fill="auto"/>
            <w:vAlign w:val="center"/>
            <w:hideMark/>
          </w:tcPr>
          <w:p w14:paraId="7A82EDFF"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44.351.937</w:t>
            </w:r>
          </w:p>
        </w:tc>
      </w:tr>
      <w:tr w:rsidR="00F24E18" w:rsidRPr="00806F42" w14:paraId="6017AC09"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4196D39D"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52410ACC"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15</w:t>
            </w:r>
          </w:p>
        </w:tc>
        <w:tc>
          <w:tcPr>
            <w:tcW w:w="2086" w:type="pct"/>
            <w:tcBorders>
              <w:top w:val="nil"/>
              <w:left w:val="nil"/>
              <w:bottom w:val="single" w:sz="4" w:space="0" w:color="auto"/>
              <w:right w:val="single" w:sz="4" w:space="0" w:color="auto"/>
            </w:tcBorders>
            <w:shd w:val="clear" w:color="auto" w:fill="auto"/>
            <w:vAlign w:val="center"/>
            <w:hideMark/>
          </w:tcPr>
          <w:p w14:paraId="24480901"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Živila, pijače, tobačni izdelki in z njimi povezani izdelki</w:t>
            </w:r>
          </w:p>
        </w:tc>
        <w:tc>
          <w:tcPr>
            <w:tcW w:w="619" w:type="pct"/>
            <w:tcBorders>
              <w:top w:val="nil"/>
              <w:left w:val="nil"/>
              <w:bottom w:val="single" w:sz="4" w:space="0" w:color="auto"/>
              <w:right w:val="single" w:sz="4" w:space="0" w:color="auto"/>
            </w:tcBorders>
            <w:shd w:val="clear" w:color="auto" w:fill="auto"/>
            <w:vAlign w:val="center"/>
            <w:hideMark/>
          </w:tcPr>
          <w:p w14:paraId="7A8E3D7B"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151</w:t>
            </w:r>
          </w:p>
        </w:tc>
        <w:tc>
          <w:tcPr>
            <w:tcW w:w="985" w:type="pct"/>
            <w:tcBorders>
              <w:top w:val="nil"/>
              <w:left w:val="nil"/>
              <w:bottom w:val="single" w:sz="4" w:space="0" w:color="auto"/>
              <w:right w:val="single" w:sz="4" w:space="0" w:color="auto"/>
            </w:tcBorders>
            <w:shd w:val="clear" w:color="auto" w:fill="auto"/>
            <w:vAlign w:val="center"/>
            <w:hideMark/>
          </w:tcPr>
          <w:p w14:paraId="3DD99AE2"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6.439.631</w:t>
            </w:r>
          </w:p>
        </w:tc>
      </w:tr>
      <w:tr w:rsidR="00F24E18" w:rsidRPr="00806F42" w14:paraId="14B354FB" w14:textId="77777777" w:rsidTr="000E18B5">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2FD09B"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Javni skladi</w:t>
            </w:r>
          </w:p>
        </w:tc>
        <w:tc>
          <w:tcPr>
            <w:tcW w:w="462" w:type="pct"/>
            <w:tcBorders>
              <w:top w:val="nil"/>
              <w:left w:val="nil"/>
              <w:bottom w:val="single" w:sz="4" w:space="0" w:color="auto"/>
              <w:right w:val="single" w:sz="4" w:space="0" w:color="auto"/>
            </w:tcBorders>
            <w:shd w:val="clear" w:color="auto" w:fill="auto"/>
            <w:vAlign w:val="center"/>
            <w:hideMark/>
          </w:tcPr>
          <w:p w14:paraId="50627D09"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45</w:t>
            </w:r>
          </w:p>
        </w:tc>
        <w:tc>
          <w:tcPr>
            <w:tcW w:w="2086" w:type="pct"/>
            <w:tcBorders>
              <w:top w:val="nil"/>
              <w:left w:val="nil"/>
              <w:bottom w:val="single" w:sz="4" w:space="0" w:color="auto"/>
              <w:right w:val="single" w:sz="4" w:space="0" w:color="auto"/>
            </w:tcBorders>
            <w:shd w:val="clear" w:color="auto" w:fill="auto"/>
            <w:vAlign w:val="center"/>
            <w:hideMark/>
          </w:tcPr>
          <w:p w14:paraId="6D639AFB"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Gradbena dela</w:t>
            </w:r>
          </w:p>
        </w:tc>
        <w:tc>
          <w:tcPr>
            <w:tcW w:w="619" w:type="pct"/>
            <w:tcBorders>
              <w:top w:val="nil"/>
              <w:left w:val="nil"/>
              <w:bottom w:val="single" w:sz="4" w:space="0" w:color="auto"/>
              <w:right w:val="single" w:sz="4" w:space="0" w:color="auto"/>
            </w:tcBorders>
            <w:shd w:val="clear" w:color="auto" w:fill="auto"/>
            <w:vAlign w:val="center"/>
            <w:hideMark/>
          </w:tcPr>
          <w:p w14:paraId="213D91C9"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32</w:t>
            </w:r>
          </w:p>
        </w:tc>
        <w:tc>
          <w:tcPr>
            <w:tcW w:w="985" w:type="pct"/>
            <w:tcBorders>
              <w:top w:val="nil"/>
              <w:left w:val="nil"/>
              <w:bottom w:val="single" w:sz="4" w:space="0" w:color="auto"/>
              <w:right w:val="single" w:sz="4" w:space="0" w:color="auto"/>
            </w:tcBorders>
            <w:shd w:val="clear" w:color="auto" w:fill="auto"/>
            <w:vAlign w:val="center"/>
            <w:hideMark/>
          </w:tcPr>
          <w:p w14:paraId="520E9693"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26.229.288</w:t>
            </w:r>
          </w:p>
        </w:tc>
      </w:tr>
      <w:tr w:rsidR="00F24E18" w:rsidRPr="00806F42" w14:paraId="73D4E036"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3ECFD0EA"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458E6F88"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71</w:t>
            </w:r>
          </w:p>
        </w:tc>
        <w:tc>
          <w:tcPr>
            <w:tcW w:w="2086" w:type="pct"/>
            <w:tcBorders>
              <w:top w:val="nil"/>
              <w:left w:val="nil"/>
              <w:bottom w:val="single" w:sz="4" w:space="0" w:color="auto"/>
              <w:right w:val="single" w:sz="4" w:space="0" w:color="auto"/>
            </w:tcBorders>
            <w:shd w:val="clear" w:color="auto" w:fill="auto"/>
            <w:vAlign w:val="center"/>
            <w:hideMark/>
          </w:tcPr>
          <w:p w14:paraId="04599C09"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Arhitekturne, gradbeniške, inženirske in inšpekcijske storitve</w:t>
            </w:r>
          </w:p>
        </w:tc>
        <w:tc>
          <w:tcPr>
            <w:tcW w:w="619" w:type="pct"/>
            <w:tcBorders>
              <w:top w:val="nil"/>
              <w:left w:val="nil"/>
              <w:bottom w:val="single" w:sz="4" w:space="0" w:color="auto"/>
              <w:right w:val="single" w:sz="4" w:space="0" w:color="auto"/>
            </w:tcBorders>
            <w:shd w:val="clear" w:color="auto" w:fill="auto"/>
            <w:vAlign w:val="center"/>
            <w:hideMark/>
          </w:tcPr>
          <w:p w14:paraId="7CC3C0C2"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13</w:t>
            </w:r>
          </w:p>
        </w:tc>
        <w:tc>
          <w:tcPr>
            <w:tcW w:w="985" w:type="pct"/>
            <w:tcBorders>
              <w:top w:val="nil"/>
              <w:left w:val="nil"/>
              <w:bottom w:val="single" w:sz="4" w:space="0" w:color="auto"/>
              <w:right w:val="single" w:sz="4" w:space="0" w:color="auto"/>
            </w:tcBorders>
            <w:shd w:val="clear" w:color="auto" w:fill="auto"/>
            <w:vAlign w:val="center"/>
            <w:hideMark/>
          </w:tcPr>
          <w:p w14:paraId="7CC6DB38"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4.857.043</w:t>
            </w:r>
          </w:p>
        </w:tc>
      </w:tr>
      <w:tr w:rsidR="00F24E18" w:rsidRPr="00806F42" w14:paraId="5D5A037E"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48AA74F9"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4E5649F3"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79</w:t>
            </w:r>
          </w:p>
        </w:tc>
        <w:tc>
          <w:tcPr>
            <w:tcW w:w="2086" w:type="pct"/>
            <w:tcBorders>
              <w:top w:val="nil"/>
              <w:left w:val="nil"/>
              <w:bottom w:val="single" w:sz="4" w:space="0" w:color="auto"/>
              <w:right w:val="single" w:sz="4" w:space="0" w:color="auto"/>
            </w:tcBorders>
            <w:shd w:val="clear" w:color="auto" w:fill="auto"/>
            <w:vAlign w:val="center"/>
            <w:hideMark/>
          </w:tcPr>
          <w:p w14:paraId="5F5FD2C8"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Poslovne storitve: pravo, trženje, svetovanje, zaposlovanje, tiskanje in varnost</w:t>
            </w:r>
          </w:p>
        </w:tc>
        <w:tc>
          <w:tcPr>
            <w:tcW w:w="619" w:type="pct"/>
            <w:tcBorders>
              <w:top w:val="nil"/>
              <w:left w:val="nil"/>
              <w:bottom w:val="single" w:sz="4" w:space="0" w:color="auto"/>
              <w:right w:val="single" w:sz="4" w:space="0" w:color="auto"/>
            </w:tcBorders>
            <w:shd w:val="clear" w:color="auto" w:fill="auto"/>
            <w:vAlign w:val="center"/>
            <w:hideMark/>
          </w:tcPr>
          <w:p w14:paraId="7A2624E2"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9</w:t>
            </w:r>
          </w:p>
        </w:tc>
        <w:tc>
          <w:tcPr>
            <w:tcW w:w="985" w:type="pct"/>
            <w:tcBorders>
              <w:top w:val="nil"/>
              <w:left w:val="nil"/>
              <w:bottom w:val="single" w:sz="4" w:space="0" w:color="auto"/>
              <w:right w:val="single" w:sz="4" w:space="0" w:color="auto"/>
            </w:tcBorders>
            <w:shd w:val="clear" w:color="auto" w:fill="auto"/>
            <w:vAlign w:val="center"/>
            <w:hideMark/>
          </w:tcPr>
          <w:p w14:paraId="2461F753"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1.006.362</w:t>
            </w:r>
          </w:p>
        </w:tc>
      </w:tr>
      <w:tr w:rsidR="00F24E18" w:rsidRPr="00806F42" w14:paraId="5002E21C" w14:textId="77777777" w:rsidTr="000E18B5">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144D888"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Javne agencije</w:t>
            </w:r>
          </w:p>
        </w:tc>
        <w:tc>
          <w:tcPr>
            <w:tcW w:w="462" w:type="pct"/>
            <w:tcBorders>
              <w:top w:val="nil"/>
              <w:left w:val="nil"/>
              <w:bottom w:val="single" w:sz="4" w:space="0" w:color="auto"/>
              <w:right w:val="single" w:sz="4" w:space="0" w:color="auto"/>
            </w:tcBorders>
            <w:shd w:val="clear" w:color="auto" w:fill="auto"/>
            <w:vAlign w:val="center"/>
            <w:hideMark/>
          </w:tcPr>
          <w:p w14:paraId="2933B87E"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79</w:t>
            </w:r>
          </w:p>
        </w:tc>
        <w:tc>
          <w:tcPr>
            <w:tcW w:w="2086" w:type="pct"/>
            <w:tcBorders>
              <w:top w:val="nil"/>
              <w:left w:val="nil"/>
              <w:bottom w:val="single" w:sz="4" w:space="0" w:color="auto"/>
              <w:right w:val="single" w:sz="4" w:space="0" w:color="auto"/>
            </w:tcBorders>
            <w:shd w:val="clear" w:color="auto" w:fill="auto"/>
            <w:vAlign w:val="center"/>
            <w:hideMark/>
          </w:tcPr>
          <w:p w14:paraId="40398082"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Poslovne storitve: pravo, trženje, svetovanje, zaposlovanje, tiskanje in varnost</w:t>
            </w:r>
          </w:p>
        </w:tc>
        <w:tc>
          <w:tcPr>
            <w:tcW w:w="619" w:type="pct"/>
            <w:tcBorders>
              <w:top w:val="nil"/>
              <w:left w:val="nil"/>
              <w:bottom w:val="single" w:sz="4" w:space="0" w:color="auto"/>
              <w:right w:val="single" w:sz="4" w:space="0" w:color="auto"/>
            </w:tcBorders>
            <w:shd w:val="clear" w:color="auto" w:fill="auto"/>
            <w:vAlign w:val="center"/>
            <w:hideMark/>
          </w:tcPr>
          <w:p w14:paraId="7903C0AF"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36</w:t>
            </w:r>
          </w:p>
        </w:tc>
        <w:tc>
          <w:tcPr>
            <w:tcW w:w="985" w:type="pct"/>
            <w:tcBorders>
              <w:top w:val="nil"/>
              <w:left w:val="nil"/>
              <w:bottom w:val="single" w:sz="4" w:space="0" w:color="auto"/>
              <w:right w:val="single" w:sz="4" w:space="0" w:color="auto"/>
            </w:tcBorders>
            <w:shd w:val="clear" w:color="auto" w:fill="auto"/>
            <w:vAlign w:val="center"/>
            <w:hideMark/>
          </w:tcPr>
          <w:p w14:paraId="2003E207"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11.786.192</w:t>
            </w:r>
          </w:p>
        </w:tc>
      </w:tr>
      <w:tr w:rsidR="00F24E18" w:rsidRPr="00806F42" w14:paraId="7A9B5348"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19A93586"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0B7717FF"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72</w:t>
            </w:r>
          </w:p>
        </w:tc>
        <w:tc>
          <w:tcPr>
            <w:tcW w:w="2086" w:type="pct"/>
            <w:tcBorders>
              <w:top w:val="nil"/>
              <w:left w:val="nil"/>
              <w:bottom w:val="single" w:sz="4" w:space="0" w:color="auto"/>
              <w:right w:val="single" w:sz="4" w:space="0" w:color="auto"/>
            </w:tcBorders>
            <w:shd w:val="clear" w:color="auto" w:fill="auto"/>
            <w:vAlign w:val="center"/>
            <w:hideMark/>
          </w:tcPr>
          <w:p w14:paraId="72E03B98"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Storitve informacijske tehnologije: svetovanje, razvoj programske opreme, internet in podpora</w:t>
            </w:r>
          </w:p>
        </w:tc>
        <w:tc>
          <w:tcPr>
            <w:tcW w:w="619" w:type="pct"/>
            <w:tcBorders>
              <w:top w:val="nil"/>
              <w:left w:val="nil"/>
              <w:bottom w:val="single" w:sz="4" w:space="0" w:color="auto"/>
              <w:right w:val="single" w:sz="4" w:space="0" w:color="auto"/>
            </w:tcBorders>
            <w:shd w:val="clear" w:color="auto" w:fill="auto"/>
            <w:vAlign w:val="center"/>
            <w:hideMark/>
          </w:tcPr>
          <w:p w14:paraId="1F5B2BA2"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21</w:t>
            </w:r>
          </w:p>
        </w:tc>
        <w:tc>
          <w:tcPr>
            <w:tcW w:w="985" w:type="pct"/>
            <w:tcBorders>
              <w:top w:val="nil"/>
              <w:left w:val="nil"/>
              <w:bottom w:val="single" w:sz="4" w:space="0" w:color="auto"/>
              <w:right w:val="single" w:sz="4" w:space="0" w:color="auto"/>
            </w:tcBorders>
            <w:shd w:val="clear" w:color="auto" w:fill="auto"/>
            <w:vAlign w:val="center"/>
            <w:hideMark/>
          </w:tcPr>
          <w:p w14:paraId="07A5B19C"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5.821.351</w:t>
            </w:r>
          </w:p>
        </w:tc>
      </w:tr>
      <w:tr w:rsidR="00F24E18" w:rsidRPr="00806F42" w14:paraId="394E5FC0"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33D6F867"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59045C03"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39</w:t>
            </w:r>
          </w:p>
        </w:tc>
        <w:tc>
          <w:tcPr>
            <w:tcW w:w="2086" w:type="pct"/>
            <w:tcBorders>
              <w:top w:val="nil"/>
              <w:left w:val="nil"/>
              <w:bottom w:val="single" w:sz="4" w:space="0" w:color="auto"/>
              <w:right w:val="single" w:sz="4" w:space="0" w:color="auto"/>
            </w:tcBorders>
            <w:shd w:val="clear" w:color="auto" w:fill="auto"/>
            <w:vAlign w:val="center"/>
            <w:hideMark/>
          </w:tcPr>
          <w:p w14:paraId="174ABBB4"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Pohištvo (vključno s pisarniškim pohištvom), notranja oprema, gospodinjske naprave (razen svetil) in čistilna sredstva</w:t>
            </w:r>
          </w:p>
        </w:tc>
        <w:tc>
          <w:tcPr>
            <w:tcW w:w="619" w:type="pct"/>
            <w:tcBorders>
              <w:top w:val="nil"/>
              <w:left w:val="nil"/>
              <w:bottom w:val="single" w:sz="4" w:space="0" w:color="auto"/>
              <w:right w:val="single" w:sz="4" w:space="0" w:color="auto"/>
            </w:tcBorders>
            <w:shd w:val="clear" w:color="auto" w:fill="auto"/>
            <w:vAlign w:val="center"/>
            <w:hideMark/>
          </w:tcPr>
          <w:p w14:paraId="290FAF59"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17</w:t>
            </w:r>
          </w:p>
        </w:tc>
        <w:tc>
          <w:tcPr>
            <w:tcW w:w="985" w:type="pct"/>
            <w:tcBorders>
              <w:top w:val="nil"/>
              <w:left w:val="nil"/>
              <w:bottom w:val="single" w:sz="4" w:space="0" w:color="auto"/>
              <w:right w:val="single" w:sz="4" w:space="0" w:color="auto"/>
            </w:tcBorders>
            <w:shd w:val="clear" w:color="auto" w:fill="auto"/>
            <w:vAlign w:val="center"/>
            <w:hideMark/>
          </w:tcPr>
          <w:p w14:paraId="59C6C3B2"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1.325.008</w:t>
            </w:r>
          </w:p>
        </w:tc>
      </w:tr>
      <w:tr w:rsidR="00F24E18" w:rsidRPr="00806F42" w14:paraId="3CE67E7A" w14:textId="77777777" w:rsidTr="000E18B5">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BC2BA9"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Javni zavodi</w:t>
            </w:r>
          </w:p>
        </w:tc>
        <w:tc>
          <w:tcPr>
            <w:tcW w:w="462" w:type="pct"/>
            <w:tcBorders>
              <w:top w:val="nil"/>
              <w:left w:val="nil"/>
              <w:bottom w:val="single" w:sz="4" w:space="0" w:color="auto"/>
              <w:right w:val="single" w:sz="4" w:space="0" w:color="auto"/>
            </w:tcBorders>
            <w:shd w:val="clear" w:color="auto" w:fill="auto"/>
            <w:vAlign w:val="center"/>
            <w:hideMark/>
          </w:tcPr>
          <w:p w14:paraId="63E39CE1"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15</w:t>
            </w:r>
          </w:p>
        </w:tc>
        <w:tc>
          <w:tcPr>
            <w:tcW w:w="2086" w:type="pct"/>
            <w:tcBorders>
              <w:top w:val="nil"/>
              <w:left w:val="nil"/>
              <w:bottom w:val="single" w:sz="4" w:space="0" w:color="auto"/>
              <w:right w:val="single" w:sz="4" w:space="0" w:color="auto"/>
            </w:tcBorders>
            <w:shd w:val="clear" w:color="auto" w:fill="auto"/>
            <w:vAlign w:val="center"/>
            <w:hideMark/>
          </w:tcPr>
          <w:p w14:paraId="2E063D34"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Živila, pijače, tobačni izdelki in z njimi povezani izdelki</w:t>
            </w:r>
          </w:p>
        </w:tc>
        <w:tc>
          <w:tcPr>
            <w:tcW w:w="619" w:type="pct"/>
            <w:tcBorders>
              <w:top w:val="nil"/>
              <w:left w:val="nil"/>
              <w:bottom w:val="single" w:sz="4" w:space="0" w:color="auto"/>
              <w:right w:val="single" w:sz="4" w:space="0" w:color="auto"/>
            </w:tcBorders>
            <w:shd w:val="clear" w:color="auto" w:fill="auto"/>
            <w:vAlign w:val="center"/>
            <w:hideMark/>
          </w:tcPr>
          <w:p w14:paraId="4066C916"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3.177</w:t>
            </w:r>
          </w:p>
        </w:tc>
        <w:tc>
          <w:tcPr>
            <w:tcW w:w="985" w:type="pct"/>
            <w:tcBorders>
              <w:top w:val="nil"/>
              <w:left w:val="nil"/>
              <w:bottom w:val="single" w:sz="4" w:space="0" w:color="auto"/>
              <w:right w:val="single" w:sz="4" w:space="0" w:color="auto"/>
            </w:tcBorders>
            <w:shd w:val="clear" w:color="auto" w:fill="auto"/>
            <w:vAlign w:val="center"/>
            <w:hideMark/>
          </w:tcPr>
          <w:p w14:paraId="423D18A0"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133.111.531</w:t>
            </w:r>
          </w:p>
        </w:tc>
      </w:tr>
      <w:tr w:rsidR="00F24E18" w:rsidRPr="00806F42" w14:paraId="741797C4"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718EEBAE"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12F4587E"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33</w:t>
            </w:r>
          </w:p>
        </w:tc>
        <w:tc>
          <w:tcPr>
            <w:tcW w:w="2086" w:type="pct"/>
            <w:tcBorders>
              <w:top w:val="nil"/>
              <w:left w:val="nil"/>
              <w:bottom w:val="single" w:sz="4" w:space="0" w:color="auto"/>
              <w:right w:val="single" w:sz="4" w:space="0" w:color="auto"/>
            </w:tcBorders>
            <w:shd w:val="clear" w:color="auto" w:fill="auto"/>
            <w:vAlign w:val="center"/>
            <w:hideMark/>
          </w:tcPr>
          <w:p w14:paraId="42F38B00"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Medicinska oprema, farmacevtski izdelki in izdelki za osebno nego</w:t>
            </w:r>
          </w:p>
        </w:tc>
        <w:tc>
          <w:tcPr>
            <w:tcW w:w="619" w:type="pct"/>
            <w:tcBorders>
              <w:top w:val="nil"/>
              <w:left w:val="nil"/>
              <w:bottom w:val="single" w:sz="4" w:space="0" w:color="auto"/>
              <w:right w:val="single" w:sz="4" w:space="0" w:color="auto"/>
            </w:tcBorders>
            <w:shd w:val="clear" w:color="auto" w:fill="auto"/>
            <w:vAlign w:val="center"/>
            <w:hideMark/>
          </w:tcPr>
          <w:p w14:paraId="142865CE"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2.755</w:t>
            </w:r>
          </w:p>
        </w:tc>
        <w:tc>
          <w:tcPr>
            <w:tcW w:w="985" w:type="pct"/>
            <w:tcBorders>
              <w:top w:val="nil"/>
              <w:left w:val="nil"/>
              <w:bottom w:val="single" w:sz="4" w:space="0" w:color="auto"/>
              <w:right w:val="single" w:sz="4" w:space="0" w:color="auto"/>
            </w:tcBorders>
            <w:shd w:val="clear" w:color="auto" w:fill="auto"/>
            <w:vAlign w:val="center"/>
            <w:hideMark/>
          </w:tcPr>
          <w:p w14:paraId="6CD64B67"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715.892.930</w:t>
            </w:r>
          </w:p>
        </w:tc>
      </w:tr>
      <w:tr w:rsidR="00F24E18" w:rsidRPr="00806F42" w14:paraId="7CE087A0"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48262307"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7A1AA1E0"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38</w:t>
            </w:r>
          </w:p>
        </w:tc>
        <w:tc>
          <w:tcPr>
            <w:tcW w:w="2086" w:type="pct"/>
            <w:tcBorders>
              <w:top w:val="nil"/>
              <w:left w:val="nil"/>
              <w:bottom w:val="single" w:sz="4" w:space="0" w:color="auto"/>
              <w:right w:val="single" w:sz="4" w:space="0" w:color="auto"/>
            </w:tcBorders>
            <w:shd w:val="clear" w:color="auto" w:fill="auto"/>
            <w:vAlign w:val="center"/>
            <w:hideMark/>
          </w:tcPr>
          <w:p w14:paraId="6AC10283"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Laboratorijska, optična in precizna oprema (razen očal)</w:t>
            </w:r>
          </w:p>
        </w:tc>
        <w:tc>
          <w:tcPr>
            <w:tcW w:w="619" w:type="pct"/>
            <w:tcBorders>
              <w:top w:val="nil"/>
              <w:left w:val="nil"/>
              <w:bottom w:val="single" w:sz="4" w:space="0" w:color="auto"/>
              <w:right w:val="single" w:sz="4" w:space="0" w:color="auto"/>
            </w:tcBorders>
            <w:shd w:val="clear" w:color="auto" w:fill="auto"/>
            <w:vAlign w:val="center"/>
            <w:hideMark/>
          </w:tcPr>
          <w:p w14:paraId="098A4A6A"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265</w:t>
            </w:r>
          </w:p>
        </w:tc>
        <w:tc>
          <w:tcPr>
            <w:tcW w:w="985" w:type="pct"/>
            <w:tcBorders>
              <w:top w:val="nil"/>
              <w:left w:val="nil"/>
              <w:bottom w:val="single" w:sz="4" w:space="0" w:color="auto"/>
              <w:right w:val="single" w:sz="4" w:space="0" w:color="auto"/>
            </w:tcBorders>
            <w:shd w:val="clear" w:color="auto" w:fill="auto"/>
            <w:vAlign w:val="center"/>
            <w:hideMark/>
          </w:tcPr>
          <w:p w14:paraId="19556A6D"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49.759.008</w:t>
            </w:r>
          </w:p>
        </w:tc>
      </w:tr>
      <w:tr w:rsidR="00F24E18" w:rsidRPr="00806F42" w14:paraId="0193C0A7" w14:textId="77777777" w:rsidTr="000E18B5">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BFEF86"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Javni gospodarski</w:t>
            </w:r>
          </w:p>
          <w:p w14:paraId="7A54BED1"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zavodi</w:t>
            </w:r>
          </w:p>
        </w:tc>
        <w:tc>
          <w:tcPr>
            <w:tcW w:w="462" w:type="pct"/>
            <w:tcBorders>
              <w:top w:val="nil"/>
              <w:left w:val="nil"/>
              <w:bottom w:val="single" w:sz="4" w:space="0" w:color="auto"/>
              <w:right w:val="single" w:sz="4" w:space="0" w:color="auto"/>
            </w:tcBorders>
            <w:shd w:val="clear" w:color="auto" w:fill="auto"/>
            <w:vAlign w:val="center"/>
            <w:hideMark/>
          </w:tcPr>
          <w:p w14:paraId="202961A5"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15</w:t>
            </w:r>
          </w:p>
        </w:tc>
        <w:tc>
          <w:tcPr>
            <w:tcW w:w="2086" w:type="pct"/>
            <w:tcBorders>
              <w:top w:val="nil"/>
              <w:left w:val="nil"/>
              <w:bottom w:val="single" w:sz="4" w:space="0" w:color="auto"/>
              <w:right w:val="single" w:sz="4" w:space="0" w:color="auto"/>
            </w:tcBorders>
            <w:shd w:val="clear" w:color="auto" w:fill="auto"/>
            <w:vAlign w:val="center"/>
            <w:hideMark/>
          </w:tcPr>
          <w:p w14:paraId="6E93CB62"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Živila, pijače, tobačni izdelki in z njimi povezani izdelki</w:t>
            </w:r>
          </w:p>
        </w:tc>
        <w:tc>
          <w:tcPr>
            <w:tcW w:w="619" w:type="pct"/>
            <w:tcBorders>
              <w:top w:val="nil"/>
              <w:left w:val="nil"/>
              <w:bottom w:val="single" w:sz="4" w:space="0" w:color="auto"/>
              <w:right w:val="single" w:sz="4" w:space="0" w:color="auto"/>
            </w:tcBorders>
            <w:shd w:val="clear" w:color="auto" w:fill="auto"/>
            <w:vAlign w:val="center"/>
            <w:hideMark/>
          </w:tcPr>
          <w:p w14:paraId="36EE63A4"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34</w:t>
            </w:r>
          </w:p>
        </w:tc>
        <w:tc>
          <w:tcPr>
            <w:tcW w:w="985" w:type="pct"/>
            <w:tcBorders>
              <w:top w:val="nil"/>
              <w:left w:val="nil"/>
              <w:bottom w:val="single" w:sz="4" w:space="0" w:color="auto"/>
              <w:right w:val="single" w:sz="4" w:space="0" w:color="auto"/>
            </w:tcBorders>
            <w:shd w:val="clear" w:color="auto" w:fill="auto"/>
            <w:vAlign w:val="center"/>
            <w:hideMark/>
          </w:tcPr>
          <w:p w14:paraId="727159ED"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1.021.418</w:t>
            </w:r>
          </w:p>
        </w:tc>
      </w:tr>
      <w:tr w:rsidR="00F24E18" w:rsidRPr="00806F42" w14:paraId="52350AF3"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1C527B58"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2352AD0C"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66</w:t>
            </w:r>
          </w:p>
        </w:tc>
        <w:tc>
          <w:tcPr>
            <w:tcW w:w="2086" w:type="pct"/>
            <w:tcBorders>
              <w:top w:val="nil"/>
              <w:left w:val="nil"/>
              <w:bottom w:val="single" w:sz="4" w:space="0" w:color="auto"/>
              <w:right w:val="single" w:sz="4" w:space="0" w:color="auto"/>
            </w:tcBorders>
            <w:shd w:val="clear" w:color="auto" w:fill="auto"/>
            <w:vAlign w:val="center"/>
            <w:hideMark/>
          </w:tcPr>
          <w:p w14:paraId="35C56EAD"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Finančne in zavarovalniške storitve</w:t>
            </w:r>
          </w:p>
        </w:tc>
        <w:tc>
          <w:tcPr>
            <w:tcW w:w="619" w:type="pct"/>
            <w:tcBorders>
              <w:top w:val="nil"/>
              <w:left w:val="nil"/>
              <w:bottom w:val="single" w:sz="4" w:space="0" w:color="auto"/>
              <w:right w:val="single" w:sz="4" w:space="0" w:color="auto"/>
            </w:tcBorders>
            <w:shd w:val="clear" w:color="auto" w:fill="auto"/>
            <w:vAlign w:val="center"/>
            <w:hideMark/>
          </w:tcPr>
          <w:p w14:paraId="7233C5B6"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7</w:t>
            </w:r>
          </w:p>
        </w:tc>
        <w:tc>
          <w:tcPr>
            <w:tcW w:w="985" w:type="pct"/>
            <w:tcBorders>
              <w:top w:val="nil"/>
              <w:left w:val="nil"/>
              <w:bottom w:val="single" w:sz="4" w:space="0" w:color="auto"/>
              <w:right w:val="single" w:sz="4" w:space="0" w:color="auto"/>
            </w:tcBorders>
            <w:shd w:val="clear" w:color="auto" w:fill="auto"/>
            <w:vAlign w:val="center"/>
            <w:hideMark/>
          </w:tcPr>
          <w:p w14:paraId="4734DDFD"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311.060</w:t>
            </w:r>
          </w:p>
        </w:tc>
      </w:tr>
      <w:tr w:rsidR="00F24E18" w:rsidRPr="00806F42" w14:paraId="632B4370"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57F1F686"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788B623F"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45</w:t>
            </w:r>
          </w:p>
        </w:tc>
        <w:tc>
          <w:tcPr>
            <w:tcW w:w="2086" w:type="pct"/>
            <w:tcBorders>
              <w:top w:val="nil"/>
              <w:left w:val="nil"/>
              <w:bottom w:val="single" w:sz="4" w:space="0" w:color="auto"/>
              <w:right w:val="single" w:sz="4" w:space="0" w:color="auto"/>
            </w:tcBorders>
            <w:shd w:val="clear" w:color="auto" w:fill="auto"/>
            <w:vAlign w:val="center"/>
            <w:hideMark/>
          </w:tcPr>
          <w:p w14:paraId="1644F67D"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Gradbena dela</w:t>
            </w:r>
          </w:p>
        </w:tc>
        <w:tc>
          <w:tcPr>
            <w:tcW w:w="619" w:type="pct"/>
            <w:tcBorders>
              <w:top w:val="nil"/>
              <w:left w:val="nil"/>
              <w:bottom w:val="single" w:sz="4" w:space="0" w:color="auto"/>
              <w:right w:val="single" w:sz="4" w:space="0" w:color="auto"/>
            </w:tcBorders>
            <w:shd w:val="clear" w:color="auto" w:fill="auto"/>
            <w:vAlign w:val="center"/>
            <w:hideMark/>
          </w:tcPr>
          <w:p w14:paraId="6EB0C697"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4</w:t>
            </w:r>
          </w:p>
        </w:tc>
        <w:tc>
          <w:tcPr>
            <w:tcW w:w="985" w:type="pct"/>
            <w:tcBorders>
              <w:top w:val="nil"/>
              <w:left w:val="nil"/>
              <w:bottom w:val="single" w:sz="4" w:space="0" w:color="auto"/>
              <w:right w:val="single" w:sz="4" w:space="0" w:color="auto"/>
            </w:tcBorders>
            <w:shd w:val="clear" w:color="auto" w:fill="auto"/>
            <w:vAlign w:val="center"/>
            <w:hideMark/>
          </w:tcPr>
          <w:p w14:paraId="0EBF7D01"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7.489.214</w:t>
            </w:r>
          </w:p>
        </w:tc>
      </w:tr>
      <w:tr w:rsidR="00F24E18" w:rsidRPr="00806F42" w14:paraId="091A696E" w14:textId="77777777" w:rsidTr="000E18B5">
        <w:trPr>
          <w:trHeight w:val="300"/>
        </w:trPr>
        <w:tc>
          <w:tcPr>
            <w:tcW w:w="848" w:type="pct"/>
            <w:vMerge w:val="restart"/>
            <w:tcBorders>
              <w:top w:val="nil"/>
              <w:left w:val="single" w:sz="4" w:space="0" w:color="auto"/>
              <w:bottom w:val="single" w:sz="4" w:space="0" w:color="auto"/>
              <w:right w:val="single" w:sz="4" w:space="0" w:color="auto"/>
            </w:tcBorders>
            <w:shd w:val="clear" w:color="auto" w:fill="auto"/>
            <w:vAlign w:val="center"/>
            <w:hideMark/>
          </w:tcPr>
          <w:p w14:paraId="0DC702BF"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 xml:space="preserve">Drugi naročniki </w:t>
            </w:r>
          </w:p>
          <w:p w14:paraId="26C111CF"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(osebe javnega prava, javna podjetja, subjekt s posebnimi infrastrukturnimi pravicami)</w:t>
            </w:r>
          </w:p>
        </w:tc>
        <w:tc>
          <w:tcPr>
            <w:tcW w:w="462" w:type="pct"/>
            <w:tcBorders>
              <w:top w:val="nil"/>
              <w:left w:val="nil"/>
              <w:bottom w:val="single" w:sz="4" w:space="0" w:color="auto"/>
              <w:right w:val="single" w:sz="4" w:space="0" w:color="auto"/>
            </w:tcBorders>
            <w:shd w:val="clear" w:color="auto" w:fill="auto"/>
            <w:vAlign w:val="center"/>
            <w:hideMark/>
          </w:tcPr>
          <w:p w14:paraId="57D5036C"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50</w:t>
            </w:r>
          </w:p>
        </w:tc>
        <w:tc>
          <w:tcPr>
            <w:tcW w:w="2086" w:type="pct"/>
            <w:tcBorders>
              <w:top w:val="nil"/>
              <w:left w:val="nil"/>
              <w:bottom w:val="single" w:sz="4" w:space="0" w:color="auto"/>
              <w:right w:val="single" w:sz="4" w:space="0" w:color="auto"/>
            </w:tcBorders>
            <w:shd w:val="clear" w:color="auto" w:fill="auto"/>
            <w:vAlign w:val="center"/>
            <w:hideMark/>
          </w:tcPr>
          <w:p w14:paraId="21F11C2E"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Storitve popravila in vzdrževanja</w:t>
            </w:r>
          </w:p>
        </w:tc>
        <w:tc>
          <w:tcPr>
            <w:tcW w:w="619" w:type="pct"/>
            <w:tcBorders>
              <w:top w:val="nil"/>
              <w:left w:val="nil"/>
              <w:bottom w:val="single" w:sz="4" w:space="0" w:color="auto"/>
              <w:right w:val="single" w:sz="4" w:space="0" w:color="auto"/>
            </w:tcBorders>
            <w:shd w:val="clear" w:color="auto" w:fill="auto"/>
            <w:vAlign w:val="center"/>
            <w:hideMark/>
          </w:tcPr>
          <w:p w14:paraId="39D2D14D"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617</w:t>
            </w:r>
          </w:p>
        </w:tc>
        <w:tc>
          <w:tcPr>
            <w:tcW w:w="985" w:type="pct"/>
            <w:tcBorders>
              <w:top w:val="nil"/>
              <w:left w:val="nil"/>
              <w:bottom w:val="single" w:sz="4" w:space="0" w:color="auto"/>
              <w:right w:val="single" w:sz="4" w:space="0" w:color="auto"/>
            </w:tcBorders>
            <w:shd w:val="clear" w:color="auto" w:fill="auto"/>
            <w:vAlign w:val="center"/>
            <w:hideMark/>
          </w:tcPr>
          <w:p w14:paraId="67B4407A"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83.561.757</w:t>
            </w:r>
          </w:p>
        </w:tc>
      </w:tr>
      <w:tr w:rsidR="00F24E18" w:rsidRPr="00806F42" w14:paraId="4D51BD3B"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554B6405"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48490376"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45</w:t>
            </w:r>
          </w:p>
        </w:tc>
        <w:tc>
          <w:tcPr>
            <w:tcW w:w="2086" w:type="pct"/>
            <w:tcBorders>
              <w:top w:val="nil"/>
              <w:left w:val="nil"/>
              <w:bottom w:val="single" w:sz="4" w:space="0" w:color="auto"/>
              <w:right w:val="single" w:sz="4" w:space="0" w:color="auto"/>
            </w:tcBorders>
            <w:shd w:val="clear" w:color="auto" w:fill="auto"/>
            <w:vAlign w:val="center"/>
            <w:hideMark/>
          </w:tcPr>
          <w:p w14:paraId="34169212"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Gradbena dela</w:t>
            </w:r>
          </w:p>
        </w:tc>
        <w:tc>
          <w:tcPr>
            <w:tcW w:w="619" w:type="pct"/>
            <w:tcBorders>
              <w:top w:val="nil"/>
              <w:left w:val="nil"/>
              <w:bottom w:val="single" w:sz="4" w:space="0" w:color="auto"/>
              <w:right w:val="single" w:sz="4" w:space="0" w:color="auto"/>
            </w:tcBorders>
            <w:shd w:val="clear" w:color="auto" w:fill="auto"/>
            <w:vAlign w:val="center"/>
            <w:hideMark/>
          </w:tcPr>
          <w:p w14:paraId="60EE8BF6"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392</w:t>
            </w:r>
          </w:p>
        </w:tc>
        <w:tc>
          <w:tcPr>
            <w:tcW w:w="985" w:type="pct"/>
            <w:tcBorders>
              <w:top w:val="nil"/>
              <w:left w:val="nil"/>
              <w:bottom w:val="single" w:sz="4" w:space="0" w:color="auto"/>
              <w:right w:val="single" w:sz="4" w:space="0" w:color="auto"/>
            </w:tcBorders>
            <w:shd w:val="clear" w:color="auto" w:fill="auto"/>
            <w:vAlign w:val="center"/>
            <w:hideMark/>
          </w:tcPr>
          <w:p w14:paraId="3A7C4AE3"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409.584.690</w:t>
            </w:r>
          </w:p>
        </w:tc>
      </w:tr>
      <w:tr w:rsidR="00F24E18" w:rsidRPr="00806F42" w14:paraId="7F416987"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53D5674F"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3CE92A99"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90</w:t>
            </w:r>
          </w:p>
        </w:tc>
        <w:tc>
          <w:tcPr>
            <w:tcW w:w="2086" w:type="pct"/>
            <w:tcBorders>
              <w:top w:val="nil"/>
              <w:left w:val="nil"/>
              <w:bottom w:val="single" w:sz="4" w:space="0" w:color="auto"/>
              <w:right w:val="single" w:sz="4" w:space="0" w:color="auto"/>
            </w:tcBorders>
            <w:shd w:val="clear" w:color="auto" w:fill="auto"/>
            <w:vAlign w:val="center"/>
            <w:hideMark/>
          </w:tcPr>
          <w:p w14:paraId="581414CF"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Storitve v zvezi z odplakami, odpadki, čiščenjem in okoljem</w:t>
            </w:r>
          </w:p>
        </w:tc>
        <w:tc>
          <w:tcPr>
            <w:tcW w:w="619" w:type="pct"/>
            <w:tcBorders>
              <w:top w:val="nil"/>
              <w:left w:val="nil"/>
              <w:bottom w:val="single" w:sz="4" w:space="0" w:color="auto"/>
              <w:right w:val="single" w:sz="4" w:space="0" w:color="auto"/>
            </w:tcBorders>
            <w:shd w:val="clear" w:color="auto" w:fill="auto"/>
            <w:vAlign w:val="center"/>
            <w:hideMark/>
          </w:tcPr>
          <w:p w14:paraId="156F3240"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388</w:t>
            </w:r>
          </w:p>
        </w:tc>
        <w:tc>
          <w:tcPr>
            <w:tcW w:w="985" w:type="pct"/>
            <w:tcBorders>
              <w:top w:val="nil"/>
              <w:left w:val="nil"/>
              <w:bottom w:val="single" w:sz="4" w:space="0" w:color="auto"/>
              <w:right w:val="single" w:sz="4" w:space="0" w:color="auto"/>
            </w:tcBorders>
            <w:shd w:val="clear" w:color="auto" w:fill="auto"/>
            <w:vAlign w:val="center"/>
            <w:hideMark/>
          </w:tcPr>
          <w:p w14:paraId="65E78E0D"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79.851.485</w:t>
            </w:r>
          </w:p>
        </w:tc>
      </w:tr>
      <w:tr w:rsidR="00F24E18" w:rsidRPr="00806F42" w14:paraId="47D221D3" w14:textId="77777777" w:rsidTr="000E18B5">
        <w:trPr>
          <w:trHeight w:val="300"/>
        </w:trPr>
        <w:tc>
          <w:tcPr>
            <w:tcW w:w="84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7A53F6"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eastAsia="Times New Roman" w:hAnsi="Arial" w:cs="Arial"/>
                <w:color w:val="000000"/>
                <w:sz w:val="18"/>
                <w:szCs w:val="18"/>
                <w:lang w:eastAsia="sl-SI"/>
              </w:rPr>
              <w:t>Drugi subjekti</w:t>
            </w:r>
          </w:p>
        </w:tc>
        <w:tc>
          <w:tcPr>
            <w:tcW w:w="462" w:type="pct"/>
            <w:tcBorders>
              <w:top w:val="nil"/>
              <w:left w:val="nil"/>
              <w:bottom w:val="single" w:sz="4" w:space="0" w:color="auto"/>
              <w:right w:val="single" w:sz="4" w:space="0" w:color="auto"/>
            </w:tcBorders>
            <w:shd w:val="clear" w:color="auto" w:fill="auto"/>
            <w:vAlign w:val="center"/>
            <w:hideMark/>
          </w:tcPr>
          <w:p w14:paraId="6EF3B7D7"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34</w:t>
            </w:r>
          </w:p>
        </w:tc>
        <w:tc>
          <w:tcPr>
            <w:tcW w:w="2086" w:type="pct"/>
            <w:tcBorders>
              <w:top w:val="nil"/>
              <w:left w:val="nil"/>
              <w:bottom w:val="single" w:sz="4" w:space="0" w:color="auto"/>
              <w:right w:val="single" w:sz="4" w:space="0" w:color="auto"/>
            </w:tcBorders>
            <w:shd w:val="clear" w:color="auto" w:fill="auto"/>
            <w:vAlign w:val="center"/>
            <w:hideMark/>
          </w:tcPr>
          <w:p w14:paraId="16E0AB25"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Prevozna sredstva in dodatni proizvodi za promet</w:t>
            </w:r>
          </w:p>
        </w:tc>
        <w:tc>
          <w:tcPr>
            <w:tcW w:w="619" w:type="pct"/>
            <w:tcBorders>
              <w:top w:val="nil"/>
              <w:left w:val="nil"/>
              <w:bottom w:val="single" w:sz="4" w:space="0" w:color="auto"/>
              <w:right w:val="single" w:sz="4" w:space="0" w:color="auto"/>
            </w:tcBorders>
            <w:shd w:val="clear" w:color="auto" w:fill="auto"/>
            <w:vAlign w:val="center"/>
            <w:hideMark/>
          </w:tcPr>
          <w:p w14:paraId="44125D9E"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40</w:t>
            </w:r>
          </w:p>
        </w:tc>
        <w:tc>
          <w:tcPr>
            <w:tcW w:w="985" w:type="pct"/>
            <w:tcBorders>
              <w:top w:val="nil"/>
              <w:left w:val="nil"/>
              <w:bottom w:val="single" w:sz="4" w:space="0" w:color="auto"/>
              <w:right w:val="single" w:sz="4" w:space="0" w:color="auto"/>
            </w:tcBorders>
            <w:shd w:val="clear" w:color="auto" w:fill="auto"/>
            <w:vAlign w:val="center"/>
            <w:hideMark/>
          </w:tcPr>
          <w:p w14:paraId="0F9E5290"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12.466.401</w:t>
            </w:r>
          </w:p>
        </w:tc>
      </w:tr>
      <w:tr w:rsidR="00F24E18" w:rsidRPr="00806F42" w14:paraId="77158606"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63686861"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37792B14"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33</w:t>
            </w:r>
          </w:p>
        </w:tc>
        <w:tc>
          <w:tcPr>
            <w:tcW w:w="2086" w:type="pct"/>
            <w:tcBorders>
              <w:top w:val="nil"/>
              <w:left w:val="nil"/>
              <w:bottom w:val="single" w:sz="4" w:space="0" w:color="auto"/>
              <w:right w:val="single" w:sz="4" w:space="0" w:color="auto"/>
            </w:tcBorders>
            <w:shd w:val="clear" w:color="auto" w:fill="auto"/>
            <w:vAlign w:val="center"/>
            <w:hideMark/>
          </w:tcPr>
          <w:p w14:paraId="3E766FF0"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Medicinska oprema, farmacevtski izdelki in izdelki za osebno nego</w:t>
            </w:r>
          </w:p>
        </w:tc>
        <w:tc>
          <w:tcPr>
            <w:tcW w:w="619" w:type="pct"/>
            <w:tcBorders>
              <w:top w:val="nil"/>
              <w:left w:val="nil"/>
              <w:bottom w:val="single" w:sz="4" w:space="0" w:color="auto"/>
              <w:right w:val="single" w:sz="4" w:space="0" w:color="auto"/>
            </w:tcBorders>
            <w:shd w:val="clear" w:color="auto" w:fill="auto"/>
            <w:vAlign w:val="center"/>
            <w:hideMark/>
          </w:tcPr>
          <w:p w14:paraId="60B12393"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13</w:t>
            </w:r>
          </w:p>
        </w:tc>
        <w:tc>
          <w:tcPr>
            <w:tcW w:w="985" w:type="pct"/>
            <w:tcBorders>
              <w:top w:val="nil"/>
              <w:left w:val="nil"/>
              <w:bottom w:val="single" w:sz="4" w:space="0" w:color="auto"/>
              <w:right w:val="single" w:sz="4" w:space="0" w:color="auto"/>
            </w:tcBorders>
            <w:shd w:val="clear" w:color="auto" w:fill="auto"/>
            <w:vAlign w:val="center"/>
            <w:hideMark/>
          </w:tcPr>
          <w:p w14:paraId="06AEB2FF"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43.819.197</w:t>
            </w:r>
          </w:p>
        </w:tc>
      </w:tr>
      <w:tr w:rsidR="00F24E18" w:rsidRPr="00242E41" w14:paraId="0E5BA0C8" w14:textId="77777777" w:rsidTr="000E18B5">
        <w:trPr>
          <w:trHeight w:val="300"/>
        </w:trPr>
        <w:tc>
          <w:tcPr>
            <w:tcW w:w="848" w:type="pct"/>
            <w:vMerge/>
            <w:tcBorders>
              <w:top w:val="nil"/>
              <w:left w:val="single" w:sz="4" w:space="0" w:color="auto"/>
              <w:bottom w:val="single" w:sz="4" w:space="0" w:color="auto"/>
              <w:right w:val="single" w:sz="4" w:space="0" w:color="auto"/>
            </w:tcBorders>
            <w:vAlign w:val="center"/>
            <w:hideMark/>
          </w:tcPr>
          <w:p w14:paraId="0FC38686" w14:textId="77777777" w:rsidR="00F24E18" w:rsidRPr="00806F42" w:rsidRDefault="00F24E18" w:rsidP="000E18B5">
            <w:pPr>
              <w:spacing w:after="0" w:line="240" w:lineRule="auto"/>
              <w:rPr>
                <w:rFonts w:ascii="Arial" w:eastAsia="Times New Roman" w:hAnsi="Arial" w:cs="Arial"/>
                <w:color w:val="000000"/>
                <w:sz w:val="18"/>
                <w:szCs w:val="18"/>
                <w:lang w:eastAsia="sl-SI"/>
              </w:rPr>
            </w:pPr>
          </w:p>
        </w:tc>
        <w:tc>
          <w:tcPr>
            <w:tcW w:w="462" w:type="pct"/>
            <w:tcBorders>
              <w:top w:val="nil"/>
              <w:left w:val="nil"/>
              <w:bottom w:val="single" w:sz="4" w:space="0" w:color="auto"/>
              <w:right w:val="single" w:sz="4" w:space="0" w:color="auto"/>
            </w:tcBorders>
            <w:shd w:val="clear" w:color="auto" w:fill="auto"/>
            <w:vAlign w:val="center"/>
            <w:hideMark/>
          </w:tcPr>
          <w:p w14:paraId="5B0C7D59"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79</w:t>
            </w:r>
          </w:p>
        </w:tc>
        <w:tc>
          <w:tcPr>
            <w:tcW w:w="2086" w:type="pct"/>
            <w:tcBorders>
              <w:top w:val="nil"/>
              <w:left w:val="nil"/>
              <w:bottom w:val="single" w:sz="4" w:space="0" w:color="auto"/>
              <w:right w:val="single" w:sz="4" w:space="0" w:color="auto"/>
            </w:tcBorders>
            <w:shd w:val="clear" w:color="auto" w:fill="auto"/>
            <w:vAlign w:val="center"/>
            <w:hideMark/>
          </w:tcPr>
          <w:p w14:paraId="0931A1CB" w14:textId="77777777" w:rsidR="00F24E18" w:rsidRPr="00806F42" w:rsidRDefault="00F24E18" w:rsidP="000E18B5">
            <w:pPr>
              <w:spacing w:after="0" w:line="240" w:lineRule="auto"/>
              <w:rPr>
                <w:rFonts w:ascii="Arial" w:eastAsia="Times New Roman" w:hAnsi="Arial" w:cs="Arial"/>
                <w:color w:val="000000"/>
                <w:sz w:val="18"/>
                <w:szCs w:val="18"/>
                <w:lang w:eastAsia="sl-SI"/>
              </w:rPr>
            </w:pPr>
            <w:r w:rsidRPr="00806F42">
              <w:rPr>
                <w:rFonts w:ascii="Arial" w:hAnsi="Arial" w:cs="Arial"/>
                <w:color w:val="000000"/>
                <w:sz w:val="18"/>
                <w:szCs w:val="18"/>
              </w:rPr>
              <w:t>Poslovne storitve: pravo, trženje, svetovanje, zaposlovanje, tiskanje in varnost</w:t>
            </w:r>
          </w:p>
        </w:tc>
        <w:tc>
          <w:tcPr>
            <w:tcW w:w="619" w:type="pct"/>
            <w:tcBorders>
              <w:top w:val="nil"/>
              <w:left w:val="nil"/>
              <w:bottom w:val="single" w:sz="4" w:space="0" w:color="auto"/>
              <w:right w:val="single" w:sz="4" w:space="0" w:color="auto"/>
            </w:tcBorders>
            <w:shd w:val="clear" w:color="auto" w:fill="auto"/>
            <w:vAlign w:val="center"/>
            <w:hideMark/>
          </w:tcPr>
          <w:p w14:paraId="50188FC8"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13</w:t>
            </w:r>
          </w:p>
        </w:tc>
        <w:tc>
          <w:tcPr>
            <w:tcW w:w="985" w:type="pct"/>
            <w:tcBorders>
              <w:top w:val="nil"/>
              <w:left w:val="nil"/>
              <w:bottom w:val="single" w:sz="4" w:space="0" w:color="auto"/>
              <w:right w:val="single" w:sz="4" w:space="0" w:color="auto"/>
            </w:tcBorders>
            <w:shd w:val="clear" w:color="auto" w:fill="auto"/>
            <w:vAlign w:val="center"/>
            <w:hideMark/>
          </w:tcPr>
          <w:p w14:paraId="5950DDD9" w14:textId="77777777" w:rsidR="00F24E18" w:rsidRPr="00806F42" w:rsidRDefault="00F24E18" w:rsidP="000E18B5">
            <w:pPr>
              <w:spacing w:after="0" w:line="240" w:lineRule="auto"/>
              <w:jc w:val="right"/>
              <w:rPr>
                <w:rFonts w:ascii="Arial" w:eastAsia="Times New Roman" w:hAnsi="Arial" w:cs="Arial"/>
                <w:color w:val="000000"/>
                <w:sz w:val="18"/>
                <w:szCs w:val="18"/>
                <w:lang w:eastAsia="sl-SI"/>
              </w:rPr>
            </w:pPr>
            <w:r w:rsidRPr="00806F42">
              <w:rPr>
                <w:rFonts w:ascii="Arial" w:hAnsi="Arial" w:cs="Arial"/>
                <w:color w:val="000000"/>
                <w:sz w:val="18"/>
                <w:szCs w:val="18"/>
              </w:rPr>
              <w:t>518.503</w:t>
            </w:r>
          </w:p>
        </w:tc>
      </w:tr>
    </w:tbl>
    <w:p w14:paraId="6C33CF0D" w14:textId="77777777" w:rsidR="00F24E18" w:rsidRPr="00D9466E" w:rsidRDefault="00F24E18" w:rsidP="00F24E18"/>
    <w:p w14:paraId="1A9B20FB" w14:textId="77777777" w:rsidR="00F24E18" w:rsidRPr="00D9466E" w:rsidRDefault="00F24E18" w:rsidP="00F24E18">
      <w:pPr>
        <w:spacing w:before="120" w:after="0" w:line="240" w:lineRule="auto"/>
        <w:jc w:val="both"/>
        <w:rPr>
          <w:rFonts w:ascii="Arial" w:hAnsi="Arial" w:cs="Arial"/>
          <w:sz w:val="20"/>
        </w:rPr>
      </w:pPr>
      <w:r w:rsidRPr="00D9466E">
        <w:rPr>
          <w:rFonts w:ascii="Arial" w:hAnsi="Arial" w:cs="Arial"/>
          <w:sz w:val="20"/>
        </w:rPr>
        <w:t>Preglednica 78: Javna naročila, objavljena samo na portalu javnih naročil, glede na predmet naročanja po Enotnem besednjaku javnih naročil (CPV)</w:t>
      </w:r>
    </w:p>
    <w:p w14:paraId="4C4D0F61" w14:textId="77777777" w:rsidR="00F24E18" w:rsidRPr="00242E41" w:rsidRDefault="00F24E18" w:rsidP="00F24E18">
      <w:pPr>
        <w:spacing w:after="0" w:line="240" w:lineRule="auto"/>
        <w:jc w:val="both"/>
        <w:rPr>
          <w:rFonts w:ascii="Arial" w:hAnsi="Arial" w:cs="Arial"/>
          <w:sz w:val="20"/>
          <w:highlight w:val="yellow"/>
        </w:rPr>
      </w:pPr>
    </w:p>
    <w:tbl>
      <w:tblPr>
        <w:tblW w:w="5000" w:type="pct"/>
        <w:tblLayout w:type="fixed"/>
        <w:tblCellMar>
          <w:left w:w="70" w:type="dxa"/>
          <w:right w:w="70" w:type="dxa"/>
        </w:tblCellMar>
        <w:tblLook w:val="04A0" w:firstRow="1" w:lastRow="0" w:firstColumn="1" w:lastColumn="0" w:noHBand="0" w:noVBand="1"/>
      </w:tblPr>
      <w:tblGrid>
        <w:gridCol w:w="852"/>
        <w:gridCol w:w="3967"/>
        <w:gridCol w:w="851"/>
        <w:gridCol w:w="1416"/>
        <w:gridCol w:w="994"/>
        <w:gridCol w:w="1094"/>
      </w:tblGrid>
      <w:tr w:rsidR="00F24E18" w:rsidRPr="00D9466E" w14:paraId="65656EA1" w14:textId="77777777" w:rsidTr="000E18B5">
        <w:trPr>
          <w:trHeight w:val="480"/>
          <w:tblHeader/>
        </w:trPr>
        <w:tc>
          <w:tcPr>
            <w:tcW w:w="46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353E00B" w14:textId="77777777" w:rsidR="00F24E18" w:rsidRPr="00D9466E" w:rsidRDefault="00F24E18" w:rsidP="000E18B5">
            <w:pPr>
              <w:spacing w:after="0" w:line="240" w:lineRule="auto"/>
              <w:jc w:val="center"/>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CPV oddelek</w:t>
            </w:r>
          </w:p>
        </w:tc>
        <w:tc>
          <w:tcPr>
            <w:tcW w:w="2162" w:type="pct"/>
            <w:tcBorders>
              <w:top w:val="single" w:sz="4" w:space="0" w:color="auto"/>
              <w:left w:val="nil"/>
              <w:bottom w:val="single" w:sz="4" w:space="0" w:color="auto"/>
              <w:right w:val="single" w:sz="4" w:space="0" w:color="auto"/>
            </w:tcBorders>
            <w:shd w:val="clear" w:color="000000" w:fill="F2F2F2"/>
            <w:vAlign w:val="center"/>
            <w:hideMark/>
          </w:tcPr>
          <w:p w14:paraId="03C6DDBE" w14:textId="77777777" w:rsidR="00F24E18" w:rsidRPr="00D9466E" w:rsidRDefault="00F24E18" w:rsidP="000E18B5">
            <w:pPr>
              <w:spacing w:after="0" w:line="240" w:lineRule="auto"/>
              <w:jc w:val="center"/>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Opis CPV oddelka</w:t>
            </w:r>
          </w:p>
        </w:tc>
        <w:tc>
          <w:tcPr>
            <w:tcW w:w="464" w:type="pct"/>
            <w:tcBorders>
              <w:top w:val="single" w:sz="4" w:space="0" w:color="auto"/>
              <w:left w:val="nil"/>
              <w:bottom w:val="single" w:sz="4" w:space="0" w:color="auto"/>
              <w:right w:val="single" w:sz="4" w:space="0" w:color="auto"/>
            </w:tcBorders>
            <w:shd w:val="clear" w:color="000000" w:fill="F2F2F2"/>
            <w:vAlign w:val="center"/>
            <w:hideMark/>
          </w:tcPr>
          <w:p w14:paraId="7F356A08" w14:textId="77777777" w:rsidR="00F24E18" w:rsidRPr="00D9466E" w:rsidRDefault="00F24E18" w:rsidP="000E18B5">
            <w:pPr>
              <w:spacing w:after="0" w:line="240" w:lineRule="auto"/>
              <w:jc w:val="center"/>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Št. naročil</w:t>
            </w:r>
          </w:p>
        </w:tc>
        <w:tc>
          <w:tcPr>
            <w:tcW w:w="772" w:type="pct"/>
            <w:tcBorders>
              <w:top w:val="single" w:sz="4" w:space="0" w:color="auto"/>
              <w:left w:val="nil"/>
              <w:bottom w:val="single" w:sz="4" w:space="0" w:color="auto"/>
              <w:right w:val="single" w:sz="4" w:space="0" w:color="auto"/>
            </w:tcBorders>
            <w:shd w:val="clear" w:color="000000" w:fill="F2F2F2"/>
            <w:vAlign w:val="center"/>
            <w:hideMark/>
          </w:tcPr>
          <w:p w14:paraId="3F31B4F6" w14:textId="77777777" w:rsidR="00F24E18" w:rsidRPr="00D9466E" w:rsidRDefault="00F24E18" w:rsidP="000E18B5">
            <w:pPr>
              <w:spacing w:after="0" w:line="240" w:lineRule="auto"/>
              <w:jc w:val="center"/>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Pogodbena vrednost</w:t>
            </w:r>
          </w:p>
        </w:tc>
        <w:tc>
          <w:tcPr>
            <w:tcW w:w="542" w:type="pct"/>
            <w:tcBorders>
              <w:top w:val="single" w:sz="4" w:space="0" w:color="auto"/>
              <w:left w:val="nil"/>
              <w:bottom w:val="single" w:sz="4" w:space="0" w:color="auto"/>
              <w:right w:val="single" w:sz="4" w:space="0" w:color="auto"/>
            </w:tcBorders>
            <w:shd w:val="clear" w:color="000000" w:fill="F2F2F2"/>
            <w:vAlign w:val="center"/>
            <w:hideMark/>
          </w:tcPr>
          <w:p w14:paraId="70F8052D" w14:textId="77777777" w:rsidR="00F24E18" w:rsidRPr="00D9466E" w:rsidRDefault="00F24E18" w:rsidP="000E18B5">
            <w:pPr>
              <w:spacing w:after="0" w:line="240" w:lineRule="auto"/>
              <w:jc w:val="center"/>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Delež v št. naročil</w:t>
            </w:r>
          </w:p>
        </w:tc>
        <w:tc>
          <w:tcPr>
            <w:tcW w:w="596" w:type="pct"/>
            <w:tcBorders>
              <w:top w:val="single" w:sz="4" w:space="0" w:color="auto"/>
              <w:left w:val="nil"/>
              <w:bottom w:val="single" w:sz="4" w:space="0" w:color="auto"/>
              <w:right w:val="single" w:sz="4" w:space="0" w:color="auto"/>
            </w:tcBorders>
            <w:shd w:val="clear" w:color="000000" w:fill="F2F2F2"/>
            <w:vAlign w:val="center"/>
            <w:hideMark/>
          </w:tcPr>
          <w:p w14:paraId="75EB77F2" w14:textId="77777777" w:rsidR="00F24E18" w:rsidRPr="00D9466E" w:rsidRDefault="00F24E18" w:rsidP="000E18B5">
            <w:pPr>
              <w:spacing w:after="0" w:line="240" w:lineRule="auto"/>
              <w:jc w:val="center"/>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Delež v vrednosti</w:t>
            </w:r>
          </w:p>
        </w:tc>
      </w:tr>
      <w:tr w:rsidR="00F24E18" w:rsidRPr="00D9466E" w14:paraId="615BB0AD"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7F521018"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03</w:t>
            </w:r>
          </w:p>
        </w:tc>
        <w:tc>
          <w:tcPr>
            <w:tcW w:w="2162" w:type="pct"/>
            <w:tcBorders>
              <w:top w:val="nil"/>
              <w:left w:val="nil"/>
              <w:bottom w:val="single" w:sz="4" w:space="0" w:color="auto"/>
              <w:right w:val="single" w:sz="4" w:space="0" w:color="auto"/>
            </w:tcBorders>
            <w:shd w:val="clear" w:color="auto" w:fill="auto"/>
            <w:noWrap/>
            <w:vAlign w:val="center"/>
            <w:hideMark/>
          </w:tcPr>
          <w:p w14:paraId="0A40615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Kmetijski, ribiški, gozdarski in z njimi povezani proizvodi</w:t>
            </w:r>
          </w:p>
        </w:tc>
        <w:tc>
          <w:tcPr>
            <w:tcW w:w="464" w:type="pct"/>
            <w:tcBorders>
              <w:top w:val="nil"/>
              <w:left w:val="nil"/>
              <w:bottom w:val="single" w:sz="4" w:space="0" w:color="auto"/>
              <w:right w:val="single" w:sz="4" w:space="0" w:color="auto"/>
            </w:tcBorders>
            <w:shd w:val="clear" w:color="auto" w:fill="auto"/>
            <w:noWrap/>
            <w:vAlign w:val="center"/>
            <w:hideMark/>
          </w:tcPr>
          <w:p w14:paraId="62E3A49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20</w:t>
            </w:r>
          </w:p>
        </w:tc>
        <w:tc>
          <w:tcPr>
            <w:tcW w:w="772" w:type="pct"/>
            <w:tcBorders>
              <w:top w:val="nil"/>
              <w:left w:val="nil"/>
              <w:bottom w:val="single" w:sz="4" w:space="0" w:color="auto"/>
              <w:right w:val="single" w:sz="4" w:space="0" w:color="auto"/>
            </w:tcBorders>
            <w:shd w:val="clear" w:color="auto" w:fill="auto"/>
            <w:noWrap/>
            <w:vAlign w:val="center"/>
            <w:hideMark/>
          </w:tcPr>
          <w:p w14:paraId="522F22F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559.066</w:t>
            </w:r>
          </w:p>
        </w:tc>
        <w:tc>
          <w:tcPr>
            <w:tcW w:w="542" w:type="pct"/>
            <w:tcBorders>
              <w:top w:val="nil"/>
              <w:left w:val="nil"/>
              <w:bottom w:val="single" w:sz="4" w:space="0" w:color="auto"/>
              <w:right w:val="single" w:sz="4" w:space="0" w:color="auto"/>
            </w:tcBorders>
            <w:shd w:val="clear" w:color="auto" w:fill="auto"/>
            <w:noWrap/>
            <w:vAlign w:val="center"/>
            <w:hideMark/>
          </w:tcPr>
          <w:p w14:paraId="755CD78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0,29 %</w:t>
            </w:r>
          </w:p>
        </w:tc>
        <w:tc>
          <w:tcPr>
            <w:tcW w:w="596" w:type="pct"/>
            <w:tcBorders>
              <w:top w:val="nil"/>
              <w:left w:val="nil"/>
              <w:bottom w:val="single" w:sz="4" w:space="0" w:color="auto"/>
              <w:right w:val="single" w:sz="4" w:space="0" w:color="auto"/>
            </w:tcBorders>
            <w:shd w:val="clear" w:color="auto" w:fill="auto"/>
            <w:noWrap/>
            <w:vAlign w:val="center"/>
            <w:hideMark/>
          </w:tcPr>
          <w:p w14:paraId="05C49383"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0,06 %</w:t>
            </w:r>
          </w:p>
        </w:tc>
      </w:tr>
      <w:tr w:rsidR="00F24E18" w:rsidRPr="00D9466E" w14:paraId="55B12D7D"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1595BD82"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09</w:t>
            </w:r>
          </w:p>
        </w:tc>
        <w:tc>
          <w:tcPr>
            <w:tcW w:w="2162" w:type="pct"/>
            <w:tcBorders>
              <w:top w:val="nil"/>
              <w:left w:val="nil"/>
              <w:bottom w:val="single" w:sz="4" w:space="0" w:color="auto"/>
              <w:right w:val="single" w:sz="4" w:space="0" w:color="auto"/>
            </w:tcBorders>
            <w:shd w:val="clear" w:color="auto" w:fill="auto"/>
            <w:noWrap/>
            <w:vAlign w:val="center"/>
            <w:hideMark/>
          </w:tcPr>
          <w:p w14:paraId="2C93E3D8"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Naftni derivati, goriva, električna energija in drugi viri energije</w:t>
            </w:r>
          </w:p>
        </w:tc>
        <w:tc>
          <w:tcPr>
            <w:tcW w:w="464" w:type="pct"/>
            <w:tcBorders>
              <w:top w:val="nil"/>
              <w:left w:val="nil"/>
              <w:bottom w:val="single" w:sz="4" w:space="0" w:color="auto"/>
              <w:right w:val="single" w:sz="4" w:space="0" w:color="auto"/>
            </w:tcBorders>
            <w:shd w:val="clear" w:color="auto" w:fill="auto"/>
            <w:noWrap/>
            <w:vAlign w:val="center"/>
            <w:hideMark/>
          </w:tcPr>
          <w:p w14:paraId="4098911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134</w:t>
            </w:r>
          </w:p>
        </w:tc>
        <w:tc>
          <w:tcPr>
            <w:tcW w:w="772" w:type="pct"/>
            <w:tcBorders>
              <w:top w:val="nil"/>
              <w:left w:val="nil"/>
              <w:bottom w:val="single" w:sz="4" w:space="0" w:color="auto"/>
              <w:right w:val="single" w:sz="4" w:space="0" w:color="auto"/>
            </w:tcBorders>
            <w:shd w:val="clear" w:color="auto" w:fill="auto"/>
            <w:noWrap/>
            <w:vAlign w:val="center"/>
            <w:hideMark/>
          </w:tcPr>
          <w:p w14:paraId="3803CF7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11.554.415</w:t>
            </w:r>
          </w:p>
        </w:tc>
        <w:tc>
          <w:tcPr>
            <w:tcW w:w="542" w:type="pct"/>
            <w:tcBorders>
              <w:top w:val="nil"/>
              <w:left w:val="nil"/>
              <w:bottom w:val="single" w:sz="4" w:space="0" w:color="auto"/>
              <w:right w:val="single" w:sz="4" w:space="0" w:color="auto"/>
            </w:tcBorders>
            <w:shd w:val="clear" w:color="auto" w:fill="auto"/>
            <w:noWrap/>
            <w:vAlign w:val="center"/>
            <w:hideMark/>
          </w:tcPr>
          <w:p w14:paraId="053BD2F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1,94 %</w:t>
            </w:r>
          </w:p>
        </w:tc>
        <w:tc>
          <w:tcPr>
            <w:tcW w:w="596" w:type="pct"/>
            <w:tcBorders>
              <w:top w:val="nil"/>
              <w:left w:val="nil"/>
              <w:bottom w:val="single" w:sz="4" w:space="0" w:color="auto"/>
              <w:right w:val="single" w:sz="4" w:space="0" w:color="auto"/>
            </w:tcBorders>
            <w:shd w:val="clear" w:color="auto" w:fill="auto"/>
            <w:noWrap/>
            <w:vAlign w:val="center"/>
            <w:hideMark/>
          </w:tcPr>
          <w:p w14:paraId="63191E6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1,20 %</w:t>
            </w:r>
          </w:p>
        </w:tc>
      </w:tr>
      <w:tr w:rsidR="00F24E18" w:rsidRPr="00D9466E" w14:paraId="4DBC53E9"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92AF1D9"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14</w:t>
            </w:r>
          </w:p>
        </w:tc>
        <w:tc>
          <w:tcPr>
            <w:tcW w:w="2162" w:type="pct"/>
            <w:tcBorders>
              <w:top w:val="nil"/>
              <w:left w:val="nil"/>
              <w:bottom w:val="single" w:sz="4" w:space="0" w:color="auto"/>
              <w:right w:val="single" w:sz="4" w:space="0" w:color="auto"/>
            </w:tcBorders>
            <w:shd w:val="clear" w:color="auto" w:fill="auto"/>
            <w:noWrap/>
            <w:vAlign w:val="center"/>
            <w:hideMark/>
          </w:tcPr>
          <w:p w14:paraId="4F8CD8B7"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Rudarstvo, navadne kovine in z njimi povezani proizvodi</w:t>
            </w:r>
          </w:p>
        </w:tc>
        <w:tc>
          <w:tcPr>
            <w:tcW w:w="464" w:type="pct"/>
            <w:tcBorders>
              <w:top w:val="nil"/>
              <w:left w:val="nil"/>
              <w:bottom w:val="single" w:sz="4" w:space="0" w:color="auto"/>
              <w:right w:val="single" w:sz="4" w:space="0" w:color="auto"/>
            </w:tcBorders>
            <w:shd w:val="clear" w:color="auto" w:fill="auto"/>
            <w:noWrap/>
            <w:vAlign w:val="center"/>
            <w:hideMark/>
          </w:tcPr>
          <w:p w14:paraId="6962B7E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25</w:t>
            </w:r>
          </w:p>
        </w:tc>
        <w:tc>
          <w:tcPr>
            <w:tcW w:w="772" w:type="pct"/>
            <w:tcBorders>
              <w:top w:val="nil"/>
              <w:left w:val="nil"/>
              <w:bottom w:val="single" w:sz="4" w:space="0" w:color="auto"/>
              <w:right w:val="single" w:sz="4" w:space="0" w:color="auto"/>
            </w:tcBorders>
            <w:shd w:val="clear" w:color="auto" w:fill="auto"/>
            <w:noWrap/>
            <w:vAlign w:val="center"/>
            <w:hideMark/>
          </w:tcPr>
          <w:p w14:paraId="0B34EC9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3.483.093</w:t>
            </w:r>
          </w:p>
        </w:tc>
        <w:tc>
          <w:tcPr>
            <w:tcW w:w="542" w:type="pct"/>
            <w:tcBorders>
              <w:top w:val="nil"/>
              <w:left w:val="nil"/>
              <w:bottom w:val="single" w:sz="4" w:space="0" w:color="auto"/>
              <w:right w:val="single" w:sz="4" w:space="0" w:color="auto"/>
            </w:tcBorders>
            <w:shd w:val="clear" w:color="auto" w:fill="auto"/>
            <w:noWrap/>
            <w:vAlign w:val="center"/>
            <w:hideMark/>
          </w:tcPr>
          <w:p w14:paraId="0864F2A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0,36 %</w:t>
            </w:r>
          </w:p>
        </w:tc>
        <w:tc>
          <w:tcPr>
            <w:tcW w:w="596" w:type="pct"/>
            <w:tcBorders>
              <w:top w:val="nil"/>
              <w:left w:val="nil"/>
              <w:bottom w:val="single" w:sz="4" w:space="0" w:color="auto"/>
              <w:right w:val="single" w:sz="4" w:space="0" w:color="auto"/>
            </w:tcBorders>
            <w:shd w:val="clear" w:color="auto" w:fill="auto"/>
            <w:noWrap/>
            <w:vAlign w:val="center"/>
            <w:hideMark/>
          </w:tcPr>
          <w:p w14:paraId="23BE11C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0,36 %</w:t>
            </w:r>
          </w:p>
        </w:tc>
      </w:tr>
      <w:tr w:rsidR="00F24E18" w:rsidRPr="00D9466E" w14:paraId="319079EB"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4CEBE4F7"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15</w:t>
            </w:r>
          </w:p>
        </w:tc>
        <w:tc>
          <w:tcPr>
            <w:tcW w:w="2162" w:type="pct"/>
            <w:tcBorders>
              <w:top w:val="nil"/>
              <w:left w:val="nil"/>
              <w:bottom w:val="single" w:sz="4" w:space="0" w:color="auto"/>
              <w:right w:val="single" w:sz="4" w:space="0" w:color="auto"/>
            </w:tcBorders>
            <w:shd w:val="clear" w:color="auto" w:fill="auto"/>
            <w:noWrap/>
            <w:vAlign w:val="center"/>
            <w:hideMark/>
          </w:tcPr>
          <w:p w14:paraId="10BBB0F9"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Živila, pijače, tobačni izdelki in z njimi povezani izdelki</w:t>
            </w:r>
          </w:p>
        </w:tc>
        <w:tc>
          <w:tcPr>
            <w:tcW w:w="464" w:type="pct"/>
            <w:tcBorders>
              <w:top w:val="nil"/>
              <w:left w:val="nil"/>
              <w:bottom w:val="single" w:sz="4" w:space="0" w:color="auto"/>
              <w:right w:val="single" w:sz="4" w:space="0" w:color="auto"/>
            </w:tcBorders>
            <w:shd w:val="clear" w:color="auto" w:fill="auto"/>
            <w:noWrap/>
            <w:vAlign w:val="center"/>
            <w:hideMark/>
          </w:tcPr>
          <w:p w14:paraId="0B8100C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344</w:t>
            </w:r>
          </w:p>
        </w:tc>
        <w:tc>
          <w:tcPr>
            <w:tcW w:w="772" w:type="pct"/>
            <w:tcBorders>
              <w:top w:val="nil"/>
              <w:left w:val="nil"/>
              <w:bottom w:val="single" w:sz="4" w:space="0" w:color="auto"/>
              <w:right w:val="single" w:sz="4" w:space="0" w:color="auto"/>
            </w:tcBorders>
            <w:shd w:val="clear" w:color="auto" w:fill="auto"/>
            <w:noWrap/>
            <w:vAlign w:val="center"/>
            <w:hideMark/>
          </w:tcPr>
          <w:p w14:paraId="6F06736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6.456.544</w:t>
            </w:r>
          </w:p>
        </w:tc>
        <w:tc>
          <w:tcPr>
            <w:tcW w:w="542" w:type="pct"/>
            <w:tcBorders>
              <w:top w:val="nil"/>
              <w:left w:val="nil"/>
              <w:bottom w:val="single" w:sz="4" w:space="0" w:color="auto"/>
              <w:right w:val="single" w:sz="4" w:space="0" w:color="auto"/>
            </w:tcBorders>
            <w:shd w:val="clear" w:color="auto" w:fill="auto"/>
            <w:noWrap/>
            <w:vAlign w:val="center"/>
            <w:hideMark/>
          </w:tcPr>
          <w:p w14:paraId="658541D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4,97 %</w:t>
            </w:r>
          </w:p>
        </w:tc>
        <w:tc>
          <w:tcPr>
            <w:tcW w:w="596" w:type="pct"/>
            <w:tcBorders>
              <w:top w:val="nil"/>
              <w:left w:val="nil"/>
              <w:bottom w:val="single" w:sz="4" w:space="0" w:color="auto"/>
              <w:right w:val="single" w:sz="4" w:space="0" w:color="auto"/>
            </w:tcBorders>
            <w:shd w:val="clear" w:color="auto" w:fill="auto"/>
            <w:noWrap/>
            <w:vAlign w:val="center"/>
            <w:hideMark/>
          </w:tcPr>
          <w:p w14:paraId="443B49F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0,67 %</w:t>
            </w:r>
          </w:p>
        </w:tc>
      </w:tr>
      <w:tr w:rsidR="00F24E18" w:rsidRPr="00D9466E" w14:paraId="7BBD8D2F"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EA1FE45"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16</w:t>
            </w:r>
          </w:p>
        </w:tc>
        <w:tc>
          <w:tcPr>
            <w:tcW w:w="2162" w:type="pct"/>
            <w:tcBorders>
              <w:top w:val="nil"/>
              <w:left w:val="nil"/>
              <w:bottom w:val="single" w:sz="4" w:space="0" w:color="auto"/>
              <w:right w:val="single" w:sz="4" w:space="0" w:color="auto"/>
            </w:tcBorders>
            <w:shd w:val="clear" w:color="auto" w:fill="auto"/>
            <w:noWrap/>
            <w:vAlign w:val="center"/>
            <w:hideMark/>
          </w:tcPr>
          <w:p w14:paraId="77A464FF"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Kmetijski stroji</w:t>
            </w:r>
          </w:p>
        </w:tc>
        <w:tc>
          <w:tcPr>
            <w:tcW w:w="464" w:type="pct"/>
            <w:tcBorders>
              <w:top w:val="nil"/>
              <w:left w:val="nil"/>
              <w:bottom w:val="single" w:sz="4" w:space="0" w:color="auto"/>
              <w:right w:val="single" w:sz="4" w:space="0" w:color="auto"/>
            </w:tcBorders>
            <w:shd w:val="clear" w:color="auto" w:fill="auto"/>
            <w:noWrap/>
            <w:vAlign w:val="center"/>
            <w:hideMark/>
          </w:tcPr>
          <w:p w14:paraId="78C372D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16</w:t>
            </w:r>
          </w:p>
        </w:tc>
        <w:tc>
          <w:tcPr>
            <w:tcW w:w="772" w:type="pct"/>
            <w:tcBorders>
              <w:top w:val="nil"/>
              <w:left w:val="nil"/>
              <w:bottom w:val="single" w:sz="4" w:space="0" w:color="auto"/>
              <w:right w:val="single" w:sz="4" w:space="0" w:color="auto"/>
            </w:tcBorders>
            <w:shd w:val="clear" w:color="auto" w:fill="auto"/>
            <w:noWrap/>
            <w:vAlign w:val="center"/>
            <w:hideMark/>
          </w:tcPr>
          <w:p w14:paraId="7D1A553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1.547.852</w:t>
            </w:r>
          </w:p>
        </w:tc>
        <w:tc>
          <w:tcPr>
            <w:tcW w:w="542" w:type="pct"/>
            <w:tcBorders>
              <w:top w:val="nil"/>
              <w:left w:val="nil"/>
              <w:bottom w:val="single" w:sz="4" w:space="0" w:color="auto"/>
              <w:right w:val="single" w:sz="4" w:space="0" w:color="auto"/>
            </w:tcBorders>
            <w:shd w:val="clear" w:color="auto" w:fill="auto"/>
            <w:noWrap/>
            <w:vAlign w:val="center"/>
            <w:hideMark/>
          </w:tcPr>
          <w:p w14:paraId="7644CD9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0,23 %</w:t>
            </w:r>
          </w:p>
        </w:tc>
        <w:tc>
          <w:tcPr>
            <w:tcW w:w="596" w:type="pct"/>
            <w:tcBorders>
              <w:top w:val="nil"/>
              <w:left w:val="nil"/>
              <w:bottom w:val="single" w:sz="4" w:space="0" w:color="auto"/>
              <w:right w:val="single" w:sz="4" w:space="0" w:color="auto"/>
            </w:tcBorders>
            <w:shd w:val="clear" w:color="auto" w:fill="auto"/>
            <w:noWrap/>
            <w:vAlign w:val="center"/>
            <w:hideMark/>
          </w:tcPr>
          <w:p w14:paraId="4890F2C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0,16 %</w:t>
            </w:r>
          </w:p>
        </w:tc>
      </w:tr>
      <w:tr w:rsidR="00F24E18" w:rsidRPr="00D9466E" w14:paraId="0A756BCF"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31DE3152"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18</w:t>
            </w:r>
          </w:p>
        </w:tc>
        <w:tc>
          <w:tcPr>
            <w:tcW w:w="2162" w:type="pct"/>
            <w:tcBorders>
              <w:top w:val="nil"/>
              <w:left w:val="nil"/>
              <w:bottom w:val="single" w:sz="4" w:space="0" w:color="auto"/>
              <w:right w:val="single" w:sz="4" w:space="0" w:color="auto"/>
            </w:tcBorders>
            <w:shd w:val="clear" w:color="auto" w:fill="auto"/>
            <w:noWrap/>
            <w:vAlign w:val="center"/>
            <w:hideMark/>
          </w:tcPr>
          <w:p w14:paraId="3416EA56"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Oblačila, obutev, prtljaga in pribor</w:t>
            </w:r>
          </w:p>
        </w:tc>
        <w:tc>
          <w:tcPr>
            <w:tcW w:w="464" w:type="pct"/>
            <w:tcBorders>
              <w:top w:val="nil"/>
              <w:left w:val="nil"/>
              <w:bottom w:val="single" w:sz="4" w:space="0" w:color="auto"/>
              <w:right w:val="single" w:sz="4" w:space="0" w:color="auto"/>
            </w:tcBorders>
            <w:shd w:val="clear" w:color="auto" w:fill="auto"/>
            <w:noWrap/>
            <w:vAlign w:val="center"/>
            <w:hideMark/>
          </w:tcPr>
          <w:p w14:paraId="6E28AD05"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72</w:t>
            </w:r>
          </w:p>
        </w:tc>
        <w:tc>
          <w:tcPr>
            <w:tcW w:w="772" w:type="pct"/>
            <w:tcBorders>
              <w:top w:val="nil"/>
              <w:left w:val="nil"/>
              <w:bottom w:val="single" w:sz="4" w:space="0" w:color="auto"/>
              <w:right w:val="single" w:sz="4" w:space="0" w:color="auto"/>
            </w:tcBorders>
            <w:shd w:val="clear" w:color="auto" w:fill="auto"/>
            <w:noWrap/>
            <w:vAlign w:val="center"/>
            <w:hideMark/>
          </w:tcPr>
          <w:p w14:paraId="2982997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4.490.278</w:t>
            </w:r>
          </w:p>
        </w:tc>
        <w:tc>
          <w:tcPr>
            <w:tcW w:w="542" w:type="pct"/>
            <w:tcBorders>
              <w:top w:val="nil"/>
              <w:left w:val="nil"/>
              <w:bottom w:val="single" w:sz="4" w:space="0" w:color="auto"/>
              <w:right w:val="single" w:sz="4" w:space="0" w:color="auto"/>
            </w:tcBorders>
            <w:shd w:val="clear" w:color="auto" w:fill="auto"/>
            <w:noWrap/>
            <w:vAlign w:val="center"/>
            <w:hideMark/>
          </w:tcPr>
          <w:p w14:paraId="124665C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1,04 %</w:t>
            </w:r>
          </w:p>
        </w:tc>
        <w:tc>
          <w:tcPr>
            <w:tcW w:w="596" w:type="pct"/>
            <w:tcBorders>
              <w:top w:val="nil"/>
              <w:left w:val="nil"/>
              <w:bottom w:val="single" w:sz="4" w:space="0" w:color="auto"/>
              <w:right w:val="single" w:sz="4" w:space="0" w:color="auto"/>
            </w:tcBorders>
            <w:shd w:val="clear" w:color="auto" w:fill="auto"/>
            <w:noWrap/>
            <w:vAlign w:val="center"/>
            <w:hideMark/>
          </w:tcPr>
          <w:p w14:paraId="31BBBE0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0,47 %</w:t>
            </w:r>
          </w:p>
        </w:tc>
      </w:tr>
      <w:tr w:rsidR="00F24E18" w:rsidRPr="00D9466E" w14:paraId="45C2194A"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55B59B32"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19</w:t>
            </w:r>
          </w:p>
        </w:tc>
        <w:tc>
          <w:tcPr>
            <w:tcW w:w="2162" w:type="pct"/>
            <w:tcBorders>
              <w:top w:val="nil"/>
              <w:left w:val="nil"/>
              <w:bottom w:val="single" w:sz="4" w:space="0" w:color="auto"/>
              <w:right w:val="single" w:sz="4" w:space="0" w:color="auto"/>
            </w:tcBorders>
            <w:shd w:val="clear" w:color="auto" w:fill="auto"/>
            <w:noWrap/>
            <w:vAlign w:val="center"/>
            <w:hideMark/>
          </w:tcPr>
          <w:p w14:paraId="330FB371"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Usnjeni in tekstilni materiali, plastični in gumijasti materiali</w:t>
            </w:r>
          </w:p>
        </w:tc>
        <w:tc>
          <w:tcPr>
            <w:tcW w:w="464" w:type="pct"/>
            <w:tcBorders>
              <w:top w:val="nil"/>
              <w:left w:val="nil"/>
              <w:bottom w:val="single" w:sz="4" w:space="0" w:color="auto"/>
              <w:right w:val="single" w:sz="4" w:space="0" w:color="auto"/>
            </w:tcBorders>
            <w:shd w:val="clear" w:color="auto" w:fill="auto"/>
            <w:noWrap/>
            <w:vAlign w:val="center"/>
            <w:hideMark/>
          </w:tcPr>
          <w:p w14:paraId="7C63CD9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30</w:t>
            </w:r>
          </w:p>
        </w:tc>
        <w:tc>
          <w:tcPr>
            <w:tcW w:w="772" w:type="pct"/>
            <w:tcBorders>
              <w:top w:val="nil"/>
              <w:left w:val="nil"/>
              <w:bottom w:val="single" w:sz="4" w:space="0" w:color="auto"/>
              <w:right w:val="single" w:sz="4" w:space="0" w:color="auto"/>
            </w:tcBorders>
            <w:shd w:val="clear" w:color="auto" w:fill="auto"/>
            <w:noWrap/>
            <w:vAlign w:val="center"/>
            <w:hideMark/>
          </w:tcPr>
          <w:p w14:paraId="1BD21383"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1.436.200</w:t>
            </w:r>
          </w:p>
        </w:tc>
        <w:tc>
          <w:tcPr>
            <w:tcW w:w="542" w:type="pct"/>
            <w:tcBorders>
              <w:top w:val="nil"/>
              <w:left w:val="nil"/>
              <w:bottom w:val="single" w:sz="4" w:space="0" w:color="auto"/>
              <w:right w:val="single" w:sz="4" w:space="0" w:color="auto"/>
            </w:tcBorders>
            <w:shd w:val="clear" w:color="auto" w:fill="auto"/>
            <w:noWrap/>
            <w:vAlign w:val="center"/>
            <w:hideMark/>
          </w:tcPr>
          <w:p w14:paraId="6543485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0,43 %</w:t>
            </w:r>
          </w:p>
        </w:tc>
        <w:tc>
          <w:tcPr>
            <w:tcW w:w="596" w:type="pct"/>
            <w:tcBorders>
              <w:top w:val="nil"/>
              <w:left w:val="nil"/>
              <w:bottom w:val="single" w:sz="4" w:space="0" w:color="auto"/>
              <w:right w:val="single" w:sz="4" w:space="0" w:color="auto"/>
            </w:tcBorders>
            <w:shd w:val="clear" w:color="auto" w:fill="auto"/>
            <w:noWrap/>
            <w:vAlign w:val="center"/>
            <w:hideMark/>
          </w:tcPr>
          <w:p w14:paraId="613B94A3"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0,15 %</w:t>
            </w:r>
          </w:p>
        </w:tc>
      </w:tr>
      <w:tr w:rsidR="00F24E18" w:rsidRPr="00D9466E" w14:paraId="7259373D"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42511130"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22</w:t>
            </w:r>
          </w:p>
        </w:tc>
        <w:tc>
          <w:tcPr>
            <w:tcW w:w="2162" w:type="pct"/>
            <w:tcBorders>
              <w:top w:val="nil"/>
              <w:left w:val="nil"/>
              <w:bottom w:val="single" w:sz="4" w:space="0" w:color="auto"/>
              <w:right w:val="single" w:sz="4" w:space="0" w:color="auto"/>
            </w:tcBorders>
            <w:shd w:val="clear" w:color="auto" w:fill="auto"/>
            <w:noWrap/>
            <w:vAlign w:val="center"/>
            <w:hideMark/>
          </w:tcPr>
          <w:p w14:paraId="3B0D2818"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Tiskano gradivo in z njim povezani izdelki</w:t>
            </w:r>
          </w:p>
        </w:tc>
        <w:tc>
          <w:tcPr>
            <w:tcW w:w="464" w:type="pct"/>
            <w:tcBorders>
              <w:top w:val="nil"/>
              <w:left w:val="nil"/>
              <w:bottom w:val="single" w:sz="4" w:space="0" w:color="auto"/>
              <w:right w:val="single" w:sz="4" w:space="0" w:color="auto"/>
            </w:tcBorders>
            <w:shd w:val="clear" w:color="auto" w:fill="auto"/>
            <w:noWrap/>
            <w:vAlign w:val="center"/>
            <w:hideMark/>
          </w:tcPr>
          <w:p w14:paraId="02C7E967"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59</w:t>
            </w:r>
          </w:p>
        </w:tc>
        <w:tc>
          <w:tcPr>
            <w:tcW w:w="772" w:type="pct"/>
            <w:tcBorders>
              <w:top w:val="nil"/>
              <w:left w:val="nil"/>
              <w:bottom w:val="single" w:sz="4" w:space="0" w:color="auto"/>
              <w:right w:val="single" w:sz="4" w:space="0" w:color="auto"/>
            </w:tcBorders>
            <w:shd w:val="clear" w:color="auto" w:fill="auto"/>
            <w:noWrap/>
            <w:vAlign w:val="center"/>
            <w:hideMark/>
          </w:tcPr>
          <w:p w14:paraId="4A51CF3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1.760.214</w:t>
            </w:r>
          </w:p>
        </w:tc>
        <w:tc>
          <w:tcPr>
            <w:tcW w:w="542" w:type="pct"/>
            <w:tcBorders>
              <w:top w:val="nil"/>
              <w:left w:val="nil"/>
              <w:bottom w:val="single" w:sz="4" w:space="0" w:color="auto"/>
              <w:right w:val="single" w:sz="4" w:space="0" w:color="auto"/>
            </w:tcBorders>
            <w:shd w:val="clear" w:color="auto" w:fill="auto"/>
            <w:noWrap/>
            <w:vAlign w:val="center"/>
            <w:hideMark/>
          </w:tcPr>
          <w:p w14:paraId="3F88213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0,85 %</w:t>
            </w:r>
          </w:p>
        </w:tc>
        <w:tc>
          <w:tcPr>
            <w:tcW w:w="596" w:type="pct"/>
            <w:tcBorders>
              <w:top w:val="nil"/>
              <w:left w:val="nil"/>
              <w:bottom w:val="single" w:sz="4" w:space="0" w:color="auto"/>
              <w:right w:val="single" w:sz="4" w:space="0" w:color="auto"/>
            </w:tcBorders>
            <w:shd w:val="clear" w:color="auto" w:fill="auto"/>
            <w:noWrap/>
            <w:vAlign w:val="center"/>
            <w:hideMark/>
          </w:tcPr>
          <w:p w14:paraId="646E30F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0,18 %</w:t>
            </w:r>
          </w:p>
        </w:tc>
      </w:tr>
      <w:tr w:rsidR="00F24E18" w:rsidRPr="00D9466E" w14:paraId="14F44D4D"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63A91240"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24</w:t>
            </w:r>
          </w:p>
        </w:tc>
        <w:tc>
          <w:tcPr>
            <w:tcW w:w="2162" w:type="pct"/>
            <w:tcBorders>
              <w:top w:val="nil"/>
              <w:left w:val="nil"/>
              <w:bottom w:val="single" w:sz="4" w:space="0" w:color="auto"/>
              <w:right w:val="single" w:sz="4" w:space="0" w:color="auto"/>
            </w:tcBorders>
            <w:shd w:val="clear" w:color="auto" w:fill="auto"/>
            <w:noWrap/>
            <w:vAlign w:val="center"/>
            <w:hideMark/>
          </w:tcPr>
          <w:p w14:paraId="682DFB16"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Kemični proizvodi</w:t>
            </w:r>
          </w:p>
        </w:tc>
        <w:tc>
          <w:tcPr>
            <w:tcW w:w="464" w:type="pct"/>
            <w:tcBorders>
              <w:top w:val="nil"/>
              <w:left w:val="nil"/>
              <w:bottom w:val="single" w:sz="4" w:space="0" w:color="auto"/>
              <w:right w:val="single" w:sz="4" w:space="0" w:color="auto"/>
            </w:tcBorders>
            <w:shd w:val="clear" w:color="auto" w:fill="auto"/>
            <w:noWrap/>
            <w:vAlign w:val="center"/>
            <w:hideMark/>
          </w:tcPr>
          <w:p w14:paraId="47067307"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79</w:t>
            </w:r>
          </w:p>
        </w:tc>
        <w:tc>
          <w:tcPr>
            <w:tcW w:w="772" w:type="pct"/>
            <w:tcBorders>
              <w:top w:val="nil"/>
              <w:left w:val="nil"/>
              <w:bottom w:val="single" w:sz="4" w:space="0" w:color="auto"/>
              <w:right w:val="single" w:sz="4" w:space="0" w:color="auto"/>
            </w:tcBorders>
            <w:shd w:val="clear" w:color="auto" w:fill="auto"/>
            <w:noWrap/>
            <w:vAlign w:val="center"/>
            <w:hideMark/>
          </w:tcPr>
          <w:p w14:paraId="5D77ACE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5.507.439</w:t>
            </w:r>
          </w:p>
        </w:tc>
        <w:tc>
          <w:tcPr>
            <w:tcW w:w="542" w:type="pct"/>
            <w:tcBorders>
              <w:top w:val="nil"/>
              <w:left w:val="nil"/>
              <w:bottom w:val="single" w:sz="4" w:space="0" w:color="auto"/>
              <w:right w:val="single" w:sz="4" w:space="0" w:color="auto"/>
            </w:tcBorders>
            <w:shd w:val="clear" w:color="auto" w:fill="auto"/>
            <w:noWrap/>
            <w:vAlign w:val="center"/>
            <w:hideMark/>
          </w:tcPr>
          <w:p w14:paraId="53321B0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1,14 %</w:t>
            </w:r>
          </w:p>
        </w:tc>
        <w:tc>
          <w:tcPr>
            <w:tcW w:w="596" w:type="pct"/>
            <w:tcBorders>
              <w:top w:val="nil"/>
              <w:left w:val="nil"/>
              <w:bottom w:val="single" w:sz="4" w:space="0" w:color="auto"/>
              <w:right w:val="single" w:sz="4" w:space="0" w:color="auto"/>
            </w:tcBorders>
            <w:shd w:val="clear" w:color="auto" w:fill="auto"/>
            <w:noWrap/>
            <w:vAlign w:val="center"/>
            <w:hideMark/>
          </w:tcPr>
          <w:p w14:paraId="44448D7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0,57 %</w:t>
            </w:r>
          </w:p>
        </w:tc>
      </w:tr>
      <w:tr w:rsidR="00F24E18" w:rsidRPr="00D9466E" w14:paraId="614957FE"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7B463D7D"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30</w:t>
            </w:r>
          </w:p>
        </w:tc>
        <w:tc>
          <w:tcPr>
            <w:tcW w:w="2162" w:type="pct"/>
            <w:tcBorders>
              <w:top w:val="nil"/>
              <w:left w:val="nil"/>
              <w:bottom w:val="single" w:sz="4" w:space="0" w:color="auto"/>
              <w:right w:val="single" w:sz="4" w:space="0" w:color="auto"/>
            </w:tcBorders>
            <w:shd w:val="clear" w:color="auto" w:fill="auto"/>
            <w:noWrap/>
            <w:vAlign w:val="center"/>
            <w:hideMark/>
          </w:tcPr>
          <w:p w14:paraId="50B1DF4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Pisarniški in računski stroji, oprema in potrebščine, razen pohištva in programskih paketov</w:t>
            </w:r>
          </w:p>
        </w:tc>
        <w:tc>
          <w:tcPr>
            <w:tcW w:w="464" w:type="pct"/>
            <w:tcBorders>
              <w:top w:val="nil"/>
              <w:left w:val="nil"/>
              <w:bottom w:val="single" w:sz="4" w:space="0" w:color="auto"/>
              <w:right w:val="single" w:sz="4" w:space="0" w:color="auto"/>
            </w:tcBorders>
            <w:shd w:val="clear" w:color="auto" w:fill="auto"/>
            <w:noWrap/>
            <w:vAlign w:val="center"/>
            <w:hideMark/>
          </w:tcPr>
          <w:p w14:paraId="52D015E3"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229</w:t>
            </w:r>
          </w:p>
        </w:tc>
        <w:tc>
          <w:tcPr>
            <w:tcW w:w="772" w:type="pct"/>
            <w:tcBorders>
              <w:top w:val="nil"/>
              <w:left w:val="nil"/>
              <w:bottom w:val="single" w:sz="4" w:space="0" w:color="auto"/>
              <w:right w:val="single" w:sz="4" w:space="0" w:color="auto"/>
            </w:tcBorders>
            <w:shd w:val="clear" w:color="auto" w:fill="auto"/>
            <w:noWrap/>
            <w:vAlign w:val="center"/>
            <w:hideMark/>
          </w:tcPr>
          <w:p w14:paraId="13E496E9"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8.467.158</w:t>
            </w:r>
          </w:p>
        </w:tc>
        <w:tc>
          <w:tcPr>
            <w:tcW w:w="542" w:type="pct"/>
            <w:tcBorders>
              <w:top w:val="nil"/>
              <w:left w:val="nil"/>
              <w:bottom w:val="single" w:sz="4" w:space="0" w:color="auto"/>
              <w:right w:val="single" w:sz="4" w:space="0" w:color="auto"/>
            </w:tcBorders>
            <w:shd w:val="clear" w:color="auto" w:fill="auto"/>
            <w:noWrap/>
            <w:vAlign w:val="center"/>
            <w:hideMark/>
          </w:tcPr>
          <w:p w14:paraId="437E1C45"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3,31 %</w:t>
            </w:r>
          </w:p>
        </w:tc>
        <w:tc>
          <w:tcPr>
            <w:tcW w:w="596" w:type="pct"/>
            <w:tcBorders>
              <w:top w:val="nil"/>
              <w:left w:val="nil"/>
              <w:bottom w:val="single" w:sz="4" w:space="0" w:color="auto"/>
              <w:right w:val="single" w:sz="4" w:space="0" w:color="auto"/>
            </w:tcBorders>
            <w:shd w:val="clear" w:color="auto" w:fill="auto"/>
            <w:noWrap/>
            <w:vAlign w:val="center"/>
            <w:hideMark/>
          </w:tcPr>
          <w:p w14:paraId="580F62A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0,88 %</w:t>
            </w:r>
          </w:p>
        </w:tc>
      </w:tr>
      <w:tr w:rsidR="00F24E18" w:rsidRPr="00D9466E" w14:paraId="22458992"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55C1A09C"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31</w:t>
            </w:r>
          </w:p>
        </w:tc>
        <w:tc>
          <w:tcPr>
            <w:tcW w:w="2162" w:type="pct"/>
            <w:tcBorders>
              <w:top w:val="nil"/>
              <w:left w:val="nil"/>
              <w:bottom w:val="single" w:sz="4" w:space="0" w:color="auto"/>
              <w:right w:val="single" w:sz="4" w:space="0" w:color="auto"/>
            </w:tcBorders>
            <w:shd w:val="clear" w:color="auto" w:fill="auto"/>
            <w:noWrap/>
            <w:vAlign w:val="center"/>
            <w:hideMark/>
          </w:tcPr>
          <w:p w14:paraId="003B6BC0"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Električni stroji, aparati, oprema in potrošno blago; razsvetljava</w:t>
            </w:r>
          </w:p>
        </w:tc>
        <w:tc>
          <w:tcPr>
            <w:tcW w:w="464" w:type="pct"/>
            <w:tcBorders>
              <w:top w:val="nil"/>
              <w:left w:val="nil"/>
              <w:bottom w:val="single" w:sz="4" w:space="0" w:color="auto"/>
              <w:right w:val="single" w:sz="4" w:space="0" w:color="auto"/>
            </w:tcBorders>
            <w:shd w:val="clear" w:color="auto" w:fill="auto"/>
            <w:noWrap/>
            <w:vAlign w:val="center"/>
            <w:hideMark/>
          </w:tcPr>
          <w:p w14:paraId="02A14785"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137</w:t>
            </w:r>
          </w:p>
        </w:tc>
        <w:tc>
          <w:tcPr>
            <w:tcW w:w="772" w:type="pct"/>
            <w:tcBorders>
              <w:top w:val="nil"/>
              <w:left w:val="nil"/>
              <w:bottom w:val="single" w:sz="4" w:space="0" w:color="auto"/>
              <w:right w:val="single" w:sz="4" w:space="0" w:color="auto"/>
            </w:tcBorders>
            <w:shd w:val="clear" w:color="auto" w:fill="auto"/>
            <w:noWrap/>
            <w:vAlign w:val="center"/>
            <w:hideMark/>
          </w:tcPr>
          <w:p w14:paraId="0041779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15.356.428</w:t>
            </w:r>
          </w:p>
        </w:tc>
        <w:tc>
          <w:tcPr>
            <w:tcW w:w="542" w:type="pct"/>
            <w:tcBorders>
              <w:top w:val="nil"/>
              <w:left w:val="nil"/>
              <w:bottom w:val="single" w:sz="4" w:space="0" w:color="auto"/>
              <w:right w:val="single" w:sz="4" w:space="0" w:color="auto"/>
            </w:tcBorders>
            <w:shd w:val="clear" w:color="auto" w:fill="auto"/>
            <w:noWrap/>
            <w:vAlign w:val="center"/>
            <w:hideMark/>
          </w:tcPr>
          <w:p w14:paraId="6A95752B"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1,98 %</w:t>
            </w:r>
          </w:p>
        </w:tc>
        <w:tc>
          <w:tcPr>
            <w:tcW w:w="596" w:type="pct"/>
            <w:tcBorders>
              <w:top w:val="nil"/>
              <w:left w:val="nil"/>
              <w:bottom w:val="single" w:sz="4" w:space="0" w:color="auto"/>
              <w:right w:val="single" w:sz="4" w:space="0" w:color="auto"/>
            </w:tcBorders>
            <w:shd w:val="clear" w:color="auto" w:fill="auto"/>
            <w:noWrap/>
            <w:vAlign w:val="center"/>
            <w:hideMark/>
          </w:tcPr>
          <w:p w14:paraId="02BCDBB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1,60 %</w:t>
            </w:r>
          </w:p>
        </w:tc>
      </w:tr>
      <w:tr w:rsidR="00F24E18" w:rsidRPr="00D9466E" w14:paraId="65394E26"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60BB5F36"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32</w:t>
            </w:r>
          </w:p>
        </w:tc>
        <w:tc>
          <w:tcPr>
            <w:tcW w:w="2162" w:type="pct"/>
            <w:tcBorders>
              <w:top w:val="nil"/>
              <w:left w:val="nil"/>
              <w:bottom w:val="single" w:sz="4" w:space="0" w:color="auto"/>
              <w:right w:val="single" w:sz="4" w:space="0" w:color="auto"/>
            </w:tcBorders>
            <w:shd w:val="clear" w:color="auto" w:fill="auto"/>
            <w:noWrap/>
            <w:vAlign w:val="center"/>
            <w:hideMark/>
          </w:tcPr>
          <w:p w14:paraId="0F407BCD"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Radijski in televizijski aparati, komunikacijska, telekomunikacijska in z njimi povezana oprema</w:t>
            </w:r>
          </w:p>
        </w:tc>
        <w:tc>
          <w:tcPr>
            <w:tcW w:w="464" w:type="pct"/>
            <w:tcBorders>
              <w:top w:val="nil"/>
              <w:left w:val="nil"/>
              <w:bottom w:val="single" w:sz="4" w:space="0" w:color="auto"/>
              <w:right w:val="single" w:sz="4" w:space="0" w:color="auto"/>
            </w:tcBorders>
            <w:shd w:val="clear" w:color="auto" w:fill="auto"/>
            <w:noWrap/>
            <w:vAlign w:val="center"/>
            <w:hideMark/>
          </w:tcPr>
          <w:p w14:paraId="37DA318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60</w:t>
            </w:r>
          </w:p>
        </w:tc>
        <w:tc>
          <w:tcPr>
            <w:tcW w:w="772" w:type="pct"/>
            <w:tcBorders>
              <w:top w:val="nil"/>
              <w:left w:val="nil"/>
              <w:bottom w:val="single" w:sz="4" w:space="0" w:color="auto"/>
              <w:right w:val="single" w:sz="4" w:space="0" w:color="auto"/>
            </w:tcBorders>
            <w:shd w:val="clear" w:color="auto" w:fill="auto"/>
            <w:noWrap/>
            <w:vAlign w:val="center"/>
            <w:hideMark/>
          </w:tcPr>
          <w:p w14:paraId="48A9E70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5.378.584</w:t>
            </w:r>
          </w:p>
        </w:tc>
        <w:tc>
          <w:tcPr>
            <w:tcW w:w="542" w:type="pct"/>
            <w:tcBorders>
              <w:top w:val="nil"/>
              <w:left w:val="nil"/>
              <w:bottom w:val="single" w:sz="4" w:space="0" w:color="auto"/>
              <w:right w:val="single" w:sz="4" w:space="0" w:color="auto"/>
            </w:tcBorders>
            <w:shd w:val="clear" w:color="auto" w:fill="auto"/>
            <w:noWrap/>
            <w:vAlign w:val="center"/>
            <w:hideMark/>
          </w:tcPr>
          <w:p w14:paraId="39109DC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0,87 %</w:t>
            </w:r>
          </w:p>
        </w:tc>
        <w:tc>
          <w:tcPr>
            <w:tcW w:w="596" w:type="pct"/>
            <w:tcBorders>
              <w:top w:val="nil"/>
              <w:left w:val="nil"/>
              <w:bottom w:val="single" w:sz="4" w:space="0" w:color="auto"/>
              <w:right w:val="single" w:sz="4" w:space="0" w:color="auto"/>
            </w:tcBorders>
            <w:shd w:val="clear" w:color="auto" w:fill="auto"/>
            <w:noWrap/>
            <w:vAlign w:val="center"/>
            <w:hideMark/>
          </w:tcPr>
          <w:p w14:paraId="4D80E76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0,56 %</w:t>
            </w:r>
          </w:p>
        </w:tc>
      </w:tr>
      <w:tr w:rsidR="00F24E18" w:rsidRPr="00D9466E" w14:paraId="5FCB6DF8"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627806C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33</w:t>
            </w:r>
          </w:p>
        </w:tc>
        <w:tc>
          <w:tcPr>
            <w:tcW w:w="2162" w:type="pct"/>
            <w:tcBorders>
              <w:top w:val="nil"/>
              <w:left w:val="nil"/>
              <w:bottom w:val="single" w:sz="4" w:space="0" w:color="auto"/>
              <w:right w:val="single" w:sz="4" w:space="0" w:color="auto"/>
            </w:tcBorders>
            <w:shd w:val="clear" w:color="auto" w:fill="auto"/>
            <w:noWrap/>
            <w:vAlign w:val="center"/>
            <w:hideMark/>
          </w:tcPr>
          <w:p w14:paraId="31AA0878"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Medicinska oprema, farmacevtski izdelki in izdelki za osebno nego</w:t>
            </w:r>
          </w:p>
        </w:tc>
        <w:tc>
          <w:tcPr>
            <w:tcW w:w="464" w:type="pct"/>
            <w:tcBorders>
              <w:top w:val="nil"/>
              <w:left w:val="nil"/>
              <w:bottom w:val="single" w:sz="4" w:space="0" w:color="auto"/>
              <w:right w:val="single" w:sz="4" w:space="0" w:color="auto"/>
            </w:tcBorders>
            <w:shd w:val="clear" w:color="auto" w:fill="auto"/>
            <w:noWrap/>
            <w:vAlign w:val="center"/>
            <w:hideMark/>
          </w:tcPr>
          <w:p w14:paraId="6313B23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755</w:t>
            </w:r>
          </w:p>
        </w:tc>
        <w:tc>
          <w:tcPr>
            <w:tcW w:w="772" w:type="pct"/>
            <w:tcBorders>
              <w:top w:val="nil"/>
              <w:left w:val="nil"/>
              <w:bottom w:val="single" w:sz="4" w:space="0" w:color="auto"/>
              <w:right w:val="single" w:sz="4" w:space="0" w:color="auto"/>
            </w:tcBorders>
            <w:shd w:val="clear" w:color="auto" w:fill="auto"/>
            <w:noWrap/>
            <w:vAlign w:val="center"/>
            <w:hideMark/>
          </w:tcPr>
          <w:p w14:paraId="05A7F06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27.226.210</w:t>
            </w:r>
          </w:p>
        </w:tc>
        <w:tc>
          <w:tcPr>
            <w:tcW w:w="542" w:type="pct"/>
            <w:tcBorders>
              <w:top w:val="nil"/>
              <w:left w:val="nil"/>
              <w:bottom w:val="single" w:sz="4" w:space="0" w:color="auto"/>
              <w:right w:val="single" w:sz="4" w:space="0" w:color="auto"/>
            </w:tcBorders>
            <w:shd w:val="clear" w:color="auto" w:fill="auto"/>
            <w:noWrap/>
            <w:vAlign w:val="center"/>
            <w:hideMark/>
          </w:tcPr>
          <w:p w14:paraId="16BE306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10,90 %</w:t>
            </w:r>
          </w:p>
        </w:tc>
        <w:tc>
          <w:tcPr>
            <w:tcW w:w="596" w:type="pct"/>
            <w:tcBorders>
              <w:top w:val="nil"/>
              <w:left w:val="nil"/>
              <w:bottom w:val="single" w:sz="4" w:space="0" w:color="auto"/>
              <w:right w:val="single" w:sz="4" w:space="0" w:color="auto"/>
            </w:tcBorders>
            <w:shd w:val="clear" w:color="auto" w:fill="auto"/>
            <w:noWrap/>
            <w:vAlign w:val="center"/>
            <w:hideMark/>
          </w:tcPr>
          <w:p w14:paraId="1954A85B"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2,83 %</w:t>
            </w:r>
          </w:p>
        </w:tc>
      </w:tr>
      <w:tr w:rsidR="00F24E18" w:rsidRPr="00D9466E" w14:paraId="13E85BCE"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1A46A4C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34</w:t>
            </w:r>
          </w:p>
        </w:tc>
        <w:tc>
          <w:tcPr>
            <w:tcW w:w="2162" w:type="pct"/>
            <w:tcBorders>
              <w:top w:val="nil"/>
              <w:left w:val="nil"/>
              <w:bottom w:val="single" w:sz="4" w:space="0" w:color="auto"/>
              <w:right w:val="single" w:sz="4" w:space="0" w:color="auto"/>
            </w:tcBorders>
            <w:shd w:val="clear" w:color="auto" w:fill="auto"/>
            <w:noWrap/>
            <w:vAlign w:val="center"/>
            <w:hideMark/>
          </w:tcPr>
          <w:p w14:paraId="232D20E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Prevozna sredstva in dodatni proizvodi za promet</w:t>
            </w:r>
          </w:p>
        </w:tc>
        <w:tc>
          <w:tcPr>
            <w:tcW w:w="464" w:type="pct"/>
            <w:tcBorders>
              <w:top w:val="nil"/>
              <w:left w:val="nil"/>
              <w:bottom w:val="single" w:sz="4" w:space="0" w:color="auto"/>
              <w:right w:val="single" w:sz="4" w:space="0" w:color="auto"/>
            </w:tcBorders>
            <w:shd w:val="clear" w:color="auto" w:fill="auto"/>
            <w:noWrap/>
            <w:vAlign w:val="center"/>
            <w:hideMark/>
          </w:tcPr>
          <w:p w14:paraId="1554A60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300</w:t>
            </w:r>
          </w:p>
        </w:tc>
        <w:tc>
          <w:tcPr>
            <w:tcW w:w="772" w:type="pct"/>
            <w:tcBorders>
              <w:top w:val="nil"/>
              <w:left w:val="nil"/>
              <w:bottom w:val="single" w:sz="4" w:space="0" w:color="auto"/>
              <w:right w:val="single" w:sz="4" w:space="0" w:color="auto"/>
            </w:tcBorders>
            <w:shd w:val="clear" w:color="auto" w:fill="auto"/>
            <w:noWrap/>
            <w:vAlign w:val="center"/>
            <w:hideMark/>
          </w:tcPr>
          <w:p w14:paraId="6B72E98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25.968.708</w:t>
            </w:r>
          </w:p>
        </w:tc>
        <w:tc>
          <w:tcPr>
            <w:tcW w:w="542" w:type="pct"/>
            <w:tcBorders>
              <w:top w:val="nil"/>
              <w:left w:val="nil"/>
              <w:bottom w:val="single" w:sz="4" w:space="0" w:color="auto"/>
              <w:right w:val="single" w:sz="4" w:space="0" w:color="auto"/>
            </w:tcBorders>
            <w:shd w:val="clear" w:color="auto" w:fill="auto"/>
            <w:noWrap/>
            <w:vAlign w:val="center"/>
            <w:hideMark/>
          </w:tcPr>
          <w:p w14:paraId="3276EC9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4,33 %</w:t>
            </w:r>
          </w:p>
        </w:tc>
        <w:tc>
          <w:tcPr>
            <w:tcW w:w="596" w:type="pct"/>
            <w:tcBorders>
              <w:top w:val="nil"/>
              <w:left w:val="nil"/>
              <w:bottom w:val="single" w:sz="4" w:space="0" w:color="auto"/>
              <w:right w:val="single" w:sz="4" w:space="0" w:color="auto"/>
            </w:tcBorders>
            <w:shd w:val="clear" w:color="auto" w:fill="auto"/>
            <w:noWrap/>
            <w:vAlign w:val="center"/>
            <w:hideMark/>
          </w:tcPr>
          <w:p w14:paraId="175E337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2,70 %</w:t>
            </w:r>
          </w:p>
        </w:tc>
      </w:tr>
      <w:tr w:rsidR="00F24E18" w:rsidRPr="00D9466E" w14:paraId="41627DE2"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5416BAF0"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35</w:t>
            </w:r>
          </w:p>
        </w:tc>
        <w:tc>
          <w:tcPr>
            <w:tcW w:w="2162" w:type="pct"/>
            <w:tcBorders>
              <w:top w:val="nil"/>
              <w:left w:val="nil"/>
              <w:bottom w:val="single" w:sz="4" w:space="0" w:color="auto"/>
              <w:right w:val="single" w:sz="4" w:space="0" w:color="auto"/>
            </w:tcBorders>
            <w:shd w:val="clear" w:color="auto" w:fill="auto"/>
            <w:noWrap/>
            <w:vAlign w:val="center"/>
            <w:hideMark/>
          </w:tcPr>
          <w:p w14:paraId="070E5F82"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Varnostna, gasilska, policijska in obrambna oprema</w:t>
            </w:r>
          </w:p>
        </w:tc>
        <w:tc>
          <w:tcPr>
            <w:tcW w:w="464" w:type="pct"/>
            <w:tcBorders>
              <w:top w:val="nil"/>
              <w:left w:val="nil"/>
              <w:bottom w:val="single" w:sz="4" w:space="0" w:color="auto"/>
              <w:right w:val="single" w:sz="4" w:space="0" w:color="auto"/>
            </w:tcBorders>
            <w:shd w:val="clear" w:color="auto" w:fill="auto"/>
            <w:noWrap/>
            <w:vAlign w:val="center"/>
            <w:hideMark/>
          </w:tcPr>
          <w:p w14:paraId="4D72BB4B"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59</w:t>
            </w:r>
          </w:p>
        </w:tc>
        <w:tc>
          <w:tcPr>
            <w:tcW w:w="772" w:type="pct"/>
            <w:tcBorders>
              <w:top w:val="nil"/>
              <w:left w:val="nil"/>
              <w:bottom w:val="single" w:sz="4" w:space="0" w:color="auto"/>
              <w:right w:val="single" w:sz="4" w:space="0" w:color="auto"/>
            </w:tcBorders>
            <w:shd w:val="clear" w:color="auto" w:fill="auto"/>
            <w:noWrap/>
            <w:vAlign w:val="center"/>
            <w:hideMark/>
          </w:tcPr>
          <w:p w14:paraId="4588078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5.675.539</w:t>
            </w:r>
          </w:p>
        </w:tc>
        <w:tc>
          <w:tcPr>
            <w:tcW w:w="542" w:type="pct"/>
            <w:tcBorders>
              <w:top w:val="nil"/>
              <w:left w:val="nil"/>
              <w:bottom w:val="single" w:sz="4" w:space="0" w:color="auto"/>
              <w:right w:val="single" w:sz="4" w:space="0" w:color="auto"/>
            </w:tcBorders>
            <w:shd w:val="clear" w:color="auto" w:fill="auto"/>
            <w:noWrap/>
            <w:vAlign w:val="center"/>
            <w:hideMark/>
          </w:tcPr>
          <w:p w14:paraId="0E94E93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0,85 %</w:t>
            </w:r>
          </w:p>
        </w:tc>
        <w:tc>
          <w:tcPr>
            <w:tcW w:w="596" w:type="pct"/>
            <w:tcBorders>
              <w:top w:val="nil"/>
              <w:left w:val="nil"/>
              <w:bottom w:val="single" w:sz="4" w:space="0" w:color="auto"/>
              <w:right w:val="single" w:sz="4" w:space="0" w:color="auto"/>
            </w:tcBorders>
            <w:shd w:val="clear" w:color="auto" w:fill="auto"/>
            <w:noWrap/>
            <w:vAlign w:val="center"/>
            <w:hideMark/>
          </w:tcPr>
          <w:p w14:paraId="01C36E13"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0,59 %</w:t>
            </w:r>
          </w:p>
        </w:tc>
      </w:tr>
      <w:tr w:rsidR="00F24E18" w:rsidRPr="00D9466E" w14:paraId="11B68342"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7A841CA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37</w:t>
            </w:r>
          </w:p>
        </w:tc>
        <w:tc>
          <w:tcPr>
            <w:tcW w:w="2162" w:type="pct"/>
            <w:tcBorders>
              <w:top w:val="nil"/>
              <w:left w:val="nil"/>
              <w:bottom w:val="single" w:sz="4" w:space="0" w:color="auto"/>
              <w:right w:val="single" w:sz="4" w:space="0" w:color="auto"/>
            </w:tcBorders>
            <w:shd w:val="clear" w:color="auto" w:fill="auto"/>
            <w:noWrap/>
            <w:vAlign w:val="center"/>
            <w:hideMark/>
          </w:tcPr>
          <w:p w14:paraId="394CCD99"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Glasbila, športni izdelki, igre, igrače, ročna dela, umetniški materiali in dodatki</w:t>
            </w:r>
          </w:p>
        </w:tc>
        <w:tc>
          <w:tcPr>
            <w:tcW w:w="464" w:type="pct"/>
            <w:tcBorders>
              <w:top w:val="nil"/>
              <w:left w:val="nil"/>
              <w:bottom w:val="single" w:sz="4" w:space="0" w:color="auto"/>
              <w:right w:val="single" w:sz="4" w:space="0" w:color="auto"/>
            </w:tcBorders>
            <w:shd w:val="clear" w:color="auto" w:fill="auto"/>
            <w:noWrap/>
            <w:vAlign w:val="center"/>
            <w:hideMark/>
          </w:tcPr>
          <w:p w14:paraId="52783BA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33</w:t>
            </w:r>
          </w:p>
        </w:tc>
        <w:tc>
          <w:tcPr>
            <w:tcW w:w="772" w:type="pct"/>
            <w:tcBorders>
              <w:top w:val="nil"/>
              <w:left w:val="nil"/>
              <w:bottom w:val="single" w:sz="4" w:space="0" w:color="auto"/>
              <w:right w:val="single" w:sz="4" w:space="0" w:color="auto"/>
            </w:tcBorders>
            <w:shd w:val="clear" w:color="auto" w:fill="auto"/>
            <w:noWrap/>
            <w:vAlign w:val="center"/>
            <w:hideMark/>
          </w:tcPr>
          <w:p w14:paraId="6994492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1.009.296</w:t>
            </w:r>
          </w:p>
        </w:tc>
        <w:tc>
          <w:tcPr>
            <w:tcW w:w="542" w:type="pct"/>
            <w:tcBorders>
              <w:top w:val="nil"/>
              <w:left w:val="nil"/>
              <w:bottom w:val="single" w:sz="4" w:space="0" w:color="auto"/>
              <w:right w:val="single" w:sz="4" w:space="0" w:color="auto"/>
            </w:tcBorders>
            <w:shd w:val="clear" w:color="auto" w:fill="auto"/>
            <w:noWrap/>
            <w:vAlign w:val="center"/>
            <w:hideMark/>
          </w:tcPr>
          <w:p w14:paraId="78C864A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0,48 %</w:t>
            </w:r>
          </w:p>
        </w:tc>
        <w:tc>
          <w:tcPr>
            <w:tcW w:w="596" w:type="pct"/>
            <w:tcBorders>
              <w:top w:val="nil"/>
              <w:left w:val="nil"/>
              <w:bottom w:val="single" w:sz="4" w:space="0" w:color="auto"/>
              <w:right w:val="single" w:sz="4" w:space="0" w:color="auto"/>
            </w:tcBorders>
            <w:shd w:val="clear" w:color="auto" w:fill="auto"/>
            <w:noWrap/>
            <w:vAlign w:val="center"/>
            <w:hideMark/>
          </w:tcPr>
          <w:p w14:paraId="3ACAD0B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0,10 %</w:t>
            </w:r>
          </w:p>
        </w:tc>
      </w:tr>
      <w:tr w:rsidR="00F24E18" w:rsidRPr="00D9466E" w14:paraId="5D977C8B"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21D62EF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38</w:t>
            </w:r>
          </w:p>
        </w:tc>
        <w:tc>
          <w:tcPr>
            <w:tcW w:w="2162" w:type="pct"/>
            <w:tcBorders>
              <w:top w:val="nil"/>
              <w:left w:val="nil"/>
              <w:bottom w:val="single" w:sz="4" w:space="0" w:color="auto"/>
              <w:right w:val="single" w:sz="4" w:space="0" w:color="auto"/>
            </w:tcBorders>
            <w:shd w:val="clear" w:color="auto" w:fill="auto"/>
            <w:noWrap/>
            <w:vAlign w:val="center"/>
            <w:hideMark/>
          </w:tcPr>
          <w:p w14:paraId="30D508E9"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Laboratorijska, optična in precizna oprema (razen očal)</w:t>
            </w:r>
          </w:p>
        </w:tc>
        <w:tc>
          <w:tcPr>
            <w:tcW w:w="464" w:type="pct"/>
            <w:tcBorders>
              <w:top w:val="nil"/>
              <w:left w:val="nil"/>
              <w:bottom w:val="single" w:sz="4" w:space="0" w:color="auto"/>
              <w:right w:val="single" w:sz="4" w:space="0" w:color="auto"/>
            </w:tcBorders>
            <w:shd w:val="clear" w:color="auto" w:fill="auto"/>
            <w:noWrap/>
            <w:vAlign w:val="center"/>
            <w:hideMark/>
          </w:tcPr>
          <w:p w14:paraId="77C38F2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236</w:t>
            </w:r>
          </w:p>
        </w:tc>
        <w:tc>
          <w:tcPr>
            <w:tcW w:w="772" w:type="pct"/>
            <w:tcBorders>
              <w:top w:val="nil"/>
              <w:left w:val="nil"/>
              <w:bottom w:val="single" w:sz="4" w:space="0" w:color="auto"/>
              <w:right w:val="single" w:sz="4" w:space="0" w:color="auto"/>
            </w:tcBorders>
            <w:shd w:val="clear" w:color="auto" w:fill="auto"/>
            <w:noWrap/>
            <w:vAlign w:val="center"/>
            <w:hideMark/>
          </w:tcPr>
          <w:p w14:paraId="2458F54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16.443.878</w:t>
            </w:r>
          </w:p>
        </w:tc>
        <w:tc>
          <w:tcPr>
            <w:tcW w:w="542" w:type="pct"/>
            <w:tcBorders>
              <w:top w:val="nil"/>
              <w:left w:val="nil"/>
              <w:bottom w:val="single" w:sz="4" w:space="0" w:color="auto"/>
              <w:right w:val="single" w:sz="4" w:space="0" w:color="auto"/>
            </w:tcBorders>
            <w:shd w:val="clear" w:color="auto" w:fill="auto"/>
            <w:noWrap/>
            <w:vAlign w:val="center"/>
            <w:hideMark/>
          </w:tcPr>
          <w:p w14:paraId="03C6CB1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3,41 %</w:t>
            </w:r>
          </w:p>
        </w:tc>
        <w:tc>
          <w:tcPr>
            <w:tcW w:w="596" w:type="pct"/>
            <w:tcBorders>
              <w:top w:val="nil"/>
              <w:left w:val="nil"/>
              <w:bottom w:val="single" w:sz="4" w:space="0" w:color="auto"/>
              <w:right w:val="single" w:sz="4" w:space="0" w:color="auto"/>
            </w:tcBorders>
            <w:shd w:val="clear" w:color="auto" w:fill="auto"/>
            <w:noWrap/>
            <w:vAlign w:val="center"/>
            <w:hideMark/>
          </w:tcPr>
          <w:p w14:paraId="7C68DA9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1,71 %</w:t>
            </w:r>
          </w:p>
        </w:tc>
      </w:tr>
      <w:tr w:rsidR="00F24E18" w:rsidRPr="00D9466E" w14:paraId="3887CEDA"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1791D3AA"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39</w:t>
            </w:r>
          </w:p>
        </w:tc>
        <w:tc>
          <w:tcPr>
            <w:tcW w:w="2162" w:type="pct"/>
            <w:tcBorders>
              <w:top w:val="nil"/>
              <w:left w:val="nil"/>
              <w:bottom w:val="single" w:sz="4" w:space="0" w:color="auto"/>
              <w:right w:val="single" w:sz="4" w:space="0" w:color="auto"/>
            </w:tcBorders>
            <w:shd w:val="clear" w:color="auto" w:fill="auto"/>
            <w:noWrap/>
            <w:vAlign w:val="center"/>
            <w:hideMark/>
          </w:tcPr>
          <w:p w14:paraId="5071DB34"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64" w:type="pct"/>
            <w:tcBorders>
              <w:top w:val="nil"/>
              <w:left w:val="nil"/>
              <w:bottom w:val="single" w:sz="4" w:space="0" w:color="auto"/>
              <w:right w:val="single" w:sz="4" w:space="0" w:color="auto"/>
            </w:tcBorders>
            <w:shd w:val="clear" w:color="auto" w:fill="auto"/>
            <w:noWrap/>
            <w:vAlign w:val="center"/>
            <w:hideMark/>
          </w:tcPr>
          <w:p w14:paraId="3AF3277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252</w:t>
            </w:r>
          </w:p>
        </w:tc>
        <w:tc>
          <w:tcPr>
            <w:tcW w:w="772" w:type="pct"/>
            <w:tcBorders>
              <w:top w:val="nil"/>
              <w:left w:val="nil"/>
              <w:bottom w:val="single" w:sz="4" w:space="0" w:color="auto"/>
              <w:right w:val="single" w:sz="4" w:space="0" w:color="auto"/>
            </w:tcBorders>
            <w:shd w:val="clear" w:color="auto" w:fill="auto"/>
            <w:noWrap/>
            <w:vAlign w:val="center"/>
            <w:hideMark/>
          </w:tcPr>
          <w:p w14:paraId="1D3CF3D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10.964.775</w:t>
            </w:r>
          </w:p>
        </w:tc>
        <w:tc>
          <w:tcPr>
            <w:tcW w:w="542" w:type="pct"/>
            <w:tcBorders>
              <w:top w:val="nil"/>
              <w:left w:val="nil"/>
              <w:bottom w:val="single" w:sz="4" w:space="0" w:color="auto"/>
              <w:right w:val="single" w:sz="4" w:space="0" w:color="auto"/>
            </w:tcBorders>
            <w:shd w:val="clear" w:color="auto" w:fill="auto"/>
            <w:noWrap/>
            <w:vAlign w:val="center"/>
            <w:hideMark/>
          </w:tcPr>
          <w:p w14:paraId="466263A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3,64 %</w:t>
            </w:r>
          </w:p>
        </w:tc>
        <w:tc>
          <w:tcPr>
            <w:tcW w:w="596" w:type="pct"/>
            <w:tcBorders>
              <w:top w:val="nil"/>
              <w:left w:val="nil"/>
              <w:bottom w:val="single" w:sz="4" w:space="0" w:color="auto"/>
              <w:right w:val="single" w:sz="4" w:space="0" w:color="auto"/>
            </w:tcBorders>
            <w:shd w:val="clear" w:color="auto" w:fill="auto"/>
            <w:noWrap/>
            <w:vAlign w:val="center"/>
            <w:hideMark/>
          </w:tcPr>
          <w:p w14:paraId="4794F50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1,14 %</w:t>
            </w:r>
          </w:p>
        </w:tc>
      </w:tr>
      <w:tr w:rsidR="00F24E18" w:rsidRPr="00D9466E" w14:paraId="4897D03D"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4D175078"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41</w:t>
            </w:r>
          </w:p>
        </w:tc>
        <w:tc>
          <w:tcPr>
            <w:tcW w:w="2162" w:type="pct"/>
            <w:tcBorders>
              <w:top w:val="nil"/>
              <w:left w:val="nil"/>
              <w:bottom w:val="single" w:sz="4" w:space="0" w:color="auto"/>
              <w:right w:val="single" w:sz="4" w:space="0" w:color="auto"/>
            </w:tcBorders>
            <w:shd w:val="clear" w:color="auto" w:fill="auto"/>
            <w:noWrap/>
            <w:vAlign w:val="center"/>
            <w:hideMark/>
          </w:tcPr>
          <w:p w14:paraId="1276EC2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Zbrana in očiščena voda</w:t>
            </w:r>
          </w:p>
        </w:tc>
        <w:tc>
          <w:tcPr>
            <w:tcW w:w="464" w:type="pct"/>
            <w:tcBorders>
              <w:top w:val="nil"/>
              <w:left w:val="nil"/>
              <w:bottom w:val="single" w:sz="4" w:space="0" w:color="auto"/>
              <w:right w:val="single" w:sz="4" w:space="0" w:color="auto"/>
            </w:tcBorders>
            <w:shd w:val="clear" w:color="auto" w:fill="auto"/>
            <w:noWrap/>
            <w:vAlign w:val="center"/>
            <w:hideMark/>
          </w:tcPr>
          <w:p w14:paraId="774F595B"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8</w:t>
            </w:r>
          </w:p>
        </w:tc>
        <w:tc>
          <w:tcPr>
            <w:tcW w:w="772" w:type="pct"/>
            <w:tcBorders>
              <w:top w:val="nil"/>
              <w:left w:val="nil"/>
              <w:bottom w:val="single" w:sz="4" w:space="0" w:color="auto"/>
              <w:right w:val="single" w:sz="4" w:space="0" w:color="auto"/>
            </w:tcBorders>
            <w:shd w:val="clear" w:color="auto" w:fill="auto"/>
            <w:noWrap/>
            <w:vAlign w:val="center"/>
            <w:hideMark/>
          </w:tcPr>
          <w:p w14:paraId="3A23DE3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424.750</w:t>
            </w:r>
          </w:p>
        </w:tc>
        <w:tc>
          <w:tcPr>
            <w:tcW w:w="542" w:type="pct"/>
            <w:tcBorders>
              <w:top w:val="nil"/>
              <w:left w:val="nil"/>
              <w:bottom w:val="single" w:sz="4" w:space="0" w:color="auto"/>
              <w:right w:val="single" w:sz="4" w:space="0" w:color="auto"/>
            </w:tcBorders>
            <w:shd w:val="clear" w:color="auto" w:fill="auto"/>
            <w:noWrap/>
            <w:vAlign w:val="center"/>
            <w:hideMark/>
          </w:tcPr>
          <w:p w14:paraId="0D0FA11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0,12 %</w:t>
            </w:r>
          </w:p>
        </w:tc>
        <w:tc>
          <w:tcPr>
            <w:tcW w:w="596" w:type="pct"/>
            <w:tcBorders>
              <w:top w:val="nil"/>
              <w:left w:val="nil"/>
              <w:bottom w:val="single" w:sz="4" w:space="0" w:color="auto"/>
              <w:right w:val="single" w:sz="4" w:space="0" w:color="auto"/>
            </w:tcBorders>
            <w:shd w:val="clear" w:color="auto" w:fill="auto"/>
            <w:noWrap/>
            <w:vAlign w:val="center"/>
            <w:hideMark/>
          </w:tcPr>
          <w:p w14:paraId="2BA3DE67"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0,04 %</w:t>
            </w:r>
          </w:p>
        </w:tc>
      </w:tr>
      <w:tr w:rsidR="00F24E18" w:rsidRPr="00D9466E" w14:paraId="78B3042E"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31C7E31"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42</w:t>
            </w:r>
          </w:p>
        </w:tc>
        <w:tc>
          <w:tcPr>
            <w:tcW w:w="2162" w:type="pct"/>
            <w:tcBorders>
              <w:top w:val="nil"/>
              <w:left w:val="nil"/>
              <w:bottom w:val="single" w:sz="4" w:space="0" w:color="auto"/>
              <w:right w:val="single" w:sz="4" w:space="0" w:color="auto"/>
            </w:tcBorders>
            <w:shd w:val="clear" w:color="auto" w:fill="auto"/>
            <w:noWrap/>
            <w:vAlign w:val="center"/>
            <w:hideMark/>
          </w:tcPr>
          <w:p w14:paraId="7721E2F5"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Industrijski stroji</w:t>
            </w:r>
          </w:p>
        </w:tc>
        <w:tc>
          <w:tcPr>
            <w:tcW w:w="464" w:type="pct"/>
            <w:tcBorders>
              <w:top w:val="nil"/>
              <w:left w:val="nil"/>
              <w:bottom w:val="single" w:sz="4" w:space="0" w:color="auto"/>
              <w:right w:val="single" w:sz="4" w:space="0" w:color="auto"/>
            </w:tcBorders>
            <w:shd w:val="clear" w:color="auto" w:fill="auto"/>
            <w:noWrap/>
            <w:vAlign w:val="center"/>
            <w:hideMark/>
          </w:tcPr>
          <w:p w14:paraId="6A0CC3F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124</w:t>
            </w:r>
          </w:p>
        </w:tc>
        <w:tc>
          <w:tcPr>
            <w:tcW w:w="772" w:type="pct"/>
            <w:tcBorders>
              <w:top w:val="nil"/>
              <w:left w:val="nil"/>
              <w:bottom w:val="single" w:sz="4" w:space="0" w:color="auto"/>
              <w:right w:val="single" w:sz="4" w:space="0" w:color="auto"/>
            </w:tcBorders>
            <w:shd w:val="clear" w:color="auto" w:fill="auto"/>
            <w:noWrap/>
            <w:vAlign w:val="center"/>
            <w:hideMark/>
          </w:tcPr>
          <w:p w14:paraId="06C5FDE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9.413.782</w:t>
            </w:r>
          </w:p>
        </w:tc>
        <w:tc>
          <w:tcPr>
            <w:tcW w:w="542" w:type="pct"/>
            <w:tcBorders>
              <w:top w:val="nil"/>
              <w:left w:val="nil"/>
              <w:bottom w:val="single" w:sz="4" w:space="0" w:color="auto"/>
              <w:right w:val="single" w:sz="4" w:space="0" w:color="auto"/>
            </w:tcBorders>
            <w:shd w:val="clear" w:color="auto" w:fill="auto"/>
            <w:noWrap/>
            <w:vAlign w:val="center"/>
            <w:hideMark/>
          </w:tcPr>
          <w:p w14:paraId="74AA120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1,79 %</w:t>
            </w:r>
          </w:p>
        </w:tc>
        <w:tc>
          <w:tcPr>
            <w:tcW w:w="596" w:type="pct"/>
            <w:tcBorders>
              <w:top w:val="nil"/>
              <w:left w:val="nil"/>
              <w:bottom w:val="single" w:sz="4" w:space="0" w:color="auto"/>
              <w:right w:val="single" w:sz="4" w:space="0" w:color="auto"/>
            </w:tcBorders>
            <w:shd w:val="clear" w:color="auto" w:fill="auto"/>
            <w:noWrap/>
            <w:vAlign w:val="center"/>
            <w:hideMark/>
          </w:tcPr>
          <w:p w14:paraId="3B81AC1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0,98 %</w:t>
            </w:r>
          </w:p>
        </w:tc>
      </w:tr>
      <w:tr w:rsidR="00F24E18" w:rsidRPr="00D9466E" w14:paraId="5F147E7B"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6B44A28"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43</w:t>
            </w:r>
          </w:p>
        </w:tc>
        <w:tc>
          <w:tcPr>
            <w:tcW w:w="2162" w:type="pct"/>
            <w:tcBorders>
              <w:top w:val="nil"/>
              <w:left w:val="nil"/>
              <w:bottom w:val="single" w:sz="4" w:space="0" w:color="auto"/>
              <w:right w:val="single" w:sz="4" w:space="0" w:color="auto"/>
            </w:tcBorders>
            <w:shd w:val="clear" w:color="auto" w:fill="auto"/>
            <w:noWrap/>
            <w:vAlign w:val="center"/>
            <w:hideMark/>
          </w:tcPr>
          <w:p w14:paraId="4D8D944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Rudarska, kamnoseška in gradbena oprema</w:t>
            </w:r>
          </w:p>
        </w:tc>
        <w:tc>
          <w:tcPr>
            <w:tcW w:w="464" w:type="pct"/>
            <w:tcBorders>
              <w:top w:val="nil"/>
              <w:left w:val="nil"/>
              <w:bottom w:val="single" w:sz="4" w:space="0" w:color="auto"/>
              <w:right w:val="single" w:sz="4" w:space="0" w:color="auto"/>
            </w:tcBorders>
            <w:shd w:val="clear" w:color="auto" w:fill="auto"/>
            <w:noWrap/>
            <w:vAlign w:val="center"/>
            <w:hideMark/>
          </w:tcPr>
          <w:p w14:paraId="4B7F61E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51</w:t>
            </w:r>
          </w:p>
        </w:tc>
        <w:tc>
          <w:tcPr>
            <w:tcW w:w="772" w:type="pct"/>
            <w:tcBorders>
              <w:top w:val="nil"/>
              <w:left w:val="nil"/>
              <w:bottom w:val="single" w:sz="4" w:space="0" w:color="auto"/>
              <w:right w:val="single" w:sz="4" w:space="0" w:color="auto"/>
            </w:tcBorders>
            <w:shd w:val="clear" w:color="auto" w:fill="auto"/>
            <w:noWrap/>
            <w:vAlign w:val="center"/>
            <w:hideMark/>
          </w:tcPr>
          <w:p w14:paraId="70DAE40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7.238.042</w:t>
            </w:r>
          </w:p>
        </w:tc>
        <w:tc>
          <w:tcPr>
            <w:tcW w:w="542" w:type="pct"/>
            <w:tcBorders>
              <w:top w:val="nil"/>
              <w:left w:val="nil"/>
              <w:bottom w:val="single" w:sz="4" w:space="0" w:color="auto"/>
              <w:right w:val="single" w:sz="4" w:space="0" w:color="auto"/>
            </w:tcBorders>
            <w:shd w:val="clear" w:color="auto" w:fill="auto"/>
            <w:noWrap/>
            <w:vAlign w:val="center"/>
            <w:hideMark/>
          </w:tcPr>
          <w:p w14:paraId="1869F07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0,74 %</w:t>
            </w:r>
          </w:p>
        </w:tc>
        <w:tc>
          <w:tcPr>
            <w:tcW w:w="596" w:type="pct"/>
            <w:tcBorders>
              <w:top w:val="nil"/>
              <w:left w:val="nil"/>
              <w:bottom w:val="single" w:sz="4" w:space="0" w:color="auto"/>
              <w:right w:val="single" w:sz="4" w:space="0" w:color="auto"/>
            </w:tcBorders>
            <w:shd w:val="clear" w:color="auto" w:fill="auto"/>
            <w:noWrap/>
            <w:vAlign w:val="center"/>
            <w:hideMark/>
          </w:tcPr>
          <w:p w14:paraId="333A4FC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0,75 %</w:t>
            </w:r>
          </w:p>
        </w:tc>
      </w:tr>
      <w:tr w:rsidR="00F24E18" w:rsidRPr="00D9466E" w14:paraId="17B8D13F"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30451D0F"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44</w:t>
            </w:r>
          </w:p>
        </w:tc>
        <w:tc>
          <w:tcPr>
            <w:tcW w:w="2162" w:type="pct"/>
            <w:tcBorders>
              <w:top w:val="nil"/>
              <w:left w:val="nil"/>
              <w:bottom w:val="single" w:sz="4" w:space="0" w:color="auto"/>
              <w:right w:val="single" w:sz="4" w:space="0" w:color="auto"/>
            </w:tcBorders>
            <w:shd w:val="clear" w:color="auto" w:fill="auto"/>
            <w:noWrap/>
            <w:vAlign w:val="center"/>
            <w:hideMark/>
          </w:tcPr>
          <w:p w14:paraId="6678A343"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Gradbene strukture in materiali; pomožni gradbeni izdelki (razen električnih aparatov)</w:t>
            </w:r>
          </w:p>
        </w:tc>
        <w:tc>
          <w:tcPr>
            <w:tcW w:w="464" w:type="pct"/>
            <w:tcBorders>
              <w:top w:val="nil"/>
              <w:left w:val="nil"/>
              <w:bottom w:val="single" w:sz="4" w:space="0" w:color="auto"/>
              <w:right w:val="single" w:sz="4" w:space="0" w:color="auto"/>
            </w:tcBorders>
            <w:shd w:val="clear" w:color="auto" w:fill="auto"/>
            <w:noWrap/>
            <w:vAlign w:val="center"/>
            <w:hideMark/>
          </w:tcPr>
          <w:p w14:paraId="3D1C20E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238</w:t>
            </w:r>
          </w:p>
        </w:tc>
        <w:tc>
          <w:tcPr>
            <w:tcW w:w="772" w:type="pct"/>
            <w:tcBorders>
              <w:top w:val="nil"/>
              <w:left w:val="nil"/>
              <w:bottom w:val="single" w:sz="4" w:space="0" w:color="auto"/>
              <w:right w:val="single" w:sz="4" w:space="0" w:color="auto"/>
            </w:tcBorders>
            <w:shd w:val="clear" w:color="auto" w:fill="auto"/>
            <w:noWrap/>
            <w:vAlign w:val="center"/>
            <w:hideMark/>
          </w:tcPr>
          <w:p w14:paraId="7B25FB8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16.206.932</w:t>
            </w:r>
          </w:p>
        </w:tc>
        <w:tc>
          <w:tcPr>
            <w:tcW w:w="542" w:type="pct"/>
            <w:tcBorders>
              <w:top w:val="nil"/>
              <w:left w:val="nil"/>
              <w:bottom w:val="single" w:sz="4" w:space="0" w:color="auto"/>
              <w:right w:val="single" w:sz="4" w:space="0" w:color="auto"/>
            </w:tcBorders>
            <w:shd w:val="clear" w:color="auto" w:fill="auto"/>
            <w:noWrap/>
            <w:vAlign w:val="center"/>
            <w:hideMark/>
          </w:tcPr>
          <w:p w14:paraId="7B3049A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3,44 %</w:t>
            </w:r>
          </w:p>
        </w:tc>
        <w:tc>
          <w:tcPr>
            <w:tcW w:w="596" w:type="pct"/>
            <w:tcBorders>
              <w:top w:val="nil"/>
              <w:left w:val="nil"/>
              <w:bottom w:val="single" w:sz="4" w:space="0" w:color="auto"/>
              <w:right w:val="single" w:sz="4" w:space="0" w:color="auto"/>
            </w:tcBorders>
            <w:shd w:val="clear" w:color="auto" w:fill="auto"/>
            <w:noWrap/>
            <w:vAlign w:val="center"/>
            <w:hideMark/>
          </w:tcPr>
          <w:p w14:paraId="068782F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1,69 %</w:t>
            </w:r>
          </w:p>
        </w:tc>
      </w:tr>
      <w:tr w:rsidR="00F24E18" w:rsidRPr="00D9466E" w14:paraId="580C01D5"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28400D3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45</w:t>
            </w:r>
          </w:p>
        </w:tc>
        <w:tc>
          <w:tcPr>
            <w:tcW w:w="2162" w:type="pct"/>
            <w:tcBorders>
              <w:top w:val="nil"/>
              <w:left w:val="nil"/>
              <w:bottom w:val="single" w:sz="4" w:space="0" w:color="auto"/>
              <w:right w:val="single" w:sz="4" w:space="0" w:color="auto"/>
            </w:tcBorders>
            <w:shd w:val="clear" w:color="auto" w:fill="auto"/>
            <w:noWrap/>
            <w:vAlign w:val="center"/>
            <w:hideMark/>
          </w:tcPr>
          <w:p w14:paraId="3C48D592"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Gradbena dela</w:t>
            </w:r>
          </w:p>
        </w:tc>
        <w:tc>
          <w:tcPr>
            <w:tcW w:w="464" w:type="pct"/>
            <w:tcBorders>
              <w:top w:val="nil"/>
              <w:left w:val="nil"/>
              <w:bottom w:val="single" w:sz="4" w:space="0" w:color="auto"/>
              <w:right w:val="single" w:sz="4" w:space="0" w:color="auto"/>
            </w:tcBorders>
            <w:shd w:val="clear" w:color="auto" w:fill="auto"/>
            <w:noWrap/>
            <w:vAlign w:val="center"/>
            <w:hideMark/>
          </w:tcPr>
          <w:p w14:paraId="513617E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1.379</w:t>
            </w:r>
          </w:p>
        </w:tc>
        <w:tc>
          <w:tcPr>
            <w:tcW w:w="772" w:type="pct"/>
            <w:tcBorders>
              <w:top w:val="nil"/>
              <w:left w:val="nil"/>
              <w:bottom w:val="single" w:sz="4" w:space="0" w:color="auto"/>
              <w:right w:val="single" w:sz="4" w:space="0" w:color="auto"/>
            </w:tcBorders>
            <w:shd w:val="clear" w:color="auto" w:fill="auto"/>
            <w:noWrap/>
            <w:vAlign w:val="center"/>
            <w:hideMark/>
          </w:tcPr>
          <w:p w14:paraId="233FFF4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582.066.380</w:t>
            </w:r>
          </w:p>
        </w:tc>
        <w:tc>
          <w:tcPr>
            <w:tcW w:w="542" w:type="pct"/>
            <w:tcBorders>
              <w:top w:val="nil"/>
              <w:left w:val="nil"/>
              <w:bottom w:val="single" w:sz="4" w:space="0" w:color="auto"/>
              <w:right w:val="single" w:sz="4" w:space="0" w:color="auto"/>
            </w:tcBorders>
            <w:shd w:val="clear" w:color="auto" w:fill="auto"/>
            <w:noWrap/>
            <w:vAlign w:val="center"/>
            <w:hideMark/>
          </w:tcPr>
          <w:p w14:paraId="6930A15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19,92 %</w:t>
            </w:r>
          </w:p>
        </w:tc>
        <w:tc>
          <w:tcPr>
            <w:tcW w:w="596" w:type="pct"/>
            <w:tcBorders>
              <w:top w:val="nil"/>
              <w:left w:val="nil"/>
              <w:bottom w:val="single" w:sz="4" w:space="0" w:color="auto"/>
              <w:right w:val="single" w:sz="4" w:space="0" w:color="auto"/>
            </w:tcBorders>
            <w:shd w:val="clear" w:color="auto" w:fill="auto"/>
            <w:noWrap/>
            <w:vAlign w:val="center"/>
            <w:hideMark/>
          </w:tcPr>
          <w:p w14:paraId="09A9F44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60,55 %</w:t>
            </w:r>
          </w:p>
        </w:tc>
      </w:tr>
      <w:tr w:rsidR="00F24E18" w:rsidRPr="00D9466E" w14:paraId="2D33680E"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5FAF2643"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48</w:t>
            </w:r>
          </w:p>
        </w:tc>
        <w:tc>
          <w:tcPr>
            <w:tcW w:w="2162" w:type="pct"/>
            <w:tcBorders>
              <w:top w:val="nil"/>
              <w:left w:val="nil"/>
              <w:bottom w:val="single" w:sz="4" w:space="0" w:color="auto"/>
              <w:right w:val="single" w:sz="4" w:space="0" w:color="auto"/>
            </w:tcBorders>
            <w:shd w:val="clear" w:color="auto" w:fill="auto"/>
            <w:noWrap/>
            <w:vAlign w:val="center"/>
            <w:hideMark/>
          </w:tcPr>
          <w:p w14:paraId="5D5BC908"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Programski paketi in informacijski sistemi</w:t>
            </w:r>
          </w:p>
        </w:tc>
        <w:tc>
          <w:tcPr>
            <w:tcW w:w="464" w:type="pct"/>
            <w:tcBorders>
              <w:top w:val="nil"/>
              <w:left w:val="nil"/>
              <w:bottom w:val="single" w:sz="4" w:space="0" w:color="auto"/>
              <w:right w:val="single" w:sz="4" w:space="0" w:color="auto"/>
            </w:tcBorders>
            <w:shd w:val="clear" w:color="auto" w:fill="auto"/>
            <w:noWrap/>
            <w:vAlign w:val="center"/>
            <w:hideMark/>
          </w:tcPr>
          <w:p w14:paraId="253C18F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93</w:t>
            </w:r>
          </w:p>
        </w:tc>
        <w:tc>
          <w:tcPr>
            <w:tcW w:w="772" w:type="pct"/>
            <w:tcBorders>
              <w:top w:val="nil"/>
              <w:left w:val="nil"/>
              <w:bottom w:val="single" w:sz="4" w:space="0" w:color="auto"/>
              <w:right w:val="single" w:sz="4" w:space="0" w:color="auto"/>
            </w:tcBorders>
            <w:shd w:val="clear" w:color="auto" w:fill="auto"/>
            <w:noWrap/>
            <w:vAlign w:val="center"/>
            <w:hideMark/>
          </w:tcPr>
          <w:p w14:paraId="0D9591A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10.752.124</w:t>
            </w:r>
          </w:p>
        </w:tc>
        <w:tc>
          <w:tcPr>
            <w:tcW w:w="542" w:type="pct"/>
            <w:tcBorders>
              <w:top w:val="nil"/>
              <w:left w:val="nil"/>
              <w:bottom w:val="single" w:sz="4" w:space="0" w:color="auto"/>
              <w:right w:val="single" w:sz="4" w:space="0" w:color="auto"/>
            </w:tcBorders>
            <w:shd w:val="clear" w:color="auto" w:fill="auto"/>
            <w:noWrap/>
            <w:vAlign w:val="center"/>
            <w:hideMark/>
          </w:tcPr>
          <w:p w14:paraId="3E01345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1,34 %</w:t>
            </w:r>
          </w:p>
        </w:tc>
        <w:tc>
          <w:tcPr>
            <w:tcW w:w="596" w:type="pct"/>
            <w:tcBorders>
              <w:top w:val="nil"/>
              <w:left w:val="nil"/>
              <w:bottom w:val="single" w:sz="4" w:space="0" w:color="auto"/>
              <w:right w:val="single" w:sz="4" w:space="0" w:color="auto"/>
            </w:tcBorders>
            <w:shd w:val="clear" w:color="auto" w:fill="auto"/>
            <w:noWrap/>
            <w:vAlign w:val="center"/>
            <w:hideMark/>
          </w:tcPr>
          <w:p w14:paraId="4F41DFC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1,12 %</w:t>
            </w:r>
          </w:p>
        </w:tc>
      </w:tr>
      <w:tr w:rsidR="00F24E18" w:rsidRPr="00D9466E" w14:paraId="5948DF27"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282BBDD9"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50</w:t>
            </w:r>
          </w:p>
        </w:tc>
        <w:tc>
          <w:tcPr>
            <w:tcW w:w="2162" w:type="pct"/>
            <w:tcBorders>
              <w:top w:val="nil"/>
              <w:left w:val="nil"/>
              <w:bottom w:val="single" w:sz="4" w:space="0" w:color="auto"/>
              <w:right w:val="single" w:sz="4" w:space="0" w:color="auto"/>
            </w:tcBorders>
            <w:shd w:val="clear" w:color="auto" w:fill="auto"/>
            <w:noWrap/>
            <w:vAlign w:val="center"/>
            <w:hideMark/>
          </w:tcPr>
          <w:p w14:paraId="311F02BA"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popravila in vzdrževanja</w:t>
            </w:r>
          </w:p>
        </w:tc>
        <w:tc>
          <w:tcPr>
            <w:tcW w:w="464" w:type="pct"/>
            <w:tcBorders>
              <w:top w:val="nil"/>
              <w:left w:val="nil"/>
              <w:bottom w:val="single" w:sz="4" w:space="0" w:color="auto"/>
              <w:right w:val="single" w:sz="4" w:space="0" w:color="auto"/>
            </w:tcBorders>
            <w:shd w:val="clear" w:color="auto" w:fill="auto"/>
            <w:noWrap/>
            <w:vAlign w:val="center"/>
            <w:hideMark/>
          </w:tcPr>
          <w:p w14:paraId="0DB86BB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532</w:t>
            </w:r>
          </w:p>
        </w:tc>
        <w:tc>
          <w:tcPr>
            <w:tcW w:w="772" w:type="pct"/>
            <w:tcBorders>
              <w:top w:val="nil"/>
              <w:left w:val="nil"/>
              <w:bottom w:val="single" w:sz="4" w:space="0" w:color="auto"/>
              <w:right w:val="single" w:sz="4" w:space="0" w:color="auto"/>
            </w:tcBorders>
            <w:shd w:val="clear" w:color="auto" w:fill="auto"/>
            <w:noWrap/>
            <w:vAlign w:val="center"/>
            <w:hideMark/>
          </w:tcPr>
          <w:p w14:paraId="7708422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41.514.361</w:t>
            </w:r>
          </w:p>
        </w:tc>
        <w:tc>
          <w:tcPr>
            <w:tcW w:w="542" w:type="pct"/>
            <w:tcBorders>
              <w:top w:val="nil"/>
              <w:left w:val="nil"/>
              <w:bottom w:val="single" w:sz="4" w:space="0" w:color="auto"/>
              <w:right w:val="single" w:sz="4" w:space="0" w:color="auto"/>
            </w:tcBorders>
            <w:shd w:val="clear" w:color="auto" w:fill="auto"/>
            <w:noWrap/>
            <w:vAlign w:val="center"/>
            <w:hideMark/>
          </w:tcPr>
          <w:p w14:paraId="12DE149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7,68 %</w:t>
            </w:r>
          </w:p>
        </w:tc>
        <w:tc>
          <w:tcPr>
            <w:tcW w:w="596" w:type="pct"/>
            <w:tcBorders>
              <w:top w:val="nil"/>
              <w:left w:val="nil"/>
              <w:bottom w:val="single" w:sz="4" w:space="0" w:color="auto"/>
              <w:right w:val="single" w:sz="4" w:space="0" w:color="auto"/>
            </w:tcBorders>
            <w:shd w:val="clear" w:color="auto" w:fill="auto"/>
            <w:noWrap/>
            <w:vAlign w:val="center"/>
            <w:hideMark/>
          </w:tcPr>
          <w:p w14:paraId="6CC83FE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4,32 %</w:t>
            </w:r>
          </w:p>
        </w:tc>
      </w:tr>
      <w:tr w:rsidR="00F24E18" w:rsidRPr="00D9466E" w14:paraId="033D90C2"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5BA5D1C7"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51</w:t>
            </w:r>
          </w:p>
        </w:tc>
        <w:tc>
          <w:tcPr>
            <w:tcW w:w="2162" w:type="pct"/>
            <w:tcBorders>
              <w:top w:val="nil"/>
              <w:left w:val="nil"/>
              <w:bottom w:val="single" w:sz="4" w:space="0" w:color="auto"/>
              <w:right w:val="single" w:sz="4" w:space="0" w:color="auto"/>
            </w:tcBorders>
            <w:shd w:val="clear" w:color="auto" w:fill="auto"/>
            <w:noWrap/>
            <w:vAlign w:val="center"/>
            <w:hideMark/>
          </w:tcPr>
          <w:p w14:paraId="036DADB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inštalacije (razen programske opreme)</w:t>
            </w:r>
          </w:p>
        </w:tc>
        <w:tc>
          <w:tcPr>
            <w:tcW w:w="464" w:type="pct"/>
            <w:tcBorders>
              <w:top w:val="nil"/>
              <w:left w:val="nil"/>
              <w:bottom w:val="single" w:sz="4" w:space="0" w:color="auto"/>
              <w:right w:val="single" w:sz="4" w:space="0" w:color="auto"/>
            </w:tcBorders>
            <w:shd w:val="clear" w:color="auto" w:fill="auto"/>
            <w:noWrap/>
            <w:vAlign w:val="center"/>
            <w:hideMark/>
          </w:tcPr>
          <w:p w14:paraId="21AEFB7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38</w:t>
            </w:r>
          </w:p>
        </w:tc>
        <w:tc>
          <w:tcPr>
            <w:tcW w:w="772" w:type="pct"/>
            <w:tcBorders>
              <w:top w:val="nil"/>
              <w:left w:val="nil"/>
              <w:bottom w:val="single" w:sz="4" w:space="0" w:color="auto"/>
              <w:right w:val="single" w:sz="4" w:space="0" w:color="auto"/>
            </w:tcBorders>
            <w:shd w:val="clear" w:color="auto" w:fill="auto"/>
            <w:noWrap/>
            <w:vAlign w:val="center"/>
            <w:hideMark/>
          </w:tcPr>
          <w:p w14:paraId="50F1A28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4.995.451</w:t>
            </w:r>
          </w:p>
        </w:tc>
        <w:tc>
          <w:tcPr>
            <w:tcW w:w="542" w:type="pct"/>
            <w:tcBorders>
              <w:top w:val="nil"/>
              <w:left w:val="nil"/>
              <w:bottom w:val="single" w:sz="4" w:space="0" w:color="auto"/>
              <w:right w:val="single" w:sz="4" w:space="0" w:color="auto"/>
            </w:tcBorders>
            <w:shd w:val="clear" w:color="auto" w:fill="auto"/>
            <w:noWrap/>
            <w:vAlign w:val="center"/>
            <w:hideMark/>
          </w:tcPr>
          <w:p w14:paraId="60F3F10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0,55 %</w:t>
            </w:r>
          </w:p>
        </w:tc>
        <w:tc>
          <w:tcPr>
            <w:tcW w:w="596" w:type="pct"/>
            <w:tcBorders>
              <w:top w:val="nil"/>
              <w:left w:val="nil"/>
              <w:bottom w:val="single" w:sz="4" w:space="0" w:color="auto"/>
              <w:right w:val="single" w:sz="4" w:space="0" w:color="auto"/>
            </w:tcBorders>
            <w:shd w:val="clear" w:color="auto" w:fill="auto"/>
            <w:noWrap/>
            <w:vAlign w:val="center"/>
            <w:hideMark/>
          </w:tcPr>
          <w:p w14:paraId="09725BE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0,52 %</w:t>
            </w:r>
          </w:p>
        </w:tc>
      </w:tr>
      <w:tr w:rsidR="00F24E18" w:rsidRPr="00D9466E" w14:paraId="14C2347E"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6BE7070A"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55</w:t>
            </w:r>
          </w:p>
        </w:tc>
        <w:tc>
          <w:tcPr>
            <w:tcW w:w="2162" w:type="pct"/>
            <w:tcBorders>
              <w:top w:val="nil"/>
              <w:left w:val="nil"/>
              <w:bottom w:val="single" w:sz="4" w:space="0" w:color="auto"/>
              <w:right w:val="single" w:sz="4" w:space="0" w:color="auto"/>
            </w:tcBorders>
            <w:shd w:val="clear" w:color="auto" w:fill="auto"/>
            <w:noWrap/>
            <w:vAlign w:val="center"/>
            <w:hideMark/>
          </w:tcPr>
          <w:p w14:paraId="1905FD0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hotelov, restavracij in trgovine na drobno</w:t>
            </w:r>
          </w:p>
        </w:tc>
        <w:tc>
          <w:tcPr>
            <w:tcW w:w="464" w:type="pct"/>
            <w:tcBorders>
              <w:top w:val="nil"/>
              <w:left w:val="nil"/>
              <w:bottom w:val="single" w:sz="4" w:space="0" w:color="auto"/>
              <w:right w:val="single" w:sz="4" w:space="0" w:color="auto"/>
            </w:tcBorders>
            <w:shd w:val="clear" w:color="auto" w:fill="auto"/>
            <w:noWrap/>
            <w:vAlign w:val="center"/>
            <w:hideMark/>
          </w:tcPr>
          <w:p w14:paraId="15C9B437"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w:t>
            </w:r>
          </w:p>
        </w:tc>
        <w:tc>
          <w:tcPr>
            <w:tcW w:w="772" w:type="pct"/>
            <w:tcBorders>
              <w:top w:val="nil"/>
              <w:left w:val="nil"/>
              <w:bottom w:val="single" w:sz="4" w:space="0" w:color="auto"/>
              <w:right w:val="single" w:sz="4" w:space="0" w:color="auto"/>
            </w:tcBorders>
            <w:shd w:val="clear" w:color="auto" w:fill="auto"/>
            <w:noWrap/>
            <w:vAlign w:val="center"/>
            <w:hideMark/>
          </w:tcPr>
          <w:p w14:paraId="7613694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737.486</w:t>
            </w:r>
          </w:p>
        </w:tc>
        <w:tc>
          <w:tcPr>
            <w:tcW w:w="542" w:type="pct"/>
            <w:tcBorders>
              <w:top w:val="nil"/>
              <w:left w:val="nil"/>
              <w:bottom w:val="single" w:sz="4" w:space="0" w:color="auto"/>
              <w:right w:val="single" w:sz="4" w:space="0" w:color="auto"/>
            </w:tcBorders>
            <w:shd w:val="clear" w:color="auto" w:fill="auto"/>
            <w:noWrap/>
            <w:vAlign w:val="center"/>
            <w:hideMark/>
          </w:tcPr>
          <w:p w14:paraId="61BBF8E7"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0,06 %</w:t>
            </w:r>
          </w:p>
        </w:tc>
        <w:tc>
          <w:tcPr>
            <w:tcW w:w="596" w:type="pct"/>
            <w:tcBorders>
              <w:top w:val="nil"/>
              <w:left w:val="nil"/>
              <w:bottom w:val="single" w:sz="4" w:space="0" w:color="auto"/>
              <w:right w:val="single" w:sz="4" w:space="0" w:color="auto"/>
            </w:tcBorders>
            <w:shd w:val="clear" w:color="auto" w:fill="auto"/>
            <w:noWrap/>
            <w:vAlign w:val="center"/>
            <w:hideMark/>
          </w:tcPr>
          <w:p w14:paraId="0348A3D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0,08 %</w:t>
            </w:r>
          </w:p>
        </w:tc>
      </w:tr>
      <w:tr w:rsidR="00F24E18" w:rsidRPr="00D9466E" w14:paraId="677B56D3"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796480E4"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60</w:t>
            </w:r>
          </w:p>
        </w:tc>
        <w:tc>
          <w:tcPr>
            <w:tcW w:w="2162" w:type="pct"/>
            <w:tcBorders>
              <w:top w:val="nil"/>
              <w:left w:val="nil"/>
              <w:bottom w:val="single" w:sz="4" w:space="0" w:color="auto"/>
              <w:right w:val="single" w:sz="4" w:space="0" w:color="auto"/>
            </w:tcBorders>
            <w:shd w:val="clear" w:color="auto" w:fill="auto"/>
            <w:noWrap/>
            <w:vAlign w:val="center"/>
            <w:hideMark/>
          </w:tcPr>
          <w:p w14:paraId="1FB1A7BC"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Prevozne storitve (razen prevoza odpadkov)</w:t>
            </w:r>
          </w:p>
        </w:tc>
        <w:tc>
          <w:tcPr>
            <w:tcW w:w="464" w:type="pct"/>
            <w:tcBorders>
              <w:top w:val="nil"/>
              <w:left w:val="nil"/>
              <w:bottom w:val="single" w:sz="4" w:space="0" w:color="auto"/>
              <w:right w:val="single" w:sz="4" w:space="0" w:color="auto"/>
            </w:tcBorders>
            <w:shd w:val="clear" w:color="auto" w:fill="auto"/>
            <w:noWrap/>
            <w:vAlign w:val="center"/>
            <w:hideMark/>
          </w:tcPr>
          <w:p w14:paraId="7D7CA957"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153</w:t>
            </w:r>
          </w:p>
        </w:tc>
        <w:tc>
          <w:tcPr>
            <w:tcW w:w="772" w:type="pct"/>
            <w:tcBorders>
              <w:top w:val="nil"/>
              <w:left w:val="nil"/>
              <w:bottom w:val="single" w:sz="4" w:space="0" w:color="auto"/>
              <w:right w:val="single" w:sz="4" w:space="0" w:color="auto"/>
            </w:tcBorders>
            <w:shd w:val="clear" w:color="auto" w:fill="auto"/>
            <w:noWrap/>
            <w:vAlign w:val="center"/>
            <w:hideMark/>
          </w:tcPr>
          <w:p w14:paraId="32796AD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10.505.067</w:t>
            </w:r>
          </w:p>
        </w:tc>
        <w:tc>
          <w:tcPr>
            <w:tcW w:w="542" w:type="pct"/>
            <w:tcBorders>
              <w:top w:val="nil"/>
              <w:left w:val="nil"/>
              <w:bottom w:val="single" w:sz="4" w:space="0" w:color="auto"/>
              <w:right w:val="single" w:sz="4" w:space="0" w:color="auto"/>
            </w:tcBorders>
            <w:shd w:val="clear" w:color="auto" w:fill="auto"/>
            <w:noWrap/>
            <w:vAlign w:val="center"/>
            <w:hideMark/>
          </w:tcPr>
          <w:p w14:paraId="770473D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2,21 %</w:t>
            </w:r>
          </w:p>
        </w:tc>
        <w:tc>
          <w:tcPr>
            <w:tcW w:w="596" w:type="pct"/>
            <w:tcBorders>
              <w:top w:val="nil"/>
              <w:left w:val="nil"/>
              <w:bottom w:val="single" w:sz="4" w:space="0" w:color="auto"/>
              <w:right w:val="single" w:sz="4" w:space="0" w:color="auto"/>
            </w:tcBorders>
            <w:shd w:val="clear" w:color="auto" w:fill="auto"/>
            <w:noWrap/>
            <w:vAlign w:val="center"/>
            <w:hideMark/>
          </w:tcPr>
          <w:p w14:paraId="00DE33F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1,09 %</w:t>
            </w:r>
          </w:p>
        </w:tc>
      </w:tr>
      <w:tr w:rsidR="00F24E18" w:rsidRPr="00D9466E" w14:paraId="125FEB26"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1BED84A"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63</w:t>
            </w:r>
          </w:p>
        </w:tc>
        <w:tc>
          <w:tcPr>
            <w:tcW w:w="2162" w:type="pct"/>
            <w:tcBorders>
              <w:top w:val="nil"/>
              <w:left w:val="nil"/>
              <w:bottom w:val="single" w:sz="4" w:space="0" w:color="auto"/>
              <w:right w:val="single" w:sz="4" w:space="0" w:color="auto"/>
            </w:tcBorders>
            <w:shd w:val="clear" w:color="auto" w:fill="auto"/>
            <w:noWrap/>
            <w:vAlign w:val="center"/>
            <w:hideMark/>
          </w:tcPr>
          <w:p w14:paraId="117C4296"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Podporne in pomožne prevozne storitve; storitve potovalnih agencij</w:t>
            </w:r>
          </w:p>
        </w:tc>
        <w:tc>
          <w:tcPr>
            <w:tcW w:w="464" w:type="pct"/>
            <w:tcBorders>
              <w:top w:val="nil"/>
              <w:left w:val="nil"/>
              <w:bottom w:val="single" w:sz="4" w:space="0" w:color="auto"/>
              <w:right w:val="single" w:sz="4" w:space="0" w:color="auto"/>
            </w:tcBorders>
            <w:shd w:val="clear" w:color="auto" w:fill="auto"/>
            <w:noWrap/>
            <w:vAlign w:val="center"/>
            <w:hideMark/>
          </w:tcPr>
          <w:p w14:paraId="671334B5"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12</w:t>
            </w:r>
          </w:p>
        </w:tc>
        <w:tc>
          <w:tcPr>
            <w:tcW w:w="772" w:type="pct"/>
            <w:tcBorders>
              <w:top w:val="nil"/>
              <w:left w:val="nil"/>
              <w:bottom w:val="single" w:sz="4" w:space="0" w:color="auto"/>
              <w:right w:val="single" w:sz="4" w:space="0" w:color="auto"/>
            </w:tcBorders>
            <w:shd w:val="clear" w:color="auto" w:fill="auto"/>
            <w:noWrap/>
            <w:vAlign w:val="center"/>
            <w:hideMark/>
          </w:tcPr>
          <w:p w14:paraId="66D9E7C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1.535.764</w:t>
            </w:r>
          </w:p>
        </w:tc>
        <w:tc>
          <w:tcPr>
            <w:tcW w:w="542" w:type="pct"/>
            <w:tcBorders>
              <w:top w:val="nil"/>
              <w:left w:val="nil"/>
              <w:bottom w:val="single" w:sz="4" w:space="0" w:color="auto"/>
              <w:right w:val="single" w:sz="4" w:space="0" w:color="auto"/>
            </w:tcBorders>
            <w:shd w:val="clear" w:color="auto" w:fill="auto"/>
            <w:noWrap/>
            <w:vAlign w:val="center"/>
            <w:hideMark/>
          </w:tcPr>
          <w:p w14:paraId="509DD04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0,17 %</w:t>
            </w:r>
          </w:p>
        </w:tc>
        <w:tc>
          <w:tcPr>
            <w:tcW w:w="596" w:type="pct"/>
            <w:tcBorders>
              <w:top w:val="nil"/>
              <w:left w:val="nil"/>
              <w:bottom w:val="single" w:sz="4" w:space="0" w:color="auto"/>
              <w:right w:val="single" w:sz="4" w:space="0" w:color="auto"/>
            </w:tcBorders>
            <w:shd w:val="clear" w:color="auto" w:fill="auto"/>
            <w:noWrap/>
            <w:vAlign w:val="center"/>
            <w:hideMark/>
          </w:tcPr>
          <w:p w14:paraId="514D0259"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0,16 %</w:t>
            </w:r>
          </w:p>
        </w:tc>
      </w:tr>
      <w:tr w:rsidR="00F24E18" w:rsidRPr="00D9466E" w14:paraId="66DDBF03"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4CCC9F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64</w:t>
            </w:r>
          </w:p>
        </w:tc>
        <w:tc>
          <w:tcPr>
            <w:tcW w:w="2162" w:type="pct"/>
            <w:tcBorders>
              <w:top w:val="nil"/>
              <w:left w:val="nil"/>
              <w:bottom w:val="single" w:sz="4" w:space="0" w:color="auto"/>
              <w:right w:val="single" w:sz="4" w:space="0" w:color="auto"/>
            </w:tcBorders>
            <w:shd w:val="clear" w:color="auto" w:fill="auto"/>
            <w:noWrap/>
            <w:vAlign w:val="center"/>
            <w:hideMark/>
          </w:tcPr>
          <w:p w14:paraId="3F6D4600"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Poštne in telekomunikacijske storitve</w:t>
            </w:r>
          </w:p>
        </w:tc>
        <w:tc>
          <w:tcPr>
            <w:tcW w:w="464" w:type="pct"/>
            <w:tcBorders>
              <w:top w:val="nil"/>
              <w:left w:val="nil"/>
              <w:bottom w:val="single" w:sz="4" w:space="0" w:color="auto"/>
              <w:right w:val="single" w:sz="4" w:space="0" w:color="auto"/>
            </w:tcBorders>
            <w:shd w:val="clear" w:color="auto" w:fill="auto"/>
            <w:noWrap/>
            <w:vAlign w:val="center"/>
            <w:hideMark/>
          </w:tcPr>
          <w:p w14:paraId="5E23411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15</w:t>
            </w:r>
          </w:p>
        </w:tc>
        <w:tc>
          <w:tcPr>
            <w:tcW w:w="772" w:type="pct"/>
            <w:tcBorders>
              <w:top w:val="nil"/>
              <w:left w:val="nil"/>
              <w:bottom w:val="single" w:sz="4" w:space="0" w:color="auto"/>
              <w:right w:val="single" w:sz="4" w:space="0" w:color="auto"/>
            </w:tcBorders>
            <w:shd w:val="clear" w:color="auto" w:fill="auto"/>
            <w:noWrap/>
            <w:vAlign w:val="center"/>
            <w:hideMark/>
          </w:tcPr>
          <w:p w14:paraId="0985206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1.949.924</w:t>
            </w:r>
          </w:p>
        </w:tc>
        <w:tc>
          <w:tcPr>
            <w:tcW w:w="542" w:type="pct"/>
            <w:tcBorders>
              <w:top w:val="nil"/>
              <w:left w:val="nil"/>
              <w:bottom w:val="single" w:sz="4" w:space="0" w:color="auto"/>
              <w:right w:val="single" w:sz="4" w:space="0" w:color="auto"/>
            </w:tcBorders>
            <w:shd w:val="clear" w:color="auto" w:fill="auto"/>
            <w:noWrap/>
            <w:vAlign w:val="center"/>
            <w:hideMark/>
          </w:tcPr>
          <w:p w14:paraId="5339758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0,22 %</w:t>
            </w:r>
          </w:p>
        </w:tc>
        <w:tc>
          <w:tcPr>
            <w:tcW w:w="596" w:type="pct"/>
            <w:tcBorders>
              <w:top w:val="nil"/>
              <w:left w:val="nil"/>
              <w:bottom w:val="single" w:sz="4" w:space="0" w:color="auto"/>
              <w:right w:val="single" w:sz="4" w:space="0" w:color="auto"/>
            </w:tcBorders>
            <w:shd w:val="clear" w:color="auto" w:fill="auto"/>
            <w:noWrap/>
            <w:vAlign w:val="center"/>
            <w:hideMark/>
          </w:tcPr>
          <w:p w14:paraId="5E5E688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0,20 %</w:t>
            </w:r>
          </w:p>
        </w:tc>
      </w:tr>
      <w:tr w:rsidR="00F24E18" w:rsidRPr="00D9466E" w14:paraId="6A4B0DC2"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63F5D577"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65</w:t>
            </w:r>
          </w:p>
        </w:tc>
        <w:tc>
          <w:tcPr>
            <w:tcW w:w="2162" w:type="pct"/>
            <w:tcBorders>
              <w:top w:val="nil"/>
              <w:left w:val="nil"/>
              <w:bottom w:val="single" w:sz="4" w:space="0" w:color="auto"/>
              <w:right w:val="single" w:sz="4" w:space="0" w:color="auto"/>
            </w:tcBorders>
            <w:shd w:val="clear" w:color="auto" w:fill="auto"/>
            <w:noWrap/>
            <w:vAlign w:val="center"/>
            <w:hideMark/>
          </w:tcPr>
          <w:p w14:paraId="690B2E57"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Gospodarske javne službe</w:t>
            </w:r>
          </w:p>
        </w:tc>
        <w:tc>
          <w:tcPr>
            <w:tcW w:w="464" w:type="pct"/>
            <w:tcBorders>
              <w:top w:val="nil"/>
              <w:left w:val="nil"/>
              <w:bottom w:val="single" w:sz="4" w:space="0" w:color="auto"/>
              <w:right w:val="single" w:sz="4" w:space="0" w:color="auto"/>
            </w:tcBorders>
            <w:shd w:val="clear" w:color="auto" w:fill="auto"/>
            <w:noWrap/>
            <w:vAlign w:val="center"/>
            <w:hideMark/>
          </w:tcPr>
          <w:p w14:paraId="6CFD9FF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18</w:t>
            </w:r>
          </w:p>
        </w:tc>
        <w:tc>
          <w:tcPr>
            <w:tcW w:w="772" w:type="pct"/>
            <w:tcBorders>
              <w:top w:val="nil"/>
              <w:left w:val="nil"/>
              <w:bottom w:val="single" w:sz="4" w:space="0" w:color="auto"/>
              <w:right w:val="single" w:sz="4" w:space="0" w:color="auto"/>
            </w:tcBorders>
            <w:shd w:val="clear" w:color="auto" w:fill="auto"/>
            <w:noWrap/>
            <w:vAlign w:val="center"/>
            <w:hideMark/>
          </w:tcPr>
          <w:p w14:paraId="58EE90D5"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1.950.257</w:t>
            </w:r>
          </w:p>
        </w:tc>
        <w:tc>
          <w:tcPr>
            <w:tcW w:w="542" w:type="pct"/>
            <w:tcBorders>
              <w:top w:val="nil"/>
              <w:left w:val="nil"/>
              <w:bottom w:val="single" w:sz="4" w:space="0" w:color="auto"/>
              <w:right w:val="single" w:sz="4" w:space="0" w:color="auto"/>
            </w:tcBorders>
            <w:shd w:val="clear" w:color="auto" w:fill="auto"/>
            <w:noWrap/>
            <w:vAlign w:val="center"/>
            <w:hideMark/>
          </w:tcPr>
          <w:p w14:paraId="53372DF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0,26 %</w:t>
            </w:r>
          </w:p>
        </w:tc>
        <w:tc>
          <w:tcPr>
            <w:tcW w:w="596" w:type="pct"/>
            <w:tcBorders>
              <w:top w:val="nil"/>
              <w:left w:val="nil"/>
              <w:bottom w:val="single" w:sz="4" w:space="0" w:color="auto"/>
              <w:right w:val="single" w:sz="4" w:space="0" w:color="auto"/>
            </w:tcBorders>
            <w:shd w:val="clear" w:color="auto" w:fill="auto"/>
            <w:noWrap/>
            <w:vAlign w:val="center"/>
            <w:hideMark/>
          </w:tcPr>
          <w:p w14:paraId="06EA6C5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0,20 %</w:t>
            </w:r>
          </w:p>
        </w:tc>
      </w:tr>
      <w:tr w:rsidR="00F24E18" w:rsidRPr="00D9466E" w14:paraId="095A85E9"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5C5BC89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66</w:t>
            </w:r>
          </w:p>
        </w:tc>
        <w:tc>
          <w:tcPr>
            <w:tcW w:w="2162" w:type="pct"/>
            <w:tcBorders>
              <w:top w:val="nil"/>
              <w:left w:val="nil"/>
              <w:bottom w:val="single" w:sz="4" w:space="0" w:color="auto"/>
              <w:right w:val="single" w:sz="4" w:space="0" w:color="auto"/>
            </w:tcBorders>
            <w:shd w:val="clear" w:color="auto" w:fill="auto"/>
            <w:noWrap/>
            <w:vAlign w:val="center"/>
            <w:hideMark/>
          </w:tcPr>
          <w:p w14:paraId="482BC92F"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Finančne in zavarovalniške storitve</w:t>
            </w:r>
          </w:p>
        </w:tc>
        <w:tc>
          <w:tcPr>
            <w:tcW w:w="464" w:type="pct"/>
            <w:tcBorders>
              <w:top w:val="nil"/>
              <w:left w:val="nil"/>
              <w:bottom w:val="single" w:sz="4" w:space="0" w:color="auto"/>
              <w:right w:val="single" w:sz="4" w:space="0" w:color="auto"/>
            </w:tcBorders>
            <w:shd w:val="clear" w:color="auto" w:fill="auto"/>
            <w:noWrap/>
            <w:vAlign w:val="center"/>
            <w:hideMark/>
          </w:tcPr>
          <w:p w14:paraId="52D1F8F9"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54</w:t>
            </w:r>
          </w:p>
        </w:tc>
        <w:tc>
          <w:tcPr>
            <w:tcW w:w="772" w:type="pct"/>
            <w:tcBorders>
              <w:top w:val="nil"/>
              <w:left w:val="nil"/>
              <w:bottom w:val="single" w:sz="4" w:space="0" w:color="auto"/>
              <w:right w:val="single" w:sz="4" w:space="0" w:color="auto"/>
            </w:tcBorders>
            <w:shd w:val="clear" w:color="auto" w:fill="auto"/>
            <w:noWrap/>
            <w:vAlign w:val="center"/>
            <w:hideMark/>
          </w:tcPr>
          <w:p w14:paraId="5C494DA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5.235.899</w:t>
            </w:r>
          </w:p>
        </w:tc>
        <w:tc>
          <w:tcPr>
            <w:tcW w:w="542" w:type="pct"/>
            <w:tcBorders>
              <w:top w:val="nil"/>
              <w:left w:val="nil"/>
              <w:bottom w:val="single" w:sz="4" w:space="0" w:color="auto"/>
              <w:right w:val="single" w:sz="4" w:space="0" w:color="auto"/>
            </w:tcBorders>
            <w:shd w:val="clear" w:color="auto" w:fill="auto"/>
            <w:noWrap/>
            <w:vAlign w:val="center"/>
            <w:hideMark/>
          </w:tcPr>
          <w:p w14:paraId="03361BA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0,78 %</w:t>
            </w:r>
          </w:p>
        </w:tc>
        <w:tc>
          <w:tcPr>
            <w:tcW w:w="596" w:type="pct"/>
            <w:tcBorders>
              <w:top w:val="nil"/>
              <w:left w:val="nil"/>
              <w:bottom w:val="single" w:sz="4" w:space="0" w:color="auto"/>
              <w:right w:val="single" w:sz="4" w:space="0" w:color="auto"/>
            </w:tcBorders>
            <w:shd w:val="clear" w:color="auto" w:fill="auto"/>
            <w:noWrap/>
            <w:vAlign w:val="center"/>
            <w:hideMark/>
          </w:tcPr>
          <w:p w14:paraId="4DCE95E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0,54 %</w:t>
            </w:r>
          </w:p>
        </w:tc>
      </w:tr>
      <w:tr w:rsidR="00F24E18" w:rsidRPr="00D9466E" w14:paraId="5C0A0FEE"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70CFF9D5"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lastRenderedPageBreak/>
              <w:t>70</w:t>
            </w:r>
          </w:p>
        </w:tc>
        <w:tc>
          <w:tcPr>
            <w:tcW w:w="2162" w:type="pct"/>
            <w:tcBorders>
              <w:top w:val="nil"/>
              <w:left w:val="nil"/>
              <w:bottom w:val="single" w:sz="4" w:space="0" w:color="auto"/>
              <w:right w:val="single" w:sz="4" w:space="0" w:color="auto"/>
            </w:tcBorders>
            <w:shd w:val="clear" w:color="auto" w:fill="auto"/>
            <w:noWrap/>
            <w:vAlign w:val="center"/>
            <w:hideMark/>
          </w:tcPr>
          <w:p w14:paraId="75B05770"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poslovanja z nepremičninami</w:t>
            </w:r>
          </w:p>
        </w:tc>
        <w:tc>
          <w:tcPr>
            <w:tcW w:w="464" w:type="pct"/>
            <w:tcBorders>
              <w:top w:val="nil"/>
              <w:left w:val="nil"/>
              <w:bottom w:val="single" w:sz="4" w:space="0" w:color="auto"/>
              <w:right w:val="single" w:sz="4" w:space="0" w:color="auto"/>
            </w:tcBorders>
            <w:shd w:val="clear" w:color="auto" w:fill="auto"/>
            <w:noWrap/>
            <w:vAlign w:val="center"/>
            <w:hideMark/>
          </w:tcPr>
          <w:p w14:paraId="091755A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11</w:t>
            </w:r>
          </w:p>
        </w:tc>
        <w:tc>
          <w:tcPr>
            <w:tcW w:w="772" w:type="pct"/>
            <w:tcBorders>
              <w:top w:val="nil"/>
              <w:left w:val="nil"/>
              <w:bottom w:val="single" w:sz="4" w:space="0" w:color="auto"/>
              <w:right w:val="single" w:sz="4" w:space="0" w:color="auto"/>
            </w:tcBorders>
            <w:shd w:val="clear" w:color="auto" w:fill="auto"/>
            <w:noWrap/>
            <w:vAlign w:val="center"/>
            <w:hideMark/>
          </w:tcPr>
          <w:p w14:paraId="5F3DCC25"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902.394</w:t>
            </w:r>
          </w:p>
        </w:tc>
        <w:tc>
          <w:tcPr>
            <w:tcW w:w="542" w:type="pct"/>
            <w:tcBorders>
              <w:top w:val="nil"/>
              <w:left w:val="nil"/>
              <w:bottom w:val="single" w:sz="4" w:space="0" w:color="auto"/>
              <w:right w:val="single" w:sz="4" w:space="0" w:color="auto"/>
            </w:tcBorders>
            <w:shd w:val="clear" w:color="auto" w:fill="auto"/>
            <w:noWrap/>
            <w:vAlign w:val="center"/>
            <w:hideMark/>
          </w:tcPr>
          <w:p w14:paraId="60CD978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0,16 %</w:t>
            </w:r>
          </w:p>
        </w:tc>
        <w:tc>
          <w:tcPr>
            <w:tcW w:w="596" w:type="pct"/>
            <w:tcBorders>
              <w:top w:val="nil"/>
              <w:left w:val="nil"/>
              <w:bottom w:val="single" w:sz="4" w:space="0" w:color="auto"/>
              <w:right w:val="single" w:sz="4" w:space="0" w:color="auto"/>
            </w:tcBorders>
            <w:shd w:val="clear" w:color="auto" w:fill="auto"/>
            <w:noWrap/>
            <w:vAlign w:val="center"/>
            <w:hideMark/>
          </w:tcPr>
          <w:p w14:paraId="4A3B326B"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0,09 %</w:t>
            </w:r>
          </w:p>
        </w:tc>
      </w:tr>
      <w:tr w:rsidR="00F24E18" w:rsidRPr="00D9466E" w14:paraId="1D544DFA"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9120E3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71</w:t>
            </w:r>
          </w:p>
        </w:tc>
        <w:tc>
          <w:tcPr>
            <w:tcW w:w="2162" w:type="pct"/>
            <w:tcBorders>
              <w:top w:val="nil"/>
              <w:left w:val="nil"/>
              <w:bottom w:val="single" w:sz="4" w:space="0" w:color="auto"/>
              <w:right w:val="single" w:sz="4" w:space="0" w:color="auto"/>
            </w:tcBorders>
            <w:shd w:val="clear" w:color="auto" w:fill="auto"/>
            <w:noWrap/>
            <w:vAlign w:val="center"/>
            <w:hideMark/>
          </w:tcPr>
          <w:p w14:paraId="14B8AF13"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Arhitekturne, gradbeniške, inženirske in inšpekcijske storitve</w:t>
            </w:r>
          </w:p>
        </w:tc>
        <w:tc>
          <w:tcPr>
            <w:tcW w:w="464" w:type="pct"/>
            <w:tcBorders>
              <w:top w:val="nil"/>
              <w:left w:val="nil"/>
              <w:bottom w:val="single" w:sz="4" w:space="0" w:color="auto"/>
              <w:right w:val="single" w:sz="4" w:space="0" w:color="auto"/>
            </w:tcBorders>
            <w:shd w:val="clear" w:color="auto" w:fill="auto"/>
            <w:noWrap/>
            <w:vAlign w:val="center"/>
            <w:hideMark/>
          </w:tcPr>
          <w:p w14:paraId="0C2123E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283</w:t>
            </w:r>
          </w:p>
        </w:tc>
        <w:tc>
          <w:tcPr>
            <w:tcW w:w="772" w:type="pct"/>
            <w:tcBorders>
              <w:top w:val="nil"/>
              <w:left w:val="nil"/>
              <w:bottom w:val="single" w:sz="4" w:space="0" w:color="auto"/>
              <w:right w:val="single" w:sz="4" w:space="0" w:color="auto"/>
            </w:tcBorders>
            <w:shd w:val="clear" w:color="auto" w:fill="auto"/>
            <w:noWrap/>
            <w:vAlign w:val="center"/>
            <w:hideMark/>
          </w:tcPr>
          <w:p w14:paraId="6E6A162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21.136.947</w:t>
            </w:r>
          </w:p>
        </w:tc>
        <w:tc>
          <w:tcPr>
            <w:tcW w:w="542" w:type="pct"/>
            <w:tcBorders>
              <w:top w:val="nil"/>
              <w:left w:val="nil"/>
              <w:bottom w:val="single" w:sz="4" w:space="0" w:color="auto"/>
              <w:right w:val="single" w:sz="4" w:space="0" w:color="auto"/>
            </w:tcBorders>
            <w:shd w:val="clear" w:color="auto" w:fill="auto"/>
            <w:noWrap/>
            <w:vAlign w:val="center"/>
            <w:hideMark/>
          </w:tcPr>
          <w:p w14:paraId="76E09E79"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4,09 %</w:t>
            </w:r>
          </w:p>
        </w:tc>
        <w:tc>
          <w:tcPr>
            <w:tcW w:w="596" w:type="pct"/>
            <w:tcBorders>
              <w:top w:val="nil"/>
              <w:left w:val="nil"/>
              <w:bottom w:val="single" w:sz="4" w:space="0" w:color="auto"/>
              <w:right w:val="single" w:sz="4" w:space="0" w:color="auto"/>
            </w:tcBorders>
            <w:shd w:val="clear" w:color="auto" w:fill="auto"/>
            <w:noWrap/>
            <w:vAlign w:val="center"/>
            <w:hideMark/>
          </w:tcPr>
          <w:p w14:paraId="222C6CB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2,20 %</w:t>
            </w:r>
          </w:p>
        </w:tc>
      </w:tr>
      <w:tr w:rsidR="00F24E18" w:rsidRPr="00D9466E" w14:paraId="30B58B05"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464035F4"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72</w:t>
            </w:r>
          </w:p>
        </w:tc>
        <w:tc>
          <w:tcPr>
            <w:tcW w:w="2162" w:type="pct"/>
            <w:tcBorders>
              <w:top w:val="nil"/>
              <w:left w:val="nil"/>
              <w:bottom w:val="single" w:sz="4" w:space="0" w:color="auto"/>
              <w:right w:val="single" w:sz="4" w:space="0" w:color="auto"/>
            </w:tcBorders>
            <w:shd w:val="clear" w:color="auto" w:fill="auto"/>
            <w:noWrap/>
            <w:vAlign w:val="center"/>
            <w:hideMark/>
          </w:tcPr>
          <w:p w14:paraId="2862AC15"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informacijske tehnologije: svetovanje, razvoj programske opreme, internet in podpora</w:t>
            </w:r>
          </w:p>
        </w:tc>
        <w:tc>
          <w:tcPr>
            <w:tcW w:w="464" w:type="pct"/>
            <w:tcBorders>
              <w:top w:val="nil"/>
              <w:left w:val="nil"/>
              <w:bottom w:val="single" w:sz="4" w:space="0" w:color="auto"/>
              <w:right w:val="single" w:sz="4" w:space="0" w:color="auto"/>
            </w:tcBorders>
            <w:shd w:val="clear" w:color="auto" w:fill="auto"/>
            <w:noWrap/>
            <w:vAlign w:val="center"/>
            <w:hideMark/>
          </w:tcPr>
          <w:p w14:paraId="6C705E5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249</w:t>
            </w:r>
          </w:p>
        </w:tc>
        <w:tc>
          <w:tcPr>
            <w:tcW w:w="772" w:type="pct"/>
            <w:tcBorders>
              <w:top w:val="nil"/>
              <w:left w:val="nil"/>
              <w:bottom w:val="single" w:sz="4" w:space="0" w:color="auto"/>
              <w:right w:val="single" w:sz="4" w:space="0" w:color="auto"/>
            </w:tcBorders>
            <w:shd w:val="clear" w:color="auto" w:fill="auto"/>
            <w:noWrap/>
            <w:vAlign w:val="center"/>
            <w:hideMark/>
          </w:tcPr>
          <w:p w14:paraId="2DDF4E93"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25.782.536</w:t>
            </w:r>
          </w:p>
        </w:tc>
        <w:tc>
          <w:tcPr>
            <w:tcW w:w="542" w:type="pct"/>
            <w:tcBorders>
              <w:top w:val="nil"/>
              <w:left w:val="nil"/>
              <w:bottom w:val="single" w:sz="4" w:space="0" w:color="auto"/>
              <w:right w:val="single" w:sz="4" w:space="0" w:color="auto"/>
            </w:tcBorders>
            <w:shd w:val="clear" w:color="auto" w:fill="auto"/>
            <w:noWrap/>
            <w:vAlign w:val="center"/>
            <w:hideMark/>
          </w:tcPr>
          <w:p w14:paraId="6AD62EB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3,60 %</w:t>
            </w:r>
          </w:p>
        </w:tc>
        <w:tc>
          <w:tcPr>
            <w:tcW w:w="596" w:type="pct"/>
            <w:tcBorders>
              <w:top w:val="nil"/>
              <w:left w:val="nil"/>
              <w:bottom w:val="single" w:sz="4" w:space="0" w:color="auto"/>
              <w:right w:val="single" w:sz="4" w:space="0" w:color="auto"/>
            </w:tcBorders>
            <w:shd w:val="clear" w:color="auto" w:fill="auto"/>
            <w:noWrap/>
            <w:vAlign w:val="center"/>
            <w:hideMark/>
          </w:tcPr>
          <w:p w14:paraId="35CA65F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2,68 %</w:t>
            </w:r>
          </w:p>
        </w:tc>
      </w:tr>
      <w:tr w:rsidR="00F24E18" w:rsidRPr="00D9466E" w14:paraId="2DD2CF7F"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3FA308B2"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73</w:t>
            </w:r>
          </w:p>
        </w:tc>
        <w:tc>
          <w:tcPr>
            <w:tcW w:w="2162" w:type="pct"/>
            <w:tcBorders>
              <w:top w:val="nil"/>
              <w:left w:val="nil"/>
              <w:bottom w:val="single" w:sz="4" w:space="0" w:color="auto"/>
              <w:right w:val="single" w:sz="4" w:space="0" w:color="auto"/>
            </w:tcBorders>
            <w:shd w:val="clear" w:color="auto" w:fill="auto"/>
            <w:noWrap/>
            <w:vAlign w:val="center"/>
            <w:hideMark/>
          </w:tcPr>
          <w:p w14:paraId="6C91723F"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na področju raziskav in razvoja ter s tem povezane svetovalne storitve</w:t>
            </w:r>
          </w:p>
        </w:tc>
        <w:tc>
          <w:tcPr>
            <w:tcW w:w="464" w:type="pct"/>
            <w:tcBorders>
              <w:top w:val="nil"/>
              <w:left w:val="nil"/>
              <w:bottom w:val="single" w:sz="4" w:space="0" w:color="auto"/>
              <w:right w:val="single" w:sz="4" w:space="0" w:color="auto"/>
            </w:tcBorders>
            <w:shd w:val="clear" w:color="auto" w:fill="auto"/>
            <w:noWrap/>
            <w:vAlign w:val="center"/>
            <w:hideMark/>
          </w:tcPr>
          <w:p w14:paraId="22D8D61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48</w:t>
            </w:r>
          </w:p>
        </w:tc>
        <w:tc>
          <w:tcPr>
            <w:tcW w:w="772" w:type="pct"/>
            <w:tcBorders>
              <w:top w:val="nil"/>
              <w:left w:val="nil"/>
              <w:bottom w:val="single" w:sz="4" w:space="0" w:color="auto"/>
              <w:right w:val="single" w:sz="4" w:space="0" w:color="auto"/>
            </w:tcBorders>
            <w:shd w:val="clear" w:color="auto" w:fill="auto"/>
            <w:noWrap/>
            <w:vAlign w:val="center"/>
            <w:hideMark/>
          </w:tcPr>
          <w:p w14:paraId="73993BB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4.693.414</w:t>
            </w:r>
          </w:p>
        </w:tc>
        <w:tc>
          <w:tcPr>
            <w:tcW w:w="542" w:type="pct"/>
            <w:tcBorders>
              <w:top w:val="nil"/>
              <w:left w:val="nil"/>
              <w:bottom w:val="single" w:sz="4" w:space="0" w:color="auto"/>
              <w:right w:val="single" w:sz="4" w:space="0" w:color="auto"/>
            </w:tcBorders>
            <w:shd w:val="clear" w:color="auto" w:fill="auto"/>
            <w:noWrap/>
            <w:vAlign w:val="center"/>
            <w:hideMark/>
          </w:tcPr>
          <w:p w14:paraId="5893D64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0,69 %</w:t>
            </w:r>
          </w:p>
        </w:tc>
        <w:tc>
          <w:tcPr>
            <w:tcW w:w="596" w:type="pct"/>
            <w:tcBorders>
              <w:top w:val="nil"/>
              <w:left w:val="nil"/>
              <w:bottom w:val="single" w:sz="4" w:space="0" w:color="auto"/>
              <w:right w:val="single" w:sz="4" w:space="0" w:color="auto"/>
            </w:tcBorders>
            <w:shd w:val="clear" w:color="auto" w:fill="auto"/>
            <w:noWrap/>
            <w:vAlign w:val="center"/>
            <w:hideMark/>
          </w:tcPr>
          <w:p w14:paraId="3A8F7D9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0,49 %</w:t>
            </w:r>
          </w:p>
        </w:tc>
      </w:tr>
      <w:tr w:rsidR="00F24E18" w:rsidRPr="00D9466E" w14:paraId="762165E2"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B6EFE5A"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75</w:t>
            </w:r>
          </w:p>
        </w:tc>
        <w:tc>
          <w:tcPr>
            <w:tcW w:w="2162" w:type="pct"/>
            <w:tcBorders>
              <w:top w:val="nil"/>
              <w:left w:val="nil"/>
              <w:bottom w:val="single" w:sz="4" w:space="0" w:color="auto"/>
              <w:right w:val="single" w:sz="4" w:space="0" w:color="auto"/>
            </w:tcBorders>
            <w:shd w:val="clear" w:color="auto" w:fill="auto"/>
            <w:noWrap/>
            <w:vAlign w:val="center"/>
            <w:hideMark/>
          </w:tcPr>
          <w:p w14:paraId="3C20738D"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uprave, obrambe in socialnega zavarovanja</w:t>
            </w:r>
          </w:p>
        </w:tc>
        <w:tc>
          <w:tcPr>
            <w:tcW w:w="464" w:type="pct"/>
            <w:tcBorders>
              <w:top w:val="nil"/>
              <w:left w:val="nil"/>
              <w:bottom w:val="single" w:sz="4" w:space="0" w:color="auto"/>
              <w:right w:val="single" w:sz="4" w:space="0" w:color="auto"/>
            </w:tcBorders>
            <w:shd w:val="clear" w:color="auto" w:fill="auto"/>
            <w:noWrap/>
            <w:vAlign w:val="center"/>
            <w:hideMark/>
          </w:tcPr>
          <w:p w14:paraId="43FDAC2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w:t>
            </w:r>
          </w:p>
        </w:tc>
        <w:tc>
          <w:tcPr>
            <w:tcW w:w="772" w:type="pct"/>
            <w:tcBorders>
              <w:top w:val="nil"/>
              <w:left w:val="nil"/>
              <w:bottom w:val="single" w:sz="4" w:space="0" w:color="auto"/>
              <w:right w:val="single" w:sz="4" w:space="0" w:color="auto"/>
            </w:tcBorders>
            <w:shd w:val="clear" w:color="auto" w:fill="auto"/>
            <w:noWrap/>
            <w:vAlign w:val="center"/>
            <w:hideMark/>
          </w:tcPr>
          <w:p w14:paraId="75C3573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487.512</w:t>
            </w:r>
          </w:p>
        </w:tc>
        <w:tc>
          <w:tcPr>
            <w:tcW w:w="542" w:type="pct"/>
            <w:tcBorders>
              <w:top w:val="nil"/>
              <w:left w:val="nil"/>
              <w:bottom w:val="single" w:sz="4" w:space="0" w:color="auto"/>
              <w:right w:val="single" w:sz="4" w:space="0" w:color="auto"/>
            </w:tcBorders>
            <w:shd w:val="clear" w:color="auto" w:fill="auto"/>
            <w:noWrap/>
            <w:vAlign w:val="center"/>
            <w:hideMark/>
          </w:tcPr>
          <w:p w14:paraId="61F6F35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0,10 %</w:t>
            </w:r>
          </w:p>
        </w:tc>
        <w:tc>
          <w:tcPr>
            <w:tcW w:w="596" w:type="pct"/>
            <w:tcBorders>
              <w:top w:val="nil"/>
              <w:left w:val="nil"/>
              <w:bottom w:val="single" w:sz="4" w:space="0" w:color="auto"/>
              <w:right w:val="single" w:sz="4" w:space="0" w:color="auto"/>
            </w:tcBorders>
            <w:shd w:val="clear" w:color="auto" w:fill="auto"/>
            <w:noWrap/>
            <w:vAlign w:val="center"/>
            <w:hideMark/>
          </w:tcPr>
          <w:p w14:paraId="59E30AC7"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0,05 %</w:t>
            </w:r>
          </w:p>
        </w:tc>
      </w:tr>
      <w:tr w:rsidR="00F24E18" w:rsidRPr="00D9466E" w14:paraId="16384F19"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7A4E7706"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76</w:t>
            </w:r>
          </w:p>
        </w:tc>
        <w:tc>
          <w:tcPr>
            <w:tcW w:w="2162" w:type="pct"/>
            <w:tcBorders>
              <w:top w:val="nil"/>
              <w:left w:val="nil"/>
              <w:bottom w:val="single" w:sz="4" w:space="0" w:color="auto"/>
              <w:right w:val="single" w:sz="4" w:space="0" w:color="auto"/>
            </w:tcBorders>
            <w:shd w:val="clear" w:color="auto" w:fill="auto"/>
            <w:noWrap/>
            <w:vAlign w:val="center"/>
            <w:hideMark/>
          </w:tcPr>
          <w:p w14:paraId="2F391EFC"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povezane z industrijo nafte in zemeljskega plina</w:t>
            </w:r>
          </w:p>
        </w:tc>
        <w:tc>
          <w:tcPr>
            <w:tcW w:w="464" w:type="pct"/>
            <w:tcBorders>
              <w:top w:val="nil"/>
              <w:left w:val="nil"/>
              <w:bottom w:val="single" w:sz="4" w:space="0" w:color="auto"/>
              <w:right w:val="single" w:sz="4" w:space="0" w:color="auto"/>
            </w:tcBorders>
            <w:shd w:val="clear" w:color="auto" w:fill="auto"/>
            <w:noWrap/>
            <w:vAlign w:val="center"/>
            <w:hideMark/>
          </w:tcPr>
          <w:p w14:paraId="3D66827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w:t>
            </w:r>
          </w:p>
        </w:tc>
        <w:tc>
          <w:tcPr>
            <w:tcW w:w="772" w:type="pct"/>
            <w:tcBorders>
              <w:top w:val="nil"/>
              <w:left w:val="nil"/>
              <w:bottom w:val="single" w:sz="4" w:space="0" w:color="auto"/>
              <w:right w:val="single" w:sz="4" w:space="0" w:color="auto"/>
            </w:tcBorders>
            <w:shd w:val="clear" w:color="auto" w:fill="auto"/>
            <w:noWrap/>
            <w:vAlign w:val="center"/>
            <w:hideMark/>
          </w:tcPr>
          <w:p w14:paraId="20A8C03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101.056</w:t>
            </w:r>
          </w:p>
        </w:tc>
        <w:tc>
          <w:tcPr>
            <w:tcW w:w="542" w:type="pct"/>
            <w:tcBorders>
              <w:top w:val="nil"/>
              <w:left w:val="nil"/>
              <w:bottom w:val="single" w:sz="4" w:space="0" w:color="auto"/>
              <w:right w:val="single" w:sz="4" w:space="0" w:color="auto"/>
            </w:tcBorders>
            <w:shd w:val="clear" w:color="auto" w:fill="auto"/>
            <w:noWrap/>
            <w:vAlign w:val="center"/>
            <w:hideMark/>
          </w:tcPr>
          <w:p w14:paraId="04E1D5E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0,03 %</w:t>
            </w:r>
          </w:p>
        </w:tc>
        <w:tc>
          <w:tcPr>
            <w:tcW w:w="596" w:type="pct"/>
            <w:tcBorders>
              <w:top w:val="nil"/>
              <w:left w:val="nil"/>
              <w:bottom w:val="single" w:sz="4" w:space="0" w:color="auto"/>
              <w:right w:val="single" w:sz="4" w:space="0" w:color="auto"/>
            </w:tcBorders>
            <w:shd w:val="clear" w:color="auto" w:fill="auto"/>
            <w:noWrap/>
            <w:vAlign w:val="center"/>
            <w:hideMark/>
          </w:tcPr>
          <w:p w14:paraId="66D86219"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0,01 %</w:t>
            </w:r>
          </w:p>
        </w:tc>
      </w:tr>
      <w:tr w:rsidR="00F24E18" w:rsidRPr="00D9466E" w14:paraId="054929DB"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93F28C9"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77</w:t>
            </w:r>
          </w:p>
        </w:tc>
        <w:tc>
          <w:tcPr>
            <w:tcW w:w="2162" w:type="pct"/>
            <w:tcBorders>
              <w:top w:val="nil"/>
              <w:left w:val="nil"/>
              <w:bottom w:val="single" w:sz="4" w:space="0" w:color="auto"/>
              <w:right w:val="single" w:sz="4" w:space="0" w:color="auto"/>
            </w:tcBorders>
            <w:shd w:val="clear" w:color="auto" w:fill="auto"/>
            <w:noWrap/>
            <w:vAlign w:val="center"/>
            <w:hideMark/>
          </w:tcPr>
          <w:p w14:paraId="570C4B0F"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na področju kmetijstva, gozdarstva, hortikulture, akvakulture in čebelarstva</w:t>
            </w:r>
          </w:p>
        </w:tc>
        <w:tc>
          <w:tcPr>
            <w:tcW w:w="464" w:type="pct"/>
            <w:tcBorders>
              <w:top w:val="nil"/>
              <w:left w:val="nil"/>
              <w:bottom w:val="single" w:sz="4" w:space="0" w:color="auto"/>
              <w:right w:val="single" w:sz="4" w:space="0" w:color="auto"/>
            </w:tcBorders>
            <w:shd w:val="clear" w:color="auto" w:fill="auto"/>
            <w:noWrap/>
            <w:vAlign w:val="center"/>
            <w:hideMark/>
          </w:tcPr>
          <w:p w14:paraId="0DA8667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98</w:t>
            </w:r>
          </w:p>
        </w:tc>
        <w:tc>
          <w:tcPr>
            <w:tcW w:w="772" w:type="pct"/>
            <w:tcBorders>
              <w:top w:val="nil"/>
              <w:left w:val="nil"/>
              <w:bottom w:val="single" w:sz="4" w:space="0" w:color="auto"/>
              <w:right w:val="single" w:sz="4" w:space="0" w:color="auto"/>
            </w:tcBorders>
            <w:shd w:val="clear" w:color="auto" w:fill="auto"/>
            <w:noWrap/>
            <w:vAlign w:val="center"/>
            <w:hideMark/>
          </w:tcPr>
          <w:p w14:paraId="106F281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5.187.956</w:t>
            </w:r>
          </w:p>
        </w:tc>
        <w:tc>
          <w:tcPr>
            <w:tcW w:w="542" w:type="pct"/>
            <w:tcBorders>
              <w:top w:val="nil"/>
              <w:left w:val="nil"/>
              <w:bottom w:val="single" w:sz="4" w:space="0" w:color="auto"/>
              <w:right w:val="single" w:sz="4" w:space="0" w:color="auto"/>
            </w:tcBorders>
            <w:shd w:val="clear" w:color="auto" w:fill="auto"/>
            <w:noWrap/>
            <w:vAlign w:val="center"/>
            <w:hideMark/>
          </w:tcPr>
          <w:p w14:paraId="1362AE5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1,42 %</w:t>
            </w:r>
          </w:p>
        </w:tc>
        <w:tc>
          <w:tcPr>
            <w:tcW w:w="596" w:type="pct"/>
            <w:tcBorders>
              <w:top w:val="nil"/>
              <w:left w:val="nil"/>
              <w:bottom w:val="single" w:sz="4" w:space="0" w:color="auto"/>
              <w:right w:val="single" w:sz="4" w:space="0" w:color="auto"/>
            </w:tcBorders>
            <w:shd w:val="clear" w:color="auto" w:fill="auto"/>
            <w:noWrap/>
            <w:vAlign w:val="center"/>
            <w:hideMark/>
          </w:tcPr>
          <w:p w14:paraId="4BC5FB5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0,54 %</w:t>
            </w:r>
          </w:p>
        </w:tc>
      </w:tr>
      <w:tr w:rsidR="00F24E18" w:rsidRPr="00D9466E" w14:paraId="642D0D36"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62D76ED4"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79</w:t>
            </w:r>
          </w:p>
        </w:tc>
        <w:tc>
          <w:tcPr>
            <w:tcW w:w="2162" w:type="pct"/>
            <w:tcBorders>
              <w:top w:val="nil"/>
              <w:left w:val="nil"/>
              <w:bottom w:val="single" w:sz="4" w:space="0" w:color="auto"/>
              <w:right w:val="single" w:sz="4" w:space="0" w:color="auto"/>
            </w:tcBorders>
            <w:shd w:val="clear" w:color="auto" w:fill="auto"/>
            <w:noWrap/>
            <w:vAlign w:val="center"/>
            <w:hideMark/>
          </w:tcPr>
          <w:p w14:paraId="7DC3A4A9"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Poslovne storitve: pravo, trženje, svetovanje, zaposlovanje, tiskanje in varnost</w:t>
            </w:r>
          </w:p>
        </w:tc>
        <w:tc>
          <w:tcPr>
            <w:tcW w:w="464" w:type="pct"/>
            <w:tcBorders>
              <w:top w:val="nil"/>
              <w:left w:val="nil"/>
              <w:bottom w:val="single" w:sz="4" w:space="0" w:color="auto"/>
              <w:right w:val="single" w:sz="4" w:space="0" w:color="auto"/>
            </w:tcBorders>
            <w:shd w:val="clear" w:color="auto" w:fill="auto"/>
            <w:noWrap/>
            <w:vAlign w:val="center"/>
            <w:hideMark/>
          </w:tcPr>
          <w:p w14:paraId="5590EBF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189</w:t>
            </w:r>
          </w:p>
        </w:tc>
        <w:tc>
          <w:tcPr>
            <w:tcW w:w="772" w:type="pct"/>
            <w:tcBorders>
              <w:top w:val="nil"/>
              <w:left w:val="nil"/>
              <w:bottom w:val="single" w:sz="4" w:space="0" w:color="auto"/>
              <w:right w:val="single" w:sz="4" w:space="0" w:color="auto"/>
            </w:tcBorders>
            <w:shd w:val="clear" w:color="auto" w:fill="auto"/>
            <w:noWrap/>
            <w:vAlign w:val="center"/>
            <w:hideMark/>
          </w:tcPr>
          <w:p w14:paraId="33B862D4"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17.321.831</w:t>
            </w:r>
          </w:p>
        </w:tc>
        <w:tc>
          <w:tcPr>
            <w:tcW w:w="542" w:type="pct"/>
            <w:tcBorders>
              <w:top w:val="nil"/>
              <w:left w:val="nil"/>
              <w:bottom w:val="single" w:sz="4" w:space="0" w:color="auto"/>
              <w:right w:val="single" w:sz="4" w:space="0" w:color="auto"/>
            </w:tcBorders>
            <w:shd w:val="clear" w:color="auto" w:fill="auto"/>
            <w:noWrap/>
            <w:vAlign w:val="center"/>
            <w:hideMark/>
          </w:tcPr>
          <w:p w14:paraId="43B4368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2,73 %</w:t>
            </w:r>
          </w:p>
        </w:tc>
        <w:tc>
          <w:tcPr>
            <w:tcW w:w="596" w:type="pct"/>
            <w:tcBorders>
              <w:top w:val="nil"/>
              <w:left w:val="nil"/>
              <w:bottom w:val="single" w:sz="4" w:space="0" w:color="auto"/>
              <w:right w:val="single" w:sz="4" w:space="0" w:color="auto"/>
            </w:tcBorders>
            <w:shd w:val="clear" w:color="auto" w:fill="auto"/>
            <w:noWrap/>
            <w:vAlign w:val="center"/>
            <w:hideMark/>
          </w:tcPr>
          <w:p w14:paraId="739CDF3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1,80 %</w:t>
            </w:r>
          </w:p>
        </w:tc>
      </w:tr>
      <w:tr w:rsidR="00F24E18" w:rsidRPr="00D9466E" w14:paraId="3614DD55"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2F60B9B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80</w:t>
            </w:r>
          </w:p>
        </w:tc>
        <w:tc>
          <w:tcPr>
            <w:tcW w:w="2162" w:type="pct"/>
            <w:tcBorders>
              <w:top w:val="nil"/>
              <w:left w:val="nil"/>
              <w:bottom w:val="single" w:sz="4" w:space="0" w:color="auto"/>
              <w:right w:val="single" w:sz="4" w:space="0" w:color="auto"/>
            </w:tcBorders>
            <w:shd w:val="clear" w:color="auto" w:fill="auto"/>
            <w:noWrap/>
            <w:vAlign w:val="center"/>
            <w:hideMark/>
          </w:tcPr>
          <w:p w14:paraId="2CC281C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izobraževanja in usposabljanja</w:t>
            </w:r>
          </w:p>
        </w:tc>
        <w:tc>
          <w:tcPr>
            <w:tcW w:w="464" w:type="pct"/>
            <w:tcBorders>
              <w:top w:val="nil"/>
              <w:left w:val="nil"/>
              <w:bottom w:val="single" w:sz="4" w:space="0" w:color="auto"/>
              <w:right w:val="single" w:sz="4" w:space="0" w:color="auto"/>
            </w:tcBorders>
            <w:shd w:val="clear" w:color="auto" w:fill="auto"/>
            <w:noWrap/>
            <w:vAlign w:val="center"/>
            <w:hideMark/>
          </w:tcPr>
          <w:p w14:paraId="3CFA256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6</w:t>
            </w:r>
          </w:p>
        </w:tc>
        <w:tc>
          <w:tcPr>
            <w:tcW w:w="772" w:type="pct"/>
            <w:tcBorders>
              <w:top w:val="nil"/>
              <w:left w:val="nil"/>
              <w:bottom w:val="single" w:sz="4" w:space="0" w:color="auto"/>
              <w:right w:val="single" w:sz="4" w:space="0" w:color="auto"/>
            </w:tcBorders>
            <w:shd w:val="clear" w:color="auto" w:fill="auto"/>
            <w:noWrap/>
            <w:vAlign w:val="center"/>
            <w:hideMark/>
          </w:tcPr>
          <w:p w14:paraId="637AE13F"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847.683</w:t>
            </w:r>
          </w:p>
        </w:tc>
        <w:tc>
          <w:tcPr>
            <w:tcW w:w="542" w:type="pct"/>
            <w:tcBorders>
              <w:top w:val="nil"/>
              <w:left w:val="nil"/>
              <w:bottom w:val="single" w:sz="4" w:space="0" w:color="auto"/>
              <w:right w:val="single" w:sz="4" w:space="0" w:color="auto"/>
            </w:tcBorders>
            <w:shd w:val="clear" w:color="auto" w:fill="auto"/>
            <w:noWrap/>
            <w:vAlign w:val="center"/>
            <w:hideMark/>
          </w:tcPr>
          <w:p w14:paraId="7C202A7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0,09 %</w:t>
            </w:r>
          </w:p>
        </w:tc>
        <w:tc>
          <w:tcPr>
            <w:tcW w:w="596" w:type="pct"/>
            <w:tcBorders>
              <w:top w:val="nil"/>
              <w:left w:val="nil"/>
              <w:bottom w:val="single" w:sz="4" w:space="0" w:color="auto"/>
              <w:right w:val="single" w:sz="4" w:space="0" w:color="auto"/>
            </w:tcBorders>
            <w:shd w:val="clear" w:color="auto" w:fill="auto"/>
            <w:noWrap/>
            <w:vAlign w:val="center"/>
            <w:hideMark/>
          </w:tcPr>
          <w:p w14:paraId="790B003B"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0,09 %</w:t>
            </w:r>
          </w:p>
        </w:tc>
      </w:tr>
      <w:tr w:rsidR="00F24E18" w:rsidRPr="00D9466E" w14:paraId="59FFFB2E"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597BD022"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85</w:t>
            </w:r>
          </w:p>
        </w:tc>
        <w:tc>
          <w:tcPr>
            <w:tcW w:w="2162" w:type="pct"/>
            <w:tcBorders>
              <w:top w:val="nil"/>
              <w:left w:val="nil"/>
              <w:bottom w:val="single" w:sz="4" w:space="0" w:color="auto"/>
              <w:right w:val="single" w:sz="4" w:space="0" w:color="auto"/>
            </w:tcBorders>
            <w:shd w:val="clear" w:color="auto" w:fill="auto"/>
            <w:noWrap/>
            <w:vAlign w:val="center"/>
            <w:hideMark/>
          </w:tcPr>
          <w:p w14:paraId="7DEC8269"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na področju zdravstva in socialnega varstva</w:t>
            </w:r>
          </w:p>
        </w:tc>
        <w:tc>
          <w:tcPr>
            <w:tcW w:w="464" w:type="pct"/>
            <w:tcBorders>
              <w:top w:val="nil"/>
              <w:left w:val="nil"/>
              <w:bottom w:val="single" w:sz="4" w:space="0" w:color="auto"/>
              <w:right w:val="single" w:sz="4" w:space="0" w:color="auto"/>
            </w:tcBorders>
            <w:shd w:val="clear" w:color="auto" w:fill="auto"/>
            <w:noWrap/>
            <w:vAlign w:val="center"/>
            <w:hideMark/>
          </w:tcPr>
          <w:p w14:paraId="75540315"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37</w:t>
            </w:r>
          </w:p>
        </w:tc>
        <w:tc>
          <w:tcPr>
            <w:tcW w:w="772" w:type="pct"/>
            <w:tcBorders>
              <w:top w:val="nil"/>
              <w:left w:val="nil"/>
              <w:bottom w:val="single" w:sz="4" w:space="0" w:color="auto"/>
              <w:right w:val="single" w:sz="4" w:space="0" w:color="auto"/>
            </w:tcBorders>
            <w:shd w:val="clear" w:color="auto" w:fill="auto"/>
            <w:noWrap/>
            <w:vAlign w:val="center"/>
            <w:hideMark/>
          </w:tcPr>
          <w:p w14:paraId="3307301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3.409.323</w:t>
            </w:r>
          </w:p>
        </w:tc>
        <w:tc>
          <w:tcPr>
            <w:tcW w:w="542" w:type="pct"/>
            <w:tcBorders>
              <w:top w:val="nil"/>
              <w:left w:val="nil"/>
              <w:bottom w:val="single" w:sz="4" w:space="0" w:color="auto"/>
              <w:right w:val="single" w:sz="4" w:space="0" w:color="auto"/>
            </w:tcBorders>
            <w:shd w:val="clear" w:color="auto" w:fill="auto"/>
            <w:noWrap/>
            <w:vAlign w:val="center"/>
            <w:hideMark/>
          </w:tcPr>
          <w:p w14:paraId="35CCDF1D"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0,53 %</w:t>
            </w:r>
          </w:p>
        </w:tc>
        <w:tc>
          <w:tcPr>
            <w:tcW w:w="596" w:type="pct"/>
            <w:tcBorders>
              <w:top w:val="nil"/>
              <w:left w:val="nil"/>
              <w:bottom w:val="single" w:sz="4" w:space="0" w:color="auto"/>
              <w:right w:val="single" w:sz="4" w:space="0" w:color="auto"/>
            </w:tcBorders>
            <w:shd w:val="clear" w:color="auto" w:fill="auto"/>
            <w:noWrap/>
            <w:vAlign w:val="center"/>
            <w:hideMark/>
          </w:tcPr>
          <w:p w14:paraId="0F981F93"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0,35 %</w:t>
            </w:r>
          </w:p>
        </w:tc>
      </w:tr>
      <w:tr w:rsidR="00F24E18" w:rsidRPr="00D9466E" w14:paraId="14DD6865"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4C53F711"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90</w:t>
            </w:r>
          </w:p>
        </w:tc>
        <w:tc>
          <w:tcPr>
            <w:tcW w:w="2162" w:type="pct"/>
            <w:tcBorders>
              <w:top w:val="nil"/>
              <w:left w:val="nil"/>
              <w:bottom w:val="single" w:sz="4" w:space="0" w:color="auto"/>
              <w:right w:val="single" w:sz="4" w:space="0" w:color="auto"/>
            </w:tcBorders>
            <w:shd w:val="clear" w:color="auto" w:fill="auto"/>
            <w:noWrap/>
            <w:vAlign w:val="center"/>
            <w:hideMark/>
          </w:tcPr>
          <w:p w14:paraId="4C3A1B78"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v zvezi z odplakami, odpadki, čiščenjem in okoljem</w:t>
            </w:r>
          </w:p>
        </w:tc>
        <w:tc>
          <w:tcPr>
            <w:tcW w:w="464" w:type="pct"/>
            <w:tcBorders>
              <w:top w:val="nil"/>
              <w:left w:val="nil"/>
              <w:bottom w:val="single" w:sz="4" w:space="0" w:color="auto"/>
              <w:right w:val="single" w:sz="4" w:space="0" w:color="auto"/>
            </w:tcBorders>
            <w:shd w:val="clear" w:color="auto" w:fill="auto"/>
            <w:noWrap/>
            <w:vAlign w:val="center"/>
            <w:hideMark/>
          </w:tcPr>
          <w:p w14:paraId="6C3CB1B1"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360</w:t>
            </w:r>
          </w:p>
        </w:tc>
        <w:tc>
          <w:tcPr>
            <w:tcW w:w="772" w:type="pct"/>
            <w:tcBorders>
              <w:top w:val="nil"/>
              <w:left w:val="nil"/>
              <w:bottom w:val="single" w:sz="4" w:space="0" w:color="auto"/>
              <w:right w:val="single" w:sz="4" w:space="0" w:color="auto"/>
            </w:tcBorders>
            <w:shd w:val="clear" w:color="auto" w:fill="auto"/>
            <w:noWrap/>
            <w:vAlign w:val="center"/>
            <w:hideMark/>
          </w:tcPr>
          <w:p w14:paraId="6F79D11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26.610.983</w:t>
            </w:r>
          </w:p>
        </w:tc>
        <w:tc>
          <w:tcPr>
            <w:tcW w:w="542" w:type="pct"/>
            <w:tcBorders>
              <w:top w:val="nil"/>
              <w:left w:val="nil"/>
              <w:bottom w:val="single" w:sz="4" w:space="0" w:color="auto"/>
              <w:right w:val="single" w:sz="4" w:space="0" w:color="auto"/>
            </w:tcBorders>
            <w:shd w:val="clear" w:color="auto" w:fill="auto"/>
            <w:noWrap/>
            <w:vAlign w:val="center"/>
            <w:hideMark/>
          </w:tcPr>
          <w:p w14:paraId="2F57D1C0"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5,20 %</w:t>
            </w:r>
          </w:p>
        </w:tc>
        <w:tc>
          <w:tcPr>
            <w:tcW w:w="596" w:type="pct"/>
            <w:tcBorders>
              <w:top w:val="nil"/>
              <w:left w:val="nil"/>
              <w:bottom w:val="single" w:sz="4" w:space="0" w:color="auto"/>
              <w:right w:val="single" w:sz="4" w:space="0" w:color="auto"/>
            </w:tcBorders>
            <w:shd w:val="clear" w:color="auto" w:fill="auto"/>
            <w:noWrap/>
            <w:vAlign w:val="center"/>
            <w:hideMark/>
          </w:tcPr>
          <w:p w14:paraId="57167D9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2,77 %</w:t>
            </w:r>
          </w:p>
        </w:tc>
      </w:tr>
      <w:tr w:rsidR="00F24E18" w:rsidRPr="00D9466E" w14:paraId="5AC40FD2"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0CFAB04E"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92</w:t>
            </w:r>
          </w:p>
        </w:tc>
        <w:tc>
          <w:tcPr>
            <w:tcW w:w="2162" w:type="pct"/>
            <w:tcBorders>
              <w:top w:val="nil"/>
              <w:left w:val="nil"/>
              <w:bottom w:val="single" w:sz="4" w:space="0" w:color="auto"/>
              <w:right w:val="single" w:sz="4" w:space="0" w:color="auto"/>
            </w:tcBorders>
            <w:shd w:val="clear" w:color="auto" w:fill="auto"/>
            <w:noWrap/>
            <w:vAlign w:val="center"/>
            <w:hideMark/>
          </w:tcPr>
          <w:p w14:paraId="084A4A00"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Storitve na področju rekreacije, kulture in športa</w:t>
            </w:r>
          </w:p>
        </w:tc>
        <w:tc>
          <w:tcPr>
            <w:tcW w:w="464" w:type="pct"/>
            <w:tcBorders>
              <w:top w:val="nil"/>
              <w:left w:val="nil"/>
              <w:bottom w:val="single" w:sz="4" w:space="0" w:color="auto"/>
              <w:right w:val="single" w:sz="4" w:space="0" w:color="auto"/>
            </w:tcBorders>
            <w:shd w:val="clear" w:color="auto" w:fill="auto"/>
            <w:noWrap/>
            <w:vAlign w:val="center"/>
            <w:hideMark/>
          </w:tcPr>
          <w:p w14:paraId="2505952E"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28</w:t>
            </w:r>
          </w:p>
        </w:tc>
        <w:tc>
          <w:tcPr>
            <w:tcW w:w="772" w:type="pct"/>
            <w:tcBorders>
              <w:top w:val="nil"/>
              <w:left w:val="nil"/>
              <w:bottom w:val="single" w:sz="4" w:space="0" w:color="auto"/>
              <w:right w:val="single" w:sz="4" w:space="0" w:color="auto"/>
            </w:tcBorders>
            <w:shd w:val="clear" w:color="auto" w:fill="auto"/>
            <w:noWrap/>
            <w:vAlign w:val="center"/>
            <w:hideMark/>
          </w:tcPr>
          <w:p w14:paraId="6238BB82"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2.077.419</w:t>
            </w:r>
          </w:p>
        </w:tc>
        <w:tc>
          <w:tcPr>
            <w:tcW w:w="542" w:type="pct"/>
            <w:tcBorders>
              <w:top w:val="nil"/>
              <w:left w:val="nil"/>
              <w:bottom w:val="single" w:sz="4" w:space="0" w:color="auto"/>
              <w:right w:val="single" w:sz="4" w:space="0" w:color="auto"/>
            </w:tcBorders>
            <w:shd w:val="clear" w:color="auto" w:fill="auto"/>
            <w:noWrap/>
            <w:vAlign w:val="center"/>
            <w:hideMark/>
          </w:tcPr>
          <w:p w14:paraId="357E541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0,40 %</w:t>
            </w:r>
          </w:p>
        </w:tc>
        <w:tc>
          <w:tcPr>
            <w:tcW w:w="596" w:type="pct"/>
            <w:tcBorders>
              <w:top w:val="nil"/>
              <w:left w:val="nil"/>
              <w:bottom w:val="single" w:sz="4" w:space="0" w:color="auto"/>
              <w:right w:val="single" w:sz="4" w:space="0" w:color="auto"/>
            </w:tcBorders>
            <w:shd w:val="clear" w:color="auto" w:fill="auto"/>
            <w:noWrap/>
            <w:vAlign w:val="center"/>
            <w:hideMark/>
          </w:tcPr>
          <w:p w14:paraId="4A6D362C"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0,22 %</w:t>
            </w:r>
          </w:p>
        </w:tc>
      </w:tr>
      <w:tr w:rsidR="00F24E18" w:rsidRPr="00D9466E" w14:paraId="016796B8" w14:textId="77777777" w:rsidTr="000E18B5">
        <w:trPr>
          <w:trHeight w:val="300"/>
        </w:trPr>
        <w:tc>
          <w:tcPr>
            <w:tcW w:w="464" w:type="pct"/>
            <w:tcBorders>
              <w:top w:val="nil"/>
              <w:left w:val="single" w:sz="4" w:space="0" w:color="auto"/>
              <w:bottom w:val="single" w:sz="4" w:space="0" w:color="auto"/>
              <w:right w:val="single" w:sz="4" w:space="0" w:color="auto"/>
            </w:tcBorders>
            <w:shd w:val="clear" w:color="auto" w:fill="auto"/>
            <w:noWrap/>
            <w:vAlign w:val="center"/>
            <w:hideMark/>
          </w:tcPr>
          <w:p w14:paraId="2E9FE353"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98</w:t>
            </w:r>
          </w:p>
        </w:tc>
        <w:tc>
          <w:tcPr>
            <w:tcW w:w="2162" w:type="pct"/>
            <w:tcBorders>
              <w:top w:val="nil"/>
              <w:left w:val="nil"/>
              <w:bottom w:val="single" w:sz="4" w:space="0" w:color="auto"/>
              <w:right w:val="single" w:sz="4" w:space="0" w:color="auto"/>
            </w:tcBorders>
            <w:shd w:val="clear" w:color="auto" w:fill="auto"/>
            <w:noWrap/>
            <w:vAlign w:val="center"/>
            <w:hideMark/>
          </w:tcPr>
          <w:p w14:paraId="46E0C08B" w14:textId="77777777" w:rsidR="00F24E18" w:rsidRPr="00D9466E" w:rsidRDefault="00F24E18" w:rsidP="000E18B5">
            <w:pPr>
              <w:spacing w:after="0" w:line="240" w:lineRule="auto"/>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Druge javne, skupne in osebne storitve</w:t>
            </w:r>
          </w:p>
        </w:tc>
        <w:tc>
          <w:tcPr>
            <w:tcW w:w="464" w:type="pct"/>
            <w:tcBorders>
              <w:top w:val="nil"/>
              <w:left w:val="nil"/>
              <w:bottom w:val="single" w:sz="4" w:space="0" w:color="auto"/>
              <w:right w:val="single" w:sz="4" w:space="0" w:color="auto"/>
            </w:tcBorders>
            <w:shd w:val="clear" w:color="auto" w:fill="auto"/>
            <w:noWrap/>
            <w:vAlign w:val="center"/>
            <w:hideMark/>
          </w:tcPr>
          <w:p w14:paraId="374762B9"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47</w:t>
            </w:r>
          </w:p>
        </w:tc>
        <w:tc>
          <w:tcPr>
            <w:tcW w:w="772" w:type="pct"/>
            <w:tcBorders>
              <w:top w:val="nil"/>
              <w:left w:val="nil"/>
              <w:bottom w:val="single" w:sz="4" w:space="0" w:color="auto"/>
              <w:right w:val="single" w:sz="4" w:space="0" w:color="auto"/>
            </w:tcBorders>
            <w:shd w:val="clear" w:color="auto" w:fill="auto"/>
            <w:noWrap/>
            <w:vAlign w:val="center"/>
            <w:hideMark/>
          </w:tcPr>
          <w:p w14:paraId="48A31EF6"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sidRPr="00D9466E">
              <w:rPr>
                <w:rFonts w:ascii="Arial" w:eastAsia="Times New Roman" w:hAnsi="Arial" w:cs="Arial"/>
                <w:color w:val="000000"/>
                <w:sz w:val="18"/>
                <w:szCs w:val="18"/>
                <w:lang w:eastAsia="sl-SI"/>
              </w:rPr>
              <w:t>4.966.803</w:t>
            </w:r>
          </w:p>
        </w:tc>
        <w:tc>
          <w:tcPr>
            <w:tcW w:w="542" w:type="pct"/>
            <w:tcBorders>
              <w:top w:val="nil"/>
              <w:left w:val="nil"/>
              <w:bottom w:val="single" w:sz="4" w:space="0" w:color="auto"/>
              <w:right w:val="single" w:sz="4" w:space="0" w:color="auto"/>
            </w:tcBorders>
            <w:shd w:val="clear" w:color="auto" w:fill="auto"/>
            <w:noWrap/>
            <w:vAlign w:val="center"/>
            <w:hideMark/>
          </w:tcPr>
          <w:p w14:paraId="34E78F58"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0,68 %</w:t>
            </w:r>
          </w:p>
        </w:tc>
        <w:tc>
          <w:tcPr>
            <w:tcW w:w="596" w:type="pct"/>
            <w:tcBorders>
              <w:top w:val="nil"/>
              <w:left w:val="nil"/>
              <w:bottom w:val="single" w:sz="4" w:space="0" w:color="auto"/>
              <w:right w:val="single" w:sz="4" w:space="0" w:color="auto"/>
            </w:tcBorders>
            <w:shd w:val="clear" w:color="auto" w:fill="auto"/>
            <w:noWrap/>
            <w:vAlign w:val="center"/>
            <w:hideMark/>
          </w:tcPr>
          <w:p w14:paraId="327303DA" w14:textId="77777777" w:rsidR="00F24E18" w:rsidRPr="00D9466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0,52 %</w:t>
            </w:r>
          </w:p>
        </w:tc>
      </w:tr>
      <w:tr w:rsidR="00F24E18" w:rsidRPr="00242E41" w14:paraId="01D5D339" w14:textId="77777777" w:rsidTr="000E18B5">
        <w:trPr>
          <w:trHeight w:val="300"/>
        </w:trPr>
        <w:tc>
          <w:tcPr>
            <w:tcW w:w="262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0DC01F" w14:textId="77777777" w:rsidR="00F24E18" w:rsidRPr="00D9466E" w:rsidRDefault="00F24E18" w:rsidP="000E18B5">
            <w:pPr>
              <w:spacing w:after="0" w:line="240" w:lineRule="auto"/>
              <w:rPr>
                <w:rFonts w:ascii="Arial" w:eastAsia="Times New Roman" w:hAnsi="Arial" w:cs="Arial"/>
                <w:b/>
                <w:bCs/>
                <w:color w:val="000000"/>
                <w:sz w:val="18"/>
                <w:szCs w:val="18"/>
                <w:lang w:eastAsia="sl-SI"/>
              </w:rPr>
            </w:pPr>
            <w:r w:rsidRPr="00D9466E">
              <w:rPr>
                <w:rFonts w:ascii="Arial" w:eastAsia="Times New Roman" w:hAnsi="Arial" w:cs="Arial"/>
                <w:b/>
                <w:bCs/>
                <w:color w:val="000000"/>
                <w:sz w:val="18"/>
                <w:szCs w:val="18"/>
                <w:lang w:eastAsia="sl-SI"/>
              </w:rPr>
              <w:t>Skupaj</w:t>
            </w:r>
          </w:p>
        </w:tc>
        <w:tc>
          <w:tcPr>
            <w:tcW w:w="464" w:type="pct"/>
            <w:tcBorders>
              <w:top w:val="nil"/>
              <w:left w:val="nil"/>
              <w:bottom w:val="single" w:sz="4" w:space="0" w:color="auto"/>
              <w:right w:val="single" w:sz="4" w:space="0" w:color="auto"/>
            </w:tcBorders>
            <w:shd w:val="clear" w:color="auto" w:fill="F2F2F2" w:themeFill="background1" w:themeFillShade="F2"/>
            <w:noWrap/>
            <w:vAlign w:val="center"/>
            <w:hideMark/>
          </w:tcPr>
          <w:p w14:paraId="709056B4" w14:textId="77777777" w:rsidR="00F24E18" w:rsidRPr="00D9466E" w:rsidRDefault="00F24E18" w:rsidP="000E18B5">
            <w:pPr>
              <w:spacing w:after="0" w:line="240" w:lineRule="auto"/>
              <w:jc w:val="right"/>
              <w:rPr>
                <w:rFonts w:ascii="Arial" w:eastAsia="Times New Roman" w:hAnsi="Arial" w:cs="Arial"/>
                <w:b/>
                <w:bCs/>
                <w:color w:val="000000"/>
                <w:sz w:val="18"/>
                <w:szCs w:val="18"/>
                <w:lang w:eastAsia="sl-SI"/>
              </w:rPr>
            </w:pPr>
            <w:r>
              <w:rPr>
                <w:rFonts w:ascii="Arial" w:hAnsi="Arial" w:cs="Arial"/>
                <w:b/>
                <w:bCs/>
                <w:color w:val="000000"/>
                <w:sz w:val="18"/>
                <w:szCs w:val="18"/>
              </w:rPr>
              <w:t>6.924</w:t>
            </w:r>
          </w:p>
        </w:tc>
        <w:tc>
          <w:tcPr>
            <w:tcW w:w="772" w:type="pct"/>
            <w:tcBorders>
              <w:top w:val="nil"/>
              <w:left w:val="nil"/>
              <w:bottom w:val="single" w:sz="4" w:space="0" w:color="auto"/>
              <w:right w:val="single" w:sz="4" w:space="0" w:color="auto"/>
            </w:tcBorders>
            <w:shd w:val="clear" w:color="auto" w:fill="F2F2F2" w:themeFill="background1" w:themeFillShade="F2"/>
            <w:noWrap/>
            <w:vAlign w:val="center"/>
            <w:hideMark/>
          </w:tcPr>
          <w:p w14:paraId="6C5B1CEB" w14:textId="77777777" w:rsidR="00F24E18" w:rsidRPr="00D9466E" w:rsidRDefault="00F24E18" w:rsidP="000E18B5">
            <w:pPr>
              <w:spacing w:after="0" w:line="240" w:lineRule="auto"/>
              <w:jc w:val="right"/>
              <w:rPr>
                <w:rFonts w:ascii="Arial" w:eastAsia="Times New Roman" w:hAnsi="Arial" w:cs="Arial"/>
                <w:b/>
                <w:bCs/>
                <w:color w:val="000000"/>
                <w:sz w:val="18"/>
                <w:szCs w:val="18"/>
                <w:lang w:eastAsia="sl-SI"/>
              </w:rPr>
            </w:pPr>
            <w:r>
              <w:rPr>
                <w:rFonts w:ascii="Arial" w:hAnsi="Arial" w:cs="Arial"/>
                <w:b/>
                <w:bCs/>
                <w:color w:val="000000"/>
                <w:sz w:val="18"/>
                <w:szCs w:val="18"/>
              </w:rPr>
              <w:t>961.337.753</w:t>
            </w:r>
          </w:p>
        </w:tc>
        <w:tc>
          <w:tcPr>
            <w:tcW w:w="542" w:type="pct"/>
            <w:tcBorders>
              <w:top w:val="nil"/>
              <w:left w:val="nil"/>
              <w:bottom w:val="single" w:sz="4" w:space="0" w:color="auto"/>
              <w:right w:val="single" w:sz="4" w:space="0" w:color="auto"/>
            </w:tcBorders>
            <w:shd w:val="clear" w:color="auto" w:fill="F2F2F2" w:themeFill="background1" w:themeFillShade="F2"/>
            <w:noWrap/>
            <w:vAlign w:val="center"/>
            <w:hideMark/>
          </w:tcPr>
          <w:p w14:paraId="7E714201" w14:textId="77777777" w:rsidR="00F24E18" w:rsidRPr="00D9466E" w:rsidRDefault="00F24E18" w:rsidP="000E18B5">
            <w:pPr>
              <w:spacing w:after="0" w:line="240" w:lineRule="auto"/>
              <w:jc w:val="right"/>
              <w:rPr>
                <w:rFonts w:ascii="Arial" w:eastAsia="Times New Roman" w:hAnsi="Arial" w:cs="Arial"/>
                <w:b/>
                <w:bCs/>
                <w:color w:val="000000"/>
                <w:sz w:val="18"/>
                <w:szCs w:val="18"/>
                <w:lang w:eastAsia="sl-SI"/>
              </w:rPr>
            </w:pPr>
            <w:r w:rsidRPr="00D9466E">
              <w:rPr>
                <w:rFonts w:ascii="Arial" w:eastAsia="Times New Roman" w:hAnsi="Arial" w:cs="Arial"/>
                <w:b/>
                <w:bCs/>
                <w:color w:val="000000"/>
                <w:sz w:val="18"/>
                <w:szCs w:val="18"/>
                <w:lang w:eastAsia="sl-SI"/>
              </w:rPr>
              <w:t>100,00  %</w:t>
            </w:r>
          </w:p>
        </w:tc>
        <w:tc>
          <w:tcPr>
            <w:tcW w:w="596" w:type="pct"/>
            <w:tcBorders>
              <w:top w:val="nil"/>
              <w:left w:val="nil"/>
              <w:bottom w:val="single" w:sz="4" w:space="0" w:color="auto"/>
              <w:right w:val="single" w:sz="4" w:space="0" w:color="auto"/>
            </w:tcBorders>
            <w:shd w:val="clear" w:color="auto" w:fill="F2F2F2" w:themeFill="background1" w:themeFillShade="F2"/>
            <w:noWrap/>
            <w:vAlign w:val="center"/>
            <w:hideMark/>
          </w:tcPr>
          <w:p w14:paraId="59FE0A16" w14:textId="77777777" w:rsidR="00F24E18" w:rsidRPr="00D9466E" w:rsidRDefault="00F24E18" w:rsidP="000E18B5">
            <w:pPr>
              <w:spacing w:after="0" w:line="240" w:lineRule="auto"/>
              <w:jc w:val="right"/>
              <w:rPr>
                <w:rFonts w:ascii="Arial" w:eastAsia="Times New Roman" w:hAnsi="Arial" w:cs="Arial"/>
                <w:b/>
                <w:bCs/>
                <w:color w:val="000000"/>
                <w:sz w:val="18"/>
                <w:szCs w:val="18"/>
                <w:lang w:eastAsia="sl-SI"/>
              </w:rPr>
            </w:pPr>
            <w:r w:rsidRPr="00D9466E">
              <w:rPr>
                <w:rFonts w:ascii="Arial" w:eastAsia="Times New Roman" w:hAnsi="Arial" w:cs="Arial"/>
                <w:b/>
                <w:bCs/>
                <w:color w:val="000000"/>
                <w:sz w:val="18"/>
                <w:szCs w:val="18"/>
                <w:lang w:eastAsia="sl-SI"/>
              </w:rPr>
              <w:t>100,00  %</w:t>
            </w:r>
          </w:p>
        </w:tc>
      </w:tr>
    </w:tbl>
    <w:p w14:paraId="0314F466" w14:textId="77777777" w:rsidR="00F24E18" w:rsidRPr="00242E41" w:rsidRDefault="00F24E18" w:rsidP="00F24E18">
      <w:pPr>
        <w:spacing w:before="120" w:after="120" w:line="240" w:lineRule="auto"/>
        <w:jc w:val="both"/>
        <w:rPr>
          <w:rFonts w:ascii="Arial" w:hAnsi="Arial" w:cs="Arial"/>
          <w:sz w:val="20"/>
          <w:highlight w:val="yellow"/>
        </w:rPr>
      </w:pPr>
    </w:p>
    <w:p w14:paraId="55F0937F" w14:textId="77777777" w:rsidR="00F24E18" w:rsidRPr="006C064E" w:rsidRDefault="00F24E18" w:rsidP="00F24E18">
      <w:pPr>
        <w:spacing w:before="120" w:after="0" w:line="240" w:lineRule="auto"/>
        <w:jc w:val="both"/>
        <w:rPr>
          <w:rFonts w:ascii="Arial" w:hAnsi="Arial" w:cs="Arial"/>
          <w:sz w:val="20"/>
        </w:rPr>
      </w:pPr>
      <w:r w:rsidRPr="006C064E">
        <w:rPr>
          <w:rFonts w:ascii="Arial" w:hAnsi="Arial" w:cs="Arial"/>
          <w:sz w:val="20"/>
        </w:rPr>
        <w:t>Preglednica 79: Javna naročila, objavljena na portalu javnih naročil in v Uradnem listu Evropske unije, glede na predmet naročanja po Enotnem besednjaku javnih naročil (CPV)</w:t>
      </w:r>
    </w:p>
    <w:p w14:paraId="09574095" w14:textId="77777777" w:rsidR="00F24E18" w:rsidRPr="00242E41" w:rsidRDefault="00F24E18" w:rsidP="00F24E18">
      <w:pPr>
        <w:spacing w:after="0" w:line="240" w:lineRule="auto"/>
        <w:jc w:val="both"/>
        <w:rPr>
          <w:rFonts w:ascii="Arial" w:hAnsi="Arial" w:cs="Arial"/>
          <w:sz w:val="20"/>
          <w:highlight w:val="yellow"/>
        </w:rPr>
      </w:pPr>
    </w:p>
    <w:tbl>
      <w:tblPr>
        <w:tblW w:w="5000" w:type="pct"/>
        <w:tblLayout w:type="fixed"/>
        <w:tblCellMar>
          <w:left w:w="70" w:type="dxa"/>
          <w:right w:w="70" w:type="dxa"/>
        </w:tblCellMar>
        <w:tblLook w:val="04A0" w:firstRow="1" w:lastRow="0" w:firstColumn="1" w:lastColumn="0" w:noHBand="0" w:noVBand="1"/>
      </w:tblPr>
      <w:tblGrid>
        <w:gridCol w:w="846"/>
        <w:gridCol w:w="3969"/>
        <w:gridCol w:w="850"/>
        <w:gridCol w:w="1449"/>
        <w:gridCol w:w="1031"/>
        <w:gridCol w:w="1029"/>
      </w:tblGrid>
      <w:tr w:rsidR="00F24E18" w:rsidRPr="006C064E" w14:paraId="109EA110" w14:textId="77777777" w:rsidTr="000E18B5">
        <w:trPr>
          <w:trHeight w:val="480"/>
          <w:tblHeader/>
        </w:trPr>
        <w:tc>
          <w:tcPr>
            <w:tcW w:w="46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35550F8" w14:textId="77777777" w:rsidR="00F24E18" w:rsidRPr="006C064E" w:rsidRDefault="00F24E18" w:rsidP="000E18B5">
            <w:pPr>
              <w:spacing w:after="0" w:line="240" w:lineRule="auto"/>
              <w:jc w:val="center"/>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CPV oddelek</w:t>
            </w:r>
          </w:p>
        </w:tc>
        <w:tc>
          <w:tcPr>
            <w:tcW w:w="2163" w:type="pct"/>
            <w:tcBorders>
              <w:top w:val="single" w:sz="4" w:space="0" w:color="auto"/>
              <w:left w:val="nil"/>
              <w:bottom w:val="single" w:sz="4" w:space="0" w:color="auto"/>
              <w:right w:val="single" w:sz="4" w:space="0" w:color="auto"/>
            </w:tcBorders>
            <w:shd w:val="clear" w:color="000000" w:fill="F2F2F2"/>
            <w:vAlign w:val="center"/>
            <w:hideMark/>
          </w:tcPr>
          <w:p w14:paraId="2B1026D1" w14:textId="77777777" w:rsidR="00F24E18" w:rsidRPr="006C064E" w:rsidRDefault="00F24E18" w:rsidP="000E18B5">
            <w:pPr>
              <w:spacing w:after="0" w:line="240" w:lineRule="auto"/>
              <w:jc w:val="center"/>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Opis CPV oddelka</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25ADE8FC" w14:textId="77777777" w:rsidR="00F24E18" w:rsidRPr="006C064E" w:rsidRDefault="00F24E18" w:rsidP="000E18B5">
            <w:pPr>
              <w:spacing w:after="0" w:line="240" w:lineRule="auto"/>
              <w:jc w:val="center"/>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Št. naročil</w:t>
            </w:r>
          </w:p>
        </w:tc>
        <w:tc>
          <w:tcPr>
            <w:tcW w:w="790" w:type="pct"/>
            <w:tcBorders>
              <w:top w:val="single" w:sz="4" w:space="0" w:color="auto"/>
              <w:left w:val="nil"/>
              <w:bottom w:val="single" w:sz="4" w:space="0" w:color="auto"/>
              <w:right w:val="single" w:sz="4" w:space="0" w:color="auto"/>
            </w:tcBorders>
            <w:shd w:val="clear" w:color="000000" w:fill="F2F2F2"/>
            <w:vAlign w:val="center"/>
            <w:hideMark/>
          </w:tcPr>
          <w:p w14:paraId="1BCFC2D9" w14:textId="77777777" w:rsidR="00F24E18" w:rsidRPr="006C064E" w:rsidRDefault="00F24E18" w:rsidP="000E18B5">
            <w:pPr>
              <w:spacing w:after="0" w:line="240" w:lineRule="auto"/>
              <w:jc w:val="center"/>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Pogodbena vrednost</w:t>
            </w:r>
          </w:p>
        </w:tc>
        <w:tc>
          <w:tcPr>
            <w:tcW w:w="562" w:type="pct"/>
            <w:tcBorders>
              <w:top w:val="single" w:sz="4" w:space="0" w:color="auto"/>
              <w:left w:val="nil"/>
              <w:bottom w:val="single" w:sz="4" w:space="0" w:color="auto"/>
              <w:right w:val="single" w:sz="4" w:space="0" w:color="auto"/>
            </w:tcBorders>
            <w:shd w:val="clear" w:color="000000" w:fill="F2F2F2"/>
            <w:vAlign w:val="center"/>
            <w:hideMark/>
          </w:tcPr>
          <w:p w14:paraId="0C72B442" w14:textId="77777777" w:rsidR="00F24E18" w:rsidRPr="006C064E" w:rsidRDefault="00F24E18" w:rsidP="000E18B5">
            <w:pPr>
              <w:spacing w:after="0" w:line="240" w:lineRule="auto"/>
              <w:jc w:val="center"/>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Delež v št. naročil</w:t>
            </w:r>
          </w:p>
        </w:tc>
        <w:tc>
          <w:tcPr>
            <w:tcW w:w="561" w:type="pct"/>
            <w:tcBorders>
              <w:top w:val="single" w:sz="4" w:space="0" w:color="auto"/>
              <w:left w:val="nil"/>
              <w:bottom w:val="single" w:sz="4" w:space="0" w:color="auto"/>
              <w:right w:val="single" w:sz="4" w:space="0" w:color="auto"/>
            </w:tcBorders>
            <w:shd w:val="clear" w:color="000000" w:fill="F2F2F2"/>
            <w:vAlign w:val="center"/>
            <w:hideMark/>
          </w:tcPr>
          <w:p w14:paraId="277A0F03" w14:textId="77777777" w:rsidR="00F24E18" w:rsidRPr="006C064E" w:rsidRDefault="00F24E18" w:rsidP="000E18B5">
            <w:pPr>
              <w:spacing w:after="0" w:line="240" w:lineRule="auto"/>
              <w:jc w:val="center"/>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Delež v vrednosti</w:t>
            </w:r>
          </w:p>
        </w:tc>
      </w:tr>
      <w:tr w:rsidR="00F24E18" w:rsidRPr="006C064E" w14:paraId="7BF6119B"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095946B"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03</w:t>
            </w:r>
          </w:p>
        </w:tc>
        <w:tc>
          <w:tcPr>
            <w:tcW w:w="2163" w:type="pct"/>
            <w:tcBorders>
              <w:top w:val="nil"/>
              <w:left w:val="nil"/>
              <w:bottom w:val="single" w:sz="4" w:space="0" w:color="auto"/>
              <w:right w:val="single" w:sz="4" w:space="0" w:color="auto"/>
            </w:tcBorders>
            <w:shd w:val="clear" w:color="auto" w:fill="auto"/>
            <w:vAlign w:val="center"/>
            <w:hideMark/>
          </w:tcPr>
          <w:p w14:paraId="756B89C9"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Kmetijski, ribiški, gozdarski in z njimi povezani proizvodi</w:t>
            </w:r>
          </w:p>
        </w:tc>
        <w:tc>
          <w:tcPr>
            <w:tcW w:w="463" w:type="pct"/>
            <w:tcBorders>
              <w:top w:val="nil"/>
              <w:left w:val="nil"/>
              <w:bottom w:val="single" w:sz="4" w:space="0" w:color="auto"/>
              <w:right w:val="single" w:sz="4" w:space="0" w:color="auto"/>
            </w:tcBorders>
            <w:shd w:val="clear" w:color="auto" w:fill="auto"/>
            <w:vAlign w:val="center"/>
            <w:hideMark/>
          </w:tcPr>
          <w:p w14:paraId="3991D7B6"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70</w:t>
            </w:r>
          </w:p>
        </w:tc>
        <w:tc>
          <w:tcPr>
            <w:tcW w:w="790" w:type="pct"/>
            <w:tcBorders>
              <w:top w:val="nil"/>
              <w:left w:val="nil"/>
              <w:bottom w:val="single" w:sz="4" w:space="0" w:color="auto"/>
              <w:right w:val="single" w:sz="4" w:space="0" w:color="auto"/>
            </w:tcBorders>
            <w:shd w:val="clear" w:color="auto" w:fill="auto"/>
            <w:vAlign w:val="center"/>
            <w:hideMark/>
          </w:tcPr>
          <w:p w14:paraId="2B0D25F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12.740.601</w:t>
            </w:r>
          </w:p>
        </w:tc>
        <w:tc>
          <w:tcPr>
            <w:tcW w:w="562" w:type="pct"/>
            <w:tcBorders>
              <w:top w:val="nil"/>
              <w:left w:val="nil"/>
              <w:bottom w:val="single" w:sz="4" w:space="0" w:color="auto"/>
              <w:right w:val="single" w:sz="4" w:space="0" w:color="auto"/>
            </w:tcBorders>
            <w:shd w:val="clear" w:color="auto" w:fill="auto"/>
            <w:noWrap/>
            <w:vAlign w:val="center"/>
            <w:hideMark/>
          </w:tcPr>
          <w:p w14:paraId="3276BEE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0,71 %</w:t>
            </w:r>
          </w:p>
        </w:tc>
        <w:tc>
          <w:tcPr>
            <w:tcW w:w="561" w:type="pct"/>
            <w:tcBorders>
              <w:top w:val="nil"/>
              <w:left w:val="nil"/>
              <w:bottom w:val="single" w:sz="4" w:space="0" w:color="auto"/>
              <w:right w:val="single" w:sz="4" w:space="0" w:color="auto"/>
            </w:tcBorders>
            <w:shd w:val="clear" w:color="auto" w:fill="auto"/>
            <w:noWrap/>
            <w:vAlign w:val="center"/>
            <w:hideMark/>
          </w:tcPr>
          <w:p w14:paraId="1085E6D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0,24 %</w:t>
            </w:r>
          </w:p>
        </w:tc>
      </w:tr>
      <w:tr w:rsidR="00F24E18" w:rsidRPr="006C064E" w14:paraId="20BBF184"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2A0E7466"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09</w:t>
            </w:r>
          </w:p>
        </w:tc>
        <w:tc>
          <w:tcPr>
            <w:tcW w:w="2163" w:type="pct"/>
            <w:tcBorders>
              <w:top w:val="nil"/>
              <w:left w:val="nil"/>
              <w:bottom w:val="single" w:sz="4" w:space="0" w:color="auto"/>
              <w:right w:val="single" w:sz="4" w:space="0" w:color="auto"/>
            </w:tcBorders>
            <w:shd w:val="clear" w:color="auto" w:fill="auto"/>
            <w:vAlign w:val="center"/>
            <w:hideMark/>
          </w:tcPr>
          <w:p w14:paraId="07944819"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Naftni derivati, goriva, električna energija in drugi viri energije</w:t>
            </w:r>
          </w:p>
        </w:tc>
        <w:tc>
          <w:tcPr>
            <w:tcW w:w="463" w:type="pct"/>
            <w:tcBorders>
              <w:top w:val="nil"/>
              <w:left w:val="nil"/>
              <w:bottom w:val="single" w:sz="4" w:space="0" w:color="auto"/>
              <w:right w:val="single" w:sz="4" w:space="0" w:color="auto"/>
            </w:tcBorders>
            <w:shd w:val="clear" w:color="auto" w:fill="auto"/>
            <w:vAlign w:val="center"/>
            <w:hideMark/>
          </w:tcPr>
          <w:p w14:paraId="5E9E8EC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183</w:t>
            </w:r>
          </w:p>
        </w:tc>
        <w:tc>
          <w:tcPr>
            <w:tcW w:w="790" w:type="pct"/>
            <w:tcBorders>
              <w:top w:val="nil"/>
              <w:left w:val="nil"/>
              <w:bottom w:val="single" w:sz="4" w:space="0" w:color="auto"/>
              <w:right w:val="single" w:sz="4" w:space="0" w:color="auto"/>
            </w:tcBorders>
            <w:shd w:val="clear" w:color="auto" w:fill="auto"/>
            <w:vAlign w:val="center"/>
            <w:hideMark/>
          </w:tcPr>
          <w:p w14:paraId="03D8E5E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545.590.097</w:t>
            </w:r>
          </w:p>
        </w:tc>
        <w:tc>
          <w:tcPr>
            <w:tcW w:w="562" w:type="pct"/>
            <w:tcBorders>
              <w:top w:val="nil"/>
              <w:left w:val="nil"/>
              <w:bottom w:val="single" w:sz="4" w:space="0" w:color="auto"/>
              <w:right w:val="single" w:sz="4" w:space="0" w:color="auto"/>
            </w:tcBorders>
            <w:shd w:val="clear" w:color="auto" w:fill="auto"/>
            <w:noWrap/>
            <w:vAlign w:val="center"/>
            <w:hideMark/>
          </w:tcPr>
          <w:p w14:paraId="32F9895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1,85 %</w:t>
            </w:r>
          </w:p>
        </w:tc>
        <w:tc>
          <w:tcPr>
            <w:tcW w:w="561" w:type="pct"/>
            <w:tcBorders>
              <w:top w:val="nil"/>
              <w:left w:val="nil"/>
              <w:bottom w:val="single" w:sz="4" w:space="0" w:color="auto"/>
              <w:right w:val="single" w:sz="4" w:space="0" w:color="auto"/>
            </w:tcBorders>
            <w:shd w:val="clear" w:color="auto" w:fill="auto"/>
            <w:noWrap/>
            <w:vAlign w:val="center"/>
            <w:hideMark/>
          </w:tcPr>
          <w:p w14:paraId="2A15C88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10,35 %</w:t>
            </w:r>
          </w:p>
        </w:tc>
      </w:tr>
      <w:tr w:rsidR="00F24E18" w:rsidRPr="006C064E" w14:paraId="05C2B836"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52D0714"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14</w:t>
            </w:r>
          </w:p>
        </w:tc>
        <w:tc>
          <w:tcPr>
            <w:tcW w:w="2163" w:type="pct"/>
            <w:tcBorders>
              <w:top w:val="nil"/>
              <w:left w:val="nil"/>
              <w:bottom w:val="single" w:sz="4" w:space="0" w:color="auto"/>
              <w:right w:val="single" w:sz="4" w:space="0" w:color="auto"/>
            </w:tcBorders>
            <w:shd w:val="clear" w:color="auto" w:fill="auto"/>
            <w:vAlign w:val="center"/>
            <w:hideMark/>
          </w:tcPr>
          <w:p w14:paraId="0B7577F7"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Rudarstvo, navadne kovine in z njimi povezani proizvodi</w:t>
            </w:r>
          </w:p>
        </w:tc>
        <w:tc>
          <w:tcPr>
            <w:tcW w:w="463" w:type="pct"/>
            <w:tcBorders>
              <w:top w:val="nil"/>
              <w:left w:val="nil"/>
              <w:bottom w:val="single" w:sz="4" w:space="0" w:color="auto"/>
              <w:right w:val="single" w:sz="4" w:space="0" w:color="auto"/>
            </w:tcBorders>
            <w:shd w:val="clear" w:color="auto" w:fill="auto"/>
            <w:vAlign w:val="center"/>
            <w:hideMark/>
          </w:tcPr>
          <w:p w14:paraId="3487EF36"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28</w:t>
            </w:r>
          </w:p>
        </w:tc>
        <w:tc>
          <w:tcPr>
            <w:tcW w:w="790" w:type="pct"/>
            <w:tcBorders>
              <w:top w:val="nil"/>
              <w:left w:val="nil"/>
              <w:bottom w:val="single" w:sz="4" w:space="0" w:color="auto"/>
              <w:right w:val="single" w:sz="4" w:space="0" w:color="auto"/>
            </w:tcBorders>
            <w:shd w:val="clear" w:color="auto" w:fill="auto"/>
            <w:vAlign w:val="center"/>
            <w:hideMark/>
          </w:tcPr>
          <w:p w14:paraId="5DF0B21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14.151.182</w:t>
            </w:r>
          </w:p>
        </w:tc>
        <w:tc>
          <w:tcPr>
            <w:tcW w:w="562" w:type="pct"/>
            <w:tcBorders>
              <w:top w:val="nil"/>
              <w:left w:val="nil"/>
              <w:bottom w:val="single" w:sz="4" w:space="0" w:color="auto"/>
              <w:right w:val="single" w:sz="4" w:space="0" w:color="auto"/>
            </w:tcBorders>
            <w:shd w:val="clear" w:color="auto" w:fill="auto"/>
            <w:noWrap/>
            <w:vAlign w:val="center"/>
            <w:hideMark/>
          </w:tcPr>
          <w:p w14:paraId="75ED4DD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0,28 %</w:t>
            </w:r>
          </w:p>
        </w:tc>
        <w:tc>
          <w:tcPr>
            <w:tcW w:w="561" w:type="pct"/>
            <w:tcBorders>
              <w:top w:val="nil"/>
              <w:left w:val="nil"/>
              <w:bottom w:val="single" w:sz="4" w:space="0" w:color="auto"/>
              <w:right w:val="single" w:sz="4" w:space="0" w:color="auto"/>
            </w:tcBorders>
            <w:shd w:val="clear" w:color="auto" w:fill="auto"/>
            <w:noWrap/>
            <w:vAlign w:val="center"/>
            <w:hideMark/>
          </w:tcPr>
          <w:p w14:paraId="2BD0D68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0,27 %</w:t>
            </w:r>
          </w:p>
        </w:tc>
      </w:tr>
      <w:tr w:rsidR="00F24E18" w:rsidRPr="006C064E" w14:paraId="217C0915"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A21A7D1"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15</w:t>
            </w:r>
          </w:p>
        </w:tc>
        <w:tc>
          <w:tcPr>
            <w:tcW w:w="2163" w:type="pct"/>
            <w:tcBorders>
              <w:top w:val="nil"/>
              <w:left w:val="nil"/>
              <w:bottom w:val="single" w:sz="4" w:space="0" w:color="auto"/>
              <w:right w:val="single" w:sz="4" w:space="0" w:color="auto"/>
            </w:tcBorders>
            <w:shd w:val="clear" w:color="auto" w:fill="auto"/>
            <w:vAlign w:val="center"/>
            <w:hideMark/>
          </w:tcPr>
          <w:p w14:paraId="182FB93F"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Živila, pijače, tobačni izdelki in z njimi povezani izdelki</w:t>
            </w:r>
          </w:p>
        </w:tc>
        <w:tc>
          <w:tcPr>
            <w:tcW w:w="463" w:type="pct"/>
            <w:tcBorders>
              <w:top w:val="nil"/>
              <w:left w:val="nil"/>
              <w:bottom w:val="single" w:sz="4" w:space="0" w:color="auto"/>
              <w:right w:val="single" w:sz="4" w:space="0" w:color="auto"/>
            </w:tcBorders>
            <w:shd w:val="clear" w:color="auto" w:fill="auto"/>
            <w:vAlign w:val="center"/>
            <w:hideMark/>
          </w:tcPr>
          <w:p w14:paraId="79E261D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3.102</w:t>
            </w:r>
          </w:p>
        </w:tc>
        <w:tc>
          <w:tcPr>
            <w:tcW w:w="790" w:type="pct"/>
            <w:tcBorders>
              <w:top w:val="nil"/>
              <w:left w:val="nil"/>
              <w:bottom w:val="single" w:sz="4" w:space="0" w:color="auto"/>
              <w:right w:val="single" w:sz="4" w:space="0" w:color="auto"/>
            </w:tcBorders>
            <w:shd w:val="clear" w:color="auto" w:fill="auto"/>
            <w:vAlign w:val="center"/>
            <w:hideMark/>
          </w:tcPr>
          <w:p w14:paraId="7CCFE7D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161.039.582</w:t>
            </w:r>
          </w:p>
        </w:tc>
        <w:tc>
          <w:tcPr>
            <w:tcW w:w="562" w:type="pct"/>
            <w:tcBorders>
              <w:top w:val="nil"/>
              <w:left w:val="nil"/>
              <w:bottom w:val="single" w:sz="4" w:space="0" w:color="auto"/>
              <w:right w:val="single" w:sz="4" w:space="0" w:color="auto"/>
            </w:tcBorders>
            <w:shd w:val="clear" w:color="auto" w:fill="auto"/>
            <w:noWrap/>
            <w:vAlign w:val="center"/>
            <w:hideMark/>
          </w:tcPr>
          <w:p w14:paraId="4EFE1D9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31,33 %</w:t>
            </w:r>
          </w:p>
        </w:tc>
        <w:tc>
          <w:tcPr>
            <w:tcW w:w="561" w:type="pct"/>
            <w:tcBorders>
              <w:top w:val="nil"/>
              <w:left w:val="nil"/>
              <w:bottom w:val="single" w:sz="4" w:space="0" w:color="auto"/>
              <w:right w:val="single" w:sz="4" w:space="0" w:color="auto"/>
            </w:tcBorders>
            <w:shd w:val="clear" w:color="auto" w:fill="auto"/>
            <w:noWrap/>
            <w:vAlign w:val="center"/>
            <w:hideMark/>
          </w:tcPr>
          <w:p w14:paraId="05C2E94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3,06 %</w:t>
            </w:r>
          </w:p>
        </w:tc>
      </w:tr>
      <w:tr w:rsidR="00F24E18" w:rsidRPr="006C064E" w14:paraId="2EEDABEB"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2E753EA0"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16</w:t>
            </w:r>
          </w:p>
        </w:tc>
        <w:tc>
          <w:tcPr>
            <w:tcW w:w="2163" w:type="pct"/>
            <w:tcBorders>
              <w:top w:val="nil"/>
              <w:left w:val="nil"/>
              <w:bottom w:val="single" w:sz="4" w:space="0" w:color="auto"/>
              <w:right w:val="single" w:sz="4" w:space="0" w:color="auto"/>
            </w:tcBorders>
            <w:shd w:val="clear" w:color="auto" w:fill="auto"/>
            <w:vAlign w:val="center"/>
            <w:hideMark/>
          </w:tcPr>
          <w:p w14:paraId="62F04B5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Kmetijski stroji</w:t>
            </w:r>
          </w:p>
        </w:tc>
        <w:tc>
          <w:tcPr>
            <w:tcW w:w="463" w:type="pct"/>
            <w:tcBorders>
              <w:top w:val="nil"/>
              <w:left w:val="nil"/>
              <w:bottom w:val="single" w:sz="4" w:space="0" w:color="auto"/>
              <w:right w:val="single" w:sz="4" w:space="0" w:color="auto"/>
            </w:tcBorders>
            <w:shd w:val="clear" w:color="auto" w:fill="auto"/>
            <w:vAlign w:val="center"/>
            <w:hideMark/>
          </w:tcPr>
          <w:p w14:paraId="3787A39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w:t>
            </w:r>
          </w:p>
        </w:tc>
        <w:tc>
          <w:tcPr>
            <w:tcW w:w="790" w:type="pct"/>
            <w:tcBorders>
              <w:top w:val="nil"/>
              <w:left w:val="nil"/>
              <w:bottom w:val="single" w:sz="4" w:space="0" w:color="auto"/>
              <w:right w:val="single" w:sz="4" w:space="0" w:color="auto"/>
            </w:tcBorders>
            <w:shd w:val="clear" w:color="auto" w:fill="auto"/>
            <w:vAlign w:val="center"/>
            <w:hideMark/>
          </w:tcPr>
          <w:p w14:paraId="699CE220"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283.264</w:t>
            </w:r>
          </w:p>
        </w:tc>
        <w:tc>
          <w:tcPr>
            <w:tcW w:w="562" w:type="pct"/>
            <w:tcBorders>
              <w:top w:val="nil"/>
              <w:left w:val="nil"/>
              <w:bottom w:val="single" w:sz="4" w:space="0" w:color="auto"/>
              <w:right w:val="single" w:sz="4" w:space="0" w:color="auto"/>
            </w:tcBorders>
            <w:shd w:val="clear" w:color="auto" w:fill="auto"/>
            <w:noWrap/>
            <w:vAlign w:val="center"/>
            <w:hideMark/>
          </w:tcPr>
          <w:p w14:paraId="429BDDE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0,01 %</w:t>
            </w:r>
          </w:p>
        </w:tc>
        <w:tc>
          <w:tcPr>
            <w:tcW w:w="561" w:type="pct"/>
            <w:tcBorders>
              <w:top w:val="nil"/>
              <w:left w:val="nil"/>
              <w:bottom w:val="single" w:sz="4" w:space="0" w:color="auto"/>
              <w:right w:val="single" w:sz="4" w:space="0" w:color="auto"/>
            </w:tcBorders>
            <w:shd w:val="clear" w:color="auto" w:fill="auto"/>
            <w:noWrap/>
            <w:vAlign w:val="center"/>
            <w:hideMark/>
          </w:tcPr>
          <w:p w14:paraId="709C156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0,01 %</w:t>
            </w:r>
          </w:p>
        </w:tc>
      </w:tr>
      <w:tr w:rsidR="00F24E18" w:rsidRPr="006C064E" w14:paraId="02EAA78D"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EE9235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18</w:t>
            </w:r>
          </w:p>
        </w:tc>
        <w:tc>
          <w:tcPr>
            <w:tcW w:w="2163" w:type="pct"/>
            <w:tcBorders>
              <w:top w:val="nil"/>
              <w:left w:val="nil"/>
              <w:bottom w:val="single" w:sz="4" w:space="0" w:color="auto"/>
              <w:right w:val="single" w:sz="4" w:space="0" w:color="auto"/>
            </w:tcBorders>
            <w:shd w:val="clear" w:color="auto" w:fill="auto"/>
            <w:vAlign w:val="center"/>
            <w:hideMark/>
          </w:tcPr>
          <w:p w14:paraId="00FCEF8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Oblačila, obutev, prtljaga in pribor</w:t>
            </w:r>
          </w:p>
        </w:tc>
        <w:tc>
          <w:tcPr>
            <w:tcW w:w="463" w:type="pct"/>
            <w:tcBorders>
              <w:top w:val="nil"/>
              <w:left w:val="nil"/>
              <w:bottom w:val="single" w:sz="4" w:space="0" w:color="auto"/>
              <w:right w:val="single" w:sz="4" w:space="0" w:color="auto"/>
            </w:tcBorders>
            <w:shd w:val="clear" w:color="auto" w:fill="auto"/>
            <w:vAlign w:val="center"/>
            <w:hideMark/>
          </w:tcPr>
          <w:p w14:paraId="027E203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58</w:t>
            </w:r>
          </w:p>
        </w:tc>
        <w:tc>
          <w:tcPr>
            <w:tcW w:w="790" w:type="pct"/>
            <w:tcBorders>
              <w:top w:val="nil"/>
              <w:left w:val="nil"/>
              <w:bottom w:val="single" w:sz="4" w:space="0" w:color="auto"/>
              <w:right w:val="single" w:sz="4" w:space="0" w:color="auto"/>
            </w:tcBorders>
            <w:shd w:val="clear" w:color="auto" w:fill="auto"/>
            <w:vAlign w:val="center"/>
            <w:hideMark/>
          </w:tcPr>
          <w:p w14:paraId="3BA73986"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9.483.970</w:t>
            </w:r>
          </w:p>
        </w:tc>
        <w:tc>
          <w:tcPr>
            <w:tcW w:w="562" w:type="pct"/>
            <w:tcBorders>
              <w:top w:val="nil"/>
              <w:left w:val="nil"/>
              <w:bottom w:val="single" w:sz="4" w:space="0" w:color="auto"/>
              <w:right w:val="single" w:sz="4" w:space="0" w:color="auto"/>
            </w:tcBorders>
            <w:shd w:val="clear" w:color="auto" w:fill="auto"/>
            <w:noWrap/>
            <w:vAlign w:val="center"/>
            <w:hideMark/>
          </w:tcPr>
          <w:p w14:paraId="1956909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0,59 %</w:t>
            </w:r>
          </w:p>
        </w:tc>
        <w:tc>
          <w:tcPr>
            <w:tcW w:w="561" w:type="pct"/>
            <w:tcBorders>
              <w:top w:val="nil"/>
              <w:left w:val="nil"/>
              <w:bottom w:val="single" w:sz="4" w:space="0" w:color="auto"/>
              <w:right w:val="single" w:sz="4" w:space="0" w:color="auto"/>
            </w:tcBorders>
            <w:shd w:val="clear" w:color="auto" w:fill="auto"/>
            <w:noWrap/>
            <w:vAlign w:val="center"/>
            <w:hideMark/>
          </w:tcPr>
          <w:p w14:paraId="28F610A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0,18 %</w:t>
            </w:r>
          </w:p>
        </w:tc>
      </w:tr>
      <w:tr w:rsidR="00F24E18" w:rsidRPr="006C064E" w14:paraId="75F8F330"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F2A728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19</w:t>
            </w:r>
          </w:p>
        </w:tc>
        <w:tc>
          <w:tcPr>
            <w:tcW w:w="2163" w:type="pct"/>
            <w:tcBorders>
              <w:top w:val="nil"/>
              <w:left w:val="nil"/>
              <w:bottom w:val="single" w:sz="4" w:space="0" w:color="auto"/>
              <w:right w:val="single" w:sz="4" w:space="0" w:color="auto"/>
            </w:tcBorders>
            <w:shd w:val="clear" w:color="auto" w:fill="auto"/>
            <w:vAlign w:val="center"/>
            <w:hideMark/>
          </w:tcPr>
          <w:p w14:paraId="1A77DE77"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Usnjeni in tekstilni materiali, plastični in gumijasti materiali</w:t>
            </w:r>
          </w:p>
        </w:tc>
        <w:tc>
          <w:tcPr>
            <w:tcW w:w="463" w:type="pct"/>
            <w:tcBorders>
              <w:top w:val="nil"/>
              <w:left w:val="nil"/>
              <w:bottom w:val="single" w:sz="4" w:space="0" w:color="auto"/>
              <w:right w:val="single" w:sz="4" w:space="0" w:color="auto"/>
            </w:tcBorders>
            <w:shd w:val="clear" w:color="auto" w:fill="auto"/>
            <w:vAlign w:val="center"/>
            <w:hideMark/>
          </w:tcPr>
          <w:p w14:paraId="039E41B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10</w:t>
            </w:r>
          </w:p>
        </w:tc>
        <w:tc>
          <w:tcPr>
            <w:tcW w:w="790" w:type="pct"/>
            <w:tcBorders>
              <w:top w:val="nil"/>
              <w:left w:val="nil"/>
              <w:bottom w:val="single" w:sz="4" w:space="0" w:color="auto"/>
              <w:right w:val="single" w:sz="4" w:space="0" w:color="auto"/>
            </w:tcBorders>
            <w:shd w:val="clear" w:color="auto" w:fill="auto"/>
            <w:vAlign w:val="center"/>
            <w:hideMark/>
          </w:tcPr>
          <w:p w14:paraId="694CC69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455.144</w:t>
            </w:r>
          </w:p>
        </w:tc>
        <w:tc>
          <w:tcPr>
            <w:tcW w:w="562" w:type="pct"/>
            <w:tcBorders>
              <w:top w:val="nil"/>
              <w:left w:val="nil"/>
              <w:bottom w:val="single" w:sz="4" w:space="0" w:color="auto"/>
              <w:right w:val="single" w:sz="4" w:space="0" w:color="auto"/>
            </w:tcBorders>
            <w:shd w:val="clear" w:color="auto" w:fill="auto"/>
            <w:noWrap/>
            <w:vAlign w:val="center"/>
            <w:hideMark/>
          </w:tcPr>
          <w:p w14:paraId="416AEA3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0,10 %</w:t>
            </w:r>
          </w:p>
        </w:tc>
        <w:tc>
          <w:tcPr>
            <w:tcW w:w="561" w:type="pct"/>
            <w:tcBorders>
              <w:top w:val="nil"/>
              <w:left w:val="nil"/>
              <w:bottom w:val="single" w:sz="4" w:space="0" w:color="auto"/>
              <w:right w:val="single" w:sz="4" w:space="0" w:color="auto"/>
            </w:tcBorders>
            <w:shd w:val="clear" w:color="auto" w:fill="auto"/>
            <w:noWrap/>
            <w:vAlign w:val="center"/>
            <w:hideMark/>
          </w:tcPr>
          <w:p w14:paraId="3DA820A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0,01 %</w:t>
            </w:r>
          </w:p>
        </w:tc>
      </w:tr>
      <w:tr w:rsidR="00F24E18" w:rsidRPr="006C064E" w14:paraId="1B93EEBD"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A9680CE"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22</w:t>
            </w:r>
          </w:p>
        </w:tc>
        <w:tc>
          <w:tcPr>
            <w:tcW w:w="2163" w:type="pct"/>
            <w:tcBorders>
              <w:top w:val="nil"/>
              <w:left w:val="nil"/>
              <w:bottom w:val="single" w:sz="4" w:space="0" w:color="auto"/>
              <w:right w:val="single" w:sz="4" w:space="0" w:color="auto"/>
            </w:tcBorders>
            <w:shd w:val="clear" w:color="auto" w:fill="auto"/>
            <w:vAlign w:val="center"/>
            <w:hideMark/>
          </w:tcPr>
          <w:p w14:paraId="2AD84F2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Tiskano gradivo in z njim povezani izdelki</w:t>
            </w:r>
          </w:p>
        </w:tc>
        <w:tc>
          <w:tcPr>
            <w:tcW w:w="463" w:type="pct"/>
            <w:tcBorders>
              <w:top w:val="nil"/>
              <w:left w:val="nil"/>
              <w:bottom w:val="single" w:sz="4" w:space="0" w:color="auto"/>
              <w:right w:val="single" w:sz="4" w:space="0" w:color="auto"/>
            </w:tcBorders>
            <w:shd w:val="clear" w:color="auto" w:fill="auto"/>
            <w:vAlign w:val="center"/>
            <w:hideMark/>
          </w:tcPr>
          <w:p w14:paraId="47616FB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43</w:t>
            </w:r>
          </w:p>
        </w:tc>
        <w:tc>
          <w:tcPr>
            <w:tcW w:w="790" w:type="pct"/>
            <w:tcBorders>
              <w:top w:val="nil"/>
              <w:left w:val="nil"/>
              <w:bottom w:val="single" w:sz="4" w:space="0" w:color="auto"/>
              <w:right w:val="single" w:sz="4" w:space="0" w:color="auto"/>
            </w:tcBorders>
            <w:shd w:val="clear" w:color="auto" w:fill="auto"/>
            <w:vAlign w:val="center"/>
            <w:hideMark/>
          </w:tcPr>
          <w:p w14:paraId="0007DCE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3.983.351</w:t>
            </w:r>
          </w:p>
        </w:tc>
        <w:tc>
          <w:tcPr>
            <w:tcW w:w="562" w:type="pct"/>
            <w:tcBorders>
              <w:top w:val="nil"/>
              <w:left w:val="nil"/>
              <w:bottom w:val="single" w:sz="4" w:space="0" w:color="auto"/>
              <w:right w:val="single" w:sz="4" w:space="0" w:color="auto"/>
            </w:tcBorders>
            <w:shd w:val="clear" w:color="auto" w:fill="auto"/>
            <w:noWrap/>
            <w:vAlign w:val="center"/>
            <w:hideMark/>
          </w:tcPr>
          <w:p w14:paraId="48B27BC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0,43 %</w:t>
            </w:r>
          </w:p>
        </w:tc>
        <w:tc>
          <w:tcPr>
            <w:tcW w:w="561" w:type="pct"/>
            <w:tcBorders>
              <w:top w:val="nil"/>
              <w:left w:val="nil"/>
              <w:bottom w:val="single" w:sz="4" w:space="0" w:color="auto"/>
              <w:right w:val="single" w:sz="4" w:space="0" w:color="auto"/>
            </w:tcBorders>
            <w:shd w:val="clear" w:color="auto" w:fill="auto"/>
            <w:noWrap/>
            <w:vAlign w:val="center"/>
            <w:hideMark/>
          </w:tcPr>
          <w:p w14:paraId="024491A4"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0,08 %</w:t>
            </w:r>
          </w:p>
        </w:tc>
      </w:tr>
      <w:tr w:rsidR="00F24E18" w:rsidRPr="006C064E" w14:paraId="0BB28B09"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53A77F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24</w:t>
            </w:r>
          </w:p>
        </w:tc>
        <w:tc>
          <w:tcPr>
            <w:tcW w:w="2163" w:type="pct"/>
            <w:tcBorders>
              <w:top w:val="nil"/>
              <w:left w:val="nil"/>
              <w:bottom w:val="single" w:sz="4" w:space="0" w:color="auto"/>
              <w:right w:val="single" w:sz="4" w:space="0" w:color="auto"/>
            </w:tcBorders>
            <w:shd w:val="clear" w:color="auto" w:fill="auto"/>
            <w:vAlign w:val="center"/>
            <w:hideMark/>
          </w:tcPr>
          <w:p w14:paraId="7F183AA1"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Kemični proizvodi</w:t>
            </w:r>
          </w:p>
        </w:tc>
        <w:tc>
          <w:tcPr>
            <w:tcW w:w="463" w:type="pct"/>
            <w:tcBorders>
              <w:top w:val="nil"/>
              <w:left w:val="nil"/>
              <w:bottom w:val="single" w:sz="4" w:space="0" w:color="auto"/>
              <w:right w:val="single" w:sz="4" w:space="0" w:color="auto"/>
            </w:tcBorders>
            <w:shd w:val="clear" w:color="auto" w:fill="auto"/>
            <w:vAlign w:val="center"/>
            <w:hideMark/>
          </w:tcPr>
          <w:p w14:paraId="5F8E29C6"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31</w:t>
            </w:r>
          </w:p>
        </w:tc>
        <w:tc>
          <w:tcPr>
            <w:tcW w:w="790" w:type="pct"/>
            <w:tcBorders>
              <w:top w:val="nil"/>
              <w:left w:val="nil"/>
              <w:bottom w:val="single" w:sz="4" w:space="0" w:color="auto"/>
              <w:right w:val="single" w:sz="4" w:space="0" w:color="auto"/>
            </w:tcBorders>
            <w:shd w:val="clear" w:color="auto" w:fill="auto"/>
            <w:vAlign w:val="center"/>
            <w:hideMark/>
          </w:tcPr>
          <w:p w14:paraId="6BE5715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13.683.162</w:t>
            </w:r>
          </w:p>
        </w:tc>
        <w:tc>
          <w:tcPr>
            <w:tcW w:w="562" w:type="pct"/>
            <w:tcBorders>
              <w:top w:val="nil"/>
              <w:left w:val="nil"/>
              <w:bottom w:val="single" w:sz="4" w:space="0" w:color="auto"/>
              <w:right w:val="single" w:sz="4" w:space="0" w:color="auto"/>
            </w:tcBorders>
            <w:shd w:val="clear" w:color="auto" w:fill="auto"/>
            <w:noWrap/>
            <w:vAlign w:val="center"/>
            <w:hideMark/>
          </w:tcPr>
          <w:p w14:paraId="5C3ACDD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0,31 %</w:t>
            </w:r>
          </w:p>
        </w:tc>
        <w:tc>
          <w:tcPr>
            <w:tcW w:w="561" w:type="pct"/>
            <w:tcBorders>
              <w:top w:val="nil"/>
              <w:left w:val="nil"/>
              <w:bottom w:val="single" w:sz="4" w:space="0" w:color="auto"/>
              <w:right w:val="single" w:sz="4" w:space="0" w:color="auto"/>
            </w:tcBorders>
            <w:shd w:val="clear" w:color="auto" w:fill="auto"/>
            <w:noWrap/>
            <w:vAlign w:val="center"/>
            <w:hideMark/>
          </w:tcPr>
          <w:p w14:paraId="56F83914"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0,26 %</w:t>
            </w:r>
          </w:p>
        </w:tc>
      </w:tr>
      <w:tr w:rsidR="00F24E18" w:rsidRPr="006C064E" w14:paraId="20FA4C8F"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5B8C98C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30</w:t>
            </w:r>
          </w:p>
        </w:tc>
        <w:tc>
          <w:tcPr>
            <w:tcW w:w="2163" w:type="pct"/>
            <w:tcBorders>
              <w:top w:val="nil"/>
              <w:left w:val="nil"/>
              <w:bottom w:val="single" w:sz="4" w:space="0" w:color="auto"/>
              <w:right w:val="single" w:sz="4" w:space="0" w:color="auto"/>
            </w:tcBorders>
            <w:shd w:val="clear" w:color="auto" w:fill="auto"/>
            <w:vAlign w:val="center"/>
            <w:hideMark/>
          </w:tcPr>
          <w:p w14:paraId="3BCE198E"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Pisarniški in računski stroji, oprema in potrebščine, razen pohištva in programskih paketov</w:t>
            </w:r>
          </w:p>
        </w:tc>
        <w:tc>
          <w:tcPr>
            <w:tcW w:w="463" w:type="pct"/>
            <w:tcBorders>
              <w:top w:val="nil"/>
              <w:left w:val="nil"/>
              <w:bottom w:val="single" w:sz="4" w:space="0" w:color="auto"/>
              <w:right w:val="single" w:sz="4" w:space="0" w:color="auto"/>
            </w:tcBorders>
            <w:shd w:val="clear" w:color="auto" w:fill="auto"/>
            <w:vAlign w:val="center"/>
            <w:hideMark/>
          </w:tcPr>
          <w:p w14:paraId="6CB741D0"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288</w:t>
            </w:r>
          </w:p>
        </w:tc>
        <w:tc>
          <w:tcPr>
            <w:tcW w:w="790" w:type="pct"/>
            <w:tcBorders>
              <w:top w:val="nil"/>
              <w:left w:val="nil"/>
              <w:bottom w:val="single" w:sz="4" w:space="0" w:color="auto"/>
              <w:right w:val="single" w:sz="4" w:space="0" w:color="auto"/>
            </w:tcBorders>
            <w:shd w:val="clear" w:color="auto" w:fill="auto"/>
            <w:vAlign w:val="center"/>
            <w:hideMark/>
          </w:tcPr>
          <w:p w14:paraId="4D64B19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102.490.154</w:t>
            </w:r>
          </w:p>
        </w:tc>
        <w:tc>
          <w:tcPr>
            <w:tcW w:w="562" w:type="pct"/>
            <w:tcBorders>
              <w:top w:val="nil"/>
              <w:left w:val="nil"/>
              <w:bottom w:val="single" w:sz="4" w:space="0" w:color="auto"/>
              <w:right w:val="single" w:sz="4" w:space="0" w:color="auto"/>
            </w:tcBorders>
            <w:shd w:val="clear" w:color="auto" w:fill="auto"/>
            <w:noWrap/>
            <w:vAlign w:val="center"/>
            <w:hideMark/>
          </w:tcPr>
          <w:p w14:paraId="2AFEA0F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2,91 %</w:t>
            </w:r>
          </w:p>
        </w:tc>
        <w:tc>
          <w:tcPr>
            <w:tcW w:w="561" w:type="pct"/>
            <w:tcBorders>
              <w:top w:val="nil"/>
              <w:left w:val="nil"/>
              <w:bottom w:val="single" w:sz="4" w:space="0" w:color="auto"/>
              <w:right w:val="single" w:sz="4" w:space="0" w:color="auto"/>
            </w:tcBorders>
            <w:shd w:val="clear" w:color="auto" w:fill="auto"/>
            <w:noWrap/>
            <w:vAlign w:val="center"/>
            <w:hideMark/>
          </w:tcPr>
          <w:p w14:paraId="0572D24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1,94 %</w:t>
            </w:r>
          </w:p>
        </w:tc>
      </w:tr>
      <w:tr w:rsidR="00F24E18" w:rsidRPr="006C064E" w14:paraId="0CA8D949"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D57BE1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31</w:t>
            </w:r>
          </w:p>
        </w:tc>
        <w:tc>
          <w:tcPr>
            <w:tcW w:w="2163" w:type="pct"/>
            <w:tcBorders>
              <w:top w:val="nil"/>
              <w:left w:val="nil"/>
              <w:bottom w:val="single" w:sz="4" w:space="0" w:color="auto"/>
              <w:right w:val="single" w:sz="4" w:space="0" w:color="auto"/>
            </w:tcBorders>
            <w:shd w:val="clear" w:color="auto" w:fill="auto"/>
            <w:vAlign w:val="center"/>
            <w:hideMark/>
          </w:tcPr>
          <w:p w14:paraId="6A24AF1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Električni stroji, aparati, oprema in potrošno blago; razsvetljava</w:t>
            </w:r>
          </w:p>
        </w:tc>
        <w:tc>
          <w:tcPr>
            <w:tcW w:w="463" w:type="pct"/>
            <w:tcBorders>
              <w:top w:val="nil"/>
              <w:left w:val="nil"/>
              <w:bottom w:val="single" w:sz="4" w:space="0" w:color="auto"/>
              <w:right w:val="single" w:sz="4" w:space="0" w:color="auto"/>
            </w:tcBorders>
            <w:shd w:val="clear" w:color="auto" w:fill="auto"/>
            <w:vAlign w:val="center"/>
            <w:hideMark/>
          </w:tcPr>
          <w:p w14:paraId="1C5E797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146</w:t>
            </w:r>
          </w:p>
        </w:tc>
        <w:tc>
          <w:tcPr>
            <w:tcW w:w="790" w:type="pct"/>
            <w:tcBorders>
              <w:top w:val="nil"/>
              <w:left w:val="nil"/>
              <w:bottom w:val="single" w:sz="4" w:space="0" w:color="auto"/>
              <w:right w:val="single" w:sz="4" w:space="0" w:color="auto"/>
            </w:tcBorders>
            <w:shd w:val="clear" w:color="auto" w:fill="auto"/>
            <w:vAlign w:val="center"/>
            <w:hideMark/>
          </w:tcPr>
          <w:p w14:paraId="6F66E88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113.715.053</w:t>
            </w:r>
          </w:p>
        </w:tc>
        <w:tc>
          <w:tcPr>
            <w:tcW w:w="562" w:type="pct"/>
            <w:tcBorders>
              <w:top w:val="nil"/>
              <w:left w:val="nil"/>
              <w:bottom w:val="single" w:sz="4" w:space="0" w:color="auto"/>
              <w:right w:val="single" w:sz="4" w:space="0" w:color="auto"/>
            </w:tcBorders>
            <w:shd w:val="clear" w:color="auto" w:fill="auto"/>
            <w:noWrap/>
            <w:vAlign w:val="center"/>
            <w:hideMark/>
          </w:tcPr>
          <w:p w14:paraId="59F4620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1,47 %</w:t>
            </w:r>
          </w:p>
        </w:tc>
        <w:tc>
          <w:tcPr>
            <w:tcW w:w="561" w:type="pct"/>
            <w:tcBorders>
              <w:top w:val="nil"/>
              <w:left w:val="nil"/>
              <w:bottom w:val="single" w:sz="4" w:space="0" w:color="auto"/>
              <w:right w:val="single" w:sz="4" w:space="0" w:color="auto"/>
            </w:tcBorders>
            <w:shd w:val="clear" w:color="auto" w:fill="auto"/>
            <w:noWrap/>
            <w:vAlign w:val="center"/>
            <w:hideMark/>
          </w:tcPr>
          <w:p w14:paraId="0F60B91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2,16 %</w:t>
            </w:r>
          </w:p>
        </w:tc>
      </w:tr>
      <w:tr w:rsidR="00F24E18" w:rsidRPr="006C064E" w14:paraId="2B102DEE"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4A46EA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32</w:t>
            </w:r>
          </w:p>
        </w:tc>
        <w:tc>
          <w:tcPr>
            <w:tcW w:w="2163" w:type="pct"/>
            <w:tcBorders>
              <w:top w:val="nil"/>
              <w:left w:val="nil"/>
              <w:bottom w:val="single" w:sz="4" w:space="0" w:color="auto"/>
              <w:right w:val="single" w:sz="4" w:space="0" w:color="auto"/>
            </w:tcBorders>
            <w:shd w:val="clear" w:color="auto" w:fill="auto"/>
            <w:vAlign w:val="center"/>
            <w:hideMark/>
          </w:tcPr>
          <w:p w14:paraId="7335F227"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Radijski in televizijski aparati, komunikacijska, telekomunikacijska in z njimi povezana oprema</w:t>
            </w:r>
          </w:p>
        </w:tc>
        <w:tc>
          <w:tcPr>
            <w:tcW w:w="463" w:type="pct"/>
            <w:tcBorders>
              <w:top w:val="nil"/>
              <w:left w:val="nil"/>
              <w:bottom w:val="single" w:sz="4" w:space="0" w:color="auto"/>
              <w:right w:val="single" w:sz="4" w:space="0" w:color="auto"/>
            </w:tcBorders>
            <w:shd w:val="clear" w:color="auto" w:fill="auto"/>
            <w:vAlign w:val="center"/>
            <w:hideMark/>
          </w:tcPr>
          <w:p w14:paraId="7797BB2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44</w:t>
            </w:r>
          </w:p>
        </w:tc>
        <w:tc>
          <w:tcPr>
            <w:tcW w:w="790" w:type="pct"/>
            <w:tcBorders>
              <w:top w:val="nil"/>
              <w:left w:val="nil"/>
              <w:bottom w:val="single" w:sz="4" w:space="0" w:color="auto"/>
              <w:right w:val="single" w:sz="4" w:space="0" w:color="auto"/>
            </w:tcBorders>
            <w:shd w:val="clear" w:color="auto" w:fill="auto"/>
            <w:vAlign w:val="center"/>
            <w:hideMark/>
          </w:tcPr>
          <w:p w14:paraId="12F494A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17.257.108</w:t>
            </w:r>
          </w:p>
        </w:tc>
        <w:tc>
          <w:tcPr>
            <w:tcW w:w="562" w:type="pct"/>
            <w:tcBorders>
              <w:top w:val="nil"/>
              <w:left w:val="nil"/>
              <w:bottom w:val="single" w:sz="4" w:space="0" w:color="auto"/>
              <w:right w:val="single" w:sz="4" w:space="0" w:color="auto"/>
            </w:tcBorders>
            <w:shd w:val="clear" w:color="auto" w:fill="auto"/>
            <w:noWrap/>
            <w:vAlign w:val="center"/>
            <w:hideMark/>
          </w:tcPr>
          <w:p w14:paraId="4BF876E8"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0,44 %</w:t>
            </w:r>
          </w:p>
        </w:tc>
        <w:tc>
          <w:tcPr>
            <w:tcW w:w="561" w:type="pct"/>
            <w:tcBorders>
              <w:top w:val="nil"/>
              <w:left w:val="nil"/>
              <w:bottom w:val="single" w:sz="4" w:space="0" w:color="auto"/>
              <w:right w:val="single" w:sz="4" w:space="0" w:color="auto"/>
            </w:tcBorders>
            <w:shd w:val="clear" w:color="auto" w:fill="auto"/>
            <w:noWrap/>
            <w:vAlign w:val="center"/>
            <w:hideMark/>
          </w:tcPr>
          <w:p w14:paraId="15F675C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0,33 %</w:t>
            </w:r>
          </w:p>
        </w:tc>
      </w:tr>
      <w:tr w:rsidR="00F24E18" w:rsidRPr="006C064E" w14:paraId="11C2C7D0"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26BEBB8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33</w:t>
            </w:r>
          </w:p>
        </w:tc>
        <w:tc>
          <w:tcPr>
            <w:tcW w:w="2163" w:type="pct"/>
            <w:tcBorders>
              <w:top w:val="nil"/>
              <w:left w:val="nil"/>
              <w:bottom w:val="single" w:sz="4" w:space="0" w:color="auto"/>
              <w:right w:val="single" w:sz="4" w:space="0" w:color="auto"/>
            </w:tcBorders>
            <w:shd w:val="clear" w:color="auto" w:fill="auto"/>
            <w:vAlign w:val="center"/>
            <w:hideMark/>
          </w:tcPr>
          <w:p w14:paraId="7E2C3EF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Medicinska oprema, farmacevtski izdelki in izdelki za osebno nego</w:t>
            </w:r>
          </w:p>
        </w:tc>
        <w:tc>
          <w:tcPr>
            <w:tcW w:w="463" w:type="pct"/>
            <w:tcBorders>
              <w:top w:val="nil"/>
              <w:left w:val="nil"/>
              <w:bottom w:val="single" w:sz="4" w:space="0" w:color="auto"/>
              <w:right w:val="single" w:sz="4" w:space="0" w:color="auto"/>
            </w:tcBorders>
            <w:shd w:val="clear" w:color="auto" w:fill="auto"/>
            <w:vAlign w:val="center"/>
            <w:hideMark/>
          </w:tcPr>
          <w:p w14:paraId="02789AA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2.068</w:t>
            </w:r>
          </w:p>
        </w:tc>
        <w:tc>
          <w:tcPr>
            <w:tcW w:w="790" w:type="pct"/>
            <w:tcBorders>
              <w:top w:val="nil"/>
              <w:left w:val="nil"/>
              <w:bottom w:val="single" w:sz="4" w:space="0" w:color="auto"/>
              <w:right w:val="single" w:sz="4" w:space="0" w:color="auto"/>
            </w:tcBorders>
            <w:shd w:val="clear" w:color="auto" w:fill="auto"/>
            <w:vAlign w:val="center"/>
            <w:hideMark/>
          </w:tcPr>
          <w:p w14:paraId="67D16AC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739.575.123</w:t>
            </w:r>
          </w:p>
        </w:tc>
        <w:tc>
          <w:tcPr>
            <w:tcW w:w="562" w:type="pct"/>
            <w:tcBorders>
              <w:top w:val="nil"/>
              <w:left w:val="nil"/>
              <w:bottom w:val="single" w:sz="4" w:space="0" w:color="auto"/>
              <w:right w:val="single" w:sz="4" w:space="0" w:color="auto"/>
            </w:tcBorders>
            <w:shd w:val="clear" w:color="auto" w:fill="auto"/>
            <w:noWrap/>
            <w:vAlign w:val="center"/>
            <w:hideMark/>
          </w:tcPr>
          <w:p w14:paraId="67FB49E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20,89 %</w:t>
            </w:r>
          </w:p>
        </w:tc>
        <w:tc>
          <w:tcPr>
            <w:tcW w:w="561" w:type="pct"/>
            <w:tcBorders>
              <w:top w:val="nil"/>
              <w:left w:val="nil"/>
              <w:bottom w:val="single" w:sz="4" w:space="0" w:color="auto"/>
              <w:right w:val="single" w:sz="4" w:space="0" w:color="auto"/>
            </w:tcBorders>
            <w:shd w:val="clear" w:color="auto" w:fill="auto"/>
            <w:noWrap/>
            <w:vAlign w:val="center"/>
            <w:hideMark/>
          </w:tcPr>
          <w:p w14:paraId="2E4E6D4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14,03 %</w:t>
            </w:r>
          </w:p>
        </w:tc>
      </w:tr>
      <w:tr w:rsidR="00F24E18" w:rsidRPr="006C064E" w14:paraId="582342F6"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8781E9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34</w:t>
            </w:r>
          </w:p>
        </w:tc>
        <w:tc>
          <w:tcPr>
            <w:tcW w:w="2163" w:type="pct"/>
            <w:tcBorders>
              <w:top w:val="nil"/>
              <w:left w:val="nil"/>
              <w:bottom w:val="single" w:sz="4" w:space="0" w:color="auto"/>
              <w:right w:val="single" w:sz="4" w:space="0" w:color="auto"/>
            </w:tcBorders>
            <w:shd w:val="clear" w:color="auto" w:fill="auto"/>
            <w:vAlign w:val="center"/>
            <w:hideMark/>
          </w:tcPr>
          <w:p w14:paraId="3339C71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Prevozna sredstva in dodatni proizvodi za promet</w:t>
            </w:r>
          </w:p>
        </w:tc>
        <w:tc>
          <w:tcPr>
            <w:tcW w:w="463" w:type="pct"/>
            <w:tcBorders>
              <w:top w:val="nil"/>
              <w:left w:val="nil"/>
              <w:bottom w:val="single" w:sz="4" w:space="0" w:color="auto"/>
              <w:right w:val="single" w:sz="4" w:space="0" w:color="auto"/>
            </w:tcBorders>
            <w:shd w:val="clear" w:color="auto" w:fill="auto"/>
            <w:vAlign w:val="center"/>
            <w:hideMark/>
          </w:tcPr>
          <w:p w14:paraId="4A97A78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330</w:t>
            </w:r>
          </w:p>
        </w:tc>
        <w:tc>
          <w:tcPr>
            <w:tcW w:w="790" w:type="pct"/>
            <w:tcBorders>
              <w:top w:val="nil"/>
              <w:left w:val="nil"/>
              <w:bottom w:val="single" w:sz="4" w:space="0" w:color="auto"/>
              <w:right w:val="single" w:sz="4" w:space="0" w:color="auto"/>
            </w:tcBorders>
            <w:shd w:val="clear" w:color="auto" w:fill="auto"/>
            <w:vAlign w:val="center"/>
            <w:hideMark/>
          </w:tcPr>
          <w:p w14:paraId="3702CEA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252.849.782</w:t>
            </w:r>
          </w:p>
        </w:tc>
        <w:tc>
          <w:tcPr>
            <w:tcW w:w="562" w:type="pct"/>
            <w:tcBorders>
              <w:top w:val="nil"/>
              <w:left w:val="nil"/>
              <w:bottom w:val="single" w:sz="4" w:space="0" w:color="auto"/>
              <w:right w:val="single" w:sz="4" w:space="0" w:color="auto"/>
            </w:tcBorders>
            <w:shd w:val="clear" w:color="auto" w:fill="auto"/>
            <w:noWrap/>
            <w:vAlign w:val="center"/>
            <w:hideMark/>
          </w:tcPr>
          <w:p w14:paraId="01BE594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3,33 %</w:t>
            </w:r>
          </w:p>
        </w:tc>
        <w:tc>
          <w:tcPr>
            <w:tcW w:w="561" w:type="pct"/>
            <w:tcBorders>
              <w:top w:val="nil"/>
              <w:left w:val="nil"/>
              <w:bottom w:val="single" w:sz="4" w:space="0" w:color="auto"/>
              <w:right w:val="single" w:sz="4" w:space="0" w:color="auto"/>
            </w:tcBorders>
            <w:shd w:val="clear" w:color="auto" w:fill="auto"/>
            <w:noWrap/>
            <w:vAlign w:val="center"/>
            <w:hideMark/>
          </w:tcPr>
          <w:p w14:paraId="7E748BC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4,80 %</w:t>
            </w:r>
          </w:p>
        </w:tc>
      </w:tr>
      <w:tr w:rsidR="00F24E18" w:rsidRPr="006C064E" w14:paraId="497D7229"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5BCCB6E6"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35</w:t>
            </w:r>
          </w:p>
        </w:tc>
        <w:tc>
          <w:tcPr>
            <w:tcW w:w="2163" w:type="pct"/>
            <w:tcBorders>
              <w:top w:val="nil"/>
              <w:left w:val="nil"/>
              <w:bottom w:val="single" w:sz="4" w:space="0" w:color="auto"/>
              <w:right w:val="single" w:sz="4" w:space="0" w:color="auto"/>
            </w:tcBorders>
            <w:shd w:val="clear" w:color="auto" w:fill="auto"/>
            <w:vAlign w:val="center"/>
            <w:hideMark/>
          </w:tcPr>
          <w:p w14:paraId="57918619"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Varnostna, gasilska, policijska in obrambna oprema</w:t>
            </w:r>
          </w:p>
        </w:tc>
        <w:tc>
          <w:tcPr>
            <w:tcW w:w="463" w:type="pct"/>
            <w:tcBorders>
              <w:top w:val="nil"/>
              <w:left w:val="nil"/>
              <w:bottom w:val="single" w:sz="4" w:space="0" w:color="auto"/>
              <w:right w:val="single" w:sz="4" w:space="0" w:color="auto"/>
            </w:tcBorders>
            <w:shd w:val="clear" w:color="auto" w:fill="auto"/>
            <w:vAlign w:val="center"/>
            <w:hideMark/>
          </w:tcPr>
          <w:p w14:paraId="04D2402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110</w:t>
            </w:r>
          </w:p>
        </w:tc>
        <w:tc>
          <w:tcPr>
            <w:tcW w:w="790" w:type="pct"/>
            <w:tcBorders>
              <w:top w:val="nil"/>
              <w:left w:val="nil"/>
              <w:bottom w:val="single" w:sz="4" w:space="0" w:color="auto"/>
              <w:right w:val="single" w:sz="4" w:space="0" w:color="auto"/>
            </w:tcBorders>
            <w:shd w:val="clear" w:color="auto" w:fill="auto"/>
            <w:vAlign w:val="center"/>
            <w:hideMark/>
          </w:tcPr>
          <w:p w14:paraId="10F4E90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100.163.970</w:t>
            </w:r>
          </w:p>
        </w:tc>
        <w:tc>
          <w:tcPr>
            <w:tcW w:w="562" w:type="pct"/>
            <w:tcBorders>
              <w:top w:val="nil"/>
              <w:left w:val="nil"/>
              <w:bottom w:val="single" w:sz="4" w:space="0" w:color="auto"/>
              <w:right w:val="single" w:sz="4" w:space="0" w:color="auto"/>
            </w:tcBorders>
            <w:shd w:val="clear" w:color="auto" w:fill="auto"/>
            <w:noWrap/>
            <w:vAlign w:val="center"/>
            <w:hideMark/>
          </w:tcPr>
          <w:p w14:paraId="1E9D3E0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1,11 %</w:t>
            </w:r>
          </w:p>
        </w:tc>
        <w:tc>
          <w:tcPr>
            <w:tcW w:w="561" w:type="pct"/>
            <w:tcBorders>
              <w:top w:val="nil"/>
              <w:left w:val="nil"/>
              <w:bottom w:val="single" w:sz="4" w:space="0" w:color="auto"/>
              <w:right w:val="single" w:sz="4" w:space="0" w:color="auto"/>
            </w:tcBorders>
            <w:shd w:val="clear" w:color="auto" w:fill="auto"/>
            <w:noWrap/>
            <w:vAlign w:val="center"/>
            <w:hideMark/>
          </w:tcPr>
          <w:p w14:paraId="1160CBF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1,90 %</w:t>
            </w:r>
          </w:p>
        </w:tc>
      </w:tr>
      <w:tr w:rsidR="00F24E18" w:rsidRPr="006C064E" w14:paraId="6340D476"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C9167E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lastRenderedPageBreak/>
              <w:t>37</w:t>
            </w:r>
          </w:p>
        </w:tc>
        <w:tc>
          <w:tcPr>
            <w:tcW w:w="2163" w:type="pct"/>
            <w:tcBorders>
              <w:top w:val="nil"/>
              <w:left w:val="nil"/>
              <w:bottom w:val="single" w:sz="4" w:space="0" w:color="auto"/>
              <w:right w:val="single" w:sz="4" w:space="0" w:color="auto"/>
            </w:tcBorders>
            <w:shd w:val="clear" w:color="auto" w:fill="auto"/>
            <w:vAlign w:val="center"/>
            <w:hideMark/>
          </w:tcPr>
          <w:p w14:paraId="214C2765"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Glasbila, športni izdelki, igre, igrače, ročna dela, umetniški materiali in dodatki</w:t>
            </w:r>
          </w:p>
        </w:tc>
        <w:tc>
          <w:tcPr>
            <w:tcW w:w="463" w:type="pct"/>
            <w:tcBorders>
              <w:top w:val="nil"/>
              <w:left w:val="nil"/>
              <w:bottom w:val="single" w:sz="4" w:space="0" w:color="auto"/>
              <w:right w:val="single" w:sz="4" w:space="0" w:color="auto"/>
            </w:tcBorders>
            <w:shd w:val="clear" w:color="auto" w:fill="auto"/>
            <w:vAlign w:val="center"/>
            <w:hideMark/>
          </w:tcPr>
          <w:p w14:paraId="019007C4"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30</w:t>
            </w:r>
          </w:p>
        </w:tc>
        <w:tc>
          <w:tcPr>
            <w:tcW w:w="790" w:type="pct"/>
            <w:tcBorders>
              <w:top w:val="nil"/>
              <w:left w:val="nil"/>
              <w:bottom w:val="single" w:sz="4" w:space="0" w:color="auto"/>
              <w:right w:val="single" w:sz="4" w:space="0" w:color="auto"/>
            </w:tcBorders>
            <w:shd w:val="clear" w:color="auto" w:fill="auto"/>
            <w:vAlign w:val="center"/>
            <w:hideMark/>
          </w:tcPr>
          <w:p w14:paraId="0D8694E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1.599.487</w:t>
            </w:r>
          </w:p>
        </w:tc>
        <w:tc>
          <w:tcPr>
            <w:tcW w:w="562" w:type="pct"/>
            <w:tcBorders>
              <w:top w:val="nil"/>
              <w:left w:val="nil"/>
              <w:bottom w:val="single" w:sz="4" w:space="0" w:color="auto"/>
              <w:right w:val="single" w:sz="4" w:space="0" w:color="auto"/>
            </w:tcBorders>
            <w:shd w:val="clear" w:color="auto" w:fill="auto"/>
            <w:noWrap/>
            <w:vAlign w:val="center"/>
            <w:hideMark/>
          </w:tcPr>
          <w:p w14:paraId="7F0B9D0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0,30 %</w:t>
            </w:r>
          </w:p>
        </w:tc>
        <w:tc>
          <w:tcPr>
            <w:tcW w:w="561" w:type="pct"/>
            <w:tcBorders>
              <w:top w:val="nil"/>
              <w:left w:val="nil"/>
              <w:bottom w:val="single" w:sz="4" w:space="0" w:color="auto"/>
              <w:right w:val="single" w:sz="4" w:space="0" w:color="auto"/>
            </w:tcBorders>
            <w:shd w:val="clear" w:color="auto" w:fill="auto"/>
            <w:noWrap/>
            <w:vAlign w:val="center"/>
            <w:hideMark/>
          </w:tcPr>
          <w:p w14:paraId="7B9376C8"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0,03 %</w:t>
            </w:r>
          </w:p>
        </w:tc>
      </w:tr>
      <w:tr w:rsidR="00F24E18" w:rsidRPr="006C064E" w14:paraId="46FB2445"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9238BCF"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38</w:t>
            </w:r>
          </w:p>
        </w:tc>
        <w:tc>
          <w:tcPr>
            <w:tcW w:w="2163" w:type="pct"/>
            <w:tcBorders>
              <w:top w:val="nil"/>
              <w:left w:val="nil"/>
              <w:bottom w:val="single" w:sz="4" w:space="0" w:color="auto"/>
              <w:right w:val="single" w:sz="4" w:space="0" w:color="auto"/>
            </w:tcBorders>
            <w:shd w:val="clear" w:color="auto" w:fill="auto"/>
            <w:vAlign w:val="center"/>
            <w:hideMark/>
          </w:tcPr>
          <w:p w14:paraId="73B74EF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Laboratorijska, optična in precizna oprema (razen očal)</w:t>
            </w:r>
          </w:p>
        </w:tc>
        <w:tc>
          <w:tcPr>
            <w:tcW w:w="463" w:type="pct"/>
            <w:tcBorders>
              <w:top w:val="nil"/>
              <w:left w:val="nil"/>
              <w:bottom w:val="single" w:sz="4" w:space="0" w:color="auto"/>
              <w:right w:val="single" w:sz="4" w:space="0" w:color="auto"/>
            </w:tcBorders>
            <w:shd w:val="clear" w:color="auto" w:fill="auto"/>
            <w:vAlign w:val="center"/>
            <w:hideMark/>
          </w:tcPr>
          <w:p w14:paraId="5A5DB14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144</w:t>
            </w:r>
          </w:p>
        </w:tc>
        <w:tc>
          <w:tcPr>
            <w:tcW w:w="790" w:type="pct"/>
            <w:tcBorders>
              <w:top w:val="nil"/>
              <w:left w:val="nil"/>
              <w:bottom w:val="single" w:sz="4" w:space="0" w:color="auto"/>
              <w:right w:val="single" w:sz="4" w:space="0" w:color="auto"/>
            </w:tcBorders>
            <w:shd w:val="clear" w:color="auto" w:fill="auto"/>
            <w:vAlign w:val="center"/>
            <w:hideMark/>
          </w:tcPr>
          <w:p w14:paraId="5767A0C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53.011.549</w:t>
            </w:r>
          </w:p>
        </w:tc>
        <w:tc>
          <w:tcPr>
            <w:tcW w:w="562" w:type="pct"/>
            <w:tcBorders>
              <w:top w:val="nil"/>
              <w:left w:val="nil"/>
              <w:bottom w:val="single" w:sz="4" w:space="0" w:color="auto"/>
              <w:right w:val="single" w:sz="4" w:space="0" w:color="auto"/>
            </w:tcBorders>
            <w:shd w:val="clear" w:color="auto" w:fill="auto"/>
            <w:noWrap/>
            <w:vAlign w:val="center"/>
            <w:hideMark/>
          </w:tcPr>
          <w:p w14:paraId="3D8FC8E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1,45 %</w:t>
            </w:r>
          </w:p>
        </w:tc>
        <w:tc>
          <w:tcPr>
            <w:tcW w:w="561" w:type="pct"/>
            <w:tcBorders>
              <w:top w:val="nil"/>
              <w:left w:val="nil"/>
              <w:bottom w:val="single" w:sz="4" w:space="0" w:color="auto"/>
              <w:right w:val="single" w:sz="4" w:space="0" w:color="auto"/>
            </w:tcBorders>
            <w:shd w:val="clear" w:color="auto" w:fill="auto"/>
            <w:noWrap/>
            <w:vAlign w:val="center"/>
            <w:hideMark/>
          </w:tcPr>
          <w:p w14:paraId="501B6B9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1,01 %</w:t>
            </w:r>
          </w:p>
        </w:tc>
      </w:tr>
      <w:tr w:rsidR="00F24E18" w:rsidRPr="006C064E" w14:paraId="0996B8B6"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2BAB4F8C"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39</w:t>
            </w:r>
          </w:p>
        </w:tc>
        <w:tc>
          <w:tcPr>
            <w:tcW w:w="2163" w:type="pct"/>
            <w:tcBorders>
              <w:top w:val="nil"/>
              <w:left w:val="nil"/>
              <w:bottom w:val="single" w:sz="4" w:space="0" w:color="auto"/>
              <w:right w:val="single" w:sz="4" w:space="0" w:color="auto"/>
            </w:tcBorders>
            <w:shd w:val="clear" w:color="auto" w:fill="auto"/>
            <w:vAlign w:val="center"/>
            <w:hideMark/>
          </w:tcPr>
          <w:p w14:paraId="66177796"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63" w:type="pct"/>
            <w:tcBorders>
              <w:top w:val="nil"/>
              <w:left w:val="nil"/>
              <w:bottom w:val="single" w:sz="4" w:space="0" w:color="auto"/>
              <w:right w:val="single" w:sz="4" w:space="0" w:color="auto"/>
            </w:tcBorders>
            <w:shd w:val="clear" w:color="auto" w:fill="auto"/>
            <w:vAlign w:val="center"/>
            <w:hideMark/>
          </w:tcPr>
          <w:p w14:paraId="2D53AB8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168</w:t>
            </w:r>
          </w:p>
        </w:tc>
        <w:tc>
          <w:tcPr>
            <w:tcW w:w="790" w:type="pct"/>
            <w:tcBorders>
              <w:top w:val="nil"/>
              <w:left w:val="nil"/>
              <w:bottom w:val="single" w:sz="4" w:space="0" w:color="auto"/>
              <w:right w:val="single" w:sz="4" w:space="0" w:color="auto"/>
            </w:tcBorders>
            <w:shd w:val="clear" w:color="auto" w:fill="auto"/>
            <w:vAlign w:val="center"/>
            <w:hideMark/>
          </w:tcPr>
          <w:p w14:paraId="7DE750E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24.510.864</w:t>
            </w:r>
          </w:p>
        </w:tc>
        <w:tc>
          <w:tcPr>
            <w:tcW w:w="562" w:type="pct"/>
            <w:tcBorders>
              <w:top w:val="nil"/>
              <w:left w:val="nil"/>
              <w:bottom w:val="single" w:sz="4" w:space="0" w:color="auto"/>
              <w:right w:val="single" w:sz="4" w:space="0" w:color="auto"/>
            </w:tcBorders>
            <w:shd w:val="clear" w:color="auto" w:fill="auto"/>
            <w:noWrap/>
            <w:vAlign w:val="center"/>
            <w:hideMark/>
          </w:tcPr>
          <w:p w14:paraId="2E185E8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1,70 %</w:t>
            </w:r>
          </w:p>
        </w:tc>
        <w:tc>
          <w:tcPr>
            <w:tcW w:w="561" w:type="pct"/>
            <w:tcBorders>
              <w:top w:val="nil"/>
              <w:left w:val="nil"/>
              <w:bottom w:val="single" w:sz="4" w:space="0" w:color="auto"/>
              <w:right w:val="single" w:sz="4" w:space="0" w:color="auto"/>
            </w:tcBorders>
            <w:shd w:val="clear" w:color="auto" w:fill="auto"/>
            <w:noWrap/>
            <w:vAlign w:val="center"/>
            <w:hideMark/>
          </w:tcPr>
          <w:p w14:paraId="77EE3C9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0,47 %</w:t>
            </w:r>
          </w:p>
        </w:tc>
      </w:tr>
      <w:tr w:rsidR="00F24E18" w:rsidRPr="006C064E" w14:paraId="1CAEDDAB"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638C16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41</w:t>
            </w:r>
          </w:p>
        </w:tc>
        <w:tc>
          <w:tcPr>
            <w:tcW w:w="2163" w:type="pct"/>
            <w:tcBorders>
              <w:top w:val="nil"/>
              <w:left w:val="nil"/>
              <w:bottom w:val="single" w:sz="4" w:space="0" w:color="auto"/>
              <w:right w:val="single" w:sz="4" w:space="0" w:color="auto"/>
            </w:tcBorders>
            <w:shd w:val="clear" w:color="auto" w:fill="auto"/>
            <w:vAlign w:val="center"/>
            <w:hideMark/>
          </w:tcPr>
          <w:p w14:paraId="7A60A1D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Zbrana in očiščena voda</w:t>
            </w:r>
          </w:p>
        </w:tc>
        <w:tc>
          <w:tcPr>
            <w:tcW w:w="463" w:type="pct"/>
            <w:tcBorders>
              <w:top w:val="nil"/>
              <w:left w:val="nil"/>
              <w:bottom w:val="single" w:sz="4" w:space="0" w:color="auto"/>
              <w:right w:val="single" w:sz="4" w:space="0" w:color="auto"/>
            </w:tcBorders>
            <w:shd w:val="clear" w:color="auto" w:fill="auto"/>
            <w:vAlign w:val="center"/>
            <w:hideMark/>
          </w:tcPr>
          <w:p w14:paraId="682CFCF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w:t>
            </w:r>
          </w:p>
        </w:tc>
        <w:tc>
          <w:tcPr>
            <w:tcW w:w="790" w:type="pct"/>
            <w:tcBorders>
              <w:top w:val="nil"/>
              <w:left w:val="nil"/>
              <w:bottom w:val="single" w:sz="4" w:space="0" w:color="auto"/>
              <w:right w:val="single" w:sz="4" w:space="0" w:color="auto"/>
            </w:tcBorders>
            <w:shd w:val="clear" w:color="auto" w:fill="auto"/>
            <w:vAlign w:val="center"/>
            <w:hideMark/>
          </w:tcPr>
          <w:p w14:paraId="20F2279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714.600</w:t>
            </w:r>
          </w:p>
        </w:tc>
        <w:tc>
          <w:tcPr>
            <w:tcW w:w="562" w:type="pct"/>
            <w:tcBorders>
              <w:top w:val="nil"/>
              <w:left w:val="nil"/>
              <w:bottom w:val="single" w:sz="4" w:space="0" w:color="auto"/>
              <w:right w:val="single" w:sz="4" w:space="0" w:color="auto"/>
            </w:tcBorders>
            <w:shd w:val="clear" w:color="auto" w:fill="auto"/>
            <w:noWrap/>
            <w:vAlign w:val="center"/>
            <w:hideMark/>
          </w:tcPr>
          <w:p w14:paraId="04E58FB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0,02 %</w:t>
            </w:r>
          </w:p>
        </w:tc>
        <w:tc>
          <w:tcPr>
            <w:tcW w:w="561" w:type="pct"/>
            <w:tcBorders>
              <w:top w:val="nil"/>
              <w:left w:val="nil"/>
              <w:bottom w:val="single" w:sz="4" w:space="0" w:color="auto"/>
              <w:right w:val="single" w:sz="4" w:space="0" w:color="auto"/>
            </w:tcBorders>
            <w:shd w:val="clear" w:color="auto" w:fill="auto"/>
            <w:noWrap/>
            <w:vAlign w:val="center"/>
            <w:hideMark/>
          </w:tcPr>
          <w:p w14:paraId="75C8353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0,01 %</w:t>
            </w:r>
          </w:p>
        </w:tc>
      </w:tr>
      <w:tr w:rsidR="00F24E18" w:rsidRPr="006C064E" w14:paraId="520567F7"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B7ABCA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42</w:t>
            </w:r>
          </w:p>
        </w:tc>
        <w:tc>
          <w:tcPr>
            <w:tcW w:w="2163" w:type="pct"/>
            <w:tcBorders>
              <w:top w:val="nil"/>
              <w:left w:val="nil"/>
              <w:bottom w:val="single" w:sz="4" w:space="0" w:color="auto"/>
              <w:right w:val="single" w:sz="4" w:space="0" w:color="auto"/>
            </w:tcBorders>
            <w:shd w:val="clear" w:color="auto" w:fill="auto"/>
            <w:vAlign w:val="center"/>
            <w:hideMark/>
          </w:tcPr>
          <w:p w14:paraId="2EA4B3E7"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Industrijski stroji</w:t>
            </w:r>
          </w:p>
        </w:tc>
        <w:tc>
          <w:tcPr>
            <w:tcW w:w="463" w:type="pct"/>
            <w:tcBorders>
              <w:top w:val="nil"/>
              <w:left w:val="nil"/>
              <w:bottom w:val="single" w:sz="4" w:space="0" w:color="auto"/>
              <w:right w:val="single" w:sz="4" w:space="0" w:color="auto"/>
            </w:tcBorders>
            <w:shd w:val="clear" w:color="auto" w:fill="auto"/>
            <w:vAlign w:val="center"/>
            <w:hideMark/>
          </w:tcPr>
          <w:p w14:paraId="7F967F5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112</w:t>
            </w:r>
          </w:p>
        </w:tc>
        <w:tc>
          <w:tcPr>
            <w:tcW w:w="790" w:type="pct"/>
            <w:tcBorders>
              <w:top w:val="nil"/>
              <w:left w:val="nil"/>
              <w:bottom w:val="single" w:sz="4" w:space="0" w:color="auto"/>
              <w:right w:val="single" w:sz="4" w:space="0" w:color="auto"/>
            </w:tcBorders>
            <w:shd w:val="clear" w:color="auto" w:fill="auto"/>
            <w:vAlign w:val="center"/>
            <w:hideMark/>
          </w:tcPr>
          <w:p w14:paraId="4BA0A91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29.560.289</w:t>
            </w:r>
          </w:p>
        </w:tc>
        <w:tc>
          <w:tcPr>
            <w:tcW w:w="562" w:type="pct"/>
            <w:tcBorders>
              <w:top w:val="nil"/>
              <w:left w:val="nil"/>
              <w:bottom w:val="single" w:sz="4" w:space="0" w:color="auto"/>
              <w:right w:val="single" w:sz="4" w:space="0" w:color="auto"/>
            </w:tcBorders>
            <w:shd w:val="clear" w:color="auto" w:fill="auto"/>
            <w:noWrap/>
            <w:vAlign w:val="center"/>
            <w:hideMark/>
          </w:tcPr>
          <w:p w14:paraId="6D849C78"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1,13 %</w:t>
            </w:r>
          </w:p>
        </w:tc>
        <w:tc>
          <w:tcPr>
            <w:tcW w:w="561" w:type="pct"/>
            <w:tcBorders>
              <w:top w:val="nil"/>
              <w:left w:val="nil"/>
              <w:bottom w:val="single" w:sz="4" w:space="0" w:color="auto"/>
              <w:right w:val="single" w:sz="4" w:space="0" w:color="auto"/>
            </w:tcBorders>
            <w:shd w:val="clear" w:color="auto" w:fill="auto"/>
            <w:noWrap/>
            <w:vAlign w:val="center"/>
            <w:hideMark/>
          </w:tcPr>
          <w:p w14:paraId="137386C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0,56 %</w:t>
            </w:r>
          </w:p>
        </w:tc>
      </w:tr>
      <w:tr w:rsidR="00F24E18" w:rsidRPr="006C064E" w14:paraId="6764A877"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4723E01"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43</w:t>
            </w:r>
          </w:p>
        </w:tc>
        <w:tc>
          <w:tcPr>
            <w:tcW w:w="2163" w:type="pct"/>
            <w:tcBorders>
              <w:top w:val="nil"/>
              <w:left w:val="nil"/>
              <w:bottom w:val="single" w:sz="4" w:space="0" w:color="auto"/>
              <w:right w:val="single" w:sz="4" w:space="0" w:color="auto"/>
            </w:tcBorders>
            <w:shd w:val="clear" w:color="auto" w:fill="auto"/>
            <w:vAlign w:val="center"/>
            <w:hideMark/>
          </w:tcPr>
          <w:p w14:paraId="1DC18CF3"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Rudarska, kamnoseška in gradbena oprema</w:t>
            </w:r>
          </w:p>
        </w:tc>
        <w:tc>
          <w:tcPr>
            <w:tcW w:w="463" w:type="pct"/>
            <w:tcBorders>
              <w:top w:val="nil"/>
              <w:left w:val="nil"/>
              <w:bottom w:val="single" w:sz="4" w:space="0" w:color="auto"/>
              <w:right w:val="single" w:sz="4" w:space="0" w:color="auto"/>
            </w:tcBorders>
            <w:shd w:val="clear" w:color="auto" w:fill="auto"/>
            <w:vAlign w:val="center"/>
            <w:hideMark/>
          </w:tcPr>
          <w:p w14:paraId="2548FEE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15</w:t>
            </w:r>
          </w:p>
        </w:tc>
        <w:tc>
          <w:tcPr>
            <w:tcW w:w="790" w:type="pct"/>
            <w:tcBorders>
              <w:top w:val="nil"/>
              <w:left w:val="nil"/>
              <w:bottom w:val="single" w:sz="4" w:space="0" w:color="auto"/>
              <w:right w:val="single" w:sz="4" w:space="0" w:color="auto"/>
            </w:tcBorders>
            <w:shd w:val="clear" w:color="auto" w:fill="auto"/>
            <w:vAlign w:val="center"/>
            <w:hideMark/>
          </w:tcPr>
          <w:p w14:paraId="7C6889D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4.947.194</w:t>
            </w:r>
          </w:p>
        </w:tc>
        <w:tc>
          <w:tcPr>
            <w:tcW w:w="562" w:type="pct"/>
            <w:tcBorders>
              <w:top w:val="nil"/>
              <w:left w:val="nil"/>
              <w:bottom w:val="single" w:sz="4" w:space="0" w:color="auto"/>
              <w:right w:val="single" w:sz="4" w:space="0" w:color="auto"/>
            </w:tcBorders>
            <w:shd w:val="clear" w:color="auto" w:fill="auto"/>
            <w:noWrap/>
            <w:vAlign w:val="center"/>
            <w:hideMark/>
          </w:tcPr>
          <w:p w14:paraId="517DACD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0,15 %</w:t>
            </w:r>
          </w:p>
        </w:tc>
        <w:tc>
          <w:tcPr>
            <w:tcW w:w="561" w:type="pct"/>
            <w:tcBorders>
              <w:top w:val="nil"/>
              <w:left w:val="nil"/>
              <w:bottom w:val="single" w:sz="4" w:space="0" w:color="auto"/>
              <w:right w:val="single" w:sz="4" w:space="0" w:color="auto"/>
            </w:tcBorders>
            <w:shd w:val="clear" w:color="auto" w:fill="auto"/>
            <w:noWrap/>
            <w:vAlign w:val="center"/>
            <w:hideMark/>
          </w:tcPr>
          <w:p w14:paraId="5D5D8282"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0,09 %</w:t>
            </w:r>
          </w:p>
        </w:tc>
      </w:tr>
      <w:tr w:rsidR="00F24E18" w:rsidRPr="006C064E" w14:paraId="6124F983"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B9FC50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44</w:t>
            </w:r>
          </w:p>
        </w:tc>
        <w:tc>
          <w:tcPr>
            <w:tcW w:w="2163" w:type="pct"/>
            <w:tcBorders>
              <w:top w:val="nil"/>
              <w:left w:val="nil"/>
              <w:bottom w:val="single" w:sz="4" w:space="0" w:color="auto"/>
              <w:right w:val="single" w:sz="4" w:space="0" w:color="auto"/>
            </w:tcBorders>
            <w:shd w:val="clear" w:color="auto" w:fill="auto"/>
            <w:vAlign w:val="center"/>
            <w:hideMark/>
          </w:tcPr>
          <w:p w14:paraId="5B55A72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Gradbene strukture in materiali; pomožni gradbeni izdelki (razen električnih aparatov)</w:t>
            </w:r>
          </w:p>
        </w:tc>
        <w:tc>
          <w:tcPr>
            <w:tcW w:w="463" w:type="pct"/>
            <w:tcBorders>
              <w:top w:val="nil"/>
              <w:left w:val="nil"/>
              <w:bottom w:val="single" w:sz="4" w:space="0" w:color="auto"/>
              <w:right w:val="single" w:sz="4" w:space="0" w:color="auto"/>
            </w:tcBorders>
            <w:shd w:val="clear" w:color="auto" w:fill="auto"/>
            <w:vAlign w:val="center"/>
            <w:hideMark/>
          </w:tcPr>
          <w:p w14:paraId="7FFA83A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144</w:t>
            </w:r>
          </w:p>
        </w:tc>
        <w:tc>
          <w:tcPr>
            <w:tcW w:w="790" w:type="pct"/>
            <w:tcBorders>
              <w:top w:val="nil"/>
              <w:left w:val="nil"/>
              <w:bottom w:val="single" w:sz="4" w:space="0" w:color="auto"/>
              <w:right w:val="single" w:sz="4" w:space="0" w:color="auto"/>
            </w:tcBorders>
            <w:shd w:val="clear" w:color="auto" w:fill="auto"/>
            <w:vAlign w:val="center"/>
            <w:hideMark/>
          </w:tcPr>
          <w:p w14:paraId="489A24A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147.358.836</w:t>
            </w:r>
          </w:p>
        </w:tc>
        <w:tc>
          <w:tcPr>
            <w:tcW w:w="562" w:type="pct"/>
            <w:tcBorders>
              <w:top w:val="nil"/>
              <w:left w:val="nil"/>
              <w:bottom w:val="single" w:sz="4" w:space="0" w:color="auto"/>
              <w:right w:val="single" w:sz="4" w:space="0" w:color="auto"/>
            </w:tcBorders>
            <w:shd w:val="clear" w:color="auto" w:fill="auto"/>
            <w:noWrap/>
            <w:vAlign w:val="center"/>
            <w:hideMark/>
          </w:tcPr>
          <w:p w14:paraId="5C7D7D2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1,45 %</w:t>
            </w:r>
          </w:p>
        </w:tc>
        <w:tc>
          <w:tcPr>
            <w:tcW w:w="561" w:type="pct"/>
            <w:tcBorders>
              <w:top w:val="nil"/>
              <w:left w:val="nil"/>
              <w:bottom w:val="single" w:sz="4" w:space="0" w:color="auto"/>
              <w:right w:val="single" w:sz="4" w:space="0" w:color="auto"/>
            </w:tcBorders>
            <w:shd w:val="clear" w:color="auto" w:fill="auto"/>
            <w:noWrap/>
            <w:vAlign w:val="center"/>
            <w:hideMark/>
          </w:tcPr>
          <w:p w14:paraId="55380502"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2,80 %</w:t>
            </w:r>
          </w:p>
        </w:tc>
      </w:tr>
      <w:tr w:rsidR="00F24E18" w:rsidRPr="006C064E" w14:paraId="5B75CB4D"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28503FC"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45</w:t>
            </w:r>
          </w:p>
        </w:tc>
        <w:tc>
          <w:tcPr>
            <w:tcW w:w="2163" w:type="pct"/>
            <w:tcBorders>
              <w:top w:val="nil"/>
              <w:left w:val="nil"/>
              <w:bottom w:val="single" w:sz="4" w:space="0" w:color="auto"/>
              <w:right w:val="single" w:sz="4" w:space="0" w:color="auto"/>
            </w:tcBorders>
            <w:shd w:val="clear" w:color="auto" w:fill="auto"/>
            <w:vAlign w:val="center"/>
            <w:hideMark/>
          </w:tcPr>
          <w:p w14:paraId="23F6BBE1"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Gradbena dela</w:t>
            </w:r>
          </w:p>
        </w:tc>
        <w:tc>
          <w:tcPr>
            <w:tcW w:w="463" w:type="pct"/>
            <w:tcBorders>
              <w:top w:val="nil"/>
              <w:left w:val="nil"/>
              <w:bottom w:val="single" w:sz="4" w:space="0" w:color="auto"/>
              <w:right w:val="single" w:sz="4" w:space="0" w:color="auto"/>
            </w:tcBorders>
            <w:shd w:val="clear" w:color="auto" w:fill="auto"/>
            <w:vAlign w:val="center"/>
            <w:hideMark/>
          </w:tcPr>
          <w:p w14:paraId="4B927EB4"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186</w:t>
            </w:r>
          </w:p>
        </w:tc>
        <w:tc>
          <w:tcPr>
            <w:tcW w:w="790" w:type="pct"/>
            <w:tcBorders>
              <w:top w:val="nil"/>
              <w:left w:val="nil"/>
              <w:bottom w:val="single" w:sz="4" w:space="0" w:color="auto"/>
              <w:right w:val="single" w:sz="4" w:space="0" w:color="auto"/>
            </w:tcBorders>
            <w:shd w:val="clear" w:color="auto" w:fill="auto"/>
            <w:vAlign w:val="center"/>
            <w:hideMark/>
          </w:tcPr>
          <w:p w14:paraId="4E13A2A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844.850.287</w:t>
            </w:r>
          </w:p>
        </w:tc>
        <w:tc>
          <w:tcPr>
            <w:tcW w:w="562" w:type="pct"/>
            <w:tcBorders>
              <w:top w:val="nil"/>
              <w:left w:val="nil"/>
              <w:bottom w:val="single" w:sz="4" w:space="0" w:color="auto"/>
              <w:right w:val="single" w:sz="4" w:space="0" w:color="auto"/>
            </w:tcBorders>
            <w:shd w:val="clear" w:color="auto" w:fill="auto"/>
            <w:noWrap/>
            <w:vAlign w:val="center"/>
            <w:hideMark/>
          </w:tcPr>
          <w:p w14:paraId="62546DC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1,88 %</w:t>
            </w:r>
          </w:p>
        </w:tc>
        <w:tc>
          <w:tcPr>
            <w:tcW w:w="561" w:type="pct"/>
            <w:tcBorders>
              <w:top w:val="nil"/>
              <w:left w:val="nil"/>
              <w:bottom w:val="single" w:sz="4" w:space="0" w:color="auto"/>
              <w:right w:val="single" w:sz="4" w:space="0" w:color="auto"/>
            </w:tcBorders>
            <w:shd w:val="clear" w:color="auto" w:fill="auto"/>
            <w:noWrap/>
            <w:vAlign w:val="center"/>
            <w:hideMark/>
          </w:tcPr>
          <w:p w14:paraId="5C05896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16,03 %</w:t>
            </w:r>
          </w:p>
        </w:tc>
      </w:tr>
      <w:tr w:rsidR="00F24E18" w:rsidRPr="006C064E" w14:paraId="4CFAC7BE"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5105255C"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48</w:t>
            </w:r>
          </w:p>
        </w:tc>
        <w:tc>
          <w:tcPr>
            <w:tcW w:w="2163" w:type="pct"/>
            <w:tcBorders>
              <w:top w:val="nil"/>
              <w:left w:val="nil"/>
              <w:bottom w:val="single" w:sz="4" w:space="0" w:color="auto"/>
              <w:right w:val="single" w:sz="4" w:space="0" w:color="auto"/>
            </w:tcBorders>
            <w:shd w:val="clear" w:color="auto" w:fill="auto"/>
            <w:vAlign w:val="center"/>
            <w:hideMark/>
          </w:tcPr>
          <w:p w14:paraId="4D7712D6"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Programski paketi in informacijski sistemi</w:t>
            </w:r>
          </w:p>
        </w:tc>
        <w:tc>
          <w:tcPr>
            <w:tcW w:w="463" w:type="pct"/>
            <w:tcBorders>
              <w:top w:val="nil"/>
              <w:left w:val="nil"/>
              <w:bottom w:val="single" w:sz="4" w:space="0" w:color="auto"/>
              <w:right w:val="single" w:sz="4" w:space="0" w:color="auto"/>
            </w:tcBorders>
            <w:shd w:val="clear" w:color="auto" w:fill="auto"/>
            <w:vAlign w:val="bottom"/>
            <w:hideMark/>
          </w:tcPr>
          <w:p w14:paraId="6C1A827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hAnsi="Arial" w:cs="Arial"/>
                <w:color w:val="000000"/>
                <w:sz w:val="18"/>
                <w:szCs w:val="18"/>
              </w:rPr>
              <w:t>126</w:t>
            </w:r>
          </w:p>
        </w:tc>
        <w:tc>
          <w:tcPr>
            <w:tcW w:w="790" w:type="pct"/>
            <w:tcBorders>
              <w:top w:val="nil"/>
              <w:left w:val="nil"/>
              <w:bottom w:val="single" w:sz="4" w:space="0" w:color="auto"/>
              <w:right w:val="single" w:sz="4" w:space="0" w:color="auto"/>
            </w:tcBorders>
            <w:shd w:val="clear" w:color="auto" w:fill="auto"/>
            <w:vAlign w:val="bottom"/>
            <w:hideMark/>
          </w:tcPr>
          <w:p w14:paraId="500C108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hAnsi="Arial" w:cs="Arial"/>
                <w:color w:val="000000"/>
                <w:sz w:val="18"/>
                <w:szCs w:val="18"/>
              </w:rPr>
              <w:t>61.113.579</w:t>
            </w:r>
          </w:p>
        </w:tc>
        <w:tc>
          <w:tcPr>
            <w:tcW w:w="562" w:type="pct"/>
            <w:tcBorders>
              <w:top w:val="nil"/>
              <w:left w:val="nil"/>
              <w:bottom w:val="single" w:sz="4" w:space="0" w:color="auto"/>
              <w:right w:val="single" w:sz="4" w:space="0" w:color="auto"/>
            </w:tcBorders>
            <w:shd w:val="clear" w:color="auto" w:fill="auto"/>
            <w:noWrap/>
            <w:vAlign w:val="center"/>
            <w:hideMark/>
          </w:tcPr>
          <w:p w14:paraId="79E40534"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1,27 %</w:t>
            </w:r>
          </w:p>
        </w:tc>
        <w:tc>
          <w:tcPr>
            <w:tcW w:w="561" w:type="pct"/>
            <w:tcBorders>
              <w:top w:val="nil"/>
              <w:left w:val="nil"/>
              <w:bottom w:val="single" w:sz="4" w:space="0" w:color="auto"/>
              <w:right w:val="single" w:sz="4" w:space="0" w:color="auto"/>
            </w:tcBorders>
            <w:shd w:val="clear" w:color="auto" w:fill="auto"/>
            <w:noWrap/>
            <w:vAlign w:val="center"/>
            <w:hideMark/>
          </w:tcPr>
          <w:p w14:paraId="3BA8922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1,16 %</w:t>
            </w:r>
          </w:p>
        </w:tc>
      </w:tr>
      <w:tr w:rsidR="00F24E18" w:rsidRPr="006C064E" w14:paraId="50FD2641"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BCD9000"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50</w:t>
            </w:r>
          </w:p>
        </w:tc>
        <w:tc>
          <w:tcPr>
            <w:tcW w:w="2163" w:type="pct"/>
            <w:tcBorders>
              <w:top w:val="nil"/>
              <w:left w:val="nil"/>
              <w:bottom w:val="single" w:sz="4" w:space="0" w:color="auto"/>
              <w:right w:val="single" w:sz="4" w:space="0" w:color="auto"/>
            </w:tcBorders>
            <w:shd w:val="clear" w:color="auto" w:fill="auto"/>
            <w:vAlign w:val="center"/>
            <w:hideMark/>
          </w:tcPr>
          <w:p w14:paraId="281A30E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popravila in vzdrževanja</w:t>
            </w:r>
          </w:p>
        </w:tc>
        <w:tc>
          <w:tcPr>
            <w:tcW w:w="463" w:type="pct"/>
            <w:tcBorders>
              <w:top w:val="nil"/>
              <w:left w:val="nil"/>
              <w:bottom w:val="single" w:sz="4" w:space="0" w:color="auto"/>
              <w:right w:val="single" w:sz="4" w:space="0" w:color="auto"/>
            </w:tcBorders>
            <w:shd w:val="clear" w:color="auto" w:fill="auto"/>
            <w:vAlign w:val="center"/>
            <w:hideMark/>
          </w:tcPr>
          <w:p w14:paraId="0FD222A0"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551</w:t>
            </w:r>
          </w:p>
        </w:tc>
        <w:tc>
          <w:tcPr>
            <w:tcW w:w="790" w:type="pct"/>
            <w:tcBorders>
              <w:top w:val="nil"/>
              <w:left w:val="nil"/>
              <w:bottom w:val="single" w:sz="4" w:space="0" w:color="auto"/>
              <w:right w:val="single" w:sz="4" w:space="0" w:color="auto"/>
            </w:tcBorders>
            <w:shd w:val="clear" w:color="auto" w:fill="auto"/>
            <w:vAlign w:val="center"/>
            <w:hideMark/>
          </w:tcPr>
          <w:p w14:paraId="0B87036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212.711.872</w:t>
            </w:r>
          </w:p>
        </w:tc>
        <w:tc>
          <w:tcPr>
            <w:tcW w:w="562" w:type="pct"/>
            <w:tcBorders>
              <w:top w:val="nil"/>
              <w:left w:val="nil"/>
              <w:bottom w:val="single" w:sz="4" w:space="0" w:color="auto"/>
              <w:right w:val="single" w:sz="4" w:space="0" w:color="auto"/>
            </w:tcBorders>
            <w:shd w:val="clear" w:color="auto" w:fill="auto"/>
            <w:noWrap/>
            <w:vAlign w:val="center"/>
            <w:hideMark/>
          </w:tcPr>
          <w:p w14:paraId="559A77D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5,57 %</w:t>
            </w:r>
          </w:p>
        </w:tc>
        <w:tc>
          <w:tcPr>
            <w:tcW w:w="561" w:type="pct"/>
            <w:tcBorders>
              <w:top w:val="nil"/>
              <w:left w:val="nil"/>
              <w:bottom w:val="single" w:sz="4" w:space="0" w:color="auto"/>
              <w:right w:val="single" w:sz="4" w:space="0" w:color="auto"/>
            </w:tcBorders>
            <w:shd w:val="clear" w:color="auto" w:fill="auto"/>
            <w:noWrap/>
            <w:vAlign w:val="center"/>
            <w:hideMark/>
          </w:tcPr>
          <w:p w14:paraId="21F50CE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4,04 %</w:t>
            </w:r>
          </w:p>
        </w:tc>
      </w:tr>
      <w:tr w:rsidR="00F24E18" w:rsidRPr="006C064E" w14:paraId="497135A9"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AB15CC3"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51</w:t>
            </w:r>
          </w:p>
        </w:tc>
        <w:tc>
          <w:tcPr>
            <w:tcW w:w="2163" w:type="pct"/>
            <w:tcBorders>
              <w:top w:val="nil"/>
              <w:left w:val="nil"/>
              <w:bottom w:val="single" w:sz="4" w:space="0" w:color="auto"/>
              <w:right w:val="single" w:sz="4" w:space="0" w:color="auto"/>
            </w:tcBorders>
            <w:shd w:val="clear" w:color="auto" w:fill="auto"/>
            <w:vAlign w:val="center"/>
            <w:hideMark/>
          </w:tcPr>
          <w:p w14:paraId="214073D1"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inštalacije (razen programske opreme)</w:t>
            </w:r>
          </w:p>
        </w:tc>
        <w:tc>
          <w:tcPr>
            <w:tcW w:w="463" w:type="pct"/>
            <w:tcBorders>
              <w:top w:val="nil"/>
              <w:left w:val="nil"/>
              <w:bottom w:val="single" w:sz="4" w:space="0" w:color="auto"/>
              <w:right w:val="single" w:sz="4" w:space="0" w:color="auto"/>
            </w:tcBorders>
            <w:shd w:val="clear" w:color="auto" w:fill="auto"/>
            <w:vAlign w:val="center"/>
            <w:hideMark/>
          </w:tcPr>
          <w:p w14:paraId="40A7DDA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30</w:t>
            </w:r>
          </w:p>
        </w:tc>
        <w:tc>
          <w:tcPr>
            <w:tcW w:w="790" w:type="pct"/>
            <w:tcBorders>
              <w:top w:val="nil"/>
              <w:left w:val="nil"/>
              <w:bottom w:val="single" w:sz="4" w:space="0" w:color="auto"/>
              <w:right w:val="single" w:sz="4" w:space="0" w:color="auto"/>
            </w:tcBorders>
            <w:shd w:val="clear" w:color="auto" w:fill="auto"/>
            <w:vAlign w:val="center"/>
            <w:hideMark/>
          </w:tcPr>
          <w:p w14:paraId="02EE7F5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6.466.654</w:t>
            </w:r>
          </w:p>
        </w:tc>
        <w:tc>
          <w:tcPr>
            <w:tcW w:w="562" w:type="pct"/>
            <w:tcBorders>
              <w:top w:val="nil"/>
              <w:left w:val="nil"/>
              <w:bottom w:val="single" w:sz="4" w:space="0" w:color="auto"/>
              <w:right w:val="single" w:sz="4" w:space="0" w:color="auto"/>
            </w:tcBorders>
            <w:shd w:val="clear" w:color="auto" w:fill="auto"/>
            <w:noWrap/>
            <w:vAlign w:val="center"/>
            <w:hideMark/>
          </w:tcPr>
          <w:p w14:paraId="1298379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0,30 %</w:t>
            </w:r>
          </w:p>
        </w:tc>
        <w:tc>
          <w:tcPr>
            <w:tcW w:w="561" w:type="pct"/>
            <w:tcBorders>
              <w:top w:val="nil"/>
              <w:left w:val="nil"/>
              <w:bottom w:val="single" w:sz="4" w:space="0" w:color="auto"/>
              <w:right w:val="single" w:sz="4" w:space="0" w:color="auto"/>
            </w:tcBorders>
            <w:shd w:val="clear" w:color="auto" w:fill="auto"/>
            <w:noWrap/>
            <w:vAlign w:val="center"/>
            <w:hideMark/>
          </w:tcPr>
          <w:p w14:paraId="7499C03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0,12 %</w:t>
            </w:r>
          </w:p>
        </w:tc>
      </w:tr>
      <w:tr w:rsidR="00F24E18" w:rsidRPr="006C064E" w14:paraId="6EE7D1E1"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7246924"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55</w:t>
            </w:r>
          </w:p>
        </w:tc>
        <w:tc>
          <w:tcPr>
            <w:tcW w:w="2163" w:type="pct"/>
            <w:tcBorders>
              <w:top w:val="nil"/>
              <w:left w:val="nil"/>
              <w:bottom w:val="single" w:sz="4" w:space="0" w:color="auto"/>
              <w:right w:val="single" w:sz="4" w:space="0" w:color="auto"/>
            </w:tcBorders>
            <w:shd w:val="clear" w:color="auto" w:fill="auto"/>
            <w:vAlign w:val="center"/>
            <w:hideMark/>
          </w:tcPr>
          <w:p w14:paraId="6AE24E43"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hotelov, restavracij in trgovine na drobno</w:t>
            </w:r>
          </w:p>
        </w:tc>
        <w:tc>
          <w:tcPr>
            <w:tcW w:w="463" w:type="pct"/>
            <w:tcBorders>
              <w:top w:val="nil"/>
              <w:left w:val="nil"/>
              <w:bottom w:val="single" w:sz="4" w:space="0" w:color="auto"/>
              <w:right w:val="single" w:sz="4" w:space="0" w:color="auto"/>
            </w:tcBorders>
            <w:shd w:val="clear" w:color="auto" w:fill="auto"/>
            <w:vAlign w:val="center"/>
            <w:hideMark/>
          </w:tcPr>
          <w:p w14:paraId="06E1456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8</w:t>
            </w:r>
          </w:p>
        </w:tc>
        <w:tc>
          <w:tcPr>
            <w:tcW w:w="790" w:type="pct"/>
            <w:tcBorders>
              <w:top w:val="nil"/>
              <w:left w:val="nil"/>
              <w:bottom w:val="single" w:sz="4" w:space="0" w:color="auto"/>
              <w:right w:val="single" w:sz="4" w:space="0" w:color="auto"/>
            </w:tcBorders>
            <w:shd w:val="clear" w:color="auto" w:fill="auto"/>
            <w:vAlign w:val="center"/>
            <w:hideMark/>
          </w:tcPr>
          <w:p w14:paraId="0B30F510"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18.148.595</w:t>
            </w:r>
          </w:p>
        </w:tc>
        <w:tc>
          <w:tcPr>
            <w:tcW w:w="562" w:type="pct"/>
            <w:tcBorders>
              <w:top w:val="nil"/>
              <w:left w:val="nil"/>
              <w:bottom w:val="single" w:sz="4" w:space="0" w:color="auto"/>
              <w:right w:val="single" w:sz="4" w:space="0" w:color="auto"/>
            </w:tcBorders>
            <w:shd w:val="clear" w:color="auto" w:fill="auto"/>
            <w:noWrap/>
            <w:vAlign w:val="center"/>
            <w:hideMark/>
          </w:tcPr>
          <w:p w14:paraId="70361C7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0,08 %</w:t>
            </w:r>
          </w:p>
        </w:tc>
        <w:tc>
          <w:tcPr>
            <w:tcW w:w="561" w:type="pct"/>
            <w:tcBorders>
              <w:top w:val="nil"/>
              <w:left w:val="nil"/>
              <w:bottom w:val="single" w:sz="4" w:space="0" w:color="auto"/>
              <w:right w:val="single" w:sz="4" w:space="0" w:color="auto"/>
            </w:tcBorders>
            <w:shd w:val="clear" w:color="auto" w:fill="auto"/>
            <w:noWrap/>
            <w:vAlign w:val="center"/>
            <w:hideMark/>
          </w:tcPr>
          <w:p w14:paraId="66EEB6C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0,34 %</w:t>
            </w:r>
          </w:p>
        </w:tc>
      </w:tr>
      <w:tr w:rsidR="00F24E18" w:rsidRPr="006C064E" w14:paraId="56957755"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E6B84CC"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60</w:t>
            </w:r>
          </w:p>
        </w:tc>
        <w:tc>
          <w:tcPr>
            <w:tcW w:w="2163" w:type="pct"/>
            <w:tcBorders>
              <w:top w:val="nil"/>
              <w:left w:val="nil"/>
              <w:bottom w:val="single" w:sz="4" w:space="0" w:color="auto"/>
              <w:right w:val="single" w:sz="4" w:space="0" w:color="auto"/>
            </w:tcBorders>
            <w:shd w:val="clear" w:color="auto" w:fill="auto"/>
            <w:vAlign w:val="center"/>
            <w:hideMark/>
          </w:tcPr>
          <w:p w14:paraId="0DD25ADB"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Prevozne storitve (razen prevoza odpadkov)</w:t>
            </w:r>
          </w:p>
        </w:tc>
        <w:tc>
          <w:tcPr>
            <w:tcW w:w="463" w:type="pct"/>
            <w:tcBorders>
              <w:top w:val="nil"/>
              <w:left w:val="nil"/>
              <w:bottom w:val="single" w:sz="4" w:space="0" w:color="auto"/>
              <w:right w:val="single" w:sz="4" w:space="0" w:color="auto"/>
            </w:tcBorders>
            <w:shd w:val="clear" w:color="auto" w:fill="auto"/>
            <w:vAlign w:val="center"/>
            <w:hideMark/>
          </w:tcPr>
          <w:p w14:paraId="59F447B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288</w:t>
            </w:r>
          </w:p>
        </w:tc>
        <w:tc>
          <w:tcPr>
            <w:tcW w:w="790" w:type="pct"/>
            <w:tcBorders>
              <w:top w:val="nil"/>
              <w:left w:val="nil"/>
              <w:bottom w:val="single" w:sz="4" w:space="0" w:color="auto"/>
              <w:right w:val="single" w:sz="4" w:space="0" w:color="auto"/>
            </w:tcBorders>
            <w:shd w:val="clear" w:color="auto" w:fill="auto"/>
            <w:vAlign w:val="center"/>
            <w:hideMark/>
          </w:tcPr>
          <w:p w14:paraId="0B71291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797.751.461</w:t>
            </w:r>
          </w:p>
        </w:tc>
        <w:tc>
          <w:tcPr>
            <w:tcW w:w="562" w:type="pct"/>
            <w:tcBorders>
              <w:top w:val="nil"/>
              <w:left w:val="nil"/>
              <w:bottom w:val="single" w:sz="4" w:space="0" w:color="auto"/>
              <w:right w:val="single" w:sz="4" w:space="0" w:color="auto"/>
            </w:tcBorders>
            <w:shd w:val="clear" w:color="auto" w:fill="auto"/>
            <w:noWrap/>
            <w:vAlign w:val="center"/>
            <w:hideMark/>
          </w:tcPr>
          <w:p w14:paraId="0F42A590"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2,91 %</w:t>
            </w:r>
          </w:p>
        </w:tc>
        <w:tc>
          <w:tcPr>
            <w:tcW w:w="561" w:type="pct"/>
            <w:tcBorders>
              <w:top w:val="nil"/>
              <w:left w:val="nil"/>
              <w:bottom w:val="single" w:sz="4" w:space="0" w:color="auto"/>
              <w:right w:val="single" w:sz="4" w:space="0" w:color="auto"/>
            </w:tcBorders>
            <w:shd w:val="clear" w:color="auto" w:fill="auto"/>
            <w:noWrap/>
            <w:vAlign w:val="center"/>
            <w:hideMark/>
          </w:tcPr>
          <w:p w14:paraId="0AD633F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15,13 %</w:t>
            </w:r>
          </w:p>
        </w:tc>
      </w:tr>
      <w:tr w:rsidR="00F24E18" w:rsidRPr="006C064E" w14:paraId="783C57B8"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F0FCC79"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63</w:t>
            </w:r>
          </w:p>
        </w:tc>
        <w:tc>
          <w:tcPr>
            <w:tcW w:w="2163" w:type="pct"/>
            <w:tcBorders>
              <w:top w:val="nil"/>
              <w:left w:val="nil"/>
              <w:bottom w:val="single" w:sz="4" w:space="0" w:color="auto"/>
              <w:right w:val="single" w:sz="4" w:space="0" w:color="auto"/>
            </w:tcBorders>
            <w:shd w:val="clear" w:color="auto" w:fill="auto"/>
            <w:vAlign w:val="center"/>
            <w:hideMark/>
          </w:tcPr>
          <w:p w14:paraId="5C241A91"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Podporne in pomožne prevozne storitve; storitve potovalnih agencij</w:t>
            </w:r>
          </w:p>
        </w:tc>
        <w:tc>
          <w:tcPr>
            <w:tcW w:w="463" w:type="pct"/>
            <w:tcBorders>
              <w:top w:val="nil"/>
              <w:left w:val="nil"/>
              <w:bottom w:val="single" w:sz="4" w:space="0" w:color="auto"/>
              <w:right w:val="single" w:sz="4" w:space="0" w:color="auto"/>
            </w:tcBorders>
            <w:shd w:val="clear" w:color="auto" w:fill="auto"/>
            <w:vAlign w:val="center"/>
            <w:hideMark/>
          </w:tcPr>
          <w:p w14:paraId="701C19F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17</w:t>
            </w:r>
          </w:p>
        </w:tc>
        <w:tc>
          <w:tcPr>
            <w:tcW w:w="790" w:type="pct"/>
            <w:tcBorders>
              <w:top w:val="nil"/>
              <w:left w:val="nil"/>
              <w:bottom w:val="single" w:sz="4" w:space="0" w:color="auto"/>
              <w:right w:val="single" w:sz="4" w:space="0" w:color="auto"/>
            </w:tcBorders>
            <w:shd w:val="clear" w:color="auto" w:fill="auto"/>
            <w:vAlign w:val="center"/>
            <w:hideMark/>
          </w:tcPr>
          <w:p w14:paraId="011E260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48.544.553</w:t>
            </w:r>
          </w:p>
        </w:tc>
        <w:tc>
          <w:tcPr>
            <w:tcW w:w="562" w:type="pct"/>
            <w:tcBorders>
              <w:top w:val="nil"/>
              <w:left w:val="nil"/>
              <w:bottom w:val="single" w:sz="4" w:space="0" w:color="auto"/>
              <w:right w:val="single" w:sz="4" w:space="0" w:color="auto"/>
            </w:tcBorders>
            <w:shd w:val="clear" w:color="auto" w:fill="auto"/>
            <w:noWrap/>
            <w:vAlign w:val="center"/>
            <w:hideMark/>
          </w:tcPr>
          <w:p w14:paraId="7CA4AA3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0,17 %</w:t>
            </w:r>
          </w:p>
        </w:tc>
        <w:tc>
          <w:tcPr>
            <w:tcW w:w="561" w:type="pct"/>
            <w:tcBorders>
              <w:top w:val="nil"/>
              <w:left w:val="nil"/>
              <w:bottom w:val="single" w:sz="4" w:space="0" w:color="auto"/>
              <w:right w:val="single" w:sz="4" w:space="0" w:color="auto"/>
            </w:tcBorders>
            <w:shd w:val="clear" w:color="auto" w:fill="auto"/>
            <w:noWrap/>
            <w:vAlign w:val="center"/>
            <w:hideMark/>
          </w:tcPr>
          <w:p w14:paraId="5423B0A4"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0,92 %</w:t>
            </w:r>
          </w:p>
        </w:tc>
      </w:tr>
      <w:tr w:rsidR="00F24E18" w:rsidRPr="006C064E" w14:paraId="785D0BD6"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DFE2D5F"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64</w:t>
            </w:r>
          </w:p>
        </w:tc>
        <w:tc>
          <w:tcPr>
            <w:tcW w:w="2163" w:type="pct"/>
            <w:tcBorders>
              <w:top w:val="nil"/>
              <w:left w:val="nil"/>
              <w:bottom w:val="single" w:sz="4" w:space="0" w:color="auto"/>
              <w:right w:val="single" w:sz="4" w:space="0" w:color="auto"/>
            </w:tcBorders>
            <w:shd w:val="clear" w:color="auto" w:fill="auto"/>
            <w:vAlign w:val="center"/>
            <w:hideMark/>
          </w:tcPr>
          <w:p w14:paraId="5B1F755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Poštne in telekomunikacijske storitve</w:t>
            </w:r>
          </w:p>
        </w:tc>
        <w:tc>
          <w:tcPr>
            <w:tcW w:w="463" w:type="pct"/>
            <w:tcBorders>
              <w:top w:val="nil"/>
              <w:left w:val="nil"/>
              <w:bottom w:val="single" w:sz="4" w:space="0" w:color="auto"/>
              <w:right w:val="single" w:sz="4" w:space="0" w:color="auto"/>
            </w:tcBorders>
            <w:shd w:val="clear" w:color="auto" w:fill="auto"/>
            <w:vAlign w:val="center"/>
            <w:hideMark/>
          </w:tcPr>
          <w:p w14:paraId="60E5970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47</w:t>
            </w:r>
          </w:p>
        </w:tc>
        <w:tc>
          <w:tcPr>
            <w:tcW w:w="790" w:type="pct"/>
            <w:tcBorders>
              <w:top w:val="nil"/>
              <w:left w:val="nil"/>
              <w:bottom w:val="single" w:sz="4" w:space="0" w:color="auto"/>
              <w:right w:val="single" w:sz="4" w:space="0" w:color="auto"/>
            </w:tcBorders>
            <w:shd w:val="clear" w:color="auto" w:fill="auto"/>
            <w:vAlign w:val="center"/>
            <w:hideMark/>
          </w:tcPr>
          <w:p w14:paraId="62DF83C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29.232.370</w:t>
            </w:r>
          </w:p>
        </w:tc>
        <w:tc>
          <w:tcPr>
            <w:tcW w:w="562" w:type="pct"/>
            <w:tcBorders>
              <w:top w:val="nil"/>
              <w:left w:val="nil"/>
              <w:bottom w:val="single" w:sz="4" w:space="0" w:color="auto"/>
              <w:right w:val="single" w:sz="4" w:space="0" w:color="auto"/>
            </w:tcBorders>
            <w:shd w:val="clear" w:color="auto" w:fill="auto"/>
            <w:noWrap/>
            <w:vAlign w:val="center"/>
            <w:hideMark/>
          </w:tcPr>
          <w:p w14:paraId="33CFC89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0,47 %</w:t>
            </w:r>
          </w:p>
        </w:tc>
        <w:tc>
          <w:tcPr>
            <w:tcW w:w="561" w:type="pct"/>
            <w:tcBorders>
              <w:top w:val="nil"/>
              <w:left w:val="nil"/>
              <w:bottom w:val="single" w:sz="4" w:space="0" w:color="auto"/>
              <w:right w:val="single" w:sz="4" w:space="0" w:color="auto"/>
            </w:tcBorders>
            <w:shd w:val="clear" w:color="auto" w:fill="auto"/>
            <w:noWrap/>
            <w:vAlign w:val="center"/>
            <w:hideMark/>
          </w:tcPr>
          <w:p w14:paraId="454EBAB2"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0,55 %</w:t>
            </w:r>
          </w:p>
        </w:tc>
      </w:tr>
      <w:tr w:rsidR="00F24E18" w:rsidRPr="006C064E" w14:paraId="06F683C9"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249C1465"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65</w:t>
            </w:r>
          </w:p>
        </w:tc>
        <w:tc>
          <w:tcPr>
            <w:tcW w:w="2163" w:type="pct"/>
            <w:tcBorders>
              <w:top w:val="nil"/>
              <w:left w:val="nil"/>
              <w:bottom w:val="single" w:sz="4" w:space="0" w:color="auto"/>
              <w:right w:val="single" w:sz="4" w:space="0" w:color="auto"/>
            </w:tcBorders>
            <w:shd w:val="clear" w:color="auto" w:fill="auto"/>
            <w:vAlign w:val="center"/>
            <w:hideMark/>
          </w:tcPr>
          <w:p w14:paraId="12C71FB7"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Gospodarske javne službe</w:t>
            </w:r>
          </w:p>
        </w:tc>
        <w:tc>
          <w:tcPr>
            <w:tcW w:w="463" w:type="pct"/>
            <w:tcBorders>
              <w:top w:val="nil"/>
              <w:left w:val="nil"/>
              <w:bottom w:val="single" w:sz="4" w:space="0" w:color="auto"/>
              <w:right w:val="single" w:sz="4" w:space="0" w:color="auto"/>
            </w:tcBorders>
            <w:shd w:val="clear" w:color="auto" w:fill="auto"/>
            <w:vAlign w:val="center"/>
            <w:hideMark/>
          </w:tcPr>
          <w:p w14:paraId="7C186BB8"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9</w:t>
            </w:r>
          </w:p>
        </w:tc>
        <w:tc>
          <w:tcPr>
            <w:tcW w:w="790" w:type="pct"/>
            <w:tcBorders>
              <w:top w:val="nil"/>
              <w:left w:val="nil"/>
              <w:bottom w:val="single" w:sz="4" w:space="0" w:color="auto"/>
              <w:right w:val="single" w:sz="4" w:space="0" w:color="auto"/>
            </w:tcBorders>
            <w:shd w:val="clear" w:color="auto" w:fill="auto"/>
            <w:vAlign w:val="center"/>
            <w:hideMark/>
          </w:tcPr>
          <w:p w14:paraId="4FE9738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5.458.269</w:t>
            </w:r>
          </w:p>
        </w:tc>
        <w:tc>
          <w:tcPr>
            <w:tcW w:w="562" w:type="pct"/>
            <w:tcBorders>
              <w:top w:val="nil"/>
              <w:left w:val="nil"/>
              <w:bottom w:val="single" w:sz="4" w:space="0" w:color="auto"/>
              <w:right w:val="single" w:sz="4" w:space="0" w:color="auto"/>
            </w:tcBorders>
            <w:shd w:val="clear" w:color="auto" w:fill="auto"/>
            <w:noWrap/>
            <w:vAlign w:val="center"/>
            <w:hideMark/>
          </w:tcPr>
          <w:p w14:paraId="4A02858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0,09 %</w:t>
            </w:r>
          </w:p>
        </w:tc>
        <w:tc>
          <w:tcPr>
            <w:tcW w:w="561" w:type="pct"/>
            <w:tcBorders>
              <w:top w:val="nil"/>
              <w:left w:val="nil"/>
              <w:bottom w:val="single" w:sz="4" w:space="0" w:color="auto"/>
              <w:right w:val="single" w:sz="4" w:space="0" w:color="auto"/>
            </w:tcBorders>
            <w:shd w:val="clear" w:color="auto" w:fill="auto"/>
            <w:noWrap/>
            <w:vAlign w:val="center"/>
            <w:hideMark/>
          </w:tcPr>
          <w:p w14:paraId="5DC919FA"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0,10 %</w:t>
            </w:r>
          </w:p>
        </w:tc>
      </w:tr>
      <w:tr w:rsidR="00F24E18" w:rsidRPr="006C064E" w14:paraId="39A3366F"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A2A6214"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66</w:t>
            </w:r>
          </w:p>
        </w:tc>
        <w:tc>
          <w:tcPr>
            <w:tcW w:w="2163" w:type="pct"/>
            <w:tcBorders>
              <w:top w:val="nil"/>
              <w:left w:val="nil"/>
              <w:bottom w:val="single" w:sz="4" w:space="0" w:color="auto"/>
              <w:right w:val="single" w:sz="4" w:space="0" w:color="auto"/>
            </w:tcBorders>
            <w:shd w:val="clear" w:color="auto" w:fill="auto"/>
            <w:vAlign w:val="center"/>
            <w:hideMark/>
          </w:tcPr>
          <w:p w14:paraId="07016B9E"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Finančne in zavarovalniške storitve</w:t>
            </w:r>
          </w:p>
        </w:tc>
        <w:tc>
          <w:tcPr>
            <w:tcW w:w="463" w:type="pct"/>
            <w:tcBorders>
              <w:top w:val="nil"/>
              <w:left w:val="nil"/>
              <w:bottom w:val="single" w:sz="4" w:space="0" w:color="auto"/>
              <w:right w:val="single" w:sz="4" w:space="0" w:color="auto"/>
            </w:tcBorders>
            <w:shd w:val="clear" w:color="auto" w:fill="auto"/>
            <w:vAlign w:val="center"/>
            <w:hideMark/>
          </w:tcPr>
          <w:p w14:paraId="5C8A316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133</w:t>
            </w:r>
          </w:p>
        </w:tc>
        <w:tc>
          <w:tcPr>
            <w:tcW w:w="790" w:type="pct"/>
            <w:tcBorders>
              <w:top w:val="nil"/>
              <w:left w:val="nil"/>
              <w:bottom w:val="single" w:sz="4" w:space="0" w:color="auto"/>
              <w:right w:val="single" w:sz="4" w:space="0" w:color="auto"/>
            </w:tcBorders>
            <w:shd w:val="clear" w:color="auto" w:fill="auto"/>
            <w:vAlign w:val="center"/>
            <w:hideMark/>
          </w:tcPr>
          <w:p w14:paraId="3C967F02"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123.329.893</w:t>
            </w:r>
          </w:p>
        </w:tc>
        <w:tc>
          <w:tcPr>
            <w:tcW w:w="562" w:type="pct"/>
            <w:tcBorders>
              <w:top w:val="nil"/>
              <w:left w:val="nil"/>
              <w:bottom w:val="single" w:sz="4" w:space="0" w:color="auto"/>
              <w:right w:val="single" w:sz="4" w:space="0" w:color="auto"/>
            </w:tcBorders>
            <w:shd w:val="clear" w:color="auto" w:fill="auto"/>
            <w:noWrap/>
            <w:vAlign w:val="center"/>
            <w:hideMark/>
          </w:tcPr>
          <w:p w14:paraId="74933ED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1,34 %</w:t>
            </w:r>
          </w:p>
        </w:tc>
        <w:tc>
          <w:tcPr>
            <w:tcW w:w="561" w:type="pct"/>
            <w:tcBorders>
              <w:top w:val="nil"/>
              <w:left w:val="nil"/>
              <w:bottom w:val="single" w:sz="4" w:space="0" w:color="auto"/>
              <w:right w:val="single" w:sz="4" w:space="0" w:color="auto"/>
            </w:tcBorders>
            <w:shd w:val="clear" w:color="auto" w:fill="auto"/>
            <w:noWrap/>
            <w:vAlign w:val="center"/>
            <w:hideMark/>
          </w:tcPr>
          <w:p w14:paraId="4FDF03D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2,34 %</w:t>
            </w:r>
          </w:p>
        </w:tc>
      </w:tr>
      <w:tr w:rsidR="00F24E18" w:rsidRPr="006C064E" w14:paraId="6FFACD6A"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56C064F"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70</w:t>
            </w:r>
          </w:p>
        </w:tc>
        <w:tc>
          <w:tcPr>
            <w:tcW w:w="2163" w:type="pct"/>
            <w:tcBorders>
              <w:top w:val="nil"/>
              <w:left w:val="nil"/>
              <w:bottom w:val="single" w:sz="4" w:space="0" w:color="auto"/>
              <w:right w:val="single" w:sz="4" w:space="0" w:color="auto"/>
            </w:tcBorders>
            <w:shd w:val="clear" w:color="auto" w:fill="auto"/>
            <w:vAlign w:val="center"/>
            <w:hideMark/>
          </w:tcPr>
          <w:p w14:paraId="5C3AD133"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poslovanja z nepremičninami</w:t>
            </w:r>
          </w:p>
        </w:tc>
        <w:tc>
          <w:tcPr>
            <w:tcW w:w="463" w:type="pct"/>
            <w:tcBorders>
              <w:top w:val="nil"/>
              <w:left w:val="nil"/>
              <w:bottom w:val="single" w:sz="4" w:space="0" w:color="auto"/>
              <w:right w:val="single" w:sz="4" w:space="0" w:color="auto"/>
            </w:tcBorders>
            <w:shd w:val="clear" w:color="auto" w:fill="auto"/>
            <w:vAlign w:val="center"/>
            <w:hideMark/>
          </w:tcPr>
          <w:p w14:paraId="57787CD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w:t>
            </w:r>
          </w:p>
        </w:tc>
        <w:tc>
          <w:tcPr>
            <w:tcW w:w="790" w:type="pct"/>
            <w:tcBorders>
              <w:top w:val="nil"/>
              <w:left w:val="nil"/>
              <w:bottom w:val="single" w:sz="4" w:space="0" w:color="auto"/>
              <w:right w:val="single" w:sz="4" w:space="0" w:color="auto"/>
            </w:tcBorders>
            <w:shd w:val="clear" w:color="auto" w:fill="auto"/>
            <w:vAlign w:val="center"/>
            <w:hideMark/>
          </w:tcPr>
          <w:p w14:paraId="445988B0"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597.415</w:t>
            </w:r>
          </w:p>
        </w:tc>
        <w:tc>
          <w:tcPr>
            <w:tcW w:w="562" w:type="pct"/>
            <w:tcBorders>
              <w:top w:val="nil"/>
              <w:left w:val="nil"/>
              <w:bottom w:val="single" w:sz="4" w:space="0" w:color="auto"/>
              <w:right w:val="single" w:sz="4" w:space="0" w:color="auto"/>
            </w:tcBorders>
            <w:shd w:val="clear" w:color="auto" w:fill="auto"/>
            <w:noWrap/>
            <w:vAlign w:val="center"/>
            <w:hideMark/>
          </w:tcPr>
          <w:p w14:paraId="39DDA034"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0,02 %</w:t>
            </w:r>
          </w:p>
        </w:tc>
        <w:tc>
          <w:tcPr>
            <w:tcW w:w="561" w:type="pct"/>
            <w:tcBorders>
              <w:top w:val="nil"/>
              <w:left w:val="nil"/>
              <w:bottom w:val="single" w:sz="4" w:space="0" w:color="auto"/>
              <w:right w:val="single" w:sz="4" w:space="0" w:color="auto"/>
            </w:tcBorders>
            <w:shd w:val="clear" w:color="auto" w:fill="auto"/>
            <w:noWrap/>
            <w:vAlign w:val="center"/>
            <w:hideMark/>
          </w:tcPr>
          <w:p w14:paraId="0657C3A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0,01 %</w:t>
            </w:r>
          </w:p>
        </w:tc>
      </w:tr>
      <w:tr w:rsidR="00F24E18" w:rsidRPr="006C064E" w14:paraId="768FF7C3"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03A7483C"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71</w:t>
            </w:r>
          </w:p>
        </w:tc>
        <w:tc>
          <w:tcPr>
            <w:tcW w:w="2163" w:type="pct"/>
            <w:tcBorders>
              <w:top w:val="nil"/>
              <w:left w:val="nil"/>
              <w:bottom w:val="single" w:sz="4" w:space="0" w:color="auto"/>
              <w:right w:val="single" w:sz="4" w:space="0" w:color="auto"/>
            </w:tcBorders>
            <w:shd w:val="clear" w:color="auto" w:fill="auto"/>
            <w:vAlign w:val="center"/>
            <w:hideMark/>
          </w:tcPr>
          <w:p w14:paraId="438AC87D"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Arhitekturne, gradbeniške, inženirske in inšpekcijske storitve</w:t>
            </w:r>
          </w:p>
        </w:tc>
        <w:tc>
          <w:tcPr>
            <w:tcW w:w="463" w:type="pct"/>
            <w:tcBorders>
              <w:top w:val="nil"/>
              <w:left w:val="nil"/>
              <w:bottom w:val="single" w:sz="4" w:space="0" w:color="auto"/>
              <w:right w:val="single" w:sz="4" w:space="0" w:color="auto"/>
            </w:tcBorders>
            <w:shd w:val="clear" w:color="auto" w:fill="auto"/>
            <w:vAlign w:val="center"/>
            <w:hideMark/>
          </w:tcPr>
          <w:p w14:paraId="3E3A4112"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243</w:t>
            </w:r>
          </w:p>
        </w:tc>
        <w:tc>
          <w:tcPr>
            <w:tcW w:w="790" w:type="pct"/>
            <w:tcBorders>
              <w:top w:val="nil"/>
              <w:left w:val="nil"/>
              <w:bottom w:val="single" w:sz="4" w:space="0" w:color="auto"/>
              <w:right w:val="single" w:sz="4" w:space="0" w:color="auto"/>
            </w:tcBorders>
            <w:shd w:val="clear" w:color="auto" w:fill="auto"/>
            <w:vAlign w:val="center"/>
            <w:hideMark/>
          </w:tcPr>
          <w:p w14:paraId="5BDF2B5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170.184.120</w:t>
            </w:r>
          </w:p>
        </w:tc>
        <w:tc>
          <w:tcPr>
            <w:tcW w:w="562" w:type="pct"/>
            <w:tcBorders>
              <w:top w:val="nil"/>
              <w:left w:val="nil"/>
              <w:bottom w:val="single" w:sz="4" w:space="0" w:color="auto"/>
              <w:right w:val="single" w:sz="4" w:space="0" w:color="auto"/>
            </w:tcBorders>
            <w:shd w:val="clear" w:color="auto" w:fill="auto"/>
            <w:noWrap/>
            <w:vAlign w:val="center"/>
            <w:hideMark/>
          </w:tcPr>
          <w:p w14:paraId="1B8DFC8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2,45 %</w:t>
            </w:r>
          </w:p>
        </w:tc>
        <w:tc>
          <w:tcPr>
            <w:tcW w:w="561" w:type="pct"/>
            <w:tcBorders>
              <w:top w:val="nil"/>
              <w:left w:val="nil"/>
              <w:bottom w:val="single" w:sz="4" w:space="0" w:color="auto"/>
              <w:right w:val="single" w:sz="4" w:space="0" w:color="auto"/>
            </w:tcBorders>
            <w:shd w:val="clear" w:color="auto" w:fill="auto"/>
            <w:noWrap/>
            <w:vAlign w:val="center"/>
            <w:hideMark/>
          </w:tcPr>
          <w:p w14:paraId="311E683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3,23 %</w:t>
            </w:r>
          </w:p>
        </w:tc>
      </w:tr>
      <w:tr w:rsidR="00F24E18" w:rsidRPr="006C064E" w14:paraId="0BA7A3B1"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0C20FD7D"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72</w:t>
            </w:r>
          </w:p>
        </w:tc>
        <w:tc>
          <w:tcPr>
            <w:tcW w:w="2163" w:type="pct"/>
            <w:tcBorders>
              <w:top w:val="nil"/>
              <w:left w:val="nil"/>
              <w:bottom w:val="single" w:sz="4" w:space="0" w:color="auto"/>
              <w:right w:val="single" w:sz="4" w:space="0" w:color="auto"/>
            </w:tcBorders>
            <w:shd w:val="clear" w:color="auto" w:fill="auto"/>
            <w:vAlign w:val="center"/>
            <w:hideMark/>
          </w:tcPr>
          <w:p w14:paraId="68A94B7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informacijske tehnologije: svetovanje, razvoj programske opreme, internet in podpora</w:t>
            </w:r>
          </w:p>
        </w:tc>
        <w:tc>
          <w:tcPr>
            <w:tcW w:w="463" w:type="pct"/>
            <w:tcBorders>
              <w:top w:val="nil"/>
              <w:left w:val="nil"/>
              <w:bottom w:val="single" w:sz="4" w:space="0" w:color="auto"/>
              <w:right w:val="single" w:sz="4" w:space="0" w:color="auto"/>
            </w:tcBorders>
            <w:shd w:val="clear" w:color="auto" w:fill="auto"/>
            <w:vAlign w:val="center"/>
            <w:hideMark/>
          </w:tcPr>
          <w:p w14:paraId="41C0469B"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274</w:t>
            </w:r>
          </w:p>
        </w:tc>
        <w:tc>
          <w:tcPr>
            <w:tcW w:w="790" w:type="pct"/>
            <w:tcBorders>
              <w:top w:val="nil"/>
              <w:left w:val="nil"/>
              <w:bottom w:val="single" w:sz="4" w:space="0" w:color="auto"/>
              <w:right w:val="single" w:sz="4" w:space="0" w:color="auto"/>
            </w:tcBorders>
            <w:shd w:val="clear" w:color="auto" w:fill="auto"/>
            <w:vAlign w:val="center"/>
            <w:hideMark/>
          </w:tcPr>
          <w:p w14:paraId="08617B42"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223.152.272</w:t>
            </w:r>
          </w:p>
        </w:tc>
        <w:tc>
          <w:tcPr>
            <w:tcW w:w="562" w:type="pct"/>
            <w:tcBorders>
              <w:top w:val="nil"/>
              <w:left w:val="nil"/>
              <w:bottom w:val="single" w:sz="4" w:space="0" w:color="auto"/>
              <w:right w:val="single" w:sz="4" w:space="0" w:color="auto"/>
            </w:tcBorders>
            <w:shd w:val="clear" w:color="auto" w:fill="auto"/>
            <w:noWrap/>
            <w:vAlign w:val="center"/>
            <w:hideMark/>
          </w:tcPr>
          <w:p w14:paraId="1EC24960"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2,77 %</w:t>
            </w:r>
          </w:p>
        </w:tc>
        <w:tc>
          <w:tcPr>
            <w:tcW w:w="561" w:type="pct"/>
            <w:tcBorders>
              <w:top w:val="nil"/>
              <w:left w:val="nil"/>
              <w:bottom w:val="single" w:sz="4" w:space="0" w:color="auto"/>
              <w:right w:val="single" w:sz="4" w:space="0" w:color="auto"/>
            </w:tcBorders>
            <w:shd w:val="clear" w:color="auto" w:fill="auto"/>
            <w:noWrap/>
            <w:vAlign w:val="center"/>
            <w:hideMark/>
          </w:tcPr>
          <w:p w14:paraId="1E85BCC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4,23 %</w:t>
            </w:r>
          </w:p>
        </w:tc>
      </w:tr>
      <w:tr w:rsidR="00F24E18" w:rsidRPr="006C064E" w14:paraId="3547C1DC"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93F73C6"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73</w:t>
            </w:r>
          </w:p>
        </w:tc>
        <w:tc>
          <w:tcPr>
            <w:tcW w:w="2163" w:type="pct"/>
            <w:tcBorders>
              <w:top w:val="nil"/>
              <w:left w:val="nil"/>
              <w:bottom w:val="single" w:sz="4" w:space="0" w:color="auto"/>
              <w:right w:val="single" w:sz="4" w:space="0" w:color="auto"/>
            </w:tcBorders>
            <w:shd w:val="clear" w:color="auto" w:fill="auto"/>
            <w:vAlign w:val="center"/>
            <w:hideMark/>
          </w:tcPr>
          <w:p w14:paraId="52494EC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na področju raziskav in razvoja ter s tem povezane svetovalne storitve</w:t>
            </w:r>
          </w:p>
        </w:tc>
        <w:tc>
          <w:tcPr>
            <w:tcW w:w="463" w:type="pct"/>
            <w:tcBorders>
              <w:top w:val="nil"/>
              <w:left w:val="nil"/>
              <w:bottom w:val="single" w:sz="4" w:space="0" w:color="auto"/>
              <w:right w:val="single" w:sz="4" w:space="0" w:color="auto"/>
            </w:tcBorders>
            <w:shd w:val="clear" w:color="auto" w:fill="auto"/>
            <w:vAlign w:val="center"/>
            <w:hideMark/>
          </w:tcPr>
          <w:p w14:paraId="61608FB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12</w:t>
            </w:r>
          </w:p>
        </w:tc>
        <w:tc>
          <w:tcPr>
            <w:tcW w:w="790" w:type="pct"/>
            <w:tcBorders>
              <w:top w:val="nil"/>
              <w:left w:val="nil"/>
              <w:bottom w:val="single" w:sz="4" w:space="0" w:color="auto"/>
              <w:right w:val="single" w:sz="4" w:space="0" w:color="auto"/>
            </w:tcBorders>
            <w:shd w:val="clear" w:color="auto" w:fill="auto"/>
            <w:vAlign w:val="center"/>
            <w:hideMark/>
          </w:tcPr>
          <w:p w14:paraId="50776F9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14.696.603</w:t>
            </w:r>
          </w:p>
        </w:tc>
        <w:tc>
          <w:tcPr>
            <w:tcW w:w="562" w:type="pct"/>
            <w:tcBorders>
              <w:top w:val="nil"/>
              <w:left w:val="nil"/>
              <w:bottom w:val="single" w:sz="4" w:space="0" w:color="auto"/>
              <w:right w:val="single" w:sz="4" w:space="0" w:color="auto"/>
            </w:tcBorders>
            <w:shd w:val="clear" w:color="auto" w:fill="auto"/>
            <w:noWrap/>
            <w:vAlign w:val="center"/>
            <w:hideMark/>
          </w:tcPr>
          <w:p w14:paraId="110118E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0,12 %</w:t>
            </w:r>
          </w:p>
        </w:tc>
        <w:tc>
          <w:tcPr>
            <w:tcW w:w="561" w:type="pct"/>
            <w:tcBorders>
              <w:top w:val="nil"/>
              <w:left w:val="nil"/>
              <w:bottom w:val="single" w:sz="4" w:space="0" w:color="auto"/>
              <w:right w:val="single" w:sz="4" w:space="0" w:color="auto"/>
            </w:tcBorders>
            <w:shd w:val="clear" w:color="auto" w:fill="auto"/>
            <w:noWrap/>
            <w:vAlign w:val="center"/>
            <w:hideMark/>
          </w:tcPr>
          <w:p w14:paraId="7225F57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0,28 %</w:t>
            </w:r>
          </w:p>
        </w:tc>
      </w:tr>
      <w:tr w:rsidR="00F24E18" w:rsidRPr="006C064E" w14:paraId="50E5220E"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CE4DBBB"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75</w:t>
            </w:r>
          </w:p>
        </w:tc>
        <w:tc>
          <w:tcPr>
            <w:tcW w:w="2163" w:type="pct"/>
            <w:tcBorders>
              <w:top w:val="nil"/>
              <w:left w:val="nil"/>
              <w:bottom w:val="single" w:sz="4" w:space="0" w:color="auto"/>
              <w:right w:val="single" w:sz="4" w:space="0" w:color="auto"/>
            </w:tcBorders>
            <w:shd w:val="clear" w:color="auto" w:fill="auto"/>
            <w:vAlign w:val="center"/>
            <w:hideMark/>
          </w:tcPr>
          <w:p w14:paraId="12CE615D"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uprave, obrambe in socialnega zavarovanja</w:t>
            </w:r>
          </w:p>
        </w:tc>
        <w:tc>
          <w:tcPr>
            <w:tcW w:w="463" w:type="pct"/>
            <w:tcBorders>
              <w:top w:val="nil"/>
              <w:left w:val="nil"/>
              <w:bottom w:val="single" w:sz="4" w:space="0" w:color="auto"/>
              <w:right w:val="single" w:sz="4" w:space="0" w:color="auto"/>
            </w:tcBorders>
            <w:shd w:val="clear" w:color="auto" w:fill="auto"/>
            <w:vAlign w:val="center"/>
            <w:hideMark/>
          </w:tcPr>
          <w:p w14:paraId="1279EAC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w:t>
            </w:r>
          </w:p>
        </w:tc>
        <w:tc>
          <w:tcPr>
            <w:tcW w:w="790" w:type="pct"/>
            <w:tcBorders>
              <w:top w:val="nil"/>
              <w:left w:val="nil"/>
              <w:bottom w:val="single" w:sz="4" w:space="0" w:color="auto"/>
              <w:right w:val="single" w:sz="4" w:space="0" w:color="auto"/>
            </w:tcBorders>
            <w:shd w:val="clear" w:color="auto" w:fill="auto"/>
            <w:vAlign w:val="center"/>
            <w:hideMark/>
          </w:tcPr>
          <w:p w14:paraId="6A2FA9E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3.679.004</w:t>
            </w:r>
          </w:p>
        </w:tc>
        <w:tc>
          <w:tcPr>
            <w:tcW w:w="562" w:type="pct"/>
            <w:tcBorders>
              <w:top w:val="nil"/>
              <w:left w:val="nil"/>
              <w:bottom w:val="single" w:sz="4" w:space="0" w:color="auto"/>
              <w:right w:val="single" w:sz="4" w:space="0" w:color="auto"/>
            </w:tcBorders>
            <w:shd w:val="clear" w:color="auto" w:fill="auto"/>
            <w:noWrap/>
            <w:vAlign w:val="center"/>
            <w:hideMark/>
          </w:tcPr>
          <w:p w14:paraId="4196012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0,02 %</w:t>
            </w:r>
          </w:p>
        </w:tc>
        <w:tc>
          <w:tcPr>
            <w:tcW w:w="561" w:type="pct"/>
            <w:tcBorders>
              <w:top w:val="nil"/>
              <w:left w:val="nil"/>
              <w:bottom w:val="single" w:sz="4" w:space="0" w:color="auto"/>
              <w:right w:val="single" w:sz="4" w:space="0" w:color="auto"/>
            </w:tcBorders>
            <w:shd w:val="clear" w:color="auto" w:fill="auto"/>
            <w:noWrap/>
            <w:vAlign w:val="center"/>
            <w:hideMark/>
          </w:tcPr>
          <w:p w14:paraId="32B7D14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0,07 %</w:t>
            </w:r>
          </w:p>
        </w:tc>
      </w:tr>
      <w:tr w:rsidR="00F24E18" w:rsidRPr="006C064E" w14:paraId="7B166D9F"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01585DF0"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76</w:t>
            </w:r>
          </w:p>
        </w:tc>
        <w:tc>
          <w:tcPr>
            <w:tcW w:w="2163" w:type="pct"/>
            <w:tcBorders>
              <w:top w:val="nil"/>
              <w:left w:val="nil"/>
              <w:bottom w:val="single" w:sz="4" w:space="0" w:color="auto"/>
              <w:right w:val="single" w:sz="4" w:space="0" w:color="auto"/>
            </w:tcBorders>
            <w:shd w:val="clear" w:color="auto" w:fill="auto"/>
            <w:vAlign w:val="center"/>
            <w:hideMark/>
          </w:tcPr>
          <w:p w14:paraId="3618746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povezane z industrijo nafte in zemeljskega plina</w:t>
            </w:r>
          </w:p>
        </w:tc>
        <w:tc>
          <w:tcPr>
            <w:tcW w:w="463" w:type="pct"/>
            <w:tcBorders>
              <w:top w:val="nil"/>
              <w:left w:val="nil"/>
              <w:bottom w:val="single" w:sz="4" w:space="0" w:color="auto"/>
              <w:right w:val="single" w:sz="4" w:space="0" w:color="auto"/>
            </w:tcBorders>
            <w:shd w:val="clear" w:color="auto" w:fill="auto"/>
            <w:vAlign w:val="center"/>
            <w:hideMark/>
          </w:tcPr>
          <w:p w14:paraId="6336D123"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w:t>
            </w:r>
          </w:p>
        </w:tc>
        <w:tc>
          <w:tcPr>
            <w:tcW w:w="790" w:type="pct"/>
            <w:tcBorders>
              <w:top w:val="nil"/>
              <w:left w:val="nil"/>
              <w:bottom w:val="single" w:sz="4" w:space="0" w:color="auto"/>
              <w:right w:val="single" w:sz="4" w:space="0" w:color="auto"/>
            </w:tcBorders>
            <w:shd w:val="clear" w:color="auto" w:fill="auto"/>
            <w:vAlign w:val="center"/>
            <w:hideMark/>
          </w:tcPr>
          <w:p w14:paraId="49020DB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1.201.072</w:t>
            </w:r>
          </w:p>
        </w:tc>
        <w:tc>
          <w:tcPr>
            <w:tcW w:w="562" w:type="pct"/>
            <w:tcBorders>
              <w:top w:val="nil"/>
              <w:left w:val="nil"/>
              <w:bottom w:val="single" w:sz="4" w:space="0" w:color="auto"/>
              <w:right w:val="single" w:sz="4" w:space="0" w:color="auto"/>
            </w:tcBorders>
            <w:shd w:val="clear" w:color="auto" w:fill="auto"/>
            <w:noWrap/>
            <w:vAlign w:val="center"/>
            <w:hideMark/>
          </w:tcPr>
          <w:p w14:paraId="6ED53C2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0,05 %</w:t>
            </w:r>
          </w:p>
        </w:tc>
        <w:tc>
          <w:tcPr>
            <w:tcW w:w="561" w:type="pct"/>
            <w:tcBorders>
              <w:top w:val="nil"/>
              <w:left w:val="nil"/>
              <w:bottom w:val="single" w:sz="4" w:space="0" w:color="auto"/>
              <w:right w:val="single" w:sz="4" w:space="0" w:color="auto"/>
            </w:tcBorders>
            <w:shd w:val="clear" w:color="auto" w:fill="auto"/>
            <w:noWrap/>
            <w:vAlign w:val="center"/>
            <w:hideMark/>
          </w:tcPr>
          <w:p w14:paraId="0571D574"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0,02 %</w:t>
            </w:r>
          </w:p>
        </w:tc>
      </w:tr>
      <w:tr w:rsidR="00F24E18" w:rsidRPr="006C064E" w14:paraId="666EC1D0"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26786C97"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77</w:t>
            </w:r>
          </w:p>
        </w:tc>
        <w:tc>
          <w:tcPr>
            <w:tcW w:w="2163" w:type="pct"/>
            <w:tcBorders>
              <w:top w:val="nil"/>
              <w:left w:val="nil"/>
              <w:bottom w:val="single" w:sz="4" w:space="0" w:color="auto"/>
              <w:right w:val="single" w:sz="4" w:space="0" w:color="auto"/>
            </w:tcBorders>
            <w:shd w:val="clear" w:color="auto" w:fill="auto"/>
            <w:vAlign w:val="center"/>
            <w:hideMark/>
          </w:tcPr>
          <w:p w14:paraId="74EAB232"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na področju kmetijstva, gozdarstva, hortikulture, akvakulture in čebelarstva</w:t>
            </w:r>
          </w:p>
        </w:tc>
        <w:tc>
          <w:tcPr>
            <w:tcW w:w="463" w:type="pct"/>
            <w:tcBorders>
              <w:top w:val="nil"/>
              <w:left w:val="nil"/>
              <w:bottom w:val="single" w:sz="4" w:space="0" w:color="auto"/>
              <w:right w:val="single" w:sz="4" w:space="0" w:color="auto"/>
            </w:tcBorders>
            <w:shd w:val="clear" w:color="auto" w:fill="auto"/>
            <w:vAlign w:val="center"/>
            <w:hideMark/>
          </w:tcPr>
          <w:p w14:paraId="6AC32418"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197</w:t>
            </w:r>
          </w:p>
        </w:tc>
        <w:tc>
          <w:tcPr>
            <w:tcW w:w="790" w:type="pct"/>
            <w:tcBorders>
              <w:top w:val="nil"/>
              <w:left w:val="nil"/>
              <w:bottom w:val="single" w:sz="4" w:space="0" w:color="auto"/>
              <w:right w:val="single" w:sz="4" w:space="0" w:color="auto"/>
            </w:tcBorders>
            <w:shd w:val="clear" w:color="auto" w:fill="auto"/>
            <w:vAlign w:val="center"/>
            <w:hideMark/>
          </w:tcPr>
          <w:p w14:paraId="5B4C975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110.481.270</w:t>
            </w:r>
          </w:p>
        </w:tc>
        <w:tc>
          <w:tcPr>
            <w:tcW w:w="562" w:type="pct"/>
            <w:tcBorders>
              <w:top w:val="nil"/>
              <w:left w:val="nil"/>
              <w:bottom w:val="single" w:sz="4" w:space="0" w:color="auto"/>
              <w:right w:val="single" w:sz="4" w:space="0" w:color="auto"/>
            </w:tcBorders>
            <w:shd w:val="clear" w:color="auto" w:fill="auto"/>
            <w:noWrap/>
            <w:vAlign w:val="center"/>
            <w:hideMark/>
          </w:tcPr>
          <w:p w14:paraId="2456D0A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1,99 %</w:t>
            </w:r>
          </w:p>
        </w:tc>
        <w:tc>
          <w:tcPr>
            <w:tcW w:w="561" w:type="pct"/>
            <w:tcBorders>
              <w:top w:val="nil"/>
              <w:left w:val="nil"/>
              <w:bottom w:val="single" w:sz="4" w:space="0" w:color="auto"/>
              <w:right w:val="single" w:sz="4" w:space="0" w:color="auto"/>
            </w:tcBorders>
            <w:shd w:val="clear" w:color="auto" w:fill="auto"/>
            <w:noWrap/>
            <w:vAlign w:val="center"/>
            <w:hideMark/>
          </w:tcPr>
          <w:p w14:paraId="318F6DA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2,10 %</w:t>
            </w:r>
          </w:p>
        </w:tc>
      </w:tr>
      <w:tr w:rsidR="00F24E18" w:rsidRPr="006C064E" w14:paraId="5D9619DD"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20E2519"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79</w:t>
            </w:r>
          </w:p>
        </w:tc>
        <w:tc>
          <w:tcPr>
            <w:tcW w:w="2163" w:type="pct"/>
            <w:tcBorders>
              <w:top w:val="nil"/>
              <w:left w:val="nil"/>
              <w:bottom w:val="single" w:sz="4" w:space="0" w:color="auto"/>
              <w:right w:val="single" w:sz="4" w:space="0" w:color="auto"/>
            </w:tcBorders>
            <w:shd w:val="clear" w:color="auto" w:fill="auto"/>
            <w:vAlign w:val="center"/>
            <w:hideMark/>
          </w:tcPr>
          <w:p w14:paraId="33B2166F"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Poslovne storitve: pravo, trženje, svetovanje, zaposlovanje, tiskanje in varnost</w:t>
            </w:r>
          </w:p>
        </w:tc>
        <w:tc>
          <w:tcPr>
            <w:tcW w:w="463" w:type="pct"/>
            <w:tcBorders>
              <w:top w:val="nil"/>
              <w:left w:val="nil"/>
              <w:bottom w:val="single" w:sz="4" w:space="0" w:color="auto"/>
              <w:right w:val="single" w:sz="4" w:space="0" w:color="auto"/>
            </w:tcBorders>
            <w:shd w:val="clear" w:color="auto" w:fill="auto"/>
            <w:vAlign w:val="center"/>
            <w:hideMark/>
          </w:tcPr>
          <w:p w14:paraId="52137EC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149</w:t>
            </w:r>
          </w:p>
        </w:tc>
        <w:tc>
          <w:tcPr>
            <w:tcW w:w="790" w:type="pct"/>
            <w:tcBorders>
              <w:top w:val="nil"/>
              <w:left w:val="nil"/>
              <w:bottom w:val="single" w:sz="4" w:space="0" w:color="auto"/>
              <w:right w:val="single" w:sz="4" w:space="0" w:color="auto"/>
            </w:tcBorders>
            <w:shd w:val="clear" w:color="auto" w:fill="auto"/>
            <w:vAlign w:val="center"/>
            <w:hideMark/>
          </w:tcPr>
          <w:p w14:paraId="50F4A6E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61.360.884</w:t>
            </w:r>
          </w:p>
        </w:tc>
        <w:tc>
          <w:tcPr>
            <w:tcW w:w="562" w:type="pct"/>
            <w:tcBorders>
              <w:top w:val="nil"/>
              <w:left w:val="nil"/>
              <w:bottom w:val="single" w:sz="4" w:space="0" w:color="auto"/>
              <w:right w:val="single" w:sz="4" w:space="0" w:color="auto"/>
            </w:tcBorders>
            <w:shd w:val="clear" w:color="auto" w:fill="auto"/>
            <w:noWrap/>
            <w:vAlign w:val="center"/>
            <w:hideMark/>
          </w:tcPr>
          <w:p w14:paraId="54B41F12"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1,51 %</w:t>
            </w:r>
          </w:p>
        </w:tc>
        <w:tc>
          <w:tcPr>
            <w:tcW w:w="561" w:type="pct"/>
            <w:tcBorders>
              <w:top w:val="nil"/>
              <w:left w:val="nil"/>
              <w:bottom w:val="single" w:sz="4" w:space="0" w:color="auto"/>
              <w:right w:val="single" w:sz="4" w:space="0" w:color="auto"/>
            </w:tcBorders>
            <w:shd w:val="clear" w:color="auto" w:fill="auto"/>
            <w:noWrap/>
            <w:vAlign w:val="center"/>
            <w:hideMark/>
          </w:tcPr>
          <w:p w14:paraId="1D18DAF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1,16 %</w:t>
            </w:r>
          </w:p>
        </w:tc>
      </w:tr>
      <w:tr w:rsidR="00F24E18" w:rsidRPr="006C064E" w14:paraId="41972B18"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26B1A16"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80</w:t>
            </w:r>
          </w:p>
        </w:tc>
        <w:tc>
          <w:tcPr>
            <w:tcW w:w="2163" w:type="pct"/>
            <w:tcBorders>
              <w:top w:val="nil"/>
              <w:left w:val="nil"/>
              <w:bottom w:val="single" w:sz="4" w:space="0" w:color="auto"/>
              <w:right w:val="single" w:sz="4" w:space="0" w:color="auto"/>
            </w:tcBorders>
            <w:shd w:val="clear" w:color="auto" w:fill="auto"/>
            <w:vAlign w:val="center"/>
            <w:hideMark/>
          </w:tcPr>
          <w:p w14:paraId="41D49FEC"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izobraževanja in usposabljanja</w:t>
            </w:r>
          </w:p>
        </w:tc>
        <w:tc>
          <w:tcPr>
            <w:tcW w:w="463" w:type="pct"/>
            <w:tcBorders>
              <w:top w:val="nil"/>
              <w:left w:val="nil"/>
              <w:bottom w:val="single" w:sz="4" w:space="0" w:color="auto"/>
              <w:right w:val="single" w:sz="4" w:space="0" w:color="auto"/>
            </w:tcBorders>
            <w:shd w:val="clear" w:color="auto" w:fill="auto"/>
            <w:vAlign w:val="center"/>
            <w:hideMark/>
          </w:tcPr>
          <w:p w14:paraId="15080A16"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w:t>
            </w:r>
          </w:p>
        </w:tc>
        <w:tc>
          <w:tcPr>
            <w:tcW w:w="790" w:type="pct"/>
            <w:tcBorders>
              <w:top w:val="nil"/>
              <w:left w:val="nil"/>
              <w:bottom w:val="single" w:sz="4" w:space="0" w:color="auto"/>
              <w:right w:val="single" w:sz="4" w:space="0" w:color="auto"/>
            </w:tcBorders>
            <w:shd w:val="clear" w:color="auto" w:fill="auto"/>
            <w:vAlign w:val="center"/>
            <w:hideMark/>
          </w:tcPr>
          <w:p w14:paraId="7077B04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1.369.175</w:t>
            </w:r>
          </w:p>
        </w:tc>
        <w:tc>
          <w:tcPr>
            <w:tcW w:w="562" w:type="pct"/>
            <w:tcBorders>
              <w:top w:val="nil"/>
              <w:left w:val="nil"/>
              <w:bottom w:val="single" w:sz="4" w:space="0" w:color="auto"/>
              <w:right w:val="single" w:sz="4" w:space="0" w:color="auto"/>
            </w:tcBorders>
            <w:shd w:val="clear" w:color="auto" w:fill="auto"/>
            <w:noWrap/>
            <w:vAlign w:val="center"/>
            <w:hideMark/>
          </w:tcPr>
          <w:p w14:paraId="3AB370A9"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0,05 %</w:t>
            </w:r>
          </w:p>
        </w:tc>
        <w:tc>
          <w:tcPr>
            <w:tcW w:w="561" w:type="pct"/>
            <w:tcBorders>
              <w:top w:val="nil"/>
              <w:left w:val="nil"/>
              <w:bottom w:val="single" w:sz="4" w:space="0" w:color="auto"/>
              <w:right w:val="single" w:sz="4" w:space="0" w:color="auto"/>
            </w:tcBorders>
            <w:shd w:val="clear" w:color="auto" w:fill="auto"/>
            <w:noWrap/>
            <w:vAlign w:val="center"/>
            <w:hideMark/>
          </w:tcPr>
          <w:p w14:paraId="10F5D272"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0,03 %</w:t>
            </w:r>
          </w:p>
        </w:tc>
      </w:tr>
      <w:tr w:rsidR="00F24E18" w:rsidRPr="006C064E" w14:paraId="04F04FC7"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5F5CFCB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85</w:t>
            </w:r>
          </w:p>
        </w:tc>
        <w:tc>
          <w:tcPr>
            <w:tcW w:w="2163" w:type="pct"/>
            <w:tcBorders>
              <w:top w:val="nil"/>
              <w:left w:val="nil"/>
              <w:bottom w:val="single" w:sz="4" w:space="0" w:color="auto"/>
              <w:right w:val="single" w:sz="4" w:space="0" w:color="auto"/>
            </w:tcBorders>
            <w:shd w:val="clear" w:color="auto" w:fill="auto"/>
            <w:vAlign w:val="center"/>
            <w:hideMark/>
          </w:tcPr>
          <w:p w14:paraId="0D585094"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na področju zdravstva in socialnega varstva</w:t>
            </w:r>
          </w:p>
        </w:tc>
        <w:tc>
          <w:tcPr>
            <w:tcW w:w="463" w:type="pct"/>
            <w:tcBorders>
              <w:top w:val="nil"/>
              <w:left w:val="nil"/>
              <w:bottom w:val="single" w:sz="4" w:space="0" w:color="auto"/>
              <w:right w:val="single" w:sz="4" w:space="0" w:color="auto"/>
            </w:tcBorders>
            <w:shd w:val="clear" w:color="auto" w:fill="auto"/>
            <w:vAlign w:val="center"/>
            <w:hideMark/>
          </w:tcPr>
          <w:p w14:paraId="1017EB8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57</w:t>
            </w:r>
          </w:p>
        </w:tc>
        <w:tc>
          <w:tcPr>
            <w:tcW w:w="790" w:type="pct"/>
            <w:tcBorders>
              <w:top w:val="nil"/>
              <w:left w:val="nil"/>
              <w:bottom w:val="single" w:sz="4" w:space="0" w:color="auto"/>
              <w:right w:val="single" w:sz="4" w:space="0" w:color="auto"/>
            </w:tcBorders>
            <w:shd w:val="clear" w:color="auto" w:fill="auto"/>
            <w:vAlign w:val="center"/>
            <w:hideMark/>
          </w:tcPr>
          <w:p w14:paraId="00B4330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22.935.324</w:t>
            </w:r>
          </w:p>
        </w:tc>
        <w:tc>
          <w:tcPr>
            <w:tcW w:w="562" w:type="pct"/>
            <w:tcBorders>
              <w:top w:val="nil"/>
              <w:left w:val="nil"/>
              <w:bottom w:val="single" w:sz="4" w:space="0" w:color="auto"/>
              <w:right w:val="single" w:sz="4" w:space="0" w:color="auto"/>
            </w:tcBorders>
            <w:shd w:val="clear" w:color="auto" w:fill="auto"/>
            <w:noWrap/>
            <w:vAlign w:val="center"/>
            <w:hideMark/>
          </w:tcPr>
          <w:p w14:paraId="1C164CD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0,58 %</w:t>
            </w:r>
          </w:p>
        </w:tc>
        <w:tc>
          <w:tcPr>
            <w:tcW w:w="561" w:type="pct"/>
            <w:tcBorders>
              <w:top w:val="nil"/>
              <w:left w:val="nil"/>
              <w:bottom w:val="single" w:sz="4" w:space="0" w:color="auto"/>
              <w:right w:val="single" w:sz="4" w:space="0" w:color="auto"/>
            </w:tcBorders>
            <w:shd w:val="clear" w:color="auto" w:fill="auto"/>
            <w:noWrap/>
            <w:vAlign w:val="center"/>
            <w:hideMark/>
          </w:tcPr>
          <w:p w14:paraId="1E8F9268"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0,44 %</w:t>
            </w:r>
          </w:p>
        </w:tc>
      </w:tr>
      <w:tr w:rsidR="00F24E18" w:rsidRPr="006C064E" w14:paraId="3BFE06F6"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23132AA"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90</w:t>
            </w:r>
          </w:p>
        </w:tc>
        <w:tc>
          <w:tcPr>
            <w:tcW w:w="2163" w:type="pct"/>
            <w:tcBorders>
              <w:top w:val="nil"/>
              <w:left w:val="nil"/>
              <w:bottom w:val="single" w:sz="4" w:space="0" w:color="auto"/>
              <w:right w:val="single" w:sz="4" w:space="0" w:color="auto"/>
            </w:tcBorders>
            <w:shd w:val="clear" w:color="auto" w:fill="auto"/>
            <w:vAlign w:val="center"/>
            <w:hideMark/>
          </w:tcPr>
          <w:p w14:paraId="047169C8"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v zvezi z odplakami, odpadki, čiščenjem in okoljem</w:t>
            </w:r>
          </w:p>
        </w:tc>
        <w:tc>
          <w:tcPr>
            <w:tcW w:w="463" w:type="pct"/>
            <w:tcBorders>
              <w:top w:val="nil"/>
              <w:left w:val="nil"/>
              <w:bottom w:val="single" w:sz="4" w:space="0" w:color="auto"/>
              <w:right w:val="single" w:sz="4" w:space="0" w:color="auto"/>
            </w:tcBorders>
            <w:shd w:val="clear" w:color="auto" w:fill="auto"/>
            <w:vAlign w:val="center"/>
            <w:hideMark/>
          </w:tcPr>
          <w:p w14:paraId="0DF3DA77"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398</w:t>
            </w:r>
          </w:p>
        </w:tc>
        <w:tc>
          <w:tcPr>
            <w:tcW w:w="790" w:type="pct"/>
            <w:tcBorders>
              <w:top w:val="nil"/>
              <w:left w:val="nil"/>
              <w:bottom w:val="single" w:sz="4" w:space="0" w:color="auto"/>
              <w:right w:val="single" w:sz="4" w:space="0" w:color="auto"/>
            </w:tcBorders>
            <w:shd w:val="clear" w:color="auto" w:fill="auto"/>
            <w:vAlign w:val="center"/>
            <w:hideMark/>
          </w:tcPr>
          <w:p w14:paraId="5F10B6EC"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126.456.980</w:t>
            </w:r>
          </w:p>
        </w:tc>
        <w:tc>
          <w:tcPr>
            <w:tcW w:w="562" w:type="pct"/>
            <w:tcBorders>
              <w:top w:val="nil"/>
              <w:left w:val="nil"/>
              <w:bottom w:val="single" w:sz="4" w:space="0" w:color="auto"/>
              <w:right w:val="single" w:sz="4" w:space="0" w:color="auto"/>
            </w:tcBorders>
            <w:shd w:val="clear" w:color="auto" w:fill="auto"/>
            <w:noWrap/>
            <w:vAlign w:val="center"/>
            <w:hideMark/>
          </w:tcPr>
          <w:p w14:paraId="1F4659F6"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4,02 %</w:t>
            </w:r>
          </w:p>
        </w:tc>
        <w:tc>
          <w:tcPr>
            <w:tcW w:w="561" w:type="pct"/>
            <w:tcBorders>
              <w:top w:val="nil"/>
              <w:left w:val="nil"/>
              <w:bottom w:val="single" w:sz="4" w:space="0" w:color="auto"/>
              <w:right w:val="single" w:sz="4" w:space="0" w:color="auto"/>
            </w:tcBorders>
            <w:shd w:val="clear" w:color="auto" w:fill="auto"/>
            <w:noWrap/>
            <w:vAlign w:val="center"/>
            <w:hideMark/>
          </w:tcPr>
          <w:p w14:paraId="68F5E278"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2,40 %</w:t>
            </w:r>
          </w:p>
        </w:tc>
      </w:tr>
      <w:tr w:rsidR="00F24E18" w:rsidRPr="006C064E" w14:paraId="27441689"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B5DDE64"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92</w:t>
            </w:r>
          </w:p>
        </w:tc>
        <w:tc>
          <w:tcPr>
            <w:tcW w:w="2163" w:type="pct"/>
            <w:tcBorders>
              <w:top w:val="nil"/>
              <w:left w:val="nil"/>
              <w:bottom w:val="single" w:sz="4" w:space="0" w:color="auto"/>
              <w:right w:val="single" w:sz="4" w:space="0" w:color="auto"/>
            </w:tcBorders>
            <w:shd w:val="clear" w:color="auto" w:fill="auto"/>
            <w:vAlign w:val="center"/>
            <w:hideMark/>
          </w:tcPr>
          <w:p w14:paraId="7B295FB1"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Storitve na področju rekreacije, kulture in športa</w:t>
            </w:r>
          </w:p>
        </w:tc>
        <w:tc>
          <w:tcPr>
            <w:tcW w:w="463" w:type="pct"/>
            <w:tcBorders>
              <w:top w:val="nil"/>
              <w:left w:val="nil"/>
              <w:bottom w:val="single" w:sz="4" w:space="0" w:color="auto"/>
              <w:right w:val="single" w:sz="4" w:space="0" w:color="auto"/>
            </w:tcBorders>
            <w:shd w:val="clear" w:color="auto" w:fill="auto"/>
            <w:vAlign w:val="center"/>
            <w:hideMark/>
          </w:tcPr>
          <w:p w14:paraId="7D49006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5</w:t>
            </w:r>
          </w:p>
        </w:tc>
        <w:tc>
          <w:tcPr>
            <w:tcW w:w="790" w:type="pct"/>
            <w:tcBorders>
              <w:top w:val="nil"/>
              <w:left w:val="nil"/>
              <w:bottom w:val="single" w:sz="4" w:space="0" w:color="auto"/>
              <w:right w:val="single" w:sz="4" w:space="0" w:color="auto"/>
            </w:tcBorders>
            <w:shd w:val="clear" w:color="auto" w:fill="auto"/>
            <w:vAlign w:val="center"/>
            <w:hideMark/>
          </w:tcPr>
          <w:p w14:paraId="74A29B5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3.720.680</w:t>
            </w:r>
          </w:p>
        </w:tc>
        <w:tc>
          <w:tcPr>
            <w:tcW w:w="562" w:type="pct"/>
            <w:tcBorders>
              <w:top w:val="nil"/>
              <w:left w:val="nil"/>
              <w:bottom w:val="single" w:sz="4" w:space="0" w:color="auto"/>
              <w:right w:val="single" w:sz="4" w:space="0" w:color="auto"/>
            </w:tcBorders>
            <w:shd w:val="clear" w:color="auto" w:fill="auto"/>
            <w:noWrap/>
            <w:vAlign w:val="center"/>
            <w:hideMark/>
          </w:tcPr>
          <w:p w14:paraId="1D2DF335"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0,05 %</w:t>
            </w:r>
          </w:p>
        </w:tc>
        <w:tc>
          <w:tcPr>
            <w:tcW w:w="561" w:type="pct"/>
            <w:tcBorders>
              <w:top w:val="nil"/>
              <w:left w:val="nil"/>
              <w:bottom w:val="single" w:sz="4" w:space="0" w:color="auto"/>
              <w:right w:val="single" w:sz="4" w:space="0" w:color="auto"/>
            </w:tcBorders>
            <w:shd w:val="clear" w:color="auto" w:fill="auto"/>
            <w:noWrap/>
            <w:vAlign w:val="center"/>
            <w:hideMark/>
          </w:tcPr>
          <w:p w14:paraId="06D7FE51"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0,07 %</w:t>
            </w:r>
          </w:p>
        </w:tc>
      </w:tr>
      <w:tr w:rsidR="00F24E18" w:rsidRPr="006C064E" w14:paraId="1DBD6AE5" w14:textId="77777777" w:rsidTr="000E18B5">
        <w:trPr>
          <w:trHeight w:val="30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A214694"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98</w:t>
            </w:r>
          </w:p>
        </w:tc>
        <w:tc>
          <w:tcPr>
            <w:tcW w:w="2163" w:type="pct"/>
            <w:tcBorders>
              <w:top w:val="nil"/>
              <w:left w:val="nil"/>
              <w:bottom w:val="single" w:sz="4" w:space="0" w:color="auto"/>
              <w:right w:val="single" w:sz="4" w:space="0" w:color="auto"/>
            </w:tcBorders>
            <w:shd w:val="clear" w:color="auto" w:fill="auto"/>
            <w:vAlign w:val="center"/>
            <w:hideMark/>
          </w:tcPr>
          <w:p w14:paraId="699DA089" w14:textId="77777777" w:rsidR="00F24E18" w:rsidRPr="006C064E" w:rsidRDefault="00F24E18" w:rsidP="000E18B5">
            <w:pPr>
              <w:spacing w:after="0" w:line="240" w:lineRule="auto"/>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Druge javne, skupne in osebne storitve</w:t>
            </w:r>
          </w:p>
        </w:tc>
        <w:tc>
          <w:tcPr>
            <w:tcW w:w="463" w:type="pct"/>
            <w:tcBorders>
              <w:top w:val="nil"/>
              <w:left w:val="nil"/>
              <w:bottom w:val="single" w:sz="4" w:space="0" w:color="auto"/>
              <w:right w:val="single" w:sz="4" w:space="0" w:color="auto"/>
            </w:tcBorders>
            <w:shd w:val="clear" w:color="auto" w:fill="auto"/>
            <w:vAlign w:val="center"/>
            <w:hideMark/>
          </w:tcPr>
          <w:p w14:paraId="5F24A2E0"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29</w:t>
            </w:r>
          </w:p>
        </w:tc>
        <w:tc>
          <w:tcPr>
            <w:tcW w:w="790" w:type="pct"/>
            <w:tcBorders>
              <w:top w:val="nil"/>
              <w:left w:val="nil"/>
              <w:bottom w:val="single" w:sz="4" w:space="0" w:color="auto"/>
              <w:right w:val="single" w:sz="4" w:space="0" w:color="auto"/>
            </w:tcBorders>
            <w:shd w:val="clear" w:color="auto" w:fill="auto"/>
            <w:vAlign w:val="center"/>
            <w:hideMark/>
          </w:tcPr>
          <w:p w14:paraId="1B8955ED"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sidRPr="006C064E">
              <w:rPr>
                <w:rFonts w:ascii="Arial" w:eastAsia="Times New Roman" w:hAnsi="Arial" w:cs="Arial"/>
                <w:color w:val="000000"/>
                <w:sz w:val="18"/>
                <w:szCs w:val="18"/>
                <w:lang w:eastAsia="sl-SI"/>
              </w:rPr>
              <w:t>34.306.522</w:t>
            </w:r>
          </w:p>
        </w:tc>
        <w:tc>
          <w:tcPr>
            <w:tcW w:w="562" w:type="pct"/>
            <w:tcBorders>
              <w:top w:val="nil"/>
              <w:left w:val="nil"/>
              <w:bottom w:val="single" w:sz="4" w:space="0" w:color="auto"/>
              <w:right w:val="single" w:sz="4" w:space="0" w:color="auto"/>
            </w:tcBorders>
            <w:shd w:val="clear" w:color="auto" w:fill="auto"/>
            <w:noWrap/>
            <w:vAlign w:val="center"/>
            <w:hideMark/>
          </w:tcPr>
          <w:p w14:paraId="7EB223CF"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0,29 %</w:t>
            </w:r>
          </w:p>
        </w:tc>
        <w:tc>
          <w:tcPr>
            <w:tcW w:w="561" w:type="pct"/>
            <w:tcBorders>
              <w:top w:val="nil"/>
              <w:left w:val="nil"/>
              <w:bottom w:val="single" w:sz="4" w:space="0" w:color="auto"/>
              <w:right w:val="single" w:sz="4" w:space="0" w:color="auto"/>
            </w:tcBorders>
            <w:shd w:val="clear" w:color="auto" w:fill="auto"/>
            <w:noWrap/>
            <w:vAlign w:val="center"/>
            <w:hideMark/>
          </w:tcPr>
          <w:p w14:paraId="1314BDAE" w14:textId="77777777" w:rsidR="00F24E18" w:rsidRPr="006C064E" w:rsidRDefault="00F24E18" w:rsidP="000E18B5">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0,65 %</w:t>
            </w:r>
          </w:p>
        </w:tc>
      </w:tr>
      <w:tr w:rsidR="00F24E18" w:rsidRPr="006C064E" w14:paraId="7F51E68B" w14:textId="77777777" w:rsidTr="000E18B5">
        <w:trPr>
          <w:trHeight w:val="300"/>
        </w:trPr>
        <w:tc>
          <w:tcPr>
            <w:tcW w:w="262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BA8CE4" w14:textId="77777777" w:rsidR="00F24E18" w:rsidRPr="006C064E" w:rsidRDefault="00F24E18" w:rsidP="000E18B5">
            <w:pPr>
              <w:spacing w:after="0" w:line="240" w:lineRule="auto"/>
              <w:rPr>
                <w:rFonts w:ascii="Arial" w:eastAsia="Times New Roman" w:hAnsi="Arial" w:cs="Arial"/>
                <w:b/>
                <w:bCs/>
                <w:color w:val="000000"/>
                <w:sz w:val="18"/>
                <w:szCs w:val="18"/>
                <w:lang w:eastAsia="sl-SI"/>
              </w:rPr>
            </w:pPr>
            <w:r w:rsidRPr="006C064E">
              <w:rPr>
                <w:rFonts w:ascii="Arial" w:eastAsia="Times New Roman" w:hAnsi="Arial" w:cs="Arial"/>
                <w:b/>
                <w:bCs/>
                <w:color w:val="000000"/>
                <w:sz w:val="18"/>
                <w:szCs w:val="18"/>
                <w:lang w:eastAsia="sl-SI"/>
              </w:rPr>
              <w:t>Skupaj</w:t>
            </w:r>
          </w:p>
        </w:tc>
        <w:tc>
          <w:tcPr>
            <w:tcW w:w="463" w:type="pct"/>
            <w:tcBorders>
              <w:top w:val="nil"/>
              <w:left w:val="nil"/>
              <w:bottom w:val="single" w:sz="4" w:space="0" w:color="auto"/>
              <w:right w:val="single" w:sz="4" w:space="0" w:color="auto"/>
            </w:tcBorders>
            <w:shd w:val="clear" w:color="auto" w:fill="F2F2F2" w:themeFill="background1" w:themeFillShade="F2"/>
            <w:noWrap/>
            <w:vAlign w:val="center"/>
            <w:hideMark/>
          </w:tcPr>
          <w:p w14:paraId="3DBBB50F" w14:textId="77777777" w:rsidR="00F24E18" w:rsidRPr="006C064E" w:rsidRDefault="00F24E18" w:rsidP="000E18B5">
            <w:pPr>
              <w:spacing w:after="0" w:line="240" w:lineRule="auto"/>
              <w:jc w:val="right"/>
              <w:rPr>
                <w:rFonts w:ascii="Arial" w:eastAsia="Times New Roman" w:hAnsi="Arial" w:cs="Arial"/>
                <w:b/>
                <w:bCs/>
                <w:color w:val="000000"/>
                <w:sz w:val="18"/>
                <w:szCs w:val="18"/>
                <w:lang w:eastAsia="sl-SI"/>
              </w:rPr>
            </w:pPr>
            <w:r>
              <w:rPr>
                <w:rFonts w:ascii="Arial" w:hAnsi="Arial" w:cs="Arial"/>
                <w:b/>
                <w:bCs/>
                <w:color w:val="000000"/>
                <w:sz w:val="18"/>
                <w:szCs w:val="18"/>
              </w:rPr>
              <w:t>9.900</w:t>
            </w:r>
          </w:p>
        </w:tc>
        <w:tc>
          <w:tcPr>
            <w:tcW w:w="790" w:type="pct"/>
            <w:tcBorders>
              <w:top w:val="nil"/>
              <w:left w:val="nil"/>
              <w:bottom w:val="single" w:sz="4" w:space="0" w:color="auto"/>
              <w:right w:val="single" w:sz="4" w:space="0" w:color="auto"/>
            </w:tcBorders>
            <w:shd w:val="clear" w:color="auto" w:fill="F2F2F2" w:themeFill="background1" w:themeFillShade="F2"/>
            <w:noWrap/>
            <w:vAlign w:val="center"/>
            <w:hideMark/>
          </w:tcPr>
          <w:p w14:paraId="651DDD0F" w14:textId="77777777" w:rsidR="00F24E18" w:rsidRPr="006C064E" w:rsidRDefault="00F24E18" w:rsidP="000E18B5">
            <w:pPr>
              <w:spacing w:after="0" w:line="240" w:lineRule="auto"/>
              <w:jc w:val="right"/>
              <w:rPr>
                <w:rFonts w:ascii="Arial" w:eastAsia="Times New Roman" w:hAnsi="Arial" w:cs="Arial"/>
                <w:b/>
                <w:bCs/>
                <w:color w:val="000000"/>
                <w:sz w:val="18"/>
                <w:szCs w:val="18"/>
                <w:lang w:eastAsia="sl-SI"/>
              </w:rPr>
            </w:pPr>
            <w:r>
              <w:rPr>
                <w:rFonts w:ascii="Arial" w:hAnsi="Arial" w:cs="Arial"/>
                <w:b/>
                <w:bCs/>
                <w:color w:val="000000"/>
                <w:sz w:val="18"/>
                <w:szCs w:val="18"/>
              </w:rPr>
              <w:t>5.270.913.216</w:t>
            </w:r>
          </w:p>
        </w:tc>
        <w:tc>
          <w:tcPr>
            <w:tcW w:w="562" w:type="pct"/>
            <w:tcBorders>
              <w:top w:val="nil"/>
              <w:left w:val="nil"/>
              <w:bottom w:val="single" w:sz="4" w:space="0" w:color="auto"/>
              <w:right w:val="single" w:sz="4" w:space="0" w:color="auto"/>
            </w:tcBorders>
            <w:shd w:val="clear" w:color="auto" w:fill="F2F2F2" w:themeFill="background1" w:themeFillShade="F2"/>
            <w:noWrap/>
            <w:vAlign w:val="center"/>
            <w:hideMark/>
          </w:tcPr>
          <w:p w14:paraId="45B675C5" w14:textId="77777777" w:rsidR="00F24E18" w:rsidRPr="006C064E" w:rsidRDefault="00F24E18" w:rsidP="000E18B5">
            <w:pPr>
              <w:spacing w:after="0" w:line="240" w:lineRule="auto"/>
              <w:jc w:val="right"/>
              <w:rPr>
                <w:rFonts w:ascii="Arial" w:eastAsia="Times New Roman" w:hAnsi="Arial" w:cs="Arial"/>
                <w:b/>
                <w:bCs/>
                <w:color w:val="000000"/>
                <w:sz w:val="18"/>
                <w:szCs w:val="18"/>
                <w:lang w:eastAsia="sl-SI"/>
              </w:rPr>
            </w:pPr>
            <w:r w:rsidRPr="006C064E">
              <w:rPr>
                <w:rFonts w:ascii="Arial" w:eastAsia="Times New Roman" w:hAnsi="Arial" w:cs="Arial"/>
                <w:b/>
                <w:bCs/>
                <w:color w:val="000000"/>
                <w:sz w:val="18"/>
                <w:szCs w:val="18"/>
                <w:lang w:eastAsia="sl-SI"/>
              </w:rPr>
              <w:t>100,00 %</w:t>
            </w:r>
          </w:p>
        </w:tc>
        <w:tc>
          <w:tcPr>
            <w:tcW w:w="561" w:type="pct"/>
            <w:tcBorders>
              <w:top w:val="nil"/>
              <w:left w:val="nil"/>
              <w:bottom w:val="single" w:sz="4" w:space="0" w:color="auto"/>
              <w:right w:val="single" w:sz="4" w:space="0" w:color="auto"/>
            </w:tcBorders>
            <w:shd w:val="clear" w:color="auto" w:fill="F2F2F2" w:themeFill="background1" w:themeFillShade="F2"/>
            <w:noWrap/>
            <w:vAlign w:val="center"/>
            <w:hideMark/>
          </w:tcPr>
          <w:p w14:paraId="03D0E0EF" w14:textId="77777777" w:rsidR="00F24E18" w:rsidRPr="006C064E" w:rsidRDefault="00F24E18" w:rsidP="000E18B5">
            <w:pPr>
              <w:spacing w:after="0" w:line="240" w:lineRule="auto"/>
              <w:jc w:val="right"/>
              <w:rPr>
                <w:rFonts w:ascii="Arial" w:eastAsia="Times New Roman" w:hAnsi="Arial" w:cs="Arial"/>
                <w:b/>
                <w:bCs/>
                <w:color w:val="000000"/>
                <w:sz w:val="18"/>
                <w:szCs w:val="18"/>
                <w:lang w:eastAsia="sl-SI"/>
              </w:rPr>
            </w:pPr>
            <w:r w:rsidRPr="006C064E">
              <w:rPr>
                <w:rFonts w:ascii="Arial" w:eastAsia="Times New Roman" w:hAnsi="Arial" w:cs="Arial"/>
                <w:b/>
                <w:bCs/>
                <w:color w:val="000000"/>
                <w:sz w:val="18"/>
                <w:szCs w:val="18"/>
                <w:lang w:eastAsia="sl-SI"/>
              </w:rPr>
              <w:t>100,00 %</w:t>
            </w:r>
          </w:p>
        </w:tc>
      </w:tr>
    </w:tbl>
    <w:p w14:paraId="04066BC5" w14:textId="77777777" w:rsidR="00F24E18" w:rsidRPr="00242E41" w:rsidRDefault="00F24E18" w:rsidP="00F24E18">
      <w:pPr>
        <w:spacing w:after="0" w:line="240" w:lineRule="auto"/>
        <w:jc w:val="both"/>
        <w:rPr>
          <w:rFonts w:ascii="Arial" w:hAnsi="Arial" w:cs="Arial"/>
          <w:sz w:val="20"/>
          <w:highlight w:val="yellow"/>
        </w:rPr>
      </w:pPr>
    </w:p>
    <w:p w14:paraId="05610F0E" w14:textId="77777777" w:rsidR="00F24E18" w:rsidRPr="00242E41" w:rsidRDefault="00F24E18" w:rsidP="00F24E18">
      <w:pPr>
        <w:spacing w:before="120" w:after="0" w:line="240" w:lineRule="auto"/>
        <w:jc w:val="both"/>
        <w:rPr>
          <w:rFonts w:ascii="Arial" w:hAnsi="Arial" w:cs="Arial"/>
          <w:sz w:val="20"/>
          <w:highlight w:val="yellow"/>
        </w:rPr>
      </w:pPr>
    </w:p>
    <w:p w14:paraId="778B3F2F" w14:textId="77777777" w:rsidR="00F24E18" w:rsidRPr="003D3311" w:rsidRDefault="00F24E18" w:rsidP="00F24E18">
      <w:pPr>
        <w:spacing w:before="120" w:after="0" w:line="240" w:lineRule="auto"/>
        <w:jc w:val="both"/>
        <w:rPr>
          <w:rFonts w:ascii="Arial" w:hAnsi="Arial" w:cs="Arial"/>
          <w:sz w:val="20"/>
        </w:rPr>
      </w:pPr>
      <w:r w:rsidRPr="003D3311">
        <w:rPr>
          <w:rFonts w:ascii="Arial" w:hAnsi="Arial" w:cs="Arial"/>
          <w:sz w:val="20"/>
        </w:rPr>
        <w:t>Preglednica 80: Javna naročila glede na predmet naročanja in merila za izbor</w:t>
      </w:r>
    </w:p>
    <w:p w14:paraId="3403E9A2" w14:textId="77777777" w:rsidR="00F24E18" w:rsidRPr="00242E41" w:rsidRDefault="00F24E18" w:rsidP="00F24E18">
      <w:pPr>
        <w:spacing w:after="0" w:line="240" w:lineRule="auto"/>
        <w:jc w:val="both"/>
        <w:rPr>
          <w:rFonts w:ascii="Arial" w:hAnsi="Arial" w:cs="Arial"/>
          <w:sz w:val="20"/>
          <w:highlight w:val="yellow"/>
        </w:rPr>
      </w:pPr>
    </w:p>
    <w:tbl>
      <w:tblPr>
        <w:tblW w:w="9209" w:type="dxa"/>
        <w:tblCellMar>
          <w:left w:w="70" w:type="dxa"/>
          <w:right w:w="70" w:type="dxa"/>
        </w:tblCellMar>
        <w:tblLook w:val="04A0" w:firstRow="1" w:lastRow="0" w:firstColumn="1" w:lastColumn="0" w:noHBand="0" w:noVBand="1"/>
      </w:tblPr>
      <w:tblGrid>
        <w:gridCol w:w="959"/>
        <w:gridCol w:w="2991"/>
        <w:gridCol w:w="1134"/>
        <w:gridCol w:w="1432"/>
        <w:gridCol w:w="1276"/>
        <w:gridCol w:w="1417"/>
      </w:tblGrid>
      <w:tr w:rsidR="00F24E18" w:rsidRPr="003D3311" w14:paraId="24938127" w14:textId="77777777" w:rsidTr="000E18B5">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6B390"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Predmet</w:t>
            </w:r>
          </w:p>
        </w:tc>
        <w:tc>
          <w:tcPr>
            <w:tcW w:w="29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C34846"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Merila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B8584E"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Št. naročil</w:t>
            </w:r>
          </w:p>
        </w:tc>
        <w:tc>
          <w:tcPr>
            <w:tcW w:w="14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208EFD"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Pogodbena vrednost</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1A53E7"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Delež v št. istovrstnih naročil</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11B682"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 xml:space="preserve">Delež v vrednosti </w:t>
            </w:r>
            <w:r w:rsidRPr="003D3311">
              <w:rPr>
                <w:rFonts w:ascii="Arial" w:eastAsia="Times New Roman" w:hAnsi="Arial" w:cs="Arial"/>
                <w:color w:val="000000"/>
                <w:sz w:val="18"/>
                <w:szCs w:val="18"/>
                <w:lang w:eastAsia="sl-SI"/>
              </w:rPr>
              <w:lastRenderedPageBreak/>
              <w:t>istovrstnih naročil</w:t>
            </w:r>
          </w:p>
        </w:tc>
      </w:tr>
      <w:tr w:rsidR="00F24E18" w:rsidRPr="003D3311" w14:paraId="3B8DDA58" w14:textId="77777777" w:rsidTr="000E18B5">
        <w:trPr>
          <w:trHeight w:val="255"/>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49CE8C89"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lastRenderedPageBreak/>
              <w:t>Blago</w:t>
            </w:r>
          </w:p>
        </w:tc>
        <w:tc>
          <w:tcPr>
            <w:tcW w:w="2991" w:type="dxa"/>
            <w:tcBorders>
              <w:top w:val="nil"/>
              <w:left w:val="nil"/>
              <w:bottom w:val="single" w:sz="4" w:space="0" w:color="auto"/>
              <w:right w:val="single" w:sz="4" w:space="0" w:color="auto"/>
            </w:tcBorders>
            <w:shd w:val="clear" w:color="auto" w:fill="auto"/>
            <w:vAlign w:val="center"/>
            <w:hideMark/>
          </w:tcPr>
          <w:p w14:paraId="13F235AB"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4E01A90D"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9.597</w:t>
            </w:r>
          </w:p>
        </w:tc>
        <w:tc>
          <w:tcPr>
            <w:tcW w:w="1432" w:type="dxa"/>
            <w:tcBorders>
              <w:top w:val="nil"/>
              <w:left w:val="nil"/>
              <w:bottom w:val="single" w:sz="4" w:space="0" w:color="auto"/>
              <w:right w:val="single" w:sz="4" w:space="0" w:color="auto"/>
            </w:tcBorders>
            <w:shd w:val="clear" w:color="auto" w:fill="auto"/>
            <w:vAlign w:val="center"/>
            <w:hideMark/>
          </w:tcPr>
          <w:p w14:paraId="30BF3FF3"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2.459.010.911</w:t>
            </w:r>
          </w:p>
        </w:tc>
        <w:tc>
          <w:tcPr>
            <w:tcW w:w="1276" w:type="dxa"/>
            <w:tcBorders>
              <w:top w:val="nil"/>
              <w:left w:val="nil"/>
              <w:bottom w:val="single" w:sz="4" w:space="0" w:color="auto"/>
              <w:right w:val="single" w:sz="4" w:space="0" w:color="auto"/>
            </w:tcBorders>
            <w:shd w:val="clear" w:color="auto" w:fill="auto"/>
            <w:noWrap/>
            <w:vAlign w:val="center"/>
            <w:hideMark/>
          </w:tcPr>
          <w:p w14:paraId="34051A28"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90,48 %</w:t>
            </w:r>
          </w:p>
        </w:tc>
        <w:tc>
          <w:tcPr>
            <w:tcW w:w="1417" w:type="dxa"/>
            <w:tcBorders>
              <w:top w:val="nil"/>
              <w:left w:val="nil"/>
              <w:bottom w:val="single" w:sz="4" w:space="0" w:color="auto"/>
              <w:right w:val="single" w:sz="4" w:space="0" w:color="auto"/>
            </w:tcBorders>
            <w:shd w:val="clear" w:color="auto" w:fill="auto"/>
            <w:noWrap/>
            <w:vAlign w:val="center"/>
            <w:hideMark/>
          </w:tcPr>
          <w:p w14:paraId="42C931F2"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94,30 %</w:t>
            </w:r>
          </w:p>
        </w:tc>
      </w:tr>
      <w:tr w:rsidR="00F24E18" w:rsidRPr="003D3311" w14:paraId="1E696049" w14:textId="77777777" w:rsidTr="000E18B5">
        <w:trPr>
          <w:trHeight w:val="255"/>
        </w:trPr>
        <w:tc>
          <w:tcPr>
            <w:tcW w:w="959" w:type="dxa"/>
            <w:vMerge/>
            <w:tcBorders>
              <w:top w:val="nil"/>
              <w:left w:val="single" w:sz="4" w:space="0" w:color="auto"/>
              <w:bottom w:val="single" w:sz="4" w:space="0" w:color="auto"/>
              <w:right w:val="single" w:sz="4" w:space="0" w:color="auto"/>
            </w:tcBorders>
            <w:vAlign w:val="center"/>
            <w:hideMark/>
          </w:tcPr>
          <w:p w14:paraId="4BFE3C1B"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7354C55A"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1623FCF7"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1.010</w:t>
            </w:r>
          </w:p>
        </w:tc>
        <w:tc>
          <w:tcPr>
            <w:tcW w:w="1432" w:type="dxa"/>
            <w:tcBorders>
              <w:top w:val="nil"/>
              <w:left w:val="nil"/>
              <w:bottom w:val="single" w:sz="4" w:space="0" w:color="auto"/>
              <w:right w:val="single" w:sz="4" w:space="0" w:color="auto"/>
            </w:tcBorders>
            <w:shd w:val="clear" w:color="auto" w:fill="auto"/>
            <w:vAlign w:val="center"/>
            <w:hideMark/>
          </w:tcPr>
          <w:p w14:paraId="7DAC5F87"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148.588.337</w:t>
            </w:r>
          </w:p>
        </w:tc>
        <w:tc>
          <w:tcPr>
            <w:tcW w:w="1276" w:type="dxa"/>
            <w:tcBorders>
              <w:top w:val="nil"/>
              <w:left w:val="nil"/>
              <w:bottom w:val="single" w:sz="4" w:space="0" w:color="auto"/>
              <w:right w:val="single" w:sz="4" w:space="0" w:color="auto"/>
            </w:tcBorders>
            <w:shd w:val="clear" w:color="auto" w:fill="auto"/>
            <w:noWrap/>
            <w:vAlign w:val="center"/>
            <w:hideMark/>
          </w:tcPr>
          <w:p w14:paraId="58D9A90A"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9,52 %</w:t>
            </w:r>
          </w:p>
        </w:tc>
        <w:tc>
          <w:tcPr>
            <w:tcW w:w="1417" w:type="dxa"/>
            <w:tcBorders>
              <w:top w:val="nil"/>
              <w:left w:val="nil"/>
              <w:bottom w:val="single" w:sz="4" w:space="0" w:color="auto"/>
              <w:right w:val="single" w:sz="4" w:space="0" w:color="auto"/>
            </w:tcBorders>
            <w:shd w:val="clear" w:color="auto" w:fill="auto"/>
            <w:noWrap/>
            <w:vAlign w:val="center"/>
            <w:hideMark/>
          </w:tcPr>
          <w:p w14:paraId="3136CD29"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5,70 %</w:t>
            </w:r>
          </w:p>
        </w:tc>
      </w:tr>
      <w:tr w:rsidR="00F24E18" w:rsidRPr="003D3311" w14:paraId="185F96E6" w14:textId="77777777" w:rsidTr="000E18B5">
        <w:trPr>
          <w:trHeight w:val="255"/>
        </w:trPr>
        <w:tc>
          <w:tcPr>
            <w:tcW w:w="959" w:type="dxa"/>
            <w:vMerge/>
            <w:tcBorders>
              <w:top w:val="nil"/>
              <w:left w:val="single" w:sz="4" w:space="0" w:color="auto"/>
              <w:bottom w:val="single" w:sz="4" w:space="0" w:color="auto"/>
              <w:right w:val="single" w:sz="4" w:space="0" w:color="auto"/>
            </w:tcBorders>
            <w:vAlign w:val="center"/>
            <w:hideMark/>
          </w:tcPr>
          <w:p w14:paraId="4B9F8173"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4135E3B5" w14:textId="77777777" w:rsidR="00F24E18" w:rsidRPr="003D3311" w:rsidRDefault="00F24E18" w:rsidP="000E18B5">
            <w:pPr>
              <w:spacing w:after="0" w:line="240" w:lineRule="auto"/>
              <w:rPr>
                <w:rFonts w:ascii="Arial" w:eastAsia="Times New Roman" w:hAnsi="Arial" w:cs="Arial"/>
                <w:b/>
                <w:bCs/>
                <w:color w:val="000000"/>
                <w:sz w:val="18"/>
                <w:szCs w:val="18"/>
                <w:lang w:eastAsia="sl-SI"/>
              </w:rPr>
            </w:pPr>
            <w:r w:rsidRPr="003D3311">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4B6D62CE"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10.607</w:t>
            </w:r>
          </w:p>
        </w:tc>
        <w:tc>
          <w:tcPr>
            <w:tcW w:w="1432" w:type="dxa"/>
            <w:tcBorders>
              <w:top w:val="nil"/>
              <w:left w:val="nil"/>
              <w:bottom w:val="single" w:sz="4" w:space="0" w:color="auto"/>
              <w:right w:val="single" w:sz="4" w:space="0" w:color="auto"/>
            </w:tcBorders>
            <w:shd w:val="clear" w:color="auto" w:fill="auto"/>
            <w:vAlign w:val="center"/>
            <w:hideMark/>
          </w:tcPr>
          <w:p w14:paraId="3E7460B0"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2.607.599.248</w:t>
            </w:r>
          </w:p>
        </w:tc>
        <w:tc>
          <w:tcPr>
            <w:tcW w:w="1276" w:type="dxa"/>
            <w:tcBorders>
              <w:top w:val="nil"/>
              <w:left w:val="nil"/>
              <w:bottom w:val="single" w:sz="4" w:space="0" w:color="auto"/>
              <w:right w:val="single" w:sz="4" w:space="0" w:color="auto"/>
            </w:tcBorders>
            <w:shd w:val="clear" w:color="auto" w:fill="auto"/>
            <w:vAlign w:val="center"/>
            <w:hideMark/>
          </w:tcPr>
          <w:p w14:paraId="11AE1057"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c>
          <w:tcPr>
            <w:tcW w:w="1417" w:type="dxa"/>
            <w:tcBorders>
              <w:top w:val="nil"/>
              <w:left w:val="nil"/>
              <w:bottom w:val="single" w:sz="4" w:space="0" w:color="auto"/>
              <w:right w:val="single" w:sz="4" w:space="0" w:color="auto"/>
            </w:tcBorders>
            <w:shd w:val="clear" w:color="auto" w:fill="auto"/>
            <w:vAlign w:val="center"/>
            <w:hideMark/>
          </w:tcPr>
          <w:p w14:paraId="5DB58942"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r>
      <w:tr w:rsidR="00F24E18" w:rsidRPr="003D3311" w14:paraId="4B35561C" w14:textId="77777777" w:rsidTr="000E18B5">
        <w:trPr>
          <w:trHeight w:val="255"/>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262CBAF1"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Storitve</w:t>
            </w:r>
          </w:p>
        </w:tc>
        <w:tc>
          <w:tcPr>
            <w:tcW w:w="2991" w:type="dxa"/>
            <w:tcBorders>
              <w:top w:val="nil"/>
              <w:left w:val="nil"/>
              <w:bottom w:val="single" w:sz="4" w:space="0" w:color="auto"/>
              <w:right w:val="single" w:sz="4" w:space="0" w:color="auto"/>
            </w:tcBorders>
            <w:shd w:val="clear" w:color="auto" w:fill="auto"/>
            <w:vAlign w:val="center"/>
            <w:hideMark/>
          </w:tcPr>
          <w:p w14:paraId="1D0C6AAC"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00650807"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3.936</w:t>
            </w:r>
          </w:p>
        </w:tc>
        <w:tc>
          <w:tcPr>
            <w:tcW w:w="1432" w:type="dxa"/>
            <w:tcBorders>
              <w:top w:val="nil"/>
              <w:left w:val="nil"/>
              <w:bottom w:val="single" w:sz="4" w:space="0" w:color="auto"/>
              <w:right w:val="single" w:sz="4" w:space="0" w:color="auto"/>
            </w:tcBorders>
            <w:shd w:val="clear" w:color="auto" w:fill="auto"/>
            <w:vAlign w:val="center"/>
            <w:hideMark/>
          </w:tcPr>
          <w:p w14:paraId="3EF1A938"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1.981.556.612</w:t>
            </w:r>
          </w:p>
        </w:tc>
        <w:tc>
          <w:tcPr>
            <w:tcW w:w="1276" w:type="dxa"/>
            <w:tcBorders>
              <w:top w:val="nil"/>
              <w:left w:val="nil"/>
              <w:bottom w:val="single" w:sz="4" w:space="0" w:color="auto"/>
              <w:right w:val="single" w:sz="4" w:space="0" w:color="auto"/>
            </w:tcBorders>
            <w:shd w:val="clear" w:color="auto" w:fill="auto"/>
            <w:noWrap/>
            <w:vAlign w:val="center"/>
            <w:hideMark/>
          </w:tcPr>
          <w:p w14:paraId="57F5976B"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84,61 %</w:t>
            </w:r>
          </w:p>
        </w:tc>
        <w:tc>
          <w:tcPr>
            <w:tcW w:w="1417" w:type="dxa"/>
            <w:tcBorders>
              <w:top w:val="nil"/>
              <w:left w:val="nil"/>
              <w:bottom w:val="single" w:sz="4" w:space="0" w:color="auto"/>
              <w:right w:val="single" w:sz="4" w:space="0" w:color="auto"/>
            </w:tcBorders>
            <w:shd w:val="clear" w:color="auto" w:fill="auto"/>
            <w:noWrap/>
            <w:vAlign w:val="center"/>
            <w:hideMark/>
          </w:tcPr>
          <w:p w14:paraId="03BED671"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90,16 %</w:t>
            </w:r>
          </w:p>
        </w:tc>
      </w:tr>
      <w:tr w:rsidR="00F24E18" w:rsidRPr="003D3311" w14:paraId="1F17DD2C" w14:textId="77777777" w:rsidTr="000E18B5">
        <w:trPr>
          <w:trHeight w:val="255"/>
        </w:trPr>
        <w:tc>
          <w:tcPr>
            <w:tcW w:w="959" w:type="dxa"/>
            <w:vMerge/>
            <w:tcBorders>
              <w:top w:val="nil"/>
              <w:left w:val="single" w:sz="4" w:space="0" w:color="auto"/>
              <w:bottom w:val="single" w:sz="4" w:space="0" w:color="auto"/>
              <w:right w:val="single" w:sz="4" w:space="0" w:color="auto"/>
            </w:tcBorders>
            <w:vAlign w:val="center"/>
            <w:hideMark/>
          </w:tcPr>
          <w:p w14:paraId="58355EB1"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127E8312"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1A770A0E"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716</w:t>
            </w:r>
          </w:p>
        </w:tc>
        <w:tc>
          <w:tcPr>
            <w:tcW w:w="1432" w:type="dxa"/>
            <w:tcBorders>
              <w:top w:val="nil"/>
              <w:left w:val="nil"/>
              <w:bottom w:val="single" w:sz="4" w:space="0" w:color="auto"/>
              <w:right w:val="single" w:sz="4" w:space="0" w:color="auto"/>
            </w:tcBorders>
            <w:shd w:val="clear" w:color="auto" w:fill="auto"/>
            <w:vAlign w:val="center"/>
            <w:hideMark/>
          </w:tcPr>
          <w:p w14:paraId="63C97D9F"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216.178.442</w:t>
            </w:r>
          </w:p>
        </w:tc>
        <w:tc>
          <w:tcPr>
            <w:tcW w:w="1276" w:type="dxa"/>
            <w:tcBorders>
              <w:top w:val="nil"/>
              <w:left w:val="nil"/>
              <w:bottom w:val="single" w:sz="4" w:space="0" w:color="auto"/>
              <w:right w:val="single" w:sz="4" w:space="0" w:color="auto"/>
            </w:tcBorders>
            <w:shd w:val="clear" w:color="auto" w:fill="auto"/>
            <w:noWrap/>
            <w:vAlign w:val="center"/>
            <w:hideMark/>
          </w:tcPr>
          <w:p w14:paraId="43E521FD"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15,39 %</w:t>
            </w:r>
          </w:p>
        </w:tc>
        <w:tc>
          <w:tcPr>
            <w:tcW w:w="1417" w:type="dxa"/>
            <w:tcBorders>
              <w:top w:val="nil"/>
              <w:left w:val="nil"/>
              <w:bottom w:val="single" w:sz="4" w:space="0" w:color="auto"/>
              <w:right w:val="single" w:sz="4" w:space="0" w:color="auto"/>
            </w:tcBorders>
            <w:shd w:val="clear" w:color="auto" w:fill="auto"/>
            <w:noWrap/>
            <w:vAlign w:val="center"/>
            <w:hideMark/>
          </w:tcPr>
          <w:p w14:paraId="4855CFF6"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9,84 %</w:t>
            </w:r>
          </w:p>
        </w:tc>
      </w:tr>
      <w:tr w:rsidR="00F24E18" w:rsidRPr="003D3311" w14:paraId="61A8ED5F" w14:textId="77777777" w:rsidTr="000E18B5">
        <w:trPr>
          <w:trHeight w:val="255"/>
        </w:trPr>
        <w:tc>
          <w:tcPr>
            <w:tcW w:w="959" w:type="dxa"/>
            <w:vMerge/>
            <w:tcBorders>
              <w:top w:val="nil"/>
              <w:left w:val="single" w:sz="4" w:space="0" w:color="auto"/>
              <w:bottom w:val="single" w:sz="4" w:space="0" w:color="auto"/>
              <w:right w:val="single" w:sz="4" w:space="0" w:color="auto"/>
            </w:tcBorders>
            <w:vAlign w:val="center"/>
            <w:hideMark/>
          </w:tcPr>
          <w:p w14:paraId="718C9B6D"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3A339883" w14:textId="77777777" w:rsidR="00F24E18" w:rsidRPr="003D3311" w:rsidRDefault="00F24E18" w:rsidP="000E18B5">
            <w:pPr>
              <w:spacing w:after="0" w:line="240" w:lineRule="auto"/>
              <w:rPr>
                <w:rFonts w:ascii="Arial" w:eastAsia="Times New Roman" w:hAnsi="Arial" w:cs="Arial"/>
                <w:b/>
                <w:bCs/>
                <w:color w:val="000000"/>
                <w:sz w:val="18"/>
                <w:szCs w:val="18"/>
                <w:lang w:eastAsia="sl-SI"/>
              </w:rPr>
            </w:pPr>
            <w:r w:rsidRPr="003D3311">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686EB36D"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4.652</w:t>
            </w:r>
          </w:p>
        </w:tc>
        <w:tc>
          <w:tcPr>
            <w:tcW w:w="1432" w:type="dxa"/>
            <w:tcBorders>
              <w:top w:val="nil"/>
              <w:left w:val="nil"/>
              <w:bottom w:val="single" w:sz="4" w:space="0" w:color="auto"/>
              <w:right w:val="single" w:sz="4" w:space="0" w:color="auto"/>
            </w:tcBorders>
            <w:shd w:val="clear" w:color="auto" w:fill="auto"/>
            <w:vAlign w:val="center"/>
            <w:hideMark/>
          </w:tcPr>
          <w:p w14:paraId="79E654A1"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2.197.735.054</w:t>
            </w:r>
          </w:p>
        </w:tc>
        <w:tc>
          <w:tcPr>
            <w:tcW w:w="1276" w:type="dxa"/>
            <w:tcBorders>
              <w:top w:val="nil"/>
              <w:left w:val="nil"/>
              <w:bottom w:val="single" w:sz="4" w:space="0" w:color="auto"/>
              <w:right w:val="single" w:sz="4" w:space="0" w:color="auto"/>
            </w:tcBorders>
            <w:shd w:val="clear" w:color="auto" w:fill="auto"/>
            <w:vAlign w:val="center"/>
            <w:hideMark/>
          </w:tcPr>
          <w:p w14:paraId="1449A43E"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c>
          <w:tcPr>
            <w:tcW w:w="1417" w:type="dxa"/>
            <w:tcBorders>
              <w:top w:val="nil"/>
              <w:left w:val="nil"/>
              <w:bottom w:val="single" w:sz="4" w:space="0" w:color="auto"/>
              <w:right w:val="single" w:sz="4" w:space="0" w:color="auto"/>
            </w:tcBorders>
            <w:shd w:val="clear" w:color="auto" w:fill="auto"/>
            <w:vAlign w:val="center"/>
            <w:hideMark/>
          </w:tcPr>
          <w:p w14:paraId="682EACD2"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r>
      <w:tr w:rsidR="00F24E18" w:rsidRPr="003D3311" w14:paraId="1270D1EC" w14:textId="77777777" w:rsidTr="000E18B5">
        <w:trPr>
          <w:trHeight w:val="255"/>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28A743BC"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Gradnje</w:t>
            </w:r>
          </w:p>
        </w:tc>
        <w:tc>
          <w:tcPr>
            <w:tcW w:w="2991" w:type="dxa"/>
            <w:tcBorders>
              <w:top w:val="nil"/>
              <w:left w:val="nil"/>
              <w:bottom w:val="single" w:sz="4" w:space="0" w:color="auto"/>
              <w:right w:val="single" w:sz="4" w:space="0" w:color="auto"/>
            </w:tcBorders>
            <w:shd w:val="clear" w:color="auto" w:fill="auto"/>
            <w:vAlign w:val="center"/>
            <w:hideMark/>
          </w:tcPr>
          <w:p w14:paraId="33DE3E31"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7004AECC"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1.535</w:t>
            </w:r>
          </w:p>
        </w:tc>
        <w:tc>
          <w:tcPr>
            <w:tcW w:w="1432" w:type="dxa"/>
            <w:tcBorders>
              <w:top w:val="nil"/>
              <w:left w:val="nil"/>
              <w:bottom w:val="single" w:sz="4" w:space="0" w:color="auto"/>
              <w:right w:val="single" w:sz="4" w:space="0" w:color="auto"/>
            </w:tcBorders>
            <w:shd w:val="clear" w:color="auto" w:fill="auto"/>
            <w:vAlign w:val="center"/>
            <w:hideMark/>
          </w:tcPr>
          <w:p w14:paraId="7EB2AF82"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1.335.485.027</w:t>
            </w:r>
          </w:p>
        </w:tc>
        <w:tc>
          <w:tcPr>
            <w:tcW w:w="1276" w:type="dxa"/>
            <w:tcBorders>
              <w:top w:val="nil"/>
              <w:left w:val="nil"/>
              <w:bottom w:val="single" w:sz="4" w:space="0" w:color="auto"/>
              <w:right w:val="single" w:sz="4" w:space="0" w:color="auto"/>
            </w:tcBorders>
            <w:shd w:val="clear" w:color="auto" w:fill="auto"/>
            <w:noWrap/>
            <w:vAlign w:val="center"/>
            <w:hideMark/>
          </w:tcPr>
          <w:p w14:paraId="2804018B"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98,08 %</w:t>
            </w:r>
          </w:p>
        </w:tc>
        <w:tc>
          <w:tcPr>
            <w:tcW w:w="1417" w:type="dxa"/>
            <w:tcBorders>
              <w:top w:val="nil"/>
              <w:left w:val="nil"/>
              <w:bottom w:val="single" w:sz="4" w:space="0" w:color="auto"/>
              <w:right w:val="single" w:sz="4" w:space="0" w:color="auto"/>
            </w:tcBorders>
            <w:shd w:val="clear" w:color="auto" w:fill="auto"/>
            <w:noWrap/>
            <w:vAlign w:val="center"/>
            <w:hideMark/>
          </w:tcPr>
          <w:p w14:paraId="3CBBF9F4"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93,59 %</w:t>
            </w:r>
          </w:p>
        </w:tc>
      </w:tr>
      <w:tr w:rsidR="00F24E18" w:rsidRPr="003D3311" w14:paraId="1406ACB7" w14:textId="77777777" w:rsidTr="000E18B5">
        <w:trPr>
          <w:trHeight w:val="255"/>
        </w:trPr>
        <w:tc>
          <w:tcPr>
            <w:tcW w:w="959" w:type="dxa"/>
            <w:vMerge/>
            <w:tcBorders>
              <w:top w:val="nil"/>
              <w:left w:val="single" w:sz="4" w:space="0" w:color="auto"/>
              <w:bottom w:val="single" w:sz="4" w:space="0" w:color="auto"/>
              <w:right w:val="single" w:sz="4" w:space="0" w:color="auto"/>
            </w:tcBorders>
            <w:vAlign w:val="center"/>
            <w:hideMark/>
          </w:tcPr>
          <w:p w14:paraId="0D31FAC4"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516DF53D"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0265FC4E"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30</w:t>
            </w:r>
          </w:p>
        </w:tc>
        <w:tc>
          <w:tcPr>
            <w:tcW w:w="1432" w:type="dxa"/>
            <w:tcBorders>
              <w:top w:val="nil"/>
              <w:left w:val="nil"/>
              <w:bottom w:val="single" w:sz="4" w:space="0" w:color="auto"/>
              <w:right w:val="single" w:sz="4" w:space="0" w:color="auto"/>
            </w:tcBorders>
            <w:shd w:val="clear" w:color="auto" w:fill="auto"/>
            <w:vAlign w:val="center"/>
            <w:hideMark/>
          </w:tcPr>
          <w:p w14:paraId="1D8CF954"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91.431.640</w:t>
            </w:r>
          </w:p>
        </w:tc>
        <w:tc>
          <w:tcPr>
            <w:tcW w:w="1276" w:type="dxa"/>
            <w:tcBorders>
              <w:top w:val="nil"/>
              <w:left w:val="nil"/>
              <w:bottom w:val="single" w:sz="4" w:space="0" w:color="auto"/>
              <w:right w:val="single" w:sz="4" w:space="0" w:color="auto"/>
            </w:tcBorders>
            <w:shd w:val="clear" w:color="auto" w:fill="auto"/>
            <w:noWrap/>
            <w:vAlign w:val="center"/>
            <w:hideMark/>
          </w:tcPr>
          <w:p w14:paraId="4445DFD0"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1,92 %</w:t>
            </w:r>
          </w:p>
        </w:tc>
        <w:tc>
          <w:tcPr>
            <w:tcW w:w="1417" w:type="dxa"/>
            <w:tcBorders>
              <w:top w:val="nil"/>
              <w:left w:val="nil"/>
              <w:bottom w:val="single" w:sz="4" w:space="0" w:color="auto"/>
              <w:right w:val="single" w:sz="4" w:space="0" w:color="auto"/>
            </w:tcBorders>
            <w:shd w:val="clear" w:color="auto" w:fill="auto"/>
            <w:noWrap/>
            <w:vAlign w:val="center"/>
            <w:hideMark/>
          </w:tcPr>
          <w:p w14:paraId="47A8064E"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6,41 %</w:t>
            </w:r>
          </w:p>
        </w:tc>
      </w:tr>
      <w:tr w:rsidR="00F24E18" w:rsidRPr="003D3311" w14:paraId="0074D2DE" w14:textId="77777777" w:rsidTr="000E18B5">
        <w:trPr>
          <w:trHeight w:val="255"/>
        </w:trPr>
        <w:tc>
          <w:tcPr>
            <w:tcW w:w="959" w:type="dxa"/>
            <w:vMerge/>
            <w:tcBorders>
              <w:top w:val="nil"/>
              <w:left w:val="single" w:sz="4" w:space="0" w:color="auto"/>
              <w:bottom w:val="single" w:sz="4" w:space="0" w:color="auto"/>
              <w:right w:val="single" w:sz="4" w:space="0" w:color="auto"/>
            </w:tcBorders>
            <w:vAlign w:val="center"/>
            <w:hideMark/>
          </w:tcPr>
          <w:p w14:paraId="5F1C9BCE"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2991" w:type="dxa"/>
            <w:tcBorders>
              <w:top w:val="nil"/>
              <w:left w:val="nil"/>
              <w:bottom w:val="single" w:sz="4" w:space="0" w:color="auto"/>
              <w:right w:val="single" w:sz="4" w:space="0" w:color="auto"/>
            </w:tcBorders>
            <w:shd w:val="clear" w:color="auto" w:fill="auto"/>
            <w:vAlign w:val="center"/>
            <w:hideMark/>
          </w:tcPr>
          <w:p w14:paraId="679217EF" w14:textId="77777777" w:rsidR="00F24E18" w:rsidRPr="003D3311" w:rsidRDefault="00F24E18" w:rsidP="000E18B5">
            <w:pPr>
              <w:spacing w:after="0" w:line="240" w:lineRule="auto"/>
              <w:rPr>
                <w:rFonts w:ascii="Arial" w:eastAsia="Times New Roman" w:hAnsi="Arial" w:cs="Arial"/>
                <w:b/>
                <w:bCs/>
                <w:color w:val="000000"/>
                <w:sz w:val="18"/>
                <w:szCs w:val="18"/>
                <w:lang w:eastAsia="sl-SI"/>
              </w:rPr>
            </w:pPr>
            <w:r w:rsidRPr="003D3311">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noWrap/>
            <w:vAlign w:val="center"/>
            <w:hideMark/>
          </w:tcPr>
          <w:p w14:paraId="6AAD0D74"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1.565</w:t>
            </w:r>
          </w:p>
        </w:tc>
        <w:tc>
          <w:tcPr>
            <w:tcW w:w="1432" w:type="dxa"/>
            <w:tcBorders>
              <w:top w:val="nil"/>
              <w:left w:val="nil"/>
              <w:bottom w:val="single" w:sz="4" w:space="0" w:color="auto"/>
              <w:right w:val="single" w:sz="4" w:space="0" w:color="auto"/>
            </w:tcBorders>
            <w:shd w:val="clear" w:color="auto" w:fill="auto"/>
            <w:noWrap/>
            <w:vAlign w:val="center"/>
            <w:hideMark/>
          </w:tcPr>
          <w:p w14:paraId="0BEA0EFC"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1.426.916.667</w:t>
            </w:r>
          </w:p>
        </w:tc>
        <w:tc>
          <w:tcPr>
            <w:tcW w:w="1276" w:type="dxa"/>
            <w:tcBorders>
              <w:top w:val="nil"/>
              <w:left w:val="nil"/>
              <w:bottom w:val="single" w:sz="4" w:space="0" w:color="auto"/>
              <w:right w:val="single" w:sz="4" w:space="0" w:color="auto"/>
            </w:tcBorders>
            <w:shd w:val="clear" w:color="auto" w:fill="auto"/>
            <w:vAlign w:val="center"/>
            <w:hideMark/>
          </w:tcPr>
          <w:p w14:paraId="2D4D85FB"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c>
          <w:tcPr>
            <w:tcW w:w="1417" w:type="dxa"/>
            <w:tcBorders>
              <w:top w:val="nil"/>
              <w:left w:val="nil"/>
              <w:bottom w:val="single" w:sz="4" w:space="0" w:color="auto"/>
              <w:right w:val="single" w:sz="4" w:space="0" w:color="auto"/>
            </w:tcBorders>
            <w:shd w:val="clear" w:color="auto" w:fill="auto"/>
            <w:vAlign w:val="center"/>
            <w:hideMark/>
          </w:tcPr>
          <w:p w14:paraId="1219BD03"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r>
      <w:tr w:rsidR="00F24E18" w:rsidRPr="003D3311" w14:paraId="77335B75" w14:textId="77777777" w:rsidTr="000E18B5">
        <w:trPr>
          <w:gridAfter w:val="2"/>
          <w:wAfter w:w="2693" w:type="dxa"/>
          <w:trHeight w:val="255"/>
        </w:trPr>
        <w:tc>
          <w:tcPr>
            <w:tcW w:w="39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CA39A9" w14:textId="77777777" w:rsidR="00F24E18" w:rsidRPr="003D3311" w:rsidRDefault="00F24E18" w:rsidP="000E18B5">
            <w:pPr>
              <w:spacing w:after="0" w:line="240" w:lineRule="auto"/>
              <w:rPr>
                <w:rFonts w:ascii="Arial" w:eastAsia="Times New Roman" w:hAnsi="Arial" w:cs="Arial"/>
                <w:b/>
                <w:bCs/>
                <w:color w:val="000000"/>
                <w:sz w:val="18"/>
                <w:szCs w:val="18"/>
                <w:lang w:eastAsia="sl-SI"/>
              </w:rPr>
            </w:pPr>
            <w:r w:rsidRPr="003D3311">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1512C5EA"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16.824</w:t>
            </w:r>
          </w:p>
        </w:tc>
        <w:tc>
          <w:tcPr>
            <w:tcW w:w="1432" w:type="dxa"/>
            <w:tcBorders>
              <w:top w:val="nil"/>
              <w:left w:val="nil"/>
              <w:bottom w:val="single" w:sz="4" w:space="0" w:color="auto"/>
              <w:right w:val="single" w:sz="4" w:space="0" w:color="auto"/>
            </w:tcBorders>
            <w:shd w:val="clear" w:color="auto" w:fill="F2F2F2" w:themeFill="background1" w:themeFillShade="F2"/>
            <w:noWrap/>
            <w:vAlign w:val="center"/>
            <w:hideMark/>
          </w:tcPr>
          <w:p w14:paraId="0C3F65DC"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6.232.250.969</w:t>
            </w:r>
          </w:p>
        </w:tc>
      </w:tr>
    </w:tbl>
    <w:p w14:paraId="08489859" w14:textId="77777777" w:rsidR="00F24E18" w:rsidRPr="00242E41" w:rsidRDefault="00F24E18" w:rsidP="00F24E18">
      <w:pPr>
        <w:spacing w:after="0" w:line="240" w:lineRule="auto"/>
        <w:jc w:val="both"/>
        <w:rPr>
          <w:rFonts w:ascii="Arial" w:hAnsi="Arial" w:cs="Arial"/>
          <w:sz w:val="20"/>
          <w:highlight w:val="yellow"/>
        </w:rPr>
      </w:pPr>
      <w:bookmarkStart w:id="91" w:name="_Toc367054475"/>
      <w:bookmarkStart w:id="92" w:name="_Toc367193248"/>
      <w:bookmarkStart w:id="93" w:name="_Toc367784264"/>
      <w:bookmarkStart w:id="94" w:name="_Toc368925709"/>
      <w:bookmarkStart w:id="95" w:name="_Toc369000992"/>
      <w:bookmarkStart w:id="96" w:name="_Toc367054476"/>
      <w:bookmarkStart w:id="97" w:name="_Toc367193249"/>
      <w:bookmarkStart w:id="98" w:name="_Toc367784267"/>
    </w:p>
    <w:p w14:paraId="64093B5D" w14:textId="77777777" w:rsidR="00F24E18" w:rsidRPr="003D3311" w:rsidRDefault="00F24E18" w:rsidP="00F24E18">
      <w:pPr>
        <w:spacing w:before="120" w:after="0" w:line="240" w:lineRule="auto"/>
        <w:jc w:val="both"/>
        <w:rPr>
          <w:rFonts w:ascii="Arial" w:hAnsi="Arial" w:cs="Arial"/>
          <w:sz w:val="20"/>
        </w:rPr>
      </w:pPr>
      <w:r w:rsidRPr="003D3311">
        <w:rPr>
          <w:rFonts w:ascii="Arial" w:hAnsi="Arial" w:cs="Arial"/>
          <w:sz w:val="20"/>
        </w:rPr>
        <w:t>Preglednica 81: Javna naročila glede na področje naročanja in merila za izbor</w:t>
      </w:r>
    </w:p>
    <w:p w14:paraId="51373EFE" w14:textId="77777777" w:rsidR="00F24E18" w:rsidRPr="00242E41" w:rsidRDefault="00F24E18" w:rsidP="00F24E18">
      <w:pPr>
        <w:spacing w:after="0" w:line="240" w:lineRule="auto"/>
        <w:jc w:val="both"/>
        <w:rPr>
          <w:rFonts w:ascii="Arial" w:hAnsi="Arial" w:cs="Arial"/>
          <w:sz w:val="20"/>
          <w:highlight w:val="yellow"/>
        </w:rPr>
      </w:pPr>
    </w:p>
    <w:tbl>
      <w:tblPr>
        <w:tblW w:w="9209" w:type="dxa"/>
        <w:tblCellMar>
          <w:left w:w="70" w:type="dxa"/>
          <w:right w:w="70" w:type="dxa"/>
        </w:tblCellMar>
        <w:tblLook w:val="04A0" w:firstRow="1" w:lastRow="0" w:firstColumn="1" w:lastColumn="0" w:noHBand="0" w:noVBand="1"/>
      </w:tblPr>
      <w:tblGrid>
        <w:gridCol w:w="1301"/>
        <w:gridCol w:w="3074"/>
        <w:gridCol w:w="1134"/>
        <w:gridCol w:w="1432"/>
        <w:gridCol w:w="992"/>
        <w:gridCol w:w="1276"/>
      </w:tblGrid>
      <w:tr w:rsidR="00F24E18" w:rsidRPr="003D3311" w14:paraId="6A259CFE" w14:textId="77777777" w:rsidTr="000E18B5">
        <w:trPr>
          <w:trHeight w:val="255"/>
        </w:trPr>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7878CE"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Predmet</w:t>
            </w:r>
          </w:p>
        </w:tc>
        <w:tc>
          <w:tcPr>
            <w:tcW w:w="307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BF4B34"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Merila</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B4F7F6"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Št. naročil</w:t>
            </w:r>
          </w:p>
        </w:tc>
        <w:tc>
          <w:tcPr>
            <w:tcW w:w="14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996BB0"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Pogodbena vrednost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C5182D"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Delež v št. istovrstnih naročil</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3D5D00" w14:textId="77777777" w:rsidR="00F24E18" w:rsidRPr="003D3311" w:rsidRDefault="00F24E18" w:rsidP="000E18B5">
            <w:pPr>
              <w:spacing w:after="0" w:line="240" w:lineRule="auto"/>
              <w:jc w:val="center"/>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Delež v vrednosti istovrstnih naročil</w:t>
            </w:r>
          </w:p>
        </w:tc>
      </w:tr>
      <w:tr w:rsidR="00F24E18" w:rsidRPr="003D3311" w14:paraId="2800321E" w14:textId="77777777" w:rsidTr="000E18B5">
        <w:trPr>
          <w:trHeight w:val="255"/>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4004ADDD"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Splošno</w:t>
            </w:r>
          </w:p>
        </w:tc>
        <w:tc>
          <w:tcPr>
            <w:tcW w:w="3074" w:type="dxa"/>
            <w:tcBorders>
              <w:top w:val="nil"/>
              <w:left w:val="nil"/>
              <w:bottom w:val="single" w:sz="4" w:space="0" w:color="auto"/>
              <w:right w:val="single" w:sz="4" w:space="0" w:color="auto"/>
            </w:tcBorders>
            <w:shd w:val="clear" w:color="auto" w:fill="auto"/>
            <w:vAlign w:val="center"/>
            <w:hideMark/>
          </w:tcPr>
          <w:p w14:paraId="0E8EDF37"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1A15F1FC"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12.627</w:t>
            </w:r>
          </w:p>
        </w:tc>
        <w:tc>
          <w:tcPr>
            <w:tcW w:w="1432" w:type="dxa"/>
            <w:tcBorders>
              <w:top w:val="nil"/>
              <w:left w:val="nil"/>
              <w:bottom w:val="single" w:sz="4" w:space="0" w:color="auto"/>
              <w:right w:val="single" w:sz="4" w:space="0" w:color="auto"/>
            </w:tcBorders>
            <w:shd w:val="clear" w:color="auto" w:fill="auto"/>
            <w:vAlign w:val="center"/>
            <w:hideMark/>
          </w:tcPr>
          <w:p w14:paraId="56F12271"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4.288.566.438</w:t>
            </w:r>
          </w:p>
        </w:tc>
        <w:tc>
          <w:tcPr>
            <w:tcW w:w="992" w:type="dxa"/>
            <w:tcBorders>
              <w:top w:val="nil"/>
              <w:left w:val="nil"/>
              <w:bottom w:val="single" w:sz="4" w:space="0" w:color="auto"/>
              <w:right w:val="single" w:sz="4" w:space="0" w:color="auto"/>
            </w:tcBorders>
            <w:shd w:val="clear" w:color="auto" w:fill="auto"/>
            <w:noWrap/>
            <w:vAlign w:val="center"/>
            <w:hideMark/>
          </w:tcPr>
          <w:p w14:paraId="7BC33758"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89,09 %</w:t>
            </w:r>
          </w:p>
        </w:tc>
        <w:tc>
          <w:tcPr>
            <w:tcW w:w="1276" w:type="dxa"/>
            <w:tcBorders>
              <w:top w:val="nil"/>
              <w:left w:val="nil"/>
              <w:bottom w:val="single" w:sz="4" w:space="0" w:color="auto"/>
              <w:right w:val="single" w:sz="4" w:space="0" w:color="auto"/>
            </w:tcBorders>
            <w:shd w:val="clear" w:color="auto" w:fill="auto"/>
            <w:noWrap/>
            <w:vAlign w:val="center"/>
            <w:hideMark/>
          </w:tcPr>
          <w:p w14:paraId="0B2F1333"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92,50 %</w:t>
            </w:r>
          </w:p>
        </w:tc>
      </w:tr>
      <w:tr w:rsidR="00F24E18" w:rsidRPr="003D3311" w14:paraId="705E78B7" w14:textId="77777777" w:rsidTr="000E18B5">
        <w:trPr>
          <w:trHeight w:val="255"/>
        </w:trPr>
        <w:tc>
          <w:tcPr>
            <w:tcW w:w="1301" w:type="dxa"/>
            <w:vMerge/>
            <w:tcBorders>
              <w:top w:val="nil"/>
              <w:left w:val="single" w:sz="4" w:space="0" w:color="auto"/>
              <w:bottom w:val="single" w:sz="4" w:space="0" w:color="auto"/>
              <w:right w:val="single" w:sz="4" w:space="0" w:color="auto"/>
            </w:tcBorders>
            <w:vAlign w:val="center"/>
            <w:hideMark/>
          </w:tcPr>
          <w:p w14:paraId="2A8F7148"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5BF99C77"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11F45BBF"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1.547</w:t>
            </w:r>
          </w:p>
        </w:tc>
        <w:tc>
          <w:tcPr>
            <w:tcW w:w="1432" w:type="dxa"/>
            <w:tcBorders>
              <w:top w:val="nil"/>
              <w:left w:val="nil"/>
              <w:bottom w:val="single" w:sz="4" w:space="0" w:color="auto"/>
              <w:right w:val="single" w:sz="4" w:space="0" w:color="auto"/>
            </w:tcBorders>
            <w:shd w:val="clear" w:color="auto" w:fill="auto"/>
            <w:vAlign w:val="center"/>
            <w:hideMark/>
          </w:tcPr>
          <w:p w14:paraId="6670720C"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347.824.866</w:t>
            </w:r>
          </w:p>
        </w:tc>
        <w:tc>
          <w:tcPr>
            <w:tcW w:w="992" w:type="dxa"/>
            <w:tcBorders>
              <w:top w:val="nil"/>
              <w:left w:val="nil"/>
              <w:bottom w:val="single" w:sz="4" w:space="0" w:color="auto"/>
              <w:right w:val="single" w:sz="4" w:space="0" w:color="auto"/>
            </w:tcBorders>
            <w:shd w:val="clear" w:color="auto" w:fill="auto"/>
            <w:noWrap/>
            <w:vAlign w:val="center"/>
            <w:hideMark/>
          </w:tcPr>
          <w:p w14:paraId="02D41107"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10,91 %</w:t>
            </w:r>
          </w:p>
        </w:tc>
        <w:tc>
          <w:tcPr>
            <w:tcW w:w="1276" w:type="dxa"/>
            <w:tcBorders>
              <w:top w:val="nil"/>
              <w:left w:val="nil"/>
              <w:bottom w:val="single" w:sz="4" w:space="0" w:color="auto"/>
              <w:right w:val="single" w:sz="4" w:space="0" w:color="auto"/>
            </w:tcBorders>
            <w:shd w:val="clear" w:color="auto" w:fill="auto"/>
            <w:noWrap/>
            <w:vAlign w:val="center"/>
            <w:hideMark/>
          </w:tcPr>
          <w:p w14:paraId="1C9DE4C7"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7,50 %</w:t>
            </w:r>
          </w:p>
        </w:tc>
      </w:tr>
      <w:tr w:rsidR="00F24E18" w:rsidRPr="003D3311" w14:paraId="6BC76BAF" w14:textId="77777777" w:rsidTr="000E18B5">
        <w:trPr>
          <w:trHeight w:val="255"/>
        </w:trPr>
        <w:tc>
          <w:tcPr>
            <w:tcW w:w="1301" w:type="dxa"/>
            <w:vMerge/>
            <w:tcBorders>
              <w:top w:val="nil"/>
              <w:left w:val="single" w:sz="4" w:space="0" w:color="auto"/>
              <w:bottom w:val="single" w:sz="4" w:space="0" w:color="auto"/>
              <w:right w:val="single" w:sz="4" w:space="0" w:color="auto"/>
            </w:tcBorders>
            <w:vAlign w:val="center"/>
            <w:hideMark/>
          </w:tcPr>
          <w:p w14:paraId="7349EDD4"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7635C6D6" w14:textId="77777777" w:rsidR="00F24E18" w:rsidRPr="003D3311" w:rsidRDefault="00F24E18" w:rsidP="000E18B5">
            <w:pPr>
              <w:spacing w:after="0" w:line="240" w:lineRule="auto"/>
              <w:rPr>
                <w:rFonts w:ascii="Arial" w:eastAsia="Times New Roman" w:hAnsi="Arial" w:cs="Arial"/>
                <w:b/>
                <w:bCs/>
                <w:color w:val="000000"/>
                <w:sz w:val="18"/>
                <w:szCs w:val="18"/>
                <w:lang w:eastAsia="sl-SI"/>
              </w:rPr>
            </w:pPr>
            <w:r w:rsidRPr="003D3311">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081A0472"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14.174</w:t>
            </w:r>
          </w:p>
        </w:tc>
        <w:tc>
          <w:tcPr>
            <w:tcW w:w="1432" w:type="dxa"/>
            <w:tcBorders>
              <w:top w:val="nil"/>
              <w:left w:val="nil"/>
              <w:bottom w:val="single" w:sz="4" w:space="0" w:color="auto"/>
              <w:right w:val="single" w:sz="4" w:space="0" w:color="auto"/>
            </w:tcBorders>
            <w:shd w:val="clear" w:color="auto" w:fill="auto"/>
            <w:vAlign w:val="center"/>
            <w:hideMark/>
          </w:tcPr>
          <w:p w14:paraId="692930E6"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4.636.391.304</w:t>
            </w:r>
          </w:p>
        </w:tc>
        <w:tc>
          <w:tcPr>
            <w:tcW w:w="992" w:type="dxa"/>
            <w:tcBorders>
              <w:top w:val="nil"/>
              <w:left w:val="nil"/>
              <w:bottom w:val="single" w:sz="4" w:space="0" w:color="auto"/>
              <w:right w:val="single" w:sz="4" w:space="0" w:color="auto"/>
            </w:tcBorders>
            <w:shd w:val="clear" w:color="auto" w:fill="auto"/>
            <w:vAlign w:val="center"/>
            <w:hideMark/>
          </w:tcPr>
          <w:p w14:paraId="6C45DD31"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c>
          <w:tcPr>
            <w:tcW w:w="1276" w:type="dxa"/>
            <w:tcBorders>
              <w:top w:val="nil"/>
              <w:left w:val="nil"/>
              <w:bottom w:val="single" w:sz="4" w:space="0" w:color="auto"/>
              <w:right w:val="single" w:sz="4" w:space="0" w:color="auto"/>
            </w:tcBorders>
            <w:shd w:val="clear" w:color="auto" w:fill="auto"/>
            <w:vAlign w:val="center"/>
            <w:hideMark/>
          </w:tcPr>
          <w:p w14:paraId="4F438162"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r>
      <w:tr w:rsidR="00F24E18" w:rsidRPr="003D3311" w14:paraId="184A5CB3" w14:textId="77777777" w:rsidTr="000E18B5">
        <w:trPr>
          <w:trHeight w:val="255"/>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5C7B05AB"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Infrastrukturno</w:t>
            </w:r>
          </w:p>
        </w:tc>
        <w:tc>
          <w:tcPr>
            <w:tcW w:w="3074" w:type="dxa"/>
            <w:tcBorders>
              <w:top w:val="nil"/>
              <w:left w:val="nil"/>
              <w:bottom w:val="single" w:sz="4" w:space="0" w:color="auto"/>
              <w:right w:val="single" w:sz="4" w:space="0" w:color="auto"/>
            </w:tcBorders>
            <w:shd w:val="clear" w:color="auto" w:fill="auto"/>
            <w:vAlign w:val="center"/>
            <w:hideMark/>
          </w:tcPr>
          <w:p w14:paraId="76955CF1"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5B1B7200"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2.325</w:t>
            </w:r>
          </w:p>
        </w:tc>
        <w:tc>
          <w:tcPr>
            <w:tcW w:w="1432" w:type="dxa"/>
            <w:tcBorders>
              <w:top w:val="nil"/>
              <w:left w:val="nil"/>
              <w:bottom w:val="single" w:sz="4" w:space="0" w:color="auto"/>
              <w:right w:val="single" w:sz="4" w:space="0" w:color="auto"/>
            </w:tcBorders>
            <w:shd w:val="clear" w:color="auto" w:fill="auto"/>
            <w:vAlign w:val="center"/>
            <w:hideMark/>
          </w:tcPr>
          <w:p w14:paraId="46F14BEE"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1.347.240.564</w:t>
            </w:r>
          </w:p>
        </w:tc>
        <w:tc>
          <w:tcPr>
            <w:tcW w:w="992" w:type="dxa"/>
            <w:tcBorders>
              <w:top w:val="nil"/>
              <w:left w:val="nil"/>
              <w:bottom w:val="single" w:sz="4" w:space="0" w:color="auto"/>
              <w:right w:val="single" w:sz="4" w:space="0" w:color="auto"/>
            </w:tcBorders>
            <w:shd w:val="clear" w:color="auto" w:fill="auto"/>
            <w:noWrap/>
            <w:vAlign w:val="center"/>
            <w:hideMark/>
          </w:tcPr>
          <w:p w14:paraId="31FAD2D0"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92,19 %</w:t>
            </w:r>
          </w:p>
        </w:tc>
        <w:tc>
          <w:tcPr>
            <w:tcW w:w="1276" w:type="dxa"/>
            <w:tcBorders>
              <w:top w:val="nil"/>
              <w:left w:val="nil"/>
              <w:bottom w:val="single" w:sz="4" w:space="0" w:color="auto"/>
              <w:right w:val="single" w:sz="4" w:space="0" w:color="auto"/>
            </w:tcBorders>
            <w:shd w:val="clear" w:color="auto" w:fill="auto"/>
            <w:noWrap/>
            <w:vAlign w:val="center"/>
            <w:hideMark/>
          </w:tcPr>
          <w:p w14:paraId="7E7637DF"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93,53 %</w:t>
            </w:r>
          </w:p>
        </w:tc>
      </w:tr>
      <w:tr w:rsidR="00F24E18" w:rsidRPr="003D3311" w14:paraId="0BDCBEA1" w14:textId="77777777" w:rsidTr="000E18B5">
        <w:trPr>
          <w:trHeight w:val="255"/>
        </w:trPr>
        <w:tc>
          <w:tcPr>
            <w:tcW w:w="1301" w:type="dxa"/>
            <w:vMerge/>
            <w:tcBorders>
              <w:top w:val="nil"/>
              <w:left w:val="single" w:sz="4" w:space="0" w:color="auto"/>
              <w:bottom w:val="single" w:sz="4" w:space="0" w:color="auto"/>
              <w:right w:val="single" w:sz="4" w:space="0" w:color="auto"/>
            </w:tcBorders>
            <w:vAlign w:val="center"/>
            <w:hideMark/>
          </w:tcPr>
          <w:p w14:paraId="77D30E13"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76CFE0F1"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1FF56913"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197</w:t>
            </w:r>
          </w:p>
        </w:tc>
        <w:tc>
          <w:tcPr>
            <w:tcW w:w="1432" w:type="dxa"/>
            <w:tcBorders>
              <w:top w:val="nil"/>
              <w:left w:val="nil"/>
              <w:bottom w:val="single" w:sz="4" w:space="0" w:color="auto"/>
              <w:right w:val="single" w:sz="4" w:space="0" w:color="auto"/>
            </w:tcBorders>
            <w:shd w:val="clear" w:color="auto" w:fill="auto"/>
            <w:vAlign w:val="center"/>
            <w:hideMark/>
          </w:tcPr>
          <w:p w14:paraId="24CCCA8E"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93.195.544</w:t>
            </w:r>
          </w:p>
        </w:tc>
        <w:tc>
          <w:tcPr>
            <w:tcW w:w="992" w:type="dxa"/>
            <w:tcBorders>
              <w:top w:val="nil"/>
              <w:left w:val="nil"/>
              <w:bottom w:val="single" w:sz="4" w:space="0" w:color="auto"/>
              <w:right w:val="single" w:sz="4" w:space="0" w:color="auto"/>
            </w:tcBorders>
            <w:shd w:val="clear" w:color="auto" w:fill="auto"/>
            <w:noWrap/>
            <w:vAlign w:val="center"/>
            <w:hideMark/>
          </w:tcPr>
          <w:p w14:paraId="5F837C74"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7,81 %</w:t>
            </w:r>
          </w:p>
        </w:tc>
        <w:tc>
          <w:tcPr>
            <w:tcW w:w="1276" w:type="dxa"/>
            <w:tcBorders>
              <w:top w:val="nil"/>
              <w:left w:val="nil"/>
              <w:bottom w:val="single" w:sz="4" w:space="0" w:color="auto"/>
              <w:right w:val="single" w:sz="4" w:space="0" w:color="auto"/>
            </w:tcBorders>
            <w:shd w:val="clear" w:color="auto" w:fill="auto"/>
            <w:noWrap/>
            <w:vAlign w:val="center"/>
            <w:hideMark/>
          </w:tcPr>
          <w:p w14:paraId="524A6A4C"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6,47 %</w:t>
            </w:r>
          </w:p>
        </w:tc>
      </w:tr>
      <w:tr w:rsidR="00F24E18" w:rsidRPr="003D3311" w14:paraId="604040E3" w14:textId="77777777" w:rsidTr="000E18B5">
        <w:trPr>
          <w:trHeight w:val="255"/>
        </w:trPr>
        <w:tc>
          <w:tcPr>
            <w:tcW w:w="1301" w:type="dxa"/>
            <w:vMerge/>
            <w:tcBorders>
              <w:top w:val="nil"/>
              <w:left w:val="single" w:sz="4" w:space="0" w:color="auto"/>
              <w:bottom w:val="single" w:sz="4" w:space="0" w:color="auto"/>
              <w:right w:val="single" w:sz="4" w:space="0" w:color="auto"/>
            </w:tcBorders>
            <w:vAlign w:val="center"/>
            <w:hideMark/>
          </w:tcPr>
          <w:p w14:paraId="2E89D1E0"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7845385E" w14:textId="77777777" w:rsidR="00F24E18" w:rsidRPr="003D3311" w:rsidRDefault="00F24E18" w:rsidP="000E18B5">
            <w:pPr>
              <w:spacing w:after="0" w:line="240" w:lineRule="auto"/>
              <w:rPr>
                <w:rFonts w:ascii="Arial" w:eastAsia="Times New Roman" w:hAnsi="Arial" w:cs="Arial"/>
                <w:b/>
                <w:bCs/>
                <w:color w:val="000000"/>
                <w:sz w:val="18"/>
                <w:szCs w:val="18"/>
                <w:lang w:eastAsia="sl-SI"/>
              </w:rPr>
            </w:pPr>
            <w:r w:rsidRPr="003D3311">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vAlign w:val="center"/>
            <w:hideMark/>
          </w:tcPr>
          <w:p w14:paraId="12905E9E"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2.522</w:t>
            </w:r>
          </w:p>
        </w:tc>
        <w:tc>
          <w:tcPr>
            <w:tcW w:w="1432" w:type="dxa"/>
            <w:tcBorders>
              <w:top w:val="nil"/>
              <w:left w:val="nil"/>
              <w:bottom w:val="single" w:sz="4" w:space="0" w:color="auto"/>
              <w:right w:val="single" w:sz="4" w:space="0" w:color="auto"/>
            </w:tcBorders>
            <w:shd w:val="clear" w:color="auto" w:fill="auto"/>
            <w:vAlign w:val="center"/>
            <w:hideMark/>
          </w:tcPr>
          <w:p w14:paraId="478A9F9A"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1.440.436.108</w:t>
            </w:r>
          </w:p>
        </w:tc>
        <w:tc>
          <w:tcPr>
            <w:tcW w:w="992" w:type="dxa"/>
            <w:tcBorders>
              <w:top w:val="nil"/>
              <w:left w:val="nil"/>
              <w:bottom w:val="single" w:sz="4" w:space="0" w:color="auto"/>
              <w:right w:val="single" w:sz="4" w:space="0" w:color="auto"/>
            </w:tcBorders>
            <w:shd w:val="clear" w:color="auto" w:fill="auto"/>
            <w:vAlign w:val="center"/>
            <w:hideMark/>
          </w:tcPr>
          <w:p w14:paraId="2C19A65F"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c>
          <w:tcPr>
            <w:tcW w:w="1276" w:type="dxa"/>
            <w:tcBorders>
              <w:top w:val="nil"/>
              <w:left w:val="nil"/>
              <w:bottom w:val="single" w:sz="4" w:space="0" w:color="auto"/>
              <w:right w:val="single" w:sz="4" w:space="0" w:color="auto"/>
            </w:tcBorders>
            <w:shd w:val="clear" w:color="auto" w:fill="auto"/>
            <w:vAlign w:val="center"/>
            <w:hideMark/>
          </w:tcPr>
          <w:p w14:paraId="6F1052AA"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r>
      <w:tr w:rsidR="00F24E18" w:rsidRPr="003D3311" w14:paraId="65D5790C" w14:textId="77777777" w:rsidTr="000E18B5">
        <w:trPr>
          <w:trHeight w:val="255"/>
        </w:trPr>
        <w:tc>
          <w:tcPr>
            <w:tcW w:w="1301" w:type="dxa"/>
            <w:vMerge w:val="restart"/>
            <w:tcBorders>
              <w:top w:val="nil"/>
              <w:left w:val="single" w:sz="4" w:space="0" w:color="auto"/>
              <w:bottom w:val="single" w:sz="4" w:space="0" w:color="auto"/>
              <w:right w:val="single" w:sz="4" w:space="0" w:color="auto"/>
            </w:tcBorders>
            <w:shd w:val="clear" w:color="auto" w:fill="auto"/>
            <w:vAlign w:val="center"/>
            <w:hideMark/>
          </w:tcPr>
          <w:p w14:paraId="1C062B7E"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Obrambno</w:t>
            </w:r>
          </w:p>
        </w:tc>
        <w:tc>
          <w:tcPr>
            <w:tcW w:w="3074" w:type="dxa"/>
            <w:tcBorders>
              <w:top w:val="nil"/>
              <w:left w:val="nil"/>
              <w:bottom w:val="single" w:sz="4" w:space="0" w:color="auto"/>
              <w:right w:val="single" w:sz="4" w:space="0" w:color="auto"/>
            </w:tcBorders>
            <w:shd w:val="clear" w:color="auto" w:fill="auto"/>
            <w:vAlign w:val="center"/>
            <w:hideMark/>
          </w:tcPr>
          <w:p w14:paraId="33BF513F"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Cena</w:t>
            </w:r>
          </w:p>
        </w:tc>
        <w:tc>
          <w:tcPr>
            <w:tcW w:w="1134" w:type="dxa"/>
            <w:tcBorders>
              <w:top w:val="nil"/>
              <w:left w:val="nil"/>
              <w:bottom w:val="single" w:sz="4" w:space="0" w:color="auto"/>
              <w:right w:val="single" w:sz="4" w:space="0" w:color="auto"/>
            </w:tcBorders>
            <w:shd w:val="clear" w:color="auto" w:fill="auto"/>
            <w:vAlign w:val="center"/>
            <w:hideMark/>
          </w:tcPr>
          <w:p w14:paraId="4D9CBADF"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116</w:t>
            </w:r>
          </w:p>
        </w:tc>
        <w:tc>
          <w:tcPr>
            <w:tcW w:w="1432" w:type="dxa"/>
            <w:tcBorders>
              <w:top w:val="nil"/>
              <w:left w:val="nil"/>
              <w:bottom w:val="single" w:sz="4" w:space="0" w:color="auto"/>
              <w:right w:val="single" w:sz="4" w:space="0" w:color="auto"/>
            </w:tcBorders>
            <w:shd w:val="clear" w:color="auto" w:fill="auto"/>
            <w:vAlign w:val="center"/>
            <w:hideMark/>
          </w:tcPr>
          <w:p w14:paraId="10B9E6D0"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140.245.548</w:t>
            </w:r>
          </w:p>
        </w:tc>
        <w:tc>
          <w:tcPr>
            <w:tcW w:w="992" w:type="dxa"/>
            <w:tcBorders>
              <w:top w:val="nil"/>
              <w:left w:val="nil"/>
              <w:bottom w:val="single" w:sz="4" w:space="0" w:color="auto"/>
              <w:right w:val="single" w:sz="4" w:space="0" w:color="auto"/>
            </w:tcBorders>
            <w:shd w:val="clear" w:color="auto" w:fill="auto"/>
            <w:noWrap/>
            <w:vAlign w:val="center"/>
            <w:hideMark/>
          </w:tcPr>
          <w:p w14:paraId="46D87F52"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90,63 %</w:t>
            </w:r>
          </w:p>
        </w:tc>
        <w:tc>
          <w:tcPr>
            <w:tcW w:w="1276" w:type="dxa"/>
            <w:tcBorders>
              <w:top w:val="nil"/>
              <w:left w:val="nil"/>
              <w:bottom w:val="single" w:sz="4" w:space="0" w:color="auto"/>
              <w:right w:val="single" w:sz="4" w:space="0" w:color="auto"/>
            </w:tcBorders>
            <w:shd w:val="clear" w:color="auto" w:fill="auto"/>
            <w:noWrap/>
            <w:vAlign w:val="center"/>
            <w:hideMark/>
          </w:tcPr>
          <w:p w14:paraId="7A994ABF"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90,23 %</w:t>
            </w:r>
          </w:p>
        </w:tc>
      </w:tr>
      <w:tr w:rsidR="00F24E18" w:rsidRPr="003D3311" w14:paraId="119DE0CF" w14:textId="77777777" w:rsidTr="000E18B5">
        <w:trPr>
          <w:trHeight w:val="255"/>
        </w:trPr>
        <w:tc>
          <w:tcPr>
            <w:tcW w:w="1301" w:type="dxa"/>
            <w:vMerge/>
            <w:tcBorders>
              <w:top w:val="nil"/>
              <w:left w:val="single" w:sz="4" w:space="0" w:color="auto"/>
              <w:bottom w:val="single" w:sz="4" w:space="0" w:color="auto"/>
              <w:right w:val="single" w:sz="4" w:space="0" w:color="auto"/>
            </w:tcBorders>
            <w:vAlign w:val="center"/>
            <w:hideMark/>
          </w:tcPr>
          <w:p w14:paraId="49919E58"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72747FC4" w14:textId="77777777" w:rsidR="00F24E18" w:rsidRPr="003D3311" w:rsidRDefault="00F24E18" w:rsidP="000E18B5">
            <w:pPr>
              <w:spacing w:after="0" w:line="240" w:lineRule="auto"/>
              <w:rPr>
                <w:rFonts w:ascii="Arial" w:eastAsia="Times New Roman" w:hAnsi="Arial" w:cs="Arial"/>
                <w:color w:val="000000"/>
                <w:sz w:val="18"/>
                <w:szCs w:val="18"/>
                <w:lang w:eastAsia="sl-SI"/>
              </w:rPr>
            </w:pPr>
            <w:r w:rsidRPr="003D3311">
              <w:rPr>
                <w:rFonts w:ascii="Arial" w:eastAsia="Times New Roman" w:hAnsi="Arial" w:cs="Arial"/>
                <w:color w:val="000000"/>
                <w:sz w:val="18"/>
                <w:szCs w:val="18"/>
                <w:lang w:eastAsia="sl-SI"/>
              </w:rPr>
              <w:t>Ekonomsko najugodnejša ponudba</w:t>
            </w:r>
          </w:p>
        </w:tc>
        <w:tc>
          <w:tcPr>
            <w:tcW w:w="1134" w:type="dxa"/>
            <w:tcBorders>
              <w:top w:val="nil"/>
              <w:left w:val="nil"/>
              <w:bottom w:val="single" w:sz="4" w:space="0" w:color="auto"/>
              <w:right w:val="single" w:sz="4" w:space="0" w:color="auto"/>
            </w:tcBorders>
            <w:shd w:val="clear" w:color="auto" w:fill="auto"/>
            <w:vAlign w:val="center"/>
            <w:hideMark/>
          </w:tcPr>
          <w:p w14:paraId="7A566E52"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12</w:t>
            </w:r>
          </w:p>
        </w:tc>
        <w:tc>
          <w:tcPr>
            <w:tcW w:w="1432" w:type="dxa"/>
            <w:tcBorders>
              <w:top w:val="nil"/>
              <w:left w:val="nil"/>
              <w:bottom w:val="single" w:sz="4" w:space="0" w:color="auto"/>
              <w:right w:val="single" w:sz="4" w:space="0" w:color="auto"/>
            </w:tcBorders>
            <w:shd w:val="clear" w:color="auto" w:fill="auto"/>
            <w:vAlign w:val="center"/>
            <w:hideMark/>
          </w:tcPr>
          <w:p w14:paraId="60D34430"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15.178.009</w:t>
            </w:r>
          </w:p>
        </w:tc>
        <w:tc>
          <w:tcPr>
            <w:tcW w:w="992" w:type="dxa"/>
            <w:tcBorders>
              <w:top w:val="nil"/>
              <w:left w:val="nil"/>
              <w:bottom w:val="single" w:sz="4" w:space="0" w:color="auto"/>
              <w:right w:val="single" w:sz="4" w:space="0" w:color="auto"/>
            </w:tcBorders>
            <w:shd w:val="clear" w:color="auto" w:fill="auto"/>
            <w:noWrap/>
            <w:vAlign w:val="center"/>
            <w:hideMark/>
          </w:tcPr>
          <w:p w14:paraId="23EBBDC8"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9,38 %</w:t>
            </w:r>
          </w:p>
        </w:tc>
        <w:tc>
          <w:tcPr>
            <w:tcW w:w="1276" w:type="dxa"/>
            <w:tcBorders>
              <w:top w:val="nil"/>
              <w:left w:val="nil"/>
              <w:bottom w:val="single" w:sz="4" w:space="0" w:color="auto"/>
              <w:right w:val="single" w:sz="4" w:space="0" w:color="auto"/>
            </w:tcBorders>
            <w:shd w:val="clear" w:color="auto" w:fill="auto"/>
            <w:noWrap/>
            <w:vAlign w:val="center"/>
            <w:hideMark/>
          </w:tcPr>
          <w:p w14:paraId="25DC5B0E" w14:textId="77777777" w:rsidR="00F24E18" w:rsidRPr="003D3311" w:rsidRDefault="00F24E18" w:rsidP="000E18B5">
            <w:pPr>
              <w:spacing w:after="0" w:line="240" w:lineRule="auto"/>
              <w:jc w:val="right"/>
              <w:rPr>
                <w:rFonts w:ascii="Arial" w:eastAsia="Times New Roman" w:hAnsi="Arial" w:cs="Arial"/>
                <w:color w:val="000000"/>
                <w:sz w:val="18"/>
                <w:szCs w:val="18"/>
                <w:lang w:eastAsia="sl-SI"/>
              </w:rPr>
            </w:pPr>
            <w:r w:rsidRPr="003D3311">
              <w:rPr>
                <w:rFonts w:ascii="Arial" w:hAnsi="Arial" w:cs="Arial"/>
                <w:color w:val="000000"/>
                <w:sz w:val="18"/>
                <w:szCs w:val="18"/>
              </w:rPr>
              <w:t>9,77 %</w:t>
            </w:r>
          </w:p>
        </w:tc>
      </w:tr>
      <w:tr w:rsidR="00F24E18" w:rsidRPr="003D3311" w14:paraId="6ADB1068" w14:textId="77777777" w:rsidTr="000E18B5">
        <w:trPr>
          <w:trHeight w:val="255"/>
        </w:trPr>
        <w:tc>
          <w:tcPr>
            <w:tcW w:w="1301" w:type="dxa"/>
            <w:vMerge/>
            <w:tcBorders>
              <w:top w:val="nil"/>
              <w:left w:val="single" w:sz="4" w:space="0" w:color="auto"/>
              <w:bottom w:val="single" w:sz="4" w:space="0" w:color="auto"/>
              <w:right w:val="single" w:sz="4" w:space="0" w:color="auto"/>
            </w:tcBorders>
            <w:vAlign w:val="center"/>
            <w:hideMark/>
          </w:tcPr>
          <w:p w14:paraId="70C62BEE" w14:textId="77777777" w:rsidR="00F24E18" w:rsidRPr="003D3311" w:rsidRDefault="00F24E18" w:rsidP="000E18B5">
            <w:pPr>
              <w:spacing w:after="0" w:line="240" w:lineRule="auto"/>
              <w:rPr>
                <w:rFonts w:ascii="Arial" w:eastAsia="Times New Roman" w:hAnsi="Arial" w:cs="Arial"/>
                <w:color w:val="000000"/>
                <w:sz w:val="18"/>
                <w:szCs w:val="18"/>
                <w:lang w:eastAsia="sl-SI"/>
              </w:rPr>
            </w:pPr>
          </w:p>
        </w:tc>
        <w:tc>
          <w:tcPr>
            <w:tcW w:w="3074" w:type="dxa"/>
            <w:tcBorders>
              <w:top w:val="nil"/>
              <w:left w:val="nil"/>
              <w:bottom w:val="single" w:sz="4" w:space="0" w:color="auto"/>
              <w:right w:val="single" w:sz="4" w:space="0" w:color="auto"/>
            </w:tcBorders>
            <w:shd w:val="clear" w:color="auto" w:fill="auto"/>
            <w:vAlign w:val="center"/>
            <w:hideMark/>
          </w:tcPr>
          <w:p w14:paraId="7D903548" w14:textId="77777777" w:rsidR="00F24E18" w:rsidRPr="003D3311" w:rsidRDefault="00F24E18" w:rsidP="000E18B5">
            <w:pPr>
              <w:spacing w:after="0" w:line="240" w:lineRule="auto"/>
              <w:rPr>
                <w:rFonts w:ascii="Arial" w:eastAsia="Times New Roman" w:hAnsi="Arial" w:cs="Arial"/>
                <w:b/>
                <w:bCs/>
                <w:color w:val="000000"/>
                <w:sz w:val="18"/>
                <w:szCs w:val="18"/>
                <w:lang w:eastAsia="sl-SI"/>
              </w:rPr>
            </w:pPr>
            <w:r w:rsidRPr="003D3311">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auto"/>
            <w:noWrap/>
            <w:vAlign w:val="center"/>
            <w:hideMark/>
          </w:tcPr>
          <w:p w14:paraId="2058F3AF"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128</w:t>
            </w:r>
          </w:p>
        </w:tc>
        <w:tc>
          <w:tcPr>
            <w:tcW w:w="1432" w:type="dxa"/>
            <w:tcBorders>
              <w:top w:val="nil"/>
              <w:left w:val="nil"/>
              <w:bottom w:val="single" w:sz="4" w:space="0" w:color="auto"/>
              <w:right w:val="single" w:sz="4" w:space="0" w:color="auto"/>
            </w:tcBorders>
            <w:shd w:val="clear" w:color="auto" w:fill="auto"/>
            <w:noWrap/>
            <w:vAlign w:val="center"/>
            <w:hideMark/>
          </w:tcPr>
          <w:p w14:paraId="0F89430A"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155.423.557</w:t>
            </w:r>
          </w:p>
        </w:tc>
        <w:tc>
          <w:tcPr>
            <w:tcW w:w="992" w:type="dxa"/>
            <w:tcBorders>
              <w:top w:val="nil"/>
              <w:left w:val="nil"/>
              <w:bottom w:val="single" w:sz="4" w:space="0" w:color="auto"/>
              <w:right w:val="single" w:sz="4" w:space="0" w:color="auto"/>
            </w:tcBorders>
            <w:shd w:val="clear" w:color="auto" w:fill="auto"/>
            <w:vAlign w:val="center"/>
            <w:hideMark/>
          </w:tcPr>
          <w:p w14:paraId="1FDD8E88"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c>
          <w:tcPr>
            <w:tcW w:w="1276" w:type="dxa"/>
            <w:tcBorders>
              <w:top w:val="nil"/>
              <w:left w:val="nil"/>
              <w:bottom w:val="single" w:sz="4" w:space="0" w:color="auto"/>
              <w:right w:val="single" w:sz="4" w:space="0" w:color="auto"/>
            </w:tcBorders>
            <w:shd w:val="clear" w:color="auto" w:fill="auto"/>
            <w:vAlign w:val="center"/>
            <w:hideMark/>
          </w:tcPr>
          <w:p w14:paraId="11B1BE37"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100,00 %</w:t>
            </w:r>
          </w:p>
        </w:tc>
      </w:tr>
      <w:tr w:rsidR="00F24E18" w:rsidRPr="003D3311" w14:paraId="1CEABA43" w14:textId="77777777" w:rsidTr="000E18B5">
        <w:trPr>
          <w:trHeight w:val="255"/>
        </w:trPr>
        <w:tc>
          <w:tcPr>
            <w:tcW w:w="43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114A1C" w14:textId="77777777" w:rsidR="00F24E18" w:rsidRPr="003D3311" w:rsidRDefault="00F24E18" w:rsidP="000E18B5">
            <w:pPr>
              <w:spacing w:after="0" w:line="240" w:lineRule="auto"/>
              <w:rPr>
                <w:rFonts w:ascii="Arial" w:eastAsia="Times New Roman" w:hAnsi="Arial" w:cs="Arial"/>
                <w:b/>
                <w:bCs/>
                <w:color w:val="000000"/>
                <w:sz w:val="18"/>
                <w:szCs w:val="18"/>
                <w:lang w:eastAsia="sl-SI"/>
              </w:rPr>
            </w:pPr>
            <w:r w:rsidRPr="003D3311">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3F54F667"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16.824</w:t>
            </w:r>
          </w:p>
        </w:tc>
        <w:tc>
          <w:tcPr>
            <w:tcW w:w="1432" w:type="dxa"/>
            <w:tcBorders>
              <w:top w:val="nil"/>
              <w:left w:val="nil"/>
              <w:bottom w:val="single" w:sz="4" w:space="0" w:color="auto"/>
              <w:right w:val="single" w:sz="4" w:space="0" w:color="auto"/>
            </w:tcBorders>
            <w:shd w:val="clear" w:color="auto" w:fill="F2F2F2" w:themeFill="background1" w:themeFillShade="F2"/>
            <w:noWrap/>
            <w:vAlign w:val="center"/>
            <w:hideMark/>
          </w:tcPr>
          <w:p w14:paraId="397DAC5A"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r w:rsidRPr="003D3311">
              <w:rPr>
                <w:rFonts w:ascii="Arial" w:hAnsi="Arial" w:cs="Arial"/>
                <w:b/>
                <w:bCs/>
                <w:color w:val="000000"/>
                <w:sz w:val="18"/>
                <w:szCs w:val="18"/>
              </w:rPr>
              <w:t>6.232.250.969</w:t>
            </w:r>
          </w:p>
        </w:tc>
        <w:tc>
          <w:tcPr>
            <w:tcW w:w="2268" w:type="dxa"/>
            <w:gridSpan w:val="2"/>
            <w:tcBorders>
              <w:top w:val="nil"/>
              <w:left w:val="nil"/>
              <w:bottom w:val="nil"/>
              <w:right w:val="nil"/>
            </w:tcBorders>
            <w:shd w:val="clear" w:color="auto" w:fill="auto"/>
            <w:vAlign w:val="center"/>
            <w:hideMark/>
          </w:tcPr>
          <w:p w14:paraId="2549D7DB" w14:textId="77777777" w:rsidR="00F24E18" w:rsidRPr="003D3311" w:rsidRDefault="00F24E18" w:rsidP="000E18B5">
            <w:pPr>
              <w:spacing w:after="0" w:line="240" w:lineRule="auto"/>
              <w:jc w:val="right"/>
              <w:rPr>
                <w:rFonts w:ascii="Arial" w:eastAsia="Times New Roman" w:hAnsi="Arial" w:cs="Arial"/>
                <w:b/>
                <w:bCs/>
                <w:color w:val="000000"/>
                <w:sz w:val="18"/>
                <w:szCs w:val="18"/>
                <w:lang w:eastAsia="sl-SI"/>
              </w:rPr>
            </w:pPr>
          </w:p>
        </w:tc>
      </w:tr>
    </w:tbl>
    <w:p w14:paraId="73F85DAD" w14:textId="77777777" w:rsidR="00F24E18" w:rsidRPr="00242E41" w:rsidRDefault="00F24E18" w:rsidP="00F24E18">
      <w:pPr>
        <w:spacing w:before="120" w:after="120" w:line="240" w:lineRule="auto"/>
        <w:jc w:val="both"/>
        <w:rPr>
          <w:rFonts w:ascii="Arial" w:hAnsi="Arial" w:cs="Arial"/>
          <w:sz w:val="20"/>
          <w:highlight w:val="yellow"/>
        </w:rPr>
      </w:pPr>
    </w:p>
    <w:p w14:paraId="1A2E9EAD" w14:textId="77777777" w:rsidR="00F24E18" w:rsidRPr="00927EC5" w:rsidRDefault="00F24E18" w:rsidP="00F24E18">
      <w:pPr>
        <w:spacing w:before="120" w:after="0" w:line="240" w:lineRule="auto"/>
        <w:jc w:val="both"/>
        <w:rPr>
          <w:rFonts w:ascii="Arial" w:hAnsi="Arial" w:cs="Arial"/>
          <w:sz w:val="20"/>
        </w:rPr>
      </w:pPr>
      <w:r w:rsidRPr="00927EC5">
        <w:rPr>
          <w:rFonts w:ascii="Arial" w:hAnsi="Arial" w:cs="Arial"/>
          <w:sz w:val="20"/>
        </w:rPr>
        <w:t>Preglednica 82: Javna naročila glede na vrsto postopka in merila za izbor</w:t>
      </w:r>
    </w:p>
    <w:p w14:paraId="098A0AD3" w14:textId="77777777" w:rsidR="00F24E18" w:rsidRPr="00242E41" w:rsidRDefault="00F24E18" w:rsidP="00F24E18">
      <w:pPr>
        <w:spacing w:after="0" w:line="240" w:lineRule="auto"/>
        <w:jc w:val="both"/>
        <w:rPr>
          <w:rFonts w:ascii="Arial" w:hAnsi="Arial" w:cs="Arial"/>
          <w:sz w:val="20"/>
          <w:highlight w:val="yellow"/>
        </w:rPr>
      </w:pPr>
    </w:p>
    <w:tbl>
      <w:tblPr>
        <w:tblW w:w="0" w:type="auto"/>
        <w:tblCellMar>
          <w:left w:w="70" w:type="dxa"/>
          <w:right w:w="70" w:type="dxa"/>
        </w:tblCellMar>
        <w:tblLook w:val="04A0" w:firstRow="1" w:lastRow="0" w:firstColumn="1" w:lastColumn="0" w:noHBand="0" w:noVBand="1"/>
      </w:tblPr>
      <w:tblGrid>
        <w:gridCol w:w="1999"/>
        <w:gridCol w:w="2249"/>
        <w:gridCol w:w="1128"/>
        <w:gridCol w:w="1423"/>
        <w:gridCol w:w="993"/>
        <w:gridCol w:w="1382"/>
      </w:tblGrid>
      <w:tr w:rsidR="00F24E18" w:rsidRPr="00927EC5" w14:paraId="4662D69A" w14:textId="77777777" w:rsidTr="000E18B5">
        <w:trPr>
          <w:trHeight w:val="960"/>
          <w:tblHeader/>
        </w:trPr>
        <w:tc>
          <w:tcPr>
            <w:tcW w:w="199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CDE811" w14:textId="77777777" w:rsidR="00F24E18" w:rsidRPr="00927EC5" w:rsidRDefault="00F24E18" w:rsidP="000E18B5">
            <w:pPr>
              <w:spacing w:after="0" w:line="240" w:lineRule="auto"/>
              <w:rPr>
                <w:rFonts w:ascii="Arial" w:eastAsia="Times New Roman" w:hAnsi="Arial" w:cs="Arial"/>
                <w:color w:val="000000"/>
                <w:sz w:val="18"/>
                <w:szCs w:val="18"/>
                <w:lang w:eastAsia="sl-SI"/>
              </w:rPr>
            </w:pPr>
            <w:bookmarkStart w:id="99" w:name="_Toc398038712"/>
            <w:bookmarkStart w:id="100" w:name="_Toc398040191"/>
            <w:bookmarkStart w:id="101" w:name="_Toc398584429"/>
            <w:bookmarkStart w:id="102" w:name="_Toc461086445"/>
            <w:bookmarkStart w:id="103" w:name="_Toc461608817"/>
            <w:bookmarkStart w:id="104" w:name="_Toc462401236"/>
            <w:r w:rsidRPr="00927EC5">
              <w:rPr>
                <w:rFonts w:ascii="Arial" w:eastAsia="Times New Roman" w:hAnsi="Arial" w:cs="Arial"/>
                <w:color w:val="000000"/>
                <w:sz w:val="18"/>
                <w:szCs w:val="18"/>
                <w:lang w:eastAsia="sl-SI"/>
              </w:rPr>
              <w:t>Vrsta postopka</w:t>
            </w:r>
          </w:p>
        </w:tc>
        <w:tc>
          <w:tcPr>
            <w:tcW w:w="2249" w:type="dxa"/>
            <w:tcBorders>
              <w:top w:val="single" w:sz="4" w:space="0" w:color="auto"/>
              <w:left w:val="nil"/>
              <w:bottom w:val="single" w:sz="4" w:space="0" w:color="auto"/>
              <w:right w:val="single" w:sz="4" w:space="0" w:color="auto"/>
            </w:tcBorders>
            <w:shd w:val="clear" w:color="000000" w:fill="F2F2F2"/>
            <w:vAlign w:val="center"/>
            <w:hideMark/>
          </w:tcPr>
          <w:p w14:paraId="694C9C7B" w14:textId="77777777" w:rsidR="00F24E18" w:rsidRPr="00927EC5" w:rsidRDefault="00F24E18" w:rsidP="000E18B5">
            <w:pPr>
              <w:spacing w:after="0" w:line="240" w:lineRule="auto"/>
              <w:jc w:val="center"/>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Merila</w:t>
            </w:r>
          </w:p>
        </w:tc>
        <w:tc>
          <w:tcPr>
            <w:tcW w:w="1128" w:type="dxa"/>
            <w:tcBorders>
              <w:top w:val="single" w:sz="4" w:space="0" w:color="auto"/>
              <w:left w:val="nil"/>
              <w:bottom w:val="single" w:sz="4" w:space="0" w:color="auto"/>
              <w:right w:val="single" w:sz="4" w:space="0" w:color="auto"/>
            </w:tcBorders>
            <w:shd w:val="clear" w:color="000000" w:fill="F2F2F2"/>
            <w:vAlign w:val="center"/>
            <w:hideMark/>
          </w:tcPr>
          <w:p w14:paraId="3B1BFF63" w14:textId="77777777" w:rsidR="00F24E18" w:rsidRPr="00927EC5" w:rsidRDefault="00F24E18" w:rsidP="000E18B5">
            <w:pPr>
              <w:spacing w:after="0" w:line="240" w:lineRule="auto"/>
              <w:jc w:val="center"/>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Št. naročil</w:t>
            </w:r>
          </w:p>
        </w:tc>
        <w:tc>
          <w:tcPr>
            <w:tcW w:w="1423" w:type="dxa"/>
            <w:tcBorders>
              <w:top w:val="single" w:sz="4" w:space="0" w:color="auto"/>
              <w:left w:val="nil"/>
              <w:bottom w:val="single" w:sz="4" w:space="0" w:color="auto"/>
              <w:right w:val="single" w:sz="4" w:space="0" w:color="auto"/>
            </w:tcBorders>
            <w:shd w:val="clear" w:color="000000" w:fill="F2F2F2"/>
            <w:vAlign w:val="center"/>
            <w:hideMark/>
          </w:tcPr>
          <w:p w14:paraId="3C21579A" w14:textId="77777777" w:rsidR="00F24E18" w:rsidRPr="00927EC5" w:rsidRDefault="00F24E18" w:rsidP="000E18B5">
            <w:pPr>
              <w:spacing w:after="0" w:line="240" w:lineRule="auto"/>
              <w:jc w:val="center"/>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Pogodbena vrednost</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662A723B" w14:textId="77777777" w:rsidR="00F24E18" w:rsidRPr="00927EC5" w:rsidRDefault="00F24E18" w:rsidP="000E18B5">
            <w:pPr>
              <w:spacing w:after="0" w:line="240" w:lineRule="auto"/>
              <w:jc w:val="center"/>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Delež v št. istovrstnih naročil</w:t>
            </w:r>
          </w:p>
        </w:tc>
        <w:tc>
          <w:tcPr>
            <w:tcW w:w="1382" w:type="dxa"/>
            <w:tcBorders>
              <w:top w:val="single" w:sz="4" w:space="0" w:color="auto"/>
              <w:left w:val="nil"/>
              <w:bottom w:val="single" w:sz="4" w:space="0" w:color="auto"/>
              <w:right w:val="single" w:sz="4" w:space="0" w:color="auto"/>
            </w:tcBorders>
            <w:shd w:val="clear" w:color="000000" w:fill="F2F2F2"/>
            <w:vAlign w:val="center"/>
            <w:hideMark/>
          </w:tcPr>
          <w:p w14:paraId="056D1F9F" w14:textId="77777777" w:rsidR="00F24E18" w:rsidRPr="00927EC5" w:rsidRDefault="00F24E18" w:rsidP="000E18B5">
            <w:pPr>
              <w:spacing w:after="0" w:line="240" w:lineRule="auto"/>
              <w:jc w:val="center"/>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Delež v vrednosti istovrstnih naročil</w:t>
            </w:r>
          </w:p>
        </w:tc>
      </w:tr>
      <w:tr w:rsidR="00F24E18" w:rsidRPr="00927EC5" w14:paraId="610E0BB8"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CFA27E"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Konkurenčni dialog</w:t>
            </w:r>
          </w:p>
        </w:tc>
        <w:tc>
          <w:tcPr>
            <w:tcW w:w="2249" w:type="dxa"/>
            <w:tcBorders>
              <w:top w:val="nil"/>
              <w:left w:val="nil"/>
              <w:bottom w:val="single" w:sz="4" w:space="0" w:color="auto"/>
              <w:right w:val="single" w:sz="4" w:space="0" w:color="auto"/>
            </w:tcBorders>
            <w:shd w:val="clear" w:color="auto" w:fill="auto"/>
            <w:noWrap/>
            <w:vAlign w:val="center"/>
            <w:hideMark/>
          </w:tcPr>
          <w:p w14:paraId="30999FBB"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Cena</w:t>
            </w:r>
          </w:p>
        </w:tc>
        <w:tc>
          <w:tcPr>
            <w:tcW w:w="1128" w:type="dxa"/>
            <w:tcBorders>
              <w:top w:val="nil"/>
              <w:left w:val="nil"/>
              <w:bottom w:val="single" w:sz="4" w:space="0" w:color="auto"/>
              <w:right w:val="single" w:sz="4" w:space="0" w:color="auto"/>
            </w:tcBorders>
            <w:shd w:val="clear" w:color="auto" w:fill="auto"/>
            <w:noWrap/>
            <w:vAlign w:val="center"/>
            <w:hideMark/>
          </w:tcPr>
          <w:p w14:paraId="10918840"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13</w:t>
            </w:r>
          </w:p>
        </w:tc>
        <w:tc>
          <w:tcPr>
            <w:tcW w:w="1423" w:type="dxa"/>
            <w:tcBorders>
              <w:top w:val="nil"/>
              <w:left w:val="nil"/>
              <w:bottom w:val="single" w:sz="4" w:space="0" w:color="auto"/>
              <w:right w:val="single" w:sz="4" w:space="0" w:color="auto"/>
            </w:tcBorders>
            <w:shd w:val="clear" w:color="auto" w:fill="auto"/>
            <w:noWrap/>
            <w:vAlign w:val="center"/>
            <w:hideMark/>
          </w:tcPr>
          <w:p w14:paraId="3A24C562"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222.979.910</w:t>
            </w:r>
          </w:p>
        </w:tc>
        <w:tc>
          <w:tcPr>
            <w:tcW w:w="993" w:type="dxa"/>
            <w:tcBorders>
              <w:top w:val="nil"/>
              <w:left w:val="nil"/>
              <w:bottom w:val="single" w:sz="4" w:space="0" w:color="auto"/>
              <w:right w:val="single" w:sz="4" w:space="0" w:color="auto"/>
            </w:tcBorders>
            <w:shd w:val="clear" w:color="auto" w:fill="auto"/>
            <w:noWrap/>
            <w:vAlign w:val="center"/>
          </w:tcPr>
          <w:p w14:paraId="2FB51B0B"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65,00 %</w:t>
            </w:r>
          </w:p>
        </w:tc>
        <w:tc>
          <w:tcPr>
            <w:tcW w:w="1382" w:type="dxa"/>
            <w:tcBorders>
              <w:top w:val="nil"/>
              <w:left w:val="nil"/>
              <w:bottom w:val="single" w:sz="4" w:space="0" w:color="auto"/>
              <w:right w:val="single" w:sz="4" w:space="0" w:color="auto"/>
            </w:tcBorders>
            <w:shd w:val="clear" w:color="auto" w:fill="auto"/>
            <w:noWrap/>
            <w:vAlign w:val="center"/>
          </w:tcPr>
          <w:p w14:paraId="51DB31B0"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96,14 %</w:t>
            </w:r>
          </w:p>
        </w:tc>
      </w:tr>
      <w:tr w:rsidR="00F24E18" w:rsidRPr="00927EC5" w14:paraId="23E664CF"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72E4896D"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447916E7"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hideMark/>
          </w:tcPr>
          <w:p w14:paraId="747082F1"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7</w:t>
            </w:r>
          </w:p>
        </w:tc>
        <w:tc>
          <w:tcPr>
            <w:tcW w:w="1423" w:type="dxa"/>
            <w:tcBorders>
              <w:top w:val="nil"/>
              <w:left w:val="nil"/>
              <w:bottom w:val="single" w:sz="4" w:space="0" w:color="auto"/>
              <w:right w:val="single" w:sz="4" w:space="0" w:color="auto"/>
            </w:tcBorders>
            <w:shd w:val="clear" w:color="auto" w:fill="auto"/>
            <w:noWrap/>
            <w:vAlign w:val="center"/>
            <w:hideMark/>
          </w:tcPr>
          <w:p w14:paraId="1B5C4E64"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8.954.386</w:t>
            </w:r>
          </w:p>
        </w:tc>
        <w:tc>
          <w:tcPr>
            <w:tcW w:w="993" w:type="dxa"/>
            <w:tcBorders>
              <w:top w:val="nil"/>
              <w:left w:val="nil"/>
              <w:bottom w:val="single" w:sz="4" w:space="0" w:color="auto"/>
              <w:right w:val="single" w:sz="4" w:space="0" w:color="auto"/>
            </w:tcBorders>
            <w:shd w:val="clear" w:color="auto" w:fill="auto"/>
            <w:noWrap/>
            <w:vAlign w:val="center"/>
          </w:tcPr>
          <w:p w14:paraId="3F38091A"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35,00 %</w:t>
            </w:r>
          </w:p>
        </w:tc>
        <w:tc>
          <w:tcPr>
            <w:tcW w:w="1382" w:type="dxa"/>
            <w:tcBorders>
              <w:top w:val="nil"/>
              <w:left w:val="nil"/>
              <w:bottom w:val="single" w:sz="4" w:space="0" w:color="auto"/>
              <w:right w:val="single" w:sz="4" w:space="0" w:color="auto"/>
            </w:tcBorders>
            <w:shd w:val="clear" w:color="auto" w:fill="auto"/>
            <w:noWrap/>
            <w:vAlign w:val="center"/>
          </w:tcPr>
          <w:p w14:paraId="63C1FBD1"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3,86 %</w:t>
            </w:r>
          </w:p>
        </w:tc>
      </w:tr>
      <w:tr w:rsidR="00F24E18" w:rsidRPr="00927EC5" w14:paraId="720C9F2D"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58B6118B"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5BCBF21D"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hideMark/>
          </w:tcPr>
          <w:p w14:paraId="3A141C9A"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20</w:t>
            </w:r>
          </w:p>
        </w:tc>
        <w:tc>
          <w:tcPr>
            <w:tcW w:w="1423" w:type="dxa"/>
            <w:tcBorders>
              <w:top w:val="nil"/>
              <w:left w:val="nil"/>
              <w:bottom w:val="single" w:sz="4" w:space="0" w:color="auto"/>
              <w:right w:val="single" w:sz="4" w:space="0" w:color="auto"/>
            </w:tcBorders>
            <w:shd w:val="clear" w:color="auto" w:fill="auto"/>
            <w:noWrap/>
            <w:vAlign w:val="center"/>
            <w:hideMark/>
          </w:tcPr>
          <w:p w14:paraId="309A0029"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231.934.296</w:t>
            </w:r>
          </w:p>
        </w:tc>
        <w:tc>
          <w:tcPr>
            <w:tcW w:w="993" w:type="dxa"/>
            <w:tcBorders>
              <w:top w:val="nil"/>
              <w:left w:val="nil"/>
              <w:bottom w:val="single" w:sz="4" w:space="0" w:color="auto"/>
              <w:right w:val="single" w:sz="4" w:space="0" w:color="auto"/>
            </w:tcBorders>
            <w:shd w:val="clear" w:color="auto" w:fill="auto"/>
            <w:noWrap/>
            <w:vAlign w:val="center"/>
          </w:tcPr>
          <w:p w14:paraId="1F04F1EC"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1BC1BA16"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r>
      <w:tr w:rsidR="00F24E18" w:rsidRPr="00927EC5" w14:paraId="7A770415"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38299"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Konkurenčni postopek s pogajanji</w:t>
            </w:r>
          </w:p>
        </w:tc>
        <w:tc>
          <w:tcPr>
            <w:tcW w:w="2249" w:type="dxa"/>
            <w:tcBorders>
              <w:top w:val="nil"/>
              <w:left w:val="nil"/>
              <w:bottom w:val="single" w:sz="4" w:space="0" w:color="auto"/>
              <w:right w:val="single" w:sz="4" w:space="0" w:color="auto"/>
            </w:tcBorders>
            <w:shd w:val="clear" w:color="auto" w:fill="auto"/>
            <w:noWrap/>
            <w:vAlign w:val="center"/>
            <w:hideMark/>
          </w:tcPr>
          <w:p w14:paraId="5DF60E28"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Cena</w:t>
            </w:r>
          </w:p>
        </w:tc>
        <w:tc>
          <w:tcPr>
            <w:tcW w:w="1128" w:type="dxa"/>
            <w:tcBorders>
              <w:top w:val="nil"/>
              <w:left w:val="nil"/>
              <w:bottom w:val="single" w:sz="4" w:space="0" w:color="auto"/>
              <w:right w:val="single" w:sz="4" w:space="0" w:color="auto"/>
            </w:tcBorders>
            <w:shd w:val="clear" w:color="auto" w:fill="auto"/>
            <w:noWrap/>
            <w:vAlign w:val="center"/>
            <w:hideMark/>
          </w:tcPr>
          <w:p w14:paraId="438A07EC"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204</w:t>
            </w:r>
          </w:p>
        </w:tc>
        <w:tc>
          <w:tcPr>
            <w:tcW w:w="1423" w:type="dxa"/>
            <w:tcBorders>
              <w:top w:val="nil"/>
              <w:left w:val="nil"/>
              <w:bottom w:val="single" w:sz="4" w:space="0" w:color="auto"/>
              <w:right w:val="single" w:sz="4" w:space="0" w:color="auto"/>
            </w:tcBorders>
            <w:shd w:val="clear" w:color="auto" w:fill="auto"/>
            <w:noWrap/>
            <w:vAlign w:val="center"/>
            <w:hideMark/>
          </w:tcPr>
          <w:p w14:paraId="215EB816"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293.964.765</w:t>
            </w:r>
          </w:p>
        </w:tc>
        <w:tc>
          <w:tcPr>
            <w:tcW w:w="993" w:type="dxa"/>
            <w:tcBorders>
              <w:top w:val="nil"/>
              <w:left w:val="nil"/>
              <w:bottom w:val="single" w:sz="4" w:space="0" w:color="auto"/>
              <w:right w:val="single" w:sz="4" w:space="0" w:color="auto"/>
            </w:tcBorders>
            <w:shd w:val="clear" w:color="auto" w:fill="auto"/>
            <w:noWrap/>
            <w:vAlign w:val="center"/>
          </w:tcPr>
          <w:p w14:paraId="49C8E52E"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92,31 %</w:t>
            </w:r>
          </w:p>
        </w:tc>
        <w:tc>
          <w:tcPr>
            <w:tcW w:w="1382" w:type="dxa"/>
            <w:tcBorders>
              <w:top w:val="nil"/>
              <w:left w:val="nil"/>
              <w:bottom w:val="single" w:sz="4" w:space="0" w:color="auto"/>
              <w:right w:val="single" w:sz="4" w:space="0" w:color="auto"/>
            </w:tcBorders>
            <w:shd w:val="clear" w:color="auto" w:fill="auto"/>
            <w:noWrap/>
            <w:vAlign w:val="center"/>
          </w:tcPr>
          <w:p w14:paraId="3B0CF099"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95,04 %</w:t>
            </w:r>
          </w:p>
        </w:tc>
      </w:tr>
      <w:tr w:rsidR="00F24E18" w:rsidRPr="00927EC5" w14:paraId="73CC382D"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42E4860D"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53F77444"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hideMark/>
          </w:tcPr>
          <w:p w14:paraId="573442D9"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17</w:t>
            </w:r>
          </w:p>
        </w:tc>
        <w:tc>
          <w:tcPr>
            <w:tcW w:w="1423" w:type="dxa"/>
            <w:tcBorders>
              <w:top w:val="nil"/>
              <w:left w:val="nil"/>
              <w:bottom w:val="single" w:sz="4" w:space="0" w:color="auto"/>
              <w:right w:val="single" w:sz="4" w:space="0" w:color="auto"/>
            </w:tcBorders>
            <w:shd w:val="clear" w:color="auto" w:fill="auto"/>
            <w:noWrap/>
            <w:vAlign w:val="center"/>
            <w:hideMark/>
          </w:tcPr>
          <w:p w14:paraId="0AF55920"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15.354.986</w:t>
            </w:r>
          </w:p>
        </w:tc>
        <w:tc>
          <w:tcPr>
            <w:tcW w:w="993" w:type="dxa"/>
            <w:tcBorders>
              <w:top w:val="nil"/>
              <w:left w:val="nil"/>
              <w:bottom w:val="single" w:sz="4" w:space="0" w:color="auto"/>
              <w:right w:val="single" w:sz="4" w:space="0" w:color="auto"/>
            </w:tcBorders>
            <w:shd w:val="clear" w:color="auto" w:fill="auto"/>
            <w:noWrap/>
            <w:vAlign w:val="center"/>
          </w:tcPr>
          <w:p w14:paraId="0168CF62"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7,69 %</w:t>
            </w:r>
          </w:p>
        </w:tc>
        <w:tc>
          <w:tcPr>
            <w:tcW w:w="1382" w:type="dxa"/>
            <w:tcBorders>
              <w:top w:val="nil"/>
              <w:left w:val="nil"/>
              <w:bottom w:val="single" w:sz="4" w:space="0" w:color="auto"/>
              <w:right w:val="single" w:sz="4" w:space="0" w:color="auto"/>
            </w:tcBorders>
            <w:shd w:val="clear" w:color="auto" w:fill="auto"/>
            <w:noWrap/>
            <w:vAlign w:val="center"/>
          </w:tcPr>
          <w:p w14:paraId="2CE8A344"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4,96 %</w:t>
            </w:r>
          </w:p>
        </w:tc>
      </w:tr>
      <w:tr w:rsidR="00F24E18" w:rsidRPr="00927EC5" w14:paraId="03F256BC"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7C93FED5"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54A429F0"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hideMark/>
          </w:tcPr>
          <w:p w14:paraId="38E9C011"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221</w:t>
            </w:r>
          </w:p>
        </w:tc>
        <w:tc>
          <w:tcPr>
            <w:tcW w:w="1423" w:type="dxa"/>
            <w:tcBorders>
              <w:top w:val="nil"/>
              <w:left w:val="nil"/>
              <w:bottom w:val="single" w:sz="4" w:space="0" w:color="auto"/>
              <w:right w:val="single" w:sz="4" w:space="0" w:color="auto"/>
            </w:tcBorders>
            <w:shd w:val="clear" w:color="auto" w:fill="auto"/>
            <w:noWrap/>
            <w:vAlign w:val="center"/>
            <w:hideMark/>
          </w:tcPr>
          <w:p w14:paraId="7A7A2AE2"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309.319.751</w:t>
            </w:r>
          </w:p>
        </w:tc>
        <w:tc>
          <w:tcPr>
            <w:tcW w:w="993" w:type="dxa"/>
            <w:tcBorders>
              <w:top w:val="nil"/>
              <w:left w:val="nil"/>
              <w:bottom w:val="single" w:sz="4" w:space="0" w:color="auto"/>
              <w:right w:val="single" w:sz="4" w:space="0" w:color="auto"/>
            </w:tcBorders>
            <w:shd w:val="clear" w:color="auto" w:fill="auto"/>
            <w:noWrap/>
            <w:vAlign w:val="center"/>
          </w:tcPr>
          <w:p w14:paraId="3BCC10B8"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1EAA3CFC"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r>
      <w:tr w:rsidR="00F24E18" w:rsidRPr="00927EC5" w14:paraId="7A1D5BEC"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60CD8"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Odprti postopek</w:t>
            </w:r>
          </w:p>
        </w:tc>
        <w:tc>
          <w:tcPr>
            <w:tcW w:w="2249" w:type="dxa"/>
            <w:tcBorders>
              <w:top w:val="nil"/>
              <w:left w:val="nil"/>
              <w:bottom w:val="single" w:sz="4" w:space="0" w:color="auto"/>
              <w:right w:val="single" w:sz="4" w:space="0" w:color="auto"/>
            </w:tcBorders>
            <w:shd w:val="clear" w:color="auto" w:fill="auto"/>
            <w:noWrap/>
            <w:vAlign w:val="center"/>
            <w:hideMark/>
          </w:tcPr>
          <w:p w14:paraId="345763D5"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Cena</w:t>
            </w:r>
          </w:p>
        </w:tc>
        <w:tc>
          <w:tcPr>
            <w:tcW w:w="1128" w:type="dxa"/>
            <w:tcBorders>
              <w:top w:val="nil"/>
              <w:left w:val="nil"/>
              <w:bottom w:val="single" w:sz="4" w:space="0" w:color="auto"/>
              <w:right w:val="single" w:sz="4" w:space="0" w:color="auto"/>
            </w:tcBorders>
            <w:shd w:val="clear" w:color="auto" w:fill="auto"/>
            <w:noWrap/>
            <w:vAlign w:val="center"/>
          </w:tcPr>
          <w:p w14:paraId="179DA00D"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7.575</w:t>
            </w:r>
          </w:p>
        </w:tc>
        <w:tc>
          <w:tcPr>
            <w:tcW w:w="1423" w:type="dxa"/>
            <w:tcBorders>
              <w:top w:val="nil"/>
              <w:left w:val="nil"/>
              <w:bottom w:val="single" w:sz="4" w:space="0" w:color="auto"/>
              <w:right w:val="single" w:sz="4" w:space="0" w:color="auto"/>
            </w:tcBorders>
            <w:shd w:val="clear" w:color="auto" w:fill="auto"/>
            <w:noWrap/>
            <w:vAlign w:val="center"/>
          </w:tcPr>
          <w:p w14:paraId="1511C9A6"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3.126.956.032</w:t>
            </w:r>
          </w:p>
        </w:tc>
        <w:tc>
          <w:tcPr>
            <w:tcW w:w="993" w:type="dxa"/>
            <w:tcBorders>
              <w:top w:val="nil"/>
              <w:left w:val="nil"/>
              <w:bottom w:val="single" w:sz="4" w:space="0" w:color="auto"/>
              <w:right w:val="single" w:sz="4" w:space="0" w:color="auto"/>
            </w:tcBorders>
            <w:shd w:val="clear" w:color="auto" w:fill="auto"/>
            <w:noWrap/>
            <w:vAlign w:val="center"/>
          </w:tcPr>
          <w:p w14:paraId="66719E40"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88,17 %</w:t>
            </w:r>
          </w:p>
        </w:tc>
        <w:tc>
          <w:tcPr>
            <w:tcW w:w="1382" w:type="dxa"/>
            <w:tcBorders>
              <w:top w:val="nil"/>
              <w:left w:val="nil"/>
              <w:bottom w:val="single" w:sz="4" w:space="0" w:color="auto"/>
              <w:right w:val="single" w:sz="4" w:space="0" w:color="auto"/>
            </w:tcBorders>
            <w:shd w:val="clear" w:color="auto" w:fill="auto"/>
            <w:noWrap/>
            <w:vAlign w:val="center"/>
          </w:tcPr>
          <w:p w14:paraId="2FD0D8E3"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90,81 %</w:t>
            </w:r>
          </w:p>
        </w:tc>
      </w:tr>
      <w:tr w:rsidR="00F24E18" w:rsidRPr="00927EC5" w14:paraId="56F83FF1"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535C564F"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1867EBFE"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tcPr>
          <w:p w14:paraId="65D53A33"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1.016</w:t>
            </w:r>
          </w:p>
        </w:tc>
        <w:tc>
          <w:tcPr>
            <w:tcW w:w="1423" w:type="dxa"/>
            <w:tcBorders>
              <w:top w:val="nil"/>
              <w:left w:val="nil"/>
              <w:bottom w:val="single" w:sz="4" w:space="0" w:color="auto"/>
              <w:right w:val="single" w:sz="4" w:space="0" w:color="auto"/>
            </w:tcBorders>
            <w:shd w:val="clear" w:color="auto" w:fill="auto"/>
            <w:noWrap/>
            <w:vAlign w:val="center"/>
          </w:tcPr>
          <w:p w14:paraId="4026A8F1"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316.504.730</w:t>
            </w:r>
          </w:p>
        </w:tc>
        <w:tc>
          <w:tcPr>
            <w:tcW w:w="993" w:type="dxa"/>
            <w:tcBorders>
              <w:top w:val="nil"/>
              <w:left w:val="nil"/>
              <w:bottom w:val="single" w:sz="4" w:space="0" w:color="auto"/>
              <w:right w:val="single" w:sz="4" w:space="0" w:color="auto"/>
            </w:tcBorders>
            <w:shd w:val="clear" w:color="auto" w:fill="auto"/>
            <w:noWrap/>
            <w:vAlign w:val="center"/>
          </w:tcPr>
          <w:p w14:paraId="262C0D67"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11,83 %</w:t>
            </w:r>
          </w:p>
        </w:tc>
        <w:tc>
          <w:tcPr>
            <w:tcW w:w="1382" w:type="dxa"/>
            <w:tcBorders>
              <w:top w:val="nil"/>
              <w:left w:val="nil"/>
              <w:bottom w:val="single" w:sz="4" w:space="0" w:color="auto"/>
              <w:right w:val="single" w:sz="4" w:space="0" w:color="auto"/>
            </w:tcBorders>
            <w:shd w:val="clear" w:color="auto" w:fill="auto"/>
            <w:noWrap/>
            <w:vAlign w:val="center"/>
          </w:tcPr>
          <w:p w14:paraId="030AF8D2"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9,19 %</w:t>
            </w:r>
          </w:p>
        </w:tc>
      </w:tr>
      <w:tr w:rsidR="00F24E18" w:rsidRPr="00927EC5" w14:paraId="3DBA01AF"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0CB9EE7A"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53FE7458"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tcPr>
          <w:p w14:paraId="63C22C62"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8.591</w:t>
            </w:r>
          </w:p>
        </w:tc>
        <w:tc>
          <w:tcPr>
            <w:tcW w:w="1423" w:type="dxa"/>
            <w:tcBorders>
              <w:top w:val="nil"/>
              <w:left w:val="nil"/>
              <w:bottom w:val="single" w:sz="4" w:space="0" w:color="auto"/>
              <w:right w:val="single" w:sz="4" w:space="0" w:color="auto"/>
            </w:tcBorders>
            <w:shd w:val="clear" w:color="auto" w:fill="auto"/>
            <w:noWrap/>
            <w:vAlign w:val="center"/>
          </w:tcPr>
          <w:p w14:paraId="2B2D9254"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3.443.460.762</w:t>
            </w:r>
          </w:p>
        </w:tc>
        <w:tc>
          <w:tcPr>
            <w:tcW w:w="993" w:type="dxa"/>
            <w:tcBorders>
              <w:top w:val="nil"/>
              <w:left w:val="nil"/>
              <w:bottom w:val="single" w:sz="4" w:space="0" w:color="auto"/>
              <w:right w:val="single" w:sz="4" w:space="0" w:color="auto"/>
            </w:tcBorders>
            <w:shd w:val="clear" w:color="auto" w:fill="auto"/>
            <w:noWrap/>
            <w:vAlign w:val="center"/>
          </w:tcPr>
          <w:p w14:paraId="0E537B7B"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33B4E4CB"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r>
      <w:tr w:rsidR="00F24E18" w:rsidRPr="00927EC5" w14:paraId="20911665"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DF6A6C"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Omejeni postopek</w:t>
            </w:r>
          </w:p>
        </w:tc>
        <w:tc>
          <w:tcPr>
            <w:tcW w:w="2249" w:type="dxa"/>
            <w:tcBorders>
              <w:top w:val="nil"/>
              <w:left w:val="nil"/>
              <w:bottom w:val="single" w:sz="4" w:space="0" w:color="auto"/>
              <w:right w:val="single" w:sz="4" w:space="0" w:color="auto"/>
            </w:tcBorders>
            <w:shd w:val="clear" w:color="auto" w:fill="auto"/>
            <w:noWrap/>
            <w:vAlign w:val="center"/>
            <w:hideMark/>
          </w:tcPr>
          <w:p w14:paraId="4D026E86"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Cena</w:t>
            </w:r>
          </w:p>
        </w:tc>
        <w:tc>
          <w:tcPr>
            <w:tcW w:w="1128" w:type="dxa"/>
            <w:tcBorders>
              <w:top w:val="nil"/>
              <w:left w:val="nil"/>
              <w:bottom w:val="single" w:sz="4" w:space="0" w:color="auto"/>
              <w:right w:val="single" w:sz="4" w:space="0" w:color="auto"/>
            </w:tcBorders>
            <w:shd w:val="clear" w:color="auto" w:fill="auto"/>
            <w:noWrap/>
            <w:vAlign w:val="center"/>
            <w:hideMark/>
          </w:tcPr>
          <w:p w14:paraId="7156FAD8"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653</w:t>
            </w:r>
          </w:p>
        </w:tc>
        <w:tc>
          <w:tcPr>
            <w:tcW w:w="1423" w:type="dxa"/>
            <w:tcBorders>
              <w:top w:val="nil"/>
              <w:left w:val="nil"/>
              <w:bottom w:val="single" w:sz="4" w:space="0" w:color="auto"/>
              <w:right w:val="single" w:sz="4" w:space="0" w:color="auto"/>
            </w:tcBorders>
            <w:shd w:val="clear" w:color="auto" w:fill="auto"/>
            <w:noWrap/>
            <w:vAlign w:val="center"/>
            <w:hideMark/>
          </w:tcPr>
          <w:p w14:paraId="30E22D73"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710.066.499</w:t>
            </w:r>
          </w:p>
        </w:tc>
        <w:tc>
          <w:tcPr>
            <w:tcW w:w="993" w:type="dxa"/>
            <w:tcBorders>
              <w:top w:val="nil"/>
              <w:left w:val="nil"/>
              <w:bottom w:val="single" w:sz="4" w:space="0" w:color="auto"/>
              <w:right w:val="single" w:sz="4" w:space="0" w:color="auto"/>
            </w:tcBorders>
            <w:shd w:val="clear" w:color="auto" w:fill="auto"/>
            <w:noWrap/>
            <w:vAlign w:val="center"/>
          </w:tcPr>
          <w:p w14:paraId="6FF66DB7"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82,45 %</w:t>
            </w:r>
          </w:p>
        </w:tc>
        <w:tc>
          <w:tcPr>
            <w:tcW w:w="1382" w:type="dxa"/>
            <w:tcBorders>
              <w:top w:val="nil"/>
              <w:left w:val="nil"/>
              <w:bottom w:val="single" w:sz="4" w:space="0" w:color="auto"/>
              <w:right w:val="single" w:sz="4" w:space="0" w:color="auto"/>
            </w:tcBorders>
            <w:shd w:val="clear" w:color="auto" w:fill="auto"/>
            <w:noWrap/>
            <w:vAlign w:val="center"/>
          </w:tcPr>
          <w:p w14:paraId="5BDBF69F"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94,58 %</w:t>
            </w:r>
          </w:p>
        </w:tc>
      </w:tr>
      <w:tr w:rsidR="00F24E18" w:rsidRPr="00927EC5" w14:paraId="7EDFA334"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7914D1FE"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2EC8EB0B"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hideMark/>
          </w:tcPr>
          <w:p w14:paraId="6CEDE2E1"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139</w:t>
            </w:r>
          </w:p>
        </w:tc>
        <w:tc>
          <w:tcPr>
            <w:tcW w:w="1423" w:type="dxa"/>
            <w:tcBorders>
              <w:top w:val="nil"/>
              <w:left w:val="nil"/>
              <w:bottom w:val="single" w:sz="4" w:space="0" w:color="auto"/>
              <w:right w:val="single" w:sz="4" w:space="0" w:color="auto"/>
            </w:tcBorders>
            <w:shd w:val="clear" w:color="auto" w:fill="auto"/>
            <w:noWrap/>
            <w:vAlign w:val="center"/>
            <w:hideMark/>
          </w:tcPr>
          <w:p w14:paraId="7D25C26D"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40.688.560</w:t>
            </w:r>
          </w:p>
        </w:tc>
        <w:tc>
          <w:tcPr>
            <w:tcW w:w="993" w:type="dxa"/>
            <w:tcBorders>
              <w:top w:val="nil"/>
              <w:left w:val="nil"/>
              <w:bottom w:val="single" w:sz="4" w:space="0" w:color="auto"/>
              <w:right w:val="single" w:sz="4" w:space="0" w:color="auto"/>
            </w:tcBorders>
            <w:shd w:val="clear" w:color="auto" w:fill="auto"/>
            <w:noWrap/>
            <w:vAlign w:val="center"/>
          </w:tcPr>
          <w:p w14:paraId="2CA0D6FF"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17,55 %</w:t>
            </w:r>
          </w:p>
        </w:tc>
        <w:tc>
          <w:tcPr>
            <w:tcW w:w="1382" w:type="dxa"/>
            <w:tcBorders>
              <w:top w:val="nil"/>
              <w:left w:val="nil"/>
              <w:bottom w:val="single" w:sz="4" w:space="0" w:color="auto"/>
              <w:right w:val="single" w:sz="4" w:space="0" w:color="auto"/>
            </w:tcBorders>
            <w:shd w:val="clear" w:color="auto" w:fill="auto"/>
            <w:noWrap/>
            <w:vAlign w:val="center"/>
          </w:tcPr>
          <w:p w14:paraId="3164B0CE"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5,42 %</w:t>
            </w:r>
          </w:p>
        </w:tc>
      </w:tr>
      <w:tr w:rsidR="00F24E18" w:rsidRPr="00927EC5" w14:paraId="33C45A1F"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6484EFF5"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5AF683C3"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hideMark/>
          </w:tcPr>
          <w:p w14:paraId="3E29B00C"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792</w:t>
            </w:r>
          </w:p>
        </w:tc>
        <w:tc>
          <w:tcPr>
            <w:tcW w:w="1423" w:type="dxa"/>
            <w:tcBorders>
              <w:top w:val="nil"/>
              <w:left w:val="nil"/>
              <w:bottom w:val="single" w:sz="4" w:space="0" w:color="auto"/>
              <w:right w:val="single" w:sz="4" w:space="0" w:color="auto"/>
            </w:tcBorders>
            <w:shd w:val="clear" w:color="auto" w:fill="auto"/>
            <w:noWrap/>
            <w:vAlign w:val="center"/>
            <w:hideMark/>
          </w:tcPr>
          <w:p w14:paraId="60539EE3"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750.755.059</w:t>
            </w:r>
          </w:p>
        </w:tc>
        <w:tc>
          <w:tcPr>
            <w:tcW w:w="993" w:type="dxa"/>
            <w:tcBorders>
              <w:top w:val="nil"/>
              <w:left w:val="nil"/>
              <w:bottom w:val="single" w:sz="4" w:space="0" w:color="auto"/>
              <w:right w:val="single" w:sz="4" w:space="0" w:color="auto"/>
            </w:tcBorders>
            <w:shd w:val="clear" w:color="auto" w:fill="auto"/>
            <w:noWrap/>
            <w:vAlign w:val="center"/>
          </w:tcPr>
          <w:p w14:paraId="03036534"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344E1D3C"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r>
      <w:tr w:rsidR="00F24E18" w:rsidRPr="00927EC5" w14:paraId="36ED12F6"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C22125"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Partnerstvo za inovacije</w:t>
            </w:r>
          </w:p>
        </w:tc>
        <w:tc>
          <w:tcPr>
            <w:tcW w:w="2249" w:type="dxa"/>
            <w:tcBorders>
              <w:top w:val="nil"/>
              <w:left w:val="nil"/>
              <w:bottom w:val="single" w:sz="4" w:space="0" w:color="auto"/>
              <w:right w:val="single" w:sz="4" w:space="0" w:color="auto"/>
            </w:tcBorders>
            <w:shd w:val="clear" w:color="auto" w:fill="auto"/>
            <w:noWrap/>
            <w:vAlign w:val="center"/>
            <w:hideMark/>
          </w:tcPr>
          <w:p w14:paraId="487E3FAA"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hideMark/>
          </w:tcPr>
          <w:p w14:paraId="2E5D3194"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1</w:t>
            </w:r>
          </w:p>
        </w:tc>
        <w:tc>
          <w:tcPr>
            <w:tcW w:w="1423" w:type="dxa"/>
            <w:tcBorders>
              <w:top w:val="nil"/>
              <w:left w:val="nil"/>
              <w:bottom w:val="single" w:sz="4" w:space="0" w:color="auto"/>
              <w:right w:val="single" w:sz="4" w:space="0" w:color="auto"/>
            </w:tcBorders>
            <w:shd w:val="clear" w:color="auto" w:fill="auto"/>
            <w:noWrap/>
            <w:vAlign w:val="center"/>
            <w:hideMark/>
          </w:tcPr>
          <w:p w14:paraId="4843C5EB"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79.800</w:t>
            </w:r>
          </w:p>
        </w:tc>
        <w:tc>
          <w:tcPr>
            <w:tcW w:w="993" w:type="dxa"/>
            <w:tcBorders>
              <w:top w:val="nil"/>
              <w:left w:val="nil"/>
              <w:bottom w:val="single" w:sz="4" w:space="0" w:color="auto"/>
              <w:right w:val="single" w:sz="4" w:space="0" w:color="auto"/>
            </w:tcBorders>
            <w:shd w:val="clear" w:color="auto" w:fill="auto"/>
            <w:noWrap/>
            <w:vAlign w:val="center"/>
          </w:tcPr>
          <w:p w14:paraId="6B0CA953"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91,77 %</w:t>
            </w:r>
          </w:p>
        </w:tc>
        <w:tc>
          <w:tcPr>
            <w:tcW w:w="1382" w:type="dxa"/>
            <w:tcBorders>
              <w:top w:val="nil"/>
              <w:left w:val="nil"/>
              <w:bottom w:val="single" w:sz="4" w:space="0" w:color="auto"/>
              <w:right w:val="single" w:sz="4" w:space="0" w:color="auto"/>
            </w:tcBorders>
            <w:shd w:val="clear" w:color="auto" w:fill="auto"/>
            <w:noWrap/>
            <w:vAlign w:val="center"/>
          </w:tcPr>
          <w:p w14:paraId="5FC8D700"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94,94 %</w:t>
            </w:r>
          </w:p>
        </w:tc>
      </w:tr>
      <w:tr w:rsidR="00F24E18" w:rsidRPr="00927EC5" w14:paraId="3AA4C79C"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3FFD39CA"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709ECCBA"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hideMark/>
          </w:tcPr>
          <w:p w14:paraId="1720ED50"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1</w:t>
            </w:r>
          </w:p>
        </w:tc>
        <w:tc>
          <w:tcPr>
            <w:tcW w:w="1423" w:type="dxa"/>
            <w:tcBorders>
              <w:top w:val="nil"/>
              <w:left w:val="nil"/>
              <w:bottom w:val="single" w:sz="4" w:space="0" w:color="auto"/>
              <w:right w:val="single" w:sz="4" w:space="0" w:color="auto"/>
            </w:tcBorders>
            <w:shd w:val="clear" w:color="auto" w:fill="auto"/>
            <w:noWrap/>
            <w:vAlign w:val="center"/>
            <w:hideMark/>
          </w:tcPr>
          <w:p w14:paraId="653CE5B6"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79.800</w:t>
            </w:r>
          </w:p>
        </w:tc>
        <w:tc>
          <w:tcPr>
            <w:tcW w:w="993" w:type="dxa"/>
            <w:tcBorders>
              <w:top w:val="nil"/>
              <w:left w:val="nil"/>
              <w:bottom w:val="single" w:sz="4" w:space="0" w:color="auto"/>
              <w:right w:val="single" w:sz="4" w:space="0" w:color="auto"/>
            </w:tcBorders>
            <w:shd w:val="clear" w:color="auto" w:fill="auto"/>
            <w:noWrap/>
            <w:vAlign w:val="center"/>
          </w:tcPr>
          <w:p w14:paraId="6C45542D"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color w:val="000000"/>
                <w:sz w:val="18"/>
                <w:szCs w:val="18"/>
              </w:rPr>
              <w:t>8,23 %</w:t>
            </w:r>
          </w:p>
        </w:tc>
        <w:tc>
          <w:tcPr>
            <w:tcW w:w="1382" w:type="dxa"/>
            <w:tcBorders>
              <w:top w:val="nil"/>
              <w:left w:val="nil"/>
              <w:bottom w:val="single" w:sz="4" w:space="0" w:color="auto"/>
              <w:right w:val="single" w:sz="4" w:space="0" w:color="auto"/>
            </w:tcBorders>
            <w:shd w:val="clear" w:color="auto" w:fill="auto"/>
            <w:noWrap/>
            <w:vAlign w:val="center"/>
          </w:tcPr>
          <w:p w14:paraId="3ABB331E"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color w:val="000000"/>
                <w:sz w:val="18"/>
                <w:szCs w:val="18"/>
              </w:rPr>
              <w:t>5,06 %</w:t>
            </w:r>
          </w:p>
        </w:tc>
      </w:tr>
      <w:tr w:rsidR="00F24E18" w:rsidRPr="00927EC5" w14:paraId="444A59AC"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8A90F9"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Postopek naročila male vrednosti</w:t>
            </w:r>
          </w:p>
        </w:tc>
        <w:tc>
          <w:tcPr>
            <w:tcW w:w="2249" w:type="dxa"/>
            <w:tcBorders>
              <w:top w:val="nil"/>
              <w:left w:val="nil"/>
              <w:bottom w:val="single" w:sz="4" w:space="0" w:color="auto"/>
              <w:right w:val="single" w:sz="4" w:space="0" w:color="auto"/>
            </w:tcBorders>
            <w:shd w:val="clear" w:color="auto" w:fill="auto"/>
            <w:noWrap/>
            <w:vAlign w:val="center"/>
            <w:hideMark/>
          </w:tcPr>
          <w:p w14:paraId="04E8907B"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Cena</w:t>
            </w:r>
          </w:p>
        </w:tc>
        <w:tc>
          <w:tcPr>
            <w:tcW w:w="1128" w:type="dxa"/>
            <w:tcBorders>
              <w:top w:val="nil"/>
              <w:left w:val="nil"/>
              <w:bottom w:val="single" w:sz="4" w:space="0" w:color="auto"/>
              <w:right w:val="single" w:sz="4" w:space="0" w:color="auto"/>
            </w:tcBorders>
            <w:shd w:val="clear" w:color="auto" w:fill="auto"/>
            <w:noWrap/>
            <w:vAlign w:val="center"/>
          </w:tcPr>
          <w:p w14:paraId="68FB6100"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5.623</w:t>
            </w:r>
          </w:p>
        </w:tc>
        <w:tc>
          <w:tcPr>
            <w:tcW w:w="1423" w:type="dxa"/>
            <w:tcBorders>
              <w:top w:val="nil"/>
              <w:left w:val="nil"/>
              <w:bottom w:val="single" w:sz="4" w:space="0" w:color="auto"/>
              <w:right w:val="single" w:sz="4" w:space="0" w:color="auto"/>
            </w:tcBorders>
            <w:shd w:val="clear" w:color="auto" w:fill="auto"/>
            <w:noWrap/>
            <w:vAlign w:val="center"/>
          </w:tcPr>
          <w:p w14:paraId="0EC51E2F"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769.548.692</w:t>
            </w:r>
          </w:p>
        </w:tc>
        <w:tc>
          <w:tcPr>
            <w:tcW w:w="993" w:type="dxa"/>
            <w:tcBorders>
              <w:top w:val="nil"/>
              <w:left w:val="nil"/>
              <w:bottom w:val="single" w:sz="4" w:space="0" w:color="auto"/>
              <w:right w:val="single" w:sz="4" w:space="0" w:color="auto"/>
            </w:tcBorders>
            <w:shd w:val="clear" w:color="auto" w:fill="auto"/>
            <w:noWrap/>
            <w:vAlign w:val="center"/>
          </w:tcPr>
          <w:p w14:paraId="3B23BB1B"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64CDBFF7"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b/>
                <w:bCs/>
                <w:color w:val="000000"/>
                <w:sz w:val="18"/>
                <w:szCs w:val="18"/>
              </w:rPr>
              <w:t>100,00 %</w:t>
            </w:r>
          </w:p>
        </w:tc>
      </w:tr>
      <w:tr w:rsidR="00F24E18" w:rsidRPr="00927EC5" w14:paraId="427AB07E"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735EE762"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1ADF9AE2"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tcPr>
          <w:p w14:paraId="0F458262"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504</w:t>
            </w:r>
          </w:p>
        </w:tc>
        <w:tc>
          <w:tcPr>
            <w:tcW w:w="1423" w:type="dxa"/>
            <w:tcBorders>
              <w:top w:val="nil"/>
              <w:left w:val="nil"/>
              <w:bottom w:val="single" w:sz="4" w:space="0" w:color="auto"/>
              <w:right w:val="single" w:sz="4" w:space="0" w:color="auto"/>
            </w:tcBorders>
            <w:shd w:val="clear" w:color="auto" w:fill="auto"/>
            <w:noWrap/>
            <w:vAlign w:val="center"/>
          </w:tcPr>
          <w:p w14:paraId="78A79881"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41.014.376</w:t>
            </w:r>
          </w:p>
        </w:tc>
        <w:tc>
          <w:tcPr>
            <w:tcW w:w="993" w:type="dxa"/>
            <w:tcBorders>
              <w:top w:val="nil"/>
              <w:left w:val="nil"/>
              <w:bottom w:val="single" w:sz="4" w:space="0" w:color="auto"/>
              <w:right w:val="single" w:sz="4" w:space="0" w:color="auto"/>
            </w:tcBorders>
            <w:shd w:val="clear" w:color="auto" w:fill="auto"/>
            <w:noWrap/>
            <w:vAlign w:val="center"/>
          </w:tcPr>
          <w:p w14:paraId="509281D3"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96,67 %</w:t>
            </w:r>
          </w:p>
        </w:tc>
        <w:tc>
          <w:tcPr>
            <w:tcW w:w="1382" w:type="dxa"/>
            <w:tcBorders>
              <w:top w:val="nil"/>
              <w:left w:val="nil"/>
              <w:bottom w:val="single" w:sz="4" w:space="0" w:color="auto"/>
              <w:right w:val="single" w:sz="4" w:space="0" w:color="auto"/>
            </w:tcBorders>
            <w:shd w:val="clear" w:color="auto" w:fill="auto"/>
            <w:noWrap/>
            <w:vAlign w:val="center"/>
          </w:tcPr>
          <w:p w14:paraId="1F8B6A53"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97,90 %</w:t>
            </w:r>
          </w:p>
        </w:tc>
      </w:tr>
      <w:tr w:rsidR="00F24E18" w:rsidRPr="00927EC5" w14:paraId="51BF1333"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77D1B068"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42696F6E"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tcPr>
          <w:p w14:paraId="61E4AD4B"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6.127</w:t>
            </w:r>
          </w:p>
        </w:tc>
        <w:tc>
          <w:tcPr>
            <w:tcW w:w="1423" w:type="dxa"/>
            <w:tcBorders>
              <w:top w:val="nil"/>
              <w:left w:val="nil"/>
              <w:bottom w:val="single" w:sz="4" w:space="0" w:color="auto"/>
              <w:right w:val="single" w:sz="4" w:space="0" w:color="auto"/>
            </w:tcBorders>
            <w:shd w:val="clear" w:color="auto" w:fill="auto"/>
            <w:noWrap/>
            <w:vAlign w:val="center"/>
          </w:tcPr>
          <w:p w14:paraId="1CD90A63"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810.563.068</w:t>
            </w:r>
          </w:p>
        </w:tc>
        <w:tc>
          <w:tcPr>
            <w:tcW w:w="993" w:type="dxa"/>
            <w:tcBorders>
              <w:top w:val="nil"/>
              <w:left w:val="nil"/>
              <w:bottom w:val="single" w:sz="4" w:space="0" w:color="auto"/>
              <w:right w:val="single" w:sz="4" w:space="0" w:color="auto"/>
            </w:tcBorders>
            <w:shd w:val="clear" w:color="auto" w:fill="auto"/>
            <w:noWrap/>
            <w:vAlign w:val="center"/>
          </w:tcPr>
          <w:p w14:paraId="4D704045"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color w:val="000000"/>
                <w:sz w:val="18"/>
                <w:szCs w:val="18"/>
              </w:rPr>
              <w:t>3,33 %</w:t>
            </w:r>
          </w:p>
        </w:tc>
        <w:tc>
          <w:tcPr>
            <w:tcW w:w="1382" w:type="dxa"/>
            <w:tcBorders>
              <w:top w:val="nil"/>
              <w:left w:val="nil"/>
              <w:bottom w:val="single" w:sz="4" w:space="0" w:color="auto"/>
              <w:right w:val="single" w:sz="4" w:space="0" w:color="auto"/>
            </w:tcBorders>
            <w:shd w:val="clear" w:color="auto" w:fill="auto"/>
            <w:noWrap/>
            <w:vAlign w:val="center"/>
          </w:tcPr>
          <w:p w14:paraId="665E7BC5"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color w:val="000000"/>
                <w:sz w:val="18"/>
                <w:szCs w:val="18"/>
              </w:rPr>
              <w:t>2,10 %</w:t>
            </w:r>
          </w:p>
        </w:tc>
      </w:tr>
      <w:tr w:rsidR="00F24E18" w:rsidRPr="00927EC5" w14:paraId="23F9AF05"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0752E"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Postopek s pogajanji brez predhodne objave</w:t>
            </w:r>
          </w:p>
        </w:tc>
        <w:tc>
          <w:tcPr>
            <w:tcW w:w="2249" w:type="dxa"/>
            <w:tcBorders>
              <w:top w:val="nil"/>
              <w:left w:val="nil"/>
              <w:bottom w:val="single" w:sz="4" w:space="0" w:color="auto"/>
              <w:right w:val="single" w:sz="4" w:space="0" w:color="auto"/>
            </w:tcBorders>
            <w:shd w:val="clear" w:color="auto" w:fill="auto"/>
            <w:noWrap/>
            <w:vAlign w:val="center"/>
            <w:hideMark/>
          </w:tcPr>
          <w:p w14:paraId="6BAC1D88"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Cena</w:t>
            </w:r>
          </w:p>
        </w:tc>
        <w:tc>
          <w:tcPr>
            <w:tcW w:w="1128" w:type="dxa"/>
            <w:tcBorders>
              <w:top w:val="nil"/>
              <w:left w:val="nil"/>
              <w:bottom w:val="single" w:sz="4" w:space="0" w:color="auto"/>
              <w:right w:val="single" w:sz="4" w:space="0" w:color="auto"/>
            </w:tcBorders>
            <w:shd w:val="clear" w:color="auto" w:fill="auto"/>
            <w:noWrap/>
            <w:vAlign w:val="center"/>
            <w:hideMark/>
          </w:tcPr>
          <w:p w14:paraId="44F5D09C"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696</w:t>
            </w:r>
          </w:p>
        </w:tc>
        <w:tc>
          <w:tcPr>
            <w:tcW w:w="1423" w:type="dxa"/>
            <w:tcBorders>
              <w:top w:val="nil"/>
              <w:left w:val="nil"/>
              <w:bottom w:val="single" w:sz="4" w:space="0" w:color="auto"/>
              <w:right w:val="single" w:sz="4" w:space="0" w:color="auto"/>
            </w:tcBorders>
            <w:shd w:val="clear" w:color="auto" w:fill="auto"/>
            <w:noWrap/>
            <w:vAlign w:val="center"/>
            <w:hideMark/>
          </w:tcPr>
          <w:p w14:paraId="2550C139"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363.454.459</w:t>
            </w:r>
          </w:p>
        </w:tc>
        <w:tc>
          <w:tcPr>
            <w:tcW w:w="993" w:type="dxa"/>
            <w:tcBorders>
              <w:top w:val="nil"/>
              <w:left w:val="nil"/>
              <w:bottom w:val="single" w:sz="4" w:space="0" w:color="auto"/>
              <w:right w:val="single" w:sz="4" w:space="0" w:color="auto"/>
            </w:tcBorders>
            <w:shd w:val="clear" w:color="auto" w:fill="auto"/>
            <w:noWrap/>
            <w:vAlign w:val="center"/>
          </w:tcPr>
          <w:p w14:paraId="2611654D"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0467FA4B"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b/>
                <w:bCs/>
                <w:color w:val="000000"/>
                <w:sz w:val="18"/>
                <w:szCs w:val="18"/>
              </w:rPr>
              <w:t>100,00 %</w:t>
            </w:r>
          </w:p>
        </w:tc>
      </w:tr>
      <w:tr w:rsidR="00F24E18" w:rsidRPr="00927EC5" w14:paraId="40E996CE"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3CBC06E4"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14613BE3"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hideMark/>
          </w:tcPr>
          <w:p w14:paraId="71432BE2"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24</w:t>
            </w:r>
          </w:p>
        </w:tc>
        <w:tc>
          <w:tcPr>
            <w:tcW w:w="1423" w:type="dxa"/>
            <w:tcBorders>
              <w:top w:val="nil"/>
              <w:left w:val="nil"/>
              <w:bottom w:val="single" w:sz="4" w:space="0" w:color="auto"/>
              <w:right w:val="single" w:sz="4" w:space="0" w:color="auto"/>
            </w:tcBorders>
            <w:shd w:val="clear" w:color="auto" w:fill="auto"/>
            <w:noWrap/>
            <w:vAlign w:val="center"/>
            <w:hideMark/>
          </w:tcPr>
          <w:p w14:paraId="38F774B0"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7.790.935</w:t>
            </w:r>
          </w:p>
        </w:tc>
        <w:tc>
          <w:tcPr>
            <w:tcW w:w="993" w:type="dxa"/>
            <w:tcBorders>
              <w:top w:val="nil"/>
              <w:left w:val="nil"/>
              <w:bottom w:val="single" w:sz="4" w:space="0" w:color="auto"/>
              <w:right w:val="single" w:sz="4" w:space="0" w:color="auto"/>
            </w:tcBorders>
            <w:shd w:val="clear" w:color="auto" w:fill="auto"/>
            <w:noWrap/>
            <w:vAlign w:val="center"/>
          </w:tcPr>
          <w:p w14:paraId="084459E2"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82,61 %</w:t>
            </w:r>
          </w:p>
        </w:tc>
        <w:tc>
          <w:tcPr>
            <w:tcW w:w="1382" w:type="dxa"/>
            <w:tcBorders>
              <w:top w:val="nil"/>
              <w:left w:val="nil"/>
              <w:bottom w:val="single" w:sz="4" w:space="0" w:color="auto"/>
              <w:right w:val="single" w:sz="4" w:space="0" w:color="auto"/>
            </w:tcBorders>
            <w:shd w:val="clear" w:color="auto" w:fill="auto"/>
            <w:noWrap/>
            <w:vAlign w:val="center"/>
          </w:tcPr>
          <w:p w14:paraId="4138F3B1"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87,92 %</w:t>
            </w:r>
          </w:p>
        </w:tc>
      </w:tr>
      <w:tr w:rsidR="00F24E18" w:rsidRPr="00927EC5" w14:paraId="3255BE20"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5C4B3DF1"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4D942FF9"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hideMark/>
          </w:tcPr>
          <w:p w14:paraId="4901531A"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720</w:t>
            </w:r>
          </w:p>
        </w:tc>
        <w:tc>
          <w:tcPr>
            <w:tcW w:w="1423" w:type="dxa"/>
            <w:tcBorders>
              <w:top w:val="nil"/>
              <w:left w:val="nil"/>
              <w:bottom w:val="single" w:sz="4" w:space="0" w:color="auto"/>
              <w:right w:val="single" w:sz="4" w:space="0" w:color="auto"/>
            </w:tcBorders>
            <w:shd w:val="clear" w:color="auto" w:fill="auto"/>
            <w:noWrap/>
            <w:vAlign w:val="center"/>
            <w:hideMark/>
          </w:tcPr>
          <w:p w14:paraId="52DDD8A6"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371.245.394</w:t>
            </w:r>
          </w:p>
        </w:tc>
        <w:tc>
          <w:tcPr>
            <w:tcW w:w="993" w:type="dxa"/>
            <w:tcBorders>
              <w:top w:val="nil"/>
              <w:left w:val="nil"/>
              <w:bottom w:val="single" w:sz="4" w:space="0" w:color="auto"/>
              <w:right w:val="single" w:sz="4" w:space="0" w:color="auto"/>
            </w:tcBorders>
            <w:shd w:val="clear" w:color="auto" w:fill="auto"/>
            <w:noWrap/>
            <w:vAlign w:val="center"/>
          </w:tcPr>
          <w:p w14:paraId="23CD27BB"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color w:val="000000"/>
                <w:sz w:val="18"/>
                <w:szCs w:val="18"/>
              </w:rPr>
              <w:t>17,39 %</w:t>
            </w:r>
          </w:p>
        </w:tc>
        <w:tc>
          <w:tcPr>
            <w:tcW w:w="1382" w:type="dxa"/>
            <w:tcBorders>
              <w:top w:val="nil"/>
              <w:left w:val="nil"/>
              <w:bottom w:val="single" w:sz="4" w:space="0" w:color="auto"/>
              <w:right w:val="single" w:sz="4" w:space="0" w:color="auto"/>
            </w:tcBorders>
            <w:shd w:val="clear" w:color="auto" w:fill="auto"/>
            <w:noWrap/>
            <w:vAlign w:val="center"/>
          </w:tcPr>
          <w:p w14:paraId="1079F918"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color w:val="000000"/>
                <w:sz w:val="18"/>
                <w:szCs w:val="18"/>
              </w:rPr>
              <w:t>12,08 %</w:t>
            </w:r>
          </w:p>
        </w:tc>
      </w:tr>
      <w:tr w:rsidR="00F24E18" w:rsidRPr="00927EC5" w14:paraId="0714C2AA"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6B9224"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Postopek s pogajanji po predhodni objavi</w:t>
            </w:r>
          </w:p>
        </w:tc>
        <w:tc>
          <w:tcPr>
            <w:tcW w:w="2249" w:type="dxa"/>
            <w:tcBorders>
              <w:top w:val="nil"/>
              <w:left w:val="nil"/>
              <w:bottom w:val="single" w:sz="4" w:space="0" w:color="auto"/>
              <w:right w:val="single" w:sz="4" w:space="0" w:color="auto"/>
            </w:tcBorders>
            <w:shd w:val="clear" w:color="auto" w:fill="auto"/>
            <w:noWrap/>
            <w:vAlign w:val="center"/>
            <w:hideMark/>
          </w:tcPr>
          <w:p w14:paraId="1FD2319E"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Cena</w:t>
            </w:r>
          </w:p>
        </w:tc>
        <w:tc>
          <w:tcPr>
            <w:tcW w:w="1128" w:type="dxa"/>
            <w:tcBorders>
              <w:top w:val="nil"/>
              <w:left w:val="nil"/>
              <w:bottom w:val="single" w:sz="4" w:space="0" w:color="auto"/>
              <w:right w:val="single" w:sz="4" w:space="0" w:color="auto"/>
            </w:tcBorders>
            <w:shd w:val="clear" w:color="auto" w:fill="auto"/>
            <w:noWrap/>
            <w:vAlign w:val="center"/>
            <w:hideMark/>
          </w:tcPr>
          <w:p w14:paraId="5DC63943"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285</w:t>
            </w:r>
          </w:p>
        </w:tc>
        <w:tc>
          <w:tcPr>
            <w:tcW w:w="1423" w:type="dxa"/>
            <w:tcBorders>
              <w:top w:val="nil"/>
              <w:left w:val="nil"/>
              <w:bottom w:val="single" w:sz="4" w:space="0" w:color="auto"/>
              <w:right w:val="single" w:sz="4" w:space="0" w:color="auto"/>
            </w:tcBorders>
            <w:shd w:val="clear" w:color="auto" w:fill="auto"/>
            <w:noWrap/>
            <w:vAlign w:val="center"/>
            <w:hideMark/>
          </w:tcPr>
          <w:p w14:paraId="188FA864"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286.576.091</w:t>
            </w:r>
          </w:p>
        </w:tc>
        <w:tc>
          <w:tcPr>
            <w:tcW w:w="993" w:type="dxa"/>
            <w:tcBorders>
              <w:top w:val="nil"/>
              <w:left w:val="nil"/>
              <w:bottom w:val="single" w:sz="4" w:space="0" w:color="auto"/>
              <w:right w:val="single" w:sz="4" w:space="0" w:color="auto"/>
            </w:tcBorders>
            <w:shd w:val="clear" w:color="auto" w:fill="auto"/>
            <w:noWrap/>
            <w:vAlign w:val="center"/>
          </w:tcPr>
          <w:p w14:paraId="5A3BD121"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43D2BFCC"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b/>
                <w:bCs/>
                <w:color w:val="000000"/>
                <w:sz w:val="18"/>
                <w:szCs w:val="18"/>
              </w:rPr>
              <w:t>100,00 %</w:t>
            </w:r>
          </w:p>
        </w:tc>
      </w:tr>
      <w:tr w:rsidR="00F24E18" w:rsidRPr="00927EC5" w14:paraId="28F75CF4"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427CA729"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43259A99"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hideMark/>
          </w:tcPr>
          <w:p w14:paraId="14A8BD18"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44</w:t>
            </w:r>
          </w:p>
        </w:tc>
        <w:tc>
          <w:tcPr>
            <w:tcW w:w="1423" w:type="dxa"/>
            <w:tcBorders>
              <w:top w:val="nil"/>
              <w:left w:val="nil"/>
              <w:bottom w:val="single" w:sz="4" w:space="0" w:color="auto"/>
              <w:right w:val="single" w:sz="4" w:space="0" w:color="auto"/>
            </w:tcBorders>
            <w:shd w:val="clear" w:color="auto" w:fill="auto"/>
            <w:noWrap/>
            <w:vAlign w:val="center"/>
            <w:hideMark/>
          </w:tcPr>
          <w:p w14:paraId="286B0F92"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25.466.383</w:t>
            </w:r>
          </w:p>
        </w:tc>
        <w:tc>
          <w:tcPr>
            <w:tcW w:w="993" w:type="dxa"/>
            <w:tcBorders>
              <w:top w:val="nil"/>
              <w:left w:val="nil"/>
              <w:bottom w:val="single" w:sz="4" w:space="0" w:color="auto"/>
              <w:right w:val="single" w:sz="4" w:space="0" w:color="auto"/>
            </w:tcBorders>
            <w:shd w:val="clear" w:color="auto" w:fill="auto"/>
            <w:noWrap/>
            <w:vAlign w:val="center"/>
          </w:tcPr>
          <w:p w14:paraId="2E412351"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13F494A6"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100,00 %</w:t>
            </w:r>
          </w:p>
        </w:tc>
      </w:tr>
      <w:tr w:rsidR="00F24E18" w:rsidRPr="00927EC5" w14:paraId="318D9461"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34B5BC68"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3B09AB5D"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hideMark/>
          </w:tcPr>
          <w:p w14:paraId="7CFFD07E"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329</w:t>
            </w:r>
          </w:p>
        </w:tc>
        <w:tc>
          <w:tcPr>
            <w:tcW w:w="1423" w:type="dxa"/>
            <w:tcBorders>
              <w:top w:val="nil"/>
              <w:left w:val="nil"/>
              <w:bottom w:val="single" w:sz="4" w:space="0" w:color="auto"/>
              <w:right w:val="single" w:sz="4" w:space="0" w:color="auto"/>
            </w:tcBorders>
            <w:shd w:val="clear" w:color="auto" w:fill="auto"/>
            <w:noWrap/>
            <w:vAlign w:val="center"/>
            <w:hideMark/>
          </w:tcPr>
          <w:p w14:paraId="7CEE7D70"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312.042.474</w:t>
            </w:r>
          </w:p>
        </w:tc>
        <w:tc>
          <w:tcPr>
            <w:tcW w:w="993" w:type="dxa"/>
            <w:tcBorders>
              <w:top w:val="nil"/>
              <w:left w:val="nil"/>
              <w:bottom w:val="single" w:sz="4" w:space="0" w:color="auto"/>
              <w:right w:val="single" w:sz="4" w:space="0" w:color="auto"/>
            </w:tcBorders>
            <w:shd w:val="clear" w:color="auto" w:fill="auto"/>
            <w:noWrap/>
            <w:vAlign w:val="center"/>
          </w:tcPr>
          <w:p w14:paraId="644F21B4"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4ACCE582"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r>
      <w:tr w:rsidR="00F24E18" w:rsidRPr="00927EC5" w14:paraId="591D701D" w14:textId="77777777" w:rsidTr="000E18B5">
        <w:trPr>
          <w:trHeight w:val="300"/>
        </w:trPr>
        <w:tc>
          <w:tcPr>
            <w:tcW w:w="1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21326"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Postopek zbiranja ponudb po predhodni objavi</w:t>
            </w:r>
          </w:p>
        </w:tc>
        <w:tc>
          <w:tcPr>
            <w:tcW w:w="2249" w:type="dxa"/>
            <w:tcBorders>
              <w:top w:val="nil"/>
              <w:left w:val="nil"/>
              <w:bottom w:val="single" w:sz="4" w:space="0" w:color="auto"/>
              <w:right w:val="single" w:sz="4" w:space="0" w:color="auto"/>
            </w:tcBorders>
            <w:shd w:val="clear" w:color="auto" w:fill="auto"/>
            <w:noWrap/>
            <w:vAlign w:val="center"/>
            <w:hideMark/>
          </w:tcPr>
          <w:p w14:paraId="5C255E56"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Cena</w:t>
            </w:r>
          </w:p>
        </w:tc>
        <w:tc>
          <w:tcPr>
            <w:tcW w:w="1128" w:type="dxa"/>
            <w:tcBorders>
              <w:top w:val="nil"/>
              <w:left w:val="nil"/>
              <w:bottom w:val="single" w:sz="4" w:space="0" w:color="auto"/>
              <w:right w:val="single" w:sz="4" w:space="0" w:color="auto"/>
            </w:tcBorders>
            <w:shd w:val="clear" w:color="auto" w:fill="auto"/>
            <w:noWrap/>
            <w:vAlign w:val="center"/>
            <w:hideMark/>
          </w:tcPr>
          <w:p w14:paraId="20A0F8AA"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19</w:t>
            </w:r>
          </w:p>
        </w:tc>
        <w:tc>
          <w:tcPr>
            <w:tcW w:w="1423" w:type="dxa"/>
            <w:tcBorders>
              <w:top w:val="nil"/>
              <w:left w:val="nil"/>
              <w:bottom w:val="single" w:sz="4" w:space="0" w:color="auto"/>
              <w:right w:val="single" w:sz="4" w:space="0" w:color="auto"/>
            </w:tcBorders>
            <w:shd w:val="clear" w:color="auto" w:fill="auto"/>
            <w:noWrap/>
            <w:vAlign w:val="center"/>
            <w:hideMark/>
          </w:tcPr>
          <w:p w14:paraId="5A70490E"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2.506.102</w:t>
            </w:r>
          </w:p>
        </w:tc>
        <w:tc>
          <w:tcPr>
            <w:tcW w:w="993" w:type="dxa"/>
            <w:tcBorders>
              <w:top w:val="nil"/>
              <w:left w:val="nil"/>
              <w:bottom w:val="single" w:sz="4" w:space="0" w:color="auto"/>
              <w:right w:val="single" w:sz="4" w:space="0" w:color="auto"/>
            </w:tcBorders>
            <w:shd w:val="clear" w:color="auto" w:fill="auto"/>
            <w:noWrap/>
            <w:vAlign w:val="center"/>
          </w:tcPr>
          <w:p w14:paraId="20AF79E0"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86,63 %</w:t>
            </w:r>
          </w:p>
        </w:tc>
        <w:tc>
          <w:tcPr>
            <w:tcW w:w="1382" w:type="dxa"/>
            <w:tcBorders>
              <w:top w:val="nil"/>
              <w:left w:val="nil"/>
              <w:bottom w:val="single" w:sz="4" w:space="0" w:color="auto"/>
              <w:right w:val="single" w:sz="4" w:space="0" w:color="auto"/>
            </w:tcBorders>
            <w:shd w:val="clear" w:color="auto" w:fill="auto"/>
            <w:noWrap/>
            <w:vAlign w:val="center"/>
          </w:tcPr>
          <w:p w14:paraId="06E34D69"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91,84 %</w:t>
            </w:r>
          </w:p>
        </w:tc>
      </w:tr>
      <w:tr w:rsidR="00F24E18" w:rsidRPr="00927EC5" w14:paraId="55425FC2"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5962E080"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414B71C8" w14:textId="77777777" w:rsidR="00F24E18" w:rsidRPr="00927EC5" w:rsidRDefault="00F24E18" w:rsidP="000E18B5">
            <w:pPr>
              <w:spacing w:after="0" w:line="240" w:lineRule="auto"/>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Ekonomsko najugodnejša ponudba</w:t>
            </w:r>
          </w:p>
        </w:tc>
        <w:tc>
          <w:tcPr>
            <w:tcW w:w="1128" w:type="dxa"/>
            <w:tcBorders>
              <w:top w:val="nil"/>
              <w:left w:val="nil"/>
              <w:bottom w:val="single" w:sz="4" w:space="0" w:color="auto"/>
              <w:right w:val="single" w:sz="4" w:space="0" w:color="auto"/>
            </w:tcBorders>
            <w:shd w:val="clear" w:color="auto" w:fill="auto"/>
            <w:noWrap/>
            <w:vAlign w:val="center"/>
            <w:hideMark/>
          </w:tcPr>
          <w:p w14:paraId="0658D2FC"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4</w:t>
            </w:r>
          </w:p>
        </w:tc>
        <w:tc>
          <w:tcPr>
            <w:tcW w:w="1423" w:type="dxa"/>
            <w:tcBorders>
              <w:top w:val="nil"/>
              <w:left w:val="nil"/>
              <w:bottom w:val="single" w:sz="4" w:space="0" w:color="auto"/>
              <w:right w:val="single" w:sz="4" w:space="0" w:color="auto"/>
            </w:tcBorders>
            <w:shd w:val="clear" w:color="auto" w:fill="auto"/>
            <w:noWrap/>
            <w:vAlign w:val="center"/>
            <w:hideMark/>
          </w:tcPr>
          <w:p w14:paraId="18A2D269"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eastAsia="Times New Roman" w:hAnsi="Arial" w:cs="Arial"/>
                <w:color w:val="000000"/>
                <w:sz w:val="18"/>
                <w:szCs w:val="18"/>
                <w:lang w:eastAsia="sl-SI"/>
              </w:rPr>
              <w:t>344.263</w:t>
            </w:r>
          </w:p>
        </w:tc>
        <w:tc>
          <w:tcPr>
            <w:tcW w:w="993" w:type="dxa"/>
            <w:tcBorders>
              <w:top w:val="nil"/>
              <w:left w:val="nil"/>
              <w:bottom w:val="single" w:sz="4" w:space="0" w:color="auto"/>
              <w:right w:val="single" w:sz="4" w:space="0" w:color="auto"/>
            </w:tcBorders>
            <w:shd w:val="clear" w:color="auto" w:fill="auto"/>
            <w:noWrap/>
            <w:vAlign w:val="center"/>
          </w:tcPr>
          <w:p w14:paraId="396EB6D9"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13,37 %</w:t>
            </w:r>
          </w:p>
        </w:tc>
        <w:tc>
          <w:tcPr>
            <w:tcW w:w="1382" w:type="dxa"/>
            <w:tcBorders>
              <w:top w:val="nil"/>
              <w:left w:val="nil"/>
              <w:bottom w:val="single" w:sz="4" w:space="0" w:color="auto"/>
              <w:right w:val="single" w:sz="4" w:space="0" w:color="auto"/>
            </w:tcBorders>
            <w:shd w:val="clear" w:color="auto" w:fill="auto"/>
            <w:noWrap/>
            <w:vAlign w:val="center"/>
          </w:tcPr>
          <w:p w14:paraId="67697F37" w14:textId="77777777" w:rsidR="00F24E18" w:rsidRPr="00927EC5" w:rsidRDefault="00F24E18" w:rsidP="000E18B5">
            <w:pPr>
              <w:spacing w:after="0" w:line="240" w:lineRule="auto"/>
              <w:jc w:val="right"/>
              <w:rPr>
                <w:rFonts w:ascii="Arial" w:eastAsia="Times New Roman" w:hAnsi="Arial" w:cs="Arial"/>
                <w:color w:val="000000"/>
                <w:sz w:val="18"/>
                <w:szCs w:val="18"/>
                <w:lang w:eastAsia="sl-SI"/>
              </w:rPr>
            </w:pPr>
            <w:r w:rsidRPr="00927EC5">
              <w:rPr>
                <w:rFonts w:ascii="Arial" w:hAnsi="Arial" w:cs="Arial"/>
                <w:color w:val="000000"/>
                <w:sz w:val="18"/>
                <w:szCs w:val="18"/>
              </w:rPr>
              <w:t>8,16 %</w:t>
            </w:r>
          </w:p>
        </w:tc>
      </w:tr>
      <w:tr w:rsidR="00F24E18" w:rsidRPr="00927EC5" w14:paraId="4A84543E" w14:textId="77777777" w:rsidTr="000E18B5">
        <w:trPr>
          <w:trHeight w:val="300"/>
        </w:trPr>
        <w:tc>
          <w:tcPr>
            <w:tcW w:w="1999" w:type="dxa"/>
            <w:vMerge/>
            <w:tcBorders>
              <w:top w:val="nil"/>
              <w:left w:val="single" w:sz="4" w:space="0" w:color="auto"/>
              <w:bottom w:val="single" w:sz="4" w:space="0" w:color="auto"/>
              <w:right w:val="single" w:sz="4" w:space="0" w:color="auto"/>
            </w:tcBorders>
            <w:vAlign w:val="center"/>
            <w:hideMark/>
          </w:tcPr>
          <w:p w14:paraId="6E607C33" w14:textId="77777777" w:rsidR="00F24E18" w:rsidRPr="00927EC5" w:rsidRDefault="00F24E18" w:rsidP="000E18B5">
            <w:pPr>
              <w:spacing w:after="0" w:line="240" w:lineRule="auto"/>
              <w:rPr>
                <w:rFonts w:ascii="Arial" w:eastAsia="Times New Roman" w:hAnsi="Arial" w:cs="Arial"/>
                <w:color w:val="000000"/>
                <w:sz w:val="18"/>
                <w:szCs w:val="18"/>
                <w:lang w:eastAsia="sl-SI"/>
              </w:rPr>
            </w:pPr>
          </w:p>
        </w:tc>
        <w:tc>
          <w:tcPr>
            <w:tcW w:w="2249" w:type="dxa"/>
            <w:tcBorders>
              <w:top w:val="nil"/>
              <w:left w:val="nil"/>
              <w:bottom w:val="single" w:sz="4" w:space="0" w:color="auto"/>
              <w:right w:val="single" w:sz="4" w:space="0" w:color="auto"/>
            </w:tcBorders>
            <w:shd w:val="clear" w:color="auto" w:fill="auto"/>
            <w:noWrap/>
            <w:vAlign w:val="center"/>
            <w:hideMark/>
          </w:tcPr>
          <w:p w14:paraId="0689B1DB"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auto"/>
            <w:noWrap/>
            <w:vAlign w:val="center"/>
            <w:hideMark/>
          </w:tcPr>
          <w:p w14:paraId="6B78E5D0"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23</w:t>
            </w:r>
          </w:p>
        </w:tc>
        <w:tc>
          <w:tcPr>
            <w:tcW w:w="1423" w:type="dxa"/>
            <w:tcBorders>
              <w:top w:val="nil"/>
              <w:left w:val="nil"/>
              <w:bottom w:val="single" w:sz="4" w:space="0" w:color="auto"/>
              <w:right w:val="single" w:sz="4" w:space="0" w:color="auto"/>
            </w:tcBorders>
            <w:shd w:val="clear" w:color="auto" w:fill="auto"/>
            <w:noWrap/>
            <w:vAlign w:val="center"/>
            <w:hideMark/>
          </w:tcPr>
          <w:p w14:paraId="181552CD"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2.850.365</w:t>
            </w:r>
          </w:p>
        </w:tc>
        <w:tc>
          <w:tcPr>
            <w:tcW w:w="993" w:type="dxa"/>
            <w:tcBorders>
              <w:top w:val="nil"/>
              <w:left w:val="nil"/>
              <w:bottom w:val="single" w:sz="4" w:space="0" w:color="auto"/>
              <w:right w:val="single" w:sz="4" w:space="0" w:color="auto"/>
            </w:tcBorders>
            <w:shd w:val="clear" w:color="auto" w:fill="auto"/>
            <w:noWrap/>
            <w:vAlign w:val="center"/>
          </w:tcPr>
          <w:p w14:paraId="05164E3B"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c>
          <w:tcPr>
            <w:tcW w:w="1382" w:type="dxa"/>
            <w:tcBorders>
              <w:top w:val="nil"/>
              <w:left w:val="nil"/>
              <w:bottom w:val="single" w:sz="4" w:space="0" w:color="auto"/>
              <w:right w:val="single" w:sz="4" w:space="0" w:color="auto"/>
            </w:tcBorders>
            <w:shd w:val="clear" w:color="auto" w:fill="auto"/>
            <w:noWrap/>
            <w:vAlign w:val="center"/>
          </w:tcPr>
          <w:p w14:paraId="43C3D30C"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hAnsi="Arial" w:cs="Arial"/>
                <w:b/>
                <w:bCs/>
                <w:color w:val="000000"/>
                <w:sz w:val="18"/>
                <w:szCs w:val="18"/>
              </w:rPr>
              <w:t>100,00 %</w:t>
            </w:r>
          </w:p>
        </w:tc>
      </w:tr>
      <w:tr w:rsidR="00F24E18" w:rsidRPr="001B3861" w14:paraId="2855EF06" w14:textId="77777777" w:rsidTr="000E18B5">
        <w:trPr>
          <w:gridAfter w:val="2"/>
          <w:wAfter w:w="2375" w:type="dxa"/>
          <w:trHeight w:val="300"/>
        </w:trPr>
        <w:tc>
          <w:tcPr>
            <w:tcW w:w="4248"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1A0A30B" w14:textId="77777777" w:rsidR="00F24E18" w:rsidRPr="00927EC5" w:rsidRDefault="00F24E18" w:rsidP="000E18B5">
            <w:pPr>
              <w:spacing w:after="0" w:line="240" w:lineRule="auto"/>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Skupaj</w:t>
            </w:r>
          </w:p>
        </w:tc>
        <w:tc>
          <w:tcPr>
            <w:tcW w:w="1128" w:type="dxa"/>
            <w:tcBorders>
              <w:top w:val="nil"/>
              <w:left w:val="nil"/>
              <w:bottom w:val="single" w:sz="4" w:space="0" w:color="auto"/>
              <w:right w:val="single" w:sz="4" w:space="0" w:color="auto"/>
            </w:tcBorders>
            <w:shd w:val="clear" w:color="auto" w:fill="F2F2F2" w:themeFill="background1" w:themeFillShade="F2"/>
            <w:noWrap/>
            <w:vAlign w:val="center"/>
          </w:tcPr>
          <w:p w14:paraId="1A9BB2A4"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16.824</w:t>
            </w:r>
          </w:p>
        </w:tc>
        <w:tc>
          <w:tcPr>
            <w:tcW w:w="1423" w:type="dxa"/>
            <w:tcBorders>
              <w:top w:val="nil"/>
              <w:left w:val="nil"/>
              <w:bottom w:val="single" w:sz="4" w:space="0" w:color="auto"/>
              <w:right w:val="single" w:sz="4" w:space="0" w:color="auto"/>
            </w:tcBorders>
            <w:shd w:val="clear" w:color="auto" w:fill="F2F2F2" w:themeFill="background1" w:themeFillShade="F2"/>
            <w:noWrap/>
            <w:vAlign w:val="center"/>
          </w:tcPr>
          <w:p w14:paraId="622108A8" w14:textId="77777777" w:rsidR="00F24E18" w:rsidRPr="00927EC5" w:rsidRDefault="00F24E18" w:rsidP="000E18B5">
            <w:pPr>
              <w:spacing w:after="0" w:line="240" w:lineRule="auto"/>
              <w:jc w:val="right"/>
              <w:rPr>
                <w:rFonts w:ascii="Arial" w:eastAsia="Times New Roman" w:hAnsi="Arial" w:cs="Arial"/>
                <w:b/>
                <w:bCs/>
                <w:color w:val="000000"/>
                <w:sz w:val="18"/>
                <w:szCs w:val="18"/>
                <w:lang w:eastAsia="sl-SI"/>
              </w:rPr>
            </w:pPr>
            <w:r w:rsidRPr="00927EC5">
              <w:rPr>
                <w:rFonts w:ascii="Arial" w:eastAsia="Times New Roman" w:hAnsi="Arial" w:cs="Arial"/>
                <w:b/>
                <w:bCs/>
                <w:color w:val="000000"/>
                <w:sz w:val="18"/>
                <w:szCs w:val="18"/>
                <w:lang w:eastAsia="sl-SI"/>
              </w:rPr>
              <w:t>6.232.250.969</w:t>
            </w:r>
          </w:p>
        </w:tc>
      </w:tr>
    </w:tbl>
    <w:p w14:paraId="03BF726E" w14:textId="77777777" w:rsidR="00F24E18" w:rsidRPr="00242E41" w:rsidRDefault="00F24E18" w:rsidP="00F24E18">
      <w:pPr>
        <w:spacing w:after="0" w:line="240" w:lineRule="auto"/>
        <w:jc w:val="both"/>
        <w:rPr>
          <w:rFonts w:ascii="Arial" w:hAnsi="Arial" w:cs="Arial"/>
          <w:sz w:val="20"/>
          <w:highlight w:val="yellow"/>
        </w:rPr>
      </w:pPr>
    </w:p>
    <w:p w14:paraId="629590BE" w14:textId="77777777" w:rsidR="00F24E18" w:rsidRPr="006A608B" w:rsidRDefault="00F24E18" w:rsidP="00F24E18">
      <w:pPr>
        <w:spacing w:before="120" w:after="0" w:line="240" w:lineRule="auto"/>
        <w:jc w:val="both"/>
        <w:rPr>
          <w:rFonts w:ascii="Arial" w:hAnsi="Arial" w:cs="Arial"/>
          <w:sz w:val="20"/>
        </w:rPr>
      </w:pPr>
      <w:r w:rsidRPr="006A608B">
        <w:rPr>
          <w:rFonts w:ascii="Arial" w:hAnsi="Arial" w:cs="Arial"/>
          <w:sz w:val="20"/>
        </w:rPr>
        <w:t xml:space="preserve">Preglednica 83: </w:t>
      </w:r>
      <w:bookmarkEnd w:id="91"/>
      <w:bookmarkEnd w:id="92"/>
      <w:r w:rsidRPr="006A608B">
        <w:rPr>
          <w:rFonts w:ascii="Arial" w:hAnsi="Arial" w:cs="Arial"/>
          <w:sz w:val="20"/>
        </w:rPr>
        <w:t>Javna naročila proračunskih uporabnikov glede na predmet naročanja</w:t>
      </w:r>
      <w:bookmarkEnd w:id="93"/>
      <w:bookmarkEnd w:id="94"/>
      <w:bookmarkEnd w:id="95"/>
      <w:bookmarkEnd w:id="99"/>
      <w:bookmarkEnd w:id="100"/>
      <w:bookmarkEnd w:id="101"/>
      <w:bookmarkEnd w:id="102"/>
      <w:bookmarkEnd w:id="103"/>
      <w:bookmarkEnd w:id="104"/>
    </w:p>
    <w:p w14:paraId="1EDEBE5D" w14:textId="77777777" w:rsidR="00F24E18" w:rsidRPr="006A608B" w:rsidRDefault="00F24E18" w:rsidP="00F24E18">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364"/>
        <w:gridCol w:w="1947"/>
        <w:gridCol w:w="1149"/>
        <w:gridCol w:w="2149"/>
        <w:gridCol w:w="1281"/>
        <w:gridCol w:w="1284"/>
      </w:tblGrid>
      <w:tr w:rsidR="00F24E18" w:rsidRPr="006A608B" w14:paraId="056EA351" w14:textId="77777777" w:rsidTr="000E18B5">
        <w:trPr>
          <w:trHeight w:val="255"/>
        </w:trPr>
        <w:tc>
          <w:tcPr>
            <w:tcW w:w="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39BA7E" w14:textId="77777777" w:rsidR="00F24E18" w:rsidRPr="006A608B" w:rsidRDefault="00F24E18" w:rsidP="000E18B5">
            <w:pPr>
              <w:spacing w:after="0" w:line="240" w:lineRule="auto"/>
              <w:jc w:val="center"/>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 xml:space="preserve">Predmet </w:t>
            </w:r>
          </w:p>
        </w:tc>
        <w:tc>
          <w:tcPr>
            <w:tcW w:w="10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B46344" w14:textId="77777777" w:rsidR="00F24E18" w:rsidRPr="006A608B" w:rsidRDefault="00F24E18" w:rsidP="000E18B5">
            <w:pPr>
              <w:spacing w:after="0" w:line="240" w:lineRule="auto"/>
              <w:jc w:val="center"/>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Št. proračunskih uporabnikov</w:t>
            </w:r>
          </w:p>
        </w:tc>
        <w:tc>
          <w:tcPr>
            <w:tcW w:w="62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510C55" w14:textId="77777777" w:rsidR="00F24E18" w:rsidRPr="006A608B" w:rsidRDefault="00F24E18" w:rsidP="000E18B5">
            <w:pPr>
              <w:spacing w:after="0" w:line="240" w:lineRule="auto"/>
              <w:jc w:val="center"/>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Št. naročil</w:t>
            </w:r>
          </w:p>
        </w:tc>
        <w:tc>
          <w:tcPr>
            <w:tcW w:w="11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52F08B" w14:textId="77777777" w:rsidR="00F24E18" w:rsidRPr="006A608B" w:rsidRDefault="00F24E18" w:rsidP="000E18B5">
            <w:pPr>
              <w:spacing w:after="0" w:line="240" w:lineRule="auto"/>
              <w:jc w:val="center"/>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Pogodbena vrednost</w:t>
            </w:r>
          </w:p>
        </w:tc>
        <w:tc>
          <w:tcPr>
            <w:tcW w:w="69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AE2F245" w14:textId="77777777" w:rsidR="00F24E18" w:rsidRPr="006A608B" w:rsidRDefault="00F24E18" w:rsidP="000E18B5">
            <w:pPr>
              <w:spacing w:after="0" w:line="240" w:lineRule="auto"/>
              <w:jc w:val="center"/>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Delež v št. naročil</w:t>
            </w:r>
          </w:p>
        </w:tc>
        <w:tc>
          <w:tcPr>
            <w:tcW w:w="70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74F884" w14:textId="77777777" w:rsidR="00F24E18" w:rsidRPr="006A608B" w:rsidRDefault="00F24E18" w:rsidP="000E18B5">
            <w:pPr>
              <w:spacing w:after="0" w:line="240" w:lineRule="auto"/>
              <w:jc w:val="center"/>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Delež v vrednosti</w:t>
            </w:r>
          </w:p>
        </w:tc>
      </w:tr>
      <w:tr w:rsidR="00F24E18" w:rsidRPr="006A608B" w14:paraId="5AE776F0" w14:textId="77777777" w:rsidTr="000E18B5">
        <w:trPr>
          <w:trHeight w:val="255"/>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007C1938" w14:textId="77777777" w:rsidR="00F24E18" w:rsidRPr="006A608B" w:rsidRDefault="00F24E18" w:rsidP="000E18B5">
            <w:pPr>
              <w:spacing w:after="0" w:line="240" w:lineRule="auto"/>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Blago</w:t>
            </w:r>
          </w:p>
        </w:tc>
        <w:tc>
          <w:tcPr>
            <w:tcW w:w="1061" w:type="pct"/>
            <w:tcBorders>
              <w:top w:val="nil"/>
              <w:left w:val="nil"/>
              <w:bottom w:val="single" w:sz="4" w:space="0" w:color="auto"/>
              <w:right w:val="single" w:sz="4" w:space="0" w:color="auto"/>
            </w:tcBorders>
            <w:shd w:val="clear" w:color="auto" w:fill="auto"/>
            <w:vAlign w:val="center"/>
            <w:hideMark/>
          </w:tcPr>
          <w:p w14:paraId="33E03510"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508</w:t>
            </w:r>
          </w:p>
        </w:tc>
        <w:tc>
          <w:tcPr>
            <w:tcW w:w="626" w:type="pct"/>
            <w:tcBorders>
              <w:top w:val="nil"/>
              <w:left w:val="nil"/>
              <w:bottom w:val="single" w:sz="4" w:space="0" w:color="auto"/>
              <w:right w:val="single" w:sz="4" w:space="0" w:color="auto"/>
            </w:tcBorders>
            <w:shd w:val="clear" w:color="auto" w:fill="auto"/>
            <w:vAlign w:val="center"/>
            <w:hideMark/>
          </w:tcPr>
          <w:p w14:paraId="3B6077BD"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8.601</w:t>
            </w:r>
          </w:p>
        </w:tc>
        <w:tc>
          <w:tcPr>
            <w:tcW w:w="1171" w:type="pct"/>
            <w:tcBorders>
              <w:top w:val="nil"/>
              <w:left w:val="nil"/>
              <w:bottom w:val="single" w:sz="4" w:space="0" w:color="auto"/>
              <w:right w:val="single" w:sz="4" w:space="0" w:color="auto"/>
            </w:tcBorders>
            <w:shd w:val="clear" w:color="auto" w:fill="auto"/>
            <w:vAlign w:val="center"/>
            <w:hideMark/>
          </w:tcPr>
          <w:p w14:paraId="7EDE533A"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1.476.972.339</w:t>
            </w:r>
          </w:p>
        </w:tc>
        <w:tc>
          <w:tcPr>
            <w:tcW w:w="698" w:type="pct"/>
            <w:tcBorders>
              <w:top w:val="nil"/>
              <w:left w:val="nil"/>
              <w:bottom w:val="single" w:sz="4" w:space="0" w:color="auto"/>
              <w:right w:val="single" w:sz="4" w:space="0" w:color="auto"/>
            </w:tcBorders>
            <w:shd w:val="clear" w:color="auto" w:fill="auto"/>
            <w:noWrap/>
            <w:vAlign w:val="center"/>
            <w:hideMark/>
          </w:tcPr>
          <w:p w14:paraId="322BDE31"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68,23 %</w:t>
            </w:r>
          </w:p>
        </w:tc>
        <w:tc>
          <w:tcPr>
            <w:tcW w:w="700" w:type="pct"/>
            <w:tcBorders>
              <w:top w:val="nil"/>
              <w:left w:val="nil"/>
              <w:bottom w:val="single" w:sz="4" w:space="0" w:color="auto"/>
              <w:right w:val="single" w:sz="4" w:space="0" w:color="auto"/>
            </w:tcBorders>
            <w:shd w:val="clear" w:color="auto" w:fill="auto"/>
            <w:noWrap/>
            <w:vAlign w:val="center"/>
            <w:hideMark/>
          </w:tcPr>
          <w:p w14:paraId="57F7DD09"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38,94 %</w:t>
            </w:r>
          </w:p>
        </w:tc>
      </w:tr>
      <w:tr w:rsidR="00F24E18" w:rsidRPr="006A608B" w14:paraId="0D006403" w14:textId="77777777" w:rsidTr="000E18B5">
        <w:trPr>
          <w:trHeight w:val="255"/>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7CCAB8C4" w14:textId="77777777" w:rsidR="00F24E18" w:rsidRPr="006A608B" w:rsidRDefault="00F24E18" w:rsidP="000E18B5">
            <w:pPr>
              <w:spacing w:after="0" w:line="240" w:lineRule="auto"/>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Storitve</w:t>
            </w:r>
          </w:p>
        </w:tc>
        <w:tc>
          <w:tcPr>
            <w:tcW w:w="1061" w:type="pct"/>
            <w:tcBorders>
              <w:top w:val="nil"/>
              <w:left w:val="nil"/>
              <w:bottom w:val="single" w:sz="4" w:space="0" w:color="auto"/>
              <w:right w:val="single" w:sz="4" w:space="0" w:color="auto"/>
            </w:tcBorders>
            <w:shd w:val="clear" w:color="auto" w:fill="auto"/>
            <w:vAlign w:val="center"/>
            <w:hideMark/>
          </w:tcPr>
          <w:p w14:paraId="081F2068"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433</w:t>
            </w:r>
          </w:p>
        </w:tc>
        <w:tc>
          <w:tcPr>
            <w:tcW w:w="626" w:type="pct"/>
            <w:tcBorders>
              <w:top w:val="nil"/>
              <w:left w:val="nil"/>
              <w:bottom w:val="single" w:sz="4" w:space="0" w:color="auto"/>
              <w:right w:val="single" w:sz="4" w:space="0" w:color="auto"/>
            </w:tcBorders>
            <w:shd w:val="clear" w:color="auto" w:fill="auto"/>
            <w:vAlign w:val="center"/>
            <w:hideMark/>
          </w:tcPr>
          <w:p w14:paraId="2D2AEA28"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2.842</w:t>
            </w:r>
          </w:p>
        </w:tc>
        <w:tc>
          <w:tcPr>
            <w:tcW w:w="1171" w:type="pct"/>
            <w:tcBorders>
              <w:top w:val="nil"/>
              <w:left w:val="nil"/>
              <w:bottom w:val="single" w:sz="4" w:space="0" w:color="auto"/>
              <w:right w:val="single" w:sz="4" w:space="0" w:color="auto"/>
            </w:tcBorders>
            <w:shd w:val="clear" w:color="auto" w:fill="auto"/>
            <w:vAlign w:val="center"/>
            <w:hideMark/>
          </w:tcPr>
          <w:p w14:paraId="6265D918"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1.523.776.743</w:t>
            </w:r>
          </w:p>
        </w:tc>
        <w:tc>
          <w:tcPr>
            <w:tcW w:w="698" w:type="pct"/>
            <w:tcBorders>
              <w:top w:val="nil"/>
              <w:left w:val="nil"/>
              <w:bottom w:val="single" w:sz="4" w:space="0" w:color="auto"/>
              <w:right w:val="single" w:sz="4" w:space="0" w:color="auto"/>
            </w:tcBorders>
            <w:shd w:val="clear" w:color="auto" w:fill="auto"/>
            <w:noWrap/>
            <w:vAlign w:val="center"/>
            <w:hideMark/>
          </w:tcPr>
          <w:p w14:paraId="78466261"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22,55 %</w:t>
            </w:r>
          </w:p>
        </w:tc>
        <w:tc>
          <w:tcPr>
            <w:tcW w:w="700" w:type="pct"/>
            <w:tcBorders>
              <w:top w:val="nil"/>
              <w:left w:val="nil"/>
              <w:bottom w:val="single" w:sz="4" w:space="0" w:color="auto"/>
              <w:right w:val="single" w:sz="4" w:space="0" w:color="auto"/>
            </w:tcBorders>
            <w:shd w:val="clear" w:color="auto" w:fill="auto"/>
            <w:noWrap/>
            <w:vAlign w:val="center"/>
            <w:hideMark/>
          </w:tcPr>
          <w:p w14:paraId="3F391C53"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40,17 %</w:t>
            </w:r>
          </w:p>
        </w:tc>
      </w:tr>
      <w:tr w:rsidR="00F24E18" w:rsidRPr="006A608B" w14:paraId="5DB11FB2" w14:textId="77777777" w:rsidTr="000E18B5">
        <w:trPr>
          <w:trHeight w:val="255"/>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630981FB" w14:textId="77777777" w:rsidR="00F24E18" w:rsidRPr="006A608B" w:rsidRDefault="00F24E18" w:rsidP="000E18B5">
            <w:pPr>
              <w:spacing w:after="0" w:line="240" w:lineRule="auto"/>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Gradnje</w:t>
            </w:r>
          </w:p>
        </w:tc>
        <w:tc>
          <w:tcPr>
            <w:tcW w:w="1061" w:type="pct"/>
            <w:tcBorders>
              <w:top w:val="nil"/>
              <w:left w:val="nil"/>
              <w:bottom w:val="single" w:sz="4" w:space="0" w:color="auto"/>
              <w:right w:val="single" w:sz="4" w:space="0" w:color="auto"/>
            </w:tcBorders>
            <w:shd w:val="clear" w:color="auto" w:fill="auto"/>
            <w:vAlign w:val="center"/>
            <w:hideMark/>
          </w:tcPr>
          <w:p w14:paraId="7ECC718A"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312</w:t>
            </w:r>
          </w:p>
        </w:tc>
        <w:tc>
          <w:tcPr>
            <w:tcW w:w="626" w:type="pct"/>
            <w:tcBorders>
              <w:top w:val="nil"/>
              <w:left w:val="nil"/>
              <w:bottom w:val="single" w:sz="4" w:space="0" w:color="auto"/>
              <w:right w:val="single" w:sz="4" w:space="0" w:color="auto"/>
            </w:tcBorders>
            <w:shd w:val="clear" w:color="auto" w:fill="auto"/>
            <w:vAlign w:val="center"/>
            <w:hideMark/>
          </w:tcPr>
          <w:p w14:paraId="042CC8E7"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1.162</w:t>
            </w:r>
          </w:p>
        </w:tc>
        <w:tc>
          <w:tcPr>
            <w:tcW w:w="1171" w:type="pct"/>
            <w:tcBorders>
              <w:top w:val="nil"/>
              <w:left w:val="nil"/>
              <w:bottom w:val="single" w:sz="4" w:space="0" w:color="auto"/>
              <w:right w:val="single" w:sz="4" w:space="0" w:color="auto"/>
            </w:tcBorders>
            <w:shd w:val="clear" w:color="auto" w:fill="auto"/>
            <w:vAlign w:val="center"/>
            <w:hideMark/>
          </w:tcPr>
          <w:p w14:paraId="4523EC82"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792.621.415</w:t>
            </w:r>
          </w:p>
        </w:tc>
        <w:tc>
          <w:tcPr>
            <w:tcW w:w="698" w:type="pct"/>
            <w:tcBorders>
              <w:top w:val="nil"/>
              <w:left w:val="nil"/>
              <w:bottom w:val="single" w:sz="4" w:space="0" w:color="auto"/>
              <w:right w:val="single" w:sz="4" w:space="0" w:color="auto"/>
            </w:tcBorders>
            <w:shd w:val="clear" w:color="auto" w:fill="auto"/>
            <w:noWrap/>
            <w:vAlign w:val="center"/>
            <w:hideMark/>
          </w:tcPr>
          <w:p w14:paraId="0E34FF9C"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9,22 %</w:t>
            </w:r>
          </w:p>
        </w:tc>
        <w:tc>
          <w:tcPr>
            <w:tcW w:w="700" w:type="pct"/>
            <w:tcBorders>
              <w:top w:val="nil"/>
              <w:left w:val="nil"/>
              <w:bottom w:val="single" w:sz="4" w:space="0" w:color="auto"/>
              <w:right w:val="single" w:sz="4" w:space="0" w:color="auto"/>
            </w:tcBorders>
            <w:shd w:val="clear" w:color="auto" w:fill="auto"/>
            <w:noWrap/>
            <w:vAlign w:val="center"/>
            <w:hideMark/>
          </w:tcPr>
          <w:p w14:paraId="223EC8FC" w14:textId="77777777" w:rsidR="00F24E18" w:rsidRPr="006A608B" w:rsidRDefault="00F24E18" w:rsidP="000E18B5">
            <w:pPr>
              <w:spacing w:after="0" w:line="240" w:lineRule="auto"/>
              <w:jc w:val="right"/>
              <w:rPr>
                <w:rFonts w:ascii="Arial" w:eastAsia="Times New Roman" w:hAnsi="Arial" w:cs="Arial"/>
                <w:color w:val="000000"/>
                <w:sz w:val="18"/>
                <w:szCs w:val="18"/>
                <w:lang w:eastAsia="sl-SI"/>
              </w:rPr>
            </w:pPr>
            <w:r w:rsidRPr="006A608B">
              <w:rPr>
                <w:rFonts w:ascii="Arial" w:eastAsia="Times New Roman" w:hAnsi="Arial" w:cs="Arial"/>
                <w:color w:val="000000"/>
                <w:sz w:val="18"/>
                <w:szCs w:val="18"/>
                <w:lang w:eastAsia="sl-SI"/>
              </w:rPr>
              <w:t>20,89 %</w:t>
            </w:r>
          </w:p>
        </w:tc>
      </w:tr>
      <w:tr w:rsidR="00F24E18" w:rsidRPr="006A608B" w14:paraId="5F4BCE3D" w14:textId="77777777" w:rsidTr="000E18B5">
        <w:trPr>
          <w:trHeight w:val="255"/>
        </w:trPr>
        <w:tc>
          <w:tcPr>
            <w:tcW w:w="7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19D9AF" w14:textId="77777777" w:rsidR="00F24E18" w:rsidRPr="006A608B" w:rsidRDefault="00F24E18" w:rsidP="000E18B5">
            <w:pPr>
              <w:spacing w:after="0" w:line="240" w:lineRule="auto"/>
              <w:rPr>
                <w:rFonts w:ascii="Arial" w:eastAsia="Times New Roman" w:hAnsi="Arial" w:cs="Arial"/>
                <w:b/>
                <w:bCs/>
                <w:color w:val="000000"/>
                <w:sz w:val="18"/>
                <w:szCs w:val="18"/>
                <w:lang w:eastAsia="sl-SI"/>
              </w:rPr>
            </w:pPr>
            <w:r w:rsidRPr="006A608B">
              <w:rPr>
                <w:rFonts w:ascii="Arial" w:eastAsia="Times New Roman" w:hAnsi="Arial" w:cs="Arial"/>
                <w:b/>
                <w:bCs/>
                <w:color w:val="000000"/>
                <w:sz w:val="18"/>
                <w:szCs w:val="18"/>
                <w:lang w:eastAsia="sl-SI"/>
              </w:rPr>
              <w:t>Skupaj</w:t>
            </w:r>
          </w:p>
        </w:tc>
        <w:tc>
          <w:tcPr>
            <w:tcW w:w="1061" w:type="pct"/>
            <w:tcBorders>
              <w:top w:val="nil"/>
              <w:left w:val="nil"/>
              <w:bottom w:val="single" w:sz="4" w:space="0" w:color="auto"/>
              <w:right w:val="single" w:sz="4" w:space="0" w:color="auto"/>
            </w:tcBorders>
            <w:shd w:val="clear" w:color="auto" w:fill="F2F2F2" w:themeFill="background1" w:themeFillShade="F2"/>
            <w:noWrap/>
            <w:vAlign w:val="center"/>
            <w:hideMark/>
          </w:tcPr>
          <w:p w14:paraId="4DC10F9A" w14:textId="77777777" w:rsidR="00F24E18" w:rsidRPr="006A608B" w:rsidRDefault="00F24E18" w:rsidP="000E18B5">
            <w:pPr>
              <w:spacing w:after="0" w:line="240" w:lineRule="auto"/>
              <w:jc w:val="right"/>
              <w:rPr>
                <w:rFonts w:ascii="Arial" w:eastAsia="Times New Roman" w:hAnsi="Arial" w:cs="Arial"/>
                <w:b/>
                <w:bCs/>
                <w:color w:val="000000"/>
                <w:sz w:val="18"/>
                <w:szCs w:val="18"/>
                <w:lang w:eastAsia="sl-SI"/>
              </w:rPr>
            </w:pPr>
            <w:r w:rsidRPr="006A608B">
              <w:rPr>
                <w:rFonts w:ascii="Arial" w:eastAsia="Times New Roman" w:hAnsi="Arial" w:cs="Arial"/>
                <w:b/>
                <w:bCs/>
                <w:color w:val="000000"/>
                <w:sz w:val="18"/>
                <w:szCs w:val="18"/>
                <w:lang w:eastAsia="sl-SI"/>
              </w:rPr>
              <w:t>1.253</w:t>
            </w:r>
          </w:p>
        </w:tc>
        <w:tc>
          <w:tcPr>
            <w:tcW w:w="626" w:type="pct"/>
            <w:tcBorders>
              <w:top w:val="nil"/>
              <w:left w:val="nil"/>
              <w:bottom w:val="single" w:sz="4" w:space="0" w:color="auto"/>
              <w:right w:val="single" w:sz="4" w:space="0" w:color="auto"/>
            </w:tcBorders>
            <w:shd w:val="clear" w:color="auto" w:fill="F2F2F2" w:themeFill="background1" w:themeFillShade="F2"/>
            <w:noWrap/>
            <w:vAlign w:val="center"/>
            <w:hideMark/>
          </w:tcPr>
          <w:p w14:paraId="028058B2" w14:textId="77777777" w:rsidR="00F24E18" w:rsidRPr="006A608B" w:rsidRDefault="00F24E18" w:rsidP="000E18B5">
            <w:pPr>
              <w:spacing w:after="0" w:line="240" w:lineRule="auto"/>
              <w:jc w:val="right"/>
              <w:rPr>
                <w:rFonts w:ascii="Arial" w:eastAsia="Times New Roman" w:hAnsi="Arial" w:cs="Arial"/>
                <w:b/>
                <w:bCs/>
                <w:color w:val="000000"/>
                <w:sz w:val="18"/>
                <w:szCs w:val="18"/>
                <w:lang w:eastAsia="sl-SI"/>
              </w:rPr>
            </w:pPr>
            <w:r w:rsidRPr="006A608B">
              <w:rPr>
                <w:rFonts w:ascii="Arial" w:eastAsia="Times New Roman" w:hAnsi="Arial" w:cs="Arial"/>
                <w:b/>
                <w:bCs/>
                <w:color w:val="000000"/>
                <w:sz w:val="18"/>
                <w:szCs w:val="18"/>
                <w:lang w:eastAsia="sl-SI"/>
              </w:rPr>
              <w:t>12.605</w:t>
            </w:r>
          </w:p>
        </w:tc>
        <w:tc>
          <w:tcPr>
            <w:tcW w:w="1171" w:type="pct"/>
            <w:tcBorders>
              <w:top w:val="nil"/>
              <w:left w:val="nil"/>
              <w:bottom w:val="single" w:sz="4" w:space="0" w:color="auto"/>
              <w:right w:val="single" w:sz="4" w:space="0" w:color="auto"/>
            </w:tcBorders>
            <w:shd w:val="clear" w:color="auto" w:fill="F2F2F2" w:themeFill="background1" w:themeFillShade="F2"/>
            <w:noWrap/>
            <w:vAlign w:val="center"/>
            <w:hideMark/>
          </w:tcPr>
          <w:p w14:paraId="10D75EA9" w14:textId="77777777" w:rsidR="00F24E18" w:rsidRPr="006A608B" w:rsidRDefault="00F24E18" w:rsidP="000E18B5">
            <w:pPr>
              <w:spacing w:after="0" w:line="240" w:lineRule="auto"/>
              <w:jc w:val="right"/>
              <w:rPr>
                <w:rFonts w:ascii="Arial" w:eastAsia="Times New Roman" w:hAnsi="Arial" w:cs="Arial"/>
                <w:b/>
                <w:bCs/>
                <w:color w:val="000000"/>
                <w:sz w:val="18"/>
                <w:szCs w:val="18"/>
                <w:lang w:eastAsia="sl-SI"/>
              </w:rPr>
            </w:pPr>
            <w:r w:rsidRPr="006A608B">
              <w:rPr>
                <w:rFonts w:ascii="Arial" w:eastAsia="Times New Roman" w:hAnsi="Arial" w:cs="Arial"/>
                <w:b/>
                <w:bCs/>
                <w:color w:val="000000"/>
                <w:sz w:val="18"/>
                <w:szCs w:val="18"/>
                <w:lang w:eastAsia="sl-SI"/>
              </w:rPr>
              <w:t>3.793.370.497</w:t>
            </w:r>
          </w:p>
        </w:tc>
        <w:tc>
          <w:tcPr>
            <w:tcW w:w="698" w:type="pct"/>
            <w:tcBorders>
              <w:top w:val="nil"/>
              <w:left w:val="nil"/>
              <w:bottom w:val="single" w:sz="4" w:space="0" w:color="auto"/>
              <w:right w:val="single" w:sz="4" w:space="0" w:color="auto"/>
            </w:tcBorders>
            <w:shd w:val="clear" w:color="auto" w:fill="F2F2F2" w:themeFill="background1" w:themeFillShade="F2"/>
            <w:noWrap/>
            <w:vAlign w:val="center"/>
            <w:hideMark/>
          </w:tcPr>
          <w:p w14:paraId="31574381" w14:textId="77777777" w:rsidR="00F24E18" w:rsidRPr="006A608B" w:rsidRDefault="00F24E18" w:rsidP="000E18B5">
            <w:pPr>
              <w:spacing w:after="0" w:line="240" w:lineRule="auto"/>
              <w:jc w:val="right"/>
              <w:rPr>
                <w:rFonts w:ascii="Arial" w:eastAsia="Times New Roman" w:hAnsi="Arial" w:cs="Arial"/>
                <w:b/>
                <w:bCs/>
                <w:color w:val="000000"/>
                <w:sz w:val="18"/>
                <w:szCs w:val="18"/>
                <w:lang w:eastAsia="sl-SI"/>
              </w:rPr>
            </w:pPr>
            <w:r w:rsidRPr="006A608B">
              <w:rPr>
                <w:rFonts w:ascii="Arial" w:eastAsia="Times New Roman" w:hAnsi="Arial" w:cs="Arial"/>
                <w:b/>
                <w:bCs/>
                <w:color w:val="000000"/>
                <w:sz w:val="18"/>
                <w:szCs w:val="18"/>
                <w:lang w:eastAsia="sl-SI"/>
              </w:rPr>
              <w:t>100,00 %</w:t>
            </w:r>
          </w:p>
        </w:tc>
        <w:tc>
          <w:tcPr>
            <w:tcW w:w="700" w:type="pct"/>
            <w:tcBorders>
              <w:top w:val="nil"/>
              <w:left w:val="nil"/>
              <w:bottom w:val="single" w:sz="4" w:space="0" w:color="auto"/>
              <w:right w:val="single" w:sz="4" w:space="0" w:color="auto"/>
            </w:tcBorders>
            <w:shd w:val="clear" w:color="auto" w:fill="F2F2F2" w:themeFill="background1" w:themeFillShade="F2"/>
            <w:noWrap/>
            <w:vAlign w:val="center"/>
            <w:hideMark/>
          </w:tcPr>
          <w:p w14:paraId="7BC568A0" w14:textId="77777777" w:rsidR="00F24E18" w:rsidRPr="006A608B" w:rsidRDefault="00F24E18" w:rsidP="000E18B5">
            <w:pPr>
              <w:spacing w:after="0" w:line="240" w:lineRule="auto"/>
              <w:jc w:val="right"/>
              <w:rPr>
                <w:rFonts w:ascii="Arial" w:eastAsia="Times New Roman" w:hAnsi="Arial" w:cs="Arial"/>
                <w:b/>
                <w:bCs/>
                <w:color w:val="000000"/>
                <w:sz w:val="18"/>
                <w:szCs w:val="18"/>
                <w:lang w:eastAsia="sl-SI"/>
              </w:rPr>
            </w:pPr>
            <w:r w:rsidRPr="006A608B">
              <w:rPr>
                <w:rFonts w:ascii="Arial" w:eastAsia="Times New Roman" w:hAnsi="Arial" w:cs="Arial"/>
                <w:b/>
                <w:bCs/>
                <w:color w:val="000000"/>
                <w:sz w:val="18"/>
                <w:szCs w:val="18"/>
                <w:lang w:eastAsia="sl-SI"/>
              </w:rPr>
              <w:t>100,00 %</w:t>
            </w:r>
          </w:p>
        </w:tc>
      </w:tr>
    </w:tbl>
    <w:p w14:paraId="7A33EDC5" w14:textId="77777777" w:rsidR="00F24E18" w:rsidRPr="006A608B" w:rsidRDefault="00F24E18" w:rsidP="00F24E18">
      <w:pPr>
        <w:spacing w:before="120" w:after="0" w:line="240" w:lineRule="auto"/>
        <w:jc w:val="both"/>
        <w:rPr>
          <w:rFonts w:ascii="Arial" w:hAnsi="Arial" w:cs="Arial"/>
          <w:sz w:val="20"/>
        </w:rPr>
      </w:pPr>
    </w:p>
    <w:p w14:paraId="3535A92F" w14:textId="77777777" w:rsidR="00F24E18" w:rsidRPr="000576AC" w:rsidRDefault="00F24E18" w:rsidP="00F24E18">
      <w:pPr>
        <w:spacing w:before="120" w:after="0" w:line="240" w:lineRule="auto"/>
        <w:jc w:val="both"/>
        <w:rPr>
          <w:rFonts w:ascii="Arial" w:hAnsi="Arial" w:cs="Arial"/>
          <w:sz w:val="20"/>
        </w:rPr>
      </w:pPr>
      <w:r w:rsidRPr="000576AC">
        <w:rPr>
          <w:rFonts w:ascii="Arial" w:hAnsi="Arial" w:cs="Arial"/>
          <w:sz w:val="20"/>
        </w:rPr>
        <w:t xml:space="preserve">Preglednica 84: Javna naročila proračunskih uporabnikov, ki so bila objavljena na portalu javnih naročil oziroma v Uradnem listu EU </w:t>
      </w:r>
    </w:p>
    <w:p w14:paraId="66A84B69" w14:textId="77777777" w:rsidR="00F24E18" w:rsidRPr="00242E41" w:rsidRDefault="00F24E18" w:rsidP="00F24E18">
      <w:pPr>
        <w:spacing w:after="0" w:line="240" w:lineRule="auto"/>
        <w:jc w:val="both"/>
        <w:rPr>
          <w:rFonts w:ascii="Arial" w:hAnsi="Arial" w:cs="Arial"/>
          <w:sz w:val="20"/>
          <w:highlight w:val="yellow"/>
        </w:rPr>
      </w:pPr>
    </w:p>
    <w:tbl>
      <w:tblPr>
        <w:tblW w:w="0" w:type="auto"/>
        <w:tblCellMar>
          <w:left w:w="70" w:type="dxa"/>
          <w:right w:w="70" w:type="dxa"/>
        </w:tblCellMar>
        <w:tblLook w:val="04A0" w:firstRow="1" w:lastRow="0" w:firstColumn="1" w:lastColumn="0" w:noHBand="0" w:noVBand="1"/>
      </w:tblPr>
      <w:tblGrid>
        <w:gridCol w:w="3114"/>
        <w:gridCol w:w="1526"/>
        <w:gridCol w:w="993"/>
        <w:gridCol w:w="1450"/>
        <w:gridCol w:w="992"/>
        <w:gridCol w:w="1099"/>
      </w:tblGrid>
      <w:tr w:rsidR="00F24E18" w:rsidRPr="000576AC" w14:paraId="6F0D5FF4" w14:textId="77777777" w:rsidTr="000E18B5">
        <w:trPr>
          <w:trHeight w:val="480"/>
        </w:trPr>
        <w:tc>
          <w:tcPr>
            <w:tcW w:w="31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61E517" w14:textId="77777777" w:rsidR="00F24E18" w:rsidRPr="000576AC" w:rsidRDefault="00F24E18" w:rsidP="000E18B5">
            <w:pPr>
              <w:spacing w:after="0" w:line="240" w:lineRule="auto"/>
              <w:jc w:val="center"/>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Opis kategorije</w:t>
            </w:r>
          </w:p>
        </w:tc>
        <w:tc>
          <w:tcPr>
            <w:tcW w:w="1526" w:type="dxa"/>
            <w:tcBorders>
              <w:top w:val="single" w:sz="4" w:space="0" w:color="auto"/>
              <w:left w:val="nil"/>
              <w:bottom w:val="single" w:sz="4" w:space="0" w:color="auto"/>
              <w:right w:val="single" w:sz="4" w:space="0" w:color="auto"/>
            </w:tcBorders>
            <w:shd w:val="clear" w:color="000000" w:fill="F2F2F2"/>
            <w:vAlign w:val="center"/>
            <w:hideMark/>
          </w:tcPr>
          <w:p w14:paraId="039E9D6B" w14:textId="77777777" w:rsidR="00F24E18" w:rsidRPr="000576AC" w:rsidRDefault="00F24E18" w:rsidP="000E18B5">
            <w:pPr>
              <w:spacing w:after="0" w:line="240" w:lineRule="auto"/>
              <w:jc w:val="center"/>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Št. proračunskih uporabnikov</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7709C139" w14:textId="77777777" w:rsidR="00F24E18" w:rsidRPr="000576AC" w:rsidRDefault="00F24E18" w:rsidP="000E18B5">
            <w:pPr>
              <w:spacing w:after="0" w:line="240" w:lineRule="auto"/>
              <w:jc w:val="center"/>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Št. naročil</w:t>
            </w:r>
          </w:p>
        </w:tc>
        <w:tc>
          <w:tcPr>
            <w:tcW w:w="1450" w:type="dxa"/>
            <w:tcBorders>
              <w:top w:val="single" w:sz="4" w:space="0" w:color="auto"/>
              <w:left w:val="nil"/>
              <w:bottom w:val="single" w:sz="4" w:space="0" w:color="auto"/>
              <w:right w:val="single" w:sz="4" w:space="0" w:color="auto"/>
            </w:tcBorders>
            <w:shd w:val="clear" w:color="000000" w:fill="F2F2F2"/>
            <w:vAlign w:val="center"/>
            <w:hideMark/>
          </w:tcPr>
          <w:p w14:paraId="4C46A01E" w14:textId="77777777" w:rsidR="00F24E18" w:rsidRPr="000576AC" w:rsidRDefault="00F24E18" w:rsidP="000E18B5">
            <w:pPr>
              <w:spacing w:after="0" w:line="240" w:lineRule="auto"/>
              <w:jc w:val="center"/>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Pogodbena vrednost</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4C7974D7" w14:textId="77777777" w:rsidR="00F24E18" w:rsidRPr="000576AC" w:rsidRDefault="00F24E18" w:rsidP="000E18B5">
            <w:pPr>
              <w:spacing w:after="0" w:line="240" w:lineRule="auto"/>
              <w:jc w:val="center"/>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Delež v št. naročil</w:t>
            </w:r>
          </w:p>
        </w:tc>
        <w:tc>
          <w:tcPr>
            <w:tcW w:w="1099" w:type="dxa"/>
            <w:tcBorders>
              <w:top w:val="single" w:sz="4" w:space="0" w:color="auto"/>
              <w:left w:val="nil"/>
              <w:bottom w:val="single" w:sz="4" w:space="0" w:color="auto"/>
              <w:right w:val="single" w:sz="4" w:space="0" w:color="auto"/>
            </w:tcBorders>
            <w:shd w:val="clear" w:color="000000" w:fill="F2F2F2"/>
            <w:vAlign w:val="center"/>
            <w:hideMark/>
          </w:tcPr>
          <w:p w14:paraId="6A84430E" w14:textId="77777777" w:rsidR="00F24E18" w:rsidRPr="000576AC" w:rsidRDefault="00F24E18" w:rsidP="000E18B5">
            <w:pPr>
              <w:spacing w:after="0" w:line="240" w:lineRule="auto"/>
              <w:jc w:val="center"/>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Delež v vrednosti</w:t>
            </w:r>
          </w:p>
        </w:tc>
      </w:tr>
      <w:tr w:rsidR="00F24E18" w:rsidRPr="000576AC" w14:paraId="35F8CF9C" w14:textId="77777777" w:rsidTr="000E18B5">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F26F4BF" w14:textId="77777777" w:rsidR="00F24E18" w:rsidRPr="000576AC" w:rsidRDefault="00F24E18" w:rsidP="000E18B5">
            <w:pPr>
              <w:spacing w:after="0" w:line="240" w:lineRule="auto"/>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Organi Republike Slovenije</w:t>
            </w:r>
          </w:p>
        </w:tc>
        <w:tc>
          <w:tcPr>
            <w:tcW w:w="1526" w:type="dxa"/>
            <w:tcBorders>
              <w:top w:val="nil"/>
              <w:left w:val="nil"/>
              <w:bottom w:val="single" w:sz="4" w:space="0" w:color="auto"/>
              <w:right w:val="single" w:sz="4" w:space="0" w:color="auto"/>
            </w:tcBorders>
            <w:shd w:val="clear" w:color="auto" w:fill="auto"/>
            <w:vAlign w:val="center"/>
            <w:hideMark/>
          </w:tcPr>
          <w:p w14:paraId="44882CD0"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77</w:t>
            </w:r>
          </w:p>
        </w:tc>
        <w:tc>
          <w:tcPr>
            <w:tcW w:w="993" w:type="dxa"/>
            <w:tcBorders>
              <w:top w:val="nil"/>
              <w:left w:val="nil"/>
              <w:bottom w:val="single" w:sz="4" w:space="0" w:color="auto"/>
              <w:right w:val="single" w:sz="4" w:space="0" w:color="auto"/>
            </w:tcBorders>
            <w:shd w:val="clear" w:color="auto" w:fill="auto"/>
            <w:vAlign w:val="center"/>
            <w:hideMark/>
          </w:tcPr>
          <w:p w14:paraId="372BF0EB"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1.818</w:t>
            </w:r>
          </w:p>
        </w:tc>
        <w:tc>
          <w:tcPr>
            <w:tcW w:w="1450" w:type="dxa"/>
            <w:tcBorders>
              <w:top w:val="nil"/>
              <w:left w:val="nil"/>
              <w:bottom w:val="single" w:sz="4" w:space="0" w:color="auto"/>
              <w:right w:val="single" w:sz="4" w:space="0" w:color="auto"/>
            </w:tcBorders>
            <w:shd w:val="clear" w:color="auto" w:fill="auto"/>
            <w:vAlign w:val="center"/>
            <w:hideMark/>
          </w:tcPr>
          <w:p w14:paraId="2BC63A8B"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1.656.930.717</w:t>
            </w:r>
          </w:p>
        </w:tc>
        <w:tc>
          <w:tcPr>
            <w:tcW w:w="992" w:type="dxa"/>
            <w:tcBorders>
              <w:top w:val="nil"/>
              <w:left w:val="nil"/>
              <w:bottom w:val="single" w:sz="4" w:space="0" w:color="auto"/>
              <w:right w:val="single" w:sz="4" w:space="0" w:color="auto"/>
            </w:tcBorders>
            <w:shd w:val="clear" w:color="auto" w:fill="auto"/>
            <w:noWrap/>
            <w:vAlign w:val="center"/>
            <w:hideMark/>
          </w:tcPr>
          <w:p w14:paraId="6EC0B1CC"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14,42 %</w:t>
            </w:r>
          </w:p>
        </w:tc>
        <w:tc>
          <w:tcPr>
            <w:tcW w:w="1099" w:type="dxa"/>
            <w:tcBorders>
              <w:top w:val="nil"/>
              <w:left w:val="nil"/>
              <w:bottom w:val="single" w:sz="4" w:space="0" w:color="auto"/>
              <w:right w:val="single" w:sz="4" w:space="0" w:color="auto"/>
            </w:tcBorders>
            <w:shd w:val="clear" w:color="auto" w:fill="auto"/>
            <w:noWrap/>
            <w:vAlign w:val="center"/>
            <w:hideMark/>
          </w:tcPr>
          <w:p w14:paraId="7171CE00"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43,68 %</w:t>
            </w:r>
          </w:p>
        </w:tc>
      </w:tr>
      <w:tr w:rsidR="00F24E18" w:rsidRPr="000576AC" w14:paraId="2D251A98" w14:textId="77777777" w:rsidTr="000E18B5">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5416605" w14:textId="77777777" w:rsidR="00F24E18" w:rsidRPr="000576AC" w:rsidRDefault="00F24E18" w:rsidP="000E18B5">
            <w:pPr>
              <w:spacing w:after="0" w:line="240" w:lineRule="auto"/>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Samoupravne lokalne skupnosti</w:t>
            </w:r>
          </w:p>
        </w:tc>
        <w:tc>
          <w:tcPr>
            <w:tcW w:w="1526" w:type="dxa"/>
            <w:tcBorders>
              <w:top w:val="nil"/>
              <w:left w:val="nil"/>
              <w:bottom w:val="single" w:sz="4" w:space="0" w:color="auto"/>
              <w:right w:val="single" w:sz="4" w:space="0" w:color="auto"/>
            </w:tcBorders>
            <w:shd w:val="clear" w:color="auto" w:fill="auto"/>
            <w:vAlign w:val="center"/>
            <w:hideMark/>
          </w:tcPr>
          <w:p w14:paraId="58F39931"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199</w:t>
            </w:r>
          </w:p>
        </w:tc>
        <w:tc>
          <w:tcPr>
            <w:tcW w:w="993" w:type="dxa"/>
            <w:tcBorders>
              <w:top w:val="nil"/>
              <w:left w:val="nil"/>
              <w:bottom w:val="single" w:sz="4" w:space="0" w:color="auto"/>
              <w:right w:val="single" w:sz="4" w:space="0" w:color="auto"/>
            </w:tcBorders>
            <w:shd w:val="clear" w:color="auto" w:fill="auto"/>
            <w:vAlign w:val="center"/>
            <w:hideMark/>
          </w:tcPr>
          <w:p w14:paraId="1448E2AA"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1.793</w:t>
            </w:r>
          </w:p>
        </w:tc>
        <w:tc>
          <w:tcPr>
            <w:tcW w:w="1450" w:type="dxa"/>
            <w:tcBorders>
              <w:top w:val="nil"/>
              <w:left w:val="nil"/>
              <w:bottom w:val="single" w:sz="4" w:space="0" w:color="auto"/>
              <w:right w:val="single" w:sz="4" w:space="0" w:color="auto"/>
            </w:tcBorders>
            <w:shd w:val="clear" w:color="auto" w:fill="auto"/>
            <w:vAlign w:val="center"/>
            <w:hideMark/>
          </w:tcPr>
          <w:p w14:paraId="4B2C62E2"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619.149.449</w:t>
            </w:r>
          </w:p>
        </w:tc>
        <w:tc>
          <w:tcPr>
            <w:tcW w:w="992" w:type="dxa"/>
            <w:tcBorders>
              <w:top w:val="nil"/>
              <w:left w:val="nil"/>
              <w:bottom w:val="single" w:sz="4" w:space="0" w:color="auto"/>
              <w:right w:val="single" w:sz="4" w:space="0" w:color="auto"/>
            </w:tcBorders>
            <w:shd w:val="clear" w:color="auto" w:fill="auto"/>
            <w:noWrap/>
            <w:vAlign w:val="center"/>
            <w:hideMark/>
          </w:tcPr>
          <w:p w14:paraId="00DA4AC0"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14,22 %</w:t>
            </w:r>
          </w:p>
        </w:tc>
        <w:tc>
          <w:tcPr>
            <w:tcW w:w="1099" w:type="dxa"/>
            <w:tcBorders>
              <w:top w:val="nil"/>
              <w:left w:val="nil"/>
              <w:bottom w:val="single" w:sz="4" w:space="0" w:color="auto"/>
              <w:right w:val="single" w:sz="4" w:space="0" w:color="auto"/>
            </w:tcBorders>
            <w:shd w:val="clear" w:color="auto" w:fill="auto"/>
            <w:noWrap/>
            <w:vAlign w:val="center"/>
            <w:hideMark/>
          </w:tcPr>
          <w:p w14:paraId="517268A3"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16,32 %</w:t>
            </w:r>
          </w:p>
        </w:tc>
      </w:tr>
      <w:tr w:rsidR="00F24E18" w:rsidRPr="000576AC" w14:paraId="7CC0E98B" w14:textId="77777777" w:rsidTr="000E18B5">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37A154F" w14:textId="77777777" w:rsidR="00F24E18" w:rsidRPr="000576AC" w:rsidRDefault="00F24E18" w:rsidP="000E18B5">
            <w:pPr>
              <w:spacing w:after="0" w:line="240" w:lineRule="auto"/>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Javni skladi</w:t>
            </w:r>
          </w:p>
        </w:tc>
        <w:tc>
          <w:tcPr>
            <w:tcW w:w="1526" w:type="dxa"/>
            <w:tcBorders>
              <w:top w:val="nil"/>
              <w:left w:val="nil"/>
              <w:bottom w:val="single" w:sz="4" w:space="0" w:color="auto"/>
              <w:right w:val="single" w:sz="4" w:space="0" w:color="auto"/>
            </w:tcBorders>
            <w:shd w:val="clear" w:color="auto" w:fill="auto"/>
            <w:vAlign w:val="center"/>
            <w:hideMark/>
          </w:tcPr>
          <w:p w14:paraId="7D90343D"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7</w:t>
            </w:r>
          </w:p>
        </w:tc>
        <w:tc>
          <w:tcPr>
            <w:tcW w:w="993" w:type="dxa"/>
            <w:tcBorders>
              <w:top w:val="nil"/>
              <w:left w:val="nil"/>
              <w:bottom w:val="single" w:sz="4" w:space="0" w:color="auto"/>
              <w:right w:val="single" w:sz="4" w:space="0" w:color="auto"/>
            </w:tcBorders>
            <w:shd w:val="clear" w:color="auto" w:fill="auto"/>
            <w:vAlign w:val="center"/>
            <w:hideMark/>
          </w:tcPr>
          <w:p w14:paraId="2030FF60"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63</w:t>
            </w:r>
          </w:p>
        </w:tc>
        <w:tc>
          <w:tcPr>
            <w:tcW w:w="1450" w:type="dxa"/>
            <w:tcBorders>
              <w:top w:val="nil"/>
              <w:left w:val="nil"/>
              <w:bottom w:val="single" w:sz="4" w:space="0" w:color="auto"/>
              <w:right w:val="single" w:sz="4" w:space="0" w:color="auto"/>
            </w:tcBorders>
            <w:shd w:val="clear" w:color="auto" w:fill="auto"/>
            <w:vAlign w:val="center"/>
            <w:hideMark/>
          </w:tcPr>
          <w:p w14:paraId="12C1B90E"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33.282.717</w:t>
            </w:r>
          </w:p>
        </w:tc>
        <w:tc>
          <w:tcPr>
            <w:tcW w:w="992" w:type="dxa"/>
            <w:tcBorders>
              <w:top w:val="nil"/>
              <w:left w:val="nil"/>
              <w:bottom w:val="single" w:sz="4" w:space="0" w:color="auto"/>
              <w:right w:val="single" w:sz="4" w:space="0" w:color="auto"/>
            </w:tcBorders>
            <w:shd w:val="clear" w:color="auto" w:fill="auto"/>
            <w:noWrap/>
            <w:vAlign w:val="center"/>
            <w:hideMark/>
          </w:tcPr>
          <w:p w14:paraId="2CE503E3"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0,50 %</w:t>
            </w:r>
          </w:p>
        </w:tc>
        <w:tc>
          <w:tcPr>
            <w:tcW w:w="1099" w:type="dxa"/>
            <w:tcBorders>
              <w:top w:val="nil"/>
              <w:left w:val="nil"/>
              <w:bottom w:val="single" w:sz="4" w:space="0" w:color="auto"/>
              <w:right w:val="single" w:sz="4" w:space="0" w:color="auto"/>
            </w:tcBorders>
            <w:shd w:val="clear" w:color="auto" w:fill="auto"/>
            <w:noWrap/>
            <w:vAlign w:val="center"/>
            <w:hideMark/>
          </w:tcPr>
          <w:p w14:paraId="68D2DEF9"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0,88 %</w:t>
            </w:r>
          </w:p>
        </w:tc>
      </w:tr>
      <w:tr w:rsidR="00F24E18" w:rsidRPr="000576AC" w14:paraId="6E580785" w14:textId="77777777" w:rsidTr="000E18B5">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CC79B4" w14:textId="77777777" w:rsidR="00F24E18" w:rsidRPr="000576AC" w:rsidRDefault="00F24E18" w:rsidP="000E18B5">
            <w:pPr>
              <w:spacing w:after="0" w:line="240" w:lineRule="auto"/>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Javne agencije</w:t>
            </w:r>
          </w:p>
        </w:tc>
        <w:tc>
          <w:tcPr>
            <w:tcW w:w="1526" w:type="dxa"/>
            <w:tcBorders>
              <w:top w:val="nil"/>
              <w:left w:val="nil"/>
              <w:bottom w:val="single" w:sz="4" w:space="0" w:color="auto"/>
              <w:right w:val="single" w:sz="4" w:space="0" w:color="auto"/>
            </w:tcBorders>
            <w:shd w:val="clear" w:color="auto" w:fill="auto"/>
            <w:vAlign w:val="center"/>
            <w:hideMark/>
          </w:tcPr>
          <w:p w14:paraId="326599C6"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13</w:t>
            </w:r>
          </w:p>
        </w:tc>
        <w:tc>
          <w:tcPr>
            <w:tcW w:w="993" w:type="dxa"/>
            <w:tcBorders>
              <w:top w:val="nil"/>
              <w:left w:val="nil"/>
              <w:bottom w:val="single" w:sz="4" w:space="0" w:color="auto"/>
              <w:right w:val="single" w:sz="4" w:space="0" w:color="auto"/>
            </w:tcBorders>
            <w:shd w:val="clear" w:color="auto" w:fill="auto"/>
            <w:vAlign w:val="center"/>
            <w:hideMark/>
          </w:tcPr>
          <w:p w14:paraId="7EC92149"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143</w:t>
            </w:r>
          </w:p>
        </w:tc>
        <w:tc>
          <w:tcPr>
            <w:tcW w:w="1450" w:type="dxa"/>
            <w:tcBorders>
              <w:top w:val="nil"/>
              <w:left w:val="nil"/>
              <w:bottom w:val="single" w:sz="4" w:space="0" w:color="auto"/>
              <w:right w:val="single" w:sz="4" w:space="0" w:color="auto"/>
            </w:tcBorders>
            <w:shd w:val="clear" w:color="auto" w:fill="auto"/>
            <w:vAlign w:val="center"/>
            <w:hideMark/>
          </w:tcPr>
          <w:p w14:paraId="050EDDFE"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25.774.074</w:t>
            </w:r>
          </w:p>
        </w:tc>
        <w:tc>
          <w:tcPr>
            <w:tcW w:w="992" w:type="dxa"/>
            <w:tcBorders>
              <w:top w:val="nil"/>
              <w:left w:val="nil"/>
              <w:bottom w:val="single" w:sz="4" w:space="0" w:color="auto"/>
              <w:right w:val="single" w:sz="4" w:space="0" w:color="auto"/>
            </w:tcBorders>
            <w:shd w:val="clear" w:color="auto" w:fill="auto"/>
            <w:noWrap/>
            <w:vAlign w:val="center"/>
            <w:hideMark/>
          </w:tcPr>
          <w:p w14:paraId="2666FF1D"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1,13 %</w:t>
            </w:r>
          </w:p>
        </w:tc>
        <w:tc>
          <w:tcPr>
            <w:tcW w:w="1099" w:type="dxa"/>
            <w:tcBorders>
              <w:top w:val="nil"/>
              <w:left w:val="nil"/>
              <w:bottom w:val="single" w:sz="4" w:space="0" w:color="auto"/>
              <w:right w:val="single" w:sz="4" w:space="0" w:color="auto"/>
            </w:tcBorders>
            <w:shd w:val="clear" w:color="auto" w:fill="auto"/>
            <w:noWrap/>
            <w:vAlign w:val="center"/>
            <w:hideMark/>
          </w:tcPr>
          <w:p w14:paraId="5855CAF5"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0,68 %</w:t>
            </w:r>
          </w:p>
        </w:tc>
      </w:tr>
      <w:tr w:rsidR="00F24E18" w:rsidRPr="000576AC" w14:paraId="0CCAB5B8" w14:textId="77777777" w:rsidTr="000E18B5">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257672" w14:textId="77777777" w:rsidR="00F24E18" w:rsidRPr="000576AC" w:rsidRDefault="00F24E18" w:rsidP="000E18B5">
            <w:pPr>
              <w:spacing w:after="0" w:line="240" w:lineRule="auto"/>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Javni zavodi</w:t>
            </w:r>
          </w:p>
        </w:tc>
        <w:tc>
          <w:tcPr>
            <w:tcW w:w="1526" w:type="dxa"/>
            <w:tcBorders>
              <w:top w:val="nil"/>
              <w:left w:val="nil"/>
              <w:bottom w:val="single" w:sz="4" w:space="0" w:color="auto"/>
              <w:right w:val="single" w:sz="4" w:space="0" w:color="auto"/>
            </w:tcBorders>
            <w:shd w:val="clear" w:color="auto" w:fill="auto"/>
            <w:vAlign w:val="center"/>
            <w:hideMark/>
          </w:tcPr>
          <w:p w14:paraId="323DDA71"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477</w:t>
            </w:r>
          </w:p>
        </w:tc>
        <w:tc>
          <w:tcPr>
            <w:tcW w:w="993" w:type="dxa"/>
            <w:tcBorders>
              <w:top w:val="nil"/>
              <w:left w:val="nil"/>
              <w:bottom w:val="single" w:sz="4" w:space="0" w:color="auto"/>
              <w:right w:val="single" w:sz="4" w:space="0" w:color="auto"/>
            </w:tcBorders>
            <w:shd w:val="clear" w:color="auto" w:fill="auto"/>
            <w:vAlign w:val="center"/>
            <w:hideMark/>
          </w:tcPr>
          <w:p w14:paraId="09F1F187"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8.731</w:t>
            </w:r>
          </w:p>
        </w:tc>
        <w:tc>
          <w:tcPr>
            <w:tcW w:w="1450" w:type="dxa"/>
            <w:tcBorders>
              <w:top w:val="nil"/>
              <w:left w:val="nil"/>
              <w:bottom w:val="single" w:sz="4" w:space="0" w:color="auto"/>
              <w:right w:val="single" w:sz="4" w:space="0" w:color="auto"/>
            </w:tcBorders>
            <w:shd w:val="clear" w:color="auto" w:fill="auto"/>
            <w:vAlign w:val="center"/>
            <w:hideMark/>
          </w:tcPr>
          <w:p w14:paraId="21CB7EAB"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1.449.724.307</w:t>
            </w:r>
          </w:p>
        </w:tc>
        <w:tc>
          <w:tcPr>
            <w:tcW w:w="992" w:type="dxa"/>
            <w:tcBorders>
              <w:top w:val="nil"/>
              <w:left w:val="nil"/>
              <w:bottom w:val="single" w:sz="4" w:space="0" w:color="auto"/>
              <w:right w:val="single" w:sz="4" w:space="0" w:color="auto"/>
            </w:tcBorders>
            <w:shd w:val="clear" w:color="auto" w:fill="auto"/>
            <w:noWrap/>
            <w:vAlign w:val="center"/>
            <w:hideMark/>
          </w:tcPr>
          <w:p w14:paraId="16C7298F"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69,27 %</w:t>
            </w:r>
          </w:p>
        </w:tc>
        <w:tc>
          <w:tcPr>
            <w:tcW w:w="1099" w:type="dxa"/>
            <w:tcBorders>
              <w:top w:val="nil"/>
              <w:left w:val="nil"/>
              <w:bottom w:val="single" w:sz="4" w:space="0" w:color="auto"/>
              <w:right w:val="single" w:sz="4" w:space="0" w:color="auto"/>
            </w:tcBorders>
            <w:shd w:val="clear" w:color="auto" w:fill="auto"/>
            <w:noWrap/>
            <w:vAlign w:val="center"/>
            <w:hideMark/>
          </w:tcPr>
          <w:p w14:paraId="719218B4"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38,22 %</w:t>
            </w:r>
          </w:p>
        </w:tc>
      </w:tr>
      <w:tr w:rsidR="00F24E18" w:rsidRPr="000576AC" w14:paraId="3158C654" w14:textId="77777777" w:rsidTr="000E18B5">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7A9FEED" w14:textId="77777777" w:rsidR="00F24E18" w:rsidRPr="000576AC" w:rsidRDefault="00F24E18" w:rsidP="000E18B5">
            <w:pPr>
              <w:spacing w:after="0" w:line="240" w:lineRule="auto"/>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Javni gospodarski zavodi</w:t>
            </w:r>
          </w:p>
        </w:tc>
        <w:tc>
          <w:tcPr>
            <w:tcW w:w="1526" w:type="dxa"/>
            <w:tcBorders>
              <w:top w:val="nil"/>
              <w:left w:val="nil"/>
              <w:bottom w:val="single" w:sz="4" w:space="0" w:color="auto"/>
              <w:right w:val="single" w:sz="4" w:space="0" w:color="auto"/>
            </w:tcBorders>
            <w:shd w:val="clear" w:color="auto" w:fill="auto"/>
            <w:vAlign w:val="center"/>
            <w:hideMark/>
          </w:tcPr>
          <w:p w14:paraId="2FA5B4F2"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8</w:t>
            </w:r>
          </w:p>
        </w:tc>
        <w:tc>
          <w:tcPr>
            <w:tcW w:w="993" w:type="dxa"/>
            <w:tcBorders>
              <w:top w:val="nil"/>
              <w:left w:val="nil"/>
              <w:bottom w:val="single" w:sz="4" w:space="0" w:color="auto"/>
              <w:right w:val="single" w:sz="4" w:space="0" w:color="auto"/>
            </w:tcBorders>
            <w:shd w:val="clear" w:color="auto" w:fill="auto"/>
            <w:vAlign w:val="center"/>
            <w:hideMark/>
          </w:tcPr>
          <w:p w14:paraId="031B8282"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27</w:t>
            </w:r>
          </w:p>
        </w:tc>
        <w:tc>
          <w:tcPr>
            <w:tcW w:w="1450" w:type="dxa"/>
            <w:tcBorders>
              <w:top w:val="nil"/>
              <w:left w:val="nil"/>
              <w:bottom w:val="single" w:sz="4" w:space="0" w:color="auto"/>
              <w:right w:val="single" w:sz="4" w:space="0" w:color="auto"/>
            </w:tcBorders>
            <w:shd w:val="clear" w:color="auto" w:fill="auto"/>
            <w:vAlign w:val="center"/>
            <w:hideMark/>
          </w:tcPr>
          <w:p w14:paraId="516A597E"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3.745.122</w:t>
            </w:r>
          </w:p>
        </w:tc>
        <w:tc>
          <w:tcPr>
            <w:tcW w:w="992" w:type="dxa"/>
            <w:tcBorders>
              <w:top w:val="nil"/>
              <w:left w:val="nil"/>
              <w:bottom w:val="single" w:sz="4" w:space="0" w:color="auto"/>
              <w:right w:val="single" w:sz="4" w:space="0" w:color="auto"/>
            </w:tcBorders>
            <w:shd w:val="clear" w:color="auto" w:fill="auto"/>
            <w:noWrap/>
            <w:vAlign w:val="center"/>
            <w:hideMark/>
          </w:tcPr>
          <w:p w14:paraId="77F80D51"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0,21 %</w:t>
            </w:r>
          </w:p>
        </w:tc>
        <w:tc>
          <w:tcPr>
            <w:tcW w:w="1099" w:type="dxa"/>
            <w:tcBorders>
              <w:top w:val="nil"/>
              <w:left w:val="nil"/>
              <w:bottom w:val="single" w:sz="4" w:space="0" w:color="auto"/>
              <w:right w:val="single" w:sz="4" w:space="0" w:color="auto"/>
            </w:tcBorders>
            <w:shd w:val="clear" w:color="auto" w:fill="auto"/>
            <w:noWrap/>
            <w:vAlign w:val="center"/>
            <w:hideMark/>
          </w:tcPr>
          <w:p w14:paraId="0223C568"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0,10 %</w:t>
            </w:r>
          </w:p>
        </w:tc>
      </w:tr>
      <w:tr w:rsidR="00F24E18" w:rsidRPr="000576AC" w14:paraId="58ED018D" w14:textId="77777777" w:rsidTr="000E18B5">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5BD4A0D" w14:textId="77777777" w:rsidR="00F24E18" w:rsidRPr="000576AC" w:rsidRDefault="00F24E18" w:rsidP="000E18B5">
            <w:pPr>
              <w:spacing w:after="0" w:line="240" w:lineRule="auto"/>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1526" w:type="dxa"/>
            <w:tcBorders>
              <w:top w:val="nil"/>
              <w:left w:val="nil"/>
              <w:bottom w:val="single" w:sz="4" w:space="0" w:color="auto"/>
              <w:right w:val="single" w:sz="4" w:space="0" w:color="auto"/>
            </w:tcBorders>
            <w:shd w:val="clear" w:color="auto" w:fill="auto"/>
            <w:vAlign w:val="center"/>
            <w:hideMark/>
          </w:tcPr>
          <w:p w14:paraId="39CEB4C8"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6</w:t>
            </w:r>
          </w:p>
        </w:tc>
        <w:tc>
          <w:tcPr>
            <w:tcW w:w="993" w:type="dxa"/>
            <w:tcBorders>
              <w:top w:val="nil"/>
              <w:left w:val="nil"/>
              <w:bottom w:val="single" w:sz="4" w:space="0" w:color="auto"/>
              <w:right w:val="single" w:sz="4" w:space="0" w:color="auto"/>
            </w:tcBorders>
            <w:shd w:val="clear" w:color="auto" w:fill="auto"/>
            <w:vAlign w:val="center"/>
            <w:hideMark/>
          </w:tcPr>
          <w:p w14:paraId="49FA3140"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30</w:t>
            </w:r>
          </w:p>
        </w:tc>
        <w:tc>
          <w:tcPr>
            <w:tcW w:w="1450" w:type="dxa"/>
            <w:tcBorders>
              <w:top w:val="nil"/>
              <w:left w:val="nil"/>
              <w:bottom w:val="single" w:sz="4" w:space="0" w:color="auto"/>
              <w:right w:val="single" w:sz="4" w:space="0" w:color="auto"/>
            </w:tcBorders>
            <w:shd w:val="clear" w:color="auto" w:fill="auto"/>
            <w:vAlign w:val="center"/>
            <w:hideMark/>
          </w:tcPr>
          <w:p w14:paraId="1E4040DD"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4.764.111</w:t>
            </w:r>
          </w:p>
        </w:tc>
        <w:tc>
          <w:tcPr>
            <w:tcW w:w="992" w:type="dxa"/>
            <w:tcBorders>
              <w:top w:val="nil"/>
              <w:left w:val="nil"/>
              <w:bottom w:val="single" w:sz="4" w:space="0" w:color="auto"/>
              <w:right w:val="single" w:sz="4" w:space="0" w:color="auto"/>
            </w:tcBorders>
            <w:shd w:val="clear" w:color="auto" w:fill="auto"/>
            <w:noWrap/>
            <w:vAlign w:val="center"/>
            <w:hideMark/>
          </w:tcPr>
          <w:p w14:paraId="2205253F"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0,24 %</w:t>
            </w:r>
          </w:p>
        </w:tc>
        <w:tc>
          <w:tcPr>
            <w:tcW w:w="1099" w:type="dxa"/>
            <w:tcBorders>
              <w:top w:val="nil"/>
              <w:left w:val="nil"/>
              <w:bottom w:val="single" w:sz="4" w:space="0" w:color="auto"/>
              <w:right w:val="single" w:sz="4" w:space="0" w:color="auto"/>
            </w:tcBorders>
            <w:shd w:val="clear" w:color="auto" w:fill="auto"/>
            <w:noWrap/>
            <w:vAlign w:val="center"/>
            <w:hideMark/>
          </w:tcPr>
          <w:p w14:paraId="3A7295E3" w14:textId="77777777" w:rsidR="00F24E18" w:rsidRPr="000576AC" w:rsidRDefault="00F24E18" w:rsidP="000E18B5">
            <w:pPr>
              <w:spacing w:after="0" w:line="240" w:lineRule="auto"/>
              <w:jc w:val="right"/>
              <w:rPr>
                <w:rFonts w:ascii="Arial" w:eastAsia="Times New Roman" w:hAnsi="Arial" w:cs="Arial"/>
                <w:color w:val="000000"/>
                <w:sz w:val="18"/>
                <w:szCs w:val="18"/>
                <w:lang w:eastAsia="sl-SI"/>
              </w:rPr>
            </w:pPr>
            <w:r w:rsidRPr="000576AC">
              <w:rPr>
                <w:rFonts w:ascii="Arial" w:eastAsia="Times New Roman" w:hAnsi="Arial" w:cs="Arial"/>
                <w:color w:val="000000"/>
                <w:sz w:val="18"/>
                <w:szCs w:val="18"/>
                <w:lang w:eastAsia="sl-SI"/>
              </w:rPr>
              <w:t>0,13 %</w:t>
            </w:r>
          </w:p>
        </w:tc>
      </w:tr>
      <w:tr w:rsidR="00F24E18" w:rsidRPr="00242E41" w14:paraId="39007480" w14:textId="77777777" w:rsidTr="000E18B5">
        <w:trPr>
          <w:trHeight w:val="300"/>
        </w:trPr>
        <w:tc>
          <w:tcPr>
            <w:tcW w:w="31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616121" w14:textId="77777777" w:rsidR="00F24E18" w:rsidRPr="000576AC" w:rsidRDefault="00F24E18" w:rsidP="000E18B5">
            <w:pPr>
              <w:spacing w:after="0" w:line="240" w:lineRule="auto"/>
              <w:rPr>
                <w:rFonts w:ascii="Arial" w:eastAsia="Times New Roman" w:hAnsi="Arial" w:cs="Arial"/>
                <w:b/>
                <w:bCs/>
                <w:color w:val="000000"/>
                <w:sz w:val="18"/>
                <w:szCs w:val="18"/>
                <w:lang w:eastAsia="sl-SI"/>
              </w:rPr>
            </w:pPr>
            <w:r w:rsidRPr="000576AC">
              <w:rPr>
                <w:rFonts w:ascii="Arial" w:eastAsia="Times New Roman" w:hAnsi="Arial" w:cs="Arial"/>
                <w:b/>
                <w:bCs/>
                <w:color w:val="000000"/>
                <w:sz w:val="18"/>
                <w:szCs w:val="18"/>
                <w:lang w:eastAsia="sl-SI"/>
              </w:rPr>
              <w:t>Skupaj</w:t>
            </w:r>
          </w:p>
        </w:tc>
        <w:tc>
          <w:tcPr>
            <w:tcW w:w="1526" w:type="dxa"/>
            <w:tcBorders>
              <w:top w:val="nil"/>
              <w:left w:val="nil"/>
              <w:bottom w:val="single" w:sz="4" w:space="0" w:color="auto"/>
              <w:right w:val="single" w:sz="4" w:space="0" w:color="auto"/>
            </w:tcBorders>
            <w:shd w:val="clear" w:color="auto" w:fill="F2F2F2" w:themeFill="background1" w:themeFillShade="F2"/>
            <w:noWrap/>
            <w:vAlign w:val="center"/>
            <w:hideMark/>
          </w:tcPr>
          <w:p w14:paraId="0DD7FFD7" w14:textId="77777777" w:rsidR="00F24E18" w:rsidRPr="000576AC" w:rsidRDefault="00F24E18" w:rsidP="000E18B5">
            <w:pPr>
              <w:spacing w:after="0" w:line="240" w:lineRule="auto"/>
              <w:jc w:val="right"/>
              <w:rPr>
                <w:rFonts w:ascii="Arial" w:eastAsia="Times New Roman" w:hAnsi="Arial" w:cs="Arial"/>
                <w:b/>
                <w:bCs/>
                <w:color w:val="000000"/>
                <w:sz w:val="18"/>
                <w:szCs w:val="18"/>
                <w:lang w:eastAsia="sl-SI"/>
              </w:rPr>
            </w:pPr>
            <w:r w:rsidRPr="000576AC">
              <w:rPr>
                <w:rFonts w:ascii="Arial" w:eastAsia="Times New Roman" w:hAnsi="Arial" w:cs="Arial"/>
                <w:b/>
                <w:bCs/>
                <w:color w:val="000000"/>
                <w:sz w:val="18"/>
                <w:szCs w:val="18"/>
                <w:lang w:eastAsia="sl-SI"/>
              </w:rPr>
              <w:t>787</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14:paraId="327E8E35" w14:textId="77777777" w:rsidR="00F24E18" w:rsidRPr="000576AC" w:rsidRDefault="00F24E18" w:rsidP="000E18B5">
            <w:pPr>
              <w:spacing w:after="0" w:line="240" w:lineRule="auto"/>
              <w:jc w:val="right"/>
              <w:rPr>
                <w:rFonts w:ascii="Arial" w:eastAsia="Times New Roman" w:hAnsi="Arial" w:cs="Arial"/>
                <w:b/>
                <w:bCs/>
                <w:color w:val="000000"/>
                <w:sz w:val="18"/>
                <w:szCs w:val="18"/>
                <w:lang w:eastAsia="sl-SI"/>
              </w:rPr>
            </w:pPr>
            <w:r w:rsidRPr="000576AC">
              <w:rPr>
                <w:rFonts w:ascii="Arial" w:eastAsia="Times New Roman" w:hAnsi="Arial" w:cs="Arial"/>
                <w:b/>
                <w:bCs/>
                <w:color w:val="000000"/>
                <w:sz w:val="18"/>
                <w:szCs w:val="18"/>
                <w:lang w:eastAsia="sl-SI"/>
              </w:rPr>
              <w:t>12.605</w:t>
            </w:r>
          </w:p>
        </w:tc>
        <w:tc>
          <w:tcPr>
            <w:tcW w:w="1450" w:type="dxa"/>
            <w:tcBorders>
              <w:top w:val="nil"/>
              <w:left w:val="nil"/>
              <w:bottom w:val="single" w:sz="4" w:space="0" w:color="auto"/>
              <w:right w:val="single" w:sz="4" w:space="0" w:color="auto"/>
            </w:tcBorders>
            <w:shd w:val="clear" w:color="auto" w:fill="F2F2F2" w:themeFill="background1" w:themeFillShade="F2"/>
            <w:noWrap/>
            <w:vAlign w:val="center"/>
            <w:hideMark/>
          </w:tcPr>
          <w:p w14:paraId="3C225C73" w14:textId="77777777" w:rsidR="00F24E18" w:rsidRPr="000576AC" w:rsidRDefault="00F24E18" w:rsidP="000E18B5">
            <w:pPr>
              <w:spacing w:after="0" w:line="240" w:lineRule="auto"/>
              <w:jc w:val="right"/>
              <w:rPr>
                <w:rFonts w:ascii="Arial" w:eastAsia="Times New Roman" w:hAnsi="Arial" w:cs="Arial"/>
                <w:b/>
                <w:bCs/>
                <w:color w:val="000000"/>
                <w:sz w:val="18"/>
                <w:szCs w:val="18"/>
                <w:lang w:eastAsia="sl-SI"/>
              </w:rPr>
            </w:pPr>
            <w:r w:rsidRPr="000576AC">
              <w:rPr>
                <w:rFonts w:ascii="Arial" w:eastAsia="Times New Roman" w:hAnsi="Arial" w:cs="Arial"/>
                <w:b/>
                <w:bCs/>
                <w:color w:val="000000"/>
                <w:sz w:val="18"/>
                <w:szCs w:val="18"/>
                <w:lang w:eastAsia="sl-SI"/>
              </w:rPr>
              <w:t>3.793.370.497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14:paraId="0D416F6A" w14:textId="77777777" w:rsidR="00F24E18" w:rsidRPr="000576AC" w:rsidRDefault="00F24E18" w:rsidP="000E18B5">
            <w:pPr>
              <w:spacing w:after="0" w:line="240" w:lineRule="auto"/>
              <w:jc w:val="right"/>
              <w:rPr>
                <w:rFonts w:ascii="Arial" w:eastAsia="Times New Roman" w:hAnsi="Arial" w:cs="Arial"/>
                <w:b/>
                <w:bCs/>
                <w:color w:val="000000"/>
                <w:sz w:val="18"/>
                <w:szCs w:val="18"/>
                <w:lang w:eastAsia="sl-SI"/>
              </w:rPr>
            </w:pPr>
            <w:r w:rsidRPr="000576AC">
              <w:rPr>
                <w:rFonts w:ascii="Arial" w:eastAsia="Times New Roman" w:hAnsi="Arial" w:cs="Arial"/>
                <w:b/>
                <w:bCs/>
                <w:color w:val="000000"/>
                <w:sz w:val="18"/>
                <w:szCs w:val="18"/>
                <w:lang w:eastAsia="sl-SI"/>
              </w:rPr>
              <w:t>100,00  %</w:t>
            </w:r>
          </w:p>
        </w:tc>
        <w:tc>
          <w:tcPr>
            <w:tcW w:w="1099" w:type="dxa"/>
            <w:tcBorders>
              <w:top w:val="nil"/>
              <w:left w:val="nil"/>
              <w:bottom w:val="single" w:sz="4" w:space="0" w:color="auto"/>
              <w:right w:val="single" w:sz="4" w:space="0" w:color="auto"/>
            </w:tcBorders>
            <w:shd w:val="clear" w:color="auto" w:fill="F2F2F2" w:themeFill="background1" w:themeFillShade="F2"/>
            <w:noWrap/>
            <w:vAlign w:val="center"/>
            <w:hideMark/>
          </w:tcPr>
          <w:p w14:paraId="225BDB80" w14:textId="77777777" w:rsidR="00F24E18" w:rsidRPr="000576AC" w:rsidRDefault="00F24E18" w:rsidP="000E18B5">
            <w:pPr>
              <w:spacing w:after="0" w:line="240" w:lineRule="auto"/>
              <w:jc w:val="right"/>
              <w:rPr>
                <w:rFonts w:ascii="Arial" w:eastAsia="Times New Roman" w:hAnsi="Arial" w:cs="Arial"/>
                <w:b/>
                <w:bCs/>
                <w:color w:val="000000"/>
                <w:sz w:val="18"/>
                <w:szCs w:val="18"/>
                <w:lang w:eastAsia="sl-SI"/>
              </w:rPr>
            </w:pPr>
            <w:r w:rsidRPr="000576AC">
              <w:rPr>
                <w:rFonts w:ascii="Arial" w:eastAsia="Times New Roman" w:hAnsi="Arial" w:cs="Arial"/>
                <w:b/>
                <w:bCs/>
                <w:color w:val="000000"/>
                <w:sz w:val="18"/>
                <w:szCs w:val="18"/>
                <w:lang w:eastAsia="sl-SI"/>
              </w:rPr>
              <w:t>100,00  %</w:t>
            </w:r>
          </w:p>
        </w:tc>
      </w:tr>
    </w:tbl>
    <w:p w14:paraId="6182126A" w14:textId="77777777" w:rsidR="00F24E18" w:rsidRPr="00E23330" w:rsidRDefault="00F24E18" w:rsidP="00F24E18">
      <w:pPr>
        <w:spacing w:before="120" w:after="0" w:line="240" w:lineRule="auto"/>
        <w:jc w:val="both"/>
        <w:rPr>
          <w:rFonts w:ascii="Arial" w:hAnsi="Arial" w:cs="Arial"/>
          <w:sz w:val="20"/>
        </w:rPr>
      </w:pPr>
      <w:bookmarkStart w:id="105" w:name="_Toc367784265"/>
      <w:bookmarkStart w:id="106" w:name="_Toc368925710"/>
      <w:bookmarkStart w:id="107" w:name="_Toc369000993"/>
      <w:bookmarkStart w:id="108" w:name="_Toc398038713"/>
      <w:bookmarkStart w:id="109" w:name="_Toc398040192"/>
      <w:bookmarkStart w:id="110" w:name="_Toc398584430"/>
      <w:bookmarkStart w:id="111" w:name="_Toc461086446"/>
      <w:bookmarkStart w:id="112" w:name="_Toc461608818"/>
      <w:bookmarkStart w:id="113" w:name="_Toc462401237"/>
      <w:bookmarkEnd w:id="96"/>
      <w:bookmarkEnd w:id="97"/>
      <w:bookmarkEnd w:id="98"/>
      <w:r w:rsidRPr="00E23330">
        <w:rPr>
          <w:rFonts w:ascii="Arial" w:hAnsi="Arial" w:cs="Arial"/>
          <w:sz w:val="20"/>
        </w:rPr>
        <w:t>Preglednica 85: Javna naročila, sofinancirana s sredstvi EU glede na predmet naročanja i</w:t>
      </w:r>
      <w:bookmarkEnd w:id="105"/>
      <w:bookmarkEnd w:id="106"/>
      <w:bookmarkEnd w:id="107"/>
      <w:r w:rsidRPr="00E23330">
        <w:rPr>
          <w:rFonts w:ascii="Arial" w:hAnsi="Arial" w:cs="Arial"/>
          <w:sz w:val="20"/>
        </w:rPr>
        <w:t>n vrsto postopka</w:t>
      </w:r>
      <w:bookmarkEnd w:id="108"/>
      <w:bookmarkEnd w:id="109"/>
      <w:bookmarkEnd w:id="110"/>
      <w:bookmarkEnd w:id="111"/>
      <w:bookmarkEnd w:id="112"/>
      <w:bookmarkEnd w:id="113"/>
    </w:p>
    <w:p w14:paraId="56094406"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883"/>
        <w:gridCol w:w="4207"/>
        <w:gridCol w:w="1231"/>
        <w:gridCol w:w="941"/>
        <w:gridCol w:w="1912"/>
      </w:tblGrid>
      <w:tr w:rsidR="00F24E18" w:rsidRPr="00E23330" w14:paraId="2C9CF226" w14:textId="77777777" w:rsidTr="000E18B5">
        <w:trPr>
          <w:trHeight w:val="300"/>
        </w:trPr>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837A03" w14:textId="77777777" w:rsidR="00F24E18" w:rsidRPr="00E23330" w:rsidRDefault="00F24E18" w:rsidP="000E18B5">
            <w:pPr>
              <w:spacing w:after="0" w:line="240" w:lineRule="auto"/>
              <w:jc w:val="center"/>
              <w:rPr>
                <w:rFonts w:ascii="Arial" w:eastAsia="Times New Roman" w:hAnsi="Arial" w:cs="Arial"/>
                <w:color w:val="000000"/>
                <w:sz w:val="18"/>
                <w:szCs w:val="18"/>
                <w:lang w:eastAsia="sl-SI"/>
              </w:rPr>
            </w:pPr>
            <w:bookmarkStart w:id="114" w:name="_Toc398038714"/>
            <w:bookmarkStart w:id="115" w:name="_Toc398040193"/>
            <w:bookmarkStart w:id="116" w:name="_Toc398584431"/>
            <w:bookmarkStart w:id="117" w:name="_Toc461086447"/>
            <w:bookmarkStart w:id="118" w:name="_Toc461608819"/>
            <w:bookmarkStart w:id="119" w:name="_Toc462401238"/>
            <w:r w:rsidRPr="00E23330">
              <w:rPr>
                <w:rFonts w:ascii="Arial" w:eastAsia="Times New Roman" w:hAnsi="Arial" w:cs="Arial"/>
                <w:color w:val="000000"/>
                <w:sz w:val="18"/>
                <w:szCs w:val="18"/>
                <w:lang w:eastAsia="sl-SI"/>
              </w:rPr>
              <w:t>Predmet</w:t>
            </w:r>
          </w:p>
        </w:tc>
        <w:tc>
          <w:tcPr>
            <w:tcW w:w="229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ECAB25" w14:textId="77777777" w:rsidR="00F24E18" w:rsidRPr="00E23330" w:rsidRDefault="00F24E18" w:rsidP="000E18B5">
            <w:pPr>
              <w:spacing w:after="0" w:line="240" w:lineRule="auto"/>
              <w:jc w:val="center"/>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Vrsta postopka</w:t>
            </w:r>
          </w:p>
        </w:tc>
        <w:tc>
          <w:tcPr>
            <w:tcW w:w="6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6E6D0E"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Št. postopkov</w:t>
            </w:r>
          </w:p>
        </w:tc>
        <w:tc>
          <w:tcPr>
            <w:tcW w:w="51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5A77EC"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Št. naročil</w:t>
            </w:r>
          </w:p>
        </w:tc>
        <w:tc>
          <w:tcPr>
            <w:tcW w:w="104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B7574C"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Pogodbena vrednost</w:t>
            </w:r>
          </w:p>
        </w:tc>
      </w:tr>
      <w:tr w:rsidR="00F24E18" w:rsidRPr="00E23330" w14:paraId="085A9645" w14:textId="77777777" w:rsidTr="000E18B5">
        <w:trPr>
          <w:trHeight w:val="300"/>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02793E"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lastRenderedPageBreak/>
              <w:t>Blago</w:t>
            </w:r>
          </w:p>
        </w:tc>
        <w:tc>
          <w:tcPr>
            <w:tcW w:w="2293" w:type="pct"/>
            <w:tcBorders>
              <w:top w:val="nil"/>
              <w:left w:val="nil"/>
              <w:bottom w:val="single" w:sz="4" w:space="0" w:color="auto"/>
              <w:right w:val="single" w:sz="4" w:space="0" w:color="auto"/>
            </w:tcBorders>
            <w:shd w:val="clear" w:color="auto" w:fill="auto"/>
            <w:noWrap/>
            <w:vAlign w:val="center"/>
            <w:hideMark/>
          </w:tcPr>
          <w:p w14:paraId="25F20668"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Konkurenčni dialog</w:t>
            </w:r>
          </w:p>
        </w:tc>
        <w:tc>
          <w:tcPr>
            <w:tcW w:w="671" w:type="pct"/>
            <w:tcBorders>
              <w:top w:val="nil"/>
              <w:left w:val="nil"/>
              <w:bottom w:val="single" w:sz="4" w:space="0" w:color="auto"/>
              <w:right w:val="single" w:sz="4" w:space="0" w:color="auto"/>
            </w:tcBorders>
            <w:shd w:val="clear" w:color="auto" w:fill="auto"/>
            <w:noWrap/>
            <w:vAlign w:val="center"/>
            <w:hideMark/>
          </w:tcPr>
          <w:p w14:paraId="50EC972D"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w:t>
            </w:r>
          </w:p>
        </w:tc>
        <w:tc>
          <w:tcPr>
            <w:tcW w:w="513" w:type="pct"/>
            <w:tcBorders>
              <w:top w:val="nil"/>
              <w:left w:val="nil"/>
              <w:bottom w:val="single" w:sz="4" w:space="0" w:color="auto"/>
              <w:right w:val="single" w:sz="4" w:space="0" w:color="auto"/>
            </w:tcBorders>
            <w:shd w:val="clear" w:color="auto" w:fill="auto"/>
            <w:noWrap/>
            <w:vAlign w:val="center"/>
            <w:hideMark/>
          </w:tcPr>
          <w:p w14:paraId="1F70798F"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w:t>
            </w:r>
          </w:p>
        </w:tc>
        <w:tc>
          <w:tcPr>
            <w:tcW w:w="1042" w:type="pct"/>
            <w:tcBorders>
              <w:top w:val="nil"/>
              <w:left w:val="nil"/>
              <w:bottom w:val="single" w:sz="4" w:space="0" w:color="auto"/>
              <w:right w:val="single" w:sz="4" w:space="0" w:color="auto"/>
            </w:tcBorders>
            <w:shd w:val="clear" w:color="auto" w:fill="auto"/>
            <w:noWrap/>
            <w:vAlign w:val="center"/>
            <w:hideMark/>
          </w:tcPr>
          <w:p w14:paraId="38F41F1E"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906.503</w:t>
            </w:r>
          </w:p>
        </w:tc>
      </w:tr>
      <w:tr w:rsidR="00F24E18" w:rsidRPr="00E23330" w14:paraId="077C026E"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16439CC7"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3AE22B40"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Konkurenčni postopek s pogajanji</w:t>
            </w:r>
          </w:p>
        </w:tc>
        <w:tc>
          <w:tcPr>
            <w:tcW w:w="671" w:type="pct"/>
            <w:tcBorders>
              <w:top w:val="nil"/>
              <w:left w:val="nil"/>
              <w:bottom w:val="single" w:sz="4" w:space="0" w:color="auto"/>
              <w:right w:val="single" w:sz="4" w:space="0" w:color="auto"/>
            </w:tcBorders>
            <w:shd w:val="clear" w:color="auto" w:fill="auto"/>
            <w:noWrap/>
            <w:vAlign w:val="center"/>
            <w:hideMark/>
          </w:tcPr>
          <w:p w14:paraId="11A20F7E"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4</w:t>
            </w:r>
          </w:p>
        </w:tc>
        <w:tc>
          <w:tcPr>
            <w:tcW w:w="513" w:type="pct"/>
            <w:tcBorders>
              <w:top w:val="nil"/>
              <w:left w:val="nil"/>
              <w:bottom w:val="single" w:sz="4" w:space="0" w:color="auto"/>
              <w:right w:val="single" w:sz="4" w:space="0" w:color="auto"/>
            </w:tcBorders>
            <w:shd w:val="clear" w:color="auto" w:fill="auto"/>
            <w:noWrap/>
            <w:vAlign w:val="center"/>
            <w:hideMark/>
          </w:tcPr>
          <w:p w14:paraId="11391511"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5</w:t>
            </w:r>
          </w:p>
        </w:tc>
        <w:tc>
          <w:tcPr>
            <w:tcW w:w="1042" w:type="pct"/>
            <w:tcBorders>
              <w:top w:val="nil"/>
              <w:left w:val="nil"/>
              <w:bottom w:val="single" w:sz="4" w:space="0" w:color="auto"/>
              <w:right w:val="single" w:sz="4" w:space="0" w:color="auto"/>
            </w:tcBorders>
            <w:shd w:val="clear" w:color="auto" w:fill="auto"/>
            <w:noWrap/>
            <w:vAlign w:val="center"/>
            <w:hideMark/>
          </w:tcPr>
          <w:p w14:paraId="55E9DACE"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1.961.961</w:t>
            </w:r>
          </w:p>
        </w:tc>
      </w:tr>
      <w:tr w:rsidR="00F24E18" w:rsidRPr="00E23330" w14:paraId="462C741A"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3B75F786"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37A5A70C"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Odprti postopek</w:t>
            </w:r>
          </w:p>
        </w:tc>
        <w:tc>
          <w:tcPr>
            <w:tcW w:w="671" w:type="pct"/>
            <w:tcBorders>
              <w:top w:val="nil"/>
              <w:left w:val="nil"/>
              <w:bottom w:val="single" w:sz="4" w:space="0" w:color="auto"/>
              <w:right w:val="single" w:sz="4" w:space="0" w:color="auto"/>
            </w:tcBorders>
            <w:shd w:val="clear" w:color="auto" w:fill="auto"/>
            <w:noWrap/>
            <w:vAlign w:val="center"/>
            <w:hideMark/>
          </w:tcPr>
          <w:p w14:paraId="69064941"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82</w:t>
            </w:r>
          </w:p>
        </w:tc>
        <w:tc>
          <w:tcPr>
            <w:tcW w:w="513" w:type="pct"/>
            <w:tcBorders>
              <w:top w:val="nil"/>
              <w:left w:val="nil"/>
              <w:bottom w:val="single" w:sz="4" w:space="0" w:color="auto"/>
              <w:right w:val="single" w:sz="4" w:space="0" w:color="auto"/>
            </w:tcBorders>
            <w:shd w:val="clear" w:color="auto" w:fill="auto"/>
            <w:noWrap/>
            <w:vAlign w:val="center"/>
            <w:hideMark/>
          </w:tcPr>
          <w:p w14:paraId="313530E9"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202</w:t>
            </w:r>
          </w:p>
        </w:tc>
        <w:tc>
          <w:tcPr>
            <w:tcW w:w="1042" w:type="pct"/>
            <w:tcBorders>
              <w:top w:val="nil"/>
              <w:left w:val="nil"/>
              <w:bottom w:val="single" w:sz="4" w:space="0" w:color="auto"/>
              <w:right w:val="single" w:sz="4" w:space="0" w:color="auto"/>
            </w:tcBorders>
            <w:shd w:val="clear" w:color="auto" w:fill="auto"/>
            <w:noWrap/>
            <w:vAlign w:val="center"/>
            <w:hideMark/>
          </w:tcPr>
          <w:p w14:paraId="60A21C81"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155.734.479</w:t>
            </w:r>
          </w:p>
        </w:tc>
      </w:tr>
      <w:tr w:rsidR="00F24E18" w:rsidRPr="00E23330" w14:paraId="1BDE57EE"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326EF139"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6528E123"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Omejeni postopek</w:t>
            </w:r>
          </w:p>
        </w:tc>
        <w:tc>
          <w:tcPr>
            <w:tcW w:w="671" w:type="pct"/>
            <w:tcBorders>
              <w:top w:val="nil"/>
              <w:left w:val="nil"/>
              <w:bottom w:val="single" w:sz="4" w:space="0" w:color="auto"/>
              <w:right w:val="single" w:sz="4" w:space="0" w:color="auto"/>
            </w:tcBorders>
            <w:shd w:val="clear" w:color="auto" w:fill="auto"/>
            <w:noWrap/>
            <w:vAlign w:val="center"/>
            <w:hideMark/>
          </w:tcPr>
          <w:p w14:paraId="6C51D5DA"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11</w:t>
            </w:r>
          </w:p>
        </w:tc>
        <w:tc>
          <w:tcPr>
            <w:tcW w:w="513" w:type="pct"/>
            <w:tcBorders>
              <w:top w:val="nil"/>
              <w:left w:val="nil"/>
              <w:bottom w:val="single" w:sz="4" w:space="0" w:color="auto"/>
              <w:right w:val="single" w:sz="4" w:space="0" w:color="auto"/>
            </w:tcBorders>
            <w:shd w:val="clear" w:color="auto" w:fill="auto"/>
            <w:noWrap/>
            <w:vAlign w:val="center"/>
            <w:hideMark/>
          </w:tcPr>
          <w:p w14:paraId="1A85F9BE"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33</w:t>
            </w:r>
          </w:p>
        </w:tc>
        <w:tc>
          <w:tcPr>
            <w:tcW w:w="1042" w:type="pct"/>
            <w:tcBorders>
              <w:top w:val="nil"/>
              <w:left w:val="nil"/>
              <w:bottom w:val="single" w:sz="4" w:space="0" w:color="auto"/>
              <w:right w:val="single" w:sz="4" w:space="0" w:color="auto"/>
            </w:tcBorders>
            <w:shd w:val="clear" w:color="auto" w:fill="auto"/>
            <w:noWrap/>
            <w:vAlign w:val="center"/>
            <w:hideMark/>
          </w:tcPr>
          <w:p w14:paraId="20CAB715"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23.695.824</w:t>
            </w:r>
          </w:p>
        </w:tc>
      </w:tr>
      <w:tr w:rsidR="00F24E18" w:rsidRPr="00E23330" w14:paraId="440876C2"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3BDFFAE3"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1AA89D80"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Postopek naročila male vrednosti</w:t>
            </w:r>
          </w:p>
        </w:tc>
        <w:tc>
          <w:tcPr>
            <w:tcW w:w="671" w:type="pct"/>
            <w:tcBorders>
              <w:top w:val="nil"/>
              <w:left w:val="nil"/>
              <w:bottom w:val="single" w:sz="4" w:space="0" w:color="auto"/>
              <w:right w:val="single" w:sz="4" w:space="0" w:color="auto"/>
            </w:tcBorders>
            <w:shd w:val="clear" w:color="auto" w:fill="auto"/>
            <w:noWrap/>
            <w:vAlign w:val="center"/>
            <w:hideMark/>
          </w:tcPr>
          <w:p w14:paraId="51AEF278"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89</w:t>
            </w:r>
          </w:p>
        </w:tc>
        <w:tc>
          <w:tcPr>
            <w:tcW w:w="513" w:type="pct"/>
            <w:tcBorders>
              <w:top w:val="nil"/>
              <w:left w:val="nil"/>
              <w:bottom w:val="single" w:sz="4" w:space="0" w:color="auto"/>
              <w:right w:val="single" w:sz="4" w:space="0" w:color="auto"/>
            </w:tcBorders>
            <w:shd w:val="clear" w:color="auto" w:fill="auto"/>
            <w:noWrap/>
            <w:vAlign w:val="center"/>
            <w:hideMark/>
          </w:tcPr>
          <w:p w14:paraId="3F98BD8F"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129</w:t>
            </w:r>
          </w:p>
        </w:tc>
        <w:tc>
          <w:tcPr>
            <w:tcW w:w="1042" w:type="pct"/>
            <w:tcBorders>
              <w:top w:val="nil"/>
              <w:left w:val="nil"/>
              <w:bottom w:val="single" w:sz="4" w:space="0" w:color="auto"/>
              <w:right w:val="single" w:sz="4" w:space="0" w:color="auto"/>
            </w:tcBorders>
            <w:shd w:val="clear" w:color="auto" w:fill="auto"/>
            <w:noWrap/>
            <w:vAlign w:val="center"/>
            <w:hideMark/>
          </w:tcPr>
          <w:p w14:paraId="61ACFA3A"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8.776.366</w:t>
            </w:r>
          </w:p>
        </w:tc>
      </w:tr>
      <w:tr w:rsidR="00F24E18" w:rsidRPr="00E23330" w14:paraId="6C256049"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13C0DBB4"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68B93918"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Postopek s pogajanji brez predhodne objave</w:t>
            </w:r>
          </w:p>
        </w:tc>
        <w:tc>
          <w:tcPr>
            <w:tcW w:w="671" w:type="pct"/>
            <w:tcBorders>
              <w:top w:val="nil"/>
              <w:left w:val="nil"/>
              <w:bottom w:val="single" w:sz="4" w:space="0" w:color="auto"/>
              <w:right w:val="single" w:sz="4" w:space="0" w:color="auto"/>
            </w:tcBorders>
            <w:shd w:val="clear" w:color="auto" w:fill="auto"/>
            <w:noWrap/>
            <w:vAlign w:val="center"/>
            <w:hideMark/>
          </w:tcPr>
          <w:p w14:paraId="24D02A1B"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7</w:t>
            </w:r>
          </w:p>
        </w:tc>
        <w:tc>
          <w:tcPr>
            <w:tcW w:w="513" w:type="pct"/>
            <w:tcBorders>
              <w:top w:val="nil"/>
              <w:left w:val="nil"/>
              <w:bottom w:val="single" w:sz="4" w:space="0" w:color="auto"/>
              <w:right w:val="single" w:sz="4" w:space="0" w:color="auto"/>
            </w:tcBorders>
            <w:shd w:val="clear" w:color="auto" w:fill="auto"/>
            <w:noWrap/>
            <w:vAlign w:val="center"/>
            <w:hideMark/>
          </w:tcPr>
          <w:p w14:paraId="60EC2639"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7</w:t>
            </w:r>
          </w:p>
        </w:tc>
        <w:tc>
          <w:tcPr>
            <w:tcW w:w="1042" w:type="pct"/>
            <w:tcBorders>
              <w:top w:val="nil"/>
              <w:left w:val="nil"/>
              <w:bottom w:val="single" w:sz="4" w:space="0" w:color="auto"/>
              <w:right w:val="single" w:sz="4" w:space="0" w:color="auto"/>
            </w:tcBorders>
            <w:shd w:val="clear" w:color="auto" w:fill="auto"/>
            <w:noWrap/>
            <w:vAlign w:val="center"/>
            <w:hideMark/>
          </w:tcPr>
          <w:p w14:paraId="5E833F6F"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2.862.822</w:t>
            </w:r>
          </w:p>
        </w:tc>
      </w:tr>
      <w:tr w:rsidR="00F24E18" w:rsidRPr="00E23330" w14:paraId="41C1DD3C"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70EBBDFD"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1EE47B4A" w14:textId="77777777" w:rsidR="00F24E18" w:rsidRPr="00E23330" w:rsidRDefault="00F24E18" w:rsidP="000E18B5">
            <w:pPr>
              <w:spacing w:after="0" w:line="240" w:lineRule="auto"/>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Skupaj</w:t>
            </w:r>
          </w:p>
        </w:tc>
        <w:tc>
          <w:tcPr>
            <w:tcW w:w="671" w:type="pct"/>
            <w:tcBorders>
              <w:top w:val="nil"/>
              <w:left w:val="nil"/>
              <w:bottom w:val="single" w:sz="4" w:space="0" w:color="auto"/>
              <w:right w:val="single" w:sz="4" w:space="0" w:color="auto"/>
            </w:tcBorders>
            <w:shd w:val="clear" w:color="auto" w:fill="auto"/>
            <w:noWrap/>
            <w:vAlign w:val="center"/>
            <w:hideMark/>
          </w:tcPr>
          <w:p w14:paraId="3E5A7A68"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194</w:t>
            </w:r>
          </w:p>
        </w:tc>
        <w:tc>
          <w:tcPr>
            <w:tcW w:w="513" w:type="pct"/>
            <w:tcBorders>
              <w:top w:val="nil"/>
              <w:left w:val="nil"/>
              <w:bottom w:val="single" w:sz="4" w:space="0" w:color="auto"/>
              <w:right w:val="single" w:sz="4" w:space="0" w:color="auto"/>
            </w:tcBorders>
            <w:shd w:val="clear" w:color="auto" w:fill="auto"/>
            <w:noWrap/>
            <w:vAlign w:val="center"/>
            <w:hideMark/>
          </w:tcPr>
          <w:p w14:paraId="3016CE49"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377</w:t>
            </w:r>
          </w:p>
        </w:tc>
        <w:tc>
          <w:tcPr>
            <w:tcW w:w="1042" w:type="pct"/>
            <w:tcBorders>
              <w:top w:val="nil"/>
              <w:left w:val="nil"/>
              <w:bottom w:val="single" w:sz="4" w:space="0" w:color="auto"/>
              <w:right w:val="single" w:sz="4" w:space="0" w:color="auto"/>
            </w:tcBorders>
            <w:shd w:val="clear" w:color="auto" w:fill="auto"/>
            <w:noWrap/>
            <w:vAlign w:val="center"/>
            <w:hideMark/>
          </w:tcPr>
          <w:p w14:paraId="75F48C93"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193.937.955</w:t>
            </w:r>
          </w:p>
        </w:tc>
      </w:tr>
      <w:tr w:rsidR="00F24E18" w:rsidRPr="00E23330" w14:paraId="171FEB25" w14:textId="77777777" w:rsidTr="000E18B5">
        <w:trPr>
          <w:trHeight w:val="300"/>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512E1F"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Storitve</w:t>
            </w:r>
          </w:p>
        </w:tc>
        <w:tc>
          <w:tcPr>
            <w:tcW w:w="2293" w:type="pct"/>
            <w:tcBorders>
              <w:top w:val="nil"/>
              <w:left w:val="nil"/>
              <w:bottom w:val="single" w:sz="4" w:space="0" w:color="auto"/>
              <w:right w:val="single" w:sz="4" w:space="0" w:color="auto"/>
            </w:tcBorders>
            <w:shd w:val="clear" w:color="auto" w:fill="auto"/>
            <w:noWrap/>
            <w:vAlign w:val="center"/>
            <w:hideMark/>
          </w:tcPr>
          <w:p w14:paraId="5663479B"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Konkurenčni dialog</w:t>
            </w:r>
          </w:p>
        </w:tc>
        <w:tc>
          <w:tcPr>
            <w:tcW w:w="671" w:type="pct"/>
            <w:tcBorders>
              <w:top w:val="nil"/>
              <w:left w:val="nil"/>
              <w:bottom w:val="single" w:sz="4" w:space="0" w:color="auto"/>
              <w:right w:val="single" w:sz="4" w:space="0" w:color="auto"/>
            </w:tcBorders>
            <w:shd w:val="clear" w:color="auto" w:fill="auto"/>
            <w:noWrap/>
            <w:vAlign w:val="center"/>
            <w:hideMark/>
          </w:tcPr>
          <w:p w14:paraId="39BEF82D"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w:t>
            </w:r>
          </w:p>
        </w:tc>
        <w:tc>
          <w:tcPr>
            <w:tcW w:w="513" w:type="pct"/>
            <w:tcBorders>
              <w:top w:val="nil"/>
              <w:left w:val="nil"/>
              <w:bottom w:val="single" w:sz="4" w:space="0" w:color="auto"/>
              <w:right w:val="single" w:sz="4" w:space="0" w:color="auto"/>
            </w:tcBorders>
            <w:shd w:val="clear" w:color="auto" w:fill="auto"/>
            <w:noWrap/>
            <w:vAlign w:val="center"/>
            <w:hideMark/>
          </w:tcPr>
          <w:p w14:paraId="6E439B47"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w:t>
            </w:r>
          </w:p>
        </w:tc>
        <w:tc>
          <w:tcPr>
            <w:tcW w:w="1042" w:type="pct"/>
            <w:tcBorders>
              <w:top w:val="nil"/>
              <w:left w:val="nil"/>
              <w:bottom w:val="single" w:sz="4" w:space="0" w:color="auto"/>
              <w:right w:val="single" w:sz="4" w:space="0" w:color="auto"/>
            </w:tcBorders>
            <w:shd w:val="clear" w:color="auto" w:fill="auto"/>
            <w:noWrap/>
            <w:vAlign w:val="center"/>
            <w:hideMark/>
          </w:tcPr>
          <w:p w14:paraId="32A8F731"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90.940</w:t>
            </w:r>
          </w:p>
        </w:tc>
      </w:tr>
      <w:tr w:rsidR="00F24E18" w:rsidRPr="00E23330" w14:paraId="61CB612C"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3E8CA3D6"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347627D4"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Konkurenčni postopek s pogajanji</w:t>
            </w:r>
          </w:p>
        </w:tc>
        <w:tc>
          <w:tcPr>
            <w:tcW w:w="671" w:type="pct"/>
            <w:tcBorders>
              <w:top w:val="nil"/>
              <w:left w:val="nil"/>
              <w:bottom w:val="single" w:sz="4" w:space="0" w:color="auto"/>
              <w:right w:val="single" w:sz="4" w:space="0" w:color="auto"/>
            </w:tcBorders>
            <w:shd w:val="clear" w:color="auto" w:fill="auto"/>
            <w:noWrap/>
            <w:vAlign w:val="center"/>
            <w:hideMark/>
          </w:tcPr>
          <w:p w14:paraId="33E2B6C0"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5</w:t>
            </w:r>
          </w:p>
        </w:tc>
        <w:tc>
          <w:tcPr>
            <w:tcW w:w="513" w:type="pct"/>
            <w:tcBorders>
              <w:top w:val="nil"/>
              <w:left w:val="nil"/>
              <w:bottom w:val="single" w:sz="4" w:space="0" w:color="auto"/>
              <w:right w:val="single" w:sz="4" w:space="0" w:color="auto"/>
            </w:tcBorders>
            <w:shd w:val="clear" w:color="auto" w:fill="auto"/>
            <w:noWrap/>
            <w:vAlign w:val="center"/>
            <w:hideMark/>
          </w:tcPr>
          <w:p w14:paraId="1B89A936"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5</w:t>
            </w:r>
          </w:p>
        </w:tc>
        <w:tc>
          <w:tcPr>
            <w:tcW w:w="1042" w:type="pct"/>
            <w:tcBorders>
              <w:top w:val="nil"/>
              <w:left w:val="nil"/>
              <w:bottom w:val="single" w:sz="4" w:space="0" w:color="auto"/>
              <w:right w:val="single" w:sz="4" w:space="0" w:color="auto"/>
            </w:tcBorders>
            <w:shd w:val="clear" w:color="auto" w:fill="auto"/>
            <w:noWrap/>
            <w:vAlign w:val="center"/>
            <w:hideMark/>
          </w:tcPr>
          <w:p w14:paraId="0B2D3EB5"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12.197.485</w:t>
            </w:r>
          </w:p>
        </w:tc>
      </w:tr>
      <w:tr w:rsidR="00F24E18" w:rsidRPr="00E23330" w14:paraId="476D3F61"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525BB065"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228B039C"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Odprti postopek</w:t>
            </w:r>
          </w:p>
        </w:tc>
        <w:tc>
          <w:tcPr>
            <w:tcW w:w="671" w:type="pct"/>
            <w:tcBorders>
              <w:top w:val="nil"/>
              <w:left w:val="nil"/>
              <w:bottom w:val="single" w:sz="4" w:space="0" w:color="auto"/>
              <w:right w:val="single" w:sz="4" w:space="0" w:color="auto"/>
            </w:tcBorders>
            <w:shd w:val="clear" w:color="auto" w:fill="auto"/>
            <w:noWrap/>
            <w:vAlign w:val="center"/>
            <w:hideMark/>
          </w:tcPr>
          <w:p w14:paraId="4A16473F"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61</w:t>
            </w:r>
          </w:p>
        </w:tc>
        <w:tc>
          <w:tcPr>
            <w:tcW w:w="513" w:type="pct"/>
            <w:tcBorders>
              <w:top w:val="nil"/>
              <w:left w:val="nil"/>
              <w:bottom w:val="single" w:sz="4" w:space="0" w:color="auto"/>
              <w:right w:val="single" w:sz="4" w:space="0" w:color="auto"/>
            </w:tcBorders>
            <w:shd w:val="clear" w:color="auto" w:fill="auto"/>
            <w:noWrap/>
            <w:vAlign w:val="center"/>
            <w:hideMark/>
          </w:tcPr>
          <w:p w14:paraId="53B811FA"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111</w:t>
            </w:r>
          </w:p>
        </w:tc>
        <w:tc>
          <w:tcPr>
            <w:tcW w:w="1042" w:type="pct"/>
            <w:tcBorders>
              <w:top w:val="nil"/>
              <w:left w:val="nil"/>
              <w:bottom w:val="single" w:sz="4" w:space="0" w:color="auto"/>
              <w:right w:val="single" w:sz="4" w:space="0" w:color="auto"/>
            </w:tcBorders>
            <w:shd w:val="clear" w:color="auto" w:fill="auto"/>
            <w:noWrap/>
            <w:vAlign w:val="center"/>
            <w:hideMark/>
          </w:tcPr>
          <w:p w14:paraId="579698B5"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76.857.586</w:t>
            </w:r>
          </w:p>
        </w:tc>
      </w:tr>
      <w:tr w:rsidR="00F24E18" w:rsidRPr="00E23330" w14:paraId="38AA7C83"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45254E18"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4331D11A"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Omejeni postopek</w:t>
            </w:r>
          </w:p>
        </w:tc>
        <w:tc>
          <w:tcPr>
            <w:tcW w:w="671" w:type="pct"/>
            <w:tcBorders>
              <w:top w:val="nil"/>
              <w:left w:val="nil"/>
              <w:bottom w:val="single" w:sz="4" w:space="0" w:color="auto"/>
              <w:right w:val="single" w:sz="4" w:space="0" w:color="auto"/>
            </w:tcBorders>
            <w:shd w:val="clear" w:color="auto" w:fill="auto"/>
            <w:noWrap/>
            <w:vAlign w:val="center"/>
            <w:hideMark/>
          </w:tcPr>
          <w:p w14:paraId="692F98E0"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27</w:t>
            </w:r>
          </w:p>
        </w:tc>
        <w:tc>
          <w:tcPr>
            <w:tcW w:w="513" w:type="pct"/>
            <w:tcBorders>
              <w:top w:val="nil"/>
              <w:left w:val="nil"/>
              <w:bottom w:val="single" w:sz="4" w:space="0" w:color="auto"/>
              <w:right w:val="single" w:sz="4" w:space="0" w:color="auto"/>
            </w:tcBorders>
            <w:shd w:val="clear" w:color="auto" w:fill="auto"/>
            <w:noWrap/>
            <w:vAlign w:val="center"/>
            <w:hideMark/>
          </w:tcPr>
          <w:p w14:paraId="6208BFAF"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33</w:t>
            </w:r>
          </w:p>
        </w:tc>
        <w:tc>
          <w:tcPr>
            <w:tcW w:w="1042" w:type="pct"/>
            <w:tcBorders>
              <w:top w:val="nil"/>
              <w:left w:val="nil"/>
              <w:bottom w:val="single" w:sz="4" w:space="0" w:color="auto"/>
              <w:right w:val="single" w:sz="4" w:space="0" w:color="auto"/>
            </w:tcBorders>
            <w:shd w:val="clear" w:color="auto" w:fill="auto"/>
            <w:noWrap/>
            <w:vAlign w:val="center"/>
            <w:hideMark/>
          </w:tcPr>
          <w:p w14:paraId="04AE9583"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9.457.068</w:t>
            </w:r>
          </w:p>
        </w:tc>
      </w:tr>
      <w:tr w:rsidR="00F24E18" w:rsidRPr="00E23330" w14:paraId="73803D64"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7F7770B9"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242C5FD2"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Postopek naročila male vrednosti</w:t>
            </w:r>
          </w:p>
        </w:tc>
        <w:tc>
          <w:tcPr>
            <w:tcW w:w="671" w:type="pct"/>
            <w:tcBorders>
              <w:top w:val="nil"/>
              <w:left w:val="nil"/>
              <w:bottom w:val="single" w:sz="4" w:space="0" w:color="auto"/>
              <w:right w:val="single" w:sz="4" w:space="0" w:color="auto"/>
            </w:tcBorders>
            <w:shd w:val="clear" w:color="auto" w:fill="auto"/>
            <w:noWrap/>
            <w:vAlign w:val="center"/>
            <w:hideMark/>
          </w:tcPr>
          <w:p w14:paraId="5564C372"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87</w:t>
            </w:r>
          </w:p>
        </w:tc>
        <w:tc>
          <w:tcPr>
            <w:tcW w:w="513" w:type="pct"/>
            <w:tcBorders>
              <w:top w:val="nil"/>
              <w:left w:val="nil"/>
              <w:bottom w:val="single" w:sz="4" w:space="0" w:color="auto"/>
              <w:right w:val="single" w:sz="4" w:space="0" w:color="auto"/>
            </w:tcBorders>
            <w:shd w:val="clear" w:color="auto" w:fill="auto"/>
            <w:noWrap/>
            <w:vAlign w:val="center"/>
            <w:hideMark/>
          </w:tcPr>
          <w:p w14:paraId="15AAC32F"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120</w:t>
            </w:r>
          </w:p>
        </w:tc>
        <w:tc>
          <w:tcPr>
            <w:tcW w:w="1042" w:type="pct"/>
            <w:tcBorders>
              <w:top w:val="nil"/>
              <w:left w:val="nil"/>
              <w:bottom w:val="single" w:sz="4" w:space="0" w:color="auto"/>
              <w:right w:val="single" w:sz="4" w:space="0" w:color="auto"/>
            </w:tcBorders>
            <w:shd w:val="clear" w:color="auto" w:fill="auto"/>
            <w:noWrap/>
            <w:vAlign w:val="center"/>
            <w:hideMark/>
          </w:tcPr>
          <w:p w14:paraId="530EA296"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8.383.059</w:t>
            </w:r>
          </w:p>
        </w:tc>
      </w:tr>
      <w:tr w:rsidR="00F24E18" w:rsidRPr="00E23330" w14:paraId="6DA1089C"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19C00A8F"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7761D2B5"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Postopek s pogajanji brez predhodne objave</w:t>
            </w:r>
          </w:p>
        </w:tc>
        <w:tc>
          <w:tcPr>
            <w:tcW w:w="671" w:type="pct"/>
            <w:tcBorders>
              <w:top w:val="nil"/>
              <w:left w:val="nil"/>
              <w:bottom w:val="single" w:sz="4" w:space="0" w:color="auto"/>
              <w:right w:val="single" w:sz="4" w:space="0" w:color="auto"/>
            </w:tcBorders>
            <w:shd w:val="clear" w:color="auto" w:fill="auto"/>
            <w:noWrap/>
            <w:vAlign w:val="center"/>
            <w:hideMark/>
          </w:tcPr>
          <w:p w14:paraId="7EDD63E2"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11</w:t>
            </w:r>
          </w:p>
        </w:tc>
        <w:tc>
          <w:tcPr>
            <w:tcW w:w="513" w:type="pct"/>
            <w:tcBorders>
              <w:top w:val="nil"/>
              <w:left w:val="nil"/>
              <w:bottom w:val="single" w:sz="4" w:space="0" w:color="auto"/>
              <w:right w:val="single" w:sz="4" w:space="0" w:color="auto"/>
            </w:tcBorders>
            <w:shd w:val="clear" w:color="auto" w:fill="auto"/>
            <w:noWrap/>
            <w:vAlign w:val="center"/>
            <w:hideMark/>
          </w:tcPr>
          <w:p w14:paraId="0E4DD84E"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15</w:t>
            </w:r>
          </w:p>
        </w:tc>
        <w:tc>
          <w:tcPr>
            <w:tcW w:w="1042" w:type="pct"/>
            <w:tcBorders>
              <w:top w:val="nil"/>
              <w:left w:val="nil"/>
              <w:bottom w:val="single" w:sz="4" w:space="0" w:color="auto"/>
              <w:right w:val="single" w:sz="4" w:space="0" w:color="auto"/>
            </w:tcBorders>
            <w:shd w:val="clear" w:color="auto" w:fill="auto"/>
            <w:noWrap/>
            <w:vAlign w:val="center"/>
            <w:hideMark/>
          </w:tcPr>
          <w:p w14:paraId="5B6FDDE9"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5.937.733</w:t>
            </w:r>
          </w:p>
        </w:tc>
      </w:tr>
      <w:tr w:rsidR="00F24E18" w:rsidRPr="00E23330" w14:paraId="534A26AF"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55D44820"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4BDFCC6A" w14:textId="77777777" w:rsidR="00F24E18" w:rsidRPr="00E23330" w:rsidRDefault="00F24E18" w:rsidP="000E18B5">
            <w:pPr>
              <w:spacing w:after="0" w:line="240" w:lineRule="auto"/>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Skupaj</w:t>
            </w:r>
          </w:p>
        </w:tc>
        <w:tc>
          <w:tcPr>
            <w:tcW w:w="671" w:type="pct"/>
            <w:tcBorders>
              <w:top w:val="nil"/>
              <w:left w:val="nil"/>
              <w:bottom w:val="single" w:sz="4" w:space="0" w:color="auto"/>
              <w:right w:val="single" w:sz="4" w:space="0" w:color="auto"/>
            </w:tcBorders>
            <w:shd w:val="clear" w:color="auto" w:fill="auto"/>
            <w:noWrap/>
            <w:vAlign w:val="center"/>
            <w:hideMark/>
          </w:tcPr>
          <w:p w14:paraId="63B1E1B6"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192</w:t>
            </w:r>
          </w:p>
        </w:tc>
        <w:tc>
          <w:tcPr>
            <w:tcW w:w="513" w:type="pct"/>
            <w:tcBorders>
              <w:top w:val="nil"/>
              <w:left w:val="nil"/>
              <w:bottom w:val="single" w:sz="4" w:space="0" w:color="auto"/>
              <w:right w:val="single" w:sz="4" w:space="0" w:color="auto"/>
            </w:tcBorders>
            <w:shd w:val="clear" w:color="auto" w:fill="auto"/>
            <w:noWrap/>
            <w:vAlign w:val="center"/>
            <w:hideMark/>
          </w:tcPr>
          <w:p w14:paraId="3A2CEFD7"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285</w:t>
            </w:r>
          </w:p>
        </w:tc>
        <w:tc>
          <w:tcPr>
            <w:tcW w:w="1042" w:type="pct"/>
            <w:tcBorders>
              <w:top w:val="nil"/>
              <w:left w:val="nil"/>
              <w:bottom w:val="single" w:sz="4" w:space="0" w:color="auto"/>
              <w:right w:val="single" w:sz="4" w:space="0" w:color="auto"/>
            </w:tcBorders>
            <w:shd w:val="clear" w:color="auto" w:fill="auto"/>
            <w:noWrap/>
            <w:vAlign w:val="center"/>
            <w:hideMark/>
          </w:tcPr>
          <w:p w14:paraId="68F9D415"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112.923.871</w:t>
            </w:r>
          </w:p>
        </w:tc>
      </w:tr>
      <w:tr w:rsidR="00F24E18" w:rsidRPr="00E23330" w14:paraId="564FA78F" w14:textId="77777777" w:rsidTr="000E18B5">
        <w:trPr>
          <w:trHeight w:val="300"/>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BAE77B"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Gradnje</w:t>
            </w:r>
          </w:p>
        </w:tc>
        <w:tc>
          <w:tcPr>
            <w:tcW w:w="2293" w:type="pct"/>
            <w:tcBorders>
              <w:top w:val="nil"/>
              <w:left w:val="nil"/>
              <w:bottom w:val="single" w:sz="4" w:space="0" w:color="auto"/>
              <w:right w:val="single" w:sz="4" w:space="0" w:color="auto"/>
            </w:tcBorders>
            <w:shd w:val="clear" w:color="auto" w:fill="auto"/>
            <w:noWrap/>
            <w:vAlign w:val="center"/>
            <w:hideMark/>
          </w:tcPr>
          <w:p w14:paraId="434F46B4"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Konkurenčni dialog</w:t>
            </w:r>
          </w:p>
        </w:tc>
        <w:tc>
          <w:tcPr>
            <w:tcW w:w="671" w:type="pct"/>
            <w:tcBorders>
              <w:top w:val="nil"/>
              <w:left w:val="nil"/>
              <w:bottom w:val="single" w:sz="4" w:space="0" w:color="auto"/>
              <w:right w:val="single" w:sz="4" w:space="0" w:color="auto"/>
            </w:tcBorders>
            <w:shd w:val="clear" w:color="auto" w:fill="auto"/>
            <w:noWrap/>
            <w:vAlign w:val="center"/>
            <w:hideMark/>
          </w:tcPr>
          <w:p w14:paraId="53584C3E"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4</w:t>
            </w:r>
          </w:p>
        </w:tc>
        <w:tc>
          <w:tcPr>
            <w:tcW w:w="513" w:type="pct"/>
            <w:tcBorders>
              <w:top w:val="nil"/>
              <w:left w:val="nil"/>
              <w:bottom w:val="single" w:sz="4" w:space="0" w:color="auto"/>
              <w:right w:val="single" w:sz="4" w:space="0" w:color="auto"/>
            </w:tcBorders>
            <w:shd w:val="clear" w:color="auto" w:fill="auto"/>
            <w:noWrap/>
            <w:vAlign w:val="center"/>
            <w:hideMark/>
          </w:tcPr>
          <w:p w14:paraId="7D71D317"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4</w:t>
            </w:r>
          </w:p>
        </w:tc>
        <w:tc>
          <w:tcPr>
            <w:tcW w:w="1042" w:type="pct"/>
            <w:tcBorders>
              <w:top w:val="nil"/>
              <w:left w:val="nil"/>
              <w:bottom w:val="single" w:sz="4" w:space="0" w:color="auto"/>
              <w:right w:val="single" w:sz="4" w:space="0" w:color="auto"/>
            </w:tcBorders>
            <w:shd w:val="clear" w:color="auto" w:fill="auto"/>
            <w:noWrap/>
            <w:vAlign w:val="center"/>
            <w:hideMark/>
          </w:tcPr>
          <w:p w14:paraId="12BC2121"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216.871.297</w:t>
            </w:r>
          </w:p>
        </w:tc>
      </w:tr>
      <w:tr w:rsidR="00F24E18" w:rsidRPr="00E23330" w14:paraId="3AF0A05F"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48DBF81C"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39CA17E0"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Konkurenčni postopek s pogajanji</w:t>
            </w:r>
          </w:p>
        </w:tc>
        <w:tc>
          <w:tcPr>
            <w:tcW w:w="671" w:type="pct"/>
            <w:tcBorders>
              <w:top w:val="nil"/>
              <w:left w:val="nil"/>
              <w:bottom w:val="single" w:sz="4" w:space="0" w:color="auto"/>
              <w:right w:val="single" w:sz="4" w:space="0" w:color="auto"/>
            </w:tcBorders>
            <w:shd w:val="clear" w:color="auto" w:fill="auto"/>
            <w:noWrap/>
            <w:vAlign w:val="center"/>
            <w:hideMark/>
          </w:tcPr>
          <w:p w14:paraId="1902ADB7"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12</w:t>
            </w:r>
          </w:p>
        </w:tc>
        <w:tc>
          <w:tcPr>
            <w:tcW w:w="513" w:type="pct"/>
            <w:tcBorders>
              <w:top w:val="nil"/>
              <w:left w:val="nil"/>
              <w:bottom w:val="single" w:sz="4" w:space="0" w:color="auto"/>
              <w:right w:val="single" w:sz="4" w:space="0" w:color="auto"/>
            </w:tcBorders>
            <w:shd w:val="clear" w:color="auto" w:fill="auto"/>
            <w:noWrap/>
            <w:vAlign w:val="center"/>
            <w:hideMark/>
          </w:tcPr>
          <w:p w14:paraId="16CF07F2"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15</w:t>
            </w:r>
          </w:p>
        </w:tc>
        <w:tc>
          <w:tcPr>
            <w:tcW w:w="1042" w:type="pct"/>
            <w:tcBorders>
              <w:top w:val="nil"/>
              <w:left w:val="nil"/>
              <w:bottom w:val="single" w:sz="4" w:space="0" w:color="auto"/>
              <w:right w:val="single" w:sz="4" w:space="0" w:color="auto"/>
            </w:tcBorders>
            <w:shd w:val="clear" w:color="auto" w:fill="auto"/>
            <w:noWrap/>
            <w:vAlign w:val="center"/>
            <w:hideMark/>
          </w:tcPr>
          <w:p w14:paraId="1F7086D0"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86.071.006</w:t>
            </w:r>
          </w:p>
        </w:tc>
      </w:tr>
      <w:tr w:rsidR="00F24E18" w:rsidRPr="00E23330" w14:paraId="290775F2"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3C4528F0"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44406384"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Odprti postopek</w:t>
            </w:r>
          </w:p>
        </w:tc>
        <w:tc>
          <w:tcPr>
            <w:tcW w:w="671" w:type="pct"/>
            <w:tcBorders>
              <w:top w:val="nil"/>
              <w:left w:val="nil"/>
              <w:bottom w:val="single" w:sz="4" w:space="0" w:color="auto"/>
              <w:right w:val="single" w:sz="4" w:space="0" w:color="auto"/>
            </w:tcBorders>
            <w:shd w:val="clear" w:color="auto" w:fill="auto"/>
            <w:noWrap/>
            <w:vAlign w:val="center"/>
            <w:hideMark/>
          </w:tcPr>
          <w:p w14:paraId="7536A11B"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12</w:t>
            </w:r>
          </w:p>
        </w:tc>
        <w:tc>
          <w:tcPr>
            <w:tcW w:w="513" w:type="pct"/>
            <w:tcBorders>
              <w:top w:val="nil"/>
              <w:left w:val="nil"/>
              <w:bottom w:val="single" w:sz="4" w:space="0" w:color="auto"/>
              <w:right w:val="single" w:sz="4" w:space="0" w:color="auto"/>
            </w:tcBorders>
            <w:shd w:val="clear" w:color="auto" w:fill="auto"/>
            <w:noWrap/>
            <w:vAlign w:val="center"/>
            <w:hideMark/>
          </w:tcPr>
          <w:p w14:paraId="4BCF8710"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16</w:t>
            </w:r>
          </w:p>
        </w:tc>
        <w:tc>
          <w:tcPr>
            <w:tcW w:w="1042" w:type="pct"/>
            <w:tcBorders>
              <w:top w:val="nil"/>
              <w:left w:val="nil"/>
              <w:bottom w:val="single" w:sz="4" w:space="0" w:color="auto"/>
              <w:right w:val="single" w:sz="4" w:space="0" w:color="auto"/>
            </w:tcBorders>
            <w:shd w:val="clear" w:color="auto" w:fill="auto"/>
            <w:noWrap/>
            <w:vAlign w:val="center"/>
            <w:hideMark/>
          </w:tcPr>
          <w:p w14:paraId="737D4D32"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176.603.556</w:t>
            </w:r>
          </w:p>
        </w:tc>
      </w:tr>
      <w:tr w:rsidR="00F24E18" w:rsidRPr="00E23330" w14:paraId="07D5CD7F"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1E448548"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45B9CFC2"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Omejeni postopek</w:t>
            </w:r>
          </w:p>
        </w:tc>
        <w:tc>
          <w:tcPr>
            <w:tcW w:w="671" w:type="pct"/>
            <w:tcBorders>
              <w:top w:val="nil"/>
              <w:left w:val="nil"/>
              <w:bottom w:val="single" w:sz="4" w:space="0" w:color="auto"/>
              <w:right w:val="single" w:sz="4" w:space="0" w:color="auto"/>
            </w:tcBorders>
            <w:shd w:val="clear" w:color="auto" w:fill="auto"/>
            <w:noWrap/>
            <w:vAlign w:val="center"/>
            <w:hideMark/>
          </w:tcPr>
          <w:p w14:paraId="04640C96"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w:t>
            </w:r>
          </w:p>
        </w:tc>
        <w:tc>
          <w:tcPr>
            <w:tcW w:w="513" w:type="pct"/>
            <w:tcBorders>
              <w:top w:val="nil"/>
              <w:left w:val="nil"/>
              <w:bottom w:val="single" w:sz="4" w:space="0" w:color="auto"/>
              <w:right w:val="single" w:sz="4" w:space="0" w:color="auto"/>
            </w:tcBorders>
            <w:shd w:val="clear" w:color="auto" w:fill="auto"/>
            <w:noWrap/>
            <w:vAlign w:val="center"/>
            <w:hideMark/>
          </w:tcPr>
          <w:p w14:paraId="0D43986F"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w:t>
            </w:r>
          </w:p>
        </w:tc>
        <w:tc>
          <w:tcPr>
            <w:tcW w:w="1042" w:type="pct"/>
            <w:tcBorders>
              <w:top w:val="nil"/>
              <w:left w:val="nil"/>
              <w:bottom w:val="single" w:sz="4" w:space="0" w:color="auto"/>
              <w:right w:val="single" w:sz="4" w:space="0" w:color="auto"/>
            </w:tcBorders>
            <w:shd w:val="clear" w:color="auto" w:fill="auto"/>
            <w:noWrap/>
            <w:vAlign w:val="center"/>
            <w:hideMark/>
          </w:tcPr>
          <w:p w14:paraId="753B87CE"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248.083</w:t>
            </w:r>
          </w:p>
        </w:tc>
      </w:tr>
      <w:tr w:rsidR="00F24E18" w:rsidRPr="00E23330" w14:paraId="2FFB8E43"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303924BB"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1B42D820"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Postopek naročila male vrednosti</w:t>
            </w:r>
          </w:p>
        </w:tc>
        <w:tc>
          <w:tcPr>
            <w:tcW w:w="671" w:type="pct"/>
            <w:tcBorders>
              <w:top w:val="nil"/>
              <w:left w:val="nil"/>
              <w:bottom w:val="single" w:sz="4" w:space="0" w:color="auto"/>
              <w:right w:val="single" w:sz="4" w:space="0" w:color="auto"/>
            </w:tcBorders>
            <w:shd w:val="clear" w:color="auto" w:fill="auto"/>
            <w:noWrap/>
            <w:vAlign w:val="center"/>
            <w:hideMark/>
          </w:tcPr>
          <w:p w14:paraId="6E6A1452"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119</w:t>
            </w:r>
          </w:p>
        </w:tc>
        <w:tc>
          <w:tcPr>
            <w:tcW w:w="513" w:type="pct"/>
            <w:tcBorders>
              <w:top w:val="nil"/>
              <w:left w:val="nil"/>
              <w:bottom w:val="single" w:sz="4" w:space="0" w:color="auto"/>
              <w:right w:val="single" w:sz="4" w:space="0" w:color="auto"/>
            </w:tcBorders>
            <w:shd w:val="clear" w:color="auto" w:fill="auto"/>
            <w:noWrap/>
            <w:vAlign w:val="center"/>
            <w:hideMark/>
          </w:tcPr>
          <w:p w14:paraId="769A7FAD"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132</w:t>
            </w:r>
          </w:p>
        </w:tc>
        <w:tc>
          <w:tcPr>
            <w:tcW w:w="1042" w:type="pct"/>
            <w:tcBorders>
              <w:top w:val="nil"/>
              <w:left w:val="nil"/>
              <w:bottom w:val="single" w:sz="4" w:space="0" w:color="auto"/>
              <w:right w:val="single" w:sz="4" w:space="0" w:color="auto"/>
            </w:tcBorders>
            <w:shd w:val="clear" w:color="auto" w:fill="auto"/>
            <w:noWrap/>
            <w:vAlign w:val="center"/>
            <w:hideMark/>
          </w:tcPr>
          <w:p w14:paraId="202113A6"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96.706.131</w:t>
            </w:r>
          </w:p>
        </w:tc>
      </w:tr>
      <w:tr w:rsidR="00F24E18" w:rsidRPr="00E23330" w14:paraId="5A1FADEF"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608D7AB4"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2EA9277B" w14:textId="77777777" w:rsidR="00F24E18" w:rsidRPr="00E23330" w:rsidRDefault="00F24E18" w:rsidP="000E18B5">
            <w:pPr>
              <w:spacing w:after="0" w:line="240" w:lineRule="auto"/>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Postopek s pogajanji brez predhodne objave</w:t>
            </w:r>
          </w:p>
        </w:tc>
        <w:tc>
          <w:tcPr>
            <w:tcW w:w="671" w:type="pct"/>
            <w:tcBorders>
              <w:top w:val="nil"/>
              <w:left w:val="nil"/>
              <w:bottom w:val="single" w:sz="4" w:space="0" w:color="auto"/>
              <w:right w:val="single" w:sz="4" w:space="0" w:color="auto"/>
            </w:tcBorders>
            <w:shd w:val="clear" w:color="auto" w:fill="auto"/>
            <w:noWrap/>
            <w:vAlign w:val="center"/>
            <w:hideMark/>
          </w:tcPr>
          <w:p w14:paraId="2A5C563A"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6</w:t>
            </w:r>
          </w:p>
        </w:tc>
        <w:tc>
          <w:tcPr>
            <w:tcW w:w="513" w:type="pct"/>
            <w:tcBorders>
              <w:top w:val="nil"/>
              <w:left w:val="nil"/>
              <w:bottom w:val="single" w:sz="4" w:space="0" w:color="auto"/>
              <w:right w:val="single" w:sz="4" w:space="0" w:color="auto"/>
            </w:tcBorders>
            <w:shd w:val="clear" w:color="auto" w:fill="auto"/>
            <w:noWrap/>
            <w:vAlign w:val="center"/>
            <w:hideMark/>
          </w:tcPr>
          <w:p w14:paraId="3364BFEB"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6</w:t>
            </w:r>
          </w:p>
        </w:tc>
        <w:tc>
          <w:tcPr>
            <w:tcW w:w="1042" w:type="pct"/>
            <w:tcBorders>
              <w:top w:val="nil"/>
              <w:left w:val="nil"/>
              <w:bottom w:val="single" w:sz="4" w:space="0" w:color="auto"/>
              <w:right w:val="single" w:sz="4" w:space="0" w:color="auto"/>
            </w:tcBorders>
            <w:shd w:val="clear" w:color="auto" w:fill="auto"/>
            <w:noWrap/>
            <w:vAlign w:val="center"/>
            <w:hideMark/>
          </w:tcPr>
          <w:p w14:paraId="3B2373D6" w14:textId="77777777" w:rsidR="00F24E18" w:rsidRPr="00E23330" w:rsidRDefault="00F24E18" w:rsidP="000E18B5">
            <w:pPr>
              <w:spacing w:after="0" w:line="240" w:lineRule="auto"/>
              <w:jc w:val="right"/>
              <w:rPr>
                <w:rFonts w:ascii="Arial" w:eastAsia="Times New Roman" w:hAnsi="Arial" w:cs="Arial"/>
                <w:color w:val="000000"/>
                <w:sz w:val="18"/>
                <w:szCs w:val="18"/>
                <w:lang w:eastAsia="sl-SI"/>
              </w:rPr>
            </w:pPr>
            <w:r w:rsidRPr="00E23330">
              <w:rPr>
                <w:rFonts w:ascii="Arial" w:eastAsia="Times New Roman" w:hAnsi="Arial" w:cs="Arial"/>
                <w:color w:val="000000"/>
                <w:sz w:val="18"/>
                <w:szCs w:val="18"/>
                <w:lang w:eastAsia="sl-SI"/>
              </w:rPr>
              <w:t>13.020.227</w:t>
            </w:r>
          </w:p>
        </w:tc>
      </w:tr>
      <w:tr w:rsidR="00F24E18" w:rsidRPr="00E23330" w14:paraId="4AF3D327" w14:textId="77777777" w:rsidTr="000E18B5">
        <w:trPr>
          <w:trHeight w:val="300"/>
        </w:trPr>
        <w:tc>
          <w:tcPr>
            <w:tcW w:w="481" w:type="pct"/>
            <w:vMerge/>
            <w:tcBorders>
              <w:top w:val="nil"/>
              <w:left w:val="single" w:sz="4" w:space="0" w:color="auto"/>
              <w:bottom w:val="single" w:sz="4" w:space="0" w:color="auto"/>
              <w:right w:val="single" w:sz="4" w:space="0" w:color="auto"/>
            </w:tcBorders>
            <w:vAlign w:val="center"/>
            <w:hideMark/>
          </w:tcPr>
          <w:p w14:paraId="0C6097D3" w14:textId="77777777" w:rsidR="00F24E18" w:rsidRPr="00E23330" w:rsidRDefault="00F24E18" w:rsidP="000E18B5">
            <w:pPr>
              <w:spacing w:after="0" w:line="240" w:lineRule="auto"/>
              <w:rPr>
                <w:rFonts w:ascii="Arial" w:eastAsia="Times New Roman" w:hAnsi="Arial" w:cs="Arial"/>
                <w:color w:val="000000"/>
                <w:sz w:val="18"/>
                <w:szCs w:val="18"/>
                <w:lang w:eastAsia="sl-SI"/>
              </w:rPr>
            </w:pPr>
          </w:p>
        </w:tc>
        <w:tc>
          <w:tcPr>
            <w:tcW w:w="2293" w:type="pct"/>
            <w:tcBorders>
              <w:top w:val="nil"/>
              <w:left w:val="nil"/>
              <w:bottom w:val="single" w:sz="4" w:space="0" w:color="auto"/>
              <w:right w:val="single" w:sz="4" w:space="0" w:color="auto"/>
            </w:tcBorders>
            <w:shd w:val="clear" w:color="auto" w:fill="auto"/>
            <w:noWrap/>
            <w:vAlign w:val="center"/>
            <w:hideMark/>
          </w:tcPr>
          <w:p w14:paraId="70AD1FA3" w14:textId="77777777" w:rsidR="00F24E18" w:rsidRPr="00E23330" w:rsidRDefault="00F24E18" w:rsidP="000E18B5">
            <w:pPr>
              <w:spacing w:after="0" w:line="240" w:lineRule="auto"/>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Skupaj</w:t>
            </w:r>
          </w:p>
        </w:tc>
        <w:tc>
          <w:tcPr>
            <w:tcW w:w="671" w:type="pct"/>
            <w:tcBorders>
              <w:top w:val="nil"/>
              <w:left w:val="nil"/>
              <w:bottom w:val="single" w:sz="4" w:space="0" w:color="auto"/>
              <w:right w:val="single" w:sz="4" w:space="0" w:color="auto"/>
            </w:tcBorders>
            <w:shd w:val="clear" w:color="auto" w:fill="auto"/>
            <w:noWrap/>
            <w:vAlign w:val="center"/>
            <w:hideMark/>
          </w:tcPr>
          <w:p w14:paraId="3CA3B3F0"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154</w:t>
            </w:r>
          </w:p>
        </w:tc>
        <w:tc>
          <w:tcPr>
            <w:tcW w:w="513" w:type="pct"/>
            <w:tcBorders>
              <w:top w:val="nil"/>
              <w:left w:val="nil"/>
              <w:bottom w:val="single" w:sz="4" w:space="0" w:color="auto"/>
              <w:right w:val="single" w:sz="4" w:space="0" w:color="auto"/>
            </w:tcBorders>
            <w:shd w:val="clear" w:color="auto" w:fill="auto"/>
            <w:noWrap/>
            <w:vAlign w:val="center"/>
            <w:hideMark/>
          </w:tcPr>
          <w:p w14:paraId="6F3AE49D"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174</w:t>
            </w:r>
          </w:p>
        </w:tc>
        <w:tc>
          <w:tcPr>
            <w:tcW w:w="1042" w:type="pct"/>
            <w:tcBorders>
              <w:top w:val="nil"/>
              <w:left w:val="nil"/>
              <w:bottom w:val="single" w:sz="4" w:space="0" w:color="auto"/>
              <w:right w:val="single" w:sz="4" w:space="0" w:color="auto"/>
            </w:tcBorders>
            <w:shd w:val="clear" w:color="auto" w:fill="auto"/>
            <w:noWrap/>
            <w:vAlign w:val="center"/>
            <w:hideMark/>
          </w:tcPr>
          <w:p w14:paraId="4161407D"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589.520.300</w:t>
            </w:r>
          </w:p>
        </w:tc>
      </w:tr>
      <w:tr w:rsidR="00F24E18" w:rsidRPr="00242E41" w14:paraId="18040FE1" w14:textId="77777777" w:rsidTr="000E18B5">
        <w:trPr>
          <w:trHeight w:val="300"/>
        </w:trPr>
        <w:tc>
          <w:tcPr>
            <w:tcW w:w="277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F84D8C" w14:textId="77777777" w:rsidR="00F24E18" w:rsidRPr="00E23330" w:rsidRDefault="00F24E18" w:rsidP="000E18B5">
            <w:pPr>
              <w:spacing w:after="0" w:line="240" w:lineRule="auto"/>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Skupaj</w:t>
            </w:r>
          </w:p>
        </w:tc>
        <w:tc>
          <w:tcPr>
            <w:tcW w:w="671" w:type="pct"/>
            <w:tcBorders>
              <w:top w:val="nil"/>
              <w:left w:val="nil"/>
              <w:bottom w:val="single" w:sz="4" w:space="0" w:color="auto"/>
              <w:right w:val="single" w:sz="4" w:space="0" w:color="auto"/>
            </w:tcBorders>
            <w:shd w:val="clear" w:color="auto" w:fill="F2F2F2" w:themeFill="background1" w:themeFillShade="F2"/>
            <w:noWrap/>
            <w:vAlign w:val="center"/>
            <w:hideMark/>
          </w:tcPr>
          <w:p w14:paraId="7EC3A72F"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540</w:t>
            </w:r>
          </w:p>
        </w:tc>
        <w:tc>
          <w:tcPr>
            <w:tcW w:w="513" w:type="pct"/>
            <w:tcBorders>
              <w:top w:val="nil"/>
              <w:left w:val="nil"/>
              <w:bottom w:val="single" w:sz="4" w:space="0" w:color="auto"/>
              <w:right w:val="single" w:sz="4" w:space="0" w:color="auto"/>
            </w:tcBorders>
            <w:shd w:val="clear" w:color="auto" w:fill="F2F2F2" w:themeFill="background1" w:themeFillShade="F2"/>
            <w:noWrap/>
            <w:vAlign w:val="center"/>
            <w:hideMark/>
          </w:tcPr>
          <w:p w14:paraId="32F1A02C"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836</w:t>
            </w:r>
          </w:p>
        </w:tc>
        <w:tc>
          <w:tcPr>
            <w:tcW w:w="1042" w:type="pct"/>
            <w:tcBorders>
              <w:top w:val="nil"/>
              <w:left w:val="nil"/>
              <w:bottom w:val="single" w:sz="4" w:space="0" w:color="auto"/>
              <w:right w:val="single" w:sz="4" w:space="0" w:color="auto"/>
            </w:tcBorders>
            <w:shd w:val="clear" w:color="auto" w:fill="F2F2F2" w:themeFill="background1" w:themeFillShade="F2"/>
            <w:noWrap/>
            <w:vAlign w:val="center"/>
            <w:hideMark/>
          </w:tcPr>
          <w:p w14:paraId="7A9A999D" w14:textId="77777777" w:rsidR="00F24E18" w:rsidRPr="00E23330" w:rsidRDefault="00F24E18" w:rsidP="000E18B5">
            <w:pPr>
              <w:spacing w:after="0" w:line="240" w:lineRule="auto"/>
              <w:jc w:val="right"/>
              <w:rPr>
                <w:rFonts w:ascii="Arial" w:eastAsia="Times New Roman" w:hAnsi="Arial" w:cs="Arial"/>
                <w:b/>
                <w:bCs/>
                <w:color w:val="000000"/>
                <w:sz w:val="18"/>
                <w:szCs w:val="18"/>
                <w:lang w:eastAsia="sl-SI"/>
              </w:rPr>
            </w:pPr>
            <w:r w:rsidRPr="00E23330">
              <w:rPr>
                <w:rFonts w:ascii="Arial" w:eastAsia="Times New Roman" w:hAnsi="Arial" w:cs="Arial"/>
                <w:b/>
                <w:bCs/>
                <w:color w:val="000000"/>
                <w:sz w:val="18"/>
                <w:szCs w:val="18"/>
                <w:lang w:eastAsia="sl-SI"/>
              </w:rPr>
              <w:t>896.382.126</w:t>
            </w:r>
          </w:p>
        </w:tc>
      </w:tr>
    </w:tbl>
    <w:p w14:paraId="6EE1D751" w14:textId="77777777" w:rsidR="00F24E18" w:rsidRPr="00222446" w:rsidRDefault="00F24E18" w:rsidP="00F24E18">
      <w:pPr>
        <w:spacing w:before="120" w:after="120" w:line="240" w:lineRule="auto"/>
        <w:jc w:val="both"/>
        <w:rPr>
          <w:rFonts w:ascii="Arial" w:hAnsi="Arial" w:cs="Arial"/>
          <w:sz w:val="20"/>
        </w:rPr>
      </w:pPr>
    </w:p>
    <w:p w14:paraId="690E418C" w14:textId="77777777" w:rsidR="00F24E18" w:rsidRPr="00222446" w:rsidRDefault="00F24E18" w:rsidP="00F24E18">
      <w:pPr>
        <w:spacing w:before="120" w:after="0" w:line="240" w:lineRule="auto"/>
        <w:jc w:val="both"/>
        <w:rPr>
          <w:rFonts w:ascii="Arial" w:hAnsi="Arial" w:cs="Arial"/>
          <w:sz w:val="20"/>
        </w:rPr>
      </w:pPr>
      <w:r w:rsidRPr="00222446">
        <w:rPr>
          <w:rFonts w:ascii="Arial" w:hAnsi="Arial" w:cs="Arial"/>
          <w:sz w:val="20"/>
        </w:rPr>
        <w:t>Preglednica 86: Javna naročila, sofinancirana s sredstvi EU glede na področje, mesto objave in vrsto postopka</w:t>
      </w:r>
      <w:bookmarkEnd w:id="114"/>
      <w:bookmarkEnd w:id="115"/>
      <w:bookmarkEnd w:id="116"/>
      <w:bookmarkEnd w:id="117"/>
      <w:bookmarkEnd w:id="118"/>
      <w:bookmarkEnd w:id="119"/>
    </w:p>
    <w:p w14:paraId="62F59344" w14:textId="77777777" w:rsidR="00F24E18" w:rsidRPr="00242E41" w:rsidRDefault="00F24E18" w:rsidP="00F24E18">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6"/>
        <w:gridCol w:w="3259"/>
        <w:gridCol w:w="1136"/>
        <w:gridCol w:w="851"/>
        <w:gridCol w:w="1380"/>
      </w:tblGrid>
      <w:tr w:rsidR="00F24E18" w:rsidRPr="00222446" w14:paraId="10D79828" w14:textId="77777777" w:rsidTr="000E18B5">
        <w:trPr>
          <w:trHeight w:val="300"/>
          <w:tblHeader/>
        </w:trPr>
        <w:tc>
          <w:tcPr>
            <w:tcW w:w="770" w:type="pct"/>
            <w:shd w:val="clear" w:color="auto" w:fill="F2F2F2" w:themeFill="background1" w:themeFillShade="F2"/>
            <w:noWrap/>
            <w:vAlign w:val="center"/>
            <w:hideMark/>
          </w:tcPr>
          <w:p w14:paraId="021F77C4" w14:textId="77777777" w:rsidR="00F24E18" w:rsidRPr="00222446" w:rsidRDefault="00F24E18" w:rsidP="000E18B5">
            <w:pPr>
              <w:spacing w:after="0" w:line="240" w:lineRule="auto"/>
              <w:jc w:val="center"/>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Področje</w:t>
            </w:r>
          </w:p>
        </w:tc>
        <w:tc>
          <w:tcPr>
            <w:tcW w:w="619" w:type="pct"/>
            <w:shd w:val="clear" w:color="auto" w:fill="F2F2F2" w:themeFill="background1" w:themeFillShade="F2"/>
            <w:noWrap/>
            <w:vAlign w:val="center"/>
            <w:hideMark/>
          </w:tcPr>
          <w:p w14:paraId="0C424870" w14:textId="77777777" w:rsidR="00F24E18" w:rsidRPr="00222446" w:rsidRDefault="00F24E18" w:rsidP="000E18B5">
            <w:pPr>
              <w:spacing w:after="0" w:line="240" w:lineRule="auto"/>
              <w:jc w:val="center"/>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Objava UL EU</w:t>
            </w:r>
          </w:p>
        </w:tc>
        <w:tc>
          <w:tcPr>
            <w:tcW w:w="1776" w:type="pct"/>
            <w:shd w:val="clear" w:color="auto" w:fill="F2F2F2" w:themeFill="background1" w:themeFillShade="F2"/>
            <w:noWrap/>
            <w:vAlign w:val="center"/>
            <w:hideMark/>
          </w:tcPr>
          <w:p w14:paraId="65E1A6F0" w14:textId="77777777" w:rsidR="00F24E18" w:rsidRPr="00222446" w:rsidRDefault="00F24E18" w:rsidP="000E18B5">
            <w:pPr>
              <w:spacing w:after="0" w:line="240" w:lineRule="auto"/>
              <w:jc w:val="center"/>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Vrsta postopka</w:t>
            </w:r>
          </w:p>
        </w:tc>
        <w:tc>
          <w:tcPr>
            <w:tcW w:w="619" w:type="pct"/>
            <w:shd w:val="clear" w:color="auto" w:fill="F2F2F2" w:themeFill="background1" w:themeFillShade="F2"/>
            <w:noWrap/>
            <w:vAlign w:val="center"/>
            <w:hideMark/>
          </w:tcPr>
          <w:p w14:paraId="1CCE2324" w14:textId="77777777" w:rsidR="00F24E18" w:rsidRPr="00222446" w:rsidRDefault="00F24E18" w:rsidP="000E18B5">
            <w:pPr>
              <w:spacing w:after="0" w:line="240" w:lineRule="auto"/>
              <w:jc w:val="center"/>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Št. postopkov</w:t>
            </w:r>
          </w:p>
        </w:tc>
        <w:tc>
          <w:tcPr>
            <w:tcW w:w="464" w:type="pct"/>
            <w:shd w:val="clear" w:color="auto" w:fill="F2F2F2" w:themeFill="background1" w:themeFillShade="F2"/>
            <w:noWrap/>
            <w:vAlign w:val="center"/>
            <w:hideMark/>
          </w:tcPr>
          <w:p w14:paraId="2B26DE17" w14:textId="77777777" w:rsidR="00F24E18" w:rsidRPr="00222446" w:rsidRDefault="00F24E18" w:rsidP="000E18B5">
            <w:pPr>
              <w:spacing w:after="0" w:line="240" w:lineRule="auto"/>
              <w:jc w:val="center"/>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Št. naročil</w:t>
            </w:r>
          </w:p>
        </w:tc>
        <w:tc>
          <w:tcPr>
            <w:tcW w:w="752" w:type="pct"/>
            <w:shd w:val="clear" w:color="auto" w:fill="F2F2F2" w:themeFill="background1" w:themeFillShade="F2"/>
            <w:noWrap/>
            <w:vAlign w:val="center"/>
            <w:hideMark/>
          </w:tcPr>
          <w:p w14:paraId="0D22F32C" w14:textId="77777777" w:rsidR="00F24E18" w:rsidRPr="00222446" w:rsidRDefault="00F24E18" w:rsidP="000E18B5">
            <w:pPr>
              <w:spacing w:after="0" w:line="240" w:lineRule="auto"/>
              <w:jc w:val="center"/>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Pogodbena vrednost</w:t>
            </w:r>
          </w:p>
        </w:tc>
      </w:tr>
      <w:tr w:rsidR="00F24E18" w:rsidRPr="00222446" w14:paraId="2B78F13E" w14:textId="77777777" w:rsidTr="000E18B5">
        <w:trPr>
          <w:trHeight w:val="300"/>
        </w:trPr>
        <w:tc>
          <w:tcPr>
            <w:tcW w:w="770" w:type="pct"/>
            <w:vMerge w:val="restart"/>
            <w:shd w:val="clear" w:color="auto" w:fill="auto"/>
            <w:noWrap/>
            <w:vAlign w:val="center"/>
            <w:hideMark/>
          </w:tcPr>
          <w:p w14:paraId="39F500B6" w14:textId="77777777" w:rsidR="00F24E18" w:rsidRPr="00222446" w:rsidRDefault="00F24E18" w:rsidP="000E18B5">
            <w:pPr>
              <w:spacing w:after="0" w:line="240" w:lineRule="auto"/>
              <w:jc w:val="center"/>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Splošno</w:t>
            </w:r>
          </w:p>
        </w:tc>
        <w:tc>
          <w:tcPr>
            <w:tcW w:w="619" w:type="pct"/>
            <w:vMerge w:val="restart"/>
            <w:shd w:val="clear" w:color="auto" w:fill="auto"/>
            <w:noWrap/>
            <w:vAlign w:val="center"/>
            <w:hideMark/>
          </w:tcPr>
          <w:p w14:paraId="07291937"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DA</w:t>
            </w:r>
          </w:p>
        </w:tc>
        <w:tc>
          <w:tcPr>
            <w:tcW w:w="1776" w:type="pct"/>
            <w:shd w:val="clear" w:color="auto" w:fill="auto"/>
            <w:noWrap/>
            <w:vAlign w:val="center"/>
            <w:hideMark/>
          </w:tcPr>
          <w:p w14:paraId="4EB91751"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Konkurenčni dialog</w:t>
            </w:r>
          </w:p>
        </w:tc>
        <w:tc>
          <w:tcPr>
            <w:tcW w:w="619" w:type="pct"/>
            <w:shd w:val="clear" w:color="auto" w:fill="auto"/>
            <w:noWrap/>
            <w:vAlign w:val="center"/>
            <w:hideMark/>
          </w:tcPr>
          <w:p w14:paraId="2DC04B14"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w:t>
            </w:r>
          </w:p>
        </w:tc>
        <w:tc>
          <w:tcPr>
            <w:tcW w:w="464" w:type="pct"/>
            <w:shd w:val="clear" w:color="auto" w:fill="auto"/>
            <w:noWrap/>
            <w:vAlign w:val="center"/>
            <w:hideMark/>
          </w:tcPr>
          <w:p w14:paraId="450D1123"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w:t>
            </w:r>
          </w:p>
        </w:tc>
        <w:tc>
          <w:tcPr>
            <w:tcW w:w="752" w:type="pct"/>
            <w:shd w:val="clear" w:color="auto" w:fill="auto"/>
            <w:noWrap/>
            <w:vAlign w:val="center"/>
            <w:hideMark/>
          </w:tcPr>
          <w:p w14:paraId="21574183"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906.503</w:t>
            </w:r>
          </w:p>
        </w:tc>
      </w:tr>
      <w:tr w:rsidR="00F24E18" w:rsidRPr="00222446" w14:paraId="48AF29D9" w14:textId="77777777" w:rsidTr="000E18B5">
        <w:trPr>
          <w:trHeight w:val="300"/>
        </w:trPr>
        <w:tc>
          <w:tcPr>
            <w:tcW w:w="770" w:type="pct"/>
            <w:vMerge/>
            <w:vAlign w:val="center"/>
            <w:hideMark/>
          </w:tcPr>
          <w:p w14:paraId="59CBA945"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75299C6C"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5862CBB3"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Konkurenčni postopek s pogajanji</w:t>
            </w:r>
          </w:p>
        </w:tc>
        <w:tc>
          <w:tcPr>
            <w:tcW w:w="619" w:type="pct"/>
            <w:shd w:val="clear" w:color="auto" w:fill="auto"/>
            <w:noWrap/>
            <w:vAlign w:val="center"/>
            <w:hideMark/>
          </w:tcPr>
          <w:p w14:paraId="612D8497"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10</w:t>
            </w:r>
          </w:p>
        </w:tc>
        <w:tc>
          <w:tcPr>
            <w:tcW w:w="464" w:type="pct"/>
            <w:shd w:val="clear" w:color="auto" w:fill="auto"/>
            <w:noWrap/>
            <w:vAlign w:val="center"/>
            <w:hideMark/>
          </w:tcPr>
          <w:p w14:paraId="2A448AA5"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10</w:t>
            </w:r>
          </w:p>
        </w:tc>
        <w:tc>
          <w:tcPr>
            <w:tcW w:w="752" w:type="pct"/>
            <w:shd w:val="clear" w:color="auto" w:fill="auto"/>
            <w:noWrap/>
            <w:vAlign w:val="center"/>
            <w:hideMark/>
          </w:tcPr>
          <w:p w14:paraId="2287A419"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93.760.560</w:t>
            </w:r>
          </w:p>
        </w:tc>
      </w:tr>
      <w:tr w:rsidR="00F24E18" w:rsidRPr="00222446" w14:paraId="102D2D2C" w14:textId="77777777" w:rsidTr="000E18B5">
        <w:trPr>
          <w:trHeight w:val="300"/>
        </w:trPr>
        <w:tc>
          <w:tcPr>
            <w:tcW w:w="770" w:type="pct"/>
            <w:vMerge/>
            <w:vAlign w:val="center"/>
            <w:hideMark/>
          </w:tcPr>
          <w:p w14:paraId="02E550B6"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325618A8"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2BFCA3E6"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Odprti postopek</w:t>
            </w:r>
          </w:p>
        </w:tc>
        <w:tc>
          <w:tcPr>
            <w:tcW w:w="619" w:type="pct"/>
            <w:shd w:val="clear" w:color="auto" w:fill="auto"/>
            <w:noWrap/>
            <w:vAlign w:val="center"/>
            <w:hideMark/>
          </w:tcPr>
          <w:p w14:paraId="1628883F"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132</w:t>
            </w:r>
          </w:p>
        </w:tc>
        <w:tc>
          <w:tcPr>
            <w:tcW w:w="464" w:type="pct"/>
            <w:shd w:val="clear" w:color="auto" w:fill="auto"/>
            <w:noWrap/>
            <w:vAlign w:val="center"/>
            <w:hideMark/>
          </w:tcPr>
          <w:p w14:paraId="2BFF9CA0"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299</w:t>
            </w:r>
          </w:p>
        </w:tc>
        <w:tc>
          <w:tcPr>
            <w:tcW w:w="752" w:type="pct"/>
            <w:shd w:val="clear" w:color="auto" w:fill="auto"/>
            <w:noWrap/>
            <w:vAlign w:val="center"/>
            <w:hideMark/>
          </w:tcPr>
          <w:p w14:paraId="08286166"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273.213.603</w:t>
            </w:r>
          </w:p>
        </w:tc>
      </w:tr>
      <w:tr w:rsidR="00F24E18" w:rsidRPr="00222446" w14:paraId="509E7932" w14:textId="77777777" w:rsidTr="000E18B5">
        <w:trPr>
          <w:trHeight w:val="300"/>
        </w:trPr>
        <w:tc>
          <w:tcPr>
            <w:tcW w:w="770" w:type="pct"/>
            <w:vMerge/>
            <w:vAlign w:val="center"/>
            <w:hideMark/>
          </w:tcPr>
          <w:p w14:paraId="302A9D6B"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6DE5E0B1"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26E9E9CD"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Omejeni postopek</w:t>
            </w:r>
          </w:p>
        </w:tc>
        <w:tc>
          <w:tcPr>
            <w:tcW w:w="619" w:type="pct"/>
            <w:shd w:val="clear" w:color="auto" w:fill="auto"/>
            <w:noWrap/>
            <w:vAlign w:val="center"/>
            <w:hideMark/>
          </w:tcPr>
          <w:p w14:paraId="76BB2EEB"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33</w:t>
            </w:r>
          </w:p>
        </w:tc>
        <w:tc>
          <w:tcPr>
            <w:tcW w:w="464" w:type="pct"/>
            <w:shd w:val="clear" w:color="auto" w:fill="auto"/>
            <w:noWrap/>
            <w:vAlign w:val="center"/>
            <w:hideMark/>
          </w:tcPr>
          <w:p w14:paraId="0603D839"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61</w:t>
            </w:r>
          </w:p>
        </w:tc>
        <w:tc>
          <w:tcPr>
            <w:tcW w:w="752" w:type="pct"/>
            <w:shd w:val="clear" w:color="auto" w:fill="auto"/>
            <w:noWrap/>
            <w:vAlign w:val="center"/>
            <w:hideMark/>
          </w:tcPr>
          <w:p w14:paraId="5C8AB715"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33.120.382</w:t>
            </w:r>
          </w:p>
        </w:tc>
      </w:tr>
      <w:tr w:rsidR="00F24E18" w:rsidRPr="00222446" w14:paraId="56B0C58E" w14:textId="77777777" w:rsidTr="000E18B5">
        <w:trPr>
          <w:trHeight w:val="300"/>
        </w:trPr>
        <w:tc>
          <w:tcPr>
            <w:tcW w:w="770" w:type="pct"/>
            <w:vMerge/>
            <w:vAlign w:val="center"/>
            <w:hideMark/>
          </w:tcPr>
          <w:p w14:paraId="6A9C4176"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078844F4"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11CA0C80"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Postopek s pogajanji brez predhodne objave</w:t>
            </w:r>
          </w:p>
        </w:tc>
        <w:tc>
          <w:tcPr>
            <w:tcW w:w="619" w:type="pct"/>
            <w:shd w:val="clear" w:color="auto" w:fill="auto"/>
            <w:noWrap/>
            <w:vAlign w:val="center"/>
            <w:hideMark/>
          </w:tcPr>
          <w:p w14:paraId="0F4E4566"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14</w:t>
            </w:r>
          </w:p>
        </w:tc>
        <w:tc>
          <w:tcPr>
            <w:tcW w:w="464" w:type="pct"/>
            <w:shd w:val="clear" w:color="auto" w:fill="auto"/>
            <w:noWrap/>
            <w:vAlign w:val="center"/>
            <w:hideMark/>
          </w:tcPr>
          <w:p w14:paraId="48C904B0"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18</w:t>
            </w:r>
          </w:p>
        </w:tc>
        <w:tc>
          <w:tcPr>
            <w:tcW w:w="752" w:type="pct"/>
            <w:shd w:val="clear" w:color="auto" w:fill="auto"/>
            <w:noWrap/>
            <w:vAlign w:val="center"/>
            <w:hideMark/>
          </w:tcPr>
          <w:p w14:paraId="62C5BB56"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19.954.331</w:t>
            </w:r>
          </w:p>
        </w:tc>
      </w:tr>
      <w:tr w:rsidR="00F24E18" w:rsidRPr="00222446" w14:paraId="13DA6FFD" w14:textId="77777777" w:rsidTr="000E18B5">
        <w:trPr>
          <w:trHeight w:val="300"/>
        </w:trPr>
        <w:tc>
          <w:tcPr>
            <w:tcW w:w="770" w:type="pct"/>
            <w:vMerge/>
            <w:vAlign w:val="center"/>
            <w:hideMark/>
          </w:tcPr>
          <w:p w14:paraId="5697C754"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17C6CD31"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40BA84F3" w14:textId="77777777" w:rsidR="00F24E18" w:rsidRPr="00222446" w:rsidRDefault="00F24E18" w:rsidP="000E18B5">
            <w:pPr>
              <w:spacing w:after="0" w:line="240" w:lineRule="auto"/>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Skupaj</w:t>
            </w:r>
          </w:p>
        </w:tc>
        <w:tc>
          <w:tcPr>
            <w:tcW w:w="619" w:type="pct"/>
            <w:shd w:val="clear" w:color="auto" w:fill="auto"/>
            <w:noWrap/>
            <w:vAlign w:val="center"/>
            <w:hideMark/>
          </w:tcPr>
          <w:p w14:paraId="4E8B484D"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190</w:t>
            </w:r>
          </w:p>
        </w:tc>
        <w:tc>
          <w:tcPr>
            <w:tcW w:w="464" w:type="pct"/>
            <w:shd w:val="clear" w:color="auto" w:fill="auto"/>
            <w:noWrap/>
            <w:vAlign w:val="center"/>
            <w:hideMark/>
          </w:tcPr>
          <w:p w14:paraId="50618CA3"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389</w:t>
            </w:r>
          </w:p>
        </w:tc>
        <w:tc>
          <w:tcPr>
            <w:tcW w:w="752" w:type="pct"/>
            <w:shd w:val="clear" w:color="auto" w:fill="auto"/>
            <w:noWrap/>
            <w:vAlign w:val="center"/>
            <w:hideMark/>
          </w:tcPr>
          <w:p w14:paraId="495D1AD0"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420.955.379</w:t>
            </w:r>
          </w:p>
        </w:tc>
      </w:tr>
      <w:tr w:rsidR="00F24E18" w:rsidRPr="00222446" w14:paraId="1127C26B" w14:textId="77777777" w:rsidTr="000E18B5">
        <w:trPr>
          <w:trHeight w:val="300"/>
        </w:trPr>
        <w:tc>
          <w:tcPr>
            <w:tcW w:w="770" w:type="pct"/>
            <w:vMerge/>
            <w:vAlign w:val="center"/>
            <w:hideMark/>
          </w:tcPr>
          <w:p w14:paraId="3E06E8E5"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restart"/>
            <w:shd w:val="clear" w:color="auto" w:fill="auto"/>
            <w:noWrap/>
            <w:vAlign w:val="center"/>
            <w:hideMark/>
          </w:tcPr>
          <w:p w14:paraId="2A216492"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NE</w:t>
            </w:r>
          </w:p>
        </w:tc>
        <w:tc>
          <w:tcPr>
            <w:tcW w:w="1776" w:type="pct"/>
            <w:shd w:val="clear" w:color="auto" w:fill="auto"/>
            <w:noWrap/>
            <w:vAlign w:val="center"/>
            <w:hideMark/>
          </w:tcPr>
          <w:p w14:paraId="5E1C0489"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Konkurenčni dialog</w:t>
            </w:r>
          </w:p>
        </w:tc>
        <w:tc>
          <w:tcPr>
            <w:tcW w:w="619" w:type="pct"/>
            <w:shd w:val="clear" w:color="auto" w:fill="auto"/>
            <w:noWrap/>
            <w:vAlign w:val="center"/>
            <w:hideMark/>
          </w:tcPr>
          <w:p w14:paraId="73E6F141"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w:t>
            </w:r>
          </w:p>
        </w:tc>
        <w:tc>
          <w:tcPr>
            <w:tcW w:w="464" w:type="pct"/>
            <w:shd w:val="clear" w:color="auto" w:fill="auto"/>
            <w:noWrap/>
            <w:vAlign w:val="center"/>
            <w:hideMark/>
          </w:tcPr>
          <w:p w14:paraId="7DC2439E"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w:t>
            </w:r>
          </w:p>
        </w:tc>
        <w:tc>
          <w:tcPr>
            <w:tcW w:w="752" w:type="pct"/>
            <w:shd w:val="clear" w:color="auto" w:fill="auto"/>
            <w:noWrap/>
            <w:vAlign w:val="center"/>
            <w:hideMark/>
          </w:tcPr>
          <w:p w14:paraId="20A91217"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4.195.960</w:t>
            </w:r>
          </w:p>
        </w:tc>
      </w:tr>
      <w:tr w:rsidR="00F24E18" w:rsidRPr="00222446" w14:paraId="4023D9CF" w14:textId="77777777" w:rsidTr="000E18B5">
        <w:trPr>
          <w:trHeight w:val="300"/>
        </w:trPr>
        <w:tc>
          <w:tcPr>
            <w:tcW w:w="770" w:type="pct"/>
            <w:vMerge/>
            <w:vAlign w:val="center"/>
            <w:hideMark/>
          </w:tcPr>
          <w:p w14:paraId="3D5A2FFA"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47EF70FF"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47CEC50C"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Konkurenčni postopek s pogajanji</w:t>
            </w:r>
          </w:p>
        </w:tc>
        <w:tc>
          <w:tcPr>
            <w:tcW w:w="619" w:type="pct"/>
            <w:shd w:val="clear" w:color="auto" w:fill="auto"/>
            <w:noWrap/>
            <w:vAlign w:val="center"/>
            <w:hideMark/>
          </w:tcPr>
          <w:p w14:paraId="626A321A"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11</w:t>
            </w:r>
          </w:p>
        </w:tc>
        <w:tc>
          <w:tcPr>
            <w:tcW w:w="464" w:type="pct"/>
            <w:shd w:val="clear" w:color="auto" w:fill="auto"/>
            <w:noWrap/>
            <w:vAlign w:val="center"/>
            <w:hideMark/>
          </w:tcPr>
          <w:p w14:paraId="1F10F9FF"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15</w:t>
            </w:r>
          </w:p>
        </w:tc>
        <w:tc>
          <w:tcPr>
            <w:tcW w:w="752" w:type="pct"/>
            <w:shd w:val="clear" w:color="auto" w:fill="auto"/>
            <w:noWrap/>
            <w:vAlign w:val="center"/>
            <w:hideMark/>
          </w:tcPr>
          <w:p w14:paraId="69536A59"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6.469.892</w:t>
            </w:r>
          </w:p>
        </w:tc>
      </w:tr>
      <w:tr w:rsidR="00F24E18" w:rsidRPr="00222446" w14:paraId="5E3DB356" w14:textId="77777777" w:rsidTr="000E18B5">
        <w:trPr>
          <w:trHeight w:val="300"/>
        </w:trPr>
        <w:tc>
          <w:tcPr>
            <w:tcW w:w="770" w:type="pct"/>
            <w:vMerge/>
            <w:vAlign w:val="center"/>
            <w:hideMark/>
          </w:tcPr>
          <w:p w14:paraId="3A67AF3E"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36BABD95"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3507D1B9"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Odprti postopek</w:t>
            </w:r>
          </w:p>
        </w:tc>
        <w:tc>
          <w:tcPr>
            <w:tcW w:w="619" w:type="pct"/>
            <w:shd w:val="clear" w:color="auto" w:fill="auto"/>
            <w:noWrap/>
            <w:vAlign w:val="center"/>
            <w:hideMark/>
          </w:tcPr>
          <w:p w14:paraId="080582D2"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3</w:t>
            </w:r>
          </w:p>
        </w:tc>
        <w:tc>
          <w:tcPr>
            <w:tcW w:w="464" w:type="pct"/>
            <w:shd w:val="clear" w:color="auto" w:fill="auto"/>
            <w:noWrap/>
            <w:vAlign w:val="center"/>
            <w:hideMark/>
          </w:tcPr>
          <w:p w14:paraId="5678793F"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4</w:t>
            </w:r>
          </w:p>
        </w:tc>
        <w:tc>
          <w:tcPr>
            <w:tcW w:w="752" w:type="pct"/>
            <w:shd w:val="clear" w:color="auto" w:fill="auto"/>
            <w:noWrap/>
            <w:vAlign w:val="center"/>
            <w:hideMark/>
          </w:tcPr>
          <w:p w14:paraId="66D04040"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6.703.530</w:t>
            </w:r>
          </w:p>
        </w:tc>
      </w:tr>
      <w:tr w:rsidR="00F24E18" w:rsidRPr="00222446" w14:paraId="7D3D2446" w14:textId="77777777" w:rsidTr="000E18B5">
        <w:trPr>
          <w:trHeight w:val="300"/>
        </w:trPr>
        <w:tc>
          <w:tcPr>
            <w:tcW w:w="770" w:type="pct"/>
            <w:vMerge/>
            <w:vAlign w:val="center"/>
            <w:hideMark/>
          </w:tcPr>
          <w:p w14:paraId="0015CD27"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5F6BFBA7"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4CA20F22"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Omejeni postopek</w:t>
            </w:r>
          </w:p>
        </w:tc>
        <w:tc>
          <w:tcPr>
            <w:tcW w:w="619" w:type="pct"/>
            <w:shd w:val="clear" w:color="auto" w:fill="auto"/>
            <w:noWrap/>
            <w:vAlign w:val="center"/>
            <w:hideMark/>
          </w:tcPr>
          <w:p w14:paraId="002B6E30"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6</w:t>
            </w:r>
          </w:p>
        </w:tc>
        <w:tc>
          <w:tcPr>
            <w:tcW w:w="464" w:type="pct"/>
            <w:shd w:val="clear" w:color="auto" w:fill="auto"/>
            <w:noWrap/>
            <w:vAlign w:val="center"/>
            <w:hideMark/>
          </w:tcPr>
          <w:p w14:paraId="1D2ECAF5"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6</w:t>
            </w:r>
          </w:p>
        </w:tc>
        <w:tc>
          <w:tcPr>
            <w:tcW w:w="752" w:type="pct"/>
            <w:shd w:val="clear" w:color="auto" w:fill="auto"/>
            <w:noWrap/>
            <w:vAlign w:val="center"/>
            <w:hideMark/>
          </w:tcPr>
          <w:p w14:paraId="272CD03B"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280.593</w:t>
            </w:r>
          </w:p>
        </w:tc>
      </w:tr>
      <w:tr w:rsidR="00F24E18" w:rsidRPr="00222446" w14:paraId="2FCEFBE4" w14:textId="77777777" w:rsidTr="000E18B5">
        <w:trPr>
          <w:trHeight w:val="300"/>
        </w:trPr>
        <w:tc>
          <w:tcPr>
            <w:tcW w:w="770" w:type="pct"/>
            <w:vMerge/>
            <w:vAlign w:val="center"/>
            <w:hideMark/>
          </w:tcPr>
          <w:p w14:paraId="2DA57E27"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40E56739"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3BB5D35E"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Postopek naročila male vrednosti</w:t>
            </w:r>
          </w:p>
        </w:tc>
        <w:tc>
          <w:tcPr>
            <w:tcW w:w="619" w:type="pct"/>
            <w:shd w:val="clear" w:color="auto" w:fill="auto"/>
            <w:noWrap/>
            <w:vAlign w:val="center"/>
            <w:hideMark/>
          </w:tcPr>
          <w:p w14:paraId="497A98EF"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282</w:t>
            </w:r>
          </w:p>
        </w:tc>
        <w:tc>
          <w:tcPr>
            <w:tcW w:w="464" w:type="pct"/>
            <w:shd w:val="clear" w:color="auto" w:fill="auto"/>
            <w:noWrap/>
            <w:vAlign w:val="center"/>
            <w:hideMark/>
          </w:tcPr>
          <w:p w14:paraId="7F49F637"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364</w:t>
            </w:r>
          </w:p>
        </w:tc>
        <w:tc>
          <w:tcPr>
            <w:tcW w:w="752" w:type="pct"/>
            <w:shd w:val="clear" w:color="auto" w:fill="auto"/>
            <w:noWrap/>
            <w:vAlign w:val="center"/>
            <w:hideMark/>
          </w:tcPr>
          <w:p w14:paraId="5377A3AD"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108.705.506</w:t>
            </w:r>
          </w:p>
        </w:tc>
      </w:tr>
      <w:tr w:rsidR="00F24E18" w:rsidRPr="00222446" w14:paraId="24BC16C4" w14:textId="77777777" w:rsidTr="000E18B5">
        <w:trPr>
          <w:trHeight w:val="300"/>
        </w:trPr>
        <w:tc>
          <w:tcPr>
            <w:tcW w:w="770" w:type="pct"/>
            <w:vMerge/>
            <w:vAlign w:val="center"/>
            <w:hideMark/>
          </w:tcPr>
          <w:p w14:paraId="32A21DB7"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105ABEB0"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04522B2D"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Postopek s pogajanji brez predhodne objave</w:t>
            </w:r>
          </w:p>
        </w:tc>
        <w:tc>
          <w:tcPr>
            <w:tcW w:w="619" w:type="pct"/>
            <w:shd w:val="clear" w:color="auto" w:fill="auto"/>
            <w:noWrap/>
            <w:vAlign w:val="center"/>
            <w:hideMark/>
          </w:tcPr>
          <w:p w14:paraId="5F4F0A87"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9</w:t>
            </w:r>
          </w:p>
        </w:tc>
        <w:tc>
          <w:tcPr>
            <w:tcW w:w="464" w:type="pct"/>
            <w:shd w:val="clear" w:color="auto" w:fill="auto"/>
            <w:noWrap/>
            <w:vAlign w:val="center"/>
            <w:hideMark/>
          </w:tcPr>
          <w:p w14:paraId="7653CB2F"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9</w:t>
            </w:r>
          </w:p>
        </w:tc>
        <w:tc>
          <w:tcPr>
            <w:tcW w:w="752" w:type="pct"/>
            <w:shd w:val="clear" w:color="auto" w:fill="auto"/>
            <w:noWrap/>
            <w:vAlign w:val="center"/>
            <w:hideMark/>
          </w:tcPr>
          <w:p w14:paraId="07A6CABB"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1.386.046</w:t>
            </w:r>
          </w:p>
        </w:tc>
      </w:tr>
      <w:tr w:rsidR="00F24E18" w:rsidRPr="00222446" w14:paraId="4187F2C9" w14:textId="77777777" w:rsidTr="000E18B5">
        <w:trPr>
          <w:trHeight w:val="300"/>
        </w:trPr>
        <w:tc>
          <w:tcPr>
            <w:tcW w:w="770" w:type="pct"/>
            <w:vMerge/>
            <w:vAlign w:val="center"/>
            <w:hideMark/>
          </w:tcPr>
          <w:p w14:paraId="5EC224D5"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590BF218"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3A536014" w14:textId="77777777" w:rsidR="00F24E18" w:rsidRPr="00222446" w:rsidRDefault="00F24E18" w:rsidP="000E18B5">
            <w:pPr>
              <w:spacing w:after="0" w:line="240" w:lineRule="auto"/>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Skupaj</w:t>
            </w:r>
          </w:p>
        </w:tc>
        <w:tc>
          <w:tcPr>
            <w:tcW w:w="619" w:type="pct"/>
            <w:shd w:val="clear" w:color="auto" w:fill="auto"/>
            <w:noWrap/>
            <w:vAlign w:val="center"/>
            <w:hideMark/>
          </w:tcPr>
          <w:p w14:paraId="2B99C58B"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312</w:t>
            </w:r>
          </w:p>
        </w:tc>
        <w:tc>
          <w:tcPr>
            <w:tcW w:w="464" w:type="pct"/>
            <w:shd w:val="clear" w:color="auto" w:fill="auto"/>
            <w:noWrap/>
            <w:vAlign w:val="center"/>
            <w:hideMark/>
          </w:tcPr>
          <w:p w14:paraId="453C3D03"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399</w:t>
            </w:r>
          </w:p>
        </w:tc>
        <w:tc>
          <w:tcPr>
            <w:tcW w:w="752" w:type="pct"/>
            <w:shd w:val="clear" w:color="auto" w:fill="auto"/>
            <w:noWrap/>
            <w:vAlign w:val="center"/>
            <w:hideMark/>
          </w:tcPr>
          <w:p w14:paraId="32FD7BED"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127.741.527</w:t>
            </w:r>
          </w:p>
        </w:tc>
      </w:tr>
      <w:tr w:rsidR="00F24E18" w:rsidRPr="00222446" w14:paraId="49B88EEE" w14:textId="77777777" w:rsidTr="000E18B5">
        <w:trPr>
          <w:trHeight w:val="300"/>
        </w:trPr>
        <w:tc>
          <w:tcPr>
            <w:tcW w:w="770" w:type="pct"/>
            <w:vMerge w:val="restart"/>
            <w:shd w:val="clear" w:color="auto" w:fill="auto"/>
            <w:noWrap/>
            <w:vAlign w:val="center"/>
            <w:hideMark/>
          </w:tcPr>
          <w:p w14:paraId="1779F1FF" w14:textId="77777777" w:rsidR="00F24E18" w:rsidRPr="00222446" w:rsidRDefault="00F24E18" w:rsidP="000E18B5">
            <w:pPr>
              <w:spacing w:after="0" w:line="240" w:lineRule="auto"/>
              <w:jc w:val="center"/>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Infrastrukturno</w:t>
            </w:r>
          </w:p>
        </w:tc>
        <w:tc>
          <w:tcPr>
            <w:tcW w:w="619" w:type="pct"/>
            <w:vMerge w:val="restart"/>
            <w:shd w:val="clear" w:color="auto" w:fill="auto"/>
            <w:noWrap/>
            <w:vAlign w:val="center"/>
            <w:hideMark/>
          </w:tcPr>
          <w:p w14:paraId="3C458978"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DA</w:t>
            </w:r>
          </w:p>
        </w:tc>
        <w:tc>
          <w:tcPr>
            <w:tcW w:w="1776" w:type="pct"/>
            <w:shd w:val="clear" w:color="auto" w:fill="auto"/>
            <w:noWrap/>
            <w:vAlign w:val="center"/>
            <w:hideMark/>
          </w:tcPr>
          <w:p w14:paraId="52B7A585"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Konkurenčni dialog</w:t>
            </w:r>
          </w:p>
        </w:tc>
        <w:tc>
          <w:tcPr>
            <w:tcW w:w="619" w:type="pct"/>
            <w:shd w:val="clear" w:color="auto" w:fill="auto"/>
            <w:noWrap/>
            <w:vAlign w:val="center"/>
            <w:hideMark/>
          </w:tcPr>
          <w:p w14:paraId="6A55D2DB"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3</w:t>
            </w:r>
          </w:p>
        </w:tc>
        <w:tc>
          <w:tcPr>
            <w:tcW w:w="464" w:type="pct"/>
            <w:shd w:val="clear" w:color="auto" w:fill="auto"/>
            <w:noWrap/>
            <w:vAlign w:val="center"/>
            <w:hideMark/>
          </w:tcPr>
          <w:p w14:paraId="7986F8D7"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3</w:t>
            </w:r>
          </w:p>
        </w:tc>
        <w:tc>
          <w:tcPr>
            <w:tcW w:w="752" w:type="pct"/>
            <w:shd w:val="clear" w:color="auto" w:fill="auto"/>
            <w:noWrap/>
            <w:vAlign w:val="center"/>
            <w:hideMark/>
          </w:tcPr>
          <w:p w14:paraId="4A0555C7"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210.336.277</w:t>
            </w:r>
          </w:p>
        </w:tc>
      </w:tr>
      <w:tr w:rsidR="00F24E18" w:rsidRPr="00222446" w14:paraId="6619756C" w14:textId="77777777" w:rsidTr="000E18B5">
        <w:trPr>
          <w:trHeight w:val="300"/>
        </w:trPr>
        <w:tc>
          <w:tcPr>
            <w:tcW w:w="770" w:type="pct"/>
            <w:vMerge/>
            <w:vAlign w:val="center"/>
            <w:hideMark/>
          </w:tcPr>
          <w:p w14:paraId="48501FEB"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44E563F2"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2F381222"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Odprti postopek</w:t>
            </w:r>
          </w:p>
        </w:tc>
        <w:tc>
          <w:tcPr>
            <w:tcW w:w="619" w:type="pct"/>
            <w:shd w:val="clear" w:color="auto" w:fill="auto"/>
            <w:noWrap/>
            <w:vAlign w:val="center"/>
            <w:hideMark/>
          </w:tcPr>
          <w:p w14:paraId="151C6651"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20</w:t>
            </w:r>
          </w:p>
        </w:tc>
        <w:tc>
          <w:tcPr>
            <w:tcW w:w="464" w:type="pct"/>
            <w:shd w:val="clear" w:color="auto" w:fill="auto"/>
            <w:noWrap/>
            <w:vAlign w:val="center"/>
            <w:hideMark/>
          </w:tcPr>
          <w:p w14:paraId="7D8DDB3B"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26</w:t>
            </w:r>
          </w:p>
        </w:tc>
        <w:tc>
          <w:tcPr>
            <w:tcW w:w="752" w:type="pct"/>
            <w:shd w:val="clear" w:color="auto" w:fill="auto"/>
            <w:noWrap/>
            <w:vAlign w:val="center"/>
            <w:hideMark/>
          </w:tcPr>
          <w:p w14:paraId="46207446"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129.278.488</w:t>
            </w:r>
          </w:p>
        </w:tc>
      </w:tr>
      <w:tr w:rsidR="00F24E18" w:rsidRPr="00222446" w14:paraId="6E6BBC6E" w14:textId="77777777" w:rsidTr="000E18B5">
        <w:trPr>
          <w:trHeight w:val="300"/>
        </w:trPr>
        <w:tc>
          <w:tcPr>
            <w:tcW w:w="770" w:type="pct"/>
            <w:vMerge/>
            <w:vAlign w:val="center"/>
            <w:hideMark/>
          </w:tcPr>
          <w:p w14:paraId="79BAA1D3"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07DF0395"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11991C36" w14:textId="77777777" w:rsidR="00F24E18" w:rsidRPr="00222446" w:rsidRDefault="00F24E18" w:rsidP="000E18B5">
            <w:pPr>
              <w:spacing w:after="0" w:line="240" w:lineRule="auto"/>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Skupaj</w:t>
            </w:r>
          </w:p>
        </w:tc>
        <w:tc>
          <w:tcPr>
            <w:tcW w:w="619" w:type="pct"/>
            <w:shd w:val="clear" w:color="auto" w:fill="auto"/>
            <w:noWrap/>
            <w:vAlign w:val="center"/>
            <w:hideMark/>
          </w:tcPr>
          <w:p w14:paraId="39DBF61F"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23</w:t>
            </w:r>
          </w:p>
        </w:tc>
        <w:tc>
          <w:tcPr>
            <w:tcW w:w="464" w:type="pct"/>
            <w:shd w:val="clear" w:color="auto" w:fill="auto"/>
            <w:noWrap/>
            <w:vAlign w:val="center"/>
            <w:hideMark/>
          </w:tcPr>
          <w:p w14:paraId="467DC712"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29</w:t>
            </w:r>
          </w:p>
        </w:tc>
        <w:tc>
          <w:tcPr>
            <w:tcW w:w="752" w:type="pct"/>
            <w:shd w:val="clear" w:color="auto" w:fill="auto"/>
            <w:noWrap/>
            <w:vAlign w:val="center"/>
            <w:hideMark/>
          </w:tcPr>
          <w:p w14:paraId="624AE623"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339.614.765</w:t>
            </w:r>
          </w:p>
        </w:tc>
      </w:tr>
      <w:tr w:rsidR="00F24E18" w:rsidRPr="00222446" w14:paraId="54D86C6A" w14:textId="77777777" w:rsidTr="000E18B5">
        <w:trPr>
          <w:trHeight w:val="300"/>
        </w:trPr>
        <w:tc>
          <w:tcPr>
            <w:tcW w:w="770" w:type="pct"/>
            <w:vMerge/>
            <w:vAlign w:val="center"/>
            <w:hideMark/>
          </w:tcPr>
          <w:p w14:paraId="3628C17F"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restart"/>
            <w:shd w:val="clear" w:color="auto" w:fill="auto"/>
            <w:noWrap/>
            <w:vAlign w:val="center"/>
            <w:hideMark/>
          </w:tcPr>
          <w:p w14:paraId="5493F097"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NE</w:t>
            </w:r>
          </w:p>
        </w:tc>
        <w:tc>
          <w:tcPr>
            <w:tcW w:w="1776" w:type="pct"/>
            <w:shd w:val="clear" w:color="auto" w:fill="auto"/>
            <w:noWrap/>
            <w:vAlign w:val="center"/>
            <w:hideMark/>
          </w:tcPr>
          <w:p w14:paraId="4A81A753"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Konkurenčni dialog</w:t>
            </w:r>
          </w:p>
        </w:tc>
        <w:tc>
          <w:tcPr>
            <w:tcW w:w="619" w:type="pct"/>
            <w:shd w:val="clear" w:color="auto" w:fill="auto"/>
            <w:noWrap/>
            <w:vAlign w:val="center"/>
            <w:hideMark/>
          </w:tcPr>
          <w:p w14:paraId="6AFCE627"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w:t>
            </w:r>
          </w:p>
        </w:tc>
        <w:tc>
          <w:tcPr>
            <w:tcW w:w="464" w:type="pct"/>
            <w:shd w:val="clear" w:color="auto" w:fill="auto"/>
            <w:noWrap/>
            <w:vAlign w:val="center"/>
            <w:hideMark/>
          </w:tcPr>
          <w:p w14:paraId="03165F8E"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w:t>
            </w:r>
          </w:p>
        </w:tc>
        <w:tc>
          <w:tcPr>
            <w:tcW w:w="752" w:type="pct"/>
            <w:shd w:val="clear" w:color="auto" w:fill="auto"/>
            <w:noWrap/>
            <w:vAlign w:val="center"/>
            <w:hideMark/>
          </w:tcPr>
          <w:p w14:paraId="0C5C87F5"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2.430.000</w:t>
            </w:r>
          </w:p>
        </w:tc>
      </w:tr>
      <w:tr w:rsidR="00F24E18" w:rsidRPr="00222446" w14:paraId="6163881C" w14:textId="77777777" w:rsidTr="000E18B5">
        <w:trPr>
          <w:trHeight w:val="300"/>
        </w:trPr>
        <w:tc>
          <w:tcPr>
            <w:tcW w:w="770" w:type="pct"/>
            <w:vMerge/>
            <w:vAlign w:val="center"/>
            <w:hideMark/>
          </w:tcPr>
          <w:p w14:paraId="0DC40800"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3473A8F7"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5425D1B6"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Postopek naročila male vrednosti</w:t>
            </w:r>
          </w:p>
        </w:tc>
        <w:tc>
          <w:tcPr>
            <w:tcW w:w="619" w:type="pct"/>
            <w:shd w:val="clear" w:color="auto" w:fill="auto"/>
            <w:noWrap/>
            <w:vAlign w:val="center"/>
            <w:hideMark/>
          </w:tcPr>
          <w:p w14:paraId="49EB25FB"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13</w:t>
            </w:r>
          </w:p>
        </w:tc>
        <w:tc>
          <w:tcPr>
            <w:tcW w:w="464" w:type="pct"/>
            <w:shd w:val="clear" w:color="auto" w:fill="auto"/>
            <w:noWrap/>
            <w:vAlign w:val="center"/>
            <w:hideMark/>
          </w:tcPr>
          <w:p w14:paraId="5D1CF97B"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17</w:t>
            </w:r>
          </w:p>
        </w:tc>
        <w:tc>
          <w:tcPr>
            <w:tcW w:w="752" w:type="pct"/>
            <w:shd w:val="clear" w:color="auto" w:fill="auto"/>
            <w:noWrap/>
            <w:vAlign w:val="center"/>
            <w:hideMark/>
          </w:tcPr>
          <w:p w14:paraId="3B9BC1B8"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5.160.050</w:t>
            </w:r>
          </w:p>
        </w:tc>
      </w:tr>
      <w:tr w:rsidR="00F24E18" w:rsidRPr="00222446" w14:paraId="44CE4A60" w14:textId="77777777" w:rsidTr="000E18B5">
        <w:trPr>
          <w:trHeight w:val="300"/>
        </w:trPr>
        <w:tc>
          <w:tcPr>
            <w:tcW w:w="770" w:type="pct"/>
            <w:vMerge/>
            <w:vAlign w:val="center"/>
            <w:hideMark/>
          </w:tcPr>
          <w:p w14:paraId="426972F6"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626C2A92"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6AAA0FC2" w14:textId="77777777" w:rsidR="00F24E18" w:rsidRPr="00222446" w:rsidRDefault="00F24E18" w:rsidP="000E18B5">
            <w:pPr>
              <w:spacing w:after="0" w:line="240" w:lineRule="auto"/>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Postopek s pogajanji brez predhodne objave</w:t>
            </w:r>
          </w:p>
        </w:tc>
        <w:tc>
          <w:tcPr>
            <w:tcW w:w="619" w:type="pct"/>
            <w:shd w:val="clear" w:color="auto" w:fill="auto"/>
            <w:noWrap/>
            <w:vAlign w:val="center"/>
            <w:hideMark/>
          </w:tcPr>
          <w:p w14:paraId="192B74D3"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w:t>
            </w:r>
          </w:p>
        </w:tc>
        <w:tc>
          <w:tcPr>
            <w:tcW w:w="464" w:type="pct"/>
            <w:shd w:val="clear" w:color="auto" w:fill="auto"/>
            <w:noWrap/>
            <w:vAlign w:val="center"/>
            <w:hideMark/>
          </w:tcPr>
          <w:p w14:paraId="332D72FB"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1</w:t>
            </w:r>
          </w:p>
        </w:tc>
        <w:tc>
          <w:tcPr>
            <w:tcW w:w="752" w:type="pct"/>
            <w:shd w:val="clear" w:color="auto" w:fill="auto"/>
            <w:noWrap/>
            <w:vAlign w:val="center"/>
            <w:hideMark/>
          </w:tcPr>
          <w:p w14:paraId="71A0E717" w14:textId="77777777" w:rsidR="00F24E18" w:rsidRPr="00222446" w:rsidRDefault="00F24E18" w:rsidP="000E18B5">
            <w:pPr>
              <w:spacing w:after="0" w:line="240" w:lineRule="auto"/>
              <w:jc w:val="right"/>
              <w:rPr>
                <w:rFonts w:ascii="Arial" w:eastAsia="Times New Roman" w:hAnsi="Arial" w:cs="Arial"/>
                <w:color w:val="000000"/>
                <w:sz w:val="18"/>
                <w:szCs w:val="18"/>
                <w:lang w:eastAsia="sl-SI"/>
              </w:rPr>
            </w:pPr>
            <w:r w:rsidRPr="00222446">
              <w:rPr>
                <w:rFonts w:ascii="Arial" w:eastAsia="Times New Roman" w:hAnsi="Arial" w:cs="Arial"/>
                <w:color w:val="000000"/>
                <w:sz w:val="18"/>
                <w:szCs w:val="18"/>
                <w:lang w:eastAsia="sl-SI"/>
              </w:rPr>
              <w:t>480.405</w:t>
            </w:r>
          </w:p>
        </w:tc>
      </w:tr>
      <w:tr w:rsidR="00F24E18" w:rsidRPr="00222446" w14:paraId="47A4CEFA" w14:textId="77777777" w:rsidTr="000E18B5">
        <w:trPr>
          <w:trHeight w:val="300"/>
        </w:trPr>
        <w:tc>
          <w:tcPr>
            <w:tcW w:w="770" w:type="pct"/>
            <w:vMerge/>
            <w:vAlign w:val="center"/>
            <w:hideMark/>
          </w:tcPr>
          <w:p w14:paraId="390829CE"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619" w:type="pct"/>
            <w:vMerge/>
            <w:vAlign w:val="center"/>
            <w:hideMark/>
          </w:tcPr>
          <w:p w14:paraId="09389104" w14:textId="77777777" w:rsidR="00F24E18" w:rsidRPr="00222446" w:rsidRDefault="00F24E18" w:rsidP="000E18B5">
            <w:pPr>
              <w:spacing w:after="0" w:line="240" w:lineRule="auto"/>
              <w:rPr>
                <w:rFonts w:ascii="Arial" w:eastAsia="Times New Roman" w:hAnsi="Arial" w:cs="Arial"/>
                <w:color w:val="000000"/>
                <w:sz w:val="18"/>
                <w:szCs w:val="18"/>
                <w:lang w:eastAsia="sl-SI"/>
              </w:rPr>
            </w:pPr>
          </w:p>
        </w:tc>
        <w:tc>
          <w:tcPr>
            <w:tcW w:w="1776" w:type="pct"/>
            <w:shd w:val="clear" w:color="auto" w:fill="auto"/>
            <w:noWrap/>
            <w:vAlign w:val="center"/>
            <w:hideMark/>
          </w:tcPr>
          <w:p w14:paraId="5A1FFD60" w14:textId="77777777" w:rsidR="00F24E18" w:rsidRPr="00222446" w:rsidRDefault="00F24E18" w:rsidP="000E18B5">
            <w:pPr>
              <w:spacing w:after="0" w:line="240" w:lineRule="auto"/>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Skupaj</w:t>
            </w:r>
          </w:p>
        </w:tc>
        <w:tc>
          <w:tcPr>
            <w:tcW w:w="619" w:type="pct"/>
            <w:shd w:val="clear" w:color="auto" w:fill="auto"/>
            <w:noWrap/>
            <w:vAlign w:val="center"/>
            <w:hideMark/>
          </w:tcPr>
          <w:p w14:paraId="18482B30"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15</w:t>
            </w:r>
          </w:p>
        </w:tc>
        <w:tc>
          <w:tcPr>
            <w:tcW w:w="464" w:type="pct"/>
            <w:shd w:val="clear" w:color="auto" w:fill="auto"/>
            <w:noWrap/>
            <w:vAlign w:val="center"/>
            <w:hideMark/>
          </w:tcPr>
          <w:p w14:paraId="23AD85B7"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19</w:t>
            </w:r>
          </w:p>
        </w:tc>
        <w:tc>
          <w:tcPr>
            <w:tcW w:w="752" w:type="pct"/>
            <w:shd w:val="clear" w:color="auto" w:fill="auto"/>
            <w:noWrap/>
            <w:vAlign w:val="center"/>
            <w:hideMark/>
          </w:tcPr>
          <w:p w14:paraId="52EF7693"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8.070.455</w:t>
            </w:r>
          </w:p>
        </w:tc>
      </w:tr>
      <w:tr w:rsidR="00F24E18" w:rsidRPr="00242E41" w14:paraId="4B596BC1" w14:textId="77777777" w:rsidTr="000E18B5">
        <w:trPr>
          <w:trHeight w:val="300"/>
        </w:trPr>
        <w:tc>
          <w:tcPr>
            <w:tcW w:w="3165" w:type="pct"/>
            <w:gridSpan w:val="3"/>
            <w:shd w:val="clear" w:color="auto" w:fill="F2F2F2" w:themeFill="background1" w:themeFillShade="F2"/>
            <w:noWrap/>
            <w:vAlign w:val="center"/>
            <w:hideMark/>
          </w:tcPr>
          <w:p w14:paraId="18A5240A" w14:textId="77777777" w:rsidR="00F24E18" w:rsidRPr="00222446" w:rsidRDefault="00F24E18" w:rsidP="000E18B5">
            <w:pPr>
              <w:spacing w:after="0" w:line="240" w:lineRule="auto"/>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Skupaj</w:t>
            </w:r>
          </w:p>
        </w:tc>
        <w:tc>
          <w:tcPr>
            <w:tcW w:w="619" w:type="pct"/>
            <w:shd w:val="clear" w:color="auto" w:fill="F2F2F2" w:themeFill="background1" w:themeFillShade="F2"/>
            <w:noWrap/>
            <w:vAlign w:val="center"/>
            <w:hideMark/>
          </w:tcPr>
          <w:p w14:paraId="12645799"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540</w:t>
            </w:r>
          </w:p>
        </w:tc>
        <w:tc>
          <w:tcPr>
            <w:tcW w:w="464" w:type="pct"/>
            <w:shd w:val="clear" w:color="auto" w:fill="F2F2F2" w:themeFill="background1" w:themeFillShade="F2"/>
            <w:noWrap/>
            <w:vAlign w:val="center"/>
            <w:hideMark/>
          </w:tcPr>
          <w:p w14:paraId="2E813265"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836</w:t>
            </w:r>
          </w:p>
        </w:tc>
        <w:tc>
          <w:tcPr>
            <w:tcW w:w="752" w:type="pct"/>
            <w:shd w:val="clear" w:color="auto" w:fill="F2F2F2" w:themeFill="background1" w:themeFillShade="F2"/>
            <w:noWrap/>
            <w:vAlign w:val="center"/>
            <w:hideMark/>
          </w:tcPr>
          <w:p w14:paraId="2D770DCE" w14:textId="77777777" w:rsidR="00F24E18" w:rsidRPr="00222446" w:rsidRDefault="00F24E18" w:rsidP="000E18B5">
            <w:pPr>
              <w:spacing w:after="0" w:line="240" w:lineRule="auto"/>
              <w:jc w:val="right"/>
              <w:rPr>
                <w:rFonts w:ascii="Arial" w:eastAsia="Times New Roman" w:hAnsi="Arial" w:cs="Arial"/>
                <w:b/>
                <w:bCs/>
                <w:color w:val="000000"/>
                <w:sz w:val="18"/>
                <w:szCs w:val="18"/>
                <w:lang w:eastAsia="sl-SI"/>
              </w:rPr>
            </w:pPr>
            <w:r w:rsidRPr="00222446">
              <w:rPr>
                <w:rFonts w:ascii="Arial" w:eastAsia="Times New Roman" w:hAnsi="Arial" w:cs="Arial"/>
                <w:b/>
                <w:bCs/>
                <w:color w:val="000000"/>
                <w:sz w:val="18"/>
                <w:szCs w:val="18"/>
                <w:lang w:eastAsia="sl-SI"/>
              </w:rPr>
              <w:t>896.382.126</w:t>
            </w:r>
          </w:p>
        </w:tc>
      </w:tr>
    </w:tbl>
    <w:p w14:paraId="4087B5BD" w14:textId="77777777" w:rsidR="00F24E18" w:rsidRPr="00242E41" w:rsidRDefault="00F24E18" w:rsidP="00F24E18">
      <w:pPr>
        <w:spacing w:after="0" w:line="240" w:lineRule="auto"/>
        <w:jc w:val="both"/>
        <w:rPr>
          <w:rFonts w:ascii="Arial" w:hAnsi="Arial" w:cs="Arial"/>
          <w:sz w:val="20"/>
          <w:highlight w:val="yellow"/>
        </w:rPr>
      </w:pPr>
    </w:p>
    <w:p w14:paraId="3153D958" w14:textId="77777777" w:rsidR="00F24E18" w:rsidRPr="00347D36" w:rsidRDefault="00F24E18" w:rsidP="00F24E18">
      <w:pPr>
        <w:spacing w:before="120" w:after="0" w:line="240" w:lineRule="auto"/>
        <w:jc w:val="both"/>
        <w:rPr>
          <w:rFonts w:ascii="Arial" w:hAnsi="Arial" w:cs="Arial"/>
          <w:sz w:val="20"/>
        </w:rPr>
      </w:pPr>
      <w:r w:rsidRPr="00347D36">
        <w:rPr>
          <w:rFonts w:ascii="Arial" w:hAnsi="Arial" w:cs="Arial"/>
          <w:sz w:val="20"/>
        </w:rPr>
        <w:t xml:space="preserve">Preglednica 87: Javna naročila glede na mesto objave in sedež ponudnika </w:t>
      </w:r>
    </w:p>
    <w:p w14:paraId="78C5DBF5" w14:textId="77777777" w:rsidR="00F24E18" w:rsidRPr="00347D36" w:rsidRDefault="00F24E18" w:rsidP="00F24E18">
      <w:pPr>
        <w:spacing w:after="0" w:line="240" w:lineRule="auto"/>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395"/>
        <w:gridCol w:w="1427"/>
        <w:gridCol w:w="1440"/>
        <w:gridCol w:w="2090"/>
        <w:gridCol w:w="1411"/>
        <w:gridCol w:w="1411"/>
      </w:tblGrid>
      <w:tr w:rsidR="00F24E18" w:rsidRPr="00347D36" w14:paraId="3C19AA4F" w14:textId="77777777" w:rsidTr="000E18B5">
        <w:trPr>
          <w:trHeight w:val="960"/>
        </w:trPr>
        <w:tc>
          <w:tcPr>
            <w:tcW w:w="7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99441C9" w14:textId="77777777" w:rsidR="00F24E18" w:rsidRPr="00347D36" w:rsidRDefault="00F24E18" w:rsidP="000E18B5">
            <w:pPr>
              <w:spacing w:after="0" w:line="240" w:lineRule="auto"/>
              <w:jc w:val="center"/>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Objava v UL EU</w:t>
            </w:r>
          </w:p>
        </w:tc>
        <w:tc>
          <w:tcPr>
            <w:tcW w:w="778" w:type="pct"/>
            <w:tcBorders>
              <w:top w:val="single" w:sz="4" w:space="0" w:color="auto"/>
              <w:left w:val="nil"/>
              <w:bottom w:val="single" w:sz="4" w:space="0" w:color="auto"/>
              <w:right w:val="single" w:sz="4" w:space="0" w:color="auto"/>
            </w:tcBorders>
            <w:shd w:val="clear" w:color="000000" w:fill="F2F2F2"/>
            <w:vAlign w:val="center"/>
            <w:hideMark/>
          </w:tcPr>
          <w:p w14:paraId="27AC988F" w14:textId="77777777" w:rsidR="00F24E18" w:rsidRPr="00347D36" w:rsidRDefault="00F24E18" w:rsidP="000E18B5">
            <w:pPr>
              <w:spacing w:after="0" w:line="240" w:lineRule="auto"/>
              <w:jc w:val="center"/>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Sedež ponudnika</w:t>
            </w:r>
          </w:p>
        </w:tc>
        <w:tc>
          <w:tcPr>
            <w:tcW w:w="785" w:type="pct"/>
            <w:tcBorders>
              <w:top w:val="single" w:sz="4" w:space="0" w:color="auto"/>
              <w:left w:val="nil"/>
              <w:bottom w:val="single" w:sz="4" w:space="0" w:color="auto"/>
              <w:right w:val="single" w:sz="4" w:space="0" w:color="auto"/>
            </w:tcBorders>
            <w:shd w:val="clear" w:color="000000" w:fill="F2F2F2"/>
            <w:vAlign w:val="center"/>
            <w:hideMark/>
          </w:tcPr>
          <w:p w14:paraId="236565F1" w14:textId="77777777" w:rsidR="00F24E18" w:rsidRPr="00347D36" w:rsidRDefault="00F24E18" w:rsidP="000E18B5">
            <w:pPr>
              <w:spacing w:after="0" w:line="240" w:lineRule="auto"/>
              <w:jc w:val="center"/>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Št. naročil</w:t>
            </w:r>
          </w:p>
        </w:tc>
        <w:tc>
          <w:tcPr>
            <w:tcW w:w="1139" w:type="pct"/>
            <w:tcBorders>
              <w:top w:val="single" w:sz="4" w:space="0" w:color="auto"/>
              <w:left w:val="nil"/>
              <w:bottom w:val="single" w:sz="4" w:space="0" w:color="auto"/>
              <w:right w:val="single" w:sz="4" w:space="0" w:color="auto"/>
            </w:tcBorders>
            <w:shd w:val="clear" w:color="000000" w:fill="F2F2F2"/>
            <w:vAlign w:val="center"/>
            <w:hideMark/>
          </w:tcPr>
          <w:p w14:paraId="040486AD" w14:textId="77777777" w:rsidR="00F24E18" w:rsidRPr="00347D36" w:rsidRDefault="00F24E18" w:rsidP="000E18B5">
            <w:pPr>
              <w:spacing w:after="0" w:line="240" w:lineRule="auto"/>
              <w:jc w:val="center"/>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Pogodbena vrednost</w:t>
            </w:r>
          </w:p>
        </w:tc>
        <w:tc>
          <w:tcPr>
            <w:tcW w:w="769" w:type="pct"/>
            <w:tcBorders>
              <w:top w:val="single" w:sz="4" w:space="0" w:color="auto"/>
              <w:left w:val="nil"/>
              <w:bottom w:val="single" w:sz="4" w:space="0" w:color="auto"/>
              <w:right w:val="single" w:sz="4" w:space="0" w:color="auto"/>
            </w:tcBorders>
            <w:shd w:val="clear" w:color="000000" w:fill="F2F2F2"/>
            <w:vAlign w:val="center"/>
            <w:hideMark/>
          </w:tcPr>
          <w:p w14:paraId="3CAF5032" w14:textId="77777777" w:rsidR="00F24E18" w:rsidRPr="00347D36" w:rsidRDefault="00F24E18" w:rsidP="000E18B5">
            <w:pPr>
              <w:spacing w:after="0" w:line="240" w:lineRule="auto"/>
              <w:jc w:val="center"/>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Delež v št. istovrstnih naročil</w:t>
            </w:r>
          </w:p>
        </w:tc>
        <w:tc>
          <w:tcPr>
            <w:tcW w:w="769" w:type="pct"/>
            <w:tcBorders>
              <w:top w:val="single" w:sz="4" w:space="0" w:color="auto"/>
              <w:left w:val="nil"/>
              <w:bottom w:val="single" w:sz="4" w:space="0" w:color="auto"/>
              <w:right w:val="single" w:sz="4" w:space="0" w:color="auto"/>
            </w:tcBorders>
            <w:shd w:val="clear" w:color="000000" w:fill="F2F2F2"/>
            <w:vAlign w:val="center"/>
            <w:hideMark/>
          </w:tcPr>
          <w:p w14:paraId="2CA47498" w14:textId="77777777" w:rsidR="00F24E18" w:rsidRPr="00347D36" w:rsidRDefault="00F24E18" w:rsidP="000E18B5">
            <w:pPr>
              <w:spacing w:after="0" w:line="240" w:lineRule="auto"/>
              <w:jc w:val="center"/>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Delež v vrednosti istovrstnih naročil</w:t>
            </w:r>
          </w:p>
        </w:tc>
      </w:tr>
      <w:tr w:rsidR="00F24E18" w:rsidRPr="00347D36" w14:paraId="7D80D316" w14:textId="77777777" w:rsidTr="000E18B5">
        <w:trPr>
          <w:trHeight w:val="300"/>
        </w:trPr>
        <w:tc>
          <w:tcPr>
            <w:tcW w:w="760" w:type="pct"/>
            <w:vMerge w:val="restart"/>
            <w:tcBorders>
              <w:top w:val="nil"/>
              <w:left w:val="single" w:sz="4" w:space="0" w:color="auto"/>
              <w:bottom w:val="single" w:sz="4" w:space="0" w:color="auto"/>
              <w:right w:val="single" w:sz="4" w:space="0" w:color="auto"/>
            </w:tcBorders>
            <w:shd w:val="clear" w:color="auto" w:fill="auto"/>
            <w:vAlign w:val="center"/>
            <w:hideMark/>
          </w:tcPr>
          <w:p w14:paraId="3FA7704A" w14:textId="77777777" w:rsidR="00F24E18" w:rsidRPr="00347D36" w:rsidRDefault="00F24E18" w:rsidP="000E18B5">
            <w:pPr>
              <w:spacing w:after="0" w:line="240" w:lineRule="auto"/>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DA</w:t>
            </w:r>
          </w:p>
        </w:tc>
        <w:tc>
          <w:tcPr>
            <w:tcW w:w="778" w:type="pct"/>
            <w:tcBorders>
              <w:top w:val="nil"/>
              <w:left w:val="nil"/>
              <w:bottom w:val="single" w:sz="4" w:space="0" w:color="auto"/>
              <w:right w:val="single" w:sz="4" w:space="0" w:color="auto"/>
            </w:tcBorders>
            <w:shd w:val="clear" w:color="auto" w:fill="auto"/>
            <w:vAlign w:val="center"/>
            <w:hideMark/>
          </w:tcPr>
          <w:p w14:paraId="158BADB0" w14:textId="77777777" w:rsidR="00F24E18" w:rsidRPr="00347D36" w:rsidRDefault="00F24E18" w:rsidP="000E18B5">
            <w:pPr>
              <w:spacing w:after="0" w:line="240" w:lineRule="auto"/>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Slovenija</w:t>
            </w:r>
          </w:p>
        </w:tc>
        <w:tc>
          <w:tcPr>
            <w:tcW w:w="785" w:type="pct"/>
            <w:tcBorders>
              <w:top w:val="nil"/>
              <w:left w:val="nil"/>
              <w:bottom w:val="single" w:sz="4" w:space="0" w:color="auto"/>
              <w:right w:val="single" w:sz="4" w:space="0" w:color="auto"/>
            </w:tcBorders>
            <w:shd w:val="clear" w:color="auto" w:fill="auto"/>
            <w:vAlign w:val="center"/>
            <w:hideMark/>
          </w:tcPr>
          <w:p w14:paraId="2A92F482"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9.660</w:t>
            </w:r>
          </w:p>
        </w:tc>
        <w:tc>
          <w:tcPr>
            <w:tcW w:w="1139" w:type="pct"/>
            <w:tcBorders>
              <w:top w:val="nil"/>
              <w:left w:val="nil"/>
              <w:bottom w:val="single" w:sz="4" w:space="0" w:color="auto"/>
              <w:right w:val="single" w:sz="4" w:space="0" w:color="auto"/>
            </w:tcBorders>
            <w:shd w:val="clear" w:color="auto" w:fill="auto"/>
            <w:vAlign w:val="center"/>
            <w:hideMark/>
          </w:tcPr>
          <w:p w14:paraId="62BAE236"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4.838.116.625</w:t>
            </w:r>
          </w:p>
        </w:tc>
        <w:tc>
          <w:tcPr>
            <w:tcW w:w="769" w:type="pct"/>
            <w:tcBorders>
              <w:top w:val="nil"/>
              <w:left w:val="nil"/>
              <w:bottom w:val="single" w:sz="4" w:space="0" w:color="auto"/>
              <w:right w:val="single" w:sz="4" w:space="0" w:color="auto"/>
            </w:tcBorders>
            <w:shd w:val="clear" w:color="auto" w:fill="auto"/>
            <w:noWrap/>
            <w:vAlign w:val="center"/>
            <w:hideMark/>
          </w:tcPr>
          <w:p w14:paraId="36851A4B"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97,58 %</w:t>
            </w:r>
          </w:p>
        </w:tc>
        <w:tc>
          <w:tcPr>
            <w:tcW w:w="769" w:type="pct"/>
            <w:tcBorders>
              <w:top w:val="nil"/>
              <w:left w:val="nil"/>
              <w:bottom w:val="single" w:sz="4" w:space="0" w:color="auto"/>
              <w:right w:val="single" w:sz="4" w:space="0" w:color="auto"/>
            </w:tcBorders>
            <w:shd w:val="clear" w:color="auto" w:fill="auto"/>
            <w:noWrap/>
            <w:vAlign w:val="center"/>
            <w:hideMark/>
          </w:tcPr>
          <w:p w14:paraId="2B4E7F92"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91,79 %</w:t>
            </w:r>
          </w:p>
        </w:tc>
      </w:tr>
      <w:tr w:rsidR="00F24E18" w:rsidRPr="00347D36" w14:paraId="420EB13B" w14:textId="77777777" w:rsidTr="000E18B5">
        <w:trPr>
          <w:trHeight w:val="300"/>
        </w:trPr>
        <w:tc>
          <w:tcPr>
            <w:tcW w:w="760" w:type="pct"/>
            <w:vMerge/>
            <w:tcBorders>
              <w:top w:val="nil"/>
              <w:left w:val="single" w:sz="4" w:space="0" w:color="auto"/>
              <w:bottom w:val="single" w:sz="4" w:space="0" w:color="auto"/>
              <w:right w:val="single" w:sz="4" w:space="0" w:color="auto"/>
            </w:tcBorders>
            <w:vAlign w:val="center"/>
            <w:hideMark/>
          </w:tcPr>
          <w:p w14:paraId="522EE508" w14:textId="77777777" w:rsidR="00F24E18" w:rsidRPr="00347D36" w:rsidRDefault="00F24E18" w:rsidP="000E18B5">
            <w:pPr>
              <w:spacing w:after="0" w:line="240" w:lineRule="auto"/>
              <w:rPr>
                <w:rFonts w:ascii="Arial" w:eastAsia="Times New Roman" w:hAnsi="Arial" w:cs="Arial"/>
                <w:color w:val="000000"/>
                <w:sz w:val="18"/>
                <w:szCs w:val="18"/>
                <w:lang w:eastAsia="sl-SI"/>
              </w:rPr>
            </w:pPr>
          </w:p>
        </w:tc>
        <w:tc>
          <w:tcPr>
            <w:tcW w:w="778" w:type="pct"/>
            <w:tcBorders>
              <w:top w:val="nil"/>
              <w:left w:val="nil"/>
              <w:bottom w:val="single" w:sz="4" w:space="0" w:color="auto"/>
              <w:right w:val="single" w:sz="4" w:space="0" w:color="auto"/>
            </w:tcBorders>
            <w:shd w:val="clear" w:color="auto" w:fill="auto"/>
            <w:vAlign w:val="center"/>
            <w:hideMark/>
          </w:tcPr>
          <w:p w14:paraId="6C154F6D" w14:textId="77777777" w:rsidR="00F24E18" w:rsidRPr="00347D36" w:rsidRDefault="00F24E18" w:rsidP="000E18B5">
            <w:pPr>
              <w:spacing w:after="0" w:line="240" w:lineRule="auto"/>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tujina</w:t>
            </w:r>
          </w:p>
        </w:tc>
        <w:tc>
          <w:tcPr>
            <w:tcW w:w="785" w:type="pct"/>
            <w:tcBorders>
              <w:top w:val="nil"/>
              <w:left w:val="nil"/>
              <w:bottom w:val="single" w:sz="4" w:space="0" w:color="auto"/>
              <w:right w:val="single" w:sz="4" w:space="0" w:color="auto"/>
            </w:tcBorders>
            <w:shd w:val="clear" w:color="auto" w:fill="auto"/>
            <w:vAlign w:val="center"/>
            <w:hideMark/>
          </w:tcPr>
          <w:p w14:paraId="0894FB8B"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240</w:t>
            </w:r>
          </w:p>
        </w:tc>
        <w:tc>
          <w:tcPr>
            <w:tcW w:w="1139" w:type="pct"/>
            <w:tcBorders>
              <w:top w:val="nil"/>
              <w:left w:val="nil"/>
              <w:bottom w:val="single" w:sz="4" w:space="0" w:color="auto"/>
              <w:right w:val="single" w:sz="4" w:space="0" w:color="auto"/>
            </w:tcBorders>
            <w:shd w:val="clear" w:color="auto" w:fill="auto"/>
            <w:vAlign w:val="center"/>
            <w:hideMark/>
          </w:tcPr>
          <w:p w14:paraId="5682A92F"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432.796.591</w:t>
            </w:r>
          </w:p>
        </w:tc>
        <w:tc>
          <w:tcPr>
            <w:tcW w:w="769" w:type="pct"/>
            <w:tcBorders>
              <w:top w:val="nil"/>
              <w:left w:val="nil"/>
              <w:bottom w:val="single" w:sz="4" w:space="0" w:color="auto"/>
              <w:right w:val="single" w:sz="4" w:space="0" w:color="auto"/>
            </w:tcBorders>
            <w:shd w:val="clear" w:color="auto" w:fill="auto"/>
            <w:noWrap/>
            <w:vAlign w:val="center"/>
            <w:hideMark/>
          </w:tcPr>
          <w:p w14:paraId="6DA157EC"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2,42 %</w:t>
            </w:r>
          </w:p>
        </w:tc>
        <w:tc>
          <w:tcPr>
            <w:tcW w:w="769" w:type="pct"/>
            <w:tcBorders>
              <w:top w:val="nil"/>
              <w:left w:val="nil"/>
              <w:bottom w:val="single" w:sz="4" w:space="0" w:color="auto"/>
              <w:right w:val="single" w:sz="4" w:space="0" w:color="auto"/>
            </w:tcBorders>
            <w:shd w:val="clear" w:color="auto" w:fill="auto"/>
            <w:noWrap/>
            <w:vAlign w:val="center"/>
            <w:hideMark/>
          </w:tcPr>
          <w:p w14:paraId="61B6EF7E"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8,21 %</w:t>
            </w:r>
          </w:p>
        </w:tc>
      </w:tr>
      <w:tr w:rsidR="00F24E18" w:rsidRPr="00347D36" w14:paraId="3387062A" w14:textId="77777777" w:rsidTr="000E18B5">
        <w:trPr>
          <w:trHeight w:val="300"/>
        </w:trPr>
        <w:tc>
          <w:tcPr>
            <w:tcW w:w="760" w:type="pct"/>
            <w:vMerge/>
            <w:tcBorders>
              <w:top w:val="nil"/>
              <w:left w:val="single" w:sz="4" w:space="0" w:color="auto"/>
              <w:bottom w:val="single" w:sz="4" w:space="0" w:color="auto"/>
              <w:right w:val="single" w:sz="4" w:space="0" w:color="auto"/>
            </w:tcBorders>
            <w:vAlign w:val="center"/>
            <w:hideMark/>
          </w:tcPr>
          <w:p w14:paraId="48B1F2F5" w14:textId="77777777" w:rsidR="00F24E18" w:rsidRPr="00347D36" w:rsidRDefault="00F24E18" w:rsidP="000E18B5">
            <w:pPr>
              <w:spacing w:after="0" w:line="240" w:lineRule="auto"/>
              <w:rPr>
                <w:rFonts w:ascii="Arial" w:eastAsia="Times New Roman" w:hAnsi="Arial" w:cs="Arial"/>
                <w:color w:val="000000"/>
                <w:sz w:val="18"/>
                <w:szCs w:val="18"/>
                <w:lang w:eastAsia="sl-SI"/>
              </w:rPr>
            </w:pPr>
          </w:p>
        </w:tc>
        <w:tc>
          <w:tcPr>
            <w:tcW w:w="778" w:type="pct"/>
            <w:tcBorders>
              <w:top w:val="nil"/>
              <w:left w:val="nil"/>
              <w:bottom w:val="single" w:sz="4" w:space="0" w:color="auto"/>
              <w:right w:val="single" w:sz="4" w:space="0" w:color="auto"/>
            </w:tcBorders>
            <w:shd w:val="clear" w:color="auto" w:fill="auto"/>
            <w:vAlign w:val="center"/>
            <w:hideMark/>
          </w:tcPr>
          <w:p w14:paraId="6DC288A1" w14:textId="77777777" w:rsidR="00F24E18" w:rsidRPr="00347D36" w:rsidRDefault="00F24E18" w:rsidP="000E18B5">
            <w:pPr>
              <w:spacing w:after="0" w:line="240" w:lineRule="auto"/>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Skupaj</w:t>
            </w:r>
          </w:p>
        </w:tc>
        <w:tc>
          <w:tcPr>
            <w:tcW w:w="785" w:type="pct"/>
            <w:tcBorders>
              <w:top w:val="nil"/>
              <w:left w:val="nil"/>
              <w:bottom w:val="single" w:sz="4" w:space="0" w:color="auto"/>
              <w:right w:val="single" w:sz="4" w:space="0" w:color="auto"/>
            </w:tcBorders>
            <w:shd w:val="clear" w:color="auto" w:fill="auto"/>
            <w:vAlign w:val="center"/>
            <w:hideMark/>
          </w:tcPr>
          <w:p w14:paraId="5B006A58"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9.900</w:t>
            </w:r>
          </w:p>
        </w:tc>
        <w:tc>
          <w:tcPr>
            <w:tcW w:w="1139" w:type="pct"/>
            <w:tcBorders>
              <w:top w:val="nil"/>
              <w:left w:val="nil"/>
              <w:bottom w:val="single" w:sz="4" w:space="0" w:color="auto"/>
              <w:right w:val="single" w:sz="4" w:space="0" w:color="auto"/>
            </w:tcBorders>
            <w:shd w:val="clear" w:color="auto" w:fill="auto"/>
            <w:vAlign w:val="center"/>
            <w:hideMark/>
          </w:tcPr>
          <w:p w14:paraId="39FC9480"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5.270.913.216</w:t>
            </w:r>
          </w:p>
        </w:tc>
        <w:tc>
          <w:tcPr>
            <w:tcW w:w="769" w:type="pct"/>
            <w:tcBorders>
              <w:top w:val="nil"/>
              <w:left w:val="nil"/>
              <w:bottom w:val="single" w:sz="4" w:space="0" w:color="auto"/>
              <w:right w:val="single" w:sz="4" w:space="0" w:color="auto"/>
            </w:tcBorders>
            <w:shd w:val="clear" w:color="auto" w:fill="auto"/>
            <w:noWrap/>
            <w:vAlign w:val="center"/>
            <w:hideMark/>
          </w:tcPr>
          <w:p w14:paraId="29D9C6DF"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100,00 %</w:t>
            </w:r>
          </w:p>
        </w:tc>
        <w:tc>
          <w:tcPr>
            <w:tcW w:w="769" w:type="pct"/>
            <w:tcBorders>
              <w:top w:val="nil"/>
              <w:left w:val="nil"/>
              <w:bottom w:val="single" w:sz="4" w:space="0" w:color="auto"/>
              <w:right w:val="single" w:sz="4" w:space="0" w:color="auto"/>
            </w:tcBorders>
            <w:shd w:val="clear" w:color="auto" w:fill="auto"/>
            <w:noWrap/>
            <w:vAlign w:val="center"/>
            <w:hideMark/>
          </w:tcPr>
          <w:p w14:paraId="22AF20B8"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100,00 %</w:t>
            </w:r>
          </w:p>
        </w:tc>
      </w:tr>
      <w:tr w:rsidR="00F24E18" w:rsidRPr="00347D36" w14:paraId="1D1A7474" w14:textId="77777777" w:rsidTr="000E18B5">
        <w:trPr>
          <w:trHeight w:val="300"/>
        </w:trPr>
        <w:tc>
          <w:tcPr>
            <w:tcW w:w="760" w:type="pct"/>
            <w:vMerge w:val="restart"/>
            <w:tcBorders>
              <w:top w:val="nil"/>
              <w:left w:val="single" w:sz="4" w:space="0" w:color="auto"/>
              <w:bottom w:val="single" w:sz="4" w:space="0" w:color="auto"/>
              <w:right w:val="single" w:sz="4" w:space="0" w:color="auto"/>
            </w:tcBorders>
            <w:shd w:val="clear" w:color="auto" w:fill="auto"/>
            <w:vAlign w:val="center"/>
            <w:hideMark/>
          </w:tcPr>
          <w:p w14:paraId="5E04527F" w14:textId="77777777" w:rsidR="00F24E18" w:rsidRPr="00347D36" w:rsidRDefault="00F24E18" w:rsidP="000E18B5">
            <w:pPr>
              <w:spacing w:after="0" w:line="240" w:lineRule="auto"/>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NE</w:t>
            </w:r>
          </w:p>
        </w:tc>
        <w:tc>
          <w:tcPr>
            <w:tcW w:w="778" w:type="pct"/>
            <w:tcBorders>
              <w:top w:val="nil"/>
              <w:left w:val="nil"/>
              <w:bottom w:val="single" w:sz="4" w:space="0" w:color="auto"/>
              <w:right w:val="single" w:sz="4" w:space="0" w:color="auto"/>
            </w:tcBorders>
            <w:shd w:val="clear" w:color="auto" w:fill="auto"/>
            <w:vAlign w:val="center"/>
            <w:hideMark/>
          </w:tcPr>
          <w:p w14:paraId="66DDB8C9" w14:textId="77777777" w:rsidR="00F24E18" w:rsidRPr="00347D36" w:rsidRDefault="00F24E18" w:rsidP="000E18B5">
            <w:pPr>
              <w:spacing w:after="0" w:line="240" w:lineRule="auto"/>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Slovenija</w:t>
            </w:r>
          </w:p>
        </w:tc>
        <w:tc>
          <w:tcPr>
            <w:tcW w:w="785" w:type="pct"/>
            <w:tcBorders>
              <w:top w:val="nil"/>
              <w:left w:val="nil"/>
              <w:bottom w:val="single" w:sz="4" w:space="0" w:color="auto"/>
              <w:right w:val="single" w:sz="4" w:space="0" w:color="auto"/>
            </w:tcBorders>
            <w:shd w:val="clear" w:color="auto" w:fill="auto"/>
            <w:vAlign w:val="center"/>
            <w:hideMark/>
          </w:tcPr>
          <w:p w14:paraId="6306F160"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6.680</w:t>
            </w:r>
          </w:p>
        </w:tc>
        <w:tc>
          <w:tcPr>
            <w:tcW w:w="1139" w:type="pct"/>
            <w:tcBorders>
              <w:top w:val="nil"/>
              <w:left w:val="nil"/>
              <w:bottom w:val="single" w:sz="4" w:space="0" w:color="auto"/>
              <w:right w:val="single" w:sz="4" w:space="0" w:color="auto"/>
            </w:tcBorders>
            <w:shd w:val="clear" w:color="auto" w:fill="auto"/>
            <w:vAlign w:val="center"/>
            <w:hideMark/>
          </w:tcPr>
          <w:p w14:paraId="1C66E178"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925.817.399</w:t>
            </w:r>
          </w:p>
        </w:tc>
        <w:tc>
          <w:tcPr>
            <w:tcW w:w="769" w:type="pct"/>
            <w:tcBorders>
              <w:top w:val="nil"/>
              <w:left w:val="nil"/>
              <w:bottom w:val="single" w:sz="4" w:space="0" w:color="auto"/>
              <w:right w:val="single" w:sz="4" w:space="0" w:color="auto"/>
            </w:tcBorders>
            <w:shd w:val="clear" w:color="auto" w:fill="auto"/>
            <w:noWrap/>
            <w:vAlign w:val="center"/>
            <w:hideMark/>
          </w:tcPr>
          <w:p w14:paraId="31E47A28"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96,48 %</w:t>
            </w:r>
          </w:p>
        </w:tc>
        <w:tc>
          <w:tcPr>
            <w:tcW w:w="769" w:type="pct"/>
            <w:tcBorders>
              <w:top w:val="nil"/>
              <w:left w:val="nil"/>
              <w:bottom w:val="single" w:sz="4" w:space="0" w:color="auto"/>
              <w:right w:val="single" w:sz="4" w:space="0" w:color="auto"/>
            </w:tcBorders>
            <w:shd w:val="clear" w:color="auto" w:fill="auto"/>
            <w:noWrap/>
            <w:vAlign w:val="center"/>
            <w:hideMark/>
          </w:tcPr>
          <w:p w14:paraId="252F27E6"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96,31 %</w:t>
            </w:r>
          </w:p>
        </w:tc>
      </w:tr>
      <w:tr w:rsidR="00F24E18" w:rsidRPr="00347D36" w14:paraId="22C85CBC" w14:textId="77777777" w:rsidTr="000E18B5">
        <w:trPr>
          <w:trHeight w:val="300"/>
        </w:trPr>
        <w:tc>
          <w:tcPr>
            <w:tcW w:w="760" w:type="pct"/>
            <w:vMerge/>
            <w:tcBorders>
              <w:top w:val="nil"/>
              <w:left w:val="single" w:sz="4" w:space="0" w:color="auto"/>
              <w:bottom w:val="single" w:sz="4" w:space="0" w:color="auto"/>
              <w:right w:val="single" w:sz="4" w:space="0" w:color="auto"/>
            </w:tcBorders>
            <w:vAlign w:val="center"/>
            <w:hideMark/>
          </w:tcPr>
          <w:p w14:paraId="1AF24E13" w14:textId="77777777" w:rsidR="00F24E18" w:rsidRPr="00347D36" w:rsidRDefault="00F24E18" w:rsidP="000E18B5">
            <w:pPr>
              <w:spacing w:after="0" w:line="240" w:lineRule="auto"/>
              <w:rPr>
                <w:rFonts w:ascii="Arial" w:eastAsia="Times New Roman" w:hAnsi="Arial" w:cs="Arial"/>
                <w:color w:val="000000"/>
                <w:sz w:val="18"/>
                <w:szCs w:val="18"/>
                <w:lang w:eastAsia="sl-SI"/>
              </w:rPr>
            </w:pPr>
          </w:p>
        </w:tc>
        <w:tc>
          <w:tcPr>
            <w:tcW w:w="778" w:type="pct"/>
            <w:tcBorders>
              <w:top w:val="nil"/>
              <w:left w:val="nil"/>
              <w:bottom w:val="single" w:sz="4" w:space="0" w:color="auto"/>
              <w:right w:val="single" w:sz="4" w:space="0" w:color="auto"/>
            </w:tcBorders>
            <w:shd w:val="clear" w:color="auto" w:fill="auto"/>
            <w:vAlign w:val="center"/>
            <w:hideMark/>
          </w:tcPr>
          <w:p w14:paraId="5CA9F0C3" w14:textId="77777777" w:rsidR="00F24E18" w:rsidRPr="00347D36" w:rsidRDefault="00F24E18" w:rsidP="000E18B5">
            <w:pPr>
              <w:spacing w:after="0" w:line="240" w:lineRule="auto"/>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tujina</w:t>
            </w:r>
          </w:p>
        </w:tc>
        <w:tc>
          <w:tcPr>
            <w:tcW w:w="785" w:type="pct"/>
            <w:tcBorders>
              <w:top w:val="nil"/>
              <w:left w:val="nil"/>
              <w:bottom w:val="single" w:sz="4" w:space="0" w:color="auto"/>
              <w:right w:val="single" w:sz="4" w:space="0" w:color="auto"/>
            </w:tcBorders>
            <w:shd w:val="clear" w:color="auto" w:fill="auto"/>
            <w:vAlign w:val="center"/>
            <w:hideMark/>
          </w:tcPr>
          <w:p w14:paraId="7E865C13"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244</w:t>
            </w:r>
          </w:p>
        </w:tc>
        <w:tc>
          <w:tcPr>
            <w:tcW w:w="1139" w:type="pct"/>
            <w:tcBorders>
              <w:top w:val="nil"/>
              <w:left w:val="nil"/>
              <w:bottom w:val="single" w:sz="4" w:space="0" w:color="auto"/>
              <w:right w:val="single" w:sz="4" w:space="0" w:color="auto"/>
            </w:tcBorders>
            <w:shd w:val="clear" w:color="auto" w:fill="auto"/>
            <w:vAlign w:val="center"/>
            <w:hideMark/>
          </w:tcPr>
          <w:p w14:paraId="0387530C"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35.520.354</w:t>
            </w:r>
          </w:p>
        </w:tc>
        <w:tc>
          <w:tcPr>
            <w:tcW w:w="769" w:type="pct"/>
            <w:tcBorders>
              <w:top w:val="nil"/>
              <w:left w:val="nil"/>
              <w:bottom w:val="single" w:sz="4" w:space="0" w:color="auto"/>
              <w:right w:val="single" w:sz="4" w:space="0" w:color="auto"/>
            </w:tcBorders>
            <w:shd w:val="clear" w:color="auto" w:fill="auto"/>
            <w:noWrap/>
            <w:vAlign w:val="center"/>
            <w:hideMark/>
          </w:tcPr>
          <w:p w14:paraId="7989967F"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3,52 %</w:t>
            </w:r>
          </w:p>
        </w:tc>
        <w:tc>
          <w:tcPr>
            <w:tcW w:w="769" w:type="pct"/>
            <w:tcBorders>
              <w:top w:val="nil"/>
              <w:left w:val="nil"/>
              <w:bottom w:val="single" w:sz="4" w:space="0" w:color="auto"/>
              <w:right w:val="single" w:sz="4" w:space="0" w:color="auto"/>
            </w:tcBorders>
            <w:shd w:val="clear" w:color="auto" w:fill="auto"/>
            <w:noWrap/>
            <w:vAlign w:val="center"/>
            <w:hideMark/>
          </w:tcPr>
          <w:p w14:paraId="2E5F8D9C" w14:textId="77777777" w:rsidR="00F24E18" w:rsidRPr="00347D36" w:rsidRDefault="00F24E18" w:rsidP="000E18B5">
            <w:pPr>
              <w:spacing w:after="0" w:line="240" w:lineRule="auto"/>
              <w:jc w:val="right"/>
              <w:rPr>
                <w:rFonts w:ascii="Arial" w:eastAsia="Times New Roman" w:hAnsi="Arial" w:cs="Arial"/>
                <w:color w:val="000000"/>
                <w:sz w:val="18"/>
                <w:szCs w:val="18"/>
                <w:lang w:eastAsia="sl-SI"/>
              </w:rPr>
            </w:pPr>
            <w:r w:rsidRPr="00347D36">
              <w:rPr>
                <w:rFonts w:ascii="Arial" w:eastAsia="Times New Roman" w:hAnsi="Arial" w:cs="Arial"/>
                <w:color w:val="000000"/>
                <w:sz w:val="18"/>
                <w:szCs w:val="18"/>
                <w:lang w:eastAsia="sl-SI"/>
              </w:rPr>
              <w:t>3,69 %</w:t>
            </w:r>
          </w:p>
        </w:tc>
      </w:tr>
      <w:tr w:rsidR="00F24E18" w:rsidRPr="00347D36" w14:paraId="33D6E31A" w14:textId="77777777" w:rsidTr="000E18B5">
        <w:trPr>
          <w:trHeight w:val="300"/>
        </w:trPr>
        <w:tc>
          <w:tcPr>
            <w:tcW w:w="760" w:type="pct"/>
            <w:vMerge/>
            <w:tcBorders>
              <w:top w:val="nil"/>
              <w:left w:val="single" w:sz="4" w:space="0" w:color="auto"/>
              <w:bottom w:val="single" w:sz="4" w:space="0" w:color="auto"/>
              <w:right w:val="single" w:sz="4" w:space="0" w:color="auto"/>
            </w:tcBorders>
            <w:vAlign w:val="center"/>
            <w:hideMark/>
          </w:tcPr>
          <w:p w14:paraId="7B9A6193" w14:textId="77777777" w:rsidR="00F24E18" w:rsidRPr="00347D36" w:rsidRDefault="00F24E18" w:rsidP="000E18B5">
            <w:pPr>
              <w:spacing w:after="0" w:line="240" w:lineRule="auto"/>
              <w:rPr>
                <w:rFonts w:ascii="Arial" w:eastAsia="Times New Roman" w:hAnsi="Arial" w:cs="Arial"/>
                <w:color w:val="000000"/>
                <w:sz w:val="18"/>
                <w:szCs w:val="18"/>
                <w:lang w:eastAsia="sl-SI"/>
              </w:rPr>
            </w:pPr>
          </w:p>
        </w:tc>
        <w:tc>
          <w:tcPr>
            <w:tcW w:w="778" w:type="pct"/>
            <w:tcBorders>
              <w:top w:val="nil"/>
              <w:left w:val="nil"/>
              <w:bottom w:val="single" w:sz="4" w:space="0" w:color="auto"/>
              <w:right w:val="single" w:sz="4" w:space="0" w:color="auto"/>
            </w:tcBorders>
            <w:shd w:val="clear" w:color="auto" w:fill="auto"/>
            <w:vAlign w:val="center"/>
            <w:hideMark/>
          </w:tcPr>
          <w:p w14:paraId="6C9E36F7" w14:textId="77777777" w:rsidR="00F24E18" w:rsidRPr="00347D36" w:rsidRDefault="00F24E18" w:rsidP="000E18B5">
            <w:pPr>
              <w:spacing w:after="0" w:line="240" w:lineRule="auto"/>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Skupaj</w:t>
            </w:r>
          </w:p>
        </w:tc>
        <w:tc>
          <w:tcPr>
            <w:tcW w:w="785" w:type="pct"/>
            <w:tcBorders>
              <w:top w:val="nil"/>
              <w:left w:val="nil"/>
              <w:bottom w:val="single" w:sz="4" w:space="0" w:color="auto"/>
              <w:right w:val="single" w:sz="4" w:space="0" w:color="auto"/>
            </w:tcBorders>
            <w:shd w:val="clear" w:color="auto" w:fill="auto"/>
            <w:noWrap/>
            <w:vAlign w:val="center"/>
            <w:hideMark/>
          </w:tcPr>
          <w:p w14:paraId="0CAF9799"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6.924</w:t>
            </w:r>
          </w:p>
        </w:tc>
        <w:tc>
          <w:tcPr>
            <w:tcW w:w="1139" w:type="pct"/>
            <w:tcBorders>
              <w:top w:val="nil"/>
              <w:left w:val="nil"/>
              <w:bottom w:val="single" w:sz="4" w:space="0" w:color="auto"/>
              <w:right w:val="single" w:sz="4" w:space="0" w:color="auto"/>
            </w:tcBorders>
            <w:shd w:val="clear" w:color="auto" w:fill="auto"/>
            <w:noWrap/>
            <w:vAlign w:val="center"/>
            <w:hideMark/>
          </w:tcPr>
          <w:p w14:paraId="4757716B"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961.337.753</w:t>
            </w:r>
          </w:p>
        </w:tc>
        <w:tc>
          <w:tcPr>
            <w:tcW w:w="769" w:type="pct"/>
            <w:tcBorders>
              <w:top w:val="nil"/>
              <w:left w:val="nil"/>
              <w:bottom w:val="single" w:sz="4" w:space="0" w:color="auto"/>
              <w:right w:val="single" w:sz="4" w:space="0" w:color="auto"/>
            </w:tcBorders>
            <w:shd w:val="clear" w:color="auto" w:fill="auto"/>
            <w:noWrap/>
            <w:vAlign w:val="center"/>
            <w:hideMark/>
          </w:tcPr>
          <w:p w14:paraId="00A6EF7D"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100,00 %</w:t>
            </w:r>
          </w:p>
        </w:tc>
        <w:tc>
          <w:tcPr>
            <w:tcW w:w="769" w:type="pct"/>
            <w:tcBorders>
              <w:top w:val="nil"/>
              <w:left w:val="nil"/>
              <w:bottom w:val="single" w:sz="4" w:space="0" w:color="auto"/>
              <w:right w:val="single" w:sz="4" w:space="0" w:color="auto"/>
            </w:tcBorders>
            <w:shd w:val="clear" w:color="auto" w:fill="auto"/>
            <w:noWrap/>
            <w:vAlign w:val="center"/>
            <w:hideMark/>
          </w:tcPr>
          <w:p w14:paraId="1F3E4B2E"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100,00 %</w:t>
            </w:r>
          </w:p>
        </w:tc>
      </w:tr>
      <w:tr w:rsidR="00F24E18" w:rsidRPr="00347D36" w14:paraId="3974B7BF" w14:textId="77777777" w:rsidTr="000E18B5">
        <w:trPr>
          <w:gridAfter w:val="2"/>
          <w:wAfter w:w="1538" w:type="pct"/>
          <w:trHeight w:val="300"/>
        </w:trPr>
        <w:tc>
          <w:tcPr>
            <w:tcW w:w="15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D3350C" w14:textId="77777777" w:rsidR="00F24E18" w:rsidRPr="00347D36" w:rsidRDefault="00F24E18" w:rsidP="000E18B5">
            <w:pPr>
              <w:spacing w:after="0" w:line="240" w:lineRule="auto"/>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Skupaj</w:t>
            </w:r>
          </w:p>
        </w:tc>
        <w:tc>
          <w:tcPr>
            <w:tcW w:w="785" w:type="pct"/>
            <w:tcBorders>
              <w:top w:val="nil"/>
              <w:left w:val="nil"/>
              <w:bottom w:val="single" w:sz="4" w:space="0" w:color="auto"/>
              <w:right w:val="single" w:sz="4" w:space="0" w:color="auto"/>
            </w:tcBorders>
            <w:shd w:val="clear" w:color="auto" w:fill="F2F2F2" w:themeFill="background1" w:themeFillShade="F2"/>
            <w:noWrap/>
            <w:vAlign w:val="center"/>
            <w:hideMark/>
          </w:tcPr>
          <w:p w14:paraId="22A6F254"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16.824</w:t>
            </w:r>
          </w:p>
        </w:tc>
        <w:tc>
          <w:tcPr>
            <w:tcW w:w="1139" w:type="pct"/>
            <w:tcBorders>
              <w:top w:val="nil"/>
              <w:left w:val="nil"/>
              <w:bottom w:val="single" w:sz="4" w:space="0" w:color="auto"/>
              <w:right w:val="single" w:sz="4" w:space="0" w:color="auto"/>
            </w:tcBorders>
            <w:shd w:val="clear" w:color="auto" w:fill="F2F2F2" w:themeFill="background1" w:themeFillShade="F2"/>
            <w:noWrap/>
            <w:vAlign w:val="center"/>
            <w:hideMark/>
          </w:tcPr>
          <w:p w14:paraId="79AB3DF4" w14:textId="77777777" w:rsidR="00F24E18" w:rsidRPr="00347D36" w:rsidRDefault="00F24E18" w:rsidP="000E18B5">
            <w:pPr>
              <w:spacing w:after="0" w:line="240" w:lineRule="auto"/>
              <w:jc w:val="right"/>
              <w:rPr>
                <w:rFonts w:ascii="Arial" w:eastAsia="Times New Roman" w:hAnsi="Arial" w:cs="Arial"/>
                <w:b/>
                <w:bCs/>
                <w:color w:val="000000"/>
                <w:sz w:val="18"/>
                <w:szCs w:val="18"/>
                <w:lang w:eastAsia="sl-SI"/>
              </w:rPr>
            </w:pPr>
            <w:r w:rsidRPr="00347D36">
              <w:rPr>
                <w:rFonts w:ascii="Arial" w:eastAsia="Times New Roman" w:hAnsi="Arial" w:cs="Arial"/>
                <w:b/>
                <w:bCs/>
                <w:color w:val="000000"/>
                <w:sz w:val="18"/>
                <w:szCs w:val="18"/>
                <w:lang w:eastAsia="sl-SI"/>
              </w:rPr>
              <w:t>6.232.250.969</w:t>
            </w:r>
          </w:p>
        </w:tc>
      </w:tr>
    </w:tbl>
    <w:p w14:paraId="4DB9E8D6" w14:textId="77777777" w:rsidR="00F24E18" w:rsidRPr="00347D36" w:rsidRDefault="00F24E18" w:rsidP="00F24E18">
      <w:pPr>
        <w:spacing w:after="0" w:line="240" w:lineRule="auto"/>
        <w:jc w:val="both"/>
        <w:rPr>
          <w:rFonts w:ascii="Arial" w:hAnsi="Arial" w:cs="Arial"/>
          <w:sz w:val="20"/>
        </w:rPr>
      </w:pPr>
    </w:p>
    <w:p w14:paraId="70263A66" w14:textId="77777777" w:rsidR="00F24E18" w:rsidRPr="00242E41" w:rsidRDefault="00F24E18" w:rsidP="00F24E18">
      <w:pPr>
        <w:spacing w:before="120" w:after="0" w:line="240" w:lineRule="auto"/>
        <w:jc w:val="both"/>
        <w:rPr>
          <w:rFonts w:ascii="Arial" w:hAnsi="Arial" w:cs="Arial"/>
          <w:sz w:val="20"/>
          <w:highlight w:val="yellow"/>
        </w:rPr>
      </w:pPr>
      <w:r w:rsidRPr="00C91EB2">
        <w:rPr>
          <w:rFonts w:ascii="Arial" w:hAnsi="Arial" w:cs="Arial"/>
          <w:sz w:val="20"/>
        </w:rPr>
        <w:t>Preglednica 88: Javna naročila glede na predmet naročanja in sedež ponudnika</w:t>
      </w:r>
    </w:p>
    <w:p w14:paraId="059B4109"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837"/>
        <w:gridCol w:w="2204"/>
        <w:gridCol w:w="1152"/>
        <w:gridCol w:w="1842"/>
        <w:gridCol w:w="1233"/>
        <w:gridCol w:w="1906"/>
      </w:tblGrid>
      <w:tr w:rsidR="00F24E18" w:rsidRPr="00C91EB2" w14:paraId="4F7E5CE3" w14:textId="77777777" w:rsidTr="000E18B5">
        <w:trPr>
          <w:trHeight w:val="480"/>
          <w:tblHeader/>
        </w:trPr>
        <w:tc>
          <w:tcPr>
            <w:tcW w:w="456"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01AB1FD" w14:textId="77777777" w:rsidR="00F24E18" w:rsidRPr="00C91EB2" w:rsidRDefault="00F24E18" w:rsidP="000E18B5">
            <w:pPr>
              <w:spacing w:after="0" w:line="240" w:lineRule="auto"/>
              <w:jc w:val="center"/>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 xml:space="preserve">Predmet </w:t>
            </w:r>
          </w:p>
        </w:tc>
        <w:tc>
          <w:tcPr>
            <w:tcW w:w="1201" w:type="pct"/>
            <w:tcBorders>
              <w:top w:val="single" w:sz="4" w:space="0" w:color="auto"/>
              <w:left w:val="nil"/>
              <w:bottom w:val="single" w:sz="4" w:space="0" w:color="auto"/>
              <w:right w:val="single" w:sz="4" w:space="0" w:color="auto"/>
            </w:tcBorders>
            <w:shd w:val="clear" w:color="000000" w:fill="EDEDED"/>
            <w:vAlign w:val="center"/>
            <w:hideMark/>
          </w:tcPr>
          <w:p w14:paraId="0B2B07D6" w14:textId="77777777" w:rsidR="00F24E18" w:rsidRPr="00C91EB2" w:rsidRDefault="00F24E18" w:rsidP="000E18B5">
            <w:pPr>
              <w:spacing w:after="0" w:line="240" w:lineRule="auto"/>
              <w:jc w:val="center"/>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Sedež ponudnika</w:t>
            </w:r>
          </w:p>
        </w:tc>
        <w:tc>
          <w:tcPr>
            <w:tcW w:w="628" w:type="pct"/>
            <w:tcBorders>
              <w:top w:val="single" w:sz="4" w:space="0" w:color="auto"/>
              <w:left w:val="nil"/>
              <w:bottom w:val="single" w:sz="4" w:space="0" w:color="auto"/>
              <w:right w:val="single" w:sz="4" w:space="0" w:color="auto"/>
            </w:tcBorders>
            <w:shd w:val="clear" w:color="000000" w:fill="EDEDED"/>
            <w:vAlign w:val="center"/>
            <w:hideMark/>
          </w:tcPr>
          <w:p w14:paraId="0CD856D1" w14:textId="77777777" w:rsidR="00F24E18" w:rsidRPr="00C91EB2" w:rsidRDefault="00F24E18" w:rsidP="000E18B5">
            <w:pPr>
              <w:spacing w:after="0" w:line="240" w:lineRule="auto"/>
              <w:jc w:val="center"/>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Št. naročil</w:t>
            </w:r>
          </w:p>
        </w:tc>
        <w:tc>
          <w:tcPr>
            <w:tcW w:w="1004" w:type="pct"/>
            <w:tcBorders>
              <w:top w:val="single" w:sz="4" w:space="0" w:color="auto"/>
              <w:left w:val="nil"/>
              <w:bottom w:val="single" w:sz="4" w:space="0" w:color="auto"/>
              <w:right w:val="single" w:sz="4" w:space="0" w:color="auto"/>
            </w:tcBorders>
            <w:shd w:val="clear" w:color="000000" w:fill="EDEDED"/>
            <w:vAlign w:val="center"/>
            <w:hideMark/>
          </w:tcPr>
          <w:p w14:paraId="62873AA2" w14:textId="77777777" w:rsidR="00F24E18" w:rsidRPr="00C91EB2" w:rsidRDefault="00F24E18" w:rsidP="000E18B5">
            <w:pPr>
              <w:spacing w:after="0" w:line="240" w:lineRule="auto"/>
              <w:jc w:val="center"/>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Pogodbena vrednost</w:t>
            </w:r>
          </w:p>
        </w:tc>
        <w:tc>
          <w:tcPr>
            <w:tcW w:w="672" w:type="pct"/>
            <w:tcBorders>
              <w:top w:val="single" w:sz="4" w:space="0" w:color="auto"/>
              <w:left w:val="nil"/>
              <w:bottom w:val="single" w:sz="4" w:space="0" w:color="auto"/>
              <w:right w:val="single" w:sz="4" w:space="0" w:color="auto"/>
            </w:tcBorders>
            <w:shd w:val="clear" w:color="000000" w:fill="EDEDED"/>
            <w:vAlign w:val="center"/>
            <w:hideMark/>
          </w:tcPr>
          <w:p w14:paraId="78E14738" w14:textId="77777777" w:rsidR="00F24E18" w:rsidRPr="00C91EB2" w:rsidRDefault="00F24E18" w:rsidP="000E18B5">
            <w:pPr>
              <w:spacing w:after="0" w:line="240" w:lineRule="auto"/>
              <w:jc w:val="center"/>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Delež v št. istovrstnih naročil</w:t>
            </w:r>
          </w:p>
        </w:tc>
        <w:tc>
          <w:tcPr>
            <w:tcW w:w="1039" w:type="pct"/>
            <w:tcBorders>
              <w:top w:val="single" w:sz="4" w:space="0" w:color="auto"/>
              <w:left w:val="nil"/>
              <w:bottom w:val="single" w:sz="4" w:space="0" w:color="auto"/>
              <w:right w:val="single" w:sz="4" w:space="0" w:color="auto"/>
            </w:tcBorders>
            <w:shd w:val="clear" w:color="000000" w:fill="EDEDED"/>
            <w:vAlign w:val="center"/>
            <w:hideMark/>
          </w:tcPr>
          <w:p w14:paraId="75761E89" w14:textId="77777777" w:rsidR="00F24E18" w:rsidRPr="00C91EB2" w:rsidRDefault="00F24E18" w:rsidP="000E18B5">
            <w:pPr>
              <w:spacing w:after="0" w:line="240" w:lineRule="auto"/>
              <w:jc w:val="center"/>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Delež v vrednosti istovrstnih naročil</w:t>
            </w:r>
          </w:p>
        </w:tc>
      </w:tr>
      <w:tr w:rsidR="00F24E18" w:rsidRPr="00C91EB2" w14:paraId="61DDC784" w14:textId="77777777" w:rsidTr="000E18B5">
        <w:trPr>
          <w:trHeight w:val="300"/>
        </w:trPr>
        <w:tc>
          <w:tcPr>
            <w:tcW w:w="45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BE58B1"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Blago</w:t>
            </w:r>
          </w:p>
        </w:tc>
        <w:tc>
          <w:tcPr>
            <w:tcW w:w="1201" w:type="pct"/>
            <w:tcBorders>
              <w:top w:val="nil"/>
              <w:left w:val="nil"/>
              <w:bottom w:val="single" w:sz="4" w:space="0" w:color="auto"/>
              <w:right w:val="single" w:sz="4" w:space="0" w:color="auto"/>
            </w:tcBorders>
            <w:shd w:val="clear" w:color="auto" w:fill="auto"/>
            <w:noWrap/>
            <w:vAlign w:val="center"/>
            <w:hideMark/>
          </w:tcPr>
          <w:p w14:paraId="4A5D4B2D"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Slovenija</w:t>
            </w:r>
          </w:p>
        </w:tc>
        <w:tc>
          <w:tcPr>
            <w:tcW w:w="628" w:type="pct"/>
            <w:tcBorders>
              <w:top w:val="nil"/>
              <w:left w:val="nil"/>
              <w:bottom w:val="single" w:sz="4" w:space="0" w:color="auto"/>
              <w:right w:val="single" w:sz="4" w:space="0" w:color="auto"/>
            </w:tcBorders>
            <w:shd w:val="clear" w:color="auto" w:fill="auto"/>
            <w:noWrap/>
            <w:vAlign w:val="center"/>
            <w:hideMark/>
          </w:tcPr>
          <w:p w14:paraId="7819E51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10.253</w:t>
            </w:r>
          </w:p>
        </w:tc>
        <w:tc>
          <w:tcPr>
            <w:tcW w:w="1004" w:type="pct"/>
            <w:tcBorders>
              <w:top w:val="nil"/>
              <w:left w:val="nil"/>
              <w:bottom w:val="single" w:sz="4" w:space="0" w:color="auto"/>
              <w:right w:val="single" w:sz="4" w:space="0" w:color="auto"/>
            </w:tcBorders>
            <w:shd w:val="clear" w:color="auto" w:fill="auto"/>
            <w:noWrap/>
            <w:vAlign w:val="center"/>
            <w:hideMark/>
          </w:tcPr>
          <w:p w14:paraId="1477C60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2.275.226.624</w:t>
            </w:r>
          </w:p>
        </w:tc>
        <w:tc>
          <w:tcPr>
            <w:tcW w:w="672" w:type="pct"/>
            <w:tcBorders>
              <w:top w:val="nil"/>
              <w:left w:val="nil"/>
              <w:bottom w:val="single" w:sz="4" w:space="0" w:color="auto"/>
              <w:right w:val="single" w:sz="4" w:space="0" w:color="auto"/>
            </w:tcBorders>
            <w:shd w:val="clear" w:color="auto" w:fill="auto"/>
            <w:noWrap/>
            <w:vAlign w:val="center"/>
            <w:hideMark/>
          </w:tcPr>
          <w:p w14:paraId="51F5E13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96,66 %</w:t>
            </w:r>
          </w:p>
        </w:tc>
        <w:tc>
          <w:tcPr>
            <w:tcW w:w="1039" w:type="pct"/>
            <w:tcBorders>
              <w:top w:val="nil"/>
              <w:left w:val="nil"/>
              <w:bottom w:val="single" w:sz="4" w:space="0" w:color="auto"/>
              <w:right w:val="single" w:sz="4" w:space="0" w:color="auto"/>
            </w:tcBorders>
            <w:shd w:val="clear" w:color="auto" w:fill="auto"/>
            <w:noWrap/>
            <w:vAlign w:val="center"/>
            <w:hideMark/>
          </w:tcPr>
          <w:p w14:paraId="60CE354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87,25 %</w:t>
            </w:r>
          </w:p>
        </w:tc>
      </w:tr>
      <w:tr w:rsidR="00F24E18" w:rsidRPr="00C91EB2" w14:paraId="4F5E7C31"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43C090B"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E33A8A9"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Avstrija</w:t>
            </w:r>
          </w:p>
        </w:tc>
        <w:tc>
          <w:tcPr>
            <w:tcW w:w="628" w:type="pct"/>
            <w:tcBorders>
              <w:top w:val="nil"/>
              <w:left w:val="nil"/>
              <w:bottom w:val="single" w:sz="4" w:space="0" w:color="auto"/>
              <w:right w:val="single" w:sz="4" w:space="0" w:color="auto"/>
            </w:tcBorders>
            <w:shd w:val="clear" w:color="auto" w:fill="auto"/>
            <w:noWrap/>
            <w:vAlign w:val="center"/>
            <w:hideMark/>
          </w:tcPr>
          <w:p w14:paraId="7EDA480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45</w:t>
            </w:r>
          </w:p>
        </w:tc>
        <w:tc>
          <w:tcPr>
            <w:tcW w:w="1004" w:type="pct"/>
            <w:tcBorders>
              <w:top w:val="nil"/>
              <w:left w:val="nil"/>
              <w:bottom w:val="single" w:sz="4" w:space="0" w:color="auto"/>
              <w:right w:val="single" w:sz="4" w:space="0" w:color="auto"/>
            </w:tcBorders>
            <w:shd w:val="clear" w:color="auto" w:fill="auto"/>
            <w:noWrap/>
            <w:vAlign w:val="center"/>
            <w:hideMark/>
          </w:tcPr>
          <w:p w14:paraId="170A900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12.733.570</w:t>
            </w:r>
          </w:p>
        </w:tc>
        <w:tc>
          <w:tcPr>
            <w:tcW w:w="672" w:type="pct"/>
            <w:tcBorders>
              <w:top w:val="nil"/>
              <w:left w:val="nil"/>
              <w:bottom w:val="single" w:sz="4" w:space="0" w:color="auto"/>
              <w:right w:val="single" w:sz="4" w:space="0" w:color="auto"/>
            </w:tcBorders>
            <w:shd w:val="clear" w:color="auto" w:fill="auto"/>
            <w:noWrap/>
            <w:vAlign w:val="center"/>
            <w:hideMark/>
          </w:tcPr>
          <w:p w14:paraId="0B43779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0,42 %</w:t>
            </w:r>
          </w:p>
        </w:tc>
        <w:tc>
          <w:tcPr>
            <w:tcW w:w="1039" w:type="pct"/>
            <w:tcBorders>
              <w:top w:val="nil"/>
              <w:left w:val="nil"/>
              <w:bottom w:val="single" w:sz="4" w:space="0" w:color="auto"/>
              <w:right w:val="single" w:sz="4" w:space="0" w:color="auto"/>
            </w:tcBorders>
            <w:shd w:val="clear" w:color="auto" w:fill="auto"/>
            <w:noWrap/>
            <w:vAlign w:val="center"/>
            <w:hideMark/>
          </w:tcPr>
          <w:p w14:paraId="3650A88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0,49 %</w:t>
            </w:r>
          </w:p>
        </w:tc>
      </w:tr>
      <w:tr w:rsidR="00F24E18" w:rsidRPr="00C91EB2" w14:paraId="07193760"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6CF3745"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688393F"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Belgija</w:t>
            </w:r>
          </w:p>
        </w:tc>
        <w:tc>
          <w:tcPr>
            <w:tcW w:w="628" w:type="pct"/>
            <w:tcBorders>
              <w:top w:val="nil"/>
              <w:left w:val="nil"/>
              <w:bottom w:val="single" w:sz="4" w:space="0" w:color="auto"/>
              <w:right w:val="single" w:sz="4" w:space="0" w:color="auto"/>
            </w:tcBorders>
            <w:shd w:val="clear" w:color="auto" w:fill="auto"/>
            <w:noWrap/>
            <w:vAlign w:val="center"/>
            <w:hideMark/>
          </w:tcPr>
          <w:p w14:paraId="3308DE0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w:t>
            </w:r>
          </w:p>
        </w:tc>
        <w:tc>
          <w:tcPr>
            <w:tcW w:w="1004" w:type="pct"/>
            <w:tcBorders>
              <w:top w:val="nil"/>
              <w:left w:val="nil"/>
              <w:bottom w:val="single" w:sz="4" w:space="0" w:color="auto"/>
              <w:right w:val="single" w:sz="4" w:space="0" w:color="auto"/>
            </w:tcBorders>
            <w:shd w:val="clear" w:color="auto" w:fill="auto"/>
            <w:noWrap/>
            <w:vAlign w:val="center"/>
            <w:hideMark/>
          </w:tcPr>
          <w:p w14:paraId="7639CE7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6.380.419</w:t>
            </w:r>
          </w:p>
        </w:tc>
        <w:tc>
          <w:tcPr>
            <w:tcW w:w="672" w:type="pct"/>
            <w:tcBorders>
              <w:top w:val="nil"/>
              <w:left w:val="nil"/>
              <w:bottom w:val="single" w:sz="4" w:space="0" w:color="auto"/>
              <w:right w:val="single" w:sz="4" w:space="0" w:color="auto"/>
            </w:tcBorders>
            <w:shd w:val="clear" w:color="auto" w:fill="auto"/>
            <w:noWrap/>
            <w:vAlign w:val="center"/>
            <w:hideMark/>
          </w:tcPr>
          <w:p w14:paraId="22B1851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0,04 %</w:t>
            </w:r>
          </w:p>
        </w:tc>
        <w:tc>
          <w:tcPr>
            <w:tcW w:w="1039" w:type="pct"/>
            <w:tcBorders>
              <w:top w:val="nil"/>
              <w:left w:val="nil"/>
              <w:bottom w:val="single" w:sz="4" w:space="0" w:color="auto"/>
              <w:right w:val="single" w:sz="4" w:space="0" w:color="auto"/>
            </w:tcBorders>
            <w:shd w:val="clear" w:color="auto" w:fill="auto"/>
            <w:noWrap/>
            <w:vAlign w:val="center"/>
            <w:hideMark/>
          </w:tcPr>
          <w:p w14:paraId="0F4C8F11"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0,24 %</w:t>
            </w:r>
          </w:p>
        </w:tc>
      </w:tr>
      <w:tr w:rsidR="00F24E18" w:rsidRPr="00C91EB2" w14:paraId="40FE77C3"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6D6E1A31"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33EFAC1C"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Bosna in Hercegovina</w:t>
            </w:r>
          </w:p>
        </w:tc>
        <w:tc>
          <w:tcPr>
            <w:tcW w:w="628" w:type="pct"/>
            <w:tcBorders>
              <w:top w:val="nil"/>
              <w:left w:val="nil"/>
              <w:bottom w:val="single" w:sz="4" w:space="0" w:color="auto"/>
              <w:right w:val="single" w:sz="4" w:space="0" w:color="auto"/>
            </w:tcBorders>
            <w:shd w:val="clear" w:color="auto" w:fill="auto"/>
            <w:noWrap/>
            <w:vAlign w:val="center"/>
            <w:hideMark/>
          </w:tcPr>
          <w:p w14:paraId="0CAA6DA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013CDA4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109.700</w:t>
            </w:r>
          </w:p>
        </w:tc>
        <w:tc>
          <w:tcPr>
            <w:tcW w:w="672" w:type="pct"/>
            <w:tcBorders>
              <w:top w:val="nil"/>
              <w:left w:val="nil"/>
              <w:bottom w:val="single" w:sz="4" w:space="0" w:color="auto"/>
              <w:right w:val="single" w:sz="4" w:space="0" w:color="auto"/>
            </w:tcBorders>
            <w:shd w:val="clear" w:color="auto" w:fill="auto"/>
            <w:noWrap/>
            <w:vAlign w:val="center"/>
            <w:hideMark/>
          </w:tcPr>
          <w:p w14:paraId="168EF4B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c>
          <w:tcPr>
            <w:tcW w:w="1039" w:type="pct"/>
            <w:tcBorders>
              <w:top w:val="nil"/>
              <w:left w:val="nil"/>
              <w:bottom w:val="single" w:sz="4" w:space="0" w:color="auto"/>
              <w:right w:val="single" w:sz="4" w:space="0" w:color="auto"/>
            </w:tcBorders>
            <w:shd w:val="clear" w:color="auto" w:fill="auto"/>
            <w:noWrap/>
            <w:vAlign w:val="center"/>
            <w:hideMark/>
          </w:tcPr>
          <w:p w14:paraId="054EF44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0,00 %</w:t>
            </w:r>
          </w:p>
        </w:tc>
      </w:tr>
      <w:tr w:rsidR="00F24E18" w:rsidRPr="00C91EB2" w14:paraId="121B7217"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D4550DC"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673C0859"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Ciper</w:t>
            </w:r>
          </w:p>
        </w:tc>
        <w:tc>
          <w:tcPr>
            <w:tcW w:w="628" w:type="pct"/>
            <w:tcBorders>
              <w:top w:val="nil"/>
              <w:left w:val="nil"/>
              <w:bottom w:val="single" w:sz="4" w:space="0" w:color="auto"/>
              <w:right w:val="single" w:sz="4" w:space="0" w:color="auto"/>
            </w:tcBorders>
            <w:shd w:val="clear" w:color="auto" w:fill="auto"/>
            <w:noWrap/>
            <w:vAlign w:val="center"/>
            <w:hideMark/>
          </w:tcPr>
          <w:p w14:paraId="0519251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30AF8B6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114.930</w:t>
            </w:r>
          </w:p>
        </w:tc>
        <w:tc>
          <w:tcPr>
            <w:tcW w:w="672" w:type="pct"/>
            <w:tcBorders>
              <w:top w:val="nil"/>
              <w:left w:val="nil"/>
              <w:bottom w:val="single" w:sz="4" w:space="0" w:color="auto"/>
              <w:right w:val="single" w:sz="4" w:space="0" w:color="auto"/>
            </w:tcBorders>
            <w:shd w:val="clear" w:color="auto" w:fill="auto"/>
            <w:noWrap/>
            <w:vAlign w:val="center"/>
            <w:hideMark/>
          </w:tcPr>
          <w:p w14:paraId="5984289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c>
          <w:tcPr>
            <w:tcW w:w="1039" w:type="pct"/>
            <w:tcBorders>
              <w:top w:val="nil"/>
              <w:left w:val="nil"/>
              <w:bottom w:val="single" w:sz="4" w:space="0" w:color="auto"/>
              <w:right w:val="single" w:sz="4" w:space="0" w:color="auto"/>
            </w:tcBorders>
            <w:shd w:val="clear" w:color="auto" w:fill="auto"/>
            <w:noWrap/>
            <w:vAlign w:val="center"/>
            <w:hideMark/>
          </w:tcPr>
          <w:p w14:paraId="3E16F75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0,00 %</w:t>
            </w:r>
          </w:p>
        </w:tc>
      </w:tr>
      <w:tr w:rsidR="00F24E18" w:rsidRPr="00C91EB2" w14:paraId="42D97848"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41F499A6"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FB73F1C"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Češka</w:t>
            </w:r>
          </w:p>
        </w:tc>
        <w:tc>
          <w:tcPr>
            <w:tcW w:w="628" w:type="pct"/>
            <w:tcBorders>
              <w:top w:val="nil"/>
              <w:left w:val="nil"/>
              <w:bottom w:val="single" w:sz="4" w:space="0" w:color="auto"/>
              <w:right w:val="single" w:sz="4" w:space="0" w:color="auto"/>
            </w:tcBorders>
            <w:shd w:val="clear" w:color="auto" w:fill="auto"/>
            <w:noWrap/>
            <w:vAlign w:val="center"/>
            <w:hideMark/>
          </w:tcPr>
          <w:p w14:paraId="13FCEBC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7</w:t>
            </w:r>
          </w:p>
        </w:tc>
        <w:tc>
          <w:tcPr>
            <w:tcW w:w="1004" w:type="pct"/>
            <w:tcBorders>
              <w:top w:val="nil"/>
              <w:left w:val="nil"/>
              <w:bottom w:val="single" w:sz="4" w:space="0" w:color="auto"/>
              <w:right w:val="single" w:sz="4" w:space="0" w:color="auto"/>
            </w:tcBorders>
            <w:shd w:val="clear" w:color="auto" w:fill="auto"/>
            <w:noWrap/>
            <w:vAlign w:val="center"/>
            <w:hideMark/>
          </w:tcPr>
          <w:p w14:paraId="68EE7D5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3.506.098</w:t>
            </w:r>
          </w:p>
        </w:tc>
        <w:tc>
          <w:tcPr>
            <w:tcW w:w="672" w:type="pct"/>
            <w:tcBorders>
              <w:top w:val="nil"/>
              <w:left w:val="nil"/>
              <w:bottom w:val="single" w:sz="4" w:space="0" w:color="auto"/>
              <w:right w:val="single" w:sz="4" w:space="0" w:color="auto"/>
            </w:tcBorders>
            <w:shd w:val="clear" w:color="auto" w:fill="auto"/>
            <w:noWrap/>
            <w:vAlign w:val="center"/>
            <w:hideMark/>
          </w:tcPr>
          <w:p w14:paraId="204AA3E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0,07 %</w:t>
            </w:r>
          </w:p>
        </w:tc>
        <w:tc>
          <w:tcPr>
            <w:tcW w:w="1039" w:type="pct"/>
            <w:tcBorders>
              <w:top w:val="nil"/>
              <w:left w:val="nil"/>
              <w:bottom w:val="single" w:sz="4" w:space="0" w:color="auto"/>
              <w:right w:val="single" w:sz="4" w:space="0" w:color="auto"/>
            </w:tcBorders>
            <w:shd w:val="clear" w:color="auto" w:fill="auto"/>
            <w:noWrap/>
            <w:vAlign w:val="center"/>
            <w:hideMark/>
          </w:tcPr>
          <w:p w14:paraId="6A7FC5F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0,13 %</w:t>
            </w:r>
          </w:p>
        </w:tc>
      </w:tr>
      <w:tr w:rsidR="00F24E18" w:rsidRPr="00C91EB2" w14:paraId="22B4FF25"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2BE831CE"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5CB88E7"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Francija</w:t>
            </w:r>
          </w:p>
        </w:tc>
        <w:tc>
          <w:tcPr>
            <w:tcW w:w="628" w:type="pct"/>
            <w:tcBorders>
              <w:top w:val="nil"/>
              <w:left w:val="nil"/>
              <w:bottom w:val="single" w:sz="4" w:space="0" w:color="auto"/>
              <w:right w:val="single" w:sz="4" w:space="0" w:color="auto"/>
            </w:tcBorders>
            <w:shd w:val="clear" w:color="auto" w:fill="auto"/>
            <w:noWrap/>
            <w:vAlign w:val="center"/>
            <w:hideMark/>
          </w:tcPr>
          <w:p w14:paraId="6C4FA9F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20</w:t>
            </w:r>
          </w:p>
        </w:tc>
        <w:tc>
          <w:tcPr>
            <w:tcW w:w="1004" w:type="pct"/>
            <w:tcBorders>
              <w:top w:val="nil"/>
              <w:left w:val="nil"/>
              <w:bottom w:val="single" w:sz="4" w:space="0" w:color="auto"/>
              <w:right w:val="single" w:sz="4" w:space="0" w:color="auto"/>
            </w:tcBorders>
            <w:shd w:val="clear" w:color="auto" w:fill="auto"/>
            <w:noWrap/>
            <w:vAlign w:val="center"/>
            <w:hideMark/>
          </w:tcPr>
          <w:p w14:paraId="47380401"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7.920.093</w:t>
            </w:r>
          </w:p>
        </w:tc>
        <w:tc>
          <w:tcPr>
            <w:tcW w:w="672" w:type="pct"/>
            <w:tcBorders>
              <w:top w:val="nil"/>
              <w:left w:val="nil"/>
              <w:bottom w:val="single" w:sz="4" w:space="0" w:color="auto"/>
              <w:right w:val="single" w:sz="4" w:space="0" w:color="auto"/>
            </w:tcBorders>
            <w:shd w:val="clear" w:color="auto" w:fill="auto"/>
            <w:noWrap/>
            <w:vAlign w:val="center"/>
            <w:hideMark/>
          </w:tcPr>
          <w:p w14:paraId="4AFE78B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0,19 %</w:t>
            </w:r>
          </w:p>
        </w:tc>
        <w:tc>
          <w:tcPr>
            <w:tcW w:w="1039" w:type="pct"/>
            <w:tcBorders>
              <w:top w:val="nil"/>
              <w:left w:val="nil"/>
              <w:bottom w:val="single" w:sz="4" w:space="0" w:color="auto"/>
              <w:right w:val="single" w:sz="4" w:space="0" w:color="auto"/>
            </w:tcBorders>
            <w:shd w:val="clear" w:color="auto" w:fill="auto"/>
            <w:noWrap/>
            <w:vAlign w:val="center"/>
            <w:hideMark/>
          </w:tcPr>
          <w:p w14:paraId="1F6938C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0,30 %</w:t>
            </w:r>
          </w:p>
        </w:tc>
      </w:tr>
      <w:tr w:rsidR="00F24E18" w:rsidRPr="00C91EB2" w14:paraId="021BDE98"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4ACECC9"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4904934A"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Hrvaška</w:t>
            </w:r>
          </w:p>
        </w:tc>
        <w:tc>
          <w:tcPr>
            <w:tcW w:w="628" w:type="pct"/>
            <w:tcBorders>
              <w:top w:val="nil"/>
              <w:left w:val="nil"/>
              <w:bottom w:val="single" w:sz="4" w:space="0" w:color="auto"/>
              <w:right w:val="single" w:sz="4" w:space="0" w:color="auto"/>
            </w:tcBorders>
            <w:shd w:val="clear" w:color="auto" w:fill="auto"/>
            <w:noWrap/>
            <w:vAlign w:val="center"/>
            <w:hideMark/>
          </w:tcPr>
          <w:p w14:paraId="4F93678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88</w:t>
            </w:r>
          </w:p>
        </w:tc>
        <w:tc>
          <w:tcPr>
            <w:tcW w:w="1004" w:type="pct"/>
            <w:tcBorders>
              <w:top w:val="nil"/>
              <w:left w:val="nil"/>
              <w:bottom w:val="single" w:sz="4" w:space="0" w:color="auto"/>
              <w:right w:val="single" w:sz="4" w:space="0" w:color="auto"/>
            </w:tcBorders>
            <w:shd w:val="clear" w:color="auto" w:fill="auto"/>
            <w:noWrap/>
            <w:vAlign w:val="center"/>
            <w:hideMark/>
          </w:tcPr>
          <w:p w14:paraId="64F7AA9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15.040.735</w:t>
            </w:r>
          </w:p>
        </w:tc>
        <w:tc>
          <w:tcPr>
            <w:tcW w:w="672" w:type="pct"/>
            <w:tcBorders>
              <w:top w:val="nil"/>
              <w:left w:val="nil"/>
              <w:bottom w:val="single" w:sz="4" w:space="0" w:color="auto"/>
              <w:right w:val="single" w:sz="4" w:space="0" w:color="auto"/>
            </w:tcBorders>
            <w:shd w:val="clear" w:color="auto" w:fill="auto"/>
            <w:noWrap/>
            <w:vAlign w:val="center"/>
            <w:hideMark/>
          </w:tcPr>
          <w:p w14:paraId="0C58491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0,83 %</w:t>
            </w:r>
          </w:p>
        </w:tc>
        <w:tc>
          <w:tcPr>
            <w:tcW w:w="1039" w:type="pct"/>
            <w:tcBorders>
              <w:top w:val="nil"/>
              <w:left w:val="nil"/>
              <w:bottom w:val="single" w:sz="4" w:space="0" w:color="auto"/>
              <w:right w:val="single" w:sz="4" w:space="0" w:color="auto"/>
            </w:tcBorders>
            <w:shd w:val="clear" w:color="auto" w:fill="auto"/>
            <w:noWrap/>
            <w:vAlign w:val="center"/>
            <w:hideMark/>
          </w:tcPr>
          <w:p w14:paraId="31F7950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0,58 %</w:t>
            </w:r>
          </w:p>
        </w:tc>
      </w:tr>
      <w:tr w:rsidR="00F24E18" w:rsidRPr="00C91EB2" w14:paraId="0829D566"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02372C8A"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9B449E8"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Irska</w:t>
            </w:r>
          </w:p>
        </w:tc>
        <w:tc>
          <w:tcPr>
            <w:tcW w:w="628" w:type="pct"/>
            <w:tcBorders>
              <w:top w:val="nil"/>
              <w:left w:val="nil"/>
              <w:bottom w:val="single" w:sz="4" w:space="0" w:color="auto"/>
              <w:right w:val="single" w:sz="4" w:space="0" w:color="auto"/>
            </w:tcBorders>
            <w:shd w:val="clear" w:color="auto" w:fill="auto"/>
            <w:noWrap/>
            <w:vAlign w:val="center"/>
            <w:hideMark/>
          </w:tcPr>
          <w:p w14:paraId="3484145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4A0DB96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750.000</w:t>
            </w:r>
          </w:p>
        </w:tc>
        <w:tc>
          <w:tcPr>
            <w:tcW w:w="672" w:type="pct"/>
            <w:tcBorders>
              <w:top w:val="nil"/>
              <w:left w:val="nil"/>
              <w:bottom w:val="single" w:sz="4" w:space="0" w:color="auto"/>
              <w:right w:val="single" w:sz="4" w:space="0" w:color="auto"/>
            </w:tcBorders>
            <w:shd w:val="clear" w:color="auto" w:fill="auto"/>
            <w:noWrap/>
            <w:vAlign w:val="center"/>
            <w:hideMark/>
          </w:tcPr>
          <w:p w14:paraId="0B8F4E1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c>
          <w:tcPr>
            <w:tcW w:w="1039" w:type="pct"/>
            <w:tcBorders>
              <w:top w:val="nil"/>
              <w:left w:val="nil"/>
              <w:bottom w:val="single" w:sz="4" w:space="0" w:color="auto"/>
              <w:right w:val="single" w:sz="4" w:space="0" w:color="auto"/>
            </w:tcBorders>
            <w:shd w:val="clear" w:color="auto" w:fill="auto"/>
            <w:noWrap/>
            <w:vAlign w:val="center"/>
            <w:hideMark/>
          </w:tcPr>
          <w:p w14:paraId="13B454E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0,03 %</w:t>
            </w:r>
          </w:p>
        </w:tc>
      </w:tr>
      <w:tr w:rsidR="00F24E18" w:rsidRPr="00C91EB2" w14:paraId="4DBE996F"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47EC555D"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093AA2D"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Italija</w:t>
            </w:r>
          </w:p>
        </w:tc>
        <w:tc>
          <w:tcPr>
            <w:tcW w:w="628" w:type="pct"/>
            <w:tcBorders>
              <w:top w:val="nil"/>
              <w:left w:val="nil"/>
              <w:bottom w:val="single" w:sz="4" w:space="0" w:color="auto"/>
              <w:right w:val="single" w:sz="4" w:space="0" w:color="auto"/>
            </w:tcBorders>
            <w:shd w:val="clear" w:color="auto" w:fill="auto"/>
            <w:noWrap/>
            <w:vAlign w:val="center"/>
            <w:hideMark/>
          </w:tcPr>
          <w:p w14:paraId="4BF44E9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23</w:t>
            </w:r>
          </w:p>
        </w:tc>
        <w:tc>
          <w:tcPr>
            <w:tcW w:w="1004" w:type="pct"/>
            <w:tcBorders>
              <w:top w:val="nil"/>
              <w:left w:val="nil"/>
              <w:bottom w:val="single" w:sz="4" w:space="0" w:color="auto"/>
              <w:right w:val="single" w:sz="4" w:space="0" w:color="auto"/>
            </w:tcBorders>
            <w:shd w:val="clear" w:color="auto" w:fill="auto"/>
            <w:noWrap/>
            <w:vAlign w:val="center"/>
            <w:hideMark/>
          </w:tcPr>
          <w:p w14:paraId="7677292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4.489.603</w:t>
            </w:r>
          </w:p>
        </w:tc>
        <w:tc>
          <w:tcPr>
            <w:tcW w:w="672" w:type="pct"/>
            <w:tcBorders>
              <w:top w:val="nil"/>
              <w:left w:val="nil"/>
              <w:bottom w:val="single" w:sz="4" w:space="0" w:color="auto"/>
              <w:right w:val="single" w:sz="4" w:space="0" w:color="auto"/>
            </w:tcBorders>
            <w:shd w:val="clear" w:color="auto" w:fill="auto"/>
            <w:noWrap/>
            <w:vAlign w:val="center"/>
            <w:hideMark/>
          </w:tcPr>
          <w:p w14:paraId="5472AF8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0,22 %</w:t>
            </w:r>
          </w:p>
        </w:tc>
        <w:tc>
          <w:tcPr>
            <w:tcW w:w="1039" w:type="pct"/>
            <w:tcBorders>
              <w:top w:val="nil"/>
              <w:left w:val="nil"/>
              <w:bottom w:val="single" w:sz="4" w:space="0" w:color="auto"/>
              <w:right w:val="single" w:sz="4" w:space="0" w:color="auto"/>
            </w:tcBorders>
            <w:shd w:val="clear" w:color="auto" w:fill="auto"/>
            <w:noWrap/>
            <w:vAlign w:val="center"/>
            <w:hideMark/>
          </w:tcPr>
          <w:p w14:paraId="4EC3EF4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0,17 %</w:t>
            </w:r>
          </w:p>
        </w:tc>
      </w:tr>
      <w:tr w:rsidR="00F24E18" w:rsidRPr="00C91EB2" w14:paraId="22CD3BB6"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241104BA"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3BEF1F66"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Litva</w:t>
            </w:r>
          </w:p>
        </w:tc>
        <w:tc>
          <w:tcPr>
            <w:tcW w:w="628" w:type="pct"/>
            <w:tcBorders>
              <w:top w:val="nil"/>
              <w:left w:val="nil"/>
              <w:bottom w:val="single" w:sz="4" w:space="0" w:color="auto"/>
              <w:right w:val="single" w:sz="4" w:space="0" w:color="auto"/>
            </w:tcBorders>
            <w:shd w:val="clear" w:color="auto" w:fill="auto"/>
            <w:noWrap/>
            <w:vAlign w:val="center"/>
            <w:hideMark/>
          </w:tcPr>
          <w:p w14:paraId="5F945F0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w:t>
            </w:r>
          </w:p>
        </w:tc>
        <w:tc>
          <w:tcPr>
            <w:tcW w:w="1004" w:type="pct"/>
            <w:tcBorders>
              <w:top w:val="nil"/>
              <w:left w:val="nil"/>
              <w:bottom w:val="single" w:sz="4" w:space="0" w:color="auto"/>
              <w:right w:val="single" w:sz="4" w:space="0" w:color="auto"/>
            </w:tcBorders>
            <w:shd w:val="clear" w:color="auto" w:fill="auto"/>
            <w:noWrap/>
            <w:vAlign w:val="center"/>
            <w:hideMark/>
          </w:tcPr>
          <w:p w14:paraId="5A0D5FC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254.075</w:t>
            </w:r>
          </w:p>
        </w:tc>
        <w:tc>
          <w:tcPr>
            <w:tcW w:w="672" w:type="pct"/>
            <w:tcBorders>
              <w:top w:val="nil"/>
              <w:left w:val="nil"/>
              <w:bottom w:val="single" w:sz="4" w:space="0" w:color="auto"/>
              <w:right w:val="single" w:sz="4" w:space="0" w:color="auto"/>
            </w:tcBorders>
            <w:shd w:val="clear" w:color="auto" w:fill="auto"/>
            <w:noWrap/>
            <w:vAlign w:val="center"/>
            <w:hideMark/>
          </w:tcPr>
          <w:p w14:paraId="4E1F90B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c>
          <w:tcPr>
            <w:tcW w:w="1039" w:type="pct"/>
            <w:tcBorders>
              <w:top w:val="nil"/>
              <w:left w:val="nil"/>
              <w:bottom w:val="single" w:sz="4" w:space="0" w:color="auto"/>
              <w:right w:val="single" w:sz="4" w:space="0" w:color="auto"/>
            </w:tcBorders>
            <w:shd w:val="clear" w:color="auto" w:fill="auto"/>
            <w:noWrap/>
            <w:vAlign w:val="center"/>
            <w:hideMark/>
          </w:tcPr>
          <w:p w14:paraId="2C004E6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r>
      <w:tr w:rsidR="00F24E18" w:rsidRPr="00C91EB2" w14:paraId="44B90342"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36786A9E"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449EFD66"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Luksemburg</w:t>
            </w:r>
          </w:p>
        </w:tc>
        <w:tc>
          <w:tcPr>
            <w:tcW w:w="628" w:type="pct"/>
            <w:tcBorders>
              <w:top w:val="nil"/>
              <w:left w:val="nil"/>
              <w:bottom w:val="single" w:sz="4" w:space="0" w:color="auto"/>
              <w:right w:val="single" w:sz="4" w:space="0" w:color="auto"/>
            </w:tcBorders>
            <w:shd w:val="clear" w:color="auto" w:fill="auto"/>
            <w:noWrap/>
            <w:vAlign w:val="center"/>
            <w:hideMark/>
          </w:tcPr>
          <w:p w14:paraId="226C0F4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26927C0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73.531</w:t>
            </w:r>
          </w:p>
        </w:tc>
        <w:tc>
          <w:tcPr>
            <w:tcW w:w="672" w:type="pct"/>
            <w:tcBorders>
              <w:top w:val="nil"/>
              <w:left w:val="nil"/>
              <w:bottom w:val="single" w:sz="4" w:space="0" w:color="auto"/>
              <w:right w:val="single" w:sz="4" w:space="0" w:color="auto"/>
            </w:tcBorders>
            <w:shd w:val="clear" w:color="auto" w:fill="auto"/>
            <w:noWrap/>
            <w:vAlign w:val="center"/>
            <w:hideMark/>
          </w:tcPr>
          <w:p w14:paraId="5CAD91C1"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c>
          <w:tcPr>
            <w:tcW w:w="1039" w:type="pct"/>
            <w:tcBorders>
              <w:top w:val="nil"/>
              <w:left w:val="nil"/>
              <w:bottom w:val="single" w:sz="4" w:space="0" w:color="auto"/>
              <w:right w:val="single" w:sz="4" w:space="0" w:color="auto"/>
            </w:tcBorders>
            <w:shd w:val="clear" w:color="auto" w:fill="auto"/>
            <w:noWrap/>
            <w:vAlign w:val="center"/>
            <w:hideMark/>
          </w:tcPr>
          <w:p w14:paraId="09BD783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0,00 %</w:t>
            </w:r>
          </w:p>
        </w:tc>
      </w:tr>
      <w:tr w:rsidR="00F24E18" w:rsidRPr="00C91EB2" w14:paraId="1368C5BA"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08BEE6CD"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EA90890"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Madžarska</w:t>
            </w:r>
          </w:p>
        </w:tc>
        <w:tc>
          <w:tcPr>
            <w:tcW w:w="628" w:type="pct"/>
            <w:tcBorders>
              <w:top w:val="nil"/>
              <w:left w:val="nil"/>
              <w:bottom w:val="single" w:sz="4" w:space="0" w:color="auto"/>
              <w:right w:val="single" w:sz="4" w:space="0" w:color="auto"/>
            </w:tcBorders>
            <w:shd w:val="clear" w:color="auto" w:fill="auto"/>
            <w:noWrap/>
            <w:vAlign w:val="center"/>
            <w:hideMark/>
          </w:tcPr>
          <w:p w14:paraId="55BA37B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w:t>
            </w:r>
          </w:p>
        </w:tc>
        <w:tc>
          <w:tcPr>
            <w:tcW w:w="1004" w:type="pct"/>
            <w:tcBorders>
              <w:top w:val="nil"/>
              <w:left w:val="nil"/>
              <w:bottom w:val="single" w:sz="4" w:space="0" w:color="auto"/>
              <w:right w:val="single" w:sz="4" w:space="0" w:color="auto"/>
            </w:tcBorders>
            <w:shd w:val="clear" w:color="auto" w:fill="auto"/>
            <w:noWrap/>
            <w:vAlign w:val="center"/>
            <w:hideMark/>
          </w:tcPr>
          <w:p w14:paraId="63F8DC5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19.928.415</w:t>
            </w:r>
          </w:p>
        </w:tc>
        <w:tc>
          <w:tcPr>
            <w:tcW w:w="672" w:type="pct"/>
            <w:tcBorders>
              <w:top w:val="nil"/>
              <w:left w:val="nil"/>
              <w:bottom w:val="single" w:sz="4" w:space="0" w:color="auto"/>
              <w:right w:val="single" w:sz="4" w:space="0" w:color="auto"/>
            </w:tcBorders>
            <w:shd w:val="clear" w:color="auto" w:fill="auto"/>
            <w:noWrap/>
            <w:vAlign w:val="center"/>
            <w:hideMark/>
          </w:tcPr>
          <w:p w14:paraId="5D2A0CE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0,06 %</w:t>
            </w:r>
          </w:p>
        </w:tc>
        <w:tc>
          <w:tcPr>
            <w:tcW w:w="1039" w:type="pct"/>
            <w:tcBorders>
              <w:top w:val="nil"/>
              <w:left w:val="nil"/>
              <w:bottom w:val="single" w:sz="4" w:space="0" w:color="auto"/>
              <w:right w:val="single" w:sz="4" w:space="0" w:color="auto"/>
            </w:tcBorders>
            <w:shd w:val="clear" w:color="auto" w:fill="auto"/>
            <w:noWrap/>
            <w:vAlign w:val="center"/>
            <w:hideMark/>
          </w:tcPr>
          <w:p w14:paraId="313D300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0,76 %</w:t>
            </w:r>
          </w:p>
        </w:tc>
      </w:tr>
      <w:tr w:rsidR="00F24E18" w:rsidRPr="00C91EB2" w14:paraId="3C25452D"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35763F19"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45F6359"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Nemčija</w:t>
            </w:r>
          </w:p>
        </w:tc>
        <w:tc>
          <w:tcPr>
            <w:tcW w:w="628" w:type="pct"/>
            <w:tcBorders>
              <w:top w:val="nil"/>
              <w:left w:val="nil"/>
              <w:bottom w:val="single" w:sz="4" w:space="0" w:color="auto"/>
              <w:right w:val="single" w:sz="4" w:space="0" w:color="auto"/>
            </w:tcBorders>
            <w:shd w:val="clear" w:color="auto" w:fill="auto"/>
            <w:noWrap/>
            <w:vAlign w:val="center"/>
            <w:hideMark/>
          </w:tcPr>
          <w:p w14:paraId="2A7308D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42</w:t>
            </w:r>
          </w:p>
        </w:tc>
        <w:tc>
          <w:tcPr>
            <w:tcW w:w="1004" w:type="pct"/>
            <w:tcBorders>
              <w:top w:val="nil"/>
              <w:left w:val="nil"/>
              <w:bottom w:val="single" w:sz="4" w:space="0" w:color="auto"/>
              <w:right w:val="single" w:sz="4" w:space="0" w:color="auto"/>
            </w:tcBorders>
            <w:shd w:val="clear" w:color="auto" w:fill="auto"/>
            <w:noWrap/>
            <w:vAlign w:val="center"/>
            <w:hideMark/>
          </w:tcPr>
          <w:p w14:paraId="1A26690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18.175.373</w:t>
            </w:r>
          </w:p>
        </w:tc>
        <w:tc>
          <w:tcPr>
            <w:tcW w:w="672" w:type="pct"/>
            <w:tcBorders>
              <w:top w:val="nil"/>
              <w:left w:val="nil"/>
              <w:bottom w:val="single" w:sz="4" w:space="0" w:color="auto"/>
              <w:right w:val="single" w:sz="4" w:space="0" w:color="auto"/>
            </w:tcBorders>
            <w:shd w:val="clear" w:color="auto" w:fill="auto"/>
            <w:noWrap/>
            <w:vAlign w:val="center"/>
            <w:hideMark/>
          </w:tcPr>
          <w:p w14:paraId="4E9844B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0,40 %</w:t>
            </w:r>
          </w:p>
        </w:tc>
        <w:tc>
          <w:tcPr>
            <w:tcW w:w="1039" w:type="pct"/>
            <w:tcBorders>
              <w:top w:val="nil"/>
              <w:left w:val="nil"/>
              <w:bottom w:val="single" w:sz="4" w:space="0" w:color="auto"/>
              <w:right w:val="single" w:sz="4" w:space="0" w:color="auto"/>
            </w:tcBorders>
            <w:shd w:val="clear" w:color="auto" w:fill="auto"/>
            <w:noWrap/>
            <w:vAlign w:val="center"/>
            <w:hideMark/>
          </w:tcPr>
          <w:p w14:paraId="42907D5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0,70 %</w:t>
            </w:r>
          </w:p>
        </w:tc>
      </w:tr>
      <w:tr w:rsidR="00F24E18" w:rsidRPr="00C91EB2" w14:paraId="55A61B37"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CDBAFA1"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2ED9CFE"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Nizozemska</w:t>
            </w:r>
          </w:p>
        </w:tc>
        <w:tc>
          <w:tcPr>
            <w:tcW w:w="628" w:type="pct"/>
            <w:tcBorders>
              <w:top w:val="nil"/>
              <w:left w:val="nil"/>
              <w:bottom w:val="single" w:sz="4" w:space="0" w:color="auto"/>
              <w:right w:val="single" w:sz="4" w:space="0" w:color="auto"/>
            </w:tcBorders>
            <w:shd w:val="clear" w:color="auto" w:fill="auto"/>
            <w:noWrap/>
            <w:vAlign w:val="center"/>
            <w:hideMark/>
          </w:tcPr>
          <w:p w14:paraId="40AC662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20</w:t>
            </w:r>
          </w:p>
        </w:tc>
        <w:tc>
          <w:tcPr>
            <w:tcW w:w="1004" w:type="pct"/>
            <w:tcBorders>
              <w:top w:val="nil"/>
              <w:left w:val="nil"/>
              <w:bottom w:val="single" w:sz="4" w:space="0" w:color="auto"/>
              <w:right w:val="single" w:sz="4" w:space="0" w:color="auto"/>
            </w:tcBorders>
            <w:shd w:val="clear" w:color="auto" w:fill="auto"/>
            <w:noWrap/>
            <w:vAlign w:val="center"/>
            <w:hideMark/>
          </w:tcPr>
          <w:p w14:paraId="30D7FAF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26.829.137</w:t>
            </w:r>
          </w:p>
        </w:tc>
        <w:tc>
          <w:tcPr>
            <w:tcW w:w="672" w:type="pct"/>
            <w:tcBorders>
              <w:top w:val="nil"/>
              <w:left w:val="nil"/>
              <w:bottom w:val="single" w:sz="4" w:space="0" w:color="auto"/>
              <w:right w:val="single" w:sz="4" w:space="0" w:color="auto"/>
            </w:tcBorders>
            <w:shd w:val="clear" w:color="auto" w:fill="auto"/>
            <w:noWrap/>
            <w:vAlign w:val="center"/>
            <w:hideMark/>
          </w:tcPr>
          <w:p w14:paraId="68C4189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0,19 %</w:t>
            </w:r>
          </w:p>
        </w:tc>
        <w:tc>
          <w:tcPr>
            <w:tcW w:w="1039" w:type="pct"/>
            <w:tcBorders>
              <w:top w:val="nil"/>
              <w:left w:val="nil"/>
              <w:bottom w:val="single" w:sz="4" w:space="0" w:color="auto"/>
              <w:right w:val="single" w:sz="4" w:space="0" w:color="auto"/>
            </w:tcBorders>
            <w:shd w:val="clear" w:color="auto" w:fill="auto"/>
            <w:noWrap/>
            <w:vAlign w:val="center"/>
            <w:hideMark/>
          </w:tcPr>
          <w:p w14:paraId="45F1506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1,03 %</w:t>
            </w:r>
          </w:p>
        </w:tc>
      </w:tr>
      <w:tr w:rsidR="00F24E18" w:rsidRPr="00C91EB2" w14:paraId="10B3FB62"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606EF5BB"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BD5DE3A"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Norveška</w:t>
            </w:r>
          </w:p>
        </w:tc>
        <w:tc>
          <w:tcPr>
            <w:tcW w:w="628" w:type="pct"/>
            <w:tcBorders>
              <w:top w:val="nil"/>
              <w:left w:val="nil"/>
              <w:bottom w:val="single" w:sz="4" w:space="0" w:color="auto"/>
              <w:right w:val="single" w:sz="4" w:space="0" w:color="auto"/>
            </w:tcBorders>
            <w:shd w:val="clear" w:color="auto" w:fill="auto"/>
            <w:noWrap/>
            <w:vAlign w:val="center"/>
            <w:hideMark/>
          </w:tcPr>
          <w:p w14:paraId="76BB21F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0414260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295.725</w:t>
            </w:r>
          </w:p>
        </w:tc>
        <w:tc>
          <w:tcPr>
            <w:tcW w:w="672" w:type="pct"/>
            <w:tcBorders>
              <w:top w:val="nil"/>
              <w:left w:val="nil"/>
              <w:bottom w:val="single" w:sz="4" w:space="0" w:color="auto"/>
              <w:right w:val="single" w:sz="4" w:space="0" w:color="auto"/>
            </w:tcBorders>
            <w:shd w:val="clear" w:color="auto" w:fill="auto"/>
            <w:noWrap/>
            <w:vAlign w:val="center"/>
            <w:hideMark/>
          </w:tcPr>
          <w:p w14:paraId="1404A8A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c>
          <w:tcPr>
            <w:tcW w:w="1039" w:type="pct"/>
            <w:tcBorders>
              <w:top w:val="nil"/>
              <w:left w:val="nil"/>
              <w:bottom w:val="single" w:sz="4" w:space="0" w:color="auto"/>
              <w:right w:val="single" w:sz="4" w:space="0" w:color="auto"/>
            </w:tcBorders>
            <w:shd w:val="clear" w:color="auto" w:fill="auto"/>
            <w:noWrap/>
            <w:vAlign w:val="center"/>
            <w:hideMark/>
          </w:tcPr>
          <w:p w14:paraId="11C6BFA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r>
      <w:tr w:rsidR="00F24E18" w:rsidRPr="00C91EB2" w14:paraId="25BD765E"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63BFA688"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4A6497A2"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Poljska</w:t>
            </w:r>
          </w:p>
        </w:tc>
        <w:tc>
          <w:tcPr>
            <w:tcW w:w="628" w:type="pct"/>
            <w:tcBorders>
              <w:top w:val="nil"/>
              <w:left w:val="nil"/>
              <w:bottom w:val="single" w:sz="4" w:space="0" w:color="auto"/>
              <w:right w:val="single" w:sz="4" w:space="0" w:color="auto"/>
            </w:tcBorders>
            <w:shd w:val="clear" w:color="auto" w:fill="auto"/>
            <w:noWrap/>
            <w:vAlign w:val="center"/>
            <w:hideMark/>
          </w:tcPr>
          <w:p w14:paraId="1019EEB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7</w:t>
            </w:r>
          </w:p>
        </w:tc>
        <w:tc>
          <w:tcPr>
            <w:tcW w:w="1004" w:type="pct"/>
            <w:tcBorders>
              <w:top w:val="nil"/>
              <w:left w:val="nil"/>
              <w:bottom w:val="single" w:sz="4" w:space="0" w:color="auto"/>
              <w:right w:val="single" w:sz="4" w:space="0" w:color="auto"/>
            </w:tcBorders>
            <w:shd w:val="clear" w:color="auto" w:fill="auto"/>
            <w:noWrap/>
            <w:vAlign w:val="center"/>
            <w:hideMark/>
          </w:tcPr>
          <w:p w14:paraId="4DE83D5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149.612.510</w:t>
            </w:r>
          </w:p>
        </w:tc>
        <w:tc>
          <w:tcPr>
            <w:tcW w:w="672" w:type="pct"/>
            <w:tcBorders>
              <w:top w:val="nil"/>
              <w:left w:val="nil"/>
              <w:bottom w:val="single" w:sz="4" w:space="0" w:color="auto"/>
              <w:right w:val="single" w:sz="4" w:space="0" w:color="auto"/>
            </w:tcBorders>
            <w:shd w:val="clear" w:color="auto" w:fill="auto"/>
            <w:noWrap/>
            <w:vAlign w:val="center"/>
            <w:hideMark/>
          </w:tcPr>
          <w:p w14:paraId="618648C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0,07 %</w:t>
            </w:r>
          </w:p>
        </w:tc>
        <w:tc>
          <w:tcPr>
            <w:tcW w:w="1039" w:type="pct"/>
            <w:tcBorders>
              <w:top w:val="nil"/>
              <w:left w:val="nil"/>
              <w:bottom w:val="single" w:sz="4" w:space="0" w:color="auto"/>
              <w:right w:val="single" w:sz="4" w:space="0" w:color="auto"/>
            </w:tcBorders>
            <w:shd w:val="clear" w:color="auto" w:fill="auto"/>
            <w:noWrap/>
            <w:vAlign w:val="center"/>
            <w:hideMark/>
          </w:tcPr>
          <w:p w14:paraId="77A23AF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5,74 %</w:t>
            </w:r>
          </w:p>
        </w:tc>
      </w:tr>
      <w:tr w:rsidR="00F24E18" w:rsidRPr="00C91EB2" w14:paraId="6D435209"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072BD33"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7CD1518C"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Romunija</w:t>
            </w:r>
          </w:p>
        </w:tc>
        <w:tc>
          <w:tcPr>
            <w:tcW w:w="628" w:type="pct"/>
            <w:tcBorders>
              <w:top w:val="nil"/>
              <w:left w:val="nil"/>
              <w:bottom w:val="single" w:sz="4" w:space="0" w:color="auto"/>
              <w:right w:val="single" w:sz="4" w:space="0" w:color="auto"/>
            </w:tcBorders>
            <w:shd w:val="clear" w:color="auto" w:fill="auto"/>
            <w:noWrap/>
            <w:vAlign w:val="center"/>
            <w:hideMark/>
          </w:tcPr>
          <w:p w14:paraId="05326A2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9</w:t>
            </w:r>
          </w:p>
        </w:tc>
        <w:tc>
          <w:tcPr>
            <w:tcW w:w="1004" w:type="pct"/>
            <w:tcBorders>
              <w:top w:val="nil"/>
              <w:left w:val="nil"/>
              <w:bottom w:val="single" w:sz="4" w:space="0" w:color="auto"/>
              <w:right w:val="single" w:sz="4" w:space="0" w:color="auto"/>
            </w:tcBorders>
            <w:shd w:val="clear" w:color="auto" w:fill="auto"/>
            <w:noWrap/>
            <w:vAlign w:val="center"/>
            <w:hideMark/>
          </w:tcPr>
          <w:p w14:paraId="7A1F7BE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1.921.446</w:t>
            </w:r>
          </w:p>
        </w:tc>
        <w:tc>
          <w:tcPr>
            <w:tcW w:w="672" w:type="pct"/>
            <w:tcBorders>
              <w:top w:val="nil"/>
              <w:left w:val="nil"/>
              <w:bottom w:val="single" w:sz="4" w:space="0" w:color="auto"/>
              <w:right w:val="single" w:sz="4" w:space="0" w:color="auto"/>
            </w:tcBorders>
            <w:shd w:val="clear" w:color="auto" w:fill="auto"/>
            <w:noWrap/>
            <w:vAlign w:val="center"/>
            <w:hideMark/>
          </w:tcPr>
          <w:p w14:paraId="24E2863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0,08 %</w:t>
            </w:r>
          </w:p>
        </w:tc>
        <w:tc>
          <w:tcPr>
            <w:tcW w:w="1039" w:type="pct"/>
            <w:tcBorders>
              <w:top w:val="nil"/>
              <w:left w:val="nil"/>
              <w:bottom w:val="single" w:sz="4" w:space="0" w:color="auto"/>
              <w:right w:val="single" w:sz="4" w:space="0" w:color="auto"/>
            </w:tcBorders>
            <w:shd w:val="clear" w:color="auto" w:fill="auto"/>
            <w:noWrap/>
            <w:vAlign w:val="center"/>
            <w:hideMark/>
          </w:tcPr>
          <w:p w14:paraId="2144F3A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0,07 %</w:t>
            </w:r>
          </w:p>
        </w:tc>
      </w:tr>
      <w:tr w:rsidR="00F24E18" w:rsidRPr="00C91EB2" w14:paraId="5AAB5A0E"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4AAF0859"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37E01985"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Singapur</w:t>
            </w:r>
          </w:p>
        </w:tc>
        <w:tc>
          <w:tcPr>
            <w:tcW w:w="628" w:type="pct"/>
            <w:tcBorders>
              <w:top w:val="nil"/>
              <w:left w:val="nil"/>
              <w:bottom w:val="single" w:sz="4" w:space="0" w:color="auto"/>
              <w:right w:val="single" w:sz="4" w:space="0" w:color="auto"/>
            </w:tcBorders>
            <w:shd w:val="clear" w:color="auto" w:fill="auto"/>
            <w:noWrap/>
            <w:vAlign w:val="center"/>
            <w:hideMark/>
          </w:tcPr>
          <w:p w14:paraId="2B3FDF5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w:t>
            </w:r>
          </w:p>
        </w:tc>
        <w:tc>
          <w:tcPr>
            <w:tcW w:w="1004" w:type="pct"/>
            <w:tcBorders>
              <w:top w:val="nil"/>
              <w:left w:val="nil"/>
              <w:bottom w:val="single" w:sz="4" w:space="0" w:color="auto"/>
              <w:right w:val="single" w:sz="4" w:space="0" w:color="auto"/>
            </w:tcBorders>
            <w:shd w:val="clear" w:color="auto" w:fill="auto"/>
            <w:noWrap/>
            <w:vAlign w:val="center"/>
            <w:hideMark/>
          </w:tcPr>
          <w:p w14:paraId="4C67757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6.403.800</w:t>
            </w:r>
          </w:p>
        </w:tc>
        <w:tc>
          <w:tcPr>
            <w:tcW w:w="672" w:type="pct"/>
            <w:tcBorders>
              <w:top w:val="nil"/>
              <w:left w:val="nil"/>
              <w:bottom w:val="single" w:sz="4" w:space="0" w:color="auto"/>
              <w:right w:val="single" w:sz="4" w:space="0" w:color="auto"/>
            </w:tcBorders>
            <w:shd w:val="clear" w:color="auto" w:fill="auto"/>
            <w:noWrap/>
            <w:vAlign w:val="center"/>
            <w:hideMark/>
          </w:tcPr>
          <w:p w14:paraId="3811B81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c>
          <w:tcPr>
            <w:tcW w:w="1039" w:type="pct"/>
            <w:tcBorders>
              <w:top w:val="nil"/>
              <w:left w:val="nil"/>
              <w:bottom w:val="single" w:sz="4" w:space="0" w:color="auto"/>
              <w:right w:val="single" w:sz="4" w:space="0" w:color="auto"/>
            </w:tcBorders>
            <w:shd w:val="clear" w:color="auto" w:fill="auto"/>
            <w:noWrap/>
            <w:vAlign w:val="center"/>
            <w:hideMark/>
          </w:tcPr>
          <w:p w14:paraId="1AD0E34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0,25 %</w:t>
            </w:r>
          </w:p>
        </w:tc>
      </w:tr>
      <w:tr w:rsidR="00F24E18" w:rsidRPr="00C91EB2" w14:paraId="4AC4C2E3"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AAAA752"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7FE1E5A1"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Slovaška</w:t>
            </w:r>
          </w:p>
        </w:tc>
        <w:tc>
          <w:tcPr>
            <w:tcW w:w="628" w:type="pct"/>
            <w:tcBorders>
              <w:top w:val="nil"/>
              <w:left w:val="nil"/>
              <w:bottom w:val="single" w:sz="4" w:space="0" w:color="auto"/>
              <w:right w:val="single" w:sz="4" w:space="0" w:color="auto"/>
            </w:tcBorders>
            <w:shd w:val="clear" w:color="auto" w:fill="auto"/>
            <w:noWrap/>
            <w:vAlign w:val="center"/>
            <w:hideMark/>
          </w:tcPr>
          <w:p w14:paraId="1833409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0142628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379.000</w:t>
            </w:r>
          </w:p>
        </w:tc>
        <w:tc>
          <w:tcPr>
            <w:tcW w:w="672" w:type="pct"/>
            <w:tcBorders>
              <w:top w:val="nil"/>
              <w:left w:val="nil"/>
              <w:bottom w:val="single" w:sz="4" w:space="0" w:color="auto"/>
              <w:right w:val="single" w:sz="4" w:space="0" w:color="auto"/>
            </w:tcBorders>
            <w:shd w:val="clear" w:color="auto" w:fill="auto"/>
            <w:noWrap/>
            <w:vAlign w:val="center"/>
            <w:hideMark/>
          </w:tcPr>
          <w:p w14:paraId="6ACAEEA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c>
          <w:tcPr>
            <w:tcW w:w="1039" w:type="pct"/>
            <w:tcBorders>
              <w:top w:val="nil"/>
              <w:left w:val="nil"/>
              <w:bottom w:val="single" w:sz="4" w:space="0" w:color="auto"/>
              <w:right w:val="single" w:sz="4" w:space="0" w:color="auto"/>
            </w:tcBorders>
            <w:shd w:val="clear" w:color="auto" w:fill="auto"/>
            <w:noWrap/>
            <w:vAlign w:val="center"/>
            <w:hideMark/>
          </w:tcPr>
          <w:p w14:paraId="063217B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0,01 %</w:t>
            </w:r>
          </w:p>
        </w:tc>
      </w:tr>
      <w:tr w:rsidR="00F24E18" w:rsidRPr="00C91EB2" w14:paraId="56E92C0D"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9755E85"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26B80F47"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Srbija</w:t>
            </w:r>
          </w:p>
        </w:tc>
        <w:tc>
          <w:tcPr>
            <w:tcW w:w="628" w:type="pct"/>
            <w:tcBorders>
              <w:top w:val="nil"/>
              <w:left w:val="nil"/>
              <w:bottom w:val="single" w:sz="4" w:space="0" w:color="auto"/>
              <w:right w:val="single" w:sz="4" w:space="0" w:color="auto"/>
            </w:tcBorders>
            <w:shd w:val="clear" w:color="auto" w:fill="auto"/>
            <w:noWrap/>
            <w:vAlign w:val="center"/>
            <w:hideMark/>
          </w:tcPr>
          <w:p w14:paraId="7E2ECD1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w:t>
            </w:r>
          </w:p>
        </w:tc>
        <w:tc>
          <w:tcPr>
            <w:tcW w:w="1004" w:type="pct"/>
            <w:tcBorders>
              <w:top w:val="nil"/>
              <w:left w:val="nil"/>
              <w:bottom w:val="single" w:sz="4" w:space="0" w:color="auto"/>
              <w:right w:val="single" w:sz="4" w:space="0" w:color="auto"/>
            </w:tcBorders>
            <w:shd w:val="clear" w:color="auto" w:fill="auto"/>
            <w:noWrap/>
            <w:vAlign w:val="center"/>
            <w:hideMark/>
          </w:tcPr>
          <w:p w14:paraId="647FC5D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1.784.050</w:t>
            </w:r>
          </w:p>
        </w:tc>
        <w:tc>
          <w:tcPr>
            <w:tcW w:w="672" w:type="pct"/>
            <w:tcBorders>
              <w:top w:val="nil"/>
              <w:left w:val="nil"/>
              <w:bottom w:val="single" w:sz="4" w:space="0" w:color="auto"/>
              <w:right w:val="single" w:sz="4" w:space="0" w:color="auto"/>
            </w:tcBorders>
            <w:shd w:val="clear" w:color="auto" w:fill="auto"/>
            <w:noWrap/>
            <w:vAlign w:val="center"/>
            <w:hideMark/>
          </w:tcPr>
          <w:p w14:paraId="14D505E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0,06 %</w:t>
            </w:r>
          </w:p>
        </w:tc>
        <w:tc>
          <w:tcPr>
            <w:tcW w:w="1039" w:type="pct"/>
            <w:tcBorders>
              <w:top w:val="nil"/>
              <w:left w:val="nil"/>
              <w:bottom w:val="single" w:sz="4" w:space="0" w:color="auto"/>
              <w:right w:val="single" w:sz="4" w:space="0" w:color="auto"/>
            </w:tcBorders>
            <w:shd w:val="clear" w:color="auto" w:fill="auto"/>
            <w:noWrap/>
            <w:vAlign w:val="center"/>
            <w:hideMark/>
          </w:tcPr>
          <w:p w14:paraId="4B4FFEA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0,07 %</w:t>
            </w:r>
          </w:p>
        </w:tc>
      </w:tr>
      <w:tr w:rsidR="00F24E18" w:rsidRPr="00C91EB2" w14:paraId="21C0DA46"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4A4BD154"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9AA5EDA"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Španija</w:t>
            </w:r>
          </w:p>
        </w:tc>
        <w:tc>
          <w:tcPr>
            <w:tcW w:w="628" w:type="pct"/>
            <w:tcBorders>
              <w:top w:val="nil"/>
              <w:left w:val="nil"/>
              <w:bottom w:val="single" w:sz="4" w:space="0" w:color="auto"/>
              <w:right w:val="single" w:sz="4" w:space="0" w:color="auto"/>
            </w:tcBorders>
            <w:shd w:val="clear" w:color="auto" w:fill="auto"/>
            <w:noWrap/>
            <w:vAlign w:val="center"/>
            <w:hideMark/>
          </w:tcPr>
          <w:p w14:paraId="7805BB2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12</w:t>
            </w:r>
          </w:p>
        </w:tc>
        <w:tc>
          <w:tcPr>
            <w:tcW w:w="1004" w:type="pct"/>
            <w:tcBorders>
              <w:top w:val="nil"/>
              <w:left w:val="nil"/>
              <w:bottom w:val="single" w:sz="4" w:space="0" w:color="auto"/>
              <w:right w:val="single" w:sz="4" w:space="0" w:color="auto"/>
            </w:tcBorders>
            <w:shd w:val="clear" w:color="auto" w:fill="auto"/>
            <w:noWrap/>
            <w:vAlign w:val="center"/>
            <w:hideMark/>
          </w:tcPr>
          <w:p w14:paraId="0EE94E2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25.867.968</w:t>
            </w:r>
          </w:p>
        </w:tc>
        <w:tc>
          <w:tcPr>
            <w:tcW w:w="672" w:type="pct"/>
            <w:tcBorders>
              <w:top w:val="nil"/>
              <w:left w:val="nil"/>
              <w:bottom w:val="single" w:sz="4" w:space="0" w:color="auto"/>
              <w:right w:val="single" w:sz="4" w:space="0" w:color="auto"/>
            </w:tcBorders>
            <w:shd w:val="clear" w:color="auto" w:fill="auto"/>
            <w:noWrap/>
            <w:vAlign w:val="center"/>
            <w:hideMark/>
          </w:tcPr>
          <w:p w14:paraId="27676A8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0,11 %</w:t>
            </w:r>
          </w:p>
        </w:tc>
        <w:tc>
          <w:tcPr>
            <w:tcW w:w="1039" w:type="pct"/>
            <w:tcBorders>
              <w:top w:val="nil"/>
              <w:left w:val="nil"/>
              <w:bottom w:val="single" w:sz="4" w:space="0" w:color="auto"/>
              <w:right w:val="single" w:sz="4" w:space="0" w:color="auto"/>
            </w:tcBorders>
            <w:shd w:val="clear" w:color="auto" w:fill="auto"/>
            <w:noWrap/>
            <w:vAlign w:val="center"/>
            <w:hideMark/>
          </w:tcPr>
          <w:p w14:paraId="456DD63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0,99 %</w:t>
            </w:r>
          </w:p>
        </w:tc>
      </w:tr>
      <w:tr w:rsidR="00F24E18" w:rsidRPr="00C91EB2" w14:paraId="176DA5EA"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E82696C"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6C1344B3"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Švedska</w:t>
            </w:r>
          </w:p>
        </w:tc>
        <w:tc>
          <w:tcPr>
            <w:tcW w:w="628" w:type="pct"/>
            <w:tcBorders>
              <w:top w:val="nil"/>
              <w:left w:val="nil"/>
              <w:bottom w:val="single" w:sz="4" w:space="0" w:color="auto"/>
              <w:right w:val="single" w:sz="4" w:space="0" w:color="auto"/>
            </w:tcBorders>
            <w:shd w:val="clear" w:color="auto" w:fill="auto"/>
            <w:noWrap/>
            <w:vAlign w:val="center"/>
            <w:hideMark/>
          </w:tcPr>
          <w:p w14:paraId="3A3F799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w:t>
            </w:r>
          </w:p>
        </w:tc>
        <w:tc>
          <w:tcPr>
            <w:tcW w:w="1004" w:type="pct"/>
            <w:tcBorders>
              <w:top w:val="nil"/>
              <w:left w:val="nil"/>
              <w:bottom w:val="single" w:sz="4" w:space="0" w:color="auto"/>
              <w:right w:val="single" w:sz="4" w:space="0" w:color="auto"/>
            </w:tcBorders>
            <w:shd w:val="clear" w:color="auto" w:fill="auto"/>
            <w:noWrap/>
            <w:vAlign w:val="center"/>
            <w:hideMark/>
          </w:tcPr>
          <w:p w14:paraId="30288BB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6.357.425</w:t>
            </w:r>
          </w:p>
        </w:tc>
        <w:tc>
          <w:tcPr>
            <w:tcW w:w="672" w:type="pct"/>
            <w:tcBorders>
              <w:top w:val="nil"/>
              <w:left w:val="nil"/>
              <w:bottom w:val="single" w:sz="4" w:space="0" w:color="auto"/>
              <w:right w:val="single" w:sz="4" w:space="0" w:color="auto"/>
            </w:tcBorders>
            <w:shd w:val="clear" w:color="auto" w:fill="auto"/>
            <w:noWrap/>
            <w:vAlign w:val="center"/>
            <w:hideMark/>
          </w:tcPr>
          <w:p w14:paraId="1E84E0F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0,03 %</w:t>
            </w:r>
          </w:p>
        </w:tc>
        <w:tc>
          <w:tcPr>
            <w:tcW w:w="1039" w:type="pct"/>
            <w:tcBorders>
              <w:top w:val="nil"/>
              <w:left w:val="nil"/>
              <w:bottom w:val="single" w:sz="4" w:space="0" w:color="auto"/>
              <w:right w:val="single" w:sz="4" w:space="0" w:color="auto"/>
            </w:tcBorders>
            <w:shd w:val="clear" w:color="auto" w:fill="auto"/>
            <w:noWrap/>
            <w:vAlign w:val="center"/>
            <w:hideMark/>
          </w:tcPr>
          <w:p w14:paraId="6AB75CB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0,24 %</w:t>
            </w:r>
          </w:p>
        </w:tc>
      </w:tr>
      <w:tr w:rsidR="00F24E18" w:rsidRPr="00C91EB2" w14:paraId="53F31924"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6482C105"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733D3CE"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Švica</w:t>
            </w:r>
          </w:p>
        </w:tc>
        <w:tc>
          <w:tcPr>
            <w:tcW w:w="628" w:type="pct"/>
            <w:tcBorders>
              <w:top w:val="nil"/>
              <w:left w:val="nil"/>
              <w:bottom w:val="single" w:sz="4" w:space="0" w:color="auto"/>
              <w:right w:val="single" w:sz="4" w:space="0" w:color="auto"/>
            </w:tcBorders>
            <w:shd w:val="clear" w:color="auto" w:fill="auto"/>
            <w:noWrap/>
            <w:vAlign w:val="center"/>
            <w:hideMark/>
          </w:tcPr>
          <w:p w14:paraId="6A514A6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12</w:t>
            </w:r>
          </w:p>
        </w:tc>
        <w:tc>
          <w:tcPr>
            <w:tcW w:w="1004" w:type="pct"/>
            <w:tcBorders>
              <w:top w:val="nil"/>
              <w:left w:val="nil"/>
              <w:bottom w:val="single" w:sz="4" w:space="0" w:color="auto"/>
              <w:right w:val="single" w:sz="4" w:space="0" w:color="auto"/>
            </w:tcBorders>
            <w:shd w:val="clear" w:color="auto" w:fill="auto"/>
            <w:noWrap/>
            <w:vAlign w:val="center"/>
            <w:hideMark/>
          </w:tcPr>
          <w:p w14:paraId="4B9FE63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16.426.854</w:t>
            </w:r>
          </w:p>
        </w:tc>
        <w:tc>
          <w:tcPr>
            <w:tcW w:w="672" w:type="pct"/>
            <w:tcBorders>
              <w:top w:val="nil"/>
              <w:left w:val="nil"/>
              <w:bottom w:val="single" w:sz="4" w:space="0" w:color="auto"/>
              <w:right w:val="single" w:sz="4" w:space="0" w:color="auto"/>
            </w:tcBorders>
            <w:shd w:val="clear" w:color="auto" w:fill="auto"/>
            <w:noWrap/>
            <w:vAlign w:val="center"/>
            <w:hideMark/>
          </w:tcPr>
          <w:p w14:paraId="5050EBC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0,11 %</w:t>
            </w:r>
          </w:p>
        </w:tc>
        <w:tc>
          <w:tcPr>
            <w:tcW w:w="1039" w:type="pct"/>
            <w:tcBorders>
              <w:top w:val="nil"/>
              <w:left w:val="nil"/>
              <w:bottom w:val="single" w:sz="4" w:space="0" w:color="auto"/>
              <w:right w:val="single" w:sz="4" w:space="0" w:color="auto"/>
            </w:tcBorders>
            <w:shd w:val="clear" w:color="auto" w:fill="auto"/>
            <w:noWrap/>
            <w:vAlign w:val="center"/>
            <w:hideMark/>
          </w:tcPr>
          <w:p w14:paraId="4B71486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0,63 %</w:t>
            </w:r>
          </w:p>
        </w:tc>
      </w:tr>
      <w:tr w:rsidR="00F24E18" w:rsidRPr="00C91EB2" w14:paraId="2E1FE224"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30185ABD"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315DC447"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Združene države Amerike</w:t>
            </w:r>
          </w:p>
        </w:tc>
        <w:tc>
          <w:tcPr>
            <w:tcW w:w="628" w:type="pct"/>
            <w:tcBorders>
              <w:top w:val="nil"/>
              <w:left w:val="nil"/>
              <w:bottom w:val="single" w:sz="4" w:space="0" w:color="auto"/>
              <w:right w:val="single" w:sz="4" w:space="0" w:color="auto"/>
            </w:tcBorders>
            <w:shd w:val="clear" w:color="auto" w:fill="auto"/>
            <w:noWrap/>
            <w:vAlign w:val="center"/>
            <w:hideMark/>
          </w:tcPr>
          <w:p w14:paraId="753F936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31</w:t>
            </w:r>
          </w:p>
        </w:tc>
        <w:tc>
          <w:tcPr>
            <w:tcW w:w="1004" w:type="pct"/>
            <w:tcBorders>
              <w:top w:val="nil"/>
              <w:left w:val="nil"/>
              <w:bottom w:val="single" w:sz="4" w:space="0" w:color="auto"/>
              <w:right w:val="single" w:sz="4" w:space="0" w:color="auto"/>
            </w:tcBorders>
            <w:shd w:val="clear" w:color="auto" w:fill="auto"/>
            <w:noWrap/>
            <w:vAlign w:val="center"/>
            <w:hideMark/>
          </w:tcPr>
          <w:p w14:paraId="2307F9A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3.595.592</w:t>
            </w:r>
          </w:p>
        </w:tc>
        <w:tc>
          <w:tcPr>
            <w:tcW w:w="672" w:type="pct"/>
            <w:tcBorders>
              <w:top w:val="nil"/>
              <w:left w:val="nil"/>
              <w:bottom w:val="single" w:sz="4" w:space="0" w:color="auto"/>
              <w:right w:val="single" w:sz="4" w:space="0" w:color="auto"/>
            </w:tcBorders>
            <w:shd w:val="clear" w:color="auto" w:fill="auto"/>
            <w:noWrap/>
            <w:vAlign w:val="center"/>
            <w:hideMark/>
          </w:tcPr>
          <w:p w14:paraId="0400ED3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0,29 %</w:t>
            </w:r>
          </w:p>
        </w:tc>
        <w:tc>
          <w:tcPr>
            <w:tcW w:w="1039" w:type="pct"/>
            <w:tcBorders>
              <w:top w:val="nil"/>
              <w:left w:val="nil"/>
              <w:bottom w:val="single" w:sz="4" w:space="0" w:color="auto"/>
              <w:right w:val="single" w:sz="4" w:space="0" w:color="auto"/>
            </w:tcBorders>
            <w:shd w:val="clear" w:color="auto" w:fill="auto"/>
            <w:noWrap/>
            <w:vAlign w:val="center"/>
            <w:hideMark/>
          </w:tcPr>
          <w:p w14:paraId="3298E1E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0,14 %</w:t>
            </w:r>
          </w:p>
        </w:tc>
      </w:tr>
      <w:tr w:rsidR="00F24E18" w:rsidRPr="00C91EB2" w14:paraId="35EAE7AE"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8335CE4"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57F5A31"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Združeno kraljestvo</w:t>
            </w:r>
          </w:p>
        </w:tc>
        <w:tc>
          <w:tcPr>
            <w:tcW w:w="628" w:type="pct"/>
            <w:tcBorders>
              <w:top w:val="nil"/>
              <w:left w:val="nil"/>
              <w:bottom w:val="single" w:sz="4" w:space="0" w:color="auto"/>
              <w:right w:val="single" w:sz="4" w:space="0" w:color="auto"/>
            </w:tcBorders>
            <w:shd w:val="clear" w:color="auto" w:fill="auto"/>
            <w:noWrap/>
            <w:vAlign w:val="center"/>
            <w:hideMark/>
          </w:tcPr>
          <w:p w14:paraId="01B3C89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9</w:t>
            </w:r>
          </w:p>
        </w:tc>
        <w:tc>
          <w:tcPr>
            <w:tcW w:w="1004" w:type="pct"/>
            <w:tcBorders>
              <w:top w:val="nil"/>
              <w:left w:val="nil"/>
              <w:bottom w:val="single" w:sz="4" w:space="0" w:color="auto"/>
              <w:right w:val="single" w:sz="4" w:space="0" w:color="auto"/>
            </w:tcBorders>
            <w:shd w:val="clear" w:color="auto" w:fill="auto"/>
            <w:noWrap/>
            <w:vAlign w:val="center"/>
            <w:hideMark/>
          </w:tcPr>
          <w:p w14:paraId="69232AE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3.422.575</w:t>
            </w:r>
          </w:p>
        </w:tc>
        <w:tc>
          <w:tcPr>
            <w:tcW w:w="672" w:type="pct"/>
            <w:tcBorders>
              <w:top w:val="nil"/>
              <w:left w:val="nil"/>
              <w:bottom w:val="single" w:sz="4" w:space="0" w:color="auto"/>
              <w:right w:val="single" w:sz="4" w:space="0" w:color="auto"/>
            </w:tcBorders>
            <w:shd w:val="clear" w:color="auto" w:fill="auto"/>
            <w:noWrap/>
            <w:vAlign w:val="center"/>
            <w:hideMark/>
          </w:tcPr>
          <w:p w14:paraId="05330A1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0,08 %</w:t>
            </w:r>
          </w:p>
        </w:tc>
        <w:tc>
          <w:tcPr>
            <w:tcW w:w="1039" w:type="pct"/>
            <w:tcBorders>
              <w:top w:val="nil"/>
              <w:left w:val="nil"/>
              <w:bottom w:val="single" w:sz="4" w:space="0" w:color="auto"/>
              <w:right w:val="single" w:sz="4" w:space="0" w:color="auto"/>
            </w:tcBorders>
            <w:shd w:val="clear" w:color="auto" w:fill="auto"/>
            <w:noWrap/>
            <w:vAlign w:val="center"/>
            <w:hideMark/>
          </w:tcPr>
          <w:p w14:paraId="1217CB9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0,13 %</w:t>
            </w:r>
          </w:p>
        </w:tc>
      </w:tr>
      <w:tr w:rsidR="00F24E18" w:rsidRPr="00C91EB2" w14:paraId="3D234E74"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0FC6C70B"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7CEB9C0" w14:textId="77777777" w:rsidR="00F24E18" w:rsidRPr="00C91EB2" w:rsidRDefault="00F24E18" w:rsidP="000E18B5">
            <w:pPr>
              <w:spacing w:after="0" w:line="240" w:lineRule="auto"/>
              <w:rPr>
                <w:rFonts w:ascii="Arial" w:eastAsia="Times New Roman" w:hAnsi="Arial" w:cs="Arial"/>
                <w:b/>
                <w:bCs/>
                <w:color w:val="000000"/>
                <w:sz w:val="18"/>
                <w:szCs w:val="18"/>
                <w:lang w:eastAsia="sl-SI"/>
              </w:rPr>
            </w:pPr>
            <w:r w:rsidRPr="00C91EB2">
              <w:rPr>
                <w:rFonts w:ascii="Arial" w:eastAsia="Times New Roman" w:hAnsi="Arial" w:cs="Arial"/>
                <w:b/>
                <w:bCs/>
                <w:color w:val="000000"/>
                <w:sz w:val="18"/>
                <w:szCs w:val="18"/>
                <w:lang w:eastAsia="sl-SI"/>
              </w:rPr>
              <w:t>Skupaj</w:t>
            </w:r>
          </w:p>
        </w:tc>
        <w:tc>
          <w:tcPr>
            <w:tcW w:w="628" w:type="pct"/>
            <w:tcBorders>
              <w:top w:val="nil"/>
              <w:left w:val="nil"/>
              <w:bottom w:val="single" w:sz="4" w:space="0" w:color="auto"/>
              <w:right w:val="single" w:sz="4" w:space="0" w:color="auto"/>
            </w:tcBorders>
            <w:shd w:val="clear" w:color="auto" w:fill="auto"/>
            <w:noWrap/>
            <w:vAlign w:val="center"/>
            <w:hideMark/>
          </w:tcPr>
          <w:p w14:paraId="30B8E2E7"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10.607</w:t>
            </w:r>
          </w:p>
        </w:tc>
        <w:tc>
          <w:tcPr>
            <w:tcW w:w="1004" w:type="pct"/>
            <w:tcBorders>
              <w:top w:val="nil"/>
              <w:left w:val="nil"/>
              <w:bottom w:val="single" w:sz="4" w:space="0" w:color="auto"/>
              <w:right w:val="single" w:sz="4" w:space="0" w:color="auto"/>
            </w:tcBorders>
            <w:shd w:val="clear" w:color="auto" w:fill="auto"/>
            <w:noWrap/>
            <w:vAlign w:val="center"/>
            <w:hideMark/>
          </w:tcPr>
          <w:p w14:paraId="3FE57DD4"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2.607.599.248</w:t>
            </w:r>
          </w:p>
        </w:tc>
        <w:tc>
          <w:tcPr>
            <w:tcW w:w="672" w:type="pct"/>
            <w:tcBorders>
              <w:top w:val="nil"/>
              <w:left w:val="nil"/>
              <w:bottom w:val="single" w:sz="4" w:space="0" w:color="auto"/>
              <w:right w:val="single" w:sz="4" w:space="0" w:color="auto"/>
            </w:tcBorders>
            <w:shd w:val="clear" w:color="auto" w:fill="auto"/>
            <w:noWrap/>
            <w:vAlign w:val="center"/>
            <w:hideMark/>
          </w:tcPr>
          <w:p w14:paraId="6218F38C"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100,00 %</w:t>
            </w:r>
          </w:p>
        </w:tc>
        <w:tc>
          <w:tcPr>
            <w:tcW w:w="1039" w:type="pct"/>
            <w:tcBorders>
              <w:top w:val="nil"/>
              <w:left w:val="nil"/>
              <w:bottom w:val="single" w:sz="4" w:space="0" w:color="auto"/>
              <w:right w:val="single" w:sz="4" w:space="0" w:color="auto"/>
            </w:tcBorders>
            <w:shd w:val="clear" w:color="auto" w:fill="auto"/>
            <w:noWrap/>
            <w:vAlign w:val="center"/>
            <w:hideMark/>
          </w:tcPr>
          <w:p w14:paraId="72443146"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100,00 %</w:t>
            </w:r>
          </w:p>
        </w:tc>
      </w:tr>
      <w:tr w:rsidR="00F24E18" w:rsidRPr="00C91EB2" w14:paraId="6F291DF3" w14:textId="77777777" w:rsidTr="000E18B5">
        <w:trPr>
          <w:trHeight w:val="300"/>
        </w:trPr>
        <w:tc>
          <w:tcPr>
            <w:tcW w:w="45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859415"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Storitve</w:t>
            </w:r>
          </w:p>
        </w:tc>
        <w:tc>
          <w:tcPr>
            <w:tcW w:w="1201" w:type="pct"/>
            <w:tcBorders>
              <w:top w:val="nil"/>
              <w:left w:val="nil"/>
              <w:bottom w:val="single" w:sz="4" w:space="0" w:color="auto"/>
              <w:right w:val="single" w:sz="4" w:space="0" w:color="auto"/>
            </w:tcBorders>
            <w:shd w:val="clear" w:color="auto" w:fill="auto"/>
            <w:noWrap/>
            <w:vAlign w:val="center"/>
            <w:hideMark/>
          </w:tcPr>
          <w:p w14:paraId="358E983C"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Slovenija</w:t>
            </w:r>
          </w:p>
        </w:tc>
        <w:tc>
          <w:tcPr>
            <w:tcW w:w="628" w:type="pct"/>
            <w:tcBorders>
              <w:top w:val="nil"/>
              <w:left w:val="nil"/>
              <w:bottom w:val="single" w:sz="4" w:space="0" w:color="auto"/>
              <w:right w:val="single" w:sz="4" w:space="0" w:color="auto"/>
            </w:tcBorders>
            <w:shd w:val="clear" w:color="auto" w:fill="auto"/>
            <w:noWrap/>
            <w:vAlign w:val="center"/>
            <w:hideMark/>
          </w:tcPr>
          <w:p w14:paraId="3A730EE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4.530</w:t>
            </w:r>
          </w:p>
        </w:tc>
        <w:tc>
          <w:tcPr>
            <w:tcW w:w="1004" w:type="pct"/>
            <w:tcBorders>
              <w:top w:val="nil"/>
              <w:left w:val="nil"/>
              <w:bottom w:val="single" w:sz="4" w:space="0" w:color="auto"/>
              <w:right w:val="single" w:sz="4" w:space="0" w:color="auto"/>
            </w:tcBorders>
            <w:shd w:val="clear" w:color="auto" w:fill="auto"/>
            <w:noWrap/>
            <w:vAlign w:val="center"/>
            <w:hideMark/>
          </w:tcPr>
          <w:p w14:paraId="6B0EF32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2.072.223.541</w:t>
            </w:r>
          </w:p>
        </w:tc>
        <w:tc>
          <w:tcPr>
            <w:tcW w:w="672" w:type="pct"/>
            <w:tcBorders>
              <w:top w:val="nil"/>
              <w:left w:val="nil"/>
              <w:bottom w:val="single" w:sz="4" w:space="0" w:color="auto"/>
              <w:right w:val="single" w:sz="4" w:space="0" w:color="auto"/>
            </w:tcBorders>
            <w:shd w:val="clear" w:color="auto" w:fill="auto"/>
            <w:noWrap/>
            <w:vAlign w:val="center"/>
            <w:hideMark/>
          </w:tcPr>
          <w:p w14:paraId="379407F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97,38 %</w:t>
            </w:r>
          </w:p>
        </w:tc>
        <w:tc>
          <w:tcPr>
            <w:tcW w:w="1039" w:type="pct"/>
            <w:tcBorders>
              <w:top w:val="nil"/>
              <w:left w:val="nil"/>
              <w:bottom w:val="single" w:sz="4" w:space="0" w:color="auto"/>
              <w:right w:val="single" w:sz="4" w:space="0" w:color="auto"/>
            </w:tcBorders>
            <w:shd w:val="clear" w:color="auto" w:fill="auto"/>
            <w:noWrap/>
            <w:vAlign w:val="center"/>
            <w:hideMark/>
          </w:tcPr>
          <w:p w14:paraId="4501BFD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94,29 %</w:t>
            </w:r>
          </w:p>
        </w:tc>
      </w:tr>
      <w:tr w:rsidR="00F24E18" w:rsidRPr="00C91EB2" w14:paraId="5CBC7A70"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76EEFBC"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5EFCDE6"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Avstrija</w:t>
            </w:r>
          </w:p>
        </w:tc>
        <w:tc>
          <w:tcPr>
            <w:tcW w:w="628" w:type="pct"/>
            <w:tcBorders>
              <w:top w:val="nil"/>
              <w:left w:val="nil"/>
              <w:bottom w:val="single" w:sz="4" w:space="0" w:color="auto"/>
              <w:right w:val="single" w:sz="4" w:space="0" w:color="auto"/>
            </w:tcBorders>
            <w:shd w:val="clear" w:color="auto" w:fill="auto"/>
            <w:noWrap/>
            <w:vAlign w:val="center"/>
            <w:hideMark/>
          </w:tcPr>
          <w:p w14:paraId="2BBAB8C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8</w:t>
            </w:r>
          </w:p>
        </w:tc>
        <w:tc>
          <w:tcPr>
            <w:tcW w:w="1004" w:type="pct"/>
            <w:tcBorders>
              <w:top w:val="nil"/>
              <w:left w:val="nil"/>
              <w:bottom w:val="single" w:sz="4" w:space="0" w:color="auto"/>
              <w:right w:val="single" w:sz="4" w:space="0" w:color="auto"/>
            </w:tcBorders>
            <w:shd w:val="clear" w:color="auto" w:fill="auto"/>
            <w:noWrap/>
            <w:vAlign w:val="center"/>
            <w:hideMark/>
          </w:tcPr>
          <w:p w14:paraId="354FD4C1"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1.124.397</w:t>
            </w:r>
          </w:p>
        </w:tc>
        <w:tc>
          <w:tcPr>
            <w:tcW w:w="672" w:type="pct"/>
            <w:tcBorders>
              <w:top w:val="nil"/>
              <w:left w:val="nil"/>
              <w:bottom w:val="single" w:sz="4" w:space="0" w:color="auto"/>
              <w:right w:val="single" w:sz="4" w:space="0" w:color="auto"/>
            </w:tcBorders>
            <w:shd w:val="clear" w:color="auto" w:fill="auto"/>
            <w:noWrap/>
            <w:vAlign w:val="center"/>
            <w:hideMark/>
          </w:tcPr>
          <w:p w14:paraId="52A1D2D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0,17 %</w:t>
            </w:r>
          </w:p>
        </w:tc>
        <w:tc>
          <w:tcPr>
            <w:tcW w:w="1039" w:type="pct"/>
            <w:tcBorders>
              <w:top w:val="nil"/>
              <w:left w:val="nil"/>
              <w:bottom w:val="single" w:sz="4" w:space="0" w:color="auto"/>
              <w:right w:val="single" w:sz="4" w:space="0" w:color="auto"/>
            </w:tcBorders>
            <w:shd w:val="clear" w:color="auto" w:fill="auto"/>
            <w:noWrap/>
            <w:vAlign w:val="center"/>
            <w:hideMark/>
          </w:tcPr>
          <w:p w14:paraId="252377E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0,05 %</w:t>
            </w:r>
          </w:p>
        </w:tc>
      </w:tr>
      <w:tr w:rsidR="00F24E18" w:rsidRPr="00C91EB2" w14:paraId="3AAEDD64"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45B2157F"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BEF77CF"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Belgija</w:t>
            </w:r>
          </w:p>
        </w:tc>
        <w:tc>
          <w:tcPr>
            <w:tcW w:w="628" w:type="pct"/>
            <w:tcBorders>
              <w:top w:val="nil"/>
              <w:left w:val="nil"/>
              <w:bottom w:val="single" w:sz="4" w:space="0" w:color="auto"/>
              <w:right w:val="single" w:sz="4" w:space="0" w:color="auto"/>
            </w:tcBorders>
            <w:shd w:val="clear" w:color="auto" w:fill="auto"/>
            <w:noWrap/>
            <w:vAlign w:val="center"/>
            <w:hideMark/>
          </w:tcPr>
          <w:p w14:paraId="0CD435C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w:t>
            </w:r>
          </w:p>
        </w:tc>
        <w:tc>
          <w:tcPr>
            <w:tcW w:w="1004" w:type="pct"/>
            <w:tcBorders>
              <w:top w:val="nil"/>
              <w:left w:val="nil"/>
              <w:bottom w:val="single" w:sz="4" w:space="0" w:color="auto"/>
              <w:right w:val="single" w:sz="4" w:space="0" w:color="auto"/>
            </w:tcBorders>
            <w:shd w:val="clear" w:color="auto" w:fill="auto"/>
            <w:noWrap/>
            <w:vAlign w:val="center"/>
            <w:hideMark/>
          </w:tcPr>
          <w:p w14:paraId="441F537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11.093.873</w:t>
            </w:r>
          </w:p>
        </w:tc>
        <w:tc>
          <w:tcPr>
            <w:tcW w:w="672" w:type="pct"/>
            <w:tcBorders>
              <w:top w:val="nil"/>
              <w:left w:val="nil"/>
              <w:bottom w:val="single" w:sz="4" w:space="0" w:color="auto"/>
              <w:right w:val="single" w:sz="4" w:space="0" w:color="auto"/>
            </w:tcBorders>
            <w:shd w:val="clear" w:color="auto" w:fill="auto"/>
            <w:noWrap/>
            <w:vAlign w:val="center"/>
            <w:hideMark/>
          </w:tcPr>
          <w:p w14:paraId="00D16C4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0,09 %</w:t>
            </w:r>
          </w:p>
        </w:tc>
        <w:tc>
          <w:tcPr>
            <w:tcW w:w="1039" w:type="pct"/>
            <w:tcBorders>
              <w:top w:val="nil"/>
              <w:left w:val="nil"/>
              <w:bottom w:val="single" w:sz="4" w:space="0" w:color="auto"/>
              <w:right w:val="single" w:sz="4" w:space="0" w:color="auto"/>
            </w:tcBorders>
            <w:shd w:val="clear" w:color="auto" w:fill="auto"/>
            <w:noWrap/>
            <w:vAlign w:val="center"/>
            <w:hideMark/>
          </w:tcPr>
          <w:p w14:paraId="7D3378D1"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0,50 %</w:t>
            </w:r>
          </w:p>
        </w:tc>
      </w:tr>
      <w:tr w:rsidR="00F24E18" w:rsidRPr="00C91EB2" w14:paraId="2B33F400"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61702742"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269EF854"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Danska</w:t>
            </w:r>
          </w:p>
        </w:tc>
        <w:tc>
          <w:tcPr>
            <w:tcW w:w="628" w:type="pct"/>
            <w:tcBorders>
              <w:top w:val="nil"/>
              <w:left w:val="nil"/>
              <w:bottom w:val="single" w:sz="4" w:space="0" w:color="auto"/>
              <w:right w:val="single" w:sz="4" w:space="0" w:color="auto"/>
            </w:tcBorders>
            <w:shd w:val="clear" w:color="auto" w:fill="auto"/>
            <w:noWrap/>
            <w:vAlign w:val="center"/>
            <w:hideMark/>
          </w:tcPr>
          <w:p w14:paraId="3BA970D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6E5A455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66.000</w:t>
            </w:r>
          </w:p>
        </w:tc>
        <w:tc>
          <w:tcPr>
            <w:tcW w:w="672" w:type="pct"/>
            <w:tcBorders>
              <w:top w:val="nil"/>
              <w:left w:val="nil"/>
              <w:bottom w:val="single" w:sz="4" w:space="0" w:color="auto"/>
              <w:right w:val="single" w:sz="4" w:space="0" w:color="auto"/>
            </w:tcBorders>
            <w:shd w:val="clear" w:color="auto" w:fill="auto"/>
            <w:noWrap/>
            <w:vAlign w:val="center"/>
            <w:hideMark/>
          </w:tcPr>
          <w:p w14:paraId="1822E9A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c>
          <w:tcPr>
            <w:tcW w:w="1039" w:type="pct"/>
            <w:tcBorders>
              <w:top w:val="nil"/>
              <w:left w:val="nil"/>
              <w:bottom w:val="single" w:sz="4" w:space="0" w:color="auto"/>
              <w:right w:val="single" w:sz="4" w:space="0" w:color="auto"/>
            </w:tcBorders>
            <w:shd w:val="clear" w:color="auto" w:fill="auto"/>
            <w:noWrap/>
            <w:vAlign w:val="center"/>
            <w:hideMark/>
          </w:tcPr>
          <w:p w14:paraId="0E6A9DC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0,00 %</w:t>
            </w:r>
          </w:p>
        </w:tc>
      </w:tr>
      <w:tr w:rsidR="00F24E18" w:rsidRPr="00C91EB2" w14:paraId="51F76FED"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03245E86"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254AE8D6"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Finska</w:t>
            </w:r>
          </w:p>
        </w:tc>
        <w:tc>
          <w:tcPr>
            <w:tcW w:w="628" w:type="pct"/>
            <w:tcBorders>
              <w:top w:val="nil"/>
              <w:left w:val="nil"/>
              <w:bottom w:val="single" w:sz="4" w:space="0" w:color="auto"/>
              <w:right w:val="single" w:sz="4" w:space="0" w:color="auto"/>
            </w:tcBorders>
            <w:shd w:val="clear" w:color="auto" w:fill="auto"/>
            <w:noWrap/>
            <w:vAlign w:val="center"/>
            <w:hideMark/>
          </w:tcPr>
          <w:p w14:paraId="45D32F6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w:t>
            </w:r>
          </w:p>
        </w:tc>
        <w:tc>
          <w:tcPr>
            <w:tcW w:w="1004" w:type="pct"/>
            <w:tcBorders>
              <w:top w:val="nil"/>
              <w:left w:val="nil"/>
              <w:bottom w:val="single" w:sz="4" w:space="0" w:color="auto"/>
              <w:right w:val="single" w:sz="4" w:space="0" w:color="auto"/>
            </w:tcBorders>
            <w:shd w:val="clear" w:color="auto" w:fill="auto"/>
            <w:noWrap/>
            <w:vAlign w:val="center"/>
            <w:hideMark/>
          </w:tcPr>
          <w:p w14:paraId="51CDCB0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22.875.636</w:t>
            </w:r>
          </w:p>
        </w:tc>
        <w:tc>
          <w:tcPr>
            <w:tcW w:w="672" w:type="pct"/>
            <w:tcBorders>
              <w:top w:val="nil"/>
              <w:left w:val="nil"/>
              <w:bottom w:val="single" w:sz="4" w:space="0" w:color="auto"/>
              <w:right w:val="single" w:sz="4" w:space="0" w:color="auto"/>
            </w:tcBorders>
            <w:shd w:val="clear" w:color="auto" w:fill="auto"/>
            <w:noWrap/>
            <w:vAlign w:val="center"/>
            <w:hideMark/>
          </w:tcPr>
          <w:p w14:paraId="5EF35C4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0,06 %</w:t>
            </w:r>
          </w:p>
        </w:tc>
        <w:tc>
          <w:tcPr>
            <w:tcW w:w="1039" w:type="pct"/>
            <w:tcBorders>
              <w:top w:val="nil"/>
              <w:left w:val="nil"/>
              <w:bottom w:val="single" w:sz="4" w:space="0" w:color="auto"/>
              <w:right w:val="single" w:sz="4" w:space="0" w:color="auto"/>
            </w:tcBorders>
            <w:shd w:val="clear" w:color="auto" w:fill="auto"/>
            <w:noWrap/>
            <w:vAlign w:val="center"/>
            <w:hideMark/>
          </w:tcPr>
          <w:p w14:paraId="3928169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1,04 %</w:t>
            </w:r>
          </w:p>
        </w:tc>
      </w:tr>
      <w:tr w:rsidR="00F24E18" w:rsidRPr="00C91EB2" w14:paraId="7E51FA00"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C8DC578"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5DD556E"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Francija</w:t>
            </w:r>
          </w:p>
        </w:tc>
        <w:tc>
          <w:tcPr>
            <w:tcW w:w="628" w:type="pct"/>
            <w:tcBorders>
              <w:top w:val="nil"/>
              <w:left w:val="nil"/>
              <w:bottom w:val="single" w:sz="4" w:space="0" w:color="auto"/>
              <w:right w:val="single" w:sz="4" w:space="0" w:color="auto"/>
            </w:tcBorders>
            <w:shd w:val="clear" w:color="auto" w:fill="auto"/>
            <w:noWrap/>
            <w:vAlign w:val="center"/>
            <w:hideMark/>
          </w:tcPr>
          <w:p w14:paraId="1722FF5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w:t>
            </w:r>
          </w:p>
        </w:tc>
        <w:tc>
          <w:tcPr>
            <w:tcW w:w="1004" w:type="pct"/>
            <w:tcBorders>
              <w:top w:val="nil"/>
              <w:left w:val="nil"/>
              <w:bottom w:val="single" w:sz="4" w:space="0" w:color="auto"/>
              <w:right w:val="single" w:sz="4" w:space="0" w:color="auto"/>
            </w:tcBorders>
            <w:shd w:val="clear" w:color="auto" w:fill="auto"/>
            <w:noWrap/>
            <w:vAlign w:val="center"/>
            <w:hideMark/>
          </w:tcPr>
          <w:p w14:paraId="34AB07D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656.467</w:t>
            </w:r>
          </w:p>
        </w:tc>
        <w:tc>
          <w:tcPr>
            <w:tcW w:w="672" w:type="pct"/>
            <w:tcBorders>
              <w:top w:val="nil"/>
              <w:left w:val="nil"/>
              <w:bottom w:val="single" w:sz="4" w:space="0" w:color="auto"/>
              <w:right w:val="single" w:sz="4" w:space="0" w:color="auto"/>
            </w:tcBorders>
            <w:shd w:val="clear" w:color="auto" w:fill="auto"/>
            <w:noWrap/>
            <w:vAlign w:val="center"/>
            <w:hideMark/>
          </w:tcPr>
          <w:p w14:paraId="2058D5B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0,04 %</w:t>
            </w:r>
          </w:p>
        </w:tc>
        <w:tc>
          <w:tcPr>
            <w:tcW w:w="1039" w:type="pct"/>
            <w:tcBorders>
              <w:top w:val="nil"/>
              <w:left w:val="nil"/>
              <w:bottom w:val="single" w:sz="4" w:space="0" w:color="auto"/>
              <w:right w:val="single" w:sz="4" w:space="0" w:color="auto"/>
            </w:tcBorders>
            <w:shd w:val="clear" w:color="auto" w:fill="auto"/>
            <w:noWrap/>
            <w:vAlign w:val="center"/>
            <w:hideMark/>
          </w:tcPr>
          <w:p w14:paraId="0B0C9F8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0,03 %</w:t>
            </w:r>
          </w:p>
        </w:tc>
      </w:tr>
      <w:tr w:rsidR="00F24E18" w:rsidRPr="00C91EB2" w14:paraId="2A14B405"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29F0D606"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74F801F"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Hrvaška</w:t>
            </w:r>
          </w:p>
        </w:tc>
        <w:tc>
          <w:tcPr>
            <w:tcW w:w="628" w:type="pct"/>
            <w:tcBorders>
              <w:top w:val="nil"/>
              <w:left w:val="nil"/>
              <w:bottom w:val="single" w:sz="4" w:space="0" w:color="auto"/>
              <w:right w:val="single" w:sz="4" w:space="0" w:color="auto"/>
            </w:tcBorders>
            <w:shd w:val="clear" w:color="auto" w:fill="auto"/>
            <w:noWrap/>
            <w:vAlign w:val="center"/>
            <w:hideMark/>
          </w:tcPr>
          <w:p w14:paraId="5FF2D3D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43</w:t>
            </w:r>
          </w:p>
        </w:tc>
        <w:tc>
          <w:tcPr>
            <w:tcW w:w="1004" w:type="pct"/>
            <w:tcBorders>
              <w:top w:val="nil"/>
              <w:left w:val="nil"/>
              <w:bottom w:val="single" w:sz="4" w:space="0" w:color="auto"/>
              <w:right w:val="single" w:sz="4" w:space="0" w:color="auto"/>
            </w:tcBorders>
            <w:shd w:val="clear" w:color="auto" w:fill="auto"/>
            <w:noWrap/>
            <w:vAlign w:val="center"/>
            <w:hideMark/>
          </w:tcPr>
          <w:p w14:paraId="01B6C4B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15.458.095</w:t>
            </w:r>
          </w:p>
        </w:tc>
        <w:tc>
          <w:tcPr>
            <w:tcW w:w="672" w:type="pct"/>
            <w:tcBorders>
              <w:top w:val="nil"/>
              <w:left w:val="nil"/>
              <w:bottom w:val="single" w:sz="4" w:space="0" w:color="auto"/>
              <w:right w:val="single" w:sz="4" w:space="0" w:color="auto"/>
            </w:tcBorders>
            <w:shd w:val="clear" w:color="auto" w:fill="auto"/>
            <w:noWrap/>
            <w:vAlign w:val="center"/>
            <w:hideMark/>
          </w:tcPr>
          <w:p w14:paraId="5BA65F6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0,92 %</w:t>
            </w:r>
          </w:p>
        </w:tc>
        <w:tc>
          <w:tcPr>
            <w:tcW w:w="1039" w:type="pct"/>
            <w:tcBorders>
              <w:top w:val="nil"/>
              <w:left w:val="nil"/>
              <w:bottom w:val="single" w:sz="4" w:space="0" w:color="auto"/>
              <w:right w:val="single" w:sz="4" w:space="0" w:color="auto"/>
            </w:tcBorders>
            <w:shd w:val="clear" w:color="auto" w:fill="auto"/>
            <w:noWrap/>
            <w:vAlign w:val="center"/>
            <w:hideMark/>
          </w:tcPr>
          <w:p w14:paraId="18A5C21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0,70 %</w:t>
            </w:r>
          </w:p>
        </w:tc>
      </w:tr>
      <w:tr w:rsidR="00F24E18" w:rsidRPr="00C91EB2" w14:paraId="2DB3AECF"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74AE35A"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F00F51A"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Irska</w:t>
            </w:r>
          </w:p>
        </w:tc>
        <w:tc>
          <w:tcPr>
            <w:tcW w:w="628" w:type="pct"/>
            <w:tcBorders>
              <w:top w:val="nil"/>
              <w:left w:val="nil"/>
              <w:bottom w:val="single" w:sz="4" w:space="0" w:color="auto"/>
              <w:right w:val="single" w:sz="4" w:space="0" w:color="auto"/>
            </w:tcBorders>
            <w:shd w:val="clear" w:color="auto" w:fill="auto"/>
            <w:noWrap/>
            <w:vAlign w:val="center"/>
            <w:hideMark/>
          </w:tcPr>
          <w:p w14:paraId="32C78E3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w:t>
            </w:r>
          </w:p>
        </w:tc>
        <w:tc>
          <w:tcPr>
            <w:tcW w:w="1004" w:type="pct"/>
            <w:tcBorders>
              <w:top w:val="nil"/>
              <w:left w:val="nil"/>
              <w:bottom w:val="single" w:sz="4" w:space="0" w:color="auto"/>
              <w:right w:val="single" w:sz="4" w:space="0" w:color="auto"/>
            </w:tcBorders>
            <w:shd w:val="clear" w:color="auto" w:fill="auto"/>
            <w:noWrap/>
            <w:vAlign w:val="center"/>
            <w:hideMark/>
          </w:tcPr>
          <w:p w14:paraId="2CA8589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539.544</w:t>
            </w:r>
          </w:p>
        </w:tc>
        <w:tc>
          <w:tcPr>
            <w:tcW w:w="672" w:type="pct"/>
            <w:tcBorders>
              <w:top w:val="nil"/>
              <w:left w:val="nil"/>
              <w:bottom w:val="single" w:sz="4" w:space="0" w:color="auto"/>
              <w:right w:val="single" w:sz="4" w:space="0" w:color="auto"/>
            </w:tcBorders>
            <w:shd w:val="clear" w:color="auto" w:fill="auto"/>
            <w:noWrap/>
            <w:vAlign w:val="center"/>
            <w:hideMark/>
          </w:tcPr>
          <w:p w14:paraId="515B1C3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0,04 %</w:t>
            </w:r>
          </w:p>
        </w:tc>
        <w:tc>
          <w:tcPr>
            <w:tcW w:w="1039" w:type="pct"/>
            <w:tcBorders>
              <w:top w:val="nil"/>
              <w:left w:val="nil"/>
              <w:bottom w:val="single" w:sz="4" w:space="0" w:color="auto"/>
              <w:right w:val="single" w:sz="4" w:space="0" w:color="auto"/>
            </w:tcBorders>
            <w:shd w:val="clear" w:color="auto" w:fill="auto"/>
            <w:noWrap/>
            <w:vAlign w:val="center"/>
            <w:hideMark/>
          </w:tcPr>
          <w:p w14:paraId="2F56BD9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r>
      <w:tr w:rsidR="00F24E18" w:rsidRPr="00C91EB2" w14:paraId="243548F8"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6145FF15"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557B832"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Italija</w:t>
            </w:r>
          </w:p>
        </w:tc>
        <w:tc>
          <w:tcPr>
            <w:tcW w:w="628" w:type="pct"/>
            <w:tcBorders>
              <w:top w:val="nil"/>
              <w:left w:val="nil"/>
              <w:bottom w:val="single" w:sz="4" w:space="0" w:color="auto"/>
              <w:right w:val="single" w:sz="4" w:space="0" w:color="auto"/>
            </w:tcBorders>
            <w:shd w:val="clear" w:color="auto" w:fill="auto"/>
            <w:noWrap/>
            <w:vAlign w:val="center"/>
            <w:hideMark/>
          </w:tcPr>
          <w:p w14:paraId="214241C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w:t>
            </w:r>
          </w:p>
        </w:tc>
        <w:tc>
          <w:tcPr>
            <w:tcW w:w="1004" w:type="pct"/>
            <w:tcBorders>
              <w:top w:val="nil"/>
              <w:left w:val="nil"/>
              <w:bottom w:val="single" w:sz="4" w:space="0" w:color="auto"/>
              <w:right w:val="single" w:sz="4" w:space="0" w:color="auto"/>
            </w:tcBorders>
            <w:shd w:val="clear" w:color="auto" w:fill="auto"/>
            <w:noWrap/>
            <w:vAlign w:val="center"/>
            <w:hideMark/>
          </w:tcPr>
          <w:p w14:paraId="05E1A96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13.857.548</w:t>
            </w:r>
          </w:p>
        </w:tc>
        <w:tc>
          <w:tcPr>
            <w:tcW w:w="672" w:type="pct"/>
            <w:tcBorders>
              <w:top w:val="nil"/>
              <w:left w:val="nil"/>
              <w:bottom w:val="single" w:sz="4" w:space="0" w:color="auto"/>
              <w:right w:val="single" w:sz="4" w:space="0" w:color="auto"/>
            </w:tcBorders>
            <w:shd w:val="clear" w:color="auto" w:fill="auto"/>
            <w:noWrap/>
            <w:vAlign w:val="center"/>
            <w:hideMark/>
          </w:tcPr>
          <w:p w14:paraId="3D2C02B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0,13 %</w:t>
            </w:r>
          </w:p>
        </w:tc>
        <w:tc>
          <w:tcPr>
            <w:tcW w:w="1039" w:type="pct"/>
            <w:tcBorders>
              <w:top w:val="nil"/>
              <w:left w:val="nil"/>
              <w:bottom w:val="single" w:sz="4" w:space="0" w:color="auto"/>
              <w:right w:val="single" w:sz="4" w:space="0" w:color="auto"/>
            </w:tcBorders>
            <w:shd w:val="clear" w:color="auto" w:fill="auto"/>
            <w:noWrap/>
            <w:vAlign w:val="center"/>
            <w:hideMark/>
          </w:tcPr>
          <w:p w14:paraId="5C7233A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0,63 %</w:t>
            </w:r>
          </w:p>
        </w:tc>
      </w:tr>
      <w:tr w:rsidR="00F24E18" w:rsidRPr="00C91EB2" w14:paraId="546D4EB0"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2B3D12C2"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61056CF3"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Izrael</w:t>
            </w:r>
          </w:p>
        </w:tc>
        <w:tc>
          <w:tcPr>
            <w:tcW w:w="628" w:type="pct"/>
            <w:tcBorders>
              <w:top w:val="nil"/>
              <w:left w:val="nil"/>
              <w:bottom w:val="single" w:sz="4" w:space="0" w:color="auto"/>
              <w:right w:val="single" w:sz="4" w:space="0" w:color="auto"/>
            </w:tcBorders>
            <w:shd w:val="clear" w:color="auto" w:fill="auto"/>
            <w:noWrap/>
            <w:vAlign w:val="center"/>
            <w:hideMark/>
          </w:tcPr>
          <w:p w14:paraId="2831834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0E858B2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99.990</w:t>
            </w:r>
          </w:p>
        </w:tc>
        <w:tc>
          <w:tcPr>
            <w:tcW w:w="672" w:type="pct"/>
            <w:tcBorders>
              <w:top w:val="nil"/>
              <w:left w:val="nil"/>
              <w:bottom w:val="single" w:sz="4" w:space="0" w:color="auto"/>
              <w:right w:val="single" w:sz="4" w:space="0" w:color="auto"/>
            </w:tcBorders>
            <w:shd w:val="clear" w:color="auto" w:fill="auto"/>
            <w:noWrap/>
            <w:vAlign w:val="center"/>
            <w:hideMark/>
          </w:tcPr>
          <w:p w14:paraId="3437A9D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c>
          <w:tcPr>
            <w:tcW w:w="1039" w:type="pct"/>
            <w:tcBorders>
              <w:top w:val="nil"/>
              <w:left w:val="nil"/>
              <w:bottom w:val="single" w:sz="4" w:space="0" w:color="auto"/>
              <w:right w:val="single" w:sz="4" w:space="0" w:color="auto"/>
            </w:tcBorders>
            <w:shd w:val="clear" w:color="auto" w:fill="auto"/>
            <w:noWrap/>
            <w:vAlign w:val="center"/>
            <w:hideMark/>
          </w:tcPr>
          <w:p w14:paraId="567B54B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0,00 %</w:t>
            </w:r>
          </w:p>
        </w:tc>
      </w:tr>
      <w:tr w:rsidR="00F24E18" w:rsidRPr="00C91EB2" w14:paraId="2440C83D"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007092DA"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79BE71A9"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Kanada</w:t>
            </w:r>
          </w:p>
        </w:tc>
        <w:tc>
          <w:tcPr>
            <w:tcW w:w="628" w:type="pct"/>
            <w:tcBorders>
              <w:top w:val="nil"/>
              <w:left w:val="nil"/>
              <w:bottom w:val="single" w:sz="4" w:space="0" w:color="auto"/>
              <w:right w:val="single" w:sz="4" w:space="0" w:color="auto"/>
            </w:tcBorders>
            <w:shd w:val="clear" w:color="auto" w:fill="auto"/>
            <w:noWrap/>
            <w:vAlign w:val="center"/>
            <w:hideMark/>
          </w:tcPr>
          <w:p w14:paraId="1A1B50A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24F1665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17.912</w:t>
            </w:r>
          </w:p>
        </w:tc>
        <w:tc>
          <w:tcPr>
            <w:tcW w:w="672" w:type="pct"/>
            <w:tcBorders>
              <w:top w:val="nil"/>
              <w:left w:val="nil"/>
              <w:bottom w:val="single" w:sz="4" w:space="0" w:color="auto"/>
              <w:right w:val="single" w:sz="4" w:space="0" w:color="auto"/>
            </w:tcBorders>
            <w:shd w:val="clear" w:color="auto" w:fill="auto"/>
            <w:noWrap/>
            <w:vAlign w:val="center"/>
            <w:hideMark/>
          </w:tcPr>
          <w:p w14:paraId="5BEFEB6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c>
          <w:tcPr>
            <w:tcW w:w="1039" w:type="pct"/>
            <w:tcBorders>
              <w:top w:val="nil"/>
              <w:left w:val="nil"/>
              <w:bottom w:val="single" w:sz="4" w:space="0" w:color="auto"/>
              <w:right w:val="single" w:sz="4" w:space="0" w:color="auto"/>
            </w:tcBorders>
            <w:shd w:val="clear" w:color="auto" w:fill="auto"/>
            <w:noWrap/>
            <w:vAlign w:val="center"/>
            <w:hideMark/>
          </w:tcPr>
          <w:p w14:paraId="1E259E9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0,00 %</w:t>
            </w:r>
          </w:p>
        </w:tc>
      </w:tr>
      <w:tr w:rsidR="00F24E18" w:rsidRPr="00C91EB2" w14:paraId="088016B5"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644EA267"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37B925E1"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Madžarska</w:t>
            </w:r>
          </w:p>
        </w:tc>
        <w:tc>
          <w:tcPr>
            <w:tcW w:w="628" w:type="pct"/>
            <w:tcBorders>
              <w:top w:val="nil"/>
              <w:left w:val="nil"/>
              <w:bottom w:val="single" w:sz="4" w:space="0" w:color="auto"/>
              <w:right w:val="single" w:sz="4" w:space="0" w:color="auto"/>
            </w:tcBorders>
            <w:shd w:val="clear" w:color="auto" w:fill="auto"/>
            <w:noWrap/>
            <w:vAlign w:val="center"/>
            <w:hideMark/>
          </w:tcPr>
          <w:p w14:paraId="54EF081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w:t>
            </w:r>
          </w:p>
        </w:tc>
        <w:tc>
          <w:tcPr>
            <w:tcW w:w="1004" w:type="pct"/>
            <w:tcBorders>
              <w:top w:val="nil"/>
              <w:left w:val="nil"/>
              <w:bottom w:val="single" w:sz="4" w:space="0" w:color="auto"/>
              <w:right w:val="single" w:sz="4" w:space="0" w:color="auto"/>
            </w:tcBorders>
            <w:shd w:val="clear" w:color="auto" w:fill="auto"/>
            <w:noWrap/>
            <w:vAlign w:val="center"/>
            <w:hideMark/>
          </w:tcPr>
          <w:p w14:paraId="71176FD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5.396.635</w:t>
            </w:r>
          </w:p>
        </w:tc>
        <w:tc>
          <w:tcPr>
            <w:tcW w:w="672" w:type="pct"/>
            <w:tcBorders>
              <w:top w:val="nil"/>
              <w:left w:val="nil"/>
              <w:bottom w:val="single" w:sz="4" w:space="0" w:color="auto"/>
              <w:right w:val="single" w:sz="4" w:space="0" w:color="auto"/>
            </w:tcBorders>
            <w:shd w:val="clear" w:color="auto" w:fill="auto"/>
            <w:noWrap/>
            <w:vAlign w:val="center"/>
            <w:hideMark/>
          </w:tcPr>
          <w:p w14:paraId="2B2B72F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0,06 %</w:t>
            </w:r>
          </w:p>
        </w:tc>
        <w:tc>
          <w:tcPr>
            <w:tcW w:w="1039" w:type="pct"/>
            <w:tcBorders>
              <w:top w:val="nil"/>
              <w:left w:val="nil"/>
              <w:bottom w:val="single" w:sz="4" w:space="0" w:color="auto"/>
              <w:right w:val="single" w:sz="4" w:space="0" w:color="auto"/>
            </w:tcBorders>
            <w:shd w:val="clear" w:color="auto" w:fill="auto"/>
            <w:noWrap/>
            <w:vAlign w:val="center"/>
            <w:hideMark/>
          </w:tcPr>
          <w:p w14:paraId="3CE7179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0,25 %</w:t>
            </w:r>
          </w:p>
        </w:tc>
      </w:tr>
      <w:tr w:rsidR="00F24E18" w:rsidRPr="00C91EB2" w14:paraId="465ED604"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34F3C8FD"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7726456"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Nemčija</w:t>
            </w:r>
          </w:p>
        </w:tc>
        <w:tc>
          <w:tcPr>
            <w:tcW w:w="628" w:type="pct"/>
            <w:tcBorders>
              <w:top w:val="nil"/>
              <w:left w:val="nil"/>
              <w:bottom w:val="single" w:sz="4" w:space="0" w:color="auto"/>
              <w:right w:val="single" w:sz="4" w:space="0" w:color="auto"/>
            </w:tcBorders>
            <w:shd w:val="clear" w:color="auto" w:fill="auto"/>
            <w:noWrap/>
            <w:vAlign w:val="center"/>
            <w:hideMark/>
          </w:tcPr>
          <w:p w14:paraId="4A7FE33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15</w:t>
            </w:r>
          </w:p>
        </w:tc>
        <w:tc>
          <w:tcPr>
            <w:tcW w:w="1004" w:type="pct"/>
            <w:tcBorders>
              <w:top w:val="nil"/>
              <w:left w:val="nil"/>
              <w:bottom w:val="single" w:sz="4" w:space="0" w:color="auto"/>
              <w:right w:val="single" w:sz="4" w:space="0" w:color="auto"/>
            </w:tcBorders>
            <w:shd w:val="clear" w:color="auto" w:fill="auto"/>
            <w:noWrap/>
            <w:vAlign w:val="center"/>
            <w:hideMark/>
          </w:tcPr>
          <w:p w14:paraId="273CF37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6.025.188</w:t>
            </w:r>
          </w:p>
        </w:tc>
        <w:tc>
          <w:tcPr>
            <w:tcW w:w="672" w:type="pct"/>
            <w:tcBorders>
              <w:top w:val="nil"/>
              <w:left w:val="nil"/>
              <w:bottom w:val="single" w:sz="4" w:space="0" w:color="auto"/>
              <w:right w:val="single" w:sz="4" w:space="0" w:color="auto"/>
            </w:tcBorders>
            <w:shd w:val="clear" w:color="auto" w:fill="auto"/>
            <w:noWrap/>
            <w:vAlign w:val="center"/>
            <w:hideMark/>
          </w:tcPr>
          <w:p w14:paraId="6854524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0,32 %</w:t>
            </w:r>
          </w:p>
        </w:tc>
        <w:tc>
          <w:tcPr>
            <w:tcW w:w="1039" w:type="pct"/>
            <w:tcBorders>
              <w:top w:val="nil"/>
              <w:left w:val="nil"/>
              <w:bottom w:val="single" w:sz="4" w:space="0" w:color="auto"/>
              <w:right w:val="single" w:sz="4" w:space="0" w:color="auto"/>
            </w:tcBorders>
            <w:shd w:val="clear" w:color="auto" w:fill="auto"/>
            <w:noWrap/>
            <w:vAlign w:val="center"/>
            <w:hideMark/>
          </w:tcPr>
          <w:p w14:paraId="05E53CEC"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0,27 %</w:t>
            </w:r>
          </w:p>
        </w:tc>
      </w:tr>
      <w:tr w:rsidR="00F24E18" w:rsidRPr="00C91EB2" w14:paraId="6F618E1B"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3F453EB4"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E8364C4"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Nizozemska</w:t>
            </w:r>
          </w:p>
        </w:tc>
        <w:tc>
          <w:tcPr>
            <w:tcW w:w="628" w:type="pct"/>
            <w:tcBorders>
              <w:top w:val="nil"/>
              <w:left w:val="nil"/>
              <w:bottom w:val="single" w:sz="4" w:space="0" w:color="auto"/>
              <w:right w:val="single" w:sz="4" w:space="0" w:color="auto"/>
            </w:tcBorders>
            <w:shd w:val="clear" w:color="auto" w:fill="auto"/>
            <w:noWrap/>
            <w:vAlign w:val="center"/>
            <w:hideMark/>
          </w:tcPr>
          <w:p w14:paraId="71BDAA3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w:t>
            </w:r>
          </w:p>
        </w:tc>
        <w:tc>
          <w:tcPr>
            <w:tcW w:w="1004" w:type="pct"/>
            <w:tcBorders>
              <w:top w:val="nil"/>
              <w:left w:val="nil"/>
              <w:bottom w:val="single" w:sz="4" w:space="0" w:color="auto"/>
              <w:right w:val="single" w:sz="4" w:space="0" w:color="auto"/>
            </w:tcBorders>
            <w:shd w:val="clear" w:color="auto" w:fill="auto"/>
            <w:noWrap/>
            <w:vAlign w:val="center"/>
            <w:hideMark/>
          </w:tcPr>
          <w:p w14:paraId="1436DE5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433.096</w:t>
            </w:r>
          </w:p>
        </w:tc>
        <w:tc>
          <w:tcPr>
            <w:tcW w:w="672" w:type="pct"/>
            <w:tcBorders>
              <w:top w:val="nil"/>
              <w:left w:val="nil"/>
              <w:bottom w:val="single" w:sz="4" w:space="0" w:color="auto"/>
              <w:right w:val="single" w:sz="4" w:space="0" w:color="auto"/>
            </w:tcBorders>
            <w:shd w:val="clear" w:color="auto" w:fill="auto"/>
            <w:noWrap/>
            <w:vAlign w:val="center"/>
            <w:hideMark/>
          </w:tcPr>
          <w:p w14:paraId="17FD510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0,04 %</w:t>
            </w:r>
          </w:p>
        </w:tc>
        <w:tc>
          <w:tcPr>
            <w:tcW w:w="1039" w:type="pct"/>
            <w:tcBorders>
              <w:top w:val="nil"/>
              <w:left w:val="nil"/>
              <w:bottom w:val="single" w:sz="4" w:space="0" w:color="auto"/>
              <w:right w:val="single" w:sz="4" w:space="0" w:color="auto"/>
            </w:tcBorders>
            <w:shd w:val="clear" w:color="auto" w:fill="auto"/>
            <w:noWrap/>
            <w:vAlign w:val="center"/>
            <w:hideMark/>
          </w:tcPr>
          <w:p w14:paraId="6C1B538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r>
      <w:tr w:rsidR="00F24E18" w:rsidRPr="00C91EB2" w14:paraId="2031F6E6"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0C959713"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61D171B7"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Portugalska</w:t>
            </w:r>
          </w:p>
        </w:tc>
        <w:tc>
          <w:tcPr>
            <w:tcW w:w="628" w:type="pct"/>
            <w:tcBorders>
              <w:top w:val="nil"/>
              <w:left w:val="nil"/>
              <w:bottom w:val="single" w:sz="4" w:space="0" w:color="auto"/>
              <w:right w:val="single" w:sz="4" w:space="0" w:color="auto"/>
            </w:tcBorders>
            <w:shd w:val="clear" w:color="auto" w:fill="auto"/>
            <w:noWrap/>
            <w:vAlign w:val="center"/>
            <w:hideMark/>
          </w:tcPr>
          <w:p w14:paraId="3B04741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34E569F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799.000</w:t>
            </w:r>
          </w:p>
        </w:tc>
        <w:tc>
          <w:tcPr>
            <w:tcW w:w="672" w:type="pct"/>
            <w:tcBorders>
              <w:top w:val="nil"/>
              <w:left w:val="nil"/>
              <w:bottom w:val="single" w:sz="4" w:space="0" w:color="auto"/>
              <w:right w:val="single" w:sz="4" w:space="0" w:color="auto"/>
            </w:tcBorders>
            <w:shd w:val="clear" w:color="auto" w:fill="auto"/>
            <w:noWrap/>
            <w:vAlign w:val="center"/>
            <w:hideMark/>
          </w:tcPr>
          <w:p w14:paraId="601E447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c>
          <w:tcPr>
            <w:tcW w:w="1039" w:type="pct"/>
            <w:tcBorders>
              <w:top w:val="nil"/>
              <w:left w:val="nil"/>
              <w:bottom w:val="single" w:sz="4" w:space="0" w:color="auto"/>
              <w:right w:val="single" w:sz="4" w:space="0" w:color="auto"/>
            </w:tcBorders>
            <w:shd w:val="clear" w:color="auto" w:fill="auto"/>
            <w:noWrap/>
            <w:vAlign w:val="center"/>
            <w:hideMark/>
          </w:tcPr>
          <w:p w14:paraId="0435D4D1"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0,04 %</w:t>
            </w:r>
          </w:p>
        </w:tc>
      </w:tr>
      <w:tr w:rsidR="00F24E18" w:rsidRPr="00C91EB2" w14:paraId="3551E3D9"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37D98609"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2EF7CEC1"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Slovaška</w:t>
            </w:r>
          </w:p>
        </w:tc>
        <w:tc>
          <w:tcPr>
            <w:tcW w:w="628" w:type="pct"/>
            <w:tcBorders>
              <w:top w:val="nil"/>
              <w:left w:val="nil"/>
              <w:bottom w:val="single" w:sz="4" w:space="0" w:color="auto"/>
              <w:right w:val="single" w:sz="4" w:space="0" w:color="auto"/>
            </w:tcBorders>
            <w:shd w:val="clear" w:color="auto" w:fill="auto"/>
            <w:noWrap/>
            <w:vAlign w:val="center"/>
            <w:hideMark/>
          </w:tcPr>
          <w:p w14:paraId="73C38087"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2E26A0A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80.968</w:t>
            </w:r>
          </w:p>
        </w:tc>
        <w:tc>
          <w:tcPr>
            <w:tcW w:w="672" w:type="pct"/>
            <w:tcBorders>
              <w:top w:val="nil"/>
              <w:left w:val="nil"/>
              <w:bottom w:val="single" w:sz="4" w:space="0" w:color="auto"/>
              <w:right w:val="single" w:sz="4" w:space="0" w:color="auto"/>
            </w:tcBorders>
            <w:shd w:val="clear" w:color="auto" w:fill="auto"/>
            <w:noWrap/>
            <w:vAlign w:val="center"/>
            <w:hideMark/>
          </w:tcPr>
          <w:p w14:paraId="1AEDBF7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c>
          <w:tcPr>
            <w:tcW w:w="1039" w:type="pct"/>
            <w:tcBorders>
              <w:top w:val="nil"/>
              <w:left w:val="nil"/>
              <w:bottom w:val="single" w:sz="4" w:space="0" w:color="auto"/>
              <w:right w:val="single" w:sz="4" w:space="0" w:color="auto"/>
            </w:tcBorders>
            <w:shd w:val="clear" w:color="auto" w:fill="auto"/>
            <w:noWrap/>
            <w:vAlign w:val="center"/>
            <w:hideMark/>
          </w:tcPr>
          <w:p w14:paraId="2DD73D2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0,00 %</w:t>
            </w:r>
          </w:p>
        </w:tc>
      </w:tr>
      <w:tr w:rsidR="00F24E18" w:rsidRPr="00C91EB2" w14:paraId="56BCE163"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219EDE24"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66BCCA8A"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Srbija</w:t>
            </w:r>
          </w:p>
        </w:tc>
        <w:tc>
          <w:tcPr>
            <w:tcW w:w="628" w:type="pct"/>
            <w:tcBorders>
              <w:top w:val="nil"/>
              <w:left w:val="nil"/>
              <w:bottom w:val="single" w:sz="4" w:space="0" w:color="auto"/>
              <w:right w:val="single" w:sz="4" w:space="0" w:color="auto"/>
            </w:tcBorders>
            <w:shd w:val="clear" w:color="auto" w:fill="auto"/>
            <w:noWrap/>
            <w:vAlign w:val="center"/>
            <w:hideMark/>
          </w:tcPr>
          <w:p w14:paraId="73B30A9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w:t>
            </w:r>
          </w:p>
        </w:tc>
        <w:tc>
          <w:tcPr>
            <w:tcW w:w="1004" w:type="pct"/>
            <w:tcBorders>
              <w:top w:val="nil"/>
              <w:left w:val="nil"/>
              <w:bottom w:val="single" w:sz="4" w:space="0" w:color="auto"/>
              <w:right w:val="single" w:sz="4" w:space="0" w:color="auto"/>
            </w:tcBorders>
            <w:shd w:val="clear" w:color="auto" w:fill="auto"/>
            <w:noWrap/>
            <w:vAlign w:val="center"/>
            <w:hideMark/>
          </w:tcPr>
          <w:p w14:paraId="36A92ED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340.736</w:t>
            </w:r>
          </w:p>
        </w:tc>
        <w:tc>
          <w:tcPr>
            <w:tcW w:w="672" w:type="pct"/>
            <w:tcBorders>
              <w:top w:val="nil"/>
              <w:left w:val="nil"/>
              <w:bottom w:val="single" w:sz="4" w:space="0" w:color="auto"/>
              <w:right w:val="single" w:sz="4" w:space="0" w:color="auto"/>
            </w:tcBorders>
            <w:shd w:val="clear" w:color="auto" w:fill="auto"/>
            <w:noWrap/>
            <w:vAlign w:val="center"/>
            <w:hideMark/>
          </w:tcPr>
          <w:p w14:paraId="137804E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0,04 %</w:t>
            </w:r>
          </w:p>
        </w:tc>
        <w:tc>
          <w:tcPr>
            <w:tcW w:w="1039" w:type="pct"/>
            <w:tcBorders>
              <w:top w:val="nil"/>
              <w:left w:val="nil"/>
              <w:bottom w:val="single" w:sz="4" w:space="0" w:color="auto"/>
              <w:right w:val="single" w:sz="4" w:space="0" w:color="auto"/>
            </w:tcBorders>
            <w:shd w:val="clear" w:color="auto" w:fill="auto"/>
            <w:noWrap/>
            <w:vAlign w:val="center"/>
            <w:hideMark/>
          </w:tcPr>
          <w:p w14:paraId="7E607D8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0,02 %</w:t>
            </w:r>
          </w:p>
        </w:tc>
      </w:tr>
      <w:tr w:rsidR="00F24E18" w:rsidRPr="00C91EB2" w14:paraId="24F1592F"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271F6D1B"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7BA96BFD"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Španija</w:t>
            </w:r>
          </w:p>
        </w:tc>
        <w:tc>
          <w:tcPr>
            <w:tcW w:w="628" w:type="pct"/>
            <w:tcBorders>
              <w:top w:val="nil"/>
              <w:left w:val="nil"/>
              <w:bottom w:val="single" w:sz="4" w:space="0" w:color="auto"/>
              <w:right w:val="single" w:sz="4" w:space="0" w:color="auto"/>
            </w:tcBorders>
            <w:shd w:val="clear" w:color="auto" w:fill="auto"/>
            <w:noWrap/>
            <w:vAlign w:val="center"/>
            <w:hideMark/>
          </w:tcPr>
          <w:p w14:paraId="2DA0B82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5</w:t>
            </w:r>
          </w:p>
        </w:tc>
        <w:tc>
          <w:tcPr>
            <w:tcW w:w="1004" w:type="pct"/>
            <w:tcBorders>
              <w:top w:val="nil"/>
              <w:left w:val="nil"/>
              <w:bottom w:val="single" w:sz="4" w:space="0" w:color="auto"/>
              <w:right w:val="single" w:sz="4" w:space="0" w:color="auto"/>
            </w:tcBorders>
            <w:shd w:val="clear" w:color="auto" w:fill="auto"/>
            <w:noWrap/>
            <w:vAlign w:val="center"/>
            <w:hideMark/>
          </w:tcPr>
          <w:p w14:paraId="09C68C8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14.247.051</w:t>
            </w:r>
          </w:p>
        </w:tc>
        <w:tc>
          <w:tcPr>
            <w:tcW w:w="672" w:type="pct"/>
            <w:tcBorders>
              <w:top w:val="nil"/>
              <w:left w:val="nil"/>
              <w:bottom w:val="single" w:sz="4" w:space="0" w:color="auto"/>
              <w:right w:val="single" w:sz="4" w:space="0" w:color="auto"/>
            </w:tcBorders>
            <w:shd w:val="clear" w:color="auto" w:fill="auto"/>
            <w:noWrap/>
            <w:vAlign w:val="center"/>
            <w:hideMark/>
          </w:tcPr>
          <w:p w14:paraId="2109423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0,11 %</w:t>
            </w:r>
          </w:p>
        </w:tc>
        <w:tc>
          <w:tcPr>
            <w:tcW w:w="1039" w:type="pct"/>
            <w:tcBorders>
              <w:top w:val="nil"/>
              <w:left w:val="nil"/>
              <w:bottom w:val="single" w:sz="4" w:space="0" w:color="auto"/>
              <w:right w:val="single" w:sz="4" w:space="0" w:color="auto"/>
            </w:tcBorders>
            <w:shd w:val="clear" w:color="auto" w:fill="auto"/>
            <w:noWrap/>
            <w:vAlign w:val="center"/>
            <w:hideMark/>
          </w:tcPr>
          <w:p w14:paraId="7B3E6D3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0,65 %</w:t>
            </w:r>
          </w:p>
        </w:tc>
      </w:tr>
      <w:tr w:rsidR="00F24E18" w:rsidRPr="00C91EB2" w14:paraId="7192853F"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59F73784"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7C199BD1"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Švedska</w:t>
            </w:r>
          </w:p>
        </w:tc>
        <w:tc>
          <w:tcPr>
            <w:tcW w:w="628" w:type="pct"/>
            <w:tcBorders>
              <w:top w:val="nil"/>
              <w:left w:val="nil"/>
              <w:bottom w:val="single" w:sz="4" w:space="0" w:color="auto"/>
              <w:right w:val="single" w:sz="4" w:space="0" w:color="auto"/>
            </w:tcBorders>
            <w:shd w:val="clear" w:color="auto" w:fill="auto"/>
            <w:noWrap/>
            <w:vAlign w:val="center"/>
            <w:hideMark/>
          </w:tcPr>
          <w:p w14:paraId="7D7B8B1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5</w:t>
            </w:r>
          </w:p>
        </w:tc>
        <w:tc>
          <w:tcPr>
            <w:tcW w:w="1004" w:type="pct"/>
            <w:tcBorders>
              <w:top w:val="nil"/>
              <w:left w:val="nil"/>
              <w:bottom w:val="single" w:sz="4" w:space="0" w:color="auto"/>
              <w:right w:val="single" w:sz="4" w:space="0" w:color="auto"/>
            </w:tcBorders>
            <w:shd w:val="clear" w:color="auto" w:fill="auto"/>
            <w:noWrap/>
            <w:vAlign w:val="center"/>
            <w:hideMark/>
          </w:tcPr>
          <w:p w14:paraId="079426C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1.444.182</w:t>
            </w:r>
          </w:p>
        </w:tc>
        <w:tc>
          <w:tcPr>
            <w:tcW w:w="672" w:type="pct"/>
            <w:tcBorders>
              <w:top w:val="nil"/>
              <w:left w:val="nil"/>
              <w:bottom w:val="single" w:sz="4" w:space="0" w:color="auto"/>
              <w:right w:val="single" w:sz="4" w:space="0" w:color="auto"/>
            </w:tcBorders>
            <w:shd w:val="clear" w:color="auto" w:fill="auto"/>
            <w:noWrap/>
            <w:vAlign w:val="center"/>
            <w:hideMark/>
          </w:tcPr>
          <w:p w14:paraId="599FB0E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0,11 %</w:t>
            </w:r>
          </w:p>
        </w:tc>
        <w:tc>
          <w:tcPr>
            <w:tcW w:w="1039" w:type="pct"/>
            <w:tcBorders>
              <w:top w:val="nil"/>
              <w:left w:val="nil"/>
              <w:bottom w:val="single" w:sz="4" w:space="0" w:color="auto"/>
              <w:right w:val="single" w:sz="4" w:space="0" w:color="auto"/>
            </w:tcBorders>
            <w:shd w:val="clear" w:color="auto" w:fill="auto"/>
            <w:noWrap/>
            <w:vAlign w:val="center"/>
            <w:hideMark/>
          </w:tcPr>
          <w:p w14:paraId="5E51576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0,07 %</w:t>
            </w:r>
          </w:p>
        </w:tc>
      </w:tr>
      <w:tr w:rsidR="00F24E18" w:rsidRPr="00C91EB2" w14:paraId="79954822"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D0EADA3"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728017B"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Švica</w:t>
            </w:r>
          </w:p>
        </w:tc>
        <w:tc>
          <w:tcPr>
            <w:tcW w:w="628" w:type="pct"/>
            <w:tcBorders>
              <w:top w:val="nil"/>
              <w:left w:val="nil"/>
              <w:bottom w:val="single" w:sz="4" w:space="0" w:color="auto"/>
              <w:right w:val="single" w:sz="4" w:space="0" w:color="auto"/>
            </w:tcBorders>
            <w:shd w:val="clear" w:color="auto" w:fill="auto"/>
            <w:noWrap/>
            <w:vAlign w:val="center"/>
            <w:hideMark/>
          </w:tcPr>
          <w:p w14:paraId="34CDBF86"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5</w:t>
            </w:r>
          </w:p>
        </w:tc>
        <w:tc>
          <w:tcPr>
            <w:tcW w:w="1004" w:type="pct"/>
            <w:tcBorders>
              <w:top w:val="nil"/>
              <w:left w:val="nil"/>
              <w:bottom w:val="single" w:sz="4" w:space="0" w:color="auto"/>
              <w:right w:val="single" w:sz="4" w:space="0" w:color="auto"/>
            </w:tcBorders>
            <w:shd w:val="clear" w:color="auto" w:fill="auto"/>
            <w:noWrap/>
            <w:vAlign w:val="center"/>
            <w:hideMark/>
          </w:tcPr>
          <w:p w14:paraId="54394A7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23.936.031</w:t>
            </w:r>
          </w:p>
        </w:tc>
        <w:tc>
          <w:tcPr>
            <w:tcW w:w="672" w:type="pct"/>
            <w:tcBorders>
              <w:top w:val="nil"/>
              <w:left w:val="nil"/>
              <w:bottom w:val="single" w:sz="4" w:space="0" w:color="auto"/>
              <w:right w:val="single" w:sz="4" w:space="0" w:color="auto"/>
            </w:tcBorders>
            <w:shd w:val="clear" w:color="auto" w:fill="auto"/>
            <w:noWrap/>
            <w:vAlign w:val="center"/>
            <w:hideMark/>
          </w:tcPr>
          <w:p w14:paraId="34EAF92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0,11 %</w:t>
            </w:r>
          </w:p>
        </w:tc>
        <w:tc>
          <w:tcPr>
            <w:tcW w:w="1039" w:type="pct"/>
            <w:tcBorders>
              <w:top w:val="nil"/>
              <w:left w:val="nil"/>
              <w:bottom w:val="single" w:sz="4" w:space="0" w:color="auto"/>
              <w:right w:val="single" w:sz="4" w:space="0" w:color="auto"/>
            </w:tcBorders>
            <w:shd w:val="clear" w:color="auto" w:fill="auto"/>
            <w:noWrap/>
            <w:vAlign w:val="center"/>
            <w:hideMark/>
          </w:tcPr>
          <w:p w14:paraId="3564DD9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1,09 %</w:t>
            </w:r>
          </w:p>
        </w:tc>
      </w:tr>
      <w:tr w:rsidR="00F24E18" w:rsidRPr="00C91EB2" w14:paraId="34AB6516"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6EFD4A97"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6238802"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Združene države Amerike</w:t>
            </w:r>
          </w:p>
        </w:tc>
        <w:tc>
          <w:tcPr>
            <w:tcW w:w="628" w:type="pct"/>
            <w:tcBorders>
              <w:top w:val="nil"/>
              <w:left w:val="nil"/>
              <w:bottom w:val="single" w:sz="4" w:space="0" w:color="auto"/>
              <w:right w:val="single" w:sz="4" w:space="0" w:color="auto"/>
            </w:tcBorders>
            <w:shd w:val="clear" w:color="auto" w:fill="auto"/>
            <w:noWrap/>
            <w:vAlign w:val="center"/>
            <w:hideMark/>
          </w:tcPr>
          <w:p w14:paraId="1C255FA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7</w:t>
            </w:r>
          </w:p>
        </w:tc>
        <w:tc>
          <w:tcPr>
            <w:tcW w:w="1004" w:type="pct"/>
            <w:tcBorders>
              <w:top w:val="nil"/>
              <w:left w:val="nil"/>
              <w:bottom w:val="single" w:sz="4" w:space="0" w:color="auto"/>
              <w:right w:val="single" w:sz="4" w:space="0" w:color="auto"/>
            </w:tcBorders>
            <w:shd w:val="clear" w:color="auto" w:fill="auto"/>
            <w:noWrap/>
            <w:vAlign w:val="center"/>
            <w:hideMark/>
          </w:tcPr>
          <w:p w14:paraId="60D3B34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6.210.873</w:t>
            </w:r>
          </w:p>
        </w:tc>
        <w:tc>
          <w:tcPr>
            <w:tcW w:w="672" w:type="pct"/>
            <w:tcBorders>
              <w:top w:val="nil"/>
              <w:left w:val="nil"/>
              <w:bottom w:val="single" w:sz="4" w:space="0" w:color="auto"/>
              <w:right w:val="single" w:sz="4" w:space="0" w:color="auto"/>
            </w:tcBorders>
            <w:shd w:val="clear" w:color="auto" w:fill="auto"/>
            <w:noWrap/>
            <w:vAlign w:val="center"/>
            <w:hideMark/>
          </w:tcPr>
          <w:p w14:paraId="34929A2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0,15 %</w:t>
            </w:r>
          </w:p>
        </w:tc>
        <w:tc>
          <w:tcPr>
            <w:tcW w:w="1039" w:type="pct"/>
            <w:tcBorders>
              <w:top w:val="nil"/>
              <w:left w:val="nil"/>
              <w:bottom w:val="single" w:sz="4" w:space="0" w:color="auto"/>
              <w:right w:val="single" w:sz="4" w:space="0" w:color="auto"/>
            </w:tcBorders>
            <w:shd w:val="clear" w:color="auto" w:fill="auto"/>
            <w:noWrap/>
            <w:vAlign w:val="center"/>
            <w:hideMark/>
          </w:tcPr>
          <w:p w14:paraId="77312D7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0,28 %</w:t>
            </w:r>
          </w:p>
        </w:tc>
      </w:tr>
      <w:tr w:rsidR="00F24E18" w:rsidRPr="00C91EB2" w14:paraId="4DAD88DA"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2E51D1E3"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3EDC397"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Združeno kraljestvo</w:t>
            </w:r>
          </w:p>
        </w:tc>
        <w:tc>
          <w:tcPr>
            <w:tcW w:w="628" w:type="pct"/>
            <w:tcBorders>
              <w:top w:val="nil"/>
              <w:left w:val="nil"/>
              <w:bottom w:val="single" w:sz="4" w:space="0" w:color="auto"/>
              <w:right w:val="single" w:sz="4" w:space="0" w:color="auto"/>
            </w:tcBorders>
            <w:shd w:val="clear" w:color="auto" w:fill="auto"/>
            <w:noWrap/>
            <w:vAlign w:val="center"/>
            <w:hideMark/>
          </w:tcPr>
          <w:p w14:paraId="23752E5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5</w:t>
            </w:r>
          </w:p>
        </w:tc>
        <w:tc>
          <w:tcPr>
            <w:tcW w:w="1004" w:type="pct"/>
            <w:tcBorders>
              <w:top w:val="nil"/>
              <w:left w:val="nil"/>
              <w:bottom w:val="single" w:sz="4" w:space="0" w:color="auto"/>
              <w:right w:val="single" w:sz="4" w:space="0" w:color="auto"/>
            </w:tcBorders>
            <w:shd w:val="clear" w:color="auto" w:fill="auto"/>
            <w:noWrap/>
            <w:vAlign w:val="center"/>
            <w:hideMark/>
          </w:tcPr>
          <w:p w14:paraId="617F286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808.291</w:t>
            </w:r>
          </w:p>
        </w:tc>
        <w:tc>
          <w:tcPr>
            <w:tcW w:w="672" w:type="pct"/>
            <w:tcBorders>
              <w:top w:val="nil"/>
              <w:left w:val="nil"/>
              <w:bottom w:val="single" w:sz="4" w:space="0" w:color="auto"/>
              <w:right w:val="single" w:sz="4" w:space="0" w:color="auto"/>
            </w:tcBorders>
            <w:shd w:val="clear" w:color="auto" w:fill="auto"/>
            <w:noWrap/>
            <w:vAlign w:val="center"/>
            <w:hideMark/>
          </w:tcPr>
          <w:p w14:paraId="663CDF3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0,11 %</w:t>
            </w:r>
          </w:p>
        </w:tc>
        <w:tc>
          <w:tcPr>
            <w:tcW w:w="1039" w:type="pct"/>
            <w:tcBorders>
              <w:top w:val="nil"/>
              <w:left w:val="nil"/>
              <w:bottom w:val="single" w:sz="4" w:space="0" w:color="auto"/>
              <w:right w:val="single" w:sz="4" w:space="0" w:color="auto"/>
            </w:tcBorders>
            <w:shd w:val="clear" w:color="auto" w:fill="auto"/>
            <w:noWrap/>
            <w:vAlign w:val="center"/>
            <w:hideMark/>
          </w:tcPr>
          <w:p w14:paraId="484D045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0,04 %</w:t>
            </w:r>
          </w:p>
        </w:tc>
      </w:tr>
      <w:tr w:rsidR="00F24E18" w:rsidRPr="00C91EB2" w14:paraId="6EEB345D"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567F2F5"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4FE059B9" w14:textId="77777777" w:rsidR="00F24E18" w:rsidRPr="00C91EB2" w:rsidRDefault="00F24E18" w:rsidP="000E18B5">
            <w:pPr>
              <w:spacing w:after="0" w:line="240" w:lineRule="auto"/>
              <w:rPr>
                <w:rFonts w:ascii="Arial" w:eastAsia="Times New Roman" w:hAnsi="Arial" w:cs="Arial"/>
                <w:b/>
                <w:bCs/>
                <w:color w:val="000000"/>
                <w:sz w:val="18"/>
                <w:szCs w:val="18"/>
                <w:lang w:eastAsia="sl-SI"/>
              </w:rPr>
            </w:pPr>
            <w:r w:rsidRPr="00C91EB2">
              <w:rPr>
                <w:rFonts w:ascii="Arial" w:eastAsia="Times New Roman" w:hAnsi="Arial" w:cs="Arial"/>
                <w:b/>
                <w:bCs/>
                <w:color w:val="000000"/>
                <w:sz w:val="18"/>
                <w:szCs w:val="18"/>
                <w:lang w:eastAsia="sl-SI"/>
              </w:rPr>
              <w:t>Skupaj</w:t>
            </w:r>
          </w:p>
        </w:tc>
        <w:tc>
          <w:tcPr>
            <w:tcW w:w="628" w:type="pct"/>
            <w:tcBorders>
              <w:top w:val="nil"/>
              <w:left w:val="nil"/>
              <w:bottom w:val="single" w:sz="4" w:space="0" w:color="auto"/>
              <w:right w:val="single" w:sz="4" w:space="0" w:color="auto"/>
            </w:tcBorders>
            <w:shd w:val="clear" w:color="auto" w:fill="auto"/>
            <w:noWrap/>
            <w:vAlign w:val="center"/>
            <w:hideMark/>
          </w:tcPr>
          <w:p w14:paraId="6CDEFB4D"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eastAsia="Times New Roman" w:hAnsi="Arial" w:cs="Arial"/>
                <w:b/>
                <w:bCs/>
                <w:color w:val="000000"/>
                <w:sz w:val="18"/>
                <w:szCs w:val="18"/>
                <w:lang w:eastAsia="sl-SI"/>
              </w:rPr>
              <w:t>4.652</w:t>
            </w:r>
          </w:p>
        </w:tc>
        <w:tc>
          <w:tcPr>
            <w:tcW w:w="1004" w:type="pct"/>
            <w:tcBorders>
              <w:top w:val="nil"/>
              <w:left w:val="nil"/>
              <w:bottom w:val="single" w:sz="4" w:space="0" w:color="auto"/>
              <w:right w:val="single" w:sz="4" w:space="0" w:color="auto"/>
            </w:tcBorders>
            <w:shd w:val="clear" w:color="auto" w:fill="auto"/>
            <w:noWrap/>
            <w:vAlign w:val="center"/>
            <w:hideMark/>
          </w:tcPr>
          <w:p w14:paraId="415BA4CB"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eastAsia="Times New Roman" w:hAnsi="Arial" w:cs="Arial"/>
                <w:b/>
                <w:bCs/>
                <w:color w:val="000000"/>
                <w:sz w:val="18"/>
                <w:szCs w:val="18"/>
                <w:lang w:eastAsia="sl-SI"/>
              </w:rPr>
              <w:t>2.197.735.054</w:t>
            </w:r>
          </w:p>
        </w:tc>
        <w:tc>
          <w:tcPr>
            <w:tcW w:w="672" w:type="pct"/>
            <w:tcBorders>
              <w:top w:val="nil"/>
              <w:left w:val="nil"/>
              <w:bottom w:val="single" w:sz="4" w:space="0" w:color="auto"/>
              <w:right w:val="single" w:sz="4" w:space="0" w:color="auto"/>
            </w:tcBorders>
            <w:shd w:val="clear" w:color="auto" w:fill="auto"/>
            <w:noWrap/>
            <w:vAlign w:val="center"/>
            <w:hideMark/>
          </w:tcPr>
          <w:p w14:paraId="73CDE845"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100,00 %</w:t>
            </w:r>
          </w:p>
        </w:tc>
        <w:tc>
          <w:tcPr>
            <w:tcW w:w="1039" w:type="pct"/>
            <w:tcBorders>
              <w:top w:val="nil"/>
              <w:left w:val="nil"/>
              <w:bottom w:val="single" w:sz="4" w:space="0" w:color="auto"/>
              <w:right w:val="single" w:sz="4" w:space="0" w:color="auto"/>
            </w:tcBorders>
            <w:shd w:val="clear" w:color="auto" w:fill="auto"/>
            <w:noWrap/>
            <w:vAlign w:val="center"/>
            <w:hideMark/>
          </w:tcPr>
          <w:p w14:paraId="3D5487D1"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100,00 %</w:t>
            </w:r>
          </w:p>
        </w:tc>
      </w:tr>
      <w:tr w:rsidR="00F24E18" w:rsidRPr="00C91EB2" w14:paraId="04976FE9" w14:textId="77777777" w:rsidTr="000E18B5">
        <w:trPr>
          <w:trHeight w:val="300"/>
        </w:trPr>
        <w:tc>
          <w:tcPr>
            <w:tcW w:w="45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44D303"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Gradnje</w:t>
            </w:r>
          </w:p>
        </w:tc>
        <w:tc>
          <w:tcPr>
            <w:tcW w:w="1201" w:type="pct"/>
            <w:tcBorders>
              <w:top w:val="nil"/>
              <w:left w:val="nil"/>
              <w:bottom w:val="single" w:sz="4" w:space="0" w:color="auto"/>
              <w:right w:val="single" w:sz="4" w:space="0" w:color="auto"/>
            </w:tcBorders>
            <w:shd w:val="clear" w:color="auto" w:fill="auto"/>
            <w:noWrap/>
            <w:vAlign w:val="center"/>
            <w:hideMark/>
          </w:tcPr>
          <w:p w14:paraId="7B600469"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Slovenija</w:t>
            </w:r>
          </w:p>
        </w:tc>
        <w:tc>
          <w:tcPr>
            <w:tcW w:w="628" w:type="pct"/>
            <w:tcBorders>
              <w:top w:val="nil"/>
              <w:left w:val="nil"/>
              <w:bottom w:val="single" w:sz="4" w:space="0" w:color="auto"/>
              <w:right w:val="single" w:sz="4" w:space="0" w:color="auto"/>
            </w:tcBorders>
            <w:shd w:val="clear" w:color="auto" w:fill="auto"/>
            <w:noWrap/>
            <w:vAlign w:val="center"/>
            <w:hideMark/>
          </w:tcPr>
          <w:p w14:paraId="2D9626A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1.557</w:t>
            </w:r>
          </w:p>
        </w:tc>
        <w:tc>
          <w:tcPr>
            <w:tcW w:w="1004" w:type="pct"/>
            <w:tcBorders>
              <w:top w:val="nil"/>
              <w:left w:val="nil"/>
              <w:bottom w:val="single" w:sz="4" w:space="0" w:color="auto"/>
              <w:right w:val="single" w:sz="4" w:space="0" w:color="auto"/>
            </w:tcBorders>
            <w:shd w:val="clear" w:color="auto" w:fill="auto"/>
            <w:noWrap/>
            <w:vAlign w:val="center"/>
            <w:hideMark/>
          </w:tcPr>
          <w:p w14:paraId="7456C8D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1.416.483.859</w:t>
            </w:r>
          </w:p>
        </w:tc>
        <w:tc>
          <w:tcPr>
            <w:tcW w:w="672" w:type="pct"/>
            <w:tcBorders>
              <w:top w:val="nil"/>
              <w:left w:val="nil"/>
              <w:bottom w:val="single" w:sz="4" w:space="0" w:color="auto"/>
              <w:right w:val="single" w:sz="4" w:space="0" w:color="auto"/>
            </w:tcBorders>
            <w:shd w:val="clear" w:color="auto" w:fill="auto"/>
            <w:noWrap/>
            <w:vAlign w:val="center"/>
            <w:hideMark/>
          </w:tcPr>
          <w:p w14:paraId="40639B9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99,49 %</w:t>
            </w:r>
          </w:p>
        </w:tc>
        <w:tc>
          <w:tcPr>
            <w:tcW w:w="1039" w:type="pct"/>
            <w:tcBorders>
              <w:top w:val="nil"/>
              <w:left w:val="nil"/>
              <w:bottom w:val="single" w:sz="4" w:space="0" w:color="auto"/>
              <w:right w:val="single" w:sz="4" w:space="0" w:color="auto"/>
            </w:tcBorders>
            <w:shd w:val="clear" w:color="auto" w:fill="auto"/>
            <w:noWrap/>
            <w:vAlign w:val="center"/>
            <w:hideMark/>
          </w:tcPr>
          <w:p w14:paraId="48551F1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99,27 %</w:t>
            </w:r>
          </w:p>
        </w:tc>
      </w:tr>
      <w:tr w:rsidR="00F24E18" w:rsidRPr="00C91EB2" w14:paraId="201D1EE6"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40ACDEFD"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42F3633B"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Avstrija</w:t>
            </w:r>
          </w:p>
        </w:tc>
        <w:tc>
          <w:tcPr>
            <w:tcW w:w="628" w:type="pct"/>
            <w:tcBorders>
              <w:top w:val="nil"/>
              <w:left w:val="nil"/>
              <w:bottom w:val="single" w:sz="4" w:space="0" w:color="auto"/>
              <w:right w:val="single" w:sz="4" w:space="0" w:color="auto"/>
            </w:tcBorders>
            <w:shd w:val="clear" w:color="auto" w:fill="auto"/>
            <w:noWrap/>
            <w:vAlign w:val="center"/>
            <w:hideMark/>
          </w:tcPr>
          <w:p w14:paraId="0E32A7A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4857582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1.599.998</w:t>
            </w:r>
          </w:p>
        </w:tc>
        <w:tc>
          <w:tcPr>
            <w:tcW w:w="672" w:type="pct"/>
            <w:tcBorders>
              <w:top w:val="nil"/>
              <w:left w:val="nil"/>
              <w:bottom w:val="single" w:sz="4" w:space="0" w:color="auto"/>
              <w:right w:val="single" w:sz="4" w:space="0" w:color="auto"/>
            </w:tcBorders>
            <w:shd w:val="clear" w:color="auto" w:fill="auto"/>
            <w:noWrap/>
            <w:vAlign w:val="center"/>
            <w:hideMark/>
          </w:tcPr>
          <w:p w14:paraId="59DD0AB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0,06 %</w:t>
            </w:r>
          </w:p>
        </w:tc>
        <w:tc>
          <w:tcPr>
            <w:tcW w:w="1039" w:type="pct"/>
            <w:tcBorders>
              <w:top w:val="nil"/>
              <w:left w:val="nil"/>
              <w:bottom w:val="single" w:sz="4" w:space="0" w:color="auto"/>
              <w:right w:val="single" w:sz="4" w:space="0" w:color="auto"/>
            </w:tcBorders>
            <w:shd w:val="clear" w:color="auto" w:fill="auto"/>
            <w:noWrap/>
            <w:vAlign w:val="center"/>
            <w:hideMark/>
          </w:tcPr>
          <w:p w14:paraId="0FF0B35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0,11 %</w:t>
            </w:r>
          </w:p>
        </w:tc>
      </w:tr>
      <w:tr w:rsidR="00F24E18" w:rsidRPr="00C91EB2" w14:paraId="22856CEF"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8370E90"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133655D9"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Hrvaška</w:t>
            </w:r>
          </w:p>
        </w:tc>
        <w:tc>
          <w:tcPr>
            <w:tcW w:w="628" w:type="pct"/>
            <w:tcBorders>
              <w:top w:val="nil"/>
              <w:left w:val="nil"/>
              <w:bottom w:val="single" w:sz="4" w:space="0" w:color="auto"/>
              <w:right w:val="single" w:sz="4" w:space="0" w:color="auto"/>
            </w:tcBorders>
            <w:shd w:val="clear" w:color="auto" w:fill="auto"/>
            <w:noWrap/>
            <w:vAlign w:val="center"/>
            <w:hideMark/>
          </w:tcPr>
          <w:p w14:paraId="26882DC4"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3</w:t>
            </w:r>
          </w:p>
        </w:tc>
        <w:tc>
          <w:tcPr>
            <w:tcW w:w="1004" w:type="pct"/>
            <w:tcBorders>
              <w:top w:val="nil"/>
              <w:left w:val="nil"/>
              <w:bottom w:val="single" w:sz="4" w:space="0" w:color="auto"/>
              <w:right w:val="single" w:sz="4" w:space="0" w:color="auto"/>
            </w:tcBorders>
            <w:shd w:val="clear" w:color="auto" w:fill="auto"/>
            <w:noWrap/>
            <w:vAlign w:val="center"/>
            <w:hideMark/>
          </w:tcPr>
          <w:p w14:paraId="51507A10"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1.210.868</w:t>
            </w:r>
          </w:p>
        </w:tc>
        <w:tc>
          <w:tcPr>
            <w:tcW w:w="672" w:type="pct"/>
            <w:tcBorders>
              <w:top w:val="nil"/>
              <w:left w:val="nil"/>
              <w:bottom w:val="single" w:sz="4" w:space="0" w:color="auto"/>
              <w:right w:val="single" w:sz="4" w:space="0" w:color="auto"/>
            </w:tcBorders>
            <w:shd w:val="clear" w:color="auto" w:fill="auto"/>
            <w:noWrap/>
            <w:vAlign w:val="center"/>
            <w:hideMark/>
          </w:tcPr>
          <w:p w14:paraId="1767AB0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0,19 %</w:t>
            </w:r>
          </w:p>
        </w:tc>
        <w:tc>
          <w:tcPr>
            <w:tcW w:w="1039" w:type="pct"/>
            <w:tcBorders>
              <w:top w:val="nil"/>
              <w:left w:val="nil"/>
              <w:bottom w:val="single" w:sz="4" w:space="0" w:color="auto"/>
              <w:right w:val="single" w:sz="4" w:space="0" w:color="auto"/>
            </w:tcBorders>
            <w:shd w:val="clear" w:color="auto" w:fill="auto"/>
            <w:noWrap/>
            <w:vAlign w:val="center"/>
            <w:hideMark/>
          </w:tcPr>
          <w:p w14:paraId="7F19F97F"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0,08 %</w:t>
            </w:r>
          </w:p>
        </w:tc>
      </w:tr>
      <w:tr w:rsidR="00F24E18" w:rsidRPr="00C91EB2" w14:paraId="51EA0F1F"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73B0C099"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ED99B20"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Italija</w:t>
            </w:r>
          </w:p>
        </w:tc>
        <w:tc>
          <w:tcPr>
            <w:tcW w:w="628" w:type="pct"/>
            <w:tcBorders>
              <w:top w:val="nil"/>
              <w:left w:val="nil"/>
              <w:bottom w:val="single" w:sz="4" w:space="0" w:color="auto"/>
              <w:right w:val="single" w:sz="4" w:space="0" w:color="auto"/>
            </w:tcBorders>
            <w:shd w:val="clear" w:color="auto" w:fill="auto"/>
            <w:noWrap/>
            <w:vAlign w:val="center"/>
            <w:hideMark/>
          </w:tcPr>
          <w:p w14:paraId="5D210A0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2</w:t>
            </w:r>
          </w:p>
        </w:tc>
        <w:tc>
          <w:tcPr>
            <w:tcW w:w="1004" w:type="pct"/>
            <w:tcBorders>
              <w:top w:val="nil"/>
              <w:left w:val="nil"/>
              <w:bottom w:val="single" w:sz="4" w:space="0" w:color="auto"/>
              <w:right w:val="single" w:sz="4" w:space="0" w:color="auto"/>
            </w:tcBorders>
            <w:shd w:val="clear" w:color="auto" w:fill="auto"/>
            <w:noWrap/>
            <w:vAlign w:val="center"/>
            <w:hideMark/>
          </w:tcPr>
          <w:p w14:paraId="578B25A8"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6.625.960</w:t>
            </w:r>
          </w:p>
        </w:tc>
        <w:tc>
          <w:tcPr>
            <w:tcW w:w="672" w:type="pct"/>
            <w:tcBorders>
              <w:top w:val="nil"/>
              <w:left w:val="nil"/>
              <w:bottom w:val="single" w:sz="4" w:space="0" w:color="auto"/>
              <w:right w:val="single" w:sz="4" w:space="0" w:color="auto"/>
            </w:tcBorders>
            <w:shd w:val="clear" w:color="auto" w:fill="auto"/>
            <w:noWrap/>
            <w:vAlign w:val="center"/>
            <w:hideMark/>
          </w:tcPr>
          <w:p w14:paraId="103079D2"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0,13 %</w:t>
            </w:r>
          </w:p>
        </w:tc>
        <w:tc>
          <w:tcPr>
            <w:tcW w:w="1039" w:type="pct"/>
            <w:tcBorders>
              <w:top w:val="nil"/>
              <w:left w:val="nil"/>
              <w:bottom w:val="single" w:sz="4" w:space="0" w:color="auto"/>
              <w:right w:val="single" w:sz="4" w:space="0" w:color="auto"/>
            </w:tcBorders>
            <w:shd w:val="clear" w:color="auto" w:fill="auto"/>
            <w:noWrap/>
            <w:vAlign w:val="center"/>
            <w:hideMark/>
          </w:tcPr>
          <w:p w14:paraId="2EBE345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0,46 %</w:t>
            </w:r>
          </w:p>
        </w:tc>
      </w:tr>
      <w:tr w:rsidR="00F24E18" w:rsidRPr="00C91EB2" w14:paraId="361D08ED"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B52F03B"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57D6C459"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Madžarska</w:t>
            </w:r>
          </w:p>
        </w:tc>
        <w:tc>
          <w:tcPr>
            <w:tcW w:w="628" w:type="pct"/>
            <w:tcBorders>
              <w:top w:val="nil"/>
              <w:left w:val="nil"/>
              <w:bottom w:val="single" w:sz="4" w:space="0" w:color="auto"/>
              <w:right w:val="single" w:sz="4" w:space="0" w:color="auto"/>
            </w:tcBorders>
            <w:shd w:val="clear" w:color="auto" w:fill="auto"/>
            <w:noWrap/>
            <w:vAlign w:val="center"/>
            <w:hideMark/>
          </w:tcPr>
          <w:p w14:paraId="65377E05"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1CEA710B"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464.830</w:t>
            </w:r>
          </w:p>
        </w:tc>
        <w:tc>
          <w:tcPr>
            <w:tcW w:w="672" w:type="pct"/>
            <w:tcBorders>
              <w:top w:val="nil"/>
              <w:left w:val="nil"/>
              <w:bottom w:val="single" w:sz="4" w:space="0" w:color="auto"/>
              <w:right w:val="single" w:sz="4" w:space="0" w:color="auto"/>
            </w:tcBorders>
            <w:shd w:val="clear" w:color="auto" w:fill="auto"/>
            <w:noWrap/>
            <w:vAlign w:val="center"/>
            <w:hideMark/>
          </w:tcPr>
          <w:p w14:paraId="68FF63B3"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0,06 %</w:t>
            </w:r>
          </w:p>
        </w:tc>
        <w:tc>
          <w:tcPr>
            <w:tcW w:w="1039" w:type="pct"/>
            <w:tcBorders>
              <w:top w:val="nil"/>
              <w:left w:val="nil"/>
              <w:bottom w:val="single" w:sz="4" w:space="0" w:color="auto"/>
              <w:right w:val="single" w:sz="4" w:space="0" w:color="auto"/>
            </w:tcBorders>
            <w:shd w:val="clear" w:color="auto" w:fill="auto"/>
            <w:noWrap/>
            <w:vAlign w:val="center"/>
            <w:hideMark/>
          </w:tcPr>
          <w:p w14:paraId="28A0A66A"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0,03 %</w:t>
            </w:r>
          </w:p>
        </w:tc>
      </w:tr>
      <w:tr w:rsidR="00F24E18" w:rsidRPr="00C91EB2" w14:paraId="1BD9A82C"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12EC2C77"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097285D5" w14:textId="77777777" w:rsidR="00F24E18" w:rsidRPr="00C91EB2" w:rsidRDefault="00F24E18" w:rsidP="000E18B5">
            <w:pPr>
              <w:spacing w:after="0" w:line="240" w:lineRule="auto"/>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Srbija</w:t>
            </w:r>
          </w:p>
        </w:tc>
        <w:tc>
          <w:tcPr>
            <w:tcW w:w="628" w:type="pct"/>
            <w:tcBorders>
              <w:top w:val="nil"/>
              <w:left w:val="nil"/>
              <w:bottom w:val="single" w:sz="4" w:space="0" w:color="auto"/>
              <w:right w:val="single" w:sz="4" w:space="0" w:color="auto"/>
            </w:tcBorders>
            <w:shd w:val="clear" w:color="auto" w:fill="auto"/>
            <w:noWrap/>
            <w:vAlign w:val="center"/>
            <w:hideMark/>
          </w:tcPr>
          <w:p w14:paraId="0985037D"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1</w:t>
            </w:r>
          </w:p>
        </w:tc>
        <w:tc>
          <w:tcPr>
            <w:tcW w:w="1004" w:type="pct"/>
            <w:tcBorders>
              <w:top w:val="nil"/>
              <w:left w:val="nil"/>
              <w:bottom w:val="single" w:sz="4" w:space="0" w:color="auto"/>
              <w:right w:val="single" w:sz="4" w:space="0" w:color="auto"/>
            </w:tcBorders>
            <w:shd w:val="clear" w:color="auto" w:fill="auto"/>
            <w:noWrap/>
            <w:vAlign w:val="center"/>
            <w:hideMark/>
          </w:tcPr>
          <w:p w14:paraId="4EE39459"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eastAsia="Times New Roman" w:hAnsi="Arial" w:cs="Arial"/>
                <w:color w:val="000000"/>
                <w:sz w:val="18"/>
                <w:szCs w:val="18"/>
                <w:lang w:eastAsia="sl-SI"/>
              </w:rPr>
              <w:t>531.152</w:t>
            </w:r>
          </w:p>
        </w:tc>
        <w:tc>
          <w:tcPr>
            <w:tcW w:w="672" w:type="pct"/>
            <w:tcBorders>
              <w:top w:val="nil"/>
              <w:left w:val="nil"/>
              <w:bottom w:val="single" w:sz="4" w:space="0" w:color="auto"/>
              <w:right w:val="single" w:sz="4" w:space="0" w:color="auto"/>
            </w:tcBorders>
            <w:shd w:val="clear" w:color="auto" w:fill="auto"/>
            <w:noWrap/>
            <w:vAlign w:val="center"/>
            <w:hideMark/>
          </w:tcPr>
          <w:p w14:paraId="0BBEEE2E"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0,06 %</w:t>
            </w:r>
          </w:p>
        </w:tc>
        <w:tc>
          <w:tcPr>
            <w:tcW w:w="1039" w:type="pct"/>
            <w:tcBorders>
              <w:top w:val="nil"/>
              <w:left w:val="nil"/>
              <w:bottom w:val="single" w:sz="4" w:space="0" w:color="auto"/>
              <w:right w:val="single" w:sz="4" w:space="0" w:color="auto"/>
            </w:tcBorders>
            <w:shd w:val="clear" w:color="auto" w:fill="auto"/>
            <w:noWrap/>
            <w:vAlign w:val="center"/>
            <w:hideMark/>
          </w:tcPr>
          <w:p w14:paraId="36C41801" w14:textId="77777777" w:rsidR="00F24E18" w:rsidRPr="00C91EB2" w:rsidRDefault="00F24E18" w:rsidP="000E18B5">
            <w:pPr>
              <w:spacing w:after="0" w:line="240" w:lineRule="auto"/>
              <w:jc w:val="right"/>
              <w:rPr>
                <w:rFonts w:ascii="Arial" w:eastAsia="Times New Roman" w:hAnsi="Arial" w:cs="Arial"/>
                <w:color w:val="000000"/>
                <w:sz w:val="18"/>
                <w:szCs w:val="18"/>
                <w:lang w:eastAsia="sl-SI"/>
              </w:rPr>
            </w:pPr>
            <w:r w:rsidRPr="00C91EB2">
              <w:rPr>
                <w:rFonts w:ascii="Arial" w:hAnsi="Arial" w:cs="Arial"/>
                <w:color w:val="000000"/>
                <w:sz w:val="18"/>
                <w:szCs w:val="18"/>
              </w:rPr>
              <w:t>0,04 %</w:t>
            </w:r>
          </w:p>
        </w:tc>
      </w:tr>
      <w:tr w:rsidR="00F24E18" w:rsidRPr="00C91EB2" w14:paraId="6FD311F6" w14:textId="77777777" w:rsidTr="000E18B5">
        <w:trPr>
          <w:trHeight w:val="300"/>
        </w:trPr>
        <w:tc>
          <w:tcPr>
            <w:tcW w:w="456" w:type="pct"/>
            <w:vMerge/>
            <w:tcBorders>
              <w:top w:val="nil"/>
              <w:left w:val="single" w:sz="4" w:space="0" w:color="auto"/>
              <w:bottom w:val="single" w:sz="4" w:space="0" w:color="auto"/>
              <w:right w:val="single" w:sz="4" w:space="0" w:color="auto"/>
            </w:tcBorders>
            <w:vAlign w:val="center"/>
            <w:hideMark/>
          </w:tcPr>
          <w:p w14:paraId="0815503E" w14:textId="77777777" w:rsidR="00F24E18" w:rsidRPr="00C91EB2" w:rsidRDefault="00F24E18" w:rsidP="000E18B5">
            <w:pPr>
              <w:spacing w:after="0" w:line="240" w:lineRule="auto"/>
              <w:rPr>
                <w:rFonts w:ascii="Arial" w:eastAsia="Times New Roman" w:hAnsi="Arial" w:cs="Arial"/>
                <w:color w:val="000000"/>
                <w:sz w:val="18"/>
                <w:szCs w:val="18"/>
                <w:lang w:eastAsia="sl-SI"/>
              </w:rPr>
            </w:pPr>
          </w:p>
        </w:tc>
        <w:tc>
          <w:tcPr>
            <w:tcW w:w="1201" w:type="pct"/>
            <w:tcBorders>
              <w:top w:val="nil"/>
              <w:left w:val="nil"/>
              <w:bottom w:val="single" w:sz="4" w:space="0" w:color="auto"/>
              <w:right w:val="single" w:sz="4" w:space="0" w:color="auto"/>
            </w:tcBorders>
            <w:shd w:val="clear" w:color="auto" w:fill="auto"/>
            <w:noWrap/>
            <w:vAlign w:val="center"/>
            <w:hideMark/>
          </w:tcPr>
          <w:p w14:paraId="34B40D1A" w14:textId="77777777" w:rsidR="00F24E18" w:rsidRPr="00C91EB2" w:rsidRDefault="00F24E18" w:rsidP="000E18B5">
            <w:pPr>
              <w:spacing w:after="0" w:line="240" w:lineRule="auto"/>
              <w:rPr>
                <w:rFonts w:ascii="Arial" w:eastAsia="Times New Roman" w:hAnsi="Arial" w:cs="Arial"/>
                <w:b/>
                <w:bCs/>
                <w:color w:val="000000"/>
                <w:sz w:val="18"/>
                <w:szCs w:val="18"/>
                <w:lang w:eastAsia="sl-SI"/>
              </w:rPr>
            </w:pPr>
            <w:r w:rsidRPr="00C91EB2">
              <w:rPr>
                <w:rFonts w:ascii="Arial" w:eastAsia="Times New Roman" w:hAnsi="Arial" w:cs="Arial"/>
                <w:b/>
                <w:bCs/>
                <w:color w:val="000000"/>
                <w:sz w:val="18"/>
                <w:szCs w:val="18"/>
                <w:lang w:eastAsia="sl-SI"/>
              </w:rPr>
              <w:t>Skupaj</w:t>
            </w:r>
          </w:p>
        </w:tc>
        <w:tc>
          <w:tcPr>
            <w:tcW w:w="628" w:type="pct"/>
            <w:tcBorders>
              <w:top w:val="nil"/>
              <w:left w:val="nil"/>
              <w:bottom w:val="single" w:sz="4" w:space="0" w:color="auto"/>
              <w:right w:val="single" w:sz="4" w:space="0" w:color="auto"/>
            </w:tcBorders>
            <w:shd w:val="clear" w:color="auto" w:fill="auto"/>
            <w:noWrap/>
            <w:vAlign w:val="center"/>
          </w:tcPr>
          <w:p w14:paraId="7A676938"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1.565</w:t>
            </w:r>
          </w:p>
        </w:tc>
        <w:tc>
          <w:tcPr>
            <w:tcW w:w="1004" w:type="pct"/>
            <w:tcBorders>
              <w:top w:val="nil"/>
              <w:left w:val="nil"/>
              <w:bottom w:val="single" w:sz="4" w:space="0" w:color="auto"/>
              <w:right w:val="single" w:sz="4" w:space="0" w:color="auto"/>
            </w:tcBorders>
            <w:shd w:val="clear" w:color="auto" w:fill="auto"/>
            <w:noWrap/>
            <w:vAlign w:val="center"/>
          </w:tcPr>
          <w:p w14:paraId="6C3C942F"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1.426.916.667</w:t>
            </w:r>
          </w:p>
        </w:tc>
        <w:tc>
          <w:tcPr>
            <w:tcW w:w="672" w:type="pct"/>
            <w:tcBorders>
              <w:top w:val="nil"/>
              <w:left w:val="nil"/>
              <w:bottom w:val="single" w:sz="4" w:space="0" w:color="auto"/>
              <w:right w:val="single" w:sz="4" w:space="0" w:color="auto"/>
            </w:tcBorders>
            <w:shd w:val="clear" w:color="auto" w:fill="auto"/>
            <w:noWrap/>
            <w:vAlign w:val="center"/>
            <w:hideMark/>
          </w:tcPr>
          <w:p w14:paraId="6B0DBF3D"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100,00 %</w:t>
            </w:r>
          </w:p>
        </w:tc>
        <w:tc>
          <w:tcPr>
            <w:tcW w:w="1039" w:type="pct"/>
            <w:tcBorders>
              <w:top w:val="nil"/>
              <w:left w:val="nil"/>
              <w:bottom w:val="single" w:sz="4" w:space="0" w:color="auto"/>
              <w:right w:val="single" w:sz="4" w:space="0" w:color="auto"/>
            </w:tcBorders>
            <w:shd w:val="clear" w:color="auto" w:fill="auto"/>
            <w:noWrap/>
            <w:vAlign w:val="center"/>
            <w:hideMark/>
          </w:tcPr>
          <w:p w14:paraId="096E8438"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eastAsia="Times New Roman" w:hAnsi="Arial" w:cs="Arial"/>
                <w:b/>
                <w:bCs/>
                <w:color w:val="000000"/>
                <w:sz w:val="18"/>
                <w:szCs w:val="18"/>
                <w:lang w:eastAsia="sl-SI"/>
              </w:rPr>
              <w:t>100,00  %</w:t>
            </w:r>
          </w:p>
        </w:tc>
      </w:tr>
      <w:tr w:rsidR="00F24E18" w:rsidRPr="00C91EB2" w14:paraId="08276F68" w14:textId="77777777" w:rsidTr="000E18B5">
        <w:trPr>
          <w:gridAfter w:val="2"/>
          <w:wAfter w:w="1711" w:type="pct"/>
          <w:trHeight w:val="300"/>
        </w:trPr>
        <w:tc>
          <w:tcPr>
            <w:tcW w:w="16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64FE5C" w14:textId="77777777" w:rsidR="00F24E18" w:rsidRPr="00C91EB2" w:rsidRDefault="00F24E18" w:rsidP="000E18B5">
            <w:pPr>
              <w:spacing w:after="0" w:line="240" w:lineRule="auto"/>
              <w:rPr>
                <w:rFonts w:ascii="Arial" w:eastAsia="Times New Roman" w:hAnsi="Arial" w:cs="Arial"/>
                <w:b/>
                <w:bCs/>
                <w:color w:val="000000"/>
                <w:sz w:val="18"/>
                <w:szCs w:val="18"/>
                <w:lang w:eastAsia="sl-SI"/>
              </w:rPr>
            </w:pPr>
            <w:r w:rsidRPr="00C91EB2">
              <w:rPr>
                <w:rFonts w:ascii="Arial" w:eastAsia="Times New Roman" w:hAnsi="Arial" w:cs="Arial"/>
                <w:b/>
                <w:bCs/>
                <w:color w:val="000000"/>
                <w:sz w:val="18"/>
                <w:szCs w:val="18"/>
                <w:lang w:eastAsia="sl-SI"/>
              </w:rPr>
              <w:t>Skupaj</w:t>
            </w:r>
          </w:p>
        </w:tc>
        <w:tc>
          <w:tcPr>
            <w:tcW w:w="628" w:type="pct"/>
            <w:tcBorders>
              <w:top w:val="nil"/>
              <w:left w:val="nil"/>
              <w:bottom w:val="single" w:sz="4" w:space="0" w:color="auto"/>
              <w:right w:val="single" w:sz="4" w:space="0" w:color="auto"/>
            </w:tcBorders>
            <w:shd w:val="clear" w:color="auto" w:fill="F2F2F2" w:themeFill="background1" w:themeFillShade="F2"/>
            <w:noWrap/>
            <w:vAlign w:val="center"/>
          </w:tcPr>
          <w:p w14:paraId="307EC9CB"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16.824</w:t>
            </w:r>
          </w:p>
        </w:tc>
        <w:tc>
          <w:tcPr>
            <w:tcW w:w="1004" w:type="pct"/>
            <w:tcBorders>
              <w:top w:val="nil"/>
              <w:left w:val="nil"/>
              <w:bottom w:val="single" w:sz="4" w:space="0" w:color="auto"/>
              <w:right w:val="single" w:sz="4" w:space="0" w:color="auto"/>
            </w:tcBorders>
            <w:shd w:val="clear" w:color="auto" w:fill="F2F2F2" w:themeFill="background1" w:themeFillShade="F2"/>
            <w:noWrap/>
            <w:vAlign w:val="center"/>
          </w:tcPr>
          <w:p w14:paraId="0B103755" w14:textId="77777777" w:rsidR="00F24E18" w:rsidRPr="00C91EB2" w:rsidRDefault="00F24E18" w:rsidP="000E18B5">
            <w:pPr>
              <w:spacing w:after="0" w:line="240" w:lineRule="auto"/>
              <w:jc w:val="right"/>
              <w:rPr>
                <w:rFonts w:ascii="Arial" w:eastAsia="Times New Roman" w:hAnsi="Arial" w:cs="Arial"/>
                <w:b/>
                <w:bCs/>
                <w:color w:val="000000"/>
                <w:sz w:val="18"/>
                <w:szCs w:val="18"/>
                <w:lang w:eastAsia="sl-SI"/>
              </w:rPr>
            </w:pPr>
            <w:r w:rsidRPr="00C91EB2">
              <w:rPr>
                <w:rFonts w:ascii="Arial" w:hAnsi="Arial" w:cs="Arial"/>
                <w:b/>
                <w:bCs/>
                <w:color w:val="000000"/>
                <w:sz w:val="18"/>
                <w:szCs w:val="18"/>
              </w:rPr>
              <w:t>6.232.250.969</w:t>
            </w:r>
          </w:p>
        </w:tc>
      </w:tr>
    </w:tbl>
    <w:p w14:paraId="6BE98CBF" w14:textId="77777777" w:rsidR="00F24E18" w:rsidRPr="00242E41" w:rsidRDefault="00F24E18" w:rsidP="00F24E18">
      <w:pPr>
        <w:spacing w:before="120" w:after="0" w:line="240" w:lineRule="auto"/>
        <w:jc w:val="both"/>
        <w:rPr>
          <w:rFonts w:ascii="Arial" w:hAnsi="Arial" w:cs="Arial"/>
          <w:sz w:val="20"/>
          <w:highlight w:val="yellow"/>
        </w:rPr>
      </w:pPr>
    </w:p>
    <w:p w14:paraId="79C95C6A" w14:textId="77777777" w:rsidR="00F24E18" w:rsidRPr="00242E41" w:rsidRDefault="00F24E18" w:rsidP="00F24E18">
      <w:pPr>
        <w:spacing w:before="120" w:after="0" w:line="240" w:lineRule="auto"/>
        <w:jc w:val="both"/>
        <w:rPr>
          <w:rFonts w:ascii="Arial" w:hAnsi="Arial" w:cs="Arial"/>
          <w:sz w:val="20"/>
          <w:highlight w:val="yellow"/>
        </w:rPr>
      </w:pPr>
    </w:p>
    <w:p w14:paraId="3CEB5767" w14:textId="77777777" w:rsidR="00F24E18" w:rsidRPr="002505F4" w:rsidRDefault="00F24E18" w:rsidP="00F24E18">
      <w:pPr>
        <w:spacing w:before="120" w:after="0" w:line="240" w:lineRule="auto"/>
        <w:jc w:val="both"/>
        <w:rPr>
          <w:rFonts w:ascii="Arial" w:hAnsi="Arial" w:cs="Arial"/>
          <w:sz w:val="20"/>
        </w:rPr>
      </w:pPr>
      <w:r w:rsidRPr="002505F4">
        <w:rPr>
          <w:rFonts w:ascii="Arial" w:hAnsi="Arial" w:cs="Arial"/>
          <w:sz w:val="20"/>
        </w:rPr>
        <w:t>Preglednica 89: Oddani sklopi glede na sedež ponudnika</w:t>
      </w:r>
    </w:p>
    <w:p w14:paraId="2B84DEDD"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505"/>
        <w:gridCol w:w="3950"/>
        <w:gridCol w:w="1473"/>
        <w:gridCol w:w="2246"/>
      </w:tblGrid>
      <w:tr w:rsidR="00F24E18" w:rsidRPr="002505F4" w14:paraId="491CECD8" w14:textId="77777777" w:rsidTr="000E18B5">
        <w:trPr>
          <w:trHeight w:val="480"/>
        </w:trPr>
        <w:tc>
          <w:tcPr>
            <w:tcW w:w="82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36692F6" w14:textId="77777777" w:rsidR="00F24E18" w:rsidRPr="002505F4" w:rsidRDefault="00F24E18" w:rsidP="000E18B5">
            <w:pPr>
              <w:spacing w:after="0" w:line="240" w:lineRule="auto"/>
              <w:jc w:val="center"/>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Ponudnik - država</w:t>
            </w:r>
          </w:p>
        </w:tc>
        <w:tc>
          <w:tcPr>
            <w:tcW w:w="2153" w:type="pct"/>
            <w:tcBorders>
              <w:top w:val="single" w:sz="4" w:space="0" w:color="auto"/>
              <w:left w:val="nil"/>
              <w:bottom w:val="single" w:sz="4" w:space="0" w:color="auto"/>
              <w:right w:val="single" w:sz="4" w:space="0" w:color="auto"/>
            </w:tcBorders>
            <w:shd w:val="clear" w:color="000000" w:fill="F2F2F2"/>
            <w:vAlign w:val="center"/>
            <w:hideMark/>
          </w:tcPr>
          <w:p w14:paraId="3120B691" w14:textId="77777777" w:rsidR="00F24E18" w:rsidRPr="002505F4" w:rsidRDefault="00F24E18" w:rsidP="000E18B5">
            <w:pPr>
              <w:spacing w:after="0" w:line="240" w:lineRule="auto"/>
              <w:jc w:val="center"/>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Država ponudnika</w:t>
            </w:r>
          </w:p>
        </w:tc>
        <w:tc>
          <w:tcPr>
            <w:tcW w:w="803" w:type="pct"/>
            <w:tcBorders>
              <w:top w:val="single" w:sz="4" w:space="0" w:color="auto"/>
              <w:left w:val="nil"/>
              <w:bottom w:val="single" w:sz="4" w:space="0" w:color="auto"/>
              <w:right w:val="single" w:sz="4" w:space="0" w:color="auto"/>
            </w:tcBorders>
            <w:shd w:val="clear" w:color="000000" w:fill="F2F2F2"/>
            <w:vAlign w:val="center"/>
            <w:hideMark/>
          </w:tcPr>
          <w:p w14:paraId="4F08B24A" w14:textId="77777777" w:rsidR="00F24E18" w:rsidRPr="002505F4" w:rsidRDefault="00F24E18" w:rsidP="000E18B5">
            <w:pPr>
              <w:spacing w:after="0" w:line="240" w:lineRule="auto"/>
              <w:jc w:val="center"/>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Št. naročil</w:t>
            </w:r>
          </w:p>
        </w:tc>
        <w:tc>
          <w:tcPr>
            <w:tcW w:w="1224" w:type="pct"/>
            <w:tcBorders>
              <w:top w:val="single" w:sz="4" w:space="0" w:color="auto"/>
              <w:left w:val="nil"/>
              <w:bottom w:val="single" w:sz="4" w:space="0" w:color="auto"/>
              <w:right w:val="single" w:sz="4" w:space="0" w:color="auto"/>
            </w:tcBorders>
            <w:shd w:val="clear" w:color="000000" w:fill="F2F2F2"/>
            <w:vAlign w:val="center"/>
            <w:hideMark/>
          </w:tcPr>
          <w:p w14:paraId="1BACA404" w14:textId="77777777" w:rsidR="00F24E18" w:rsidRPr="002505F4" w:rsidRDefault="00F24E18" w:rsidP="000E18B5">
            <w:pPr>
              <w:spacing w:after="0" w:line="240" w:lineRule="auto"/>
              <w:jc w:val="center"/>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Pogodbena vrednost</w:t>
            </w:r>
          </w:p>
        </w:tc>
      </w:tr>
      <w:tr w:rsidR="00F24E18" w:rsidRPr="002505F4" w14:paraId="098E879E" w14:textId="77777777" w:rsidTr="000E18B5">
        <w:trPr>
          <w:trHeight w:val="300"/>
        </w:trPr>
        <w:tc>
          <w:tcPr>
            <w:tcW w:w="820" w:type="pct"/>
            <w:tcBorders>
              <w:top w:val="nil"/>
              <w:left w:val="single" w:sz="4" w:space="0" w:color="auto"/>
              <w:bottom w:val="single" w:sz="4" w:space="0" w:color="auto"/>
              <w:right w:val="single" w:sz="4" w:space="0" w:color="auto"/>
            </w:tcBorders>
            <w:shd w:val="clear" w:color="auto" w:fill="auto"/>
            <w:noWrap/>
            <w:vAlign w:val="center"/>
            <w:hideMark/>
          </w:tcPr>
          <w:p w14:paraId="75B6E791"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lastRenderedPageBreak/>
              <w:t>Slovenija</w:t>
            </w:r>
          </w:p>
        </w:tc>
        <w:tc>
          <w:tcPr>
            <w:tcW w:w="2153" w:type="pct"/>
            <w:tcBorders>
              <w:top w:val="nil"/>
              <w:left w:val="nil"/>
              <w:bottom w:val="single" w:sz="4" w:space="0" w:color="auto"/>
              <w:right w:val="single" w:sz="4" w:space="0" w:color="auto"/>
            </w:tcBorders>
            <w:shd w:val="clear" w:color="auto" w:fill="auto"/>
            <w:noWrap/>
            <w:vAlign w:val="center"/>
            <w:hideMark/>
          </w:tcPr>
          <w:p w14:paraId="04DEA25C"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Slovenija</w:t>
            </w:r>
          </w:p>
        </w:tc>
        <w:tc>
          <w:tcPr>
            <w:tcW w:w="803" w:type="pct"/>
            <w:tcBorders>
              <w:top w:val="nil"/>
              <w:left w:val="nil"/>
              <w:bottom w:val="single" w:sz="4" w:space="0" w:color="auto"/>
              <w:right w:val="single" w:sz="4" w:space="0" w:color="auto"/>
            </w:tcBorders>
            <w:shd w:val="clear" w:color="auto" w:fill="auto"/>
            <w:noWrap/>
            <w:vAlign w:val="center"/>
            <w:hideMark/>
          </w:tcPr>
          <w:p w14:paraId="6C07607C" w14:textId="77777777" w:rsidR="00F24E18" w:rsidRPr="002505F4" w:rsidRDefault="00F24E18" w:rsidP="000E18B5">
            <w:pPr>
              <w:spacing w:after="0" w:line="240" w:lineRule="auto"/>
              <w:jc w:val="right"/>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16.340</w:t>
            </w:r>
          </w:p>
        </w:tc>
        <w:tc>
          <w:tcPr>
            <w:tcW w:w="1224" w:type="pct"/>
            <w:tcBorders>
              <w:top w:val="nil"/>
              <w:left w:val="nil"/>
              <w:bottom w:val="single" w:sz="4" w:space="0" w:color="auto"/>
              <w:right w:val="single" w:sz="4" w:space="0" w:color="auto"/>
            </w:tcBorders>
            <w:shd w:val="clear" w:color="auto" w:fill="auto"/>
            <w:noWrap/>
            <w:vAlign w:val="center"/>
            <w:hideMark/>
          </w:tcPr>
          <w:p w14:paraId="720D76AC" w14:textId="77777777" w:rsidR="00F24E18" w:rsidRPr="002505F4" w:rsidRDefault="00F24E18" w:rsidP="000E18B5">
            <w:pPr>
              <w:spacing w:after="0" w:line="240" w:lineRule="auto"/>
              <w:jc w:val="right"/>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5.763.934.024</w:t>
            </w:r>
          </w:p>
        </w:tc>
      </w:tr>
      <w:tr w:rsidR="00F24E18" w:rsidRPr="002505F4" w14:paraId="629F1B9C" w14:textId="77777777" w:rsidTr="000E18B5">
        <w:trPr>
          <w:trHeight w:val="300"/>
        </w:trPr>
        <w:tc>
          <w:tcPr>
            <w:tcW w:w="8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F577DD"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EU</w:t>
            </w:r>
          </w:p>
        </w:tc>
        <w:tc>
          <w:tcPr>
            <w:tcW w:w="2153" w:type="pct"/>
            <w:tcBorders>
              <w:top w:val="nil"/>
              <w:left w:val="nil"/>
              <w:bottom w:val="single" w:sz="4" w:space="0" w:color="auto"/>
              <w:right w:val="single" w:sz="4" w:space="0" w:color="auto"/>
            </w:tcBorders>
            <w:shd w:val="clear" w:color="auto" w:fill="auto"/>
            <w:noWrap/>
            <w:vAlign w:val="center"/>
            <w:hideMark/>
          </w:tcPr>
          <w:p w14:paraId="53042D5B"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Avstrija</w:t>
            </w:r>
          </w:p>
        </w:tc>
        <w:tc>
          <w:tcPr>
            <w:tcW w:w="803" w:type="pct"/>
            <w:tcBorders>
              <w:top w:val="nil"/>
              <w:left w:val="nil"/>
              <w:bottom w:val="single" w:sz="4" w:space="0" w:color="auto"/>
              <w:right w:val="single" w:sz="4" w:space="0" w:color="auto"/>
            </w:tcBorders>
            <w:shd w:val="clear" w:color="auto" w:fill="auto"/>
            <w:noWrap/>
            <w:vAlign w:val="center"/>
            <w:hideMark/>
          </w:tcPr>
          <w:p w14:paraId="624CCE41"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54</w:t>
            </w:r>
          </w:p>
        </w:tc>
        <w:tc>
          <w:tcPr>
            <w:tcW w:w="1224" w:type="pct"/>
            <w:tcBorders>
              <w:top w:val="nil"/>
              <w:left w:val="nil"/>
              <w:bottom w:val="single" w:sz="4" w:space="0" w:color="auto"/>
              <w:right w:val="single" w:sz="4" w:space="0" w:color="auto"/>
            </w:tcBorders>
            <w:shd w:val="clear" w:color="auto" w:fill="auto"/>
            <w:noWrap/>
            <w:vAlign w:val="center"/>
            <w:hideMark/>
          </w:tcPr>
          <w:p w14:paraId="3791776B"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15.457.965</w:t>
            </w:r>
          </w:p>
        </w:tc>
      </w:tr>
      <w:tr w:rsidR="00F24E18" w:rsidRPr="002505F4" w14:paraId="0100CD1F"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0CF3246A"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66C8A9D5"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Belgija</w:t>
            </w:r>
          </w:p>
        </w:tc>
        <w:tc>
          <w:tcPr>
            <w:tcW w:w="803" w:type="pct"/>
            <w:tcBorders>
              <w:top w:val="nil"/>
              <w:left w:val="nil"/>
              <w:bottom w:val="single" w:sz="4" w:space="0" w:color="auto"/>
              <w:right w:val="single" w:sz="4" w:space="0" w:color="auto"/>
            </w:tcBorders>
            <w:shd w:val="clear" w:color="auto" w:fill="auto"/>
            <w:noWrap/>
            <w:vAlign w:val="center"/>
            <w:hideMark/>
          </w:tcPr>
          <w:p w14:paraId="3B283A7A"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8</w:t>
            </w:r>
          </w:p>
        </w:tc>
        <w:tc>
          <w:tcPr>
            <w:tcW w:w="1224" w:type="pct"/>
            <w:tcBorders>
              <w:top w:val="nil"/>
              <w:left w:val="nil"/>
              <w:bottom w:val="single" w:sz="4" w:space="0" w:color="auto"/>
              <w:right w:val="single" w:sz="4" w:space="0" w:color="auto"/>
            </w:tcBorders>
            <w:shd w:val="clear" w:color="auto" w:fill="auto"/>
            <w:noWrap/>
            <w:vAlign w:val="center"/>
            <w:hideMark/>
          </w:tcPr>
          <w:p w14:paraId="11583BF4"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17.474.292</w:t>
            </w:r>
          </w:p>
        </w:tc>
      </w:tr>
      <w:tr w:rsidR="00F24E18" w:rsidRPr="002505F4" w14:paraId="6CC66E76"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16C9CAB2"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5671DD7D"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Ciper</w:t>
            </w:r>
          </w:p>
        </w:tc>
        <w:tc>
          <w:tcPr>
            <w:tcW w:w="803" w:type="pct"/>
            <w:tcBorders>
              <w:top w:val="nil"/>
              <w:left w:val="nil"/>
              <w:bottom w:val="single" w:sz="4" w:space="0" w:color="auto"/>
              <w:right w:val="single" w:sz="4" w:space="0" w:color="auto"/>
            </w:tcBorders>
            <w:shd w:val="clear" w:color="auto" w:fill="auto"/>
            <w:noWrap/>
            <w:vAlign w:val="center"/>
            <w:hideMark/>
          </w:tcPr>
          <w:p w14:paraId="694AED0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w:t>
            </w:r>
          </w:p>
        </w:tc>
        <w:tc>
          <w:tcPr>
            <w:tcW w:w="1224" w:type="pct"/>
            <w:tcBorders>
              <w:top w:val="nil"/>
              <w:left w:val="nil"/>
              <w:bottom w:val="single" w:sz="4" w:space="0" w:color="auto"/>
              <w:right w:val="single" w:sz="4" w:space="0" w:color="auto"/>
            </w:tcBorders>
            <w:shd w:val="clear" w:color="auto" w:fill="auto"/>
            <w:noWrap/>
            <w:vAlign w:val="center"/>
            <w:hideMark/>
          </w:tcPr>
          <w:p w14:paraId="7A74C56A"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114.930</w:t>
            </w:r>
          </w:p>
        </w:tc>
      </w:tr>
      <w:tr w:rsidR="00F24E18" w:rsidRPr="002505F4" w14:paraId="67B998B1"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1388A7EB"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7C9EB05E"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Češka</w:t>
            </w:r>
          </w:p>
        </w:tc>
        <w:tc>
          <w:tcPr>
            <w:tcW w:w="803" w:type="pct"/>
            <w:tcBorders>
              <w:top w:val="nil"/>
              <w:left w:val="nil"/>
              <w:bottom w:val="single" w:sz="4" w:space="0" w:color="auto"/>
              <w:right w:val="single" w:sz="4" w:space="0" w:color="auto"/>
            </w:tcBorders>
            <w:shd w:val="clear" w:color="auto" w:fill="auto"/>
            <w:noWrap/>
            <w:vAlign w:val="center"/>
            <w:hideMark/>
          </w:tcPr>
          <w:p w14:paraId="6EE109B8"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7</w:t>
            </w:r>
          </w:p>
        </w:tc>
        <w:tc>
          <w:tcPr>
            <w:tcW w:w="1224" w:type="pct"/>
            <w:tcBorders>
              <w:top w:val="nil"/>
              <w:left w:val="nil"/>
              <w:bottom w:val="single" w:sz="4" w:space="0" w:color="auto"/>
              <w:right w:val="single" w:sz="4" w:space="0" w:color="auto"/>
            </w:tcBorders>
            <w:shd w:val="clear" w:color="auto" w:fill="auto"/>
            <w:noWrap/>
            <w:vAlign w:val="center"/>
            <w:hideMark/>
          </w:tcPr>
          <w:p w14:paraId="4A3ED68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3.506.098</w:t>
            </w:r>
          </w:p>
        </w:tc>
      </w:tr>
      <w:tr w:rsidR="00F24E18" w:rsidRPr="002505F4" w14:paraId="7483213B"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5623A45A"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3064F9AC"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Danska</w:t>
            </w:r>
          </w:p>
        </w:tc>
        <w:tc>
          <w:tcPr>
            <w:tcW w:w="803" w:type="pct"/>
            <w:tcBorders>
              <w:top w:val="nil"/>
              <w:left w:val="nil"/>
              <w:bottom w:val="single" w:sz="4" w:space="0" w:color="auto"/>
              <w:right w:val="single" w:sz="4" w:space="0" w:color="auto"/>
            </w:tcBorders>
            <w:shd w:val="clear" w:color="auto" w:fill="auto"/>
            <w:noWrap/>
            <w:vAlign w:val="center"/>
            <w:hideMark/>
          </w:tcPr>
          <w:p w14:paraId="2CCB0152"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w:t>
            </w:r>
          </w:p>
        </w:tc>
        <w:tc>
          <w:tcPr>
            <w:tcW w:w="1224" w:type="pct"/>
            <w:tcBorders>
              <w:top w:val="nil"/>
              <w:left w:val="nil"/>
              <w:bottom w:val="single" w:sz="4" w:space="0" w:color="auto"/>
              <w:right w:val="single" w:sz="4" w:space="0" w:color="auto"/>
            </w:tcBorders>
            <w:shd w:val="clear" w:color="auto" w:fill="auto"/>
            <w:noWrap/>
            <w:vAlign w:val="center"/>
            <w:hideMark/>
          </w:tcPr>
          <w:p w14:paraId="02FE655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66.000</w:t>
            </w:r>
          </w:p>
        </w:tc>
      </w:tr>
      <w:tr w:rsidR="00F24E18" w:rsidRPr="002505F4" w14:paraId="51D85DFF"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659ED815"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19D493F1"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Finska</w:t>
            </w:r>
          </w:p>
        </w:tc>
        <w:tc>
          <w:tcPr>
            <w:tcW w:w="803" w:type="pct"/>
            <w:tcBorders>
              <w:top w:val="nil"/>
              <w:left w:val="nil"/>
              <w:bottom w:val="single" w:sz="4" w:space="0" w:color="auto"/>
              <w:right w:val="single" w:sz="4" w:space="0" w:color="auto"/>
            </w:tcBorders>
            <w:shd w:val="clear" w:color="auto" w:fill="auto"/>
            <w:noWrap/>
            <w:vAlign w:val="center"/>
            <w:hideMark/>
          </w:tcPr>
          <w:p w14:paraId="0B3C5720"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3</w:t>
            </w:r>
          </w:p>
        </w:tc>
        <w:tc>
          <w:tcPr>
            <w:tcW w:w="1224" w:type="pct"/>
            <w:tcBorders>
              <w:top w:val="nil"/>
              <w:left w:val="nil"/>
              <w:bottom w:val="single" w:sz="4" w:space="0" w:color="auto"/>
              <w:right w:val="single" w:sz="4" w:space="0" w:color="auto"/>
            </w:tcBorders>
            <w:shd w:val="clear" w:color="auto" w:fill="auto"/>
            <w:noWrap/>
            <w:vAlign w:val="center"/>
            <w:hideMark/>
          </w:tcPr>
          <w:p w14:paraId="24E7208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22.875.636</w:t>
            </w:r>
          </w:p>
        </w:tc>
      </w:tr>
      <w:tr w:rsidR="00F24E18" w:rsidRPr="002505F4" w14:paraId="08A3F5B9"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749ACFE2"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7225FF8B"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Francija</w:t>
            </w:r>
          </w:p>
        </w:tc>
        <w:tc>
          <w:tcPr>
            <w:tcW w:w="803" w:type="pct"/>
            <w:tcBorders>
              <w:top w:val="nil"/>
              <w:left w:val="nil"/>
              <w:bottom w:val="single" w:sz="4" w:space="0" w:color="auto"/>
              <w:right w:val="single" w:sz="4" w:space="0" w:color="auto"/>
            </w:tcBorders>
            <w:shd w:val="clear" w:color="auto" w:fill="auto"/>
            <w:noWrap/>
            <w:vAlign w:val="center"/>
            <w:hideMark/>
          </w:tcPr>
          <w:p w14:paraId="36C96DCF"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22</w:t>
            </w:r>
          </w:p>
        </w:tc>
        <w:tc>
          <w:tcPr>
            <w:tcW w:w="1224" w:type="pct"/>
            <w:tcBorders>
              <w:top w:val="nil"/>
              <w:left w:val="nil"/>
              <w:bottom w:val="single" w:sz="4" w:space="0" w:color="auto"/>
              <w:right w:val="single" w:sz="4" w:space="0" w:color="auto"/>
            </w:tcBorders>
            <w:shd w:val="clear" w:color="auto" w:fill="auto"/>
            <w:noWrap/>
            <w:vAlign w:val="center"/>
            <w:hideMark/>
          </w:tcPr>
          <w:p w14:paraId="688670D8"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8.576.560</w:t>
            </w:r>
          </w:p>
        </w:tc>
      </w:tr>
      <w:tr w:rsidR="00F24E18" w:rsidRPr="002505F4" w14:paraId="4FE6D265"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1516793A"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1A355055"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Hrvaška</w:t>
            </w:r>
          </w:p>
        </w:tc>
        <w:tc>
          <w:tcPr>
            <w:tcW w:w="803" w:type="pct"/>
            <w:tcBorders>
              <w:top w:val="nil"/>
              <w:left w:val="nil"/>
              <w:bottom w:val="single" w:sz="4" w:space="0" w:color="auto"/>
              <w:right w:val="single" w:sz="4" w:space="0" w:color="auto"/>
            </w:tcBorders>
            <w:shd w:val="clear" w:color="auto" w:fill="auto"/>
            <w:noWrap/>
            <w:vAlign w:val="center"/>
            <w:hideMark/>
          </w:tcPr>
          <w:p w14:paraId="0A579171"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134</w:t>
            </w:r>
          </w:p>
        </w:tc>
        <w:tc>
          <w:tcPr>
            <w:tcW w:w="1224" w:type="pct"/>
            <w:tcBorders>
              <w:top w:val="nil"/>
              <w:left w:val="nil"/>
              <w:bottom w:val="single" w:sz="4" w:space="0" w:color="auto"/>
              <w:right w:val="single" w:sz="4" w:space="0" w:color="auto"/>
            </w:tcBorders>
            <w:shd w:val="clear" w:color="auto" w:fill="auto"/>
            <w:noWrap/>
            <w:vAlign w:val="center"/>
            <w:hideMark/>
          </w:tcPr>
          <w:p w14:paraId="5C73573E"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31.709.698</w:t>
            </w:r>
          </w:p>
        </w:tc>
      </w:tr>
      <w:tr w:rsidR="00F24E18" w:rsidRPr="002505F4" w14:paraId="4E358C14"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6522439B"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6E88861F"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Irska</w:t>
            </w:r>
          </w:p>
        </w:tc>
        <w:tc>
          <w:tcPr>
            <w:tcW w:w="803" w:type="pct"/>
            <w:tcBorders>
              <w:top w:val="nil"/>
              <w:left w:val="nil"/>
              <w:bottom w:val="single" w:sz="4" w:space="0" w:color="auto"/>
              <w:right w:val="single" w:sz="4" w:space="0" w:color="auto"/>
            </w:tcBorders>
            <w:shd w:val="clear" w:color="auto" w:fill="auto"/>
            <w:noWrap/>
            <w:vAlign w:val="center"/>
            <w:hideMark/>
          </w:tcPr>
          <w:p w14:paraId="068E33E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3</w:t>
            </w:r>
          </w:p>
        </w:tc>
        <w:tc>
          <w:tcPr>
            <w:tcW w:w="1224" w:type="pct"/>
            <w:tcBorders>
              <w:top w:val="nil"/>
              <w:left w:val="nil"/>
              <w:bottom w:val="single" w:sz="4" w:space="0" w:color="auto"/>
              <w:right w:val="single" w:sz="4" w:space="0" w:color="auto"/>
            </w:tcBorders>
            <w:shd w:val="clear" w:color="auto" w:fill="auto"/>
            <w:noWrap/>
            <w:vAlign w:val="center"/>
            <w:hideMark/>
          </w:tcPr>
          <w:p w14:paraId="186AA480"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1.289.544</w:t>
            </w:r>
          </w:p>
        </w:tc>
      </w:tr>
      <w:tr w:rsidR="00F24E18" w:rsidRPr="002505F4" w14:paraId="1F40DEDA"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774BC357"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3091C5E9"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Italija</w:t>
            </w:r>
          </w:p>
        </w:tc>
        <w:tc>
          <w:tcPr>
            <w:tcW w:w="803" w:type="pct"/>
            <w:tcBorders>
              <w:top w:val="nil"/>
              <w:left w:val="nil"/>
              <w:bottom w:val="single" w:sz="4" w:space="0" w:color="auto"/>
              <w:right w:val="single" w:sz="4" w:space="0" w:color="auto"/>
            </w:tcBorders>
            <w:shd w:val="clear" w:color="auto" w:fill="auto"/>
            <w:noWrap/>
            <w:vAlign w:val="center"/>
            <w:hideMark/>
          </w:tcPr>
          <w:p w14:paraId="6362454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31</w:t>
            </w:r>
          </w:p>
        </w:tc>
        <w:tc>
          <w:tcPr>
            <w:tcW w:w="1224" w:type="pct"/>
            <w:tcBorders>
              <w:top w:val="nil"/>
              <w:left w:val="nil"/>
              <w:bottom w:val="single" w:sz="4" w:space="0" w:color="auto"/>
              <w:right w:val="single" w:sz="4" w:space="0" w:color="auto"/>
            </w:tcBorders>
            <w:shd w:val="clear" w:color="auto" w:fill="auto"/>
            <w:noWrap/>
            <w:vAlign w:val="center"/>
            <w:hideMark/>
          </w:tcPr>
          <w:p w14:paraId="4C0963A7"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24.973.111</w:t>
            </w:r>
          </w:p>
        </w:tc>
      </w:tr>
      <w:tr w:rsidR="00F24E18" w:rsidRPr="002505F4" w14:paraId="1E288D31"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16B21B3A"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49CB453B"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Litva</w:t>
            </w:r>
          </w:p>
        </w:tc>
        <w:tc>
          <w:tcPr>
            <w:tcW w:w="803" w:type="pct"/>
            <w:tcBorders>
              <w:top w:val="nil"/>
              <w:left w:val="nil"/>
              <w:bottom w:val="single" w:sz="4" w:space="0" w:color="auto"/>
              <w:right w:val="single" w:sz="4" w:space="0" w:color="auto"/>
            </w:tcBorders>
            <w:shd w:val="clear" w:color="auto" w:fill="auto"/>
            <w:noWrap/>
            <w:vAlign w:val="center"/>
            <w:hideMark/>
          </w:tcPr>
          <w:p w14:paraId="162BB503"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w:t>
            </w:r>
          </w:p>
        </w:tc>
        <w:tc>
          <w:tcPr>
            <w:tcW w:w="1224" w:type="pct"/>
            <w:tcBorders>
              <w:top w:val="nil"/>
              <w:left w:val="nil"/>
              <w:bottom w:val="single" w:sz="4" w:space="0" w:color="auto"/>
              <w:right w:val="single" w:sz="4" w:space="0" w:color="auto"/>
            </w:tcBorders>
            <w:shd w:val="clear" w:color="auto" w:fill="auto"/>
            <w:noWrap/>
            <w:vAlign w:val="center"/>
            <w:hideMark/>
          </w:tcPr>
          <w:p w14:paraId="25CBFFFE"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254.075</w:t>
            </w:r>
          </w:p>
        </w:tc>
      </w:tr>
      <w:tr w:rsidR="00F24E18" w:rsidRPr="002505F4" w14:paraId="1FA427C3"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14BD4315"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3BC32B89"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Luksemburg</w:t>
            </w:r>
          </w:p>
        </w:tc>
        <w:tc>
          <w:tcPr>
            <w:tcW w:w="803" w:type="pct"/>
            <w:tcBorders>
              <w:top w:val="nil"/>
              <w:left w:val="nil"/>
              <w:bottom w:val="single" w:sz="4" w:space="0" w:color="auto"/>
              <w:right w:val="single" w:sz="4" w:space="0" w:color="auto"/>
            </w:tcBorders>
            <w:shd w:val="clear" w:color="auto" w:fill="auto"/>
            <w:noWrap/>
            <w:vAlign w:val="center"/>
            <w:hideMark/>
          </w:tcPr>
          <w:p w14:paraId="4969F55E"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w:t>
            </w:r>
          </w:p>
        </w:tc>
        <w:tc>
          <w:tcPr>
            <w:tcW w:w="1224" w:type="pct"/>
            <w:tcBorders>
              <w:top w:val="nil"/>
              <w:left w:val="nil"/>
              <w:bottom w:val="single" w:sz="4" w:space="0" w:color="auto"/>
              <w:right w:val="single" w:sz="4" w:space="0" w:color="auto"/>
            </w:tcBorders>
            <w:shd w:val="clear" w:color="auto" w:fill="auto"/>
            <w:noWrap/>
            <w:vAlign w:val="center"/>
            <w:hideMark/>
          </w:tcPr>
          <w:p w14:paraId="00F705BF"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73.531</w:t>
            </w:r>
          </w:p>
        </w:tc>
      </w:tr>
      <w:tr w:rsidR="00F24E18" w:rsidRPr="002505F4" w14:paraId="444EC1B3"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7796203B"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555F6C35"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Madžarska</w:t>
            </w:r>
          </w:p>
        </w:tc>
        <w:tc>
          <w:tcPr>
            <w:tcW w:w="803" w:type="pct"/>
            <w:tcBorders>
              <w:top w:val="nil"/>
              <w:left w:val="nil"/>
              <w:bottom w:val="single" w:sz="4" w:space="0" w:color="auto"/>
              <w:right w:val="single" w:sz="4" w:space="0" w:color="auto"/>
            </w:tcBorders>
            <w:shd w:val="clear" w:color="auto" w:fill="auto"/>
            <w:noWrap/>
            <w:vAlign w:val="center"/>
            <w:hideMark/>
          </w:tcPr>
          <w:p w14:paraId="48C71DB9"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10</w:t>
            </w:r>
          </w:p>
        </w:tc>
        <w:tc>
          <w:tcPr>
            <w:tcW w:w="1224" w:type="pct"/>
            <w:tcBorders>
              <w:top w:val="nil"/>
              <w:left w:val="nil"/>
              <w:bottom w:val="single" w:sz="4" w:space="0" w:color="auto"/>
              <w:right w:val="single" w:sz="4" w:space="0" w:color="auto"/>
            </w:tcBorders>
            <w:shd w:val="clear" w:color="auto" w:fill="auto"/>
            <w:noWrap/>
            <w:vAlign w:val="center"/>
            <w:hideMark/>
          </w:tcPr>
          <w:p w14:paraId="19CC0E56"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25.789.880</w:t>
            </w:r>
          </w:p>
        </w:tc>
      </w:tr>
      <w:tr w:rsidR="00F24E18" w:rsidRPr="002505F4" w14:paraId="2DF22927"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1C69BC4F"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1F69D2BB"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Nemčija</w:t>
            </w:r>
          </w:p>
        </w:tc>
        <w:tc>
          <w:tcPr>
            <w:tcW w:w="803" w:type="pct"/>
            <w:tcBorders>
              <w:top w:val="nil"/>
              <w:left w:val="nil"/>
              <w:bottom w:val="single" w:sz="4" w:space="0" w:color="auto"/>
              <w:right w:val="single" w:sz="4" w:space="0" w:color="auto"/>
            </w:tcBorders>
            <w:shd w:val="clear" w:color="auto" w:fill="auto"/>
            <w:noWrap/>
            <w:vAlign w:val="center"/>
            <w:hideMark/>
          </w:tcPr>
          <w:p w14:paraId="39C613F8"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57</w:t>
            </w:r>
          </w:p>
        </w:tc>
        <w:tc>
          <w:tcPr>
            <w:tcW w:w="1224" w:type="pct"/>
            <w:tcBorders>
              <w:top w:val="nil"/>
              <w:left w:val="nil"/>
              <w:bottom w:val="single" w:sz="4" w:space="0" w:color="auto"/>
              <w:right w:val="single" w:sz="4" w:space="0" w:color="auto"/>
            </w:tcBorders>
            <w:shd w:val="clear" w:color="auto" w:fill="auto"/>
            <w:noWrap/>
            <w:vAlign w:val="center"/>
            <w:hideMark/>
          </w:tcPr>
          <w:p w14:paraId="7EF8E83B"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24.200.561</w:t>
            </w:r>
          </w:p>
        </w:tc>
      </w:tr>
      <w:tr w:rsidR="00F24E18" w:rsidRPr="002505F4" w14:paraId="1185D2C4"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3E21919D"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28DC02B6"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Nizozemska</w:t>
            </w:r>
          </w:p>
        </w:tc>
        <w:tc>
          <w:tcPr>
            <w:tcW w:w="803" w:type="pct"/>
            <w:tcBorders>
              <w:top w:val="nil"/>
              <w:left w:val="nil"/>
              <w:bottom w:val="single" w:sz="4" w:space="0" w:color="auto"/>
              <w:right w:val="single" w:sz="4" w:space="0" w:color="auto"/>
            </w:tcBorders>
            <w:shd w:val="clear" w:color="auto" w:fill="auto"/>
            <w:noWrap/>
            <w:vAlign w:val="center"/>
            <w:hideMark/>
          </w:tcPr>
          <w:p w14:paraId="1B60CF52"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22</w:t>
            </w:r>
          </w:p>
        </w:tc>
        <w:tc>
          <w:tcPr>
            <w:tcW w:w="1224" w:type="pct"/>
            <w:tcBorders>
              <w:top w:val="nil"/>
              <w:left w:val="nil"/>
              <w:bottom w:val="single" w:sz="4" w:space="0" w:color="auto"/>
              <w:right w:val="single" w:sz="4" w:space="0" w:color="auto"/>
            </w:tcBorders>
            <w:shd w:val="clear" w:color="auto" w:fill="auto"/>
            <w:noWrap/>
            <w:vAlign w:val="center"/>
            <w:hideMark/>
          </w:tcPr>
          <w:p w14:paraId="6BFE300A"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27.262.233</w:t>
            </w:r>
          </w:p>
        </w:tc>
      </w:tr>
      <w:tr w:rsidR="00F24E18" w:rsidRPr="002505F4" w14:paraId="179675BD"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55F368AB"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76033C30"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Poljska</w:t>
            </w:r>
          </w:p>
        </w:tc>
        <w:tc>
          <w:tcPr>
            <w:tcW w:w="803" w:type="pct"/>
            <w:tcBorders>
              <w:top w:val="nil"/>
              <w:left w:val="nil"/>
              <w:bottom w:val="single" w:sz="4" w:space="0" w:color="auto"/>
              <w:right w:val="single" w:sz="4" w:space="0" w:color="auto"/>
            </w:tcBorders>
            <w:shd w:val="clear" w:color="auto" w:fill="auto"/>
            <w:noWrap/>
            <w:vAlign w:val="center"/>
            <w:hideMark/>
          </w:tcPr>
          <w:p w14:paraId="7528F5FF"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7</w:t>
            </w:r>
          </w:p>
        </w:tc>
        <w:tc>
          <w:tcPr>
            <w:tcW w:w="1224" w:type="pct"/>
            <w:tcBorders>
              <w:top w:val="nil"/>
              <w:left w:val="nil"/>
              <w:bottom w:val="single" w:sz="4" w:space="0" w:color="auto"/>
              <w:right w:val="single" w:sz="4" w:space="0" w:color="auto"/>
            </w:tcBorders>
            <w:shd w:val="clear" w:color="auto" w:fill="auto"/>
            <w:noWrap/>
            <w:vAlign w:val="center"/>
            <w:hideMark/>
          </w:tcPr>
          <w:p w14:paraId="3F721B84"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149.612.510</w:t>
            </w:r>
          </w:p>
        </w:tc>
      </w:tr>
      <w:tr w:rsidR="00F24E18" w:rsidRPr="002505F4" w14:paraId="11440CEF"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022FA4E3"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78D5480B"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Portugalska</w:t>
            </w:r>
          </w:p>
        </w:tc>
        <w:tc>
          <w:tcPr>
            <w:tcW w:w="803" w:type="pct"/>
            <w:tcBorders>
              <w:top w:val="nil"/>
              <w:left w:val="nil"/>
              <w:bottom w:val="single" w:sz="4" w:space="0" w:color="auto"/>
              <w:right w:val="single" w:sz="4" w:space="0" w:color="auto"/>
            </w:tcBorders>
            <w:shd w:val="clear" w:color="auto" w:fill="auto"/>
            <w:noWrap/>
            <w:vAlign w:val="center"/>
            <w:hideMark/>
          </w:tcPr>
          <w:p w14:paraId="2939B4F4"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w:t>
            </w:r>
          </w:p>
        </w:tc>
        <w:tc>
          <w:tcPr>
            <w:tcW w:w="1224" w:type="pct"/>
            <w:tcBorders>
              <w:top w:val="nil"/>
              <w:left w:val="nil"/>
              <w:bottom w:val="single" w:sz="4" w:space="0" w:color="auto"/>
              <w:right w:val="single" w:sz="4" w:space="0" w:color="auto"/>
            </w:tcBorders>
            <w:shd w:val="clear" w:color="auto" w:fill="auto"/>
            <w:noWrap/>
            <w:vAlign w:val="center"/>
            <w:hideMark/>
          </w:tcPr>
          <w:p w14:paraId="25DFAEDD"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799.000</w:t>
            </w:r>
          </w:p>
        </w:tc>
      </w:tr>
      <w:tr w:rsidR="00F24E18" w:rsidRPr="002505F4" w14:paraId="78B414BA"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7AB0EC96"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7071266F"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Romunija</w:t>
            </w:r>
          </w:p>
        </w:tc>
        <w:tc>
          <w:tcPr>
            <w:tcW w:w="803" w:type="pct"/>
            <w:tcBorders>
              <w:top w:val="nil"/>
              <w:left w:val="nil"/>
              <w:bottom w:val="single" w:sz="4" w:space="0" w:color="auto"/>
              <w:right w:val="single" w:sz="4" w:space="0" w:color="auto"/>
            </w:tcBorders>
            <w:shd w:val="clear" w:color="auto" w:fill="auto"/>
            <w:noWrap/>
            <w:vAlign w:val="center"/>
            <w:hideMark/>
          </w:tcPr>
          <w:p w14:paraId="3FDC588D"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9</w:t>
            </w:r>
          </w:p>
        </w:tc>
        <w:tc>
          <w:tcPr>
            <w:tcW w:w="1224" w:type="pct"/>
            <w:tcBorders>
              <w:top w:val="nil"/>
              <w:left w:val="nil"/>
              <w:bottom w:val="single" w:sz="4" w:space="0" w:color="auto"/>
              <w:right w:val="single" w:sz="4" w:space="0" w:color="auto"/>
            </w:tcBorders>
            <w:shd w:val="clear" w:color="auto" w:fill="auto"/>
            <w:noWrap/>
            <w:vAlign w:val="center"/>
            <w:hideMark/>
          </w:tcPr>
          <w:p w14:paraId="033DE62E"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1.921.446</w:t>
            </w:r>
          </w:p>
        </w:tc>
      </w:tr>
      <w:tr w:rsidR="00F24E18" w:rsidRPr="002505F4" w14:paraId="1C3FD87E"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2F8C0F3F"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2B31AF0B"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Slovaška</w:t>
            </w:r>
          </w:p>
        </w:tc>
        <w:tc>
          <w:tcPr>
            <w:tcW w:w="803" w:type="pct"/>
            <w:tcBorders>
              <w:top w:val="nil"/>
              <w:left w:val="nil"/>
              <w:bottom w:val="single" w:sz="4" w:space="0" w:color="auto"/>
              <w:right w:val="single" w:sz="4" w:space="0" w:color="auto"/>
            </w:tcBorders>
            <w:shd w:val="clear" w:color="auto" w:fill="auto"/>
            <w:noWrap/>
            <w:vAlign w:val="center"/>
            <w:hideMark/>
          </w:tcPr>
          <w:p w14:paraId="2C14F397"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w:t>
            </w:r>
          </w:p>
        </w:tc>
        <w:tc>
          <w:tcPr>
            <w:tcW w:w="1224" w:type="pct"/>
            <w:tcBorders>
              <w:top w:val="nil"/>
              <w:left w:val="nil"/>
              <w:bottom w:val="single" w:sz="4" w:space="0" w:color="auto"/>
              <w:right w:val="single" w:sz="4" w:space="0" w:color="auto"/>
            </w:tcBorders>
            <w:shd w:val="clear" w:color="auto" w:fill="auto"/>
            <w:noWrap/>
            <w:vAlign w:val="center"/>
            <w:hideMark/>
          </w:tcPr>
          <w:p w14:paraId="3AD1C358"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459.968</w:t>
            </w:r>
          </w:p>
        </w:tc>
      </w:tr>
      <w:tr w:rsidR="00F24E18" w:rsidRPr="002505F4" w14:paraId="64F21606"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5861253A"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21DDF88A"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Španija</w:t>
            </w:r>
          </w:p>
        </w:tc>
        <w:tc>
          <w:tcPr>
            <w:tcW w:w="803" w:type="pct"/>
            <w:tcBorders>
              <w:top w:val="nil"/>
              <w:left w:val="nil"/>
              <w:bottom w:val="single" w:sz="4" w:space="0" w:color="auto"/>
              <w:right w:val="single" w:sz="4" w:space="0" w:color="auto"/>
            </w:tcBorders>
            <w:shd w:val="clear" w:color="auto" w:fill="auto"/>
            <w:noWrap/>
            <w:vAlign w:val="center"/>
            <w:hideMark/>
          </w:tcPr>
          <w:p w14:paraId="5B949122"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17</w:t>
            </w:r>
          </w:p>
        </w:tc>
        <w:tc>
          <w:tcPr>
            <w:tcW w:w="1224" w:type="pct"/>
            <w:tcBorders>
              <w:top w:val="nil"/>
              <w:left w:val="nil"/>
              <w:bottom w:val="single" w:sz="4" w:space="0" w:color="auto"/>
              <w:right w:val="single" w:sz="4" w:space="0" w:color="auto"/>
            </w:tcBorders>
            <w:shd w:val="clear" w:color="auto" w:fill="auto"/>
            <w:noWrap/>
            <w:vAlign w:val="center"/>
            <w:hideMark/>
          </w:tcPr>
          <w:p w14:paraId="6D90BEB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40.115.019</w:t>
            </w:r>
          </w:p>
        </w:tc>
      </w:tr>
      <w:tr w:rsidR="00F24E18" w:rsidRPr="002505F4" w14:paraId="10803C6E"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3643DB64"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644464CA"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Švedska</w:t>
            </w:r>
          </w:p>
        </w:tc>
        <w:tc>
          <w:tcPr>
            <w:tcW w:w="803" w:type="pct"/>
            <w:tcBorders>
              <w:top w:val="nil"/>
              <w:left w:val="nil"/>
              <w:bottom w:val="single" w:sz="4" w:space="0" w:color="auto"/>
              <w:right w:val="single" w:sz="4" w:space="0" w:color="auto"/>
            </w:tcBorders>
            <w:shd w:val="clear" w:color="auto" w:fill="auto"/>
            <w:noWrap/>
            <w:vAlign w:val="center"/>
            <w:hideMark/>
          </w:tcPr>
          <w:p w14:paraId="2EDB94F1"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8</w:t>
            </w:r>
          </w:p>
        </w:tc>
        <w:tc>
          <w:tcPr>
            <w:tcW w:w="1224" w:type="pct"/>
            <w:tcBorders>
              <w:top w:val="nil"/>
              <w:left w:val="nil"/>
              <w:bottom w:val="single" w:sz="4" w:space="0" w:color="auto"/>
              <w:right w:val="single" w:sz="4" w:space="0" w:color="auto"/>
            </w:tcBorders>
            <w:shd w:val="clear" w:color="auto" w:fill="auto"/>
            <w:noWrap/>
            <w:vAlign w:val="center"/>
            <w:hideMark/>
          </w:tcPr>
          <w:p w14:paraId="38EDA92F"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7.801.607</w:t>
            </w:r>
          </w:p>
        </w:tc>
      </w:tr>
      <w:tr w:rsidR="00F24E18" w:rsidRPr="002505F4" w14:paraId="198D2F8E"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229AFEF6"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2F33E348" w14:textId="77777777" w:rsidR="00F24E18" w:rsidRPr="002505F4" w:rsidRDefault="00F24E18" w:rsidP="000E18B5">
            <w:pPr>
              <w:spacing w:after="0" w:line="240" w:lineRule="auto"/>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Skupaj</w:t>
            </w:r>
          </w:p>
        </w:tc>
        <w:tc>
          <w:tcPr>
            <w:tcW w:w="803" w:type="pct"/>
            <w:tcBorders>
              <w:top w:val="nil"/>
              <w:left w:val="nil"/>
              <w:bottom w:val="single" w:sz="4" w:space="0" w:color="auto"/>
              <w:right w:val="single" w:sz="4" w:space="0" w:color="auto"/>
            </w:tcBorders>
            <w:shd w:val="clear" w:color="auto" w:fill="auto"/>
            <w:noWrap/>
            <w:vAlign w:val="center"/>
            <w:hideMark/>
          </w:tcPr>
          <w:p w14:paraId="74A318AB" w14:textId="77777777" w:rsidR="00F24E18" w:rsidRPr="002505F4" w:rsidRDefault="00F24E18" w:rsidP="000E18B5">
            <w:pPr>
              <w:spacing w:after="0" w:line="240" w:lineRule="auto"/>
              <w:jc w:val="right"/>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400</w:t>
            </w:r>
          </w:p>
        </w:tc>
        <w:tc>
          <w:tcPr>
            <w:tcW w:w="1224" w:type="pct"/>
            <w:tcBorders>
              <w:top w:val="nil"/>
              <w:left w:val="nil"/>
              <w:bottom w:val="single" w:sz="4" w:space="0" w:color="auto"/>
              <w:right w:val="single" w:sz="4" w:space="0" w:color="auto"/>
            </w:tcBorders>
            <w:shd w:val="clear" w:color="auto" w:fill="auto"/>
            <w:noWrap/>
            <w:vAlign w:val="center"/>
            <w:hideMark/>
          </w:tcPr>
          <w:p w14:paraId="2FF65E52" w14:textId="77777777" w:rsidR="00F24E18" w:rsidRPr="002505F4" w:rsidRDefault="00F24E18" w:rsidP="000E18B5">
            <w:pPr>
              <w:spacing w:after="0" w:line="240" w:lineRule="auto"/>
              <w:jc w:val="right"/>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404.333.664</w:t>
            </w:r>
          </w:p>
        </w:tc>
      </w:tr>
      <w:tr w:rsidR="00F24E18" w:rsidRPr="002505F4" w14:paraId="48A667B0" w14:textId="77777777" w:rsidTr="000E18B5">
        <w:trPr>
          <w:trHeight w:val="300"/>
        </w:trPr>
        <w:tc>
          <w:tcPr>
            <w:tcW w:w="8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66242A"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izven EU</w:t>
            </w:r>
          </w:p>
        </w:tc>
        <w:tc>
          <w:tcPr>
            <w:tcW w:w="2153" w:type="pct"/>
            <w:tcBorders>
              <w:top w:val="nil"/>
              <w:left w:val="nil"/>
              <w:bottom w:val="single" w:sz="4" w:space="0" w:color="auto"/>
              <w:right w:val="single" w:sz="4" w:space="0" w:color="auto"/>
            </w:tcBorders>
            <w:shd w:val="clear" w:color="auto" w:fill="auto"/>
            <w:noWrap/>
            <w:vAlign w:val="center"/>
            <w:hideMark/>
          </w:tcPr>
          <w:p w14:paraId="61864755"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Bosna in Hercegovina</w:t>
            </w:r>
          </w:p>
        </w:tc>
        <w:tc>
          <w:tcPr>
            <w:tcW w:w="803" w:type="pct"/>
            <w:tcBorders>
              <w:top w:val="nil"/>
              <w:left w:val="nil"/>
              <w:bottom w:val="single" w:sz="4" w:space="0" w:color="auto"/>
              <w:right w:val="single" w:sz="4" w:space="0" w:color="auto"/>
            </w:tcBorders>
            <w:shd w:val="clear" w:color="auto" w:fill="auto"/>
            <w:noWrap/>
            <w:vAlign w:val="center"/>
            <w:hideMark/>
          </w:tcPr>
          <w:p w14:paraId="776B6D2E"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w:t>
            </w:r>
          </w:p>
        </w:tc>
        <w:tc>
          <w:tcPr>
            <w:tcW w:w="1224" w:type="pct"/>
            <w:tcBorders>
              <w:top w:val="nil"/>
              <w:left w:val="nil"/>
              <w:bottom w:val="single" w:sz="4" w:space="0" w:color="auto"/>
              <w:right w:val="single" w:sz="4" w:space="0" w:color="auto"/>
            </w:tcBorders>
            <w:shd w:val="clear" w:color="auto" w:fill="auto"/>
            <w:noWrap/>
            <w:vAlign w:val="center"/>
            <w:hideMark/>
          </w:tcPr>
          <w:p w14:paraId="6F486DBA"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109.700</w:t>
            </w:r>
          </w:p>
        </w:tc>
      </w:tr>
      <w:tr w:rsidR="00F24E18" w:rsidRPr="002505F4" w14:paraId="484C6D02"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32E4B32A"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0ABA1F23"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Izrael</w:t>
            </w:r>
          </w:p>
        </w:tc>
        <w:tc>
          <w:tcPr>
            <w:tcW w:w="803" w:type="pct"/>
            <w:tcBorders>
              <w:top w:val="nil"/>
              <w:left w:val="nil"/>
              <w:bottom w:val="single" w:sz="4" w:space="0" w:color="auto"/>
              <w:right w:val="single" w:sz="4" w:space="0" w:color="auto"/>
            </w:tcBorders>
            <w:shd w:val="clear" w:color="auto" w:fill="auto"/>
            <w:noWrap/>
            <w:vAlign w:val="center"/>
            <w:hideMark/>
          </w:tcPr>
          <w:p w14:paraId="21494321"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w:t>
            </w:r>
          </w:p>
        </w:tc>
        <w:tc>
          <w:tcPr>
            <w:tcW w:w="1224" w:type="pct"/>
            <w:tcBorders>
              <w:top w:val="nil"/>
              <w:left w:val="nil"/>
              <w:bottom w:val="single" w:sz="4" w:space="0" w:color="auto"/>
              <w:right w:val="single" w:sz="4" w:space="0" w:color="auto"/>
            </w:tcBorders>
            <w:shd w:val="clear" w:color="auto" w:fill="auto"/>
            <w:noWrap/>
            <w:vAlign w:val="center"/>
            <w:hideMark/>
          </w:tcPr>
          <w:p w14:paraId="12A1126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99.990</w:t>
            </w:r>
          </w:p>
        </w:tc>
      </w:tr>
      <w:tr w:rsidR="00F24E18" w:rsidRPr="002505F4" w14:paraId="273F4D20"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36FED346"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68FBED55"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Kanada</w:t>
            </w:r>
          </w:p>
        </w:tc>
        <w:tc>
          <w:tcPr>
            <w:tcW w:w="803" w:type="pct"/>
            <w:tcBorders>
              <w:top w:val="nil"/>
              <w:left w:val="nil"/>
              <w:bottom w:val="single" w:sz="4" w:space="0" w:color="auto"/>
              <w:right w:val="single" w:sz="4" w:space="0" w:color="auto"/>
            </w:tcBorders>
            <w:shd w:val="clear" w:color="auto" w:fill="auto"/>
            <w:noWrap/>
            <w:vAlign w:val="center"/>
            <w:hideMark/>
          </w:tcPr>
          <w:p w14:paraId="23CCCBF8"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w:t>
            </w:r>
          </w:p>
        </w:tc>
        <w:tc>
          <w:tcPr>
            <w:tcW w:w="1224" w:type="pct"/>
            <w:tcBorders>
              <w:top w:val="nil"/>
              <w:left w:val="nil"/>
              <w:bottom w:val="single" w:sz="4" w:space="0" w:color="auto"/>
              <w:right w:val="single" w:sz="4" w:space="0" w:color="auto"/>
            </w:tcBorders>
            <w:shd w:val="clear" w:color="auto" w:fill="auto"/>
            <w:noWrap/>
            <w:vAlign w:val="center"/>
            <w:hideMark/>
          </w:tcPr>
          <w:p w14:paraId="02B9A6C4"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17.912</w:t>
            </w:r>
          </w:p>
        </w:tc>
      </w:tr>
      <w:tr w:rsidR="00F24E18" w:rsidRPr="002505F4" w14:paraId="468E35C2"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427E86A4"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0B000D09"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Norveška</w:t>
            </w:r>
          </w:p>
        </w:tc>
        <w:tc>
          <w:tcPr>
            <w:tcW w:w="803" w:type="pct"/>
            <w:tcBorders>
              <w:top w:val="nil"/>
              <w:left w:val="nil"/>
              <w:bottom w:val="single" w:sz="4" w:space="0" w:color="auto"/>
              <w:right w:val="single" w:sz="4" w:space="0" w:color="auto"/>
            </w:tcBorders>
            <w:shd w:val="clear" w:color="auto" w:fill="auto"/>
            <w:noWrap/>
            <w:vAlign w:val="center"/>
            <w:hideMark/>
          </w:tcPr>
          <w:p w14:paraId="1C00C260"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w:t>
            </w:r>
          </w:p>
        </w:tc>
        <w:tc>
          <w:tcPr>
            <w:tcW w:w="1224" w:type="pct"/>
            <w:tcBorders>
              <w:top w:val="nil"/>
              <w:left w:val="nil"/>
              <w:bottom w:val="single" w:sz="4" w:space="0" w:color="auto"/>
              <w:right w:val="single" w:sz="4" w:space="0" w:color="auto"/>
            </w:tcBorders>
            <w:shd w:val="clear" w:color="auto" w:fill="auto"/>
            <w:noWrap/>
            <w:vAlign w:val="center"/>
            <w:hideMark/>
          </w:tcPr>
          <w:p w14:paraId="642DA7E0"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295.725</w:t>
            </w:r>
          </w:p>
        </w:tc>
      </w:tr>
      <w:tr w:rsidR="00F24E18" w:rsidRPr="002505F4" w14:paraId="27C4F189"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58B13734"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219FBD07"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Singapur</w:t>
            </w:r>
          </w:p>
        </w:tc>
        <w:tc>
          <w:tcPr>
            <w:tcW w:w="803" w:type="pct"/>
            <w:tcBorders>
              <w:top w:val="nil"/>
              <w:left w:val="nil"/>
              <w:bottom w:val="single" w:sz="4" w:space="0" w:color="auto"/>
              <w:right w:val="single" w:sz="4" w:space="0" w:color="auto"/>
            </w:tcBorders>
            <w:shd w:val="clear" w:color="auto" w:fill="auto"/>
            <w:noWrap/>
            <w:vAlign w:val="center"/>
            <w:hideMark/>
          </w:tcPr>
          <w:p w14:paraId="0823880B"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w:t>
            </w:r>
          </w:p>
        </w:tc>
        <w:tc>
          <w:tcPr>
            <w:tcW w:w="1224" w:type="pct"/>
            <w:tcBorders>
              <w:top w:val="nil"/>
              <w:left w:val="nil"/>
              <w:bottom w:val="single" w:sz="4" w:space="0" w:color="auto"/>
              <w:right w:val="single" w:sz="4" w:space="0" w:color="auto"/>
            </w:tcBorders>
            <w:shd w:val="clear" w:color="auto" w:fill="auto"/>
            <w:noWrap/>
            <w:vAlign w:val="center"/>
            <w:hideMark/>
          </w:tcPr>
          <w:p w14:paraId="5626C0F2"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6.403.800</w:t>
            </w:r>
          </w:p>
        </w:tc>
      </w:tr>
      <w:tr w:rsidR="00F24E18" w:rsidRPr="002505F4" w14:paraId="2519FBFC"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4972E4A5"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57BA598B"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Srbija</w:t>
            </w:r>
          </w:p>
        </w:tc>
        <w:tc>
          <w:tcPr>
            <w:tcW w:w="803" w:type="pct"/>
            <w:tcBorders>
              <w:top w:val="nil"/>
              <w:left w:val="nil"/>
              <w:bottom w:val="single" w:sz="4" w:space="0" w:color="auto"/>
              <w:right w:val="single" w:sz="4" w:space="0" w:color="auto"/>
            </w:tcBorders>
            <w:shd w:val="clear" w:color="auto" w:fill="auto"/>
            <w:noWrap/>
            <w:vAlign w:val="center"/>
            <w:hideMark/>
          </w:tcPr>
          <w:p w14:paraId="230A0DE7"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9</w:t>
            </w:r>
          </w:p>
        </w:tc>
        <w:tc>
          <w:tcPr>
            <w:tcW w:w="1224" w:type="pct"/>
            <w:tcBorders>
              <w:top w:val="nil"/>
              <w:left w:val="nil"/>
              <w:bottom w:val="single" w:sz="4" w:space="0" w:color="auto"/>
              <w:right w:val="single" w:sz="4" w:space="0" w:color="auto"/>
            </w:tcBorders>
            <w:shd w:val="clear" w:color="auto" w:fill="auto"/>
            <w:noWrap/>
            <w:vAlign w:val="center"/>
            <w:hideMark/>
          </w:tcPr>
          <w:p w14:paraId="53C419AE"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2.655.938</w:t>
            </w:r>
          </w:p>
        </w:tc>
      </w:tr>
      <w:tr w:rsidR="00F24E18" w:rsidRPr="002505F4" w14:paraId="196C3B9F"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70E4A8DE"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0F2F40F1"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Švica</w:t>
            </w:r>
          </w:p>
        </w:tc>
        <w:tc>
          <w:tcPr>
            <w:tcW w:w="803" w:type="pct"/>
            <w:tcBorders>
              <w:top w:val="nil"/>
              <w:left w:val="nil"/>
              <w:bottom w:val="single" w:sz="4" w:space="0" w:color="auto"/>
              <w:right w:val="single" w:sz="4" w:space="0" w:color="auto"/>
            </w:tcBorders>
            <w:shd w:val="clear" w:color="auto" w:fill="auto"/>
            <w:noWrap/>
            <w:vAlign w:val="center"/>
            <w:hideMark/>
          </w:tcPr>
          <w:p w14:paraId="22DB0D6F"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17</w:t>
            </w:r>
          </w:p>
        </w:tc>
        <w:tc>
          <w:tcPr>
            <w:tcW w:w="1224" w:type="pct"/>
            <w:tcBorders>
              <w:top w:val="nil"/>
              <w:left w:val="nil"/>
              <w:bottom w:val="single" w:sz="4" w:space="0" w:color="auto"/>
              <w:right w:val="single" w:sz="4" w:space="0" w:color="auto"/>
            </w:tcBorders>
            <w:shd w:val="clear" w:color="auto" w:fill="auto"/>
            <w:noWrap/>
            <w:vAlign w:val="center"/>
            <w:hideMark/>
          </w:tcPr>
          <w:p w14:paraId="489F116C"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40.362.885</w:t>
            </w:r>
          </w:p>
        </w:tc>
      </w:tr>
      <w:tr w:rsidR="00F24E18" w:rsidRPr="002505F4" w14:paraId="5FB94FAB"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6837FF00"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473EA4B3"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Združene države Amerike</w:t>
            </w:r>
          </w:p>
        </w:tc>
        <w:tc>
          <w:tcPr>
            <w:tcW w:w="803" w:type="pct"/>
            <w:tcBorders>
              <w:top w:val="nil"/>
              <w:left w:val="nil"/>
              <w:bottom w:val="single" w:sz="4" w:space="0" w:color="auto"/>
              <w:right w:val="single" w:sz="4" w:space="0" w:color="auto"/>
            </w:tcBorders>
            <w:shd w:val="clear" w:color="auto" w:fill="auto"/>
            <w:noWrap/>
            <w:vAlign w:val="center"/>
            <w:hideMark/>
          </w:tcPr>
          <w:p w14:paraId="494150FA"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38</w:t>
            </w:r>
          </w:p>
        </w:tc>
        <w:tc>
          <w:tcPr>
            <w:tcW w:w="1224" w:type="pct"/>
            <w:tcBorders>
              <w:top w:val="nil"/>
              <w:left w:val="nil"/>
              <w:bottom w:val="single" w:sz="4" w:space="0" w:color="auto"/>
              <w:right w:val="single" w:sz="4" w:space="0" w:color="auto"/>
            </w:tcBorders>
            <w:shd w:val="clear" w:color="auto" w:fill="auto"/>
            <w:noWrap/>
            <w:vAlign w:val="center"/>
            <w:hideMark/>
          </w:tcPr>
          <w:p w14:paraId="69CC5A83"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9.806.465</w:t>
            </w:r>
          </w:p>
        </w:tc>
      </w:tr>
      <w:tr w:rsidR="00F24E18" w:rsidRPr="002505F4" w14:paraId="06793C16"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63324B87"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1B887647" w14:textId="77777777" w:rsidR="00F24E18" w:rsidRPr="002505F4" w:rsidRDefault="00F24E18" w:rsidP="000E18B5">
            <w:pPr>
              <w:spacing w:after="0" w:line="240" w:lineRule="auto"/>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Združeno kraljestvo</w:t>
            </w:r>
          </w:p>
        </w:tc>
        <w:tc>
          <w:tcPr>
            <w:tcW w:w="803" w:type="pct"/>
            <w:tcBorders>
              <w:top w:val="nil"/>
              <w:left w:val="nil"/>
              <w:bottom w:val="single" w:sz="4" w:space="0" w:color="auto"/>
              <w:right w:val="single" w:sz="4" w:space="0" w:color="auto"/>
            </w:tcBorders>
            <w:shd w:val="clear" w:color="auto" w:fill="auto"/>
            <w:noWrap/>
            <w:vAlign w:val="center"/>
            <w:hideMark/>
          </w:tcPr>
          <w:p w14:paraId="5D2E3B69"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14</w:t>
            </w:r>
          </w:p>
        </w:tc>
        <w:tc>
          <w:tcPr>
            <w:tcW w:w="1224" w:type="pct"/>
            <w:tcBorders>
              <w:top w:val="nil"/>
              <w:left w:val="nil"/>
              <w:bottom w:val="single" w:sz="4" w:space="0" w:color="auto"/>
              <w:right w:val="single" w:sz="4" w:space="0" w:color="auto"/>
            </w:tcBorders>
            <w:shd w:val="clear" w:color="auto" w:fill="auto"/>
            <w:noWrap/>
            <w:vAlign w:val="center"/>
            <w:hideMark/>
          </w:tcPr>
          <w:p w14:paraId="51AA1F22" w14:textId="77777777" w:rsidR="00F24E18" w:rsidRPr="002505F4" w:rsidRDefault="00F24E18" w:rsidP="000E18B5">
            <w:pPr>
              <w:spacing w:after="0" w:line="240" w:lineRule="auto"/>
              <w:jc w:val="right"/>
              <w:rPr>
                <w:rFonts w:ascii="Arial" w:eastAsia="Times New Roman" w:hAnsi="Arial" w:cs="Arial"/>
                <w:color w:val="000000"/>
                <w:sz w:val="18"/>
                <w:szCs w:val="18"/>
                <w:lang w:eastAsia="sl-SI"/>
              </w:rPr>
            </w:pPr>
            <w:r w:rsidRPr="002505F4">
              <w:rPr>
                <w:rFonts w:ascii="Arial" w:eastAsia="Times New Roman" w:hAnsi="Arial" w:cs="Arial"/>
                <w:color w:val="000000"/>
                <w:sz w:val="18"/>
                <w:szCs w:val="18"/>
                <w:lang w:eastAsia="sl-SI"/>
              </w:rPr>
              <w:t>4.230.866</w:t>
            </w:r>
          </w:p>
        </w:tc>
      </w:tr>
      <w:tr w:rsidR="00F24E18" w:rsidRPr="002505F4" w14:paraId="69F6A4A6" w14:textId="77777777" w:rsidTr="000E18B5">
        <w:trPr>
          <w:trHeight w:val="300"/>
        </w:trPr>
        <w:tc>
          <w:tcPr>
            <w:tcW w:w="820" w:type="pct"/>
            <w:vMerge/>
            <w:tcBorders>
              <w:top w:val="nil"/>
              <w:left w:val="single" w:sz="4" w:space="0" w:color="auto"/>
              <w:bottom w:val="single" w:sz="4" w:space="0" w:color="auto"/>
              <w:right w:val="single" w:sz="4" w:space="0" w:color="auto"/>
            </w:tcBorders>
            <w:vAlign w:val="center"/>
            <w:hideMark/>
          </w:tcPr>
          <w:p w14:paraId="7402DE92" w14:textId="77777777" w:rsidR="00F24E18" w:rsidRPr="002505F4" w:rsidRDefault="00F24E18" w:rsidP="000E18B5">
            <w:pPr>
              <w:spacing w:after="0" w:line="240" w:lineRule="auto"/>
              <w:rPr>
                <w:rFonts w:ascii="Arial" w:eastAsia="Times New Roman" w:hAnsi="Arial" w:cs="Arial"/>
                <w:color w:val="000000"/>
                <w:sz w:val="18"/>
                <w:szCs w:val="18"/>
                <w:lang w:eastAsia="sl-SI"/>
              </w:rPr>
            </w:pPr>
          </w:p>
        </w:tc>
        <w:tc>
          <w:tcPr>
            <w:tcW w:w="2153" w:type="pct"/>
            <w:tcBorders>
              <w:top w:val="nil"/>
              <w:left w:val="nil"/>
              <w:bottom w:val="single" w:sz="4" w:space="0" w:color="auto"/>
              <w:right w:val="single" w:sz="4" w:space="0" w:color="auto"/>
            </w:tcBorders>
            <w:shd w:val="clear" w:color="auto" w:fill="auto"/>
            <w:noWrap/>
            <w:vAlign w:val="center"/>
            <w:hideMark/>
          </w:tcPr>
          <w:p w14:paraId="2D218B4A" w14:textId="77777777" w:rsidR="00F24E18" w:rsidRPr="002505F4" w:rsidRDefault="00F24E18" w:rsidP="000E18B5">
            <w:pPr>
              <w:spacing w:after="0" w:line="240" w:lineRule="auto"/>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Skupaj</w:t>
            </w:r>
          </w:p>
        </w:tc>
        <w:tc>
          <w:tcPr>
            <w:tcW w:w="803" w:type="pct"/>
            <w:tcBorders>
              <w:top w:val="nil"/>
              <w:left w:val="nil"/>
              <w:bottom w:val="single" w:sz="4" w:space="0" w:color="auto"/>
              <w:right w:val="single" w:sz="4" w:space="0" w:color="auto"/>
            </w:tcBorders>
            <w:shd w:val="clear" w:color="auto" w:fill="auto"/>
            <w:noWrap/>
            <w:vAlign w:val="center"/>
            <w:hideMark/>
          </w:tcPr>
          <w:p w14:paraId="7AE96049" w14:textId="77777777" w:rsidR="00F24E18" w:rsidRPr="002505F4" w:rsidRDefault="00F24E18" w:rsidP="000E18B5">
            <w:pPr>
              <w:spacing w:after="0" w:line="240" w:lineRule="auto"/>
              <w:jc w:val="right"/>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84</w:t>
            </w:r>
          </w:p>
        </w:tc>
        <w:tc>
          <w:tcPr>
            <w:tcW w:w="1224" w:type="pct"/>
            <w:tcBorders>
              <w:top w:val="nil"/>
              <w:left w:val="nil"/>
              <w:bottom w:val="single" w:sz="4" w:space="0" w:color="auto"/>
              <w:right w:val="single" w:sz="4" w:space="0" w:color="auto"/>
            </w:tcBorders>
            <w:shd w:val="clear" w:color="auto" w:fill="auto"/>
            <w:noWrap/>
            <w:vAlign w:val="center"/>
            <w:hideMark/>
          </w:tcPr>
          <w:p w14:paraId="661FB885" w14:textId="77777777" w:rsidR="00F24E18" w:rsidRPr="002505F4" w:rsidRDefault="00F24E18" w:rsidP="000E18B5">
            <w:pPr>
              <w:spacing w:after="0" w:line="240" w:lineRule="auto"/>
              <w:jc w:val="right"/>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63.983.281</w:t>
            </w:r>
          </w:p>
        </w:tc>
      </w:tr>
      <w:tr w:rsidR="00F24E18" w:rsidRPr="00242E41" w14:paraId="43CFA17E" w14:textId="77777777" w:rsidTr="000E18B5">
        <w:trPr>
          <w:trHeight w:val="300"/>
        </w:trPr>
        <w:tc>
          <w:tcPr>
            <w:tcW w:w="29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176872" w14:textId="77777777" w:rsidR="00F24E18" w:rsidRPr="002505F4" w:rsidRDefault="00F24E18" w:rsidP="000E18B5">
            <w:pPr>
              <w:spacing w:after="0" w:line="240" w:lineRule="auto"/>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Skupaj</w:t>
            </w:r>
          </w:p>
        </w:tc>
        <w:tc>
          <w:tcPr>
            <w:tcW w:w="803" w:type="pct"/>
            <w:tcBorders>
              <w:top w:val="nil"/>
              <w:left w:val="nil"/>
              <w:bottom w:val="single" w:sz="4" w:space="0" w:color="auto"/>
              <w:right w:val="single" w:sz="4" w:space="0" w:color="auto"/>
            </w:tcBorders>
            <w:shd w:val="clear" w:color="auto" w:fill="F2F2F2" w:themeFill="background1" w:themeFillShade="F2"/>
            <w:noWrap/>
            <w:vAlign w:val="center"/>
            <w:hideMark/>
          </w:tcPr>
          <w:p w14:paraId="3B0EA5B8" w14:textId="77777777" w:rsidR="00F24E18" w:rsidRPr="002505F4" w:rsidRDefault="00F24E18" w:rsidP="000E18B5">
            <w:pPr>
              <w:spacing w:after="0" w:line="240" w:lineRule="auto"/>
              <w:jc w:val="right"/>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16.824</w:t>
            </w:r>
          </w:p>
        </w:tc>
        <w:tc>
          <w:tcPr>
            <w:tcW w:w="1224" w:type="pct"/>
            <w:tcBorders>
              <w:top w:val="nil"/>
              <w:left w:val="nil"/>
              <w:bottom w:val="single" w:sz="4" w:space="0" w:color="auto"/>
              <w:right w:val="single" w:sz="4" w:space="0" w:color="auto"/>
            </w:tcBorders>
            <w:shd w:val="clear" w:color="auto" w:fill="F2F2F2" w:themeFill="background1" w:themeFillShade="F2"/>
            <w:noWrap/>
            <w:vAlign w:val="center"/>
            <w:hideMark/>
          </w:tcPr>
          <w:p w14:paraId="3BF8688C" w14:textId="77777777" w:rsidR="00F24E18" w:rsidRPr="002505F4" w:rsidRDefault="00F24E18" w:rsidP="000E18B5">
            <w:pPr>
              <w:spacing w:after="0" w:line="240" w:lineRule="auto"/>
              <w:jc w:val="right"/>
              <w:rPr>
                <w:rFonts w:ascii="Arial" w:eastAsia="Times New Roman" w:hAnsi="Arial" w:cs="Arial"/>
                <w:b/>
                <w:bCs/>
                <w:color w:val="000000"/>
                <w:sz w:val="18"/>
                <w:szCs w:val="18"/>
                <w:lang w:eastAsia="sl-SI"/>
              </w:rPr>
            </w:pPr>
            <w:r w:rsidRPr="002505F4">
              <w:rPr>
                <w:rFonts w:ascii="Arial" w:eastAsia="Times New Roman" w:hAnsi="Arial" w:cs="Arial"/>
                <w:b/>
                <w:bCs/>
                <w:color w:val="000000"/>
                <w:sz w:val="18"/>
                <w:szCs w:val="18"/>
                <w:lang w:eastAsia="sl-SI"/>
              </w:rPr>
              <w:t>6.232.250.969</w:t>
            </w:r>
          </w:p>
        </w:tc>
      </w:tr>
    </w:tbl>
    <w:p w14:paraId="0F73486D" w14:textId="77777777" w:rsidR="00F24E18" w:rsidRPr="00242E41" w:rsidRDefault="00F24E18" w:rsidP="00F24E18">
      <w:pPr>
        <w:spacing w:after="0" w:line="240" w:lineRule="auto"/>
        <w:jc w:val="both"/>
        <w:rPr>
          <w:rFonts w:ascii="Arial" w:hAnsi="Arial" w:cs="Arial"/>
          <w:sz w:val="20"/>
          <w:highlight w:val="yellow"/>
        </w:rPr>
      </w:pPr>
    </w:p>
    <w:p w14:paraId="54AE356B" w14:textId="77777777" w:rsidR="00F24E18" w:rsidRPr="00DD1BC5" w:rsidRDefault="00F24E18" w:rsidP="00F24E18">
      <w:pPr>
        <w:spacing w:before="120" w:after="0" w:line="240" w:lineRule="auto"/>
        <w:jc w:val="both"/>
        <w:rPr>
          <w:rFonts w:ascii="Arial" w:hAnsi="Arial" w:cs="Arial"/>
          <w:sz w:val="20"/>
        </w:rPr>
      </w:pPr>
      <w:r w:rsidRPr="00DD1BC5">
        <w:rPr>
          <w:rFonts w:ascii="Arial" w:hAnsi="Arial" w:cs="Arial"/>
          <w:sz w:val="20"/>
        </w:rPr>
        <w:t>Preglednica 90: Javna naročila, oddana slovenskim ponudnikom, glede na regijo naročnika in regijo ponudnika</w:t>
      </w:r>
    </w:p>
    <w:p w14:paraId="3A443013"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3012"/>
        <w:gridCol w:w="3013"/>
        <w:gridCol w:w="1050"/>
        <w:gridCol w:w="2099"/>
      </w:tblGrid>
      <w:tr w:rsidR="00F24E18" w:rsidRPr="00DD1BC5" w14:paraId="7E47CC0E" w14:textId="77777777" w:rsidTr="000E18B5">
        <w:trPr>
          <w:trHeight w:val="300"/>
          <w:tblHeader/>
        </w:trPr>
        <w:tc>
          <w:tcPr>
            <w:tcW w:w="1642"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F51973" w14:textId="77777777" w:rsidR="00F24E18" w:rsidRPr="00DD1BC5" w:rsidRDefault="00F24E18" w:rsidP="000E18B5">
            <w:pPr>
              <w:spacing w:after="0" w:line="240" w:lineRule="auto"/>
              <w:jc w:val="center"/>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Regija naročnika</w:t>
            </w:r>
          </w:p>
        </w:tc>
        <w:tc>
          <w:tcPr>
            <w:tcW w:w="1642" w:type="pct"/>
            <w:tcBorders>
              <w:top w:val="single" w:sz="4" w:space="0" w:color="auto"/>
              <w:left w:val="nil"/>
              <w:bottom w:val="single" w:sz="4" w:space="0" w:color="auto"/>
              <w:right w:val="single" w:sz="4" w:space="0" w:color="auto"/>
            </w:tcBorders>
            <w:shd w:val="clear" w:color="000000" w:fill="F2F2F2"/>
            <w:noWrap/>
            <w:vAlign w:val="center"/>
            <w:hideMark/>
          </w:tcPr>
          <w:p w14:paraId="29DE34BC" w14:textId="77777777" w:rsidR="00F24E18" w:rsidRPr="00DD1BC5" w:rsidRDefault="00F24E18" w:rsidP="000E18B5">
            <w:pPr>
              <w:spacing w:after="0" w:line="240" w:lineRule="auto"/>
              <w:jc w:val="center"/>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Regija ponudnika</w:t>
            </w:r>
          </w:p>
        </w:tc>
        <w:tc>
          <w:tcPr>
            <w:tcW w:w="572" w:type="pct"/>
            <w:tcBorders>
              <w:top w:val="single" w:sz="4" w:space="0" w:color="auto"/>
              <w:left w:val="nil"/>
              <w:bottom w:val="single" w:sz="4" w:space="0" w:color="auto"/>
              <w:right w:val="single" w:sz="4" w:space="0" w:color="auto"/>
            </w:tcBorders>
            <w:shd w:val="clear" w:color="000000" w:fill="F2F2F2"/>
            <w:noWrap/>
            <w:vAlign w:val="center"/>
            <w:hideMark/>
          </w:tcPr>
          <w:p w14:paraId="4C99CF9C" w14:textId="77777777" w:rsidR="00F24E18" w:rsidRPr="00DD1BC5" w:rsidRDefault="00F24E18" w:rsidP="000E18B5">
            <w:pPr>
              <w:spacing w:after="0" w:line="240" w:lineRule="auto"/>
              <w:jc w:val="center"/>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Št. naročil</w:t>
            </w:r>
          </w:p>
        </w:tc>
        <w:tc>
          <w:tcPr>
            <w:tcW w:w="1144" w:type="pct"/>
            <w:tcBorders>
              <w:top w:val="single" w:sz="4" w:space="0" w:color="auto"/>
              <w:left w:val="nil"/>
              <w:bottom w:val="single" w:sz="4" w:space="0" w:color="auto"/>
              <w:right w:val="single" w:sz="4" w:space="0" w:color="auto"/>
            </w:tcBorders>
            <w:shd w:val="clear" w:color="000000" w:fill="F2F2F2"/>
            <w:noWrap/>
            <w:vAlign w:val="center"/>
            <w:hideMark/>
          </w:tcPr>
          <w:p w14:paraId="43BE802B" w14:textId="77777777" w:rsidR="00F24E18" w:rsidRPr="00DD1BC5" w:rsidRDefault="00F24E18" w:rsidP="000E18B5">
            <w:pPr>
              <w:spacing w:after="0" w:line="240" w:lineRule="auto"/>
              <w:jc w:val="center"/>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Pogodbena vrednost</w:t>
            </w:r>
          </w:p>
        </w:tc>
      </w:tr>
      <w:tr w:rsidR="00F24E18" w:rsidRPr="00DD1BC5" w14:paraId="093CB0E8"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6C3E82"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GORENJSKA</w:t>
            </w:r>
          </w:p>
        </w:tc>
        <w:tc>
          <w:tcPr>
            <w:tcW w:w="1642" w:type="pct"/>
            <w:tcBorders>
              <w:top w:val="nil"/>
              <w:left w:val="nil"/>
              <w:bottom w:val="single" w:sz="4" w:space="0" w:color="auto"/>
              <w:right w:val="single" w:sz="4" w:space="0" w:color="auto"/>
            </w:tcBorders>
            <w:shd w:val="clear" w:color="auto" w:fill="auto"/>
            <w:noWrap/>
            <w:vAlign w:val="center"/>
            <w:hideMark/>
          </w:tcPr>
          <w:p w14:paraId="0AA6B9CD"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GORENJSKA</w:t>
            </w:r>
          </w:p>
        </w:tc>
        <w:tc>
          <w:tcPr>
            <w:tcW w:w="572" w:type="pct"/>
            <w:tcBorders>
              <w:top w:val="nil"/>
              <w:left w:val="nil"/>
              <w:bottom w:val="single" w:sz="4" w:space="0" w:color="auto"/>
              <w:right w:val="single" w:sz="4" w:space="0" w:color="auto"/>
            </w:tcBorders>
            <w:shd w:val="clear" w:color="auto" w:fill="auto"/>
            <w:noWrap/>
            <w:vAlign w:val="center"/>
            <w:hideMark/>
          </w:tcPr>
          <w:p w14:paraId="3932A645"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358</w:t>
            </w:r>
          </w:p>
        </w:tc>
        <w:tc>
          <w:tcPr>
            <w:tcW w:w="1144" w:type="pct"/>
            <w:tcBorders>
              <w:top w:val="nil"/>
              <w:left w:val="nil"/>
              <w:bottom w:val="single" w:sz="4" w:space="0" w:color="auto"/>
              <w:right w:val="single" w:sz="4" w:space="0" w:color="auto"/>
            </w:tcBorders>
            <w:shd w:val="clear" w:color="auto" w:fill="auto"/>
            <w:noWrap/>
            <w:vAlign w:val="center"/>
            <w:hideMark/>
          </w:tcPr>
          <w:p w14:paraId="672172C4"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71.467.813</w:t>
            </w:r>
          </w:p>
        </w:tc>
      </w:tr>
      <w:tr w:rsidR="00F24E18" w:rsidRPr="00DD1BC5" w14:paraId="3D2827A9"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785B76BD"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67E73548"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2BF3F87A"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810</w:t>
            </w:r>
          </w:p>
        </w:tc>
        <w:tc>
          <w:tcPr>
            <w:tcW w:w="1144" w:type="pct"/>
            <w:tcBorders>
              <w:top w:val="nil"/>
              <w:left w:val="nil"/>
              <w:bottom w:val="single" w:sz="4" w:space="0" w:color="auto"/>
              <w:right w:val="single" w:sz="4" w:space="0" w:color="auto"/>
            </w:tcBorders>
            <w:shd w:val="clear" w:color="auto" w:fill="auto"/>
            <w:noWrap/>
            <w:vAlign w:val="center"/>
            <w:hideMark/>
          </w:tcPr>
          <w:p w14:paraId="49903AAF"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129.423.883</w:t>
            </w:r>
          </w:p>
        </w:tc>
      </w:tr>
      <w:tr w:rsidR="00F24E18" w:rsidRPr="00DD1BC5" w14:paraId="4B084755"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4886614D"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664F97D1"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16802CC2"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1.168</w:t>
            </w:r>
          </w:p>
        </w:tc>
        <w:tc>
          <w:tcPr>
            <w:tcW w:w="1144" w:type="pct"/>
            <w:tcBorders>
              <w:top w:val="nil"/>
              <w:left w:val="nil"/>
              <w:bottom w:val="single" w:sz="4" w:space="0" w:color="auto"/>
              <w:right w:val="single" w:sz="4" w:space="0" w:color="auto"/>
            </w:tcBorders>
            <w:shd w:val="clear" w:color="auto" w:fill="auto"/>
            <w:noWrap/>
            <w:vAlign w:val="center"/>
            <w:hideMark/>
          </w:tcPr>
          <w:p w14:paraId="4E41BD4E"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200.891.696</w:t>
            </w:r>
          </w:p>
        </w:tc>
      </w:tr>
      <w:tr w:rsidR="00F24E18" w:rsidRPr="00DD1BC5" w14:paraId="2292AF80"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A5543C"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GORIŠKA</w:t>
            </w:r>
          </w:p>
        </w:tc>
        <w:tc>
          <w:tcPr>
            <w:tcW w:w="1642" w:type="pct"/>
            <w:tcBorders>
              <w:top w:val="nil"/>
              <w:left w:val="nil"/>
              <w:bottom w:val="single" w:sz="4" w:space="0" w:color="auto"/>
              <w:right w:val="single" w:sz="4" w:space="0" w:color="auto"/>
            </w:tcBorders>
            <w:shd w:val="clear" w:color="auto" w:fill="auto"/>
            <w:noWrap/>
            <w:vAlign w:val="center"/>
            <w:hideMark/>
          </w:tcPr>
          <w:p w14:paraId="3C9D38CB"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GORIŠKA</w:t>
            </w:r>
          </w:p>
        </w:tc>
        <w:tc>
          <w:tcPr>
            <w:tcW w:w="572" w:type="pct"/>
            <w:tcBorders>
              <w:top w:val="nil"/>
              <w:left w:val="nil"/>
              <w:bottom w:val="single" w:sz="4" w:space="0" w:color="auto"/>
              <w:right w:val="single" w:sz="4" w:space="0" w:color="auto"/>
            </w:tcBorders>
            <w:shd w:val="clear" w:color="auto" w:fill="auto"/>
            <w:noWrap/>
            <w:vAlign w:val="center"/>
            <w:hideMark/>
          </w:tcPr>
          <w:p w14:paraId="7698AA05"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255</w:t>
            </w:r>
          </w:p>
        </w:tc>
        <w:tc>
          <w:tcPr>
            <w:tcW w:w="1144" w:type="pct"/>
            <w:tcBorders>
              <w:top w:val="nil"/>
              <w:left w:val="nil"/>
              <w:bottom w:val="single" w:sz="4" w:space="0" w:color="auto"/>
              <w:right w:val="single" w:sz="4" w:space="0" w:color="auto"/>
            </w:tcBorders>
            <w:shd w:val="clear" w:color="auto" w:fill="auto"/>
            <w:noWrap/>
            <w:vAlign w:val="center"/>
            <w:hideMark/>
          </w:tcPr>
          <w:p w14:paraId="59BF7FB2"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48.080.541</w:t>
            </w:r>
          </w:p>
        </w:tc>
      </w:tr>
      <w:tr w:rsidR="00F24E18" w:rsidRPr="00DD1BC5" w14:paraId="1886EFD7"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70638130"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345FF76A"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60A3636A"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624</w:t>
            </w:r>
          </w:p>
        </w:tc>
        <w:tc>
          <w:tcPr>
            <w:tcW w:w="1144" w:type="pct"/>
            <w:tcBorders>
              <w:top w:val="nil"/>
              <w:left w:val="nil"/>
              <w:bottom w:val="single" w:sz="4" w:space="0" w:color="auto"/>
              <w:right w:val="single" w:sz="4" w:space="0" w:color="auto"/>
            </w:tcBorders>
            <w:shd w:val="clear" w:color="auto" w:fill="auto"/>
            <w:noWrap/>
            <w:vAlign w:val="center"/>
            <w:hideMark/>
          </w:tcPr>
          <w:p w14:paraId="7729C567"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79.903.769</w:t>
            </w:r>
          </w:p>
        </w:tc>
      </w:tr>
      <w:tr w:rsidR="00F24E18" w:rsidRPr="00DD1BC5" w14:paraId="2F049888"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0BABC27B"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5750A513"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4BD9B32D"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879</w:t>
            </w:r>
          </w:p>
        </w:tc>
        <w:tc>
          <w:tcPr>
            <w:tcW w:w="1144" w:type="pct"/>
            <w:tcBorders>
              <w:top w:val="nil"/>
              <w:left w:val="nil"/>
              <w:bottom w:val="single" w:sz="4" w:space="0" w:color="auto"/>
              <w:right w:val="single" w:sz="4" w:space="0" w:color="auto"/>
            </w:tcBorders>
            <w:shd w:val="clear" w:color="auto" w:fill="auto"/>
            <w:noWrap/>
            <w:vAlign w:val="center"/>
            <w:hideMark/>
          </w:tcPr>
          <w:p w14:paraId="79BBA70D"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127.984.310</w:t>
            </w:r>
          </w:p>
        </w:tc>
      </w:tr>
      <w:tr w:rsidR="00F24E18" w:rsidRPr="00DD1BC5" w14:paraId="76903B84"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5C6828"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lastRenderedPageBreak/>
              <w:t>JUGOVZHODNA SLOVENIJA</w:t>
            </w:r>
          </w:p>
        </w:tc>
        <w:tc>
          <w:tcPr>
            <w:tcW w:w="1642" w:type="pct"/>
            <w:tcBorders>
              <w:top w:val="nil"/>
              <w:left w:val="nil"/>
              <w:bottom w:val="single" w:sz="4" w:space="0" w:color="auto"/>
              <w:right w:val="single" w:sz="4" w:space="0" w:color="auto"/>
            </w:tcBorders>
            <w:shd w:val="clear" w:color="auto" w:fill="auto"/>
            <w:noWrap/>
            <w:vAlign w:val="center"/>
            <w:hideMark/>
          </w:tcPr>
          <w:p w14:paraId="1A149CB4"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JUGOVZHODNA SLOVENIJA</w:t>
            </w:r>
          </w:p>
        </w:tc>
        <w:tc>
          <w:tcPr>
            <w:tcW w:w="572" w:type="pct"/>
            <w:tcBorders>
              <w:top w:val="nil"/>
              <w:left w:val="nil"/>
              <w:bottom w:val="single" w:sz="4" w:space="0" w:color="auto"/>
              <w:right w:val="single" w:sz="4" w:space="0" w:color="auto"/>
            </w:tcBorders>
            <w:shd w:val="clear" w:color="auto" w:fill="auto"/>
            <w:noWrap/>
            <w:vAlign w:val="center"/>
            <w:hideMark/>
          </w:tcPr>
          <w:p w14:paraId="23CC5486"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133</w:t>
            </w:r>
          </w:p>
        </w:tc>
        <w:tc>
          <w:tcPr>
            <w:tcW w:w="1144" w:type="pct"/>
            <w:tcBorders>
              <w:top w:val="nil"/>
              <w:left w:val="nil"/>
              <w:bottom w:val="single" w:sz="4" w:space="0" w:color="auto"/>
              <w:right w:val="single" w:sz="4" w:space="0" w:color="auto"/>
            </w:tcBorders>
            <w:shd w:val="clear" w:color="auto" w:fill="auto"/>
            <w:noWrap/>
            <w:vAlign w:val="center"/>
            <w:hideMark/>
          </w:tcPr>
          <w:p w14:paraId="70D355D2"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34.241.715</w:t>
            </w:r>
          </w:p>
        </w:tc>
      </w:tr>
      <w:tr w:rsidR="00F24E18" w:rsidRPr="00DD1BC5" w14:paraId="5E85B363"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16483C41"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6C3C427B"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5ECF63B7"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631</w:t>
            </w:r>
          </w:p>
        </w:tc>
        <w:tc>
          <w:tcPr>
            <w:tcW w:w="1144" w:type="pct"/>
            <w:tcBorders>
              <w:top w:val="nil"/>
              <w:left w:val="nil"/>
              <w:bottom w:val="single" w:sz="4" w:space="0" w:color="auto"/>
              <w:right w:val="single" w:sz="4" w:space="0" w:color="auto"/>
            </w:tcBorders>
            <w:shd w:val="clear" w:color="auto" w:fill="auto"/>
            <w:noWrap/>
            <w:vAlign w:val="center"/>
            <w:hideMark/>
          </w:tcPr>
          <w:p w14:paraId="55314736"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186.279.190</w:t>
            </w:r>
          </w:p>
        </w:tc>
      </w:tr>
      <w:tr w:rsidR="00F24E18" w:rsidRPr="00DD1BC5" w14:paraId="29C1B9CB"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4A3FD5D3"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0DFAD8F8"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6B626959"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764</w:t>
            </w:r>
          </w:p>
        </w:tc>
        <w:tc>
          <w:tcPr>
            <w:tcW w:w="1144" w:type="pct"/>
            <w:tcBorders>
              <w:top w:val="nil"/>
              <w:left w:val="nil"/>
              <w:bottom w:val="single" w:sz="4" w:space="0" w:color="auto"/>
              <w:right w:val="single" w:sz="4" w:space="0" w:color="auto"/>
            </w:tcBorders>
            <w:shd w:val="clear" w:color="auto" w:fill="auto"/>
            <w:noWrap/>
            <w:vAlign w:val="center"/>
            <w:hideMark/>
          </w:tcPr>
          <w:p w14:paraId="39707192"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220.520.905</w:t>
            </w:r>
          </w:p>
        </w:tc>
      </w:tr>
      <w:tr w:rsidR="00F24E18" w:rsidRPr="00DD1BC5" w14:paraId="256019E6"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016CBA"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KOROŠKA</w:t>
            </w:r>
          </w:p>
        </w:tc>
        <w:tc>
          <w:tcPr>
            <w:tcW w:w="1642" w:type="pct"/>
            <w:tcBorders>
              <w:top w:val="nil"/>
              <w:left w:val="nil"/>
              <w:bottom w:val="single" w:sz="4" w:space="0" w:color="auto"/>
              <w:right w:val="single" w:sz="4" w:space="0" w:color="auto"/>
            </w:tcBorders>
            <w:shd w:val="clear" w:color="auto" w:fill="auto"/>
            <w:noWrap/>
            <w:vAlign w:val="center"/>
            <w:hideMark/>
          </w:tcPr>
          <w:p w14:paraId="39B4D617"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KOROŠKA</w:t>
            </w:r>
          </w:p>
        </w:tc>
        <w:tc>
          <w:tcPr>
            <w:tcW w:w="572" w:type="pct"/>
            <w:tcBorders>
              <w:top w:val="nil"/>
              <w:left w:val="nil"/>
              <w:bottom w:val="single" w:sz="4" w:space="0" w:color="auto"/>
              <w:right w:val="single" w:sz="4" w:space="0" w:color="auto"/>
            </w:tcBorders>
            <w:shd w:val="clear" w:color="auto" w:fill="auto"/>
            <w:noWrap/>
            <w:vAlign w:val="center"/>
            <w:hideMark/>
          </w:tcPr>
          <w:p w14:paraId="698604DF"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103</w:t>
            </w:r>
          </w:p>
        </w:tc>
        <w:tc>
          <w:tcPr>
            <w:tcW w:w="1144" w:type="pct"/>
            <w:tcBorders>
              <w:top w:val="nil"/>
              <w:left w:val="nil"/>
              <w:bottom w:val="single" w:sz="4" w:space="0" w:color="auto"/>
              <w:right w:val="single" w:sz="4" w:space="0" w:color="auto"/>
            </w:tcBorders>
            <w:shd w:val="clear" w:color="auto" w:fill="auto"/>
            <w:noWrap/>
            <w:vAlign w:val="center"/>
            <w:hideMark/>
          </w:tcPr>
          <w:p w14:paraId="5575DB04"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20.350.205</w:t>
            </w:r>
          </w:p>
        </w:tc>
      </w:tr>
      <w:tr w:rsidR="00F24E18" w:rsidRPr="00DD1BC5" w14:paraId="28BE5BD7"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72CE402D"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6D810451"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098F8EF1"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420</w:t>
            </w:r>
          </w:p>
        </w:tc>
        <w:tc>
          <w:tcPr>
            <w:tcW w:w="1144" w:type="pct"/>
            <w:tcBorders>
              <w:top w:val="nil"/>
              <w:left w:val="nil"/>
              <w:bottom w:val="single" w:sz="4" w:space="0" w:color="auto"/>
              <w:right w:val="single" w:sz="4" w:space="0" w:color="auto"/>
            </w:tcBorders>
            <w:shd w:val="clear" w:color="auto" w:fill="auto"/>
            <w:noWrap/>
            <w:vAlign w:val="center"/>
            <w:hideMark/>
          </w:tcPr>
          <w:p w14:paraId="636B5C3C"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66.907.580</w:t>
            </w:r>
          </w:p>
        </w:tc>
      </w:tr>
      <w:tr w:rsidR="00F24E18" w:rsidRPr="00DD1BC5" w14:paraId="03FCB1B1"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29D60C1E"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139B998B"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535E1747"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523</w:t>
            </w:r>
          </w:p>
        </w:tc>
        <w:tc>
          <w:tcPr>
            <w:tcW w:w="1144" w:type="pct"/>
            <w:tcBorders>
              <w:top w:val="nil"/>
              <w:left w:val="nil"/>
              <w:bottom w:val="single" w:sz="4" w:space="0" w:color="auto"/>
              <w:right w:val="single" w:sz="4" w:space="0" w:color="auto"/>
            </w:tcBorders>
            <w:shd w:val="clear" w:color="auto" w:fill="auto"/>
            <w:noWrap/>
            <w:vAlign w:val="center"/>
            <w:hideMark/>
          </w:tcPr>
          <w:p w14:paraId="5BAFD7F5"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87.257.785</w:t>
            </w:r>
          </w:p>
        </w:tc>
      </w:tr>
      <w:tr w:rsidR="00F24E18" w:rsidRPr="00DD1BC5" w14:paraId="50720EAD"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39850E"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OBALNO-KRAŠKA</w:t>
            </w:r>
          </w:p>
        </w:tc>
        <w:tc>
          <w:tcPr>
            <w:tcW w:w="1642" w:type="pct"/>
            <w:tcBorders>
              <w:top w:val="nil"/>
              <w:left w:val="nil"/>
              <w:bottom w:val="single" w:sz="4" w:space="0" w:color="auto"/>
              <w:right w:val="single" w:sz="4" w:space="0" w:color="auto"/>
            </w:tcBorders>
            <w:shd w:val="clear" w:color="auto" w:fill="auto"/>
            <w:noWrap/>
            <w:vAlign w:val="center"/>
            <w:hideMark/>
          </w:tcPr>
          <w:p w14:paraId="09B234F1"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OBALNO-KRAŠKA</w:t>
            </w:r>
          </w:p>
        </w:tc>
        <w:tc>
          <w:tcPr>
            <w:tcW w:w="572" w:type="pct"/>
            <w:tcBorders>
              <w:top w:val="nil"/>
              <w:left w:val="nil"/>
              <w:bottom w:val="single" w:sz="4" w:space="0" w:color="auto"/>
              <w:right w:val="single" w:sz="4" w:space="0" w:color="auto"/>
            </w:tcBorders>
            <w:shd w:val="clear" w:color="auto" w:fill="auto"/>
            <w:noWrap/>
            <w:vAlign w:val="center"/>
            <w:hideMark/>
          </w:tcPr>
          <w:p w14:paraId="14A5C6A3"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185</w:t>
            </w:r>
          </w:p>
        </w:tc>
        <w:tc>
          <w:tcPr>
            <w:tcW w:w="1144" w:type="pct"/>
            <w:tcBorders>
              <w:top w:val="nil"/>
              <w:left w:val="nil"/>
              <w:bottom w:val="single" w:sz="4" w:space="0" w:color="auto"/>
              <w:right w:val="single" w:sz="4" w:space="0" w:color="auto"/>
            </w:tcBorders>
            <w:shd w:val="clear" w:color="auto" w:fill="auto"/>
            <w:noWrap/>
            <w:vAlign w:val="center"/>
            <w:hideMark/>
          </w:tcPr>
          <w:p w14:paraId="36C220D3"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121.956.251</w:t>
            </w:r>
          </w:p>
        </w:tc>
      </w:tr>
      <w:tr w:rsidR="00F24E18" w:rsidRPr="00DD1BC5" w14:paraId="3848ECE9"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42A9DC63"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09789E21"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73571B7F"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801</w:t>
            </w:r>
          </w:p>
        </w:tc>
        <w:tc>
          <w:tcPr>
            <w:tcW w:w="1144" w:type="pct"/>
            <w:tcBorders>
              <w:top w:val="nil"/>
              <w:left w:val="nil"/>
              <w:bottom w:val="single" w:sz="4" w:space="0" w:color="auto"/>
              <w:right w:val="single" w:sz="4" w:space="0" w:color="auto"/>
            </w:tcBorders>
            <w:shd w:val="clear" w:color="auto" w:fill="auto"/>
            <w:noWrap/>
            <w:vAlign w:val="center"/>
            <w:hideMark/>
          </w:tcPr>
          <w:p w14:paraId="6FC6CA39"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143.193.772</w:t>
            </w:r>
          </w:p>
        </w:tc>
      </w:tr>
      <w:tr w:rsidR="00F24E18" w:rsidRPr="00DD1BC5" w14:paraId="3CD93C15"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60B57864"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2CD874B0"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07014E0C"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986</w:t>
            </w:r>
          </w:p>
        </w:tc>
        <w:tc>
          <w:tcPr>
            <w:tcW w:w="1144" w:type="pct"/>
            <w:tcBorders>
              <w:top w:val="nil"/>
              <w:left w:val="nil"/>
              <w:bottom w:val="single" w:sz="4" w:space="0" w:color="auto"/>
              <w:right w:val="single" w:sz="4" w:space="0" w:color="auto"/>
            </w:tcBorders>
            <w:shd w:val="clear" w:color="auto" w:fill="auto"/>
            <w:noWrap/>
            <w:vAlign w:val="center"/>
            <w:hideMark/>
          </w:tcPr>
          <w:p w14:paraId="581BC81F"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265.150.023</w:t>
            </w:r>
          </w:p>
        </w:tc>
      </w:tr>
      <w:tr w:rsidR="00F24E18" w:rsidRPr="00DD1BC5" w14:paraId="76E7D7C4"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E2BDE7"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OSREDNJESLOVENSKA</w:t>
            </w:r>
          </w:p>
        </w:tc>
        <w:tc>
          <w:tcPr>
            <w:tcW w:w="1642" w:type="pct"/>
            <w:tcBorders>
              <w:top w:val="nil"/>
              <w:left w:val="nil"/>
              <w:bottom w:val="single" w:sz="4" w:space="0" w:color="auto"/>
              <w:right w:val="single" w:sz="4" w:space="0" w:color="auto"/>
            </w:tcBorders>
            <w:shd w:val="clear" w:color="auto" w:fill="auto"/>
            <w:noWrap/>
            <w:vAlign w:val="center"/>
            <w:hideMark/>
          </w:tcPr>
          <w:p w14:paraId="399C43AD"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OSREDNJESLOVENSKA</w:t>
            </w:r>
          </w:p>
        </w:tc>
        <w:tc>
          <w:tcPr>
            <w:tcW w:w="572" w:type="pct"/>
            <w:tcBorders>
              <w:top w:val="nil"/>
              <w:left w:val="nil"/>
              <w:bottom w:val="single" w:sz="4" w:space="0" w:color="auto"/>
              <w:right w:val="single" w:sz="4" w:space="0" w:color="auto"/>
            </w:tcBorders>
            <w:shd w:val="clear" w:color="auto" w:fill="auto"/>
            <w:noWrap/>
            <w:vAlign w:val="center"/>
            <w:hideMark/>
          </w:tcPr>
          <w:p w14:paraId="3ADD07F5"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4.072</w:t>
            </w:r>
          </w:p>
        </w:tc>
        <w:tc>
          <w:tcPr>
            <w:tcW w:w="1144" w:type="pct"/>
            <w:tcBorders>
              <w:top w:val="nil"/>
              <w:left w:val="nil"/>
              <w:bottom w:val="single" w:sz="4" w:space="0" w:color="auto"/>
              <w:right w:val="single" w:sz="4" w:space="0" w:color="auto"/>
            </w:tcBorders>
            <w:shd w:val="clear" w:color="auto" w:fill="auto"/>
            <w:noWrap/>
            <w:vAlign w:val="center"/>
            <w:hideMark/>
          </w:tcPr>
          <w:p w14:paraId="4C87201D"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2.259.556.764</w:t>
            </w:r>
          </w:p>
        </w:tc>
      </w:tr>
      <w:tr w:rsidR="00F24E18" w:rsidRPr="00DD1BC5" w14:paraId="7113A98C"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374D753C"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31976287"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17ABA5D2"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2.197</w:t>
            </w:r>
          </w:p>
        </w:tc>
        <w:tc>
          <w:tcPr>
            <w:tcW w:w="1144" w:type="pct"/>
            <w:tcBorders>
              <w:top w:val="nil"/>
              <w:left w:val="nil"/>
              <w:bottom w:val="single" w:sz="4" w:space="0" w:color="auto"/>
              <w:right w:val="single" w:sz="4" w:space="0" w:color="auto"/>
            </w:tcBorders>
            <w:shd w:val="clear" w:color="auto" w:fill="auto"/>
            <w:noWrap/>
            <w:vAlign w:val="center"/>
            <w:hideMark/>
          </w:tcPr>
          <w:p w14:paraId="2F05156C"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1.043.316.967</w:t>
            </w:r>
          </w:p>
        </w:tc>
      </w:tr>
      <w:tr w:rsidR="00F24E18" w:rsidRPr="00DD1BC5" w14:paraId="71E0D873"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1A5C4D7B"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621537A1"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6304146C"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6.269</w:t>
            </w:r>
          </w:p>
        </w:tc>
        <w:tc>
          <w:tcPr>
            <w:tcW w:w="1144" w:type="pct"/>
            <w:tcBorders>
              <w:top w:val="nil"/>
              <w:left w:val="nil"/>
              <w:bottom w:val="single" w:sz="4" w:space="0" w:color="auto"/>
              <w:right w:val="single" w:sz="4" w:space="0" w:color="auto"/>
            </w:tcBorders>
            <w:shd w:val="clear" w:color="auto" w:fill="auto"/>
            <w:noWrap/>
            <w:vAlign w:val="center"/>
            <w:hideMark/>
          </w:tcPr>
          <w:p w14:paraId="2E905385"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3.302.873.731</w:t>
            </w:r>
          </w:p>
        </w:tc>
      </w:tr>
      <w:tr w:rsidR="00F24E18" w:rsidRPr="00DD1BC5" w14:paraId="01ADE80E"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DCAA63"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PODRAVSKA</w:t>
            </w:r>
          </w:p>
        </w:tc>
        <w:tc>
          <w:tcPr>
            <w:tcW w:w="1642" w:type="pct"/>
            <w:tcBorders>
              <w:top w:val="nil"/>
              <w:left w:val="nil"/>
              <w:bottom w:val="single" w:sz="4" w:space="0" w:color="auto"/>
              <w:right w:val="single" w:sz="4" w:space="0" w:color="auto"/>
            </w:tcBorders>
            <w:shd w:val="clear" w:color="auto" w:fill="auto"/>
            <w:noWrap/>
            <w:vAlign w:val="center"/>
            <w:hideMark/>
          </w:tcPr>
          <w:p w14:paraId="0181867D"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PODRAVSKA</w:t>
            </w:r>
          </w:p>
        </w:tc>
        <w:tc>
          <w:tcPr>
            <w:tcW w:w="572" w:type="pct"/>
            <w:tcBorders>
              <w:top w:val="nil"/>
              <w:left w:val="nil"/>
              <w:bottom w:val="single" w:sz="4" w:space="0" w:color="auto"/>
              <w:right w:val="single" w:sz="4" w:space="0" w:color="auto"/>
            </w:tcBorders>
            <w:shd w:val="clear" w:color="auto" w:fill="auto"/>
            <w:noWrap/>
            <w:vAlign w:val="center"/>
            <w:hideMark/>
          </w:tcPr>
          <w:p w14:paraId="611119D0"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809</w:t>
            </w:r>
          </w:p>
        </w:tc>
        <w:tc>
          <w:tcPr>
            <w:tcW w:w="1144" w:type="pct"/>
            <w:tcBorders>
              <w:top w:val="nil"/>
              <w:left w:val="nil"/>
              <w:bottom w:val="single" w:sz="4" w:space="0" w:color="auto"/>
              <w:right w:val="single" w:sz="4" w:space="0" w:color="auto"/>
            </w:tcBorders>
            <w:shd w:val="clear" w:color="auto" w:fill="auto"/>
            <w:noWrap/>
            <w:vAlign w:val="center"/>
            <w:hideMark/>
          </w:tcPr>
          <w:p w14:paraId="68182770"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358.223.508</w:t>
            </w:r>
          </w:p>
        </w:tc>
      </w:tr>
      <w:tr w:rsidR="00F24E18" w:rsidRPr="00DD1BC5" w14:paraId="5506DF0E"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07AC17F0"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701F042A"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70EFB602"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1.500</w:t>
            </w:r>
          </w:p>
        </w:tc>
        <w:tc>
          <w:tcPr>
            <w:tcW w:w="1144" w:type="pct"/>
            <w:tcBorders>
              <w:top w:val="nil"/>
              <w:left w:val="nil"/>
              <w:bottom w:val="single" w:sz="4" w:space="0" w:color="auto"/>
              <w:right w:val="single" w:sz="4" w:space="0" w:color="auto"/>
            </w:tcBorders>
            <w:shd w:val="clear" w:color="auto" w:fill="auto"/>
            <w:noWrap/>
            <w:vAlign w:val="center"/>
            <w:hideMark/>
          </w:tcPr>
          <w:p w14:paraId="372657E6"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505.599.501</w:t>
            </w:r>
          </w:p>
        </w:tc>
      </w:tr>
      <w:tr w:rsidR="00F24E18" w:rsidRPr="00DD1BC5" w14:paraId="24EA752A"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03A80763"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603018A3"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302DFD7B"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2.309</w:t>
            </w:r>
          </w:p>
        </w:tc>
        <w:tc>
          <w:tcPr>
            <w:tcW w:w="1144" w:type="pct"/>
            <w:tcBorders>
              <w:top w:val="nil"/>
              <w:left w:val="nil"/>
              <w:bottom w:val="single" w:sz="4" w:space="0" w:color="auto"/>
              <w:right w:val="single" w:sz="4" w:space="0" w:color="auto"/>
            </w:tcBorders>
            <w:shd w:val="clear" w:color="auto" w:fill="auto"/>
            <w:noWrap/>
            <w:vAlign w:val="center"/>
            <w:hideMark/>
          </w:tcPr>
          <w:p w14:paraId="6F623079"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863.823.009</w:t>
            </w:r>
          </w:p>
        </w:tc>
      </w:tr>
      <w:tr w:rsidR="00F24E18" w:rsidRPr="00DD1BC5" w14:paraId="1C223C2C"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9D929D"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POMURSKA</w:t>
            </w:r>
          </w:p>
        </w:tc>
        <w:tc>
          <w:tcPr>
            <w:tcW w:w="1642" w:type="pct"/>
            <w:tcBorders>
              <w:top w:val="nil"/>
              <w:left w:val="nil"/>
              <w:bottom w:val="single" w:sz="4" w:space="0" w:color="auto"/>
              <w:right w:val="single" w:sz="4" w:space="0" w:color="auto"/>
            </w:tcBorders>
            <w:shd w:val="clear" w:color="auto" w:fill="auto"/>
            <w:noWrap/>
            <w:vAlign w:val="center"/>
            <w:hideMark/>
          </w:tcPr>
          <w:p w14:paraId="250E8061"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POMURSKA</w:t>
            </w:r>
          </w:p>
        </w:tc>
        <w:tc>
          <w:tcPr>
            <w:tcW w:w="572" w:type="pct"/>
            <w:tcBorders>
              <w:top w:val="nil"/>
              <w:left w:val="nil"/>
              <w:bottom w:val="single" w:sz="4" w:space="0" w:color="auto"/>
              <w:right w:val="single" w:sz="4" w:space="0" w:color="auto"/>
            </w:tcBorders>
            <w:shd w:val="clear" w:color="auto" w:fill="auto"/>
            <w:noWrap/>
            <w:vAlign w:val="center"/>
            <w:hideMark/>
          </w:tcPr>
          <w:p w14:paraId="385FDFEE"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170</w:t>
            </w:r>
          </w:p>
        </w:tc>
        <w:tc>
          <w:tcPr>
            <w:tcW w:w="1144" w:type="pct"/>
            <w:tcBorders>
              <w:top w:val="nil"/>
              <w:left w:val="nil"/>
              <w:bottom w:val="single" w:sz="4" w:space="0" w:color="auto"/>
              <w:right w:val="single" w:sz="4" w:space="0" w:color="auto"/>
            </w:tcBorders>
            <w:shd w:val="clear" w:color="auto" w:fill="auto"/>
            <w:noWrap/>
            <w:vAlign w:val="center"/>
            <w:hideMark/>
          </w:tcPr>
          <w:p w14:paraId="511E8D5E"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27.307.423</w:t>
            </w:r>
          </w:p>
        </w:tc>
      </w:tr>
      <w:tr w:rsidR="00F24E18" w:rsidRPr="00DD1BC5" w14:paraId="7E4E9B46"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686B2279"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71166887"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03B4E474"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420</w:t>
            </w:r>
          </w:p>
        </w:tc>
        <w:tc>
          <w:tcPr>
            <w:tcW w:w="1144" w:type="pct"/>
            <w:tcBorders>
              <w:top w:val="nil"/>
              <w:left w:val="nil"/>
              <w:bottom w:val="single" w:sz="4" w:space="0" w:color="auto"/>
              <w:right w:val="single" w:sz="4" w:space="0" w:color="auto"/>
            </w:tcBorders>
            <w:shd w:val="clear" w:color="auto" w:fill="auto"/>
            <w:noWrap/>
            <w:vAlign w:val="center"/>
            <w:hideMark/>
          </w:tcPr>
          <w:p w14:paraId="4DACEEB6"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31.895.074</w:t>
            </w:r>
          </w:p>
        </w:tc>
      </w:tr>
      <w:tr w:rsidR="00F24E18" w:rsidRPr="00DD1BC5" w14:paraId="3B6B9362"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28A7C07F"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4690898D"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31F9AFA7"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590</w:t>
            </w:r>
          </w:p>
        </w:tc>
        <w:tc>
          <w:tcPr>
            <w:tcW w:w="1144" w:type="pct"/>
            <w:tcBorders>
              <w:top w:val="nil"/>
              <w:left w:val="nil"/>
              <w:bottom w:val="single" w:sz="4" w:space="0" w:color="auto"/>
              <w:right w:val="single" w:sz="4" w:space="0" w:color="auto"/>
            </w:tcBorders>
            <w:shd w:val="clear" w:color="auto" w:fill="auto"/>
            <w:noWrap/>
            <w:vAlign w:val="center"/>
            <w:hideMark/>
          </w:tcPr>
          <w:p w14:paraId="52D473CE"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59.202.497</w:t>
            </w:r>
          </w:p>
        </w:tc>
      </w:tr>
      <w:tr w:rsidR="00F24E18" w:rsidRPr="00DD1BC5" w14:paraId="6748F08E"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01DF82"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POSAVSKA</w:t>
            </w:r>
          </w:p>
        </w:tc>
        <w:tc>
          <w:tcPr>
            <w:tcW w:w="1642" w:type="pct"/>
            <w:tcBorders>
              <w:top w:val="nil"/>
              <w:left w:val="nil"/>
              <w:bottom w:val="single" w:sz="4" w:space="0" w:color="auto"/>
              <w:right w:val="single" w:sz="4" w:space="0" w:color="auto"/>
            </w:tcBorders>
            <w:shd w:val="clear" w:color="auto" w:fill="auto"/>
            <w:noWrap/>
            <w:vAlign w:val="center"/>
            <w:hideMark/>
          </w:tcPr>
          <w:p w14:paraId="47E84DF3"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POSAVSKA</w:t>
            </w:r>
          </w:p>
        </w:tc>
        <w:tc>
          <w:tcPr>
            <w:tcW w:w="572" w:type="pct"/>
            <w:tcBorders>
              <w:top w:val="nil"/>
              <w:left w:val="nil"/>
              <w:bottom w:val="single" w:sz="4" w:space="0" w:color="auto"/>
              <w:right w:val="single" w:sz="4" w:space="0" w:color="auto"/>
            </w:tcBorders>
            <w:shd w:val="clear" w:color="auto" w:fill="auto"/>
            <w:noWrap/>
            <w:vAlign w:val="center"/>
            <w:hideMark/>
          </w:tcPr>
          <w:p w14:paraId="3603474F"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129</w:t>
            </w:r>
          </w:p>
        </w:tc>
        <w:tc>
          <w:tcPr>
            <w:tcW w:w="1144" w:type="pct"/>
            <w:tcBorders>
              <w:top w:val="nil"/>
              <w:left w:val="nil"/>
              <w:bottom w:val="single" w:sz="4" w:space="0" w:color="auto"/>
              <w:right w:val="single" w:sz="4" w:space="0" w:color="auto"/>
            </w:tcBorders>
            <w:shd w:val="clear" w:color="auto" w:fill="auto"/>
            <w:noWrap/>
            <w:vAlign w:val="center"/>
            <w:hideMark/>
          </w:tcPr>
          <w:p w14:paraId="36D367FC"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29.880.628</w:t>
            </w:r>
          </w:p>
        </w:tc>
      </w:tr>
      <w:tr w:rsidR="00F24E18" w:rsidRPr="00DD1BC5" w14:paraId="73AABA4C"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744178C2"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0EC2B060"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5DF51D21"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308</w:t>
            </w:r>
          </w:p>
        </w:tc>
        <w:tc>
          <w:tcPr>
            <w:tcW w:w="1144" w:type="pct"/>
            <w:tcBorders>
              <w:top w:val="nil"/>
              <w:left w:val="nil"/>
              <w:bottom w:val="single" w:sz="4" w:space="0" w:color="auto"/>
              <w:right w:val="single" w:sz="4" w:space="0" w:color="auto"/>
            </w:tcBorders>
            <w:shd w:val="clear" w:color="auto" w:fill="auto"/>
            <w:noWrap/>
            <w:vAlign w:val="center"/>
            <w:hideMark/>
          </w:tcPr>
          <w:p w14:paraId="1F6B550E"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64.818.353</w:t>
            </w:r>
          </w:p>
        </w:tc>
      </w:tr>
      <w:tr w:rsidR="00F24E18" w:rsidRPr="00DD1BC5" w14:paraId="53E33B74"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77B9E8FF"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322C745A"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6E7861F5"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437</w:t>
            </w:r>
          </w:p>
        </w:tc>
        <w:tc>
          <w:tcPr>
            <w:tcW w:w="1144" w:type="pct"/>
            <w:tcBorders>
              <w:top w:val="nil"/>
              <w:left w:val="nil"/>
              <w:bottom w:val="single" w:sz="4" w:space="0" w:color="auto"/>
              <w:right w:val="single" w:sz="4" w:space="0" w:color="auto"/>
            </w:tcBorders>
            <w:shd w:val="clear" w:color="auto" w:fill="auto"/>
            <w:noWrap/>
            <w:vAlign w:val="center"/>
            <w:hideMark/>
          </w:tcPr>
          <w:p w14:paraId="1B52D5DD"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94.698.981</w:t>
            </w:r>
          </w:p>
        </w:tc>
      </w:tr>
      <w:tr w:rsidR="00F24E18" w:rsidRPr="00DD1BC5" w14:paraId="31D978C1"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6CA582"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PRIMORSKO-NOTRANJSKA</w:t>
            </w:r>
          </w:p>
        </w:tc>
        <w:tc>
          <w:tcPr>
            <w:tcW w:w="1642" w:type="pct"/>
            <w:tcBorders>
              <w:top w:val="nil"/>
              <w:left w:val="nil"/>
              <w:bottom w:val="single" w:sz="4" w:space="0" w:color="auto"/>
              <w:right w:val="single" w:sz="4" w:space="0" w:color="auto"/>
            </w:tcBorders>
            <w:shd w:val="clear" w:color="auto" w:fill="auto"/>
            <w:noWrap/>
            <w:vAlign w:val="center"/>
            <w:hideMark/>
          </w:tcPr>
          <w:p w14:paraId="16165A4D"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PRIMORSKO-NOTRANJSKA</w:t>
            </w:r>
          </w:p>
        </w:tc>
        <w:tc>
          <w:tcPr>
            <w:tcW w:w="572" w:type="pct"/>
            <w:tcBorders>
              <w:top w:val="nil"/>
              <w:left w:val="nil"/>
              <w:bottom w:val="single" w:sz="4" w:space="0" w:color="auto"/>
              <w:right w:val="single" w:sz="4" w:space="0" w:color="auto"/>
            </w:tcBorders>
            <w:shd w:val="clear" w:color="auto" w:fill="auto"/>
            <w:noWrap/>
            <w:vAlign w:val="center"/>
            <w:hideMark/>
          </w:tcPr>
          <w:p w14:paraId="7292E8ED"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18</w:t>
            </w:r>
          </w:p>
        </w:tc>
        <w:tc>
          <w:tcPr>
            <w:tcW w:w="1144" w:type="pct"/>
            <w:tcBorders>
              <w:top w:val="nil"/>
              <w:left w:val="nil"/>
              <w:bottom w:val="single" w:sz="4" w:space="0" w:color="auto"/>
              <w:right w:val="single" w:sz="4" w:space="0" w:color="auto"/>
            </w:tcBorders>
            <w:shd w:val="clear" w:color="auto" w:fill="auto"/>
            <w:noWrap/>
            <w:vAlign w:val="center"/>
            <w:hideMark/>
          </w:tcPr>
          <w:p w14:paraId="08FECBB4"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2.893.687</w:t>
            </w:r>
          </w:p>
        </w:tc>
      </w:tr>
      <w:tr w:rsidR="00F24E18" w:rsidRPr="00DD1BC5" w14:paraId="70BB3753"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7EFA5F13"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661E495F"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32F1A9E3"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162</w:t>
            </w:r>
          </w:p>
        </w:tc>
        <w:tc>
          <w:tcPr>
            <w:tcW w:w="1144" w:type="pct"/>
            <w:tcBorders>
              <w:top w:val="nil"/>
              <w:left w:val="nil"/>
              <w:bottom w:val="single" w:sz="4" w:space="0" w:color="auto"/>
              <w:right w:val="single" w:sz="4" w:space="0" w:color="auto"/>
            </w:tcBorders>
            <w:shd w:val="clear" w:color="auto" w:fill="auto"/>
            <w:noWrap/>
            <w:vAlign w:val="center"/>
            <w:hideMark/>
          </w:tcPr>
          <w:p w14:paraId="7C0F4446"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25.962.742</w:t>
            </w:r>
          </w:p>
        </w:tc>
      </w:tr>
      <w:tr w:rsidR="00F24E18" w:rsidRPr="00DD1BC5" w14:paraId="1986A430"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59465BC5"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7B3B6EB4"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3212DCF0"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180</w:t>
            </w:r>
          </w:p>
        </w:tc>
        <w:tc>
          <w:tcPr>
            <w:tcW w:w="1144" w:type="pct"/>
            <w:tcBorders>
              <w:top w:val="nil"/>
              <w:left w:val="nil"/>
              <w:bottom w:val="single" w:sz="4" w:space="0" w:color="auto"/>
              <w:right w:val="single" w:sz="4" w:space="0" w:color="auto"/>
            </w:tcBorders>
            <w:shd w:val="clear" w:color="auto" w:fill="auto"/>
            <w:noWrap/>
            <w:vAlign w:val="center"/>
            <w:hideMark/>
          </w:tcPr>
          <w:p w14:paraId="18B2AC3F"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28.856.429</w:t>
            </w:r>
          </w:p>
        </w:tc>
      </w:tr>
      <w:tr w:rsidR="00F24E18" w:rsidRPr="00DD1BC5" w14:paraId="65580B54"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557ADC"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SAVINJSKA</w:t>
            </w:r>
          </w:p>
        </w:tc>
        <w:tc>
          <w:tcPr>
            <w:tcW w:w="1642" w:type="pct"/>
            <w:tcBorders>
              <w:top w:val="nil"/>
              <w:left w:val="nil"/>
              <w:bottom w:val="single" w:sz="4" w:space="0" w:color="auto"/>
              <w:right w:val="single" w:sz="4" w:space="0" w:color="auto"/>
            </w:tcBorders>
            <w:shd w:val="clear" w:color="auto" w:fill="auto"/>
            <w:noWrap/>
            <w:vAlign w:val="center"/>
            <w:hideMark/>
          </w:tcPr>
          <w:p w14:paraId="33573751"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SAVINJSKA</w:t>
            </w:r>
          </w:p>
        </w:tc>
        <w:tc>
          <w:tcPr>
            <w:tcW w:w="572" w:type="pct"/>
            <w:tcBorders>
              <w:top w:val="nil"/>
              <w:left w:val="nil"/>
              <w:bottom w:val="single" w:sz="4" w:space="0" w:color="auto"/>
              <w:right w:val="single" w:sz="4" w:space="0" w:color="auto"/>
            </w:tcBorders>
            <w:shd w:val="clear" w:color="auto" w:fill="auto"/>
            <w:noWrap/>
            <w:vAlign w:val="center"/>
            <w:hideMark/>
          </w:tcPr>
          <w:p w14:paraId="33F1FFC2"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590</w:t>
            </w:r>
          </w:p>
        </w:tc>
        <w:tc>
          <w:tcPr>
            <w:tcW w:w="1144" w:type="pct"/>
            <w:tcBorders>
              <w:top w:val="nil"/>
              <w:left w:val="nil"/>
              <w:bottom w:val="single" w:sz="4" w:space="0" w:color="auto"/>
              <w:right w:val="single" w:sz="4" w:space="0" w:color="auto"/>
            </w:tcBorders>
            <w:shd w:val="clear" w:color="auto" w:fill="auto"/>
            <w:noWrap/>
            <w:vAlign w:val="center"/>
            <w:hideMark/>
          </w:tcPr>
          <w:p w14:paraId="65ED8D71"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137.268.980</w:t>
            </w:r>
          </w:p>
        </w:tc>
      </w:tr>
      <w:tr w:rsidR="00F24E18" w:rsidRPr="00DD1BC5" w14:paraId="0ECC7D57"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7DB78934"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05177B1E"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70DADEAD"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1.224</w:t>
            </w:r>
          </w:p>
        </w:tc>
        <w:tc>
          <w:tcPr>
            <w:tcW w:w="1144" w:type="pct"/>
            <w:tcBorders>
              <w:top w:val="nil"/>
              <w:left w:val="nil"/>
              <w:bottom w:val="single" w:sz="4" w:space="0" w:color="auto"/>
              <w:right w:val="single" w:sz="4" w:space="0" w:color="auto"/>
            </w:tcBorders>
            <w:shd w:val="clear" w:color="auto" w:fill="auto"/>
            <w:noWrap/>
            <w:vAlign w:val="center"/>
            <w:hideMark/>
          </w:tcPr>
          <w:p w14:paraId="179D7635"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344.918.171</w:t>
            </w:r>
          </w:p>
        </w:tc>
      </w:tr>
      <w:tr w:rsidR="00F24E18" w:rsidRPr="00DD1BC5" w14:paraId="3A097EF0"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55F11AEA"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1DA27893"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7CF852A6"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1.814</w:t>
            </w:r>
          </w:p>
        </w:tc>
        <w:tc>
          <w:tcPr>
            <w:tcW w:w="1144" w:type="pct"/>
            <w:tcBorders>
              <w:top w:val="nil"/>
              <w:left w:val="nil"/>
              <w:bottom w:val="single" w:sz="4" w:space="0" w:color="auto"/>
              <w:right w:val="single" w:sz="4" w:space="0" w:color="auto"/>
            </w:tcBorders>
            <w:shd w:val="clear" w:color="auto" w:fill="auto"/>
            <w:noWrap/>
            <w:vAlign w:val="center"/>
            <w:hideMark/>
          </w:tcPr>
          <w:p w14:paraId="5D87B3CC"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482.187.151</w:t>
            </w:r>
          </w:p>
        </w:tc>
      </w:tr>
      <w:tr w:rsidR="00F24E18" w:rsidRPr="00DD1BC5" w14:paraId="1C99A501" w14:textId="77777777" w:rsidTr="000E18B5">
        <w:trPr>
          <w:trHeight w:val="300"/>
        </w:trPr>
        <w:tc>
          <w:tcPr>
            <w:tcW w:w="16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579142"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eastAsia="Times New Roman" w:hAnsi="Arial" w:cs="Arial"/>
                <w:color w:val="000000"/>
                <w:sz w:val="18"/>
                <w:szCs w:val="18"/>
                <w:lang w:eastAsia="sl-SI"/>
              </w:rPr>
              <w:t>ZASAVSKA</w:t>
            </w:r>
          </w:p>
        </w:tc>
        <w:tc>
          <w:tcPr>
            <w:tcW w:w="1642" w:type="pct"/>
            <w:tcBorders>
              <w:top w:val="nil"/>
              <w:left w:val="nil"/>
              <w:bottom w:val="single" w:sz="4" w:space="0" w:color="auto"/>
              <w:right w:val="single" w:sz="4" w:space="0" w:color="auto"/>
            </w:tcBorders>
            <w:shd w:val="clear" w:color="auto" w:fill="auto"/>
            <w:noWrap/>
            <w:vAlign w:val="center"/>
            <w:hideMark/>
          </w:tcPr>
          <w:p w14:paraId="4F6C632C"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ZASAVSKA</w:t>
            </w:r>
          </w:p>
        </w:tc>
        <w:tc>
          <w:tcPr>
            <w:tcW w:w="572" w:type="pct"/>
            <w:tcBorders>
              <w:top w:val="nil"/>
              <w:left w:val="nil"/>
              <w:bottom w:val="single" w:sz="4" w:space="0" w:color="auto"/>
              <w:right w:val="single" w:sz="4" w:space="0" w:color="auto"/>
            </w:tcBorders>
            <w:shd w:val="clear" w:color="auto" w:fill="auto"/>
            <w:noWrap/>
            <w:vAlign w:val="center"/>
            <w:hideMark/>
          </w:tcPr>
          <w:p w14:paraId="0C2572CB"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31</w:t>
            </w:r>
          </w:p>
        </w:tc>
        <w:tc>
          <w:tcPr>
            <w:tcW w:w="1144" w:type="pct"/>
            <w:tcBorders>
              <w:top w:val="nil"/>
              <w:left w:val="nil"/>
              <w:bottom w:val="single" w:sz="4" w:space="0" w:color="auto"/>
              <w:right w:val="single" w:sz="4" w:space="0" w:color="auto"/>
            </w:tcBorders>
            <w:shd w:val="clear" w:color="auto" w:fill="auto"/>
            <w:noWrap/>
            <w:vAlign w:val="center"/>
            <w:hideMark/>
          </w:tcPr>
          <w:p w14:paraId="13B18720"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6.733.931</w:t>
            </w:r>
          </w:p>
        </w:tc>
      </w:tr>
      <w:tr w:rsidR="00F24E18" w:rsidRPr="00DD1BC5" w14:paraId="17FFBA7D"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4D5BCAB0"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557BAC09" w14:textId="77777777" w:rsidR="00F24E18" w:rsidRPr="00DD1BC5" w:rsidRDefault="00F24E18" w:rsidP="000E18B5">
            <w:pPr>
              <w:spacing w:after="0" w:line="240" w:lineRule="auto"/>
              <w:rPr>
                <w:rFonts w:ascii="Arial" w:eastAsia="Times New Roman" w:hAnsi="Arial" w:cs="Arial"/>
                <w:color w:val="000000"/>
                <w:sz w:val="18"/>
                <w:szCs w:val="18"/>
                <w:lang w:eastAsia="sl-SI"/>
              </w:rPr>
            </w:pPr>
            <w:r w:rsidRPr="00DD1BC5">
              <w:rPr>
                <w:rFonts w:ascii="Arial" w:hAnsi="Arial" w:cs="Arial"/>
                <w:color w:val="000000"/>
                <w:sz w:val="18"/>
                <w:szCs w:val="18"/>
              </w:rPr>
              <w:t>ostale regije</w:t>
            </w:r>
          </w:p>
        </w:tc>
        <w:tc>
          <w:tcPr>
            <w:tcW w:w="572" w:type="pct"/>
            <w:tcBorders>
              <w:top w:val="nil"/>
              <w:left w:val="nil"/>
              <w:bottom w:val="single" w:sz="4" w:space="0" w:color="auto"/>
              <w:right w:val="single" w:sz="4" w:space="0" w:color="auto"/>
            </w:tcBorders>
            <w:shd w:val="clear" w:color="auto" w:fill="auto"/>
            <w:noWrap/>
            <w:vAlign w:val="center"/>
            <w:hideMark/>
          </w:tcPr>
          <w:p w14:paraId="0483B6E8"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390</w:t>
            </w:r>
          </w:p>
        </w:tc>
        <w:tc>
          <w:tcPr>
            <w:tcW w:w="1144" w:type="pct"/>
            <w:tcBorders>
              <w:top w:val="nil"/>
              <w:left w:val="nil"/>
              <w:bottom w:val="single" w:sz="4" w:space="0" w:color="auto"/>
              <w:right w:val="single" w:sz="4" w:space="0" w:color="auto"/>
            </w:tcBorders>
            <w:shd w:val="clear" w:color="auto" w:fill="auto"/>
            <w:noWrap/>
            <w:vAlign w:val="center"/>
            <w:hideMark/>
          </w:tcPr>
          <w:p w14:paraId="4C0C8965" w14:textId="77777777" w:rsidR="00F24E18" w:rsidRPr="00DD1BC5" w:rsidRDefault="00F24E18" w:rsidP="000E18B5">
            <w:pPr>
              <w:spacing w:after="0" w:line="240" w:lineRule="auto"/>
              <w:jc w:val="right"/>
              <w:rPr>
                <w:rFonts w:ascii="Arial" w:eastAsia="Times New Roman" w:hAnsi="Arial" w:cs="Arial"/>
                <w:color w:val="000000"/>
                <w:sz w:val="18"/>
                <w:szCs w:val="18"/>
                <w:lang w:eastAsia="sl-SI"/>
              </w:rPr>
            </w:pPr>
            <w:r w:rsidRPr="00DD1BC5">
              <w:rPr>
                <w:rFonts w:ascii="Arial" w:hAnsi="Arial" w:cs="Arial"/>
                <w:color w:val="000000"/>
                <w:sz w:val="18"/>
                <w:szCs w:val="18"/>
              </w:rPr>
              <w:t>23.753.576</w:t>
            </w:r>
          </w:p>
        </w:tc>
      </w:tr>
      <w:tr w:rsidR="00F24E18" w:rsidRPr="00DD1BC5" w14:paraId="64256EB4" w14:textId="77777777" w:rsidTr="000E18B5">
        <w:trPr>
          <w:trHeight w:val="300"/>
        </w:trPr>
        <w:tc>
          <w:tcPr>
            <w:tcW w:w="1642" w:type="pct"/>
            <w:vMerge/>
            <w:tcBorders>
              <w:top w:val="nil"/>
              <w:left w:val="single" w:sz="4" w:space="0" w:color="auto"/>
              <w:bottom w:val="single" w:sz="4" w:space="0" w:color="auto"/>
              <w:right w:val="single" w:sz="4" w:space="0" w:color="auto"/>
            </w:tcBorders>
            <w:vAlign w:val="center"/>
            <w:hideMark/>
          </w:tcPr>
          <w:p w14:paraId="48A21C3C" w14:textId="77777777" w:rsidR="00F24E18" w:rsidRPr="00DD1BC5" w:rsidRDefault="00F24E18" w:rsidP="000E18B5">
            <w:pPr>
              <w:spacing w:after="0" w:line="240" w:lineRule="auto"/>
              <w:rPr>
                <w:rFonts w:ascii="Arial" w:eastAsia="Times New Roman" w:hAnsi="Arial" w:cs="Arial"/>
                <w:color w:val="000000"/>
                <w:sz w:val="18"/>
                <w:szCs w:val="18"/>
                <w:lang w:eastAsia="sl-SI"/>
              </w:rPr>
            </w:pPr>
          </w:p>
        </w:tc>
        <w:tc>
          <w:tcPr>
            <w:tcW w:w="1642" w:type="pct"/>
            <w:tcBorders>
              <w:top w:val="nil"/>
              <w:left w:val="nil"/>
              <w:bottom w:val="single" w:sz="4" w:space="0" w:color="auto"/>
              <w:right w:val="single" w:sz="4" w:space="0" w:color="auto"/>
            </w:tcBorders>
            <w:shd w:val="clear" w:color="auto" w:fill="auto"/>
            <w:noWrap/>
            <w:vAlign w:val="center"/>
            <w:hideMark/>
          </w:tcPr>
          <w:p w14:paraId="0E2206F0"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auto"/>
            <w:noWrap/>
            <w:vAlign w:val="center"/>
            <w:hideMark/>
          </w:tcPr>
          <w:p w14:paraId="4A70D032"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421</w:t>
            </w:r>
          </w:p>
        </w:tc>
        <w:tc>
          <w:tcPr>
            <w:tcW w:w="1144" w:type="pct"/>
            <w:tcBorders>
              <w:top w:val="nil"/>
              <w:left w:val="nil"/>
              <w:bottom w:val="single" w:sz="4" w:space="0" w:color="auto"/>
              <w:right w:val="single" w:sz="4" w:space="0" w:color="auto"/>
            </w:tcBorders>
            <w:shd w:val="clear" w:color="auto" w:fill="auto"/>
            <w:noWrap/>
            <w:vAlign w:val="center"/>
            <w:hideMark/>
          </w:tcPr>
          <w:p w14:paraId="64EFF20B"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30.487.507</w:t>
            </w:r>
          </w:p>
        </w:tc>
      </w:tr>
      <w:tr w:rsidR="00F24E18" w:rsidRPr="00242E41" w14:paraId="550B7F64" w14:textId="77777777" w:rsidTr="000E18B5">
        <w:trPr>
          <w:trHeight w:val="300"/>
        </w:trPr>
        <w:tc>
          <w:tcPr>
            <w:tcW w:w="32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0B14E003" w14:textId="77777777" w:rsidR="00F24E18" w:rsidRPr="00DD1BC5" w:rsidRDefault="00F24E18" w:rsidP="000E18B5">
            <w:pPr>
              <w:spacing w:after="0" w:line="240" w:lineRule="auto"/>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Skupaj</w:t>
            </w:r>
          </w:p>
        </w:tc>
        <w:tc>
          <w:tcPr>
            <w:tcW w:w="572" w:type="pct"/>
            <w:tcBorders>
              <w:top w:val="nil"/>
              <w:left w:val="nil"/>
              <w:bottom w:val="single" w:sz="4" w:space="0" w:color="auto"/>
              <w:right w:val="single" w:sz="4" w:space="0" w:color="auto"/>
            </w:tcBorders>
            <w:shd w:val="clear" w:color="auto" w:fill="F2F2F2" w:themeFill="background1" w:themeFillShade="F2"/>
            <w:noWrap/>
            <w:vAlign w:val="center"/>
            <w:hideMark/>
          </w:tcPr>
          <w:p w14:paraId="3AE286CA"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16.340</w:t>
            </w:r>
          </w:p>
        </w:tc>
        <w:tc>
          <w:tcPr>
            <w:tcW w:w="1144" w:type="pct"/>
            <w:tcBorders>
              <w:top w:val="nil"/>
              <w:left w:val="nil"/>
              <w:bottom w:val="single" w:sz="4" w:space="0" w:color="auto"/>
              <w:right w:val="single" w:sz="4" w:space="0" w:color="auto"/>
            </w:tcBorders>
            <w:shd w:val="clear" w:color="auto" w:fill="F2F2F2" w:themeFill="background1" w:themeFillShade="F2"/>
            <w:noWrap/>
            <w:vAlign w:val="center"/>
            <w:hideMark/>
          </w:tcPr>
          <w:p w14:paraId="1F59D9F6" w14:textId="77777777" w:rsidR="00F24E18" w:rsidRPr="00DD1BC5" w:rsidRDefault="00F24E18" w:rsidP="000E18B5">
            <w:pPr>
              <w:spacing w:after="0" w:line="240" w:lineRule="auto"/>
              <w:jc w:val="right"/>
              <w:rPr>
                <w:rFonts w:ascii="Arial" w:eastAsia="Times New Roman" w:hAnsi="Arial" w:cs="Arial"/>
                <w:b/>
                <w:bCs/>
                <w:color w:val="000000"/>
                <w:sz w:val="18"/>
                <w:szCs w:val="18"/>
                <w:lang w:eastAsia="sl-SI"/>
              </w:rPr>
            </w:pPr>
            <w:r w:rsidRPr="00DD1BC5">
              <w:rPr>
                <w:rFonts w:ascii="Arial" w:eastAsia="Times New Roman" w:hAnsi="Arial" w:cs="Arial"/>
                <w:b/>
                <w:bCs/>
                <w:color w:val="000000"/>
                <w:sz w:val="18"/>
                <w:szCs w:val="18"/>
                <w:lang w:eastAsia="sl-SI"/>
              </w:rPr>
              <w:t>5.763.934.024</w:t>
            </w:r>
          </w:p>
        </w:tc>
      </w:tr>
    </w:tbl>
    <w:p w14:paraId="3523150B" w14:textId="77777777" w:rsidR="00F24E18" w:rsidRPr="00242E41" w:rsidRDefault="00F24E18" w:rsidP="00F24E18">
      <w:pPr>
        <w:rPr>
          <w:highlight w:val="yellow"/>
        </w:rPr>
      </w:pPr>
    </w:p>
    <w:p w14:paraId="1DEB0830" w14:textId="77777777" w:rsidR="00F24E18" w:rsidRPr="006E5C41" w:rsidRDefault="00F24E18" w:rsidP="00F24E18">
      <w:pPr>
        <w:spacing w:before="120" w:after="0" w:line="240" w:lineRule="auto"/>
        <w:jc w:val="both"/>
        <w:rPr>
          <w:rFonts w:ascii="Arial" w:hAnsi="Arial" w:cs="Arial"/>
          <w:sz w:val="20"/>
        </w:rPr>
      </w:pPr>
      <w:r w:rsidRPr="006E5C41">
        <w:rPr>
          <w:rFonts w:ascii="Arial" w:hAnsi="Arial" w:cs="Arial"/>
          <w:sz w:val="20"/>
        </w:rPr>
        <w:t xml:space="preserve">Preglednica 91: Javna naročila, oddana slovenskim ponudnikom, glede na velikost ponudnika </w:t>
      </w:r>
    </w:p>
    <w:p w14:paraId="5CA5CDF6"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2546"/>
        <w:gridCol w:w="1560"/>
        <w:gridCol w:w="1844"/>
        <w:gridCol w:w="1701"/>
        <w:gridCol w:w="1523"/>
      </w:tblGrid>
      <w:tr w:rsidR="00F24E18" w:rsidRPr="006E5C41" w14:paraId="73C3810A" w14:textId="77777777" w:rsidTr="000E18B5">
        <w:trPr>
          <w:trHeight w:val="363"/>
          <w:tblHeader/>
        </w:trPr>
        <w:tc>
          <w:tcPr>
            <w:tcW w:w="138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DB3CDE" w14:textId="77777777" w:rsidR="00F24E18" w:rsidRPr="006E5C41" w:rsidRDefault="00F24E18" w:rsidP="000E18B5">
            <w:pPr>
              <w:spacing w:after="0" w:line="240" w:lineRule="auto"/>
              <w:jc w:val="center"/>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Velikost ponudnika</w:t>
            </w:r>
          </w:p>
        </w:tc>
        <w:tc>
          <w:tcPr>
            <w:tcW w:w="850" w:type="pct"/>
            <w:tcBorders>
              <w:top w:val="single" w:sz="4" w:space="0" w:color="auto"/>
              <w:left w:val="nil"/>
              <w:bottom w:val="single" w:sz="4" w:space="0" w:color="auto"/>
              <w:right w:val="single" w:sz="4" w:space="0" w:color="auto"/>
            </w:tcBorders>
            <w:shd w:val="clear" w:color="000000" w:fill="F2F2F2"/>
            <w:noWrap/>
            <w:vAlign w:val="center"/>
            <w:hideMark/>
          </w:tcPr>
          <w:p w14:paraId="78BAFD11" w14:textId="77777777" w:rsidR="00F24E18" w:rsidRPr="006E5C41" w:rsidRDefault="00F24E18" w:rsidP="000E18B5">
            <w:pPr>
              <w:spacing w:after="0" w:line="240" w:lineRule="auto"/>
              <w:jc w:val="center"/>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Št. naročil</w:t>
            </w:r>
          </w:p>
        </w:tc>
        <w:tc>
          <w:tcPr>
            <w:tcW w:w="1005" w:type="pct"/>
            <w:tcBorders>
              <w:top w:val="single" w:sz="4" w:space="0" w:color="auto"/>
              <w:left w:val="nil"/>
              <w:bottom w:val="single" w:sz="4" w:space="0" w:color="auto"/>
              <w:right w:val="single" w:sz="4" w:space="0" w:color="auto"/>
            </w:tcBorders>
            <w:shd w:val="clear" w:color="000000" w:fill="F2F2F2"/>
            <w:noWrap/>
            <w:vAlign w:val="center"/>
            <w:hideMark/>
          </w:tcPr>
          <w:p w14:paraId="388B6F03" w14:textId="77777777" w:rsidR="00F24E18" w:rsidRPr="006E5C41" w:rsidRDefault="00F24E18" w:rsidP="000E18B5">
            <w:pPr>
              <w:spacing w:after="0" w:line="240" w:lineRule="auto"/>
              <w:jc w:val="center"/>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Pogodbena vrednost</w:t>
            </w:r>
          </w:p>
        </w:tc>
        <w:tc>
          <w:tcPr>
            <w:tcW w:w="927" w:type="pct"/>
            <w:tcBorders>
              <w:top w:val="single" w:sz="4" w:space="0" w:color="auto"/>
              <w:left w:val="nil"/>
              <w:bottom w:val="single" w:sz="4" w:space="0" w:color="auto"/>
              <w:right w:val="single" w:sz="4" w:space="0" w:color="auto"/>
            </w:tcBorders>
            <w:shd w:val="clear" w:color="000000" w:fill="F2F2F2"/>
            <w:noWrap/>
            <w:vAlign w:val="center"/>
            <w:hideMark/>
          </w:tcPr>
          <w:p w14:paraId="582E870D" w14:textId="77777777" w:rsidR="00F24E18" w:rsidRPr="006E5C41" w:rsidRDefault="00F24E18" w:rsidP="000E18B5">
            <w:pPr>
              <w:spacing w:after="0" w:line="240" w:lineRule="auto"/>
              <w:jc w:val="center"/>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Delež v št. naročil</w:t>
            </w:r>
          </w:p>
        </w:tc>
        <w:tc>
          <w:tcPr>
            <w:tcW w:w="830" w:type="pct"/>
            <w:tcBorders>
              <w:top w:val="single" w:sz="4" w:space="0" w:color="auto"/>
              <w:left w:val="nil"/>
              <w:bottom w:val="single" w:sz="4" w:space="0" w:color="auto"/>
              <w:right w:val="single" w:sz="4" w:space="0" w:color="auto"/>
            </w:tcBorders>
            <w:shd w:val="clear" w:color="000000" w:fill="F2F2F2"/>
            <w:noWrap/>
            <w:vAlign w:val="center"/>
            <w:hideMark/>
          </w:tcPr>
          <w:p w14:paraId="0BFFEA13" w14:textId="77777777" w:rsidR="00F24E18" w:rsidRPr="006E5C41" w:rsidRDefault="00F24E18" w:rsidP="000E18B5">
            <w:pPr>
              <w:spacing w:after="0" w:line="240" w:lineRule="auto"/>
              <w:jc w:val="center"/>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Delež v vrednosti</w:t>
            </w:r>
          </w:p>
        </w:tc>
      </w:tr>
      <w:tr w:rsidR="00F24E18" w:rsidRPr="006E5C41" w14:paraId="0D950419" w14:textId="77777777" w:rsidTr="000E18B5">
        <w:trPr>
          <w:trHeight w:val="327"/>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2E3A47EE" w14:textId="77777777" w:rsidR="00F24E18" w:rsidRPr="006E5C41" w:rsidRDefault="00F24E18" w:rsidP="000E18B5">
            <w:pPr>
              <w:spacing w:after="0" w:line="240" w:lineRule="auto"/>
              <w:rPr>
                <w:rFonts w:ascii="Arial" w:eastAsia="Times New Roman" w:hAnsi="Arial" w:cs="Arial"/>
                <w:color w:val="000000"/>
                <w:sz w:val="18"/>
                <w:szCs w:val="18"/>
                <w:lang w:eastAsia="sl-SI"/>
              </w:rPr>
            </w:pPr>
            <w:proofErr w:type="spellStart"/>
            <w:r w:rsidRPr="006E5C41">
              <w:rPr>
                <w:rFonts w:ascii="Arial" w:eastAsia="Times New Roman" w:hAnsi="Arial" w:cs="Arial"/>
                <w:color w:val="000000"/>
                <w:sz w:val="18"/>
                <w:szCs w:val="18"/>
                <w:lang w:eastAsia="sl-SI"/>
              </w:rPr>
              <w:t>Mikro</w:t>
            </w:r>
            <w:proofErr w:type="spellEnd"/>
            <w:r w:rsidRPr="006E5C41">
              <w:rPr>
                <w:rFonts w:ascii="Arial" w:eastAsia="Times New Roman" w:hAnsi="Arial" w:cs="Arial"/>
                <w:color w:val="000000"/>
                <w:sz w:val="18"/>
                <w:szCs w:val="18"/>
                <w:lang w:eastAsia="sl-SI"/>
              </w:rPr>
              <w:t xml:space="preserve"> enote</w:t>
            </w:r>
          </w:p>
        </w:tc>
        <w:tc>
          <w:tcPr>
            <w:tcW w:w="850" w:type="pct"/>
            <w:tcBorders>
              <w:top w:val="nil"/>
              <w:left w:val="nil"/>
              <w:bottom w:val="single" w:sz="4" w:space="0" w:color="auto"/>
              <w:right w:val="single" w:sz="4" w:space="0" w:color="auto"/>
            </w:tcBorders>
            <w:shd w:val="clear" w:color="auto" w:fill="auto"/>
            <w:vAlign w:val="center"/>
            <w:hideMark/>
          </w:tcPr>
          <w:p w14:paraId="0CE65380"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2.025</w:t>
            </w:r>
          </w:p>
        </w:tc>
        <w:tc>
          <w:tcPr>
            <w:tcW w:w="1005" w:type="pct"/>
            <w:tcBorders>
              <w:top w:val="nil"/>
              <w:left w:val="nil"/>
              <w:bottom w:val="single" w:sz="4" w:space="0" w:color="auto"/>
              <w:right w:val="single" w:sz="4" w:space="0" w:color="auto"/>
            </w:tcBorders>
            <w:shd w:val="clear" w:color="auto" w:fill="auto"/>
            <w:vAlign w:val="center"/>
            <w:hideMark/>
          </w:tcPr>
          <w:p w14:paraId="7B1E0766"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228.629.774</w:t>
            </w:r>
          </w:p>
        </w:tc>
        <w:tc>
          <w:tcPr>
            <w:tcW w:w="927" w:type="pct"/>
            <w:tcBorders>
              <w:top w:val="nil"/>
              <w:left w:val="nil"/>
              <w:bottom w:val="single" w:sz="4" w:space="0" w:color="auto"/>
              <w:right w:val="single" w:sz="4" w:space="0" w:color="auto"/>
            </w:tcBorders>
            <w:shd w:val="clear" w:color="auto" w:fill="auto"/>
            <w:noWrap/>
            <w:vAlign w:val="center"/>
            <w:hideMark/>
          </w:tcPr>
          <w:p w14:paraId="4A0ED335"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12,39 %</w:t>
            </w:r>
          </w:p>
        </w:tc>
        <w:tc>
          <w:tcPr>
            <w:tcW w:w="830" w:type="pct"/>
            <w:tcBorders>
              <w:top w:val="nil"/>
              <w:left w:val="nil"/>
              <w:bottom w:val="single" w:sz="4" w:space="0" w:color="auto"/>
              <w:right w:val="single" w:sz="4" w:space="0" w:color="auto"/>
            </w:tcBorders>
            <w:shd w:val="clear" w:color="auto" w:fill="auto"/>
            <w:noWrap/>
            <w:vAlign w:val="center"/>
            <w:hideMark/>
          </w:tcPr>
          <w:p w14:paraId="35C97B89"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3,97 %</w:t>
            </w:r>
          </w:p>
        </w:tc>
      </w:tr>
      <w:tr w:rsidR="00F24E18" w:rsidRPr="006E5C41" w14:paraId="43630DB0" w14:textId="77777777" w:rsidTr="000E18B5">
        <w:trPr>
          <w:trHeight w:val="36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28CAF7F1" w14:textId="77777777" w:rsidR="00F24E18" w:rsidRPr="006E5C41" w:rsidRDefault="00F24E18" w:rsidP="000E18B5">
            <w:pPr>
              <w:spacing w:after="0" w:line="240" w:lineRule="auto"/>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Majhne enote</w:t>
            </w:r>
          </w:p>
        </w:tc>
        <w:tc>
          <w:tcPr>
            <w:tcW w:w="850" w:type="pct"/>
            <w:tcBorders>
              <w:top w:val="nil"/>
              <w:left w:val="nil"/>
              <w:bottom w:val="single" w:sz="4" w:space="0" w:color="auto"/>
              <w:right w:val="single" w:sz="4" w:space="0" w:color="auto"/>
            </w:tcBorders>
            <w:shd w:val="clear" w:color="auto" w:fill="auto"/>
            <w:vAlign w:val="center"/>
            <w:hideMark/>
          </w:tcPr>
          <w:p w14:paraId="0D96AF9F"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5.795</w:t>
            </w:r>
          </w:p>
        </w:tc>
        <w:tc>
          <w:tcPr>
            <w:tcW w:w="1005" w:type="pct"/>
            <w:tcBorders>
              <w:top w:val="nil"/>
              <w:left w:val="nil"/>
              <w:bottom w:val="single" w:sz="4" w:space="0" w:color="auto"/>
              <w:right w:val="single" w:sz="4" w:space="0" w:color="auto"/>
            </w:tcBorders>
            <w:shd w:val="clear" w:color="auto" w:fill="auto"/>
            <w:vAlign w:val="center"/>
            <w:hideMark/>
          </w:tcPr>
          <w:p w14:paraId="68DC1CC8"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1.464.155.512</w:t>
            </w:r>
          </w:p>
        </w:tc>
        <w:tc>
          <w:tcPr>
            <w:tcW w:w="927" w:type="pct"/>
            <w:tcBorders>
              <w:top w:val="nil"/>
              <w:left w:val="nil"/>
              <w:bottom w:val="single" w:sz="4" w:space="0" w:color="auto"/>
              <w:right w:val="single" w:sz="4" w:space="0" w:color="auto"/>
            </w:tcBorders>
            <w:shd w:val="clear" w:color="auto" w:fill="auto"/>
            <w:noWrap/>
            <w:vAlign w:val="center"/>
            <w:hideMark/>
          </w:tcPr>
          <w:p w14:paraId="5F49236F"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35,47 %</w:t>
            </w:r>
          </w:p>
        </w:tc>
        <w:tc>
          <w:tcPr>
            <w:tcW w:w="830" w:type="pct"/>
            <w:tcBorders>
              <w:top w:val="nil"/>
              <w:left w:val="nil"/>
              <w:bottom w:val="single" w:sz="4" w:space="0" w:color="auto"/>
              <w:right w:val="single" w:sz="4" w:space="0" w:color="auto"/>
            </w:tcBorders>
            <w:shd w:val="clear" w:color="auto" w:fill="auto"/>
            <w:noWrap/>
            <w:vAlign w:val="center"/>
            <w:hideMark/>
          </w:tcPr>
          <w:p w14:paraId="13E1400E"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25,40 %</w:t>
            </w:r>
          </w:p>
        </w:tc>
      </w:tr>
      <w:tr w:rsidR="00F24E18" w:rsidRPr="006E5C41" w14:paraId="37BB84A0" w14:textId="77777777" w:rsidTr="000E18B5">
        <w:trPr>
          <w:trHeight w:val="36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A10E00B" w14:textId="77777777" w:rsidR="00F24E18" w:rsidRPr="006E5C41" w:rsidRDefault="00F24E18" w:rsidP="000E18B5">
            <w:pPr>
              <w:spacing w:after="0" w:line="240" w:lineRule="auto"/>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Srednje enote</w:t>
            </w:r>
          </w:p>
        </w:tc>
        <w:tc>
          <w:tcPr>
            <w:tcW w:w="850" w:type="pct"/>
            <w:tcBorders>
              <w:top w:val="nil"/>
              <w:left w:val="nil"/>
              <w:bottom w:val="single" w:sz="4" w:space="0" w:color="auto"/>
              <w:right w:val="single" w:sz="4" w:space="0" w:color="auto"/>
            </w:tcBorders>
            <w:shd w:val="clear" w:color="auto" w:fill="auto"/>
            <w:vAlign w:val="center"/>
            <w:hideMark/>
          </w:tcPr>
          <w:p w14:paraId="046FEE4D"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4.254</w:t>
            </w:r>
          </w:p>
        </w:tc>
        <w:tc>
          <w:tcPr>
            <w:tcW w:w="1005" w:type="pct"/>
            <w:tcBorders>
              <w:top w:val="nil"/>
              <w:left w:val="nil"/>
              <w:bottom w:val="single" w:sz="4" w:space="0" w:color="auto"/>
              <w:right w:val="single" w:sz="4" w:space="0" w:color="auto"/>
            </w:tcBorders>
            <w:shd w:val="clear" w:color="auto" w:fill="auto"/>
            <w:vAlign w:val="center"/>
            <w:hideMark/>
          </w:tcPr>
          <w:p w14:paraId="5515AD74"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1.278.514.511</w:t>
            </w:r>
          </w:p>
        </w:tc>
        <w:tc>
          <w:tcPr>
            <w:tcW w:w="927" w:type="pct"/>
            <w:tcBorders>
              <w:top w:val="nil"/>
              <w:left w:val="nil"/>
              <w:bottom w:val="single" w:sz="4" w:space="0" w:color="auto"/>
              <w:right w:val="single" w:sz="4" w:space="0" w:color="auto"/>
            </w:tcBorders>
            <w:shd w:val="clear" w:color="auto" w:fill="auto"/>
            <w:noWrap/>
            <w:vAlign w:val="center"/>
            <w:hideMark/>
          </w:tcPr>
          <w:p w14:paraId="3BAC1ECC"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26,03 %</w:t>
            </w:r>
          </w:p>
        </w:tc>
        <w:tc>
          <w:tcPr>
            <w:tcW w:w="830" w:type="pct"/>
            <w:tcBorders>
              <w:top w:val="nil"/>
              <w:left w:val="nil"/>
              <w:bottom w:val="single" w:sz="4" w:space="0" w:color="auto"/>
              <w:right w:val="single" w:sz="4" w:space="0" w:color="auto"/>
            </w:tcBorders>
            <w:shd w:val="clear" w:color="auto" w:fill="auto"/>
            <w:noWrap/>
            <w:vAlign w:val="center"/>
            <w:hideMark/>
          </w:tcPr>
          <w:p w14:paraId="552641EA"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22,18 %</w:t>
            </w:r>
          </w:p>
        </w:tc>
      </w:tr>
      <w:tr w:rsidR="00F24E18" w:rsidRPr="006E5C41" w14:paraId="4EC455CB" w14:textId="77777777" w:rsidTr="000E18B5">
        <w:trPr>
          <w:trHeight w:val="36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2FDBC711" w14:textId="77777777" w:rsidR="00F24E18" w:rsidRPr="006E5C41" w:rsidRDefault="00F24E18" w:rsidP="000E18B5">
            <w:pPr>
              <w:spacing w:after="0" w:line="240" w:lineRule="auto"/>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Velike enote</w:t>
            </w:r>
          </w:p>
        </w:tc>
        <w:tc>
          <w:tcPr>
            <w:tcW w:w="850" w:type="pct"/>
            <w:tcBorders>
              <w:top w:val="nil"/>
              <w:left w:val="nil"/>
              <w:bottom w:val="single" w:sz="4" w:space="0" w:color="auto"/>
              <w:right w:val="single" w:sz="4" w:space="0" w:color="auto"/>
            </w:tcBorders>
            <w:shd w:val="clear" w:color="auto" w:fill="auto"/>
            <w:vAlign w:val="center"/>
            <w:hideMark/>
          </w:tcPr>
          <w:p w14:paraId="1D70A1F5"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3.669</w:t>
            </w:r>
          </w:p>
        </w:tc>
        <w:tc>
          <w:tcPr>
            <w:tcW w:w="1005" w:type="pct"/>
            <w:tcBorders>
              <w:top w:val="nil"/>
              <w:left w:val="nil"/>
              <w:bottom w:val="single" w:sz="4" w:space="0" w:color="auto"/>
              <w:right w:val="single" w:sz="4" w:space="0" w:color="auto"/>
            </w:tcBorders>
            <w:shd w:val="clear" w:color="auto" w:fill="auto"/>
            <w:vAlign w:val="center"/>
            <w:hideMark/>
          </w:tcPr>
          <w:p w14:paraId="0501F220"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2.543.001.884</w:t>
            </w:r>
          </w:p>
        </w:tc>
        <w:tc>
          <w:tcPr>
            <w:tcW w:w="927" w:type="pct"/>
            <w:tcBorders>
              <w:top w:val="nil"/>
              <w:left w:val="nil"/>
              <w:bottom w:val="single" w:sz="4" w:space="0" w:color="auto"/>
              <w:right w:val="single" w:sz="4" w:space="0" w:color="auto"/>
            </w:tcBorders>
            <w:shd w:val="clear" w:color="auto" w:fill="auto"/>
            <w:noWrap/>
            <w:vAlign w:val="center"/>
            <w:hideMark/>
          </w:tcPr>
          <w:p w14:paraId="36B258FE"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22,45 %</w:t>
            </w:r>
          </w:p>
        </w:tc>
        <w:tc>
          <w:tcPr>
            <w:tcW w:w="830" w:type="pct"/>
            <w:tcBorders>
              <w:top w:val="nil"/>
              <w:left w:val="nil"/>
              <w:bottom w:val="single" w:sz="4" w:space="0" w:color="auto"/>
              <w:right w:val="single" w:sz="4" w:space="0" w:color="auto"/>
            </w:tcBorders>
            <w:shd w:val="clear" w:color="auto" w:fill="auto"/>
            <w:noWrap/>
            <w:vAlign w:val="center"/>
            <w:hideMark/>
          </w:tcPr>
          <w:p w14:paraId="730CD7EB"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44,12 %</w:t>
            </w:r>
          </w:p>
        </w:tc>
      </w:tr>
      <w:tr w:rsidR="00F24E18" w:rsidRPr="006E5C41" w14:paraId="27BE5522" w14:textId="77777777" w:rsidTr="000E18B5">
        <w:trPr>
          <w:trHeight w:val="36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5D1C3DA9" w14:textId="77777777" w:rsidR="00F24E18" w:rsidRPr="006E5C41" w:rsidRDefault="00F24E18" w:rsidP="000E18B5">
            <w:pPr>
              <w:spacing w:after="0" w:line="240" w:lineRule="auto"/>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Velikost RS se ne izračunava</w:t>
            </w:r>
          </w:p>
        </w:tc>
        <w:tc>
          <w:tcPr>
            <w:tcW w:w="850" w:type="pct"/>
            <w:tcBorders>
              <w:top w:val="nil"/>
              <w:left w:val="nil"/>
              <w:bottom w:val="single" w:sz="4" w:space="0" w:color="auto"/>
              <w:right w:val="single" w:sz="4" w:space="0" w:color="auto"/>
            </w:tcBorders>
            <w:shd w:val="clear" w:color="auto" w:fill="auto"/>
            <w:vAlign w:val="center"/>
            <w:hideMark/>
          </w:tcPr>
          <w:p w14:paraId="1F767255"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460</w:t>
            </w:r>
          </w:p>
        </w:tc>
        <w:tc>
          <w:tcPr>
            <w:tcW w:w="1005" w:type="pct"/>
            <w:tcBorders>
              <w:top w:val="nil"/>
              <w:left w:val="nil"/>
              <w:bottom w:val="single" w:sz="4" w:space="0" w:color="auto"/>
              <w:right w:val="single" w:sz="4" w:space="0" w:color="auto"/>
            </w:tcBorders>
            <w:shd w:val="clear" w:color="auto" w:fill="auto"/>
            <w:vAlign w:val="center"/>
            <w:hideMark/>
          </w:tcPr>
          <w:p w14:paraId="1E0CFCF9"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201.245.863</w:t>
            </w:r>
          </w:p>
        </w:tc>
        <w:tc>
          <w:tcPr>
            <w:tcW w:w="927" w:type="pct"/>
            <w:tcBorders>
              <w:top w:val="nil"/>
              <w:left w:val="nil"/>
              <w:bottom w:val="single" w:sz="4" w:space="0" w:color="auto"/>
              <w:right w:val="single" w:sz="4" w:space="0" w:color="auto"/>
            </w:tcBorders>
            <w:shd w:val="clear" w:color="auto" w:fill="auto"/>
            <w:noWrap/>
            <w:vAlign w:val="center"/>
            <w:hideMark/>
          </w:tcPr>
          <w:p w14:paraId="7351AAFB"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2,82 %</w:t>
            </w:r>
          </w:p>
        </w:tc>
        <w:tc>
          <w:tcPr>
            <w:tcW w:w="830" w:type="pct"/>
            <w:tcBorders>
              <w:top w:val="nil"/>
              <w:left w:val="nil"/>
              <w:bottom w:val="single" w:sz="4" w:space="0" w:color="auto"/>
              <w:right w:val="single" w:sz="4" w:space="0" w:color="auto"/>
            </w:tcBorders>
            <w:shd w:val="clear" w:color="auto" w:fill="auto"/>
            <w:noWrap/>
            <w:vAlign w:val="center"/>
            <w:hideMark/>
          </w:tcPr>
          <w:p w14:paraId="1F1946D0"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3,49 %</w:t>
            </w:r>
          </w:p>
        </w:tc>
      </w:tr>
      <w:tr w:rsidR="00F24E18" w:rsidRPr="006E5C41" w14:paraId="16F3BEE8" w14:textId="77777777" w:rsidTr="000E18B5">
        <w:trPr>
          <w:trHeight w:val="363"/>
        </w:trPr>
        <w:tc>
          <w:tcPr>
            <w:tcW w:w="1388" w:type="pct"/>
            <w:tcBorders>
              <w:top w:val="nil"/>
              <w:left w:val="single" w:sz="4" w:space="0" w:color="auto"/>
              <w:bottom w:val="single" w:sz="4" w:space="0" w:color="auto"/>
              <w:right w:val="single" w:sz="4" w:space="0" w:color="auto"/>
            </w:tcBorders>
            <w:shd w:val="clear" w:color="auto" w:fill="auto"/>
            <w:vAlign w:val="center"/>
            <w:hideMark/>
          </w:tcPr>
          <w:p w14:paraId="4BD4BC56" w14:textId="77777777" w:rsidR="00F24E18" w:rsidRPr="006E5C41" w:rsidRDefault="00F24E18" w:rsidP="000E18B5">
            <w:pPr>
              <w:spacing w:after="0" w:line="240" w:lineRule="auto"/>
              <w:rPr>
                <w:rFonts w:ascii="Arial" w:eastAsia="Times New Roman" w:hAnsi="Arial" w:cs="Arial"/>
                <w:color w:val="000000"/>
                <w:sz w:val="18"/>
                <w:szCs w:val="18"/>
                <w:lang w:eastAsia="sl-SI"/>
              </w:rPr>
            </w:pPr>
            <w:r w:rsidRPr="006E5C41">
              <w:rPr>
                <w:rFonts w:ascii="Arial" w:eastAsia="Times New Roman" w:hAnsi="Arial" w:cs="Arial"/>
                <w:color w:val="000000"/>
                <w:sz w:val="18"/>
                <w:szCs w:val="18"/>
                <w:lang w:eastAsia="sl-SI"/>
              </w:rPr>
              <w:t>Ni podatka o velikosti</w:t>
            </w:r>
          </w:p>
        </w:tc>
        <w:tc>
          <w:tcPr>
            <w:tcW w:w="850" w:type="pct"/>
            <w:tcBorders>
              <w:top w:val="nil"/>
              <w:left w:val="nil"/>
              <w:bottom w:val="single" w:sz="4" w:space="0" w:color="auto"/>
              <w:right w:val="single" w:sz="4" w:space="0" w:color="auto"/>
            </w:tcBorders>
            <w:shd w:val="clear" w:color="auto" w:fill="auto"/>
            <w:vAlign w:val="center"/>
            <w:hideMark/>
          </w:tcPr>
          <w:p w14:paraId="3B4A17EB"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137</w:t>
            </w:r>
          </w:p>
        </w:tc>
        <w:tc>
          <w:tcPr>
            <w:tcW w:w="1005" w:type="pct"/>
            <w:tcBorders>
              <w:top w:val="nil"/>
              <w:left w:val="nil"/>
              <w:bottom w:val="single" w:sz="4" w:space="0" w:color="auto"/>
              <w:right w:val="single" w:sz="4" w:space="0" w:color="auto"/>
            </w:tcBorders>
            <w:shd w:val="clear" w:color="auto" w:fill="auto"/>
            <w:vAlign w:val="center"/>
            <w:hideMark/>
          </w:tcPr>
          <w:p w14:paraId="248462B2"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48.386.480</w:t>
            </w:r>
          </w:p>
        </w:tc>
        <w:tc>
          <w:tcPr>
            <w:tcW w:w="927" w:type="pct"/>
            <w:tcBorders>
              <w:top w:val="nil"/>
              <w:left w:val="nil"/>
              <w:bottom w:val="single" w:sz="4" w:space="0" w:color="auto"/>
              <w:right w:val="single" w:sz="4" w:space="0" w:color="auto"/>
            </w:tcBorders>
            <w:shd w:val="clear" w:color="auto" w:fill="auto"/>
            <w:noWrap/>
            <w:vAlign w:val="center"/>
            <w:hideMark/>
          </w:tcPr>
          <w:p w14:paraId="05CB15B8"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0,84 %</w:t>
            </w:r>
          </w:p>
        </w:tc>
        <w:tc>
          <w:tcPr>
            <w:tcW w:w="830" w:type="pct"/>
            <w:tcBorders>
              <w:top w:val="nil"/>
              <w:left w:val="nil"/>
              <w:bottom w:val="single" w:sz="4" w:space="0" w:color="auto"/>
              <w:right w:val="single" w:sz="4" w:space="0" w:color="auto"/>
            </w:tcBorders>
            <w:shd w:val="clear" w:color="auto" w:fill="auto"/>
            <w:noWrap/>
            <w:vAlign w:val="center"/>
            <w:hideMark/>
          </w:tcPr>
          <w:p w14:paraId="5B0CD928" w14:textId="77777777" w:rsidR="00F24E18" w:rsidRPr="006E5C41" w:rsidRDefault="00F24E18" w:rsidP="000E18B5">
            <w:pPr>
              <w:spacing w:after="0" w:line="240" w:lineRule="auto"/>
              <w:jc w:val="right"/>
              <w:rPr>
                <w:rFonts w:ascii="Arial" w:eastAsia="Times New Roman" w:hAnsi="Arial" w:cs="Arial"/>
                <w:color w:val="000000"/>
                <w:sz w:val="18"/>
                <w:szCs w:val="18"/>
                <w:lang w:eastAsia="sl-SI"/>
              </w:rPr>
            </w:pPr>
            <w:r w:rsidRPr="006E5C41">
              <w:rPr>
                <w:rFonts w:ascii="Arial" w:hAnsi="Arial" w:cs="Arial"/>
                <w:color w:val="000000"/>
                <w:sz w:val="18"/>
                <w:szCs w:val="18"/>
              </w:rPr>
              <w:t>0,84 %</w:t>
            </w:r>
          </w:p>
        </w:tc>
      </w:tr>
      <w:tr w:rsidR="00F24E18" w:rsidRPr="006E5C41" w14:paraId="2DCECAAB" w14:textId="77777777" w:rsidTr="000E18B5">
        <w:trPr>
          <w:trHeight w:val="363"/>
        </w:trPr>
        <w:tc>
          <w:tcPr>
            <w:tcW w:w="138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EF88EC" w14:textId="77777777" w:rsidR="00F24E18" w:rsidRPr="006E5C41" w:rsidRDefault="00F24E18" w:rsidP="000E18B5">
            <w:pPr>
              <w:spacing w:after="0" w:line="240" w:lineRule="auto"/>
              <w:rPr>
                <w:rFonts w:ascii="Arial" w:eastAsia="Times New Roman" w:hAnsi="Arial" w:cs="Arial"/>
                <w:b/>
                <w:bCs/>
                <w:color w:val="000000"/>
                <w:sz w:val="18"/>
                <w:szCs w:val="18"/>
                <w:lang w:eastAsia="sl-SI"/>
              </w:rPr>
            </w:pPr>
            <w:r w:rsidRPr="006E5C41">
              <w:rPr>
                <w:rFonts w:ascii="Arial" w:eastAsia="Times New Roman" w:hAnsi="Arial" w:cs="Arial"/>
                <w:b/>
                <w:bCs/>
                <w:color w:val="000000"/>
                <w:sz w:val="18"/>
                <w:szCs w:val="18"/>
                <w:lang w:eastAsia="sl-SI"/>
              </w:rPr>
              <w:t>Skupaj</w:t>
            </w:r>
          </w:p>
        </w:tc>
        <w:tc>
          <w:tcPr>
            <w:tcW w:w="850" w:type="pct"/>
            <w:tcBorders>
              <w:top w:val="nil"/>
              <w:left w:val="nil"/>
              <w:bottom w:val="single" w:sz="4" w:space="0" w:color="auto"/>
              <w:right w:val="single" w:sz="4" w:space="0" w:color="auto"/>
            </w:tcBorders>
            <w:shd w:val="clear" w:color="auto" w:fill="F2F2F2" w:themeFill="background1" w:themeFillShade="F2"/>
            <w:noWrap/>
            <w:vAlign w:val="center"/>
            <w:hideMark/>
          </w:tcPr>
          <w:p w14:paraId="436499E1" w14:textId="77777777" w:rsidR="00F24E18" w:rsidRPr="006E5C41" w:rsidRDefault="00F24E18" w:rsidP="000E18B5">
            <w:pPr>
              <w:spacing w:after="0" w:line="240" w:lineRule="auto"/>
              <w:jc w:val="right"/>
              <w:rPr>
                <w:rFonts w:ascii="Arial" w:eastAsia="Times New Roman" w:hAnsi="Arial" w:cs="Arial"/>
                <w:b/>
                <w:bCs/>
                <w:color w:val="000000"/>
                <w:sz w:val="18"/>
                <w:szCs w:val="18"/>
                <w:lang w:eastAsia="sl-SI"/>
              </w:rPr>
            </w:pPr>
            <w:r w:rsidRPr="006E5C41">
              <w:rPr>
                <w:rFonts w:ascii="Arial" w:hAnsi="Arial" w:cs="Arial"/>
                <w:b/>
                <w:bCs/>
                <w:color w:val="000000"/>
                <w:sz w:val="18"/>
                <w:szCs w:val="18"/>
              </w:rPr>
              <w:t>16.340</w:t>
            </w:r>
          </w:p>
        </w:tc>
        <w:tc>
          <w:tcPr>
            <w:tcW w:w="1005" w:type="pct"/>
            <w:tcBorders>
              <w:top w:val="nil"/>
              <w:left w:val="nil"/>
              <w:bottom w:val="single" w:sz="4" w:space="0" w:color="auto"/>
              <w:right w:val="single" w:sz="4" w:space="0" w:color="auto"/>
            </w:tcBorders>
            <w:shd w:val="clear" w:color="auto" w:fill="F2F2F2" w:themeFill="background1" w:themeFillShade="F2"/>
            <w:noWrap/>
            <w:vAlign w:val="center"/>
            <w:hideMark/>
          </w:tcPr>
          <w:p w14:paraId="057025E8" w14:textId="77777777" w:rsidR="00F24E18" w:rsidRPr="006E5C41" w:rsidRDefault="00F24E18" w:rsidP="000E18B5">
            <w:pPr>
              <w:spacing w:after="0" w:line="240" w:lineRule="auto"/>
              <w:jc w:val="right"/>
              <w:rPr>
                <w:rFonts w:ascii="Arial" w:eastAsia="Times New Roman" w:hAnsi="Arial" w:cs="Arial"/>
                <w:b/>
                <w:bCs/>
                <w:color w:val="000000"/>
                <w:sz w:val="18"/>
                <w:szCs w:val="18"/>
                <w:lang w:eastAsia="sl-SI"/>
              </w:rPr>
            </w:pPr>
            <w:r w:rsidRPr="006E5C41">
              <w:rPr>
                <w:rFonts w:ascii="Arial" w:hAnsi="Arial" w:cs="Arial"/>
                <w:b/>
                <w:bCs/>
                <w:color w:val="000000"/>
                <w:sz w:val="18"/>
                <w:szCs w:val="18"/>
              </w:rPr>
              <w:t>5.763.934.024</w:t>
            </w:r>
          </w:p>
        </w:tc>
        <w:tc>
          <w:tcPr>
            <w:tcW w:w="927" w:type="pct"/>
            <w:tcBorders>
              <w:top w:val="nil"/>
              <w:left w:val="nil"/>
              <w:bottom w:val="single" w:sz="4" w:space="0" w:color="auto"/>
              <w:right w:val="single" w:sz="4" w:space="0" w:color="auto"/>
            </w:tcBorders>
            <w:shd w:val="clear" w:color="auto" w:fill="F2F2F2" w:themeFill="background1" w:themeFillShade="F2"/>
            <w:noWrap/>
            <w:vAlign w:val="center"/>
            <w:hideMark/>
          </w:tcPr>
          <w:p w14:paraId="3A6AEE9A" w14:textId="77777777" w:rsidR="00F24E18" w:rsidRPr="006E5C41" w:rsidRDefault="00F24E18" w:rsidP="000E18B5">
            <w:pPr>
              <w:spacing w:after="0" w:line="240" w:lineRule="auto"/>
              <w:jc w:val="right"/>
              <w:rPr>
                <w:rFonts w:ascii="Arial" w:eastAsia="Times New Roman" w:hAnsi="Arial" w:cs="Arial"/>
                <w:b/>
                <w:bCs/>
                <w:color w:val="000000"/>
                <w:sz w:val="18"/>
                <w:szCs w:val="18"/>
                <w:lang w:eastAsia="sl-SI"/>
              </w:rPr>
            </w:pPr>
            <w:r w:rsidRPr="006E5C41">
              <w:rPr>
                <w:rFonts w:ascii="Arial" w:hAnsi="Arial" w:cs="Arial"/>
                <w:b/>
                <w:bCs/>
                <w:color w:val="000000"/>
                <w:sz w:val="18"/>
                <w:szCs w:val="18"/>
              </w:rPr>
              <w:t>100,00 %</w:t>
            </w:r>
          </w:p>
        </w:tc>
        <w:tc>
          <w:tcPr>
            <w:tcW w:w="830" w:type="pct"/>
            <w:tcBorders>
              <w:top w:val="nil"/>
              <w:left w:val="nil"/>
              <w:bottom w:val="single" w:sz="4" w:space="0" w:color="auto"/>
              <w:right w:val="single" w:sz="4" w:space="0" w:color="auto"/>
            </w:tcBorders>
            <w:shd w:val="clear" w:color="auto" w:fill="F2F2F2" w:themeFill="background1" w:themeFillShade="F2"/>
            <w:noWrap/>
            <w:vAlign w:val="center"/>
            <w:hideMark/>
          </w:tcPr>
          <w:p w14:paraId="33506210" w14:textId="77777777" w:rsidR="00F24E18" w:rsidRPr="006E5C41" w:rsidRDefault="00F24E18" w:rsidP="000E18B5">
            <w:pPr>
              <w:spacing w:after="0" w:line="240" w:lineRule="auto"/>
              <w:jc w:val="right"/>
              <w:rPr>
                <w:rFonts w:ascii="Arial" w:eastAsia="Times New Roman" w:hAnsi="Arial" w:cs="Arial"/>
                <w:b/>
                <w:bCs/>
                <w:color w:val="000000"/>
                <w:sz w:val="18"/>
                <w:szCs w:val="18"/>
                <w:lang w:eastAsia="sl-SI"/>
              </w:rPr>
            </w:pPr>
            <w:r w:rsidRPr="006E5C41">
              <w:rPr>
                <w:rFonts w:ascii="Arial" w:hAnsi="Arial" w:cs="Arial"/>
                <w:b/>
                <w:bCs/>
                <w:color w:val="000000"/>
                <w:sz w:val="18"/>
                <w:szCs w:val="18"/>
              </w:rPr>
              <w:t>100,00 %</w:t>
            </w:r>
          </w:p>
        </w:tc>
      </w:tr>
    </w:tbl>
    <w:p w14:paraId="7141C734" w14:textId="77777777" w:rsidR="00F24E18" w:rsidRPr="00242E41" w:rsidRDefault="00F24E18" w:rsidP="00F24E18">
      <w:pPr>
        <w:spacing w:after="0" w:line="240" w:lineRule="auto"/>
        <w:jc w:val="both"/>
        <w:rPr>
          <w:rFonts w:ascii="Arial" w:hAnsi="Arial" w:cs="Arial"/>
          <w:sz w:val="20"/>
          <w:highlight w:val="yellow"/>
        </w:rPr>
      </w:pPr>
    </w:p>
    <w:p w14:paraId="038401DE" w14:textId="77777777" w:rsidR="00F24E18" w:rsidRPr="00710E07" w:rsidRDefault="00F24E18" w:rsidP="00F24E18">
      <w:pPr>
        <w:spacing w:before="120" w:after="0" w:line="240" w:lineRule="auto"/>
        <w:jc w:val="both"/>
        <w:rPr>
          <w:rFonts w:ascii="Arial" w:hAnsi="Arial" w:cs="Arial"/>
          <w:sz w:val="20"/>
        </w:rPr>
      </w:pPr>
      <w:r w:rsidRPr="00710E07">
        <w:rPr>
          <w:rFonts w:ascii="Arial" w:hAnsi="Arial" w:cs="Arial"/>
          <w:sz w:val="20"/>
        </w:rPr>
        <w:t>Preglednica 92: Javna naročila, oddana slovenskim ponudnikom, glede na regijo naročnika in velikost ponudnika</w:t>
      </w:r>
    </w:p>
    <w:p w14:paraId="7A484B61"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2561"/>
        <w:gridCol w:w="2651"/>
        <w:gridCol w:w="767"/>
        <w:gridCol w:w="1292"/>
        <w:gridCol w:w="951"/>
        <w:gridCol w:w="952"/>
      </w:tblGrid>
      <w:tr w:rsidR="00F24E18" w:rsidRPr="00710E07" w14:paraId="462E3907" w14:textId="77777777" w:rsidTr="000E18B5">
        <w:trPr>
          <w:trHeight w:val="912"/>
          <w:tblHeader/>
        </w:trPr>
        <w:tc>
          <w:tcPr>
            <w:tcW w:w="1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0CF1C" w14:textId="77777777" w:rsidR="00F24E18" w:rsidRPr="00710E07" w:rsidRDefault="00F24E18" w:rsidP="000E18B5">
            <w:pPr>
              <w:spacing w:after="0" w:line="240" w:lineRule="auto"/>
              <w:jc w:val="center"/>
              <w:rPr>
                <w:rFonts w:ascii="Arial" w:eastAsia="Times New Roman" w:hAnsi="Arial" w:cs="Arial"/>
                <w:color w:val="000000"/>
                <w:sz w:val="18"/>
                <w:szCs w:val="18"/>
                <w:lang w:eastAsia="sl-SI"/>
              </w:rPr>
            </w:pPr>
            <w:bookmarkStart w:id="120" w:name="_Toc369000994"/>
            <w:bookmarkStart w:id="121" w:name="_Toc398038715"/>
            <w:bookmarkStart w:id="122" w:name="_Toc398040194"/>
            <w:bookmarkStart w:id="123" w:name="_Toc398584432"/>
            <w:r w:rsidRPr="00710E07">
              <w:rPr>
                <w:rFonts w:ascii="Arial" w:eastAsia="Times New Roman" w:hAnsi="Arial" w:cs="Arial"/>
                <w:color w:val="000000"/>
                <w:sz w:val="18"/>
                <w:szCs w:val="18"/>
                <w:lang w:eastAsia="sl-SI"/>
              </w:rPr>
              <w:t>Regija naročnika</w:t>
            </w:r>
          </w:p>
        </w:tc>
        <w:tc>
          <w:tcPr>
            <w:tcW w:w="144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963D36" w14:textId="77777777" w:rsidR="00F24E18" w:rsidRPr="00710E07" w:rsidRDefault="00F24E18" w:rsidP="000E18B5">
            <w:pPr>
              <w:spacing w:after="0" w:line="240" w:lineRule="auto"/>
              <w:jc w:val="center"/>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ponudnika</w:t>
            </w:r>
          </w:p>
        </w:tc>
        <w:tc>
          <w:tcPr>
            <w:tcW w:w="41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8B72ADE" w14:textId="77777777" w:rsidR="00F24E18" w:rsidRPr="00710E07" w:rsidRDefault="00F24E18" w:rsidP="000E18B5">
            <w:pPr>
              <w:spacing w:after="0" w:line="240" w:lineRule="auto"/>
              <w:jc w:val="center"/>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Št. naročil</w:t>
            </w:r>
          </w:p>
        </w:tc>
        <w:tc>
          <w:tcPr>
            <w:tcW w:w="7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5F44FDA" w14:textId="77777777" w:rsidR="00F24E18" w:rsidRPr="00710E07" w:rsidRDefault="00F24E18" w:rsidP="000E18B5">
            <w:pPr>
              <w:spacing w:after="0" w:line="240" w:lineRule="auto"/>
              <w:jc w:val="center"/>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Pogodbena vrednost</w:t>
            </w:r>
          </w:p>
        </w:tc>
        <w:tc>
          <w:tcPr>
            <w:tcW w:w="51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A849CA" w14:textId="77777777" w:rsidR="00F24E18" w:rsidRPr="00710E07" w:rsidRDefault="00F24E18" w:rsidP="000E18B5">
            <w:pPr>
              <w:spacing w:after="0" w:line="240" w:lineRule="auto"/>
              <w:jc w:val="center"/>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Delež v št. istovrstnih naročil</w:t>
            </w:r>
          </w:p>
        </w:tc>
        <w:tc>
          <w:tcPr>
            <w:tcW w:w="51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23C44B" w14:textId="77777777" w:rsidR="00F24E18" w:rsidRPr="00710E07" w:rsidRDefault="00F24E18" w:rsidP="000E18B5">
            <w:pPr>
              <w:spacing w:after="0" w:line="240" w:lineRule="auto"/>
              <w:jc w:val="center"/>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Delež v vrednosti istovrstnih naročil</w:t>
            </w:r>
          </w:p>
        </w:tc>
      </w:tr>
      <w:tr w:rsidR="00F24E18" w:rsidRPr="00710E07" w14:paraId="4C2655BE"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4E9BD4"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GORENJSKA</w:t>
            </w:r>
          </w:p>
        </w:tc>
        <w:tc>
          <w:tcPr>
            <w:tcW w:w="1445" w:type="pct"/>
            <w:tcBorders>
              <w:top w:val="nil"/>
              <w:left w:val="nil"/>
              <w:bottom w:val="single" w:sz="4" w:space="0" w:color="auto"/>
              <w:right w:val="single" w:sz="4" w:space="0" w:color="auto"/>
            </w:tcBorders>
            <w:shd w:val="clear" w:color="auto" w:fill="auto"/>
            <w:noWrap/>
            <w:vAlign w:val="center"/>
            <w:hideMark/>
          </w:tcPr>
          <w:p w14:paraId="40BD0F7F"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3008622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126</w:t>
            </w:r>
          </w:p>
        </w:tc>
        <w:tc>
          <w:tcPr>
            <w:tcW w:w="704" w:type="pct"/>
            <w:tcBorders>
              <w:top w:val="nil"/>
              <w:left w:val="nil"/>
              <w:bottom w:val="single" w:sz="4" w:space="0" w:color="auto"/>
              <w:right w:val="single" w:sz="4" w:space="0" w:color="auto"/>
            </w:tcBorders>
            <w:shd w:val="clear" w:color="auto" w:fill="auto"/>
            <w:noWrap/>
            <w:vAlign w:val="center"/>
            <w:hideMark/>
          </w:tcPr>
          <w:p w14:paraId="4CAAB5B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14.333.345</w:t>
            </w:r>
          </w:p>
        </w:tc>
        <w:tc>
          <w:tcPr>
            <w:tcW w:w="518" w:type="pct"/>
            <w:tcBorders>
              <w:top w:val="nil"/>
              <w:left w:val="nil"/>
              <w:bottom w:val="single" w:sz="4" w:space="0" w:color="auto"/>
              <w:right w:val="single" w:sz="4" w:space="0" w:color="auto"/>
            </w:tcBorders>
            <w:shd w:val="clear" w:color="auto" w:fill="auto"/>
            <w:noWrap/>
            <w:vAlign w:val="center"/>
            <w:hideMark/>
          </w:tcPr>
          <w:p w14:paraId="4C0AA3E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10,79 %</w:t>
            </w:r>
          </w:p>
        </w:tc>
        <w:tc>
          <w:tcPr>
            <w:tcW w:w="519" w:type="pct"/>
            <w:tcBorders>
              <w:top w:val="nil"/>
              <w:left w:val="nil"/>
              <w:bottom w:val="single" w:sz="4" w:space="0" w:color="auto"/>
              <w:right w:val="single" w:sz="4" w:space="0" w:color="auto"/>
            </w:tcBorders>
            <w:shd w:val="clear" w:color="auto" w:fill="auto"/>
            <w:noWrap/>
            <w:vAlign w:val="center"/>
            <w:hideMark/>
          </w:tcPr>
          <w:p w14:paraId="4F3F582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7,13 %</w:t>
            </w:r>
          </w:p>
        </w:tc>
      </w:tr>
      <w:tr w:rsidR="00F24E18" w:rsidRPr="00710E07" w14:paraId="1A76C8B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5B437FB"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DD48FD9"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7E9F2E7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448</w:t>
            </w:r>
          </w:p>
        </w:tc>
        <w:tc>
          <w:tcPr>
            <w:tcW w:w="704" w:type="pct"/>
            <w:tcBorders>
              <w:top w:val="nil"/>
              <w:left w:val="nil"/>
              <w:bottom w:val="single" w:sz="4" w:space="0" w:color="auto"/>
              <w:right w:val="single" w:sz="4" w:space="0" w:color="auto"/>
            </w:tcBorders>
            <w:shd w:val="clear" w:color="auto" w:fill="auto"/>
            <w:noWrap/>
            <w:vAlign w:val="center"/>
            <w:hideMark/>
          </w:tcPr>
          <w:p w14:paraId="3BC601F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66.553.326</w:t>
            </w:r>
          </w:p>
        </w:tc>
        <w:tc>
          <w:tcPr>
            <w:tcW w:w="518" w:type="pct"/>
            <w:tcBorders>
              <w:top w:val="nil"/>
              <w:left w:val="nil"/>
              <w:bottom w:val="single" w:sz="4" w:space="0" w:color="auto"/>
              <w:right w:val="single" w:sz="4" w:space="0" w:color="auto"/>
            </w:tcBorders>
            <w:shd w:val="clear" w:color="auto" w:fill="auto"/>
            <w:noWrap/>
            <w:vAlign w:val="center"/>
            <w:hideMark/>
          </w:tcPr>
          <w:p w14:paraId="3645404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38,36 %</w:t>
            </w:r>
          </w:p>
        </w:tc>
        <w:tc>
          <w:tcPr>
            <w:tcW w:w="519" w:type="pct"/>
            <w:tcBorders>
              <w:top w:val="nil"/>
              <w:left w:val="nil"/>
              <w:bottom w:val="single" w:sz="4" w:space="0" w:color="auto"/>
              <w:right w:val="single" w:sz="4" w:space="0" w:color="auto"/>
            </w:tcBorders>
            <w:shd w:val="clear" w:color="auto" w:fill="auto"/>
            <w:noWrap/>
            <w:vAlign w:val="center"/>
            <w:hideMark/>
          </w:tcPr>
          <w:p w14:paraId="19C0F4A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33,13 %</w:t>
            </w:r>
          </w:p>
        </w:tc>
      </w:tr>
      <w:tr w:rsidR="00F24E18" w:rsidRPr="00710E07" w14:paraId="3BB9B666"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9FE0B36"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0200F974"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7A6E7AA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324</w:t>
            </w:r>
          </w:p>
        </w:tc>
        <w:tc>
          <w:tcPr>
            <w:tcW w:w="704" w:type="pct"/>
            <w:tcBorders>
              <w:top w:val="nil"/>
              <w:left w:val="nil"/>
              <w:bottom w:val="single" w:sz="4" w:space="0" w:color="auto"/>
              <w:right w:val="single" w:sz="4" w:space="0" w:color="auto"/>
            </w:tcBorders>
            <w:shd w:val="clear" w:color="auto" w:fill="auto"/>
            <w:noWrap/>
            <w:vAlign w:val="center"/>
            <w:hideMark/>
          </w:tcPr>
          <w:p w14:paraId="7B645C9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51.989.427</w:t>
            </w:r>
          </w:p>
        </w:tc>
        <w:tc>
          <w:tcPr>
            <w:tcW w:w="518" w:type="pct"/>
            <w:tcBorders>
              <w:top w:val="nil"/>
              <w:left w:val="nil"/>
              <w:bottom w:val="single" w:sz="4" w:space="0" w:color="auto"/>
              <w:right w:val="single" w:sz="4" w:space="0" w:color="auto"/>
            </w:tcBorders>
            <w:shd w:val="clear" w:color="auto" w:fill="auto"/>
            <w:noWrap/>
            <w:vAlign w:val="center"/>
            <w:hideMark/>
          </w:tcPr>
          <w:p w14:paraId="54420538"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27,74 %</w:t>
            </w:r>
          </w:p>
        </w:tc>
        <w:tc>
          <w:tcPr>
            <w:tcW w:w="519" w:type="pct"/>
            <w:tcBorders>
              <w:top w:val="nil"/>
              <w:left w:val="nil"/>
              <w:bottom w:val="single" w:sz="4" w:space="0" w:color="auto"/>
              <w:right w:val="single" w:sz="4" w:space="0" w:color="auto"/>
            </w:tcBorders>
            <w:shd w:val="clear" w:color="auto" w:fill="auto"/>
            <w:noWrap/>
            <w:vAlign w:val="center"/>
            <w:hideMark/>
          </w:tcPr>
          <w:p w14:paraId="03CF1DD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25,88 %</w:t>
            </w:r>
          </w:p>
        </w:tc>
      </w:tr>
      <w:tr w:rsidR="00F24E18" w:rsidRPr="00710E07" w14:paraId="2AD63990"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E973E58"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B3FA742"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0400816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214</w:t>
            </w:r>
          </w:p>
        </w:tc>
        <w:tc>
          <w:tcPr>
            <w:tcW w:w="704" w:type="pct"/>
            <w:tcBorders>
              <w:top w:val="nil"/>
              <w:left w:val="nil"/>
              <w:bottom w:val="single" w:sz="4" w:space="0" w:color="auto"/>
              <w:right w:val="single" w:sz="4" w:space="0" w:color="auto"/>
            </w:tcBorders>
            <w:shd w:val="clear" w:color="auto" w:fill="auto"/>
            <w:noWrap/>
            <w:vAlign w:val="center"/>
            <w:hideMark/>
          </w:tcPr>
          <w:p w14:paraId="2270C14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60.038.620</w:t>
            </w:r>
          </w:p>
        </w:tc>
        <w:tc>
          <w:tcPr>
            <w:tcW w:w="518" w:type="pct"/>
            <w:tcBorders>
              <w:top w:val="nil"/>
              <w:left w:val="nil"/>
              <w:bottom w:val="single" w:sz="4" w:space="0" w:color="auto"/>
              <w:right w:val="single" w:sz="4" w:space="0" w:color="auto"/>
            </w:tcBorders>
            <w:shd w:val="clear" w:color="auto" w:fill="auto"/>
            <w:noWrap/>
            <w:vAlign w:val="center"/>
            <w:hideMark/>
          </w:tcPr>
          <w:p w14:paraId="5AB2B1F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18,32 %</w:t>
            </w:r>
          </w:p>
        </w:tc>
        <w:tc>
          <w:tcPr>
            <w:tcW w:w="519" w:type="pct"/>
            <w:tcBorders>
              <w:top w:val="nil"/>
              <w:left w:val="nil"/>
              <w:bottom w:val="single" w:sz="4" w:space="0" w:color="auto"/>
              <w:right w:val="single" w:sz="4" w:space="0" w:color="auto"/>
            </w:tcBorders>
            <w:shd w:val="clear" w:color="auto" w:fill="auto"/>
            <w:noWrap/>
            <w:vAlign w:val="center"/>
            <w:hideMark/>
          </w:tcPr>
          <w:p w14:paraId="1462BC1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29,89 %</w:t>
            </w:r>
          </w:p>
        </w:tc>
      </w:tr>
      <w:tr w:rsidR="00F24E18" w:rsidRPr="00710E07" w14:paraId="6C6DA45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76B0B2C"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0988A39"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56FB94A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32</w:t>
            </w:r>
          </w:p>
        </w:tc>
        <w:tc>
          <w:tcPr>
            <w:tcW w:w="704" w:type="pct"/>
            <w:tcBorders>
              <w:top w:val="nil"/>
              <w:left w:val="nil"/>
              <w:bottom w:val="single" w:sz="4" w:space="0" w:color="auto"/>
              <w:right w:val="single" w:sz="4" w:space="0" w:color="auto"/>
            </w:tcBorders>
            <w:shd w:val="clear" w:color="auto" w:fill="auto"/>
            <w:noWrap/>
            <w:vAlign w:val="center"/>
            <w:hideMark/>
          </w:tcPr>
          <w:p w14:paraId="0C81E23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2.207.328</w:t>
            </w:r>
          </w:p>
        </w:tc>
        <w:tc>
          <w:tcPr>
            <w:tcW w:w="518" w:type="pct"/>
            <w:tcBorders>
              <w:top w:val="nil"/>
              <w:left w:val="nil"/>
              <w:bottom w:val="single" w:sz="4" w:space="0" w:color="auto"/>
              <w:right w:val="single" w:sz="4" w:space="0" w:color="auto"/>
            </w:tcBorders>
            <w:shd w:val="clear" w:color="auto" w:fill="auto"/>
            <w:noWrap/>
            <w:vAlign w:val="center"/>
            <w:hideMark/>
          </w:tcPr>
          <w:p w14:paraId="6DD0503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2,74 %</w:t>
            </w:r>
          </w:p>
        </w:tc>
        <w:tc>
          <w:tcPr>
            <w:tcW w:w="519" w:type="pct"/>
            <w:tcBorders>
              <w:top w:val="nil"/>
              <w:left w:val="nil"/>
              <w:bottom w:val="single" w:sz="4" w:space="0" w:color="auto"/>
              <w:right w:val="single" w:sz="4" w:space="0" w:color="auto"/>
            </w:tcBorders>
            <w:shd w:val="clear" w:color="auto" w:fill="auto"/>
            <w:noWrap/>
            <w:vAlign w:val="center"/>
            <w:hideMark/>
          </w:tcPr>
          <w:p w14:paraId="6BA3227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1,10 %</w:t>
            </w:r>
          </w:p>
        </w:tc>
      </w:tr>
      <w:tr w:rsidR="00F24E18" w:rsidRPr="00710E07" w14:paraId="4FF2A44B"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4547771A"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1B0E8E6"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5AE3B23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24</w:t>
            </w:r>
          </w:p>
        </w:tc>
        <w:tc>
          <w:tcPr>
            <w:tcW w:w="704" w:type="pct"/>
            <w:tcBorders>
              <w:top w:val="nil"/>
              <w:left w:val="nil"/>
              <w:bottom w:val="single" w:sz="4" w:space="0" w:color="auto"/>
              <w:right w:val="single" w:sz="4" w:space="0" w:color="auto"/>
            </w:tcBorders>
            <w:shd w:val="clear" w:color="auto" w:fill="auto"/>
            <w:noWrap/>
            <w:vAlign w:val="center"/>
            <w:hideMark/>
          </w:tcPr>
          <w:p w14:paraId="6C37FE8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5.769.650</w:t>
            </w:r>
          </w:p>
        </w:tc>
        <w:tc>
          <w:tcPr>
            <w:tcW w:w="518" w:type="pct"/>
            <w:tcBorders>
              <w:top w:val="nil"/>
              <w:left w:val="nil"/>
              <w:bottom w:val="single" w:sz="4" w:space="0" w:color="auto"/>
              <w:right w:val="single" w:sz="4" w:space="0" w:color="auto"/>
            </w:tcBorders>
            <w:shd w:val="clear" w:color="auto" w:fill="auto"/>
            <w:noWrap/>
            <w:vAlign w:val="center"/>
            <w:hideMark/>
          </w:tcPr>
          <w:p w14:paraId="3B2D77F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2,05 %</w:t>
            </w:r>
          </w:p>
        </w:tc>
        <w:tc>
          <w:tcPr>
            <w:tcW w:w="519" w:type="pct"/>
            <w:tcBorders>
              <w:top w:val="nil"/>
              <w:left w:val="nil"/>
              <w:bottom w:val="single" w:sz="4" w:space="0" w:color="auto"/>
              <w:right w:val="single" w:sz="4" w:space="0" w:color="auto"/>
            </w:tcBorders>
            <w:shd w:val="clear" w:color="auto" w:fill="auto"/>
            <w:noWrap/>
            <w:vAlign w:val="center"/>
            <w:hideMark/>
          </w:tcPr>
          <w:p w14:paraId="5A60D5B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2,87 %</w:t>
            </w:r>
          </w:p>
        </w:tc>
      </w:tr>
      <w:tr w:rsidR="00F24E18" w:rsidRPr="00710E07" w14:paraId="226DE5BF"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A95A58B"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9FC863C"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77B6833C"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1.168</w:t>
            </w:r>
          </w:p>
        </w:tc>
        <w:tc>
          <w:tcPr>
            <w:tcW w:w="704" w:type="pct"/>
            <w:tcBorders>
              <w:top w:val="nil"/>
              <w:left w:val="nil"/>
              <w:bottom w:val="single" w:sz="4" w:space="0" w:color="auto"/>
              <w:right w:val="single" w:sz="4" w:space="0" w:color="auto"/>
            </w:tcBorders>
            <w:shd w:val="clear" w:color="auto" w:fill="auto"/>
            <w:noWrap/>
            <w:vAlign w:val="center"/>
            <w:hideMark/>
          </w:tcPr>
          <w:p w14:paraId="2FD59407"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200.891.696</w:t>
            </w:r>
          </w:p>
        </w:tc>
        <w:tc>
          <w:tcPr>
            <w:tcW w:w="518" w:type="pct"/>
            <w:tcBorders>
              <w:top w:val="nil"/>
              <w:left w:val="nil"/>
              <w:bottom w:val="single" w:sz="4" w:space="0" w:color="auto"/>
              <w:right w:val="single" w:sz="4" w:space="0" w:color="auto"/>
            </w:tcBorders>
            <w:shd w:val="clear" w:color="auto" w:fill="auto"/>
            <w:noWrap/>
            <w:vAlign w:val="center"/>
            <w:hideMark/>
          </w:tcPr>
          <w:p w14:paraId="2F9C9481"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24F9E90A"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00695315"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13A44E"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GORIŠKA</w:t>
            </w:r>
          </w:p>
        </w:tc>
        <w:tc>
          <w:tcPr>
            <w:tcW w:w="1445" w:type="pct"/>
            <w:tcBorders>
              <w:top w:val="nil"/>
              <w:left w:val="nil"/>
              <w:bottom w:val="single" w:sz="4" w:space="0" w:color="auto"/>
              <w:right w:val="single" w:sz="4" w:space="0" w:color="auto"/>
            </w:tcBorders>
            <w:shd w:val="clear" w:color="auto" w:fill="auto"/>
            <w:noWrap/>
            <w:vAlign w:val="center"/>
            <w:hideMark/>
          </w:tcPr>
          <w:p w14:paraId="25932EF6"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1A7D592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85</w:t>
            </w:r>
          </w:p>
        </w:tc>
        <w:tc>
          <w:tcPr>
            <w:tcW w:w="704" w:type="pct"/>
            <w:tcBorders>
              <w:top w:val="nil"/>
              <w:left w:val="nil"/>
              <w:bottom w:val="single" w:sz="4" w:space="0" w:color="auto"/>
              <w:right w:val="single" w:sz="4" w:space="0" w:color="auto"/>
            </w:tcBorders>
            <w:shd w:val="clear" w:color="auto" w:fill="auto"/>
            <w:noWrap/>
            <w:vAlign w:val="center"/>
            <w:hideMark/>
          </w:tcPr>
          <w:p w14:paraId="55D0FE9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6.738.639</w:t>
            </w:r>
          </w:p>
        </w:tc>
        <w:tc>
          <w:tcPr>
            <w:tcW w:w="518" w:type="pct"/>
            <w:tcBorders>
              <w:top w:val="nil"/>
              <w:left w:val="nil"/>
              <w:bottom w:val="single" w:sz="4" w:space="0" w:color="auto"/>
              <w:right w:val="single" w:sz="4" w:space="0" w:color="auto"/>
            </w:tcBorders>
            <w:shd w:val="clear" w:color="auto" w:fill="auto"/>
            <w:noWrap/>
            <w:vAlign w:val="center"/>
            <w:hideMark/>
          </w:tcPr>
          <w:p w14:paraId="4DC391C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9,67 %</w:t>
            </w:r>
          </w:p>
        </w:tc>
        <w:tc>
          <w:tcPr>
            <w:tcW w:w="519" w:type="pct"/>
            <w:tcBorders>
              <w:top w:val="nil"/>
              <w:left w:val="nil"/>
              <w:bottom w:val="single" w:sz="4" w:space="0" w:color="auto"/>
              <w:right w:val="single" w:sz="4" w:space="0" w:color="auto"/>
            </w:tcBorders>
            <w:shd w:val="clear" w:color="auto" w:fill="auto"/>
            <w:noWrap/>
            <w:vAlign w:val="center"/>
            <w:hideMark/>
          </w:tcPr>
          <w:p w14:paraId="62BCCF4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5,27 %</w:t>
            </w:r>
          </w:p>
        </w:tc>
      </w:tr>
      <w:tr w:rsidR="00F24E18" w:rsidRPr="00710E07" w14:paraId="196AA0D5"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63A4F025"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99D9907"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3E0484C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317</w:t>
            </w:r>
          </w:p>
        </w:tc>
        <w:tc>
          <w:tcPr>
            <w:tcW w:w="704" w:type="pct"/>
            <w:tcBorders>
              <w:top w:val="nil"/>
              <w:left w:val="nil"/>
              <w:bottom w:val="single" w:sz="4" w:space="0" w:color="auto"/>
              <w:right w:val="single" w:sz="4" w:space="0" w:color="auto"/>
            </w:tcBorders>
            <w:shd w:val="clear" w:color="auto" w:fill="auto"/>
            <w:noWrap/>
            <w:vAlign w:val="center"/>
            <w:hideMark/>
          </w:tcPr>
          <w:p w14:paraId="4E65801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40.264.375</w:t>
            </w:r>
          </w:p>
        </w:tc>
        <w:tc>
          <w:tcPr>
            <w:tcW w:w="518" w:type="pct"/>
            <w:tcBorders>
              <w:top w:val="nil"/>
              <w:left w:val="nil"/>
              <w:bottom w:val="single" w:sz="4" w:space="0" w:color="auto"/>
              <w:right w:val="single" w:sz="4" w:space="0" w:color="auto"/>
            </w:tcBorders>
            <w:shd w:val="clear" w:color="auto" w:fill="auto"/>
            <w:noWrap/>
            <w:vAlign w:val="center"/>
            <w:hideMark/>
          </w:tcPr>
          <w:p w14:paraId="26F07B2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36,06 %</w:t>
            </w:r>
          </w:p>
        </w:tc>
        <w:tc>
          <w:tcPr>
            <w:tcW w:w="519" w:type="pct"/>
            <w:tcBorders>
              <w:top w:val="nil"/>
              <w:left w:val="nil"/>
              <w:bottom w:val="single" w:sz="4" w:space="0" w:color="auto"/>
              <w:right w:val="single" w:sz="4" w:space="0" w:color="auto"/>
            </w:tcBorders>
            <w:shd w:val="clear" w:color="auto" w:fill="auto"/>
            <w:noWrap/>
            <w:vAlign w:val="center"/>
            <w:hideMark/>
          </w:tcPr>
          <w:p w14:paraId="72B15DD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31,46 %</w:t>
            </w:r>
          </w:p>
        </w:tc>
      </w:tr>
      <w:tr w:rsidR="00F24E18" w:rsidRPr="00710E07" w14:paraId="31E6C32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AA8D20A"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298E8820"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5C08F9D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226</w:t>
            </w:r>
          </w:p>
        </w:tc>
        <w:tc>
          <w:tcPr>
            <w:tcW w:w="704" w:type="pct"/>
            <w:tcBorders>
              <w:top w:val="nil"/>
              <w:left w:val="nil"/>
              <w:bottom w:val="single" w:sz="4" w:space="0" w:color="auto"/>
              <w:right w:val="single" w:sz="4" w:space="0" w:color="auto"/>
            </w:tcBorders>
            <w:shd w:val="clear" w:color="auto" w:fill="auto"/>
            <w:noWrap/>
            <w:vAlign w:val="center"/>
            <w:hideMark/>
          </w:tcPr>
          <w:p w14:paraId="5F6541C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36.177.680</w:t>
            </w:r>
          </w:p>
        </w:tc>
        <w:tc>
          <w:tcPr>
            <w:tcW w:w="518" w:type="pct"/>
            <w:tcBorders>
              <w:top w:val="nil"/>
              <w:left w:val="nil"/>
              <w:bottom w:val="single" w:sz="4" w:space="0" w:color="auto"/>
              <w:right w:val="single" w:sz="4" w:space="0" w:color="auto"/>
            </w:tcBorders>
            <w:shd w:val="clear" w:color="auto" w:fill="auto"/>
            <w:noWrap/>
            <w:vAlign w:val="center"/>
            <w:hideMark/>
          </w:tcPr>
          <w:p w14:paraId="4A999AF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25,71 %</w:t>
            </w:r>
          </w:p>
        </w:tc>
        <w:tc>
          <w:tcPr>
            <w:tcW w:w="519" w:type="pct"/>
            <w:tcBorders>
              <w:top w:val="nil"/>
              <w:left w:val="nil"/>
              <w:bottom w:val="single" w:sz="4" w:space="0" w:color="auto"/>
              <w:right w:val="single" w:sz="4" w:space="0" w:color="auto"/>
            </w:tcBorders>
            <w:shd w:val="clear" w:color="auto" w:fill="auto"/>
            <w:noWrap/>
            <w:vAlign w:val="center"/>
            <w:hideMark/>
          </w:tcPr>
          <w:p w14:paraId="01DA61C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28,27 %</w:t>
            </w:r>
          </w:p>
        </w:tc>
      </w:tr>
      <w:tr w:rsidR="00F24E18" w:rsidRPr="00710E07" w14:paraId="03D15C7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CDA56AF"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F3C7766"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2DBD7FC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230</w:t>
            </w:r>
          </w:p>
        </w:tc>
        <w:tc>
          <w:tcPr>
            <w:tcW w:w="704" w:type="pct"/>
            <w:tcBorders>
              <w:top w:val="nil"/>
              <w:left w:val="nil"/>
              <w:bottom w:val="single" w:sz="4" w:space="0" w:color="auto"/>
              <w:right w:val="single" w:sz="4" w:space="0" w:color="auto"/>
            </w:tcBorders>
            <w:shd w:val="clear" w:color="auto" w:fill="auto"/>
            <w:noWrap/>
            <w:vAlign w:val="center"/>
            <w:hideMark/>
          </w:tcPr>
          <w:p w14:paraId="59DB3168"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42.624.959</w:t>
            </w:r>
          </w:p>
        </w:tc>
        <w:tc>
          <w:tcPr>
            <w:tcW w:w="518" w:type="pct"/>
            <w:tcBorders>
              <w:top w:val="nil"/>
              <w:left w:val="nil"/>
              <w:bottom w:val="single" w:sz="4" w:space="0" w:color="auto"/>
              <w:right w:val="single" w:sz="4" w:space="0" w:color="auto"/>
            </w:tcBorders>
            <w:shd w:val="clear" w:color="auto" w:fill="auto"/>
            <w:noWrap/>
            <w:vAlign w:val="center"/>
            <w:hideMark/>
          </w:tcPr>
          <w:p w14:paraId="49034D4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26,17 %</w:t>
            </w:r>
          </w:p>
        </w:tc>
        <w:tc>
          <w:tcPr>
            <w:tcW w:w="519" w:type="pct"/>
            <w:tcBorders>
              <w:top w:val="nil"/>
              <w:left w:val="nil"/>
              <w:bottom w:val="single" w:sz="4" w:space="0" w:color="auto"/>
              <w:right w:val="single" w:sz="4" w:space="0" w:color="auto"/>
            </w:tcBorders>
            <w:shd w:val="clear" w:color="auto" w:fill="auto"/>
            <w:noWrap/>
            <w:vAlign w:val="center"/>
            <w:hideMark/>
          </w:tcPr>
          <w:p w14:paraId="1EB794B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33,30 %</w:t>
            </w:r>
          </w:p>
        </w:tc>
      </w:tr>
      <w:tr w:rsidR="00F24E18" w:rsidRPr="00710E07" w14:paraId="5261A7DA"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1D42FB9"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437896D"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319FDD6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18</w:t>
            </w:r>
          </w:p>
        </w:tc>
        <w:tc>
          <w:tcPr>
            <w:tcW w:w="704" w:type="pct"/>
            <w:tcBorders>
              <w:top w:val="nil"/>
              <w:left w:val="nil"/>
              <w:bottom w:val="single" w:sz="4" w:space="0" w:color="auto"/>
              <w:right w:val="single" w:sz="4" w:space="0" w:color="auto"/>
            </w:tcBorders>
            <w:shd w:val="clear" w:color="auto" w:fill="auto"/>
            <w:noWrap/>
            <w:vAlign w:val="center"/>
            <w:hideMark/>
          </w:tcPr>
          <w:p w14:paraId="5CFEC61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1.855.509</w:t>
            </w:r>
          </w:p>
        </w:tc>
        <w:tc>
          <w:tcPr>
            <w:tcW w:w="518" w:type="pct"/>
            <w:tcBorders>
              <w:top w:val="nil"/>
              <w:left w:val="nil"/>
              <w:bottom w:val="single" w:sz="4" w:space="0" w:color="auto"/>
              <w:right w:val="single" w:sz="4" w:space="0" w:color="auto"/>
            </w:tcBorders>
            <w:shd w:val="clear" w:color="auto" w:fill="auto"/>
            <w:noWrap/>
            <w:vAlign w:val="center"/>
            <w:hideMark/>
          </w:tcPr>
          <w:p w14:paraId="35012C6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2,05 %</w:t>
            </w:r>
          </w:p>
        </w:tc>
        <w:tc>
          <w:tcPr>
            <w:tcW w:w="519" w:type="pct"/>
            <w:tcBorders>
              <w:top w:val="nil"/>
              <w:left w:val="nil"/>
              <w:bottom w:val="single" w:sz="4" w:space="0" w:color="auto"/>
              <w:right w:val="single" w:sz="4" w:space="0" w:color="auto"/>
            </w:tcBorders>
            <w:shd w:val="clear" w:color="auto" w:fill="auto"/>
            <w:noWrap/>
            <w:vAlign w:val="center"/>
            <w:hideMark/>
          </w:tcPr>
          <w:p w14:paraId="0910538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1,45 %</w:t>
            </w:r>
          </w:p>
        </w:tc>
      </w:tr>
      <w:tr w:rsidR="00F24E18" w:rsidRPr="00710E07" w14:paraId="43A4130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0771446B"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F5A77C4"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6CB16B3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w:t>
            </w:r>
          </w:p>
        </w:tc>
        <w:tc>
          <w:tcPr>
            <w:tcW w:w="704" w:type="pct"/>
            <w:tcBorders>
              <w:top w:val="nil"/>
              <w:left w:val="nil"/>
              <w:bottom w:val="single" w:sz="4" w:space="0" w:color="auto"/>
              <w:right w:val="single" w:sz="4" w:space="0" w:color="auto"/>
            </w:tcBorders>
            <w:shd w:val="clear" w:color="auto" w:fill="auto"/>
            <w:noWrap/>
            <w:vAlign w:val="center"/>
            <w:hideMark/>
          </w:tcPr>
          <w:p w14:paraId="6D6A6AE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323.148</w:t>
            </w:r>
          </w:p>
        </w:tc>
        <w:tc>
          <w:tcPr>
            <w:tcW w:w="518" w:type="pct"/>
            <w:tcBorders>
              <w:top w:val="nil"/>
              <w:left w:val="nil"/>
              <w:bottom w:val="single" w:sz="4" w:space="0" w:color="auto"/>
              <w:right w:val="single" w:sz="4" w:space="0" w:color="auto"/>
            </w:tcBorders>
            <w:shd w:val="clear" w:color="auto" w:fill="auto"/>
            <w:noWrap/>
            <w:vAlign w:val="center"/>
            <w:hideMark/>
          </w:tcPr>
          <w:p w14:paraId="2694F96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0,34 %</w:t>
            </w:r>
          </w:p>
        </w:tc>
        <w:tc>
          <w:tcPr>
            <w:tcW w:w="519" w:type="pct"/>
            <w:tcBorders>
              <w:top w:val="nil"/>
              <w:left w:val="nil"/>
              <w:bottom w:val="single" w:sz="4" w:space="0" w:color="auto"/>
              <w:right w:val="single" w:sz="4" w:space="0" w:color="auto"/>
            </w:tcBorders>
            <w:shd w:val="clear" w:color="auto" w:fill="auto"/>
            <w:noWrap/>
            <w:vAlign w:val="center"/>
            <w:hideMark/>
          </w:tcPr>
          <w:p w14:paraId="3C311FF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0,25 %</w:t>
            </w:r>
          </w:p>
        </w:tc>
      </w:tr>
      <w:tr w:rsidR="00F24E18" w:rsidRPr="00710E07" w14:paraId="255EA44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087A0A1F"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CE30B4C"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3D3539C0"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879</w:t>
            </w:r>
          </w:p>
        </w:tc>
        <w:tc>
          <w:tcPr>
            <w:tcW w:w="704" w:type="pct"/>
            <w:tcBorders>
              <w:top w:val="nil"/>
              <w:left w:val="nil"/>
              <w:bottom w:val="single" w:sz="4" w:space="0" w:color="auto"/>
              <w:right w:val="single" w:sz="4" w:space="0" w:color="auto"/>
            </w:tcBorders>
            <w:shd w:val="clear" w:color="auto" w:fill="auto"/>
            <w:noWrap/>
            <w:vAlign w:val="center"/>
            <w:hideMark/>
          </w:tcPr>
          <w:p w14:paraId="3DF55E1B"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127.984.310</w:t>
            </w:r>
          </w:p>
        </w:tc>
        <w:tc>
          <w:tcPr>
            <w:tcW w:w="518" w:type="pct"/>
            <w:tcBorders>
              <w:top w:val="nil"/>
              <w:left w:val="nil"/>
              <w:bottom w:val="single" w:sz="4" w:space="0" w:color="auto"/>
              <w:right w:val="single" w:sz="4" w:space="0" w:color="auto"/>
            </w:tcBorders>
            <w:shd w:val="clear" w:color="auto" w:fill="auto"/>
            <w:noWrap/>
            <w:vAlign w:val="center"/>
            <w:hideMark/>
          </w:tcPr>
          <w:p w14:paraId="0928061B"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5F7EFA8C"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42AF798D"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AD1F6D7"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JUGOVZHODNA SLOVENIJA</w:t>
            </w:r>
          </w:p>
        </w:tc>
        <w:tc>
          <w:tcPr>
            <w:tcW w:w="1445" w:type="pct"/>
            <w:tcBorders>
              <w:top w:val="nil"/>
              <w:left w:val="nil"/>
              <w:bottom w:val="single" w:sz="4" w:space="0" w:color="auto"/>
              <w:right w:val="single" w:sz="4" w:space="0" w:color="auto"/>
            </w:tcBorders>
            <w:shd w:val="clear" w:color="auto" w:fill="auto"/>
            <w:noWrap/>
            <w:vAlign w:val="center"/>
            <w:hideMark/>
          </w:tcPr>
          <w:p w14:paraId="23F759EB"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63414E9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77</w:t>
            </w:r>
          </w:p>
        </w:tc>
        <w:tc>
          <w:tcPr>
            <w:tcW w:w="704" w:type="pct"/>
            <w:tcBorders>
              <w:top w:val="nil"/>
              <w:left w:val="nil"/>
              <w:bottom w:val="single" w:sz="4" w:space="0" w:color="auto"/>
              <w:right w:val="single" w:sz="4" w:space="0" w:color="auto"/>
            </w:tcBorders>
            <w:shd w:val="clear" w:color="auto" w:fill="auto"/>
            <w:noWrap/>
            <w:vAlign w:val="center"/>
            <w:hideMark/>
          </w:tcPr>
          <w:p w14:paraId="5B71800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5.370.911</w:t>
            </w:r>
          </w:p>
        </w:tc>
        <w:tc>
          <w:tcPr>
            <w:tcW w:w="518" w:type="pct"/>
            <w:tcBorders>
              <w:top w:val="nil"/>
              <w:left w:val="nil"/>
              <w:bottom w:val="single" w:sz="4" w:space="0" w:color="auto"/>
              <w:right w:val="single" w:sz="4" w:space="0" w:color="auto"/>
            </w:tcBorders>
            <w:shd w:val="clear" w:color="auto" w:fill="auto"/>
            <w:noWrap/>
            <w:vAlign w:val="center"/>
            <w:hideMark/>
          </w:tcPr>
          <w:p w14:paraId="2C495FB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10,08 %</w:t>
            </w:r>
          </w:p>
        </w:tc>
        <w:tc>
          <w:tcPr>
            <w:tcW w:w="519" w:type="pct"/>
            <w:tcBorders>
              <w:top w:val="nil"/>
              <w:left w:val="nil"/>
              <w:bottom w:val="single" w:sz="4" w:space="0" w:color="auto"/>
              <w:right w:val="single" w:sz="4" w:space="0" w:color="auto"/>
            </w:tcBorders>
            <w:shd w:val="clear" w:color="auto" w:fill="auto"/>
            <w:noWrap/>
            <w:vAlign w:val="center"/>
            <w:hideMark/>
          </w:tcPr>
          <w:p w14:paraId="15E9BAC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2,44 %</w:t>
            </w:r>
          </w:p>
        </w:tc>
      </w:tr>
      <w:tr w:rsidR="00F24E18" w:rsidRPr="00710E07" w14:paraId="6D0B6C5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60D6E977"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2FC772DE"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118E731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220</w:t>
            </w:r>
          </w:p>
        </w:tc>
        <w:tc>
          <w:tcPr>
            <w:tcW w:w="704" w:type="pct"/>
            <w:tcBorders>
              <w:top w:val="nil"/>
              <w:left w:val="nil"/>
              <w:bottom w:val="single" w:sz="4" w:space="0" w:color="auto"/>
              <w:right w:val="single" w:sz="4" w:space="0" w:color="auto"/>
            </w:tcBorders>
            <w:shd w:val="clear" w:color="auto" w:fill="auto"/>
            <w:noWrap/>
            <w:vAlign w:val="center"/>
            <w:hideMark/>
          </w:tcPr>
          <w:p w14:paraId="20E0DA1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138.274.471</w:t>
            </w:r>
          </w:p>
        </w:tc>
        <w:tc>
          <w:tcPr>
            <w:tcW w:w="518" w:type="pct"/>
            <w:tcBorders>
              <w:top w:val="nil"/>
              <w:left w:val="nil"/>
              <w:bottom w:val="single" w:sz="4" w:space="0" w:color="auto"/>
              <w:right w:val="single" w:sz="4" w:space="0" w:color="auto"/>
            </w:tcBorders>
            <w:shd w:val="clear" w:color="auto" w:fill="auto"/>
            <w:noWrap/>
            <w:vAlign w:val="center"/>
            <w:hideMark/>
          </w:tcPr>
          <w:p w14:paraId="6D1AB34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28,80 %</w:t>
            </w:r>
          </w:p>
        </w:tc>
        <w:tc>
          <w:tcPr>
            <w:tcW w:w="519" w:type="pct"/>
            <w:tcBorders>
              <w:top w:val="nil"/>
              <w:left w:val="nil"/>
              <w:bottom w:val="single" w:sz="4" w:space="0" w:color="auto"/>
              <w:right w:val="single" w:sz="4" w:space="0" w:color="auto"/>
            </w:tcBorders>
            <w:shd w:val="clear" w:color="auto" w:fill="auto"/>
            <w:noWrap/>
            <w:vAlign w:val="center"/>
            <w:hideMark/>
          </w:tcPr>
          <w:p w14:paraId="345CF40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62,70 %</w:t>
            </w:r>
          </w:p>
        </w:tc>
      </w:tr>
      <w:tr w:rsidR="00F24E18" w:rsidRPr="00710E07" w14:paraId="50FB8B69"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6A491D39"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1F31436"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355B22C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209</w:t>
            </w:r>
          </w:p>
        </w:tc>
        <w:tc>
          <w:tcPr>
            <w:tcW w:w="704" w:type="pct"/>
            <w:tcBorders>
              <w:top w:val="nil"/>
              <w:left w:val="nil"/>
              <w:bottom w:val="single" w:sz="4" w:space="0" w:color="auto"/>
              <w:right w:val="single" w:sz="4" w:space="0" w:color="auto"/>
            </w:tcBorders>
            <w:shd w:val="clear" w:color="auto" w:fill="auto"/>
            <w:noWrap/>
            <w:vAlign w:val="center"/>
            <w:hideMark/>
          </w:tcPr>
          <w:p w14:paraId="0452DB6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33.520.786</w:t>
            </w:r>
          </w:p>
        </w:tc>
        <w:tc>
          <w:tcPr>
            <w:tcW w:w="518" w:type="pct"/>
            <w:tcBorders>
              <w:top w:val="nil"/>
              <w:left w:val="nil"/>
              <w:bottom w:val="single" w:sz="4" w:space="0" w:color="auto"/>
              <w:right w:val="single" w:sz="4" w:space="0" w:color="auto"/>
            </w:tcBorders>
            <w:shd w:val="clear" w:color="auto" w:fill="auto"/>
            <w:noWrap/>
            <w:vAlign w:val="center"/>
            <w:hideMark/>
          </w:tcPr>
          <w:p w14:paraId="79B6E7F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27,36 %</w:t>
            </w:r>
          </w:p>
        </w:tc>
        <w:tc>
          <w:tcPr>
            <w:tcW w:w="519" w:type="pct"/>
            <w:tcBorders>
              <w:top w:val="nil"/>
              <w:left w:val="nil"/>
              <w:bottom w:val="single" w:sz="4" w:space="0" w:color="auto"/>
              <w:right w:val="single" w:sz="4" w:space="0" w:color="auto"/>
            </w:tcBorders>
            <w:shd w:val="clear" w:color="auto" w:fill="auto"/>
            <w:noWrap/>
            <w:vAlign w:val="center"/>
            <w:hideMark/>
          </w:tcPr>
          <w:p w14:paraId="78EDAC6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15,20 %</w:t>
            </w:r>
          </w:p>
        </w:tc>
      </w:tr>
      <w:tr w:rsidR="00F24E18" w:rsidRPr="00710E07" w14:paraId="03460158"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D202A90"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60DB3F9"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46BE333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236</w:t>
            </w:r>
          </w:p>
        </w:tc>
        <w:tc>
          <w:tcPr>
            <w:tcW w:w="704" w:type="pct"/>
            <w:tcBorders>
              <w:top w:val="nil"/>
              <w:left w:val="nil"/>
              <w:bottom w:val="single" w:sz="4" w:space="0" w:color="auto"/>
              <w:right w:val="single" w:sz="4" w:space="0" w:color="auto"/>
            </w:tcBorders>
            <w:shd w:val="clear" w:color="auto" w:fill="auto"/>
            <w:noWrap/>
            <w:vAlign w:val="center"/>
            <w:hideMark/>
          </w:tcPr>
          <w:p w14:paraId="09C0BEE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40.996.810</w:t>
            </w:r>
          </w:p>
        </w:tc>
        <w:tc>
          <w:tcPr>
            <w:tcW w:w="518" w:type="pct"/>
            <w:tcBorders>
              <w:top w:val="nil"/>
              <w:left w:val="nil"/>
              <w:bottom w:val="single" w:sz="4" w:space="0" w:color="auto"/>
              <w:right w:val="single" w:sz="4" w:space="0" w:color="auto"/>
            </w:tcBorders>
            <w:shd w:val="clear" w:color="auto" w:fill="auto"/>
            <w:noWrap/>
            <w:vAlign w:val="center"/>
            <w:hideMark/>
          </w:tcPr>
          <w:p w14:paraId="42691EB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30,89 %</w:t>
            </w:r>
          </w:p>
        </w:tc>
        <w:tc>
          <w:tcPr>
            <w:tcW w:w="519" w:type="pct"/>
            <w:tcBorders>
              <w:top w:val="nil"/>
              <w:left w:val="nil"/>
              <w:bottom w:val="single" w:sz="4" w:space="0" w:color="auto"/>
              <w:right w:val="single" w:sz="4" w:space="0" w:color="auto"/>
            </w:tcBorders>
            <w:shd w:val="clear" w:color="auto" w:fill="auto"/>
            <w:noWrap/>
            <w:vAlign w:val="center"/>
            <w:hideMark/>
          </w:tcPr>
          <w:p w14:paraId="55CBB75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18,59 %</w:t>
            </w:r>
          </w:p>
        </w:tc>
      </w:tr>
      <w:tr w:rsidR="00F24E18" w:rsidRPr="00710E07" w14:paraId="63C6DFD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FAE33EF"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90B1CAF"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4A5853A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17</w:t>
            </w:r>
          </w:p>
        </w:tc>
        <w:tc>
          <w:tcPr>
            <w:tcW w:w="704" w:type="pct"/>
            <w:tcBorders>
              <w:top w:val="nil"/>
              <w:left w:val="nil"/>
              <w:bottom w:val="single" w:sz="4" w:space="0" w:color="auto"/>
              <w:right w:val="single" w:sz="4" w:space="0" w:color="auto"/>
            </w:tcBorders>
            <w:shd w:val="clear" w:color="auto" w:fill="auto"/>
            <w:noWrap/>
            <w:vAlign w:val="center"/>
            <w:hideMark/>
          </w:tcPr>
          <w:p w14:paraId="398DB44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2.270.229</w:t>
            </w:r>
          </w:p>
        </w:tc>
        <w:tc>
          <w:tcPr>
            <w:tcW w:w="518" w:type="pct"/>
            <w:tcBorders>
              <w:top w:val="nil"/>
              <w:left w:val="nil"/>
              <w:bottom w:val="single" w:sz="4" w:space="0" w:color="auto"/>
              <w:right w:val="single" w:sz="4" w:space="0" w:color="auto"/>
            </w:tcBorders>
            <w:shd w:val="clear" w:color="auto" w:fill="auto"/>
            <w:noWrap/>
            <w:vAlign w:val="center"/>
            <w:hideMark/>
          </w:tcPr>
          <w:p w14:paraId="0C49479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2,23 %</w:t>
            </w:r>
          </w:p>
        </w:tc>
        <w:tc>
          <w:tcPr>
            <w:tcW w:w="519" w:type="pct"/>
            <w:tcBorders>
              <w:top w:val="nil"/>
              <w:left w:val="nil"/>
              <w:bottom w:val="single" w:sz="4" w:space="0" w:color="auto"/>
              <w:right w:val="single" w:sz="4" w:space="0" w:color="auto"/>
            </w:tcBorders>
            <w:shd w:val="clear" w:color="auto" w:fill="auto"/>
            <w:noWrap/>
            <w:vAlign w:val="center"/>
            <w:hideMark/>
          </w:tcPr>
          <w:p w14:paraId="724BDF6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1,03 %</w:t>
            </w:r>
          </w:p>
        </w:tc>
      </w:tr>
      <w:tr w:rsidR="00F24E18" w:rsidRPr="00710E07" w14:paraId="63FF1344"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F8712F3"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BEEE32B"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768DE23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5</w:t>
            </w:r>
          </w:p>
        </w:tc>
        <w:tc>
          <w:tcPr>
            <w:tcW w:w="704" w:type="pct"/>
            <w:tcBorders>
              <w:top w:val="nil"/>
              <w:left w:val="nil"/>
              <w:bottom w:val="single" w:sz="4" w:space="0" w:color="auto"/>
              <w:right w:val="single" w:sz="4" w:space="0" w:color="auto"/>
            </w:tcBorders>
            <w:shd w:val="clear" w:color="auto" w:fill="auto"/>
            <w:noWrap/>
            <w:vAlign w:val="center"/>
            <w:hideMark/>
          </w:tcPr>
          <w:p w14:paraId="3C2CC3B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87.698</w:t>
            </w:r>
          </w:p>
        </w:tc>
        <w:tc>
          <w:tcPr>
            <w:tcW w:w="518" w:type="pct"/>
            <w:tcBorders>
              <w:top w:val="nil"/>
              <w:left w:val="nil"/>
              <w:bottom w:val="single" w:sz="4" w:space="0" w:color="auto"/>
              <w:right w:val="single" w:sz="4" w:space="0" w:color="auto"/>
            </w:tcBorders>
            <w:shd w:val="clear" w:color="auto" w:fill="auto"/>
            <w:noWrap/>
            <w:vAlign w:val="center"/>
            <w:hideMark/>
          </w:tcPr>
          <w:p w14:paraId="1C5CBB5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0,65 %</w:t>
            </w:r>
          </w:p>
        </w:tc>
        <w:tc>
          <w:tcPr>
            <w:tcW w:w="519" w:type="pct"/>
            <w:tcBorders>
              <w:top w:val="nil"/>
              <w:left w:val="nil"/>
              <w:bottom w:val="single" w:sz="4" w:space="0" w:color="auto"/>
              <w:right w:val="single" w:sz="4" w:space="0" w:color="auto"/>
            </w:tcBorders>
            <w:shd w:val="clear" w:color="auto" w:fill="auto"/>
            <w:noWrap/>
            <w:vAlign w:val="center"/>
            <w:hideMark/>
          </w:tcPr>
          <w:p w14:paraId="2C8ACD9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0,04 %</w:t>
            </w:r>
          </w:p>
        </w:tc>
      </w:tr>
      <w:tr w:rsidR="00F24E18" w:rsidRPr="00710E07" w14:paraId="1BFB97E1"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4B9314FC"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498D5FF"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5656784B"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764</w:t>
            </w:r>
          </w:p>
        </w:tc>
        <w:tc>
          <w:tcPr>
            <w:tcW w:w="704" w:type="pct"/>
            <w:tcBorders>
              <w:top w:val="nil"/>
              <w:left w:val="nil"/>
              <w:bottom w:val="single" w:sz="4" w:space="0" w:color="auto"/>
              <w:right w:val="single" w:sz="4" w:space="0" w:color="auto"/>
            </w:tcBorders>
            <w:shd w:val="clear" w:color="auto" w:fill="auto"/>
            <w:noWrap/>
            <w:vAlign w:val="center"/>
            <w:hideMark/>
          </w:tcPr>
          <w:p w14:paraId="4E51BB39"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220.520.905</w:t>
            </w:r>
          </w:p>
        </w:tc>
        <w:tc>
          <w:tcPr>
            <w:tcW w:w="518" w:type="pct"/>
            <w:tcBorders>
              <w:top w:val="nil"/>
              <w:left w:val="nil"/>
              <w:bottom w:val="single" w:sz="4" w:space="0" w:color="auto"/>
              <w:right w:val="single" w:sz="4" w:space="0" w:color="auto"/>
            </w:tcBorders>
            <w:shd w:val="clear" w:color="auto" w:fill="auto"/>
            <w:noWrap/>
            <w:vAlign w:val="center"/>
            <w:hideMark/>
          </w:tcPr>
          <w:p w14:paraId="30885BB7"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7A33456E"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790DD029"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FE6397"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KOROŠKA</w:t>
            </w:r>
          </w:p>
        </w:tc>
        <w:tc>
          <w:tcPr>
            <w:tcW w:w="1445" w:type="pct"/>
            <w:tcBorders>
              <w:top w:val="nil"/>
              <w:left w:val="nil"/>
              <w:bottom w:val="single" w:sz="4" w:space="0" w:color="auto"/>
              <w:right w:val="single" w:sz="4" w:space="0" w:color="auto"/>
            </w:tcBorders>
            <w:shd w:val="clear" w:color="auto" w:fill="auto"/>
            <w:noWrap/>
            <w:vAlign w:val="center"/>
            <w:hideMark/>
          </w:tcPr>
          <w:p w14:paraId="433F4AF5"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6E2B6E3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60</w:t>
            </w:r>
          </w:p>
        </w:tc>
        <w:tc>
          <w:tcPr>
            <w:tcW w:w="704" w:type="pct"/>
            <w:tcBorders>
              <w:top w:val="nil"/>
              <w:left w:val="nil"/>
              <w:bottom w:val="single" w:sz="4" w:space="0" w:color="auto"/>
              <w:right w:val="single" w:sz="4" w:space="0" w:color="auto"/>
            </w:tcBorders>
            <w:shd w:val="clear" w:color="auto" w:fill="auto"/>
            <w:noWrap/>
            <w:vAlign w:val="center"/>
            <w:hideMark/>
          </w:tcPr>
          <w:p w14:paraId="132F622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5.630.515</w:t>
            </w:r>
          </w:p>
        </w:tc>
        <w:tc>
          <w:tcPr>
            <w:tcW w:w="518" w:type="pct"/>
            <w:tcBorders>
              <w:top w:val="nil"/>
              <w:left w:val="nil"/>
              <w:bottom w:val="single" w:sz="4" w:space="0" w:color="auto"/>
              <w:right w:val="single" w:sz="4" w:space="0" w:color="auto"/>
            </w:tcBorders>
            <w:shd w:val="clear" w:color="auto" w:fill="auto"/>
            <w:noWrap/>
            <w:vAlign w:val="center"/>
            <w:hideMark/>
          </w:tcPr>
          <w:p w14:paraId="1BD58B4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11,47 %</w:t>
            </w:r>
          </w:p>
        </w:tc>
        <w:tc>
          <w:tcPr>
            <w:tcW w:w="519" w:type="pct"/>
            <w:tcBorders>
              <w:top w:val="nil"/>
              <w:left w:val="nil"/>
              <w:bottom w:val="single" w:sz="4" w:space="0" w:color="auto"/>
              <w:right w:val="single" w:sz="4" w:space="0" w:color="auto"/>
            </w:tcBorders>
            <w:shd w:val="clear" w:color="auto" w:fill="auto"/>
            <w:noWrap/>
            <w:vAlign w:val="center"/>
            <w:hideMark/>
          </w:tcPr>
          <w:p w14:paraId="6A4BCD3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6,45 %</w:t>
            </w:r>
          </w:p>
        </w:tc>
      </w:tr>
      <w:tr w:rsidR="00F24E18" w:rsidRPr="00710E07" w14:paraId="5AA1C2E6"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1F7B2C7"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69235C4"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22255FE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135</w:t>
            </w:r>
          </w:p>
        </w:tc>
        <w:tc>
          <w:tcPr>
            <w:tcW w:w="704" w:type="pct"/>
            <w:tcBorders>
              <w:top w:val="nil"/>
              <w:left w:val="nil"/>
              <w:bottom w:val="single" w:sz="4" w:space="0" w:color="auto"/>
              <w:right w:val="single" w:sz="4" w:space="0" w:color="auto"/>
            </w:tcBorders>
            <w:shd w:val="clear" w:color="auto" w:fill="auto"/>
            <w:noWrap/>
            <w:vAlign w:val="center"/>
            <w:hideMark/>
          </w:tcPr>
          <w:p w14:paraId="0EDC96C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22.271.751</w:t>
            </w:r>
          </w:p>
        </w:tc>
        <w:tc>
          <w:tcPr>
            <w:tcW w:w="518" w:type="pct"/>
            <w:tcBorders>
              <w:top w:val="nil"/>
              <w:left w:val="nil"/>
              <w:bottom w:val="single" w:sz="4" w:space="0" w:color="auto"/>
              <w:right w:val="single" w:sz="4" w:space="0" w:color="auto"/>
            </w:tcBorders>
            <w:shd w:val="clear" w:color="auto" w:fill="auto"/>
            <w:noWrap/>
            <w:vAlign w:val="center"/>
            <w:hideMark/>
          </w:tcPr>
          <w:p w14:paraId="3F9222A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25,81 %</w:t>
            </w:r>
          </w:p>
        </w:tc>
        <w:tc>
          <w:tcPr>
            <w:tcW w:w="519" w:type="pct"/>
            <w:tcBorders>
              <w:top w:val="nil"/>
              <w:left w:val="nil"/>
              <w:bottom w:val="single" w:sz="4" w:space="0" w:color="auto"/>
              <w:right w:val="single" w:sz="4" w:space="0" w:color="auto"/>
            </w:tcBorders>
            <w:shd w:val="clear" w:color="auto" w:fill="auto"/>
            <w:noWrap/>
            <w:vAlign w:val="center"/>
            <w:hideMark/>
          </w:tcPr>
          <w:p w14:paraId="6448DF0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25,52 %</w:t>
            </w:r>
          </w:p>
        </w:tc>
      </w:tr>
      <w:tr w:rsidR="00F24E18" w:rsidRPr="00710E07" w14:paraId="02EA7C38"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0ABECED8"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511ED6A"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2BCDD72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138</w:t>
            </w:r>
          </w:p>
        </w:tc>
        <w:tc>
          <w:tcPr>
            <w:tcW w:w="704" w:type="pct"/>
            <w:tcBorders>
              <w:top w:val="nil"/>
              <w:left w:val="nil"/>
              <w:bottom w:val="single" w:sz="4" w:space="0" w:color="auto"/>
              <w:right w:val="single" w:sz="4" w:space="0" w:color="auto"/>
            </w:tcBorders>
            <w:shd w:val="clear" w:color="auto" w:fill="auto"/>
            <w:noWrap/>
            <w:vAlign w:val="center"/>
            <w:hideMark/>
          </w:tcPr>
          <w:p w14:paraId="12C385E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12.160.854</w:t>
            </w:r>
          </w:p>
        </w:tc>
        <w:tc>
          <w:tcPr>
            <w:tcW w:w="518" w:type="pct"/>
            <w:tcBorders>
              <w:top w:val="nil"/>
              <w:left w:val="nil"/>
              <w:bottom w:val="single" w:sz="4" w:space="0" w:color="auto"/>
              <w:right w:val="single" w:sz="4" w:space="0" w:color="auto"/>
            </w:tcBorders>
            <w:shd w:val="clear" w:color="auto" w:fill="auto"/>
            <w:noWrap/>
            <w:vAlign w:val="center"/>
            <w:hideMark/>
          </w:tcPr>
          <w:p w14:paraId="71F4B22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26,39 %</w:t>
            </w:r>
          </w:p>
        </w:tc>
        <w:tc>
          <w:tcPr>
            <w:tcW w:w="519" w:type="pct"/>
            <w:tcBorders>
              <w:top w:val="nil"/>
              <w:left w:val="nil"/>
              <w:bottom w:val="single" w:sz="4" w:space="0" w:color="auto"/>
              <w:right w:val="single" w:sz="4" w:space="0" w:color="auto"/>
            </w:tcBorders>
            <w:shd w:val="clear" w:color="auto" w:fill="auto"/>
            <w:noWrap/>
            <w:vAlign w:val="center"/>
            <w:hideMark/>
          </w:tcPr>
          <w:p w14:paraId="5362733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13,94 %</w:t>
            </w:r>
          </w:p>
        </w:tc>
      </w:tr>
      <w:tr w:rsidR="00F24E18" w:rsidRPr="00710E07" w14:paraId="24D75435"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8AC1A27"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7D7431A5"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6DA171D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179</w:t>
            </w:r>
          </w:p>
        </w:tc>
        <w:tc>
          <w:tcPr>
            <w:tcW w:w="704" w:type="pct"/>
            <w:tcBorders>
              <w:top w:val="nil"/>
              <w:left w:val="nil"/>
              <w:bottom w:val="single" w:sz="4" w:space="0" w:color="auto"/>
              <w:right w:val="single" w:sz="4" w:space="0" w:color="auto"/>
            </w:tcBorders>
            <w:shd w:val="clear" w:color="auto" w:fill="auto"/>
            <w:noWrap/>
            <w:vAlign w:val="center"/>
            <w:hideMark/>
          </w:tcPr>
          <w:p w14:paraId="659A0CE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46.680.608</w:t>
            </w:r>
          </w:p>
        </w:tc>
        <w:tc>
          <w:tcPr>
            <w:tcW w:w="518" w:type="pct"/>
            <w:tcBorders>
              <w:top w:val="nil"/>
              <w:left w:val="nil"/>
              <w:bottom w:val="single" w:sz="4" w:space="0" w:color="auto"/>
              <w:right w:val="single" w:sz="4" w:space="0" w:color="auto"/>
            </w:tcBorders>
            <w:shd w:val="clear" w:color="auto" w:fill="auto"/>
            <w:noWrap/>
            <w:vAlign w:val="center"/>
            <w:hideMark/>
          </w:tcPr>
          <w:p w14:paraId="61EE60E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34,23 %</w:t>
            </w:r>
          </w:p>
        </w:tc>
        <w:tc>
          <w:tcPr>
            <w:tcW w:w="519" w:type="pct"/>
            <w:tcBorders>
              <w:top w:val="nil"/>
              <w:left w:val="nil"/>
              <w:bottom w:val="single" w:sz="4" w:space="0" w:color="auto"/>
              <w:right w:val="single" w:sz="4" w:space="0" w:color="auto"/>
            </w:tcBorders>
            <w:shd w:val="clear" w:color="auto" w:fill="auto"/>
            <w:noWrap/>
            <w:vAlign w:val="center"/>
            <w:hideMark/>
          </w:tcPr>
          <w:p w14:paraId="1109178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53,50 %</w:t>
            </w:r>
          </w:p>
        </w:tc>
      </w:tr>
      <w:tr w:rsidR="00F24E18" w:rsidRPr="00710E07" w14:paraId="3E05917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3C62C66"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4A23945"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2E7BDB6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10</w:t>
            </w:r>
          </w:p>
        </w:tc>
        <w:tc>
          <w:tcPr>
            <w:tcW w:w="704" w:type="pct"/>
            <w:tcBorders>
              <w:top w:val="nil"/>
              <w:left w:val="nil"/>
              <w:bottom w:val="single" w:sz="4" w:space="0" w:color="auto"/>
              <w:right w:val="single" w:sz="4" w:space="0" w:color="auto"/>
            </w:tcBorders>
            <w:shd w:val="clear" w:color="auto" w:fill="auto"/>
            <w:noWrap/>
            <w:vAlign w:val="center"/>
            <w:hideMark/>
          </w:tcPr>
          <w:p w14:paraId="609D590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314.057</w:t>
            </w:r>
          </w:p>
        </w:tc>
        <w:tc>
          <w:tcPr>
            <w:tcW w:w="518" w:type="pct"/>
            <w:tcBorders>
              <w:top w:val="nil"/>
              <w:left w:val="nil"/>
              <w:bottom w:val="single" w:sz="4" w:space="0" w:color="auto"/>
              <w:right w:val="single" w:sz="4" w:space="0" w:color="auto"/>
            </w:tcBorders>
            <w:shd w:val="clear" w:color="auto" w:fill="auto"/>
            <w:noWrap/>
            <w:vAlign w:val="center"/>
            <w:hideMark/>
          </w:tcPr>
          <w:p w14:paraId="0F6E6F5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1,91 %</w:t>
            </w:r>
          </w:p>
        </w:tc>
        <w:tc>
          <w:tcPr>
            <w:tcW w:w="519" w:type="pct"/>
            <w:tcBorders>
              <w:top w:val="nil"/>
              <w:left w:val="nil"/>
              <w:bottom w:val="single" w:sz="4" w:space="0" w:color="auto"/>
              <w:right w:val="single" w:sz="4" w:space="0" w:color="auto"/>
            </w:tcBorders>
            <w:shd w:val="clear" w:color="auto" w:fill="auto"/>
            <w:noWrap/>
            <w:vAlign w:val="center"/>
            <w:hideMark/>
          </w:tcPr>
          <w:p w14:paraId="1AB21CB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0,36 %</w:t>
            </w:r>
          </w:p>
        </w:tc>
      </w:tr>
      <w:tr w:rsidR="00F24E18" w:rsidRPr="00710E07" w14:paraId="33DA24D6"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6A995E2"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2E7E647"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757A104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noWrap/>
            <w:vAlign w:val="center"/>
            <w:hideMark/>
          </w:tcPr>
          <w:p w14:paraId="66CF4F8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200.000</w:t>
            </w:r>
          </w:p>
        </w:tc>
        <w:tc>
          <w:tcPr>
            <w:tcW w:w="518" w:type="pct"/>
            <w:tcBorders>
              <w:top w:val="nil"/>
              <w:left w:val="nil"/>
              <w:bottom w:val="single" w:sz="4" w:space="0" w:color="auto"/>
              <w:right w:val="single" w:sz="4" w:space="0" w:color="auto"/>
            </w:tcBorders>
            <w:shd w:val="clear" w:color="auto" w:fill="auto"/>
            <w:noWrap/>
            <w:vAlign w:val="center"/>
            <w:hideMark/>
          </w:tcPr>
          <w:p w14:paraId="3A29EE4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0,19 %</w:t>
            </w:r>
          </w:p>
        </w:tc>
        <w:tc>
          <w:tcPr>
            <w:tcW w:w="519" w:type="pct"/>
            <w:tcBorders>
              <w:top w:val="nil"/>
              <w:left w:val="nil"/>
              <w:bottom w:val="single" w:sz="4" w:space="0" w:color="auto"/>
              <w:right w:val="single" w:sz="4" w:space="0" w:color="auto"/>
            </w:tcBorders>
            <w:shd w:val="clear" w:color="auto" w:fill="auto"/>
            <w:noWrap/>
            <w:vAlign w:val="center"/>
            <w:hideMark/>
          </w:tcPr>
          <w:p w14:paraId="75A7725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0,23 %</w:t>
            </w:r>
          </w:p>
        </w:tc>
      </w:tr>
      <w:tr w:rsidR="00F24E18" w:rsidRPr="00710E07" w14:paraId="03A35999"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2C3E641"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0653483"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059C6AD2"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523</w:t>
            </w:r>
          </w:p>
        </w:tc>
        <w:tc>
          <w:tcPr>
            <w:tcW w:w="704" w:type="pct"/>
            <w:tcBorders>
              <w:top w:val="nil"/>
              <w:left w:val="nil"/>
              <w:bottom w:val="single" w:sz="4" w:space="0" w:color="auto"/>
              <w:right w:val="single" w:sz="4" w:space="0" w:color="auto"/>
            </w:tcBorders>
            <w:shd w:val="clear" w:color="auto" w:fill="auto"/>
            <w:noWrap/>
            <w:vAlign w:val="center"/>
            <w:hideMark/>
          </w:tcPr>
          <w:p w14:paraId="5CBABCF9"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87.257.785</w:t>
            </w:r>
          </w:p>
        </w:tc>
        <w:tc>
          <w:tcPr>
            <w:tcW w:w="518" w:type="pct"/>
            <w:tcBorders>
              <w:top w:val="nil"/>
              <w:left w:val="nil"/>
              <w:bottom w:val="single" w:sz="4" w:space="0" w:color="auto"/>
              <w:right w:val="single" w:sz="4" w:space="0" w:color="auto"/>
            </w:tcBorders>
            <w:shd w:val="clear" w:color="auto" w:fill="auto"/>
            <w:noWrap/>
            <w:vAlign w:val="center"/>
            <w:hideMark/>
          </w:tcPr>
          <w:p w14:paraId="02F08FA0"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61C2A791"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101F9FE5"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B0E6A0"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OBALNO-KRAŠKA</w:t>
            </w:r>
          </w:p>
        </w:tc>
        <w:tc>
          <w:tcPr>
            <w:tcW w:w="1445" w:type="pct"/>
            <w:tcBorders>
              <w:top w:val="nil"/>
              <w:left w:val="nil"/>
              <w:bottom w:val="single" w:sz="4" w:space="0" w:color="auto"/>
              <w:right w:val="single" w:sz="4" w:space="0" w:color="auto"/>
            </w:tcBorders>
            <w:shd w:val="clear" w:color="auto" w:fill="auto"/>
            <w:noWrap/>
            <w:vAlign w:val="center"/>
            <w:hideMark/>
          </w:tcPr>
          <w:p w14:paraId="198C49C4"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35F69C2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93</w:t>
            </w:r>
          </w:p>
        </w:tc>
        <w:tc>
          <w:tcPr>
            <w:tcW w:w="704" w:type="pct"/>
            <w:tcBorders>
              <w:top w:val="nil"/>
              <w:left w:val="nil"/>
              <w:bottom w:val="single" w:sz="4" w:space="0" w:color="auto"/>
              <w:right w:val="single" w:sz="4" w:space="0" w:color="auto"/>
            </w:tcBorders>
            <w:shd w:val="clear" w:color="auto" w:fill="auto"/>
            <w:noWrap/>
            <w:vAlign w:val="center"/>
            <w:hideMark/>
          </w:tcPr>
          <w:p w14:paraId="50D2381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10.012.451</w:t>
            </w:r>
          </w:p>
        </w:tc>
        <w:tc>
          <w:tcPr>
            <w:tcW w:w="518" w:type="pct"/>
            <w:tcBorders>
              <w:top w:val="nil"/>
              <w:left w:val="nil"/>
              <w:bottom w:val="single" w:sz="4" w:space="0" w:color="auto"/>
              <w:right w:val="single" w:sz="4" w:space="0" w:color="auto"/>
            </w:tcBorders>
            <w:shd w:val="clear" w:color="auto" w:fill="auto"/>
            <w:noWrap/>
            <w:vAlign w:val="center"/>
            <w:hideMark/>
          </w:tcPr>
          <w:p w14:paraId="2BBFEBE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9,43 %</w:t>
            </w:r>
          </w:p>
        </w:tc>
        <w:tc>
          <w:tcPr>
            <w:tcW w:w="519" w:type="pct"/>
            <w:tcBorders>
              <w:top w:val="nil"/>
              <w:left w:val="nil"/>
              <w:bottom w:val="single" w:sz="4" w:space="0" w:color="auto"/>
              <w:right w:val="single" w:sz="4" w:space="0" w:color="auto"/>
            </w:tcBorders>
            <w:shd w:val="clear" w:color="auto" w:fill="auto"/>
            <w:noWrap/>
            <w:vAlign w:val="center"/>
            <w:hideMark/>
          </w:tcPr>
          <w:p w14:paraId="7CCAEE2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3,78 %</w:t>
            </w:r>
          </w:p>
        </w:tc>
      </w:tr>
      <w:tr w:rsidR="00F24E18" w:rsidRPr="00710E07" w14:paraId="39E77890"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845D78E"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A6B2161"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1AEC41F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306</w:t>
            </w:r>
          </w:p>
        </w:tc>
        <w:tc>
          <w:tcPr>
            <w:tcW w:w="704" w:type="pct"/>
            <w:tcBorders>
              <w:top w:val="nil"/>
              <w:left w:val="nil"/>
              <w:bottom w:val="single" w:sz="4" w:space="0" w:color="auto"/>
              <w:right w:val="single" w:sz="4" w:space="0" w:color="auto"/>
            </w:tcBorders>
            <w:shd w:val="clear" w:color="auto" w:fill="auto"/>
            <w:noWrap/>
            <w:vAlign w:val="center"/>
            <w:hideMark/>
          </w:tcPr>
          <w:p w14:paraId="74AB24E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112.598.725</w:t>
            </w:r>
          </w:p>
        </w:tc>
        <w:tc>
          <w:tcPr>
            <w:tcW w:w="518" w:type="pct"/>
            <w:tcBorders>
              <w:top w:val="nil"/>
              <w:left w:val="nil"/>
              <w:bottom w:val="single" w:sz="4" w:space="0" w:color="auto"/>
              <w:right w:val="single" w:sz="4" w:space="0" w:color="auto"/>
            </w:tcBorders>
            <w:shd w:val="clear" w:color="auto" w:fill="auto"/>
            <w:noWrap/>
            <w:vAlign w:val="center"/>
            <w:hideMark/>
          </w:tcPr>
          <w:p w14:paraId="64B4788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31,03 %</w:t>
            </w:r>
          </w:p>
        </w:tc>
        <w:tc>
          <w:tcPr>
            <w:tcW w:w="519" w:type="pct"/>
            <w:tcBorders>
              <w:top w:val="nil"/>
              <w:left w:val="nil"/>
              <w:bottom w:val="single" w:sz="4" w:space="0" w:color="auto"/>
              <w:right w:val="single" w:sz="4" w:space="0" w:color="auto"/>
            </w:tcBorders>
            <w:shd w:val="clear" w:color="auto" w:fill="auto"/>
            <w:noWrap/>
            <w:vAlign w:val="center"/>
            <w:hideMark/>
          </w:tcPr>
          <w:p w14:paraId="7A80CA8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42,47 %</w:t>
            </w:r>
          </w:p>
        </w:tc>
      </w:tr>
      <w:tr w:rsidR="00F24E18" w:rsidRPr="00710E07" w14:paraId="04D27BEB"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0008F12D"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7218FC0C"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438A5B1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295</w:t>
            </w:r>
          </w:p>
        </w:tc>
        <w:tc>
          <w:tcPr>
            <w:tcW w:w="704" w:type="pct"/>
            <w:tcBorders>
              <w:top w:val="nil"/>
              <w:left w:val="nil"/>
              <w:bottom w:val="single" w:sz="4" w:space="0" w:color="auto"/>
              <w:right w:val="single" w:sz="4" w:space="0" w:color="auto"/>
            </w:tcBorders>
            <w:shd w:val="clear" w:color="auto" w:fill="auto"/>
            <w:noWrap/>
            <w:vAlign w:val="center"/>
            <w:hideMark/>
          </w:tcPr>
          <w:p w14:paraId="2DD6274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42.374.717</w:t>
            </w:r>
          </w:p>
        </w:tc>
        <w:tc>
          <w:tcPr>
            <w:tcW w:w="518" w:type="pct"/>
            <w:tcBorders>
              <w:top w:val="nil"/>
              <w:left w:val="nil"/>
              <w:bottom w:val="single" w:sz="4" w:space="0" w:color="auto"/>
              <w:right w:val="single" w:sz="4" w:space="0" w:color="auto"/>
            </w:tcBorders>
            <w:shd w:val="clear" w:color="auto" w:fill="auto"/>
            <w:noWrap/>
            <w:vAlign w:val="center"/>
            <w:hideMark/>
          </w:tcPr>
          <w:p w14:paraId="0BAE7E8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29,92 %</w:t>
            </w:r>
          </w:p>
        </w:tc>
        <w:tc>
          <w:tcPr>
            <w:tcW w:w="519" w:type="pct"/>
            <w:tcBorders>
              <w:top w:val="nil"/>
              <w:left w:val="nil"/>
              <w:bottom w:val="single" w:sz="4" w:space="0" w:color="auto"/>
              <w:right w:val="single" w:sz="4" w:space="0" w:color="auto"/>
            </w:tcBorders>
            <w:shd w:val="clear" w:color="auto" w:fill="auto"/>
            <w:noWrap/>
            <w:vAlign w:val="center"/>
            <w:hideMark/>
          </w:tcPr>
          <w:p w14:paraId="4039CF4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15,98 %</w:t>
            </w:r>
          </w:p>
        </w:tc>
      </w:tr>
      <w:tr w:rsidR="00F24E18" w:rsidRPr="00710E07" w14:paraId="30C53D13"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9E889AA"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08F60771"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618834D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274</w:t>
            </w:r>
          </w:p>
        </w:tc>
        <w:tc>
          <w:tcPr>
            <w:tcW w:w="704" w:type="pct"/>
            <w:tcBorders>
              <w:top w:val="nil"/>
              <w:left w:val="nil"/>
              <w:bottom w:val="single" w:sz="4" w:space="0" w:color="auto"/>
              <w:right w:val="single" w:sz="4" w:space="0" w:color="auto"/>
            </w:tcBorders>
            <w:shd w:val="clear" w:color="auto" w:fill="auto"/>
            <w:noWrap/>
            <w:vAlign w:val="center"/>
            <w:hideMark/>
          </w:tcPr>
          <w:p w14:paraId="4161190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98.500.372</w:t>
            </w:r>
          </w:p>
        </w:tc>
        <w:tc>
          <w:tcPr>
            <w:tcW w:w="518" w:type="pct"/>
            <w:tcBorders>
              <w:top w:val="nil"/>
              <w:left w:val="nil"/>
              <w:bottom w:val="single" w:sz="4" w:space="0" w:color="auto"/>
              <w:right w:val="single" w:sz="4" w:space="0" w:color="auto"/>
            </w:tcBorders>
            <w:shd w:val="clear" w:color="auto" w:fill="auto"/>
            <w:noWrap/>
            <w:vAlign w:val="center"/>
            <w:hideMark/>
          </w:tcPr>
          <w:p w14:paraId="450A8028"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27,79 %</w:t>
            </w:r>
          </w:p>
        </w:tc>
        <w:tc>
          <w:tcPr>
            <w:tcW w:w="519" w:type="pct"/>
            <w:tcBorders>
              <w:top w:val="nil"/>
              <w:left w:val="nil"/>
              <w:bottom w:val="single" w:sz="4" w:space="0" w:color="auto"/>
              <w:right w:val="single" w:sz="4" w:space="0" w:color="auto"/>
            </w:tcBorders>
            <w:shd w:val="clear" w:color="auto" w:fill="auto"/>
            <w:noWrap/>
            <w:vAlign w:val="center"/>
            <w:hideMark/>
          </w:tcPr>
          <w:p w14:paraId="3EE34B1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37,15 %</w:t>
            </w:r>
          </w:p>
        </w:tc>
      </w:tr>
      <w:tr w:rsidR="00F24E18" w:rsidRPr="00710E07" w14:paraId="1DA807D9"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9C4DBD2"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031B991"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7EA8C4F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13</w:t>
            </w:r>
          </w:p>
        </w:tc>
        <w:tc>
          <w:tcPr>
            <w:tcW w:w="704" w:type="pct"/>
            <w:tcBorders>
              <w:top w:val="nil"/>
              <w:left w:val="nil"/>
              <w:bottom w:val="single" w:sz="4" w:space="0" w:color="auto"/>
              <w:right w:val="single" w:sz="4" w:space="0" w:color="auto"/>
            </w:tcBorders>
            <w:shd w:val="clear" w:color="auto" w:fill="auto"/>
            <w:noWrap/>
            <w:vAlign w:val="center"/>
            <w:hideMark/>
          </w:tcPr>
          <w:p w14:paraId="2B98468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1.167.705</w:t>
            </w:r>
          </w:p>
        </w:tc>
        <w:tc>
          <w:tcPr>
            <w:tcW w:w="518" w:type="pct"/>
            <w:tcBorders>
              <w:top w:val="nil"/>
              <w:left w:val="nil"/>
              <w:bottom w:val="single" w:sz="4" w:space="0" w:color="auto"/>
              <w:right w:val="single" w:sz="4" w:space="0" w:color="auto"/>
            </w:tcBorders>
            <w:shd w:val="clear" w:color="auto" w:fill="auto"/>
            <w:noWrap/>
            <w:vAlign w:val="center"/>
            <w:hideMark/>
          </w:tcPr>
          <w:p w14:paraId="0BD5FE4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1,32 %</w:t>
            </w:r>
          </w:p>
        </w:tc>
        <w:tc>
          <w:tcPr>
            <w:tcW w:w="519" w:type="pct"/>
            <w:tcBorders>
              <w:top w:val="nil"/>
              <w:left w:val="nil"/>
              <w:bottom w:val="single" w:sz="4" w:space="0" w:color="auto"/>
              <w:right w:val="single" w:sz="4" w:space="0" w:color="auto"/>
            </w:tcBorders>
            <w:shd w:val="clear" w:color="auto" w:fill="auto"/>
            <w:noWrap/>
            <w:vAlign w:val="center"/>
            <w:hideMark/>
          </w:tcPr>
          <w:p w14:paraId="2B880EA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0,44 %</w:t>
            </w:r>
          </w:p>
        </w:tc>
      </w:tr>
      <w:tr w:rsidR="00F24E18" w:rsidRPr="00710E07" w14:paraId="0114AB8E"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241D31E"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24D0415"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1FA27FD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5</w:t>
            </w:r>
          </w:p>
        </w:tc>
        <w:tc>
          <w:tcPr>
            <w:tcW w:w="704" w:type="pct"/>
            <w:tcBorders>
              <w:top w:val="nil"/>
              <w:left w:val="nil"/>
              <w:bottom w:val="single" w:sz="4" w:space="0" w:color="auto"/>
              <w:right w:val="single" w:sz="4" w:space="0" w:color="auto"/>
            </w:tcBorders>
            <w:shd w:val="clear" w:color="auto" w:fill="auto"/>
            <w:noWrap/>
            <w:vAlign w:val="center"/>
            <w:hideMark/>
          </w:tcPr>
          <w:p w14:paraId="380EDEE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496.053</w:t>
            </w:r>
          </w:p>
        </w:tc>
        <w:tc>
          <w:tcPr>
            <w:tcW w:w="518" w:type="pct"/>
            <w:tcBorders>
              <w:top w:val="nil"/>
              <w:left w:val="nil"/>
              <w:bottom w:val="single" w:sz="4" w:space="0" w:color="auto"/>
              <w:right w:val="single" w:sz="4" w:space="0" w:color="auto"/>
            </w:tcBorders>
            <w:shd w:val="clear" w:color="auto" w:fill="auto"/>
            <w:noWrap/>
            <w:vAlign w:val="center"/>
            <w:hideMark/>
          </w:tcPr>
          <w:p w14:paraId="2D8B0E0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0,51 %</w:t>
            </w:r>
          </w:p>
        </w:tc>
        <w:tc>
          <w:tcPr>
            <w:tcW w:w="519" w:type="pct"/>
            <w:tcBorders>
              <w:top w:val="nil"/>
              <w:left w:val="nil"/>
              <w:bottom w:val="single" w:sz="4" w:space="0" w:color="auto"/>
              <w:right w:val="single" w:sz="4" w:space="0" w:color="auto"/>
            </w:tcBorders>
            <w:shd w:val="clear" w:color="auto" w:fill="auto"/>
            <w:noWrap/>
            <w:vAlign w:val="center"/>
            <w:hideMark/>
          </w:tcPr>
          <w:p w14:paraId="4AA6EE6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0,19 %</w:t>
            </w:r>
          </w:p>
        </w:tc>
      </w:tr>
      <w:tr w:rsidR="00F24E18" w:rsidRPr="00710E07" w14:paraId="2FDC833E"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1061AAA"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239A874"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69002E10"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986</w:t>
            </w:r>
          </w:p>
        </w:tc>
        <w:tc>
          <w:tcPr>
            <w:tcW w:w="704" w:type="pct"/>
            <w:tcBorders>
              <w:top w:val="nil"/>
              <w:left w:val="nil"/>
              <w:bottom w:val="single" w:sz="4" w:space="0" w:color="auto"/>
              <w:right w:val="single" w:sz="4" w:space="0" w:color="auto"/>
            </w:tcBorders>
            <w:shd w:val="clear" w:color="auto" w:fill="auto"/>
            <w:noWrap/>
            <w:vAlign w:val="center"/>
            <w:hideMark/>
          </w:tcPr>
          <w:p w14:paraId="46F3FBAF"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265.150.023</w:t>
            </w:r>
          </w:p>
        </w:tc>
        <w:tc>
          <w:tcPr>
            <w:tcW w:w="518" w:type="pct"/>
            <w:tcBorders>
              <w:top w:val="nil"/>
              <w:left w:val="nil"/>
              <w:bottom w:val="single" w:sz="4" w:space="0" w:color="auto"/>
              <w:right w:val="single" w:sz="4" w:space="0" w:color="auto"/>
            </w:tcBorders>
            <w:shd w:val="clear" w:color="auto" w:fill="auto"/>
            <w:noWrap/>
            <w:vAlign w:val="center"/>
            <w:hideMark/>
          </w:tcPr>
          <w:p w14:paraId="190B3EE5"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5F789442"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46C02817"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9A39E24"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OSREDNJESLOVENSKA</w:t>
            </w:r>
          </w:p>
        </w:tc>
        <w:tc>
          <w:tcPr>
            <w:tcW w:w="1445" w:type="pct"/>
            <w:tcBorders>
              <w:top w:val="nil"/>
              <w:left w:val="nil"/>
              <w:bottom w:val="single" w:sz="4" w:space="0" w:color="auto"/>
              <w:right w:val="single" w:sz="4" w:space="0" w:color="auto"/>
            </w:tcBorders>
            <w:shd w:val="clear" w:color="auto" w:fill="auto"/>
            <w:noWrap/>
            <w:vAlign w:val="center"/>
            <w:hideMark/>
          </w:tcPr>
          <w:p w14:paraId="54F6A2E5"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14D4008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899</w:t>
            </w:r>
          </w:p>
        </w:tc>
        <w:tc>
          <w:tcPr>
            <w:tcW w:w="704" w:type="pct"/>
            <w:tcBorders>
              <w:top w:val="nil"/>
              <w:left w:val="nil"/>
              <w:bottom w:val="single" w:sz="4" w:space="0" w:color="auto"/>
              <w:right w:val="single" w:sz="4" w:space="0" w:color="auto"/>
            </w:tcBorders>
            <w:shd w:val="clear" w:color="auto" w:fill="auto"/>
            <w:noWrap/>
            <w:vAlign w:val="center"/>
            <w:hideMark/>
          </w:tcPr>
          <w:p w14:paraId="24255D5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116.675.030</w:t>
            </w:r>
          </w:p>
        </w:tc>
        <w:tc>
          <w:tcPr>
            <w:tcW w:w="518" w:type="pct"/>
            <w:tcBorders>
              <w:top w:val="nil"/>
              <w:left w:val="nil"/>
              <w:bottom w:val="single" w:sz="4" w:space="0" w:color="auto"/>
              <w:right w:val="single" w:sz="4" w:space="0" w:color="auto"/>
            </w:tcBorders>
            <w:shd w:val="clear" w:color="auto" w:fill="auto"/>
            <w:noWrap/>
            <w:vAlign w:val="center"/>
            <w:hideMark/>
          </w:tcPr>
          <w:p w14:paraId="487A96B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14,34 %</w:t>
            </w:r>
          </w:p>
        </w:tc>
        <w:tc>
          <w:tcPr>
            <w:tcW w:w="519" w:type="pct"/>
            <w:tcBorders>
              <w:top w:val="nil"/>
              <w:left w:val="nil"/>
              <w:bottom w:val="single" w:sz="4" w:space="0" w:color="auto"/>
              <w:right w:val="single" w:sz="4" w:space="0" w:color="auto"/>
            </w:tcBorders>
            <w:shd w:val="clear" w:color="auto" w:fill="auto"/>
            <w:noWrap/>
            <w:vAlign w:val="center"/>
            <w:hideMark/>
          </w:tcPr>
          <w:p w14:paraId="21F4C898"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3,53 %</w:t>
            </w:r>
          </w:p>
        </w:tc>
      </w:tr>
      <w:tr w:rsidR="00F24E18" w:rsidRPr="00710E07" w14:paraId="69D65636"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4CECF06"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CE8FCC3"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313587A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2.334</w:t>
            </w:r>
          </w:p>
        </w:tc>
        <w:tc>
          <w:tcPr>
            <w:tcW w:w="704" w:type="pct"/>
            <w:tcBorders>
              <w:top w:val="nil"/>
              <w:left w:val="nil"/>
              <w:bottom w:val="single" w:sz="4" w:space="0" w:color="auto"/>
              <w:right w:val="single" w:sz="4" w:space="0" w:color="auto"/>
            </w:tcBorders>
            <w:shd w:val="clear" w:color="auto" w:fill="auto"/>
            <w:noWrap/>
            <w:vAlign w:val="center"/>
            <w:hideMark/>
          </w:tcPr>
          <w:p w14:paraId="6DA2D29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684.687.514</w:t>
            </w:r>
          </w:p>
        </w:tc>
        <w:tc>
          <w:tcPr>
            <w:tcW w:w="518" w:type="pct"/>
            <w:tcBorders>
              <w:top w:val="nil"/>
              <w:left w:val="nil"/>
              <w:bottom w:val="single" w:sz="4" w:space="0" w:color="auto"/>
              <w:right w:val="single" w:sz="4" w:space="0" w:color="auto"/>
            </w:tcBorders>
            <w:shd w:val="clear" w:color="auto" w:fill="auto"/>
            <w:noWrap/>
            <w:vAlign w:val="center"/>
            <w:hideMark/>
          </w:tcPr>
          <w:p w14:paraId="1A759D0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37,23 %</w:t>
            </w:r>
          </w:p>
        </w:tc>
        <w:tc>
          <w:tcPr>
            <w:tcW w:w="519" w:type="pct"/>
            <w:tcBorders>
              <w:top w:val="nil"/>
              <w:left w:val="nil"/>
              <w:bottom w:val="single" w:sz="4" w:space="0" w:color="auto"/>
              <w:right w:val="single" w:sz="4" w:space="0" w:color="auto"/>
            </w:tcBorders>
            <w:shd w:val="clear" w:color="auto" w:fill="auto"/>
            <w:noWrap/>
            <w:vAlign w:val="center"/>
            <w:hideMark/>
          </w:tcPr>
          <w:p w14:paraId="2D1716E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20,73 %</w:t>
            </w:r>
          </w:p>
        </w:tc>
      </w:tr>
      <w:tr w:rsidR="00F24E18" w:rsidRPr="00710E07" w14:paraId="391753B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EB63B98"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019183A"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2DC3330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1.544</w:t>
            </w:r>
          </w:p>
        </w:tc>
        <w:tc>
          <w:tcPr>
            <w:tcW w:w="704" w:type="pct"/>
            <w:tcBorders>
              <w:top w:val="nil"/>
              <w:left w:val="nil"/>
              <w:bottom w:val="single" w:sz="4" w:space="0" w:color="auto"/>
              <w:right w:val="single" w:sz="4" w:space="0" w:color="auto"/>
            </w:tcBorders>
            <w:shd w:val="clear" w:color="auto" w:fill="auto"/>
            <w:noWrap/>
            <w:vAlign w:val="center"/>
            <w:hideMark/>
          </w:tcPr>
          <w:p w14:paraId="348951B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760.954.975</w:t>
            </w:r>
          </w:p>
        </w:tc>
        <w:tc>
          <w:tcPr>
            <w:tcW w:w="518" w:type="pct"/>
            <w:tcBorders>
              <w:top w:val="nil"/>
              <w:left w:val="nil"/>
              <w:bottom w:val="single" w:sz="4" w:space="0" w:color="auto"/>
              <w:right w:val="single" w:sz="4" w:space="0" w:color="auto"/>
            </w:tcBorders>
            <w:shd w:val="clear" w:color="auto" w:fill="auto"/>
            <w:noWrap/>
            <w:vAlign w:val="center"/>
            <w:hideMark/>
          </w:tcPr>
          <w:p w14:paraId="131169F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24,63 %</w:t>
            </w:r>
          </w:p>
        </w:tc>
        <w:tc>
          <w:tcPr>
            <w:tcW w:w="519" w:type="pct"/>
            <w:tcBorders>
              <w:top w:val="nil"/>
              <w:left w:val="nil"/>
              <w:bottom w:val="single" w:sz="4" w:space="0" w:color="auto"/>
              <w:right w:val="single" w:sz="4" w:space="0" w:color="auto"/>
            </w:tcBorders>
            <w:shd w:val="clear" w:color="auto" w:fill="auto"/>
            <w:noWrap/>
            <w:vAlign w:val="center"/>
            <w:hideMark/>
          </w:tcPr>
          <w:p w14:paraId="1E1C272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23,04 %</w:t>
            </w:r>
          </w:p>
        </w:tc>
      </w:tr>
      <w:tr w:rsidR="00F24E18" w:rsidRPr="00710E07" w14:paraId="49484CA8"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4EF29A8C"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C1FC041"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791F5DD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1.231</w:t>
            </w:r>
          </w:p>
        </w:tc>
        <w:tc>
          <w:tcPr>
            <w:tcW w:w="704" w:type="pct"/>
            <w:tcBorders>
              <w:top w:val="nil"/>
              <w:left w:val="nil"/>
              <w:bottom w:val="single" w:sz="4" w:space="0" w:color="auto"/>
              <w:right w:val="single" w:sz="4" w:space="0" w:color="auto"/>
            </w:tcBorders>
            <w:shd w:val="clear" w:color="auto" w:fill="auto"/>
            <w:noWrap/>
            <w:vAlign w:val="center"/>
            <w:hideMark/>
          </w:tcPr>
          <w:p w14:paraId="435F23D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1.543.914.818</w:t>
            </w:r>
          </w:p>
        </w:tc>
        <w:tc>
          <w:tcPr>
            <w:tcW w:w="518" w:type="pct"/>
            <w:tcBorders>
              <w:top w:val="nil"/>
              <w:left w:val="nil"/>
              <w:bottom w:val="single" w:sz="4" w:space="0" w:color="auto"/>
              <w:right w:val="single" w:sz="4" w:space="0" w:color="auto"/>
            </w:tcBorders>
            <w:shd w:val="clear" w:color="auto" w:fill="auto"/>
            <w:noWrap/>
            <w:vAlign w:val="center"/>
            <w:hideMark/>
          </w:tcPr>
          <w:p w14:paraId="33EE03B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19,64 %</w:t>
            </w:r>
          </w:p>
        </w:tc>
        <w:tc>
          <w:tcPr>
            <w:tcW w:w="519" w:type="pct"/>
            <w:tcBorders>
              <w:top w:val="nil"/>
              <w:left w:val="nil"/>
              <w:bottom w:val="single" w:sz="4" w:space="0" w:color="auto"/>
              <w:right w:val="single" w:sz="4" w:space="0" w:color="auto"/>
            </w:tcBorders>
            <w:shd w:val="clear" w:color="auto" w:fill="auto"/>
            <w:noWrap/>
            <w:vAlign w:val="center"/>
            <w:hideMark/>
          </w:tcPr>
          <w:p w14:paraId="4D1211F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46,74 %</w:t>
            </w:r>
          </w:p>
        </w:tc>
      </w:tr>
      <w:tr w:rsidR="00F24E18" w:rsidRPr="00710E07" w14:paraId="424B8AB6"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5B1A2A4"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AB97712"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7819D35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190</w:t>
            </w:r>
          </w:p>
        </w:tc>
        <w:tc>
          <w:tcPr>
            <w:tcW w:w="704" w:type="pct"/>
            <w:tcBorders>
              <w:top w:val="nil"/>
              <w:left w:val="nil"/>
              <w:bottom w:val="single" w:sz="4" w:space="0" w:color="auto"/>
              <w:right w:val="single" w:sz="4" w:space="0" w:color="auto"/>
            </w:tcBorders>
            <w:shd w:val="clear" w:color="auto" w:fill="auto"/>
            <w:noWrap/>
            <w:vAlign w:val="center"/>
            <w:hideMark/>
          </w:tcPr>
          <w:p w14:paraId="11CE913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160.145.625</w:t>
            </w:r>
          </w:p>
        </w:tc>
        <w:tc>
          <w:tcPr>
            <w:tcW w:w="518" w:type="pct"/>
            <w:tcBorders>
              <w:top w:val="nil"/>
              <w:left w:val="nil"/>
              <w:bottom w:val="single" w:sz="4" w:space="0" w:color="auto"/>
              <w:right w:val="single" w:sz="4" w:space="0" w:color="auto"/>
            </w:tcBorders>
            <w:shd w:val="clear" w:color="auto" w:fill="auto"/>
            <w:noWrap/>
            <w:vAlign w:val="center"/>
            <w:hideMark/>
          </w:tcPr>
          <w:p w14:paraId="3CA5E3B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3,03 %</w:t>
            </w:r>
          </w:p>
        </w:tc>
        <w:tc>
          <w:tcPr>
            <w:tcW w:w="519" w:type="pct"/>
            <w:tcBorders>
              <w:top w:val="nil"/>
              <w:left w:val="nil"/>
              <w:bottom w:val="single" w:sz="4" w:space="0" w:color="auto"/>
              <w:right w:val="single" w:sz="4" w:space="0" w:color="auto"/>
            </w:tcBorders>
            <w:shd w:val="clear" w:color="auto" w:fill="auto"/>
            <w:noWrap/>
            <w:vAlign w:val="center"/>
            <w:hideMark/>
          </w:tcPr>
          <w:p w14:paraId="431CC8A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4,85 %</w:t>
            </w:r>
          </w:p>
        </w:tc>
      </w:tr>
      <w:tr w:rsidR="00F24E18" w:rsidRPr="00710E07" w14:paraId="422F3316"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6715373D"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3F5182C"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5CAD10D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71</w:t>
            </w:r>
          </w:p>
        </w:tc>
        <w:tc>
          <w:tcPr>
            <w:tcW w:w="704" w:type="pct"/>
            <w:tcBorders>
              <w:top w:val="nil"/>
              <w:left w:val="nil"/>
              <w:bottom w:val="single" w:sz="4" w:space="0" w:color="auto"/>
              <w:right w:val="single" w:sz="4" w:space="0" w:color="auto"/>
            </w:tcBorders>
            <w:shd w:val="clear" w:color="auto" w:fill="auto"/>
            <w:noWrap/>
            <w:vAlign w:val="center"/>
            <w:hideMark/>
          </w:tcPr>
          <w:p w14:paraId="766D206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36.495.769</w:t>
            </w:r>
          </w:p>
        </w:tc>
        <w:tc>
          <w:tcPr>
            <w:tcW w:w="518" w:type="pct"/>
            <w:tcBorders>
              <w:top w:val="nil"/>
              <w:left w:val="nil"/>
              <w:bottom w:val="single" w:sz="4" w:space="0" w:color="auto"/>
              <w:right w:val="single" w:sz="4" w:space="0" w:color="auto"/>
            </w:tcBorders>
            <w:shd w:val="clear" w:color="auto" w:fill="auto"/>
            <w:noWrap/>
            <w:vAlign w:val="center"/>
            <w:hideMark/>
          </w:tcPr>
          <w:p w14:paraId="53806CF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1,13 %</w:t>
            </w:r>
          </w:p>
        </w:tc>
        <w:tc>
          <w:tcPr>
            <w:tcW w:w="519" w:type="pct"/>
            <w:tcBorders>
              <w:top w:val="nil"/>
              <w:left w:val="nil"/>
              <w:bottom w:val="single" w:sz="4" w:space="0" w:color="auto"/>
              <w:right w:val="single" w:sz="4" w:space="0" w:color="auto"/>
            </w:tcBorders>
            <w:shd w:val="clear" w:color="auto" w:fill="auto"/>
            <w:noWrap/>
            <w:vAlign w:val="center"/>
            <w:hideMark/>
          </w:tcPr>
          <w:p w14:paraId="00E0913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1,10 %</w:t>
            </w:r>
          </w:p>
        </w:tc>
      </w:tr>
      <w:tr w:rsidR="00F24E18" w:rsidRPr="00710E07" w14:paraId="79E3B7C5"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7C79981"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2F58A5E2"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76E09588"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6.269</w:t>
            </w:r>
          </w:p>
        </w:tc>
        <w:tc>
          <w:tcPr>
            <w:tcW w:w="704" w:type="pct"/>
            <w:tcBorders>
              <w:top w:val="nil"/>
              <w:left w:val="nil"/>
              <w:bottom w:val="single" w:sz="4" w:space="0" w:color="auto"/>
              <w:right w:val="single" w:sz="4" w:space="0" w:color="auto"/>
            </w:tcBorders>
            <w:shd w:val="clear" w:color="auto" w:fill="auto"/>
            <w:noWrap/>
            <w:vAlign w:val="center"/>
            <w:hideMark/>
          </w:tcPr>
          <w:p w14:paraId="20D578B8"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3.302.873.731</w:t>
            </w:r>
          </w:p>
        </w:tc>
        <w:tc>
          <w:tcPr>
            <w:tcW w:w="518" w:type="pct"/>
            <w:tcBorders>
              <w:top w:val="nil"/>
              <w:left w:val="nil"/>
              <w:bottom w:val="single" w:sz="4" w:space="0" w:color="auto"/>
              <w:right w:val="single" w:sz="4" w:space="0" w:color="auto"/>
            </w:tcBorders>
            <w:shd w:val="clear" w:color="auto" w:fill="auto"/>
            <w:noWrap/>
            <w:vAlign w:val="center"/>
            <w:hideMark/>
          </w:tcPr>
          <w:p w14:paraId="3884FD7E"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60FD8BA9"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7D31D87B"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00DF78E"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PODRAVSKA</w:t>
            </w:r>
          </w:p>
        </w:tc>
        <w:tc>
          <w:tcPr>
            <w:tcW w:w="1445" w:type="pct"/>
            <w:tcBorders>
              <w:top w:val="nil"/>
              <w:left w:val="nil"/>
              <w:bottom w:val="single" w:sz="4" w:space="0" w:color="auto"/>
              <w:right w:val="single" w:sz="4" w:space="0" w:color="auto"/>
            </w:tcBorders>
            <w:shd w:val="clear" w:color="auto" w:fill="auto"/>
            <w:noWrap/>
            <w:vAlign w:val="center"/>
            <w:hideMark/>
          </w:tcPr>
          <w:p w14:paraId="22DEC726"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578AB7F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361</w:t>
            </w:r>
          </w:p>
        </w:tc>
        <w:tc>
          <w:tcPr>
            <w:tcW w:w="704" w:type="pct"/>
            <w:tcBorders>
              <w:top w:val="nil"/>
              <w:left w:val="nil"/>
              <w:bottom w:val="single" w:sz="4" w:space="0" w:color="auto"/>
              <w:right w:val="single" w:sz="4" w:space="0" w:color="auto"/>
            </w:tcBorders>
            <w:shd w:val="clear" w:color="auto" w:fill="auto"/>
            <w:noWrap/>
            <w:vAlign w:val="center"/>
            <w:hideMark/>
          </w:tcPr>
          <w:p w14:paraId="7FC19E8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25.425.246</w:t>
            </w:r>
          </w:p>
        </w:tc>
        <w:tc>
          <w:tcPr>
            <w:tcW w:w="518" w:type="pct"/>
            <w:tcBorders>
              <w:top w:val="nil"/>
              <w:left w:val="nil"/>
              <w:bottom w:val="single" w:sz="4" w:space="0" w:color="auto"/>
              <w:right w:val="single" w:sz="4" w:space="0" w:color="auto"/>
            </w:tcBorders>
            <w:shd w:val="clear" w:color="auto" w:fill="auto"/>
            <w:noWrap/>
            <w:vAlign w:val="center"/>
            <w:hideMark/>
          </w:tcPr>
          <w:p w14:paraId="41EAB82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15,63 %</w:t>
            </w:r>
          </w:p>
        </w:tc>
        <w:tc>
          <w:tcPr>
            <w:tcW w:w="519" w:type="pct"/>
            <w:tcBorders>
              <w:top w:val="nil"/>
              <w:left w:val="nil"/>
              <w:bottom w:val="single" w:sz="4" w:space="0" w:color="auto"/>
              <w:right w:val="single" w:sz="4" w:space="0" w:color="auto"/>
            </w:tcBorders>
            <w:shd w:val="clear" w:color="auto" w:fill="auto"/>
            <w:noWrap/>
            <w:vAlign w:val="center"/>
            <w:hideMark/>
          </w:tcPr>
          <w:p w14:paraId="64A731E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2,94 %</w:t>
            </w:r>
          </w:p>
        </w:tc>
      </w:tr>
      <w:tr w:rsidR="00F24E18" w:rsidRPr="00710E07" w14:paraId="34D3B7D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C4AF305"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25A0F42"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34084E5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892</w:t>
            </w:r>
          </w:p>
        </w:tc>
        <w:tc>
          <w:tcPr>
            <w:tcW w:w="704" w:type="pct"/>
            <w:tcBorders>
              <w:top w:val="nil"/>
              <w:left w:val="nil"/>
              <w:bottom w:val="single" w:sz="4" w:space="0" w:color="auto"/>
              <w:right w:val="single" w:sz="4" w:space="0" w:color="auto"/>
            </w:tcBorders>
            <w:shd w:val="clear" w:color="auto" w:fill="auto"/>
            <w:noWrap/>
            <w:vAlign w:val="center"/>
            <w:hideMark/>
          </w:tcPr>
          <w:p w14:paraId="3DB220A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221.008.295</w:t>
            </w:r>
          </w:p>
        </w:tc>
        <w:tc>
          <w:tcPr>
            <w:tcW w:w="518" w:type="pct"/>
            <w:tcBorders>
              <w:top w:val="nil"/>
              <w:left w:val="nil"/>
              <w:bottom w:val="single" w:sz="4" w:space="0" w:color="auto"/>
              <w:right w:val="single" w:sz="4" w:space="0" w:color="auto"/>
            </w:tcBorders>
            <w:shd w:val="clear" w:color="auto" w:fill="auto"/>
            <w:noWrap/>
            <w:vAlign w:val="center"/>
            <w:hideMark/>
          </w:tcPr>
          <w:p w14:paraId="759B26E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38,63 %</w:t>
            </w:r>
          </w:p>
        </w:tc>
        <w:tc>
          <w:tcPr>
            <w:tcW w:w="519" w:type="pct"/>
            <w:tcBorders>
              <w:top w:val="nil"/>
              <w:left w:val="nil"/>
              <w:bottom w:val="single" w:sz="4" w:space="0" w:color="auto"/>
              <w:right w:val="single" w:sz="4" w:space="0" w:color="auto"/>
            </w:tcBorders>
            <w:shd w:val="clear" w:color="auto" w:fill="auto"/>
            <w:noWrap/>
            <w:vAlign w:val="center"/>
            <w:hideMark/>
          </w:tcPr>
          <w:p w14:paraId="5C2FE79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25,58 %</w:t>
            </w:r>
          </w:p>
        </w:tc>
      </w:tr>
      <w:tr w:rsidR="00F24E18" w:rsidRPr="00710E07" w14:paraId="57AF557B"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39415B5F"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B5B2D4C"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13E571A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547</w:t>
            </w:r>
          </w:p>
        </w:tc>
        <w:tc>
          <w:tcPr>
            <w:tcW w:w="704" w:type="pct"/>
            <w:tcBorders>
              <w:top w:val="nil"/>
              <w:left w:val="nil"/>
              <w:bottom w:val="single" w:sz="4" w:space="0" w:color="auto"/>
              <w:right w:val="single" w:sz="4" w:space="0" w:color="auto"/>
            </w:tcBorders>
            <w:shd w:val="clear" w:color="auto" w:fill="auto"/>
            <w:noWrap/>
            <w:vAlign w:val="center"/>
            <w:hideMark/>
          </w:tcPr>
          <w:p w14:paraId="64462AF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166.290.377</w:t>
            </w:r>
          </w:p>
        </w:tc>
        <w:tc>
          <w:tcPr>
            <w:tcW w:w="518" w:type="pct"/>
            <w:tcBorders>
              <w:top w:val="nil"/>
              <w:left w:val="nil"/>
              <w:bottom w:val="single" w:sz="4" w:space="0" w:color="auto"/>
              <w:right w:val="single" w:sz="4" w:space="0" w:color="auto"/>
            </w:tcBorders>
            <w:shd w:val="clear" w:color="auto" w:fill="auto"/>
            <w:noWrap/>
            <w:vAlign w:val="center"/>
            <w:hideMark/>
          </w:tcPr>
          <w:p w14:paraId="72EA7BD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23,69 %</w:t>
            </w:r>
          </w:p>
        </w:tc>
        <w:tc>
          <w:tcPr>
            <w:tcW w:w="519" w:type="pct"/>
            <w:tcBorders>
              <w:top w:val="nil"/>
              <w:left w:val="nil"/>
              <w:bottom w:val="single" w:sz="4" w:space="0" w:color="auto"/>
              <w:right w:val="single" w:sz="4" w:space="0" w:color="auto"/>
            </w:tcBorders>
            <w:shd w:val="clear" w:color="auto" w:fill="auto"/>
            <w:noWrap/>
            <w:vAlign w:val="center"/>
            <w:hideMark/>
          </w:tcPr>
          <w:p w14:paraId="289E304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19,25 %</w:t>
            </w:r>
          </w:p>
        </w:tc>
      </w:tr>
      <w:tr w:rsidR="00F24E18" w:rsidRPr="00710E07" w14:paraId="331DB87C"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C6F3E46"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2B50787"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05EEA8E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425</w:t>
            </w:r>
          </w:p>
        </w:tc>
        <w:tc>
          <w:tcPr>
            <w:tcW w:w="704" w:type="pct"/>
            <w:tcBorders>
              <w:top w:val="nil"/>
              <w:left w:val="nil"/>
              <w:bottom w:val="single" w:sz="4" w:space="0" w:color="auto"/>
              <w:right w:val="single" w:sz="4" w:space="0" w:color="auto"/>
            </w:tcBorders>
            <w:shd w:val="clear" w:color="auto" w:fill="auto"/>
            <w:noWrap/>
            <w:vAlign w:val="center"/>
            <w:hideMark/>
          </w:tcPr>
          <w:p w14:paraId="2FD1634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433.765.269</w:t>
            </w:r>
          </w:p>
        </w:tc>
        <w:tc>
          <w:tcPr>
            <w:tcW w:w="518" w:type="pct"/>
            <w:tcBorders>
              <w:top w:val="nil"/>
              <w:left w:val="nil"/>
              <w:bottom w:val="single" w:sz="4" w:space="0" w:color="auto"/>
              <w:right w:val="single" w:sz="4" w:space="0" w:color="auto"/>
            </w:tcBorders>
            <w:shd w:val="clear" w:color="auto" w:fill="auto"/>
            <w:noWrap/>
            <w:vAlign w:val="center"/>
            <w:hideMark/>
          </w:tcPr>
          <w:p w14:paraId="0ED9923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18,41 %</w:t>
            </w:r>
          </w:p>
        </w:tc>
        <w:tc>
          <w:tcPr>
            <w:tcW w:w="519" w:type="pct"/>
            <w:tcBorders>
              <w:top w:val="nil"/>
              <w:left w:val="nil"/>
              <w:bottom w:val="single" w:sz="4" w:space="0" w:color="auto"/>
              <w:right w:val="single" w:sz="4" w:space="0" w:color="auto"/>
            </w:tcBorders>
            <w:shd w:val="clear" w:color="auto" w:fill="auto"/>
            <w:noWrap/>
            <w:vAlign w:val="center"/>
            <w:hideMark/>
          </w:tcPr>
          <w:p w14:paraId="4BCA835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50,21 %</w:t>
            </w:r>
          </w:p>
        </w:tc>
      </w:tr>
      <w:tr w:rsidR="00F24E18" w:rsidRPr="00710E07" w14:paraId="65D7B316"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63B4E02"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7C2C57D9"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4C3317B8"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68</w:t>
            </w:r>
          </w:p>
        </w:tc>
        <w:tc>
          <w:tcPr>
            <w:tcW w:w="704" w:type="pct"/>
            <w:tcBorders>
              <w:top w:val="nil"/>
              <w:left w:val="nil"/>
              <w:bottom w:val="single" w:sz="4" w:space="0" w:color="auto"/>
              <w:right w:val="single" w:sz="4" w:space="0" w:color="auto"/>
            </w:tcBorders>
            <w:shd w:val="clear" w:color="auto" w:fill="auto"/>
            <w:noWrap/>
            <w:vAlign w:val="center"/>
            <w:hideMark/>
          </w:tcPr>
          <w:p w14:paraId="5F21B94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16.286.269</w:t>
            </w:r>
          </w:p>
        </w:tc>
        <w:tc>
          <w:tcPr>
            <w:tcW w:w="518" w:type="pct"/>
            <w:tcBorders>
              <w:top w:val="nil"/>
              <w:left w:val="nil"/>
              <w:bottom w:val="single" w:sz="4" w:space="0" w:color="auto"/>
              <w:right w:val="single" w:sz="4" w:space="0" w:color="auto"/>
            </w:tcBorders>
            <w:shd w:val="clear" w:color="auto" w:fill="auto"/>
            <w:noWrap/>
            <w:vAlign w:val="center"/>
            <w:hideMark/>
          </w:tcPr>
          <w:p w14:paraId="2BCE6F1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2,94 %</w:t>
            </w:r>
          </w:p>
        </w:tc>
        <w:tc>
          <w:tcPr>
            <w:tcW w:w="519" w:type="pct"/>
            <w:tcBorders>
              <w:top w:val="nil"/>
              <w:left w:val="nil"/>
              <w:bottom w:val="single" w:sz="4" w:space="0" w:color="auto"/>
              <w:right w:val="single" w:sz="4" w:space="0" w:color="auto"/>
            </w:tcBorders>
            <w:shd w:val="clear" w:color="auto" w:fill="auto"/>
            <w:noWrap/>
            <w:vAlign w:val="center"/>
            <w:hideMark/>
          </w:tcPr>
          <w:p w14:paraId="29881D4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1,89 %</w:t>
            </w:r>
          </w:p>
        </w:tc>
      </w:tr>
      <w:tr w:rsidR="00F24E18" w:rsidRPr="00710E07" w14:paraId="346E8D70"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EFE36B9"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98627FB"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4AB89AA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16</w:t>
            </w:r>
          </w:p>
        </w:tc>
        <w:tc>
          <w:tcPr>
            <w:tcW w:w="704" w:type="pct"/>
            <w:tcBorders>
              <w:top w:val="nil"/>
              <w:left w:val="nil"/>
              <w:bottom w:val="single" w:sz="4" w:space="0" w:color="auto"/>
              <w:right w:val="single" w:sz="4" w:space="0" w:color="auto"/>
            </w:tcBorders>
            <w:shd w:val="clear" w:color="auto" w:fill="auto"/>
            <w:noWrap/>
            <w:vAlign w:val="center"/>
            <w:hideMark/>
          </w:tcPr>
          <w:p w14:paraId="2712DE8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1.047.553</w:t>
            </w:r>
          </w:p>
        </w:tc>
        <w:tc>
          <w:tcPr>
            <w:tcW w:w="518" w:type="pct"/>
            <w:tcBorders>
              <w:top w:val="nil"/>
              <w:left w:val="nil"/>
              <w:bottom w:val="single" w:sz="4" w:space="0" w:color="auto"/>
              <w:right w:val="single" w:sz="4" w:space="0" w:color="auto"/>
            </w:tcBorders>
            <w:shd w:val="clear" w:color="auto" w:fill="auto"/>
            <w:noWrap/>
            <w:vAlign w:val="center"/>
            <w:hideMark/>
          </w:tcPr>
          <w:p w14:paraId="19EFA84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0,69 %</w:t>
            </w:r>
          </w:p>
        </w:tc>
        <w:tc>
          <w:tcPr>
            <w:tcW w:w="519" w:type="pct"/>
            <w:tcBorders>
              <w:top w:val="nil"/>
              <w:left w:val="nil"/>
              <w:bottom w:val="single" w:sz="4" w:space="0" w:color="auto"/>
              <w:right w:val="single" w:sz="4" w:space="0" w:color="auto"/>
            </w:tcBorders>
            <w:shd w:val="clear" w:color="auto" w:fill="auto"/>
            <w:noWrap/>
            <w:vAlign w:val="center"/>
            <w:hideMark/>
          </w:tcPr>
          <w:p w14:paraId="1A1861D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0,12 %</w:t>
            </w:r>
          </w:p>
        </w:tc>
      </w:tr>
      <w:tr w:rsidR="00F24E18" w:rsidRPr="00710E07" w14:paraId="756AAF1F"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034BFBB"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2AC2BB2"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32151F6F"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2.309</w:t>
            </w:r>
          </w:p>
        </w:tc>
        <w:tc>
          <w:tcPr>
            <w:tcW w:w="704" w:type="pct"/>
            <w:tcBorders>
              <w:top w:val="nil"/>
              <w:left w:val="nil"/>
              <w:bottom w:val="single" w:sz="4" w:space="0" w:color="auto"/>
              <w:right w:val="single" w:sz="4" w:space="0" w:color="auto"/>
            </w:tcBorders>
            <w:shd w:val="clear" w:color="auto" w:fill="auto"/>
            <w:noWrap/>
            <w:vAlign w:val="center"/>
            <w:hideMark/>
          </w:tcPr>
          <w:p w14:paraId="6F63C202"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863.823.009</w:t>
            </w:r>
          </w:p>
        </w:tc>
        <w:tc>
          <w:tcPr>
            <w:tcW w:w="518" w:type="pct"/>
            <w:tcBorders>
              <w:top w:val="nil"/>
              <w:left w:val="nil"/>
              <w:bottom w:val="single" w:sz="4" w:space="0" w:color="auto"/>
              <w:right w:val="single" w:sz="4" w:space="0" w:color="auto"/>
            </w:tcBorders>
            <w:shd w:val="clear" w:color="auto" w:fill="auto"/>
            <w:noWrap/>
            <w:vAlign w:val="center"/>
            <w:hideMark/>
          </w:tcPr>
          <w:p w14:paraId="6116BB03"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40115EB2"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5BF70A34"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CD3E03"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POMURSKA</w:t>
            </w:r>
          </w:p>
        </w:tc>
        <w:tc>
          <w:tcPr>
            <w:tcW w:w="1445" w:type="pct"/>
            <w:tcBorders>
              <w:top w:val="nil"/>
              <w:left w:val="nil"/>
              <w:bottom w:val="single" w:sz="4" w:space="0" w:color="auto"/>
              <w:right w:val="single" w:sz="4" w:space="0" w:color="auto"/>
            </w:tcBorders>
            <w:shd w:val="clear" w:color="auto" w:fill="auto"/>
            <w:noWrap/>
            <w:vAlign w:val="center"/>
            <w:hideMark/>
          </w:tcPr>
          <w:p w14:paraId="14D0B569"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25CC391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44</w:t>
            </w:r>
          </w:p>
        </w:tc>
        <w:tc>
          <w:tcPr>
            <w:tcW w:w="704" w:type="pct"/>
            <w:tcBorders>
              <w:top w:val="nil"/>
              <w:left w:val="nil"/>
              <w:bottom w:val="single" w:sz="4" w:space="0" w:color="auto"/>
              <w:right w:val="single" w:sz="4" w:space="0" w:color="auto"/>
            </w:tcBorders>
            <w:shd w:val="clear" w:color="auto" w:fill="auto"/>
            <w:noWrap/>
            <w:vAlign w:val="center"/>
            <w:hideMark/>
          </w:tcPr>
          <w:p w14:paraId="26B6E6D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2.949.511</w:t>
            </w:r>
          </w:p>
        </w:tc>
        <w:tc>
          <w:tcPr>
            <w:tcW w:w="518" w:type="pct"/>
            <w:tcBorders>
              <w:top w:val="nil"/>
              <w:left w:val="nil"/>
              <w:bottom w:val="single" w:sz="4" w:space="0" w:color="auto"/>
              <w:right w:val="single" w:sz="4" w:space="0" w:color="auto"/>
            </w:tcBorders>
            <w:shd w:val="clear" w:color="auto" w:fill="auto"/>
            <w:noWrap/>
            <w:vAlign w:val="center"/>
            <w:hideMark/>
          </w:tcPr>
          <w:p w14:paraId="51C1DA5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7,46 %</w:t>
            </w:r>
          </w:p>
        </w:tc>
        <w:tc>
          <w:tcPr>
            <w:tcW w:w="519" w:type="pct"/>
            <w:tcBorders>
              <w:top w:val="nil"/>
              <w:left w:val="nil"/>
              <w:bottom w:val="single" w:sz="4" w:space="0" w:color="auto"/>
              <w:right w:val="single" w:sz="4" w:space="0" w:color="auto"/>
            </w:tcBorders>
            <w:shd w:val="clear" w:color="auto" w:fill="auto"/>
            <w:noWrap/>
            <w:vAlign w:val="center"/>
            <w:hideMark/>
          </w:tcPr>
          <w:p w14:paraId="14E2CD9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4,98 %</w:t>
            </w:r>
          </w:p>
        </w:tc>
      </w:tr>
      <w:tr w:rsidR="00F24E18" w:rsidRPr="00710E07" w14:paraId="00EADC30"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F4F44A2"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0F08C93B"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5F1C8FC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169</w:t>
            </w:r>
          </w:p>
        </w:tc>
        <w:tc>
          <w:tcPr>
            <w:tcW w:w="704" w:type="pct"/>
            <w:tcBorders>
              <w:top w:val="nil"/>
              <w:left w:val="nil"/>
              <w:bottom w:val="single" w:sz="4" w:space="0" w:color="auto"/>
              <w:right w:val="single" w:sz="4" w:space="0" w:color="auto"/>
            </w:tcBorders>
            <w:shd w:val="clear" w:color="auto" w:fill="auto"/>
            <w:noWrap/>
            <w:vAlign w:val="center"/>
            <w:hideMark/>
          </w:tcPr>
          <w:p w14:paraId="65C3EF9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20.043.352</w:t>
            </w:r>
          </w:p>
        </w:tc>
        <w:tc>
          <w:tcPr>
            <w:tcW w:w="518" w:type="pct"/>
            <w:tcBorders>
              <w:top w:val="nil"/>
              <w:left w:val="nil"/>
              <w:bottom w:val="single" w:sz="4" w:space="0" w:color="auto"/>
              <w:right w:val="single" w:sz="4" w:space="0" w:color="auto"/>
            </w:tcBorders>
            <w:shd w:val="clear" w:color="auto" w:fill="auto"/>
            <w:noWrap/>
            <w:vAlign w:val="center"/>
            <w:hideMark/>
          </w:tcPr>
          <w:p w14:paraId="28CABC0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28,64 %</w:t>
            </w:r>
          </w:p>
        </w:tc>
        <w:tc>
          <w:tcPr>
            <w:tcW w:w="519" w:type="pct"/>
            <w:tcBorders>
              <w:top w:val="nil"/>
              <w:left w:val="nil"/>
              <w:bottom w:val="single" w:sz="4" w:space="0" w:color="auto"/>
              <w:right w:val="single" w:sz="4" w:space="0" w:color="auto"/>
            </w:tcBorders>
            <w:shd w:val="clear" w:color="auto" w:fill="auto"/>
            <w:noWrap/>
            <w:vAlign w:val="center"/>
            <w:hideMark/>
          </w:tcPr>
          <w:p w14:paraId="049C72C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33,86 %</w:t>
            </w:r>
          </w:p>
        </w:tc>
      </w:tr>
      <w:tr w:rsidR="00F24E18" w:rsidRPr="00710E07" w14:paraId="36B2EFD9"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4D0DC5E6"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246DE5B2"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2711942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196</w:t>
            </w:r>
          </w:p>
        </w:tc>
        <w:tc>
          <w:tcPr>
            <w:tcW w:w="704" w:type="pct"/>
            <w:tcBorders>
              <w:top w:val="nil"/>
              <w:left w:val="nil"/>
              <w:bottom w:val="single" w:sz="4" w:space="0" w:color="auto"/>
              <w:right w:val="single" w:sz="4" w:space="0" w:color="auto"/>
            </w:tcBorders>
            <w:shd w:val="clear" w:color="auto" w:fill="auto"/>
            <w:noWrap/>
            <w:vAlign w:val="center"/>
            <w:hideMark/>
          </w:tcPr>
          <w:p w14:paraId="686CDE9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19.487.623</w:t>
            </w:r>
          </w:p>
        </w:tc>
        <w:tc>
          <w:tcPr>
            <w:tcW w:w="518" w:type="pct"/>
            <w:tcBorders>
              <w:top w:val="nil"/>
              <w:left w:val="nil"/>
              <w:bottom w:val="single" w:sz="4" w:space="0" w:color="auto"/>
              <w:right w:val="single" w:sz="4" w:space="0" w:color="auto"/>
            </w:tcBorders>
            <w:shd w:val="clear" w:color="auto" w:fill="auto"/>
            <w:noWrap/>
            <w:vAlign w:val="center"/>
            <w:hideMark/>
          </w:tcPr>
          <w:p w14:paraId="33A3A1C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33,22 %</w:t>
            </w:r>
          </w:p>
        </w:tc>
        <w:tc>
          <w:tcPr>
            <w:tcW w:w="519" w:type="pct"/>
            <w:tcBorders>
              <w:top w:val="nil"/>
              <w:left w:val="nil"/>
              <w:bottom w:val="single" w:sz="4" w:space="0" w:color="auto"/>
              <w:right w:val="single" w:sz="4" w:space="0" w:color="auto"/>
            </w:tcBorders>
            <w:shd w:val="clear" w:color="auto" w:fill="auto"/>
            <w:noWrap/>
            <w:vAlign w:val="center"/>
            <w:hideMark/>
          </w:tcPr>
          <w:p w14:paraId="2781B96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32,92 %</w:t>
            </w:r>
          </w:p>
        </w:tc>
      </w:tr>
      <w:tr w:rsidR="00F24E18" w:rsidRPr="00710E07" w14:paraId="1F64ADF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09A83798"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5697AF1"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0A9E364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165</w:t>
            </w:r>
          </w:p>
        </w:tc>
        <w:tc>
          <w:tcPr>
            <w:tcW w:w="704" w:type="pct"/>
            <w:tcBorders>
              <w:top w:val="nil"/>
              <w:left w:val="nil"/>
              <w:bottom w:val="single" w:sz="4" w:space="0" w:color="auto"/>
              <w:right w:val="single" w:sz="4" w:space="0" w:color="auto"/>
            </w:tcBorders>
            <w:shd w:val="clear" w:color="auto" w:fill="auto"/>
            <w:noWrap/>
            <w:vAlign w:val="center"/>
            <w:hideMark/>
          </w:tcPr>
          <w:p w14:paraId="729553F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15.238.654</w:t>
            </w:r>
          </w:p>
        </w:tc>
        <w:tc>
          <w:tcPr>
            <w:tcW w:w="518" w:type="pct"/>
            <w:tcBorders>
              <w:top w:val="nil"/>
              <w:left w:val="nil"/>
              <w:bottom w:val="single" w:sz="4" w:space="0" w:color="auto"/>
              <w:right w:val="single" w:sz="4" w:space="0" w:color="auto"/>
            </w:tcBorders>
            <w:shd w:val="clear" w:color="auto" w:fill="auto"/>
            <w:noWrap/>
            <w:vAlign w:val="center"/>
            <w:hideMark/>
          </w:tcPr>
          <w:p w14:paraId="65C3864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27,97 %</w:t>
            </w:r>
          </w:p>
        </w:tc>
        <w:tc>
          <w:tcPr>
            <w:tcW w:w="519" w:type="pct"/>
            <w:tcBorders>
              <w:top w:val="nil"/>
              <w:left w:val="nil"/>
              <w:bottom w:val="single" w:sz="4" w:space="0" w:color="auto"/>
              <w:right w:val="single" w:sz="4" w:space="0" w:color="auto"/>
            </w:tcBorders>
            <w:shd w:val="clear" w:color="auto" w:fill="auto"/>
            <w:noWrap/>
            <w:vAlign w:val="center"/>
            <w:hideMark/>
          </w:tcPr>
          <w:p w14:paraId="1902E70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25,74 %</w:t>
            </w:r>
          </w:p>
        </w:tc>
      </w:tr>
      <w:tr w:rsidR="00F24E18" w:rsidRPr="00710E07" w14:paraId="72C5A67E"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4738538"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0ECAAC09"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10367DF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16</w:t>
            </w:r>
          </w:p>
        </w:tc>
        <w:tc>
          <w:tcPr>
            <w:tcW w:w="704" w:type="pct"/>
            <w:tcBorders>
              <w:top w:val="nil"/>
              <w:left w:val="nil"/>
              <w:bottom w:val="single" w:sz="4" w:space="0" w:color="auto"/>
              <w:right w:val="single" w:sz="4" w:space="0" w:color="auto"/>
            </w:tcBorders>
            <w:shd w:val="clear" w:color="auto" w:fill="auto"/>
            <w:noWrap/>
            <w:vAlign w:val="center"/>
            <w:hideMark/>
          </w:tcPr>
          <w:p w14:paraId="158AEBA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1.483.357</w:t>
            </w:r>
          </w:p>
        </w:tc>
        <w:tc>
          <w:tcPr>
            <w:tcW w:w="518" w:type="pct"/>
            <w:tcBorders>
              <w:top w:val="nil"/>
              <w:left w:val="nil"/>
              <w:bottom w:val="single" w:sz="4" w:space="0" w:color="auto"/>
              <w:right w:val="single" w:sz="4" w:space="0" w:color="auto"/>
            </w:tcBorders>
            <w:shd w:val="clear" w:color="auto" w:fill="auto"/>
            <w:noWrap/>
            <w:vAlign w:val="center"/>
            <w:hideMark/>
          </w:tcPr>
          <w:p w14:paraId="0D805D9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2,71 %</w:t>
            </w:r>
          </w:p>
        </w:tc>
        <w:tc>
          <w:tcPr>
            <w:tcW w:w="519" w:type="pct"/>
            <w:tcBorders>
              <w:top w:val="nil"/>
              <w:left w:val="nil"/>
              <w:bottom w:val="single" w:sz="4" w:space="0" w:color="auto"/>
              <w:right w:val="single" w:sz="4" w:space="0" w:color="auto"/>
            </w:tcBorders>
            <w:shd w:val="clear" w:color="auto" w:fill="auto"/>
            <w:noWrap/>
            <w:vAlign w:val="center"/>
            <w:hideMark/>
          </w:tcPr>
          <w:p w14:paraId="1093022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2,51 %</w:t>
            </w:r>
          </w:p>
        </w:tc>
      </w:tr>
      <w:tr w:rsidR="00F24E18" w:rsidRPr="00710E07" w14:paraId="7DEF9C14"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3912F4E"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3D07CCF"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4050D0E3"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590</w:t>
            </w:r>
          </w:p>
        </w:tc>
        <w:tc>
          <w:tcPr>
            <w:tcW w:w="704" w:type="pct"/>
            <w:tcBorders>
              <w:top w:val="nil"/>
              <w:left w:val="nil"/>
              <w:bottom w:val="single" w:sz="4" w:space="0" w:color="auto"/>
              <w:right w:val="single" w:sz="4" w:space="0" w:color="auto"/>
            </w:tcBorders>
            <w:shd w:val="clear" w:color="auto" w:fill="auto"/>
            <w:noWrap/>
            <w:vAlign w:val="center"/>
            <w:hideMark/>
          </w:tcPr>
          <w:p w14:paraId="776A7D70"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59.202.497</w:t>
            </w:r>
          </w:p>
        </w:tc>
        <w:tc>
          <w:tcPr>
            <w:tcW w:w="518" w:type="pct"/>
            <w:tcBorders>
              <w:top w:val="nil"/>
              <w:left w:val="nil"/>
              <w:bottom w:val="single" w:sz="4" w:space="0" w:color="auto"/>
              <w:right w:val="single" w:sz="4" w:space="0" w:color="auto"/>
            </w:tcBorders>
            <w:shd w:val="clear" w:color="auto" w:fill="auto"/>
            <w:noWrap/>
            <w:vAlign w:val="center"/>
            <w:hideMark/>
          </w:tcPr>
          <w:p w14:paraId="4B5B1DE2"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01964C09"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6CAA7823"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43AEEA"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POSAVSKA</w:t>
            </w:r>
          </w:p>
        </w:tc>
        <w:tc>
          <w:tcPr>
            <w:tcW w:w="1445" w:type="pct"/>
            <w:tcBorders>
              <w:top w:val="nil"/>
              <w:left w:val="nil"/>
              <w:bottom w:val="single" w:sz="4" w:space="0" w:color="auto"/>
              <w:right w:val="single" w:sz="4" w:space="0" w:color="auto"/>
            </w:tcBorders>
            <w:shd w:val="clear" w:color="auto" w:fill="auto"/>
            <w:noWrap/>
            <w:vAlign w:val="center"/>
            <w:hideMark/>
          </w:tcPr>
          <w:p w14:paraId="7B9A31ED"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657A591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61</w:t>
            </w:r>
          </w:p>
        </w:tc>
        <w:tc>
          <w:tcPr>
            <w:tcW w:w="704" w:type="pct"/>
            <w:tcBorders>
              <w:top w:val="nil"/>
              <w:left w:val="nil"/>
              <w:bottom w:val="single" w:sz="4" w:space="0" w:color="auto"/>
              <w:right w:val="single" w:sz="4" w:space="0" w:color="auto"/>
            </w:tcBorders>
            <w:shd w:val="clear" w:color="auto" w:fill="auto"/>
            <w:noWrap/>
            <w:vAlign w:val="center"/>
            <w:hideMark/>
          </w:tcPr>
          <w:p w14:paraId="21B8BB4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6.944.850</w:t>
            </w:r>
          </w:p>
        </w:tc>
        <w:tc>
          <w:tcPr>
            <w:tcW w:w="518" w:type="pct"/>
            <w:tcBorders>
              <w:top w:val="nil"/>
              <w:left w:val="nil"/>
              <w:bottom w:val="single" w:sz="4" w:space="0" w:color="auto"/>
              <w:right w:val="single" w:sz="4" w:space="0" w:color="auto"/>
            </w:tcBorders>
            <w:shd w:val="clear" w:color="auto" w:fill="auto"/>
            <w:noWrap/>
            <w:vAlign w:val="center"/>
            <w:hideMark/>
          </w:tcPr>
          <w:p w14:paraId="46F51FD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13,96 %</w:t>
            </w:r>
          </w:p>
        </w:tc>
        <w:tc>
          <w:tcPr>
            <w:tcW w:w="519" w:type="pct"/>
            <w:tcBorders>
              <w:top w:val="nil"/>
              <w:left w:val="nil"/>
              <w:bottom w:val="single" w:sz="4" w:space="0" w:color="auto"/>
              <w:right w:val="single" w:sz="4" w:space="0" w:color="auto"/>
            </w:tcBorders>
            <w:shd w:val="clear" w:color="auto" w:fill="auto"/>
            <w:noWrap/>
            <w:vAlign w:val="center"/>
            <w:hideMark/>
          </w:tcPr>
          <w:p w14:paraId="44D2F91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7,33 %</w:t>
            </w:r>
          </w:p>
        </w:tc>
      </w:tr>
      <w:tr w:rsidR="00F24E18" w:rsidRPr="00710E07" w14:paraId="78431F63"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62CFCAED"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8A8DBCF"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61057BC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140</w:t>
            </w:r>
          </w:p>
        </w:tc>
        <w:tc>
          <w:tcPr>
            <w:tcW w:w="704" w:type="pct"/>
            <w:tcBorders>
              <w:top w:val="nil"/>
              <w:left w:val="nil"/>
              <w:bottom w:val="single" w:sz="4" w:space="0" w:color="auto"/>
              <w:right w:val="single" w:sz="4" w:space="0" w:color="auto"/>
            </w:tcBorders>
            <w:shd w:val="clear" w:color="auto" w:fill="auto"/>
            <w:noWrap/>
            <w:vAlign w:val="center"/>
            <w:hideMark/>
          </w:tcPr>
          <w:p w14:paraId="2A694FA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22.206.699</w:t>
            </w:r>
          </w:p>
        </w:tc>
        <w:tc>
          <w:tcPr>
            <w:tcW w:w="518" w:type="pct"/>
            <w:tcBorders>
              <w:top w:val="nil"/>
              <w:left w:val="nil"/>
              <w:bottom w:val="single" w:sz="4" w:space="0" w:color="auto"/>
              <w:right w:val="single" w:sz="4" w:space="0" w:color="auto"/>
            </w:tcBorders>
            <w:shd w:val="clear" w:color="auto" w:fill="auto"/>
            <w:noWrap/>
            <w:vAlign w:val="center"/>
            <w:hideMark/>
          </w:tcPr>
          <w:p w14:paraId="252106B8"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32,04 %</w:t>
            </w:r>
          </w:p>
        </w:tc>
        <w:tc>
          <w:tcPr>
            <w:tcW w:w="519" w:type="pct"/>
            <w:tcBorders>
              <w:top w:val="nil"/>
              <w:left w:val="nil"/>
              <w:bottom w:val="single" w:sz="4" w:space="0" w:color="auto"/>
              <w:right w:val="single" w:sz="4" w:space="0" w:color="auto"/>
            </w:tcBorders>
            <w:shd w:val="clear" w:color="auto" w:fill="auto"/>
            <w:noWrap/>
            <w:vAlign w:val="center"/>
            <w:hideMark/>
          </w:tcPr>
          <w:p w14:paraId="7F0B86E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23,45 %</w:t>
            </w:r>
          </w:p>
        </w:tc>
      </w:tr>
      <w:tr w:rsidR="00F24E18" w:rsidRPr="00710E07" w14:paraId="35747D26"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4218004B"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2DD0034E"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201B9AC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86</w:t>
            </w:r>
          </w:p>
        </w:tc>
        <w:tc>
          <w:tcPr>
            <w:tcW w:w="704" w:type="pct"/>
            <w:tcBorders>
              <w:top w:val="nil"/>
              <w:left w:val="nil"/>
              <w:bottom w:val="single" w:sz="4" w:space="0" w:color="auto"/>
              <w:right w:val="single" w:sz="4" w:space="0" w:color="auto"/>
            </w:tcBorders>
            <w:shd w:val="clear" w:color="auto" w:fill="auto"/>
            <w:noWrap/>
            <w:vAlign w:val="center"/>
            <w:hideMark/>
          </w:tcPr>
          <w:p w14:paraId="5E0EB80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18.819.025</w:t>
            </w:r>
          </w:p>
        </w:tc>
        <w:tc>
          <w:tcPr>
            <w:tcW w:w="518" w:type="pct"/>
            <w:tcBorders>
              <w:top w:val="nil"/>
              <w:left w:val="nil"/>
              <w:bottom w:val="single" w:sz="4" w:space="0" w:color="auto"/>
              <w:right w:val="single" w:sz="4" w:space="0" w:color="auto"/>
            </w:tcBorders>
            <w:shd w:val="clear" w:color="auto" w:fill="auto"/>
            <w:noWrap/>
            <w:vAlign w:val="center"/>
            <w:hideMark/>
          </w:tcPr>
          <w:p w14:paraId="75B6297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19,68 %</w:t>
            </w:r>
          </w:p>
        </w:tc>
        <w:tc>
          <w:tcPr>
            <w:tcW w:w="519" w:type="pct"/>
            <w:tcBorders>
              <w:top w:val="nil"/>
              <w:left w:val="nil"/>
              <w:bottom w:val="single" w:sz="4" w:space="0" w:color="auto"/>
              <w:right w:val="single" w:sz="4" w:space="0" w:color="auto"/>
            </w:tcBorders>
            <w:shd w:val="clear" w:color="auto" w:fill="auto"/>
            <w:noWrap/>
            <w:vAlign w:val="center"/>
            <w:hideMark/>
          </w:tcPr>
          <w:p w14:paraId="6862E83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19,87 %</w:t>
            </w:r>
          </w:p>
        </w:tc>
      </w:tr>
      <w:tr w:rsidR="00F24E18" w:rsidRPr="00710E07" w14:paraId="6B2512E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0F1E07D"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A3DF266"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65892ED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124</w:t>
            </w:r>
          </w:p>
        </w:tc>
        <w:tc>
          <w:tcPr>
            <w:tcW w:w="704" w:type="pct"/>
            <w:tcBorders>
              <w:top w:val="nil"/>
              <w:left w:val="nil"/>
              <w:bottom w:val="single" w:sz="4" w:space="0" w:color="auto"/>
              <w:right w:val="single" w:sz="4" w:space="0" w:color="auto"/>
            </w:tcBorders>
            <w:shd w:val="clear" w:color="auto" w:fill="auto"/>
            <w:noWrap/>
            <w:vAlign w:val="center"/>
            <w:hideMark/>
          </w:tcPr>
          <w:p w14:paraId="5AD6A44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41.317.410</w:t>
            </w:r>
          </w:p>
        </w:tc>
        <w:tc>
          <w:tcPr>
            <w:tcW w:w="518" w:type="pct"/>
            <w:tcBorders>
              <w:top w:val="nil"/>
              <w:left w:val="nil"/>
              <w:bottom w:val="single" w:sz="4" w:space="0" w:color="auto"/>
              <w:right w:val="single" w:sz="4" w:space="0" w:color="auto"/>
            </w:tcBorders>
            <w:shd w:val="clear" w:color="auto" w:fill="auto"/>
            <w:noWrap/>
            <w:vAlign w:val="center"/>
            <w:hideMark/>
          </w:tcPr>
          <w:p w14:paraId="77691E2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28,38 %</w:t>
            </w:r>
          </w:p>
        </w:tc>
        <w:tc>
          <w:tcPr>
            <w:tcW w:w="519" w:type="pct"/>
            <w:tcBorders>
              <w:top w:val="nil"/>
              <w:left w:val="nil"/>
              <w:bottom w:val="single" w:sz="4" w:space="0" w:color="auto"/>
              <w:right w:val="single" w:sz="4" w:space="0" w:color="auto"/>
            </w:tcBorders>
            <w:shd w:val="clear" w:color="auto" w:fill="auto"/>
            <w:noWrap/>
            <w:vAlign w:val="center"/>
            <w:hideMark/>
          </w:tcPr>
          <w:p w14:paraId="16B64FE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43,63 %</w:t>
            </w:r>
          </w:p>
        </w:tc>
      </w:tr>
      <w:tr w:rsidR="00F24E18" w:rsidRPr="00710E07" w14:paraId="0A129AF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08525580"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9A6CA78"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6EB2358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22</w:t>
            </w:r>
          </w:p>
        </w:tc>
        <w:tc>
          <w:tcPr>
            <w:tcW w:w="704" w:type="pct"/>
            <w:tcBorders>
              <w:top w:val="nil"/>
              <w:left w:val="nil"/>
              <w:bottom w:val="single" w:sz="4" w:space="0" w:color="auto"/>
              <w:right w:val="single" w:sz="4" w:space="0" w:color="auto"/>
            </w:tcBorders>
            <w:shd w:val="clear" w:color="auto" w:fill="auto"/>
            <w:noWrap/>
            <w:vAlign w:val="center"/>
            <w:hideMark/>
          </w:tcPr>
          <w:p w14:paraId="45BD923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3.345.889</w:t>
            </w:r>
          </w:p>
        </w:tc>
        <w:tc>
          <w:tcPr>
            <w:tcW w:w="518" w:type="pct"/>
            <w:tcBorders>
              <w:top w:val="nil"/>
              <w:left w:val="nil"/>
              <w:bottom w:val="single" w:sz="4" w:space="0" w:color="auto"/>
              <w:right w:val="single" w:sz="4" w:space="0" w:color="auto"/>
            </w:tcBorders>
            <w:shd w:val="clear" w:color="auto" w:fill="auto"/>
            <w:noWrap/>
            <w:vAlign w:val="center"/>
            <w:hideMark/>
          </w:tcPr>
          <w:p w14:paraId="149FAED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5,03 %</w:t>
            </w:r>
          </w:p>
        </w:tc>
        <w:tc>
          <w:tcPr>
            <w:tcW w:w="519" w:type="pct"/>
            <w:tcBorders>
              <w:top w:val="nil"/>
              <w:left w:val="nil"/>
              <w:bottom w:val="single" w:sz="4" w:space="0" w:color="auto"/>
              <w:right w:val="single" w:sz="4" w:space="0" w:color="auto"/>
            </w:tcBorders>
            <w:shd w:val="clear" w:color="auto" w:fill="auto"/>
            <w:noWrap/>
            <w:vAlign w:val="center"/>
            <w:hideMark/>
          </w:tcPr>
          <w:p w14:paraId="4D03139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3,53 %</w:t>
            </w:r>
          </w:p>
        </w:tc>
      </w:tr>
      <w:tr w:rsidR="00F24E18" w:rsidRPr="00710E07" w14:paraId="6D49BEF0"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06D09250"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0A89B599"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60085A5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w:t>
            </w:r>
          </w:p>
        </w:tc>
        <w:tc>
          <w:tcPr>
            <w:tcW w:w="704" w:type="pct"/>
            <w:tcBorders>
              <w:top w:val="nil"/>
              <w:left w:val="nil"/>
              <w:bottom w:val="single" w:sz="4" w:space="0" w:color="auto"/>
              <w:right w:val="single" w:sz="4" w:space="0" w:color="auto"/>
            </w:tcBorders>
            <w:shd w:val="clear" w:color="auto" w:fill="auto"/>
            <w:noWrap/>
            <w:vAlign w:val="center"/>
            <w:hideMark/>
          </w:tcPr>
          <w:p w14:paraId="3B7E987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2.065.108</w:t>
            </w:r>
          </w:p>
        </w:tc>
        <w:tc>
          <w:tcPr>
            <w:tcW w:w="518" w:type="pct"/>
            <w:tcBorders>
              <w:top w:val="nil"/>
              <w:left w:val="nil"/>
              <w:bottom w:val="single" w:sz="4" w:space="0" w:color="auto"/>
              <w:right w:val="single" w:sz="4" w:space="0" w:color="auto"/>
            </w:tcBorders>
            <w:shd w:val="clear" w:color="auto" w:fill="auto"/>
            <w:noWrap/>
            <w:vAlign w:val="center"/>
            <w:hideMark/>
          </w:tcPr>
          <w:p w14:paraId="02AB02E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0,92 %</w:t>
            </w:r>
          </w:p>
        </w:tc>
        <w:tc>
          <w:tcPr>
            <w:tcW w:w="519" w:type="pct"/>
            <w:tcBorders>
              <w:top w:val="nil"/>
              <w:left w:val="nil"/>
              <w:bottom w:val="single" w:sz="4" w:space="0" w:color="auto"/>
              <w:right w:val="single" w:sz="4" w:space="0" w:color="auto"/>
            </w:tcBorders>
            <w:shd w:val="clear" w:color="auto" w:fill="auto"/>
            <w:noWrap/>
            <w:vAlign w:val="center"/>
            <w:hideMark/>
          </w:tcPr>
          <w:p w14:paraId="759B9901"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2,18 %</w:t>
            </w:r>
          </w:p>
        </w:tc>
      </w:tr>
      <w:tr w:rsidR="00F24E18" w:rsidRPr="00710E07" w14:paraId="227D275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412EEC9B"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037D40B"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38CE8CC1"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437</w:t>
            </w:r>
          </w:p>
        </w:tc>
        <w:tc>
          <w:tcPr>
            <w:tcW w:w="704" w:type="pct"/>
            <w:tcBorders>
              <w:top w:val="nil"/>
              <w:left w:val="nil"/>
              <w:bottom w:val="single" w:sz="4" w:space="0" w:color="auto"/>
              <w:right w:val="single" w:sz="4" w:space="0" w:color="auto"/>
            </w:tcBorders>
            <w:shd w:val="clear" w:color="auto" w:fill="auto"/>
            <w:noWrap/>
            <w:vAlign w:val="center"/>
            <w:hideMark/>
          </w:tcPr>
          <w:p w14:paraId="66FA8B06"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94.698.981</w:t>
            </w:r>
          </w:p>
        </w:tc>
        <w:tc>
          <w:tcPr>
            <w:tcW w:w="518" w:type="pct"/>
            <w:tcBorders>
              <w:top w:val="nil"/>
              <w:left w:val="nil"/>
              <w:bottom w:val="single" w:sz="4" w:space="0" w:color="auto"/>
              <w:right w:val="single" w:sz="4" w:space="0" w:color="auto"/>
            </w:tcBorders>
            <w:shd w:val="clear" w:color="auto" w:fill="auto"/>
            <w:noWrap/>
            <w:vAlign w:val="center"/>
            <w:hideMark/>
          </w:tcPr>
          <w:p w14:paraId="34B446E3"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031046EA"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0D4C2C51"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5A43FE"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PRIMORSKO-NOTRANJSKA</w:t>
            </w:r>
          </w:p>
        </w:tc>
        <w:tc>
          <w:tcPr>
            <w:tcW w:w="1445" w:type="pct"/>
            <w:tcBorders>
              <w:top w:val="nil"/>
              <w:left w:val="nil"/>
              <w:bottom w:val="single" w:sz="4" w:space="0" w:color="auto"/>
              <w:right w:val="single" w:sz="4" w:space="0" w:color="auto"/>
            </w:tcBorders>
            <w:shd w:val="clear" w:color="auto" w:fill="auto"/>
            <w:noWrap/>
            <w:vAlign w:val="center"/>
            <w:hideMark/>
          </w:tcPr>
          <w:p w14:paraId="3FEF3187"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564BE21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17</w:t>
            </w:r>
          </w:p>
        </w:tc>
        <w:tc>
          <w:tcPr>
            <w:tcW w:w="704" w:type="pct"/>
            <w:tcBorders>
              <w:top w:val="nil"/>
              <w:left w:val="nil"/>
              <w:bottom w:val="single" w:sz="4" w:space="0" w:color="auto"/>
              <w:right w:val="single" w:sz="4" w:space="0" w:color="auto"/>
            </w:tcBorders>
            <w:shd w:val="clear" w:color="auto" w:fill="auto"/>
            <w:noWrap/>
            <w:vAlign w:val="center"/>
            <w:hideMark/>
          </w:tcPr>
          <w:p w14:paraId="382E0C6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1.249.155</w:t>
            </w:r>
          </w:p>
        </w:tc>
        <w:tc>
          <w:tcPr>
            <w:tcW w:w="518" w:type="pct"/>
            <w:tcBorders>
              <w:top w:val="nil"/>
              <w:left w:val="nil"/>
              <w:bottom w:val="single" w:sz="4" w:space="0" w:color="auto"/>
              <w:right w:val="single" w:sz="4" w:space="0" w:color="auto"/>
            </w:tcBorders>
            <w:shd w:val="clear" w:color="auto" w:fill="auto"/>
            <w:noWrap/>
            <w:vAlign w:val="center"/>
            <w:hideMark/>
          </w:tcPr>
          <w:p w14:paraId="599DFEF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9,44 %</w:t>
            </w:r>
          </w:p>
        </w:tc>
        <w:tc>
          <w:tcPr>
            <w:tcW w:w="519" w:type="pct"/>
            <w:tcBorders>
              <w:top w:val="nil"/>
              <w:left w:val="nil"/>
              <w:bottom w:val="single" w:sz="4" w:space="0" w:color="auto"/>
              <w:right w:val="single" w:sz="4" w:space="0" w:color="auto"/>
            </w:tcBorders>
            <w:shd w:val="clear" w:color="auto" w:fill="auto"/>
            <w:noWrap/>
            <w:vAlign w:val="center"/>
            <w:hideMark/>
          </w:tcPr>
          <w:p w14:paraId="1D4C25A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4,33 %</w:t>
            </w:r>
          </w:p>
        </w:tc>
      </w:tr>
      <w:tr w:rsidR="00F24E18" w:rsidRPr="00710E07" w14:paraId="0DD4D2F8"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3E4CD3F3"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246BF7C8"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5D0D79B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40</w:t>
            </w:r>
          </w:p>
        </w:tc>
        <w:tc>
          <w:tcPr>
            <w:tcW w:w="704" w:type="pct"/>
            <w:tcBorders>
              <w:top w:val="nil"/>
              <w:left w:val="nil"/>
              <w:bottom w:val="single" w:sz="4" w:space="0" w:color="auto"/>
              <w:right w:val="single" w:sz="4" w:space="0" w:color="auto"/>
            </w:tcBorders>
            <w:shd w:val="clear" w:color="auto" w:fill="auto"/>
            <w:noWrap/>
            <w:vAlign w:val="center"/>
            <w:hideMark/>
          </w:tcPr>
          <w:p w14:paraId="690334F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7.815.265</w:t>
            </w:r>
          </w:p>
        </w:tc>
        <w:tc>
          <w:tcPr>
            <w:tcW w:w="518" w:type="pct"/>
            <w:tcBorders>
              <w:top w:val="nil"/>
              <w:left w:val="nil"/>
              <w:bottom w:val="single" w:sz="4" w:space="0" w:color="auto"/>
              <w:right w:val="single" w:sz="4" w:space="0" w:color="auto"/>
            </w:tcBorders>
            <w:shd w:val="clear" w:color="auto" w:fill="auto"/>
            <w:noWrap/>
            <w:vAlign w:val="center"/>
            <w:hideMark/>
          </w:tcPr>
          <w:p w14:paraId="3B13357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22,22 %</w:t>
            </w:r>
          </w:p>
        </w:tc>
        <w:tc>
          <w:tcPr>
            <w:tcW w:w="519" w:type="pct"/>
            <w:tcBorders>
              <w:top w:val="nil"/>
              <w:left w:val="nil"/>
              <w:bottom w:val="single" w:sz="4" w:space="0" w:color="auto"/>
              <w:right w:val="single" w:sz="4" w:space="0" w:color="auto"/>
            </w:tcBorders>
            <w:shd w:val="clear" w:color="auto" w:fill="auto"/>
            <w:noWrap/>
            <w:vAlign w:val="center"/>
            <w:hideMark/>
          </w:tcPr>
          <w:p w14:paraId="6AF6818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27,08 %</w:t>
            </w:r>
          </w:p>
        </w:tc>
      </w:tr>
      <w:tr w:rsidR="00F24E18" w:rsidRPr="00710E07" w14:paraId="4DFDA81A"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38AE385B"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0EB4C0BF"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4753100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57</w:t>
            </w:r>
          </w:p>
        </w:tc>
        <w:tc>
          <w:tcPr>
            <w:tcW w:w="704" w:type="pct"/>
            <w:tcBorders>
              <w:top w:val="nil"/>
              <w:left w:val="nil"/>
              <w:bottom w:val="single" w:sz="4" w:space="0" w:color="auto"/>
              <w:right w:val="single" w:sz="4" w:space="0" w:color="auto"/>
            </w:tcBorders>
            <w:shd w:val="clear" w:color="auto" w:fill="auto"/>
            <w:noWrap/>
            <w:vAlign w:val="center"/>
            <w:hideMark/>
          </w:tcPr>
          <w:p w14:paraId="589A3ED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12.374.312</w:t>
            </w:r>
          </w:p>
        </w:tc>
        <w:tc>
          <w:tcPr>
            <w:tcW w:w="518" w:type="pct"/>
            <w:tcBorders>
              <w:top w:val="nil"/>
              <w:left w:val="nil"/>
              <w:bottom w:val="single" w:sz="4" w:space="0" w:color="auto"/>
              <w:right w:val="single" w:sz="4" w:space="0" w:color="auto"/>
            </w:tcBorders>
            <w:shd w:val="clear" w:color="auto" w:fill="auto"/>
            <w:noWrap/>
            <w:vAlign w:val="center"/>
            <w:hideMark/>
          </w:tcPr>
          <w:p w14:paraId="306ACD8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31,67 %</w:t>
            </w:r>
          </w:p>
        </w:tc>
        <w:tc>
          <w:tcPr>
            <w:tcW w:w="519" w:type="pct"/>
            <w:tcBorders>
              <w:top w:val="nil"/>
              <w:left w:val="nil"/>
              <w:bottom w:val="single" w:sz="4" w:space="0" w:color="auto"/>
              <w:right w:val="single" w:sz="4" w:space="0" w:color="auto"/>
            </w:tcBorders>
            <w:shd w:val="clear" w:color="auto" w:fill="auto"/>
            <w:noWrap/>
            <w:vAlign w:val="center"/>
            <w:hideMark/>
          </w:tcPr>
          <w:p w14:paraId="0C5C5A37"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42,88 %</w:t>
            </w:r>
          </w:p>
        </w:tc>
      </w:tr>
      <w:tr w:rsidR="00F24E18" w:rsidRPr="00710E07" w14:paraId="2A7B923D"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726C929"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45FFE9F5"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05BF417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63</w:t>
            </w:r>
          </w:p>
        </w:tc>
        <w:tc>
          <w:tcPr>
            <w:tcW w:w="704" w:type="pct"/>
            <w:tcBorders>
              <w:top w:val="nil"/>
              <w:left w:val="nil"/>
              <w:bottom w:val="single" w:sz="4" w:space="0" w:color="auto"/>
              <w:right w:val="single" w:sz="4" w:space="0" w:color="auto"/>
            </w:tcBorders>
            <w:shd w:val="clear" w:color="auto" w:fill="auto"/>
            <w:noWrap/>
            <w:vAlign w:val="center"/>
            <w:hideMark/>
          </w:tcPr>
          <w:p w14:paraId="153EFD1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7.125.604</w:t>
            </w:r>
          </w:p>
        </w:tc>
        <w:tc>
          <w:tcPr>
            <w:tcW w:w="518" w:type="pct"/>
            <w:tcBorders>
              <w:top w:val="nil"/>
              <w:left w:val="nil"/>
              <w:bottom w:val="single" w:sz="4" w:space="0" w:color="auto"/>
              <w:right w:val="single" w:sz="4" w:space="0" w:color="auto"/>
            </w:tcBorders>
            <w:shd w:val="clear" w:color="auto" w:fill="auto"/>
            <w:noWrap/>
            <w:vAlign w:val="center"/>
            <w:hideMark/>
          </w:tcPr>
          <w:p w14:paraId="2C80688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35,00 %</w:t>
            </w:r>
          </w:p>
        </w:tc>
        <w:tc>
          <w:tcPr>
            <w:tcW w:w="519" w:type="pct"/>
            <w:tcBorders>
              <w:top w:val="nil"/>
              <w:left w:val="nil"/>
              <w:bottom w:val="single" w:sz="4" w:space="0" w:color="auto"/>
              <w:right w:val="single" w:sz="4" w:space="0" w:color="auto"/>
            </w:tcBorders>
            <w:shd w:val="clear" w:color="auto" w:fill="auto"/>
            <w:noWrap/>
            <w:vAlign w:val="center"/>
            <w:hideMark/>
          </w:tcPr>
          <w:p w14:paraId="5536983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24,69 %</w:t>
            </w:r>
          </w:p>
        </w:tc>
      </w:tr>
      <w:tr w:rsidR="00F24E18" w:rsidRPr="00710E07" w14:paraId="4C162B3E"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61A5F078"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6072248"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4ABAF33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w:t>
            </w:r>
          </w:p>
        </w:tc>
        <w:tc>
          <w:tcPr>
            <w:tcW w:w="704" w:type="pct"/>
            <w:tcBorders>
              <w:top w:val="nil"/>
              <w:left w:val="nil"/>
              <w:bottom w:val="single" w:sz="4" w:space="0" w:color="auto"/>
              <w:right w:val="single" w:sz="4" w:space="0" w:color="auto"/>
            </w:tcBorders>
            <w:shd w:val="clear" w:color="auto" w:fill="auto"/>
            <w:noWrap/>
            <w:vAlign w:val="center"/>
            <w:hideMark/>
          </w:tcPr>
          <w:p w14:paraId="011103F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39.629</w:t>
            </w:r>
          </w:p>
        </w:tc>
        <w:tc>
          <w:tcPr>
            <w:tcW w:w="518" w:type="pct"/>
            <w:tcBorders>
              <w:top w:val="nil"/>
              <w:left w:val="nil"/>
              <w:bottom w:val="single" w:sz="4" w:space="0" w:color="auto"/>
              <w:right w:val="single" w:sz="4" w:space="0" w:color="auto"/>
            </w:tcBorders>
            <w:shd w:val="clear" w:color="auto" w:fill="auto"/>
            <w:noWrap/>
            <w:vAlign w:val="center"/>
            <w:hideMark/>
          </w:tcPr>
          <w:p w14:paraId="04D0ACD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1,11 %</w:t>
            </w:r>
          </w:p>
        </w:tc>
        <w:tc>
          <w:tcPr>
            <w:tcW w:w="519" w:type="pct"/>
            <w:tcBorders>
              <w:top w:val="nil"/>
              <w:left w:val="nil"/>
              <w:bottom w:val="single" w:sz="4" w:space="0" w:color="auto"/>
              <w:right w:val="single" w:sz="4" w:space="0" w:color="auto"/>
            </w:tcBorders>
            <w:shd w:val="clear" w:color="auto" w:fill="auto"/>
            <w:noWrap/>
            <w:vAlign w:val="center"/>
            <w:hideMark/>
          </w:tcPr>
          <w:p w14:paraId="54834C6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0,14 %</w:t>
            </w:r>
          </w:p>
        </w:tc>
      </w:tr>
      <w:tr w:rsidR="00F24E18" w:rsidRPr="00710E07" w14:paraId="486C283F"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0985C9BC"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C98ED76"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41DAC29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noWrap/>
            <w:vAlign w:val="center"/>
            <w:hideMark/>
          </w:tcPr>
          <w:p w14:paraId="006855C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252.464</w:t>
            </w:r>
          </w:p>
        </w:tc>
        <w:tc>
          <w:tcPr>
            <w:tcW w:w="518" w:type="pct"/>
            <w:tcBorders>
              <w:top w:val="nil"/>
              <w:left w:val="nil"/>
              <w:bottom w:val="single" w:sz="4" w:space="0" w:color="auto"/>
              <w:right w:val="single" w:sz="4" w:space="0" w:color="auto"/>
            </w:tcBorders>
            <w:shd w:val="clear" w:color="auto" w:fill="auto"/>
            <w:noWrap/>
            <w:vAlign w:val="center"/>
            <w:hideMark/>
          </w:tcPr>
          <w:p w14:paraId="3DB07AB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0,56 %</w:t>
            </w:r>
          </w:p>
        </w:tc>
        <w:tc>
          <w:tcPr>
            <w:tcW w:w="519" w:type="pct"/>
            <w:tcBorders>
              <w:top w:val="nil"/>
              <w:left w:val="nil"/>
              <w:bottom w:val="single" w:sz="4" w:space="0" w:color="auto"/>
              <w:right w:val="single" w:sz="4" w:space="0" w:color="auto"/>
            </w:tcBorders>
            <w:shd w:val="clear" w:color="auto" w:fill="auto"/>
            <w:noWrap/>
            <w:vAlign w:val="center"/>
            <w:hideMark/>
          </w:tcPr>
          <w:p w14:paraId="366128E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0,87 %</w:t>
            </w:r>
          </w:p>
        </w:tc>
      </w:tr>
      <w:tr w:rsidR="00F24E18" w:rsidRPr="00710E07" w14:paraId="093195C8"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850E767"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2CA578C"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378D7CE3"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180</w:t>
            </w:r>
          </w:p>
        </w:tc>
        <w:tc>
          <w:tcPr>
            <w:tcW w:w="704" w:type="pct"/>
            <w:tcBorders>
              <w:top w:val="nil"/>
              <w:left w:val="nil"/>
              <w:bottom w:val="single" w:sz="4" w:space="0" w:color="auto"/>
              <w:right w:val="single" w:sz="4" w:space="0" w:color="auto"/>
            </w:tcBorders>
            <w:shd w:val="clear" w:color="auto" w:fill="auto"/>
            <w:noWrap/>
            <w:vAlign w:val="center"/>
            <w:hideMark/>
          </w:tcPr>
          <w:p w14:paraId="49FCE0F0"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28.856.429</w:t>
            </w:r>
          </w:p>
        </w:tc>
        <w:tc>
          <w:tcPr>
            <w:tcW w:w="518" w:type="pct"/>
            <w:tcBorders>
              <w:top w:val="nil"/>
              <w:left w:val="nil"/>
              <w:bottom w:val="single" w:sz="4" w:space="0" w:color="auto"/>
              <w:right w:val="single" w:sz="4" w:space="0" w:color="auto"/>
            </w:tcBorders>
            <w:shd w:val="clear" w:color="auto" w:fill="auto"/>
            <w:noWrap/>
            <w:vAlign w:val="center"/>
            <w:hideMark/>
          </w:tcPr>
          <w:p w14:paraId="054E342D"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243465C9"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040AB8CE"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4BD141"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SAVINJSKA</w:t>
            </w:r>
          </w:p>
        </w:tc>
        <w:tc>
          <w:tcPr>
            <w:tcW w:w="1445" w:type="pct"/>
            <w:tcBorders>
              <w:top w:val="nil"/>
              <w:left w:val="nil"/>
              <w:bottom w:val="single" w:sz="4" w:space="0" w:color="auto"/>
              <w:right w:val="single" w:sz="4" w:space="0" w:color="auto"/>
            </w:tcBorders>
            <w:shd w:val="clear" w:color="auto" w:fill="auto"/>
            <w:noWrap/>
            <w:vAlign w:val="center"/>
            <w:hideMark/>
          </w:tcPr>
          <w:p w14:paraId="4DA77BE9"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2D49768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156</w:t>
            </w:r>
          </w:p>
        </w:tc>
        <w:tc>
          <w:tcPr>
            <w:tcW w:w="704" w:type="pct"/>
            <w:tcBorders>
              <w:top w:val="nil"/>
              <w:left w:val="nil"/>
              <w:bottom w:val="single" w:sz="4" w:space="0" w:color="auto"/>
              <w:right w:val="single" w:sz="4" w:space="0" w:color="auto"/>
            </w:tcBorders>
            <w:shd w:val="clear" w:color="auto" w:fill="auto"/>
            <w:noWrap/>
            <w:vAlign w:val="center"/>
            <w:hideMark/>
          </w:tcPr>
          <w:p w14:paraId="7656086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31.562.578</w:t>
            </w:r>
          </w:p>
        </w:tc>
        <w:tc>
          <w:tcPr>
            <w:tcW w:w="518" w:type="pct"/>
            <w:tcBorders>
              <w:top w:val="nil"/>
              <w:left w:val="nil"/>
              <w:bottom w:val="single" w:sz="4" w:space="0" w:color="auto"/>
              <w:right w:val="single" w:sz="4" w:space="0" w:color="auto"/>
            </w:tcBorders>
            <w:shd w:val="clear" w:color="auto" w:fill="auto"/>
            <w:noWrap/>
            <w:vAlign w:val="center"/>
            <w:hideMark/>
          </w:tcPr>
          <w:p w14:paraId="5D8DBAC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8,60 %</w:t>
            </w:r>
          </w:p>
        </w:tc>
        <w:tc>
          <w:tcPr>
            <w:tcW w:w="519" w:type="pct"/>
            <w:tcBorders>
              <w:top w:val="nil"/>
              <w:left w:val="nil"/>
              <w:bottom w:val="single" w:sz="4" w:space="0" w:color="auto"/>
              <w:right w:val="single" w:sz="4" w:space="0" w:color="auto"/>
            </w:tcBorders>
            <w:shd w:val="clear" w:color="auto" w:fill="auto"/>
            <w:noWrap/>
            <w:vAlign w:val="center"/>
            <w:hideMark/>
          </w:tcPr>
          <w:p w14:paraId="2142357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6,55 %</w:t>
            </w:r>
          </w:p>
        </w:tc>
      </w:tr>
      <w:tr w:rsidR="00F24E18" w:rsidRPr="00710E07" w14:paraId="2BE109E1"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A6079C0"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22B7618"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685E4B2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683</w:t>
            </w:r>
          </w:p>
        </w:tc>
        <w:tc>
          <w:tcPr>
            <w:tcW w:w="704" w:type="pct"/>
            <w:tcBorders>
              <w:top w:val="nil"/>
              <w:left w:val="nil"/>
              <w:bottom w:val="single" w:sz="4" w:space="0" w:color="auto"/>
              <w:right w:val="single" w:sz="4" w:space="0" w:color="auto"/>
            </w:tcBorders>
            <w:shd w:val="clear" w:color="auto" w:fill="auto"/>
            <w:noWrap/>
            <w:vAlign w:val="center"/>
            <w:hideMark/>
          </w:tcPr>
          <w:p w14:paraId="047658F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117.606.597</w:t>
            </w:r>
          </w:p>
        </w:tc>
        <w:tc>
          <w:tcPr>
            <w:tcW w:w="518" w:type="pct"/>
            <w:tcBorders>
              <w:top w:val="nil"/>
              <w:left w:val="nil"/>
              <w:bottom w:val="single" w:sz="4" w:space="0" w:color="auto"/>
              <w:right w:val="single" w:sz="4" w:space="0" w:color="auto"/>
            </w:tcBorders>
            <w:shd w:val="clear" w:color="auto" w:fill="auto"/>
            <w:noWrap/>
            <w:vAlign w:val="center"/>
            <w:hideMark/>
          </w:tcPr>
          <w:p w14:paraId="4B3E980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37,65 %</w:t>
            </w:r>
          </w:p>
        </w:tc>
        <w:tc>
          <w:tcPr>
            <w:tcW w:w="519" w:type="pct"/>
            <w:tcBorders>
              <w:top w:val="nil"/>
              <w:left w:val="nil"/>
              <w:bottom w:val="single" w:sz="4" w:space="0" w:color="auto"/>
              <w:right w:val="single" w:sz="4" w:space="0" w:color="auto"/>
            </w:tcBorders>
            <w:shd w:val="clear" w:color="auto" w:fill="auto"/>
            <w:noWrap/>
            <w:vAlign w:val="center"/>
            <w:hideMark/>
          </w:tcPr>
          <w:p w14:paraId="3B5AF7C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24,39 %</w:t>
            </w:r>
          </w:p>
        </w:tc>
      </w:tr>
      <w:tr w:rsidR="00F24E18" w:rsidRPr="00710E07" w14:paraId="15CC1D8C"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7344BC20"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2EF20B17"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16A047C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518</w:t>
            </w:r>
          </w:p>
        </w:tc>
        <w:tc>
          <w:tcPr>
            <w:tcW w:w="704" w:type="pct"/>
            <w:tcBorders>
              <w:top w:val="nil"/>
              <w:left w:val="nil"/>
              <w:bottom w:val="single" w:sz="4" w:space="0" w:color="auto"/>
              <w:right w:val="single" w:sz="4" w:space="0" w:color="auto"/>
            </w:tcBorders>
            <w:shd w:val="clear" w:color="auto" w:fill="auto"/>
            <w:noWrap/>
            <w:vAlign w:val="center"/>
            <w:hideMark/>
          </w:tcPr>
          <w:p w14:paraId="1DED54C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117.979.468</w:t>
            </w:r>
          </w:p>
        </w:tc>
        <w:tc>
          <w:tcPr>
            <w:tcW w:w="518" w:type="pct"/>
            <w:tcBorders>
              <w:top w:val="nil"/>
              <w:left w:val="nil"/>
              <w:bottom w:val="single" w:sz="4" w:space="0" w:color="auto"/>
              <w:right w:val="single" w:sz="4" w:space="0" w:color="auto"/>
            </w:tcBorders>
            <w:shd w:val="clear" w:color="auto" w:fill="auto"/>
            <w:noWrap/>
            <w:vAlign w:val="center"/>
            <w:hideMark/>
          </w:tcPr>
          <w:p w14:paraId="34DA7A2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28,56 %</w:t>
            </w:r>
          </w:p>
        </w:tc>
        <w:tc>
          <w:tcPr>
            <w:tcW w:w="519" w:type="pct"/>
            <w:tcBorders>
              <w:top w:val="nil"/>
              <w:left w:val="nil"/>
              <w:bottom w:val="single" w:sz="4" w:space="0" w:color="auto"/>
              <w:right w:val="single" w:sz="4" w:space="0" w:color="auto"/>
            </w:tcBorders>
            <w:shd w:val="clear" w:color="auto" w:fill="auto"/>
            <w:noWrap/>
            <w:vAlign w:val="center"/>
            <w:hideMark/>
          </w:tcPr>
          <w:p w14:paraId="3C8D5A4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24,47 %</w:t>
            </w:r>
          </w:p>
        </w:tc>
      </w:tr>
      <w:tr w:rsidR="00F24E18" w:rsidRPr="00710E07" w14:paraId="2A7B2AFC"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2964499"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69D27905"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4A79B40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388</w:t>
            </w:r>
          </w:p>
        </w:tc>
        <w:tc>
          <w:tcPr>
            <w:tcW w:w="704" w:type="pct"/>
            <w:tcBorders>
              <w:top w:val="nil"/>
              <w:left w:val="nil"/>
              <w:bottom w:val="single" w:sz="4" w:space="0" w:color="auto"/>
              <w:right w:val="single" w:sz="4" w:space="0" w:color="auto"/>
            </w:tcBorders>
            <w:shd w:val="clear" w:color="auto" w:fill="auto"/>
            <w:noWrap/>
            <w:vAlign w:val="center"/>
            <w:hideMark/>
          </w:tcPr>
          <w:p w14:paraId="39FCF42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201.937.593</w:t>
            </w:r>
          </w:p>
        </w:tc>
        <w:tc>
          <w:tcPr>
            <w:tcW w:w="518" w:type="pct"/>
            <w:tcBorders>
              <w:top w:val="nil"/>
              <w:left w:val="nil"/>
              <w:bottom w:val="single" w:sz="4" w:space="0" w:color="auto"/>
              <w:right w:val="single" w:sz="4" w:space="0" w:color="auto"/>
            </w:tcBorders>
            <w:shd w:val="clear" w:color="auto" w:fill="auto"/>
            <w:noWrap/>
            <w:vAlign w:val="center"/>
            <w:hideMark/>
          </w:tcPr>
          <w:p w14:paraId="382FFE3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21,39 %</w:t>
            </w:r>
          </w:p>
        </w:tc>
        <w:tc>
          <w:tcPr>
            <w:tcW w:w="519" w:type="pct"/>
            <w:tcBorders>
              <w:top w:val="nil"/>
              <w:left w:val="nil"/>
              <w:bottom w:val="single" w:sz="4" w:space="0" w:color="auto"/>
              <w:right w:val="single" w:sz="4" w:space="0" w:color="auto"/>
            </w:tcBorders>
            <w:shd w:val="clear" w:color="auto" w:fill="auto"/>
            <w:noWrap/>
            <w:vAlign w:val="center"/>
            <w:hideMark/>
          </w:tcPr>
          <w:p w14:paraId="24389A1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41,88 %</w:t>
            </w:r>
          </w:p>
        </w:tc>
      </w:tr>
      <w:tr w:rsidR="00F24E18" w:rsidRPr="00710E07" w14:paraId="546AAAF3"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522CD0D9"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1C5503BA"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047CC9D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62</w:t>
            </w:r>
          </w:p>
        </w:tc>
        <w:tc>
          <w:tcPr>
            <w:tcW w:w="704" w:type="pct"/>
            <w:tcBorders>
              <w:top w:val="nil"/>
              <w:left w:val="nil"/>
              <w:bottom w:val="single" w:sz="4" w:space="0" w:color="auto"/>
              <w:right w:val="single" w:sz="4" w:space="0" w:color="auto"/>
            </w:tcBorders>
            <w:shd w:val="clear" w:color="auto" w:fill="auto"/>
            <w:noWrap/>
            <w:vAlign w:val="center"/>
            <w:hideMark/>
          </w:tcPr>
          <w:p w14:paraId="4257293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11.451.878</w:t>
            </w:r>
          </w:p>
        </w:tc>
        <w:tc>
          <w:tcPr>
            <w:tcW w:w="518" w:type="pct"/>
            <w:tcBorders>
              <w:top w:val="nil"/>
              <w:left w:val="nil"/>
              <w:bottom w:val="single" w:sz="4" w:space="0" w:color="auto"/>
              <w:right w:val="single" w:sz="4" w:space="0" w:color="auto"/>
            </w:tcBorders>
            <w:shd w:val="clear" w:color="auto" w:fill="auto"/>
            <w:noWrap/>
            <w:vAlign w:val="center"/>
            <w:hideMark/>
          </w:tcPr>
          <w:p w14:paraId="24D44DF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3,42 %</w:t>
            </w:r>
          </w:p>
        </w:tc>
        <w:tc>
          <w:tcPr>
            <w:tcW w:w="519" w:type="pct"/>
            <w:tcBorders>
              <w:top w:val="nil"/>
              <w:left w:val="nil"/>
              <w:bottom w:val="single" w:sz="4" w:space="0" w:color="auto"/>
              <w:right w:val="single" w:sz="4" w:space="0" w:color="auto"/>
            </w:tcBorders>
            <w:shd w:val="clear" w:color="auto" w:fill="auto"/>
            <w:noWrap/>
            <w:vAlign w:val="center"/>
            <w:hideMark/>
          </w:tcPr>
          <w:p w14:paraId="7FBEC3C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2,37 %</w:t>
            </w:r>
          </w:p>
        </w:tc>
      </w:tr>
      <w:tr w:rsidR="00F24E18" w:rsidRPr="00710E07" w14:paraId="69E2F9C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B2D0286"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28C684C8"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Ni podatka o velikosti</w:t>
            </w:r>
          </w:p>
        </w:tc>
        <w:tc>
          <w:tcPr>
            <w:tcW w:w="418" w:type="pct"/>
            <w:tcBorders>
              <w:top w:val="nil"/>
              <w:left w:val="nil"/>
              <w:bottom w:val="single" w:sz="4" w:space="0" w:color="auto"/>
              <w:right w:val="single" w:sz="4" w:space="0" w:color="auto"/>
            </w:tcBorders>
            <w:shd w:val="clear" w:color="auto" w:fill="auto"/>
            <w:noWrap/>
            <w:vAlign w:val="center"/>
            <w:hideMark/>
          </w:tcPr>
          <w:p w14:paraId="62E0A5A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7</w:t>
            </w:r>
          </w:p>
        </w:tc>
        <w:tc>
          <w:tcPr>
            <w:tcW w:w="704" w:type="pct"/>
            <w:tcBorders>
              <w:top w:val="nil"/>
              <w:left w:val="nil"/>
              <w:bottom w:val="single" w:sz="4" w:space="0" w:color="auto"/>
              <w:right w:val="single" w:sz="4" w:space="0" w:color="auto"/>
            </w:tcBorders>
            <w:shd w:val="clear" w:color="auto" w:fill="auto"/>
            <w:noWrap/>
            <w:vAlign w:val="center"/>
            <w:hideMark/>
          </w:tcPr>
          <w:p w14:paraId="5F40C07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1.649.037</w:t>
            </w:r>
          </w:p>
        </w:tc>
        <w:tc>
          <w:tcPr>
            <w:tcW w:w="518" w:type="pct"/>
            <w:tcBorders>
              <w:top w:val="nil"/>
              <w:left w:val="nil"/>
              <w:bottom w:val="single" w:sz="4" w:space="0" w:color="auto"/>
              <w:right w:val="single" w:sz="4" w:space="0" w:color="auto"/>
            </w:tcBorders>
            <w:shd w:val="clear" w:color="auto" w:fill="auto"/>
            <w:noWrap/>
            <w:vAlign w:val="center"/>
            <w:hideMark/>
          </w:tcPr>
          <w:p w14:paraId="5223FD7A"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0,39 %</w:t>
            </w:r>
          </w:p>
        </w:tc>
        <w:tc>
          <w:tcPr>
            <w:tcW w:w="519" w:type="pct"/>
            <w:tcBorders>
              <w:top w:val="nil"/>
              <w:left w:val="nil"/>
              <w:bottom w:val="single" w:sz="4" w:space="0" w:color="auto"/>
              <w:right w:val="single" w:sz="4" w:space="0" w:color="auto"/>
            </w:tcBorders>
            <w:shd w:val="clear" w:color="auto" w:fill="auto"/>
            <w:noWrap/>
            <w:vAlign w:val="center"/>
            <w:hideMark/>
          </w:tcPr>
          <w:p w14:paraId="49C01B4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0,34 %</w:t>
            </w:r>
          </w:p>
        </w:tc>
      </w:tr>
      <w:tr w:rsidR="00F24E18" w:rsidRPr="00710E07" w14:paraId="15CBA98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4394838F"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387D6FF"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7D4FCA80"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1.814</w:t>
            </w:r>
          </w:p>
        </w:tc>
        <w:tc>
          <w:tcPr>
            <w:tcW w:w="704" w:type="pct"/>
            <w:tcBorders>
              <w:top w:val="nil"/>
              <w:left w:val="nil"/>
              <w:bottom w:val="single" w:sz="4" w:space="0" w:color="auto"/>
              <w:right w:val="single" w:sz="4" w:space="0" w:color="auto"/>
            </w:tcBorders>
            <w:shd w:val="clear" w:color="auto" w:fill="auto"/>
            <w:noWrap/>
            <w:vAlign w:val="center"/>
            <w:hideMark/>
          </w:tcPr>
          <w:p w14:paraId="791896D8"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482.187.151</w:t>
            </w:r>
          </w:p>
        </w:tc>
        <w:tc>
          <w:tcPr>
            <w:tcW w:w="518" w:type="pct"/>
            <w:tcBorders>
              <w:top w:val="nil"/>
              <w:left w:val="nil"/>
              <w:bottom w:val="single" w:sz="4" w:space="0" w:color="auto"/>
              <w:right w:val="single" w:sz="4" w:space="0" w:color="auto"/>
            </w:tcBorders>
            <w:shd w:val="clear" w:color="auto" w:fill="auto"/>
            <w:noWrap/>
            <w:vAlign w:val="center"/>
            <w:hideMark/>
          </w:tcPr>
          <w:p w14:paraId="3F5FD088"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59CFD92E"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100,00 %</w:t>
            </w:r>
          </w:p>
        </w:tc>
      </w:tr>
      <w:tr w:rsidR="00F24E18" w:rsidRPr="00710E07" w14:paraId="3A9CB598" w14:textId="77777777" w:rsidTr="000E18B5">
        <w:trPr>
          <w:trHeight w:val="288"/>
        </w:trPr>
        <w:tc>
          <w:tcPr>
            <w:tcW w:w="139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329401"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ZASAVSKA</w:t>
            </w:r>
          </w:p>
        </w:tc>
        <w:tc>
          <w:tcPr>
            <w:tcW w:w="1445" w:type="pct"/>
            <w:tcBorders>
              <w:top w:val="nil"/>
              <w:left w:val="nil"/>
              <w:bottom w:val="single" w:sz="4" w:space="0" w:color="auto"/>
              <w:right w:val="single" w:sz="4" w:space="0" w:color="auto"/>
            </w:tcBorders>
            <w:shd w:val="clear" w:color="auto" w:fill="auto"/>
            <w:noWrap/>
            <w:vAlign w:val="center"/>
            <w:hideMark/>
          </w:tcPr>
          <w:p w14:paraId="4C64B18B" w14:textId="77777777" w:rsidR="00F24E18" w:rsidRPr="00710E07" w:rsidRDefault="00F24E18" w:rsidP="000E18B5">
            <w:pPr>
              <w:spacing w:after="0" w:line="240" w:lineRule="auto"/>
              <w:rPr>
                <w:rFonts w:ascii="Arial" w:eastAsia="Times New Roman" w:hAnsi="Arial" w:cs="Arial"/>
                <w:color w:val="000000"/>
                <w:sz w:val="18"/>
                <w:szCs w:val="18"/>
                <w:lang w:eastAsia="sl-SI"/>
              </w:rPr>
            </w:pPr>
            <w:proofErr w:type="spellStart"/>
            <w:r w:rsidRPr="00710E07">
              <w:rPr>
                <w:rFonts w:ascii="Arial" w:eastAsia="Times New Roman" w:hAnsi="Arial" w:cs="Arial"/>
                <w:color w:val="000000"/>
                <w:sz w:val="18"/>
                <w:szCs w:val="18"/>
                <w:lang w:eastAsia="sl-SI"/>
              </w:rPr>
              <w:t>Mikro</w:t>
            </w:r>
            <w:proofErr w:type="spellEnd"/>
            <w:r w:rsidRPr="00710E07">
              <w:rPr>
                <w:rFonts w:ascii="Arial" w:eastAsia="Times New Roman" w:hAnsi="Arial" w:cs="Arial"/>
                <w:color w:val="000000"/>
                <w:sz w:val="18"/>
                <w:szCs w:val="18"/>
                <w:lang w:eastAsia="sl-SI"/>
              </w:rPr>
              <w:t xml:space="preserve"> enote</w:t>
            </w:r>
          </w:p>
        </w:tc>
        <w:tc>
          <w:tcPr>
            <w:tcW w:w="418" w:type="pct"/>
            <w:tcBorders>
              <w:top w:val="nil"/>
              <w:left w:val="nil"/>
              <w:bottom w:val="single" w:sz="4" w:space="0" w:color="auto"/>
              <w:right w:val="single" w:sz="4" w:space="0" w:color="auto"/>
            </w:tcBorders>
            <w:shd w:val="clear" w:color="auto" w:fill="auto"/>
            <w:noWrap/>
            <w:vAlign w:val="center"/>
            <w:hideMark/>
          </w:tcPr>
          <w:p w14:paraId="4DFC10C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46</w:t>
            </w:r>
          </w:p>
        </w:tc>
        <w:tc>
          <w:tcPr>
            <w:tcW w:w="704" w:type="pct"/>
            <w:tcBorders>
              <w:top w:val="nil"/>
              <w:left w:val="nil"/>
              <w:bottom w:val="single" w:sz="4" w:space="0" w:color="auto"/>
              <w:right w:val="single" w:sz="4" w:space="0" w:color="auto"/>
            </w:tcBorders>
            <w:shd w:val="clear" w:color="auto" w:fill="auto"/>
            <w:noWrap/>
            <w:vAlign w:val="center"/>
            <w:hideMark/>
          </w:tcPr>
          <w:p w14:paraId="5A1BFEE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1.737.543</w:t>
            </w:r>
          </w:p>
        </w:tc>
        <w:tc>
          <w:tcPr>
            <w:tcW w:w="518" w:type="pct"/>
            <w:tcBorders>
              <w:top w:val="nil"/>
              <w:left w:val="nil"/>
              <w:bottom w:val="single" w:sz="4" w:space="0" w:color="auto"/>
              <w:right w:val="single" w:sz="4" w:space="0" w:color="auto"/>
            </w:tcBorders>
            <w:shd w:val="clear" w:color="auto" w:fill="auto"/>
            <w:noWrap/>
            <w:vAlign w:val="center"/>
            <w:hideMark/>
          </w:tcPr>
          <w:p w14:paraId="7F0FAE2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10,93 %</w:t>
            </w:r>
          </w:p>
        </w:tc>
        <w:tc>
          <w:tcPr>
            <w:tcW w:w="519" w:type="pct"/>
            <w:tcBorders>
              <w:top w:val="nil"/>
              <w:left w:val="nil"/>
              <w:bottom w:val="single" w:sz="4" w:space="0" w:color="auto"/>
              <w:right w:val="single" w:sz="4" w:space="0" w:color="auto"/>
            </w:tcBorders>
            <w:shd w:val="clear" w:color="auto" w:fill="auto"/>
            <w:noWrap/>
            <w:vAlign w:val="center"/>
            <w:hideMark/>
          </w:tcPr>
          <w:p w14:paraId="1797EE46"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5,70 %</w:t>
            </w:r>
          </w:p>
        </w:tc>
      </w:tr>
      <w:tr w:rsidR="00F24E18" w:rsidRPr="00710E07" w14:paraId="144BDB71"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28EF4A9B"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7F0DF399"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Majhne enote</w:t>
            </w:r>
          </w:p>
        </w:tc>
        <w:tc>
          <w:tcPr>
            <w:tcW w:w="418" w:type="pct"/>
            <w:tcBorders>
              <w:top w:val="nil"/>
              <w:left w:val="nil"/>
              <w:bottom w:val="single" w:sz="4" w:space="0" w:color="auto"/>
              <w:right w:val="single" w:sz="4" w:space="0" w:color="auto"/>
            </w:tcBorders>
            <w:shd w:val="clear" w:color="auto" w:fill="auto"/>
            <w:noWrap/>
            <w:vAlign w:val="center"/>
            <w:hideMark/>
          </w:tcPr>
          <w:p w14:paraId="554725D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111</w:t>
            </w:r>
          </w:p>
        </w:tc>
        <w:tc>
          <w:tcPr>
            <w:tcW w:w="704" w:type="pct"/>
            <w:tcBorders>
              <w:top w:val="nil"/>
              <w:left w:val="nil"/>
              <w:bottom w:val="single" w:sz="4" w:space="0" w:color="auto"/>
              <w:right w:val="single" w:sz="4" w:space="0" w:color="auto"/>
            </w:tcBorders>
            <w:shd w:val="clear" w:color="auto" w:fill="auto"/>
            <w:noWrap/>
            <w:vAlign w:val="center"/>
            <w:hideMark/>
          </w:tcPr>
          <w:p w14:paraId="2584CE6E"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10.825.142</w:t>
            </w:r>
          </w:p>
        </w:tc>
        <w:tc>
          <w:tcPr>
            <w:tcW w:w="518" w:type="pct"/>
            <w:tcBorders>
              <w:top w:val="nil"/>
              <w:left w:val="nil"/>
              <w:bottom w:val="single" w:sz="4" w:space="0" w:color="auto"/>
              <w:right w:val="single" w:sz="4" w:space="0" w:color="auto"/>
            </w:tcBorders>
            <w:shd w:val="clear" w:color="auto" w:fill="auto"/>
            <w:noWrap/>
            <w:vAlign w:val="center"/>
            <w:hideMark/>
          </w:tcPr>
          <w:p w14:paraId="72F01372"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26,37 %</w:t>
            </w:r>
          </w:p>
        </w:tc>
        <w:tc>
          <w:tcPr>
            <w:tcW w:w="519" w:type="pct"/>
            <w:tcBorders>
              <w:top w:val="nil"/>
              <w:left w:val="nil"/>
              <w:bottom w:val="single" w:sz="4" w:space="0" w:color="auto"/>
              <w:right w:val="single" w:sz="4" w:space="0" w:color="auto"/>
            </w:tcBorders>
            <w:shd w:val="clear" w:color="auto" w:fill="auto"/>
            <w:noWrap/>
            <w:vAlign w:val="center"/>
            <w:hideMark/>
          </w:tcPr>
          <w:p w14:paraId="7F26F32C"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35,51 %</w:t>
            </w:r>
          </w:p>
        </w:tc>
      </w:tr>
      <w:tr w:rsidR="00F24E18" w:rsidRPr="00710E07" w14:paraId="649DF9FE"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3D2E4CA7"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43F6AE6"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Srednje enote</w:t>
            </w:r>
          </w:p>
        </w:tc>
        <w:tc>
          <w:tcPr>
            <w:tcW w:w="418" w:type="pct"/>
            <w:tcBorders>
              <w:top w:val="nil"/>
              <w:left w:val="nil"/>
              <w:bottom w:val="single" w:sz="4" w:space="0" w:color="auto"/>
              <w:right w:val="single" w:sz="4" w:space="0" w:color="auto"/>
            </w:tcBorders>
            <w:shd w:val="clear" w:color="auto" w:fill="auto"/>
            <w:noWrap/>
            <w:vAlign w:val="center"/>
            <w:hideMark/>
          </w:tcPr>
          <w:p w14:paraId="7FF4D749"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114</w:t>
            </w:r>
          </w:p>
        </w:tc>
        <w:tc>
          <w:tcPr>
            <w:tcW w:w="704" w:type="pct"/>
            <w:tcBorders>
              <w:top w:val="nil"/>
              <w:left w:val="nil"/>
              <w:bottom w:val="single" w:sz="4" w:space="0" w:color="auto"/>
              <w:right w:val="single" w:sz="4" w:space="0" w:color="auto"/>
            </w:tcBorders>
            <w:shd w:val="clear" w:color="auto" w:fill="auto"/>
            <w:noWrap/>
            <w:vAlign w:val="center"/>
            <w:hideMark/>
          </w:tcPr>
          <w:p w14:paraId="6EF414A3"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6.385.267</w:t>
            </w:r>
          </w:p>
        </w:tc>
        <w:tc>
          <w:tcPr>
            <w:tcW w:w="518" w:type="pct"/>
            <w:tcBorders>
              <w:top w:val="nil"/>
              <w:left w:val="nil"/>
              <w:bottom w:val="single" w:sz="4" w:space="0" w:color="auto"/>
              <w:right w:val="single" w:sz="4" w:space="0" w:color="auto"/>
            </w:tcBorders>
            <w:shd w:val="clear" w:color="auto" w:fill="auto"/>
            <w:noWrap/>
            <w:vAlign w:val="center"/>
            <w:hideMark/>
          </w:tcPr>
          <w:p w14:paraId="24C89AA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27,08 %</w:t>
            </w:r>
          </w:p>
        </w:tc>
        <w:tc>
          <w:tcPr>
            <w:tcW w:w="519" w:type="pct"/>
            <w:tcBorders>
              <w:top w:val="nil"/>
              <w:left w:val="nil"/>
              <w:bottom w:val="single" w:sz="4" w:space="0" w:color="auto"/>
              <w:right w:val="single" w:sz="4" w:space="0" w:color="auto"/>
            </w:tcBorders>
            <w:shd w:val="clear" w:color="auto" w:fill="auto"/>
            <w:noWrap/>
            <w:vAlign w:val="center"/>
            <w:hideMark/>
          </w:tcPr>
          <w:p w14:paraId="3EE14EE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20,94 %</w:t>
            </w:r>
          </w:p>
        </w:tc>
      </w:tr>
      <w:tr w:rsidR="00F24E18" w:rsidRPr="00710E07" w14:paraId="56F3E379"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1B8C76F1"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76BBC414"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Velike enote</w:t>
            </w:r>
          </w:p>
        </w:tc>
        <w:tc>
          <w:tcPr>
            <w:tcW w:w="418" w:type="pct"/>
            <w:tcBorders>
              <w:top w:val="nil"/>
              <w:left w:val="nil"/>
              <w:bottom w:val="single" w:sz="4" w:space="0" w:color="auto"/>
              <w:right w:val="single" w:sz="4" w:space="0" w:color="auto"/>
            </w:tcBorders>
            <w:shd w:val="clear" w:color="auto" w:fill="auto"/>
            <w:noWrap/>
            <w:vAlign w:val="center"/>
            <w:hideMark/>
          </w:tcPr>
          <w:p w14:paraId="1C5E2CE0"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140</w:t>
            </w:r>
          </w:p>
        </w:tc>
        <w:tc>
          <w:tcPr>
            <w:tcW w:w="704" w:type="pct"/>
            <w:tcBorders>
              <w:top w:val="nil"/>
              <w:left w:val="nil"/>
              <w:bottom w:val="single" w:sz="4" w:space="0" w:color="auto"/>
              <w:right w:val="single" w:sz="4" w:space="0" w:color="auto"/>
            </w:tcBorders>
            <w:shd w:val="clear" w:color="auto" w:fill="auto"/>
            <w:noWrap/>
            <w:vAlign w:val="center"/>
            <w:hideMark/>
          </w:tcPr>
          <w:p w14:paraId="63EC5FB8"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10.861.167</w:t>
            </w:r>
          </w:p>
        </w:tc>
        <w:tc>
          <w:tcPr>
            <w:tcW w:w="518" w:type="pct"/>
            <w:tcBorders>
              <w:top w:val="nil"/>
              <w:left w:val="nil"/>
              <w:bottom w:val="single" w:sz="4" w:space="0" w:color="auto"/>
              <w:right w:val="single" w:sz="4" w:space="0" w:color="auto"/>
            </w:tcBorders>
            <w:shd w:val="clear" w:color="auto" w:fill="auto"/>
            <w:noWrap/>
            <w:vAlign w:val="center"/>
            <w:hideMark/>
          </w:tcPr>
          <w:p w14:paraId="7E21079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33,25 %</w:t>
            </w:r>
          </w:p>
        </w:tc>
        <w:tc>
          <w:tcPr>
            <w:tcW w:w="519" w:type="pct"/>
            <w:tcBorders>
              <w:top w:val="nil"/>
              <w:left w:val="nil"/>
              <w:bottom w:val="single" w:sz="4" w:space="0" w:color="auto"/>
              <w:right w:val="single" w:sz="4" w:space="0" w:color="auto"/>
            </w:tcBorders>
            <w:shd w:val="clear" w:color="auto" w:fill="auto"/>
            <w:noWrap/>
            <w:vAlign w:val="center"/>
            <w:hideMark/>
          </w:tcPr>
          <w:p w14:paraId="542CD4FD"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35,62 %</w:t>
            </w:r>
          </w:p>
        </w:tc>
      </w:tr>
      <w:tr w:rsidR="00F24E18" w:rsidRPr="00710E07" w14:paraId="533BBDB4"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656A7292"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3FBA2E2B" w14:textId="77777777" w:rsidR="00F24E18" w:rsidRPr="00710E07" w:rsidRDefault="00F24E18" w:rsidP="000E18B5">
            <w:pPr>
              <w:spacing w:after="0" w:line="240" w:lineRule="auto"/>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Velikost RS se ne izračunava</w:t>
            </w:r>
          </w:p>
        </w:tc>
        <w:tc>
          <w:tcPr>
            <w:tcW w:w="418" w:type="pct"/>
            <w:tcBorders>
              <w:top w:val="nil"/>
              <w:left w:val="nil"/>
              <w:bottom w:val="single" w:sz="4" w:space="0" w:color="auto"/>
              <w:right w:val="single" w:sz="4" w:space="0" w:color="auto"/>
            </w:tcBorders>
            <w:shd w:val="clear" w:color="auto" w:fill="auto"/>
            <w:noWrap/>
            <w:vAlign w:val="center"/>
            <w:hideMark/>
          </w:tcPr>
          <w:p w14:paraId="648A0D5F"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10</w:t>
            </w:r>
          </w:p>
        </w:tc>
        <w:tc>
          <w:tcPr>
            <w:tcW w:w="704" w:type="pct"/>
            <w:tcBorders>
              <w:top w:val="nil"/>
              <w:left w:val="nil"/>
              <w:bottom w:val="single" w:sz="4" w:space="0" w:color="auto"/>
              <w:right w:val="single" w:sz="4" w:space="0" w:color="auto"/>
            </w:tcBorders>
            <w:shd w:val="clear" w:color="auto" w:fill="auto"/>
            <w:noWrap/>
            <w:vAlign w:val="center"/>
            <w:hideMark/>
          </w:tcPr>
          <w:p w14:paraId="1F2FE8FB"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eastAsia="Times New Roman" w:hAnsi="Arial" w:cs="Arial"/>
                <w:color w:val="000000"/>
                <w:sz w:val="18"/>
                <w:szCs w:val="18"/>
                <w:lang w:eastAsia="sl-SI"/>
              </w:rPr>
              <w:t>678.388</w:t>
            </w:r>
          </w:p>
        </w:tc>
        <w:tc>
          <w:tcPr>
            <w:tcW w:w="518" w:type="pct"/>
            <w:tcBorders>
              <w:top w:val="nil"/>
              <w:left w:val="nil"/>
              <w:bottom w:val="single" w:sz="4" w:space="0" w:color="auto"/>
              <w:right w:val="single" w:sz="4" w:space="0" w:color="auto"/>
            </w:tcBorders>
            <w:shd w:val="clear" w:color="auto" w:fill="auto"/>
            <w:noWrap/>
            <w:vAlign w:val="center"/>
            <w:hideMark/>
          </w:tcPr>
          <w:p w14:paraId="0C099524"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2,38 %</w:t>
            </w:r>
          </w:p>
        </w:tc>
        <w:tc>
          <w:tcPr>
            <w:tcW w:w="519" w:type="pct"/>
            <w:tcBorders>
              <w:top w:val="nil"/>
              <w:left w:val="nil"/>
              <w:bottom w:val="single" w:sz="4" w:space="0" w:color="auto"/>
              <w:right w:val="single" w:sz="4" w:space="0" w:color="auto"/>
            </w:tcBorders>
            <w:shd w:val="clear" w:color="auto" w:fill="auto"/>
            <w:noWrap/>
            <w:vAlign w:val="center"/>
            <w:hideMark/>
          </w:tcPr>
          <w:p w14:paraId="66AB4325" w14:textId="77777777" w:rsidR="00F24E18" w:rsidRPr="00710E07" w:rsidRDefault="00F24E18" w:rsidP="000E18B5">
            <w:pPr>
              <w:spacing w:after="0" w:line="240" w:lineRule="auto"/>
              <w:jc w:val="right"/>
              <w:rPr>
                <w:rFonts w:ascii="Arial" w:eastAsia="Times New Roman" w:hAnsi="Arial" w:cs="Arial"/>
                <w:color w:val="000000"/>
                <w:sz w:val="18"/>
                <w:szCs w:val="18"/>
                <w:lang w:eastAsia="sl-SI"/>
              </w:rPr>
            </w:pPr>
            <w:r w:rsidRPr="00710E07">
              <w:rPr>
                <w:rFonts w:ascii="Arial" w:hAnsi="Arial" w:cs="Arial"/>
                <w:color w:val="000000"/>
                <w:sz w:val="18"/>
                <w:szCs w:val="18"/>
              </w:rPr>
              <w:t>2,23 %</w:t>
            </w:r>
          </w:p>
        </w:tc>
      </w:tr>
      <w:tr w:rsidR="00F24E18" w:rsidRPr="00710E07" w14:paraId="37A780A2" w14:textId="77777777" w:rsidTr="000E18B5">
        <w:trPr>
          <w:trHeight w:val="288"/>
        </w:trPr>
        <w:tc>
          <w:tcPr>
            <w:tcW w:w="1396" w:type="pct"/>
            <w:vMerge/>
            <w:tcBorders>
              <w:top w:val="nil"/>
              <w:left w:val="single" w:sz="4" w:space="0" w:color="auto"/>
              <w:bottom w:val="single" w:sz="4" w:space="0" w:color="000000"/>
              <w:right w:val="single" w:sz="4" w:space="0" w:color="auto"/>
            </w:tcBorders>
            <w:vAlign w:val="center"/>
            <w:hideMark/>
          </w:tcPr>
          <w:p w14:paraId="35E9855F" w14:textId="77777777" w:rsidR="00F24E18" w:rsidRPr="00710E07" w:rsidRDefault="00F24E18" w:rsidP="000E18B5">
            <w:pPr>
              <w:spacing w:after="0" w:line="240" w:lineRule="auto"/>
              <w:rPr>
                <w:rFonts w:ascii="Arial" w:eastAsia="Times New Roman" w:hAnsi="Arial" w:cs="Arial"/>
                <w:color w:val="000000"/>
                <w:sz w:val="18"/>
                <w:szCs w:val="18"/>
                <w:lang w:eastAsia="sl-SI"/>
              </w:rPr>
            </w:pPr>
          </w:p>
        </w:tc>
        <w:tc>
          <w:tcPr>
            <w:tcW w:w="1445" w:type="pct"/>
            <w:tcBorders>
              <w:top w:val="nil"/>
              <w:left w:val="nil"/>
              <w:bottom w:val="single" w:sz="4" w:space="0" w:color="auto"/>
              <w:right w:val="single" w:sz="4" w:space="0" w:color="auto"/>
            </w:tcBorders>
            <w:shd w:val="clear" w:color="auto" w:fill="auto"/>
            <w:noWrap/>
            <w:vAlign w:val="center"/>
            <w:hideMark/>
          </w:tcPr>
          <w:p w14:paraId="5AAE6554"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auto"/>
            <w:noWrap/>
            <w:vAlign w:val="center"/>
            <w:hideMark/>
          </w:tcPr>
          <w:p w14:paraId="6F721CDB"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421</w:t>
            </w:r>
          </w:p>
        </w:tc>
        <w:tc>
          <w:tcPr>
            <w:tcW w:w="704" w:type="pct"/>
            <w:tcBorders>
              <w:top w:val="nil"/>
              <w:left w:val="nil"/>
              <w:bottom w:val="single" w:sz="4" w:space="0" w:color="auto"/>
              <w:right w:val="single" w:sz="4" w:space="0" w:color="auto"/>
            </w:tcBorders>
            <w:shd w:val="clear" w:color="auto" w:fill="auto"/>
            <w:noWrap/>
            <w:vAlign w:val="center"/>
            <w:hideMark/>
          </w:tcPr>
          <w:p w14:paraId="07C9F97E"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30.487.507</w:t>
            </w:r>
          </w:p>
        </w:tc>
        <w:tc>
          <w:tcPr>
            <w:tcW w:w="518" w:type="pct"/>
            <w:tcBorders>
              <w:top w:val="nil"/>
              <w:left w:val="nil"/>
              <w:bottom w:val="single" w:sz="4" w:space="0" w:color="auto"/>
              <w:right w:val="single" w:sz="4" w:space="0" w:color="auto"/>
            </w:tcBorders>
            <w:shd w:val="clear" w:color="auto" w:fill="auto"/>
            <w:noWrap/>
            <w:vAlign w:val="center"/>
            <w:hideMark/>
          </w:tcPr>
          <w:p w14:paraId="6A751B08"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299AEDF4"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100,00 %</w:t>
            </w:r>
          </w:p>
        </w:tc>
      </w:tr>
      <w:tr w:rsidR="00F24E18" w:rsidRPr="00710E07" w14:paraId="2EFD2B18" w14:textId="77777777" w:rsidTr="000E18B5">
        <w:trPr>
          <w:gridAfter w:val="2"/>
          <w:wAfter w:w="1037" w:type="pct"/>
          <w:trHeight w:val="288"/>
        </w:trPr>
        <w:tc>
          <w:tcPr>
            <w:tcW w:w="28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FE9C45" w14:textId="77777777" w:rsidR="00F24E18" w:rsidRPr="00710E07" w:rsidRDefault="00F24E18" w:rsidP="000E18B5">
            <w:pPr>
              <w:spacing w:after="0" w:line="240" w:lineRule="auto"/>
              <w:rPr>
                <w:rFonts w:ascii="Arial" w:eastAsia="Times New Roman" w:hAnsi="Arial" w:cs="Arial"/>
                <w:b/>
                <w:bCs/>
                <w:color w:val="000000"/>
                <w:sz w:val="18"/>
                <w:szCs w:val="18"/>
                <w:lang w:eastAsia="sl-SI"/>
              </w:rPr>
            </w:pPr>
            <w:r w:rsidRPr="00710E07">
              <w:rPr>
                <w:rFonts w:ascii="Arial" w:eastAsia="Times New Roman" w:hAnsi="Arial" w:cs="Arial"/>
                <w:b/>
                <w:bCs/>
                <w:color w:val="000000"/>
                <w:sz w:val="18"/>
                <w:szCs w:val="18"/>
                <w:lang w:eastAsia="sl-SI"/>
              </w:rPr>
              <w:t>Skupaj</w:t>
            </w:r>
          </w:p>
        </w:tc>
        <w:tc>
          <w:tcPr>
            <w:tcW w:w="418" w:type="pct"/>
            <w:tcBorders>
              <w:top w:val="nil"/>
              <w:left w:val="nil"/>
              <w:bottom w:val="single" w:sz="4" w:space="0" w:color="auto"/>
              <w:right w:val="single" w:sz="4" w:space="0" w:color="auto"/>
            </w:tcBorders>
            <w:shd w:val="clear" w:color="auto" w:fill="F2F2F2" w:themeFill="background1" w:themeFillShade="F2"/>
            <w:noWrap/>
            <w:vAlign w:val="center"/>
            <w:hideMark/>
          </w:tcPr>
          <w:p w14:paraId="55BDDF9A"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16.340</w:t>
            </w:r>
          </w:p>
        </w:tc>
        <w:tc>
          <w:tcPr>
            <w:tcW w:w="704" w:type="pct"/>
            <w:tcBorders>
              <w:top w:val="nil"/>
              <w:left w:val="nil"/>
              <w:bottom w:val="single" w:sz="4" w:space="0" w:color="auto"/>
              <w:right w:val="single" w:sz="4" w:space="0" w:color="auto"/>
            </w:tcBorders>
            <w:shd w:val="clear" w:color="auto" w:fill="F2F2F2" w:themeFill="background1" w:themeFillShade="F2"/>
            <w:noWrap/>
            <w:vAlign w:val="center"/>
            <w:hideMark/>
          </w:tcPr>
          <w:p w14:paraId="7037FD4B" w14:textId="77777777" w:rsidR="00F24E18" w:rsidRPr="00710E07" w:rsidRDefault="00F24E18" w:rsidP="000E18B5">
            <w:pPr>
              <w:spacing w:after="0" w:line="240" w:lineRule="auto"/>
              <w:jc w:val="right"/>
              <w:rPr>
                <w:rFonts w:ascii="Arial" w:eastAsia="Times New Roman" w:hAnsi="Arial" w:cs="Arial"/>
                <w:b/>
                <w:bCs/>
                <w:color w:val="000000"/>
                <w:sz w:val="18"/>
                <w:szCs w:val="18"/>
                <w:lang w:eastAsia="sl-SI"/>
              </w:rPr>
            </w:pPr>
            <w:r w:rsidRPr="00710E07">
              <w:rPr>
                <w:rFonts w:ascii="Arial" w:hAnsi="Arial" w:cs="Arial"/>
                <w:b/>
                <w:bCs/>
                <w:color w:val="000000"/>
                <w:sz w:val="18"/>
                <w:szCs w:val="18"/>
              </w:rPr>
              <w:t>5</w:t>
            </w:r>
            <w:r>
              <w:rPr>
                <w:rFonts w:ascii="Arial" w:hAnsi="Arial" w:cs="Arial"/>
                <w:b/>
                <w:bCs/>
                <w:color w:val="000000"/>
                <w:sz w:val="18"/>
                <w:szCs w:val="18"/>
              </w:rPr>
              <w:t>.</w:t>
            </w:r>
            <w:r w:rsidRPr="00710E07">
              <w:rPr>
                <w:rFonts w:ascii="Arial" w:hAnsi="Arial" w:cs="Arial"/>
                <w:b/>
                <w:bCs/>
                <w:color w:val="000000"/>
                <w:sz w:val="18"/>
                <w:szCs w:val="18"/>
              </w:rPr>
              <w:t>763</w:t>
            </w:r>
            <w:r>
              <w:rPr>
                <w:rFonts w:ascii="Arial" w:hAnsi="Arial" w:cs="Arial"/>
                <w:b/>
                <w:bCs/>
                <w:color w:val="000000"/>
                <w:sz w:val="18"/>
                <w:szCs w:val="18"/>
              </w:rPr>
              <w:t>.</w:t>
            </w:r>
            <w:r w:rsidRPr="00710E07">
              <w:rPr>
                <w:rFonts w:ascii="Arial" w:hAnsi="Arial" w:cs="Arial"/>
                <w:b/>
                <w:bCs/>
                <w:color w:val="000000"/>
                <w:sz w:val="18"/>
                <w:szCs w:val="18"/>
              </w:rPr>
              <w:t>934.024</w:t>
            </w:r>
          </w:p>
        </w:tc>
      </w:tr>
    </w:tbl>
    <w:p w14:paraId="416B1382" w14:textId="77777777" w:rsidR="00F24E18" w:rsidRPr="00242E41" w:rsidRDefault="00F24E18" w:rsidP="00F24E18">
      <w:pPr>
        <w:spacing w:after="0" w:line="240" w:lineRule="auto"/>
        <w:jc w:val="both"/>
        <w:rPr>
          <w:rFonts w:ascii="Arial" w:hAnsi="Arial" w:cs="Arial"/>
          <w:sz w:val="20"/>
          <w:highlight w:val="yellow"/>
        </w:rPr>
      </w:pPr>
    </w:p>
    <w:p w14:paraId="43D82942" w14:textId="77777777" w:rsidR="00F24E18" w:rsidRPr="00082992" w:rsidRDefault="00F24E18" w:rsidP="00F24E18">
      <w:pPr>
        <w:spacing w:before="120" w:after="0" w:line="240" w:lineRule="auto"/>
        <w:jc w:val="both"/>
        <w:rPr>
          <w:rFonts w:ascii="Arial" w:hAnsi="Arial" w:cs="Arial"/>
          <w:sz w:val="20"/>
        </w:rPr>
      </w:pPr>
      <w:r w:rsidRPr="00082992">
        <w:rPr>
          <w:rFonts w:ascii="Arial" w:hAnsi="Arial" w:cs="Arial"/>
          <w:sz w:val="20"/>
        </w:rPr>
        <w:lastRenderedPageBreak/>
        <w:t>Preglednica 93: Javna naročila, pri oddaji katerih so bili upoštevani socialni vidiki glede na način upoštevanja teh vidikov</w:t>
      </w:r>
    </w:p>
    <w:p w14:paraId="56B3AA4F" w14:textId="77777777" w:rsidR="00F24E18" w:rsidRPr="00242E41" w:rsidRDefault="00F24E18" w:rsidP="00F24E18">
      <w:pPr>
        <w:spacing w:after="0" w:line="240" w:lineRule="auto"/>
        <w:jc w:val="both"/>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1197"/>
        <w:gridCol w:w="1017"/>
        <w:gridCol w:w="1185"/>
        <w:gridCol w:w="1143"/>
        <w:gridCol w:w="1027"/>
        <w:gridCol w:w="1018"/>
        <w:gridCol w:w="875"/>
        <w:gridCol w:w="1712"/>
      </w:tblGrid>
      <w:tr w:rsidR="00F24E18" w:rsidRPr="00082992" w14:paraId="5317CC44" w14:textId="77777777" w:rsidTr="000E18B5">
        <w:trPr>
          <w:trHeight w:val="72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970AA" w14:textId="77777777" w:rsidR="00F24E18" w:rsidRPr="00082992" w:rsidRDefault="00F24E18" w:rsidP="000E18B5">
            <w:pPr>
              <w:spacing w:after="0" w:line="240" w:lineRule="auto"/>
              <w:jc w:val="center"/>
              <w:rPr>
                <w:rFonts w:ascii="Arial" w:eastAsia="Times New Roman" w:hAnsi="Arial" w:cs="Arial"/>
                <w:color w:val="000000"/>
                <w:sz w:val="18"/>
                <w:szCs w:val="18"/>
                <w:lang w:eastAsia="sl-SI"/>
              </w:rPr>
            </w:pPr>
            <w:bookmarkStart w:id="124" w:name="OLE_LINK1"/>
            <w:r w:rsidRPr="00082992">
              <w:rPr>
                <w:rFonts w:ascii="Arial" w:eastAsia="Times New Roman" w:hAnsi="Arial" w:cs="Arial"/>
                <w:color w:val="000000"/>
                <w:sz w:val="18"/>
                <w:szCs w:val="18"/>
                <w:lang w:eastAsia="sl-SI"/>
              </w:rPr>
              <w:t>Tehnične specifikacije</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A840D0A" w14:textId="77777777" w:rsidR="00F24E18" w:rsidRPr="00082992" w:rsidRDefault="00F24E18" w:rsidP="000E18B5">
            <w:pPr>
              <w:spacing w:after="0" w:line="240" w:lineRule="auto"/>
              <w:jc w:val="center"/>
              <w:rPr>
                <w:rFonts w:ascii="Arial" w:eastAsia="Times New Roman" w:hAnsi="Arial" w:cs="Arial"/>
                <w:color w:val="000000"/>
                <w:sz w:val="18"/>
                <w:szCs w:val="18"/>
                <w:lang w:eastAsia="sl-SI"/>
              </w:rPr>
            </w:pPr>
            <w:r w:rsidRPr="00082992">
              <w:rPr>
                <w:rFonts w:ascii="Arial" w:eastAsia="Times New Roman" w:hAnsi="Arial" w:cs="Arial"/>
                <w:color w:val="000000"/>
                <w:sz w:val="18"/>
                <w:szCs w:val="18"/>
                <w:lang w:eastAsia="sl-SI"/>
              </w:rPr>
              <w:t>Merila</w:t>
            </w:r>
          </w:p>
        </w:tc>
        <w:tc>
          <w:tcPr>
            <w:tcW w:w="646" w:type="pct"/>
            <w:tcBorders>
              <w:top w:val="single" w:sz="4" w:space="0" w:color="auto"/>
              <w:left w:val="nil"/>
              <w:bottom w:val="single" w:sz="4" w:space="0" w:color="auto"/>
              <w:right w:val="single" w:sz="4" w:space="0" w:color="auto"/>
            </w:tcBorders>
            <w:shd w:val="clear" w:color="auto" w:fill="auto"/>
            <w:vAlign w:val="center"/>
            <w:hideMark/>
          </w:tcPr>
          <w:p w14:paraId="26F505F6" w14:textId="77777777" w:rsidR="00F24E18" w:rsidRPr="00082992" w:rsidRDefault="00F24E18" w:rsidP="000E18B5">
            <w:pPr>
              <w:spacing w:after="0" w:line="240" w:lineRule="auto"/>
              <w:jc w:val="center"/>
              <w:rPr>
                <w:rFonts w:ascii="Arial" w:eastAsia="Times New Roman" w:hAnsi="Arial" w:cs="Arial"/>
                <w:color w:val="000000"/>
                <w:sz w:val="18"/>
                <w:szCs w:val="18"/>
                <w:lang w:eastAsia="sl-SI"/>
              </w:rPr>
            </w:pPr>
            <w:r w:rsidRPr="00082992">
              <w:rPr>
                <w:rFonts w:ascii="Arial" w:eastAsia="Times New Roman" w:hAnsi="Arial" w:cs="Arial"/>
                <w:color w:val="000000"/>
                <w:sz w:val="18"/>
                <w:szCs w:val="18"/>
                <w:lang w:eastAsia="sl-SI"/>
              </w:rPr>
              <w:t>Pogoji za sodelovanje</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20F2733A" w14:textId="77777777" w:rsidR="00F24E18" w:rsidRPr="00082992" w:rsidRDefault="00F24E18" w:rsidP="000E18B5">
            <w:pPr>
              <w:spacing w:after="0" w:line="240" w:lineRule="auto"/>
              <w:jc w:val="center"/>
              <w:rPr>
                <w:rFonts w:ascii="Arial" w:eastAsia="Times New Roman" w:hAnsi="Arial" w:cs="Arial"/>
                <w:color w:val="000000"/>
                <w:sz w:val="18"/>
                <w:szCs w:val="18"/>
                <w:lang w:eastAsia="sl-SI"/>
              </w:rPr>
            </w:pPr>
            <w:r w:rsidRPr="00082992">
              <w:rPr>
                <w:rFonts w:ascii="Arial" w:eastAsia="Times New Roman" w:hAnsi="Arial" w:cs="Arial"/>
                <w:color w:val="000000"/>
                <w:sz w:val="18"/>
                <w:szCs w:val="18"/>
                <w:lang w:eastAsia="sl-SI"/>
              </w:rPr>
              <w:t>Pogodbena določila</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103B4F24" w14:textId="77777777" w:rsidR="00F24E18" w:rsidRPr="00082992" w:rsidRDefault="00F24E18" w:rsidP="000E18B5">
            <w:pPr>
              <w:spacing w:after="0" w:line="240" w:lineRule="auto"/>
              <w:jc w:val="center"/>
              <w:rPr>
                <w:rFonts w:ascii="Arial" w:eastAsia="Times New Roman" w:hAnsi="Arial" w:cs="Arial"/>
                <w:color w:val="000000"/>
                <w:sz w:val="18"/>
                <w:szCs w:val="18"/>
                <w:lang w:eastAsia="sl-SI"/>
              </w:rPr>
            </w:pPr>
            <w:r w:rsidRPr="00082992">
              <w:rPr>
                <w:rFonts w:ascii="Arial" w:eastAsia="Times New Roman" w:hAnsi="Arial" w:cs="Arial"/>
                <w:color w:val="000000"/>
                <w:sz w:val="18"/>
                <w:szCs w:val="18"/>
                <w:lang w:eastAsia="sl-SI"/>
              </w:rPr>
              <w:t>Razlogi za izključitev</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4E57CE1A" w14:textId="77777777" w:rsidR="00F24E18" w:rsidRPr="00082992" w:rsidRDefault="00F24E18" w:rsidP="000E18B5">
            <w:pPr>
              <w:spacing w:after="0" w:line="240" w:lineRule="auto"/>
              <w:jc w:val="center"/>
              <w:rPr>
                <w:rFonts w:ascii="Arial" w:eastAsia="Times New Roman" w:hAnsi="Arial" w:cs="Arial"/>
                <w:color w:val="000000"/>
                <w:sz w:val="18"/>
                <w:szCs w:val="18"/>
                <w:lang w:eastAsia="sl-SI"/>
              </w:rPr>
            </w:pPr>
            <w:r w:rsidRPr="00082992">
              <w:rPr>
                <w:rFonts w:ascii="Arial" w:eastAsia="Times New Roman" w:hAnsi="Arial" w:cs="Arial"/>
                <w:color w:val="000000"/>
                <w:sz w:val="18"/>
                <w:szCs w:val="18"/>
                <w:lang w:eastAsia="sl-SI"/>
              </w:rPr>
              <w:t>Drugo</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198A93DD" w14:textId="77777777" w:rsidR="00F24E18" w:rsidRPr="00082992" w:rsidRDefault="00F24E18" w:rsidP="000E18B5">
            <w:pPr>
              <w:spacing w:after="0" w:line="240" w:lineRule="auto"/>
              <w:jc w:val="center"/>
              <w:rPr>
                <w:rFonts w:ascii="Arial" w:eastAsia="Times New Roman" w:hAnsi="Arial" w:cs="Arial"/>
                <w:color w:val="000000"/>
                <w:sz w:val="18"/>
                <w:szCs w:val="18"/>
                <w:lang w:eastAsia="sl-SI"/>
              </w:rPr>
            </w:pPr>
            <w:r w:rsidRPr="00082992">
              <w:rPr>
                <w:rFonts w:ascii="Arial" w:eastAsia="Times New Roman" w:hAnsi="Arial" w:cs="Arial"/>
                <w:color w:val="000000"/>
                <w:sz w:val="18"/>
                <w:szCs w:val="18"/>
                <w:lang w:eastAsia="sl-SI"/>
              </w:rPr>
              <w:t>Št. naročil</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745745A5" w14:textId="77777777" w:rsidR="00F24E18" w:rsidRPr="00082992" w:rsidRDefault="00F24E18" w:rsidP="000E18B5">
            <w:pPr>
              <w:spacing w:after="0" w:line="240" w:lineRule="auto"/>
              <w:jc w:val="center"/>
              <w:rPr>
                <w:rFonts w:ascii="Arial" w:eastAsia="Times New Roman" w:hAnsi="Arial" w:cs="Arial"/>
                <w:color w:val="000000"/>
                <w:sz w:val="18"/>
                <w:szCs w:val="18"/>
                <w:lang w:eastAsia="sl-SI"/>
              </w:rPr>
            </w:pPr>
            <w:r w:rsidRPr="00082992">
              <w:rPr>
                <w:rFonts w:ascii="Arial" w:eastAsia="Times New Roman" w:hAnsi="Arial" w:cs="Arial"/>
                <w:color w:val="000000"/>
                <w:sz w:val="18"/>
                <w:szCs w:val="18"/>
                <w:lang w:eastAsia="sl-SI"/>
              </w:rPr>
              <w:t>Pogodbena vrednost</w:t>
            </w:r>
          </w:p>
        </w:tc>
      </w:tr>
      <w:tr w:rsidR="00F24E18" w:rsidRPr="00082992" w14:paraId="7F4F2456"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53043A5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643E520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45DDA225"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62A249D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06F7CC9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6B70B6F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5E28E498"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903</w:t>
            </w:r>
          </w:p>
        </w:tc>
        <w:tc>
          <w:tcPr>
            <w:tcW w:w="933" w:type="pct"/>
            <w:tcBorders>
              <w:top w:val="nil"/>
              <w:left w:val="nil"/>
              <w:bottom w:val="single" w:sz="4" w:space="0" w:color="auto"/>
              <w:right w:val="single" w:sz="4" w:space="0" w:color="auto"/>
            </w:tcBorders>
            <w:shd w:val="clear" w:color="auto" w:fill="auto"/>
            <w:vAlign w:val="center"/>
          </w:tcPr>
          <w:p w14:paraId="61D68F95"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347.824.691</w:t>
            </w:r>
          </w:p>
        </w:tc>
      </w:tr>
      <w:tr w:rsidR="00F24E18" w:rsidRPr="00082992" w14:paraId="36F5B5FA"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1A31F5F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09B524C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054F997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59BE46A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73A9AD9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4F755EC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64C21245"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411</w:t>
            </w:r>
          </w:p>
        </w:tc>
        <w:tc>
          <w:tcPr>
            <w:tcW w:w="933" w:type="pct"/>
            <w:tcBorders>
              <w:top w:val="nil"/>
              <w:left w:val="nil"/>
              <w:bottom w:val="single" w:sz="4" w:space="0" w:color="auto"/>
              <w:right w:val="single" w:sz="4" w:space="0" w:color="auto"/>
            </w:tcBorders>
            <w:shd w:val="clear" w:color="auto" w:fill="auto"/>
            <w:vAlign w:val="center"/>
          </w:tcPr>
          <w:p w14:paraId="0443C553"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725.713.277</w:t>
            </w:r>
          </w:p>
        </w:tc>
      </w:tr>
      <w:tr w:rsidR="00F24E18" w:rsidRPr="00082992" w14:paraId="6FBFC99B"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0B5313D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0D2CAE52"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06282E6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4E88B1C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6D191E5E"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77AEFEB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0F6FD64F"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246</w:t>
            </w:r>
          </w:p>
        </w:tc>
        <w:tc>
          <w:tcPr>
            <w:tcW w:w="933" w:type="pct"/>
            <w:tcBorders>
              <w:top w:val="nil"/>
              <w:left w:val="nil"/>
              <w:bottom w:val="single" w:sz="4" w:space="0" w:color="auto"/>
              <w:right w:val="single" w:sz="4" w:space="0" w:color="auto"/>
            </w:tcBorders>
            <w:shd w:val="clear" w:color="auto" w:fill="auto"/>
            <w:vAlign w:val="center"/>
          </w:tcPr>
          <w:p w14:paraId="507D3DF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48.123.304</w:t>
            </w:r>
          </w:p>
        </w:tc>
      </w:tr>
      <w:tr w:rsidR="00F24E18" w:rsidRPr="00082992" w14:paraId="49090062"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2BA6301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218F30F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0D56CC2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55E1B14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4E5ADFD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0F49F5E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236C4F21"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218</w:t>
            </w:r>
          </w:p>
        </w:tc>
        <w:tc>
          <w:tcPr>
            <w:tcW w:w="933" w:type="pct"/>
            <w:tcBorders>
              <w:top w:val="nil"/>
              <w:left w:val="nil"/>
              <w:bottom w:val="single" w:sz="4" w:space="0" w:color="auto"/>
              <w:right w:val="single" w:sz="4" w:space="0" w:color="auto"/>
            </w:tcBorders>
            <w:shd w:val="clear" w:color="auto" w:fill="auto"/>
            <w:vAlign w:val="center"/>
          </w:tcPr>
          <w:p w14:paraId="0D246A27"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55.836.207</w:t>
            </w:r>
          </w:p>
        </w:tc>
      </w:tr>
      <w:tr w:rsidR="00F24E18" w:rsidRPr="00082992" w14:paraId="7B82963E"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79607B8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056EDDC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093EF3F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4F20ED1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3D348052"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222B920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7C8DA78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161</w:t>
            </w:r>
          </w:p>
        </w:tc>
        <w:tc>
          <w:tcPr>
            <w:tcW w:w="933" w:type="pct"/>
            <w:tcBorders>
              <w:top w:val="nil"/>
              <w:left w:val="nil"/>
              <w:bottom w:val="single" w:sz="4" w:space="0" w:color="auto"/>
              <w:right w:val="single" w:sz="4" w:space="0" w:color="auto"/>
            </w:tcBorders>
            <w:shd w:val="clear" w:color="auto" w:fill="auto"/>
            <w:vAlign w:val="center"/>
          </w:tcPr>
          <w:p w14:paraId="6161AEFA"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9.360.764</w:t>
            </w:r>
          </w:p>
        </w:tc>
      </w:tr>
      <w:tr w:rsidR="00F24E18" w:rsidRPr="00082992" w14:paraId="1E8CA9AC"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5BCAB82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0B0815F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503FCED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3AEE0E3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59A3B86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78E64D9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363C6617"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111</w:t>
            </w:r>
          </w:p>
        </w:tc>
        <w:tc>
          <w:tcPr>
            <w:tcW w:w="933" w:type="pct"/>
            <w:tcBorders>
              <w:top w:val="nil"/>
              <w:left w:val="nil"/>
              <w:bottom w:val="single" w:sz="4" w:space="0" w:color="auto"/>
              <w:right w:val="single" w:sz="4" w:space="0" w:color="auto"/>
            </w:tcBorders>
            <w:shd w:val="clear" w:color="auto" w:fill="auto"/>
            <w:vAlign w:val="center"/>
          </w:tcPr>
          <w:p w14:paraId="4625431E"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40.940.414</w:t>
            </w:r>
          </w:p>
        </w:tc>
      </w:tr>
      <w:tr w:rsidR="00F24E18" w:rsidRPr="00082992" w14:paraId="1B492177"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1555E1C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1AC4902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01D9F1D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2120AE1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7DC4478E"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6DFA0C3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2CB2AC83"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99</w:t>
            </w:r>
          </w:p>
        </w:tc>
        <w:tc>
          <w:tcPr>
            <w:tcW w:w="933" w:type="pct"/>
            <w:tcBorders>
              <w:top w:val="nil"/>
              <w:left w:val="nil"/>
              <w:bottom w:val="single" w:sz="4" w:space="0" w:color="auto"/>
              <w:right w:val="single" w:sz="4" w:space="0" w:color="auto"/>
            </w:tcBorders>
            <w:shd w:val="clear" w:color="auto" w:fill="auto"/>
            <w:vAlign w:val="center"/>
          </w:tcPr>
          <w:p w14:paraId="5D90E90B"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10.930.514</w:t>
            </w:r>
          </w:p>
        </w:tc>
      </w:tr>
      <w:tr w:rsidR="00F24E18" w:rsidRPr="00082992" w14:paraId="7CC36FC5"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5F959D3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09BDD9D2"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535A0AA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40579FCE"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7C9A745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4C6DBA3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288CD76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88</w:t>
            </w:r>
          </w:p>
        </w:tc>
        <w:tc>
          <w:tcPr>
            <w:tcW w:w="933" w:type="pct"/>
            <w:tcBorders>
              <w:top w:val="nil"/>
              <w:left w:val="nil"/>
              <w:bottom w:val="single" w:sz="4" w:space="0" w:color="auto"/>
              <w:right w:val="single" w:sz="4" w:space="0" w:color="auto"/>
            </w:tcBorders>
            <w:shd w:val="clear" w:color="auto" w:fill="auto"/>
            <w:vAlign w:val="center"/>
          </w:tcPr>
          <w:p w14:paraId="3E311A1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169.615.259</w:t>
            </w:r>
          </w:p>
        </w:tc>
      </w:tr>
      <w:tr w:rsidR="00F24E18" w:rsidRPr="00082992" w14:paraId="21B8A1F8"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70A3E355"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5A551D0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0E46833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42246BE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0A4C937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36C17965"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375AF0A2"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52</w:t>
            </w:r>
          </w:p>
        </w:tc>
        <w:tc>
          <w:tcPr>
            <w:tcW w:w="933" w:type="pct"/>
            <w:tcBorders>
              <w:top w:val="nil"/>
              <w:left w:val="nil"/>
              <w:bottom w:val="single" w:sz="4" w:space="0" w:color="auto"/>
              <w:right w:val="single" w:sz="4" w:space="0" w:color="auto"/>
            </w:tcBorders>
            <w:shd w:val="clear" w:color="auto" w:fill="auto"/>
            <w:vAlign w:val="center"/>
          </w:tcPr>
          <w:p w14:paraId="36CE41A2"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31.209.734</w:t>
            </w:r>
          </w:p>
        </w:tc>
      </w:tr>
      <w:tr w:rsidR="00F24E18" w:rsidRPr="00082992" w14:paraId="44E7EE17"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432A70D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4E371E4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33924D0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0EA21CA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7C32DA7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45F4A562"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55796E73"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31</w:t>
            </w:r>
          </w:p>
        </w:tc>
        <w:tc>
          <w:tcPr>
            <w:tcW w:w="933" w:type="pct"/>
            <w:tcBorders>
              <w:top w:val="nil"/>
              <w:left w:val="nil"/>
              <w:bottom w:val="single" w:sz="4" w:space="0" w:color="auto"/>
              <w:right w:val="single" w:sz="4" w:space="0" w:color="auto"/>
            </w:tcBorders>
            <w:shd w:val="clear" w:color="auto" w:fill="auto"/>
            <w:vAlign w:val="center"/>
          </w:tcPr>
          <w:p w14:paraId="2E8F276B"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5.936.626</w:t>
            </w:r>
          </w:p>
        </w:tc>
      </w:tr>
      <w:tr w:rsidR="00F24E18" w:rsidRPr="00082992" w14:paraId="649005EB"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10A5C75E"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42DE20E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5EA17A9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73E8B49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416403F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00B0F0"/>
            <w:noWrap/>
            <w:vAlign w:val="bottom"/>
          </w:tcPr>
          <w:p w14:paraId="34F97DD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625D69C9"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8</w:t>
            </w:r>
          </w:p>
        </w:tc>
        <w:tc>
          <w:tcPr>
            <w:tcW w:w="933" w:type="pct"/>
            <w:tcBorders>
              <w:top w:val="nil"/>
              <w:left w:val="nil"/>
              <w:bottom w:val="single" w:sz="4" w:space="0" w:color="auto"/>
              <w:right w:val="single" w:sz="4" w:space="0" w:color="auto"/>
            </w:tcBorders>
            <w:shd w:val="clear" w:color="auto" w:fill="auto"/>
            <w:vAlign w:val="center"/>
          </w:tcPr>
          <w:p w14:paraId="34B02534"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19.182.100</w:t>
            </w:r>
          </w:p>
        </w:tc>
      </w:tr>
      <w:tr w:rsidR="00F24E18" w:rsidRPr="00082992" w14:paraId="2582508C"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043FF3E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247C64C5"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5332A57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5902C682"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5A8641DE"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6B99B6E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030B23FA"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8</w:t>
            </w:r>
          </w:p>
        </w:tc>
        <w:tc>
          <w:tcPr>
            <w:tcW w:w="933" w:type="pct"/>
            <w:tcBorders>
              <w:top w:val="nil"/>
              <w:left w:val="nil"/>
              <w:bottom w:val="single" w:sz="4" w:space="0" w:color="auto"/>
              <w:right w:val="single" w:sz="4" w:space="0" w:color="auto"/>
            </w:tcBorders>
            <w:shd w:val="clear" w:color="auto" w:fill="auto"/>
            <w:vAlign w:val="center"/>
          </w:tcPr>
          <w:p w14:paraId="5D6FCFC3"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82.778</w:t>
            </w:r>
          </w:p>
        </w:tc>
      </w:tr>
      <w:tr w:rsidR="00F24E18" w:rsidRPr="00082992" w14:paraId="5DFA0F94"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1358DA2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52B52AE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0B3CF1D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3C165E82"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41346ACE"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12F248E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73E3F7F2"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7</w:t>
            </w:r>
          </w:p>
        </w:tc>
        <w:tc>
          <w:tcPr>
            <w:tcW w:w="933" w:type="pct"/>
            <w:tcBorders>
              <w:top w:val="nil"/>
              <w:left w:val="nil"/>
              <w:bottom w:val="single" w:sz="4" w:space="0" w:color="auto"/>
              <w:right w:val="single" w:sz="4" w:space="0" w:color="auto"/>
            </w:tcBorders>
            <w:shd w:val="clear" w:color="auto" w:fill="auto"/>
            <w:vAlign w:val="center"/>
          </w:tcPr>
          <w:p w14:paraId="0BABEEEF"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1.335.543</w:t>
            </w:r>
          </w:p>
        </w:tc>
      </w:tr>
      <w:tr w:rsidR="00F24E18" w:rsidRPr="00082992" w14:paraId="5A9025BC"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5D3488E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4375654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09BB40B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6FAD8F5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706173B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65A135C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74990EB2"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6</w:t>
            </w:r>
          </w:p>
        </w:tc>
        <w:tc>
          <w:tcPr>
            <w:tcW w:w="933" w:type="pct"/>
            <w:tcBorders>
              <w:top w:val="nil"/>
              <w:left w:val="nil"/>
              <w:bottom w:val="single" w:sz="4" w:space="0" w:color="auto"/>
              <w:right w:val="single" w:sz="4" w:space="0" w:color="auto"/>
            </w:tcBorders>
            <w:shd w:val="clear" w:color="auto" w:fill="auto"/>
            <w:vAlign w:val="center"/>
          </w:tcPr>
          <w:p w14:paraId="2ED5C916"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1.229.992</w:t>
            </w:r>
          </w:p>
        </w:tc>
      </w:tr>
      <w:tr w:rsidR="00F24E18" w:rsidRPr="00082992" w14:paraId="5D76665A"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670487D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33DC4E8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25BE2BF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0BA9C48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0AE4429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71DA3C8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5C517D1B"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6</w:t>
            </w:r>
          </w:p>
        </w:tc>
        <w:tc>
          <w:tcPr>
            <w:tcW w:w="933" w:type="pct"/>
            <w:tcBorders>
              <w:top w:val="nil"/>
              <w:left w:val="nil"/>
              <w:bottom w:val="single" w:sz="4" w:space="0" w:color="auto"/>
              <w:right w:val="single" w:sz="4" w:space="0" w:color="auto"/>
            </w:tcBorders>
            <w:shd w:val="clear" w:color="auto" w:fill="auto"/>
            <w:vAlign w:val="center"/>
          </w:tcPr>
          <w:p w14:paraId="3D396221"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723.805</w:t>
            </w:r>
          </w:p>
        </w:tc>
      </w:tr>
      <w:tr w:rsidR="00F24E18" w:rsidRPr="00082992" w14:paraId="0B8284AC"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224166C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4210E99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1DDD0A2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43DBA05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5BA3BE9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33D47B0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7980AE41"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6</w:t>
            </w:r>
          </w:p>
        </w:tc>
        <w:tc>
          <w:tcPr>
            <w:tcW w:w="933" w:type="pct"/>
            <w:tcBorders>
              <w:top w:val="nil"/>
              <w:left w:val="nil"/>
              <w:bottom w:val="single" w:sz="4" w:space="0" w:color="auto"/>
              <w:right w:val="single" w:sz="4" w:space="0" w:color="auto"/>
            </w:tcBorders>
            <w:shd w:val="clear" w:color="auto" w:fill="auto"/>
            <w:vAlign w:val="center"/>
          </w:tcPr>
          <w:p w14:paraId="58A9F756"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914.512</w:t>
            </w:r>
          </w:p>
        </w:tc>
      </w:tr>
      <w:tr w:rsidR="00F24E18" w:rsidRPr="00082992" w14:paraId="32049ECD"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2928799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10CCD3F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1CED9E1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62D620D5"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4BB674B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31A8EC3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387BFD36"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4</w:t>
            </w:r>
          </w:p>
        </w:tc>
        <w:tc>
          <w:tcPr>
            <w:tcW w:w="933" w:type="pct"/>
            <w:tcBorders>
              <w:top w:val="nil"/>
              <w:left w:val="nil"/>
              <w:bottom w:val="single" w:sz="4" w:space="0" w:color="auto"/>
              <w:right w:val="single" w:sz="4" w:space="0" w:color="auto"/>
            </w:tcBorders>
            <w:shd w:val="clear" w:color="auto" w:fill="auto"/>
            <w:vAlign w:val="center"/>
          </w:tcPr>
          <w:p w14:paraId="07ADCFA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1.129.609</w:t>
            </w:r>
          </w:p>
        </w:tc>
      </w:tr>
      <w:tr w:rsidR="00F24E18" w:rsidRPr="00082992" w14:paraId="1D4B25D9"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764CE37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7EBFCAA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1ECF961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1CBD7CD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2C6C374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4E9258F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5F6BED52"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4</w:t>
            </w:r>
          </w:p>
        </w:tc>
        <w:tc>
          <w:tcPr>
            <w:tcW w:w="933" w:type="pct"/>
            <w:tcBorders>
              <w:top w:val="nil"/>
              <w:left w:val="nil"/>
              <w:bottom w:val="single" w:sz="4" w:space="0" w:color="auto"/>
              <w:right w:val="single" w:sz="4" w:space="0" w:color="auto"/>
            </w:tcBorders>
            <w:shd w:val="clear" w:color="auto" w:fill="auto"/>
            <w:vAlign w:val="center"/>
          </w:tcPr>
          <w:p w14:paraId="4A7C4AB7"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2.504.652</w:t>
            </w:r>
          </w:p>
        </w:tc>
      </w:tr>
      <w:tr w:rsidR="00F24E18" w:rsidRPr="00082992" w14:paraId="37725907"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66F7C7B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4AB618D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46E4BE8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506D747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1219E102"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05D9D32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10867FA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4</w:t>
            </w:r>
          </w:p>
        </w:tc>
        <w:tc>
          <w:tcPr>
            <w:tcW w:w="933" w:type="pct"/>
            <w:tcBorders>
              <w:top w:val="nil"/>
              <w:left w:val="nil"/>
              <w:bottom w:val="single" w:sz="4" w:space="0" w:color="auto"/>
              <w:right w:val="single" w:sz="4" w:space="0" w:color="auto"/>
            </w:tcBorders>
            <w:shd w:val="clear" w:color="auto" w:fill="auto"/>
            <w:vAlign w:val="center"/>
          </w:tcPr>
          <w:p w14:paraId="12DCB0AB"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726.083</w:t>
            </w:r>
          </w:p>
        </w:tc>
      </w:tr>
      <w:tr w:rsidR="00F24E18" w:rsidRPr="00082992" w14:paraId="53F35E17"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38CE314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5944E1B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4294AF9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5D20A92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4905A4E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78939E5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522F1FF7"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3</w:t>
            </w:r>
          </w:p>
        </w:tc>
        <w:tc>
          <w:tcPr>
            <w:tcW w:w="933" w:type="pct"/>
            <w:tcBorders>
              <w:top w:val="nil"/>
              <w:left w:val="nil"/>
              <w:bottom w:val="single" w:sz="4" w:space="0" w:color="auto"/>
              <w:right w:val="single" w:sz="4" w:space="0" w:color="auto"/>
            </w:tcBorders>
            <w:shd w:val="clear" w:color="auto" w:fill="auto"/>
            <w:vAlign w:val="center"/>
          </w:tcPr>
          <w:p w14:paraId="74EA19F9"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85.991</w:t>
            </w:r>
          </w:p>
        </w:tc>
      </w:tr>
      <w:tr w:rsidR="00F24E18" w:rsidRPr="00082992" w14:paraId="79586FC5"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3A6D834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16521C5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67166F3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62B4F4CE"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532077A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1F9AFBF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17C0F259"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3</w:t>
            </w:r>
          </w:p>
        </w:tc>
        <w:tc>
          <w:tcPr>
            <w:tcW w:w="933" w:type="pct"/>
            <w:tcBorders>
              <w:top w:val="nil"/>
              <w:left w:val="nil"/>
              <w:bottom w:val="single" w:sz="4" w:space="0" w:color="auto"/>
              <w:right w:val="single" w:sz="4" w:space="0" w:color="auto"/>
            </w:tcBorders>
            <w:shd w:val="clear" w:color="auto" w:fill="auto"/>
            <w:vAlign w:val="center"/>
          </w:tcPr>
          <w:p w14:paraId="601DFBF9"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206.461</w:t>
            </w:r>
          </w:p>
        </w:tc>
      </w:tr>
      <w:tr w:rsidR="00F24E18" w:rsidRPr="00082992" w14:paraId="2884714C"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50C4E37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2C57DCE5"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41C216A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4DEC003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71D178B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0C105DB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6AE91F75"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3</w:t>
            </w:r>
          </w:p>
        </w:tc>
        <w:tc>
          <w:tcPr>
            <w:tcW w:w="933" w:type="pct"/>
            <w:tcBorders>
              <w:top w:val="nil"/>
              <w:left w:val="nil"/>
              <w:bottom w:val="single" w:sz="4" w:space="0" w:color="auto"/>
              <w:right w:val="single" w:sz="4" w:space="0" w:color="auto"/>
            </w:tcBorders>
            <w:shd w:val="clear" w:color="auto" w:fill="auto"/>
            <w:vAlign w:val="center"/>
          </w:tcPr>
          <w:p w14:paraId="0C68B8C1"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203.916.038</w:t>
            </w:r>
          </w:p>
        </w:tc>
      </w:tr>
      <w:tr w:rsidR="00F24E18" w:rsidRPr="00082992" w14:paraId="7F2DB692"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7BFB386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6FAF2E9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2E9C389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3A33E6E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742EE56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4624131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70FDFFE5"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2</w:t>
            </w:r>
          </w:p>
        </w:tc>
        <w:tc>
          <w:tcPr>
            <w:tcW w:w="933" w:type="pct"/>
            <w:tcBorders>
              <w:top w:val="nil"/>
              <w:left w:val="nil"/>
              <w:bottom w:val="single" w:sz="4" w:space="0" w:color="auto"/>
              <w:right w:val="single" w:sz="4" w:space="0" w:color="auto"/>
            </w:tcBorders>
            <w:shd w:val="clear" w:color="auto" w:fill="auto"/>
            <w:vAlign w:val="center"/>
          </w:tcPr>
          <w:p w14:paraId="5B4EF584"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642.400</w:t>
            </w:r>
          </w:p>
        </w:tc>
      </w:tr>
      <w:tr w:rsidR="00F24E18" w:rsidRPr="00082992" w14:paraId="291BDAEA"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17C1F54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06EB708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114976D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4A60D0A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7F305EA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7DABB595"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3F6206A5"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2</w:t>
            </w:r>
          </w:p>
        </w:tc>
        <w:tc>
          <w:tcPr>
            <w:tcW w:w="933" w:type="pct"/>
            <w:tcBorders>
              <w:top w:val="nil"/>
              <w:left w:val="nil"/>
              <w:bottom w:val="single" w:sz="4" w:space="0" w:color="auto"/>
              <w:right w:val="single" w:sz="4" w:space="0" w:color="auto"/>
            </w:tcBorders>
            <w:shd w:val="clear" w:color="auto" w:fill="auto"/>
            <w:vAlign w:val="center"/>
          </w:tcPr>
          <w:p w14:paraId="2EA5C8FA"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232.700</w:t>
            </w:r>
          </w:p>
        </w:tc>
      </w:tr>
      <w:tr w:rsidR="00F24E18" w:rsidRPr="00082992" w14:paraId="12DE4EAA"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2CAA106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134457F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3FEFBE6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6B68522D"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1C25839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6636A38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592B6FAB"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w:t>
            </w:r>
          </w:p>
        </w:tc>
        <w:tc>
          <w:tcPr>
            <w:tcW w:w="933" w:type="pct"/>
            <w:tcBorders>
              <w:top w:val="nil"/>
              <w:left w:val="nil"/>
              <w:bottom w:val="single" w:sz="4" w:space="0" w:color="auto"/>
              <w:right w:val="single" w:sz="4" w:space="0" w:color="auto"/>
            </w:tcBorders>
            <w:shd w:val="clear" w:color="auto" w:fill="auto"/>
            <w:vAlign w:val="center"/>
          </w:tcPr>
          <w:p w14:paraId="7267CAD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143.158</w:t>
            </w:r>
          </w:p>
        </w:tc>
      </w:tr>
      <w:tr w:rsidR="00F24E18" w:rsidRPr="00082992" w14:paraId="3A196D78"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auto"/>
            <w:noWrap/>
            <w:vAlign w:val="bottom"/>
          </w:tcPr>
          <w:p w14:paraId="757C833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44C3667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auto"/>
            <w:noWrap/>
            <w:vAlign w:val="bottom"/>
          </w:tcPr>
          <w:p w14:paraId="173EE32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629C6B8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25D56A7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076223F6"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5B0A47D7"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w:t>
            </w:r>
          </w:p>
        </w:tc>
        <w:tc>
          <w:tcPr>
            <w:tcW w:w="933" w:type="pct"/>
            <w:tcBorders>
              <w:top w:val="nil"/>
              <w:left w:val="nil"/>
              <w:bottom w:val="single" w:sz="4" w:space="0" w:color="auto"/>
              <w:right w:val="single" w:sz="4" w:space="0" w:color="auto"/>
            </w:tcBorders>
            <w:shd w:val="clear" w:color="auto" w:fill="auto"/>
            <w:vAlign w:val="center"/>
          </w:tcPr>
          <w:p w14:paraId="3472FB24"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863.720</w:t>
            </w:r>
          </w:p>
        </w:tc>
      </w:tr>
      <w:tr w:rsidR="00F24E18" w:rsidRPr="00082992" w14:paraId="46138930"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7C8962D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3DA0DE0B"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5F73180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5D6E6C35"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703A240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0184837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53B48083"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w:t>
            </w:r>
          </w:p>
        </w:tc>
        <w:tc>
          <w:tcPr>
            <w:tcW w:w="933" w:type="pct"/>
            <w:tcBorders>
              <w:top w:val="nil"/>
              <w:left w:val="nil"/>
              <w:bottom w:val="single" w:sz="4" w:space="0" w:color="auto"/>
              <w:right w:val="single" w:sz="4" w:space="0" w:color="auto"/>
            </w:tcBorders>
            <w:shd w:val="clear" w:color="auto" w:fill="auto"/>
            <w:vAlign w:val="center"/>
          </w:tcPr>
          <w:p w14:paraId="4EB30D56"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320.906</w:t>
            </w:r>
          </w:p>
        </w:tc>
      </w:tr>
      <w:tr w:rsidR="00F24E18" w:rsidRPr="00082992" w14:paraId="7E721B57"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7682D452"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14183E7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0121D5B8"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0A10AFF1"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auto"/>
            <w:noWrap/>
            <w:vAlign w:val="bottom"/>
          </w:tcPr>
          <w:p w14:paraId="3D3A5797"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023F133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48CFD3A1"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w:t>
            </w:r>
          </w:p>
        </w:tc>
        <w:tc>
          <w:tcPr>
            <w:tcW w:w="933" w:type="pct"/>
            <w:tcBorders>
              <w:top w:val="nil"/>
              <w:left w:val="nil"/>
              <w:bottom w:val="single" w:sz="4" w:space="0" w:color="auto"/>
              <w:right w:val="single" w:sz="4" w:space="0" w:color="auto"/>
            </w:tcBorders>
            <w:shd w:val="clear" w:color="auto" w:fill="auto"/>
            <w:vAlign w:val="center"/>
          </w:tcPr>
          <w:p w14:paraId="67F6B45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51.636</w:t>
            </w:r>
          </w:p>
        </w:tc>
      </w:tr>
      <w:tr w:rsidR="00F24E18" w:rsidRPr="00082992" w14:paraId="3791EC14"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7A8FC45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00B0F0"/>
            <w:noWrap/>
            <w:vAlign w:val="bottom"/>
          </w:tcPr>
          <w:p w14:paraId="786C925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78366E10"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00B0F0"/>
            <w:noWrap/>
            <w:vAlign w:val="bottom"/>
          </w:tcPr>
          <w:p w14:paraId="5B295C0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5CBBD73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2D3B9FE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63719191"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w:t>
            </w:r>
          </w:p>
        </w:tc>
        <w:tc>
          <w:tcPr>
            <w:tcW w:w="933" w:type="pct"/>
            <w:tcBorders>
              <w:top w:val="nil"/>
              <w:left w:val="nil"/>
              <w:bottom w:val="single" w:sz="4" w:space="0" w:color="auto"/>
              <w:right w:val="single" w:sz="4" w:space="0" w:color="auto"/>
            </w:tcBorders>
            <w:shd w:val="clear" w:color="auto" w:fill="auto"/>
            <w:vAlign w:val="center"/>
          </w:tcPr>
          <w:p w14:paraId="16EA5A2B"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415.074</w:t>
            </w:r>
          </w:p>
        </w:tc>
      </w:tr>
      <w:tr w:rsidR="00F24E18" w:rsidRPr="00242E41" w14:paraId="3D5A9927" w14:textId="77777777" w:rsidTr="000E18B5">
        <w:trPr>
          <w:trHeight w:val="300"/>
        </w:trPr>
        <w:tc>
          <w:tcPr>
            <w:tcW w:w="652" w:type="pct"/>
            <w:tcBorders>
              <w:top w:val="nil"/>
              <w:left w:val="single" w:sz="4" w:space="0" w:color="auto"/>
              <w:bottom w:val="single" w:sz="4" w:space="0" w:color="auto"/>
              <w:right w:val="single" w:sz="4" w:space="0" w:color="auto"/>
            </w:tcBorders>
            <w:shd w:val="clear" w:color="auto" w:fill="00B0F0"/>
            <w:noWrap/>
            <w:vAlign w:val="bottom"/>
          </w:tcPr>
          <w:p w14:paraId="741A878A"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4" w:type="pct"/>
            <w:tcBorders>
              <w:top w:val="nil"/>
              <w:left w:val="nil"/>
              <w:bottom w:val="single" w:sz="4" w:space="0" w:color="auto"/>
              <w:right w:val="single" w:sz="4" w:space="0" w:color="auto"/>
            </w:tcBorders>
            <w:shd w:val="clear" w:color="auto" w:fill="auto"/>
            <w:noWrap/>
            <w:vAlign w:val="bottom"/>
          </w:tcPr>
          <w:p w14:paraId="38CEB5E4"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46" w:type="pct"/>
            <w:tcBorders>
              <w:top w:val="nil"/>
              <w:left w:val="nil"/>
              <w:bottom w:val="single" w:sz="4" w:space="0" w:color="auto"/>
              <w:right w:val="single" w:sz="4" w:space="0" w:color="auto"/>
            </w:tcBorders>
            <w:shd w:val="clear" w:color="auto" w:fill="00B0F0"/>
            <w:noWrap/>
            <w:vAlign w:val="bottom"/>
          </w:tcPr>
          <w:p w14:paraId="6D24AFEF"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623" w:type="pct"/>
            <w:tcBorders>
              <w:top w:val="nil"/>
              <w:left w:val="nil"/>
              <w:bottom w:val="single" w:sz="4" w:space="0" w:color="auto"/>
              <w:right w:val="single" w:sz="4" w:space="0" w:color="auto"/>
            </w:tcBorders>
            <w:shd w:val="clear" w:color="auto" w:fill="auto"/>
            <w:noWrap/>
            <w:vAlign w:val="bottom"/>
          </w:tcPr>
          <w:p w14:paraId="337E684C"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60" w:type="pct"/>
            <w:tcBorders>
              <w:top w:val="nil"/>
              <w:left w:val="nil"/>
              <w:bottom w:val="single" w:sz="4" w:space="0" w:color="auto"/>
              <w:right w:val="single" w:sz="4" w:space="0" w:color="auto"/>
            </w:tcBorders>
            <w:shd w:val="clear" w:color="auto" w:fill="00B0F0"/>
            <w:noWrap/>
            <w:vAlign w:val="bottom"/>
          </w:tcPr>
          <w:p w14:paraId="13740AD9"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555" w:type="pct"/>
            <w:tcBorders>
              <w:top w:val="nil"/>
              <w:left w:val="nil"/>
              <w:bottom w:val="single" w:sz="4" w:space="0" w:color="auto"/>
              <w:right w:val="single" w:sz="4" w:space="0" w:color="auto"/>
            </w:tcBorders>
            <w:shd w:val="clear" w:color="auto" w:fill="auto"/>
            <w:noWrap/>
            <w:vAlign w:val="bottom"/>
          </w:tcPr>
          <w:p w14:paraId="65D0D523" w14:textId="77777777" w:rsidR="00F24E18" w:rsidRPr="00082992" w:rsidRDefault="00F24E18" w:rsidP="000E18B5">
            <w:pPr>
              <w:spacing w:after="0" w:line="240" w:lineRule="auto"/>
              <w:rPr>
                <w:rFonts w:ascii="Arial" w:eastAsia="Times New Roman" w:hAnsi="Arial" w:cs="Arial"/>
                <w:color w:val="000000"/>
                <w:sz w:val="18"/>
                <w:szCs w:val="18"/>
                <w:lang w:eastAsia="sl-SI"/>
              </w:rPr>
            </w:pPr>
          </w:p>
        </w:tc>
        <w:tc>
          <w:tcPr>
            <w:tcW w:w="477" w:type="pct"/>
            <w:tcBorders>
              <w:top w:val="nil"/>
              <w:left w:val="nil"/>
              <w:bottom w:val="single" w:sz="4" w:space="0" w:color="auto"/>
              <w:right w:val="single" w:sz="4" w:space="0" w:color="auto"/>
            </w:tcBorders>
            <w:shd w:val="clear" w:color="auto" w:fill="auto"/>
            <w:vAlign w:val="center"/>
          </w:tcPr>
          <w:p w14:paraId="178D834C"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1</w:t>
            </w:r>
          </w:p>
        </w:tc>
        <w:tc>
          <w:tcPr>
            <w:tcW w:w="933" w:type="pct"/>
            <w:tcBorders>
              <w:top w:val="nil"/>
              <w:left w:val="nil"/>
              <w:bottom w:val="single" w:sz="4" w:space="0" w:color="auto"/>
              <w:right w:val="single" w:sz="4" w:space="0" w:color="auto"/>
            </w:tcBorders>
            <w:shd w:val="clear" w:color="auto" w:fill="auto"/>
            <w:vAlign w:val="center"/>
          </w:tcPr>
          <w:p w14:paraId="2AF2BD72" w14:textId="77777777" w:rsidR="00F24E18" w:rsidRPr="00082992" w:rsidRDefault="00F24E18" w:rsidP="000E18B5">
            <w:pPr>
              <w:spacing w:after="0" w:line="240" w:lineRule="auto"/>
              <w:jc w:val="right"/>
              <w:rPr>
                <w:rFonts w:ascii="Arial" w:eastAsia="Times New Roman" w:hAnsi="Arial" w:cs="Arial"/>
                <w:color w:val="000000"/>
                <w:sz w:val="18"/>
                <w:szCs w:val="18"/>
                <w:lang w:eastAsia="sl-SI"/>
              </w:rPr>
            </w:pPr>
            <w:r w:rsidRPr="00082992">
              <w:rPr>
                <w:rFonts w:ascii="Arial" w:hAnsi="Arial" w:cs="Arial"/>
                <w:color w:val="000000"/>
                <w:sz w:val="18"/>
                <w:szCs w:val="18"/>
              </w:rPr>
              <w:t>84.000</w:t>
            </w:r>
          </w:p>
        </w:tc>
      </w:tr>
      <w:bookmarkEnd w:id="124"/>
    </w:tbl>
    <w:p w14:paraId="57B245BB" w14:textId="77777777" w:rsidR="00F24E18" w:rsidRPr="00242E41" w:rsidRDefault="00F24E18" w:rsidP="00F24E18">
      <w:pPr>
        <w:spacing w:before="120" w:after="0" w:line="240" w:lineRule="auto"/>
        <w:jc w:val="both"/>
        <w:rPr>
          <w:rFonts w:ascii="Arial" w:hAnsi="Arial" w:cs="Arial"/>
          <w:sz w:val="20"/>
          <w:highlight w:val="yellow"/>
        </w:rPr>
      </w:pPr>
    </w:p>
    <w:p w14:paraId="6D2A0B98" w14:textId="77777777" w:rsidR="00F24E18" w:rsidRPr="00242E41" w:rsidRDefault="00F24E18" w:rsidP="00F24E18">
      <w:pPr>
        <w:spacing w:before="120" w:after="0" w:line="240" w:lineRule="auto"/>
        <w:jc w:val="both"/>
        <w:rPr>
          <w:rFonts w:ascii="Arial" w:hAnsi="Arial" w:cs="Arial"/>
          <w:sz w:val="20"/>
          <w:highlight w:val="yellow"/>
        </w:rPr>
      </w:pPr>
    </w:p>
    <w:p w14:paraId="010BBF4F" w14:textId="77777777" w:rsidR="00F24E18" w:rsidRPr="006B1502" w:rsidRDefault="00F24E18" w:rsidP="00F24E18">
      <w:pPr>
        <w:spacing w:before="120" w:after="0" w:line="240" w:lineRule="auto"/>
        <w:jc w:val="both"/>
        <w:rPr>
          <w:rFonts w:ascii="Arial" w:hAnsi="Arial" w:cs="Arial"/>
          <w:sz w:val="20"/>
        </w:rPr>
      </w:pPr>
      <w:r w:rsidRPr="006B1502">
        <w:rPr>
          <w:rFonts w:ascii="Arial" w:hAnsi="Arial" w:cs="Arial"/>
          <w:sz w:val="20"/>
        </w:rPr>
        <w:t xml:space="preserve">Preglednica 94: Naročniki glede na kategorijo pri javnih naročilih, v katerih so bili upoštevani </w:t>
      </w:r>
      <w:proofErr w:type="spellStart"/>
      <w:r w:rsidRPr="006B1502">
        <w:rPr>
          <w:rFonts w:ascii="Arial" w:hAnsi="Arial" w:cs="Arial"/>
          <w:sz w:val="20"/>
        </w:rPr>
        <w:t>okoljski</w:t>
      </w:r>
      <w:proofErr w:type="spellEnd"/>
      <w:r w:rsidRPr="006B1502">
        <w:rPr>
          <w:rFonts w:ascii="Arial" w:hAnsi="Arial" w:cs="Arial"/>
          <w:sz w:val="20"/>
        </w:rPr>
        <w:t xml:space="preserve"> vidiki</w:t>
      </w:r>
      <w:bookmarkEnd w:id="120"/>
      <w:bookmarkEnd w:id="121"/>
      <w:bookmarkEnd w:id="122"/>
      <w:bookmarkEnd w:id="123"/>
    </w:p>
    <w:p w14:paraId="3AB6DB31" w14:textId="77777777" w:rsidR="00F24E18" w:rsidRPr="00242E41" w:rsidRDefault="00F24E18" w:rsidP="00F24E18">
      <w:pPr>
        <w:spacing w:after="0" w:line="240" w:lineRule="auto"/>
        <w:jc w:val="both"/>
        <w:rPr>
          <w:rFonts w:ascii="Arial" w:hAnsi="Arial" w:cs="Arial"/>
          <w:sz w:val="20"/>
          <w:highlight w:val="yellow"/>
        </w:rPr>
      </w:pPr>
    </w:p>
    <w:tbl>
      <w:tblPr>
        <w:tblW w:w="5000" w:type="pct"/>
        <w:tblLayout w:type="fixed"/>
        <w:tblCellMar>
          <w:left w:w="70" w:type="dxa"/>
          <w:right w:w="70" w:type="dxa"/>
        </w:tblCellMar>
        <w:tblLook w:val="04A0" w:firstRow="1" w:lastRow="0" w:firstColumn="1" w:lastColumn="0" w:noHBand="0" w:noVBand="1"/>
      </w:tblPr>
      <w:tblGrid>
        <w:gridCol w:w="1556"/>
        <w:gridCol w:w="708"/>
        <w:gridCol w:w="1275"/>
        <w:gridCol w:w="851"/>
        <w:gridCol w:w="850"/>
        <w:gridCol w:w="851"/>
        <w:gridCol w:w="1277"/>
        <w:gridCol w:w="850"/>
        <w:gridCol w:w="956"/>
      </w:tblGrid>
      <w:tr w:rsidR="00F24E18" w:rsidRPr="006B1502" w14:paraId="5CFAEF0A" w14:textId="77777777" w:rsidTr="000E18B5">
        <w:trPr>
          <w:trHeight w:val="1350"/>
          <w:tblHeader/>
        </w:trPr>
        <w:tc>
          <w:tcPr>
            <w:tcW w:w="848"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403C810"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Kategorija naročnika</w:t>
            </w:r>
          </w:p>
        </w:tc>
        <w:tc>
          <w:tcPr>
            <w:tcW w:w="386" w:type="pct"/>
            <w:tcBorders>
              <w:top w:val="single" w:sz="4" w:space="0" w:color="auto"/>
              <w:left w:val="nil"/>
              <w:bottom w:val="single" w:sz="4" w:space="0" w:color="auto"/>
              <w:right w:val="single" w:sz="4" w:space="0" w:color="auto"/>
            </w:tcBorders>
            <w:shd w:val="clear" w:color="000000" w:fill="F2F2F2"/>
            <w:vAlign w:val="center"/>
            <w:hideMark/>
          </w:tcPr>
          <w:p w14:paraId="701EC3E8"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Št. naročil</w:t>
            </w:r>
          </w:p>
        </w:tc>
        <w:tc>
          <w:tcPr>
            <w:tcW w:w="695" w:type="pct"/>
            <w:tcBorders>
              <w:top w:val="single" w:sz="4" w:space="0" w:color="auto"/>
              <w:left w:val="nil"/>
              <w:bottom w:val="single" w:sz="4" w:space="0" w:color="auto"/>
              <w:right w:val="single" w:sz="4" w:space="0" w:color="auto"/>
            </w:tcBorders>
            <w:shd w:val="clear" w:color="000000" w:fill="F2F2F2"/>
            <w:vAlign w:val="center"/>
            <w:hideMark/>
          </w:tcPr>
          <w:p w14:paraId="674EA107"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Pogodbena vrednost</w:t>
            </w:r>
          </w:p>
        </w:tc>
        <w:tc>
          <w:tcPr>
            <w:tcW w:w="464" w:type="pct"/>
            <w:tcBorders>
              <w:top w:val="single" w:sz="4" w:space="0" w:color="auto"/>
              <w:left w:val="nil"/>
              <w:bottom w:val="single" w:sz="4" w:space="0" w:color="auto"/>
              <w:right w:val="single" w:sz="4" w:space="0" w:color="auto"/>
            </w:tcBorders>
            <w:shd w:val="clear" w:color="000000" w:fill="F2F2F2"/>
            <w:vAlign w:val="center"/>
            <w:hideMark/>
          </w:tcPr>
          <w:p w14:paraId="4E846C39"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 xml:space="preserve">Delež v št. </w:t>
            </w:r>
            <w:proofErr w:type="spellStart"/>
            <w:r w:rsidRPr="006B1502">
              <w:rPr>
                <w:rFonts w:ascii="Arial" w:eastAsia="Times New Roman" w:hAnsi="Arial" w:cs="Arial"/>
                <w:color w:val="000000"/>
                <w:sz w:val="16"/>
                <w:szCs w:val="16"/>
                <w:lang w:eastAsia="sl-SI"/>
              </w:rPr>
              <w:t>ZeJN</w:t>
            </w:r>
            <w:proofErr w:type="spellEnd"/>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4938A903"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 xml:space="preserve">Delež v vrednosti </w:t>
            </w:r>
            <w:proofErr w:type="spellStart"/>
            <w:r w:rsidRPr="006B1502">
              <w:rPr>
                <w:rFonts w:ascii="Arial" w:eastAsia="Times New Roman" w:hAnsi="Arial" w:cs="Arial"/>
                <w:color w:val="000000"/>
                <w:sz w:val="16"/>
                <w:szCs w:val="16"/>
                <w:lang w:eastAsia="sl-SI"/>
              </w:rPr>
              <w:t>ZeJN</w:t>
            </w:r>
            <w:proofErr w:type="spellEnd"/>
          </w:p>
        </w:tc>
        <w:tc>
          <w:tcPr>
            <w:tcW w:w="464" w:type="pct"/>
            <w:tcBorders>
              <w:top w:val="single" w:sz="4" w:space="0" w:color="auto"/>
              <w:left w:val="nil"/>
              <w:bottom w:val="single" w:sz="4" w:space="0" w:color="auto"/>
              <w:right w:val="single" w:sz="4" w:space="0" w:color="auto"/>
            </w:tcBorders>
            <w:shd w:val="clear" w:color="000000" w:fill="F2F2F2"/>
            <w:vAlign w:val="center"/>
            <w:hideMark/>
          </w:tcPr>
          <w:p w14:paraId="1DB8BDEB"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Št. vseh naročil kategorije</w:t>
            </w:r>
          </w:p>
        </w:tc>
        <w:tc>
          <w:tcPr>
            <w:tcW w:w="696" w:type="pct"/>
            <w:tcBorders>
              <w:top w:val="single" w:sz="4" w:space="0" w:color="auto"/>
              <w:left w:val="nil"/>
              <w:bottom w:val="single" w:sz="4" w:space="0" w:color="auto"/>
              <w:right w:val="single" w:sz="4" w:space="0" w:color="auto"/>
            </w:tcBorders>
            <w:shd w:val="clear" w:color="000000" w:fill="F2F2F2"/>
            <w:vAlign w:val="center"/>
            <w:hideMark/>
          </w:tcPr>
          <w:p w14:paraId="535AB471"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Vrednost vseh naročil kategorije</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59C9253F"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 xml:space="preserve">Delež v št. </w:t>
            </w:r>
            <w:proofErr w:type="spellStart"/>
            <w:r w:rsidRPr="006B1502">
              <w:rPr>
                <w:rFonts w:ascii="Arial" w:eastAsia="Times New Roman" w:hAnsi="Arial" w:cs="Arial"/>
                <w:color w:val="000000"/>
                <w:sz w:val="16"/>
                <w:szCs w:val="16"/>
                <w:lang w:eastAsia="sl-SI"/>
              </w:rPr>
              <w:t>ZeJN</w:t>
            </w:r>
            <w:proofErr w:type="spellEnd"/>
            <w:r w:rsidRPr="006B1502">
              <w:rPr>
                <w:rFonts w:ascii="Arial" w:eastAsia="Times New Roman" w:hAnsi="Arial" w:cs="Arial"/>
                <w:color w:val="000000"/>
                <w:sz w:val="16"/>
                <w:szCs w:val="16"/>
                <w:lang w:eastAsia="sl-SI"/>
              </w:rPr>
              <w:t xml:space="preserve"> glede na vsa naročila kategorije</w:t>
            </w:r>
          </w:p>
        </w:tc>
        <w:tc>
          <w:tcPr>
            <w:tcW w:w="521" w:type="pct"/>
            <w:tcBorders>
              <w:top w:val="single" w:sz="4" w:space="0" w:color="auto"/>
              <w:left w:val="nil"/>
              <w:bottom w:val="single" w:sz="4" w:space="0" w:color="auto"/>
              <w:right w:val="single" w:sz="4" w:space="0" w:color="auto"/>
            </w:tcBorders>
            <w:shd w:val="clear" w:color="000000" w:fill="F2F2F2"/>
            <w:vAlign w:val="center"/>
            <w:hideMark/>
          </w:tcPr>
          <w:p w14:paraId="14A6C5B2" w14:textId="77777777" w:rsidR="00F24E18" w:rsidRPr="006B1502" w:rsidRDefault="00F24E18" w:rsidP="000E18B5">
            <w:pPr>
              <w:spacing w:after="0" w:line="240" w:lineRule="auto"/>
              <w:jc w:val="center"/>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 xml:space="preserve">Delež v vrednosti </w:t>
            </w:r>
            <w:proofErr w:type="spellStart"/>
            <w:r w:rsidRPr="006B1502">
              <w:rPr>
                <w:rFonts w:ascii="Arial" w:eastAsia="Times New Roman" w:hAnsi="Arial" w:cs="Arial"/>
                <w:color w:val="000000"/>
                <w:sz w:val="16"/>
                <w:szCs w:val="16"/>
                <w:lang w:eastAsia="sl-SI"/>
              </w:rPr>
              <w:t>ZeJN</w:t>
            </w:r>
            <w:proofErr w:type="spellEnd"/>
            <w:r w:rsidRPr="006B1502">
              <w:rPr>
                <w:rFonts w:ascii="Arial" w:eastAsia="Times New Roman" w:hAnsi="Arial" w:cs="Arial"/>
                <w:color w:val="000000"/>
                <w:sz w:val="16"/>
                <w:szCs w:val="16"/>
                <w:lang w:eastAsia="sl-SI"/>
              </w:rPr>
              <w:t xml:space="preserve"> glede na vsa naročila kategorije</w:t>
            </w:r>
          </w:p>
        </w:tc>
      </w:tr>
      <w:tr w:rsidR="00F24E18" w:rsidRPr="006B1502" w14:paraId="5237A26E"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21B14760" w14:textId="77777777" w:rsidR="00F24E18" w:rsidRPr="006B1502" w:rsidRDefault="00F24E18" w:rsidP="000E18B5">
            <w:pPr>
              <w:spacing w:after="0" w:line="240" w:lineRule="auto"/>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Organi Republike Slovenije</w:t>
            </w:r>
          </w:p>
        </w:tc>
        <w:tc>
          <w:tcPr>
            <w:tcW w:w="386" w:type="pct"/>
            <w:tcBorders>
              <w:top w:val="nil"/>
              <w:left w:val="nil"/>
              <w:bottom w:val="single" w:sz="4" w:space="0" w:color="auto"/>
              <w:right w:val="single" w:sz="4" w:space="0" w:color="auto"/>
            </w:tcBorders>
            <w:shd w:val="clear" w:color="auto" w:fill="auto"/>
            <w:vAlign w:val="center"/>
            <w:hideMark/>
          </w:tcPr>
          <w:p w14:paraId="290BE134"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367</w:t>
            </w:r>
          </w:p>
        </w:tc>
        <w:tc>
          <w:tcPr>
            <w:tcW w:w="695" w:type="pct"/>
            <w:tcBorders>
              <w:top w:val="nil"/>
              <w:left w:val="nil"/>
              <w:bottom w:val="single" w:sz="4" w:space="0" w:color="auto"/>
              <w:right w:val="single" w:sz="4" w:space="0" w:color="auto"/>
            </w:tcBorders>
            <w:shd w:val="clear" w:color="auto" w:fill="auto"/>
            <w:vAlign w:val="center"/>
            <w:hideMark/>
          </w:tcPr>
          <w:p w14:paraId="47CB4BA0"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856.910.954</w:t>
            </w:r>
          </w:p>
        </w:tc>
        <w:tc>
          <w:tcPr>
            <w:tcW w:w="464" w:type="pct"/>
            <w:tcBorders>
              <w:top w:val="nil"/>
              <w:left w:val="nil"/>
              <w:bottom w:val="single" w:sz="4" w:space="0" w:color="auto"/>
              <w:right w:val="single" w:sz="4" w:space="0" w:color="auto"/>
            </w:tcBorders>
            <w:shd w:val="clear" w:color="auto" w:fill="auto"/>
            <w:noWrap/>
            <w:vAlign w:val="center"/>
          </w:tcPr>
          <w:p w14:paraId="5D211AC1"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7,64 %</w:t>
            </w:r>
          </w:p>
        </w:tc>
        <w:tc>
          <w:tcPr>
            <w:tcW w:w="463" w:type="pct"/>
            <w:tcBorders>
              <w:top w:val="nil"/>
              <w:left w:val="nil"/>
              <w:bottom w:val="single" w:sz="4" w:space="0" w:color="auto"/>
              <w:right w:val="single" w:sz="4" w:space="0" w:color="auto"/>
            </w:tcBorders>
            <w:shd w:val="clear" w:color="auto" w:fill="auto"/>
            <w:noWrap/>
            <w:vAlign w:val="center"/>
          </w:tcPr>
          <w:p w14:paraId="5A0C51F3"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40,09 %</w:t>
            </w:r>
          </w:p>
        </w:tc>
        <w:tc>
          <w:tcPr>
            <w:tcW w:w="464" w:type="pct"/>
            <w:tcBorders>
              <w:top w:val="nil"/>
              <w:left w:val="nil"/>
              <w:bottom w:val="single" w:sz="4" w:space="0" w:color="auto"/>
              <w:right w:val="single" w:sz="4" w:space="0" w:color="auto"/>
            </w:tcBorders>
            <w:shd w:val="clear" w:color="auto" w:fill="auto"/>
            <w:vAlign w:val="center"/>
            <w:hideMark/>
          </w:tcPr>
          <w:p w14:paraId="25B0D070"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1.818</w:t>
            </w:r>
          </w:p>
        </w:tc>
        <w:tc>
          <w:tcPr>
            <w:tcW w:w="696" w:type="pct"/>
            <w:tcBorders>
              <w:top w:val="nil"/>
              <w:left w:val="nil"/>
              <w:bottom w:val="single" w:sz="4" w:space="0" w:color="auto"/>
              <w:right w:val="single" w:sz="4" w:space="0" w:color="auto"/>
            </w:tcBorders>
            <w:shd w:val="clear" w:color="auto" w:fill="auto"/>
            <w:vAlign w:val="center"/>
            <w:hideMark/>
          </w:tcPr>
          <w:p w14:paraId="0B392784"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1.656.930.717</w:t>
            </w:r>
          </w:p>
        </w:tc>
        <w:tc>
          <w:tcPr>
            <w:tcW w:w="463" w:type="pct"/>
            <w:tcBorders>
              <w:top w:val="nil"/>
              <w:left w:val="nil"/>
              <w:bottom w:val="single" w:sz="4" w:space="0" w:color="auto"/>
              <w:right w:val="single" w:sz="4" w:space="0" w:color="auto"/>
            </w:tcBorders>
            <w:shd w:val="clear" w:color="auto" w:fill="auto"/>
            <w:noWrap/>
            <w:vAlign w:val="center"/>
          </w:tcPr>
          <w:p w14:paraId="2AADA9BA"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20,19 %</w:t>
            </w:r>
          </w:p>
        </w:tc>
        <w:tc>
          <w:tcPr>
            <w:tcW w:w="521" w:type="pct"/>
            <w:tcBorders>
              <w:top w:val="nil"/>
              <w:left w:val="nil"/>
              <w:bottom w:val="single" w:sz="4" w:space="0" w:color="auto"/>
              <w:right w:val="single" w:sz="4" w:space="0" w:color="auto"/>
            </w:tcBorders>
            <w:shd w:val="clear" w:color="auto" w:fill="auto"/>
            <w:noWrap/>
            <w:vAlign w:val="center"/>
          </w:tcPr>
          <w:p w14:paraId="635515F1"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51,72 %</w:t>
            </w:r>
          </w:p>
        </w:tc>
      </w:tr>
      <w:tr w:rsidR="00F24E18" w:rsidRPr="006B1502" w14:paraId="57584EAD"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auto"/>
            <w:noWrap/>
            <w:vAlign w:val="center"/>
            <w:hideMark/>
          </w:tcPr>
          <w:p w14:paraId="3B5F34AC" w14:textId="77777777" w:rsidR="00F24E18" w:rsidRPr="006B1502" w:rsidRDefault="00F24E18" w:rsidP="000E18B5">
            <w:pPr>
              <w:spacing w:after="0" w:line="240" w:lineRule="auto"/>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lastRenderedPageBreak/>
              <w:t>Samoupravne lokalne skupnosti</w:t>
            </w:r>
          </w:p>
        </w:tc>
        <w:tc>
          <w:tcPr>
            <w:tcW w:w="386" w:type="pct"/>
            <w:tcBorders>
              <w:top w:val="nil"/>
              <w:left w:val="nil"/>
              <w:bottom w:val="single" w:sz="4" w:space="0" w:color="auto"/>
              <w:right w:val="single" w:sz="4" w:space="0" w:color="auto"/>
            </w:tcBorders>
            <w:shd w:val="clear" w:color="auto" w:fill="auto"/>
            <w:vAlign w:val="center"/>
            <w:hideMark/>
          </w:tcPr>
          <w:p w14:paraId="4E7474BD" w14:textId="77777777" w:rsidR="00F24E18" w:rsidRPr="006B1502" w:rsidRDefault="00F24E18" w:rsidP="000E18B5">
            <w:pPr>
              <w:spacing w:after="0" w:line="240" w:lineRule="auto"/>
              <w:jc w:val="right"/>
              <w:rPr>
                <w:rFonts w:ascii="Arial" w:hAnsi="Arial" w:cs="Arial"/>
                <w:color w:val="000000"/>
                <w:sz w:val="16"/>
                <w:szCs w:val="16"/>
              </w:rPr>
            </w:pPr>
            <w:r w:rsidRPr="006B1502">
              <w:rPr>
                <w:rFonts w:ascii="Arial" w:hAnsi="Arial" w:cs="Arial"/>
                <w:color w:val="000000"/>
                <w:sz w:val="16"/>
                <w:szCs w:val="16"/>
              </w:rPr>
              <w:t>739</w:t>
            </w:r>
          </w:p>
        </w:tc>
        <w:tc>
          <w:tcPr>
            <w:tcW w:w="695" w:type="pct"/>
            <w:tcBorders>
              <w:top w:val="nil"/>
              <w:left w:val="nil"/>
              <w:bottom w:val="single" w:sz="4" w:space="0" w:color="auto"/>
              <w:right w:val="single" w:sz="4" w:space="0" w:color="auto"/>
            </w:tcBorders>
            <w:shd w:val="clear" w:color="auto" w:fill="auto"/>
            <w:vAlign w:val="center"/>
            <w:hideMark/>
          </w:tcPr>
          <w:p w14:paraId="64AF50B9" w14:textId="77777777" w:rsidR="00F24E18" w:rsidRPr="006B1502" w:rsidRDefault="00F24E18" w:rsidP="000E18B5">
            <w:pPr>
              <w:spacing w:after="0" w:line="240" w:lineRule="auto"/>
              <w:jc w:val="right"/>
              <w:rPr>
                <w:rFonts w:ascii="Arial" w:hAnsi="Arial" w:cs="Arial"/>
                <w:color w:val="000000"/>
                <w:sz w:val="16"/>
                <w:szCs w:val="16"/>
              </w:rPr>
            </w:pPr>
            <w:r w:rsidRPr="006B1502">
              <w:rPr>
                <w:rFonts w:ascii="Arial" w:hAnsi="Arial" w:cs="Arial"/>
                <w:color w:val="000000"/>
                <w:sz w:val="16"/>
                <w:szCs w:val="16"/>
              </w:rPr>
              <w:t>446.223.861</w:t>
            </w:r>
          </w:p>
        </w:tc>
        <w:tc>
          <w:tcPr>
            <w:tcW w:w="464" w:type="pct"/>
            <w:tcBorders>
              <w:top w:val="nil"/>
              <w:left w:val="nil"/>
              <w:bottom w:val="single" w:sz="4" w:space="0" w:color="auto"/>
              <w:right w:val="single" w:sz="4" w:space="0" w:color="auto"/>
            </w:tcBorders>
            <w:shd w:val="clear" w:color="auto" w:fill="auto"/>
            <w:noWrap/>
            <w:vAlign w:val="center"/>
          </w:tcPr>
          <w:p w14:paraId="34B8AFC9"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15,38 %</w:t>
            </w:r>
          </w:p>
        </w:tc>
        <w:tc>
          <w:tcPr>
            <w:tcW w:w="463" w:type="pct"/>
            <w:tcBorders>
              <w:top w:val="nil"/>
              <w:left w:val="nil"/>
              <w:bottom w:val="single" w:sz="4" w:space="0" w:color="auto"/>
              <w:right w:val="single" w:sz="4" w:space="0" w:color="auto"/>
            </w:tcBorders>
            <w:shd w:val="clear" w:color="auto" w:fill="auto"/>
            <w:noWrap/>
            <w:vAlign w:val="center"/>
          </w:tcPr>
          <w:p w14:paraId="2C3C7F0C"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20,87 %</w:t>
            </w:r>
          </w:p>
        </w:tc>
        <w:tc>
          <w:tcPr>
            <w:tcW w:w="464" w:type="pct"/>
            <w:tcBorders>
              <w:top w:val="nil"/>
              <w:left w:val="nil"/>
              <w:bottom w:val="single" w:sz="4" w:space="0" w:color="auto"/>
              <w:right w:val="single" w:sz="4" w:space="0" w:color="auto"/>
            </w:tcBorders>
            <w:shd w:val="clear" w:color="auto" w:fill="auto"/>
            <w:vAlign w:val="center"/>
          </w:tcPr>
          <w:p w14:paraId="27E2BEB6" w14:textId="77777777" w:rsidR="00F24E18" w:rsidRPr="006B1502" w:rsidRDefault="00F24E18" w:rsidP="000E18B5">
            <w:pPr>
              <w:spacing w:after="0" w:line="240" w:lineRule="auto"/>
              <w:jc w:val="right"/>
              <w:rPr>
                <w:rFonts w:ascii="Arial" w:hAnsi="Arial" w:cs="Arial"/>
                <w:color w:val="000000"/>
                <w:sz w:val="16"/>
                <w:szCs w:val="16"/>
              </w:rPr>
            </w:pPr>
            <w:r w:rsidRPr="006B1502">
              <w:rPr>
                <w:rFonts w:ascii="Arial" w:hAnsi="Arial" w:cs="Arial"/>
                <w:color w:val="000000"/>
                <w:sz w:val="16"/>
                <w:szCs w:val="16"/>
              </w:rPr>
              <w:t>1.807</w:t>
            </w:r>
          </w:p>
        </w:tc>
        <w:tc>
          <w:tcPr>
            <w:tcW w:w="696" w:type="pct"/>
            <w:tcBorders>
              <w:top w:val="nil"/>
              <w:left w:val="nil"/>
              <w:bottom w:val="single" w:sz="4" w:space="0" w:color="auto"/>
              <w:right w:val="single" w:sz="4" w:space="0" w:color="auto"/>
            </w:tcBorders>
            <w:shd w:val="clear" w:color="auto" w:fill="auto"/>
            <w:vAlign w:val="center"/>
          </w:tcPr>
          <w:p w14:paraId="40BB0D4E" w14:textId="77777777" w:rsidR="00F24E18" w:rsidRPr="006B1502" w:rsidRDefault="00F24E18" w:rsidP="000E18B5">
            <w:pPr>
              <w:spacing w:after="0" w:line="240" w:lineRule="auto"/>
              <w:jc w:val="right"/>
              <w:rPr>
                <w:rFonts w:ascii="Arial" w:hAnsi="Arial" w:cs="Arial"/>
                <w:color w:val="000000"/>
                <w:sz w:val="16"/>
                <w:szCs w:val="16"/>
              </w:rPr>
            </w:pPr>
            <w:r w:rsidRPr="006B1502">
              <w:rPr>
                <w:rFonts w:ascii="Arial" w:hAnsi="Arial" w:cs="Arial"/>
                <w:color w:val="000000"/>
                <w:sz w:val="16"/>
                <w:szCs w:val="16"/>
              </w:rPr>
              <w:t>805.933.533</w:t>
            </w:r>
          </w:p>
        </w:tc>
        <w:tc>
          <w:tcPr>
            <w:tcW w:w="463" w:type="pct"/>
            <w:tcBorders>
              <w:top w:val="nil"/>
              <w:left w:val="nil"/>
              <w:bottom w:val="single" w:sz="4" w:space="0" w:color="auto"/>
              <w:right w:val="single" w:sz="4" w:space="0" w:color="auto"/>
            </w:tcBorders>
            <w:shd w:val="clear" w:color="auto" w:fill="auto"/>
            <w:noWrap/>
            <w:vAlign w:val="center"/>
          </w:tcPr>
          <w:p w14:paraId="62FA4439"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40,90 %</w:t>
            </w:r>
          </w:p>
        </w:tc>
        <w:tc>
          <w:tcPr>
            <w:tcW w:w="521" w:type="pct"/>
            <w:tcBorders>
              <w:top w:val="nil"/>
              <w:left w:val="nil"/>
              <w:bottom w:val="single" w:sz="4" w:space="0" w:color="auto"/>
              <w:right w:val="single" w:sz="4" w:space="0" w:color="auto"/>
            </w:tcBorders>
            <w:shd w:val="clear" w:color="auto" w:fill="auto"/>
            <w:noWrap/>
            <w:vAlign w:val="center"/>
          </w:tcPr>
          <w:p w14:paraId="36182536"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55,37 %</w:t>
            </w:r>
          </w:p>
        </w:tc>
      </w:tr>
      <w:tr w:rsidR="00F24E18" w:rsidRPr="006B1502" w14:paraId="7A330904"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71CF1651" w14:textId="77777777" w:rsidR="00F24E18" w:rsidRPr="006B1502" w:rsidRDefault="00F24E18" w:rsidP="000E18B5">
            <w:pPr>
              <w:spacing w:after="0" w:line="240" w:lineRule="auto"/>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Javni skladi</w:t>
            </w:r>
          </w:p>
        </w:tc>
        <w:tc>
          <w:tcPr>
            <w:tcW w:w="386" w:type="pct"/>
            <w:tcBorders>
              <w:top w:val="nil"/>
              <w:left w:val="nil"/>
              <w:bottom w:val="single" w:sz="4" w:space="0" w:color="auto"/>
              <w:right w:val="single" w:sz="4" w:space="0" w:color="auto"/>
            </w:tcBorders>
            <w:shd w:val="clear" w:color="auto" w:fill="auto"/>
            <w:vAlign w:val="center"/>
            <w:hideMark/>
          </w:tcPr>
          <w:p w14:paraId="3098089A"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8</w:t>
            </w:r>
          </w:p>
        </w:tc>
        <w:tc>
          <w:tcPr>
            <w:tcW w:w="695" w:type="pct"/>
            <w:tcBorders>
              <w:top w:val="nil"/>
              <w:left w:val="nil"/>
              <w:bottom w:val="single" w:sz="4" w:space="0" w:color="auto"/>
              <w:right w:val="single" w:sz="4" w:space="0" w:color="auto"/>
            </w:tcBorders>
            <w:shd w:val="clear" w:color="auto" w:fill="auto"/>
            <w:vAlign w:val="center"/>
            <w:hideMark/>
          </w:tcPr>
          <w:p w14:paraId="538EDA6E"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997.865</w:t>
            </w:r>
          </w:p>
        </w:tc>
        <w:tc>
          <w:tcPr>
            <w:tcW w:w="464" w:type="pct"/>
            <w:tcBorders>
              <w:top w:val="nil"/>
              <w:left w:val="nil"/>
              <w:bottom w:val="single" w:sz="4" w:space="0" w:color="auto"/>
              <w:right w:val="single" w:sz="4" w:space="0" w:color="auto"/>
            </w:tcBorders>
            <w:shd w:val="clear" w:color="auto" w:fill="auto"/>
            <w:noWrap/>
            <w:vAlign w:val="center"/>
          </w:tcPr>
          <w:p w14:paraId="2A5E89AD"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0,17 %</w:t>
            </w:r>
          </w:p>
        </w:tc>
        <w:tc>
          <w:tcPr>
            <w:tcW w:w="463" w:type="pct"/>
            <w:tcBorders>
              <w:top w:val="nil"/>
              <w:left w:val="nil"/>
              <w:bottom w:val="single" w:sz="4" w:space="0" w:color="auto"/>
              <w:right w:val="single" w:sz="4" w:space="0" w:color="auto"/>
            </w:tcBorders>
            <w:shd w:val="clear" w:color="auto" w:fill="auto"/>
            <w:noWrap/>
            <w:vAlign w:val="center"/>
          </w:tcPr>
          <w:p w14:paraId="07D471EA"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0,05 %</w:t>
            </w:r>
          </w:p>
        </w:tc>
        <w:tc>
          <w:tcPr>
            <w:tcW w:w="464" w:type="pct"/>
            <w:tcBorders>
              <w:top w:val="nil"/>
              <w:left w:val="nil"/>
              <w:bottom w:val="single" w:sz="4" w:space="0" w:color="auto"/>
              <w:right w:val="single" w:sz="4" w:space="0" w:color="auto"/>
            </w:tcBorders>
            <w:shd w:val="clear" w:color="auto" w:fill="auto"/>
            <w:vAlign w:val="center"/>
            <w:hideMark/>
          </w:tcPr>
          <w:p w14:paraId="7C22DD18"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65</w:t>
            </w:r>
          </w:p>
        </w:tc>
        <w:tc>
          <w:tcPr>
            <w:tcW w:w="696" w:type="pct"/>
            <w:tcBorders>
              <w:top w:val="nil"/>
              <w:left w:val="nil"/>
              <w:bottom w:val="single" w:sz="4" w:space="0" w:color="auto"/>
              <w:right w:val="single" w:sz="4" w:space="0" w:color="auto"/>
            </w:tcBorders>
            <w:shd w:val="clear" w:color="auto" w:fill="auto"/>
            <w:vAlign w:val="center"/>
            <w:hideMark/>
          </w:tcPr>
          <w:p w14:paraId="6088DFAC"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34.475.057</w:t>
            </w:r>
          </w:p>
        </w:tc>
        <w:tc>
          <w:tcPr>
            <w:tcW w:w="463" w:type="pct"/>
            <w:tcBorders>
              <w:top w:val="nil"/>
              <w:left w:val="nil"/>
              <w:bottom w:val="single" w:sz="4" w:space="0" w:color="auto"/>
              <w:right w:val="single" w:sz="4" w:space="0" w:color="auto"/>
            </w:tcBorders>
            <w:shd w:val="clear" w:color="auto" w:fill="auto"/>
            <w:noWrap/>
            <w:vAlign w:val="center"/>
          </w:tcPr>
          <w:p w14:paraId="7DF9B05C"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12,31 %</w:t>
            </w:r>
          </w:p>
        </w:tc>
        <w:tc>
          <w:tcPr>
            <w:tcW w:w="521" w:type="pct"/>
            <w:tcBorders>
              <w:top w:val="nil"/>
              <w:left w:val="nil"/>
              <w:bottom w:val="single" w:sz="4" w:space="0" w:color="auto"/>
              <w:right w:val="single" w:sz="4" w:space="0" w:color="auto"/>
            </w:tcBorders>
            <w:shd w:val="clear" w:color="auto" w:fill="auto"/>
            <w:noWrap/>
            <w:vAlign w:val="center"/>
          </w:tcPr>
          <w:p w14:paraId="6EEFA252"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2,89 %</w:t>
            </w:r>
          </w:p>
        </w:tc>
      </w:tr>
      <w:tr w:rsidR="00F24E18" w:rsidRPr="006B1502" w14:paraId="702783DB"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2EDC795" w14:textId="77777777" w:rsidR="00F24E18" w:rsidRPr="006B1502" w:rsidRDefault="00F24E18" w:rsidP="000E18B5">
            <w:pPr>
              <w:spacing w:after="0" w:line="240" w:lineRule="auto"/>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Javne agencije</w:t>
            </w:r>
          </w:p>
        </w:tc>
        <w:tc>
          <w:tcPr>
            <w:tcW w:w="386" w:type="pct"/>
            <w:tcBorders>
              <w:top w:val="nil"/>
              <w:left w:val="nil"/>
              <w:bottom w:val="single" w:sz="4" w:space="0" w:color="auto"/>
              <w:right w:val="single" w:sz="4" w:space="0" w:color="auto"/>
            </w:tcBorders>
            <w:shd w:val="clear" w:color="auto" w:fill="auto"/>
            <w:vAlign w:val="center"/>
            <w:hideMark/>
          </w:tcPr>
          <w:p w14:paraId="470E4C9C"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28</w:t>
            </w:r>
          </w:p>
        </w:tc>
        <w:tc>
          <w:tcPr>
            <w:tcW w:w="695" w:type="pct"/>
            <w:tcBorders>
              <w:top w:val="nil"/>
              <w:left w:val="nil"/>
              <w:bottom w:val="single" w:sz="4" w:space="0" w:color="auto"/>
              <w:right w:val="single" w:sz="4" w:space="0" w:color="auto"/>
            </w:tcBorders>
            <w:shd w:val="clear" w:color="auto" w:fill="auto"/>
            <w:vAlign w:val="center"/>
            <w:hideMark/>
          </w:tcPr>
          <w:p w14:paraId="0A9DE055"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3.343.436</w:t>
            </w:r>
          </w:p>
        </w:tc>
        <w:tc>
          <w:tcPr>
            <w:tcW w:w="464" w:type="pct"/>
            <w:tcBorders>
              <w:top w:val="nil"/>
              <w:left w:val="nil"/>
              <w:bottom w:val="single" w:sz="4" w:space="0" w:color="auto"/>
              <w:right w:val="single" w:sz="4" w:space="0" w:color="auto"/>
            </w:tcBorders>
            <w:shd w:val="clear" w:color="auto" w:fill="auto"/>
            <w:noWrap/>
            <w:vAlign w:val="center"/>
          </w:tcPr>
          <w:p w14:paraId="65B3C051"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0,58 %</w:t>
            </w:r>
          </w:p>
        </w:tc>
        <w:tc>
          <w:tcPr>
            <w:tcW w:w="463" w:type="pct"/>
            <w:tcBorders>
              <w:top w:val="nil"/>
              <w:left w:val="nil"/>
              <w:bottom w:val="single" w:sz="4" w:space="0" w:color="auto"/>
              <w:right w:val="single" w:sz="4" w:space="0" w:color="auto"/>
            </w:tcBorders>
            <w:shd w:val="clear" w:color="auto" w:fill="auto"/>
            <w:noWrap/>
            <w:vAlign w:val="center"/>
          </w:tcPr>
          <w:p w14:paraId="3BE5E068"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0,16 %</w:t>
            </w:r>
          </w:p>
        </w:tc>
        <w:tc>
          <w:tcPr>
            <w:tcW w:w="464" w:type="pct"/>
            <w:tcBorders>
              <w:top w:val="nil"/>
              <w:left w:val="nil"/>
              <w:bottom w:val="single" w:sz="4" w:space="0" w:color="auto"/>
              <w:right w:val="single" w:sz="4" w:space="0" w:color="auto"/>
            </w:tcBorders>
            <w:shd w:val="clear" w:color="auto" w:fill="auto"/>
            <w:vAlign w:val="center"/>
            <w:hideMark/>
          </w:tcPr>
          <w:p w14:paraId="7CDECEB8"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144</w:t>
            </w:r>
          </w:p>
        </w:tc>
        <w:tc>
          <w:tcPr>
            <w:tcW w:w="696" w:type="pct"/>
            <w:tcBorders>
              <w:top w:val="nil"/>
              <w:left w:val="nil"/>
              <w:bottom w:val="single" w:sz="4" w:space="0" w:color="auto"/>
              <w:right w:val="single" w:sz="4" w:space="0" w:color="auto"/>
            </w:tcBorders>
            <w:shd w:val="clear" w:color="auto" w:fill="auto"/>
            <w:vAlign w:val="center"/>
            <w:hideMark/>
          </w:tcPr>
          <w:p w14:paraId="0AAD59FD"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25.904.074</w:t>
            </w:r>
          </w:p>
        </w:tc>
        <w:tc>
          <w:tcPr>
            <w:tcW w:w="463" w:type="pct"/>
            <w:tcBorders>
              <w:top w:val="nil"/>
              <w:left w:val="nil"/>
              <w:bottom w:val="single" w:sz="4" w:space="0" w:color="auto"/>
              <w:right w:val="single" w:sz="4" w:space="0" w:color="auto"/>
            </w:tcBorders>
            <w:shd w:val="clear" w:color="auto" w:fill="auto"/>
            <w:noWrap/>
            <w:vAlign w:val="center"/>
          </w:tcPr>
          <w:p w14:paraId="3761FD2D"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19,44 %</w:t>
            </w:r>
          </w:p>
        </w:tc>
        <w:tc>
          <w:tcPr>
            <w:tcW w:w="521" w:type="pct"/>
            <w:tcBorders>
              <w:top w:val="nil"/>
              <w:left w:val="nil"/>
              <w:bottom w:val="single" w:sz="4" w:space="0" w:color="auto"/>
              <w:right w:val="single" w:sz="4" w:space="0" w:color="auto"/>
            </w:tcBorders>
            <w:shd w:val="clear" w:color="auto" w:fill="auto"/>
            <w:noWrap/>
            <w:vAlign w:val="center"/>
          </w:tcPr>
          <w:p w14:paraId="453A7F04"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12,91 %</w:t>
            </w:r>
          </w:p>
        </w:tc>
      </w:tr>
      <w:tr w:rsidR="00F24E18" w:rsidRPr="006B1502" w14:paraId="1EB99917"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36FA6CBC" w14:textId="77777777" w:rsidR="00F24E18" w:rsidRPr="006B1502" w:rsidRDefault="00F24E18" w:rsidP="000E18B5">
            <w:pPr>
              <w:spacing w:after="0" w:line="240" w:lineRule="auto"/>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Javni zavodi</w:t>
            </w:r>
          </w:p>
        </w:tc>
        <w:tc>
          <w:tcPr>
            <w:tcW w:w="386" w:type="pct"/>
            <w:tcBorders>
              <w:top w:val="nil"/>
              <w:left w:val="nil"/>
              <w:bottom w:val="single" w:sz="4" w:space="0" w:color="auto"/>
              <w:right w:val="single" w:sz="4" w:space="0" w:color="auto"/>
            </w:tcBorders>
            <w:shd w:val="clear" w:color="auto" w:fill="auto"/>
            <w:vAlign w:val="center"/>
            <w:hideMark/>
          </w:tcPr>
          <w:p w14:paraId="402A2BA8"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3.240</w:t>
            </w:r>
          </w:p>
        </w:tc>
        <w:tc>
          <w:tcPr>
            <w:tcW w:w="695" w:type="pct"/>
            <w:tcBorders>
              <w:top w:val="nil"/>
              <w:left w:val="nil"/>
              <w:bottom w:val="single" w:sz="4" w:space="0" w:color="auto"/>
              <w:right w:val="single" w:sz="4" w:space="0" w:color="auto"/>
            </w:tcBorders>
            <w:shd w:val="clear" w:color="auto" w:fill="auto"/>
            <w:vAlign w:val="center"/>
            <w:hideMark/>
          </w:tcPr>
          <w:p w14:paraId="2CD9B130"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346.184.378</w:t>
            </w:r>
          </w:p>
        </w:tc>
        <w:tc>
          <w:tcPr>
            <w:tcW w:w="464" w:type="pct"/>
            <w:tcBorders>
              <w:top w:val="nil"/>
              <w:left w:val="nil"/>
              <w:bottom w:val="single" w:sz="4" w:space="0" w:color="auto"/>
              <w:right w:val="single" w:sz="4" w:space="0" w:color="auto"/>
            </w:tcBorders>
            <w:shd w:val="clear" w:color="auto" w:fill="auto"/>
            <w:noWrap/>
            <w:vAlign w:val="center"/>
          </w:tcPr>
          <w:p w14:paraId="366F3A28"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67,44 %</w:t>
            </w:r>
          </w:p>
        </w:tc>
        <w:tc>
          <w:tcPr>
            <w:tcW w:w="463" w:type="pct"/>
            <w:tcBorders>
              <w:top w:val="nil"/>
              <w:left w:val="nil"/>
              <w:bottom w:val="single" w:sz="4" w:space="0" w:color="auto"/>
              <w:right w:val="single" w:sz="4" w:space="0" w:color="auto"/>
            </w:tcBorders>
            <w:shd w:val="clear" w:color="auto" w:fill="auto"/>
            <w:noWrap/>
            <w:vAlign w:val="center"/>
          </w:tcPr>
          <w:p w14:paraId="6416E174"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16,19 %</w:t>
            </w:r>
          </w:p>
        </w:tc>
        <w:tc>
          <w:tcPr>
            <w:tcW w:w="464" w:type="pct"/>
            <w:tcBorders>
              <w:top w:val="nil"/>
              <w:left w:val="nil"/>
              <w:bottom w:val="single" w:sz="4" w:space="0" w:color="auto"/>
              <w:right w:val="single" w:sz="4" w:space="0" w:color="auto"/>
            </w:tcBorders>
            <w:shd w:val="clear" w:color="auto" w:fill="auto"/>
            <w:vAlign w:val="center"/>
            <w:hideMark/>
          </w:tcPr>
          <w:p w14:paraId="5CD3FF92"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8.901</w:t>
            </w:r>
          </w:p>
        </w:tc>
        <w:tc>
          <w:tcPr>
            <w:tcW w:w="696" w:type="pct"/>
            <w:tcBorders>
              <w:top w:val="nil"/>
              <w:left w:val="nil"/>
              <w:bottom w:val="single" w:sz="4" w:space="0" w:color="auto"/>
              <w:right w:val="single" w:sz="4" w:space="0" w:color="auto"/>
            </w:tcBorders>
            <w:shd w:val="clear" w:color="auto" w:fill="auto"/>
            <w:vAlign w:val="center"/>
            <w:hideMark/>
          </w:tcPr>
          <w:p w14:paraId="4C007B79"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1.570.094.335</w:t>
            </w:r>
          </w:p>
        </w:tc>
        <w:tc>
          <w:tcPr>
            <w:tcW w:w="463" w:type="pct"/>
            <w:tcBorders>
              <w:top w:val="nil"/>
              <w:left w:val="nil"/>
              <w:bottom w:val="single" w:sz="4" w:space="0" w:color="auto"/>
              <w:right w:val="single" w:sz="4" w:space="0" w:color="auto"/>
            </w:tcBorders>
            <w:shd w:val="clear" w:color="auto" w:fill="auto"/>
            <w:noWrap/>
            <w:vAlign w:val="center"/>
          </w:tcPr>
          <w:p w14:paraId="498DBF53"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36,40 %</w:t>
            </w:r>
          </w:p>
        </w:tc>
        <w:tc>
          <w:tcPr>
            <w:tcW w:w="521" w:type="pct"/>
            <w:tcBorders>
              <w:top w:val="nil"/>
              <w:left w:val="nil"/>
              <w:bottom w:val="single" w:sz="4" w:space="0" w:color="auto"/>
              <w:right w:val="single" w:sz="4" w:space="0" w:color="auto"/>
            </w:tcBorders>
            <w:shd w:val="clear" w:color="auto" w:fill="auto"/>
            <w:noWrap/>
            <w:vAlign w:val="center"/>
          </w:tcPr>
          <w:p w14:paraId="5DF1C258"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22,05 %</w:t>
            </w:r>
          </w:p>
        </w:tc>
      </w:tr>
      <w:tr w:rsidR="00F24E18" w:rsidRPr="006B1502" w14:paraId="136940A8"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5132C924" w14:textId="77777777" w:rsidR="00F24E18" w:rsidRPr="006B1502" w:rsidRDefault="00F24E18" w:rsidP="000E18B5">
            <w:pPr>
              <w:spacing w:after="0" w:line="240" w:lineRule="auto"/>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Javni gospodarski zavodi</w:t>
            </w:r>
          </w:p>
        </w:tc>
        <w:tc>
          <w:tcPr>
            <w:tcW w:w="386" w:type="pct"/>
            <w:tcBorders>
              <w:top w:val="nil"/>
              <w:left w:val="nil"/>
              <w:bottom w:val="single" w:sz="4" w:space="0" w:color="auto"/>
              <w:right w:val="single" w:sz="4" w:space="0" w:color="auto"/>
            </w:tcBorders>
            <w:shd w:val="clear" w:color="auto" w:fill="auto"/>
            <w:vAlign w:val="center"/>
            <w:hideMark/>
          </w:tcPr>
          <w:p w14:paraId="245B565A"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8</w:t>
            </w:r>
          </w:p>
        </w:tc>
        <w:tc>
          <w:tcPr>
            <w:tcW w:w="695" w:type="pct"/>
            <w:tcBorders>
              <w:top w:val="nil"/>
              <w:left w:val="nil"/>
              <w:bottom w:val="single" w:sz="4" w:space="0" w:color="auto"/>
              <w:right w:val="single" w:sz="4" w:space="0" w:color="auto"/>
            </w:tcBorders>
            <w:shd w:val="clear" w:color="auto" w:fill="auto"/>
            <w:vAlign w:val="center"/>
            <w:hideMark/>
          </w:tcPr>
          <w:p w14:paraId="5F0C803A"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1.715.430</w:t>
            </w:r>
          </w:p>
        </w:tc>
        <w:tc>
          <w:tcPr>
            <w:tcW w:w="464" w:type="pct"/>
            <w:tcBorders>
              <w:top w:val="nil"/>
              <w:left w:val="nil"/>
              <w:bottom w:val="single" w:sz="4" w:space="0" w:color="auto"/>
              <w:right w:val="single" w:sz="4" w:space="0" w:color="auto"/>
            </w:tcBorders>
            <w:shd w:val="clear" w:color="auto" w:fill="auto"/>
            <w:noWrap/>
            <w:vAlign w:val="center"/>
          </w:tcPr>
          <w:p w14:paraId="7DA0207C"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0,17 %</w:t>
            </w:r>
          </w:p>
        </w:tc>
        <w:tc>
          <w:tcPr>
            <w:tcW w:w="463" w:type="pct"/>
            <w:tcBorders>
              <w:top w:val="nil"/>
              <w:left w:val="nil"/>
              <w:bottom w:val="single" w:sz="4" w:space="0" w:color="auto"/>
              <w:right w:val="single" w:sz="4" w:space="0" w:color="auto"/>
            </w:tcBorders>
            <w:shd w:val="clear" w:color="auto" w:fill="auto"/>
            <w:noWrap/>
            <w:vAlign w:val="center"/>
          </w:tcPr>
          <w:p w14:paraId="030B3913"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0,08 %</w:t>
            </w:r>
          </w:p>
        </w:tc>
        <w:tc>
          <w:tcPr>
            <w:tcW w:w="464" w:type="pct"/>
            <w:tcBorders>
              <w:top w:val="nil"/>
              <w:left w:val="nil"/>
              <w:bottom w:val="single" w:sz="4" w:space="0" w:color="auto"/>
              <w:right w:val="single" w:sz="4" w:space="0" w:color="auto"/>
            </w:tcBorders>
            <w:shd w:val="clear" w:color="auto" w:fill="auto"/>
            <w:vAlign w:val="center"/>
            <w:hideMark/>
          </w:tcPr>
          <w:p w14:paraId="60994379"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80</w:t>
            </w:r>
          </w:p>
        </w:tc>
        <w:tc>
          <w:tcPr>
            <w:tcW w:w="696" w:type="pct"/>
            <w:tcBorders>
              <w:top w:val="nil"/>
              <w:left w:val="nil"/>
              <w:bottom w:val="single" w:sz="4" w:space="0" w:color="auto"/>
              <w:right w:val="single" w:sz="4" w:space="0" w:color="auto"/>
            </w:tcBorders>
            <w:shd w:val="clear" w:color="auto" w:fill="auto"/>
            <w:vAlign w:val="center"/>
            <w:hideMark/>
          </w:tcPr>
          <w:p w14:paraId="72BE744A"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16.319.497</w:t>
            </w:r>
          </w:p>
        </w:tc>
        <w:tc>
          <w:tcPr>
            <w:tcW w:w="463" w:type="pct"/>
            <w:tcBorders>
              <w:top w:val="nil"/>
              <w:left w:val="nil"/>
              <w:bottom w:val="single" w:sz="4" w:space="0" w:color="auto"/>
              <w:right w:val="single" w:sz="4" w:space="0" w:color="auto"/>
            </w:tcBorders>
            <w:shd w:val="clear" w:color="auto" w:fill="auto"/>
            <w:noWrap/>
            <w:vAlign w:val="center"/>
          </w:tcPr>
          <w:p w14:paraId="0F802AFB"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10,00 %</w:t>
            </w:r>
          </w:p>
        </w:tc>
        <w:tc>
          <w:tcPr>
            <w:tcW w:w="521" w:type="pct"/>
            <w:tcBorders>
              <w:top w:val="nil"/>
              <w:left w:val="nil"/>
              <w:bottom w:val="single" w:sz="4" w:space="0" w:color="auto"/>
              <w:right w:val="single" w:sz="4" w:space="0" w:color="auto"/>
            </w:tcBorders>
            <w:shd w:val="clear" w:color="auto" w:fill="auto"/>
            <w:noWrap/>
            <w:vAlign w:val="center"/>
          </w:tcPr>
          <w:p w14:paraId="42FD8878"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10,51 %</w:t>
            </w:r>
          </w:p>
        </w:tc>
      </w:tr>
      <w:tr w:rsidR="00F24E18" w:rsidRPr="006B1502" w14:paraId="20A5CDA1"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47E2376F" w14:textId="77777777" w:rsidR="00F24E18" w:rsidRPr="006B1502" w:rsidRDefault="00F24E18" w:rsidP="000E18B5">
            <w:pPr>
              <w:spacing w:after="0" w:line="240" w:lineRule="auto"/>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Drugi naročniki (osebe javnega prava, javna podjetja, subjekt s posebnimi infrastrukturnimi pravicami</w:t>
            </w:r>
          </w:p>
        </w:tc>
        <w:tc>
          <w:tcPr>
            <w:tcW w:w="386" w:type="pct"/>
            <w:tcBorders>
              <w:top w:val="nil"/>
              <w:left w:val="nil"/>
              <w:bottom w:val="single" w:sz="4" w:space="0" w:color="auto"/>
              <w:right w:val="single" w:sz="4" w:space="0" w:color="auto"/>
            </w:tcBorders>
            <w:shd w:val="clear" w:color="auto" w:fill="auto"/>
            <w:vAlign w:val="center"/>
            <w:hideMark/>
          </w:tcPr>
          <w:p w14:paraId="4C758553"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394</w:t>
            </w:r>
          </w:p>
        </w:tc>
        <w:tc>
          <w:tcPr>
            <w:tcW w:w="695" w:type="pct"/>
            <w:tcBorders>
              <w:top w:val="nil"/>
              <w:left w:val="nil"/>
              <w:bottom w:val="single" w:sz="4" w:space="0" w:color="auto"/>
              <w:right w:val="single" w:sz="4" w:space="0" w:color="auto"/>
            </w:tcBorders>
            <w:shd w:val="clear" w:color="auto" w:fill="auto"/>
            <w:vAlign w:val="center"/>
            <w:hideMark/>
          </w:tcPr>
          <w:p w14:paraId="53889F7C"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271.635.705</w:t>
            </w:r>
          </w:p>
        </w:tc>
        <w:tc>
          <w:tcPr>
            <w:tcW w:w="464" w:type="pct"/>
            <w:tcBorders>
              <w:top w:val="nil"/>
              <w:left w:val="nil"/>
              <w:bottom w:val="single" w:sz="4" w:space="0" w:color="auto"/>
              <w:right w:val="single" w:sz="4" w:space="0" w:color="auto"/>
            </w:tcBorders>
            <w:shd w:val="clear" w:color="auto" w:fill="auto"/>
            <w:noWrap/>
            <w:vAlign w:val="center"/>
          </w:tcPr>
          <w:p w14:paraId="3B5B4C30"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8,20 %</w:t>
            </w:r>
          </w:p>
        </w:tc>
        <w:tc>
          <w:tcPr>
            <w:tcW w:w="463" w:type="pct"/>
            <w:tcBorders>
              <w:top w:val="nil"/>
              <w:left w:val="nil"/>
              <w:bottom w:val="single" w:sz="4" w:space="0" w:color="auto"/>
              <w:right w:val="single" w:sz="4" w:space="0" w:color="auto"/>
            </w:tcBorders>
            <w:shd w:val="clear" w:color="auto" w:fill="auto"/>
            <w:noWrap/>
            <w:vAlign w:val="center"/>
          </w:tcPr>
          <w:p w14:paraId="388695BE"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12,71 %</w:t>
            </w:r>
          </w:p>
        </w:tc>
        <w:tc>
          <w:tcPr>
            <w:tcW w:w="464" w:type="pct"/>
            <w:tcBorders>
              <w:top w:val="nil"/>
              <w:left w:val="nil"/>
              <w:bottom w:val="single" w:sz="4" w:space="0" w:color="auto"/>
              <w:right w:val="single" w:sz="4" w:space="0" w:color="auto"/>
            </w:tcBorders>
            <w:shd w:val="clear" w:color="auto" w:fill="auto"/>
            <w:vAlign w:val="center"/>
            <w:hideMark/>
          </w:tcPr>
          <w:p w14:paraId="1E2B7EBB" w14:textId="77777777" w:rsidR="00F24E18" w:rsidRPr="006B1502" w:rsidRDefault="00F24E18" w:rsidP="000E18B5">
            <w:pPr>
              <w:spacing w:after="0" w:line="240" w:lineRule="auto"/>
              <w:jc w:val="right"/>
              <w:rPr>
                <w:rFonts w:ascii="Arial" w:hAnsi="Arial" w:cs="Arial"/>
                <w:color w:val="000000"/>
                <w:sz w:val="16"/>
                <w:szCs w:val="16"/>
              </w:rPr>
            </w:pPr>
            <w:r w:rsidRPr="006B1502">
              <w:rPr>
                <w:rFonts w:ascii="Arial" w:hAnsi="Arial" w:cs="Arial"/>
                <w:color w:val="000000"/>
                <w:sz w:val="16"/>
                <w:szCs w:val="16"/>
              </w:rPr>
              <w:t>3.913</w:t>
            </w:r>
          </w:p>
        </w:tc>
        <w:tc>
          <w:tcPr>
            <w:tcW w:w="696" w:type="pct"/>
            <w:tcBorders>
              <w:top w:val="nil"/>
              <w:left w:val="nil"/>
              <w:bottom w:val="single" w:sz="4" w:space="0" w:color="auto"/>
              <w:right w:val="single" w:sz="4" w:space="0" w:color="auto"/>
            </w:tcBorders>
            <w:shd w:val="clear" w:color="auto" w:fill="auto"/>
            <w:vAlign w:val="center"/>
            <w:hideMark/>
          </w:tcPr>
          <w:p w14:paraId="05A98435" w14:textId="77777777" w:rsidR="00F24E18" w:rsidRPr="006B1502" w:rsidRDefault="00F24E18" w:rsidP="000E18B5">
            <w:pPr>
              <w:spacing w:after="0" w:line="240" w:lineRule="auto"/>
              <w:jc w:val="right"/>
              <w:rPr>
                <w:rFonts w:ascii="Arial" w:hAnsi="Arial" w:cs="Arial"/>
                <w:color w:val="000000"/>
                <w:sz w:val="16"/>
                <w:szCs w:val="16"/>
              </w:rPr>
            </w:pPr>
            <w:r w:rsidRPr="006B1502">
              <w:rPr>
                <w:rFonts w:ascii="Arial" w:hAnsi="Arial" w:cs="Arial"/>
                <w:color w:val="000000"/>
                <w:sz w:val="16"/>
                <w:szCs w:val="16"/>
              </w:rPr>
              <w:t>1.845.930.100</w:t>
            </w:r>
          </w:p>
        </w:tc>
        <w:tc>
          <w:tcPr>
            <w:tcW w:w="463" w:type="pct"/>
            <w:tcBorders>
              <w:top w:val="nil"/>
              <w:left w:val="nil"/>
              <w:bottom w:val="single" w:sz="4" w:space="0" w:color="auto"/>
              <w:right w:val="single" w:sz="4" w:space="0" w:color="auto"/>
            </w:tcBorders>
            <w:shd w:val="clear" w:color="auto" w:fill="auto"/>
            <w:noWrap/>
            <w:vAlign w:val="center"/>
          </w:tcPr>
          <w:p w14:paraId="5341A88A"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10,07 %</w:t>
            </w:r>
          </w:p>
        </w:tc>
        <w:tc>
          <w:tcPr>
            <w:tcW w:w="521" w:type="pct"/>
            <w:tcBorders>
              <w:top w:val="nil"/>
              <w:left w:val="nil"/>
              <w:bottom w:val="single" w:sz="4" w:space="0" w:color="auto"/>
              <w:right w:val="single" w:sz="4" w:space="0" w:color="auto"/>
            </w:tcBorders>
            <w:shd w:val="clear" w:color="auto" w:fill="auto"/>
            <w:noWrap/>
            <w:vAlign w:val="center"/>
          </w:tcPr>
          <w:p w14:paraId="18EB9452"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14,72 %</w:t>
            </w:r>
          </w:p>
        </w:tc>
      </w:tr>
      <w:tr w:rsidR="00F24E18" w:rsidRPr="006B1502" w14:paraId="32A039E5"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auto"/>
            <w:vAlign w:val="center"/>
            <w:hideMark/>
          </w:tcPr>
          <w:p w14:paraId="13CE6A0A" w14:textId="77777777" w:rsidR="00F24E18" w:rsidRPr="006B1502" w:rsidRDefault="00F24E18" w:rsidP="000E18B5">
            <w:pPr>
              <w:spacing w:after="0" w:line="240" w:lineRule="auto"/>
              <w:rPr>
                <w:rFonts w:ascii="Arial" w:eastAsia="Times New Roman" w:hAnsi="Arial" w:cs="Arial"/>
                <w:color w:val="000000"/>
                <w:sz w:val="16"/>
                <w:szCs w:val="16"/>
                <w:lang w:eastAsia="sl-SI"/>
              </w:rPr>
            </w:pPr>
            <w:r w:rsidRPr="006B1502">
              <w:rPr>
                <w:rFonts w:ascii="Arial" w:eastAsia="Times New Roman" w:hAnsi="Arial" w:cs="Arial"/>
                <w:color w:val="000000"/>
                <w:sz w:val="16"/>
                <w:szCs w:val="16"/>
                <w:lang w:eastAsia="sl-SI"/>
              </w:rPr>
              <w:t xml:space="preserve"> Drugi subjekti</w:t>
            </w:r>
          </w:p>
        </w:tc>
        <w:tc>
          <w:tcPr>
            <w:tcW w:w="386" w:type="pct"/>
            <w:tcBorders>
              <w:top w:val="nil"/>
              <w:left w:val="nil"/>
              <w:bottom w:val="single" w:sz="4" w:space="0" w:color="auto"/>
              <w:right w:val="single" w:sz="4" w:space="0" w:color="auto"/>
            </w:tcBorders>
            <w:shd w:val="clear" w:color="auto" w:fill="auto"/>
            <w:vAlign w:val="center"/>
            <w:hideMark/>
          </w:tcPr>
          <w:p w14:paraId="70C6BF39"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20</w:t>
            </w:r>
          </w:p>
        </w:tc>
        <w:tc>
          <w:tcPr>
            <w:tcW w:w="695" w:type="pct"/>
            <w:tcBorders>
              <w:top w:val="nil"/>
              <w:left w:val="nil"/>
              <w:bottom w:val="single" w:sz="4" w:space="0" w:color="auto"/>
              <w:right w:val="single" w:sz="4" w:space="0" w:color="auto"/>
            </w:tcBorders>
            <w:shd w:val="clear" w:color="auto" w:fill="auto"/>
            <w:vAlign w:val="center"/>
            <w:hideMark/>
          </w:tcPr>
          <w:p w14:paraId="13A2D363"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210.660.285</w:t>
            </w:r>
          </w:p>
        </w:tc>
        <w:tc>
          <w:tcPr>
            <w:tcW w:w="464" w:type="pct"/>
            <w:tcBorders>
              <w:top w:val="nil"/>
              <w:left w:val="nil"/>
              <w:bottom w:val="single" w:sz="4" w:space="0" w:color="auto"/>
              <w:right w:val="single" w:sz="4" w:space="0" w:color="auto"/>
            </w:tcBorders>
            <w:shd w:val="clear" w:color="auto" w:fill="auto"/>
            <w:noWrap/>
            <w:vAlign w:val="center"/>
          </w:tcPr>
          <w:p w14:paraId="6894432C"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0,42 %</w:t>
            </w:r>
          </w:p>
        </w:tc>
        <w:tc>
          <w:tcPr>
            <w:tcW w:w="463" w:type="pct"/>
            <w:tcBorders>
              <w:top w:val="nil"/>
              <w:left w:val="nil"/>
              <w:bottom w:val="single" w:sz="4" w:space="0" w:color="auto"/>
              <w:right w:val="single" w:sz="4" w:space="0" w:color="auto"/>
            </w:tcBorders>
            <w:shd w:val="clear" w:color="auto" w:fill="auto"/>
            <w:noWrap/>
            <w:vAlign w:val="center"/>
          </w:tcPr>
          <w:p w14:paraId="1AE1D065"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9,85 %</w:t>
            </w:r>
          </w:p>
        </w:tc>
        <w:tc>
          <w:tcPr>
            <w:tcW w:w="464" w:type="pct"/>
            <w:tcBorders>
              <w:top w:val="nil"/>
              <w:left w:val="nil"/>
              <w:bottom w:val="single" w:sz="4" w:space="0" w:color="auto"/>
              <w:right w:val="single" w:sz="4" w:space="0" w:color="auto"/>
            </w:tcBorders>
            <w:shd w:val="clear" w:color="auto" w:fill="auto"/>
            <w:vAlign w:val="center"/>
            <w:hideMark/>
          </w:tcPr>
          <w:p w14:paraId="64046B43"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96</w:t>
            </w:r>
          </w:p>
        </w:tc>
        <w:tc>
          <w:tcPr>
            <w:tcW w:w="696" w:type="pct"/>
            <w:tcBorders>
              <w:top w:val="nil"/>
              <w:left w:val="nil"/>
              <w:bottom w:val="single" w:sz="4" w:space="0" w:color="auto"/>
              <w:right w:val="single" w:sz="4" w:space="0" w:color="auto"/>
            </w:tcBorders>
            <w:shd w:val="clear" w:color="auto" w:fill="auto"/>
            <w:vAlign w:val="center"/>
            <w:hideMark/>
          </w:tcPr>
          <w:p w14:paraId="1893C880"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276.663.656</w:t>
            </w:r>
          </w:p>
        </w:tc>
        <w:tc>
          <w:tcPr>
            <w:tcW w:w="463" w:type="pct"/>
            <w:tcBorders>
              <w:top w:val="nil"/>
              <w:left w:val="nil"/>
              <w:bottom w:val="single" w:sz="4" w:space="0" w:color="auto"/>
              <w:right w:val="single" w:sz="4" w:space="0" w:color="auto"/>
            </w:tcBorders>
            <w:shd w:val="clear" w:color="auto" w:fill="auto"/>
            <w:noWrap/>
            <w:vAlign w:val="center"/>
          </w:tcPr>
          <w:p w14:paraId="787FA433"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20,83 %</w:t>
            </w:r>
          </w:p>
        </w:tc>
        <w:tc>
          <w:tcPr>
            <w:tcW w:w="521" w:type="pct"/>
            <w:tcBorders>
              <w:top w:val="nil"/>
              <w:left w:val="nil"/>
              <w:bottom w:val="single" w:sz="4" w:space="0" w:color="auto"/>
              <w:right w:val="single" w:sz="4" w:space="0" w:color="auto"/>
            </w:tcBorders>
            <w:shd w:val="clear" w:color="auto" w:fill="auto"/>
            <w:noWrap/>
            <w:vAlign w:val="center"/>
          </w:tcPr>
          <w:p w14:paraId="53CB203A" w14:textId="77777777" w:rsidR="00F24E18" w:rsidRPr="006B1502" w:rsidRDefault="00F24E18" w:rsidP="000E18B5">
            <w:pPr>
              <w:spacing w:after="0" w:line="240" w:lineRule="auto"/>
              <w:jc w:val="right"/>
              <w:rPr>
                <w:rFonts w:ascii="Arial" w:eastAsia="Times New Roman" w:hAnsi="Arial" w:cs="Arial"/>
                <w:color w:val="000000"/>
                <w:sz w:val="16"/>
                <w:szCs w:val="16"/>
                <w:lang w:eastAsia="sl-SI"/>
              </w:rPr>
            </w:pPr>
            <w:r w:rsidRPr="006B1502">
              <w:rPr>
                <w:rFonts w:ascii="Arial" w:hAnsi="Arial" w:cs="Arial"/>
                <w:color w:val="000000"/>
                <w:sz w:val="16"/>
                <w:szCs w:val="16"/>
              </w:rPr>
              <w:t>76,14 %</w:t>
            </w:r>
          </w:p>
        </w:tc>
      </w:tr>
      <w:tr w:rsidR="00F24E18" w:rsidRPr="00242E41" w14:paraId="528598A1" w14:textId="77777777" w:rsidTr="000E18B5">
        <w:trPr>
          <w:trHeight w:val="300"/>
        </w:trPr>
        <w:tc>
          <w:tcPr>
            <w:tcW w:w="84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7D9E473" w14:textId="77777777" w:rsidR="00F24E18" w:rsidRPr="006B1502" w:rsidRDefault="00F24E18" w:rsidP="000E18B5">
            <w:pPr>
              <w:spacing w:after="0" w:line="240" w:lineRule="auto"/>
              <w:rPr>
                <w:rFonts w:ascii="Arial" w:eastAsia="Times New Roman" w:hAnsi="Arial" w:cs="Arial"/>
                <w:b/>
                <w:bCs/>
                <w:color w:val="000000"/>
                <w:sz w:val="16"/>
                <w:szCs w:val="16"/>
                <w:lang w:eastAsia="sl-SI"/>
              </w:rPr>
            </w:pPr>
            <w:r w:rsidRPr="006B1502">
              <w:rPr>
                <w:rFonts w:ascii="Arial" w:eastAsia="Times New Roman" w:hAnsi="Arial" w:cs="Arial"/>
                <w:b/>
                <w:bCs/>
                <w:color w:val="000000"/>
                <w:sz w:val="16"/>
                <w:szCs w:val="16"/>
                <w:lang w:eastAsia="sl-SI"/>
              </w:rPr>
              <w:t>Skupaj</w:t>
            </w:r>
          </w:p>
        </w:tc>
        <w:tc>
          <w:tcPr>
            <w:tcW w:w="386" w:type="pct"/>
            <w:tcBorders>
              <w:top w:val="nil"/>
              <w:left w:val="nil"/>
              <w:bottom w:val="single" w:sz="4" w:space="0" w:color="auto"/>
              <w:right w:val="single" w:sz="4" w:space="0" w:color="auto"/>
            </w:tcBorders>
            <w:shd w:val="clear" w:color="auto" w:fill="F2F2F2" w:themeFill="background1" w:themeFillShade="F2"/>
            <w:noWrap/>
            <w:vAlign w:val="center"/>
          </w:tcPr>
          <w:p w14:paraId="0D1DFCF4" w14:textId="77777777" w:rsidR="00F24E18" w:rsidRPr="006B1502" w:rsidRDefault="00F24E18" w:rsidP="000E18B5">
            <w:pPr>
              <w:spacing w:after="0" w:line="240" w:lineRule="auto"/>
              <w:jc w:val="right"/>
              <w:rPr>
                <w:rFonts w:ascii="Arial" w:eastAsia="Times New Roman" w:hAnsi="Arial" w:cs="Arial"/>
                <w:b/>
                <w:bCs/>
                <w:color w:val="000000"/>
                <w:sz w:val="16"/>
                <w:szCs w:val="16"/>
                <w:lang w:eastAsia="sl-SI"/>
              </w:rPr>
            </w:pPr>
            <w:r w:rsidRPr="006B1502">
              <w:rPr>
                <w:rFonts w:ascii="Arial" w:hAnsi="Arial" w:cs="Arial"/>
                <w:b/>
                <w:bCs/>
                <w:color w:val="000000"/>
                <w:sz w:val="16"/>
                <w:szCs w:val="16"/>
              </w:rPr>
              <w:t>4.804</w:t>
            </w:r>
          </w:p>
        </w:tc>
        <w:tc>
          <w:tcPr>
            <w:tcW w:w="695" w:type="pct"/>
            <w:tcBorders>
              <w:top w:val="nil"/>
              <w:left w:val="nil"/>
              <w:bottom w:val="single" w:sz="4" w:space="0" w:color="auto"/>
              <w:right w:val="single" w:sz="4" w:space="0" w:color="auto"/>
            </w:tcBorders>
            <w:shd w:val="clear" w:color="auto" w:fill="F2F2F2" w:themeFill="background1" w:themeFillShade="F2"/>
            <w:noWrap/>
            <w:vAlign w:val="center"/>
          </w:tcPr>
          <w:p w14:paraId="527DC2B4" w14:textId="77777777" w:rsidR="00F24E18" w:rsidRPr="006B1502" w:rsidRDefault="00F24E18" w:rsidP="000E18B5">
            <w:pPr>
              <w:spacing w:after="0" w:line="240" w:lineRule="auto"/>
              <w:jc w:val="right"/>
              <w:rPr>
                <w:rFonts w:ascii="Arial" w:eastAsia="Times New Roman" w:hAnsi="Arial" w:cs="Arial"/>
                <w:b/>
                <w:bCs/>
                <w:color w:val="000000"/>
                <w:sz w:val="16"/>
                <w:szCs w:val="16"/>
                <w:lang w:eastAsia="sl-SI"/>
              </w:rPr>
            </w:pPr>
            <w:r w:rsidRPr="006B1502">
              <w:rPr>
                <w:rFonts w:ascii="Arial" w:hAnsi="Arial" w:cs="Arial"/>
                <w:b/>
                <w:bCs/>
                <w:color w:val="000000"/>
                <w:sz w:val="16"/>
                <w:szCs w:val="16"/>
              </w:rPr>
              <w:t>2.137.671.914</w:t>
            </w:r>
          </w:p>
        </w:tc>
        <w:tc>
          <w:tcPr>
            <w:tcW w:w="464" w:type="pct"/>
            <w:tcBorders>
              <w:top w:val="nil"/>
              <w:left w:val="nil"/>
              <w:bottom w:val="single" w:sz="4" w:space="0" w:color="auto"/>
              <w:right w:val="single" w:sz="4" w:space="0" w:color="auto"/>
            </w:tcBorders>
            <w:shd w:val="clear" w:color="auto" w:fill="F2F2F2" w:themeFill="background1" w:themeFillShade="F2"/>
            <w:noWrap/>
            <w:vAlign w:val="center"/>
          </w:tcPr>
          <w:p w14:paraId="3DA357B8" w14:textId="77777777" w:rsidR="00F24E18" w:rsidRPr="006B1502" w:rsidRDefault="00F24E18" w:rsidP="000E18B5">
            <w:pPr>
              <w:spacing w:after="0" w:line="240" w:lineRule="auto"/>
              <w:jc w:val="right"/>
              <w:rPr>
                <w:rFonts w:ascii="Arial" w:eastAsia="Times New Roman" w:hAnsi="Arial" w:cs="Arial"/>
                <w:b/>
                <w:bCs/>
                <w:color w:val="000000"/>
                <w:sz w:val="16"/>
                <w:szCs w:val="16"/>
                <w:lang w:eastAsia="sl-SI"/>
              </w:rPr>
            </w:pPr>
            <w:r w:rsidRPr="006B1502">
              <w:rPr>
                <w:rFonts w:ascii="Arial" w:hAnsi="Arial" w:cs="Arial"/>
                <w:b/>
                <w:bCs/>
                <w:color w:val="000000"/>
                <w:sz w:val="16"/>
                <w:szCs w:val="16"/>
              </w:rPr>
              <w:t>100,00 %</w:t>
            </w:r>
          </w:p>
        </w:tc>
        <w:tc>
          <w:tcPr>
            <w:tcW w:w="463" w:type="pct"/>
            <w:tcBorders>
              <w:top w:val="nil"/>
              <w:left w:val="nil"/>
              <w:bottom w:val="single" w:sz="4" w:space="0" w:color="auto"/>
              <w:right w:val="single" w:sz="4" w:space="0" w:color="auto"/>
            </w:tcBorders>
            <w:shd w:val="clear" w:color="auto" w:fill="F2F2F2" w:themeFill="background1" w:themeFillShade="F2"/>
            <w:noWrap/>
            <w:vAlign w:val="center"/>
          </w:tcPr>
          <w:p w14:paraId="3E691000" w14:textId="77777777" w:rsidR="00F24E18" w:rsidRPr="006B1502" w:rsidRDefault="00F24E18" w:rsidP="000E18B5">
            <w:pPr>
              <w:spacing w:after="0" w:line="240" w:lineRule="auto"/>
              <w:jc w:val="right"/>
              <w:rPr>
                <w:rFonts w:ascii="Arial" w:eastAsia="Times New Roman" w:hAnsi="Arial" w:cs="Arial"/>
                <w:b/>
                <w:bCs/>
                <w:color w:val="000000"/>
                <w:sz w:val="16"/>
                <w:szCs w:val="16"/>
                <w:lang w:eastAsia="sl-SI"/>
              </w:rPr>
            </w:pPr>
            <w:r w:rsidRPr="006B1502">
              <w:rPr>
                <w:rFonts w:ascii="Arial" w:hAnsi="Arial" w:cs="Arial"/>
                <w:b/>
                <w:bCs/>
                <w:color w:val="000000"/>
                <w:sz w:val="16"/>
                <w:szCs w:val="16"/>
              </w:rPr>
              <w:t>100,00 %</w:t>
            </w:r>
          </w:p>
        </w:tc>
        <w:tc>
          <w:tcPr>
            <w:tcW w:w="464" w:type="pct"/>
            <w:tcBorders>
              <w:top w:val="nil"/>
              <w:left w:val="nil"/>
              <w:bottom w:val="single" w:sz="4" w:space="0" w:color="auto"/>
              <w:right w:val="single" w:sz="4" w:space="0" w:color="auto"/>
            </w:tcBorders>
            <w:shd w:val="clear" w:color="auto" w:fill="F2F2F2" w:themeFill="background1" w:themeFillShade="F2"/>
            <w:noWrap/>
            <w:vAlign w:val="center"/>
          </w:tcPr>
          <w:p w14:paraId="5F97A7E4" w14:textId="77777777" w:rsidR="00F24E18" w:rsidRPr="006B1502" w:rsidRDefault="00F24E18" w:rsidP="000E18B5">
            <w:pPr>
              <w:spacing w:after="0" w:line="240" w:lineRule="auto"/>
              <w:jc w:val="right"/>
              <w:rPr>
                <w:rFonts w:ascii="Arial" w:eastAsia="Times New Roman" w:hAnsi="Arial" w:cs="Arial"/>
                <w:b/>
                <w:bCs/>
                <w:color w:val="000000"/>
                <w:sz w:val="16"/>
                <w:szCs w:val="16"/>
                <w:lang w:eastAsia="sl-SI"/>
              </w:rPr>
            </w:pPr>
            <w:r w:rsidRPr="006B1502">
              <w:rPr>
                <w:rFonts w:ascii="Arial" w:hAnsi="Arial" w:cs="Arial"/>
                <w:b/>
                <w:bCs/>
                <w:color w:val="000000"/>
                <w:sz w:val="16"/>
                <w:szCs w:val="16"/>
              </w:rPr>
              <w:t>16.824</w:t>
            </w:r>
          </w:p>
        </w:tc>
        <w:tc>
          <w:tcPr>
            <w:tcW w:w="696" w:type="pct"/>
            <w:tcBorders>
              <w:top w:val="nil"/>
              <w:left w:val="nil"/>
              <w:bottom w:val="single" w:sz="4" w:space="0" w:color="auto"/>
              <w:right w:val="single" w:sz="4" w:space="0" w:color="auto"/>
            </w:tcBorders>
            <w:shd w:val="clear" w:color="auto" w:fill="F2F2F2" w:themeFill="background1" w:themeFillShade="F2"/>
            <w:noWrap/>
            <w:vAlign w:val="center"/>
          </w:tcPr>
          <w:p w14:paraId="5810B223" w14:textId="77777777" w:rsidR="00F24E18" w:rsidRPr="006B1502" w:rsidRDefault="00F24E18" w:rsidP="000E18B5">
            <w:pPr>
              <w:spacing w:after="0" w:line="240" w:lineRule="auto"/>
              <w:jc w:val="right"/>
              <w:rPr>
                <w:rFonts w:ascii="Arial" w:eastAsia="Times New Roman" w:hAnsi="Arial" w:cs="Arial"/>
                <w:b/>
                <w:bCs/>
                <w:color w:val="000000"/>
                <w:sz w:val="16"/>
                <w:szCs w:val="16"/>
                <w:lang w:eastAsia="sl-SI"/>
              </w:rPr>
            </w:pPr>
            <w:r w:rsidRPr="006B1502">
              <w:rPr>
                <w:rFonts w:ascii="Arial" w:hAnsi="Arial" w:cs="Arial"/>
                <w:b/>
                <w:bCs/>
                <w:color w:val="000000"/>
                <w:sz w:val="16"/>
                <w:szCs w:val="16"/>
              </w:rPr>
              <w:t>6.232.250.969</w:t>
            </w:r>
          </w:p>
        </w:tc>
        <w:tc>
          <w:tcPr>
            <w:tcW w:w="463" w:type="pct"/>
            <w:tcBorders>
              <w:top w:val="nil"/>
              <w:left w:val="nil"/>
              <w:bottom w:val="nil"/>
              <w:right w:val="nil"/>
            </w:tcBorders>
            <w:shd w:val="clear" w:color="auto" w:fill="auto"/>
            <w:noWrap/>
            <w:vAlign w:val="center"/>
            <w:hideMark/>
          </w:tcPr>
          <w:p w14:paraId="138EE087" w14:textId="77777777" w:rsidR="00F24E18" w:rsidRPr="006B1502" w:rsidRDefault="00F24E18" w:rsidP="000E18B5">
            <w:pPr>
              <w:spacing w:after="0" w:line="240" w:lineRule="auto"/>
              <w:jc w:val="right"/>
              <w:rPr>
                <w:rFonts w:ascii="Arial" w:eastAsia="Times New Roman" w:hAnsi="Arial" w:cs="Arial"/>
                <w:b/>
                <w:bCs/>
                <w:color w:val="000000"/>
                <w:sz w:val="16"/>
                <w:szCs w:val="16"/>
                <w:lang w:eastAsia="sl-SI"/>
              </w:rPr>
            </w:pPr>
          </w:p>
        </w:tc>
        <w:tc>
          <w:tcPr>
            <w:tcW w:w="521" w:type="pct"/>
            <w:tcBorders>
              <w:top w:val="nil"/>
              <w:left w:val="nil"/>
              <w:bottom w:val="nil"/>
              <w:right w:val="nil"/>
            </w:tcBorders>
            <w:shd w:val="clear" w:color="auto" w:fill="auto"/>
            <w:noWrap/>
            <w:vAlign w:val="center"/>
            <w:hideMark/>
          </w:tcPr>
          <w:p w14:paraId="6B485F86" w14:textId="77777777" w:rsidR="00F24E18" w:rsidRPr="006B1502" w:rsidRDefault="00F24E18" w:rsidP="000E18B5">
            <w:pPr>
              <w:spacing w:after="0" w:line="240" w:lineRule="auto"/>
              <w:jc w:val="right"/>
              <w:rPr>
                <w:rFonts w:ascii="Arial" w:eastAsia="Times New Roman" w:hAnsi="Arial" w:cs="Arial"/>
                <w:sz w:val="16"/>
                <w:szCs w:val="16"/>
                <w:lang w:eastAsia="sl-SI"/>
              </w:rPr>
            </w:pPr>
          </w:p>
        </w:tc>
      </w:tr>
    </w:tbl>
    <w:p w14:paraId="6A3D498E" w14:textId="77777777" w:rsidR="00F24E18" w:rsidRPr="00242E41" w:rsidRDefault="00F24E18" w:rsidP="00F24E18">
      <w:pPr>
        <w:spacing w:after="0" w:line="240" w:lineRule="auto"/>
        <w:rPr>
          <w:rFonts w:ascii="Arial" w:hAnsi="Arial" w:cs="Arial"/>
          <w:sz w:val="20"/>
          <w:szCs w:val="20"/>
          <w:highlight w:val="yellow"/>
        </w:rPr>
      </w:pPr>
    </w:p>
    <w:p w14:paraId="4C3BAA19" w14:textId="77777777" w:rsidR="00F24E18" w:rsidRPr="006B1502" w:rsidRDefault="00F24E18" w:rsidP="00F24E18">
      <w:pPr>
        <w:spacing w:before="120" w:after="0" w:line="240" w:lineRule="auto"/>
        <w:rPr>
          <w:rFonts w:ascii="Arial" w:hAnsi="Arial" w:cs="Arial"/>
          <w:sz w:val="20"/>
          <w:szCs w:val="20"/>
        </w:rPr>
      </w:pPr>
      <w:r w:rsidRPr="006B1502">
        <w:rPr>
          <w:rFonts w:ascii="Arial" w:hAnsi="Arial" w:cs="Arial"/>
          <w:sz w:val="20"/>
          <w:szCs w:val="20"/>
        </w:rPr>
        <w:t>Preglednica 95: Število in vrednosti ter deleži zelenih naročil</w:t>
      </w:r>
    </w:p>
    <w:p w14:paraId="27F94EEF" w14:textId="77777777" w:rsidR="00F24E18" w:rsidRPr="00242E41" w:rsidRDefault="00F24E18" w:rsidP="00F24E18">
      <w:pPr>
        <w:spacing w:after="0" w:line="240" w:lineRule="auto"/>
        <w:rPr>
          <w:rFonts w:ascii="Arial" w:hAnsi="Arial" w:cs="Arial"/>
          <w:sz w:val="20"/>
          <w:szCs w:val="20"/>
          <w:highlight w:val="yellow"/>
        </w:rPr>
      </w:pPr>
    </w:p>
    <w:tbl>
      <w:tblPr>
        <w:tblW w:w="9027" w:type="dxa"/>
        <w:tblCellMar>
          <w:left w:w="70" w:type="dxa"/>
          <w:right w:w="70" w:type="dxa"/>
        </w:tblCellMar>
        <w:tblLook w:val="04A0" w:firstRow="1" w:lastRow="0" w:firstColumn="1" w:lastColumn="0" w:noHBand="0" w:noVBand="1"/>
      </w:tblPr>
      <w:tblGrid>
        <w:gridCol w:w="1555"/>
        <w:gridCol w:w="1559"/>
        <w:gridCol w:w="2410"/>
        <w:gridCol w:w="1701"/>
        <w:gridCol w:w="1802"/>
      </w:tblGrid>
      <w:tr w:rsidR="00F24E18" w:rsidRPr="006B1502" w14:paraId="0CB09095" w14:textId="77777777" w:rsidTr="000E18B5">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55F61A" w14:textId="77777777" w:rsidR="00F24E18" w:rsidRPr="006B1502" w:rsidRDefault="00F24E18" w:rsidP="000E18B5">
            <w:pPr>
              <w:spacing w:after="0" w:line="240" w:lineRule="auto"/>
              <w:rPr>
                <w:rFonts w:ascii="Arial" w:eastAsia="Times New Roman" w:hAnsi="Arial" w:cs="Arial"/>
                <w:color w:val="000000"/>
                <w:sz w:val="18"/>
                <w:szCs w:val="18"/>
                <w:lang w:eastAsia="sl-SI"/>
              </w:rPr>
            </w:pPr>
            <w:r w:rsidRPr="006B1502">
              <w:rPr>
                <w:rFonts w:ascii="Arial" w:eastAsia="Times New Roman" w:hAnsi="Arial" w:cs="Arial"/>
                <w:color w:val="000000"/>
                <w:sz w:val="18"/>
                <w:szCs w:val="18"/>
                <w:lang w:eastAsia="sl-SI"/>
              </w:rPr>
              <w:t> </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CEFDAA" w14:textId="77777777" w:rsidR="00F24E18" w:rsidRPr="006B1502" w:rsidRDefault="00F24E18" w:rsidP="000E18B5">
            <w:pPr>
              <w:spacing w:after="0" w:line="240" w:lineRule="auto"/>
              <w:jc w:val="center"/>
              <w:rPr>
                <w:rFonts w:ascii="Arial" w:eastAsia="Times New Roman" w:hAnsi="Arial" w:cs="Arial"/>
                <w:color w:val="000000"/>
                <w:sz w:val="18"/>
                <w:szCs w:val="18"/>
                <w:lang w:eastAsia="sl-SI"/>
              </w:rPr>
            </w:pPr>
            <w:r w:rsidRPr="006B1502">
              <w:rPr>
                <w:rFonts w:ascii="Arial" w:eastAsia="Times New Roman" w:hAnsi="Arial" w:cs="Arial"/>
                <w:color w:val="000000"/>
                <w:sz w:val="18"/>
                <w:szCs w:val="18"/>
                <w:lang w:eastAsia="sl-SI"/>
              </w:rPr>
              <w:t>Št. naročil</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E641C4" w14:textId="77777777" w:rsidR="00F24E18" w:rsidRPr="006B1502" w:rsidRDefault="00F24E18" w:rsidP="000E18B5">
            <w:pPr>
              <w:spacing w:after="0" w:line="240" w:lineRule="auto"/>
              <w:jc w:val="center"/>
              <w:rPr>
                <w:rFonts w:ascii="Arial" w:eastAsia="Times New Roman" w:hAnsi="Arial" w:cs="Arial"/>
                <w:color w:val="000000"/>
                <w:sz w:val="18"/>
                <w:szCs w:val="18"/>
                <w:lang w:eastAsia="sl-SI"/>
              </w:rPr>
            </w:pPr>
            <w:r w:rsidRPr="006B1502">
              <w:rPr>
                <w:rFonts w:ascii="Arial" w:eastAsia="Times New Roman" w:hAnsi="Arial" w:cs="Arial"/>
                <w:color w:val="000000"/>
                <w:sz w:val="18"/>
                <w:szCs w:val="18"/>
                <w:lang w:eastAsia="sl-SI"/>
              </w:rPr>
              <w:t>Pogodbena vrednost</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575E254" w14:textId="77777777" w:rsidR="00F24E18" w:rsidRPr="006B1502" w:rsidRDefault="00F24E18" w:rsidP="000E18B5">
            <w:pPr>
              <w:spacing w:after="0" w:line="240" w:lineRule="auto"/>
              <w:jc w:val="center"/>
              <w:rPr>
                <w:rFonts w:ascii="Arial" w:eastAsia="Times New Roman" w:hAnsi="Arial" w:cs="Arial"/>
                <w:color w:val="000000"/>
                <w:sz w:val="18"/>
                <w:szCs w:val="18"/>
                <w:lang w:eastAsia="sl-SI"/>
              </w:rPr>
            </w:pPr>
            <w:r w:rsidRPr="006B1502">
              <w:rPr>
                <w:rFonts w:ascii="Arial" w:eastAsia="Times New Roman" w:hAnsi="Arial" w:cs="Arial"/>
                <w:color w:val="000000"/>
                <w:sz w:val="18"/>
                <w:szCs w:val="18"/>
                <w:lang w:eastAsia="sl-SI"/>
              </w:rPr>
              <w:t>Delež v št. vseh naročil</w:t>
            </w:r>
          </w:p>
        </w:tc>
        <w:tc>
          <w:tcPr>
            <w:tcW w:w="180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78A075" w14:textId="77777777" w:rsidR="00F24E18" w:rsidRPr="006B1502" w:rsidRDefault="00F24E18" w:rsidP="000E18B5">
            <w:pPr>
              <w:spacing w:after="0" w:line="240" w:lineRule="auto"/>
              <w:jc w:val="center"/>
              <w:rPr>
                <w:rFonts w:ascii="Arial" w:eastAsia="Times New Roman" w:hAnsi="Arial" w:cs="Arial"/>
                <w:color w:val="000000"/>
                <w:sz w:val="18"/>
                <w:szCs w:val="18"/>
                <w:lang w:eastAsia="sl-SI"/>
              </w:rPr>
            </w:pPr>
            <w:r w:rsidRPr="006B1502">
              <w:rPr>
                <w:rFonts w:ascii="Arial" w:eastAsia="Times New Roman" w:hAnsi="Arial" w:cs="Arial"/>
                <w:color w:val="000000"/>
                <w:sz w:val="18"/>
                <w:szCs w:val="18"/>
                <w:lang w:eastAsia="sl-SI"/>
              </w:rPr>
              <w:t>Delež v vrednosti vseh naročil</w:t>
            </w:r>
          </w:p>
        </w:tc>
      </w:tr>
      <w:tr w:rsidR="00F24E18" w:rsidRPr="006B1502" w14:paraId="3AC56CDB" w14:textId="77777777" w:rsidTr="000E18B5">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CA76324" w14:textId="77777777" w:rsidR="00F24E18" w:rsidRPr="006B1502" w:rsidRDefault="00F24E18" w:rsidP="000E18B5">
            <w:pPr>
              <w:spacing w:after="0" w:line="240" w:lineRule="auto"/>
              <w:rPr>
                <w:rFonts w:ascii="Arial" w:eastAsia="Times New Roman" w:hAnsi="Arial" w:cs="Arial"/>
                <w:color w:val="000000"/>
                <w:sz w:val="18"/>
                <w:szCs w:val="18"/>
                <w:lang w:eastAsia="sl-SI"/>
              </w:rPr>
            </w:pPr>
            <w:r w:rsidRPr="006B1502">
              <w:rPr>
                <w:rFonts w:ascii="Arial" w:eastAsia="Times New Roman" w:hAnsi="Arial" w:cs="Arial"/>
                <w:color w:val="000000"/>
                <w:sz w:val="18"/>
                <w:szCs w:val="18"/>
                <w:lang w:eastAsia="sl-SI"/>
              </w:rPr>
              <w:t>Zelena JN</w:t>
            </w:r>
          </w:p>
        </w:tc>
        <w:tc>
          <w:tcPr>
            <w:tcW w:w="1559" w:type="dxa"/>
            <w:tcBorders>
              <w:top w:val="nil"/>
              <w:left w:val="nil"/>
              <w:bottom w:val="single" w:sz="4" w:space="0" w:color="auto"/>
              <w:right w:val="single" w:sz="4" w:space="0" w:color="auto"/>
            </w:tcBorders>
            <w:shd w:val="clear" w:color="auto" w:fill="auto"/>
            <w:noWrap/>
            <w:vAlign w:val="center"/>
            <w:hideMark/>
          </w:tcPr>
          <w:p w14:paraId="6C935310" w14:textId="77777777" w:rsidR="00F24E18" w:rsidRPr="006B1502" w:rsidRDefault="00F24E18" w:rsidP="000E18B5">
            <w:pPr>
              <w:spacing w:after="0" w:line="240" w:lineRule="auto"/>
              <w:jc w:val="right"/>
              <w:rPr>
                <w:rFonts w:ascii="Arial" w:eastAsia="Times New Roman" w:hAnsi="Arial" w:cs="Arial"/>
                <w:color w:val="000000"/>
                <w:sz w:val="18"/>
                <w:szCs w:val="18"/>
                <w:lang w:eastAsia="sl-SI"/>
              </w:rPr>
            </w:pPr>
            <w:r w:rsidRPr="006B1502">
              <w:rPr>
                <w:rFonts w:ascii="Arial" w:hAnsi="Arial" w:cs="Arial"/>
                <w:color w:val="000000"/>
                <w:sz w:val="18"/>
                <w:szCs w:val="18"/>
              </w:rPr>
              <w:t>4.804</w:t>
            </w:r>
          </w:p>
        </w:tc>
        <w:tc>
          <w:tcPr>
            <w:tcW w:w="2410" w:type="dxa"/>
            <w:tcBorders>
              <w:top w:val="nil"/>
              <w:left w:val="nil"/>
              <w:bottom w:val="single" w:sz="4" w:space="0" w:color="auto"/>
              <w:right w:val="single" w:sz="4" w:space="0" w:color="auto"/>
            </w:tcBorders>
            <w:shd w:val="clear" w:color="auto" w:fill="auto"/>
            <w:noWrap/>
            <w:vAlign w:val="center"/>
            <w:hideMark/>
          </w:tcPr>
          <w:p w14:paraId="6AE677BC" w14:textId="77777777" w:rsidR="00F24E18" w:rsidRPr="006B1502" w:rsidRDefault="00F24E18" w:rsidP="000E18B5">
            <w:pPr>
              <w:spacing w:after="0" w:line="240" w:lineRule="auto"/>
              <w:jc w:val="right"/>
              <w:rPr>
                <w:rFonts w:ascii="Arial" w:eastAsia="Times New Roman" w:hAnsi="Arial" w:cs="Arial"/>
                <w:color w:val="000000"/>
                <w:sz w:val="18"/>
                <w:szCs w:val="18"/>
                <w:lang w:eastAsia="sl-SI"/>
              </w:rPr>
            </w:pPr>
            <w:r w:rsidRPr="006B1502">
              <w:rPr>
                <w:rFonts w:ascii="Arial" w:hAnsi="Arial" w:cs="Arial"/>
                <w:color w:val="000000"/>
                <w:sz w:val="18"/>
                <w:szCs w:val="18"/>
              </w:rPr>
              <w:t>2.137.671.914</w:t>
            </w:r>
          </w:p>
        </w:tc>
        <w:tc>
          <w:tcPr>
            <w:tcW w:w="1701" w:type="dxa"/>
            <w:tcBorders>
              <w:top w:val="nil"/>
              <w:left w:val="nil"/>
              <w:bottom w:val="single" w:sz="4" w:space="0" w:color="auto"/>
              <w:right w:val="single" w:sz="4" w:space="0" w:color="auto"/>
            </w:tcBorders>
            <w:shd w:val="clear" w:color="auto" w:fill="auto"/>
            <w:noWrap/>
            <w:vAlign w:val="center"/>
            <w:hideMark/>
          </w:tcPr>
          <w:p w14:paraId="268C48EE" w14:textId="77777777" w:rsidR="00F24E18" w:rsidRPr="006B1502" w:rsidRDefault="00F24E18" w:rsidP="000E18B5">
            <w:pPr>
              <w:spacing w:after="0" w:line="240" w:lineRule="auto"/>
              <w:jc w:val="right"/>
              <w:rPr>
                <w:rFonts w:ascii="Arial" w:eastAsia="Times New Roman" w:hAnsi="Arial" w:cs="Arial"/>
                <w:color w:val="000000"/>
                <w:sz w:val="18"/>
                <w:szCs w:val="18"/>
                <w:lang w:eastAsia="sl-SI"/>
              </w:rPr>
            </w:pPr>
            <w:r w:rsidRPr="006B1502">
              <w:rPr>
                <w:rFonts w:ascii="Arial" w:hAnsi="Arial" w:cs="Arial"/>
                <w:color w:val="000000"/>
                <w:sz w:val="18"/>
                <w:szCs w:val="18"/>
              </w:rPr>
              <w:t>28,55 %</w:t>
            </w:r>
          </w:p>
        </w:tc>
        <w:tc>
          <w:tcPr>
            <w:tcW w:w="1802" w:type="dxa"/>
            <w:tcBorders>
              <w:top w:val="nil"/>
              <w:left w:val="nil"/>
              <w:bottom w:val="single" w:sz="4" w:space="0" w:color="auto"/>
              <w:right w:val="single" w:sz="4" w:space="0" w:color="auto"/>
            </w:tcBorders>
            <w:shd w:val="clear" w:color="auto" w:fill="auto"/>
            <w:noWrap/>
            <w:vAlign w:val="center"/>
            <w:hideMark/>
          </w:tcPr>
          <w:p w14:paraId="6ED6A002" w14:textId="77777777" w:rsidR="00F24E18" w:rsidRPr="006B1502" w:rsidRDefault="00F24E18" w:rsidP="000E18B5">
            <w:pPr>
              <w:spacing w:after="0" w:line="240" w:lineRule="auto"/>
              <w:jc w:val="right"/>
              <w:rPr>
                <w:rFonts w:ascii="Arial" w:eastAsia="Times New Roman" w:hAnsi="Arial" w:cs="Arial"/>
                <w:color w:val="000000"/>
                <w:sz w:val="18"/>
                <w:szCs w:val="18"/>
                <w:lang w:eastAsia="sl-SI"/>
              </w:rPr>
            </w:pPr>
            <w:r w:rsidRPr="006B1502">
              <w:rPr>
                <w:rFonts w:ascii="Arial" w:hAnsi="Arial" w:cs="Arial"/>
                <w:color w:val="000000"/>
                <w:sz w:val="18"/>
                <w:szCs w:val="18"/>
              </w:rPr>
              <w:t>34,30 %</w:t>
            </w:r>
          </w:p>
        </w:tc>
      </w:tr>
      <w:tr w:rsidR="00F24E18" w:rsidRPr="006B1502" w14:paraId="26F9E827" w14:textId="77777777" w:rsidTr="000E18B5">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2EDD869" w14:textId="77777777" w:rsidR="00F24E18" w:rsidRPr="006B1502" w:rsidRDefault="00F24E18" w:rsidP="000E18B5">
            <w:pPr>
              <w:spacing w:after="0" w:line="240" w:lineRule="auto"/>
              <w:rPr>
                <w:rFonts w:ascii="Arial" w:eastAsia="Times New Roman" w:hAnsi="Arial" w:cs="Arial"/>
                <w:color w:val="000000"/>
                <w:sz w:val="18"/>
                <w:szCs w:val="18"/>
                <w:lang w:eastAsia="sl-SI"/>
              </w:rPr>
            </w:pPr>
            <w:r w:rsidRPr="006B1502">
              <w:rPr>
                <w:rFonts w:ascii="Arial" w:eastAsia="Times New Roman" w:hAnsi="Arial" w:cs="Arial"/>
                <w:color w:val="000000"/>
                <w:sz w:val="18"/>
                <w:szCs w:val="18"/>
                <w:lang w:eastAsia="sl-SI"/>
              </w:rPr>
              <w:t>Ostala JN</w:t>
            </w:r>
          </w:p>
        </w:tc>
        <w:tc>
          <w:tcPr>
            <w:tcW w:w="1559" w:type="dxa"/>
            <w:tcBorders>
              <w:top w:val="nil"/>
              <w:left w:val="nil"/>
              <w:bottom w:val="single" w:sz="4" w:space="0" w:color="auto"/>
              <w:right w:val="single" w:sz="4" w:space="0" w:color="auto"/>
            </w:tcBorders>
            <w:shd w:val="clear" w:color="auto" w:fill="auto"/>
            <w:noWrap/>
            <w:vAlign w:val="center"/>
            <w:hideMark/>
          </w:tcPr>
          <w:p w14:paraId="39941F98" w14:textId="77777777" w:rsidR="00F24E18" w:rsidRPr="006B1502" w:rsidRDefault="00F24E18" w:rsidP="000E18B5">
            <w:pPr>
              <w:spacing w:after="0" w:line="240" w:lineRule="auto"/>
              <w:jc w:val="right"/>
              <w:rPr>
                <w:rFonts w:ascii="Arial" w:eastAsia="Times New Roman" w:hAnsi="Arial" w:cs="Arial"/>
                <w:color w:val="000000"/>
                <w:sz w:val="18"/>
                <w:szCs w:val="18"/>
                <w:lang w:eastAsia="sl-SI"/>
              </w:rPr>
            </w:pPr>
            <w:r w:rsidRPr="006B1502">
              <w:rPr>
                <w:rFonts w:ascii="Arial" w:hAnsi="Arial" w:cs="Arial"/>
                <w:color w:val="000000"/>
                <w:sz w:val="18"/>
                <w:szCs w:val="18"/>
              </w:rPr>
              <w:t>12.020</w:t>
            </w:r>
          </w:p>
        </w:tc>
        <w:tc>
          <w:tcPr>
            <w:tcW w:w="2410" w:type="dxa"/>
            <w:tcBorders>
              <w:top w:val="nil"/>
              <w:left w:val="nil"/>
              <w:bottom w:val="single" w:sz="4" w:space="0" w:color="auto"/>
              <w:right w:val="single" w:sz="4" w:space="0" w:color="auto"/>
            </w:tcBorders>
            <w:shd w:val="clear" w:color="auto" w:fill="auto"/>
            <w:noWrap/>
            <w:vAlign w:val="center"/>
            <w:hideMark/>
          </w:tcPr>
          <w:p w14:paraId="028CCFD5" w14:textId="77777777" w:rsidR="00F24E18" w:rsidRPr="006B1502" w:rsidRDefault="00F24E18" w:rsidP="000E18B5">
            <w:pPr>
              <w:spacing w:after="0" w:line="240" w:lineRule="auto"/>
              <w:jc w:val="right"/>
              <w:rPr>
                <w:rFonts w:ascii="Arial" w:eastAsia="Times New Roman" w:hAnsi="Arial" w:cs="Arial"/>
                <w:color w:val="000000"/>
                <w:sz w:val="18"/>
                <w:szCs w:val="18"/>
                <w:lang w:eastAsia="sl-SI"/>
              </w:rPr>
            </w:pPr>
            <w:r w:rsidRPr="006B1502">
              <w:rPr>
                <w:rFonts w:ascii="Arial" w:hAnsi="Arial" w:cs="Arial"/>
                <w:color w:val="000000"/>
                <w:sz w:val="18"/>
                <w:szCs w:val="18"/>
              </w:rPr>
              <w:t>4.094.579.055</w:t>
            </w:r>
          </w:p>
        </w:tc>
        <w:tc>
          <w:tcPr>
            <w:tcW w:w="1701" w:type="dxa"/>
            <w:tcBorders>
              <w:top w:val="nil"/>
              <w:left w:val="nil"/>
              <w:bottom w:val="single" w:sz="4" w:space="0" w:color="auto"/>
              <w:right w:val="single" w:sz="4" w:space="0" w:color="auto"/>
            </w:tcBorders>
            <w:shd w:val="clear" w:color="auto" w:fill="auto"/>
            <w:noWrap/>
            <w:vAlign w:val="center"/>
            <w:hideMark/>
          </w:tcPr>
          <w:p w14:paraId="6F0DC809" w14:textId="77777777" w:rsidR="00F24E18" w:rsidRPr="006B1502" w:rsidRDefault="00F24E18" w:rsidP="000E18B5">
            <w:pPr>
              <w:spacing w:after="0" w:line="240" w:lineRule="auto"/>
              <w:jc w:val="right"/>
              <w:rPr>
                <w:rFonts w:ascii="Arial" w:eastAsia="Times New Roman" w:hAnsi="Arial" w:cs="Arial"/>
                <w:color w:val="000000"/>
                <w:sz w:val="18"/>
                <w:szCs w:val="18"/>
                <w:lang w:eastAsia="sl-SI"/>
              </w:rPr>
            </w:pPr>
            <w:r w:rsidRPr="006B1502">
              <w:rPr>
                <w:rFonts w:ascii="Arial" w:hAnsi="Arial" w:cs="Arial"/>
                <w:color w:val="000000"/>
                <w:sz w:val="18"/>
                <w:szCs w:val="18"/>
              </w:rPr>
              <w:t>71,45 %</w:t>
            </w:r>
          </w:p>
        </w:tc>
        <w:tc>
          <w:tcPr>
            <w:tcW w:w="1802" w:type="dxa"/>
            <w:tcBorders>
              <w:top w:val="nil"/>
              <w:left w:val="nil"/>
              <w:bottom w:val="single" w:sz="4" w:space="0" w:color="auto"/>
              <w:right w:val="single" w:sz="4" w:space="0" w:color="auto"/>
            </w:tcBorders>
            <w:shd w:val="clear" w:color="auto" w:fill="auto"/>
            <w:noWrap/>
            <w:vAlign w:val="center"/>
            <w:hideMark/>
          </w:tcPr>
          <w:p w14:paraId="7EC0012C" w14:textId="77777777" w:rsidR="00F24E18" w:rsidRPr="006B1502" w:rsidRDefault="00F24E18" w:rsidP="000E18B5">
            <w:pPr>
              <w:spacing w:after="0" w:line="240" w:lineRule="auto"/>
              <w:jc w:val="right"/>
              <w:rPr>
                <w:rFonts w:ascii="Arial" w:eastAsia="Times New Roman" w:hAnsi="Arial" w:cs="Arial"/>
                <w:color w:val="000000"/>
                <w:sz w:val="18"/>
                <w:szCs w:val="18"/>
                <w:lang w:eastAsia="sl-SI"/>
              </w:rPr>
            </w:pPr>
            <w:r w:rsidRPr="006B1502">
              <w:rPr>
                <w:rFonts w:ascii="Arial" w:hAnsi="Arial" w:cs="Arial"/>
                <w:color w:val="000000"/>
                <w:sz w:val="18"/>
                <w:szCs w:val="18"/>
              </w:rPr>
              <w:t>65,70 %</w:t>
            </w:r>
          </w:p>
        </w:tc>
      </w:tr>
      <w:tr w:rsidR="00F24E18" w:rsidRPr="006B1502" w14:paraId="53AEA1F7" w14:textId="77777777" w:rsidTr="000E18B5">
        <w:trPr>
          <w:trHeight w:val="255"/>
        </w:trPr>
        <w:tc>
          <w:tcPr>
            <w:tcW w:w="15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C4BDAB0" w14:textId="77777777" w:rsidR="00F24E18" w:rsidRPr="006B1502" w:rsidRDefault="00F24E18" w:rsidP="000E18B5">
            <w:pPr>
              <w:spacing w:after="0" w:line="240" w:lineRule="auto"/>
              <w:rPr>
                <w:rFonts w:ascii="Arial" w:eastAsia="Times New Roman" w:hAnsi="Arial" w:cs="Arial"/>
                <w:b/>
                <w:bCs/>
                <w:color w:val="000000"/>
                <w:sz w:val="18"/>
                <w:szCs w:val="18"/>
                <w:lang w:eastAsia="sl-SI"/>
              </w:rPr>
            </w:pPr>
            <w:r w:rsidRPr="006B1502">
              <w:rPr>
                <w:rFonts w:ascii="Arial" w:eastAsia="Times New Roman" w:hAnsi="Arial" w:cs="Arial"/>
                <w:b/>
                <w:bCs/>
                <w:color w:val="000000"/>
                <w:sz w:val="18"/>
                <w:szCs w:val="18"/>
                <w:lang w:eastAsia="sl-SI"/>
              </w:rPr>
              <w:t>Skupaj</w:t>
            </w: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hideMark/>
          </w:tcPr>
          <w:p w14:paraId="65116674" w14:textId="77777777" w:rsidR="00F24E18" w:rsidRPr="006B1502" w:rsidRDefault="00F24E18" w:rsidP="000E18B5">
            <w:pPr>
              <w:spacing w:after="0" w:line="240" w:lineRule="auto"/>
              <w:jc w:val="right"/>
              <w:rPr>
                <w:rFonts w:ascii="Arial" w:eastAsia="Times New Roman" w:hAnsi="Arial" w:cs="Arial"/>
                <w:b/>
                <w:bCs/>
                <w:color w:val="000000"/>
                <w:sz w:val="18"/>
                <w:szCs w:val="18"/>
                <w:lang w:eastAsia="sl-SI"/>
              </w:rPr>
            </w:pPr>
            <w:r w:rsidRPr="006B1502">
              <w:rPr>
                <w:rFonts w:ascii="Arial" w:hAnsi="Arial" w:cs="Arial"/>
                <w:b/>
                <w:bCs/>
                <w:color w:val="000000"/>
                <w:sz w:val="18"/>
                <w:szCs w:val="18"/>
              </w:rPr>
              <w:t>16.824</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67946C25" w14:textId="77777777" w:rsidR="00F24E18" w:rsidRPr="006B1502" w:rsidRDefault="00F24E18" w:rsidP="000E18B5">
            <w:pPr>
              <w:spacing w:after="0" w:line="240" w:lineRule="auto"/>
              <w:jc w:val="right"/>
              <w:rPr>
                <w:rFonts w:ascii="Arial" w:eastAsia="Times New Roman" w:hAnsi="Arial" w:cs="Arial"/>
                <w:b/>
                <w:bCs/>
                <w:color w:val="000000"/>
                <w:sz w:val="18"/>
                <w:szCs w:val="18"/>
                <w:lang w:eastAsia="sl-SI"/>
              </w:rPr>
            </w:pPr>
            <w:r w:rsidRPr="006B1502">
              <w:rPr>
                <w:rFonts w:ascii="Arial" w:hAnsi="Arial" w:cs="Arial"/>
                <w:b/>
                <w:bCs/>
                <w:color w:val="000000"/>
                <w:sz w:val="18"/>
                <w:szCs w:val="18"/>
              </w:rPr>
              <w:t>6.232.250.969</w:t>
            </w:r>
          </w:p>
        </w:tc>
        <w:tc>
          <w:tcPr>
            <w:tcW w:w="1701" w:type="dxa"/>
            <w:tcBorders>
              <w:top w:val="nil"/>
              <w:left w:val="nil"/>
              <w:bottom w:val="single" w:sz="4" w:space="0" w:color="auto"/>
              <w:right w:val="single" w:sz="4" w:space="0" w:color="auto"/>
            </w:tcBorders>
            <w:shd w:val="clear" w:color="auto" w:fill="F2F2F2" w:themeFill="background1" w:themeFillShade="F2"/>
            <w:noWrap/>
            <w:vAlign w:val="center"/>
            <w:hideMark/>
          </w:tcPr>
          <w:p w14:paraId="4405B8E2" w14:textId="77777777" w:rsidR="00F24E18" w:rsidRPr="006B1502" w:rsidRDefault="00F24E18" w:rsidP="000E18B5">
            <w:pPr>
              <w:spacing w:after="0" w:line="240" w:lineRule="auto"/>
              <w:jc w:val="right"/>
              <w:rPr>
                <w:rFonts w:ascii="Arial" w:eastAsia="Times New Roman" w:hAnsi="Arial" w:cs="Arial"/>
                <w:b/>
                <w:bCs/>
                <w:color w:val="000000"/>
                <w:sz w:val="18"/>
                <w:szCs w:val="18"/>
                <w:lang w:eastAsia="sl-SI"/>
              </w:rPr>
            </w:pPr>
            <w:r w:rsidRPr="006B1502">
              <w:rPr>
                <w:rFonts w:ascii="Arial" w:hAnsi="Arial" w:cs="Arial"/>
                <w:b/>
                <w:bCs/>
                <w:color w:val="000000"/>
                <w:sz w:val="18"/>
                <w:szCs w:val="18"/>
              </w:rPr>
              <w:t>100,00 %</w:t>
            </w:r>
          </w:p>
        </w:tc>
        <w:tc>
          <w:tcPr>
            <w:tcW w:w="1802" w:type="dxa"/>
            <w:tcBorders>
              <w:top w:val="nil"/>
              <w:left w:val="nil"/>
              <w:bottom w:val="single" w:sz="4" w:space="0" w:color="auto"/>
              <w:right w:val="single" w:sz="4" w:space="0" w:color="auto"/>
            </w:tcBorders>
            <w:shd w:val="clear" w:color="auto" w:fill="F2F2F2" w:themeFill="background1" w:themeFillShade="F2"/>
            <w:noWrap/>
            <w:vAlign w:val="center"/>
            <w:hideMark/>
          </w:tcPr>
          <w:p w14:paraId="2A929018" w14:textId="77777777" w:rsidR="00F24E18" w:rsidRPr="006B1502" w:rsidRDefault="00F24E18" w:rsidP="000E18B5">
            <w:pPr>
              <w:spacing w:after="0" w:line="240" w:lineRule="auto"/>
              <w:jc w:val="right"/>
              <w:rPr>
                <w:rFonts w:ascii="Arial" w:eastAsia="Times New Roman" w:hAnsi="Arial" w:cs="Arial"/>
                <w:b/>
                <w:bCs/>
                <w:color w:val="000000"/>
                <w:sz w:val="18"/>
                <w:szCs w:val="18"/>
                <w:lang w:eastAsia="sl-SI"/>
              </w:rPr>
            </w:pPr>
            <w:r w:rsidRPr="006B1502">
              <w:rPr>
                <w:rFonts w:ascii="Arial" w:hAnsi="Arial" w:cs="Arial"/>
                <w:b/>
                <w:bCs/>
                <w:color w:val="000000"/>
                <w:sz w:val="18"/>
                <w:szCs w:val="18"/>
              </w:rPr>
              <w:t>100,00 %</w:t>
            </w:r>
          </w:p>
        </w:tc>
      </w:tr>
    </w:tbl>
    <w:p w14:paraId="6D8851E0" w14:textId="77777777" w:rsidR="00F24E18" w:rsidRPr="00242E41" w:rsidRDefault="00F24E18" w:rsidP="00F24E18">
      <w:pPr>
        <w:spacing w:after="0" w:line="240" w:lineRule="auto"/>
        <w:rPr>
          <w:rFonts w:ascii="Arial" w:hAnsi="Arial" w:cs="Arial"/>
          <w:sz w:val="20"/>
          <w:szCs w:val="20"/>
          <w:highlight w:val="yellow"/>
        </w:rPr>
      </w:pPr>
    </w:p>
    <w:p w14:paraId="21B9F3B7" w14:textId="77777777" w:rsidR="00F24E18" w:rsidRPr="0026312E" w:rsidRDefault="00F24E18" w:rsidP="00F24E18">
      <w:pPr>
        <w:spacing w:before="120" w:after="0" w:line="240" w:lineRule="auto"/>
        <w:rPr>
          <w:rFonts w:ascii="Arial" w:hAnsi="Arial" w:cs="Arial"/>
          <w:sz w:val="20"/>
        </w:rPr>
      </w:pPr>
      <w:r w:rsidRPr="0026312E">
        <w:rPr>
          <w:rFonts w:ascii="Arial" w:hAnsi="Arial" w:cs="Arial"/>
          <w:sz w:val="20"/>
          <w:szCs w:val="20"/>
        </w:rPr>
        <w:t xml:space="preserve">Preglednica 96: </w:t>
      </w:r>
      <w:r w:rsidRPr="0026312E">
        <w:rPr>
          <w:rFonts w:ascii="Arial" w:hAnsi="Arial" w:cs="Arial"/>
          <w:sz w:val="20"/>
        </w:rPr>
        <w:t>Število in vrednosti ter deleži zelenih naročil glede na področje naročanja</w:t>
      </w:r>
    </w:p>
    <w:p w14:paraId="75C77856" w14:textId="77777777" w:rsidR="00F24E18" w:rsidRPr="00242E41" w:rsidRDefault="00F24E18" w:rsidP="00F24E18">
      <w:pPr>
        <w:spacing w:after="0" w:line="240" w:lineRule="auto"/>
        <w:rPr>
          <w:rFonts w:ascii="Arial" w:hAnsi="Arial" w:cs="Arial"/>
          <w:sz w:val="20"/>
          <w:highlight w:val="yellow"/>
        </w:rPr>
      </w:pPr>
    </w:p>
    <w:tbl>
      <w:tblPr>
        <w:tblW w:w="9029" w:type="dxa"/>
        <w:tblCellMar>
          <w:left w:w="70" w:type="dxa"/>
          <w:right w:w="70" w:type="dxa"/>
        </w:tblCellMar>
        <w:tblLook w:val="04A0" w:firstRow="1" w:lastRow="0" w:firstColumn="1" w:lastColumn="0" w:noHBand="0" w:noVBand="1"/>
      </w:tblPr>
      <w:tblGrid>
        <w:gridCol w:w="1566"/>
        <w:gridCol w:w="1154"/>
        <w:gridCol w:w="1685"/>
        <w:gridCol w:w="1156"/>
        <w:gridCol w:w="1156"/>
        <w:gridCol w:w="1156"/>
        <w:gridCol w:w="1156"/>
      </w:tblGrid>
      <w:tr w:rsidR="00F24E18" w:rsidRPr="0026312E" w14:paraId="17A462F8" w14:textId="77777777" w:rsidTr="000E18B5">
        <w:trPr>
          <w:trHeight w:val="255"/>
        </w:trPr>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6078AD" w14:textId="77777777" w:rsidR="00F24E18" w:rsidRPr="0026312E" w:rsidRDefault="00F24E18" w:rsidP="000E18B5">
            <w:pPr>
              <w:spacing w:after="0" w:line="240" w:lineRule="auto"/>
              <w:jc w:val="center"/>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 xml:space="preserve">Področje </w:t>
            </w:r>
          </w:p>
        </w:tc>
        <w:tc>
          <w:tcPr>
            <w:tcW w:w="11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023B06" w14:textId="77777777" w:rsidR="00F24E18" w:rsidRPr="0026312E" w:rsidRDefault="00F24E18" w:rsidP="000E18B5">
            <w:pPr>
              <w:spacing w:after="0" w:line="240" w:lineRule="auto"/>
              <w:jc w:val="center"/>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Št. zelenih naročil</w:t>
            </w:r>
          </w:p>
        </w:tc>
        <w:tc>
          <w:tcPr>
            <w:tcW w:w="16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9F152C" w14:textId="77777777" w:rsidR="00F24E18" w:rsidRPr="0026312E" w:rsidRDefault="00F24E18" w:rsidP="000E18B5">
            <w:pPr>
              <w:spacing w:after="0" w:line="240" w:lineRule="auto"/>
              <w:jc w:val="center"/>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Pogodbena vrednost</w:t>
            </w:r>
          </w:p>
        </w:tc>
        <w:tc>
          <w:tcPr>
            <w:tcW w:w="11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FBFF79" w14:textId="77777777" w:rsidR="00F24E18" w:rsidRPr="0026312E" w:rsidRDefault="00F24E18" w:rsidP="000E18B5">
            <w:pPr>
              <w:spacing w:after="0" w:line="240" w:lineRule="auto"/>
              <w:jc w:val="center"/>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Delež v št. zelenih naročil</w:t>
            </w:r>
          </w:p>
        </w:tc>
        <w:tc>
          <w:tcPr>
            <w:tcW w:w="11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B84A3BE" w14:textId="77777777" w:rsidR="00F24E18" w:rsidRPr="0026312E" w:rsidRDefault="00F24E18" w:rsidP="000E18B5">
            <w:pPr>
              <w:spacing w:after="0" w:line="240" w:lineRule="auto"/>
              <w:jc w:val="center"/>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Delež v vrednosti zelenih naročil</w:t>
            </w:r>
          </w:p>
        </w:tc>
        <w:tc>
          <w:tcPr>
            <w:tcW w:w="11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8A8140" w14:textId="77777777" w:rsidR="00F24E18" w:rsidRPr="0026312E" w:rsidRDefault="00F24E18" w:rsidP="000E18B5">
            <w:pPr>
              <w:spacing w:after="0" w:line="240" w:lineRule="auto"/>
              <w:jc w:val="center"/>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Delež v št. vseh naročil</w:t>
            </w:r>
          </w:p>
        </w:tc>
        <w:tc>
          <w:tcPr>
            <w:tcW w:w="11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E8D23D4" w14:textId="77777777" w:rsidR="00F24E18" w:rsidRPr="0026312E" w:rsidRDefault="00F24E18" w:rsidP="000E18B5">
            <w:pPr>
              <w:spacing w:after="0" w:line="240" w:lineRule="auto"/>
              <w:jc w:val="center"/>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Delež v vrednosti vseh naročil</w:t>
            </w:r>
          </w:p>
        </w:tc>
      </w:tr>
      <w:tr w:rsidR="00F24E18" w:rsidRPr="0026312E" w14:paraId="0466C95A" w14:textId="77777777" w:rsidTr="000E18B5">
        <w:trPr>
          <w:trHeight w:val="255"/>
        </w:trPr>
        <w:tc>
          <w:tcPr>
            <w:tcW w:w="1566" w:type="dxa"/>
            <w:tcBorders>
              <w:top w:val="nil"/>
              <w:left w:val="single" w:sz="4" w:space="0" w:color="auto"/>
              <w:bottom w:val="single" w:sz="4" w:space="0" w:color="auto"/>
              <w:right w:val="single" w:sz="4" w:space="0" w:color="auto"/>
            </w:tcBorders>
            <w:shd w:val="clear" w:color="auto" w:fill="auto"/>
            <w:vAlign w:val="center"/>
            <w:hideMark/>
          </w:tcPr>
          <w:p w14:paraId="18758D9A" w14:textId="77777777" w:rsidR="00F24E18" w:rsidRPr="0026312E" w:rsidRDefault="00F24E18" w:rsidP="000E18B5">
            <w:pPr>
              <w:spacing w:after="0" w:line="240" w:lineRule="auto"/>
              <w:jc w:val="both"/>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Splošno</w:t>
            </w:r>
          </w:p>
        </w:tc>
        <w:tc>
          <w:tcPr>
            <w:tcW w:w="1154" w:type="dxa"/>
            <w:tcBorders>
              <w:top w:val="nil"/>
              <w:left w:val="nil"/>
              <w:bottom w:val="single" w:sz="4" w:space="0" w:color="auto"/>
              <w:right w:val="single" w:sz="4" w:space="0" w:color="auto"/>
            </w:tcBorders>
            <w:shd w:val="clear" w:color="auto" w:fill="auto"/>
            <w:vAlign w:val="center"/>
            <w:hideMark/>
          </w:tcPr>
          <w:p w14:paraId="70C607B0"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4.579</w:t>
            </w:r>
          </w:p>
        </w:tc>
        <w:tc>
          <w:tcPr>
            <w:tcW w:w="1685" w:type="dxa"/>
            <w:tcBorders>
              <w:top w:val="nil"/>
              <w:left w:val="nil"/>
              <w:bottom w:val="single" w:sz="4" w:space="0" w:color="auto"/>
              <w:right w:val="single" w:sz="4" w:space="0" w:color="auto"/>
            </w:tcBorders>
            <w:shd w:val="clear" w:color="auto" w:fill="auto"/>
            <w:vAlign w:val="center"/>
            <w:hideMark/>
          </w:tcPr>
          <w:p w14:paraId="7821D45C"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1.841.904.442</w:t>
            </w:r>
          </w:p>
        </w:tc>
        <w:tc>
          <w:tcPr>
            <w:tcW w:w="1156" w:type="dxa"/>
            <w:tcBorders>
              <w:top w:val="nil"/>
              <w:left w:val="nil"/>
              <w:bottom w:val="single" w:sz="4" w:space="0" w:color="auto"/>
              <w:right w:val="single" w:sz="4" w:space="0" w:color="auto"/>
            </w:tcBorders>
            <w:shd w:val="clear" w:color="auto" w:fill="auto"/>
            <w:vAlign w:val="center"/>
          </w:tcPr>
          <w:p w14:paraId="44DCBD24"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95,32 %</w:t>
            </w:r>
          </w:p>
        </w:tc>
        <w:tc>
          <w:tcPr>
            <w:tcW w:w="1156" w:type="dxa"/>
            <w:tcBorders>
              <w:top w:val="nil"/>
              <w:left w:val="nil"/>
              <w:bottom w:val="single" w:sz="4" w:space="0" w:color="auto"/>
              <w:right w:val="single" w:sz="4" w:space="0" w:color="auto"/>
            </w:tcBorders>
            <w:shd w:val="clear" w:color="auto" w:fill="auto"/>
            <w:vAlign w:val="center"/>
          </w:tcPr>
          <w:p w14:paraId="6350E152"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86,16 %</w:t>
            </w:r>
          </w:p>
        </w:tc>
        <w:tc>
          <w:tcPr>
            <w:tcW w:w="1156" w:type="dxa"/>
            <w:tcBorders>
              <w:top w:val="nil"/>
              <w:left w:val="nil"/>
              <w:bottom w:val="single" w:sz="4" w:space="0" w:color="auto"/>
              <w:right w:val="single" w:sz="4" w:space="0" w:color="auto"/>
            </w:tcBorders>
            <w:shd w:val="clear" w:color="auto" w:fill="auto"/>
            <w:noWrap/>
            <w:vAlign w:val="center"/>
          </w:tcPr>
          <w:p w14:paraId="30E0FF6D"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27,22 %</w:t>
            </w:r>
          </w:p>
        </w:tc>
        <w:tc>
          <w:tcPr>
            <w:tcW w:w="1156" w:type="dxa"/>
            <w:tcBorders>
              <w:top w:val="nil"/>
              <w:left w:val="nil"/>
              <w:bottom w:val="single" w:sz="4" w:space="0" w:color="auto"/>
              <w:right w:val="single" w:sz="4" w:space="0" w:color="auto"/>
            </w:tcBorders>
            <w:shd w:val="clear" w:color="auto" w:fill="auto"/>
            <w:noWrap/>
            <w:vAlign w:val="center"/>
          </w:tcPr>
          <w:p w14:paraId="42B3BD02"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29,55 %</w:t>
            </w:r>
          </w:p>
        </w:tc>
      </w:tr>
      <w:tr w:rsidR="00F24E18" w:rsidRPr="0026312E" w14:paraId="54ECAB35" w14:textId="77777777" w:rsidTr="000E18B5">
        <w:trPr>
          <w:trHeight w:val="255"/>
        </w:trPr>
        <w:tc>
          <w:tcPr>
            <w:tcW w:w="1566" w:type="dxa"/>
            <w:tcBorders>
              <w:top w:val="nil"/>
              <w:left w:val="single" w:sz="4" w:space="0" w:color="auto"/>
              <w:bottom w:val="single" w:sz="4" w:space="0" w:color="auto"/>
              <w:right w:val="single" w:sz="4" w:space="0" w:color="auto"/>
            </w:tcBorders>
            <w:shd w:val="clear" w:color="auto" w:fill="auto"/>
            <w:vAlign w:val="center"/>
            <w:hideMark/>
          </w:tcPr>
          <w:p w14:paraId="76472A14" w14:textId="77777777" w:rsidR="00F24E18" w:rsidRPr="0026312E" w:rsidRDefault="00F24E18" w:rsidP="000E18B5">
            <w:pPr>
              <w:spacing w:after="0" w:line="240" w:lineRule="auto"/>
              <w:jc w:val="both"/>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Infrastrukturno</w:t>
            </w:r>
          </w:p>
        </w:tc>
        <w:tc>
          <w:tcPr>
            <w:tcW w:w="1154" w:type="dxa"/>
            <w:tcBorders>
              <w:top w:val="nil"/>
              <w:left w:val="nil"/>
              <w:bottom w:val="single" w:sz="4" w:space="0" w:color="auto"/>
              <w:right w:val="single" w:sz="4" w:space="0" w:color="auto"/>
            </w:tcBorders>
            <w:shd w:val="clear" w:color="auto" w:fill="auto"/>
            <w:vAlign w:val="center"/>
            <w:hideMark/>
          </w:tcPr>
          <w:p w14:paraId="23263DCC"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225</w:t>
            </w:r>
          </w:p>
        </w:tc>
        <w:tc>
          <w:tcPr>
            <w:tcW w:w="1685" w:type="dxa"/>
            <w:tcBorders>
              <w:top w:val="nil"/>
              <w:left w:val="nil"/>
              <w:bottom w:val="single" w:sz="4" w:space="0" w:color="auto"/>
              <w:right w:val="single" w:sz="4" w:space="0" w:color="auto"/>
            </w:tcBorders>
            <w:shd w:val="clear" w:color="auto" w:fill="auto"/>
            <w:vAlign w:val="center"/>
            <w:hideMark/>
          </w:tcPr>
          <w:p w14:paraId="0D1D90C1"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295.767.472</w:t>
            </w:r>
          </w:p>
        </w:tc>
        <w:tc>
          <w:tcPr>
            <w:tcW w:w="1156" w:type="dxa"/>
            <w:tcBorders>
              <w:top w:val="nil"/>
              <w:left w:val="nil"/>
              <w:bottom w:val="single" w:sz="4" w:space="0" w:color="auto"/>
              <w:right w:val="single" w:sz="4" w:space="0" w:color="auto"/>
            </w:tcBorders>
            <w:shd w:val="clear" w:color="auto" w:fill="auto"/>
            <w:vAlign w:val="center"/>
          </w:tcPr>
          <w:p w14:paraId="42470731"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4,68 %</w:t>
            </w:r>
          </w:p>
        </w:tc>
        <w:tc>
          <w:tcPr>
            <w:tcW w:w="1156" w:type="dxa"/>
            <w:tcBorders>
              <w:top w:val="nil"/>
              <w:left w:val="nil"/>
              <w:bottom w:val="single" w:sz="4" w:space="0" w:color="auto"/>
              <w:right w:val="single" w:sz="4" w:space="0" w:color="auto"/>
            </w:tcBorders>
            <w:shd w:val="clear" w:color="auto" w:fill="auto"/>
            <w:vAlign w:val="center"/>
          </w:tcPr>
          <w:p w14:paraId="39EBBCCA"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13,84 %</w:t>
            </w:r>
          </w:p>
        </w:tc>
        <w:tc>
          <w:tcPr>
            <w:tcW w:w="1156" w:type="dxa"/>
            <w:tcBorders>
              <w:top w:val="nil"/>
              <w:left w:val="nil"/>
              <w:bottom w:val="single" w:sz="4" w:space="0" w:color="auto"/>
              <w:right w:val="single" w:sz="4" w:space="0" w:color="auto"/>
            </w:tcBorders>
            <w:shd w:val="clear" w:color="auto" w:fill="auto"/>
            <w:noWrap/>
            <w:vAlign w:val="center"/>
          </w:tcPr>
          <w:p w14:paraId="23B670FE"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1,34 %</w:t>
            </w:r>
          </w:p>
        </w:tc>
        <w:tc>
          <w:tcPr>
            <w:tcW w:w="1156" w:type="dxa"/>
            <w:tcBorders>
              <w:top w:val="nil"/>
              <w:left w:val="nil"/>
              <w:bottom w:val="single" w:sz="4" w:space="0" w:color="auto"/>
              <w:right w:val="single" w:sz="4" w:space="0" w:color="auto"/>
            </w:tcBorders>
            <w:shd w:val="clear" w:color="auto" w:fill="auto"/>
            <w:noWrap/>
            <w:vAlign w:val="center"/>
          </w:tcPr>
          <w:p w14:paraId="2919916C"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4,75 %</w:t>
            </w:r>
          </w:p>
        </w:tc>
      </w:tr>
      <w:tr w:rsidR="00F24E18" w:rsidRPr="0026312E" w14:paraId="5D8625B0" w14:textId="77777777" w:rsidTr="000E18B5">
        <w:trPr>
          <w:trHeight w:val="255"/>
        </w:trPr>
        <w:tc>
          <w:tcPr>
            <w:tcW w:w="1566" w:type="dxa"/>
            <w:tcBorders>
              <w:top w:val="nil"/>
              <w:left w:val="single" w:sz="4" w:space="0" w:color="auto"/>
              <w:bottom w:val="single" w:sz="4" w:space="0" w:color="auto"/>
              <w:right w:val="single" w:sz="4" w:space="0" w:color="auto"/>
            </w:tcBorders>
            <w:shd w:val="clear" w:color="auto" w:fill="auto"/>
            <w:vAlign w:val="center"/>
            <w:hideMark/>
          </w:tcPr>
          <w:p w14:paraId="1670FB54" w14:textId="77777777" w:rsidR="00F24E18" w:rsidRPr="0026312E" w:rsidRDefault="00F24E18" w:rsidP="000E18B5">
            <w:pPr>
              <w:spacing w:after="0" w:line="240" w:lineRule="auto"/>
              <w:jc w:val="both"/>
              <w:rPr>
                <w:rFonts w:ascii="Arial" w:eastAsia="Times New Roman" w:hAnsi="Arial" w:cs="Arial"/>
                <w:color w:val="000000"/>
                <w:sz w:val="18"/>
                <w:szCs w:val="18"/>
                <w:lang w:eastAsia="sl-SI"/>
              </w:rPr>
            </w:pPr>
            <w:r w:rsidRPr="0026312E">
              <w:rPr>
                <w:rFonts w:ascii="Arial" w:eastAsia="Times New Roman" w:hAnsi="Arial" w:cs="Arial"/>
                <w:color w:val="000000"/>
                <w:sz w:val="18"/>
                <w:szCs w:val="18"/>
                <w:lang w:eastAsia="sl-SI"/>
              </w:rPr>
              <w:t>Obrambno</w:t>
            </w:r>
          </w:p>
        </w:tc>
        <w:tc>
          <w:tcPr>
            <w:tcW w:w="1154" w:type="dxa"/>
            <w:tcBorders>
              <w:top w:val="nil"/>
              <w:left w:val="nil"/>
              <w:bottom w:val="single" w:sz="4" w:space="0" w:color="auto"/>
              <w:right w:val="single" w:sz="4" w:space="0" w:color="auto"/>
            </w:tcBorders>
            <w:shd w:val="clear" w:color="auto" w:fill="auto"/>
            <w:vAlign w:val="center"/>
            <w:hideMark/>
          </w:tcPr>
          <w:p w14:paraId="07668EA6"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0</w:t>
            </w:r>
          </w:p>
        </w:tc>
        <w:tc>
          <w:tcPr>
            <w:tcW w:w="1685" w:type="dxa"/>
            <w:tcBorders>
              <w:top w:val="nil"/>
              <w:left w:val="nil"/>
              <w:bottom w:val="single" w:sz="4" w:space="0" w:color="auto"/>
              <w:right w:val="single" w:sz="4" w:space="0" w:color="auto"/>
            </w:tcBorders>
            <w:shd w:val="clear" w:color="auto" w:fill="auto"/>
            <w:vAlign w:val="center"/>
            <w:hideMark/>
          </w:tcPr>
          <w:p w14:paraId="047B3493"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0</w:t>
            </w:r>
          </w:p>
        </w:tc>
        <w:tc>
          <w:tcPr>
            <w:tcW w:w="1156" w:type="dxa"/>
            <w:tcBorders>
              <w:top w:val="nil"/>
              <w:left w:val="nil"/>
              <w:bottom w:val="single" w:sz="4" w:space="0" w:color="auto"/>
              <w:right w:val="single" w:sz="4" w:space="0" w:color="auto"/>
            </w:tcBorders>
            <w:shd w:val="clear" w:color="auto" w:fill="auto"/>
            <w:vAlign w:val="center"/>
          </w:tcPr>
          <w:p w14:paraId="059C9CB6"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0,00 %</w:t>
            </w:r>
          </w:p>
        </w:tc>
        <w:tc>
          <w:tcPr>
            <w:tcW w:w="1156" w:type="dxa"/>
            <w:tcBorders>
              <w:top w:val="nil"/>
              <w:left w:val="nil"/>
              <w:bottom w:val="single" w:sz="4" w:space="0" w:color="auto"/>
              <w:right w:val="single" w:sz="4" w:space="0" w:color="auto"/>
            </w:tcBorders>
            <w:shd w:val="clear" w:color="auto" w:fill="auto"/>
            <w:vAlign w:val="center"/>
          </w:tcPr>
          <w:p w14:paraId="64349329"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0,00 %</w:t>
            </w:r>
          </w:p>
        </w:tc>
        <w:tc>
          <w:tcPr>
            <w:tcW w:w="1156" w:type="dxa"/>
            <w:tcBorders>
              <w:top w:val="nil"/>
              <w:left w:val="nil"/>
              <w:bottom w:val="single" w:sz="4" w:space="0" w:color="auto"/>
              <w:right w:val="single" w:sz="4" w:space="0" w:color="auto"/>
            </w:tcBorders>
            <w:shd w:val="clear" w:color="auto" w:fill="auto"/>
            <w:noWrap/>
            <w:vAlign w:val="center"/>
          </w:tcPr>
          <w:p w14:paraId="4FFE69B4"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0,00 %</w:t>
            </w:r>
          </w:p>
        </w:tc>
        <w:tc>
          <w:tcPr>
            <w:tcW w:w="1156" w:type="dxa"/>
            <w:tcBorders>
              <w:top w:val="nil"/>
              <w:left w:val="nil"/>
              <w:bottom w:val="single" w:sz="4" w:space="0" w:color="auto"/>
              <w:right w:val="single" w:sz="4" w:space="0" w:color="auto"/>
            </w:tcBorders>
            <w:shd w:val="clear" w:color="auto" w:fill="auto"/>
            <w:noWrap/>
            <w:vAlign w:val="center"/>
          </w:tcPr>
          <w:p w14:paraId="6E2A081D" w14:textId="77777777" w:rsidR="00F24E18" w:rsidRPr="0026312E" w:rsidRDefault="00F24E18" w:rsidP="000E18B5">
            <w:pPr>
              <w:spacing w:after="0" w:line="240" w:lineRule="auto"/>
              <w:jc w:val="right"/>
              <w:rPr>
                <w:rFonts w:ascii="Arial" w:eastAsia="Times New Roman" w:hAnsi="Arial" w:cs="Arial"/>
                <w:color w:val="000000"/>
                <w:sz w:val="18"/>
                <w:szCs w:val="18"/>
                <w:lang w:eastAsia="sl-SI"/>
              </w:rPr>
            </w:pPr>
            <w:r w:rsidRPr="0026312E">
              <w:rPr>
                <w:rFonts w:ascii="Arial" w:hAnsi="Arial" w:cs="Arial"/>
                <w:color w:val="000000"/>
                <w:sz w:val="18"/>
                <w:szCs w:val="18"/>
              </w:rPr>
              <w:t>0,00 %</w:t>
            </w:r>
          </w:p>
        </w:tc>
      </w:tr>
      <w:tr w:rsidR="00F24E18" w:rsidRPr="00242E41" w14:paraId="3D526656" w14:textId="77777777" w:rsidTr="000E18B5">
        <w:trPr>
          <w:trHeight w:val="255"/>
        </w:trPr>
        <w:tc>
          <w:tcPr>
            <w:tcW w:w="156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60B32A" w14:textId="77777777" w:rsidR="00F24E18" w:rsidRPr="0026312E" w:rsidRDefault="00F24E18" w:rsidP="000E18B5">
            <w:pPr>
              <w:spacing w:after="0" w:line="240" w:lineRule="auto"/>
              <w:jc w:val="both"/>
              <w:rPr>
                <w:rFonts w:ascii="Arial" w:eastAsia="Times New Roman" w:hAnsi="Arial" w:cs="Arial"/>
                <w:b/>
                <w:bCs/>
                <w:color w:val="000000"/>
                <w:sz w:val="18"/>
                <w:szCs w:val="18"/>
                <w:lang w:eastAsia="sl-SI"/>
              </w:rPr>
            </w:pPr>
            <w:r w:rsidRPr="0026312E">
              <w:rPr>
                <w:rFonts w:ascii="Arial" w:eastAsia="Times New Roman" w:hAnsi="Arial" w:cs="Arial"/>
                <w:b/>
                <w:bCs/>
                <w:color w:val="000000"/>
                <w:sz w:val="18"/>
                <w:szCs w:val="18"/>
                <w:lang w:eastAsia="sl-SI"/>
              </w:rPr>
              <w:t>Skupaj</w:t>
            </w:r>
          </w:p>
        </w:tc>
        <w:tc>
          <w:tcPr>
            <w:tcW w:w="1154" w:type="dxa"/>
            <w:tcBorders>
              <w:top w:val="nil"/>
              <w:left w:val="nil"/>
              <w:bottom w:val="single" w:sz="4" w:space="0" w:color="auto"/>
              <w:right w:val="single" w:sz="4" w:space="0" w:color="auto"/>
            </w:tcBorders>
            <w:shd w:val="clear" w:color="auto" w:fill="F2F2F2" w:themeFill="background1" w:themeFillShade="F2"/>
            <w:vAlign w:val="center"/>
          </w:tcPr>
          <w:p w14:paraId="5EC6577B" w14:textId="77777777" w:rsidR="00F24E18" w:rsidRPr="0026312E" w:rsidRDefault="00F24E18" w:rsidP="000E18B5">
            <w:pPr>
              <w:spacing w:after="0" w:line="240" w:lineRule="auto"/>
              <w:jc w:val="right"/>
              <w:rPr>
                <w:rFonts w:ascii="Arial" w:eastAsia="Times New Roman" w:hAnsi="Arial" w:cs="Arial"/>
                <w:b/>
                <w:bCs/>
                <w:color w:val="000000"/>
                <w:sz w:val="18"/>
                <w:szCs w:val="18"/>
                <w:lang w:eastAsia="sl-SI"/>
              </w:rPr>
            </w:pPr>
            <w:r w:rsidRPr="0026312E">
              <w:rPr>
                <w:rFonts w:ascii="Arial" w:hAnsi="Arial" w:cs="Arial"/>
                <w:b/>
                <w:bCs/>
                <w:color w:val="000000"/>
                <w:sz w:val="18"/>
                <w:szCs w:val="18"/>
              </w:rPr>
              <w:t>4.804</w:t>
            </w:r>
          </w:p>
        </w:tc>
        <w:tc>
          <w:tcPr>
            <w:tcW w:w="1685" w:type="dxa"/>
            <w:tcBorders>
              <w:top w:val="nil"/>
              <w:left w:val="nil"/>
              <w:bottom w:val="single" w:sz="4" w:space="0" w:color="auto"/>
              <w:right w:val="single" w:sz="4" w:space="0" w:color="auto"/>
            </w:tcBorders>
            <w:shd w:val="clear" w:color="auto" w:fill="F2F2F2" w:themeFill="background1" w:themeFillShade="F2"/>
            <w:vAlign w:val="center"/>
          </w:tcPr>
          <w:p w14:paraId="7A16E205" w14:textId="77777777" w:rsidR="00F24E18" w:rsidRPr="0026312E" w:rsidRDefault="00F24E18" w:rsidP="000E18B5">
            <w:pPr>
              <w:spacing w:after="0" w:line="240" w:lineRule="auto"/>
              <w:jc w:val="right"/>
              <w:rPr>
                <w:rFonts w:ascii="Arial" w:eastAsia="Times New Roman" w:hAnsi="Arial" w:cs="Arial"/>
                <w:b/>
                <w:bCs/>
                <w:color w:val="000000"/>
                <w:sz w:val="18"/>
                <w:szCs w:val="18"/>
                <w:lang w:eastAsia="sl-SI"/>
              </w:rPr>
            </w:pPr>
            <w:r w:rsidRPr="0026312E">
              <w:rPr>
                <w:rFonts w:ascii="Arial" w:hAnsi="Arial" w:cs="Arial"/>
                <w:b/>
                <w:bCs/>
                <w:color w:val="000000"/>
                <w:sz w:val="18"/>
                <w:szCs w:val="18"/>
              </w:rPr>
              <w:t>2.137.671.914</w:t>
            </w:r>
          </w:p>
        </w:tc>
        <w:tc>
          <w:tcPr>
            <w:tcW w:w="1156" w:type="dxa"/>
            <w:tcBorders>
              <w:top w:val="nil"/>
              <w:left w:val="nil"/>
              <w:bottom w:val="single" w:sz="4" w:space="0" w:color="auto"/>
              <w:right w:val="single" w:sz="4" w:space="0" w:color="auto"/>
            </w:tcBorders>
            <w:shd w:val="clear" w:color="auto" w:fill="F2F2F2" w:themeFill="background1" w:themeFillShade="F2"/>
            <w:vAlign w:val="center"/>
          </w:tcPr>
          <w:p w14:paraId="5AE9DFF0" w14:textId="77777777" w:rsidR="00F24E18" w:rsidRPr="0026312E" w:rsidRDefault="00F24E18" w:rsidP="000E18B5">
            <w:pPr>
              <w:spacing w:after="0" w:line="240" w:lineRule="auto"/>
              <w:jc w:val="right"/>
              <w:rPr>
                <w:rFonts w:ascii="Arial" w:eastAsia="Times New Roman" w:hAnsi="Arial" w:cs="Arial"/>
                <w:b/>
                <w:bCs/>
                <w:color w:val="000000"/>
                <w:sz w:val="18"/>
                <w:szCs w:val="18"/>
                <w:lang w:eastAsia="sl-SI"/>
              </w:rPr>
            </w:pPr>
            <w:r w:rsidRPr="0026312E">
              <w:rPr>
                <w:rFonts w:ascii="Arial" w:hAnsi="Arial" w:cs="Arial"/>
                <w:b/>
                <w:bCs/>
                <w:color w:val="000000"/>
                <w:sz w:val="18"/>
                <w:szCs w:val="18"/>
              </w:rPr>
              <w:t>100,00 %</w:t>
            </w:r>
          </w:p>
        </w:tc>
        <w:tc>
          <w:tcPr>
            <w:tcW w:w="1156" w:type="dxa"/>
            <w:tcBorders>
              <w:top w:val="nil"/>
              <w:left w:val="nil"/>
              <w:bottom w:val="single" w:sz="4" w:space="0" w:color="auto"/>
              <w:right w:val="single" w:sz="4" w:space="0" w:color="auto"/>
            </w:tcBorders>
            <w:shd w:val="clear" w:color="auto" w:fill="F2F2F2" w:themeFill="background1" w:themeFillShade="F2"/>
            <w:vAlign w:val="center"/>
          </w:tcPr>
          <w:p w14:paraId="5940D96C" w14:textId="77777777" w:rsidR="00F24E18" w:rsidRPr="0026312E" w:rsidRDefault="00F24E18" w:rsidP="000E18B5">
            <w:pPr>
              <w:spacing w:after="0" w:line="240" w:lineRule="auto"/>
              <w:jc w:val="right"/>
              <w:rPr>
                <w:rFonts w:ascii="Arial" w:eastAsia="Times New Roman" w:hAnsi="Arial" w:cs="Arial"/>
                <w:b/>
                <w:bCs/>
                <w:color w:val="000000"/>
                <w:sz w:val="18"/>
                <w:szCs w:val="18"/>
                <w:lang w:eastAsia="sl-SI"/>
              </w:rPr>
            </w:pPr>
            <w:r w:rsidRPr="0026312E">
              <w:rPr>
                <w:rFonts w:ascii="Arial" w:hAnsi="Arial" w:cs="Arial"/>
                <w:b/>
                <w:bCs/>
                <w:color w:val="000000"/>
                <w:sz w:val="18"/>
                <w:szCs w:val="18"/>
              </w:rPr>
              <w:t>100,00 %</w:t>
            </w:r>
          </w:p>
        </w:tc>
        <w:tc>
          <w:tcPr>
            <w:tcW w:w="1156" w:type="dxa"/>
            <w:tcBorders>
              <w:top w:val="nil"/>
              <w:left w:val="nil"/>
              <w:bottom w:val="single" w:sz="4" w:space="0" w:color="auto"/>
              <w:right w:val="single" w:sz="4" w:space="0" w:color="auto"/>
            </w:tcBorders>
            <w:shd w:val="clear" w:color="auto" w:fill="F2F2F2" w:themeFill="background1" w:themeFillShade="F2"/>
            <w:noWrap/>
            <w:vAlign w:val="center"/>
          </w:tcPr>
          <w:p w14:paraId="27E1D8E8" w14:textId="77777777" w:rsidR="00F24E18" w:rsidRPr="0026312E" w:rsidRDefault="00F24E18" w:rsidP="000E18B5">
            <w:pPr>
              <w:spacing w:after="0" w:line="240" w:lineRule="auto"/>
              <w:jc w:val="right"/>
              <w:rPr>
                <w:rFonts w:ascii="Arial" w:eastAsia="Times New Roman" w:hAnsi="Arial" w:cs="Arial"/>
                <w:b/>
                <w:bCs/>
                <w:color w:val="000000"/>
                <w:sz w:val="18"/>
                <w:szCs w:val="18"/>
                <w:lang w:eastAsia="sl-SI"/>
              </w:rPr>
            </w:pPr>
            <w:r w:rsidRPr="0026312E">
              <w:rPr>
                <w:rFonts w:ascii="Arial" w:hAnsi="Arial" w:cs="Arial"/>
                <w:b/>
                <w:bCs/>
                <w:color w:val="000000"/>
                <w:sz w:val="18"/>
                <w:szCs w:val="18"/>
              </w:rPr>
              <w:t>28,55 %</w:t>
            </w:r>
          </w:p>
        </w:tc>
        <w:tc>
          <w:tcPr>
            <w:tcW w:w="1156" w:type="dxa"/>
            <w:tcBorders>
              <w:top w:val="nil"/>
              <w:left w:val="nil"/>
              <w:bottom w:val="single" w:sz="4" w:space="0" w:color="auto"/>
              <w:right w:val="single" w:sz="4" w:space="0" w:color="auto"/>
            </w:tcBorders>
            <w:shd w:val="clear" w:color="auto" w:fill="F2F2F2" w:themeFill="background1" w:themeFillShade="F2"/>
            <w:noWrap/>
            <w:vAlign w:val="center"/>
          </w:tcPr>
          <w:p w14:paraId="1E4AF980" w14:textId="77777777" w:rsidR="00F24E18" w:rsidRPr="0026312E" w:rsidRDefault="00F24E18" w:rsidP="000E18B5">
            <w:pPr>
              <w:spacing w:after="0" w:line="240" w:lineRule="auto"/>
              <w:jc w:val="right"/>
              <w:rPr>
                <w:rFonts w:ascii="Arial" w:eastAsia="Times New Roman" w:hAnsi="Arial" w:cs="Arial"/>
                <w:b/>
                <w:bCs/>
                <w:color w:val="000000"/>
                <w:sz w:val="18"/>
                <w:szCs w:val="18"/>
                <w:lang w:eastAsia="sl-SI"/>
              </w:rPr>
            </w:pPr>
            <w:r w:rsidRPr="0026312E">
              <w:rPr>
                <w:rFonts w:ascii="Arial" w:hAnsi="Arial" w:cs="Arial"/>
                <w:b/>
                <w:bCs/>
                <w:color w:val="000000"/>
                <w:sz w:val="18"/>
                <w:szCs w:val="18"/>
              </w:rPr>
              <w:t>34,30 %</w:t>
            </w:r>
          </w:p>
        </w:tc>
      </w:tr>
    </w:tbl>
    <w:p w14:paraId="1D2CCBFC" w14:textId="77777777" w:rsidR="00F24E18" w:rsidRPr="00242E41" w:rsidRDefault="00F24E18" w:rsidP="00F24E18">
      <w:pPr>
        <w:spacing w:after="0" w:line="240" w:lineRule="auto"/>
        <w:rPr>
          <w:rFonts w:ascii="Arial" w:hAnsi="Arial" w:cs="Arial"/>
          <w:sz w:val="20"/>
          <w:szCs w:val="20"/>
          <w:highlight w:val="yellow"/>
        </w:rPr>
      </w:pPr>
    </w:p>
    <w:p w14:paraId="5A9A34BF" w14:textId="77777777" w:rsidR="00F24E18" w:rsidRPr="00242E41" w:rsidRDefault="00F24E18" w:rsidP="00F24E18">
      <w:pPr>
        <w:spacing w:before="120" w:after="0" w:line="240" w:lineRule="auto"/>
        <w:rPr>
          <w:rFonts w:ascii="Arial" w:hAnsi="Arial" w:cs="Arial"/>
          <w:sz w:val="20"/>
          <w:highlight w:val="yellow"/>
        </w:rPr>
      </w:pPr>
      <w:r w:rsidRPr="00B20709">
        <w:rPr>
          <w:rFonts w:ascii="Arial" w:hAnsi="Arial" w:cs="Arial"/>
          <w:sz w:val="20"/>
          <w:szCs w:val="20"/>
        </w:rPr>
        <w:t xml:space="preserve">Preglednica 97: </w:t>
      </w:r>
      <w:r w:rsidRPr="00B20709">
        <w:rPr>
          <w:rFonts w:ascii="Arial" w:hAnsi="Arial" w:cs="Arial"/>
          <w:sz w:val="20"/>
        </w:rPr>
        <w:t>Število in vrednosti ter deleži zelenih naročil glede na predmet naročanja</w:t>
      </w:r>
    </w:p>
    <w:p w14:paraId="68E6780C" w14:textId="77777777" w:rsidR="00F24E18" w:rsidRPr="00242E41" w:rsidRDefault="00F24E18" w:rsidP="00F24E18">
      <w:pPr>
        <w:spacing w:after="0" w:line="240" w:lineRule="auto"/>
        <w:rPr>
          <w:rFonts w:ascii="Arial" w:hAnsi="Arial" w:cs="Arial"/>
          <w:sz w:val="20"/>
          <w:highlight w:val="yellow"/>
        </w:rPr>
      </w:pPr>
    </w:p>
    <w:tbl>
      <w:tblPr>
        <w:tblW w:w="9050" w:type="dxa"/>
        <w:tblCellMar>
          <w:left w:w="70" w:type="dxa"/>
          <w:right w:w="70" w:type="dxa"/>
        </w:tblCellMar>
        <w:tblLook w:val="04A0" w:firstRow="1" w:lastRow="0" w:firstColumn="1" w:lastColumn="0" w:noHBand="0" w:noVBand="1"/>
      </w:tblPr>
      <w:tblGrid>
        <w:gridCol w:w="1258"/>
        <w:gridCol w:w="1005"/>
        <w:gridCol w:w="1560"/>
        <w:gridCol w:w="1275"/>
        <w:gridCol w:w="1434"/>
        <w:gridCol w:w="1259"/>
        <w:gridCol w:w="1259"/>
      </w:tblGrid>
      <w:tr w:rsidR="00F24E18" w:rsidRPr="00B20709" w14:paraId="7D573E30" w14:textId="77777777" w:rsidTr="000E18B5">
        <w:trPr>
          <w:trHeight w:val="255"/>
        </w:trPr>
        <w:tc>
          <w:tcPr>
            <w:tcW w:w="1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985D71"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 xml:space="preserve">Predmet </w:t>
            </w:r>
          </w:p>
        </w:tc>
        <w:tc>
          <w:tcPr>
            <w:tcW w:w="100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45A646"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Št. zelenih naročil</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088667"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Pogodbena vrednost</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18CF05"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št. zelenih naročil</w:t>
            </w:r>
          </w:p>
        </w:tc>
        <w:tc>
          <w:tcPr>
            <w:tcW w:w="14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CAD618"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 xml:space="preserve">Delež v vrednosti zelenih naročil </w:t>
            </w:r>
          </w:p>
        </w:tc>
        <w:tc>
          <w:tcPr>
            <w:tcW w:w="12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844A7B"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št. vseh naročil</w:t>
            </w:r>
          </w:p>
        </w:tc>
        <w:tc>
          <w:tcPr>
            <w:tcW w:w="12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2A42F2"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vrednosti vseh naročil</w:t>
            </w:r>
          </w:p>
        </w:tc>
      </w:tr>
      <w:tr w:rsidR="00F24E18" w:rsidRPr="00B20709" w14:paraId="2C31CB65" w14:textId="77777777" w:rsidTr="000E18B5">
        <w:trPr>
          <w:trHeight w:val="255"/>
        </w:trPr>
        <w:tc>
          <w:tcPr>
            <w:tcW w:w="1258" w:type="dxa"/>
            <w:tcBorders>
              <w:top w:val="nil"/>
              <w:left w:val="single" w:sz="4" w:space="0" w:color="auto"/>
              <w:bottom w:val="single" w:sz="4" w:space="0" w:color="auto"/>
              <w:right w:val="single" w:sz="4" w:space="0" w:color="auto"/>
            </w:tcBorders>
            <w:shd w:val="clear" w:color="auto" w:fill="auto"/>
            <w:vAlign w:val="center"/>
            <w:hideMark/>
          </w:tcPr>
          <w:p w14:paraId="16F9B672" w14:textId="77777777" w:rsidR="00F24E18" w:rsidRPr="00B20709" w:rsidRDefault="00F24E18" w:rsidP="000E18B5">
            <w:pPr>
              <w:spacing w:after="0" w:line="240" w:lineRule="auto"/>
              <w:jc w:val="both"/>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Blago</w:t>
            </w:r>
          </w:p>
        </w:tc>
        <w:tc>
          <w:tcPr>
            <w:tcW w:w="1005" w:type="dxa"/>
            <w:tcBorders>
              <w:top w:val="nil"/>
              <w:left w:val="nil"/>
              <w:bottom w:val="single" w:sz="4" w:space="0" w:color="auto"/>
              <w:right w:val="single" w:sz="4" w:space="0" w:color="auto"/>
            </w:tcBorders>
            <w:shd w:val="clear" w:color="auto" w:fill="auto"/>
            <w:vAlign w:val="center"/>
            <w:hideMark/>
          </w:tcPr>
          <w:p w14:paraId="04D8E266"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3.696</w:t>
            </w:r>
          </w:p>
        </w:tc>
        <w:tc>
          <w:tcPr>
            <w:tcW w:w="1560" w:type="dxa"/>
            <w:tcBorders>
              <w:top w:val="nil"/>
              <w:left w:val="nil"/>
              <w:bottom w:val="single" w:sz="4" w:space="0" w:color="auto"/>
              <w:right w:val="single" w:sz="4" w:space="0" w:color="auto"/>
            </w:tcBorders>
            <w:shd w:val="clear" w:color="auto" w:fill="auto"/>
            <w:vAlign w:val="center"/>
            <w:hideMark/>
          </w:tcPr>
          <w:p w14:paraId="0F721243"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647.048.105</w:t>
            </w:r>
          </w:p>
        </w:tc>
        <w:tc>
          <w:tcPr>
            <w:tcW w:w="1275" w:type="dxa"/>
            <w:tcBorders>
              <w:top w:val="nil"/>
              <w:left w:val="nil"/>
              <w:bottom w:val="single" w:sz="4" w:space="0" w:color="auto"/>
              <w:right w:val="single" w:sz="4" w:space="0" w:color="auto"/>
            </w:tcBorders>
            <w:shd w:val="clear" w:color="auto" w:fill="auto"/>
            <w:vAlign w:val="center"/>
          </w:tcPr>
          <w:p w14:paraId="26335874"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76,94 %</w:t>
            </w:r>
          </w:p>
        </w:tc>
        <w:tc>
          <w:tcPr>
            <w:tcW w:w="1434" w:type="dxa"/>
            <w:tcBorders>
              <w:top w:val="nil"/>
              <w:left w:val="nil"/>
              <w:bottom w:val="single" w:sz="4" w:space="0" w:color="auto"/>
              <w:right w:val="single" w:sz="4" w:space="0" w:color="auto"/>
            </w:tcBorders>
            <w:shd w:val="clear" w:color="auto" w:fill="auto"/>
            <w:vAlign w:val="center"/>
          </w:tcPr>
          <w:p w14:paraId="1AD511E4"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30,27 %</w:t>
            </w:r>
          </w:p>
        </w:tc>
        <w:tc>
          <w:tcPr>
            <w:tcW w:w="1259" w:type="dxa"/>
            <w:tcBorders>
              <w:top w:val="nil"/>
              <w:left w:val="nil"/>
              <w:bottom w:val="single" w:sz="4" w:space="0" w:color="auto"/>
              <w:right w:val="single" w:sz="4" w:space="0" w:color="auto"/>
            </w:tcBorders>
            <w:shd w:val="clear" w:color="auto" w:fill="auto"/>
            <w:noWrap/>
            <w:vAlign w:val="center"/>
          </w:tcPr>
          <w:p w14:paraId="7B1C10B2"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21,97 %</w:t>
            </w:r>
          </w:p>
        </w:tc>
        <w:tc>
          <w:tcPr>
            <w:tcW w:w="1259" w:type="dxa"/>
            <w:tcBorders>
              <w:top w:val="nil"/>
              <w:left w:val="nil"/>
              <w:bottom w:val="single" w:sz="4" w:space="0" w:color="auto"/>
              <w:right w:val="single" w:sz="4" w:space="0" w:color="auto"/>
            </w:tcBorders>
            <w:shd w:val="clear" w:color="auto" w:fill="auto"/>
            <w:noWrap/>
            <w:vAlign w:val="center"/>
          </w:tcPr>
          <w:p w14:paraId="7EB977B1"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10,38 %</w:t>
            </w:r>
          </w:p>
        </w:tc>
      </w:tr>
      <w:tr w:rsidR="00F24E18" w:rsidRPr="00B20709" w14:paraId="746F389A" w14:textId="77777777" w:rsidTr="000E18B5">
        <w:trPr>
          <w:trHeight w:val="255"/>
        </w:trPr>
        <w:tc>
          <w:tcPr>
            <w:tcW w:w="1258" w:type="dxa"/>
            <w:tcBorders>
              <w:top w:val="nil"/>
              <w:left w:val="single" w:sz="4" w:space="0" w:color="auto"/>
              <w:bottom w:val="single" w:sz="4" w:space="0" w:color="auto"/>
              <w:right w:val="single" w:sz="4" w:space="0" w:color="auto"/>
            </w:tcBorders>
            <w:shd w:val="clear" w:color="auto" w:fill="auto"/>
            <w:vAlign w:val="center"/>
            <w:hideMark/>
          </w:tcPr>
          <w:p w14:paraId="0D54B28B" w14:textId="77777777" w:rsidR="00F24E18" w:rsidRPr="00B20709" w:rsidRDefault="00F24E18" w:rsidP="000E18B5">
            <w:pPr>
              <w:spacing w:after="0" w:line="240" w:lineRule="auto"/>
              <w:jc w:val="both"/>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w:t>
            </w:r>
          </w:p>
        </w:tc>
        <w:tc>
          <w:tcPr>
            <w:tcW w:w="1005" w:type="dxa"/>
            <w:tcBorders>
              <w:top w:val="nil"/>
              <w:left w:val="nil"/>
              <w:bottom w:val="single" w:sz="4" w:space="0" w:color="auto"/>
              <w:right w:val="single" w:sz="4" w:space="0" w:color="auto"/>
            </w:tcBorders>
            <w:shd w:val="clear" w:color="auto" w:fill="auto"/>
            <w:vAlign w:val="center"/>
            <w:hideMark/>
          </w:tcPr>
          <w:p w14:paraId="0552319A"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573</w:t>
            </w:r>
          </w:p>
        </w:tc>
        <w:tc>
          <w:tcPr>
            <w:tcW w:w="1560" w:type="dxa"/>
            <w:tcBorders>
              <w:top w:val="nil"/>
              <w:left w:val="nil"/>
              <w:bottom w:val="single" w:sz="4" w:space="0" w:color="auto"/>
              <w:right w:val="single" w:sz="4" w:space="0" w:color="auto"/>
            </w:tcBorders>
            <w:shd w:val="clear" w:color="auto" w:fill="auto"/>
            <w:vAlign w:val="center"/>
            <w:hideMark/>
          </w:tcPr>
          <w:p w14:paraId="3D458FC7"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797.885.150</w:t>
            </w:r>
          </w:p>
        </w:tc>
        <w:tc>
          <w:tcPr>
            <w:tcW w:w="1275" w:type="dxa"/>
            <w:tcBorders>
              <w:top w:val="nil"/>
              <w:left w:val="nil"/>
              <w:bottom w:val="single" w:sz="4" w:space="0" w:color="auto"/>
              <w:right w:val="single" w:sz="4" w:space="0" w:color="auto"/>
            </w:tcBorders>
            <w:shd w:val="clear" w:color="auto" w:fill="auto"/>
            <w:vAlign w:val="center"/>
          </w:tcPr>
          <w:p w14:paraId="30A98CED"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11,93 %</w:t>
            </w:r>
          </w:p>
        </w:tc>
        <w:tc>
          <w:tcPr>
            <w:tcW w:w="1434" w:type="dxa"/>
            <w:tcBorders>
              <w:top w:val="nil"/>
              <w:left w:val="nil"/>
              <w:bottom w:val="single" w:sz="4" w:space="0" w:color="auto"/>
              <w:right w:val="single" w:sz="4" w:space="0" w:color="auto"/>
            </w:tcBorders>
            <w:shd w:val="clear" w:color="auto" w:fill="auto"/>
            <w:vAlign w:val="center"/>
          </w:tcPr>
          <w:p w14:paraId="73902C72"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37,32 %</w:t>
            </w:r>
          </w:p>
        </w:tc>
        <w:tc>
          <w:tcPr>
            <w:tcW w:w="1259" w:type="dxa"/>
            <w:tcBorders>
              <w:top w:val="nil"/>
              <w:left w:val="nil"/>
              <w:bottom w:val="single" w:sz="4" w:space="0" w:color="auto"/>
              <w:right w:val="single" w:sz="4" w:space="0" w:color="auto"/>
            </w:tcBorders>
            <w:shd w:val="clear" w:color="auto" w:fill="auto"/>
            <w:noWrap/>
            <w:vAlign w:val="center"/>
          </w:tcPr>
          <w:p w14:paraId="7D061522"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3,41 %</w:t>
            </w:r>
          </w:p>
        </w:tc>
        <w:tc>
          <w:tcPr>
            <w:tcW w:w="1259" w:type="dxa"/>
            <w:tcBorders>
              <w:top w:val="nil"/>
              <w:left w:val="nil"/>
              <w:bottom w:val="single" w:sz="4" w:space="0" w:color="auto"/>
              <w:right w:val="single" w:sz="4" w:space="0" w:color="auto"/>
            </w:tcBorders>
            <w:shd w:val="clear" w:color="auto" w:fill="auto"/>
            <w:noWrap/>
            <w:vAlign w:val="center"/>
          </w:tcPr>
          <w:p w14:paraId="6D65C624"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12,80 %</w:t>
            </w:r>
          </w:p>
        </w:tc>
      </w:tr>
      <w:tr w:rsidR="00F24E18" w:rsidRPr="00B20709" w14:paraId="2C554E25" w14:textId="77777777" w:rsidTr="000E18B5">
        <w:trPr>
          <w:trHeight w:val="255"/>
        </w:trPr>
        <w:tc>
          <w:tcPr>
            <w:tcW w:w="1258" w:type="dxa"/>
            <w:tcBorders>
              <w:top w:val="nil"/>
              <w:left w:val="single" w:sz="4" w:space="0" w:color="auto"/>
              <w:bottom w:val="single" w:sz="4" w:space="0" w:color="auto"/>
              <w:right w:val="single" w:sz="4" w:space="0" w:color="auto"/>
            </w:tcBorders>
            <w:shd w:val="clear" w:color="auto" w:fill="auto"/>
            <w:vAlign w:val="center"/>
            <w:hideMark/>
          </w:tcPr>
          <w:p w14:paraId="69DB70F1" w14:textId="77777777" w:rsidR="00F24E18" w:rsidRPr="00B20709" w:rsidRDefault="00F24E18" w:rsidP="000E18B5">
            <w:pPr>
              <w:spacing w:after="0" w:line="240" w:lineRule="auto"/>
              <w:jc w:val="both"/>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Gradnje</w:t>
            </w:r>
          </w:p>
        </w:tc>
        <w:tc>
          <w:tcPr>
            <w:tcW w:w="1005" w:type="dxa"/>
            <w:tcBorders>
              <w:top w:val="nil"/>
              <w:left w:val="nil"/>
              <w:bottom w:val="single" w:sz="4" w:space="0" w:color="auto"/>
              <w:right w:val="single" w:sz="4" w:space="0" w:color="auto"/>
            </w:tcBorders>
            <w:shd w:val="clear" w:color="auto" w:fill="auto"/>
            <w:vAlign w:val="center"/>
            <w:hideMark/>
          </w:tcPr>
          <w:p w14:paraId="2288B747"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535</w:t>
            </w:r>
          </w:p>
        </w:tc>
        <w:tc>
          <w:tcPr>
            <w:tcW w:w="1560" w:type="dxa"/>
            <w:tcBorders>
              <w:top w:val="nil"/>
              <w:left w:val="nil"/>
              <w:bottom w:val="single" w:sz="4" w:space="0" w:color="auto"/>
              <w:right w:val="single" w:sz="4" w:space="0" w:color="auto"/>
            </w:tcBorders>
            <w:shd w:val="clear" w:color="auto" w:fill="auto"/>
            <w:vAlign w:val="center"/>
            <w:hideMark/>
          </w:tcPr>
          <w:p w14:paraId="71EBDD95"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692.738.659</w:t>
            </w:r>
          </w:p>
        </w:tc>
        <w:tc>
          <w:tcPr>
            <w:tcW w:w="1275" w:type="dxa"/>
            <w:tcBorders>
              <w:top w:val="nil"/>
              <w:left w:val="nil"/>
              <w:bottom w:val="single" w:sz="4" w:space="0" w:color="auto"/>
              <w:right w:val="single" w:sz="4" w:space="0" w:color="auto"/>
            </w:tcBorders>
            <w:shd w:val="clear" w:color="auto" w:fill="auto"/>
            <w:vAlign w:val="center"/>
          </w:tcPr>
          <w:p w14:paraId="00A07F37"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11,14 %</w:t>
            </w:r>
          </w:p>
        </w:tc>
        <w:tc>
          <w:tcPr>
            <w:tcW w:w="1434" w:type="dxa"/>
            <w:tcBorders>
              <w:top w:val="nil"/>
              <w:left w:val="nil"/>
              <w:bottom w:val="single" w:sz="4" w:space="0" w:color="auto"/>
              <w:right w:val="single" w:sz="4" w:space="0" w:color="auto"/>
            </w:tcBorders>
            <w:shd w:val="clear" w:color="auto" w:fill="auto"/>
            <w:vAlign w:val="center"/>
          </w:tcPr>
          <w:p w14:paraId="283D0B9E"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32,41 %</w:t>
            </w:r>
          </w:p>
        </w:tc>
        <w:tc>
          <w:tcPr>
            <w:tcW w:w="1259" w:type="dxa"/>
            <w:tcBorders>
              <w:top w:val="nil"/>
              <w:left w:val="nil"/>
              <w:bottom w:val="single" w:sz="4" w:space="0" w:color="auto"/>
              <w:right w:val="single" w:sz="4" w:space="0" w:color="auto"/>
            </w:tcBorders>
            <w:shd w:val="clear" w:color="auto" w:fill="auto"/>
            <w:noWrap/>
            <w:vAlign w:val="center"/>
          </w:tcPr>
          <w:p w14:paraId="48F36D70"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3,18 %</w:t>
            </w:r>
          </w:p>
        </w:tc>
        <w:tc>
          <w:tcPr>
            <w:tcW w:w="1259" w:type="dxa"/>
            <w:tcBorders>
              <w:top w:val="nil"/>
              <w:left w:val="nil"/>
              <w:bottom w:val="single" w:sz="4" w:space="0" w:color="auto"/>
              <w:right w:val="single" w:sz="4" w:space="0" w:color="auto"/>
            </w:tcBorders>
            <w:shd w:val="clear" w:color="auto" w:fill="auto"/>
            <w:noWrap/>
            <w:vAlign w:val="center"/>
          </w:tcPr>
          <w:p w14:paraId="3DBA3A24" w14:textId="77777777" w:rsidR="00F24E18" w:rsidRPr="00B20709" w:rsidRDefault="00F24E18" w:rsidP="000E18B5">
            <w:pPr>
              <w:spacing w:after="0" w:line="240" w:lineRule="auto"/>
              <w:jc w:val="right"/>
              <w:rPr>
                <w:rFonts w:ascii="Arial" w:hAnsi="Arial" w:cs="Arial"/>
                <w:color w:val="000000"/>
                <w:sz w:val="18"/>
                <w:szCs w:val="18"/>
              </w:rPr>
            </w:pPr>
            <w:r w:rsidRPr="00B20709">
              <w:rPr>
                <w:rFonts w:ascii="Arial" w:hAnsi="Arial" w:cs="Arial"/>
                <w:color w:val="000000"/>
                <w:sz w:val="18"/>
                <w:szCs w:val="18"/>
              </w:rPr>
              <w:t>11,12 %</w:t>
            </w:r>
          </w:p>
        </w:tc>
      </w:tr>
      <w:tr w:rsidR="00F24E18" w:rsidRPr="00242E41" w14:paraId="5D3EB9B2" w14:textId="77777777" w:rsidTr="000E18B5">
        <w:trPr>
          <w:trHeight w:val="255"/>
        </w:trPr>
        <w:tc>
          <w:tcPr>
            <w:tcW w:w="125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A3BDD4" w14:textId="77777777" w:rsidR="00F24E18" w:rsidRPr="00B20709" w:rsidRDefault="00F24E18" w:rsidP="000E18B5">
            <w:pPr>
              <w:spacing w:after="0" w:line="240" w:lineRule="auto"/>
              <w:jc w:val="both"/>
              <w:rPr>
                <w:rFonts w:ascii="Arial" w:eastAsia="Times New Roman" w:hAnsi="Arial" w:cs="Arial"/>
                <w:b/>
                <w:bCs/>
                <w:color w:val="000000"/>
                <w:sz w:val="18"/>
                <w:szCs w:val="18"/>
                <w:lang w:eastAsia="sl-SI"/>
              </w:rPr>
            </w:pPr>
            <w:r w:rsidRPr="00B20709">
              <w:rPr>
                <w:rFonts w:ascii="Arial" w:eastAsia="Times New Roman" w:hAnsi="Arial" w:cs="Arial"/>
                <w:b/>
                <w:bCs/>
                <w:color w:val="000000"/>
                <w:sz w:val="18"/>
                <w:szCs w:val="18"/>
                <w:lang w:eastAsia="sl-SI"/>
              </w:rPr>
              <w:t>Skupaj</w:t>
            </w:r>
          </w:p>
        </w:tc>
        <w:tc>
          <w:tcPr>
            <w:tcW w:w="1005" w:type="dxa"/>
            <w:tcBorders>
              <w:top w:val="nil"/>
              <w:left w:val="nil"/>
              <w:bottom w:val="single" w:sz="4" w:space="0" w:color="auto"/>
              <w:right w:val="single" w:sz="4" w:space="0" w:color="auto"/>
            </w:tcBorders>
            <w:shd w:val="clear" w:color="auto" w:fill="F2F2F2" w:themeFill="background1" w:themeFillShade="F2"/>
            <w:vAlign w:val="center"/>
          </w:tcPr>
          <w:p w14:paraId="27B6466F" w14:textId="77777777" w:rsidR="00F24E18" w:rsidRPr="00B20709" w:rsidRDefault="00F24E18" w:rsidP="000E18B5">
            <w:pPr>
              <w:spacing w:after="0" w:line="240" w:lineRule="auto"/>
              <w:jc w:val="right"/>
              <w:rPr>
                <w:rFonts w:ascii="Arial" w:hAnsi="Arial" w:cs="Arial"/>
                <w:b/>
                <w:bCs/>
                <w:color w:val="000000"/>
                <w:sz w:val="18"/>
                <w:szCs w:val="18"/>
              </w:rPr>
            </w:pPr>
            <w:r w:rsidRPr="00B20709">
              <w:rPr>
                <w:rFonts w:ascii="Arial" w:hAnsi="Arial" w:cs="Arial"/>
                <w:b/>
                <w:bCs/>
                <w:color w:val="000000"/>
                <w:sz w:val="18"/>
                <w:szCs w:val="18"/>
              </w:rPr>
              <w:t>4.804</w:t>
            </w:r>
          </w:p>
        </w:tc>
        <w:tc>
          <w:tcPr>
            <w:tcW w:w="1560" w:type="dxa"/>
            <w:tcBorders>
              <w:top w:val="nil"/>
              <w:left w:val="nil"/>
              <w:bottom w:val="single" w:sz="4" w:space="0" w:color="auto"/>
              <w:right w:val="single" w:sz="4" w:space="0" w:color="auto"/>
            </w:tcBorders>
            <w:shd w:val="clear" w:color="auto" w:fill="F2F2F2" w:themeFill="background1" w:themeFillShade="F2"/>
            <w:vAlign w:val="center"/>
          </w:tcPr>
          <w:p w14:paraId="16B8D0B1" w14:textId="77777777" w:rsidR="00F24E18" w:rsidRPr="00B20709" w:rsidRDefault="00F24E18" w:rsidP="000E18B5">
            <w:pPr>
              <w:spacing w:after="0" w:line="240" w:lineRule="auto"/>
              <w:jc w:val="right"/>
              <w:rPr>
                <w:rFonts w:ascii="Arial" w:hAnsi="Arial" w:cs="Arial"/>
                <w:b/>
                <w:bCs/>
                <w:color w:val="000000"/>
                <w:sz w:val="18"/>
                <w:szCs w:val="18"/>
              </w:rPr>
            </w:pPr>
            <w:r w:rsidRPr="00B20709">
              <w:rPr>
                <w:rFonts w:ascii="Arial" w:hAnsi="Arial" w:cs="Arial"/>
                <w:b/>
                <w:bCs/>
                <w:color w:val="000000"/>
                <w:sz w:val="18"/>
                <w:szCs w:val="18"/>
              </w:rPr>
              <w:t>2.137.671.914</w:t>
            </w: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4B2ACAE6" w14:textId="77777777" w:rsidR="00F24E18" w:rsidRPr="00B20709" w:rsidRDefault="00F24E18" w:rsidP="000E18B5">
            <w:pPr>
              <w:spacing w:after="0" w:line="240" w:lineRule="auto"/>
              <w:jc w:val="right"/>
              <w:rPr>
                <w:rFonts w:ascii="Arial" w:hAnsi="Arial" w:cs="Arial"/>
                <w:b/>
                <w:bCs/>
                <w:color w:val="000000"/>
                <w:sz w:val="18"/>
                <w:szCs w:val="18"/>
              </w:rPr>
            </w:pPr>
            <w:r w:rsidRPr="00B20709">
              <w:rPr>
                <w:rFonts w:ascii="Arial" w:hAnsi="Arial" w:cs="Arial"/>
                <w:b/>
                <w:bCs/>
                <w:color w:val="000000"/>
                <w:sz w:val="18"/>
                <w:szCs w:val="18"/>
              </w:rPr>
              <w:t>100,00 %</w:t>
            </w:r>
          </w:p>
        </w:tc>
        <w:tc>
          <w:tcPr>
            <w:tcW w:w="1434" w:type="dxa"/>
            <w:tcBorders>
              <w:top w:val="nil"/>
              <w:left w:val="nil"/>
              <w:bottom w:val="single" w:sz="4" w:space="0" w:color="auto"/>
              <w:right w:val="single" w:sz="4" w:space="0" w:color="auto"/>
            </w:tcBorders>
            <w:shd w:val="clear" w:color="auto" w:fill="F2F2F2" w:themeFill="background1" w:themeFillShade="F2"/>
            <w:vAlign w:val="center"/>
          </w:tcPr>
          <w:p w14:paraId="43B6C706" w14:textId="77777777" w:rsidR="00F24E18" w:rsidRPr="00B20709" w:rsidRDefault="00F24E18" w:rsidP="000E18B5">
            <w:pPr>
              <w:spacing w:after="0" w:line="240" w:lineRule="auto"/>
              <w:jc w:val="right"/>
              <w:rPr>
                <w:rFonts w:ascii="Arial" w:hAnsi="Arial" w:cs="Arial"/>
                <w:b/>
                <w:bCs/>
                <w:color w:val="000000"/>
                <w:sz w:val="18"/>
                <w:szCs w:val="18"/>
              </w:rPr>
            </w:pPr>
            <w:r w:rsidRPr="00B20709">
              <w:rPr>
                <w:rFonts w:ascii="Arial" w:hAnsi="Arial" w:cs="Arial"/>
                <w:b/>
                <w:bCs/>
                <w:color w:val="000000"/>
                <w:sz w:val="18"/>
                <w:szCs w:val="18"/>
              </w:rPr>
              <w:t>100,00 %</w:t>
            </w:r>
          </w:p>
        </w:tc>
        <w:tc>
          <w:tcPr>
            <w:tcW w:w="1259" w:type="dxa"/>
            <w:tcBorders>
              <w:top w:val="nil"/>
              <w:left w:val="nil"/>
              <w:bottom w:val="single" w:sz="4" w:space="0" w:color="auto"/>
              <w:right w:val="single" w:sz="4" w:space="0" w:color="auto"/>
            </w:tcBorders>
            <w:shd w:val="clear" w:color="auto" w:fill="F2F2F2" w:themeFill="background1" w:themeFillShade="F2"/>
            <w:noWrap/>
            <w:vAlign w:val="center"/>
          </w:tcPr>
          <w:p w14:paraId="55FE197B" w14:textId="77777777" w:rsidR="00F24E18" w:rsidRPr="00B20709" w:rsidRDefault="00F24E18" w:rsidP="000E18B5">
            <w:pPr>
              <w:spacing w:after="0" w:line="240" w:lineRule="auto"/>
              <w:jc w:val="right"/>
              <w:rPr>
                <w:rFonts w:ascii="Arial" w:hAnsi="Arial" w:cs="Arial"/>
                <w:b/>
                <w:bCs/>
                <w:color w:val="000000"/>
                <w:sz w:val="18"/>
                <w:szCs w:val="18"/>
              </w:rPr>
            </w:pPr>
            <w:r w:rsidRPr="00B20709">
              <w:rPr>
                <w:rFonts w:ascii="Arial" w:hAnsi="Arial" w:cs="Arial"/>
                <w:b/>
                <w:bCs/>
                <w:color w:val="000000"/>
                <w:sz w:val="18"/>
                <w:szCs w:val="18"/>
              </w:rPr>
              <w:t>28,55 %</w:t>
            </w:r>
          </w:p>
        </w:tc>
        <w:tc>
          <w:tcPr>
            <w:tcW w:w="1259" w:type="dxa"/>
            <w:tcBorders>
              <w:top w:val="nil"/>
              <w:left w:val="nil"/>
              <w:bottom w:val="single" w:sz="4" w:space="0" w:color="auto"/>
              <w:right w:val="single" w:sz="4" w:space="0" w:color="auto"/>
            </w:tcBorders>
            <w:shd w:val="clear" w:color="auto" w:fill="F2F2F2" w:themeFill="background1" w:themeFillShade="F2"/>
            <w:noWrap/>
            <w:vAlign w:val="center"/>
          </w:tcPr>
          <w:p w14:paraId="10245788" w14:textId="77777777" w:rsidR="00F24E18" w:rsidRPr="00B20709" w:rsidRDefault="00F24E18" w:rsidP="000E18B5">
            <w:pPr>
              <w:spacing w:after="0" w:line="240" w:lineRule="auto"/>
              <w:jc w:val="right"/>
              <w:rPr>
                <w:rFonts w:ascii="Arial" w:hAnsi="Arial" w:cs="Arial"/>
                <w:b/>
                <w:bCs/>
                <w:color w:val="000000"/>
                <w:sz w:val="18"/>
                <w:szCs w:val="18"/>
              </w:rPr>
            </w:pPr>
            <w:r w:rsidRPr="00B20709">
              <w:rPr>
                <w:rFonts w:ascii="Arial" w:hAnsi="Arial" w:cs="Arial"/>
                <w:b/>
                <w:bCs/>
                <w:color w:val="000000"/>
                <w:sz w:val="18"/>
                <w:szCs w:val="18"/>
              </w:rPr>
              <w:t>34,30 %</w:t>
            </w:r>
          </w:p>
        </w:tc>
      </w:tr>
    </w:tbl>
    <w:p w14:paraId="4A66D1D5" w14:textId="77777777" w:rsidR="00F24E18" w:rsidRPr="00242E41" w:rsidRDefault="00F24E18" w:rsidP="00F24E18">
      <w:pPr>
        <w:rPr>
          <w:rFonts w:ascii="Arial" w:hAnsi="Arial" w:cs="Arial"/>
          <w:sz w:val="20"/>
          <w:szCs w:val="20"/>
          <w:highlight w:val="yellow"/>
        </w:rPr>
      </w:pPr>
    </w:p>
    <w:p w14:paraId="658CAEFE" w14:textId="77777777" w:rsidR="00F24E18" w:rsidRPr="00242E41" w:rsidRDefault="00F24E18" w:rsidP="00F24E18">
      <w:pPr>
        <w:spacing w:before="120" w:after="0" w:line="240" w:lineRule="auto"/>
        <w:rPr>
          <w:rFonts w:ascii="Arial" w:hAnsi="Arial" w:cs="Arial"/>
          <w:sz w:val="20"/>
          <w:szCs w:val="20"/>
          <w:highlight w:val="yellow"/>
        </w:rPr>
      </w:pPr>
    </w:p>
    <w:p w14:paraId="61224593" w14:textId="77777777" w:rsidR="00F24E18" w:rsidRPr="00B20709" w:rsidRDefault="00F24E18" w:rsidP="00F24E18">
      <w:pPr>
        <w:spacing w:before="120" w:after="0" w:line="240" w:lineRule="auto"/>
        <w:rPr>
          <w:rFonts w:ascii="Arial" w:hAnsi="Arial" w:cs="Arial"/>
          <w:sz w:val="20"/>
        </w:rPr>
      </w:pPr>
      <w:r w:rsidRPr="00B20709">
        <w:rPr>
          <w:rFonts w:ascii="Arial" w:hAnsi="Arial" w:cs="Arial"/>
          <w:sz w:val="20"/>
          <w:szCs w:val="20"/>
        </w:rPr>
        <w:t xml:space="preserve">Preglednica 98: </w:t>
      </w:r>
      <w:r w:rsidRPr="00B20709">
        <w:rPr>
          <w:rFonts w:ascii="Arial" w:hAnsi="Arial" w:cs="Arial"/>
          <w:sz w:val="20"/>
        </w:rPr>
        <w:t>Število in vrednosti ter deleži zelenih naročil glede na oddelek CPV</w:t>
      </w:r>
    </w:p>
    <w:p w14:paraId="7AD4098A" w14:textId="77777777" w:rsidR="00F24E18" w:rsidRPr="00242E41" w:rsidRDefault="00F24E18" w:rsidP="00F24E18">
      <w:pPr>
        <w:spacing w:after="0" w:line="240" w:lineRule="auto"/>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732"/>
        <w:gridCol w:w="2240"/>
        <w:gridCol w:w="712"/>
        <w:gridCol w:w="1470"/>
        <w:gridCol w:w="1152"/>
        <w:gridCol w:w="901"/>
        <w:gridCol w:w="829"/>
        <w:gridCol w:w="1138"/>
      </w:tblGrid>
      <w:tr w:rsidR="00F24E18" w:rsidRPr="00B20709" w14:paraId="3FAF81BA" w14:textId="77777777" w:rsidTr="000E18B5">
        <w:trPr>
          <w:trHeight w:val="912"/>
          <w:tblHeader/>
        </w:trPr>
        <w:tc>
          <w:tcPr>
            <w:tcW w:w="39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37EFDFA"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lastRenderedPageBreak/>
              <w:t>CPV koda</w:t>
            </w:r>
          </w:p>
        </w:tc>
        <w:tc>
          <w:tcPr>
            <w:tcW w:w="1221" w:type="pct"/>
            <w:tcBorders>
              <w:top w:val="single" w:sz="4" w:space="0" w:color="auto"/>
              <w:left w:val="nil"/>
              <w:bottom w:val="single" w:sz="4" w:space="0" w:color="auto"/>
              <w:right w:val="single" w:sz="4" w:space="0" w:color="auto"/>
            </w:tcBorders>
            <w:shd w:val="clear" w:color="000000" w:fill="F2F2F2"/>
            <w:vAlign w:val="center"/>
            <w:hideMark/>
          </w:tcPr>
          <w:p w14:paraId="29E229A0"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CPV opis</w:t>
            </w:r>
          </w:p>
        </w:tc>
        <w:tc>
          <w:tcPr>
            <w:tcW w:w="388" w:type="pct"/>
            <w:tcBorders>
              <w:top w:val="single" w:sz="4" w:space="0" w:color="auto"/>
              <w:left w:val="nil"/>
              <w:bottom w:val="single" w:sz="4" w:space="0" w:color="auto"/>
              <w:right w:val="single" w:sz="4" w:space="0" w:color="auto"/>
            </w:tcBorders>
            <w:shd w:val="clear" w:color="000000" w:fill="F2F2F2"/>
            <w:vAlign w:val="center"/>
            <w:hideMark/>
          </w:tcPr>
          <w:p w14:paraId="6463B5BD"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Št. zelenih naročil</w:t>
            </w:r>
          </w:p>
        </w:tc>
        <w:tc>
          <w:tcPr>
            <w:tcW w:w="801" w:type="pct"/>
            <w:tcBorders>
              <w:top w:val="single" w:sz="4" w:space="0" w:color="auto"/>
              <w:left w:val="nil"/>
              <w:bottom w:val="single" w:sz="4" w:space="0" w:color="auto"/>
              <w:right w:val="single" w:sz="4" w:space="0" w:color="auto"/>
            </w:tcBorders>
            <w:shd w:val="clear" w:color="000000" w:fill="F2F2F2"/>
            <w:vAlign w:val="center"/>
            <w:hideMark/>
          </w:tcPr>
          <w:p w14:paraId="604012F6"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Pogodbena vrednost</w:t>
            </w:r>
          </w:p>
        </w:tc>
        <w:tc>
          <w:tcPr>
            <w:tcW w:w="628" w:type="pct"/>
            <w:tcBorders>
              <w:top w:val="single" w:sz="4" w:space="0" w:color="auto"/>
              <w:left w:val="nil"/>
              <w:bottom w:val="single" w:sz="4" w:space="0" w:color="auto"/>
              <w:right w:val="single" w:sz="4" w:space="0" w:color="auto"/>
            </w:tcBorders>
            <w:shd w:val="clear" w:color="000000" w:fill="F2F2F2"/>
            <w:vAlign w:val="center"/>
            <w:hideMark/>
          </w:tcPr>
          <w:p w14:paraId="15245883"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št. zelenih naročil</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2E6457B5"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 xml:space="preserve">Delež v vrednosti zelenih naročil </w:t>
            </w:r>
          </w:p>
        </w:tc>
        <w:tc>
          <w:tcPr>
            <w:tcW w:w="452" w:type="pct"/>
            <w:tcBorders>
              <w:top w:val="single" w:sz="4" w:space="0" w:color="auto"/>
              <w:left w:val="nil"/>
              <w:bottom w:val="single" w:sz="4" w:space="0" w:color="auto"/>
              <w:right w:val="single" w:sz="4" w:space="0" w:color="auto"/>
            </w:tcBorders>
            <w:shd w:val="clear" w:color="000000" w:fill="F2F2F2"/>
            <w:vAlign w:val="center"/>
            <w:hideMark/>
          </w:tcPr>
          <w:p w14:paraId="5A85847B"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št. vseh naročil</w:t>
            </w:r>
          </w:p>
        </w:tc>
        <w:tc>
          <w:tcPr>
            <w:tcW w:w="620" w:type="pct"/>
            <w:tcBorders>
              <w:top w:val="single" w:sz="4" w:space="0" w:color="auto"/>
              <w:left w:val="nil"/>
              <w:bottom w:val="single" w:sz="4" w:space="0" w:color="auto"/>
              <w:right w:val="single" w:sz="4" w:space="0" w:color="auto"/>
            </w:tcBorders>
            <w:shd w:val="clear" w:color="000000" w:fill="F2F2F2"/>
            <w:vAlign w:val="center"/>
            <w:hideMark/>
          </w:tcPr>
          <w:p w14:paraId="4F3858B2"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vrednosti vseh naročil</w:t>
            </w:r>
          </w:p>
        </w:tc>
      </w:tr>
      <w:tr w:rsidR="00F24E18" w:rsidRPr="00B20709" w14:paraId="2260929C"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4B1086F9"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03</w:t>
            </w:r>
          </w:p>
        </w:tc>
        <w:tc>
          <w:tcPr>
            <w:tcW w:w="1221" w:type="pct"/>
            <w:tcBorders>
              <w:top w:val="nil"/>
              <w:left w:val="nil"/>
              <w:bottom w:val="single" w:sz="4" w:space="0" w:color="auto"/>
              <w:right w:val="single" w:sz="4" w:space="0" w:color="auto"/>
            </w:tcBorders>
            <w:shd w:val="clear" w:color="auto" w:fill="auto"/>
            <w:vAlign w:val="center"/>
            <w:hideMark/>
          </w:tcPr>
          <w:p w14:paraId="5416E675"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Kmetijski, ribiški, gozdarski in z njimi povezani proizvodi</w:t>
            </w:r>
          </w:p>
        </w:tc>
        <w:tc>
          <w:tcPr>
            <w:tcW w:w="388" w:type="pct"/>
            <w:tcBorders>
              <w:top w:val="nil"/>
              <w:left w:val="nil"/>
              <w:bottom w:val="single" w:sz="4" w:space="0" w:color="auto"/>
              <w:right w:val="single" w:sz="4" w:space="0" w:color="auto"/>
            </w:tcBorders>
            <w:shd w:val="clear" w:color="auto" w:fill="auto"/>
            <w:vAlign w:val="center"/>
            <w:hideMark/>
          </w:tcPr>
          <w:p w14:paraId="0D93F4D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18</w:t>
            </w:r>
          </w:p>
        </w:tc>
        <w:tc>
          <w:tcPr>
            <w:tcW w:w="801" w:type="pct"/>
            <w:tcBorders>
              <w:top w:val="nil"/>
              <w:left w:val="nil"/>
              <w:bottom w:val="single" w:sz="4" w:space="0" w:color="auto"/>
              <w:right w:val="single" w:sz="4" w:space="0" w:color="auto"/>
            </w:tcBorders>
            <w:shd w:val="clear" w:color="auto" w:fill="auto"/>
            <w:vAlign w:val="center"/>
            <w:hideMark/>
          </w:tcPr>
          <w:p w14:paraId="0024A9E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537.724</w:t>
            </w:r>
          </w:p>
        </w:tc>
        <w:tc>
          <w:tcPr>
            <w:tcW w:w="628" w:type="pct"/>
            <w:tcBorders>
              <w:top w:val="nil"/>
              <w:left w:val="nil"/>
              <w:bottom w:val="single" w:sz="4" w:space="0" w:color="auto"/>
              <w:right w:val="single" w:sz="4" w:space="0" w:color="auto"/>
            </w:tcBorders>
            <w:shd w:val="clear" w:color="auto" w:fill="auto"/>
            <w:noWrap/>
            <w:vAlign w:val="center"/>
            <w:hideMark/>
          </w:tcPr>
          <w:p w14:paraId="19960B6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0,37 %</w:t>
            </w:r>
          </w:p>
        </w:tc>
        <w:tc>
          <w:tcPr>
            <w:tcW w:w="491" w:type="pct"/>
            <w:tcBorders>
              <w:top w:val="nil"/>
              <w:left w:val="nil"/>
              <w:bottom w:val="single" w:sz="4" w:space="0" w:color="auto"/>
              <w:right w:val="single" w:sz="4" w:space="0" w:color="auto"/>
            </w:tcBorders>
            <w:shd w:val="clear" w:color="auto" w:fill="auto"/>
            <w:noWrap/>
            <w:vAlign w:val="center"/>
            <w:hideMark/>
          </w:tcPr>
          <w:p w14:paraId="2C40797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0,03 %</w:t>
            </w:r>
          </w:p>
        </w:tc>
        <w:tc>
          <w:tcPr>
            <w:tcW w:w="452" w:type="pct"/>
            <w:tcBorders>
              <w:top w:val="nil"/>
              <w:left w:val="nil"/>
              <w:bottom w:val="single" w:sz="4" w:space="0" w:color="auto"/>
              <w:right w:val="single" w:sz="4" w:space="0" w:color="auto"/>
            </w:tcBorders>
            <w:shd w:val="clear" w:color="auto" w:fill="auto"/>
            <w:noWrap/>
            <w:vAlign w:val="center"/>
            <w:hideMark/>
          </w:tcPr>
          <w:p w14:paraId="4081770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0,11 %</w:t>
            </w:r>
          </w:p>
        </w:tc>
        <w:tc>
          <w:tcPr>
            <w:tcW w:w="620" w:type="pct"/>
            <w:tcBorders>
              <w:top w:val="nil"/>
              <w:left w:val="nil"/>
              <w:bottom w:val="single" w:sz="4" w:space="0" w:color="auto"/>
              <w:right w:val="single" w:sz="4" w:space="0" w:color="auto"/>
            </w:tcBorders>
            <w:shd w:val="clear" w:color="auto" w:fill="auto"/>
            <w:noWrap/>
            <w:vAlign w:val="center"/>
            <w:hideMark/>
          </w:tcPr>
          <w:p w14:paraId="41C0F41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r>
      <w:tr w:rsidR="00F24E18" w:rsidRPr="00B20709" w14:paraId="399B3DE9"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DE5415D"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09</w:t>
            </w:r>
          </w:p>
        </w:tc>
        <w:tc>
          <w:tcPr>
            <w:tcW w:w="1221" w:type="pct"/>
            <w:tcBorders>
              <w:top w:val="nil"/>
              <w:left w:val="nil"/>
              <w:bottom w:val="single" w:sz="4" w:space="0" w:color="auto"/>
              <w:right w:val="single" w:sz="4" w:space="0" w:color="auto"/>
            </w:tcBorders>
            <w:shd w:val="clear" w:color="auto" w:fill="auto"/>
            <w:vAlign w:val="center"/>
            <w:hideMark/>
          </w:tcPr>
          <w:p w14:paraId="0F096CB2"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Naftni derivati, goriva, električna energija in drugi viri energije</w:t>
            </w:r>
          </w:p>
        </w:tc>
        <w:tc>
          <w:tcPr>
            <w:tcW w:w="388" w:type="pct"/>
            <w:tcBorders>
              <w:top w:val="nil"/>
              <w:left w:val="nil"/>
              <w:bottom w:val="single" w:sz="4" w:space="0" w:color="auto"/>
              <w:right w:val="single" w:sz="4" w:space="0" w:color="auto"/>
            </w:tcBorders>
            <w:shd w:val="clear" w:color="auto" w:fill="auto"/>
            <w:vAlign w:val="center"/>
            <w:hideMark/>
          </w:tcPr>
          <w:p w14:paraId="779BAF5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108</w:t>
            </w:r>
          </w:p>
        </w:tc>
        <w:tc>
          <w:tcPr>
            <w:tcW w:w="801" w:type="pct"/>
            <w:tcBorders>
              <w:top w:val="nil"/>
              <w:left w:val="nil"/>
              <w:bottom w:val="single" w:sz="4" w:space="0" w:color="auto"/>
              <w:right w:val="single" w:sz="4" w:space="0" w:color="auto"/>
            </w:tcBorders>
            <w:shd w:val="clear" w:color="auto" w:fill="auto"/>
            <w:vAlign w:val="center"/>
            <w:hideMark/>
          </w:tcPr>
          <w:p w14:paraId="2AA1C1A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332.429.581</w:t>
            </w:r>
          </w:p>
        </w:tc>
        <w:tc>
          <w:tcPr>
            <w:tcW w:w="628" w:type="pct"/>
            <w:tcBorders>
              <w:top w:val="nil"/>
              <w:left w:val="nil"/>
              <w:bottom w:val="single" w:sz="4" w:space="0" w:color="auto"/>
              <w:right w:val="single" w:sz="4" w:space="0" w:color="auto"/>
            </w:tcBorders>
            <w:shd w:val="clear" w:color="auto" w:fill="auto"/>
            <w:noWrap/>
            <w:vAlign w:val="center"/>
            <w:hideMark/>
          </w:tcPr>
          <w:p w14:paraId="1A8E9D4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2,25 %</w:t>
            </w:r>
          </w:p>
        </w:tc>
        <w:tc>
          <w:tcPr>
            <w:tcW w:w="491" w:type="pct"/>
            <w:tcBorders>
              <w:top w:val="nil"/>
              <w:left w:val="nil"/>
              <w:bottom w:val="single" w:sz="4" w:space="0" w:color="auto"/>
              <w:right w:val="single" w:sz="4" w:space="0" w:color="auto"/>
            </w:tcBorders>
            <w:shd w:val="clear" w:color="auto" w:fill="auto"/>
            <w:noWrap/>
            <w:vAlign w:val="center"/>
            <w:hideMark/>
          </w:tcPr>
          <w:p w14:paraId="6C355BF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15,55 %</w:t>
            </w:r>
          </w:p>
        </w:tc>
        <w:tc>
          <w:tcPr>
            <w:tcW w:w="452" w:type="pct"/>
            <w:tcBorders>
              <w:top w:val="nil"/>
              <w:left w:val="nil"/>
              <w:bottom w:val="single" w:sz="4" w:space="0" w:color="auto"/>
              <w:right w:val="single" w:sz="4" w:space="0" w:color="auto"/>
            </w:tcBorders>
            <w:shd w:val="clear" w:color="auto" w:fill="auto"/>
            <w:noWrap/>
            <w:vAlign w:val="center"/>
            <w:hideMark/>
          </w:tcPr>
          <w:p w14:paraId="5615765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0,64 %</w:t>
            </w:r>
          </w:p>
        </w:tc>
        <w:tc>
          <w:tcPr>
            <w:tcW w:w="620" w:type="pct"/>
            <w:tcBorders>
              <w:top w:val="nil"/>
              <w:left w:val="nil"/>
              <w:bottom w:val="single" w:sz="4" w:space="0" w:color="auto"/>
              <w:right w:val="single" w:sz="4" w:space="0" w:color="auto"/>
            </w:tcBorders>
            <w:shd w:val="clear" w:color="auto" w:fill="auto"/>
            <w:noWrap/>
            <w:vAlign w:val="center"/>
            <w:hideMark/>
          </w:tcPr>
          <w:p w14:paraId="10697AD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5,33 %</w:t>
            </w:r>
          </w:p>
        </w:tc>
      </w:tr>
      <w:tr w:rsidR="00F24E18" w:rsidRPr="00B20709" w14:paraId="5DC797B7"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13A2F461"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15</w:t>
            </w:r>
          </w:p>
        </w:tc>
        <w:tc>
          <w:tcPr>
            <w:tcW w:w="1221" w:type="pct"/>
            <w:tcBorders>
              <w:top w:val="nil"/>
              <w:left w:val="nil"/>
              <w:bottom w:val="single" w:sz="4" w:space="0" w:color="auto"/>
              <w:right w:val="single" w:sz="4" w:space="0" w:color="auto"/>
            </w:tcBorders>
            <w:shd w:val="clear" w:color="auto" w:fill="auto"/>
            <w:vAlign w:val="center"/>
            <w:hideMark/>
          </w:tcPr>
          <w:p w14:paraId="6D85F3D1"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Živila, pijače, tobačni izdelki in z njimi povezani izdelki</w:t>
            </w:r>
          </w:p>
        </w:tc>
        <w:tc>
          <w:tcPr>
            <w:tcW w:w="388" w:type="pct"/>
            <w:tcBorders>
              <w:top w:val="nil"/>
              <w:left w:val="nil"/>
              <w:bottom w:val="single" w:sz="4" w:space="0" w:color="auto"/>
              <w:right w:val="single" w:sz="4" w:space="0" w:color="auto"/>
            </w:tcBorders>
            <w:shd w:val="clear" w:color="auto" w:fill="auto"/>
            <w:vAlign w:val="center"/>
            <w:hideMark/>
          </w:tcPr>
          <w:p w14:paraId="46E79D2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2.706</w:t>
            </w:r>
          </w:p>
        </w:tc>
        <w:tc>
          <w:tcPr>
            <w:tcW w:w="801" w:type="pct"/>
            <w:tcBorders>
              <w:top w:val="nil"/>
              <w:left w:val="nil"/>
              <w:bottom w:val="single" w:sz="4" w:space="0" w:color="auto"/>
              <w:right w:val="single" w:sz="4" w:space="0" w:color="auto"/>
            </w:tcBorders>
            <w:shd w:val="clear" w:color="auto" w:fill="auto"/>
            <w:vAlign w:val="center"/>
            <w:hideMark/>
          </w:tcPr>
          <w:p w14:paraId="3E8591C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126.043.580</w:t>
            </w:r>
          </w:p>
        </w:tc>
        <w:tc>
          <w:tcPr>
            <w:tcW w:w="628" w:type="pct"/>
            <w:tcBorders>
              <w:top w:val="nil"/>
              <w:left w:val="nil"/>
              <w:bottom w:val="single" w:sz="4" w:space="0" w:color="auto"/>
              <w:right w:val="single" w:sz="4" w:space="0" w:color="auto"/>
            </w:tcBorders>
            <w:shd w:val="clear" w:color="auto" w:fill="auto"/>
            <w:noWrap/>
            <w:vAlign w:val="center"/>
            <w:hideMark/>
          </w:tcPr>
          <w:p w14:paraId="25355AC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56,33 %</w:t>
            </w:r>
          </w:p>
        </w:tc>
        <w:tc>
          <w:tcPr>
            <w:tcW w:w="491" w:type="pct"/>
            <w:tcBorders>
              <w:top w:val="nil"/>
              <w:left w:val="nil"/>
              <w:bottom w:val="single" w:sz="4" w:space="0" w:color="auto"/>
              <w:right w:val="single" w:sz="4" w:space="0" w:color="auto"/>
            </w:tcBorders>
            <w:shd w:val="clear" w:color="auto" w:fill="auto"/>
            <w:noWrap/>
            <w:vAlign w:val="center"/>
            <w:hideMark/>
          </w:tcPr>
          <w:p w14:paraId="0AE7561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5,90 %</w:t>
            </w:r>
          </w:p>
        </w:tc>
        <w:tc>
          <w:tcPr>
            <w:tcW w:w="452" w:type="pct"/>
            <w:tcBorders>
              <w:top w:val="nil"/>
              <w:left w:val="nil"/>
              <w:bottom w:val="single" w:sz="4" w:space="0" w:color="auto"/>
              <w:right w:val="single" w:sz="4" w:space="0" w:color="auto"/>
            </w:tcBorders>
            <w:shd w:val="clear" w:color="auto" w:fill="auto"/>
            <w:noWrap/>
            <w:vAlign w:val="center"/>
            <w:hideMark/>
          </w:tcPr>
          <w:p w14:paraId="67DE57C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16,08 %</w:t>
            </w:r>
          </w:p>
        </w:tc>
        <w:tc>
          <w:tcPr>
            <w:tcW w:w="620" w:type="pct"/>
            <w:tcBorders>
              <w:top w:val="nil"/>
              <w:left w:val="nil"/>
              <w:bottom w:val="single" w:sz="4" w:space="0" w:color="auto"/>
              <w:right w:val="single" w:sz="4" w:space="0" w:color="auto"/>
            </w:tcBorders>
            <w:shd w:val="clear" w:color="auto" w:fill="auto"/>
            <w:noWrap/>
            <w:vAlign w:val="center"/>
            <w:hideMark/>
          </w:tcPr>
          <w:p w14:paraId="57D9E8D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2,02 %</w:t>
            </w:r>
          </w:p>
        </w:tc>
      </w:tr>
      <w:tr w:rsidR="00F24E18" w:rsidRPr="00B20709" w14:paraId="7E8C5C0D"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4D14261D"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18</w:t>
            </w:r>
          </w:p>
        </w:tc>
        <w:tc>
          <w:tcPr>
            <w:tcW w:w="1221" w:type="pct"/>
            <w:tcBorders>
              <w:top w:val="nil"/>
              <w:left w:val="nil"/>
              <w:bottom w:val="single" w:sz="4" w:space="0" w:color="auto"/>
              <w:right w:val="single" w:sz="4" w:space="0" w:color="auto"/>
            </w:tcBorders>
            <w:shd w:val="clear" w:color="auto" w:fill="auto"/>
            <w:vAlign w:val="center"/>
            <w:hideMark/>
          </w:tcPr>
          <w:p w14:paraId="19071030"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Oblačila, obutev, prtljaga in pribor</w:t>
            </w:r>
          </w:p>
        </w:tc>
        <w:tc>
          <w:tcPr>
            <w:tcW w:w="388" w:type="pct"/>
            <w:tcBorders>
              <w:top w:val="nil"/>
              <w:left w:val="nil"/>
              <w:bottom w:val="single" w:sz="4" w:space="0" w:color="auto"/>
              <w:right w:val="single" w:sz="4" w:space="0" w:color="auto"/>
            </w:tcBorders>
            <w:shd w:val="clear" w:color="auto" w:fill="auto"/>
            <w:vAlign w:val="center"/>
            <w:hideMark/>
          </w:tcPr>
          <w:p w14:paraId="3F04B94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29</w:t>
            </w:r>
          </w:p>
        </w:tc>
        <w:tc>
          <w:tcPr>
            <w:tcW w:w="801" w:type="pct"/>
            <w:tcBorders>
              <w:top w:val="nil"/>
              <w:left w:val="nil"/>
              <w:bottom w:val="single" w:sz="4" w:space="0" w:color="auto"/>
              <w:right w:val="single" w:sz="4" w:space="0" w:color="auto"/>
            </w:tcBorders>
            <w:shd w:val="clear" w:color="auto" w:fill="auto"/>
            <w:vAlign w:val="center"/>
            <w:hideMark/>
          </w:tcPr>
          <w:p w14:paraId="3343FF2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3.611.929</w:t>
            </w:r>
          </w:p>
        </w:tc>
        <w:tc>
          <w:tcPr>
            <w:tcW w:w="628" w:type="pct"/>
            <w:tcBorders>
              <w:top w:val="nil"/>
              <w:left w:val="nil"/>
              <w:bottom w:val="single" w:sz="4" w:space="0" w:color="auto"/>
              <w:right w:val="single" w:sz="4" w:space="0" w:color="auto"/>
            </w:tcBorders>
            <w:shd w:val="clear" w:color="auto" w:fill="auto"/>
            <w:noWrap/>
            <w:vAlign w:val="center"/>
            <w:hideMark/>
          </w:tcPr>
          <w:p w14:paraId="52A1584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0,60 %</w:t>
            </w:r>
          </w:p>
        </w:tc>
        <w:tc>
          <w:tcPr>
            <w:tcW w:w="491" w:type="pct"/>
            <w:tcBorders>
              <w:top w:val="nil"/>
              <w:left w:val="nil"/>
              <w:bottom w:val="single" w:sz="4" w:space="0" w:color="auto"/>
              <w:right w:val="single" w:sz="4" w:space="0" w:color="auto"/>
            </w:tcBorders>
            <w:shd w:val="clear" w:color="auto" w:fill="auto"/>
            <w:noWrap/>
            <w:vAlign w:val="center"/>
            <w:hideMark/>
          </w:tcPr>
          <w:p w14:paraId="12C3BFE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0,17 %</w:t>
            </w:r>
          </w:p>
        </w:tc>
        <w:tc>
          <w:tcPr>
            <w:tcW w:w="452" w:type="pct"/>
            <w:tcBorders>
              <w:top w:val="nil"/>
              <w:left w:val="nil"/>
              <w:bottom w:val="single" w:sz="4" w:space="0" w:color="auto"/>
              <w:right w:val="single" w:sz="4" w:space="0" w:color="auto"/>
            </w:tcBorders>
            <w:shd w:val="clear" w:color="auto" w:fill="auto"/>
            <w:noWrap/>
            <w:vAlign w:val="center"/>
            <w:hideMark/>
          </w:tcPr>
          <w:p w14:paraId="7AA6F32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0,17 %</w:t>
            </w:r>
          </w:p>
        </w:tc>
        <w:tc>
          <w:tcPr>
            <w:tcW w:w="620" w:type="pct"/>
            <w:tcBorders>
              <w:top w:val="nil"/>
              <w:left w:val="nil"/>
              <w:bottom w:val="single" w:sz="4" w:space="0" w:color="auto"/>
              <w:right w:val="single" w:sz="4" w:space="0" w:color="auto"/>
            </w:tcBorders>
            <w:shd w:val="clear" w:color="auto" w:fill="auto"/>
            <w:noWrap/>
            <w:vAlign w:val="center"/>
            <w:hideMark/>
          </w:tcPr>
          <w:p w14:paraId="71CA723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0,06 %</w:t>
            </w:r>
          </w:p>
        </w:tc>
      </w:tr>
      <w:tr w:rsidR="00F24E18" w:rsidRPr="00B20709" w14:paraId="640C2B12"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9B46837"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19</w:t>
            </w:r>
          </w:p>
        </w:tc>
        <w:tc>
          <w:tcPr>
            <w:tcW w:w="1221" w:type="pct"/>
            <w:tcBorders>
              <w:top w:val="nil"/>
              <w:left w:val="nil"/>
              <w:bottom w:val="single" w:sz="4" w:space="0" w:color="auto"/>
              <w:right w:val="single" w:sz="4" w:space="0" w:color="auto"/>
            </w:tcBorders>
            <w:shd w:val="clear" w:color="auto" w:fill="auto"/>
            <w:vAlign w:val="center"/>
            <w:hideMark/>
          </w:tcPr>
          <w:p w14:paraId="490EEBCF"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Usnjeni in tekstilni materiali, plastični in gumijasti materiali</w:t>
            </w:r>
          </w:p>
        </w:tc>
        <w:tc>
          <w:tcPr>
            <w:tcW w:w="388" w:type="pct"/>
            <w:tcBorders>
              <w:top w:val="nil"/>
              <w:left w:val="nil"/>
              <w:bottom w:val="single" w:sz="4" w:space="0" w:color="auto"/>
              <w:right w:val="single" w:sz="4" w:space="0" w:color="auto"/>
            </w:tcBorders>
            <w:shd w:val="clear" w:color="auto" w:fill="auto"/>
            <w:vAlign w:val="center"/>
            <w:hideMark/>
          </w:tcPr>
          <w:p w14:paraId="5C79384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w:t>
            </w:r>
          </w:p>
        </w:tc>
        <w:tc>
          <w:tcPr>
            <w:tcW w:w="801" w:type="pct"/>
            <w:tcBorders>
              <w:top w:val="nil"/>
              <w:left w:val="nil"/>
              <w:bottom w:val="single" w:sz="4" w:space="0" w:color="auto"/>
              <w:right w:val="single" w:sz="4" w:space="0" w:color="auto"/>
            </w:tcBorders>
            <w:shd w:val="clear" w:color="auto" w:fill="auto"/>
            <w:vAlign w:val="center"/>
            <w:hideMark/>
          </w:tcPr>
          <w:p w14:paraId="3170814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126.210</w:t>
            </w:r>
          </w:p>
        </w:tc>
        <w:tc>
          <w:tcPr>
            <w:tcW w:w="628" w:type="pct"/>
            <w:tcBorders>
              <w:top w:val="nil"/>
              <w:left w:val="nil"/>
              <w:bottom w:val="single" w:sz="4" w:space="0" w:color="auto"/>
              <w:right w:val="single" w:sz="4" w:space="0" w:color="auto"/>
            </w:tcBorders>
            <w:shd w:val="clear" w:color="auto" w:fill="auto"/>
            <w:noWrap/>
            <w:vAlign w:val="center"/>
            <w:hideMark/>
          </w:tcPr>
          <w:p w14:paraId="441BCB2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c>
          <w:tcPr>
            <w:tcW w:w="491" w:type="pct"/>
            <w:tcBorders>
              <w:top w:val="nil"/>
              <w:left w:val="nil"/>
              <w:bottom w:val="single" w:sz="4" w:space="0" w:color="auto"/>
              <w:right w:val="single" w:sz="4" w:space="0" w:color="auto"/>
            </w:tcBorders>
            <w:shd w:val="clear" w:color="auto" w:fill="auto"/>
            <w:noWrap/>
            <w:vAlign w:val="center"/>
            <w:hideMark/>
          </w:tcPr>
          <w:p w14:paraId="794D222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452" w:type="pct"/>
            <w:tcBorders>
              <w:top w:val="nil"/>
              <w:left w:val="nil"/>
              <w:bottom w:val="single" w:sz="4" w:space="0" w:color="auto"/>
              <w:right w:val="single" w:sz="4" w:space="0" w:color="auto"/>
            </w:tcBorders>
            <w:shd w:val="clear" w:color="auto" w:fill="auto"/>
            <w:noWrap/>
            <w:vAlign w:val="center"/>
            <w:hideMark/>
          </w:tcPr>
          <w:p w14:paraId="1F25337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620" w:type="pct"/>
            <w:tcBorders>
              <w:top w:val="nil"/>
              <w:left w:val="nil"/>
              <w:bottom w:val="single" w:sz="4" w:space="0" w:color="auto"/>
              <w:right w:val="single" w:sz="4" w:space="0" w:color="auto"/>
            </w:tcBorders>
            <w:shd w:val="clear" w:color="auto" w:fill="auto"/>
            <w:noWrap/>
            <w:vAlign w:val="center"/>
            <w:hideMark/>
          </w:tcPr>
          <w:p w14:paraId="71339C9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0,00 %</w:t>
            </w:r>
          </w:p>
        </w:tc>
      </w:tr>
      <w:tr w:rsidR="00F24E18" w:rsidRPr="00B20709" w14:paraId="458F2105"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41DD2B14"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24</w:t>
            </w:r>
          </w:p>
        </w:tc>
        <w:tc>
          <w:tcPr>
            <w:tcW w:w="1221" w:type="pct"/>
            <w:tcBorders>
              <w:top w:val="nil"/>
              <w:left w:val="nil"/>
              <w:bottom w:val="single" w:sz="4" w:space="0" w:color="auto"/>
              <w:right w:val="single" w:sz="4" w:space="0" w:color="auto"/>
            </w:tcBorders>
            <w:shd w:val="clear" w:color="auto" w:fill="auto"/>
            <w:vAlign w:val="center"/>
            <w:hideMark/>
          </w:tcPr>
          <w:p w14:paraId="5CCA7A6D"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Kemični proizvodi</w:t>
            </w:r>
          </w:p>
        </w:tc>
        <w:tc>
          <w:tcPr>
            <w:tcW w:w="388" w:type="pct"/>
            <w:tcBorders>
              <w:top w:val="nil"/>
              <w:left w:val="nil"/>
              <w:bottom w:val="single" w:sz="4" w:space="0" w:color="auto"/>
              <w:right w:val="single" w:sz="4" w:space="0" w:color="auto"/>
            </w:tcBorders>
            <w:shd w:val="clear" w:color="auto" w:fill="auto"/>
            <w:vAlign w:val="center"/>
            <w:hideMark/>
          </w:tcPr>
          <w:p w14:paraId="5EC7917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w:t>
            </w:r>
          </w:p>
        </w:tc>
        <w:tc>
          <w:tcPr>
            <w:tcW w:w="801" w:type="pct"/>
            <w:tcBorders>
              <w:top w:val="nil"/>
              <w:left w:val="nil"/>
              <w:bottom w:val="single" w:sz="4" w:space="0" w:color="auto"/>
              <w:right w:val="single" w:sz="4" w:space="0" w:color="auto"/>
            </w:tcBorders>
            <w:shd w:val="clear" w:color="auto" w:fill="auto"/>
            <w:vAlign w:val="center"/>
            <w:hideMark/>
          </w:tcPr>
          <w:p w14:paraId="29249BA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332.850</w:t>
            </w:r>
          </w:p>
        </w:tc>
        <w:tc>
          <w:tcPr>
            <w:tcW w:w="628" w:type="pct"/>
            <w:tcBorders>
              <w:top w:val="nil"/>
              <w:left w:val="nil"/>
              <w:bottom w:val="single" w:sz="4" w:space="0" w:color="auto"/>
              <w:right w:val="single" w:sz="4" w:space="0" w:color="auto"/>
            </w:tcBorders>
            <w:shd w:val="clear" w:color="auto" w:fill="auto"/>
            <w:noWrap/>
            <w:vAlign w:val="center"/>
            <w:hideMark/>
          </w:tcPr>
          <w:p w14:paraId="7C75626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491" w:type="pct"/>
            <w:tcBorders>
              <w:top w:val="nil"/>
              <w:left w:val="nil"/>
              <w:bottom w:val="single" w:sz="4" w:space="0" w:color="auto"/>
              <w:right w:val="single" w:sz="4" w:space="0" w:color="auto"/>
            </w:tcBorders>
            <w:shd w:val="clear" w:color="auto" w:fill="auto"/>
            <w:noWrap/>
            <w:vAlign w:val="center"/>
            <w:hideMark/>
          </w:tcPr>
          <w:p w14:paraId="3E4D4E2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452" w:type="pct"/>
            <w:tcBorders>
              <w:top w:val="nil"/>
              <w:left w:val="nil"/>
              <w:bottom w:val="single" w:sz="4" w:space="0" w:color="auto"/>
              <w:right w:val="single" w:sz="4" w:space="0" w:color="auto"/>
            </w:tcBorders>
            <w:shd w:val="clear" w:color="auto" w:fill="auto"/>
            <w:noWrap/>
            <w:vAlign w:val="center"/>
            <w:hideMark/>
          </w:tcPr>
          <w:p w14:paraId="36BD144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620" w:type="pct"/>
            <w:tcBorders>
              <w:top w:val="nil"/>
              <w:left w:val="nil"/>
              <w:bottom w:val="single" w:sz="4" w:space="0" w:color="auto"/>
              <w:right w:val="single" w:sz="4" w:space="0" w:color="auto"/>
            </w:tcBorders>
            <w:shd w:val="clear" w:color="auto" w:fill="auto"/>
            <w:noWrap/>
            <w:vAlign w:val="center"/>
            <w:hideMark/>
          </w:tcPr>
          <w:p w14:paraId="0EBEB76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r>
      <w:tr w:rsidR="00F24E18" w:rsidRPr="00B20709" w14:paraId="24A02D76"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1EF2898C"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30</w:t>
            </w:r>
          </w:p>
        </w:tc>
        <w:tc>
          <w:tcPr>
            <w:tcW w:w="1221" w:type="pct"/>
            <w:tcBorders>
              <w:top w:val="nil"/>
              <w:left w:val="nil"/>
              <w:bottom w:val="single" w:sz="4" w:space="0" w:color="auto"/>
              <w:right w:val="single" w:sz="4" w:space="0" w:color="auto"/>
            </w:tcBorders>
            <w:shd w:val="clear" w:color="auto" w:fill="auto"/>
            <w:vAlign w:val="center"/>
            <w:hideMark/>
          </w:tcPr>
          <w:p w14:paraId="59937355"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Pisarniški in računski stroji, oprema in potrebščine, razen pohištva in programskih paketov</w:t>
            </w:r>
          </w:p>
        </w:tc>
        <w:tc>
          <w:tcPr>
            <w:tcW w:w="388" w:type="pct"/>
            <w:tcBorders>
              <w:top w:val="nil"/>
              <w:left w:val="nil"/>
              <w:bottom w:val="single" w:sz="4" w:space="0" w:color="auto"/>
              <w:right w:val="single" w:sz="4" w:space="0" w:color="auto"/>
            </w:tcBorders>
            <w:shd w:val="clear" w:color="auto" w:fill="auto"/>
            <w:vAlign w:val="center"/>
            <w:hideMark/>
          </w:tcPr>
          <w:p w14:paraId="08BC7BE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264</w:t>
            </w:r>
          </w:p>
        </w:tc>
        <w:tc>
          <w:tcPr>
            <w:tcW w:w="801" w:type="pct"/>
            <w:tcBorders>
              <w:top w:val="nil"/>
              <w:left w:val="nil"/>
              <w:bottom w:val="single" w:sz="4" w:space="0" w:color="auto"/>
              <w:right w:val="single" w:sz="4" w:space="0" w:color="auto"/>
            </w:tcBorders>
            <w:shd w:val="clear" w:color="auto" w:fill="auto"/>
            <w:vAlign w:val="center"/>
            <w:hideMark/>
          </w:tcPr>
          <w:p w14:paraId="41EA996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77.311.986</w:t>
            </w:r>
          </w:p>
        </w:tc>
        <w:tc>
          <w:tcPr>
            <w:tcW w:w="628" w:type="pct"/>
            <w:tcBorders>
              <w:top w:val="nil"/>
              <w:left w:val="nil"/>
              <w:bottom w:val="single" w:sz="4" w:space="0" w:color="auto"/>
              <w:right w:val="single" w:sz="4" w:space="0" w:color="auto"/>
            </w:tcBorders>
            <w:shd w:val="clear" w:color="auto" w:fill="auto"/>
            <w:noWrap/>
            <w:vAlign w:val="center"/>
            <w:hideMark/>
          </w:tcPr>
          <w:p w14:paraId="600BAC4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5,50 %</w:t>
            </w:r>
          </w:p>
        </w:tc>
        <w:tc>
          <w:tcPr>
            <w:tcW w:w="491" w:type="pct"/>
            <w:tcBorders>
              <w:top w:val="nil"/>
              <w:left w:val="nil"/>
              <w:bottom w:val="single" w:sz="4" w:space="0" w:color="auto"/>
              <w:right w:val="single" w:sz="4" w:space="0" w:color="auto"/>
            </w:tcBorders>
            <w:shd w:val="clear" w:color="auto" w:fill="auto"/>
            <w:noWrap/>
            <w:vAlign w:val="center"/>
            <w:hideMark/>
          </w:tcPr>
          <w:p w14:paraId="3ADD11E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3,62 %</w:t>
            </w:r>
          </w:p>
        </w:tc>
        <w:tc>
          <w:tcPr>
            <w:tcW w:w="452" w:type="pct"/>
            <w:tcBorders>
              <w:top w:val="nil"/>
              <w:left w:val="nil"/>
              <w:bottom w:val="single" w:sz="4" w:space="0" w:color="auto"/>
              <w:right w:val="single" w:sz="4" w:space="0" w:color="auto"/>
            </w:tcBorders>
            <w:shd w:val="clear" w:color="auto" w:fill="auto"/>
            <w:noWrap/>
            <w:vAlign w:val="center"/>
            <w:hideMark/>
          </w:tcPr>
          <w:p w14:paraId="4E04E39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1,57 %</w:t>
            </w:r>
          </w:p>
        </w:tc>
        <w:tc>
          <w:tcPr>
            <w:tcW w:w="620" w:type="pct"/>
            <w:tcBorders>
              <w:top w:val="nil"/>
              <w:left w:val="nil"/>
              <w:bottom w:val="single" w:sz="4" w:space="0" w:color="auto"/>
              <w:right w:val="single" w:sz="4" w:space="0" w:color="auto"/>
            </w:tcBorders>
            <w:shd w:val="clear" w:color="auto" w:fill="auto"/>
            <w:noWrap/>
            <w:vAlign w:val="center"/>
            <w:hideMark/>
          </w:tcPr>
          <w:p w14:paraId="2C9D2BA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1,24 %</w:t>
            </w:r>
          </w:p>
        </w:tc>
      </w:tr>
      <w:tr w:rsidR="00F24E18" w:rsidRPr="00B20709" w14:paraId="09202A95"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2FFCDD83"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31</w:t>
            </w:r>
          </w:p>
        </w:tc>
        <w:tc>
          <w:tcPr>
            <w:tcW w:w="1221" w:type="pct"/>
            <w:tcBorders>
              <w:top w:val="nil"/>
              <w:left w:val="nil"/>
              <w:bottom w:val="single" w:sz="4" w:space="0" w:color="auto"/>
              <w:right w:val="single" w:sz="4" w:space="0" w:color="auto"/>
            </w:tcBorders>
            <w:shd w:val="clear" w:color="auto" w:fill="auto"/>
            <w:vAlign w:val="center"/>
            <w:hideMark/>
          </w:tcPr>
          <w:p w14:paraId="12CAB5AC"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Električni stroji, aparati, oprema in potrošno blago; razsvetljava</w:t>
            </w:r>
          </w:p>
        </w:tc>
        <w:tc>
          <w:tcPr>
            <w:tcW w:w="388" w:type="pct"/>
            <w:tcBorders>
              <w:top w:val="nil"/>
              <w:left w:val="nil"/>
              <w:bottom w:val="single" w:sz="4" w:space="0" w:color="auto"/>
              <w:right w:val="single" w:sz="4" w:space="0" w:color="auto"/>
            </w:tcBorders>
            <w:shd w:val="clear" w:color="auto" w:fill="auto"/>
            <w:vAlign w:val="center"/>
            <w:hideMark/>
          </w:tcPr>
          <w:p w14:paraId="05A83B1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23</w:t>
            </w:r>
          </w:p>
        </w:tc>
        <w:tc>
          <w:tcPr>
            <w:tcW w:w="801" w:type="pct"/>
            <w:tcBorders>
              <w:top w:val="nil"/>
              <w:left w:val="nil"/>
              <w:bottom w:val="single" w:sz="4" w:space="0" w:color="auto"/>
              <w:right w:val="single" w:sz="4" w:space="0" w:color="auto"/>
            </w:tcBorders>
            <w:shd w:val="clear" w:color="auto" w:fill="auto"/>
            <w:vAlign w:val="center"/>
            <w:hideMark/>
          </w:tcPr>
          <w:p w14:paraId="21F080C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17.598.777</w:t>
            </w:r>
          </w:p>
        </w:tc>
        <w:tc>
          <w:tcPr>
            <w:tcW w:w="628" w:type="pct"/>
            <w:tcBorders>
              <w:top w:val="nil"/>
              <w:left w:val="nil"/>
              <w:bottom w:val="single" w:sz="4" w:space="0" w:color="auto"/>
              <w:right w:val="single" w:sz="4" w:space="0" w:color="auto"/>
            </w:tcBorders>
            <w:shd w:val="clear" w:color="auto" w:fill="auto"/>
            <w:noWrap/>
            <w:vAlign w:val="center"/>
            <w:hideMark/>
          </w:tcPr>
          <w:p w14:paraId="228949C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0,48 %</w:t>
            </w:r>
          </w:p>
        </w:tc>
        <w:tc>
          <w:tcPr>
            <w:tcW w:w="491" w:type="pct"/>
            <w:tcBorders>
              <w:top w:val="nil"/>
              <w:left w:val="nil"/>
              <w:bottom w:val="single" w:sz="4" w:space="0" w:color="auto"/>
              <w:right w:val="single" w:sz="4" w:space="0" w:color="auto"/>
            </w:tcBorders>
            <w:shd w:val="clear" w:color="auto" w:fill="auto"/>
            <w:noWrap/>
            <w:vAlign w:val="center"/>
            <w:hideMark/>
          </w:tcPr>
          <w:p w14:paraId="07E132D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0,82 %</w:t>
            </w:r>
          </w:p>
        </w:tc>
        <w:tc>
          <w:tcPr>
            <w:tcW w:w="452" w:type="pct"/>
            <w:tcBorders>
              <w:top w:val="nil"/>
              <w:left w:val="nil"/>
              <w:bottom w:val="single" w:sz="4" w:space="0" w:color="auto"/>
              <w:right w:val="single" w:sz="4" w:space="0" w:color="auto"/>
            </w:tcBorders>
            <w:shd w:val="clear" w:color="auto" w:fill="auto"/>
            <w:noWrap/>
            <w:vAlign w:val="center"/>
            <w:hideMark/>
          </w:tcPr>
          <w:p w14:paraId="65671A4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0,14 %</w:t>
            </w:r>
          </w:p>
        </w:tc>
        <w:tc>
          <w:tcPr>
            <w:tcW w:w="620" w:type="pct"/>
            <w:tcBorders>
              <w:top w:val="nil"/>
              <w:left w:val="nil"/>
              <w:bottom w:val="single" w:sz="4" w:space="0" w:color="auto"/>
              <w:right w:val="single" w:sz="4" w:space="0" w:color="auto"/>
            </w:tcBorders>
            <w:shd w:val="clear" w:color="auto" w:fill="auto"/>
            <w:noWrap/>
            <w:vAlign w:val="center"/>
            <w:hideMark/>
          </w:tcPr>
          <w:p w14:paraId="3F67B88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0,28 %</w:t>
            </w:r>
          </w:p>
        </w:tc>
      </w:tr>
      <w:tr w:rsidR="00F24E18" w:rsidRPr="00B20709" w14:paraId="107ECED9"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320E476F"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32</w:t>
            </w:r>
          </w:p>
        </w:tc>
        <w:tc>
          <w:tcPr>
            <w:tcW w:w="1221" w:type="pct"/>
            <w:tcBorders>
              <w:top w:val="nil"/>
              <w:left w:val="nil"/>
              <w:bottom w:val="single" w:sz="4" w:space="0" w:color="auto"/>
              <w:right w:val="single" w:sz="4" w:space="0" w:color="auto"/>
            </w:tcBorders>
            <w:shd w:val="clear" w:color="auto" w:fill="auto"/>
            <w:vAlign w:val="center"/>
            <w:hideMark/>
          </w:tcPr>
          <w:p w14:paraId="68D734BB"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Radijski in televizijski aparati, komunikacijska, telekomunikacijska in z njimi povezana oprema</w:t>
            </w:r>
          </w:p>
        </w:tc>
        <w:tc>
          <w:tcPr>
            <w:tcW w:w="388" w:type="pct"/>
            <w:tcBorders>
              <w:top w:val="nil"/>
              <w:left w:val="nil"/>
              <w:bottom w:val="single" w:sz="4" w:space="0" w:color="auto"/>
              <w:right w:val="single" w:sz="4" w:space="0" w:color="auto"/>
            </w:tcBorders>
            <w:shd w:val="clear" w:color="auto" w:fill="auto"/>
            <w:vAlign w:val="center"/>
            <w:hideMark/>
          </w:tcPr>
          <w:p w14:paraId="230EC7B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w:t>
            </w:r>
          </w:p>
        </w:tc>
        <w:tc>
          <w:tcPr>
            <w:tcW w:w="801" w:type="pct"/>
            <w:tcBorders>
              <w:top w:val="nil"/>
              <w:left w:val="nil"/>
              <w:bottom w:val="single" w:sz="4" w:space="0" w:color="auto"/>
              <w:right w:val="single" w:sz="4" w:space="0" w:color="auto"/>
            </w:tcBorders>
            <w:shd w:val="clear" w:color="auto" w:fill="auto"/>
            <w:vAlign w:val="center"/>
            <w:hideMark/>
          </w:tcPr>
          <w:p w14:paraId="0911ADC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2.108.400</w:t>
            </w:r>
          </w:p>
        </w:tc>
        <w:tc>
          <w:tcPr>
            <w:tcW w:w="628" w:type="pct"/>
            <w:tcBorders>
              <w:top w:val="nil"/>
              <w:left w:val="nil"/>
              <w:bottom w:val="single" w:sz="4" w:space="0" w:color="auto"/>
              <w:right w:val="single" w:sz="4" w:space="0" w:color="auto"/>
            </w:tcBorders>
            <w:shd w:val="clear" w:color="auto" w:fill="auto"/>
            <w:noWrap/>
            <w:vAlign w:val="center"/>
            <w:hideMark/>
          </w:tcPr>
          <w:p w14:paraId="06435D8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0,06 %</w:t>
            </w:r>
          </w:p>
        </w:tc>
        <w:tc>
          <w:tcPr>
            <w:tcW w:w="491" w:type="pct"/>
            <w:tcBorders>
              <w:top w:val="nil"/>
              <w:left w:val="nil"/>
              <w:bottom w:val="single" w:sz="4" w:space="0" w:color="auto"/>
              <w:right w:val="single" w:sz="4" w:space="0" w:color="auto"/>
            </w:tcBorders>
            <w:shd w:val="clear" w:color="auto" w:fill="auto"/>
            <w:noWrap/>
            <w:vAlign w:val="center"/>
            <w:hideMark/>
          </w:tcPr>
          <w:p w14:paraId="6168593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0,10 %</w:t>
            </w:r>
          </w:p>
        </w:tc>
        <w:tc>
          <w:tcPr>
            <w:tcW w:w="452" w:type="pct"/>
            <w:tcBorders>
              <w:top w:val="nil"/>
              <w:left w:val="nil"/>
              <w:bottom w:val="single" w:sz="4" w:space="0" w:color="auto"/>
              <w:right w:val="single" w:sz="4" w:space="0" w:color="auto"/>
            </w:tcBorders>
            <w:shd w:val="clear" w:color="auto" w:fill="auto"/>
            <w:noWrap/>
            <w:vAlign w:val="center"/>
            <w:hideMark/>
          </w:tcPr>
          <w:p w14:paraId="7B3363E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620" w:type="pct"/>
            <w:tcBorders>
              <w:top w:val="nil"/>
              <w:left w:val="nil"/>
              <w:bottom w:val="single" w:sz="4" w:space="0" w:color="auto"/>
              <w:right w:val="single" w:sz="4" w:space="0" w:color="auto"/>
            </w:tcBorders>
            <w:shd w:val="clear" w:color="auto" w:fill="auto"/>
            <w:noWrap/>
            <w:vAlign w:val="center"/>
            <w:hideMark/>
          </w:tcPr>
          <w:p w14:paraId="7D8C755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0,03 %</w:t>
            </w:r>
          </w:p>
        </w:tc>
      </w:tr>
      <w:tr w:rsidR="00F24E18" w:rsidRPr="00B20709" w14:paraId="0DFDEC70"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BD20384"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33</w:t>
            </w:r>
          </w:p>
        </w:tc>
        <w:tc>
          <w:tcPr>
            <w:tcW w:w="1221" w:type="pct"/>
            <w:tcBorders>
              <w:top w:val="nil"/>
              <w:left w:val="nil"/>
              <w:bottom w:val="single" w:sz="4" w:space="0" w:color="auto"/>
              <w:right w:val="single" w:sz="4" w:space="0" w:color="auto"/>
            </w:tcBorders>
            <w:shd w:val="clear" w:color="auto" w:fill="auto"/>
            <w:vAlign w:val="center"/>
            <w:hideMark/>
          </w:tcPr>
          <w:p w14:paraId="72DDD0FE"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Medicinska oprema, farmacevtski izdelki in izdelki za osebno nego</w:t>
            </w:r>
          </w:p>
        </w:tc>
        <w:tc>
          <w:tcPr>
            <w:tcW w:w="388" w:type="pct"/>
            <w:tcBorders>
              <w:top w:val="nil"/>
              <w:left w:val="nil"/>
              <w:bottom w:val="single" w:sz="4" w:space="0" w:color="auto"/>
              <w:right w:val="single" w:sz="4" w:space="0" w:color="auto"/>
            </w:tcBorders>
            <w:shd w:val="clear" w:color="auto" w:fill="auto"/>
            <w:vAlign w:val="center"/>
            <w:hideMark/>
          </w:tcPr>
          <w:p w14:paraId="42A78BC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54</w:t>
            </w:r>
          </w:p>
        </w:tc>
        <w:tc>
          <w:tcPr>
            <w:tcW w:w="801" w:type="pct"/>
            <w:tcBorders>
              <w:top w:val="nil"/>
              <w:left w:val="nil"/>
              <w:bottom w:val="single" w:sz="4" w:space="0" w:color="auto"/>
              <w:right w:val="single" w:sz="4" w:space="0" w:color="auto"/>
            </w:tcBorders>
            <w:shd w:val="clear" w:color="auto" w:fill="auto"/>
            <w:vAlign w:val="center"/>
            <w:hideMark/>
          </w:tcPr>
          <w:p w14:paraId="30AADDC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7.198.969</w:t>
            </w:r>
          </w:p>
        </w:tc>
        <w:tc>
          <w:tcPr>
            <w:tcW w:w="628" w:type="pct"/>
            <w:tcBorders>
              <w:top w:val="nil"/>
              <w:left w:val="nil"/>
              <w:bottom w:val="single" w:sz="4" w:space="0" w:color="auto"/>
              <w:right w:val="single" w:sz="4" w:space="0" w:color="auto"/>
            </w:tcBorders>
            <w:shd w:val="clear" w:color="auto" w:fill="auto"/>
            <w:noWrap/>
            <w:vAlign w:val="center"/>
            <w:hideMark/>
          </w:tcPr>
          <w:p w14:paraId="260A54B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1,12 %</w:t>
            </w:r>
          </w:p>
        </w:tc>
        <w:tc>
          <w:tcPr>
            <w:tcW w:w="491" w:type="pct"/>
            <w:tcBorders>
              <w:top w:val="nil"/>
              <w:left w:val="nil"/>
              <w:bottom w:val="single" w:sz="4" w:space="0" w:color="auto"/>
              <w:right w:val="single" w:sz="4" w:space="0" w:color="auto"/>
            </w:tcBorders>
            <w:shd w:val="clear" w:color="auto" w:fill="auto"/>
            <w:noWrap/>
            <w:vAlign w:val="center"/>
            <w:hideMark/>
          </w:tcPr>
          <w:p w14:paraId="75609FE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0,34 %</w:t>
            </w:r>
          </w:p>
        </w:tc>
        <w:tc>
          <w:tcPr>
            <w:tcW w:w="452" w:type="pct"/>
            <w:tcBorders>
              <w:top w:val="nil"/>
              <w:left w:val="nil"/>
              <w:bottom w:val="single" w:sz="4" w:space="0" w:color="auto"/>
              <w:right w:val="single" w:sz="4" w:space="0" w:color="auto"/>
            </w:tcBorders>
            <w:shd w:val="clear" w:color="auto" w:fill="auto"/>
            <w:noWrap/>
            <w:vAlign w:val="center"/>
            <w:hideMark/>
          </w:tcPr>
          <w:p w14:paraId="16E386A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0,32 %</w:t>
            </w:r>
          </w:p>
        </w:tc>
        <w:tc>
          <w:tcPr>
            <w:tcW w:w="620" w:type="pct"/>
            <w:tcBorders>
              <w:top w:val="nil"/>
              <w:left w:val="nil"/>
              <w:bottom w:val="single" w:sz="4" w:space="0" w:color="auto"/>
              <w:right w:val="single" w:sz="4" w:space="0" w:color="auto"/>
            </w:tcBorders>
            <w:shd w:val="clear" w:color="auto" w:fill="auto"/>
            <w:noWrap/>
            <w:vAlign w:val="center"/>
            <w:hideMark/>
          </w:tcPr>
          <w:p w14:paraId="31B1D32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0,12 %</w:t>
            </w:r>
          </w:p>
        </w:tc>
      </w:tr>
      <w:tr w:rsidR="00F24E18" w:rsidRPr="00B20709" w14:paraId="17A69DEF"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1644ECA"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34</w:t>
            </w:r>
          </w:p>
        </w:tc>
        <w:tc>
          <w:tcPr>
            <w:tcW w:w="1221" w:type="pct"/>
            <w:tcBorders>
              <w:top w:val="nil"/>
              <w:left w:val="nil"/>
              <w:bottom w:val="single" w:sz="4" w:space="0" w:color="auto"/>
              <w:right w:val="single" w:sz="4" w:space="0" w:color="auto"/>
            </w:tcBorders>
            <w:shd w:val="clear" w:color="auto" w:fill="auto"/>
            <w:vAlign w:val="center"/>
            <w:hideMark/>
          </w:tcPr>
          <w:p w14:paraId="602F8DDF"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Prevozna sredstva in dodatni proizvodi za promet</w:t>
            </w:r>
          </w:p>
        </w:tc>
        <w:tc>
          <w:tcPr>
            <w:tcW w:w="388" w:type="pct"/>
            <w:tcBorders>
              <w:top w:val="nil"/>
              <w:left w:val="nil"/>
              <w:bottom w:val="single" w:sz="4" w:space="0" w:color="auto"/>
              <w:right w:val="single" w:sz="4" w:space="0" w:color="auto"/>
            </w:tcBorders>
            <w:shd w:val="clear" w:color="auto" w:fill="auto"/>
            <w:vAlign w:val="center"/>
            <w:hideMark/>
          </w:tcPr>
          <w:p w14:paraId="1B6292D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200</w:t>
            </w:r>
          </w:p>
        </w:tc>
        <w:tc>
          <w:tcPr>
            <w:tcW w:w="801" w:type="pct"/>
            <w:tcBorders>
              <w:top w:val="nil"/>
              <w:left w:val="nil"/>
              <w:bottom w:val="single" w:sz="4" w:space="0" w:color="auto"/>
              <w:right w:val="single" w:sz="4" w:space="0" w:color="auto"/>
            </w:tcBorders>
            <w:shd w:val="clear" w:color="auto" w:fill="auto"/>
            <w:vAlign w:val="center"/>
            <w:hideMark/>
          </w:tcPr>
          <w:p w14:paraId="2FA7C1A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34.542.862</w:t>
            </w:r>
          </w:p>
        </w:tc>
        <w:tc>
          <w:tcPr>
            <w:tcW w:w="628" w:type="pct"/>
            <w:tcBorders>
              <w:top w:val="nil"/>
              <w:left w:val="nil"/>
              <w:bottom w:val="single" w:sz="4" w:space="0" w:color="auto"/>
              <w:right w:val="single" w:sz="4" w:space="0" w:color="auto"/>
            </w:tcBorders>
            <w:shd w:val="clear" w:color="auto" w:fill="auto"/>
            <w:noWrap/>
            <w:vAlign w:val="center"/>
            <w:hideMark/>
          </w:tcPr>
          <w:p w14:paraId="51BD206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4,16 %</w:t>
            </w:r>
          </w:p>
        </w:tc>
        <w:tc>
          <w:tcPr>
            <w:tcW w:w="491" w:type="pct"/>
            <w:tcBorders>
              <w:top w:val="nil"/>
              <w:left w:val="nil"/>
              <w:bottom w:val="single" w:sz="4" w:space="0" w:color="auto"/>
              <w:right w:val="single" w:sz="4" w:space="0" w:color="auto"/>
            </w:tcBorders>
            <w:shd w:val="clear" w:color="auto" w:fill="auto"/>
            <w:noWrap/>
            <w:vAlign w:val="center"/>
            <w:hideMark/>
          </w:tcPr>
          <w:p w14:paraId="5F91B9A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1,62 %</w:t>
            </w:r>
          </w:p>
        </w:tc>
        <w:tc>
          <w:tcPr>
            <w:tcW w:w="452" w:type="pct"/>
            <w:tcBorders>
              <w:top w:val="nil"/>
              <w:left w:val="nil"/>
              <w:bottom w:val="single" w:sz="4" w:space="0" w:color="auto"/>
              <w:right w:val="single" w:sz="4" w:space="0" w:color="auto"/>
            </w:tcBorders>
            <w:shd w:val="clear" w:color="auto" w:fill="auto"/>
            <w:noWrap/>
            <w:vAlign w:val="center"/>
            <w:hideMark/>
          </w:tcPr>
          <w:p w14:paraId="748B52F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1,19 %</w:t>
            </w:r>
          </w:p>
        </w:tc>
        <w:tc>
          <w:tcPr>
            <w:tcW w:w="620" w:type="pct"/>
            <w:tcBorders>
              <w:top w:val="nil"/>
              <w:left w:val="nil"/>
              <w:bottom w:val="single" w:sz="4" w:space="0" w:color="auto"/>
              <w:right w:val="single" w:sz="4" w:space="0" w:color="auto"/>
            </w:tcBorders>
            <w:shd w:val="clear" w:color="auto" w:fill="auto"/>
            <w:noWrap/>
            <w:vAlign w:val="center"/>
            <w:hideMark/>
          </w:tcPr>
          <w:p w14:paraId="1FFBBDA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0,55 %</w:t>
            </w:r>
          </w:p>
        </w:tc>
      </w:tr>
      <w:tr w:rsidR="00F24E18" w:rsidRPr="00B20709" w14:paraId="4855329E"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E05A87F"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35</w:t>
            </w:r>
          </w:p>
        </w:tc>
        <w:tc>
          <w:tcPr>
            <w:tcW w:w="1221" w:type="pct"/>
            <w:tcBorders>
              <w:top w:val="nil"/>
              <w:left w:val="nil"/>
              <w:bottom w:val="single" w:sz="4" w:space="0" w:color="auto"/>
              <w:right w:val="single" w:sz="4" w:space="0" w:color="auto"/>
            </w:tcBorders>
            <w:shd w:val="clear" w:color="auto" w:fill="auto"/>
            <w:vAlign w:val="center"/>
            <w:hideMark/>
          </w:tcPr>
          <w:p w14:paraId="6A1E05B2"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Varnostna, gasilska, policijska in obrambna oprema</w:t>
            </w:r>
          </w:p>
        </w:tc>
        <w:tc>
          <w:tcPr>
            <w:tcW w:w="388" w:type="pct"/>
            <w:tcBorders>
              <w:top w:val="nil"/>
              <w:left w:val="nil"/>
              <w:bottom w:val="single" w:sz="4" w:space="0" w:color="auto"/>
              <w:right w:val="single" w:sz="4" w:space="0" w:color="auto"/>
            </w:tcBorders>
            <w:shd w:val="clear" w:color="auto" w:fill="auto"/>
            <w:vAlign w:val="center"/>
            <w:hideMark/>
          </w:tcPr>
          <w:p w14:paraId="1CCD7DB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w:t>
            </w:r>
          </w:p>
        </w:tc>
        <w:tc>
          <w:tcPr>
            <w:tcW w:w="801" w:type="pct"/>
            <w:tcBorders>
              <w:top w:val="nil"/>
              <w:left w:val="nil"/>
              <w:bottom w:val="single" w:sz="4" w:space="0" w:color="auto"/>
              <w:right w:val="single" w:sz="4" w:space="0" w:color="auto"/>
            </w:tcBorders>
            <w:shd w:val="clear" w:color="auto" w:fill="auto"/>
            <w:vAlign w:val="center"/>
            <w:hideMark/>
          </w:tcPr>
          <w:p w14:paraId="125CBF9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1.125.447</w:t>
            </w:r>
          </w:p>
        </w:tc>
        <w:tc>
          <w:tcPr>
            <w:tcW w:w="628" w:type="pct"/>
            <w:tcBorders>
              <w:top w:val="nil"/>
              <w:left w:val="nil"/>
              <w:bottom w:val="single" w:sz="4" w:space="0" w:color="auto"/>
              <w:right w:val="single" w:sz="4" w:space="0" w:color="auto"/>
            </w:tcBorders>
            <w:shd w:val="clear" w:color="auto" w:fill="auto"/>
            <w:noWrap/>
            <w:vAlign w:val="center"/>
            <w:hideMark/>
          </w:tcPr>
          <w:p w14:paraId="0B2E726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c>
          <w:tcPr>
            <w:tcW w:w="491" w:type="pct"/>
            <w:tcBorders>
              <w:top w:val="nil"/>
              <w:left w:val="nil"/>
              <w:bottom w:val="single" w:sz="4" w:space="0" w:color="auto"/>
              <w:right w:val="single" w:sz="4" w:space="0" w:color="auto"/>
            </w:tcBorders>
            <w:shd w:val="clear" w:color="auto" w:fill="auto"/>
            <w:noWrap/>
            <w:vAlign w:val="center"/>
            <w:hideMark/>
          </w:tcPr>
          <w:p w14:paraId="0FE7808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0,05 %</w:t>
            </w:r>
          </w:p>
        </w:tc>
        <w:tc>
          <w:tcPr>
            <w:tcW w:w="452" w:type="pct"/>
            <w:tcBorders>
              <w:top w:val="nil"/>
              <w:left w:val="nil"/>
              <w:bottom w:val="single" w:sz="4" w:space="0" w:color="auto"/>
              <w:right w:val="single" w:sz="4" w:space="0" w:color="auto"/>
            </w:tcBorders>
            <w:shd w:val="clear" w:color="auto" w:fill="auto"/>
            <w:noWrap/>
            <w:vAlign w:val="center"/>
            <w:hideMark/>
          </w:tcPr>
          <w:p w14:paraId="3F3AB43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620" w:type="pct"/>
            <w:tcBorders>
              <w:top w:val="nil"/>
              <w:left w:val="nil"/>
              <w:bottom w:val="single" w:sz="4" w:space="0" w:color="auto"/>
              <w:right w:val="single" w:sz="4" w:space="0" w:color="auto"/>
            </w:tcBorders>
            <w:shd w:val="clear" w:color="auto" w:fill="auto"/>
            <w:noWrap/>
            <w:vAlign w:val="center"/>
            <w:hideMark/>
          </w:tcPr>
          <w:p w14:paraId="4A1FFDB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r>
      <w:tr w:rsidR="00F24E18" w:rsidRPr="00B20709" w14:paraId="059C44A3"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0783A8C6"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37</w:t>
            </w:r>
          </w:p>
        </w:tc>
        <w:tc>
          <w:tcPr>
            <w:tcW w:w="1221" w:type="pct"/>
            <w:tcBorders>
              <w:top w:val="nil"/>
              <w:left w:val="nil"/>
              <w:bottom w:val="single" w:sz="4" w:space="0" w:color="auto"/>
              <w:right w:val="single" w:sz="4" w:space="0" w:color="auto"/>
            </w:tcBorders>
            <w:shd w:val="clear" w:color="auto" w:fill="auto"/>
            <w:vAlign w:val="center"/>
            <w:hideMark/>
          </w:tcPr>
          <w:p w14:paraId="60EE7172"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Glasbila, športni izdelki, igre, igrače, ročna dela, umetniški materiali in dodatki</w:t>
            </w:r>
          </w:p>
        </w:tc>
        <w:tc>
          <w:tcPr>
            <w:tcW w:w="388" w:type="pct"/>
            <w:tcBorders>
              <w:top w:val="nil"/>
              <w:left w:val="nil"/>
              <w:bottom w:val="single" w:sz="4" w:space="0" w:color="auto"/>
              <w:right w:val="single" w:sz="4" w:space="0" w:color="auto"/>
            </w:tcBorders>
            <w:shd w:val="clear" w:color="auto" w:fill="auto"/>
            <w:vAlign w:val="center"/>
            <w:hideMark/>
          </w:tcPr>
          <w:p w14:paraId="3683012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w:t>
            </w:r>
          </w:p>
        </w:tc>
        <w:tc>
          <w:tcPr>
            <w:tcW w:w="801" w:type="pct"/>
            <w:tcBorders>
              <w:top w:val="nil"/>
              <w:left w:val="nil"/>
              <w:bottom w:val="single" w:sz="4" w:space="0" w:color="auto"/>
              <w:right w:val="single" w:sz="4" w:space="0" w:color="auto"/>
            </w:tcBorders>
            <w:shd w:val="clear" w:color="auto" w:fill="auto"/>
            <w:vAlign w:val="center"/>
            <w:hideMark/>
          </w:tcPr>
          <w:p w14:paraId="5ACEF2E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437.488</w:t>
            </w:r>
          </w:p>
        </w:tc>
        <w:tc>
          <w:tcPr>
            <w:tcW w:w="628" w:type="pct"/>
            <w:tcBorders>
              <w:top w:val="nil"/>
              <w:left w:val="nil"/>
              <w:bottom w:val="single" w:sz="4" w:space="0" w:color="auto"/>
              <w:right w:val="single" w:sz="4" w:space="0" w:color="auto"/>
            </w:tcBorders>
            <w:shd w:val="clear" w:color="auto" w:fill="auto"/>
            <w:noWrap/>
            <w:vAlign w:val="center"/>
            <w:hideMark/>
          </w:tcPr>
          <w:p w14:paraId="50487BC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0,08 %</w:t>
            </w:r>
          </w:p>
        </w:tc>
        <w:tc>
          <w:tcPr>
            <w:tcW w:w="491" w:type="pct"/>
            <w:tcBorders>
              <w:top w:val="nil"/>
              <w:left w:val="nil"/>
              <w:bottom w:val="single" w:sz="4" w:space="0" w:color="auto"/>
              <w:right w:val="single" w:sz="4" w:space="0" w:color="auto"/>
            </w:tcBorders>
            <w:shd w:val="clear" w:color="auto" w:fill="auto"/>
            <w:noWrap/>
            <w:vAlign w:val="center"/>
            <w:hideMark/>
          </w:tcPr>
          <w:p w14:paraId="07C24E0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452" w:type="pct"/>
            <w:tcBorders>
              <w:top w:val="nil"/>
              <w:left w:val="nil"/>
              <w:bottom w:val="single" w:sz="4" w:space="0" w:color="auto"/>
              <w:right w:val="single" w:sz="4" w:space="0" w:color="auto"/>
            </w:tcBorders>
            <w:shd w:val="clear" w:color="auto" w:fill="auto"/>
            <w:noWrap/>
            <w:vAlign w:val="center"/>
            <w:hideMark/>
          </w:tcPr>
          <w:p w14:paraId="443915C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620" w:type="pct"/>
            <w:tcBorders>
              <w:top w:val="nil"/>
              <w:left w:val="nil"/>
              <w:bottom w:val="single" w:sz="4" w:space="0" w:color="auto"/>
              <w:right w:val="single" w:sz="4" w:space="0" w:color="auto"/>
            </w:tcBorders>
            <w:shd w:val="clear" w:color="auto" w:fill="auto"/>
            <w:noWrap/>
            <w:vAlign w:val="center"/>
            <w:hideMark/>
          </w:tcPr>
          <w:p w14:paraId="5D04361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r>
      <w:tr w:rsidR="00F24E18" w:rsidRPr="00B20709" w14:paraId="2FAAB3E5"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5701D5BD"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38</w:t>
            </w:r>
          </w:p>
        </w:tc>
        <w:tc>
          <w:tcPr>
            <w:tcW w:w="1221" w:type="pct"/>
            <w:tcBorders>
              <w:top w:val="nil"/>
              <w:left w:val="nil"/>
              <w:bottom w:val="single" w:sz="4" w:space="0" w:color="auto"/>
              <w:right w:val="single" w:sz="4" w:space="0" w:color="auto"/>
            </w:tcBorders>
            <w:shd w:val="clear" w:color="auto" w:fill="auto"/>
            <w:vAlign w:val="center"/>
            <w:hideMark/>
          </w:tcPr>
          <w:p w14:paraId="7C719A29"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Laboratorijska, optična in precizna oprema (razen očal)</w:t>
            </w:r>
          </w:p>
        </w:tc>
        <w:tc>
          <w:tcPr>
            <w:tcW w:w="388" w:type="pct"/>
            <w:tcBorders>
              <w:top w:val="nil"/>
              <w:left w:val="nil"/>
              <w:bottom w:val="single" w:sz="4" w:space="0" w:color="auto"/>
              <w:right w:val="single" w:sz="4" w:space="0" w:color="auto"/>
            </w:tcBorders>
            <w:shd w:val="clear" w:color="auto" w:fill="auto"/>
            <w:vAlign w:val="center"/>
            <w:hideMark/>
          </w:tcPr>
          <w:p w14:paraId="2D34035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w:t>
            </w:r>
          </w:p>
        </w:tc>
        <w:tc>
          <w:tcPr>
            <w:tcW w:w="801" w:type="pct"/>
            <w:tcBorders>
              <w:top w:val="nil"/>
              <w:left w:val="nil"/>
              <w:bottom w:val="single" w:sz="4" w:space="0" w:color="auto"/>
              <w:right w:val="single" w:sz="4" w:space="0" w:color="auto"/>
            </w:tcBorders>
            <w:shd w:val="clear" w:color="auto" w:fill="auto"/>
            <w:vAlign w:val="center"/>
            <w:hideMark/>
          </w:tcPr>
          <w:p w14:paraId="3F700DF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944.483</w:t>
            </w:r>
          </w:p>
        </w:tc>
        <w:tc>
          <w:tcPr>
            <w:tcW w:w="628" w:type="pct"/>
            <w:tcBorders>
              <w:top w:val="nil"/>
              <w:left w:val="nil"/>
              <w:bottom w:val="single" w:sz="4" w:space="0" w:color="auto"/>
              <w:right w:val="single" w:sz="4" w:space="0" w:color="auto"/>
            </w:tcBorders>
            <w:shd w:val="clear" w:color="auto" w:fill="auto"/>
            <w:noWrap/>
            <w:vAlign w:val="center"/>
            <w:hideMark/>
          </w:tcPr>
          <w:p w14:paraId="48D4D13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0,15 %</w:t>
            </w:r>
          </w:p>
        </w:tc>
        <w:tc>
          <w:tcPr>
            <w:tcW w:w="491" w:type="pct"/>
            <w:tcBorders>
              <w:top w:val="nil"/>
              <w:left w:val="nil"/>
              <w:bottom w:val="single" w:sz="4" w:space="0" w:color="auto"/>
              <w:right w:val="single" w:sz="4" w:space="0" w:color="auto"/>
            </w:tcBorders>
            <w:shd w:val="clear" w:color="auto" w:fill="auto"/>
            <w:noWrap/>
            <w:vAlign w:val="center"/>
            <w:hideMark/>
          </w:tcPr>
          <w:p w14:paraId="276BEB7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c>
          <w:tcPr>
            <w:tcW w:w="452" w:type="pct"/>
            <w:tcBorders>
              <w:top w:val="nil"/>
              <w:left w:val="nil"/>
              <w:bottom w:val="single" w:sz="4" w:space="0" w:color="auto"/>
              <w:right w:val="single" w:sz="4" w:space="0" w:color="auto"/>
            </w:tcBorders>
            <w:shd w:val="clear" w:color="auto" w:fill="auto"/>
            <w:noWrap/>
            <w:vAlign w:val="center"/>
            <w:hideMark/>
          </w:tcPr>
          <w:p w14:paraId="72346FE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c>
          <w:tcPr>
            <w:tcW w:w="620" w:type="pct"/>
            <w:tcBorders>
              <w:top w:val="nil"/>
              <w:left w:val="nil"/>
              <w:bottom w:val="single" w:sz="4" w:space="0" w:color="auto"/>
              <w:right w:val="single" w:sz="4" w:space="0" w:color="auto"/>
            </w:tcBorders>
            <w:shd w:val="clear" w:color="auto" w:fill="auto"/>
            <w:noWrap/>
            <w:vAlign w:val="center"/>
            <w:hideMark/>
          </w:tcPr>
          <w:p w14:paraId="60B58B3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r>
      <w:tr w:rsidR="00F24E18" w:rsidRPr="00B20709" w14:paraId="719E91AC"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42C415C8"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39</w:t>
            </w:r>
          </w:p>
        </w:tc>
        <w:tc>
          <w:tcPr>
            <w:tcW w:w="1221" w:type="pct"/>
            <w:tcBorders>
              <w:top w:val="nil"/>
              <w:left w:val="nil"/>
              <w:bottom w:val="single" w:sz="4" w:space="0" w:color="auto"/>
              <w:right w:val="single" w:sz="4" w:space="0" w:color="auto"/>
            </w:tcBorders>
            <w:shd w:val="clear" w:color="auto" w:fill="auto"/>
            <w:vAlign w:val="center"/>
            <w:hideMark/>
          </w:tcPr>
          <w:p w14:paraId="77847F55"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388" w:type="pct"/>
            <w:tcBorders>
              <w:top w:val="nil"/>
              <w:left w:val="nil"/>
              <w:bottom w:val="single" w:sz="4" w:space="0" w:color="auto"/>
              <w:right w:val="single" w:sz="4" w:space="0" w:color="auto"/>
            </w:tcBorders>
            <w:shd w:val="clear" w:color="auto" w:fill="auto"/>
            <w:vAlign w:val="center"/>
            <w:hideMark/>
          </w:tcPr>
          <w:p w14:paraId="3115CC6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220</w:t>
            </w:r>
          </w:p>
        </w:tc>
        <w:tc>
          <w:tcPr>
            <w:tcW w:w="801" w:type="pct"/>
            <w:tcBorders>
              <w:top w:val="nil"/>
              <w:left w:val="nil"/>
              <w:bottom w:val="single" w:sz="4" w:space="0" w:color="auto"/>
              <w:right w:val="single" w:sz="4" w:space="0" w:color="auto"/>
            </w:tcBorders>
            <w:shd w:val="clear" w:color="auto" w:fill="auto"/>
            <w:vAlign w:val="center"/>
            <w:hideMark/>
          </w:tcPr>
          <w:p w14:paraId="2C4E595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19.107.171</w:t>
            </w:r>
          </w:p>
        </w:tc>
        <w:tc>
          <w:tcPr>
            <w:tcW w:w="628" w:type="pct"/>
            <w:tcBorders>
              <w:top w:val="nil"/>
              <w:left w:val="nil"/>
              <w:bottom w:val="single" w:sz="4" w:space="0" w:color="auto"/>
              <w:right w:val="single" w:sz="4" w:space="0" w:color="auto"/>
            </w:tcBorders>
            <w:shd w:val="clear" w:color="auto" w:fill="auto"/>
            <w:noWrap/>
            <w:vAlign w:val="center"/>
            <w:hideMark/>
          </w:tcPr>
          <w:p w14:paraId="54C5351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4,58 %</w:t>
            </w:r>
          </w:p>
        </w:tc>
        <w:tc>
          <w:tcPr>
            <w:tcW w:w="491" w:type="pct"/>
            <w:tcBorders>
              <w:top w:val="nil"/>
              <w:left w:val="nil"/>
              <w:bottom w:val="single" w:sz="4" w:space="0" w:color="auto"/>
              <w:right w:val="single" w:sz="4" w:space="0" w:color="auto"/>
            </w:tcBorders>
            <w:shd w:val="clear" w:color="auto" w:fill="auto"/>
            <w:noWrap/>
            <w:vAlign w:val="center"/>
            <w:hideMark/>
          </w:tcPr>
          <w:p w14:paraId="2C939EA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0,89 %</w:t>
            </w:r>
          </w:p>
        </w:tc>
        <w:tc>
          <w:tcPr>
            <w:tcW w:w="452" w:type="pct"/>
            <w:tcBorders>
              <w:top w:val="nil"/>
              <w:left w:val="nil"/>
              <w:bottom w:val="single" w:sz="4" w:space="0" w:color="auto"/>
              <w:right w:val="single" w:sz="4" w:space="0" w:color="auto"/>
            </w:tcBorders>
            <w:shd w:val="clear" w:color="auto" w:fill="auto"/>
            <w:noWrap/>
            <w:vAlign w:val="center"/>
            <w:hideMark/>
          </w:tcPr>
          <w:p w14:paraId="363B70C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1,31 %</w:t>
            </w:r>
          </w:p>
        </w:tc>
        <w:tc>
          <w:tcPr>
            <w:tcW w:w="620" w:type="pct"/>
            <w:tcBorders>
              <w:top w:val="nil"/>
              <w:left w:val="nil"/>
              <w:bottom w:val="single" w:sz="4" w:space="0" w:color="auto"/>
              <w:right w:val="single" w:sz="4" w:space="0" w:color="auto"/>
            </w:tcBorders>
            <w:shd w:val="clear" w:color="auto" w:fill="auto"/>
            <w:noWrap/>
            <w:vAlign w:val="center"/>
            <w:hideMark/>
          </w:tcPr>
          <w:p w14:paraId="2163180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0,31 %</w:t>
            </w:r>
          </w:p>
        </w:tc>
      </w:tr>
      <w:tr w:rsidR="00F24E18" w:rsidRPr="00B20709" w14:paraId="421C1377"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B47635A"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42</w:t>
            </w:r>
          </w:p>
        </w:tc>
        <w:tc>
          <w:tcPr>
            <w:tcW w:w="1221" w:type="pct"/>
            <w:tcBorders>
              <w:top w:val="nil"/>
              <w:left w:val="nil"/>
              <w:bottom w:val="single" w:sz="4" w:space="0" w:color="auto"/>
              <w:right w:val="single" w:sz="4" w:space="0" w:color="auto"/>
            </w:tcBorders>
            <w:shd w:val="clear" w:color="auto" w:fill="auto"/>
            <w:vAlign w:val="center"/>
            <w:hideMark/>
          </w:tcPr>
          <w:p w14:paraId="2CBB54E1"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Industrijski stroji</w:t>
            </w:r>
          </w:p>
        </w:tc>
        <w:tc>
          <w:tcPr>
            <w:tcW w:w="388" w:type="pct"/>
            <w:tcBorders>
              <w:top w:val="nil"/>
              <w:left w:val="nil"/>
              <w:bottom w:val="single" w:sz="4" w:space="0" w:color="auto"/>
              <w:right w:val="single" w:sz="4" w:space="0" w:color="auto"/>
            </w:tcBorders>
            <w:shd w:val="clear" w:color="auto" w:fill="auto"/>
            <w:vAlign w:val="center"/>
            <w:hideMark/>
          </w:tcPr>
          <w:p w14:paraId="29B405D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18</w:t>
            </w:r>
          </w:p>
        </w:tc>
        <w:tc>
          <w:tcPr>
            <w:tcW w:w="801" w:type="pct"/>
            <w:tcBorders>
              <w:top w:val="nil"/>
              <w:left w:val="nil"/>
              <w:bottom w:val="single" w:sz="4" w:space="0" w:color="auto"/>
              <w:right w:val="single" w:sz="4" w:space="0" w:color="auto"/>
            </w:tcBorders>
            <w:shd w:val="clear" w:color="auto" w:fill="auto"/>
            <w:vAlign w:val="center"/>
            <w:hideMark/>
          </w:tcPr>
          <w:p w14:paraId="7A50FB9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2.514.058</w:t>
            </w:r>
          </w:p>
        </w:tc>
        <w:tc>
          <w:tcPr>
            <w:tcW w:w="628" w:type="pct"/>
            <w:tcBorders>
              <w:top w:val="nil"/>
              <w:left w:val="nil"/>
              <w:bottom w:val="single" w:sz="4" w:space="0" w:color="auto"/>
              <w:right w:val="single" w:sz="4" w:space="0" w:color="auto"/>
            </w:tcBorders>
            <w:shd w:val="clear" w:color="auto" w:fill="auto"/>
            <w:noWrap/>
            <w:vAlign w:val="center"/>
            <w:hideMark/>
          </w:tcPr>
          <w:p w14:paraId="0FD0E50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0,37 %</w:t>
            </w:r>
          </w:p>
        </w:tc>
        <w:tc>
          <w:tcPr>
            <w:tcW w:w="491" w:type="pct"/>
            <w:tcBorders>
              <w:top w:val="nil"/>
              <w:left w:val="nil"/>
              <w:bottom w:val="single" w:sz="4" w:space="0" w:color="auto"/>
              <w:right w:val="single" w:sz="4" w:space="0" w:color="auto"/>
            </w:tcBorders>
            <w:shd w:val="clear" w:color="auto" w:fill="auto"/>
            <w:noWrap/>
            <w:vAlign w:val="center"/>
            <w:hideMark/>
          </w:tcPr>
          <w:p w14:paraId="5BEF7CF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0,12 %</w:t>
            </w:r>
          </w:p>
        </w:tc>
        <w:tc>
          <w:tcPr>
            <w:tcW w:w="452" w:type="pct"/>
            <w:tcBorders>
              <w:top w:val="nil"/>
              <w:left w:val="nil"/>
              <w:bottom w:val="single" w:sz="4" w:space="0" w:color="auto"/>
              <w:right w:val="single" w:sz="4" w:space="0" w:color="auto"/>
            </w:tcBorders>
            <w:shd w:val="clear" w:color="auto" w:fill="auto"/>
            <w:noWrap/>
            <w:vAlign w:val="center"/>
            <w:hideMark/>
          </w:tcPr>
          <w:p w14:paraId="0D9AACE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0,11 %</w:t>
            </w:r>
          </w:p>
        </w:tc>
        <w:tc>
          <w:tcPr>
            <w:tcW w:w="620" w:type="pct"/>
            <w:tcBorders>
              <w:top w:val="nil"/>
              <w:left w:val="nil"/>
              <w:bottom w:val="single" w:sz="4" w:space="0" w:color="auto"/>
              <w:right w:val="single" w:sz="4" w:space="0" w:color="auto"/>
            </w:tcBorders>
            <w:shd w:val="clear" w:color="auto" w:fill="auto"/>
            <w:noWrap/>
            <w:vAlign w:val="center"/>
            <w:hideMark/>
          </w:tcPr>
          <w:p w14:paraId="01E8269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r>
      <w:tr w:rsidR="00F24E18" w:rsidRPr="00B20709" w14:paraId="7E67EEDA"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4A239C11"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43</w:t>
            </w:r>
          </w:p>
        </w:tc>
        <w:tc>
          <w:tcPr>
            <w:tcW w:w="1221" w:type="pct"/>
            <w:tcBorders>
              <w:top w:val="nil"/>
              <w:left w:val="nil"/>
              <w:bottom w:val="single" w:sz="4" w:space="0" w:color="auto"/>
              <w:right w:val="single" w:sz="4" w:space="0" w:color="auto"/>
            </w:tcBorders>
            <w:shd w:val="clear" w:color="auto" w:fill="auto"/>
            <w:vAlign w:val="center"/>
            <w:hideMark/>
          </w:tcPr>
          <w:p w14:paraId="53270EDE"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Rudarska, kamnoseška in gradbena oprema</w:t>
            </w:r>
          </w:p>
        </w:tc>
        <w:tc>
          <w:tcPr>
            <w:tcW w:w="388" w:type="pct"/>
            <w:tcBorders>
              <w:top w:val="nil"/>
              <w:left w:val="nil"/>
              <w:bottom w:val="single" w:sz="4" w:space="0" w:color="auto"/>
              <w:right w:val="single" w:sz="4" w:space="0" w:color="auto"/>
            </w:tcBorders>
            <w:shd w:val="clear" w:color="auto" w:fill="auto"/>
            <w:vAlign w:val="center"/>
            <w:hideMark/>
          </w:tcPr>
          <w:p w14:paraId="1C723A8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w:t>
            </w:r>
          </w:p>
        </w:tc>
        <w:tc>
          <w:tcPr>
            <w:tcW w:w="801" w:type="pct"/>
            <w:tcBorders>
              <w:top w:val="nil"/>
              <w:left w:val="nil"/>
              <w:bottom w:val="single" w:sz="4" w:space="0" w:color="auto"/>
              <w:right w:val="single" w:sz="4" w:space="0" w:color="auto"/>
            </w:tcBorders>
            <w:shd w:val="clear" w:color="auto" w:fill="auto"/>
            <w:vAlign w:val="center"/>
            <w:hideMark/>
          </w:tcPr>
          <w:p w14:paraId="653D469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55.265</w:t>
            </w:r>
          </w:p>
        </w:tc>
        <w:tc>
          <w:tcPr>
            <w:tcW w:w="628" w:type="pct"/>
            <w:tcBorders>
              <w:top w:val="nil"/>
              <w:left w:val="nil"/>
              <w:bottom w:val="single" w:sz="4" w:space="0" w:color="auto"/>
              <w:right w:val="single" w:sz="4" w:space="0" w:color="auto"/>
            </w:tcBorders>
            <w:shd w:val="clear" w:color="auto" w:fill="auto"/>
            <w:noWrap/>
            <w:vAlign w:val="center"/>
            <w:hideMark/>
          </w:tcPr>
          <w:p w14:paraId="7ACA8D2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491" w:type="pct"/>
            <w:tcBorders>
              <w:top w:val="nil"/>
              <w:left w:val="nil"/>
              <w:bottom w:val="single" w:sz="4" w:space="0" w:color="auto"/>
              <w:right w:val="single" w:sz="4" w:space="0" w:color="auto"/>
            </w:tcBorders>
            <w:shd w:val="clear" w:color="auto" w:fill="auto"/>
            <w:noWrap/>
            <w:vAlign w:val="center"/>
            <w:hideMark/>
          </w:tcPr>
          <w:p w14:paraId="47964A7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0,00 %</w:t>
            </w:r>
          </w:p>
        </w:tc>
        <w:tc>
          <w:tcPr>
            <w:tcW w:w="452" w:type="pct"/>
            <w:tcBorders>
              <w:top w:val="nil"/>
              <w:left w:val="nil"/>
              <w:bottom w:val="single" w:sz="4" w:space="0" w:color="auto"/>
              <w:right w:val="single" w:sz="4" w:space="0" w:color="auto"/>
            </w:tcBorders>
            <w:shd w:val="clear" w:color="auto" w:fill="auto"/>
            <w:noWrap/>
            <w:vAlign w:val="center"/>
            <w:hideMark/>
          </w:tcPr>
          <w:p w14:paraId="6BB398B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620" w:type="pct"/>
            <w:tcBorders>
              <w:top w:val="nil"/>
              <w:left w:val="nil"/>
              <w:bottom w:val="single" w:sz="4" w:space="0" w:color="auto"/>
              <w:right w:val="single" w:sz="4" w:space="0" w:color="auto"/>
            </w:tcBorders>
            <w:shd w:val="clear" w:color="auto" w:fill="auto"/>
            <w:noWrap/>
            <w:vAlign w:val="center"/>
            <w:hideMark/>
          </w:tcPr>
          <w:p w14:paraId="63F6640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0,00 %</w:t>
            </w:r>
          </w:p>
        </w:tc>
      </w:tr>
      <w:tr w:rsidR="00F24E18" w:rsidRPr="00B20709" w14:paraId="5463B00D"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744315A2"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44</w:t>
            </w:r>
          </w:p>
        </w:tc>
        <w:tc>
          <w:tcPr>
            <w:tcW w:w="1221" w:type="pct"/>
            <w:tcBorders>
              <w:top w:val="nil"/>
              <w:left w:val="nil"/>
              <w:bottom w:val="single" w:sz="4" w:space="0" w:color="auto"/>
              <w:right w:val="single" w:sz="4" w:space="0" w:color="auto"/>
            </w:tcBorders>
            <w:shd w:val="clear" w:color="auto" w:fill="auto"/>
            <w:vAlign w:val="center"/>
            <w:hideMark/>
          </w:tcPr>
          <w:p w14:paraId="4CA1CC2E"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Gradbene strukture in materiali; pomožni gradbeni izdelki (razen električnih aparatov)</w:t>
            </w:r>
          </w:p>
        </w:tc>
        <w:tc>
          <w:tcPr>
            <w:tcW w:w="388" w:type="pct"/>
            <w:tcBorders>
              <w:top w:val="nil"/>
              <w:left w:val="nil"/>
              <w:bottom w:val="single" w:sz="4" w:space="0" w:color="auto"/>
              <w:right w:val="single" w:sz="4" w:space="0" w:color="auto"/>
            </w:tcBorders>
            <w:shd w:val="clear" w:color="auto" w:fill="auto"/>
            <w:vAlign w:val="center"/>
            <w:hideMark/>
          </w:tcPr>
          <w:p w14:paraId="7622E2F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23</w:t>
            </w:r>
          </w:p>
        </w:tc>
        <w:tc>
          <w:tcPr>
            <w:tcW w:w="801" w:type="pct"/>
            <w:tcBorders>
              <w:top w:val="nil"/>
              <w:left w:val="nil"/>
              <w:bottom w:val="single" w:sz="4" w:space="0" w:color="auto"/>
              <w:right w:val="single" w:sz="4" w:space="0" w:color="auto"/>
            </w:tcBorders>
            <w:shd w:val="clear" w:color="auto" w:fill="auto"/>
            <w:vAlign w:val="center"/>
            <w:hideMark/>
          </w:tcPr>
          <w:p w14:paraId="3369166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1.931.793</w:t>
            </w:r>
          </w:p>
        </w:tc>
        <w:tc>
          <w:tcPr>
            <w:tcW w:w="628" w:type="pct"/>
            <w:tcBorders>
              <w:top w:val="nil"/>
              <w:left w:val="nil"/>
              <w:bottom w:val="single" w:sz="4" w:space="0" w:color="auto"/>
              <w:right w:val="single" w:sz="4" w:space="0" w:color="auto"/>
            </w:tcBorders>
            <w:shd w:val="clear" w:color="auto" w:fill="auto"/>
            <w:noWrap/>
            <w:vAlign w:val="center"/>
            <w:hideMark/>
          </w:tcPr>
          <w:p w14:paraId="618D927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0,48 %</w:t>
            </w:r>
          </w:p>
        </w:tc>
        <w:tc>
          <w:tcPr>
            <w:tcW w:w="491" w:type="pct"/>
            <w:tcBorders>
              <w:top w:val="nil"/>
              <w:left w:val="nil"/>
              <w:bottom w:val="single" w:sz="4" w:space="0" w:color="auto"/>
              <w:right w:val="single" w:sz="4" w:space="0" w:color="auto"/>
            </w:tcBorders>
            <w:shd w:val="clear" w:color="auto" w:fill="auto"/>
            <w:noWrap/>
            <w:vAlign w:val="center"/>
            <w:hideMark/>
          </w:tcPr>
          <w:p w14:paraId="0F397EC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0,09 %</w:t>
            </w:r>
          </w:p>
        </w:tc>
        <w:tc>
          <w:tcPr>
            <w:tcW w:w="452" w:type="pct"/>
            <w:tcBorders>
              <w:top w:val="nil"/>
              <w:left w:val="nil"/>
              <w:bottom w:val="single" w:sz="4" w:space="0" w:color="auto"/>
              <w:right w:val="single" w:sz="4" w:space="0" w:color="auto"/>
            </w:tcBorders>
            <w:shd w:val="clear" w:color="auto" w:fill="auto"/>
            <w:noWrap/>
            <w:vAlign w:val="center"/>
            <w:hideMark/>
          </w:tcPr>
          <w:p w14:paraId="2BC283E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0,14 %</w:t>
            </w:r>
          </w:p>
        </w:tc>
        <w:tc>
          <w:tcPr>
            <w:tcW w:w="620" w:type="pct"/>
            <w:tcBorders>
              <w:top w:val="nil"/>
              <w:left w:val="nil"/>
              <w:bottom w:val="single" w:sz="4" w:space="0" w:color="auto"/>
              <w:right w:val="single" w:sz="4" w:space="0" w:color="auto"/>
            </w:tcBorders>
            <w:shd w:val="clear" w:color="auto" w:fill="auto"/>
            <w:noWrap/>
            <w:vAlign w:val="center"/>
            <w:hideMark/>
          </w:tcPr>
          <w:p w14:paraId="604BBB7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0,03 %</w:t>
            </w:r>
          </w:p>
        </w:tc>
      </w:tr>
      <w:tr w:rsidR="00F24E18" w:rsidRPr="00B20709" w14:paraId="00F2E591"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0F65CB2D"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45</w:t>
            </w:r>
          </w:p>
        </w:tc>
        <w:tc>
          <w:tcPr>
            <w:tcW w:w="1221" w:type="pct"/>
            <w:tcBorders>
              <w:top w:val="nil"/>
              <w:left w:val="nil"/>
              <w:bottom w:val="single" w:sz="4" w:space="0" w:color="auto"/>
              <w:right w:val="single" w:sz="4" w:space="0" w:color="auto"/>
            </w:tcBorders>
            <w:shd w:val="clear" w:color="auto" w:fill="auto"/>
            <w:vAlign w:val="center"/>
            <w:hideMark/>
          </w:tcPr>
          <w:p w14:paraId="4F3038C4"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Gradbena dela</w:t>
            </w:r>
          </w:p>
        </w:tc>
        <w:tc>
          <w:tcPr>
            <w:tcW w:w="388" w:type="pct"/>
            <w:tcBorders>
              <w:top w:val="nil"/>
              <w:left w:val="nil"/>
              <w:bottom w:val="single" w:sz="4" w:space="0" w:color="auto"/>
              <w:right w:val="single" w:sz="4" w:space="0" w:color="auto"/>
            </w:tcBorders>
            <w:shd w:val="clear" w:color="auto" w:fill="auto"/>
            <w:vAlign w:val="center"/>
            <w:hideMark/>
          </w:tcPr>
          <w:p w14:paraId="07FE929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535</w:t>
            </w:r>
          </w:p>
        </w:tc>
        <w:tc>
          <w:tcPr>
            <w:tcW w:w="801" w:type="pct"/>
            <w:tcBorders>
              <w:top w:val="nil"/>
              <w:left w:val="nil"/>
              <w:bottom w:val="single" w:sz="4" w:space="0" w:color="auto"/>
              <w:right w:val="single" w:sz="4" w:space="0" w:color="auto"/>
            </w:tcBorders>
            <w:shd w:val="clear" w:color="auto" w:fill="auto"/>
            <w:vAlign w:val="center"/>
            <w:hideMark/>
          </w:tcPr>
          <w:p w14:paraId="4C4B81F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692.738.659</w:t>
            </w:r>
          </w:p>
        </w:tc>
        <w:tc>
          <w:tcPr>
            <w:tcW w:w="628" w:type="pct"/>
            <w:tcBorders>
              <w:top w:val="nil"/>
              <w:left w:val="nil"/>
              <w:bottom w:val="single" w:sz="4" w:space="0" w:color="auto"/>
              <w:right w:val="single" w:sz="4" w:space="0" w:color="auto"/>
            </w:tcBorders>
            <w:shd w:val="clear" w:color="auto" w:fill="auto"/>
            <w:noWrap/>
            <w:vAlign w:val="center"/>
            <w:hideMark/>
          </w:tcPr>
          <w:p w14:paraId="07C53D3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11,14 %</w:t>
            </w:r>
          </w:p>
        </w:tc>
        <w:tc>
          <w:tcPr>
            <w:tcW w:w="491" w:type="pct"/>
            <w:tcBorders>
              <w:top w:val="nil"/>
              <w:left w:val="nil"/>
              <w:bottom w:val="single" w:sz="4" w:space="0" w:color="auto"/>
              <w:right w:val="single" w:sz="4" w:space="0" w:color="auto"/>
            </w:tcBorders>
            <w:shd w:val="clear" w:color="auto" w:fill="auto"/>
            <w:noWrap/>
            <w:vAlign w:val="center"/>
            <w:hideMark/>
          </w:tcPr>
          <w:p w14:paraId="34CA3D1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32,41 %</w:t>
            </w:r>
          </w:p>
        </w:tc>
        <w:tc>
          <w:tcPr>
            <w:tcW w:w="452" w:type="pct"/>
            <w:tcBorders>
              <w:top w:val="nil"/>
              <w:left w:val="nil"/>
              <w:bottom w:val="single" w:sz="4" w:space="0" w:color="auto"/>
              <w:right w:val="single" w:sz="4" w:space="0" w:color="auto"/>
            </w:tcBorders>
            <w:shd w:val="clear" w:color="auto" w:fill="auto"/>
            <w:noWrap/>
            <w:vAlign w:val="center"/>
            <w:hideMark/>
          </w:tcPr>
          <w:p w14:paraId="4D95D06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3,18 %</w:t>
            </w:r>
          </w:p>
        </w:tc>
        <w:tc>
          <w:tcPr>
            <w:tcW w:w="620" w:type="pct"/>
            <w:tcBorders>
              <w:top w:val="nil"/>
              <w:left w:val="nil"/>
              <w:bottom w:val="single" w:sz="4" w:space="0" w:color="auto"/>
              <w:right w:val="single" w:sz="4" w:space="0" w:color="auto"/>
            </w:tcBorders>
            <w:shd w:val="clear" w:color="auto" w:fill="auto"/>
            <w:noWrap/>
            <w:vAlign w:val="center"/>
            <w:hideMark/>
          </w:tcPr>
          <w:p w14:paraId="0769CD3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11,12 %</w:t>
            </w:r>
          </w:p>
        </w:tc>
      </w:tr>
      <w:tr w:rsidR="00F24E18" w:rsidRPr="00B20709" w14:paraId="39DEC6BD"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015DA7B3"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48</w:t>
            </w:r>
          </w:p>
        </w:tc>
        <w:tc>
          <w:tcPr>
            <w:tcW w:w="1221" w:type="pct"/>
            <w:tcBorders>
              <w:top w:val="nil"/>
              <w:left w:val="nil"/>
              <w:bottom w:val="single" w:sz="4" w:space="0" w:color="auto"/>
              <w:right w:val="single" w:sz="4" w:space="0" w:color="auto"/>
            </w:tcBorders>
            <w:shd w:val="clear" w:color="auto" w:fill="auto"/>
            <w:vAlign w:val="center"/>
            <w:hideMark/>
          </w:tcPr>
          <w:p w14:paraId="00F71E1A"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Programski paketi in informacijski sistemi</w:t>
            </w:r>
          </w:p>
        </w:tc>
        <w:tc>
          <w:tcPr>
            <w:tcW w:w="388" w:type="pct"/>
            <w:tcBorders>
              <w:top w:val="nil"/>
              <w:left w:val="nil"/>
              <w:bottom w:val="single" w:sz="4" w:space="0" w:color="auto"/>
              <w:right w:val="single" w:sz="4" w:space="0" w:color="auto"/>
            </w:tcBorders>
            <w:shd w:val="clear" w:color="auto" w:fill="auto"/>
            <w:vAlign w:val="center"/>
            <w:hideMark/>
          </w:tcPr>
          <w:p w14:paraId="234A808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13</w:t>
            </w:r>
          </w:p>
        </w:tc>
        <w:tc>
          <w:tcPr>
            <w:tcW w:w="801" w:type="pct"/>
            <w:tcBorders>
              <w:top w:val="nil"/>
              <w:left w:val="nil"/>
              <w:bottom w:val="single" w:sz="4" w:space="0" w:color="auto"/>
              <w:right w:val="single" w:sz="4" w:space="0" w:color="auto"/>
            </w:tcBorders>
            <w:shd w:val="clear" w:color="auto" w:fill="auto"/>
            <w:vAlign w:val="center"/>
            <w:hideMark/>
          </w:tcPr>
          <w:p w14:paraId="7C31ABA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19.089.532</w:t>
            </w:r>
          </w:p>
        </w:tc>
        <w:tc>
          <w:tcPr>
            <w:tcW w:w="628" w:type="pct"/>
            <w:tcBorders>
              <w:top w:val="nil"/>
              <w:left w:val="nil"/>
              <w:bottom w:val="single" w:sz="4" w:space="0" w:color="auto"/>
              <w:right w:val="single" w:sz="4" w:space="0" w:color="auto"/>
            </w:tcBorders>
            <w:shd w:val="clear" w:color="auto" w:fill="auto"/>
            <w:noWrap/>
            <w:vAlign w:val="center"/>
            <w:hideMark/>
          </w:tcPr>
          <w:p w14:paraId="18922D0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0,27 %</w:t>
            </w:r>
          </w:p>
        </w:tc>
        <w:tc>
          <w:tcPr>
            <w:tcW w:w="491" w:type="pct"/>
            <w:tcBorders>
              <w:top w:val="nil"/>
              <w:left w:val="nil"/>
              <w:bottom w:val="single" w:sz="4" w:space="0" w:color="auto"/>
              <w:right w:val="single" w:sz="4" w:space="0" w:color="auto"/>
            </w:tcBorders>
            <w:shd w:val="clear" w:color="auto" w:fill="auto"/>
            <w:noWrap/>
            <w:vAlign w:val="center"/>
            <w:hideMark/>
          </w:tcPr>
          <w:p w14:paraId="3AD50B4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0,89 %</w:t>
            </w:r>
          </w:p>
        </w:tc>
        <w:tc>
          <w:tcPr>
            <w:tcW w:w="452" w:type="pct"/>
            <w:tcBorders>
              <w:top w:val="nil"/>
              <w:left w:val="nil"/>
              <w:bottom w:val="single" w:sz="4" w:space="0" w:color="auto"/>
              <w:right w:val="single" w:sz="4" w:space="0" w:color="auto"/>
            </w:tcBorders>
            <w:shd w:val="clear" w:color="auto" w:fill="auto"/>
            <w:noWrap/>
            <w:vAlign w:val="center"/>
            <w:hideMark/>
          </w:tcPr>
          <w:p w14:paraId="1A1E781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0,08 %</w:t>
            </w:r>
          </w:p>
        </w:tc>
        <w:tc>
          <w:tcPr>
            <w:tcW w:w="620" w:type="pct"/>
            <w:tcBorders>
              <w:top w:val="nil"/>
              <w:left w:val="nil"/>
              <w:bottom w:val="single" w:sz="4" w:space="0" w:color="auto"/>
              <w:right w:val="single" w:sz="4" w:space="0" w:color="auto"/>
            </w:tcBorders>
            <w:shd w:val="clear" w:color="auto" w:fill="auto"/>
            <w:noWrap/>
            <w:vAlign w:val="center"/>
            <w:hideMark/>
          </w:tcPr>
          <w:p w14:paraId="1DF0CC6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0,31 %</w:t>
            </w:r>
          </w:p>
        </w:tc>
      </w:tr>
      <w:tr w:rsidR="00F24E18" w:rsidRPr="00B20709" w14:paraId="73A218D8"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327B1E66"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lastRenderedPageBreak/>
              <w:t>50</w:t>
            </w:r>
          </w:p>
        </w:tc>
        <w:tc>
          <w:tcPr>
            <w:tcW w:w="1221" w:type="pct"/>
            <w:tcBorders>
              <w:top w:val="nil"/>
              <w:left w:val="nil"/>
              <w:bottom w:val="single" w:sz="4" w:space="0" w:color="auto"/>
              <w:right w:val="single" w:sz="4" w:space="0" w:color="auto"/>
            </w:tcBorders>
            <w:shd w:val="clear" w:color="auto" w:fill="auto"/>
            <w:vAlign w:val="center"/>
            <w:hideMark/>
          </w:tcPr>
          <w:p w14:paraId="3849EB73"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popravila in vzdrževanja</w:t>
            </w:r>
          </w:p>
        </w:tc>
        <w:tc>
          <w:tcPr>
            <w:tcW w:w="388" w:type="pct"/>
            <w:tcBorders>
              <w:top w:val="nil"/>
              <w:left w:val="nil"/>
              <w:bottom w:val="single" w:sz="4" w:space="0" w:color="auto"/>
              <w:right w:val="single" w:sz="4" w:space="0" w:color="auto"/>
            </w:tcBorders>
            <w:shd w:val="clear" w:color="auto" w:fill="auto"/>
            <w:vAlign w:val="center"/>
            <w:hideMark/>
          </w:tcPr>
          <w:p w14:paraId="06DA5DB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65</w:t>
            </w:r>
          </w:p>
        </w:tc>
        <w:tc>
          <w:tcPr>
            <w:tcW w:w="801" w:type="pct"/>
            <w:tcBorders>
              <w:top w:val="nil"/>
              <w:left w:val="nil"/>
              <w:bottom w:val="single" w:sz="4" w:space="0" w:color="auto"/>
              <w:right w:val="single" w:sz="4" w:space="0" w:color="auto"/>
            </w:tcBorders>
            <w:shd w:val="clear" w:color="auto" w:fill="auto"/>
            <w:vAlign w:val="center"/>
            <w:hideMark/>
          </w:tcPr>
          <w:p w14:paraId="02490AA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12.755.763</w:t>
            </w:r>
          </w:p>
        </w:tc>
        <w:tc>
          <w:tcPr>
            <w:tcW w:w="628" w:type="pct"/>
            <w:tcBorders>
              <w:top w:val="nil"/>
              <w:left w:val="nil"/>
              <w:bottom w:val="single" w:sz="4" w:space="0" w:color="auto"/>
              <w:right w:val="single" w:sz="4" w:space="0" w:color="auto"/>
            </w:tcBorders>
            <w:shd w:val="clear" w:color="auto" w:fill="auto"/>
            <w:noWrap/>
            <w:vAlign w:val="center"/>
            <w:hideMark/>
          </w:tcPr>
          <w:p w14:paraId="472A306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1,35 %</w:t>
            </w:r>
          </w:p>
        </w:tc>
        <w:tc>
          <w:tcPr>
            <w:tcW w:w="491" w:type="pct"/>
            <w:tcBorders>
              <w:top w:val="nil"/>
              <w:left w:val="nil"/>
              <w:bottom w:val="single" w:sz="4" w:space="0" w:color="auto"/>
              <w:right w:val="single" w:sz="4" w:space="0" w:color="auto"/>
            </w:tcBorders>
            <w:shd w:val="clear" w:color="auto" w:fill="auto"/>
            <w:noWrap/>
            <w:vAlign w:val="center"/>
            <w:hideMark/>
          </w:tcPr>
          <w:p w14:paraId="388F14A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0,60 %</w:t>
            </w:r>
          </w:p>
        </w:tc>
        <w:tc>
          <w:tcPr>
            <w:tcW w:w="452" w:type="pct"/>
            <w:tcBorders>
              <w:top w:val="nil"/>
              <w:left w:val="nil"/>
              <w:bottom w:val="single" w:sz="4" w:space="0" w:color="auto"/>
              <w:right w:val="single" w:sz="4" w:space="0" w:color="auto"/>
            </w:tcBorders>
            <w:shd w:val="clear" w:color="auto" w:fill="auto"/>
            <w:noWrap/>
            <w:vAlign w:val="center"/>
            <w:hideMark/>
          </w:tcPr>
          <w:p w14:paraId="6417BDC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0,39 %</w:t>
            </w:r>
          </w:p>
        </w:tc>
        <w:tc>
          <w:tcPr>
            <w:tcW w:w="620" w:type="pct"/>
            <w:tcBorders>
              <w:top w:val="nil"/>
              <w:left w:val="nil"/>
              <w:bottom w:val="single" w:sz="4" w:space="0" w:color="auto"/>
              <w:right w:val="single" w:sz="4" w:space="0" w:color="auto"/>
            </w:tcBorders>
            <w:shd w:val="clear" w:color="auto" w:fill="auto"/>
            <w:noWrap/>
            <w:vAlign w:val="center"/>
            <w:hideMark/>
          </w:tcPr>
          <w:p w14:paraId="7DD8723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0,20 %</w:t>
            </w:r>
          </w:p>
        </w:tc>
      </w:tr>
      <w:tr w:rsidR="00F24E18" w:rsidRPr="00B20709" w14:paraId="12F9DAC3"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2C9FFC4C"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51</w:t>
            </w:r>
          </w:p>
        </w:tc>
        <w:tc>
          <w:tcPr>
            <w:tcW w:w="1221" w:type="pct"/>
            <w:tcBorders>
              <w:top w:val="nil"/>
              <w:left w:val="nil"/>
              <w:bottom w:val="single" w:sz="4" w:space="0" w:color="auto"/>
              <w:right w:val="single" w:sz="4" w:space="0" w:color="auto"/>
            </w:tcBorders>
            <w:shd w:val="clear" w:color="auto" w:fill="auto"/>
            <w:vAlign w:val="center"/>
            <w:hideMark/>
          </w:tcPr>
          <w:p w14:paraId="109EC3C2"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inštalacije (razen programske opreme)</w:t>
            </w:r>
          </w:p>
        </w:tc>
        <w:tc>
          <w:tcPr>
            <w:tcW w:w="388" w:type="pct"/>
            <w:tcBorders>
              <w:top w:val="nil"/>
              <w:left w:val="nil"/>
              <w:bottom w:val="single" w:sz="4" w:space="0" w:color="auto"/>
              <w:right w:val="single" w:sz="4" w:space="0" w:color="auto"/>
            </w:tcBorders>
            <w:shd w:val="clear" w:color="auto" w:fill="auto"/>
            <w:vAlign w:val="center"/>
            <w:hideMark/>
          </w:tcPr>
          <w:p w14:paraId="35C89C4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w:t>
            </w:r>
          </w:p>
        </w:tc>
        <w:tc>
          <w:tcPr>
            <w:tcW w:w="801" w:type="pct"/>
            <w:tcBorders>
              <w:top w:val="nil"/>
              <w:left w:val="nil"/>
              <w:bottom w:val="single" w:sz="4" w:space="0" w:color="auto"/>
              <w:right w:val="single" w:sz="4" w:space="0" w:color="auto"/>
            </w:tcBorders>
            <w:shd w:val="clear" w:color="auto" w:fill="auto"/>
            <w:vAlign w:val="center"/>
            <w:hideMark/>
          </w:tcPr>
          <w:p w14:paraId="6C202F7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267.240</w:t>
            </w:r>
          </w:p>
        </w:tc>
        <w:tc>
          <w:tcPr>
            <w:tcW w:w="628" w:type="pct"/>
            <w:tcBorders>
              <w:top w:val="nil"/>
              <w:left w:val="nil"/>
              <w:bottom w:val="single" w:sz="4" w:space="0" w:color="auto"/>
              <w:right w:val="single" w:sz="4" w:space="0" w:color="auto"/>
            </w:tcBorders>
            <w:shd w:val="clear" w:color="auto" w:fill="auto"/>
            <w:noWrap/>
            <w:vAlign w:val="center"/>
            <w:hideMark/>
          </w:tcPr>
          <w:p w14:paraId="29CA337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0,06 %</w:t>
            </w:r>
          </w:p>
        </w:tc>
        <w:tc>
          <w:tcPr>
            <w:tcW w:w="491" w:type="pct"/>
            <w:tcBorders>
              <w:top w:val="nil"/>
              <w:left w:val="nil"/>
              <w:bottom w:val="single" w:sz="4" w:space="0" w:color="auto"/>
              <w:right w:val="single" w:sz="4" w:space="0" w:color="auto"/>
            </w:tcBorders>
            <w:shd w:val="clear" w:color="auto" w:fill="auto"/>
            <w:noWrap/>
            <w:vAlign w:val="center"/>
            <w:hideMark/>
          </w:tcPr>
          <w:p w14:paraId="4D241A8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452" w:type="pct"/>
            <w:tcBorders>
              <w:top w:val="nil"/>
              <w:left w:val="nil"/>
              <w:bottom w:val="single" w:sz="4" w:space="0" w:color="auto"/>
              <w:right w:val="single" w:sz="4" w:space="0" w:color="auto"/>
            </w:tcBorders>
            <w:shd w:val="clear" w:color="auto" w:fill="auto"/>
            <w:noWrap/>
            <w:vAlign w:val="center"/>
            <w:hideMark/>
          </w:tcPr>
          <w:p w14:paraId="7D1B0B9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620" w:type="pct"/>
            <w:tcBorders>
              <w:top w:val="nil"/>
              <w:left w:val="nil"/>
              <w:bottom w:val="single" w:sz="4" w:space="0" w:color="auto"/>
              <w:right w:val="single" w:sz="4" w:space="0" w:color="auto"/>
            </w:tcBorders>
            <w:shd w:val="clear" w:color="auto" w:fill="auto"/>
            <w:noWrap/>
            <w:vAlign w:val="center"/>
            <w:hideMark/>
          </w:tcPr>
          <w:p w14:paraId="119818B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0,00 %</w:t>
            </w:r>
          </w:p>
        </w:tc>
      </w:tr>
      <w:tr w:rsidR="00F24E18" w:rsidRPr="00B20709" w14:paraId="3BF77B44"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164A24FD"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55</w:t>
            </w:r>
          </w:p>
        </w:tc>
        <w:tc>
          <w:tcPr>
            <w:tcW w:w="1221" w:type="pct"/>
            <w:tcBorders>
              <w:top w:val="nil"/>
              <w:left w:val="nil"/>
              <w:bottom w:val="single" w:sz="4" w:space="0" w:color="auto"/>
              <w:right w:val="single" w:sz="4" w:space="0" w:color="auto"/>
            </w:tcBorders>
            <w:shd w:val="clear" w:color="auto" w:fill="auto"/>
            <w:vAlign w:val="center"/>
            <w:hideMark/>
          </w:tcPr>
          <w:p w14:paraId="3579AF97"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hotelov, restavracij in trgovine na drobno</w:t>
            </w:r>
          </w:p>
        </w:tc>
        <w:tc>
          <w:tcPr>
            <w:tcW w:w="388" w:type="pct"/>
            <w:tcBorders>
              <w:top w:val="nil"/>
              <w:left w:val="nil"/>
              <w:bottom w:val="single" w:sz="4" w:space="0" w:color="auto"/>
              <w:right w:val="single" w:sz="4" w:space="0" w:color="auto"/>
            </w:tcBorders>
            <w:shd w:val="clear" w:color="auto" w:fill="auto"/>
            <w:vAlign w:val="center"/>
            <w:hideMark/>
          </w:tcPr>
          <w:p w14:paraId="1851F7B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w:t>
            </w:r>
          </w:p>
        </w:tc>
        <w:tc>
          <w:tcPr>
            <w:tcW w:w="801" w:type="pct"/>
            <w:tcBorders>
              <w:top w:val="nil"/>
              <w:left w:val="nil"/>
              <w:bottom w:val="single" w:sz="4" w:space="0" w:color="auto"/>
              <w:right w:val="single" w:sz="4" w:space="0" w:color="auto"/>
            </w:tcBorders>
            <w:shd w:val="clear" w:color="auto" w:fill="auto"/>
            <w:vAlign w:val="center"/>
            <w:hideMark/>
          </w:tcPr>
          <w:p w14:paraId="1B99FD3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14.481.272</w:t>
            </w:r>
          </w:p>
        </w:tc>
        <w:tc>
          <w:tcPr>
            <w:tcW w:w="628" w:type="pct"/>
            <w:tcBorders>
              <w:top w:val="nil"/>
              <w:left w:val="nil"/>
              <w:bottom w:val="single" w:sz="4" w:space="0" w:color="auto"/>
              <w:right w:val="single" w:sz="4" w:space="0" w:color="auto"/>
            </w:tcBorders>
            <w:shd w:val="clear" w:color="auto" w:fill="auto"/>
            <w:noWrap/>
            <w:vAlign w:val="center"/>
            <w:hideMark/>
          </w:tcPr>
          <w:p w14:paraId="7D9485A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0,12 %</w:t>
            </w:r>
          </w:p>
        </w:tc>
        <w:tc>
          <w:tcPr>
            <w:tcW w:w="491" w:type="pct"/>
            <w:tcBorders>
              <w:top w:val="nil"/>
              <w:left w:val="nil"/>
              <w:bottom w:val="single" w:sz="4" w:space="0" w:color="auto"/>
              <w:right w:val="single" w:sz="4" w:space="0" w:color="auto"/>
            </w:tcBorders>
            <w:shd w:val="clear" w:color="auto" w:fill="auto"/>
            <w:noWrap/>
            <w:vAlign w:val="center"/>
            <w:hideMark/>
          </w:tcPr>
          <w:p w14:paraId="45D8C4A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0,68 %</w:t>
            </w:r>
          </w:p>
        </w:tc>
        <w:tc>
          <w:tcPr>
            <w:tcW w:w="452" w:type="pct"/>
            <w:tcBorders>
              <w:top w:val="nil"/>
              <w:left w:val="nil"/>
              <w:bottom w:val="single" w:sz="4" w:space="0" w:color="auto"/>
              <w:right w:val="single" w:sz="4" w:space="0" w:color="auto"/>
            </w:tcBorders>
            <w:shd w:val="clear" w:color="auto" w:fill="auto"/>
            <w:noWrap/>
            <w:vAlign w:val="center"/>
            <w:hideMark/>
          </w:tcPr>
          <w:p w14:paraId="27FD9BF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c>
          <w:tcPr>
            <w:tcW w:w="620" w:type="pct"/>
            <w:tcBorders>
              <w:top w:val="nil"/>
              <w:left w:val="nil"/>
              <w:bottom w:val="single" w:sz="4" w:space="0" w:color="auto"/>
              <w:right w:val="single" w:sz="4" w:space="0" w:color="auto"/>
            </w:tcBorders>
            <w:shd w:val="clear" w:color="auto" w:fill="auto"/>
            <w:noWrap/>
            <w:vAlign w:val="center"/>
            <w:hideMark/>
          </w:tcPr>
          <w:p w14:paraId="4755A71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0,23 %</w:t>
            </w:r>
          </w:p>
        </w:tc>
      </w:tr>
      <w:tr w:rsidR="00F24E18" w:rsidRPr="00B20709" w14:paraId="7A939FF0"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2040A0BE"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60</w:t>
            </w:r>
          </w:p>
        </w:tc>
        <w:tc>
          <w:tcPr>
            <w:tcW w:w="1221" w:type="pct"/>
            <w:tcBorders>
              <w:top w:val="nil"/>
              <w:left w:val="nil"/>
              <w:bottom w:val="single" w:sz="4" w:space="0" w:color="auto"/>
              <w:right w:val="single" w:sz="4" w:space="0" w:color="auto"/>
            </w:tcBorders>
            <w:shd w:val="clear" w:color="auto" w:fill="auto"/>
            <w:vAlign w:val="center"/>
            <w:hideMark/>
          </w:tcPr>
          <w:p w14:paraId="6A6365F9"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Prevozne storitve (razen prevoza odpadkov)</w:t>
            </w:r>
          </w:p>
        </w:tc>
        <w:tc>
          <w:tcPr>
            <w:tcW w:w="388" w:type="pct"/>
            <w:tcBorders>
              <w:top w:val="nil"/>
              <w:left w:val="nil"/>
              <w:bottom w:val="single" w:sz="4" w:space="0" w:color="auto"/>
              <w:right w:val="single" w:sz="4" w:space="0" w:color="auto"/>
            </w:tcBorders>
            <w:shd w:val="clear" w:color="auto" w:fill="auto"/>
            <w:vAlign w:val="center"/>
            <w:hideMark/>
          </w:tcPr>
          <w:p w14:paraId="024BF03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158</w:t>
            </w:r>
          </w:p>
        </w:tc>
        <w:tc>
          <w:tcPr>
            <w:tcW w:w="801" w:type="pct"/>
            <w:tcBorders>
              <w:top w:val="nil"/>
              <w:left w:val="nil"/>
              <w:bottom w:val="single" w:sz="4" w:space="0" w:color="auto"/>
              <w:right w:val="single" w:sz="4" w:space="0" w:color="auto"/>
            </w:tcBorders>
            <w:shd w:val="clear" w:color="auto" w:fill="auto"/>
            <w:vAlign w:val="center"/>
            <w:hideMark/>
          </w:tcPr>
          <w:p w14:paraId="364AC03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667.080.510</w:t>
            </w:r>
          </w:p>
        </w:tc>
        <w:tc>
          <w:tcPr>
            <w:tcW w:w="628" w:type="pct"/>
            <w:tcBorders>
              <w:top w:val="nil"/>
              <w:left w:val="nil"/>
              <w:bottom w:val="single" w:sz="4" w:space="0" w:color="auto"/>
              <w:right w:val="single" w:sz="4" w:space="0" w:color="auto"/>
            </w:tcBorders>
            <w:shd w:val="clear" w:color="auto" w:fill="auto"/>
            <w:noWrap/>
            <w:vAlign w:val="center"/>
            <w:hideMark/>
          </w:tcPr>
          <w:p w14:paraId="6CBC3F0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3,29 %</w:t>
            </w:r>
          </w:p>
        </w:tc>
        <w:tc>
          <w:tcPr>
            <w:tcW w:w="491" w:type="pct"/>
            <w:tcBorders>
              <w:top w:val="nil"/>
              <w:left w:val="nil"/>
              <w:bottom w:val="single" w:sz="4" w:space="0" w:color="auto"/>
              <w:right w:val="single" w:sz="4" w:space="0" w:color="auto"/>
            </w:tcBorders>
            <w:shd w:val="clear" w:color="auto" w:fill="auto"/>
            <w:noWrap/>
            <w:vAlign w:val="center"/>
            <w:hideMark/>
          </w:tcPr>
          <w:p w14:paraId="0CCB63A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31,21 %</w:t>
            </w:r>
          </w:p>
        </w:tc>
        <w:tc>
          <w:tcPr>
            <w:tcW w:w="452" w:type="pct"/>
            <w:tcBorders>
              <w:top w:val="nil"/>
              <w:left w:val="nil"/>
              <w:bottom w:val="single" w:sz="4" w:space="0" w:color="auto"/>
              <w:right w:val="single" w:sz="4" w:space="0" w:color="auto"/>
            </w:tcBorders>
            <w:shd w:val="clear" w:color="auto" w:fill="auto"/>
            <w:noWrap/>
            <w:vAlign w:val="center"/>
            <w:hideMark/>
          </w:tcPr>
          <w:p w14:paraId="71BB1C2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0,94 %</w:t>
            </w:r>
          </w:p>
        </w:tc>
        <w:tc>
          <w:tcPr>
            <w:tcW w:w="620" w:type="pct"/>
            <w:tcBorders>
              <w:top w:val="nil"/>
              <w:left w:val="nil"/>
              <w:bottom w:val="single" w:sz="4" w:space="0" w:color="auto"/>
              <w:right w:val="single" w:sz="4" w:space="0" w:color="auto"/>
            </w:tcBorders>
            <w:shd w:val="clear" w:color="auto" w:fill="auto"/>
            <w:noWrap/>
            <w:vAlign w:val="center"/>
            <w:hideMark/>
          </w:tcPr>
          <w:p w14:paraId="3233717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10,70 %</w:t>
            </w:r>
          </w:p>
        </w:tc>
      </w:tr>
      <w:tr w:rsidR="00F24E18" w:rsidRPr="00B20709" w14:paraId="74F69020"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0C6BBA9E"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66</w:t>
            </w:r>
          </w:p>
        </w:tc>
        <w:tc>
          <w:tcPr>
            <w:tcW w:w="1221" w:type="pct"/>
            <w:tcBorders>
              <w:top w:val="nil"/>
              <w:left w:val="nil"/>
              <w:bottom w:val="single" w:sz="4" w:space="0" w:color="auto"/>
              <w:right w:val="single" w:sz="4" w:space="0" w:color="auto"/>
            </w:tcBorders>
            <w:shd w:val="clear" w:color="auto" w:fill="auto"/>
            <w:vAlign w:val="center"/>
            <w:hideMark/>
          </w:tcPr>
          <w:p w14:paraId="1BE2FFC4"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Finančne in zavarovalniške storitve</w:t>
            </w:r>
          </w:p>
        </w:tc>
        <w:tc>
          <w:tcPr>
            <w:tcW w:w="388" w:type="pct"/>
            <w:tcBorders>
              <w:top w:val="nil"/>
              <w:left w:val="nil"/>
              <w:bottom w:val="single" w:sz="4" w:space="0" w:color="auto"/>
              <w:right w:val="single" w:sz="4" w:space="0" w:color="auto"/>
            </w:tcBorders>
            <w:shd w:val="clear" w:color="auto" w:fill="auto"/>
            <w:vAlign w:val="center"/>
            <w:hideMark/>
          </w:tcPr>
          <w:p w14:paraId="6E7AB6C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w:t>
            </w:r>
          </w:p>
        </w:tc>
        <w:tc>
          <w:tcPr>
            <w:tcW w:w="801" w:type="pct"/>
            <w:tcBorders>
              <w:top w:val="nil"/>
              <w:left w:val="nil"/>
              <w:bottom w:val="single" w:sz="4" w:space="0" w:color="auto"/>
              <w:right w:val="single" w:sz="4" w:space="0" w:color="auto"/>
            </w:tcBorders>
            <w:shd w:val="clear" w:color="auto" w:fill="auto"/>
            <w:vAlign w:val="center"/>
            <w:hideMark/>
          </w:tcPr>
          <w:p w14:paraId="74C3C3F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2.212.433</w:t>
            </w:r>
          </w:p>
        </w:tc>
        <w:tc>
          <w:tcPr>
            <w:tcW w:w="628" w:type="pct"/>
            <w:tcBorders>
              <w:top w:val="nil"/>
              <w:left w:val="nil"/>
              <w:bottom w:val="single" w:sz="4" w:space="0" w:color="auto"/>
              <w:right w:val="single" w:sz="4" w:space="0" w:color="auto"/>
            </w:tcBorders>
            <w:shd w:val="clear" w:color="auto" w:fill="auto"/>
            <w:noWrap/>
            <w:vAlign w:val="center"/>
            <w:hideMark/>
          </w:tcPr>
          <w:p w14:paraId="1540DCE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0,12 %</w:t>
            </w:r>
          </w:p>
        </w:tc>
        <w:tc>
          <w:tcPr>
            <w:tcW w:w="491" w:type="pct"/>
            <w:tcBorders>
              <w:top w:val="nil"/>
              <w:left w:val="nil"/>
              <w:bottom w:val="single" w:sz="4" w:space="0" w:color="auto"/>
              <w:right w:val="single" w:sz="4" w:space="0" w:color="auto"/>
            </w:tcBorders>
            <w:shd w:val="clear" w:color="auto" w:fill="auto"/>
            <w:noWrap/>
            <w:vAlign w:val="center"/>
            <w:hideMark/>
          </w:tcPr>
          <w:p w14:paraId="74684AF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0,10 %</w:t>
            </w:r>
          </w:p>
        </w:tc>
        <w:tc>
          <w:tcPr>
            <w:tcW w:w="452" w:type="pct"/>
            <w:tcBorders>
              <w:top w:val="nil"/>
              <w:left w:val="nil"/>
              <w:bottom w:val="single" w:sz="4" w:space="0" w:color="auto"/>
              <w:right w:val="single" w:sz="4" w:space="0" w:color="auto"/>
            </w:tcBorders>
            <w:shd w:val="clear" w:color="auto" w:fill="auto"/>
            <w:noWrap/>
            <w:vAlign w:val="center"/>
            <w:hideMark/>
          </w:tcPr>
          <w:p w14:paraId="60118C0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c>
          <w:tcPr>
            <w:tcW w:w="620" w:type="pct"/>
            <w:tcBorders>
              <w:top w:val="nil"/>
              <w:left w:val="nil"/>
              <w:bottom w:val="single" w:sz="4" w:space="0" w:color="auto"/>
              <w:right w:val="single" w:sz="4" w:space="0" w:color="auto"/>
            </w:tcBorders>
            <w:shd w:val="clear" w:color="auto" w:fill="auto"/>
            <w:noWrap/>
            <w:vAlign w:val="center"/>
            <w:hideMark/>
          </w:tcPr>
          <w:p w14:paraId="1C3694C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r>
      <w:tr w:rsidR="00F24E18" w:rsidRPr="00B20709" w14:paraId="34AB0147"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320402CD"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70</w:t>
            </w:r>
          </w:p>
        </w:tc>
        <w:tc>
          <w:tcPr>
            <w:tcW w:w="1221" w:type="pct"/>
            <w:tcBorders>
              <w:top w:val="nil"/>
              <w:left w:val="nil"/>
              <w:bottom w:val="single" w:sz="4" w:space="0" w:color="auto"/>
              <w:right w:val="single" w:sz="4" w:space="0" w:color="auto"/>
            </w:tcBorders>
            <w:shd w:val="clear" w:color="auto" w:fill="auto"/>
            <w:vAlign w:val="center"/>
            <w:hideMark/>
          </w:tcPr>
          <w:p w14:paraId="5EEC50F5"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poslovanja z nepremičninami</w:t>
            </w:r>
          </w:p>
        </w:tc>
        <w:tc>
          <w:tcPr>
            <w:tcW w:w="388" w:type="pct"/>
            <w:tcBorders>
              <w:top w:val="nil"/>
              <w:left w:val="nil"/>
              <w:bottom w:val="single" w:sz="4" w:space="0" w:color="auto"/>
              <w:right w:val="single" w:sz="4" w:space="0" w:color="auto"/>
            </w:tcBorders>
            <w:shd w:val="clear" w:color="auto" w:fill="auto"/>
            <w:vAlign w:val="center"/>
            <w:hideMark/>
          </w:tcPr>
          <w:p w14:paraId="2AEAA2B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w:t>
            </w:r>
          </w:p>
        </w:tc>
        <w:tc>
          <w:tcPr>
            <w:tcW w:w="801" w:type="pct"/>
            <w:tcBorders>
              <w:top w:val="nil"/>
              <w:left w:val="nil"/>
              <w:bottom w:val="single" w:sz="4" w:space="0" w:color="auto"/>
              <w:right w:val="single" w:sz="4" w:space="0" w:color="auto"/>
            </w:tcBorders>
            <w:shd w:val="clear" w:color="auto" w:fill="auto"/>
            <w:vAlign w:val="center"/>
            <w:hideMark/>
          </w:tcPr>
          <w:p w14:paraId="06712CE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447.381</w:t>
            </w:r>
          </w:p>
        </w:tc>
        <w:tc>
          <w:tcPr>
            <w:tcW w:w="628" w:type="pct"/>
            <w:tcBorders>
              <w:top w:val="nil"/>
              <w:left w:val="nil"/>
              <w:bottom w:val="single" w:sz="4" w:space="0" w:color="auto"/>
              <w:right w:val="single" w:sz="4" w:space="0" w:color="auto"/>
            </w:tcBorders>
            <w:shd w:val="clear" w:color="auto" w:fill="auto"/>
            <w:noWrap/>
            <w:vAlign w:val="center"/>
            <w:hideMark/>
          </w:tcPr>
          <w:p w14:paraId="3ED4A5B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0,04 %</w:t>
            </w:r>
          </w:p>
        </w:tc>
        <w:tc>
          <w:tcPr>
            <w:tcW w:w="491" w:type="pct"/>
            <w:tcBorders>
              <w:top w:val="nil"/>
              <w:left w:val="nil"/>
              <w:bottom w:val="single" w:sz="4" w:space="0" w:color="auto"/>
              <w:right w:val="single" w:sz="4" w:space="0" w:color="auto"/>
            </w:tcBorders>
            <w:shd w:val="clear" w:color="auto" w:fill="auto"/>
            <w:noWrap/>
            <w:vAlign w:val="center"/>
            <w:hideMark/>
          </w:tcPr>
          <w:p w14:paraId="7EE6F4E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452" w:type="pct"/>
            <w:tcBorders>
              <w:top w:val="nil"/>
              <w:left w:val="nil"/>
              <w:bottom w:val="single" w:sz="4" w:space="0" w:color="auto"/>
              <w:right w:val="single" w:sz="4" w:space="0" w:color="auto"/>
            </w:tcBorders>
            <w:shd w:val="clear" w:color="auto" w:fill="auto"/>
            <w:noWrap/>
            <w:vAlign w:val="center"/>
            <w:hideMark/>
          </w:tcPr>
          <w:p w14:paraId="7D4D8F4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620" w:type="pct"/>
            <w:tcBorders>
              <w:top w:val="nil"/>
              <w:left w:val="nil"/>
              <w:bottom w:val="single" w:sz="4" w:space="0" w:color="auto"/>
              <w:right w:val="single" w:sz="4" w:space="0" w:color="auto"/>
            </w:tcBorders>
            <w:shd w:val="clear" w:color="auto" w:fill="auto"/>
            <w:noWrap/>
            <w:vAlign w:val="center"/>
            <w:hideMark/>
          </w:tcPr>
          <w:p w14:paraId="237E05A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r>
      <w:tr w:rsidR="00F24E18" w:rsidRPr="00B20709" w14:paraId="1EA13365"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1F5CCA13"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71</w:t>
            </w:r>
          </w:p>
        </w:tc>
        <w:tc>
          <w:tcPr>
            <w:tcW w:w="1221" w:type="pct"/>
            <w:tcBorders>
              <w:top w:val="nil"/>
              <w:left w:val="nil"/>
              <w:bottom w:val="single" w:sz="4" w:space="0" w:color="auto"/>
              <w:right w:val="single" w:sz="4" w:space="0" w:color="auto"/>
            </w:tcBorders>
            <w:shd w:val="clear" w:color="auto" w:fill="auto"/>
            <w:vAlign w:val="center"/>
            <w:hideMark/>
          </w:tcPr>
          <w:p w14:paraId="45C1071B"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Arhitekturne, gradbeniške, inženirske in inšpekcijske storitve</w:t>
            </w:r>
          </w:p>
        </w:tc>
        <w:tc>
          <w:tcPr>
            <w:tcW w:w="388" w:type="pct"/>
            <w:tcBorders>
              <w:top w:val="nil"/>
              <w:left w:val="nil"/>
              <w:bottom w:val="single" w:sz="4" w:space="0" w:color="auto"/>
              <w:right w:val="single" w:sz="4" w:space="0" w:color="auto"/>
            </w:tcBorders>
            <w:shd w:val="clear" w:color="auto" w:fill="auto"/>
            <w:vAlign w:val="center"/>
            <w:hideMark/>
          </w:tcPr>
          <w:p w14:paraId="193A663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80</w:t>
            </w:r>
          </w:p>
        </w:tc>
        <w:tc>
          <w:tcPr>
            <w:tcW w:w="801" w:type="pct"/>
            <w:tcBorders>
              <w:top w:val="nil"/>
              <w:left w:val="nil"/>
              <w:bottom w:val="single" w:sz="4" w:space="0" w:color="auto"/>
              <w:right w:val="single" w:sz="4" w:space="0" w:color="auto"/>
            </w:tcBorders>
            <w:shd w:val="clear" w:color="auto" w:fill="auto"/>
            <w:vAlign w:val="center"/>
            <w:hideMark/>
          </w:tcPr>
          <w:p w14:paraId="7070D3F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46.041.778</w:t>
            </w:r>
          </w:p>
        </w:tc>
        <w:tc>
          <w:tcPr>
            <w:tcW w:w="628" w:type="pct"/>
            <w:tcBorders>
              <w:top w:val="nil"/>
              <w:left w:val="nil"/>
              <w:bottom w:val="single" w:sz="4" w:space="0" w:color="auto"/>
              <w:right w:val="single" w:sz="4" w:space="0" w:color="auto"/>
            </w:tcBorders>
            <w:shd w:val="clear" w:color="auto" w:fill="auto"/>
            <w:noWrap/>
            <w:vAlign w:val="center"/>
            <w:hideMark/>
          </w:tcPr>
          <w:p w14:paraId="33800E6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1,67 %</w:t>
            </w:r>
          </w:p>
        </w:tc>
        <w:tc>
          <w:tcPr>
            <w:tcW w:w="491" w:type="pct"/>
            <w:tcBorders>
              <w:top w:val="nil"/>
              <w:left w:val="nil"/>
              <w:bottom w:val="single" w:sz="4" w:space="0" w:color="auto"/>
              <w:right w:val="single" w:sz="4" w:space="0" w:color="auto"/>
            </w:tcBorders>
            <w:shd w:val="clear" w:color="auto" w:fill="auto"/>
            <w:noWrap/>
            <w:vAlign w:val="center"/>
            <w:hideMark/>
          </w:tcPr>
          <w:p w14:paraId="52B592C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2,15 %</w:t>
            </w:r>
          </w:p>
        </w:tc>
        <w:tc>
          <w:tcPr>
            <w:tcW w:w="452" w:type="pct"/>
            <w:tcBorders>
              <w:top w:val="nil"/>
              <w:left w:val="nil"/>
              <w:bottom w:val="single" w:sz="4" w:space="0" w:color="auto"/>
              <w:right w:val="single" w:sz="4" w:space="0" w:color="auto"/>
            </w:tcBorders>
            <w:shd w:val="clear" w:color="auto" w:fill="auto"/>
            <w:noWrap/>
            <w:vAlign w:val="center"/>
            <w:hideMark/>
          </w:tcPr>
          <w:p w14:paraId="1ACDDFA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0,48 %</w:t>
            </w:r>
          </w:p>
        </w:tc>
        <w:tc>
          <w:tcPr>
            <w:tcW w:w="620" w:type="pct"/>
            <w:tcBorders>
              <w:top w:val="nil"/>
              <w:left w:val="nil"/>
              <w:bottom w:val="single" w:sz="4" w:space="0" w:color="auto"/>
              <w:right w:val="single" w:sz="4" w:space="0" w:color="auto"/>
            </w:tcBorders>
            <w:shd w:val="clear" w:color="auto" w:fill="auto"/>
            <w:noWrap/>
            <w:vAlign w:val="center"/>
            <w:hideMark/>
          </w:tcPr>
          <w:p w14:paraId="670AA67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0,74 %</w:t>
            </w:r>
          </w:p>
        </w:tc>
      </w:tr>
      <w:tr w:rsidR="00F24E18" w:rsidRPr="00B20709" w14:paraId="75BCAB22"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293D6F74"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72</w:t>
            </w:r>
          </w:p>
        </w:tc>
        <w:tc>
          <w:tcPr>
            <w:tcW w:w="1221" w:type="pct"/>
            <w:tcBorders>
              <w:top w:val="nil"/>
              <w:left w:val="nil"/>
              <w:bottom w:val="single" w:sz="4" w:space="0" w:color="auto"/>
              <w:right w:val="single" w:sz="4" w:space="0" w:color="auto"/>
            </w:tcBorders>
            <w:shd w:val="clear" w:color="auto" w:fill="auto"/>
            <w:vAlign w:val="center"/>
            <w:hideMark/>
          </w:tcPr>
          <w:p w14:paraId="34E96CBD"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informacijske tehnologije: svetovanje, razvoj programske opreme, internet in podpora</w:t>
            </w:r>
          </w:p>
        </w:tc>
        <w:tc>
          <w:tcPr>
            <w:tcW w:w="388" w:type="pct"/>
            <w:tcBorders>
              <w:top w:val="nil"/>
              <w:left w:val="nil"/>
              <w:bottom w:val="single" w:sz="4" w:space="0" w:color="auto"/>
              <w:right w:val="single" w:sz="4" w:space="0" w:color="auto"/>
            </w:tcBorders>
            <w:shd w:val="clear" w:color="auto" w:fill="auto"/>
            <w:vAlign w:val="center"/>
            <w:hideMark/>
          </w:tcPr>
          <w:p w14:paraId="79FD5FF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w:t>
            </w:r>
          </w:p>
        </w:tc>
        <w:tc>
          <w:tcPr>
            <w:tcW w:w="801" w:type="pct"/>
            <w:tcBorders>
              <w:top w:val="nil"/>
              <w:left w:val="nil"/>
              <w:bottom w:val="single" w:sz="4" w:space="0" w:color="auto"/>
              <w:right w:val="single" w:sz="4" w:space="0" w:color="auto"/>
            </w:tcBorders>
            <w:shd w:val="clear" w:color="auto" w:fill="auto"/>
            <w:vAlign w:val="center"/>
            <w:hideMark/>
          </w:tcPr>
          <w:p w14:paraId="085716E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5.605.632</w:t>
            </w:r>
          </w:p>
        </w:tc>
        <w:tc>
          <w:tcPr>
            <w:tcW w:w="628" w:type="pct"/>
            <w:tcBorders>
              <w:top w:val="nil"/>
              <w:left w:val="nil"/>
              <w:bottom w:val="single" w:sz="4" w:space="0" w:color="auto"/>
              <w:right w:val="single" w:sz="4" w:space="0" w:color="auto"/>
            </w:tcBorders>
            <w:shd w:val="clear" w:color="auto" w:fill="auto"/>
            <w:noWrap/>
            <w:vAlign w:val="center"/>
            <w:hideMark/>
          </w:tcPr>
          <w:p w14:paraId="1016F1D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0,10 %</w:t>
            </w:r>
          </w:p>
        </w:tc>
        <w:tc>
          <w:tcPr>
            <w:tcW w:w="491" w:type="pct"/>
            <w:tcBorders>
              <w:top w:val="nil"/>
              <w:left w:val="nil"/>
              <w:bottom w:val="single" w:sz="4" w:space="0" w:color="auto"/>
              <w:right w:val="single" w:sz="4" w:space="0" w:color="auto"/>
            </w:tcBorders>
            <w:shd w:val="clear" w:color="auto" w:fill="auto"/>
            <w:noWrap/>
            <w:vAlign w:val="center"/>
            <w:hideMark/>
          </w:tcPr>
          <w:p w14:paraId="5B488EF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0,26 %</w:t>
            </w:r>
          </w:p>
        </w:tc>
        <w:tc>
          <w:tcPr>
            <w:tcW w:w="452" w:type="pct"/>
            <w:tcBorders>
              <w:top w:val="nil"/>
              <w:left w:val="nil"/>
              <w:bottom w:val="single" w:sz="4" w:space="0" w:color="auto"/>
              <w:right w:val="single" w:sz="4" w:space="0" w:color="auto"/>
            </w:tcBorders>
            <w:shd w:val="clear" w:color="auto" w:fill="auto"/>
            <w:noWrap/>
            <w:vAlign w:val="center"/>
            <w:hideMark/>
          </w:tcPr>
          <w:p w14:paraId="09A2372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0,03 %</w:t>
            </w:r>
          </w:p>
        </w:tc>
        <w:tc>
          <w:tcPr>
            <w:tcW w:w="620" w:type="pct"/>
            <w:tcBorders>
              <w:top w:val="nil"/>
              <w:left w:val="nil"/>
              <w:bottom w:val="single" w:sz="4" w:space="0" w:color="auto"/>
              <w:right w:val="single" w:sz="4" w:space="0" w:color="auto"/>
            </w:tcBorders>
            <w:shd w:val="clear" w:color="auto" w:fill="auto"/>
            <w:noWrap/>
            <w:vAlign w:val="center"/>
            <w:hideMark/>
          </w:tcPr>
          <w:p w14:paraId="2F29E82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0,09 %</w:t>
            </w:r>
          </w:p>
        </w:tc>
      </w:tr>
      <w:tr w:rsidR="00F24E18" w:rsidRPr="00B20709" w14:paraId="2FD51513"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1FE3EAC"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73</w:t>
            </w:r>
          </w:p>
        </w:tc>
        <w:tc>
          <w:tcPr>
            <w:tcW w:w="1221" w:type="pct"/>
            <w:tcBorders>
              <w:top w:val="nil"/>
              <w:left w:val="nil"/>
              <w:bottom w:val="single" w:sz="4" w:space="0" w:color="auto"/>
              <w:right w:val="single" w:sz="4" w:space="0" w:color="auto"/>
            </w:tcBorders>
            <w:shd w:val="clear" w:color="auto" w:fill="auto"/>
            <w:vAlign w:val="center"/>
            <w:hideMark/>
          </w:tcPr>
          <w:p w14:paraId="71B7281E"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na področju raziskav in razvoja ter s tem povezane svetovalne storitve</w:t>
            </w:r>
          </w:p>
        </w:tc>
        <w:tc>
          <w:tcPr>
            <w:tcW w:w="388" w:type="pct"/>
            <w:tcBorders>
              <w:top w:val="nil"/>
              <w:left w:val="nil"/>
              <w:bottom w:val="single" w:sz="4" w:space="0" w:color="auto"/>
              <w:right w:val="single" w:sz="4" w:space="0" w:color="auto"/>
            </w:tcBorders>
            <w:shd w:val="clear" w:color="auto" w:fill="auto"/>
            <w:vAlign w:val="center"/>
            <w:hideMark/>
          </w:tcPr>
          <w:p w14:paraId="1A8B0CB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w:t>
            </w:r>
          </w:p>
        </w:tc>
        <w:tc>
          <w:tcPr>
            <w:tcW w:w="801" w:type="pct"/>
            <w:tcBorders>
              <w:top w:val="nil"/>
              <w:left w:val="nil"/>
              <w:bottom w:val="single" w:sz="4" w:space="0" w:color="auto"/>
              <w:right w:val="single" w:sz="4" w:space="0" w:color="auto"/>
            </w:tcBorders>
            <w:shd w:val="clear" w:color="auto" w:fill="auto"/>
            <w:vAlign w:val="center"/>
            <w:hideMark/>
          </w:tcPr>
          <w:p w14:paraId="6373D89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107.900</w:t>
            </w:r>
          </w:p>
        </w:tc>
        <w:tc>
          <w:tcPr>
            <w:tcW w:w="628" w:type="pct"/>
            <w:tcBorders>
              <w:top w:val="nil"/>
              <w:left w:val="nil"/>
              <w:bottom w:val="single" w:sz="4" w:space="0" w:color="auto"/>
              <w:right w:val="single" w:sz="4" w:space="0" w:color="auto"/>
            </w:tcBorders>
            <w:shd w:val="clear" w:color="auto" w:fill="auto"/>
            <w:noWrap/>
            <w:vAlign w:val="center"/>
            <w:hideMark/>
          </w:tcPr>
          <w:p w14:paraId="6E4817D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491" w:type="pct"/>
            <w:tcBorders>
              <w:top w:val="nil"/>
              <w:left w:val="nil"/>
              <w:bottom w:val="single" w:sz="4" w:space="0" w:color="auto"/>
              <w:right w:val="single" w:sz="4" w:space="0" w:color="auto"/>
            </w:tcBorders>
            <w:shd w:val="clear" w:color="auto" w:fill="auto"/>
            <w:noWrap/>
            <w:vAlign w:val="center"/>
            <w:hideMark/>
          </w:tcPr>
          <w:p w14:paraId="5EC7021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452" w:type="pct"/>
            <w:tcBorders>
              <w:top w:val="nil"/>
              <w:left w:val="nil"/>
              <w:bottom w:val="single" w:sz="4" w:space="0" w:color="auto"/>
              <w:right w:val="single" w:sz="4" w:space="0" w:color="auto"/>
            </w:tcBorders>
            <w:shd w:val="clear" w:color="auto" w:fill="auto"/>
            <w:noWrap/>
            <w:vAlign w:val="center"/>
            <w:hideMark/>
          </w:tcPr>
          <w:p w14:paraId="13A84A1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620" w:type="pct"/>
            <w:tcBorders>
              <w:top w:val="nil"/>
              <w:left w:val="nil"/>
              <w:bottom w:val="single" w:sz="4" w:space="0" w:color="auto"/>
              <w:right w:val="single" w:sz="4" w:space="0" w:color="auto"/>
            </w:tcBorders>
            <w:shd w:val="clear" w:color="auto" w:fill="auto"/>
            <w:noWrap/>
            <w:vAlign w:val="center"/>
            <w:hideMark/>
          </w:tcPr>
          <w:p w14:paraId="3A2EC8A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0,00 %</w:t>
            </w:r>
          </w:p>
        </w:tc>
      </w:tr>
      <w:tr w:rsidR="00F24E18" w:rsidRPr="00B20709" w14:paraId="31BE9819"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1C964249"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77</w:t>
            </w:r>
          </w:p>
        </w:tc>
        <w:tc>
          <w:tcPr>
            <w:tcW w:w="1221" w:type="pct"/>
            <w:tcBorders>
              <w:top w:val="nil"/>
              <w:left w:val="nil"/>
              <w:bottom w:val="single" w:sz="4" w:space="0" w:color="auto"/>
              <w:right w:val="single" w:sz="4" w:space="0" w:color="auto"/>
            </w:tcBorders>
            <w:shd w:val="clear" w:color="auto" w:fill="auto"/>
            <w:vAlign w:val="center"/>
            <w:hideMark/>
          </w:tcPr>
          <w:p w14:paraId="4B79AFD4"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na področju kmetijstva, gozdarstva, hortikulture, akvakulture in čebelarstva</w:t>
            </w:r>
          </w:p>
        </w:tc>
        <w:tc>
          <w:tcPr>
            <w:tcW w:w="388" w:type="pct"/>
            <w:tcBorders>
              <w:top w:val="nil"/>
              <w:left w:val="nil"/>
              <w:bottom w:val="single" w:sz="4" w:space="0" w:color="auto"/>
              <w:right w:val="single" w:sz="4" w:space="0" w:color="auto"/>
            </w:tcBorders>
            <w:shd w:val="clear" w:color="auto" w:fill="auto"/>
            <w:vAlign w:val="center"/>
            <w:hideMark/>
          </w:tcPr>
          <w:p w14:paraId="165B328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w:t>
            </w:r>
          </w:p>
        </w:tc>
        <w:tc>
          <w:tcPr>
            <w:tcW w:w="801" w:type="pct"/>
            <w:tcBorders>
              <w:top w:val="nil"/>
              <w:left w:val="nil"/>
              <w:bottom w:val="single" w:sz="4" w:space="0" w:color="auto"/>
              <w:right w:val="single" w:sz="4" w:space="0" w:color="auto"/>
            </w:tcBorders>
            <w:shd w:val="clear" w:color="auto" w:fill="auto"/>
            <w:vAlign w:val="center"/>
            <w:hideMark/>
          </w:tcPr>
          <w:p w14:paraId="43AE4F1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5.430.744</w:t>
            </w:r>
          </w:p>
        </w:tc>
        <w:tc>
          <w:tcPr>
            <w:tcW w:w="628" w:type="pct"/>
            <w:tcBorders>
              <w:top w:val="nil"/>
              <w:left w:val="nil"/>
              <w:bottom w:val="single" w:sz="4" w:space="0" w:color="auto"/>
              <w:right w:val="single" w:sz="4" w:space="0" w:color="auto"/>
            </w:tcBorders>
            <w:shd w:val="clear" w:color="auto" w:fill="auto"/>
            <w:noWrap/>
            <w:vAlign w:val="center"/>
            <w:hideMark/>
          </w:tcPr>
          <w:p w14:paraId="111C19D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0,19 %</w:t>
            </w:r>
          </w:p>
        </w:tc>
        <w:tc>
          <w:tcPr>
            <w:tcW w:w="491" w:type="pct"/>
            <w:tcBorders>
              <w:top w:val="nil"/>
              <w:left w:val="nil"/>
              <w:bottom w:val="single" w:sz="4" w:space="0" w:color="auto"/>
              <w:right w:val="single" w:sz="4" w:space="0" w:color="auto"/>
            </w:tcBorders>
            <w:shd w:val="clear" w:color="auto" w:fill="auto"/>
            <w:noWrap/>
            <w:vAlign w:val="center"/>
            <w:hideMark/>
          </w:tcPr>
          <w:p w14:paraId="7E181EB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0,25 %</w:t>
            </w:r>
          </w:p>
        </w:tc>
        <w:tc>
          <w:tcPr>
            <w:tcW w:w="452" w:type="pct"/>
            <w:tcBorders>
              <w:top w:val="nil"/>
              <w:left w:val="nil"/>
              <w:bottom w:val="single" w:sz="4" w:space="0" w:color="auto"/>
              <w:right w:val="single" w:sz="4" w:space="0" w:color="auto"/>
            </w:tcBorders>
            <w:shd w:val="clear" w:color="auto" w:fill="auto"/>
            <w:noWrap/>
            <w:vAlign w:val="center"/>
            <w:hideMark/>
          </w:tcPr>
          <w:p w14:paraId="7E5EB1C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0,05 %</w:t>
            </w:r>
          </w:p>
        </w:tc>
        <w:tc>
          <w:tcPr>
            <w:tcW w:w="620" w:type="pct"/>
            <w:tcBorders>
              <w:top w:val="nil"/>
              <w:left w:val="nil"/>
              <w:bottom w:val="single" w:sz="4" w:space="0" w:color="auto"/>
              <w:right w:val="single" w:sz="4" w:space="0" w:color="auto"/>
            </w:tcBorders>
            <w:shd w:val="clear" w:color="auto" w:fill="auto"/>
            <w:noWrap/>
            <w:vAlign w:val="center"/>
            <w:hideMark/>
          </w:tcPr>
          <w:p w14:paraId="11D84AE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0,09 %</w:t>
            </w:r>
          </w:p>
        </w:tc>
      </w:tr>
      <w:tr w:rsidR="00F24E18" w:rsidRPr="00B20709" w14:paraId="61A183F8"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77DDCD8C"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79</w:t>
            </w:r>
          </w:p>
        </w:tc>
        <w:tc>
          <w:tcPr>
            <w:tcW w:w="1221" w:type="pct"/>
            <w:tcBorders>
              <w:top w:val="nil"/>
              <w:left w:val="nil"/>
              <w:bottom w:val="single" w:sz="4" w:space="0" w:color="auto"/>
              <w:right w:val="single" w:sz="4" w:space="0" w:color="auto"/>
            </w:tcBorders>
            <w:shd w:val="clear" w:color="auto" w:fill="auto"/>
            <w:vAlign w:val="center"/>
            <w:hideMark/>
          </w:tcPr>
          <w:p w14:paraId="1323653B"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Poslovne storitve: pravo, trženje, svetovanje, zaposlovanje, tiskanje in varnost</w:t>
            </w:r>
          </w:p>
        </w:tc>
        <w:tc>
          <w:tcPr>
            <w:tcW w:w="388" w:type="pct"/>
            <w:tcBorders>
              <w:top w:val="nil"/>
              <w:left w:val="nil"/>
              <w:bottom w:val="single" w:sz="4" w:space="0" w:color="auto"/>
              <w:right w:val="single" w:sz="4" w:space="0" w:color="auto"/>
            </w:tcBorders>
            <w:shd w:val="clear" w:color="auto" w:fill="auto"/>
            <w:vAlign w:val="center"/>
            <w:hideMark/>
          </w:tcPr>
          <w:p w14:paraId="4FEF352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10</w:t>
            </w:r>
          </w:p>
        </w:tc>
        <w:tc>
          <w:tcPr>
            <w:tcW w:w="801" w:type="pct"/>
            <w:tcBorders>
              <w:top w:val="nil"/>
              <w:left w:val="nil"/>
              <w:bottom w:val="single" w:sz="4" w:space="0" w:color="auto"/>
              <w:right w:val="single" w:sz="4" w:space="0" w:color="auto"/>
            </w:tcBorders>
            <w:shd w:val="clear" w:color="auto" w:fill="auto"/>
            <w:vAlign w:val="center"/>
            <w:hideMark/>
          </w:tcPr>
          <w:p w14:paraId="26D776F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1.642.134</w:t>
            </w:r>
          </w:p>
        </w:tc>
        <w:tc>
          <w:tcPr>
            <w:tcW w:w="628" w:type="pct"/>
            <w:tcBorders>
              <w:top w:val="nil"/>
              <w:left w:val="nil"/>
              <w:bottom w:val="single" w:sz="4" w:space="0" w:color="auto"/>
              <w:right w:val="single" w:sz="4" w:space="0" w:color="auto"/>
            </w:tcBorders>
            <w:shd w:val="clear" w:color="auto" w:fill="auto"/>
            <w:noWrap/>
            <w:vAlign w:val="center"/>
            <w:hideMark/>
          </w:tcPr>
          <w:p w14:paraId="32FB61A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0,21 %</w:t>
            </w:r>
          </w:p>
        </w:tc>
        <w:tc>
          <w:tcPr>
            <w:tcW w:w="491" w:type="pct"/>
            <w:tcBorders>
              <w:top w:val="nil"/>
              <w:left w:val="nil"/>
              <w:bottom w:val="single" w:sz="4" w:space="0" w:color="auto"/>
              <w:right w:val="single" w:sz="4" w:space="0" w:color="auto"/>
            </w:tcBorders>
            <w:shd w:val="clear" w:color="auto" w:fill="auto"/>
            <w:noWrap/>
            <w:vAlign w:val="center"/>
            <w:hideMark/>
          </w:tcPr>
          <w:p w14:paraId="70DE3CE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0,08 %</w:t>
            </w:r>
          </w:p>
        </w:tc>
        <w:tc>
          <w:tcPr>
            <w:tcW w:w="452" w:type="pct"/>
            <w:tcBorders>
              <w:top w:val="nil"/>
              <w:left w:val="nil"/>
              <w:bottom w:val="single" w:sz="4" w:space="0" w:color="auto"/>
              <w:right w:val="single" w:sz="4" w:space="0" w:color="auto"/>
            </w:tcBorders>
            <w:shd w:val="clear" w:color="auto" w:fill="auto"/>
            <w:noWrap/>
            <w:vAlign w:val="center"/>
            <w:hideMark/>
          </w:tcPr>
          <w:p w14:paraId="18D33FB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0,06 %</w:t>
            </w:r>
          </w:p>
        </w:tc>
        <w:tc>
          <w:tcPr>
            <w:tcW w:w="620" w:type="pct"/>
            <w:tcBorders>
              <w:top w:val="nil"/>
              <w:left w:val="nil"/>
              <w:bottom w:val="single" w:sz="4" w:space="0" w:color="auto"/>
              <w:right w:val="single" w:sz="4" w:space="0" w:color="auto"/>
            </w:tcBorders>
            <w:shd w:val="clear" w:color="auto" w:fill="auto"/>
            <w:noWrap/>
            <w:vAlign w:val="center"/>
            <w:hideMark/>
          </w:tcPr>
          <w:p w14:paraId="7B40023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0,03 %</w:t>
            </w:r>
          </w:p>
        </w:tc>
      </w:tr>
      <w:tr w:rsidR="00F24E18" w:rsidRPr="00B20709" w14:paraId="092C7623"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0C509D55"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90</w:t>
            </w:r>
          </w:p>
        </w:tc>
        <w:tc>
          <w:tcPr>
            <w:tcW w:w="1221" w:type="pct"/>
            <w:tcBorders>
              <w:top w:val="nil"/>
              <w:left w:val="nil"/>
              <w:bottom w:val="single" w:sz="4" w:space="0" w:color="auto"/>
              <w:right w:val="single" w:sz="4" w:space="0" w:color="auto"/>
            </w:tcBorders>
            <w:shd w:val="clear" w:color="auto" w:fill="auto"/>
            <w:vAlign w:val="center"/>
            <w:hideMark/>
          </w:tcPr>
          <w:p w14:paraId="0BB0905C"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v zvezi z odplakami, odpadki, čiščenjem in okoljem</w:t>
            </w:r>
          </w:p>
        </w:tc>
        <w:tc>
          <w:tcPr>
            <w:tcW w:w="388" w:type="pct"/>
            <w:tcBorders>
              <w:top w:val="nil"/>
              <w:left w:val="nil"/>
              <w:bottom w:val="single" w:sz="4" w:space="0" w:color="auto"/>
              <w:right w:val="single" w:sz="4" w:space="0" w:color="auto"/>
            </w:tcBorders>
            <w:shd w:val="clear" w:color="auto" w:fill="auto"/>
            <w:vAlign w:val="center"/>
            <w:hideMark/>
          </w:tcPr>
          <w:p w14:paraId="0F9EE20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205</w:t>
            </w:r>
          </w:p>
        </w:tc>
        <w:tc>
          <w:tcPr>
            <w:tcW w:w="801" w:type="pct"/>
            <w:tcBorders>
              <w:top w:val="nil"/>
              <w:left w:val="nil"/>
              <w:bottom w:val="single" w:sz="4" w:space="0" w:color="auto"/>
              <w:right w:val="single" w:sz="4" w:space="0" w:color="auto"/>
            </w:tcBorders>
            <w:shd w:val="clear" w:color="auto" w:fill="auto"/>
            <w:vAlign w:val="center"/>
            <w:hideMark/>
          </w:tcPr>
          <w:p w14:paraId="5D5200C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35.014.421</w:t>
            </w:r>
          </w:p>
        </w:tc>
        <w:tc>
          <w:tcPr>
            <w:tcW w:w="628" w:type="pct"/>
            <w:tcBorders>
              <w:top w:val="nil"/>
              <w:left w:val="nil"/>
              <w:bottom w:val="single" w:sz="4" w:space="0" w:color="auto"/>
              <w:right w:val="single" w:sz="4" w:space="0" w:color="auto"/>
            </w:tcBorders>
            <w:shd w:val="clear" w:color="auto" w:fill="auto"/>
            <w:noWrap/>
            <w:vAlign w:val="center"/>
            <w:hideMark/>
          </w:tcPr>
          <w:p w14:paraId="2DF3E0A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4,27 %</w:t>
            </w:r>
          </w:p>
        </w:tc>
        <w:tc>
          <w:tcPr>
            <w:tcW w:w="491" w:type="pct"/>
            <w:tcBorders>
              <w:top w:val="nil"/>
              <w:left w:val="nil"/>
              <w:bottom w:val="single" w:sz="4" w:space="0" w:color="auto"/>
              <w:right w:val="single" w:sz="4" w:space="0" w:color="auto"/>
            </w:tcBorders>
            <w:shd w:val="clear" w:color="auto" w:fill="auto"/>
            <w:noWrap/>
            <w:vAlign w:val="center"/>
            <w:hideMark/>
          </w:tcPr>
          <w:p w14:paraId="7FFD454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1,64 %</w:t>
            </w:r>
          </w:p>
        </w:tc>
        <w:tc>
          <w:tcPr>
            <w:tcW w:w="452" w:type="pct"/>
            <w:tcBorders>
              <w:top w:val="nil"/>
              <w:left w:val="nil"/>
              <w:bottom w:val="single" w:sz="4" w:space="0" w:color="auto"/>
              <w:right w:val="single" w:sz="4" w:space="0" w:color="auto"/>
            </w:tcBorders>
            <w:shd w:val="clear" w:color="auto" w:fill="auto"/>
            <w:noWrap/>
            <w:vAlign w:val="center"/>
            <w:hideMark/>
          </w:tcPr>
          <w:p w14:paraId="32575E8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1,22 %</w:t>
            </w:r>
          </w:p>
        </w:tc>
        <w:tc>
          <w:tcPr>
            <w:tcW w:w="620" w:type="pct"/>
            <w:tcBorders>
              <w:top w:val="nil"/>
              <w:left w:val="nil"/>
              <w:bottom w:val="single" w:sz="4" w:space="0" w:color="auto"/>
              <w:right w:val="single" w:sz="4" w:space="0" w:color="auto"/>
            </w:tcBorders>
            <w:shd w:val="clear" w:color="auto" w:fill="auto"/>
            <w:noWrap/>
            <w:vAlign w:val="center"/>
            <w:hideMark/>
          </w:tcPr>
          <w:p w14:paraId="5CD241A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0,56 %</w:t>
            </w:r>
          </w:p>
        </w:tc>
      </w:tr>
      <w:tr w:rsidR="00F24E18" w:rsidRPr="00B20709" w14:paraId="4AB70E4C"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09BCDC7C"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92</w:t>
            </w:r>
          </w:p>
        </w:tc>
        <w:tc>
          <w:tcPr>
            <w:tcW w:w="1221" w:type="pct"/>
            <w:tcBorders>
              <w:top w:val="nil"/>
              <w:left w:val="nil"/>
              <w:bottom w:val="single" w:sz="4" w:space="0" w:color="auto"/>
              <w:right w:val="single" w:sz="4" w:space="0" w:color="auto"/>
            </w:tcBorders>
            <w:shd w:val="clear" w:color="auto" w:fill="auto"/>
            <w:vAlign w:val="center"/>
            <w:hideMark/>
          </w:tcPr>
          <w:p w14:paraId="2D632444"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Storitve na področju rekreacije, kulture in športa</w:t>
            </w:r>
          </w:p>
        </w:tc>
        <w:tc>
          <w:tcPr>
            <w:tcW w:w="388" w:type="pct"/>
            <w:tcBorders>
              <w:top w:val="nil"/>
              <w:left w:val="nil"/>
              <w:bottom w:val="single" w:sz="4" w:space="0" w:color="auto"/>
              <w:right w:val="single" w:sz="4" w:space="0" w:color="auto"/>
            </w:tcBorders>
            <w:shd w:val="clear" w:color="auto" w:fill="auto"/>
            <w:vAlign w:val="center"/>
            <w:hideMark/>
          </w:tcPr>
          <w:p w14:paraId="4F73066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w:t>
            </w:r>
          </w:p>
        </w:tc>
        <w:tc>
          <w:tcPr>
            <w:tcW w:w="801" w:type="pct"/>
            <w:tcBorders>
              <w:top w:val="nil"/>
              <w:left w:val="nil"/>
              <w:bottom w:val="single" w:sz="4" w:space="0" w:color="auto"/>
              <w:right w:val="single" w:sz="4" w:space="0" w:color="auto"/>
            </w:tcBorders>
            <w:shd w:val="clear" w:color="auto" w:fill="auto"/>
            <w:vAlign w:val="center"/>
            <w:hideMark/>
          </w:tcPr>
          <w:p w14:paraId="0AC9F5D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1.800.000</w:t>
            </w:r>
          </w:p>
        </w:tc>
        <w:tc>
          <w:tcPr>
            <w:tcW w:w="628" w:type="pct"/>
            <w:tcBorders>
              <w:top w:val="nil"/>
              <w:left w:val="nil"/>
              <w:bottom w:val="single" w:sz="4" w:space="0" w:color="auto"/>
              <w:right w:val="single" w:sz="4" w:space="0" w:color="auto"/>
            </w:tcBorders>
            <w:shd w:val="clear" w:color="auto" w:fill="auto"/>
            <w:noWrap/>
            <w:vAlign w:val="center"/>
            <w:hideMark/>
          </w:tcPr>
          <w:p w14:paraId="00E7F63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0,02 %</w:t>
            </w:r>
          </w:p>
        </w:tc>
        <w:tc>
          <w:tcPr>
            <w:tcW w:w="491" w:type="pct"/>
            <w:tcBorders>
              <w:top w:val="nil"/>
              <w:left w:val="nil"/>
              <w:bottom w:val="single" w:sz="4" w:space="0" w:color="auto"/>
              <w:right w:val="single" w:sz="4" w:space="0" w:color="auto"/>
            </w:tcBorders>
            <w:shd w:val="clear" w:color="auto" w:fill="auto"/>
            <w:noWrap/>
            <w:vAlign w:val="center"/>
            <w:hideMark/>
          </w:tcPr>
          <w:p w14:paraId="5DDD8B0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0,08 %</w:t>
            </w:r>
          </w:p>
        </w:tc>
        <w:tc>
          <w:tcPr>
            <w:tcW w:w="452" w:type="pct"/>
            <w:tcBorders>
              <w:top w:val="nil"/>
              <w:left w:val="nil"/>
              <w:bottom w:val="single" w:sz="4" w:space="0" w:color="auto"/>
              <w:right w:val="single" w:sz="4" w:space="0" w:color="auto"/>
            </w:tcBorders>
            <w:shd w:val="clear" w:color="auto" w:fill="auto"/>
            <w:noWrap/>
            <w:vAlign w:val="center"/>
            <w:hideMark/>
          </w:tcPr>
          <w:p w14:paraId="172B465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0,01 %</w:t>
            </w:r>
          </w:p>
        </w:tc>
        <w:tc>
          <w:tcPr>
            <w:tcW w:w="620" w:type="pct"/>
            <w:tcBorders>
              <w:top w:val="nil"/>
              <w:left w:val="nil"/>
              <w:bottom w:val="single" w:sz="4" w:space="0" w:color="auto"/>
              <w:right w:val="single" w:sz="4" w:space="0" w:color="auto"/>
            </w:tcBorders>
            <w:shd w:val="clear" w:color="auto" w:fill="auto"/>
            <w:noWrap/>
            <w:vAlign w:val="center"/>
            <w:hideMark/>
          </w:tcPr>
          <w:p w14:paraId="7237334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0,03 %</w:t>
            </w:r>
          </w:p>
        </w:tc>
      </w:tr>
      <w:tr w:rsidR="00F24E18" w:rsidRPr="00B20709" w14:paraId="1A9D516B" w14:textId="77777777" w:rsidTr="000E18B5">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BAC5BD7"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98</w:t>
            </w:r>
          </w:p>
        </w:tc>
        <w:tc>
          <w:tcPr>
            <w:tcW w:w="1221" w:type="pct"/>
            <w:tcBorders>
              <w:top w:val="nil"/>
              <w:left w:val="nil"/>
              <w:bottom w:val="single" w:sz="4" w:space="0" w:color="auto"/>
              <w:right w:val="single" w:sz="4" w:space="0" w:color="auto"/>
            </w:tcBorders>
            <w:shd w:val="clear" w:color="auto" w:fill="auto"/>
            <w:vAlign w:val="center"/>
            <w:hideMark/>
          </w:tcPr>
          <w:p w14:paraId="4E4C25F7"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Druge javne, skupne in osebne storitve</w:t>
            </w:r>
          </w:p>
        </w:tc>
        <w:tc>
          <w:tcPr>
            <w:tcW w:w="388" w:type="pct"/>
            <w:tcBorders>
              <w:top w:val="nil"/>
              <w:left w:val="nil"/>
              <w:bottom w:val="single" w:sz="4" w:space="0" w:color="auto"/>
              <w:right w:val="single" w:sz="4" w:space="0" w:color="auto"/>
            </w:tcBorders>
            <w:shd w:val="clear" w:color="auto" w:fill="auto"/>
            <w:vAlign w:val="center"/>
            <w:hideMark/>
          </w:tcPr>
          <w:p w14:paraId="5A594D1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22</w:t>
            </w:r>
          </w:p>
        </w:tc>
        <w:tc>
          <w:tcPr>
            <w:tcW w:w="801" w:type="pct"/>
            <w:tcBorders>
              <w:top w:val="nil"/>
              <w:left w:val="nil"/>
              <w:bottom w:val="single" w:sz="4" w:space="0" w:color="auto"/>
              <w:right w:val="single" w:sz="4" w:space="0" w:color="auto"/>
            </w:tcBorders>
            <w:shd w:val="clear" w:color="auto" w:fill="auto"/>
            <w:vAlign w:val="center"/>
            <w:hideMark/>
          </w:tcPr>
          <w:p w14:paraId="2EEE8B4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4.997.942</w:t>
            </w:r>
          </w:p>
        </w:tc>
        <w:tc>
          <w:tcPr>
            <w:tcW w:w="628" w:type="pct"/>
            <w:tcBorders>
              <w:top w:val="nil"/>
              <w:left w:val="nil"/>
              <w:bottom w:val="single" w:sz="4" w:space="0" w:color="auto"/>
              <w:right w:val="single" w:sz="4" w:space="0" w:color="auto"/>
            </w:tcBorders>
            <w:shd w:val="clear" w:color="auto" w:fill="auto"/>
            <w:noWrap/>
            <w:vAlign w:val="center"/>
            <w:hideMark/>
          </w:tcPr>
          <w:p w14:paraId="1062C1B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0,46 %</w:t>
            </w:r>
          </w:p>
        </w:tc>
        <w:tc>
          <w:tcPr>
            <w:tcW w:w="491" w:type="pct"/>
            <w:tcBorders>
              <w:top w:val="nil"/>
              <w:left w:val="nil"/>
              <w:bottom w:val="single" w:sz="4" w:space="0" w:color="auto"/>
              <w:right w:val="single" w:sz="4" w:space="0" w:color="auto"/>
            </w:tcBorders>
            <w:shd w:val="clear" w:color="auto" w:fill="auto"/>
            <w:noWrap/>
            <w:vAlign w:val="center"/>
            <w:hideMark/>
          </w:tcPr>
          <w:p w14:paraId="37AD906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0,23 %</w:t>
            </w:r>
          </w:p>
        </w:tc>
        <w:tc>
          <w:tcPr>
            <w:tcW w:w="452" w:type="pct"/>
            <w:tcBorders>
              <w:top w:val="nil"/>
              <w:left w:val="nil"/>
              <w:bottom w:val="single" w:sz="4" w:space="0" w:color="auto"/>
              <w:right w:val="single" w:sz="4" w:space="0" w:color="auto"/>
            </w:tcBorders>
            <w:shd w:val="clear" w:color="auto" w:fill="auto"/>
            <w:noWrap/>
            <w:vAlign w:val="center"/>
            <w:hideMark/>
          </w:tcPr>
          <w:p w14:paraId="18895E8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0,13 %</w:t>
            </w:r>
          </w:p>
        </w:tc>
        <w:tc>
          <w:tcPr>
            <w:tcW w:w="620" w:type="pct"/>
            <w:tcBorders>
              <w:top w:val="nil"/>
              <w:left w:val="nil"/>
              <w:bottom w:val="single" w:sz="4" w:space="0" w:color="auto"/>
              <w:right w:val="single" w:sz="4" w:space="0" w:color="auto"/>
            </w:tcBorders>
            <w:shd w:val="clear" w:color="auto" w:fill="auto"/>
            <w:noWrap/>
            <w:vAlign w:val="center"/>
            <w:hideMark/>
          </w:tcPr>
          <w:p w14:paraId="68FBB00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0,08 %</w:t>
            </w:r>
          </w:p>
        </w:tc>
      </w:tr>
      <w:tr w:rsidR="00F24E18" w:rsidRPr="00242E41" w14:paraId="297C3818" w14:textId="77777777" w:rsidTr="000E18B5">
        <w:trPr>
          <w:trHeight w:val="300"/>
        </w:trPr>
        <w:tc>
          <w:tcPr>
            <w:tcW w:w="16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492AEC" w14:textId="77777777" w:rsidR="00F24E18" w:rsidRPr="00B20709" w:rsidRDefault="00F24E18" w:rsidP="000E18B5">
            <w:pPr>
              <w:spacing w:after="0" w:line="240" w:lineRule="auto"/>
              <w:rPr>
                <w:rFonts w:ascii="Arial" w:eastAsia="Times New Roman" w:hAnsi="Arial" w:cs="Arial"/>
                <w:b/>
                <w:bCs/>
                <w:color w:val="000000"/>
                <w:sz w:val="18"/>
                <w:szCs w:val="18"/>
                <w:lang w:eastAsia="sl-SI"/>
              </w:rPr>
            </w:pPr>
            <w:r w:rsidRPr="00B20709">
              <w:rPr>
                <w:rFonts w:ascii="Arial" w:eastAsia="Times New Roman" w:hAnsi="Arial" w:cs="Arial"/>
                <w:b/>
                <w:bCs/>
                <w:color w:val="000000"/>
                <w:sz w:val="18"/>
                <w:szCs w:val="18"/>
                <w:lang w:eastAsia="sl-SI"/>
              </w:rPr>
              <w:t>Skupaj</w:t>
            </w:r>
          </w:p>
        </w:tc>
        <w:tc>
          <w:tcPr>
            <w:tcW w:w="388" w:type="pct"/>
            <w:tcBorders>
              <w:top w:val="nil"/>
              <w:left w:val="nil"/>
              <w:bottom w:val="single" w:sz="4" w:space="0" w:color="auto"/>
              <w:right w:val="single" w:sz="4" w:space="0" w:color="auto"/>
            </w:tcBorders>
            <w:shd w:val="clear" w:color="auto" w:fill="F2F2F2" w:themeFill="background1" w:themeFillShade="F2"/>
            <w:noWrap/>
            <w:vAlign w:val="center"/>
            <w:hideMark/>
          </w:tcPr>
          <w:p w14:paraId="32006A4A" w14:textId="77777777" w:rsidR="00F24E18" w:rsidRPr="00B20709" w:rsidRDefault="00F24E18" w:rsidP="000E18B5">
            <w:pPr>
              <w:spacing w:after="0" w:line="240" w:lineRule="auto"/>
              <w:jc w:val="right"/>
              <w:rPr>
                <w:rFonts w:ascii="Arial" w:eastAsia="Times New Roman" w:hAnsi="Arial" w:cs="Arial"/>
                <w:b/>
                <w:bCs/>
                <w:color w:val="000000"/>
                <w:sz w:val="18"/>
                <w:szCs w:val="18"/>
                <w:lang w:eastAsia="sl-SI"/>
              </w:rPr>
            </w:pPr>
            <w:r>
              <w:rPr>
                <w:rFonts w:ascii="Arial" w:hAnsi="Arial" w:cs="Arial"/>
                <w:b/>
                <w:bCs/>
                <w:color w:val="000000"/>
                <w:sz w:val="18"/>
                <w:szCs w:val="18"/>
              </w:rPr>
              <w:t>4.804</w:t>
            </w:r>
          </w:p>
        </w:tc>
        <w:tc>
          <w:tcPr>
            <w:tcW w:w="801" w:type="pct"/>
            <w:tcBorders>
              <w:top w:val="nil"/>
              <w:left w:val="nil"/>
              <w:bottom w:val="single" w:sz="4" w:space="0" w:color="auto"/>
              <w:right w:val="single" w:sz="4" w:space="0" w:color="auto"/>
            </w:tcBorders>
            <w:shd w:val="clear" w:color="auto" w:fill="F2F2F2" w:themeFill="background1" w:themeFillShade="F2"/>
            <w:noWrap/>
            <w:vAlign w:val="center"/>
            <w:hideMark/>
          </w:tcPr>
          <w:p w14:paraId="54FA6875" w14:textId="77777777" w:rsidR="00F24E18" w:rsidRPr="00B20709" w:rsidRDefault="00F24E18" w:rsidP="000E18B5">
            <w:pPr>
              <w:spacing w:after="0" w:line="240" w:lineRule="auto"/>
              <w:jc w:val="right"/>
              <w:rPr>
                <w:rFonts w:ascii="Arial" w:eastAsia="Times New Roman" w:hAnsi="Arial" w:cs="Arial"/>
                <w:b/>
                <w:bCs/>
                <w:color w:val="000000"/>
                <w:sz w:val="18"/>
                <w:szCs w:val="18"/>
                <w:lang w:eastAsia="sl-SI"/>
              </w:rPr>
            </w:pPr>
            <w:r>
              <w:rPr>
                <w:rFonts w:ascii="Arial" w:hAnsi="Arial" w:cs="Arial"/>
                <w:b/>
                <w:bCs/>
                <w:color w:val="000000"/>
                <w:sz w:val="18"/>
                <w:szCs w:val="18"/>
              </w:rPr>
              <w:t>2.137.671.914</w:t>
            </w:r>
          </w:p>
        </w:tc>
        <w:tc>
          <w:tcPr>
            <w:tcW w:w="628" w:type="pct"/>
            <w:tcBorders>
              <w:top w:val="nil"/>
              <w:left w:val="nil"/>
              <w:bottom w:val="single" w:sz="4" w:space="0" w:color="auto"/>
              <w:right w:val="single" w:sz="4" w:space="0" w:color="auto"/>
            </w:tcBorders>
            <w:shd w:val="clear" w:color="auto" w:fill="F2F2F2" w:themeFill="background1" w:themeFillShade="F2"/>
            <w:noWrap/>
            <w:vAlign w:val="center"/>
            <w:hideMark/>
          </w:tcPr>
          <w:p w14:paraId="25862699" w14:textId="77777777" w:rsidR="00F24E18" w:rsidRPr="00B20709" w:rsidRDefault="00F24E18" w:rsidP="000E18B5">
            <w:pPr>
              <w:spacing w:after="0" w:line="240" w:lineRule="auto"/>
              <w:jc w:val="right"/>
              <w:rPr>
                <w:rFonts w:ascii="Arial" w:eastAsia="Times New Roman" w:hAnsi="Arial" w:cs="Arial"/>
                <w:b/>
                <w:bCs/>
                <w:color w:val="000000"/>
                <w:sz w:val="18"/>
                <w:szCs w:val="18"/>
                <w:lang w:eastAsia="sl-SI"/>
              </w:rPr>
            </w:pPr>
            <w:r w:rsidRPr="00B20709">
              <w:rPr>
                <w:rFonts w:ascii="Arial" w:eastAsia="Times New Roman" w:hAnsi="Arial" w:cs="Arial"/>
                <w:b/>
                <w:bCs/>
                <w:color w:val="000000"/>
                <w:sz w:val="18"/>
                <w:szCs w:val="18"/>
                <w:lang w:eastAsia="sl-SI"/>
              </w:rPr>
              <w:t>100,00 %</w:t>
            </w:r>
          </w:p>
        </w:tc>
        <w:tc>
          <w:tcPr>
            <w:tcW w:w="491" w:type="pct"/>
            <w:tcBorders>
              <w:top w:val="nil"/>
              <w:left w:val="nil"/>
              <w:bottom w:val="single" w:sz="4" w:space="0" w:color="auto"/>
              <w:right w:val="single" w:sz="4" w:space="0" w:color="auto"/>
            </w:tcBorders>
            <w:shd w:val="clear" w:color="auto" w:fill="F2F2F2" w:themeFill="background1" w:themeFillShade="F2"/>
            <w:noWrap/>
            <w:vAlign w:val="center"/>
            <w:hideMark/>
          </w:tcPr>
          <w:p w14:paraId="26838A1C" w14:textId="77777777" w:rsidR="00F24E18" w:rsidRPr="00B20709" w:rsidRDefault="00F24E18" w:rsidP="000E18B5">
            <w:pPr>
              <w:spacing w:after="0" w:line="240" w:lineRule="auto"/>
              <w:jc w:val="right"/>
              <w:rPr>
                <w:rFonts w:ascii="Arial" w:eastAsia="Times New Roman" w:hAnsi="Arial" w:cs="Arial"/>
                <w:b/>
                <w:bCs/>
                <w:color w:val="000000"/>
                <w:sz w:val="18"/>
                <w:szCs w:val="18"/>
                <w:lang w:eastAsia="sl-SI"/>
              </w:rPr>
            </w:pPr>
            <w:r w:rsidRPr="00B20709">
              <w:rPr>
                <w:rFonts w:ascii="Arial" w:eastAsia="Times New Roman" w:hAnsi="Arial" w:cs="Arial"/>
                <w:b/>
                <w:bCs/>
                <w:color w:val="000000"/>
                <w:sz w:val="18"/>
                <w:szCs w:val="18"/>
                <w:lang w:eastAsia="sl-SI"/>
              </w:rPr>
              <w:t>100,00 %</w:t>
            </w:r>
          </w:p>
        </w:tc>
        <w:tc>
          <w:tcPr>
            <w:tcW w:w="452" w:type="pct"/>
            <w:tcBorders>
              <w:top w:val="nil"/>
              <w:left w:val="nil"/>
              <w:bottom w:val="single" w:sz="4" w:space="0" w:color="auto"/>
              <w:right w:val="single" w:sz="4" w:space="0" w:color="auto"/>
            </w:tcBorders>
            <w:shd w:val="clear" w:color="auto" w:fill="F2F2F2" w:themeFill="background1" w:themeFillShade="F2"/>
            <w:noWrap/>
            <w:vAlign w:val="center"/>
            <w:hideMark/>
          </w:tcPr>
          <w:p w14:paraId="1F561570" w14:textId="77777777" w:rsidR="00F24E18" w:rsidRPr="00B20709" w:rsidRDefault="00F24E18" w:rsidP="000E18B5">
            <w:pPr>
              <w:spacing w:after="0" w:line="240" w:lineRule="auto"/>
              <w:jc w:val="right"/>
              <w:rPr>
                <w:rFonts w:ascii="Arial" w:eastAsia="Times New Roman" w:hAnsi="Arial" w:cs="Arial"/>
                <w:b/>
                <w:bCs/>
                <w:color w:val="000000"/>
                <w:sz w:val="18"/>
                <w:szCs w:val="18"/>
                <w:lang w:eastAsia="sl-SI"/>
              </w:rPr>
            </w:pPr>
            <w:r w:rsidRPr="00B20709">
              <w:rPr>
                <w:rFonts w:ascii="Arial" w:eastAsia="Times New Roman" w:hAnsi="Arial" w:cs="Arial"/>
                <w:b/>
                <w:bCs/>
                <w:color w:val="000000"/>
                <w:sz w:val="18"/>
                <w:szCs w:val="18"/>
                <w:lang w:eastAsia="sl-SI"/>
              </w:rPr>
              <w:t>28,55 %</w:t>
            </w:r>
          </w:p>
        </w:tc>
        <w:tc>
          <w:tcPr>
            <w:tcW w:w="620" w:type="pct"/>
            <w:tcBorders>
              <w:top w:val="nil"/>
              <w:left w:val="nil"/>
              <w:bottom w:val="single" w:sz="4" w:space="0" w:color="auto"/>
              <w:right w:val="single" w:sz="4" w:space="0" w:color="auto"/>
            </w:tcBorders>
            <w:shd w:val="clear" w:color="auto" w:fill="F2F2F2" w:themeFill="background1" w:themeFillShade="F2"/>
            <w:noWrap/>
            <w:vAlign w:val="center"/>
            <w:hideMark/>
          </w:tcPr>
          <w:p w14:paraId="4481252E" w14:textId="77777777" w:rsidR="00F24E18" w:rsidRPr="00B20709" w:rsidRDefault="00F24E18" w:rsidP="000E18B5">
            <w:pPr>
              <w:spacing w:after="0" w:line="240" w:lineRule="auto"/>
              <w:jc w:val="right"/>
              <w:rPr>
                <w:rFonts w:ascii="Arial" w:eastAsia="Times New Roman" w:hAnsi="Arial" w:cs="Arial"/>
                <w:b/>
                <w:bCs/>
                <w:color w:val="000000"/>
                <w:sz w:val="18"/>
                <w:szCs w:val="18"/>
                <w:lang w:eastAsia="sl-SI"/>
              </w:rPr>
            </w:pPr>
            <w:r w:rsidRPr="00B20709">
              <w:rPr>
                <w:rFonts w:ascii="Arial" w:eastAsia="Times New Roman" w:hAnsi="Arial" w:cs="Arial"/>
                <w:b/>
                <w:bCs/>
                <w:color w:val="000000"/>
                <w:sz w:val="18"/>
                <w:szCs w:val="18"/>
                <w:lang w:eastAsia="sl-SI"/>
              </w:rPr>
              <w:t>34,30 %</w:t>
            </w:r>
          </w:p>
        </w:tc>
      </w:tr>
    </w:tbl>
    <w:p w14:paraId="1D80B727" w14:textId="77777777" w:rsidR="00F24E18" w:rsidRPr="00242E41" w:rsidRDefault="00F24E18" w:rsidP="00F24E18">
      <w:pPr>
        <w:spacing w:after="0"/>
        <w:rPr>
          <w:rFonts w:ascii="Arial" w:hAnsi="Arial" w:cs="Arial"/>
          <w:sz w:val="20"/>
          <w:highlight w:val="yellow"/>
        </w:rPr>
      </w:pPr>
    </w:p>
    <w:p w14:paraId="6DFF231D" w14:textId="77777777" w:rsidR="00F24E18" w:rsidRPr="00B20709" w:rsidRDefault="00F24E18" w:rsidP="00F24E18">
      <w:pPr>
        <w:spacing w:before="120" w:after="0" w:line="240" w:lineRule="auto"/>
        <w:rPr>
          <w:rFonts w:ascii="Arial" w:hAnsi="Arial" w:cs="Arial"/>
          <w:sz w:val="20"/>
        </w:rPr>
      </w:pPr>
      <w:r w:rsidRPr="00B20709">
        <w:rPr>
          <w:rFonts w:ascii="Arial" w:hAnsi="Arial" w:cs="Arial"/>
          <w:sz w:val="20"/>
          <w:szCs w:val="20"/>
        </w:rPr>
        <w:t xml:space="preserve">Preglednica 99: </w:t>
      </w:r>
      <w:r w:rsidRPr="00B20709">
        <w:rPr>
          <w:rFonts w:ascii="Arial" w:hAnsi="Arial" w:cs="Arial"/>
          <w:sz w:val="20"/>
        </w:rPr>
        <w:t>Število in vrednosti ter deleži zelenih naročil glede na predmete zelenega javnega naročanja</w:t>
      </w:r>
    </w:p>
    <w:p w14:paraId="6FF30878" w14:textId="77777777" w:rsidR="00F24E18" w:rsidRPr="00242E41" w:rsidRDefault="00F24E18" w:rsidP="00F24E18">
      <w:pPr>
        <w:spacing w:after="0" w:line="240" w:lineRule="auto"/>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6"/>
        <w:gridCol w:w="1084"/>
        <w:gridCol w:w="1143"/>
        <w:gridCol w:w="1112"/>
        <w:gridCol w:w="1112"/>
        <w:gridCol w:w="971"/>
        <w:gridCol w:w="1066"/>
      </w:tblGrid>
      <w:tr w:rsidR="00F24E18" w:rsidRPr="00B20709" w14:paraId="1CE529E7" w14:textId="77777777" w:rsidTr="000E18B5">
        <w:trPr>
          <w:trHeight w:val="315"/>
          <w:tblHeader/>
        </w:trPr>
        <w:tc>
          <w:tcPr>
            <w:tcW w:w="1464" w:type="pct"/>
            <w:shd w:val="clear" w:color="000000" w:fill="F2F2F2"/>
            <w:vAlign w:val="center"/>
            <w:hideMark/>
          </w:tcPr>
          <w:p w14:paraId="5998C406"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Predmeti zelenega javnega naročanja</w:t>
            </w:r>
          </w:p>
        </w:tc>
        <w:tc>
          <w:tcPr>
            <w:tcW w:w="591" w:type="pct"/>
            <w:shd w:val="clear" w:color="000000" w:fill="F2F2F2"/>
            <w:vAlign w:val="center"/>
            <w:hideMark/>
          </w:tcPr>
          <w:p w14:paraId="54A511B0"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Št. zelenih naročil</w:t>
            </w:r>
          </w:p>
        </w:tc>
        <w:tc>
          <w:tcPr>
            <w:tcW w:w="623" w:type="pct"/>
            <w:shd w:val="clear" w:color="000000" w:fill="F2F2F2"/>
            <w:vAlign w:val="center"/>
            <w:hideMark/>
          </w:tcPr>
          <w:p w14:paraId="5BA48246"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Pogodbena vrednost</w:t>
            </w:r>
          </w:p>
        </w:tc>
        <w:tc>
          <w:tcPr>
            <w:tcW w:w="606" w:type="pct"/>
            <w:shd w:val="clear" w:color="000000" w:fill="F2F2F2"/>
            <w:vAlign w:val="center"/>
            <w:hideMark/>
          </w:tcPr>
          <w:p w14:paraId="5126A280"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št. vseh naročil</w:t>
            </w:r>
          </w:p>
        </w:tc>
        <w:tc>
          <w:tcPr>
            <w:tcW w:w="606" w:type="pct"/>
            <w:shd w:val="clear" w:color="000000" w:fill="F2F2F2"/>
            <w:vAlign w:val="center"/>
            <w:hideMark/>
          </w:tcPr>
          <w:p w14:paraId="5234F7FE"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vrednosti vseh naročil</w:t>
            </w:r>
          </w:p>
        </w:tc>
        <w:tc>
          <w:tcPr>
            <w:tcW w:w="529" w:type="pct"/>
            <w:shd w:val="clear" w:color="000000" w:fill="F2F2F2"/>
            <w:vAlign w:val="center"/>
            <w:hideMark/>
          </w:tcPr>
          <w:p w14:paraId="551AAFE7"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št. zelenih naročil</w:t>
            </w:r>
          </w:p>
        </w:tc>
        <w:tc>
          <w:tcPr>
            <w:tcW w:w="581" w:type="pct"/>
            <w:shd w:val="clear" w:color="000000" w:fill="F2F2F2"/>
            <w:vAlign w:val="center"/>
            <w:hideMark/>
          </w:tcPr>
          <w:p w14:paraId="7BDB0895" w14:textId="77777777" w:rsidR="00F24E18" w:rsidRPr="00B20709" w:rsidRDefault="00F24E18" w:rsidP="000E18B5">
            <w:pPr>
              <w:spacing w:after="0" w:line="240" w:lineRule="auto"/>
              <w:jc w:val="center"/>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Delež v vrednosti zelenih naročil</w:t>
            </w:r>
          </w:p>
        </w:tc>
      </w:tr>
      <w:tr w:rsidR="00F24E18" w:rsidRPr="00B20709" w14:paraId="35627B93" w14:textId="77777777" w:rsidTr="000E18B5">
        <w:trPr>
          <w:trHeight w:val="315"/>
        </w:trPr>
        <w:tc>
          <w:tcPr>
            <w:tcW w:w="1464" w:type="pct"/>
            <w:shd w:val="clear" w:color="auto" w:fill="auto"/>
            <w:vAlign w:val="center"/>
            <w:hideMark/>
          </w:tcPr>
          <w:p w14:paraId="1E853A71"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 = Električna energija</w:t>
            </w:r>
          </w:p>
        </w:tc>
        <w:tc>
          <w:tcPr>
            <w:tcW w:w="591" w:type="pct"/>
            <w:shd w:val="clear" w:color="auto" w:fill="auto"/>
            <w:vAlign w:val="center"/>
            <w:hideMark/>
          </w:tcPr>
          <w:p w14:paraId="781FCB6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140</w:t>
            </w:r>
          </w:p>
        </w:tc>
        <w:tc>
          <w:tcPr>
            <w:tcW w:w="623" w:type="pct"/>
            <w:shd w:val="clear" w:color="auto" w:fill="auto"/>
            <w:vAlign w:val="center"/>
            <w:hideMark/>
          </w:tcPr>
          <w:p w14:paraId="76CA294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335.205.281</w:t>
            </w:r>
          </w:p>
        </w:tc>
        <w:tc>
          <w:tcPr>
            <w:tcW w:w="606" w:type="pct"/>
            <w:shd w:val="clear" w:color="auto" w:fill="auto"/>
            <w:vAlign w:val="center"/>
            <w:hideMark/>
          </w:tcPr>
          <w:p w14:paraId="449E1E9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0,83 %</w:t>
            </w:r>
          </w:p>
        </w:tc>
        <w:tc>
          <w:tcPr>
            <w:tcW w:w="606" w:type="pct"/>
            <w:shd w:val="clear" w:color="auto" w:fill="auto"/>
            <w:vAlign w:val="center"/>
            <w:hideMark/>
          </w:tcPr>
          <w:p w14:paraId="0108A80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5,38 %</w:t>
            </w:r>
          </w:p>
        </w:tc>
        <w:tc>
          <w:tcPr>
            <w:tcW w:w="529" w:type="pct"/>
            <w:shd w:val="clear" w:color="auto" w:fill="auto"/>
            <w:vAlign w:val="center"/>
            <w:hideMark/>
          </w:tcPr>
          <w:p w14:paraId="4422E33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2,91 %</w:t>
            </w:r>
          </w:p>
        </w:tc>
        <w:tc>
          <w:tcPr>
            <w:tcW w:w="581" w:type="pct"/>
            <w:shd w:val="clear" w:color="auto" w:fill="auto"/>
            <w:vAlign w:val="center"/>
            <w:hideMark/>
          </w:tcPr>
          <w:p w14:paraId="0973AA8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15,68 %</w:t>
            </w:r>
          </w:p>
        </w:tc>
      </w:tr>
      <w:tr w:rsidR="00F24E18" w:rsidRPr="00B20709" w14:paraId="4E10A02F" w14:textId="77777777" w:rsidTr="000E18B5">
        <w:trPr>
          <w:trHeight w:val="315"/>
        </w:trPr>
        <w:tc>
          <w:tcPr>
            <w:tcW w:w="1464" w:type="pct"/>
            <w:shd w:val="clear" w:color="auto" w:fill="auto"/>
            <w:vAlign w:val="center"/>
            <w:hideMark/>
          </w:tcPr>
          <w:p w14:paraId="1E2B9184"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 = Živila in gostinske storitve</w:t>
            </w:r>
          </w:p>
        </w:tc>
        <w:tc>
          <w:tcPr>
            <w:tcW w:w="591" w:type="pct"/>
            <w:shd w:val="clear" w:color="auto" w:fill="auto"/>
            <w:vAlign w:val="center"/>
            <w:hideMark/>
          </w:tcPr>
          <w:p w14:paraId="087A4A0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2.731</w:t>
            </w:r>
          </w:p>
        </w:tc>
        <w:tc>
          <w:tcPr>
            <w:tcW w:w="623" w:type="pct"/>
            <w:shd w:val="clear" w:color="auto" w:fill="auto"/>
            <w:vAlign w:val="center"/>
            <w:hideMark/>
          </w:tcPr>
          <w:p w14:paraId="56759BB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141.115.536</w:t>
            </w:r>
          </w:p>
        </w:tc>
        <w:tc>
          <w:tcPr>
            <w:tcW w:w="606" w:type="pct"/>
            <w:shd w:val="clear" w:color="auto" w:fill="auto"/>
            <w:vAlign w:val="center"/>
            <w:hideMark/>
          </w:tcPr>
          <w:p w14:paraId="78E2D04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16,23 %</w:t>
            </w:r>
          </w:p>
        </w:tc>
        <w:tc>
          <w:tcPr>
            <w:tcW w:w="606" w:type="pct"/>
            <w:shd w:val="clear" w:color="auto" w:fill="auto"/>
            <w:vAlign w:val="center"/>
            <w:hideMark/>
          </w:tcPr>
          <w:p w14:paraId="305C509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2,26 %</w:t>
            </w:r>
          </w:p>
        </w:tc>
        <w:tc>
          <w:tcPr>
            <w:tcW w:w="529" w:type="pct"/>
            <w:shd w:val="clear" w:color="auto" w:fill="auto"/>
            <w:vAlign w:val="center"/>
            <w:hideMark/>
          </w:tcPr>
          <w:p w14:paraId="608C77D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56,85 %</w:t>
            </w:r>
          </w:p>
        </w:tc>
        <w:tc>
          <w:tcPr>
            <w:tcW w:w="581" w:type="pct"/>
            <w:shd w:val="clear" w:color="auto" w:fill="auto"/>
            <w:vAlign w:val="center"/>
            <w:hideMark/>
          </w:tcPr>
          <w:p w14:paraId="07DD40E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6,60 %</w:t>
            </w:r>
          </w:p>
        </w:tc>
      </w:tr>
      <w:tr w:rsidR="00F24E18" w:rsidRPr="00B20709" w14:paraId="2779C934" w14:textId="77777777" w:rsidTr="000E18B5">
        <w:trPr>
          <w:trHeight w:val="315"/>
        </w:trPr>
        <w:tc>
          <w:tcPr>
            <w:tcW w:w="1464" w:type="pct"/>
            <w:shd w:val="clear" w:color="auto" w:fill="auto"/>
            <w:vAlign w:val="center"/>
            <w:hideMark/>
          </w:tcPr>
          <w:p w14:paraId="6EDE0DFA"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 = Pisarniški papir in higienski papirnati izdelki</w:t>
            </w:r>
          </w:p>
        </w:tc>
        <w:tc>
          <w:tcPr>
            <w:tcW w:w="591" w:type="pct"/>
            <w:shd w:val="clear" w:color="auto" w:fill="auto"/>
            <w:vAlign w:val="center"/>
            <w:hideMark/>
          </w:tcPr>
          <w:p w14:paraId="57CB270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92</w:t>
            </w:r>
          </w:p>
        </w:tc>
        <w:tc>
          <w:tcPr>
            <w:tcW w:w="623" w:type="pct"/>
            <w:shd w:val="clear" w:color="auto" w:fill="auto"/>
            <w:vAlign w:val="center"/>
            <w:hideMark/>
          </w:tcPr>
          <w:p w14:paraId="27A5377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25.358.737</w:t>
            </w:r>
          </w:p>
        </w:tc>
        <w:tc>
          <w:tcPr>
            <w:tcW w:w="606" w:type="pct"/>
            <w:shd w:val="clear" w:color="auto" w:fill="auto"/>
            <w:vAlign w:val="center"/>
            <w:hideMark/>
          </w:tcPr>
          <w:p w14:paraId="084CEC9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0,55 %</w:t>
            </w:r>
          </w:p>
        </w:tc>
        <w:tc>
          <w:tcPr>
            <w:tcW w:w="606" w:type="pct"/>
            <w:shd w:val="clear" w:color="auto" w:fill="auto"/>
            <w:vAlign w:val="center"/>
            <w:hideMark/>
          </w:tcPr>
          <w:p w14:paraId="0A1CAD4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0,41 %</w:t>
            </w:r>
          </w:p>
        </w:tc>
        <w:tc>
          <w:tcPr>
            <w:tcW w:w="529" w:type="pct"/>
            <w:shd w:val="clear" w:color="auto" w:fill="auto"/>
            <w:vAlign w:val="center"/>
            <w:hideMark/>
          </w:tcPr>
          <w:p w14:paraId="0930498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1,92 %</w:t>
            </w:r>
          </w:p>
        </w:tc>
        <w:tc>
          <w:tcPr>
            <w:tcW w:w="581" w:type="pct"/>
            <w:shd w:val="clear" w:color="auto" w:fill="auto"/>
            <w:vAlign w:val="center"/>
            <w:hideMark/>
          </w:tcPr>
          <w:p w14:paraId="1C814D2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1,19 %</w:t>
            </w:r>
          </w:p>
        </w:tc>
      </w:tr>
      <w:tr w:rsidR="00F24E18" w:rsidRPr="00B20709" w14:paraId="75C8C134" w14:textId="77777777" w:rsidTr="000E18B5">
        <w:trPr>
          <w:trHeight w:val="315"/>
        </w:trPr>
        <w:tc>
          <w:tcPr>
            <w:tcW w:w="1464" w:type="pct"/>
            <w:shd w:val="clear" w:color="auto" w:fill="auto"/>
            <w:vAlign w:val="center"/>
            <w:hideMark/>
          </w:tcPr>
          <w:p w14:paraId="0628A949"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 = Elektronska pisarniška oprema</w:t>
            </w:r>
          </w:p>
        </w:tc>
        <w:tc>
          <w:tcPr>
            <w:tcW w:w="591" w:type="pct"/>
            <w:shd w:val="clear" w:color="auto" w:fill="auto"/>
            <w:vAlign w:val="center"/>
            <w:hideMark/>
          </w:tcPr>
          <w:p w14:paraId="60F2FD6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247</w:t>
            </w:r>
          </w:p>
        </w:tc>
        <w:tc>
          <w:tcPr>
            <w:tcW w:w="623" w:type="pct"/>
            <w:shd w:val="clear" w:color="auto" w:fill="auto"/>
            <w:vAlign w:val="center"/>
            <w:hideMark/>
          </w:tcPr>
          <w:p w14:paraId="64EF645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98.666.614</w:t>
            </w:r>
          </w:p>
        </w:tc>
        <w:tc>
          <w:tcPr>
            <w:tcW w:w="606" w:type="pct"/>
            <w:shd w:val="clear" w:color="auto" w:fill="auto"/>
            <w:vAlign w:val="center"/>
            <w:hideMark/>
          </w:tcPr>
          <w:p w14:paraId="4EE9C30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1,47 %</w:t>
            </w:r>
          </w:p>
        </w:tc>
        <w:tc>
          <w:tcPr>
            <w:tcW w:w="606" w:type="pct"/>
            <w:shd w:val="clear" w:color="auto" w:fill="auto"/>
            <w:vAlign w:val="center"/>
            <w:hideMark/>
          </w:tcPr>
          <w:p w14:paraId="78EC112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1,58 %</w:t>
            </w:r>
          </w:p>
        </w:tc>
        <w:tc>
          <w:tcPr>
            <w:tcW w:w="529" w:type="pct"/>
            <w:shd w:val="clear" w:color="auto" w:fill="auto"/>
            <w:vAlign w:val="center"/>
            <w:hideMark/>
          </w:tcPr>
          <w:p w14:paraId="135AD9B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5,14 %</w:t>
            </w:r>
          </w:p>
        </w:tc>
        <w:tc>
          <w:tcPr>
            <w:tcW w:w="581" w:type="pct"/>
            <w:shd w:val="clear" w:color="auto" w:fill="auto"/>
            <w:vAlign w:val="center"/>
            <w:hideMark/>
          </w:tcPr>
          <w:p w14:paraId="1F5E0A9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4,62 %</w:t>
            </w:r>
          </w:p>
        </w:tc>
      </w:tr>
      <w:tr w:rsidR="00F24E18" w:rsidRPr="00B20709" w14:paraId="019EC7C4" w14:textId="77777777" w:rsidTr="000E18B5">
        <w:trPr>
          <w:trHeight w:val="315"/>
        </w:trPr>
        <w:tc>
          <w:tcPr>
            <w:tcW w:w="1464" w:type="pct"/>
            <w:shd w:val="clear" w:color="auto" w:fill="auto"/>
            <w:vAlign w:val="center"/>
            <w:hideMark/>
          </w:tcPr>
          <w:p w14:paraId="31A8E83E"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5 = Televizorji</w:t>
            </w:r>
          </w:p>
        </w:tc>
        <w:tc>
          <w:tcPr>
            <w:tcW w:w="591" w:type="pct"/>
            <w:shd w:val="clear" w:color="auto" w:fill="auto"/>
            <w:vAlign w:val="center"/>
            <w:hideMark/>
          </w:tcPr>
          <w:p w14:paraId="37E2723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19</w:t>
            </w:r>
          </w:p>
        </w:tc>
        <w:tc>
          <w:tcPr>
            <w:tcW w:w="623" w:type="pct"/>
            <w:shd w:val="clear" w:color="auto" w:fill="auto"/>
            <w:vAlign w:val="center"/>
            <w:hideMark/>
          </w:tcPr>
          <w:p w14:paraId="0544336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4.862.616</w:t>
            </w:r>
          </w:p>
        </w:tc>
        <w:tc>
          <w:tcPr>
            <w:tcW w:w="606" w:type="pct"/>
            <w:shd w:val="clear" w:color="auto" w:fill="auto"/>
            <w:vAlign w:val="center"/>
            <w:hideMark/>
          </w:tcPr>
          <w:p w14:paraId="24738E5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0,11 %</w:t>
            </w:r>
          </w:p>
        </w:tc>
        <w:tc>
          <w:tcPr>
            <w:tcW w:w="606" w:type="pct"/>
            <w:shd w:val="clear" w:color="auto" w:fill="auto"/>
            <w:vAlign w:val="center"/>
            <w:hideMark/>
          </w:tcPr>
          <w:p w14:paraId="0029713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0,08 %</w:t>
            </w:r>
          </w:p>
        </w:tc>
        <w:tc>
          <w:tcPr>
            <w:tcW w:w="529" w:type="pct"/>
            <w:shd w:val="clear" w:color="auto" w:fill="auto"/>
            <w:vAlign w:val="center"/>
            <w:hideMark/>
          </w:tcPr>
          <w:p w14:paraId="50E9D06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0,40 %</w:t>
            </w:r>
          </w:p>
        </w:tc>
        <w:tc>
          <w:tcPr>
            <w:tcW w:w="581" w:type="pct"/>
            <w:shd w:val="clear" w:color="auto" w:fill="auto"/>
            <w:vAlign w:val="center"/>
            <w:hideMark/>
          </w:tcPr>
          <w:p w14:paraId="34ECF5C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0,23 %</w:t>
            </w:r>
          </w:p>
        </w:tc>
      </w:tr>
      <w:tr w:rsidR="00F24E18" w:rsidRPr="00B20709" w14:paraId="7749AAF1" w14:textId="77777777" w:rsidTr="000E18B5">
        <w:trPr>
          <w:trHeight w:val="735"/>
        </w:trPr>
        <w:tc>
          <w:tcPr>
            <w:tcW w:w="1464" w:type="pct"/>
            <w:shd w:val="clear" w:color="auto" w:fill="auto"/>
            <w:vAlign w:val="center"/>
            <w:hideMark/>
          </w:tcPr>
          <w:p w14:paraId="43625B35"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lastRenderedPageBreak/>
              <w:t>6 = Hladilniki, zamrzovalniki in njihove kombinacije, pralni stroji, pomivalni stroji, sušilni stroji, sesalniki in klimatske naprave</w:t>
            </w:r>
          </w:p>
        </w:tc>
        <w:tc>
          <w:tcPr>
            <w:tcW w:w="591" w:type="pct"/>
            <w:shd w:val="clear" w:color="auto" w:fill="auto"/>
            <w:vAlign w:val="center"/>
            <w:hideMark/>
          </w:tcPr>
          <w:p w14:paraId="2F51D22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130</w:t>
            </w:r>
          </w:p>
        </w:tc>
        <w:tc>
          <w:tcPr>
            <w:tcW w:w="623" w:type="pct"/>
            <w:shd w:val="clear" w:color="auto" w:fill="auto"/>
            <w:vAlign w:val="center"/>
            <w:hideMark/>
          </w:tcPr>
          <w:p w14:paraId="70F7F58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75.882.993</w:t>
            </w:r>
          </w:p>
        </w:tc>
        <w:tc>
          <w:tcPr>
            <w:tcW w:w="606" w:type="pct"/>
            <w:shd w:val="clear" w:color="auto" w:fill="auto"/>
            <w:vAlign w:val="center"/>
            <w:hideMark/>
          </w:tcPr>
          <w:p w14:paraId="7394758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0,77 %</w:t>
            </w:r>
          </w:p>
        </w:tc>
        <w:tc>
          <w:tcPr>
            <w:tcW w:w="606" w:type="pct"/>
            <w:shd w:val="clear" w:color="auto" w:fill="auto"/>
            <w:vAlign w:val="center"/>
            <w:hideMark/>
          </w:tcPr>
          <w:p w14:paraId="216D51D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1,22 %</w:t>
            </w:r>
          </w:p>
        </w:tc>
        <w:tc>
          <w:tcPr>
            <w:tcW w:w="529" w:type="pct"/>
            <w:shd w:val="clear" w:color="auto" w:fill="auto"/>
            <w:vAlign w:val="center"/>
            <w:hideMark/>
          </w:tcPr>
          <w:p w14:paraId="79E9C64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2,71 %</w:t>
            </w:r>
          </w:p>
        </w:tc>
        <w:tc>
          <w:tcPr>
            <w:tcW w:w="581" w:type="pct"/>
            <w:shd w:val="clear" w:color="auto" w:fill="auto"/>
            <w:vAlign w:val="center"/>
            <w:hideMark/>
          </w:tcPr>
          <w:p w14:paraId="1868607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3,55 %</w:t>
            </w:r>
          </w:p>
        </w:tc>
      </w:tr>
      <w:tr w:rsidR="00F24E18" w:rsidRPr="00B20709" w14:paraId="4C6E5BD8" w14:textId="77777777" w:rsidTr="000E18B5">
        <w:trPr>
          <w:trHeight w:val="315"/>
        </w:trPr>
        <w:tc>
          <w:tcPr>
            <w:tcW w:w="1464" w:type="pct"/>
            <w:shd w:val="clear" w:color="auto" w:fill="auto"/>
            <w:vAlign w:val="center"/>
            <w:hideMark/>
          </w:tcPr>
          <w:p w14:paraId="602FC71A"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 = Projektiranje oziroma izvedba gradnje stavb</w:t>
            </w:r>
          </w:p>
        </w:tc>
        <w:tc>
          <w:tcPr>
            <w:tcW w:w="591" w:type="pct"/>
            <w:shd w:val="clear" w:color="auto" w:fill="auto"/>
            <w:vAlign w:val="center"/>
            <w:hideMark/>
          </w:tcPr>
          <w:p w14:paraId="23F60B7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295</w:t>
            </w:r>
          </w:p>
        </w:tc>
        <w:tc>
          <w:tcPr>
            <w:tcW w:w="623" w:type="pct"/>
            <w:shd w:val="clear" w:color="auto" w:fill="auto"/>
            <w:vAlign w:val="center"/>
            <w:hideMark/>
          </w:tcPr>
          <w:p w14:paraId="3123622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269.200.088</w:t>
            </w:r>
          </w:p>
        </w:tc>
        <w:tc>
          <w:tcPr>
            <w:tcW w:w="606" w:type="pct"/>
            <w:shd w:val="clear" w:color="auto" w:fill="auto"/>
            <w:vAlign w:val="center"/>
            <w:hideMark/>
          </w:tcPr>
          <w:p w14:paraId="3578237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1,75 %</w:t>
            </w:r>
          </w:p>
        </w:tc>
        <w:tc>
          <w:tcPr>
            <w:tcW w:w="606" w:type="pct"/>
            <w:shd w:val="clear" w:color="auto" w:fill="auto"/>
            <w:vAlign w:val="center"/>
            <w:hideMark/>
          </w:tcPr>
          <w:p w14:paraId="5CF47A4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4,32 %</w:t>
            </w:r>
          </w:p>
        </w:tc>
        <w:tc>
          <w:tcPr>
            <w:tcW w:w="529" w:type="pct"/>
            <w:shd w:val="clear" w:color="auto" w:fill="auto"/>
            <w:vAlign w:val="center"/>
            <w:hideMark/>
          </w:tcPr>
          <w:p w14:paraId="2A03893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6,14 %</w:t>
            </w:r>
          </w:p>
        </w:tc>
        <w:tc>
          <w:tcPr>
            <w:tcW w:w="581" w:type="pct"/>
            <w:shd w:val="clear" w:color="auto" w:fill="auto"/>
            <w:vAlign w:val="center"/>
            <w:hideMark/>
          </w:tcPr>
          <w:p w14:paraId="64B3451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12,59 %</w:t>
            </w:r>
          </w:p>
        </w:tc>
      </w:tr>
      <w:tr w:rsidR="00F24E18" w:rsidRPr="00B20709" w14:paraId="5F3BB8B6" w14:textId="77777777" w:rsidTr="000E18B5">
        <w:trPr>
          <w:trHeight w:val="315"/>
        </w:trPr>
        <w:tc>
          <w:tcPr>
            <w:tcW w:w="1464" w:type="pct"/>
            <w:shd w:val="clear" w:color="auto" w:fill="auto"/>
            <w:vAlign w:val="center"/>
            <w:hideMark/>
          </w:tcPr>
          <w:p w14:paraId="40C65B2A"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8 = Pohištvo</w:t>
            </w:r>
          </w:p>
        </w:tc>
        <w:tc>
          <w:tcPr>
            <w:tcW w:w="591" w:type="pct"/>
            <w:shd w:val="clear" w:color="auto" w:fill="auto"/>
            <w:vAlign w:val="center"/>
            <w:hideMark/>
          </w:tcPr>
          <w:p w14:paraId="14A4311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186</w:t>
            </w:r>
          </w:p>
        </w:tc>
        <w:tc>
          <w:tcPr>
            <w:tcW w:w="623" w:type="pct"/>
            <w:shd w:val="clear" w:color="auto" w:fill="auto"/>
            <w:vAlign w:val="center"/>
            <w:hideMark/>
          </w:tcPr>
          <w:p w14:paraId="79FC79E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81.091.082</w:t>
            </w:r>
          </w:p>
        </w:tc>
        <w:tc>
          <w:tcPr>
            <w:tcW w:w="606" w:type="pct"/>
            <w:shd w:val="clear" w:color="auto" w:fill="auto"/>
            <w:vAlign w:val="center"/>
            <w:hideMark/>
          </w:tcPr>
          <w:p w14:paraId="65DE5DE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1,11 %</w:t>
            </w:r>
          </w:p>
        </w:tc>
        <w:tc>
          <w:tcPr>
            <w:tcW w:w="606" w:type="pct"/>
            <w:shd w:val="clear" w:color="auto" w:fill="auto"/>
            <w:vAlign w:val="center"/>
            <w:hideMark/>
          </w:tcPr>
          <w:p w14:paraId="1EC4400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1,30 %</w:t>
            </w:r>
          </w:p>
        </w:tc>
        <w:tc>
          <w:tcPr>
            <w:tcW w:w="529" w:type="pct"/>
            <w:shd w:val="clear" w:color="auto" w:fill="auto"/>
            <w:vAlign w:val="center"/>
            <w:hideMark/>
          </w:tcPr>
          <w:p w14:paraId="69DA1F3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3,87 %</w:t>
            </w:r>
          </w:p>
        </w:tc>
        <w:tc>
          <w:tcPr>
            <w:tcW w:w="581" w:type="pct"/>
            <w:shd w:val="clear" w:color="auto" w:fill="auto"/>
            <w:vAlign w:val="center"/>
            <w:hideMark/>
          </w:tcPr>
          <w:p w14:paraId="6FEC81C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3,79 %</w:t>
            </w:r>
          </w:p>
        </w:tc>
      </w:tr>
      <w:tr w:rsidR="00F24E18" w:rsidRPr="00B20709" w14:paraId="5D900E46" w14:textId="77777777" w:rsidTr="000E18B5">
        <w:trPr>
          <w:trHeight w:val="495"/>
        </w:trPr>
        <w:tc>
          <w:tcPr>
            <w:tcW w:w="1464" w:type="pct"/>
            <w:shd w:val="clear" w:color="auto" w:fill="auto"/>
            <w:vAlign w:val="center"/>
            <w:hideMark/>
          </w:tcPr>
          <w:p w14:paraId="1129FD0E"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 = Čistila, storitve čiščenja in storitve pranja perila</w:t>
            </w:r>
          </w:p>
        </w:tc>
        <w:tc>
          <w:tcPr>
            <w:tcW w:w="591" w:type="pct"/>
            <w:shd w:val="clear" w:color="auto" w:fill="auto"/>
            <w:vAlign w:val="center"/>
            <w:hideMark/>
          </w:tcPr>
          <w:p w14:paraId="12DDBAE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268</w:t>
            </w:r>
          </w:p>
        </w:tc>
        <w:tc>
          <w:tcPr>
            <w:tcW w:w="623" w:type="pct"/>
            <w:shd w:val="clear" w:color="auto" w:fill="auto"/>
            <w:vAlign w:val="center"/>
            <w:hideMark/>
          </w:tcPr>
          <w:p w14:paraId="5F573DC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39.981.233</w:t>
            </w:r>
          </w:p>
        </w:tc>
        <w:tc>
          <w:tcPr>
            <w:tcW w:w="606" w:type="pct"/>
            <w:shd w:val="clear" w:color="auto" w:fill="auto"/>
            <w:vAlign w:val="center"/>
            <w:hideMark/>
          </w:tcPr>
          <w:p w14:paraId="30EAC92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1,59 %</w:t>
            </w:r>
          </w:p>
        </w:tc>
        <w:tc>
          <w:tcPr>
            <w:tcW w:w="606" w:type="pct"/>
            <w:shd w:val="clear" w:color="auto" w:fill="auto"/>
            <w:vAlign w:val="center"/>
            <w:hideMark/>
          </w:tcPr>
          <w:p w14:paraId="3A3485C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0,64 %</w:t>
            </w:r>
          </w:p>
        </w:tc>
        <w:tc>
          <w:tcPr>
            <w:tcW w:w="529" w:type="pct"/>
            <w:shd w:val="clear" w:color="auto" w:fill="auto"/>
            <w:vAlign w:val="center"/>
            <w:hideMark/>
          </w:tcPr>
          <w:p w14:paraId="0BFE347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5,58 %</w:t>
            </w:r>
          </w:p>
        </w:tc>
        <w:tc>
          <w:tcPr>
            <w:tcW w:w="581" w:type="pct"/>
            <w:shd w:val="clear" w:color="auto" w:fill="auto"/>
            <w:vAlign w:val="center"/>
            <w:hideMark/>
          </w:tcPr>
          <w:p w14:paraId="322F59A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1,87 %</w:t>
            </w:r>
          </w:p>
        </w:tc>
      </w:tr>
      <w:tr w:rsidR="00F24E18" w:rsidRPr="00B20709" w14:paraId="138182B3" w14:textId="77777777" w:rsidTr="000E18B5">
        <w:trPr>
          <w:trHeight w:val="315"/>
        </w:trPr>
        <w:tc>
          <w:tcPr>
            <w:tcW w:w="1464" w:type="pct"/>
            <w:shd w:val="clear" w:color="auto" w:fill="auto"/>
            <w:vAlign w:val="center"/>
            <w:hideMark/>
          </w:tcPr>
          <w:p w14:paraId="7A8077C1"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10 = Cestna vozila</w:t>
            </w:r>
          </w:p>
        </w:tc>
        <w:tc>
          <w:tcPr>
            <w:tcW w:w="591" w:type="pct"/>
            <w:shd w:val="clear" w:color="auto" w:fill="auto"/>
            <w:vAlign w:val="center"/>
            <w:hideMark/>
          </w:tcPr>
          <w:p w14:paraId="2D7F2FA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317</w:t>
            </w:r>
          </w:p>
        </w:tc>
        <w:tc>
          <w:tcPr>
            <w:tcW w:w="623" w:type="pct"/>
            <w:shd w:val="clear" w:color="auto" w:fill="auto"/>
            <w:vAlign w:val="center"/>
            <w:hideMark/>
          </w:tcPr>
          <w:p w14:paraId="035331E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691.630.230</w:t>
            </w:r>
          </w:p>
        </w:tc>
        <w:tc>
          <w:tcPr>
            <w:tcW w:w="606" w:type="pct"/>
            <w:shd w:val="clear" w:color="auto" w:fill="auto"/>
            <w:vAlign w:val="center"/>
            <w:hideMark/>
          </w:tcPr>
          <w:p w14:paraId="29ADE21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1,88 %</w:t>
            </w:r>
          </w:p>
        </w:tc>
        <w:tc>
          <w:tcPr>
            <w:tcW w:w="606" w:type="pct"/>
            <w:shd w:val="clear" w:color="auto" w:fill="auto"/>
            <w:vAlign w:val="center"/>
            <w:hideMark/>
          </w:tcPr>
          <w:p w14:paraId="0EC6E27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11,10 %</w:t>
            </w:r>
          </w:p>
        </w:tc>
        <w:tc>
          <w:tcPr>
            <w:tcW w:w="529" w:type="pct"/>
            <w:shd w:val="clear" w:color="auto" w:fill="auto"/>
            <w:vAlign w:val="center"/>
            <w:hideMark/>
          </w:tcPr>
          <w:p w14:paraId="7EEB183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6,60 %</w:t>
            </w:r>
          </w:p>
        </w:tc>
        <w:tc>
          <w:tcPr>
            <w:tcW w:w="581" w:type="pct"/>
            <w:shd w:val="clear" w:color="auto" w:fill="auto"/>
            <w:vAlign w:val="center"/>
            <w:hideMark/>
          </w:tcPr>
          <w:p w14:paraId="1C0C00A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32,35 %</w:t>
            </w:r>
          </w:p>
        </w:tc>
      </w:tr>
      <w:tr w:rsidR="00F24E18" w:rsidRPr="00B20709" w14:paraId="6D04CB4C" w14:textId="77777777" w:rsidTr="000E18B5">
        <w:trPr>
          <w:trHeight w:val="315"/>
        </w:trPr>
        <w:tc>
          <w:tcPr>
            <w:tcW w:w="1464" w:type="pct"/>
            <w:shd w:val="clear" w:color="auto" w:fill="auto"/>
            <w:vAlign w:val="center"/>
            <w:hideMark/>
          </w:tcPr>
          <w:p w14:paraId="6A7FCED0"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11 = Pnevmatike</w:t>
            </w:r>
          </w:p>
        </w:tc>
        <w:tc>
          <w:tcPr>
            <w:tcW w:w="591" w:type="pct"/>
            <w:shd w:val="clear" w:color="auto" w:fill="auto"/>
            <w:vAlign w:val="center"/>
            <w:hideMark/>
          </w:tcPr>
          <w:p w14:paraId="442DEDD5"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36</w:t>
            </w:r>
          </w:p>
        </w:tc>
        <w:tc>
          <w:tcPr>
            <w:tcW w:w="623" w:type="pct"/>
            <w:shd w:val="clear" w:color="auto" w:fill="auto"/>
            <w:vAlign w:val="center"/>
            <w:hideMark/>
          </w:tcPr>
          <w:p w14:paraId="3109F04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6.887.278</w:t>
            </w:r>
          </w:p>
        </w:tc>
        <w:tc>
          <w:tcPr>
            <w:tcW w:w="606" w:type="pct"/>
            <w:shd w:val="clear" w:color="auto" w:fill="auto"/>
            <w:vAlign w:val="center"/>
            <w:hideMark/>
          </w:tcPr>
          <w:p w14:paraId="65539CD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0,21 %</w:t>
            </w:r>
          </w:p>
        </w:tc>
        <w:tc>
          <w:tcPr>
            <w:tcW w:w="606" w:type="pct"/>
            <w:shd w:val="clear" w:color="auto" w:fill="auto"/>
            <w:vAlign w:val="center"/>
            <w:hideMark/>
          </w:tcPr>
          <w:p w14:paraId="53B50E7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0,11 %</w:t>
            </w:r>
          </w:p>
        </w:tc>
        <w:tc>
          <w:tcPr>
            <w:tcW w:w="529" w:type="pct"/>
            <w:shd w:val="clear" w:color="auto" w:fill="auto"/>
            <w:vAlign w:val="center"/>
            <w:hideMark/>
          </w:tcPr>
          <w:p w14:paraId="63F9D38F"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0,75 %</w:t>
            </w:r>
          </w:p>
        </w:tc>
        <w:tc>
          <w:tcPr>
            <w:tcW w:w="581" w:type="pct"/>
            <w:shd w:val="clear" w:color="auto" w:fill="auto"/>
            <w:vAlign w:val="center"/>
            <w:hideMark/>
          </w:tcPr>
          <w:p w14:paraId="0236025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0,32 %</w:t>
            </w:r>
          </w:p>
        </w:tc>
      </w:tr>
      <w:tr w:rsidR="00F24E18" w:rsidRPr="00B20709" w14:paraId="08DEC7F3" w14:textId="77777777" w:rsidTr="000E18B5">
        <w:trPr>
          <w:trHeight w:val="495"/>
        </w:trPr>
        <w:tc>
          <w:tcPr>
            <w:tcW w:w="1464" w:type="pct"/>
            <w:shd w:val="clear" w:color="auto" w:fill="auto"/>
            <w:vAlign w:val="center"/>
            <w:hideMark/>
          </w:tcPr>
          <w:p w14:paraId="6BF820F0"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12 = Električne sijalke in svetilke ter razsvetljava v notranjih prostorih</w:t>
            </w:r>
          </w:p>
        </w:tc>
        <w:tc>
          <w:tcPr>
            <w:tcW w:w="591" w:type="pct"/>
            <w:shd w:val="clear" w:color="auto" w:fill="auto"/>
            <w:vAlign w:val="center"/>
            <w:hideMark/>
          </w:tcPr>
          <w:p w14:paraId="2914918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128</w:t>
            </w:r>
          </w:p>
        </w:tc>
        <w:tc>
          <w:tcPr>
            <w:tcW w:w="623" w:type="pct"/>
            <w:shd w:val="clear" w:color="auto" w:fill="auto"/>
            <w:vAlign w:val="center"/>
            <w:hideMark/>
          </w:tcPr>
          <w:p w14:paraId="1520732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311.123.516</w:t>
            </w:r>
          </w:p>
        </w:tc>
        <w:tc>
          <w:tcPr>
            <w:tcW w:w="606" w:type="pct"/>
            <w:shd w:val="clear" w:color="auto" w:fill="auto"/>
            <w:vAlign w:val="center"/>
            <w:hideMark/>
          </w:tcPr>
          <w:p w14:paraId="18EEDAC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0,76 %</w:t>
            </w:r>
          </w:p>
        </w:tc>
        <w:tc>
          <w:tcPr>
            <w:tcW w:w="606" w:type="pct"/>
            <w:shd w:val="clear" w:color="auto" w:fill="auto"/>
            <w:vAlign w:val="center"/>
            <w:hideMark/>
          </w:tcPr>
          <w:p w14:paraId="1E4C4AA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4,99 %</w:t>
            </w:r>
          </w:p>
        </w:tc>
        <w:tc>
          <w:tcPr>
            <w:tcW w:w="529" w:type="pct"/>
            <w:shd w:val="clear" w:color="auto" w:fill="auto"/>
            <w:vAlign w:val="center"/>
            <w:hideMark/>
          </w:tcPr>
          <w:p w14:paraId="6FD7D4C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2,66 %</w:t>
            </w:r>
          </w:p>
        </w:tc>
        <w:tc>
          <w:tcPr>
            <w:tcW w:w="581" w:type="pct"/>
            <w:shd w:val="clear" w:color="auto" w:fill="auto"/>
            <w:vAlign w:val="center"/>
            <w:hideMark/>
          </w:tcPr>
          <w:p w14:paraId="460A014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14,55 %</w:t>
            </w:r>
          </w:p>
        </w:tc>
      </w:tr>
      <w:tr w:rsidR="00F24E18" w:rsidRPr="00B20709" w14:paraId="24977DAC" w14:textId="77777777" w:rsidTr="000E18B5">
        <w:trPr>
          <w:trHeight w:val="315"/>
        </w:trPr>
        <w:tc>
          <w:tcPr>
            <w:tcW w:w="1464" w:type="pct"/>
            <w:shd w:val="clear" w:color="auto" w:fill="auto"/>
            <w:vAlign w:val="center"/>
            <w:hideMark/>
          </w:tcPr>
          <w:p w14:paraId="65A964A1"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13 = Tekstilni izdelki</w:t>
            </w:r>
          </w:p>
        </w:tc>
        <w:tc>
          <w:tcPr>
            <w:tcW w:w="591" w:type="pct"/>
            <w:shd w:val="clear" w:color="auto" w:fill="auto"/>
            <w:vAlign w:val="center"/>
            <w:hideMark/>
          </w:tcPr>
          <w:p w14:paraId="2E866CE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61</w:t>
            </w:r>
          </w:p>
        </w:tc>
        <w:tc>
          <w:tcPr>
            <w:tcW w:w="623" w:type="pct"/>
            <w:shd w:val="clear" w:color="auto" w:fill="auto"/>
            <w:vAlign w:val="center"/>
            <w:hideMark/>
          </w:tcPr>
          <w:p w14:paraId="760C896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9.933.085</w:t>
            </w:r>
          </w:p>
        </w:tc>
        <w:tc>
          <w:tcPr>
            <w:tcW w:w="606" w:type="pct"/>
            <w:shd w:val="clear" w:color="auto" w:fill="auto"/>
            <w:vAlign w:val="center"/>
            <w:hideMark/>
          </w:tcPr>
          <w:p w14:paraId="5A00D43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0,36 %</w:t>
            </w:r>
          </w:p>
        </w:tc>
        <w:tc>
          <w:tcPr>
            <w:tcW w:w="606" w:type="pct"/>
            <w:shd w:val="clear" w:color="auto" w:fill="auto"/>
            <w:vAlign w:val="center"/>
            <w:hideMark/>
          </w:tcPr>
          <w:p w14:paraId="6CDA360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0,16 %</w:t>
            </w:r>
          </w:p>
        </w:tc>
        <w:tc>
          <w:tcPr>
            <w:tcW w:w="529" w:type="pct"/>
            <w:shd w:val="clear" w:color="auto" w:fill="auto"/>
            <w:vAlign w:val="center"/>
            <w:hideMark/>
          </w:tcPr>
          <w:p w14:paraId="0A582BB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1,27 %</w:t>
            </w:r>
          </w:p>
        </w:tc>
        <w:tc>
          <w:tcPr>
            <w:tcW w:w="581" w:type="pct"/>
            <w:shd w:val="clear" w:color="auto" w:fill="auto"/>
            <w:vAlign w:val="center"/>
            <w:hideMark/>
          </w:tcPr>
          <w:p w14:paraId="7391347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0,46 %</w:t>
            </w:r>
          </w:p>
        </w:tc>
      </w:tr>
      <w:tr w:rsidR="00F24E18" w:rsidRPr="00B20709" w14:paraId="5A645597" w14:textId="77777777" w:rsidTr="000E18B5">
        <w:trPr>
          <w:trHeight w:val="495"/>
        </w:trPr>
        <w:tc>
          <w:tcPr>
            <w:tcW w:w="1464" w:type="pct"/>
            <w:shd w:val="clear" w:color="auto" w:fill="auto"/>
            <w:vAlign w:val="center"/>
            <w:hideMark/>
          </w:tcPr>
          <w:p w14:paraId="62BCF671"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14 = Grelniki vode, grelniki prostora in njihove kombinacije ter hranilniki tople vode</w:t>
            </w:r>
          </w:p>
        </w:tc>
        <w:tc>
          <w:tcPr>
            <w:tcW w:w="591" w:type="pct"/>
            <w:shd w:val="clear" w:color="auto" w:fill="auto"/>
            <w:vAlign w:val="center"/>
            <w:hideMark/>
          </w:tcPr>
          <w:p w14:paraId="0647276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116</w:t>
            </w:r>
          </w:p>
        </w:tc>
        <w:tc>
          <w:tcPr>
            <w:tcW w:w="623" w:type="pct"/>
            <w:shd w:val="clear" w:color="auto" w:fill="auto"/>
            <w:vAlign w:val="center"/>
            <w:hideMark/>
          </w:tcPr>
          <w:p w14:paraId="72BFE99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103.486.438</w:t>
            </w:r>
          </w:p>
        </w:tc>
        <w:tc>
          <w:tcPr>
            <w:tcW w:w="606" w:type="pct"/>
            <w:shd w:val="clear" w:color="auto" w:fill="auto"/>
            <w:vAlign w:val="center"/>
            <w:hideMark/>
          </w:tcPr>
          <w:p w14:paraId="47714F2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0,69 %</w:t>
            </w:r>
          </w:p>
        </w:tc>
        <w:tc>
          <w:tcPr>
            <w:tcW w:w="606" w:type="pct"/>
            <w:shd w:val="clear" w:color="auto" w:fill="auto"/>
            <w:vAlign w:val="center"/>
            <w:hideMark/>
          </w:tcPr>
          <w:p w14:paraId="60F54F7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1,66 %</w:t>
            </w:r>
          </w:p>
        </w:tc>
        <w:tc>
          <w:tcPr>
            <w:tcW w:w="529" w:type="pct"/>
            <w:shd w:val="clear" w:color="auto" w:fill="auto"/>
            <w:vAlign w:val="center"/>
            <w:hideMark/>
          </w:tcPr>
          <w:p w14:paraId="3DF6AE6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2,41 %</w:t>
            </w:r>
          </w:p>
        </w:tc>
        <w:tc>
          <w:tcPr>
            <w:tcW w:w="581" w:type="pct"/>
            <w:shd w:val="clear" w:color="auto" w:fill="auto"/>
            <w:vAlign w:val="center"/>
            <w:hideMark/>
          </w:tcPr>
          <w:p w14:paraId="3B8E3A6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4,84 %</w:t>
            </w:r>
          </w:p>
        </w:tc>
      </w:tr>
      <w:tr w:rsidR="00F24E18" w:rsidRPr="00B20709" w14:paraId="47DBE37A" w14:textId="77777777" w:rsidTr="000E18B5">
        <w:trPr>
          <w:trHeight w:val="315"/>
        </w:trPr>
        <w:tc>
          <w:tcPr>
            <w:tcW w:w="1464" w:type="pct"/>
            <w:shd w:val="clear" w:color="auto" w:fill="auto"/>
            <w:vAlign w:val="center"/>
            <w:hideMark/>
          </w:tcPr>
          <w:p w14:paraId="56347492"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15 = Sanitarne armature</w:t>
            </w:r>
          </w:p>
        </w:tc>
        <w:tc>
          <w:tcPr>
            <w:tcW w:w="591" w:type="pct"/>
            <w:shd w:val="clear" w:color="auto" w:fill="auto"/>
            <w:vAlign w:val="center"/>
            <w:hideMark/>
          </w:tcPr>
          <w:p w14:paraId="3568E26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109</w:t>
            </w:r>
          </w:p>
        </w:tc>
        <w:tc>
          <w:tcPr>
            <w:tcW w:w="623" w:type="pct"/>
            <w:shd w:val="clear" w:color="auto" w:fill="auto"/>
            <w:vAlign w:val="center"/>
            <w:hideMark/>
          </w:tcPr>
          <w:p w14:paraId="13C2495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100.274.832</w:t>
            </w:r>
          </w:p>
        </w:tc>
        <w:tc>
          <w:tcPr>
            <w:tcW w:w="606" w:type="pct"/>
            <w:shd w:val="clear" w:color="auto" w:fill="auto"/>
            <w:vAlign w:val="center"/>
            <w:hideMark/>
          </w:tcPr>
          <w:p w14:paraId="1F84196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0,65 %</w:t>
            </w:r>
          </w:p>
        </w:tc>
        <w:tc>
          <w:tcPr>
            <w:tcW w:w="606" w:type="pct"/>
            <w:shd w:val="clear" w:color="auto" w:fill="auto"/>
            <w:vAlign w:val="center"/>
            <w:hideMark/>
          </w:tcPr>
          <w:p w14:paraId="29CF1787"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1,61 %</w:t>
            </w:r>
          </w:p>
        </w:tc>
        <w:tc>
          <w:tcPr>
            <w:tcW w:w="529" w:type="pct"/>
            <w:shd w:val="clear" w:color="auto" w:fill="auto"/>
            <w:vAlign w:val="center"/>
            <w:hideMark/>
          </w:tcPr>
          <w:p w14:paraId="08C655B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2,27 %</w:t>
            </w:r>
          </w:p>
        </w:tc>
        <w:tc>
          <w:tcPr>
            <w:tcW w:w="581" w:type="pct"/>
            <w:shd w:val="clear" w:color="auto" w:fill="auto"/>
            <w:vAlign w:val="center"/>
            <w:hideMark/>
          </w:tcPr>
          <w:p w14:paraId="3BD3CFE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4,69 %</w:t>
            </w:r>
          </w:p>
        </w:tc>
      </w:tr>
      <w:tr w:rsidR="00F24E18" w:rsidRPr="00B20709" w14:paraId="5D6A5D76" w14:textId="77777777" w:rsidTr="000E18B5">
        <w:trPr>
          <w:trHeight w:val="495"/>
        </w:trPr>
        <w:tc>
          <w:tcPr>
            <w:tcW w:w="1464" w:type="pct"/>
            <w:shd w:val="clear" w:color="auto" w:fill="auto"/>
            <w:vAlign w:val="center"/>
            <w:hideMark/>
          </w:tcPr>
          <w:p w14:paraId="59B2A43F"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16 = Oprema za stranišča na splakovanje in oprema za pisoarje</w:t>
            </w:r>
          </w:p>
        </w:tc>
        <w:tc>
          <w:tcPr>
            <w:tcW w:w="591" w:type="pct"/>
            <w:shd w:val="clear" w:color="auto" w:fill="auto"/>
            <w:vAlign w:val="center"/>
            <w:hideMark/>
          </w:tcPr>
          <w:p w14:paraId="3553F86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90</w:t>
            </w:r>
          </w:p>
        </w:tc>
        <w:tc>
          <w:tcPr>
            <w:tcW w:w="623" w:type="pct"/>
            <w:shd w:val="clear" w:color="auto" w:fill="auto"/>
            <w:vAlign w:val="center"/>
            <w:hideMark/>
          </w:tcPr>
          <w:p w14:paraId="716E4AE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94.369.675</w:t>
            </w:r>
          </w:p>
        </w:tc>
        <w:tc>
          <w:tcPr>
            <w:tcW w:w="606" w:type="pct"/>
            <w:shd w:val="clear" w:color="auto" w:fill="auto"/>
            <w:vAlign w:val="center"/>
            <w:hideMark/>
          </w:tcPr>
          <w:p w14:paraId="2F3B9F6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0,53 %</w:t>
            </w:r>
          </w:p>
        </w:tc>
        <w:tc>
          <w:tcPr>
            <w:tcW w:w="606" w:type="pct"/>
            <w:shd w:val="clear" w:color="auto" w:fill="auto"/>
            <w:vAlign w:val="center"/>
            <w:hideMark/>
          </w:tcPr>
          <w:p w14:paraId="1D5F5AC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1,51 %</w:t>
            </w:r>
          </w:p>
        </w:tc>
        <w:tc>
          <w:tcPr>
            <w:tcW w:w="529" w:type="pct"/>
            <w:shd w:val="clear" w:color="auto" w:fill="auto"/>
            <w:vAlign w:val="center"/>
            <w:hideMark/>
          </w:tcPr>
          <w:p w14:paraId="6E2A8A1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1,87 %</w:t>
            </w:r>
          </w:p>
        </w:tc>
        <w:tc>
          <w:tcPr>
            <w:tcW w:w="581" w:type="pct"/>
            <w:shd w:val="clear" w:color="auto" w:fill="auto"/>
            <w:vAlign w:val="center"/>
            <w:hideMark/>
          </w:tcPr>
          <w:p w14:paraId="7101641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4,41 %</w:t>
            </w:r>
          </w:p>
        </w:tc>
      </w:tr>
      <w:tr w:rsidR="00F24E18" w:rsidRPr="00B20709" w14:paraId="3BB7D62F" w14:textId="77777777" w:rsidTr="000E18B5">
        <w:trPr>
          <w:trHeight w:val="315"/>
        </w:trPr>
        <w:tc>
          <w:tcPr>
            <w:tcW w:w="1464" w:type="pct"/>
            <w:shd w:val="clear" w:color="auto" w:fill="auto"/>
            <w:vAlign w:val="center"/>
            <w:hideMark/>
          </w:tcPr>
          <w:p w14:paraId="5490693C"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17 = Stenske plošče</w:t>
            </w:r>
          </w:p>
        </w:tc>
        <w:tc>
          <w:tcPr>
            <w:tcW w:w="591" w:type="pct"/>
            <w:shd w:val="clear" w:color="auto" w:fill="auto"/>
            <w:vAlign w:val="center"/>
            <w:hideMark/>
          </w:tcPr>
          <w:p w14:paraId="4321F5D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62</w:t>
            </w:r>
          </w:p>
        </w:tc>
        <w:tc>
          <w:tcPr>
            <w:tcW w:w="623" w:type="pct"/>
            <w:shd w:val="clear" w:color="auto" w:fill="auto"/>
            <w:vAlign w:val="center"/>
            <w:hideMark/>
          </w:tcPr>
          <w:p w14:paraId="08E036A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63.078.243</w:t>
            </w:r>
          </w:p>
        </w:tc>
        <w:tc>
          <w:tcPr>
            <w:tcW w:w="606" w:type="pct"/>
            <w:shd w:val="clear" w:color="auto" w:fill="auto"/>
            <w:vAlign w:val="center"/>
            <w:hideMark/>
          </w:tcPr>
          <w:p w14:paraId="1C9D9BCE"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0,37 %</w:t>
            </w:r>
          </w:p>
        </w:tc>
        <w:tc>
          <w:tcPr>
            <w:tcW w:w="606" w:type="pct"/>
            <w:shd w:val="clear" w:color="auto" w:fill="auto"/>
            <w:vAlign w:val="center"/>
            <w:hideMark/>
          </w:tcPr>
          <w:p w14:paraId="656F005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1,01 %</w:t>
            </w:r>
          </w:p>
        </w:tc>
        <w:tc>
          <w:tcPr>
            <w:tcW w:w="529" w:type="pct"/>
            <w:shd w:val="clear" w:color="auto" w:fill="auto"/>
            <w:vAlign w:val="center"/>
            <w:hideMark/>
          </w:tcPr>
          <w:p w14:paraId="6E6C963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1,29 %</w:t>
            </w:r>
          </w:p>
        </w:tc>
        <w:tc>
          <w:tcPr>
            <w:tcW w:w="581" w:type="pct"/>
            <w:shd w:val="clear" w:color="auto" w:fill="auto"/>
            <w:vAlign w:val="center"/>
            <w:hideMark/>
          </w:tcPr>
          <w:p w14:paraId="56CAC36B"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2,95 %</w:t>
            </w:r>
          </w:p>
        </w:tc>
      </w:tr>
      <w:tr w:rsidR="00F24E18" w:rsidRPr="00B20709" w14:paraId="45761B01" w14:textId="77777777" w:rsidTr="000E18B5">
        <w:trPr>
          <w:trHeight w:val="315"/>
        </w:trPr>
        <w:tc>
          <w:tcPr>
            <w:tcW w:w="1464" w:type="pct"/>
            <w:shd w:val="clear" w:color="auto" w:fill="auto"/>
            <w:vAlign w:val="center"/>
            <w:hideMark/>
          </w:tcPr>
          <w:p w14:paraId="16A09BA6"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18 = Projektiranje oziroma izvedba gradnje cest</w:t>
            </w:r>
          </w:p>
        </w:tc>
        <w:tc>
          <w:tcPr>
            <w:tcW w:w="591" w:type="pct"/>
            <w:shd w:val="clear" w:color="auto" w:fill="auto"/>
            <w:vAlign w:val="center"/>
            <w:hideMark/>
          </w:tcPr>
          <w:p w14:paraId="2A7FE93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229</w:t>
            </w:r>
          </w:p>
        </w:tc>
        <w:tc>
          <w:tcPr>
            <w:tcW w:w="623" w:type="pct"/>
            <w:shd w:val="clear" w:color="auto" w:fill="auto"/>
            <w:vAlign w:val="center"/>
            <w:hideMark/>
          </w:tcPr>
          <w:p w14:paraId="0823193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179.828.017</w:t>
            </w:r>
          </w:p>
        </w:tc>
        <w:tc>
          <w:tcPr>
            <w:tcW w:w="606" w:type="pct"/>
            <w:shd w:val="clear" w:color="auto" w:fill="auto"/>
            <w:vAlign w:val="center"/>
            <w:hideMark/>
          </w:tcPr>
          <w:p w14:paraId="458AD68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1,36 %</w:t>
            </w:r>
          </w:p>
        </w:tc>
        <w:tc>
          <w:tcPr>
            <w:tcW w:w="606" w:type="pct"/>
            <w:shd w:val="clear" w:color="auto" w:fill="auto"/>
            <w:vAlign w:val="center"/>
            <w:hideMark/>
          </w:tcPr>
          <w:p w14:paraId="7A53DAF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2,89 %</w:t>
            </w:r>
          </w:p>
        </w:tc>
        <w:tc>
          <w:tcPr>
            <w:tcW w:w="529" w:type="pct"/>
            <w:shd w:val="clear" w:color="auto" w:fill="auto"/>
            <w:vAlign w:val="center"/>
            <w:hideMark/>
          </w:tcPr>
          <w:p w14:paraId="7E0345B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4,77 %</w:t>
            </w:r>
          </w:p>
        </w:tc>
        <w:tc>
          <w:tcPr>
            <w:tcW w:w="581" w:type="pct"/>
            <w:shd w:val="clear" w:color="auto" w:fill="auto"/>
            <w:vAlign w:val="center"/>
            <w:hideMark/>
          </w:tcPr>
          <w:p w14:paraId="5E964230"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8,41 %</w:t>
            </w:r>
          </w:p>
        </w:tc>
      </w:tr>
      <w:tr w:rsidR="00F24E18" w:rsidRPr="00B20709" w14:paraId="39A62F51" w14:textId="77777777" w:rsidTr="000E18B5">
        <w:trPr>
          <w:trHeight w:val="495"/>
        </w:trPr>
        <w:tc>
          <w:tcPr>
            <w:tcW w:w="1464" w:type="pct"/>
            <w:shd w:val="clear" w:color="auto" w:fill="auto"/>
            <w:vAlign w:val="center"/>
            <w:hideMark/>
          </w:tcPr>
          <w:p w14:paraId="5EF6E0F5"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19 = Cestna razsvetljava in prometna signalizacija</w:t>
            </w:r>
          </w:p>
        </w:tc>
        <w:tc>
          <w:tcPr>
            <w:tcW w:w="591" w:type="pct"/>
            <w:shd w:val="clear" w:color="auto" w:fill="auto"/>
            <w:vAlign w:val="center"/>
            <w:hideMark/>
          </w:tcPr>
          <w:p w14:paraId="402110E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39</w:t>
            </w:r>
          </w:p>
        </w:tc>
        <w:tc>
          <w:tcPr>
            <w:tcW w:w="623" w:type="pct"/>
            <w:shd w:val="clear" w:color="auto" w:fill="auto"/>
            <w:vAlign w:val="center"/>
            <w:hideMark/>
          </w:tcPr>
          <w:p w14:paraId="4F92A8C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324.173.404</w:t>
            </w:r>
          </w:p>
        </w:tc>
        <w:tc>
          <w:tcPr>
            <w:tcW w:w="606" w:type="pct"/>
            <w:shd w:val="clear" w:color="auto" w:fill="auto"/>
            <w:vAlign w:val="center"/>
            <w:hideMark/>
          </w:tcPr>
          <w:p w14:paraId="486227AC"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0,23 %</w:t>
            </w:r>
          </w:p>
        </w:tc>
        <w:tc>
          <w:tcPr>
            <w:tcW w:w="606" w:type="pct"/>
            <w:shd w:val="clear" w:color="auto" w:fill="auto"/>
            <w:vAlign w:val="center"/>
            <w:hideMark/>
          </w:tcPr>
          <w:p w14:paraId="7898C69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5,20 %</w:t>
            </w:r>
          </w:p>
        </w:tc>
        <w:tc>
          <w:tcPr>
            <w:tcW w:w="529" w:type="pct"/>
            <w:shd w:val="clear" w:color="auto" w:fill="auto"/>
            <w:vAlign w:val="center"/>
            <w:hideMark/>
          </w:tcPr>
          <w:p w14:paraId="1807E8F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0,81 %</w:t>
            </w:r>
          </w:p>
        </w:tc>
        <w:tc>
          <w:tcPr>
            <w:tcW w:w="581" w:type="pct"/>
            <w:shd w:val="clear" w:color="auto" w:fill="auto"/>
            <w:vAlign w:val="center"/>
            <w:hideMark/>
          </w:tcPr>
          <w:p w14:paraId="0281690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15,16 %</w:t>
            </w:r>
          </w:p>
        </w:tc>
      </w:tr>
      <w:tr w:rsidR="00F24E18" w:rsidRPr="00B20709" w14:paraId="0CDFA842" w14:textId="77777777" w:rsidTr="000E18B5">
        <w:trPr>
          <w:trHeight w:val="495"/>
        </w:trPr>
        <w:tc>
          <w:tcPr>
            <w:tcW w:w="1464" w:type="pct"/>
            <w:shd w:val="clear" w:color="auto" w:fill="auto"/>
            <w:vAlign w:val="center"/>
            <w:hideMark/>
          </w:tcPr>
          <w:p w14:paraId="37721C1B"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20 = Vrtnarske storitve, kmetijski in drugi proizvodi ter oprema in stroji za vrtnarjenje</w:t>
            </w:r>
          </w:p>
        </w:tc>
        <w:tc>
          <w:tcPr>
            <w:tcW w:w="591" w:type="pct"/>
            <w:shd w:val="clear" w:color="auto" w:fill="auto"/>
            <w:vAlign w:val="center"/>
            <w:hideMark/>
          </w:tcPr>
          <w:p w14:paraId="2FAD14F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39</w:t>
            </w:r>
          </w:p>
        </w:tc>
        <w:tc>
          <w:tcPr>
            <w:tcW w:w="623" w:type="pct"/>
            <w:shd w:val="clear" w:color="auto" w:fill="auto"/>
            <w:vAlign w:val="center"/>
            <w:hideMark/>
          </w:tcPr>
          <w:p w14:paraId="1E09594A"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30.082.295</w:t>
            </w:r>
          </w:p>
        </w:tc>
        <w:tc>
          <w:tcPr>
            <w:tcW w:w="606" w:type="pct"/>
            <w:shd w:val="clear" w:color="auto" w:fill="auto"/>
            <w:vAlign w:val="center"/>
            <w:hideMark/>
          </w:tcPr>
          <w:p w14:paraId="67B32966"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0,23 %</w:t>
            </w:r>
          </w:p>
        </w:tc>
        <w:tc>
          <w:tcPr>
            <w:tcW w:w="606" w:type="pct"/>
            <w:shd w:val="clear" w:color="auto" w:fill="auto"/>
            <w:vAlign w:val="center"/>
            <w:hideMark/>
          </w:tcPr>
          <w:p w14:paraId="5F480CC3"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0,48 %</w:t>
            </w:r>
          </w:p>
        </w:tc>
        <w:tc>
          <w:tcPr>
            <w:tcW w:w="529" w:type="pct"/>
            <w:shd w:val="clear" w:color="auto" w:fill="auto"/>
            <w:vAlign w:val="center"/>
            <w:hideMark/>
          </w:tcPr>
          <w:p w14:paraId="6A1E8574"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0,81 %</w:t>
            </w:r>
          </w:p>
        </w:tc>
        <w:tc>
          <w:tcPr>
            <w:tcW w:w="581" w:type="pct"/>
            <w:shd w:val="clear" w:color="auto" w:fill="auto"/>
            <w:vAlign w:val="center"/>
            <w:hideMark/>
          </w:tcPr>
          <w:p w14:paraId="2FF2B39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1,41 %</w:t>
            </w:r>
          </w:p>
        </w:tc>
      </w:tr>
      <w:tr w:rsidR="00F24E18" w:rsidRPr="00242E41" w14:paraId="34DDCEFA" w14:textId="77777777" w:rsidTr="000E18B5">
        <w:trPr>
          <w:trHeight w:val="315"/>
        </w:trPr>
        <w:tc>
          <w:tcPr>
            <w:tcW w:w="1464" w:type="pct"/>
            <w:shd w:val="clear" w:color="auto" w:fill="auto"/>
            <w:vAlign w:val="center"/>
            <w:hideMark/>
          </w:tcPr>
          <w:p w14:paraId="7B4692A3" w14:textId="77777777" w:rsidR="00F24E18" w:rsidRPr="00B20709" w:rsidRDefault="00F24E18" w:rsidP="000E18B5">
            <w:pPr>
              <w:spacing w:after="0" w:line="240" w:lineRule="auto"/>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21 = Stavbno pohištvo</w:t>
            </w:r>
          </w:p>
        </w:tc>
        <w:tc>
          <w:tcPr>
            <w:tcW w:w="591" w:type="pct"/>
            <w:shd w:val="clear" w:color="auto" w:fill="auto"/>
            <w:vAlign w:val="center"/>
            <w:hideMark/>
          </w:tcPr>
          <w:p w14:paraId="5D746CED"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76</w:t>
            </w:r>
          </w:p>
        </w:tc>
        <w:tc>
          <w:tcPr>
            <w:tcW w:w="623" w:type="pct"/>
            <w:shd w:val="clear" w:color="auto" w:fill="auto"/>
            <w:noWrap/>
            <w:vAlign w:val="center"/>
            <w:hideMark/>
          </w:tcPr>
          <w:p w14:paraId="5683A7B9"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eastAsia="Times New Roman" w:hAnsi="Arial" w:cs="Arial"/>
                <w:color w:val="000000"/>
                <w:sz w:val="18"/>
                <w:szCs w:val="18"/>
                <w:lang w:eastAsia="sl-SI"/>
              </w:rPr>
              <w:t>69.981.151</w:t>
            </w:r>
          </w:p>
        </w:tc>
        <w:tc>
          <w:tcPr>
            <w:tcW w:w="606" w:type="pct"/>
            <w:shd w:val="clear" w:color="auto" w:fill="auto"/>
            <w:vAlign w:val="center"/>
            <w:hideMark/>
          </w:tcPr>
          <w:p w14:paraId="13C64611"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0,45 %</w:t>
            </w:r>
          </w:p>
        </w:tc>
        <w:tc>
          <w:tcPr>
            <w:tcW w:w="606" w:type="pct"/>
            <w:shd w:val="clear" w:color="auto" w:fill="auto"/>
            <w:vAlign w:val="center"/>
            <w:hideMark/>
          </w:tcPr>
          <w:p w14:paraId="387AB632"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1,12 %</w:t>
            </w:r>
          </w:p>
        </w:tc>
        <w:tc>
          <w:tcPr>
            <w:tcW w:w="529" w:type="pct"/>
            <w:shd w:val="clear" w:color="auto" w:fill="auto"/>
            <w:vAlign w:val="center"/>
            <w:hideMark/>
          </w:tcPr>
          <w:p w14:paraId="56AC629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1,58 %</w:t>
            </w:r>
          </w:p>
        </w:tc>
        <w:tc>
          <w:tcPr>
            <w:tcW w:w="581" w:type="pct"/>
            <w:shd w:val="clear" w:color="auto" w:fill="auto"/>
            <w:vAlign w:val="center"/>
            <w:hideMark/>
          </w:tcPr>
          <w:p w14:paraId="2E4F5788" w14:textId="77777777" w:rsidR="00F24E18" w:rsidRPr="00B20709" w:rsidRDefault="00F24E18" w:rsidP="000E18B5">
            <w:pPr>
              <w:spacing w:after="0" w:line="240" w:lineRule="auto"/>
              <w:jc w:val="right"/>
              <w:rPr>
                <w:rFonts w:ascii="Arial" w:eastAsia="Times New Roman" w:hAnsi="Arial" w:cs="Arial"/>
                <w:color w:val="000000"/>
                <w:sz w:val="18"/>
                <w:szCs w:val="18"/>
                <w:lang w:eastAsia="sl-SI"/>
              </w:rPr>
            </w:pPr>
            <w:r w:rsidRPr="00B20709">
              <w:rPr>
                <w:rFonts w:ascii="Arial" w:hAnsi="Arial" w:cs="Arial"/>
                <w:color w:val="000000"/>
                <w:sz w:val="18"/>
                <w:szCs w:val="18"/>
              </w:rPr>
              <w:t>3,27 %</w:t>
            </w:r>
          </w:p>
        </w:tc>
      </w:tr>
    </w:tbl>
    <w:p w14:paraId="3C5A2D1B" w14:textId="77777777" w:rsidR="00F24E18" w:rsidRPr="00242E41" w:rsidRDefault="00F24E18" w:rsidP="00F24E18">
      <w:pPr>
        <w:spacing w:after="0" w:line="240" w:lineRule="auto"/>
        <w:rPr>
          <w:rFonts w:ascii="Arial" w:hAnsi="Arial" w:cs="Arial"/>
          <w:sz w:val="20"/>
          <w:szCs w:val="20"/>
          <w:highlight w:val="yellow"/>
        </w:rPr>
      </w:pPr>
    </w:p>
    <w:p w14:paraId="6A8127F1" w14:textId="77777777" w:rsidR="00F24E18" w:rsidRPr="00BC6CB0" w:rsidRDefault="00F24E18" w:rsidP="00F24E18">
      <w:pPr>
        <w:spacing w:before="120" w:after="0" w:line="240" w:lineRule="auto"/>
        <w:rPr>
          <w:rFonts w:ascii="Arial" w:hAnsi="Arial" w:cs="Arial"/>
          <w:sz w:val="20"/>
        </w:rPr>
      </w:pPr>
      <w:r w:rsidRPr="00BC6CB0">
        <w:rPr>
          <w:rFonts w:ascii="Arial" w:hAnsi="Arial" w:cs="Arial"/>
          <w:sz w:val="20"/>
          <w:szCs w:val="20"/>
        </w:rPr>
        <w:t xml:space="preserve">Preglednica 100: </w:t>
      </w:r>
      <w:r w:rsidRPr="00BC6CB0">
        <w:rPr>
          <w:rFonts w:ascii="Arial" w:hAnsi="Arial" w:cs="Arial"/>
          <w:sz w:val="20"/>
        </w:rPr>
        <w:t>Število in vrednosti ter deleži zelenih naročil glede na vrste postopkov</w:t>
      </w:r>
    </w:p>
    <w:p w14:paraId="77E63F29" w14:textId="77777777" w:rsidR="00F24E18" w:rsidRPr="00242E41" w:rsidRDefault="00F24E18" w:rsidP="00F24E18">
      <w:pPr>
        <w:spacing w:after="0" w:line="240" w:lineRule="auto"/>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3182"/>
        <w:gridCol w:w="1224"/>
        <w:gridCol w:w="1292"/>
        <w:gridCol w:w="901"/>
        <w:gridCol w:w="901"/>
        <w:gridCol w:w="802"/>
        <w:gridCol w:w="872"/>
      </w:tblGrid>
      <w:tr w:rsidR="00F24E18" w:rsidRPr="00BC6CB0" w14:paraId="185D4832" w14:textId="77777777" w:rsidTr="000E18B5">
        <w:trPr>
          <w:trHeight w:val="960"/>
        </w:trPr>
        <w:tc>
          <w:tcPr>
            <w:tcW w:w="173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711F656" w14:textId="77777777" w:rsidR="00F24E18" w:rsidRPr="00BC6CB0" w:rsidRDefault="00F24E18" w:rsidP="000E18B5">
            <w:pPr>
              <w:spacing w:after="0" w:line="240" w:lineRule="auto"/>
              <w:jc w:val="center"/>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Vrsta postopka</w:t>
            </w:r>
          </w:p>
        </w:tc>
        <w:tc>
          <w:tcPr>
            <w:tcW w:w="667" w:type="pct"/>
            <w:tcBorders>
              <w:top w:val="single" w:sz="4" w:space="0" w:color="auto"/>
              <w:left w:val="nil"/>
              <w:bottom w:val="single" w:sz="4" w:space="0" w:color="auto"/>
              <w:right w:val="single" w:sz="4" w:space="0" w:color="auto"/>
            </w:tcBorders>
            <w:shd w:val="clear" w:color="000000" w:fill="F2F2F2"/>
            <w:vAlign w:val="center"/>
            <w:hideMark/>
          </w:tcPr>
          <w:p w14:paraId="6724378D" w14:textId="77777777" w:rsidR="00F24E18" w:rsidRPr="00BC6CB0" w:rsidRDefault="00F24E18" w:rsidP="000E18B5">
            <w:pPr>
              <w:spacing w:after="0" w:line="240" w:lineRule="auto"/>
              <w:jc w:val="center"/>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Št. zelenih naročil</w:t>
            </w:r>
          </w:p>
        </w:tc>
        <w:tc>
          <w:tcPr>
            <w:tcW w:w="704" w:type="pct"/>
            <w:tcBorders>
              <w:top w:val="single" w:sz="4" w:space="0" w:color="auto"/>
              <w:left w:val="nil"/>
              <w:bottom w:val="single" w:sz="4" w:space="0" w:color="auto"/>
              <w:right w:val="single" w:sz="4" w:space="0" w:color="auto"/>
            </w:tcBorders>
            <w:shd w:val="clear" w:color="000000" w:fill="F2F2F2"/>
            <w:vAlign w:val="center"/>
            <w:hideMark/>
          </w:tcPr>
          <w:p w14:paraId="73741527" w14:textId="77777777" w:rsidR="00F24E18" w:rsidRPr="00BC6CB0" w:rsidRDefault="00F24E18" w:rsidP="000E18B5">
            <w:pPr>
              <w:spacing w:after="0" w:line="240" w:lineRule="auto"/>
              <w:jc w:val="center"/>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Pogodbena vrednost</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475C7FD0" w14:textId="77777777" w:rsidR="00F24E18" w:rsidRPr="00BC6CB0" w:rsidRDefault="00F24E18" w:rsidP="000E18B5">
            <w:pPr>
              <w:spacing w:after="0" w:line="240" w:lineRule="auto"/>
              <w:jc w:val="center"/>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Delež v št. zelenih naročil</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42A03823" w14:textId="77777777" w:rsidR="00F24E18" w:rsidRPr="00BC6CB0" w:rsidRDefault="00F24E18" w:rsidP="000E18B5">
            <w:pPr>
              <w:spacing w:after="0" w:line="240" w:lineRule="auto"/>
              <w:jc w:val="center"/>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 xml:space="preserve">Delež v vrednosti zelenih naročil </w:t>
            </w:r>
          </w:p>
        </w:tc>
        <w:tc>
          <w:tcPr>
            <w:tcW w:w="437" w:type="pct"/>
            <w:tcBorders>
              <w:top w:val="single" w:sz="4" w:space="0" w:color="auto"/>
              <w:left w:val="nil"/>
              <w:bottom w:val="single" w:sz="4" w:space="0" w:color="auto"/>
              <w:right w:val="single" w:sz="4" w:space="0" w:color="auto"/>
            </w:tcBorders>
            <w:shd w:val="clear" w:color="000000" w:fill="F2F2F2"/>
            <w:vAlign w:val="center"/>
            <w:hideMark/>
          </w:tcPr>
          <w:p w14:paraId="17966DEF" w14:textId="77777777" w:rsidR="00F24E18" w:rsidRPr="00BC6CB0" w:rsidRDefault="00F24E18" w:rsidP="000E18B5">
            <w:pPr>
              <w:spacing w:after="0" w:line="240" w:lineRule="auto"/>
              <w:jc w:val="center"/>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Delež v št. vseh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01042DCA" w14:textId="77777777" w:rsidR="00F24E18" w:rsidRPr="00BC6CB0" w:rsidRDefault="00F24E18" w:rsidP="000E18B5">
            <w:pPr>
              <w:spacing w:after="0" w:line="240" w:lineRule="auto"/>
              <w:jc w:val="center"/>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Delež v vrednosti vseh naročil</w:t>
            </w:r>
          </w:p>
        </w:tc>
      </w:tr>
      <w:tr w:rsidR="00F24E18" w:rsidRPr="00BC6CB0" w14:paraId="793A09FD" w14:textId="77777777" w:rsidTr="000E18B5">
        <w:trPr>
          <w:trHeight w:val="300"/>
        </w:trPr>
        <w:tc>
          <w:tcPr>
            <w:tcW w:w="1734" w:type="pct"/>
            <w:tcBorders>
              <w:top w:val="nil"/>
              <w:left w:val="single" w:sz="4" w:space="0" w:color="auto"/>
              <w:bottom w:val="single" w:sz="4" w:space="0" w:color="auto"/>
              <w:right w:val="single" w:sz="4" w:space="0" w:color="auto"/>
            </w:tcBorders>
            <w:shd w:val="clear" w:color="auto" w:fill="auto"/>
            <w:vAlign w:val="center"/>
            <w:hideMark/>
          </w:tcPr>
          <w:p w14:paraId="4DA76747" w14:textId="77777777" w:rsidR="00F24E18" w:rsidRPr="00BC6CB0" w:rsidRDefault="00F24E18" w:rsidP="000E18B5">
            <w:pPr>
              <w:spacing w:after="0" w:line="240" w:lineRule="auto"/>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Konkurenčni dialog</w:t>
            </w:r>
          </w:p>
        </w:tc>
        <w:tc>
          <w:tcPr>
            <w:tcW w:w="667" w:type="pct"/>
            <w:tcBorders>
              <w:top w:val="nil"/>
              <w:left w:val="nil"/>
              <w:bottom w:val="single" w:sz="4" w:space="0" w:color="auto"/>
              <w:right w:val="single" w:sz="4" w:space="0" w:color="auto"/>
            </w:tcBorders>
            <w:shd w:val="clear" w:color="auto" w:fill="auto"/>
            <w:vAlign w:val="center"/>
            <w:hideMark/>
          </w:tcPr>
          <w:p w14:paraId="2A31EE37"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4</w:t>
            </w:r>
          </w:p>
        </w:tc>
        <w:tc>
          <w:tcPr>
            <w:tcW w:w="704" w:type="pct"/>
            <w:tcBorders>
              <w:top w:val="nil"/>
              <w:left w:val="nil"/>
              <w:bottom w:val="single" w:sz="4" w:space="0" w:color="auto"/>
              <w:right w:val="single" w:sz="4" w:space="0" w:color="auto"/>
            </w:tcBorders>
            <w:shd w:val="clear" w:color="auto" w:fill="auto"/>
            <w:vAlign w:val="center"/>
            <w:hideMark/>
          </w:tcPr>
          <w:p w14:paraId="588C86DA"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213.791.654</w:t>
            </w:r>
          </w:p>
        </w:tc>
        <w:tc>
          <w:tcPr>
            <w:tcW w:w="491" w:type="pct"/>
            <w:tcBorders>
              <w:top w:val="nil"/>
              <w:left w:val="nil"/>
              <w:bottom w:val="single" w:sz="4" w:space="0" w:color="auto"/>
              <w:right w:val="single" w:sz="4" w:space="0" w:color="auto"/>
            </w:tcBorders>
            <w:shd w:val="clear" w:color="auto" w:fill="auto"/>
            <w:noWrap/>
            <w:vAlign w:val="center"/>
          </w:tcPr>
          <w:p w14:paraId="221E2EFE"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0,08 %</w:t>
            </w:r>
          </w:p>
        </w:tc>
        <w:tc>
          <w:tcPr>
            <w:tcW w:w="491" w:type="pct"/>
            <w:tcBorders>
              <w:top w:val="nil"/>
              <w:left w:val="nil"/>
              <w:bottom w:val="single" w:sz="4" w:space="0" w:color="auto"/>
              <w:right w:val="single" w:sz="4" w:space="0" w:color="auto"/>
            </w:tcBorders>
            <w:shd w:val="clear" w:color="auto" w:fill="auto"/>
            <w:noWrap/>
            <w:vAlign w:val="center"/>
          </w:tcPr>
          <w:p w14:paraId="7AFD78EC"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10,00 %</w:t>
            </w:r>
          </w:p>
        </w:tc>
        <w:tc>
          <w:tcPr>
            <w:tcW w:w="437" w:type="pct"/>
            <w:tcBorders>
              <w:top w:val="nil"/>
              <w:left w:val="nil"/>
              <w:bottom w:val="single" w:sz="4" w:space="0" w:color="auto"/>
              <w:right w:val="single" w:sz="4" w:space="0" w:color="auto"/>
            </w:tcBorders>
            <w:shd w:val="clear" w:color="auto" w:fill="auto"/>
            <w:noWrap/>
            <w:vAlign w:val="center"/>
          </w:tcPr>
          <w:p w14:paraId="6914EDD8"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0,02 %</w:t>
            </w:r>
          </w:p>
        </w:tc>
        <w:tc>
          <w:tcPr>
            <w:tcW w:w="475" w:type="pct"/>
            <w:tcBorders>
              <w:top w:val="nil"/>
              <w:left w:val="nil"/>
              <w:bottom w:val="single" w:sz="4" w:space="0" w:color="auto"/>
              <w:right w:val="single" w:sz="4" w:space="0" w:color="auto"/>
            </w:tcBorders>
            <w:shd w:val="clear" w:color="auto" w:fill="auto"/>
            <w:noWrap/>
            <w:vAlign w:val="center"/>
          </w:tcPr>
          <w:p w14:paraId="62F557E6"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3,43 %</w:t>
            </w:r>
          </w:p>
        </w:tc>
      </w:tr>
      <w:tr w:rsidR="00F24E18" w:rsidRPr="00BC6CB0" w14:paraId="0775FA3F" w14:textId="77777777" w:rsidTr="000E18B5">
        <w:trPr>
          <w:trHeight w:val="300"/>
        </w:trPr>
        <w:tc>
          <w:tcPr>
            <w:tcW w:w="1734" w:type="pct"/>
            <w:tcBorders>
              <w:top w:val="nil"/>
              <w:left w:val="single" w:sz="4" w:space="0" w:color="auto"/>
              <w:bottom w:val="single" w:sz="4" w:space="0" w:color="auto"/>
              <w:right w:val="single" w:sz="4" w:space="0" w:color="auto"/>
            </w:tcBorders>
            <w:shd w:val="clear" w:color="auto" w:fill="auto"/>
            <w:vAlign w:val="center"/>
            <w:hideMark/>
          </w:tcPr>
          <w:p w14:paraId="429E1D48" w14:textId="77777777" w:rsidR="00F24E18" w:rsidRPr="00BC6CB0" w:rsidRDefault="00F24E18" w:rsidP="000E18B5">
            <w:pPr>
              <w:spacing w:after="0" w:line="240" w:lineRule="auto"/>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Konkurenčni postopek s pogajanji</w:t>
            </w:r>
          </w:p>
        </w:tc>
        <w:tc>
          <w:tcPr>
            <w:tcW w:w="667" w:type="pct"/>
            <w:tcBorders>
              <w:top w:val="nil"/>
              <w:left w:val="nil"/>
              <w:bottom w:val="single" w:sz="4" w:space="0" w:color="auto"/>
              <w:right w:val="single" w:sz="4" w:space="0" w:color="auto"/>
            </w:tcBorders>
            <w:shd w:val="clear" w:color="auto" w:fill="auto"/>
            <w:vAlign w:val="center"/>
            <w:hideMark/>
          </w:tcPr>
          <w:p w14:paraId="46D61C10"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54</w:t>
            </w:r>
          </w:p>
        </w:tc>
        <w:tc>
          <w:tcPr>
            <w:tcW w:w="704" w:type="pct"/>
            <w:tcBorders>
              <w:top w:val="nil"/>
              <w:left w:val="nil"/>
              <w:bottom w:val="single" w:sz="4" w:space="0" w:color="auto"/>
              <w:right w:val="single" w:sz="4" w:space="0" w:color="auto"/>
            </w:tcBorders>
            <w:shd w:val="clear" w:color="auto" w:fill="auto"/>
            <w:vAlign w:val="center"/>
            <w:hideMark/>
          </w:tcPr>
          <w:p w14:paraId="1EFF618A"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73.600.251</w:t>
            </w:r>
          </w:p>
        </w:tc>
        <w:tc>
          <w:tcPr>
            <w:tcW w:w="491" w:type="pct"/>
            <w:tcBorders>
              <w:top w:val="nil"/>
              <w:left w:val="nil"/>
              <w:bottom w:val="single" w:sz="4" w:space="0" w:color="auto"/>
              <w:right w:val="single" w:sz="4" w:space="0" w:color="auto"/>
            </w:tcBorders>
            <w:shd w:val="clear" w:color="auto" w:fill="auto"/>
            <w:noWrap/>
            <w:vAlign w:val="center"/>
          </w:tcPr>
          <w:p w14:paraId="464DA8CC"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1,12 %</w:t>
            </w:r>
          </w:p>
        </w:tc>
        <w:tc>
          <w:tcPr>
            <w:tcW w:w="491" w:type="pct"/>
            <w:tcBorders>
              <w:top w:val="nil"/>
              <w:left w:val="nil"/>
              <w:bottom w:val="single" w:sz="4" w:space="0" w:color="auto"/>
              <w:right w:val="single" w:sz="4" w:space="0" w:color="auto"/>
            </w:tcBorders>
            <w:shd w:val="clear" w:color="auto" w:fill="auto"/>
            <w:noWrap/>
            <w:vAlign w:val="center"/>
          </w:tcPr>
          <w:p w14:paraId="2C5186C2"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3,44 %</w:t>
            </w:r>
          </w:p>
        </w:tc>
        <w:tc>
          <w:tcPr>
            <w:tcW w:w="437" w:type="pct"/>
            <w:tcBorders>
              <w:top w:val="nil"/>
              <w:left w:val="nil"/>
              <w:bottom w:val="single" w:sz="4" w:space="0" w:color="auto"/>
              <w:right w:val="single" w:sz="4" w:space="0" w:color="auto"/>
            </w:tcBorders>
            <w:shd w:val="clear" w:color="auto" w:fill="auto"/>
            <w:noWrap/>
            <w:vAlign w:val="center"/>
          </w:tcPr>
          <w:p w14:paraId="4EAB827D"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0,32 %</w:t>
            </w:r>
          </w:p>
        </w:tc>
        <w:tc>
          <w:tcPr>
            <w:tcW w:w="475" w:type="pct"/>
            <w:tcBorders>
              <w:top w:val="nil"/>
              <w:left w:val="nil"/>
              <w:bottom w:val="single" w:sz="4" w:space="0" w:color="auto"/>
              <w:right w:val="single" w:sz="4" w:space="0" w:color="auto"/>
            </w:tcBorders>
            <w:shd w:val="clear" w:color="auto" w:fill="auto"/>
            <w:noWrap/>
            <w:vAlign w:val="center"/>
          </w:tcPr>
          <w:p w14:paraId="24B9D03A"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1,18 %</w:t>
            </w:r>
          </w:p>
        </w:tc>
      </w:tr>
      <w:tr w:rsidR="00F24E18" w:rsidRPr="00BC6CB0" w14:paraId="59CFE91B" w14:textId="77777777" w:rsidTr="000E18B5">
        <w:trPr>
          <w:trHeight w:val="300"/>
        </w:trPr>
        <w:tc>
          <w:tcPr>
            <w:tcW w:w="1734" w:type="pct"/>
            <w:tcBorders>
              <w:top w:val="nil"/>
              <w:left w:val="single" w:sz="4" w:space="0" w:color="auto"/>
              <w:bottom w:val="single" w:sz="4" w:space="0" w:color="auto"/>
              <w:right w:val="single" w:sz="4" w:space="0" w:color="auto"/>
            </w:tcBorders>
            <w:shd w:val="clear" w:color="auto" w:fill="auto"/>
            <w:vAlign w:val="center"/>
            <w:hideMark/>
          </w:tcPr>
          <w:p w14:paraId="540DE6B4" w14:textId="77777777" w:rsidR="00F24E18" w:rsidRPr="00BC6CB0" w:rsidRDefault="00F24E18" w:rsidP="000E18B5">
            <w:pPr>
              <w:spacing w:after="0" w:line="240" w:lineRule="auto"/>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Odprti postopek</w:t>
            </w:r>
          </w:p>
        </w:tc>
        <w:tc>
          <w:tcPr>
            <w:tcW w:w="667" w:type="pct"/>
            <w:tcBorders>
              <w:top w:val="nil"/>
              <w:left w:val="nil"/>
              <w:bottom w:val="single" w:sz="4" w:space="0" w:color="auto"/>
              <w:right w:val="single" w:sz="4" w:space="0" w:color="auto"/>
            </w:tcBorders>
            <w:shd w:val="clear" w:color="auto" w:fill="auto"/>
            <w:vAlign w:val="center"/>
            <w:hideMark/>
          </w:tcPr>
          <w:p w14:paraId="34585A7D"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3.136</w:t>
            </w:r>
          </w:p>
        </w:tc>
        <w:tc>
          <w:tcPr>
            <w:tcW w:w="704" w:type="pct"/>
            <w:tcBorders>
              <w:top w:val="nil"/>
              <w:left w:val="nil"/>
              <w:bottom w:val="single" w:sz="4" w:space="0" w:color="auto"/>
              <w:right w:val="single" w:sz="4" w:space="0" w:color="auto"/>
            </w:tcBorders>
            <w:shd w:val="clear" w:color="auto" w:fill="auto"/>
            <w:vAlign w:val="center"/>
            <w:hideMark/>
          </w:tcPr>
          <w:p w14:paraId="3C9431BF"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1.166.341.999</w:t>
            </w:r>
          </w:p>
        </w:tc>
        <w:tc>
          <w:tcPr>
            <w:tcW w:w="491" w:type="pct"/>
            <w:tcBorders>
              <w:top w:val="nil"/>
              <w:left w:val="nil"/>
              <w:bottom w:val="single" w:sz="4" w:space="0" w:color="auto"/>
              <w:right w:val="single" w:sz="4" w:space="0" w:color="auto"/>
            </w:tcBorders>
            <w:shd w:val="clear" w:color="auto" w:fill="auto"/>
            <w:noWrap/>
            <w:vAlign w:val="center"/>
          </w:tcPr>
          <w:p w14:paraId="1C45390A"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65,28 %</w:t>
            </w:r>
          </w:p>
        </w:tc>
        <w:tc>
          <w:tcPr>
            <w:tcW w:w="491" w:type="pct"/>
            <w:tcBorders>
              <w:top w:val="nil"/>
              <w:left w:val="nil"/>
              <w:bottom w:val="single" w:sz="4" w:space="0" w:color="auto"/>
              <w:right w:val="single" w:sz="4" w:space="0" w:color="auto"/>
            </w:tcBorders>
            <w:shd w:val="clear" w:color="auto" w:fill="auto"/>
            <w:noWrap/>
            <w:vAlign w:val="center"/>
          </w:tcPr>
          <w:p w14:paraId="26AA0781"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54,56 %</w:t>
            </w:r>
          </w:p>
        </w:tc>
        <w:tc>
          <w:tcPr>
            <w:tcW w:w="437" w:type="pct"/>
            <w:tcBorders>
              <w:top w:val="nil"/>
              <w:left w:val="nil"/>
              <w:bottom w:val="single" w:sz="4" w:space="0" w:color="auto"/>
              <w:right w:val="single" w:sz="4" w:space="0" w:color="auto"/>
            </w:tcBorders>
            <w:shd w:val="clear" w:color="auto" w:fill="auto"/>
            <w:noWrap/>
            <w:vAlign w:val="center"/>
          </w:tcPr>
          <w:p w14:paraId="63EEB5A8"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18,64 %</w:t>
            </w:r>
          </w:p>
        </w:tc>
        <w:tc>
          <w:tcPr>
            <w:tcW w:w="475" w:type="pct"/>
            <w:tcBorders>
              <w:top w:val="nil"/>
              <w:left w:val="nil"/>
              <w:bottom w:val="single" w:sz="4" w:space="0" w:color="auto"/>
              <w:right w:val="single" w:sz="4" w:space="0" w:color="auto"/>
            </w:tcBorders>
            <w:shd w:val="clear" w:color="auto" w:fill="auto"/>
            <w:noWrap/>
            <w:vAlign w:val="center"/>
          </w:tcPr>
          <w:p w14:paraId="57BBC70C"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18,71 %</w:t>
            </w:r>
          </w:p>
        </w:tc>
      </w:tr>
      <w:tr w:rsidR="00F24E18" w:rsidRPr="00BC6CB0" w14:paraId="1DDE8B56" w14:textId="77777777" w:rsidTr="000E18B5">
        <w:trPr>
          <w:trHeight w:val="300"/>
        </w:trPr>
        <w:tc>
          <w:tcPr>
            <w:tcW w:w="1734" w:type="pct"/>
            <w:tcBorders>
              <w:top w:val="nil"/>
              <w:left w:val="single" w:sz="4" w:space="0" w:color="auto"/>
              <w:bottom w:val="single" w:sz="4" w:space="0" w:color="auto"/>
              <w:right w:val="single" w:sz="4" w:space="0" w:color="auto"/>
            </w:tcBorders>
            <w:shd w:val="clear" w:color="auto" w:fill="auto"/>
            <w:vAlign w:val="center"/>
            <w:hideMark/>
          </w:tcPr>
          <w:p w14:paraId="182E912B" w14:textId="77777777" w:rsidR="00F24E18" w:rsidRPr="00BC6CB0" w:rsidRDefault="00F24E18" w:rsidP="000E18B5">
            <w:pPr>
              <w:spacing w:after="0" w:line="240" w:lineRule="auto"/>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Omejeni postopek</w:t>
            </w:r>
          </w:p>
        </w:tc>
        <w:tc>
          <w:tcPr>
            <w:tcW w:w="667" w:type="pct"/>
            <w:tcBorders>
              <w:top w:val="nil"/>
              <w:left w:val="nil"/>
              <w:bottom w:val="single" w:sz="4" w:space="0" w:color="auto"/>
              <w:right w:val="single" w:sz="4" w:space="0" w:color="auto"/>
            </w:tcBorders>
            <w:shd w:val="clear" w:color="auto" w:fill="auto"/>
            <w:vAlign w:val="center"/>
            <w:hideMark/>
          </w:tcPr>
          <w:p w14:paraId="4D83E8BA"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250</w:t>
            </w:r>
          </w:p>
        </w:tc>
        <w:tc>
          <w:tcPr>
            <w:tcW w:w="704" w:type="pct"/>
            <w:tcBorders>
              <w:top w:val="nil"/>
              <w:left w:val="nil"/>
              <w:bottom w:val="single" w:sz="4" w:space="0" w:color="auto"/>
              <w:right w:val="single" w:sz="4" w:space="0" w:color="auto"/>
            </w:tcBorders>
            <w:shd w:val="clear" w:color="auto" w:fill="auto"/>
            <w:vAlign w:val="center"/>
            <w:hideMark/>
          </w:tcPr>
          <w:p w14:paraId="5883F3B2"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357.868.548</w:t>
            </w:r>
          </w:p>
        </w:tc>
        <w:tc>
          <w:tcPr>
            <w:tcW w:w="491" w:type="pct"/>
            <w:tcBorders>
              <w:top w:val="nil"/>
              <w:left w:val="nil"/>
              <w:bottom w:val="single" w:sz="4" w:space="0" w:color="auto"/>
              <w:right w:val="single" w:sz="4" w:space="0" w:color="auto"/>
            </w:tcBorders>
            <w:shd w:val="clear" w:color="auto" w:fill="auto"/>
            <w:noWrap/>
            <w:vAlign w:val="center"/>
          </w:tcPr>
          <w:p w14:paraId="5928E27B"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5,20 %</w:t>
            </w:r>
          </w:p>
        </w:tc>
        <w:tc>
          <w:tcPr>
            <w:tcW w:w="491" w:type="pct"/>
            <w:tcBorders>
              <w:top w:val="nil"/>
              <w:left w:val="nil"/>
              <w:bottom w:val="single" w:sz="4" w:space="0" w:color="auto"/>
              <w:right w:val="single" w:sz="4" w:space="0" w:color="auto"/>
            </w:tcBorders>
            <w:shd w:val="clear" w:color="auto" w:fill="auto"/>
            <w:noWrap/>
            <w:vAlign w:val="center"/>
          </w:tcPr>
          <w:p w14:paraId="10857B54"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16,74 %</w:t>
            </w:r>
          </w:p>
        </w:tc>
        <w:tc>
          <w:tcPr>
            <w:tcW w:w="437" w:type="pct"/>
            <w:tcBorders>
              <w:top w:val="nil"/>
              <w:left w:val="nil"/>
              <w:bottom w:val="single" w:sz="4" w:space="0" w:color="auto"/>
              <w:right w:val="single" w:sz="4" w:space="0" w:color="auto"/>
            </w:tcBorders>
            <w:shd w:val="clear" w:color="auto" w:fill="auto"/>
            <w:noWrap/>
            <w:vAlign w:val="center"/>
          </w:tcPr>
          <w:p w14:paraId="6BD8F58B"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1,49 %</w:t>
            </w:r>
          </w:p>
        </w:tc>
        <w:tc>
          <w:tcPr>
            <w:tcW w:w="475" w:type="pct"/>
            <w:tcBorders>
              <w:top w:val="nil"/>
              <w:left w:val="nil"/>
              <w:bottom w:val="single" w:sz="4" w:space="0" w:color="auto"/>
              <w:right w:val="single" w:sz="4" w:space="0" w:color="auto"/>
            </w:tcBorders>
            <w:shd w:val="clear" w:color="auto" w:fill="auto"/>
            <w:noWrap/>
            <w:vAlign w:val="center"/>
          </w:tcPr>
          <w:p w14:paraId="7D50BFE4"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5,74 %</w:t>
            </w:r>
          </w:p>
        </w:tc>
      </w:tr>
      <w:tr w:rsidR="00F24E18" w:rsidRPr="00BC6CB0" w14:paraId="466CB978" w14:textId="77777777" w:rsidTr="000E18B5">
        <w:trPr>
          <w:trHeight w:val="300"/>
        </w:trPr>
        <w:tc>
          <w:tcPr>
            <w:tcW w:w="1734" w:type="pct"/>
            <w:tcBorders>
              <w:top w:val="nil"/>
              <w:left w:val="single" w:sz="4" w:space="0" w:color="auto"/>
              <w:bottom w:val="single" w:sz="4" w:space="0" w:color="auto"/>
              <w:right w:val="single" w:sz="4" w:space="0" w:color="auto"/>
            </w:tcBorders>
            <w:shd w:val="clear" w:color="auto" w:fill="auto"/>
            <w:vAlign w:val="center"/>
            <w:hideMark/>
          </w:tcPr>
          <w:p w14:paraId="7D941F4E" w14:textId="77777777" w:rsidR="00F24E18" w:rsidRPr="00BC6CB0" w:rsidRDefault="00F24E18" w:rsidP="000E18B5">
            <w:pPr>
              <w:spacing w:after="0" w:line="240" w:lineRule="auto"/>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Postopek naročila male vrednosti</w:t>
            </w:r>
          </w:p>
        </w:tc>
        <w:tc>
          <w:tcPr>
            <w:tcW w:w="667" w:type="pct"/>
            <w:tcBorders>
              <w:top w:val="nil"/>
              <w:left w:val="nil"/>
              <w:bottom w:val="single" w:sz="4" w:space="0" w:color="auto"/>
              <w:right w:val="single" w:sz="4" w:space="0" w:color="auto"/>
            </w:tcBorders>
            <w:shd w:val="clear" w:color="auto" w:fill="auto"/>
            <w:vAlign w:val="center"/>
            <w:hideMark/>
          </w:tcPr>
          <w:p w14:paraId="3681F4F6"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1.254</w:t>
            </w:r>
          </w:p>
        </w:tc>
        <w:tc>
          <w:tcPr>
            <w:tcW w:w="704" w:type="pct"/>
            <w:tcBorders>
              <w:top w:val="nil"/>
              <w:left w:val="nil"/>
              <w:bottom w:val="single" w:sz="4" w:space="0" w:color="auto"/>
              <w:right w:val="single" w:sz="4" w:space="0" w:color="auto"/>
            </w:tcBorders>
            <w:shd w:val="clear" w:color="auto" w:fill="auto"/>
            <w:vAlign w:val="center"/>
            <w:hideMark/>
          </w:tcPr>
          <w:p w14:paraId="329F6480"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273.781.066</w:t>
            </w:r>
          </w:p>
        </w:tc>
        <w:tc>
          <w:tcPr>
            <w:tcW w:w="491" w:type="pct"/>
            <w:tcBorders>
              <w:top w:val="nil"/>
              <w:left w:val="nil"/>
              <w:bottom w:val="single" w:sz="4" w:space="0" w:color="auto"/>
              <w:right w:val="single" w:sz="4" w:space="0" w:color="auto"/>
            </w:tcBorders>
            <w:shd w:val="clear" w:color="auto" w:fill="auto"/>
            <w:noWrap/>
            <w:vAlign w:val="center"/>
          </w:tcPr>
          <w:p w14:paraId="27DF41E4"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26,10 %</w:t>
            </w:r>
          </w:p>
        </w:tc>
        <w:tc>
          <w:tcPr>
            <w:tcW w:w="491" w:type="pct"/>
            <w:tcBorders>
              <w:top w:val="nil"/>
              <w:left w:val="nil"/>
              <w:bottom w:val="single" w:sz="4" w:space="0" w:color="auto"/>
              <w:right w:val="single" w:sz="4" w:space="0" w:color="auto"/>
            </w:tcBorders>
            <w:shd w:val="clear" w:color="auto" w:fill="auto"/>
            <w:noWrap/>
            <w:vAlign w:val="center"/>
          </w:tcPr>
          <w:p w14:paraId="3AEF94EE"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12,81 %</w:t>
            </w:r>
          </w:p>
        </w:tc>
        <w:tc>
          <w:tcPr>
            <w:tcW w:w="437" w:type="pct"/>
            <w:tcBorders>
              <w:top w:val="nil"/>
              <w:left w:val="nil"/>
              <w:bottom w:val="single" w:sz="4" w:space="0" w:color="auto"/>
              <w:right w:val="single" w:sz="4" w:space="0" w:color="auto"/>
            </w:tcBorders>
            <w:shd w:val="clear" w:color="auto" w:fill="auto"/>
            <w:noWrap/>
            <w:vAlign w:val="center"/>
          </w:tcPr>
          <w:p w14:paraId="143144C8"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7,45 %</w:t>
            </w:r>
          </w:p>
        </w:tc>
        <w:tc>
          <w:tcPr>
            <w:tcW w:w="475" w:type="pct"/>
            <w:tcBorders>
              <w:top w:val="nil"/>
              <w:left w:val="nil"/>
              <w:bottom w:val="single" w:sz="4" w:space="0" w:color="auto"/>
              <w:right w:val="single" w:sz="4" w:space="0" w:color="auto"/>
            </w:tcBorders>
            <w:shd w:val="clear" w:color="auto" w:fill="auto"/>
            <w:noWrap/>
            <w:vAlign w:val="center"/>
          </w:tcPr>
          <w:p w14:paraId="412869B9"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4,39 %</w:t>
            </w:r>
          </w:p>
        </w:tc>
      </w:tr>
      <w:tr w:rsidR="00F24E18" w:rsidRPr="00BC6CB0" w14:paraId="363B0A4C" w14:textId="77777777" w:rsidTr="000E18B5">
        <w:trPr>
          <w:trHeight w:val="300"/>
        </w:trPr>
        <w:tc>
          <w:tcPr>
            <w:tcW w:w="1734" w:type="pct"/>
            <w:tcBorders>
              <w:top w:val="nil"/>
              <w:left w:val="single" w:sz="4" w:space="0" w:color="auto"/>
              <w:bottom w:val="single" w:sz="4" w:space="0" w:color="auto"/>
              <w:right w:val="single" w:sz="4" w:space="0" w:color="auto"/>
            </w:tcBorders>
            <w:shd w:val="clear" w:color="auto" w:fill="auto"/>
            <w:vAlign w:val="center"/>
            <w:hideMark/>
          </w:tcPr>
          <w:p w14:paraId="54141393" w14:textId="77777777" w:rsidR="00F24E18" w:rsidRPr="00BC6CB0" w:rsidRDefault="00F24E18" w:rsidP="000E18B5">
            <w:pPr>
              <w:spacing w:after="0" w:line="240" w:lineRule="auto"/>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Postopek s pogajanji brez predhodne objave</w:t>
            </w:r>
          </w:p>
        </w:tc>
        <w:tc>
          <w:tcPr>
            <w:tcW w:w="667" w:type="pct"/>
            <w:tcBorders>
              <w:top w:val="nil"/>
              <w:left w:val="nil"/>
              <w:bottom w:val="single" w:sz="4" w:space="0" w:color="auto"/>
              <w:right w:val="single" w:sz="4" w:space="0" w:color="auto"/>
            </w:tcBorders>
            <w:shd w:val="clear" w:color="auto" w:fill="auto"/>
            <w:vAlign w:val="center"/>
            <w:hideMark/>
          </w:tcPr>
          <w:p w14:paraId="213FC638"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76</w:t>
            </w:r>
          </w:p>
        </w:tc>
        <w:tc>
          <w:tcPr>
            <w:tcW w:w="704" w:type="pct"/>
            <w:tcBorders>
              <w:top w:val="nil"/>
              <w:left w:val="nil"/>
              <w:bottom w:val="single" w:sz="4" w:space="0" w:color="auto"/>
              <w:right w:val="single" w:sz="4" w:space="0" w:color="auto"/>
            </w:tcBorders>
            <w:shd w:val="clear" w:color="auto" w:fill="auto"/>
            <w:vAlign w:val="center"/>
            <w:hideMark/>
          </w:tcPr>
          <w:p w14:paraId="26A427B0"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46.949.545</w:t>
            </w:r>
          </w:p>
        </w:tc>
        <w:tc>
          <w:tcPr>
            <w:tcW w:w="491" w:type="pct"/>
            <w:tcBorders>
              <w:top w:val="nil"/>
              <w:left w:val="nil"/>
              <w:bottom w:val="single" w:sz="4" w:space="0" w:color="auto"/>
              <w:right w:val="single" w:sz="4" w:space="0" w:color="auto"/>
            </w:tcBorders>
            <w:shd w:val="clear" w:color="auto" w:fill="auto"/>
            <w:noWrap/>
            <w:vAlign w:val="center"/>
          </w:tcPr>
          <w:p w14:paraId="02936082"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1,58 %</w:t>
            </w:r>
          </w:p>
        </w:tc>
        <w:tc>
          <w:tcPr>
            <w:tcW w:w="491" w:type="pct"/>
            <w:tcBorders>
              <w:top w:val="nil"/>
              <w:left w:val="nil"/>
              <w:bottom w:val="single" w:sz="4" w:space="0" w:color="auto"/>
              <w:right w:val="single" w:sz="4" w:space="0" w:color="auto"/>
            </w:tcBorders>
            <w:shd w:val="clear" w:color="auto" w:fill="auto"/>
            <w:noWrap/>
            <w:vAlign w:val="center"/>
          </w:tcPr>
          <w:p w14:paraId="6AEA1F56"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2,20 %</w:t>
            </w:r>
          </w:p>
        </w:tc>
        <w:tc>
          <w:tcPr>
            <w:tcW w:w="437" w:type="pct"/>
            <w:tcBorders>
              <w:top w:val="nil"/>
              <w:left w:val="nil"/>
              <w:bottom w:val="single" w:sz="4" w:space="0" w:color="auto"/>
              <w:right w:val="single" w:sz="4" w:space="0" w:color="auto"/>
            </w:tcBorders>
            <w:shd w:val="clear" w:color="auto" w:fill="auto"/>
            <w:noWrap/>
            <w:vAlign w:val="center"/>
          </w:tcPr>
          <w:p w14:paraId="32C1045B"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0,45 %</w:t>
            </w:r>
          </w:p>
        </w:tc>
        <w:tc>
          <w:tcPr>
            <w:tcW w:w="475" w:type="pct"/>
            <w:tcBorders>
              <w:top w:val="nil"/>
              <w:left w:val="nil"/>
              <w:bottom w:val="single" w:sz="4" w:space="0" w:color="auto"/>
              <w:right w:val="single" w:sz="4" w:space="0" w:color="auto"/>
            </w:tcBorders>
            <w:shd w:val="clear" w:color="auto" w:fill="auto"/>
            <w:noWrap/>
            <w:vAlign w:val="center"/>
          </w:tcPr>
          <w:p w14:paraId="31D0E702"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0,75 %</w:t>
            </w:r>
          </w:p>
        </w:tc>
      </w:tr>
      <w:tr w:rsidR="00F24E18" w:rsidRPr="00BC6CB0" w14:paraId="4F39164D" w14:textId="77777777" w:rsidTr="000E18B5">
        <w:trPr>
          <w:trHeight w:val="300"/>
        </w:trPr>
        <w:tc>
          <w:tcPr>
            <w:tcW w:w="1734" w:type="pct"/>
            <w:tcBorders>
              <w:top w:val="nil"/>
              <w:left w:val="single" w:sz="4" w:space="0" w:color="auto"/>
              <w:bottom w:val="single" w:sz="4" w:space="0" w:color="auto"/>
              <w:right w:val="single" w:sz="4" w:space="0" w:color="auto"/>
            </w:tcBorders>
            <w:shd w:val="clear" w:color="auto" w:fill="auto"/>
            <w:vAlign w:val="center"/>
            <w:hideMark/>
          </w:tcPr>
          <w:p w14:paraId="1206E5E5" w14:textId="77777777" w:rsidR="00F24E18" w:rsidRPr="00BC6CB0" w:rsidRDefault="00F24E18" w:rsidP="000E18B5">
            <w:pPr>
              <w:spacing w:after="0" w:line="240" w:lineRule="auto"/>
              <w:rPr>
                <w:rFonts w:ascii="Arial" w:eastAsia="Times New Roman" w:hAnsi="Arial" w:cs="Arial"/>
                <w:color w:val="000000"/>
                <w:sz w:val="18"/>
                <w:szCs w:val="18"/>
                <w:lang w:eastAsia="sl-SI"/>
              </w:rPr>
            </w:pPr>
            <w:r w:rsidRPr="00BC6CB0">
              <w:rPr>
                <w:rFonts w:ascii="Arial" w:eastAsia="Times New Roman" w:hAnsi="Arial" w:cs="Arial"/>
                <w:color w:val="000000"/>
                <w:sz w:val="18"/>
                <w:szCs w:val="18"/>
                <w:lang w:eastAsia="sl-SI"/>
              </w:rPr>
              <w:t>Postopek s pogajanji po predhodni objavi</w:t>
            </w:r>
          </w:p>
        </w:tc>
        <w:tc>
          <w:tcPr>
            <w:tcW w:w="667" w:type="pct"/>
            <w:tcBorders>
              <w:top w:val="nil"/>
              <w:left w:val="nil"/>
              <w:bottom w:val="single" w:sz="4" w:space="0" w:color="auto"/>
              <w:right w:val="single" w:sz="4" w:space="0" w:color="auto"/>
            </w:tcBorders>
            <w:shd w:val="clear" w:color="auto" w:fill="auto"/>
            <w:vAlign w:val="center"/>
            <w:hideMark/>
          </w:tcPr>
          <w:p w14:paraId="2DAE4554"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30</w:t>
            </w:r>
          </w:p>
        </w:tc>
        <w:tc>
          <w:tcPr>
            <w:tcW w:w="704" w:type="pct"/>
            <w:tcBorders>
              <w:top w:val="nil"/>
              <w:left w:val="nil"/>
              <w:bottom w:val="single" w:sz="4" w:space="0" w:color="auto"/>
              <w:right w:val="single" w:sz="4" w:space="0" w:color="auto"/>
            </w:tcBorders>
            <w:shd w:val="clear" w:color="auto" w:fill="auto"/>
            <w:vAlign w:val="center"/>
            <w:hideMark/>
          </w:tcPr>
          <w:p w14:paraId="11A677C4"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5.338.851</w:t>
            </w:r>
          </w:p>
        </w:tc>
        <w:tc>
          <w:tcPr>
            <w:tcW w:w="491" w:type="pct"/>
            <w:tcBorders>
              <w:top w:val="nil"/>
              <w:left w:val="nil"/>
              <w:bottom w:val="single" w:sz="4" w:space="0" w:color="auto"/>
              <w:right w:val="single" w:sz="4" w:space="0" w:color="auto"/>
            </w:tcBorders>
            <w:shd w:val="clear" w:color="auto" w:fill="auto"/>
            <w:noWrap/>
            <w:vAlign w:val="center"/>
          </w:tcPr>
          <w:p w14:paraId="3A4D6249"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0,62 %</w:t>
            </w:r>
          </w:p>
        </w:tc>
        <w:tc>
          <w:tcPr>
            <w:tcW w:w="491" w:type="pct"/>
            <w:tcBorders>
              <w:top w:val="nil"/>
              <w:left w:val="nil"/>
              <w:bottom w:val="single" w:sz="4" w:space="0" w:color="auto"/>
              <w:right w:val="single" w:sz="4" w:space="0" w:color="auto"/>
            </w:tcBorders>
            <w:shd w:val="clear" w:color="auto" w:fill="auto"/>
            <w:noWrap/>
            <w:vAlign w:val="center"/>
          </w:tcPr>
          <w:p w14:paraId="45C05A51"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0,25 %</w:t>
            </w:r>
          </w:p>
        </w:tc>
        <w:tc>
          <w:tcPr>
            <w:tcW w:w="437" w:type="pct"/>
            <w:tcBorders>
              <w:top w:val="nil"/>
              <w:left w:val="nil"/>
              <w:bottom w:val="single" w:sz="4" w:space="0" w:color="auto"/>
              <w:right w:val="single" w:sz="4" w:space="0" w:color="auto"/>
            </w:tcBorders>
            <w:shd w:val="clear" w:color="auto" w:fill="auto"/>
            <w:noWrap/>
            <w:vAlign w:val="center"/>
          </w:tcPr>
          <w:p w14:paraId="7F55C06B"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0,18 %</w:t>
            </w:r>
          </w:p>
        </w:tc>
        <w:tc>
          <w:tcPr>
            <w:tcW w:w="475" w:type="pct"/>
            <w:tcBorders>
              <w:top w:val="nil"/>
              <w:left w:val="nil"/>
              <w:bottom w:val="single" w:sz="4" w:space="0" w:color="auto"/>
              <w:right w:val="single" w:sz="4" w:space="0" w:color="auto"/>
            </w:tcBorders>
            <w:shd w:val="clear" w:color="auto" w:fill="auto"/>
            <w:noWrap/>
            <w:vAlign w:val="center"/>
          </w:tcPr>
          <w:p w14:paraId="17C3D7C3" w14:textId="77777777" w:rsidR="00F24E18" w:rsidRPr="00BC6CB0" w:rsidRDefault="00F24E18" w:rsidP="000E18B5">
            <w:pPr>
              <w:spacing w:after="0" w:line="240" w:lineRule="auto"/>
              <w:jc w:val="right"/>
              <w:rPr>
                <w:rFonts w:ascii="Arial" w:eastAsia="Times New Roman" w:hAnsi="Arial" w:cs="Arial"/>
                <w:color w:val="000000"/>
                <w:sz w:val="18"/>
                <w:szCs w:val="18"/>
                <w:lang w:eastAsia="sl-SI"/>
              </w:rPr>
            </w:pPr>
            <w:r w:rsidRPr="00BC6CB0">
              <w:rPr>
                <w:rFonts w:ascii="Arial" w:hAnsi="Arial" w:cs="Arial"/>
                <w:color w:val="000000"/>
                <w:sz w:val="18"/>
                <w:szCs w:val="18"/>
              </w:rPr>
              <w:t>0,09 %</w:t>
            </w:r>
          </w:p>
        </w:tc>
      </w:tr>
      <w:tr w:rsidR="00F24E18" w:rsidRPr="00242E41" w14:paraId="41D13DEF" w14:textId="77777777" w:rsidTr="000E18B5">
        <w:trPr>
          <w:trHeight w:val="300"/>
        </w:trPr>
        <w:tc>
          <w:tcPr>
            <w:tcW w:w="173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C19663B" w14:textId="77777777" w:rsidR="00F24E18" w:rsidRPr="00BC6CB0" w:rsidRDefault="00F24E18" w:rsidP="000E18B5">
            <w:pPr>
              <w:spacing w:after="0" w:line="240" w:lineRule="auto"/>
              <w:rPr>
                <w:rFonts w:ascii="Arial" w:eastAsia="Times New Roman" w:hAnsi="Arial" w:cs="Arial"/>
                <w:b/>
                <w:bCs/>
                <w:color w:val="000000"/>
                <w:sz w:val="18"/>
                <w:szCs w:val="18"/>
                <w:lang w:eastAsia="sl-SI"/>
              </w:rPr>
            </w:pPr>
            <w:r w:rsidRPr="00BC6CB0">
              <w:rPr>
                <w:rFonts w:ascii="Arial" w:eastAsia="Times New Roman" w:hAnsi="Arial" w:cs="Arial"/>
                <w:b/>
                <w:bCs/>
                <w:color w:val="000000"/>
                <w:sz w:val="18"/>
                <w:szCs w:val="18"/>
                <w:lang w:eastAsia="sl-SI"/>
              </w:rPr>
              <w:t>Skupaj</w:t>
            </w:r>
          </w:p>
        </w:tc>
        <w:tc>
          <w:tcPr>
            <w:tcW w:w="667" w:type="pct"/>
            <w:tcBorders>
              <w:top w:val="nil"/>
              <w:left w:val="nil"/>
              <w:bottom w:val="single" w:sz="4" w:space="0" w:color="auto"/>
              <w:right w:val="single" w:sz="4" w:space="0" w:color="auto"/>
            </w:tcBorders>
            <w:shd w:val="clear" w:color="auto" w:fill="F2F2F2" w:themeFill="background1" w:themeFillShade="F2"/>
            <w:noWrap/>
            <w:vAlign w:val="center"/>
          </w:tcPr>
          <w:p w14:paraId="5573D29A" w14:textId="77777777" w:rsidR="00F24E18" w:rsidRPr="00BC6CB0" w:rsidRDefault="00F24E18" w:rsidP="000E18B5">
            <w:pPr>
              <w:spacing w:after="0" w:line="240" w:lineRule="auto"/>
              <w:jc w:val="right"/>
              <w:rPr>
                <w:rFonts w:ascii="Arial" w:eastAsia="Times New Roman" w:hAnsi="Arial" w:cs="Arial"/>
                <w:b/>
                <w:bCs/>
                <w:color w:val="000000"/>
                <w:sz w:val="18"/>
                <w:szCs w:val="18"/>
                <w:lang w:eastAsia="sl-SI"/>
              </w:rPr>
            </w:pPr>
            <w:r w:rsidRPr="00BC6CB0">
              <w:rPr>
                <w:rFonts w:ascii="Arial" w:hAnsi="Arial" w:cs="Arial"/>
                <w:b/>
                <w:bCs/>
                <w:color w:val="000000"/>
                <w:sz w:val="18"/>
                <w:szCs w:val="18"/>
              </w:rPr>
              <w:t>4.804</w:t>
            </w:r>
          </w:p>
        </w:tc>
        <w:tc>
          <w:tcPr>
            <w:tcW w:w="704" w:type="pct"/>
            <w:tcBorders>
              <w:top w:val="nil"/>
              <w:left w:val="nil"/>
              <w:bottom w:val="single" w:sz="4" w:space="0" w:color="auto"/>
              <w:right w:val="single" w:sz="4" w:space="0" w:color="auto"/>
            </w:tcBorders>
            <w:shd w:val="clear" w:color="auto" w:fill="F2F2F2" w:themeFill="background1" w:themeFillShade="F2"/>
            <w:noWrap/>
            <w:vAlign w:val="center"/>
          </w:tcPr>
          <w:p w14:paraId="576350BC" w14:textId="77777777" w:rsidR="00F24E18" w:rsidRPr="00BC6CB0" w:rsidRDefault="00F24E18" w:rsidP="000E18B5">
            <w:pPr>
              <w:spacing w:after="0" w:line="240" w:lineRule="auto"/>
              <w:jc w:val="right"/>
              <w:rPr>
                <w:rFonts w:ascii="Arial" w:eastAsia="Times New Roman" w:hAnsi="Arial" w:cs="Arial"/>
                <w:b/>
                <w:bCs/>
                <w:color w:val="000000"/>
                <w:sz w:val="18"/>
                <w:szCs w:val="18"/>
                <w:lang w:eastAsia="sl-SI"/>
              </w:rPr>
            </w:pPr>
            <w:r w:rsidRPr="00BC6CB0">
              <w:rPr>
                <w:rFonts w:ascii="Arial" w:hAnsi="Arial" w:cs="Arial"/>
                <w:b/>
                <w:bCs/>
                <w:color w:val="000000"/>
                <w:sz w:val="18"/>
                <w:szCs w:val="18"/>
              </w:rPr>
              <w:t>2.137.671.914</w:t>
            </w:r>
          </w:p>
        </w:tc>
        <w:tc>
          <w:tcPr>
            <w:tcW w:w="491" w:type="pct"/>
            <w:tcBorders>
              <w:top w:val="nil"/>
              <w:left w:val="nil"/>
              <w:bottom w:val="single" w:sz="4" w:space="0" w:color="auto"/>
              <w:right w:val="single" w:sz="4" w:space="0" w:color="auto"/>
            </w:tcBorders>
            <w:shd w:val="clear" w:color="auto" w:fill="F2F2F2" w:themeFill="background1" w:themeFillShade="F2"/>
            <w:noWrap/>
            <w:vAlign w:val="center"/>
          </w:tcPr>
          <w:p w14:paraId="181D20A1" w14:textId="77777777" w:rsidR="00F24E18" w:rsidRPr="00BC6CB0" w:rsidRDefault="00F24E18" w:rsidP="000E18B5">
            <w:pPr>
              <w:spacing w:after="0" w:line="240" w:lineRule="auto"/>
              <w:jc w:val="right"/>
              <w:rPr>
                <w:rFonts w:ascii="Arial" w:eastAsia="Times New Roman" w:hAnsi="Arial" w:cs="Arial"/>
                <w:b/>
                <w:bCs/>
                <w:color w:val="000000"/>
                <w:sz w:val="18"/>
                <w:szCs w:val="18"/>
                <w:lang w:eastAsia="sl-SI"/>
              </w:rPr>
            </w:pPr>
            <w:r w:rsidRPr="00BC6CB0">
              <w:rPr>
                <w:rFonts w:ascii="Arial" w:hAnsi="Arial" w:cs="Arial"/>
                <w:b/>
                <w:bCs/>
                <w:color w:val="000000"/>
                <w:sz w:val="18"/>
                <w:szCs w:val="18"/>
              </w:rPr>
              <w:t>100,00 %</w:t>
            </w:r>
          </w:p>
        </w:tc>
        <w:tc>
          <w:tcPr>
            <w:tcW w:w="491" w:type="pct"/>
            <w:tcBorders>
              <w:top w:val="nil"/>
              <w:left w:val="nil"/>
              <w:bottom w:val="single" w:sz="4" w:space="0" w:color="auto"/>
              <w:right w:val="single" w:sz="4" w:space="0" w:color="auto"/>
            </w:tcBorders>
            <w:shd w:val="clear" w:color="auto" w:fill="F2F2F2" w:themeFill="background1" w:themeFillShade="F2"/>
            <w:noWrap/>
            <w:vAlign w:val="center"/>
          </w:tcPr>
          <w:p w14:paraId="30797C48" w14:textId="77777777" w:rsidR="00F24E18" w:rsidRPr="00BC6CB0" w:rsidRDefault="00F24E18" w:rsidP="000E18B5">
            <w:pPr>
              <w:spacing w:after="0" w:line="240" w:lineRule="auto"/>
              <w:jc w:val="right"/>
              <w:rPr>
                <w:rFonts w:ascii="Arial" w:eastAsia="Times New Roman" w:hAnsi="Arial" w:cs="Arial"/>
                <w:b/>
                <w:bCs/>
                <w:color w:val="000000"/>
                <w:sz w:val="18"/>
                <w:szCs w:val="18"/>
                <w:lang w:eastAsia="sl-SI"/>
              </w:rPr>
            </w:pPr>
            <w:r w:rsidRPr="00BC6CB0">
              <w:rPr>
                <w:rFonts w:ascii="Arial" w:hAnsi="Arial" w:cs="Arial"/>
                <w:b/>
                <w:bCs/>
                <w:color w:val="000000"/>
                <w:sz w:val="18"/>
                <w:szCs w:val="18"/>
              </w:rPr>
              <w:t>100,00 %</w:t>
            </w:r>
          </w:p>
        </w:tc>
        <w:tc>
          <w:tcPr>
            <w:tcW w:w="437" w:type="pct"/>
            <w:tcBorders>
              <w:top w:val="nil"/>
              <w:left w:val="nil"/>
              <w:bottom w:val="single" w:sz="4" w:space="0" w:color="auto"/>
              <w:right w:val="single" w:sz="4" w:space="0" w:color="auto"/>
            </w:tcBorders>
            <w:shd w:val="clear" w:color="auto" w:fill="F2F2F2" w:themeFill="background1" w:themeFillShade="F2"/>
            <w:noWrap/>
            <w:vAlign w:val="center"/>
          </w:tcPr>
          <w:p w14:paraId="3FA1AE0C" w14:textId="77777777" w:rsidR="00F24E18" w:rsidRPr="00BC6CB0" w:rsidRDefault="00F24E18" w:rsidP="000E18B5">
            <w:pPr>
              <w:spacing w:after="0" w:line="240" w:lineRule="auto"/>
              <w:jc w:val="right"/>
              <w:rPr>
                <w:rFonts w:ascii="Arial" w:eastAsia="Times New Roman" w:hAnsi="Arial" w:cs="Arial"/>
                <w:b/>
                <w:bCs/>
                <w:color w:val="000000"/>
                <w:sz w:val="18"/>
                <w:szCs w:val="18"/>
                <w:lang w:eastAsia="sl-SI"/>
              </w:rPr>
            </w:pPr>
            <w:r w:rsidRPr="00BC6CB0">
              <w:rPr>
                <w:rFonts w:ascii="Arial" w:hAnsi="Arial" w:cs="Arial"/>
                <w:b/>
                <w:bCs/>
                <w:color w:val="000000"/>
                <w:sz w:val="18"/>
                <w:szCs w:val="18"/>
              </w:rPr>
              <w:t>28,55 %</w:t>
            </w:r>
          </w:p>
        </w:tc>
        <w:tc>
          <w:tcPr>
            <w:tcW w:w="475" w:type="pct"/>
            <w:tcBorders>
              <w:top w:val="nil"/>
              <w:left w:val="nil"/>
              <w:bottom w:val="single" w:sz="4" w:space="0" w:color="auto"/>
              <w:right w:val="single" w:sz="4" w:space="0" w:color="auto"/>
            </w:tcBorders>
            <w:shd w:val="clear" w:color="auto" w:fill="F2F2F2" w:themeFill="background1" w:themeFillShade="F2"/>
            <w:noWrap/>
            <w:vAlign w:val="center"/>
          </w:tcPr>
          <w:p w14:paraId="389EDEAC" w14:textId="77777777" w:rsidR="00F24E18" w:rsidRPr="00BC6CB0" w:rsidRDefault="00F24E18" w:rsidP="000E18B5">
            <w:pPr>
              <w:spacing w:after="0" w:line="240" w:lineRule="auto"/>
              <w:jc w:val="right"/>
              <w:rPr>
                <w:rFonts w:ascii="Arial" w:eastAsia="Times New Roman" w:hAnsi="Arial" w:cs="Arial"/>
                <w:b/>
                <w:bCs/>
                <w:color w:val="000000"/>
                <w:sz w:val="18"/>
                <w:szCs w:val="18"/>
                <w:lang w:eastAsia="sl-SI"/>
              </w:rPr>
            </w:pPr>
            <w:r w:rsidRPr="00BC6CB0">
              <w:rPr>
                <w:rFonts w:ascii="Arial" w:hAnsi="Arial" w:cs="Arial"/>
                <w:b/>
                <w:bCs/>
                <w:color w:val="000000"/>
                <w:sz w:val="18"/>
                <w:szCs w:val="18"/>
              </w:rPr>
              <w:t>34,30 %</w:t>
            </w:r>
          </w:p>
        </w:tc>
      </w:tr>
    </w:tbl>
    <w:p w14:paraId="1341BE50" w14:textId="77777777" w:rsidR="00F24E18" w:rsidRPr="00242E41" w:rsidRDefault="00F24E18" w:rsidP="00F24E18">
      <w:pPr>
        <w:spacing w:after="0" w:line="240" w:lineRule="auto"/>
        <w:rPr>
          <w:rFonts w:ascii="Arial" w:hAnsi="Arial" w:cs="Arial"/>
          <w:sz w:val="20"/>
          <w:szCs w:val="20"/>
          <w:highlight w:val="yellow"/>
        </w:rPr>
      </w:pPr>
    </w:p>
    <w:p w14:paraId="5C2EB749" w14:textId="77777777" w:rsidR="00F24E18" w:rsidRPr="00821399" w:rsidRDefault="00F24E18" w:rsidP="00F24E18">
      <w:pPr>
        <w:spacing w:before="120" w:after="0" w:line="240" w:lineRule="auto"/>
        <w:rPr>
          <w:rFonts w:ascii="Arial" w:hAnsi="Arial" w:cs="Arial"/>
          <w:sz w:val="20"/>
        </w:rPr>
      </w:pPr>
      <w:r w:rsidRPr="00821399">
        <w:rPr>
          <w:rFonts w:ascii="Arial" w:hAnsi="Arial" w:cs="Arial"/>
          <w:sz w:val="20"/>
          <w:szCs w:val="20"/>
        </w:rPr>
        <w:t xml:space="preserve">Preglednica 101: </w:t>
      </w:r>
      <w:r w:rsidRPr="00821399">
        <w:rPr>
          <w:rFonts w:ascii="Arial" w:hAnsi="Arial" w:cs="Arial"/>
          <w:sz w:val="20"/>
        </w:rPr>
        <w:t xml:space="preserve">Število in vrednosti ter deleži zelenih naročil glede na način vključevanja </w:t>
      </w:r>
      <w:proofErr w:type="spellStart"/>
      <w:r w:rsidRPr="00821399">
        <w:rPr>
          <w:rFonts w:ascii="Arial" w:hAnsi="Arial" w:cs="Arial"/>
          <w:sz w:val="20"/>
        </w:rPr>
        <w:t>okoljskih</w:t>
      </w:r>
      <w:proofErr w:type="spellEnd"/>
      <w:r w:rsidRPr="00821399">
        <w:rPr>
          <w:rFonts w:ascii="Arial" w:hAnsi="Arial" w:cs="Arial"/>
          <w:sz w:val="20"/>
        </w:rPr>
        <w:t xml:space="preserve"> vidikov</w:t>
      </w:r>
    </w:p>
    <w:p w14:paraId="073A5C84" w14:textId="77777777" w:rsidR="00F24E18" w:rsidRPr="00242E41" w:rsidRDefault="00F24E18" w:rsidP="00F24E18">
      <w:pPr>
        <w:spacing w:after="0" w:line="240" w:lineRule="auto"/>
        <w:rPr>
          <w:rFonts w:ascii="Arial" w:hAnsi="Arial" w:cs="Arial"/>
          <w:sz w:val="20"/>
          <w:highlight w:val="yellow"/>
        </w:rPr>
      </w:pPr>
    </w:p>
    <w:tbl>
      <w:tblPr>
        <w:tblW w:w="5000" w:type="pct"/>
        <w:tblCellMar>
          <w:left w:w="70" w:type="dxa"/>
          <w:right w:w="70" w:type="dxa"/>
        </w:tblCellMar>
        <w:tblLook w:val="04A0" w:firstRow="1" w:lastRow="0" w:firstColumn="1" w:lastColumn="0" w:noHBand="0" w:noVBand="1"/>
      </w:tblPr>
      <w:tblGrid>
        <w:gridCol w:w="3362"/>
        <w:gridCol w:w="1147"/>
        <w:gridCol w:w="1292"/>
        <w:gridCol w:w="816"/>
        <w:gridCol w:w="872"/>
        <w:gridCol w:w="813"/>
        <w:gridCol w:w="872"/>
      </w:tblGrid>
      <w:tr w:rsidR="00F24E18" w:rsidRPr="00821399" w14:paraId="3B99CCB4" w14:textId="77777777" w:rsidTr="000E18B5">
        <w:trPr>
          <w:trHeight w:val="859"/>
          <w:tblHeader/>
        </w:trPr>
        <w:tc>
          <w:tcPr>
            <w:tcW w:w="183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4FBE421"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xml:space="preserve">Način vključevanja </w:t>
            </w:r>
            <w:proofErr w:type="spellStart"/>
            <w:r w:rsidRPr="00821399">
              <w:rPr>
                <w:rFonts w:ascii="Arial" w:eastAsia="Times New Roman" w:hAnsi="Arial" w:cs="Arial"/>
                <w:color w:val="000000"/>
                <w:sz w:val="18"/>
                <w:szCs w:val="18"/>
                <w:lang w:eastAsia="sl-SI"/>
              </w:rPr>
              <w:t>okoljskih</w:t>
            </w:r>
            <w:proofErr w:type="spellEnd"/>
            <w:r w:rsidRPr="00821399">
              <w:rPr>
                <w:rFonts w:ascii="Arial" w:eastAsia="Times New Roman" w:hAnsi="Arial" w:cs="Arial"/>
                <w:color w:val="000000"/>
                <w:sz w:val="18"/>
                <w:szCs w:val="18"/>
                <w:lang w:eastAsia="sl-SI"/>
              </w:rPr>
              <w:t xml:space="preserve"> vidikov v javno naročanje</w:t>
            </w:r>
          </w:p>
        </w:tc>
        <w:tc>
          <w:tcPr>
            <w:tcW w:w="625" w:type="pct"/>
            <w:tcBorders>
              <w:top w:val="single" w:sz="4" w:space="0" w:color="auto"/>
              <w:left w:val="nil"/>
              <w:bottom w:val="single" w:sz="4" w:space="0" w:color="auto"/>
              <w:right w:val="single" w:sz="4" w:space="0" w:color="auto"/>
            </w:tcBorders>
            <w:shd w:val="clear" w:color="000000" w:fill="F2F2F2"/>
            <w:vAlign w:val="center"/>
            <w:hideMark/>
          </w:tcPr>
          <w:p w14:paraId="2E6BBE53"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Št. zelenih naročil</w:t>
            </w:r>
          </w:p>
        </w:tc>
        <w:tc>
          <w:tcPr>
            <w:tcW w:w="704" w:type="pct"/>
            <w:tcBorders>
              <w:top w:val="single" w:sz="4" w:space="0" w:color="auto"/>
              <w:left w:val="nil"/>
              <w:bottom w:val="single" w:sz="4" w:space="0" w:color="auto"/>
              <w:right w:val="single" w:sz="4" w:space="0" w:color="auto"/>
            </w:tcBorders>
            <w:shd w:val="clear" w:color="000000" w:fill="F2F2F2"/>
            <w:vAlign w:val="center"/>
            <w:hideMark/>
          </w:tcPr>
          <w:p w14:paraId="7671450D"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Pogodbena vrednost</w:t>
            </w:r>
          </w:p>
        </w:tc>
        <w:tc>
          <w:tcPr>
            <w:tcW w:w="445" w:type="pct"/>
            <w:tcBorders>
              <w:top w:val="single" w:sz="4" w:space="0" w:color="auto"/>
              <w:left w:val="nil"/>
              <w:bottom w:val="single" w:sz="4" w:space="0" w:color="auto"/>
              <w:right w:val="single" w:sz="4" w:space="0" w:color="auto"/>
            </w:tcBorders>
            <w:shd w:val="clear" w:color="000000" w:fill="F2F2F2"/>
            <w:vAlign w:val="center"/>
            <w:hideMark/>
          </w:tcPr>
          <w:p w14:paraId="7272E7D3"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Delež v št. zelenih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3D347D44"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Delež v vrednosti zelenih naročil</w:t>
            </w:r>
          </w:p>
        </w:tc>
        <w:tc>
          <w:tcPr>
            <w:tcW w:w="443" w:type="pct"/>
            <w:tcBorders>
              <w:top w:val="single" w:sz="4" w:space="0" w:color="auto"/>
              <w:left w:val="nil"/>
              <w:bottom w:val="single" w:sz="4" w:space="0" w:color="auto"/>
              <w:right w:val="single" w:sz="4" w:space="0" w:color="auto"/>
            </w:tcBorders>
            <w:shd w:val="clear" w:color="000000" w:fill="F2F2F2"/>
            <w:vAlign w:val="center"/>
            <w:hideMark/>
          </w:tcPr>
          <w:p w14:paraId="21B67E09"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Delež v št. vseh naročil</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14:paraId="710DDB0F"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Delež v vrednosti vseh naročil</w:t>
            </w:r>
          </w:p>
        </w:tc>
      </w:tr>
      <w:tr w:rsidR="00F24E18" w:rsidRPr="00821399" w14:paraId="1972D101" w14:textId="77777777" w:rsidTr="000E18B5">
        <w:trPr>
          <w:trHeight w:val="30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164EF1C8" w14:textId="77777777" w:rsidR="00F24E18" w:rsidRPr="00821399" w:rsidRDefault="00F24E18" w:rsidP="000E18B5">
            <w:pPr>
              <w:spacing w:after="0" w:line="240" w:lineRule="auto"/>
              <w:jc w:val="both"/>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Tehnične specifikacije</w:t>
            </w:r>
          </w:p>
        </w:tc>
        <w:tc>
          <w:tcPr>
            <w:tcW w:w="625" w:type="pct"/>
            <w:tcBorders>
              <w:top w:val="nil"/>
              <w:left w:val="nil"/>
              <w:bottom w:val="single" w:sz="4" w:space="0" w:color="auto"/>
              <w:right w:val="single" w:sz="4" w:space="0" w:color="auto"/>
            </w:tcBorders>
            <w:shd w:val="clear" w:color="auto" w:fill="auto"/>
            <w:vAlign w:val="center"/>
            <w:hideMark/>
          </w:tcPr>
          <w:p w14:paraId="6D9E37B5"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3.151</w:t>
            </w:r>
          </w:p>
        </w:tc>
        <w:tc>
          <w:tcPr>
            <w:tcW w:w="704" w:type="pct"/>
            <w:tcBorders>
              <w:top w:val="nil"/>
              <w:left w:val="nil"/>
              <w:bottom w:val="single" w:sz="4" w:space="0" w:color="auto"/>
              <w:right w:val="single" w:sz="4" w:space="0" w:color="auto"/>
            </w:tcBorders>
            <w:shd w:val="clear" w:color="auto" w:fill="auto"/>
            <w:vAlign w:val="center"/>
            <w:hideMark/>
          </w:tcPr>
          <w:p w14:paraId="69CC017A"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1.720.015.731</w:t>
            </w:r>
          </w:p>
        </w:tc>
        <w:tc>
          <w:tcPr>
            <w:tcW w:w="445" w:type="pct"/>
            <w:tcBorders>
              <w:top w:val="nil"/>
              <w:left w:val="nil"/>
              <w:bottom w:val="single" w:sz="4" w:space="0" w:color="auto"/>
              <w:right w:val="single" w:sz="4" w:space="0" w:color="auto"/>
            </w:tcBorders>
            <w:shd w:val="clear" w:color="auto" w:fill="auto"/>
            <w:vAlign w:val="center"/>
            <w:hideMark/>
          </w:tcPr>
          <w:p w14:paraId="5261A6B8"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65,59 %</w:t>
            </w:r>
          </w:p>
        </w:tc>
        <w:tc>
          <w:tcPr>
            <w:tcW w:w="475" w:type="pct"/>
            <w:tcBorders>
              <w:top w:val="nil"/>
              <w:left w:val="nil"/>
              <w:bottom w:val="single" w:sz="4" w:space="0" w:color="auto"/>
              <w:right w:val="single" w:sz="4" w:space="0" w:color="auto"/>
            </w:tcBorders>
            <w:shd w:val="clear" w:color="auto" w:fill="auto"/>
            <w:vAlign w:val="center"/>
            <w:hideMark/>
          </w:tcPr>
          <w:p w14:paraId="0745D549"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80,46 %</w:t>
            </w:r>
          </w:p>
        </w:tc>
        <w:tc>
          <w:tcPr>
            <w:tcW w:w="443" w:type="pct"/>
            <w:tcBorders>
              <w:top w:val="nil"/>
              <w:left w:val="nil"/>
              <w:bottom w:val="single" w:sz="4" w:space="0" w:color="auto"/>
              <w:right w:val="single" w:sz="4" w:space="0" w:color="auto"/>
            </w:tcBorders>
            <w:shd w:val="clear" w:color="auto" w:fill="auto"/>
            <w:noWrap/>
            <w:vAlign w:val="center"/>
            <w:hideMark/>
          </w:tcPr>
          <w:p w14:paraId="1D140F56"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18,73 %</w:t>
            </w:r>
          </w:p>
        </w:tc>
        <w:tc>
          <w:tcPr>
            <w:tcW w:w="475" w:type="pct"/>
            <w:tcBorders>
              <w:top w:val="nil"/>
              <w:left w:val="nil"/>
              <w:bottom w:val="single" w:sz="4" w:space="0" w:color="auto"/>
              <w:right w:val="single" w:sz="4" w:space="0" w:color="auto"/>
            </w:tcBorders>
            <w:shd w:val="clear" w:color="auto" w:fill="auto"/>
            <w:noWrap/>
            <w:vAlign w:val="center"/>
            <w:hideMark/>
          </w:tcPr>
          <w:p w14:paraId="259D2A77"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27,60 %</w:t>
            </w:r>
          </w:p>
        </w:tc>
      </w:tr>
      <w:tr w:rsidR="00F24E18" w:rsidRPr="00821399" w14:paraId="093A330F" w14:textId="77777777" w:rsidTr="000E18B5">
        <w:trPr>
          <w:trHeight w:val="30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64C8C88F" w14:textId="77777777" w:rsidR="00F24E18" w:rsidRPr="00821399" w:rsidRDefault="00F24E18" w:rsidP="000E18B5">
            <w:pPr>
              <w:spacing w:after="0" w:line="240" w:lineRule="auto"/>
              <w:jc w:val="both"/>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xml:space="preserve">Merila za oddajo javnega naročila </w:t>
            </w:r>
          </w:p>
        </w:tc>
        <w:tc>
          <w:tcPr>
            <w:tcW w:w="625" w:type="pct"/>
            <w:tcBorders>
              <w:top w:val="nil"/>
              <w:left w:val="nil"/>
              <w:bottom w:val="single" w:sz="4" w:space="0" w:color="auto"/>
              <w:right w:val="single" w:sz="4" w:space="0" w:color="auto"/>
            </w:tcBorders>
            <w:shd w:val="clear" w:color="auto" w:fill="auto"/>
            <w:vAlign w:val="center"/>
            <w:hideMark/>
          </w:tcPr>
          <w:p w14:paraId="05C314CF"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1.937</w:t>
            </w:r>
          </w:p>
        </w:tc>
        <w:tc>
          <w:tcPr>
            <w:tcW w:w="704" w:type="pct"/>
            <w:tcBorders>
              <w:top w:val="nil"/>
              <w:left w:val="nil"/>
              <w:bottom w:val="single" w:sz="4" w:space="0" w:color="auto"/>
              <w:right w:val="single" w:sz="4" w:space="0" w:color="auto"/>
            </w:tcBorders>
            <w:shd w:val="clear" w:color="auto" w:fill="auto"/>
            <w:vAlign w:val="center"/>
            <w:hideMark/>
          </w:tcPr>
          <w:p w14:paraId="2801EA2B"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789.722.278</w:t>
            </w:r>
          </w:p>
        </w:tc>
        <w:tc>
          <w:tcPr>
            <w:tcW w:w="445" w:type="pct"/>
            <w:tcBorders>
              <w:top w:val="nil"/>
              <w:left w:val="nil"/>
              <w:bottom w:val="single" w:sz="4" w:space="0" w:color="auto"/>
              <w:right w:val="single" w:sz="4" w:space="0" w:color="auto"/>
            </w:tcBorders>
            <w:shd w:val="clear" w:color="auto" w:fill="auto"/>
            <w:vAlign w:val="center"/>
            <w:hideMark/>
          </w:tcPr>
          <w:p w14:paraId="6C814A76"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40,32 %</w:t>
            </w:r>
          </w:p>
        </w:tc>
        <w:tc>
          <w:tcPr>
            <w:tcW w:w="475" w:type="pct"/>
            <w:tcBorders>
              <w:top w:val="nil"/>
              <w:left w:val="nil"/>
              <w:bottom w:val="single" w:sz="4" w:space="0" w:color="auto"/>
              <w:right w:val="single" w:sz="4" w:space="0" w:color="auto"/>
            </w:tcBorders>
            <w:shd w:val="clear" w:color="auto" w:fill="auto"/>
            <w:vAlign w:val="center"/>
            <w:hideMark/>
          </w:tcPr>
          <w:p w14:paraId="37127EB7"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36,94 %</w:t>
            </w:r>
          </w:p>
        </w:tc>
        <w:tc>
          <w:tcPr>
            <w:tcW w:w="443" w:type="pct"/>
            <w:tcBorders>
              <w:top w:val="nil"/>
              <w:left w:val="nil"/>
              <w:bottom w:val="single" w:sz="4" w:space="0" w:color="auto"/>
              <w:right w:val="single" w:sz="4" w:space="0" w:color="auto"/>
            </w:tcBorders>
            <w:shd w:val="clear" w:color="auto" w:fill="auto"/>
            <w:noWrap/>
            <w:vAlign w:val="center"/>
            <w:hideMark/>
          </w:tcPr>
          <w:p w14:paraId="5B93F10B"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11,51 %</w:t>
            </w:r>
          </w:p>
        </w:tc>
        <w:tc>
          <w:tcPr>
            <w:tcW w:w="475" w:type="pct"/>
            <w:tcBorders>
              <w:top w:val="nil"/>
              <w:left w:val="nil"/>
              <w:bottom w:val="single" w:sz="4" w:space="0" w:color="auto"/>
              <w:right w:val="single" w:sz="4" w:space="0" w:color="auto"/>
            </w:tcBorders>
            <w:shd w:val="clear" w:color="auto" w:fill="auto"/>
            <w:noWrap/>
            <w:vAlign w:val="center"/>
            <w:hideMark/>
          </w:tcPr>
          <w:p w14:paraId="55932689"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12,67 %</w:t>
            </w:r>
          </w:p>
        </w:tc>
      </w:tr>
      <w:tr w:rsidR="00F24E18" w:rsidRPr="00821399" w14:paraId="32FD4EF9" w14:textId="77777777" w:rsidTr="000E18B5">
        <w:trPr>
          <w:trHeight w:val="30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18C57F66" w14:textId="77777777" w:rsidR="00F24E18" w:rsidRPr="00821399" w:rsidRDefault="00F24E18" w:rsidP="000E18B5">
            <w:pPr>
              <w:spacing w:after="0" w:line="240" w:lineRule="auto"/>
              <w:jc w:val="both"/>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Pogoji za sodelovanje</w:t>
            </w:r>
          </w:p>
        </w:tc>
        <w:tc>
          <w:tcPr>
            <w:tcW w:w="625" w:type="pct"/>
            <w:tcBorders>
              <w:top w:val="nil"/>
              <w:left w:val="nil"/>
              <w:bottom w:val="single" w:sz="4" w:space="0" w:color="auto"/>
              <w:right w:val="single" w:sz="4" w:space="0" w:color="auto"/>
            </w:tcBorders>
            <w:shd w:val="clear" w:color="auto" w:fill="auto"/>
            <w:vAlign w:val="center"/>
            <w:hideMark/>
          </w:tcPr>
          <w:p w14:paraId="6BB52154"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1.660</w:t>
            </w:r>
          </w:p>
        </w:tc>
        <w:tc>
          <w:tcPr>
            <w:tcW w:w="704" w:type="pct"/>
            <w:tcBorders>
              <w:top w:val="nil"/>
              <w:left w:val="nil"/>
              <w:bottom w:val="single" w:sz="4" w:space="0" w:color="auto"/>
              <w:right w:val="single" w:sz="4" w:space="0" w:color="auto"/>
            </w:tcBorders>
            <w:shd w:val="clear" w:color="auto" w:fill="auto"/>
            <w:vAlign w:val="center"/>
            <w:hideMark/>
          </w:tcPr>
          <w:p w14:paraId="1ECC72FA"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387.507.410</w:t>
            </w:r>
          </w:p>
        </w:tc>
        <w:tc>
          <w:tcPr>
            <w:tcW w:w="445" w:type="pct"/>
            <w:tcBorders>
              <w:top w:val="nil"/>
              <w:left w:val="nil"/>
              <w:bottom w:val="single" w:sz="4" w:space="0" w:color="auto"/>
              <w:right w:val="single" w:sz="4" w:space="0" w:color="auto"/>
            </w:tcBorders>
            <w:shd w:val="clear" w:color="auto" w:fill="auto"/>
            <w:vAlign w:val="center"/>
            <w:hideMark/>
          </w:tcPr>
          <w:p w14:paraId="2463A42F"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34,55 %</w:t>
            </w:r>
          </w:p>
        </w:tc>
        <w:tc>
          <w:tcPr>
            <w:tcW w:w="475" w:type="pct"/>
            <w:tcBorders>
              <w:top w:val="nil"/>
              <w:left w:val="nil"/>
              <w:bottom w:val="single" w:sz="4" w:space="0" w:color="auto"/>
              <w:right w:val="single" w:sz="4" w:space="0" w:color="auto"/>
            </w:tcBorders>
            <w:shd w:val="clear" w:color="auto" w:fill="auto"/>
            <w:vAlign w:val="center"/>
            <w:hideMark/>
          </w:tcPr>
          <w:p w14:paraId="1D9E5DDE"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18,13 %</w:t>
            </w:r>
          </w:p>
        </w:tc>
        <w:tc>
          <w:tcPr>
            <w:tcW w:w="443" w:type="pct"/>
            <w:tcBorders>
              <w:top w:val="nil"/>
              <w:left w:val="nil"/>
              <w:bottom w:val="single" w:sz="4" w:space="0" w:color="auto"/>
              <w:right w:val="single" w:sz="4" w:space="0" w:color="auto"/>
            </w:tcBorders>
            <w:shd w:val="clear" w:color="auto" w:fill="auto"/>
            <w:noWrap/>
            <w:vAlign w:val="center"/>
            <w:hideMark/>
          </w:tcPr>
          <w:p w14:paraId="5F83C95D"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9,87 %</w:t>
            </w:r>
          </w:p>
        </w:tc>
        <w:tc>
          <w:tcPr>
            <w:tcW w:w="475" w:type="pct"/>
            <w:tcBorders>
              <w:top w:val="nil"/>
              <w:left w:val="nil"/>
              <w:bottom w:val="single" w:sz="4" w:space="0" w:color="auto"/>
              <w:right w:val="single" w:sz="4" w:space="0" w:color="auto"/>
            </w:tcBorders>
            <w:shd w:val="clear" w:color="auto" w:fill="auto"/>
            <w:noWrap/>
            <w:vAlign w:val="center"/>
            <w:hideMark/>
          </w:tcPr>
          <w:p w14:paraId="5DD0EC12" w14:textId="77777777" w:rsidR="00F24E18" w:rsidRPr="00821399" w:rsidRDefault="00F24E18" w:rsidP="000E18B5">
            <w:pPr>
              <w:spacing w:after="0" w:line="240" w:lineRule="auto"/>
              <w:jc w:val="right"/>
              <w:rPr>
                <w:rFonts w:ascii="Arial" w:hAnsi="Arial" w:cs="Arial"/>
                <w:color w:val="FF0000"/>
                <w:sz w:val="18"/>
                <w:szCs w:val="18"/>
              </w:rPr>
            </w:pPr>
            <w:r w:rsidRPr="00821399">
              <w:rPr>
                <w:rFonts w:ascii="Arial" w:hAnsi="Arial" w:cs="Arial"/>
                <w:color w:val="000000"/>
                <w:sz w:val="18"/>
                <w:szCs w:val="18"/>
              </w:rPr>
              <w:t>6,22 %</w:t>
            </w:r>
          </w:p>
        </w:tc>
      </w:tr>
      <w:tr w:rsidR="00F24E18" w:rsidRPr="00821399" w14:paraId="7D0F1FA2" w14:textId="77777777" w:rsidTr="000E18B5">
        <w:trPr>
          <w:trHeight w:val="30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3ACB7788"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Pogodbena določila iz obligacijskega razmerja</w:t>
            </w:r>
          </w:p>
        </w:tc>
        <w:tc>
          <w:tcPr>
            <w:tcW w:w="625" w:type="pct"/>
            <w:tcBorders>
              <w:top w:val="nil"/>
              <w:left w:val="nil"/>
              <w:bottom w:val="single" w:sz="4" w:space="0" w:color="auto"/>
              <w:right w:val="single" w:sz="4" w:space="0" w:color="auto"/>
            </w:tcBorders>
            <w:shd w:val="clear" w:color="auto" w:fill="auto"/>
            <w:vAlign w:val="center"/>
            <w:hideMark/>
          </w:tcPr>
          <w:p w14:paraId="2AB5646A"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1.227</w:t>
            </w:r>
          </w:p>
        </w:tc>
        <w:tc>
          <w:tcPr>
            <w:tcW w:w="704" w:type="pct"/>
            <w:tcBorders>
              <w:top w:val="nil"/>
              <w:left w:val="nil"/>
              <w:bottom w:val="single" w:sz="4" w:space="0" w:color="auto"/>
              <w:right w:val="single" w:sz="4" w:space="0" w:color="auto"/>
            </w:tcBorders>
            <w:shd w:val="clear" w:color="auto" w:fill="auto"/>
            <w:vAlign w:val="center"/>
            <w:hideMark/>
          </w:tcPr>
          <w:p w14:paraId="0BD9FF57"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377.848.850</w:t>
            </w:r>
          </w:p>
        </w:tc>
        <w:tc>
          <w:tcPr>
            <w:tcW w:w="445" w:type="pct"/>
            <w:tcBorders>
              <w:top w:val="nil"/>
              <w:left w:val="nil"/>
              <w:bottom w:val="single" w:sz="4" w:space="0" w:color="auto"/>
              <w:right w:val="single" w:sz="4" w:space="0" w:color="auto"/>
            </w:tcBorders>
            <w:shd w:val="clear" w:color="auto" w:fill="auto"/>
            <w:vAlign w:val="center"/>
            <w:hideMark/>
          </w:tcPr>
          <w:p w14:paraId="4525755C"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25,54 %</w:t>
            </w:r>
          </w:p>
        </w:tc>
        <w:tc>
          <w:tcPr>
            <w:tcW w:w="475" w:type="pct"/>
            <w:tcBorders>
              <w:top w:val="nil"/>
              <w:left w:val="nil"/>
              <w:bottom w:val="single" w:sz="4" w:space="0" w:color="auto"/>
              <w:right w:val="single" w:sz="4" w:space="0" w:color="auto"/>
            </w:tcBorders>
            <w:shd w:val="clear" w:color="auto" w:fill="auto"/>
            <w:vAlign w:val="center"/>
            <w:hideMark/>
          </w:tcPr>
          <w:p w14:paraId="49143292"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17,68 %</w:t>
            </w:r>
          </w:p>
        </w:tc>
        <w:tc>
          <w:tcPr>
            <w:tcW w:w="443" w:type="pct"/>
            <w:tcBorders>
              <w:top w:val="nil"/>
              <w:left w:val="nil"/>
              <w:bottom w:val="single" w:sz="4" w:space="0" w:color="auto"/>
              <w:right w:val="single" w:sz="4" w:space="0" w:color="auto"/>
            </w:tcBorders>
            <w:shd w:val="clear" w:color="auto" w:fill="auto"/>
            <w:noWrap/>
            <w:vAlign w:val="center"/>
            <w:hideMark/>
          </w:tcPr>
          <w:p w14:paraId="26E4F750"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7,29 %</w:t>
            </w:r>
          </w:p>
        </w:tc>
        <w:tc>
          <w:tcPr>
            <w:tcW w:w="475" w:type="pct"/>
            <w:tcBorders>
              <w:top w:val="nil"/>
              <w:left w:val="nil"/>
              <w:bottom w:val="single" w:sz="4" w:space="0" w:color="auto"/>
              <w:right w:val="single" w:sz="4" w:space="0" w:color="auto"/>
            </w:tcBorders>
            <w:shd w:val="clear" w:color="auto" w:fill="auto"/>
            <w:noWrap/>
            <w:vAlign w:val="center"/>
            <w:hideMark/>
          </w:tcPr>
          <w:p w14:paraId="38F07D99"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6,06 %</w:t>
            </w:r>
          </w:p>
        </w:tc>
      </w:tr>
      <w:tr w:rsidR="00F24E18" w:rsidRPr="00821399" w14:paraId="012174AF" w14:textId="77777777" w:rsidTr="000E18B5">
        <w:trPr>
          <w:trHeight w:val="30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483D8DE0"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Razlogi za izključitev</w:t>
            </w:r>
          </w:p>
        </w:tc>
        <w:tc>
          <w:tcPr>
            <w:tcW w:w="625" w:type="pct"/>
            <w:tcBorders>
              <w:top w:val="nil"/>
              <w:left w:val="nil"/>
              <w:bottom w:val="single" w:sz="4" w:space="0" w:color="auto"/>
              <w:right w:val="single" w:sz="4" w:space="0" w:color="auto"/>
            </w:tcBorders>
            <w:shd w:val="clear" w:color="auto" w:fill="auto"/>
            <w:vAlign w:val="center"/>
            <w:hideMark/>
          </w:tcPr>
          <w:p w14:paraId="7C78A64F"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850</w:t>
            </w:r>
          </w:p>
        </w:tc>
        <w:tc>
          <w:tcPr>
            <w:tcW w:w="704" w:type="pct"/>
            <w:tcBorders>
              <w:top w:val="nil"/>
              <w:left w:val="nil"/>
              <w:bottom w:val="single" w:sz="4" w:space="0" w:color="auto"/>
              <w:right w:val="single" w:sz="4" w:space="0" w:color="auto"/>
            </w:tcBorders>
            <w:shd w:val="clear" w:color="auto" w:fill="auto"/>
            <w:vAlign w:val="center"/>
            <w:hideMark/>
          </w:tcPr>
          <w:p w14:paraId="3B912008"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33.904.303</w:t>
            </w:r>
          </w:p>
        </w:tc>
        <w:tc>
          <w:tcPr>
            <w:tcW w:w="445" w:type="pct"/>
            <w:tcBorders>
              <w:top w:val="nil"/>
              <w:left w:val="nil"/>
              <w:bottom w:val="single" w:sz="4" w:space="0" w:color="auto"/>
              <w:right w:val="single" w:sz="4" w:space="0" w:color="auto"/>
            </w:tcBorders>
            <w:shd w:val="clear" w:color="auto" w:fill="auto"/>
            <w:vAlign w:val="center"/>
            <w:hideMark/>
          </w:tcPr>
          <w:p w14:paraId="4986AC25"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17,69 %</w:t>
            </w:r>
          </w:p>
        </w:tc>
        <w:tc>
          <w:tcPr>
            <w:tcW w:w="475" w:type="pct"/>
            <w:tcBorders>
              <w:top w:val="nil"/>
              <w:left w:val="nil"/>
              <w:bottom w:val="single" w:sz="4" w:space="0" w:color="auto"/>
              <w:right w:val="single" w:sz="4" w:space="0" w:color="auto"/>
            </w:tcBorders>
            <w:shd w:val="clear" w:color="auto" w:fill="auto"/>
            <w:vAlign w:val="center"/>
            <w:hideMark/>
          </w:tcPr>
          <w:p w14:paraId="4E86EE18"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1,59 %</w:t>
            </w:r>
          </w:p>
        </w:tc>
        <w:tc>
          <w:tcPr>
            <w:tcW w:w="443" w:type="pct"/>
            <w:tcBorders>
              <w:top w:val="nil"/>
              <w:left w:val="nil"/>
              <w:bottom w:val="single" w:sz="4" w:space="0" w:color="auto"/>
              <w:right w:val="single" w:sz="4" w:space="0" w:color="auto"/>
            </w:tcBorders>
            <w:shd w:val="clear" w:color="auto" w:fill="auto"/>
            <w:noWrap/>
            <w:vAlign w:val="center"/>
            <w:hideMark/>
          </w:tcPr>
          <w:p w14:paraId="2968E2B7"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5,05 %</w:t>
            </w:r>
          </w:p>
        </w:tc>
        <w:tc>
          <w:tcPr>
            <w:tcW w:w="475" w:type="pct"/>
            <w:tcBorders>
              <w:top w:val="nil"/>
              <w:left w:val="nil"/>
              <w:bottom w:val="single" w:sz="4" w:space="0" w:color="auto"/>
              <w:right w:val="single" w:sz="4" w:space="0" w:color="auto"/>
            </w:tcBorders>
            <w:shd w:val="clear" w:color="auto" w:fill="auto"/>
            <w:noWrap/>
            <w:vAlign w:val="center"/>
            <w:hideMark/>
          </w:tcPr>
          <w:p w14:paraId="37CE51B6"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0,54 %</w:t>
            </w:r>
          </w:p>
        </w:tc>
      </w:tr>
      <w:tr w:rsidR="00F24E18" w:rsidRPr="00242E41" w14:paraId="1F97CE83" w14:textId="77777777" w:rsidTr="000E18B5">
        <w:trPr>
          <w:trHeight w:val="30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7B860E93" w14:textId="77777777" w:rsidR="00F24E18" w:rsidRPr="00821399" w:rsidRDefault="00F24E18" w:rsidP="000E18B5">
            <w:pPr>
              <w:spacing w:after="0" w:line="240" w:lineRule="auto"/>
              <w:jc w:val="both"/>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Drugo</w:t>
            </w:r>
          </w:p>
        </w:tc>
        <w:tc>
          <w:tcPr>
            <w:tcW w:w="625" w:type="pct"/>
            <w:tcBorders>
              <w:top w:val="nil"/>
              <w:left w:val="nil"/>
              <w:bottom w:val="single" w:sz="4" w:space="0" w:color="auto"/>
              <w:right w:val="single" w:sz="4" w:space="0" w:color="auto"/>
            </w:tcBorders>
            <w:shd w:val="clear" w:color="auto" w:fill="auto"/>
            <w:vAlign w:val="center"/>
            <w:hideMark/>
          </w:tcPr>
          <w:p w14:paraId="60EA15A9"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147</w:t>
            </w:r>
          </w:p>
        </w:tc>
        <w:tc>
          <w:tcPr>
            <w:tcW w:w="704" w:type="pct"/>
            <w:tcBorders>
              <w:top w:val="nil"/>
              <w:left w:val="nil"/>
              <w:bottom w:val="single" w:sz="4" w:space="0" w:color="auto"/>
              <w:right w:val="single" w:sz="4" w:space="0" w:color="auto"/>
            </w:tcBorders>
            <w:shd w:val="clear" w:color="auto" w:fill="auto"/>
            <w:vAlign w:val="center"/>
            <w:hideMark/>
          </w:tcPr>
          <w:p w14:paraId="0F4DEE4E"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41.144.190</w:t>
            </w:r>
          </w:p>
        </w:tc>
        <w:tc>
          <w:tcPr>
            <w:tcW w:w="445" w:type="pct"/>
            <w:tcBorders>
              <w:top w:val="nil"/>
              <w:left w:val="nil"/>
              <w:bottom w:val="single" w:sz="4" w:space="0" w:color="auto"/>
              <w:right w:val="single" w:sz="4" w:space="0" w:color="auto"/>
            </w:tcBorders>
            <w:shd w:val="clear" w:color="auto" w:fill="auto"/>
            <w:vAlign w:val="center"/>
            <w:hideMark/>
          </w:tcPr>
          <w:p w14:paraId="3BBBEE1E"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3,06 %</w:t>
            </w:r>
          </w:p>
        </w:tc>
        <w:tc>
          <w:tcPr>
            <w:tcW w:w="475" w:type="pct"/>
            <w:tcBorders>
              <w:top w:val="nil"/>
              <w:left w:val="nil"/>
              <w:bottom w:val="single" w:sz="4" w:space="0" w:color="auto"/>
              <w:right w:val="single" w:sz="4" w:space="0" w:color="auto"/>
            </w:tcBorders>
            <w:shd w:val="clear" w:color="auto" w:fill="auto"/>
            <w:vAlign w:val="center"/>
            <w:hideMark/>
          </w:tcPr>
          <w:p w14:paraId="33AACF30"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1,92 %</w:t>
            </w:r>
          </w:p>
        </w:tc>
        <w:tc>
          <w:tcPr>
            <w:tcW w:w="443" w:type="pct"/>
            <w:tcBorders>
              <w:top w:val="nil"/>
              <w:left w:val="nil"/>
              <w:bottom w:val="single" w:sz="4" w:space="0" w:color="auto"/>
              <w:right w:val="single" w:sz="4" w:space="0" w:color="auto"/>
            </w:tcBorders>
            <w:shd w:val="clear" w:color="auto" w:fill="auto"/>
            <w:noWrap/>
            <w:vAlign w:val="center"/>
            <w:hideMark/>
          </w:tcPr>
          <w:p w14:paraId="3ADB398F"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0,87 %</w:t>
            </w:r>
          </w:p>
        </w:tc>
        <w:tc>
          <w:tcPr>
            <w:tcW w:w="475" w:type="pct"/>
            <w:tcBorders>
              <w:top w:val="nil"/>
              <w:left w:val="nil"/>
              <w:bottom w:val="single" w:sz="4" w:space="0" w:color="auto"/>
              <w:right w:val="single" w:sz="4" w:space="0" w:color="auto"/>
            </w:tcBorders>
            <w:shd w:val="clear" w:color="auto" w:fill="auto"/>
            <w:noWrap/>
            <w:vAlign w:val="center"/>
            <w:hideMark/>
          </w:tcPr>
          <w:p w14:paraId="073BE39E" w14:textId="77777777" w:rsidR="00F24E18" w:rsidRPr="00821399" w:rsidRDefault="00F24E18" w:rsidP="000E18B5">
            <w:pPr>
              <w:spacing w:after="0" w:line="240" w:lineRule="auto"/>
              <w:jc w:val="right"/>
              <w:rPr>
                <w:rFonts w:ascii="Arial" w:hAnsi="Arial" w:cs="Arial"/>
                <w:color w:val="000000"/>
                <w:sz w:val="18"/>
                <w:szCs w:val="18"/>
              </w:rPr>
            </w:pPr>
            <w:r w:rsidRPr="00821399">
              <w:rPr>
                <w:rFonts w:ascii="Arial" w:hAnsi="Arial" w:cs="Arial"/>
                <w:color w:val="000000"/>
                <w:sz w:val="18"/>
                <w:szCs w:val="18"/>
              </w:rPr>
              <w:t>0,66 %</w:t>
            </w:r>
          </w:p>
        </w:tc>
      </w:tr>
    </w:tbl>
    <w:p w14:paraId="1DDA2E37" w14:textId="77777777" w:rsidR="00F24E18" w:rsidRPr="00242E41" w:rsidRDefault="00F24E18" w:rsidP="00F24E18">
      <w:pPr>
        <w:spacing w:after="0" w:line="240" w:lineRule="auto"/>
        <w:rPr>
          <w:rFonts w:ascii="Arial" w:hAnsi="Arial" w:cs="Arial"/>
          <w:b/>
          <w:sz w:val="20"/>
          <w:highlight w:val="yellow"/>
        </w:rPr>
      </w:pPr>
    </w:p>
    <w:p w14:paraId="562BB76A" w14:textId="77777777" w:rsidR="00F24E18" w:rsidRPr="00821399" w:rsidRDefault="00F24E18" w:rsidP="00F24E18">
      <w:pPr>
        <w:spacing w:before="120" w:after="0" w:line="240" w:lineRule="auto"/>
        <w:jc w:val="both"/>
        <w:rPr>
          <w:rFonts w:ascii="Arial" w:hAnsi="Arial" w:cs="Arial"/>
          <w:sz w:val="20"/>
        </w:rPr>
      </w:pPr>
      <w:r w:rsidRPr="00821399">
        <w:rPr>
          <w:rFonts w:ascii="Arial" w:hAnsi="Arial" w:cs="Arial"/>
          <w:sz w:val="20"/>
          <w:szCs w:val="20"/>
        </w:rPr>
        <w:t xml:space="preserve">Preglednica 102: </w:t>
      </w:r>
      <w:r w:rsidRPr="00821399">
        <w:rPr>
          <w:rFonts w:ascii="Arial" w:hAnsi="Arial" w:cs="Arial"/>
          <w:sz w:val="20"/>
        </w:rPr>
        <w:t xml:space="preserve">Javna naročila, pri oddaji katerih so bili upoštevani </w:t>
      </w:r>
      <w:proofErr w:type="spellStart"/>
      <w:r w:rsidRPr="00821399">
        <w:rPr>
          <w:rFonts w:ascii="Arial" w:hAnsi="Arial" w:cs="Arial"/>
          <w:sz w:val="20"/>
        </w:rPr>
        <w:t>okoljski</w:t>
      </w:r>
      <w:proofErr w:type="spellEnd"/>
      <w:r w:rsidRPr="00821399">
        <w:rPr>
          <w:rFonts w:ascii="Arial" w:hAnsi="Arial" w:cs="Arial"/>
          <w:sz w:val="20"/>
        </w:rPr>
        <w:t xml:space="preserve"> vidiki glede na način upoštevanja teh vidikov</w:t>
      </w:r>
    </w:p>
    <w:p w14:paraId="662849A1" w14:textId="77777777" w:rsidR="00F24E18" w:rsidRPr="00242E41" w:rsidRDefault="00F24E18" w:rsidP="00F24E18">
      <w:pPr>
        <w:spacing w:after="0" w:line="240" w:lineRule="auto"/>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1"/>
        <w:gridCol w:w="631"/>
        <w:gridCol w:w="1101"/>
        <w:gridCol w:w="1061"/>
        <w:gridCol w:w="912"/>
        <w:gridCol w:w="631"/>
        <w:gridCol w:w="868"/>
        <w:gridCol w:w="2859"/>
      </w:tblGrid>
      <w:tr w:rsidR="00F24E18" w:rsidRPr="00821399" w14:paraId="5948B78A" w14:textId="77777777" w:rsidTr="000E18B5">
        <w:trPr>
          <w:trHeight w:val="735"/>
          <w:tblHeader/>
        </w:trPr>
        <w:tc>
          <w:tcPr>
            <w:tcW w:w="606" w:type="pct"/>
            <w:shd w:val="clear" w:color="auto" w:fill="auto"/>
            <w:vAlign w:val="center"/>
            <w:hideMark/>
          </w:tcPr>
          <w:p w14:paraId="329D8373"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xml:space="preserve">Tehnične specifikacije </w:t>
            </w:r>
          </w:p>
        </w:tc>
        <w:tc>
          <w:tcPr>
            <w:tcW w:w="344" w:type="pct"/>
            <w:shd w:val="clear" w:color="auto" w:fill="auto"/>
            <w:vAlign w:val="center"/>
            <w:hideMark/>
          </w:tcPr>
          <w:p w14:paraId="5FC8A413"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Merila</w:t>
            </w:r>
          </w:p>
        </w:tc>
        <w:tc>
          <w:tcPr>
            <w:tcW w:w="600" w:type="pct"/>
            <w:shd w:val="clear" w:color="auto" w:fill="auto"/>
            <w:vAlign w:val="center"/>
            <w:hideMark/>
          </w:tcPr>
          <w:p w14:paraId="2F4B49D1"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Pogoji za sodelovanje</w:t>
            </w:r>
          </w:p>
        </w:tc>
        <w:tc>
          <w:tcPr>
            <w:tcW w:w="578" w:type="pct"/>
            <w:shd w:val="clear" w:color="auto" w:fill="auto"/>
            <w:vAlign w:val="center"/>
            <w:hideMark/>
          </w:tcPr>
          <w:p w14:paraId="765B9364"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Pogodbena določila</w:t>
            </w:r>
          </w:p>
        </w:tc>
        <w:tc>
          <w:tcPr>
            <w:tcW w:w="497" w:type="pct"/>
            <w:shd w:val="clear" w:color="auto" w:fill="auto"/>
            <w:vAlign w:val="center"/>
            <w:hideMark/>
          </w:tcPr>
          <w:p w14:paraId="32325392"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Razlogi za izključitev</w:t>
            </w:r>
          </w:p>
        </w:tc>
        <w:tc>
          <w:tcPr>
            <w:tcW w:w="344" w:type="pct"/>
            <w:shd w:val="clear" w:color="auto" w:fill="auto"/>
            <w:vAlign w:val="center"/>
            <w:hideMark/>
          </w:tcPr>
          <w:p w14:paraId="4FBCE5C6"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Drugo</w:t>
            </w:r>
          </w:p>
        </w:tc>
        <w:tc>
          <w:tcPr>
            <w:tcW w:w="473" w:type="pct"/>
            <w:shd w:val="clear" w:color="auto" w:fill="auto"/>
            <w:vAlign w:val="center"/>
            <w:hideMark/>
          </w:tcPr>
          <w:p w14:paraId="1CC7BFB0"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Št. naročil</w:t>
            </w:r>
          </w:p>
        </w:tc>
        <w:tc>
          <w:tcPr>
            <w:tcW w:w="1558" w:type="pct"/>
            <w:shd w:val="clear" w:color="auto" w:fill="auto"/>
            <w:vAlign w:val="center"/>
            <w:hideMark/>
          </w:tcPr>
          <w:p w14:paraId="361185D9" w14:textId="77777777" w:rsidR="00F24E18" w:rsidRPr="00821399" w:rsidRDefault="00F24E18" w:rsidP="000E18B5">
            <w:pPr>
              <w:spacing w:after="0" w:line="240" w:lineRule="auto"/>
              <w:jc w:val="center"/>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Pogodbena vrednost</w:t>
            </w:r>
          </w:p>
        </w:tc>
      </w:tr>
      <w:tr w:rsidR="00F24E18" w:rsidRPr="00821399" w14:paraId="3D751994" w14:textId="77777777" w:rsidTr="000E18B5">
        <w:trPr>
          <w:trHeight w:val="300"/>
        </w:trPr>
        <w:tc>
          <w:tcPr>
            <w:tcW w:w="606" w:type="pct"/>
            <w:shd w:val="clear" w:color="auto" w:fill="00B0F0"/>
            <w:noWrap/>
            <w:vAlign w:val="bottom"/>
            <w:hideMark/>
          </w:tcPr>
          <w:p w14:paraId="55B5FD9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41CDE57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12E7EF4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66D243D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2B82586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4286C04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468A9771"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1.631</w:t>
            </w:r>
          </w:p>
        </w:tc>
        <w:tc>
          <w:tcPr>
            <w:tcW w:w="1558" w:type="pct"/>
            <w:shd w:val="clear" w:color="auto" w:fill="auto"/>
            <w:vAlign w:val="center"/>
          </w:tcPr>
          <w:p w14:paraId="4DE0A05E"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694.709.379</w:t>
            </w:r>
          </w:p>
        </w:tc>
      </w:tr>
      <w:tr w:rsidR="00F24E18" w:rsidRPr="00821399" w14:paraId="28E33879" w14:textId="77777777" w:rsidTr="000E18B5">
        <w:trPr>
          <w:trHeight w:val="300"/>
        </w:trPr>
        <w:tc>
          <w:tcPr>
            <w:tcW w:w="606" w:type="pct"/>
            <w:shd w:val="clear" w:color="auto" w:fill="auto"/>
            <w:noWrap/>
            <w:vAlign w:val="bottom"/>
            <w:hideMark/>
          </w:tcPr>
          <w:p w14:paraId="50631E0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0583D58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2DA34D7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6CE0D67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0891024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3E103BE0"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0FD5C610"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713</w:t>
            </w:r>
          </w:p>
        </w:tc>
        <w:tc>
          <w:tcPr>
            <w:tcW w:w="1558" w:type="pct"/>
            <w:shd w:val="clear" w:color="auto" w:fill="auto"/>
            <w:vAlign w:val="center"/>
          </w:tcPr>
          <w:p w14:paraId="171C0472"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74.267.536</w:t>
            </w:r>
          </w:p>
        </w:tc>
      </w:tr>
      <w:tr w:rsidR="00F24E18" w:rsidRPr="00821399" w14:paraId="5A5E4FF4" w14:textId="77777777" w:rsidTr="000E18B5">
        <w:trPr>
          <w:trHeight w:val="300"/>
        </w:trPr>
        <w:tc>
          <w:tcPr>
            <w:tcW w:w="606" w:type="pct"/>
            <w:shd w:val="clear" w:color="auto" w:fill="00B0F0"/>
            <w:noWrap/>
            <w:vAlign w:val="bottom"/>
            <w:hideMark/>
          </w:tcPr>
          <w:p w14:paraId="2FFA3022"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2C154858"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4785101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56C71E1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2FD9589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4028F16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7DC1ADA4"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489</w:t>
            </w:r>
          </w:p>
        </w:tc>
        <w:tc>
          <w:tcPr>
            <w:tcW w:w="1558" w:type="pct"/>
            <w:shd w:val="clear" w:color="auto" w:fill="auto"/>
            <w:vAlign w:val="center"/>
          </w:tcPr>
          <w:p w14:paraId="0A2F79BF"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13.910.672</w:t>
            </w:r>
          </w:p>
        </w:tc>
      </w:tr>
      <w:tr w:rsidR="00F24E18" w:rsidRPr="00821399" w14:paraId="15E386F5" w14:textId="77777777" w:rsidTr="000E18B5">
        <w:trPr>
          <w:trHeight w:val="300"/>
        </w:trPr>
        <w:tc>
          <w:tcPr>
            <w:tcW w:w="606" w:type="pct"/>
            <w:shd w:val="clear" w:color="auto" w:fill="auto"/>
            <w:noWrap/>
            <w:vAlign w:val="bottom"/>
            <w:hideMark/>
          </w:tcPr>
          <w:p w14:paraId="6F2E2CF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5980CE9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3D8220E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4434A0D9"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320B6C6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7B49FDB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60971099"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446</w:t>
            </w:r>
          </w:p>
        </w:tc>
        <w:tc>
          <w:tcPr>
            <w:tcW w:w="1558" w:type="pct"/>
            <w:shd w:val="clear" w:color="auto" w:fill="auto"/>
            <w:vAlign w:val="center"/>
          </w:tcPr>
          <w:p w14:paraId="1E64A390"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270.077.094</w:t>
            </w:r>
          </w:p>
        </w:tc>
      </w:tr>
      <w:tr w:rsidR="00F24E18" w:rsidRPr="00821399" w14:paraId="70EBE9EC" w14:textId="77777777" w:rsidTr="000E18B5">
        <w:trPr>
          <w:trHeight w:val="300"/>
        </w:trPr>
        <w:tc>
          <w:tcPr>
            <w:tcW w:w="606" w:type="pct"/>
            <w:shd w:val="clear" w:color="auto" w:fill="00B0F0"/>
            <w:noWrap/>
            <w:vAlign w:val="bottom"/>
            <w:hideMark/>
          </w:tcPr>
          <w:p w14:paraId="54BD2EF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78BF518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5EA8ABA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07CDCAE9"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7CEE0AA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531CC4B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11B2DAE0"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292</w:t>
            </w:r>
          </w:p>
        </w:tc>
        <w:tc>
          <w:tcPr>
            <w:tcW w:w="1558" w:type="pct"/>
            <w:shd w:val="clear" w:color="auto" w:fill="auto"/>
            <w:vAlign w:val="center"/>
          </w:tcPr>
          <w:p w14:paraId="158380AB"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658.198.937</w:t>
            </w:r>
          </w:p>
        </w:tc>
      </w:tr>
      <w:tr w:rsidR="00F24E18" w:rsidRPr="00821399" w14:paraId="20C07F2C" w14:textId="77777777" w:rsidTr="000E18B5">
        <w:trPr>
          <w:trHeight w:val="300"/>
        </w:trPr>
        <w:tc>
          <w:tcPr>
            <w:tcW w:w="606" w:type="pct"/>
            <w:shd w:val="clear" w:color="auto" w:fill="00B0F0"/>
            <w:noWrap/>
            <w:vAlign w:val="bottom"/>
            <w:hideMark/>
          </w:tcPr>
          <w:p w14:paraId="2579FFB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5453E86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3208420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01D9519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091B17C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6F6BB03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1154220A"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201</w:t>
            </w:r>
          </w:p>
        </w:tc>
        <w:tc>
          <w:tcPr>
            <w:tcW w:w="1558" w:type="pct"/>
            <w:shd w:val="clear" w:color="auto" w:fill="auto"/>
            <w:vAlign w:val="center"/>
          </w:tcPr>
          <w:p w14:paraId="63AA8BC2"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7.456.371</w:t>
            </w:r>
          </w:p>
        </w:tc>
      </w:tr>
      <w:tr w:rsidR="00F24E18" w:rsidRPr="00821399" w14:paraId="091C30DE" w14:textId="77777777" w:rsidTr="000E18B5">
        <w:trPr>
          <w:trHeight w:val="300"/>
        </w:trPr>
        <w:tc>
          <w:tcPr>
            <w:tcW w:w="606" w:type="pct"/>
            <w:shd w:val="clear" w:color="auto" w:fill="auto"/>
            <w:noWrap/>
            <w:vAlign w:val="bottom"/>
            <w:hideMark/>
          </w:tcPr>
          <w:p w14:paraId="13DB91D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6976397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7788A1E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4FB8739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72380D32"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6B5F3C1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3F90FAD3"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123</w:t>
            </w:r>
          </w:p>
        </w:tc>
        <w:tc>
          <w:tcPr>
            <w:tcW w:w="1558" w:type="pct"/>
            <w:shd w:val="clear" w:color="auto" w:fill="auto"/>
            <w:vAlign w:val="center"/>
          </w:tcPr>
          <w:p w14:paraId="37F33A9B"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8.998.462</w:t>
            </w:r>
          </w:p>
        </w:tc>
      </w:tr>
      <w:tr w:rsidR="00F24E18" w:rsidRPr="00821399" w14:paraId="06FF7750" w14:textId="77777777" w:rsidTr="000E18B5">
        <w:trPr>
          <w:trHeight w:val="300"/>
        </w:trPr>
        <w:tc>
          <w:tcPr>
            <w:tcW w:w="606" w:type="pct"/>
            <w:shd w:val="clear" w:color="auto" w:fill="auto"/>
            <w:noWrap/>
            <w:vAlign w:val="bottom"/>
            <w:hideMark/>
          </w:tcPr>
          <w:p w14:paraId="198B5EF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12C7B51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127A775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7F410B7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7D628DC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48E6F81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5FC98079"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116</w:t>
            </w:r>
          </w:p>
        </w:tc>
        <w:tc>
          <w:tcPr>
            <w:tcW w:w="1558" w:type="pct"/>
            <w:shd w:val="clear" w:color="auto" w:fill="auto"/>
            <w:vAlign w:val="center"/>
          </w:tcPr>
          <w:p w14:paraId="5052792C"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35.632.222</w:t>
            </w:r>
          </w:p>
        </w:tc>
      </w:tr>
      <w:tr w:rsidR="00F24E18" w:rsidRPr="00821399" w14:paraId="19B661AA" w14:textId="77777777" w:rsidTr="000E18B5">
        <w:trPr>
          <w:trHeight w:val="300"/>
        </w:trPr>
        <w:tc>
          <w:tcPr>
            <w:tcW w:w="606" w:type="pct"/>
            <w:shd w:val="clear" w:color="auto" w:fill="00B0F0"/>
            <w:noWrap/>
            <w:vAlign w:val="bottom"/>
            <w:hideMark/>
          </w:tcPr>
          <w:p w14:paraId="1190E1E0"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7E360F7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7AFD025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574F3B2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159C99D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33C684B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61DDBEB0"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92</w:t>
            </w:r>
          </w:p>
        </w:tc>
        <w:tc>
          <w:tcPr>
            <w:tcW w:w="1558" w:type="pct"/>
            <w:shd w:val="clear" w:color="auto" w:fill="auto"/>
            <w:vAlign w:val="center"/>
          </w:tcPr>
          <w:p w14:paraId="12E942DA"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24.042.744</w:t>
            </w:r>
          </w:p>
        </w:tc>
      </w:tr>
      <w:tr w:rsidR="00F24E18" w:rsidRPr="00821399" w14:paraId="4F6744DC" w14:textId="77777777" w:rsidTr="000E18B5">
        <w:trPr>
          <w:trHeight w:val="300"/>
        </w:trPr>
        <w:tc>
          <w:tcPr>
            <w:tcW w:w="606" w:type="pct"/>
            <w:shd w:val="clear" w:color="auto" w:fill="00B0F0"/>
            <w:noWrap/>
            <w:vAlign w:val="bottom"/>
            <w:hideMark/>
          </w:tcPr>
          <w:p w14:paraId="04CD80A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5ACCCAC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7D8CEF4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22C4DB6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7521B91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29C6637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3AE20054"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91</w:t>
            </w:r>
          </w:p>
        </w:tc>
        <w:tc>
          <w:tcPr>
            <w:tcW w:w="1558" w:type="pct"/>
            <w:shd w:val="clear" w:color="auto" w:fill="auto"/>
            <w:vAlign w:val="center"/>
          </w:tcPr>
          <w:p w14:paraId="0B337049"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255.266.434</w:t>
            </w:r>
          </w:p>
        </w:tc>
      </w:tr>
      <w:tr w:rsidR="00F24E18" w:rsidRPr="00821399" w14:paraId="527DD20B" w14:textId="77777777" w:rsidTr="000E18B5">
        <w:trPr>
          <w:trHeight w:val="300"/>
        </w:trPr>
        <w:tc>
          <w:tcPr>
            <w:tcW w:w="606" w:type="pct"/>
            <w:shd w:val="clear" w:color="auto" w:fill="00B0F0"/>
            <w:noWrap/>
            <w:vAlign w:val="bottom"/>
            <w:hideMark/>
          </w:tcPr>
          <w:p w14:paraId="47C9896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19AA352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31C6CE9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32F18A58"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775530F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1A44CCF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5C774FEE"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91</w:t>
            </w:r>
          </w:p>
        </w:tc>
        <w:tc>
          <w:tcPr>
            <w:tcW w:w="1558" w:type="pct"/>
            <w:shd w:val="clear" w:color="auto" w:fill="auto"/>
            <w:vAlign w:val="center"/>
          </w:tcPr>
          <w:p w14:paraId="68424C81"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3.505.137</w:t>
            </w:r>
          </w:p>
        </w:tc>
      </w:tr>
      <w:tr w:rsidR="00F24E18" w:rsidRPr="00821399" w14:paraId="4832D257" w14:textId="77777777" w:rsidTr="000E18B5">
        <w:trPr>
          <w:trHeight w:val="300"/>
        </w:trPr>
        <w:tc>
          <w:tcPr>
            <w:tcW w:w="606" w:type="pct"/>
            <w:shd w:val="clear" w:color="auto" w:fill="00B0F0"/>
            <w:noWrap/>
            <w:vAlign w:val="bottom"/>
            <w:hideMark/>
          </w:tcPr>
          <w:p w14:paraId="3FEFE06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7080217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7E9184F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2FA7A9F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4E302A4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28D3569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4EAE96EE"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90</w:t>
            </w:r>
          </w:p>
        </w:tc>
        <w:tc>
          <w:tcPr>
            <w:tcW w:w="1558" w:type="pct"/>
            <w:shd w:val="clear" w:color="auto" w:fill="auto"/>
            <w:vAlign w:val="center"/>
          </w:tcPr>
          <w:p w14:paraId="1AE116C2"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11.247.512</w:t>
            </w:r>
          </w:p>
        </w:tc>
      </w:tr>
      <w:tr w:rsidR="00F24E18" w:rsidRPr="00821399" w14:paraId="1CDCA7FD" w14:textId="77777777" w:rsidTr="000E18B5">
        <w:trPr>
          <w:trHeight w:val="300"/>
        </w:trPr>
        <w:tc>
          <w:tcPr>
            <w:tcW w:w="606" w:type="pct"/>
            <w:shd w:val="clear" w:color="auto" w:fill="auto"/>
            <w:noWrap/>
            <w:vAlign w:val="bottom"/>
            <w:hideMark/>
          </w:tcPr>
          <w:p w14:paraId="60BC207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2C36F67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5399D64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4FBEFBB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6CCCBBE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055288B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4A543DBB"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85</w:t>
            </w:r>
          </w:p>
        </w:tc>
        <w:tc>
          <w:tcPr>
            <w:tcW w:w="1558" w:type="pct"/>
            <w:shd w:val="clear" w:color="auto" w:fill="auto"/>
            <w:vAlign w:val="center"/>
          </w:tcPr>
          <w:p w14:paraId="1CD119EF"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3.374.738</w:t>
            </w:r>
          </w:p>
        </w:tc>
      </w:tr>
      <w:tr w:rsidR="00F24E18" w:rsidRPr="00821399" w14:paraId="6A327474" w14:textId="77777777" w:rsidTr="000E18B5">
        <w:trPr>
          <w:trHeight w:val="300"/>
        </w:trPr>
        <w:tc>
          <w:tcPr>
            <w:tcW w:w="606" w:type="pct"/>
            <w:shd w:val="clear" w:color="auto" w:fill="00B0F0"/>
            <w:noWrap/>
            <w:vAlign w:val="bottom"/>
            <w:hideMark/>
          </w:tcPr>
          <w:p w14:paraId="5825574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2B92D5E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3B24C9D9"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0D6055E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43CBA6F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76D0AF09"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3ED7E8A7"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72</w:t>
            </w:r>
          </w:p>
        </w:tc>
        <w:tc>
          <w:tcPr>
            <w:tcW w:w="1558" w:type="pct"/>
            <w:shd w:val="clear" w:color="auto" w:fill="auto"/>
            <w:vAlign w:val="center"/>
          </w:tcPr>
          <w:p w14:paraId="7C051639"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33.363.081</w:t>
            </w:r>
          </w:p>
        </w:tc>
      </w:tr>
      <w:tr w:rsidR="00F24E18" w:rsidRPr="00821399" w14:paraId="6EA57973" w14:textId="77777777" w:rsidTr="000E18B5">
        <w:trPr>
          <w:trHeight w:val="300"/>
        </w:trPr>
        <w:tc>
          <w:tcPr>
            <w:tcW w:w="606" w:type="pct"/>
            <w:shd w:val="clear" w:color="auto" w:fill="auto"/>
            <w:noWrap/>
            <w:vAlign w:val="bottom"/>
            <w:hideMark/>
          </w:tcPr>
          <w:p w14:paraId="2CAA67C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205BE468"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00563C9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075EC898"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5A4225F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36B8610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5A6EF2FA"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62</w:t>
            </w:r>
          </w:p>
        </w:tc>
        <w:tc>
          <w:tcPr>
            <w:tcW w:w="1558" w:type="pct"/>
            <w:shd w:val="clear" w:color="auto" w:fill="auto"/>
            <w:vAlign w:val="center"/>
          </w:tcPr>
          <w:p w14:paraId="6D6C4BD1"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5.148.339</w:t>
            </w:r>
          </w:p>
        </w:tc>
      </w:tr>
      <w:tr w:rsidR="00F24E18" w:rsidRPr="00821399" w14:paraId="1168F65C" w14:textId="77777777" w:rsidTr="000E18B5">
        <w:trPr>
          <w:trHeight w:val="300"/>
        </w:trPr>
        <w:tc>
          <w:tcPr>
            <w:tcW w:w="606" w:type="pct"/>
            <w:shd w:val="clear" w:color="auto" w:fill="00B0F0"/>
            <w:noWrap/>
            <w:vAlign w:val="bottom"/>
            <w:hideMark/>
          </w:tcPr>
          <w:p w14:paraId="5D31199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3FB00748"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5F1422E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228CF322"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14581DB2"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1377EDF0"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7AEFD378"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59</w:t>
            </w:r>
          </w:p>
        </w:tc>
        <w:tc>
          <w:tcPr>
            <w:tcW w:w="1558" w:type="pct"/>
            <w:shd w:val="clear" w:color="auto" w:fill="auto"/>
            <w:vAlign w:val="center"/>
          </w:tcPr>
          <w:p w14:paraId="5D90A724"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12.812.531</w:t>
            </w:r>
          </w:p>
        </w:tc>
      </w:tr>
      <w:tr w:rsidR="00F24E18" w:rsidRPr="00821399" w14:paraId="5CC0C77D" w14:textId="77777777" w:rsidTr="000E18B5">
        <w:trPr>
          <w:trHeight w:val="300"/>
        </w:trPr>
        <w:tc>
          <w:tcPr>
            <w:tcW w:w="606" w:type="pct"/>
            <w:shd w:val="clear" w:color="auto" w:fill="auto"/>
            <w:noWrap/>
            <w:vAlign w:val="bottom"/>
            <w:hideMark/>
          </w:tcPr>
          <w:p w14:paraId="02BFD89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14E45F3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182666D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144492D0"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25C0F25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761D664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60E9322A"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45</w:t>
            </w:r>
          </w:p>
        </w:tc>
        <w:tc>
          <w:tcPr>
            <w:tcW w:w="1558" w:type="pct"/>
            <w:shd w:val="clear" w:color="auto" w:fill="auto"/>
            <w:vAlign w:val="center"/>
          </w:tcPr>
          <w:p w14:paraId="6D367203"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9.596.377</w:t>
            </w:r>
          </w:p>
        </w:tc>
      </w:tr>
      <w:tr w:rsidR="00F24E18" w:rsidRPr="00821399" w14:paraId="664E7BF3" w14:textId="77777777" w:rsidTr="000E18B5">
        <w:trPr>
          <w:trHeight w:val="300"/>
        </w:trPr>
        <w:tc>
          <w:tcPr>
            <w:tcW w:w="606" w:type="pct"/>
            <w:shd w:val="clear" w:color="auto" w:fill="00B0F0"/>
            <w:noWrap/>
            <w:vAlign w:val="bottom"/>
            <w:hideMark/>
          </w:tcPr>
          <w:p w14:paraId="6AB1DD8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448D4D9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7BE5FB0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40DD558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0627D9A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41D6279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4FBAE8EF"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32</w:t>
            </w:r>
          </w:p>
        </w:tc>
        <w:tc>
          <w:tcPr>
            <w:tcW w:w="1558" w:type="pct"/>
            <w:shd w:val="clear" w:color="auto" w:fill="auto"/>
            <w:vAlign w:val="center"/>
          </w:tcPr>
          <w:p w14:paraId="5087016C"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2.255.612</w:t>
            </w:r>
          </w:p>
        </w:tc>
      </w:tr>
      <w:tr w:rsidR="00F24E18" w:rsidRPr="00821399" w14:paraId="3CDF4ECC" w14:textId="77777777" w:rsidTr="000E18B5">
        <w:trPr>
          <w:trHeight w:val="300"/>
        </w:trPr>
        <w:tc>
          <w:tcPr>
            <w:tcW w:w="606" w:type="pct"/>
            <w:shd w:val="clear" w:color="auto" w:fill="auto"/>
            <w:noWrap/>
            <w:vAlign w:val="bottom"/>
            <w:hideMark/>
          </w:tcPr>
          <w:p w14:paraId="6BF612C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5A3C80D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5E288D4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54BFD0D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5DBB232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6F40ED67"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28E07EE2"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23</w:t>
            </w:r>
          </w:p>
        </w:tc>
        <w:tc>
          <w:tcPr>
            <w:tcW w:w="1558" w:type="pct"/>
            <w:shd w:val="clear" w:color="auto" w:fill="auto"/>
            <w:vAlign w:val="center"/>
          </w:tcPr>
          <w:p w14:paraId="47705E52"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3.576.581</w:t>
            </w:r>
          </w:p>
        </w:tc>
      </w:tr>
      <w:tr w:rsidR="00F24E18" w:rsidRPr="00821399" w14:paraId="60C5FD17" w14:textId="77777777" w:rsidTr="000E18B5">
        <w:trPr>
          <w:trHeight w:val="300"/>
        </w:trPr>
        <w:tc>
          <w:tcPr>
            <w:tcW w:w="606" w:type="pct"/>
            <w:shd w:val="clear" w:color="auto" w:fill="auto"/>
            <w:noWrap/>
            <w:vAlign w:val="bottom"/>
            <w:hideMark/>
          </w:tcPr>
          <w:p w14:paraId="5DDECE3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479AC3B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175411B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0F393E9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2223639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42B0D3A0"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14B3824F"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19</w:t>
            </w:r>
          </w:p>
        </w:tc>
        <w:tc>
          <w:tcPr>
            <w:tcW w:w="1558" w:type="pct"/>
            <w:shd w:val="clear" w:color="auto" w:fill="auto"/>
            <w:vAlign w:val="center"/>
          </w:tcPr>
          <w:p w14:paraId="459ADABA"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6.273.926</w:t>
            </w:r>
          </w:p>
        </w:tc>
      </w:tr>
      <w:tr w:rsidR="00F24E18" w:rsidRPr="00821399" w14:paraId="0E6C1F25" w14:textId="77777777" w:rsidTr="000E18B5">
        <w:trPr>
          <w:trHeight w:val="300"/>
        </w:trPr>
        <w:tc>
          <w:tcPr>
            <w:tcW w:w="606" w:type="pct"/>
            <w:shd w:val="clear" w:color="auto" w:fill="auto"/>
            <w:noWrap/>
            <w:vAlign w:val="bottom"/>
            <w:hideMark/>
          </w:tcPr>
          <w:p w14:paraId="268B4E4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4947858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57D9CC8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5987498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361BAF22"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5F1A79F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15C54DE0"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11</w:t>
            </w:r>
          </w:p>
        </w:tc>
        <w:tc>
          <w:tcPr>
            <w:tcW w:w="1558" w:type="pct"/>
            <w:shd w:val="clear" w:color="auto" w:fill="auto"/>
            <w:vAlign w:val="center"/>
          </w:tcPr>
          <w:p w14:paraId="4D4941BF"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212.208</w:t>
            </w:r>
          </w:p>
        </w:tc>
      </w:tr>
      <w:tr w:rsidR="00F24E18" w:rsidRPr="00821399" w14:paraId="63A7EE79" w14:textId="77777777" w:rsidTr="000E18B5">
        <w:trPr>
          <w:trHeight w:val="300"/>
        </w:trPr>
        <w:tc>
          <w:tcPr>
            <w:tcW w:w="606" w:type="pct"/>
            <w:shd w:val="clear" w:color="auto" w:fill="auto"/>
            <w:noWrap/>
            <w:vAlign w:val="bottom"/>
            <w:hideMark/>
          </w:tcPr>
          <w:p w14:paraId="64F3915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6F1C0B6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21EE42D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4C87E709"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14B71A7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4F7E102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323F9838"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6</w:t>
            </w:r>
          </w:p>
        </w:tc>
        <w:tc>
          <w:tcPr>
            <w:tcW w:w="1558" w:type="pct"/>
            <w:shd w:val="clear" w:color="auto" w:fill="auto"/>
            <w:vAlign w:val="center"/>
          </w:tcPr>
          <w:p w14:paraId="4CBF5836"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263.502</w:t>
            </w:r>
          </w:p>
        </w:tc>
      </w:tr>
      <w:tr w:rsidR="00F24E18" w:rsidRPr="00821399" w14:paraId="19064ECF" w14:textId="77777777" w:rsidTr="000E18B5">
        <w:trPr>
          <w:trHeight w:val="300"/>
        </w:trPr>
        <w:tc>
          <w:tcPr>
            <w:tcW w:w="606" w:type="pct"/>
            <w:shd w:val="clear" w:color="auto" w:fill="00B0F0"/>
            <w:noWrap/>
            <w:vAlign w:val="bottom"/>
            <w:hideMark/>
          </w:tcPr>
          <w:p w14:paraId="3C74968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5FBEF169"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3B403079"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289057F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448A850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111F2F0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745BB0D9"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w:t>
            </w:r>
          </w:p>
        </w:tc>
        <w:tc>
          <w:tcPr>
            <w:tcW w:w="1558" w:type="pct"/>
            <w:shd w:val="clear" w:color="auto" w:fill="auto"/>
            <w:vAlign w:val="center"/>
          </w:tcPr>
          <w:p w14:paraId="7C9C7375"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1.950.815</w:t>
            </w:r>
          </w:p>
        </w:tc>
      </w:tr>
      <w:tr w:rsidR="00F24E18" w:rsidRPr="00821399" w14:paraId="47C9B4F2" w14:textId="77777777" w:rsidTr="000E18B5">
        <w:trPr>
          <w:trHeight w:val="300"/>
        </w:trPr>
        <w:tc>
          <w:tcPr>
            <w:tcW w:w="606" w:type="pct"/>
            <w:shd w:val="clear" w:color="auto" w:fill="00B0F0"/>
            <w:noWrap/>
            <w:vAlign w:val="bottom"/>
            <w:hideMark/>
          </w:tcPr>
          <w:p w14:paraId="220A260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7A62AC2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3673D998"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156F6C52"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6E9B3FE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54F08BD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2B32879C"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w:t>
            </w:r>
          </w:p>
        </w:tc>
        <w:tc>
          <w:tcPr>
            <w:tcW w:w="1558" w:type="pct"/>
            <w:shd w:val="clear" w:color="auto" w:fill="auto"/>
            <w:vAlign w:val="center"/>
          </w:tcPr>
          <w:p w14:paraId="4C893BD8"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1.167.527</w:t>
            </w:r>
          </w:p>
        </w:tc>
      </w:tr>
      <w:tr w:rsidR="00F24E18" w:rsidRPr="00821399" w14:paraId="37D44CC7" w14:textId="77777777" w:rsidTr="000E18B5">
        <w:trPr>
          <w:trHeight w:val="300"/>
        </w:trPr>
        <w:tc>
          <w:tcPr>
            <w:tcW w:w="606" w:type="pct"/>
            <w:shd w:val="clear" w:color="auto" w:fill="00B0F0"/>
            <w:noWrap/>
            <w:vAlign w:val="bottom"/>
            <w:hideMark/>
          </w:tcPr>
          <w:p w14:paraId="202F7BD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58AE8500"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3A313D0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0DFFCC5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294F6E1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67402B12"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23C137E5"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3</w:t>
            </w:r>
          </w:p>
        </w:tc>
        <w:tc>
          <w:tcPr>
            <w:tcW w:w="1558" w:type="pct"/>
            <w:shd w:val="clear" w:color="auto" w:fill="auto"/>
            <w:vAlign w:val="center"/>
          </w:tcPr>
          <w:p w14:paraId="468A0450"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111.893</w:t>
            </w:r>
          </w:p>
        </w:tc>
      </w:tr>
      <w:tr w:rsidR="00F24E18" w:rsidRPr="00821399" w14:paraId="51E4075A" w14:textId="77777777" w:rsidTr="000E18B5">
        <w:trPr>
          <w:trHeight w:val="300"/>
        </w:trPr>
        <w:tc>
          <w:tcPr>
            <w:tcW w:w="606" w:type="pct"/>
            <w:shd w:val="clear" w:color="auto" w:fill="auto"/>
            <w:noWrap/>
            <w:vAlign w:val="bottom"/>
            <w:hideMark/>
          </w:tcPr>
          <w:p w14:paraId="66922E5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11093E84"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2AAFFF2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3CDD6E83"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auto"/>
            <w:noWrap/>
            <w:vAlign w:val="bottom"/>
            <w:hideMark/>
          </w:tcPr>
          <w:p w14:paraId="15E5798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1F73CCA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387F7E6F"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w:t>
            </w:r>
          </w:p>
        </w:tc>
        <w:tc>
          <w:tcPr>
            <w:tcW w:w="1558" w:type="pct"/>
            <w:shd w:val="clear" w:color="auto" w:fill="auto"/>
            <w:vAlign w:val="center"/>
          </w:tcPr>
          <w:p w14:paraId="0E2238A7"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73.800</w:t>
            </w:r>
          </w:p>
        </w:tc>
      </w:tr>
      <w:tr w:rsidR="00F24E18" w:rsidRPr="00821399" w14:paraId="1095FBA8" w14:textId="77777777" w:rsidTr="000E18B5">
        <w:trPr>
          <w:trHeight w:val="300"/>
        </w:trPr>
        <w:tc>
          <w:tcPr>
            <w:tcW w:w="606" w:type="pct"/>
            <w:shd w:val="clear" w:color="auto" w:fill="auto"/>
            <w:noWrap/>
            <w:vAlign w:val="bottom"/>
            <w:hideMark/>
          </w:tcPr>
          <w:p w14:paraId="33FAF9B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3E4B8CA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7360611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537ADCC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2B744AC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2766A77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28343A68"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2</w:t>
            </w:r>
          </w:p>
        </w:tc>
        <w:tc>
          <w:tcPr>
            <w:tcW w:w="1558" w:type="pct"/>
            <w:shd w:val="clear" w:color="auto" w:fill="auto"/>
            <w:vAlign w:val="center"/>
          </w:tcPr>
          <w:p w14:paraId="76B17302"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161.398</w:t>
            </w:r>
          </w:p>
        </w:tc>
      </w:tr>
      <w:tr w:rsidR="00F24E18" w:rsidRPr="00821399" w14:paraId="686FCBDA" w14:textId="77777777" w:rsidTr="000E18B5">
        <w:trPr>
          <w:trHeight w:val="300"/>
        </w:trPr>
        <w:tc>
          <w:tcPr>
            <w:tcW w:w="606" w:type="pct"/>
            <w:shd w:val="clear" w:color="auto" w:fill="00B0F0"/>
            <w:noWrap/>
            <w:vAlign w:val="bottom"/>
            <w:hideMark/>
          </w:tcPr>
          <w:p w14:paraId="64E40D1B"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00B0F0"/>
            <w:noWrap/>
            <w:vAlign w:val="bottom"/>
            <w:hideMark/>
          </w:tcPr>
          <w:p w14:paraId="1BD7C40A"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00B0F0"/>
            <w:noWrap/>
            <w:vAlign w:val="bottom"/>
            <w:hideMark/>
          </w:tcPr>
          <w:p w14:paraId="3F887771"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auto"/>
            <w:noWrap/>
            <w:vAlign w:val="bottom"/>
            <w:hideMark/>
          </w:tcPr>
          <w:p w14:paraId="715B12A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4DE75A06"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3F756B6D"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16A706DF"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w:t>
            </w:r>
          </w:p>
        </w:tc>
        <w:tc>
          <w:tcPr>
            <w:tcW w:w="1558" w:type="pct"/>
            <w:shd w:val="clear" w:color="auto" w:fill="auto"/>
            <w:vAlign w:val="center"/>
          </w:tcPr>
          <w:p w14:paraId="20BF5D6C"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8.421</w:t>
            </w:r>
          </w:p>
        </w:tc>
      </w:tr>
      <w:tr w:rsidR="00F24E18" w:rsidRPr="00242E41" w14:paraId="4140E47F" w14:textId="77777777" w:rsidTr="000E18B5">
        <w:trPr>
          <w:trHeight w:val="300"/>
        </w:trPr>
        <w:tc>
          <w:tcPr>
            <w:tcW w:w="606" w:type="pct"/>
            <w:shd w:val="clear" w:color="auto" w:fill="00B0F0"/>
            <w:noWrap/>
            <w:vAlign w:val="bottom"/>
            <w:hideMark/>
          </w:tcPr>
          <w:p w14:paraId="23EC5F4F"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3E112FDE"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600" w:type="pct"/>
            <w:shd w:val="clear" w:color="auto" w:fill="auto"/>
            <w:noWrap/>
            <w:vAlign w:val="bottom"/>
            <w:hideMark/>
          </w:tcPr>
          <w:p w14:paraId="34662D2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578" w:type="pct"/>
            <w:shd w:val="clear" w:color="auto" w:fill="00B0F0"/>
            <w:noWrap/>
            <w:vAlign w:val="bottom"/>
            <w:hideMark/>
          </w:tcPr>
          <w:p w14:paraId="4EDEA195"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97" w:type="pct"/>
            <w:shd w:val="clear" w:color="auto" w:fill="00B0F0"/>
            <w:noWrap/>
            <w:vAlign w:val="bottom"/>
            <w:hideMark/>
          </w:tcPr>
          <w:p w14:paraId="4DE9B35C"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344" w:type="pct"/>
            <w:shd w:val="clear" w:color="auto" w:fill="auto"/>
            <w:noWrap/>
            <w:vAlign w:val="bottom"/>
            <w:hideMark/>
          </w:tcPr>
          <w:p w14:paraId="1992AF49" w14:textId="77777777" w:rsidR="00F24E18" w:rsidRPr="00821399" w:rsidRDefault="00F24E18" w:rsidP="000E18B5">
            <w:pPr>
              <w:spacing w:after="0" w:line="240" w:lineRule="auto"/>
              <w:rPr>
                <w:rFonts w:ascii="Arial" w:eastAsia="Times New Roman" w:hAnsi="Arial" w:cs="Arial"/>
                <w:color w:val="000000"/>
                <w:sz w:val="18"/>
                <w:szCs w:val="18"/>
                <w:lang w:eastAsia="sl-SI"/>
              </w:rPr>
            </w:pPr>
            <w:r w:rsidRPr="00821399">
              <w:rPr>
                <w:rFonts w:ascii="Arial" w:eastAsia="Times New Roman" w:hAnsi="Arial" w:cs="Arial"/>
                <w:color w:val="000000"/>
                <w:sz w:val="18"/>
                <w:szCs w:val="18"/>
                <w:lang w:eastAsia="sl-SI"/>
              </w:rPr>
              <w:t> </w:t>
            </w:r>
          </w:p>
        </w:tc>
        <w:tc>
          <w:tcPr>
            <w:tcW w:w="473" w:type="pct"/>
            <w:shd w:val="clear" w:color="auto" w:fill="auto"/>
            <w:vAlign w:val="center"/>
          </w:tcPr>
          <w:p w14:paraId="2B5B3559"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1</w:t>
            </w:r>
          </w:p>
        </w:tc>
        <w:tc>
          <w:tcPr>
            <w:tcW w:w="1558" w:type="pct"/>
            <w:shd w:val="clear" w:color="auto" w:fill="auto"/>
            <w:vAlign w:val="center"/>
          </w:tcPr>
          <w:p w14:paraId="651A6927" w14:textId="77777777" w:rsidR="00F24E18" w:rsidRPr="00821399" w:rsidRDefault="00F24E18" w:rsidP="000E18B5">
            <w:pPr>
              <w:spacing w:after="0" w:line="240" w:lineRule="auto"/>
              <w:jc w:val="right"/>
              <w:rPr>
                <w:rFonts w:ascii="Arial" w:eastAsia="Times New Roman" w:hAnsi="Arial" w:cs="Arial"/>
                <w:color w:val="000000"/>
                <w:sz w:val="18"/>
                <w:szCs w:val="18"/>
                <w:lang w:eastAsia="sl-SI"/>
              </w:rPr>
            </w:pPr>
            <w:r w:rsidRPr="00821399">
              <w:rPr>
                <w:rFonts w:ascii="Arial" w:hAnsi="Arial" w:cs="Arial"/>
                <w:color w:val="000000"/>
                <w:sz w:val="18"/>
                <w:szCs w:val="18"/>
              </w:rPr>
              <w:t>8.665</w:t>
            </w:r>
          </w:p>
        </w:tc>
      </w:tr>
    </w:tbl>
    <w:p w14:paraId="718AA21E" w14:textId="77777777" w:rsidR="00F24E18" w:rsidRPr="00242E41" w:rsidRDefault="00F24E18" w:rsidP="00F24E18">
      <w:pPr>
        <w:spacing w:after="0" w:line="240" w:lineRule="auto"/>
        <w:rPr>
          <w:rFonts w:ascii="Arial" w:hAnsi="Arial" w:cs="Arial"/>
          <w:sz w:val="20"/>
          <w:szCs w:val="20"/>
          <w:highlight w:val="yellow"/>
        </w:rPr>
      </w:pPr>
    </w:p>
    <w:p w14:paraId="6E7A4BC3" w14:textId="77777777" w:rsidR="00F24E18" w:rsidRPr="003F6A19" w:rsidRDefault="00F24E18" w:rsidP="00F24E18">
      <w:pPr>
        <w:spacing w:before="120" w:after="0" w:line="240" w:lineRule="auto"/>
        <w:rPr>
          <w:rFonts w:ascii="Arial" w:hAnsi="Arial" w:cs="Arial"/>
          <w:sz w:val="20"/>
          <w:szCs w:val="20"/>
        </w:rPr>
      </w:pPr>
      <w:r w:rsidRPr="003F6A19">
        <w:rPr>
          <w:rFonts w:ascii="Arial" w:hAnsi="Arial" w:cs="Arial"/>
          <w:sz w:val="20"/>
          <w:szCs w:val="20"/>
        </w:rPr>
        <w:t>Preglednica 103: Število naročnikov glede na kategorijo naročnika</w:t>
      </w:r>
    </w:p>
    <w:p w14:paraId="64B96336" w14:textId="77777777" w:rsidR="00F24E18" w:rsidRPr="00242E41" w:rsidRDefault="00F24E18" w:rsidP="00F24E18">
      <w:pPr>
        <w:spacing w:after="0" w:line="240" w:lineRule="auto"/>
        <w:rPr>
          <w:rFonts w:ascii="Arial" w:hAnsi="Arial" w:cs="Arial"/>
          <w:sz w:val="20"/>
          <w:szCs w:val="20"/>
          <w:highlight w:val="yellow"/>
        </w:rPr>
      </w:pPr>
    </w:p>
    <w:tbl>
      <w:tblPr>
        <w:tblW w:w="5000" w:type="pct"/>
        <w:tblCellMar>
          <w:left w:w="70" w:type="dxa"/>
          <w:right w:w="70" w:type="dxa"/>
        </w:tblCellMar>
        <w:tblLook w:val="04A0" w:firstRow="1" w:lastRow="0" w:firstColumn="1" w:lastColumn="0" w:noHBand="0" w:noVBand="1"/>
      </w:tblPr>
      <w:tblGrid>
        <w:gridCol w:w="2379"/>
        <w:gridCol w:w="1146"/>
        <w:gridCol w:w="1147"/>
        <w:gridCol w:w="969"/>
        <w:gridCol w:w="1292"/>
        <w:gridCol w:w="1094"/>
        <w:gridCol w:w="1147"/>
      </w:tblGrid>
      <w:tr w:rsidR="00F24E18" w:rsidRPr="00233BED" w14:paraId="696AA90D" w14:textId="77777777" w:rsidTr="000E18B5">
        <w:trPr>
          <w:trHeight w:val="255"/>
        </w:trPr>
        <w:tc>
          <w:tcPr>
            <w:tcW w:w="12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FF3B2" w14:textId="77777777" w:rsidR="00F24E18" w:rsidRPr="00233BED" w:rsidRDefault="00F24E18" w:rsidP="000E18B5">
            <w:pPr>
              <w:spacing w:after="0" w:line="240" w:lineRule="auto"/>
              <w:jc w:val="center"/>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Kategorija naročnika</w:t>
            </w:r>
          </w:p>
        </w:tc>
        <w:tc>
          <w:tcPr>
            <w:tcW w:w="62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D4CEC6" w14:textId="77777777" w:rsidR="00F24E18" w:rsidRPr="00233BED" w:rsidRDefault="00F24E18" w:rsidP="000E18B5">
            <w:pPr>
              <w:spacing w:after="0" w:line="240" w:lineRule="auto"/>
              <w:jc w:val="center"/>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Št. naročnikov, ki so oddali vsaj eno zeleno naročilo</w:t>
            </w:r>
          </w:p>
        </w:tc>
        <w:tc>
          <w:tcPr>
            <w:tcW w:w="62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20D7D57" w14:textId="77777777" w:rsidR="00F24E18" w:rsidRPr="00233BED" w:rsidRDefault="00F24E18" w:rsidP="000E18B5">
            <w:pPr>
              <w:spacing w:after="0" w:line="240" w:lineRule="auto"/>
              <w:jc w:val="center"/>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Št. naročnikov, ki so oddali vsaj eno naročilo, a nobeno ni bilo zeleno</w:t>
            </w:r>
          </w:p>
        </w:tc>
        <w:tc>
          <w:tcPr>
            <w:tcW w:w="5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8E2C4D" w14:textId="77777777" w:rsidR="00F24E18" w:rsidRPr="00233BED" w:rsidRDefault="00F24E18" w:rsidP="000E18B5">
            <w:pPr>
              <w:spacing w:after="0" w:line="240" w:lineRule="auto"/>
              <w:jc w:val="center"/>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Št. zelenih naročil</w:t>
            </w:r>
          </w:p>
        </w:tc>
        <w:tc>
          <w:tcPr>
            <w:tcW w:w="70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465A92" w14:textId="77777777" w:rsidR="00F24E18" w:rsidRPr="00233BED" w:rsidRDefault="00F24E18" w:rsidP="000E18B5">
            <w:pPr>
              <w:spacing w:after="0" w:line="240" w:lineRule="auto"/>
              <w:jc w:val="center"/>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Vrednost zelenih naročil</w:t>
            </w:r>
          </w:p>
        </w:tc>
        <w:tc>
          <w:tcPr>
            <w:tcW w:w="59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0D604A" w14:textId="77777777" w:rsidR="00F24E18" w:rsidRPr="00233BED" w:rsidRDefault="00F24E18" w:rsidP="000E18B5">
            <w:pPr>
              <w:spacing w:after="0" w:line="240" w:lineRule="auto"/>
              <w:jc w:val="center"/>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Skupno število naročnikov</w:t>
            </w:r>
          </w:p>
        </w:tc>
        <w:tc>
          <w:tcPr>
            <w:tcW w:w="62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D33DB24" w14:textId="77777777" w:rsidR="00F24E18" w:rsidRPr="00233BED" w:rsidRDefault="00F24E18" w:rsidP="000E18B5">
            <w:pPr>
              <w:spacing w:after="0" w:line="240" w:lineRule="auto"/>
              <w:jc w:val="center"/>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Delež v št. naročnikov, ki so oddali vsaj eno zeleno naročilo</w:t>
            </w:r>
          </w:p>
        </w:tc>
      </w:tr>
      <w:tr w:rsidR="00F24E18" w:rsidRPr="00233BED" w14:paraId="111DE8B0"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auto"/>
            <w:vAlign w:val="center"/>
            <w:hideMark/>
          </w:tcPr>
          <w:p w14:paraId="3BE441AC" w14:textId="77777777" w:rsidR="00F24E18" w:rsidRPr="00233BED" w:rsidRDefault="00F24E18" w:rsidP="000E18B5">
            <w:pPr>
              <w:spacing w:after="0" w:line="240" w:lineRule="auto"/>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Organi Republike Slovenije</w:t>
            </w:r>
          </w:p>
        </w:tc>
        <w:tc>
          <w:tcPr>
            <w:tcW w:w="625" w:type="pct"/>
            <w:tcBorders>
              <w:top w:val="nil"/>
              <w:left w:val="nil"/>
              <w:bottom w:val="single" w:sz="4" w:space="0" w:color="auto"/>
              <w:right w:val="single" w:sz="4" w:space="0" w:color="auto"/>
            </w:tcBorders>
            <w:shd w:val="clear" w:color="auto" w:fill="auto"/>
            <w:vAlign w:val="center"/>
            <w:hideMark/>
          </w:tcPr>
          <w:p w14:paraId="3EB8372E"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32</w:t>
            </w:r>
          </w:p>
        </w:tc>
        <w:tc>
          <w:tcPr>
            <w:tcW w:w="625" w:type="pct"/>
            <w:tcBorders>
              <w:top w:val="nil"/>
              <w:left w:val="nil"/>
              <w:bottom w:val="single" w:sz="4" w:space="0" w:color="auto"/>
              <w:right w:val="single" w:sz="4" w:space="0" w:color="auto"/>
            </w:tcBorders>
            <w:shd w:val="clear" w:color="auto" w:fill="auto"/>
            <w:vAlign w:val="center"/>
            <w:hideMark/>
          </w:tcPr>
          <w:p w14:paraId="3C29B56E"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45</w:t>
            </w:r>
          </w:p>
        </w:tc>
        <w:tc>
          <w:tcPr>
            <w:tcW w:w="528" w:type="pct"/>
            <w:tcBorders>
              <w:top w:val="nil"/>
              <w:left w:val="nil"/>
              <w:bottom w:val="single" w:sz="4" w:space="0" w:color="auto"/>
              <w:right w:val="single" w:sz="4" w:space="0" w:color="auto"/>
            </w:tcBorders>
            <w:shd w:val="clear" w:color="auto" w:fill="auto"/>
            <w:vAlign w:val="center"/>
            <w:hideMark/>
          </w:tcPr>
          <w:p w14:paraId="27220F02"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367</w:t>
            </w:r>
          </w:p>
        </w:tc>
        <w:tc>
          <w:tcPr>
            <w:tcW w:w="704" w:type="pct"/>
            <w:tcBorders>
              <w:top w:val="nil"/>
              <w:left w:val="nil"/>
              <w:bottom w:val="single" w:sz="4" w:space="0" w:color="auto"/>
              <w:right w:val="single" w:sz="4" w:space="0" w:color="auto"/>
            </w:tcBorders>
            <w:shd w:val="clear" w:color="auto" w:fill="auto"/>
            <w:vAlign w:val="center"/>
            <w:hideMark/>
          </w:tcPr>
          <w:p w14:paraId="60A69598"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856.910.954</w:t>
            </w:r>
          </w:p>
        </w:tc>
        <w:tc>
          <w:tcPr>
            <w:tcW w:w="596" w:type="pct"/>
            <w:tcBorders>
              <w:top w:val="nil"/>
              <w:left w:val="nil"/>
              <w:bottom w:val="single" w:sz="4" w:space="0" w:color="auto"/>
              <w:right w:val="single" w:sz="4" w:space="0" w:color="auto"/>
            </w:tcBorders>
            <w:shd w:val="clear" w:color="auto" w:fill="auto"/>
            <w:vAlign w:val="center"/>
            <w:hideMark/>
          </w:tcPr>
          <w:p w14:paraId="71C5C833"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77</w:t>
            </w:r>
          </w:p>
        </w:tc>
        <w:tc>
          <w:tcPr>
            <w:tcW w:w="625" w:type="pct"/>
            <w:tcBorders>
              <w:top w:val="nil"/>
              <w:left w:val="nil"/>
              <w:bottom w:val="single" w:sz="4" w:space="0" w:color="auto"/>
              <w:right w:val="single" w:sz="4" w:space="0" w:color="auto"/>
            </w:tcBorders>
            <w:shd w:val="clear" w:color="auto" w:fill="auto"/>
            <w:noWrap/>
            <w:vAlign w:val="center"/>
            <w:hideMark/>
          </w:tcPr>
          <w:p w14:paraId="4B9E4084"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41,56 %</w:t>
            </w:r>
          </w:p>
        </w:tc>
      </w:tr>
      <w:tr w:rsidR="00F24E18" w:rsidRPr="00233BED" w14:paraId="3E4EA27E"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auto"/>
            <w:vAlign w:val="center"/>
            <w:hideMark/>
          </w:tcPr>
          <w:p w14:paraId="43746E85" w14:textId="77777777" w:rsidR="00F24E18" w:rsidRPr="00233BED" w:rsidRDefault="00F24E18" w:rsidP="000E18B5">
            <w:pPr>
              <w:spacing w:after="0" w:line="240" w:lineRule="auto"/>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Samoupravne lokalne skupnosti</w:t>
            </w:r>
          </w:p>
        </w:tc>
        <w:tc>
          <w:tcPr>
            <w:tcW w:w="625" w:type="pct"/>
            <w:tcBorders>
              <w:top w:val="nil"/>
              <w:left w:val="nil"/>
              <w:bottom w:val="single" w:sz="4" w:space="0" w:color="auto"/>
              <w:right w:val="single" w:sz="4" w:space="0" w:color="auto"/>
            </w:tcBorders>
            <w:shd w:val="clear" w:color="auto" w:fill="auto"/>
            <w:vAlign w:val="center"/>
            <w:hideMark/>
          </w:tcPr>
          <w:p w14:paraId="64C0C233"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127</w:t>
            </w:r>
          </w:p>
        </w:tc>
        <w:tc>
          <w:tcPr>
            <w:tcW w:w="625" w:type="pct"/>
            <w:tcBorders>
              <w:top w:val="nil"/>
              <w:left w:val="nil"/>
              <w:bottom w:val="single" w:sz="4" w:space="0" w:color="auto"/>
              <w:right w:val="single" w:sz="4" w:space="0" w:color="auto"/>
            </w:tcBorders>
            <w:shd w:val="clear" w:color="auto" w:fill="auto"/>
            <w:vAlign w:val="center"/>
            <w:hideMark/>
          </w:tcPr>
          <w:p w14:paraId="51E70F38"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73</w:t>
            </w:r>
          </w:p>
        </w:tc>
        <w:tc>
          <w:tcPr>
            <w:tcW w:w="528" w:type="pct"/>
            <w:tcBorders>
              <w:top w:val="nil"/>
              <w:left w:val="nil"/>
              <w:bottom w:val="single" w:sz="4" w:space="0" w:color="auto"/>
              <w:right w:val="single" w:sz="4" w:space="0" w:color="auto"/>
            </w:tcBorders>
            <w:shd w:val="clear" w:color="auto" w:fill="auto"/>
            <w:vAlign w:val="center"/>
            <w:hideMark/>
          </w:tcPr>
          <w:p w14:paraId="283FB861"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739</w:t>
            </w:r>
          </w:p>
        </w:tc>
        <w:tc>
          <w:tcPr>
            <w:tcW w:w="704" w:type="pct"/>
            <w:tcBorders>
              <w:top w:val="nil"/>
              <w:left w:val="nil"/>
              <w:bottom w:val="single" w:sz="4" w:space="0" w:color="auto"/>
              <w:right w:val="single" w:sz="4" w:space="0" w:color="auto"/>
            </w:tcBorders>
            <w:shd w:val="clear" w:color="auto" w:fill="auto"/>
            <w:vAlign w:val="center"/>
            <w:hideMark/>
          </w:tcPr>
          <w:p w14:paraId="2F911D55"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446.223.861</w:t>
            </w:r>
          </w:p>
        </w:tc>
        <w:tc>
          <w:tcPr>
            <w:tcW w:w="596" w:type="pct"/>
            <w:tcBorders>
              <w:top w:val="nil"/>
              <w:left w:val="nil"/>
              <w:bottom w:val="single" w:sz="4" w:space="0" w:color="auto"/>
              <w:right w:val="single" w:sz="4" w:space="0" w:color="auto"/>
            </w:tcBorders>
            <w:shd w:val="clear" w:color="auto" w:fill="auto"/>
            <w:vAlign w:val="center"/>
            <w:hideMark/>
          </w:tcPr>
          <w:p w14:paraId="6D1F1347"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200</w:t>
            </w:r>
          </w:p>
        </w:tc>
        <w:tc>
          <w:tcPr>
            <w:tcW w:w="625" w:type="pct"/>
            <w:tcBorders>
              <w:top w:val="nil"/>
              <w:left w:val="nil"/>
              <w:bottom w:val="single" w:sz="4" w:space="0" w:color="auto"/>
              <w:right w:val="single" w:sz="4" w:space="0" w:color="auto"/>
            </w:tcBorders>
            <w:shd w:val="clear" w:color="auto" w:fill="auto"/>
            <w:noWrap/>
            <w:vAlign w:val="center"/>
            <w:hideMark/>
          </w:tcPr>
          <w:p w14:paraId="5C337CFB"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63,50 %</w:t>
            </w:r>
          </w:p>
        </w:tc>
      </w:tr>
      <w:tr w:rsidR="00F24E18" w:rsidRPr="00233BED" w14:paraId="0FFB6C8A"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auto"/>
            <w:vAlign w:val="center"/>
            <w:hideMark/>
          </w:tcPr>
          <w:p w14:paraId="69BC9888" w14:textId="77777777" w:rsidR="00F24E18" w:rsidRPr="00233BED" w:rsidRDefault="00F24E18" w:rsidP="000E18B5">
            <w:pPr>
              <w:spacing w:after="0" w:line="240" w:lineRule="auto"/>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Javni skladi</w:t>
            </w:r>
          </w:p>
        </w:tc>
        <w:tc>
          <w:tcPr>
            <w:tcW w:w="625" w:type="pct"/>
            <w:tcBorders>
              <w:top w:val="nil"/>
              <w:left w:val="nil"/>
              <w:bottom w:val="single" w:sz="4" w:space="0" w:color="auto"/>
              <w:right w:val="single" w:sz="4" w:space="0" w:color="auto"/>
            </w:tcBorders>
            <w:shd w:val="clear" w:color="auto" w:fill="auto"/>
            <w:vAlign w:val="center"/>
            <w:hideMark/>
          </w:tcPr>
          <w:p w14:paraId="033494AB"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5</w:t>
            </w:r>
          </w:p>
        </w:tc>
        <w:tc>
          <w:tcPr>
            <w:tcW w:w="625" w:type="pct"/>
            <w:tcBorders>
              <w:top w:val="nil"/>
              <w:left w:val="nil"/>
              <w:bottom w:val="single" w:sz="4" w:space="0" w:color="auto"/>
              <w:right w:val="single" w:sz="4" w:space="0" w:color="auto"/>
            </w:tcBorders>
            <w:shd w:val="clear" w:color="auto" w:fill="auto"/>
            <w:vAlign w:val="center"/>
            <w:hideMark/>
          </w:tcPr>
          <w:p w14:paraId="13380FE2"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4</w:t>
            </w:r>
          </w:p>
        </w:tc>
        <w:tc>
          <w:tcPr>
            <w:tcW w:w="528" w:type="pct"/>
            <w:tcBorders>
              <w:top w:val="nil"/>
              <w:left w:val="nil"/>
              <w:bottom w:val="single" w:sz="4" w:space="0" w:color="auto"/>
              <w:right w:val="single" w:sz="4" w:space="0" w:color="auto"/>
            </w:tcBorders>
            <w:shd w:val="clear" w:color="auto" w:fill="auto"/>
            <w:vAlign w:val="center"/>
            <w:hideMark/>
          </w:tcPr>
          <w:p w14:paraId="68C60793"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8</w:t>
            </w:r>
          </w:p>
        </w:tc>
        <w:tc>
          <w:tcPr>
            <w:tcW w:w="704" w:type="pct"/>
            <w:tcBorders>
              <w:top w:val="nil"/>
              <w:left w:val="nil"/>
              <w:bottom w:val="single" w:sz="4" w:space="0" w:color="auto"/>
              <w:right w:val="single" w:sz="4" w:space="0" w:color="auto"/>
            </w:tcBorders>
            <w:shd w:val="clear" w:color="auto" w:fill="auto"/>
            <w:vAlign w:val="center"/>
            <w:hideMark/>
          </w:tcPr>
          <w:p w14:paraId="101D8545"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997.865</w:t>
            </w:r>
          </w:p>
        </w:tc>
        <w:tc>
          <w:tcPr>
            <w:tcW w:w="596" w:type="pct"/>
            <w:tcBorders>
              <w:top w:val="nil"/>
              <w:left w:val="nil"/>
              <w:bottom w:val="single" w:sz="4" w:space="0" w:color="auto"/>
              <w:right w:val="single" w:sz="4" w:space="0" w:color="auto"/>
            </w:tcBorders>
            <w:shd w:val="clear" w:color="auto" w:fill="auto"/>
            <w:vAlign w:val="center"/>
            <w:hideMark/>
          </w:tcPr>
          <w:p w14:paraId="578E6D00"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9</w:t>
            </w:r>
          </w:p>
        </w:tc>
        <w:tc>
          <w:tcPr>
            <w:tcW w:w="625" w:type="pct"/>
            <w:tcBorders>
              <w:top w:val="nil"/>
              <w:left w:val="nil"/>
              <w:bottom w:val="single" w:sz="4" w:space="0" w:color="auto"/>
              <w:right w:val="single" w:sz="4" w:space="0" w:color="auto"/>
            </w:tcBorders>
            <w:shd w:val="clear" w:color="auto" w:fill="auto"/>
            <w:noWrap/>
            <w:vAlign w:val="center"/>
            <w:hideMark/>
          </w:tcPr>
          <w:p w14:paraId="0DF8770A"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55,56 %</w:t>
            </w:r>
          </w:p>
        </w:tc>
      </w:tr>
      <w:tr w:rsidR="00F24E18" w:rsidRPr="00233BED" w14:paraId="4C2FCA5B"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auto"/>
            <w:vAlign w:val="center"/>
            <w:hideMark/>
          </w:tcPr>
          <w:p w14:paraId="3B7F9C8F" w14:textId="77777777" w:rsidR="00F24E18" w:rsidRPr="00233BED" w:rsidRDefault="00F24E18" w:rsidP="000E18B5">
            <w:pPr>
              <w:spacing w:after="0" w:line="240" w:lineRule="auto"/>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Javne agencije</w:t>
            </w:r>
          </w:p>
        </w:tc>
        <w:tc>
          <w:tcPr>
            <w:tcW w:w="625" w:type="pct"/>
            <w:tcBorders>
              <w:top w:val="nil"/>
              <w:left w:val="nil"/>
              <w:bottom w:val="single" w:sz="4" w:space="0" w:color="auto"/>
              <w:right w:val="single" w:sz="4" w:space="0" w:color="auto"/>
            </w:tcBorders>
            <w:shd w:val="clear" w:color="auto" w:fill="auto"/>
            <w:vAlign w:val="center"/>
            <w:hideMark/>
          </w:tcPr>
          <w:p w14:paraId="29A5FD28"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7</w:t>
            </w:r>
          </w:p>
        </w:tc>
        <w:tc>
          <w:tcPr>
            <w:tcW w:w="625" w:type="pct"/>
            <w:tcBorders>
              <w:top w:val="nil"/>
              <w:left w:val="nil"/>
              <w:bottom w:val="single" w:sz="4" w:space="0" w:color="auto"/>
              <w:right w:val="single" w:sz="4" w:space="0" w:color="auto"/>
            </w:tcBorders>
            <w:shd w:val="clear" w:color="auto" w:fill="auto"/>
            <w:vAlign w:val="center"/>
            <w:hideMark/>
          </w:tcPr>
          <w:p w14:paraId="5FEDADE3"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7</w:t>
            </w:r>
          </w:p>
        </w:tc>
        <w:tc>
          <w:tcPr>
            <w:tcW w:w="528" w:type="pct"/>
            <w:tcBorders>
              <w:top w:val="nil"/>
              <w:left w:val="nil"/>
              <w:bottom w:val="single" w:sz="4" w:space="0" w:color="auto"/>
              <w:right w:val="single" w:sz="4" w:space="0" w:color="auto"/>
            </w:tcBorders>
            <w:shd w:val="clear" w:color="auto" w:fill="auto"/>
            <w:vAlign w:val="center"/>
            <w:hideMark/>
          </w:tcPr>
          <w:p w14:paraId="3C34CCCF"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28</w:t>
            </w:r>
          </w:p>
        </w:tc>
        <w:tc>
          <w:tcPr>
            <w:tcW w:w="704" w:type="pct"/>
            <w:tcBorders>
              <w:top w:val="nil"/>
              <w:left w:val="nil"/>
              <w:bottom w:val="single" w:sz="4" w:space="0" w:color="auto"/>
              <w:right w:val="single" w:sz="4" w:space="0" w:color="auto"/>
            </w:tcBorders>
            <w:shd w:val="clear" w:color="auto" w:fill="auto"/>
            <w:vAlign w:val="center"/>
            <w:hideMark/>
          </w:tcPr>
          <w:p w14:paraId="50A1F7E4"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3.343.436</w:t>
            </w:r>
          </w:p>
        </w:tc>
        <w:tc>
          <w:tcPr>
            <w:tcW w:w="596" w:type="pct"/>
            <w:tcBorders>
              <w:top w:val="nil"/>
              <w:left w:val="nil"/>
              <w:bottom w:val="single" w:sz="4" w:space="0" w:color="auto"/>
              <w:right w:val="single" w:sz="4" w:space="0" w:color="auto"/>
            </w:tcBorders>
            <w:shd w:val="clear" w:color="auto" w:fill="auto"/>
            <w:vAlign w:val="center"/>
            <w:hideMark/>
          </w:tcPr>
          <w:p w14:paraId="70AFC5BC"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14</w:t>
            </w:r>
          </w:p>
        </w:tc>
        <w:tc>
          <w:tcPr>
            <w:tcW w:w="625" w:type="pct"/>
            <w:tcBorders>
              <w:top w:val="nil"/>
              <w:left w:val="nil"/>
              <w:bottom w:val="single" w:sz="4" w:space="0" w:color="auto"/>
              <w:right w:val="single" w:sz="4" w:space="0" w:color="auto"/>
            </w:tcBorders>
            <w:shd w:val="clear" w:color="auto" w:fill="auto"/>
            <w:noWrap/>
            <w:vAlign w:val="center"/>
            <w:hideMark/>
          </w:tcPr>
          <w:p w14:paraId="2241AA52"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50,00 %</w:t>
            </w:r>
          </w:p>
        </w:tc>
      </w:tr>
      <w:tr w:rsidR="00F24E18" w:rsidRPr="00233BED" w14:paraId="71CC4844"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auto"/>
            <w:vAlign w:val="center"/>
            <w:hideMark/>
          </w:tcPr>
          <w:p w14:paraId="6072D23C" w14:textId="77777777" w:rsidR="00F24E18" w:rsidRPr="00233BED" w:rsidRDefault="00F24E18" w:rsidP="000E18B5">
            <w:pPr>
              <w:spacing w:after="0" w:line="240" w:lineRule="auto"/>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Javni zavodi</w:t>
            </w:r>
          </w:p>
        </w:tc>
        <w:tc>
          <w:tcPr>
            <w:tcW w:w="625" w:type="pct"/>
            <w:tcBorders>
              <w:top w:val="nil"/>
              <w:left w:val="nil"/>
              <w:bottom w:val="single" w:sz="4" w:space="0" w:color="auto"/>
              <w:right w:val="single" w:sz="4" w:space="0" w:color="auto"/>
            </w:tcBorders>
            <w:shd w:val="clear" w:color="auto" w:fill="auto"/>
            <w:vAlign w:val="center"/>
            <w:hideMark/>
          </w:tcPr>
          <w:p w14:paraId="2FF82515"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325</w:t>
            </w:r>
          </w:p>
        </w:tc>
        <w:tc>
          <w:tcPr>
            <w:tcW w:w="625" w:type="pct"/>
            <w:tcBorders>
              <w:top w:val="nil"/>
              <w:left w:val="nil"/>
              <w:bottom w:val="single" w:sz="4" w:space="0" w:color="auto"/>
              <w:right w:val="single" w:sz="4" w:space="0" w:color="auto"/>
            </w:tcBorders>
            <w:shd w:val="clear" w:color="auto" w:fill="auto"/>
            <w:vAlign w:val="center"/>
            <w:hideMark/>
          </w:tcPr>
          <w:p w14:paraId="5DB375F0"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168</w:t>
            </w:r>
          </w:p>
        </w:tc>
        <w:tc>
          <w:tcPr>
            <w:tcW w:w="528" w:type="pct"/>
            <w:tcBorders>
              <w:top w:val="nil"/>
              <w:left w:val="nil"/>
              <w:bottom w:val="single" w:sz="4" w:space="0" w:color="auto"/>
              <w:right w:val="single" w:sz="4" w:space="0" w:color="auto"/>
            </w:tcBorders>
            <w:shd w:val="clear" w:color="auto" w:fill="auto"/>
            <w:vAlign w:val="center"/>
            <w:hideMark/>
          </w:tcPr>
          <w:p w14:paraId="48C053D3"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3.240</w:t>
            </w:r>
          </w:p>
        </w:tc>
        <w:tc>
          <w:tcPr>
            <w:tcW w:w="704" w:type="pct"/>
            <w:tcBorders>
              <w:top w:val="nil"/>
              <w:left w:val="nil"/>
              <w:bottom w:val="single" w:sz="4" w:space="0" w:color="auto"/>
              <w:right w:val="single" w:sz="4" w:space="0" w:color="auto"/>
            </w:tcBorders>
            <w:shd w:val="clear" w:color="auto" w:fill="auto"/>
            <w:vAlign w:val="center"/>
            <w:hideMark/>
          </w:tcPr>
          <w:p w14:paraId="155CA51D"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346.184.378</w:t>
            </w:r>
          </w:p>
        </w:tc>
        <w:tc>
          <w:tcPr>
            <w:tcW w:w="596" w:type="pct"/>
            <w:tcBorders>
              <w:top w:val="nil"/>
              <w:left w:val="nil"/>
              <w:bottom w:val="single" w:sz="4" w:space="0" w:color="auto"/>
              <w:right w:val="single" w:sz="4" w:space="0" w:color="auto"/>
            </w:tcBorders>
            <w:shd w:val="clear" w:color="auto" w:fill="auto"/>
            <w:vAlign w:val="center"/>
            <w:hideMark/>
          </w:tcPr>
          <w:p w14:paraId="1E370CC0"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493</w:t>
            </w:r>
          </w:p>
        </w:tc>
        <w:tc>
          <w:tcPr>
            <w:tcW w:w="625" w:type="pct"/>
            <w:tcBorders>
              <w:top w:val="nil"/>
              <w:left w:val="nil"/>
              <w:bottom w:val="single" w:sz="4" w:space="0" w:color="auto"/>
              <w:right w:val="single" w:sz="4" w:space="0" w:color="auto"/>
            </w:tcBorders>
            <w:shd w:val="clear" w:color="auto" w:fill="auto"/>
            <w:noWrap/>
            <w:vAlign w:val="center"/>
            <w:hideMark/>
          </w:tcPr>
          <w:p w14:paraId="40F0D29B"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65,92 %</w:t>
            </w:r>
          </w:p>
        </w:tc>
      </w:tr>
      <w:tr w:rsidR="00F24E18" w:rsidRPr="00233BED" w14:paraId="706B6DAA"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auto"/>
            <w:vAlign w:val="center"/>
            <w:hideMark/>
          </w:tcPr>
          <w:p w14:paraId="44FD4F3D" w14:textId="77777777" w:rsidR="00F24E18" w:rsidRPr="00233BED" w:rsidRDefault="00F24E18" w:rsidP="000E18B5">
            <w:pPr>
              <w:spacing w:after="0" w:line="240" w:lineRule="auto"/>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Javni gospodarski zavodi</w:t>
            </w:r>
          </w:p>
        </w:tc>
        <w:tc>
          <w:tcPr>
            <w:tcW w:w="625" w:type="pct"/>
            <w:tcBorders>
              <w:top w:val="nil"/>
              <w:left w:val="nil"/>
              <w:bottom w:val="single" w:sz="4" w:space="0" w:color="auto"/>
              <w:right w:val="single" w:sz="4" w:space="0" w:color="auto"/>
            </w:tcBorders>
            <w:shd w:val="clear" w:color="auto" w:fill="auto"/>
            <w:vAlign w:val="center"/>
            <w:hideMark/>
          </w:tcPr>
          <w:p w14:paraId="44D5BEC9"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5</w:t>
            </w:r>
          </w:p>
        </w:tc>
        <w:tc>
          <w:tcPr>
            <w:tcW w:w="625" w:type="pct"/>
            <w:tcBorders>
              <w:top w:val="nil"/>
              <w:left w:val="nil"/>
              <w:bottom w:val="single" w:sz="4" w:space="0" w:color="auto"/>
              <w:right w:val="single" w:sz="4" w:space="0" w:color="auto"/>
            </w:tcBorders>
            <w:shd w:val="clear" w:color="auto" w:fill="auto"/>
            <w:vAlign w:val="center"/>
            <w:hideMark/>
          </w:tcPr>
          <w:p w14:paraId="570506E0"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7</w:t>
            </w:r>
          </w:p>
        </w:tc>
        <w:tc>
          <w:tcPr>
            <w:tcW w:w="528" w:type="pct"/>
            <w:tcBorders>
              <w:top w:val="nil"/>
              <w:left w:val="nil"/>
              <w:bottom w:val="single" w:sz="4" w:space="0" w:color="auto"/>
              <w:right w:val="single" w:sz="4" w:space="0" w:color="auto"/>
            </w:tcBorders>
            <w:shd w:val="clear" w:color="auto" w:fill="auto"/>
            <w:vAlign w:val="center"/>
            <w:hideMark/>
          </w:tcPr>
          <w:p w14:paraId="76E5A1C1"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8</w:t>
            </w:r>
          </w:p>
        </w:tc>
        <w:tc>
          <w:tcPr>
            <w:tcW w:w="704" w:type="pct"/>
            <w:tcBorders>
              <w:top w:val="nil"/>
              <w:left w:val="nil"/>
              <w:bottom w:val="single" w:sz="4" w:space="0" w:color="auto"/>
              <w:right w:val="single" w:sz="4" w:space="0" w:color="auto"/>
            </w:tcBorders>
            <w:shd w:val="clear" w:color="auto" w:fill="auto"/>
            <w:vAlign w:val="center"/>
            <w:hideMark/>
          </w:tcPr>
          <w:p w14:paraId="627B55E8"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1.715.430</w:t>
            </w:r>
          </w:p>
        </w:tc>
        <w:tc>
          <w:tcPr>
            <w:tcW w:w="596" w:type="pct"/>
            <w:tcBorders>
              <w:top w:val="nil"/>
              <w:left w:val="nil"/>
              <w:bottom w:val="single" w:sz="4" w:space="0" w:color="auto"/>
              <w:right w:val="single" w:sz="4" w:space="0" w:color="auto"/>
            </w:tcBorders>
            <w:shd w:val="clear" w:color="auto" w:fill="auto"/>
            <w:vAlign w:val="center"/>
            <w:hideMark/>
          </w:tcPr>
          <w:p w14:paraId="309B9B98"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12</w:t>
            </w:r>
          </w:p>
        </w:tc>
        <w:tc>
          <w:tcPr>
            <w:tcW w:w="625" w:type="pct"/>
            <w:tcBorders>
              <w:top w:val="nil"/>
              <w:left w:val="nil"/>
              <w:bottom w:val="single" w:sz="4" w:space="0" w:color="auto"/>
              <w:right w:val="single" w:sz="4" w:space="0" w:color="auto"/>
            </w:tcBorders>
            <w:shd w:val="clear" w:color="auto" w:fill="auto"/>
            <w:noWrap/>
            <w:vAlign w:val="center"/>
            <w:hideMark/>
          </w:tcPr>
          <w:p w14:paraId="5CACE8CA"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41,67 %</w:t>
            </w:r>
          </w:p>
        </w:tc>
      </w:tr>
      <w:tr w:rsidR="00F24E18" w:rsidRPr="00233BED" w14:paraId="39B4F9E3"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auto"/>
            <w:vAlign w:val="center"/>
            <w:hideMark/>
          </w:tcPr>
          <w:p w14:paraId="645AFC41" w14:textId="77777777" w:rsidR="00F24E18" w:rsidRPr="00233BED" w:rsidRDefault="00F24E18" w:rsidP="000E18B5">
            <w:pPr>
              <w:spacing w:after="0" w:line="240" w:lineRule="auto"/>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Drugi naročniki (osebe javnega prava, javna podjetja, subjekt s posebnimi infrastrukturnimi pravicami)</w:t>
            </w:r>
          </w:p>
        </w:tc>
        <w:tc>
          <w:tcPr>
            <w:tcW w:w="625" w:type="pct"/>
            <w:tcBorders>
              <w:top w:val="nil"/>
              <w:left w:val="nil"/>
              <w:bottom w:val="single" w:sz="4" w:space="0" w:color="auto"/>
              <w:right w:val="single" w:sz="4" w:space="0" w:color="auto"/>
            </w:tcBorders>
            <w:shd w:val="clear" w:color="auto" w:fill="auto"/>
            <w:vAlign w:val="center"/>
            <w:hideMark/>
          </w:tcPr>
          <w:p w14:paraId="118C403A"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68</w:t>
            </w:r>
          </w:p>
        </w:tc>
        <w:tc>
          <w:tcPr>
            <w:tcW w:w="625" w:type="pct"/>
            <w:tcBorders>
              <w:top w:val="nil"/>
              <w:left w:val="nil"/>
              <w:bottom w:val="single" w:sz="4" w:space="0" w:color="auto"/>
              <w:right w:val="single" w:sz="4" w:space="0" w:color="auto"/>
            </w:tcBorders>
            <w:shd w:val="clear" w:color="auto" w:fill="auto"/>
            <w:vAlign w:val="center"/>
            <w:hideMark/>
          </w:tcPr>
          <w:p w14:paraId="4C88B927"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67</w:t>
            </w:r>
          </w:p>
        </w:tc>
        <w:tc>
          <w:tcPr>
            <w:tcW w:w="528" w:type="pct"/>
            <w:tcBorders>
              <w:top w:val="nil"/>
              <w:left w:val="nil"/>
              <w:bottom w:val="single" w:sz="4" w:space="0" w:color="auto"/>
              <w:right w:val="single" w:sz="4" w:space="0" w:color="auto"/>
            </w:tcBorders>
            <w:shd w:val="clear" w:color="auto" w:fill="auto"/>
            <w:vAlign w:val="center"/>
            <w:hideMark/>
          </w:tcPr>
          <w:p w14:paraId="3433DCF8"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394</w:t>
            </w:r>
          </w:p>
        </w:tc>
        <w:tc>
          <w:tcPr>
            <w:tcW w:w="704" w:type="pct"/>
            <w:tcBorders>
              <w:top w:val="nil"/>
              <w:left w:val="nil"/>
              <w:bottom w:val="single" w:sz="4" w:space="0" w:color="auto"/>
              <w:right w:val="single" w:sz="4" w:space="0" w:color="auto"/>
            </w:tcBorders>
            <w:shd w:val="clear" w:color="auto" w:fill="auto"/>
            <w:vAlign w:val="center"/>
            <w:hideMark/>
          </w:tcPr>
          <w:p w14:paraId="44B0DABA"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271.635.705</w:t>
            </w:r>
          </w:p>
        </w:tc>
        <w:tc>
          <w:tcPr>
            <w:tcW w:w="596" w:type="pct"/>
            <w:tcBorders>
              <w:top w:val="nil"/>
              <w:left w:val="nil"/>
              <w:bottom w:val="single" w:sz="4" w:space="0" w:color="auto"/>
              <w:right w:val="single" w:sz="4" w:space="0" w:color="auto"/>
            </w:tcBorders>
            <w:shd w:val="clear" w:color="auto" w:fill="auto"/>
            <w:vAlign w:val="center"/>
            <w:hideMark/>
          </w:tcPr>
          <w:p w14:paraId="4FC3FA18"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135</w:t>
            </w:r>
          </w:p>
        </w:tc>
        <w:tc>
          <w:tcPr>
            <w:tcW w:w="625" w:type="pct"/>
            <w:tcBorders>
              <w:top w:val="nil"/>
              <w:left w:val="nil"/>
              <w:bottom w:val="single" w:sz="4" w:space="0" w:color="auto"/>
              <w:right w:val="single" w:sz="4" w:space="0" w:color="auto"/>
            </w:tcBorders>
            <w:shd w:val="clear" w:color="auto" w:fill="auto"/>
            <w:noWrap/>
            <w:vAlign w:val="center"/>
            <w:hideMark/>
          </w:tcPr>
          <w:p w14:paraId="2C5E5378"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50,37 %</w:t>
            </w:r>
          </w:p>
        </w:tc>
      </w:tr>
      <w:tr w:rsidR="00F24E18" w:rsidRPr="00233BED" w14:paraId="2D81EC04"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auto"/>
            <w:vAlign w:val="center"/>
            <w:hideMark/>
          </w:tcPr>
          <w:p w14:paraId="6EE34464" w14:textId="77777777" w:rsidR="00F24E18" w:rsidRPr="00233BED" w:rsidRDefault="00F24E18" w:rsidP="000E18B5">
            <w:pPr>
              <w:spacing w:after="0" w:line="240" w:lineRule="auto"/>
              <w:rPr>
                <w:rFonts w:ascii="Arial" w:eastAsia="Times New Roman" w:hAnsi="Arial" w:cs="Arial"/>
                <w:color w:val="000000"/>
                <w:sz w:val="18"/>
                <w:szCs w:val="18"/>
                <w:lang w:eastAsia="sl-SI"/>
              </w:rPr>
            </w:pPr>
            <w:r w:rsidRPr="00233BED">
              <w:rPr>
                <w:rFonts w:ascii="Arial" w:eastAsia="Times New Roman" w:hAnsi="Arial" w:cs="Arial"/>
                <w:color w:val="000000"/>
                <w:sz w:val="18"/>
                <w:szCs w:val="18"/>
                <w:lang w:eastAsia="sl-SI"/>
              </w:rPr>
              <w:t>Drugi subjekti</w:t>
            </w:r>
          </w:p>
        </w:tc>
        <w:tc>
          <w:tcPr>
            <w:tcW w:w="625" w:type="pct"/>
            <w:tcBorders>
              <w:top w:val="nil"/>
              <w:left w:val="nil"/>
              <w:bottom w:val="single" w:sz="4" w:space="0" w:color="auto"/>
              <w:right w:val="single" w:sz="4" w:space="0" w:color="auto"/>
            </w:tcBorders>
            <w:shd w:val="clear" w:color="auto" w:fill="auto"/>
            <w:vAlign w:val="center"/>
            <w:hideMark/>
          </w:tcPr>
          <w:p w14:paraId="1FC3A2BF"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16</w:t>
            </w:r>
          </w:p>
        </w:tc>
        <w:tc>
          <w:tcPr>
            <w:tcW w:w="625" w:type="pct"/>
            <w:tcBorders>
              <w:top w:val="nil"/>
              <w:left w:val="nil"/>
              <w:bottom w:val="single" w:sz="4" w:space="0" w:color="auto"/>
              <w:right w:val="single" w:sz="4" w:space="0" w:color="auto"/>
            </w:tcBorders>
            <w:shd w:val="clear" w:color="auto" w:fill="auto"/>
            <w:vAlign w:val="center"/>
            <w:hideMark/>
          </w:tcPr>
          <w:p w14:paraId="2F473AF3"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31</w:t>
            </w:r>
          </w:p>
        </w:tc>
        <w:tc>
          <w:tcPr>
            <w:tcW w:w="528" w:type="pct"/>
            <w:tcBorders>
              <w:top w:val="nil"/>
              <w:left w:val="nil"/>
              <w:bottom w:val="single" w:sz="4" w:space="0" w:color="auto"/>
              <w:right w:val="single" w:sz="4" w:space="0" w:color="auto"/>
            </w:tcBorders>
            <w:shd w:val="clear" w:color="auto" w:fill="auto"/>
            <w:vAlign w:val="center"/>
            <w:hideMark/>
          </w:tcPr>
          <w:p w14:paraId="5AAD53A4"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20</w:t>
            </w:r>
          </w:p>
        </w:tc>
        <w:tc>
          <w:tcPr>
            <w:tcW w:w="704" w:type="pct"/>
            <w:tcBorders>
              <w:top w:val="nil"/>
              <w:left w:val="nil"/>
              <w:bottom w:val="single" w:sz="4" w:space="0" w:color="auto"/>
              <w:right w:val="single" w:sz="4" w:space="0" w:color="auto"/>
            </w:tcBorders>
            <w:shd w:val="clear" w:color="auto" w:fill="auto"/>
            <w:vAlign w:val="center"/>
            <w:hideMark/>
          </w:tcPr>
          <w:p w14:paraId="466EB2D7"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210.660.285</w:t>
            </w:r>
          </w:p>
        </w:tc>
        <w:tc>
          <w:tcPr>
            <w:tcW w:w="596" w:type="pct"/>
            <w:tcBorders>
              <w:top w:val="nil"/>
              <w:left w:val="nil"/>
              <w:bottom w:val="single" w:sz="4" w:space="0" w:color="auto"/>
              <w:right w:val="single" w:sz="4" w:space="0" w:color="auto"/>
            </w:tcBorders>
            <w:shd w:val="clear" w:color="auto" w:fill="auto"/>
            <w:vAlign w:val="center"/>
            <w:hideMark/>
          </w:tcPr>
          <w:p w14:paraId="1FCFAA0A"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eastAsia="Times New Roman" w:hAnsi="Arial" w:cs="Arial"/>
                <w:color w:val="000000" w:themeColor="text1"/>
                <w:sz w:val="18"/>
                <w:szCs w:val="18"/>
                <w:lang w:eastAsia="sl-SI"/>
              </w:rPr>
              <w:t>47</w:t>
            </w:r>
          </w:p>
        </w:tc>
        <w:tc>
          <w:tcPr>
            <w:tcW w:w="625" w:type="pct"/>
            <w:tcBorders>
              <w:top w:val="nil"/>
              <w:left w:val="nil"/>
              <w:bottom w:val="single" w:sz="4" w:space="0" w:color="auto"/>
              <w:right w:val="single" w:sz="4" w:space="0" w:color="auto"/>
            </w:tcBorders>
            <w:shd w:val="clear" w:color="auto" w:fill="auto"/>
            <w:noWrap/>
            <w:vAlign w:val="center"/>
            <w:hideMark/>
          </w:tcPr>
          <w:p w14:paraId="7CBB037E" w14:textId="77777777" w:rsidR="00F24E18" w:rsidRPr="00233BED" w:rsidRDefault="00F24E18" w:rsidP="000E18B5">
            <w:pPr>
              <w:spacing w:after="0" w:line="240" w:lineRule="auto"/>
              <w:jc w:val="right"/>
              <w:rPr>
                <w:rFonts w:ascii="Arial" w:eastAsia="Times New Roman" w:hAnsi="Arial" w:cs="Arial"/>
                <w:color w:val="000000"/>
                <w:sz w:val="18"/>
                <w:szCs w:val="18"/>
                <w:lang w:eastAsia="sl-SI"/>
              </w:rPr>
            </w:pPr>
            <w:r w:rsidRPr="00233BED">
              <w:rPr>
                <w:rFonts w:ascii="Arial" w:hAnsi="Arial" w:cs="Arial"/>
                <w:color w:val="000000"/>
                <w:sz w:val="18"/>
                <w:szCs w:val="18"/>
              </w:rPr>
              <w:t>34,04 %</w:t>
            </w:r>
          </w:p>
        </w:tc>
      </w:tr>
      <w:tr w:rsidR="00F24E18" w:rsidRPr="00233BED" w14:paraId="3BE9DE49" w14:textId="77777777" w:rsidTr="000E18B5">
        <w:trPr>
          <w:trHeight w:val="255"/>
        </w:trPr>
        <w:tc>
          <w:tcPr>
            <w:tcW w:w="129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481703" w14:textId="77777777" w:rsidR="00F24E18" w:rsidRPr="00233BED" w:rsidRDefault="00F24E18" w:rsidP="000E18B5">
            <w:pPr>
              <w:spacing w:after="0" w:line="240" w:lineRule="auto"/>
              <w:jc w:val="both"/>
              <w:rPr>
                <w:rFonts w:ascii="Arial" w:eastAsia="Times New Roman" w:hAnsi="Arial" w:cs="Arial"/>
                <w:b/>
                <w:bCs/>
                <w:color w:val="000000"/>
                <w:sz w:val="18"/>
                <w:szCs w:val="18"/>
                <w:lang w:eastAsia="sl-SI"/>
              </w:rPr>
            </w:pPr>
            <w:r w:rsidRPr="00233BED">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F2F2F2" w:themeFill="background1" w:themeFillShade="F2"/>
            <w:vAlign w:val="center"/>
            <w:hideMark/>
          </w:tcPr>
          <w:p w14:paraId="24A7CBD2" w14:textId="77777777" w:rsidR="00F24E18" w:rsidRPr="00233BED" w:rsidRDefault="00F24E18" w:rsidP="000E18B5">
            <w:pPr>
              <w:spacing w:after="0" w:line="240" w:lineRule="auto"/>
              <w:jc w:val="right"/>
              <w:rPr>
                <w:rFonts w:ascii="Arial" w:eastAsia="Times New Roman" w:hAnsi="Arial" w:cs="Arial"/>
                <w:b/>
                <w:bCs/>
                <w:color w:val="000000"/>
                <w:sz w:val="18"/>
                <w:szCs w:val="18"/>
                <w:lang w:eastAsia="sl-SI"/>
              </w:rPr>
            </w:pPr>
            <w:r w:rsidRPr="00233BED">
              <w:rPr>
                <w:rFonts w:ascii="Arial" w:eastAsia="Times New Roman" w:hAnsi="Arial" w:cs="Arial"/>
                <w:b/>
                <w:bCs/>
                <w:color w:val="000000" w:themeColor="text1"/>
                <w:sz w:val="18"/>
                <w:szCs w:val="18"/>
                <w:lang w:eastAsia="sl-SI"/>
              </w:rPr>
              <w:t>585</w:t>
            </w:r>
          </w:p>
        </w:tc>
        <w:tc>
          <w:tcPr>
            <w:tcW w:w="625" w:type="pct"/>
            <w:tcBorders>
              <w:top w:val="nil"/>
              <w:left w:val="nil"/>
              <w:bottom w:val="single" w:sz="4" w:space="0" w:color="auto"/>
              <w:right w:val="single" w:sz="4" w:space="0" w:color="auto"/>
            </w:tcBorders>
            <w:shd w:val="clear" w:color="auto" w:fill="F2F2F2" w:themeFill="background1" w:themeFillShade="F2"/>
            <w:vAlign w:val="center"/>
            <w:hideMark/>
          </w:tcPr>
          <w:p w14:paraId="54430956" w14:textId="77777777" w:rsidR="00F24E18" w:rsidRPr="00233BED" w:rsidRDefault="00F24E18" w:rsidP="000E18B5">
            <w:pPr>
              <w:spacing w:after="0" w:line="240" w:lineRule="auto"/>
              <w:jc w:val="right"/>
              <w:rPr>
                <w:rFonts w:ascii="Arial" w:eastAsia="Times New Roman" w:hAnsi="Arial" w:cs="Arial"/>
                <w:b/>
                <w:bCs/>
                <w:color w:val="000000"/>
                <w:sz w:val="18"/>
                <w:szCs w:val="18"/>
                <w:lang w:eastAsia="sl-SI"/>
              </w:rPr>
            </w:pPr>
            <w:r w:rsidRPr="00233BED">
              <w:rPr>
                <w:rFonts w:ascii="Arial" w:eastAsia="Times New Roman" w:hAnsi="Arial" w:cs="Arial"/>
                <w:b/>
                <w:bCs/>
                <w:color w:val="000000" w:themeColor="text1"/>
                <w:sz w:val="18"/>
                <w:szCs w:val="18"/>
                <w:lang w:eastAsia="sl-SI"/>
              </w:rPr>
              <w:t>402</w:t>
            </w:r>
          </w:p>
        </w:tc>
        <w:tc>
          <w:tcPr>
            <w:tcW w:w="528" w:type="pct"/>
            <w:tcBorders>
              <w:top w:val="nil"/>
              <w:left w:val="nil"/>
              <w:bottom w:val="single" w:sz="4" w:space="0" w:color="auto"/>
              <w:right w:val="single" w:sz="4" w:space="0" w:color="auto"/>
            </w:tcBorders>
            <w:shd w:val="clear" w:color="auto" w:fill="F2F2F2" w:themeFill="background1" w:themeFillShade="F2"/>
            <w:vAlign w:val="center"/>
            <w:hideMark/>
          </w:tcPr>
          <w:p w14:paraId="2AC9FE1D" w14:textId="77777777" w:rsidR="00F24E18" w:rsidRPr="00233BED" w:rsidRDefault="00F24E18" w:rsidP="000E18B5">
            <w:pPr>
              <w:spacing w:after="0" w:line="240" w:lineRule="auto"/>
              <w:jc w:val="right"/>
              <w:rPr>
                <w:rFonts w:ascii="Arial" w:eastAsia="Times New Roman" w:hAnsi="Arial" w:cs="Arial"/>
                <w:b/>
                <w:bCs/>
                <w:color w:val="000000"/>
                <w:sz w:val="18"/>
                <w:szCs w:val="18"/>
                <w:lang w:eastAsia="sl-SI"/>
              </w:rPr>
            </w:pPr>
            <w:r w:rsidRPr="00233BED">
              <w:rPr>
                <w:rFonts w:ascii="Arial" w:hAnsi="Arial" w:cs="Arial"/>
                <w:b/>
                <w:bCs/>
                <w:color w:val="000000"/>
                <w:sz w:val="18"/>
                <w:szCs w:val="18"/>
              </w:rPr>
              <w:t>4.804</w:t>
            </w:r>
          </w:p>
        </w:tc>
        <w:tc>
          <w:tcPr>
            <w:tcW w:w="704" w:type="pct"/>
            <w:tcBorders>
              <w:top w:val="nil"/>
              <w:left w:val="nil"/>
              <w:bottom w:val="single" w:sz="4" w:space="0" w:color="auto"/>
              <w:right w:val="single" w:sz="4" w:space="0" w:color="auto"/>
            </w:tcBorders>
            <w:shd w:val="clear" w:color="auto" w:fill="F2F2F2" w:themeFill="background1" w:themeFillShade="F2"/>
            <w:vAlign w:val="center"/>
            <w:hideMark/>
          </w:tcPr>
          <w:p w14:paraId="22265828" w14:textId="77777777" w:rsidR="00F24E18" w:rsidRPr="00233BED" w:rsidRDefault="00F24E18" w:rsidP="000E18B5">
            <w:pPr>
              <w:spacing w:after="0" w:line="240" w:lineRule="auto"/>
              <w:jc w:val="right"/>
              <w:rPr>
                <w:rFonts w:ascii="Arial" w:eastAsia="Times New Roman" w:hAnsi="Arial" w:cs="Arial"/>
                <w:b/>
                <w:bCs/>
                <w:color w:val="000000"/>
                <w:sz w:val="18"/>
                <w:szCs w:val="18"/>
                <w:lang w:eastAsia="sl-SI"/>
              </w:rPr>
            </w:pPr>
            <w:r w:rsidRPr="00233BED">
              <w:rPr>
                <w:rFonts w:ascii="Arial" w:hAnsi="Arial" w:cs="Arial"/>
                <w:b/>
                <w:bCs/>
                <w:color w:val="000000"/>
                <w:sz w:val="18"/>
                <w:szCs w:val="18"/>
              </w:rPr>
              <w:t>2.137.671.914</w:t>
            </w:r>
          </w:p>
        </w:tc>
        <w:tc>
          <w:tcPr>
            <w:tcW w:w="596" w:type="pct"/>
            <w:tcBorders>
              <w:top w:val="nil"/>
              <w:left w:val="nil"/>
              <w:bottom w:val="single" w:sz="4" w:space="0" w:color="auto"/>
              <w:right w:val="single" w:sz="4" w:space="0" w:color="auto"/>
            </w:tcBorders>
            <w:shd w:val="clear" w:color="auto" w:fill="F2F2F2" w:themeFill="background1" w:themeFillShade="F2"/>
            <w:vAlign w:val="center"/>
            <w:hideMark/>
          </w:tcPr>
          <w:p w14:paraId="3410C428" w14:textId="77777777" w:rsidR="00F24E18" w:rsidRPr="00233BED" w:rsidRDefault="00F24E18" w:rsidP="000E18B5">
            <w:pPr>
              <w:spacing w:after="0" w:line="240" w:lineRule="auto"/>
              <w:jc w:val="right"/>
              <w:rPr>
                <w:rFonts w:ascii="Arial" w:eastAsia="Times New Roman" w:hAnsi="Arial" w:cs="Arial"/>
                <w:b/>
                <w:bCs/>
                <w:color w:val="000000"/>
                <w:sz w:val="18"/>
                <w:szCs w:val="18"/>
                <w:lang w:eastAsia="sl-SI"/>
              </w:rPr>
            </w:pPr>
            <w:r w:rsidRPr="00233BED">
              <w:rPr>
                <w:rFonts w:ascii="Arial" w:hAnsi="Arial" w:cs="Arial"/>
                <w:b/>
                <w:bCs/>
                <w:color w:val="000000" w:themeColor="text1"/>
                <w:sz w:val="18"/>
                <w:szCs w:val="18"/>
              </w:rPr>
              <w:t>987</w:t>
            </w:r>
          </w:p>
        </w:tc>
        <w:tc>
          <w:tcPr>
            <w:tcW w:w="625" w:type="pct"/>
            <w:tcBorders>
              <w:top w:val="nil"/>
              <w:left w:val="nil"/>
              <w:bottom w:val="nil"/>
              <w:right w:val="nil"/>
            </w:tcBorders>
            <w:shd w:val="clear" w:color="auto" w:fill="auto"/>
            <w:noWrap/>
            <w:vAlign w:val="center"/>
            <w:hideMark/>
          </w:tcPr>
          <w:p w14:paraId="02421345" w14:textId="77777777" w:rsidR="00F24E18" w:rsidRPr="00233BED" w:rsidRDefault="00F24E18" w:rsidP="000E18B5">
            <w:pPr>
              <w:spacing w:after="0" w:line="240" w:lineRule="auto"/>
              <w:jc w:val="right"/>
              <w:rPr>
                <w:rFonts w:ascii="Arial" w:eastAsia="Times New Roman" w:hAnsi="Arial" w:cs="Arial"/>
                <w:b/>
                <w:bCs/>
                <w:color w:val="000000"/>
                <w:sz w:val="18"/>
                <w:szCs w:val="18"/>
                <w:lang w:eastAsia="sl-SI"/>
              </w:rPr>
            </w:pPr>
            <w:r w:rsidRPr="00233BED">
              <w:rPr>
                <w:rFonts w:ascii="Arial" w:hAnsi="Arial" w:cs="Arial"/>
                <w:color w:val="000000"/>
                <w:sz w:val="18"/>
                <w:szCs w:val="18"/>
              </w:rPr>
              <w:t> </w:t>
            </w:r>
          </w:p>
        </w:tc>
      </w:tr>
    </w:tbl>
    <w:p w14:paraId="16017469" w14:textId="77777777" w:rsidR="00F24E18" w:rsidRPr="00242E41" w:rsidRDefault="00F24E18" w:rsidP="00F24E18">
      <w:pPr>
        <w:spacing w:after="0" w:line="240" w:lineRule="auto"/>
        <w:rPr>
          <w:rFonts w:ascii="Arial" w:hAnsi="Arial" w:cs="Arial"/>
          <w:sz w:val="20"/>
          <w:szCs w:val="20"/>
          <w:highlight w:val="yellow"/>
        </w:rPr>
      </w:pPr>
    </w:p>
    <w:p w14:paraId="50DB9B1D" w14:textId="77777777" w:rsidR="00F24E18" w:rsidRPr="00C96CFF" w:rsidRDefault="00F24E18" w:rsidP="00F24E18">
      <w:pPr>
        <w:spacing w:before="120" w:after="0" w:line="240" w:lineRule="auto"/>
        <w:rPr>
          <w:rFonts w:ascii="Arial" w:hAnsi="Arial" w:cs="Arial"/>
          <w:sz w:val="20"/>
          <w:szCs w:val="20"/>
        </w:rPr>
      </w:pPr>
      <w:r w:rsidRPr="00C96CFF">
        <w:rPr>
          <w:rFonts w:ascii="Arial" w:hAnsi="Arial" w:cs="Arial"/>
          <w:sz w:val="20"/>
          <w:szCs w:val="20"/>
        </w:rPr>
        <w:t>Preglednica 104: Število in vrednosti ter deleži zelenih naročil glede na predmet naročanja in sedež ponudnika</w:t>
      </w:r>
    </w:p>
    <w:p w14:paraId="13DA7F81" w14:textId="77777777" w:rsidR="00F24E18" w:rsidRPr="00242E41" w:rsidRDefault="00F24E18" w:rsidP="00F24E18">
      <w:pPr>
        <w:spacing w:after="0" w:line="240" w:lineRule="auto"/>
        <w:rPr>
          <w:rFonts w:ascii="Arial" w:hAnsi="Arial" w:cs="Arial"/>
          <w:sz w:val="20"/>
          <w:szCs w:val="20"/>
          <w:highlight w:val="yellow"/>
        </w:rPr>
      </w:pPr>
    </w:p>
    <w:tbl>
      <w:tblPr>
        <w:tblW w:w="5000" w:type="pct"/>
        <w:tblCellMar>
          <w:left w:w="70" w:type="dxa"/>
          <w:right w:w="70" w:type="dxa"/>
        </w:tblCellMar>
        <w:tblLook w:val="04A0" w:firstRow="1" w:lastRow="0" w:firstColumn="1" w:lastColumn="0" w:noHBand="0" w:noVBand="1"/>
      </w:tblPr>
      <w:tblGrid>
        <w:gridCol w:w="821"/>
        <w:gridCol w:w="895"/>
        <w:gridCol w:w="728"/>
        <w:gridCol w:w="1292"/>
        <w:gridCol w:w="901"/>
        <w:gridCol w:w="901"/>
        <w:gridCol w:w="802"/>
        <w:gridCol w:w="932"/>
        <w:gridCol w:w="950"/>
        <w:gridCol w:w="952"/>
      </w:tblGrid>
      <w:tr w:rsidR="00F24E18" w:rsidRPr="005F3AD7" w14:paraId="5FBA6F70" w14:textId="77777777" w:rsidTr="000E18B5">
        <w:trPr>
          <w:trHeight w:val="912"/>
        </w:trPr>
        <w:tc>
          <w:tcPr>
            <w:tcW w:w="44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05A34C8"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Predmet</w:t>
            </w:r>
          </w:p>
        </w:tc>
        <w:tc>
          <w:tcPr>
            <w:tcW w:w="487" w:type="pct"/>
            <w:tcBorders>
              <w:top w:val="single" w:sz="4" w:space="0" w:color="auto"/>
              <w:left w:val="nil"/>
              <w:bottom w:val="single" w:sz="4" w:space="0" w:color="auto"/>
              <w:right w:val="single" w:sz="4" w:space="0" w:color="auto"/>
            </w:tcBorders>
            <w:shd w:val="clear" w:color="000000" w:fill="F2F2F2"/>
            <w:vAlign w:val="center"/>
            <w:hideMark/>
          </w:tcPr>
          <w:p w14:paraId="5FA7A9FB"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Ponudnik</w:t>
            </w:r>
          </w:p>
        </w:tc>
        <w:tc>
          <w:tcPr>
            <w:tcW w:w="397" w:type="pct"/>
            <w:tcBorders>
              <w:top w:val="single" w:sz="4" w:space="0" w:color="auto"/>
              <w:left w:val="nil"/>
              <w:bottom w:val="single" w:sz="4" w:space="0" w:color="auto"/>
              <w:right w:val="single" w:sz="4" w:space="0" w:color="auto"/>
            </w:tcBorders>
            <w:shd w:val="clear" w:color="000000" w:fill="F2F2F2"/>
            <w:vAlign w:val="center"/>
            <w:hideMark/>
          </w:tcPr>
          <w:p w14:paraId="3E30ED68"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Št. zelenih naročil</w:t>
            </w:r>
          </w:p>
        </w:tc>
        <w:tc>
          <w:tcPr>
            <w:tcW w:w="704" w:type="pct"/>
            <w:tcBorders>
              <w:top w:val="single" w:sz="4" w:space="0" w:color="auto"/>
              <w:left w:val="nil"/>
              <w:bottom w:val="single" w:sz="4" w:space="0" w:color="auto"/>
              <w:right w:val="single" w:sz="4" w:space="0" w:color="auto"/>
            </w:tcBorders>
            <w:shd w:val="clear" w:color="000000" w:fill="F2F2F2"/>
            <w:vAlign w:val="center"/>
            <w:hideMark/>
          </w:tcPr>
          <w:p w14:paraId="761085D8"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Pogodbena vrednost</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72EBB237"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Delež v št. zelenih naročil</w:t>
            </w:r>
          </w:p>
        </w:tc>
        <w:tc>
          <w:tcPr>
            <w:tcW w:w="491" w:type="pct"/>
            <w:tcBorders>
              <w:top w:val="single" w:sz="4" w:space="0" w:color="auto"/>
              <w:left w:val="nil"/>
              <w:bottom w:val="single" w:sz="4" w:space="0" w:color="auto"/>
              <w:right w:val="single" w:sz="4" w:space="0" w:color="auto"/>
            </w:tcBorders>
            <w:shd w:val="clear" w:color="000000" w:fill="F2F2F2"/>
            <w:vAlign w:val="center"/>
            <w:hideMark/>
          </w:tcPr>
          <w:p w14:paraId="5720E6D5"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Delež v vrednosti zelenih naročil</w:t>
            </w:r>
          </w:p>
        </w:tc>
        <w:tc>
          <w:tcPr>
            <w:tcW w:w="437" w:type="pct"/>
            <w:tcBorders>
              <w:top w:val="single" w:sz="4" w:space="0" w:color="auto"/>
              <w:left w:val="nil"/>
              <w:bottom w:val="single" w:sz="4" w:space="0" w:color="auto"/>
              <w:right w:val="single" w:sz="4" w:space="0" w:color="auto"/>
            </w:tcBorders>
            <w:shd w:val="clear" w:color="000000" w:fill="F2F2F2"/>
            <w:vAlign w:val="center"/>
            <w:hideMark/>
          </w:tcPr>
          <w:p w14:paraId="24446727"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Delež v št. vseh naročil</w:t>
            </w:r>
          </w:p>
        </w:tc>
        <w:tc>
          <w:tcPr>
            <w:tcW w:w="508" w:type="pct"/>
            <w:tcBorders>
              <w:top w:val="single" w:sz="4" w:space="0" w:color="auto"/>
              <w:left w:val="nil"/>
              <w:bottom w:val="single" w:sz="4" w:space="0" w:color="auto"/>
              <w:right w:val="single" w:sz="4" w:space="0" w:color="auto"/>
            </w:tcBorders>
            <w:shd w:val="clear" w:color="000000" w:fill="F2F2F2"/>
            <w:vAlign w:val="center"/>
            <w:hideMark/>
          </w:tcPr>
          <w:p w14:paraId="6F35FA9D"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Delež v vrednosti vseh naročil</w:t>
            </w:r>
          </w:p>
        </w:tc>
        <w:tc>
          <w:tcPr>
            <w:tcW w:w="518" w:type="pct"/>
            <w:tcBorders>
              <w:top w:val="single" w:sz="4" w:space="0" w:color="auto"/>
              <w:left w:val="nil"/>
              <w:bottom w:val="single" w:sz="4" w:space="0" w:color="auto"/>
              <w:right w:val="single" w:sz="4" w:space="0" w:color="auto"/>
            </w:tcBorders>
            <w:shd w:val="clear" w:color="000000" w:fill="F2F2F2"/>
            <w:vAlign w:val="center"/>
            <w:hideMark/>
          </w:tcPr>
          <w:p w14:paraId="04DC42C3"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Delež v št. istovrstnih naročil</w:t>
            </w:r>
          </w:p>
        </w:tc>
        <w:tc>
          <w:tcPr>
            <w:tcW w:w="519" w:type="pct"/>
            <w:tcBorders>
              <w:top w:val="single" w:sz="4" w:space="0" w:color="auto"/>
              <w:left w:val="nil"/>
              <w:bottom w:val="single" w:sz="4" w:space="0" w:color="auto"/>
              <w:right w:val="single" w:sz="4" w:space="0" w:color="auto"/>
            </w:tcBorders>
            <w:shd w:val="clear" w:color="000000" w:fill="F2F2F2"/>
            <w:vAlign w:val="center"/>
            <w:hideMark/>
          </w:tcPr>
          <w:p w14:paraId="10F9F1B5" w14:textId="77777777" w:rsidR="00F24E18" w:rsidRPr="005F3AD7" w:rsidRDefault="00F24E18" w:rsidP="000E18B5">
            <w:pPr>
              <w:spacing w:after="0" w:line="240" w:lineRule="auto"/>
              <w:jc w:val="center"/>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Delež v vrednosti istovrstnih naročil</w:t>
            </w:r>
          </w:p>
        </w:tc>
      </w:tr>
      <w:tr w:rsidR="00F24E18" w:rsidRPr="005F3AD7" w14:paraId="3441E1B0" w14:textId="77777777" w:rsidTr="000E18B5">
        <w:trPr>
          <w:trHeight w:val="288"/>
        </w:trPr>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0E520EDB"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Blago</w:t>
            </w:r>
          </w:p>
        </w:tc>
        <w:tc>
          <w:tcPr>
            <w:tcW w:w="487" w:type="pct"/>
            <w:tcBorders>
              <w:top w:val="nil"/>
              <w:left w:val="nil"/>
              <w:bottom w:val="single" w:sz="4" w:space="0" w:color="auto"/>
              <w:right w:val="single" w:sz="4" w:space="0" w:color="auto"/>
            </w:tcBorders>
            <w:shd w:val="clear" w:color="auto" w:fill="auto"/>
            <w:vAlign w:val="center"/>
            <w:hideMark/>
          </w:tcPr>
          <w:p w14:paraId="7D10A200"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Slovenija</w:t>
            </w:r>
          </w:p>
        </w:tc>
        <w:tc>
          <w:tcPr>
            <w:tcW w:w="397" w:type="pct"/>
            <w:tcBorders>
              <w:top w:val="nil"/>
              <w:left w:val="nil"/>
              <w:bottom w:val="single" w:sz="4" w:space="0" w:color="auto"/>
              <w:right w:val="single" w:sz="4" w:space="0" w:color="auto"/>
            </w:tcBorders>
            <w:shd w:val="clear" w:color="auto" w:fill="auto"/>
            <w:vAlign w:val="center"/>
            <w:hideMark/>
          </w:tcPr>
          <w:p w14:paraId="0223CDEB"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3.687</w:t>
            </w:r>
          </w:p>
        </w:tc>
        <w:tc>
          <w:tcPr>
            <w:tcW w:w="704" w:type="pct"/>
            <w:tcBorders>
              <w:top w:val="nil"/>
              <w:left w:val="nil"/>
              <w:bottom w:val="single" w:sz="4" w:space="0" w:color="auto"/>
              <w:right w:val="single" w:sz="4" w:space="0" w:color="auto"/>
            </w:tcBorders>
            <w:shd w:val="clear" w:color="auto" w:fill="auto"/>
            <w:vAlign w:val="center"/>
            <w:hideMark/>
          </w:tcPr>
          <w:p w14:paraId="329F63D9"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645.831.894</w:t>
            </w:r>
          </w:p>
        </w:tc>
        <w:tc>
          <w:tcPr>
            <w:tcW w:w="491" w:type="pct"/>
            <w:tcBorders>
              <w:top w:val="nil"/>
              <w:left w:val="nil"/>
              <w:bottom w:val="single" w:sz="4" w:space="0" w:color="auto"/>
              <w:right w:val="single" w:sz="4" w:space="0" w:color="auto"/>
            </w:tcBorders>
            <w:shd w:val="clear" w:color="auto" w:fill="auto"/>
            <w:noWrap/>
            <w:vAlign w:val="center"/>
            <w:hideMark/>
          </w:tcPr>
          <w:p w14:paraId="27C64D82"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76,75 %</w:t>
            </w:r>
          </w:p>
        </w:tc>
        <w:tc>
          <w:tcPr>
            <w:tcW w:w="491" w:type="pct"/>
            <w:tcBorders>
              <w:top w:val="nil"/>
              <w:left w:val="nil"/>
              <w:bottom w:val="single" w:sz="4" w:space="0" w:color="auto"/>
              <w:right w:val="single" w:sz="4" w:space="0" w:color="auto"/>
            </w:tcBorders>
            <w:shd w:val="clear" w:color="auto" w:fill="auto"/>
            <w:noWrap/>
            <w:vAlign w:val="center"/>
            <w:hideMark/>
          </w:tcPr>
          <w:p w14:paraId="7D983E41"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30,21 %</w:t>
            </w:r>
          </w:p>
        </w:tc>
        <w:tc>
          <w:tcPr>
            <w:tcW w:w="437" w:type="pct"/>
            <w:tcBorders>
              <w:top w:val="nil"/>
              <w:left w:val="nil"/>
              <w:bottom w:val="single" w:sz="4" w:space="0" w:color="auto"/>
              <w:right w:val="single" w:sz="4" w:space="0" w:color="auto"/>
            </w:tcBorders>
            <w:shd w:val="clear" w:color="auto" w:fill="auto"/>
            <w:noWrap/>
            <w:vAlign w:val="center"/>
          </w:tcPr>
          <w:p w14:paraId="54992F22"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21,92 %</w:t>
            </w:r>
          </w:p>
        </w:tc>
        <w:tc>
          <w:tcPr>
            <w:tcW w:w="508" w:type="pct"/>
            <w:tcBorders>
              <w:top w:val="nil"/>
              <w:left w:val="nil"/>
              <w:bottom w:val="single" w:sz="4" w:space="0" w:color="auto"/>
              <w:right w:val="single" w:sz="4" w:space="0" w:color="auto"/>
            </w:tcBorders>
            <w:shd w:val="clear" w:color="auto" w:fill="auto"/>
            <w:noWrap/>
            <w:vAlign w:val="center"/>
          </w:tcPr>
          <w:p w14:paraId="13B21E5F"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10,36 %</w:t>
            </w:r>
          </w:p>
        </w:tc>
        <w:tc>
          <w:tcPr>
            <w:tcW w:w="518" w:type="pct"/>
            <w:tcBorders>
              <w:top w:val="nil"/>
              <w:left w:val="nil"/>
              <w:bottom w:val="single" w:sz="4" w:space="0" w:color="auto"/>
              <w:right w:val="single" w:sz="4" w:space="0" w:color="auto"/>
            </w:tcBorders>
            <w:shd w:val="clear" w:color="auto" w:fill="auto"/>
            <w:noWrap/>
            <w:vAlign w:val="center"/>
            <w:hideMark/>
          </w:tcPr>
          <w:p w14:paraId="3343CF05"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99,76 %</w:t>
            </w:r>
          </w:p>
        </w:tc>
        <w:tc>
          <w:tcPr>
            <w:tcW w:w="519" w:type="pct"/>
            <w:tcBorders>
              <w:top w:val="nil"/>
              <w:left w:val="nil"/>
              <w:bottom w:val="single" w:sz="4" w:space="0" w:color="auto"/>
              <w:right w:val="single" w:sz="4" w:space="0" w:color="auto"/>
            </w:tcBorders>
            <w:shd w:val="clear" w:color="auto" w:fill="auto"/>
            <w:noWrap/>
            <w:vAlign w:val="center"/>
            <w:hideMark/>
          </w:tcPr>
          <w:p w14:paraId="4B69C89C"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99,81 %</w:t>
            </w:r>
          </w:p>
        </w:tc>
      </w:tr>
      <w:tr w:rsidR="00F24E18" w:rsidRPr="005F3AD7" w14:paraId="063BBAAB" w14:textId="77777777" w:rsidTr="000E18B5">
        <w:trPr>
          <w:trHeight w:val="288"/>
        </w:trPr>
        <w:tc>
          <w:tcPr>
            <w:tcW w:w="447" w:type="pct"/>
            <w:vMerge/>
            <w:tcBorders>
              <w:top w:val="nil"/>
              <w:left w:val="single" w:sz="4" w:space="0" w:color="auto"/>
              <w:bottom w:val="single" w:sz="4" w:space="0" w:color="auto"/>
              <w:right w:val="single" w:sz="4" w:space="0" w:color="auto"/>
            </w:tcBorders>
            <w:vAlign w:val="center"/>
            <w:hideMark/>
          </w:tcPr>
          <w:p w14:paraId="5E7BEEAF" w14:textId="77777777" w:rsidR="00F24E18" w:rsidRPr="005F3AD7" w:rsidRDefault="00F24E18" w:rsidP="000E18B5">
            <w:pPr>
              <w:spacing w:after="0" w:line="240" w:lineRule="auto"/>
              <w:rPr>
                <w:rFonts w:ascii="Arial" w:eastAsia="Times New Roman" w:hAnsi="Arial" w:cs="Arial"/>
                <w:color w:val="000000"/>
                <w:sz w:val="16"/>
                <w:szCs w:val="16"/>
                <w:lang w:eastAsia="sl-SI"/>
              </w:rPr>
            </w:pPr>
          </w:p>
        </w:tc>
        <w:tc>
          <w:tcPr>
            <w:tcW w:w="487" w:type="pct"/>
            <w:tcBorders>
              <w:top w:val="nil"/>
              <w:left w:val="nil"/>
              <w:bottom w:val="single" w:sz="4" w:space="0" w:color="auto"/>
              <w:right w:val="single" w:sz="4" w:space="0" w:color="auto"/>
            </w:tcBorders>
            <w:shd w:val="clear" w:color="auto" w:fill="auto"/>
            <w:vAlign w:val="center"/>
            <w:hideMark/>
          </w:tcPr>
          <w:p w14:paraId="53808FEE"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EU</w:t>
            </w:r>
          </w:p>
        </w:tc>
        <w:tc>
          <w:tcPr>
            <w:tcW w:w="397" w:type="pct"/>
            <w:tcBorders>
              <w:top w:val="nil"/>
              <w:left w:val="nil"/>
              <w:bottom w:val="single" w:sz="4" w:space="0" w:color="auto"/>
              <w:right w:val="single" w:sz="4" w:space="0" w:color="auto"/>
            </w:tcBorders>
            <w:shd w:val="clear" w:color="auto" w:fill="auto"/>
            <w:vAlign w:val="center"/>
            <w:hideMark/>
          </w:tcPr>
          <w:p w14:paraId="061E8DEF"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9</w:t>
            </w:r>
          </w:p>
        </w:tc>
        <w:tc>
          <w:tcPr>
            <w:tcW w:w="704" w:type="pct"/>
            <w:tcBorders>
              <w:top w:val="nil"/>
              <w:left w:val="nil"/>
              <w:bottom w:val="single" w:sz="4" w:space="0" w:color="auto"/>
              <w:right w:val="single" w:sz="4" w:space="0" w:color="auto"/>
            </w:tcBorders>
            <w:shd w:val="clear" w:color="auto" w:fill="auto"/>
            <w:vAlign w:val="center"/>
            <w:hideMark/>
          </w:tcPr>
          <w:p w14:paraId="5D37AF96"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1.216.211</w:t>
            </w:r>
          </w:p>
        </w:tc>
        <w:tc>
          <w:tcPr>
            <w:tcW w:w="491" w:type="pct"/>
            <w:tcBorders>
              <w:top w:val="nil"/>
              <w:left w:val="nil"/>
              <w:bottom w:val="single" w:sz="4" w:space="0" w:color="auto"/>
              <w:right w:val="single" w:sz="4" w:space="0" w:color="auto"/>
            </w:tcBorders>
            <w:shd w:val="clear" w:color="auto" w:fill="auto"/>
            <w:noWrap/>
            <w:vAlign w:val="center"/>
            <w:hideMark/>
          </w:tcPr>
          <w:p w14:paraId="3C57FC50"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0,19 %</w:t>
            </w:r>
          </w:p>
        </w:tc>
        <w:tc>
          <w:tcPr>
            <w:tcW w:w="491" w:type="pct"/>
            <w:tcBorders>
              <w:top w:val="nil"/>
              <w:left w:val="nil"/>
              <w:bottom w:val="single" w:sz="4" w:space="0" w:color="auto"/>
              <w:right w:val="single" w:sz="4" w:space="0" w:color="auto"/>
            </w:tcBorders>
            <w:shd w:val="clear" w:color="auto" w:fill="auto"/>
            <w:noWrap/>
            <w:vAlign w:val="center"/>
            <w:hideMark/>
          </w:tcPr>
          <w:p w14:paraId="16775558"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0,06 %</w:t>
            </w:r>
          </w:p>
        </w:tc>
        <w:tc>
          <w:tcPr>
            <w:tcW w:w="437" w:type="pct"/>
            <w:tcBorders>
              <w:top w:val="nil"/>
              <w:left w:val="nil"/>
              <w:bottom w:val="single" w:sz="4" w:space="0" w:color="auto"/>
              <w:right w:val="single" w:sz="4" w:space="0" w:color="auto"/>
            </w:tcBorders>
            <w:shd w:val="clear" w:color="auto" w:fill="auto"/>
            <w:noWrap/>
            <w:vAlign w:val="center"/>
          </w:tcPr>
          <w:p w14:paraId="7B11C0FF"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0,05 %</w:t>
            </w:r>
          </w:p>
        </w:tc>
        <w:tc>
          <w:tcPr>
            <w:tcW w:w="508" w:type="pct"/>
            <w:tcBorders>
              <w:top w:val="nil"/>
              <w:left w:val="nil"/>
              <w:bottom w:val="single" w:sz="4" w:space="0" w:color="auto"/>
              <w:right w:val="single" w:sz="4" w:space="0" w:color="auto"/>
            </w:tcBorders>
            <w:shd w:val="clear" w:color="auto" w:fill="auto"/>
            <w:noWrap/>
            <w:vAlign w:val="center"/>
          </w:tcPr>
          <w:p w14:paraId="7325E108"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0,02 %</w:t>
            </w:r>
          </w:p>
        </w:tc>
        <w:tc>
          <w:tcPr>
            <w:tcW w:w="518" w:type="pct"/>
            <w:tcBorders>
              <w:top w:val="nil"/>
              <w:left w:val="nil"/>
              <w:bottom w:val="single" w:sz="4" w:space="0" w:color="auto"/>
              <w:right w:val="single" w:sz="4" w:space="0" w:color="auto"/>
            </w:tcBorders>
            <w:shd w:val="clear" w:color="auto" w:fill="auto"/>
            <w:noWrap/>
            <w:vAlign w:val="center"/>
            <w:hideMark/>
          </w:tcPr>
          <w:p w14:paraId="0F36ED6A"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0,24 %</w:t>
            </w:r>
          </w:p>
        </w:tc>
        <w:tc>
          <w:tcPr>
            <w:tcW w:w="519" w:type="pct"/>
            <w:tcBorders>
              <w:top w:val="nil"/>
              <w:left w:val="nil"/>
              <w:bottom w:val="single" w:sz="4" w:space="0" w:color="auto"/>
              <w:right w:val="single" w:sz="4" w:space="0" w:color="auto"/>
            </w:tcBorders>
            <w:shd w:val="clear" w:color="auto" w:fill="auto"/>
            <w:noWrap/>
            <w:vAlign w:val="center"/>
            <w:hideMark/>
          </w:tcPr>
          <w:p w14:paraId="493EB893"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0,19 %</w:t>
            </w:r>
          </w:p>
        </w:tc>
      </w:tr>
      <w:tr w:rsidR="00F24E18" w:rsidRPr="005F3AD7" w14:paraId="44FD694A" w14:textId="77777777" w:rsidTr="000E18B5">
        <w:trPr>
          <w:trHeight w:val="288"/>
        </w:trPr>
        <w:tc>
          <w:tcPr>
            <w:tcW w:w="447" w:type="pct"/>
            <w:vMerge/>
            <w:tcBorders>
              <w:top w:val="nil"/>
              <w:left w:val="single" w:sz="4" w:space="0" w:color="auto"/>
              <w:bottom w:val="single" w:sz="4" w:space="0" w:color="auto"/>
              <w:right w:val="single" w:sz="4" w:space="0" w:color="auto"/>
            </w:tcBorders>
            <w:vAlign w:val="center"/>
            <w:hideMark/>
          </w:tcPr>
          <w:p w14:paraId="3C74EEBD" w14:textId="77777777" w:rsidR="00F24E18" w:rsidRPr="005F3AD7" w:rsidRDefault="00F24E18" w:rsidP="000E18B5">
            <w:pPr>
              <w:spacing w:after="0" w:line="240" w:lineRule="auto"/>
              <w:rPr>
                <w:rFonts w:ascii="Arial" w:eastAsia="Times New Roman" w:hAnsi="Arial" w:cs="Arial"/>
                <w:color w:val="000000"/>
                <w:sz w:val="16"/>
                <w:szCs w:val="16"/>
                <w:lang w:eastAsia="sl-SI"/>
              </w:rPr>
            </w:pPr>
          </w:p>
        </w:tc>
        <w:tc>
          <w:tcPr>
            <w:tcW w:w="487" w:type="pct"/>
            <w:tcBorders>
              <w:top w:val="nil"/>
              <w:left w:val="nil"/>
              <w:bottom w:val="single" w:sz="4" w:space="0" w:color="auto"/>
              <w:right w:val="single" w:sz="4" w:space="0" w:color="auto"/>
            </w:tcBorders>
            <w:shd w:val="clear" w:color="auto" w:fill="auto"/>
            <w:vAlign w:val="center"/>
            <w:hideMark/>
          </w:tcPr>
          <w:p w14:paraId="6CF7A079" w14:textId="77777777" w:rsidR="00F24E18" w:rsidRPr="005F3AD7" w:rsidRDefault="00F24E18" w:rsidP="000E18B5">
            <w:pPr>
              <w:spacing w:after="0" w:line="240" w:lineRule="auto"/>
              <w:rPr>
                <w:rFonts w:ascii="Arial" w:eastAsia="Times New Roman" w:hAnsi="Arial" w:cs="Arial"/>
                <w:b/>
                <w:bCs/>
                <w:color w:val="000000"/>
                <w:sz w:val="16"/>
                <w:szCs w:val="16"/>
                <w:lang w:eastAsia="sl-SI"/>
              </w:rPr>
            </w:pPr>
            <w:r w:rsidRPr="005F3AD7">
              <w:rPr>
                <w:rFonts w:ascii="Arial" w:eastAsia="Times New Roman" w:hAnsi="Arial" w:cs="Arial"/>
                <w:b/>
                <w:bCs/>
                <w:color w:val="000000"/>
                <w:sz w:val="16"/>
                <w:szCs w:val="16"/>
                <w:lang w:eastAsia="sl-SI"/>
              </w:rPr>
              <w:t>Skupaj</w:t>
            </w:r>
          </w:p>
        </w:tc>
        <w:tc>
          <w:tcPr>
            <w:tcW w:w="397" w:type="pct"/>
            <w:tcBorders>
              <w:top w:val="nil"/>
              <w:left w:val="nil"/>
              <w:bottom w:val="single" w:sz="4" w:space="0" w:color="auto"/>
              <w:right w:val="single" w:sz="4" w:space="0" w:color="auto"/>
            </w:tcBorders>
            <w:shd w:val="clear" w:color="auto" w:fill="auto"/>
            <w:vAlign w:val="center"/>
            <w:hideMark/>
          </w:tcPr>
          <w:p w14:paraId="72D43DA9"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3.696</w:t>
            </w:r>
          </w:p>
        </w:tc>
        <w:tc>
          <w:tcPr>
            <w:tcW w:w="704" w:type="pct"/>
            <w:tcBorders>
              <w:top w:val="nil"/>
              <w:left w:val="nil"/>
              <w:bottom w:val="single" w:sz="4" w:space="0" w:color="auto"/>
              <w:right w:val="single" w:sz="4" w:space="0" w:color="auto"/>
            </w:tcBorders>
            <w:shd w:val="clear" w:color="auto" w:fill="auto"/>
            <w:vAlign w:val="center"/>
            <w:hideMark/>
          </w:tcPr>
          <w:p w14:paraId="534E7866"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647.048.105</w:t>
            </w:r>
          </w:p>
        </w:tc>
        <w:tc>
          <w:tcPr>
            <w:tcW w:w="491" w:type="pct"/>
            <w:tcBorders>
              <w:top w:val="nil"/>
              <w:left w:val="nil"/>
              <w:bottom w:val="single" w:sz="4" w:space="0" w:color="auto"/>
              <w:right w:val="single" w:sz="4" w:space="0" w:color="auto"/>
            </w:tcBorders>
            <w:shd w:val="clear" w:color="auto" w:fill="auto"/>
            <w:noWrap/>
            <w:vAlign w:val="center"/>
            <w:hideMark/>
          </w:tcPr>
          <w:p w14:paraId="046DD293"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b/>
                <w:bCs/>
                <w:color w:val="000000"/>
                <w:sz w:val="16"/>
                <w:szCs w:val="16"/>
              </w:rPr>
              <w:t>76,94 %</w:t>
            </w:r>
          </w:p>
        </w:tc>
        <w:tc>
          <w:tcPr>
            <w:tcW w:w="491" w:type="pct"/>
            <w:tcBorders>
              <w:top w:val="nil"/>
              <w:left w:val="nil"/>
              <w:bottom w:val="single" w:sz="4" w:space="0" w:color="auto"/>
              <w:right w:val="single" w:sz="4" w:space="0" w:color="auto"/>
            </w:tcBorders>
            <w:shd w:val="clear" w:color="auto" w:fill="auto"/>
            <w:noWrap/>
            <w:vAlign w:val="center"/>
            <w:hideMark/>
          </w:tcPr>
          <w:p w14:paraId="04340C00"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b/>
                <w:bCs/>
                <w:color w:val="000000"/>
                <w:sz w:val="16"/>
                <w:szCs w:val="16"/>
              </w:rPr>
              <w:t>30,27 %</w:t>
            </w:r>
          </w:p>
        </w:tc>
        <w:tc>
          <w:tcPr>
            <w:tcW w:w="437" w:type="pct"/>
            <w:tcBorders>
              <w:top w:val="nil"/>
              <w:left w:val="nil"/>
              <w:bottom w:val="single" w:sz="4" w:space="0" w:color="auto"/>
              <w:right w:val="single" w:sz="4" w:space="0" w:color="auto"/>
            </w:tcBorders>
            <w:shd w:val="clear" w:color="auto" w:fill="auto"/>
            <w:noWrap/>
            <w:vAlign w:val="center"/>
          </w:tcPr>
          <w:p w14:paraId="5BBD111F"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21,97 %</w:t>
            </w:r>
          </w:p>
        </w:tc>
        <w:tc>
          <w:tcPr>
            <w:tcW w:w="508" w:type="pct"/>
            <w:tcBorders>
              <w:top w:val="nil"/>
              <w:left w:val="nil"/>
              <w:bottom w:val="single" w:sz="4" w:space="0" w:color="auto"/>
              <w:right w:val="single" w:sz="4" w:space="0" w:color="auto"/>
            </w:tcBorders>
            <w:shd w:val="clear" w:color="auto" w:fill="auto"/>
            <w:noWrap/>
            <w:vAlign w:val="center"/>
          </w:tcPr>
          <w:p w14:paraId="7F46CA25"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10,38 %</w:t>
            </w:r>
          </w:p>
        </w:tc>
        <w:tc>
          <w:tcPr>
            <w:tcW w:w="518" w:type="pct"/>
            <w:tcBorders>
              <w:top w:val="nil"/>
              <w:left w:val="nil"/>
              <w:bottom w:val="single" w:sz="4" w:space="0" w:color="auto"/>
              <w:right w:val="single" w:sz="4" w:space="0" w:color="auto"/>
            </w:tcBorders>
            <w:shd w:val="clear" w:color="auto" w:fill="auto"/>
            <w:noWrap/>
            <w:vAlign w:val="center"/>
            <w:hideMark/>
          </w:tcPr>
          <w:p w14:paraId="59C5DF42"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1712BD86"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100,00 %</w:t>
            </w:r>
          </w:p>
        </w:tc>
      </w:tr>
      <w:tr w:rsidR="00F24E18" w:rsidRPr="005F3AD7" w14:paraId="2BF98890" w14:textId="77777777" w:rsidTr="000E18B5">
        <w:trPr>
          <w:trHeight w:val="288"/>
        </w:trPr>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48BD0AC8"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Storitve</w:t>
            </w:r>
          </w:p>
        </w:tc>
        <w:tc>
          <w:tcPr>
            <w:tcW w:w="487" w:type="pct"/>
            <w:tcBorders>
              <w:top w:val="nil"/>
              <w:left w:val="nil"/>
              <w:bottom w:val="single" w:sz="4" w:space="0" w:color="auto"/>
              <w:right w:val="single" w:sz="4" w:space="0" w:color="auto"/>
            </w:tcBorders>
            <w:shd w:val="clear" w:color="auto" w:fill="auto"/>
            <w:vAlign w:val="center"/>
            <w:hideMark/>
          </w:tcPr>
          <w:p w14:paraId="17537EC3"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Slovenija</w:t>
            </w:r>
          </w:p>
        </w:tc>
        <w:tc>
          <w:tcPr>
            <w:tcW w:w="397" w:type="pct"/>
            <w:tcBorders>
              <w:top w:val="nil"/>
              <w:left w:val="nil"/>
              <w:bottom w:val="single" w:sz="4" w:space="0" w:color="auto"/>
              <w:right w:val="single" w:sz="4" w:space="0" w:color="auto"/>
            </w:tcBorders>
            <w:shd w:val="clear" w:color="auto" w:fill="auto"/>
            <w:vAlign w:val="center"/>
            <w:hideMark/>
          </w:tcPr>
          <w:p w14:paraId="7932CC16"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571</w:t>
            </w:r>
          </w:p>
        </w:tc>
        <w:tc>
          <w:tcPr>
            <w:tcW w:w="704" w:type="pct"/>
            <w:tcBorders>
              <w:top w:val="nil"/>
              <w:left w:val="nil"/>
              <w:bottom w:val="single" w:sz="4" w:space="0" w:color="auto"/>
              <w:right w:val="single" w:sz="4" w:space="0" w:color="auto"/>
            </w:tcBorders>
            <w:shd w:val="clear" w:color="auto" w:fill="auto"/>
            <w:vAlign w:val="center"/>
            <w:hideMark/>
          </w:tcPr>
          <w:p w14:paraId="2CCC729C"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797.627.525</w:t>
            </w:r>
          </w:p>
        </w:tc>
        <w:tc>
          <w:tcPr>
            <w:tcW w:w="491" w:type="pct"/>
            <w:tcBorders>
              <w:top w:val="nil"/>
              <w:left w:val="nil"/>
              <w:bottom w:val="single" w:sz="4" w:space="0" w:color="auto"/>
              <w:right w:val="single" w:sz="4" w:space="0" w:color="auto"/>
            </w:tcBorders>
            <w:shd w:val="clear" w:color="auto" w:fill="auto"/>
            <w:noWrap/>
            <w:vAlign w:val="center"/>
            <w:hideMark/>
          </w:tcPr>
          <w:p w14:paraId="3A55A603"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11,89 %</w:t>
            </w:r>
          </w:p>
        </w:tc>
        <w:tc>
          <w:tcPr>
            <w:tcW w:w="491" w:type="pct"/>
            <w:tcBorders>
              <w:top w:val="nil"/>
              <w:left w:val="nil"/>
              <w:bottom w:val="single" w:sz="4" w:space="0" w:color="auto"/>
              <w:right w:val="single" w:sz="4" w:space="0" w:color="auto"/>
            </w:tcBorders>
            <w:shd w:val="clear" w:color="auto" w:fill="auto"/>
            <w:noWrap/>
            <w:vAlign w:val="center"/>
            <w:hideMark/>
          </w:tcPr>
          <w:p w14:paraId="02CE84AE"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37,31 %</w:t>
            </w:r>
          </w:p>
        </w:tc>
        <w:tc>
          <w:tcPr>
            <w:tcW w:w="437" w:type="pct"/>
            <w:tcBorders>
              <w:top w:val="nil"/>
              <w:left w:val="nil"/>
              <w:bottom w:val="single" w:sz="4" w:space="0" w:color="auto"/>
              <w:right w:val="single" w:sz="4" w:space="0" w:color="auto"/>
            </w:tcBorders>
            <w:shd w:val="clear" w:color="auto" w:fill="auto"/>
            <w:noWrap/>
            <w:vAlign w:val="center"/>
          </w:tcPr>
          <w:p w14:paraId="47C4B48B"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3,39 %</w:t>
            </w:r>
          </w:p>
        </w:tc>
        <w:tc>
          <w:tcPr>
            <w:tcW w:w="508" w:type="pct"/>
            <w:tcBorders>
              <w:top w:val="nil"/>
              <w:left w:val="nil"/>
              <w:bottom w:val="single" w:sz="4" w:space="0" w:color="auto"/>
              <w:right w:val="single" w:sz="4" w:space="0" w:color="auto"/>
            </w:tcBorders>
            <w:shd w:val="clear" w:color="auto" w:fill="auto"/>
            <w:noWrap/>
            <w:vAlign w:val="center"/>
          </w:tcPr>
          <w:p w14:paraId="604F0E37"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12,80 %</w:t>
            </w:r>
          </w:p>
        </w:tc>
        <w:tc>
          <w:tcPr>
            <w:tcW w:w="518" w:type="pct"/>
            <w:tcBorders>
              <w:top w:val="nil"/>
              <w:left w:val="nil"/>
              <w:bottom w:val="single" w:sz="4" w:space="0" w:color="auto"/>
              <w:right w:val="single" w:sz="4" w:space="0" w:color="auto"/>
            </w:tcBorders>
            <w:shd w:val="clear" w:color="auto" w:fill="auto"/>
            <w:noWrap/>
            <w:vAlign w:val="center"/>
            <w:hideMark/>
          </w:tcPr>
          <w:p w14:paraId="53E13D07"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99,65 %</w:t>
            </w:r>
          </w:p>
        </w:tc>
        <w:tc>
          <w:tcPr>
            <w:tcW w:w="519" w:type="pct"/>
            <w:tcBorders>
              <w:top w:val="nil"/>
              <w:left w:val="nil"/>
              <w:bottom w:val="single" w:sz="4" w:space="0" w:color="auto"/>
              <w:right w:val="single" w:sz="4" w:space="0" w:color="auto"/>
            </w:tcBorders>
            <w:shd w:val="clear" w:color="auto" w:fill="auto"/>
            <w:noWrap/>
            <w:vAlign w:val="center"/>
            <w:hideMark/>
          </w:tcPr>
          <w:p w14:paraId="02EF28B6"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99,97 %</w:t>
            </w:r>
          </w:p>
        </w:tc>
      </w:tr>
      <w:tr w:rsidR="00F24E18" w:rsidRPr="005F3AD7" w14:paraId="2FD356DA" w14:textId="77777777" w:rsidTr="000E18B5">
        <w:trPr>
          <w:trHeight w:val="288"/>
        </w:trPr>
        <w:tc>
          <w:tcPr>
            <w:tcW w:w="447" w:type="pct"/>
            <w:vMerge/>
            <w:tcBorders>
              <w:top w:val="nil"/>
              <w:left w:val="single" w:sz="4" w:space="0" w:color="auto"/>
              <w:bottom w:val="single" w:sz="4" w:space="0" w:color="auto"/>
              <w:right w:val="single" w:sz="4" w:space="0" w:color="auto"/>
            </w:tcBorders>
            <w:vAlign w:val="center"/>
            <w:hideMark/>
          </w:tcPr>
          <w:p w14:paraId="1EF8C9DE" w14:textId="77777777" w:rsidR="00F24E18" w:rsidRPr="005F3AD7" w:rsidRDefault="00F24E18" w:rsidP="000E18B5">
            <w:pPr>
              <w:spacing w:after="0" w:line="240" w:lineRule="auto"/>
              <w:rPr>
                <w:rFonts w:ascii="Arial" w:eastAsia="Times New Roman" w:hAnsi="Arial" w:cs="Arial"/>
                <w:color w:val="000000"/>
                <w:sz w:val="16"/>
                <w:szCs w:val="16"/>
                <w:lang w:eastAsia="sl-SI"/>
              </w:rPr>
            </w:pPr>
          </w:p>
        </w:tc>
        <w:tc>
          <w:tcPr>
            <w:tcW w:w="487" w:type="pct"/>
            <w:tcBorders>
              <w:top w:val="nil"/>
              <w:left w:val="nil"/>
              <w:bottom w:val="single" w:sz="4" w:space="0" w:color="auto"/>
              <w:right w:val="single" w:sz="4" w:space="0" w:color="auto"/>
            </w:tcBorders>
            <w:shd w:val="clear" w:color="auto" w:fill="auto"/>
            <w:vAlign w:val="center"/>
            <w:hideMark/>
          </w:tcPr>
          <w:p w14:paraId="4965140D"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EU</w:t>
            </w:r>
          </w:p>
        </w:tc>
        <w:tc>
          <w:tcPr>
            <w:tcW w:w="397" w:type="pct"/>
            <w:tcBorders>
              <w:top w:val="nil"/>
              <w:left w:val="nil"/>
              <w:bottom w:val="single" w:sz="4" w:space="0" w:color="auto"/>
              <w:right w:val="single" w:sz="4" w:space="0" w:color="auto"/>
            </w:tcBorders>
            <w:shd w:val="clear" w:color="auto" w:fill="auto"/>
            <w:vAlign w:val="center"/>
            <w:hideMark/>
          </w:tcPr>
          <w:p w14:paraId="45BF1EB9"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2</w:t>
            </w:r>
          </w:p>
        </w:tc>
        <w:tc>
          <w:tcPr>
            <w:tcW w:w="704" w:type="pct"/>
            <w:tcBorders>
              <w:top w:val="nil"/>
              <w:left w:val="nil"/>
              <w:bottom w:val="single" w:sz="4" w:space="0" w:color="auto"/>
              <w:right w:val="single" w:sz="4" w:space="0" w:color="auto"/>
            </w:tcBorders>
            <w:shd w:val="clear" w:color="auto" w:fill="auto"/>
            <w:vAlign w:val="center"/>
            <w:hideMark/>
          </w:tcPr>
          <w:p w14:paraId="500A7D8B"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257.625</w:t>
            </w:r>
          </w:p>
        </w:tc>
        <w:tc>
          <w:tcPr>
            <w:tcW w:w="491" w:type="pct"/>
            <w:tcBorders>
              <w:top w:val="nil"/>
              <w:left w:val="nil"/>
              <w:bottom w:val="single" w:sz="4" w:space="0" w:color="auto"/>
              <w:right w:val="single" w:sz="4" w:space="0" w:color="auto"/>
            </w:tcBorders>
            <w:shd w:val="clear" w:color="auto" w:fill="auto"/>
            <w:noWrap/>
            <w:vAlign w:val="center"/>
            <w:hideMark/>
          </w:tcPr>
          <w:p w14:paraId="3D7F0B46"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0,04 %</w:t>
            </w:r>
          </w:p>
        </w:tc>
        <w:tc>
          <w:tcPr>
            <w:tcW w:w="491" w:type="pct"/>
            <w:tcBorders>
              <w:top w:val="nil"/>
              <w:left w:val="nil"/>
              <w:bottom w:val="single" w:sz="4" w:space="0" w:color="auto"/>
              <w:right w:val="single" w:sz="4" w:space="0" w:color="auto"/>
            </w:tcBorders>
            <w:shd w:val="clear" w:color="auto" w:fill="auto"/>
            <w:noWrap/>
            <w:vAlign w:val="center"/>
            <w:hideMark/>
          </w:tcPr>
          <w:p w14:paraId="4DE044BC"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0,01 %</w:t>
            </w:r>
          </w:p>
        </w:tc>
        <w:tc>
          <w:tcPr>
            <w:tcW w:w="437" w:type="pct"/>
            <w:tcBorders>
              <w:top w:val="nil"/>
              <w:left w:val="nil"/>
              <w:bottom w:val="single" w:sz="4" w:space="0" w:color="auto"/>
              <w:right w:val="single" w:sz="4" w:space="0" w:color="auto"/>
            </w:tcBorders>
            <w:shd w:val="clear" w:color="auto" w:fill="auto"/>
            <w:noWrap/>
            <w:vAlign w:val="center"/>
          </w:tcPr>
          <w:p w14:paraId="2FB9C500"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0,01 %</w:t>
            </w:r>
          </w:p>
        </w:tc>
        <w:tc>
          <w:tcPr>
            <w:tcW w:w="508" w:type="pct"/>
            <w:tcBorders>
              <w:top w:val="nil"/>
              <w:left w:val="nil"/>
              <w:bottom w:val="single" w:sz="4" w:space="0" w:color="auto"/>
              <w:right w:val="single" w:sz="4" w:space="0" w:color="auto"/>
            </w:tcBorders>
            <w:shd w:val="clear" w:color="auto" w:fill="auto"/>
            <w:noWrap/>
            <w:vAlign w:val="center"/>
          </w:tcPr>
          <w:p w14:paraId="04C76FA3"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0,00 %</w:t>
            </w:r>
          </w:p>
        </w:tc>
        <w:tc>
          <w:tcPr>
            <w:tcW w:w="518" w:type="pct"/>
            <w:tcBorders>
              <w:top w:val="nil"/>
              <w:left w:val="nil"/>
              <w:bottom w:val="single" w:sz="4" w:space="0" w:color="auto"/>
              <w:right w:val="single" w:sz="4" w:space="0" w:color="auto"/>
            </w:tcBorders>
            <w:shd w:val="clear" w:color="auto" w:fill="auto"/>
            <w:noWrap/>
            <w:vAlign w:val="center"/>
            <w:hideMark/>
          </w:tcPr>
          <w:p w14:paraId="7212837F"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0,35 %</w:t>
            </w:r>
          </w:p>
        </w:tc>
        <w:tc>
          <w:tcPr>
            <w:tcW w:w="519" w:type="pct"/>
            <w:tcBorders>
              <w:top w:val="nil"/>
              <w:left w:val="nil"/>
              <w:bottom w:val="single" w:sz="4" w:space="0" w:color="auto"/>
              <w:right w:val="single" w:sz="4" w:space="0" w:color="auto"/>
            </w:tcBorders>
            <w:shd w:val="clear" w:color="auto" w:fill="auto"/>
            <w:noWrap/>
            <w:vAlign w:val="center"/>
            <w:hideMark/>
          </w:tcPr>
          <w:p w14:paraId="4B4BA3AF"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0,03 %</w:t>
            </w:r>
          </w:p>
        </w:tc>
      </w:tr>
      <w:tr w:rsidR="00F24E18" w:rsidRPr="005F3AD7" w14:paraId="3B2FED12" w14:textId="77777777" w:rsidTr="000E18B5">
        <w:trPr>
          <w:trHeight w:val="288"/>
        </w:trPr>
        <w:tc>
          <w:tcPr>
            <w:tcW w:w="447" w:type="pct"/>
            <w:vMerge/>
            <w:tcBorders>
              <w:top w:val="nil"/>
              <w:left w:val="single" w:sz="4" w:space="0" w:color="auto"/>
              <w:bottom w:val="single" w:sz="4" w:space="0" w:color="auto"/>
              <w:right w:val="single" w:sz="4" w:space="0" w:color="auto"/>
            </w:tcBorders>
            <w:vAlign w:val="center"/>
            <w:hideMark/>
          </w:tcPr>
          <w:p w14:paraId="59B7C0B6" w14:textId="77777777" w:rsidR="00F24E18" w:rsidRPr="005F3AD7" w:rsidRDefault="00F24E18" w:rsidP="000E18B5">
            <w:pPr>
              <w:spacing w:after="0" w:line="240" w:lineRule="auto"/>
              <w:rPr>
                <w:rFonts w:ascii="Arial" w:eastAsia="Times New Roman" w:hAnsi="Arial" w:cs="Arial"/>
                <w:color w:val="000000"/>
                <w:sz w:val="16"/>
                <w:szCs w:val="16"/>
                <w:lang w:eastAsia="sl-SI"/>
              </w:rPr>
            </w:pPr>
          </w:p>
        </w:tc>
        <w:tc>
          <w:tcPr>
            <w:tcW w:w="487" w:type="pct"/>
            <w:tcBorders>
              <w:top w:val="nil"/>
              <w:left w:val="nil"/>
              <w:bottom w:val="single" w:sz="4" w:space="0" w:color="auto"/>
              <w:right w:val="single" w:sz="4" w:space="0" w:color="auto"/>
            </w:tcBorders>
            <w:shd w:val="clear" w:color="auto" w:fill="auto"/>
            <w:vAlign w:val="center"/>
            <w:hideMark/>
          </w:tcPr>
          <w:p w14:paraId="7968E5F3" w14:textId="77777777" w:rsidR="00F24E18" w:rsidRPr="005F3AD7" w:rsidRDefault="00F24E18" w:rsidP="000E18B5">
            <w:pPr>
              <w:spacing w:after="0" w:line="240" w:lineRule="auto"/>
              <w:rPr>
                <w:rFonts w:ascii="Arial" w:eastAsia="Times New Roman" w:hAnsi="Arial" w:cs="Arial"/>
                <w:b/>
                <w:bCs/>
                <w:color w:val="000000"/>
                <w:sz w:val="16"/>
                <w:szCs w:val="16"/>
                <w:lang w:eastAsia="sl-SI"/>
              </w:rPr>
            </w:pPr>
            <w:r w:rsidRPr="005F3AD7">
              <w:rPr>
                <w:rFonts w:ascii="Arial" w:eastAsia="Times New Roman" w:hAnsi="Arial" w:cs="Arial"/>
                <w:b/>
                <w:bCs/>
                <w:color w:val="000000"/>
                <w:sz w:val="16"/>
                <w:szCs w:val="16"/>
                <w:lang w:eastAsia="sl-SI"/>
              </w:rPr>
              <w:t>Skupaj</w:t>
            </w:r>
          </w:p>
        </w:tc>
        <w:tc>
          <w:tcPr>
            <w:tcW w:w="397" w:type="pct"/>
            <w:tcBorders>
              <w:top w:val="nil"/>
              <w:left w:val="nil"/>
              <w:bottom w:val="single" w:sz="4" w:space="0" w:color="auto"/>
              <w:right w:val="single" w:sz="4" w:space="0" w:color="auto"/>
            </w:tcBorders>
            <w:shd w:val="clear" w:color="auto" w:fill="auto"/>
            <w:vAlign w:val="center"/>
            <w:hideMark/>
          </w:tcPr>
          <w:p w14:paraId="484A8154"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573</w:t>
            </w:r>
          </w:p>
        </w:tc>
        <w:tc>
          <w:tcPr>
            <w:tcW w:w="704" w:type="pct"/>
            <w:tcBorders>
              <w:top w:val="nil"/>
              <w:left w:val="nil"/>
              <w:bottom w:val="single" w:sz="4" w:space="0" w:color="auto"/>
              <w:right w:val="single" w:sz="4" w:space="0" w:color="auto"/>
            </w:tcBorders>
            <w:shd w:val="clear" w:color="auto" w:fill="auto"/>
            <w:vAlign w:val="center"/>
            <w:hideMark/>
          </w:tcPr>
          <w:p w14:paraId="6D505CA3"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797.885.150</w:t>
            </w:r>
          </w:p>
        </w:tc>
        <w:tc>
          <w:tcPr>
            <w:tcW w:w="491" w:type="pct"/>
            <w:tcBorders>
              <w:top w:val="nil"/>
              <w:left w:val="nil"/>
              <w:bottom w:val="single" w:sz="4" w:space="0" w:color="auto"/>
              <w:right w:val="single" w:sz="4" w:space="0" w:color="auto"/>
            </w:tcBorders>
            <w:shd w:val="clear" w:color="auto" w:fill="auto"/>
            <w:noWrap/>
            <w:vAlign w:val="center"/>
            <w:hideMark/>
          </w:tcPr>
          <w:p w14:paraId="3EFED359"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b/>
                <w:bCs/>
                <w:color w:val="000000"/>
                <w:sz w:val="16"/>
                <w:szCs w:val="16"/>
              </w:rPr>
              <w:t>11,93 %</w:t>
            </w:r>
          </w:p>
        </w:tc>
        <w:tc>
          <w:tcPr>
            <w:tcW w:w="491" w:type="pct"/>
            <w:tcBorders>
              <w:top w:val="nil"/>
              <w:left w:val="nil"/>
              <w:bottom w:val="single" w:sz="4" w:space="0" w:color="auto"/>
              <w:right w:val="single" w:sz="4" w:space="0" w:color="auto"/>
            </w:tcBorders>
            <w:shd w:val="clear" w:color="auto" w:fill="auto"/>
            <w:noWrap/>
            <w:vAlign w:val="center"/>
            <w:hideMark/>
          </w:tcPr>
          <w:p w14:paraId="50FEDA2B"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b/>
                <w:bCs/>
                <w:color w:val="000000"/>
                <w:sz w:val="16"/>
                <w:szCs w:val="16"/>
              </w:rPr>
              <w:t>37,32 %</w:t>
            </w:r>
          </w:p>
        </w:tc>
        <w:tc>
          <w:tcPr>
            <w:tcW w:w="437" w:type="pct"/>
            <w:tcBorders>
              <w:top w:val="nil"/>
              <w:left w:val="nil"/>
              <w:bottom w:val="single" w:sz="4" w:space="0" w:color="auto"/>
              <w:right w:val="single" w:sz="4" w:space="0" w:color="auto"/>
            </w:tcBorders>
            <w:shd w:val="clear" w:color="auto" w:fill="auto"/>
            <w:noWrap/>
            <w:vAlign w:val="center"/>
          </w:tcPr>
          <w:p w14:paraId="5C047F7B"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3,41 %</w:t>
            </w:r>
          </w:p>
        </w:tc>
        <w:tc>
          <w:tcPr>
            <w:tcW w:w="508" w:type="pct"/>
            <w:tcBorders>
              <w:top w:val="nil"/>
              <w:left w:val="nil"/>
              <w:bottom w:val="single" w:sz="4" w:space="0" w:color="auto"/>
              <w:right w:val="single" w:sz="4" w:space="0" w:color="auto"/>
            </w:tcBorders>
            <w:shd w:val="clear" w:color="auto" w:fill="auto"/>
            <w:noWrap/>
            <w:vAlign w:val="center"/>
          </w:tcPr>
          <w:p w14:paraId="339B860C"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12,80 %</w:t>
            </w:r>
          </w:p>
        </w:tc>
        <w:tc>
          <w:tcPr>
            <w:tcW w:w="518" w:type="pct"/>
            <w:tcBorders>
              <w:top w:val="nil"/>
              <w:left w:val="nil"/>
              <w:bottom w:val="single" w:sz="4" w:space="0" w:color="auto"/>
              <w:right w:val="single" w:sz="4" w:space="0" w:color="auto"/>
            </w:tcBorders>
            <w:shd w:val="clear" w:color="auto" w:fill="auto"/>
            <w:noWrap/>
            <w:vAlign w:val="center"/>
            <w:hideMark/>
          </w:tcPr>
          <w:p w14:paraId="70725791"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6D965461"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100,00 %</w:t>
            </w:r>
          </w:p>
        </w:tc>
      </w:tr>
      <w:tr w:rsidR="00F24E18" w:rsidRPr="005F3AD7" w14:paraId="3884E48E" w14:textId="77777777" w:rsidTr="000E18B5">
        <w:trPr>
          <w:trHeight w:val="288"/>
        </w:trPr>
        <w:tc>
          <w:tcPr>
            <w:tcW w:w="447" w:type="pct"/>
            <w:vMerge w:val="restart"/>
            <w:tcBorders>
              <w:top w:val="nil"/>
              <w:left w:val="single" w:sz="4" w:space="0" w:color="auto"/>
              <w:bottom w:val="single" w:sz="4" w:space="0" w:color="auto"/>
              <w:right w:val="single" w:sz="4" w:space="0" w:color="auto"/>
            </w:tcBorders>
            <w:shd w:val="clear" w:color="auto" w:fill="auto"/>
            <w:vAlign w:val="center"/>
            <w:hideMark/>
          </w:tcPr>
          <w:p w14:paraId="38A6B1AB"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Gradnje</w:t>
            </w:r>
          </w:p>
        </w:tc>
        <w:tc>
          <w:tcPr>
            <w:tcW w:w="487" w:type="pct"/>
            <w:tcBorders>
              <w:top w:val="nil"/>
              <w:left w:val="nil"/>
              <w:bottom w:val="single" w:sz="4" w:space="0" w:color="auto"/>
              <w:right w:val="single" w:sz="4" w:space="0" w:color="auto"/>
            </w:tcBorders>
            <w:shd w:val="clear" w:color="auto" w:fill="auto"/>
            <w:vAlign w:val="center"/>
            <w:hideMark/>
          </w:tcPr>
          <w:p w14:paraId="6DFAB6B3"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Slovenija</w:t>
            </w:r>
          </w:p>
        </w:tc>
        <w:tc>
          <w:tcPr>
            <w:tcW w:w="397" w:type="pct"/>
            <w:tcBorders>
              <w:top w:val="nil"/>
              <w:left w:val="nil"/>
              <w:bottom w:val="single" w:sz="4" w:space="0" w:color="auto"/>
              <w:right w:val="single" w:sz="4" w:space="0" w:color="auto"/>
            </w:tcBorders>
            <w:shd w:val="clear" w:color="auto" w:fill="auto"/>
            <w:vAlign w:val="center"/>
            <w:hideMark/>
          </w:tcPr>
          <w:p w14:paraId="463FD91A"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531</w:t>
            </w:r>
          </w:p>
        </w:tc>
        <w:tc>
          <w:tcPr>
            <w:tcW w:w="704" w:type="pct"/>
            <w:tcBorders>
              <w:top w:val="nil"/>
              <w:left w:val="nil"/>
              <w:bottom w:val="single" w:sz="4" w:space="0" w:color="auto"/>
              <w:right w:val="single" w:sz="4" w:space="0" w:color="auto"/>
            </w:tcBorders>
            <w:shd w:val="clear" w:color="auto" w:fill="auto"/>
            <w:vAlign w:val="center"/>
            <w:hideMark/>
          </w:tcPr>
          <w:p w14:paraId="1A789FD3"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685.633.691</w:t>
            </w:r>
          </w:p>
        </w:tc>
        <w:tc>
          <w:tcPr>
            <w:tcW w:w="491" w:type="pct"/>
            <w:tcBorders>
              <w:top w:val="nil"/>
              <w:left w:val="nil"/>
              <w:bottom w:val="single" w:sz="4" w:space="0" w:color="auto"/>
              <w:right w:val="single" w:sz="4" w:space="0" w:color="auto"/>
            </w:tcBorders>
            <w:shd w:val="clear" w:color="auto" w:fill="auto"/>
            <w:noWrap/>
            <w:vAlign w:val="center"/>
            <w:hideMark/>
          </w:tcPr>
          <w:p w14:paraId="20983247"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11,05 %</w:t>
            </w:r>
          </w:p>
        </w:tc>
        <w:tc>
          <w:tcPr>
            <w:tcW w:w="491" w:type="pct"/>
            <w:tcBorders>
              <w:top w:val="nil"/>
              <w:left w:val="nil"/>
              <w:bottom w:val="single" w:sz="4" w:space="0" w:color="auto"/>
              <w:right w:val="single" w:sz="4" w:space="0" w:color="auto"/>
            </w:tcBorders>
            <w:shd w:val="clear" w:color="auto" w:fill="auto"/>
            <w:noWrap/>
            <w:vAlign w:val="center"/>
            <w:hideMark/>
          </w:tcPr>
          <w:p w14:paraId="09CD925B"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32,07 %</w:t>
            </w:r>
          </w:p>
        </w:tc>
        <w:tc>
          <w:tcPr>
            <w:tcW w:w="437" w:type="pct"/>
            <w:tcBorders>
              <w:top w:val="nil"/>
              <w:left w:val="nil"/>
              <w:bottom w:val="single" w:sz="4" w:space="0" w:color="auto"/>
              <w:right w:val="single" w:sz="4" w:space="0" w:color="auto"/>
            </w:tcBorders>
            <w:shd w:val="clear" w:color="auto" w:fill="auto"/>
            <w:noWrap/>
            <w:vAlign w:val="center"/>
          </w:tcPr>
          <w:p w14:paraId="2E746841"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3,16 %</w:t>
            </w:r>
          </w:p>
        </w:tc>
        <w:tc>
          <w:tcPr>
            <w:tcW w:w="508" w:type="pct"/>
            <w:tcBorders>
              <w:top w:val="nil"/>
              <w:left w:val="nil"/>
              <w:bottom w:val="single" w:sz="4" w:space="0" w:color="auto"/>
              <w:right w:val="single" w:sz="4" w:space="0" w:color="auto"/>
            </w:tcBorders>
            <w:shd w:val="clear" w:color="auto" w:fill="auto"/>
            <w:noWrap/>
            <w:vAlign w:val="center"/>
          </w:tcPr>
          <w:p w14:paraId="42D04C1F"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11,00 %</w:t>
            </w:r>
          </w:p>
        </w:tc>
        <w:tc>
          <w:tcPr>
            <w:tcW w:w="518" w:type="pct"/>
            <w:tcBorders>
              <w:top w:val="nil"/>
              <w:left w:val="nil"/>
              <w:bottom w:val="single" w:sz="4" w:space="0" w:color="auto"/>
              <w:right w:val="single" w:sz="4" w:space="0" w:color="auto"/>
            </w:tcBorders>
            <w:shd w:val="clear" w:color="auto" w:fill="auto"/>
            <w:noWrap/>
            <w:vAlign w:val="center"/>
            <w:hideMark/>
          </w:tcPr>
          <w:p w14:paraId="4C05182E"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99,25 %</w:t>
            </w:r>
          </w:p>
        </w:tc>
        <w:tc>
          <w:tcPr>
            <w:tcW w:w="519" w:type="pct"/>
            <w:tcBorders>
              <w:top w:val="nil"/>
              <w:left w:val="nil"/>
              <w:bottom w:val="single" w:sz="4" w:space="0" w:color="auto"/>
              <w:right w:val="single" w:sz="4" w:space="0" w:color="auto"/>
            </w:tcBorders>
            <w:shd w:val="clear" w:color="auto" w:fill="auto"/>
            <w:noWrap/>
            <w:vAlign w:val="center"/>
            <w:hideMark/>
          </w:tcPr>
          <w:p w14:paraId="7A7D6B28"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98,97 %</w:t>
            </w:r>
          </w:p>
        </w:tc>
      </w:tr>
      <w:tr w:rsidR="00F24E18" w:rsidRPr="005F3AD7" w14:paraId="2FB76C59" w14:textId="77777777" w:rsidTr="000E18B5">
        <w:trPr>
          <w:trHeight w:val="288"/>
        </w:trPr>
        <w:tc>
          <w:tcPr>
            <w:tcW w:w="447" w:type="pct"/>
            <w:vMerge/>
            <w:tcBorders>
              <w:top w:val="nil"/>
              <w:left w:val="single" w:sz="4" w:space="0" w:color="auto"/>
              <w:bottom w:val="single" w:sz="4" w:space="0" w:color="auto"/>
              <w:right w:val="single" w:sz="4" w:space="0" w:color="auto"/>
            </w:tcBorders>
            <w:vAlign w:val="center"/>
            <w:hideMark/>
          </w:tcPr>
          <w:p w14:paraId="5D40DB59" w14:textId="77777777" w:rsidR="00F24E18" w:rsidRPr="005F3AD7" w:rsidRDefault="00F24E18" w:rsidP="000E18B5">
            <w:pPr>
              <w:spacing w:after="0" w:line="240" w:lineRule="auto"/>
              <w:rPr>
                <w:rFonts w:ascii="Arial" w:eastAsia="Times New Roman" w:hAnsi="Arial" w:cs="Arial"/>
                <w:color w:val="000000"/>
                <w:sz w:val="16"/>
                <w:szCs w:val="16"/>
                <w:lang w:eastAsia="sl-SI"/>
              </w:rPr>
            </w:pPr>
          </w:p>
        </w:tc>
        <w:tc>
          <w:tcPr>
            <w:tcW w:w="487" w:type="pct"/>
            <w:tcBorders>
              <w:top w:val="nil"/>
              <w:left w:val="nil"/>
              <w:bottom w:val="single" w:sz="4" w:space="0" w:color="auto"/>
              <w:right w:val="single" w:sz="4" w:space="0" w:color="auto"/>
            </w:tcBorders>
            <w:shd w:val="clear" w:color="auto" w:fill="auto"/>
            <w:vAlign w:val="center"/>
            <w:hideMark/>
          </w:tcPr>
          <w:p w14:paraId="1C2BD547" w14:textId="77777777" w:rsidR="00F24E18" w:rsidRPr="005F3AD7" w:rsidRDefault="00F24E18" w:rsidP="000E18B5">
            <w:pPr>
              <w:spacing w:after="0" w:line="240" w:lineRule="auto"/>
              <w:rPr>
                <w:rFonts w:ascii="Arial" w:eastAsia="Times New Roman" w:hAnsi="Arial" w:cs="Arial"/>
                <w:color w:val="000000"/>
                <w:sz w:val="16"/>
                <w:szCs w:val="16"/>
                <w:lang w:eastAsia="sl-SI"/>
              </w:rPr>
            </w:pPr>
            <w:r w:rsidRPr="005F3AD7">
              <w:rPr>
                <w:rFonts w:ascii="Arial" w:eastAsia="Times New Roman" w:hAnsi="Arial" w:cs="Arial"/>
                <w:color w:val="000000"/>
                <w:sz w:val="16"/>
                <w:szCs w:val="16"/>
                <w:lang w:eastAsia="sl-SI"/>
              </w:rPr>
              <w:t>EU</w:t>
            </w:r>
          </w:p>
        </w:tc>
        <w:tc>
          <w:tcPr>
            <w:tcW w:w="397" w:type="pct"/>
            <w:tcBorders>
              <w:top w:val="nil"/>
              <w:left w:val="nil"/>
              <w:bottom w:val="single" w:sz="4" w:space="0" w:color="auto"/>
              <w:right w:val="single" w:sz="4" w:space="0" w:color="auto"/>
            </w:tcBorders>
            <w:shd w:val="clear" w:color="auto" w:fill="auto"/>
            <w:vAlign w:val="center"/>
            <w:hideMark/>
          </w:tcPr>
          <w:p w14:paraId="58A1C681"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4</w:t>
            </w:r>
          </w:p>
        </w:tc>
        <w:tc>
          <w:tcPr>
            <w:tcW w:w="704" w:type="pct"/>
            <w:tcBorders>
              <w:top w:val="nil"/>
              <w:left w:val="nil"/>
              <w:bottom w:val="single" w:sz="4" w:space="0" w:color="auto"/>
              <w:right w:val="single" w:sz="4" w:space="0" w:color="auto"/>
            </w:tcBorders>
            <w:shd w:val="clear" w:color="auto" w:fill="auto"/>
            <w:vAlign w:val="center"/>
            <w:hideMark/>
          </w:tcPr>
          <w:p w14:paraId="5149282A"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7.104.968</w:t>
            </w:r>
          </w:p>
        </w:tc>
        <w:tc>
          <w:tcPr>
            <w:tcW w:w="491" w:type="pct"/>
            <w:tcBorders>
              <w:top w:val="nil"/>
              <w:left w:val="nil"/>
              <w:bottom w:val="single" w:sz="4" w:space="0" w:color="auto"/>
              <w:right w:val="single" w:sz="4" w:space="0" w:color="auto"/>
            </w:tcBorders>
            <w:shd w:val="clear" w:color="auto" w:fill="auto"/>
            <w:noWrap/>
            <w:vAlign w:val="center"/>
            <w:hideMark/>
          </w:tcPr>
          <w:p w14:paraId="7E96C346"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0,08 %</w:t>
            </w:r>
          </w:p>
        </w:tc>
        <w:tc>
          <w:tcPr>
            <w:tcW w:w="491" w:type="pct"/>
            <w:tcBorders>
              <w:top w:val="nil"/>
              <w:left w:val="nil"/>
              <w:bottom w:val="single" w:sz="4" w:space="0" w:color="auto"/>
              <w:right w:val="single" w:sz="4" w:space="0" w:color="auto"/>
            </w:tcBorders>
            <w:shd w:val="clear" w:color="auto" w:fill="auto"/>
            <w:noWrap/>
            <w:vAlign w:val="center"/>
            <w:hideMark/>
          </w:tcPr>
          <w:p w14:paraId="78CE4378"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0,33 %</w:t>
            </w:r>
          </w:p>
        </w:tc>
        <w:tc>
          <w:tcPr>
            <w:tcW w:w="437" w:type="pct"/>
            <w:tcBorders>
              <w:top w:val="nil"/>
              <w:left w:val="nil"/>
              <w:bottom w:val="single" w:sz="4" w:space="0" w:color="auto"/>
              <w:right w:val="single" w:sz="4" w:space="0" w:color="auto"/>
            </w:tcBorders>
            <w:shd w:val="clear" w:color="auto" w:fill="auto"/>
            <w:noWrap/>
            <w:vAlign w:val="center"/>
          </w:tcPr>
          <w:p w14:paraId="1BFF5A4B"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0,02 %</w:t>
            </w:r>
          </w:p>
        </w:tc>
        <w:tc>
          <w:tcPr>
            <w:tcW w:w="508" w:type="pct"/>
            <w:tcBorders>
              <w:top w:val="nil"/>
              <w:left w:val="nil"/>
              <w:bottom w:val="single" w:sz="4" w:space="0" w:color="auto"/>
              <w:right w:val="single" w:sz="4" w:space="0" w:color="auto"/>
            </w:tcBorders>
            <w:shd w:val="clear" w:color="auto" w:fill="auto"/>
            <w:noWrap/>
            <w:vAlign w:val="center"/>
          </w:tcPr>
          <w:p w14:paraId="2E37A0ED"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0,11 %</w:t>
            </w:r>
          </w:p>
        </w:tc>
        <w:tc>
          <w:tcPr>
            <w:tcW w:w="518" w:type="pct"/>
            <w:tcBorders>
              <w:top w:val="nil"/>
              <w:left w:val="nil"/>
              <w:bottom w:val="single" w:sz="4" w:space="0" w:color="auto"/>
              <w:right w:val="single" w:sz="4" w:space="0" w:color="auto"/>
            </w:tcBorders>
            <w:shd w:val="clear" w:color="auto" w:fill="auto"/>
            <w:noWrap/>
            <w:vAlign w:val="center"/>
            <w:hideMark/>
          </w:tcPr>
          <w:p w14:paraId="272567FC"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0,75 %</w:t>
            </w:r>
          </w:p>
        </w:tc>
        <w:tc>
          <w:tcPr>
            <w:tcW w:w="519" w:type="pct"/>
            <w:tcBorders>
              <w:top w:val="nil"/>
              <w:left w:val="nil"/>
              <w:bottom w:val="single" w:sz="4" w:space="0" w:color="auto"/>
              <w:right w:val="single" w:sz="4" w:space="0" w:color="auto"/>
            </w:tcBorders>
            <w:shd w:val="clear" w:color="auto" w:fill="auto"/>
            <w:noWrap/>
            <w:vAlign w:val="center"/>
            <w:hideMark/>
          </w:tcPr>
          <w:p w14:paraId="6112F7C0"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color w:val="000000"/>
                <w:sz w:val="16"/>
                <w:szCs w:val="16"/>
              </w:rPr>
              <w:t>1,03 %</w:t>
            </w:r>
          </w:p>
        </w:tc>
      </w:tr>
      <w:tr w:rsidR="00F24E18" w:rsidRPr="005F3AD7" w14:paraId="2B2B1851" w14:textId="77777777" w:rsidTr="000E18B5">
        <w:trPr>
          <w:trHeight w:val="288"/>
        </w:trPr>
        <w:tc>
          <w:tcPr>
            <w:tcW w:w="447" w:type="pct"/>
            <w:vMerge/>
            <w:tcBorders>
              <w:top w:val="nil"/>
              <w:left w:val="single" w:sz="4" w:space="0" w:color="auto"/>
              <w:bottom w:val="single" w:sz="4" w:space="0" w:color="auto"/>
              <w:right w:val="single" w:sz="4" w:space="0" w:color="auto"/>
            </w:tcBorders>
            <w:vAlign w:val="center"/>
            <w:hideMark/>
          </w:tcPr>
          <w:p w14:paraId="2AC465E1" w14:textId="77777777" w:rsidR="00F24E18" w:rsidRPr="005F3AD7" w:rsidRDefault="00F24E18" w:rsidP="000E18B5">
            <w:pPr>
              <w:spacing w:after="0" w:line="240" w:lineRule="auto"/>
              <w:rPr>
                <w:rFonts w:ascii="Arial" w:eastAsia="Times New Roman" w:hAnsi="Arial" w:cs="Arial"/>
                <w:color w:val="000000"/>
                <w:sz w:val="16"/>
                <w:szCs w:val="16"/>
                <w:lang w:eastAsia="sl-SI"/>
              </w:rPr>
            </w:pPr>
          </w:p>
        </w:tc>
        <w:tc>
          <w:tcPr>
            <w:tcW w:w="487" w:type="pct"/>
            <w:tcBorders>
              <w:top w:val="nil"/>
              <w:left w:val="nil"/>
              <w:bottom w:val="single" w:sz="4" w:space="0" w:color="auto"/>
              <w:right w:val="single" w:sz="4" w:space="0" w:color="auto"/>
            </w:tcBorders>
            <w:shd w:val="clear" w:color="auto" w:fill="auto"/>
            <w:vAlign w:val="center"/>
            <w:hideMark/>
          </w:tcPr>
          <w:p w14:paraId="4B853085" w14:textId="77777777" w:rsidR="00F24E18" w:rsidRPr="005F3AD7" w:rsidRDefault="00F24E18" w:rsidP="000E18B5">
            <w:pPr>
              <w:spacing w:after="0" w:line="240" w:lineRule="auto"/>
              <w:rPr>
                <w:rFonts w:ascii="Arial" w:eastAsia="Times New Roman" w:hAnsi="Arial" w:cs="Arial"/>
                <w:b/>
                <w:bCs/>
                <w:color w:val="000000"/>
                <w:sz w:val="16"/>
                <w:szCs w:val="16"/>
                <w:lang w:eastAsia="sl-SI"/>
              </w:rPr>
            </w:pPr>
            <w:r w:rsidRPr="005F3AD7">
              <w:rPr>
                <w:rFonts w:ascii="Arial" w:eastAsia="Times New Roman" w:hAnsi="Arial" w:cs="Arial"/>
                <w:b/>
                <w:bCs/>
                <w:color w:val="000000"/>
                <w:sz w:val="16"/>
                <w:szCs w:val="16"/>
                <w:lang w:eastAsia="sl-SI"/>
              </w:rPr>
              <w:t>Skupaj</w:t>
            </w:r>
          </w:p>
        </w:tc>
        <w:tc>
          <w:tcPr>
            <w:tcW w:w="397" w:type="pct"/>
            <w:tcBorders>
              <w:top w:val="nil"/>
              <w:left w:val="nil"/>
              <w:bottom w:val="single" w:sz="4" w:space="0" w:color="auto"/>
              <w:right w:val="single" w:sz="4" w:space="0" w:color="auto"/>
            </w:tcBorders>
            <w:shd w:val="clear" w:color="auto" w:fill="auto"/>
            <w:noWrap/>
            <w:vAlign w:val="center"/>
            <w:hideMark/>
          </w:tcPr>
          <w:p w14:paraId="4FA3389B"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535</w:t>
            </w:r>
          </w:p>
        </w:tc>
        <w:tc>
          <w:tcPr>
            <w:tcW w:w="704" w:type="pct"/>
            <w:tcBorders>
              <w:top w:val="nil"/>
              <w:left w:val="nil"/>
              <w:bottom w:val="single" w:sz="4" w:space="0" w:color="auto"/>
              <w:right w:val="single" w:sz="4" w:space="0" w:color="auto"/>
            </w:tcBorders>
            <w:shd w:val="clear" w:color="auto" w:fill="auto"/>
            <w:noWrap/>
            <w:vAlign w:val="center"/>
            <w:hideMark/>
          </w:tcPr>
          <w:p w14:paraId="43BF676D"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692.738.659</w:t>
            </w:r>
          </w:p>
        </w:tc>
        <w:tc>
          <w:tcPr>
            <w:tcW w:w="491" w:type="pct"/>
            <w:tcBorders>
              <w:top w:val="nil"/>
              <w:left w:val="nil"/>
              <w:bottom w:val="single" w:sz="4" w:space="0" w:color="auto"/>
              <w:right w:val="single" w:sz="4" w:space="0" w:color="auto"/>
            </w:tcBorders>
            <w:shd w:val="clear" w:color="auto" w:fill="auto"/>
            <w:noWrap/>
            <w:vAlign w:val="center"/>
            <w:hideMark/>
          </w:tcPr>
          <w:p w14:paraId="20EFA7A0"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b/>
                <w:bCs/>
                <w:color w:val="000000"/>
                <w:sz w:val="16"/>
                <w:szCs w:val="16"/>
              </w:rPr>
              <w:t>11,14 %</w:t>
            </w:r>
          </w:p>
        </w:tc>
        <w:tc>
          <w:tcPr>
            <w:tcW w:w="491" w:type="pct"/>
            <w:tcBorders>
              <w:top w:val="nil"/>
              <w:left w:val="nil"/>
              <w:bottom w:val="single" w:sz="4" w:space="0" w:color="auto"/>
              <w:right w:val="single" w:sz="4" w:space="0" w:color="auto"/>
            </w:tcBorders>
            <w:shd w:val="clear" w:color="auto" w:fill="auto"/>
            <w:noWrap/>
            <w:vAlign w:val="center"/>
            <w:hideMark/>
          </w:tcPr>
          <w:p w14:paraId="24FE759A" w14:textId="77777777" w:rsidR="00F24E18" w:rsidRPr="005F3AD7" w:rsidRDefault="00F24E18" w:rsidP="000E18B5">
            <w:pPr>
              <w:spacing w:after="0" w:line="240" w:lineRule="auto"/>
              <w:jc w:val="right"/>
              <w:rPr>
                <w:rFonts w:ascii="Arial" w:eastAsia="Times New Roman" w:hAnsi="Arial" w:cs="Arial"/>
                <w:color w:val="000000"/>
                <w:sz w:val="16"/>
                <w:szCs w:val="16"/>
                <w:lang w:eastAsia="sl-SI"/>
              </w:rPr>
            </w:pPr>
            <w:r w:rsidRPr="005F3AD7">
              <w:rPr>
                <w:rFonts w:ascii="Arial" w:hAnsi="Arial" w:cs="Arial"/>
                <w:b/>
                <w:bCs/>
                <w:color w:val="000000"/>
                <w:sz w:val="16"/>
                <w:szCs w:val="16"/>
              </w:rPr>
              <w:t>32,41 %</w:t>
            </w:r>
          </w:p>
        </w:tc>
        <w:tc>
          <w:tcPr>
            <w:tcW w:w="437" w:type="pct"/>
            <w:tcBorders>
              <w:top w:val="nil"/>
              <w:left w:val="nil"/>
              <w:bottom w:val="single" w:sz="4" w:space="0" w:color="auto"/>
              <w:right w:val="single" w:sz="4" w:space="0" w:color="auto"/>
            </w:tcBorders>
            <w:shd w:val="clear" w:color="auto" w:fill="auto"/>
            <w:noWrap/>
            <w:vAlign w:val="center"/>
          </w:tcPr>
          <w:p w14:paraId="50F24B91"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3,18 %</w:t>
            </w:r>
          </w:p>
        </w:tc>
        <w:tc>
          <w:tcPr>
            <w:tcW w:w="508" w:type="pct"/>
            <w:tcBorders>
              <w:top w:val="nil"/>
              <w:left w:val="nil"/>
              <w:bottom w:val="single" w:sz="4" w:space="0" w:color="auto"/>
              <w:right w:val="single" w:sz="4" w:space="0" w:color="auto"/>
            </w:tcBorders>
            <w:shd w:val="clear" w:color="auto" w:fill="auto"/>
            <w:noWrap/>
            <w:vAlign w:val="center"/>
          </w:tcPr>
          <w:p w14:paraId="7A49E379"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11,12 %</w:t>
            </w:r>
          </w:p>
        </w:tc>
        <w:tc>
          <w:tcPr>
            <w:tcW w:w="518" w:type="pct"/>
            <w:tcBorders>
              <w:top w:val="nil"/>
              <w:left w:val="nil"/>
              <w:bottom w:val="single" w:sz="4" w:space="0" w:color="auto"/>
              <w:right w:val="single" w:sz="4" w:space="0" w:color="auto"/>
            </w:tcBorders>
            <w:shd w:val="clear" w:color="auto" w:fill="auto"/>
            <w:noWrap/>
            <w:vAlign w:val="center"/>
            <w:hideMark/>
          </w:tcPr>
          <w:p w14:paraId="7FA88513"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100,00 %</w:t>
            </w:r>
          </w:p>
        </w:tc>
        <w:tc>
          <w:tcPr>
            <w:tcW w:w="519" w:type="pct"/>
            <w:tcBorders>
              <w:top w:val="nil"/>
              <w:left w:val="nil"/>
              <w:bottom w:val="single" w:sz="4" w:space="0" w:color="auto"/>
              <w:right w:val="single" w:sz="4" w:space="0" w:color="auto"/>
            </w:tcBorders>
            <w:shd w:val="clear" w:color="auto" w:fill="auto"/>
            <w:noWrap/>
            <w:vAlign w:val="center"/>
            <w:hideMark/>
          </w:tcPr>
          <w:p w14:paraId="7F062E4C"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100,00 %</w:t>
            </w:r>
          </w:p>
        </w:tc>
      </w:tr>
      <w:tr w:rsidR="00F24E18" w:rsidRPr="005F3AD7" w14:paraId="7F0B3933" w14:textId="77777777" w:rsidTr="000E18B5">
        <w:trPr>
          <w:gridAfter w:val="2"/>
          <w:wAfter w:w="1037" w:type="pct"/>
          <w:trHeight w:val="288"/>
        </w:trPr>
        <w:tc>
          <w:tcPr>
            <w:tcW w:w="93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5094E6" w14:textId="77777777" w:rsidR="00F24E18" w:rsidRPr="005F3AD7" w:rsidRDefault="00F24E18" w:rsidP="000E18B5">
            <w:pPr>
              <w:spacing w:after="0" w:line="240" w:lineRule="auto"/>
              <w:rPr>
                <w:rFonts w:ascii="Arial" w:eastAsia="Times New Roman" w:hAnsi="Arial" w:cs="Arial"/>
                <w:b/>
                <w:bCs/>
                <w:color w:val="000000"/>
                <w:sz w:val="16"/>
                <w:szCs w:val="16"/>
                <w:lang w:eastAsia="sl-SI"/>
              </w:rPr>
            </w:pPr>
            <w:r w:rsidRPr="005F3AD7">
              <w:rPr>
                <w:rFonts w:ascii="Arial" w:eastAsia="Times New Roman" w:hAnsi="Arial" w:cs="Arial"/>
                <w:b/>
                <w:bCs/>
                <w:color w:val="000000"/>
                <w:sz w:val="16"/>
                <w:szCs w:val="16"/>
                <w:lang w:eastAsia="sl-SI"/>
              </w:rPr>
              <w:t>Skupaj</w:t>
            </w:r>
          </w:p>
        </w:tc>
        <w:tc>
          <w:tcPr>
            <w:tcW w:w="397" w:type="pct"/>
            <w:tcBorders>
              <w:top w:val="nil"/>
              <w:left w:val="nil"/>
              <w:bottom w:val="single" w:sz="4" w:space="0" w:color="auto"/>
              <w:right w:val="single" w:sz="4" w:space="0" w:color="auto"/>
            </w:tcBorders>
            <w:shd w:val="clear" w:color="auto" w:fill="F2F2F2" w:themeFill="background1" w:themeFillShade="F2"/>
            <w:noWrap/>
            <w:vAlign w:val="center"/>
            <w:hideMark/>
          </w:tcPr>
          <w:p w14:paraId="416CFB3E"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4.804</w:t>
            </w:r>
          </w:p>
        </w:tc>
        <w:tc>
          <w:tcPr>
            <w:tcW w:w="704" w:type="pct"/>
            <w:tcBorders>
              <w:top w:val="nil"/>
              <w:left w:val="nil"/>
              <w:bottom w:val="single" w:sz="4" w:space="0" w:color="auto"/>
              <w:right w:val="single" w:sz="4" w:space="0" w:color="auto"/>
            </w:tcBorders>
            <w:shd w:val="clear" w:color="auto" w:fill="F2F2F2" w:themeFill="background1" w:themeFillShade="F2"/>
            <w:noWrap/>
            <w:vAlign w:val="center"/>
            <w:hideMark/>
          </w:tcPr>
          <w:p w14:paraId="0CEF6280"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2.137.671.914</w:t>
            </w:r>
          </w:p>
        </w:tc>
        <w:tc>
          <w:tcPr>
            <w:tcW w:w="491" w:type="pct"/>
            <w:tcBorders>
              <w:top w:val="nil"/>
              <w:left w:val="nil"/>
              <w:bottom w:val="single" w:sz="4" w:space="0" w:color="auto"/>
              <w:right w:val="single" w:sz="4" w:space="0" w:color="auto"/>
            </w:tcBorders>
            <w:shd w:val="clear" w:color="auto" w:fill="F2F2F2" w:themeFill="background1" w:themeFillShade="F2"/>
            <w:noWrap/>
            <w:vAlign w:val="center"/>
            <w:hideMark/>
          </w:tcPr>
          <w:p w14:paraId="56A28E55"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eastAsia="Times New Roman" w:hAnsi="Arial" w:cs="Arial"/>
                <w:b/>
                <w:bCs/>
                <w:color w:val="000000"/>
                <w:sz w:val="16"/>
                <w:szCs w:val="16"/>
                <w:lang w:eastAsia="sl-SI"/>
              </w:rPr>
              <w:t>100,00  %</w:t>
            </w:r>
          </w:p>
        </w:tc>
        <w:tc>
          <w:tcPr>
            <w:tcW w:w="491" w:type="pct"/>
            <w:tcBorders>
              <w:top w:val="nil"/>
              <w:left w:val="nil"/>
              <w:bottom w:val="single" w:sz="4" w:space="0" w:color="auto"/>
              <w:right w:val="single" w:sz="4" w:space="0" w:color="auto"/>
            </w:tcBorders>
            <w:shd w:val="clear" w:color="auto" w:fill="F2F2F2" w:themeFill="background1" w:themeFillShade="F2"/>
            <w:noWrap/>
            <w:vAlign w:val="center"/>
            <w:hideMark/>
          </w:tcPr>
          <w:p w14:paraId="353B37CF"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eastAsia="Times New Roman" w:hAnsi="Arial" w:cs="Arial"/>
                <w:b/>
                <w:bCs/>
                <w:color w:val="000000"/>
                <w:sz w:val="16"/>
                <w:szCs w:val="16"/>
                <w:lang w:eastAsia="sl-SI"/>
              </w:rPr>
              <w:t>100,00  %</w:t>
            </w:r>
          </w:p>
        </w:tc>
        <w:tc>
          <w:tcPr>
            <w:tcW w:w="437" w:type="pct"/>
            <w:tcBorders>
              <w:top w:val="nil"/>
              <w:left w:val="nil"/>
              <w:bottom w:val="single" w:sz="4" w:space="0" w:color="auto"/>
              <w:right w:val="single" w:sz="4" w:space="0" w:color="auto"/>
            </w:tcBorders>
            <w:shd w:val="clear" w:color="auto" w:fill="F2F2F2" w:themeFill="background1" w:themeFillShade="F2"/>
            <w:noWrap/>
            <w:vAlign w:val="center"/>
          </w:tcPr>
          <w:p w14:paraId="3BD8CD60"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28,55 %</w:t>
            </w:r>
          </w:p>
        </w:tc>
        <w:tc>
          <w:tcPr>
            <w:tcW w:w="508" w:type="pct"/>
            <w:tcBorders>
              <w:top w:val="nil"/>
              <w:left w:val="nil"/>
              <w:bottom w:val="single" w:sz="4" w:space="0" w:color="auto"/>
              <w:right w:val="single" w:sz="4" w:space="0" w:color="auto"/>
            </w:tcBorders>
            <w:shd w:val="clear" w:color="auto" w:fill="F2F2F2" w:themeFill="background1" w:themeFillShade="F2"/>
            <w:noWrap/>
            <w:vAlign w:val="center"/>
          </w:tcPr>
          <w:p w14:paraId="074BB92A" w14:textId="77777777" w:rsidR="00F24E18" w:rsidRPr="005F3AD7" w:rsidRDefault="00F24E18" w:rsidP="000E18B5">
            <w:pPr>
              <w:spacing w:after="0" w:line="240" w:lineRule="auto"/>
              <w:jc w:val="right"/>
              <w:rPr>
                <w:rFonts w:ascii="Arial" w:eastAsia="Times New Roman" w:hAnsi="Arial" w:cs="Arial"/>
                <w:b/>
                <w:bCs/>
                <w:color w:val="000000"/>
                <w:sz w:val="16"/>
                <w:szCs w:val="16"/>
                <w:lang w:eastAsia="sl-SI"/>
              </w:rPr>
            </w:pPr>
            <w:r w:rsidRPr="005F3AD7">
              <w:rPr>
                <w:rFonts w:ascii="Arial" w:hAnsi="Arial" w:cs="Arial"/>
                <w:b/>
                <w:bCs/>
                <w:color w:val="000000"/>
                <w:sz w:val="16"/>
                <w:szCs w:val="16"/>
              </w:rPr>
              <w:t>34,30 %</w:t>
            </w:r>
          </w:p>
        </w:tc>
      </w:tr>
    </w:tbl>
    <w:p w14:paraId="6C9E5B87" w14:textId="77777777" w:rsidR="00F24E18" w:rsidRPr="00486541" w:rsidRDefault="00F24E18" w:rsidP="00F24E18">
      <w:pPr>
        <w:spacing w:after="0" w:line="240" w:lineRule="auto"/>
        <w:rPr>
          <w:rFonts w:ascii="Arial" w:hAnsi="Arial" w:cs="Arial"/>
          <w:sz w:val="20"/>
          <w:szCs w:val="20"/>
        </w:rPr>
      </w:pPr>
    </w:p>
    <w:p w14:paraId="122A2994" w14:textId="77777777" w:rsidR="00F24E18" w:rsidRPr="00486541" w:rsidRDefault="00F24E18" w:rsidP="00F24E18">
      <w:pPr>
        <w:spacing w:before="120" w:after="0" w:line="240" w:lineRule="auto"/>
        <w:rPr>
          <w:rFonts w:ascii="Arial" w:hAnsi="Arial" w:cs="Arial"/>
          <w:sz w:val="20"/>
          <w:szCs w:val="20"/>
        </w:rPr>
      </w:pPr>
      <w:r w:rsidRPr="00486541">
        <w:rPr>
          <w:rFonts w:ascii="Arial" w:hAnsi="Arial" w:cs="Arial"/>
          <w:sz w:val="20"/>
          <w:szCs w:val="20"/>
        </w:rPr>
        <w:t>Preglednica 105: Število ponudnikov, ki jim je bilo oddano vsaj eno zeleno naročilo, razčlenjeno glede na vrsto predmeta in poreklo ponudnika</w:t>
      </w:r>
    </w:p>
    <w:p w14:paraId="7689DD04" w14:textId="77777777" w:rsidR="00F24E18" w:rsidRPr="00242E41" w:rsidRDefault="00F24E18" w:rsidP="00F24E18">
      <w:pPr>
        <w:spacing w:after="0" w:line="240" w:lineRule="auto"/>
        <w:rPr>
          <w:rFonts w:ascii="Arial" w:hAnsi="Arial" w:cs="Arial"/>
          <w:sz w:val="20"/>
          <w:szCs w:val="20"/>
          <w:highlight w:val="yellow"/>
        </w:rPr>
      </w:pPr>
    </w:p>
    <w:tbl>
      <w:tblPr>
        <w:tblW w:w="5000" w:type="pct"/>
        <w:tblCellMar>
          <w:left w:w="70" w:type="dxa"/>
          <w:right w:w="70" w:type="dxa"/>
        </w:tblCellMar>
        <w:tblLook w:val="04A0" w:firstRow="1" w:lastRow="0" w:firstColumn="1" w:lastColumn="0" w:noHBand="0" w:noVBand="1"/>
      </w:tblPr>
      <w:tblGrid>
        <w:gridCol w:w="934"/>
        <w:gridCol w:w="1011"/>
        <w:gridCol w:w="1202"/>
        <w:gridCol w:w="1110"/>
        <w:gridCol w:w="1541"/>
        <w:gridCol w:w="1202"/>
        <w:gridCol w:w="1088"/>
        <w:gridCol w:w="1086"/>
      </w:tblGrid>
      <w:tr w:rsidR="00F24E18" w:rsidRPr="00486541" w14:paraId="02010A59" w14:textId="77777777" w:rsidTr="000E18B5">
        <w:trPr>
          <w:trHeight w:val="456"/>
          <w:tblHeader/>
        </w:trPr>
        <w:tc>
          <w:tcPr>
            <w:tcW w:w="50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21F0E2E2" w14:textId="77777777" w:rsidR="00F24E18" w:rsidRPr="00486541" w:rsidRDefault="00F24E18" w:rsidP="000E18B5">
            <w:pPr>
              <w:spacing w:after="0" w:line="240" w:lineRule="auto"/>
              <w:jc w:val="center"/>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Predmet</w:t>
            </w:r>
          </w:p>
        </w:tc>
        <w:tc>
          <w:tcPr>
            <w:tcW w:w="551" w:type="pct"/>
            <w:tcBorders>
              <w:top w:val="single" w:sz="4" w:space="0" w:color="auto"/>
              <w:left w:val="nil"/>
              <w:bottom w:val="single" w:sz="4" w:space="0" w:color="auto"/>
              <w:right w:val="single" w:sz="4" w:space="0" w:color="auto"/>
            </w:tcBorders>
            <w:shd w:val="clear" w:color="000000" w:fill="F2F2F2"/>
            <w:vAlign w:val="center"/>
            <w:hideMark/>
          </w:tcPr>
          <w:p w14:paraId="313CB877" w14:textId="77777777" w:rsidR="00F24E18" w:rsidRPr="00486541" w:rsidRDefault="00F24E18" w:rsidP="000E18B5">
            <w:pPr>
              <w:spacing w:after="0" w:line="240" w:lineRule="auto"/>
              <w:jc w:val="center"/>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Ponudnik</w:t>
            </w:r>
          </w:p>
        </w:tc>
        <w:tc>
          <w:tcPr>
            <w:tcW w:w="655" w:type="pct"/>
            <w:tcBorders>
              <w:top w:val="single" w:sz="4" w:space="0" w:color="auto"/>
              <w:left w:val="nil"/>
              <w:bottom w:val="single" w:sz="4" w:space="0" w:color="auto"/>
              <w:right w:val="single" w:sz="4" w:space="0" w:color="auto"/>
            </w:tcBorders>
            <w:shd w:val="clear" w:color="000000" w:fill="F2F2F2"/>
            <w:vAlign w:val="center"/>
            <w:hideMark/>
          </w:tcPr>
          <w:p w14:paraId="017D8833" w14:textId="77777777" w:rsidR="00F24E18" w:rsidRPr="00486541" w:rsidRDefault="00F24E18" w:rsidP="000E18B5">
            <w:pPr>
              <w:spacing w:after="0" w:line="240" w:lineRule="auto"/>
              <w:jc w:val="center"/>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Št. ponudnikov</w:t>
            </w:r>
          </w:p>
        </w:tc>
        <w:tc>
          <w:tcPr>
            <w:tcW w:w="605" w:type="pct"/>
            <w:tcBorders>
              <w:top w:val="single" w:sz="4" w:space="0" w:color="auto"/>
              <w:left w:val="nil"/>
              <w:bottom w:val="single" w:sz="4" w:space="0" w:color="auto"/>
              <w:right w:val="single" w:sz="4" w:space="0" w:color="auto"/>
            </w:tcBorders>
            <w:shd w:val="clear" w:color="000000" w:fill="F2F2F2"/>
            <w:vAlign w:val="center"/>
            <w:hideMark/>
          </w:tcPr>
          <w:p w14:paraId="47DEAD45" w14:textId="77777777" w:rsidR="00F24E18" w:rsidRPr="00486541" w:rsidRDefault="00F24E18" w:rsidP="000E18B5">
            <w:pPr>
              <w:spacing w:after="0" w:line="240" w:lineRule="auto"/>
              <w:jc w:val="center"/>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Št. zelenih naročil</w:t>
            </w:r>
          </w:p>
        </w:tc>
        <w:tc>
          <w:tcPr>
            <w:tcW w:w="840" w:type="pct"/>
            <w:tcBorders>
              <w:top w:val="single" w:sz="4" w:space="0" w:color="auto"/>
              <w:left w:val="nil"/>
              <w:bottom w:val="single" w:sz="4" w:space="0" w:color="auto"/>
              <w:right w:val="single" w:sz="4" w:space="0" w:color="auto"/>
            </w:tcBorders>
            <w:shd w:val="clear" w:color="000000" w:fill="F2F2F2"/>
            <w:vAlign w:val="center"/>
            <w:hideMark/>
          </w:tcPr>
          <w:p w14:paraId="44AA185E" w14:textId="77777777" w:rsidR="00F24E18" w:rsidRPr="00486541" w:rsidRDefault="00F24E18" w:rsidP="000E18B5">
            <w:pPr>
              <w:spacing w:after="0" w:line="240" w:lineRule="auto"/>
              <w:jc w:val="center"/>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Pogodbena vrednost</w:t>
            </w:r>
          </w:p>
        </w:tc>
        <w:tc>
          <w:tcPr>
            <w:tcW w:w="655" w:type="pct"/>
            <w:tcBorders>
              <w:top w:val="single" w:sz="4" w:space="0" w:color="auto"/>
              <w:left w:val="nil"/>
              <w:bottom w:val="single" w:sz="4" w:space="0" w:color="auto"/>
              <w:right w:val="single" w:sz="4" w:space="0" w:color="auto"/>
            </w:tcBorders>
            <w:shd w:val="clear" w:color="000000" w:fill="F2F2F2"/>
            <w:vAlign w:val="center"/>
            <w:hideMark/>
          </w:tcPr>
          <w:p w14:paraId="4C75AD75" w14:textId="77777777" w:rsidR="00F24E18" w:rsidRPr="00486541" w:rsidRDefault="00F24E18" w:rsidP="000E18B5">
            <w:pPr>
              <w:spacing w:after="0" w:line="240" w:lineRule="auto"/>
              <w:jc w:val="center"/>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Delež v št. ponudnikov</w:t>
            </w:r>
          </w:p>
        </w:tc>
        <w:tc>
          <w:tcPr>
            <w:tcW w:w="593" w:type="pct"/>
            <w:tcBorders>
              <w:top w:val="single" w:sz="4" w:space="0" w:color="auto"/>
              <w:left w:val="nil"/>
              <w:bottom w:val="single" w:sz="4" w:space="0" w:color="auto"/>
              <w:right w:val="single" w:sz="4" w:space="0" w:color="auto"/>
            </w:tcBorders>
            <w:shd w:val="clear" w:color="000000" w:fill="F2F2F2"/>
            <w:vAlign w:val="center"/>
            <w:hideMark/>
          </w:tcPr>
          <w:p w14:paraId="598C3D24" w14:textId="77777777" w:rsidR="00F24E18" w:rsidRPr="00486541" w:rsidRDefault="00F24E18" w:rsidP="000E18B5">
            <w:pPr>
              <w:spacing w:after="0" w:line="240" w:lineRule="auto"/>
              <w:jc w:val="center"/>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Delež v št. naročil</w:t>
            </w:r>
          </w:p>
        </w:tc>
        <w:tc>
          <w:tcPr>
            <w:tcW w:w="592" w:type="pct"/>
            <w:tcBorders>
              <w:top w:val="single" w:sz="4" w:space="0" w:color="auto"/>
              <w:left w:val="nil"/>
              <w:bottom w:val="single" w:sz="4" w:space="0" w:color="auto"/>
              <w:right w:val="single" w:sz="4" w:space="0" w:color="auto"/>
            </w:tcBorders>
            <w:shd w:val="clear" w:color="000000" w:fill="F2F2F2"/>
            <w:vAlign w:val="center"/>
            <w:hideMark/>
          </w:tcPr>
          <w:p w14:paraId="74126D89" w14:textId="77777777" w:rsidR="00F24E18" w:rsidRPr="00486541" w:rsidRDefault="00F24E18" w:rsidP="000E18B5">
            <w:pPr>
              <w:spacing w:after="0" w:line="240" w:lineRule="auto"/>
              <w:jc w:val="center"/>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Delež v vrednosti</w:t>
            </w:r>
          </w:p>
        </w:tc>
      </w:tr>
      <w:tr w:rsidR="00F24E18" w:rsidRPr="00486541" w14:paraId="4ABB240E" w14:textId="77777777" w:rsidTr="000E18B5">
        <w:trPr>
          <w:trHeight w:val="288"/>
        </w:trPr>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7CF6A942"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Blago</w:t>
            </w:r>
          </w:p>
        </w:tc>
        <w:tc>
          <w:tcPr>
            <w:tcW w:w="551" w:type="pct"/>
            <w:tcBorders>
              <w:top w:val="nil"/>
              <w:left w:val="nil"/>
              <w:bottom w:val="single" w:sz="4" w:space="0" w:color="auto"/>
              <w:right w:val="single" w:sz="4" w:space="0" w:color="auto"/>
            </w:tcBorders>
            <w:shd w:val="clear" w:color="auto" w:fill="auto"/>
            <w:vAlign w:val="center"/>
            <w:hideMark/>
          </w:tcPr>
          <w:p w14:paraId="1DC83A46"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SI</w:t>
            </w:r>
          </w:p>
        </w:tc>
        <w:tc>
          <w:tcPr>
            <w:tcW w:w="655" w:type="pct"/>
            <w:tcBorders>
              <w:top w:val="nil"/>
              <w:left w:val="nil"/>
              <w:bottom w:val="single" w:sz="4" w:space="0" w:color="auto"/>
              <w:right w:val="single" w:sz="4" w:space="0" w:color="auto"/>
            </w:tcBorders>
            <w:shd w:val="clear" w:color="auto" w:fill="auto"/>
            <w:vAlign w:val="center"/>
            <w:hideMark/>
          </w:tcPr>
          <w:p w14:paraId="25704C33"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380</w:t>
            </w:r>
          </w:p>
        </w:tc>
        <w:tc>
          <w:tcPr>
            <w:tcW w:w="605" w:type="pct"/>
            <w:tcBorders>
              <w:top w:val="nil"/>
              <w:left w:val="nil"/>
              <w:bottom w:val="single" w:sz="4" w:space="0" w:color="auto"/>
              <w:right w:val="single" w:sz="4" w:space="0" w:color="auto"/>
            </w:tcBorders>
            <w:shd w:val="clear" w:color="auto" w:fill="auto"/>
            <w:vAlign w:val="center"/>
            <w:hideMark/>
          </w:tcPr>
          <w:p w14:paraId="6027FFEA"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3.687</w:t>
            </w:r>
          </w:p>
        </w:tc>
        <w:tc>
          <w:tcPr>
            <w:tcW w:w="840" w:type="pct"/>
            <w:tcBorders>
              <w:top w:val="nil"/>
              <w:left w:val="nil"/>
              <w:bottom w:val="single" w:sz="4" w:space="0" w:color="auto"/>
              <w:right w:val="single" w:sz="4" w:space="0" w:color="auto"/>
            </w:tcBorders>
            <w:shd w:val="clear" w:color="auto" w:fill="auto"/>
            <w:vAlign w:val="center"/>
            <w:hideMark/>
          </w:tcPr>
          <w:p w14:paraId="7991A778"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645.831.894</w:t>
            </w:r>
          </w:p>
        </w:tc>
        <w:tc>
          <w:tcPr>
            <w:tcW w:w="655" w:type="pct"/>
            <w:tcBorders>
              <w:top w:val="nil"/>
              <w:left w:val="nil"/>
              <w:bottom w:val="single" w:sz="4" w:space="0" w:color="auto"/>
              <w:right w:val="single" w:sz="4" w:space="0" w:color="auto"/>
            </w:tcBorders>
            <w:shd w:val="clear" w:color="auto" w:fill="auto"/>
            <w:noWrap/>
            <w:vAlign w:val="center"/>
            <w:hideMark/>
          </w:tcPr>
          <w:p w14:paraId="63D2A346"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98,45 %</w:t>
            </w:r>
          </w:p>
        </w:tc>
        <w:tc>
          <w:tcPr>
            <w:tcW w:w="593" w:type="pct"/>
            <w:tcBorders>
              <w:top w:val="nil"/>
              <w:left w:val="nil"/>
              <w:bottom w:val="single" w:sz="4" w:space="0" w:color="auto"/>
              <w:right w:val="single" w:sz="4" w:space="0" w:color="auto"/>
            </w:tcBorders>
            <w:shd w:val="clear" w:color="auto" w:fill="auto"/>
            <w:noWrap/>
            <w:vAlign w:val="center"/>
            <w:hideMark/>
          </w:tcPr>
          <w:p w14:paraId="22CE97DD"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99,76 %</w:t>
            </w:r>
          </w:p>
        </w:tc>
        <w:tc>
          <w:tcPr>
            <w:tcW w:w="592" w:type="pct"/>
            <w:tcBorders>
              <w:top w:val="nil"/>
              <w:left w:val="nil"/>
              <w:bottom w:val="single" w:sz="4" w:space="0" w:color="auto"/>
              <w:right w:val="single" w:sz="4" w:space="0" w:color="auto"/>
            </w:tcBorders>
            <w:shd w:val="clear" w:color="auto" w:fill="auto"/>
            <w:noWrap/>
            <w:vAlign w:val="center"/>
            <w:hideMark/>
          </w:tcPr>
          <w:p w14:paraId="6AA4AE2F"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99,81 %</w:t>
            </w:r>
          </w:p>
        </w:tc>
      </w:tr>
      <w:tr w:rsidR="00F24E18" w:rsidRPr="00486541" w14:paraId="4BC2DB02" w14:textId="77777777" w:rsidTr="000E18B5">
        <w:trPr>
          <w:trHeight w:val="288"/>
        </w:trPr>
        <w:tc>
          <w:tcPr>
            <w:tcW w:w="509" w:type="pct"/>
            <w:vMerge/>
            <w:tcBorders>
              <w:top w:val="nil"/>
              <w:left w:val="single" w:sz="4" w:space="0" w:color="auto"/>
              <w:bottom w:val="single" w:sz="4" w:space="0" w:color="auto"/>
              <w:right w:val="single" w:sz="4" w:space="0" w:color="auto"/>
            </w:tcBorders>
            <w:vAlign w:val="center"/>
            <w:hideMark/>
          </w:tcPr>
          <w:p w14:paraId="086304E8" w14:textId="77777777" w:rsidR="00F24E18" w:rsidRPr="00486541" w:rsidRDefault="00F24E18" w:rsidP="000E18B5">
            <w:pPr>
              <w:spacing w:after="0" w:line="240" w:lineRule="auto"/>
              <w:rPr>
                <w:rFonts w:ascii="Arial" w:eastAsia="Times New Roman" w:hAnsi="Arial" w:cs="Arial"/>
                <w:color w:val="000000"/>
                <w:sz w:val="18"/>
                <w:szCs w:val="18"/>
                <w:lang w:eastAsia="sl-SI"/>
              </w:rPr>
            </w:pPr>
          </w:p>
        </w:tc>
        <w:tc>
          <w:tcPr>
            <w:tcW w:w="551" w:type="pct"/>
            <w:tcBorders>
              <w:top w:val="nil"/>
              <w:left w:val="nil"/>
              <w:bottom w:val="single" w:sz="4" w:space="0" w:color="auto"/>
              <w:right w:val="single" w:sz="4" w:space="0" w:color="auto"/>
            </w:tcBorders>
            <w:shd w:val="clear" w:color="auto" w:fill="auto"/>
            <w:vAlign w:val="center"/>
            <w:hideMark/>
          </w:tcPr>
          <w:p w14:paraId="59BFE743"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EU</w:t>
            </w:r>
          </w:p>
        </w:tc>
        <w:tc>
          <w:tcPr>
            <w:tcW w:w="655" w:type="pct"/>
            <w:tcBorders>
              <w:top w:val="nil"/>
              <w:left w:val="nil"/>
              <w:bottom w:val="single" w:sz="4" w:space="0" w:color="auto"/>
              <w:right w:val="single" w:sz="4" w:space="0" w:color="auto"/>
            </w:tcBorders>
            <w:shd w:val="clear" w:color="auto" w:fill="auto"/>
            <w:vAlign w:val="center"/>
            <w:hideMark/>
          </w:tcPr>
          <w:p w14:paraId="3217CAE9"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6</w:t>
            </w:r>
          </w:p>
        </w:tc>
        <w:tc>
          <w:tcPr>
            <w:tcW w:w="605" w:type="pct"/>
            <w:tcBorders>
              <w:top w:val="nil"/>
              <w:left w:val="nil"/>
              <w:bottom w:val="single" w:sz="4" w:space="0" w:color="auto"/>
              <w:right w:val="single" w:sz="4" w:space="0" w:color="auto"/>
            </w:tcBorders>
            <w:shd w:val="clear" w:color="auto" w:fill="auto"/>
            <w:vAlign w:val="center"/>
            <w:hideMark/>
          </w:tcPr>
          <w:p w14:paraId="55D010C1"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9</w:t>
            </w:r>
          </w:p>
        </w:tc>
        <w:tc>
          <w:tcPr>
            <w:tcW w:w="840" w:type="pct"/>
            <w:tcBorders>
              <w:top w:val="nil"/>
              <w:left w:val="nil"/>
              <w:bottom w:val="single" w:sz="4" w:space="0" w:color="auto"/>
              <w:right w:val="single" w:sz="4" w:space="0" w:color="auto"/>
            </w:tcBorders>
            <w:shd w:val="clear" w:color="auto" w:fill="auto"/>
            <w:vAlign w:val="center"/>
            <w:hideMark/>
          </w:tcPr>
          <w:p w14:paraId="2A1F9A3A"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1.216.211</w:t>
            </w:r>
          </w:p>
        </w:tc>
        <w:tc>
          <w:tcPr>
            <w:tcW w:w="655" w:type="pct"/>
            <w:tcBorders>
              <w:top w:val="nil"/>
              <w:left w:val="nil"/>
              <w:bottom w:val="single" w:sz="4" w:space="0" w:color="auto"/>
              <w:right w:val="single" w:sz="4" w:space="0" w:color="auto"/>
            </w:tcBorders>
            <w:shd w:val="clear" w:color="auto" w:fill="auto"/>
            <w:noWrap/>
            <w:vAlign w:val="center"/>
            <w:hideMark/>
          </w:tcPr>
          <w:p w14:paraId="196C5BF2"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1,55 %</w:t>
            </w:r>
          </w:p>
        </w:tc>
        <w:tc>
          <w:tcPr>
            <w:tcW w:w="593" w:type="pct"/>
            <w:tcBorders>
              <w:top w:val="nil"/>
              <w:left w:val="nil"/>
              <w:bottom w:val="single" w:sz="4" w:space="0" w:color="auto"/>
              <w:right w:val="single" w:sz="4" w:space="0" w:color="auto"/>
            </w:tcBorders>
            <w:shd w:val="clear" w:color="auto" w:fill="auto"/>
            <w:noWrap/>
            <w:vAlign w:val="center"/>
            <w:hideMark/>
          </w:tcPr>
          <w:p w14:paraId="6D100138"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0,24 %</w:t>
            </w:r>
          </w:p>
        </w:tc>
        <w:tc>
          <w:tcPr>
            <w:tcW w:w="592" w:type="pct"/>
            <w:tcBorders>
              <w:top w:val="nil"/>
              <w:left w:val="nil"/>
              <w:bottom w:val="single" w:sz="4" w:space="0" w:color="auto"/>
              <w:right w:val="single" w:sz="4" w:space="0" w:color="auto"/>
            </w:tcBorders>
            <w:shd w:val="clear" w:color="auto" w:fill="auto"/>
            <w:noWrap/>
            <w:vAlign w:val="center"/>
            <w:hideMark/>
          </w:tcPr>
          <w:p w14:paraId="1A0BA4ED"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0,19 %</w:t>
            </w:r>
          </w:p>
        </w:tc>
      </w:tr>
      <w:tr w:rsidR="00F24E18" w:rsidRPr="00486541" w14:paraId="5A425999" w14:textId="77777777" w:rsidTr="000E18B5">
        <w:trPr>
          <w:trHeight w:val="288"/>
        </w:trPr>
        <w:tc>
          <w:tcPr>
            <w:tcW w:w="509" w:type="pct"/>
            <w:vMerge/>
            <w:tcBorders>
              <w:top w:val="nil"/>
              <w:left w:val="single" w:sz="4" w:space="0" w:color="auto"/>
              <w:bottom w:val="single" w:sz="4" w:space="0" w:color="auto"/>
              <w:right w:val="single" w:sz="4" w:space="0" w:color="auto"/>
            </w:tcBorders>
            <w:vAlign w:val="center"/>
            <w:hideMark/>
          </w:tcPr>
          <w:p w14:paraId="0D58BD70" w14:textId="77777777" w:rsidR="00F24E18" w:rsidRPr="00486541" w:rsidRDefault="00F24E18" w:rsidP="000E18B5">
            <w:pPr>
              <w:spacing w:after="0" w:line="240" w:lineRule="auto"/>
              <w:rPr>
                <w:rFonts w:ascii="Arial" w:eastAsia="Times New Roman" w:hAnsi="Arial" w:cs="Arial"/>
                <w:color w:val="000000"/>
                <w:sz w:val="18"/>
                <w:szCs w:val="18"/>
                <w:lang w:eastAsia="sl-SI"/>
              </w:rPr>
            </w:pPr>
          </w:p>
        </w:tc>
        <w:tc>
          <w:tcPr>
            <w:tcW w:w="551" w:type="pct"/>
            <w:tcBorders>
              <w:top w:val="nil"/>
              <w:left w:val="nil"/>
              <w:bottom w:val="single" w:sz="4" w:space="0" w:color="auto"/>
              <w:right w:val="single" w:sz="4" w:space="0" w:color="auto"/>
            </w:tcBorders>
            <w:shd w:val="clear" w:color="auto" w:fill="auto"/>
            <w:vAlign w:val="center"/>
            <w:hideMark/>
          </w:tcPr>
          <w:p w14:paraId="20681FC5" w14:textId="77777777" w:rsidR="00F24E18" w:rsidRPr="00486541" w:rsidRDefault="00F24E18" w:rsidP="000E18B5">
            <w:pPr>
              <w:spacing w:after="0" w:line="240" w:lineRule="auto"/>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Skupaj</w:t>
            </w:r>
          </w:p>
        </w:tc>
        <w:tc>
          <w:tcPr>
            <w:tcW w:w="655" w:type="pct"/>
            <w:tcBorders>
              <w:top w:val="nil"/>
              <w:left w:val="nil"/>
              <w:bottom w:val="single" w:sz="4" w:space="0" w:color="auto"/>
              <w:right w:val="single" w:sz="4" w:space="0" w:color="auto"/>
            </w:tcBorders>
            <w:shd w:val="clear" w:color="auto" w:fill="auto"/>
            <w:vAlign w:val="center"/>
            <w:hideMark/>
          </w:tcPr>
          <w:p w14:paraId="5597973D"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386</w:t>
            </w:r>
          </w:p>
        </w:tc>
        <w:tc>
          <w:tcPr>
            <w:tcW w:w="605" w:type="pct"/>
            <w:tcBorders>
              <w:top w:val="nil"/>
              <w:left w:val="nil"/>
              <w:bottom w:val="single" w:sz="4" w:space="0" w:color="auto"/>
              <w:right w:val="single" w:sz="4" w:space="0" w:color="auto"/>
            </w:tcBorders>
            <w:shd w:val="clear" w:color="auto" w:fill="auto"/>
            <w:vAlign w:val="center"/>
            <w:hideMark/>
          </w:tcPr>
          <w:p w14:paraId="3391F4B9"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3.696</w:t>
            </w:r>
          </w:p>
        </w:tc>
        <w:tc>
          <w:tcPr>
            <w:tcW w:w="840" w:type="pct"/>
            <w:tcBorders>
              <w:top w:val="nil"/>
              <w:left w:val="nil"/>
              <w:bottom w:val="single" w:sz="4" w:space="0" w:color="auto"/>
              <w:right w:val="single" w:sz="4" w:space="0" w:color="auto"/>
            </w:tcBorders>
            <w:shd w:val="clear" w:color="auto" w:fill="auto"/>
            <w:vAlign w:val="center"/>
            <w:hideMark/>
          </w:tcPr>
          <w:p w14:paraId="016636D3"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647.048.105</w:t>
            </w:r>
          </w:p>
        </w:tc>
        <w:tc>
          <w:tcPr>
            <w:tcW w:w="655" w:type="pct"/>
            <w:tcBorders>
              <w:top w:val="nil"/>
              <w:left w:val="nil"/>
              <w:bottom w:val="single" w:sz="4" w:space="0" w:color="auto"/>
              <w:right w:val="single" w:sz="4" w:space="0" w:color="auto"/>
            </w:tcBorders>
            <w:shd w:val="clear" w:color="auto" w:fill="auto"/>
            <w:noWrap/>
            <w:vAlign w:val="center"/>
            <w:hideMark/>
          </w:tcPr>
          <w:p w14:paraId="4951F96B"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c>
          <w:tcPr>
            <w:tcW w:w="593" w:type="pct"/>
            <w:tcBorders>
              <w:top w:val="nil"/>
              <w:left w:val="nil"/>
              <w:bottom w:val="single" w:sz="4" w:space="0" w:color="auto"/>
              <w:right w:val="single" w:sz="4" w:space="0" w:color="auto"/>
            </w:tcBorders>
            <w:shd w:val="clear" w:color="auto" w:fill="auto"/>
            <w:noWrap/>
            <w:vAlign w:val="center"/>
            <w:hideMark/>
          </w:tcPr>
          <w:p w14:paraId="68DA639F"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c>
          <w:tcPr>
            <w:tcW w:w="592" w:type="pct"/>
            <w:tcBorders>
              <w:top w:val="nil"/>
              <w:left w:val="nil"/>
              <w:bottom w:val="single" w:sz="4" w:space="0" w:color="auto"/>
              <w:right w:val="single" w:sz="4" w:space="0" w:color="auto"/>
            </w:tcBorders>
            <w:shd w:val="clear" w:color="auto" w:fill="auto"/>
            <w:noWrap/>
            <w:vAlign w:val="center"/>
            <w:hideMark/>
          </w:tcPr>
          <w:p w14:paraId="1D2CC9B1"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r>
      <w:tr w:rsidR="00F24E18" w:rsidRPr="00486541" w14:paraId="51EA161D" w14:textId="77777777" w:rsidTr="000E18B5">
        <w:trPr>
          <w:trHeight w:val="288"/>
        </w:trPr>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3E743BAB"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Storitve</w:t>
            </w:r>
          </w:p>
        </w:tc>
        <w:tc>
          <w:tcPr>
            <w:tcW w:w="551" w:type="pct"/>
            <w:tcBorders>
              <w:top w:val="nil"/>
              <w:left w:val="nil"/>
              <w:bottom w:val="single" w:sz="4" w:space="0" w:color="auto"/>
              <w:right w:val="single" w:sz="4" w:space="0" w:color="auto"/>
            </w:tcBorders>
            <w:shd w:val="clear" w:color="auto" w:fill="auto"/>
            <w:vAlign w:val="center"/>
            <w:hideMark/>
          </w:tcPr>
          <w:p w14:paraId="0C21D6FB"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SI</w:t>
            </w:r>
          </w:p>
        </w:tc>
        <w:tc>
          <w:tcPr>
            <w:tcW w:w="655" w:type="pct"/>
            <w:tcBorders>
              <w:top w:val="nil"/>
              <w:left w:val="nil"/>
              <w:bottom w:val="single" w:sz="4" w:space="0" w:color="auto"/>
              <w:right w:val="single" w:sz="4" w:space="0" w:color="auto"/>
            </w:tcBorders>
            <w:shd w:val="clear" w:color="auto" w:fill="auto"/>
            <w:vAlign w:val="center"/>
            <w:hideMark/>
          </w:tcPr>
          <w:p w14:paraId="09411615"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245</w:t>
            </w:r>
          </w:p>
        </w:tc>
        <w:tc>
          <w:tcPr>
            <w:tcW w:w="605" w:type="pct"/>
            <w:tcBorders>
              <w:top w:val="nil"/>
              <w:left w:val="nil"/>
              <w:bottom w:val="single" w:sz="4" w:space="0" w:color="auto"/>
              <w:right w:val="single" w:sz="4" w:space="0" w:color="auto"/>
            </w:tcBorders>
            <w:shd w:val="clear" w:color="auto" w:fill="auto"/>
            <w:vAlign w:val="center"/>
            <w:hideMark/>
          </w:tcPr>
          <w:p w14:paraId="20F8CE44"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571</w:t>
            </w:r>
          </w:p>
        </w:tc>
        <w:tc>
          <w:tcPr>
            <w:tcW w:w="840" w:type="pct"/>
            <w:tcBorders>
              <w:top w:val="nil"/>
              <w:left w:val="nil"/>
              <w:bottom w:val="single" w:sz="4" w:space="0" w:color="auto"/>
              <w:right w:val="single" w:sz="4" w:space="0" w:color="auto"/>
            </w:tcBorders>
            <w:shd w:val="clear" w:color="auto" w:fill="auto"/>
            <w:vAlign w:val="center"/>
            <w:hideMark/>
          </w:tcPr>
          <w:p w14:paraId="040DC7BF"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797.627.525</w:t>
            </w:r>
          </w:p>
        </w:tc>
        <w:tc>
          <w:tcPr>
            <w:tcW w:w="655" w:type="pct"/>
            <w:tcBorders>
              <w:top w:val="nil"/>
              <w:left w:val="nil"/>
              <w:bottom w:val="single" w:sz="4" w:space="0" w:color="auto"/>
              <w:right w:val="single" w:sz="4" w:space="0" w:color="auto"/>
            </w:tcBorders>
            <w:shd w:val="clear" w:color="auto" w:fill="auto"/>
            <w:noWrap/>
            <w:vAlign w:val="center"/>
            <w:hideMark/>
          </w:tcPr>
          <w:p w14:paraId="1FB490FA"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99,19 %</w:t>
            </w:r>
          </w:p>
        </w:tc>
        <w:tc>
          <w:tcPr>
            <w:tcW w:w="593" w:type="pct"/>
            <w:tcBorders>
              <w:top w:val="nil"/>
              <w:left w:val="nil"/>
              <w:bottom w:val="single" w:sz="4" w:space="0" w:color="auto"/>
              <w:right w:val="single" w:sz="4" w:space="0" w:color="auto"/>
            </w:tcBorders>
            <w:shd w:val="clear" w:color="auto" w:fill="auto"/>
            <w:noWrap/>
            <w:vAlign w:val="center"/>
            <w:hideMark/>
          </w:tcPr>
          <w:p w14:paraId="6D2A8F33"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99,65 %</w:t>
            </w:r>
          </w:p>
        </w:tc>
        <w:tc>
          <w:tcPr>
            <w:tcW w:w="592" w:type="pct"/>
            <w:tcBorders>
              <w:top w:val="nil"/>
              <w:left w:val="nil"/>
              <w:bottom w:val="single" w:sz="4" w:space="0" w:color="auto"/>
              <w:right w:val="single" w:sz="4" w:space="0" w:color="auto"/>
            </w:tcBorders>
            <w:shd w:val="clear" w:color="auto" w:fill="auto"/>
            <w:noWrap/>
            <w:vAlign w:val="center"/>
            <w:hideMark/>
          </w:tcPr>
          <w:p w14:paraId="14C48334"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99,97 %</w:t>
            </w:r>
          </w:p>
        </w:tc>
      </w:tr>
      <w:tr w:rsidR="00F24E18" w:rsidRPr="00486541" w14:paraId="76DB67B2" w14:textId="77777777" w:rsidTr="000E18B5">
        <w:trPr>
          <w:trHeight w:val="288"/>
        </w:trPr>
        <w:tc>
          <w:tcPr>
            <w:tcW w:w="509" w:type="pct"/>
            <w:vMerge/>
            <w:tcBorders>
              <w:top w:val="nil"/>
              <w:left w:val="single" w:sz="4" w:space="0" w:color="auto"/>
              <w:bottom w:val="single" w:sz="4" w:space="0" w:color="auto"/>
              <w:right w:val="single" w:sz="4" w:space="0" w:color="auto"/>
            </w:tcBorders>
            <w:vAlign w:val="center"/>
            <w:hideMark/>
          </w:tcPr>
          <w:p w14:paraId="1C5F4788" w14:textId="77777777" w:rsidR="00F24E18" w:rsidRPr="00486541" w:rsidRDefault="00F24E18" w:rsidP="000E18B5">
            <w:pPr>
              <w:spacing w:after="0" w:line="240" w:lineRule="auto"/>
              <w:rPr>
                <w:rFonts w:ascii="Arial" w:eastAsia="Times New Roman" w:hAnsi="Arial" w:cs="Arial"/>
                <w:color w:val="000000"/>
                <w:sz w:val="18"/>
                <w:szCs w:val="18"/>
                <w:lang w:eastAsia="sl-SI"/>
              </w:rPr>
            </w:pPr>
          </w:p>
        </w:tc>
        <w:tc>
          <w:tcPr>
            <w:tcW w:w="551" w:type="pct"/>
            <w:tcBorders>
              <w:top w:val="nil"/>
              <w:left w:val="nil"/>
              <w:bottom w:val="single" w:sz="4" w:space="0" w:color="auto"/>
              <w:right w:val="single" w:sz="4" w:space="0" w:color="auto"/>
            </w:tcBorders>
            <w:shd w:val="clear" w:color="auto" w:fill="auto"/>
            <w:vAlign w:val="center"/>
            <w:hideMark/>
          </w:tcPr>
          <w:p w14:paraId="0E47DC97"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EU</w:t>
            </w:r>
          </w:p>
        </w:tc>
        <w:tc>
          <w:tcPr>
            <w:tcW w:w="655" w:type="pct"/>
            <w:tcBorders>
              <w:top w:val="nil"/>
              <w:left w:val="nil"/>
              <w:bottom w:val="single" w:sz="4" w:space="0" w:color="auto"/>
              <w:right w:val="single" w:sz="4" w:space="0" w:color="auto"/>
            </w:tcBorders>
            <w:shd w:val="clear" w:color="auto" w:fill="auto"/>
            <w:vAlign w:val="center"/>
            <w:hideMark/>
          </w:tcPr>
          <w:p w14:paraId="75E63876"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2</w:t>
            </w:r>
          </w:p>
        </w:tc>
        <w:tc>
          <w:tcPr>
            <w:tcW w:w="605" w:type="pct"/>
            <w:tcBorders>
              <w:top w:val="nil"/>
              <w:left w:val="nil"/>
              <w:bottom w:val="single" w:sz="4" w:space="0" w:color="auto"/>
              <w:right w:val="single" w:sz="4" w:space="0" w:color="auto"/>
            </w:tcBorders>
            <w:shd w:val="clear" w:color="auto" w:fill="auto"/>
            <w:vAlign w:val="center"/>
            <w:hideMark/>
          </w:tcPr>
          <w:p w14:paraId="1C10FC22"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2</w:t>
            </w:r>
          </w:p>
        </w:tc>
        <w:tc>
          <w:tcPr>
            <w:tcW w:w="840" w:type="pct"/>
            <w:tcBorders>
              <w:top w:val="nil"/>
              <w:left w:val="nil"/>
              <w:bottom w:val="single" w:sz="4" w:space="0" w:color="auto"/>
              <w:right w:val="single" w:sz="4" w:space="0" w:color="auto"/>
            </w:tcBorders>
            <w:shd w:val="clear" w:color="auto" w:fill="auto"/>
            <w:vAlign w:val="center"/>
            <w:hideMark/>
          </w:tcPr>
          <w:p w14:paraId="52A5622B"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257.625</w:t>
            </w:r>
          </w:p>
        </w:tc>
        <w:tc>
          <w:tcPr>
            <w:tcW w:w="655" w:type="pct"/>
            <w:tcBorders>
              <w:top w:val="nil"/>
              <w:left w:val="nil"/>
              <w:bottom w:val="single" w:sz="4" w:space="0" w:color="auto"/>
              <w:right w:val="single" w:sz="4" w:space="0" w:color="auto"/>
            </w:tcBorders>
            <w:shd w:val="clear" w:color="auto" w:fill="auto"/>
            <w:noWrap/>
            <w:vAlign w:val="center"/>
            <w:hideMark/>
          </w:tcPr>
          <w:p w14:paraId="2DB3DFD8"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0,81 %</w:t>
            </w:r>
          </w:p>
        </w:tc>
        <w:tc>
          <w:tcPr>
            <w:tcW w:w="593" w:type="pct"/>
            <w:tcBorders>
              <w:top w:val="nil"/>
              <w:left w:val="nil"/>
              <w:bottom w:val="single" w:sz="4" w:space="0" w:color="auto"/>
              <w:right w:val="single" w:sz="4" w:space="0" w:color="auto"/>
            </w:tcBorders>
            <w:shd w:val="clear" w:color="auto" w:fill="auto"/>
            <w:noWrap/>
            <w:vAlign w:val="center"/>
            <w:hideMark/>
          </w:tcPr>
          <w:p w14:paraId="689F1B3C"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0,35 %</w:t>
            </w:r>
          </w:p>
        </w:tc>
        <w:tc>
          <w:tcPr>
            <w:tcW w:w="592" w:type="pct"/>
            <w:tcBorders>
              <w:top w:val="nil"/>
              <w:left w:val="nil"/>
              <w:bottom w:val="single" w:sz="4" w:space="0" w:color="auto"/>
              <w:right w:val="single" w:sz="4" w:space="0" w:color="auto"/>
            </w:tcBorders>
            <w:shd w:val="clear" w:color="auto" w:fill="auto"/>
            <w:noWrap/>
            <w:vAlign w:val="center"/>
            <w:hideMark/>
          </w:tcPr>
          <w:p w14:paraId="3AE4CEB9"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0,03 %</w:t>
            </w:r>
          </w:p>
        </w:tc>
      </w:tr>
      <w:tr w:rsidR="00F24E18" w:rsidRPr="00486541" w14:paraId="081CBC2A" w14:textId="77777777" w:rsidTr="000E18B5">
        <w:trPr>
          <w:trHeight w:val="288"/>
        </w:trPr>
        <w:tc>
          <w:tcPr>
            <w:tcW w:w="509" w:type="pct"/>
            <w:vMerge/>
            <w:tcBorders>
              <w:top w:val="nil"/>
              <w:left w:val="single" w:sz="4" w:space="0" w:color="auto"/>
              <w:bottom w:val="single" w:sz="4" w:space="0" w:color="auto"/>
              <w:right w:val="single" w:sz="4" w:space="0" w:color="auto"/>
            </w:tcBorders>
            <w:vAlign w:val="center"/>
            <w:hideMark/>
          </w:tcPr>
          <w:p w14:paraId="5A26055C" w14:textId="77777777" w:rsidR="00F24E18" w:rsidRPr="00486541" w:rsidRDefault="00F24E18" w:rsidP="000E18B5">
            <w:pPr>
              <w:spacing w:after="0" w:line="240" w:lineRule="auto"/>
              <w:rPr>
                <w:rFonts w:ascii="Arial" w:eastAsia="Times New Roman" w:hAnsi="Arial" w:cs="Arial"/>
                <w:color w:val="000000"/>
                <w:sz w:val="18"/>
                <w:szCs w:val="18"/>
                <w:lang w:eastAsia="sl-SI"/>
              </w:rPr>
            </w:pPr>
          </w:p>
        </w:tc>
        <w:tc>
          <w:tcPr>
            <w:tcW w:w="551" w:type="pct"/>
            <w:tcBorders>
              <w:top w:val="nil"/>
              <w:left w:val="nil"/>
              <w:bottom w:val="single" w:sz="4" w:space="0" w:color="auto"/>
              <w:right w:val="single" w:sz="4" w:space="0" w:color="auto"/>
            </w:tcBorders>
            <w:shd w:val="clear" w:color="auto" w:fill="auto"/>
            <w:vAlign w:val="center"/>
            <w:hideMark/>
          </w:tcPr>
          <w:p w14:paraId="7FA87143" w14:textId="77777777" w:rsidR="00F24E18" w:rsidRPr="00486541" w:rsidRDefault="00F24E18" w:rsidP="000E18B5">
            <w:pPr>
              <w:spacing w:after="0" w:line="240" w:lineRule="auto"/>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Skupaj</w:t>
            </w:r>
          </w:p>
        </w:tc>
        <w:tc>
          <w:tcPr>
            <w:tcW w:w="655" w:type="pct"/>
            <w:tcBorders>
              <w:top w:val="nil"/>
              <w:left w:val="nil"/>
              <w:bottom w:val="single" w:sz="4" w:space="0" w:color="auto"/>
              <w:right w:val="single" w:sz="4" w:space="0" w:color="auto"/>
            </w:tcBorders>
            <w:shd w:val="clear" w:color="auto" w:fill="auto"/>
            <w:vAlign w:val="center"/>
            <w:hideMark/>
          </w:tcPr>
          <w:p w14:paraId="7C0E052E"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247</w:t>
            </w:r>
          </w:p>
        </w:tc>
        <w:tc>
          <w:tcPr>
            <w:tcW w:w="605" w:type="pct"/>
            <w:tcBorders>
              <w:top w:val="nil"/>
              <w:left w:val="nil"/>
              <w:bottom w:val="single" w:sz="4" w:space="0" w:color="auto"/>
              <w:right w:val="single" w:sz="4" w:space="0" w:color="auto"/>
            </w:tcBorders>
            <w:shd w:val="clear" w:color="auto" w:fill="auto"/>
            <w:vAlign w:val="center"/>
            <w:hideMark/>
          </w:tcPr>
          <w:p w14:paraId="40E9C101"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573</w:t>
            </w:r>
          </w:p>
        </w:tc>
        <w:tc>
          <w:tcPr>
            <w:tcW w:w="840" w:type="pct"/>
            <w:tcBorders>
              <w:top w:val="nil"/>
              <w:left w:val="nil"/>
              <w:bottom w:val="single" w:sz="4" w:space="0" w:color="auto"/>
              <w:right w:val="single" w:sz="4" w:space="0" w:color="auto"/>
            </w:tcBorders>
            <w:shd w:val="clear" w:color="auto" w:fill="auto"/>
            <w:vAlign w:val="center"/>
            <w:hideMark/>
          </w:tcPr>
          <w:p w14:paraId="629E109D"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797.885.150</w:t>
            </w:r>
          </w:p>
        </w:tc>
        <w:tc>
          <w:tcPr>
            <w:tcW w:w="655" w:type="pct"/>
            <w:tcBorders>
              <w:top w:val="nil"/>
              <w:left w:val="nil"/>
              <w:bottom w:val="single" w:sz="4" w:space="0" w:color="auto"/>
              <w:right w:val="single" w:sz="4" w:space="0" w:color="auto"/>
            </w:tcBorders>
            <w:shd w:val="clear" w:color="auto" w:fill="auto"/>
            <w:noWrap/>
            <w:vAlign w:val="center"/>
            <w:hideMark/>
          </w:tcPr>
          <w:p w14:paraId="64F03B4A"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c>
          <w:tcPr>
            <w:tcW w:w="593" w:type="pct"/>
            <w:tcBorders>
              <w:top w:val="nil"/>
              <w:left w:val="nil"/>
              <w:bottom w:val="single" w:sz="4" w:space="0" w:color="auto"/>
              <w:right w:val="single" w:sz="4" w:space="0" w:color="auto"/>
            </w:tcBorders>
            <w:shd w:val="clear" w:color="auto" w:fill="auto"/>
            <w:noWrap/>
            <w:vAlign w:val="center"/>
            <w:hideMark/>
          </w:tcPr>
          <w:p w14:paraId="6F1F6111"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c>
          <w:tcPr>
            <w:tcW w:w="592" w:type="pct"/>
            <w:tcBorders>
              <w:top w:val="nil"/>
              <w:left w:val="nil"/>
              <w:bottom w:val="single" w:sz="4" w:space="0" w:color="auto"/>
              <w:right w:val="single" w:sz="4" w:space="0" w:color="auto"/>
            </w:tcBorders>
            <w:shd w:val="clear" w:color="auto" w:fill="auto"/>
            <w:noWrap/>
            <w:vAlign w:val="center"/>
            <w:hideMark/>
          </w:tcPr>
          <w:p w14:paraId="21DBCB8E"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r>
      <w:tr w:rsidR="00F24E18" w:rsidRPr="00486541" w14:paraId="39590BCD" w14:textId="77777777" w:rsidTr="000E18B5">
        <w:trPr>
          <w:trHeight w:val="288"/>
        </w:trPr>
        <w:tc>
          <w:tcPr>
            <w:tcW w:w="509" w:type="pct"/>
            <w:vMerge w:val="restart"/>
            <w:tcBorders>
              <w:top w:val="nil"/>
              <w:left w:val="single" w:sz="4" w:space="0" w:color="auto"/>
              <w:bottom w:val="single" w:sz="4" w:space="0" w:color="auto"/>
              <w:right w:val="single" w:sz="4" w:space="0" w:color="auto"/>
            </w:tcBorders>
            <w:shd w:val="clear" w:color="auto" w:fill="auto"/>
            <w:vAlign w:val="center"/>
            <w:hideMark/>
          </w:tcPr>
          <w:p w14:paraId="516B45DD"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lastRenderedPageBreak/>
              <w:t>Gradnje</w:t>
            </w:r>
          </w:p>
        </w:tc>
        <w:tc>
          <w:tcPr>
            <w:tcW w:w="551" w:type="pct"/>
            <w:tcBorders>
              <w:top w:val="nil"/>
              <w:left w:val="nil"/>
              <w:bottom w:val="single" w:sz="4" w:space="0" w:color="auto"/>
              <w:right w:val="single" w:sz="4" w:space="0" w:color="auto"/>
            </w:tcBorders>
            <w:shd w:val="clear" w:color="auto" w:fill="auto"/>
            <w:vAlign w:val="center"/>
            <w:hideMark/>
          </w:tcPr>
          <w:p w14:paraId="1B640861"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SI</w:t>
            </w:r>
          </w:p>
        </w:tc>
        <w:tc>
          <w:tcPr>
            <w:tcW w:w="655" w:type="pct"/>
            <w:tcBorders>
              <w:top w:val="nil"/>
              <w:left w:val="nil"/>
              <w:bottom w:val="single" w:sz="4" w:space="0" w:color="auto"/>
              <w:right w:val="single" w:sz="4" w:space="0" w:color="auto"/>
            </w:tcBorders>
            <w:shd w:val="clear" w:color="auto" w:fill="auto"/>
            <w:vAlign w:val="center"/>
            <w:hideMark/>
          </w:tcPr>
          <w:p w14:paraId="67A22397"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239</w:t>
            </w:r>
          </w:p>
        </w:tc>
        <w:tc>
          <w:tcPr>
            <w:tcW w:w="605" w:type="pct"/>
            <w:tcBorders>
              <w:top w:val="nil"/>
              <w:left w:val="nil"/>
              <w:bottom w:val="single" w:sz="4" w:space="0" w:color="auto"/>
              <w:right w:val="single" w:sz="4" w:space="0" w:color="auto"/>
            </w:tcBorders>
            <w:shd w:val="clear" w:color="auto" w:fill="auto"/>
            <w:vAlign w:val="center"/>
            <w:hideMark/>
          </w:tcPr>
          <w:p w14:paraId="523C3417"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531</w:t>
            </w:r>
          </w:p>
        </w:tc>
        <w:tc>
          <w:tcPr>
            <w:tcW w:w="840" w:type="pct"/>
            <w:tcBorders>
              <w:top w:val="nil"/>
              <w:left w:val="nil"/>
              <w:bottom w:val="single" w:sz="4" w:space="0" w:color="auto"/>
              <w:right w:val="single" w:sz="4" w:space="0" w:color="auto"/>
            </w:tcBorders>
            <w:shd w:val="clear" w:color="auto" w:fill="auto"/>
            <w:vAlign w:val="center"/>
            <w:hideMark/>
          </w:tcPr>
          <w:p w14:paraId="6AA74732"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685.633.691</w:t>
            </w:r>
          </w:p>
        </w:tc>
        <w:tc>
          <w:tcPr>
            <w:tcW w:w="655" w:type="pct"/>
            <w:tcBorders>
              <w:top w:val="nil"/>
              <w:left w:val="nil"/>
              <w:bottom w:val="single" w:sz="4" w:space="0" w:color="auto"/>
              <w:right w:val="single" w:sz="4" w:space="0" w:color="auto"/>
            </w:tcBorders>
            <w:shd w:val="clear" w:color="auto" w:fill="auto"/>
            <w:noWrap/>
            <w:vAlign w:val="center"/>
            <w:hideMark/>
          </w:tcPr>
          <w:p w14:paraId="2E633822"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99,17 %</w:t>
            </w:r>
          </w:p>
        </w:tc>
        <w:tc>
          <w:tcPr>
            <w:tcW w:w="593" w:type="pct"/>
            <w:tcBorders>
              <w:top w:val="nil"/>
              <w:left w:val="nil"/>
              <w:bottom w:val="single" w:sz="4" w:space="0" w:color="auto"/>
              <w:right w:val="single" w:sz="4" w:space="0" w:color="auto"/>
            </w:tcBorders>
            <w:shd w:val="clear" w:color="auto" w:fill="auto"/>
            <w:noWrap/>
            <w:vAlign w:val="center"/>
            <w:hideMark/>
          </w:tcPr>
          <w:p w14:paraId="2F6D4A91"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99,25 %</w:t>
            </w:r>
          </w:p>
        </w:tc>
        <w:tc>
          <w:tcPr>
            <w:tcW w:w="592" w:type="pct"/>
            <w:tcBorders>
              <w:top w:val="nil"/>
              <w:left w:val="nil"/>
              <w:bottom w:val="single" w:sz="4" w:space="0" w:color="auto"/>
              <w:right w:val="single" w:sz="4" w:space="0" w:color="auto"/>
            </w:tcBorders>
            <w:shd w:val="clear" w:color="auto" w:fill="auto"/>
            <w:noWrap/>
            <w:vAlign w:val="center"/>
            <w:hideMark/>
          </w:tcPr>
          <w:p w14:paraId="0ED26AD4"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98,97 %</w:t>
            </w:r>
          </w:p>
        </w:tc>
      </w:tr>
      <w:tr w:rsidR="00F24E18" w:rsidRPr="00486541" w14:paraId="0E8AF606" w14:textId="77777777" w:rsidTr="000E18B5">
        <w:trPr>
          <w:trHeight w:val="288"/>
        </w:trPr>
        <w:tc>
          <w:tcPr>
            <w:tcW w:w="509" w:type="pct"/>
            <w:vMerge/>
            <w:tcBorders>
              <w:top w:val="nil"/>
              <w:left w:val="single" w:sz="4" w:space="0" w:color="auto"/>
              <w:bottom w:val="single" w:sz="4" w:space="0" w:color="auto"/>
              <w:right w:val="single" w:sz="4" w:space="0" w:color="auto"/>
            </w:tcBorders>
            <w:vAlign w:val="center"/>
            <w:hideMark/>
          </w:tcPr>
          <w:p w14:paraId="28268793" w14:textId="77777777" w:rsidR="00F24E18" w:rsidRPr="00486541" w:rsidRDefault="00F24E18" w:rsidP="000E18B5">
            <w:pPr>
              <w:spacing w:after="0" w:line="240" w:lineRule="auto"/>
              <w:rPr>
                <w:rFonts w:ascii="Arial" w:eastAsia="Times New Roman" w:hAnsi="Arial" w:cs="Arial"/>
                <w:color w:val="000000"/>
                <w:sz w:val="18"/>
                <w:szCs w:val="18"/>
                <w:lang w:eastAsia="sl-SI"/>
              </w:rPr>
            </w:pPr>
          </w:p>
        </w:tc>
        <w:tc>
          <w:tcPr>
            <w:tcW w:w="551" w:type="pct"/>
            <w:tcBorders>
              <w:top w:val="nil"/>
              <w:left w:val="nil"/>
              <w:bottom w:val="single" w:sz="4" w:space="0" w:color="auto"/>
              <w:right w:val="single" w:sz="4" w:space="0" w:color="auto"/>
            </w:tcBorders>
            <w:shd w:val="clear" w:color="auto" w:fill="auto"/>
            <w:vAlign w:val="center"/>
            <w:hideMark/>
          </w:tcPr>
          <w:p w14:paraId="692BCC8B" w14:textId="77777777" w:rsidR="00F24E18" w:rsidRPr="00486541" w:rsidRDefault="00F24E18" w:rsidP="000E18B5">
            <w:pPr>
              <w:spacing w:after="0" w:line="240" w:lineRule="auto"/>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EU</w:t>
            </w:r>
          </w:p>
        </w:tc>
        <w:tc>
          <w:tcPr>
            <w:tcW w:w="655" w:type="pct"/>
            <w:tcBorders>
              <w:top w:val="nil"/>
              <w:left w:val="nil"/>
              <w:bottom w:val="single" w:sz="4" w:space="0" w:color="auto"/>
              <w:right w:val="single" w:sz="4" w:space="0" w:color="auto"/>
            </w:tcBorders>
            <w:shd w:val="clear" w:color="auto" w:fill="auto"/>
            <w:vAlign w:val="center"/>
            <w:hideMark/>
          </w:tcPr>
          <w:p w14:paraId="5052EEE6"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eastAsia="Times New Roman" w:hAnsi="Arial" w:cs="Arial"/>
                <w:color w:val="000000"/>
                <w:sz w:val="18"/>
                <w:szCs w:val="18"/>
                <w:lang w:eastAsia="sl-SI"/>
              </w:rPr>
              <w:t>2</w:t>
            </w:r>
          </w:p>
        </w:tc>
        <w:tc>
          <w:tcPr>
            <w:tcW w:w="605" w:type="pct"/>
            <w:tcBorders>
              <w:top w:val="nil"/>
              <w:left w:val="nil"/>
              <w:bottom w:val="single" w:sz="4" w:space="0" w:color="auto"/>
              <w:right w:val="single" w:sz="4" w:space="0" w:color="auto"/>
            </w:tcBorders>
            <w:shd w:val="clear" w:color="auto" w:fill="auto"/>
            <w:vAlign w:val="center"/>
            <w:hideMark/>
          </w:tcPr>
          <w:p w14:paraId="18A3D7CE"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4</w:t>
            </w:r>
          </w:p>
        </w:tc>
        <w:tc>
          <w:tcPr>
            <w:tcW w:w="840" w:type="pct"/>
            <w:tcBorders>
              <w:top w:val="nil"/>
              <w:left w:val="nil"/>
              <w:bottom w:val="single" w:sz="4" w:space="0" w:color="auto"/>
              <w:right w:val="single" w:sz="4" w:space="0" w:color="auto"/>
            </w:tcBorders>
            <w:shd w:val="clear" w:color="auto" w:fill="auto"/>
            <w:vAlign w:val="center"/>
            <w:hideMark/>
          </w:tcPr>
          <w:p w14:paraId="609AC30A"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7.104.968</w:t>
            </w:r>
          </w:p>
        </w:tc>
        <w:tc>
          <w:tcPr>
            <w:tcW w:w="655" w:type="pct"/>
            <w:tcBorders>
              <w:top w:val="nil"/>
              <w:left w:val="nil"/>
              <w:bottom w:val="single" w:sz="4" w:space="0" w:color="auto"/>
              <w:right w:val="single" w:sz="4" w:space="0" w:color="auto"/>
            </w:tcBorders>
            <w:shd w:val="clear" w:color="auto" w:fill="auto"/>
            <w:noWrap/>
            <w:vAlign w:val="center"/>
            <w:hideMark/>
          </w:tcPr>
          <w:p w14:paraId="2C39423B"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0,83 %</w:t>
            </w:r>
          </w:p>
        </w:tc>
        <w:tc>
          <w:tcPr>
            <w:tcW w:w="593" w:type="pct"/>
            <w:tcBorders>
              <w:top w:val="nil"/>
              <w:left w:val="nil"/>
              <w:bottom w:val="single" w:sz="4" w:space="0" w:color="auto"/>
              <w:right w:val="single" w:sz="4" w:space="0" w:color="auto"/>
            </w:tcBorders>
            <w:shd w:val="clear" w:color="auto" w:fill="auto"/>
            <w:noWrap/>
            <w:vAlign w:val="center"/>
            <w:hideMark/>
          </w:tcPr>
          <w:p w14:paraId="2BAEA4FB"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0,75 %</w:t>
            </w:r>
          </w:p>
        </w:tc>
        <w:tc>
          <w:tcPr>
            <w:tcW w:w="592" w:type="pct"/>
            <w:tcBorders>
              <w:top w:val="nil"/>
              <w:left w:val="nil"/>
              <w:bottom w:val="single" w:sz="4" w:space="0" w:color="auto"/>
              <w:right w:val="single" w:sz="4" w:space="0" w:color="auto"/>
            </w:tcBorders>
            <w:shd w:val="clear" w:color="auto" w:fill="auto"/>
            <w:noWrap/>
            <w:vAlign w:val="center"/>
            <w:hideMark/>
          </w:tcPr>
          <w:p w14:paraId="65FBF8F7" w14:textId="77777777" w:rsidR="00F24E18" w:rsidRPr="00486541" w:rsidRDefault="00F24E18" w:rsidP="000E18B5">
            <w:pPr>
              <w:spacing w:after="0" w:line="240" w:lineRule="auto"/>
              <w:jc w:val="right"/>
              <w:rPr>
                <w:rFonts w:ascii="Arial" w:eastAsia="Times New Roman" w:hAnsi="Arial" w:cs="Arial"/>
                <w:color w:val="000000"/>
                <w:sz w:val="18"/>
                <w:szCs w:val="18"/>
                <w:lang w:eastAsia="sl-SI"/>
              </w:rPr>
            </w:pPr>
            <w:r w:rsidRPr="00486541">
              <w:rPr>
                <w:rFonts w:ascii="Arial" w:hAnsi="Arial" w:cs="Arial"/>
                <w:color w:val="000000"/>
                <w:sz w:val="18"/>
                <w:szCs w:val="18"/>
              </w:rPr>
              <w:t>1,03 %</w:t>
            </w:r>
          </w:p>
        </w:tc>
      </w:tr>
      <w:tr w:rsidR="00F24E18" w:rsidRPr="00486541" w14:paraId="63046BE1" w14:textId="77777777" w:rsidTr="000E18B5">
        <w:trPr>
          <w:trHeight w:val="288"/>
        </w:trPr>
        <w:tc>
          <w:tcPr>
            <w:tcW w:w="509" w:type="pct"/>
            <w:vMerge/>
            <w:tcBorders>
              <w:top w:val="nil"/>
              <w:left w:val="single" w:sz="4" w:space="0" w:color="auto"/>
              <w:bottom w:val="single" w:sz="4" w:space="0" w:color="auto"/>
              <w:right w:val="single" w:sz="4" w:space="0" w:color="auto"/>
            </w:tcBorders>
            <w:vAlign w:val="center"/>
            <w:hideMark/>
          </w:tcPr>
          <w:p w14:paraId="040CF2F0" w14:textId="77777777" w:rsidR="00F24E18" w:rsidRPr="00486541" w:rsidRDefault="00F24E18" w:rsidP="000E18B5">
            <w:pPr>
              <w:spacing w:after="0" w:line="240" w:lineRule="auto"/>
              <w:rPr>
                <w:rFonts w:ascii="Arial" w:eastAsia="Times New Roman" w:hAnsi="Arial" w:cs="Arial"/>
                <w:color w:val="000000"/>
                <w:sz w:val="18"/>
                <w:szCs w:val="18"/>
                <w:lang w:eastAsia="sl-SI"/>
              </w:rPr>
            </w:pPr>
          </w:p>
        </w:tc>
        <w:tc>
          <w:tcPr>
            <w:tcW w:w="551" w:type="pct"/>
            <w:tcBorders>
              <w:top w:val="nil"/>
              <w:left w:val="nil"/>
              <w:bottom w:val="single" w:sz="4" w:space="0" w:color="auto"/>
              <w:right w:val="single" w:sz="4" w:space="0" w:color="auto"/>
            </w:tcBorders>
            <w:shd w:val="clear" w:color="auto" w:fill="auto"/>
            <w:vAlign w:val="center"/>
            <w:hideMark/>
          </w:tcPr>
          <w:p w14:paraId="7FD0A1D9" w14:textId="77777777" w:rsidR="00F24E18" w:rsidRPr="00486541" w:rsidRDefault="00F24E18" w:rsidP="000E18B5">
            <w:pPr>
              <w:spacing w:after="0" w:line="240" w:lineRule="auto"/>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Skupaj</w:t>
            </w:r>
          </w:p>
        </w:tc>
        <w:tc>
          <w:tcPr>
            <w:tcW w:w="655" w:type="pct"/>
            <w:tcBorders>
              <w:top w:val="nil"/>
              <w:left w:val="nil"/>
              <w:bottom w:val="single" w:sz="4" w:space="0" w:color="auto"/>
              <w:right w:val="single" w:sz="4" w:space="0" w:color="auto"/>
            </w:tcBorders>
            <w:shd w:val="clear" w:color="auto" w:fill="auto"/>
            <w:noWrap/>
            <w:vAlign w:val="center"/>
            <w:hideMark/>
          </w:tcPr>
          <w:p w14:paraId="01DDF8AC"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241</w:t>
            </w:r>
          </w:p>
        </w:tc>
        <w:tc>
          <w:tcPr>
            <w:tcW w:w="605" w:type="pct"/>
            <w:tcBorders>
              <w:top w:val="nil"/>
              <w:left w:val="nil"/>
              <w:bottom w:val="single" w:sz="4" w:space="0" w:color="auto"/>
              <w:right w:val="single" w:sz="4" w:space="0" w:color="auto"/>
            </w:tcBorders>
            <w:shd w:val="clear" w:color="auto" w:fill="auto"/>
            <w:noWrap/>
            <w:vAlign w:val="center"/>
            <w:hideMark/>
          </w:tcPr>
          <w:p w14:paraId="3B999542"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535</w:t>
            </w:r>
          </w:p>
        </w:tc>
        <w:tc>
          <w:tcPr>
            <w:tcW w:w="840" w:type="pct"/>
            <w:tcBorders>
              <w:top w:val="nil"/>
              <w:left w:val="nil"/>
              <w:bottom w:val="single" w:sz="4" w:space="0" w:color="auto"/>
              <w:right w:val="single" w:sz="4" w:space="0" w:color="auto"/>
            </w:tcBorders>
            <w:shd w:val="clear" w:color="auto" w:fill="auto"/>
            <w:noWrap/>
            <w:vAlign w:val="center"/>
            <w:hideMark/>
          </w:tcPr>
          <w:p w14:paraId="0DFFD65B"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692.738.659</w:t>
            </w:r>
          </w:p>
        </w:tc>
        <w:tc>
          <w:tcPr>
            <w:tcW w:w="655" w:type="pct"/>
            <w:tcBorders>
              <w:top w:val="nil"/>
              <w:left w:val="nil"/>
              <w:bottom w:val="single" w:sz="4" w:space="0" w:color="auto"/>
              <w:right w:val="single" w:sz="4" w:space="0" w:color="auto"/>
            </w:tcBorders>
            <w:shd w:val="clear" w:color="auto" w:fill="auto"/>
            <w:noWrap/>
            <w:vAlign w:val="center"/>
            <w:hideMark/>
          </w:tcPr>
          <w:p w14:paraId="2ACF0F37"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c>
          <w:tcPr>
            <w:tcW w:w="593" w:type="pct"/>
            <w:tcBorders>
              <w:top w:val="nil"/>
              <w:left w:val="nil"/>
              <w:bottom w:val="single" w:sz="4" w:space="0" w:color="auto"/>
              <w:right w:val="single" w:sz="4" w:space="0" w:color="auto"/>
            </w:tcBorders>
            <w:shd w:val="clear" w:color="auto" w:fill="auto"/>
            <w:noWrap/>
            <w:vAlign w:val="center"/>
            <w:hideMark/>
          </w:tcPr>
          <w:p w14:paraId="6487869F"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c>
          <w:tcPr>
            <w:tcW w:w="592" w:type="pct"/>
            <w:tcBorders>
              <w:top w:val="nil"/>
              <w:left w:val="nil"/>
              <w:bottom w:val="single" w:sz="4" w:space="0" w:color="auto"/>
              <w:right w:val="single" w:sz="4" w:space="0" w:color="auto"/>
            </w:tcBorders>
            <w:shd w:val="clear" w:color="auto" w:fill="auto"/>
            <w:noWrap/>
            <w:vAlign w:val="center"/>
            <w:hideMark/>
          </w:tcPr>
          <w:p w14:paraId="3E447334"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100,00 %</w:t>
            </w:r>
          </w:p>
        </w:tc>
      </w:tr>
      <w:tr w:rsidR="00F24E18" w:rsidRPr="00486541" w14:paraId="0C778AF1" w14:textId="77777777" w:rsidTr="000E18B5">
        <w:trPr>
          <w:gridAfter w:val="3"/>
          <w:wAfter w:w="1840" w:type="pct"/>
          <w:trHeight w:val="288"/>
        </w:trPr>
        <w:tc>
          <w:tcPr>
            <w:tcW w:w="106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B7659" w14:textId="77777777" w:rsidR="00F24E18" w:rsidRPr="00486541" w:rsidRDefault="00F24E18" w:rsidP="000E18B5">
            <w:pPr>
              <w:spacing w:after="0" w:line="240" w:lineRule="auto"/>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Skupaj</w:t>
            </w:r>
          </w:p>
        </w:tc>
        <w:tc>
          <w:tcPr>
            <w:tcW w:w="655" w:type="pct"/>
            <w:tcBorders>
              <w:top w:val="nil"/>
              <w:left w:val="nil"/>
              <w:bottom w:val="single" w:sz="4" w:space="0" w:color="auto"/>
              <w:right w:val="single" w:sz="4" w:space="0" w:color="auto"/>
            </w:tcBorders>
            <w:shd w:val="clear" w:color="auto" w:fill="F2F2F2" w:themeFill="background1" w:themeFillShade="F2"/>
            <w:noWrap/>
            <w:vAlign w:val="center"/>
            <w:hideMark/>
          </w:tcPr>
          <w:p w14:paraId="3BE8057B"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eastAsia="Times New Roman" w:hAnsi="Arial" w:cs="Arial"/>
                <w:b/>
                <w:bCs/>
                <w:color w:val="000000"/>
                <w:sz w:val="18"/>
                <w:szCs w:val="18"/>
                <w:lang w:eastAsia="sl-SI"/>
              </w:rPr>
              <w:t>874</w:t>
            </w:r>
          </w:p>
        </w:tc>
        <w:tc>
          <w:tcPr>
            <w:tcW w:w="605" w:type="pct"/>
            <w:tcBorders>
              <w:top w:val="nil"/>
              <w:left w:val="nil"/>
              <w:bottom w:val="single" w:sz="4" w:space="0" w:color="auto"/>
              <w:right w:val="single" w:sz="4" w:space="0" w:color="auto"/>
            </w:tcBorders>
            <w:shd w:val="clear" w:color="auto" w:fill="F2F2F2" w:themeFill="background1" w:themeFillShade="F2"/>
            <w:noWrap/>
            <w:vAlign w:val="center"/>
            <w:hideMark/>
          </w:tcPr>
          <w:p w14:paraId="4F270EA8"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4.804</w:t>
            </w:r>
          </w:p>
        </w:tc>
        <w:tc>
          <w:tcPr>
            <w:tcW w:w="840" w:type="pct"/>
            <w:tcBorders>
              <w:top w:val="nil"/>
              <w:left w:val="nil"/>
              <w:bottom w:val="single" w:sz="4" w:space="0" w:color="auto"/>
              <w:right w:val="single" w:sz="4" w:space="0" w:color="auto"/>
            </w:tcBorders>
            <w:shd w:val="clear" w:color="auto" w:fill="F2F2F2" w:themeFill="background1" w:themeFillShade="F2"/>
            <w:noWrap/>
            <w:vAlign w:val="center"/>
            <w:hideMark/>
          </w:tcPr>
          <w:p w14:paraId="286A2E1B" w14:textId="77777777" w:rsidR="00F24E18" w:rsidRPr="00486541" w:rsidRDefault="00F24E18" w:rsidP="000E18B5">
            <w:pPr>
              <w:spacing w:after="0" w:line="240" w:lineRule="auto"/>
              <w:jc w:val="right"/>
              <w:rPr>
                <w:rFonts w:ascii="Arial" w:eastAsia="Times New Roman" w:hAnsi="Arial" w:cs="Arial"/>
                <w:b/>
                <w:bCs/>
                <w:color w:val="000000"/>
                <w:sz w:val="18"/>
                <w:szCs w:val="18"/>
                <w:lang w:eastAsia="sl-SI"/>
              </w:rPr>
            </w:pPr>
            <w:r w:rsidRPr="00486541">
              <w:rPr>
                <w:rFonts w:ascii="Arial" w:hAnsi="Arial" w:cs="Arial"/>
                <w:b/>
                <w:bCs/>
                <w:color w:val="000000"/>
                <w:sz w:val="18"/>
                <w:szCs w:val="18"/>
              </w:rPr>
              <w:t>2.137.671.914</w:t>
            </w:r>
          </w:p>
        </w:tc>
      </w:tr>
    </w:tbl>
    <w:p w14:paraId="6119FDD1" w14:textId="77777777" w:rsidR="00F24E18" w:rsidRPr="00242E41" w:rsidRDefault="00F24E18" w:rsidP="00F24E18">
      <w:pPr>
        <w:spacing w:after="0" w:line="240" w:lineRule="auto"/>
        <w:rPr>
          <w:rFonts w:ascii="Arial" w:hAnsi="Arial" w:cs="Arial"/>
          <w:sz w:val="20"/>
          <w:szCs w:val="20"/>
          <w:highlight w:val="yellow"/>
        </w:rPr>
      </w:pPr>
    </w:p>
    <w:p w14:paraId="3D2B1298" w14:textId="77777777" w:rsidR="00F24E18" w:rsidRPr="005A0F58" w:rsidRDefault="00F24E18" w:rsidP="00F24E18">
      <w:pPr>
        <w:spacing w:before="120" w:after="0" w:line="240" w:lineRule="auto"/>
        <w:rPr>
          <w:rFonts w:ascii="Arial" w:hAnsi="Arial" w:cs="Arial"/>
          <w:sz w:val="20"/>
          <w:szCs w:val="20"/>
        </w:rPr>
      </w:pPr>
      <w:r w:rsidRPr="005A0F58">
        <w:rPr>
          <w:rFonts w:ascii="Arial" w:hAnsi="Arial" w:cs="Arial"/>
          <w:sz w:val="20"/>
          <w:szCs w:val="20"/>
        </w:rPr>
        <w:t>Preglednica 106: Število ponudnikov, ki jim je bilo oddano vsaj eno zeleno naročilo, razčlenjeno glede na vrsto predmeta in velikost ponudnika</w:t>
      </w:r>
    </w:p>
    <w:p w14:paraId="387518A0" w14:textId="77777777" w:rsidR="00F24E18" w:rsidRPr="00242E41" w:rsidRDefault="00F24E18" w:rsidP="00F24E18">
      <w:pPr>
        <w:spacing w:after="0" w:line="240" w:lineRule="auto"/>
        <w:rPr>
          <w:rFonts w:ascii="Arial" w:hAnsi="Arial" w:cs="Arial"/>
          <w:sz w:val="20"/>
          <w:szCs w:val="20"/>
          <w:highlight w:val="yellow"/>
        </w:rPr>
      </w:pPr>
    </w:p>
    <w:tbl>
      <w:tblPr>
        <w:tblW w:w="5000" w:type="pct"/>
        <w:tblLayout w:type="fixed"/>
        <w:tblCellMar>
          <w:left w:w="70" w:type="dxa"/>
          <w:right w:w="70" w:type="dxa"/>
        </w:tblCellMar>
        <w:tblLook w:val="04A0" w:firstRow="1" w:lastRow="0" w:firstColumn="1" w:lastColumn="0" w:noHBand="0" w:noVBand="1"/>
      </w:tblPr>
      <w:tblGrid>
        <w:gridCol w:w="845"/>
        <w:gridCol w:w="1844"/>
        <w:gridCol w:w="1134"/>
        <w:gridCol w:w="850"/>
        <w:gridCol w:w="1418"/>
        <w:gridCol w:w="1134"/>
        <w:gridCol w:w="991"/>
        <w:gridCol w:w="958"/>
      </w:tblGrid>
      <w:tr w:rsidR="00F24E18" w:rsidRPr="005A0F58" w14:paraId="4BE78D14" w14:textId="77777777" w:rsidTr="000E18B5">
        <w:trPr>
          <w:trHeight w:val="720"/>
          <w:tblHeader/>
        </w:trPr>
        <w:tc>
          <w:tcPr>
            <w:tcW w:w="46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F3E8FEF" w14:textId="77777777" w:rsidR="00F24E18" w:rsidRPr="005A0F58" w:rsidRDefault="00F24E18" w:rsidP="000E18B5">
            <w:pPr>
              <w:spacing w:after="0" w:line="240" w:lineRule="auto"/>
              <w:jc w:val="center"/>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Predmet</w:t>
            </w:r>
          </w:p>
        </w:tc>
        <w:tc>
          <w:tcPr>
            <w:tcW w:w="1005" w:type="pct"/>
            <w:tcBorders>
              <w:top w:val="single" w:sz="4" w:space="0" w:color="auto"/>
              <w:left w:val="nil"/>
              <w:bottom w:val="single" w:sz="4" w:space="0" w:color="auto"/>
              <w:right w:val="single" w:sz="4" w:space="0" w:color="auto"/>
            </w:tcBorders>
            <w:shd w:val="clear" w:color="000000" w:fill="F2F2F2"/>
            <w:vAlign w:val="center"/>
            <w:hideMark/>
          </w:tcPr>
          <w:p w14:paraId="1E24AD8D" w14:textId="77777777" w:rsidR="00F24E18" w:rsidRPr="005A0F58" w:rsidRDefault="00F24E18" w:rsidP="000E18B5">
            <w:pPr>
              <w:spacing w:after="0" w:line="240" w:lineRule="auto"/>
              <w:jc w:val="center"/>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Velikost ponudnika</w:t>
            </w:r>
          </w:p>
        </w:tc>
        <w:tc>
          <w:tcPr>
            <w:tcW w:w="618" w:type="pct"/>
            <w:tcBorders>
              <w:top w:val="single" w:sz="4" w:space="0" w:color="auto"/>
              <w:left w:val="nil"/>
              <w:bottom w:val="single" w:sz="4" w:space="0" w:color="auto"/>
              <w:right w:val="single" w:sz="4" w:space="0" w:color="auto"/>
            </w:tcBorders>
            <w:shd w:val="clear" w:color="000000" w:fill="F2F2F2"/>
            <w:vAlign w:val="center"/>
            <w:hideMark/>
          </w:tcPr>
          <w:p w14:paraId="0022B917" w14:textId="77777777" w:rsidR="00F24E18" w:rsidRPr="005A0F58" w:rsidRDefault="00F24E18" w:rsidP="000E18B5">
            <w:pPr>
              <w:spacing w:after="0" w:line="240" w:lineRule="auto"/>
              <w:jc w:val="center"/>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Št. ponudnikov</w:t>
            </w:r>
          </w:p>
        </w:tc>
        <w:tc>
          <w:tcPr>
            <w:tcW w:w="463" w:type="pct"/>
            <w:tcBorders>
              <w:top w:val="single" w:sz="4" w:space="0" w:color="auto"/>
              <w:left w:val="nil"/>
              <w:bottom w:val="single" w:sz="4" w:space="0" w:color="auto"/>
              <w:right w:val="single" w:sz="4" w:space="0" w:color="auto"/>
            </w:tcBorders>
            <w:shd w:val="clear" w:color="000000" w:fill="F2F2F2"/>
            <w:vAlign w:val="center"/>
            <w:hideMark/>
          </w:tcPr>
          <w:p w14:paraId="4F236A0B" w14:textId="77777777" w:rsidR="00F24E18" w:rsidRPr="005A0F58" w:rsidRDefault="00F24E18" w:rsidP="000E18B5">
            <w:pPr>
              <w:spacing w:after="0" w:line="240" w:lineRule="auto"/>
              <w:jc w:val="center"/>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Št. zelenih naročil</w:t>
            </w:r>
          </w:p>
        </w:tc>
        <w:tc>
          <w:tcPr>
            <w:tcW w:w="773" w:type="pct"/>
            <w:tcBorders>
              <w:top w:val="single" w:sz="4" w:space="0" w:color="auto"/>
              <w:left w:val="nil"/>
              <w:bottom w:val="single" w:sz="4" w:space="0" w:color="auto"/>
              <w:right w:val="single" w:sz="4" w:space="0" w:color="auto"/>
            </w:tcBorders>
            <w:shd w:val="clear" w:color="000000" w:fill="F2F2F2"/>
            <w:vAlign w:val="center"/>
            <w:hideMark/>
          </w:tcPr>
          <w:p w14:paraId="1CA7F4CD" w14:textId="77777777" w:rsidR="00F24E18" w:rsidRPr="005A0F58" w:rsidRDefault="00F24E18" w:rsidP="000E18B5">
            <w:pPr>
              <w:spacing w:after="0" w:line="240" w:lineRule="auto"/>
              <w:jc w:val="center"/>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Pogodbena vrednost</w:t>
            </w:r>
          </w:p>
        </w:tc>
        <w:tc>
          <w:tcPr>
            <w:tcW w:w="618" w:type="pct"/>
            <w:tcBorders>
              <w:top w:val="single" w:sz="4" w:space="0" w:color="auto"/>
              <w:left w:val="nil"/>
              <w:bottom w:val="single" w:sz="4" w:space="0" w:color="auto"/>
              <w:right w:val="single" w:sz="4" w:space="0" w:color="auto"/>
            </w:tcBorders>
            <w:shd w:val="clear" w:color="000000" w:fill="F2F2F2"/>
            <w:vAlign w:val="center"/>
            <w:hideMark/>
          </w:tcPr>
          <w:p w14:paraId="7267254D" w14:textId="77777777" w:rsidR="00F24E18" w:rsidRPr="005A0F58" w:rsidRDefault="00F24E18" w:rsidP="000E18B5">
            <w:pPr>
              <w:spacing w:after="0" w:line="240" w:lineRule="auto"/>
              <w:jc w:val="center"/>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Delež v št. ponudnikov</w:t>
            </w:r>
          </w:p>
        </w:tc>
        <w:tc>
          <w:tcPr>
            <w:tcW w:w="540" w:type="pct"/>
            <w:tcBorders>
              <w:top w:val="single" w:sz="4" w:space="0" w:color="auto"/>
              <w:left w:val="nil"/>
              <w:bottom w:val="single" w:sz="4" w:space="0" w:color="auto"/>
              <w:right w:val="single" w:sz="4" w:space="0" w:color="auto"/>
            </w:tcBorders>
            <w:shd w:val="clear" w:color="000000" w:fill="F2F2F2"/>
            <w:vAlign w:val="center"/>
            <w:hideMark/>
          </w:tcPr>
          <w:p w14:paraId="7A0EEA17" w14:textId="77777777" w:rsidR="00F24E18" w:rsidRPr="005A0F58" w:rsidRDefault="00F24E18" w:rsidP="000E18B5">
            <w:pPr>
              <w:spacing w:after="0" w:line="240" w:lineRule="auto"/>
              <w:jc w:val="center"/>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Delež v št. naročil</w:t>
            </w:r>
          </w:p>
        </w:tc>
        <w:tc>
          <w:tcPr>
            <w:tcW w:w="522" w:type="pct"/>
            <w:tcBorders>
              <w:top w:val="single" w:sz="4" w:space="0" w:color="auto"/>
              <w:left w:val="nil"/>
              <w:bottom w:val="single" w:sz="4" w:space="0" w:color="auto"/>
              <w:right w:val="single" w:sz="4" w:space="0" w:color="auto"/>
            </w:tcBorders>
            <w:shd w:val="clear" w:color="000000" w:fill="F2F2F2"/>
            <w:vAlign w:val="center"/>
            <w:hideMark/>
          </w:tcPr>
          <w:p w14:paraId="29375C95" w14:textId="77777777" w:rsidR="00F24E18" w:rsidRPr="005A0F58" w:rsidRDefault="00F24E18" w:rsidP="000E18B5">
            <w:pPr>
              <w:spacing w:after="0" w:line="240" w:lineRule="auto"/>
              <w:jc w:val="center"/>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Delež v vrednosti</w:t>
            </w:r>
          </w:p>
        </w:tc>
      </w:tr>
      <w:tr w:rsidR="00F24E18" w:rsidRPr="005A0F58" w14:paraId="799A60FF" w14:textId="77777777" w:rsidTr="000E18B5">
        <w:trPr>
          <w:trHeight w:val="300"/>
        </w:trPr>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1C2703"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Blago</w:t>
            </w:r>
          </w:p>
        </w:tc>
        <w:tc>
          <w:tcPr>
            <w:tcW w:w="1005" w:type="pct"/>
            <w:tcBorders>
              <w:top w:val="nil"/>
              <w:left w:val="nil"/>
              <w:bottom w:val="single" w:sz="4" w:space="0" w:color="auto"/>
              <w:right w:val="single" w:sz="4" w:space="0" w:color="auto"/>
            </w:tcBorders>
            <w:shd w:val="clear" w:color="auto" w:fill="auto"/>
            <w:noWrap/>
            <w:vAlign w:val="center"/>
            <w:hideMark/>
          </w:tcPr>
          <w:p w14:paraId="0C116367" w14:textId="77777777" w:rsidR="00F24E18" w:rsidRPr="005A0F58" w:rsidRDefault="00F24E18" w:rsidP="000E18B5">
            <w:pPr>
              <w:spacing w:after="0" w:line="240" w:lineRule="auto"/>
              <w:rPr>
                <w:rFonts w:ascii="Arial" w:eastAsia="Times New Roman" w:hAnsi="Arial" w:cs="Arial"/>
                <w:color w:val="000000"/>
                <w:sz w:val="18"/>
                <w:szCs w:val="18"/>
                <w:lang w:eastAsia="sl-SI"/>
              </w:rPr>
            </w:pPr>
            <w:proofErr w:type="spellStart"/>
            <w:r w:rsidRPr="005A0F58">
              <w:rPr>
                <w:rFonts w:ascii="Arial" w:eastAsia="Times New Roman" w:hAnsi="Arial" w:cs="Arial"/>
                <w:color w:val="000000"/>
                <w:sz w:val="18"/>
                <w:szCs w:val="18"/>
                <w:lang w:eastAsia="sl-SI"/>
              </w:rPr>
              <w:t>Mikro</w:t>
            </w:r>
            <w:proofErr w:type="spellEnd"/>
            <w:r w:rsidRPr="005A0F58">
              <w:rPr>
                <w:rFonts w:ascii="Arial" w:eastAsia="Times New Roman" w:hAnsi="Arial" w:cs="Arial"/>
                <w:color w:val="000000"/>
                <w:sz w:val="18"/>
                <w:szCs w:val="18"/>
                <w:lang w:eastAsia="sl-SI"/>
              </w:rPr>
              <w:t xml:space="preserve"> enote</w:t>
            </w:r>
          </w:p>
        </w:tc>
        <w:tc>
          <w:tcPr>
            <w:tcW w:w="618" w:type="pct"/>
            <w:tcBorders>
              <w:top w:val="nil"/>
              <w:left w:val="nil"/>
              <w:bottom w:val="single" w:sz="4" w:space="0" w:color="auto"/>
              <w:right w:val="single" w:sz="4" w:space="0" w:color="auto"/>
            </w:tcBorders>
            <w:shd w:val="clear" w:color="auto" w:fill="auto"/>
            <w:noWrap/>
            <w:vAlign w:val="center"/>
            <w:hideMark/>
          </w:tcPr>
          <w:p w14:paraId="121F1A92"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76</w:t>
            </w:r>
          </w:p>
        </w:tc>
        <w:tc>
          <w:tcPr>
            <w:tcW w:w="463" w:type="pct"/>
            <w:tcBorders>
              <w:top w:val="nil"/>
              <w:left w:val="nil"/>
              <w:bottom w:val="single" w:sz="4" w:space="0" w:color="auto"/>
              <w:right w:val="single" w:sz="4" w:space="0" w:color="auto"/>
            </w:tcBorders>
            <w:shd w:val="clear" w:color="auto" w:fill="auto"/>
            <w:noWrap/>
            <w:vAlign w:val="center"/>
            <w:hideMark/>
          </w:tcPr>
          <w:p w14:paraId="4E4B16B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174</w:t>
            </w:r>
          </w:p>
        </w:tc>
        <w:tc>
          <w:tcPr>
            <w:tcW w:w="773" w:type="pct"/>
            <w:tcBorders>
              <w:top w:val="nil"/>
              <w:left w:val="nil"/>
              <w:bottom w:val="single" w:sz="4" w:space="0" w:color="auto"/>
              <w:right w:val="single" w:sz="4" w:space="0" w:color="auto"/>
            </w:tcBorders>
            <w:shd w:val="clear" w:color="auto" w:fill="auto"/>
            <w:noWrap/>
            <w:vAlign w:val="center"/>
            <w:hideMark/>
          </w:tcPr>
          <w:p w14:paraId="31B2ABB1"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12.740.992</w:t>
            </w:r>
          </w:p>
        </w:tc>
        <w:tc>
          <w:tcPr>
            <w:tcW w:w="618" w:type="pct"/>
            <w:tcBorders>
              <w:top w:val="nil"/>
              <w:left w:val="nil"/>
              <w:bottom w:val="single" w:sz="4" w:space="0" w:color="auto"/>
              <w:right w:val="single" w:sz="4" w:space="0" w:color="auto"/>
            </w:tcBorders>
            <w:shd w:val="clear" w:color="auto" w:fill="auto"/>
            <w:noWrap/>
            <w:vAlign w:val="center"/>
            <w:hideMark/>
          </w:tcPr>
          <w:p w14:paraId="2E7176E6"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19,69 %</w:t>
            </w:r>
          </w:p>
        </w:tc>
        <w:tc>
          <w:tcPr>
            <w:tcW w:w="540" w:type="pct"/>
            <w:tcBorders>
              <w:top w:val="nil"/>
              <w:left w:val="nil"/>
              <w:bottom w:val="single" w:sz="4" w:space="0" w:color="auto"/>
              <w:right w:val="single" w:sz="4" w:space="0" w:color="auto"/>
            </w:tcBorders>
            <w:shd w:val="clear" w:color="auto" w:fill="auto"/>
            <w:noWrap/>
            <w:vAlign w:val="center"/>
            <w:hideMark/>
          </w:tcPr>
          <w:p w14:paraId="51EB27FA"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4,71 %</w:t>
            </w:r>
          </w:p>
        </w:tc>
        <w:tc>
          <w:tcPr>
            <w:tcW w:w="522" w:type="pct"/>
            <w:tcBorders>
              <w:top w:val="nil"/>
              <w:left w:val="nil"/>
              <w:bottom w:val="single" w:sz="4" w:space="0" w:color="auto"/>
              <w:right w:val="single" w:sz="4" w:space="0" w:color="auto"/>
            </w:tcBorders>
            <w:shd w:val="clear" w:color="auto" w:fill="auto"/>
            <w:noWrap/>
            <w:vAlign w:val="center"/>
            <w:hideMark/>
          </w:tcPr>
          <w:p w14:paraId="4569742B"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1,97 %</w:t>
            </w:r>
          </w:p>
        </w:tc>
      </w:tr>
      <w:tr w:rsidR="00F24E18" w:rsidRPr="005A0F58" w14:paraId="2D5A92A6"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32880C80"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285459B3"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Majhne enote</w:t>
            </w:r>
          </w:p>
        </w:tc>
        <w:tc>
          <w:tcPr>
            <w:tcW w:w="618" w:type="pct"/>
            <w:tcBorders>
              <w:top w:val="nil"/>
              <w:left w:val="nil"/>
              <w:bottom w:val="single" w:sz="4" w:space="0" w:color="auto"/>
              <w:right w:val="single" w:sz="4" w:space="0" w:color="auto"/>
            </w:tcBorders>
            <w:shd w:val="clear" w:color="auto" w:fill="auto"/>
            <w:noWrap/>
            <w:vAlign w:val="center"/>
            <w:hideMark/>
          </w:tcPr>
          <w:p w14:paraId="470201A4"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163</w:t>
            </w:r>
          </w:p>
        </w:tc>
        <w:tc>
          <w:tcPr>
            <w:tcW w:w="463" w:type="pct"/>
            <w:tcBorders>
              <w:top w:val="nil"/>
              <w:left w:val="nil"/>
              <w:bottom w:val="single" w:sz="4" w:space="0" w:color="auto"/>
              <w:right w:val="single" w:sz="4" w:space="0" w:color="auto"/>
            </w:tcBorders>
            <w:shd w:val="clear" w:color="auto" w:fill="auto"/>
            <w:noWrap/>
            <w:vAlign w:val="center"/>
            <w:hideMark/>
          </w:tcPr>
          <w:p w14:paraId="3305D3B6"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1.107</w:t>
            </w:r>
          </w:p>
        </w:tc>
        <w:tc>
          <w:tcPr>
            <w:tcW w:w="773" w:type="pct"/>
            <w:tcBorders>
              <w:top w:val="nil"/>
              <w:left w:val="nil"/>
              <w:bottom w:val="single" w:sz="4" w:space="0" w:color="auto"/>
              <w:right w:val="single" w:sz="4" w:space="0" w:color="auto"/>
            </w:tcBorders>
            <w:shd w:val="clear" w:color="auto" w:fill="auto"/>
            <w:noWrap/>
            <w:vAlign w:val="center"/>
            <w:hideMark/>
          </w:tcPr>
          <w:p w14:paraId="0197AC8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114.597.912</w:t>
            </w:r>
          </w:p>
        </w:tc>
        <w:tc>
          <w:tcPr>
            <w:tcW w:w="618" w:type="pct"/>
            <w:tcBorders>
              <w:top w:val="nil"/>
              <w:left w:val="nil"/>
              <w:bottom w:val="single" w:sz="4" w:space="0" w:color="auto"/>
              <w:right w:val="single" w:sz="4" w:space="0" w:color="auto"/>
            </w:tcBorders>
            <w:shd w:val="clear" w:color="auto" w:fill="auto"/>
            <w:noWrap/>
            <w:vAlign w:val="center"/>
            <w:hideMark/>
          </w:tcPr>
          <w:p w14:paraId="32C1C454"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42,23 %</w:t>
            </w:r>
          </w:p>
        </w:tc>
        <w:tc>
          <w:tcPr>
            <w:tcW w:w="540" w:type="pct"/>
            <w:tcBorders>
              <w:top w:val="nil"/>
              <w:left w:val="nil"/>
              <w:bottom w:val="single" w:sz="4" w:space="0" w:color="auto"/>
              <w:right w:val="single" w:sz="4" w:space="0" w:color="auto"/>
            </w:tcBorders>
            <w:shd w:val="clear" w:color="auto" w:fill="auto"/>
            <w:noWrap/>
            <w:vAlign w:val="center"/>
            <w:hideMark/>
          </w:tcPr>
          <w:p w14:paraId="4E95A0D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29,95 %</w:t>
            </w:r>
          </w:p>
        </w:tc>
        <w:tc>
          <w:tcPr>
            <w:tcW w:w="522" w:type="pct"/>
            <w:tcBorders>
              <w:top w:val="nil"/>
              <w:left w:val="nil"/>
              <w:bottom w:val="single" w:sz="4" w:space="0" w:color="auto"/>
              <w:right w:val="single" w:sz="4" w:space="0" w:color="auto"/>
            </w:tcBorders>
            <w:shd w:val="clear" w:color="auto" w:fill="auto"/>
            <w:noWrap/>
            <w:vAlign w:val="center"/>
            <w:hideMark/>
          </w:tcPr>
          <w:p w14:paraId="5D47FA4F"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17,71 %</w:t>
            </w:r>
          </w:p>
        </w:tc>
      </w:tr>
      <w:tr w:rsidR="00F24E18" w:rsidRPr="005A0F58" w14:paraId="343EFF41"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06B8BE01"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785DDBB7"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Srednje enote</w:t>
            </w:r>
          </w:p>
        </w:tc>
        <w:tc>
          <w:tcPr>
            <w:tcW w:w="618" w:type="pct"/>
            <w:tcBorders>
              <w:top w:val="nil"/>
              <w:left w:val="nil"/>
              <w:bottom w:val="single" w:sz="4" w:space="0" w:color="auto"/>
              <w:right w:val="single" w:sz="4" w:space="0" w:color="auto"/>
            </w:tcBorders>
            <w:shd w:val="clear" w:color="auto" w:fill="auto"/>
            <w:noWrap/>
            <w:vAlign w:val="center"/>
            <w:hideMark/>
          </w:tcPr>
          <w:p w14:paraId="43C2F3E4"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77</w:t>
            </w:r>
          </w:p>
        </w:tc>
        <w:tc>
          <w:tcPr>
            <w:tcW w:w="463" w:type="pct"/>
            <w:tcBorders>
              <w:top w:val="nil"/>
              <w:left w:val="nil"/>
              <w:bottom w:val="single" w:sz="4" w:space="0" w:color="auto"/>
              <w:right w:val="single" w:sz="4" w:space="0" w:color="auto"/>
            </w:tcBorders>
            <w:shd w:val="clear" w:color="auto" w:fill="auto"/>
            <w:noWrap/>
            <w:vAlign w:val="center"/>
            <w:hideMark/>
          </w:tcPr>
          <w:p w14:paraId="291347C6"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1.269</w:t>
            </w:r>
          </w:p>
        </w:tc>
        <w:tc>
          <w:tcPr>
            <w:tcW w:w="773" w:type="pct"/>
            <w:tcBorders>
              <w:top w:val="nil"/>
              <w:left w:val="nil"/>
              <w:bottom w:val="single" w:sz="4" w:space="0" w:color="auto"/>
              <w:right w:val="single" w:sz="4" w:space="0" w:color="auto"/>
            </w:tcBorders>
            <w:shd w:val="clear" w:color="auto" w:fill="auto"/>
            <w:noWrap/>
            <w:vAlign w:val="center"/>
            <w:hideMark/>
          </w:tcPr>
          <w:p w14:paraId="63B53784"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130.356.311</w:t>
            </w:r>
          </w:p>
        </w:tc>
        <w:tc>
          <w:tcPr>
            <w:tcW w:w="618" w:type="pct"/>
            <w:tcBorders>
              <w:top w:val="nil"/>
              <w:left w:val="nil"/>
              <w:bottom w:val="single" w:sz="4" w:space="0" w:color="auto"/>
              <w:right w:val="single" w:sz="4" w:space="0" w:color="auto"/>
            </w:tcBorders>
            <w:shd w:val="clear" w:color="auto" w:fill="auto"/>
            <w:noWrap/>
            <w:vAlign w:val="center"/>
            <w:hideMark/>
          </w:tcPr>
          <w:p w14:paraId="3A1FB2D2"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19,95 %</w:t>
            </w:r>
          </w:p>
        </w:tc>
        <w:tc>
          <w:tcPr>
            <w:tcW w:w="540" w:type="pct"/>
            <w:tcBorders>
              <w:top w:val="nil"/>
              <w:left w:val="nil"/>
              <w:bottom w:val="single" w:sz="4" w:space="0" w:color="auto"/>
              <w:right w:val="single" w:sz="4" w:space="0" w:color="auto"/>
            </w:tcBorders>
            <w:shd w:val="clear" w:color="auto" w:fill="auto"/>
            <w:noWrap/>
            <w:vAlign w:val="center"/>
            <w:hideMark/>
          </w:tcPr>
          <w:p w14:paraId="6D1C036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34,33 %</w:t>
            </w:r>
          </w:p>
        </w:tc>
        <w:tc>
          <w:tcPr>
            <w:tcW w:w="522" w:type="pct"/>
            <w:tcBorders>
              <w:top w:val="nil"/>
              <w:left w:val="nil"/>
              <w:bottom w:val="single" w:sz="4" w:space="0" w:color="auto"/>
              <w:right w:val="single" w:sz="4" w:space="0" w:color="auto"/>
            </w:tcBorders>
            <w:shd w:val="clear" w:color="auto" w:fill="auto"/>
            <w:noWrap/>
            <w:vAlign w:val="center"/>
            <w:hideMark/>
          </w:tcPr>
          <w:p w14:paraId="66BB231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20,15 %</w:t>
            </w:r>
          </w:p>
        </w:tc>
      </w:tr>
      <w:tr w:rsidR="00F24E18" w:rsidRPr="005A0F58" w14:paraId="0908A9DA"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6FD333C8"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14767153"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Velike enote</w:t>
            </w:r>
          </w:p>
        </w:tc>
        <w:tc>
          <w:tcPr>
            <w:tcW w:w="618" w:type="pct"/>
            <w:tcBorders>
              <w:top w:val="nil"/>
              <w:left w:val="nil"/>
              <w:bottom w:val="single" w:sz="4" w:space="0" w:color="auto"/>
              <w:right w:val="single" w:sz="4" w:space="0" w:color="auto"/>
            </w:tcBorders>
            <w:shd w:val="clear" w:color="auto" w:fill="auto"/>
            <w:noWrap/>
            <w:vAlign w:val="center"/>
            <w:hideMark/>
          </w:tcPr>
          <w:p w14:paraId="1EE645C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41</w:t>
            </w:r>
          </w:p>
        </w:tc>
        <w:tc>
          <w:tcPr>
            <w:tcW w:w="463" w:type="pct"/>
            <w:tcBorders>
              <w:top w:val="nil"/>
              <w:left w:val="nil"/>
              <w:bottom w:val="single" w:sz="4" w:space="0" w:color="auto"/>
              <w:right w:val="single" w:sz="4" w:space="0" w:color="auto"/>
            </w:tcBorders>
            <w:shd w:val="clear" w:color="auto" w:fill="auto"/>
            <w:noWrap/>
            <w:vAlign w:val="center"/>
            <w:hideMark/>
          </w:tcPr>
          <w:p w14:paraId="030EFDB2"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1.100</w:t>
            </w:r>
          </w:p>
        </w:tc>
        <w:tc>
          <w:tcPr>
            <w:tcW w:w="773" w:type="pct"/>
            <w:tcBorders>
              <w:top w:val="nil"/>
              <w:left w:val="nil"/>
              <w:bottom w:val="single" w:sz="4" w:space="0" w:color="auto"/>
              <w:right w:val="single" w:sz="4" w:space="0" w:color="auto"/>
            </w:tcBorders>
            <w:shd w:val="clear" w:color="auto" w:fill="auto"/>
            <w:noWrap/>
            <w:vAlign w:val="center"/>
            <w:hideMark/>
          </w:tcPr>
          <w:p w14:paraId="71273D7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386.347.095</w:t>
            </w:r>
          </w:p>
        </w:tc>
        <w:tc>
          <w:tcPr>
            <w:tcW w:w="618" w:type="pct"/>
            <w:tcBorders>
              <w:top w:val="nil"/>
              <w:left w:val="nil"/>
              <w:bottom w:val="single" w:sz="4" w:space="0" w:color="auto"/>
              <w:right w:val="single" w:sz="4" w:space="0" w:color="auto"/>
            </w:tcBorders>
            <w:shd w:val="clear" w:color="auto" w:fill="auto"/>
            <w:noWrap/>
            <w:vAlign w:val="center"/>
            <w:hideMark/>
          </w:tcPr>
          <w:p w14:paraId="096D4FEE"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10,62 %</w:t>
            </w:r>
          </w:p>
        </w:tc>
        <w:tc>
          <w:tcPr>
            <w:tcW w:w="540" w:type="pct"/>
            <w:tcBorders>
              <w:top w:val="nil"/>
              <w:left w:val="nil"/>
              <w:bottom w:val="single" w:sz="4" w:space="0" w:color="auto"/>
              <w:right w:val="single" w:sz="4" w:space="0" w:color="auto"/>
            </w:tcBorders>
            <w:shd w:val="clear" w:color="auto" w:fill="auto"/>
            <w:noWrap/>
            <w:vAlign w:val="center"/>
            <w:hideMark/>
          </w:tcPr>
          <w:p w14:paraId="41A01E46"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29,76 %</w:t>
            </w:r>
          </w:p>
        </w:tc>
        <w:tc>
          <w:tcPr>
            <w:tcW w:w="522" w:type="pct"/>
            <w:tcBorders>
              <w:top w:val="nil"/>
              <w:left w:val="nil"/>
              <w:bottom w:val="single" w:sz="4" w:space="0" w:color="auto"/>
              <w:right w:val="single" w:sz="4" w:space="0" w:color="auto"/>
            </w:tcBorders>
            <w:shd w:val="clear" w:color="auto" w:fill="auto"/>
            <w:noWrap/>
            <w:vAlign w:val="center"/>
            <w:hideMark/>
          </w:tcPr>
          <w:p w14:paraId="36B641D7"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59,71 %</w:t>
            </w:r>
          </w:p>
        </w:tc>
      </w:tr>
      <w:tr w:rsidR="00F24E18" w:rsidRPr="005A0F58" w14:paraId="5B5FF7E1"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2C68D462"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4CA87251"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Velikost RS se ne izračunava</w:t>
            </w:r>
          </w:p>
        </w:tc>
        <w:tc>
          <w:tcPr>
            <w:tcW w:w="618" w:type="pct"/>
            <w:tcBorders>
              <w:top w:val="nil"/>
              <w:left w:val="nil"/>
              <w:bottom w:val="single" w:sz="4" w:space="0" w:color="auto"/>
              <w:right w:val="single" w:sz="4" w:space="0" w:color="auto"/>
            </w:tcBorders>
            <w:shd w:val="clear" w:color="auto" w:fill="auto"/>
            <w:noWrap/>
            <w:vAlign w:val="center"/>
            <w:hideMark/>
          </w:tcPr>
          <w:p w14:paraId="75366889"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15</w:t>
            </w:r>
          </w:p>
        </w:tc>
        <w:tc>
          <w:tcPr>
            <w:tcW w:w="463" w:type="pct"/>
            <w:tcBorders>
              <w:top w:val="nil"/>
              <w:left w:val="nil"/>
              <w:bottom w:val="single" w:sz="4" w:space="0" w:color="auto"/>
              <w:right w:val="single" w:sz="4" w:space="0" w:color="auto"/>
            </w:tcBorders>
            <w:shd w:val="clear" w:color="auto" w:fill="auto"/>
            <w:noWrap/>
            <w:vAlign w:val="center"/>
            <w:hideMark/>
          </w:tcPr>
          <w:p w14:paraId="43554B2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25</w:t>
            </w:r>
          </w:p>
        </w:tc>
        <w:tc>
          <w:tcPr>
            <w:tcW w:w="773" w:type="pct"/>
            <w:tcBorders>
              <w:top w:val="nil"/>
              <w:left w:val="nil"/>
              <w:bottom w:val="single" w:sz="4" w:space="0" w:color="auto"/>
              <w:right w:val="single" w:sz="4" w:space="0" w:color="auto"/>
            </w:tcBorders>
            <w:shd w:val="clear" w:color="auto" w:fill="auto"/>
            <w:noWrap/>
            <w:vAlign w:val="center"/>
            <w:hideMark/>
          </w:tcPr>
          <w:p w14:paraId="3A31DD7B"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929.454</w:t>
            </w:r>
          </w:p>
        </w:tc>
        <w:tc>
          <w:tcPr>
            <w:tcW w:w="618" w:type="pct"/>
            <w:tcBorders>
              <w:top w:val="nil"/>
              <w:left w:val="nil"/>
              <w:bottom w:val="single" w:sz="4" w:space="0" w:color="auto"/>
              <w:right w:val="single" w:sz="4" w:space="0" w:color="auto"/>
            </w:tcBorders>
            <w:shd w:val="clear" w:color="auto" w:fill="auto"/>
            <w:noWrap/>
            <w:vAlign w:val="center"/>
            <w:hideMark/>
          </w:tcPr>
          <w:p w14:paraId="260A933F"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3,89 %</w:t>
            </w:r>
          </w:p>
        </w:tc>
        <w:tc>
          <w:tcPr>
            <w:tcW w:w="540" w:type="pct"/>
            <w:tcBorders>
              <w:top w:val="nil"/>
              <w:left w:val="nil"/>
              <w:bottom w:val="single" w:sz="4" w:space="0" w:color="auto"/>
              <w:right w:val="single" w:sz="4" w:space="0" w:color="auto"/>
            </w:tcBorders>
            <w:shd w:val="clear" w:color="auto" w:fill="auto"/>
            <w:noWrap/>
            <w:vAlign w:val="center"/>
            <w:hideMark/>
          </w:tcPr>
          <w:p w14:paraId="7EBFB060"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0,68 %</w:t>
            </w:r>
          </w:p>
        </w:tc>
        <w:tc>
          <w:tcPr>
            <w:tcW w:w="522" w:type="pct"/>
            <w:tcBorders>
              <w:top w:val="nil"/>
              <w:left w:val="nil"/>
              <w:bottom w:val="single" w:sz="4" w:space="0" w:color="auto"/>
              <w:right w:val="single" w:sz="4" w:space="0" w:color="auto"/>
            </w:tcBorders>
            <w:shd w:val="clear" w:color="auto" w:fill="auto"/>
            <w:noWrap/>
            <w:vAlign w:val="center"/>
            <w:hideMark/>
          </w:tcPr>
          <w:p w14:paraId="1ADE409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0,14 %</w:t>
            </w:r>
          </w:p>
        </w:tc>
      </w:tr>
      <w:tr w:rsidR="00F24E18" w:rsidRPr="005A0F58" w14:paraId="38047986"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0BB56096"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484718E8"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Ni podatka o velikosti</w:t>
            </w:r>
          </w:p>
        </w:tc>
        <w:tc>
          <w:tcPr>
            <w:tcW w:w="618" w:type="pct"/>
            <w:tcBorders>
              <w:top w:val="nil"/>
              <w:left w:val="nil"/>
              <w:bottom w:val="single" w:sz="4" w:space="0" w:color="auto"/>
              <w:right w:val="single" w:sz="4" w:space="0" w:color="auto"/>
            </w:tcBorders>
            <w:shd w:val="clear" w:color="auto" w:fill="auto"/>
            <w:noWrap/>
            <w:vAlign w:val="center"/>
            <w:hideMark/>
          </w:tcPr>
          <w:p w14:paraId="6A9361E2"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14</w:t>
            </w:r>
          </w:p>
        </w:tc>
        <w:tc>
          <w:tcPr>
            <w:tcW w:w="463" w:type="pct"/>
            <w:tcBorders>
              <w:top w:val="nil"/>
              <w:left w:val="nil"/>
              <w:bottom w:val="single" w:sz="4" w:space="0" w:color="auto"/>
              <w:right w:val="single" w:sz="4" w:space="0" w:color="auto"/>
            </w:tcBorders>
            <w:shd w:val="clear" w:color="auto" w:fill="auto"/>
            <w:noWrap/>
            <w:vAlign w:val="center"/>
            <w:hideMark/>
          </w:tcPr>
          <w:p w14:paraId="331F00A1"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21</w:t>
            </w:r>
          </w:p>
        </w:tc>
        <w:tc>
          <w:tcPr>
            <w:tcW w:w="773" w:type="pct"/>
            <w:tcBorders>
              <w:top w:val="nil"/>
              <w:left w:val="nil"/>
              <w:bottom w:val="single" w:sz="4" w:space="0" w:color="auto"/>
              <w:right w:val="single" w:sz="4" w:space="0" w:color="auto"/>
            </w:tcBorders>
            <w:shd w:val="clear" w:color="auto" w:fill="auto"/>
            <w:noWrap/>
            <w:vAlign w:val="center"/>
            <w:hideMark/>
          </w:tcPr>
          <w:p w14:paraId="4767FF0C"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2.076.341</w:t>
            </w:r>
          </w:p>
        </w:tc>
        <w:tc>
          <w:tcPr>
            <w:tcW w:w="618" w:type="pct"/>
            <w:tcBorders>
              <w:top w:val="nil"/>
              <w:left w:val="nil"/>
              <w:bottom w:val="single" w:sz="4" w:space="0" w:color="auto"/>
              <w:right w:val="single" w:sz="4" w:space="0" w:color="auto"/>
            </w:tcBorders>
            <w:shd w:val="clear" w:color="auto" w:fill="auto"/>
            <w:noWrap/>
            <w:vAlign w:val="center"/>
            <w:hideMark/>
          </w:tcPr>
          <w:p w14:paraId="7BB05209"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3,63 %</w:t>
            </w:r>
          </w:p>
        </w:tc>
        <w:tc>
          <w:tcPr>
            <w:tcW w:w="540" w:type="pct"/>
            <w:tcBorders>
              <w:top w:val="nil"/>
              <w:left w:val="nil"/>
              <w:bottom w:val="single" w:sz="4" w:space="0" w:color="auto"/>
              <w:right w:val="single" w:sz="4" w:space="0" w:color="auto"/>
            </w:tcBorders>
            <w:shd w:val="clear" w:color="auto" w:fill="auto"/>
            <w:noWrap/>
            <w:vAlign w:val="center"/>
            <w:hideMark/>
          </w:tcPr>
          <w:p w14:paraId="36482BF1"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0,57 %</w:t>
            </w:r>
          </w:p>
        </w:tc>
        <w:tc>
          <w:tcPr>
            <w:tcW w:w="522" w:type="pct"/>
            <w:tcBorders>
              <w:top w:val="nil"/>
              <w:left w:val="nil"/>
              <w:bottom w:val="single" w:sz="4" w:space="0" w:color="auto"/>
              <w:right w:val="single" w:sz="4" w:space="0" w:color="auto"/>
            </w:tcBorders>
            <w:shd w:val="clear" w:color="auto" w:fill="auto"/>
            <w:noWrap/>
            <w:vAlign w:val="center"/>
            <w:hideMark/>
          </w:tcPr>
          <w:p w14:paraId="09CA7C0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0,32 %</w:t>
            </w:r>
          </w:p>
        </w:tc>
      </w:tr>
      <w:tr w:rsidR="00F24E18" w:rsidRPr="005A0F58" w14:paraId="0E4183B2"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1EB6DBE1"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681E042D" w14:textId="77777777" w:rsidR="00F24E18" w:rsidRPr="005A0F58" w:rsidRDefault="00F24E18" w:rsidP="000E18B5">
            <w:pPr>
              <w:spacing w:after="0" w:line="240" w:lineRule="auto"/>
              <w:rPr>
                <w:rFonts w:ascii="Arial" w:eastAsia="Times New Roman" w:hAnsi="Arial" w:cs="Arial"/>
                <w:b/>
                <w:bCs/>
                <w:color w:val="000000"/>
                <w:sz w:val="18"/>
                <w:szCs w:val="18"/>
                <w:lang w:eastAsia="sl-SI"/>
              </w:rPr>
            </w:pPr>
            <w:r w:rsidRPr="005A0F58">
              <w:rPr>
                <w:rFonts w:ascii="Arial" w:eastAsia="Times New Roman" w:hAnsi="Arial" w:cs="Arial"/>
                <w:b/>
                <w:bCs/>
                <w:color w:val="000000"/>
                <w:sz w:val="18"/>
                <w:szCs w:val="18"/>
                <w:lang w:eastAsia="sl-SI"/>
              </w:rPr>
              <w:t>Skupaj</w:t>
            </w:r>
          </w:p>
        </w:tc>
        <w:tc>
          <w:tcPr>
            <w:tcW w:w="618" w:type="pct"/>
            <w:tcBorders>
              <w:top w:val="nil"/>
              <w:left w:val="nil"/>
              <w:bottom w:val="single" w:sz="4" w:space="0" w:color="auto"/>
              <w:right w:val="single" w:sz="4" w:space="0" w:color="auto"/>
            </w:tcBorders>
            <w:shd w:val="clear" w:color="auto" w:fill="auto"/>
            <w:noWrap/>
            <w:vAlign w:val="center"/>
            <w:hideMark/>
          </w:tcPr>
          <w:p w14:paraId="62933073"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386</w:t>
            </w:r>
          </w:p>
        </w:tc>
        <w:tc>
          <w:tcPr>
            <w:tcW w:w="463" w:type="pct"/>
            <w:tcBorders>
              <w:top w:val="nil"/>
              <w:left w:val="nil"/>
              <w:bottom w:val="single" w:sz="4" w:space="0" w:color="auto"/>
              <w:right w:val="single" w:sz="4" w:space="0" w:color="auto"/>
            </w:tcBorders>
            <w:shd w:val="clear" w:color="auto" w:fill="auto"/>
            <w:noWrap/>
            <w:vAlign w:val="center"/>
            <w:hideMark/>
          </w:tcPr>
          <w:p w14:paraId="43B6A084"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3.696</w:t>
            </w:r>
          </w:p>
        </w:tc>
        <w:tc>
          <w:tcPr>
            <w:tcW w:w="773" w:type="pct"/>
            <w:tcBorders>
              <w:top w:val="nil"/>
              <w:left w:val="nil"/>
              <w:bottom w:val="single" w:sz="4" w:space="0" w:color="auto"/>
              <w:right w:val="single" w:sz="4" w:space="0" w:color="auto"/>
            </w:tcBorders>
            <w:shd w:val="clear" w:color="auto" w:fill="auto"/>
            <w:noWrap/>
            <w:vAlign w:val="center"/>
            <w:hideMark/>
          </w:tcPr>
          <w:p w14:paraId="5038C1A4"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647.048.105</w:t>
            </w:r>
          </w:p>
        </w:tc>
        <w:tc>
          <w:tcPr>
            <w:tcW w:w="618" w:type="pct"/>
            <w:tcBorders>
              <w:top w:val="nil"/>
              <w:left w:val="nil"/>
              <w:bottom w:val="single" w:sz="4" w:space="0" w:color="auto"/>
              <w:right w:val="single" w:sz="4" w:space="0" w:color="auto"/>
            </w:tcBorders>
            <w:shd w:val="clear" w:color="auto" w:fill="auto"/>
            <w:noWrap/>
            <w:vAlign w:val="center"/>
            <w:hideMark/>
          </w:tcPr>
          <w:p w14:paraId="2C699AAE"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c>
          <w:tcPr>
            <w:tcW w:w="540" w:type="pct"/>
            <w:tcBorders>
              <w:top w:val="nil"/>
              <w:left w:val="nil"/>
              <w:bottom w:val="single" w:sz="4" w:space="0" w:color="auto"/>
              <w:right w:val="single" w:sz="4" w:space="0" w:color="auto"/>
            </w:tcBorders>
            <w:shd w:val="clear" w:color="auto" w:fill="auto"/>
            <w:noWrap/>
            <w:vAlign w:val="center"/>
            <w:hideMark/>
          </w:tcPr>
          <w:p w14:paraId="6A5FC07A"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c>
          <w:tcPr>
            <w:tcW w:w="522" w:type="pct"/>
            <w:tcBorders>
              <w:top w:val="nil"/>
              <w:left w:val="nil"/>
              <w:bottom w:val="single" w:sz="4" w:space="0" w:color="auto"/>
              <w:right w:val="single" w:sz="4" w:space="0" w:color="auto"/>
            </w:tcBorders>
            <w:shd w:val="clear" w:color="auto" w:fill="auto"/>
            <w:noWrap/>
            <w:vAlign w:val="center"/>
            <w:hideMark/>
          </w:tcPr>
          <w:p w14:paraId="7667FC28"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r>
      <w:tr w:rsidR="00F24E18" w:rsidRPr="005A0F58" w14:paraId="2DDCBFDC" w14:textId="77777777" w:rsidTr="000E18B5">
        <w:trPr>
          <w:trHeight w:val="300"/>
        </w:trPr>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65EC34"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Storitve</w:t>
            </w:r>
          </w:p>
        </w:tc>
        <w:tc>
          <w:tcPr>
            <w:tcW w:w="1005" w:type="pct"/>
            <w:tcBorders>
              <w:top w:val="nil"/>
              <w:left w:val="nil"/>
              <w:bottom w:val="single" w:sz="4" w:space="0" w:color="auto"/>
              <w:right w:val="single" w:sz="4" w:space="0" w:color="auto"/>
            </w:tcBorders>
            <w:shd w:val="clear" w:color="auto" w:fill="auto"/>
            <w:noWrap/>
            <w:vAlign w:val="center"/>
            <w:hideMark/>
          </w:tcPr>
          <w:p w14:paraId="1B2344A2" w14:textId="77777777" w:rsidR="00F24E18" w:rsidRPr="005A0F58" w:rsidRDefault="00F24E18" w:rsidP="000E18B5">
            <w:pPr>
              <w:spacing w:after="0" w:line="240" w:lineRule="auto"/>
              <w:rPr>
                <w:rFonts w:ascii="Arial" w:eastAsia="Times New Roman" w:hAnsi="Arial" w:cs="Arial"/>
                <w:color w:val="000000"/>
                <w:sz w:val="18"/>
                <w:szCs w:val="18"/>
                <w:lang w:eastAsia="sl-SI"/>
              </w:rPr>
            </w:pPr>
            <w:proofErr w:type="spellStart"/>
            <w:r w:rsidRPr="005A0F58">
              <w:rPr>
                <w:rFonts w:ascii="Arial" w:eastAsia="Times New Roman" w:hAnsi="Arial" w:cs="Arial"/>
                <w:color w:val="000000"/>
                <w:sz w:val="18"/>
                <w:szCs w:val="18"/>
                <w:lang w:eastAsia="sl-SI"/>
              </w:rPr>
              <w:t>Mikro</w:t>
            </w:r>
            <w:proofErr w:type="spellEnd"/>
            <w:r w:rsidRPr="005A0F58">
              <w:rPr>
                <w:rFonts w:ascii="Arial" w:eastAsia="Times New Roman" w:hAnsi="Arial" w:cs="Arial"/>
                <w:color w:val="000000"/>
                <w:sz w:val="18"/>
                <w:szCs w:val="18"/>
                <w:lang w:eastAsia="sl-SI"/>
              </w:rPr>
              <w:t xml:space="preserve"> enote</w:t>
            </w:r>
          </w:p>
        </w:tc>
        <w:tc>
          <w:tcPr>
            <w:tcW w:w="618" w:type="pct"/>
            <w:tcBorders>
              <w:top w:val="nil"/>
              <w:left w:val="nil"/>
              <w:bottom w:val="single" w:sz="4" w:space="0" w:color="auto"/>
              <w:right w:val="single" w:sz="4" w:space="0" w:color="auto"/>
            </w:tcBorders>
            <w:shd w:val="clear" w:color="auto" w:fill="auto"/>
            <w:noWrap/>
            <w:vAlign w:val="center"/>
            <w:hideMark/>
          </w:tcPr>
          <w:p w14:paraId="330CC81B"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102</w:t>
            </w:r>
          </w:p>
        </w:tc>
        <w:tc>
          <w:tcPr>
            <w:tcW w:w="463" w:type="pct"/>
            <w:tcBorders>
              <w:top w:val="nil"/>
              <w:left w:val="nil"/>
              <w:bottom w:val="single" w:sz="4" w:space="0" w:color="auto"/>
              <w:right w:val="single" w:sz="4" w:space="0" w:color="auto"/>
            </w:tcBorders>
            <w:shd w:val="clear" w:color="auto" w:fill="auto"/>
            <w:noWrap/>
            <w:vAlign w:val="center"/>
            <w:hideMark/>
          </w:tcPr>
          <w:p w14:paraId="0C6588B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155</w:t>
            </w:r>
          </w:p>
        </w:tc>
        <w:tc>
          <w:tcPr>
            <w:tcW w:w="773" w:type="pct"/>
            <w:tcBorders>
              <w:top w:val="nil"/>
              <w:left w:val="nil"/>
              <w:bottom w:val="single" w:sz="4" w:space="0" w:color="auto"/>
              <w:right w:val="single" w:sz="4" w:space="0" w:color="auto"/>
            </w:tcBorders>
            <w:shd w:val="clear" w:color="auto" w:fill="auto"/>
            <w:noWrap/>
            <w:vAlign w:val="center"/>
            <w:hideMark/>
          </w:tcPr>
          <w:p w14:paraId="2E3A338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25.850.366</w:t>
            </w:r>
          </w:p>
        </w:tc>
        <w:tc>
          <w:tcPr>
            <w:tcW w:w="618" w:type="pct"/>
            <w:tcBorders>
              <w:top w:val="nil"/>
              <w:left w:val="nil"/>
              <w:bottom w:val="single" w:sz="4" w:space="0" w:color="auto"/>
              <w:right w:val="single" w:sz="4" w:space="0" w:color="auto"/>
            </w:tcBorders>
            <w:shd w:val="clear" w:color="auto" w:fill="auto"/>
            <w:noWrap/>
            <w:vAlign w:val="center"/>
            <w:hideMark/>
          </w:tcPr>
          <w:p w14:paraId="09D7056E"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41,30 %</w:t>
            </w:r>
          </w:p>
        </w:tc>
        <w:tc>
          <w:tcPr>
            <w:tcW w:w="540" w:type="pct"/>
            <w:tcBorders>
              <w:top w:val="nil"/>
              <w:left w:val="nil"/>
              <w:bottom w:val="single" w:sz="4" w:space="0" w:color="auto"/>
              <w:right w:val="single" w:sz="4" w:space="0" w:color="auto"/>
            </w:tcBorders>
            <w:shd w:val="clear" w:color="auto" w:fill="auto"/>
            <w:noWrap/>
            <w:vAlign w:val="center"/>
            <w:hideMark/>
          </w:tcPr>
          <w:p w14:paraId="18F80276"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27,05 %</w:t>
            </w:r>
          </w:p>
        </w:tc>
        <w:tc>
          <w:tcPr>
            <w:tcW w:w="522" w:type="pct"/>
            <w:tcBorders>
              <w:top w:val="nil"/>
              <w:left w:val="nil"/>
              <w:bottom w:val="single" w:sz="4" w:space="0" w:color="auto"/>
              <w:right w:val="single" w:sz="4" w:space="0" w:color="auto"/>
            </w:tcBorders>
            <w:shd w:val="clear" w:color="auto" w:fill="auto"/>
            <w:noWrap/>
            <w:vAlign w:val="center"/>
            <w:hideMark/>
          </w:tcPr>
          <w:p w14:paraId="7D8336D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3,24 %</w:t>
            </w:r>
          </w:p>
        </w:tc>
      </w:tr>
      <w:tr w:rsidR="00F24E18" w:rsidRPr="005A0F58" w14:paraId="3E4BC341"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08B93344"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43F07119"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Majhne enote</w:t>
            </w:r>
          </w:p>
        </w:tc>
        <w:tc>
          <w:tcPr>
            <w:tcW w:w="618" w:type="pct"/>
            <w:tcBorders>
              <w:top w:val="nil"/>
              <w:left w:val="nil"/>
              <w:bottom w:val="single" w:sz="4" w:space="0" w:color="auto"/>
              <w:right w:val="single" w:sz="4" w:space="0" w:color="auto"/>
            </w:tcBorders>
            <w:shd w:val="clear" w:color="auto" w:fill="auto"/>
            <w:noWrap/>
            <w:vAlign w:val="center"/>
            <w:hideMark/>
          </w:tcPr>
          <w:p w14:paraId="7A2FAB2A"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77</w:t>
            </w:r>
          </w:p>
        </w:tc>
        <w:tc>
          <w:tcPr>
            <w:tcW w:w="463" w:type="pct"/>
            <w:tcBorders>
              <w:top w:val="nil"/>
              <w:left w:val="nil"/>
              <w:bottom w:val="single" w:sz="4" w:space="0" w:color="auto"/>
              <w:right w:val="single" w:sz="4" w:space="0" w:color="auto"/>
            </w:tcBorders>
            <w:shd w:val="clear" w:color="auto" w:fill="auto"/>
            <w:noWrap/>
            <w:vAlign w:val="center"/>
            <w:hideMark/>
          </w:tcPr>
          <w:p w14:paraId="11C6575B"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229</w:t>
            </w:r>
          </w:p>
        </w:tc>
        <w:tc>
          <w:tcPr>
            <w:tcW w:w="773" w:type="pct"/>
            <w:tcBorders>
              <w:top w:val="nil"/>
              <w:left w:val="nil"/>
              <w:bottom w:val="single" w:sz="4" w:space="0" w:color="auto"/>
              <w:right w:val="single" w:sz="4" w:space="0" w:color="auto"/>
            </w:tcBorders>
            <w:shd w:val="clear" w:color="auto" w:fill="auto"/>
            <w:noWrap/>
            <w:vAlign w:val="center"/>
            <w:hideMark/>
          </w:tcPr>
          <w:p w14:paraId="0112038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78.108.702</w:t>
            </w:r>
          </w:p>
        </w:tc>
        <w:tc>
          <w:tcPr>
            <w:tcW w:w="618" w:type="pct"/>
            <w:tcBorders>
              <w:top w:val="nil"/>
              <w:left w:val="nil"/>
              <w:bottom w:val="single" w:sz="4" w:space="0" w:color="auto"/>
              <w:right w:val="single" w:sz="4" w:space="0" w:color="auto"/>
            </w:tcBorders>
            <w:shd w:val="clear" w:color="auto" w:fill="auto"/>
            <w:noWrap/>
            <w:vAlign w:val="center"/>
            <w:hideMark/>
          </w:tcPr>
          <w:p w14:paraId="2B1DC768"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31,17 %</w:t>
            </w:r>
          </w:p>
        </w:tc>
        <w:tc>
          <w:tcPr>
            <w:tcW w:w="540" w:type="pct"/>
            <w:tcBorders>
              <w:top w:val="nil"/>
              <w:left w:val="nil"/>
              <w:bottom w:val="single" w:sz="4" w:space="0" w:color="auto"/>
              <w:right w:val="single" w:sz="4" w:space="0" w:color="auto"/>
            </w:tcBorders>
            <w:shd w:val="clear" w:color="auto" w:fill="auto"/>
            <w:noWrap/>
            <w:vAlign w:val="center"/>
            <w:hideMark/>
          </w:tcPr>
          <w:p w14:paraId="30779C34"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39,97 %</w:t>
            </w:r>
          </w:p>
        </w:tc>
        <w:tc>
          <w:tcPr>
            <w:tcW w:w="522" w:type="pct"/>
            <w:tcBorders>
              <w:top w:val="nil"/>
              <w:left w:val="nil"/>
              <w:bottom w:val="single" w:sz="4" w:space="0" w:color="auto"/>
              <w:right w:val="single" w:sz="4" w:space="0" w:color="auto"/>
            </w:tcBorders>
            <w:shd w:val="clear" w:color="auto" w:fill="auto"/>
            <w:noWrap/>
            <w:vAlign w:val="center"/>
            <w:hideMark/>
          </w:tcPr>
          <w:p w14:paraId="77B03770"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9,79 %</w:t>
            </w:r>
          </w:p>
        </w:tc>
      </w:tr>
      <w:tr w:rsidR="00F24E18" w:rsidRPr="005A0F58" w14:paraId="62F769A8"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7B8E64B5"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20BA7AA1"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Srednje enote</w:t>
            </w:r>
          </w:p>
        </w:tc>
        <w:tc>
          <w:tcPr>
            <w:tcW w:w="618" w:type="pct"/>
            <w:tcBorders>
              <w:top w:val="nil"/>
              <w:left w:val="nil"/>
              <w:bottom w:val="single" w:sz="4" w:space="0" w:color="auto"/>
              <w:right w:val="single" w:sz="4" w:space="0" w:color="auto"/>
            </w:tcBorders>
            <w:shd w:val="clear" w:color="auto" w:fill="auto"/>
            <w:noWrap/>
            <w:vAlign w:val="center"/>
            <w:hideMark/>
          </w:tcPr>
          <w:p w14:paraId="2CFF242B"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28</w:t>
            </w:r>
          </w:p>
        </w:tc>
        <w:tc>
          <w:tcPr>
            <w:tcW w:w="463" w:type="pct"/>
            <w:tcBorders>
              <w:top w:val="nil"/>
              <w:left w:val="nil"/>
              <w:bottom w:val="single" w:sz="4" w:space="0" w:color="auto"/>
              <w:right w:val="single" w:sz="4" w:space="0" w:color="auto"/>
            </w:tcBorders>
            <w:shd w:val="clear" w:color="auto" w:fill="auto"/>
            <w:noWrap/>
            <w:vAlign w:val="center"/>
            <w:hideMark/>
          </w:tcPr>
          <w:p w14:paraId="531B4981"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74</w:t>
            </w:r>
          </w:p>
        </w:tc>
        <w:tc>
          <w:tcPr>
            <w:tcW w:w="773" w:type="pct"/>
            <w:tcBorders>
              <w:top w:val="nil"/>
              <w:left w:val="nil"/>
              <w:bottom w:val="single" w:sz="4" w:space="0" w:color="auto"/>
              <w:right w:val="single" w:sz="4" w:space="0" w:color="auto"/>
            </w:tcBorders>
            <w:shd w:val="clear" w:color="auto" w:fill="auto"/>
            <w:noWrap/>
            <w:vAlign w:val="center"/>
            <w:hideMark/>
          </w:tcPr>
          <w:p w14:paraId="58DFC96E"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74.088.003</w:t>
            </w:r>
          </w:p>
        </w:tc>
        <w:tc>
          <w:tcPr>
            <w:tcW w:w="618" w:type="pct"/>
            <w:tcBorders>
              <w:top w:val="nil"/>
              <w:left w:val="nil"/>
              <w:bottom w:val="single" w:sz="4" w:space="0" w:color="auto"/>
              <w:right w:val="single" w:sz="4" w:space="0" w:color="auto"/>
            </w:tcBorders>
            <w:shd w:val="clear" w:color="auto" w:fill="auto"/>
            <w:noWrap/>
            <w:vAlign w:val="center"/>
            <w:hideMark/>
          </w:tcPr>
          <w:p w14:paraId="1C3F6C8F"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11,34 %</w:t>
            </w:r>
          </w:p>
        </w:tc>
        <w:tc>
          <w:tcPr>
            <w:tcW w:w="540" w:type="pct"/>
            <w:tcBorders>
              <w:top w:val="nil"/>
              <w:left w:val="nil"/>
              <w:bottom w:val="single" w:sz="4" w:space="0" w:color="auto"/>
              <w:right w:val="single" w:sz="4" w:space="0" w:color="auto"/>
            </w:tcBorders>
            <w:shd w:val="clear" w:color="auto" w:fill="auto"/>
            <w:noWrap/>
            <w:vAlign w:val="center"/>
            <w:hideMark/>
          </w:tcPr>
          <w:p w14:paraId="48347D7E"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12,91 %</w:t>
            </w:r>
          </w:p>
        </w:tc>
        <w:tc>
          <w:tcPr>
            <w:tcW w:w="522" w:type="pct"/>
            <w:tcBorders>
              <w:top w:val="nil"/>
              <w:left w:val="nil"/>
              <w:bottom w:val="single" w:sz="4" w:space="0" w:color="auto"/>
              <w:right w:val="single" w:sz="4" w:space="0" w:color="auto"/>
            </w:tcBorders>
            <w:shd w:val="clear" w:color="auto" w:fill="auto"/>
            <w:noWrap/>
            <w:vAlign w:val="center"/>
            <w:hideMark/>
          </w:tcPr>
          <w:p w14:paraId="20BF38EC"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9,29 %</w:t>
            </w:r>
          </w:p>
        </w:tc>
      </w:tr>
      <w:tr w:rsidR="00F24E18" w:rsidRPr="005A0F58" w14:paraId="32634EA3"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489D4D83"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55B3819E"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Velike enote</w:t>
            </w:r>
          </w:p>
        </w:tc>
        <w:tc>
          <w:tcPr>
            <w:tcW w:w="618" w:type="pct"/>
            <w:tcBorders>
              <w:top w:val="nil"/>
              <w:left w:val="nil"/>
              <w:bottom w:val="single" w:sz="4" w:space="0" w:color="auto"/>
              <w:right w:val="single" w:sz="4" w:space="0" w:color="auto"/>
            </w:tcBorders>
            <w:shd w:val="clear" w:color="auto" w:fill="auto"/>
            <w:noWrap/>
            <w:vAlign w:val="center"/>
            <w:hideMark/>
          </w:tcPr>
          <w:p w14:paraId="62805ADF"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18</w:t>
            </w:r>
          </w:p>
        </w:tc>
        <w:tc>
          <w:tcPr>
            <w:tcW w:w="463" w:type="pct"/>
            <w:tcBorders>
              <w:top w:val="nil"/>
              <w:left w:val="nil"/>
              <w:bottom w:val="single" w:sz="4" w:space="0" w:color="auto"/>
              <w:right w:val="single" w:sz="4" w:space="0" w:color="auto"/>
            </w:tcBorders>
            <w:shd w:val="clear" w:color="auto" w:fill="auto"/>
            <w:noWrap/>
            <w:vAlign w:val="center"/>
            <w:hideMark/>
          </w:tcPr>
          <w:p w14:paraId="712AF9FF"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88</w:t>
            </w:r>
          </w:p>
        </w:tc>
        <w:tc>
          <w:tcPr>
            <w:tcW w:w="773" w:type="pct"/>
            <w:tcBorders>
              <w:top w:val="nil"/>
              <w:left w:val="nil"/>
              <w:bottom w:val="single" w:sz="4" w:space="0" w:color="auto"/>
              <w:right w:val="single" w:sz="4" w:space="0" w:color="auto"/>
            </w:tcBorders>
            <w:shd w:val="clear" w:color="auto" w:fill="auto"/>
            <w:noWrap/>
            <w:vAlign w:val="center"/>
            <w:hideMark/>
          </w:tcPr>
          <w:p w14:paraId="18C59570"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608.845.059</w:t>
            </w:r>
          </w:p>
        </w:tc>
        <w:tc>
          <w:tcPr>
            <w:tcW w:w="618" w:type="pct"/>
            <w:tcBorders>
              <w:top w:val="nil"/>
              <w:left w:val="nil"/>
              <w:bottom w:val="single" w:sz="4" w:space="0" w:color="auto"/>
              <w:right w:val="single" w:sz="4" w:space="0" w:color="auto"/>
            </w:tcBorders>
            <w:shd w:val="clear" w:color="auto" w:fill="auto"/>
            <w:noWrap/>
            <w:vAlign w:val="center"/>
            <w:hideMark/>
          </w:tcPr>
          <w:p w14:paraId="6F02AF71"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7,29 %</w:t>
            </w:r>
          </w:p>
        </w:tc>
        <w:tc>
          <w:tcPr>
            <w:tcW w:w="540" w:type="pct"/>
            <w:tcBorders>
              <w:top w:val="nil"/>
              <w:left w:val="nil"/>
              <w:bottom w:val="single" w:sz="4" w:space="0" w:color="auto"/>
              <w:right w:val="single" w:sz="4" w:space="0" w:color="auto"/>
            </w:tcBorders>
            <w:shd w:val="clear" w:color="auto" w:fill="auto"/>
            <w:noWrap/>
            <w:vAlign w:val="center"/>
            <w:hideMark/>
          </w:tcPr>
          <w:p w14:paraId="55118660"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15,36 %</w:t>
            </w:r>
          </w:p>
        </w:tc>
        <w:tc>
          <w:tcPr>
            <w:tcW w:w="522" w:type="pct"/>
            <w:tcBorders>
              <w:top w:val="nil"/>
              <w:left w:val="nil"/>
              <w:bottom w:val="single" w:sz="4" w:space="0" w:color="auto"/>
              <w:right w:val="single" w:sz="4" w:space="0" w:color="auto"/>
            </w:tcBorders>
            <w:shd w:val="clear" w:color="auto" w:fill="auto"/>
            <w:noWrap/>
            <w:vAlign w:val="center"/>
            <w:hideMark/>
          </w:tcPr>
          <w:p w14:paraId="1C5CE25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76,31 %</w:t>
            </w:r>
          </w:p>
        </w:tc>
      </w:tr>
      <w:tr w:rsidR="00F24E18" w:rsidRPr="005A0F58" w14:paraId="38BC5435"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26CC9DCE"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12CEB278"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Velikost RS se ne izračunava</w:t>
            </w:r>
          </w:p>
        </w:tc>
        <w:tc>
          <w:tcPr>
            <w:tcW w:w="618" w:type="pct"/>
            <w:tcBorders>
              <w:top w:val="nil"/>
              <w:left w:val="nil"/>
              <w:bottom w:val="single" w:sz="4" w:space="0" w:color="auto"/>
              <w:right w:val="single" w:sz="4" w:space="0" w:color="auto"/>
            </w:tcBorders>
            <w:shd w:val="clear" w:color="auto" w:fill="auto"/>
            <w:noWrap/>
            <w:vAlign w:val="center"/>
            <w:hideMark/>
          </w:tcPr>
          <w:p w14:paraId="1EA155C6"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10</w:t>
            </w:r>
          </w:p>
        </w:tc>
        <w:tc>
          <w:tcPr>
            <w:tcW w:w="463" w:type="pct"/>
            <w:tcBorders>
              <w:top w:val="nil"/>
              <w:left w:val="nil"/>
              <w:bottom w:val="single" w:sz="4" w:space="0" w:color="auto"/>
              <w:right w:val="single" w:sz="4" w:space="0" w:color="auto"/>
            </w:tcBorders>
            <w:shd w:val="clear" w:color="auto" w:fill="auto"/>
            <w:noWrap/>
            <w:vAlign w:val="center"/>
            <w:hideMark/>
          </w:tcPr>
          <w:p w14:paraId="2E645EE7"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14</w:t>
            </w:r>
          </w:p>
        </w:tc>
        <w:tc>
          <w:tcPr>
            <w:tcW w:w="773" w:type="pct"/>
            <w:tcBorders>
              <w:top w:val="nil"/>
              <w:left w:val="nil"/>
              <w:bottom w:val="single" w:sz="4" w:space="0" w:color="auto"/>
              <w:right w:val="single" w:sz="4" w:space="0" w:color="auto"/>
            </w:tcBorders>
            <w:shd w:val="clear" w:color="auto" w:fill="auto"/>
            <w:noWrap/>
            <w:vAlign w:val="center"/>
            <w:hideMark/>
          </w:tcPr>
          <w:p w14:paraId="5B9992D1"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1.400.918</w:t>
            </w:r>
          </w:p>
        </w:tc>
        <w:tc>
          <w:tcPr>
            <w:tcW w:w="618" w:type="pct"/>
            <w:tcBorders>
              <w:top w:val="nil"/>
              <w:left w:val="nil"/>
              <w:bottom w:val="single" w:sz="4" w:space="0" w:color="auto"/>
              <w:right w:val="single" w:sz="4" w:space="0" w:color="auto"/>
            </w:tcBorders>
            <w:shd w:val="clear" w:color="auto" w:fill="auto"/>
            <w:noWrap/>
            <w:vAlign w:val="center"/>
            <w:hideMark/>
          </w:tcPr>
          <w:p w14:paraId="2DA24008"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4,05 %</w:t>
            </w:r>
          </w:p>
        </w:tc>
        <w:tc>
          <w:tcPr>
            <w:tcW w:w="540" w:type="pct"/>
            <w:tcBorders>
              <w:top w:val="nil"/>
              <w:left w:val="nil"/>
              <w:bottom w:val="single" w:sz="4" w:space="0" w:color="auto"/>
              <w:right w:val="single" w:sz="4" w:space="0" w:color="auto"/>
            </w:tcBorders>
            <w:shd w:val="clear" w:color="auto" w:fill="auto"/>
            <w:noWrap/>
            <w:vAlign w:val="center"/>
            <w:hideMark/>
          </w:tcPr>
          <w:p w14:paraId="447F4028"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2,44 %</w:t>
            </w:r>
          </w:p>
        </w:tc>
        <w:tc>
          <w:tcPr>
            <w:tcW w:w="522" w:type="pct"/>
            <w:tcBorders>
              <w:top w:val="nil"/>
              <w:left w:val="nil"/>
              <w:bottom w:val="single" w:sz="4" w:space="0" w:color="auto"/>
              <w:right w:val="single" w:sz="4" w:space="0" w:color="auto"/>
            </w:tcBorders>
            <w:shd w:val="clear" w:color="auto" w:fill="auto"/>
            <w:noWrap/>
            <w:vAlign w:val="center"/>
            <w:hideMark/>
          </w:tcPr>
          <w:p w14:paraId="60CD22C9"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0,18 %</w:t>
            </w:r>
          </w:p>
        </w:tc>
      </w:tr>
      <w:tr w:rsidR="00F24E18" w:rsidRPr="005A0F58" w14:paraId="5774348B"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2BF75144"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49F579A4"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Ni podatka o velikosti</w:t>
            </w:r>
          </w:p>
        </w:tc>
        <w:tc>
          <w:tcPr>
            <w:tcW w:w="618" w:type="pct"/>
            <w:tcBorders>
              <w:top w:val="nil"/>
              <w:left w:val="nil"/>
              <w:bottom w:val="single" w:sz="4" w:space="0" w:color="auto"/>
              <w:right w:val="single" w:sz="4" w:space="0" w:color="auto"/>
            </w:tcBorders>
            <w:shd w:val="clear" w:color="auto" w:fill="auto"/>
            <w:noWrap/>
            <w:vAlign w:val="center"/>
            <w:hideMark/>
          </w:tcPr>
          <w:p w14:paraId="69485D8B"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12</w:t>
            </w:r>
          </w:p>
        </w:tc>
        <w:tc>
          <w:tcPr>
            <w:tcW w:w="463" w:type="pct"/>
            <w:tcBorders>
              <w:top w:val="nil"/>
              <w:left w:val="nil"/>
              <w:bottom w:val="single" w:sz="4" w:space="0" w:color="auto"/>
              <w:right w:val="single" w:sz="4" w:space="0" w:color="auto"/>
            </w:tcBorders>
            <w:shd w:val="clear" w:color="auto" w:fill="auto"/>
            <w:noWrap/>
            <w:vAlign w:val="center"/>
            <w:hideMark/>
          </w:tcPr>
          <w:p w14:paraId="18399CF4"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13</w:t>
            </w:r>
          </w:p>
        </w:tc>
        <w:tc>
          <w:tcPr>
            <w:tcW w:w="773" w:type="pct"/>
            <w:tcBorders>
              <w:top w:val="nil"/>
              <w:left w:val="nil"/>
              <w:bottom w:val="single" w:sz="4" w:space="0" w:color="auto"/>
              <w:right w:val="single" w:sz="4" w:space="0" w:color="auto"/>
            </w:tcBorders>
            <w:shd w:val="clear" w:color="auto" w:fill="auto"/>
            <w:noWrap/>
            <w:vAlign w:val="center"/>
            <w:hideMark/>
          </w:tcPr>
          <w:p w14:paraId="7546EEF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9.592.102</w:t>
            </w:r>
          </w:p>
        </w:tc>
        <w:tc>
          <w:tcPr>
            <w:tcW w:w="618" w:type="pct"/>
            <w:tcBorders>
              <w:top w:val="nil"/>
              <w:left w:val="nil"/>
              <w:bottom w:val="single" w:sz="4" w:space="0" w:color="auto"/>
              <w:right w:val="single" w:sz="4" w:space="0" w:color="auto"/>
            </w:tcBorders>
            <w:shd w:val="clear" w:color="auto" w:fill="auto"/>
            <w:noWrap/>
            <w:vAlign w:val="center"/>
            <w:hideMark/>
          </w:tcPr>
          <w:p w14:paraId="3D4B628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4,86 %</w:t>
            </w:r>
          </w:p>
        </w:tc>
        <w:tc>
          <w:tcPr>
            <w:tcW w:w="540" w:type="pct"/>
            <w:tcBorders>
              <w:top w:val="nil"/>
              <w:left w:val="nil"/>
              <w:bottom w:val="single" w:sz="4" w:space="0" w:color="auto"/>
              <w:right w:val="single" w:sz="4" w:space="0" w:color="auto"/>
            </w:tcBorders>
            <w:shd w:val="clear" w:color="auto" w:fill="auto"/>
            <w:noWrap/>
            <w:vAlign w:val="center"/>
            <w:hideMark/>
          </w:tcPr>
          <w:p w14:paraId="100F0626"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2,27 %</w:t>
            </w:r>
          </w:p>
        </w:tc>
        <w:tc>
          <w:tcPr>
            <w:tcW w:w="522" w:type="pct"/>
            <w:tcBorders>
              <w:top w:val="nil"/>
              <w:left w:val="nil"/>
              <w:bottom w:val="single" w:sz="4" w:space="0" w:color="auto"/>
              <w:right w:val="single" w:sz="4" w:space="0" w:color="auto"/>
            </w:tcBorders>
            <w:shd w:val="clear" w:color="auto" w:fill="auto"/>
            <w:noWrap/>
            <w:vAlign w:val="center"/>
            <w:hideMark/>
          </w:tcPr>
          <w:p w14:paraId="2B6B8904"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1,20 %</w:t>
            </w:r>
          </w:p>
        </w:tc>
      </w:tr>
      <w:tr w:rsidR="00F24E18" w:rsidRPr="005A0F58" w14:paraId="38D56987"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2010AD63"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3AD8703A" w14:textId="77777777" w:rsidR="00F24E18" w:rsidRPr="005A0F58" w:rsidRDefault="00F24E18" w:rsidP="000E18B5">
            <w:pPr>
              <w:spacing w:after="0" w:line="240" w:lineRule="auto"/>
              <w:rPr>
                <w:rFonts w:ascii="Arial" w:eastAsia="Times New Roman" w:hAnsi="Arial" w:cs="Arial"/>
                <w:b/>
                <w:bCs/>
                <w:color w:val="000000"/>
                <w:sz w:val="18"/>
                <w:szCs w:val="18"/>
                <w:lang w:eastAsia="sl-SI"/>
              </w:rPr>
            </w:pPr>
            <w:r w:rsidRPr="005A0F58">
              <w:rPr>
                <w:rFonts w:ascii="Arial" w:eastAsia="Times New Roman" w:hAnsi="Arial" w:cs="Arial"/>
                <w:b/>
                <w:bCs/>
                <w:color w:val="000000"/>
                <w:sz w:val="18"/>
                <w:szCs w:val="18"/>
                <w:lang w:eastAsia="sl-SI"/>
              </w:rPr>
              <w:t>Skupaj</w:t>
            </w:r>
          </w:p>
        </w:tc>
        <w:tc>
          <w:tcPr>
            <w:tcW w:w="618" w:type="pct"/>
            <w:tcBorders>
              <w:top w:val="nil"/>
              <w:left w:val="nil"/>
              <w:bottom w:val="single" w:sz="4" w:space="0" w:color="auto"/>
              <w:right w:val="single" w:sz="4" w:space="0" w:color="auto"/>
            </w:tcBorders>
            <w:shd w:val="clear" w:color="auto" w:fill="auto"/>
            <w:noWrap/>
            <w:vAlign w:val="center"/>
            <w:hideMark/>
          </w:tcPr>
          <w:p w14:paraId="1C5642EE"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247</w:t>
            </w:r>
          </w:p>
        </w:tc>
        <w:tc>
          <w:tcPr>
            <w:tcW w:w="463" w:type="pct"/>
            <w:tcBorders>
              <w:top w:val="nil"/>
              <w:left w:val="nil"/>
              <w:bottom w:val="single" w:sz="4" w:space="0" w:color="auto"/>
              <w:right w:val="single" w:sz="4" w:space="0" w:color="auto"/>
            </w:tcBorders>
            <w:shd w:val="clear" w:color="auto" w:fill="auto"/>
            <w:noWrap/>
            <w:vAlign w:val="center"/>
            <w:hideMark/>
          </w:tcPr>
          <w:p w14:paraId="3452607B"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573</w:t>
            </w:r>
          </w:p>
        </w:tc>
        <w:tc>
          <w:tcPr>
            <w:tcW w:w="773" w:type="pct"/>
            <w:tcBorders>
              <w:top w:val="nil"/>
              <w:left w:val="nil"/>
              <w:bottom w:val="single" w:sz="4" w:space="0" w:color="auto"/>
              <w:right w:val="single" w:sz="4" w:space="0" w:color="auto"/>
            </w:tcBorders>
            <w:shd w:val="clear" w:color="auto" w:fill="auto"/>
            <w:noWrap/>
            <w:vAlign w:val="center"/>
            <w:hideMark/>
          </w:tcPr>
          <w:p w14:paraId="574C151D"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797.885.150</w:t>
            </w:r>
          </w:p>
        </w:tc>
        <w:tc>
          <w:tcPr>
            <w:tcW w:w="618" w:type="pct"/>
            <w:tcBorders>
              <w:top w:val="nil"/>
              <w:left w:val="nil"/>
              <w:bottom w:val="single" w:sz="4" w:space="0" w:color="auto"/>
              <w:right w:val="single" w:sz="4" w:space="0" w:color="auto"/>
            </w:tcBorders>
            <w:shd w:val="clear" w:color="auto" w:fill="auto"/>
            <w:noWrap/>
            <w:vAlign w:val="center"/>
            <w:hideMark/>
          </w:tcPr>
          <w:p w14:paraId="1CD2EFD9"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c>
          <w:tcPr>
            <w:tcW w:w="540" w:type="pct"/>
            <w:tcBorders>
              <w:top w:val="nil"/>
              <w:left w:val="nil"/>
              <w:bottom w:val="single" w:sz="4" w:space="0" w:color="auto"/>
              <w:right w:val="single" w:sz="4" w:space="0" w:color="auto"/>
            </w:tcBorders>
            <w:shd w:val="clear" w:color="auto" w:fill="auto"/>
            <w:noWrap/>
            <w:vAlign w:val="center"/>
            <w:hideMark/>
          </w:tcPr>
          <w:p w14:paraId="63482A67"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c>
          <w:tcPr>
            <w:tcW w:w="522" w:type="pct"/>
            <w:tcBorders>
              <w:top w:val="nil"/>
              <w:left w:val="nil"/>
              <w:bottom w:val="single" w:sz="4" w:space="0" w:color="auto"/>
              <w:right w:val="single" w:sz="4" w:space="0" w:color="auto"/>
            </w:tcBorders>
            <w:shd w:val="clear" w:color="auto" w:fill="auto"/>
            <w:noWrap/>
            <w:vAlign w:val="center"/>
            <w:hideMark/>
          </w:tcPr>
          <w:p w14:paraId="628F91B3"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r>
      <w:tr w:rsidR="00F24E18" w:rsidRPr="005A0F58" w14:paraId="094C75BF" w14:textId="77777777" w:rsidTr="000E18B5">
        <w:trPr>
          <w:trHeight w:val="300"/>
        </w:trPr>
        <w:tc>
          <w:tcPr>
            <w:tcW w:w="4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E3E304A"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Gradnje</w:t>
            </w:r>
          </w:p>
        </w:tc>
        <w:tc>
          <w:tcPr>
            <w:tcW w:w="1005" w:type="pct"/>
            <w:tcBorders>
              <w:top w:val="nil"/>
              <w:left w:val="nil"/>
              <w:bottom w:val="single" w:sz="4" w:space="0" w:color="auto"/>
              <w:right w:val="single" w:sz="4" w:space="0" w:color="auto"/>
            </w:tcBorders>
            <w:shd w:val="clear" w:color="auto" w:fill="auto"/>
            <w:noWrap/>
            <w:vAlign w:val="center"/>
            <w:hideMark/>
          </w:tcPr>
          <w:p w14:paraId="62CF7553" w14:textId="77777777" w:rsidR="00F24E18" w:rsidRPr="005A0F58" w:rsidRDefault="00F24E18" w:rsidP="000E18B5">
            <w:pPr>
              <w:spacing w:after="0" w:line="240" w:lineRule="auto"/>
              <w:rPr>
                <w:rFonts w:ascii="Arial" w:eastAsia="Times New Roman" w:hAnsi="Arial" w:cs="Arial"/>
                <w:color w:val="000000"/>
                <w:sz w:val="18"/>
                <w:szCs w:val="18"/>
                <w:lang w:eastAsia="sl-SI"/>
              </w:rPr>
            </w:pPr>
            <w:proofErr w:type="spellStart"/>
            <w:r w:rsidRPr="005A0F58">
              <w:rPr>
                <w:rFonts w:ascii="Arial" w:eastAsia="Times New Roman" w:hAnsi="Arial" w:cs="Arial"/>
                <w:color w:val="000000"/>
                <w:sz w:val="18"/>
                <w:szCs w:val="18"/>
                <w:lang w:eastAsia="sl-SI"/>
              </w:rPr>
              <w:t>Mikro</w:t>
            </w:r>
            <w:proofErr w:type="spellEnd"/>
            <w:r w:rsidRPr="005A0F58">
              <w:rPr>
                <w:rFonts w:ascii="Arial" w:eastAsia="Times New Roman" w:hAnsi="Arial" w:cs="Arial"/>
                <w:color w:val="000000"/>
                <w:sz w:val="18"/>
                <w:szCs w:val="18"/>
                <w:lang w:eastAsia="sl-SI"/>
              </w:rPr>
              <w:t xml:space="preserve"> enote</w:t>
            </w:r>
          </w:p>
        </w:tc>
        <w:tc>
          <w:tcPr>
            <w:tcW w:w="618" w:type="pct"/>
            <w:tcBorders>
              <w:top w:val="nil"/>
              <w:left w:val="nil"/>
              <w:bottom w:val="single" w:sz="4" w:space="0" w:color="auto"/>
              <w:right w:val="single" w:sz="4" w:space="0" w:color="auto"/>
            </w:tcBorders>
            <w:shd w:val="clear" w:color="auto" w:fill="auto"/>
            <w:noWrap/>
            <w:vAlign w:val="center"/>
            <w:hideMark/>
          </w:tcPr>
          <w:p w14:paraId="4BD4E777"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47</w:t>
            </w:r>
          </w:p>
        </w:tc>
        <w:tc>
          <w:tcPr>
            <w:tcW w:w="463" w:type="pct"/>
            <w:tcBorders>
              <w:top w:val="nil"/>
              <w:left w:val="nil"/>
              <w:bottom w:val="single" w:sz="4" w:space="0" w:color="auto"/>
              <w:right w:val="single" w:sz="4" w:space="0" w:color="auto"/>
            </w:tcBorders>
            <w:shd w:val="clear" w:color="auto" w:fill="auto"/>
            <w:noWrap/>
            <w:vAlign w:val="center"/>
            <w:hideMark/>
          </w:tcPr>
          <w:p w14:paraId="41C092C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67</w:t>
            </w:r>
          </w:p>
        </w:tc>
        <w:tc>
          <w:tcPr>
            <w:tcW w:w="773" w:type="pct"/>
            <w:tcBorders>
              <w:top w:val="nil"/>
              <w:left w:val="nil"/>
              <w:bottom w:val="single" w:sz="4" w:space="0" w:color="auto"/>
              <w:right w:val="single" w:sz="4" w:space="0" w:color="auto"/>
            </w:tcBorders>
            <w:shd w:val="clear" w:color="auto" w:fill="auto"/>
            <w:noWrap/>
            <w:vAlign w:val="center"/>
            <w:hideMark/>
          </w:tcPr>
          <w:p w14:paraId="13CCA2C2"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18.724.757</w:t>
            </w:r>
          </w:p>
        </w:tc>
        <w:tc>
          <w:tcPr>
            <w:tcW w:w="618" w:type="pct"/>
            <w:tcBorders>
              <w:top w:val="nil"/>
              <w:left w:val="nil"/>
              <w:bottom w:val="single" w:sz="4" w:space="0" w:color="auto"/>
              <w:right w:val="single" w:sz="4" w:space="0" w:color="auto"/>
            </w:tcBorders>
            <w:shd w:val="clear" w:color="auto" w:fill="auto"/>
            <w:noWrap/>
            <w:vAlign w:val="center"/>
            <w:hideMark/>
          </w:tcPr>
          <w:p w14:paraId="2C8CAF9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19,50 %</w:t>
            </w:r>
          </w:p>
        </w:tc>
        <w:tc>
          <w:tcPr>
            <w:tcW w:w="540" w:type="pct"/>
            <w:tcBorders>
              <w:top w:val="nil"/>
              <w:left w:val="nil"/>
              <w:bottom w:val="single" w:sz="4" w:space="0" w:color="auto"/>
              <w:right w:val="single" w:sz="4" w:space="0" w:color="auto"/>
            </w:tcBorders>
            <w:shd w:val="clear" w:color="auto" w:fill="auto"/>
            <w:noWrap/>
            <w:vAlign w:val="center"/>
            <w:hideMark/>
          </w:tcPr>
          <w:p w14:paraId="2C39EA49"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12,52 %</w:t>
            </w:r>
          </w:p>
        </w:tc>
        <w:tc>
          <w:tcPr>
            <w:tcW w:w="522" w:type="pct"/>
            <w:tcBorders>
              <w:top w:val="nil"/>
              <w:left w:val="nil"/>
              <w:bottom w:val="single" w:sz="4" w:space="0" w:color="auto"/>
              <w:right w:val="single" w:sz="4" w:space="0" w:color="auto"/>
            </w:tcBorders>
            <w:shd w:val="clear" w:color="auto" w:fill="auto"/>
            <w:noWrap/>
            <w:vAlign w:val="center"/>
            <w:hideMark/>
          </w:tcPr>
          <w:p w14:paraId="44DDBA9A"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2,70 %</w:t>
            </w:r>
          </w:p>
        </w:tc>
      </w:tr>
      <w:tr w:rsidR="00F24E18" w:rsidRPr="005A0F58" w14:paraId="74AE0A1D"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554DE505"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2857D958"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Majhne enote</w:t>
            </w:r>
          </w:p>
        </w:tc>
        <w:tc>
          <w:tcPr>
            <w:tcW w:w="618" w:type="pct"/>
            <w:tcBorders>
              <w:top w:val="nil"/>
              <w:left w:val="nil"/>
              <w:bottom w:val="single" w:sz="4" w:space="0" w:color="auto"/>
              <w:right w:val="single" w:sz="4" w:space="0" w:color="auto"/>
            </w:tcBorders>
            <w:shd w:val="clear" w:color="auto" w:fill="auto"/>
            <w:noWrap/>
            <w:vAlign w:val="center"/>
            <w:hideMark/>
          </w:tcPr>
          <w:p w14:paraId="4D39C75B"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122</w:t>
            </w:r>
          </w:p>
        </w:tc>
        <w:tc>
          <w:tcPr>
            <w:tcW w:w="463" w:type="pct"/>
            <w:tcBorders>
              <w:top w:val="nil"/>
              <w:left w:val="nil"/>
              <w:bottom w:val="single" w:sz="4" w:space="0" w:color="auto"/>
              <w:right w:val="single" w:sz="4" w:space="0" w:color="auto"/>
            </w:tcBorders>
            <w:shd w:val="clear" w:color="auto" w:fill="auto"/>
            <w:noWrap/>
            <w:vAlign w:val="center"/>
            <w:hideMark/>
          </w:tcPr>
          <w:p w14:paraId="3CA1C55A"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235</w:t>
            </w:r>
          </w:p>
        </w:tc>
        <w:tc>
          <w:tcPr>
            <w:tcW w:w="773" w:type="pct"/>
            <w:tcBorders>
              <w:top w:val="nil"/>
              <w:left w:val="nil"/>
              <w:bottom w:val="single" w:sz="4" w:space="0" w:color="auto"/>
              <w:right w:val="single" w:sz="4" w:space="0" w:color="auto"/>
            </w:tcBorders>
            <w:shd w:val="clear" w:color="auto" w:fill="auto"/>
            <w:noWrap/>
            <w:vAlign w:val="center"/>
            <w:hideMark/>
          </w:tcPr>
          <w:p w14:paraId="251CD8A0"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85.651.721</w:t>
            </w:r>
          </w:p>
        </w:tc>
        <w:tc>
          <w:tcPr>
            <w:tcW w:w="618" w:type="pct"/>
            <w:tcBorders>
              <w:top w:val="nil"/>
              <w:left w:val="nil"/>
              <w:bottom w:val="single" w:sz="4" w:space="0" w:color="auto"/>
              <w:right w:val="single" w:sz="4" w:space="0" w:color="auto"/>
            </w:tcBorders>
            <w:shd w:val="clear" w:color="auto" w:fill="auto"/>
            <w:noWrap/>
            <w:vAlign w:val="center"/>
            <w:hideMark/>
          </w:tcPr>
          <w:p w14:paraId="5EAF3E2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50,62 %</w:t>
            </w:r>
          </w:p>
        </w:tc>
        <w:tc>
          <w:tcPr>
            <w:tcW w:w="540" w:type="pct"/>
            <w:tcBorders>
              <w:top w:val="nil"/>
              <w:left w:val="nil"/>
              <w:bottom w:val="single" w:sz="4" w:space="0" w:color="auto"/>
              <w:right w:val="single" w:sz="4" w:space="0" w:color="auto"/>
            </w:tcBorders>
            <w:shd w:val="clear" w:color="auto" w:fill="auto"/>
            <w:noWrap/>
            <w:vAlign w:val="center"/>
            <w:hideMark/>
          </w:tcPr>
          <w:p w14:paraId="03F12C34"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43,93 %</w:t>
            </w:r>
          </w:p>
        </w:tc>
        <w:tc>
          <w:tcPr>
            <w:tcW w:w="522" w:type="pct"/>
            <w:tcBorders>
              <w:top w:val="nil"/>
              <w:left w:val="nil"/>
              <w:bottom w:val="single" w:sz="4" w:space="0" w:color="auto"/>
              <w:right w:val="single" w:sz="4" w:space="0" w:color="auto"/>
            </w:tcBorders>
            <w:shd w:val="clear" w:color="auto" w:fill="auto"/>
            <w:noWrap/>
            <w:vAlign w:val="center"/>
            <w:hideMark/>
          </w:tcPr>
          <w:p w14:paraId="563970E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12,36 %</w:t>
            </w:r>
          </w:p>
        </w:tc>
      </w:tr>
      <w:tr w:rsidR="00F24E18" w:rsidRPr="005A0F58" w14:paraId="22FD5349"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53C6E874"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10D095F7"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Srednje enote</w:t>
            </w:r>
          </w:p>
        </w:tc>
        <w:tc>
          <w:tcPr>
            <w:tcW w:w="618" w:type="pct"/>
            <w:tcBorders>
              <w:top w:val="nil"/>
              <w:left w:val="nil"/>
              <w:bottom w:val="single" w:sz="4" w:space="0" w:color="auto"/>
              <w:right w:val="single" w:sz="4" w:space="0" w:color="auto"/>
            </w:tcBorders>
            <w:shd w:val="clear" w:color="auto" w:fill="auto"/>
            <w:noWrap/>
            <w:vAlign w:val="center"/>
            <w:hideMark/>
          </w:tcPr>
          <w:p w14:paraId="2D15E6D2"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47</w:t>
            </w:r>
          </w:p>
        </w:tc>
        <w:tc>
          <w:tcPr>
            <w:tcW w:w="463" w:type="pct"/>
            <w:tcBorders>
              <w:top w:val="nil"/>
              <w:left w:val="nil"/>
              <w:bottom w:val="single" w:sz="4" w:space="0" w:color="auto"/>
              <w:right w:val="single" w:sz="4" w:space="0" w:color="auto"/>
            </w:tcBorders>
            <w:shd w:val="clear" w:color="auto" w:fill="auto"/>
            <w:noWrap/>
            <w:vAlign w:val="center"/>
            <w:hideMark/>
          </w:tcPr>
          <w:p w14:paraId="3C44C1B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143</w:t>
            </w:r>
          </w:p>
        </w:tc>
        <w:tc>
          <w:tcPr>
            <w:tcW w:w="773" w:type="pct"/>
            <w:tcBorders>
              <w:top w:val="nil"/>
              <w:left w:val="nil"/>
              <w:bottom w:val="single" w:sz="4" w:space="0" w:color="auto"/>
              <w:right w:val="single" w:sz="4" w:space="0" w:color="auto"/>
            </w:tcBorders>
            <w:shd w:val="clear" w:color="auto" w:fill="auto"/>
            <w:noWrap/>
            <w:vAlign w:val="center"/>
            <w:hideMark/>
          </w:tcPr>
          <w:p w14:paraId="34C8182B"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161.277.736</w:t>
            </w:r>
          </w:p>
        </w:tc>
        <w:tc>
          <w:tcPr>
            <w:tcW w:w="618" w:type="pct"/>
            <w:tcBorders>
              <w:top w:val="nil"/>
              <w:left w:val="nil"/>
              <w:bottom w:val="single" w:sz="4" w:space="0" w:color="auto"/>
              <w:right w:val="single" w:sz="4" w:space="0" w:color="auto"/>
            </w:tcBorders>
            <w:shd w:val="clear" w:color="auto" w:fill="auto"/>
            <w:noWrap/>
            <w:vAlign w:val="center"/>
            <w:hideMark/>
          </w:tcPr>
          <w:p w14:paraId="7B53F42C"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19,50 %</w:t>
            </w:r>
          </w:p>
        </w:tc>
        <w:tc>
          <w:tcPr>
            <w:tcW w:w="540" w:type="pct"/>
            <w:tcBorders>
              <w:top w:val="nil"/>
              <w:left w:val="nil"/>
              <w:bottom w:val="single" w:sz="4" w:space="0" w:color="auto"/>
              <w:right w:val="single" w:sz="4" w:space="0" w:color="auto"/>
            </w:tcBorders>
            <w:shd w:val="clear" w:color="auto" w:fill="auto"/>
            <w:noWrap/>
            <w:vAlign w:val="center"/>
            <w:hideMark/>
          </w:tcPr>
          <w:p w14:paraId="5ECB31EC"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26,73 %</w:t>
            </w:r>
          </w:p>
        </w:tc>
        <w:tc>
          <w:tcPr>
            <w:tcW w:w="522" w:type="pct"/>
            <w:tcBorders>
              <w:top w:val="nil"/>
              <w:left w:val="nil"/>
              <w:bottom w:val="single" w:sz="4" w:space="0" w:color="auto"/>
              <w:right w:val="single" w:sz="4" w:space="0" w:color="auto"/>
            </w:tcBorders>
            <w:shd w:val="clear" w:color="auto" w:fill="auto"/>
            <w:noWrap/>
            <w:vAlign w:val="center"/>
            <w:hideMark/>
          </w:tcPr>
          <w:p w14:paraId="344700FA"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23,28 %</w:t>
            </w:r>
          </w:p>
        </w:tc>
      </w:tr>
      <w:tr w:rsidR="00F24E18" w:rsidRPr="005A0F58" w14:paraId="29C303D6"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6B70D08A"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61FD20BD"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Velike enote</w:t>
            </w:r>
          </w:p>
        </w:tc>
        <w:tc>
          <w:tcPr>
            <w:tcW w:w="618" w:type="pct"/>
            <w:tcBorders>
              <w:top w:val="nil"/>
              <w:left w:val="nil"/>
              <w:bottom w:val="single" w:sz="4" w:space="0" w:color="auto"/>
              <w:right w:val="single" w:sz="4" w:space="0" w:color="auto"/>
            </w:tcBorders>
            <w:shd w:val="clear" w:color="auto" w:fill="auto"/>
            <w:noWrap/>
            <w:vAlign w:val="center"/>
            <w:hideMark/>
          </w:tcPr>
          <w:p w14:paraId="46DDCDFF"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20</w:t>
            </w:r>
          </w:p>
        </w:tc>
        <w:tc>
          <w:tcPr>
            <w:tcW w:w="463" w:type="pct"/>
            <w:tcBorders>
              <w:top w:val="nil"/>
              <w:left w:val="nil"/>
              <w:bottom w:val="single" w:sz="4" w:space="0" w:color="auto"/>
              <w:right w:val="single" w:sz="4" w:space="0" w:color="auto"/>
            </w:tcBorders>
            <w:shd w:val="clear" w:color="auto" w:fill="auto"/>
            <w:noWrap/>
            <w:vAlign w:val="center"/>
            <w:hideMark/>
          </w:tcPr>
          <w:p w14:paraId="46349996"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83</w:t>
            </w:r>
          </w:p>
        </w:tc>
        <w:tc>
          <w:tcPr>
            <w:tcW w:w="773" w:type="pct"/>
            <w:tcBorders>
              <w:top w:val="nil"/>
              <w:left w:val="nil"/>
              <w:bottom w:val="single" w:sz="4" w:space="0" w:color="auto"/>
              <w:right w:val="single" w:sz="4" w:space="0" w:color="auto"/>
            </w:tcBorders>
            <w:shd w:val="clear" w:color="auto" w:fill="auto"/>
            <w:noWrap/>
            <w:vAlign w:val="center"/>
            <w:hideMark/>
          </w:tcPr>
          <w:p w14:paraId="6AF4E32F"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419.721.958</w:t>
            </w:r>
          </w:p>
        </w:tc>
        <w:tc>
          <w:tcPr>
            <w:tcW w:w="618" w:type="pct"/>
            <w:tcBorders>
              <w:top w:val="nil"/>
              <w:left w:val="nil"/>
              <w:bottom w:val="single" w:sz="4" w:space="0" w:color="auto"/>
              <w:right w:val="single" w:sz="4" w:space="0" w:color="auto"/>
            </w:tcBorders>
            <w:shd w:val="clear" w:color="auto" w:fill="auto"/>
            <w:noWrap/>
            <w:vAlign w:val="center"/>
            <w:hideMark/>
          </w:tcPr>
          <w:p w14:paraId="4FBC7E28"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8,30 %</w:t>
            </w:r>
          </w:p>
        </w:tc>
        <w:tc>
          <w:tcPr>
            <w:tcW w:w="540" w:type="pct"/>
            <w:tcBorders>
              <w:top w:val="nil"/>
              <w:left w:val="nil"/>
              <w:bottom w:val="single" w:sz="4" w:space="0" w:color="auto"/>
              <w:right w:val="single" w:sz="4" w:space="0" w:color="auto"/>
            </w:tcBorders>
            <w:shd w:val="clear" w:color="auto" w:fill="auto"/>
            <w:noWrap/>
            <w:vAlign w:val="center"/>
            <w:hideMark/>
          </w:tcPr>
          <w:p w14:paraId="0D40969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15,51 %</w:t>
            </w:r>
          </w:p>
        </w:tc>
        <w:tc>
          <w:tcPr>
            <w:tcW w:w="522" w:type="pct"/>
            <w:tcBorders>
              <w:top w:val="nil"/>
              <w:left w:val="nil"/>
              <w:bottom w:val="single" w:sz="4" w:space="0" w:color="auto"/>
              <w:right w:val="single" w:sz="4" w:space="0" w:color="auto"/>
            </w:tcBorders>
            <w:shd w:val="clear" w:color="auto" w:fill="auto"/>
            <w:noWrap/>
            <w:vAlign w:val="center"/>
            <w:hideMark/>
          </w:tcPr>
          <w:p w14:paraId="01DD81A3"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60,59 %</w:t>
            </w:r>
          </w:p>
        </w:tc>
      </w:tr>
      <w:tr w:rsidR="00F24E18" w:rsidRPr="005A0F58" w14:paraId="6D842A7A"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3976F65F"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23D66BE3"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Velikost RS se ne izračunava</w:t>
            </w:r>
          </w:p>
        </w:tc>
        <w:tc>
          <w:tcPr>
            <w:tcW w:w="618" w:type="pct"/>
            <w:tcBorders>
              <w:top w:val="nil"/>
              <w:left w:val="nil"/>
              <w:bottom w:val="single" w:sz="4" w:space="0" w:color="auto"/>
              <w:right w:val="single" w:sz="4" w:space="0" w:color="auto"/>
            </w:tcBorders>
            <w:shd w:val="clear" w:color="auto" w:fill="auto"/>
            <w:noWrap/>
            <w:vAlign w:val="center"/>
            <w:hideMark/>
          </w:tcPr>
          <w:p w14:paraId="73F5A0FA"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312D9BE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w:t>
            </w:r>
          </w:p>
        </w:tc>
        <w:tc>
          <w:tcPr>
            <w:tcW w:w="773" w:type="pct"/>
            <w:tcBorders>
              <w:top w:val="nil"/>
              <w:left w:val="nil"/>
              <w:bottom w:val="single" w:sz="4" w:space="0" w:color="auto"/>
              <w:right w:val="single" w:sz="4" w:space="0" w:color="auto"/>
            </w:tcBorders>
            <w:shd w:val="clear" w:color="auto" w:fill="auto"/>
            <w:noWrap/>
            <w:vAlign w:val="center"/>
            <w:hideMark/>
          </w:tcPr>
          <w:p w14:paraId="3DC26A72"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50.000</w:t>
            </w:r>
          </w:p>
        </w:tc>
        <w:tc>
          <w:tcPr>
            <w:tcW w:w="618" w:type="pct"/>
            <w:tcBorders>
              <w:top w:val="nil"/>
              <w:left w:val="nil"/>
              <w:bottom w:val="single" w:sz="4" w:space="0" w:color="auto"/>
              <w:right w:val="single" w:sz="4" w:space="0" w:color="auto"/>
            </w:tcBorders>
            <w:shd w:val="clear" w:color="auto" w:fill="auto"/>
            <w:noWrap/>
            <w:vAlign w:val="center"/>
            <w:hideMark/>
          </w:tcPr>
          <w:p w14:paraId="667A717A"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0,41 %</w:t>
            </w:r>
          </w:p>
        </w:tc>
        <w:tc>
          <w:tcPr>
            <w:tcW w:w="540" w:type="pct"/>
            <w:tcBorders>
              <w:top w:val="nil"/>
              <w:left w:val="nil"/>
              <w:bottom w:val="single" w:sz="4" w:space="0" w:color="auto"/>
              <w:right w:val="single" w:sz="4" w:space="0" w:color="auto"/>
            </w:tcBorders>
            <w:shd w:val="clear" w:color="auto" w:fill="auto"/>
            <w:noWrap/>
            <w:vAlign w:val="center"/>
            <w:hideMark/>
          </w:tcPr>
          <w:p w14:paraId="02603BE7"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0,19 %</w:t>
            </w:r>
          </w:p>
        </w:tc>
        <w:tc>
          <w:tcPr>
            <w:tcW w:w="522" w:type="pct"/>
            <w:tcBorders>
              <w:top w:val="nil"/>
              <w:left w:val="nil"/>
              <w:bottom w:val="single" w:sz="4" w:space="0" w:color="auto"/>
              <w:right w:val="single" w:sz="4" w:space="0" w:color="auto"/>
            </w:tcBorders>
            <w:shd w:val="clear" w:color="auto" w:fill="auto"/>
            <w:noWrap/>
            <w:vAlign w:val="center"/>
            <w:hideMark/>
          </w:tcPr>
          <w:p w14:paraId="40E6B395"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0,01 %</w:t>
            </w:r>
          </w:p>
        </w:tc>
      </w:tr>
      <w:tr w:rsidR="00F24E18" w:rsidRPr="005A0F58" w14:paraId="67B4369F"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025E88E1"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7FB5CB45" w14:textId="77777777" w:rsidR="00F24E18" w:rsidRPr="005A0F58" w:rsidRDefault="00F24E18" w:rsidP="000E18B5">
            <w:pPr>
              <w:spacing w:after="0" w:line="240" w:lineRule="auto"/>
              <w:rPr>
                <w:rFonts w:ascii="Arial" w:eastAsia="Times New Roman" w:hAnsi="Arial" w:cs="Arial"/>
                <w:color w:val="000000"/>
                <w:sz w:val="18"/>
                <w:szCs w:val="18"/>
                <w:lang w:eastAsia="sl-SI"/>
              </w:rPr>
            </w:pPr>
            <w:r w:rsidRPr="005A0F58">
              <w:rPr>
                <w:rFonts w:ascii="Arial" w:eastAsia="Times New Roman" w:hAnsi="Arial" w:cs="Arial"/>
                <w:color w:val="000000"/>
                <w:sz w:val="18"/>
                <w:szCs w:val="18"/>
                <w:lang w:eastAsia="sl-SI"/>
              </w:rPr>
              <w:t>Ni podatka o velikosti</w:t>
            </w:r>
          </w:p>
        </w:tc>
        <w:tc>
          <w:tcPr>
            <w:tcW w:w="618" w:type="pct"/>
            <w:tcBorders>
              <w:top w:val="nil"/>
              <w:left w:val="nil"/>
              <w:bottom w:val="single" w:sz="4" w:space="0" w:color="auto"/>
              <w:right w:val="single" w:sz="4" w:space="0" w:color="auto"/>
            </w:tcBorders>
            <w:shd w:val="clear" w:color="auto" w:fill="auto"/>
            <w:noWrap/>
            <w:vAlign w:val="center"/>
            <w:hideMark/>
          </w:tcPr>
          <w:p w14:paraId="7C44045C"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4</w:t>
            </w:r>
          </w:p>
        </w:tc>
        <w:tc>
          <w:tcPr>
            <w:tcW w:w="463" w:type="pct"/>
            <w:tcBorders>
              <w:top w:val="nil"/>
              <w:left w:val="nil"/>
              <w:bottom w:val="single" w:sz="4" w:space="0" w:color="auto"/>
              <w:right w:val="single" w:sz="4" w:space="0" w:color="auto"/>
            </w:tcBorders>
            <w:shd w:val="clear" w:color="auto" w:fill="auto"/>
            <w:noWrap/>
            <w:vAlign w:val="center"/>
            <w:hideMark/>
          </w:tcPr>
          <w:p w14:paraId="58683CB9"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6</w:t>
            </w:r>
          </w:p>
        </w:tc>
        <w:tc>
          <w:tcPr>
            <w:tcW w:w="773" w:type="pct"/>
            <w:tcBorders>
              <w:top w:val="nil"/>
              <w:left w:val="nil"/>
              <w:bottom w:val="single" w:sz="4" w:space="0" w:color="auto"/>
              <w:right w:val="single" w:sz="4" w:space="0" w:color="auto"/>
            </w:tcBorders>
            <w:shd w:val="clear" w:color="auto" w:fill="auto"/>
            <w:noWrap/>
            <w:vAlign w:val="center"/>
            <w:hideMark/>
          </w:tcPr>
          <w:p w14:paraId="31EE766D"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7.312.487</w:t>
            </w:r>
          </w:p>
        </w:tc>
        <w:tc>
          <w:tcPr>
            <w:tcW w:w="618" w:type="pct"/>
            <w:tcBorders>
              <w:top w:val="nil"/>
              <w:left w:val="nil"/>
              <w:bottom w:val="single" w:sz="4" w:space="0" w:color="auto"/>
              <w:right w:val="single" w:sz="4" w:space="0" w:color="auto"/>
            </w:tcBorders>
            <w:shd w:val="clear" w:color="auto" w:fill="auto"/>
            <w:noWrap/>
            <w:vAlign w:val="center"/>
            <w:hideMark/>
          </w:tcPr>
          <w:p w14:paraId="2441F8AF"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1,66 %</w:t>
            </w:r>
          </w:p>
        </w:tc>
        <w:tc>
          <w:tcPr>
            <w:tcW w:w="540" w:type="pct"/>
            <w:tcBorders>
              <w:top w:val="nil"/>
              <w:left w:val="nil"/>
              <w:bottom w:val="single" w:sz="4" w:space="0" w:color="auto"/>
              <w:right w:val="single" w:sz="4" w:space="0" w:color="auto"/>
            </w:tcBorders>
            <w:shd w:val="clear" w:color="auto" w:fill="auto"/>
            <w:noWrap/>
            <w:vAlign w:val="center"/>
            <w:hideMark/>
          </w:tcPr>
          <w:p w14:paraId="11EE1730"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1,12 %</w:t>
            </w:r>
          </w:p>
        </w:tc>
        <w:tc>
          <w:tcPr>
            <w:tcW w:w="522" w:type="pct"/>
            <w:tcBorders>
              <w:top w:val="nil"/>
              <w:left w:val="nil"/>
              <w:bottom w:val="single" w:sz="4" w:space="0" w:color="auto"/>
              <w:right w:val="single" w:sz="4" w:space="0" w:color="auto"/>
            </w:tcBorders>
            <w:shd w:val="clear" w:color="auto" w:fill="auto"/>
            <w:noWrap/>
            <w:vAlign w:val="center"/>
            <w:hideMark/>
          </w:tcPr>
          <w:p w14:paraId="75FC3618" w14:textId="77777777" w:rsidR="00F24E18" w:rsidRPr="005A0F58" w:rsidRDefault="00F24E18" w:rsidP="000E18B5">
            <w:pPr>
              <w:spacing w:after="0" w:line="240" w:lineRule="auto"/>
              <w:jc w:val="right"/>
              <w:rPr>
                <w:rFonts w:ascii="Arial" w:eastAsia="Times New Roman" w:hAnsi="Arial" w:cs="Arial"/>
                <w:color w:val="000000"/>
                <w:sz w:val="18"/>
                <w:szCs w:val="18"/>
                <w:lang w:eastAsia="sl-SI"/>
              </w:rPr>
            </w:pPr>
            <w:r w:rsidRPr="005A0F58">
              <w:rPr>
                <w:rFonts w:ascii="Arial" w:hAnsi="Arial" w:cs="Arial"/>
                <w:color w:val="000000"/>
                <w:sz w:val="18"/>
                <w:szCs w:val="18"/>
              </w:rPr>
              <w:t>1,06 %</w:t>
            </w:r>
          </w:p>
        </w:tc>
      </w:tr>
      <w:tr w:rsidR="00F24E18" w:rsidRPr="005A0F58" w14:paraId="73CAF9CE" w14:textId="77777777" w:rsidTr="000E18B5">
        <w:trPr>
          <w:trHeight w:val="300"/>
        </w:trPr>
        <w:tc>
          <w:tcPr>
            <w:tcW w:w="461" w:type="pct"/>
            <w:vMerge/>
            <w:tcBorders>
              <w:top w:val="nil"/>
              <w:left w:val="single" w:sz="4" w:space="0" w:color="auto"/>
              <w:bottom w:val="single" w:sz="4" w:space="0" w:color="auto"/>
              <w:right w:val="single" w:sz="4" w:space="0" w:color="auto"/>
            </w:tcBorders>
            <w:vAlign w:val="center"/>
            <w:hideMark/>
          </w:tcPr>
          <w:p w14:paraId="07A04E01" w14:textId="77777777" w:rsidR="00F24E18" w:rsidRPr="005A0F58" w:rsidRDefault="00F24E18" w:rsidP="000E18B5">
            <w:pPr>
              <w:spacing w:after="0" w:line="240" w:lineRule="auto"/>
              <w:rPr>
                <w:rFonts w:ascii="Arial" w:eastAsia="Times New Roman" w:hAnsi="Arial" w:cs="Arial"/>
                <w:color w:val="000000"/>
                <w:sz w:val="18"/>
                <w:szCs w:val="18"/>
                <w:lang w:eastAsia="sl-SI"/>
              </w:rPr>
            </w:pPr>
          </w:p>
        </w:tc>
        <w:tc>
          <w:tcPr>
            <w:tcW w:w="1005" w:type="pct"/>
            <w:tcBorders>
              <w:top w:val="nil"/>
              <w:left w:val="nil"/>
              <w:bottom w:val="single" w:sz="4" w:space="0" w:color="auto"/>
              <w:right w:val="single" w:sz="4" w:space="0" w:color="auto"/>
            </w:tcBorders>
            <w:shd w:val="clear" w:color="auto" w:fill="auto"/>
            <w:noWrap/>
            <w:vAlign w:val="center"/>
            <w:hideMark/>
          </w:tcPr>
          <w:p w14:paraId="2BDD207B" w14:textId="77777777" w:rsidR="00F24E18" w:rsidRPr="005A0F58" w:rsidRDefault="00F24E18" w:rsidP="000E18B5">
            <w:pPr>
              <w:spacing w:after="0" w:line="240" w:lineRule="auto"/>
              <w:rPr>
                <w:rFonts w:ascii="Arial" w:eastAsia="Times New Roman" w:hAnsi="Arial" w:cs="Arial"/>
                <w:b/>
                <w:bCs/>
                <w:color w:val="000000"/>
                <w:sz w:val="18"/>
                <w:szCs w:val="18"/>
                <w:lang w:eastAsia="sl-SI"/>
              </w:rPr>
            </w:pPr>
            <w:r w:rsidRPr="005A0F58">
              <w:rPr>
                <w:rFonts w:ascii="Arial" w:eastAsia="Times New Roman" w:hAnsi="Arial" w:cs="Arial"/>
                <w:b/>
                <w:bCs/>
                <w:color w:val="000000"/>
                <w:sz w:val="18"/>
                <w:szCs w:val="18"/>
                <w:lang w:eastAsia="sl-SI"/>
              </w:rPr>
              <w:t>Skupaj</w:t>
            </w:r>
          </w:p>
        </w:tc>
        <w:tc>
          <w:tcPr>
            <w:tcW w:w="618" w:type="pct"/>
            <w:tcBorders>
              <w:top w:val="nil"/>
              <w:left w:val="nil"/>
              <w:bottom w:val="single" w:sz="4" w:space="0" w:color="auto"/>
              <w:right w:val="single" w:sz="4" w:space="0" w:color="auto"/>
            </w:tcBorders>
            <w:shd w:val="clear" w:color="auto" w:fill="auto"/>
            <w:noWrap/>
            <w:vAlign w:val="center"/>
            <w:hideMark/>
          </w:tcPr>
          <w:p w14:paraId="5D33D74A"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241</w:t>
            </w:r>
          </w:p>
        </w:tc>
        <w:tc>
          <w:tcPr>
            <w:tcW w:w="463" w:type="pct"/>
            <w:tcBorders>
              <w:top w:val="nil"/>
              <w:left w:val="nil"/>
              <w:bottom w:val="single" w:sz="4" w:space="0" w:color="auto"/>
              <w:right w:val="single" w:sz="4" w:space="0" w:color="auto"/>
            </w:tcBorders>
            <w:shd w:val="clear" w:color="auto" w:fill="auto"/>
            <w:noWrap/>
            <w:vAlign w:val="center"/>
            <w:hideMark/>
          </w:tcPr>
          <w:p w14:paraId="28D70C19"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535</w:t>
            </w:r>
          </w:p>
        </w:tc>
        <w:tc>
          <w:tcPr>
            <w:tcW w:w="773" w:type="pct"/>
            <w:tcBorders>
              <w:top w:val="nil"/>
              <w:left w:val="nil"/>
              <w:bottom w:val="single" w:sz="4" w:space="0" w:color="auto"/>
              <w:right w:val="single" w:sz="4" w:space="0" w:color="auto"/>
            </w:tcBorders>
            <w:shd w:val="clear" w:color="auto" w:fill="auto"/>
            <w:noWrap/>
            <w:vAlign w:val="center"/>
            <w:hideMark/>
          </w:tcPr>
          <w:p w14:paraId="5CF7E93B"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692.738.659</w:t>
            </w:r>
          </w:p>
        </w:tc>
        <w:tc>
          <w:tcPr>
            <w:tcW w:w="618" w:type="pct"/>
            <w:tcBorders>
              <w:top w:val="nil"/>
              <w:left w:val="nil"/>
              <w:bottom w:val="single" w:sz="4" w:space="0" w:color="auto"/>
              <w:right w:val="single" w:sz="4" w:space="0" w:color="auto"/>
            </w:tcBorders>
            <w:shd w:val="clear" w:color="auto" w:fill="auto"/>
            <w:noWrap/>
            <w:vAlign w:val="center"/>
            <w:hideMark/>
          </w:tcPr>
          <w:p w14:paraId="2DBB6795"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c>
          <w:tcPr>
            <w:tcW w:w="540" w:type="pct"/>
            <w:tcBorders>
              <w:top w:val="nil"/>
              <w:left w:val="nil"/>
              <w:bottom w:val="single" w:sz="4" w:space="0" w:color="auto"/>
              <w:right w:val="single" w:sz="4" w:space="0" w:color="auto"/>
            </w:tcBorders>
            <w:shd w:val="clear" w:color="auto" w:fill="auto"/>
            <w:noWrap/>
            <w:vAlign w:val="center"/>
            <w:hideMark/>
          </w:tcPr>
          <w:p w14:paraId="09818F3B"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c>
          <w:tcPr>
            <w:tcW w:w="522" w:type="pct"/>
            <w:tcBorders>
              <w:top w:val="nil"/>
              <w:left w:val="nil"/>
              <w:bottom w:val="single" w:sz="4" w:space="0" w:color="auto"/>
              <w:right w:val="single" w:sz="4" w:space="0" w:color="auto"/>
            </w:tcBorders>
            <w:shd w:val="clear" w:color="auto" w:fill="auto"/>
            <w:noWrap/>
            <w:vAlign w:val="center"/>
            <w:hideMark/>
          </w:tcPr>
          <w:p w14:paraId="4A608494"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100,00 %</w:t>
            </w:r>
          </w:p>
        </w:tc>
      </w:tr>
      <w:tr w:rsidR="00F24E18" w:rsidRPr="005A0F58" w14:paraId="3C691228" w14:textId="77777777" w:rsidTr="000E18B5">
        <w:trPr>
          <w:gridAfter w:val="3"/>
          <w:wAfter w:w="1680" w:type="pct"/>
          <w:trHeight w:val="300"/>
        </w:trPr>
        <w:tc>
          <w:tcPr>
            <w:tcW w:w="146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DE3E15" w14:textId="77777777" w:rsidR="00F24E18" w:rsidRPr="005A0F58" w:rsidRDefault="00F24E18" w:rsidP="000E18B5">
            <w:pPr>
              <w:spacing w:after="0" w:line="240" w:lineRule="auto"/>
              <w:rPr>
                <w:rFonts w:ascii="Arial" w:eastAsia="Times New Roman" w:hAnsi="Arial" w:cs="Arial"/>
                <w:b/>
                <w:bCs/>
                <w:color w:val="000000"/>
                <w:sz w:val="18"/>
                <w:szCs w:val="18"/>
                <w:lang w:eastAsia="sl-SI"/>
              </w:rPr>
            </w:pPr>
            <w:r w:rsidRPr="005A0F58">
              <w:rPr>
                <w:rFonts w:ascii="Arial" w:eastAsia="Times New Roman" w:hAnsi="Arial" w:cs="Arial"/>
                <w:b/>
                <w:bCs/>
                <w:color w:val="000000"/>
                <w:sz w:val="18"/>
                <w:szCs w:val="18"/>
                <w:lang w:eastAsia="sl-SI"/>
              </w:rPr>
              <w:t>Skupaj</w:t>
            </w:r>
          </w:p>
        </w:tc>
        <w:tc>
          <w:tcPr>
            <w:tcW w:w="618" w:type="pct"/>
            <w:tcBorders>
              <w:top w:val="nil"/>
              <w:left w:val="nil"/>
              <w:bottom w:val="single" w:sz="4" w:space="0" w:color="auto"/>
              <w:right w:val="single" w:sz="4" w:space="0" w:color="auto"/>
            </w:tcBorders>
            <w:shd w:val="clear" w:color="auto" w:fill="F2F2F2" w:themeFill="background1" w:themeFillShade="F2"/>
            <w:noWrap/>
            <w:vAlign w:val="center"/>
            <w:hideMark/>
          </w:tcPr>
          <w:p w14:paraId="05009B5A"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874</w:t>
            </w:r>
          </w:p>
        </w:tc>
        <w:tc>
          <w:tcPr>
            <w:tcW w:w="463" w:type="pct"/>
            <w:tcBorders>
              <w:top w:val="nil"/>
              <w:left w:val="nil"/>
              <w:bottom w:val="single" w:sz="4" w:space="0" w:color="auto"/>
              <w:right w:val="single" w:sz="4" w:space="0" w:color="auto"/>
            </w:tcBorders>
            <w:shd w:val="clear" w:color="auto" w:fill="F2F2F2" w:themeFill="background1" w:themeFillShade="F2"/>
            <w:noWrap/>
            <w:vAlign w:val="center"/>
            <w:hideMark/>
          </w:tcPr>
          <w:p w14:paraId="03547882"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4.804</w:t>
            </w:r>
          </w:p>
        </w:tc>
        <w:tc>
          <w:tcPr>
            <w:tcW w:w="773" w:type="pct"/>
            <w:tcBorders>
              <w:top w:val="nil"/>
              <w:left w:val="nil"/>
              <w:bottom w:val="single" w:sz="4" w:space="0" w:color="auto"/>
              <w:right w:val="single" w:sz="4" w:space="0" w:color="auto"/>
            </w:tcBorders>
            <w:shd w:val="clear" w:color="auto" w:fill="F2F2F2" w:themeFill="background1" w:themeFillShade="F2"/>
            <w:noWrap/>
            <w:vAlign w:val="center"/>
            <w:hideMark/>
          </w:tcPr>
          <w:p w14:paraId="5A9FB82A" w14:textId="77777777" w:rsidR="00F24E18" w:rsidRPr="005A0F58" w:rsidRDefault="00F24E18" w:rsidP="000E18B5">
            <w:pPr>
              <w:spacing w:after="0" w:line="240" w:lineRule="auto"/>
              <w:jc w:val="right"/>
              <w:rPr>
                <w:rFonts w:ascii="Arial" w:eastAsia="Times New Roman" w:hAnsi="Arial" w:cs="Arial"/>
                <w:b/>
                <w:bCs/>
                <w:color w:val="000000"/>
                <w:sz w:val="18"/>
                <w:szCs w:val="18"/>
                <w:lang w:eastAsia="sl-SI"/>
              </w:rPr>
            </w:pPr>
            <w:r w:rsidRPr="005A0F58">
              <w:rPr>
                <w:rFonts w:ascii="Arial" w:hAnsi="Arial" w:cs="Arial"/>
                <w:b/>
                <w:bCs/>
                <w:color w:val="000000"/>
                <w:sz w:val="18"/>
                <w:szCs w:val="18"/>
              </w:rPr>
              <w:t>2.137.671.914</w:t>
            </w:r>
          </w:p>
        </w:tc>
      </w:tr>
    </w:tbl>
    <w:p w14:paraId="25EA4C6B" w14:textId="77777777" w:rsidR="00F24E18" w:rsidRPr="00242E41" w:rsidRDefault="00F24E18" w:rsidP="00F24E18">
      <w:pPr>
        <w:spacing w:after="0" w:line="240" w:lineRule="auto"/>
        <w:rPr>
          <w:highlight w:val="yellow"/>
        </w:rPr>
      </w:pPr>
    </w:p>
    <w:p w14:paraId="28826E14" w14:textId="77777777" w:rsidR="00F24E18" w:rsidRPr="00242E41" w:rsidRDefault="00F24E18" w:rsidP="00F24E18">
      <w:pPr>
        <w:rPr>
          <w:rFonts w:ascii="Arial" w:hAnsi="Arial" w:cs="Arial"/>
          <w:sz w:val="20"/>
          <w:highlight w:val="yellow"/>
        </w:rPr>
      </w:pPr>
      <w:r w:rsidRPr="00242E41">
        <w:rPr>
          <w:rFonts w:ascii="Arial" w:hAnsi="Arial" w:cs="Arial"/>
          <w:sz w:val="20"/>
          <w:highlight w:val="yellow"/>
        </w:rPr>
        <w:br w:type="page"/>
      </w:r>
    </w:p>
    <w:p w14:paraId="2EC5BA80" w14:textId="77777777" w:rsidR="00F24E18" w:rsidRDefault="00F24E18" w:rsidP="00F24E18">
      <w:pPr>
        <w:spacing w:before="120" w:after="0" w:line="240" w:lineRule="auto"/>
        <w:jc w:val="both"/>
        <w:rPr>
          <w:rFonts w:ascii="Arial" w:hAnsi="Arial" w:cs="Arial"/>
          <w:sz w:val="20"/>
        </w:rPr>
      </w:pPr>
      <w:r w:rsidRPr="00805CBD">
        <w:rPr>
          <w:rFonts w:ascii="Arial" w:hAnsi="Arial" w:cs="Arial"/>
          <w:sz w:val="20"/>
        </w:rPr>
        <w:lastRenderedPageBreak/>
        <w:t>Preglednica 107: Seznam naročnikov, ki so v letu 2023 oddali javna naročila ali izvedli postopek javnega naročanja za sklenitev okvirnega sporazuma</w:t>
      </w:r>
    </w:p>
    <w:p w14:paraId="7290940B" w14:textId="77777777" w:rsidR="00F24E18" w:rsidRDefault="00F24E18" w:rsidP="00F24E18">
      <w:pPr>
        <w:spacing w:before="120" w:after="0" w:line="240" w:lineRule="auto"/>
        <w:jc w:val="both"/>
        <w:rPr>
          <w:rFonts w:ascii="Arial" w:hAnsi="Arial" w:cs="Arial"/>
          <w:sz w:val="20"/>
        </w:rPr>
      </w:pPr>
    </w:p>
    <w:tbl>
      <w:tblPr>
        <w:tblW w:w="8925" w:type="dxa"/>
        <w:jc w:val="center"/>
        <w:tblCellMar>
          <w:left w:w="70" w:type="dxa"/>
          <w:right w:w="70" w:type="dxa"/>
        </w:tblCellMar>
        <w:tblLook w:val="04A0" w:firstRow="1" w:lastRow="0" w:firstColumn="1" w:lastColumn="0" w:noHBand="0" w:noVBand="1"/>
      </w:tblPr>
      <w:tblGrid>
        <w:gridCol w:w="660"/>
        <w:gridCol w:w="1300"/>
        <w:gridCol w:w="1012"/>
        <w:gridCol w:w="5953"/>
      </w:tblGrid>
      <w:tr w:rsidR="00F24E18" w14:paraId="61BF67CF" w14:textId="77777777" w:rsidTr="000E18B5">
        <w:trPr>
          <w:trHeight w:val="300"/>
          <w:tblHeader/>
          <w:jc w:val="center"/>
        </w:trPr>
        <w:tc>
          <w:tcPr>
            <w:tcW w:w="66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F8C5824" w14:textId="77777777" w:rsidR="00F24E18" w:rsidRDefault="00F24E18" w:rsidP="000E18B5">
            <w:pPr>
              <w:spacing w:after="0" w:line="240" w:lineRule="auto"/>
              <w:jc w:val="center"/>
              <w:rPr>
                <w:rFonts w:ascii="Arial" w:eastAsia="Times New Roman" w:hAnsi="Arial" w:cs="Arial"/>
                <w:color w:val="000000"/>
                <w:sz w:val="18"/>
                <w:szCs w:val="18"/>
                <w:lang w:eastAsia="sl-SI"/>
              </w:rPr>
            </w:pPr>
            <w:proofErr w:type="spellStart"/>
            <w:r>
              <w:rPr>
                <w:rFonts w:ascii="Arial" w:eastAsia="Times New Roman" w:hAnsi="Arial" w:cs="Arial"/>
                <w:color w:val="000000"/>
                <w:sz w:val="18"/>
                <w:szCs w:val="18"/>
                <w:lang w:eastAsia="sl-SI"/>
              </w:rPr>
              <w:t>Zap</w:t>
            </w:r>
            <w:proofErr w:type="spellEnd"/>
            <w:r>
              <w:rPr>
                <w:rFonts w:ascii="Arial" w:eastAsia="Times New Roman" w:hAnsi="Arial" w:cs="Arial"/>
                <w:color w:val="000000"/>
                <w:sz w:val="18"/>
                <w:szCs w:val="18"/>
                <w:lang w:eastAsia="sl-SI"/>
              </w:rPr>
              <w:t>. št.</w:t>
            </w:r>
          </w:p>
        </w:tc>
        <w:tc>
          <w:tcPr>
            <w:tcW w:w="1300" w:type="dxa"/>
            <w:tcBorders>
              <w:top w:val="single" w:sz="4" w:space="0" w:color="auto"/>
              <w:left w:val="nil"/>
              <w:bottom w:val="single" w:sz="4" w:space="0" w:color="auto"/>
              <w:right w:val="single" w:sz="4" w:space="0" w:color="auto"/>
            </w:tcBorders>
            <w:shd w:val="clear" w:color="auto" w:fill="F2F2F2"/>
            <w:noWrap/>
            <w:vAlign w:val="center"/>
            <w:hideMark/>
          </w:tcPr>
          <w:p w14:paraId="361E3784" w14:textId="77777777" w:rsidR="00F24E18" w:rsidRDefault="00F24E18" w:rsidP="000E18B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Matična številka</w:t>
            </w:r>
          </w:p>
        </w:tc>
        <w:tc>
          <w:tcPr>
            <w:tcW w:w="1012" w:type="dxa"/>
            <w:tcBorders>
              <w:top w:val="single" w:sz="4" w:space="0" w:color="auto"/>
              <w:left w:val="nil"/>
              <w:bottom w:val="single" w:sz="4" w:space="0" w:color="auto"/>
              <w:right w:val="single" w:sz="4" w:space="0" w:color="auto"/>
            </w:tcBorders>
            <w:shd w:val="clear" w:color="auto" w:fill="F2F2F2"/>
            <w:noWrap/>
            <w:vAlign w:val="center"/>
            <w:hideMark/>
          </w:tcPr>
          <w:p w14:paraId="4044A602" w14:textId="77777777" w:rsidR="00F24E18" w:rsidRDefault="00F24E18" w:rsidP="000E18B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Davčna številka</w:t>
            </w:r>
          </w:p>
        </w:tc>
        <w:tc>
          <w:tcPr>
            <w:tcW w:w="5953" w:type="dxa"/>
            <w:tcBorders>
              <w:top w:val="single" w:sz="4" w:space="0" w:color="auto"/>
              <w:left w:val="nil"/>
              <w:bottom w:val="single" w:sz="4" w:space="0" w:color="auto"/>
              <w:right w:val="single" w:sz="4" w:space="0" w:color="auto"/>
            </w:tcBorders>
            <w:shd w:val="clear" w:color="auto" w:fill="F2F2F2"/>
            <w:noWrap/>
            <w:vAlign w:val="center"/>
            <w:hideMark/>
          </w:tcPr>
          <w:p w14:paraId="24A17983" w14:textId="77777777" w:rsidR="00F24E18" w:rsidRDefault="00F24E18" w:rsidP="000E18B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Naziv naročnika</w:t>
            </w:r>
          </w:p>
        </w:tc>
      </w:tr>
      <w:tr w:rsidR="00F24E18" w14:paraId="44FBC49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FE6C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w:t>
            </w:r>
          </w:p>
        </w:tc>
        <w:tc>
          <w:tcPr>
            <w:tcW w:w="1300" w:type="dxa"/>
            <w:tcBorders>
              <w:top w:val="nil"/>
              <w:left w:val="nil"/>
              <w:bottom w:val="single" w:sz="4" w:space="0" w:color="auto"/>
              <w:right w:val="single" w:sz="4" w:space="0" w:color="auto"/>
            </w:tcBorders>
            <w:noWrap/>
            <w:vAlign w:val="center"/>
            <w:hideMark/>
          </w:tcPr>
          <w:p w14:paraId="699577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3348008000</w:t>
            </w:r>
          </w:p>
        </w:tc>
        <w:tc>
          <w:tcPr>
            <w:tcW w:w="1012" w:type="dxa"/>
            <w:tcBorders>
              <w:top w:val="nil"/>
              <w:left w:val="nil"/>
              <w:bottom w:val="single" w:sz="4" w:space="0" w:color="auto"/>
              <w:right w:val="single" w:sz="4" w:space="0" w:color="auto"/>
            </w:tcBorders>
            <w:noWrap/>
            <w:vAlign w:val="center"/>
            <w:hideMark/>
          </w:tcPr>
          <w:p w14:paraId="262256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52959856</w:t>
            </w:r>
          </w:p>
        </w:tc>
        <w:tc>
          <w:tcPr>
            <w:tcW w:w="5953" w:type="dxa"/>
            <w:tcBorders>
              <w:top w:val="nil"/>
              <w:left w:val="nil"/>
              <w:bottom w:val="single" w:sz="4" w:space="0" w:color="auto"/>
              <w:right w:val="single" w:sz="4" w:space="0" w:color="auto"/>
            </w:tcBorders>
            <w:noWrap/>
            <w:vAlign w:val="center"/>
            <w:hideMark/>
          </w:tcPr>
          <w:p w14:paraId="0E5A9B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 OSNOVNA ŠOLA SLOVENSKA BISTRICA</w:t>
            </w:r>
          </w:p>
        </w:tc>
      </w:tr>
      <w:tr w:rsidR="00F24E18" w14:paraId="731FD6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B211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w:t>
            </w:r>
          </w:p>
        </w:tc>
        <w:tc>
          <w:tcPr>
            <w:tcW w:w="1300" w:type="dxa"/>
            <w:tcBorders>
              <w:top w:val="nil"/>
              <w:left w:val="nil"/>
              <w:bottom w:val="single" w:sz="4" w:space="0" w:color="auto"/>
              <w:right w:val="single" w:sz="4" w:space="0" w:color="auto"/>
            </w:tcBorders>
            <w:vAlign w:val="center"/>
            <w:hideMark/>
          </w:tcPr>
          <w:p w14:paraId="0F4BAA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7096283000</w:t>
            </w:r>
          </w:p>
        </w:tc>
        <w:tc>
          <w:tcPr>
            <w:tcW w:w="1012" w:type="dxa"/>
            <w:tcBorders>
              <w:top w:val="nil"/>
              <w:left w:val="nil"/>
              <w:bottom w:val="single" w:sz="4" w:space="0" w:color="auto"/>
              <w:right w:val="single" w:sz="4" w:space="0" w:color="auto"/>
            </w:tcBorders>
            <w:vAlign w:val="center"/>
            <w:hideMark/>
          </w:tcPr>
          <w:p w14:paraId="64D00E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91611369</w:t>
            </w:r>
          </w:p>
        </w:tc>
        <w:tc>
          <w:tcPr>
            <w:tcW w:w="5953" w:type="dxa"/>
            <w:tcBorders>
              <w:top w:val="nil"/>
              <w:left w:val="nil"/>
              <w:bottom w:val="single" w:sz="4" w:space="0" w:color="auto"/>
              <w:right w:val="single" w:sz="4" w:space="0" w:color="auto"/>
            </w:tcBorders>
            <w:noWrap/>
            <w:vAlign w:val="center"/>
            <w:hideMark/>
          </w:tcPr>
          <w:p w14:paraId="1CD6AF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2TDK, DRUŽBA ZA RAZVOJ PROJEKTA, D.O.O.</w:t>
            </w:r>
          </w:p>
        </w:tc>
      </w:tr>
      <w:tr w:rsidR="00F24E18" w14:paraId="4817F6F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6B15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w:t>
            </w:r>
          </w:p>
        </w:tc>
        <w:tc>
          <w:tcPr>
            <w:tcW w:w="1300" w:type="dxa"/>
            <w:tcBorders>
              <w:top w:val="nil"/>
              <w:left w:val="nil"/>
              <w:bottom w:val="single" w:sz="4" w:space="0" w:color="auto"/>
              <w:right w:val="single" w:sz="4" w:space="0" w:color="auto"/>
            </w:tcBorders>
            <w:vAlign w:val="center"/>
            <w:hideMark/>
          </w:tcPr>
          <w:p w14:paraId="522EC2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1732803000</w:t>
            </w:r>
          </w:p>
        </w:tc>
        <w:tc>
          <w:tcPr>
            <w:tcW w:w="1012" w:type="dxa"/>
            <w:tcBorders>
              <w:top w:val="nil"/>
              <w:left w:val="nil"/>
              <w:bottom w:val="single" w:sz="4" w:space="0" w:color="auto"/>
              <w:right w:val="single" w:sz="4" w:space="0" w:color="auto"/>
            </w:tcBorders>
            <w:vAlign w:val="center"/>
            <w:hideMark/>
          </w:tcPr>
          <w:p w14:paraId="66F491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14717468</w:t>
            </w:r>
          </w:p>
        </w:tc>
        <w:tc>
          <w:tcPr>
            <w:tcW w:w="5953" w:type="dxa"/>
            <w:tcBorders>
              <w:top w:val="nil"/>
              <w:left w:val="nil"/>
              <w:bottom w:val="single" w:sz="4" w:space="0" w:color="auto"/>
              <w:right w:val="single" w:sz="4" w:space="0" w:color="auto"/>
            </w:tcBorders>
            <w:noWrap/>
            <w:vAlign w:val="center"/>
            <w:hideMark/>
          </w:tcPr>
          <w:p w14:paraId="4F88A4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AGENCIJA REPUBLIKE SLOVENIJE ZA JAVNOPRAVNE EVIDENCE IN STORITVE</w:t>
            </w:r>
          </w:p>
        </w:tc>
      </w:tr>
      <w:tr w:rsidR="00F24E18" w14:paraId="47CFE8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69F2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w:t>
            </w:r>
          </w:p>
        </w:tc>
        <w:tc>
          <w:tcPr>
            <w:tcW w:w="1300" w:type="dxa"/>
            <w:tcBorders>
              <w:top w:val="nil"/>
              <w:left w:val="nil"/>
              <w:bottom w:val="single" w:sz="4" w:space="0" w:color="auto"/>
              <w:right w:val="single" w:sz="4" w:space="0" w:color="auto"/>
            </w:tcBorders>
            <w:vAlign w:val="center"/>
            <w:hideMark/>
          </w:tcPr>
          <w:p w14:paraId="2D80E0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2632632000</w:t>
            </w:r>
          </w:p>
        </w:tc>
        <w:tc>
          <w:tcPr>
            <w:tcW w:w="1012" w:type="dxa"/>
            <w:tcBorders>
              <w:top w:val="nil"/>
              <w:left w:val="nil"/>
              <w:bottom w:val="single" w:sz="4" w:space="0" w:color="auto"/>
              <w:right w:val="single" w:sz="4" w:space="0" w:color="auto"/>
            </w:tcBorders>
            <w:vAlign w:val="center"/>
            <w:hideMark/>
          </w:tcPr>
          <w:p w14:paraId="442593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29335833</w:t>
            </w:r>
          </w:p>
        </w:tc>
        <w:tc>
          <w:tcPr>
            <w:tcW w:w="5953" w:type="dxa"/>
            <w:tcBorders>
              <w:top w:val="nil"/>
              <w:left w:val="nil"/>
              <w:bottom w:val="single" w:sz="4" w:space="0" w:color="auto"/>
              <w:right w:val="single" w:sz="4" w:space="0" w:color="auto"/>
            </w:tcBorders>
            <w:noWrap/>
            <w:vAlign w:val="center"/>
            <w:hideMark/>
          </w:tcPr>
          <w:p w14:paraId="70960F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AGENCIJA REPUBLIKE SLOVENIJE ZA OKOLJE</w:t>
            </w:r>
          </w:p>
        </w:tc>
      </w:tr>
      <w:tr w:rsidR="00F24E18" w14:paraId="2F0FC9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04B8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w:t>
            </w:r>
          </w:p>
        </w:tc>
        <w:tc>
          <w:tcPr>
            <w:tcW w:w="1300" w:type="dxa"/>
            <w:tcBorders>
              <w:top w:val="nil"/>
              <w:left w:val="nil"/>
              <w:bottom w:val="single" w:sz="4" w:space="0" w:color="auto"/>
              <w:right w:val="single" w:sz="4" w:space="0" w:color="auto"/>
            </w:tcBorders>
            <w:vAlign w:val="center"/>
            <w:hideMark/>
          </w:tcPr>
          <w:p w14:paraId="663042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1993666000</w:t>
            </w:r>
          </w:p>
        </w:tc>
        <w:tc>
          <w:tcPr>
            <w:tcW w:w="1012" w:type="dxa"/>
            <w:tcBorders>
              <w:top w:val="nil"/>
              <w:left w:val="nil"/>
              <w:bottom w:val="single" w:sz="4" w:space="0" w:color="auto"/>
              <w:right w:val="single" w:sz="4" w:space="0" w:color="auto"/>
            </w:tcBorders>
            <w:vAlign w:val="center"/>
            <w:hideMark/>
          </w:tcPr>
          <w:p w14:paraId="646CE9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45123136</w:t>
            </w:r>
          </w:p>
        </w:tc>
        <w:tc>
          <w:tcPr>
            <w:tcW w:w="5953" w:type="dxa"/>
            <w:tcBorders>
              <w:top w:val="nil"/>
              <w:left w:val="nil"/>
              <w:bottom w:val="single" w:sz="4" w:space="0" w:color="auto"/>
              <w:right w:val="single" w:sz="4" w:space="0" w:color="auto"/>
            </w:tcBorders>
            <w:noWrap/>
            <w:vAlign w:val="center"/>
            <w:hideMark/>
          </w:tcPr>
          <w:p w14:paraId="4145D5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AGENCIJA ZA ENERGIJO</w:t>
            </w:r>
          </w:p>
        </w:tc>
      </w:tr>
      <w:tr w:rsidR="00F24E18" w14:paraId="49EA28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AD8A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w:t>
            </w:r>
          </w:p>
        </w:tc>
        <w:tc>
          <w:tcPr>
            <w:tcW w:w="1300" w:type="dxa"/>
            <w:tcBorders>
              <w:top w:val="nil"/>
              <w:left w:val="nil"/>
              <w:bottom w:val="single" w:sz="4" w:space="0" w:color="auto"/>
              <w:right w:val="single" w:sz="4" w:space="0" w:color="auto"/>
            </w:tcBorders>
            <w:noWrap/>
            <w:vAlign w:val="center"/>
            <w:hideMark/>
          </w:tcPr>
          <w:p w14:paraId="1BABBD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3476278000</w:t>
            </w:r>
          </w:p>
        </w:tc>
        <w:tc>
          <w:tcPr>
            <w:tcW w:w="1012" w:type="dxa"/>
            <w:tcBorders>
              <w:top w:val="nil"/>
              <w:left w:val="nil"/>
              <w:bottom w:val="single" w:sz="4" w:space="0" w:color="auto"/>
              <w:right w:val="single" w:sz="4" w:space="0" w:color="auto"/>
            </w:tcBorders>
            <w:noWrap/>
            <w:vAlign w:val="center"/>
            <w:hideMark/>
          </w:tcPr>
          <w:p w14:paraId="268AB8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10031251</w:t>
            </w:r>
          </w:p>
        </w:tc>
        <w:tc>
          <w:tcPr>
            <w:tcW w:w="5953" w:type="dxa"/>
            <w:tcBorders>
              <w:top w:val="nil"/>
              <w:left w:val="nil"/>
              <w:bottom w:val="single" w:sz="4" w:space="0" w:color="auto"/>
              <w:right w:val="single" w:sz="4" w:space="0" w:color="auto"/>
            </w:tcBorders>
            <w:noWrap/>
            <w:vAlign w:val="center"/>
            <w:hideMark/>
          </w:tcPr>
          <w:p w14:paraId="32C851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AGENCIJA ZA JAVNI NADZOR NAD REVIDIRANJEM</w:t>
            </w:r>
          </w:p>
        </w:tc>
      </w:tr>
      <w:tr w:rsidR="00F24E18" w14:paraId="66413D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127B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w:t>
            </w:r>
          </w:p>
        </w:tc>
        <w:tc>
          <w:tcPr>
            <w:tcW w:w="1300" w:type="dxa"/>
            <w:tcBorders>
              <w:top w:val="nil"/>
              <w:left w:val="nil"/>
              <w:bottom w:val="single" w:sz="4" w:space="0" w:color="auto"/>
              <w:right w:val="single" w:sz="4" w:space="0" w:color="auto"/>
            </w:tcBorders>
            <w:vAlign w:val="center"/>
            <w:hideMark/>
          </w:tcPr>
          <w:p w14:paraId="5B1479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1332899000</w:t>
            </w:r>
          </w:p>
        </w:tc>
        <w:tc>
          <w:tcPr>
            <w:tcW w:w="1012" w:type="dxa"/>
            <w:tcBorders>
              <w:top w:val="nil"/>
              <w:left w:val="nil"/>
              <w:bottom w:val="single" w:sz="4" w:space="0" w:color="auto"/>
              <w:right w:val="single" w:sz="4" w:space="0" w:color="auto"/>
            </w:tcBorders>
            <w:vAlign w:val="center"/>
            <w:hideMark/>
          </w:tcPr>
          <w:p w14:paraId="3B8248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10482369</w:t>
            </w:r>
          </w:p>
        </w:tc>
        <w:tc>
          <w:tcPr>
            <w:tcW w:w="5953" w:type="dxa"/>
            <w:tcBorders>
              <w:top w:val="nil"/>
              <w:left w:val="nil"/>
              <w:bottom w:val="single" w:sz="4" w:space="0" w:color="auto"/>
              <w:right w:val="single" w:sz="4" w:space="0" w:color="auto"/>
            </w:tcBorders>
            <w:noWrap/>
            <w:vAlign w:val="center"/>
            <w:hideMark/>
          </w:tcPr>
          <w:p w14:paraId="1027E9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AGENCIJA ZA KOMUNIKACIJSKA OMREŽJA IN STORITVE REPUBLIKE SLOVENIJE</w:t>
            </w:r>
          </w:p>
        </w:tc>
      </w:tr>
      <w:tr w:rsidR="00F24E18" w14:paraId="048F481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E53E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w:t>
            </w:r>
          </w:p>
        </w:tc>
        <w:tc>
          <w:tcPr>
            <w:tcW w:w="1300" w:type="dxa"/>
            <w:tcBorders>
              <w:top w:val="nil"/>
              <w:left w:val="nil"/>
              <w:bottom w:val="single" w:sz="4" w:space="0" w:color="auto"/>
              <w:right w:val="single" w:sz="4" w:space="0" w:color="auto"/>
            </w:tcBorders>
            <w:vAlign w:val="center"/>
            <w:hideMark/>
          </w:tcPr>
          <w:p w14:paraId="48A9C9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5833566000</w:t>
            </w:r>
          </w:p>
        </w:tc>
        <w:tc>
          <w:tcPr>
            <w:tcW w:w="1012" w:type="dxa"/>
            <w:tcBorders>
              <w:top w:val="nil"/>
              <w:left w:val="nil"/>
              <w:bottom w:val="single" w:sz="4" w:space="0" w:color="auto"/>
              <w:right w:val="single" w:sz="4" w:space="0" w:color="auto"/>
            </w:tcBorders>
            <w:vAlign w:val="center"/>
            <w:hideMark/>
          </w:tcPr>
          <w:p w14:paraId="34A421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43586350</w:t>
            </w:r>
          </w:p>
        </w:tc>
        <w:tc>
          <w:tcPr>
            <w:tcW w:w="5953" w:type="dxa"/>
            <w:tcBorders>
              <w:top w:val="nil"/>
              <w:left w:val="nil"/>
              <w:bottom w:val="single" w:sz="4" w:space="0" w:color="auto"/>
              <w:right w:val="single" w:sz="4" w:space="0" w:color="auto"/>
            </w:tcBorders>
            <w:noWrap/>
            <w:vAlign w:val="center"/>
            <w:hideMark/>
          </w:tcPr>
          <w:p w14:paraId="179D31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AGENCIJA ZA TRG VREDNOSTNIH PAPIRJEV</w:t>
            </w:r>
          </w:p>
        </w:tc>
      </w:tr>
      <w:tr w:rsidR="00F24E18" w14:paraId="644CCC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CDCC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w:t>
            </w:r>
          </w:p>
        </w:tc>
        <w:tc>
          <w:tcPr>
            <w:tcW w:w="1300" w:type="dxa"/>
            <w:tcBorders>
              <w:top w:val="nil"/>
              <w:left w:val="nil"/>
              <w:bottom w:val="single" w:sz="4" w:space="0" w:color="auto"/>
              <w:right w:val="single" w:sz="4" w:space="0" w:color="auto"/>
            </w:tcBorders>
            <w:noWrap/>
            <w:vAlign w:val="center"/>
            <w:hideMark/>
          </w:tcPr>
          <w:p w14:paraId="7D20FB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1332856000</w:t>
            </w:r>
          </w:p>
        </w:tc>
        <w:tc>
          <w:tcPr>
            <w:tcW w:w="1012" w:type="dxa"/>
            <w:tcBorders>
              <w:top w:val="nil"/>
              <w:left w:val="nil"/>
              <w:bottom w:val="single" w:sz="4" w:space="0" w:color="auto"/>
              <w:right w:val="single" w:sz="4" w:space="0" w:color="auto"/>
            </w:tcBorders>
            <w:noWrap/>
            <w:vAlign w:val="center"/>
            <w:hideMark/>
          </w:tcPr>
          <w:p w14:paraId="756BB7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18962343</w:t>
            </w:r>
          </w:p>
        </w:tc>
        <w:tc>
          <w:tcPr>
            <w:tcW w:w="5953" w:type="dxa"/>
            <w:tcBorders>
              <w:top w:val="nil"/>
              <w:left w:val="nil"/>
              <w:bottom w:val="single" w:sz="4" w:space="0" w:color="auto"/>
              <w:right w:val="single" w:sz="4" w:space="0" w:color="auto"/>
            </w:tcBorders>
            <w:noWrap/>
            <w:vAlign w:val="center"/>
            <w:hideMark/>
          </w:tcPr>
          <w:p w14:paraId="4071AE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AGENCIJA ZA ZAVAROVALNI NADZOR</w:t>
            </w:r>
          </w:p>
        </w:tc>
      </w:tr>
      <w:tr w:rsidR="00F24E18" w14:paraId="0C9AD0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4136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w:t>
            </w:r>
          </w:p>
        </w:tc>
        <w:tc>
          <w:tcPr>
            <w:tcW w:w="1300" w:type="dxa"/>
            <w:tcBorders>
              <w:top w:val="nil"/>
              <w:left w:val="nil"/>
              <w:bottom w:val="single" w:sz="4" w:space="0" w:color="auto"/>
              <w:right w:val="single" w:sz="4" w:space="0" w:color="auto"/>
            </w:tcBorders>
            <w:vAlign w:val="center"/>
            <w:hideMark/>
          </w:tcPr>
          <w:p w14:paraId="6DCA60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5618100000</w:t>
            </w:r>
          </w:p>
        </w:tc>
        <w:tc>
          <w:tcPr>
            <w:tcW w:w="1012" w:type="dxa"/>
            <w:tcBorders>
              <w:top w:val="nil"/>
              <w:left w:val="nil"/>
              <w:bottom w:val="single" w:sz="4" w:space="0" w:color="auto"/>
              <w:right w:val="single" w:sz="4" w:space="0" w:color="auto"/>
            </w:tcBorders>
            <w:vAlign w:val="center"/>
            <w:hideMark/>
          </w:tcPr>
          <w:p w14:paraId="07E524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65799739</w:t>
            </w:r>
          </w:p>
        </w:tc>
        <w:tc>
          <w:tcPr>
            <w:tcW w:w="5953" w:type="dxa"/>
            <w:tcBorders>
              <w:top w:val="nil"/>
              <w:left w:val="nil"/>
              <w:bottom w:val="single" w:sz="4" w:space="0" w:color="auto"/>
              <w:right w:val="single" w:sz="4" w:space="0" w:color="auto"/>
            </w:tcBorders>
            <w:noWrap/>
            <w:vAlign w:val="center"/>
            <w:hideMark/>
          </w:tcPr>
          <w:p w14:paraId="7CB37B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AKADEMSKA IN RAZISKOVALNA MREŽA SLOVENIJE</w:t>
            </w:r>
          </w:p>
        </w:tc>
      </w:tr>
      <w:tr w:rsidR="00F24E18" w14:paraId="601A920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3869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w:t>
            </w:r>
          </w:p>
        </w:tc>
        <w:tc>
          <w:tcPr>
            <w:tcW w:w="1300" w:type="dxa"/>
            <w:tcBorders>
              <w:top w:val="nil"/>
              <w:left w:val="nil"/>
              <w:bottom w:val="single" w:sz="4" w:space="0" w:color="auto"/>
              <w:right w:val="single" w:sz="4" w:space="0" w:color="auto"/>
            </w:tcBorders>
            <w:noWrap/>
            <w:vAlign w:val="center"/>
            <w:hideMark/>
          </w:tcPr>
          <w:p w14:paraId="514004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5523192000</w:t>
            </w:r>
          </w:p>
        </w:tc>
        <w:tc>
          <w:tcPr>
            <w:tcW w:w="1012" w:type="dxa"/>
            <w:tcBorders>
              <w:top w:val="nil"/>
              <w:left w:val="nil"/>
              <w:bottom w:val="single" w:sz="4" w:space="0" w:color="auto"/>
              <w:right w:val="single" w:sz="4" w:space="0" w:color="auto"/>
            </w:tcBorders>
            <w:noWrap/>
            <w:vAlign w:val="center"/>
            <w:hideMark/>
          </w:tcPr>
          <w:p w14:paraId="200763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54646499</w:t>
            </w:r>
          </w:p>
        </w:tc>
        <w:tc>
          <w:tcPr>
            <w:tcW w:w="5953" w:type="dxa"/>
            <w:tcBorders>
              <w:top w:val="nil"/>
              <w:left w:val="nil"/>
              <w:bottom w:val="single" w:sz="4" w:space="0" w:color="auto"/>
              <w:right w:val="single" w:sz="4" w:space="0" w:color="auto"/>
            </w:tcBorders>
            <w:noWrap/>
            <w:vAlign w:val="center"/>
            <w:hideMark/>
          </w:tcPr>
          <w:p w14:paraId="568FA7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ANDRAGOŠKI CENTER REPUBLIKE SLOVENIJE</w:t>
            </w:r>
          </w:p>
        </w:tc>
      </w:tr>
      <w:tr w:rsidR="00F24E18" w14:paraId="2276E8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60E1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w:t>
            </w:r>
          </w:p>
        </w:tc>
        <w:tc>
          <w:tcPr>
            <w:tcW w:w="1300" w:type="dxa"/>
            <w:tcBorders>
              <w:top w:val="nil"/>
              <w:left w:val="nil"/>
              <w:bottom w:val="single" w:sz="4" w:space="0" w:color="auto"/>
              <w:right w:val="single" w:sz="4" w:space="0" w:color="auto"/>
            </w:tcBorders>
            <w:noWrap/>
            <w:vAlign w:val="center"/>
            <w:hideMark/>
          </w:tcPr>
          <w:p w14:paraId="7DC7EA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5053013000</w:t>
            </w:r>
          </w:p>
        </w:tc>
        <w:tc>
          <w:tcPr>
            <w:tcW w:w="1012" w:type="dxa"/>
            <w:tcBorders>
              <w:top w:val="nil"/>
              <w:left w:val="nil"/>
              <w:bottom w:val="single" w:sz="4" w:space="0" w:color="auto"/>
              <w:right w:val="single" w:sz="4" w:space="0" w:color="auto"/>
            </w:tcBorders>
            <w:noWrap/>
            <w:vAlign w:val="center"/>
            <w:hideMark/>
          </w:tcPr>
          <w:p w14:paraId="7971CE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18783724</w:t>
            </w:r>
          </w:p>
        </w:tc>
        <w:tc>
          <w:tcPr>
            <w:tcW w:w="5953" w:type="dxa"/>
            <w:tcBorders>
              <w:top w:val="nil"/>
              <w:left w:val="nil"/>
              <w:bottom w:val="single" w:sz="4" w:space="0" w:color="auto"/>
              <w:right w:val="single" w:sz="4" w:space="0" w:color="auto"/>
            </w:tcBorders>
            <w:noWrap/>
            <w:vAlign w:val="center"/>
            <w:hideMark/>
          </w:tcPr>
          <w:p w14:paraId="1E1EE6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ANDRAGOŠKI ZAVOD LJUDSKA UNIVERZA VELENJE</w:t>
            </w:r>
          </w:p>
        </w:tc>
      </w:tr>
      <w:tr w:rsidR="00F24E18" w14:paraId="7FB96CC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BBA0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w:t>
            </w:r>
          </w:p>
        </w:tc>
        <w:tc>
          <w:tcPr>
            <w:tcW w:w="1300" w:type="dxa"/>
            <w:tcBorders>
              <w:top w:val="nil"/>
              <w:left w:val="nil"/>
              <w:bottom w:val="single" w:sz="4" w:space="0" w:color="auto"/>
              <w:right w:val="single" w:sz="4" w:space="0" w:color="auto"/>
            </w:tcBorders>
            <w:noWrap/>
            <w:vAlign w:val="center"/>
            <w:hideMark/>
          </w:tcPr>
          <w:p w14:paraId="2712D5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5052734000</w:t>
            </w:r>
          </w:p>
        </w:tc>
        <w:tc>
          <w:tcPr>
            <w:tcW w:w="1012" w:type="dxa"/>
            <w:tcBorders>
              <w:top w:val="nil"/>
              <w:left w:val="nil"/>
              <w:bottom w:val="single" w:sz="4" w:space="0" w:color="auto"/>
              <w:right w:val="single" w:sz="4" w:space="0" w:color="auto"/>
            </w:tcBorders>
            <w:noWrap/>
            <w:vAlign w:val="center"/>
            <w:hideMark/>
          </w:tcPr>
          <w:p w14:paraId="18942F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20079346</w:t>
            </w:r>
          </w:p>
        </w:tc>
        <w:tc>
          <w:tcPr>
            <w:tcW w:w="5953" w:type="dxa"/>
            <w:tcBorders>
              <w:top w:val="nil"/>
              <w:left w:val="nil"/>
              <w:bottom w:val="single" w:sz="4" w:space="0" w:color="auto"/>
              <w:right w:val="single" w:sz="4" w:space="0" w:color="auto"/>
            </w:tcBorders>
            <w:noWrap/>
            <w:vAlign w:val="center"/>
            <w:hideMark/>
          </w:tcPr>
          <w:p w14:paraId="07F93D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ANDRAGOŠKI ZAVOD MARIBOR-LJUDSKA UNIVERZA</w:t>
            </w:r>
          </w:p>
        </w:tc>
      </w:tr>
      <w:tr w:rsidR="00F24E18" w14:paraId="0443D7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8E21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w:t>
            </w:r>
          </w:p>
        </w:tc>
        <w:tc>
          <w:tcPr>
            <w:tcW w:w="1300" w:type="dxa"/>
            <w:tcBorders>
              <w:top w:val="nil"/>
              <w:left w:val="nil"/>
              <w:bottom w:val="single" w:sz="4" w:space="0" w:color="auto"/>
              <w:right w:val="single" w:sz="4" w:space="0" w:color="auto"/>
            </w:tcBorders>
            <w:noWrap/>
            <w:vAlign w:val="center"/>
            <w:hideMark/>
          </w:tcPr>
          <w:p w14:paraId="72B088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2145731000</w:t>
            </w:r>
          </w:p>
        </w:tc>
        <w:tc>
          <w:tcPr>
            <w:tcW w:w="1012" w:type="dxa"/>
            <w:tcBorders>
              <w:top w:val="nil"/>
              <w:left w:val="nil"/>
              <w:bottom w:val="single" w:sz="4" w:space="0" w:color="auto"/>
              <w:right w:val="single" w:sz="4" w:space="0" w:color="auto"/>
            </w:tcBorders>
            <w:vAlign w:val="center"/>
            <w:hideMark/>
          </w:tcPr>
          <w:p w14:paraId="79737A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73607975</w:t>
            </w:r>
          </w:p>
        </w:tc>
        <w:tc>
          <w:tcPr>
            <w:tcW w:w="5953" w:type="dxa"/>
            <w:tcBorders>
              <w:top w:val="nil"/>
              <w:left w:val="nil"/>
              <w:bottom w:val="single" w:sz="4" w:space="0" w:color="auto"/>
              <w:right w:val="single" w:sz="4" w:space="0" w:color="auto"/>
            </w:tcBorders>
            <w:noWrap/>
            <w:vAlign w:val="center"/>
            <w:hideMark/>
          </w:tcPr>
          <w:p w14:paraId="5E4125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ANTON PODBEVŠEK TEATER</w:t>
            </w:r>
          </w:p>
        </w:tc>
      </w:tr>
      <w:tr w:rsidR="00F24E18" w14:paraId="4B117B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AA4F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w:t>
            </w:r>
          </w:p>
        </w:tc>
        <w:tc>
          <w:tcPr>
            <w:tcW w:w="1300" w:type="dxa"/>
            <w:tcBorders>
              <w:top w:val="nil"/>
              <w:left w:val="nil"/>
              <w:bottom w:val="single" w:sz="4" w:space="0" w:color="auto"/>
              <w:right w:val="single" w:sz="4" w:space="0" w:color="auto"/>
            </w:tcBorders>
            <w:vAlign w:val="center"/>
            <w:hideMark/>
          </w:tcPr>
          <w:p w14:paraId="55AF07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5526329000</w:t>
            </w:r>
          </w:p>
        </w:tc>
        <w:tc>
          <w:tcPr>
            <w:tcW w:w="1012" w:type="dxa"/>
            <w:tcBorders>
              <w:top w:val="nil"/>
              <w:left w:val="nil"/>
              <w:bottom w:val="single" w:sz="4" w:space="0" w:color="auto"/>
              <w:right w:val="single" w:sz="4" w:space="0" w:color="auto"/>
            </w:tcBorders>
            <w:vAlign w:val="center"/>
            <w:hideMark/>
          </w:tcPr>
          <w:p w14:paraId="36C9C8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32495854</w:t>
            </w:r>
          </w:p>
        </w:tc>
        <w:tc>
          <w:tcPr>
            <w:tcW w:w="5953" w:type="dxa"/>
            <w:tcBorders>
              <w:top w:val="nil"/>
              <w:left w:val="nil"/>
              <w:bottom w:val="single" w:sz="4" w:space="0" w:color="auto"/>
              <w:right w:val="single" w:sz="4" w:space="0" w:color="auto"/>
            </w:tcBorders>
            <w:noWrap/>
            <w:vAlign w:val="center"/>
            <w:hideMark/>
          </w:tcPr>
          <w:p w14:paraId="762D83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ARAO - AGENCIJA ZA RADIOAKTIVNE ODPADKE</w:t>
            </w:r>
          </w:p>
        </w:tc>
      </w:tr>
      <w:tr w:rsidR="00F24E18" w14:paraId="5D4611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B805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w:t>
            </w:r>
          </w:p>
        </w:tc>
        <w:tc>
          <w:tcPr>
            <w:tcW w:w="1300" w:type="dxa"/>
            <w:tcBorders>
              <w:top w:val="nil"/>
              <w:left w:val="nil"/>
              <w:bottom w:val="single" w:sz="4" w:space="0" w:color="auto"/>
              <w:right w:val="single" w:sz="4" w:space="0" w:color="auto"/>
            </w:tcBorders>
            <w:noWrap/>
            <w:vAlign w:val="center"/>
            <w:hideMark/>
          </w:tcPr>
          <w:p w14:paraId="46AA37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5051894000</w:t>
            </w:r>
          </w:p>
        </w:tc>
        <w:tc>
          <w:tcPr>
            <w:tcW w:w="1012" w:type="dxa"/>
            <w:tcBorders>
              <w:top w:val="nil"/>
              <w:left w:val="nil"/>
              <w:bottom w:val="single" w:sz="4" w:space="0" w:color="auto"/>
              <w:right w:val="single" w:sz="4" w:space="0" w:color="auto"/>
            </w:tcBorders>
            <w:noWrap/>
            <w:vAlign w:val="center"/>
            <w:hideMark/>
          </w:tcPr>
          <w:p w14:paraId="0B1C58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16505638</w:t>
            </w:r>
          </w:p>
        </w:tc>
        <w:tc>
          <w:tcPr>
            <w:tcW w:w="5953" w:type="dxa"/>
            <w:tcBorders>
              <w:top w:val="nil"/>
              <w:left w:val="nil"/>
              <w:bottom w:val="single" w:sz="4" w:space="0" w:color="auto"/>
              <w:right w:val="single" w:sz="4" w:space="0" w:color="auto"/>
            </w:tcBorders>
            <w:noWrap/>
            <w:vAlign w:val="center"/>
            <w:hideMark/>
          </w:tcPr>
          <w:p w14:paraId="596A47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ARBORETUM VOLČJI POTOK</w:t>
            </w:r>
          </w:p>
        </w:tc>
      </w:tr>
      <w:tr w:rsidR="00F24E18" w14:paraId="177C788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26D6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w:t>
            </w:r>
          </w:p>
        </w:tc>
        <w:tc>
          <w:tcPr>
            <w:tcW w:w="1300" w:type="dxa"/>
            <w:tcBorders>
              <w:top w:val="nil"/>
              <w:left w:val="nil"/>
              <w:bottom w:val="single" w:sz="4" w:space="0" w:color="auto"/>
              <w:right w:val="single" w:sz="4" w:space="0" w:color="auto"/>
            </w:tcBorders>
            <w:vAlign w:val="center"/>
            <w:hideMark/>
          </w:tcPr>
          <w:p w14:paraId="40FCAF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5263433000</w:t>
            </w:r>
          </w:p>
        </w:tc>
        <w:tc>
          <w:tcPr>
            <w:tcW w:w="1012" w:type="dxa"/>
            <w:tcBorders>
              <w:top w:val="nil"/>
              <w:left w:val="nil"/>
              <w:bottom w:val="single" w:sz="4" w:space="0" w:color="auto"/>
              <w:right w:val="single" w:sz="4" w:space="0" w:color="auto"/>
            </w:tcBorders>
            <w:vAlign w:val="center"/>
            <w:hideMark/>
          </w:tcPr>
          <w:p w14:paraId="38F89D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31727077</w:t>
            </w:r>
          </w:p>
        </w:tc>
        <w:tc>
          <w:tcPr>
            <w:tcW w:w="5953" w:type="dxa"/>
            <w:tcBorders>
              <w:top w:val="nil"/>
              <w:left w:val="nil"/>
              <w:bottom w:val="single" w:sz="4" w:space="0" w:color="auto"/>
              <w:right w:val="single" w:sz="4" w:space="0" w:color="auto"/>
            </w:tcBorders>
            <w:noWrap/>
            <w:vAlign w:val="center"/>
            <w:hideMark/>
          </w:tcPr>
          <w:p w14:paraId="34BB7B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ARRIVA, DRUŽBA ZA PREVOZ POTNIKOV, D.O.O.</w:t>
            </w:r>
          </w:p>
        </w:tc>
      </w:tr>
      <w:tr w:rsidR="00F24E18" w14:paraId="47D285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285C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w:t>
            </w:r>
          </w:p>
        </w:tc>
        <w:tc>
          <w:tcPr>
            <w:tcW w:w="1300" w:type="dxa"/>
            <w:tcBorders>
              <w:top w:val="nil"/>
              <w:left w:val="nil"/>
              <w:bottom w:val="single" w:sz="4" w:space="0" w:color="auto"/>
              <w:right w:val="single" w:sz="4" w:space="0" w:color="auto"/>
            </w:tcBorders>
            <w:vAlign w:val="center"/>
            <w:hideMark/>
          </w:tcPr>
          <w:p w14:paraId="3073B6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5023912000</w:t>
            </w:r>
          </w:p>
        </w:tc>
        <w:tc>
          <w:tcPr>
            <w:tcW w:w="1012" w:type="dxa"/>
            <w:tcBorders>
              <w:top w:val="nil"/>
              <w:left w:val="nil"/>
              <w:bottom w:val="single" w:sz="4" w:space="0" w:color="auto"/>
              <w:right w:val="single" w:sz="4" w:space="0" w:color="auto"/>
            </w:tcBorders>
            <w:vAlign w:val="center"/>
            <w:hideMark/>
          </w:tcPr>
          <w:p w14:paraId="6229B9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92582087</w:t>
            </w:r>
          </w:p>
        </w:tc>
        <w:tc>
          <w:tcPr>
            <w:tcW w:w="5953" w:type="dxa"/>
            <w:tcBorders>
              <w:top w:val="nil"/>
              <w:left w:val="nil"/>
              <w:bottom w:val="single" w:sz="4" w:space="0" w:color="auto"/>
              <w:right w:val="single" w:sz="4" w:space="0" w:color="auto"/>
            </w:tcBorders>
            <w:noWrap/>
            <w:vAlign w:val="center"/>
            <w:hideMark/>
          </w:tcPr>
          <w:p w14:paraId="75BF52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BANKA SLOVENIJE</w:t>
            </w:r>
          </w:p>
        </w:tc>
      </w:tr>
      <w:tr w:rsidR="00F24E18" w14:paraId="359C5C8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5DCE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w:t>
            </w:r>
          </w:p>
        </w:tc>
        <w:tc>
          <w:tcPr>
            <w:tcW w:w="1300" w:type="dxa"/>
            <w:tcBorders>
              <w:top w:val="nil"/>
              <w:left w:val="nil"/>
              <w:bottom w:val="single" w:sz="4" w:space="0" w:color="auto"/>
              <w:right w:val="single" w:sz="4" w:space="0" w:color="auto"/>
            </w:tcBorders>
            <w:noWrap/>
            <w:vAlign w:val="center"/>
            <w:hideMark/>
          </w:tcPr>
          <w:p w14:paraId="13CBC4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5052149000</w:t>
            </w:r>
          </w:p>
        </w:tc>
        <w:tc>
          <w:tcPr>
            <w:tcW w:w="1012" w:type="dxa"/>
            <w:tcBorders>
              <w:top w:val="nil"/>
              <w:left w:val="nil"/>
              <w:bottom w:val="single" w:sz="4" w:space="0" w:color="auto"/>
              <w:right w:val="single" w:sz="4" w:space="0" w:color="auto"/>
            </w:tcBorders>
            <w:noWrap/>
            <w:vAlign w:val="center"/>
            <w:hideMark/>
          </w:tcPr>
          <w:p w14:paraId="0B4266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23901233</w:t>
            </w:r>
          </w:p>
        </w:tc>
        <w:tc>
          <w:tcPr>
            <w:tcW w:w="5953" w:type="dxa"/>
            <w:tcBorders>
              <w:top w:val="nil"/>
              <w:left w:val="nil"/>
              <w:bottom w:val="single" w:sz="4" w:space="0" w:color="auto"/>
              <w:right w:val="single" w:sz="4" w:space="0" w:color="auto"/>
            </w:tcBorders>
            <w:noWrap/>
            <w:vAlign w:val="center"/>
            <w:hideMark/>
          </w:tcPr>
          <w:p w14:paraId="0D5FF7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BELOKRANJSKI MUZEJ METLIKA</w:t>
            </w:r>
          </w:p>
        </w:tc>
      </w:tr>
      <w:tr w:rsidR="00F24E18" w14:paraId="5860B7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96E6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w:t>
            </w:r>
          </w:p>
        </w:tc>
        <w:tc>
          <w:tcPr>
            <w:tcW w:w="1300" w:type="dxa"/>
            <w:tcBorders>
              <w:top w:val="nil"/>
              <w:left w:val="nil"/>
              <w:bottom w:val="single" w:sz="4" w:space="0" w:color="auto"/>
              <w:right w:val="single" w:sz="4" w:space="0" w:color="auto"/>
            </w:tcBorders>
            <w:vAlign w:val="center"/>
            <w:hideMark/>
          </w:tcPr>
          <w:p w14:paraId="1A0C60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5085454000</w:t>
            </w:r>
          </w:p>
        </w:tc>
        <w:tc>
          <w:tcPr>
            <w:tcW w:w="1012" w:type="dxa"/>
            <w:tcBorders>
              <w:top w:val="nil"/>
              <w:left w:val="nil"/>
              <w:bottom w:val="single" w:sz="4" w:space="0" w:color="auto"/>
              <w:right w:val="single" w:sz="4" w:space="0" w:color="auto"/>
            </w:tcBorders>
            <w:vAlign w:val="center"/>
            <w:hideMark/>
          </w:tcPr>
          <w:p w14:paraId="67EA3E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42181216</w:t>
            </w:r>
          </w:p>
        </w:tc>
        <w:tc>
          <w:tcPr>
            <w:tcW w:w="5953" w:type="dxa"/>
            <w:tcBorders>
              <w:top w:val="nil"/>
              <w:left w:val="nil"/>
              <w:bottom w:val="single" w:sz="4" w:space="0" w:color="auto"/>
              <w:right w:val="single" w:sz="4" w:space="0" w:color="auto"/>
            </w:tcBorders>
            <w:noWrap/>
            <w:vAlign w:val="center"/>
            <w:hideMark/>
          </w:tcPr>
          <w:p w14:paraId="206832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BIOTEHNIŠKA ŠOLA MARIBOR</w:t>
            </w:r>
          </w:p>
        </w:tc>
      </w:tr>
      <w:tr w:rsidR="00F24E18" w14:paraId="000322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6ADA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w:t>
            </w:r>
          </w:p>
        </w:tc>
        <w:tc>
          <w:tcPr>
            <w:tcW w:w="1300" w:type="dxa"/>
            <w:tcBorders>
              <w:top w:val="nil"/>
              <w:left w:val="nil"/>
              <w:bottom w:val="single" w:sz="4" w:space="0" w:color="auto"/>
              <w:right w:val="single" w:sz="4" w:space="0" w:color="auto"/>
            </w:tcBorders>
            <w:noWrap/>
            <w:vAlign w:val="center"/>
            <w:hideMark/>
          </w:tcPr>
          <w:p w14:paraId="4B52CF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5088739000</w:t>
            </w:r>
          </w:p>
        </w:tc>
        <w:tc>
          <w:tcPr>
            <w:tcW w:w="1012" w:type="dxa"/>
            <w:tcBorders>
              <w:top w:val="nil"/>
              <w:left w:val="nil"/>
              <w:bottom w:val="single" w:sz="4" w:space="0" w:color="auto"/>
              <w:right w:val="single" w:sz="4" w:space="0" w:color="auto"/>
            </w:tcBorders>
            <w:noWrap/>
            <w:vAlign w:val="center"/>
            <w:hideMark/>
          </w:tcPr>
          <w:p w14:paraId="42E76A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66817994</w:t>
            </w:r>
          </w:p>
        </w:tc>
        <w:tc>
          <w:tcPr>
            <w:tcW w:w="5953" w:type="dxa"/>
            <w:tcBorders>
              <w:top w:val="nil"/>
              <w:left w:val="nil"/>
              <w:bottom w:val="single" w:sz="4" w:space="0" w:color="auto"/>
              <w:right w:val="single" w:sz="4" w:space="0" w:color="auto"/>
            </w:tcBorders>
            <w:noWrap/>
            <w:vAlign w:val="center"/>
            <w:hideMark/>
          </w:tcPr>
          <w:p w14:paraId="42FD07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BIOTEHNIŠKI CENTER NAKLO</w:t>
            </w:r>
          </w:p>
        </w:tc>
      </w:tr>
      <w:tr w:rsidR="00F24E18" w14:paraId="2E574F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34616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w:t>
            </w:r>
          </w:p>
        </w:tc>
        <w:tc>
          <w:tcPr>
            <w:tcW w:w="1300" w:type="dxa"/>
            <w:tcBorders>
              <w:top w:val="nil"/>
              <w:left w:val="nil"/>
              <w:bottom w:val="single" w:sz="4" w:space="0" w:color="auto"/>
              <w:right w:val="single" w:sz="4" w:space="0" w:color="auto"/>
            </w:tcBorders>
            <w:vAlign w:val="center"/>
            <w:hideMark/>
          </w:tcPr>
          <w:p w14:paraId="02E720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5084571000</w:t>
            </w:r>
          </w:p>
        </w:tc>
        <w:tc>
          <w:tcPr>
            <w:tcW w:w="1012" w:type="dxa"/>
            <w:tcBorders>
              <w:top w:val="nil"/>
              <w:left w:val="nil"/>
              <w:bottom w:val="single" w:sz="4" w:space="0" w:color="auto"/>
              <w:right w:val="single" w:sz="4" w:space="0" w:color="auto"/>
            </w:tcBorders>
            <w:vAlign w:val="center"/>
            <w:hideMark/>
          </w:tcPr>
          <w:p w14:paraId="77CE3A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95277145</w:t>
            </w:r>
          </w:p>
        </w:tc>
        <w:tc>
          <w:tcPr>
            <w:tcW w:w="5953" w:type="dxa"/>
            <w:tcBorders>
              <w:top w:val="nil"/>
              <w:left w:val="nil"/>
              <w:bottom w:val="single" w:sz="4" w:space="0" w:color="auto"/>
              <w:right w:val="single" w:sz="4" w:space="0" w:color="auto"/>
            </w:tcBorders>
            <w:noWrap/>
            <w:vAlign w:val="center"/>
            <w:hideMark/>
          </w:tcPr>
          <w:p w14:paraId="3D9C40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BIOTEHNIŠKI IZOBRAŽEVALNI CENTER LJUBLJANA</w:t>
            </w:r>
          </w:p>
        </w:tc>
      </w:tr>
      <w:tr w:rsidR="00F24E18" w14:paraId="67156C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90AD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w:t>
            </w:r>
          </w:p>
        </w:tc>
        <w:tc>
          <w:tcPr>
            <w:tcW w:w="1300" w:type="dxa"/>
            <w:tcBorders>
              <w:top w:val="nil"/>
              <w:left w:val="nil"/>
              <w:bottom w:val="single" w:sz="4" w:space="0" w:color="auto"/>
              <w:right w:val="single" w:sz="4" w:space="0" w:color="auto"/>
            </w:tcBorders>
            <w:vAlign w:val="center"/>
            <w:hideMark/>
          </w:tcPr>
          <w:p w14:paraId="57523C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5054940000</w:t>
            </w:r>
          </w:p>
        </w:tc>
        <w:tc>
          <w:tcPr>
            <w:tcW w:w="1012" w:type="dxa"/>
            <w:tcBorders>
              <w:top w:val="nil"/>
              <w:left w:val="nil"/>
              <w:bottom w:val="single" w:sz="4" w:space="0" w:color="auto"/>
              <w:right w:val="single" w:sz="4" w:space="0" w:color="auto"/>
            </w:tcBorders>
            <w:vAlign w:val="center"/>
            <w:hideMark/>
          </w:tcPr>
          <w:p w14:paraId="08E7B7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17330246</w:t>
            </w:r>
          </w:p>
        </w:tc>
        <w:tc>
          <w:tcPr>
            <w:tcW w:w="5953" w:type="dxa"/>
            <w:tcBorders>
              <w:top w:val="nil"/>
              <w:left w:val="nil"/>
              <w:bottom w:val="single" w:sz="4" w:space="0" w:color="auto"/>
              <w:right w:val="single" w:sz="4" w:space="0" w:color="auto"/>
            </w:tcBorders>
            <w:noWrap/>
            <w:vAlign w:val="center"/>
            <w:hideMark/>
          </w:tcPr>
          <w:p w14:paraId="3C7171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BOLNIŠNICA SEŽANA</w:t>
            </w:r>
          </w:p>
        </w:tc>
      </w:tr>
      <w:tr w:rsidR="00F24E18" w14:paraId="414908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F01A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w:t>
            </w:r>
          </w:p>
        </w:tc>
        <w:tc>
          <w:tcPr>
            <w:tcW w:w="1300" w:type="dxa"/>
            <w:tcBorders>
              <w:top w:val="nil"/>
              <w:left w:val="nil"/>
              <w:bottom w:val="single" w:sz="4" w:space="0" w:color="auto"/>
              <w:right w:val="single" w:sz="4" w:space="0" w:color="auto"/>
            </w:tcBorders>
            <w:vAlign w:val="center"/>
            <w:hideMark/>
          </w:tcPr>
          <w:p w14:paraId="054216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5820570000</w:t>
            </w:r>
          </w:p>
        </w:tc>
        <w:tc>
          <w:tcPr>
            <w:tcW w:w="1012" w:type="dxa"/>
            <w:tcBorders>
              <w:top w:val="nil"/>
              <w:left w:val="nil"/>
              <w:bottom w:val="single" w:sz="4" w:space="0" w:color="auto"/>
              <w:right w:val="single" w:sz="4" w:space="0" w:color="auto"/>
            </w:tcBorders>
            <w:vAlign w:val="center"/>
            <w:hideMark/>
          </w:tcPr>
          <w:p w14:paraId="537648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64971635</w:t>
            </w:r>
          </w:p>
        </w:tc>
        <w:tc>
          <w:tcPr>
            <w:tcW w:w="5953" w:type="dxa"/>
            <w:tcBorders>
              <w:top w:val="nil"/>
              <w:left w:val="nil"/>
              <w:bottom w:val="single" w:sz="4" w:space="0" w:color="auto"/>
              <w:right w:val="single" w:sz="4" w:space="0" w:color="auto"/>
            </w:tcBorders>
            <w:noWrap/>
            <w:vAlign w:val="center"/>
            <w:hideMark/>
          </w:tcPr>
          <w:p w14:paraId="7BD1F8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BOLNIŠNICA TOPOLŠICA</w:t>
            </w:r>
          </w:p>
        </w:tc>
      </w:tr>
      <w:tr w:rsidR="00F24E18" w14:paraId="17F8B32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D053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w:t>
            </w:r>
          </w:p>
        </w:tc>
        <w:tc>
          <w:tcPr>
            <w:tcW w:w="1300" w:type="dxa"/>
            <w:tcBorders>
              <w:top w:val="nil"/>
              <w:left w:val="nil"/>
              <w:bottom w:val="single" w:sz="4" w:space="0" w:color="auto"/>
              <w:right w:val="single" w:sz="4" w:space="0" w:color="auto"/>
            </w:tcBorders>
            <w:vAlign w:val="center"/>
            <w:hideMark/>
          </w:tcPr>
          <w:p w14:paraId="381E6F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5053820000</w:t>
            </w:r>
          </w:p>
        </w:tc>
        <w:tc>
          <w:tcPr>
            <w:tcW w:w="1012" w:type="dxa"/>
            <w:tcBorders>
              <w:top w:val="nil"/>
              <w:left w:val="nil"/>
              <w:bottom w:val="single" w:sz="4" w:space="0" w:color="auto"/>
              <w:right w:val="single" w:sz="4" w:space="0" w:color="auto"/>
            </w:tcBorders>
            <w:vAlign w:val="center"/>
            <w:hideMark/>
          </w:tcPr>
          <w:p w14:paraId="0296D4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41851455</w:t>
            </w:r>
          </w:p>
        </w:tc>
        <w:tc>
          <w:tcPr>
            <w:tcW w:w="5953" w:type="dxa"/>
            <w:tcBorders>
              <w:top w:val="nil"/>
              <w:left w:val="nil"/>
              <w:bottom w:val="single" w:sz="4" w:space="0" w:color="auto"/>
              <w:right w:val="single" w:sz="4" w:space="0" w:color="auto"/>
            </w:tcBorders>
            <w:noWrap/>
            <w:vAlign w:val="center"/>
            <w:hideMark/>
          </w:tcPr>
          <w:p w14:paraId="6F512B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BOLNIŠNICA ZA GINEKOLOGIJO IN PORODNIŠTVO KRANJ</w:t>
            </w:r>
          </w:p>
        </w:tc>
      </w:tr>
      <w:tr w:rsidR="00F24E18" w14:paraId="703C98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FDA4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w:t>
            </w:r>
          </w:p>
        </w:tc>
        <w:tc>
          <w:tcPr>
            <w:tcW w:w="1300" w:type="dxa"/>
            <w:tcBorders>
              <w:top w:val="nil"/>
              <w:left w:val="nil"/>
              <w:bottom w:val="single" w:sz="4" w:space="0" w:color="auto"/>
              <w:right w:val="single" w:sz="4" w:space="0" w:color="auto"/>
            </w:tcBorders>
            <w:vAlign w:val="center"/>
            <w:hideMark/>
          </w:tcPr>
          <w:p w14:paraId="2F8A77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5053650000</w:t>
            </w:r>
          </w:p>
        </w:tc>
        <w:tc>
          <w:tcPr>
            <w:tcW w:w="1012" w:type="dxa"/>
            <w:tcBorders>
              <w:top w:val="nil"/>
              <w:left w:val="nil"/>
              <w:bottom w:val="single" w:sz="4" w:space="0" w:color="auto"/>
              <w:right w:val="single" w:sz="4" w:space="0" w:color="auto"/>
            </w:tcBorders>
            <w:vAlign w:val="center"/>
            <w:hideMark/>
          </w:tcPr>
          <w:p w14:paraId="6E1B78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59445475</w:t>
            </w:r>
          </w:p>
        </w:tc>
        <w:tc>
          <w:tcPr>
            <w:tcW w:w="5953" w:type="dxa"/>
            <w:tcBorders>
              <w:top w:val="nil"/>
              <w:left w:val="nil"/>
              <w:bottom w:val="single" w:sz="4" w:space="0" w:color="auto"/>
              <w:right w:val="single" w:sz="4" w:space="0" w:color="auto"/>
            </w:tcBorders>
            <w:noWrap/>
            <w:vAlign w:val="center"/>
            <w:hideMark/>
          </w:tcPr>
          <w:p w14:paraId="2ED9AF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BOLNIŠNICA ZA OTROKE ŠENTVID PRI STIČNI</w:t>
            </w:r>
          </w:p>
        </w:tc>
      </w:tr>
      <w:tr w:rsidR="00F24E18" w14:paraId="16A1D5F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A086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w:t>
            </w:r>
          </w:p>
        </w:tc>
        <w:tc>
          <w:tcPr>
            <w:tcW w:w="1300" w:type="dxa"/>
            <w:tcBorders>
              <w:top w:val="nil"/>
              <w:left w:val="nil"/>
              <w:bottom w:val="single" w:sz="4" w:space="0" w:color="auto"/>
              <w:right w:val="single" w:sz="4" w:space="0" w:color="auto"/>
            </w:tcBorders>
            <w:noWrap/>
            <w:vAlign w:val="center"/>
            <w:hideMark/>
          </w:tcPr>
          <w:p w14:paraId="2C438E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5779197000</w:t>
            </w:r>
          </w:p>
        </w:tc>
        <w:tc>
          <w:tcPr>
            <w:tcW w:w="1012" w:type="dxa"/>
            <w:tcBorders>
              <w:top w:val="nil"/>
              <w:left w:val="nil"/>
              <w:bottom w:val="single" w:sz="4" w:space="0" w:color="auto"/>
              <w:right w:val="single" w:sz="4" w:space="0" w:color="auto"/>
            </w:tcBorders>
            <w:noWrap/>
            <w:vAlign w:val="center"/>
            <w:hideMark/>
          </w:tcPr>
          <w:p w14:paraId="36B895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44498403</w:t>
            </w:r>
          </w:p>
        </w:tc>
        <w:tc>
          <w:tcPr>
            <w:tcW w:w="5953" w:type="dxa"/>
            <w:tcBorders>
              <w:top w:val="nil"/>
              <w:left w:val="nil"/>
              <w:bottom w:val="single" w:sz="4" w:space="0" w:color="auto"/>
              <w:right w:val="single" w:sz="4" w:space="0" w:color="auto"/>
            </w:tcBorders>
            <w:noWrap/>
            <w:vAlign w:val="center"/>
            <w:hideMark/>
          </w:tcPr>
          <w:p w14:paraId="62594B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BOLNIŠNICA ZA ŽENSKE BOLEZNI IN PORODNIŠTVO POSTOJNA</w:t>
            </w:r>
          </w:p>
        </w:tc>
      </w:tr>
      <w:tr w:rsidR="00F24E18" w14:paraId="5FC4337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9967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w:t>
            </w:r>
          </w:p>
        </w:tc>
        <w:tc>
          <w:tcPr>
            <w:tcW w:w="1300" w:type="dxa"/>
            <w:tcBorders>
              <w:top w:val="nil"/>
              <w:left w:val="nil"/>
              <w:bottom w:val="single" w:sz="4" w:space="0" w:color="auto"/>
              <w:right w:val="single" w:sz="4" w:space="0" w:color="auto"/>
            </w:tcBorders>
            <w:vAlign w:val="center"/>
            <w:hideMark/>
          </w:tcPr>
          <w:p w14:paraId="6D2B2B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1613383000</w:t>
            </w:r>
          </w:p>
        </w:tc>
        <w:tc>
          <w:tcPr>
            <w:tcW w:w="1012" w:type="dxa"/>
            <w:tcBorders>
              <w:top w:val="nil"/>
              <w:left w:val="nil"/>
              <w:bottom w:val="single" w:sz="4" w:space="0" w:color="auto"/>
              <w:right w:val="single" w:sz="4" w:space="0" w:color="auto"/>
            </w:tcBorders>
            <w:vAlign w:val="center"/>
            <w:hideMark/>
          </w:tcPr>
          <w:p w14:paraId="2C3529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27799468</w:t>
            </w:r>
          </w:p>
        </w:tc>
        <w:tc>
          <w:tcPr>
            <w:tcW w:w="5953" w:type="dxa"/>
            <w:tcBorders>
              <w:top w:val="nil"/>
              <w:left w:val="nil"/>
              <w:bottom w:val="single" w:sz="4" w:space="0" w:color="auto"/>
              <w:right w:val="single" w:sz="4" w:space="0" w:color="auto"/>
            </w:tcBorders>
            <w:noWrap/>
            <w:vAlign w:val="center"/>
            <w:hideMark/>
          </w:tcPr>
          <w:p w14:paraId="0E75FE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BORZEN, OPERATER TRGA Z ELEKTRIKO, D. O. O.</w:t>
            </w:r>
          </w:p>
        </w:tc>
      </w:tr>
      <w:tr w:rsidR="00F24E18" w14:paraId="64018E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F7F4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w:t>
            </w:r>
          </w:p>
        </w:tc>
        <w:tc>
          <w:tcPr>
            <w:tcW w:w="1300" w:type="dxa"/>
            <w:tcBorders>
              <w:top w:val="nil"/>
              <w:left w:val="nil"/>
              <w:bottom w:val="single" w:sz="4" w:space="0" w:color="auto"/>
              <w:right w:val="single" w:sz="4" w:space="0" w:color="auto"/>
            </w:tcBorders>
            <w:vAlign w:val="center"/>
            <w:hideMark/>
          </w:tcPr>
          <w:p w14:paraId="376759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5891019000</w:t>
            </w:r>
          </w:p>
        </w:tc>
        <w:tc>
          <w:tcPr>
            <w:tcW w:w="1012" w:type="dxa"/>
            <w:tcBorders>
              <w:top w:val="nil"/>
              <w:left w:val="nil"/>
              <w:bottom w:val="single" w:sz="4" w:space="0" w:color="auto"/>
              <w:right w:val="single" w:sz="4" w:space="0" w:color="auto"/>
            </w:tcBorders>
            <w:vAlign w:val="center"/>
            <w:hideMark/>
          </w:tcPr>
          <w:p w14:paraId="12E9ED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32865597</w:t>
            </w:r>
          </w:p>
        </w:tc>
        <w:tc>
          <w:tcPr>
            <w:tcW w:w="5953" w:type="dxa"/>
            <w:tcBorders>
              <w:top w:val="nil"/>
              <w:left w:val="nil"/>
              <w:bottom w:val="single" w:sz="4" w:space="0" w:color="auto"/>
              <w:right w:val="single" w:sz="4" w:space="0" w:color="auto"/>
            </w:tcBorders>
            <w:noWrap/>
            <w:vAlign w:val="center"/>
            <w:hideMark/>
          </w:tcPr>
          <w:p w14:paraId="33411C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BSC, POSLOVNO PODPORNI CENTER, D.O.O., KRANJ</w:t>
            </w:r>
          </w:p>
        </w:tc>
      </w:tr>
      <w:tr w:rsidR="00F24E18" w14:paraId="0E0533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CA12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w:t>
            </w:r>
          </w:p>
        </w:tc>
        <w:tc>
          <w:tcPr>
            <w:tcW w:w="1300" w:type="dxa"/>
            <w:tcBorders>
              <w:top w:val="nil"/>
              <w:left w:val="nil"/>
              <w:bottom w:val="single" w:sz="4" w:space="0" w:color="auto"/>
              <w:right w:val="single" w:sz="4" w:space="0" w:color="auto"/>
            </w:tcBorders>
            <w:vAlign w:val="center"/>
            <w:hideMark/>
          </w:tcPr>
          <w:p w14:paraId="252278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5099471000</w:t>
            </w:r>
          </w:p>
        </w:tc>
        <w:tc>
          <w:tcPr>
            <w:tcW w:w="1012" w:type="dxa"/>
            <w:tcBorders>
              <w:top w:val="nil"/>
              <w:left w:val="nil"/>
              <w:bottom w:val="single" w:sz="4" w:space="0" w:color="auto"/>
              <w:right w:val="single" w:sz="4" w:space="0" w:color="auto"/>
            </w:tcBorders>
            <w:vAlign w:val="center"/>
            <w:hideMark/>
          </w:tcPr>
          <w:p w14:paraId="366EE3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27164136</w:t>
            </w:r>
          </w:p>
        </w:tc>
        <w:tc>
          <w:tcPr>
            <w:tcW w:w="5953" w:type="dxa"/>
            <w:tcBorders>
              <w:top w:val="nil"/>
              <w:left w:val="nil"/>
              <w:bottom w:val="single" w:sz="4" w:space="0" w:color="auto"/>
              <w:right w:val="single" w:sz="4" w:space="0" w:color="auto"/>
            </w:tcBorders>
            <w:noWrap/>
            <w:vAlign w:val="center"/>
            <w:hideMark/>
          </w:tcPr>
          <w:p w14:paraId="571CFC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CANKARJEV DOM, KULTURNI IN KONGRESNI CENTER</w:t>
            </w:r>
          </w:p>
        </w:tc>
      </w:tr>
      <w:tr w:rsidR="00F24E18" w14:paraId="5E0F48A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82A9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w:t>
            </w:r>
          </w:p>
        </w:tc>
        <w:tc>
          <w:tcPr>
            <w:tcW w:w="1300" w:type="dxa"/>
            <w:tcBorders>
              <w:top w:val="nil"/>
              <w:left w:val="nil"/>
              <w:bottom w:val="single" w:sz="4" w:space="0" w:color="auto"/>
              <w:right w:val="single" w:sz="4" w:space="0" w:color="auto"/>
            </w:tcBorders>
            <w:noWrap/>
            <w:vAlign w:val="center"/>
            <w:hideMark/>
          </w:tcPr>
          <w:p w14:paraId="47B9AB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5052394000</w:t>
            </w:r>
          </w:p>
        </w:tc>
        <w:tc>
          <w:tcPr>
            <w:tcW w:w="1012" w:type="dxa"/>
            <w:tcBorders>
              <w:top w:val="nil"/>
              <w:left w:val="nil"/>
              <w:bottom w:val="single" w:sz="4" w:space="0" w:color="auto"/>
              <w:right w:val="single" w:sz="4" w:space="0" w:color="auto"/>
            </w:tcBorders>
            <w:noWrap/>
            <w:vAlign w:val="center"/>
            <w:hideMark/>
          </w:tcPr>
          <w:p w14:paraId="390132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33782067</w:t>
            </w:r>
          </w:p>
        </w:tc>
        <w:tc>
          <w:tcPr>
            <w:tcW w:w="5953" w:type="dxa"/>
            <w:tcBorders>
              <w:top w:val="nil"/>
              <w:left w:val="nil"/>
              <w:bottom w:val="single" w:sz="4" w:space="0" w:color="auto"/>
              <w:right w:val="single" w:sz="4" w:space="0" w:color="auto"/>
            </w:tcBorders>
            <w:noWrap/>
            <w:vAlign w:val="center"/>
            <w:hideMark/>
          </w:tcPr>
          <w:p w14:paraId="7DEF3D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CANKARJEVA KNJIŽNICA VRHNIKA</w:t>
            </w:r>
          </w:p>
        </w:tc>
      </w:tr>
      <w:tr w:rsidR="00F24E18" w14:paraId="0DA9141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620F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w:t>
            </w:r>
          </w:p>
        </w:tc>
        <w:tc>
          <w:tcPr>
            <w:tcW w:w="1300" w:type="dxa"/>
            <w:tcBorders>
              <w:top w:val="nil"/>
              <w:left w:val="nil"/>
              <w:bottom w:val="single" w:sz="4" w:space="0" w:color="auto"/>
              <w:right w:val="single" w:sz="4" w:space="0" w:color="auto"/>
            </w:tcBorders>
            <w:vAlign w:val="center"/>
            <w:hideMark/>
          </w:tcPr>
          <w:p w14:paraId="4BE623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5053617000</w:t>
            </w:r>
          </w:p>
        </w:tc>
        <w:tc>
          <w:tcPr>
            <w:tcW w:w="1012" w:type="dxa"/>
            <w:tcBorders>
              <w:top w:val="nil"/>
              <w:left w:val="nil"/>
              <w:bottom w:val="single" w:sz="4" w:space="0" w:color="auto"/>
              <w:right w:val="single" w:sz="4" w:space="0" w:color="auto"/>
            </w:tcBorders>
            <w:vAlign w:val="center"/>
            <w:hideMark/>
          </w:tcPr>
          <w:p w14:paraId="56EECD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96612401</w:t>
            </w:r>
          </w:p>
        </w:tc>
        <w:tc>
          <w:tcPr>
            <w:tcW w:w="5953" w:type="dxa"/>
            <w:tcBorders>
              <w:top w:val="nil"/>
              <w:left w:val="nil"/>
              <w:bottom w:val="single" w:sz="4" w:space="0" w:color="auto"/>
              <w:right w:val="single" w:sz="4" w:space="0" w:color="auto"/>
            </w:tcBorders>
            <w:noWrap/>
            <w:vAlign w:val="center"/>
            <w:hideMark/>
          </w:tcPr>
          <w:p w14:paraId="223CB2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CELJSKE LEKARNE JAVNI LEKARNIŠKI ZAVOD</w:t>
            </w:r>
          </w:p>
        </w:tc>
      </w:tr>
      <w:tr w:rsidR="00F24E18" w14:paraId="4A82E5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73FE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w:t>
            </w:r>
          </w:p>
        </w:tc>
        <w:tc>
          <w:tcPr>
            <w:tcW w:w="1300" w:type="dxa"/>
            <w:tcBorders>
              <w:top w:val="nil"/>
              <w:left w:val="nil"/>
              <w:bottom w:val="single" w:sz="4" w:space="0" w:color="auto"/>
              <w:right w:val="single" w:sz="4" w:space="0" w:color="auto"/>
            </w:tcBorders>
            <w:noWrap/>
            <w:vAlign w:val="center"/>
            <w:hideMark/>
          </w:tcPr>
          <w:p w14:paraId="3F06FA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2024675000</w:t>
            </w:r>
          </w:p>
        </w:tc>
        <w:tc>
          <w:tcPr>
            <w:tcW w:w="1012" w:type="dxa"/>
            <w:tcBorders>
              <w:top w:val="nil"/>
              <w:left w:val="nil"/>
              <w:bottom w:val="single" w:sz="4" w:space="0" w:color="auto"/>
              <w:right w:val="single" w:sz="4" w:space="0" w:color="auto"/>
            </w:tcBorders>
            <w:noWrap/>
            <w:vAlign w:val="center"/>
            <w:hideMark/>
          </w:tcPr>
          <w:p w14:paraId="09C8A4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93902662</w:t>
            </w:r>
          </w:p>
        </w:tc>
        <w:tc>
          <w:tcPr>
            <w:tcW w:w="5953" w:type="dxa"/>
            <w:tcBorders>
              <w:top w:val="nil"/>
              <w:left w:val="nil"/>
              <w:bottom w:val="single" w:sz="4" w:space="0" w:color="auto"/>
              <w:right w:val="single" w:sz="4" w:space="0" w:color="auto"/>
            </w:tcBorders>
            <w:noWrap/>
            <w:vAlign w:val="center"/>
            <w:hideMark/>
          </w:tcPr>
          <w:p w14:paraId="714DA3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CELJSKI MLADINSKI CENTER, JAVNI ZAVOD ZA MLADINSKO KULTURO, IZOBRAŽEVANJE, INFORMIRANJE IN ŠPORT</w:t>
            </w:r>
          </w:p>
        </w:tc>
      </w:tr>
      <w:tr w:rsidR="00F24E18" w14:paraId="7E7EAF4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9967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w:t>
            </w:r>
          </w:p>
        </w:tc>
        <w:tc>
          <w:tcPr>
            <w:tcW w:w="1300" w:type="dxa"/>
            <w:tcBorders>
              <w:top w:val="nil"/>
              <w:left w:val="nil"/>
              <w:bottom w:val="single" w:sz="4" w:space="0" w:color="auto"/>
              <w:right w:val="single" w:sz="4" w:space="0" w:color="auto"/>
            </w:tcBorders>
            <w:vAlign w:val="center"/>
            <w:hideMark/>
          </w:tcPr>
          <w:p w14:paraId="0A2C51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1833006000</w:t>
            </w:r>
          </w:p>
        </w:tc>
        <w:tc>
          <w:tcPr>
            <w:tcW w:w="1012" w:type="dxa"/>
            <w:tcBorders>
              <w:top w:val="nil"/>
              <w:left w:val="nil"/>
              <w:bottom w:val="single" w:sz="4" w:space="0" w:color="auto"/>
              <w:right w:val="single" w:sz="4" w:space="0" w:color="auto"/>
            </w:tcBorders>
            <w:vAlign w:val="center"/>
            <w:hideMark/>
          </w:tcPr>
          <w:p w14:paraId="6144AD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33171629</w:t>
            </w:r>
          </w:p>
        </w:tc>
        <w:tc>
          <w:tcPr>
            <w:tcW w:w="5953" w:type="dxa"/>
            <w:tcBorders>
              <w:top w:val="nil"/>
              <w:left w:val="nil"/>
              <w:bottom w:val="single" w:sz="4" w:space="0" w:color="auto"/>
              <w:right w:val="single" w:sz="4" w:space="0" w:color="auto"/>
            </w:tcBorders>
            <w:noWrap/>
            <w:vAlign w:val="center"/>
            <w:hideMark/>
          </w:tcPr>
          <w:p w14:paraId="22C519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REPUBLIKE SLOVENIJE ZA MOBILNOST IN EVROPSKE PROGRAME IZOBRAŽEVANJA IN USPOSABLJANJA</w:t>
            </w:r>
          </w:p>
        </w:tc>
      </w:tr>
      <w:tr w:rsidR="00F24E18" w14:paraId="1C77CD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16BE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w:t>
            </w:r>
          </w:p>
        </w:tc>
        <w:tc>
          <w:tcPr>
            <w:tcW w:w="1300" w:type="dxa"/>
            <w:tcBorders>
              <w:top w:val="nil"/>
              <w:left w:val="nil"/>
              <w:bottom w:val="single" w:sz="4" w:space="0" w:color="auto"/>
              <w:right w:val="single" w:sz="4" w:space="0" w:color="auto"/>
            </w:tcBorders>
            <w:vAlign w:val="center"/>
            <w:hideMark/>
          </w:tcPr>
          <w:p w14:paraId="4C9496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5910668000</w:t>
            </w:r>
          </w:p>
        </w:tc>
        <w:tc>
          <w:tcPr>
            <w:tcW w:w="1012" w:type="dxa"/>
            <w:tcBorders>
              <w:top w:val="nil"/>
              <w:left w:val="nil"/>
              <w:bottom w:val="single" w:sz="4" w:space="0" w:color="auto"/>
              <w:right w:val="single" w:sz="4" w:space="0" w:color="auto"/>
            </w:tcBorders>
            <w:vAlign w:val="center"/>
            <w:hideMark/>
          </w:tcPr>
          <w:p w14:paraId="7B6033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44648537</w:t>
            </w:r>
          </w:p>
        </w:tc>
        <w:tc>
          <w:tcPr>
            <w:tcW w:w="5953" w:type="dxa"/>
            <w:tcBorders>
              <w:top w:val="nil"/>
              <w:left w:val="nil"/>
              <w:bottom w:val="single" w:sz="4" w:space="0" w:color="auto"/>
              <w:right w:val="single" w:sz="4" w:space="0" w:color="auto"/>
            </w:tcBorders>
            <w:noWrap/>
            <w:vAlign w:val="center"/>
            <w:hideMark/>
          </w:tcPr>
          <w:p w14:paraId="34AE44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REPUBLIKE SLOVENIJE ZA POKLICNO IZOBRAŽEVANJE</w:t>
            </w:r>
          </w:p>
        </w:tc>
      </w:tr>
      <w:tr w:rsidR="00F24E18" w14:paraId="66F87CC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192D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w:t>
            </w:r>
          </w:p>
        </w:tc>
        <w:tc>
          <w:tcPr>
            <w:tcW w:w="1300" w:type="dxa"/>
            <w:tcBorders>
              <w:top w:val="nil"/>
              <w:left w:val="nil"/>
              <w:bottom w:val="single" w:sz="4" w:space="0" w:color="auto"/>
              <w:right w:val="single" w:sz="4" w:space="0" w:color="auto"/>
            </w:tcBorders>
            <w:noWrap/>
            <w:vAlign w:val="center"/>
            <w:hideMark/>
          </w:tcPr>
          <w:p w14:paraId="4FE8CE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5050715000</w:t>
            </w:r>
          </w:p>
        </w:tc>
        <w:tc>
          <w:tcPr>
            <w:tcW w:w="1012" w:type="dxa"/>
            <w:tcBorders>
              <w:top w:val="nil"/>
              <w:left w:val="nil"/>
              <w:bottom w:val="single" w:sz="4" w:space="0" w:color="auto"/>
              <w:right w:val="single" w:sz="4" w:space="0" w:color="auto"/>
            </w:tcBorders>
            <w:noWrap/>
            <w:vAlign w:val="center"/>
            <w:hideMark/>
          </w:tcPr>
          <w:p w14:paraId="314058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30350611</w:t>
            </w:r>
          </w:p>
        </w:tc>
        <w:tc>
          <w:tcPr>
            <w:tcW w:w="5953" w:type="dxa"/>
            <w:tcBorders>
              <w:top w:val="nil"/>
              <w:left w:val="nil"/>
              <w:bottom w:val="single" w:sz="4" w:space="0" w:color="auto"/>
              <w:right w:val="single" w:sz="4" w:space="0" w:color="auto"/>
            </w:tcBorders>
            <w:noWrap/>
            <w:vAlign w:val="center"/>
            <w:hideMark/>
          </w:tcPr>
          <w:p w14:paraId="0C9263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SLEPIH, SLABOVIDNIH IN STAREJŠIH ŠKOFJA LOKA</w:t>
            </w:r>
          </w:p>
        </w:tc>
      </w:tr>
      <w:tr w:rsidR="00F24E18" w14:paraId="3A500C0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D6D4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w:t>
            </w:r>
          </w:p>
        </w:tc>
        <w:tc>
          <w:tcPr>
            <w:tcW w:w="1300" w:type="dxa"/>
            <w:tcBorders>
              <w:top w:val="nil"/>
              <w:left w:val="nil"/>
              <w:bottom w:val="single" w:sz="4" w:space="0" w:color="auto"/>
              <w:right w:val="single" w:sz="4" w:space="0" w:color="auto"/>
            </w:tcBorders>
            <w:vAlign w:val="center"/>
            <w:hideMark/>
          </w:tcPr>
          <w:p w14:paraId="7DA8CA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5671221000</w:t>
            </w:r>
          </w:p>
        </w:tc>
        <w:tc>
          <w:tcPr>
            <w:tcW w:w="1012" w:type="dxa"/>
            <w:tcBorders>
              <w:top w:val="nil"/>
              <w:left w:val="nil"/>
              <w:bottom w:val="single" w:sz="4" w:space="0" w:color="auto"/>
              <w:right w:val="single" w:sz="4" w:space="0" w:color="auto"/>
            </w:tcBorders>
            <w:vAlign w:val="center"/>
            <w:hideMark/>
          </w:tcPr>
          <w:p w14:paraId="4F736D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89446046</w:t>
            </w:r>
          </w:p>
        </w:tc>
        <w:tc>
          <w:tcPr>
            <w:tcW w:w="5953" w:type="dxa"/>
            <w:tcBorders>
              <w:top w:val="nil"/>
              <w:left w:val="nil"/>
              <w:bottom w:val="single" w:sz="4" w:space="0" w:color="auto"/>
              <w:right w:val="single" w:sz="4" w:space="0" w:color="auto"/>
            </w:tcBorders>
            <w:noWrap/>
            <w:vAlign w:val="center"/>
            <w:hideMark/>
          </w:tcPr>
          <w:p w14:paraId="1A3D3C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ŠOLSKIH IN OBŠOLSKIH DEJAVNOSTI</w:t>
            </w:r>
          </w:p>
        </w:tc>
      </w:tr>
      <w:tr w:rsidR="00F24E18" w14:paraId="4B2819F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EB56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w:t>
            </w:r>
          </w:p>
        </w:tc>
        <w:tc>
          <w:tcPr>
            <w:tcW w:w="1300" w:type="dxa"/>
            <w:tcBorders>
              <w:top w:val="nil"/>
              <w:left w:val="nil"/>
              <w:bottom w:val="single" w:sz="4" w:space="0" w:color="auto"/>
              <w:right w:val="single" w:sz="4" w:space="0" w:color="auto"/>
            </w:tcBorders>
            <w:vAlign w:val="center"/>
            <w:hideMark/>
          </w:tcPr>
          <w:p w14:paraId="7E5F1E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3313069000</w:t>
            </w:r>
          </w:p>
        </w:tc>
        <w:tc>
          <w:tcPr>
            <w:tcW w:w="1012" w:type="dxa"/>
            <w:tcBorders>
              <w:top w:val="nil"/>
              <w:left w:val="nil"/>
              <w:bottom w:val="single" w:sz="4" w:space="0" w:color="auto"/>
              <w:right w:val="single" w:sz="4" w:space="0" w:color="auto"/>
            </w:tcBorders>
            <w:vAlign w:val="center"/>
            <w:hideMark/>
          </w:tcPr>
          <w:p w14:paraId="222EDB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58809015</w:t>
            </w:r>
          </w:p>
        </w:tc>
        <w:tc>
          <w:tcPr>
            <w:tcW w:w="5953" w:type="dxa"/>
            <w:tcBorders>
              <w:top w:val="nil"/>
              <w:left w:val="nil"/>
              <w:bottom w:val="single" w:sz="4" w:space="0" w:color="auto"/>
              <w:right w:val="single" w:sz="4" w:space="0" w:color="auto"/>
            </w:tcBorders>
            <w:noWrap/>
            <w:vAlign w:val="center"/>
            <w:hideMark/>
          </w:tcPr>
          <w:p w14:paraId="7A9542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URBANE KULTURE KINO ŠIŠKA</w:t>
            </w:r>
          </w:p>
        </w:tc>
      </w:tr>
      <w:tr w:rsidR="00F24E18" w14:paraId="2EC0361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789E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w:t>
            </w:r>
          </w:p>
        </w:tc>
        <w:tc>
          <w:tcPr>
            <w:tcW w:w="1300" w:type="dxa"/>
            <w:tcBorders>
              <w:top w:val="nil"/>
              <w:left w:val="nil"/>
              <w:bottom w:val="single" w:sz="4" w:space="0" w:color="auto"/>
              <w:right w:val="single" w:sz="4" w:space="0" w:color="auto"/>
            </w:tcBorders>
            <w:noWrap/>
            <w:vAlign w:val="center"/>
            <w:hideMark/>
          </w:tcPr>
          <w:p w14:paraId="1A76AD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6558615000</w:t>
            </w:r>
          </w:p>
        </w:tc>
        <w:tc>
          <w:tcPr>
            <w:tcW w:w="1012" w:type="dxa"/>
            <w:tcBorders>
              <w:top w:val="nil"/>
              <w:left w:val="nil"/>
              <w:bottom w:val="single" w:sz="4" w:space="0" w:color="auto"/>
              <w:right w:val="single" w:sz="4" w:space="0" w:color="auto"/>
            </w:tcBorders>
            <w:noWrap/>
            <w:vAlign w:val="center"/>
            <w:hideMark/>
          </w:tcPr>
          <w:p w14:paraId="55D92D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17102740</w:t>
            </w:r>
          </w:p>
        </w:tc>
        <w:tc>
          <w:tcPr>
            <w:tcW w:w="5953" w:type="dxa"/>
            <w:tcBorders>
              <w:top w:val="nil"/>
              <w:left w:val="nil"/>
              <w:bottom w:val="single" w:sz="4" w:space="0" w:color="auto"/>
              <w:right w:val="single" w:sz="4" w:space="0" w:color="auto"/>
            </w:tcBorders>
            <w:noWrap/>
            <w:vAlign w:val="center"/>
            <w:hideMark/>
          </w:tcPr>
          <w:p w14:paraId="07B466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VESOLJSKIH TEHNOLOGIJ HERMANA POTOČNIKA NOORDUNGA</w:t>
            </w:r>
          </w:p>
        </w:tc>
      </w:tr>
      <w:tr w:rsidR="00F24E18" w14:paraId="2ECA136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E812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40</w:t>
            </w:r>
          </w:p>
        </w:tc>
        <w:tc>
          <w:tcPr>
            <w:tcW w:w="1300" w:type="dxa"/>
            <w:tcBorders>
              <w:top w:val="nil"/>
              <w:left w:val="nil"/>
              <w:bottom w:val="single" w:sz="4" w:space="0" w:color="auto"/>
              <w:right w:val="single" w:sz="4" w:space="0" w:color="auto"/>
            </w:tcBorders>
            <w:noWrap/>
            <w:vAlign w:val="center"/>
            <w:hideMark/>
          </w:tcPr>
          <w:p w14:paraId="481DAC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5269547000</w:t>
            </w:r>
          </w:p>
        </w:tc>
        <w:tc>
          <w:tcPr>
            <w:tcW w:w="1012" w:type="dxa"/>
            <w:tcBorders>
              <w:top w:val="nil"/>
              <w:left w:val="nil"/>
              <w:bottom w:val="single" w:sz="4" w:space="0" w:color="auto"/>
              <w:right w:val="single" w:sz="4" w:space="0" w:color="auto"/>
            </w:tcBorders>
            <w:noWrap/>
            <w:vAlign w:val="center"/>
            <w:hideMark/>
          </w:tcPr>
          <w:p w14:paraId="35614B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94367531</w:t>
            </w:r>
          </w:p>
        </w:tc>
        <w:tc>
          <w:tcPr>
            <w:tcW w:w="5953" w:type="dxa"/>
            <w:tcBorders>
              <w:top w:val="nil"/>
              <w:left w:val="nil"/>
              <w:bottom w:val="single" w:sz="4" w:space="0" w:color="auto"/>
              <w:right w:val="single" w:sz="4" w:space="0" w:color="auto"/>
            </w:tcBorders>
            <w:noWrap/>
            <w:vAlign w:val="center"/>
            <w:hideMark/>
          </w:tcPr>
          <w:p w14:paraId="708EBB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DOPISNO IZOBRAŽEVANJE UNIVERZUM</w:t>
            </w:r>
          </w:p>
        </w:tc>
      </w:tr>
      <w:tr w:rsidR="00F24E18" w14:paraId="5D1892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575C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w:t>
            </w:r>
          </w:p>
        </w:tc>
        <w:tc>
          <w:tcPr>
            <w:tcW w:w="1300" w:type="dxa"/>
            <w:tcBorders>
              <w:top w:val="nil"/>
              <w:left w:val="nil"/>
              <w:bottom w:val="single" w:sz="4" w:space="0" w:color="auto"/>
              <w:right w:val="single" w:sz="4" w:space="0" w:color="auto"/>
            </w:tcBorders>
            <w:noWrap/>
            <w:vAlign w:val="center"/>
            <w:hideMark/>
          </w:tcPr>
          <w:p w14:paraId="4771DA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5102332000</w:t>
            </w:r>
          </w:p>
        </w:tc>
        <w:tc>
          <w:tcPr>
            <w:tcW w:w="1012" w:type="dxa"/>
            <w:tcBorders>
              <w:top w:val="nil"/>
              <w:left w:val="nil"/>
              <w:bottom w:val="single" w:sz="4" w:space="0" w:color="auto"/>
              <w:right w:val="single" w:sz="4" w:space="0" w:color="auto"/>
            </w:tcBorders>
            <w:noWrap/>
            <w:vAlign w:val="center"/>
            <w:hideMark/>
          </w:tcPr>
          <w:p w14:paraId="75C9BA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32185782</w:t>
            </w:r>
          </w:p>
        </w:tc>
        <w:tc>
          <w:tcPr>
            <w:tcW w:w="5953" w:type="dxa"/>
            <w:tcBorders>
              <w:top w:val="nil"/>
              <w:left w:val="nil"/>
              <w:bottom w:val="single" w:sz="4" w:space="0" w:color="auto"/>
              <w:right w:val="single" w:sz="4" w:space="0" w:color="auto"/>
            </w:tcBorders>
            <w:noWrap/>
            <w:vAlign w:val="center"/>
            <w:hideMark/>
          </w:tcPr>
          <w:p w14:paraId="5711B3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IZOBRAŽEVANJE IN KULTURO TREBNJE</w:t>
            </w:r>
          </w:p>
        </w:tc>
      </w:tr>
      <w:tr w:rsidR="00F24E18" w14:paraId="16188A8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A8BB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w:t>
            </w:r>
          </w:p>
        </w:tc>
        <w:tc>
          <w:tcPr>
            <w:tcW w:w="1300" w:type="dxa"/>
            <w:tcBorders>
              <w:top w:val="nil"/>
              <w:left w:val="nil"/>
              <w:bottom w:val="single" w:sz="4" w:space="0" w:color="auto"/>
              <w:right w:val="single" w:sz="4" w:space="0" w:color="auto"/>
            </w:tcBorders>
            <w:vAlign w:val="center"/>
            <w:hideMark/>
          </w:tcPr>
          <w:p w14:paraId="6E2CB8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5049768000</w:t>
            </w:r>
          </w:p>
        </w:tc>
        <w:tc>
          <w:tcPr>
            <w:tcW w:w="1012" w:type="dxa"/>
            <w:tcBorders>
              <w:top w:val="nil"/>
              <w:left w:val="nil"/>
              <w:bottom w:val="single" w:sz="4" w:space="0" w:color="auto"/>
              <w:right w:val="single" w:sz="4" w:space="0" w:color="auto"/>
            </w:tcBorders>
            <w:vAlign w:val="center"/>
            <w:hideMark/>
          </w:tcPr>
          <w:p w14:paraId="44BDFB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99621053</w:t>
            </w:r>
          </w:p>
        </w:tc>
        <w:tc>
          <w:tcPr>
            <w:tcW w:w="5953" w:type="dxa"/>
            <w:tcBorders>
              <w:top w:val="nil"/>
              <w:left w:val="nil"/>
              <w:bottom w:val="single" w:sz="4" w:space="0" w:color="auto"/>
              <w:right w:val="single" w:sz="4" w:space="0" w:color="auto"/>
            </w:tcBorders>
            <w:noWrap/>
            <w:vAlign w:val="center"/>
            <w:hideMark/>
          </w:tcPr>
          <w:p w14:paraId="477607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IZOBRAŽEVANJE, REHABILITACIJO IN USPOSABLJANJE KAMNIK</w:t>
            </w:r>
          </w:p>
        </w:tc>
      </w:tr>
      <w:tr w:rsidR="00F24E18" w14:paraId="11A4B9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87C7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w:t>
            </w:r>
          </w:p>
        </w:tc>
        <w:tc>
          <w:tcPr>
            <w:tcW w:w="1300" w:type="dxa"/>
            <w:tcBorders>
              <w:top w:val="nil"/>
              <w:left w:val="nil"/>
              <w:bottom w:val="single" w:sz="4" w:space="0" w:color="auto"/>
              <w:right w:val="single" w:sz="4" w:space="0" w:color="auto"/>
            </w:tcBorders>
            <w:noWrap/>
            <w:vAlign w:val="center"/>
            <w:hideMark/>
          </w:tcPr>
          <w:p w14:paraId="61FD14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5049695000</w:t>
            </w:r>
          </w:p>
        </w:tc>
        <w:tc>
          <w:tcPr>
            <w:tcW w:w="1012" w:type="dxa"/>
            <w:tcBorders>
              <w:top w:val="nil"/>
              <w:left w:val="nil"/>
              <w:bottom w:val="single" w:sz="4" w:space="0" w:color="auto"/>
              <w:right w:val="single" w:sz="4" w:space="0" w:color="auto"/>
            </w:tcBorders>
            <w:noWrap/>
            <w:vAlign w:val="center"/>
            <w:hideMark/>
          </w:tcPr>
          <w:p w14:paraId="44FBCF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38503034</w:t>
            </w:r>
          </w:p>
        </w:tc>
        <w:tc>
          <w:tcPr>
            <w:tcW w:w="5953" w:type="dxa"/>
            <w:tcBorders>
              <w:top w:val="nil"/>
              <w:left w:val="nil"/>
              <w:bottom w:val="single" w:sz="4" w:space="0" w:color="auto"/>
              <w:right w:val="single" w:sz="4" w:space="0" w:color="auto"/>
            </w:tcBorders>
            <w:noWrap/>
            <w:vAlign w:val="center"/>
            <w:hideMark/>
          </w:tcPr>
          <w:p w14:paraId="0B4C85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IZOBRAŽEVANJE, REHABILITACIJO IN USPOSABLJANJE VIPAVA</w:t>
            </w:r>
          </w:p>
        </w:tc>
      </w:tr>
      <w:tr w:rsidR="00F24E18" w14:paraId="034D28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6825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w:t>
            </w:r>
          </w:p>
        </w:tc>
        <w:tc>
          <w:tcPr>
            <w:tcW w:w="1300" w:type="dxa"/>
            <w:tcBorders>
              <w:top w:val="nil"/>
              <w:left w:val="nil"/>
              <w:bottom w:val="single" w:sz="4" w:space="0" w:color="auto"/>
              <w:right w:val="single" w:sz="4" w:space="0" w:color="auto"/>
            </w:tcBorders>
            <w:vAlign w:val="center"/>
            <w:hideMark/>
          </w:tcPr>
          <w:p w14:paraId="7179AE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5055393000</w:t>
            </w:r>
          </w:p>
        </w:tc>
        <w:tc>
          <w:tcPr>
            <w:tcW w:w="1012" w:type="dxa"/>
            <w:tcBorders>
              <w:top w:val="nil"/>
              <w:left w:val="nil"/>
              <w:bottom w:val="single" w:sz="4" w:space="0" w:color="auto"/>
              <w:right w:val="single" w:sz="4" w:space="0" w:color="auto"/>
            </w:tcBorders>
            <w:vAlign w:val="center"/>
            <w:hideMark/>
          </w:tcPr>
          <w:p w14:paraId="642519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54026245</w:t>
            </w:r>
          </w:p>
        </w:tc>
        <w:tc>
          <w:tcPr>
            <w:tcW w:w="5953" w:type="dxa"/>
            <w:tcBorders>
              <w:top w:val="nil"/>
              <w:left w:val="nil"/>
              <w:bottom w:val="single" w:sz="4" w:space="0" w:color="auto"/>
              <w:right w:val="single" w:sz="4" w:space="0" w:color="auto"/>
            </w:tcBorders>
            <w:noWrap/>
            <w:vAlign w:val="center"/>
            <w:hideMark/>
          </w:tcPr>
          <w:p w14:paraId="7E544E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KOMUNIKACIJO, SLUH IN GOVOR PORTOROŽ - CENTRO PER LA COMUNICAZIONE, L'UDITO E LA PRONUNCIA PORTOROSE</w:t>
            </w:r>
          </w:p>
        </w:tc>
      </w:tr>
      <w:tr w:rsidR="00F24E18" w14:paraId="501EE4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1113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w:t>
            </w:r>
          </w:p>
        </w:tc>
        <w:tc>
          <w:tcPr>
            <w:tcW w:w="1300" w:type="dxa"/>
            <w:tcBorders>
              <w:top w:val="nil"/>
              <w:left w:val="nil"/>
              <w:bottom w:val="single" w:sz="4" w:space="0" w:color="auto"/>
              <w:right w:val="single" w:sz="4" w:space="0" w:color="auto"/>
            </w:tcBorders>
            <w:vAlign w:val="center"/>
            <w:hideMark/>
          </w:tcPr>
          <w:p w14:paraId="242ADD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5051711000</w:t>
            </w:r>
          </w:p>
        </w:tc>
        <w:tc>
          <w:tcPr>
            <w:tcW w:w="1012" w:type="dxa"/>
            <w:tcBorders>
              <w:top w:val="nil"/>
              <w:left w:val="nil"/>
              <w:bottom w:val="single" w:sz="4" w:space="0" w:color="auto"/>
              <w:right w:val="single" w:sz="4" w:space="0" w:color="auto"/>
            </w:tcBorders>
            <w:vAlign w:val="center"/>
            <w:hideMark/>
          </w:tcPr>
          <w:p w14:paraId="1B8662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91841917</w:t>
            </w:r>
          </w:p>
        </w:tc>
        <w:tc>
          <w:tcPr>
            <w:tcW w:w="5953" w:type="dxa"/>
            <w:tcBorders>
              <w:top w:val="nil"/>
              <w:left w:val="nil"/>
              <w:bottom w:val="single" w:sz="4" w:space="0" w:color="auto"/>
              <w:right w:val="single" w:sz="4" w:space="0" w:color="auto"/>
            </w:tcBorders>
            <w:noWrap/>
            <w:vAlign w:val="center"/>
            <w:hideMark/>
          </w:tcPr>
          <w:p w14:paraId="0D7EAF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MEDNARODNO SODELOVANJE IN RAZVOJ</w:t>
            </w:r>
          </w:p>
        </w:tc>
      </w:tr>
      <w:tr w:rsidR="00F24E18" w14:paraId="3759BD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3A05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w:t>
            </w:r>
          </w:p>
        </w:tc>
        <w:tc>
          <w:tcPr>
            <w:tcW w:w="1300" w:type="dxa"/>
            <w:tcBorders>
              <w:top w:val="nil"/>
              <w:left w:val="nil"/>
              <w:bottom w:val="single" w:sz="4" w:space="0" w:color="auto"/>
              <w:right w:val="single" w:sz="4" w:space="0" w:color="auto"/>
            </w:tcBorders>
            <w:noWrap/>
            <w:vAlign w:val="center"/>
            <w:hideMark/>
          </w:tcPr>
          <w:p w14:paraId="68EFB7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1263323000</w:t>
            </w:r>
          </w:p>
        </w:tc>
        <w:tc>
          <w:tcPr>
            <w:tcW w:w="1012" w:type="dxa"/>
            <w:tcBorders>
              <w:top w:val="nil"/>
              <w:left w:val="nil"/>
              <w:bottom w:val="single" w:sz="4" w:space="0" w:color="auto"/>
              <w:right w:val="single" w:sz="4" w:space="0" w:color="auto"/>
            </w:tcBorders>
            <w:noWrap/>
            <w:vAlign w:val="center"/>
            <w:hideMark/>
          </w:tcPr>
          <w:p w14:paraId="4F64BE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36128503</w:t>
            </w:r>
          </w:p>
        </w:tc>
        <w:tc>
          <w:tcPr>
            <w:tcW w:w="5953" w:type="dxa"/>
            <w:tcBorders>
              <w:top w:val="nil"/>
              <w:left w:val="nil"/>
              <w:bottom w:val="single" w:sz="4" w:space="0" w:color="auto"/>
              <w:right w:val="single" w:sz="4" w:space="0" w:color="auto"/>
            </w:tcBorders>
            <w:noWrap/>
            <w:vAlign w:val="center"/>
            <w:hideMark/>
          </w:tcPr>
          <w:p w14:paraId="66DFEB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PODJETNIŠTVO IN TURIZEM KRŠKO</w:t>
            </w:r>
          </w:p>
        </w:tc>
      </w:tr>
      <w:tr w:rsidR="00F24E18" w14:paraId="7AE74A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C9AB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w:t>
            </w:r>
          </w:p>
        </w:tc>
        <w:tc>
          <w:tcPr>
            <w:tcW w:w="1300" w:type="dxa"/>
            <w:tcBorders>
              <w:top w:val="nil"/>
              <w:left w:val="nil"/>
              <w:bottom w:val="single" w:sz="4" w:space="0" w:color="auto"/>
              <w:right w:val="single" w:sz="4" w:space="0" w:color="auto"/>
            </w:tcBorders>
            <w:noWrap/>
            <w:vAlign w:val="center"/>
            <w:hideMark/>
          </w:tcPr>
          <w:p w14:paraId="3BBE9E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1694987000</w:t>
            </w:r>
          </w:p>
        </w:tc>
        <w:tc>
          <w:tcPr>
            <w:tcW w:w="1012" w:type="dxa"/>
            <w:tcBorders>
              <w:top w:val="nil"/>
              <w:left w:val="nil"/>
              <w:bottom w:val="single" w:sz="4" w:space="0" w:color="auto"/>
              <w:right w:val="single" w:sz="4" w:space="0" w:color="auto"/>
            </w:tcBorders>
            <w:noWrap/>
            <w:vAlign w:val="center"/>
            <w:hideMark/>
          </w:tcPr>
          <w:p w14:paraId="1AE44C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62088351</w:t>
            </w:r>
          </w:p>
        </w:tc>
        <w:tc>
          <w:tcPr>
            <w:tcW w:w="5953" w:type="dxa"/>
            <w:tcBorders>
              <w:top w:val="nil"/>
              <w:left w:val="nil"/>
              <w:bottom w:val="single" w:sz="4" w:space="0" w:color="auto"/>
              <w:right w:val="single" w:sz="4" w:space="0" w:color="auto"/>
            </w:tcBorders>
            <w:noWrap/>
            <w:vAlign w:val="center"/>
            <w:hideMark/>
          </w:tcPr>
          <w:p w14:paraId="436453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POMOČ NA DOMU MARIBOR</w:t>
            </w:r>
          </w:p>
        </w:tc>
      </w:tr>
      <w:tr w:rsidR="00F24E18" w14:paraId="74477A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23F1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w:t>
            </w:r>
          </w:p>
        </w:tc>
        <w:tc>
          <w:tcPr>
            <w:tcW w:w="1300" w:type="dxa"/>
            <w:tcBorders>
              <w:top w:val="nil"/>
              <w:left w:val="nil"/>
              <w:bottom w:val="single" w:sz="4" w:space="0" w:color="auto"/>
              <w:right w:val="single" w:sz="4" w:space="0" w:color="auto"/>
            </w:tcBorders>
            <w:vAlign w:val="center"/>
            <w:hideMark/>
          </w:tcPr>
          <w:p w14:paraId="7BFDDC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2117711000</w:t>
            </w:r>
          </w:p>
        </w:tc>
        <w:tc>
          <w:tcPr>
            <w:tcW w:w="1012" w:type="dxa"/>
            <w:tcBorders>
              <w:top w:val="nil"/>
              <w:left w:val="nil"/>
              <w:bottom w:val="single" w:sz="4" w:space="0" w:color="auto"/>
              <w:right w:val="single" w:sz="4" w:space="0" w:color="auto"/>
            </w:tcBorders>
            <w:vAlign w:val="center"/>
            <w:hideMark/>
          </w:tcPr>
          <w:p w14:paraId="550EF8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64201643</w:t>
            </w:r>
          </w:p>
        </w:tc>
        <w:tc>
          <w:tcPr>
            <w:tcW w:w="5953" w:type="dxa"/>
            <w:tcBorders>
              <w:top w:val="nil"/>
              <w:left w:val="nil"/>
              <w:bottom w:val="single" w:sz="4" w:space="0" w:color="auto"/>
              <w:right w:val="single" w:sz="4" w:space="0" w:color="auto"/>
            </w:tcBorders>
            <w:noWrap/>
            <w:vAlign w:val="center"/>
            <w:hideMark/>
          </w:tcPr>
          <w:p w14:paraId="3A51EE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RAVNANJE Z ODPADKI ZASAVJE, D.O.O.</w:t>
            </w:r>
          </w:p>
        </w:tc>
      </w:tr>
      <w:tr w:rsidR="00F24E18" w14:paraId="4DA458E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352A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w:t>
            </w:r>
          </w:p>
        </w:tc>
        <w:tc>
          <w:tcPr>
            <w:tcW w:w="1300" w:type="dxa"/>
            <w:tcBorders>
              <w:top w:val="nil"/>
              <w:left w:val="nil"/>
              <w:bottom w:val="single" w:sz="4" w:space="0" w:color="auto"/>
              <w:right w:val="single" w:sz="4" w:space="0" w:color="auto"/>
            </w:tcBorders>
            <w:noWrap/>
            <w:vAlign w:val="center"/>
            <w:hideMark/>
          </w:tcPr>
          <w:p w14:paraId="139EAC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5054141000</w:t>
            </w:r>
          </w:p>
        </w:tc>
        <w:tc>
          <w:tcPr>
            <w:tcW w:w="1012" w:type="dxa"/>
            <w:tcBorders>
              <w:top w:val="nil"/>
              <w:left w:val="nil"/>
              <w:bottom w:val="single" w:sz="4" w:space="0" w:color="auto"/>
              <w:right w:val="single" w:sz="4" w:space="0" w:color="auto"/>
            </w:tcBorders>
            <w:noWrap/>
            <w:vAlign w:val="center"/>
            <w:hideMark/>
          </w:tcPr>
          <w:p w14:paraId="4958FD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86790455</w:t>
            </w:r>
          </w:p>
        </w:tc>
        <w:tc>
          <w:tcPr>
            <w:tcW w:w="5953" w:type="dxa"/>
            <w:tcBorders>
              <w:top w:val="nil"/>
              <w:left w:val="nil"/>
              <w:bottom w:val="single" w:sz="4" w:space="0" w:color="auto"/>
              <w:right w:val="single" w:sz="4" w:space="0" w:color="auto"/>
            </w:tcBorders>
            <w:noWrap/>
            <w:vAlign w:val="center"/>
            <w:hideMark/>
          </w:tcPr>
          <w:p w14:paraId="75FB88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SLUH IN GOVOR MARIBOR</w:t>
            </w:r>
          </w:p>
        </w:tc>
      </w:tr>
      <w:tr w:rsidR="00F24E18" w14:paraId="5E8C89E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F36A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w:t>
            </w:r>
          </w:p>
        </w:tc>
        <w:tc>
          <w:tcPr>
            <w:tcW w:w="1300" w:type="dxa"/>
            <w:tcBorders>
              <w:top w:val="nil"/>
              <w:left w:val="nil"/>
              <w:bottom w:val="single" w:sz="4" w:space="0" w:color="auto"/>
              <w:right w:val="single" w:sz="4" w:space="0" w:color="auto"/>
            </w:tcBorders>
            <w:vAlign w:val="center"/>
            <w:hideMark/>
          </w:tcPr>
          <w:p w14:paraId="7938C0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8283630000</w:t>
            </w:r>
          </w:p>
        </w:tc>
        <w:tc>
          <w:tcPr>
            <w:tcW w:w="1012" w:type="dxa"/>
            <w:tcBorders>
              <w:top w:val="nil"/>
              <w:left w:val="nil"/>
              <w:bottom w:val="single" w:sz="4" w:space="0" w:color="auto"/>
              <w:right w:val="single" w:sz="4" w:space="0" w:color="auto"/>
            </w:tcBorders>
            <w:vAlign w:val="center"/>
            <w:hideMark/>
          </w:tcPr>
          <w:p w14:paraId="115016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73356298</w:t>
            </w:r>
          </w:p>
        </w:tc>
        <w:tc>
          <w:tcPr>
            <w:tcW w:w="5953" w:type="dxa"/>
            <w:tcBorders>
              <w:top w:val="nil"/>
              <w:left w:val="nil"/>
              <w:bottom w:val="single" w:sz="4" w:space="0" w:color="auto"/>
              <w:right w:val="single" w:sz="4" w:space="0" w:color="auto"/>
            </w:tcBorders>
            <w:noWrap/>
            <w:vAlign w:val="center"/>
            <w:hideMark/>
          </w:tcPr>
          <w:p w14:paraId="487C2B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CELJE</w:t>
            </w:r>
          </w:p>
        </w:tc>
      </w:tr>
      <w:tr w:rsidR="00F24E18" w14:paraId="3A0122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9370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w:t>
            </w:r>
          </w:p>
        </w:tc>
        <w:tc>
          <w:tcPr>
            <w:tcW w:w="1300" w:type="dxa"/>
            <w:tcBorders>
              <w:top w:val="nil"/>
              <w:left w:val="nil"/>
              <w:bottom w:val="single" w:sz="4" w:space="0" w:color="auto"/>
              <w:right w:val="single" w:sz="4" w:space="0" w:color="auto"/>
            </w:tcBorders>
            <w:noWrap/>
            <w:vAlign w:val="center"/>
            <w:hideMark/>
          </w:tcPr>
          <w:p w14:paraId="4353D6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8284725000</w:t>
            </w:r>
          </w:p>
        </w:tc>
        <w:tc>
          <w:tcPr>
            <w:tcW w:w="1012" w:type="dxa"/>
            <w:tcBorders>
              <w:top w:val="nil"/>
              <w:left w:val="nil"/>
              <w:bottom w:val="single" w:sz="4" w:space="0" w:color="auto"/>
              <w:right w:val="single" w:sz="4" w:space="0" w:color="auto"/>
            </w:tcBorders>
            <w:noWrap/>
            <w:vAlign w:val="center"/>
            <w:hideMark/>
          </w:tcPr>
          <w:p w14:paraId="025EB7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52033155</w:t>
            </w:r>
          </w:p>
        </w:tc>
        <w:tc>
          <w:tcPr>
            <w:tcW w:w="5953" w:type="dxa"/>
            <w:tcBorders>
              <w:top w:val="nil"/>
              <w:left w:val="nil"/>
              <w:bottom w:val="single" w:sz="4" w:space="0" w:color="auto"/>
              <w:right w:val="single" w:sz="4" w:space="0" w:color="auto"/>
            </w:tcBorders>
            <w:noWrap/>
            <w:vAlign w:val="center"/>
            <w:hideMark/>
          </w:tcPr>
          <w:p w14:paraId="06B3C7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DOLENJSKA IN BELA KRAJINA</w:t>
            </w:r>
          </w:p>
        </w:tc>
      </w:tr>
      <w:tr w:rsidR="00F24E18" w14:paraId="60E275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929E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w:t>
            </w:r>
          </w:p>
        </w:tc>
        <w:tc>
          <w:tcPr>
            <w:tcW w:w="1300" w:type="dxa"/>
            <w:tcBorders>
              <w:top w:val="nil"/>
              <w:left w:val="nil"/>
              <w:bottom w:val="single" w:sz="4" w:space="0" w:color="auto"/>
              <w:right w:val="single" w:sz="4" w:space="0" w:color="auto"/>
            </w:tcBorders>
            <w:vAlign w:val="center"/>
            <w:hideMark/>
          </w:tcPr>
          <w:p w14:paraId="0BE51E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8285411000</w:t>
            </w:r>
          </w:p>
        </w:tc>
        <w:tc>
          <w:tcPr>
            <w:tcW w:w="1012" w:type="dxa"/>
            <w:tcBorders>
              <w:top w:val="nil"/>
              <w:left w:val="nil"/>
              <w:bottom w:val="single" w:sz="4" w:space="0" w:color="auto"/>
              <w:right w:val="single" w:sz="4" w:space="0" w:color="auto"/>
            </w:tcBorders>
            <w:vAlign w:val="center"/>
            <w:hideMark/>
          </w:tcPr>
          <w:p w14:paraId="6FCA91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57069174</w:t>
            </w:r>
          </w:p>
        </w:tc>
        <w:tc>
          <w:tcPr>
            <w:tcW w:w="5953" w:type="dxa"/>
            <w:tcBorders>
              <w:top w:val="nil"/>
              <w:left w:val="nil"/>
              <w:bottom w:val="single" w:sz="4" w:space="0" w:color="auto"/>
              <w:right w:val="single" w:sz="4" w:space="0" w:color="auto"/>
            </w:tcBorders>
            <w:noWrap/>
            <w:vAlign w:val="center"/>
            <w:hideMark/>
          </w:tcPr>
          <w:p w14:paraId="493713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GORENJSKA</w:t>
            </w:r>
          </w:p>
        </w:tc>
      </w:tr>
      <w:tr w:rsidR="00F24E18" w14:paraId="0C1900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CED7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w:t>
            </w:r>
          </w:p>
        </w:tc>
        <w:tc>
          <w:tcPr>
            <w:tcW w:w="1300" w:type="dxa"/>
            <w:tcBorders>
              <w:top w:val="nil"/>
              <w:left w:val="nil"/>
              <w:bottom w:val="single" w:sz="4" w:space="0" w:color="auto"/>
              <w:right w:val="single" w:sz="4" w:space="0" w:color="auto"/>
            </w:tcBorders>
            <w:noWrap/>
            <w:vAlign w:val="center"/>
            <w:hideMark/>
          </w:tcPr>
          <w:p w14:paraId="1C3003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5226554000</w:t>
            </w:r>
          </w:p>
        </w:tc>
        <w:tc>
          <w:tcPr>
            <w:tcW w:w="1012" w:type="dxa"/>
            <w:tcBorders>
              <w:top w:val="nil"/>
              <w:left w:val="nil"/>
              <w:bottom w:val="single" w:sz="4" w:space="0" w:color="auto"/>
              <w:right w:val="single" w:sz="4" w:space="0" w:color="auto"/>
            </w:tcBorders>
            <w:noWrap/>
            <w:vAlign w:val="center"/>
            <w:hideMark/>
          </w:tcPr>
          <w:p w14:paraId="78F116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57108048</w:t>
            </w:r>
          </w:p>
        </w:tc>
        <w:tc>
          <w:tcPr>
            <w:tcW w:w="5953" w:type="dxa"/>
            <w:tcBorders>
              <w:top w:val="nil"/>
              <w:left w:val="nil"/>
              <w:bottom w:val="single" w:sz="4" w:space="0" w:color="auto"/>
              <w:right w:val="single" w:sz="4" w:space="0" w:color="auto"/>
            </w:tcBorders>
            <w:noWrap/>
            <w:vAlign w:val="center"/>
            <w:hideMark/>
          </w:tcPr>
          <w:p w14:paraId="53F57F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IL.BISTRICA</w:t>
            </w:r>
          </w:p>
        </w:tc>
      </w:tr>
      <w:tr w:rsidR="00F24E18" w14:paraId="7559D0C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2D62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w:t>
            </w:r>
          </w:p>
        </w:tc>
        <w:tc>
          <w:tcPr>
            <w:tcW w:w="1300" w:type="dxa"/>
            <w:tcBorders>
              <w:top w:val="nil"/>
              <w:left w:val="nil"/>
              <w:bottom w:val="single" w:sz="4" w:space="0" w:color="auto"/>
              <w:right w:val="single" w:sz="4" w:space="0" w:color="auto"/>
            </w:tcBorders>
            <w:vAlign w:val="center"/>
            <w:hideMark/>
          </w:tcPr>
          <w:p w14:paraId="061E96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8285632000</w:t>
            </w:r>
          </w:p>
        </w:tc>
        <w:tc>
          <w:tcPr>
            <w:tcW w:w="1012" w:type="dxa"/>
            <w:tcBorders>
              <w:top w:val="nil"/>
              <w:left w:val="nil"/>
              <w:bottom w:val="single" w:sz="4" w:space="0" w:color="auto"/>
              <w:right w:val="single" w:sz="4" w:space="0" w:color="auto"/>
            </w:tcBorders>
            <w:vAlign w:val="center"/>
            <w:hideMark/>
          </w:tcPr>
          <w:p w14:paraId="5E91CB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52315819</w:t>
            </w:r>
          </w:p>
        </w:tc>
        <w:tc>
          <w:tcPr>
            <w:tcW w:w="5953" w:type="dxa"/>
            <w:tcBorders>
              <w:top w:val="nil"/>
              <w:left w:val="nil"/>
              <w:bottom w:val="single" w:sz="4" w:space="0" w:color="auto"/>
              <w:right w:val="single" w:sz="4" w:space="0" w:color="auto"/>
            </w:tcBorders>
            <w:noWrap/>
            <w:vAlign w:val="center"/>
            <w:hideMark/>
          </w:tcPr>
          <w:p w14:paraId="1A381A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JUŽNA PRIMORSKA</w:t>
            </w:r>
          </w:p>
        </w:tc>
      </w:tr>
      <w:tr w:rsidR="00F24E18" w14:paraId="1DC01B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AA9F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w:t>
            </w:r>
          </w:p>
        </w:tc>
        <w:tc>
          <w:tcPr>
            <w:tcW w:w="1300" w:type="dxa"/>
            <w:tcBorders>
              <w:top w:val="nil"/>
              <w:left w:val="nil"/>
              <w:bottom w:val="single" w:sz="4" w:space="0" w:color="auto"/>
              <w:right w:val="single" w:sz="4" w:space="0" w:color="auto"/>
            </w:tcBorders>
            <w:noWrap/>
            <w:vAlign w:val="center"/>
            <w:hideMark/>
          </w:tcPr>
          <w:p w14:paraId="59B704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8282927000</w:t>
            </w:r>
          </w:p>
        </w:tc>
        <w:tc>
          <w:tcPr>
            <w:tcW w:w="1012" w:type="dxa"/>
            <w:tcBorders>
              <w:top w:val="nil"/>
              <w:left w:val="nil"/>
              <w:bottom w:val="single" w:sz="4" w:space="0" w:color="auto"/>
              <w:right w:val="single" w:sz="4" w:space="0" w:color="auto"/>
            </w:tcBorders>
            <w:noWrap/>
            <w:vAlign w:val="center"/>
            <w:hideMark/>
          </w:tcPr>
          <w:p w14:paraId="5D303D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15882314</w:t>
            </w:r>
          </w:p>
        </w:tc>
        <w:tc>
          <w:tcPr>
            <w:tcW w:w="5953" w:type="dxa"/>
            <w:tcBorders>
              <w:top w:val="nil"/>
              <w:left w:val="nil"/>
              <w:bottom w:val="single" w:sz="4" w:space="0" w:color="auto"/>
              <w:right w:val="single" w:sz="4" w:space="0" w:color="auto"/>
            </w:tcBorders>
            <w:noWrap/>
            <w:vAlign w:val="center"/>
            <w:hideMark/>
          </w:tcPr>
          <w:p w14:paraId="1EC59A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KOROŠKA</w:t>
            </w:r>
          </w:p>
        </w:tc>
      </w:tr>
      <w:tr w:rsidR="00F24E18" w14:paraId="134E6D7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EA35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w:t>
            </w:r>
          </w:p>
        </w:tc>
        <w:tc>
          <w:tcPr>
            <w:tcW w:w="1300" w:type="dxa"/>
            <w:tcBorders>
              <w:top w:val="nil"/>
              <w:left w:val="nil"/>
              <w:bottom w:val="single" w:sz="4" w:space="0" w:color="auto"/>
              <w:right w:val="single" w:sz="4" w:space="0" w:color="auto"/>
            </w:tcBorders>
            <w:noWrap/>
            <w:vAlign w:val="center"/>
            <w:hideMark/>
          </w:tcPr>
          <w:p w14:paraId="4D0F07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8288151000</w:t>
            </w:r>
          </w:p>
        </w:tc>
        <w:tc>
          <w:tcPr>
            <w:tcW w:w="1012" w:type="dxa"/>
            <w:tcBorders>
              <w:top w:val="nil"/>
              <w:left w:val="nil"/>
              <w:bottom w:val="single" w:sz="4" w:space="0" w:color="auto"/>
              <w:right w:val="single" w:sz="4" w:space="0" w:color="auto"/>
            </w:tcBorders>
            <w:noWrap/>
            <w:vAlign w:val="center"/>
            <w:hideMark/>
          </w:tcPr>
          <w:p w14:paraId="54A599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97282782</w:t>
            </w:r>
          </w:p>
        </w:tc>
        <w:tc>
          <w:tcPr>
            <w:tcW w:w="5953" w:type="dxa"/>
            <w:tcBorders>
              <w:top w:val="nil"/>
              <w:left w:val="nil"/>
              <w:bottom w:val="single" w:sz="4" w:space="0" w:color="auto"/>
              <w:right w:val="single" w:sz="4" w:space="0" w:color="auto"/>
            </w:tcBorders>
            <w:noWrap/>
            <w:vAlign w:val="center"/>
            <w:hideMark/>
          </w:tcPr>
          <w:p w14:paraId="6FEDDD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LJUBLJANA</w:t>
            </w:r>
          </w:p>
        </w:tc>
      </w:tr>
      <w:tr w:rsidR="00F24E18" w14:paraId="368AA5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CA60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w:t>
            </w:r>
          </w:p>
        </w:tc>
        <w:tc>
          <w:tcPr>
            <w:tcW w:w="1300" w:type="dxa"/>
            <w:tcBorders>
              <w:top w:val="nil"/>
              <w:left w:val="nil"/>
              <w:bottom w:val="single" w:sz="4" w:space="0" w:color="auto"/>
              <w:right w:val="single" w:sz="4" w:space="0" w:color="auto"/>
            </w:tcBorders>
            <w:vAlign w:val="center"/>
            <w:hideMark/>
          </w:tcPr>
          <w:p w14:paraId="68E4C2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8275009000</w:t>
            </w:r>
          </w:p>
        </w:tc>
        <w:tc>
          <w:tcPr>
            <w:tcW w:w="1012" w:type="dxa"/>
            <w:tcBorders>
              <w:top w:val="nil"/>
              <w:left w:val="nil"/>
              <w:bottom w:val="single" w:sz="4" w:space="0" w:color="auto"/>
              <w:right w:val="single" w:sz="4" w:space="0" w:color="auto"/>
            </w:tcBorders>
            <w:vAlign w:val="center"/>
            <w:hideMark/>
          </w:tcPr>
          <w:p w14:paraId="2AF545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61795461</w:t>
            </w:r>
          </w:p>
        </w:tc>
        <w:tc>
          <w:tcPr>
            <w:tcW w:w="5953" w:type="dxa"/>
            <w:tcBorders>
              <w:top w:val="nil"/>
              <w:left w:val="nil"/>
              <w:bottom w:val="single" w:sz="4" w:space="0" w:color="auto"/>
              <w:right w:val="single" w:sz="4" w:space="0" w:color="auto"/>
            </w:tcBorders>
            <w:noWrap/>
            <w:vAlign w:val="center"/>
            <w:hideMark/>
          </w:tcPr>
          <w:p w14:paraId="1E72D6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MARIBOR</w:t>
            </w:r>
          </w:p>
        </w:tc>
      </w:tr>
      <w:tr w:rsidR="00F24E18" w14:paraId="39ECF0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0319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w:t>
            </w:r>
          </w:p>
        </w:tc>
        <w:tc>
          <w:tcPr>
            <w:tcW w:w="1300" w:type="dxa"/>
            <w:tcBorders>
              <w:top w:val="nil"/>
              <w:left w:val="nil"/>
              <w:bottom w:val="single" w:sz="4" w:space="0" w:color="auto"/>
              <w:right w:val="single" w:sz="4" w:space="0" w:color="auto"/>
            </w:tcBorders>
            <w:noWrap/>
            <w:vAlign w:val="center"/>
            <w:hideMark/>
          </w:tcPr>
          <w:p w14:paraId="11E964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8286957000</w:t>
            </w:r>
          </w:p>
        </w:tc>
        <w:tc>
          <w:tcPr>
            <w:tcW w:w="1012" w:type="dxa"/>
            <w:tcBorders>
              <w:top w:val="nil"/>
              <w:left w:val="nil"/>
              <w:bottom w:val="single" w:sz="4" w:space="0" w:color="auto"/>
              <w:right w:val="single" w:sz="4" w:space="0" w:color="auto"/>
            </w:tcBorders>
            <w:noWrap/>
            <w:vAlign w:val="center"/>
            <w:hideMark/>
          </w:tcPr>
          <w:p w14:paraId="41BBD9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94756562</w:t>
            </w:r>
          </w:p>
        </w:tc>
        <w:tc>
          <w:tcPr>
            <w:tcW w:w="5953" w:type="dxa"/>
            <w:tcBorders>
              <w:top w:val="nil"/>
              <w:left w:val="nil"/>
              <w:bottom w:val="single" w:sz="4" w:space="0" w:color="auto"/>
              <w:right w:val="single" w:sz="4" w:space="0" w:color="auto"/>
            </w:tcBorders>
            <w:noWrap/>
            <w:vAlign w:val="center"/>
            <w:hideMark/>
          </w:tcPr>
          <w:p w14:paraId="5E9FF7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OSREDNJA SLOVENIJA - VZHOD</w:t>
            </w:r>
          </w:p>
        </w:tc>
      </w:tr>
      <w:tr w:rsidR="00F24E18" w14:paraId="715CE7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D529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w:t>
            </w:r>
          </w:p>
        </w:tc>
        <w:tc>
          <w:tcPr>
            <w:tcW w:w="1300" w:type="dxa"/>
            <w:tcBorders>
              <w:top w:val="nil"/>
              <w:left w:val="nil"/>
              <w:bottom w:val="single" w:sz="4" w:space="0" w:color="auto"/>
              <w:right w:val="single" w:sz="4" w:space="0" w:color="auto"/>
            </w:tcBorders>
            <w:noWrap/>
            <w:vAlign w:val="center"/>
            <w:hideMark/>
          </w:tcPr>
          <w:p w14:paraId="799719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8286728000</w:t>
            </w:r>
          </w:p>
        </w:tc>
        <w:tc>
          <w:tcPr>
            <w:tcW w:w="1012" w:type="dxa"/>
            <w:tcBorders>
              <w:top w:val="nil"/>
              <w:left w:val="nil"/>
              <w:bottom w:val="single" w:sz="4" w:space="0" w:color="auto"/>
              <w:right w:val="single" w:sz="4" w:space="0" w:color="auto"/>
            </w:tcBorders>
            <w:noWrap/>
            <w:vAlign w:val="center"/>
            <w:hideMark/>
          </w:tcPr>
          <w:p w14:paraId="34C76B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27448657</w:t>
            </w:r>
          </w:p>
        </w:tc>
        <w:tc>
          <w:tcPr>
            <w:tcW w:w="5953" w:type="dxa"/>
            <w:tcBorders>
              <w:top w:val="nil"/>
              <w:left w:val="nil"/>
              <w:bottom w:val="single" w:sz="4" w:space="0" w:color="auto"/>
              <w:right w:val="single" w:sz="4" w:space="0" w:color="auto"/>
            </w:tcBorders>
            <w:noWrap/>
            <w:vAlign w:val="center"/>
            <w:hideMark/>
          </w:tcPr>
          <w:p w14:paraId="616B6D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OSREDNJA SLOVENIJA - ZAHOD</w:t>
            </w:r>
          </w:p>
        </w:tc>
      </w:tr>
      <w:tr w:rsidR="00F24E18" w14:paraId="4484277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1831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w:t>
            </w:r>
          </w:p>
        </w:tc>
        <w:tc>
          <w:tcPr>
            <w:tcW w:w="1300" w:type="dxa"/>
            <w:tcBorders>
              <w:top w:val="nil"/>
              <w:left w:val="nil"/>
              <w:bottom w:val="single" w:sz="4" w:space="0" w:color="auto"/>
              <w:right w:val="single" w:sz="4" w:space="0" w:color="auto"/>
            </w:tcBorders>
            <w:noWrap/>
            <w:vAlign w:val="center"/>
            <w:hideMark/>
          </w:tcPr>
          <w:p w14:paraId="7F2209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8284806000</w:t>
            </w:r>
          </w:p>
        </w:tc>
        <w:tc>
          <w:tcPr>
            <w:tcW w:w="1012" w:type="dxa"/>
            <w:tcBorders>
              <w:top w:val="nil"/>
              <w:left w:val="nil"/>
              <w:bottom w:val="single" w:sz="4" w:space="0" w:color="auto"/>
              <w:right w:val="single" w:sz="4" w:space="0" w:color="auto"/>
            </w:tcBorders>
            <w:noWrap/>
            <w:vAlign w:val="center"/>
            <w:hideMark/>
          </w:tcPr>
          <w:p w14:paraId="57C2CC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42694795</w:t>
            </w:r>
          </w:p>
        </w:tc>
        <w:tc>
          <w:tcPr>
            <w:tcW w:w="5953" w:type="dxa"/>
            <w:tcBorders>
              <w:top w:val="nil"/>
              <w:left w:val="nil"/>
              <w:bottom w:val="single" w:sz="4" w:space="0" w:color="auto"/>
              <w:right w:val="single" w:sz="4" w:space="0" w:color="auto"/>
            </w:tcBorders>
            <w:noWrap/>
            <w:vAlign w:val="center"/>
            <w:hideMark/>
          </w:tcPr>
          <w:p w14:paraId="673DAF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POMURJE</w:t>
            </w:r>
          </w:p>
        </w:tc>
      </w:tr>
      <w:tr w:rsidR="00F24E18" w14:paraId="186B6F0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EB9E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w:t>
            </w:r>
          </w:p>
        </w:tc>
        <w:tc>
          <w:tcPr>
            <w:tcW w:w="1300" w:type="dxa"/>
            <w:tcBorders>
              <w:top w:val="nil"/>
              <w:left w:val="nil"/>
              <w:bottom w:val="single" w:sz="4" w:space="0" w:color="auto"/>
              <w:right w:val="single" w:sz="4" w:space="0" w:color="auto"/>
            </w:tcBorders>
            <w:vAlign w:val="center"/>
            <w:hideMark/>
          </w:tcPr>
          <w:p w14:paraId="162DA3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8283770000</w:t>
            </w:r>
          </w:p>
        </w:tc>
        <w:tc>
          <w:tcPr>
            <w:tcW w:w="1012" w:type="dxa"/>
            <w:tcBorders>
              <w:top w:val="nil"/>
              <w:left w:val="nil"/>
              <w:bottom w:val="single" w:sz="4" w:space="0" w:color="auto"/>
              <w:right w:val="single" w:sz="4" w:space="0" w:color="auto"/>
            </w:tcBorders>
            <w:vAlign w:val="center"/>
            <w:hideMark/>
          </w:tcPr>
          <w:p w14:paraId="6FD79C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14765853</w:t>
            </w:r>
          </w:p>
        </w:tc>
        <w:tc>
          <w:tcPr>
            <w:tcW w:w="5953" w:type="dxa"/>
            <w:tcBorders>
              <w:top w:val="nil"/>
              <w:left w:val="nil"/>
              <w:bottom w:val="single" w:sz="4" w:space="0" w:color="auto"/>
              <w:right w:val="single" w:sz="4" w:space="0" w:color="auto"/>
            </w:tcBorders>
            <w:noWrap/>
            <w:vAlign w:val="center"/>
            <w:hideMark/>
          </w:tcPr>
          <w:p w14:paraId="3D9501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POSAVJE</w:t>
            </w:r>
          </w:p>
        </w:tc>
      </w:tr>
      <w:tr w:rsidR="00F24E18" w14:paraId="70D995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9014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w:t>
            </w:r>
          </w:p>
        </w:tc>
        <w:tc>
          <w:tcPr>
            <w:tcW w:w="1300" w:type="dxa"/>
            <w:tcBorders>
              <w:top w:val="nil"/>
              <w:left w:val="nil"/>
              <w:bottom w:val="single" w:sz="4" w:space="0" w:color="auto"/>
              <w:right w:val="single" w:sz="4" w:space="0" w:color="auto"/>
            </w:tcBorders>
            <w:noWrap/>
            <w:vAlign w:val="center"/>
            <w:hideMark/>
          </w:tcPr>
          <w:p w14:paraId="6E5FDC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8283583000</w:t>
            </w:r>
          </w:p>
        </w:tc>
        <w:tc>
          <w:tcPr>
            <w:tcW w:w="1012" w:type="dxa"/>
            <w:tcBorders>
              <w:top w:val="nil"/>
              <w:left w:val="nil"/>
              <w:bottom w:val="single" w:sz="4" w:space="0" w:color="auto"/>
              <w:right w:val="single" w:sz="4" w:space="0" w:color="auto"/>
            </w:tcBorders>
            <w:noWrap/>
            <w:vAlign w:val="center"/>
            <w:hideMark/>
          </w:tcPr>
          <w:p w14:paraId="6EA55B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99388685</w:t>
            </w:r>
          </w:p>
        </w:tc>
        <w:tc>
          <w:tcPr>
            <w:tcW w:w="5953" w:type="dxa"/>
            <w:tcBorders>
              <w:top w:val="nil"/>
              <w:left w:val="nil"/>
              <w:bottom w:val="single" w:sz="4" w:space="0" w:color="auto"/>
              <w:right w:val="single" w:sz="4" w:space="0" w:color="auto"/>
            </w:tcBorders>
            <w:noWrap/>
            <w:vAlign w:val="center"/>
            <w:hideMark/>
          </w:tcPr>
          <w:p w14:paraId="58BD4A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SAVINJSKO-ŠALEŠKA</w:t>
            </w:r>
          </w:p>
        </w:tc>
      </w:tr>
      <w:tr w:rsidR="00F24E18" w14:paraId="7A9E78F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4E8A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w:t>
            </w:r>
          </w:p>
        </w:tc>
        <w:tc>
          <w:tcPr>
            <w:tcW w:w="1300" w:type="dxa"/>
            <w:tcBorders>
              <w:top w:val="nil"/>
              <w:left w:val="nil"/>
              <w:bottom w:val="single" w:sz="4" w:space="0" w:color="auto"/>
              <w:right w:val="single" w:sz="4" w:space="0" w:color="auto"/>
            </w:tcBorders>
            <w:noWrap/>
            <w:vAlign w:val="center"/>
            <w:hideMark/>
          </w:tcPr>
          <w:p w14:paraId="6E27D7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8284857000</w:t>
            </w:r>
          </w:p>
        </w:tc>
        <w:tc>
          <w:tcPr>
            <w:tcW w:w="1012" w:type="dxa"/>
            <w:tcBorders>
              <w:top w:val="nil"/>
              <w:left w:val="nil"/>
              <w:bottom w:val="single" w:sz="4" w:space="0" w:color="auto"/>
              <w:right w:val="single" w:sz="4" w:space="0" w:color="auto"/>
            </w:tcBorders>
            <w:noWrap/>
            <w:vAlign w:val="center"/>
            <w:hideMark/>
          </w:tcPr>
          <w:p w14:paraId="097545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93702183</w:t>
            </w:r>
          </w:p>
        </w:tc>
        <w:tc>
          <w:tcPr>
            <w:tcW w:w="5953" w:type="dxa"/>
            <w:tcBorders>
              <w:top w:val="nil"/>
              <w:left w:val="nil"/>
              <w:bottom w:val="single" w:sz="4" w:space="0" w:color="auto"/>
              <w:right w:val="single" w:sz="4" w:space="0" w:color="auto"/>
            </w:tcBorders>
            <w:noWrap/>
            <w:vAlign w:val="center"/>
            <w:hideMark/>
          </w:tcPr>
          <w:p w14:paraId="72F6A1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SEVERNA PRIMORSKA</w:t>
            </w:r>
          </w:p>
        </w:tc>
      </w:tr>
      <w:tr w:rsidR="00F24E18" w14:paraId="6AD029E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93E1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w:t>
            </w:r>
          </w:p>
        </w:tc>
        <w:tc>
          <w:tcPr>
            <w:tcW w:w="1300" w:type="dxa"/>
            <w:tcBorders>
              <w:top w:val="nil"/>
              <w:left w:val="nil"/>
              <w:bottom w:val="single" w:sz="4" w:space="0" w:color="auto"/>
              <w:right w:val="single" w:sz="4" w:space="0" w:color="auto"/>
            </w:tcBorders>
            <w:noWrap/>
            <w:vAlign w:val="center"/>
            <w:hideMark/>
          </w:tcPr>
          <w:p w14:paraId="4048F9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8285233000</w:t>
            </w:r>
          </w:p>
        </w:tc>
        <w:tc>
          <w:tcPr>
            <w:tcW w:w="1012" w:type="dxa"/>
            <w:tcBorders>
              <w:top w:val="nil"/>
              <w:left w:val="nil"/>
              <w:bottom w:val="single" w:sz="4" w:space="0" w:color="auto"/>
              <w:right w:val="single" w:sz="4" w:space="0" w:color="auto"/>
            </w:tcBorders>
            <w:noWrap/>
            <w:vAlign w:val="center"/>
            <w:hideMark/>
          </w:tcPr>
          <w:p w14:paraId="4A86D0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70569606</w:t>
            </w:r>
          </w:p>
        </w:tc>
        <w:tc>
          <w:tcPr>
            <w:tcW w:w="5953" w:type="dxa"/>
            <w:tcBorders>
              <w:top w:val="nil"/>
              <w:left w:val="nil"/>
              <w:bottom w:val="single" w:sz="4" w:space="0" w:color="auto"/>
              <w:right w:val="single" w:sz="4" w:space="0" w:color="auto"/>
            </w:tcBorders>
            <w:noWrap/>
            <w:vAlign w:val="center"/>
            <w:hideMark/>
          </w:tcPr>
          <w:p w14:paraId="30F966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SPODNJE PODRAVJE</w:t>
            </w:r>
          </w:p>
        </w:tc>
      </w:tr>
      <w:tr w:rsidR="00F24E18" w14:paraId="1C2A01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E541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w:t>
            </w:r>
          </w:p>
        </w:tc>
        <w:tc>
          <w:tcPr>
            <w:tcW w:w="1300" w:type="dxa"/>
            <w:tcBorders>
              <w:top w:val="nil"/>
              <w:left w:val="nil"/>
              <w:bottom w:val="single" w:sz="4" w:space="0" w:color="auto"/>
              <w:right w:val="single" w:sz="4" w:space="0" w:color="auto"/>
            </w:tcBorders>
            <w:noWrap/>
            <w:vAlign w:val="center"/>
            <w:hideMark/>
          </w:tcPr>
          <w:p w14:paraId="4C0C45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8287473000</w:t>
            </w:r>
          </w:p>
        </w:tc>
        <w:tc>
          <w:tcPr>
            <w:tcW w:w="1012" w:type="dxa"/>
            <w:tcBorders>
              <w:top w:val="nil"/>
              <w:left w:val="nil"/>
              <w:bottom w:val="single" w:sz="4" w:space="0" w:color="auto"/>
              <w:right w:val="single" w:sz="4" w:space="0" w:color="auto"/>
            </w:tcBorders>
            <w:noWrap/>
            <w:vAlign w:val="center"/>
            <w:hideMark/>
          </w:tcPr>
          <w:p w14:paraId="0DD3E5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42928443</w:t>
            </w:r>
          </w:p>
        </w:tc>
        <w:tc>
          <w:tcPr>
            <w:tcW w:w="5953" w:type="dxa"/>
            <w:tcBorders>
              <w:top w:val="nil"/>
              <w:left w:val="nil"/>
              <w:bottom w:val="single" w:sz="4" w:space="0" w:color="auto"/>
              <w:right w:val="single" w:sz="4" w:space="0" w:color="auto"/>
            </w:tcBorders>
            <w:noWrap/>
            <w:vAlign w:val="center"/>
            <w:hideMark/>
          </w:tcPr>
          <w:p w14:paraId="151330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SOCIALNO DELO ZASAVJE</w:t>
            </w:r>
          </w:p>
        </w:tc>
      </w:tr>
      <w:tr w:rsidR="00F24E18" w14:paraId="234F702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86CA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w:t>
            </w:r>
          </w:p>
        </w:tc>
        <w:tc>
          <w:tcPr>
            <w:tcW w:w="1300" w:type="dxa"/>
            <w:tcBorders>
              <w:top w:val="nil"/>
              <w:left w:val="nil"/>
              <w:bottom w:val="single" w:sz="4" w:space="0" w:color="auto"/>
              <w:right w:val="single" w:sz="4" w:space="0" w:color="auto"/>
            </w:tcBorders>
            <w:noWrap/>
            <w:vAlign w:val="center"/>
            <w:hideMark/>
          </w:tcPr>
          <w:p w14:paraId="5810D1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6551211000</w:t>
            </w:r>
          </w:p>
        </w:tc>
        <w:tc>
          <w:tcPr>
            <w:tcW w:w="1012" w:type="dxa"/>
            <w:tcBorders>
              <w:top w:val="nil"/>
              <w:left w:val="nil"/>
              <w:bottom w:val="single" w:sz="4" w:space="0" w:color="auto"/>
              <w:right w:val="single" w:sz="4" w:space="0" w:color="auto"/>
            </w:tcBorders>
            <w:noWrap/>
            <w:vAlign w:val="center"/>
            <w:hideMark/>
          </w:tcPr>
          <w:p w14:paraId="1841F8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59075899</w:t>
            </w:r>
          </w:p>
        </w:tc>
        <w:tc>
          <w:tcPr>
            <w:tcW w:w="5953" w:type="dxa"/>
            <w:tcBorders>
              <w:top w:val="nil"/>
              <w:left w:val="nil"/>
              <w:bottom w:val="single" w:sz="4" w:space="0" w:color="auto"/>
              <w:right w:val="single" w:sz="4" w:space="0" w:color="auto"/>
            </w:tcBorders>
            <w:noWrap/>
            <w:vAlign w:val="center"/>
            <w:hideMark/>
          </w:tcPr>
          <w:p w14:paraId="35F216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UPRAVLJANJE Z DEDIŠČINO ŽIVEGA SREBRA IDRIJA</w:t>
            </w:r>
          </w:p>
        </w:tc>
      </w:tr>
      <w:tr w:rsidR="00F24E18" w14:paraId="496039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8E67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w:t>
            </w:r>
          </w:p>
        </w:tc>
        <w:tc>
          <w:tcPr>
            <w:tcW w:w="1300" w:type="dxa"/>
            <w:tcBorders>
              <w:top w:val="nil"/>
              <w:left w:val="nil"/>
              <w:bottom w:val="single" w:sz="4" w:space="0" w:color="auto"/>
              <w:right w:val="single" w:sz="4" w:space="0" w:color="auto"/>
            </w:tcBorders>
            <w:vAlign w:val="center"/>
            <w:hideMark/>
          </w:tcPr>
          <w:p w14:paraId="272A4E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5055792000</w:t>
            </w:r>
          </w:p>
        </w:tc>
        <w:tc>
          <w:tcPr>
            <w:tcW w:w="1012" w:type="dxa"/>
            <w:tcBorders>
              <w:top w:val="nil"/>
              <w:left w:val="nil"/>
              <w:bottom w:val="single" w:sz="4" w:space="0" w:color="auto"/>
              <w:right w:val="single" w:sz="4" w:space="0" w:color="auto"/>
            </w:tcBorders>
            <w:vAlign w:val="center"/>
            <w:hideMark/>
          </w:tcPr>
          <w:p w14:paraId="1D1A00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20966407</w:t>
            </w:r>
          </w:p>
        </w:tc>
        <w:tc>
          <w:tcPr>
            <w:tcW w:w="5953" w:type="dxa"/>
            <w:tcBorders>
              <w:top w:val="nil"/>
              <w:left w:val="nil"/>
              <w:bottom w:val="single" w:sz="4" w:space="0" w:color="auto"/>
              <w:right w:val="single" w:sz="4" w:space="0" w:color="auto"/>
            </w:tcBorders>
            <w:noWrap/>
            <w:vAlign w:val="center"/>
            <w:hideMark/>
          </w:tcPr>
          <w:p w14:paraId="098834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USPOSABLJANJE, DELO IN VARSTVO ČRNA NA KOROŠKEM</w:t>
            </w:r>
          </w:p>
        </w:tc>
      </w:tr>
      <w:tr w:rsidR="00F24E18" w14:paraId="7DD047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77C2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w:t>
            </w:r>
          </w:p>
        </w:tc>
        <w:tc>
          <w:tcPr>
            <w:tcW w:w="1300" w:type="dxa"/>
            <w:tcBorders>
              <w:top w:val="nil"/>
              <w:left w:val="nil"/>
              <w:bottom w:val="single" w:sz="4" w:space="0" w:color="auto"/>
              <w:right w:val="single" w:sz="4" w:space="0" w:color="auto"/>
            </w:tcBorders>
            <w:vAlign w:val="center"/>
            <w:hideMark/>
          </w:tcPr>
          <w:p w14:paraId="0C7A86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5083672000</w:t>
            </w:r>
          </w:p>
        </w:tc>
        <w:tc>
          <w:tcPr>
            <w:tcW w:w="1012" w:type="dxa"/>
            <w:tcBorders>
              <w:top w:val="nil"/>
              <w:left w:val="nil"/>
              <w:bottom w:val="single" w:sz="4" w:space="0" w:color="auto"/>
              <w:right w:val="single" w:sz="4" w:space="0" w:color="auto"/>
            </w:tcBorders>
            <w:vAlign w:val="center"/>
            <w:hideMark/>
          </w:tcPr>
          <w:p w14:paraId="53747E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59831588</w:t>
            </w:r>
          </w:p>
        </w:tc>
        <w:tc>
          <w:tcPr>
            <w:tcW w:w="5953" w:type="dxa"/>
            <w:tcBorders>
              <w:top w:val="nil"/>
              <w:left w:val="nil"/>
              <w:bottom w:val="single" w:sz="4" w:space="0" w:color="auto"/>
              <w:right w:val="single" w:sz="4" w:space="0" w:color="auto"/>
            </w:tcBorders>
            <w:noWrap/>
            <w:vAlign w:val="center"/>
            <w:hideMark/>
          </w:tcPr>
          <w:p w14:paraId="37316A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USPOSABLJANJE, DELO IN VARSTVO DOBRNA</w:t>
            </w:r>
          </w:p>
        </w:tc>
      </w:tr>
      <w:tr w:rsidR="00F24E18" w14:paraId="1DA80D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4C77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w:t>
            </w:r>
          </w:p>
        </w:tc>
        <w:tc>
          <w:tcPr>
            <w:tcW w:w="1300" w:type="dxa"/>
            <w:tcBorders>
              <w:top w:val="nil"/>
              <w:left w:val="nil"/>
              <w:bottom w:val="single" w:sz="4" w:space="0" w:color="auto"/>
              <w:right w:val="single" w:sz="4" w:space="0" w:color="auto"/>
            </w:tcBorders>
            <w:vAlign w:val="center"/>
            <w:hideMark/>
          </w:tcPr>
          <w:p w14:paraId="228296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5185530000</w:t>
            </w:r>
          </w:p>
        </w:tc>
        <w:tc>
          <w:tcPr>
            <w:tcW w:w="1012" w:type="dxa"/>
            <w:tcBorders>
              <w:top w:val="nil"/>
              <w:left w:val="nil"/>
              <w:bottom w:val="single" w:sz="4" w:space="0" w:color="auto"/>
              <w:right w:val="single" w:sz="4" w:space="0" w:color="auto"/>
            </w:tcBorders>
            <w:vAlign w:val="center"/>
            <w:hideMark/>
          </w:tcPr>
          <w:p w14:paraId="06D206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17708605</w:t>
            </w:r>
          </w:p>
        </w:tc>
        <w:tc>
          <w:tcPr>
            <w:tcW w:w="5953" w:type="dxa"/>
            <w:tcBorders>
              <w:top w:val="nil"/>
              <w:left w:val="nil"/>
              <w:bottom w:val="single" w:sz="4" w:space="0" w:color="auto"/>
              <w:right w:val="single" w:sz="4" w:space="0" w:color="auto"/>
            </w:tcBorders>
            <w:noWrap/>
            <w:vAlign w:val="center"/>
            <w:hideMark/>
          </w:tcPr>
          <w:p w14:paraId="4256F9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USPOSABLJANJE, DELO IN VARSTVO DOLFKE BOŠTJANČIČ, DRAGA</w:t>
            </w:r>
          </w:p>
        </w:tc>
      </w:tr>
      <w:tr w:rsidR="00F24E18" w14:paraId="7B9677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1E40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w:t>
            </w:r>
          </w:p>
        </w:tc>
        <w:tc>
          <w:tcPr>
            <w:tcW w:w="1300" w:type="dxa"/>
            <w:tcBorders>
              <w:top w:val="nil"/>
              <w:left w:val="nil"/>
              <w:bottom w:val="single" w:sz="4" w:space="0" w:color="auto"/>
              <w:right w:val="single" w:sz="4" w:space="0" w:color="auto"/>
            </w:tcBorders>
            <w:vAlign w:val="center"/>
            <w:hideMark/>
          </w:tcPr>
          <w:p w14:paraId="4A94EF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5867380000</w:t>
            </w:r>
          </w:p>
        </w:tc>
        <w:tc>
          <w:tcPr>
            <w:tcW w:w="1012" w:type="dxa"/>
            <w:tcBorders>
              <w:top w:val="nil"/>
              <w:left w:val="nil"/>
              <w:bottom w:val="single" w:sz="4" w:space="0" w:color="auto"/>
              <w:right w:val="single" w:sz="4" w:space="0" w:color="auto"/>
            </w:tcBorders>
            <w:vAlign w:val="center"/>
            <w:hideMark/>
          </w:tcPr>
          <w:p w14:paraId="4EB90B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72034955</w:t>
            </w:r>
          </w:p>
        </w:tc>
        <w:tc>
          <w:tcPr>
            <w:tcW w:w="5953" w:type="dxa"/>
            <w:tcBorders>
              <w:top w:val="nil"/>
              <w:left w:val="nil"/>
              <w:bottom w:val="single" w:sz="4" w:space="0" w:color="auto"/>
              <w:right w:val="single" w:sz="4" w:space="0" w:color="auto"/>
            </w:tcBorders>
            <w:noWrap/>
            <w:vAlign w:val="center"/>
            <w:hideMark/>
          </w:tcPr>
          <w:p w14:paraId="2BF1F0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USPOSABLJANJE, DELO IN VARSTVO MATEVŽA LANGUSA, RADOVLJICA</w:t>
            </w:r>
          </w:p>
        </w:tc>
      </w:tr>
      <w:tr w:rsidR="00F24E18" w14:paraId="618C12D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6071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w:t>
            </w:r>
          </w:p>
        </w:tc>
        <w:tc>
          <w:tcPr>
            <w:tcW w:w="1300" w:type="dxa"/>
            <w:tcBorders>
              <w:top w:val="nil"/>
              <w:left w:val="nil"/>
              <w:bottom w:val="single" w:sz="4" w:space="0" w:color="auto"/>
              <w:right w:val="single" w:sz="4" w:space="0" w:color="auto"/>
            </w:tcBorders>
            <w:noWrap/>
            <w:vAlign w:val="center"/>
            <w:hideMark/>
          </w:tcPr>
          <w:p w14:paraId="4CDECE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5050758000</w:t>
            </w:r>
          </w:p>
        </w:tc>
        <w:tc>
          <w:tcPr>
            <w:tcW w:w="1012" w:type="dxa"/>
            <w:tcBorders>
              <w:top w:val="nil"/>
              <w:left w:val="nil"/>
              <w:bottom w:val="single" w:sz="4" w:space="0" w:color="auto"/>
              <w:right w:val="single" w:sz="4" w:space="0" w:color="auto"/>
            </w:tcBorders>
            <w:noWrap/>
            <w:vAlign w:val="center"/>
            <w:hideMark/>
          </w:tcPr>
          <w:p w14:paraId="1AAD93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94338558</w:t>
            </w:r>
          </w:p>
        </w:tc>
        <w:tc>
          <w:tcPr>
            <w:tcW w:w="5953" w:type="dxa"/>
            <w:tcBorders>
              <w:top w:val="nil"/>
              <w:left w:val="nil"/>
              <w:bottom w:val="single" w:sz="4" w:space="0" w:color="auto"/>
              <w:right w:val="single" w:sz="4" w:space="0" w:color="auto"/>
            </w:tcBorders>
            <w:noWrap/>
            <w:vAlign w:val="center"/>
            <w:hideMark/>
          </w:tcPr>
          <w:p w14:paraId="100D19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USPOSABLJANJE, VZGOJO IN IZOBRAŽEVANJE JANEZA LEVCA LJUBLJANA</w:t>
            </w:r>
          </w:p>
        </w:tc>
      </w:tr>
      <w:tr w:rsidR="00F24E18" w14:paraId="6B8B32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BC8C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w:t>
            </w:r>
          </w:p>
        </w:tc>
        <w:tc>
          <w:tcPr>
            <w:tcW w:w="1300" w:type="dxa"/>
            <w:tcBorders>
              <w:top w:val="nil"/>
              <w:left w:val="nil"/>
              <w:bottom w:val="single" w:sz="4" w:space="0" w:color="auto"/>
              <w:right w:val="single" w:sz="4" w:space="0" w:color="auto"/>
            </w:tcBorders>
            <w:vAlign w:val="center"/>
            <w:hideMark/>
          </w:tcPr>
          <w:p w14:paraId="3D6B45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5083664000</w:t>
            </w:r>
          </w:p>
        </w:tc>
        <w:tc>
          <w:tcPr>
            <w:tcW w:w="1012" w:type="dxa"/>
            <w:tcBorders>
              <w:top w:val="nil"/>
              <w:left w:val="nil"/>
              <w:bottom w:val="single" w:sz="4" w:space="0" w:color="auto"/>
              <w:right w:val="single" w:sz="4" w:space="0" w:color="auto"/>
            </w:tcBorders>
            <w:vAlign w:val="center"/>
            <w:hideMark/>
          </w:tcPr>
          <w:p w14:paraId="574A40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13792717</w:t>
            </w:r>
          </w:p>
        </w:tc>
        <w:tc>
          <w:tcPr>
            <w:tcW w:w="5953" w:type="dxa"/>
            <w:tcBorders>
              <w:top w:val="nil"/>
              <w:left w:val="nil"/>
              <w:bottom w:val="single" w:sz="4" w:space="0" w:color="auto"/>
              <w:right w:val="single" w:sz="4" w:space="0" w:color="auto"/>
            </w:tcBorders>
            <w:noWrap/>
            <w:vAlign w:val="center"/>
            <w:hideMark/>
          </w:tcPr>
          <w:p w14:paraId="56A0A2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VARSTVO IN DELO GOLOVEC CELJE</w:t>
            </w:r>
          </w:p>
        </w:tc>
      </w:tr>
      <w:tr w:rsidR="00F24E18" w14:paraId="6A9951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1C83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w:t>
            </w:r>
          </w:p>
        </w:tc>
        <w:tc>
          <w:tcPr>
            <w:tcW w:w="1300" w:type="dxa"/>
            <w:tcBorders>
              <w:top w:val="nil"/>
              <w:left w:val="nil"/>
              <w:bottom w:val="single" w:sz="4" w:space="0" w:color="auto"/>
              <w:right w:val="single" w:sz="4" w:space="0" w:color="auto"/>
            </w:tcBorders>
            <w:noWrap/>
            <w:vAlign w:val="center"/>
            <w:hideMark/>
          </w:tcPr>
          <w:p w14:paraId="1EEED3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5085411000</w:t>
            </w:r>
          </w:p>
        </w:tc>
        <w:tc>
          <w:tcPr>
            <w:tcW w:w="1012" w:type="dxa"/>
            <w:tcBorders>
              <w:top w:val="nil"/>
              <w:left w:val="nil"/>
              <w:bottom w:val="single" w:sz="4" w:space="0" w:color="auto"/>
              <w:right w:val="single" w:sz="4" w:space="0" w:color="auto"/>
            </w:tcBorders>
            <w:noWrap/>
            <w:vAlign w:val="center"/>
            <w:hideMark/>
          </w:tcPr>
          <w:p w14:paraId="4B270B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24210978</w:t>
            </w:r>
          </w:p>
        </w:tc>
        <w:tc>
          <w:tcPr>
            <w:tcW w:w="5953" w:type="dxa"/>
            <w:tcBorders>
              <w:top w:val="nil"/>
              <w:left w:val="nil"/>
              <w:bottom w:val="single" w:sz="4" w:space="0" w:color="auto"/>
              <w:right w:val="single" w:sz="4" w:space="0" w:color="auto"/>
            </w:tcBorders>
            <w:noWrap/>
            <w:vAlign w:val="center"/>
            <w:hideMark/>
          </w:tcPr>
          <w:p w14:paraId="33DE1A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VZGOJO, IZOBRAŽEVANJE, USPOSABLJANJE IN SVETOVANJE GUSTAVA ŠILIHA MARIBOR</w:t>
            </w:r>
          </w:p>
        </w:tc>
      </w:tr>
      <w:tr w:rsidR="00F24E18" w14:paraId="40E3EB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CF65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w:t>
            </w:r>
          </w:p>
        </w:tc>
        <w:tc>
          <w:tcPr>
            <w:tcW w:w="1300" w:type="dxa"/>
            <w:tcBorders>
              <w:top w:val="nil"/>
              <w:left w:val="nil"/>
              <w:bottom w:val="single" w:sz="4" w:space="0" w:color="auto"/>
              <w:right w:val="single" w:sz="4" w:space="0" w:color="auto"/>
            </w:tcBorders>
            <w:noWrap/>
            <w:vAlign w:val="center"/>
            <w:hideMark/>
          </w:tcPr>
          <w:p w14:paraId="2D7800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6974708000</w:t>
            </w:r>
          </w:p>
        </w:tc>
        <w:tc>
          <w:tcPr>
            <w:tcW w:w="1012" w:type="dxa"/>
            <w:tcBorders>
              <w:top w:val="nil"/>
              <w:left w:val="nil"/>
              <w:bottom w:val="single" w:sz="4" w:space="0" w:color="auto"/>
              <w:right w:val="single" w:sz="4" w:space="0" w:color="auto"/>
            </w:tcBorders>
            <w:noWrap/>
            <w:vAlign w:val="center"/>
            <w:hideMark/>
          </w:tcPr>
          <w:p w14:paraId="6FACC2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49198475</w:t>
            </w:r>
          </w:p>
        </w:tc>
        <w:tc>
          <w:tcPr>
            <w:tcW w:w="5953" w:type="dxa"/>
            <w:tcBorders>
              <w:top w:val="nil"/>
              <w:left w:val="nil"/>
              <w:bottom w:val="single" w:sz="4" w:space="0" w:color="auto"/>
              <w:right w:val="single" w:sz="4" w:space="0" w:color="auto"/>
            </w:tcBorders>
            <w:noWrap/>
            <w:vAlign w:val="center"/>
            <w:hideMark/>
          </w:tcPr>
          <w:p w14:paraId="51A4F8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CENTER ZA ZAŠČITO IN REŠEVANJE DOMŽALE</w:t>
            </w:r>
          </w:p>
        </w:tc>
      </w:tr>
      <w:tr w:rsidR="00F24E18" w14:paraId="2404E19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D2FB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w:t>
            </w:r>
          </w:p>
        </w:tc>
        <w:tc>
          <w:tcPr>
            <w:tcW w:w="1300" w:type="dxa"/>
            <w:tcBorders>
              <w:top w:val="nil"/>
              <w:left w:val="nil"/>
              <w:bottom w:val="single" w:sz="4" w:space="0" w:color="auto"/>
              <w:right w:val="single" w:sz="4" w:space="0" w:color="auto"/>
            </w:tcBorders>
            <w:vAlign w:val="center"/>
            <w:hideMark/>
          </w:tcPr>
          <w:p w14:paraId="72F97F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5052050000</w:t>
            </w:r>
          </w:p>
        </w:tc>
        <w:tc>
          <w:tcPr>
            <w:tcW w:w="1012" w:type="dxa"/>
            <w:tcBorders>
              <w:top w:val="nil"/>
              <w:left w:val="nil"/>
              <w:bottom w:val="single" w:sz="4" w:space="0" w:color="auto"/>
              <w:right w:val="single" w:sz="4" w:space="0" w:color="auto"/>
            </w:tcBorders>
            <w:vAlign w:val="center"/>
            <w:hideMark/>
          </w:tcPr>
          <w:p w14:paraId="68A6C3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23576430</w:t>
            </w:r>
          </w:p>
        </w:tc>
        <w:tc>
          <w:tcPr>
            <w:tcW w:w="5953" w:type="dxa"/>
            <w:tcBorders>
              <w:top w:val="nil"/>
              <w:left w:val="nil"/>
              <w:bottom w:val="single" w:sz="4" w:space="0" w:color="auto"/>
              <w:right w:val="single" w:sz="4" w:space="0" w:color="auto"/>
            </w:tcBorders>
            <w:noWrap/>
            <w:vAlign w:val="center"/>
            <w:hideMark/>
          </w:tcPr>
          <w:p w14:paraId="609DE2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CENTRALNA TEHNIŠKA KNJIŽNICA UNIVERZE V LJUBLJANI</w:t>
            </w:r>
          </w:p>
        </w:tc>
      </w:tr>
      <w:tr w:rsidR="00F24E18" w14:paraId="18AF00A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5038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w:t>
            </w:r>
          </w:p>
        </w:tc>
        <w:tc>
          <w:tcPr>
            <w:tcW w:w="1300" w:type="dxa"/>
            <w:tcBorders>
              <w:top w:val="nil"/>
              <w:left w:val="nil"/>
              <w:bottom w:val="single" w:sz="4" w:space="0" w:color="auto"/>
              <w:right w:val="single" w:sz="4" w:space="0" w:color="auto"/>
            </w:tcBorders>
            <w:noWrap/>
            <w:vAlign w:val="center"/>
            <w:hideMark/>
          </w:tcPr>
          <w:p w14:paraId="229BFD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2145863000</w:t>
            </w:r>
          </w:p>
        </w:tc>
        <w:tc>
          <w:tcPr>
            <w:tcW w:w="1012" w:type="dxa"/>
            <w:tcBorders>
              <w:top w:val="nil"/>
              <w:left w:val="nil"/>
              <w:bottom w:val="single" w:sz="4" w:space="0" w:color="auto"/>
              <w:right w:val="single" w:sz="4" w:space="0" w:color="auto"/>
            </w:tcBorders>
            <w:noWrap/>
            <w:vAlign w:val="center"/>
            <w:hideMark/>
          </w:tcPr>
          <w:p w14:paraId="556276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87585995</w:t>
            </w:r>
          </w:p>
        </w:tc>
        <w:tc>
          <w:tcPr>
            <w:tcW w:w="5953" w:type="dxa"/>
            <w:tcBorders>
              <w:top w:val="nil"/>
              <w:left w:val="nil"/>
              <w:bottom w:val="single" w:sz="4" w:space="0" w:color="auto"/>
              <w:right w:val="single" w:sz="4" w:space="0" w:color="auto"/>
            </w:tcBorders>
            <w:noWrap/>
            <w:vAlign w:val="center"/>
            <w:hideMark/>
          </w:tcPr>
          <w:p w14:paraId="3D6CF9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CENTRO ITALIANO DI PROMOZIONE, CULTURA, FORMAZIONE E SVILUPPO CARLO COMBI - CAPODISTRIA - PROMOCIJSKO, KULTURNO, IZOBRAŽEVALNO IN RAZVOJNO ITALIJANSKO SREDIŠČE CARLO COMBI - KOPER</w:t>
            </w:r>
          </w:p>
        </w:tc>
      </w:tr>
      <w:tr w:rsidR="00F24E18" w14:paraId="5EF9DD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B9AD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w:t>
            </w:r>
          </w:p>
        </w:tc>
        <w:tc>
          <w:tcPr>
            <w:tcW w:w="1300" w:type="dxa"/>
            <w:tcBorders>
              <w:top w:val="nil"/>
              <w:left w:val="nil"/>
              <w:bottom w:val="single" w:sz="4" w:space="0" w:color="auto"/>
              <w:right w:val="single" w:sz="4" w:space="0" w:color="auto"/>
            </w:tcBorders>
            <w:vAlign w:val="center"/>
            <w:hideMark/>
          </w:tcPr>
          <w:p w14:paraId="4A50AA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2156890000</w:t>
            </w:r>
          </w:p>
        </w:tc>
        <w:tc>
          <w:tcPr>
            <w:tcW w:w="1012" w:type="dxa"/>
            <w:tcBorders>
              <w:top w:val="nil"/>
              <w:left w:val="nil"/>
              <w:bottom w:val="single" w:sz="4" w:space="0" w:color="auto"/>
              <w:right w:val="single" w:sz="4" w:space="0" w:color="auto"/>
            </w:tcBorders>
            <w:vAlign w:val="center"/>
            <w:hideMark/>
          </w:tcPr>
          <w:p w14:paraId="13A693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66262399</w:t>
            </w:r>
          </w:p>
        </w:tc>
        <w:tc>
          <w:tcPr>
            <w:tcW w:w="5953" w:type="dxa"/>
            <w:tcBorders>
              <w:top w:val="nil"/>
              <w:left w:val="nil"/>
              <w:bottom w:val="single" w:sz="4" w:space="0" w:color="auto"/>
              <w:right w:val="single" w:sz="4" w:space="0" w:color="auto"/>
            </w:tcBorders>
            <w:noWrap/>
            <w:vAlign w:val="center"/>
            <w:hideMark/>
          </w:tcPr>
          <w:p w14:paraId="786BE9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CEROD, CENTER ZA RAVNANJE Z ODPADKI, D.O.O., JAVNO PODJETJE</w:t>
            </w:r>
          </w:p>
        </w:tc>
      </w:tr>
      <w:tr w:rsidR="00F24E18" w14:paraId="132B77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A9A3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78</w:t>
            </w:r>
          </w:p>
        </w:tc>
        <w:tc>
          <w:tcPr>
            <w:tcW w:w="1300" w:type="dxa"/>
            <w:tcBorders>
              <w:top w:val="nil"/>
              <w:left w:val="nil"/>
              <w:bottom w:val="single" w:sz="4" w:space="0" w:color="auto"/>
              <w:right w:val="single" w:sz="4" w:space="0" w:color="auto"/>
            </w:tcBorders>
            <w:noWrap/>
            <w:vAlign w:val="center"/>
            <w:hideMark/>
          </w:tcPr>
          <w:p w14:paraId="3101FC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5170087000</w:t>
            </w:r>
          </w:p>
        </w:tc>
        <w:tc>
          <w:tcPr>
            <w:tcW w:w="1012" w:type="dxa"/>
            <w:tcBorders>
              <w:top w:val="nil"/>
              <w:left w:val="nil"/>
              <w:bottom w:val="single" w:sz="4" w:space="0" w:color="auto"/>
              <w:right w:val="single" w:sz="4" w:space="0" w:color="auto"/>
            </w:tcBorders>
            <w:noWrap/>
            <w:vAlign w:val="center"/>
            <w:hideMark/>
          </w:tcPr>
          <w:p w14:paraId="343934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55764622</w:t>
            </w:r>
          </w:p>
        </w:tc>
        <w:tc>
          <w:tcPr>
            <w:tcW w:w="5953" w:type="dxa"/>
            <w:tcBorders>
              <w:top w:val="nil"/>
              <w:left w:val="nil"/>
              <w:bottom w:val="single" w:sz="4" w:space="0" w:color="auto"/>
              <w:right w:val="single" w:sz="4" w:space="0" w:color="auto"/>
            </w:tcBorders>
            <w:noWrap/>
            <w:vAlign w:val="center"/>
            <w:hideMark/>
          </w:tcPr>
          <w:p w14:paraId="11981A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COMUNITA' AUTOGESTITA DELLA NAZIONALITA' ITALIANA DI ISOLA, ITALIJANSKA SAMOUPRAVNA NARODNA SKUPNOST-IZOLA</w:t>
            </w:r>
          </w:p>
        </w:tc>
      </w:tr>
      <w:tr w:rsidR="00F24E18" w14:paraId="6A946D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8AC3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w:t>
            </w:r>
          </w:p>
        </w:tc>
        <w:tc>
          <w:tcPr>
            <w:tcW w:w="1300" w:type="dxa"/>
            <w:tcBorders>
              <w:top w:val="nil"/>
              <w:left w:val="nil"/>
              <w:bottom w:val="single" w:sz="4" w:space="0" w:color="auto"/>
              <w:right w:val="single" w:sz="4" w:space="0" w:color="auto"/>
            </w:tcBorders>
            <w:noWrap/>
            <w:vAlign w:val="center"/>
            <w:hideMark/>
          </w:tcPr>
          <w:p w14:paraId="378DB6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2482924000</w:t>
            </w:r>
          </w:p>
        </w:tc>
        <w:tc>
          <w:tcPr>
            <w:tcW w:w="1012" w:type="dxa"/>
            <w:tcBorders>
              <w:top w:val="nil"/>
              <w:left w:val="nil"/>
              <w:bottom w:val="single" w:sz="4" w:space="0" w:color="auto"/>
              <w:right w:val="single" w:sz="4" w:space="0" w:color="auto"/>
            </w:tcBorders>
            <w:noWrap/>
            <w:vAlign w:val="center"/>
            <w:hideMark/>
          </w:tcPr>
          <w:p w14:paraId="52A999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95657754</w:t>
            </w:r>
          </w:p>
        </w:tc>
        <w:tc>
          <w:tcPr>
            <w:tcW w:w="5953" w:type="dxa"/>
            <w:tcBorders>
              <w:top w:val="nil"/>
              <w:left w:val="nil"/>
              <w:bottom w:val="single" w:sz="4" w:space="0" w:color="auto"/>
              <w:right w:val="single" w:sz="4" w:space="0" w:color="auto"/>
            </w:tcBorders>
            <w:noWrap/>
            <w:vAlign w:val="center"/>
            <w:hideMark/>
          </w:tcPr>
          <w:p w14:paraId="4F6180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COMUNITA` AUTOGESTITA DELLA NAZIONALITA` ITALIANA DI ANCARANO - SAMOUPRAVNA SKUPNOST ITALIJANSKE NARODNOSTI ANKARAN</w:t>
            </w:r>
          </w:p>
        </w:tc>
      </w:tr>
      <w:tr w:rsidR="00F24E18" w14:paraId="7D25AF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2D89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w:t>
            </w:r>
          </w:p>
        </w:tc>
        <w:tc>
          <w:tcPr>
            <w:tcW w:w="1300" w:type="dxa"/>
            <w:tcBorders>
              <w:top w:val="nil"/>
              <w:left w:val="nil"/>
              <w:bottom w:val="single" w:sz="4" w:space="0" w:color="auto"/>
              <w:right w:val="single" w:sz="4" w:space="0" w:color="auto"/>
            </w:tcBorders>
            <w:vAlign w:val="center"/>
            <w:hideMark/>
          </w:tcPr>
          <w:p w14:paraId="7CFEF7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5141729000</w:t>
            </w:r>
          </w:p>
        </w:tc>
        <w:tc>
          <w:tcPr>
            <w:tcW w:w="1012" w:type="dxa"/>
            <w:tcBorders>
              <w:top w:val="nil"/>
              <w:left w:val="nil"/>
              <w:bottom w:val="single" w:sz="4" w:space="0" w:color="auto"/>
              <w:right w:val="single" w:sz="4" w:space="0" w:color="auto"/>
            </w:tcBorders>
            <w:vAlign w:val="center"/>
            <w:hideMark/>
          </w:tcPr>
          <w:p w14:paraId="5C73DE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81079435</w:t>
            </w:r>
          </w:p>
        </w:tc>
        <w:tc>
          <w:tcPr>
            <w:tcW w:w="5953" w:type="dxa"/>
            <w:tcBorders>
              <w:top w:val="nil"/>
              <w:left w:val="nil"/>
              <w:bottom w:val="single" w:sz="4" w:space="0" w:color="auto"/>
              <w:right w:val="single" w:sz="4" w:space="0" w:color="auto"/>
            </w:tcBorders>
            <w:noWrap/>
            <w:vAlign w:val="center"/>
            <w:hideMark/>
          </w:tcPr>
          <w:p w14:paraId="6435C0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ČEBELARSKA ZVEZA SLOVENIJE</w:t>
            </w:r>
          </w:p>
        </w:tc>
      </w:tr>
      <w:tr w:rsidR="00F24E18" w14:paraId="393FD19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C808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w:t>
            </w:r>
          </w:p>
        </w:tc>
        <w:tc>
          <w:tcPr>
            <w:tcW w:w="1300" w:type="dxa"/>
            <w:tcBorders>
              <w:top w:val="nil"/>
              <w:left w:val="nil"/>
              <w:bottom w:val="single" w:sz="4" w:space="0" w:color="auto"/>
              <w:right w:val="single" w:sz="4" w:space="0" w:color="auto"/>
            </w:tcBorders>
            <w:vAlign w:val="center"/>
            <w:hideMark/>
          </w:tcPr>
          <w:p w14:paraId="79EC5C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1197380000</w:t>
            </w:r>
          </w:p>
        </w:tc>
        <w:tc>
          <w:tcPr>
            <w:tcW w:w="1012" w:type="dxa"/>
            <w:tcBorders>
              <w:top w:val="nil"/>
              <w:left w:val="nil"/>
              <w:bottom w:val="single" w:sz="4" w:space="0" w:color="auto"/>
              <w:right w:val="single" w:sz="4" w:space="0" w:color="auto"/>
            </w:tcBorders>
            <w:vAlign w:val="center"/>
            <w:hideMark/>
          </w:tcPr>
          <w:p w14:paraId="7B9874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39046923</w:t>
            </w:r>
          </w:p>
        </w:tc>
        <w:tc>
          <w:tcPr>
            <w:tcW w:w="5953" w:type="dxa"/>
            <w:tcBorders>
              <w:top w:val="nil"/>
              <w:left w:val="nil"/>
              <w:bottom w:val="single" w:sz="4" w:space="0" w:color="auto"/>
              <w:right w:val="single" w:sz="4" w:space="0" w:color="auto"/>
            </w:tcBorders>
            <w:noWrap/>
            <w:vAlign w:val="center"/>
            <w:hideMark/>
          </w:tcPr>
          <w:p w14:paraId="22CD4E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ČISTA NARAVA, JAVNO KOMUNALNO PODJETJE D.O.O.</w:t>
            </w:r>
          </w:p>
        </w:tc>
      </w:tr>
      <w:tr w:rsidR="00F24E18" w14:paraId="742AC03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57FC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w:t>
            </w:r>
          </w:p>
        </w:tc>
        <w:tc>
          <w:tcPr>
            <w:tcW w:w="1300" w:type="dxa"/>
            <w:tcBorders>
              <w:top w:val="nil"/>
              <w:left w:val="nil"/>
              <w:bottom w:val="single" w:sz="4" w:space="0" w:color="auto"/>
              <w:right w:val="single" w:sz="4" w:space="0" w:color="auto"/>
            </w:tcBorders>
            <w:vAlign w:val="center"/>
            <w:hideMark/>
          </w:tcPr>
          <w:p w14:paraId="2A8EC1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1646877000</w:t>
            </w:r>
          </w:p>
        </w:tc>
        <w:tc>
          <w:tcPr>
            <w:tcW w:w="1012" w:type="dxa"/>
            <w:tcBorders>
              <w:top w:val="nil"/>
              <w:left w:val="nil"/>
              <w:bottom w:val="single" w:sz="4" w:space="0" w:color="auto"/>
              <w:right w:val="single" w:sz="4" w:space="0" w:color="auto"/>
            </w:tcBorders>
            <w:vAlign w:val="center"/>
            <w:hideMark/>
          </w:tcPr>
          <w:p w14:paraId="41A6F3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63283786</w:t>
            </w:r>
          </w:p>
        </w:tc>
        <w:tc>
          <w:tcPr>
            <w:tcW w:w="5953" w:type="dxa"/>
            <w:tcBorders>
              <w:top w:val="nil"/>
              <w:left w:val="nil"/>
              <w:bottom w:val="single" w:sz="4" w:space="0" w:color="auto"/>
              <w:right w:val="single" w:sz="4" w:space="0" w:color="auto"/>
            </w:tcBorders>
            <w:noWrap/>
            <w:vAlign w:val="center"/>
            <w:hideMark/>
          </w:tcPr>
          <w:p w14:paraId="3CD5E1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D.S.U., DRUŽBA ZA SVETOVANJE IN UPRAVLJANJE, D.O.O.</w:t>
            </w:r>
          </w:p>
        </w:tc>
      </w:tr>
      <w:tr w:rsidR="00F24E18" w14:paraId="7BCFDC5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1C3F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w:t>
            </w:r>
          </w:p>
        </w:tc>
        <w:tc>
          <w:tcPr>
            <w:tcW w:w="1300" w:type="dxa"/>
            <w:tcBorders>
              <w:top w:val="nil"/>
              <w:left w:val="nil"/>
              <w:bottom w:val="single" w:sz="4" w:space="0" w:color="auto"/>
              <w:right w:val="single" w:sz="4" w:space="0" w:color="auto"/>
            </w:tcBorders>
            <w:noWrap/>
            <w:vAlign w:val="center"/>
            <w:hideMark/>
          </w:tcPr>
          <w:p w14:paraId="01AE2C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5840481000</w:t>
            </w:r>
          </w:p>
        </w:tc>
        <w:tc>
          <w:tcPr>
            <w:tcW w:w="1012" w:type="dxa"/>
            <w:tcBorders>
              <w:top w:val="nil"/>
              <w:left w:val="nil"/>
              <w:bottom w:val="single" w:sz="4" w:space="0" w:color="auto"/>
              <w:right w:val="single" w:sz="4" w:space="0" w:color="auto"/>
            </w:tcBorders>
            <w:noWrap/>
            <w:vAlign w:val="center"/>
            <w:hideMark/>
          </w:tcPr>
          <w:p w14:paraId="11F1ED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25019562</w:t>
            </w:r>
          </w:p>
        </w:tc>
        <w:tc>
          <w:tcPr>
            <w:tcW w:w="5953" w:type="dxa"/>
            <w:tcBorders>
              <w:top w:val="nil"/>
              <w:left w:val="nil"/>
              <w:bottom w:val="single" w:sz="4" w:space="0" w:color="auto"/>
              <w:right w:val="single" w:sz="4" w:space="0" w:color="auto"/>
            </w:tcBorders>
            <w:noWrap/>
            <w:vAlign w:val="center"/>
            <w:hideMark/>
          </w:tcPr>
          <w:p w14:paraId="092F6F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DELOVNO IN SOCIALNO SODIŠČE V LJUBLJANI</w:t>
            </w:r>
          </w:p>
        </w:tc>
      </w:tr>
      <w:tr w:rsidR="00F24E18" w14:paraId="2E56214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44A6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w:t>
            </w:r>
          </w:p>
        </w:tc>
        <w:tc>
          <w:tcPr>
            <w:tcW w:w="1300" w:type="dxa"/>
            <w:tcBorders>
              <w:top w:val="nil"/>
              <w:left w:val="nil"/>
              <w:bottom w:val="single" w:sz="4" w:space="0" w:color="auto"/>
              <w:right w:val="single" w:sz="4" w:space="0" w:color="auto"/>
            </w:tcBorders>
            <w:noWrap/>
            <w:vAlign w:val="center"/>
            <w:hideMark/>
          </w:tcPr>
          <w:p w14:paraId="14BE40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5022584000</w:t>
            </w:r>
          </w:p>
        </w:tc>
        <w:tc>
          <w:tcPr>
            <w:tcW w:w="1012" w:type="dxa"/>
            <w:tcBorders>
              <w:top w:val="nil"/>
              <w:left w:val="nil"/>
              <w:bottom w:val="single" w:sz="4" w:space="0" w:color="auto"/>
              <w:right w:val="single" w:sz="4" w:space="0" w:color="auto"/>
            </w:tcBorders>
            <w:noWrap/>
            <w:vAlign w:val="center"/>
            <w:hideMark/>
          </w:tcPr>
          <w:p w14:paraId="61B5FC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58934294</w:t>
            </w:r>
          </w:p>
        </w:tc>
        <w:tc>
          <w:tcPr>
            <w:tcW w:w="5953" w:type="dxa"/>
            <w:tcBorders>
              <w:top w:val="nil"/>
              <w:left w:val="nil"/>
              <w:bottom w:val="single" w:sz="4" w:space="0" w:color="auto"/>
              <w:right w:val="single" w:sz="4" w:space="0" w:color="auto"/>
            </w:tcBorders>
            <w:noWrap/>
            <w:vAlign w:val="center"/>
            <w:hideMark/>
          </w:tcPr>
          <w:p w14:paraId="1DB11A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DELOVNO SODIŠČE V KOPRU</w:t>
            </w:r>
          </w:p>
        </w:tc>
      </w:tr>
      <w:tr w:rsidR="00F24E18" w14:paraId="7822461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481F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w:t>
            </w:r>
          </w:p>
        </w:tc>
        <w:tc>
          <w:tcPr>
            <w:tcW w:w="1300" w:type="dxa"/>
            <w:tcBorders>
              <w:top w:val="nil"/>
              <w:left w:val="nil"/>
              <w:bottom w:val="single" w:sz="4" w:space="0" w:color="auto"/>
              <w:right w:val="single" w:sz="4" w:space="0" w:color="auto"/>
            </w:tcBorders>
            <w:vAlign w:val="center"/>
            <w:hideMark/>
          </w:tcPr>
          <w:p w14:paraId="1EEF2D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5051037000</w:t>
            </w:r>
          </w:p>
        </w:tc>
        <w:tc>
          <w:tcPr>
            <w:tcW w:w="1012" w:type="dxa"/>
            <w:tcBorders>
              <w:top w:val="nil"/>
              <w:left w:val="nil"/>
              <w:bottom w:val="single" w:sz="4" w:space="0" w:color="auto"/>
              <w:right w:val="single" w:sz="4" w:space="0" w:color="auto"/>
            </w:tcBorders>
            <w:vAlign w:val="center"/>
            <w:hideMark/>
          </w:tcPr>
          <w:p w14:paraId="58BFD9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62534483</w:t>
            </w:r>
          </w:p>
        </w:tc>
        <w:tc>
          <w:tcPr>
            <w:tcW w:w="5953" w:type="dxa"/>
            <w:tcBorders>
              <w:top w:val="nil"/>
              <w:left w:val="nil"/>
              <w:bottom w:val="single" w:sz="4" w:space="0" w:color="auto"/>
              <w:right w:val="single" w:sz="4" w:space="0" w:color="auto"/>
            </w:tcBorders>
            <w:noWrap/>
            <w:vAlign w:val="center"/>
            <w:hideMark/>
          </w:tcPr>
          <w:p w14:paraId="5304BF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DOM BEŽIGRAD LJUBLJANA</w:t>
            </w:r>
          </w:p>
        </w:tc>
      </w:tr>
      <w:tr w:rsidR="00F24E18" w14:paraId="3758B85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E8B2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w:t>
            </w:r>
          </w:p>
        </w:tc>
        <w:tc>
          <w:tcPr>
            <w:tcW w:w="1300" w:type="dxa"/>
            <w:tcBorders>
              <w:top w:val="nil"/>
              <w:left w:val="nil"/>
              <w:bottom w:val="single" w:sz="4" w:space="0" w:color="auto"/>
              <w:right w:val="single" w:sz="4" w:space="0" w:color="auto"/>
            </w:tcBorders>
            <w:vAlign w:val="center"/>
            <w:hideMark/>
          </w:tcPr>
          <w:p w14:paraId="5B03B6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5920671000</w:t>
            </w:r>
          </w:p>
        </w:tc>
        <w:tc>
          <w:tcPr>
            <w:tcW w:w="1012" w:type="dxa"/>
            <w:tcBorders>
              <w:top w:val="nil"/>
              <w:left w:val="nil"/>
              <w:bottom w:val="single" w:sz="4" w:space="0" w:color="auto"/>
              <w:right w:val="single" w:sz="4" w:space="0" w:color="auto"/>
            </w:tcBorders>
            <w:vAlign w:val="center"/>
            <w:hideMark/>
          </w:tcPr>
          <w:p w14:paraId="386DD6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66034400</w:t>
            </w:r>
          </w:p>
        </w:tc>
        <w:tc>
          <w:tcPr>
            <w:tcW w:w="5953" w:type="dxa"/>
            <w:tcBorders>
              <w:top w:val="nil"/>
              <w:left w:val="nil"/>
              <w:bottom w:val="single" w:sz="4" w:space="0" w:color="auto"/>
              <w:right w:val="single" w:sz="4" w:space="0" w:color="auto"/>
            </w:tcBorders>
            <w:noWrap/>
            <w:vAlign w:val="center"/>
            <w:hideMark/>
          </w:tcPr>
          <w:p w14:paraId="68C3B7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DOM DRAVA MARIBOR</w:t>
            </w:r>
          </w:p>
        </w:tc>
      </w:tr>
      <w:tr w:rsidR="00F24E18" w14:paraId="730B09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A573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w:t>
            </w:r>
          </w:p>
        </w:tc>
        <w:tc>
          <w:tcPr>
            <w:tcW w:w="1300" w:type="dxa"/>
            <w:tcBorders>
              <w:top w:val="nil"/>
              <w:left w:val="nil"/>
              <w:bottom w:val="single" w:sz="4" w:space="0" w:color="auto"/>
              <w:right w:val="single" w:sz="4" w:space="0" w:color="auto"/>
            </w:tcBorders>
            <w:noWrap/>
            <w:vAlign w:val="center"/>
            <w:hideMark/>
          </w:tcPr>
          <w:p w14:paraId="234018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5050120000</w:t>
            </w:r>
          </w:p>
        </w:tc>
        <w:tc>
          <w:tcPr>
            <w:tcW w:w="1012" w:type="dxa"/>
            <w:tcBorders>
              <w:top w:val="nil"/>
              <w:left w:val="nil"/>
              <w:bottom w:val="single" w:sz="4" w:space="0" w:color="auto"/>
              <w:right w:val="single" w:sz="4" w:space="0" w:color="auto"/>
            </w:tcBorders>
            <w:vAlign w:val="center"/>
            <w:hideMark/>
          </w:tcPr>
          <w:p w14:paraId="6D0B1F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64516334</w:t>
            </w:r>
          </w:p>
        </w:tc>
        <w:tc>
          <w:tcPr>
            <w:tcW w:w="5953" w:type="dxa"/>
            <w:tcBorders>
              <w:top w:val="nil"/>
              <w:left w:val="nil"/>
              <w:bottom w:val="single" w:sz="4" w:space="0" w:color="auto"/>
              <w:right w:val="single" w:sz="4" w:space="0" w:color="auto"/>
            </w:tcBorders>
            <w:noWrap/>
            <w:vAlign w:val="center"/>
            <w:hideMark/>
          </w:tcPr>
          <w:p w14:paraId="5EBC26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DOM IVANA CANKARJA</w:t>
            </w:r>
          </w:p>
        </w:tc>
      </w:tr>
      <w:tr w:rsidR="00F24E18" w14:paraId="2C1AA97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7A0C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w:t>
            </w:r>
          </w:p>
        </w:tc>
        <w:tc>
          <w:tcPr>
            <w:tcW w:w="1300" w:type="dxa"/>
            <w:tcBorders>
              <w:top w:val="nil"/>
              <w:left w:val="nil"/>
              <w:bottom w:val="single" w:sz="4" w:space="0" w:color="auto"/>
              <w:right w:val="single" w:sz="4" w:space="0" w:color="auto"/>
            </w:tcBorders>
            <w:noWrap/>
            <w:vAlign w:val="center"/>
            <w:hideMark/>
          </w:tcPr>
          <w:p w14:paraId="2A3071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5051258000</w:t>
            </w:r>
          </w:p>
        </w:tc>
        <w:tc>
          <w:tcPr>
            <w:tcW w:w="1012" w:type="dxa"/>
            <w:tcBorders>
              <w:top w:val="nil"/>
              <w:left w:val="nil"/>
              <w:bottom w:val="single" w:sz="4" w:space="0" w:color="auto"/>
              <w:right w:val="single" w:sz="4" w:space="0" w:color="auto"/>
            </w:tcBorders>
            <w:noWrap/>
            <w:vAlign w:val="center"/>
            <w:hideMark/>
          </w:tcPr>
          <w:p w14:paraId="1F75C2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21107815</w:t>
            </w:r>
          </w:p>
        </w:tc>
        <w:tc>
          <w:tcPr>
            <w:tcW w:w="5953" w:type="dxa"/>
            <w:tcBorders>
              <w:top w:val="nil"/>
              <w:left w:val="nil"/>
              <w:bottom w:val="single" w:sz="4" w:space="0" w:color="auto"/>
              <w:right w:val="single" w:sz="4" w:space="0" w:color="auto"/>
            </w:tcBorders>
            <w:noWrap/>
            <w:vAlign w:val="center"/>
            <w:hideMark/>
          </w:tcPr>
          <w:p w14:paraId="03C4B3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DOM LIZIKE JANČAR</w:t>
            </w:r>
          </w:p>
        </w:tc>
      </w:tr>
      <w:tr w:rsidR="00F24E18" w14:paraId="604262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E394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w:t>
            </w:r>
          </w:p>
        </w:tc>
        <w:tc>
          <w:tcPr>
            <w:tcW w:w="1300" w:type="dxa"/>
            <w:tcBorders>
              <w:top w:val="nil"/>
              <w:left w:val="nil"/>
              <w:bottom w:val="single" w:sz="4" w:space="0" w:color="auto"/>
              <w:right w:val="single" w:sz="4" w:space="0" w:color="auto"/>
            </w:tcBorders>
            <w:vAlign w:val="center"/>
            <w:hideMark/>
          </w:tcPr>
          <w:p w14:paraId="56C0A4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5050529000</w:t>
            </w:r>
          </w:p>
        </w:tc>
        <w:tc>
          <w:tcPr>
            <w:tcW w:w="1012" w:type="dxa"/>
            <w:tcBorders>
              <w:top w:val="nil"/>
              <w:left w:val="nil"/>
              <w:bottom w:val="single" w:sz="4" w:space="0" w:color="auto"/>
              <w:right w:val="single" w:sz="4" w:space="0" w:color="auto"/>
            </w:tcBorders>
            <w:vAlign w:val="center"/>
            <w:hideMark/>
          </w:tcPr>
          <w:p w14:paraId="3776C3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69609322</w:t>
            </w:r>
          </w:p>
        </w:tc>
        <w:tc>
          <w:tcPr>
            <w:tcW w:w="5953" w:type="dxa"/>
            <w:tcBorders>
              <w:top w:val="nil"/>
              <w:left w:val="nil"/>
              <w:bottom w:val="single" w:sz="4" w:space="0" w:color="auto"/>
              <w:right w:val="single" w:sz="4" w:space="0" w:color="auto"/>
            </w:tcBorders>
            <w:noWrap/>
            <w:vAlign w:val="center"/>
            <w:hideMark/>
          </w:tcPr>
          <w:p w14:paraId="622FD6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DOM NOVA GORICA</w:t>
            </w:r>
          </w:p>
        </w:tc>
      </w:tr>
      <w:tr w:rsidR="00F24E18" w14:paraId="75EA31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CE69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w:t>
            </w:r>
          </w:p>
        </w:tc>
        <w:tc>
          <w:tcPr>
            <w:tcW w:w="1300" w:type="dxa"/>
            <w:tcBorders>
              <w:top w:val="nil"/>
              <w:left w:val="nil"/>
              <w:bottom w:val="single" w:sz="4" w:space="0" w:color="auto"/>
              <w:right w:val="single" w:sz="4" w:space="0" w:color="auto"/>
            </w:tcBorders>
            <w:vAlign w:val="center"/>
            <w:hideMark/>
          </w:tcPr>
          <w:p w14:paraId="22A296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5055555000</w:t>
            </w:r>
          </w:p>
        </w:tc>
        <w:tc>
          <w:tcPr>
            <w:tcW w:w="1012" w:type="dxa"/>
            <w:tcBorders>
              <w:top w:val="nil"/>
              <w:left w:val="nil"/>
              <w:bottom w:val="single" w:sz="4" w:space="0" w:color="auto"/>
              <w:right w:val="single" w:sz="4" w:space="0" w:color="auto"/>
            </w:tcBorders>
            <w:vAlign w:val="center"/>
            <w:hideMark/>
          </w:tcPr>
          <w:p w14:paraId="52805B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60977329</w:t>
            </w:r>
          </w:p>
        </w:tc>
        <w:tc>
          <w:tcPr>
            <w:tcW w:w="5953" w:type="dxa"/>
            <w:tcBorders>
              <w:top w:val="nil"/>
              <w:left w:val="nil"/>
              <w:bottom w:val="single" w:sz="4" w:space="0" w:color="auto"/>
              <w:right w:val="single" w:sz="4" w:space="0" w:color="auto"/>
            </w:tcBorders>
            <w:noWrap/>
            <w:vAlign w:val="center"/>
            <w:hideMark/>
          </w:tcPr>
          <w:p w14:paraId="2155DC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DOM TABOR</w:t>
            </w:r>
          </w:p>
        </w:tc>
      </w:tr>
      <w:tr w:rsidR="00F24E18" w14:paraId="45EB10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7079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w:t>
            </w:r>
          </w:p>
        </w:tc>
        <w:tc>
          <w:tcPr>
            <w:tcW w:w="1300" w:type="dxa"/>
            <w:tcBorders>
              <w:top w:val="nil"/>
              <w:left w:val="nil"/>
              <w:bottom w:val="single" w:sz="4" w:space="0" w:color="auto"/>
              <w:right w:val="single" w:sz="4" w:space="0" w:color="auto"/>
            </w:tcBorders>
            <w:noWrap/>
            <w:vAlign w:val="center"/>
            <w:hideMark/>
          </w:tcPr>
          <w:p w14:paraId="5A0382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5050278000</w:t>
            </w:r>
          </w:p>
        </w:tc>
        <w:tc>
          <w:tcPr>
            <w:tcW w:w="1012" w:type="dxa"/>
            <w:tcBorders>
              <w:top w:val="nil"/>
              <w:left w:val="nil"/>
              <w:bottom w:val="single" w:sz="4" w:space="0" w:color="auto"/>
              <w:right w:val="single" w:sz="4" w:space="0" w:color="auto"/>
            </w:tcBorders>
            <w:noWrap/>
            <w:vAlign w:val="center"/>
            <w:hideMark/>
          </w:tcPr>
          <w:p w14:paraId="53BF86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93128436</w:t>
            </w:r>
          </w:p>
        </w:tc>
        <w:tc>
          <w:tcPr>
            <w:tcW w:w="5953" w:type="dxa"/>
            <w:tcBorders>
              <w:top w:val="nil"/>
              <w:left w:val="nil"/>
              <w:bottom w:val="single" w:sz="4" w:space="0" w:color="auto"/>
              <w:right w:val="single" w:sz="4" w:space="0" w:color="auto"/>
            </w:tcBorders>
            <w:noWrap/>
            <w:vAlign w:val="center"/>
            <w:hideMark/>
          </w:tcPr>
          <w:p w14:paraId="75908F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DOM VIČ</w:t>
            </w:r>
          </w:p>
        </w:tc>
      </w:tr>
      <w:tr w:rsidR="00F24E18" w14:paraId="64C449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ECD5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w:t>
            </w:r>
          </w:p>
        </w:tc>
        <w:tc>
          <w:tcPr>
            <w:tcW w:w="1300" w:type="dxa"/>
            <w:tcBorders>
              <w:top w:val="nil"/>
              <w:left w:val="nil"/>
              <w:bottom w:val="single" w:sz="4" w:space="0" w:color="auto"/>
              <w:right w:val="single" w:sz="4" w:space="0" w:color="auto"/>
            </w:tcBorders>
            <w:noWrap/>
            <w:vAlign w:val="center"/>
            <w:hideMark/>
          </w:tcPr>
          <w:p w14:paraId="49BF09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5050995000</w:t>
            </w:r>
          </w:p>
        </w:tc>
        <w:tc>
          <w:tcPr>
            <w:tcW w:w="1012" w:type="dxa"/>
            <w:tcBorders>
              <w:top w:val="nil"/>
              <w:left w:val="nil"/>
              <w:bottom w:val="single" w:sz="4" w:space="0" w:color="auto"/>
              <w:right w:val="single" w:sz="4" w:space="0" w:color="auto"/>
            </w:tcBorders>
            <w:vAlign w:val="center"/>
            <w:hideMark/>
          </w:tcPr>
          <w:p w14:paraId="40E494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69749426</w:t>
            </w:r>
          </w:p>
        </w:tc>
        <w:tc>
          <w:tcPr>
            <w:tcW w:w="5953" w:type="dxa"/>
            <w:tcBorders>
              <w:top w:val="nil"/>
              <w:left w:val="nil"/>
              <w:bottom w:val="single" w:sz="4" w:space="0" w:color="auto"/>
              <w:right w:val="single" w:sz="4" w:space="0" w:color="auto"/>
            </w:tcBorders>
            <w:noWrap/>
            <w:vAlign w:val="center"/>
            <w:hideMark/>
          </w:tcPr>
          <w:p w14:paraId="1C14CB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IN ŠTUDENTSKI DOM KOPER - CASA DELLO STUDENTE CAPODISTRIA</w:t>
            </w:r>
          </w:p>
        </w:tc>
      </w:tr>
      <w:tr w:rsidR="00F24E18" w14:paraId="17E79E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3EFC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w:t>
            </w:r>
          </w:p>
        </w:tc>
        <w:tc>
          <w:tcPr>
            <w:tcW w:w="1300" w:type="dxa"/>
            <w:tcBorders>
              <w:top w:val="nil"/>
              <w:left w:val="nil"/>
              <w:bottom w:val="single" w:sz="4" w:space="0" w:color="auto"/>
              <w:right w:val="single" w:sz="4" w:space="0" w:color="auto"/>
            </w:tcBorders>
            <w:vAlign w:val="center"/>
            <w:hideMark/>
          </w:tcPr>
          <w:p w14:paraId="605B50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5049814000</w:t>
            </w:r>
          </w:p>
        </w:tc>
        <w:tc>
          <w:tcPr>
            <w:tcW w:w="1012" w:type="dxa"/>
            <w:tcBorders>
              <w:top w:val="nil"/>
              <w:left w:val="nil"/>
              <w:bottom w:val="single" w:sz="4" w:space="0" w:color="auto"/>
              <w:right w:val="single" w:sz="4" w:space="0" w:color="auto"/>
            </w:tcBorders>
            <w:vAlign w:val="center"/>
            <w:hideMark/>
          </w:tcPr>
          <w:p w14:paraId="2A1FFE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97013064</w:t>
            </w:r>
          </w:p>
        </w:tc>
        <w:tc>
          <w:tcPr>
            <w:tcW w:w="5953" w:type="dxa"/>
            <w:tcBorders>
              <w:top w:val="nil"/>
              <w:left w:val="nil"/>
              <w:bottom w:val="single" w:sz="4" w:space="0" w:color="auto"/>
              <w:right w:val="single" w:sz="4" w:space="0" w:color="auto"/>
            </w:tcBorders>
            <w:noWrap/>
            <w:vAlign w:val="center"/>
            <w:hideMark/>
          </w:tcPr>
          <w:p w14:paraId="2881D5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IN ŠTUDENTSKI DOM KRANJ</w:t>
            </w:r>
          </w:p>
        </w:tc>
      </w:tr>
      <w:tr w:rsidR="00F24E18" w14:paraId="1948516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A77F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w:t>
            </w:r>
          </w:p>
        </w:tc>
        <w:tc>
          <w:tcPr>
            <w:tcW w:w="1300" w:type="dxa"/>
            <w:tcBorders>
              <w:top w:val="nil"/>
              <w:left w:val="nil"/>
              <w:bottom w:val="single" w:sz="4" w:space="0" w:color="auto"/>
              <w:right w:val="single" w:sz="4" w:space="0" w:color="auto"/>
            </w:tcBorders>
            <w:vAlign w:val="center"/>
            <w:hideMark/>
          </w:tcPr>
          <w:p w14:paraId="53C54B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5050537000</w:t>
            </w:r>
          </w:p>
        </w:tc>
        <w:tc>
          <w:tcPr>
            <w:tcW w:w="1012" w:type="dxa"/>
            <w:tcBorders>
              <w:top w:val="nil"/>
              <w:left w:val="nil"/>
              <w:bottom w:val="single" w:sz="4" w:space="0" w:color="auto"/>
              <w:right w:val="single" w:sz="4" w:space="0" w:color="auto"/>
            </w:tcBorders>
            <w:vAlign w:val="center"/>
            <w:hideMark/>
          </w:tcPr>
          <w:p w14:paraId="52FA4C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41262735</w:t>
            </w:r>
          </w:p>
        </w:tc>
        <w:tc>
          <w:tcPr>
            <w:tcW w:w="5953" w:type="dxa"/>
            <w:tcBorders>
              <w:top w:val="nil"/>
              <w:left w:val="nil"/>
              <w:bottom w:val="single" w:sz="4" w:space="0" w:color="auto"/>
              <w:right w:val="single" w:sz="4" w:space="0" w:color="auto"/>
            </w:tcBorders>
            <w:noWrap/>
            <w:vAlign w:val="center"/>
            <w:hideMark/>
          </w:tcPr>
          <w:p w14:paraId="6749E7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DIJAŠKI IN ŠTUDENTSKI DOM NOVO MESTO</w:t>
            </w:r>
          </w:p>
        </w:tc>
      </w:tr>
      <w:tr w:rsidR="00F24E18" w14:paraId="1471D2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669E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w:t>
            </w:r>
          </w:p>
        </w:tc>
        <w:tc>
          <w:tcPr>
            <w:tcW w:w="1300" w:type="dxa"/>
            <w:tcBorders>
              <w:top w:val="nil"/>
              <w:left w:val="nil"/>
              <w:bottom w:val="single" w:sz="4" w:space="0" w:color="auto"/>
              <w:right w:val="single" w:sz="4" w:space="0" w:color="auto"/>
            </w:tcBorders>
            <w:noWrap/>
            <w:vAlign w:val="center"/>
            <w:hideMark/>
          </w:tcPr>
          <w:p w14:paraId="29E316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5052211000</w:t>
            </w:r>
          </w:p>
        </w:tc>
        <w:tc>
          <w:tcPr>
            <w:tcW w:w="1012" w:type="dxa"/>
            <w:tcBorders>
              <w:top w:val="nil"/>
              <w:left w:val="nil"/>
              <w:bottom w:val="single" w:sz="4" w:space="0" w:color="auto"/>
              <w:right w:val="single" w:sz="4" w:space="0" w:color="auto"/>
            </w:tcBorders>
            <w:noWrap/>
            <w:vAlign w:val="center"/>
            <w:hideMark/>
          </w:tcPr>
          <w:p w14:paraId="07D61A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97644781</w:t>
            </w:r>
          </w:p>
        </w:tc>
        <w:tc>
          <w:tcPr>
            <w:tcW w:w="5953" w:type="dxa"/>
            <w:tcBorders>
              <w:top w:val="nil"/>
              <w:left w:val="nil"/>
              <w:bottom w:val="single" w:sz="4" w:space="0" w:color="auto"/>
              <w:right w:val="single" w:sz="4" w:space="0" w:color="auto"/>
            </w:tcBorders>
            <w:noWrap/>
            <w:vAlign w:val="center"/>
            <w:hideMark/>
          </w:tcPr>
          <w:p w14:paraId="3BC876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DOLENJSKI MUZEJ NOVO MESTO</w:t>
            </w:r>
          </w:p>
        </w:tc>
      </w:tr>
      <w:tr w:rsidR="00F24E18" w14:paraId="5B7744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B30C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w:t>
            </w:r>
          </w:p>
        </w:tc>
        <w:tc>
          <w:tcPr>
            <w:tcW w:w="1300" w:type="dxa"/>
            <w:tcBorders>
              <w:top w:val="nil"/>
              <w:left w:val="nil"/>
              <w:bottom w:val="single" w:sz="4" w:space="0" w:color="auto"/>
              <w:right w:val="single" w:sz="4" w:space="0" w:color="auto"/>
            </w:tcBorders>
            <w:vAlign w:val="center"/>
            <w:hideMark/>
          </w:tcPr>
          <w:p w14:paraId="08E6F4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5050367000</w:t>
            </w:r>
          </w:p>
        </w:tc>
        <w:tc>
          <w:tcPr>
            <w:tcW w:w="1012" w:type="dxa"/>
            <w:tcBorders>
              <w:top w:val="nil"/>
              <w:left w:val="nil"/>
              <w:bottom w:val="single" w:sz="4" w:space="0" w:color="auto"/>
              <w:right w:val="single" w:sz="4" w:space="0" w:color="auto"/>
            </w:tcBorders>
            <w:vAlign w:val="center"/>
            <w:hideMark/>
          </w:tcPr>
          <w:p w14:paraId="1F3B46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53650719</w:t>
            </w:r>
          </w:p>
        </w:tc>
        <w:tc>
          <w:tcPr>
            <w:tcW w:w="5953" w:type="dxa"/>
            <w:tcBorders>
              <w:top w:val="nil"/>
              <w:left w:val="nil"/>
              <w:bottom w:val="single" w:sz="4" w:space="0" w:color="auto"/>
              <w:right w:val="single" w:sz="4" w:space="0" w:color="auto"/>
            </w:tcBorders>
            <w:noWrap/>
            <w:vAlign w:val="center"/>
            <w:hideMark/>
          </w:tcPr>
          <w:p w14:paraId="401AB3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DANICE VOGRINEC MARIBOR</w:t>
            </w:r>
          </w:p>
        </w:tc>
      </w:tr>
      <w:tr w:rsidR="00F24E18" w14:paraId="7938E1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9C20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w:t>
            </w:r>
          </w:p>
        </w:tc>
        <w:tc>
          <w:tcPr>
            <w:tcW w:w="1300" w:type="dxa"/>
            <w:tcBorders>
              <w:top w:val="nil"/>
              <w:left w:val="nil"/>
              <w:bottom w:val="single" w:sz="4" w:space="0" w:color="auto"/>
              <w:right w:val="single" w:sz="4" w:space="0" w:color="auto"/>
            </w:tcBorders>
            <w:vAlign w:val="center"/>
            <w:hideMark/>
          </w:tcPr>
          <w:p w14:paraId="4593BC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5095549000</w:t>
            </w:r>
          </w:p>
        </w:tc>
        <w:tc>
          <w:tcPr>
            <w:tcW w:w="1012" w:type="dxa"/>
            <w:tcBorders>
              <w:top w:val="nil"/>
              <w:left w:val="nil"/>
              <w:bottom w:val="single" w:sz="4" w:space="0" w:color="auto"/>
              <w:right w:val="single" w:sz="4" w:space="0" w:color="auto"/>
            </w:tcBorders>
            <w:vAlign w:val="center"/>
            <w:hideMark/>
          </w:tcPr>
          <w:p w14:paraId="4FC2A7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79863892</w:t>
            </w:r>
          </w:p>
        </w:tc>
        <w:tc>
          <w:tcPr>
            <w:tcW w:w="5953" w:type="dxa"/>
            <w:tcBorders>
              <w:top w:val="nil"/>
              <w:left w:val="nil"/>
              <w:bottom w:val="single" w:sz="4" w:space="0" w:color="auto"/>
              <w:right w:val="single" w:sz="4" w:space="0" w:color="auto"/>
            </w:tcBorders>
            <w:noWrap/>
            <w:vAlign w:val="center"/>
            <w:hideMark/>
          </w:tcPr>
          <w:p w14:paraId="79958C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DR. JANKA BENEDIKA RADOVLJICA</w:t>
            </w:r>
          </w:p>
        </w:tc>
      </w:tr>
      <w:tr w:rsidR="00F24E18" w14:paraId="3F4B0E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3D41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w:t>
            </w:r>
          </w:p>
        </w:tc>
        <w:tc>
          <w:tcPr>
            <w:tcW w:w="1300" w:type="dxa"/>
            <w:tcBorders>
              <w:top w:val="nil"/>
              <w:left w:val="nil"/>
              <w:bottom w:val="single" w:sz="4" w:space="0" w:color="auto"/>
              <w:right w:val="single" w:sz="4" w:space="0" w:color="auto"/>
            </w:tcBorders>
            <w:vAlign w:val="center"/>
            <w:hideMark/>
          </w:tcPr>
          <w:p w14:paraId="46F8A6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5050723000</w:t>
            </w:r>
          </w:p>
        </w:tc>
        <w:tc>
          <w:tcPr>
            <w:tcW w:w="1012" w:type="dxa"/>
            <w:tcBorders>
              <w:top w:val="nil"/>
              <w:left w:val="nil"/>
              <w:bottom w:val="single" w:sz="4" w:space="0" w:color="auto"/>
              <w:right w:val="single" w:sz="4" w:space="0" w:color="auto"/>
            </w:tcBorders>
            <w:vAlign w:val="center"/>
            <w:hideMark/>
          </w:tcPr>
          <w:p w14:paraId="4C1AF4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52804186</w:t>
            </w:r>
          </w:p>
        </w:tc>
        <w:tc>
          <w:tcPr>
            <w:tcW w:w="5953" w:type="dxa"/>
            <w:tcBorders>
              <w:top w:val="nil"/>
              <w:left w:val="nil"/>
              <w:bottom w:val="single" w:sz="4" w:space="0" w:color="auto"/>
              <w:right w:val="single" w:sz="4" w:space="0" w:color="auto"/>
            </w:tcBorders>
            <w:noWrap/>
            <w:vAlign w:val="center"/>
            <w:hideMark/>
          </w:tcPr>
          <w:p w14:paraId="411435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DR. JOŽETA POTRČA POLJČANE</w:t>
            </w:r>
          </w:p>
        </w:tc>
      </w:tr>
      <w:tr w:rsidR="00F24E18" w14:paraId="316F3B2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8467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w:t>
            </w:r>
          </w:p>
        </w:tc>
        <w:tc>
          <w:tcPr>
            <w:tcW w:w="1300" w:type="dxa"/>
            <w:tcBorders>
              <w:top w:val="nil"/>
              <w:left w:val="nil"/>
              <w:bottom w:val="single" w:sz="4" w:space="0" w:color="auto"/>
              <w:right w:val="single" w:sz="4" w:space="0" w:color="auto"/>
            </w:tcBorders>
            <w:vAlign w:val="center"/>
            <w:hideMark/>
          </w:tcPr>
          <w:p w14:paraId="1B900C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5051207000</w:t>
            </w:r>
          </w:p>
        </w:tc>
        <w:tc>
          <w:tcPr>
            <w:tcW w:w="1012" w:type="dxa"/>
            <w:tcBorders>
              <w:top w:val="nil"/>
              <w:left w:val="nil"/>
              <w:bottom w:val="single" w:sz="4" w:space="0" w:color="auto"/>
              <w:right w:val="single" w:sz="4" w:space="0" w:color="auto"/>
            </w:tcBorders>
            <w:vAlign w:val="center"/>
            <w:hideMark/>
          </w:tcPr>
          <w:p w14:paraId="003004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60615346</w:t>
            </w:r>
          </w:p>
        </w:tc>
        <w:tc>
          <w:tcPr>
            <w:tcW w:w="5953" w:type="dxa"/>
            <w:tcBorders>
              <w:top w:val="nil"/>
              <w:left w:val="nil"/>
              <w:bottom w:val="single" w:sz="4" w:space="0" w:color="auto"/>
              <w:right w:val="single" w:sz="4" w:space="0" w:color="auto"/>
            </w:tcBorders>
            <w:noWrap/>
            <w:vAlign w:val="center"/>
            <w:hideMark/>
          </w:tcPr>
          <w:p w14:paraId="4D1ECB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LUKAVCI</w:t>
            </w:r>
          </w:p>
        </w:tc>
      </w:tr>
      <w:tr w:rsidR="00F24E18" w14:paraId="29F619B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33D9A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w:t>
            </w:r>
          </w:p>
        </w:tc>
        <w:tc>
          <w:tcPr>
            <w:tcW w:w="1300" w:type="dxa"/>
            <w:tcBorders>
              <w:top w:val="nil"/>
              <w:left w:val="nil"/>
              <w:bottom w:val="single" w:sz="4" w:space="0" w:color="auto"/>
              <w:right w:val="single" w:sz="4" w:space="0" w:color="auto"/>
            </w:tcBorders>
            <w:vAlign w:val="center"/>
            <w:hideMark/>
          </w:tcPr>
          <w:p w14:paraId="3D55EA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5478448000</w:t>
            </w:r>
          </w:p>
        </w:tc>
        <w:tc>
          <w:tcPr>
            <w:tcW w:w="1012" w:type="dxa"/>
            <w:tcBorders>
              <w:top w:val="nil"/>
              <w:left w:val="nil"/>
              <w:bottom w:val="single" w:sz="4" w:space="0" w:color="auto"/>
              <w:right w:val="single" w:sz="4" w:space="0" w:color="auto"/>
            </w:tcBorders>
            <w:vAlign w:val="center"/>
            <w:hideMark/>
          </w:tcPr>
          <w:p w14:paraId="23FF9E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70284253</w:t>
            </w:r>
          </w:p>
        </w:tc>
        <w:tc>
          <w:tcPr>
            <w:tcW w:w="5953" w:type="dxa"/>
            <w:tcBorders>
              <w:top w:val="nil"/>
              <w:left w:val="nil"/>
              <w:bottom w:val="single" w:sz="4" w:space="0" w:color="auto"/>
              <w:right w:val="single" w:sz="4" w:space="0" w:color="auto"/>
            </w:tcBorders>
            <w:noWrap/>
            <w:vAlign w:val="center"/>
            <w:hideMark/>
          </w:tcPr>
          <w:p w14:paraId="206DA8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NA KRASU</w:t>
            </w:r>
          </w:p>
        </w:tc>
      </w:tr>
      <w:tr w:rsidR="00F24E18" w14:paraId="4434C8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461D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w:t>
            </w:r>
          </w:p>
        </w:tc>
        <w:tc>
          <w:tcPr>
            <w:tcW w:w="1300" w:type="dxa"/>
            <w:tcBorders>
              <w:top w:val="nil"/>
              <w:left w:val="nil"/>
              <w:bottom w:val="single" w:sz="4" w:space="0" w:color="auto"/>
              <w:right w:val="single" w:sz="4" w:space="0" w:color="auto"/>
            </w:tcBorders>
            <w:vAlign w:val="center"/>
            <w:hideMark/>
          </w:tcPr>
          <w:p w14:paraId="59E21B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5055890000</w:t>
            </w:r>
          </w:p>
        </w:tc>
        <w:tc>
          <w:tcPr>
            <w:tcW w:w="1012" w:type="dxa"/>
            <w:tcBorders>
              <w:top w:val="nil"/>
              <w:left w:val="nil"/>
              <w:bottom w:val="single" w:sz="4" w:space="0" w:color="auto"/>
              <w:right w:val="single" w:sz="4" w:space="0" w:color="auto"/>
            </w:tcBorders>
            <w:vAlign w:val="center"/>
            <w:hideMark/>
          </w:tcPr>
          <w:p w14:paraId="52461B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87163403</w:t>
            </w:r>
          </w:p>
        </w:tc>
        <w:tc>
          <w:tcPr>
            <w:tcW w:w="5953" w:type="dxa"/>
            <w:tcBorders>
              <w:top w:val="nil"/>
              <w:left w:val="nil"/>
              <w:bottom w:val="single" w:sz="4" w:space="0" w:color="auto"/>
              <w:right w:val="single" w:sz="4" w:space="0" w:color="auto"/>
            </w:tcBorders>
            <w:noWrap/>
            <w:vAlign w:val="center"/>
            <w:hideMark/>
          </w:tcPr>
          <w:p w14:paraId="668981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NINE POKORN GRMOVJE</w:t>
            </w:r>
          </w:p>
        </w:tc>
      </w:tr>
      <w:tr w:rsidR="00F24E18" w14:paraId="50F9531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F69F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w:t>
            </w:r>
          </w:p>
        </w:tc>
        <w:tc>
          <w:tcPr>
            <w:tcW w:w="1300" w:type="dxa"/>
            <w:tcBorders>
              <w:top w:val="nil"/>
              <w:left w:val="nil"/>
              <w:bottom w:val="single" w:sz="4" w:space="0" w:color="auto"/>
              <w:right w:val="single" w:sz="4" w:space="0" w:color="auto"/>
            </w:tcBorders>
            <w:vAlign w:val="center"/>
            <w:hideMark/>
          </w:tcPr>
          <w:p w14:paraId="0B55A3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5049571000</w:t>
            </w:r>
          </w:p>
        </w:tc>
        <w:tc>
          <w:tcPr>
            <w:tcW w:w="1012" w:type="dxa"/>
            <w:tcBorders>
              <w:top w:val="nil"/>
              <w:left w:val="nil"/>
              <w:bottom w:val="single" w:sz="4" w:space="0" w:color="auto"/>
              <w:right w:val="single" w:sz="4" w:space="0" w:color="auto"/>
            </w:tcBorders>
            <w:vAlign w:val="center"/>
            <w:hideMark/>
          </w:tcPr>
          <w:p w14:paraId="6F6677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76851184</w:t>
            </w:r>
          </w:p>
        </w:tc>
        <w:tc>
          <w:tcPr>
            <w:tcW w:w="5953" w:type="dxa"/>
            <w:tcBorders>
              <w:top w:val="nil"/>
              <w:left w:val="nil"/>
              <w:bottom w:val="single" w:sz="4" w:space="0" w:color="auto"/>
              <w:right w:val="single" w:sz="4" w:space="0" w:color="auto"/>
            </w:tcBorders>
            <w:noWrap/>
            <w:vAlign w:val="center"/>
            <w:hideMark/>
          </w:tcPr>
          <w:p w14:paraId="49154B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OB SAVINJI CELJE</w:t>
            </w:r>
          </w:p>
        </w:tc>
      </w:tr>
      <w:tr w:rsidR="00F24E18" w14:paraId="500E45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F5F3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w:t>
            </w:r>
          </w:p>
        </w:tc>
        <w:tc>
          <w:tcPr>
            <w:tcW w:w="1300" w:type="dxa"/>
            <w:tcBorders>
              <w:top w:val="nil"/>
              <w:left w:val="nil"/>
              <w:bottom w:val="single" w:sz="4" w:space="0" w:color="auto"/>
              <w:right w:val="single" w:sz="4" w:space="0" w:color="auto"/>
            </w:tcBorders>
            <w:noWrap/>
            <w:vAlign w:val="center"/>
            <w:hideMark/>
          </w:tcPr>
          <w:p w14:paraId="018199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5181895000</w:t>
            </w:r>
          </w:p>
        </w:tc>
        <w:tc>
          <w:tcPr>
            <w:tcW w:w="1012" w:type="dxa"/>
            <w:tcBorders>
              <w:top w:val="nil"/>
              <w:left w:val="nil"/>
              <w:bottom w:val="single" w:sz="4" w:space="0" w:color="auto"/>
              <w:right w:val="single" w:sz="4" w:space="0" w:color="auto"/>
            </w:tcBorders>
            <w:noWrap/>
            <w:vAlign w:val="center"/>
            <w:hideMark/>
          </w:tcPr>
          <w:p w14:paraId="63F6D0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71142649</w:t>
            </w:r>
          </w:p>
        </w:tc>
        <w:tc>
          <w:tcPr>
            <w:tcW w:w="5953" w:type="dxa"/>
            <w:tcBorders>
              <w:top w:val="nil"/>
              <w:left w:val="nil"/>
              <w:bottom w:val="single" w:sz="4" w:space="0" w:color="auto"/>
              <w:right w:val="single" w:sz="4" w:space="0" w:color="auto"/>
            </w:tcBorders>
            <w:noWrap/>
            <w:vAlign w:val="center"/>
            <w:hideMark/>
          </w:tcPr>
          <w:p w14:paraId="0EA0F6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PETRA UZARJA</w:t>
            </w:r>
          </w:p>
        </w:tc>
      </w:tr>
      <w:tr w:rsidR="00F24E18" w14:paraId="6F75495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90C5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w:t>
            </w:r>
          </w:p>
        </w:tc>
        <w:tc>
          <w:tcPr>
            <w:tcW w:w="1300" w:type="dxa"/>
            <w:tcBorders>
              <w:top w:val="nil"/>
              <w:left w:val="nil"/>
              <w:bottom w:val="single" w:sz="4" w:space="0" w:color="auto"/>
              <w:right w:val="single" w:sz="4" w:space="0" w:color="auto"/>
            </w:tcBorders>
            <w:vAlign w:val="center"/>
            <w:hideMark/>
          </w:tcPr>
          <w:p w14:paraId="22F9F9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5049644000</w:t>
            </w:r>
          </w:p>
        </w:tc>
        <w:tc>
          <w:tcPr>
            <w:tcW w:w="1012" w:type="dxa"/>
            <w:tcBorders>
              <w:top w:val="nil"/>
              <w:left w:val="nil"/>
              <w:bottom w:val="single" w:sz="4" w:space="0" w:color="auto"/>
              <w:right w:val="single" w:sz="4" w:space="0" w:color="auto"/>
            </w:tcBorders>
            <w:vAlign w:val="center"/>
            <w:hideMark/>
          </w:tcPr>
          <w:p w14:paraId="6AE063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53602200</w:t>
            </w:r>
          </w:p>
        </w:tc>
        <w:tc>
          <w:tcPr>
            <w:tcW w:w="5953" w:type="dxa"/>
            <w:tcBorders>
              <w:top w:val="nil"/>
              <w:left w:val="nil"/>
              <w:bottom w:val="single" w:sz="4" w:space="0" w:color="auto"/>
              <w:right w:val="single" w:sz="4" w:space="0" w:color="auto"/>
            </w:tcBorders>
            <w:noWrap/>
            <w:vAlign w:val="center"/>
            <w:hideMark/>
          </w:tcPr>
          <w:p w14:paraId="3D4732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POČITKA MENGEŠ</w:t>
            </w:r>
          </w:p>
        </w:tc>
      </w:tr>
      <w:tr w:rsidR="00F24E18" w14:paraId="5698B5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8AE7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w:t>
            </w:r>
          </w:p>
        </w:tc>
        <w:tc>
          <w:tcPr>
            <w:tcW w:w="1300" w:type="dxa"/>
            <w:tcBorders>
              <w:top w:val="nil"/>
              <w:left w:val="nil"/>
              <w:bottom w:val="single" w:sz="4" w:space="0" w:color="auto"/>
              <w:right w:val="single" w:sz="4" w:space="0" w:color="auto"/>
            </w:tcBorders>
            <w:vAlign w:val="center"/>
            <w:hideMark/>
          </w:tcPr>
          <w:p w14:paraId="48D9ED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5879752000</w:t>
            </w:r>
          </w:p>
        </w:tc>
        <w:tc>
          <w:tcPr>
            <w:tcW w:w="1012" w:type="dxa"/>
            <w:tcBorders>
              <w:top w:val="nil"/>
              <w:left w:val="nil"/>
              <w:bottom w:val="single" w:sz="4" w:space="0" w:color="auto"/>
              <w:right w:val="single" w:sz="4" w:space="0" w:color="auto"/>
            </w:tcBorders>
            <w:vAlign w:val="center"/>
            <w:hideMark/>
          </w:tcPr>
          <w:p w14:paraId="6B8906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42710588</w:t>
            </w:r>
          </w:p>
        </w:tc>
        <w:tc>
          <w:tcPr>
            <w:tcW w:w="5953" w:type="dxa"/>
            <w:tcBorders>
              <w:top w:val="nil"/>
              <w:left w:val="nil"/>
              <w:bottom w:val="single" w:sz="4" w:space="0" w:color="auto"/>
              <w:right w:val="single" w:sz="4" w:space="0" w:color="auto"/>
            </w:tcBorders>
            <w:noWrap/>
            <w:vAlign w:val="center"/>
            <w:hideMark/>
          </w:tcPr>
          <w:p w14:paraId="02D593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HRASTNIK</w:t>
            </w:r>
          </w:p>
        </w:tc>
      </w:tr>
      <w:tr w:rsidR="00F24E18" w14:paraId="25F858E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7217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w:t>
            </w:r>
          </w:p>
        </w:tc>
        <w:tc>
          <w:tcPr>
            <w:tcW w:w="1300" w:type="dxa"/>
            <w:tcBorders>
              <w:top w:val="nil"/>
              <w:left w:val="nil"/>
              <w:bottom w:val="single" w:sz="4" w:space="0" w:color="auto"/>
              <w:right w:val="single" w:sz="4" w:space="0" w:color="auto"/>
            </w:tcBorders>
            <w:vAlign w:val="center"/>
            <w:hideMark/>
          </w:tcPr>
          <w:p w14:paraId="23066B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5865948000</w:t>
            </w:r>
          </w:p>
        </w:tc>
        <w:tc>
          <w:tcPr>
            <w:tcW w:w="1012" w:type="dxa"/>
            <w:tcBorders>
              <w:top w:val="nil"/>
              <w:left w:val="nil"/>
              <w:bottom w:val="single" w:sz="4" w:space="0" w:color="auto"/>
              <w:right w:val="single" w:sz="4" w:space="0" w:color="auto"/>
            </w:tcBorders>
            <w:vAlign w:val="center"/>
            <w:hideMark/>
          </w:tcPr>
          <w:p w14:paraId="4845E2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61758884</w:t>
            </w:r>
          </w:p>
        </w:tc>
        <w:tc>
          <w:tcPr>
            <w:tcW w:w="5953" w:type="dxa"/>
            <w:tcBorders>
              <w:top w:val="nil"/>
              <w:left w:val="nil"/>
              <w:bottom w:val="single" w:sz="4" w:space="0" w:color="auto"/>
              <w:right w:val="single" w:sz="4" w:space="0" w:color="auto"/>
            </w:tcBorders>
            <w:noWrap/>
            <w:vAlign w:val="center"/>
            <w:hideMark/>
          </w:tcPr>
          <w:p w14:paraId="3C0BA6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LENDAVA IDOESEBB POLGAROK OTTHONA LENDVA</w:t>
            </w:r>
          </w:p>
        </w:tc>
      </w:tr>
      <w:tr w:rsidR="00F24E18" w14:paraId="406B23E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7769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w:t>
            </w:r>
          </w:p>
        </w:tc>
        <w:tc>
          <w:tcPr>
            <w:tcW w:w="1300" w:type="dxa"/>
            <w:tcBorders>
              <w:top w:val="nil"/>
              <w:left w:val="nil"/>
              <w:bottom w:val="single" w:sz="4" w:space="0" w:color="auto"/>
              <w:right w:val="single" w:sz="4" w:space="0" w:color="auto"/>
            </w:tcBorders>
            <w:vAlign w:val="center"/>
            <w:hideMark/>
          </w:tcPr>
          <w:p w14:paraId="572421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1453823000</w:t>
            </w:r>
          </w:p>
        </w:tc>
        <w:tc>
          <w:tcPr>
            <w:tcW w:w="1012" w:type="dxa"/>
            <w:tcBorders>
              <w:top w:val="nil"/>
              <w:left w:val="nil"/>
              <w:bottom w:val="single" w:sz="4" w:space="0" w:color="auto"/>
              <w:right w:val="single" w:sz="4" w:space="0" w:color="auto"/>
            </w:tcBorders>
            <w:vAlign w:val="center"/>
            <w:hideMark/>
          </w:tcPr>
          <w:p w14:paraId="2020D8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57359032</w:t>
            </w:r>
          </w:p>
        </w:tc>
        <w:tc>
          <w:tcPr>
            <w:tcW w:w="5953" w:type="dxa"/>
            <w:tcBorders>
              <w:top w:val="nil"/>
              <w:left w:val="nil"/>
              <w:bottom w:val="single" w:sz="4" w:space="0" w:color="auto"/>
              <w:right w:val="single" w:sz="4" w:space="0" w:color="auto"/>
            </w:tcBorders>
            <w:noWrap/>
            <w:vAlign w:val="center"/>
            <w:hideMark/>
          </w:tcPr>
          <w:p w14:paraId="272B3A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LOGATEC</w:t>
            </w:r>
          </w:p>
        </w:tc>
      </w:tr>
      <w:tr w:rsidR="00F24E18" w14:paraId="49CFDCB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4E3D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w:t>
            </w:r>
          </w:p>
        </w:tc>
        <w:tc>
          <w:tcPr>
            <w:tcW w:w="1300" w:type="dxa"/>
            <w:tcBorders>
              <w:top w:val="nil"/>
              <w:left w:val="nil"/>
              <w:bottom w:val="single" w:sz="4" w:space="0" w:color="auto"/>
              <w:right w:val="single" w:sz="4" w:space="0" w:color="auto"/>
            </w:tcBorders>
            <w:noWrap/>
            <w:vAlign w:val="center"/>
            <w:hideMark/>
          </w:tcPr>
          <w:p w14:paraId="79AD45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1602608000</w:t>
            </w:r>
          </w:p>
        </w:tc>
        <w:tc>
          <w:tcPr>
            <w:tcW w:w="1012" w:type="dxa"/>
            <w:tcBorders>
              <w:top w:val="nil"/>
              <w:left w:val="nil"/>
              <w:bottom w:val="single" w:sz="4" w:space="0" w:color="auto"/>
              <w:right w:val="single" w:sz="4" w:space="0" w:color="auto"/>
            </w:tcBorders>
            <w:noWrap/>
            <w:vAlign w:val="center"/>
            <w:hideMark/>
          </w:tcPr>
          <w:p w14:paraId="0762D9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79096298</w:t>
            </w:r>
          </w:p>
        </w:tc>
        <w:tc>
          <w:tcPr>
            <w:tcW w:w="5953" w:type="dxa"/>
            <w:tcBorders>
              <w:top w:val="nil"/>
              <w:left w:val="nil"/>
              <w:bottom w:val="single" w:sz="4" w:space="0" w:color="auto"/>
              <w:right w:val="single" w:sz="4" w:space="0" w:color="auto"/>
            </w:tcBorders>
            <w:noWrap/>
            <w:vAlign w:val="center"/>
            <w:hideMark/>
          </w:tcPr>
          <w:p w14:paraId="763AD3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NA FARI</w:t>
            </w:r>
          </w:p>
        </w:tc>
      </w:tr>
      <w:tr w:rsidR="00F24E18" w14:paraId="3D93998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5339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w:t>
            </w:r>
          </w:p>
        </w:tc>
        <w:tc>
          <w:tcPr>
            <w:tcW w:w="1300" w:type="dxa"/>
            <w:tcBorders>
              <w:top w:val="nil"/>
              <w:left w:val="nil"/>
              <w:bottom w:val="single" w:sz="4" w:space="0" w:color="auto"/>
              <w:right w:val="single" w:sz="4" w:space="0" w:color="auto"/>
            </w:tcBorders>
            <w:vAlign w:val="center"/>
            <w:hideMark/>
          </w:tcPr>
          <w:p w14:paraId="01DDB8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5242169000</w:t>
            </w:r>
          </w:p>
        </w:tc>
        <w:tc>
          <w:tcPr>
            <w:tcW w:w="1012" w:type="dxa"/>
            <w:tcBorders>
              <w:top w:val="nil"/>
              <w:left w:val="nil"/>
              <w:bottom w:val="single" w:sz="4" w:space="0" w:color="auto"/>
              <w:right w:val="single" w:sz="4" w:space="0" w:color="auto"/>
            </w:tcBorders>
            <w:vAlign w:val="center"/>
            <w:hideMark/>
          </w:tcPr>
          <w:p w14:paraId="31FCF6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89835611</w:t>
            </w:r>
          </w:p>
        </w:tc>
        <w:tc>
          <w:tcPr>
            <w:tcW w:w="5953" w:type="dxa"/>
            <w:tcBorders>
              <w:top w:val="nil"/>
              <w:left w:val="nil"/>
              <w:bottom w:val="single" w:sz="4" w:space="0" w:color="auto"/>
              <w:right w:val="single" w:sz="4" w:space="0" w:color="auto"/>
            </w:tcBorders>
            <w:noWrap/>
            <w:vAlign w:val="center"/>
            <w:hideMark/>
          </w:tcPr>
          <w:p w14:paraId="50829B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AJDOVŠČINA</w:t>
            </w:r>
          </w:p>
        </w:tc>
      </w:tr>
      <w:tr w:rsidR="00F24E18" w14:paraId="682592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765D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w:t>
            </w:r>
          </w:p>
        </w:tc>
        <w:tc>
          <w:tcPr>
            <w:tcW w:w="1300" w:type="dxa"/>
            <w:tcBorders>
              <w:top w:val="nil"/>
              <w:left w:val="nil"/>
              <w:bottom w:val="single" w:sz="4" w:space="0" w:color="auto"/>
              <w:right w:val="single" w:sz="4" w:space="0" w:color="auto"/>
            </w:tcBorders>
            <w:vAlign w:val="center"/>
            <w:hideMark/>
          </w:tcPr>
          <w:p w14:paraId="71FB9E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5274508000</w:t>
            </w:r>
          </w:p>
        </w:tc>
        <w:tc>
          <w:tcPr>
            <w:tcW w:w="1012" w:type="dxa"/>
            <w:tcBorders>
              <w:top w:val="nil"/>
              <w:left w:val="nil"/>
              <w:bottom w:val="single" w:sz="4" w:space="0" w:color="auto"/>
              <w:right w:val="single" w:sz="4" w:space="0" w:color="auto"/>
            </w:tcBorders>
            <w:vAlign w:val="center"/>
            <w:hideMark/>
          </w:tcPr>
          <w:p w14:paraId="5CEE56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54512336</w:t>
            </w:r>
          </w:p>
        </w:tc>
        <w:tc>
          <w:tcPr>
            <w:tcW w:w="5953" w:type="dxa"/>
            <w:tcBorders>
              <w:top w:val="nil"/>
              <w:left w:val="nil"/>
              <w:bottom w:val="single" w:sz="4" w:space="0" w:color="auto"/>
              <w:right w:val="single" w:sz="4" w:space="0" w:color="auto"/>
            </w:tcBorders>
            <w:noWrap/>
            <w:vAlign w:val="center"/>
            <w:hideMark/>
          </w:tcPr>
          <w:p w14:paraId="3E80A4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ČRNOMELJ</w:t>
            </w:r>
          </w:p>
        </w:tc>
      </w:tr>
      <w:tr w:rsidR="00F24E18" w14:paraId="160FC61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6E62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w:t>
            </w:r>
          </w:p>
        </w:tc>
        <w:tc>
          <w:tcPr>
            <w:tcW w:w="1300" w:type="dxa"/>
            <w:tcBorders>
              <w:top w:val="nil"/>
              <w:left w:val="nil"/>
              <w:bottom w:val="single" w:sz="4" w:space="0" w:color="auto"/>
              <w:right w:val="single" w:sz="4" w:space="0" w:color="auto"/>
            </w:tcBorders>
            <w:noWrap/>
            <w:vAlign w:val="center"/>
            <w:hideMark/>
          </w:tcPr>
          <w:p w14:paraId="19C182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1827162000</w:t>
            </w:r>
          </w:p>
        </w:tc>
        <w:tc>
          <w:tcPr>
            <w:tcW w:w="1012" w:type="dxa"/>
            <w:tcBorders>
              <w:top w:val="nil"/>
              <w:left w:val="nil"/>
              <w:bottom w:val="single" w:sz="4" w:space="0" w:color="auto"/>
              <w:right w:val="single" w:sz="4" w:space="0" w:color="auto"/>
            </w:tcBorders>
            <w:noWrap/>
            <w:vAlign w:val="center"/>
            <w:hideMark/>
          </w:tcPr>
          <w:p w14:paraId="2FB933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59514116</w:t>
            </w:r>
          </w:p>
        </w:tc>
        <w:tc>
          <w:tcPr>
            <w:tcW w:w="5953" w:type="dxa"/>
            <w:tcBorders>
              <w:top w:val="nil"/>
              <w:left w:val="nil"/>
              <w:bottom w:val="single" w:sz="4" w:space="0" w:color="auto"/>
              <w:right w:val="single" w:sz="4" w:space="0" w:color="auto"/>
            </w:tcBorders>
            <w:noWrap/>
            <w:vAlign w:val="center"/>
            <w:hideMark/>
          </w:tcPr>
          <w:p w14:paraId="6EFDB4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FUŽINE</w:t>
            </w:r>
          </w:p>
        </w:tc>
      </w:tr>
      <w:tr w:rsidR="00F24E18" w14:paraId="62D25B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304C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w:t>
            </w:r>
          </w:p>
        </w:tc>
        <w:tc>
          <w:tcPr>
            <w:tcW w:w="1300" w:type="dxa"/>
            <w:tcBorders>
              <w:top w:val="nil"/>
              <w:left w:val="nil"/>
              <w:bottom w:val="single" w:sz="4" w:space="0" w:color="auto"/>
              <w:right w:val="single" w:sz="4" w:space="0" w:color="auto"/>
            </w:tcBorders>
            <w:vAlign w:val="center"/>
            <w:hideMark/>
          </w:tcPr>
          <w:p w14:paraId="35EB48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5241952000</w:t>
            </w:r>
          </w:p>
        </w:tc>
        <w:tc>
          <w:tcPr>
            <w:tcW w:w="1012" w:type="dxa"/>
            <w:tcBorders>
              <w:top w:val="nil"/>
              <w:left w:val="nil"/>
              <w:bottom w:val="single" w:sz="4" w:space="0" w:color="auto"/>
              <w:right w:val="single" w:sz="4" w:space="0" w:color="auto"/>
            </w:tcBorders>
            <w:vAlign w:val="center"/>
            <w:hideMark/>
          </w:tcPr>
          <w:p w14:paraId="1E533C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53318862</w:t>
            </w:r>
          </w:p>
        </w:tc>
        <w:tc>
          <w:tcPr>
            <w:tcW w:w="5953" w:type="dxa"/>
            <w:tcBorders>
              <w:top w:val="nil"/>
              <w:left w:val="nil"/>
              <w:bottom w:val="single" w:sz="4" w:space="0" w:color="auto"/>
              <w:right w:val="single" w:sz="4" w:space="0" w:color="auto"/>
            </w:tcBorders>
            <w:noWrap/>
            <w:vAlign w:val="center"/>
            <w:hideMark/>
          </w:tcPr>
          <w:p w14:paraId="7A3874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GROSUPLJE</w:t>
            </w:r>
          </w:p>
        </w:tc>
      </w:tr>
      <w:tr w:rsidR="00F24E18" w14:paraId="1EBA09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0595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w:t>
            </w:r>
          </w:p>
        </w:tc>
        <w:tc>
          <w:tcPr>
            <w:tcW w:w="1300" w:type="dxa"/>
            <w:tcBorders>
              <w:top w:val="nil"/>
              <w:left w:val="nil"/>
              <w:bottom w:val="single" w:sz="4" w:space="0" w:color="auto"/>
              <w:right w:val="single" w:sz="4" w:space="0" w:color="auto"/>
            </w:tcBorders>
            <w:vAlign w:val="center"/>
            <w:hideMark/>
          </w:tcPr>
          <w:p w14:paraId="6036EC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5500389000</w:t>
            </w:r>
          </w:p>
        </w:tc>
        <w:tc>
          <w:tcPr>
            <w:tcW w:w="1012" w:type="dxa"/>
            <w:tcBorders>
              <w:top w:val="nil"/>
              <w:left w:val="nil"/>
              <w:bottom w:val="single" w:sz="4" w:space="0" w:color="auto"/>
              <w:right w:val="single" w:sz="4" w:space="0" w:color="auto"/>
            </w:tcBorders>
            <w:vAlign w:val="center"/>
            <w:hideMark/>
          </w:tcPr>
          <w:p w14:paraId="3608B4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65045238</w:t>
            </w:r>
          </w:p>
        </w:tc>
        <w:tc>
          <w:tcPr>
            <w:tcW w:w="5953" w:type="dxa"/>
            <w:tcBorders>
              <w:top w:val="nil"/>
              <w:left w:val="nil"/>
              <w:bottom w:val="single" w:sz="4" w:space="0" w:color="auto"/>
              <w:right w:val="single" w:sz="4" w:space="0" w:color="auto"/>
            </w:tcBorders>
            <w:noWrap/>
            <w:vAlign w:val="center"/>
            <w:hideMark/>
          </w:tcPr>
          <w:p w14:paraId="06F276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ILIRSKA BISTRICA</w:t>
            </w:r>
          </w:p>
        </w:tc>
      </w:tr>
      <w:tr w:rsidR="00F24E18" w14:paraId="3E2475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0BB2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w:t>
            </w:r>
          </w:p>
        </w:tc>
        <w:tc>
          <w:tcPr>
            <w:tcW w:w="1300" w:type="dxa"/>
            <w:tcBorders>
              <w:top w:val="nil"/>
              <w:left w:val="nil"/>
              <w:bottom w:val="single" w:sz="4" w:space="0" w:color="auto"/>
              <w:right w:val="single" w:sz="4" w:space="0" w:color="auto"/>
            </w:tcBorders>
            <w:vAlign w:val="center"/>
            <w:hideMark/>
          </w:tcPr>
          <w:p w14:paraId="75D405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5049784000</w:t>
            </w:r>
          </w:p>
        </w:tc>
        <w:tc>
          <w:tcPr>
            <w:tcW w:w="1012" w:type="dxa"/>
            <w:tcBorders>
              <w:top w:val="nil"/>
              <w:left w:val="nil"/>
              <w:bottom w:val="single" w:sz="4" w:space="0" w:color="auto"/>
              <w:right w:val="single" w:sz="4" w:space="0" w:color="auto"/>
            </w:tcBorders>
            <w:vAlign w:val="center"/>
            <w:hideMark/>
          </w:tcPr>
          <w:p w14:paraId="61DC27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85433900</w:t>
            </w:r>
          </w:p>
        </w:tc>
        <w:tc>
          <w:tcPr>
            <w:tcW w:w="5953" w:type="dxa"/>
            <w:tcBorders>
              <w:top w:val="nil"/>
              <w:left w:val="nil"/>
              <w:bottom w:val="single" w:sz="4" w:space="0" w:color="auto"/>
              <w:right w:val="single" w:sz="4" w:space="0" w:color="auto"/>
            </w:tcBorders>
            <w:noWrap/>
            <w:vAlign w:val="center"/>
            <w:hideMark/>
          </w:tcPr>
          <w:p w14:paraId="55DA98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KAMNIK</w:t>
            </w:r>
          </w:p>
        </w:tc>
      </w:tr>
      <w:tr w:rsidR="00F24E18" w14:paraId="7163CF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C4E2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w:t>
            </w:r>
          </w:p>
        </w:tc>
        <w:tc>
          <w:tcPr>
            <w:tcW w:w="1300" w:type="dxa"/>
            <w:tcBorders>
              <w:top w:val="nil"/>
              <w:left w:val="nil"/>
              <w:bottom w:val="single" w:sz="4" w:space="0" w:color="auto"/>
              <w:right w:val="single" w:sz="4" w:space="0" w:color="auto"/>
            </w:tcBorders>
            <w:vAlign w:val="center"/>
            <w:hideMark/>
          </w:tcPr>
          <w:p w14:paraId="773B77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5255783000</w:t>
            </w:r>
          </w:p>
        </w:tc>
        <w:tc>
          <w:tcPr>
            <w:tcW w:w="1012" w:type="dxa"/>
            <w:tcBorders>
              <w:top w:val="nil"/>
              <w:left w:val="nil"/>
              <w:bottom w:val="single" w:sz="4" w:space="0" w:color="auto"/>
              <w:right w:val="single" w:sz="4" w:space="0" w:color="auto"/>
            </w:tcBorders>
            <w:vAlign w:val="center"/>
            <w:hideMark/>
          </w:tcPr>
          <w:p w14:paraId="3F55FA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44663633</w:t>
            </w:r>
          </w:p>
        </w:tc>
        <w:tc>
          <w:tcPr>
            <w:tcW w:w="5953" w:type="dxa"/>
            <w:tcBorders>
              <w:top w:val="nil"/>
              <w:left w:val="nil"/>
              <w:bottom w:val="single" w:sz="4" w:space="0" w:color="auto"/>
              <w:right w:val="single" w:sz="4" w:space="0" w:color="auto"/>
            </w:tcBorders>
            <w:noWrap/>
            <w:vAlign w:val="center"/>
            <w:hideMark/>
          </w:tcPr>
          <w:p w14:paraId="606DDA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KOČEVJE</w:t>
            </w:r>
          </w:p>
        </w:tc>
      </w:tr>
      <w:tr w:rsidR="00F24E18" w14:paraId="3231BE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1EC5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w:t>
            </w:r>
          </w:p>
        </w:tc>
        <w:tc>
          <w:tcPr>
            <w:tcW w:w="1300" w:type="dxa"/>
            <w:tcBorders>
              <w:top w:val="nil"/>
              <w:left w:val="nil"/>
              <w:bottom w:val="single" w:sz="4" w:space="0" w:color="auto"/>
              <w:right w:val="single" w:sz="4" w:space="0" w:color="auto"/>
            </w:tcBorders>
            <w:vAlign w:val="center"/>
            <w:hideMark/>
          </w:tcPr>
          <w:p w14:paraId="408E28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5902967000</w:t>
            </w:r>
          </w:p>
        </w:tc>
        <w:tc>
          <w:tcPr>
            <w:tcW w:w="1012" w:type="dxa"/>
            <w:tcBorders>
              <w:top w:val="nil"/>
              <w:left w:val="nil"/>
              <w:bottom w:val="single" w:sz="4" w:space="0" w:color="auto"/>
              <w:right w:val="single" w:sz="4" w:space="0" w:color="auto"/>
            </w:tcBorders>
            <w:vAlign w:val="center"/>
            <w:hideMark/>
          </w:tcPr>
          <w:p w14:paraId="28A3C6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81466757</w:t>
            </w:r>
          </w:p>
        </w:tc>
        <w:tc>
          <w:tcPr>
            <w:tcW w:w="5953" w:type="dxa"/>
            <w:tcBorders>
              <w:top w:val="nil"/>
              <w:left w:val="nil"/>
              <w:bottom w:val="single" w:sz="4" w:space="0" w:color="auto"/>
              <w:right w:val="single" w:sz="4" w:space="0" w:color="auto"/>
            </w:tcBorders>
            <w:noWrap/>
            <w:vAlign w:val="center"/>
            <w:hideMark/>
          </w:tcPr>
          <w:p w14:paraId="2DF885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KRŠKO</w:t>
            </w:r>
          </w:p>
        </w:tc>
      </w:tr>
      <w:tr w:rsidR="00F24E18" w14:paraId="3A5241B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55A6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w:t>
            </w:r>
          </w:p>
        </w:tc>
        <w:tc>
          <w:tcPr>
            <w:tcW w:w="1300" w:type="dxa"/>
            <w:tcBorders>
              <w:top w:val="nil"/>
              <w:left w:val="nil"/>
              <w:bottom w:val="single" w:sz="4" w:space="0" w:color="auto"/>
              <w:right w:val="single" w:sz="4" w:space="0" w:color="auto"/>
            </w:tcBorders>
            <w:vAlign w:val="center"/>
            <w:hideMark/>
          </w:tcPr>
          <w:p w14:paraId="25CE83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5159628000</w:t>
            </w:r>
          </w:p>
        </w:tc>
        <w:tc>
          <w:tcPr>
            <w:tcW w:w="1012" w:type="dxa"/>
            <w:tcBorders>
              <w:top w:val="nil"/>
              <w:left w:val="nil"/>
              <w:bottom w:val="single" w:sz="4" w:space="0" w:color="auto"/>
              <w:right w:val="single" w:sz="4" w:space="0" w:color="auto"/>
            </w:tcBorders>
            <w:vAlign w:val="center"/>
            <w:hideMark/>
          </w:tcPr>
          <w:p w14:paraId="7E8577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18613691</w:t>
            </w:r>
          </w:p>
        </w:tc>
        <w:tc>
          <w:tcPr>
            <w:tcW w:w="5953" w:type="dxa"/>
            <w:tcBorders>
              <w:top w:val="nil"/>
              <w:left w:val="nil"/>
              <w:bottom w:val="single" w:sz="4" w:space="0" w:color="auto"/>
              <w:right w:val="single" w:sz="4" w:space="0" w:color="auto"/>
            </w:tcBorders>
            <w:noWrap/>
            <w:vAlign w:val="center"/>
            <w:hideMark/>
          </w:tcPr>
          <w:p w14:paraId="6141F4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LJUBLJANA BEŽIGRAD</w:t>
            </w:r>
          </w:p>
        </w:tc>
      </w:tr>
      <w:tr w:rsidR="00F24E18" w14:paraId="6D35DC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AFEE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w:t>
            </w:r>
          </w:p>
        </w:tc>
        <w:tc>
          <w:tcPr>
            <w:tcW w:w="1300" w:type="dxa"/>
            <w:tcBorders>
              <w:top w:val="nil"/>
              <w:left w:val="nil"/>
              <w:bottom w:val="single" w:sz="4" w:space="0" w:color="auto"/>
              <w:right w:val="single" w:sz="4" w:space="0" w:color="auto"/>
            </w:tcBorders>
            <w:vAlign w:val="center"/>
            <w:hideMark/>
          </w:tcPr>
          <w:p w14:paraId="784B9F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5050740000</w:t>
            </w:r>
          </w:p>
        </w:tc>
        <w:tc>
          <w:tcPr>
            <w:tcW w:w="1012" w:type="dxa"/>
            <w:tcBorders>
              <w:top w:val="nil"/>
              <w:left w:val="nil"/>
              <w:bottom w:val="single" w:sz="4" w:space="0" w:color="auto"/>
              <w:right w:val="single" w:sz="4" w:space="0" w:color="auto"/>
            </w:tcBorders>
            <w:vAlign w:val="center"/>
            <w:hideMark/>
          </w:tcPr>
          <w:p w14:paraId="0844B8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36355992</w:t>
            </w:r>
          </w:p>
        </w:tc>
        <w:tc>
          <w:tcPr>
            <w:tcW w:w="5953" w:type="dxa"/>
            <w:tcBorders>
              <w:top w:val="nil"/>
              <w:left w:val="nil"/>
              <w:bottom w:val="single" w:sz="4" w:space="0" w:color="auto"/>
              <w:right w:val="single" w:sz="4" w:space="0" w:color="auto"/>
            </w:tcBorders>
            <w:noWrap/>
            <w:vAlign w:val="center"/>
            <w:hideMark/>
          </w:tcPr>
          <w:p w14:paraId="4F6B94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LJUBLJANA VIČ RUDNIK</w:t>
            </w:r>
          </w:p>
        </w:tc>
      </w:tr>
      <w:tr w:rsidR="00F24E18" w14:paraId="0C8E23B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58B2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119</w:t>
            </w:r>
          </w:p>
        </w:tc>
        <w:tc>
          <w:tcPr>
            <w:tcW w:w="1300" w:type="dxa"/>
            <w:tcBorders>
              <w:top w:val="nil"/>
              <w:left w:val="nil"/>
              <w:bottom w:val="single" w:sz="4" w:space="0" w:color="auto"/>
              <w:right w:val="single" w:sz="4" w:space="0" w:color="auto"/>
            </w:tcBorders>
            <w:vAlign w:val="center"/>
            <w:hideMark/>
          </w:tcPr>
          <w:p w14:paraId="53CC70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5227046000</w:t>
            </w:r>
          </w:p>
        </w:tc>
        <w:tc>
          <w:tcPr>
            <w:tcW w:w="1012" w:type="dxa"/>
            <w:tcBorders>
              <w:top w:val="nil"/>
              <w:left w:val="nil"/>
              <w:bottom w:val="single" w:sz="4" w:space="0" w:color="auto"/>
              <w:right w:val="single" w:sz="4" w:space="0" w:color="auto"/>
            </w:tcBorders>
            <w:vAlign w:val="center"/>
            <w:hideMark/>
          </w:tcPr>
          <w:p w14:paraId="650A27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61326232</w:t>
            </w:r>
          </w:p>
        </w:tc>
        <w:tc>
          <w:tcPr>
            <w:tcW w:w="5953" w:type="dxa"/>
            <w:tcBorders>
              <w:top w:val="nil"/>
              <w:left w:val="nil"/>
              <w:bottom w:val="single" w:sz="4" w:space="0" w:color="auto"/>
              <w:right w:val="single" w:sz="4" w:space="0" w:color="auto"/>
            </w:tcBorders>
            <w:noWrap/>
            <w:vAlign w:val="center"/>
            <w:hideMark/>
          </w:tcPr>
          <w:p w14:paraId="51A6F1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LJUBLJANA-MOSTE-POLJE</w:t>
            </w:r>
          </w:p>
        </w:tc>
      </w:tr>
      <w:tr w:rsidR="00F24E18" w14:paraId="5CDB80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FBF2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w:t>
            </w:r>
          </w:p>
        </w:tc>
        <w:tc>
          <w:tcPr>
            <w:tcW w:w="1300" w:type="dxa"/>
            <w:tcBorders>
              <w:top w:val="nil"/>
              <w:left w:val="nil"/>
              <w:bottom w:val="single" w:sz="4" w:space="0" w:color="auto"/>
              <w:right w:val="single" w:sz="4" w:space="0" w:color="auto"/>
            </w:tcBorders>
            <w:vAlign w:val="center"/>
            <w:hideMark/>
          </w:tcPr>
          <w:p w14:paraId="33A150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5062292000</w:t>
            </w:r>
          </w:p>
        </w:tc>
        <w:tc>
          <w:tcPr>
            <w:tcW w:w="1012" w:type="dxa"/>
            <w:tcBorders>
              <w:top w:val="nil"/>
              <w:left w:val="nil"/>
              <w:bottom w:val="single" w:sz="4" w:space="0" w:color="auto"/>
              <w:right w:val="single" w:sz="4" w:space="0" w:color="auto"/>
            </w:tcBorders>
            <w:vAlign w:val="center"/>
            <w:hideMark/>
          </w:tcPr>
          <w:p w14:paraId="4E9419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55143172</w:t>
            </w:r>
          </w:p>
        </w:tc>
        <w:tc>
          <w:tcPr>
            <w:tcW w:w="5953" w:type="dxa"/>
            <w:tcBorders>
              <w:top w:val="nil"/>
              <w:left w:val="nil"/>
              <w:bottom w:val="single" w:sz="4" w:space="0" w:color="auto"/>
              <w:right w:val="single" w:sz="4" w:space="0" w:color="auto"/>
            </w:tcBorders>
            <w:noWrap/>
            <w:vAlign w:val="center"/>
            <w:hideMark/>
          </w:tcPr>
          <w:p w14:paraId="22922D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LJUBLJANA-ŠIŠKA</w:t>
            </w:r>
          </w:p>
        </w:tc>
      </w:tr>
      <w:tr w:rsidR="00F24E18" w14:paraId="0E36D50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DD52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w:t>
            </w:r>
          </w:p>
        </w:tc>
        <w:tc>
          <w:tcPr>
            <w:tcW w:w="1300" w:type="dxa"/>
            <w:tcBorders>
              <w:top w:val="nil"/>
              <w:left w:val="nil"/>
              <w:bottom w:val="single" w:sz="4" w:space="0" w:color="auto"/>
              <w:right w:val="single" w:sz="4" w:space="0" w:color="auto"/>
            </w:tcBorders>
            <w:noWrap/>
            <w:vAlign w:val="center"/>
            <w:hideMark/>
          </w:tcPr>
          <w:p w14:paraId="24B740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1606689000</w:t>
            </w:r>
          </w:p>
        </w:tc>
        <w:tc>
          <w:tcPr>
            <w:tcW w:w="1012" w:type="dxa"/>
            <w:tcBorders>
              <w:top w:val="nil"/>
              <w:left w:val="nil"/>
              <w:bottom w:val="single" w:sz="4" w:space="0" w:color="auto"/>
              <w:right w:val="single" w:sz="4" w:space="0" w:color="auto"/>
            </w:tcBorders>
            <w:noWrap/>
            <w:vAlign w:val="center"/>
            <w:hideMark/>
          </w:tcPr>
          <w:p w14:paraId="251F40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30529999</w:t>
            </w:r>
          </w:p>
        </w:tc>
        <w:tc>
          <w:tcPr>
            <w:tcW w:w="5953" w:type="dxa"/>
            <w:tcBorders>
              <w:top w:val="nil"/>
              <w:left w:val="nil"/>
              <w:bottom w:val="single" w:sz="4" w:space="0" w:color="auto"/>
              <w:right w:val="single" w:sz="4" w:space="0" w:color="auto"/>
            </w:tcBorders>
            <w:noWrap/>
            <w:vAlign w:val="center"/>
            <w:hideMark/>
          </w:tcPr>
          <w:p w14:paraId="3B001B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LJUTOMER</w:t>
            </w:r>
          </w:p>
        </w:tc>
      </w:tr>
      <w:tr w:rsidR="00F24E18" w14:paraId="3AAE8B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97FD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w:t>
            </w:r>
          </w:p>
        </w:tc>
        <w:tc>
          <w:tcPr>
            <w:tcW w:w="1300" w:type="dxa"/>
            <w:tcBorders>
              <w:top w:val="nil"/>
              <w:left w:val="nil"/>
              <w:bottom w:val="single" w:sz="4" w:space="0" w:color="auto"/>
              <w:right w:val="single" w:sz="4" w:space="0" w:color="auto"/>
            </w:tcBorders>
            <w:vAlign w:val="center"/>
            <w:hideMark/>
          </w:tcPr>
          <w:p w14:paraId="29F1B1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5050464000</w:t>
            </w:r>
          </w:p>
        </w:tc>
        <w:tc>
          <w:tcPr>
            <w:tcW w:w="1012" w:type="dxa"/>
            <w:tcBorders>
              <w:top w:val="nil"/>
              <w:left w:val="nil"/>
              <w:bottom w:val="single" w:sz="4" w:space="0" w:color="auto"/>
              <w:right w:val="single" w:sz="4" w:space="0" w:color="auto"/>
            </w:tcBorders>
            <w:vAlign w:val="center"/>
            <w:hideMark/>
          </w:tcPr>
          <w:p w14:paraId="382E26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32589948</w:t>
            </w:r>
          </w:p>
        </w:tc>
        <w:tc>
          <w:tcPr>
            <w:tcW w:w="5953" w:type="dxa"/>
            <w:tcBorders>
              <w:top w:val="nil"/>
              <w:left w:val="nil"/>
              <w:bottom w:val="single" w:sz="4" w:space="0" w:color="auto"/>
              <w:right w:val="single" w:sz="4" w:space="0" w:color="auto"/>
            </w:tcBorders>
            <w:noWrap/>
            <w:vAlign w:val="center"/>
            <w:hideMark/>
          </w:tcPr>
          <w:p w14:paraId="5D8B0E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METLIKA</w:t>
            </w:r>
          </w:p>
        </w:tc>
      </w:tr>
      <w:tr w:rsidR="00F24E18" w14:paraId="12BE49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1F67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w:t>
            </w:r>
          </w:p>
        </w:tc>
        <w:tc>
          <w:tcPr>
            <w:tcW w:w="1300" w:type="dxa"/>
            <w:tcBorders>
              <w:top w:val="nil"/>
              <w:left w:val="nil"/>
              <w:bottom w:val="single" w:sz="4" w:space="0" w:color="auto"/>
              <w:right w:val="single" w:sz="4" w:space="0" w:color="auto"/>
            </w:tcBorders>
            <w:vAlign w:val="center"/>
            <w:hideMark/>
          </w:tcPr>
          <w:p w14:paraId="30E258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5174350000</w:t>
            </w:r>
          </w:p>
        </w:tc>
        <w:tc>
          <w:tcPr>
            <w:tcW w:w="1012" w:type="dxa"/>
            <w:tcBorders>
              <w:top w:val="nil"/>
              <w:left w:val="nil"/>
              <w:bottom w:val="single" w:sz="4" w:space="0" w:color="auto"/>
              <w:right w:val="single" w:sz="4" w:space="0" w:color="auto"/>
            </w:tcBorders>
            <w:vAlign w:val="center"/>
            <w:hideMark/>
          </w:tcPr>
          <w:p w14:paraId="767A12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15354997</w:t>
            </w:r>
          </w:p>
        </w:tc>
        <w:tc>
          <w:tcPr>
            <w:tcW w:w="5953" w:type="dxa"/>
            <w:tcBorders>
              <w:top w:val="nil"/>
              <w:left w:val="nil"/>
              <w:bottom w:val="single" w:sz="4" w:space="0" w:color="auto"/>
              <w:right w:val="single" w:sz="4" w:space="0" w:color="auto"/>
            </w:tcBorders>
            <w:noWrap/>
            <w:vAlign w:val="center"/>
            <w:hideMark/>
          </w:tcPr>
          <w:p w14:paraId="44191E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NOVO MESTO</w:t>
            </w:r>
          </w:p>
        </w:tc>
      </w:tr>
      <w:tr w:rsidR="00F24E18" w14:paraId="3BF02D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0EF1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w:t>
            </w:r>
          </w:p>
        </w:tc>
        <w:tc>
          <w:tcPr>
            <w:tcW w:w="1300" w:type="dxa"/>
            <w:tcBorders>
              <w:top w:val="nil"/>
              <w:left w:val="nil"/>
              <w:bottom w:val="single" w:sz="4" w:space="0" w:color="auto"/>
              <w:right w:val="single" w:sz="4" w:space="0" w:color="auto"/>
            </w:tcBorders>
            <w:vAlign w:val="center"/>
            <w:hideMark/>
          </w:tcPr>
          <w:p w14:paraId="3D5C55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5206758000</w:t>
            </w:r>
          </w:p>
        </w:tc>
        <w:tc>
          <w:tcPr>
            <w:tcW w:w="1012" w:type="dxa"/>
            <w:tcBorders>
              <w:top w:val="nil"/>
              <w:left w:val="nil"/>
              <w:bottom w:val="single" w:sz="4" w:space="0" w:color="auto"/>
              <w:right w:val="single" w:sz="4" w:space="0" w:color="auto"/>
            </w:tcBorders>
            <w:vAlign w:val="center"/>
            <w:hideMark/>
          </w:tcPr>
          <w:p w14:paraId="1A5621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20806434</w:t>
            </w:r>
          </w:p>
        </w:tc>
        <w:tc>
          <w:tcPr>
            <w:tcW w:w="5953" w:type="dxa"/>
            <w:tcBorders>
              <w:top w:val="nil"/>
              <w:left w:val="nil"/>
              <w:bottom w:val="single" w:sz="4" w:space="0" w:color="auto"/>
              <w:right w:val="single" w:sz="4" w:space="0" w:color="auto"/>
            </w:tcBorders>
            <w:noWrap/>
            <w:vAlign w:val="center"/>
            <w:hideMark/>
          </w:tcPr>
          <w:p w14:paraId="75438F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POLDE EBERL-JAMSKI</w:t>
            </w:r>
          </w:p>
        </w:tc>
      </w:tr>
      <w:tr w:rsidR="00F24E18" w14:paraId="39FF3D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0B57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w:t>
            </w:r>
          </w:p>
        </w:tc>
        <w:tc>
          <w:tcPr>
            <w:tcW w:w="1300" w:type="dxa"/>
            <w:tcBorders>
              <w:top w:val="nil"/>
              <w:left w:val="nil"/>
              <w:bottom w:val="single" w:sz="4" w:space="0" w:color="auto"/>
              <w:right w:val="single" w:sz="4" w:space="0" w:color="auto"/>
            </w:tcBorders>
            <w:vAlign w:val="center"/>
            <w:hideMark/>
          </w:tcPr>
          <w:p w14:paraId="362BD6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5049857000</w:t>
            </w:r>
          </w:p>
        </w:tc>
        <w:tc>
          <w:tcPr>
            <w:tcW w:w="1012" w:type="dxa"/>
            <w:tcBorders>
              <w:top w:val="nil"/>
              <w:left w:val="nil"/>
              <w:bottom w:val="single" w:sz="4" w:space="0" w:color="auto"/>
              <w:right w:val="single" w:sz="4" w:space="0" w:color="auto"/>
            </w:tcBorders>
            <w:vAlign w:val="center"/>
            <w:hideMark/>
          </w:tcPr>
          <w:p w14:paraId="4AD7AC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96539275</w:t>
            </w:r>
          </w:p>
        </w:tc>
        <w:tc>
          <w:tcPr>
            <w:tcW w:w="5953" w:type="dxa"/>
            <w:tcBorders>
              <w:top w:val="nil"/>
              <w:left w:val="nil"/>
              <w:bottom w:val="single" w:sz="4" w:space="0" w:color="auto"/>
              <w:right w:val="single" w:sz="4" w:space="0" w:color="auto"/>
            </w:tcBorders>
            <w:noWrap/>
            <w:vAlign w:val="center"/>
            <w:hideMark/>
          </w:tcPr>
          <w:p w14:paraId="4EF221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PREDDVOR</w:t>
            </w:r>
          </w:p>
        </w:tc>
      </w:tr>
      <w:tr w:rsidR="00F24E18" w14:paraId="41C5AD6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E91D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w:t>
            </w:r>
          </w:p>
        </w:tc>
        <w:tc>
          <w:tcPr>
            <w:tcW w:w="1300" w:type="dxa"/>
            <w:tcBorders>
              <w:top w:val="nil"/>
              <w:left w:val="nil"/>
              <w:bottom w:val="single" w:sz="4" w:space="0" w:color="auto"/>
              <w:right w:val="single" w:sz="4" w:space="0" w:color="auto"/>
            </w:tcBorders>
            <w:vAlign w:val="center"/>
            <w:hideMark/>
          </w:tcPr>
          <w:p w14:paraId="7D24F6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1778439000</w:t>
            </w:r>
          </w:p>
        </w:tc>
        <w:tc>
          <w:tcPr>
            <w:tcW w:w="1012" w:type="dxa"/>
            <w:tcBorders>
              <w:top w:val="nil"/>
              <w:left w:val="nil"/>
              <w:bottom w:val="single" w:sz="4" w:space="0" w:color="auto"/>
              <w:right w:val="single" w:sz="4" w:space="0" w:color="auto"/>
            </w:tcBorders>
            <w:vAlign w:val="center"/>
            <w:hideMark/>
          </w:tcPr>
          <w:p w14:paraId="0E1084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27791050</w:t>
            </w:r>
          </w:p>
        </w:tc>
        <w:tc>
          <w:tcPr>
            <w:tcW w:w="5953" w:type="dxa"/>
            <w:tcBorders>
              <w:top w:val="nil"/>
              <w:left w:val="nil"/>
              <w:bottom w:val="single" w:sz="4" w:space="0" w:color="auto"/>
              <w:right w:val="single" w:sz="4" w:space="0" w:color="auto"/>
            </w:tcBorders>
            <w:noWrap/>
            <w:vAlign w:val="center"/>
            <w:hideMark/>
          </w:tcPr>
          <w:p w14:paraId="2AC0CE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TEZNO</w:t>
            </w:r>
          </w:p>
        </w:tc>
      </w:tr>
      <w:tr w:rsidR="00F24E18" w14:paraId="21138C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99E0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w:t>
            </w:r>
          </w:p>
        </w:tc>
        <w:tc>
          <w:tcPr>
            <w:tcW w:w="1300" w:type="dxa"/>
            <w:tcBorders>
              <w:top w:val="nil"/>
              <w:left w:val="nil"/>
              <w:bottom w:val="single" w:sz="4" w:space="0" w:color="auto"/>
              <w:right w:val="single" w:sz="4" w:space="0" w:color="auto"/>
            </w:tcBorders>
            <w:vAlign w:val="center"/>
            <w:hideMark/>
          </w:tcPr>
          <w:p w14:paraId="4550C0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1392123000</w:t>
            </w:r>
          </w:p>
        </w:tc>
        <w:tc>
          <w:tcPr>
            <w:tcW w:w="1012" w:type="dxa"/>
            <w:tcBorders>
              <w:top w:val="nil"/>
              <w:left w:val="nil"/>
              <w:bottom w:val="single" w:sz="4" w:space="0" w:color="auto"/>
              <w:right w:val="single" w:sz="4" w:space="0" w:color="auto"/>
            </w:tcBorders>
            <w:vAlign w:val="center"/>
            <w:hideMark/>
          </w:tcPr>
          <w:p w14:paraId="45FCA8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64948315</w:t>
            </w:r>
          </w:p>
        </w:tc>
        <w:tc>
          <w:tcPr>
            <w:tcW w:w="5953" w:type="dxa"/>
            <w:tcBorders>
              <w:top w:val="nil"/>
              <w:left w:val="nil"/>
              <w:bottom w:val="single" w:sz="4" w:space="0" w:color="auto"/>
              <w:right w:val="single" w:sz="4" w:space="0" w:color="auto"/>
            </w:tcBorders>
            <w:noWrap/>
            <w:vAlign w:val="center"/>
            <w:hideMark/>
          </w:tcPr>
          <w:p w14:paraId="08CFA5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OBČANOV TREBNJE</w:t>
            </w:r>
          </w:p>
        </w:tc>
      </w:tr>
      <w:tr w:rsidR="00F24E18" w14:paraId="68A6276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F1B7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w:t>
            </w:r>
          </w:p>
        </w:tc>
        <w:tc>
          <w:tcPr>
            <w:tcW w:w="1300" w:type="dxa"/>
            <w:tcBorders>
              <w:top w:val="nil"/>
              <w:left w:val="nil"/>
              <w:bottom w:val="single" w:sz="4" w:space="0" w:color="auto"/>
              <w:right w:val="single" w:sz="4" w:space="0" w:color="auto"/>
            </w:tcBorders>
            <w:vAlign w:val="center"/>
            <w:hideMark/>
          </w:tcPr>
          <w:p w14:paraId="2527F9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5050499000</w:t>
            </w:r>
          </w:p>
        </w:tc>
        <w:tc>
          <w:tcPr>
            <w:tcW w:w="1012" w:type="dxa"/>
            <w:tcBorders>
              <w:top w:val="nil"/>
              <w:left w:val="nil"/>
              <w:bottom w:val="single" w:sz="4" w:space="0" w:color="auto"/>
              <w:right w:val="single" w:sz="4" w:space="0" w:color="auto"/>
            </w:tcBorders>
            <w:vAlign w:val="center"/>
            <w:hideMark/>
          </w:tcPr>
          <w:p w14:paraId="09A2FC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21658196</w:t>
            </w:r>
          </w:p>
        </w:tc>
        <w:tc>
          <w:tcPr>
            <w:tcW w:w="5953" w:type="dxa"/>
            <w:tcBorders>
              <w:top w:val="nil"/>
              <w:left w:val="nil"/>
              <w:bottom w:val="single" w:sz="4" w:space="0" w:color="auto"/>
              <w:right w:val="single" w:sz="4" w:space="0" w:color="auto"/>
            </w:tcBorders>
            <w:noWrap/>
            <w:vAlign w:val="center"/>
            <w:hideMark/>
          </w:tcPr>
          <w:p w14:paraId="4CAB74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RAKIČAN</w:t>
            </w:r>
          </w:p>
        </w:tc>
      </w:tr>
      <w:tr w:rsidR="00F24E18" w14:paraId="66D9587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421E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w:t>
            </w:r>
          </w:p>
        </w:tc>
        <w:tc>
          <w:tcPr>
            <w:tcW w:w="1300" w:type="dxa"/>
            <w:tcBorders>
              <w:top w:val="nil"/>
              <w:left w:val="nil"/>
              <w:bottom w:val="single" w:sz="4" w:space="0" w:color="auto"/>
              <w:right w:val="single" w:sz="4" w:space="0" w:color="auto"/>
            </w:tcBorders>
            <w:noWrap/>
            <w:vAlign w:val="center"/>
            <w:hideMark/>
          </w:tcPr>
          <w:p w14:paraId="089A6D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1306405000</w:t>
            </w:r>
          </w:p>
        </w:tc>
        <w:tc>
          <w:tcPr>
            <w:tcW w:w="1012" w:type="dxa"/>
            <w:tcBorders>
              <w:top w:val="nil"/>
              <w:left w:val="nil"/>
              <w:bottom w:val="single" w:sz="4" w:space="0" w:color="auto"/>
              <w:right w:val="single" w:sz="4" w:space="0" w:color="auto"/>
            </w:tcBorders>
            <w:noWrap/>
            <w:vAlign w:val="center"/>
            <w:hideMark/>
          </w:tcPr>
          <w:p w14:paraId="276B5B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28235649</w:t>
            </w:r>
          </w:p>
        </w:tc>
        <w:tc>
          <w:tcPr>
            <w:tcW w:w="5953" w:type="dxa"/>
            <w:tcBorders>
              <w:top w:val="nil"/>
              <w:left w:val="nil"/>
              <w:bottom w:val="single" w:sz="4" w:space="0" w:color="auto"/>
              <w:right w:val="single" w:sz="4" w:space="0" w:color="auto"/>
            </w:tcBorders>
            <w:noWrap/>
            <w:vAlign w:val="center"/>
            <w:hideMark/>
          </w:tcPr>
          <w:p w14:paraId="5CACA8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STAREJŠIH ŠENTJUR</w:t>
            </w:r>
          </w:p>
        </w:tc>
      </w:tr>
      <w:tr w:rsidR="00F24E18" w14:paraId="0CB489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2311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w:t>
            </w:r>
          </w:p>
        </w:tc>
        <w:tc>
          <w:tcPr>
            <w:tcW w:w="1300" w:type="dxa"/>
            <w:tcBorders>
              <w:top w:val="nil"/>
              <w:left w:val="nil"/>
              <w:bottom w:val="single" w:sz="4" w:space="0" w:color="auto"/>
              <w:right w:val="single" w:sz="4" w:space="0" w:color="auto"/>
            </w:tcBorders>
            <w:vAlign w:val="center"/>
            <w:hideMark/>
          </w:tcPr>
          <w:p w14:paraId="4B5551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5049920000</w:t>
            </w:r>
          </w:p>
        </w:tc>
        <w:tc>
          <w:tcPr>
            <w:tcW w:w="1012" w:type="dxa"/>
            <w:tcBorders>
              <w:top w:val="nil"/>
              <w:left w:val="nil"/>
              <w:bottom w:val="single" w:sz="4" w:space="0" w:color="auto"/>
              <w:right w:val="single" w:sz="4" w:space="0" w:color="auto"/>
            </w:tcBorders>
            <w:vAlign w:val="center"/>
            <w:hideMark/>
          </w:tcPr>
          <w:p w14:paraId="233754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95839798</w:t>
            </w:r>
          </w:p>
        </w:tc>
        <w:tc>
          <w:tcPr>
            <w:tcW w:w="5953" w:type="dxa"/>
            <w:tcBorders>
              <w:top w:val="nil"/>
              <w:left w:val="nil"/>
              <w:bottom w:val="single" w:sz="4" w:space="0" w:color="auto"/>
              <w:right w:val="single" w:sz="4" w:space="0" w:color="auto"/>
            </w:tcBorders>
            <w:noWrap/>
            <w:vAlign w:val="center"/>
            <w:hideMark/>
          </w:tcPr>
          <w:p w14:paraId="1CBCA9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TISJE ŠMARTNO PRI LITIJI</w:t>
            </w:r>
          </w:p>
        </w:tc>
      </w:tr>
      <w:tr w:rsidR="00F24E18" w14:paraId="6DF660A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F9E0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w:t>
            </w:r>
          </w:p>
        </w:tc>
        <w:tc>
          <w:tcPr>
            <w:tcW w:w="1300" w:type="dxa"/>
            <w:tcBorders>
              <w:top w:val="nil"/>
              <w:left w:val="nil"/>
              <w:bottom w:val="single" w:sz="4" w:space="0" w:color="auto"/>
              <w:right w:val="single" w:sz="4" w:space="0" w:color="auto"/>
            </w:tcBorders>
            <w:vAlign w:val="center"/>
            <w:hideMark/>
          </w:tcPr>
          <w:p w14:paraId="013503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5051070000</w:t>
            </w:r>
          </w:p>
        </w:tc>
        <w:tc>
          <w:tcPr>
            <w:tcW w:w="1012" w:type="dxa"/>
            <w:tcBorders>
              <w:top w:val="nil"/>
              <w:left w:val="nil"/>
              <w:bottom w:val="single" w:sz="4" w:space="0" w:color="auto"/>
              <w:right w:val="single" w:sz="4" w:space="0" w:color="auto"/>
            </w:tcBorders>
            <w:vAlign w:val="center"/>
            <w:hideMark/>
          </w:tcPr>
          <w:p w14:paraId="69E4CC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87980193</w:t>
            </w:r>
          </w:p>
        </w:tc>
        <w:tc>
          <w:tcPr>
            <w:tcW w:w="5953" w:type="dxa"/>
            <w:tcBorders>
              <w:top w:val="nil"/>
              <w:left w:val="nil"/>
              <w:bottom w:val="single" w:sz="4" w:space="0" w:color="auto"/>
              <w:right w:val="single" w:sz="4" w:space="0" w:color="auto"/>
            </w:tcBorders>
            <w:noWrap/>
            <w:vAlign w:val="center"/>
            <w:hideMark/>
          </w:tcPr>
          <w:p w14:paraId="098FD5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CENTER TABOR - POLJANE</w:t>
            </w:r>
          </w:p>
        </w:tc>
      </w:tr>
      <w:tr w:rsidR="00F24E18" w14:paraId="5DF1CB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E5FE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w:t>
            </w:r>
          </w:p>
        </w:tc>
        <w:tc>
          <w:tcPr>
            <w:tcW w:w="1300" w:type="dxa"/>
            <w:tcBorders>
              <w:top w:val="nil"/>
              <w:left w:val="nil"/>
              <w:bottom w:val="single" w:sz="4" w:space="0" w:color="auto"/>
              <w:right w:val="single" w:sz="4" w:space="0" w:color="auto"/>
            </w:tcBorders>
            <w:vAlign w:val="center"/>
            <w:hideMark/>
          </w:tcPr>
          <w:p w14:paraId="55539C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5049652000</w:t>
            </w:r>
          </w:p>
        </w:tc>
        <w:tc>
          <w:tcPr>
            <w:tcW w:w="1012" w:type="dxa"/>
            <w:tcBorders>
              <w:top w:val="nil"/>
              <w:left w:val="nil"/>
              <w:bottom w:val="single" w:sz="4" w:space="0" w:color="auto"/>
              <w:right w:val="single" w:sz="4" w:space="0" w:color="auto"/>
            </w:tcBorders>
            <w:vAlign w:val="center"/>
            <w:hideMark/>
          </w:tcPr>
          <w:p w14:paraId="03A594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91257107</w:t>
            </w:r>
          </w:p>
        </w:tc>
        <w:tc>
          <w:tcPr>
            <w:tcW w:w="5953" w:type="dxa"/>
            <w:tcBorders>
              <w:top w:val="nil"/>
              <w:left w:val="nil"/>
              <w:bottom w:val="single" w:sz="4" w:space="0" w:color="auto"/>
              <w:right w:val="single" w:sz="4" w:space="0" w:color="auto"/>
            </w:tcBorders>
            <w:noWrap/>
            <w:vAlign w:val="center"/>
            <w:hideMark/>
          </w:tcPr>
          <w:p w14:paraId="023C4A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DOMŽALE</w:t>
            </w:r>
          </w:p>
        </w:tc>
      </w:tr>
      <w:tr w:rsidR="00F24E18" w14:paraId="10E0BA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2689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w:t>
            </w:r>
          </w:p>
        </w:tc>
        <w:tc>
          <w:tcPr>
            <w:tcW w:w="1300" w:type="dxa"/>
            <w:tcBorders>
              <w:top w:val="nil"/>
              <w:left w:val="nil"/>
              <w:bottom w:val="single" w:sz="4" w:space="0" w:color="auto"/>
              <w:right w:val="single" w:sz="4" w:space="0" w:color="auto"/>
            </w:tcBorders>
            <w:vAlign w:val="center"/>
            <w:hideMark/>
          </w:tcPr>
          <w:p w14:paraId="0172BE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5049750000</w:t>
            </w:r>
          </w:p>
        </w:tc>
        <w:tc>
          <w:tcPr>
            <w:tcW w:w="1012" w:type="dxa"/>
            <w:tcBorders>
              <w:top w:val="nil"/>
              <w:left w:val="nil"/>
              <w:bottom w:val="single" w:sz="4" w:space="0" w:color="auto"/>
              <w:right w:val="single" w:sz="4" w:space="0" w:color="auto"/>
            </w:tcBorders>
            <w:vAlign w:val="center"/>
            <w:hideMark/>
          </w:tcPr>
          <w:p w14:paraId="29F71B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81288379</w:t>
            </w:r>
          </w:p>
        </w:tc>
        <w:tc>
          <w:tcPr>
            <w:tcW w:w="5953" w:type="dxa"/>
            <w:tcBorders>
              <w:top w:val="nil"/>
              <w:left w:val="nil"/>
              <w:bottom w:val="single" w:sz="4" w:space="0" w:color="auto"/>
              <w:right w:val="single" w:sz="4" w:space="0" w:color="auto"/>
            </w:tcBorders>
            <w:noWrap/>
            <w:vAlign w:val="center"/>
            <w:hideMark/>
          </w:tcPr>
          <w:p w14:paraId="07F9AF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DR. FRANCETA BERGELJA, JESENICE</w:t>
            </w:r>
          </w:p>
        </w:tc>
      </w:tr>
      <w:tr w:rsidR="00F24E18" w14:paraId="631C37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5F13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w:t>
            </w:r>
          </w:p>
        </w:tc>
        <w:tc>
          <w:tcPr>
            <w:tcW w:w="1300" w:type="dxa"/>
            <w:tcBorders>
              <w:top w:val="nil"/>
              <w:left w:val="nil"/>
              <w:bottom w:val="single" w:sz="4" w:space="0" w:color="auto"/>
              <w:right w:val="single" w:sz="4" w:space="0" w:color="auto"/>
            </w:tcBorders>
            <w:vAlign w:val="center"/>
            <w:hideMark/>
          </w:tcPr>
          <w:p w14:paraId="126DC6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5101859000</w:t>
            </w:r>
          </w:p>
        </w:tc>
        <w:tc>
          <w:tcPr>
            <w:tcW w:w="1012" w:type="dxa"/>
            <w:tcBorders>
              <w:top w:val="nil"/>
              <w:left w:val="nil"/>
              <w:bottom w:val="single" w:sz="4" w:space="0" w:color="auto"/>
              <w:right w:val="single" w:sz="4" w:space="0" w:color="auto"/>
            </w:tcBorders>
            <w:vAlign w:val="center"/>
            <w:hideMark/>
          </w:tcPr>
          <w:p w14:paraId="186A8E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30739551</w:t>
            </w:r>
          </w:p>
        </w:tc>
        <w:tc>
          <w:tcPr>
            <w:tcW w:w="5953" w:type="dxa"/>
            <w:tcBorders>
              <w:top w:val="nil"/>
              <w:left w:val="nil"/>
              <w:bottom w:val="single" w:sz="4" w:space="0" w:color="auto"/>
              <w:right w:val="single" w:sz="4" w:space="0" w:color="auto"/>
            </w:tcBorders>
            <w:noWrap/>
            <w:vAlign w:val="center"/>
            <w:hideMark/>
          </w:tcPr>
          <w:p w14:paraId="4AE8E1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FRANC SALAMON TRBOVLJE</w:t>
            </w:r>
          </w:p>
        </w:tc>
      </w:tr>
      <w:tr w:rsidR="00F24E18" w14:paraId="1AEAF4F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851E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w:t>
            </w:r>
          </w:p>
        </w:tc>
        <w:tc>
          <w:tcPr>
            <w:tcW w:w="1300" w:type="dxa"/>
            <w:tcBorders>
              <w:top w:val="nil"/>
              <w:left w:val="nil"/>
              <w:bottom w:val="single" w:sz="4" w:space="0" w:color="auto"/>
              <w:right w:val="single" w:sz="4" w:space="0" w:color="auto"/>
            </w:tcBorders>
            <w:vAlign w:val="center"/>
            <w:hideMark/>
          </w:tcPr>
          <w:p w14:paraId="29FFC3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5050502000</w:t>
            </w:r>
          </w:p>
        </w:tc>
        <w:tc>
          <w:tcPr>
            <w:tcW w:w="1012" w:type="dxa"/>
            <w:tcBorders>
              <w:top w:val="nil"/>
              <w:left w:val="nil"/>
              <w:bottom w:val="single" w:sz="4" w:space="0" w:color="auto"/>
              <w:right w:val="single" w:sz="4" w:space="0" w:color="auto"/>
            </w:tcBorders>
            <w:vAlign w:val="center"/>
            <w:hideMark/>
          </w:tcPr>
          <w:p w14:paraId="540D7C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15958957</w:t>
            </w:r>
          </w:p>
        </w:tc>
        <w:tc>
          <w:tcPr>
            <w:tcW w:w="5953" w:type="dxa"/>
            <w:tcBorders>
              <w:top w:val="nil"/>
              <w:left w:val="nil"/>
              <w:bottom w:val="single" w:sz="4" w:space="0" w:color="auto"/>
              <w:right w:val="single" w:sz="4" w:space="0" w:color="auto"/>
            </w:tcBorders>
            <w:noWrap/>
            <w:vAlign w:val="center"/>
            <w:hideMark/>
          </w:tcPr>
          <w:p w14:paraId="247797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GRADIŠČE</w:t>
            </w:r>
          </w:p>
        </w:tc>
      </w:tr>
      <w:tr w:rsidR="00F24E18" w14:paraId="342ACFA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C46B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w:t>
            </w:r>
          </w:p>
        </w:tc>
        <w:tc>
          <w:tcPr>
            <w:tcW w:w="1300" w:type="dxa"/>
            <w:tcBorders>
              <w:top w:val="nil"/>
              <w:left w:val="nil"/>
              <w:bottom w:val="single" w:sz="4" w:space="0" w:color="auto"/>
              <w:right w:val="single" w:sz="4" w:space="0" w:color="auto"/>
            </w:tcBorders>
            <w:vAlign w:val="center"/>
            <w:hideMark/>
          </w:tcPr>
          <w:p w14:paraId="0458B5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5050669000</w:t>
            </w:r>
          </w:p>
        </w:tc>
        <w:tc>
          <w:tcPr>
            <w:tcW w:w="1012" w:type="dxa"/>
            <w:tcBorders>
              <w:top w:val="nil"/>
              <w:left w:val="nil"/>
              <w:bottom w:val="single" w:sz="4" w:space="0" w:color="auto"/>
              <w:right w:val="single" w:sz="4" w:space="0" w:color="auto"/>
            </w:tcBorders>
            <w:vAlign w:val="center"/>
            <w:hideMark/>
          </w:tcPr>
          <w:p w14:paraId="5A4AA2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48982822</w:t>
            </w:r>
          </w:p>
        </w:tc>
        <w:tc>
          <w:tcPr>
            <w:tcW w:w="5953" w:type="dxa"/>
            <w:tcBorders>
              <w:top w:val="nil"/>
              <w:left w:val="nil"/>
              <w:bottom w:val="single" w:sz="4" w:space="0" w:color="auto"/>
              <w:right w:val="single" w:sz="4" w:space="0" w:color="auto"/>
            </w:tcBorders>
            <w:noWrap/>
            <w:vAlign w:val="center"/>
            <w:hideMark/>
          </w:tcPr>
          <w:p w14:paraId="7C5717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IN OSKRBOVANCEV IMPOLJCA</w:t>
            </w:r>
          </w:p>
        </w:tc>
      </w:tr>
      <w:tr w:rsidR="00F24E18" w14:paraId="4642B39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6DC4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w:t>
            </w:r>
          </w:p>
        </w:tc>
        <w:tc>
          <w:tcPr>
            <w:tcW w:w="1300" w:type="dxa"/>
            <w:tcBorders>
              <w:top w:val="nil"/>
              <w:left w:val="nil"/>
              <w:bottom w:val="single" w:sz="4" w:space="0" w:color="auto"/>
              <w:right w:val="single" w:sz="4" w:space="0" w:color="auto"/>
            </w:tcBorders>
            <w:vAlign w:val="center"/>
            <w:hideMark/>
          </w:tcPr>
          <w:p w14:paraId="332901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5049741000</w:t>
            </w:r>
          </w:p>
        </w:tc>
        <w:tc>
          <w:tcPr>
            <w:tcW w:w="1012" w:type="dxa"/>
            <w:tcBorders>
              <w:top w:val="nil"/>
              <w:left w:val="nil"/>
              <w:bottom w:val="single" w:sz="4" w:space="0" w:color="auto"/>
              <w:right w:val="single" w:sz="4" w:space="0" w:color="auto"/>
            </w:tcBorders>
            <w:vAlign w:val="center"/>
            <w:hideMark/>
          </w:tcPr>
          <w:p w14:paraId="473155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18512097</w:t>
            </w:r>
          </w:p>
        </w:tc>
        <w:tc>
          <w:tcPr>
            <w:tcW w:w="5953" w:type="dxa"/>
            <w:tcBorders>
              <w:top w:val="nil"/>
              <w:left w:val="nil"/>
              <w:bottom w:val="single" w:sz="4" w:space="0" w:color="auto"/>
              <w:right w:val="single" w:sz="4" w:space="0" w:color="auto"/>
            </w:tcBorders>
            <w:noWrap/>
            <w:vAlign w:val="center"/>
            <w:hideMark/>
          </w:tcPr>
          <w:p w14:paraId="4A980D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IZOLA - CASA DEL PENSIONATO ISOLA</w:t>
            </w:r>
          </w:p>
        </w:tc>
      </w:tr>
      <w:tr w:rsidR="00F24E18" w14:paraId="072F70E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F15E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w:t>
            </w:r>
          </w:p>
        </w:tc>
        <w:tc>
          <w:tcPr>
            <w:tcW w:w="1300" w:type="dxa"/>
            <w:tcBorders>
              <w:top w:val="nil"/>
              <w:left w:val="nil"/>
              <w:bottom w:val="single" w:sz="4" w:space="0" w:color="auto"/>
              <w:right w:val="single" w:sz="4" w:space="0" w:color="auto"/>
            </w:tcBorders>
            <w:vAlign w:val="center"/>
            <w:hideMark/>
          </w:tcPr>
          <w:p w14:paraId="51CEFD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5051002000</w:t>
            </w:r>
          </w:p>
        </w:tc>
        <w:tc>
          <w:tcPr>
            <w:tcW w:w="1012" w:type="dxa"/>
            <w:tcBorders>
              <w:top w:val="nil"/>
              <w:left w:val="nil"/>
              <w:bottom w:val="single" w:sz="4" w:space="0" w:color="auto"/>
              <w:right w:val="single" w:sz="4" w:space="0" w:color="auto"/>
            </w:tcBorders>
            <w:vAlign w:val="center"/>
            <w:hideMark/>
          </w:tcPr>
          <w:p w14:paraId="0CE76E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31802435</w:t>
            </w:r>
          </w:p>
        </w:tc>
        <w:tc>
          <w:tcPr>
            <w:tcW w:w="5953" w:type="dxa"/>
            <w:tcBorders>
              <w:top w:val="nil"/>
              <w:left w:val="nil"/>
              <w:bottom w:val="single" w:sz="4" w:space="0" w:color="auto"/>
              <w:right w:val="single" w:sz="4" w:space="0" w:color="auto"/>
            </w:tcBorders>
            <w:noWrap/>
            <w:vAlign w:val="center"/>
            <w:hideMark/>
          </w:tcPr>
          <w:p w14:paraId="25995A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KRANJ</w:t>
            </w:r>
          </w:p>
        </w:tc>
      </w:tr>
      <w:tr w:rsidR="00F24E18" w14:paraId="3067678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0BFF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w:t>
            </w:r>
          </w:p>
        </w:tc>
        <w:tc>
          <w:tcPr>
            <w:tcW w:w="1300" w:type="dxa"/>
            <w:tcBorders>
              <w:top w:val="nil"/>
              <w:left w:val="nil"/>
              <w:bottom w:val="single" w:sz="4" w:space="0" w:color="auto"/>
              <w:right w:val="single" w:sz="4" w:space="0" w:color="auto"/>
            </w:tcBorders>
            <w:vAlign w:val="center"/>
            <w:hideMark/>
          </w:tcPr>
          <w:p w14:paraId="615D5A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5057078000</w:t>
            </w:r>
          </w:p>
        </w:tc>
        <w:tc>
          <w:tcPr>
            <w:tcW w:w="1012" w:type="dxa"/>
            <w:tcBorders>
              <w:top w:val="nil"/>
              <w:left w:val="nil"/>
              <w:bottom w:val="single" w:sz="4" w:space="0" w:color="auto"/>
              <w:right w:val="single" w:sz="4" w:space="0" w:color="auto"/>
            </w:tcBorders>
            <w:vAlign w:val="center"/>
            <w:hideMark/>
          </w:tcPr>
          <w:p w14:paraId="556317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38590522</w:t>
            </w:r>
          </w:p>
        </w:tc>
        <w:tc>
          <w:tcPr>
            <w:tcW w:w="5953" w:type="dxa"/>
            <w:tcBorders>
              <w:top w:val="nil"/>
              <w:left w:val="nil"/>
              <w:bottom w:val="single" w:sz="4" w:space="0" w:color="auto"/>
              <w:right w:val="single" w:sz="4" w:space="0" w:color="auto"/>
            </w:tcBorders>
            <w:noWrap/>
            <w:vAlign w:val="center"/>
            <w:hideMark/>
          </w:tcPr>
          <w:p w14:paraId="55797A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NOVA GORICA</w:t>
            </w:r>
          </w:p>
        </w:tc>
      </w:tr>
      <w:tr w:rsidR="00F24E18" w14:paraId="7675E0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FB73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w:t>
            </w:r>
          </w:p>
        </w:tc>
        <w:tc>
          <w:tcPr>
            <w:tcW w:w="1300" w:type="dxa"/>
            <w:tcBorders>
              <w:top w:val="nil"/>
              <w:left w:val="nil"/>
              <w:bottom w:val="single" w:sz="4" w:space="0" w:color="auto"/>
              <w:right w:val="single" w:sz="4" w:space="0" w:color="auto"/>
            </w:tcBorders>
            <w:vAlign w:val="center"/>
            <w:hideMark/>
          </w:tcPr>
          <w:p w14:paraId="0E9CC7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5050804000</w:t>
            </w:r>
          </w:p>
        </w:tc>
        <w:tc>
          <w:tcPr>
            <w:tcW w:w="1012" w:type="dxa"/>
            <w:tcBorders>
              <w:top w:val="nil"/>
              <w:left w:val="nil"/>
              <w:bottom w:val="single" w:sz="4" w:space="0" w:color="auto"/>
              <w:right w:val="single" w:sz="4" w:space="0" w:color="auto"/>
            </w:tcBorders>
            <w:vAlign w:val="center"/>
            <w:hideMark/>
          </w:tcPr>
          <w:p w14:paraId="2F980A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90097114</w:t>
            </w:r>
          </w:p>
        </w:tc>
        <w:tc>
          <w:tcPr>
            <w:tcW w:w="5953" w:type="dxa"/>
            <w:tcBorders>
              <w:top w:val="nil"/>
              <w:left w:val="nil"/>
              <w:bottom w:val="single" w:sz="4" w:space="0" w:color="auto"/>
              <w:right w:val="single" w:sz="4" w:space="0" w:color="auto"/>
            </w:tcBorders>
            <w:noWrap/>
            <w:vAlign w:val="center"/>
            <w:hideMark/>
          </w:tcPr>
          <w:p w14:paraId="76DF7A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PODBRDO</w:t>
            </w:r>
          </w:p>
        </w:tc>
      </w:tr>
      <w:tr w:rsidR="00F24E18" w14:paraId="59D846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33C3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w:t>
            </w:r>
          </w:p>
        </w:tc>
        <w:tc>
          <w:tcPr>
            <w:tcW w:w="1300" w:type="dxa"/>
            <w:tcBorders>
              <w:top w:val="nil"/>
              <w:left w:val="nil"/>
              <w:bottom w:val="single" w:sz="4" w:space="0" w:color="auto"/>
              <w:right w:val="single" w:sz="4" w:space="0" w:color="auto"/>
            </w:tcBorders>
            <w:vAlign w:val="center"/>
            <w:hideMark/>
          </w:tcPr>
          <w:p w14:paraId="13D0CC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5055903000</w:t>
            </w:r>
          </w:p>
        </w:tc>
        <w:tc>
          <w:tcPr>
            <w:tcW w:w="1012" w:type="dxa"/>
            <w:tcBorders>
              <w:top w:val="nil"/>
              <w:left w:val="nil"/>
              <w:bottom w:val="single" w:sz="4" w:space="0" w:color="auto"/>
              <w:right w:val="single" w:sz="4" w:space="0" w:color="auto"/>
            </w:tcBorders>
            <w:vAlign w:val="center"/>
            <w:hideMark/>
          </w:tcPr>
          <w:p w14:paraId="4C4EE2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78494214</w:t>
            </w:r>
          </w:p>
        </w:tc>
        <w:tc>
          <w:tcPr>
            <w:tcW w:w="5953" w:type="dxa"/>
            <w:tcBorders>
              <w:top w:val="nil"/>
              <w:left w:val="nil"/>
              <w:bottom w:val="single" w:sz="4" w:space="0" w:color="auto"/>
              <w:right w:val="single" w:sz="4" w:space="0" w:color="auto"/>
            </w:tcBorders>
            <w:noWrap/>
            <w:vAlign w:val="center"/>
            <w:hideMark/>
          </w:tcPr>
          <w:p w14:paraId="094291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POLZELA</w:t>
            </w:r>
          </w:p>
        </w:tc>
      </w:tr>
      <w:tr w:rsidR="00F24E18" w14:paraId="41983D0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1AD3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w:t>
            </w:r>
          </w:p>
        </w:tc>
        <w:tc>
          <w:tcPr>
            <w:tcW w:w="1300" w:type="dxa"/>
            <w:tcBorders>
              <w:top w:val="nil"/>
              <w:left w:val="nil"/>
              <w:bottom w:val="single" w:sz="4" w:space="0" w:color="auto"/>
              <w:right w:val="single" w:sz="4" w:space="0" w:color="auto"/>
            </w:tcBorders>
            <w:noWrap/>
            <w:vAlign w:val="center"/>
            <w:hideMark/>
          </w:tcPr>
          <w:p w14:paraId="7540F6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5050588000</w:t>
            </w:r>
          </w:p>
        </w:tc>
        <w:tc>
          <w:tcPr>
            <w:tcW w:w="1012" w:type="dxa"/>
            <w:tcBorders>
              <w:top w:val="nil"/>
              <w:left w:val="nil"/>
              <w:bottom w:val="single" w:sz="4" w:space="0" w:color="auto"/>
              <w:right w:val="single" w:sz="4" w:space="0" w:color="auto"/>
            </w:tcBorders>
            <w:noWrap/>
            <w:vAlign w:val="center"/>
            <w:hideMark/>
          </w:tcPr>
          <w:p w14:paraId="583C75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62399101</w:t>
            </w:r>
          </w:p>
        </w:tc>
        <w:tc>
          <w:tcPr>
            <w:tcW w:w="5953" w:type="dxa"/>
            <w:tcBorders>
              <w:top w:val="nil"/>
              <w:left w:val="nil"/>
              <w:bottom w:val="single" w:sz="4" w:space="0" w:color="auto"/>
              <w:right w:val="single" w:sz="4" w:space="0" w:color="auto"/>
            </w:tcBorders>
            <w:noWrap/>
            <w:vAlign w:val="center"/>
            <w:hideMark/>
          </w:tcPr>
          <w:p w14:paraId="2280C8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POSTOJNA</w:t>
            </w:r>
          </w:p>
        </w:tc>
      </w:tr>
      <w:tr w:rsidR="00F24E18" w14:paraId="6C94E0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69F2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w:t>
            </w:r>
          </w:p>
        </w:tc>
        <w:tc>
          <w:tcPr>
            <w:tcW w:w="1300" w:type="dxa"/>
            <w:tcBorders>
              <w:top w:val="nil"/>
              <w:left w:val="nil"/>
              <w:bottom w:val="single" w:sz="4" w:space="0" w:color="auto"/>
              <w:right w:val="single" w:sz="4" w:space="0" w:color="auto"/>
            </w:tcBorders>
            <w:vAlign w:val="center"/>
            <w:hideMark/>
          </w:tcPr>
          <w:p w14:paraId="6381A6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5050618000</w:t>
            </w:r>
          </w:p>
        </w:tc>
        <w:tc>
          <w:tcPr>
            <w:tcW w:w="1012" w:type="dxa"/>
            <w:tcBorders>
              <w:top w:val="nil"/>
              <w:left w:val="nil"/>
              <w:bottom w:val="single" w:sz="4" w:space="0" w:color="auto"/>
              <w:right w:val="single" w:sz="4" w:space="0" w:color="auto"/>
            </w:tcBorders>
            <w:vAlign w:val="center"/>
            <w:hideMark/>
          </w:tcPr>
          <w:p w14:paraId="7FDB7D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83684921</w:t>
            </w:r>
          </w:p>
        </w:tc>
        <w:tc>
          <w:tcPr>
            <w:tcW w:w="5953" w:type="dxa"/>
            <w:tcBorders>
              <w:top w:val="nil"/>
              <w:left w:val="nil"/>
              <w:bottom w:val="single" w:sz="4" w:space="0" w:color="auto"/>
              <w:right w:val="single" w:sz="4" w:space="0" w:color="auto"/>
            </w:tcBorders>
            <w:noWrap/>
            <w:vAlign w:val="center"/>
            <w:hideMark/>
          </w:tcPr>
          <w:p w14:paraId="226089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PTUJ</w:t>
            </w:r>
          </w:p>
        </w:tc>
      </w:tr>
      <w:tr w:rsidR="00F24E18" w14:paraId="7536BF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76C3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w:t>
            </w:r>
          </w:p>
        </w:tc>
        <w:tc>
          <w:tcPr>
            <w:tcW w:w="1300" w:type="dxa"/>
            <w:tcBorders>
              <w:top w:val="nil"/>
              <w:left w:val="nil"/>
              <w:bottom w:val="single" w:sz="4" w:space="0" w:color="auto"/>
              <w:right w:val="single" w:sz="4" w:space="0" w:color="auto"/>
            </w:tcBorders>
            <w:vAlign w:val="center"/>
            <w:hideMark/>
          </w:tcPr>
          <w:p w14:paraId="3524ED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5050677000</w:t>
            </w:r>
          </w:p>
        </w:tc>
        <w:tc>
          <w:tcPr>
            <w:tcW w:w="1012" w:type="dxa"/>
            <w:tcBorders>
              <w:top w:val="nil"/>
              <w:left w:val="nil"/>
              <w:bottom w:val="single" w:sz="4" w:space="0" w:color="auto"/>
              <w:right w:val="single" w:sz="4" w:space="0" w:color="auto"/>
            </w:tcBorders>
            <w:vAlign w:val="center"/>
            <w:hideMark/>
          </w:tcPr>
          <w:p w14:paraId="64A658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58155309</w:t>
            </w:r>
          </w:p>
        </w:tc>
        <w:tc>
          <w:tcPr>
            <w:tcW w:w="5953" w:type="dxa"/>
            <w:tcBorders>
              <w:top w:val="nil"/>
              <w:left w:val="nil"/>
              <w:bottom w:val="single" w:sz="4" w:space="0" w:color="auto"/>
              <w:right w:val="single" w:sz="4" w:space="0" w:color="auto"/>
            </w:tcBorders>
            <w:noWrap/>
            <w:vAlign w:val="center"/>
            <w:hideMark/>
          </w:tcPr>
          <w:p w14:paraId="5C8BAB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SEŽANA</w:t>
            </w:r>
          </w:p>
        </w:tc>
      </w:tr>
      <w:tr w:rsidR="00F24E18" w14:paraId="1919C6C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5C68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w:t>
            </w:r>
          </w:p>
        </w:tc>
        <w:tc>
          <w:tcPr>
            <w:tcW w:w="1300" w:type="dxa"/>
            <w:tcBorders>
              <w:top w:val="nil"/>
              <w:left w:val="nil"/>
              <w:bottom w:val="single" w:sz="4" w:space="0" w:color="auto"/>
              <w:right w:val="single" w:sz="4" w:space="0" w:color="auto"/>
            </w:tcBorders>
            <w:vAlign w:val="center"/>
            <w:hideMark/>
          </w:tcPr>
          <w:p w14:paraId="041D79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5055857000</w:t>
            </w:r>
          </w:p>
        </w:tc>
        <w:tc>
          <w:tcPr>
            <w:tcW w:w="1012" w:type="dxa"/>
            <w:tcBorders>
              <w:top w:val="nil"/>
              <w:left w:val="nil"/>
              <w:bottom w:val="single" w:sz="4" w:space="0" w:color="auto"/>
              <w:right w:val="single" w:sz="4" w:space="0" w:color="auto"/>
            </w:tcBorders>
            <w:vAlign w:val="center"/>
            <w:hideMark/>
          </w:tcPr>
          <w:p w14:paraId="79C368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91348030</w:t>
            </w:r>
          </w:p>
        </w:tc>
        <w:tc>
          <w:tcPr>
            <w:tcW w:w="5953" w:type="dxa"/>
            <w:tcBorders>
              <w:top w:val="nil"/>
              <w:left w:val="nil"/>
              <w:bottom w:val="single" w:sz="4" w:space="0" w:color="auto"/>
              <w:right w:val="single" w:sz="4" w:space="0" w:color="auto"/>
            </w:tcBorders>
            <w:noWrap/>
            <w:vAlign w:val="center"/>
            <w:hideMark/>
          </w:tcPr>
          <w:p w14:paraId="589CF9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ŠMARJE PRI JELŠAH</w:t>
            </w:r>
          </w:p>
        </w:tc>
      </w:tr>
      <w:tr w:rsidR="00F24E18" w14:paraId="29EF23D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EAB3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w:t>
            </w:r>
          </w:p>
        </w:tc>
        <w:tc>
          <w:tcPr>
            <w:tcW w:w="1300" w:type="dxa"/>
            <w:tcBorders>
              <w:top w:val="nil"/>
              <w:left w:val="nil"/>
              <w:bottom w:val="single" w:sz="4" w:space="0" w:color="auto"/>
              <w:right w:val="single" w:sz="4" w:space="0" w:color="auto"/>
            </w:tcBorders>
            <w:vAlign w:val="center"/>
            <w:hideMark/>
          </w:tcPr>
          <w:p w14:paraId="22E6CA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5050847000</w:t>
            </w:r>
          </w:p>
        </w:tc>
        <w:tc>
          <w:tcPr>
            <w:tcW w:w="1012" w:type="dxa"/>
            <w:tcBorders>
              <w:top w:val="nil"/>
              <w:left w:val="nil"/>
              <w:bottom w:val="single" w:sz="4" w:space="0" w:color="auto"/>
              <w:right w:val="single" w:sz="4" w:space="0" w:color="auto"/>
            </w:tcBorders>
            <w:vAlign w:val="center"/>
            <w:hideMark/>
          </w:tcPr>
          <w:p w14:paraId="0AFC6E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81248504</w:t>
            </w:r>
          </w:p>
        </w:tc>
        <w:tc>
          <w:tcPr>
            <w:tcW w:w="5953" w:type="dxa"/>
            <w:tcBorders>
              <w:top w:val="nil"/>
              <w:left w:val="nil"/>
              <w:bottom w:val="single" w:sz="4" w:space="0" w:color="auto"/>
              <w:right w:val="single" w:sz="4" w:space="0" w:color="auto"/>
            </w:tcBorders>
            <w:noWrap/>
            <w:vAlign w:val="center"/>
            <w:hideMark/>
          </w:tcPr>
          <w:p w14:paraId="112DED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UPOKOJENCEV VRHNIKA</w:t>
            </w:r>
          </w:p>
        </w:tc>
      </w:tr>
      <w:tr w:rsidR="00F24E18" w14:paraId="539B499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3EDD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w:t>
            </w:r>
          </w:p>
        </w:tc>
        <w:tc>
          <w:tcPr>
            <w:tcW w:w="1300" w:type="dxa"/>
            <w:tcBorders>
              <w:top w:val="nil"/>
              <w:left w:val="nil"/>
              <w:bottom w:val="single" w:sz="4" w:space="0" w:color="auto"/>
              <w:right w:val="single" w:sz="4" w:space="0" w:color="auto"/>
            </w:tcBorders>
            <w:vAlign w:val="center"/>
            <w:hideMark/>
          </w:tcPr>
          <w:p w14:paraId="44D499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5057167000</w:t>
            </w:r>
          </w:p>
        </w:tc>
        <w:tc>
          <w:tcPr>
            <w:tcW w:w="1012" w:type="dxa"/>
            <w:tcBorders>
              <w:top w:val="nil"/>
              <w:left w:val="nil"/>
              <w:bottom w:val="single" w:sz="4" w:space="0" w:color="auto"/>
              <w:right w:val="single" w:sz="4" w:space="0" w:color="auto"/>
            </w:tcBorders>
            <w:vAlign w:val="center"/>
            <w:hideMark/>
          </w:tcPr>
          <w:p w14:paraId="2B0CCE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66702895</w:t>
            </w:r>
          </w:p>
        </w:tc>
        <w:tc>
          <w:tcPr>
            <w:tcW w:w="5953" w:type="dxa"/>
            <w:tcBorders>
              <w:top w:val="nil"/>
              <w:left w:val="nil"/>
              <w:bottom w:val="single" w:sz="4" w:space="0" w:color="auto"/>
              <w:right w:val="single" w:sz="4" w:space="0" w:color="auto"/>
            </w:tcBorders>
            <w:noWrap/>
            <w:vAlign w:val="center"/>
            <w:hideMark/>
          </w:tcPr>
          <w:p w14:paraId="2551F1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DOM ZA VARSTVO ODRASLIH VELENJE</w:t>
            </w:r>
          </w:p>
        </w:tc>
      </w:tr>
      <w:tr w:rsidR="00F24E18" w14:paraId="0463C7F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62E2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w:t>
            </w:r>
          </w:p>
        </w:tc>
        <w:tc>
          <w:tcPr>
            <w:tcW w:w="1300" w:type="dxa"/>
            <w:tcBorders>
              <w:top w:val="nil"/>
              <w:left w:val="nil"/>
              <w:bottom w:val="single" w:sz="4" w:space="0" w:color="auto"/>
              <w:right w:val="single" w:sz="4" w:space="0" w:color="auto"/>
            </w:tcBorders>
            <w:vAlign w:val="center"/>
            <w:hideMark/>
          </w:tcPr>
          <w:p w14:paraId="77A573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5044286000</w:t>
            </w:r>
          </w:p>
        </w:tc>
        <w:tc>
          <w:tcPr>
            <w:tcW w:w="1012" w:type="dxa"/>
            <w:tcBorders>
              <w:top w:val="nil"/>
              <w:left w:val="nil"/>
              <w:bottom w:val="single" w:sz="4" w:space="0" w:color="auto"/>
              <w:right w:val="single" w:sz="4" w:space="0" w:color="auto"/>
            </w:tcBorders>
            <w:vAlign w:val="center"/>
            <w:hideMark/>
          </w:tcPr>
          <w:p w14:paraId="213E79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96254459</w:t>
            </w:r>
          </w:p>
        </w:tc>
        <w:tc>
          <w:tcPr>
            <w:tcW w:w="5953" w:type="dxa"/>
            <w:tcBorders>
              <w:top w:val="nil"/>
              <w:left w:val="nil"/>
              <w:bottom w:val="single" w:sz="4" w:space="0" w:color="auto"/>
              <w:right w:val="single" w:sz="4" w:space="0" w:color="auto"/>
            </w:tcBorders>
            <w:noWrap/>
            <w:vAlign w:val="center"/>
            <w:hideMark/>
          </w:tcPr>
          <w:p w14:paraId="74D0AC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DRAVSKE ELEKTRARNE MARIBOR D.O.O.</w:t>
            </w:r>
          </w:p>
        </w:tc>
      </w:tr>
      <w:tr w:rsidR="00F24E18" w14:paraId="189282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FAC5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w:t>
            </w:r>
          </w:p>
        </w:tc>
        <w:tc>
          <w:tcPr>
            <w:tcW w:w="1300" w:type="dxa"/>
            <w:tcBorders>
              <w:top w:val="nil"/>
              <w:left w:val="nil"/>
              <w:bottom w:val="single" w:sz="4" w:space="0" w:color="auto"/>
              <w:right w:val="single" w:sz="4" w:space="0" w:color="auto"/>
            </w:tcBorders>
            <w:vAlign w:val="center"/>
            <w:hideMark/>
          </w:tcPr>
          <w:p w14:paraId="698964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5269652000</w:t>
            </w:r>
          </w:p>
        </w:tc>
        <w:tc>
          <w:tcPr>
            <w:tcW w:w="1012" w:type="dxa"/>
            <w:tcBorders>
              <w:top w:val="nil"/>
              <w:left w:val="nil"/>
              <w:bottom w:val="single" w:sz="4" w:space="0" w:color="auto"/>
              <w:right w:val="single" w:sz="4" w:space="0" w:color="auto"/>
            </w:tcBorders>
            <w:vAlign w:val="center"/>
            <w:hideMark/>
          </w:tcPr>
          <w:p w14:paraId="56F0D9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47991119</w:t>
            </w:r>
          </w:p>
        </w:tc>
        <w:tc>
          <w:tcPr>
            <w:tcW w:w="5953" w:type="dxa"/>
            <w:tcBorders>
              <w:top w:val="nil"/>
              <w:left w:val="nil"/>
              <w:bottom w:val="single" w:sz="4" w:space="0" w:color="auto"/>
              <w:right w:val="single" w:sz="4" w:space="0" w:color="auto"/>
            </w:tcBorders>
            <w:noWrap/>
            <w:vAlign w:val="center"/>
            <w:hideMark/>
          </w:tcPr>
          <w:p w14:paraId="70D0E2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DRI UPRAVLJANJE INVESTICIJ, DRUŽBA ZA RAZVOJ INFRASTRUKTURE, D.O.O.</w:t>
            </w:r>
          </w:p>
        </w:tc>
      </w:tr>
      <w:tr w:rsidR="00F24E18" w14:paraId="41DAD0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A8C7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w:t>
            </w:r>
          </w:p>
        </w:tc>
        <w:tc>
          <w:tcPr>
            <w:tcW w:w="1300" w:type="dxa"/>
            <w:tcBorders>
              <w:top w:val="nil"/>
              <w:left w:val="nil"/>
              <w:bottom w:val="single" w:sz="4" w:space="0" w:color="auto"/>
              <w:right w:val="single" w:sz="4" w:space="0" w:color="auto"/>
            </w:tcBorders>
            <w:noWrap/>
            <w:vAlign w:val="center"/>
            <w:hideMark/>
          </w:tcPr>
          <w:p w14:paraId="3108C1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5635772000</w:t>
            </w:r>
          </w:p>
        </w:tc>
        <w:tc>
          <w:tcPr>
            <w:tcW w:w="1012" w:type="dxa"/>
            <w:tcBorders>
              <w:top w:val="nil"/>
              <w:left w:val="nil"/>
              <w:bottom w:val="single" w:sz="4" w:space="0" w:color="auto"/>
              <w:right w:val="single" w:sz="4" w:space="0" w:color="auto"/>
            </w:tcBorders>
            <w:noWrap/>
            <w:vAlign w:val="center"/>
            <w:hideMark/>
          </w:tcPr>
          <w:p w14:paraId="37E9BA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22973389</w:t>
            </w:r>
          </w:p>
        </w:tc>
        <w:tc>
          <w:tcPr>
            <w:tcW w:w="5953" w:type="dxa"/>
            <w:tcBorders>
              <w:top w:val="nil"/>
              <w:left w:val="nil"/>
              <w:bottom w:val="single" w:sz="4" w:space="0" w:color="auto"/>
              <w:right w:val="single" w:sz="4" w:space="0" w:color="auto"/>
            </w:tcBorders>
            <w:noWrap/>
            <w:vAlign w:val="center"/>
            <w:hideMark/>
          </w:tcPr>
          <w:p w14:paraId="1CAA06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DRUGA OSNOVNA ŠOLA SLOVENJ GRADEC</w:t>
            </w:r>
          </w:p>
        </w:tc>
      </w:tr>
      <w:tr w:rsidR="00F24E18" w14:paraId="212CD5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7CDD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w:t>
            </w:r>
          </w:p>
        </w:tc>
        <w:tc>
          <w:tcPr>
            <w:tcW w:w="1300" w:type="dxa"/>
            <w:tcBorders>
              <w:top w:val="nil"/>
              <w:left w:val="nil"/>
              <w:bottom w:val="single" w:sz="4" w:space="0" w:color="auto"/>
              <w:right w:val="single" w:sz="4" w:space="0" w:color="auto"/>
            </w:tcBorders>
            <w:noWrap/>
            <w:vAlign w:val="center"/>
            <w:hideMark/>
          </w:tcPr>
          <w:p w14:paraId="0B5775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5888417000</w:t>
            </w:r>
          </w:p>
        </w:tc>
        <w:tc>
          <w:tcPr>
            <w:tcW w:w="1012" w:type="dxa"/>
            <w:tcBorders>
              <w:top w:val="nil"/>
              <w:left w:val="nil"/>
              <w:bottom w:val="single" w:sz="4" w:space="0" w:color="auto"/>
              <w:right w:val="single" w:sz="4" w:space="0" w:color="auto"/>
            </w:tcBorders>
            <w:noWrap/>
            <w:vAlign w:val="center"/>
            <w:hideMark/>
          </w:tcPr>
          <w:p w14:paraId="3536DA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72959070</w:t>
            </w:r>
          </w:p>
        </w:tc>
        <w:tc>
          <w:tcPr>
            <w:tcW w:w="5953" w:type="dxa"/>
            <w:tcBorders>
              <w:top w:val="nil"/>
              <w:left w:val="nil"/>
              <w:bottom w:val="single" w:sz="4" w:space="0" w:color="auto"/>
              <w:right w:val="single" w:sz="4" w:space="0" w:color="auto"/>
            </w:tcBorders>
            <w:noWrap/>
            <w:vAlign w:val="center"/>
            <w:hideMark/>
          </w:tcPr>
          <w:p w14:paraId="14627B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DRUŠTVO ŠTUDENTOV BREŽICE</w:t>
            </w:r>
          </w:p>
        </w:tc>
      </w:tr>
      <w:tr w:rsidR="00F24E18" w14:paraId="3C44BEA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0BEA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w:t>
            </w:r>
          </w:p>
        </w:tc>
        <w:tc>
          <w:tcPr>
            <w:tcW w:w="1300" w:type="dxa"/>
            <w:tcBorders>
              <w:top w:val="nil"/>
              <w:left w:val="nil"/>
              <w:bottom w:val="single" w:sz="4" w:space="0" w:color="auto"/>
              <w:right w:val="single" w:sz="4" w:space="0" w:color="auto"/>
            </w:tcBorders>
            <w:vAlign w:val="center"/>
            <w:hideMark/>
          </w:tcPr>
          <w:p w14:paraId="7433C9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5814251000</w:t>
            </w:r>
          </w:p>
        </w:tc>
        <w:tc>
          <w:tcPr>
            <w:tcW w:w="1012" w:type="dxa"/>
            <w:tcBorders>
              <w:top w:val="nil"/>
              <w:left w:val="nil"/>
              <w:bottom w:val="single" w:sz="4" w:space="0" w:color="auto"/>
              <w:right w:val="single" w:sz="4" w:space="0" w:color="auto"/>
            </w:tcBorders>
            <w:vAlign w:val="center"/>
            <w:hideMark/>
          </w:tcPr>
          <w:p w14:paraId="01CFF5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92473717</w:t>
            </w:r>
          </w:p>
        </w:tc>
        <w:tc>
          <w:tcPr>
            <w:tcW w:w="5953" w:type="dxa"/>
            <w:tcBorders>
              <w:top w:val="nil"/>
              <w:left w:val="nil"/>
              <w:bottom w:val="single" w:sz="4" w:space="0" w:color="auto"/>
              <w:right w:val="single" w:sz="4" w:space="0" w:color="auto"/>
            </w:tcBorders>
            <w:noWrap/>
            <w:vAlign w:val="center"/>
            <w:hideMark/>
          </w:tcPr>
          <w:p w14:paraId="2201DB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DRUŽBA ZA AVTOCESTE V REPUBLIKI SLOVENIJI D.D.</w:t>
            </w:r>
          </w:p>
        </w:tc>
      </w:tr>
      <w:tr w:rsidR="00F24E18" w14:paraId="4A180B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53EB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w:t>
            </w:r>
          </w:p>
        </w:tc>
        <w:tc>
          <w:tcPr>
            <w:tcW w:w="1300" w:type="dxa"/>
            <w:tcBorders>
              <w:top w:val="nil"/>
              <w:left w:val="nil"/>
              <w:bottom w:val="single" w:sz="4" w:space="0" w:color="auto"/>
              <w:right w:val="single" w:sz="4" w:space="0" w:color="auto"/>
            </w:tcBorders>
            <w:noWrap/>
            <w:vAlign w:val="center"/>
            <w:hideMark/>
          </w:tcPr>
          <w:p w14:paraId="128EF7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9211667000</w:t>
            </w:r>
          </w:p>
        </w:tc>
        <w:tc>
          <w:tcPr>
            <w:tcW w:w="1012" w:type="dxa"/>
            <w:tcBorders>
              <w:top w:val="nil"/>
              <w:left w:val="nil"/>
              <w:bottom w:val="single" w:sz="4" w:space="0" w:color="auto"/>
              <w:right w:val="single" w:sz="4" w:space="0" w:color="auto"/>
            </w:tcBorders>
            <w:noWrap/>
            <w:vAlign w:val="center"/>
            <w:hideMark/>
          </w:tcPr>
          <w:p w14:paraId="11C0AF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79206875</w:t>
            </w:r>
          </w:p>
        </w:tc>
        <w:tc>
          <w:tcPr>
            <w:tcW w:w="5953" w:type="dxa"/>
            <w:tcBorders>
              <w:top w:val="nil"/>
              <w:left w:val="nil"/>
              <w:bottom w:val="single" w:sz="4" w:space="0" w:color="auto"/>
              <w:right w:val="single" w:sz="4" w:space="0" w:color="auto"/>
            </w:tcBorders>
            <w:noWrap/>
            <w:vAlign w:val="center"/>
            <w:hideMark/>
          </w:tcPr>
          <w:p w14:paraId="28185F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DRUŽBA ZA UPRAVLJANJE JAVNEGA POTNIŠKEGA PROMETA, D. O. O.</w:t>
            </w:r>
          </w:p>
        </w:tc>
      </w:tr>
      <w:tr w:rsidR="00F24E18" w14:paraId="652CB8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74AF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w:t>
            </w:r>
          </w:p>
        </w:tc>
        <w:tc>
          <w:tcPr>
            <w:tcW w:w="1300" w:type="dxa"/>
            <w:tcBorders>
              <w:top w:val="nil"/>
              <w:left w:val="nil"/>
              <w:bottom w:val="single" w:sz="4" w:space="0" w:color="auto"/>
              <w:right w:val="single" w:sz="4" w:space="0" w:color="auto"/>
            </w:tcBorders>
            <w:vAlign w:val="center"/>
            <w:hideMark/>
          </w:tcPr>
          <w:p w14:paraId="728E05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6339620000</w:t>
            </w:r>
          </w:p>
        </w:tc>
        <w:tc>
          <w:tcPr>
            <w:tcW w:w="1012" w:type="dxa"/>
            <w:tcBorders>
              <w:top w:val="nil"/>
              <w:left w:val="nil"/>
              <w:bottom w:val="single" w:sz="4" w:space="0" w:color="auto"/>
              <w:right w:val="single" w:sz="4" w:space="0" w:color="auto"/>
            </w:tcBorders>
            <w:vAlign w:val="center"/>
            <w:hideMark/>
          </w:tcPr>
          <w:p w14:paraId="4D82F4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41251482</w:t>
            </w:r>
          </w:p>
        </w:tc>
        <w:tc>
          <w:tcPr>
            <w:tcW w:w="5953" w:type="dxa"/>
            <w:tcBorders>
              <w:top w:val="nil"/>
              <w:left w:val="nil"/>
              <w:bottom w:val="single" w:sz="4" w:space="0" w:color="auto"/>
              <w:right w:val="single" w:sz="4" w:space="0" w:color="auto"/>
            </w:tcBorders>
            <w:noWrap/>
            <w:vAlign w:val="center"/>
            <w:hideMark/>
          </w:tcPr>
          <w:p w14:paraId="33F550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DRUŽBA ZA UPRAVLJANJE TERJATEV BANK, D.D.</w:t>
            </w:r>
          </w:p>
        </w:tc>
      </w:tr>
      <w:tr w:rsidR="00F24E18" w14:paraId="74E9D0E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B7B4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w:t>
            </w:r>
          </w:p>
        </w:tc>
        <w:tc>
          <w:tcPr>
            <w:tcW w:w="1300" w:type="dxa"/>
            <w:tcBorders>
              <w:top w:val="nil"/>
              <w:left w:val="nil"/>
              <w:bottom w:val="single" w:sz="4" w:space="0" w:color="auto"/>
              <w:right w:val="single" w:sz="4" w:space="0" w:color="auto"/>
            </w:tcBorders>
            <w:noWrap/>
            <w:vAlign w:val="center"/>
            <w:hideMark/>
          </w:tcPr>
          <w:p w14:paraId="45937E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1332716000</w:t>
            </w:r>
          </w:p>
        </w:tc>
        <w:tc>
          <w:tcPr>
            <w:tcW w:w="1012" w:type="dxa"/>
            <w:tcBorders>
              <w:top w:val="nil"/>
              <w:left w:val="nil"/>
              <w:bottom w:val="single" w:sz="4" w:space="0" w:color="auto"/>
              <w:right w:val="single" w:sz="4" w:space="0" w:color="auto"/>
            </w:tcBorders>
            <w:noWrap/>
            <w:vAlign w:val="center"/>
            <w:hideMark/>
          </w:tcPr>
          <w:p w14:paraId="4660D2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63712857</w:t>
            </w:r>
          </w:p>
        </w:tc>
        <w:tc>
          <w:tcPr>
            <w:tcW w:w="5953" w:type="dxa"/>
            <w:tcBorders>
              <w:top w:val="nil"/>
              <w:left w:val="nil"/>
              <w:bottom w:val="single" w:sz="4" w:space="0" w:color="auto"/>
              <w:right w:val="single" w:sz="4" w:space="0" w:color="auto"/>
            </w:tcBorders>
            <w:noWrap/>
            <w:vAlign w:val="center"/>
            <w:hideMark/>
          </w:tcPr>
          <w:p w14:paraId="0B7079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DRŽAVNA REVIZIJSKA KOMISIJA ZA REVIZIJO POSTOPKOV ODDAJE JAVNIH NAROČIL</w:t>
            </w:r>
          </w:p>
        </w:tc>
      </w:tr>
      <w:tr w:rsidR="00F24E18" w14:paraId="5C4AD5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FF9F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w:t>
            </w:r>
          </w:p>
        </w:tc>
        <w:tc>
          <w:tcPr>
            <w:tcW w:w="1300" w:type="dxa"/>
            <w:tcBorders>
              <w:top w:val="nil"/>
              <w:left w:val="nil"/>
              <w:bottom w:val="single" w:sz="4" w:space="0" w:color="auto"/>
              <w:right w:val="single" w:sz="4" w:space="0" w:color="auto"/>
            </w:tcBorders>
            <w:noWrap/>
            <w:vAlign w:val="center"/>
            <w:hideMark/>
          </w:tcPr>
          <w:p w14:paraId="11A382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5525098000</w:t>
            </w:r>
          </w:p>
        </w:tc>
        <w:tc>
          <w:tcPr>
            <w:tcW w:w="1012" w:type="dxa"/>
            <w:tcBorders>
              <w:top w:val="nil"/>
              <w:left w:val="nil"/>
              <w:bottom w:val="single" w:sz="4" w:space="0" w:color="auto"/>
              <w:right w:val="single" w:sz="4" w:space="0" w:color="auto"/>
            </w:tcBorders>
            <w:noWrap/>
            <w:vAlign w:val="center"/>
            <w:hideMark/>
          </w:tcPr>
          <w:p w14:paraId="48D327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79826989</w:t>
            </w:r>
          </w:p>
        </w:tc>
        <w:tc>
          <w:tcPr>
            <w:tcW w:w="5953" w:type="dxa"/>
            <w:tcBorders>
              <w:top w:val="nil"/>
              <w:left w:val="nil"/>
              <w:bottom w:val="single" w:sz="4" w:space="0" w:color="auto"/>
              <w:right w:val="single" w:sz="4" w:space="0" w:color="auto"/>
            </w:tcBorders>
            <w:noWrap/>
            <w:vAlign w:val="center"/>
            <w:hideMark/>
          </w:tcPr>
          <w:p w14:paraId="67AC69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DRŽAVNA VOLILNA KOMISIJA</w:t>
            </w:r>
          </w:p>
        </w:tc>
      </w:tr>
      <w:tr w:rsidR="00F24E18" w14:paraId="68B677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E51C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w:t>
            </w:r>
          </w:p>
        </w:tc>
        <w:tc>
          <w:tcPr>
            <w:tcW w:w="1300" w:type="dxa"/>
            <w:tcBorders>
              <w:top w:val="nil"/>
              <w:left w:val="nil"/>
              <w:bottom w:val="single" w:sz="4" w:space="0" w:color="auto"/>
              <w:right w:val="single" w:sz="4" w:space="0" w:color="auto"/>
            </w:tcBorders>
            <w:vAlign w:val="center"/>
            <w:hideMark/>
          </w:tcPr>
          <w:p w14:paraId="197E53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5768063000</w:t>
            </w:r>
          </w:p>
        </w:tc>
        <w:tc>
          <w:tcPr>
            <w:tcW w:w="1012" w:type="dxa"/>
            <w:tcBorders>
              <w:top w:val="nil"/>
              <w:left w:val="nil"/>
              <w:bottom w:val="single" w:sz="4" w:space="0" w:color="auto"/>
              <w:right w:val="single" w:sz="4" w:space="0" w:color="auto"/>
            </w:tcBorders>
            <w:vAlign w:val="center"/>
            <w:hideMark/>
          </w:tcPr>
          <w:p w14:paraId="1E67C9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75000270</w:t>
            </w:r>
          </w:p>
        </w:tc>
        <w:tc>
          <w:tcPr>
            <w:tcW w:w="5953" w:type="dxa"/>
            <w:tcBorders>
              <w:top w:val="nil"/>
              <w:left w:val="nil"/>
              <w:bottom w:val="single" w:sz="4" w:space="0" w:color="auto"/>
              <w:right w:val="single" w:sz="4" w:space="0" w:color="auto"/>
            </w:tcBorders>
            <w:noWrap/>
            <w:vAlign w:val="center"/>
            <w:hideMark/>
          </w:tcPr>
          <w:p w14:paraId="0EBC4B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DRŽAVNI IZPITNI CENTER</w:t>
            </w:r>
          </w:p>
        </w:tc>
      </w:tr>
      <w:tr w:rsidR="00F24E18" w14:paraId="52FF619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0063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w:t>
            </w:r>
          </w:p>
        </w:tc>
        <w:tc>
          <w:tcPr>
            <w:tcW w:w="1300" w:type="dxa"/>
            <w:tcBorders>
              <w:top w:val="nil"/>
              <w:left w:val="nil"/>
              <w:bottom w:val="single" w:sz="4" w:space="0" w:color="auto"/>
              <w:right w:val="single" w:sz="4" w:space="0" w:color="auto"/>
            </w:tcBorders>
            <w:vAlign w:val="center"/>
            <w:hideMark/>
          </w:tcPr>
          <w:p w14:paraId="1904E5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5648122000</w:t>
            </w:r>
          </w:p>
        </w:tc>
        <w:tc>
          <w:tcPr>
            <w:tcW w:w="1012" w:type="dxa"/>
            <w:tcBorders>
              <w:top w:val="nil"/>
              <w:left w:val="nil"/>
              <w:bottom w:val="single" w:sz="4" w:space="0" w:color="auto"/>
              <w:right w:val="single" w:sz="4" w:space="0" w:color="auto"/>
            </w:tcBorders>
            <w:vAlign w:val="center"/>
            <w:hideMark/>
          </w:tcPr>
          <w:p w14:paraId="6BDF07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30558255</w:t>
            </w:r>
          </w:p>
        </w:tc>
        <w:tc>
          <w:tcPr>
            <w:tcW w:w="5953" w:type="dxa"/>
            <w:tcBorders>
              <w:top w:val="nil"/>
              <w:left w:val="nil"/>
              <w:bottom w:val="single" w:sz="4" w:space="0" w:color="auto"/>
              <w:right w:val="single" w:sz="4" w:space="0" w:color="auto"/>
            </w:tcBorders>
            <w:noWrap/>
            <w:vAlign w:val="center"/>
            <w:hideMark/>
          </w:tcPr>
          <w:p w14:paraId="662921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DRŽAVNI SVET REPUBLIKE SLOVENIJE</w:t>
            </w:r>
          </w:p>
        </w:tc>
      </w:tr>
      <w:tr w:rsidR="00F24E18" w14:paraId="7E3B163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4FBE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w:t>
            </w:r>
          </w:p>
        </w:tc>
        <w:tc>
          <w:tcPr>
            <w:tcW w:w="1300" w:type="dxa"/>
            <w:tcBorders>
              <w:top w:val="nil"/>
              <w:left w:val="nil"/>
              <w:bottom w:val="single" w:sz="4" w:space="0" w:color="auto"/>
              <w:right w:val="single" w:sz="4" w:space="0" w:color="auto"/>
            </w:tcBorders>
            <w:vAlign w:val="center"/>
            <w:hideMark/>
          </w:tcPr>
          <w:p w14:paraId="50410E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5022924000</w:t>
            </w:r>
          </w:p>
        </w:tc>
        <w:tc>
          <w:tcPr>
            <w:tcW w:w="1012" w:type="dxa"/>
            <w:tcBorders>
              <w:top w:val="nil"/>
              <w:left w:val="nil"/>
              <w:bottom w:val="single" w:sz="4" w:space="0" w:color="auto"/>
              <w:right w:val="single" w:sz="4" w:space="0" w:color="auto"/>
            </w:tcBorders>
            <w:vAlign w:val="center"/>
            <w:hideMark/>
          </w:tcPr>
          <w:p w14:paraId="6AC62E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21881677</w:t>
            </w:r>
          </w:p>
        </w:tc>
        <w:tc>
          <w:tcPr>
            <w:tcW w:w="5953" w:type="dxa"/>
            <w:tcBorders>
              <w:top w:val="nil"/>
              <w:left w:val="nil"/>
              <w:bottom w:val="single" w:sz="4" w:space="0" w:color="auto"/>
              <w:right w:val="single" w:sz="4" w:space="0" w:color="auto"/>
            </w:tcBorders>
            <w:noWrap/>
            <w:vAlign w:val="center"/>
            <w:hideMark/>
          </w:tcPr>
          <w:p w14:paraId="4FE423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DRŽAVNI ZBOR REPUBLIKE SLOVENIJE</w:t>
            </w:r>
          </w:p>
        </w:tc>
      </w:tr>
      <w:tr w:rsidR="00F24E18" w14:paraId="76F417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CF59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w:t>
            </w:r>
          </w:p>
        </w:tc>
        <w:tc>
          <w:tcPr>
            <w:tcW w:w="1300" w:type="dxa"/>
            <w:tcBorders>
              <w:top w:val="nil"/>
              <w:left w:val="nil"/>
              <w:bottom w:val="single" w:sz="4" w:space="0" w:color="auto"/>
              <w:right w:val="single" w:sz="4" w:space="0" w:color="auto"/>
            </w:tcBorders>
            <w:vAlign w:val="center"/>
            <w:hideMark/>
          </w:tcPr>
          <w:p w14:paraId="1CAA50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5022797000</w:t>
            </w:r>
          </w:p>
        </w:tc>
        <w:tc>
          <w:tcPr>
            <w:tcW w:w="1012" w:type="dxa"/>
            <w:tcBorders>
              <w:top w:val="nil"/>
              <w:left w:val="nil"/>
              <w:bottom w:val="single" w:sz="4" w:space="0" w:color="auto"/>
              <w:right w:val="single" w:sz="4" w:space="0" w:color="auto"/>
            </w:tcBorders>
            <w:vAlign w:val="center"/>
            <w:hideMark/>
          </w:tcPr>
          <w:p w14:paraId="4CD001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88928616</w:t>
            </w:r>
          </w:p>
        </w:tc>
        <w:tc>
          <w:tcPr>
            <w:tcW w:w="5953" w:type="dxa"/>
            <w:tcBorders>
              <w:top w:val="nil"/>
              <w:left w:val="nil"/>
              <w:bottom w:val="single" w:sz="4" w:space="0" w:color="auto"/>
              <w:right w:val="single" w:sz="4" w:space="0" w:color="auto"/>
            </w:tcBorders>
            <w:noWrap/>
            <w:vAlign w:val="center"/>
            <w:hideMark/>
          </w:tcPr>
          <w:p w14:paraId="62CD3E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DRŽAVNO ODVETNIŠTVO REPUBLIKE SLOVENIJE</w:t>
            </w:r>
          </w:p>
        </w:tc>
      </w:tr>
      <w:tr w:rsidR="00F24E18" w14:paraId="329791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2D47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161</w:t>
            </w:r>
          </w:p>
        </w:tc>
        <w:tc>
          <w:tcPr>
            <w:tcW w:w="1300" w:type="dxa"/>
            <w:tcBorders>
              <w:top w:val="nil"/>
              <w:left w:val="nil"/>
              <w:bottom w:val="single" w:sz="4" w:space="0" w:color="auto"/>
              <w:right w:val="single" w:sz="4" w:space="0" w:color="auto"/>
            </w:tcBorders>
            <w:noWrap/>
            <w:vAlign w:val="center"/>
            <w:hideMark/>
          </w:tcPr>
          <w:p w14:paraId="1D140B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2399326000</w:t>
            </w:r>
          </w:p>
        </w:tc>
        <w:tc>
          <w:tcPr>
            <w:tcW w:w="1012" w:type="dxa"/>
            <w:tcBorders>
              <w:top w:val="nil"/>
              <w:left w:val="nil"/>
              <w:bottom w:val="single" w:sz="4" w:space="0" w:color="auto"/>
              <w:right w:val="single" w:sz="4" w:space="0" w:color="auto"/>
            </w:tcBorders>
            <w:noWrap/>
            <w:vAlign w:val="center"/>
            <w:hideMark/>
          </w:tcPr>
          <w:p w14:paraId="2509AA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65930690</w:t>
            </w:r>
          </w:p>
        </w:tc>
        <w:tc>
          <w:tcPr>
            <w:tcW w:w="5953" w:type="dxa"/>
            <w:tcBorders>
              <w:top w:val="nil"/>
              <w:left w:val="nil"/>
              <w:bottom w:val="single" w:sz="4" w:space="0" w:color="auto"/>
              <w:right w:val="single" w:sz="4" w:space="0" w:color="auto"/>
            </w:tcBorders>
            <w:noWrap/>
            <w:vAlign w:val="center"/>
            <w:hideMark/>
          </w:tcPr>
          <w:p w14:paraId="7ECDA7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DRŽAVNOTOŽILSKI SVET</w:t>
            </w:r>
          </w:p>
        </w:tc>
      </w:tr>
      <w:tr w:rsidR="00F24E18" w14:paraId="67D77B3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AE4B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w:t>
            </w:r>
          </w:p>
        </w:tc>
        <w:tc>
          <w:tcPr>
            <w:tcW w:w="1300" w:type="dxa"/>
            <w:tcBorders>
              <w:top w:val="nil"/>
              <w:left w:val="nil"/>
              <w:bottom w:val="single" w:sz="4" w:space="0" w:color="auto"/>
              <w:right w:val="single" w:sz="4" w:space="0" w:color="auto"/>
            </w:tcBorders>
            <w:noWrap/>
            <w:vAlign w:val="center"/>
            <w:hideMark/>
          </w:tcPr>
          <w:p w14:paraId="68A0E7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5086078000</w:t>
            </w:r>
          </w:p>
        </w:tc>
        <w:tc>
          <w:tcPr>
            <w:tcW w:w="1012" w:type="dxa"/>
            <w:tcBorders>
              <w:top w:val="nil"/>
              <w:left w:val="nil"/>
              <w:bottom w:val="single" w:sz="4" w:space="0" w:color="auto"/>
              <w:right w:val="single" w:sz="4" w:space="0" w:color="auto"/>
            </w:tcBorders>
            <w:noWrap/>
            <w:vAlign w:val="center"/>
            <w:hideMark/>
          </w:tcPr>
          <w:p w14:paraId="7FD742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97102318</w:t>
            </w:r>
          </w:p>
        </w:tc>
        <w:tc>
          <w:tcPr>
            <w:tcW w:w="5953" w:type="dxa"/>
            <w:tcBorders>
              <w:top w:val="nil"/>
              <w:left w:val="nil"/>
              <w:bottom w:val="single" w:sz="4" w:space="0" w:color="auto"/>
              <w:right w:val="single" w:sz="4" w:space="0" w:color="auto"/>
            </w:tcBorders>
            <w:noWrap/>
            <w:vAlign w:val="center"/>
            <w:hideMark/>
          </w:tcPr>
          <w:p w14:paraId="0012AF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DVOJEZIČNA OSNOVNA ŠOLA DOBROVNIK KETNYELVU ALTALANOS ISKOLA DOBRONAK</w:t>
            </w:r>
          </w:p>
        </w:tc>
      </w:tr>
      <w:tr w:rsidR="00F24E18" w14:paraId="70CC152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9E97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w:t>
            </w:r>
          </w:p>
        </w:tc>
        <w:tc>
          <w:tcPr>
            <w:tcW w:w="1300" w:type="dxa"/>
            <w:tcBorders>
              <w:top w:val="nil"/>
              <w:left w:val="nil"/>
              <w:bottom w:val="single" w:sz="4" w:space="0" w:color="auto"/>
              <w:right w:val="single" w:sz="4" w:space="0" w:color="auto"/>
            </w:tcBorders>
            <w:noWrap/>
            <w:vAlign w:val="center"/>
            <w:hideMark/>
          </w:tcPr>
          <w:p w14:paraId="6F39B6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5089735000</w:t>
            </w:r>
          </w:p>
        </w:tc>
        <w:tc>
          <w:tcPr>
            <w:tcW w:w="1012" w:type="dxa"/>
            <w:tcBorders>
              <w:top w:val="nil"/>
              <w:left w:val="nil"/>
              <w:bottom w:val="single" w:sz="4" w:space="0" w:color="auto"/>
              <w:right w:val="single" w:sz="4" w:space="0" w:color="auto"/>
            </w:tcBorders>
            <w:noWrap/>
            <w:vAlign w:val="center"/>
            <w:hideMark/>
          </w:tcPr>
          <w:p w14:paraId="141854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31391320</w:t>
            </w:r>
          </w:p>
        </w:tc>
        <w:tc>
          <w:tcPr>
            <w:tcW w:w="5953" w:type="dxa"/>
            <w:tcBorders>
              <w:top w:val="nil"/>
              <w:left w:val="nil"/>
              <w:bottom w:val="single" w:sz="4" w:space="0" w:color="auto"/>
              <w:right w:val="single" w:sz="4" w:space="0" w:color="auto"/>
            </w:tcBorders>
            <w:noWrap/>
            <w:vAlign w:val="center"/>
            <w:hideMark/>
          </w:tcPr>
          <w:p w14:paraId="0470A7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DVOJEZIČNA OSNOVNA ŠOLA GENTEROVCI GONTERHAZI KETNYELVU ALTALANOS ISKOLA</w:t>
            </w:r>
          </w:p>
        </w:tc>
      </w:tr>
      <w:tr w:rsidR="00F24E18" w14:paraId="7C1B13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54D5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w:t>
            </w:r>
          </w:p>
        </w:tc>
        <w:tc>
          <w:tcPr>
            <w:tcW w:w="1300" w:type="dxa"/>
            <w:tcBorders>
              <w:top w:val="nil"/>
              <w:left w:val="nil"/>
              <w:bottom w:val="single" w:sz="4" w:space="0" w:color="auto"/>
              <w:right w:val="single" w:sz="4" w:space="0" w:color="auto"/>
            </w:tcBorders>
            <w:noWrap/>
            <w:vAlign w:val="center"/>
            <w:hideMark/>
          </w:tcPr>
          <w:p w14:paraId="319C23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5089727000</w:t>
            </w:r>
          </w:p>
        </w:tc>
        <w:tc>
          <w:tcPr>
            <w:tcW w:w="1012" w:type="dxa"/>
            <w:tcBorders>
              <w:top w:val="nil"/>
              <w:left w:val="nil"/>
              <w:bottom w:val="single" w:sz="4" w:space="0" w:color="auto"/>
              <w:right w:val="single" w:sz="4" w:space="0" w:color="auto"/>
            </w:tcBorders>
            <w:noWrap/>
            <w:vAlign w:val="center"/>
            <w:hideMark/>
          </w:tcPr>
          <w:p w14:paraId="4E1148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50448625</w:t>
            </w:r>
          </w:p>
        </w:tc>
        <w:tc>
          <w:tcPr>
            <w:tcW w:w="5953" w:type="dxa"/>
            <w:tcBorders>
              <w:top w:val="nil"/>
              <w:left w:val="nil"/>
              <w:bottom w:val="single" w:sz="4" w:space="0" w:color="auto"/>
              <w:right w:val="single" w:sz="4" w:space="0" w:color="auto"/>
            </w:tcBorders>
            <w:noWrap/>
            <w:vAlign w:val="center"/>
            <w:hideMark/>
          </w:tcPr>
          <w:p w14:paraId="0813D6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DVOJEZIČNA OSNOVNA ŠOLA I LENDAVA I. SZ. LENDVAI KETNYELVU ALTALANOS ISKOLA</w:t>
            </w:r>
          </w:p>
        </w:tc>
      </w:tr>
      <w:tr w:rsidR="00F24E18" w14:paraId="39EBD8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D36F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w:t>
            </w:r>
          </w:p>
        </w:tc>
        <w:tc>
          <w:tcPr>
            <w:tcW w:w="1300" w:type="dxa"/>
            <w:tcBorders>
              <w:top w:val="nil"/>
              <w:left w:val="nil"/>
              <w:bottom w:val="single" w:sz="4" w:space="0" w:color="auto"/>
              <w:right w:val="single" w:sz="4" w:space="0" w:color="auto"/>
            </w:tcBorders>
            <w:noWrap/>
            <w:vAlign w:val="center"/>
            <w:hideMark/>
          </w:tcPr>
          <w:p w14:paraId="0B7794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5083338000</w:t>
            </w:r>
          </w:p>
        </w:tc>
        <w:tc>
          <w:tcPr>
            <w:tcW w:w="1012" w:type="dxa"/>
            <w:tcBorders>
              <w:top w:val="nil"/>
              <w:left w:val="nil"/>
              <w:bottom w:val="single" w:sz="4" w:space="0" w:color="auto"/>
              <w:right w:val="single" w:sz="4" w:space="0" w:color="auto"/>
            </w:tcBorders>
            <w:noWrap/>
            <w:vAlign w:val="center"/>
            <w:hideMark/>
          </w:tcPr>
          <w:p w14:paraId="05799E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72087528</w:t>
            </w:r>
          </w:p>
        </w:tc>
        <w:tc>
          <w:tcPr>
            <w:tcW w:w="5953" w:type="dxa"/>
            <w:tcBorders>
              <w:top w:val="nil"/>
              <w:left w:val="nil"/>
              <w:bottom w:val="single" w:sz="4" w:space="0" w:color="auto"/>
              <w:right w:val="single" w:sz="4" w:space="0" w:color="auto"/>
            </w:tcBorders>
            <w:noWrap/>
            <w:vAlign w:val="center"/>
            <w:hideMark/>
          </w:tcPr>
          <w:p w14:paraId="25BC0A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DVOJEZIČNA OSNOVNA ŠOLA II LENDAVA - 2. SZ. LENDVAI KÉTNYELVŰ ÁLTALÁNOS ISKOLA</w:t>
            </w:r>
          </w:p>
        </w:tc>
      </w:tr>
      <w:tr w:rsidR="00F24E18" w14:paraId="7B0652A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E5ED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w:t>
            </w:r>
          </w:p>
        </w:tc>
        <w:tc>
          <w:tcPr>
            <w:tcW w:w="1300" w:type="dxa"/>
            <w:tcBorders>
              <w:top w:val="nil"/>
              <w:left w:val="nil"/>
              <w:bottom w:val="single" w:sz="4" w:space="0" w:color="auto"/>
              <w:right w:val="single" w:sz="4" w:space="0" w:color="auto"/>
            </w:tcBorders>
            <w:noWrap/>
            <w:vAlign w:val="center"/>
            <w:hideMark/>
          </w:tcPr>
          <w:p w14:paraId="3ACA90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5243289000</w:t>
            </w:r>
          </w:p>
        </w:tc>
        <w:tc>
          <w:tcPr>
            <w:tcW w:w="1012" w:type="dxa"/>
            <w:tcBorders>
              <w:top w:val="nil"/>
              <w:left w:val="nil"/>
              <w:bottom w:val="single" w:sz="4" w:space="0" w:color="auto"/>
              <w:right w:val="single" w:sz="4" w:space="0" w:color="auto"/>
            </w:tcBorders>
            <w:noWrap/>
            <w:vAlign w:val="center"/>
            <w:hideMark/>
          </w:tcPr>
          <w:p w14:paraId="081674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67749925</w:t>
            </w:r>
          </w:p>
        </w:tc>
        <w:tc>
          <w:tcPr>
            <w:tcW w:w="5953" w:type="dxa"/>
            <w:tcBorders>
              <w:top w:val="nil"/>
              <w:left w:val="nil"/>
              <w:bottom w:val="single" w:sz="4" w:space="0" w:color="auto"/>
              <w:right w:val="single" w:sz="4" w:space="0" w:color="auto"/>
            </w:tcBorders>
            <w:noWrap/>
            <w:vAlign w:val="center"/>
            <w:hideMark/>
          </w:tcPr>
          <w:p w14:paraId="608C22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DVOJEZIČNA OSNOVNA ŠOLA PROSENJAKOVCI - KÉTNYELVÜ ÁLTALÁNOS ISKOLA, PÁRTOSFALVA</w:t>
            </w:r>
          </w:p>
        </w:tc>
      </w:tr>
      <w:tr w:rsidR="00F24E18" w14:paraId="6ED2B4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9CFA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w:t>
            </w:r>
          </w:p>
        </w:tc>
        <w:tc>
          <w:tcPr>
            <w:tcW w:w="1300" w:type="dxa"/>
            <w:tcBorders>
              <w:top w:val="nil"/>
              <w:left w:val="nil"/>
              <w:bottom w:val="single" w:sz="4" w:space="0" w:color="auto"/>
              <w:right w:val="single" w:sz="4" w:space="0" w:color="auto"/>
            </w:tcBorders>
            <w:noWrap/>
            <w:vAlign w:val="center"/>
            <w:hideMark/>
          </w:tcPr>
          <w:p w14:paraId="6D3D1E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5084067000</w:t>
            </w:r>
          </w:p>
        </w:tc>
        <w:tc>
          <w:tcPr>
            <w:tcW w:w="1012" w:type="dxa"/>
            <w:tcBorders>
              <w:top w:val="nil"/>
              <w:left w:val="nil"/>
              <w:bottom w:val="single" w:sz="4" w:space="0" w:color="auto"/>
              <w:right w:val="single" w:sz="4" w:space="0" w:color="auto"/>
            </w:tcBorders>
            <w:noWrap/>
            <w:vAlign w:val="center"/>
            <w:hideMark/>
          </w:tcPr>
          <w:p w14:paraId="5CD8F1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39462692</w:t>
            </w:r>
          </w:p>
        </w:tc>
        <w:tc>
          <w:tcPr>
            <w:tcW w:w="5953" w:type="dxa"/>
            <w:tcBorders>
              <w:top w:val="nil"/>
              <w:left w:val="nil"/>
              <w:bottom w:val="single" w:sz="4" w:space="0" w:color="auto"/>
              <w:right w:val="single" w:sz="4" w:space="0" w:color="auto"/>
            </w:tcBorders>
            <w:noWrap/>
            <w:vAlign w:val="center"/>
            <w:hideMark/>
          </w:tcPr>
          <w:p w14:paraId="09C893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DVOJEZIČNA SREDNJA ŠOLA LENDAVA KETNYELVU KOZEPISKOLA LENDVA</w:t>
            </w:r>
          </w:p>
        </w:tc>
      </w:tr>
      <w:tr w:rsidR="00F24E18" w14:paraId="3558C4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52AA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w:t>
            </w:r>
          </w:p>
        </w:tc>
        <w:tc>
          <w:tcPr>
            <w:tcW w:w="1300" w:type="dxa"/>
            <w:tcBorders>
              <w:top w:val="nil"/>
              <w:left w:val="nil"/>
              <w:bottom w:val="single" w:sz="4" w:space="0" w:color="auto"/>
              <w:right w:val="single" w:sz="4" w:space="0" w:color="auto"/>
            </w:tcBorders>
            <w:vAlign w:val="center"/>
            <w:hideMark/>
          </w:tcPr>
          <w:p w14:paraId="125444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5854067000</w:t>
            </w:r>
          </w:p>
        </w:tc>
        <w:tc>
          <w:tcPr>
            <w:tcW w:w="1012" w:type="dxa"/>
            <w:tcBorders>
              <w:top w:val="nil"/>
              <w:left w:val="nil"/>
              <w:bottom w:val="single" w:sz="4" w:space="0" w:color="auto"/>
              <w:right w:val="single" w:sz="4" w:space="0" w:color="auto"/>
            </w:tcBorders>
            <w:vAlign w:val="center"/>
            <w:hideMark/>
          </w:tcPr>
          <w:p w14:paraId="45CCC8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10677798</w:t>
            </w:r>
          </w:p>
        </w:tc>
        <w:tc>
          <w:tcPr>
            <w:tcW w:w="5953" w:type="dxa"/>
            <w:tcBorders>
              <w:top w:val="nil"/>
              <w:left w:val="nil"/>
              <w:bottom w:val="single" w:sz="4" w:space="0" w:color="auto"/>
              <w:right w:val="single" w:sz="4" w:space="0" w:color="auto"/>
            </w:tcBorders>
            <w:noWrap/>
            <w:vAlign w:val="center"/>
            <w:hideMark/>
          </w:tcPr>
          <w:p w14:paraId="5C3341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EKO SKLAD, SLOVENSKI OKOLJSKI JAVNI SKLAD</w:t>
            </w:r>
          </w:p>
        </w:tc>
      </w:tr>
      <w:tr w:rsidR="00F24E18" w14:paraId="1443FBE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896B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w:t>
            </w:r>
          </w:p>
        </w:tc>
        <w:tc>
          <w:tcPr>
            <w:tcW w:w="1300" w:type="dxa"/>
            <w:tcBorders>
              <w:top w:val="nil"/>
              <w:left w:val="nil"/>
              <w:bottom w:val="single" w:sz="4" w:space="0" w:color="auto"/>
              <w:right w:val="single" w:sz="4" w:space="0" w:color="auto"/>
            </w:tcBorders>
            <w:vAlign w:val="center"/>
            <w:hideMark/>
          </w:tcPr>
          <w:p w14:paraId="17FE83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5921724000</w:t>
            </w:r>
          </w:p>
        </w:tc>
        <w:tc>
          <w:tcPr>
            <w:tcW w:w="1012" w:type="dxa"/>
            <w:tcBorders>
              <w:top w:val="nil"/>
              <w:left w:val="nil"/>
              <w:bottom w:val="single" w:sz="4" w:space="0" w:color="auto"/>
              <w:right w:val="single" w:sz="4" w:space="0" w:color="auto"/>
            </w:tcBorders>
            <w:vAlign w:val="center"/>
            <w:hideMark/>
          </w:tcPr>
          <w:p w14:paraId="1A10FA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95864717</w:t>
            </w:r>
          </w:p>
        </w:tc>
        <w:tc>
          <w:tcPr>
            <w:tcW w:w="5953" w:type="dxa"/>
            <w:tcBorders>
              <w:top w:val="nil"/>
              <w:left w:val="nil"/>
              <w:bottom w:val="single" w:sz="4" w:space="0" w:color="auto"/>
              <w:right w:val="single" w:sz="4" w:space="0" w:color="auto"/>
            </w:tcBorders>
            <w:noWrap/>
            <w:vAlign w:val="center"/>
            <w:hideMark/>
          </w:tcPr>
          <w:p w14:paraId="186C77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EKONOMSKA GIMNAZIJA IN SREDNJA ŠOLA RADOVLJICA</w:t>
            </w:r>
          </w:p>
        </w:tc>
      </w:tr>
      <w:tr w:rsidR="00F24E18" w14:paraId="36B5DE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23A2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w:t>
            </w:r>
          </w:p>
        </w:tc>
        <w:tc>
          <w:tcPr>
            <w:tcW w:w="1300" w:type="dxa"/>
            <w:tcBorders>
              <w:top w:val="nil"/>
              <w:left w:val="nil"/>
              <w:bottom w:val="single" w:sz="4" w:space="0" w:color="auto"/>
              <w:right w:val="single" w:sz="4" w:space="0" w:color="auto"/>
            </w:tcBorders>
            <w:noWrap/>
            <w:vAlign w:val="center"/>
            <w:hideMark/>
          </w:tcPr>
          <w:p w14:paraId="651799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6280684000</w:t>
            </w:r>
          </w:p>
        </w:tc>
        <w:tc>
          <w:tcPr>
            <w:tcW w:w="1012" w:type="dxa"/>
            <w:tcBorders>
              <w:top w:val="nil"/>
              <w:left w:val="nil"/>
              <w:bottom w:val="single" w:sz="4" w:space="0" w:color="auto"/>
              <w:right w:val="single" w:sz="4" w:space="0" w:color="auto"/>
            </w:tcBorders>
            <w:noWrap/>
            <w:vAlign w:val="center"/>
            <w:hideMark/>
          </w:tcPr>
          <w:p w14:paraId="55734D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56965346</w:t>
            </w:r>
          </w:p>
        </w:tc>
        <w:tc>
          <w:tcPr>
            <w:tcW w:w="5953" w:type="dxa"/>
            <w:tcBorders>
              <w:top w:val="nil"/>
              <w:left w:val="nil"/>
              <w:bottom w:val="single" w:sz="4" w:space="0" w:color="auto"/>
              <w:right w:val="single" w:sz="4" w:space="0" w:color="auto"/>
            </w:tcBorders>
            <w:noWrap/>
            <w:vAlign w:val="center"/>
            <w:hideMark/>
          </w:tcPr>
          <w:p w14:paraId="437691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EKONOMSKA ŠOLA CELJE</w:t>
            </w:r>
          </w:p>
        </w:tc>
      </w:tr>
      <w:tr w:rsidR="00F24E18" w14:paraId="444785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1E63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w:t>
            </w:r>
          </w:p>
        </w:tc>
        <w:tc>
          <w:tcPr>
            <w:tcW w:w="1300" w:type="dxa"/>
            <w:tcBorders>
              <w:top w:val="nil"/>
              <w:left w:val="nil"/>
              <w:bottom w:val="single" w:sz="4" w:space="0" w:color="auto"/>
              <w:right w:val="single" w:sz="4" w:space="0" w:color="auto"/>
            </w:tcBorders>
            <w:vAlign w:val="center"/>
            <w:hideMark/>
          </w:tcPr>
          <w:p w14:paraId="7ACDA8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1318861000</w:t>
            </w:r>
          </w:p>
        </w:tc>
        <w:tc>
          <w:tcPr>
            <w:tcW w:w="1012" w:type="dxa"/>
            <w:tcBorders>
              <w:top w:val="nil"/>
              <w:left w:val="nil"/>
              <w:bottom w:val="single" w:sz="4" w:space="0" w:color="auto"/>
              <w:right w:val="single" w:sz="4" w:space="0" w:color="auto"/>
            </w:tcBorders>
            <w:vAlign w:val="center"/>
            <w:hideMark/>
          </w:tcPr>
          <w:p w14:paraId="3EB5DF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59942720</w:t>
            </w:r>
          </w:p>
        </w:tc>
        <w:tc>
          <w:tcPr>
            <w:tcW w:w="5953" w:type="dxa"/>
            <w:tcBorders>
              <w:top w:val="nil"/>
              <w:left w:val="nil"/>
              <w:bottom w:val="single" w:sz="4" w:space="0" w:color="auto"/>
              <w:right w:val="single" w:sz="4" w:space="0" w:color="auto"/>
            </w:tcBorders>
            <w:noWrap/>
            <w:vAlign w:val="center"/>
            <w:hideMark/>
          </w:tcPr>
          <w:p w14:paraId="62391E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EKONOMSKA ŠOLA LJUBLJANA</w:t>
            </w:r>
          </w:p>
        </w:tc>
      </w:tr>
      <w:tr w:rsidR="00F24E18" w14:paraId="4530E7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C65D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w:t>
            </w:r>
          </w:p>
        </w:tc>
        <w:tc>
          <w:tcPr>
            <w:tcW w:w="1300" w:type="dxa"/>
            <w:tcBorders>
              <w:top w:val="nil"/>
              <w:left w:val="nil"/>
              <w:bottom w:val="single" w:sz="4" w:space="0" w:color="auto"/>
              <w:right w:val="single" w:sz="4" w:space="0" w:color="auto"/>
            </w:tcBorders>
            <w:vAlign w:val="center"/>
            <w:hideMark/>
          </w:tcPr>
          <w:p w14:paraId="02F7B4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5089115000</w:t>
            </w:r>
          </w:p>
        </w:tc>
        <w:tc>
          <w:tcPr>
            <w:tcW w:w="1012" w:type="dxa"/>
            <w:tcBorders>
              <w:top w:val="nil"/>
              <w:left w:val="nil"/>
              <w:bottom w:val="single" w:sz="4" w:space="0" w:color="auto"/>
              <w:right w:val="single" w:sz="4" w:space="0" w:color="auto"/>
            </w:tcBorders>
            <w:vAlign w:val="center"/>
            <w:hideMark/>
          </w:tcPr>
          <w:p w14:paraId="73D8B4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84477849</w:t>
            </w:r>
          </w:p>
        </w:tc>
        <w:tc>
          <w:tcPr>
            <w:tcW w:w="5953" w:type="dxa"/>
            <w:tcBorders>
              <w:top w:val="nil"/>
              <w:left w:val="nil"/>
              <w:bottom w:val="single" w:sz="4" w:space="0" w:color="auto"/>
              <w:right w:val="single" w:sz="4" w:space="0" w:color="auto"/>
            </w:tcBorders>
            <w:noWrap/>
            <w:vAlign w:val="center"/>
            <w:hideMark/>
          </w:tcPr>
          <w:p w14:paraId="5BA432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EKONOMSKA ŠOLA NOVO MESTO</w:t>
            </w:r>
          </w:p>
        </w:tc>
      </w:tr>
      <w:tr w:rsidR="00F24E18" w14:paraId="03AEA67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1B01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w:t>
            </w:r>
          </w:p>
        </w:tc>
        <w:tc>
          <w:tcPr>
            <w:tcW w:w="1300" w:type="dxa"/>
            <w:tcBorders>
              <w:top w:val="nil"/>
              <w:left w:val="nil"/>
              <w:bottom w:val="single" w:sz="4" w:space="0" w:color="auto"/>
              <w:right w:val="single" w:sz="4" w:space="0" w:color="auto"/>
            </w:tcBorders>
            <w:vAlign w:val="center"/>
            <w:hideMark/>
          </w:tcPr>
          <w:p w14:paraId="270835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1953524000</w:t>
            </w:r>
          </w:p>
        </w:tc>
        <w:tc>
          <w:tcPr>
            <w:tcW w:w="1012" w:type="dxa"/>
            <w:tcBorders>
              <w:top w:val="nil"/>
              <w:left w:val="nil"/>
              <w:bottom w:val="single" w:sz="4" w:space="0" w:color="auto"/>
              <w:right w:val="single" w:sz="4" w:space="0" w:color="auto"/>
            </w:tcBorders>
            <w:vAlign w:val="center"/>
            <w:hideMark/>
          </w:tcPr>
          <w:p w14:paraId="00FFCE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87430401</w:t>
            </w:r>
          </w:p>
        </w:tc>
        <w:tc>
          <w:tcPr>
            <w:tcW w:w="5953" w:type="dxa"/>
            <w:tcBorders>
              <w:top w:val="nil"/>
              <w:left w:val="nil"/>
              <w:bottom w:val="single" w:sz="4" w:space="0" w:color="auto"/>
              <w:right w:val="single" w:sz="4" w:space="0" w:color="auto"/>
            </w:tcBorders>
            <w:noWrap/>
            <w:vAlign w:val="center"/>
            <w:hideMark/>
          </w:tcPr>
          <w:p w14:paraId="70A84D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EKO-PARK D.O.O. LENDAVA, JAVNO PODJETJE OKO-PARK KFT. LENDVA, KOZHASZNU VALLALAT</w:t>
            </w:r>
          </w:p>
        </w:tc>
      </w:tr>
      <w:tr w:rsidR="00F24E18" w14:paraId="2408C0D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33EE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w:t>
            </w:r>
          </w:p>
        </w:tc>
        <w:tc>
          <w:tcPr>
            <w:tcW w:w="1300" w:type="dxa"/>
            <w:tcBorders>
              <w:top w:val="nil"/>
              <w:left w:val="nil"/>
              <w:bottom w:val="single" w:sz="4" w:space="0" w:color="auto"/>
              <w:right w:val="single" w:sz="4" w:space="0" w:color="auto"/>
            </w:tcBorders>
            <w:vAlign w:val="center"/>
            <w:hideMark/>
          </w:tcPr>
          <w:p w14:paraId="094900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5223067000</w:t>
            </w:r>
          </w:p>
        </w:tc>
        <w:tc>
          <w:tcPr>
            <w:tcW w:w="1012" w:type="dxa"/>
            <w:tcBorders>
              <w:top w:val="nil"/>
              <w:left w:val="nil"/>
              <w:bottom w:val="single" w:sz="4" w:space="0" w:color="auto"/>
              <w:right w:val="single" w:sz="4" w:space="0" w:color="auto"/>
            </w:tcBorders>
            <w:vAlign w:val="center"/>
            <w:hideMark/>
          </w:tcPr>
          <w:p w14:paraId="50A8A9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62166859</w:t>
            </w:r>
          </w:p>
        </w:tc>
        <w:tc>
          <w:tcPr>
            <w:tcW w:w="5953" w:type="dxa"/>
            <w:tcBorders>
              <w:top w:val="nil"/>
              <w:left w:val="nil"/>
              <w:bottom w:val="single" w:sz="4" w:space="0" w:color="auto"/>
              <w:right w:val="single" w:sz="4" w:space="0" w:color="auto"/>
            </w:tcBorders>
            <w:noWrap/>
            <w:vAlign w:val="center"/>
            <w:hideMark/>
          </w:tcPr>
          <w:p w14:paraId="716E00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CELJE, PODJETJE ZA DISTRIBUCIJO ELEKTRIČNE ENERGIJE, D.D.</w:t>
            </w:r>
          </w:p>
        </w:tc>
      </w:tr>
      <w:tr w:rsidR="00F24E18" w14:paraId="2136CFB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DAEE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w:t>
            </w:r>
          </w:p>
        </w:tc>
        <w:tc>
          <w:tcPr>
            <w:tcW w:w="1300" w:type="dxa"/>
            <w:tcBorders>
              <w:top w:val="nil"/>
              <w:left w:val="nil"/>
              <w:bottom w:val="single" w:sz="4" w:space="0" w:color="auto"/>
              <w:right w:val="single" w:sz="4" w:space="0" w:color="auto"/>
            </w:tcBorders>
            <w:noWrap/>
            <w:vAlign w:val="center"/>
            <w:hideMark/>
          </w:tcPr>
          <w:p w14:paraId="300A90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3974316000</w:t>
            </w:r>
          </w:p>
        </w:tc>
        <w:tc>
          <w:tcPr>
            <w:tcW w:w="1012" w:type="dxa"/>
            <w:tcBorders>
              <w:top w:val="nil"/>
              <w:left w:val="nil"/>
              <w:bottom w:val="single" w:sz="4" w:space="0" w:color="auto"/>
              <w:right w:val="single" w:sz="4" w:space="0" w:color="auto"/>
            </w:tcBorders>
            <w:noWrap/>
            <w:vAlign w:val="center"/>
            <w:hideMark/>
          </w:tcPr>
          <w:p w14:paraId="205CB7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19950853</w:t>
            </w:r>
          </w:p>
        </w:tc>
        <w:tc>
          <w:tcPr>
            <w:tcW w:w="5953" w:type="dxa"/>
            <w:tcBorders>
              <w:top w:val="nil"/>
              <w:left w:val="nil"/>
              <w:bottom w:val="single" w:sz="4" w:space="0" w:color="auto"/>
              <w:right w:val="single" w:sz="4" w:space="0" w:color="auto"/>
            </w:tcBorders>
            <w:noWrap/>
            <w:vAlign w:val="center"/>
            <w:hideMark/>
          </w:tcPr>
          <w:p w14:paraId="1FFF53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ENERGIJA, PODJETJE ZA PRODAJO ELEKTRIKE IN DRUGIH ENERGENTOV, SVETOVANJE IN STORITVE, D.O.O.</w:t>
            </w:r>
          </w:p>
        </w:tc>
      </w:tr>
      <w:tr w:rsidR="00F24E18" w14:paraId="79EED7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CAEB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w:t>
            </w:r>
          </w:p>
        </w:tc>
        <w:tc>
          <w:tcPr>
            <w:tcW w:w="1300" w:type="dxa"/>
            <w:tcBorders>
              <w:top w:val="nil"/>
              <w:left w:val="nil"/>
              <w:bottom w:val="single" w:sz="4" w:space="0" w:color="auto"/>
              <w:right w:val="single" w:sz="4" w:space="0" w:color="auto"/>
            </w:tcBorders>
            <w:vAlign w:val="center"/>
            <w:hideMark/>
          </w:tcPr>
          <w:p w14:paraId="59C9E4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5175348000</w:t>
            </w:r>
          </w:p>
        </w:tc>
        <w:tc>
          <w:tcPr>
            <w:tcW w:w="1012" w:type="dxa"/>
            <w:tcBorders>
              <w:top w:val="nil"/>
              <w:left w:val="nil"/>
              <w:bottom w:val="single" w:sz="4" w:space="0" w:color="auto"/>
              <w:right w:val="single" w:sz="4" w:space="0" w:color="auto"/>
            </w:tcBorders>
            <w:vAlign w:val="center"/>
            <w:hideMark/>
          </w:tcPr>
          <w:p w14:paraId="314FD0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20389264</w:t>
            </w:r>
          </w:p>
        </w:tc>
        <w:tc>
          <w:tcPr>
            <w:tcW w:w="5953" w:type="dxa"/>
            <w:tcBorders>
              <w:top w:val="nil"/>
              <w:left w:val="nil"/>
              <w:bottom w:val="single" w:sz="4" w:space="0" w:color="auto"/>
              <w:right w:val="single" w:sz="4" w:space="0" w:color="auto"/>
            </w:tcBorders>
            <w:noWrap/>
            <w:vAlign w:val="center"/>
            <w:hideMark/>
          </w:tcPr>
          <w:p w14:paraId="5E017B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GORENJSKA, PODJETJE ZA DISTRIBUCIJO ELEKTRIČNE ENERGIJE, D.D.</w:t>
            </w:r>
          </w:p>
        </w:tc>
      </w:tr>
      <w:tr w:rsidR="00F24E18" w14:paraId="1FAB5C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C851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w:t>
            </w:r>
          </w:p>
        </w:tc>
        <w:tc>
          <w:tcPr>
            <w:tcW w:w="1300" w:type="dxa"/>
            <w:tcBorders>
              <w:top w:val="nil"/>
              <w:left w:val="nil"/>
              <w:bottom w:val="single" w:sz="4" w:space="0" w:color="auto"/>
              <w:right w:val="single" w:sz="4" w:space="0" w:color="auto"/>
            </w:tcBorders>
            <w:vAlign w:val="center"/>
            <w:hideMark/>
          </w:tcPr>
          <w:p w14:paraId="51EA1D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5227992000</w:t>
            </w:r>
          </w:p>
        </w:tc>
        <w:tc>
          <w:tcPr>
            <w:tcW w:w="1012" w:type="dxa"/>
            <w:tcBorders>
              <w:top w:val="nil"/>
              <w:left w:val="nil"/>
              <w:bottom w:val="single" w:sz="4" w:space="0" w:color="auto"/>
              <w:right w:val="single" w:sz="4" w:space="0" w:color="auto"/>
            </w:tcBorders>
            <w:vAlign w:val="center"/>
            <w:hideMark/>
          </w:tcPr>
          <w:p w14:paraId="1D88AD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49977725</w:t>
            </w:r>
          </w:p>
        </w:tc>
        <w:tc>
          <w:tcPr>
            <w:tcW w:w="5953" w:type="dxa"/>
            <w:tcBorders>
              <w:top w:val="nil"/>
              <w:left w:val="nil"/>
              <w:bottom w:val="single" w:sz="4" w:space="0" w:color="auto"/>
              <w:right w:val="single" w:sz="4" w:space="0" w:color="auto"/>
            </w:tcBorders>
            <w:noWrap/>
            <w:vAlign w:val="center"/>
            <w:hideMark/>
          </w:tcPr>
          <w:p w14:paraId="1F65CE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LJUBLJANA, PODJETJE ZA DISTRIBUCIJO ELEKTRIČNE ENERGIJE, D.D.</w:t>
            </w:r>
          </w:p>
        </w:tc>
      </w:tr>
      <w:tr w:rsidR="00F24E18" w14:paraId="32ED26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14A8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w:t>
            </w:r>
          </w:p>
        </w:tc>
        <w:tc>
          <w:tcPr>
            <w:tcW w:w="1300" w:type="dxa"/>
            <w:tcBorders>
              <w:top w:val="nil"/>
              <w:left w:val="nil"/>
              <w:bottom w:val="single" w:sz="4" w:space="0" w:color="auto"/>
              <w:right w:val="single" w:sz="4" w:space="0" w:color="auto"/>
            </w:tcBorders>
            <w:vAlign w:val="center"/>
            <w:hideMark/>
          </w:tcPr>
          <w:p w14:paraId="0F876F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5231698000</w:t>
            </w:r>
          </w:p>
        </w:tc>
        <w:tc>
          <w:tcPr>
            <w:tcW w:w="1012" w:type="dxa"/>
            <w:tcBorders>
              <w:top w:val="nil"/>
              <w:left w:val="nil"/>
              <w:bottom w:val="single" w:sz="4" w:space="0" w:color="auto"/>
              <w:right w:val="single" w:sz="4" w:space="0" w:color="auto"/>
            </w:tcBorders>
            <w:vAlign w:val="center"/>
            <w:hideMark/>
          </w:tcPr>
          <w:p w14:paraId="59CA69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46419853</w:t>
            </w:r>
          </w:p>
        </w:tc>
        <w:tc>
          <w:tcPr>
            <w:tcW w:w="5953" w:type="dxa"/>
            <w:tcBorders>
              <w:top w:val="nil"/>
              <w:left w:val="nil"/>
              <w:bottom w:val="single" w:sz="4" w:space="0" w:color="auto"/>
              <w:right w:val="single" w:sz="4" w:space="0" w:color="auto"/>
            </w:tcBorders>
            <w:noWrap/>
            <w:vAlign w:val="center"/>
            <w:hideMark/>
          </w:tcPr>
          <w:p w14:paraId="45463F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MARIBOR, PODJETJE ZA DISTRIBUCIJO ELEKTRIČNE ENERGIJE, D.D.</w:t>
            </w:r>
          </w:p>
        </w:tc>
      </w:tr>
      <w:tr w:rsidR="00F24E18" w14:paraId="1B98880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F9E4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w:t>
            </w:r>
          </w:p>
        </w:tc>
        <w:tc>
          <w:tcPr>
            <w:tcW w:w="1300" w:type="dxa"/>
            <w:tcBorders>
              <w:top w:val="nil"/>
              <w:left w:val="nil"/>
              <w:bottom w:val="single" w:sz="4" w:space="0" w:color="auto"/>
              <w:right w:val="single" w:sz="4" w:space="0" w:color="auto"/>
            </w:tcBorders>
            <w:vAlign w:val="center"/>
            <w:hideMark/>
          </w:tcPr>
          <w:p w14:paraId="63CE3C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5229839000</w:t>
            </w:r>
          </w:p>
        </w:tc>
        <w:tc>
          <w:tcPr>
            <w:tcW w:w="1012" w:type="dxa"/>
            <w:tcBorders>
              <w:top w:val="nil"/>
              <w:left w:val="nil"/>
              <w:bottom w:val="single" w:sz="4" w:space="0" w:color="auto"/>
              <w:right w:val="single" w:sz="4" w:space="0" w:color="auto"/>
            </w:tcBorders>
            <w:vAlign w:val="center"/>
            <w:hideMark/>
          </w:tcPr>
          <w:p w14:paraId="79EEB7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37102656</w:t>
            </w:r>
          </w:p>
        </w:tc>
        <w:tc>
          <w:tcPr>
            <w:tcW w:w="5953" w:type="dxa"/>
            <w:tcBorders>
              <w:top w:val="nil"/>
              <w:left w:val="nil"/>
              <w:bottom w:val="single" w:sz="4" w:space="0" w:color="auto"/>
              <w:right w:val="single" w:sz="4" w:space="0" w:color="auto"/>
            </w:tcBorders>
            <w:noWrap/>
            <w:vAlign w:val="center"/>
            <w:hideMark/>
          </w:tcPr>
          <w:p w14:paraId="560512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 PRIMORSKA PODJETJE ZA DISTRIBUCIJO ELEKTRIČNE ENERGIJE, D.D.</w:t>
            </w:r>
          </w:p>
        </w:tc>
      </w:tr>
      <w:tr w:rsidR="00F24E18" w14:paraId="05D214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A7F3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w:t>
            </w:r>
          </w:p>
        </w:tc>
        <w:tc>
          <w:tcPr>
            <w:tcW w:w="1300" w:type="dxa"/>
            <w:tcBorders>
              <w:top w:val="nil"/>
              <w:left w:val="nil"/>
              <w:bottom w:val="single" w:sz="4" w:space="0" w:color="auto"/>
              <w:right w:val="single" w:sz="4" w:space="0" w:color="auto"/>
            </w:tcBorders>
            <w:vAlign w:val="center"/>
            <w:hideMark/>
          </w:tcPr>
          <w:p w14:paraId="57335A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5084172000</w:t>
            </w:r>
          </w:p>
        </w:tc>
        <w:tc>
          <w:tcPr>
            <w:tcW w:w="1012" w:type="dxa"/>
            <w:tcBorders>
              <w:top w:val="nil"/>
              <w:left w:val="nil"/>
              <w:bottom w:val="single" w:sz="4" w:space="0" w:color="auto"/>
              <w:right w:val="single" w:sz="4" w:space="0" w:color="auto"/>
            </w:tcBorders>
            <w:vAlign w:val="center"/>
            <w:hideMark/>
          </w:tcPr>
          <w:p w14:paraId="681EAE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83657533</w:t>
            </w:r>
          </w:p>
        </w:tc>
        <w:tc>
          <w:tcPr>
            <w:tcW w:w="5953" w:type="dxa"/>
            <w:tcBorders>
              <w:top w:val="nil"/>
              <w:left w:val="nil"/>
              <w:bottom w:val="single" w:sz="4" w:space="0" w:color="auto"/>
              <w:right w:val="single" w:sz="4" w:space="0" w:color="auto"/>
            </w:tcBorders>
            <w:noWrap/>
            <w:vAlign w:val="center"/>
            <w:hideMark/>
          </w:tcPr>
          <w:p w14:paraId="7C2A82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ELEKTROTEHNIŠKO-RAČUNALNIŠKA STROKOVNA ŠOLA IN GIMNAZIJA LJUBLJANA</w:t>
            </w:r>
          </w:p>
        </w:tc>
      </w:tr>
      <w:tr w:rsidR="00F24E18" w14:paraId="22CA149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6D40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w:t>
            </w:r>
          </w:p>
        </w:tc>
        <w:tc>
          <w:tcPr>
            <w:tcW w:w="1300" w:type="dxa"/>
            <w:tcBorders>
              <w:top w:val="nil"/>
              <w:left w:val="nil"/>
              <w:bottom w:val="single" w:sz="4" w:space="0" w:color="auto"/>
              <w:right w:val="single" w:sz="4" w:space="0" w:color="auto"/>
            </w:tcBorders>
            <w:vAlign w:val="center"/>
            <w:hideMark/>
          </w:tcPr>
          <w:p w14:paraId="655AA3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5427223000</w:t>
            </w:r>
          </w:p>
        </w:tc>
        <w:tc>
          <w:tcPr>
            <w:tcW w:w="1012" w:type="dxa"/>
            <w:tcBorders>
              <w:top w:val="nil"/>
              <w:left w:val="nil"/>
              <w:bottom w:val="single" w:sz="4" w:space="0" w:color="auto"/>
              <w:right w:val="single" w:sz="4" w:space="0" w:color="auto"/>
            </w:tcBorders>
            <w:vAlign w:val="center"/>
            <w:hideMark/>
          </w:tcPr>
          <w:p w14:paraId="614BC2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20874731</w:t>
            </w:r>
          </w:p>
        </w:tc>
        <w:tc>
          <w:tcPr>
            <w:tcW w:w="5953" w:type="dxa"/>
            <w:tcBorders>
              <w:top w:val="nil"/>
              <w:left w:val="nil"/>
              <w:bottom w:val="single" w:sz="4" w:space="0" w:color="auto"/>
              <w:right w:val="single" w:sz="4" w:space="0" w:color="auto"/>
            </w:tcBorders>
            <w:noWrap/>
            <w:vAlign w:val="center"/>
            <w:hideMark/>
          </w:tcPr>
          <w:p w14:paraId="327DE5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ELES, D.O.O.</w:t>
            </w:r>
          </w:p>
        </w:tc>
      </w:tr>
      <w:tr w:rsidR="00F24E18" w14:paraId="4319BAE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84ED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w:t>
            </w:r>
          </w:p>
        </w:tc>
        <w:tc>
          <w:tcPr>
            <w:tcW w:w="1300" w:type="dxa"/>
            <w:tcBorders>
              <w:top w:val="nil"/>
              <w:left w:val="nil"/>
              <w:bottom w:val="single" w:sz="4" w:space="0" w:color="auto"/>
              <w:right w:val="single" w:sz="4" w:space="0" w:color="auto"/>
            </w:tcBorders>
            <w:vAlign w:val="center"/>
            <w:hideMark/>
          </w:tcPr>
          <w:p w14:paraId="2F9353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5914531000</w:t>
            </w:r>
          </w:p>
        </w:tc>
        <w:tc>
          <w:tcPr>
            <w:tcW w:w="1012" w:type="dxa"/>
            <w:tcBorders>
              <w:top w:val="nil"/>
              <w:left w:val="nil"/>
              <w:bottom w:val="single" w:sz="4" w:space="0" w:color="auto"/>
              <w:right w:val="single" w:sz="4" w:space="0" w:color="auto"/>
            </w:tcBorders>
            <w:vAlign w:val="center"/>
            <w:hideMark/>
          </w:tcPr>
          <w:p w14:paraId="420162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31013180</w:t>
            </w:r>
          </w:p>
        </w:tc>
        <w:tc>
          <w:tcPr>
            <w:tcW w:w="5953" w:type="dxa"/>
            <w:tcBorders>
              <w:top w:val="nil"/>
              <w:left w:val="nil"/>
              <w:bottom w:val="single" w:sz="4" w:space="0" w:color="auto"/>
              <w:right w:val="single" w:sz="4" w:space="0" w:color="auto"/>
            </w:tcBorders>
            <w:noWrap/>
            <w:vAlign w:val="center"/>
            <w:hideMark/>
          </w:tcPr>
          <w:p w14:paraId="4A2D33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ENERGETIKA CELJE JAVNO PODJETJE, D.O.O.</w:t>
            </w:r>
          </w:p>
        </w:tc>
      </w:tr>
      <w:tr w:rsidR="00F24E18" w14:paraId="26389D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240A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w:t>
            </w:r>
          </w:p>
        </w:tc>
        <w:tc>
          <w:tcPr>
            <w:tcW w:w="1300" w:type="dxa"/>
            <w:tcBorders>
              <w:top w:val="nil"/>
              <w:left w:val="nil"/>
              <w:bottom w:val="single" w:sz="4" w:space="0" w:color="auto"/>
              <w:right w:val="single" w:sz="4" w:space="0" w:color="auto"/>
            </w:tcBorders>
            <w:noWrap/>
            <w:vAlign w:val="center"/>
            <w:hideMark/>
          </w:tcPr>
          <w:p w14:paraId="7AB3E7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2213222000</w:t>
            </w:r>
          </w:p>
        </w:tc>
        <w:tc>
          <w:tcPr>
            <w:tcW w:w="1012" w:type="dxa"/>
            <w:tcBorders>
              <w:top w:val="nil"/>
              <w:left w:val="nil"/>
              <w:bottom w:val="single" w:sz="4" w:space="0" w:color="auto"/>
              <w:right w:val="single" w:sz="4" w:space="0" w:color="auto"/>
            </w:tcBorders>
            <w:noWrap/>
            <w:vAlign w:val="center"/>
            <w:hideMark/>
          </w:tcPr>
          <w:p w14:paraId="62D293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31306543</w:t>
            </w:r>
          </w:p>
        </w:tc>
        <w:tc>
          <w:tcPr>
            <w:tcW w:w="5953" w:type="dxa"/>
            <w:tcBorders>
              <w:top w:val="nil"/>
              <w:left w:val="nil"/>
              <w:bottom w:val="single" w:sz="4" w:space="0" w:color="auto"/>
              <w:right w:val="single" w:sz="4" w:space="0" w:color="auto"/>
            </w:tcBorders>
            <w:noWrap/>
            <w:vAlign w:val="center"/>
            <w:hideMark/>
          </w:tcPr>
          <w:p w14:paraId="43621E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ENERGETSKO PODNEBNA AGENCIJA ZA PODRAVJE</w:t>
            </w:r>
          </w:p>
        </w:tc>
      </w:tr>
      <w:tr w:rsidR="00F24E18" w14:paraId="0F05E5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047C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w:t>
            </w:r>
          </w:p>
        </w:tc>
        <w:tc>
          <w:tcPr>
            <w:tcW w:w="1300" w:type="dxa"/>
            <w:tcBorders>
              <w:top w:val="nil"/>
              <w:left w:val="nil"/>
              <w:bottom w:val="single" w:sz="4" w:space="0" w:color="auto"/>
              <w:right w:val="single" w:sz="4" w:space="0" w:color="auto"/>
            </w:tcBorders>
            <w:noWrap/>
            <w:vAlign w:val="center"/>
            <w:hideMark/>
          </w:tcPr>
          <w:p w14:paraId="782B6D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6600794000</w:t>
            </w:r>
          </w:p>
        </w:tc>
        <w:tc>
          <w:tcPr>
            <w:tcW w:w="1012" w:type="dxa"/>
            <w:tcBorders>
              <w:top w:val="nil"/>
              <w:left w:val="nil"/>
              <w:bottom w:val="single" w:sz="4" w:space="0" w:color="auto"/>
              <w:right w:val="single" w:sz="4" w:space="0" w:color="auto"/>
            </w:tcBorders>
            <w:noWrap/>
            <w:vAlign w:val="center"/>
            <w:hideMark/>
          </w:tcPr>
          <w:p w14:paraId="352570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72121858</w:t>
            </w:r>
          </w:p>
        </w:tc>
        <w:tc>
          <w:tcPr>
            <w:tcW w:w="5953" w:type="dxa"/>
            <w:tcBorders>
              <w:top w:val="nil"/>
              <w:left w:val="nil"/>
              <w:bottom w:val="single" w:sz="4" w:space="0" w:color="auto"/>
              <w:right w:val="single" w:sz="4" w:space="0" w:color="auto"/>
            </w:tcBorders>
            <w:noWrap/>
            <w:vAlign w:val="center"/>
            <w:hideMark/>
          </w:tcPr>
          <w:p w14:paraId="7869D4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ENOS OTE, OSKRBA Z VROČO VODO, D.O.O.</w:t>
            </w:r>
          </w:p>
        </w:tc>
      </w:tr>
      <w:tr w:rsidR="00F24E18" w14:paraId="42BF709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3602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w:t>
            </w:r>
          </w:p>
        </w:tc>
        <w:tc>
          <w:tcPr>
            <w:tcW w:w="1300" w:type="dxa"/>
            <w:tcBorders>
              <w:top w:val="nil"/>
              <w:left w:val="nil"/>
              <w:bottom w:val="single" w:sz="4" w:space="0" w:color="auto"/>
              <w:right w:val="single" w:sz="4" w:space="0" w:color="auto"/>
            </w:tcBorders>
            <w:noWrap/>
            <w:vAlign w:val="center"/>
            <w:hideMark/>
          </w:tcPr>
          <w:p w14:paraId="630825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5852498000</w:t>
            </w:r>
          </w:p>
        </w:tc>
        <w:tc>
          <w:tcPr>
            <w:tcW w:w="1012" w:type="dxa"/>
            <w:tcBorders>
              <w:top w:val="nil"/>
              <w:left w:val="nil"/>
              <w:bottom w:val="single" w:sz="4" w:space="0" w:color="auto"/>
              <w:right w:val="single" w:sz="4" w:space="0" w:color="auto"/>
            </w:tcBorders>
            <w:noWrap/>
            <w:vAlign w:val="center"/>
            <w:hideMark/>
          </w:tcPr>
          <w:p w14:paraId="4A8BF8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23641738</w:t>
            </w:r>
          </w:p>
        </w:tc>
        <w:tc>
          <w:tcPr>
            <w:tcW w:w="5953" w:type="dxa"/>
            <w:tcBorders>
              <w:top w:val="nil"/>
              <w:left w:val="nil"/>
              <w:bottom w:val="single" w:sz="4" w:space="0" w:color="auto"/>
              <w:right w:val="single" w:sz="4" w:space="0" w:color="auto"/>
            </w:tcBorders>
            <w:noWrap/>
            <w:vAlign w:val="center"/>
            <w:hideMark/>
          </w:tcPr>
          <w:p w14:paraId="76BCC4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ENOS, OSKRBA S TOPLO VODO, PARO, ELEKTRIKO IN PLINOM, D.D.</w:t>
            </w:r>
          </w:p>
        </w:tc>
      </w:tr>
      <w:tr w:rsidR="00F24E18" w14:paraId="419F5D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4EC3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w:t>
            </w:r>
          </w:p>
        </w:tc>
        <w:tc>
          <w:tcPr>
            <w:tcW w:w="1300" w:type="dxa"/>
            <w:tcBorders>
              <w:top w:val="nil"/>
              <w:left w:val="nil"/>
              <w:bottom w:val="single" w:sz="4" w:space="0" w:color="auto"/>
              <w:right w:val="single" w:sz="4" w:space="0" w:color="auto"/>
            </w:tcBorders>
            <w:noWrap/>
            <w:vAlign w:val="center"/>
            <w:hideMark/>
          </w:tcPr>
          <w:p w14:paraId="79ACB2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6726909000</w:t>
            </w:r>
          </w:p>
        </w:tc>
        <w:tc>
          <w:tcPr>
            <w:tcW w:w="1012" w:type="dxa"/>
            <w:tcBorders>
              <w:top w:val="nil"/>
              <w:left w:val="nil"/>
              <w:bottom w:val="single" w:sz="4" w:space="0" w:color="auto"/>
              <w:right w:val="single" w:sz="4" w:space="0" w:color="auto"/>
            </w:tcBorders>
            <w:noWrap/>
            <w:vAlign w:val="center"/>
            <w:hideMark/>
          </w:tcPr>
          <w:p w14:paraId="714A7F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40952240</w:t>
            </w:r>
          </w:p>
        </w:tc>
        <w:tc>
          <w:tcPr>
            <w:tcW w:w="5953" w:type="dxa"/>
            <w:tcBorders>
              <w:top w:val="nil"/>
              <w:left w:val="nil"/>
              <w:bottom w:val="single" w:sz="4" w:space="0" w:color="auto"/>
              <w:right w:val="single" w:sz="4" w:space="0" w:color="auto"/>
            </w:tcBorders>
            <w:noWrap/>
            <w:vAlign w:val="center"/>
            <w:hideMark/>
          </w:tcPr>
          <w:p w14:paraId="520269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FABCE, LETALSKE STORITVE, D.O.O.</w:t>
            </w:r>
          </w:p>
        </w:tc>
      </w:tr>
      <w:tr w:rsidR="00F24E18" w14:paraId="429E398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D258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w:t>
            </w:r>
          </w:p>
        </w:tc>
        <w:tc>
          <w:tcPr>
            <w:tcW w:w="1300" w:type="dxa"/>
            <w:tcBorders>
              <w:top w:val="nil"/>
              <w:left w:val="nil"/>
              <w:bottom w:val="single" w:sz="4" w:space="0" w:color="auto"/>
              <w:right w:val="single" w:sz="4" w:space="0" w:color="auto"/>
            </w:tcBorders>
            <w:noWrap/>
            <w:vAlign w:val="center"/>
            <w:hideMark/>
          </w:tcPr>
          <w:p w14:paraId="359938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3375650000</w:t>
            </w:r>
          </w:p>
        </w:tc>
        <w:tc>
          <w:tcPr>
            <w:tcW w:w="1012" w:type="dxa"/>
            <w:tcBorders>
              <w:top w:val="nil"/>
              <w:left w:val="nil"/>
              <w:bottom w:val="single" w:sz="4" w:space="0" w:color="auto"/>
              <w:right w:val="single" w:sz="4" w:space="0" w:color="auto"/>
            </w:tcBorders>
            <w:noWrap/>
            <w:vAlign w:val="center"/>
            <w:hideMark/>
          </w:tcPr>
          <w:p w14:paraId="5227F3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54608821</w:t>
            </w:r>
          </w:p>
        </w:tc>
        <w:tc>
          <w:tcPr>
            <w:tcW w:w="5953" w:type="dxa"/>
            <w:tcBorders>
              <w:top w:val="nil"/>
              <w:left w:val="nil"/>
              <w:bottom w:val="single" w:sz="4" w:space="0" w:color="auto"/>
              <w:right w:val="single" w:sz="4" w:space="0" w:color="auto"/>
            </w:tcBorders>
            <w:noWrap/>
            <w:vAlign w:val="center"/>
            <w:hideMark/>
          </w:tcPr>
          <w:p w14:paraId="61B6F3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FAKULTETA ZA INFORMACIJSKE ŠTUDIJE V NOVEM MESTU</w:t>
            </w:r>
          </w:p>
        </w:tc>
      </w:tr>
      <w:tr w:rsidR="00F24E18" w14:paraId="656FD9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1216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w:t>
            </w:r>
          </w:p>
        </w:tc>
        <w:tc>
          <w:tcPr>
            <w:tcW w:w="1300" w:type="dxa"/>
            <w:tcBorders>
              <w:top w:val="nil"/>
              <w:left w:val="nil"/>
              <w:bottom w:val="single" w:sz="4" w:space="0" w:color="auto"/>
              <w:right w:val="single" w:sz="4" w:space="0" w:color="auto"/>
            </w:tcBorders>
            <w:noWrap/>
            <w:vAlign w:val="center"/>
            <w:hideMark/>
          </w:tcPr>
          <w:p w14:paraId="0FF470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2230526000</w:t>
            </w:r>
          </w:p>
        </w:tc>
        <w:tc>
          <w:tcPr>
            <w:tcW w:w="1012" w:type="dxa"/>
            <w:tcBorders>
              <w:top w:val="nil"/>
              <w:left w:val="nil"/>
              <w:bottom w:val="single" w:sz="4" w:space="0" w:color="auto"/>
              <w:right w:val="single" w:sz="4" w:space="0" w:color="auto"/>
            </w:tcBorders>
            <w:noWrap/>
            <w:vAlign w:val="center"/>
            <w:hideMark/>
          </w:tcPr>
          <w:p w14:paraId="2F90A5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10636200</w:t>
            </w:r>
          </w:p>
        </w:tc>
        <w:tc>
          <w:tcPr>
            <w:tcW w:w="5953" w:type="dxa"/>
            <w:tcBorders>
              <w:top w:val="nil"/>
              <w:left w:val="nil"/>
              <w:bottom w:val="single" w:sz="4" w:space="0" w:color="auto"/>
              <w:right w:val="single" w:sz="4" w:space="0" w:color="auto"/>
            </w:tcBorders>
            <w:noWrap/>
            <w:vAlign w:val="center"/>
            <w:hideMark/>
          </w:tcPr>
          <w:p w14:paraId="5B2CEC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FAKULTETA ZA UPORABNE DRUŽBENE ŠTUDIJE V NOVI GORICI</w:t>
            </w:r>
          </w:p>
        </w:tc>
      </w:tr>
      <w:tr w:rsidR="00F24E18" w14:paraId="755C65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F0ED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w:t>
            </w:r>
          </w:p>
        </w:tc>
        <w:tc>
          <w:tcPr>
            <w:tcW w:w="1300" w:type="dxa"/>
            <w:tcBorders>
              <w:top w:val="nil"/>
              <w:left w:val="nil"/>
              <w:bottom w:val="single" w:sz="4" w:space="0" w:color="auto"/>
              <w:right w:val="single" w:sz="4" w:space="0" w:color="auto"/>
            </w:tcBorders>
            <w:vAlign w:val="center"/>
            <w:hideMark/>
          </w:tcPr>
          <w:p w14:paraId="4BD87D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5053277000</w:t>
            </w:r>
          </w:p>
        </w:tc>
        <w:tc>
          <w:tcPr>
            <w:tcW w:w="1012" w:type="dxa"/>
            <w:tcBorders>
              <w:top w:val="nil"/>
              <w:left w:val="nil"/>
              <w:bottom w:val="single" w:sz="4" w:space="0" w:color="auto"/>
              <w:right w:val="single" w:sz="4" w:space="0" w:color="auto"/>
            </w:tcBorders>
            <w:vAlign w:val="center"/>
            <w:hideMark/>
          </w:tcPr>
          <w:p w14:paraId="4B46D2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74608002</w:t>
            </w:r>
          </w:p>
        </w:tc>
        <w:tc>
          <w:tcPr>
            <w:tcW w:w="5953" w:type="dxa"/>
            <w:tcBorders>
              <w:top w:val="nil"/>
              <w:left w:val="nil"/>
              <w:bottom w:val="single" w:sz="4" w:space="0" w:color="auto"/>
              <w:right w:val="single" w:sz="4" w:space="0" w:color="auto"/>
            </w:tcBorders>
            <w:noWrap/>
            <w:vAlign w:val="center"/>
            <w:hideMark/>
          </w:tcPr>
          <w:p w14:paraId="7700D0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FESTIVAL LJUBLJANA</w:t>
            </w:r>
          </w:p>
        </w:tc>
      </w:tr>
      <w:tr w:rsidR="00F24E18" w14:paraId="686EA3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BDF2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w:t>
            </w:r>
          </w:p>
        </w:tc>
        <w:tc>
          <w:tcPr>
            <w:tcW w:w="1300" w:type="dxa"/>
            <w:tcBorders>
              <w:top w:val="nil"/>
              <w:left w:val="nil"/>
              <w:bottom w:val="single" w:sz="4" w:space="0" w:color="auto"/>
              <w:right w:val="single" w:sz="4" w:space="0" w:color="auto"/>
            </w:tcBorders>
            <w:vAlign w:val="center"/>
            <w:hideMark/>
          </w:tcPr>
          <w:p w14:paraId="3618C9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3305970000</w:t>
            </w:r>
          </w:p>
        </w:tc>
        <w:tc>
          <w:tcPr>
            <w:tcW w:w="1012" w:type="dxa"/>
            <w:tcBorders>
              <w:top w:val="nil"/>
              <w:left w:val="nil"/>
              <w:bottom w:val="single" w:sz="4" w:space="0" w:color="auto"/>
              <w:right w:val="single" w:sz="4" w:space="0" w:color="auto"/>
            </w:tcBorders>
            <w:vAlign w:val="center"/>
            <w:hideMark/>
          </w:tcPr>
          <w:p w14:paraId="6FF0D5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37531212</w:t>
            </w:r>
          </w:p>
        </w:tc>
        <w:tc>
          <w:tcPr>
            <w:tcW w:w="5953" w:type="dxa"/>
            <w:tcBorders>
              <w:top w:val="nil"/>
              <w:left w:val="nil"/>
              <w:bottom w:val="single" w:sz="4" w:space="0" w:color="auto"/>
              <w:right w:val="single" w:sz="4" w:space="0" w:color="auto"/>
            </w:tcBorders>
            <w:noWrap/>
            <w:vAlign w:val="center"/>
            <w:hideMark/>
          </w:tcPr>
          <w:p w14:paraId="05494F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FESTIVAL VELENJE</w:t>
            </w:r>
          </w:p>
        </w:tc>
      </w:tr>
      <w:tr w:rsidR="00F24E18" w14:paraId="2351D78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88E3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w:t>
            </w:r>
          </w:p>
        </w:tc>
        <w:tc>
          <w:tcPr>
            <w:tcW w:w="1300" w:type="dxa"/>
            <w:tcBorders>
              <w:top w:val="nil"/>
              <w:left w:val="nil"/>
              <w:bottom w:val="single" w:sz="4" w:space="0" w:color="auto"/>
              <w:right w:val="single" w:sz="4" w:space="0" w:color="auto"/>
            </w:tcBorders>
            <w:vAlign w:val="center"/>
            <w:hideMark/>
          </w:tcPr>
          <w:p w14:paraId="598422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5848482000</w:t>
            </w:r>
          </w:p>
        </w:tc>
        <w:tc>
          <w:tcPr>
            <w:tcW w:w="1012" w:type="dxa"/>
            <w:tcBorders>
              <w:top w:val="nil"/>
              <w:left w:val="nil"/>
              <w:bottom w:val="single" w:sz="4" w:space="0" w:color="auto"/>
              <w:right w:val="single" w:sz="4" w:space="0" w:color="auto"/>
            </w:tcBorders>
            <w:vAlign w:val="center"/>
            <w:hideMark/>
          </w:tcPr>
          <w:p w14:paraId="3D1AAE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91095042</w:t>
            </w:r>
          </w:p>
        </w:tc>
        <w:tc>
          <w:tcPr>
            <w:tcW w:w="5953" w:type="dxa"/>
            <w:tcBorders>
              <w:top w:val="nil"/>
              <w:left w:val="nil"/>
              <w:bottom w:val="single" w:sz="4" w:space="0" w:color="auto"/>
              <w:right w:val="single" w:sz="4" w:space="0" w:color="auto"/>
            </w:tcBorders>
            <w:noWrap/>
            <w:vAlign w:val="center"/>
            <w:hideMark/>
          </w:tcPr>
          <w:p w14:paraId="439AC3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FILMSKI STUDIO VIBA FILM LJUBLJANA</w:t>
            </w:r>
          </w:p>
        </w:tc>
      </w:tr>
      <w:tr w:rsidR="00F24E18" w14:paraId="31B9F4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C656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w:t>
            </w:r>
          </w:p>
        </w:tc>
        <w:tc>
          <w:tcPr>
            <w:tcW w:w="1300" w:type="dxa"/>
            <w:tcBorders>
              <w:top w:val="nil"/>
              <w:left w:val="nil"/>
              <w:bottom w:val="single" w:sz="4" w:space="0" w:color="auto"/>
              <w:right w:val="single" w:sz="4" w:space="0" w:color="auto"/>
            </w:tcBorders>
            <w:noWrap/>
            <w:vAlign w:val="center"/>
            <w:hideMark/>
          </w:tcPr>
          <w:p w14:paraId="74FB9F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2516241000</w:t>
            </w:r>
          </w:p>
        </w:tc>
        <w:tc>
          <w:tcPr>
            <w:tcW w:w="1012" w:type="dxa"/>
            <w:tcBorders>
              <w:top w:val="nil"/>
              <w:left w:val="nil"/>
              <w:bottom w:val="single" w:sz="4" w:space="0" w:color="auto"/>
              <w:right w:val="single" w:sz="4" w:space="0" w:color="auto"/>
            </w:tcBorders>
            <w:noWrap/>
            <w:vAlign w:val="center"/>
            <w:hideMark/>
          </w:tcPr>
          <w:p w14:paraId="7428AC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15171230</w:t>
            </w:r>
          </w:p>
        </w:tc>
        <w:tc>
          <w:tcPr>
            <w:tcW w:w="5953" w:type="dxa"/>
            <w:tcBorders>
              <w:top w:val="nil"/>
              <w:left w:val="nil"/>
              <w:bottom w:val="single" w:sz="4" w:space="0" w:color="auto"/>
              <w:right w:val="single" w:sz="4" w:space="0" w:color="auto"/>
            </w:tcBorders>
            <w:noWrap/>
            <w:vAlign w:val="center"/>
            <w:hideMark/>
          </w:tcPr>
          <w:p w14:paraId="577154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FISKALNI SVET</w:t>
            </w:r>
          </w:p>
        </w:tc>
      </w:tr>
      <w:tr w:rsidR="00F24E18" w14:paraId="4189B3A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F0C5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w:t>
            </w:r>
          </w:p>
        </w:tc>
        <w:tc>
          <w:tcPr>
            <w:tcW w:w="1300" w:type="dxa"/>
            <w:tcBorders>
              <w:top w:val="nil"/>
              <w:left w:val="nil"/>
              <w:bottom w:val="single" w:sz="4" w:space="0" w:color="auto"/>
              <w:right w:val="single" w:sz="4" w:space="0" w:color="auto"/>
            </w:tcBorders>
            <w:vAlign w:val="center"/>
            <w:hideMark/>
          </w:tcPr>
          <w:p w14:paraId="40D74F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5142768000</w:t>
            </w:r>
          </w:p>
        </w:tc>
        <w:tc>
          <w:tcPr>
            <w:tcW w:w="1012" w:type="dxa"/>
            <w:tcBorders>
              <w:top w:val="nil"/>
              <w:left w:val="nil"/>
              <w:bottom w:val="single" w:sz="4" w:space="0" w:color="auto"/>
              <w:right w:val="single" w:sz="4" w:space="0" w:color="auto"/>
            </w:tcBorders>
            <w:vAlign w:val="center"/>
            <w:hideMark/>
          </w:tcPr>
          <w:p w14:paraId="1F0CBC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12574856</w:t>
            </w:r>
          </w:p>
        </w:tc>
        <w:tc>
          <w:tcPr>
            <w:tcW w:w="5953" w:type="dxa"/>
            <w:tcBorders>
              <w:top w:val="nil"/>
              <w:left w:val="nil"/>
              <w:bottom w:val="single" w:sz="4" w:space="0" w:color="auto"/>
              <w:right w:val="single" w:sz="4" w:space="0" w:color="auto"/>
            </w:tcBorders>
            <w:noWrap/>
            <w:vAlign w:val="center"/>
            <w:hideMark/>
          </w:tcPr>
          <w:p w14:paraId="469E4A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FRAPORT SLOVENIJA, UPRAVLJANJE LETALIŠČ, D.O.O.</w:t>
            </w:r>
          </w:p>
        </w:tc>
      </w:tr>
      <w:tr w:rsidR="00F24E18" w14:paraId="1F6842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BEA6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w:t>
            </w:r>
          </w:p>
        </w:tc>
        <w:tc>
          <w:tcPr>
            <w:tcW w:w="1300" w:type="dxa"/>
            <w:tcBorders>
              <w:top w:val="nil"/>
              <w:left w:val="nil"/>
              <w:bottom w:val="single" w:sz="4" w:space="0" w:color="auto"/>
              <w:right w:val="single" w:sz="4" w:space="0" w:color="auto"/>
            </w:tcBorders>
            <w:noWrap/>
            <w:vAlign w:val="center"/>
            <w:hideMark/>
          </w:tcPr>
          <w:p w14:paraId="5F14AD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1118692000</w:t>
            </w:r>
          </w:p>
        </w:tc>
        <w:tc>
          <w:tcPr>
            <w:tcW w:w="1012" w:type="dxa"/>
            <w:tcBorders>
              <w:top w:val="nil"/>
              <w:left w:val="nil"/>
              <w:bottom w:val="single" w:sz="4" w:space="0" w:color="auto"/>
              <w:right w:val="single" w:sz="4" w:space="0" w:color="auto"/>
            </w:tcBorders>
            <w:noWrap/>
            <w:vAlign w:val="center"/>
            <w:hideMark/>
          </w:tcPr>
          <w:p w14:paraId="3754B8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66071364</w:t>
            </w:r>
          </w:p>
        </w:tc>
        <w:tc>
          <w:tcPr>
            <w:tcW w:w="5953" w:type="dxa"/>
            <w:tcBorders>
              <w:top w:val="nil"/>
              <w:left w:val="nil"/>
              <w:bottom w:val="single" w:sz="4" w:space="0" w:color="auto"/>
              <w:right w:val="single" w:sz="4" w:space="0" w:color="auto"/>
            </w:tcBorders>
            <w:noWrap/>
            <w:vAlign w:val="center"/>
            <w:hideMark/>
          </w:tcPr>
          <w:p w14:paraId="483E77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FUNDACIJA ZA FINANCIRANJE INVALIDSKIH IN HUMANITARNIH ORGANIZACIJ V REPUBLIKI SLOVENIJI</w:t>
            </w:r>
          </w:p>
        </w:tc>
      </w:tr>
      <w:tr w:rsidR="00F24E18" w14:paraId="717FEF3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C23F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w:t>
            </w:r>
          </w:p>
        </w:tc>
        <w:tc>
          <w:tcPr>
            <w:tcW w:w="1300" w:type="dxa"/>
            <w:tcBorders>
              <w:top w:val="nil"/>
              <w:left w:val="nil"/>
              <w:bottom w:val="single" w:sz="4" w:space="0" w:color="auto"/>
              <w:right w:val="single" w:sz="4" w:space="0" w:color="auto"/>
            </w:tcBorders>
            <w:noWrap/>
            <w:vAlign w:val="center"/>
            <w:hideMark/>
          </w:tcPr>
          <w:p w14:paraId="20074E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1118366000</w:t>
            </w:r>
          </w:p>
        </w:tc>
        <w:tc>
          <w:tcPr>
            <w:tcW w:w="1012" w:type="dxa"/>
            <w:tcBorders>
              <w:top w:val="nil"/>
              <w:left w:val="nil"/>
              <w:bottom w:val="single" w:sz="4" w:space="0" w:color="auto"/>
              <w:right w:val="single" w:sz="4" w:space="0" w:color="auto"/>
            </w:tcBorders>
            <w:vAlign w:val="center"/>
            <w:hideMark/>
          </w:tcPr>
          <w:p w14:paraId="535876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61204935</w:t>
            </w:r>
          </w:p>
        </w:tc>
        <w:tc>
          <w:tcPr>
            <w:tcW w:w="5953" w:type="dxa"/>
            <w:tcBorders>
              <w:top w:val="nil"/>
              <w:left w:val="nil"/>
              <w:bottom w:val="single" w:sz="4" w:space="0" w:color="auto"/>
              <w:right w:val="single" w:sz="4" w:space="0" w:color="auto"/>
            </w:tcBorders>
            <w:noWrap/>
            <w:vAlign w:val="center"/>
            <w:hideMark/>
          </w:tcPr>
          <w:p w14:paraId="03D084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FUNDACIJA ZA FINANCIRANJE ŠPORTNIH ORGANIZACIJ V REPUBLIKI SLOVENIJI</w:t>
            </w:r>
          </w:p>
        </w:tc>
      </w:tr>
      <w:tr w:rsidR="00F24E18" w14:paraId="31604A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09EF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w:t>
            </w:r>
          </w:p>
        </w:tc>
        <w:tc>
          <w:tcPr>
            <w:tcW w:w="1300" w:type="dxa"/>
            <w:tcBorders>
              <w:top w:val="nil"/>
              <w:left w:val="nil"/>
              <w:bottom w:val="single" w:sz="4" w:space="0" w:color="auto"/>
              <w:right w:val="single" w:sz="4" w:space="0" w:color="auto"/>
            </w:tcBorders>
            <w:noWrap/>
            <w:vAlign w:val="center"/>
            <w:hideMark/>
          </w:tcPr>
          <w:p w14:paraId="1C246A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1504592000</w:t>
            </w:r>
          </w:p>
        </w:tc>
        <w:tc>
          <w:tcPr>
            <w:tcW w:w="1012" w:type="dxa"/>
            <w:tcBorders>
              <w:top w:val="nil"/>
              <w:left w:val="nil"/>
              <w:bottom w:val="single" w:sz="4" w:space="0" w:color="auto"/>
              <w:right w:val="single" w:sz="4" w:space="0" w:color="auto"/>
            </w:tcBorders>
            <w:noWrap/>
            <w:vAlign w:val="center"/>
            <w:hideMark/>
          </w:tcPr>
          <w:p w14:paraId="3C2284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22709495</w:t>
            </w:r>
          </w:p>
        </w:tc>
        <w:tc>
          <w:tcPr>
            <w:tcW w:w="5953" w:type="dxa"/>
            <w:tcBorders>
              <w:top w:val="nil"/>
              <w:left w:val="nil"/>
              <w:bottom w:val="single" w:sz="4" w:space="0" w:color="auto"/>
              <w:right w:val="single" w:sz="4" w:space="0" w:color="auto"/>
            </w:tcBorders>
            <w:noWrap/>
            <w:vAlign w:val="center"/>
            <w:hideMark/>
          </w:tcPr>
          <w:p w14:paraId="132FF1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FUNDACIJA ZA IZBOLJŠANJE ZAPOSLITVENIH MOŽNOSTI PRIZMA, USTANOVA</w:t>
            </w:r>
          </w:p>
        </w:tc>
      </w:tr>
      <w:tr w:rsidR="00F24E18" w14:paraId="714CAC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1D3F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w:t>
            </w:r>
          </w:p>
        </w:tc>
        <w:tc>
          <w:tcPr>
            <w:tcW w:w="1300" w:type="dxa"/>
            <w:tcBorders>
              <w:top w:val="nil"/>
              <w:left w:val="nil"/>
              <w:bottom w:val="single" w:sz="4" w:space="0" w:color="auto"/>
              <w:right w:val="single" w:sz="4" w:space="0" w:color="auto"/>
            </w:tcBorders>
            <w:noWrap/>
            <w:vAlign w:val="center"/>
            <w:hideMark/>
          </w:tcPr>
          <w:p w14:paraId="3B196F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5676304000</w:t>
            </w:r>
          </w:p>
        </w:tc>
        <w:tc>
          <w:tcPr>
            <w:tcW w:w="1012" w:type="dxa"/>
            <w:tcBorders>
              <w:top w:val="nil"/>
              <w:left w:val="nil"/>
              <w:bottom w:val="single" w:sz="4" w:space="0" w:color="auto"/>
              <w:right w:val="single" w:sz="4" w:space="0" w:color="auto"/>
            </w:tcBorders>
            <w:noWrap/>
            <w:vAlign w:val="center"/>
            <w:hideMark/>
          </w:tcPr>
          <w:p w14:paraId="59CB30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88640485</w:t>
            </w:r>
          </w:p>
        </w:tc>
        <w:tc>
          <w:tcPr>
            <w:tcW w:w="5953" w:type="dxa"/>
            <w:tcBorders>
              <w:top w:val="nil"/>
              <w:left w:val="nil"/>
              <w:bottom w:val="single" w:sz="4" w:space="0" w:color="auto"/>
              <w:right w:val="single" w:sz="4" w:space="0" w:color="auto"/>
            </w:tcBorders>
            <w:noWrap/>
            <w:vAlign w:val="center"/>
            <w:hideMark/>
          </w:tcPr>
          <w:p w14:paraId="63132A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GALERIJA MURSKA SOBOTA</w:t>
            </w:r>
          </w:p>
        </w:tc>
      </w:tr>
      <w:tr w:rsidR="00F24E18" w14:paraId="277567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7B6F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198</w:t>
            </w:r>
          </w:p>
        </w:tc>
        <w:tc>
          <w:tcPr>
            <w:tcW w:w="1300" w:type="dxa"/>
            <w:tcBorders>
              <w:top w:val="nil"/>
              <w:left w:val="nil"/>
              <w:bottom w:val="single" w:sz="4" w:space="0" w:color="auto"/>
              <w:right w:val="single" w:sz="4" w:space="0" w:color="auto"/>
            </w:tcBorders>
            <w:vAlign w:val="center"/>
            <w:hideMark/>
          </w:tcPr>
          <w:p w14:paraId="0B69A8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5022711000</w:t>
            </w:r>
          </w:p>
        </w:tc>
        <w:tc>
          <w:tcPr>
            <w:tcW w:w="1012" w:type="dxa"/>
            <w:tcBorders>
              <w:top w:val="nil"/>
              <w:left w:val="nil"/>
              <w:bottom w:val="single" w:sz="4" w:space="0" w:color="auto"/>
              <w:right w:val="single" w:sz="4" w:space="0" w:color="auto"/>
            </w:tcBorders>
            <w:vAlign w:val="center"/>
            <w:hideMark/>
          </w:tcPr>
          <w:p w14:paraId="6F7AB3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21654255</w:t>
            </w:r>
          </w:p>
        </w:tc>
        <w:tc>
          <w:tcPr>
            <w:tcW w:w="5953" w:type="dxa"/>
            <w:tcBorders>
              <w:top w:val="nil"/>
              <w:left w:val="nil"/>
              <w:bottom w:val="single" w:sz="4" w:space="0" w:color="auto"/>
              <w:right w:val="single" w:sz="4" w:space="0" w:color="auto"/>
            </w:tcBorders>
            <w:noWrap/>
            <w:vAlign w:val="center"/>
            <w:hideMark/>
          </w:tcPr>
          <w:p w14:paraId="5146E2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BRIGADA LJUBLJANA</w:t>
            </w:r>
          </w:p>
        </w:tc>
      </w:tr>
      <w:tr w:rsidR="00F24E18" w14:paraId="7043BE2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14F5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w:t>
            </w:r>
          </w:p>
        </w:tc>
        <w:tc>
          <w:tcPr>
            <w:tcW w:w="1300" w:type="dxa"/>
            <w:tcBorders>
              <w:top w:val="nil"/>
              <w:left w:val="nil"/>
              <w:bottom w:val="single" w:sz="4" w:space="0" w:color="auto"/>
              <w:right w:val="single" w:sz="4" w:space="0" w:color="auto"/>
            </w:tcBorders>
            <w:vAlign w:val="center"/>
            <w:hideMark/>
          </w:tcPr>
          <w:p w14:paraId="65083B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5115698000</w:t>
            </w:r>
          </w:p>
        </w:tc>
        <w:tc>
          <w:tcPr>
            <w:tcW w:w="1012" w:type="dxa"/>
            <w:tcBorders>
              <w:top w:val="nil"/>
              <w:left w:val="nil"/>
              <w:bottom w:val="single" w:sz="4" w:space="0" w:color="auto"/>
              <w:right w:val="single" w:sz="4" w:space="0" w:color="auto"/>
            </w:tcBorders>
            <w:vAlign w:val="center"/>
            <w:hideMark/>
          </w:tcPr>
          <w:p w14:paraId="07CE15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35353627</w:t>
            </w:r>
          </w:p>
        </w:tc>
        <w:tc>
          <w:tcPr>
            <w:tcW w:w="5953" w:type="dxa"/>
            <w:tcBorders>
              <w:top w:val="nil"/>
              <w:left w:val="nil"/>
              <w:bottom w:val="single" w:sz="4" w:space="0" w:color="auto"/>
              <w:right w:val="single" w:sz="4" w:space="0" w:color="auto"/>
            </w:tcBorders>
            <w:noWrap/>
            <w:vAlign w:val="center"/>
            <w:hideMark/>
          </w:tcPr>
          <w:p w14:paraId="082436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CELJE</w:t>
            </w:r>
          </w:p>
        </w:tc>
      </w:tr>
      <w:tr w:rsidR="00F24E18" w14:paraId="59E31C2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E2AF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w:t>
            </w:r>
          </w:p>
        </w:tc>
        <w:tc>
          <w:tcPr>
            <w:tcW w:w="1300" w:type="dxa"/>
            <w:tcBorders>
              <w:top w:val="nil"/>
              <w:left w:val="nil"/>
              <w:bottom w:val="single" w:sz="4" w:space="0" w:color="auto"/>
              <w:right w:val="single" w:sz="4" w:space="0" w:color="auto"/>
            </w:tcBorders>
            <w:vAlign w:val="center"/>
            <w:hideMark/>
          </w:tcPr>
          <w:p w14:paraId="206105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1176412000</w:t>
            </w:r>
          </w:p>
        </w:tc>
        <w:tc>
          <w:tcPr>
            <w:tcW w:w="1012" w:type="dxa"/>
            <w:tcBorders>
              <w:top w:val="nil"/>
              <w:left w:val="nil"/>
              <w:bottom w:val="single" w:sz="4" w:space="0" w:color="auto"/>
              <w:right w:val="single" w:sz="4" w:space="0" w:color="auto"/>
            </w:tcBorders>
            <w:vAlign w:val="center"/>
            <w:hideMark/>
          </w:tcPr>
          <w:p w14:paraId="452FBD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51542196</w:t>
            </w:r>
          </w:p>
        </w:tc>
        <w:tc>
          <w:tcPr>
            <w:tcW w:w="5953" w:type="dxa"/>
            <w:tcBorders>
              <w:top w:val="nil"/>
              <w:left w:val="nil"/>
              <w:bottom w:val="single" w:sz="4" w:space="0" w:color="auto"/>
              <w:right w:val="single" w:sz="4" w:space="0" w:color="auto"/>
            </w:tcBorders>
            <w:noWrap/>
            <w:vAlign w:val="center"/>
            <w:hideMark/>
          </w:tcPr>
          <w:p w14:paraId="538615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CERKNO</w:t>
            </w:r>
          </w:p>
        </w:tc>
      </w:tr>
      <w:tr w:rsidR="00F24E18" w14:paraId="4554813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BB91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w:t>
            </w:r>
          </w:p>
        </w:tc>
        <w:tc>
          <w:tcPr>
            <w:tcW w:w="1300" w:type="dxa"/>
            <w:tcBorders>
              <w:top w:val="nil"/>
              <w:left w:val="nil"/>
              <w:bottom w:val="single" w:sz="4" w:space="0" w:color="auto"/>
              <w:right w:val="single" w:sz="4" w:space="0" w:color="auto"/>
            </w:tcBorders>
            <w:vAlign w:val="center"/>
            <w:hideMark/>
          </w:tcPr>
          <w:p w14:paraId="4ECFA8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5915457000</w:t>
            </w:r>
          </w:p>
        </w:tc>
        <w:tc>
          <w:tcPr>
            <w:tcW w:w="1012" w:type="dxa"/>
            <w:tcBorders>
              <w:top w:val="nil"/>
              <w:left w:val="nil"/>
              <w:bottom w:val="single" w:sz="4" w:space="0" w:color="auto"/>
              <w:right w:val="single" w:sz="4" w:space="0" w:color="auto"/>
            </w:tcBorders>
            <w:vAlign w:val="center"/>
            <w:hideMark/>
          </w:tcPr>
          <w:p w14:paraId="0F73D7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31361447</w:t>
            </w:r>
          </w:p>
        </w:tc>
        <w:tc>
          <w:tcPr>
            <w:tcW w:w="5953" w:type="dxa"/>
            <w:tcBorders>
              <w:top w:val="nil"/>
              <w:left w:val="nil"/>
              <w:bottom w:val="single" w:sz="4" w:space="0" w:color="auto"/>
              <w:right w:val="single" w:sz="4" w:space="0" w:color="auto"/>
            </w:tcBorders>
            <w:noWrap/>
            <w:vAlign w:val="center"/>
            <w:hideMark/>
          </w:tcPr>
          <w:p w14:paraId="6A2FC2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IVANČNA GORICA</w:t>
            </w:r>
          </w:p>
        </w:tc>
      </w:tr>
      <w:tr w:rsidR="00F24E18" w14:paraId="3A69B0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EDF3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w:t>
            </w:r>
          </w:p>
        </w:tc>
        <w:tc>
          <w:tcPr>
            <w:tcW w:w="1300" w:type="dxa"/>
            <w:tcBorders>
              <w:top w:val="nil"/>
              <w:left w:val="nil"/>
              <w:bottom w:val="single" w:sz="4" w:space="0" w:color="auto"/>
              <w:right w:val="single" w:sz="4" w:space="0" w:color="auto"/>
            </w:tcBorders>
            <w:vAlign w:val="center"/>
            <w:hideMark/>
          </w:tcPr>
          <w:p w14:paraId="249F50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5113334000</w:t>
            </w:r>
          </w:p>
        </w:tc>
        <w:tc>
          <w:tcPr>
            <w:tcW w:w="1012" w:type="dxa"/>
            <w:tcBorders>
              <w:top w:val="nil"/>
              <w:left w:val="nil"/>
              <w:bottom w:val="single" w:sz="4" w:space="0" w:color="auto"/>
              <w:right w:val="single" w:sz="4" w:space="0" w:color="auto"/>
            </w:tcBorders>
            <w:vAlign w:val="center"/>
            <w:hideMark/>
          </w:tcPr>
          <w:p w14:paraId="0EDCF3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41638476</w:t>
            </w:r>
          </w:p>
        </w:tc>
        <w:tc>
          <w:tcPr>
            <w:tcW w:w="5953" w:type="dxa"/>
            <w:tcBorders>
              <w:top w:val="nil"/>
              <w:left w:val="nil"/>
              <w:bottom w:val="single" w:sz="4" w:space="0" w:color="auto"/>
              <w:right w:val="single" w:sz="4" w:space="0" w:color="auto"/>
            </w:tcBorders>
            <w:noWrap/>
            <w:vAlign w:val="center"/>
            <w:hideMark/>
          </w:tcPr>
          <w:p w14:paraId="4D831F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KRŠKO</w:t>
            </w:r>
          </w:p>
        </w:tc>
      </w:tr>
      <w:tr w:rsidR="00F24E18" w14:paraId="27E162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96DC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w:t>
            </w:r>
          </w:p>
        </w:tc>
        <w:tc>
          <w:tcPr>
            <w:tcW w:w="1300" w:type="dxa"/>
            <w:tcBorders>
              <w:top w:val="nil"/>
              <w:left w:val="nil"/>
              <w:bottom w:val="single" w:sz="4" w:space="0" w:color="auto"/>
              <w:right w:val="single" w:sz="4" w:space="0" w:color="auto"/>
            </w:tcBorders>
            <w:noWrap/>
            <w:vAlign w:val="center"/>
            <w:hideMark/>
          </w:tcPr>
          <w:p w14:paraId="4D8A4D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5916780000</w:t>
            </w:r>
          </w:p>
        </w:tc>
        <w:tc>
          <w:tcPr>
            <w:tcW w:w="1012" w:type="dxa"/>
            <w:tcBorders>
              <w:top w:val="nil"/>
              <w:left w:val="nil"/>
              <w:bottom w:val="single" w:sz="4" w:space="0" w:color="auto"/>
              <w:right w:val="single" w:sz="4" w:space="0" w:color="auto"/>
            </w:tcBorders>
            <w:noWrap/>
            <w:vAlign w:val="center"/>
            <w:hideMark/>
          </w:tcPr>
          <w:p w14:paraId="4DD83B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91098769</w:t>
            </w:r>
          </w:p>
        </w:tc>
        <w:tc>
          <w:tcPr>
            <w:tcW w:w="5953" w:type="dxa"/>
            <w:tcBorders>
              <w:top w:val="nil"/>
              <w:left w:val="nil"/>
              <w:bottom w:val="single" w:sz="4" w:space="0" w:color="auto"/>
              <w:right w:val="single" w:sz="4" w:space="0" w:color="auto"/>
            </w:tcBorders>
            <w:noWrap/>
            <w:vAlign w:val="center"/>
            <w:hideMark/>
          </w:tcPr>
          <w:p w14:paraId="7B5FDE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LJUBLJANA</w:t>
            </w:r>
          </w:p>
        </w:tc>
      </w:tr>
      <w:tr w:rsidR="00F24E18" w14:paraId="1CE3CFF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806F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w:t>
            </w:r>
          </w:p>
        </w:tc>
        <w:tc>
          <w:tcPr>
            <w:tcW w:w="1300" w:type="dxa"/>
            <w:tcBorders>
              <w:top w:val="nil"/>
              <w:left w:val="nil"/>
              <w:bottom w:val="single" w:sz="4" w:space="0" w:color="auto"/>
              <w:right w:val="single" w:sz="4" w:space="0" w:color="auto"/>
            </w:tcBorders>
            <w:vAlign w:val="center"/>
            <w:hideMark/>
          </w:tcPr>
          <w:p w14:paraId="3652C2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1181793000</w:t>
            </w:r>
          </w:p>
        </w:tc>
        <w:tc>
          <w:tcPr>
            <w:tcW w:w="1012" w:type="dxa"/>
            <w:tcBorders>
              <w:top w:val="nil"/>
              <w:left w:val="nil"/>
              <w:bottom w:val="single" w:sz="4" w:space="0" w:color="auto"/>
              <w:right w:val="single" w:sz="4" w:space="0" w:color="auto"/>
            </w:tcBorders>
            <w:vAlign w:val="center"/>
            <w:hideMark/>
          </w:tcPr>
          <w:p w14:paraId="1FFE3A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25275984</w:t>
            </w:r>
          </w:p>
        </w:tc>
        <w:tc>
          <w:tcPr>
            <w:tcW w:w="5953" w:type="dxa"/>
            <w:tcBorders>
              <w:top w:val="nil"/>
              <w:left w:val="nil"/>
              <w:bottom w:val="single" w:sz="4" w:space="0" w:color="auto"/>
              <w:right w:val="single" w:sz="4" w:space="0" w:color="auto"/>
            </w:tcBorders>
            <w:noWrap/>
            <w:vAlign w:val="center"/>
            <w:hideMark/>
          </w:tcPr>
          <w:p w14:paraId="7715DD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LUKOVICA</w:t>
            </w:r>
          </w:p>
        </w:tc>
      </w:tr>
      <w:tr w:rsidR="00F24E18" w14:paraId="54AE553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AD06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w:t>
            </w:r>
          </w:p>
        </w:tc>
        <w:tc>
          <w:tcPr>
            <w:tcW w:w="1300" w:type="dxa"/>
            <w:tcBorders>
              <w:top w:val="nil"/>
              <w:left w:val="nil"/>
              <w:bottom w:val="single" w:sz="4" w:space="0" w:color="auto"/>
              <w:right w:val="single" w:sz="4" w:space="0" w:color="auto"/>
            </w:tcBorders>
            <w:vAlign w:val="center"/>
            <w:hideMark/>
          </w:tcPr>
          <w:p w14:paraId="0ADC4E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1167618000</w:t>
            </w:r>
          </w:p>
        </w:tc>
        <w:tc>
          <w:tcPr>
            <w:tcW w:w="1012" w:type="dxa"/>
            <w:tcBorders>
              <w:top w:val="nil"/>
              <w:left w:val="nil"/>
              <w:bottom w:val="single" w:sz="4" w:space="0" w:color="auto"/>
              <w:right w:val="single" w:sz="4" w:space="0" w:color="auto"/>
            </w:tcBorders>
            <w:vAlign w:val="center"/>
            <w:hideMark/>
          </w:tcPr>
          <w:p w14:paraId="40AC1D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34929703</w:t>
            </w:r>
          </w:p>
        </w:tc>
        <w:tc>
          <w:tcPr>
            <w:tcW w:w="5953" w:type="dxa"/>
            <w:tcBorders>
              <w:top w:val="nil"/>
              <w:left w:val="nil"/>
              <w:bottom w:val="single" w:sz="4" w:space="0" w:color="auto"/>
              <w:right w:val="single" w:sz="4" w:space="0" w:color="auto"/>
            </w:tcBorders>
            <w:noWrap/>
            <w:vAlign w:val="center"/>
            <w:hideMark/>
          </w:tcPr>
          <w:p w14:paraId="2602CE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MESTNE OBČINE KRANJ</w:t>
            </w:r>
          </w:p>
        </w:tc>
      </w:tr>
      <w:tr w:rsidR="00F24E18" w14:paraId="3B0403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0830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w:t>
            </w:r>
          </w:p>
        </w:tc>
        <w:tc>
          <w:tcPr>
            <w:tcW w:w="1300" w:type="dxa"/>
            <w:tcBorders>
              <w:top w:val="nil"/>
              <w:left w:val="nil"/>
              <w:bottom w:val="single" w:sz="4" w:space="0" w:color="auto"/>
              <w:right w:val="single" w:sz="4" w:space="0" w:color="auto"/>
            </w:tcBorders>
            <w:vAlign w:val="center"/>
            <w:hideMark/>
          </w:tcPr>
          <w:p w14:paraId="383921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5179831000</w:t>
            </w:r>
          </w:p>
        </w:tc>
        <w:tc>
          <w:tcPr>
            <w:tcW w:w="1012" w:type="dxa"/>
            <w:tcBorders>
              <w:top w:val="nil"/>
              <w:left w:val="nil"/>
              <w:bottom w:val="single" w:sz="4" w:space="0" w:color="auto"/>
              <w:right w:val="single" w:sz="4" w:space="0" w:color="auto"/>
            </w:tcBorders>
            <w:vAlign w:val="center"/>
            <w:hideMark/>
          </w:tcPr>
          <w:p w14:paraId="02D548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31068464</w:t>
            </w:r>
          </w:p>
        </w:tc>
        <w:tc>
          <w:tcPr>
            <w:tcW w:w="5953" w:type="dxa"/>
            <w:tcBorders>
              <w:top w:val="nil"/>
              <w:left w:val="nil"/>
              <w:bottom w:val="single" w:sz="4" w:space="0" w:color="auto"/>
              <w:right w:val="single" w:sz="4" w:space="0" w:color="auto"/>
            </w:tcBorders>
            <w:noWrap/>
            <w:vAlign w:val="center"/>
            <w:hideMark/>
          </w:tcPr>
          <w:p w14:paraId="4B4BEE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METLIKA</w:t>
            </w:r>
          </w:p>
        </w:tc>
      </w:tr>
      <w:tr w:rsidR="00F24E18" w14:paraId="47163E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FFCD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w:t>
            </w:r>
          </w:p>
        </w:tc>
        <w:tc>
          <w:tcPr>
            <w:tcW w:w="1300" w:type="dxa"/>
            <w:tcBorders>
              <w:top w:val="nil"/>
              <w:left w:val="nil"/>
              <w:bottom w:val="single" w:sz="4" w:space="0" w:color="auto"/>
              <w:right w:val="single" w:sz="4" w:space="0" w:color="auto"/>
            </w:tcBorders>
            <w:vAlign w:val="center"/>
            <w:hideMark/>
          </w:tcPr>
          <w:p w14:paraId="278B1F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1142305000</w:t>
            </w:r>
          </w:p>
        </w:tc>
        <w:tc>
          <w:tcPr>
            <w:tcW w:w="1012" w:type="dxa"/>
            <w:tcBorders>
              <w:top w:val="nil"/>
              <w:left w:val="nil"/>
              <w:bottom w:val="single" w:sz="4" w:space="0" w:color="auto"/>
              <w:right w:val="single" w:sz="4" w:space="0" w:color="auto"/>
            </w:tcBorders>
            <w:vAlign w:val="center"/>
            <w:hideMark/>
          </w:tcPr>
          <w:p w14:paraId="1F5042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52122395</w:t>
            </w:r>
          </w:p>
        </w:tc>
        <w:tc>
          <w:tcPr>
            <w:tcW w:w="5953" w:type="dxa"/>
            <w:tcBorders>
              <w:top w:val="nil"/>
              <w:left w:val="nil"/>
              <w:bottom w:val="single" w:sz="4" w:space="0" w:color="auto"/>
              <w:right w:val="single" w:sz="4" w:space="0" w:color="auto"/>
            </w:tcBorders>
            <w:noWrap/>
            <w:vAlign w:val="center"/>
            <w:hideMark/>
          </w:tcPr>
          <w:p w14:paraId="652492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RADOVLJICA</w:t>
            </w:r>
          </w:p>
        </w:tc>
      </w:tr>
      <w:tr w:rsidR="00F24E18" w14:paraId="7CE5AE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713E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w:t>
            </w:r>
          </w:p>
        </w:tc>
        <w:tc>
          <w:tcPr>
            <w:tcW w:w="1300" w:type="dxa"/>
            <w:tcBorders>
              <w:top w:val="nil"/>
              <w:left w:val="nil"/>
              <w:bottom w:val="single" w:sz="4" w:space="0" w:color="auto"/>
              <w:right w:val="single" w:sz="4" w:space="0" w:color="auto"/>
            </w:tcBorders>
            <w:vAlign w:val="center"/>
            <w:hideMark/>
          </w:tcPr>
          <w:p w14:paraId="028371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5147379000</w:t>
            </w:r>
          </w:p>
        </w:tc>
        <w:tc>
          <w:tcPr>
            <w:tcW w:w="1012" w:type="dxa"/>
            <w:tcBorders>
              <w:top w:val="nil"/>
              <w:left w:val="nil"/>
              <w:bottom w:val="single" w:sz="4" w:space="0" w:color="auto"/>
              <w:right w:val="single" w:sz="4" w:space="0" w:color="auto"/>
            </w:tcBorders>
            <w:vAlign w:val="center"/>
            <w:hideMark/>
          </w:tcPr>
          <w:p w14:paraId="07B38C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63471736</w:t>
            </w:r>
          </w:p>
        </w:tc>
        <w:tc>
          <w:tcPr>
            <w:tcW w:w="5953" w:type="dxa"/>
            <w:tcBorders>
              <w:top w:val="nil"/>
              <w:left w:val="nil"/>
              <w:bottom w:val="single" w:sz="4" w:space="0" w:color="auto"/>
              <w:right w:val="single" w:sz="4" w:space="0" w:color="auto"/>
            </w:tcBorders>
            <w:noWrap/>
            <w:vAlign w:val="center"/>
            <w:hideMark/>
          </w:tcPr>
          <w:p w14:paraId="0E15FF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GASILSKA ZVEZA SLOVENIJE</w:t>
            </w:r>
          </w:p>
        </w:tc>
      </w:tr>
      <w:tr w:rsidR="00F24E18" w14:paraId="488AB5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62CA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w:t>
            </w:r>
          </w:p>
        </w:tc>
        <w:tc>
          <w:tcPr>
            <w:tcW w:w="1300" w:type="dxa"/>
            <w:tcBorders>
              <w:top w:val="nil"/>
              <w:left w:val="nil"/>
              <w:bottom w:val="single" w:sz="4" w:space="0" w:color="auto"/>
              <w:right w:val="single" w:sz="4" w:space="0" w:color="auto"/>
            </w:tcBorders>
            <w:noWrap/>
            <w:vAlign w:val="center"/>
            <w:hideMark/>
          </w:tcPr>
          <w:p w14:paraId="72F713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5199824000</w:t>
            </w:r>
          </w:p>
        </w:tc>
        <w:tc>
          <w:tcPr>
            <w:tcW w:w="1012" w:type="dxa"/>
            <w:tcBorders>
              <w:top w:val="nil"/>
              <w:left w:val="nil"/>
              <w:bottom w:val="single" w:sz="4" w:space="0" w:color="auto"/>
              <w:right w:val="single" w:sz="4" w:space="0" w:color="auto"/>
            </w:tcBorders>
            <w:noWrap/>
            <w:vAlign w:val="center"/>
            <w:hideMark/>
          </w:tcPr>
          <w:p w14:paraId="0BB342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26522870</w:t>
            </w:r>
          </w:p>
        </w:tc>
        <w:tc>
          <w:tcPr>
            <w:tcW w:w="5953" w:type="dxa"/>
            <w:tcBorders>
              <w:top w:val="nil"/>
              <w:left w:val="nil"/>
              <w:bottom w:val="single" w:sz="4" w:space="0" w:color="auto"/>
              <w:right w:val="single" w:sz="4" w:space="0" w:color="auto"/>
            </w:tcBorders>
            <w:noWrap/>
            <w:vAlign w:val="center"/>
            <w:hideMark/>
          </w:tcPr>
          <w:p w14:paraId="76F8F9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GASILSKO DRUŠTVO LJUBLJANA MESTO</w:t>
            </w:r>
          </w:p>
        </w:tc>
      </w:tr>
      <w:tr w:rsidR="00F24E18" w14:paraId="43DB545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6E0F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w:t>
            </w:r>
          </w:p>
        </w:tc>
        <w:tc>
          <w:tcPr>
            <w:tcW w:w="1300" w:type="dxa"/>
            <w:tcBorders>
              <w:top w:val="nil"/>
              <w:left w:val="nil"/>
              <w:bottom w:val="single" w:sz="4" w:space="0" w:color="auto"/>
              <w:right w:val="single" w:sz="4" w:space="0" w:color="auto"/>
            </w:tcBorders>
            <w:noWrap/>
            <w:vAlign w:val="center"/>
            <w:hideMark/>
          </w:tcPr>
          <w:p w14:paraId="754B31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1657402000</w:t>
            </w:r>
          </w:p>
        </w:tc>
        <w:tc>
          <w:tcPr>
            <w:tcW w:w="1012" w:type="dxa"/>
            <w:tcBorders>
              <w:top w:val="nil"/>
              <w:left w:val="nil"/>
              <w:bottom w:val="single" w:sz="4" w:space="0" w:color="auto"/>
              <w:right w:val="single" w:sz="4" w:space="0" w:color="auto"/>
            </w:tcBorders>
            <w:noWrap/>
            <w:vAlign w:val="center"/>
            <w:hideMark/>
          </w:tcPr>
          <w:p w14:paraId="60B26C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43712037</w:t>
            </w:r>
          </w:p>
        </w:tc>
        <w:tc>
          <w:tcPr>
            <w:tcW w:w="5953" w:type="dxa"/>
            <w:tcBorders>
              <w:top w:val="nil"/>
              <w:left w:val="nil"/>
              <w:bottom w:val="single" w:sz="4" w:space="0" w:color="auto"/>
              <w:right w:val="single" w:sz="4" w:space="0" w:color="auto"/>
            </w:tcBorders>
            <w:noWrap/>
            <w:vAlign w:val="center"/>
            <w:hideMark/>
          </w:tcPr>
          <w:p w14:paraId="37F818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GASILSKO REŠEVALNA SLUŽBA JESENICE</w:t>
            </w:r>
          </w:p>
        </w:tc>
      </w:tr>
      <w:tr w:rsidR="00F24E18" w14:paraId="51D37B3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3EB9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w:t>
            </w:r>
          </w:p>
        </w:tc>
        <w:tc>
          <w:tcPr>
            <w:tcW w:w="1300" w:type="dxa"/>
            <w:tcBorders>
              <w:top w:val="nil"/>
              <w:left w:val="nil"/>
              <w:bottom w:val="single" w:sz="4" w:space="0" w:color="auto"/>
              <w:right w:val="single" w:sz="4" w:space="0" w:color="auto"/>
            </w:tcBorders>
            <w:vAlign w:val="center"/>
            <w:hideMark/>
          </w:tcPr>
          <w:p w14:paraId="1157FE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5015561000</w:t>
            </w:r>
          </w:p>
        </w:tc>
        <w:tc>
          <w:tcPr>
            <w:tcW w:w="1012" w:type="dxa"/>
            <w:tcBorders>
              <w:top w:val="nil"/>
              <w:left w:val="nil"/>
              <w:bottom w:val="single" w:sz="4" w:space="0" w:color="auto"/>
              <w:right w:val="single" w:sz="4" w:space="0" w:color="auto"/>
            </w:tcBorders>
            <w:vAlign w:val="center"/>
            <w:hideMark/>
          </w:tcPr>
          <w:p w14:paraId="77D0A5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65639642</w:t>
            </w:r>
          </w:p>
        </w:tc>
        <w:tc>
          <w:tcPr>
            <w:tcW w:w="5953" w:type="dxa"/>
            <w:tcBorders>
              <w:top w:val="nil"/>
              <w:left w:val="nil"/>
              <w:bottom w:val="single" w:sz="4" w:space="0" w:color="auto"/>
              <w:right w:val="single" w:sz="4" w:space="0" w:color="auto"/>
            </w:tcBorders>
            <w:noWrap/>
            <w:vAlign w:val="center"/>
            <w:hideMark/>
          </w:tcPr>
          <w:p w14:paraId="1A6939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GASILSKO REŠEVALNA SLUŽBA KRANJ</w:t>
            </w:r>
          </w:p>
        </w:tc>
      </w:tr>
      <w:tr w:rsidR="00F24E18" w14:paraId="6489467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2B0E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w:t>
            </w:r>
          </w:p>
        </w:tc>
        <w:tc>
          <w:tcPr>
            <w:tcW w:w="1300" w:type="dxa"/>
            <w:tcBorders>
              <w:top w:val="nil"/>
              <w:left w:val="nil"/>
              <w:bottom w:val="single" w:sz="4" w:space="0" w:color="auto"/>
              <w:right w:val="single" w:sz="4" w:space="0" w:color="auto"/>
            </w:tcBorders>
            <w:vAlign w:val="center"/>
            <w:hideMark/>
          </w:tcPr>
          <w:p w14:paraId="43EA5B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5818982000</w:t>
            </w:r>
          </w:p>
        </w:tc>
        <w:tc>
          <w:tcPr>
            <w:tcW w:w="1012" w:type="dxa"/>
            <w:tcBorders>
              <w:top w:val="nil"/>
              <w:left w:val="nil"/>
              <w:bottom w:val="single" w:sz="4" w:space="0" w:color="auto"/>
              <w:right w:val="single" w:sz="4" w:space="0" w:color="auto"/>
            </w:tcBorders>
            <w:vAlign w:val="center"/>
            <w:hideMark/>
          </w:tcPr>
          <w:p w14:paraId="10C206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30474132</w:t>
            </w:r>
          </w:p>
        </w:tc>
        <w:tc>
          <w:tcPr>
            <w:tcW w:w="5953" w:type="dxa"/>
            <w:tcBorders>
              <w:top w:val="nil"/>
              <w:left w:val="nil"/>
              <w:bottom w:val="single" w:sz="4" w:space="0" w:color="auto"/>
              <w:right w:val="single" w:sz="4" w:space="0" w:color="auto"/>
            </w:tcBorders>
            <w:noWrap/>
            <w:vAlign w:val="center"/>
            <w:hideMark/>
          </w:tcPr>
          <w:p w14:paraId="7E7EE0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GASILSKO REŠEVALNI CENTER AJDOVŠČINA</w:t>
            </w:r>
          </w:p>
        </w:tc>
      </w:tr>
      <w:tr w:rsidR="00F24E18" w14:paraId="5B6131E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61EC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w:t>
            </w:r>
          </w:p>
        </w:tc>
        <w:tc>
          <w:tcPr>
            <w:tcW w:w="1300" w:type="dxa"/>
            <w:tcBorders>
              <w:top w:val="nil"/>
              <w:left w:val="nil"/>
              <w:bottom w:val="single" w:sz="4" w:space="0" w:color="auto"/>
              <w:right w:val="single" w:sz="4" w:space="0" w:color="auto"/>
            </w:tcBorders>
            <w:vAlign w:val="center"/>
            <w:hideMark/>
          </w:tcPr>
          <w:p w14:paraId="24B9A7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5015472000</w:t>
            </w:r>
          </w:p>
        </w:tc>
        <w:tc>
          <w:tcPr>
            <w:tcW w:w="1012" w:type="dxa"/>
            <w:tcBorders>
              <w:top w:val="nil"/>
              <w:left w:val="nil"/>
              <w:bottom w:val="single" w:sz="4" w:space="0" w:color="auto"/>
              <w:right w:val="single" w:sz="4" w:space="0" w:color="auto"/>
            </w:tcBorders>
            <w:vAlign w:val="center"/>
            <w:hideMark/>
          </w:tcPr>
          <w:p w14:paraId="01519B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41644506</w:t>
            </w:r>
          </w:p>
        </w:tc>
        <w:tc>
          <w:tcPr>
            <w:tcW w:w="5953" w:type="dxa"/>
            <w:tcBorders>
              <w:top w:val="nil"/>
              <w:left w:val="nil"/>
              <w:bottom w:val="single" w:sz="4" w:space="0" w:color="auto"/>
              <w:right w:val="single" w:sz="4" w:space="0" w:color="auto"/>
            </w:tcBorders>
            <w:noWrap/>
            <w:vAlign w:val="center"/>
            <w:hideMark/>
          </w:tcPr>
          <w:p w14:paraId="32C219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GASILSKO-REŠEVALNI CENTER NOVO MESTO</w:t>
            </w:r>
          </w:p>
        </w:tc>
      </w:tr>
      <w:tr w:rsidR="00F24E18" w14:paraId="120775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C50D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w:t>
            </w:r>
          </w:p>
        </w:tc>
        <w:tc>
          <w:tcPr>
            <w:tcW w:w="1300" w:type="dxa"/>
            <w:tcBorders>
              <w:top w:val="nil"/>
              <w:left w:val="nil"/>
              <w:bottom w:val="single" w:sz="4" w:space="0" w:color="auto"/>
              <w:right w:val="single" w:sz="4" w:space="0" w:color="auto"/>
            </w:tcBorders>
            <w:vAlign w:val="center"/>
            <w:hideMark/>
          </w:tcPr>
          <w:p w14:paraId="34A07D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1646613000</w:t>
            </w:r>
          </w:p>
        </w:tc>
        <w:tc>
          <w:tcPr>
            <w:tcW w:w="1012" w:type="dxa"/>
            <w:tcBorders>
              <w:top w:val="nil"/>
              <w:left w:val="nil"/>
              <w:bottom w:val="single" w:sz="4" w:space="0" w:color="auto"/>
              <w:right w:val="single" w:sz="4" w:space="0" w:color="auto"/>
            </w:tcBorders>
            <w:vAlign w:val="center"/>
            <w:hideMark/>
          </w:tcPr>
          <w:p w14:paraId="0C077A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44454686</w:t>
            </w:r>
          </w:p>
        </w:tc>
        <w:tc>
          <w:tcPr>
            <w:tcW w:w="5953" w:type="dxa"/>
            <w:tcBorders>
              <w:top w:val="nil"/>
              <w:left w:val="nil"/>
              <w:bottom w:val="single" w:sz="4" w:space="0" w:color="auto"/>
              <w:right w:val="single" w:sz="4" w:space="0" w:color="auto"/>
            </w:tcBorders>
            <w:noWrap/>
            <w:vAlign w:val="center"/>
            <w:hideMark/>
          </w:tcPr>
          <w:p w14:paraId="15EF22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GEN ENERGIJA D.O.O.</w:t>
            </w:r>
          </w:p>
        </w:tc>
      </w:tr>
      <w:tr w:rsidR="00F24E18" w14:paraId="3DEA18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29FC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w:t>
            </w:r>
          </w:p>
        </w:tc>
        <w:tc>
          <w:tcPr>
            <w:tcW w:w="1300" w:type="dxa"/>
            <w:tcBorders>
              <w:top w:val="nil"/>
              <w:left w:val="nil"/>
              <w:bottom w:val="single" w:sz="4" w:space="0" w:color="auto"/>
              <w:right w:val="single" w:sz="4" w:space="0" w:color="auto"/>
            </w:tcBorders>
            <w:vAlign w:val="center"/>
            <w:hideMark/>
          </w:tcPr>
          <w:p w14:paraId="3CB77C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1590146000</w:t>
            </w:r>
          </w:p>
        </w:tc>
        <w:tc>
          <w:tcPr>
            <w:tcW w:w="1012" w:type="dxa"/>
            <w:tcBorders>
              <w:top w:val="nil"/>
              <w:left w:val="nil"/>
              <w:bottom w:val="single" w:sz="4" w:space="0" w:color="auto"/>
              <w:right w:val="single" w:sz="4" w:space="0" w:color="auto"/>
            </w:tcBorders>
            <w:vAlign w:val="center"/>
            <w:hideMark/>
          </w:tcPr>
          <w:p w14:paraId="663C9F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41332954</w:t>
            </w:r>
          </w:p>
        </w:tc>
        <w:tc>
          <w:tcPr>
            <w:tcW w:w="5953" w:type="dxa"/>
            <w:tcBorders>
              <w:top w:val="nil"/>
              <w:left w:val="nil"/>
              <w:bottom w:val="single" w:sz="4" w:space="0" w:color="auto"/>
              <w:right w:val="single" w:sz="4" w:space="0" w:color="auto"/>
            </w:tcBorders>
            <w:noWrap/>
            <w:vAlign w:val="center"/>
            <w:hideMark/>
          </w:tcPr>
          <w:p w14:paraId="3EBB99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GENERALNI SEKRETARIAT VLADE REPUBLIKE SLOVENIJE</w:t>
            </w:r>
          </w:p>
        </w:tc>
      </w:tr>
      <w:tr w:rsidR="00F24E18" w14:paraId="19C56D2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BCBA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216</w:t>
            </w:r>
          </w:p>
        </w:tc>
        <w:tc>
          <w:tcPr>
            <w:tcW w:w="1300" w:type="dxa"/>
            <w:tcBorders>
              <w:top w:val="nil"/>
              <w:left w:val="nil"/>
              <w:bottom w:val="single" w:sz="4" w:space="0" w:color="auto"/>
              <w:right w:val="single" w:sz="4" w:space="0" w:color="auto"/>
            </w:tcBorders>
            <w:noWrap/>
            <w:vAlign w:val="center"/>
            <w:hideMark/>
          </w:tcPr>
          <w:p w14:paraId="5B5931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8423202000</w:t>
            </w:r>
          </w:p>
        </w:tc>
        <w:tc>
          <w:tcPr>
            <w:tcW w:w="1012" w:type="dxa"/>
            <w:tcBorders>
              <w:top w:val="nil"/>
              <w:left w:val="nil"/>
              <w:bottom w:val="single" w:sz="4" w:space="0" w:color="auto"/>
              <w:right w:val="single" w:sz="4" w:space="0" w:color="auto"/>
            </w:tcBorders>
            <w:vAlign w:val="center"/>
            <w:hideMark/>
          </w:tcPr>
          <w:p w14:paraId="07BAF9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41828437</w:t>
            </w:r>
          </w:p>
        </w:tc>
        <w:tc>
          <w:tcPr>
            <w:tcW w:w="5953" w:type="dxa"/>
            <w:tcBorders>
              <w:top w:val="nil"/>
              <w:left w:val="nil"/>
              <w:bottom w:val="single" w:sz="4" w:space="0" w:color="auto"/>
              <w:right w:val="single" w:sz="4" w:space="0" w:color="auto"/>
            </w:tcBorders>
            <w:noWrap/>
            <w:vAlign w:val="center"/>
            <w:hideMark/>
          </w:tcPr>
          <w:p w14:paraId="2AF1D0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GEN-I ESCO, PAMETNA ENERGIJA, D.O.O.</w:t>
            </w:r>
          </w:p>
        </w:tc>
      </w:tr>
      <w:tr w:rsidR="00F24E18" w14:paraId="2B8E55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F8A9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217</w:t>
            </w:r>
          </w:p>
        </w:tc>
        <w:tc>
          <w:tcPr>
            <w:tcW w:w="1300" w:type="dxa"/>
            <w:tcBorders>
              <w:top w:val="nil"/>
              <w:left w:val="nil"/>
              <w:bottom w:val="single" w:sz="4" w:space="0" w:color="auto"/>
              <w:right w:val="single" w:sz="4" w:space="0" w:color="auto"/>
            </w:tcBorders>
            <w:vAlign w:val="center"/>
            <w:hideMark/>
          </w:tcPr>
          <w:p w14:paraId="6F7B94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1587714000</w:t>
            </w:r>
          </w:p>
        </w:tc>
        <w:tc>
          <w:tcPr>
            <w:tcW w:w="1012" w:type="dxa"/>
            <w:tcBorders>
              <w:top w:val="nil"/>
              <w:left w:val="nil"/>
              <w:bottom w:val="single" w:sz="4" w:space="0" w:color="auto"/>
              <w:right w:val="single" w:sz="4" w:space="0" w:color="auto"/>
            </w:tcBorders>
            <w:vAlign w:val="center"/>
            <w:hideMark/>
          </w:tcPr>
          <w:p w14:paraId="730B0D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71345442</w:t>
            </w:r>
          </w:p>
        </w:tc>
        <w:tc>
          <w:tcPr>
            <w:tcW w:w="5953" w:type="dxa"/>
            <w:tcBorders>
              <w:top w:val="nil"/>
              <w:left w:val="nil"/>
              <w:bottom w:val="single" w:sz="4" w:space="0" w:color="auto"/>
              <w:right w:val="single" w:sz="4" w:space="0" w:color="auto"/>
            </w:tcBorders>
            <w:noWrap/>
            <w:vAlign w:val="center"/>
            <w:hideMark/>
          </w:tcPr>
          <w:p w14:paraId="0A1A3C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GEN-I, TRGOVANJE IN PRODAJA ELEKTRIČNE ENERGIJE, D.O.O.</w:t>
            </w:r>
          </w:p>
        </w:tc>
      </w:tr>
      <w:tr w:rsidR="00F24E18" w14:paraId="5FF4583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5FF4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218</w:t>
            </w:r>
          </w:p>
        </w:tc>
        <w:tc>
          <w:tcPr>
            <w:tcW w:w="1300" w:type="dxa"/>
            <w:tcBorders>
              <w:top w:val="nil"/>
              <w:left w:val="nil"/>
              <w:bottom w:val="single" w:sz="4" w:space="0" w:color="auto"/>
              <w:right w:val="single" w:sz="4" w:space="0" w:color="auto"/>
            </w:tcBorders>
            <w:vAlign w:val="center"/>
            <w:hideMark/>
          </w:tcPr>
          <w:p w14:paraId="124357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5051649000</w:t>
            </w:r>
          </w:p>
        </w:tc>
        <w:tc>
          <w:tcPr>
            <w:tcW w:w="1012" w:type="dxa"/>
            <w:tcBorders>
              <w:top w:val="nil"/>
              <w:left w:val="nil"/>
              <w:bottom w:val="single" w:sz="4" w:space="0" w:color="auto"/>
              <w:right w:val="single" w:sz="4" w:space="0" w:color="auto"/>
            </w:tcBorders>
            <w:vAlign w:val="center"/>
            <w:hideMark/>
          </w:tcPr>
          <w:p w14:paraId="3C828B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81498756</w:t>
            </w:r>
          </w:p>
        </w:tc>
        <w:tc>
          <w:tcPr>
            <w:tcW w:w="5953" w:type="dxa"/>
            <w:tcBorders>
              <w:top w:val="nil"/>
              <w:left w:val="nil"/>
              <w:bottom w:val="single" w:sz="4" w:space="0" w:color="auto"/>
              <w:right w:val="single" w:sz="4" w:space="0" w:color="auto"/>
            </w:tcBorders>
            <w:noWrap/>
            <w:vAlign w:val="center"/>
            <w:hideMark/>
          </w:tcPr>
          <w:p w14:paraId="773FA6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GEODETSKI INŠTITUT SLOVENIJE</w:t>
            </w:r>
          </w:p>
        </w:tc>
      </w:tr>
      <w:tr w:rsidR="00F24E18" w14:paraId="2CF2EAD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E85E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219</w:t>
            </w:r>
          </w:p>
        </w:tc>
        <w:tc>
          <w:tcPr>
            <w:tcW w:w="1300" w:type="dxa"/>
            <w:tcBorders>
              <w:top w:val="nil"/>
              <w:left w:val="nil"/>
              <w:bottom w:val="single" w:sz="4" w:space="0" w:color="auto"/>
              <w:right w:val="single" w:sz="4" w:space="0" w:color="auto"/>
            </w:tcBorders>
            <w:vAlign w:val="center"/>
            <w:hideMark/>
          </w:tcPr>
          <w:p w14:paraId="5C856E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5051410000</w:t>
            </w:r>
          </w:p>
        </w:tc>
        <w:tc>
          <w:tcPr>
            <w:tcW w:w="1012" w:type="dxa"/>
            <w:tcBorders>
              <w:top w:val="nil"/>
              <w:left w:val="nil"/>
              <w:bottom w:val="single" w:sz="4" w:space="0" w:color="auto"/>
              <w:right w:val="single" w:sz="4" w:space="0" w:color="auto"/>
            </w:tcBorders>
            <w:vAlign w:val="center"/>
            <w:hideMark/>
          </w:tcPr>
          <w:p w14:paraId="05F42D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23064145</w:t>
            </w:r>
          </w:p>
        </w:tc>
        <w:tc>
          <w:tcPr>
            <w:tcW w:w="5953" w:type="dxa"/>
            <w:tcBorders>
              <w:top w:val="nil"/>
              <w:left w:val="nil"/>
              <w:bottom w:val="single" w:sz="4" w:space="0" w:color="auto"/>
              <w:right w:val="single" w:sz="4" w:space="0" w:color="auto"/>
            </w:tcBorders>
            <w:noWrap/>
            <w:vAlign w:val="center"/>
            <w:hideMark/>
          </w:tcPr>
          <w:p w14:paraId="0377FB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GEOLOŠKI ZAVOD SLOVENIJE</w:t>
            </w:r>
          </w:p>
        </w:tc>
      </w:tr>
      <w:tr w:rsidR="00F24E18" w14:paraId="6A67F4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27FB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w:t>
            </w:r>
          </w:p>
        </w:tc>
        <w:tc>
          <w:tcPr>
            <w:tcW w:w="1300" w:type="dxa"/>
            <w:tcBorders>
              <w:top w:val="nil"/>
              <w:left w:val="nil"/>
              <w:bottom w:val="single" w:sz="4" w:space="0" w:color="auto"/>
              <w:right w:val="single" w:sz="4" w:space="0" w:color="auto"/>
            </w:tcBorders>
            <w:noWrap/>
            <w:vAlign w:val="center"/>
            <w:hideMark/>
          </w:tcPr>
          <w:p w14:paraId="5EEBC6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5816491000</w:t>
            </w:r>
          </w:p>
        </w:tc>
        <w:tc>
          <w:tcPr>
            <w:tcW w:w="1012" w:type="dxa"/>
            <w:tcBorders>
              <w:top w:val="nil"/>
              <w:left w:val="nil"/>
              <w:bottom w:val="single" w:sz="4" w:space="0" w:color="auto"/>
              <w:right w:val="single" w:sz="4" w:space="0" w:color="auto"/>
            </w:tcBorders>
            <w:noWrap/>
            <w:vAlign w:val="center"/>
            <w:hideMark/>
          </w:tcPr>
          <w:p w14:paraId="162F71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42037123</w:t>
            </w:r>
          </w:p>
        </w:tc>
        <w:tc>
          <w:tcPr>
            <w:tcW w:w="5953" w:type="dxa"/>
            <w:tcBorders>
              <w:top w:val="nil"/>
              <w:left w:val="nil"/>
              <w:bottom w:val="single" w:sz="4" w:space="0" w:color="auto"/>
              <w:right w:val="single" w:sz="4" w:space="0" w:color="auto"/>
            </w:tcBorders>
            <w:noWrap/>
            <w:vAlign w:val="center"/>
            <w:hideMark/>
          </w:tcPr>
          <w:p w14:paraId="3521BD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GIARDINO D INFANZIA DELFINO BLU, CAPODISTRIA VRTEC DELFINO BLU KOPER</w:t>
            </w:r>
          </w:p>
        </w:tc>
      </w:tr>
      <w:tr w:rsidR="00F24E18" w14:paraId="0B72D8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1183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221</w:t>
            </w:r>
          </w:p>
        </w:tc>
        <w:tc>
          <w:tcPr>
            <w:tcW w:w="1300" w:type="dxa"/>
            <w:tcBorders>
              <w:top w:val="nil"/>
              <w:left w:val="nil"/>
              <w:bottom w:val="single" w:sz="4" w:space="0" w:color="auto"/>
              <w:right w:val="single" w:sz="4" w:space="0" w:color="auto"/>
            </w:tcBorders>
            <w:noWrap/>
            <w:vAlign w:val="center"/>
            <w:hideMark/>
          </w:tcPr>
          <w:p w14:paraId="07F480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5083451000</w:t>
            </w:r>
          </w:p>
        </w:tc>
        <w:tc>
          <w:tcPr>
            <w:tcW w:w="1012" w:type="dxa"/>
            <w:tcBorders>
              <w:top w:val="nil"/>
              <w:left w:val="nil"/>
              <w:bottom w:val="single" w:sz="4" w:space="0" w:color="auto"/>
              <w:right w:val="single" w:sz="4" w:space="0" w:color="auto"/>
            </w:tcBorders>
            <w:noWrap/>
            <w:vAlign w:val="center"/>
            <w:hideMark/>
          </w:tcPr>
          <w:p w14:paraId="49E139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64618471</w:t>
            </w:r>
          </w:p>
        </w:tc>
        <w:tc>
          <w:tcPr>
            <w:tcW w:w="5953" w:type="dxa"/>
            <w:tcBorders>
              <w:top w:val="nil"/>
              <w:left w:val="nil"/>
              <w:bottom w:val="single" w:sz="4" w:space="0" w:color="auto"/>
              <w:right w:val="single" w:sz="4" w:space="0" w:color="auto"/>
            </w:tcBorders>
            <w:noWrap/>
            <w:vAlign w:val="center"/>
            <w:hideMark/>
          </w:tcPr>
          <w:p w14:paraId="605A83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BEŽIGRAD</w:t>
            </w:r>
          </w:p>
        </w:tc>
      </w:tr>
      <w:tr w:rsidR="00F24E18" w14:paraId="572FF2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DF15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222</w:t>
            </w:r>
          </w:p>
        </w:tc>
        <w:tc>
          <w:tcPr>
            <w:tcW w:w="1300" w:type="dxa"/>
            <w:tcBorders>
              <w:top w:val="nil"/>
              <w:left w:val="nil"/>
              <w:bottom w:val="single" w:sz="4" w:space="0" w:color="auto"/>
              <w:right w:val="single" w:sz="4" w:space="0" w:color="auto"/>
            </w:tcBorders>
            <w:noWrap/>
            <w:vAlign w:val="center"/>
            <w:hideMark/>
          </w:tcPr>
          <w:p w14:paraId="3C57DB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1458540000</w:t>
            </w:r>
          </w:p>
        </w:tc>
        <w:tc>
          <w:tcPr>
            <w:tcW w:w="1012" w:type="dxa"/>
            <w:tcBorders>
              <w:top w:val="nil"/>
              <w:left w:val="nil"/>
              <w:bottom w:val="single" w:sz="4" w:space="0" w:color="auto"/>
              <w:right w:val="single" w:sz="4" w:space="0" w:color="auto"/>
            </w:tcBorders>
            <w:noWrap/>
            <w:vAlign w:val="center"/>
            <w:hideMark/>
          </w:tcPr>
          <w:p w14:paraId="1193E5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42615011</w:t>
            </w:r>
          </w:p>
        </w:tc>
        <w:tc>
          <w:tcPr>
            <w:tcW w:w="5953" w:type="dxa"/>
            <w:tcBorders>
              <w:top w:val="nil"/>
              <w:left w:val="nil"/>
              <w:bottom w:val="single" w:sz="4" w:space="0" w:color="auto"/>
              <w:right w:val="single" w:sz="4" w:space="0" w:color="auto"/>
            </w:tcBorders>
            <w:noWrap/>
            <w:vAlign w:val="center"/>
            <w:hideMark/>
          </w:tcPr>
          <w:p w14:paraId="71DA1A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BREŽICE</w:t>
            </w:r>
          </w:p>
        </w:tc>
      </w:tr>
      <w:tr w:rsidR="00F24E18" w14:paraId="46A9489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68ED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223</w:t>
            </w:r>
          </w:p>
        </w:tc>
        <w:tc>
          <w:tcPr>
            <w:tcW w:w="1300" w:type="dxa"/>
            <w:tcBorders>
              <w:top w:val="nil"/>
              <w:left w:val="nil"/>
              <w:bottom w:val="single" w:sz="4" w:space="0" w:color="auto"/>
              <w:right w:val="single" w:sz="4" w:space="0" w:color="auto"/>
            </w:tcBorders>
            <w:vAlign w:val="center"/>
            <w:hideMark/>
          </w:tcPr>
          <w:p w14:paraId="056937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5082625000</w:t>
            </w:r>
          </w:p>
        </w:tc>
        <w:tc>
          <w:tcPr>
            <w:tcW w:w="1012" w:type="dxa"/>
            <w:tcBorders>
              <w:top w:val="nil"/>
              <w:left w:val="nil"/>
              <w:bottom w:val="single" w:sz="4" w:space="0" w:color="auto"/>
              <w:right w:val="single" w:sz="4" w:space="0" w:color="auto"/>
            </w:tcBorders>
            <w:vAlign w:val="center"/>
            <w:hideMark/>
          </w:tcPr>
          <w:p w14:paraId="308BBF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44240562</w:t>
            </w:r>
          </w:p>
        </w:tc>
        <w:tc>
          <w:tcPr>
            <w:tcW w:w="5953" w:type="dxa"/>
            <w:tcBorders>
              <w:top w:val="nil"/>
              <w:left w:val="nil"/>
              <w:bottom w:val="single" w:sz="4" w:space="0" w:color="auto"/>
              <w:right w:val="single" w:sz="4" w:space="0" w:color="auto"/>
            </w:tcBorders>
            <w:noWrap/>
            <w:vAlign w:val="center"/>
            <w:hideMark/>
          </w:tcPr>
          <w:p w14:paraId="7C32DF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CELJE - CENTER</w:t>
            </w:r>
          </w:p>
        </w:tc>
      </w:tr>
      <w:tr w:rsidR="00F24E18" w14:paraId="37047D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51E6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w:t>
            </w:r>
          </w:p>
        </w:tc>
        <w:tc>
          <w:tcPr>
            <w:tcW w:w="1300" w:type="dxa"/>
            <w:tcBorders>
              <w:top w:val="nil"/>
              <w:left w:val="nil"/>
              <w:bottom w:val="single" w:sz="4" w:space="0" w:color="auto"/>
              <w:right w:val="single" w:sz="4" w:space="0" w:color="auto"/>
            </w:tcBorders>
            <w:noWrap/>
            <w:vAlign w:val="center"/>
            <w:hideMark/>
          </w:tcPr>
          <w:p w14:paraId="4C14DC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6286186000</w:t>
            </w:r>
          </w:p>
        </w:tc>
        <w:tc>
          <w:tcPr>
            <w:tcW w:w="1012" w:type="dxa"/>
            <w:tcBorders>
              <w:top w:val="nil"/>
              <w:left w:val="nil"/>
              <w:bottom w:val="single" w:sz="4" w:space="0" w:color="auto"/>
              <w:right w:val="single" w:sz="4" w:space="0" w:color="auto"/>
            </w:tcBorders>
            <w:noWrap/>
            <w:vAlign w:val="center"/>
            <w:hideMark/>
          </w:tcPr>
          <w:p w14:paraId="575922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84484047</w:t>
            </w:r>
          </w:p>
        </w:tc>
        <w:tc>
          <w:tcPr>
            <w:tcW w:w="5953" w:type="dxa"/>
            <w:tcBorders>
              <w:top w:val="nil"/>
              <w:left w:val="nil"/>
              <w:bottom w:val="single" w:sz="4" w:space="0" w:color="auto"/>
              <w:right w:val="single" w:sz="4" w:space="0" w:color="auto"/>
            </w:tcBorders>
            <w:noWrap/>
            <w:vAlign w:val="center"/>
            <w:hideMark/>
          </w:tcPr>
          <w:p w14:paraId="11925C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FRANCETA PREŠERNA</w:t>
            </w:r>
          </w:p>
        </w:tc>
      </w:tr>
      <w:tr w:rsidR="00F24E18" w14:paraId="519D95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4858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w:t>
            </w:r>
          </w:p>
        </w:tc>
        <w:tc>
          <w:tcPr>
            <w:tcW w:w="1300" w:type="dxa"/>
            <w:tcBorders>
              <w:top w:val="nil"/>
              <w:left w:val="nil"/>
              <w:bottom w:val="single" w:sz="4" w:space="0" w:color="auto"/>
              <w:right w:val="single" w:sz="4" w:space="0" w:color="auto"/>
            </w:tcBorders>
            <w:noWrap/>
            <w:vAlign w:val="center"/>
            <w:hideMark/>
          </w:tcPr>
          <w:p w14:paraId="6C6E88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5083885000</w:t>
            </w:r>
          </w:p>
        </w:tc>
        <w:tc>
          <w:tcPr>
            <w:tcW w:w="1012" w:type="dxa"/>
            <w:tcBorders>
              <w:top w:val="nil"/>
              <w:left w:val="nil"/>
              <w:bottom w:val="single" w:sz="4" w:space="0" w:color="auto"/>
              <w:right w:val="single" w:sz="4" w:space="0" w:color="auto"/>
            </w:tcBorders>
            <w:noWrap/>
            <w:vAlign w:val="center"/>
            <w:hideMark/>
          </w:tcPr>
          <w:p w14:paraId="6779B2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70662908</w:t>
            </w:r>
          </w:p>
        </w:tc>
        <w:tc>
          <w:tcPr>
            <w:tcW w:w="5953" w:type="dxa"/>
            <w:tcBorders>
              <w:top w:val="nil"/>
              <w:left w:val="nil"/>
              <w:bottom w:val="single" w:sz="4" w:space="0" w:color="auto"/>
              <w:right w:val="single" w:sz="4" w:space="0" w:color="auto"/>
            </w:tcBorders>
            <w:noWrap/>
            <w:vAlign w:val="center"/>
            <w:hideMark/>
          </w:tcPr>
          <w:p w14:paraId="42C9C5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GIAN RINALDO CARLI KOPER GINNASIO GIAN RINALDO CARLI CAPODISTRIA</w:t>
            </w:r>
          </w:p>
        </w:tc>
      </w:tr>
      <w:tr w:rsidR="00F24E18" w14:paraId="08B7C7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8E86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226</w:t>
            </w:r>
          </w:p>
        </w:tc>
        <w:tc>
          <w:tcPr>
            <w:tcW w:w="1300" w:type="dxa"/>
            <w:tcBorders>
              <w:top w:val="nil"/>
              <w:left w:val="nil"/>
              <w:bottom w:val="single" w:sz="4" w:space="0" w:color="auto"/>
              <w:right w:val="single" w:sz="4" w:space="0" w:color="auto"/>
            </w:tcBorders>
            <w:noWrap/>
            <w:vAlign w:val="center"/>
            <w:hideMark/>
          </w:tcPr>
          <w:p w14:paraId="67C088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5090202000</w:t>
            </w:r>
          </w:p>
        </w:tc>
        <w:tc>
          <w:tcPr>
            <w:tcW w:w="1012" w:type="dxa"/>
            <w:tcBorders>
              <w:top w:val="nil"/>
              <w:left w:val="nil"/>
              <w:bottom w:val="single" w:sz="4" w:space="0" w:color="auto"/>
              <w:right w:val="single" w:sz="4" w:space="0" w:color="auto"/>
            </w:tcBorders>
            <w:noWrap/>
            <w:vAlign w:val="center"/>
            <w:hideMark/>
          </w:tcPr>
          <w:p w14:paraId="603DEB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93274211</w:t>
            </w:r>
          </w:p>
        </w:tc>
        <w:tc>
          <w:tcPr>
            <w:tcW w:w="5953" w:type="dxa"/>
            <w:tcBorders>
              <w:top w:val="nil"/>
              <w:left w:val="nil"/>
              <w:bottom w:val="single" w:sz="4" w:space="0" w:color="auto"/>
              <w:right w:val="single" w:sz="4" w:space="0" w:color="auto"/>
            </w:tcBorders>
            <w:noWrap/>
            <w:vAlign w:val="center"/>
            <w:hideMark/>
          </w:tcPr>
          <w:p w14:paraId="42711E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IN EKONOMSKA SREDNJA ŠOLA TRBOVLJE</w:t>
            </w:r>
          </w:p>
        </w:tc>
      </w:tr>
      <w:tr w:rsidR="00F24E18" w14:paraId="56FE4E3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651E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227</w:t>
            </w:r>
          </w:p>
        </w:tc>
        <w:tc>
          <w:tcPr>
            <w:tcW w:w="1300" w:type="dxa"/>
            <w:tcBorders>
              <w:top w:val="nil"/>
              <w:left w:val="nil"/>
              <w:bottom w:val="single" w:sz="4" w:space="0" w:color="auto"/>
              <w:right w:val="single" w:sz="4" w:space="0" w:color="auto"/>
            </w:tcBorders>
            <w:noWrap/>
            <w:vAlign w:val="center"/>
            <w:hideMark/>
          </w:tcPr>
          <w:p w14:paraId="7B4D0C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6214312000</w:t>
            </w:r>
          </w:p>
        </w:tc>
        <w:tc>
          <w:tcPr>
            <w:tcW w:w="1012" w:type="dxa"/>
            <w:tcBorders>
              <w:top w:val="nil"/>
              <w:left w:val="nil"/>
              <w:bottom w:val="single" w:sz="4" w:space="0" w:color="auto"/>
              <w:right w:val="single" w:sz="4" w:space="0" w:color="auto"/>
            </w:tcBorders>
            <w:noWrap/>
            <w:vAlign w:val="center"/>
            <w:hideMark/>
          </w:tcPr>
          <w:p w14:paraId="55E34A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22854509</w:t>
            </w:r>
          </w:p>
        </w:tc>
        <w:tc>
          <w:tcPr>
            <w:tcW w:w="5953" w:type="dxa"/>
            <w:tcBorders>
              <w:top w:val="nil"/>
              <w:left w:val="nil"/>
              <w:bottom w:val="single" w:sz="4" w:space="0" w:color="auto"/>
              <w:right w:val="single" w:sz="4" w:space="0" w:color="auto"/>
            </w:tcBorders>
            <w:noWrap/>
            <w:vAlign w:val="center"/>
            <w:hideMark/>
          </w:tcPr>
          <w:p w14:paraId="0BBC6F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IN SREDNJA ŠOLA KOČEVJE</w:t>
            </w:r>
          </w:p>
        </w:tc>
      </w:tr>
      <w:tr w:rsidR="00F24E18" w14:paraId="1229886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0ABE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228</w:t>
            </w:r>
          </w:p>
        </w:tc>
        <w:tc>
          <w:tcPr>
            <w:tcW w:w="1300" w:type="dxa"/>
            <w:tcBorders>
              <w:top w:val="nil"/>
              <w:left w:val="nil"/>
              <w:bottom w:val="single" w:sz="4" w:space="0" w:color="auto"/>
              <w:right w:val="single" w:sz="4" w:space="0" w:color="auto"/>
            </w:tcBorders>
            <w:vAlign w:val="center"/>
            <w:hideMark/>
          </w:tcPr>
          <w:p w14:paraId="384051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5178924000</w:t>
            </w:r>
          </w:p>
        </w:tc>
        <w:tc>
          <w:tcPr>
            <w:tcW w:w="1012" w:type="dxa"/>
            <w:tcBorders>
              <w:top w:val="nil"/>
              <w:left w:val="nil"/>
              <w:bottom w:val="single" w:sz="4" w:space="0" w:color="auto"/>
              <w:right w:val="single" w:sz="4" w:space="0" w:color="auto"/>
            </w:tcBorders>
            <w:vAlign w:val="center"/>
            <w:hideMark/>
          </w:tcPr>
          <w:p w14:paraId="167CBC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27380297</w:t>
            </w:r>
          </w:p>
        </w:tc>
        <w:tc>
          <w:tcPr>
            <w:tcW w:w="5953" w:type="dxa"/>
            <w:tcBorders>
              <w:top w:val="nil"/>
              <w:left w:val="nil"/>
              <w:bottom w:val="single" w:sz="4" w:space="0" w:color="auto"/>
              <w:right w:val="single" w:sz="4" w:space="0" w:color="auto"/>
            </w:tcBorders>
            <w:noWrap/>
            <w:vAlign w:val="center"/>
            <w:hideMark/>
          </w:tcPr>
          <w:p w14:paraId="4A53F6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IN SREDNJA ŠOLA RUDOLFA MAISTRA KAMNIK</w:t>
            </w:r>
          </w:p>
        </w:tc>
      </w:tr>
      <w:tr w:rsidR="00F24E18" w14:paraId="780C34B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63CD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229</w:t>
            </w:r>
          </w:p>
        </w:tc>
        <w:tc>
          <w:tcPr>
            <w:tcW w:w="1300" w:type="dxa"/>
            <w:tcBorders>
              <w:top w:val="nil"/>
              <w:left w:val="nil"/>
              <w:bottom w:val="single" w:sz="4" w:space="0" w:color="auto"/>
              <w:right w:val="single" w:sz="4" w:space="0" w:color="auto"/>
            </w:tcBorders>
            <w:noWrap/>
            <w:vAlign w:val="center"/>
            <w:hideMark/>
          </w:tcPr>
          <w:p w14:paraId="35C278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5085861000</w:t>
            </w:r>
          </w:p>
        </w:tc>
        <w:tc>
          <w:tcPr>
            <w:tcW w:w="1012" w:type="dxa"/>
            <w:tcBorders>
              <w:top w:val="nil"/>
              <w:left w:val="nil"/>
              <w:bottom w:val="single" w:sz="4" w:space="0" w:color="auto"/>
              <w:right w:val="single" w:sz="4" w:space="0" w:color="auto"/>
            </w:tcBorders>
            <w:noWrap/>
            <w:vAlign w:val="center"/>
            <w:hideMark/>
          </w:tcPr>
          <w:p w14:paraId="009AB7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11732199</w:t>
            </w:r>
          </w:p>
        </w:tc>
        <w:tc>
          <w:tcPr>
            <w:tcW w:w="5953" w:type="dxa"/>
            <w:tcBorders>
              <w:top w:val="nil"/>
              <w:left w:val="nil"/>
              <w:bottom w:val="single" w:sz="4" w:space="0" w:color="auto"/>
              <w:right w:val="single" w:sz="4" w:space="0" w:color="auto"/>
            </w:tcBorders>
            <w:noWrap/>
            <w:vAlign w:val="center"/>
            <w:hideMark/>
          </w:tcPr>
          <w:p w14:paraId="4A7B52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IN SREDNJA ŠOLA ZA KEMIJO IN FARMACIJO RUŠE</w:t>
            </w:r>
          </w:p>
        </w:tc>
      </w:tr>
      <w:tr w:rsidR="00F24E18" w14:paraId="513BEE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4ED7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230</w:t>
            </w:r>
          </w:p>
        </w:tc>
        <w:tc>
          <w:tcPr>
            <w:tcW w:w="1300" w:type="dxa"/>
            <w:tcBorders>
              <w:top w:val="nil"/>
              <w:left w:val="nil"/>
              <w:bottom w:val="single" w:sz="4" w:space="0" w:color="auto"/>
              <w:right w:val="single" w:sz="4" w:space="0" w:color="auto"/>
            </w:tcBorders>
            <w:noWrap/>
            <w:vAlign w:val="center"/>
            <w:hideMark/>
          </w:tcPr>
          <w:p w14:paraId="769DCD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5854091000</w:t>
            </w:r>
          </w:p>
        </w:tc>
        <w:tc>
          <w:tcPr>
            <w:tcW w:w="1012" w:type="dxa"/>
            <w:tcBorders>
              <w:top w:val="nil"/>
              <w:left w:val="nil"/>
              <w:bottom w:val="single" w:sz="4" w:space="0" w:color="auto"/>
              <w:right w:val="single" w:sz="4" w:space="0" w:color="auto"/>
            </w:tcBorders>
            <w:noWrap/>
            <w:vAlign w:val="center"/>
            <w:hideMark/>
          </w:tcPr>
          <w:p w14:paraId="1ED3C4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93902751</w:t>
            </w:r>
          </w:p>
        </w:tc>
        <w:tc>
          <w:tcPr>
            <w:tcW w:w="5953" w:type="dxa"/>
            <w:tcBorders>
              <w:top w:val="nil"/>
              <w:left w:val="nil"/>
              <w:bottom w:val="single" w:sz="4" w:space="0" w:color="auto"/>
              <w:right w:val="single" w:sz="4" w:space="0" w:color="auto"/>
            </w:tcBorders>
            <w:noWrap/>
            <w:vAlign w:val="center"/>
            <w:hideMark/>
          </w:tcPr>
          <w:p w14:paraId="3D2F0E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JESENICE</w:t>
            </w:r>
          </w:p>
        </w:tc>
      </w:tr>
      <w:tr w:rsidR="00F24E18" w14:paraId="6CA443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36D1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231</w:t>
            </w:r>
          </w:p>
        </w:tc>
        <w:tc>
          <w:tcPr>
            <w:tcW w:w="1300" w:type="dxa"/>
            <w:tcBorders>
              <w:top w:val="nil"/>
              <w:left w:val="nil"/>
              <w:bottom w:val="single" w:sz="4" w:space="0" w:color="auto"/>
              <w:right w:val="single" w:sz="4" w:space="0" w:color="auto"/>
            </w:tcBorders>
            <w:noWrap/>
            <w:vAlign w:val="center"/>
            <w:hideMark/>
          </w:tcPr>
          <w:p w14:paraId="69157F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1214144000</w:t>
            </w:r>
          </w:p>
        </w:tc>
        <w:tc>
          <w:tcPr>
            <w:tcW w:w="1012" w:type="dxa"/>
            <w:tcBorders>
              <w:top w:val="nil"/>
              <w:left w:val="nil"/>
              <w:bottom w:val="single" w:sz="4" w:space="0" w:color="auto"/>
              <w:right w:val="single" w:sz="4" w:space="0" w:color="auto"/>
            </w:tcBorders>
            <w:noWrap/>
            <w:vAlign w:val="center"/>
            <w:hideMark/>
          </w:tcPr>
          <w:p w14:paraId="78B82D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71266909</w:t>
            </w:r>
          </w:p>
        </w:tc>
        <w:tc>
          <w:tcPr>
            <w:tcW w:w="5953" w:type="dxa"/>
            <w:tcBorders>
              <w:top w:val="nil"/>
              <w:left w:val="nil"/>
              <w:bottom w:val="single" w:sz="4" w:space="0" w:color="auto"/>
              <w:right w:val="single" w:sz="4" w:space="0" w:color="auto"/>
            </w:tcBorders>
            <w:noWrap/>
            <w:vAlign w:val="center"/>
            <w:hideMark/>
          </w:tcPr>
          <w:p w14:paraId="4CAEE5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JOŽETA PLEČNIKA LJUBLJANA</w:t>
            </w:r>
          </w:p>
        </w:tc>
      </w:tr>
      <w:tr w:rsidR="00F24E18" w14:paraId="46F7F9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B36C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232</w:t>
            </w:r>
          </w:p>
        </w:tc>
        <w:tc>
          <w:tcPr>
            <w:tcW w:w="1300" w:type="dxa"/>
            <w:tcBorders>
              <w:top w:val="nil"/>
              <w:left w:val="nil"/>
              <w:bottom w:val="single" w:sz="4" w:space="0" w:color="auto"/>
              <w:right w:val="single" w:sz="4" w:space="0" w:color="auto"/>
            </w:tcBorders>
            <w:noWrap/>
            <w:vAlign w:val="center"/>
            <w:hideMark/>
          </w:tcPr>
          <w:p w14:paraId="2261A3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5085969000</w:t>
            </w:r>
          </w:p>
        </w:tc>
        <w:tc>
          <w:tcPr>
            <w:tcW w:w="1012" w:type="dxa"/>
            <w:tcBorders>
              <w:top w:val="nil"/>
              <w:left w:val="nil"/>
              <w:bottom w:val="single" w:sz="4" w:space="0" w:color="auto"/>
              <w:right w:val="single" w:sz="4" w:space="0" w:color="auto"/>
            </w:tcBorders>
            <w:noWrap/>
            <w:vAlign w:val="center"/>
            <w:hideMark/>
          </w:tcPr>
          <w:p w14:paraId="16C86E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34857788</w:t>
            </w:r>
          </w:p>
        </w:tc>
        <w:tc>
          <w:tcPr>
            <w:tcW w:w="5953" w:type="dxa"/>
            <w:tcBorders>
              <w:top w:val="nil"/>
              <w:left w:val="nil"/>
              <w:bottom w:val="single" w:sz="4" w:space="0" w:color="auto"/>
              <w:right w:val="single" w:sz="4" w:space="0" w:color="auto"/>
            </w:tcBorders>
            <w:noWrap/>
            <w:vAlign w:val="center"/>
            <w:hideMark/>
          </w:tcPr>
          <w:p w14:paraId="224EE0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JURIJA VEGE IDRIJA</w:t>
            </w:r>
          </w:p>
        </w:tc>
      </w:tr>
      <w:tr w:rsidR="00F24E18" w14:paraId="58EF3D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1B07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w:t>
            </w:r>
          </w:p>
        </w:tc>
        <w:tc>
          <w:tcPr>
            <w:tcW w:w="1300" w:type="dxa"/>
            <w:tcBorders>
              <w:top w:val="nil"/>
              <w:left w:val="nil"/>
              <w:bottom w:val="single" w:sz="4" w:space="0" w:color="auto"/>
              <w:right w:val="single" w:sz="4" w:space="0" w:color="auto"/>
            </w:tcBorders>
            <w:noWrap/>
            <w:vAlign w:val="center"/>
            <w:hideMark/>
          </w:tcPr>
          <w:p w14:paraId="51EE0D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5083869000</w:t>
            </w:r>
          </w:p>
        </w:tc>
        <w:tc>
          <w:tcPr>
            <w:tcW w:w="1012" w:type="dxa"/>
            <w:tcBorders>
              <w:top w:val="nil"/>
              <w:left w:val="nil"/>
              <w:bottom w:val="single" w:sz="4" w:space="0" w:color="auto"/>
              <w:right w:val="single" w:sz="4" w:space="0" w:color="auto"/>
            </w:tcBorders>
            <w:noWrap/>
            <w:vAlign w:val="center"/>
            <w:hideMark/>
          </w:tcPr>
          <w:p w14:paraId="349A18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61745685</w:t>
            </w:r>
          </w:p>
        </w:tc>
        <w:tc>
          <w:tcPr>
            <w:tcW w:w="5953" w:type="dxa"/>
            <w:tcBorders>
              <w:top w:val="nil"/>
              <w:left w:val="nil"/>
              <w:bottom w:val="single" w:sz="4" w:space="0" w:color="auto"/>
              <w:right w:val="single" w:sz="4" w:space="0" w:color="auto"/>
            </w:tcBorders>
            <w:noWrap/>
            <w:vAlign w:val="center"/>
            <w:hideMark/>
          </w:tcPr>
          <w:p w14:paraId="16AF2A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KOPER - GINNASIO CAPODISTRIA</w:t>
            </w:r>
          </w:p>
        </w:tc>
      </w:tr>
      <w:tr w:rsidR="00F24E18" w14:paraId="04B3ED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0F97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234</w:t>
            </w:r>
          </w:p>
        </w:tc>
        <w:tc>
          <w:tcPr>
            <w:tcW w:w="1300" w:type="dxa"/>
            <w:tcBorders>
              <w:top w:val="nil"/>
              <w:left w:val="nil"/>
              <w:bottom w:val="single" w:sz="4" w:space="0" w:color="auto"/>
              <w:right w:val="single" w:sz="4" w:space="0" w:color="auto"/>
            </w:tcBorders>
            <w:noWrap/>
            <w:vAlign w:val="center"/>
            <w:hideMark/>
          </w:tcPr>
          <w:p w14:paraId="0A37C6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5083923000</w:t>
            </w:r>
          </w:p>
        </w:tc>
        <w:tc>
          <w:tcPr>
            <w:tcW w:w="1012" w:type="dxa"/>
            <w:tcBorders>
              <w:top w:val="nil"/>
              <w:left w:val="nil"/>
              <w:bottom w:val="single" w:sz="4" w:space="0" w:color="auto"/>
              <w:right w:val="single" w:sz="4" w:space="0" w:color="auto"/>
            </w:tcBorders>
            <w:noWrap/>
            <w:vAlign w:val="center"/>
            <w:hideMark/>
          </w:tcPr>
          <w:p w14:paraId="18CB3C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55313680</w:t>
            </w:r>
          </w:p>
        </w:tc>
        <w:tc>
          <w:tcPr>
            <w:tcW w:w="5953" w:type="dxa"/>
            <w:tcBorders>
              <w:top w:val="nil"/>
              <w:left w:val="nil"/>
              <w:bottom w:val="single" w:sz="4" w:space="0" w:color="auto"/>
              <w:right w:val="single" w:sz="4" w:space="0" w:color="auto"/>
            </w:tcBorders>
            <w:noWrap/>
            <w:vAlign w:val="center"/>
            <w:hideMark/>
          </w:tcPr>
          <w:p w14:paraId="47E058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KRANJ</w:t>
            </w:r>
          </w:p>
        </w:tc>
      </w:tr>
      <w:tr w:rsidR="00F24E18" w14:paraId="6503F4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A854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235</w:t>
            </w:r>
          </w:p>
        </w:tc>
        <w:tc>
          <w:tcPr>
            <w:tcW w:w="1300" w:type="dxa"/>
            <w:tcBorders>
              <w:top w:val="nil"/>
              <w:left w:val="nil"/>
              <w:bottom w:val="single" w:sz="4" w:space="0" w:color="auto"/>
              <w:right w:val="single" w:sz="4" w:space="0" w:color="auto"/>
            </w:tcBorders>
            <w:noWrap/>
            <w:vAlign w:val="center"/>
            <w:hideMark/>
          </w:tcPr>
          <w:p w14:paraId="25BE8D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5084202000</w:t>
            </w:r>
          </w:p>
        </w:tc>
        <w:tc>
          <w:tcPr>
            <w:tcW w:w="1012" w:type="dxa"/>
            <w:tcBorders>
              <w:top w:val="nil"/>
              <w:left w:val="nil"/>
              <w:bottom w:val="single" w:sz="4" w:space="0" w:color="auto"/>
              <w:right w:val="single" w:sz="4" w:space="0" w:color="auto"/>
            </w:tcBorders>
            <w:noWrap/>
            <w:vAlign w:val="center"/>
            <w:hideMark/>
          </w:tcPr>
          <w:p w14:paraId="1A48B5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24546208</w:t>
            </w:r>
          </w:p>
        </w:tc>
        <w:tc>
          <w:tcPr>
            <w:tcW w:w="5953" w:type="dxa"/>
            <w:tcBorders>
              <w:top w:val="nil"/>
              <w:left w:val="nil"/>
              <w:bottom w:val="single" w:sz="4" w:space="0" w:color="auto"/>
              <w:right w:val="single" w:sz="4" w:space="0" w:color="auto"/>
            </w:tcBorders>
            <w:noWrap/>
            <w:vAlign w:val="center"/>
            <w:hideMark/>
          </w:tcPr>
          <w:p w14:paraId="725C96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LEDINA</w:t>
            </w:r>
          </w:p>
        </w:tc>
      </w:tr>
      <w:tr w:rsidR="00F24E18" w14:paraId="4A57CBE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C958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236</w:t>
            </w:r>
          </w:p>
        </w:tc>
        <w:tc>
          <w:tcPr>
            <w:tcW w:w="1300" w:type="dxa"/>
            <w:tcBorders>
              <w:top w:val="nil"/>
              <w:left w:val="nil"/>
              <w:bottom w:val="single" w:sz="4" w:space="0" w:color="auto"/>
              <w:right w:val="single" w:sz="4" w:space="0" w:color="auto"/>
            </w:tcBorders>
            <w:vAlign w:val="center"/>
            <w:hideMark/>
          </w:tcPr>
          <w:p w14:paraId="3E59F4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1201379000</w:t>
            </w:r>
          </w:p>
        </w:tc>
        <w:tc>
          <w:tcPr>
            <w:tcW w:w="1012" w:type="dxa"/>
            <w:tcBorders>
              <w:top w:val="nil"/>
              <w:left w:val="nil"/>
              <w:bottom w:val="single" w:sz="4" w:space="0" w:color="auto"/>
              <w:right w:val="single" w:sz="4" w:space="0" w:color="auto"/>
            </w:tcBorders>
            <w:vAlign w:val="center"/>
            <w:hideMark/>
          </w:tcPr>
          <w:p w14:paraId="1BF46F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56971192</w:t>
            </w:r>
          </w:p>
        </w:tc>
        <w:tc>
          <w:tcPr>
            <w:tcW w:w="5953" w:type="dxa"/>
            <w:tcBorders>
              <w:top w:val="nil"/>
              <w:left w:val="nil"/>
              <w:bottom w:val="single" w:sz="4" w:space="0" w:color="auto"/>
              <w:right w:val="single" w:sz="4" w:space="0" w:color="auto"/>
            </w:tcBorders>
            <w:noWrap/>
            <w:vAlign w:val="center"/>
            <w:hideMark/>
          </w:tcPr>
          <w:p w14:paraId="0B5B58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LITIJA</w:t>
            </w:r>
          </w:p>
        </w:tc>
      </w:tr>
      <w:tr w:rsidR="00F24E18" w14:paraId="249FB0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364A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237</w:t>
            </w:r>
          </w:p>
        </w:tc>
        <w:tc>
          <w:tcPr>
            <w:tcW w:w="1300" w:type="dxa"/>
            <w:tcBorders>
              <w:top w:val="nil"/>
              <w:left w:val="nil"/>
              <w:bottom w:val="single" w:sz="4" w:space="0" w:color="auto"/>
              <w:right w:val="single" w:sz="4" w:space="0" w:color="auto"/>
            </w:tcBorders>
            <w:noWrap/>
            <w:vAlign w:val="center"/>
            <w:hideMark/>
          </w:tcPr>
          <w:p w14:paraId="2EDEFF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5508541000</w:t>
            </w:r>
          </w:p>
        </w:tc>
        <w:tc>
          <w:tcPr>
            <w:tcW w:w="1012" w:type="dxa"/>
            <w:tcBorders>
              <w:top w:val="nil"/>
              <w:left w:val="nil"/>
              <w:bottom w:val="single" w:sz="4" w:space="0" w:color="auto"/>
              <w:right w:val="single" w:sz="4" w:space="0" w:color="auto"/>
            </w:tcBorders>
            <w:noWrap/>
            <w:vAlign w:val="center"/>
            <w:hideMark/>
          </w:tcPr>
          <w:p w14:paraId="3C0136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78559537</w:t>
            </w:r>
          </w:p>
        </w:tc>
        <w:tc>
          <w:tcPr>
            <w:tcW w:w="5953" w:type="dxa"/>
            <w:tcBorders>
              <w:top w:val="nil"/>
              <w:left w:val="nil"/>
              <w:bottom w:val="single" w:sz="4" w:space="0" w:color="auto"/>
              <w:right w:val="single" w:sz="4" w:space="0" w:color="auto"/>
            </w:tcBorders>
            <w:noWrap/>
            <w:vAlign w:val="center"/>
            <w:hideMark/>
          </w:tcPr>
          <w:p w14:paraId="158183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MURSKA SOBOTA</w:t>
            </w:r>
          </w:p>
        </w:tc>
      </w:tr>
      <w:tr w:rsidR="00F24E18" w14:paraId="0E2E84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46E6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238</w:t>
            </w:r>
          </w:p>
        </w:tc>
        <w:tc>
          <w:tcPr>
            <w:tcW w:w="1300" w:type="dxa"/>
            <w:tcBorders>
              <w:top w:val="nil"/>
              <w:left w:val="nil"/>
              <w:bottom w:val="single" w:sz="4" w:space="0" w:color="auto"/>
              <w:right w:val="single" w:sz="4" w:space="0" w:color="auto"/>
            </w:tcBorders>
            <w:noWrap/>
            <w:vAlign w:val="center"/>
            <w:hideMark/>
          </w:tcPr>
          <w:p w14:paraId="440A6A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5089131000</w:t>
            </w:r>
          </w:p>
        </w:tc>
        <w:tc>
          <w:tcPr>
            <w:tcW w:w="1012" w:type="dxa"/>
            <w:tcBorders>
              <w:top w:val="nil"/>
              <w:left w:val="nil"/>
              <w:bottom w:val="single" w:sz="4" w:space="0" w:color="auto"/>
              <w:right w:val="single" w:sz="4" w:space="0" w:color="auto"/>
            </w:tcBorders>
            <w:noWrap/>
            <w:vAlign w:val="center"/>
            <w:hideMark/>
          </w:tcPr>
          <w:p w14:paraId="5EA1E3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77209737</w:t>
            </w:r>
          </w:p>
        </w:tc>
        <w:tc>
          <w:tcPr>
            <w:tcW w:w="5953" w:type="dxa"/>
            <w:tcBorders>
              <w:top w:val="nil"/>
              <w:left w:val="nil"/>
              <w:bottom w:val="single" w:sz="4" w:space="0" w:color="auto"/>
              <w:right w:val="single" w:sz="4" w:space="0" w:color="auto"/>
            </w:tcBorders>
            <w:noWrap/>
            <w:vAlign w:val="center"/>
            <w:hideMark/>
          </w:tcPr>
          <w:p w14:paraId="03AC90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NOVO MESTO</w:t>
            </w:r>
          </w:p>
        </w:tc>
      </w:tr>
      <w:tr w:rsidR="00F24E18" w14:paraId="341B37E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97BB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w:t>
            </w:r>
          </w:p>
        </w:tc>
        <w:tc>
          <w:tcPr>
            <w:tcW w:w="1300" w:type="dxa"/>
            <w:tcBorders>
              <w:top w:val="nil"/>
              <w:left w:val="nil"/>
              <w:bottom w:val="single" w:sz="4" w:space="0" w:color="auto"/>
              <w:right w:val="single" w:sz="4" w:space="0" w:color="auto"/>
            </w:tcBorders>
            <w:vAlign w:val="center"/>
            <w:hideMark/>
          </w:tcPr>
          <w:p w14:paraId="3CEF93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5249619000</w:t>
            </w:r>
          </w:p>
        </w:tc>
        <w:tc>
          <w:tcPr>
            <w:tcW w:w="1012" w:type="dxa"/>
            <w:tcBorders>
              <w:top w:val="nil"/>
              <w:left w:val="nil"/>
              <w:bottom w:val="single" w:sz="4" w:space="0" w:color="auto"/>
              <w:right w:val="single" w:sz="4" w:space="0" w:color="auto"/>
            </w:tcBorders>
            <w:vAlign w:val="center"/>
            <w:hideMark/>
          </w:tcPr>
          <w:p w14:paraId="4DEB1A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79262341</w:t>
            </w:r>
          </w:p>
        </w:tc>
        <w:tc>
          <w:tcPr>
            <w:tcW w:w="5953" w:type="dxa"/>
            <w:tcBorders>
              <w:top w:val="nil"/>
              <w:left w:val="nil"/>
              <w:bottom w:val="single" w:sz="4" w:space="0" w:color="auto"/>
              <w:right w:val="single" w:sz="4" w:space="0" w:color="auto"/>
            </w:tcBorders>
            <w:noWrap/>
            <w:vAlign w:val="center"/>
            <w:hideMark/>
          </w:tcPr>
          <w:p w14:paraId="4F70C3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POLJANE LJUBLJANA</w:t>
            </w:r>
          </w:p>
        </w:tc>
      </w:tr>
      <w:tr w:rsidR="00F24E18" w14:paraId="482C7F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33D14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240</w:t>
            </w:r>
          </w:p>
        </w:tc>
        <w:tc>
          <w:tcPr>
            <w:tcW w:w="1300" w:type="dxa"/>
            <w:tcBorders>
              <w:top w:val="nil"/>
              <w:left w:val="nil"/>
              <w:bottom w:val="single" w:sz="4" w:space="0" w:color="auto"/>
              <w:right w:val="single" w:sz="4" w:space="0" w:color="auto"/>
            </w:tcBorders>
            <w:noWrap/>
            <w:vAlign w:val="center"/>
            <w:hideMark/>
          </w:tcPr>
          <w:p w14:paraId="293537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1636855000</w:t>
            </w:r>
          </w:p>
        </w:tc>
        <w:tc>
          <w:tcPr>
            <w:tcW w:w="1012" w:type="dxa"/>
            <w:tcBorders>
              <w:top w:val="nil"/>
              <w:left w:val="nil"/>
              <w:bottom w:val="single" w:sz="4" w:space="0" w:color="auto"/>
              <w:right w:val="single" w:sz="4" w:space="0" w:color="auto"/>
            </w:tcBorders>
            <w:noWrap/>
            <w:vAlign w:val="center"/>
            <w:hideMark/>
          </w:tcPr>
          <w:p w14:paraId="79AC05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31808093</w:t>
            </w:r>
          </w:p>
        </w:tc>
        <w:tc>
          <w:tcPr>
            <w:tcW w:w="5953" w:type="dxa"/>
            <w:tcBorders>
              <w:top w:val="nil"/>
              <w:left w:val="nil"/>
              <w:bottom w:val="single" w:sz="4" w:space="0" w:color="auto"/>
              <w:right w:val="single" w:sz="4" w:space="0" w:color="auto"/>
            </w:tcBorders>
            <w:noWrap/>
            <w:vAlign w:val="center"/>
            <w:hideMark/>
          </w:tcPr>
          <w:p w14:paraId="576B3D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PTUJ</w:t>
            </w:r>
          </w:p>
        </w:tc>
      </w:tr>
      <w:tr w:rsidR="00F24E18" w14:paraId="0690D6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1719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241</w:t>
            </w:r>
          </w:p>
        </w:tc>
        <w:tc>
          <w:tcPr>
            <w:tcW w:w="1300" w:type="dxa"/>
            <w:tcBorders>
              <w:top w:val="nil"/>
              <w:left w:val="nil"/>
              <w:bottom w:val="single" w:sz="4" w:space="0" w:color="auto"/>
              <w:right w:val="single" w:sz="4" w:space="0" w:color="auto"/>
            </w:tcBorders>
            <w:noWrap/>
            <w:vAlign w:val="center"/>
            <w:hideMark/>
          </w:tcPr>
          <w:p w14:paraId="073129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5084962000</w:t>
            </w:r>
          </w:p>
        </w:tc>
        <w:tc>
          <w:tcPr>
            <w:tcW w:w="1012" w:type="dxa"/>
            <w:tcBorders>
              <w:top w:val="nil"/>
              <w:left w:val="nil"/>
              <w:bottom w:val="single" w:sz="4" w:space="0" w:color="auto"/>
              <w:right w:val="single" w:sz="4" w:space="0" w:color="auto"/>
            </w:tcBorders>
            <w:noWrap/>
            <w:vAlign w:val="center"/>
            <w:hideMark/>
          </w:tcPr>
          <w:p w14:paraId="041517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40605035</w:t>
            </w:r>
          </w:p>
        </w:tc>
        <w:tc>
          <w:tcPr>
            <w:tcW w:w="5953" w:type="dxa"/>
            <w:tcBorders>
              <w:top w:val="nil"/>
              <w:left w:val="nil"/>
              <w:bottom w:val="single" w:sz="4" w:space="0" w:color="auto"/>
              <w:right w:val="single" w:sz="4" w:space="0" w:color="auto"/>
            </w:tcBorders>
            <w:noWrap/>
            <w:vAlign w:val="center"/>
            <w:hideMark/>
          </w:tcPr>
          <w:p w14:paraId="38433D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ŠENTVID LJUBLJANA</w:t>
            </w:r>
          </w:p>
        </w:tc>
      </w:tr>
      <w:tr w:rsidR="00F24E18" w14:paraId="2CD6429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7D07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242</w:t>
            </w:r>
          </w:p>
        </w:tc>
        <w:tc>
          <w:tcPr>
            <w:tcW w:w="1300" w:type="dxa"/>
            <w:tcBorders>
              <w:top w:val="nil"/>
              <w:left w:val="nil"/>
              <w:bottom w:val="single" w:sz="4" w:space="0" w:color="auto"/>
              <w:right w:val="single" w:sz="4" w:space="0" w:color="auto"/>
            </w:tcBorders>
            <w:vAlign w:val="center"/>
            <w:hideMark/>
          </w:tcPr>
          <w:p w14:paraId="40A219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5671159000</w:t>
            </w:r>
          </w:p>
        </w:tc>
        <w:tc>
          <w:tcPr>
            <w:tcW w:w="1012" w:type="dxa"/>
            <w:tcBorders>
              <w:top w:val="nil"/>
              <w:left w:val="nil"/>
              <w:bottom w:val="single" w:sz="4" w:space="0" w:color="auto"/>
              <w:right w:val="single" w:sz="4" w:space="0" w:color="auto"/>
            </w:tcBorders>
            <w:vAlign w:val="center"/>
            <w:hideMark/>
          </w:tcPr>
          <w:p w14:paraId="25B9E4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57801606</w:t>
            </w:r>
          </w:p>
        </w:tc>
        <w:tc>
          <w:tcPr>
            <w:tcW w:w="5953" w:type="dxa"/>
            <w:tcBorders>
              <w:top w:val="nil"/>
              <w:left w:val="nil"/>
              <w:bottom w:val="single" w:sz="4" w:space="0" w:color="auto"/>
              <w:right w:val="single" w:sz="4" w:space="0" w:color="auto"/>
            </w:tcBorders>
            <w:noWrap/>
            <w:vAlign w:val="center"/>
            <w:hideMark/>
          </w:tcPr>
          <w:p w14:paraId="677FCC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ŠIŠKA</w:t>
            </w:r>
          </w:p>
        </w:tc>
      </w:tr>
      <w:tr w:rsidR="00F24E18" w14:paraId="056EDC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C481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243</w:t>
            </w:r>
          </w:p>
        </w:tc>
        <w:tc>
          <w:tcPr>
            <w:tcW w:w="1300" w:type="dxa"/>
            <w:tcBorders>
              <w:top w:val="nil"/>
              <w:left w:val="nil"/>
              <w:bottom w:val="single" w:sz="4" w:space="0" w:color="auto"/>
              <w:right w:val="single" w:sz="4" w:space="0" w:color="auto"/>
            </w:tcBorders>
            <w:vAlign w:val="center"/>
            <w:hideMark/>
          </w:tcPr>
          <w:p w14:paraId="379F66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5087864000</w:t>
            </w:r>
          </w:p>
        </w:tc>
        <w:tc>
          <w:tcPr>
            <w:tcW w:w="1012" w:type="dxa"/>
            <w:tcBorders>
              <w:top w:val="nil"/>
              <w:left w:val="nil"/>
              <w:bottom w:val="single" w:sz="4" w:space="0" w:color="auto"/>
              <w:right w:val="single" w:sz="4" w:space="0" w:color="auto"/>
            </w:tcBorders>
            <w:vAlign w:val="center"/>
            <w:hideMark/>
          </w:tcPr>
          <w:p w14:paraId="792CAF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75358247</w:t>
            </w:r>
          </w:p>
        </w:tc>
        <w:tc>
          <w:tcPr>
            <w:tcW w:w="5953" w:type="dxa"/>
            <w:tcBorders>
              <w:top w:val="nil"/>
              <w:left w:val="nil"/>
              <w:bottom w:val="single" w:sz="4" w:space="0" w:color="auto"/>
              <w:right w:val="single" w:sz="4" w:space="0" w:color="auto"/>
            </w:tcBorders>
            <w:noWrap/>
            <w:vAlign w:val="center"/>
            <w:hideMark/>
          </w:tcPr>
          <w:p w14:paraId="4263B0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ŠKOFJA LOKA</w:t>
            </w:r>
          </w:p>
        </w:tc>
      </w:tr>
      <w:tr w:rsidR="00F24E18" w14:paraId="10D02DE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0372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244</w:t>
            </w:r>
          </w:p>
        </w:tc>
        <w:tc>
          <w:tcPr>
            <w:tcW w:w="1300" w:type="dxa"/>
            <w:tcBorders>
              <w:top w:val="nil"/>
              <w:left w:val="nil"/>
              <w:bottom w:val="single" w:sz="4" w:space="0" w:color="auto"/>
              <w:right w:val="single" w:sz="4" w:space="0" w:color="auto"/>
            </w:tcBorders>
            <w:vAlign w:val="center"/>
            <w:hideMark/>
          </w:tcPr>
          <w:p w14:paraId="6451C1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5272661000</w:t>
            </w:r>
          </w:p>
        </w:tc>
        <w:tc>
          <w:tcPr>
            <w:tcW w:w="1012" w:type="dxa"/>
            <w:tcBorders>
              <w:top w:val="nil"/>
              <w:left w:val="nil"/>
              <w:bottom w:val="single" w:sz="4" w:space="0" w:color="auto"/>
              <w:right w:val="single" w:sz="4" w:space="0" w:color="auto"/>
            </w:tcBorders>
            <w:vAlign w:val="center"/>
            <w:hideMark/>
          </w:tcPr>
          <w:p w14:paraId="2F805B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96796219</w:t>
            </w:r>
          </w:p>
        </w:tc>
        <w:tc>
          <w:tcPr>
            <w:tcW w:w="5953" w:type="dxa"/>
            <w:tcBorders>
              <w:top w:val="nil"/>
              <w:left w:val="nil"/>
              <w:bottom w:val="single" w:sz="4" w:space="0" w:color="auto"/>
              <w:right w:val="single" w:sz="4" w:space="0" w:color="auto"/>
            </w:tcBorders>
            <w:noWrap/>
            <w:vAlign w:val="center"/>
            <w:hideMark/>
          </w:tcPr>
          <w:p w14:paraId="6A31BA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TOLMIN</w:t>
            </w:r>
          </w:p>
        </w:tc>
      </w:tr>
      <w:tr w:rsidR="00F24E18" w14:paraId="533C35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7D41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245</w:t>
            </w:r>
          </w:p>
        </w:tc>
        <w:tc>
          <w:tcPr>
            <w:tcW w:w="1300" w:type="dxa"/>
            <w:tcBorders>
              <w:top w:val="nil"/>
              <w:left w:val="nil"/>
              <w:bottom w:val="single" w:sz="4" w:space="0" w:color="auto"/>
              <w:right w:val="single" w:sz="4" w:space="0" w:color="auto"/>
            </w:tcBorders>
            <w:noWrap/>
            <w:vAlign w:val="center"/>
            <w:hideMark/>
          </w:tcPr>
          <w:p w14:paraId="69352C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5084563000</w:t>
            </w:r>
          </w:p>
        </w:tc>
        <w:tc>
          <w:tcPr>
            <w:tcW w:w="1012" w:type="dxa"/>
            <w:tcBorders>
              <w:top w:val="nil"/>
              <w:left w:val="nil"/>
              <w:bottom w:val="single" w:sz="4" w:space="0" w:color="auto"/>
              <w:right w:val="single" w:sz="4" w:space="0" w:color="auto"/>
            </w:tcBorders>
            <w:noWrap/>
            <w:vAlign w:val="center"/>
            <w:hideMark/>
          </w:tcPr>
          <w:p w14:paraId="37ED54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54767695</w:t>
            </w:r>
          </w:p>
        </w:tc>
        <w:tc>
          <w:tcPr>
            <w:tcW w:w="5953" w:type="dxa"/>
            <w:tcBorders>
              <w:top w:val="nil"/>
              <w:left w:val="nil"/>
              <w:bottom w:val="single" w:sz="4" w:space="0" w:color="auto"/>
              <w:right w:val="single" w:sz="4" w:space="0" w:color="auto"/>
            </w:tcBorders>
            <w:noWrap/>
            <w:vAlign w:val="center"/>
            <w:hideMark/>
          </w:tcPr>
          <w:p w14:paraId="26DEFA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GIMNAZIJA VIČ</w:t>
            </w:r>
          </w:p>
        </w:tc>
      </w:tr>
      <w:tr w:rsidR="00F24E18" w14:paraId="5B907B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D76A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246</w:t>
            </w:r>
          </w:p>
        </w:tc>
        <w:tc>
          <w:tcPr>
            <w:tcW w:w="1300" w:type="dxa"/>
            <w:tcBorders>
              <w:top w:val="nil"/>
              <w:left w:val="nil"/>
              <w:bottom w:val="single" w:sz="4" w:space="0" w:color="auto"/>
              <w:right w:val="single" w:sz="4" w:space="0" w:color="auto"/>
            </w:tcBorders>
            <w:noWrap/>
            <w:vAlign w:val="center"/>
            <w:hideMark/>
          </w:tcPr>
          <w:p w14:paraId="2E0C62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5086892000</w:t>
            </w:r>
          </w:p>
        </w:tc>
        <w:tc>
          <w:tcPr>
            <w:tcW w:w="1012" w:type="dxa"/>
            <w:tcBorders>
              <w:top w:val="nil"/>
              <w:left w:val="nil"/>
              <w:bottom w:val="single" w:sz="4" w:space="0" w:color="auto"/>
              <w:right w:val="single" w:sz="4" w:space="0" w:color="auto"/>
            </w:tcBorders>
            <w:noWrap/>
            <w:vAlign w:val="center"/>
            <w:hideMark/>
          </w:tcPr>
          <w:p w14:paraId="2C3C98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54783020</w:t>
            </w:r>
          </w:p>
        </w:tc>
        <w:tc>
          <w:tcPr>
            <w:tcW w:w="5953" w:type="dxa"/>
            <w:tcBorders>
              <w:top w:val="nil"/>
              <w:left w:val="nil"/>
              <w:bottom w:val="single" w:sz="4" w:space="0" w:color="auto"/>
              <w:right w:val="single" w:sz="4" w:space="0" w:color="auto"/>
            </w:tcBorders>
            <w:noWrap/>
            <w:vAlign w:val="center"/>
            <w:hideMark/>
          </w:tcPr>
          <w:p w14:paraId="2BBF0E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GINNASIO ANTONIO SEMA PIRANO GIMNAZIJA ANTONIO SEMA PIRAN</w:t>
            </w:r>
          </w:p>
        </w:tc>
      </w:tr>
      <w:tr w:rsidR="00F24E18" w14:paraId="68D8B5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E136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247</w:t>
            </w:r>
          </w:p>
        </w:tc>
        <w:tc>
          <w:tcPr>
            <w:tcW w:w="1300" w:type="dxa"/>
            <w:tcBorders>
              <w:top w:val="nil"/>
              <w:left w:val="nil"/>
              <w:bottom w:val="single" w:sz="4" w:space="0" w:color="auto"/>
              <w:right w:val="single" w:sz="4" w:space="0" w:color="auto"/>
            </w:tcBorders>
            <w:noWrap/>
            <w:vAlign w:val="center"/>
            <w:hideMark/>
          </w:tcPr>
          <w:p w14:paraId="6AF986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5083591000</w:t>
            </w:r>
          </w:p>
        </w:tc>
        <w:tc>
          <w:tcPr>
            <w:tcW w:w="1012" w:type="dxa"/>
            <w:tcBorders>
              <w:top w:val="nil"/>
              <w:left w:val="nil"/>
              <w:bottom w:val="single" w:sz="4" w:space="0" w:color="auto"/>
              <w:right w:val="single" w:sz="4" w:space="0" w:color="auto"/>
            </w:tcBorders>
            <w:noWrap/>
            <w:vAlign w:val="center"/>
            <w:hideMark/>
          </w:tcPr>
          <w:p w14:paraId="01B7DE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27184188</w:t>
            </w:r>
          </w:p>
        </w:tc>
        <w:tc>
          <w:tcPr>
            <w:tcW w:w="5953" w:type="dxa"/>
            <w:tcBorders>
              <w:top w:val="nil"/>
              <w:left w:val="nil"/>
              <w:bottom w:val="single" w:sz="4" w:space="0" w:color="auto"/>
              <w:right w:val="single" w:sz="4" w:space="0" w:color="auto"/>
            </w:tcBorders>
            <w:noWrap/>
            <w:vAlign w:val="center"/>
            <w:hideMark/>
          </w:tcPr>
          <w:p w14:paraId="05D8CA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BREŽICE</w:t>
            </w:r>
          </w:p>
        </w:tc>
      </w:tr>
      <w:tr w:rsidR="00F24E18" w14:paraId="5E1797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C5F3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w:t>
            </w:r>
          </w:p>
        </w:tc>
        <w:tc>
          <w:tcPr>
            <w:tcW w:w="1300" w:type="dxa"/>
            <w:tcBorders>
              <w:top w:val="nil"/>
              <w:left w:val="nil"/>
              <w:bottom w:val="single" w:sz="4" w:space="0" w:color="auto"/>
              <w:right w:val="single" w:sz="4" w:space="0" w:color="auto"/>
            </w:tcBorders>
            <w:vAlign w:val="center"/>
            <w:hideMark/>
          </w:tcPr>
          <w:p w14:paraId="310F32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5083630000</w:t>
            </w:r>
          </w:p>
        </w:tc>
        <w:tc>
          <w:tcPr>
            <w:tcW w:w="1012" w:type="dxa"/>
            <w:tcBorders>
              <w:top w:val="nil"/>
              <w:left w:val="nil"/>
              <w:bottom w:val="single" w:sz="4" w:space="0" w:color="auto"/>
              <w:right w:val="single" w:sz="4" w:space="0" w:color="auto"/>
            </w:tcBorders>
            <w:vAlign w:val="center"/>
            <w:hideMark/>
          </w:tcPr>
          <w:p w14:paraId="2F0037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78363209</w:t>
            </w:r>
          </w:p>
        </w:tc>
        <w:tc>
          <w:tcPr>
            <w:tcW w:w="5953" w:type="dxa"/>
            <w:tcBorders>
              <w:top w:val="nil"/>
              <w:left w:val="nil"/>
              <w:bottom w:val="single" w:sz="4" w:space="0" w:color="auto"/>
              <w:right w:val="single" w:sz="4" w:space="0" w:color="auto"/>
            </w:tcBorders>
            <w:noWrap/>
            <w:vAlign w:val="center"/>
            <w:hideMark/>
          </w:tcPr>
          <w:p w14:paraId="364DB4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CELJE</w:t>
            </w:r>
          </w:p>
        </w:tc>
      </w:tr>
      <w:tr w:rsidR="00F24E18" w14:paraId="7DBE6E2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274A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249</w:t>
            </w:r>
          </w:p>
        </w:tc>
        <w:tc>
          <w:tcPr>
            <w:tcW w:w="1300" w:type="dxa"/>
            <w:tcBorders>
              <w:top w:val="nil"/>
              <w:left w:val="nil"/>
              <w:bottom w:val="single" w:sz="4" w:space="0" w:color="auto"/>
              <w:right w:val="single" w:sz="4" w:space="0" w:color="auto"/>
            </w:tcBorders>
            <w:noWrap/>
            <w:vAlign w:val="center"/>
            <w:hideMark/>
          </w:tcPr>
          <w:p w14:paraId="6074E2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5082862000</w:t>
            </w:r>
          </w:p>
        </w:tc>
        <w:tc>
          <w:tcPr>
            <w:tcW w:w="1012" w:type="dxa"/>
            <w:tcBorders>
              <w:top w:val="nil"/>
              <w:left w:val="nil"/>
              <w:bottom w:val="single" w:sz="4" w:space="0" w:color="auto"/>
              <w:right w:val="single" w:sz="4" w:space="0" w:color="auto"/>
            </w:tcBorders>
            <w:noWrap/>
            <w:vAlign w:val="center"/>
            <w:hideMark/>
          </w:tcPr>
          <w:p w14:paraId="7F33FE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45558264</w:t>
            </w:r>
          </w:p>
        </w:tc>
        <w:tc>
          <w:tcPr>
            <w:tcW w:w="5953" w:type="dxa"/>
            <w:tcBorders>
              <w:top w:val="nil"/>
              <w:left w:val="nil"/>
              <w:bottom w:val="single" w:sz="4" w:space="0" w:color="auto"/>
              <w:right w:val="single" w:sz="4" w:space="0" w:color="auto"/>
            </w:tcBorders>
            <w:noWrap/>
            <w:vAlign w:val="center"/>
            <w:hideMark/>
          </w:tcPr>
          <w:p w14:paraId="08C161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DOMŽALE</w:t>
            </w:r>
          </w:p>
        </w:tc>
      </w:tr>
      <w:tr w:rsidR="00F24E18" w14:paraId="3ADF893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94F4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250</w:t>
            </w:r>
          </w:p>
        </w:tc>
        <w:tc>
          <w:tcPr>
            <w:tcW w:w="1300" w:type="dxa"/>
            <w:tcBorders>
              <w:top w:val="nil"/>
              <w:left w:val="nil"/>
              <w:bottom w:val="single" w:sz="4" w:space="0" w:color="auto"/>
              <w:right w:val="single" w:sz="4" w:space="0" w:color="auto"/>
            </w:tcBorders>
            <w:noWrap/>
            <w:vAlign w:val="center"/>
            <w:hideMark/>
          </w:tcPr>
          <w:p w14:paraId="267AC2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5088313000</w:t>
            </w:r>
          </w:p>
        </w:tc>
        <w:tc>
          <w:tcPr>
            <w:tcW w:w="1012" w:type="dxa"/>
            <w:tcBorders>
              <w:top w:val="nil"/>
              <w:left w:val="nil"/>
              <w:bottom w:val="single" w:sz="4" w:space="0" w:color="auto"/>
              <w:right w:val="single" w:sz="4" w:space="0" w:color="auto"/>
            </w:tcBorders>
            <w:noWrap/>
            <w:vAlign w:val="center"/>
            <w:hideMark/>
          </w:tcPr>
          <w:p w14:paraId="4E7AD6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79789960</w:t>
            </w:r>
          </w:p>
        </w:tc>
        <w:tc>
          <w:tcPr>
            <w:tcW w:w="5953" w:type="dxa"/>
            <w:tcBorders>
              <w:top w:val="nil"/>
              <w:left w:val="nil"/>
              <w:bottom w:val="single" w:sz="4" w:space="0" w:color="auto"/>
              <w:right w:val="single" w:sz="4" w:space="0" w:color="auto"/>
            </w:tcBorders>
            <w:noWrap/>
            <w:vAlign w:val="center"/>
            <w:hideMark/>
          </w:tcPr>
          <w:p w14:paraId="597D66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FRAN KORUN KOŽELJSKI VELENJE</w:t>
            </w:r>
          </w:p>
        </w:tc>
      </w:tr>
      <w:tr w:rsidR="00F24E18" w14:paraId="3B1B73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A002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w:t>
            </w:r>
          </w:p>
        </w:tc>
        <w:tc>
          <w:tcPr>
            <w:tcW w:w="1300" w:type="dxa"/>
            <w:tcBorders>
              <w:top w:val="nil"/>
              <w:left w:val="nil"/>
              <w:bottom w:val="single" w:sz="4" w:space="0" w:color="auto"/>
              <w:right w:val="single" w:sz="4" w:space="0" w:color="auto"/>
            </w:tcBorders>
            <w:noWrap/>
            <w:vAlign w:val="center"/>
            <w:hideMark/>
          </w:tcPr>
          <w:p w14:paraId="119B74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5083702000</w:t>
            </w:r>
          </w:p>
        </w:tc>
        <w:tc>
          <w:tcPr>
            <w:tcW w:w="1012" w:type="dxa"/>
            <w:tcBorders>
              <w:top w:val="nil"/>
              <w:left w:val="nil"/>
              <w:bottom w:val="single" w:sz="4" w:space="0" w:color="auto"/>
              <w:right w:val="single" w:sz="4" w:space="0" w:color="auto"/>
            </w:tcBorders>
            <w:noWrap/>
            <w:vAlign w:val="center"/>
            <w:hideMark/>
          </w:tcPr>
          <w:p w14:paraId="13C818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96787163</w:t>
            </w:r>
          </w:p>
        </w:tc>
        <w:tc>
          <w:tcPr>
            <w:tcW w:w="5953" w:type="dxa"/>
            <w:tcBorders>
              <w:top w:val="nil"/>
              <w:left w:val="nil"/>
              <w:bottom w:val="single" w:sz="4" w:space="0" w:color="auto"/>
              <w:right w:val="single" w:sz="4" w:space="0" w:color="auto"/>
            </w:tcBorders>
            <w:noWrap/>
            <w:vAlign w:val="center"/>
            <w:hideMark/>
          </w:tcPr>
          <w:p w14:paraId="7E55C2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FRANA GERBIČA CERKNICA</w:t>
            </w:r>
          </w:p>
        </w:tc>
      </w:tr>
      <w:tr w:rsidR="00F24E18" w14:paraId="6E9A701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2E5F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252</w:t>
            </w:r>
          </w:p>
        </w:tc>
        <w:tc>
          <w:tcPr>
            <w:tcW w:w="1300" w:type="dxa"/>
            <w:tcBorders>
              <w:top w:val="nil"/>
              <w:left w:val="nil"/>
              <w:bottom w:val="single" w:sz="4" w:space="0" w:color="auto"/>
              <w:right w:val="single" w:sz="4" w:space="0" w:color="auto"/>
            </w:tcBorders>
            <w:noWrap/>
            <w:vAlign w:val="center"/>
            <w:hideMark/>
          </w:tcPr>
          <w:p w14:paraId="392467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5090024000</w:t>
            </w:r>
          </w:p>
        </w:tc>
        <w:tc>
          <w:tcPr>
            <w:tcW w:w="1012" w:type="dxa"/>
            <w:tcBorders>
              <w:top w:val="nil"/>
              <w:left w:val="nil"/>
              <w:bottom w:val="single" w:sz="4" w:space="0" w:color="auto"/>
              <w:right w:val="single" w:sz="4" w:space="0" w:color="auto"/>
            </w:tcBorders>
            <w:noWrap/>
            <w:vAlign w:val="center"/>
            <w:hideMark/>
          </w:tcPr>
          <w:p w14:paraId="4493A7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82488649</w:t>
            </w:r>
          </w:p>
        </w:tc>
        <w:tc>
          <w:tcPr>
            <w:tcW w:w="5953" w:type="dxa"/>
            <w:tcBorders>
              <w:top w:val="nil"/>
              <w:left w:val="nil"/>
              <w:bottom w:val="single" w:sz="4" w:space="0" w:color="auto"/>
              <w:right w:val="single" w:sz="4" w:space="0" w:color="auto"/>
            </w:tcBorders>
            <w:noWrap/>
            <w:vAlign w:val="center"/>
            <w:hideMark/>
          </w:tcPr>
          <w:p w14:paraId="6F8C25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FRANCA ŠTURMA</w:t>
            </w:r>
          </w:p>
        </w:tc>
      </w:tr>
      <w:tr w:rsidR="00F24E18" w14:paraId="21A7F0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CB15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253</w:t>
            </w:r>
          </w:p>
        </w:tc>
        <w:tc>
          <w:tcPr>
            <w:tcW w:w="1300" w:type="dxa"/>
            <w:tcBorders>
              <w:top w:val="nil"/>
              <w:left w:val="nil"/>
              <w:bottom w:val="single" w:sz="4" w:space="0" w:color="auto"/>
              <w:right w:val="single" w:sz="4" w:space="0" w:color="auto"/>
            </w:tcBorders>
            <w:noWrap/>
            <w:vAlign w:val="center"/>
            <w:hideMark/>
          </w:tcPr>
          <w:p w14:paraId="4AF430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5083770000</w:t>
            </w:r>
          </w:p>
        </w:tc>
        <w:tc>
          <w:tcPr>
            <w:tcW w:w="1012" w:type="dxa"/>
            <w:tcBorders>
              <w:top w:val="nil"/>
              <w:left w:val="nil"/>
              <w:bottom w:val="single" w:sz="4" w:space="0" w:color="auto"/>
              <w:right w:val="single" w:sz="4" w:space="0" w:color="auto"/>
            </w:tcBorders>
            <w:noWrap/>
            <w:vAlign w:val="center"/>
            <w:hideMark/>
          </w:tcPr>
          <w:p w14:paraId="1507AD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72010185</w:t>
            </w:r>
          </w:p>
        </w:tc>
        <w:tc>
          <w:tcPr>
            <w:tcW w:w="5953" w:type="dxa"/>
            <w:tcBorders>
              <w:top w:val="nil"/>
              <w:left w:val="nil"/>
              <w:bottom w:val="single" w:sz="4" w:space="0" w:color="auto"/>
              <w:right w:val="single" w:sz="4" w:space="0" w:color="auto"/>
            </w:tcBorders>
            <w:noWrap/>
            <w:vAlign w:val="center"/>
            <w:hideMark/>
          </w:tcPr>
          <w:p w14:paraId="629FA5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HRASTNIK</w:t>
            </w:r>
          </w:p>
        </w:tc>
      </w:tr>
      <w:tr w:rsidR="00F24E18" w14:paraId="2F093C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B7C3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254</w:t>
            </w:r>
          </w:p>
        </w:tc>
        <w:tc>
          <w:tcPr>
            <w:tcW w:w="1300" w:type="dxa"/>
            <w:tcBorders>
              <w:top w:val="nil"/>
              <w:left w:val="nil"/>
              <w:bottom w:val="single" w:sz="4" w:space="0" w:color="auto"/>
              <w:right w:val="single" w:sz="4" w:space="0" w:color="auto"/>
            </w:tcBorders>
            <w:noWrap/>
            <w:vAlign w:val="center"/>
            <w:hideMark/>
          </w:tcPr>
          <w:p w14:paraId="1ED7BF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5082994000</w:t>
            </w:r>
          </w:p>
        </w:tc>
        <w:tc>
          <w:tcPr>
            <w:tcW w:w="1012" w:type="dxa"/>
            <w:tcBorders>
              <w:top w:val="nil"/>
              <w:left w:val="nil"/>
              <w:bottom w:val="single" w:sz="4" w:space="0" w:color="auto"/>
              <w:right w:val="single" w:sz="4" w:space="0" w:color="auto"/>
            </w:tcBorders>
            <w:noWrap/>
            <w:vAlign w:val="center"/>
            <w:hideMark/>
          </w:tcPr>
          <w:p w14:paraId="55D34E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31493092</w:t>
            </w:r>
          </w:p>
        </w:tc>
        <w:tc>
          <w:tcPr>
            <w:tcW w:w="5953" w:type="dxa"/>
            <w:tcBorders>
              <w:top w:val="nil"/>
              <w:left w:val="nil"/>
              <w:bottom w:val="single" w:sz="4" w:space="0" w:color="auto"/>
              <w:right w:val="single" w:sz="4" w:space="0" w:color="auto"/>
            </w:tcBorders>
            <w:noWrap/>
            <w:vAlign w:val="center"/>
            <w:hideMark/>
          </w:tcPr>
          <w:p w14:paraId="266941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IDRIJA</w:t>
            </w:r>
          </w:p>
        </w:tc>
      </w:tr>
      <w:tr w:rsidR="00F24E18" w14:paraId="302A97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6B6B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255</w:t>
            </w:r>
          </w:p>
        </w:tc>
        <w:tc>
          <w:tcPr>
            <w:tcW w:w="1300" w:type="dxa"/>
            <w:tcBorders>
              <w:top w:val="nil"/>
              <w:left w:val="nil"/>
              <w:bottom w:val="single" w:sz="4" w:space="0" w:color="auto"/>
              <w:right w:val="single" w:sz="4" w:space="0" w:color="auto"/>
            </w:tcBorders>
            <w:noWrap/>
            <w:vAlign w:val="center"/>
            <w:hideMark/>
          </w:tcPr>
          <w:p w14:paraId="0415AA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5088674000</w:t>
            </w:r>
          </w:p>
        </w:tc>
        <w:tc>
          <w:tcPr>
            <w:tcW w:w="1012" w:type="dxa"/>
            <w:tcBorders>
              <w:top w:val="nil"/>
              <w:left w:val="nil"/>
              <w:bottom w:val="single" w:sz="4" w:space="0" w:color="auto"/>
              <w:right w:val="single" w:sz="4" w:space="0" w:color="auto"/>
            </w:tcBorders>
            <w:noWrap/>
            <w:vAlign w:val="center"/>
            <w:hideMark/>
          </w:tcPr>
          <w:p w14:paraId="4E4AC4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22501576</w:t>
            </w:r>
          </w:p>
        </w:tc>
        <w:tc>
          <w:tcPr>
            <w:tcW w:w="5953" w:type="dxa"/>
            <w:tcBorders>
              <w:top w:val="nil"/>
              <w:left w:val="nil"/>
              <w:bottom w:val="single" w:sz="4" w:space="0" w:color="auto"/>
              <w:right w:val="single" w:sz="4" w:space="0" w:color="auto"/>
            </w:tcBorders>
            <w:noWrap/>
            <w:vAlign w:val="center"/>
            <w:hideMark/>
          </w:tcPr>
          <w:p w14:paraId="256509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ILIRSKA BISTRICA</w:t>
            </w:r>
          </w:p>
        </w:tc>
      </w:tr>
      <w:tr w:rsidR="00F24E18" w14:paraId="715072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0674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256</w:t>
            </w:r>
          </w:p>
        </w:tc>
        <w:tc>
          <w:tcPr>
            <w:tcW w:w="1300" w:type="dxa"/>
            <w:tcBorders>
              <w:top w:val="nil"/>
              <w:left w:val="nil"/>
              <w:bottom w:val="single" w:sz="4" w:space="0" w:color="auto"/>
              <w:right w:val="single" w:sz="4" w:space="0" w:color="auto"/>
            </w:tcBorders>
            <w:noWrap/>
            <w:vAlign w:val="center"/>
            <w:hideMark/>
          </w:tcPr>
          <w:p w14:paraId="2BA16A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5083087000</w:t>
            </w:r>
          </w:p>
        </w:tc>
        <w:tc>
          <w:tcPr>
            <w:tcW w:w="1012" w:type="dxa"/>
            <w:tcBorders>
              <w:top w:val="nil"/>
              <w:left w:val="nil"/>
              <w:bottom w:val="single" w:sz="4" w:space="0" w:color="auto"/>
              <w:right w:val="single" w:sz="4" w:space="0" w:color="auto"/>
            </w:tcBorders>
            <w:noWrap/>
            <w:vAlign w:val="center"/>
            <w:hideMark/>
          </w:tcPr>
          <w:p w14:paraId="6A8C2F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85120065</w:t>
            </w:r>
          </w:p>
        </w:tc>
        <w:tc>
          <w:tcPr>
            <w:tcW w:w="5953" w:type="dxa"/>
            <w:tcBorders>
              <w:top w:val="nil"/>
              <w:left w:val="nil"/>
              <w:bottom w:val="single" w:sz="4" w:space="0" w:color="auto"/>
              <w:right w:val="single" w:sz="4" w:space="0" w:color="auto"/>
            </w:tcBorders>
            <w:noWrap/>
            <w:vAlign w:val="center"/>
            <w:hideMark/>
          </w:tcPr>
          <w:p w14:paraId="1EFD2A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KAMNIK</w:t>
            </w:r>
          </w:p>
        </w:tc>
      </w:tr>
      <w:tr w:rsidR="00F24E18" w14:paraId="21D425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521E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257</w:t>
            </w:r>
          </w:p>
        </w:tc>
        <w:tc>
          <w:tcPr>
            <w:tcW w:w="1300" w:type="dxa"/>
            <w:tcBorders>
              <w:top w:val="nil"/>
              <w:left w:val="nil"/>
              <w:bottom w:val="single" w:sz="4" w:space="0" w:color="auto"/>
              <w:right w:val="single" w:sz="4" w:space="0" w:color="auto"/>
            </w:tcBorders>
            <w:noWrap/>
            <w:vAlign w:val="center"/>
            <w:hideMark/>
          </w:tcPr>
          <w:p w14:paraId="0774C5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5087236000</w:t>
            </w:r>
          </w:p>
        </w:tc>
        <w:tc>
          <w:tcPr>
            <w:tcW w:w="1012" w:type="dxa"/>
            <w:tcBorders>
              <w:top w:val="nil"/>
              <w:left w:val="nil"/>
              <w:bottom w:val="single" w:sz="4" w:space="0" w:color="auto"/>
              <w:right w:val="single" w:sz="4" w:space="0" w:color="auto"/>
            </w:tcBorders>
            <w:noWrap/>
            <w:vAlign w:val="center"/>
            <w:hideMark/>
          </w:tcPr>
          <w:p w14:paraId="25C361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83834672</w:t>
            </w:r>
          </w:p>
        </w:tc>
        <w:tc>
          <w:tcPr>
            <w:tcW w:w="5953" w:type="dxa"/>
            <w:tcBorders>
              <w:top w:val="nil"/>
              <w:left w:val="nil"/>
              <w:bottom w:val="single" w:sz="4" w:space="0" w:color="auto"/>
              <w:right w:val="single" w:sz="4" w:space="0" w:color="auto"/>
            </w:tcBorders>
            <w:noWrap/>
            <w:vAlign w:val="center"/>
            <w:hideMark/>
          </w:tcPr>
          <w:p w14:paraId="538B4B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KAROL PAHOR PTUJ</w:t>
            </w:r>
          </w:p>
        </w:tc>
      </w:tr>
      <w:tr w:rsidR="00F24E18" w14:paraId="3CA8B6E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B38F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258</w:t>
            </w:r>
          </w:p>
        </w:tc>
        <w:tc>
          <w:tcPr>
            <w:tcW w:w="1300" w:type="dxa"/>
            <w:tcBorders>
              <w:top w:val="nil"/>
              <w:left w:val="nil"/>
              <w:bottom w:val="single" w:sz="4" w:space="0" w:color="auto"/>
              <w:right w:val="single" w:sz="4" w:space="0" w:color="auto"/>
            </w:tcBorders>
            <w:noWrap/>
            <w:vAlign w:val="center"/>
            <w:hideMark/>
          </w:tcPr>
          <w:p w14:paraId="1D8EC2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5083109000</w:t>
            </w:r>
          </w:p>
        </w:tc>
        <w:tc>
          <w:tcPr>
            <w:tcW w:w="1012" w:type="dxa"/>
            <w:tcBorders>
              <w:top w:val="nil"/>
              <w:left w:val="nil"/>
              <w:bottom w:val="single" w:sz="4" w:space="0" w:color="auto"/>
              <w:right w:val="single" w:sz="4" w:space="0" w:color="auto"/>
            </w:tcBorders>
            <w:noWrap/>
            <w:vAlign w:val="center"/>
            <w:hideMark/>
          </w:tcPr>
          <w:p w14:paraId="08D766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99694891</w:t>
            </w:r>
          </w:p>
        </w:tc>
        <w:tc>
          <w:tcPr>
            <w:tcW w:w="5953" w:type="dxa"/>
            <w:tcBorders>
              <w:top w:val="nil"/>
              <w:left w:val="nil"/>
              <w:bottom w:val="single" w:sz="4" w:space="0" w:color="auto"/>
              <w:right w:val="single" w:sz="4" w:space="0" w:color="auto"/>
            </w:tcBorders>
            <w:noWrap/>
            <w:vAlign w:val="center"/>
            <w:hideMark/>
          </w:tcPr>
          <w:p w14:paraId="4A9120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KOČEVJE</w:t>
            </w:r>
          </w:p>
        </w:tc>
      </w:tr>
      <w:tr w:rsidR="00F24E18" w14:paraId="0EBB9F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7DAC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259</w:t>
            </w:r>
          </w:p>
        </w:tc>
        <w:tc>
          <w:tcPr>
            <w:tcW w:w="1300" w:type="dxa"/>
            <w:tcBorders>
              <w:top w:val="nil"/>
              <w:left w:val="nil"/>
              <w:bottom w:val="single" w:sz="4" w:space="0" w:color="auto"/>
              <w:right w:val="single" w:sz="4" w:space="0" w:color="auto"/>
            </w:tcBorders>
            <w:noWrap/>
            <w:vAlign w:val="center"/>
            <w:hideMark/>
          </w:tcPr>
          <w:p w14:paraId="034DFD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5083184000</w:t>
            </w:r>
          </w:p>
        </w:tc>
        <w:tc>
          <w:tcPr>
            <w:tcW w:w="1012" w:type="dxa"/>
            <w:tcBorders>
              <w:top w:val="nil"/>
              <w:left w:val="nil"/>
              <w:bottom w:val="single" w:sz="4" w:space="0" w:color="auto"/>
              <w:right w:val="single" w:sz="4" w:space="0" w:color="auto"/>
            </w:tcBorders>
            <w:noWrap/>
            <w:vAlign w:val="center"/>
            <w:hideMark/>
          </w:tcPr>
          <w:p w14:paraId="6214B1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63820749</w:t>
            </w:r>
          </w:p>
        </w:tc>
        <w:tc>
          <w:tcPr>
            <w:tcW w:w="5953" w:type="dxa"/>
            <w:tcBorders>
              <w:top w:val="nil"/>
              <w:left w:val="nil"/>
              <w:bottom w:val="single" w:sz="4" w:space="0" w:color="auto"/>
              <w:right w:val="single" w:sz="4" w:space="0" w:color="auto"/>
            </w:tcBorders>
            <w:noWrap/>
            <w:vAlign w:val="center"/>
            <w:hideMark/>
          </w:tcPr>
          <w:p w14:paraId="4ED9A5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KOPER SCUOLA DI MUSICA CAPODISTRIA</w:t>
            </w:r>
          </w:p>
        </w:tc>
      </w:tr>
      <w:tr w:rsidR="00F24E18" w14:paraId="25FAE4B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F1BA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260</w:t>
            </w:r>
          </w:p>
        </w:tc>
        <w:tc>
          <w:tcPr>
            <w:tcW w:w="1300" w:type="dxa"/>
            <w:tcBorders>
              <w:top w:val="nil"/>
              <w:left w:val="nil"/>
              <w:bottom w:val="single" w:sz="4" w:space="0" w:color="auto"/>
              <w:right w:val="single" w:sz="4" w:space="0" w:color="auto"/>
            </w:tcBorders>
            <w:noWrap/>
            <w:vAlign w:val="center"/>
            <w:hideMark/>
          </w:tcPr>
          <w:p w14:paraId="2A8EB3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5083273000</w:t>
            </w:r>
          </w:p>
        </w:tc>
        <w:tc>
          <w:tcPr>
            <w:tcW w:w="1012" w:type="dxa"/>
            <w:tcBorders>
              <w:top w:val="nil"/>
              <w:left w:val="nil"/>
              <w:bottom w:val="single" w:sz="4" w:space="0" w:color="auto"/>
              <w:right w:val="single" w:sz="4" w:space="0" w:color="auto"/>
            </w:tcBorders>
            <w:noWrap/>
            <w:vAlign w:val="center"/>
            <w:hideMark/>
          </w:tcPr>
          <w:p w14:paraId="3F862E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89649001</w:t>
            </w:r>
          </w:p>
        </w:tc>
        <w:tc>
          <w:tcPr>
            <w:tcW w:w="5953" w:type="dxa"/>
            <w:tcBorders>
              <w:top w:val="nil"/>
              <w:left w:val="nil"/>
              <w:bottom w:val="single" w:sz="4" w:space="0" w:color="auto"/>
              <w:right w:val="single" w:sz="4" w:space="0" w:color="auto"/>
            </w:tcBorders>
            <w:noWrap/>
            <w:vAlign w:val="center"/>
            <w:hideMark/>
          </w:tcPr>
          <w:p w14:paraId="19A9E6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KRANJ</w:t>
            </w:r>
          </w:p>
        </w:tc>
      </w:tr>
      <w:tr w:rsidR="00F24E18" w14:paraId="2D1293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25A5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261</w:t>
            </w:r>
          </w:p>
        </w:tc>
        <w:tc>
          <w:tcPr>
            <w:tcW w:w="1300" w:type="dxa"/>
            <w:tcBorders>
              <w:top w:val="nil"/>
              <w:left w:val="nil"/>
              <w:bottom w:val="single" w:sz="4" w:space="0" w:color="auto"/>
              <w:right w:val="single" w:sz="4" w:space="0" w:color="auto"/>
            </w:tcBorders>
            <w:noWrap/>
            <w:vAlign w:val="center"/>
            <w:hideMark/>
          </w:tcPr>
          <w:p w14:paraId="30521C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5085055000</w:t>
            </w:r>
          </w:p>
        </w:tc>
        <w:tc>
          <w:tcPr>
            <w:tcW w:w="1012" w:type="dxa"/>
            <w:tcBorders>
              <w:top w:val="nil"/>
              <w:left w:val="nil"/>
              <w:bottom w:val="single" w:sz="4" w:space="0" w:color="auto"/>
              <w:right w:val="single" w:sz="4" w:space="0" w:color="auto"/>
            </w:tcBorders>
            <w:noWrap/>
            <w:vAlign w:val="center"/>
            <w:hideMark/>
          </w:tcPr>
          <w:p w14:paraId="592C1D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73939641</w:t>
            </w:r>
          </w:p>
        </w:tc>
        <w:tc>
          <w:tcPr>
            <w:tcW w:w="5953" w:type="dxa"/>
            <w:tcBorders>
              <w:top w:val="nil"/>
              <w:left w:val="nil"/>
              <w:bottom w:val="single" w:sz="4" w:space="0" w:color="auto"/>
              <w:right w:val="single" w:sz="4" w:space="0" w:color="auto"/>
            </w:tcBorders>
            <w:noWrap/>
            <w:vAlign w:val="center"/>
            <w:hideMark/>
          </w:tcPr>
          <w:p w14:paraId="0C8388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KRŠKO</w:t>
            </w:r>
          </w:p>
        </w:tc>
      </w:tr>
      <w:tr w:rsidR="00F24E18" w14:paraId="02DC82F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C3A8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262</w:t>
            </w:r>
          </w:p>
        </w:tc>
        <w:tc>
          <w:tcPr>
            <w:tcW w:w="1300" w:type="dxa"/>
            <w:tcBorders>
              <w:top w:val="nil"/>
              <w:left w:val="nil"/>
              <w:bottom w:val="single" w:sz="4" w:space="0" w:color="auto"/>
              <w:right w:val="single" w:sz="4" w:space="0" w:color="auto"/>
            </w:tcBorders>
            <w:noWrap/>
            <w:vAlign w:val="center"/>
            <w:hideMark/>
          </w:tcPr>
          <w:p w14:paraId="393359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5089778000</w:t>
            </w:r>
          </w:p>
        </w:tc>
        <w:tc>
          <w:tcPr>
            <w:tcW w:w="1012" w:type="dxa"/>
            <w:tcBorders>
              <w:top w:val="nil"/>
              <w:left w:val="nil"/>
              <w:bottom w:val="single" w:sz="4" w:space="0" w:color="auto"/>
              <w:right w:val="single" w:sz="4" w:space="0" w:color="auto"/>
            </w:tcBorders>
            <w:noWrap/>
            <w:vAlign w:val="center"/>
            <w:hideMark/>
          </w:tcPr>
          <w:p w14:paraId="01FF09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42272459</w:t>
            </w:r>
          </w:p>
        </w:tc>
        <w:tc>
          <w:tcPr>
            <w:tcW w:w="5953" w:type="dxa"/>
            <w:tcBorders>
              <w:top w:val="nil"/>
              <w:left w:val="nil"/>
              <w:bottom w:val="single" w:sz="4" w:space="0" w:color="auto"/>
              <w:right w:val="single" w:sz="4" w:space="0" w:color="auto"/>
            </w:tcBorders>
            <w:noWrap/>
            <w:vAlign w:val="center"/>
            <w:hideMark/>
          </w:tcPr>
          <w:p w14:paraId="300D21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LENDAVA ZENEISKOLA LENDVA</w:t>
            </w:r>
          </w:p>
        </w:tc>
      </w:tr>
      <w:tr w:rsidR="00F24E18" w14:paraId="6BED43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99B2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w:t>
            </w:r>
          </w:p>
        </w:tc>
        <w:tc>
          <w:tcPr>
            <w:tcW w:w="1300" w:type="dxa"/>
            <w:tcBorders>
              <w:top w:val="nil"/>
              <w:left w:val="nil"/>
              <w:bottom w:val="single" w:sz="4" w:space="0" w:color="auto"/>
              <w:right w:val="single" w:sz="4" w:space="0" w:color="auto"/>
            </w:tcBorders>
            <w:noWrap/>
            <w:vAlign w:val="center"/>
            <w:hideMark/>
          </w:tcPr>
          <w:p w14:paraId="0370E1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5090156000</w:t>
            </w:r>
          </w:p>
        </w:tc>
        <w:tc>
          <w:tcPr>
            <w:tcW w:w="1012" w:type="dxa"/>
            <w:tcBorders>
              <w:top w:val="nil"/>
              <w:left w:val="nil"/>
              <w:bottom w:val="single" w:sz="4" w:space="0" w:color="auto"/>
              <w:right w:val="single" w:sz="4" w:space="0" w:color="auto"/>
            </w:tcBorders>
            <w:noWrap/>
            <w:vAlign w:val="center"/>
            <w:hideMark/>
          </w:tcPr>
          <w:p w14:paraId="1C8C66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16555333</w:t>
            </w:r>
          </w:p>
        </w:tc>
        <w:tc>
          <w:tcPr>
            <w:tcW w:w="5953" w:type="dxa"/>
            <w:tcBorders>
              <w:top w:val="nil"/>
              <w:left w:val="nil"/>
              <w:bottom w:val="single" w:sz="4" w:space="0" w:color="auto"/>
              <w:right w:val="single" w:sz="4" w:space="0" w:color="auto"/>
            </w:tcBorders>
            <w:noWrap/>
            <w:vAlign w:val="center"/>
            <w:hideMark/>
          </w:tcPr>
          <w:p w14:paraId="5152AE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LJUBLJANA MOSTE-POLJE</w:t>
            </w:r>
          </w:p>
        </w:tc>
      </w:tr>
      <w:tr w:rsidR="00F24E18" w14:paraId="5AE34C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39F6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264</w:t>
            </w:r>
          </w:p>
        </w:tc>
        <w:tc>
          <w:tcPr>
            <w:tcW w:w="1300" w:type="dxa"/>
            <w:tcBorders>
              <w:top w:val="nil"/>
              <w:left w:val="nil"/>
              <w:bottom w:val="single" w:sz="4" w:space="0" w:color="auto"/>
              <w:right w:val="single" w:sz="4" w:space="0" w:color="auto"/>
            </w:tcBorders>
            <w:noWrap/>
            <w:vAlign w:val="center"/>
            <w:hideMark/>
          </w:tcPr>
          <w:p w14:paraId="32B13C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5088810000</w:t>
            </w:r>
          </w:p>
        </w:tc>
        <w:tc>
          <w:tcPr>
            <w:tcW w:w="1012" w:type="dxa"/>
            <w:tcBorders>
              <w:top w:val="nil"/>
              <w:left w:val="nil"/>
              <w:bottom w:val="single" w:sz="4" w:space="0" w:color="auto"/>
              <w:right w:val="single" w:sz="4" w:space="0" w:color="auto"/>
            </w:tcBorders>
            <w:noWrap/>
            <w:vAlign w:val="center"/>
            <w:hideMark/>
          </w:tcPr>
          <w:p w14:paraId="545C6B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29129095</w:t>
            </w:r>
          </w:p>
        </w:tc>
        <w:tc>
          <w:tcPr>
            <w:tcW w:w="5953" w:type="dxa"/>
            <w:tcBorders>
              <w:top w:val="nil"/>
              <w:left w:val="nil"/>
              <w:bottom w:val="single" w:sz="4" w:space="0" w:color="auto"/>
              <w:right w:val="single" w:sz="4" w:space="0" w:color="auto"/>
            </w:tcBorders>
            <w:noWrap/>
            <w:vAlign w:val="center"/>
            <w:hideMark/>
          </w:tcPr>
          <w:p w14:paraId="78A7DD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LJUBLJANA VIČ-RUDNIK</w:t>
            </w:r>
          </w:p>
        </w:tc>
      </w:tr>
      <w:tr w:rsidR="00F24E18" w14:paraId="2F90E5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F28C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265</w:t>
            </w:r>
          </w:p>
        </w:tc>
        <w:tc>
          <w:tcPr>
            <w:tcW w:w="1300" w:type="dxa"/>
            <w:tcBorders>
              <w:top w:val="nil"/>
              <w:left w:val="nil"/>
              <w:bottom w:val="single" w:sz="4" w:space="0" w:color="auto"/>
              <w:right w:val="single" w:sz="4" w:space="0" w:color="auto"/>
            </w:tcBorders>
            <w:noWrap/>
            <w:vAlign w:val="center"/>
            <w:hideMark/>
          </w:tcPr>
          <w:p w14:paraId="5FF667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5086400000</w:t>
            </w:r>
          </w:p>
        </w:tc>
        <w:tc>
          <w:tcPr>
            <w:tcW w:w="1012" w:type="dxa"/>
            <w:tcBorders>
              <w:top w:val="nil"/>
              <w:left w:val="nil"/>
              <w:bottom w:val="single" w:sz="4" w:space="0" w:color="auto"/>
              <w:right w:val="single" w:sz="4" w:space="0" w:color="auto"/>
            </w:tcBorders>
            <w:noWrap/>
            <w:vAlign w:val="center"/>
            <w:hideMark/>
          </w:tcPr>
          <w:p w14:paraId="0AFD50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87901706</w:t>
            </w:r>
          </w:p>
        </w:tc>
        <w:tc>
          <w:tcPr>
            <w:tcW w:w="5953" w:type="dxa"/>
            <w:tcBorders>
              <w:top w:val="nil"/>
              <w:left w:val="nil"/>
              <w:bottom w:val="single" w:sz="4" w:space="0" w:color="auto"/>
              <w:right w:val="single" w:sz="4" w:space="0" w:color="auto"/>
            </w:tcBorders>
            <w:noWrap/>
            <w:vAlign w:val="center"/>
            <w:hideMark/>
          </w:tcPr>
          <w:p w14:paraId="32F301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MARJANA KOZINE NOVO MESTO</w:t>
            </w:r>
          </w:p>
        </w:tc>
      </w:tr>
      <w:tr w:rsidR="00F24E18" w14:paraId="3CEF8A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CC01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266</w:t>
            </w:r>
          </w:p>
        </w:tc>
        <w:tc>
          <w:tcPr>
            <w:tcW w:w="1300" w:type="dxa"/>
            <w:tcBorders>
              <w:top w:val="nil"/>
              <w:left w:val="nil"/>
              <w:bottom w:val="single" w:sz="4" w:space="0" w:color="auto"/>
              <w:right w:val="single" w:sz="4" w:space="0" w:color="auto"/>
            </w:tcBorders>
            <w:noWrap/>
            <w:vAlign w:val="center"/>
            <w:hideMark/>
          </w:tcPr>
          <w:p w14:paraId="015015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5085756000</w:t>
            </w:r>
          </w:p>
        </w:tc>
        <w:tc>
          <w:tcPr>
            <w:tcW w:w="1012" w:type="dxa"/>
            <w:tcBorders>
              <w:top w:val="nil"/>
              <w:left w:val="nil"/>
              <w:bottom w:val="single" w:sz="4" w:space="0" w:color="auto"/>
              <w:right w:val="single" w:sz="4" w:space="0" w:color="auto"/>
            </w:tcBorders>
            <w:noWrap/>
            <w:vAlign w:val="center"/>
            <w:hideMark/>
          </w:tcPr>
          <w:p w14:paraId="784568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79064540</w:t>
            </w:r>
          </w:p>
        </w:tc>
        <w:tc>
          <w:tcPr>
            <w:tcW w:w="5953" w:type="dxa"/>
            <w:tcBorders>
              <w:top w:val="nil"/>
              <w:left w:val="nil"/>
              <w:bottom w:val="single" w:sz="4" w:space="0" w:color="auto"/>
              <w:right w:val="single" w:sz="4" w:space="0" w:color="auto"/>
            </w:tcBorders>
            <w:noWrap/>
            <w:vAlign w:val="center"/>
            <w:hideMark/>
          </w:tcPr>
          <w:p w14:paraId="19BB2E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MURSKA SOBOTA</w:t>
            </w:r>
          </w:p>
        </w:tc>
      </w:tr>
      <w:tr w:rsidR="00F24E18" w14:paraId="4B19989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AD61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267</w:t>
            </w:r>
          </w:p>
        </w:tc>
        <w:tc>
          <w:tcPr>
            <w:tcW w:w="1300" w:type="dxa"/>
            <w:tcBorders>
              <w:top w:val="nil"/>
              <w:left w:val="nil"/>
              <w:bottom w:val="single" w:sz="4" w:space="0" w:color="auto"/>
              <w:right w:val="single" w:sz="4" w:space="0" w:color="auto"/>
            </w:tcBorders>
            <w:noWrap/>
            <w:vAlign w:val="center"/>
            <w:hideMark/>
          </w:tcPr>
          <w:p w14:paraId="3286E7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5086434000</w:t>
            </w:r>
          </w:p>
        </w:tc>
        <w:tc>
          <w:tcPr>
            <w:tcW w:w="1012" w:type="dxa"/>
            <w:tcBorders>
              <w:top w:val="nil"/>
              <w:left w:val="nil"/>
              <w:bottom w:val="single" w:sz="4" w:space="0" w:color="auto"/>
              <w:right w:val="single" w:sz="4" w:space="0" w:color="auto"/>
            </w:tcBorders>
            <w:noWrap/>
            <w:vAlign w:val="center"/>
            <w:hideMark/>
          </w:tcPr>
          <w:p w14:paraId="7C6FEC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87546698</w:t>
            </w:r>
          </w:p>
        </w:tc>
        <w:tc>
          <w:tcPr>
            <w:tcW w:w="5953" w:type="dxa"/>
            <w:tcBorders>
              <w:top w:val="nil"/>
              <w:left w:val="nil"/>
              <w:bottom w:val="single" w:sz="4" w:space="0" w:color="auto"/>
              <w:right w:val="single" w:sz="4" w:space="0" w:color="auto"/>
            </w:tcBorders>
            <w:noWrap/>
            <w:vAlign w:val="center"/>
            <w:hideMark/>
          </w:tcPr>
          <w:p w14:paraId="6CDBE6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ORMOŽ</w:t>
            </w:r>
          </w:p>
        </w:tc>
      </w:tr>
      <w:tr w:rsidR="00F24E18" w14:paraId="40E371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FF05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268</w:t>
            </w:r>
          </w:p>
        </w:tc>
        <w:tc>
          <w:tcPr>
            <w:tcW w:w="1300" w:type="dxa"/>
            <w:tcBorders>
              <w:top w:val="nil"/>
              <w:left w:val="nil"/>
              <w:bottom w:val="single" w:sz="4" w:space="0" w:color="auto"/>
              <w:right w:val="single" w:sz="4" w:space="0" w:color="auto"/>
            </w:tcBorders>
            <w:noWrap/>
            <w:vAlign w:val="center"/>
            <w:hideMark/>
          </w:tcPr>
          <w:p w14:paraId="658713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5086965000</w:t>
            </w:r>
          </w:p>
        </w:tc>
        <w:tc>
          <w:tcPr>
            <w:tcW w:w="1012" w:type="dxa"/>
            <w:tcBorders>
              <w:top w:val="nil"/>
              <w:left w:val="nil"/>
              <w:bottom w:val="single" w:sz="4" w:space="0" w:color="auto"/>
              <w:right w:val="single" w:sz="4" w:space="0" w:color="auto"/>
            </w:tcBorders>
            <w:noWrap/>
            <w:vAlign w:val="center"/>
            <w:hideMark/>
          </w:tcPr>
          <w:p w14:paraId="09F3C5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82076910</w:t>
            </w:r>
          </w:p>
        </w:tc>
        <w:tc>
          <w:tcPr>
            <w:tcW w:w="5953" w:type="dxa"/>
            <w:tcBorders>
              <w:top w:val="nil"/>
              <w:left w:val="nil"/>
              <w:bottom w:val="single" w:sz="4" w:space="0" w:color="auto"/>
              <w:right w:val="single" w:sz="4" w:space="0" w:color="auto"/>
            </w:tcBorders>
            <w:noWrap/>
            <w:vAlign w:val="center"/>
            <w:hideMark/>
          </w:tcPr>
          <w:p w14:paraId="67E114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POSTOJNA</w:t>
            </w:r>
          </w:p>
        </w:tc>
      </w:tr>
      <w:tr w:rsidR="00F24E18" w14:paraId="22279D4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8B61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269</w:t>
            </w:r>
          </w:p>
        </w:tc>
        <w:tc>
          <w:tcPr>
            <w:tcW w:w="1300" w:type="dxa"/>
            <w:tcBorders>
              <w:top w:val="nil"/>
              <w:left w:val="nil"/>
              <w:bottom w:val="single" w:sz="4" w:space="0" w:color="auto"/>
              <w:right w:val="single" w:sz="4" w:space="0" w:color="auto"/>
            </w:tcBorders>
            <w:noWrap/>
            <w:vAlign w:val="center"/>
            <w:hideMark/>
          </w:tcPr>
          <w:p w14:paraId="2E3836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5087350000</w:t>
            </w:r>
          </w:p>
        </w:tc>
        <w:tc>
          <w:tcPr>
            <w:tcW w:w="1012" w:type="dxa"/>
            <w:tcBorders>
              <w:top w:val="nil"/>
              <w:left w:val="nil"/>
              <w:bottom w:val="single" w:sz="4" w:space="0" w:color="auto"/>
              <w:right w:val="single" w:sz="4" w:space="0" w:color="auto"/>
            </w:tcBorders>
            <w:noWrap/>
            <w:vAlign w:val="center"/>
            <w:hideMark/>
          </w:tcPr>
          <w:p w14:paraId="3D9C67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28776950</w:t>
            </w:r>
          </w:p>
        </w:tc>
        <w:tc>
          <w:tcPr>
            <w:tcW w:w="5953" w:type="dxa"/>
            <w:tcBorders>
              <w:top w:val="nil"/>
              <w:left w:val="nil"/>
              <w:bottom w:val="single" w:sz="4" w:space="0" w:color="auto"/>
              <w:right w:val="single" w:sz="4" w:space="0" w:color="auto"/>
            </w:tcBorders>
            <w:noWrap/>
            <w:vAlign w:val="center"/>
            <w:hideMark/>
          </w:tcPr>
          <w:p w14:paraId="3443A5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RADOVLJICA</w:t>
            </w:r>
          </w:p>
        </w:tc>
      </w:tr>
      <w:tr w:rsidR="00F24E18" w14:paraId="560F20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C9B7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270</w:t>
            </w:r>
          </w:p>
        </w:tc>
        <w:tc>
          <w:tcPr>
            <w:tcW w:w="1300" w:type="dxa"/>
            <w:tcBorders>
              <w:top w:val="nil"/>
              <w:left w:val="nil"/>
              <w:bottom w:val="single" w:sz="4" w:space="0" w:color="auto"/>
              <w:right w:val="single" w:sz="4" w:space="0" w:color="auto"/>
            </w:tcBorders>
            <w:noWrap/>
            <w:vAlign w:val="center"/>
            <w:hideMark/>
          </w:tcPr>
          <w:p w14:paraId="299F51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5089310000</w:t>
            </w:r>
          </w:p>
        </w:tc>
        <w:tc>
          <w:tcPr>
            <w:tcW w:w="1012" w:type="dxa"/>
            <w:tcBorders>
              <w:top w:val="nil"/>
              <w:left w:val="nil"/>
              <w:bottom w:val="single" w:sz="4" w:space="0" w:color="auto"/>
              <w:right w:val="single" w:sz="4" w:space="0" w:color="auto"/>
            </w:tcBorders>
            <w:noWrap/>
            <w:vAlign w:val="center"/>
            <w:hideMark/>
          </w:tcPr>
          <w:p w14:paraId="60089E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59083204</w:t>
            </w:r>
          </w:p>
        </w:tc>
        <w:tc>
          <w:tcPr>
            <w:tcW w:w="5953" w:type="dxa"/>
            <w:tcBorders>
              <w:top w:val="nil"/>
              <w:left w:val="nil"/>
              <w:bottom w:val="single" w:sz="4" w:space="0" w:color="auto"/>
              <w:right w:val="single" w:sz="4" w:space="0" w:color="auto"/>
            </w:tcBorders>
            <w:noWrap/>
            <w:vAlign w:val="center"/>
            <w:hideMark/>
          </w:tcPr>
          <w:p w14:paraId="45AB41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RIBNICA</w:t>
            </w:r>
          </w:p>
        </w:tc>
      </w:tr>
      <w:tr w:rsidR="00F24E18" w14:paraId="6803061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5A46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271</w:t>
            </w:r>
          </w:p>
        </w:tc>
        <w:tc>
          <w:tcPr>
            <w:tcW w:w="1300" w:type="dxa"/>
            <w:tcBorders>
              <w:top w:val="nil"/>
              <w:left w:val="nil"/>
              <w:bottom w:val="single" w:sz="4" w:space="0" w:color="auto"/>
              <w:right w:val="single" w:sz="4" w:space="0" w:color="auto"/>
            </w:tcBorders>
            <w:noWrap/>
            <w:vAlign w:val="center"/>
            <w:hideMark/>
          </w:tcPr>
          <w:p w14:paraId="2B4FF3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1451227000</w:t>
            </w:r>
          </w:p>
        </w:tc>
        <w:tc>
          <w:tcPr>
            <w:tcW w:w="1012" w:type="dxa"/>
            <w:tcBorders>
              <w:top w:val="nil"/>
              <w:left w:val="nil"/>
              <w:bottom w:val="single" w:sz="4" w:space="0" w:color="auto"/>
              <w:right w:val="single" w:sz="4" w:space="0" w:color="auto"/>
            </w:tcBorders>
            <w:noWrap/>
            <w:vAlign w:val="center"/>
            <w:hideMark/>
          </w:tcPr>
          <w:p w14:paraId="353F01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61431702</w:t>
            </w:r>
          </w:p>
        </w:tc>
        <w:tc>
          <w:tcPr>
            <w:tcW w:w="5953" w:type="dxa"/>
            <w:tcBorders>
              <w:top w:val="nil"/>
              <w:left w:val="nil"/>
              <w:bottom w:val="single" w:sz="4" w:space="0" w:color="auto"/>
              <w:right w:val="single" w:sz="4" w:space="0" w:color="auto"/>
            </w:tcBorders>
            <w:noWrap/>
            <w:vAlign w:val="center"/>
            <w:hideMark/>
          </w:tcPr>
          <w:p w14:paraId="4D1CE1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SEVNICA</w:t>
            </w:r>
          </w:p>
        </w:tc>
      </w:tr>
      <w:tr w:rsidR="00F24E18" w14:paraId="6A7C91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0EB6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272</w:t>
            </w:r>
          </w:p>
        </w:tc>
        <w:tc>
          <w:tcPr>
            <w:tcW w:w="1300" w:type="dxa"/>
            <w:tcBorders>
              <w:top w:val="nil"/>
              <w:left w:val="nil"/>
              <w:bottom w:val="single" w:sz="4" w:space="0" w:color="auto"/>
              <w:right w:val="single" w:sz="4" w:space="0" w:color="auto"/>
            </w:tcBorders>
            <w:noWrap/>
            <w:vAlign w:val="center"/>
            <w:hideMark/>
          </w:tcPr>
          <w:p w14:paraId="6A7520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5210445000</w:t>
            </w:r>
          </w:p>
        </w:tc>
        <w:tc>
          <w:tcPr>
            <w:tcW w:w="1012" w:type="dxa"/>
            <w:tcBorders>
              <w:top w:val="nil"/>
              <w:left w:val="nil"/>
              <w:bottom w:val="single" w:sz="4" w:space="0" w:color="auto"/>
              <w:right w:val="single" w:sz="4" w:space="0" w:color="auto"/>
            </w:tcBorders>
            <w:noWrap/>
            <w:vAlign w:val="center"/>
            <w:hideMark/>
          </w:tcPr>
          <w:p w14:paraId="2A6188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23814063</w:t>
            </w:r>
          </w:p>
        </w:tc>
        <w:tc>
          <w:tcPr>
            <w:tcW w:w="5953" w:type="dxa"/>
            <w:tcBorders>
              <w:top w:val="nil"/>
              <w:left w:val="nil"/>
              <w:bottom w:val="single" w:sz="4" w:space="0" w:color="auto"/>
              <w:right w:val="single" w:sz="4" w:space="0" w:color="auto"/>
            </w:tcBorders>
            <w:noWrap/>
            <w:vAlign w:val="center"/>
            <w:hideMark/>
          </w:tcPr>
          <w:p w14:paraId="7ACB76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SEŽANA</w:t>
            </w:r>
          </w:p>
        </w:tc>
      </w:tr>
      <w:tr w:rsidR="00F24E18" w14:paraId="3C8B379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DF73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273</w:t>
            </w:r>
          </w:p>
        </w:tc>
        <w:tc>
          <w:tcPr>
            <w:tcW w:w="1300" w:type="dxa"/>
            <w:tcBorders>
              <w:top w:val="nil"/>
              <w:left w:val="nil"/>
              <w:bottom w:val="single" w:sz="4" w:space="0" w:color="auto"/>
              <w:right w:val="single" w:sz="4" w:space="0" w:color="auto"/>
            </w:tcBorders>
            <w:noWrap/>
            <w:vAlign w:val="center"/>
            <w:hideMark/>
          </w:tcPr>
          <w:p w14:paraId="626722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5007143000</w:t>
            </w:r>
          </w:p>
        </w:tc>
        <w:tc>
          <w:tcPr>
            <w:tcW w:w="1012" w:type="dxa"/>
            <w:tcBorders>
              <w:top w:val="nil"/>
              <w:left w:val="nil"/>
              <w:bottom w:val="single" w:sz="4" w:space="0" w:color="auto"/>
              <w:right w:val="single" w:sz="4" w:space="0" w:color="auto"/>
            </w:tcBorders>
            <w:noWrap/>
            <w:vAlign w:val="center"/>
            <w:hideMark/>
          </w:tcPr>
          <w:p w14:paraId="29A44F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84058609</w:t>
            </w:r>
          </w:p>
        </w:tc>
        <w:tc>
          <w:tcPr>
            <w:tcW w:w="5953" w:type="dxa"/>
            <w:tcBorders>
              <w:top w:val="nil"/>
              <w:left w:val="nil"/>
              <w:bottom w:val="single" w:sz="4" w:space="0" w:color="auto"/>
              <w:right w:val="single" w:sz="4" w:space="0" w:color="auto"/>
            </w:tcBorders>
            <w:noWrap/>
            <w:vAlign w:val="center"/>
            <w:hideMark/>
          </w:tcPr>
          <w:p w14:paraId="1F989B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SKLADATELJEV IPAVCEV ŠENTJUR</w:t>
            </w:r>
          </w:p>
        </w:tc>
      </w:tr>
      <w:tr w:rsidR="00F24E18" w14:paraId="424B5D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E042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274</w:t>
            </w:r>
          </w:p>
        </w:tc>
        <w:tc>
          <w:tcPr>
            <w:tcW w:w="1300" w:type="dxa"/>
            <w:tcBorders>
              <w:top w:val="nil"/>
              <w:left w:val="nil"/>
              <w:bottom w:val="single" w:sz="4" w:space="0" w:color="auto"/>
              <w:right w:val="single" w:sz="4" w:space="0" w:color="auto"/>
            </w:tcBorders>
            <w:noWrap/>
            <w:vAlign w:val="center"/>
            <w:hideMark/>
          </w:tcPr>
          <w:p w14:paraId="0D5378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5084679000</w:t>
            </w:r>
          </w:p>
        </w:tc>
        <w:tc>
          <w:tcPr>
            <w:tcW w:w="1012" w:type="dxa"/>
            <w:tcBorders>
              <w:top w:val="nil"/>
              <w:left w:val="nil"/>
              <w:bottom w:val="single" w:sz="4" w:space="0" w:color="auto"/>
              <w:right w:val="single" w:sz="4" w:space="0" w:color="auto"/>
            </w:tcBorders>
            <w:noWrap/>
            <w:vAlign w:val="center"/>
            <w:hideMark/>
          </w:tcPr>
          <w:p w14:paraId="564060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25923323</w:t>
            </w:r>
          </w:p>
        </w:tc>
        <w:tc>
          <w:tcPr>
            <w:tcW w:w="5953" w:type="dxa"/>
            <w:tcBorders>
              <w:top w:val="nil"/>
              <w:left w:val="nil"/>
              <w:bottom w:val="single" w:sz="4" w:space="0" w:color="auto"/>
              <w:right w:val="single" w:sz="4" w:space="0" w:color="auto"/>
            </w:tcBorders>
            <w:noWrap/>
            <w:vAlign w:val="center"/>
            <w:hideMark/>
          </w:tcPr>
          <w:p w14:paraId="7ED4BC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SLAVKA OSTERCA LJUTOMER</w:t>
            </w:r>
          </w:p>
        </w:tc>
      </w:tr>
      <w:tr w:rsidR="00F24E18" w14:paraId="196FD7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5990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275</w:t>
            </w:r>
          </w:p>
        </w:tc>
        <w:tc>
          <w:tcPr>
            <w:tcW w:w="1300" w:type="dxa"/>
            <w:tcBorders>
              <w:top w:val="nil"/>
              <w:left w:val="nil"/>
              <w:bottom w:val="single" w:sz="4" w:space="0" w:color="auto"/>
              <w:right w:val="single" w:sz="4" w:space="0" w:color="auto"/>
            </w:tcBorders>
            <w:vAlign w:val="center"/>
            <w:hideMark/>
          </w:tcPr>
          <w:p w14:paraId="6705BB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3768210000</w:t>
            </w:r>
          </w:p>
        </w:tc>
        <w:tc>
          <w:tcPr>
            <w:tcW w:w="1012" w:type="dxa"/>
            <w:tcBorders>
              <w:top w:val="nil"/>
              <w:left w:val="nil"/>
              <w:bottom w:val="single" w:sz="4" w:space="0" w:color="auto"/>
              <w:right w:val="single" w:sz="4" w:space="0" w:color="auto"/>
            </w:tcBorders>
            <w:vAlign w:val="center"/>
            <w:hideMark/>
          </w:tcPr>
          <w:p w14:paraId="62082E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96241446</w:t>
            </w:r>
          </w:p>
        </w:tc>
        <w:tc>
          <w:tcPr>
            <w:tcW w:w="5953" w:type="dxa"/>
            <w:tcBorders>
              <w:top w:val="nil"/>
              <w:left w:val="nil"/>
              <w:bottom w:val="single" w:sz="4" w:space="0" w:color="auto"/>
              <w:right w:val="single" w:sz="4" w:space="0" w:color="auto"/>
            </w:tcBorders>
            <w:noWrap/>
            <w:vAlign w:val="center"/>
            <w:hideMark/>
          </w:tcPr>
          <w:p w14:paraId="6EF71F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SLOVENSKA BISTRICA</w:t>
            </w:r>
          </w:p>
        </w:tc>
      </w:tr>
      <w:tr w:rsidR="00F24E18" w14:paraId="2B031E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B57F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276</w:t>
            </w:r>
          </w:p>
        </w:tc>
        <w:tc>
          <w:tcPr>
            <w:tcW w:w="1300" w:type="dxa"/>
            <w:tcBorders>
              <w:top w:val="nil"/>
              <w:left w:val="nil"/>
              <w:bottom w:val="single" w:sz="4" w:space="0" w:color="auto"/>
              <w:right w:val="single" w:sz="4" w:space="0" w:color="auto"/>
            </w:tcBorders>
            <w:noWrap/>
            <w:vAlign w:val="center"/>
            <w:hideMark/>
          </w:tcPr>
          <w:p w14:paraId="37E930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5087767000</w:t>
            </w:r>
          </w:p>
        </w:tc>
        <w:tc>
          <w:tcPr>
            <w:tcW w:w="1012" w:type="dxa"/>
            <w:tcBorders>
              <w:top w:val="nil"/>
              <w:left w:val="nil"/>
              <w:bottom w:val="single" w:sz="4" w:space="0" w:color="auto"/>
              <w:right w:val="single" w:sz="4" w:space="0" w:color="auto"/>
            </w:tcBorders>
            <w:noWrap/>
            <w:vAlign w:val="center"/>
            <w:hideMark/>
          </w:tcPr>
          <w:p w14:paraId="07FC91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70401268</w:t>
            </w:r>
          </w:p>
        </w:tc>
        <w:tc>
          <w:tcPr>
            <w:tcW w:w="5953" w:type="dxa"/>
            <w:tcBorders>
              <w:top w:val="nil"/>
              <w:left w:val="nil"/>
              <w:bottom w:val="single" w:sz="4" w:space="0" w:color="auto"/>
              <w:right w:val="single" w:sz="4" w:space="0" w:color="auto"/>
            </w:tcBorders>
            <w:noWrap/>
            <w:vAlign w:val="center"/>
            <w:hideMark/>
          </w:tcPr>
          <w:p w14:paraId="7F5CED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SLOVENSKE KONJICE</w:t>
            </w:r>
          </w:p>
        </w:tc>
      </w:tr>
      <w:tr w:rsidR="00F24E18" w14:paraId="4D035B0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B50D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277</w:t>
            </w:r>
          </w:p>
        </w:tc>
        <w:tc>
          <w:tcPr>
            <w:tcW w:w="1300" w:type="dxa"/>
            <w:tcBorders>
              <w:top w:val="nil"/>
              <w:left w:val="nil"/>
              <w:bottom w:val="single" w:sz="4" w:space="0" w:color="auto"/>
              <w:right w:val="single" w:sz="4" w:space="0" w:color="auto"/>
            </w:tcBorders>
            <w:noWrap/>
            <w:vAlign w:val="center"/>
            <w:hideMark/>
          </w:tcPr>
          <w:p w14:paraId="09D015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5087899000</w:t>
            </w:r>
          </w:p>
        </w:tc>
        <w:tc>
          <w:tcPr>
            <w:tcW w:w="1012" w:type="dxa"/>
            <w:tcBorders>
              <w:top w:val="nil"/>
              <w:left w:val="nil"/>
              <w:bottom w:val="single" w:sz="4" w:space="0" w:color="auto"/>
              <w:right w:val="single" w:sz="4" w:space="0" w:color="auto"/>
            </w:tcBorders>
            <w:noWrap/>
            <w:vAlign w:val="center"/>
            <w:hideMark/>
          </w:tcPr>
          <w:p w14:paraId="0ED62E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89665503</w:t>
            </w:r>
          </w:p>
        </w:tc>
        <w:tc>
          <w:tcPr>
            <w:tcW w:w="5953" w:type="dxa"/>
            <w:tcBorders>
              <w:top w:val="nil"/>
              <w:left w:val="nil"/>
              <w:bottom w:val="single" w:sz="4" w:space="0" w:color="auto"/>
              <w:right w:val="single" w:sz="4" w:space="0" w:color="auto"/>
            </w:tcBorders>
            <w:noWrap/>
            <w:vAlign w:val="center"/>
            <w:hideMark/>
          </w:tcPr>
          <w:p w14:paraId="49BF5A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ŠKOFJA LOKA</w:t>
            </w:r>
          </w:p>
        </w:tc>
      </w:tr>
      <w:tr w:rsidR="00F24E18" w14:paraId="57F8920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C6EA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278</w:t>
            </w:r>
          </w:p>
        </w:tc>
        <w:tc>
          <w:tcPr>
            <w:tcW w:w="1300" w:type="dxa"/>
            <w:tcBorders>
              <w:top w:val="nil"/>
              <w:left w:val="nil"/>
              <w:bottom w:val="single" w:sz="4" w:space="0" w:color="auto"/>
              <w:right w:val="single" w:sz="4" w:space="0" w:color="auto"/>
            </w:tcBorders>
            <w:noWrap/>
            <w:vAlign w:val="center"/>
            <w:hideMark/>
          </w:tcPr>
          <w:p w14:paraId="2E1BAF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5690919000</w:t>
            </w:r>
          </w:p>
        </w:tc>
        <w:tc>
          <w:tcPr>
            <w:tcW w:w="1012" w:type="dxa"/>
            <w:tcBorders>
              <w:top w:val="nil"/>
              <w:left w:val="nil"/>
              <w:bottom w:val="single" w:sz="4" w:space="0" w:color="auto"/>
              <w:right w:val="single" w:sz="4" w:space="0" w:color="auto"/>
            </w:tcBorders>
            <w:noWrap/>
            <w:vAlign w:val="center"/>
            <w:hideMark/>
          </w:tcPr>
          <w:p w14:paraId="7717C8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23727381</w:t>
            </w:r>
          </w:p>
        </w:tc>
        <w:tc>
          <w:tcPr>
            <w:tcW w:w="5953" w:type="dxa"/>
            <w:tcBorders>
              <w:top w:val="nil"/>
              <w:left w:val="nil"/>
              <w:bottom w:val="single" w:sz="4" w:space="0" w:color="auto"/>
              <w:right w:val="single" w:sz="4" w:space="0" w:color="auto"/>
            </w:tcBorders>
            <w:noWrap/>
            <w:vAlign w:val="center"/>
            <w:hideMark/>
          </w:tcPr>
          <w:p w14:paraId="666F54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TOLMIN</w:t>
            </w:r>
          </w:p>
        </w:tc>
      </w:tr>
      <w:tr w:rsidR="00F24E18" w14:paraId="16AF209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07C4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279</w:t>
            </w:r>
          </w:p>
        </w:tc>
        <w:tc>
          <w:tcPr>
            <w:tcW w:w="1300" w:type="dxa"/>
            <w:tcBorders>
              <w:top w:val="nil"/>
              <w:left w:val="nil"/>
              <w:bottom w:val="single" w:sz="4" w:space="0" w:color="auto"/>
              <w:right w:val="single" w:sz="4" w:space="0" w:color="auto"/>
            </w:tcBorders>
            <w:noWrap/>
            <w:vAlign w:val="center"/>
            <w:hideMark/>
          </w:tcPr>
          <w:p w14:paraId="231BA2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5088054000</w:t>
            </w:r>
          </w:p>
        </w:tc>
        <w:tc>
          <w:tcPr>
            <w:tcW w:w="1012" w:type="dxa"/>
            <w:tcBorders>
              <w:top w:val="nil"/>
              <w:left w:val="nil"/>
              <w:bottom w:val="single" w:sz="4" w:space="0" w:color="auto"/>
              <w:right w:val="single" w:sz="4" w:space="0" w:color="auto"/>
            </w:tcBorders>
            <w:noWrap/>
            <w:vAlign w:val="center"/>
            <w:hideMark/>
          </w:tcPr>
          <w:p w14:paraId="76311F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45428271</w:t>
            </w:r>
          </w:p>
        </w:tc>
        <w:tc>
          <w:tcPr>
            <w:tcW w:w="5953" w:type="dxa"/>
            <w:tcBorders>
              <w:top w:val="nil"/>
              <w:left w:val="nil"/>
              <w:bottom w:val="single" w:sz="4" w:space="0" w:color="auto"/>
              <w:right w:val="single" w:sz="4" w:space="0" w:color="auto"/>
            </w:tcBorders>
            <w:noWrap/>
            <w:vAlign w:val="center"/>
            <w:hideMark/>
          </w:tcPr>
          <w:p w14:paraId="559A2C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TRBOVLJE</w:t>
            </w:r>
          </w:p>
        </w:tc>
      </w:tr>
      <w:tr w:rsidR="00F24E18" w14:paraId="1C9F18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81FD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280</w:t>
            </w:r>
          </w:p>
        </w:tc>
        <w:tc>
          <w:tcPr>
            <w:tcW w:w="1300" w:type="dxa"/>
            <w:tcBorders>
              <w:top w:val="nil"/>
              <w:left w:val="nil"/>
              <w:bottom w:val="single" w:sz="4" w:space="0" w:color="auto"/>
              <w:right w:val="single" w:sz="4" w:space="0" w:color="auto"/>
            </w:tcBorders>
            <w:noWrap/>
            <w:vAlign w:val="center"/>
            <w:hideMark/>
          </w:tcPr>
          <w:p w14:paraId="30DD43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5796008000</w:t>
            </w:r>
          </w:p>
        </w:tc>
        <w:tc>
          <w:tcPr>
            <w:tcW w:w="1012" w:type="dxa"/>
            <w:tcBorders>
              <w:top w:val="nil"/>
              <w:left w:val="nil"/>
              <w:bottom w:val="single" w:sz="4" w:space="0" w:color="auto"/>
              <w:right w:val="single" w:sz="4" w:space="0" w:color="auto"/>
            </w:tcBorders>
            <w:noWrap/>
            <w:vAlign w:val="center"/>
            <w:hideMark/>
          </w:tcPr>
          <w:p w14:paraId="33665D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85946605</w:t>
            </w:r>
          </w:p>
        </w:tc>
        <w:tc>
          <w:tcPr>
            <w:tcW w:w="5953" w:type="dxa"/>
            <w:tcBorders>
              <w:top w:val="nil"/>
              <w:left w:val="nil"/>
              <w:bottom w:val="single" w:sz="4" w:space="0" w:color="auto"/>
              <w:right w:val="single" w:sz="4" w:space="0" w:color="auto"/>
            </w:tcBorders>
            <w:noWrap/>
            <w:vAlign w:val="center"/>
            <w:hideMark/>
          </w:tcPr>
          <w:p w14:paraId="7921B1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TREBNJE</w:t>
            </w:r>
          </w:p>
        </w:tc>
      </w:tr>
      <w:tr w:rsidR="00F24E18" w14:paraId="7679D5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68AD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281</w:t>
            </w:r>
          </w:p>
        </w:tc>
        <w:tc>
          <w:tcPr>
            <w:tcW w:w="1300" w:type="dxa"/>
            <w:tcBorders>
              <w:top w:val="nil"/>
              <w:left w:val="nil"/>
              <w:bottom w:val="single" w:sz="4" w:space="0" w:color="auto"/>
              <w:right w:val="single" w:sz="4" w:space="0" w:color="auto"/>
            </w:tcBorders>
            <w:noWrap/>
            <w:vAlign w:val="center"/>
            <w:hideMark/>
          </w:tcPr>
          <w:p w14:paraId="30DD06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5656001000</w:t>
            </w:r>
          </w:p>
        </w:tc>
        <w:tc>
          <w:tcPr>
            <w:tcW w:w="1012" w:type="dxa"/>
            <w:tcBorders>
              <w:top w:val="nil"/>
              <w:left w:val="nil"/>
              <w:bottom w:val="single" w:sz="4" w:space="0" w:color="auto"/>
              <w:right w:val="single" w:sz="4" w:space="0" w:color="auto"/>
            </w:tcBorders>
            <w:noWrap/>
            <w:vAlign w:val="center"/>
            <w:hideMark/>
          </w:tcPr>
          <w:p w14:paraId="2A55A9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92679064</w:t>
            </w:r>
          </w:p>
        </w:tc>
        <w:tc>
          <w:tcPr>
            <w:tcW w:w="5953" w:type="dxa"/>
            <w:tcBorders>
              <w:top w:val="nil"/>
              <w:left w:val="nil"/>
              <w:bottom w:val="single" w:sz="4" w:space="0" w:color="auto"/>
              <w:right w:val="single" w:sz="4" w:space="0" w:color="auto"/>
            </w:tcBorders>
            <w:noWrap/>
            <w:vAlign w:val="center"/>
            <w:hideMark/>
          </w:tcPr>
          <w:p w14:paraId="334198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TRŽIČ</w:t>
            </w:r>
          </w:p>
        </w:tc>
      </w:tr>
      <w:tr w:rsidR="00F24E18" w14:paraId="443FF3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0016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282</w:t>
            </w:r>
          </w:p>
        </w:tc>
        <w:tc>
          <w:tcPr>
            <w:tcW w:w="1300" w:type="dxa"/>
            <w:tcBorders>
              <w:top w:val="nil"/>
              <w:left w:val="nil"/>
              <w:bottom w:val="single" w:sz="4" w:space="0" w:color="auto"/>
              <w:right w:val="single" w:sz="4" w:space="0" w:color="auto"/>
            </w:tcBorders>
            <w:noWrap/>
            <w:vAlign w:val="center"/>
            <w:hideMark/>
          </w:tcPr>
          <w:p w14:paraId="0D622F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5082552000</w:t>
            </w:r>
          </w:p>
        </w:tc>
        <w:tc>
          <w:tcPr>
            <w:tcW w:w="1012" w:type="dxa"/>
            <w:tcBorders>
              <w:top w:val="nil"/>
              <w:left w:val="nil"/>
              <w:bottom w:val="single" w:sz="4" w:space="0" w:color="auto"/>
              <w:right w:val="single" w:sz="4" w:space="0" w:color="auto"/>
            </w:tcBorders>
            <w:noWrap/>
            <w:vAlign w:val="center"/>
            <w:hideMark/>
          </w:tcPr>
          <w:p w14:paraId="0AD284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18855202</w:t>
            </w:r>
          </w:p>
        </w:tc>
        <w:tc>
          <w:tcPr>
            <w:tcW w:w="5953" w:type="dxa"/>
            <w:tcBorders>
              <w:top w:val="nil"/>
              <w:left w:val="nil"/>
              <w:bottom w:val="single" w:sz="4" w:space="0" w:color="auto"/>
              <w:right w:val="single" w:sz="4" w:space="0" w:color="auto"/>
            </w:tcBorders>
            <w:noWrap/>
            <w:vAlign w:val="center"/>
            <w:hideMark/>
          </w:tcPr>
          <w:p w14:paraId="4925A5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VINKA VODOPIVCA AJDOVŠČINA</w:t>
            </w:r>
          </w:p>
        </w:tc>
      </w:tr>
      <w:tr w:rsidR="00F24E18" w14:paraId="7C676C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7D36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283</w:t>
            </w:r>
          </w:p>
        </w:tc>
        <w:tc>
          <w:tcPr>
            <w:tcW w:w="1300" w:type="dxa"/>
            <w:tcBorders>
              <w:top w:val="nil"/>
              <w:left w:val="nil"/>
              <w:bottom w:val="single" w:sz="4" w:space="0" w:color="auto"/>
              <w:right w:val="single" w:sz="4" w:space="0" w:color="auto"/>
            </w:tcBorders>
            <w:noWrap/>
            <w:vAlign w:val="center"/>
            <w:hideMark/>
          </w:tcPr>
          <w:p w14:paraId="328F1C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5009090000</w:t>
            </w:r>
          </w:p>
        </w:tc>
        <w:tc>
          <w:tcPr>
            <w:tcW w:w="1012" w:type="dxa"/>
            <w:tcBorders>
              <w:top w:val="nil"/>
              <w:left w:val="nil"/>
              <w:bottom w:val="single" w:sz="4" w:space="0" w:color="auto"/>
              <w:right w:val="single" w:sz="4" w:space="0" w:color="auto"/>
            </w:tcBorders>
            <w:noWrap/>
            <w:vAlign w:val="center"/>
            <w:hideMark/>
          </w:tcPr>
          <w:p w14:paraId="373C0F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16334213</w:t>
            </w:r>
          </w:p>
        </w:tc>
        <w:tc>
          <w:tcPr>
            <w:tcW w:w="5953" w:type="dxa"/>
            <w:tcBorders>
              <w:top w:val="nil"/>
              <w:left w:val="nil"/>
              <w:bottom w:val="single" w:sz="4" w:space="0" w:color="auto"/>
              <w:right w:val="single" w:sz="4" w:space="0" w:color="auto"/>
            </w:tcBorders>
            <w:noWrap/>
            <w:vAlign w:val="center"/>
            <w:hideMark/>
          </w:tcPr>
          <w:p w14:paraId="161D48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VRHNIKA</w:t>
            </w:r>
          </w:p>
        </w:tc>
      </w:tr>
      <w:tr w:rsidR="00F24E18" w14:paraId="4B9E9E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BB19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284</w:t>
            </w:r>
          </w:p>
        </w:tc>
        <w:tc>
          <w:tcPr>
            <w:tcW w:w="1300" w:type="dxa"/>
            <w:tcBorders>
              <w:top w:val="nil"/>
              <w:left w:val="nil"/>
              <w:bottom w:val="single" w:sz="4" w:space="0" w:color="auto"/>
              <w:right w:val="single" w:sz="4" w:space="0" w:color="auto"/>
            </w:tcBorders>
            <w:noWrap/>
            <w:vAlign w:val="center"/>
            <w:hideMark/>
          </w:tcPr>
          <w:p w14:paraId="72D43F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5088437000</w:t>
            </w:r>
          </w:p>
        </w:tc>
        <w:tc>
          <w:tcPr>
            <w:tcW w:w="1012" w:type="dxa"/>
            <w:tcBorders>
              <w:top w:val="nil"/>
              <w:left w:val="nil"/>
              <w:bottom w:val="single" w:sz="4" w:space="0" w:color="auto"/>
              <w:right w:val="single" w:sz="4" w:space="0" w:color="auto"/>
            </w:tcBorders>
            <w:noWrap/>
            <w:vAlign w:val="center"/>
            <w:hideMark/>
          </w:tcPr>
          <w:p w14:paraId="538ACE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67004415</w:t>
            </w:r>
          </w:p>
        </w:tc>
        <w:tc>
          <w:tcPr>
            <w:tcW w:w="5953" w:type="dxa"/>
            <w:tcBorders>
              <w:top w:val="nil"/>
              <w:left w:val="nil"/>
              <w:bottom w:val="single" w:sz="4" w:space="0" w:color="auto"/>
              <w:right w:val="single" w:sz="4" w:space="0" w:color="auto"/>
            </w:tcBorders>
            <w:noWrap/>
            <w:vAlign w:val="center"/>
            <w:hideMark/>
          </w:tcPr>
          <w:p w14:paraId="0F264E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GLASBENA ŠOLA ZAGORJE OB SAVI</w:t>
            </w:r>
          </w:p>
        </w:tc>
      </w:tr>
      <w:tr w:rsidR="00F24E18" w14:paraId="2FECA48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2FB2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285</w:t>
            </w:r>
          </w:p>
        </w:tc>
        <w:tc>
          <w:tcPr>
            <w:tcW w:w="1300" w:type="dxa"/>
            <w:tcBorders>
              <w:top w:val="nil"/>
              <w:left w:val="nil"/>
              <w:bottom w:val="single" w:sz="4" w:space="0" w:color="auto"/>
              <w:right w:val="single" w:sz="4" w:space="0" w:color="auto"/>
            </w:tcBorders>
            <w:noWrap/>
            <w:vAlign w:val="center"/>
            <w:hideMark/>
          </w:tcPr>
          <w:p w14:paraId="03E782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1576798000</w:t>
            </w:r>
          </w:p>
        </w:tc>
        <w:tc>
          <w:tcPr>
            <w:tcW w:w="1012" w:type="dxa"/>
            <w:tcBorders>
              <w:top w:val="nil"/>
              <w:left w:val="nil"/>
              <w:bottom w:val="single" w:sz="4" w:space="0" w:color="auto"/>
              <w:right w:val="single" w:sz="4" w:space="0" w:color="auto"/>
            </w:tcBorders>
            <w:noWrap/>
            <w:vAlign w:val="center"/>
            <w:hideMark/>
          </w:tcPr>
          <w:p w14:paraId="638DE8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77190840</w:t>
            </w:r>
          </w:p>
        </w:tc>
        <w:tc>
          <w:tcPr>
            <w:tcW w:w="5953" w:type="dxa"/>
            <w:tcBorders>
              <w:top w:val="nil"/>
              <w:left w:val="nil"/>
              <w:bottom w:val="single" w:sz="4" w:space="0" w:color="auto"/>
              <w:right w:val="single" w:sz="4" w:space="0" w:color="auto"/>
            </w:tcBorders>
            <w:noWrap/>
            <w:vAlign w:val="center"/>
            <w:hideMark/>
          </w:tcPr>
          <w:p w14:paraId="5623A1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GLEDALIŠČE KOPER TEATRO CAPODISTRIA</w:t>
            </w:r>
          </w:p>
        </w:tc>
      </w:tr>
      <w:tr w:rsidR="00F24E18" w14:paraId="554AD5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71B2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286</w:t>
            </w:r>
          </w:p>
        </w:tc>
        <w:tc>
          <w:tcPr>
            <w:tcW w:w="1300" w:type="dxa"/>
            <w:tcBorders>
              <w:top w:val="nil"/>
              <w:left w:val="nil"/>
              <w:bottom w:val="single" w:sz="4" w:space="0" w:color="auto"/>
              <w:right w:val="single" w:sz="4" w:space="0" w:color="auto"/>
            </w:tcBorders>
            <w:noWrap/>
            <w:vAlign w:val="center"/>
            <w:hideMark/>
          </w:tcPr>
          <w:p w14:paraId="38E54C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9020047000</w:t>
            </w:r>
          </w:p>
        </w:tc>
        <w:tc>
          <w:tcPr>
            <w:tcW w:w="1012" w:type="dxa"/>
            <w:tcBorders>
              <w:top w:val="nil"/>
              <w:left w:val="nil"/>
              <w:bottom w:val="single" w:sz="4" w:space="0" w:color="auto"/>
              <w:right w:val="single" w:sz="4" w:space="0" w:color="auto"/>
            </w:tcBorders>
            <w:noWrap/>
            <w:vAlign w:val="center"/>
            <w:hideMark/>
          </w:tcPr>
          <w:p w14:paraId="4FBFFE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26854872</w:t>
            </w:r>
          </w:p>
        </w:tc>
        <w:tc>
          <w:tcPr>
            <w:tcW w:w="5953" w:type="dxa"/>
            <w:tcBorders>
              <w:top w:val="nil"/>
              <w:left w:val="nil"/>
              <w:bottom w:val="single" w:sz="4" w:space="0" w:color="auto"/>
              <w:right w:val="single" w:sz="4" w:space="0" w:color="auto"/>
            </w:tcBorders>
            <w:noWrap/>
            <w:vAlign w:val="center"/>
            <w:hideMark/>
          </w:tcPr>
          <w:p w14:paraId="138AF7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 2025 - EVROPSKA PRESTOLNICA KULTURE, NOVA GORICA</w:t>
            </w:r>
          </w:p>
        </w:tc>
      </w:tr>
      <w:tr w:rsidR="00F24E18" w14:paraId="38BEAE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F7D1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287</w:t>
            </w:r>
          </w:p>
        </w:tc>
        <w:tc>
          <w:tcPr>
            <w:tcW w:w="1300" w:type="dxa"/>
            <w:tcBorders>
              <w:top w:val="nil"/>
              <w:left w:val="nil"/>
              <w:bottom w:val="single" w:sz="4" w:space="0" w:color="auto"/>
              <w:right w:val="single" w:sz="4" w:space="0" w:color="auto"/>
            </w:tcBorders>
            <w:noWrap/>
            <w:vAlign w:val="center"/>
            <w:hideMark/>
          </w:tcPr>
          <w:p w14:paraId="68210A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5052530000</w:t>
            </w:r>
          </w:p>
        </w:tc>
        <w:tc>
          <w:tcPr>
            <w:tcW w:w="1012" w:type="dxa"/>
            <w:tcBorders>
              <w:top w:val="nil"/>
              <w:left w:val="nil"/>
              <w:bottom w:val="single" w:sz="4" w:space="0" w:color="auto"/>
              <w:right w:val="single" w:sz="4" w:space="0" w:color="auto"/>
            </w:tcBorders>
            <w:noWrap/>
            <w:vAlign w:val="center"/>
            <w:hideMark/>
          </w:tcPr>
          <w:p w14:paraId="569C0E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21498954</w:t>
            </w:r>
          </w:p>
        </w:tc>
        <w:tc>
          <w:tcPr>
            <w:tcW w:w="5953" w:type="dxa"/>
            <w:tcBorders>
              <w:top w:val="nil"/>
              <w:left w:val="nil"/>
              <w:bottom w:val="single" w:sz="4" w:space="0" w:color="auto"/>
              <w:right w:val="single" w:sz="4" w:space="0" w:color="auto"/>
            </w:tcBorders>
            <w:noWrap/>
            <w:vAlign w:val="center"/>
            <w:hideMark/>
          </w:tcPr>
          <w:p w14:paraId="3BD36B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GORENJSKI MUZEJ</w:t>
            </w:r>
          </w:p>
        </w:tc>
      </w:tr>
      <w:tr w:rsidR="00F24E18" w14:paraId="461FF1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3000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288</w:t>
            </w:r>
          </w:p>
        </w:tc>
        <w:tc>
          <w:tcPr>
            <w:tcW w:w="1300" w:type="dxa"/>
            <w:tcBorders>
              <w:top w:val="nil"/>
              <w:left w:val="nil"/>
              <w:bottom w:val="single" w:sz="4" w:space="0" w:color="auto"/>
              <w:right w:val="single" w:sz="4" w:space="0" w:color="auto"/>
            </w:tcBorders>
            <w:vAlign w:val="center"/>
            <w:hideMark/>
          </w:tcPr>
          <w:p w14:paraId="7A8974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5052777000</w:t>
            </w:r>
          </w:p>
        </w:tc>
        <w:tc>
          <w:tcPr>
            <w:tcW w:w="1012" w:type="dxa"/>
            <w:tcBorders>
              <w:top w:val="nil"/>
              <w:left w:val="nil"/>
              <w:bottom w:val="single" w:sz="4" w:space="0" w:color="auto"/>
              <w:right w:val="single" w:sz="4" w:space="0" w:color="auto"/>
            </w:tcBorders>
            <w:vAlign w:val="center"/>
            <w:hideMark/>
          </w:tcPr>
          <w:p w14:paraId="065A5C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27962547</w:t>
            </w:r>
          </w:p>
        </w:tc>
        <w:tc>
          <w:tcPr>
            <w:tcW w:w="5953" w:type="dxa"/>
            <w:tcBorders>
              <w:top w:val="nil"/>
              <w:left w:val="nil"/>
              <w:bottom w:val="single" w:sz="4" w:space="0" w:color="auto"/>
              <w:right w:val="single" w:sz="4" w:space="0" w:color="auto"/>
            </w:tcBorders>
            <w:noWrap/>
            <w:vAlign w:val="center"/>
            <w:hideMark/>
          </w:tcPr>
          <w:p w14:paraId="53A398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GORIŠKA KNJIŽNICA FRANCETA BEVKA NOVA GORICA</w:t>
            </w:r>
          </w:p>
        </w:tc>
      </w:tr>
      <w:tr w:rsidR="00F24E18" w14:paraId="7069DD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91CE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289</w:t>
            </w:r>
          </w:p>
        </w:tc>
        <w:tc>
          <w:tcPr>
            <w:tcW w:w="1300" w:type="dxa"/>
            <w:tcBorders>
              <w:top w:val="nil"/>
              <w:left w:val="nil"/>
              <w:bottom w:val="single" w:sz="4" w:space="0" w:color="auto"/>
              <w:right w:val="single" w:sz="4" w:space="0" w:color="auto"/>
            </w:tcBorders>
            <w:noWrap/>
            <w:vAlign w:val="center"/>
            <w:hideMark/>
          </w:tcPr>
          <w:p w14:paraId="3EBA01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5054532000</w:t>
            </w:r>
          </w:p>
        </w:tc>
        <w:tc>
          <w:tcPr>
            <w:tcW w:w="1012" w:type="dxa"/>
            <w:tcBorders>
              <w:top w:val="nil"/>
              <w:left w:val="nil"/>
              <w:bottom w:val="single" w:sz="4" w:space="0" w:color="auto"/>
              <w:right w:val="single" w:sz="4" w:space="0" w:color="auto"/>
            </w:tcBorders>
            <w:noWrap/>
            <w:vAlign w:val="center"/>
            <w:hideMark/>
          </w:tcPr>
          <w:p w14:paraId="00D67A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35629711</w:t>
            </w:r>
          </w:p>
        </w:tc>
        <w:tc>
          <w:tcPr>
            <w:tcW w:w="5953" w:type="dxa"/>
            <w:tcBorders>
              <w:top w:val="nil"/>
              <w:left w:val="nil"/>
              <w:bottom w:val="single" w:sz="4" w:space="0" w:color="auto"/>
              <w:right w:val="single" w:sz="4" w:space="0" w:color="auto"/>
            </w:tcBorders>
            <w:noWrap/>
            <w:vAlign w:val="center"/>
            <w:hideMark/>
          </w:tcPr>
          <w:p w14:paraId="3F2E5B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GORIŠKA LEKARNA NOVA GORICA</w:t>
            </w:r>
          </w:p>
        </w:tc>
      </w:tr>
      <w:tr w:rsidR="00F24E18" w14:paraId="59F051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54CA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290</w:t>
            </w:r>
          </w:p>
        </w:tc>
        <w:tc>
          <w:tcPr>
            <w:tcW w:w="1300" w:type="dxa"/>
            <w:tcBorders>
              <w:top w:val="nil"/>
              <w:left w:val="nil"/>
              <w:bottom w:val="single" w:sz="4" w:space="0" w:color="auto"/>
              <w:right w:val="single" w:sz="4" w:space="0" w:color="auto"/>
            </w:tcBorders>
            <w:noWrap/>
            <w:vAlign w:val="center"/>
            <w:hideMark/>
          </w:tcPr>
          <w:p w14:paraId="57D81B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2196719000</w:t>
            </w:r>
          </w:p>
        </w:tc>
        <w:tc>
          <w:tcPr>
            <w:tcW w:w="1012" w:type="dxa"/>
            <w:tcBorders>
              <w:top w:val="nil"/>
              <w:left w:val="nil"/>
              <w:bottom w:val="single" w:sz="4" w:space="0" w:color="auto"/>
              <w:right w:val="single" w:sz="4" w:space="0" w:color="auto"/>
            </w:tcBorders>
            <w:noWrap/>
            <w:vAlign w:val="center"/>
            <w:hideMark/>
          </w:tcPr>
          <w:p w14:paraId="18B07C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78059038</w:t>
            </w:r>
          </w:p>
        </w:tc>
        <w:tc>
          <w:tcPr>
            <w:tcW w:w="5953" w:type="dxa"/>
            <w:tcBorders>
              <w:top w:val="nil"/>
              <w:left w:val="nil"/>
              <w:bottom w:val="single" w:sz="4" w:space="0" w:color="auto"/>
              <w:right w:val="single" w:sz="4" w:space="0" w:color="auto"/>
            </w:tcBorders>
            <w:noWrap/>
            <w:vAlign w:val="center"/>
            <w:hideMark/>
          </w:tcPr>
          <w:p w14:paraId="459E03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GORIŠKA LOKALNA ENERGETSKA AGENCIJA, NOVA GORICA</w:t>
            </w:r>
          </w:p>
        </w:tc>
      </w:tr>
      <w:tr w:rsidR="00F24E18" w14:paraId="69A403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7BF0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291</w:t>
            </w:r>
          </w:p>
        </w:tc>
        <w:tc>
          <w:tcPr>
            <w:tcW w:w="1300" w:type="dxa"/>
            <w:tcBorders>
              <w:top w:val="nil"/>
              <w:left w:val="nil"/>
              <w:bottom w:val="single" w:sz="4" w:space="0" w:color="auto"/>
              <w:right w:val="single" w:sz="4" w:space="0" w:color="auto"/>
            </w:tcBorders>
            <w:noWrap/>
            <w:vAlign w:val="center"/>
            <w:hideMark/>
          </w:tcPr>
          <w:p w14:paraId="74B379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5052173000</w:t>
            </w:r>
          </w:p>
        </w:tc>
        <w:tc>
          <w:tcPr>
            <w:tcW w:w="1012" w:type="dxa"/>
            <w:tcBorders>
              <w:top w:val="nil"/>
              <w:left w:val="nil"/>
              <w:bottom w:val="single" w:sz="4" w:space="0" w:color="auto"/>
              <w:right w:val="single" w:sz="4" w:space="0" w:color="auto"/>
            </w:tcBorders>
            <w:noWrap/>
            <w:vAlign w:val="center"/>
            <w:hideMark/>
          </w:tcPr>
          <w:p w14:paraId="2450ED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20443625</w:t>
            </w:r>
          </w:p>
        </w:tc>
        <w:tc>
          <w:tcPr>
            <w:tcW w:w="5953" w:type="dxa"/>
            <w:tcBorders>
              <w:top w:val="nil"/>
              <w:left w:val="nil"/>
              <w:bottom w:val="single" w:sz="4" w:space="0" w:color="auto"/>
              <w:right w:val="single" w:sz="4" w:space="0" w:color="auto"/>
            </w:tcBorders>
            <w:noWrap/>
            <w:vAlign w:val="center"/>
            <w:hideMark/>
          </w:tcPr>
          <w:p w14:paraId="4FBB90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GORIŠKI MUZEJ KROMBERK - NOVA GORICA</w:t>
            </w:r>
          </w:p>
        </w:tc>
      </w:tr>
      <w:tr w:rsidR="00F24E18" w14:paraId="688D4C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234C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292</w:t>
            </w:r>
          </w:p>
        </w:tc>
        <w:tc>
          <w:tcPr>
            <w:tcW w:w="1300" w:type="dxa"/>
            <w:tcBorders>
              <w:top w:val="nil"/>
              <w:left w:val="nil"/>
              <w:bottom w:val="single" w:sz="4" w:space="0" w:color="auto"/>
              <w:right w:val="single" w:sz="4" w:space="0" w:color="auto"/>
            </w:tcBorders>
            <w:noWrap/>
            <w:vAlign w:val="center"/>
            <w:hideMark/>
          </w:tcPr>
          <w:p w14:paraId="692878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5541255000</w:t>
            </w:r>
          </w:p>
        </w:tc>
        <w:tc>
          <w:tcPr>
            <w:tcW w:w="1012" w:type="dxa"/>
            <w:tcBorders>
              <w:top w:val="nil"/>
              <w:left w:val="nil"/>
              <w:bottom w:val="single" w:sz="4" w:space="0" w:color="auto"/>
              <w:right w:val="single" w:sz="4" w:space="0" w:color="auto"/>
            </w:tcBorders>
            <w:noWrap/>
            <w:vAlign w:val="center"/>
            <w:hideMark/>
          </w:tcPr>
          <w:p w14:paraId="50A62C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63347300</w:t>
            </w:r>
          </w:p>
        </w:tc>
        <w:tc>
          <w:tcPr>
            <w:tcW w:w="5953" w:type="dxa"/>
            <w:tcBorders>
              <w:top w:val="nil"/>
              <w:left w:val="nil"/>
              <w:bottom w:val="single" w:sz="4" w:space="0" w:color="auto"/>
              <w:right w:val="single" w:sz="4" w:space="0" w:color="auto"/>
            </w:tcBorders>
            <w:noWrap/>
            <w:vAlign w:val="center"/>
            <w:hideMark/>
          </w:tcPr>
          <w:p w14:paraId="11FB16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GORNJESAVSKI MUZEJ JESENICE</w:t>
            </w:r>
          </w:p>
        </w:tc>
      </w:tr>
      <w:tr w:rsidR="00F24E18" w14:paraId="79159C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CDF9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293</w:t>
            </w:r>
          </w:p>
        </w:tc>
        <w:tc>
          <w:tcPr>
            <w:tcW w:w="1300" w:type="dxa"/>
            <w:tcBorders>
              <w:top w:val="nil"/>
              <w:left w:val="nil"/>
              <w:bottom w:val="single" w:sz="4" w:space="0" w:color="auto"/>
              <w:right w:val="single" w:sz="4" w:space="0" w:color="auto"/>
            </w:tcBorders>
            <w:noWrap/>
            <w:vAlign w:val="center"/>
            <w:hideMark/>
          </w:tcPr>
          <w:p w14:paraId="6BE464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2202379000</w:t>
            </w:r>
          </w:p>
        </w:tc>
        <w:tc>
          <w:tcPr>
            <w:tcW w:w="1012" w:type="dxa"/>
            <w:tcBorders>
              <w:top w:val="nil"/>
              <w:left w:val="nil"/>
              <w:bottom w:val="single" w:sz="4" w:space="0" w:color="auto"/>
              <w:right w:val="single" w:sz="4" w:space="0" w:color="auto"/>
            </w:tcBorders>
            <w:noWrap/>
            <w:vAlign w:val="center"/>
            <w:hideMark/>
          </w:tcPr>
          <w:p w14:paraId="34030F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16465288</w:t>
            </w:r>
          </w:p>
        </w:tc>
        <w:tc>
          <w:tcPr>
            <w:tcW w:w="5953" w:type="dxa"/>
            <w:tcBorders>
              <w:top w:val="nil"/>
              <w:left w:val="nil"/>
              <w:bottom w:val="single" w:sz="4" w:space="0" w:color="auto"/>
              <w:right w:val="single" w:sz="4" w:space="0" w:color="auto"/>
            </w:tcBorders>
            <w:noWrap/>
            <w:vAlign w:val="center"/>
            <w:hideMark/>
          </w:tcPr>
          <w:p w14:paraId="7479A0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GORSKA REŠEVALNA ZVEZA SLOVENIJE</w:t>
            </w:r>
          </w:p>
        </w:tc>
      </w:tr>
      <w:tr w:rsidR="00F24E18" w14:paraId="43903E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1960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294</w:t>
            </w:r>
          </w:p>
        </w:tc>
        <w:tc>
          <w:tcPr>
            <w:tcW w:w="1300" w:type="dxa"/>
            <w:tcBorders>
              <w:top w:val="nil"/>
              <w:left w:val="nil"/>
              <w:bottom w:val="single" w:sz="4" w:space="0" w:color="auto"/>
              <w:right w:val="single" w:sz="4" w:space="0" w:color="auto"/>
            </w:tcBorders>
            <w:vAlign w:val="center"/>
            <w:hideMark/>
          </w:tcPr>
          <w:p w14:paraId="618B9F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5051673000</w:t>
            </w:r>
          </w:p>
        </w:tc>
        <w:tc>
          <w:tcPr>
            <w:tcW w:w="1012" w:type="dxa"/>
            <w:tcBorders>
              <w:top w:val="nil"/>
              <w:left w:val="nil"/>
              <w:bottom w:val="single" w:sz="4" w:space="0" w:color="auto"/>
              <w:right w:val="single" w:sz="4" w:space="0" w:color="auto"/>
            </w:tcBorders>
            <w:vAlign w:val="center"/>
            <w:hideMark/>
          </w:tcPr>
          <w:p w14:paraId="4470D7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37808052</w:t>
            </w:r>
          </w:p>
        </w:tc>
        <w:tc>
          <w:tcPr>
            <w:tcW w:w="5953" w:type="dxa"/>
            <w:tcBorders>
              <w:top w:val="nil"/>
              <w:left w:val="nil"/>
              <w:bottom w:val="single" w:sz="4" w:space="0" w:color="auto"/>
              <w:right w:val="single" w:sz="4" w:space="0" w:color="auto"/>
            </w:tcBorders>
            <w:noWrap/>
            <w:vAlign w:val="center"/>
            <w:hideMark/>
          </w:tcPr>
          <w:p w14:paraId="380219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GOZDARSKI INŠTITUT SLOVENIJE</w:t>
            </w:r>
          </w:p>
        </w:tc>
      </w:tr>
      <w:tr w:rsidR="00F24E18" w14:paraId="6B0038A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C593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295</w:t>
            </w:r>
          </w:p>
        </w:tc>
        <w:tc>
          <w:tcPr>
            <w:tcW w:w="1300" w:type="dxa"/>
            <w:tcBorders>
              <w:top w:val="nil"/>
              <w:left w:val="nil"/>
              <w:bottom w:val="single" w:sz="4" w:space="0" w:color="auto"/>
              <w:right w:val="single" w:sz="4" w:space="0" w:color="auto"/>
            </w:tcBorders>
            <w:vAlign w:val="center"/>
            <w:hideMark/>
          </w:tcPr>
          <w:p w14:paraId="29AE6C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6041426000</w:t>
            </w:r>
          </w:p>
        </w:tc>
        <w:tc>
          <w:tcPr>
            <w:tcW w:w="1012" w:type="dxa"/>
            <w:tcBorders>
              <w:top w:val="nil"/>
              <w:left w:val="nil"/>
              <w:bottom w:val="single" w:sz="4" w:space="0" w:color="auto"/>
              <w:right w:val="single" w:sz="4" w:space="0" w:color="auto"/>
            </w:tcBorders>
            <w:vAlign w:val="center"/>
            <w:hideMark/>
          </w:tcPr>
          <w:p w14:paraId="238215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17124328</w:t>
            </w:r>
          </w:p>
        </w:tc>
        <w:tc>
          <w:tcPr>
            <w:tcW w:w="5953" w:type="dxa"/>
            <w:tcBorders>
              <w:top w:val="nil"/>
              <w:left w:val="nil"/>
              <w:bottom w:val="single" w:sz="4" w:space="0" w:color="auto"/>
              <w:right w:val="single" w:sz="4" w:space="0" w:color="auto"/>
            </w:tcBorders>
            <w:noWrap/>
            <w:vAlign w:val="center"/>
            <w:hideMark/>
          </w:tcPr>
          <w:p w14:paraId="508DCD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GRADNJE STARŠE, JAVNO PODJETJE, D.O.O.</w:t>
            </w:r>
          </w:p>
        </w:tc>
      </w:tr>
      <w:tr w:rsidR="00F24E18" w14:paraId="5CE8401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8B0D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296</w:t>
            </w:r>
          </w:p>
        </w:tc>
        <w:tc>
          <w:tcPr>
            <w:tcW w:w="1300" w:type="dxa"/>
            <w:tcBorders>
              <w:top w:val="nil"/>
              <w:left w:val="nil"/>
              <w:bottom w:val="single" w:sz="4" w:space="0" w:color="auto"/>
              <w:right w:val="single" w:sz="4" w:space="0" w:color="auto"/>
            </w:tcBorders>
            <w:vAlign w:val="center"/>
            <w:hideMark/>
          </w:tcPr>
          <w:p w14:paraId="2B8755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5089107000</w:t>
            </w:r>
          </w:p>
        </w:tc>
        <w:tc>
          <w:tcPr>
            <w:tcW w:w="1012" w:type="dxa"/>
            <w:tcBorders>
              <w:top w:val="nil"/>
              <w:left w:val="nil"/>
              <w:bottom w:val="single" w:sz="4" w:space="0" w:color="auto"/>
              <w:right w:val="single" w:sz="4" w:space="0" w:color="auto"/>
            </w:tcBorders>
            <w:vAlign w:val="center"/>
            <w:hideMark/>
          </w:tcPr>
          <w:p w14:paraId="01F6F4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46571558</w:t>
            </w:r>
          </w:p>
        </w:tc>
        <w:tc>
          <w:tcPr>
            <w:tcW w:w="5953" w:type="dxa"/>
            <w:tcBorders>
              <w:top w:val="nil"/>
              <w:left w:val="nil"/>
              <w:bottom w:val="single" w:sz="4" w:space="0" w:color="auto"/>
              <w:right w:val="single" w:sz="4" w:space="0" w:color="auto"/>
            </w:tcBorders>
            <w:noWrap/>
            <w:vAlign w:val="center"/>
            <w:hideMark/>
          </w:tcPr>
          <w:p w14:paraId="7A0640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GRM NOVO MESTO - CENTER BIOTEHNIKE IN TURIZMA</w:t>
            </w:r>
          </w:p>
        </w:tc>
      </w:tr>
      <w:tr w:rsidR="00F24E18" w14:paraId="2646372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F07A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297</w:t>
            </w:r>
          </w:p>
        </w:tc>
        <w:tc>
          <w:tcPr>
            <w:tcW w:w="1300" w:type="dxa"/>
            <w:tcBorders>
              <w:top w:val="nil"/>
              <w:left w:val="nil"/>
              <w:bottom w:val="single" w:sz="4" w:space="0" w:color="auto"/>
              <w:right w:val="single" w:sz="4" w:space="0" w:color="auto"/>
            </w:tcBorders>
            <w:vAlign w:val="center"/>
            <w:hideMark/>
          </w:tcPr>
          <w:p w14:paraId="28A84F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3306763000</w:t>
            </w:r>
          </w:p>
        </w:tc>
        <w:tc>
          <w:tcPr>
            <w:tcW w:w="1012" w:type="dxa"/>
            <w:tcBorders>
              <w:top w:val="nil"/>
              <w:left w:val="nil"/>
              <w:bottom w:val="single" w:sz="4" w:space="0" w:color="auto"/>
              <w:right w:val="single" w:sz="4" w:space="0" w:color="auto"/>
            </w:tcBorders>
            <w:vAlign w:val="center"/>
            <w:hideMark/>
          </w:tcPr>
          <w:p w14:paraId="5C0A61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20274173</w:t>
            </w:r>
          </w:p>
        </w:tc>
        <w:tc>
          <w:tcPr>
            <w:tcW w:w="5953" w:type="dxa"/>
            <w:tcBorders>
              <w:top w:val="nil"/>
              <w:left w:val="nil"/>
              <w:bottom w:val="single" w:sz="4" w:space="0" w:color="auto"/>
              <w:right w:val="single" w:sz="4" w:space="0" w:color="auto"/>
            </w:tcBorders>
            <w:noWrap/>
            <w:vAlign w:val="center"/>
            <w:hideMark/>
          </w:tcPr>
          <w:p w14:paraId="15562E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HIDROELEKTRARNE NA SPODNJI SAVI, D.O.O.</w:t>
            </w:r>
          </w:p>
        </w:tc>
      </w:tr>
      <w:tr w:rsidR="00F24E18" w14:paraId="63B6A5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BE23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298</w:t>
            </w:r>
          </w:p>
        </w:tc>
        <w:tc>
          <w:tcPr>
            <w:tcW w:w="1300" w:type="dxa"/>
            <w:tcBorders>
              <w:top w:val="nil"/>
              <w:left w:val="nil"/>
              <w:bottom w:val="single" w:sz="4" w:space="0" w:color="auto"/>
              <w:right w:val="single" w:sz="4" w:space="0" w:color="auto"/>
            </w:tcBorders>
            <w:vAlign w:val="center"/>
            <w:hideMark/>
          </w:tcPr>
          <w:p w14:paraId="0F59C5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5025311000</w:t>
            </w:r>
          </w:p>
        </w:tc>
        <w:tc>
          <w:tcPr>
            <w:tcW w:w="1012" w:type="dxa"/>
            <w:tcBorders>
              <w:top w:val="nil"/>
              <w:left w:val="nil"/>
              <w:bottom w:val="single" w:sz="4" w:space="0" w:color="auto"/>
              <w:right w:val="single" w:sz="4" w:space="0" w:color="auto"/>
            </w:tcBorders>
            <w:vAlign w:val="center"/>
            <w:hideMark/>
          </w:tcPr>
          <w:p w14:paraId="01F030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72828013</w:t>
            </w:r>
          </w:p>
        </w:tc>
        <w:tc>
          <w:tcPr>
            <w:tcW w:w="5953" w:type="dxa"/>
            <w:tcBorders>
              <w:top w:val="nil"/>
              <w:left w:val="nil"/>
              <w:bottom w:val="single" w:sz="4" w:space="0" w:color="auto"/>
              <w:right w:val="single" w:sz="4" w:space="0" w:color="auto"/>
            </w:tcBorders>
            <w:noWrap/>
            <w:vAlign w:val="center"/>
            <w:hideMark/>
          </w:tcPr>
          <w:p w14:paraId="7684E7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HOLDING KOBILARNA LIPICA, D.O.O.</w:t>
            </w:r>
          </w:p>
        </w:tc>
      </w:tr>
      <w:tr w:rsidR="00F24E18" w14:paraId="1D14E7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FD5E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299</w:t>
            </w:r>
          </w:p>
        </w:tc>
        <w:tc>
          <w:tcPr>
            <w:tcW w:w="1300" w:type="dxa"/>
            <w:tcBorders>
              <w:top w:val="nil"/>
              <w:left w:val="nil"/>
              <w:bottom w:val="single" w:sz="4" w:space="0" w:color="auto"/>
              <w:right w:val="single" w:sz="4" w:space="0" w:color="auto"/>
            </w:tcBorders>
            <w:vAlign w:val="center"/>
            <w:hideMark/>
          </w:tcPr>
          <w:p w14:paraId="431081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1662970000</w:t>
            </w:r>
          </w:p>
        </w:tc>
        <w:tc>
          <w:tcPr>
            <w:tcW w:w="1012" w:type="dxa"/>
            <w:tcBorders>
              <w:top w:val="nil"/>
              <w:left w:val="nil"/>
              <w:bottom w:val="single" w:sz="4" w:space="0" w:color="auto"/>
              <w:right w:val="single" w:sz="4" w:space="0" w:color="auto"/>
            </w:tcBorders>
            <w:vAlign w:val="center"/>
            <w:hideMark/>
          </w:tcPr>
          <w:p w14:paraId="6B3406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99666189</w:t>
            </w:r>
          </w:p>
        </w:tc>
        <w:tc>
          <w:tcPr>
            <w:tcW w:w="5953" w:type="dxa"/>
            <w:tcBorders>
              <w:top w:val="nil"/>
              <w:left w:val="nil"/>
              <w:bottom w:val="single" w:sz="4" w:space="0" w:color="auto"/>
              <w:right w:val="single" w:sz="4" w:space="0" w:color="auto"/>
            </w:tcBorders>
            <w:noWrap/>
            <w:vAlign w:val="center"/>
            <w:hideMark/>
          </w:tcPr>
          <w:p w14:paraId="45E92A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HOLDING SLOVENSKE ELEKTRARNE D.O.O.</w:t>
            </w:r>
          </w:p>
        </w:tc>
      </w:tr>
      <w:tr w:rsidR="00F24E18" w14:paraId="133AA4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0246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300</w:t>
            </w:r>
          </w:p>
        </w:tc>
        <w:tc>
          <w:tcPr>
            <w:tcW w:w="1300" w:type="dxa"/>
            <w:tcBorders>
              <w:top w:val="nil"/>
              <w:left w:val="nil"/>
              <w:bottom w:val="single" w:sz="4" w:space="0" w:color="auto"/>
              <w:right w:val="single" w:sz="4" w:space="0" w:color="auto"/>
            </w:tcBorders>
            <w:noWrap/>
            <w:vAlign w:val="center"/>
            <w:hideMark/>
          </w:tcPr>
          <w:p w14:paraId="605AB2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5035511000</w:t>
            </w:r>
          </w:p>
        </w:tc>
        <w:tc>
          <w:tcPr>
            <w:tcW w:w="1012" w:type="dxa"/>
            <w:tcBorders>
              <w:top w:val="nil"/>
              <w:left w:val="nil"/>
              <w:bottom w:val="single" w:sz="4" w:space="0" w:color="auto"/>
              <w:right w:val="single" w:sz="4" w:space="0" w:color="auto"/>
            </w:tcBorders>
            <w:noWrap/>
            <w:vAlign w:val="center"/>
            <w:hideMark/>
          </w:tcPr>
          <w:p w14:paraId="128263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68195346</w:t>
            </w:r>
          </w:p>
        </w:tc>
        <w:tc>
          <w:tcPr>
            <w:tcW w:w="5953" w:type="dxa"/>
            <w:tcBorders>
              <w:top w:val="nil"/>
              <w:left w:val="nil"/>
              <w:bottom w:val="single" w:sz="4" w:space="0" w:color="auto"/>
              <w:right w:val="single" w:sz="4" w:space="0" w:color="auto"/>
            </w:tcBorders>
            <w:noWrap/>
            <w:vAlign w:val="center"/>
            <w:hideMark/>
          </w:tcPr>
          <w:p w14:paraId="2F3805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HSE - ENERGETSKA DRUŽBA TRBOVLJE D.O.O.</w:t>
            </w:r>
          </w:p>
        </w:tc>
      </w:tr>
      <w:tr w:rsidR="00F24E18" w14:paraId="7972123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CC7D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301</w:t>
            </w:r>
          </w:p>
        </w:tc>
        <w:tc>
          <w:tcPr>
            <w:tcW w:w="1300" w:type="dxa"/>
            <w:tcBorders>
              <w:top w:val="nil"/>
              <w:left w:val="nil"/>
              <w:bottom w:val="single" w:sz="4" w:space="0" w:color="auto"/>
              <w:right w:val="single" w:sz="4" w:space="0" w:color="auto"/>
            </w:tcBorders>
            <w:vAlign w:val="center"/>
            <w:hideMark/>
          </w:tcPr>
          <w:p w14:paraId="7EFB67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1574256000</w:t>
            </w:r>
          </w:p>
        </w:tc>
        <w:tc>
          <w:tcPr>
            <w:tcW w:w="1012" w:type="dxa"/>
            <w:tcBorders>
              <w:top w:val="nil"/>
              <w:left w:val="nil"/>
              <w:bottom w:val="single" w:sz="4" w:space="0" w:color="auto"/>
              <w:right w:val="single" w:sz="4" w:space="0" w:color="auto"/>
            </w:tcBorders>
            <w:vAlign w:val="center"/>
            <w:hideMark/>
          </w:tcPr>
          <w:p w14:paraId="0DB872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43635750</w:t>
            </w:r>
          </w:p>
        </w:tc>
        <w:tc>
          <w:tcPr>
            <w:tcW w:w="5953" w:type="dxa"/>
            <w:tcBorders>
              <w:top w:val="nil"/>
              <w:left w:val="nil"/>
              <w:bottom w:val="single" w:sz="4" w:space="0" w:color="auto"/>
              <w:right w:val="single" w:sz="4" w:space="0" w:color="auto"/>
            </w:tcBorders>
            <w:noWrap/>
            <w:vAlign w:val="center"/>
            <w:hideMark/>
          </w:tcPr>
          <w:p w14:paraId="77FE7F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HSE INVEST DRUŽBA ZA INŽENIRING IN IZGRADNJO ENERGETSKIH OBJEKTOV D.O.O.</w:t>
            </w:r>
          </w:p>
        </w:tc>
      </w:tr>
      <w:tr w:rsidR="00F24E18" w14:paraId="720C11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315E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302</w:t>
            </w:r>
          </w:p>
        </w:tc>
        <w:tc>
          <w:tcPr>
            <w:tcW w:w="1300" w:type="dxa"/>
            <w:tcBorders>
              <w:top w:val="nil"/>
              <w:left w:val="nil"/>
              <w:bottom w:val="single" w:sz="4" w:space="0" w:color="auto"/>
              <w:right w:val="single" w:sz="4" w:space="0" w:color="auto"/>
            </w:tcBorders>
            <w:vAlign w:val="center"/>
            <w:hideMark/>
          </w:tcPr>
          <w:p w14:paraId="08FEBB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1470647000</w:t>
            </w:r>
          </w:p>
        </w:tc>
        <w:tc>
          <w:tcPr>
            <w:tcW w:w="1012" w:type="dxa"/>
            <w:tcBorders>
              <w:top w:val="nil"/>
              <w:left w:val="nil"/>
              <w:bottom w:val="single" w:sz="4" w:space="0" w:color="auto"/>
              <w:right w:val="single" w:sz="4" w:space="0" w:color="auto"/>
            </w:tcBorders>
            <w:vAlign w:val="center"/>
            <w:hideMark/>
          </w:tcPr>
          <w:p w14:paraId="2F693F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66669413</w:t>
            </w:r>
          </w:p>
        </w:tc>
        <w:tc>
          <w:tcPr>
            <w:tcW w:w="5953" w:type="dxa"/>
            <w:tcBorders>
              <w:top w:val="nil"/>
              <w:left w:val="nil"/>
              <w:bottom w:val="single" w:sz="4" w:space="0" w:color="auto"/>
              <w:right w:val="single" w:sz="4" w:space="0" w:color="auto"/>
            </w:tcBorders>
            <w:noWrap/>
            <w:vAlign w:val="center"/>
            <w:hideMark/>
          </w:tcPr>
          <w:p w14:paraId="73A3E8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HTZ HARMONIJA TEHNOLOGIJE IN ZNANJA, INVALIDSKO PODJETJE, D.O.O. VELENJE</w:t>
            </w:r>
          </w:p>
        </w:tc>
      </w:tr>
      <w:tr w:rsidR="00F24E18" w14:paraId="64E362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FE9B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303</w:t>
            </w:r>
          </w:p>
        </w:tc>
        <w:tc>
          <w:tcPr>
            <w:tcW w:w="1300" w:type="dxa"/>
            <w:tcBorders>
              <w:top w:val="nil"/>
              <w:left w:val="nil"/>
              <w:bottom w:val="single" w:sz="4" w:space="0" w:color="auto"/>
              <w:right w:val="single" w:sz="4" w:space="0" w:color="auto"/>
            </w:tcBorders>
            <w:vAlign w:val="center"/>
            <w:hideMark/>
          </w:tcPr>
          <w:p w14:paraId="69B32D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5073251000</w:t>
            </w:r>
          </w:p>
        </w:tc>
        <w:tc>
          <w:tcPr>
            <w:tcW w:w="1012" w:type="dxa"/>
            <w:tcBorders>
              <w:top w:val="nil"/>
              <w:left w:val="nil"/>
              <w:bottom w:val="single" w:sz="4" w:space="0" w:color="auto"/>
              <w:right w:val="single" w:sz="4" w:space="0" w:color="auto"/>
            </w:tcBorders>
            <w:vAlign w:val="center"/>
            <w:hideMark/>
          </w:tcPr>
          <w:p w14:paraId="19EDF2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50590049</w:t>
            </w:r>
          </w:p>
        </w:tc>
        <w:tc>
          <w:tcPr>
            <w:tcW w:w="5953" w:type="dxa"/>
            <w:tcBorders>
              <w:top w:val="nil"/>
              <w:left w:val="nil"/>
              <w:bottom w:val="single" w:sz="4" w:space="0" w:color="auto"/>
              <w:right w:val="single" w:sz="4" w:space="0" w:color="auto"/>
            </w:tcBorders>
            <w:noWrap/>
            <w:vAlign w:val="center"/>
            <w:hideMark/>
          </w:tcPr>
          <w:p w14:paraId="588AEE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HYDROVOD D.O.O., DRUŽBA ZA KOMUNALNO DEJAVNOST</w:t>
            </w:r>
          </w:p>
        </w:tc>
      </w:tr>
      <w:tr w:rsidR="00F24E18" w14:paraId="0A50D2A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40BA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304</w:t>
            </w:r>
          </w:p>
        </w:tc>
        <w:tc>
          <w:tcPr>
            <w:tcW w:w="1300" w:type="dxa"/>
            <w:tcBorders>
              <w:top w:val="nil"/>
              <w:left w:val="nil"/>
              <w:bottom w:val="single" w:sz="4" w:space="0" w:color="auto"/>
              <w:right w:val="single" w:sz="4" w:space="0" w:color="auto"/>
            </w:tcBorders>
            <w:noWrap/>
            <w:vAlign w:val="center"/>
            <w:hideMark/>
          </w:tcPr>
          <w:p w14:paraId="083767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5084717000</w:t>
            </w:r>
          </w:p>
        </w:tc>
        <w:tc>
          <w:tcPr>
            <w:tcW w:w="1012" w:type="dxa"/>
            <w:tcBorders>
              <w:top w:val="nil"/>
              <w:left w:val="nil"/>
              <w:bottom w:val="single" w:sz="4" w:space="0" w:color="auto"/>
              <w:right w:val="single" w:sz="4" w:space="0" w:color="auto"/>
            </w:tcBorders>
            <w:noWrap/>
            <w:vAlign w:val="center"/>
            <w:hideMark/>
          </w:tcPr>
          <w:p w14:paraId="507A14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26398303</w:t>
            </w:r>
          </w:p>
        </w:tc>
        <w:tc>
          <w:tcPr>
            <w:tcW w:w="5953" w:type="dxa"/>
            <w:tcBorders>
              <w:top w:val="nil"/>
              <w:left w:val="nil"/>
              <w:bottom w:val="single" w:sz="4" w:space="0" w:color="auto"/>
              <w:right w:val="single" w:sz="4" w:space="0" w:color="auto"/>
            </w:tcBorders>
            <w:noWrap/>
            <w:vAlign w:val="center"/>
            <w:hideMark/>
          </w:tcPr>
          <w:p w14:paraId="76753A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 GIMNAZIJA V CELJU</w:t>
            </w:r>
          </w:p>
        </w:tc>
      </w:tr>
      <w:tr w:rsidR="00F24E18" w14:paraId="074504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AF22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305</w:t>
            </w:r>
          </w:p>
        </w:tc>
        <w:tc>
          <w:tcPr>
            <w:tcW w:w="1300" w:type="dxa"/>
            <w:tcBorders>
              <w:top w:val="nil"/>
              <w:left w:val="nil"/>
              <w:bottom w:val="single" w:sz="4" w:space="0" w:color="auto"/>
              <w:right w:val="single" w:sz="4" w:space="0" w:color="auto"/>
            </w:tcBorders>
            <w:noWrap/>
            <w:vAlign w:val="center"/>
            <w:hideMark/>
          </w:tcPr>
          <w:p w14:paraId="2EDD62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5082609000</w:t>
            </w:r>
          </w:p>
        </w:tc>
        <w:tc>
          <w:tcPr>
            <w:tcW w:w="1012" w:type="dxa"/>
            <w:tcBorders>
              <w:top w:val="nil"/>
              <w:left w:val="nil"/>
              <w:bottom w:val="single" w:sz="4" w:space="0" w:color="auto"/>
              <w:right w:val="single" w:sz="4" w:space="0" w:color="auto"/>
            </w:tcBorders>
            <w:noWrap/>
            <w:vAlign w:val="center"/>
            <w:hideMark/>
          </w:tcPr>
          <w:p w14:paraId="7E0784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90567226</w:t>
            </w:r>
          </w:p>
        </w:tc>
        <w:tc>
          <w:tcPr>
            <w:tcW w:w="5953" w:type="dxa"/>
            <w:tcBorders>
              <w:top w:val="nil"/>
              <w:left w:val="nil"/>
              <w:bottom w:val="single" w:sz="4" w:space="0" w:color="auto"/>
              <w:right w:val="single" w:sz="4" w:space="0" w:color="auto"/>
            </w:tcBorders>
            <w:noWrap/>
            <w:vAlign w:val="center"/>
            <w:hideMark/>
          </w:tcPr>
          <w:p w14:paraId="016E80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 OSNOVNA ŠOLA CELJE</w:t>
            </w:r>
          </w:p>
        </w:tc>
      </w:tr>
      <w:tr w:rsidR="00F24E18" w14:paraId="633C949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C76D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306</w:t>
            </w:r>
          </w:p>
        </w:tc>
        <w:tc>
          <w:tcPr>
            <w:tcW w:w="1300" w:type="dxa"/>
            <w:tcBorders>
              <w:top w:val="nil"/>
              <w:left w:val="nil"/>
              <w:bottom w:val="single" w:sz="4" w:space="0" w:color="auto"/>
              <w:right w:val="single" w:sz="4" w:space="0" w:color="auto"/>
            </w:tcBorders>
            <w:vAlign w:val="center"/>
            <w:hideMark/>
          </w:tcPr>
          <w:p w14:paraId="66B1DA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5088917000</w:t>
            </w:r>
          </w:p>
        </w:tc>
        <w:tc>
          <w:tcPr>
            <w:tcW w:w="1012" w:type="dxa"/>
            <w:tcBorders>
              <w:top w:val="nil"/>
              <w:left w:val="nil"/>
              <w:bottom w:val="single" w:sz="4" w:space="0" w:color="auto"/>
              <w:right w:val="single" w:sz="4" w:space="0" w:color="auto"/>
            </w:tcBorders>
            <w:vAlign w:val="center"/>
            <w:hideMark/>
          </w:tcPr>
          <w:p w14:paraId="501CE9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62721046</w:t>
            </w:r>
          </w:p>
        </w:tc>
        <w:tc>
          <w:tcPr>
            <w:tcW w:w="5953" w:type="dxa"/>
            <w:tcBorders>
              <w:top w:val="nil"/>
              <w:left w:val="nil"/>
              <w:bottom w:val="single" w:sz="4" w:space="0" w:color="auto"/>
              <w:right w:val="single" w:sz="4" w:space="0" w:color="auto"/>
            </w:tcBorders>
            <w:noWrap/>
            <w:vAlign w:val="center"/>
            <w:hideMark/>
          </w:tcPr>
          <w:p w14:paraId="003097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II. GIMNAZIJA MARIBOR</w:t>
            </w:r>
          </w:p>
        </w:tc>
      </w:tr>
      <w:tr w:rsidR="00F24E18" w14:paraId="638101F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1CA3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307</w:t>
            </w:r>
          </w:p>
        </w:tc>
        <w:tc>
          <w:tcPr>
            <w:tcW w:w="1300" w:type="dxa"/>
            <w:tcBorders>
              <w:top w:val="nil"/>
              <w:left w:val="nil"/>
              <w:bottom w:val="single" w:sz="4" w:space="0" w:color="auto"/>
              <w:right w:val="single" w:sz="4" w:space="0" w:color="auto"/>
            </w:tcBorders>
            <w:noWrap/>
            <w:vAlign w:val="center"/>
            <w:hideMark/>
          </w:tcPr>
          <w:p w14:paraId="33CB3D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5082617000</w:t>
            </w:r>
          </w:p>
        </w:tc>
        <w:tc>
          <w:tcPr>
            <w:tcW w:w="1012" w:type="dxa"/>
            <w:tcBorders>
              <w:top w:val="nil"/>
              <w:left w:val="nil"/>
              <w:bottom w:val="single" w:sz="4" w:space="0" w:color="auto"/>
              <w:right w:val="single" w:sz="4" w:space="0" w:color="auto"/>
            </w:tcBorders>
            <w:noWrap/>
            <w:vAlign w:val="center"/>
            <w:hideMark/>
          </w:tcPr>
          <w:p w14:paraId="170DEF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18983022</w:t>
            </w:r>
          </w:p>
        </w:tc>
        <w:tc>
          <w:tcPr>
            <w:tcW w:w="5953" w:type="dxa"/>
            <w:tcBorders>
              <w:top w:val="nil"/>
              <w:left w:val="nil"/>
              <w:bottom w:val="single" w:sz="4" w:space="0" w:color="auto"/>
              <w:right w:val="single" w:sz="4" w:space="0" w:color="auto"/>
            </w:tcBorders>
            <w:noWrap/>
            <w:vAlign w:val="center"/>
            <w:hideMark/>
          </w:tcPr>
          <w:p w14:paraId="0CACFD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II. OSNOVNA ŠOLA CELJE</w:t>
            </w:r>
          </w:p>
        </w:tc>
      </w:tr>
      <w:tr w:rsidR="00F24E18" w14:paraId="0675990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358C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308</w:t>
            </w:r>
          </w:p>
        </w:tc>
        <w:tc>
          <w:tcPr>
            <w:tcW w:w="1300" w:type="dxa"/>
            <w:tcBorders>
              <w:top w:val="nil"/>
              <w:left w:val="nil"/>
              <w:bottom w:val="single" w:sz="4" w:space="0" w:color="auto"/>
              <w:right w:val="single" w:sz="4" w:space="0" w:color="auto"/>
            </w:tcBorders>
            <w:noWrap/>
            <w:vAlign w:val="center"/>
            <w:hideMark/>
          </w:tcPr>
          <w:p w14:paraId="0C68F6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5081297000</w:t>
            </w:r>
          </w:p>
        </w:tc>
        <w:tc>
          <w:tcPr>
            <w:tcW w:w="1012" w:type="dxa"/>
            <w:tcBorders>
              <w:top w:val="nil"/>
              <w:left w:val="nil"/>
              <w:bottom w:val="single" w:sz="4" w:space="0" w:color="auto"/>
              <w:right w:val="single" w:sz="4" w:space="0" w:color="auto"/>
            </w:tcBorders>
            <w:noWrap/>
            <w:vAlign w:val="center"/>
            <w:hideMark/>
          </w:tcPr>
          <w:p w14:paraId="31CD7F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86876651</w:t>
            </w:r>
          </w:p>
        </w:tc>
        <w:tc>
          <w:tcPr>
            <w:tcW w:w="5953" w:type="dxa"/>
            <w:tcBorders>
              <w:top w:val="nil"/>
              <w:left w:val="nil"/>
              <w:bottom w:val="single" w:sz="4" w:space="0" w:color="auto"/>
              <w:right w:val="single" w:sz="4" w:space="0" w:color="auto"/>
            </w:tcBorders>
            <w:noWrap/>
            <w:vAlign w:val="center"/>
            <w:hideMark/>
          </w:tcPr>
          <w:p w14:paraId="339F6F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III. GIMNAZIJA MARIBOR</w:t>
            </w:r>
          </w:p>
        </w:tc>
      </w:tr>
      <w:tr w:rsidR="00F24E18" w14:paraId="6E639FF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7D5D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309</w:t>
            </w:r>
          </w:p>
        </w:tc>
        <w:tc>
          <w:tcPr>
            <w:tcW w:w="1300" w:type="dxa"/>
            <w:tcBorders>
              <w:top w:val="nil"/>
              <w:left w:val="nil"/>
              <w:bottom w:val="single" w:sz="4" w:space="0" w:color="auto"/>
              <w:right w:val="single" w:sz="4" w:space="0" w:color="auto"/>
            </w:tcBorders>
            <w:noWrap/>
            <w:vAlign w:val="center"/>
            <w:hideMark/>
          </w:tcPr>
          <w:p w14:paraId="2C768A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5083613000</w:t>
            </w:r>
          </w:p>
        </w:tc>
        <w:tc>
          <w:tcPr>
            <w:tcW w:w="1012" w:type="dxa"/>
            <w:tcBorders>
              <w:top w:val="nil"/>
              <w:left w:val="nil"/>
              <w:bottom w:val="single" w:sz="4" w:space="0" w:color="auto"/>
              <w:right w:val="single" w:sz="4" w:space="0" w:color="auto"/>
            </w:tcBorders>
            <w:noWrap/>
            <w:vAlign w:val="center"/>
            <w:hideMark/>
          </w:tcPr>
          <w:p w14:paraId="5A9CB6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48097535</w:t>
            </w:r>
          </w:p>
        </w:tc>
        <w:tc>
          <w:tcPr>
            <w:tcW w:w="5953" w:type="dxa"/>
            <w:tcBorders>
              <w:top w:val="nil"/>
              <w:left w:val="nil"/>
              <w:bottom w:val="single" w:sz="4" w:space="0" w:color="auto"/>
              <w:right w:val="single" w:sz="4" w:space="0" w:color="auto"/>
            </w:tcBorders>
            <w:noWrap/>
            <w:vAlign w:val="center"/>
            <w:hideMark/>
          </w:tcPr>
          <w:p w14:paraId="492368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III. OSNOVNA ŠOLA CELJE</w:t>
            </w:r>
          </w:p>
        </w:tc>
      </w:tr>
      <w:tr w:rsidR="00F24E18" w14:paraId="4FCE43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FCA7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310</w:t>
            </w:r>
          </w:p>
        </w:tc>
        <w:tc>
          <w:tcPr>
            <w:tcW w:w="1300" w:type="dxa"/>
            <w:tcBorders>
              <w:top w:val="nil"/>
              <w:left w:val="nil"/>
              <w:bottom w:val="single" w:sz="4" w:space="0" w:color="auto"/>
              <w:right w:val="single" w:sz="4" w:space="0" w:color="auto"/>
            </w:tcBorders>
            <w:noWrap/>
            <w:vAlign w:val="center"/>
            <w:hideMark/>
          </w:tcPr>
          <w:p w14:paraId="3DB146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1867571000</w:t>
            </w:r>
          </w:p>
        </w:tc>
        <w:tc>
          <w:tcPr>
            <w:tcW w:w="1012" w:type="dxa"/>
            <w:tcBorders>
              <w:top w:val="nil"/>
              <w:left w:val="nil"/>
              <w:bottom w:val="single" w:sz="4" w:space="0" w:color="auto"/>
              <w:right w:val="single" w:sz="4" w:space="0" w:color="auto"/>
            </w:tcBorders>
            <w:noWrap/>
            <w:vAlign w:val="center"/>
            <w:hideMark/>
          </w:tcPr>
          <w:p w14:paraId="54F957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89502868</w:t>
            </w:r>
          </w:p>
        </w:tc>
        <w:tc>
          <w:tcPr>
            <w:tcW w:w="5953" w:type="dxa"/>
            <w:tcBorders>
              <w:top w:val="nil"/>
              <w:left w:val="nil"/>
              <w:bottom w:val="single" w:sz="4" w:space="0" w:color="auto"/>
              <w:right w:val="single" w:sz="4" w:space="0" w:color="auto"/>
            </w:tcBorders>
            <w:noWrap/>
            <w:vAlign w:val="center"/>
            <w:hideMark/>
          </w:tcPr>
          <w:p w14:paraId="7C9A8A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INFORMACIJSKI POOBLAŠČENEC</w:t>
            </w:r>
          </w:p>
        </w:tc>
      </w:tr>
      <w:tr w:rsidR="00F24E18" w14:paraId="51A051C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1107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311</w:t>
            </w:r>
          </w:p>
        </w:tc>
        <w:tc>
          <w:tcPr>
            <w:tcW w:w="1300" w:type="dxa"/>
            <w:tcBorders>
              <w:top w:val="nil"/>
              <w:left w:val="nil"/>
              <w:bottom w:val="single" w:sz="4" w:space="0" w:color="auto"/>
              <w:right w:val="single" w:sz="4" w:space="0" w:color="auto"/>
            </w:tcBorders>
            <w:noWrap/>
            <w:vAlign w:val="center"/>
            <w:hideMark/>
          </w:tcPr>
          <w:p w14:paraId="234E5E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5259363000</w:t>
            </w:r>
          </w:p>
        </w:tc>
        <w:tc>
          <w:tcPr>
            <w:tcW w:w="1012" w:type="dxa"/>
            <w:tcBorders>
              <w:top w:val="nil"/>
              <w:left w:val="nil"/>
              <w:bottom w:val="single" w:sz="4" w:space="0" w:color="auto"/>
              <w:right w:val="single" w:sz="4" w:space="0" w:color="auto"/>
            </w:tcBorders>
            <w:noWrap/>
            <w:vAlign w:val="center"/>
            <w:hideMark/>
          </w:tcPr>
          <w:p w14:paraId="1099F9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70666130</w:t>
            </w:r>
          </w:p>
        </w:tc>
        <w:tc>
          <w:tcPr>
            <w:tcW w:w="5953" w:type="dxa"/>
            <w:tcBorders>
              <w:top w:val="nil"/>
              <w:left w:val="nil"/>
              <w:bottom w:val="single" w:sz="4" w:space="0" w:color="auto"/>
              <w:right w:val="single" w:sz="4" w:space="0" w:color="auto"/>
            </w:tcBorders>
            <w:noWrap/>
            <w:vAlign w:val="center"/>
            <w:hideMark/>
          </w:tcPr>
          <w:p w14:paraId="7DFC42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INFORMATIKA INFORMACIJSKE STORITVE IN INŽENIRING D.O.O.</w:t>
            </w:r>
          </w:p>
        </w:tc>
      </w:tr>
      <w:tr w:rsidR="00F24E18" w14:paraId="3A6107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6EAE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312</w:t>
            </w:r>
          </w:p>
        </w:tc>
        <w:tc>
          <w:tcPr>
            <w:tcW w:w="1300" w:type="dxa"/>
            <w:tcBorders>
              <w:top w:val="nil"/>
              <w:left w:val="nil"/>
              <w:bottom w:val="single" w:sz="4" w:space="0" w:color="auto"/>
              <w:right w:val="single" w:sz="4" w:space="0" w:color="auto"/>
            </w:tcBorders>
            <w:vAlign w:val="center"/>
            <w:hideMark/>
          </w:tcPr>
          <w:p w14:paraId="472ABD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1946510000</w:t>
            </w:r>
          </w:p>
        </w:tc>
        <w:tc>
          <w:tcPr>
            <w:tcW w:w="1012" w:type="dxa"/>
            <w:tcBorders>
              <w:top w:val="nil"/>
              <w:left w:val="nil"/>
              <w:bottom w:val="single" w:sz="4" w:space="0" w:color="auto"/>
              <w:right w:val="single" w:sz="4" w:space="0" w:color="auto"/>
            </w:tcBorders>
            <w:vAlign w:val="center"/>
            <w:hideMark/>
          </w:tcPr>
          <w:p w14:paraId="4DA72C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60617357</w:t>
            </w:r>
          </w:p>
        </w:tc>
        <w:tc>
          <w:tcPr>
            <w:tcW w:w="5953" w:type="dxa"/>
            <w:tcBorders>
              <w:top w:val="nil"/>
              <w:left w:val="nil"/>
              <w:bottom w:val="single" w:sz="4" w:space="0" w:color="auto"/>
              <w:right w:val="single" w:sz="4" w:space="0" w:color="auto"/>
            </w:tcBorders>
            <w:noWrap/>
            <w:vAlign w:val="center"/>
            <w:hideMark/>
          </w:tcPr>
          <w:p w14:paraId="2164FD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INFRA IZVAJANJE INVESTICIJSKE DEJAVNOSTI D.O.O.</w:t>
            </w:r>
          </w:p>
        </w:tc>
      </w:tr>
      <w:tr w:rsidR="00F24E18" w14:paraId="66C976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5F54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313</w:t>
            </w:r>
          </w:p>
        </w:tc>
        <w:tc>
          <w:tcPr>
            <w:tcW w:w="1300" w:type="dxa"/>
            <w:tcBorders>
              <w:top w:val="nil"/>
              <w:left w:val="nil"/>
              <w:bottom w:val="single" w:sz="4" w:space="0" w:color="auto"/>
              <w:right w:val="single" w:sz="4" w:space="0" w:color="auto"/>
            </w:tcBorders>
            <w:vAlign w:val="center"/>
            <w:hideMark/>
          </w:tcPr>
          <w:p w14:paraId="5F49D0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1525638000</w:t>
            </w:r>
          </w:p>
        </w:tc>
        <w:tc>
          <w:tcPr>
            <w:tcW w:w="1012" w:type="dxa"/>
            <w:tcBorders>
              <w:top w:val="nil"/>
              <w:left w:val="nil"/>
              <w:bottom w:val="single" w:sz="4" w:space="0" w:color="auto"/>
              <w:right w:val="single" w:sz="4" w:space="0" w:color="auto"/>
            </w:tcBorders>
            <w:vAlign w:val="center"/>
            <w:hideMark/>
          </w:tcPr>
          <w:p w14:paraId="2DD2A3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87091712</w:t>
            </w:r>
          </w:p>
        </w:tc>
        <w:tc>
          <w:tcPr>
            <w:tcW w:w="5953" w:type="dxa"/>
            <w:tcBorders>
              <w:top w:val="nil"/>
              <w:left w:val="nil"/>
              <w:bottom w:val="single" w:sz="4" w:space="0" w:color="auto"/>
              <w:right w:val="single" w:sz="4" w:space="0" w:color="auto"/>
            </w:tcBorders>
            <w:noWrap/>
            <w:vAlign w:val="center"/>
            <w:hideMark/>
          </w:tcPr>
          <w:p w14:paraId="04E52B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INFRASTRUKTURA BLED D.O.O.</w:t>
            </w:r>
          </w:p>
        </w:tc>
      </w:tr>
      <w:tr w:rsidR="00F24E18" w14:paraId="3A641B4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CA26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314</w:t>
            </w:r>
          </w:p>
        </w:tc>
        <w:tc>
          <w:tcPr>
            <w:tcW w:w="1300" w:type="dxa"/>
            <w:tcBorders>
              <w:top w:val="nil"/>
              <w:left w:val="nil"/>
              <w:bottom w:val="single" w:sz="4" w:space="0" w:color="auto"/>
              <w:right w:val="single" w:sz="4" w:space="0" w:color="auto"/>
            </w:tcBorders>
            <w:noWrap/>
            <w:vAlign w:val="center"/>
            <w:hideMark/>
          </w:tcPr>
          <w:p w14:paraId="3B21BD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7233817000</w:t>
            </w:r>
          </w:p>
        </w:tc>
        <w:tc>
          <w:tcPr>
            <w:tcW w:w="1012" w:type="dxa"/>
            <w:tcBorders>
              <w:top w:val="nil"/>
              <w:left w:val="nil"/>
              <w:bottom w:val="single" w:sz="4" w:space="0" w:color="auto"/>
              <w:right w:val="single" w:sz="4" w:space="0" w:color="auto"/>
            </w:tcBorders>
            <w:noWrap/>
            <w:vAlign w:val="center"/>
            <w:hideMark/>
          </w:tcPr>
          <w:p w14:paraId="187EF4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65332547</w:t>
            </w:r>
          </w:p>
        </w:tc>
        <w:tc>
          <w:tcPr>
            <w:tcW w:w="5953" w:type="dxa"/>
            <w:tcBorders>
              <w:top w:val="nil"/>
              <w:left w:val="nil"/>
              <w:bottom w:val="single" w:sz="4" w:space="0" w:color="auto"/>
              <w:right w:val="single" w:sz="4" w:space="0" w:color="auto"/>
            </w:tcBorders>
            <w:noWrap/>
            <w:vAlign w:val="center"/>
            <w:hideMark/>
          </w:tcPr>
          <w:p w14:paraId="59840F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INNORENEW COE CENTER ODLIČNOSTI ZA RAZISKAVE IN INOVACIJE NA PODROČJU OBNOVLJIVIH MATERIALOV IN ZDRAVEGA BIVANJSKEGA OKOLJA</w:t>
            </w:r>
          </w:p>
        </w:tc>
      </w:tr>
      <w:tr w:rsidR="00F24E18" w14:paraId="3897E6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76D8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315</w:t>
            </w:r>
          </w:p>
        </w:tc>
        <w:tc>
          <w:tcPr>
            <w:tcW w:w="1300" w:type="dxa"/>
            <w:tcBorders>
              <w:top w:val="nil"/>
              <w:left w:val="nil"/>
              <w:bottom w:val="single" w:sz="4" w:space="0" w:color="auto"/>
              <w:right w:val="single" w:sz="4" w:space="0" w:color="auto"/>
            </w:tcBorders>
            <w:vAlign w:val="center"/>
            <w:hideMark/>
          </w:tcPr>
          <w:p w14:paraId="435F1C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5258880000</w:t>
            </w:r>
          </w:p>
        </w:tc>
        <w:tc>
          <w:tcPr>
            <w:tcW w:w="1012" w:type="dxa"/>
            <w:tcBorders>
              <w:top w:val="nil"/>
              <w:left w:val="nil"/>
              <w:bottom w:val="single" w:sz="4" w:space="0" w:color="auto"/>
              <w:right w:val="single" w:sz="4" w:space="0" w:color="auto"/>
            </w:tcBorders>
            <w:vAlign w:val="center"/>
            <w:hideMark/>
          </w:tcPr>
          <w:p w14:paraId="32E299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98148486</w:t>
            </w:r>
          </w:p>
        </w:tc>
        <w:tc>
          <w:tcPr>
            <w:tcW w:w="5953" w:type="dxa"/>
            <w:tcBorders>
              <w:top w:val="nil"/>
              <w:left w:val="nil"/>
              <w:bottom w:val="single" w:sz="4" w:space="0" w:color="auto"/>
              <w:right w:val="single" w:sz="4" w:space="0" w:color="auto"/>
            </w:tcBorders>
            <w:noWrap/>
            <w:vAlign w:val="center"/>
            <w:hideMark/>
          </w:tcPr>
          <w:p w14:paraId="3A2500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INSTITUT INFORMACIJSKIH ZNANOSTI</w:t>
            </w:r>
          </w:p>
        </w:tc>
      </w:tr>
      <w:tr w:rsidR="00F24E18" w14:paraId="1460B3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6E08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316</w:t>
            </w:r>
          </w:p>
        </w:tc>
        <w:tc>
          <w:tcPr>
            <w:tcW w:w="1300" w:type="dxa"/>
            <w:tcBorders>
              <w:top w:val="nil"/>
              <w:left w:val="nil"/>
              <w:bottom w:val="single" w:sz="4" w:space="0" w:color="auto"/>
              <w:right w:val="single" w:sz="4" w:space="0" w:color="auto"/>
            </w:tcBorders>
            <w:vAlign w:val="center"/>
            <w:hideMark/>
          </w:tcPr>
          <w:p w14:paraId="365874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5051606000</w:t>
            </w:r>
          </w:p>
        </w:tc>
        <w:tc>
          <w:tcPr>
            <w:tcW w:w="1012" w:type="dxa"/>
            <w:tcBorders>
              <w:top w:val="nil"/>
              <w:left w:val="nil"/>
              <w:bottom w:val="single" w:sz="4" w:space="0" w:color="auto"/>
              <w:right w:val="single" w:sz="4" w:space="0" w:color="auto"/>
            </w:tcBorders>
            <w:vAlign w:val="center"/>
            <w:hideMark/>
          </w:tcPr>
          <w:p w14:paraId="7A8622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55560822</w:t>
            </w:r>
          </w:p>
        </w:tc>
        <w:tc>
          <w:tcPr>
            <w:tcW w:w="5953" w:type="dxa"/>
            <w:tcBorders>
              <w:top w:val="nil"/>
              <w:left w:val="nil"/>
              <w:bottom w:val="single" w:sz="4" w:space="0" w:color="auto"/>
              <w:right w:val="single" w:sz="4" w:space="0" w:color="auto"/>
            </w:tcBorders>
            <w:noWrap/>
            <w:vAlign w:val="center"/>
            <w:hideMark/>
          </w:tcPr>
          <w:p w14:paraId="06F231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INSTITUT JOŽEF STEFAN</w:t>
            </w:r>
          </w:p>
        </w:tc>
      </w:tr>
      <w:tr w:rsidR="00F24E18" w14:paraId="43A1706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D3B0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317</w:t>
            </w:r>
          </w:p>
        </w:tc>
        <w:tc>
          <w:tcPr>
            <w:tcW w:w="1300" w:type="dxa"/>
            <w:tcBorders>
              <w:top w:val="nil"/>
              <w:left w:val="nil"/>
              <w:bottom w:val="single" w:sz="4" w:space="0" w:color="auto"/>
              <w:right w:val="single" w:sz="4" w:space="0" w:color="auto"/>
            </w:tcBorders>
            <w:noWrap/>
            <w:vAlign w:val="center"/>
            <w:hideMark/>
          </w:tcPr>
          <w:p w14:paraId="402758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2632756000</w:t>
            </w:r>
          </w:p>
        </w:tc>
        <w:tc>
          <w:tcPr>
            <w:tcW w:w="1012" w:type="dxa"/>
            <w:tcBorders>
              <w:top w:val="nil"/>
              <w:left w:val="nil"/>
              <w:bottom w:val="single" w:sz="4" w:space="0" w:color="auto"/>
              <w:right w:val="single" w:sz="4" w:space="0" w:color="auto"/>
            </w:tcBorders>
            <w:noWrap/>
            <w:vAlign w:val="center"/>
            <w:hideMark/>
          </w:tcPr>
          <w:p w14:paraId="406B8E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67096611</w:t>
            </w:r>
          </w:p>
        </w:tc>
        <w:tc>
          <w:tcPr>
            <w:tcW w:w="5953" w:type="dxa"/>
            <w:tcBorders>
              <w:top w:val="nil"/>
              <w:left w:val="nil"/>
              <w:bottom w:val="single" w:sz="4" w:space="0" w:color="auto"/>
              <w:right w:val="single" w:sz="4" w:space="0" w:color="auto"/>
            </w:tcBorders>
            <w:noWrap/>
            <w:vAlign w:val="center"/>
            <w:hideMark/>
          </w:tcPr>
          <w:p w14:paraId="793364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INŠPEKTORAT REPUBLIKE SLOVENIJE ZA NARAVNE VIRE IN PROSTOR</w:t>
            </w:r>
          </w:p>
        </w:tc>
      </w:tr>
      <w:tr w:rsidR="00F24E18" w14:paraId="345A3B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6338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318</w:t>
            </w:r>
          </w:p>
        </w:tc>
        <w:tc>
          <w:tcPr>
            <w:tcW w:w="1300" w:type="dxa"/>
            <w:tcBorders>
              <w:top w:val="nil"/>
              <w:left w:val="nil"/>
              <w:bottom w:val="single" w:sz="4" w:space="0" w:color="auto"/>
              <w:right w:val="single" w:sz="4" w:space="0" w:color="auto"/>
            </w:tcBorders>
            <w:vAlign w:val="center"/>
            <w:hideMark/>
          </w:tcPr>
          <w:p w14:paraId="307983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2632721000</w:t>
            </w:r>
          </w:p>
        </w:tc>
        <w:tc>
          <w:tcPr>
            <w:tcW w:w="1012" w:type="dxa"/>
            <w:tcBorders>
              <w:top w:val="nil"/>
              <w:left w:val="nil"/>
              <w:bottom w:val="single" w:sz="4" w:space="0" w:color="auto"/>
              <w:right w:val="single" w:sz="4" w:space="0" w:color="auto"/>
            </w:tcBorders>
            <w:vAlign w:val="center"/>
            <w:hideMark/>
          </w:tcPr>
          <w:p w14:paraId="40BF11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75700751</w:t>
            </w:r>
          </w:p>
        </w:tc>
        <w:tc>
          <w:tcPr>
            <w:tcW w:w="5953" w:type="dxa"/>
            <w:tcBorders>
              <w:top w:val="nil"/>
              <w:left w:val="nil"/>
              <w:bottom w:val="single" w:sz="4" w:space="0" w:color="auto"/>
              <w:right w:val="single" w:sz="4" w:space="0" w:color="auto"/>
            </w:tcBorders>
            <w:noWrap/>
            <w:vAlign w:val="center"/>
            <w:hideMark/>
          </w:tcPr>
          <w:p w14:paraId="7D1F49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INŠPEKTORAT REPUBLIKE SLOVENIJE ZA OKOLJE IN ENERGIJO</w:t>
            </w:r>
          </w:p>
        </w:tc>
      </w:tr>
      <w:tr w:rsidR="00F24E18" w14:paraId="36848A6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A98C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319</w:t>
            </w:r>
          </w:p>
        </w:tc>
        <w:tc>
          <w:tcPr>
            <w:tcW w:w="1300" w:type="dxa"/>
            <w:tcBorders>
              <w:top w:val="nil"/>
              <w:left w:val="nil"/>
              <w:bottom w:val="single" w:sz="4" w:space="0" w:color="auto"/>
              <w:right w:val="single" w:sz="4" w:space="0" w:color="auto"/>
            </w:tcBorders>
            <w:noWrap/>
            <w:vAlign w:val="center"/>
            <w:hideMark/>
          </w:tcPr>
          <w:p w14:paraId="778471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5966604000</w:t>
            </w:r>
          </w:p>
        </w:tc>
        <w:tc>
          <w:tcPr>
            <w:tcW w:w="1012" w:type="dxa"/>
            <w:tcBorders>
              <w:top w:val="nil"/>
              <w:left w:val="nil"/>
              <w:bottom w:val="single" w:sz="4" w:space="0" w:color="auto"/>
              <w:right w:val="single" w:sz="4" w:space="0" w:color="auto"/>
            </w:tcBorders>
            <w:noWrap/>
            <w:vAlign w:val="center"/>
            <w:hideMark/>
          </w:tcPr>
          <w:p w14:paraId="2F04F4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13936409</w:t>
            </w:r>
          </w:p>
        </w:tc>
        <w:tc>
          <w:tcPr>
            <w:tcW w:w="5953" w:type="dxa"/>
            <w:tcBorders>
              <w:top w:val="nil"/>
              <w:left w:val="nil"/>
              <w:bottom w:val="single" w:sz="4" w:space="0" w:color="auto"/>
              <w:right w:val="single" w:sz="4" w:space="0" w:color="auto"/>
            </w:tcBorders>
            <w:noWrap/>
            <w:vAlign w:val="center"/>
            <w:hideMark/>
          </w:tcPr>
          <w:p w14:paraId="6C1681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INŠTITUT REPUBLIKE SLOVENIJE ZA SOCIALNO VARSTVO</w:t>
            </w:r>
          </w:p>
        </w:tc>
      </w:tr>
      <w:tr w:rsidR="00F24E18" w14:paraId="57A1D9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BDF7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320</w:t>
            </w:r>
          </w:p>
        </w:tc>
        <w:tc>
          <w:tcPr>
            <w:tcW w:w="1300" w:type="dxa"/>
            <w:tcBorders>
              <w:top w:val="nil"/>
              <w:left w:val="nil"/>
              <w:bottom w:val="single" w:sz="4" w:space="0" w:color="auto"/>
              <w:right w:val="single" w:sz="4" w:space="0" w:color="auto"/>
            </w:tcBorders>
            <w:vAlign w:val="center"/>
            <w:hideMark/>
          </w:tcPr>
          <w:p w14:paraId="33DADB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1279084000</w:t>
            </w:r>
          </w:p>
        </w:tc>
        <w:tc>
          <w:tcPr>
            <w:tcW w:w="1012" w:type="dxa"/>
            <w:tcBorders>
              <w:top w:val="nil"/>
              <w:left w:val="nil"/>
              <w:bottom w:val="single" w:sz="4" w:space="0" w:color="auto"/>
              <w:right w:val="single" w:sz="4" w:space="0" w:color="auto"/>
            </w:tcBorders>
            <w:vAlign w:val="center"/>
            <w:hideMark/>
          </w:tcPr>
          <w:p w14:paraId="6E2F7E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15237591</w:t>
            </w:r>
          </w:p>
        </w:tc>
        <w:tc>
          <w:tcPr>
            <w:tcW w:w="5953" w:type="dxa"/>
            <w:tcBorders>
              <w:top w:val="nil"/>
              <w:left w:val="nil"/>
              <w:bottom w:val="single" w:sz="4" w:space="0" w:color="auto"/>
              <w:right w:val="single" w:sz="4" w:space="0" w:color="auto"/>
            </w:tcBorders>
            <w:noWrap/>
            <w:vAlign w:val="center"/>
            <w:hideMark/>
          </w:tcPr>
          <w:p w14:paraId="2F046B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INŠTITUT UNIVERZE V LJUBLJANI ZA RAZVOJ INFRASTRUKTURE, D.O.O.</w:t>
            </w:r>
          </w:p>
        </w:tc>
      </w:tr>
      <w:tr w:rsidR="00F24E18" w14:paraId="532D21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1B3D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321</w:t>
            </w:r>
          </w:p>
        </w:tc>
        <w:tc>
          <w:tcPr>
            <w:tcW w:w="1300" w:type="dxa"/>
            <w:tcBorders>
              <w:top w:val="nil"/>
              <w:left w:val="nil"/>
              <w:bottom w:val="single" w:sz="4" w:space="0" w:color="auto"/>
              <w:right w:val="single" w:sz="4" w:space="0" w:color="auto"/>
            </w:tcBorders>
            <w:noWrap/>
            <w:vAlign w:val="center"/>
            <w:hideMark/>
          </w:tcPr>
          <w:p w14:paraId="6B0733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5051690000</w:t>
            </w:r>
          </w:p>
        </w:tc>
        <w:tc>
          <w:tcPr>
            <w:tcW w:w="1012" w:type="dxa"/>
            <w:tcBorders>
              <w:top w:val="nil"/>
              <w:left w:val="nil"/>
              <w:bottom w:val="single" w:sz="4" w:space="0" w:color="auto"/>
              <w:right w:val="single" w:sz="4" w:space="0" w:color="auto"/>
            </w:tcBorders>
            <w:vAlign w:val="center"/>
            <w:hideMark/>
          </w:tcPr>
          <w:p w14:paraId="0E5C1A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81438818</w:t>
            </w:r>
          </w:p>
        </w:tc>
        <w:tc>
          <w:tcPr>
            <w:tcW w:w="5953" w:type="dxa"/>
            <w:tcBorders>
              <w:top w:val="nil"/>
              <w:left w:val="nil"/>
              <w:bottom w:val="single" w:sz="4" w:space="0" w:color="auto"/>
              <w:right w:val="single" w:sz="4" w:space="0" w:color="auto"/>
            </w:tcBorders>
            <w:noWrap/>
            <w:vAlign w:val="center"/>
            <w:hideMark/>
          </w:tcPr>
          <w:p w14:paraId="7E6A68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INŠTITUT ZA EKONOMSKA RAZISKOVANJA</w:t>
            </w:r>
          </w:p>
        </w:tc>
      </w:tr>
      <w:tr w:rsidR="00F24E18" w14:paraId="4B5497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6C3B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322</w:t>
            </w:r>
          </w:p>
        </w:tc>
        <w:tc>
          <w:tcPr>
            <w:tcW w:w="1300" w:type="dxa"/>
            <w:tcBorders>
              <w:top w:val="nil"/>
              <w:left w:val="nil"/>
              <w:bottom w:val="single" w:sz="4" w:space="0" w:color="auto"/>
              <w:right w:val="single" w:sz="4" w:space="0" w:color="auto"/>
            </w:tcBorders>
            <w:noWrap/>
            <w:vAlign w:val="center"/>
            <w:hideMark/>
          </w:tcPr>
          <w:p w14:paraId="243514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5051762000</w:t>
            </w:r>
          </w:p>
        </w:tc>
        <w:tc>
          <w:tcPr>
            <w:tcW w:w="1012" w:type="dxa"/>
            <w:tcBorders>
              <w:top w:val="nil"/>
              <w:left w:val="nil"/>
              <w:bottom w:val="single" w:sz="4" w:space="0" w:color="auto"/>
              <w:right w:val="single" w:sz="4" w:space="0" w:color="auto"/>
            </w:tcBorders>
            <w:noWrap/>
            <w:vAlign w:val="center"/>
            <w:hideMark/>
          </w:tcPr>
          <w:p w14:paraId="236E6C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93987161</w:t>
            </w:r>
          </w:p>
        </w:tc>
        <w:tc>
          <w:tcPr>
            <w:tcW w:w="5953" w:type="dxa"/>
            <w:tcBorders>
              <w:top w:val="nil"/>
              <w:left w:val="nil"/>
              <w:bottom w:val="single" w:sz="4" w:space="0" w:color="auto"/>
              <w:right w:val="single" w:sz="4" w:space="0" w:color="auto"/>
            </w:tcBorders>
            <w:noWrap/>
            <w:vAlign w:val="center"/>
            <w:hideMark/>
          </w:tcPr>
          <w:p w14:paraId="5E4655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INŠTITUT ZA HMELJARSTVO IN PIVOVARSTVO SLOVENIJE</w:t>
            </w:r>
          </w:p>
        </w:tc>
      </w:tr>
      <w:tr w:rsidR="00F24E18" w14:paraId="6017585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3FCB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323</w:t>
            </w:r>
          </w:p>
        </w:tc>
        <w:tc>
          <w:tcPr>
            <w:tcW w:w="1300" w:type="dxa"/>
            <w:tcBorders>
              <w:top w:val="nil"/>
              <w:left w:val="nil"/>
              <w:bottom w:val="single" w:sz="4" w:space="0" w:color="auto"/>
              <w:right w:val="single" w:sz="4" w:space="0" w:color="auto"/>
            </w:tcBorders>
            <w:vAlign w:val="center"/>
            <w:hideMark/>
          </w:tcPr>
          <w:p w14:paraId="3563BD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5051622000</w:t>
            </w:r>
          </w:p>
        </w:tc>
        <w:tc>
          <w:tcPr>
            <w:tcW w:w="1012" w:type="dxa"/>
            <w:tcBorders>
              <w:top w:val="nil"/>
              <w:left w:val="nil"/>
              <w:bottom w:val="single" w:sz="4" w:space="0" w:color="auto"/>
              <w:right w:val="single" w:sz="4" w:space="0" w:color="auto"/>
            </w:tcBorders>
            <w:vAlign w:val="center"/>
            <w:hideMark/>
          </w:tcPr>
          <w:p w14:paraId="4E5DF4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19230052</w:t>
            </w:r>
          </w:p>
        </w:tc>
        <w:tc>
          <w:tcPr>
            <w:tcW w:w="5953" w:type="dxa"/>
            <w:tcBorders>
              <w:top w:val="nil"/>
              <w:left w:val="nil"/>
              <w:bottom w:val="single" w:sz="4" w:space="0" w:color="auto"/>
              <w:right w:val="single" w:sz="4" w:space="0" w:color="auto"/>
            </w:tcBorders>
            <w:noWrap/>
            <w:vAlign w:val="center"/>
            <w:hideMark/>
          </w:tcPr>
          <w:p w14:paraId="056DCB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INŠTITUT ZA KOVINSKE MATERIALE IN TEHNOLOGIJE</w:t>
            </w:r>
          </w:p>
        </w:tc>
      </w:tr>
      <w:tr w:rsidR="00F24E18" w14:paraId="4FFD0F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A575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324</w:t>
            </w:r>
          </w:p>
        </w:tc>
        <w:tc>
          <w:tcPr>
            <w:tcW w:w="1300" w:type="dxa"/>
            <w:tcBorders>
              <w:top w:val="nil"/>
              <w:left w:val="nil"/>
              <w:bottom w:val="single" w:sz="4" w:space="0" w:color="auto"/>
              <w:right w:val="single" w:sz="4" w:space="0" w:color="auto"/>
            </w:tcBorders>
            <w:noWrap/>
            <w:vAlign w:val="center"/>
            <w:hideMark/>
          </w:tcPr>
          <w:p w14:paraId="38AAAB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5051517000</w:t>
            </w:r>
          </w:p>
        </w:tc>
        <w:tc>
          <w:tcPr>
            <w:tcW w:w="1012" w:type="dxa"/>
            <w:tcBorders>
              <w:top w:val="nil"/>
              <w:left w:val="nil"/>
              <w:bottom w:val="single" w:sz="4" w:space="0" w:color="auto"/>
              <w:right w:val="single" w:sz="4" w:space="0" w:color="auto"/>
            </w:tcBorders>
            <w:noWrap/>
            <w:vAlign w:val="center"/>
            <w:hideMark/>
          </w:tcPr>
          <w:p w14:paraId="067EED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48643769</w:t>
            </w:r>
          </w:p>
        </w:tc>
        <w:tc>
          <w:tcPr>
            <w:tcW w:w="5953" w:type="dxa"/>
            <w:tcBorders>
              <w:top w:val="nil"/>
              <w:left w:val="nil"/>
              <w:bottom w:val="single" w:sz="4" w:space="0" w:color="auto"/>
              <w:right w:val="single" w:sz="4" w:space="0" w:color="auto"/>
            </w:tcBorders>
            <w:noWrap/>
            <w:vAlign w:val="center"/>
            <w:hideMark/>
          </w:tcPr>
          <w:p w14:paraId="4E7A96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INŠTITUT ZA NARODNOSTNA VPRAŠANJA</w:t>
            </w:r>
          </w:p>
        </w:tc>
      </w:tr>
      <w:tr w:rsidR="00F24E18" w14:paraId="2CB827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4DBE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325</w:t>
            </w:r>
          </w:p>
        </w:tc>
        <w:tc>
          <w:tcPr>
            <w:tcW w:w="1300" w:type="dxa"/>
            <w:tcBorders>
              <w:top w:val="nil"/>
              <w:left w:val="nil"/>
              <w:bottom w:val="single" w:sz="4" w:space="0" w:color="auto"/>
              <w:right w:val="single" w:sz="4" w:space="0" w:color="auto"/>
            </w:tcBorders>
            <w:vAlign w:val="center"/>
            <w:hideMark/>
          </w:tcPr>
          <w:p w14:paraId="5396D4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5055253000</w:t>
            </w:r>
          </w:p>
        </w:tc>
        <w:tc>
          <w:tcPr>
            <w:tcW w:w="1012" w:type="dxa"/>
            <w:tcBorders>
              <w:top w:val="nil"/>
              <w:left w:val="nil"/>
              <w:bottom w:val="single" w:sz="4" w:space="0" w:color="auto"/>
              <w:right w:val="single" w:sz="4" w:space="0" w:color="auto"/>
            </w:tcBorders>
            <w:vAlign w:val="center"/>
            <w:hideMark/>
          </w:tcPr>
          <w:p w14:paraId="5C7133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97072842</w:t>
            </w:r>
          </w:p>
        </w:tc>
        <w:tc>
          <w:tcPr>
            <w:tcW w:w="5953" w:type="dxa"/>
            <w:tcBorders>
              <w:top w:val="nil"/>
              <w:left w:val="nil"/>
              <w:bottom w:val="single" w:sz="4" w:space="0" w:color="auto"/>
              <w:right w:val="single" w:sz="4" w:space="0" w:color="auto"/>
            </w:tcBorders>
            <w:noWrap/>
            <w:vAlign w:val="center"/>
            <w:hideMark/>
          </w:tcPr>
          <w:p w14:paraId="7DC5EA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INŠTITUT ZA VODE REPUBLIKE SLOVENIJE</w:t>
            </w:r>
          </w:p>
        </w:tc>
      </w:tr>
      <w:tr w:rsidR="00F24E18" w14:paraId="7F04368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D56D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326</w:t>
            </w:r>
          </w:p>
        </w:tc>
        <w:tc>
          <w:tcPr>
            <w:tcW w:w="1300" w:type="dxa"/>
            <w:tcBorders>
              <w:top w:val="nil"/>
              <w:left w:val="nil"/>
              <w:bottom w:val="single" w:sz="4" w:space="0" w:color="auto"/>
              <w:right w:val="single" w:sz="4" w:space="0" w:color="auto"/>
            </w:tcBorders>
            <w:vAlign w:val="center"/>
            <w:hideMark/>
          </w:tcPr>
          <w:p w14:paraId="29CD5D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5045193000</w:t>
            </w:r>
          </w:p>
        </w:tc>
        <w:tc>
          <w:tcPr>
            <w:tcW w:w="1012" w:type="dxa"/>
            <w:tcBorders>
              <w:top w:val="nil"/>
              <w:left w:val="nil"/>
              <w:bottom w:val="single" w:sz="4" w:space="0" w:color="auto"/>
              <w:right w:val="single" w:sz="4" w:space="0" w:color="auto"/>
            </w:tcBorders>
            <w:vAlign w:val="center"/>
            <w:hideMark/>
          </w:tcPr>
          <w:p w14:paraId="4676F6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11446340</w:t>
            </w:r>
          </w:p>
        </w:tc>
        <w:tc>
          <w:tcPr>
            <w:tcW w:w="5953" w:type="dxa"/>
            <w:tcBorders>
              <w:top w:val="nil"/>
              <w:left w:val="nil"/>
              <w:bottom w:val="single" w:sz="4" w:space="0" w:color="auto"/>
              <w:right w:val="single" w:sz="4" w:space="0" w:color="auto"/>
            </w:tcBorders>
            <w:noWrap/>
            <w:vAlign w:val="center"/>
            <w:hideMark/>
          </w:tcPr>
          <w:p w14:paraId="5CE958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ISKRAEMECO, MERJENJE IN UPRAVLJANJE ENERGIJE, D.D.</w:t>
            </w:r>
          </w:p>
        </w:tc>
      </w:tr>
      <w:tr w:rsidR="00F24E18" w14:paraId="63CED7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AC19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327</w:t>
            </w:r>
          </w:p>
        </w:tc>
        <w:tc>
          <w:tcPr>
            <w:tcW w:w="1300" w:type="dxa"/>
            <w:tcBorders>
              <w:top w:val="nil"/>
              <w:left w:val="nil"/>
              <w:bottom w:val="single" w:sz="4" w:space="0" w:color="auto"/>
              <w:right w:val="single" w:sz="4" w:space="0" w:color="auto"/>
            </w:tcBorders>
            <w:noWrap/>
            <w:vAlign w:val="center"/>
            <w:hideMark/>
          </w:tcPr>
          <w:p w14:paraId="686C81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5082633000</w:t>
            </w:r>
          </w:p>
        </w:tc>
        <w:tc>
          <w:tcPr>
            <w:tcW w:w="1012" w:type="dxa"/>
            <w:tcBorders>
              <w:top w:val="nil"/>
              <w:left w:val="nil"/>
              <w:bottom w:val="single" w:sz="4" w:space="0" w:color="auto"/>
              <w:right w:val="single" w:sz="4" w:space="0" w:color="auto"/>
            </w:tcBorders>
            <w:noWrap/>
            <w:vAlign w:val="center"/>
            <w:hideMark/>
          </w:tcPr>
          <w:p w14:paraId="25BF5F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82175420</w:t>
            </w:r>
          </w:p>
        </w:tc>
        <w:tc>
          <w:tcPr>
            <w:tcW w:w="5953" w:type="dxa"/>
            <w:tcBorders>
              <w:top w:val="nil"/>
              <w:left w:val="nil"/>
              <w:bottom w:val="single" w:sz="4" w:space="0" w:color="auto"/>
              <w:right w:val="single" w:sz="4" w:space="0" w:color="auto"/>
            </w:tcBorders>
            <w:noWrap/>
            <w:vAlign w:val="center"/>
            <w:hideMark/>
          </w:tcPr>
          <w:p w14:paraId="39B4AF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IV. OSNOVNA ŠOLA CELJE</w:t>
            </w:r>
          </w:p>
        </w:tc>
      </w:tr>
      <w:tr w:rsidR="00F24E18" w14:paraId="683672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2DCA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328</w:t>
            </w:r>
          </w:p>
        </w:tc>
        <w:tc>
          <w:tcPr>
            <w:tcW w:w="1300" w:type="dxa"/>
            <w:tcBorders>
              <w:top w:val="nil"/>
              <w:left w:val="nil"/>
              <w:bottom w:val="single" w:sz="4" w:space="0" w:color="auto"/>
              <w:right w:val="single" w:sz="4" w:space="0" w:color="auto"/>
            </w:tcBorders>
            <w:noWrap/>
            <w:vAlign w:val="center"/>
            <w:hideMark/>
          </w:tcPr>
          <w:p w14:paraId="24CEAA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3394930000</w:t>
            </w:r>
          </w:p>
        </w:tc>
        <w:tc>
          <w:tcPr>
            <w:tcW w:w="1012" w:type="dxa"/>
            <w:tcBorders>
              <w:top w:val="nil"/>
              <w:left w:val="nil"/>
              <w:bottom w:val="single" w:sz="4" w:space="0" w:color="auto"/>
              <w:right w:val="single" w:sz="4" w:space="0" w:color="auto"/>
            </w:tcBorders>
            <w:noWrap/>
            <w:vAlign w:val="center"/>
            <w:hideMark/>
          </w:tcPr>
          <w:p w14:paraId="277E70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10607838</w:t>
            </w:r>
          </w:p>
        </w:tc>
        <w:tc>
          <w:tcPr>
            <w:tcW w:w="5953" w:type="dxa"/>
            <w:tcBorders>
              <w:top w:val="nil"/>
              <w:left w:val="nil"/>
              <w:bottom w:val="single" w:sz="4" w:space="0" w:color="auto"/>
              <w:right w:val="single" w:sz="4" w:space="0" w:color="auto"/>
            </w:tcBorders>
            <w:noWrap/>
            <w:vAlign w:val="center"/>
            <w:hideMark/>
          </w:tcPr>
          <w:p w14:paraId="38A335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IZOBRAŽEVALNI CENTER GEOSS D.O.O.</w:t>
            </w:r>
          </w:p>
        </w:tc>
      </w:tr>
      <w:tr w:rsidR="00F24E18" w14:paraId="127BBD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CC2A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329</w:t>
            </w:r>
          </w:p>
        </w:tc>
        <w:tc>
          <w:tcPr>
            <w:tcW w:w="1300" w:type="dxa"/>
            <w:tcBorders>
              <w:top w:val="nil"/>
              <w:left w:val="nil"/>
              <w:bottom w:val="single" w:sz="4" w:space="0" w:color="auto"/>
              <w:right w:val="single" w:sz="4" w:space="0" w:color="auto"/>
            </w:tcBorders>
            <w:vAlign w:val="center"/>
            <w:hideMark/>
          </w:tcPr>
          <w:p w14:paraId="329875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6283519000</w:t>
            </w:r>
          </w:p>
        </w:tc>
        <w:tc>
          <w:tcPr>
            <w:tcW w:w="1012" w:type="dxa"/>
            <w:tcBorders>
              <w:top w:val="nil"/>
              <w:left w:val="nil"/>
              <w:bottom w:val="single" w:sz="4" w:space="0" w:color="auto"/>
              <w:right w:val="single" w:sz="4" w:space="0" w:color="auto"/>
            </w:tcBorders>
            <w:vAlign w:val="center"/>
            <w:hideMark/>
          </w:tcPr>
          <w:p w14:paraId="1DDFDB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97712663</w:t>
            </w:r>
          </w:p>
        </w:tc>
        <w:tc>
          <w:tcPr>
            <w:tcW w:w="5953" w:type="dxa"/>
            <w:tcBorders>
              <w:top w:val="nil"/>
              <w:left w:val="nil"/>
              <w:bottom w:val="single" w:sz="4" w:space="0" w:color="auto"/>
              <w:right w:val="single" w:sz="4" w:space="0" w:color="auto"/>
            </w:tcBorders>
            <w:noWrap/>
            <w:vAlign w:val="center"/>
            <w:hideMark/>
          </w:tcPr>
          <w:p w14:paraId="2FEC2C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REPUBLIKE SLOVENIJE ZA SPODBUJANJE INVESTICIJ, PODJETNIŠTVA IN INTERNACIONALIZACIJE</w:t>
            </w:r>
          </w:p>
        </w:tc>
      </w:tr>
      <w:tr w:rsidR="00F24E18" w14:paraId="12FF26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151B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330</w:t>
            </w:r>
          </w:p>
        </w:tc>
        <w:tc>
          <w:tcPr>
            <w:tcW w:w="1300" w:type="dxa"/>
            <w:tcBorders>
              <w:top w:val="nil"/>
              <w:left w:val="nil"/>
              <w:bottom w:val="single" w:sz="4" w:space="0" w:color="auto"/>
              <w:right w:val="single" w:sz="4" w:space="0" w:color="auto"/>
            </w:tcBorders>
            <w:vAlign w:val="center"/>
            <w:hideMark/>
          </w:tcPr>
          <w:p w14:paraId="34C421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6889859000</w:t>
            </w:r>
          </w:p>
        </w:tc>
        <w:tc>
          <w:tcPr>
            <w:tcW w:w="1012" w:type="dxa"/>
            <w:tcBorders>
              <w:top w:val="nil"/>
              <w:left w:val="nil"/>
              <w:bottom w:val="single" w:sz="4" w:space="0" w:color="auto"/>
              <w:right w:val="single" w:sz="4" w:space="0" w:color="auto"/>
            </w:tcBorders>
            <w:vAlign w:val="center"/>
            <w:hideMark/>
          </w:tcPr>
          <w:p w14:paraId="6347DE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93477902</w:t>
            </w:r>
          </w:p>
        </w:tc>
        <w:tc>
          <w:tcPr>
            <w:tcW w:w="5953" w:type="dxa"/>
            <w:tcBorders>
              <w:top w:val="nil"/>
              <w:left w:val="nil"/>
              <w:bottom w:val="single" w:sz="4" w:space="0" w:color="auto"/>
              <w:right w:val="single" w:sz="4" w:space="0" w:color="auto"/>
            </w:tcBorders>
            <w:noWrap/>
            <w:vAlign w:val="center"/>
            <w:hideMark/>
          </w:tcPr>
          <w:p w14:paraId="573E7A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REPUBLIKE SLOVENIJE ZA TRŽENJE IN PROMOCIJO TURIZMA</w:t>
            </w:r>
          </w:p>
        </w:tc>
      </w:tr>
      <w:tr w:rsidR="00F24E18" w14:paraId="47D7404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684F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331</w:t>
            </w:r>
          </w:p>
        </w:tc>
        <w:tc>
          <w:tcPr>
            <w:tcW w:w="1300" w:type="dxa"/>
            <w:tcBorders>
              <w:top w:val="nil"/>
              <w:left w:val="nil"/>
              <w:bottom w:val="single" w:sz="4" w:space="0" w:color="auto"/>
              <w:right w:val="single" w:sz="4" w:space="0" w:color="auto"/>
            </w:tcBorders>
            <w:vAlign w:val="center"/>
            <w:hideMark/>
          </w:tcPr>
          <w:p w14:paraId="79C997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3788164000</w:t>
            </w:r>
          </w:p>
        </w:tc>
        <w:tc>
          <w:tcPr>
            <w:tcW w:w="1012" w:type="dxa"/>
            <w:tcBorders>
              <w:top w:val="nil"/>
              <w:left w:val="nil"/>
              <w:bottom w:val="single" w:sz="4" w:space="0" w:color="auto"/>
              <w:right w:val="single" w:sz="4" w:space="0" w:color="auto"/>
            </w:tcBorders>
            <w:vAlign w:val="center"/>
            <w:hideMark/>
          </w:tcPr>
          <w:p w14:paraId="45D08B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23272856</w:t>
            </w:r>
          </w:p>
        </w:tc>
        <w:tc>
          <w:tcPr>
            <w:tcW w:w="5953" w:type="dxa"/>
            <w:tcBorders>
              <w:top w:val="nil"/>
              <w:left w:val="nil"/>
              <w:bottom w:val="single" w:sz="4" w:space="0" w:color="auto"/>
              <w:right w:val="single" w:sz="4" w:space="0" w:color="auto"/>
            </w:tcBorders>
            <w:noWrap/>
            <w:vAlign w:val="center"/>
            <w:hideMark/>
          </w:tcPr>
          <w:p w14:paraId="6C7B0E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REPUBLIKE SLOVENIJE ZA VARNOST PROMETA</w:t>
            </w:r>
          </w:p>
        </w:tc>
      </w:tr>
      <w:tr w:rsidR="00F24E18" w14:paraId="148817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CA7E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332</w:t>
            </w:r>
          </w:p>
        </w:tc>
        <w:tc>
          <w:tcPr>
            <w:tcW w:w="1300" w:type="dxa"/>
            <w:tcBorders>
              <w:top w:val="nil"/>
              <w:left w:val="nil"/>
              <w:bottom w:val="single" w:sz="4" w:space="0" w:color="auto"/>
              <w:right w:val="single" w:sz="4" w:space="0" w:color="auto"/>
            </w:tcBorders>
            <w:noWrap/>
            <w:vAlign w:val="center"/>
            <w:hideMark/>
          </w:tcPr>
          <w:p w14:paraId="1E5DF4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6280757000</w:t>
            </w:r>
          </w:p>
        </w:tc>
        <w:tc>
          <w:tcPr>
            <w:tcW w:w="1012" w:type="dxa"/>
            <w:tcBorders>
              <w:top w:val="nil"/>
              <w:left w:val="nil"/>
              <w:bottom w:val="single" w:sz="4" w:space="0" w:color="auto"/>
              <w:right w:val="single" w:sz="4" w:space="0" w:color="auto"/>
            </w:tcBorders>
            <w:noWrap/>
            <w:vAlign w:val="center"/>
            <w:hideMark/>
          </w:tcPr>
          <w:p w14:paraId="1588E9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17283035</w:t>
            </w:r>
          </w:p>
        </w:tc>
        <w:tc>
          <w:tcPr>
            <w:tcW w:w="5953" w:type="dxa"/>
            <w:tcBorders>
              <w:top w:val="nil"/>
              <w:left w:val="nil"/>
              <w:bottom w:val="single" w:sz="4" w:space="0" w:color="auto"/>
              <w:right w:val="single" w:sz="4" w:space="0" w:color="auto"/>
            </w:tcBorders>
            <w:noWrap/>
            <w:vAlign w:val="center"/>
            <w:hideMark/>
          </w:tcPr>
          <w:p w14:paraId="408049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REPUBLIKE SLOVENIJE ZA VARSTVO KONKURENCE</w:t>
            </w:r>
          </w:p>
        </w:tc>
      </w:tr>
      <w:tr w:rsidR="00F24E18" w14:paraId="19F8738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E7AF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333</w:t>
            </w:r>
          </w:p>
        </w:tc>
        <w:tc>
          <w:tcPr>
            <w:tcW w:w="1300" w:type="dxa"/>
            <w:tcBorders>
              <w:top w:val="nil"/>
              <w:left w:val="nil"/>
              <w:bottom w:val="single" w:sz="4" w:space="0" w:color="auto"/>
              <w:right w:val="single" w:sz="4" w:space="0" w:color="auto"/>
            </w:tcBorders>
            <w:vAlign w:val="center"/>
            <w:hideMark/>
          </w:tcPr>
          <w:p w14:paraId="2A3EBA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2256584000</w:t>
            </w:r>
          </w:p>
        </w:tc>
        <w:tc>
          <w:tcPr>
            <w:tcW w:w="1012" w:type="dxa"/>
            <w:tcBorders>
              <w:top w:val="nil"/>
              <w:left w:val="nil"/>
              <w:bottom w:val="single" w:sz="4" w:space="0" w:color="auto"/>
              <w:right w:val="single" w:sz="4" w:space="0" w:color="auto"/>
            </w:tcBorders>
            <w:vAlign w:val="center"/>
            <w:hideMark/>
          </w:tcPr>
          <w:p w14:paraId="437F0F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24862185</w:t>
            </w:r>
          </w:p>
        </w:tc>
        <w:tc>
          <w:tcPr>
            <w:tcW w:w="5953" w:type="dxa"/>
            <w:tcBorders>
              <w:top w:val="nil"/>
              <w:left w:val="nil"/>
              <w:bottom w:val="single" w:sz="4" w:space="0" w:color="auto"/>
              <w:right w:val="single" w:sz="4" w:space="0" w:color="auto"/>
            </w:tcBorders>
            <w:noWrap/>
            <w:vAlign w:val="center"/>
            <w:hideMark/>
          </w:tcPr>
          <w:p w14:paraId="7C9277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REPUBLIKE SLOVENIJE ZA ZDRAVILA IN MEDICINSKE PRIPOMOČKE</w:t>
            </w:r>
          </w:p>
        </w:tc>
      </w:tr>
      <w:tr w:rsidR="00F24E18" w14:paraId="517939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7514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334</w:t>
            </w:r>
          </w:p>
        </w:tc>
        <w:tc>
          <w:tcPr>
            <w:tcW w:w="1300" w:type="dxa"/>
            <w:tcBorders>
              <w:top w:val="nil"/>
              <w:left w:val="nil"/>
              <w:bottom w:val="single" w:sz="4" w:space="0" w:color="auto"/>
              <w:right w:val="single" w:sz="4" w:space="0" w:color="auto"/>
            </w:tcBorders>
            <w:vAlign w:val="center"/>
            <w:hideMark/>
          </w:tcPr>
          <w:p w14:paraId="0595DD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3933083000</w:t>
            </w:r>
          </w:p>
        </w:tc>
        <w:tc>
          <w:tcPr>
            <w:tcW w:w="1012" w:type="dxa"/>
            <w:tcBorders>
              <w:top w:val="nil"/>
              <w:left w:val="nil"/>
              <w:bottom w:val="single" w:sz="4" w:space="0" w:color="auto"/>
              <w:right w:val="single" w:sz="4" w:space="0" w:color="auto"/>
            </w:tcBorders>
            <w:vAlign w:val="center"/>
            <w:hideMark/>
          </w:tcPr>
          <w:p w14:paraId="616019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62730436</w:t>
            </w:r>
          </w:p>
        </w:tc>
        <w:tc>
          <w:tcPr>
            <w:tcW w:w="5953" w:type="dxa"/>
            <w:tcBorders>
              <w:top w:val="nil"/>
              <w:left w:val="nil"/>
              <w:bottom w:val="single" w:sz="4" w:space="0" w:color="auto"/>
              <w:right w:val="single" w:sz="4" w:space="0" w:color="auto"/>
            </w:tcBorders>
            <w:noWrap/>
            <w:vAlign w:val="center"/>
            <w:hideMark/>
          </w:tcPr>
          <w:p w14:paraId="3EB56F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ZA CIVILNO LETALSTVO REPUBLIKE SLOVENIJE</w:t>
            </w:r>
          </w:p>
        </w:tc>
      </w:tr>
      <w:tr w:rsidR="00F24E18" w14:paraId="22B9E1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9EA7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335</w:t>
            </w:r>
          </w:p>
        </w:tc>
        <w:tc>
          <w:tcPr>
            <w:tcW w:w="1300" w:type="dxa"/>
            <w:tcBorders>
              <w:top w:val="nil"/>
              <w:left w:val="nil"/>
              <w:bottom w:val="single" w:sz="4" w:space="0" w:color="auto"/>
              <w:right w:val="single" w:sz="4" w:space="0" w:color="auto"/>
            </w:tcBorders>
            <w:vAlign w:val="center"/>
            <w:hideMark/>
          </w:tcPr>
          <w:p w14:paraId="0B8444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3367622000</w:t>
            </w:r>
          </w:p>
        </w:tc>
        <w:tc>
          <w:tcPr>
            <w:tcW w:w="1012" w:type="dxa"/>
            <w:tcBorders>
              <w:top w:val="nil"/>
              <w:left w:val="nil"/>
              <w:bottom w:val="single" w:sz="4" w:space="0" w:color="auto"/>
              <w:right w:val="single" w:sz="4" w:space="0" w:color="auto"/>
            </w:tcBorders>
            <w:vAlign w:val="center"/>
            <w:hideMark/>
          </w:tcPr>
          <w:p w14:paraId="6C3970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68569203</w:t>
            </w:r>
          </w:p>
        </w:tc>
        <w:tc>
          <w:tcPr>
            <w:tcW w:w="5953" w:type="dxa"/>
            <w:tcBorders>
              <w:top w:val="nil"/>
              <w:left w:val="nil"/>
              <w:bottom w:val="single" w:sz="4" w:space="0" w:color="auto"/>
              <w:right w:val="single" w:sz="4" w:space="0" w:color="auto"/>
            </w:tcBorders>
            <w:noWrap/>
            <w:vAlign w:val="center"/>
            <w:hideMark/>
          </w:tcPr>
          <w:p w14:paraId="72AE45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ZA KNJIGO REPUBLIKE SLOVENIJE</w:t>
            </w:r>
          </w:p>
        </w:tc>
      </w:tr>
      <w:tr w:rsidR="00F24E18" w14:paraId="415472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0B20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336</w:t>
            </w:r>
          </w:p>
        </w:tc>
        <w:tc>
          <w:tcPr>
            <w:tcW w:w="1300" w:type="dxa"/>
            <w:tcBorders>
              <w:top w:val="nil"/>
              <w:left w:val="nil"/>
              <w:bottom w:val="single" w:sz="4" w:space="0" w:color="auto"/>
              <w:right w:val="single" w:sz="4" w:space="0" w:color="auto"/>
            </w:tcBorders>
            <w:noWrap/>
            <w:vAlign w:val="center"/>
            <w:hideMark/>
          </w:tcPr>
          <w:p w14:paraId="55F202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1937286000</w:t>
            </w:r>
          </w:p>
        </w:tc>
        <w:tc>
          <w:tcPr>
            <w:tcW w:w="1012" w:type="dxa"/>
            <w:tcBorders>
              <w:top w:val="nil"/>
              <w:left w:val="nil"/>
              <w:bottom w:val="single" w:sz="4" w:space="0" w:color="auto"/>
              <w:right w:val="single" w:sz="4" w:space="0" w:color="auto"/>
            </w:tcBorders>
            <w:noWrap/>
            <w:vAlign w:val="center"/>
            <w:hideMark/>
          </w:tcPr>
          <w:p w14:paraId="404F93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88431452</w:t>
            </w:r>
          </w:p>
        </w:tc>
        <w:tc>
          <w:tcPr>
            <w:tcW w:w="5953" w:type="dxa"/>
            <w:tcBorders>
              <w:top w:val="nil"/>
              <w:left w:val="nil"/>
              <w:bottom w:val="single" w:sz="4" w:space="0" w:color="auto"/>
              <w:right w:val="single" w:sz="4" w:space="0" w:color="auto"/>
            </w:tcBorders>
            <w:noWrap/>
            <w:vAlign w:val="center"/>
            <w:hideMark/>
          </w:tcPr>
          <w:p w14:paraId="47C73B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ZA RAZISKOVALNO DEJAVNOST REPUBLIKE SLOVENIJE</w:t>
            </w:r>
          </w:p>
        </w:tc>
      </w:tr>
      <w:tr w:rsidR="00F24E18" w14:paraId="5665433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AD4D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337</w:t>
            </w:r>
          </w:p>
        </w:tc>
        <w:tc>
          <w:tcPr>
            <w:tcW w:w="1300" w:type="dxa"/>
            <w:tcBorders>
              <w:top w:val="nil"/>
              <w:left w:val="nil"/>
              <w:bottom w:val="single" w:sz="4" w:space="0" w:color="auto"/>
              <w:right w:val="single" w:sz="4" w:space="0" w:color="auto"/>
            </w:tcBorders>
            <w:vAlign w:val="center"/>
            <w:hideMark/>
          </w:tcPr>
          <w:p w14:paraId="168E1A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9390847000</w:t>
            </w:r>
          </w:p>
        </w:tc>
        <w:tc>
          <w:tcPr>
            <w:tcW w:w="1012" w:type="dxa"/>
            <w:tcBorders>
              <w:top w:val="nil"/>
              <w:left w:val="nil"/>
              <w:bottom w:val="single" w:sz="4" w:space="0" w:color="auto"/>
              <w:right w:val="single" w:sz="4" w:space="0" w:color="auto"/>
            </w:tcBorders>
            <w:vAlign w:val="center"/>
            <w:hideMark/>
          </w:tcPr>
          <w:p w14:paraId="64A010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31434860</w:t>
            </w:r>
          </w:p>
        </w:tc>
        <w:tc>
          <w:tcPr>
            <w:tcW w:w="5953" w:type="dxa"/>
            <w:tcBorders>
              <w:top w:val="nil"/>
              <w:left w:val="nil"/>
              <w:bottom w:val="single" w:sz="4" w:space="0" w:color="auto"/>
              <w:right w:val="single" w:sz="4" w:space="0" w:color="auto"/>
            </w:tcBorders>
            <w:noWrap/>
            <w:vAlign w:val="center"/>
            <w:hideMark/>
          </w:tcPr>
          <w:p w14:paraId="6B9BE3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ZA ZNANSTVENORAZISKOVALNO IN INOVACIJSKO DEJAVNOST REPUBLIKE SLOVENIJE</w:t>
            </w:r>
          </w:p>
        </w:tc>
      </w:tr>
      <w:tr w:rsidR="00F24E18" w14:paraId="6045D1C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CFF0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338</w:t>
            </w:r>
          </w:p>
        </w:tc>
        <w:tc>
          <w:tcPr>
            <w:tcW w:w="1300" w:type="dxa"/>
            <w:tcBorders>
              <w:top w:val="nil"/>
              <w:left w:val="nil"/>
              <w:bottom w:val="single" w:sz="4" w:space="0" w:color="auto"/>
              <w:right w:val="single" w:sz="4" w:space="0" w:color="auto"/>
            </w:tcBorders>
            <w:vAlign w:val="center"/>
            <w:hideMark/>
          </w:tcPr>
          <w:p w14:paraId="15389A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1834452000</w:t>
            </w:r>
          </w:p>
        </w:tc>
        <w:tc>
          <w:tcPr>
            <w:tcW w:w="1012" w:type="dxa"/>
            <w:tcBorders>
              <w:top w:val="nil"/>
              <w:left w:val="nil"/>
              <w:bottom w:val="single" w:sz="4" w:space="0" w:color="auto"/>
              <w:right w:val="single" w:sz="4" w:space="0" w:color="auto"/>
            </w:tcBorders>
            <w:vAlign w:val="center"/>
            <w:hideMark/>
          </w:tcPr>
          <w:p w14:paraId="3796BA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19339496</w:t>
            </w:r>
          </w:p>
        </w:tc>
        <w:tc>
          <w:tcPr>
            <w:tcW w:w="5953" w:type="dxa"/>
            <w:tcBorders>
              <w:top w:val="nil"/>
              <w:left w:val="nil"/>
              <w:bottom w:val="single" w:sz="4" w:space="0" w:color="auto"/>
              <w:right w:val="single" w:sz="4" w:space="0" w:color="auto"/>
            </w:tcBorders>
            <w:noWrap/>
            <w:vAlign w:val="center"/>
            <w:hideMark/>
          </w:tcPr>
          <w:p w14:paraId="2C875E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JAVNA AGENCIJA ZA ŽELEZNIŠKI PROMET REPUBLIKE SLOVENIJE</w:t>
            </w:r>
          </w:p>
        </w:tc>
      </w:tr>
      <w:tr w:rsidR="00F24E18" w14:paraId="56C216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8E8F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w:t>
            </w:r>
          </w:p>
        </w:tc>
        <w:tc>
          <w:tcPr>
            <w:tcW w:w="1300" w:type="dxa"/>
            <w:tcBorders>
              <w:top w:val="nil"/>
              <w:left w:val="nil"/>
              <w:bottom w:val="single" w:sz="4" w:space="0" w:color="auto"/>
              <w:right w:val="single" w:sz="4" w:space="0" w:color="auto"/>
            </w:tcBorders>
            <w:vAlign w:val="center"/>
            <w:hideMark/>
          </w:tcPr>
          <w:p w14:paraId="052C75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3441890000</w:t>
            </w:r>
          </w:p>
        </w:tc>
        <w:tc>
          <w:tcPr>
            <w:tcW w:w="1012" w:type="dxa"/>
            <w:tcBorders>
              <w:top w:val="nil"/>
              <w:left w:val="nil"/>
              <w:bottom w:val="single" w:sz="4" w:space="0" w:color="auto"/>
              <w:right w:val="single" w:sz="4" w:space="0" w:color="auto"/>
            </w:tcBorders>
            <w:vAlign w:val="center"/>
            <w:hideMark/>
          </w:tcPr>
          <w:p w14:paraId="15A128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92851525</w:t>
            </w:r>
          </w:p>
        </w:tc>
        <w:tc>
          <w:tcPr>
            <w:tcW w:w="5953" w:type="dxa"/>
            <w:tcBorders>
              <w:top w:val="nil"/>
              <w:left w:val="nil"/>
              <w:bottom w:val="single" w:sz="4" w:space="0" w:color="auto"/>
              <w:right w:val="single" w:sz="4" w:space="0" w:color="auto"/>
            </w:tcBorders>
            <w:noWrap/>
            <w:vAlign w:val="center"/>
            <w:hideMark/>
          </w:tcPr>
          <w:p w14:paraId="62A7B4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JAVNE SLUŽBE PTUJ, PODJETJE ZA IZVAJANJE GOSPODARSKIH JAVNIH SLUŽB IN DRUGIH DEJAVNOSTI, D.O.O.</w:t>
            </w:r>
          </w:p>
        </w:tc>
      </w:tr>
      <w:tr w:rsidR="00F24E18" w14:paraId="671801A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EE1E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340</w:t>
            </w:r>
          </w:p>
        </w:tc>
        <w:tc>
          <w:tcPr>
            <w:tcW w:w="1300" w:type="dxa"/>
            <w:tcBorders>
              <w:top w:val="nil"/>
              <w:left w:val="nil"/>
              <w:bottom w:val="single" w:sz="4" w:space="0" w:color="auto"/>
              <w:right w:val="single" w:sz="4" w:space="0" w:color="auto"/>
            </w:tcBorders>
            <w:vAlign w:val="center"/>
            <w:hideMark/>
          </w:tcPr>
          <w:p w14:paraId="401FB0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1685953000</w:t>
            </w:r>
          </w:p>
        </w:tc>
        <w:tc>
          <w:tcPr>
            <w:tcW w:w="1012" w:type="dxa"/>
            <w:tcBorders>
              <w:top w:val="nil"/>
              <w:left w:val="nil"/>
              <w:bottom w:val="single" w:sz="4" w:space="0" w:color="auto"/>
              <w:right w:val="single" w:sz="4" w:space="0" w:color="auto"/>
            </w:tcBorders>
            <w:vAlign w:val="center"/>
            <w:hideMark/>
          </w:tcPr>
          <w:p w14:paraId="1AB980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17471257</w:t>
            </w:r>
          </w:p>
        </w:tc>
        <w:tc>
          <w:tcPr>
            <w:tcW w:w="5953" w:type="dxa"/>
            <w:tcBorders>
              <w:top w:val="nil"/>
              <w:left w:val="nil"/>
              <w:bottom w:val="single" w:sz="4" w:space="0" w:color="auto"/>
              <w:right w:val="single" w:sz="4" w:space="0" w:color="auto"/>
            </w:tcBorders>
            <w:noWrap/>
            <w:vAlign w:val="center"/>
            <w:hideMark/>
          </w:tcPr>
          <w:p w14:paraId="59748B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GOSPODARSKI ZAVOD PROTOKOLARNE STORITVE REPUBLIKE SLOVENIJE</w:t>
            </w:r>
          </w:p>
        </w:tc>
      </w:tr>
      <w:tr w:rsidR="00F24E18" w14:paraId="5DF4E3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04CC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341</w:t>
            </w:r>
          </w:p>
        </w:tc>
        <w:tc>
          <w:tcPr>
            <w:tcW w:w="1300" w:type="dxa"/>
            <w:tcBorders>
              <w:top w:val="nil"/>
              <w:left w:val="nil"/>
              <w:bottom w:val="single" w:sz="4" w:space="0" w:color="auto"/>
              <w:right w:val="single" w:sz="4" w:space="0" w:color="auto"/>
            </w:tcBorders>
            <w:vAlign w:val="center"/>
            <w:hideMark/>
          </w:tcPr>
          <w:p w14:paraId="16391E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6785867000</w:t>
            </w:r>
          </w:p>
        </w:tc>
        <w:tc>
          <w:tcPr>
            <w:tcW w:w="1012" w:type="dxa"/>
            <w:tcBorders>
              <w:top w:val="nil"/>
              <w:left w:val="nil"/>
              <w:bottom w:val="single" w:sz="4" w:space="0" w:color="auto"/>
              <w:right w:val="single" w:sz="4" w:space="0" w:color="auto"/>
            </w:tcBorders>
            <w:vAlign w:val="center"/>
            <w:hideMark/>
          </w:tcPr>
          <w:p w14:paraId="2849EE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74107879</w:t>
            </w:r>
          </w:p>
        </w:tc>
        <w:tc>
          <w:tcPr>
            <w:tcW w:w="5953" w:type="dxa"/>
            <w:tcBorders>
              <w:top w:val="nil"/>
              <w:left w:val="nil"/>
              <w:bottom w:val="single" w:sz="4" w:space="0" w:color="auto"/>
              <w:right w:val="single" w:sz="4" w:space="0" w:color="auto"/>
            </w:tcBorders>
            <w:noWrap/>
            <w:vAlign w:val="center"/>
            <w:hideMark/>
          </w:tcPr>
          <w:p w14:paraId="3751F3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GOSPODARSKI ZAVOD RINKA</w:t>
            </w:r>
          </w:p>
        </w:tc>
      </w:tr>
      <w:tr w:rsidR="00F24E18" w14:paraId="4CFE1F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C6DC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342</w:t>
            </w:r>
          </w:p>
        </w:tc>
        <w:tc>
          <w:tcPr>
            <w:tcW w:w="1300" w:type="dxa"/>
            <w:tcBorders>
              <w:top w:val="nil"/>
              <w:left w:val="nil"/>
              <w:bottom w:val="single" w:sz="4" w:space="0" w:color="auto"/>
              <w:right w:val="single" w:sz="4" w:space="0" w:color="auto"/>
            </w:tcBorders>
            <w:vAlign w:val="center"/>
            <w:hideMark/>
          </w:tcPr>
          <w:p w14:paraId="65FA11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5860199000</w:t>
            </w:r>
          </w:p>
        </w:tc>
        <w:tc>
          <w:tcPr>
            <w:tcW w:w="1012" w:type="dxa"/>
            <w:tcBorders>
              <w:top w:val="nil"/>
              <w:left w:val="nil"/>
              <w:bottom w:val="single" w:sz="4" w:space="0" w:color="auto"/>
              <w:right w:val="single" w:sz="4" w:space="0" w:color="auto"/>
            </w:tcBorders>
            <w:vAlign w:val="center"/>
            <w:hideMark/>
          </w:tcPr>
          <w:p w14:paraId="4586E2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57209294</w:t>
            </w:r>
          </w:p>
        </w:tc>
        <w:tc>
          <w:tcPr>
            <w:tcW w:w="5953" w:type="dxa"/>
            <w:tcBorders>
              <w:top w:val="nil"/>
              <w:left w:val="nil"/>
              <w:bottom w:val="single" w:sz="4" w:space="0" w:color="auto"/>
              <w:right w:val="single" w:sz="4" w:space="0" w:color="auto"/>
            </w:tcBorders>
            <w:noWrap/>
            <w:vAlign w:val="center"/>
            <w:hideMark/>
          </w:tcPr>
          <w:p w14:paraId="62B822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HOLDING LJUBLJANA, D.O.O., DRUŽBA ZA IZVAJANJE STROKOVNIH IN RAZVOJNIH NALOG NA PODROČJU GOSPODARSKIH JAVNIH SLUŽB</w:t>
            </w:r>
          </w:p>
        </w:tc>
      </w:tr>
      <w:tr w:rsidR="00F24E18" w14:paraId="21AB0E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0DB9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343</w:t>
            </w:r>
          </w:p>
        </w:tc>
        <w:tc>
          <w:tcPr>
            <w:tcW w:w="1300" w:type="dxa"/>
            <w:tcBorders>
              <w:top w:val="nil"/>
              <w:left w:val="nil"/>
              <w:bottom w:val="single" w:sz="4" w:space="0" w:color="auto"/>
              <w:right w:val="single" w:sz="4" w:space="0" w:color="auto"/>
            </w:tcBorders>
            <w:vAlign w:val="center"/>
            <w:hideMark/>
          </w:tcPr>
          <w:p w14:paraId="45A247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8709459000</w:t>
            </w:r>
          </w:p>
        </w:tc>
        <w:tc>
          <w:tcPr>
            <w:tcW w:w="1012" w:type="dxa"/>
            <w:tcBorders>
              <w:top w:val="nil"/>
              <w:left w:val="nil"/>
              <w:bottom w:val="single" w:sz="4" w:space="0" w:color="auto"/>
              <w:right w:val="single" w:sz="4" w:space="0" w:color="auto"/>
            </w:tcBorders>
            <w:vAlign w:val="center"/>
            <w:hideMark/>
          </w:tcPr>
          <w:p w14:paraId="7DA5D4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56143028</w:t>
            </w:r>
          </w:p>
        </w:tc>
        <w:tc>
          <w:tcPr>
            <w:tcW w:w="5953" w:type="dxa"/>
            <w:tcBorders>
              <w:top w:val="nil"/>
              <w:left w:val="nil"/>
              <w:bottom w:val="single" w:sz="4" w:space="0" w:color="auto"/>
              <w:right w:val="single" w:sz="4" w:space="0" w:color="auto"/>
            </w:tcBorders>
            <w:noWrap/>
            <w:vAlign w:val="center"/>
            <w:hideMark/>
          </w:tcPr>
          <w:p w14:paraId="5DDDD1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HOLDING MARIBOR, DRUŽBA ZA IZVAJANJE STROKOVNIH IN RAZVOJNIH NALOG NA PODROČJU GOSPODARSKIH JAVNIH SLUŽB D.O.O.</w:t>
            </w:r>
          </w:p>
        </w:tc>
      </w:tr>
      <w:tr w:rsidR="00F24E18" w14:paraId="46C4B35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630E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344</w:t>
            </w:r>
          </w:p>
        </w:tc>
        <w:tc>
          <w:tcPr>
            <w:tcW w:w="1300" w:type="dxa"/>
            <w:tcBorders>
              <w:top w:val="nil"/>
              <w:left w:val="nil"/>
              <w:bottom w:val="single" w:sz="4" w:space="0" w:color="auto"/>
              <w:right w:val="single" w:sz="4" w:space="0" w:color="auto"/>
            </w:tcBorders>
            <w:noWrap/>
            <w:vAlign w:val="center"/>
            <w:hideMark/>
          </w:tcPr>
          <w:p w14:paraId="051E41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5198984000</w:t>
            </w:r>
          </w:p>
        </w:tc>
        <w:tc>
          <w:tcPr>
            <w:tcW w:w="1012" w:type="dxa"/>
            <w:tcBorders>
              <w:top w:val="nil"/>
              <w:left w:val="nil"/>
              <w:bottom w:val="single" w:sz="4" w:space="0" w:color="auto"/>
              <w:right w:val="single" w:sz="4" w:space="0" w:color="auto"/>
            </w:tcBorders>
            <w:noWrap/>
            <w:vAlign w:val="center"/>
            <w:hideMark/>
          </w:tcPr>
          <w:p w14:paraId="74B116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32984375</w:t>
            </w:r>
          </w:p>
        </w:tc>
        <w:tc>
          <w:tcPr>
            <w:tcW w:w="5953" w:type="dxa"/>
            <w:tcBorders>
              <w:top w:val="nil"/>
              <w:left w:val="nil"/>
              <w:bottom w:val="single" w:sz="4" w:space="0" w:color="auto"/>
              <w:right w:val="single" w:sz="4" w:space="0" w:color="auto"/>
            </w:tcBorders>
            <w:noWrap/>
            <w:vAlign w:val="center"/>
            <w:hideMark/>
          </w:tcPr>
          <w:p w14:paraId="48C4F3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LEKARNIŠKI ZAVOD DOLENJSKE LEKARNE NOVO MESTO</w:t>
            </w:r>
          </w:p>
        </w:tc>
      </w:tr>
      <w:tr w:rsidR="00F24E18" w14:paraId="0729CC1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2046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345</w:t>
            </w:r>
          </w:p>
        </w:tc>
        <w:tc>
          <w:tcPr>
            <w:tcW w:w="1300" w:type="dxa"/>
            <w:tcBorders>
              <w:top w:val="nil"/>
              <w:left w:val="nil"/>
              <w:bottom w:val="single" w:sz="4" w:space="0" w:color="auto"/>
              <w:right w:val="single" w:sz="4" w:space="0" w:color="auto"/>
            </w:tcBorders>
            <w:vAlign w:val="center"/>
            <w:hideMark/>
          </w:tcPr>
          <w:p w14:paraId="084063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5053838000</w:t>
            </w:r>
          </w:p>
        </w:tc>
        <w:tc>
          <w:tcPr>
            <w:tcW w:w="1012" w:type="dxa"/>
            <w:tcBorders>
              <w:top w:val="nil"/>
              <w:left w:val="nil"/>
              <w:bottom w:val="single" w:sz="4" w:space="0" w:color="auto"/>
              <w:right w:val="single" w:sz="4" w:space="0" w:color="auto"/>
            </w:tcBorders>
            <w:vAlign w:val="center"/>
            <w:hideMark/>
          </w:tcPr>
          <w:p w14:paraId="29462B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95883312</w:t>
            </w:r>
          </w:p>
        </w:tc>
        <w:tc>
          <w:tcPr>
            <w:tcW w:w="5953" w:type="dxa"/>
            <w:tcBorders>
              <w:top w:val="nil"/>
              <w:left w:val="nil"/>
              <w:bottom w:val="single" w:sz="4" w:space="0" w:color="auto"/>
              <w:right w:val="single" w:sz="4" w:space="0" w:color="auto"/>
            </w:tcBorders>
            <w:noWrap/>
            <w:vAlign w:val="center"/>
            <w:hideMark/>
          </w:tcPr>
          <w:p w14:paraId="03FFCB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LEKARNIŠKI ZAVOD GORENJSKE LEKARNE</w:t>
            </w:r>
          </w:p>
        </w:tc>
      </w:tr>
      <w:tr w:rsidR="00F24E18" w14:paraId="707815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87AF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346</w:t>
            </w:r>
          </w:p>
        </w:tc>
        <w:tc>
          <w:tcPr>
            <w:tcW w:w="1300" w:type="dxa"/>
            <w:tcBorders>
              <w:top w:val="nil"/>
              <w:left w:val="nil"/>
              <w:bottom w:val="single" w:sz="4" w:space="0" w:color="auto"/>
              <w:right w:val="single" w:sz="4" w:space="0" w:color="auto"/>
            </w:tcBorders>
            <w:vAlign w:val="center"/>
            <w:hideMark/>
          </w:tcPr>
          <w:p w14:paraId="155E6D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5054419000</w:t>
            </w:r>
          </w:p>
        </w:tc>
        <w:tc>
          <w:tcPr>
            <w:tcW w:w="1012" w:type="dxa"/>
            <w:tcBorders>
              <w:top w:val="nil"/>
              <w:left w:val="nil"/>
              <w:bottom w:val="single" w:sz="4" w:space="0" w:color="auto"/>
              <w:right w:val="single" w:sz="4" w:space="0" w:color="auto"/>
            </w:tcBorders>
            <w:vAlign w:val="center"/>
            <w:hideMark/>
          </w:tcPr>
          <w:p w14:paraId="628A05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30129915</w:t>
            </w:r>
          </w:p>
        </w:tc>
        <w:tc>
          <w:tcPr>
            <w:tcW w:w="5953" w:type="dxa"/>
            <w:tcBorders>
              <w:top w:val="nil"/>
              <w:left w:val="nil"/>
              <w:bottom w:val="single" w:sz="4" w:space="0" w:color="auto"/>
              <w:right w:val="single" w:sz="4" w:space="0" w:color="auto"/>
            </w:tcBorders>
            <w:noWrap/>
            <w:vAlign w:val="center"/>
            <w:hideMark/>
          </w:tcPr>
          <w:p w14:paraId="63F95D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LEKARNIŠKI ZAVOD MARIBORSKE LEKARNE MARIBOR</w:t>
            </w:r>
          </w:p>
        </w:tc>
      </w:tr>
      <w:tr w:rsidR="00F24E18" w14:paraId="3A4503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DB22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347</w:t>
            </w:r>
          </w:p>
        </w:tc>
        <w:tc>
          <w:tcPr>
            <w:tcW w:w="1300" w:type="dxa"/>
            <w:tcBorders>
              <w:top w:val="nil"/>
              <w:left w:val="nil"/>
              <w:bottom w:val="single" w:sz="4" w:space="0" w:color="auto"/>
              <w:right w:val="single" w:sz="4" w:space="0" w:color="auto"/>
            </w:tcBorders>
            <w:vAlign w:val="center"/>
            <w:hideMark/>
          </w:tcPr>
          <w:p w14:paraId="76D51C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5805295000</w:t>
            </w:r>
          </w:p>
        </w:tc>
        <w:tc>
          <w:tcPr>
            <w:tcW w:w="1012" w:type="dxa"/>
            <w:tcBorders>
              <w:top w:val="nil"/>
              <w:left w:val="nil"/>
              <w:bottom w:val="single" w:sz="4" w:space="0" w:color="auto"/>
              <w:right w:val="single" w:sz="4" w:space="0" w:color="auto"/>
            </w:tcBorders>
            <w:vAlign w:val="center"/>
            <w:hideMark/>
          </w:tcPr>
          <w:p w14:paraId="68A6C4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21002266</w:t>
            </w:r>
          </w:p>
        </w:tc>
        <w:tc>
          <w:tcPr>
            <w:tcW w:w="5953" w:type="dxa"/>
            <w:tcBorders>
              <w:top w:val="nil"/>
              <w:left w:val="nil"/>
              <w:bottom w:val="single" w:sz="4" w:space="0" w:color="auto"/>
              <w:right w:val="single" w:sz="4" w:space="0" w:color="auto"/>
            </w:tcBorders>
            <w:noWrap/>
            <w:vAlign w:val="center"/>
            <w:hideMark/>
          </w:tcPr>
          <w:p w14:paraId="60C9D6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MEDOBČINSKI STANOVANJSKI SKLAD MARIBOR</w:t>
            </w:r>
          </w:p>
        </w:tc>
      </w:tr>
      <w:tr w:rsidR="00F24E18" w14:paraId="05819C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B654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348</w:t>
            </w:r>
          </w:p>
        </w:tc>
        <w:tc>
          <w:tcPr>
            <w:tcW w:w="1300" w:type="dxa"/>
            <w:tcBorders>
              <w:top w:val="nil"/>
              <w:left w:val="nil"/>
              <w:bottom w:val="single" w:sz="4" w:space="0" w:color="auto"/>
              <w:right w:val="single" w:sz="4" w:space="0" w:color="auto"/>
            </w:tcBorders>
            <w:noWrap/>
            <w:vAlign w:val="center"/>
            <w:hideMark/>
          </w:tcPr>
          <w:p w14:paraId="61E4F0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5888298000</w:t>
            </w:r>
          </w:p>
        </w:tc>
        <w:tc>
          <w:tcPr>
            <w:tcW w:w="1012" w:type="dxa"/>
            <w:tcBorders>
              <w:top w:val="nil"/>
              <w:left w:val="nil"/>
              <w:bottom w:val="single" w:sz="4" w:space="0" w:color="auto"/>
              <w:right w:val="single" w:sz="4" w:space="0" w:color="auto"/>
            </w:tcBorders>
            <w:noWrap/>
            <w:vAlign w:val="center"/>
            <w:hideMark/>
          </w:tcPr>
          <w:p w14:paraId="26E74C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76367029</w:t>
            </w:r>
          </w:p>
        </w:tc>
        <w:tc>
          <w:tcPr>
            <w:tcW w:w="5953" w:type="dxa"/>
            <w:tcBorders>
              <w:top w:val="nil"/>
              <w:left w:val="nil"/>
              <w:bottom w:val="single" w:sz="4" w:space="0" w:color="auto"/>
              <w:right w:val="single" w:sz="4" w:space="0" w:color="auto"/>
            </w:tcBorders>
            <w:noWrap/>
            <w:vAlign w:val="center"/>
            <w:hideMark/>
          </w:tcPr>
          <w:p w14:paraId="127DF7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SKLAD REPUBLIKE SLOVENIJE ZA FINANCIRANJE RAZGRADNJE NUKLEARNE ELEKTRARNE KRŠKO IN ODLAGANJA RADIOAKTIVNIH ODPADKOV IN IZRABLJENEGA GORIVA IZ NUKLEARNE ELEKTRARNE KRŠKO</w:t>
            </w:r>
          </w:p>
        </w:tc>
      </w:tr>
      <w:tr w:rsidR="00F24E18" w14:paraId="18189B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5AB1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349</w:t>
            </w:r>
          </w:p>
        </w:tc>
        <w:tc>
          <w:tcPr>
            <w:tcW w:w="1300" w:type="dxa"/>
            <w:tcBorders>
              <w:top w:val="nil"/>
              <w:left w:val="nil"/>
              <w:bottom w:val="single" w:sz="4" w:space="0" w:color="auto"/>
              <w:right w:val="single" w:sz="4" w:space="0" w:color="auto"/>
            </w:tcBorders>
            <w:noWrap/>
            <w:vAlign w:val="center"/>
            <w:hideMark/>
          </w:tcPr>
          <w:p w14:paraId="2A65D1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1233661000</w:t>
            </w:r>
          </w:p>
        </w:tc>
        <w:tc>
          <w:tcPr>
            <w:tcW w:w="1012" w:type="dxa"/>
            <w:tcBorders>
              <w:top w:val="nil"/>
              <w:left w:val="nil"/>
              <w:bottom w:val="single" w:sz="4" w:space="0" w:color="auto"/>
              <w:right w:val="single" w:sz="4" w:space="0" w:color="auto"/>
            </w:tcBorders>
            <w:vAlign w:val="center"/>
            <w:hideMark/>
          </w:tcPr>
          <w:p w14:paraId="1F14F6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62905902</w:t>
            </w:r>
          </w:p>
        </w:tc>
        <w:tc>
          <w:tcPr>
            <w:tcW w:w="5953" w:type="dxa"/>
            <w:tcBorders>
              <w:top w:val="nil"/>
              <w:left w:val="nil"/>
              <w:bottom w:val="single" w:sz="4" w:space="0" w:color="auto"/>
              <w:right w:val="single" w:sz="4" w:space="0" w:color="auto"/>
            </w:tcBorders>
            <w:noWrap/>
            <w:vAlign w:val="center"/>
            <w:hideMark/>
          </w:tcPr>
          <w:p w14:paraId="024124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SKLAD REPUBLIKE SLOVENIJE ZA KULTURNE DEJAVNOSTI</w:t>
            </w:r>
          </w:p>
        </w:tc>
      </w:tr>
      <w:tr w:rsidR="00F24E18" w14:paraId="7107F91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0C4E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350</w:t>
            </w:r>
          </w:p>
        </w:tc>
        <w:tc>
          <w:tcPr>
            <w:tcW w:w="1300" w:type="dxa"/>
            <w:tcBorders>
              <w:top w:val="nil"/>
              <w:left w:val="nil"/>
              <w:bottom w:val="single" w:sz="4" w:space="0" w:color="auto"/>
              <w:right w:val="single" w:sz="4" w:space="0" w:color="auto"/>
            </w:tcBorders>
            <w:vAlign w:val="center"/>
            <w:hideMark/>
          </w:tcPr>
          <w:p w14:paraId="0A30F7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5523362000</w:t>
            </w:r>
          </w:p>
        </w:tc>
        <w:tc>
          <w:tcPr>
            <w:tcW w:w="1012" w:type="dxa"/>
            <w:tcBorders>
              <w:top w:val="nil"/>
              <w:left w:val="nil"/>
              <w:bottom w:val="single" w:sz="4" w:space="0" w:color="auto"/>
              <w:right w:val="single" w:sz="4" w:space="0" w:color="auto"/>
            </w:tcBorders>
            <w:vAlign w:val="center"/>
            <w:hideMark/>
          </w:tcPr>
          <w:p w14:paraId="139251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58045473</w:t>
            </w:r>
          </w:p>
        </w:tc>
        <w:tc>
          <w:tcPr>
            <w:tcW w:w="5953" w:type="dxa"/>
            <w:tcBorders>
              <w:top w:val="nil"/>
              <w:left w:val="nil"/>
              <w:bottom w:val="single" w:sz="4" w:space="0" w:color="auto"/>
              <w:right w:val="single" w:sz="4" w:space="0" w:color="auto"/>
            </w:tcBorders>
            <w:noWrap/>
            <w:vAlign w:val="center"/>
            <w:hideMark/>
          </w:tcPr>
          <w:p w14:paraId="6F5027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SKLAD REPUBLIKE SLOVENIJE ZA PODJETNIŠTVO</w:t>
            </w:r>
          </w:p>
        </w:tc>
      </w:tr>
      <w:tr w:rsidR="00F24E18" w14:paraId="27D1E8A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EB76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351</w:t>
            </w:r>
          </w:p>
        </w:tc>
        <w:tc>
          <w:tcPr>
            <w:tcW w:w="1300" w:type="dxa"/>
            <w:tcBorders>
              <w:top w:val="nil"/>
              <w:left w:val="nil"/>
              <w:bottom w:val="single" w:sz="4" w:space="0" w:color="auto"/>
              <w:right w:val="single" w:sz="4" w:space="0" w:color="auto"/>
            </w:tcBorders>
            <w:noWrap/>
            <w:vAlign w:val="center"/>
            <w:hideMark/>
          </w:tcPr>
          <w:p w14:paraId="393BED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5940117000</w:t>
            </w:r>
          </w:p>
        </w:tc>
        <w:tc>
          <w:tcPr>
            <w:tcW w:w="1012" w:type="dxa"/>
            <w:tcBorders>
              <w:top w:val="nil"/>
              <w:left w:val="nil"/>
              <w:bottom w:val="single" w:sz="4" w:space="0" w:color="auto"/>
              <w:right w:val="single" w:sz="4" w:space="0" w:color="auto"/>
            </w:tcBorders>
            <w:noWrap/>
            <w:vAlign w:val="center"/>
            <w:hideMark/>
          </w:tcPr>
          <w:p w14:paraId="4B07B3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92466834</w:t>
            </w:r>
          </w:p>
        </w:tc>
        <w:tc>
          <w:tcPr>
            <w:tcW w:w="5953" w:type="dxa"/>
            <w:tcBorders>
              <w:top w:val="nil"/>
              <w:left w:val="nil"/>
              <w:bottom w:val="single" w:sz="4" w:space="0" w:color="auto"/>
              <w:right w:val="single" w:sz="4" w:space="0" w:color="auto"/>
            </w:tcBorders>
            <w:noWrap/>
            <w:vAlign w:val="center"/>
            <w:hideMark/>
          </w:tcPr>
          <w:p w14:paraId="017CB2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SKLAD REPUBLIKE SLOVENIJE ZA REGIONALNI RAZVOJ IN RAZVOJ PODEŽELJA</w:t>
            </w:r>
          </w:p>
        </w:tc>
      </w:tr>
      <w:tr w:rsidR="00F24E18" w14:paraId="0D5ACA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D81C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352</w:t>
            </w:r>
          </w:p>
        </w:tc>
        <w:tc>
          <w:tcPr>
            <w:tcW w:w="1300" w:type="dxa"/>
            <w:tcBorders>
              <w:top w:val="nil"/>
              <w:left w:val="nil"/>
              <w:bottom w:val="single" w:sz="4" w:space="0" w:color="auto"/>
              <w:right w:val="single" w:sz="4" w:space="0" w:color="auto"/>
            </w:tcBorders>
            <w:vAlign w:val="center"/>
            <w:hideMark/>
          </w:tcPr>
          <w:p w14:paraId="0FC93B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5839114000</w:t>
            </w:r>
          </w:p>
        </w:tc>
        <w:tc>
          <w:tcPr>
            <w:tcW w:w="1012" w:type="dxa"/>
            <w:tcBorders>
              <w:top w:val="nil"/>
              <w:left w:val="nil"/>
              <w:bottom w:val="single" w:sz="4" w:space="0" w:color="auto"/>
              <w:right w:val="single" w:sz="4" w:space="0" w:color="auto"/>
            </w:tcBorders>
            <w:vAlign w:val="center"/>
            <w:hideMark/>
          </w:tcPr>
          <w:p w14:paraId="35F55D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30762553</w:t>
            </w:r>
          </w:p>
        </w:tc>
        <w:tc>
          <w:tcPr>
            <w:tcW w:w="5953" w:type="dxa"/>
            <w:tcBorders>
              <w:top w:val="nil"/>
              <w:left w:val="nil"/>
              <w:bottom w:val="single" w:sz="4" w:space="0" w:color="auto"/>
              <w:right w:val="single" w:sz="4" w:space="0" w:color="auto"/>
            </w:tcBorders>
            <w:noWrap/>
            <w:vAlign w:val="center"/>
            <w:hideMark/>
          </w:tcPr>
          <w:p w14:paraId="20FFB8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STANOVANJSKI SKLAD MESTNE OBČINE KOPER FONDO ALLOGGI PUBBLICO DEL COMUNE CITTA DI CAPODISTRIA</w:t>
            </w:r>
          </w:p>
        </w:tc>
      </w:tr>
      <w:tr w:rsidR="00F24E18" w14:paraId="040CEB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15DF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353</w:t>
            </w:r>
          </w:p>
        </w:tc>
        <w:tc>
          <w:tcPr>
            <w:tcW w:w="1300" w:type="dxa"/>
            <w:tcBorders>
              <w:top w:val="nil"/>
              <w:left w:val="nil"/>
              <w:bottom w:val="single" w:sz="4" w:space="0" w:color="auto"/>
              <w:right w:val="single" w:sz="4" w:space="0" w:color="auto"/>
            </w:tcBorders>
            <w:vAlign w:val="center"/>
            <w:hideMark/>
          </w:tcPr>
          <w:p w14:paraId="353646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1719572000</w:t>
            </w:r>
          </w:p>
        </w:tc>
        <w:tc>
          <w:tcPr>
            <w:tcW w:w="1012" w:type="dxa"/>
            <w:tcBorders>
              <w:top w:val="nil"/>
              <w:left w:val="nil"/>
              <w:bottom w:val="single" w:sz="4" w:space="0" w:color="auto"/>
              <w:right w:val="single" w:sz="4" w:space="0" w:color="auto"/>
            </w:tcBorders>
            <w:vAlign w:val="center"/>
            <w:hideMark/>
          </w:tcPr>
          <w:p w14:paraId="7E3411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41717031</w:t>
            </w:r>
          </w:p>
        </w:tc>
        <w:tc>
          <w:tcPr>
            <w:tcW w:w="5953" w:type="dxa"/>
            <w:tcBorders>
              <w:top w:val="nil"/>
              <w:left w:val="nil"/>
              <w:bottom w:val="single" w:sz="4" w:space="0" w:color="auto"/>
              <w:right w:val="single" w:sz="4" w:space="0" w:color="auto"/>
            </w:tcBorders>
            <w:noWrap/>
            <w:vAlign w:val="center"/>
            <w:hideMark/>
          </w:tcPr>
          <w:p w14:paraId="2EA17B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STANOVANJSKI SKLAD MESTNE OBČINE LJUBLJANA</w:t>
            </w:r>
          </w:p>
        </w:tc>
      </w:tr>
      <w:tr w:rsidR="00F24E18" w14:paraId="656CB9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BCC1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354</w:t>
            </w:r>
          </w:p>
        </w:tc>
        <w:tc>
          <w:tcPr>
            <w:tcW w:w="1300" w:type="dxa"/>
            <w:tcBorders>
              <w:top w:val="nil"/>
              <w:left w:val="nil"/>
              <w:bottom w:val="single" w:sz="4" w:space="0" w:color="auto"/>
              <w:right w:val="single" w:sz="4" w:space="0" w:color="auto"/>
            </w:tcBorders>
            <w:noWrap/>
            <w:vAlign w:val="center"/>
            <w:hideMark/>
          </w:tcPr>
          <w:p w14:paraId="2A6A41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5929512000</w:t>
            </w:r>
          </w:p>
        </w:tc>
        <w:tc>
          <w:tcPr>
            <w:tcW w:w="1012" w:type="dxa"/>
            <w:tcBorders>
              <w:top w:val="nil"/>
              <w:left w:val="nil"/>
              <w:bottom w:val="single" w:sz="4" w:space="0" w:color="auto"/>
              <w:right w:val="single" w:sz="4" w:space="0" w:color="auto"/>
            </w:tcBorders>
            <w:noWrap/>
            <w:vAlign w:val="center"/>
            <w:hideMark/>
          </w:tcPr>
          <w:p w14:paraId="49524A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69687943</w:t>
            </w:r>
          </w:p>
        </w:tc>
        <w:tc>
          <w:tcPr>
            <w:tcW w:w="5953" w:type="dxa"/>
            <w:tcBorders>
              <w:top w:val="nil"/>
              <w:left w:val="nil"/>
              <w:bottom w:val="single" w:sz="4" w:space="0" w:color="auto"/>
              <w:right w:val="single" w:sz="4" w:space="0" w:color="auto"/>
            </w:tcBorders>
            <w:noWrap/>
            <w:vAlign w:val="center"/>
            <w:hideMark/>
          </w:tcPr>
          <w:p w14:paraId="751298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STANOVANJSKI SKLAD MESTNE OBČINE MURSKA SOBOTA</w:t>
            </w:r>
          </w:p>
        </w:tc>
      </w:tr>
      <w:tr w:rsidR="00F24E18" w14:paraId="4864A41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0F6B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355</w:t>
            </w:r>
          </w:p>
        </w:tc>
        <w:tc>
          <w:tcPr>
            <w:tcW w:w="1300" w:type="dxa"/>
            <w:tcBorders>
              <w:top w:val="nil"/>
              <w:left w:val="nil"/>
              <w:bottom w:val="single" w:sz="4" w:space="0" w:color="auto"/>
              <w:right w:val="single" w:sz="4" w:space="0" w:color="auto"/>
            </w:tcBorders>
            <w:noWrap/>
            <w:vAlign w:val="center"/>
            <w:hideMark/>
          </w:tcPr>
          <w:p w14:paraId="45A60F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9188037000</w:t>
            </w:r>
          </w:p>
        </w:tc>
        <w:tc>
          <w:tcPr>
            <w:tcW w:w="1012" w:type="dxa"/>
            <w:tcBorders>
              <w:top w:val="nil"/>
              <w:left w:val="nil"/>
              <w:bottom w:val="single" w:sz="4" w:space="0" w:color="auto"/>
              <w:right w:val="single" w:sz="4" w:space="0" w:color="auto"/>
            </w:tcBorders>
            <w:noWrap/>
            <w:vAlign w:val="center"/>
            <w:hideMark/>
          </w:tcPr>
          <w:p w14:paraId="0EA4DE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63051958</w:t>
            </w:r>
          </w:p>
        </w:tc>
        <w:tc>
          <w:tcPr>
            <w:tcW w:w="5953" w:type="dxa"/>
            <w:tcBorders>
              <w:top w:val="nil"/>
              <w:left w:val="nil"/>
              <w:bottom w:val="single" w:sz="4" w:space="0" w:color="auto"/>
              <w:right w:val="single" w:sz="4" w:space="0" w:color="auto"/>
            </w:tcBorders>
            <w:noWrap/>
            <w:vAlign w:val="center"/>
            <w:hideMark/>
          </w:tcPr>
          <w:p w14:paraId="660427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STANOVANJSKI SKLAD MESTNE OBČINE NOVO MESTO</w:t>
            </w:r>
          </w:p>
        </w:tc>
      </w:tr>
      <w:tr w:rsidR="00F24E18" w14:paraId="6E2725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F7EE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w:t>
            </w:r>
          </w:p>
        </w:tc>
        <w:tc>
          <w:tcPr>
            <w:tcW w:w="1300" w:type="dxa"/>
            <w:tcBorders>
              <w:top w:val="nil"/>
              <w:left w:val="nil"/>
              <w:bottom w:val="single" w:sz="4" w:space="0" w:color="auto"/>
              <w:right w:val="single" w:sz="4" w:space="0" w:color="auto"/>
            </w:tcBorders>
            <w:vAlign w:val="center"/>
            <w:hideMark/>
          </w:tcPr>
          <w:p w14:paraId="5D85B7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1198459000</w:t>
            </w:r>
          </w:p>
        </w:tc>
        <w:tc>
          <w:tcPr>
            <w:tcW w:w="1012" w:type="dxa"/>
            <w:tcBorders>
              <w:top w:val="nil"/>
              <w:left w:val="nil"/>
              <w:bottom w:val="single" w:sz="4" w:space="0" w:color="auto"/>
              <w:right w:val="single" w:sz="4" w:space="0" w:color="auto"/>
            </w:tcBorders>
            <w:vAlign w:val="center"/>
            <w:hideMark/>
          </w:tcPr>
          <w:p w14:paraId="6DCF7F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86279670</w:t>
            </w:r>
          </w:p>
        </w:tc>
        <w:tc>
          <w:tcPr>
            <w:tcW w:w="5953" w:type="dxa"/>
            <w:tcBorders>
              <w:top w:val="nil"/>
              <w:left w:val="nil"/>
              <w:bottom w:val="single" w:sz="4" w:space="0" w:color="auto"/>
              <w:right w:val="single" w:sz="4" w:space="0" w:color="auto"/>
            </w:tcBorders>
            <w:noWrap/>
            <w:vAlign w:val="center"/>
            <w:hideMark/>
          </w:tcPr>
          <w:p w14:paraId="4C5183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ŠTIPENDIJSKI, RAZVOJNI, INVALIDSKI IN PREŽIVNINSKI SKLAD REPUBLIKE SLOVENIJE</w:t>
            </w:r>
          </w:p>
        </w:tc>
      </w:tr>
      <w:tr w:rsidR="00F24E18" w14:paraId="372D591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C606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357</w:t>
            </w:r>
          </w:p>
        </w:tc>
        <w:tc>
          <w:tcPr>
            <w:tcW w:w="1300" w:type="dxa"/>
            <w:tcBorders>
              <w:top w:val="nil"/>
              <w:left w:val="nil"/>
              <w:bottom w:val="single" w:sz="4" w:space="0" w:color="auto"/>
              <w:right w:val="single" w:sz="4" w:space="0" w:color="auto"/>
            </w:tcBorders>
            <w:noWrap/>
            <w:vAlign w:val="center"/>
            <w:hideMark/>
          </w:tcPr>
          <w:p w14:paraId="3DEC54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5086990000</w:t>
            </w:r>
          </w:p>
        </w:tc>
        <w:tc>
          <w:tcPr>
            <w:tcW w:w="1012" w:type="dxa"/>
            <w:tcBorders>
              <w:top w:val="nil"/>
              <w:left w:val="nil"/>
              <w:bottom w:val="single" w:sz="4" w:space="0" w:color="auto"/>
              <w:right w:val="single" w:sz="4" w:space="0" w:color="auto"/>
            </w:tcBorders>
            <w:noWrap/>
            <w:vAlign w:val="center"/>
            <w:hideMark/>
          </w:tcPr>
          <w:p w14:paraId="2E7913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68493002</w:t>
            </w:r>
          </w:p>
        </w:tc>
        <w:tc>
          <w:tcPr>
            <w:tcW w:w="5953" w:type="dxa"/>
            <w:tcBorders>
              <w:top w:val="nil"/>
              <w:left w:val="nil"/>
              <w:bottom w:val="single" w:sz="4" w:space="0" w:color="auto"/>
              <w:right w:val="single" w:sz="4" w:space="0" w:color="auto"/>
            </w:tcBorders>
            <w:noWrap/>
            <w:vAlign w:val="center"/>
            <w:hideMark/>
          </w:tcPr>
          <w:p w14:paraId="75FAF2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 IZOBRAŽEVALNI ZAVOD OSNOVNA ŠOLA DESTRNIK - TRNOVSKA VAS</w:t>
            </w:r>
          </w:p>
        </w:tc>
      </w:tr>
      <w:tr w:rsidR="00F24E18" w14:paraId="05BE01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BFDC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358</w:t>
            </w:r>
          </w:p>
        </w:tc>
        <w:tc>
          <w:tcPr>
            <w:tcW w:w="1300" w:type="dxa"/>
            <w:tcBorders>
              <w:top w:val="nil"/>
              <w:left w:val="nil"/>
              <w:bottom w:val="single" w:sz="4" w:space="0" w:color="auto"/>
              <w:right w:val="single" w:sz="4" w:space="0" w:color="auto"/>
            </w:tcBorders>
            <w:noWrap/>
            <w:vAlign w:val="center"/>
            <w:hideMark/>
          </w:tcPr>
          <w:p w14:paraId="188226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5084016000</w:t>
            </w:r>
          </w:p>
        </w:tc>
        <w:tc>
          <w:tcPr>
            <w:tcW w:w="1012" w:type="dxa"/>
            <w:tcBorders>
              <w:top w:val="nil"/>
              <w:left w:val="nil"/>
              <w:bottom w:val="single" w:sz="4" w:space="0" w:color="auto"/>
              <w:right w:val="single" w:sz="4" w:space="0" w:color="auto"/>
            </w:tcBorders>
            <w:noWrap/>
            <w:vAlign w:val="center"/>
            <w:hideMark/>
          </w:tcPr>
          <w:p w14:paraId="53FE74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43386024</w:t>
            </w:r>
          </w:p>
        </w:tc>
        <w:tc>
          <w:tcPr>
            <w:tcW w:w="5953" w:type="dxa"/>
            <w:tcBorders>
              <w:top w:val="nil"/>
              <w:left w:val="nil"/>
              <w:bottom w:val="single" w:sz="4" w:space="0" w:color="auto"/>
              <w:right w:val="single" w:sz="4" w:space="0" w:color="auto"/>
            </w:tcBorders>
            <w:noWrap/>
            <w:vAlign w:val="center"/>
            <w:hideMark/>
          </w:tcPr>
          <w:p w14:paraId="63C132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IN VZGOJNO-VARSTVENI ZAVOD OSNOVNA ŠOLA CERKVENJAK-VITOMARCI</w:t>
            </w:r>
          </w:p>
        </w:tc>
      </w:tr>
      <w:tr w:rsidR="00F24E18" w14:paraId="5CC3EB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4C6C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359</w:t>
            </w:r>
          </w:p>
        </w:tc>
        <w:tc>
          <w:tcPr>
            <w:tcW w:w="1300" w:type="dxa"/>
            <w:tcBorders>
              <w:top w:val="nil"/>
              <w:left w:val="nil"/>
              <w:bottom w:val="single" w:sz="4" w:space="0" w:color="auto"/>
              <w:right w:val="single" w:sz="4" w:space="0" w:color="auto"/>
            </w:tcBorders>
            <w:noWrap/>
            <w:vAlign w:val="center"/>
            <w:hideMark/>
          </w:tcPr>
          <w:p w14:paraId="3FD860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5084024000</w:t>
            </w:r>
          </w:p>
        </w:tc>
        <w:tc>
          <w:tcPr>
            <w:tcW w:w="1012" w:type="dxa"/>
            <w:tcBorders>
              <w:top w:val="nil"/>
              <w:left w:val="nil"/>
              <w:bottom w:val="single" w:sz="4" w:space="0" w:color="auto"/>
              <w:right w:val="single" w:sz="4" w:space="0" w:color="auto"/>
            </w:tcBorders>
            <w:noWrap/>
            <w:vAlign w:val="center"/>
            <w:hideMark/>
          </w:tcPr>
          <w:p w14:paraId="6B0529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94208247</w:t>
            </w:r>
          </w:p>
        </w:tc>
        <w:tc>
          <w:tcPr>
            <w:tcW w:w="5953" w:type="dxa"/>
            <w:tcBorders>
              <w:top w:val="nil"/>
              <w:left w:val="nil"/>
              <w:bottom w:val="single" w:sz="4" w:space="0" w:color="auto"/>
              <w:right w:val="single" w:sz="4" w:space="0" w:color="auto"/>
            </w:tcBorders>
            <w:noWrap/>
            <w:vAlign w:val="center"/>
            <w:hideMark/>
          </w:tcPr>
          <w:p w14:paraId="401410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IN VZGOJNO-VARSTVENI ZAVOD OSNOVNA ŠOLA IN VRTEC SV. TROJICA</w:t>
            </w:r>
          </w:p>
        </w:tc>
      </w:tr>
      <w:tr w:rsidR="00F24E18" w14:paraId="7B64D17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33CD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360</w:t>
            </w:r>
          </w:p>
        </w:tc>
        <w:tc>
          <w:tcPr>
            <w:tcW w:w="1300" w:type="dxa"/>
            <w:tcBorders>
              <w:top w:val="nil"/>
              <w:left w:val="nil"/>
              <w:bottom w:val="single" w:sz="4" w:space="0" w:color="auto"/>
              <w:right w:val="single" w:sz="4" w:space="0" w:color="auto"/>
            </w:tcBorders>
            <w:noWrap/>
            <w:vAlign w:val="center"/>
            <w:hideMark/>
          </w:tcPr>
          <w:p w14:paraId="554FD5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5090105000</w:t>
            </w:r>
          </w:p>
        </w:tc>
        <w:tc>
          <w:tcPr>
            <w:tcW w:w="1012" w:type="dxa"/>
            <w:tcBorders>
              <w:top w:val="nil"/>
              <w:left w:val="nil"/>
              <w:bottom w:val="single" w:sz="4" w:space="0" w:color="auto"/>
              <w:right w:val="single" w:sz="4" w:space="0" w:color="auto"/>
            </w:tcBorders>
            <w:noWrap/>
            <w:vAlign w:val="center"/>
            <w:hideMark/>
          </w:tcPr>
          <w:p w14:paraId="72B9C4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40918807</w:t>
            </w:r>
          </w:p>
        </w:tc>
        <w:tc>
          <w:tcPr>
            <w:tcW w:w="5953" w:type="dxa"/>
            <w:tcBorders>
              <w:top w:val="nil"/>
              <w:left w:val="nil"/>
              <w:bottom w:val="single" w:sz="4" w:space="0" w:color="auto"/>
              <w:right w:val="single" w:sz="4" w:space="0" w:color="auto"/>
            </w:tcBorders>
            <w:noWrap/>
            <w:vAlign w:val="center"/>
            <w:hideMark/>
          </w:tcPr>
          <w:p w14:paraId="5BC3A3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IN VZGOJNOVARSTVENI ZAVOD OSNOVNA ŠOLA JOŽETA HUDALESA JUROVSKI DOL</w:t>
            </w:r>
          </w:p>
        </w:tc>
      </w:tr>
      <w:tr w:rsidR="00F24E18" w14:paraId="56C2202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C402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361</w:t>
            </w:r>
          </w:p>
        </w:tc>
        <w:tc>
          <w:tcPr>
            <w:tcW w:w="1300" w:type="dxa"/>
            <w:tcBorders>
              <w:top w:val="nil"/>
              <w:left w:val="nil"/>
              <w:bottom w:val="single" w:sz="4" w:space="0" w:color="auto"/>
              <w:right w:val="single" w:sz="4" w:space="0" w:color="auto"/>
            </w:tcBorders>
            <w:vAlign w:val="center"/>
            <w:hideMark/>
          </w:tcPr>
          <w:p w14:paraId="2B9119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5050987000</w:t>
            </w:r>
          </w:p>
        </w:tc>
        <w:tc>
          <w:tcPr>
            <w:tcW w:w="1012" w:type="dxa"/>
            <w:tcBorders>
              <w:top w:val="nil"/>
              <w:left w:val="nil"/>
              <w:bottom w:val="single" w:sz="4" w:space="0" w:color="auto"/>
              <w:right w:val="single" w:sz="4" w:space="0" w:color="auto"/>
            </w:tcBorders>
            <w:vAlign w:val="center"/>
            <w:hideMark/>
          </w:tcPr>
          <w:p w14:paraId="789E5B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53006933</w:t>
            </w:r>
          </w:p>
        </w:tc>
        <w:tc>
          <w:tcPr>
            <w:tcW w:w="5953" w:type="dxa"/>
            <w:tcBorders>
              <w:top w:val="nil"/>
              <w:left w:val="nil"/>
              <w:bottom w:val="single" w:sz="4" w:space="0" w:color="auto"/>
              <w:right w:val="single" w:sz="4" w:space="0" w:color="auto"/>
            </w:tcBorders>
            <w:noWrap/>
            <w:vAlign w:val="center"/>
            <w:hideMark/>
          </w:tcPr>
          <w:p w14:paraId="6E3087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 ENTE PUBBLICO DI EDUCAZIONE ED ISTRUZIONE VRTEC SEMEDELA</w:t>
            </w:r>
          </w:p>
        </w:tc>
      </w:tr>
      <w:tr w:rsidR="00F24E18" w14:paraId="55AFEE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5974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362</w:t>
            </w:r>
          </w:p>
        </w:tc>
        <w:tc>
          <w:tcPr>
            <w:tcW w:w="1300" w:type="dxa"/>
            <w:tcBorders>
              <w:top w:val="nil"/>
              <w:left w:val="nil"/>
              <w:bottom w:val="single" w:sz="4" w:space="0" w:color="auto"/>
              <w:right w:val="single" w:sz="4" w:space="0" w:color="auto"/>
            </w:tcBorders>
            <w:noWrap/>
            <w:vAlign w:val="center"/>
            <w:hideMark/>
          </w:tcPr>
          <w:p w14:paraId="32E5B2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5800790000</w:t>
            </w:r>
          </w:p>
        </w:tc>
        <w:tc>
          <w:tcPr>
            <w:tcW w:w="1012" w:type="dxa"/>
            <w:tcBorders>
              <w:top w:val="nil"/>
              <w:left w:val="nil"/>
              <w:bottom w:val="single" w:sz="4" w:space="0" w:color="auto"/>
              <w:right w:val="single" w:sz="4" w:space="0" w:color="auto"/>
            </w:tcBorders>
            <w:noWrap/>
            <w:vAlign w:val="center"/>
            <w:hideMark/>
          </w:tcPr>
          <w:p w14:paraId="30F826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60942991</w:t>
            </w:r>
          </w:p>
        </w:tc>
        <w:tc>
          <w:tcPr>
            <w:tcW w:w="5953" w:type="dxa"/>
            <w:tcBorders>
              <w:top w:val="nil"/>
              <w:left w:val="nil"/>
              <w:bottom w:val="single" w:sz="4" w:space="0" w:color="auto"/>
              <w:right w:val="single" w:sz="4" w:space="0" w:color="auto"/>
            </w:tcBorders>
            <w:noWrap/>
            <w:vAlign w:val="center"/>
            <w:hideMark/>
          </w:tcPr>
          <w:p w14:paraId="3AD698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GLASBENA ŠOLA NAZARJE</w:t>
            </w:r>
          </w:p>
        </w:tc>
      </w:tr>
      <w:tr w:rsidR="00F24E18" w14:paraId="3690543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67EB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w:t>
            </w:r>
          </w:p>
        </w:tc>
        <w:tc>
          <w:tcPr>
            <w:tcW w:w="1300" w:type="dxa"/>
            <w:tcBorders>
              <w:top w:val="nil"/>
              <w:left w:val="nil"/>
              <w:bottom w:val="single" w:sz="4" w:space="0" w:color="auto"/>
              <w:right w:val="single" w:sz="4" w:space="0" w:color="auto"/>
            </w:tcBorders>
            <w:noWrap/>
            <w:vAlign w:val="center"/>
            <w:hideMark/>
          </w:tcPr>
          <w:p w14:paraId="02C882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5676509000</w:t>
            </w:r>
          </w:p>
        </w:tc>
        <w:tc>
          <w:tcPr>
            <w:tcW w:w="1012" w:type="dxa"/>
            <w:tcBorders>
              <w:top w:val="nil"/>
              <w:left w:val="nil"/>
              <w:bottom w:val="single" w:sz="4" w:space="0" w:color="auto"/>
              <w:right w:val="single" w:sz="4" w:space="0" w:color="auto"/>
            </w:tcBorders>
            <w:noWrap/>
            <w:vAlign w:val="center"/>
            <w:hideMark/>
          </w:tcPr>
          <w:p w14:paraId="6131BD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13973665</w:t>
            </w:r>
          </w:p>
        </w:tc>
        <w:tc>
          <w:tcPr>
            <w:tcW w:w="5953" w:type="dxa"/>
            <w:tcBorders>
              <w:top w:val="nil"/>
              <w:left w:val="nil"/>
              <w:bottom w:val="single" w:sz="4" w:space="0" w:color="auto"/>
              <w:right w:val="single" w:sz="4" w:space="0" w:color="auto"/>
            </w:tcBorders>
            <w:noWrap/>
            <w:vAlign w:val="center"/>
            <w:hideMark/>
          </w:tcPr>
          <w:p w14:paraId="4C2EB2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GLASBENA ŠOLA ROGAŠKA SLATINA</w:t>
            </w:r>
          </w:p>
        </w:tc>
      </w:tr>
      <w:tr w:rsidR="00F24E18" w14:paraId="4AA1BDE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FAFD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364</w:t>
            </w:r>
          </w:p>
        </w:tc>
        <w:tc>
          <w:tcPr>
            <w:tcW w:w="1300" w:type="dxa"/>
            <w:tcBorders>
              <w:top w:val="nil"/>
              <w:left w:val="nil"/>
              <w:bottom w:val="single" w:sz="4" w:space="0" w:color="auto"/>
              <w:right w:val="single" w:sz="4" w:space="0" w:color="auto"/>
            </w:tcBorders>
            <w:vAlign w:val="center"/>
            <w:hideMark/>
          </w:tcPr>
          <w:p w14:paraId="0CE749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5087953000</w:t>
            </w:r>
          </w:p>
        </w:tc>
        <w:tc>
          <w:tcPr>
            <w:tcW w:w="1012" w:type="dxa"/>
            <w:tcBorders>
              <w:top w:val="nil"/>
              <w:left w:val="nil"/>
              <w:bottom w:val="single" w:sz="4" w:space="0" w:color="auto"/>
              <w:right w:val="single" w:sz="4" w:space="0" w:color="auto"/>
            </w:tcBorders>
            <w:vAlign w:val="center"/>
            <w:hideMark/>
          </w:tcPr>
          <w:p w14:paraId="200393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16457617</w:t>
            </w:r>
          </w:p>
        </w:tc>
        <w:tc>
          <w:tcPr>
            <w:tcW w:w="5953" w:type="dxa"/>
            <w:tcBorders>
              <w:top w:val="nil"/>
              <w:left w:val="nil"/>
              <w:bottom w:val="single" w:sz="4" w:space="0" w:color="auto"/>
              <w:right w:val="single" w:sz="4" w:space="0" w:color="auto"/>
            </w:tcBorders>
            <w:noWrap/>
            <w:vAlign w:val="center"/>
            <w:hideMark/>
          </w:tcPr>
          <w:p w14:paraId="44389B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I. OSNOVNA ŠOLA ROGAŠKA SLATINA</w:t>
            </w:r>
          </w:p>
        </w:tc>
      </w:tr>
      <w:tr w:rsidR="00F24E18" w14:paraId="6A40939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003C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365</w:t>
            </w:r>
          </w:p>
        </w:tc>
        <w:tc>
          <w:tcPr>
            <w:tcW w:w="1300" w:type="dxa"/>
            <w:tcBorders>
              <w:top w:val="nil"/>
              <w:left w:val="nil"/>
              <w:bottom w:val="single" w:sz="4" w:space="0" w:color="auto"/>
              <w:right w:val="single" w:sz="4" w:space="0" w:color="auto"/>
            </w:tcBorders>
            <w:vAlign w:val="center"/>
            <w:hideMark/>
          </w:tcPr>
          <w:p w14:paraId="3626DA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5278945000</w:t>
            </w:r>
          </w:p>
        </w:tc>
        <w:tc>
          <w:tcPr>
            <w:tcW w:w="1012" w:type="dxa"/>
            <w:tcBorders>
              <w:top w:val="nil"/>
              <w:left w:val="nil"/>
              <w:bottom w:val="single" w:sz="4" w:space="0" w:color="auto"/>
              <w:right w:val="single" w:sz="4" w:space="0" w:color="auto"/>
            </w:tcBorders>
            <w:vAlign w:val="center"/>
            <w:hideMark/>
          </w:tcPr>
          <w:p w14:paraId="0B862C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60425571</w:t>
            </w:r>
          </w:p>
        </w:tc>
        <w:tc>
          <w:tcPr>
            <w:tcW w:w="5953" w:type="dxa"/>
            <w:tcBorders>
              <w:top w:val="nil"/>
              <w:left w:val="nil"/>
              <w:bottom w:val="single" w:sz="4" w:space="0" w:color="auto"/>
              <w:right w:val="single" w:sz="4" w:space="0" w:color="auto"/>
            </w:tcBorders>
            <w:noWrap/>
            <w:vAlign w:val="center"/>
            <w:hideMark/>
          </w:tcPr>
          <w:p w14:paraId="3571CF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II. OSNOVNA ŠOLA ROGAŠKA SLATINA</w:t>
            </w:r>
          </w:p>
        </w:tc>
      </w:tr>
      <w:tr w:rsidR="00F24E18" w14:paraId="0707B5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6A48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366</w:t>
            </w:r>
          </w:p>
        </w:tc>
        <w:tc>
          <w:tcPr>
            <w:tcW w:w="1300" w:type="dxa"/>
            <w:tcBorders>
              <w:top w:val="nil"/>
              <w:left w:val="nil"/>
              <w:bottom w:val="single" w:sz="4" w:space="0" w:color="auto"/>
              <w:right w:val="single" w:sz="4" w:space="0" w:color="auto"/>
            </w:tcBorders>
            <w:noWrap/>
            <w:vAlign w:val="center"/>
            <w:hideMark/>
          </w:tcPr>
          <w:p w14:paraId="6A59A4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5087961000</w:t>
            </w:r>
          </w:p>
        </w:tc>
        <w:tc>
          <w:tcPr>
            <w:tcW w:w="1012" w:type="dxa"/>
            <w:tcBorders>
              <w:top w:val="nil"/>
              <w:left w:val="nil"/>
              <w:bottom w:val="single" w:sz="4" w:space="0" w:color="auto"/>
              <w:right w:val="single" w:sz="4" w:space="0" w:color="auto"/>
            </w:tcBorders>
            <w:noWrap/>
            <w:vAlign w:val="center"/>
            <w:hideMark/>
          </w:tcPr>
          <w:p w14:paraId="0C0BCD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49830082</w:t>
            </w:r>
          </w:p>
        </w:tc>
        <w:tc>
          <w:tcPr>
            <w:tcW w:w="5953" w:type="dxa"/>
            <w:tcBorders>
              <w:top w:val="nil"/>
              <w:left w:val="nil"/>
              <w:bottom w:val="single" w:sz="4" w:space="0" w:color="auto"/>
              <w:right w:val="single" w:sz="4" w:space="0" w:color="auto"/>
            </w:tcBorders>
            <w:noWrap/>
            <w:vAlign w:val="center"/>
            <w:hideMark/>
          </w:tcPr>
          <w:p w14:paraId="3BE624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III. OSNOVNA ŠOLA ROGAŠKA SLATINA</w:t>
            </w:r>
          </w:p>
        </w:tc>
      </w:tr>
      <w:tr w:rsidR="00F24E18" w14:paraId="4A7F058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BF95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367</w:t>
            </w:r>
          </w:p>
        </w:tc>
        <w:tc>
          <w:tcPr>
            <w:tcW w:w="1300" w:type="dxa"/>
            <w:tcBorders>
              <w:top w:val="nil"/>
              <w:left w:val="nil"/>
              <w:bottom w:val="single" w:sz="4" w:space="0" w:color="auto"/>
              <w:right w:val="single" w:sz="4" w:space="0" w:color="auto"/>
            </w:tcBorders>
            <w:noWrap/>
            <w:vAlign w:val="center"/>
            <w:hideMark/>
          </w:tcPr>
          <w:p w14:paraId="49DE35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5084032000</w:t>
            </w:r>
          </w:p>
        </w:tc>
        <w:tc>
          <w:tcPr>
            <w:tcW w:w="1012" w:type="dxa"/>
            <w:tcBorders>
              <w:top w:val="nil"/>
              <w:left w:val="nil"/>
              <w:bottom w:val="single" w:sz="4" w:space="0" w:color="auto"/>
              <w:right w:val="single" w:sz="4" w:space="0" w:color="auto"/>
            </w:tcBorders>
            <w:noWrap/>
            <w:vAlign w:val="center"/>
            <w:hideMark/>
          </w:tcPr>
          <w:p w14:paraId="6CC435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83252517</w:t>
            </w:r>
          </w:p>
        </w:tc>
        <w:tc>
          <w:tcPr>
            <w:tcW w:w="5953" w:type="dxa"/>
            <w:tcBorders>
              <w:top w:val="nil"/>
              <w:left w:val="nil"/>
              <w:bottom w:val="single" w:sz="4" w:space="0" w:color="auto"/>
              <w:right w:val="single" w:sz="4" w:space="0" w:color="auto"/>
            </w:tcBorders>
            <w:noWrap/>
            <w:vAlign w:val="center"/>
            <w:hideMark/>
          </w:tcPr>
          <w:p w14:paraId="3E4DD2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OSNOVNA ŠOLA BENEDIKT</w:t>
            </w:r>
          </w:p>
        </w:tc>
      </w:tr>
      <w:tr w:rsidR="00F24E18" w14:paraId="3CC239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03BB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368</w:t>
            </w:r>
          </w:p>
        </w:tc>
        <w:tc>
          <w:tcPr>
            <w:tcW w:w="1300" w:type="dxa"/>
            <w:tcBorders>
              <w:top w:val="nil"/>
              <w:left w:val="nil"/>
              <w:bottom w:val="single" w:sz="4" w:space="0" w:color="auto"/>
              <w:right w:val="single" w:sz="4" w:space="0" w:color="auto"/>
            </w:tcBorders>
            <w:noWrap/>
            <w:vAlign w:val="center"/>
            <w:hideMark/>
          </w:tcPr>
          <w:p w14:paraId="58334A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5088836000</w:t>
            </w:r>
          </w:p>
        </w:tc>
        <w:tc>
          <w:tcPr>
            <w:tcW w:w="1012" w:type="dxa"/>
            <w:tcBorders>
              <w:top w:val="nil"/>
              <w:left w:val="nil"/>
              <w:bottom w:val="single" w:sz="4" w:space="0" w:color="auto"/>
              <w:right w:val="single" w:sz="4" w:space="0" w:color="auto"/>
            </w:tcBorders>
            <w:noWrap/>
            <w:vAlign w:val="center"/>
            <w:hideMark/>
          </w:tcPr>
          <w:p w14:paraId="42B889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10092293</w:t>
            </w:r>
          </w:p>
        </w:tc>
        <w:tc>
          <w:tcPr>
            <w:tcW w:w="5953" w:type="dxa"/>
            <w:tcBorders>
              <w:top w:val="nil"/>
              <w:left w:val="nil"/>
              <w:bottom w:val="single" w:sz="4" w:space="0" w:color="auto"/>
              <w:right w:val="single" w:sz="4" w:space="0" w:color="auto"/>
            </w:tcBorders>
            <w:noWrap/>
            <w:vAlign w:val="center"/>
            <w:hideMark/>
          </w:tcPr>
          <w:p w14:paraId="3C8105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OŠ JAKOBSKI DOL</w:t>
            </w:r>
          </w:p>
        </w:tc>
      </w:tr>
      <w:tr w:rsidR="00F24E18" w14:paraId="5AA2C1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1B09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369</w:t>
            </w:r>
          </w:p>
        </w:tc>
        <w:tc>
          <w:tcPr>
            <w:tcW w:w="1300" w:type="dxa"/>
            <w:tcBorders>
              <w:top w:val="nil"/>
              <w:left w:val="nil"/>
              <w:bottom w:val="single" w:sz="4" w:space="0" w:color="auto"/>
              <w:right w:val="single" w:sz="4" w:space="0" w:color="auto"/>
            </w:tcBorders>
            <w:vAlign w:val="center"/>
            <w:hideMark/>
          </w:tcPr>
          <w:p w14:paraId="624703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5049806000</w:t>
            </w:r>
          </w:p>
        </w:tc>
        <w:tc>
          <w:tcPr>
            <w:tcW w:w="1012" w:type="dxa"/>
            <w:tcBorders>
              <w:top w:val="nil"/>
              <w:left w:val="nil"/>
              <w:bottom w:val="single" w:sz="4" w:space="0" w:color="auto"/>
              <w:right w:val="single" w:sz="4" w:space="0" w:color="auto"/>
            </w:tcBorders>
            <w:vAlign w:val="center"/>
            <w:hideMark/>
          </w:tcPr>
          <w:p w14:paraId="595B6D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33963878</w:t>
            </w:r>
          </w:p>
        </w:tc>
        <w:tc>
          <w:tcPr>
            <w:tcW w:w="5953" w:type="dxa"/>
            <w:tcBorders>
              <w:top w:val="nil"/>
              <w:left w:val="nil"/>
              <w:bottom w:val="single" w:sz="4" w:space="0" w:color="auto"/>
              <w:right w:val="single" w:sz="4" w:space="0" w:color="auto"/>
            </w:tcBorders>
            <w:noWrap/>
            <w:vAlign w:val="center"/>
            <w:hideMark/>
          </w:tcPr>
          <w:p w14:paraId="238C5B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VRTEC KOPER ENTE PUBLICO DI EDUCAZIONE ED ISTRUZIONE VRTEC KOPER</w:t>
            </w:r>
          </w:p>
        </w:tc>
      </w:tr>
      <w:tr w:rsidR="00F24E18" w14:paraId="3F21E7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F242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370</w:t>
            </w:r>
          </w:p>
        </w:tc>
        <w:tc>
          <w:tcPr>
            <w:tcW w:w="1300" w:type="dxa"/>
            <w:tcBorders>
              <w:top w:val="nil"/>
              <w:left w:val="nil"/>
              <w:bottom w:val="single" w:sz="4" w:space="0" w:color="auto"/>
              <w:right w:val="single" w:sz="4" w:space="0" w:color="auto"/>
            </w:tcBorders>
            <w:noWrap/>
            <w:vAlign w:val="center"/>
            <w:hideMark/>
          </w:tcPr>
          <w:p w14:paraId="58ECE3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5929768000</w:t>
            </w:r>
          </w:p>
        </w:tc>
        <w:tc>
          <w:tcPr>
            <w:tcW w:w="1012" w:type="dxa"/>
            <w:tcBorders>
              <w:top w:val="nil"/>
              <w:left w:val="nil"/>
              <w:bottom w:val="single" w:sz="4" w:space="0" w:color="auto"/>
              <w:right w:val="single" w:sz="4" w:space="0" w:color="auto"/>
            </w:tcBorders>
            <w:noWrap/>
            <w:vAlign w:val="center"/>
            <w:hideMark/>
          </w:tcPr>
          <w:p w14:paraId="12E9A3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81674791</w:t>
            </w:r>
          </w:p>
        </w:tc>
        <w:tc>
          <w:tcPr>
            <w:tcW w:w="5953" w:type="dxa"/>
            <w:tcBorders>
              <w:top w:val="nil"/>
              <w:left w:val="nil"/>
              <w:bottom w:val="single" w:sz="4" w:space="0" w:color="auto"/>
              <w:right w:val="single" w:sz="4" w:space="0" w:color="auto"/>
            </w:tcBorders>
            <w:noWrap/>
            <w:vAlign w:val="center"/>
            <w:hideMark/>
          </w:tcPr>
          <w:p w14:paraId="284376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VZGOJNO-IZOBRAŽEVALNI ZAVOD VRTEC ROGAŠKA SLATINA</w:t>
            </w:r>
          </w:p>
        </w:tc>
      </w:tr>
      <w:tr w:rsidR="00F24E18" w14:paraId="02ED247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C34E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371</w:t>
            </w:r>
          </w:p>
        </w:tc>
        <w:tc>
          <w:tcPr>
            <w:tcW w:w="1300" w:type="dxa"/>
            <w:tcBorders>
              <w:top w:val="nil"/>
              <w:left w:val="nil"/>
              <w:bottom w:val="single" w:sz="4" w:space="0" w:color="auto"/>
              <w:right w:val="single" w:sz="4" w:space="0" w:color="auto"/>
            </w:tcBorders>
            <w:noWrap/>
            <w:vAlign w:val="center"/>
            <w:hideMark/>
          </w:tcPr>
          <w:p w14:paraId="69A056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6461921000</w:t>
            </w:r>
          </w:p>
        </w:tc>
        <w:tc>
          <w:tcPr>
            <w:tcW w:w="1012" w:type="dxa"/>
            <w:tcBorders>
              <w:top w:val="nil"/>
              <w:left w:val="nil"/>
              <w:bottom w:val="single" w:sz="4" w:space="0" w:color="auto"/>
              <w:right w:val="single" w:sz="4" w:space="0" w:color="auto"/>
            </w:tcBorders>
            <w:noWrap/>
            <w:vAlign w:val="center"/>
            <w:hideMark/>
          </w:tcPr>
          <w:p w14:paraId="471FE3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37502808</w:t>
            </w:r>
          </w:p>
        </w:tc>
        <w:tc>
          <w:tcPr>
            <w:tcW w:w="5953" w:type="dxa"/>
            <w:tcBorders>
              <w:top w:val="nil"/>
              <w:left w:val="nil"/>
              <w:bottom w:val="single" w:sz="4" w:space="0" w:color="auto"/>
              <w:right w:val="single" w:sz="4" w:space="0" w:color="auto"/>
            </w:tcBorders>
            <w:noWrap/>
            <w:vAlign w:val="center"/>
            <w:hideMark/>
          </w:tcPr>
          <w:p w14:paraId="2D7880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 PARK VOJAŠKE ZGODOVINE PIVKA</w:t>
            </w:r>
          </w:p>
        </w:tc>
      </w:tr>
      <w:tr w:rsidR="00F24E18" w14:paraId="0E73322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9BFA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372</w:t>
            </w:r>
          </w:p>
        </w:tc>
        <w:tc>
          <w:tcPr>
            <w:tcW w:w="1300" w:type="dxa"/>
            <w:tcBorders>
              <w:top w:val="nil"/>
              <w:left w:val="nil"/>
              <w:bottom w:val="single" w:sz="4" w:space="0" w:color="auto"/>
              <w:right w:val="single" w:sz="4" w:space="0" w:color="auto"/>
            </w:tcBorders>
            <w:noWrap/>
            <w:vAlign w:val="center"/>
            <w:hideMark/>
          </w:tcPr>
          <w:p w14:paraId="20EDF5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8877700000</w:t>
            </w:r>
          </w:p>
        </w:tc>
        <w:tc>
          <w:tcPr>
            <w:tcW w:w="1012" w:type="dxa"/>
            <w:tcBorders>
              <w:top w:val="nil"/>
              <w:left w:val="nil"/>
              <w:bottom w:val="single" w:sz="4" w:space="0" w:color="auto"/>
              <w:right w:val="single" w:sz="4" w:space="0" w:color="auto"/>
            </w:tcBorders>
            <w:vAlign w:val="center"/>
            <w:hideMark/>
          </w:tcPr>
          <w:p w14:paraId="63DE07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33911584</w:t>
            </w:r>
          </w:p>
        </w:tc>
        <w:tc>
          <w:tcPr>
            <w:tcW w:w="5953" w:type="dxa"/>
            <w:tcBorders>
              <w:top w:val="nil"/>
              <w:left w:val="nil"/>
              <w:bottom w:val="single" w:sz="4" w:space="0" w:color="auto"/>
              <w:right w:val="single" w:sz="4" w:space="0" w:color="auto"/>
            </w:tcBorders>
            <w:noWrap/>
            <w:vAlign w:val="center"/>
            <w:hideMark/>
          </w:tcPr>
          <w:p w14:paraId="57CDD5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 TURIZEM PIVKA</w:t>
            </w:r>
          </w:p>
        </w:tc>
      </w:tr>
      <w:tr w:rsidR="00F24E18" w14:paraId="783DA8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5717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w:t>
            </w:r>
          </w:p>
        </w:tc>
        <w:tc>
          <w:tcPr>
            <w:tcW w:w="1300" w:type="dxa"/>
            <w:tcBorders>
              <w:top w:val="nil"/>
              <w:left w:val="nil"/>
              <w:bottom w:val="single" w:sz="4" w:space="0" w:color="auto"/>
              <w:right w:val="single" w:sz="4" w:space="0" w:color="auto"/>
            </w:tcBorders>
            <w:noWrap/>
            <w:vAlign w:val="center"/>
            <w:hideMark/>
          </w:tcPr>
          <w:p w14:paraId="4C1DDE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8556792000</w:t>
            </w:r>
          </w:p>
        </w:tc>
        <w:tc>
          <w:tcPr>
            <w:tcW w:w="1012" w:type="dxa"/>
            <w:tcBorders>
              <w:top w:val="nil"/>
              <w:left w:val="nil"/>
              <w:bottom w:val="single" w:sz="4" w:space="0" w:color="auto"/>
              <w:right w:val="single" w:sz="4" w:space="0" w:color="auto"/>
            </w:tcBorders>
            <w:noWrap/>
            <w:vAlign w:val="center"/>
            <w:hideMark/>
          </w:tcPr>
          <w:p w14:paraId="30E4BB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14318725</w:t>
            </w:r>
          </w:p>
        </w:tc>
        <w:tc>
          <w:tcPr>
            <w:tcW w:w="5953" w:type="dxa"/>
            <w:tcBorders>
              <w:top w:val="nil"/>
              <w:left w:val="nil"/>
              <w:bottom w:val="single" w:sz="4" w:space="0" w:color="auto"/>
              <w:right w:val="single" w:sz="4" w:space="0" w:color="auto"/>
            </w:tcBorders>
            <w:noWrap/>
            <w:vAlign w:val="center"/>
            <w:hideMark/>
          </w:tcPr>
          <w:p w14:paraId="520A82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973, ZAVOD ZA ORGANIZACIJO PRIREDITEV IN DOGODKOV ŠKOFJA LOKA</w:t>
            </w:r>
          </w:p>
        </w:tc>
      </w:tr>
      <w:tr w:rsidR="00F24E18" w14:paraId="7742A4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71E5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374</w:t>
            </w:r>
          </w:p>
        </w:tc>
        <w:tc>
          <w:tcPr>
            <w:tcW w:w="1300" w:type="dxa"/>
            <w:tcBorders>
              <w:top w:val="nil"/>
              <w:left w:val="nil"/>
              <w:bottom w:val="single" w:sz="4" w:space="0" w:color="auto"/>
              <w:right w:val="single" w:sz="4" w:space="0" w:color="auto"/>
            </w:tcBorders>
            <w:noWrap/>
            <w:vAlign w:val="center"/>
            <w:hideMark/>
          </w:tcPr>
          <w:p w14:paraId="5C703D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5052017000</w:t>
            </w:r>
          </w:p>
        </w:tc>
        <w:tc>
          <w:tcPr>
            <w:tcW w:w="1012" w:type="dxa"/>
            <w:tcBorders>
              <w:top w:val="nil"/>
              <w:left w:val="nil"/>
              <w:bottom w:val="single" w:sz="4" w:space="0" w:color="auto"/>
              <w:right w:val="single" w:sz="4" w:space="0" w:color="auto"/>
            </w:tcBorders>
            <w:noWrap/>
            <w:vAlign w:val="center"/>
            <w:hideMark/>
          </w:tcPr>
          <w:p w14:paraId="58EB33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19354266</w:t>
            </w:r>
          </w:p>
        </w:tc>
        <w:tc>
          <w:tcPr>
            <w:tcW w:w="5953" w:type="dxa"/>
            <w:tcBorders>
              <w:top w:val="nil"/>
              <w:left w:val="nil"/>
              <w:bottom w:val="single" w:sz="4" w:space="0" w:color="auto"/>
              <w:right w:val="single" w:sz="4" w:space="0" w:color="auto"/>
            </w:tcBorders>
            <w:noWrap/>
            <w:vAlign w:val="center"/>
            <w:hideMark/>
          </w:tcPr>
          <w:p w14:paraId="52252D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CENE ŠTUPAR - CENTER ZA IZOBRAŽEVANJE LJUBLJANA</w:t>
            </w:r>
          </w:p>
        </w:tc>
      </w:tr>
      <w:tr w:rsidR="00F24E18" w14:paraId="42A34CC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9AD5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375</w:t>
            </w:r>
          </w:p>
        </w:tc>
        <w:tc>
          <w:tcPr>
            <w:tcW w:w="1300" w:type="dxa"/>
            <w:tcBorders>
              <w:top w:val="nil"/>
              <w:left w:val="nil"/>
              <w:bottom w:val="single" w:sz="4" w:space="0" w:color="auto"/>
              <w:right w:val="single" w:sz="4" w:space="0" w:color="auto"/>
            </w:tcBorders>
            <w:noWrap/>
            <w:vAlign w:val="center"/>
            <w:hideMark/>
          </w:tcPr>
          <w:p w14:paraId="18F650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1227912000</w:t>
            </w:r>
          </w:p>
        </w:tc>
        <w:tc>
          <w:tcPr>
            <w:tcW w:w="1012" w:type="dxa"/>
            <w:tcBorders>
              <w:top w:val="nil"/>
              <w:left w:val="nil"/>
              <w:bottom w:val="single" w:sz="4" w:space="0" w:color="auto"/>
              <w:right w:val="single" w:sz="4" w:space="0" w:color="auto"/>
            </w:tcBorders>
            <w:noWrap/>
            <w:vAlign w:val="center"/>
            <w:hideMark/>
          </w:tcPr>
          <w:p w14:paraId="3C6EC0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83823352</w:t>
            </w:r>
          </w:p>
        </w:tc>
        <w:tc>
          <w:tcPr>
            <w:tcW w:w="5953" w:type="dxa"/>
            <w:tcBorders>
              <w:top w:val="nil"/>
              <w:left w:val="nil"/>
              <w:bottom w:val="single" w:sz="4" w:space="0" w:color="auto"/>
              <w:right w:val="single" w:sz="4" w:space="0" w:color="auto"/>
            </w:tcBorders>
            <w:noWrap/>
            <w:vAlign w:val="center"/>
            <w:hideMark/>
          </w:tcPr>
          <w:p w14:paraId="7FE300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CENTER ZA MLADE DOMŽALE</w:t>
            </w:r>
          </w:p>
        </w:tc>
      </w:tr>
      <w:tr w:rsidR="00F24E18" w14:paraId="1DF0AB3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C676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376</w:t>
            </w:r>
          </w:p>
        </w:tc>
        <w:tc>
          <w:tcPr>
            <w:tcW w:w="1300" w:type="dxa"/>
            <w:tcBorders>
              <w:top w:val="nil"/>
              <w:left w:val="nil"/>
              <w:bottom w:val="single" w:sz="4" w:space="0" w:color="auto"/>
              <w:right w:val="single" w:sz="4" w:space="0" w:color="auto"/>
            </w:tcBorders>
            <w:noWrap/>
            <w:vAlign w:val="center"/>
            <w:hideMark/>
          </w:tcPr>
          <w:p w14:paraId="11CA07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7105924000</w:t>
            </w:r>
          </w:p>
        </w:tc>
        <w:tc>
          <w:tcPr>
            <w:tcW w:w="1012" w:type="dxa"/>
            <w:tcBorders>
              <w:top w:val="nil"/>
              <w:left w:val="nil"/>
              <w:bottom w:val="single" w:sz="4" w:space="0" w:color="auto"/>
              <w:right w:val="single" w:sz="4" w:space="0" w:color="auto"/>
            </w:tcBorders>
            <w:noWrap/>
            <w:vAlign w:val="center"/>
            <w:hideMark/>
          </w:tcPr>
          <w:p w14:paraId="0E905F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21706506</w:t>
            </w:r>
          </w:p>
        </w:tc>
        <w:tc>
          <w:tcPr>
            <w:tcW w:w="5953" w:type="dxa"/>
            <w:tcBorders>
              <w:top w:val="nil"/>
              <w:left w:val="nil"/>
              <w:bottom w:val="single" w:sz="4" w:space="0" w:color="auto"/>
              <w:right w:val="single" w:sz="4" w:space="0" w:color="auto"/>
            </w:tcBorders>
            <w:noWrap/>
            <w:vAlign w:val="center"/>
            <w:hideMark/>
          </w:tcPr>
          <w:p w14:paraId="53B9E7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CENTER ZA RAZVOJ TERCIARNEGA IZOBRAŽEVANJA SAŠA VELENJE</w:t>
            </w:r>
          </w:p>
        </w:tc>
      </w:tr>
      <w:tr w:rsidR="00F24E18" w14:paraId="33EF9E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E492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377</w:t>
            </w:r>
          </w:p>
        </w:tc>
        <w:tc>
          <w:tcPr>
            <w:tcW w:w="1300" w:type="dxa"/>
            <w:tcBorders>
              <w:top w:val="nil"/>
              <w:left w:val="nil"/>
              <w:bottom w:val="single" w:sz="4" w:space="0" w:color="auto"/>
              <w:right w:val="single" w:sz="4" w:space="0" w:color="auto"/>
            </w:tcBorders>
            <w:vAlign w:val="center"/>
            <w:hideMark/>
          </w:tcPr>
          <w:p w14:paraId="3FD523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5186048000</w:t>
            </w:r>
          </w:p>
        </w:tc>
        <w:tc>
          <w:tcPr>
            <w:tcW w:w="1012" w:type="dxa"/>
            <w:tcBorders>
              <w:top w:val="nil"/>
              <w:left w:val="nil"/>
              <w:bottom w:val="single" w:sz="4" w:space="0" w:color="auto"/>
              <w:right w:val="single" w:sz="4" w:space="0" w:color="auto"/>
            </w:tcBorders>
            <w:vAlign w:val="center"/>
            <w:hideMark/>
          </w:tcPr>
          <w:p w14:paraId="6EC287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72918985</w:t>
            </w:r>
          </w:p>
        </w:tc>
        <w:tc>
          <w:tcPr>
            <w:tcW w:w="5953" w:type="dxa"/>
            <w:tcBorders>
              <w:top w:val="nil"/>
              <w:left w:val="nil"/>
              <w:bottom w:val="single" w:sz="4" w:space="0" w:color="auto"/>
              <w:right w:val="single" w:sz="4" w:space="0" w:color="auto"/>
            </w:tcBorders>
            <w:noWrap/>
            <w:vAlign w:val="center"/>
            <w:hideMark/>
          </w:tcPr>
          <w:p w14:paraId="37D651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DESETKA CELJE, FINANČNO - RAČUNOVODSKE IN SVETOVALNE STORITVE ZA ZAVODE</w:t>
            </w:r>
          </w:p>
        </w:tc>
      </w:tr>
      <w:tr w:rsidR="00F24E18" w14:paraId="6FA06D9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8DA7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378</w:t>
            </w:r>
          </w:p>
        </w:tc>
        <w:tc>
          <w:tcPr>
            <w:tcW w:w="1300" w:type="dxa"/>
            <w:tcBorders>
              <w:top w:val="nil"/>
              <w:left w:val="nil"/>
              <w:bottom w:val="single" w:sz="4" w:space="0" w:color="auto"/>
              <w:right w:val="single" w:sz="4" w:space="0" w:color="auto"/>
            </w:tcBorders>
            <w:vAlign w:val="center"/>
            <w:hideMark/>
          </w:tcPr>
          <w:p w14:paraId="775E59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5241626000</w:t>
            </w:r>
          </w:p>
        </w:tc>
        <w:tc>
          <w:tcPr>
            <w:tcW w:w="1012" w:type="dxa"/>
            <w:tcBorders>
              <w:top w:val="nil"/>
              <w:left w:val="nil"/>
              <w:bottom w:val="single" w:sz="4" w:space="0" w:color="auto"/>
              <w:right w:val="single" w:sz="4" w:space="0" w:color="auto"/>
            </w:tcBorders>
            <w:vAlign w:val="center"/>
            <w:hideMark/>
          </w:tcPr>
          <w:p w14:paraId="79AC76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98576801</w:t>
            </w:r>
          </w:p>
        </w:tc>
        <w:tc>
          <w:tcPr>
            <w:tcW w:w="5953" w:type="dxa"/>
            <w:tcBorders>
              <w:top w:val="nil"/>
              <w:left w:val="nil"/>
              <w:bottom w:val="single" w:sz="4" w:space="0" w:color="auto"/>
              <w:right w:val="single" w:sz="4" w:space="0" w:color="auto"/>
            </w:tcBorders>
            <w:noWrap/>
            <w:vAlign w:val="center"/>
            <w:hideMark/>
          </w:tcPr>
          <w:p w14:paraId="6849BB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GASILSKA BRIGADA KOPER ENTE PUBBLICO VIGILI DEL FUOCO, CAPODISTRIA</w:t>
            </w:r>
          </w:p>
        </w:tc>
      </w:tr>
      <w:tr w:rsidR="00F24E18" w14:paraId="272E1B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9A46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379</w:t>
            </w:r>
          </w:p>
        </w:tc>
        <w:tc>
          <w:tcPr>
            <w:tcW w:w="1300" w:type="dxa"/>
            <w:tcBorders>
              <w:top w:val="nil"/>
              <w:left w:val="nil"/>
              <w:bottom w:val="single" w:sz="4" w:space="0" w:color="auto"/>
              <w:right w:val="single" w:sz="4" w:space="0" w:color="auto"/>
            </w:tcBorders>
            <w:vAlign w:val="center"/>
            <w:hideMark/>
          </w:tcPr>
          <w:p w14:paraId="519073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5067979000</w:t>
            </w:r>
          </w:p>
        </w:tc>
        <w:tc>
          <w:tcPr>
            <w:tcW w:w="1012" w:type="dxa"/>
            <w:tcBorders>
              <w:top w:val="nil"/>
              <w:left w:val="nil"/>
              <w:bottom w:val="single" w:sz="4" w:space="0" w:color="auto"/>
              <w:right w:val="single" w:sz="4" w:space="0" w:color="auto"/>
            </w:tcBorders>
            <w:vAlign w:val="center"/>
            <w:hideMark/>
          </w:tcPr>
          <w:p w14:paraId="2DBB03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23284161</w:t>
            </w:r>
          </w:p>
        </w:tc>
        <w:tc>
          <w:tcPr>
            <w:tcW w:w="5953" w:type="dxa"/>
            <w:tcBorders>
              <w:top w:val="nil"/>
              <w:left w:val="nil"/>
              <w:bottom w:val="single" w:sz="4" w:space="0" w:color="auto"/>
              <w:right w:val="single" w:sz="4" w:space="0" w:color="auto"/>
            </w:tcBorders>
            <w:noWrap/>
            <w:vAlign w:val="center"/>
            <w:hideMark/>
          </w:tcPr>
          <w:p w14:paraId="7A8A50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GASILSKA BRIGADA MARIBOR</w:t>
            </w:r>
          </w:p>
        </w:tc>
      </w:tr>
      <w:tr w:rsidR="00F24E18" w14:paraId="500AC1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DC25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380</w:t>
            </w:r>
          </w:p>
        </w:tc>
        <w:tc>
          <w:tcPr>
            <w:tcW w:w="1300" w:type="dxa"/>
            <w:tcBorders>
              <w:top w:val="nil"/>
              <w:left w:val="nil"/>
              <w:bottom w:val="single" w:sz="4" w:space="0" w:color="auto"/>
              <w:right w:val="single" w:sz="4" w:space="0" w:color="auto"/>
            </w:tcBorders>
            <w:noWrap/>
            <w:vAlign w:val="center"/>
            <w:hideMark/>
          </w:tcPr>
          <w:p w14:paraId="4E9E8A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1193694000</w:t>
            </w:r>
          </w:p>
        </w:tc>
        <w:tc>
          <w:tcPr>
            <w:tcW w:w="1012" w:type="dxa"/>
            <w:tcBorders>
              <w:top w:val="nil"/>
              <w:left w:val="nil"/>
              <w:bottom w:val="single" w:sz="4" w:space="0" w:color="auto"/>
              <w:right w:val="single" w:sz="4" w:space="0" w:color="auto"/>
            </w:tcBorders>
            <w:noWrap/>
            <w:vAlign w:val="center"/>
            <w:hideMark/>
          </w:tcPr>
          <w:p w14:paraId="3327FE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80508642</w:t>
            </w:r>
          </w:p>
        </w:tc>
        <w:tc>
          <w:tcPr>
            <w:tcW w:w="5953" w:type="dxa"/>
            <w:tcBorders>
              <w:top w:val="nil"/>
              <w:left w:val="nil"/>
              <w:bottom w:val="single" w:sz="4" w:space="0" w:color="auto"/>
              <w:right w:val="single" w:sz="4" w:space="0" w:color="auto"/>
            </w:tcBorders>
            <w:noWrap/>
            <w:vAlign w:val="center"/>
            <w:hideMark/>
          </w:tcPr>
          <w:p w14:paraId="20509F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GLASBENA ŠOLA LAŠKO - RADEČE</w:t>
            </w:r>
          </w:p>
        </w:tc>
      </w:tr>
      <w:tr w:rsidR="00F24E18" w14:paraId="524099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A5D6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381</w:t>
            </w:r>
          </w:p>
        </w:tc>
        <w:tc>
          <w:tcPr>
            <w:tcW w:w="1300" w:type="dxa"/>
            <w:tcBorders>
              <w:top w:val="nil"/>
              <w:left w:val="nil"/>
              <w:bottom w:val="single" w:sz="4" w:space="0" w:color="auto"/>
              <w:right w:val="single" w:sz="4" w:space="0" w:color="auto"/>
            </w:tcBorders>
            <w:noWrap/>
            <w:vAlign w:val="center"/>
            <w:hideMark/>
          </w:tcPr>
          <w:p w14:paraId="402882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2135051000</w:t>
            </w:r>
          </w:p>
        </w:tc>
        <w:tc>
          <w:tcPr>
            <w:tcW w:w="1012" w:type="dxa"/>
            <w:tcBorders>
              <w:top w:val="nil"/>
              <w:left w:val="nil"/>
              <w:bottom w:val="single" w:sz="4" w:space="0" w:color="auto"/>
              <w:right w:val="single" w:sz="4" w:space="0" w:color="auto"/>
            </w:tcBorders>
            <w:noWrap/>
            <w:vAlign w:val="center"/>
            <w:hideMark/>
          </w:tcPr>
          <w:p w14:paraId="6D33E2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24722707</w:t>
            </w:r>
          </w:p>
        </w:tc>
        <w:tc>
          <w:tcPr>
            <w:tcW w:w="5953" w:type="dxa"/>
            <w:tcBorders>
              <w:top w:val="nil"/>
              <w:left w:val="nil"/>
              <w:bottom w:val="single" w:sz="4" w:space="0" w:color="auto"/>
              <w:right w:val="single" w:sz="4" w:space="0" w:color="auto"/>
            </w:tcBorders>
            <w:noWrap/>
            <w:vAlign w:val="center"/>
            <w:hideMark/>
          </w:tcPr>
          <w:p w14:paraId="7A84C3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GLASBENA ŠOLA LITIJA - ŠMARTNO</w:t>
            </w:r>
          </w:p>
        </w:tc>
      </w:tr>
      <w:tr w:rsidR="00F24E18" w14:paraId="3002E8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3514C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382</w:t>
            </w:r>
          </w:p>
        </w:tc>
        <w:tc>
          <w:tcPr>
            <w:tcW w:w="1300" w:type="dxa"/>
            <w:tcBorders>
              <w:top w:val="nil"/>
              <w:left w:val="nil"/>
              <w:bottom w:val="single" w:sz="4" w:space="0" w:color="auto"/>
              <w:right w:val="single" w:sz="4" w:space="0" w:color="auto"/>
            </w:tcBorders>
            <w:noWrap/>
            <w:vAlign w:val="center"/>
            <w:hideMark/>
          </w:tcPr>
          <w:p w14:paraId="310347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9022635000</w:t>
            </w:r>
          </w:p>
        </w:tc>
        <w:tc>
          <w:tcPr>
            <w:tcW w:w="1012" w:type="dxa"/>
            <w:tcBorders>
              <w:top w:val="nil"/>
              <w:left w:val="nil"/>
              <w:bottom w:val="single" w:sz="4" w:space="0" w:color="auto"/>
              <w:right w:val="single" w:sz="4" w:space="0" w:color="auto"/>
            </w:tcBorders>
            <w:noWrap/>
            <w:vAlign w:val="center"/>
            <w:hideMark/>
          </w:tcPr>
          <w:p w14:paraId="65DCA4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20581904</w:t>
            </w:r>
          </w:p>
        </w:tc>
        <w:tc>
          <w:tcPr>
            <w:tcW w:w="5953" w:type="dxa"/>
            <w:tcBorders>
              <w:top w:val="nil"/>
              <w:left w:val="nil"/>
              <w:bottom w:val="single" w:sz="4" w:space="0" w:color="auto"/>
              <w:right w:val="single" w:sz="4" w:space="0" w:color="auto"/>
            </w:tcBorders>
            <w:noWrap/>
            <w:vAlign w:val="center"/>
            <w:hideMark/>
          </w:tcPr>
          <w:p w14:paraId="5C93DF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HIŠA ZA OTROKE</w:t>
            </w:r>
          </w:p>
        </w:tc>
      </w:tr>
      <w:tr w:rsidR="00F24E18" w14:paraId="54C475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ABFE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383</w:t>
            </w:r>
          </w:p>
        </w:tc>
        <w:tc>
          <w:tcPr>
            <w:tcW w:w="1300" w:type="dxa"/>
            <w:tcBorders>
              <w:top w:val="nil"/>
              <w:left w:val="nil"/>
              <w:bottom w:val="single" w:sz="4" w:space="0" w:color="auto"/>
              <w:right w:val="single" w:sz="4" w:space="0" w:color="auto"/>
            </w:tcBorders>
            <w:noWrap/>
            <w:vAlign w:val="center"/>
            <w:hideMark/>
          </w:tcPr>
          <w:p w14:paraId="33462E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3345548000</w:t>
            </w:r>
          </w:p>
        </w:tc>
        <w:tc>
          <w:tcPr>
            <w:tcW w:w="1012" w:type="dxa"/>
            <w:tcBorders>
              <w:top w:val="nil"/>
              <w:left w:val="nil"/>
              <w:bottom w:val="single" w:sz="4" w:space="0" w:color="auto"/>
              <w:right w:val="single" w:sz="4" w:space="0" w:color="auto"/>
            </w:tcBorders>
            <w:noWrap/>
            <w:vAlign w:val="center"/>
            <w:hideMark/>
          </w:tcPr>
          <w:p w14:paraId="2684F0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12753173</w:t>
            </w:r>
          </w:p>
        </w:tc>
        <w:tc>
          <w:tcPr>
            <w:tcW w:w="5953" w:type="dxa"/>
            <w:tcBorders>
              <w:top w:val="nil"/>
              <w:left w:val="nil"/>
              <w:bottom w:val="single" w:sz="4" w:space="0" w:color="auto"/>
              <w:right w:val="single" w:sz="4" w:space="0" w:color="auto"/>
            </w:tcBorders>
            <w:noWrap/>
            <w:vAlign w:val="center"/>
            <w:hideMark/>
          </w:tcPr>
          <w:p w14:paraId="54FEF9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KINODVOR</w:t>
            </w:r>
          </w:p>
        </w:tc>
      </w:tr>
      <w:tr w:rsidR="00F24E18" w14:paraId="7F093B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D768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384</w:t>
            </w:r>
          </w:p>
        </w:tc>
        <w:tc>
          <w:tcPr>
            <w:tcW w:w="1300" w:type="dxa"/>
            <w:tcBorders>
              <w:top w:val="nil"/>
              <w:left w:val="nil"/>
              <w:bottom w:val="single" w:sz="4" w:space="0" w:color="auto"/>
              <w:right w:val="single" w:sz="4" w:space="0" w:color="auto"/>
            </w:tcBorders>
            <w:noWrap/>
            <w:vAlign w:val="center"/>
            <w:hideMark/>
          </w:tcPr>
          <w:p w14:paraId="55C05A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5052483000</w:t>
            </w:r>
          </w:p>
        </w:tc>
        <w:tc>
          <w:tcPr>
            <w:tcW w:w="1012" w:type="dxa"/>
            <w:tcBorders>
              <w:top w:val="nil"/>
              <w:left w:val="nil"/>
              <w:bottom w:val="single" w:sz="4" w:space="0" w:color="auto"/>
              <w:right w:val="single" w:sz="4" w:space="0" w:color="auto"/>
            </w:tcBorders>
            <w:vAlign w:val="center"/>
            <w:hideMark/>
          </w:tcPr>
          <w:p w14:paraId="4F6ED3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25411306</w:t>
            </w:r>
          </w:p>
        </w:tc>
        <w:tc>
          <w:tcPr>
            <w:tcW w:w="5953" w:type="dxa"/>
            <w:tcBorders>
              <w:top w:val="nil"/>
              <w:left w:val="nil"/>
              <w:bottom w:val="single" w:sz="4" w:space="0" w:color="auto"/>
              <w:right w:val="single" w:sz="4" w:space="0" w:color="auto"/>
            </w:tcBorders>
            <w:noWrap/>
            <w:vAlign w:val="center"/>
            <w:hideMark/>
          </w:tcPr>
          <w:p w14:paraId="69B5D0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KNJIŽNICA GORNJA RADGONA</w:t>
            </w:r>
          </w:p>
        </w:tc>
      </w:tr>
      <w:tr w:rsidR="00F24E18" w14:paraId="1B25FBD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3641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385</w:t>
            </w:r>
          </w:p>
        </w:tc>
        <w:tc>
          <w:tcPr>
            <w:tcW w:w="1300" w:type="dxa"/>
            <w:tcBorders>
              <w:top w:val="nil"/>
              <w:left w:val="nil"/>
              <w:bottom w:val="single" w:sz="4" w:space="0" w:color="auto"/>
              <w:right w:val="single" w:sz="4" w:space="0" w:color="auto"/>
            </w:tcBorders>
            <w:noWrap/>
            <w:vAlign w:val="center"/>
            <w:hideMark/>
          </w:tcPr>
          <w:p w14:paraId="5C764E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5966949000</w:t>
            </w:r>
          </w:p>
        </w:tc>
        <w:tc>
          <w:tcPr>
            <w:tcW w:w="1012" w:type="dxa"/>
            <w:tcBorders>
              <w:top w:val="nil"/>
              <w:left w:val="nil"/>
              <w:bottom w:val="single" w:sz="4" w:space="0" w:color="auto"/>
              <w:right w:val="single" w:sz="4" w:space="0" w:color="auto"/>
            </w:tcBorders>
            <w:noWrap/>
            <w:vAlign w:val="center"/>
            <w:hideMark/>
          </w:tcPr>
          <w:p w14:paraId="41B403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72905689</w:t>
            </w:r>
          </w:p>
        </w:tc>
        <w:tc>
          <w:tcPr>
            <w:tcW w:w="5953" w:type="dxa"/>
            <w:tcBorders>
              <w:top w:val="nil"/>
              <w:left w:val="nil"/>
              <w:bottom w:val="single" w:sz="4" w:space="0" w:color="auto"/>
              <w:right w:val="single" w:sz="4" w:space="0" w:color="auto"/>
            </w:tcBorders>
            <w:noWrap/>
            <w:vAlign w:val="center"/>
            <w:hideMark/>
          </w:tcPr>
          <w:p w14:paraId="31EAE3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KNJIŽNICA LAŠKO</w:t>
            </w:r>
          </w:p>
        </w:tc>
      </w:tr>
      <w:tr w:rsidR="00F24E18" w14:paraId="14990F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3B41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386</w:t>
            </w:r>
          </w:p>
        </w:tc>
        <w:tc>
          <w:tcPr>
            <w:tcW w:w="1300" w:type="dxa"/>
            <w:tcBorders>
              <w:top w:val="nil"/>
              <w:left w:val="nil"/>
              <w:bottom w:val="single" w:sz="4" w:space="0" w:color="auto"/>
              <w:right w:val="single" w:sz="4" w:space="0" w:color="auto"/>
            </w:tcBorders>
            <w:vAlign w:val="center"/>
            <w:hideMark/>
          </w:tcPr>
          <w:p w14:paraId="4B42D5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1930621000</w:t>
            </w:r>
          </w:p>
        </w:tc>
        <w:tc>
          <w:tcPr>
            <w:tcW w:w="1012" w:type="dxa"/>
            <w:tcBorders>
              <w:top w:val="nil"/>
              <w:left w:val="nil"/>
              <w:bottom w:val="single" w:sz="4" w:space="0" w:color="auto"/>
              <w:right w:val="single" w:sz="4" w:space="0" w:color="auto"/>
            </w:tcBorders>
            <w:vAlign w:val="center"/>
            <w:hideMark/>
          </w:tcPr>
          <w:p w14:paraId="5DF4DC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84837730</w:t>
            </w:r>
          </w:p>
        </w:tc>
        <w:tc>
          <w:tcPr>
            <w:tcW w:w="5953" w:type="dxa"/>
            <w:tcBorders>
              <w:top w:val="nil"/>
              <w:left w:val="nil"/>
              <w:bottom w:val="single" w:sz="4" w:space="0" w:color="auto"/>
              <w:right w:val="single" w:sz="4" w:space="0" w:color="auto"/>
            </w:tcBorders>
            <w:noWrap/>
            <w:vAlign w:val="center"/>
            <w:hideMark/>
          </w:tcPr>
          <w:p w14:paraId="15B9D1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KRAJINSKI PARK GORIČKO</w:t>
            </w:r>
          </w:p>
        </w:tc>
      </w:tr>
      <w:tr w:rsidR="00F24E18" w14:paraId="19F1EC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FDD8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387</w:t>
            </w:r>
          </w:p>
        </w:tc>
        <w:tc>
          <w:tcPr>
            <w:tcW w:w="1300" w:type="dxa"/>
            <w:tcBorders>
              <w:top w:val="nil"/>
              <w:left w:val="nil"/>
              <w:bottom w:val="single" w:sz="4" w:space="0" w:color="auto"/>
              <w:right w:val="single" w:sz="4" w:space="0" w:color="auto"/>
            </w:tcBorders>
            <w:vAlign w:val="center"/>
            <w:hideMark/>
          </w:tcPr>
          <w:p w14:paraId="7B6E00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3630242000</w:t>
            </w:r>
          </w:p>
        </w:tc>
        <w:tc>
          <w:tcPr>
            <w:tcW w:w="1012" w:type="dxa"/>
            <w:tcBorders>
              <w:top w:val="nil"/>
              <w:left w:val="nil"/>
              <w:bottom w:val="single" w:sz="4" w:space="0" w:color="auto"/>
              <w:right w:val="single" w:sz="4" w:space="0" w:color="auto"/>
            </w:tcBorders>
            <w:vAlign w:val="center"/>
            <w:hideMark/>
          </w:tcPr>
          <w:p w14:paraId="4615E2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82828130</w:t>
            </w:r>
          </w:p>
        </w:tc>
        <w:tc>
          <w:tcPr>
            <w:tcW w:w="5953" w:type="dxa"/>
            <w:tcBorders>
              <w:top w:val="nil"/>
              <w:left w:val="nil"/>
              <w:bottom w:val="single" w:sz="4" w:space="0" w:color="auto"/>
              <w:right w:val="single" w:sz="4" w:space="0" w:color="auto"/>
            </w:tcBorders>
            <w:noWrap/>
            <w:vAlign w:val="center"/>
            <w:hideMark/>
          </w:tcPr>
          <w:p w14:paraId="50B063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KRAJINSKI PARK LJUBLJANSKO BARJE</w:t>
            </w:r>
          </w:p>
        </w:tc>
      </w:tr>
      <w:tr w:rsidR="00F24E18" w14:paraId="3143A4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1408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388</w:t>
            </w:r>
          </w:p>
        </w:tc>
        <w:tc>
          <w:tcPr>
            <w:tcW w:w="1300" w:type="dxa"/>
            <w:tcBorders>
              <w:top w:val="nil"/>
              <w:left w:val="nil"/>
              <w:bottom w:val="single" w:sz="4" w:space="0" w:color="auto"/>
              <w:right w:val="single" w:sz="4" w:space="0" w:color="auto"/>
            </w:tcBorders>
            <w:vAlign w:val="center"/>
            <w:hideMark/>
          </w:tcPr>
          <w:p w14:paraId="288851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1227564000</w:t>
            </w:r>
          </w:p>
        </w:tc>
        <w:tc>
          <w:tcPr>
            <w:tcW w:w="1012" w:type="dxa"/>
            <w:tcBorders>
              <w:top w:val="nil"/>
              <w:left w:val="nil"/>
              <w:bottom w:val="single" w:sz="4" w:space="0" w:color="auto"/>
              <w:right w:val="single" w:sz="4" w:space="0" w:color="auto"/>
            </w:tcBorders>
            <w:vAlign w:val="center"/>
            <w:hideMark/>
          </w:tcPr>
          <w:p w14:paraId="10AF27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26167832</w:t>
            </w:r>
          </w:p>
        </w:tc>
        <w:tc>
          <w:tcPr>
            <w:tcW w:w="5953" w:type="dxa"/>
            <w:tcBorders>
              <w:top w:val="nil"/>
              <w:left w:val="nil"/>
              <w:bottom w:val="single" w:sz="4" w:space="0" w:color="auto"/>
              <w:right w:val="single" w:sz="4" w:space="0" w:color="auto"/>
            </w:tcBorders>
            <w:noWrap/>
            <w:vAlign w:val="center"/>
            <w:hideMark/>
          </w:tcPr>
          <w:p w14:paraId="2A80FB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KRAŠKE LEKARNE ILIRSKA BISTRICA</w:t>
            </w:r>
          </w:p>
        </w:tc>
      </w:tr>
      <w:tr w:rsidR="00F24E18" w14:paraId="30B5EBC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1A7E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389</w:t>
            </w:r>
          </w:p>
        </w:tc>
        <w:tc>
          <w:tcPr>
            <w:tcW w:w="1300" w:type="dxa"/>
            <w:tcBorders>
              <w:top w:val="nil"/>
              <w:left w:val="nil"/>
              <w:bottom w:val="single" w:sz="4" w:space="0" w:color="auto"/>
              <w:right w:val="single" w:sz="4" w:space="0" w:color="auto"/>
            </w:tcBorders>
            <w:noWrap/>
            <w:vAlign w:val="center"/>
            <w:hideMark/>
          </w:tcPr>
          <w:p w14:paraId="12617D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5182638000</w:t>
            </w:r>
          </w:p>
        </w:tc>
        <w:tc>
          <w:tcPr>
            <w:tcW w:w="1012" w:type="dxa"/>
            <w:tcBorders>
              <w:top w:val="nil"/>
              <w:left w:val="nil"/>
              <w:bottom w:val="single" w:sz="4" w:space="0" w:color="auto"/>
              <w:right w:val="single" w:sz="4" w:space="0" w:color="auto"/>
            </w:tcBorders>
            <w:noWrap/>
            <w:vAlign w:val="center"/>
            <w:hideMark/>
          </w:tcPr>
          <w:p w14:paraId="4128CD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21034249</w:t>
            </w:r>
          </w:p>
        </w:tc>
        <w:tc>
          <w:tcPr>
            <w:tcW w:w="5953" w:type="dxa"/>
            <w:tcBorders>
              <w:top w:val="nil"/>
              <w:left w:val="nil"/>
              <w:bottom w:val="single" w:sz="4" w:space="0" w:color="auto"/>
              <w:right w:val="single" w:sz="4" w:space="0" w:color="auto"/>
            </w:tcBorders>
            <w:noWrap/>
            <w:vAlign w:val="center"/>
            <w:hideMark/>
          </w:tcPr>
          <w:p w14:paraId="555ECB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KULTURNI DOM NOVA GORICA</w:t>
            </w:r>
          </w:p>
        </w:tc>
      </w:tr>
      <w:tr w:rsidR="00F24E18" w14:paraId="3200536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23DF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390</w:t>
            </w:r>
          </w:p>
        </w:tc>
        <w:tc>
          <w:tcPr>
            <w:tcW w:w="1300" w:type="dxa"/>
            <w:tcBorders>
              <w:top w:val="nil"/>
              <w:left w:val="nil"/>
              <w:bottom w:val="single" w:sz="4" w:space="0" w:color="auto"/>
              <w:right w:val="single" w:sz="4" w:space="0" w:color="auto"/>
            </w:tcBorders>
            <w:vAlign w:val="center"/>
            <w:hideMark/>
          </w:tcPr>
          <w:p w14:paraId="515279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5053986000</w:t>
            </w:r>
          </w:p>
        </w:tc>
        <w:tc>
          <w:tcPr>
            <w:tcW w:w="1012" w:type="dxa"/>
            <w:tcBorders>
              <w:top w:val="nil"/>
              <w:left w:val="nil"/>
              <w:bottom w:val="single" w:sz="4" w:space="0" w:color="auto"/>
              <w:right w:val="single" w:sz="4" w:space="0" w:color="auto"/>
            </w:tcBorders>
            <w:vAlign w:val="center"/>
            <w:hideMark/>
          </w:tcPr>
          <w:p w14:paraId="64151E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49894595</w:t>
            </w:r>
          </w:p>
        </w:tc>
        <w:tc>
          <w:tcPr>
            <w:tcW w:w="5953" w:type="dxa"/>
            <w:tcBorders>
              <w:top w:val="nil"/>
              <w:left w:val="nil"/>
              <w:bottom w:val="single" w:sz="4" w:space="0" w:color="auto"/>
              <w:right w:val="single" w:sz="4" w:space="0" w:color="auto"/>
            </w:tcBorders>
            <w:noWrap/>
            <w:vAlign w:val="center"/>
            <w:hideMark/>
          </w:tcPr>
          <w:p w14:paraId="192EC3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LEKARNA LJUBLJANA</w:t>
            </w:r>
          </w:p>
        </w:tc>
      </w:tr>
      <w:tr w:rsidR="00F24E18" w14:paraId="58315A7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8C79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391</w:t>
            </w:r>
          </w:p>
        </w:tc>
        <w:tc>
          <w:tcPr>
            <w:tcW w:w="1300" w:type="dxa"/>
            <w:tcBorders>
              <w:top w:val="nil"/>
              <w:left w:val="nil"/>
              <w:bottom w:val="single" w:sz="4" w:space="0" w:color="auto"/>
              <w:right w:val="single" w:sz="4" w:space="0" w:color="auto"/>
            </w:tcBorders>
            <w:vAlign w:val="center"/>
            <w:hideMark/>
          </w:tcPr>
          <w:p w14:paraId="152875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3887359000</w:t>
            </w:r>
          </w:p>
        </w:tc>
        <w:tc>
          <w:tcPr>
            <w:tcW w:w="1012" w:type="dxa"/>
            <w:tcBorders>
              <w:top w:val="nil"/>
              <w:left w:val="nil"/>
              <w:bottom w:val="single" w:sz="4" w:space="0" w:color="auto"/>
              <w:right w:val="single" w:sz="4" w:space="0" w:color="auto"/>
            </w:tcBorders>
            <w:vAlign w:val="center"/>
            <w:hideMark/>
          </w:tcPr>
          <w:p w14:paraId="4C25F2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82858632</w:t>
            </w:r>
          </w:p>
        </w:tc>
        <w:tc>
          <w:tcPr>
            <w:tcW w:w="5953" w:type="dxa"/>
            <w:tcBorders>
              <w:top w:val="nil"/>
              <w:left w:val="nil"/>
              <w:bottom w:val="single" w:sz="4" w:space="0" w:color="auto"/>
              <w:right w:val="single" w:sz="4" w:space="0" w:color="auto"/>
            </w:tcBorders>
            <w:noWrap/>
            <w:vAlign w:val="center"/>
            <w:hideMark/>
          </w:tcPr>
          <w:p w14:paraId="66E0C6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LJUBLJANSKI GRAD</w:t>
            </w:r>
          </w:p>
        </w:tc>
      </w:tr>
      <w:tr w:rsidR="00F24E18" w14:paraId="62B8C54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678B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392</w:t>
            </w:r>
          </w:p>
        </w:tc>
        <w:tc>
          <w:tcPr>
            <w:tcW w:w="1300" w:type="dxa"/>
            <w:tcBorders>
              <w:top w:val="nil"/>
              <w:left w:val="nil"/>
              <w:bottom w:val="single" w:sz="4" w:space="0" w:color="auto"/>
              <w:right w:val="single" w:sz="4" w:space="0" w:color="auto"/>
            </w:tcBorders>
            <w:noWrap/>
            <w:vAlign w:val="center"/>
            <w:hideMark/>
          </w:tcPr>
          <w:p w14:paraId="3754F2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6636454000</w:t>
            </w:r>
          </w:p>
        </w:tc>
        <w:tc>
          <w:tcPr>
            <w:tcW w:w="1012" w:type="dxa"/>
            <w:tcBorders>
              <w:top w:val="nil"/>
              <w:left w:val="nil"/>
              <w:bottom w:val="single" w:sz="4" w:space="0" w:color="auto"/>
              <w:right w:val="single" w:sz="4" w:space="0" w:color="auto"/>
            </w:tcBorders>
            <w:noWrap/>
            <w:vAlign w:val="center"/>
            <w:hideMark/>
          </w:tcPr>
          <w:p w14:paraId="50E08A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38302586</w:t>
            </w:r>
          </w:p>
        </w:tc>
        <w:tc>
          <w:tcPr>
            <w:tcW w:w="5953" w:type="dxa"/>
            <w:tcBorders>
              <w:top w:val="nil"/>
              <w:left w:val="nil"/>
              <w:bottom w:val="single" w:sz="4" w:space="0" w:color="auto"/>
              <w:right w:val="single" w:sz="4" w:space="0" w:color="auto"/>
            </w:tcBorders>
            <w:noWrap/>
            <w:vAlign w:val="center"/>
            <w:hideMark/>
          </w:tcPr>
          <w:p w14:paraId="511D0E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MALA ULICA - CENTER ZA OTROKE IN DRUŽINE V LJUBLJANI</w:t>
            </w:r>
          </w:p>
        </w:tc>
      </w:tr>
      <w:tr w:rsidR="00F24E18" w14:paraId="2994D5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7523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393</w:t>
            </w:r>
          </w:p>
        </w:tc>
        <w:tc>
          <w:tcPr>
            <w:tcW w:w="1300" w:type="dxa"/>
            <w:tcBorders>
              <w:top w:val="nil"/>
              <w:left w:val="nil"/>
              <w:bottom w:val="single" w:sz="4" w:space="0" w:color="auto"/>
              <w:right w:val="single" w:sz="4" w:space="0" w:color="auto"/>
            </w:tcBorders>
            <w:vAlign w:val="center"/>
            <w:hideMark/>
          </w:tcPr>
          <w:p w14:paraId="59E6EA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5053722000</w:t>
            </w:r>
          </w:p>
        </w:tc>
        <w:tc>
          <w:tcPr>
            <w:tcW w:w="1012" w:type="dxa"/>
            <w:tcBorders>
              <w:top w:val="nil"/>
              <w:left w:val="nil"/>
              <w:bottom w:val="single" w:sz="4" w:space="0" w:color="auto"/>
              <w:right w:val="single" w:sz="4" w:space="0" w:color="auto"/>
            </w:tcBorders>
            <w:vAlign w:val="center"/>
            <w:hideMark/>
          </w:tcPr>
          <w:p w14:paraId="0AB2DF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98654322</w:t>
            </w:r>
          </w:p>
        </w:tc>
        <w:tc>
          <w:tcPr>
            <w:tcW w:w="5953" w:type="dxa"/>
            <w:tcBorders>
              <w:top w:val="nil"/>
              <w:left w:val="nil"/>
              <w:bottom w:val="single" w:sz="4" w:space="0" w:color="auto"/>
              <w:right w:val="single" w:sz="4" w:space="0" w:color="auto"/>
            </w:tcBorders>
            <w:noWrap/>
            <w:vAlign w:val="center"/>
            <w:hideMark/>
          </w:tcPr>
          <w:p w14:paraId="0B2F1D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MESTNE LEKARNE</w:t>
            </w:r>
          </w:p>
        </w:tc>
      </w:tr>
      <w:tr w:rsidR="00F24E18" w14:paraId="41B2FB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D4E9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394</w:t>
            </w:r>
          </w:p>
        </w:tc>
        <w:tc>
          <w:tcPr>
            <w:tcW w:w="1300" w:type="dxa"/>
            <w:tcBorders>
              <w:top w:val="nil"/>
              <w:left w:val="nil"/>
              <w:bottom w:val="single" w:sz="4" w:space="0" w:color="auto"/>
              <w:right w:val="single" w:sz="4" w:space="0" w:color="auto"/>
            </w:tcBorders>
            <w:noWrap/>
            <w:vAlign w:val="center"/>
            <w:hideMark/>
          </w:tcPr>
          <w:p w14:paraId="7C1601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3630099000</w:t>
            </w:r>
          </w:p>
        </w:tc>
        <w:tc>
          <w:tcPr>
            <w:tcW w:w="1012" w:type="dxa"/>
            <w:tcBorders>
              <w:top w:val="nil"/>
              <w:left w:val="nil"/>
              <w:bottom w:val="single" w:sz="4" w:space="0" w:color="auto"/>
              <w:right w:val="single" w:sz="4" w:space="0" w:color="auto"/>
            </w:tcBorders>
            <w:noWrap/>
            <w:vAlign w:val="center"/>
            <w:hideMark/>
          </w:tcPr>
          <w:p w14:paraId="73432E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13480855</w:t>
            </w:r>
          </w:p>
        </w:tc>
        <w:tc>
          <w:tcPr>
            <w:tcW w:w="5953" w:type="dxa"/>
            <w:tcBorders>
              <w:top w:val="nil"/>
              <w:left w:val="nil"/>
              <w:bottom w:val="single" w:sz="4" w:space="0" w:color="auto"/>
              <w:right w:val="single" w:sz="4" w:space="0" w:color="auto"/>
            </w:tcBorders>
            <w:noWrap/>
            <w:vAlign w:val="center"/>
            <w:hideMark/>
          </w:tcPr>
          <w:p w14:paraId="734BE5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MLADI ZMAJI - CENTER ZA KAKOVOSTNO PREŽIVLJANJE PROSTEGA ČASA MLADIH</w:t>
            </w:r>
          </w:p>
        </w:tc>
      </w:tr>
      <w:tr w:rsidR="00F24E18" w14:paraId="52123E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600D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395</w:t>
            </w:r>
          </w:p>
        </w:tc>
        <w:tc>
          <w:tcPr>
            <w:tcW w:w="1300" w:type="dxa"/>
            <w:tcBorders>
              <w:top w:val="nil"/>
              <w:left w:val="nil"/>
              <w:bottom w:val="single" w:sz="4" w:space="0" w:color="auto"/>
              <w:right w:val="single" w:sz="4" w:space="0" w:color="auto"/>
            </w:tcBorders>
            <w:vAlign w:val="center"/>
            <w:hideMark/>
          </w:tcPr>
          <w:p w14:paraId="21FFF2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5924502000</w:t>
            </w:r>
          </w:p>
        </w:tc>
        <w:tc>
          <w:tcPr>
            <w:tcW w:w="1012" w:type="dxa"/>
            <w:tcBorders>
              <w:top w:val="nil"/>
              <w:left w:val="nil"/>
              <w:bottom w:val="single" w:sz="4" w:space="0" w:color="auto"/>
              <w:right w:val="single" w:sz="4" w:space="0" w:color="auto"/>
            </w:tcBorders>
            <w:vAlign w:val="center"/>
            <w:hideMark/>
          </w:tcPr>
          <w:p w14:paraId="731592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93174705</w:t>
            </w:r>
          </w:p>
        </w:tc>
        <w:tc>
          <w:tcPr>
            <w:tcW w:w="5953" w:type="dxa"/>
            <w:tcBorders>
              <w:top w:val="nil"/>
              <w:left w:val="nil"/>
              <w:bottom w:val="single" w:sz="4" w:space="0" w:color="auto"/>
              <w:right w:val="single" w:sz="4" w:space="0" w:color="auto"/>
            </w:tcBorders>
            <w:noWrap/>
            <w:vAlign w:val="center"/>
            <w:hideMark/>
          </w:tcPr>
          <w:p w14:paraId="1DA806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OSNOVNA ŠOLA MARJANA NEMCA RADEČE</w:t>
            </w:r>
          </w:p>
        </w:tc>
      </w:tr>
      <w:tr w:rsidR="00F24E18" w14:paraId="497E8EA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F683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396</w:t>
            </w:r>
          </w:p>
        </w:tc>
        <w:tc>
          <w:tcPr>
            <w:tcW w:w="1300" w:type="dxa"/>
            <w:tcBorders>
              <w:top w:val="nil"/>
              <w:left w:val="nil"/>
              <w:bottom w:val="single" w:sz="4" w:space="0" w:color="auto"/>
              <w:right w:val="single" w:sz="4" w:space="0" w:color="auto"/>
            </w:tcBorders>
            <w:noWrap/>
            <w:vAlign w:val="center"/>
            <w:hideMark/>
          </w:tcPr>
          <w:p w14:paraId="2C26AF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5924774000</w:t>
            </w:r>
          </w:p>
        </w:tc>
        <w:tc>
          <w:tcPr>
            <w:tcW w:w="1012" w:type="dxa"/>
            <w:tcBorders>
              <w:top w:val="nil"/>
              <w:left w:val="nil"/>
              <w:bottom w:val="single" w:sz="4" w:space="0" w:color="auto"/>
              <w:right w:val="single" w:sz="4" w:space="0" w:color="auto"/>
            </w:tcBorders>
            <w:noWrap/>
            <w:vAlign w:val="center"/>
            <w:hideMark/>
          </w:tcPr>
          <w:p w14:paraId="63392C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21421382</w:t>
            </w:r>
          </w:p>
        </w:tc>
        <w:tc>
          <w:tcPr>
            <w:tcW w:w="5953" w:type="dxa"/>
            <w:tcBorders>
              <w:top w:val="nil"/>
              <w:left w:val="nil"/>
              <w:bottom w:val="single" w:sz="4" w:space="0" w:color="auto"/>
              <w:right w:val="single" w:sz="4" w:space="0" w:color="auto"/>
            </w:tcBorders>
            <w:noWrap/>
            <w:vAlign w:val="center"/>
            <w:hideMark/>
          </w:tcPr>
          <w:p w14:paraId="237138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OTROŠKI VRTEC ŠMARJE PRI JELŠAH</w:t>
            </w:r>
          </w:p>
        </w:tc>
      </w:tr>
      <w:tr w:rsidR="00F24E18" w14:paraId="71D9CE4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3456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397</w:t>
            </w:r>
          </w:p>
        </w:tc>
        <w:tc>
          <w:tcPr>
            <w:tcW w:w="1300" w:type="dxa"/>
            <w:tcBorders>
              <w:top w:val="nil"/>
              <w:left w:val="nil"/>
              <w:bottom w:val="single" w:sz="4" w:space="0" w:color="auto"/>
              <w:right w:val="single" w:sz="4" w:space="0" w:color="auto"/>
            </w:tcBorders>
            <w:noWrap/>
            <w:vAlign w:val="center"/>
            <w:hideMark/>
          </w:tcPr>
          <w:p w14:paraId="4DE8E8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1686674000</w:t>
            </w:r>
          </w:p>
        </w:tc>
        <w:tc>
          <w:tcPr>
            <w:tcW w:w="1012" w:type="dxa"/>
            <w:tcBorders>
              <w:top w:val="nil"/>
              <w:left w:val="nil"/>
              <w:bottom w:val="single" w:sz="4" w:space="0" w:color="auto"/>
              <w:right w:val="single" w:sz="4" w:space="0" w:color="auto"/>
            </w:tcBorders>
            <w:noWrap/>
            <w:vAlign w:val="center"/>
            <w:hideMark/>
          </w:tcPr>
          <w:p w14:paraId="7B2158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90717163</w:t>
            </w:r>
          </w:p>
        </w:tc>
        <w:tc>
          <w:tcPr>
            <w:tcW w:w="5953" w:type="dxa"/>
            <w:tcBorders>
              <w:top w:val="nil"/>
              <w:left w:val="nil"/>
              <w:bottom w:val="single" w:sz="4" w:space="0" w:color="auto"/>
              <w:right w:val="single" w:sz="4" w:space="0" w:color="auto"/>
            </w:tcBorders>
            <w:noWrap/>
            <w:vAlign w:val="center"/>
            <w:hideMark/>
          </w:tcPr>
          <w:p w14:paraId="493ADA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REGIJSKO VIŠJE IN VISOKOŠOLSKO SREDIŠČE</w:t>
            </w:r>
          </w:p>
        </w:tc>
      </w:tr>
      <w:tr w:rsidR="00F24E18" w14:paraId="6445BDE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CB55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398</w:t>
            </w:r>
          </w:p>
        </w:tc>
        <w:tc>
          <w:tcPr>
            <w:tcW w:w="1300" w:type="dxa"/>
            <w:tcBorders>
              <w:top w:val="nil"/>
              <w:left w:val="nil"/>
              <w:bottom w:val="single" w:sz="4" w:space="0" w:color="auto"/>
              <w:right w:val="single" w:sz="4" w:space="0" w:color="auto"/>
            </w:tcBorders>
            <w:vAlign w:val="center"/>
            <w:hideMark/>
          </w:tcPr>
          <w:p w14:paraId="52965C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1423215000</w:t>
            </w:r>
          </w:p>
        </w:tc>
        <w:tc>
          <w:tcPr>
            <w:tcW w:w="1012" w:type="dxa"/>
            <w:tcBorders>
              <w:top w:val="nil"/>
              <w:left w:val="nil"/>
              <w:bottom w:val="single" w:sz="4" w:space="0" w:color="auto"/>
              <w:right w:val="single" w:sz="4" w:space="0" w:color="auto"/>
            </w:tcBorders>
            <w:vAlign w:val="center"/>
            <w:hideMark/>
          </w:tcPr>
          <w:p w14:paraId="6D6F14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45991413</w:t>
            </w:r>
          </w:p>
        </w:tc>
        <w:tc>
          <w:tcPr>
            <w:tcW w:w="5953" w:type="dxa"/>
            <w:tcBorders>
              <w:top w:val="nil"/>
              <w:left w:val="nil"/>
              <w:bottom w:val="single" w:sz="4" w:space="0" w:color="auto"/>
              <w:right w:val="single" w:sz="4" w:space="0" w:color="auto"/>
            </w:tcBorders>
            <w:noWrap/>
            <w:vAlign w:val="center"/>
            <w:hideMark/>
          </w:tcPr>
          <w:p w14:paraId="596A76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REPUBLIKE SLOVENIJE ZA VARSTVO KULTURNE DEDIŠČINE</w:t>
            </w:r>
          </w:p>
        </w:tc>
      </w:tr>
      <w:tr w:rsidR="00F24E18" w14:paraId="7F63C8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93EB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399</w:t>
            </w:r>
          </w:p>
        </w:tc>
        <w:tc>
          <w:tcPr>
            <w:tcW w:w="1300" w:type="dxa"/>
            <w:tcBorders>
              <w:top w:val="nil"/>
              <w:left w:val="nil"/>
              <w:bottom w:val="single" w:sz="4" w:space="0" w:color="auto"/>
              <w:right w:val="single" w:sz="4" w:space="0" w:color="auto"/>
            </w:tcBorders>
            <w:noWrap/>
            <w:vAlign w:val="center"/>
            <w:hideMark/>
          </w:tcPr>
          <w:p w14:paraId="5FBC06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3372421000</w:t>
            </w:r>
          </w:p>
        </w:tc>
        <w:tc>
          <w:tcPr>
            <w:tcW w:w="1012" w:type="dxa"/>
            <w:tcBorders>
              <w:top w:val="nil"/>
              <w:left w:val="nil"/>
              <w:bottom w:val="single" w:sz="4" w:space="0" w:color="auto"/>
              <w:right w:val="single" w:sz="4" w:space="0" w:color="auto"/>
            </w:tcBorders>
            <w:noWrap/>
            <w:vAlign w:val="center"/>
            <w:hideMark/>
          </w:tcPr>
          <w:p w14:paraId="4B4B61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58270574</w:t>
            </w:r>
          </w:p>
        </w:tc>
        <w:tc>
          <w:tcPr>
            <w:tcW w:w="5953" w:type="dxa"/>
            <w:tcBorders>
              <w:top w:val="nil"/>
              <w:left w:val="nil"/>
              <w:bottom w:val="single" w:sz="4" w:space="0" w:color="auto"/>
              <w:right w:val="single" w:sz="4" w:space="0" w:color="auto"/>
            </w:tcBorders>
            <w:noWrap/>
            <w:vAlign w:val="center"/>
            <w:hideMark/>
          </w:tcPr>
          <w:p w14:paraId="25E5E3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ŠKTM ZA ŠPORT, KULTURO, TURIZEM IN MLADINO RADLJE OB DRAVI</w:t>
            </w:r>
          </w:p>
        </w:tc>
      </w:tr>
      <w:tr w:rsidR="00F24E18" w14:paraId="400C255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04B6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400</w:t>
            </w:r>
          </w:p>
        </w:tc>
        <w:tc>
          <w:tcPr>
            <w:tcW w:w="1300" w:type="dxa"/>
            <w:tcBorders>
              <w:top w:val="nil"/>
              <w:left w:val="nil"/>
              <w:bottom w:val="single" w:sz="4" w:space="0" w:color="auto"/>
              <w:right w:val="single" w:sz="4" w:space="0" w:color="auto"/>
            </w:tcBorders>
            <w:vAlign w:val="center"/>
            <w:hideMark/>
          </w:tcPr>
          <w:p w14:paraId="79DB3D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5145414000</w:t>
            </w:r>
          </w:p>
        </w:tc>
        <w:tc>
          <w:tcPr>
            <w:tcW w:w="1012" w:type="dxa"/>
            <w:tcBorders>
              <w:top w:val="nil"/>
              <w:left w:val="nil"/>
              <w:bottom w:val="single" w:sz="4" w:space="0" w:color="auto"/>
              <w:right w:val="single" w:sz="4" w:space="0" w:color="auto"/>
            </w:tcBorders>
            <w:vAlign w:val="center"/>
            <w:hideMark/>
          </w:tcPr>
          <w:p w14:paraId="6AC2C8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63489767</w:t>
            </w:r>
          </w:p>
        </w:tc>
        <w:tc>
          <w:tcPr>
            <w:tcW w:w="5953" w:type="dxa"/>
            <w:tcBorders>
              <w:top w:val="nil"/>
              <w:left w:val="nil"/>
              <w:bottom w:val="single" w:sz="4" w:space="0" w:color="auto"/>
              <w:right w:val="single" w:sz="4" w:space="0" w:color="auto"/>
            </w:tcBorders>
            <w:noWrap/>
            <w:vAlign w:val="center"/>
            <w:hideMark/>
          </w:tcPr>
          <w:p w14:paraId="4D869B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ŠPORT LJUBLJANA</w:t>
            </w:r>
          </w:p>
        </w:tc>
      </w:tr>
      <w:tr w:rsidR="00F24E18" w14:paraId="79EA09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0105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401</w:t>
            </w:r>
          </w:p>
        </w:tc>
        <w:tc>
          <w:tcPr>
            <w:tcW w:w="1300" w:type="dxa"/>
            <w:tcBorders>
              <w:top w:val="nil"/>
              <w:left w:val="nil"/>
              <w:bottom w:val="single" w:sz="4" w:space="0" w:color="auto"/>
              <w:right w:val="single" w:sz="4" w:space="0" w:color="auto"/>
            </w:tcBorders>
            <w:vAlign w:val="center"/>
            <w:hideMark/>
          </w:tcPr>
          <w:p w14:paraId="1B3033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5915376000</w:t>
            </w:r>
          </w:p>
        </w:tc>
        <w:tc>
          <w:tcPr>
            <w:tcW w:w="1012" w:type="dxa"/>
            <w:tcBorders>
              <w:top w:val="nil"/>
              <w:left w:val="nil"/>
              <w:bottom w:val="single" w:sz="4" w:space="0" w:color="auto"/>
              <w:right w:val="single" w:sz="4" w:space="0" w:color="auto"/>
            </w:tcBorders>
            <w:vAlign w:val="center"/>
            <w:hideMark/>
          </w:tcPr>
          <w:p w14:paraId="234464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37238221</w:t>
            </w:r>
          </w:p>
        </w:tc>
        <w:tc>
          <w:tcPr>
            <w:tcW w:w="5953" w:type="dxa"/>
            <w:tcBorders>
              <w:top w:val="nil"/>
              <w:left w:val="nil"/>
              <w:bottom w:val="single" w:sz="4" w:space="0" w:color="auto"/>
              <w:right w:val="single" w:sz="4" w:space="0" w:color="auto"/>
            </w:tcBorders>
            <w:noWrap/>
            <w:vAlign w:val="center"/>
            <w:hideMark/>
          </w:tcPr>
          <w:p w14:paraId="11BF7B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ŠPORTNI IN MLADINSKI CENTER PIRAN ENTE PUBBLICO CENTRO SPORTIVO E GIOVANILE DI PIRANO</w:t>
            </w:r>
          </w:p>
        </w:tc>
      </w:tr>
      <w:tr w:rsidR="00F24E18" w14:paraId="17EB315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7657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402</w:t>
            </w:r>
          </w:p>
        </w:tc>
        <w:tc>
          <w:tcPr>
            <w:tcW w:w="1300" w:type="dxa"/>
            <w:tcBorders>
              <w:top w:val="nil"/>
              <w:left w:val="nil"/>
              <w:bottom w:val="single" w:sz="4" w:space="0" w:color="auto"/>
              <w:right w:val="single" w:sz="4" w:space="0" w:color="auto"/>
            </w:tcBorders>
            <w:vAlign w:val="center"/>
            <w:hideMark/>
          </w:tcPr>
          <w:p w14:paraId="3108C3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1619004000</w:t>
            </w:r>
          </w:p>
        </w:tc>
        <w:tc>
          <w:tcPr>
            <w:tcW w:w="1012" w:type="dxa"/>
            <w:tcBorders>
              <w:top w:val="nil"/>
              <w:left w:val="nil"/>
              <w:bottom w:val="single" w:sz="4" w:space="0" w:color="auto"/>
              <w:right w:val="single" w:sz="4" w:space="0" w:color="auto"/>
            </w:tcBorders>
            <w:vAlign w:val="center"/>
            <w:hideMark/>
          </w:tcPr>
          <w:p w14:paraId="3852A0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37967550</w:t>
            </w:r>
          </w:p>
        </w:tc>
        <w:tc>
          <w:tcPr>
            <w:tcW w:w="5953" w:type="dxa"/>
            <w:tcBorders>
              <w:top w:val="nil"/>
              <w:left w:val="nil"/>
              <w:bottom w:val="single" w:sz="4" w:space="0" w:color="auto"/>
              <w:right w:val="single" w:sz="4" w:space="0" w:color="auto"/>
            </w:tcBorders>
            <w:noWrap/>
            <w:vAlign w:val="center"/>
            <w:hideMark/>
          </w:tcPr>
          <w:p w14:paraId="54D55A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ŠPORTNI PARK RUŠE</w:t>
            </w:r>
          </w:p>
        </w:tc>
      </w:tr>
      <w:tr w:rsidR="00F24E18" w14:paraId="1DBAA3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D14B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403</w:t>
            </w:r>
          </w:p>
        </w:tc>
        <w:tc>
          <w:tcPr>
            <w:tcW w:w="1300" w:type="dxa"/>
            <w:tcBorders>
              <w:top w:val="nil"/>
              <w:left w:val="nil"/>
              <w:bottom w:val="single" w:sz="4" w:space="0" w:color="auto"/>
              <w:right w:val="single" w:sz="4" w:space="0" w:color="auto"/>
            </w:tcBorders>
            <w:vAlign w:val="center"/>
            <w:hideMark/>
          </w:tcPr>
          <w:p w14:paraId="5C3ACC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5163846000</w:t>
            </w:r>
          </w:p>
        </w:tc>
        <w:tc>
          <w:tcPr>
            <w:tcW w:w="1012" w:type="dxa"/>
            <w:tcBorders>
              <w:top w:val="nil"/>
              <w:left w:val="nil"/>
              <w:bottom w:val="single" w:sz="4" w:space="0" w:color="auto"/>
              <w:right w:val="single" w:sz="4" w:space="0" w:color="auto"/>
            </w:tcBorders>
            <w:vAlign w:val="center"/>
            <w:hideMark/>
          </w:tcPr>
          <w:p w14:paraId="56B6FE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79422837</w:t>
            </w:r>
          </w:p>
        </w:tc>
        <w:tc>
          <w:tcPr>
            <w:tcW w:w="5953" w:type="dxa"/>
            <w:tcBorders>
              <w:top w:val="nil"/>
              <w:left w:val="nil"/>
              <w:bottom w:val="single" w:sz="4" w:space="0" w:color="auto"/>
              <w:right w:val="single" w:sz="4" w:space="0" w:color="auto"/>
            </w:tcBorders>
            <w:noWrap/>
            <w:vAlign w:val="center"/>
            <w:hideMark/>
          </w:tcPr>
          <w:p w14:paraId="455660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TRIGLAVSKI NARODNI PARK</w:t>
            </w:r>
          </w:p>
        </w:tc>
      </w:tr>
      <w:tr w:rsidR="00F24E18" w14:paraId="494EC19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1A75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404</w:t>
            </w:r>
          </w:p>
        </w:tc>
        <w:tc>
          <w:tcPr>
            <w:tcW w:w="1300" w:type="dxa"/>
            <w:tcBorders>
              <w:top w:val="nil"/>
              <w:left w:val="nil"/>
              <w:bottom w:val="single" w:sz="4" w:space="0" w:color="auto"/>
              <w:right w:val="single" w:sz="4" w:space="0" w:color="auto"/>
            </w:tcBorders>
            <w:noWrap/>
            <w:vAlign w:val="center"/>
            <w:hideMark/>
          </w:tcPr>
          <w:p w14:paraId="3E1822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1121782000</w:t>
            </w:r>
          </w:p>
        </w:tc>
        <w:tc>
          <w:tcPr>
            <w:tcW w:w="1012" w:type="dxa"/>
            <w:tcBorders>
              <w:top w:val="nil"/>
              <w:left w:val="nil"/>
              <w:bottom w:val="single" w:sz="4" w:space="0" w:color="auto"/>
              <w:right w:val="single" w:sz="4" w:space="0" w:color="auto"/>
            </w:tcBorders>
            <w:noWrap/>
            <w:vAlign w:val="center"/>
            <w:hideMark/>
          </w:tcPr>
          <w:p w14:paraId="3EE406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10544194</w:t>
            </w:r>
          </w:p>
        </w:tc>
        <w:tc>
          <w:tcPr>
            <w:tcW w:w="5953" w:type="dxa"/>
            <w:tcBorders>
              <w:top w:val="nil"/>
              <w:left w:val="nil"/>
              <w:bottom w:val="single" w:sz="4" w:space="0" w:color="auto"/>
              <w:right w:val="single" w:sz="4" w:space="0" w:color="auto"/>
            </w:tcBorders>
            <w:noWrap/>
            <w:vAlign w:val="center"/>
            <w:hideMark/>
          </w:tcPr>
          <w:p w14:paraId="4CC8AA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TURIZEM BLED</w:t>
            </w:r>
          </w:p>
        </w:tc>
      </w:tr>
      <w:tr w:rsidR="00F24E18" w14:paraId="5599DBF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657C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405</w:t>
            </w:r>
          </w:p>
        </w:tc>
        <w:tc>
          <w:tcPr>
            <w:tcW w:w="1300" w:type="dxa"/>
            <w:tcBorders>
              <w:top w:val="nil"/>
              <w:left w:val="nil"/>
              <w:bottom w:val="single" w:sz="4" w:space="0" w:color="auto"/>
              <w:right w:val="single" w:sz="4" w:space="0" w:color="auto"/>
            </w:tcBorders>
            <w:noWrap/>
            <w:vAlign w:val="center"/>
            <w:hideMark/>
          </w:tcPr>
          <w:p w14:paraId="695D48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3683516000</w:t>
            </w:r>
          </w:p>
        </w:tc>
        <w:tc>
          <w:tcPr>
            <w:tcW w:w="1012" w:type="dxa"/>
            <w:tcBorders>
              <w:top w:val="nil"/>
              <w:left w:val="nil"/>
              <w:bottom w:val="single" w:sz="4" w:space="0" w:color="auto"/>
              <w:right w:val="single" w:sz="4" w:space="0" w:color="auto"/>
            </w:tcBorders>
            <w:noWrap/>
            <w:vAlign w:val="center"/>
            <w:hideMark/>
          </w:tcPr>
          <w:p w14:paraId="3AB9AD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71535586</w:t>
            </w:r>
          </w:p>
        </w:tc>
        <w:tc>
          <w:tcPr>
            <w:tcW w:w="5953" w:type="dxa"/>
            <w:tcBorders>
              <w:top w:val="nil"/>
              <w:left w:val="nil"/>
              <w:bottom w:val="single" w:sz="4" w:space="0" w:color="auto"/>
              <w:right w:val="single" w:sz="4" w:space="0" w:color="auto"/>
            </w:tcBorders>
            <w:noWrap/>
            <w:vAlign w:val="center"/>
            <w:hideMark/>
          </w:tcPr>
          <w:p w14:paraId="004797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TURIZEM IN KULTURA RADOVLJICA</w:t>
            </w:r>
          </w:p>
        </w:tc>
      </w:tr>
      <w:tr w:rsidR="00F24E18" w14:paraId="0BEEE78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9875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406</w:t>
            </w:r>
          </w:p>
        </w:tc>
        <w:tc>
          <w:tcPr>
            <w:tcW w:w="1300" w:type="dxa"/>
            <w:tcBorders>
              <w:top w:val="nil"/>
              <w:left w:val="nil"/>
              <w:bottom w:val="single" w:sz="4" w:space="0" w:color="auto"/>
              <w:right w:val="single" w:sz="4" w:space="0" w:color="auto"/>
            </w:tcBorders>
            <w:vAlign w:val="center"/>
            <w:hideMark/>
          </w:tcPr>
          <w:p w14:paraId="15CECE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5987296000</w:t>
            </w:r>
          </w:p>
        </w:tc>
        <w:tc>
          <w:tcPr>
            <w:tcW w:w="1012" w:type="dxa"/>
            <w:tcBorders>
              <w:top w:val="nil"/>
              <w:left w:val="nil"/>
              <w:bottom w:val="single" w:sz="4" w:space="0" w:color="auto"/>
              <w:right w:val="single" w:sz="4" w:space="0" w:color="auto"/>
            </w:tcBorders>
            <w:vAlign w:val="center"/>
            <w:hideMark/>
          </w:tcPr>
          <w:p w14:paraId="39D43A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51997100</w:t>
            </w:r>
          </w:p>
        </w:tc>
        <w:tc>
          <w:tcPr>
            <w:tcW w:w="5953" w:type="dxa"/>
            <w:tcBorders>
              <w:top w:val="nil"/>
              <w:left w:val="nil"/>
              <w:bottom w:val="single" w:sz="4" w:space="0" w:color="auto"/>
              <w:right w:val="single" w:sz="4" w:space="0" w:color="auto"/>
            </w:tcBorders>
            <w:noWrap/>
            <w:vAlign w:val="center"/>
            <w:hideMark/>
          </w:tcPr>
          <w:p w14:paraId="1DCE3C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VRTEC ZREČE</w:t>
            </w:r>
          </w:p>
        </w:tc>
      </w:tr>
      <w:tr w:rsidR="00F24E18" w14:paraId="0E7C82B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34BF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407</w:t>
            </w:r>
          </w:p>
        </w:tc>
        <w:tc>
          <w:tcPr>
            <w:tcW w:w="1300" w:type="dxa"/>
            <w:tcBorders>
              <w:top w:val="nil"/>
              <w:left w:val="nil"/>
              <w:bottom w:val="single" w:sz="4" w:space="0" w:color="auto"/>
              <w:right w:val="single" w:sz="4" w:space="0" w:color="auto"/>
            </w:tcBorders>
            <w:noWrap/>
            <w:vAlign w:val="center"/>
            <w:hideMark/>
          </w:tcPr>
          <w:p w14:paraId="6DA141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8815321000</w:t>
            </w:r>
          </w:p>
        </w:tc>
        <w:tc>
          <w:tcPr>
            <w:tcW w:w="1012" w:type="dxa"/>
            <w:tcBorders>
              <w:top w:val="nil"/>
              <w:left w:val="nil"/>
              <w:bottom w:val="single" w:sz="4" w:space="0" w:color="auto"/>
              <w:right w:val="single" w:sz="4" w:space="0" w:color="auto"/>
            </w:tcBorders>
            <w:noWrap/>
            <w:vAlign w:val="center"/>
            <w:hideMark/>
          </w:tcPr>
          <w:p w14:paraId="5E6D95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79553451</w:t>
            </w:r>
          </w:p>
        </w:tc>
        <w:tc>
          <w:tcPr>
            <w:tcW w:w="5953" w:type="dxa"/>
            <w:tcBorders>
              <w:top w:val="nil"/>
              <w:left w:val="nil"/>
              <w:bottom w:val="single" w:sz="4" w:space="0" w:color="auto"/>
              <w:right w:val="single" w:sz="4" w:space="0" w:color="auto"/>
            </w:tcBorders>
            <w:noWrap/>
            <w:vAlign w:val="center"/>
            <w:hideMark/>
          </w:tcPr>
          <w:p w14:paraId="2D075C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DOLGOTRAJNO OSKRBO RAST RUŠE</w:t>
            </w:r>
          </w:p>
        </w:tc>
      </w:tr>
      <w:tr w:rsidR="00F24E18" w14:paraId="49D54D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B077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408</w:t>
            </w:r>
          </w:p>
        </w:tc>
        <w:tc>
          <w:tcPr>
            <w:tcW w:w="1300" w:type="dxa"/>
            <w:tcBorders>
              <w:top w:val="nil"/>
              <w:left w:val="nil"/>
              <w:bottom w:val="single" w:sz="4" w:space="0" w:color="auto"/>
              <w:right w:val="single" w:sz="4" w:space="0" w:color="auto"/>
            </w:tcBorders>
            <w:noWrap/>
            <w:vAlign w:val="center"/>
            <w:hideMark/>
          </w:tcPr>
          <w:p w14:paraId="61E870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5518741000</w:t>
            </w:r>
          </w:p>
        </w:tc>
        <w:tc>
          <w:tcPr>
            <w:tcW w:w="1012" w:type="dxa"/>
            <w:tcBorders>
              <w:top w:val="nil"/>
              <w:left w:val="nil"/>
              <w:bottom w:val="single" w:sz="4" w:space="0" w:color="auto"/>
              <w:right w:val="single" w:sz="4" w:space="0" w:color="auto"/>
            </w:tcBorders>
            <w:noWrap/>
            <w:vAlign w:val="center"/>
            <w:hideMark/>
          </w:tcPr>
          <w:p w14:paraId="2D37D6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92367151</w:t>
            </w:r>
          </w:p>
        </w:tc>
        <w:tc>
          <w:tcPr>
            <w:tcW w:w="5953" w:type="dxa"/>
            <w:tcBorders>
              <w:top w:val="nil"/>
              <w:left w:val="nil"/>
              <w:bottom w:val="single" w:sz="4" w:space="0" w:color="auto"/>
              <w:right w:val="single" w:sz="4" w:space="0" w:color="auto"/>
            </w:tcBorders>
            <w:noWrap/>
            <w:vAlign w:val="center"/>
            <w:hideMark/>
          </w:tcPr>
          <w:p w14:paraId="522AAA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GASILSKO IN REŠEVALNO DEJAVNOST -GASILSKA ENOTA NOVA GORICA</w:t>
            </w:r>
          </w:p>
        </w:tc>
      </w:tr>
      <w:tr w:rsidR="00F24E18" w14:paraId="6D5E7D9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0470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409</w:t>
            </w:r>
          </w:p>
        </w:tc>
        <w:tc>
          <w:tcPr>
            <w:tcW w:w="1300" w:type="dxa"/>
            <w:tcBorders>
              <w:top w:val="nil"/>
              <w:left w:val="nil"/>
              <w:bottom w:val="single" w:sz="4" w:space="0" w:color="auto"/>
              <w:right w:val="single" w:sz="4" w:space="0" w:color="auto"/>
            </w:tcBorders>
            <w:noWrap/>
            <w:vAlign w:val="center"/>
            <w:hideMark/>
          </w:tcPr>
          <w:p w14:paraId="20502D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6558470000</w:t>
            </w:r>
          </w:p>
        </w:tc>
        <w:tc>
          <w:tcPr>
            <w:tcW w:w="1012" w:type="dxa"/>
            <w:tcBorders>
              <w:top w:val="nil"/>
              <w:left w:val="nil"/>
              <w:bottom w:val="single" w:sz="4" w:space="0" w:color="auto"/>
              <w:right w:val="single" w:sz="4" w:space="0" w:color="auto"/>
            </w:tcBorders>
            <w:noWrap/>
            <w:vAlign w:val="center"/>
            <w:hideMark/>
          </w:tcPr>
          <w:p w14:paraId="3F0018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64124266</w:t>
            </w:r>
          </w:p>
        </w:tc>
        <w:tc>
          <w:tcPr>
            <w:tcW w:w="5953" w:type="dxa"/>
            <w:tcBorders>
              <w:top w:val="nil"/>
              <w:left w:val="nil"/>
              <w:bottom w:val="single" w:sz="4" w:space="0" w:color="auto"/>
              <w:right w:val="single" w:sz="4" w:space="0" w:color="auto"/>
            </w:tcBorders>
            <w:noWrap/>
            <w:vAlign w:val="center"/>
            <w:hideMark/>
          </w:tcPr>
          <w:p w14:paraId="01B3E4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KULTURO IN TURIZEM PRIJETNO DOMAČE IVANČNA GORICA</w:t>
            </w:r>
          </w:p>
        </w:tc>
      </w:tr>
      <w:tr w:rsidR="00F24E18" w14:paraId="0BA2B7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041A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410</w:t>
            </w:r>
          </w:p>
        </w:tc>
        <w:tc>
          <w:tcPr>
            <w:tcW w:w="1300" w:type="dxa"/>
            <w:tcBorders>
              <w:top w:val="nil"/>
              <w:left w:val="nil"/>
              <w:bottom w:val="single" w:sz="4" w:space="0" w:color="auto"/>
              <w:right w:val="single" w:sz="4" w:space="0" w:color="auto"/>
            </w:tcBorders>
            <w:noWrap/>
            <w:vAlign w:val="center"/>
            <w:hideMark/>
          </w:tcPr>
          <w:p w14:paraId="0182A7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8180431000</w:t>
            </w:r>
          </w:p>
        </w:tc>
        <w:tc>
          <w:tcPr>
            <w:tcW w:w="1012" w:type="dxa"/>
            <w:tcBorders>
              <w:top w:val="nil"/>
              <w:left w:val="nil"/>
              <w:bottom w:val="single" w:sz="4" w:space="0" w:color="auto"/>
              <w:right w:val="single" w:sz="4" w:space="0" w:color="auto"/>
            </w:tcBorders>
            <w:noWrap/>
            <w:vAlign w:val="center"/>
            <w:hideMark/>
          </w:tcPr>
          <w:p w14:paraId="0C54D7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19359713</w:t>
            </w:r>
          </w:p>
        </w:tc>
        <w:tc>
          <w:tcPr>
            <w:tcW w:w="5953" w:type="dxa"/>
            <w:tcBorders>
              <w:top w:val="nil"/>
              <w:left w:val="nil"/>
              <w:bottom w:val="single" w:sz="4" w:space="0" w:color="auto"/>
              <w:right w:val="single" w:sz="4" w:space="0" w:color="auto"/>
            </w:tcBorders>
            <w:noWrap/>
            <w:vAlign w:val="center"/>
            <w:hideMark/>
          </w:tcPr>
          <w:p w14:paraId="2DCF7A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KULTURO KAMNIK</w:t>
            </w:r>
          </w:p>
        </w:tc>
      </w:tr>
      <w:tr w:rsidR="00F24E18" w14:paraId="5BF8E68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5808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411</w:t>
            </w:r>
          </w:p>
        </w:tc>
        <w:tc>
          <w:tcPr>
            <w:tcW w:w="1300" w:type="dxa"/>
            <w:tcBorders>
              <w:top w:val="nil"/>
              <w:left w:val="nil"/>
              <w:bottom w:val="single" w:sz="4" w:space="0" w:color="auto"/>
              <w:right w:val="single" w:sz="4" w:space="0" w:color="auto"/>
            </w:tcBorders>
            <w:noWrap/>
            <w:vAlign w:val="center"/>
            <w:hideMark/>
          </w:tcPr>
          <w:p w14:paraId="583D80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6301819000</w:t>
            </w:r>
          </w:p>
        </w:tc>
        <w:tc>
          <w:tcPr>
            <w:tcW w:w="1012" w:type="dxa"/>
            <w:tcBorders>
              <w:top w:val="nil"/>
              <w:left w:val="nil"/>
              <w:bottom w:val="single" w:sz="4" w:space="0" w:color="auto"/>
              <w:right w:val="single" w:sz="4" w:space="0" w:color="auto"/>
            </w:tcBorders>
            <w:noWrap/>
            <w:vAlign w:val="center"/>
            <w:hideMark/>
          </w:tcPr>
          <w:p w14:paraId="4A85AB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13109154</w:t>
            </w:r>
          </w:p>
        </w:tc>
        <w:tc>
          <w:tcPr>
            <w:tcW w:w="5953" w:type="dxa"/>
            <w:tcBorders>
              <w:top w:val="nil"/>
              <w:left w:val="nil"/>
              <w:bottom w:val="single" w:sz="4" w:space="0" w:color="auto"/>
              <w:right w:val="single" w:sz="4" w:space="0" w:color="auto"/>
            </w:tcBorders>
            <w:noWrap/>
            <w:vAlign w:val="center"/>
            <w:hideMark/>
          </w:tcPr>
          <w:p w14:paraId="051D9C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KULTURO, MLADINO IN ŠPORT LITIJA</w:t>
            </w:r>
          </w:p>
        </w:tc>
      </w:tr>
      <w:tr w:rsidR="00F24E18" w14:paraId="157B66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B1C0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412</w:t>
            </w:r>
          </w:p>
        </w:tc>
        <w:tc>
          <w:tcPr>
            <w:tcW w:w="1300" w:type="dxa"/>
            <w:tcBorders>
              <w:top w:val="nil"/>
              <w:left w:val="nil"/>
              <w:bottom w:val="single" w:sz="4" w:space="0" w:color="auto"/>
              <w:right w:val="single" w:sz="4" w:space="0" w:color="auto"/>
            </w:tcBorders>
            <w:noWrap/>
            <w:vAlign w:val="center"/>
            <w:hideMark/>
          </w:tcPr>
          <w:p w14:paraId="1C24BD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5186609000</w:t>
            </w:r>
          </w:p>
        </w:tc>
        <w:tc>
          <w:tcPr>
            <w:tcW w:w="1012" w:type="dxa"/>
            <w:tcBorders>
              <w:top w:val="nil"/>
              <w:left w:val="nil"/>
              <w:bottom w:val="single" w:sz="4" w:space="0" w:color="auto"/>
              <w:right w:val="single" w:sz="4" w:space="0" w:color="auto"/>
            </w:tcBorders>
            <w:noWrap/>
            <w:vAlign w:val="center"/>
            <w:hideMark/>
          </w:tcPr>
          <w:p w14:paraId="488400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44537069</w:t>
            </w:r>
          </w:p>
        </w:tc>
        <w:tc>
          <w:tcPr>
            <w:tcW w:w="5953" w:type="dxa"/>
            <w:tcBorders>
              <w:top w:val="nil"/>
              <w:left w:val="nil"/>
              <w:bottom w:val="single" w:sz="4" w:space="0" w:color="auto"/>
              <w:right w:val="single" w:sz="4" w:space="0" w:color="auto"/>
            </w:tcBorders>
            <w:noWrap/>
            <w:vAlign w:val="center"/>
            <w:hideMark/>
          </w:tcPr>
          <w:p w14:paraId="0B068D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KULTURO, ŠPORT, MLADINO IN TURIZEM HRASTNIK</w:t>
            </w:r>
          </w:p>
        </w:tc>
      </w:tr>
      <w:tr w:rsidR="00F24E18" w14:paraId="0AFF7FD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2601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413</w:t>
            </w:r>
          </w:p>
        </w:tc>
        <w:tc>
          <w:tcPr>
            <w:tcW w:w="1300" w:type="dxa"/>
            <w:tcBorders>
              <w:top w:val="nil"/>
              <w:left w:val="nil"/>
              <w:bottom w:val="single" w:sz="4" w:space="0" w:color="auto"/>
              <w:right w:val="single" w:sz="4" w:space="0" w:color="auto"/>
            </w:tcBorders>
            <w:noWrap/>
            <w:vAlign w:val="center"/>
            <w:hideMark/>
          </w:tcPr>
          <w:p w14:paraId="5F0AF3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1569805000</w:t>
            </w:r>
          </w:p>
        </w:tc>
        <w:tc>
          <w:tcPr>
            <w:tcW w:w="1012" w:type="dxa"/>
            <w:tcBorders>
              <w:top w:val="nil"/>
              <w:left w:val="nil"/>
              <w:bottom w:val="single" w:sz="4" w:space="0" w:color="auto"/>
              <w:right w:val="single" w:sz="4" w:space="0" w:color="auto"/>
            </w:tcBorders>
            <w:noWrap/>
            <w:vAlign w:val="center"/>
            <w:hideMark/>
          </w:tcPr>
          <w:p w14:paraId="423419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84120312</w:t>
            </w:r>
          </w:p>
        </w:tc>
        <w:tc>
          <w:tcPr>
            <w:tcW w:w="5953" w:type="dxa"/>
            <w:tcBorders>
              <w:top w:val="nil"/>
              <w:left w:val="nil"/>
              <w:bottom w:val="single" w:sz="4" w:space="0" w:color="auto"/>
              <w:right w:val="single" w:sz="4" w:space="0" w:color="auto"/>
            </w:tcBorders>
            <w:noWrap/>
            <w:vAlign w:val="center"/>
            <w:hideMark/>
          </w:tcPr>
          <w:p w14:paraId="63B3FD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KULTURO, TURIZEM IN RAZVOJ OBČINE ROGATEC</w:t>
            </w:r>
          </w:p>
        </w:tc>
      </w:tr>
      <w:tr w:rsidR="00F24E18" w14:paraId="06E3678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D823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414</w:t>
            </w:r>
          </w:p>
        </w:tc>
        <w:tc>
          <w:tcPr>
            <w:tcW w:w="1300" w:type="dxa"/>
            <w:tcBorders>
              <w:top w:val="nil"/>
              <w:left w:val="nil"/>
              <w:bottom w:val="single" w:sz="4" w:space="0" w:color="auto"/>
              <w:right w:val="single" w:sz="4" w:space="0" w:color="auto"/>
            </w:tcBorders>
            <w:noWrap/>
            <w:vAlign w:val="center"/>
            <w:hideMark/>
          </w:tcPr>
          <w:p w14:paraId="2CDED7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5640237000</w:t>
            </w:r>
          </w:p>
        </w:tc>
        <w:tc>
          <w:tcPr>
            <w:tcW w:w="1012" w:type="dxa"/>
            <w:tcBorders>
              <w:top w:val="nil"/>
              <w:left w:val="nil"/>
              <w:bottom w:val="single" w:sz="4" w:space="0" w:color="auto"/>
              <w:right w:val="single" w:sz="4" w:space="0" w:color="auto"/>
            </w:tcBorders>
            <w:noWrap/>
            <w:vAlign w:val="center"/>
            <w:hideMark/>
          </w:tcPr>
          <w:p w14:paraId="7BF7A6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23313285</w:t>
            </w:r>
          </w:p>
        </w:tc>
        <w:tc>
          <w:tcPr>
            <w:tcW w:w="5953" w:type="dxa"/>
            <w:tcBorders>
              <w:top w:val="nil"/>
              <w:left w:val="nil"/>
              <w:bottom w:val="single" w:sz="4" w:space="0" w:color="auto"/>
              <w:right w:val="single" w:sz="4" w:space="0" w:color="auto"/>
            </w:tcBorders>
            <w:noWrap/>
            <w:vAlign w:val="center"/>
            <w:hideMark/>
          </w:tcPr>
          <w:p w14:paraId="66A945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OPRAVLJANJE SPREMLJAJOČIH DEJAVNOSTI VZGOJE IN IZOBRAŽEVANJA MURSKA SOBOTA</w:t>
            </w:r>
          </w:p>
        </w:tc>
      </w:tr>
      <w:tr w:rsidR="00F24E18" w14:paraId="1C58AF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0854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415</w:t>
            </w:r>
          </w:p>
        </w:tc>
        <w:tc>
          <w:tcPr>
            <w:tcW w:w="1300" w:type="dxa"/>
            <w:tcBorders>
              <w:top w:val="nil"/>
              <w:left w:val="nil"/>
              <w:bottom w:val="single" w:sz="4" w:space="0" w:color="auto"/>
              <w:right w:val="single" w:sz="4" w:space="0" w:color="auto"/>
            </w:tcBorders>
            <w:noWrap/>
            <w:vAlign w:val="center"/>
            <w:hideMark/>
          </w:tcPr>
          <w:p w14:paraId="239704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7060947000</w:t>
            </w:r>
          </w:p>
        </w:tc>
        <w:tc>
          <w:tcPr>
            <w:tcW w:w="1012" w:type="dxa"/>
            <w:tcBorders>
              <w:top w:val="nil"/>
              <w:left w:val="nil"/>
              <w:bottom w:val="single" w:sz="4" w:space="0" w:color="auto"/>
              <w:right w:val="single" w:sz="4" w:space="0" w:color="auto"/>
            </w:tcBorders>
            <w:noWrap/>
            <w:vAlign w:val="center"/>
            <w:hideMark/>
          </w:tcPr>
          <w:p w14:paraId="738677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72323906</w:t>
            </w:r>
          </w:p>
        </w:tc>
        <w:tc>
          <w:tcPr>
            <w:tcW w:w="5953" w:type="dxa"/>
            <w:tcBorders>
              <w:top w:val="nil"/>
              <w:left w:val="nil"/>
              <w:bottom w:val="single" w:sz="4" w:space="0" w:color="auto"/>
              <w:right w:val="single" w:sz="4" w:space="0" w:color="auto"/>
            </w:tcBorders>
            <w:noWrap/>
            <w:vAlign w:val="center"/>
            <w:hideMark/>
          </w:tcPr>
          <w:p w14:paraId="089D79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SPODBUJANJE PODJETNIŠTVA IN RAZVOJNE PROJEKTE OBČINE IZOLA - ENTE PUBBLICO PER LA PROMOZIONE DELL'IMPRENDITORIA E PROGETTI DI SVILUPPO DEL COMUNE D'ISOLA</w:t>
            </w:r>
          </w:p>
        </w:tc>
      </w:tr>
      <w:tr w:rsidR="00F24E18" w14:paraId="2C6BA0B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4D20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416</w:t>
            </w:r>
          </w:p>
        </w:tc>
        <w:tc>
          <w:tcPr>
            <w:tcW w:w="1300" w:type="dxa"/>
            <w:tcBorders>
              <w:top w:val="nil"/>
              <w:left w:val="nil"/>
              <w:bottom w:val="single" w:sz="4" w:space="0" w:color="auto"/>
              <w:right w:val="single" w:sz="4" w:space="0" w:color="auto"/>
            </w:tcBorders>
            <w:noWrap/>
            <w:vAlign w:val="center"/>
            <w:hideMark/>
          </w:tcPr>
          <w:p w14:paraId="56F285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1870998000</w:t>
            </w:r>
          </w:p>
        </w:tc>
        <w:tc>
          <w:tcPr>
            <w:tcW w:w="1012" w:type="dxa"/>
            <w:tcBorders>
              <w:top w:val="nil"/>
              <w:left w:val="nil"/>
              <w:bottom w:val="single" w:sz="4" w:space="0" w:color="auto"/>
              <w:right w:val="single" w:sz="4" w:space="0" w:color="auto"/>
            </w:tcBorders>
            <w:noWrap/>
            <w:vAlign w:val="center"/>
            <w:hideMark/>
          </w:tcPr>
          <w:p w14:paraId="30E8B6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43277675</w:t>
            </w:r>
          </w:p>
        </w:tc>
        <w:tc>
          <w:tcPr>
            <w:tcW w:w="5953" w:type="dxa"/>
            <w:tcBorders>
              <w:top w:val="nil"/>
              <w:left w:val="nil"/>
              <w:bottom w:val="single" w:sz="4" w:space="0" w:color="auto"/>
              <w:right w:val="single" w:sz="4" w:space="0" w:color="auto"/>
            </w:tcBorders>
            <w:noWrap/>
            <w:vAlign w:val="center"/>
            <w:hideMark/>
          </w:tcPr>
          <w:p w14:paraId="6AA08D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ŠPORT MESTNE OBČINE KOPER</w:t>
            </w:r>
          </w:p>
        </w:tc>
      </w:tr>
      <w:tr w:rsidR="00F24E18" w14:paraId="63EB6FE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01B1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417</w:t>
            </w:r>
          </w:p>
        </w:tc>
        <w:tc>
          <w:tcPr>
            <w:tcW w:w="1300" w:type="dxa"/>
            <w:tcBorders>
              <w:top w:val="nil"/>
              <w:left w:val="nil"/>
              <w:bottom w:val="single" w:sz="4" w:space="0" w:color="auto"/>
              <w:right w:val="single" w:sz="4" w:space="0" w:color="auto"/>
            </w:tcBorders>
            <w:noWrap/>
            <w:vAlign w:val="center"/>
            <w:hideMark/>
          </w:tcPr>
          <w:p w14:paraId="33F3E8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5987261000</w:t>
            </w:r>
          </w:p>
        </w:tc>
        <w:tc>
          <w:tcPr>
            <w:tcW w:w="1012" w:type="dxa"/>
            <w:tcBorders>
              <w:top w:val="nil"/>
              <w:left w:val="nil"/>
              <w:bottom w:val="single" w:sz="4" w:space="0" w:color="auto"/>
              <w:right w:val="single" w:sz="4" w:space="0" w:color="auto"/>
            </w:tcBorders>
            <w:noWrap/>
            <w:vAlign w:val="center"/>
            <w:hideMark/>
          </w:tcPr>
          <w:p w14:paraId="2F273C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19123426</w:t>
            </w:r>
          </w:p>
        </w:tc>
        <w:tc>
          <w:tcPr>
            <w:tcW w:w="5953" w:type="dxa"/>
            <w:tcBorders>
              <w:top w:val="nil"/>
              <w:left w:val="nil"/>
              <w:bottom w:val="single" w:sz="4" w:space="0" w:color="auto"/>
              <w:right w:val="single" w:sz="4" w:space="0" w:color="auto"/>
            </w:tcBorders>
            <w:noWrap/>
            <w:vAlign w:val="center"/>
            <w:hideMark/>
          </w:tcPr>
          <w:p w14:paraId="0F3AF5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ŠPORT NOVA GORICA</w:t>
            </w:r>
          </w:p>
        </w:tc>
      </w:tr>
      <w:tr w:rsidR="00F24E18" w14:paraId="0B731D2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30BB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418</w:t>
            </w:r>
          </w:p>
        </w:tc>
        <w:tc>
          <w:tcPr>
            <w:tcW w:w="1300" w:type="dxa"/>
            <w:tcBorders>
              <w:top w:val="nil"/>
              <w:left w:val="nil"/>
              <w:bottom w:val="single" w:sz="4" w:space="0" w:color="auto"/>
              <w:right w:val="single" w:sz="4" w:space="0" w:color="auto"/>
            </w:tcBorders>
            <w:noWrap/>
            <w:vAlign w:val="center"/>
            <w:hideMark/>
          </w:tcPr>
          <w:p w14:paraId="1A97C0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1306359000</w:t>
            </w:r>
          </w:p>
        </w:tc>
        <w:tc>
          <w:tcPr>
            <w:tcW w:w="1012" w:type="dxa"/>
            <w:tcBorders>
              <w:top w:val="nil"/>
              <w:left w:val="nil"/>
              <w:bottom w:val="single" w:sz="4" w:space="0" w:color="auto"/>
              <w:right w:val="single" w:sz="4" w:space="0" w:color="auto"/>
            </w:tcBorders>
            <w:vAlign w:val="center"/>
            <w:hideMark/>
          </w:tcPr>
          <w:p w14:paraId="4ABD01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74108549</w:t>
            </w:r>
          </w:p>
        </w:tc>
        <w:tc>
          <w:tcPr>
            <w:tcW w:w="5953" w:type="dxa"/>
            <w:tcBorders>
              <w:top w:val="nil"/>
              <w:left w:val="nil"/>
              <w:bottom w:val="single" w:sz="4" w:space="0" w:color="auto"/>
              <w:right w:val="single" w:sz="4" w:space="0" w:color="auto"/>
            </w:tcBorders>
            <w:noWrap/>
            <w:vAlign w:val="center"/>
            <w:hideMark/>
          </w:tcPr>
          <w:p w14:paraId="4FEB28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ŠPORT SLOV. BISTRICA</w:t>
            </w:r>
          </w:p>
        </w:tc>
      </w:tr>
      <w:tr w:rsidR="00F24E18" w14:paraId="3AE240C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3314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419</w:t>
            </w:r>
          </w:p>
        </w:tc>
        <w:tc>
          <w:tcPr>
            <w:tcW w:w="1300" w:type="dxa"/>
            <w:tcBorders>
              <w:top w:val="nil"/>
              <w:left w:val="nil"/>
              <w:bottom w:val="single" w:sz="4" w:space="0" w:color="auto"/>
              <w:right w:val="single" w:sz="4" w:space="0" w:color="auto"/>
            </w:tcBorders>
            <w:vAlign w:val="center"/>
            <w:hideMark/>
          </w:tcPr>
          <w:p w14:paraId="74AA15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2148528000</w:t>
            </w:r>
          </w:p>
        </w:tc>
        <w:tc>
          <w:tcPr>
            <w:tcW w:w="1012" w:type="dxa"/>
            <w:tcBorders>
              <w:top w:val="nil"/>
              <w:left w:val="nil"/>
              <w:bottom w:val="single" w:sz="4" w:space="0" w:color="auto"/>
              <w:right w:val="single" w:sz="4" w:space="0" w:color="auto"/>
            </w:tcBorders>
            <w:vAlign w:val="center"/>
            <w:hideMark/>
          </w:tcPr>
          <w:p w14:paraId="3C148D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43651348</w:t>
            </w:r>
          </w:p>
        </w:tc>
        <w:tc>
          <w:tcPr>
            <w:tcW w:w="5953" w:type="dxa"/>
            <w:tcBorders>
              <w:top w:val="nil"/>
              <w:left w:val="nil"/>
              <w:bottom w:val="single" w:sz="4" w:space="0" w:color="auto"/>
              <w:right w:val="single" w:sz="4" w:space="0" w:color="auto"/>
            </w:tcBorders>
            <w:noWrap/>
            <w:vAlign w:val="center"/>
            <w:hideMark/>
          </w:tcPr>
          <w:p w14:paraId="7B95BF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ŠPORT, TURIZEM, KULTURO, MLADINO IN SOCIALNO VARSTVENE STORITVE SOTOČJE MEDVODE</w:t>
            </w:r>
          </w:p>
        </w:tc>
      </w:tr>
      <w:tr w:rsidR="00F24E18" w14:paraId="08B099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DB70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420</w:t>
            </w:r>
          </w:p>
        </w:tc>
        <w:tc>
          <w:tcPr>
            <w:tcW w:w="1300" w:type="dxa"/>
            <w:tcBorders>
              <w:top w:val="nil"/>
              <w:left w:val="nil"/>
              <w:bottom w:val="single" w:sz="4" w:space="0" w:color="auto"/>
              <w:right w:val="single" w:sz="4" w:space="0" w:color="auto"/>
            </w:tcBorders>
            <w:vAlign w:val="center"/>
            <w:hideMark/>
          </w:tcPr>
          <w:p w14:paraId="41667C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7260300000</w:t>
            </w:r>
          </w:p>
        </w:tc>
        <w:tc>
          <w:tcPr>
            <w:tcW w:w="1012" w:type="dxa"/>
            <w:tcBorders>
              <w:top w:val="nil"/>
              <w:left w:val="nil"/>
              <w:bottom w:val="single" w:sz="4" w:space="0" w:color="auto"/>
              <w:right w:val="single" w:sz="4" w:space="0" w:color="auto"/>
            </w:tcBorders>
            <w:vAlign w:val="center"/>
            <w:hideMark/>
          </w:tcPr>
          <w:p w14:paraId="13B712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15230627</w:t>
            </w:r>
          </w:p>
        </w:tc>
        <w:tc>
          <w:tcPr>
            <w:tcW w:w="5953" w:type="dxa"/>
            <w:tcBorders>
              <w:top w:val="nil"/>
              <w:left w:val="nil"/>
              <w:bottom w:val="single" w:sz="4" w:space="0" w:color="auto"/>
              <w:right w:val="single" w:sz="4" w:space="0" w:color="auto"/>
            </w:tcBorders>
            <w:noWrap/>
            <w:vAlign w:val="center"/>
            <w:hideMark/>
          </w:tcPr>
          <w:p w14:paraId="715298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TURIZEM DOLINA SOČE</w:t>
            </w:r>
          </w:p>
        </w:tc>
      </w:tr>
      <w:tr w:rsidR="00F24E18" w14:paraId="3008A9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F9BB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421</w:t>
            </w:r>
          </w:p>
        </w:tc>
        <w:tc>
          <w:tcPr>
            <w:tcW w:w="1300" w:type="dxa"/>
            <w:tcBorders>
              <w:top w:val="nil"/>
              <w:left w:val="nil"/>
              <w:bottom w:val="single" w:sz="4" w:space="0" w:color="auto"/>
              <w:right w:val="single" w:sz="4" w:space="0" w:color="auto"/>
            </w:tcBorders>
            <w:vAlign w:val="center"/>
            <w:hideMark/>
          </w:tcPr>
          <w:p w14:paraId="7C9A97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6952992000</w:t>
            </w:r>
          </w:p>
        </w:tc>
        <w:tc>
          <w:tcPr>
            <w:tcW w:w="1012" w:type="dxa"/>
            <w:tcBorders>
              <w:top w:val="nil"/>
              <w:left w:val="nil"/>
              <w:bottom w:val="single" w:sz="4" w:space="0" w:color="auto"/>
              <w:right w:val="single" w:sz="4" w:space="0" w:color="auto"/>
            </w:tcBorders>
            <w:vAlign w:val="center"/>
            <w:hideMark/>
          </w:tcPr>
          <w:p w14:paraId="51B8DB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97767735</w:t>
            </w:r>
          </w:p>
        </w:tc>
        <w:tc>
          <w:tcPr>
            <w:tcW w:w="5953" w:type="dxa"/>
            <w:tcBorders>
              <w:top w:val="nil"/>
              <w:left w:val="nil"/>
              <w:bottom w:val="single" w:sz="4" w:space="0" w:color="auto"/>
              <w:right w:val="single" w:sz="4" w:space="0" w:color="auto"/>
            </w:tcBorders>
            <w:noWrap/>
            <w:vAlign w:val="center"/>
            <w:hideMark/>
          </w:tcPr>
          <w:p w14:paraId="3BCC84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TURIZEM IN KULTURO KOČEVJE</w:t>
            </w:r>
          </w:p>
        </w:tc>
      </w:tr>
      <w:tr w:rsidR="00F24E18" w14:paraId="1C3E88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48F5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422</w:t>
            </w:r>
          </w:p>
        </w:tc>
        <w:tc>
          <w:tcPr>
            <w:tcW w:w="1300" w:type="dxa"/>
            <w:tcBorders>
              <w:top w:val="nil"/>
              <w:left w:val="nil"/>
              <w:bottom w:val="single" w:sz="4" w:space="0" w:color="auto"/>
              <w:right w:val="single" w:sz="4" w:space="0" w:color="auto"/>
            </w:tcBorders>
            <w:noWrap/>
            <w:vAlign w:val="center"/>
            <w:hideMark/>
          </w:tcPr>
          <w:p w14:paraId="250B13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8240949000</w:t>
            </w:r>
          </w:p>
        </w:tc>
        <w:tc>
          <w:tcPr>
            <w:tcW w:w="1012" w:type="dxa"/>
            <w:tcBorders>
              <w:top w:val="nil"/>
              <w:left w:val="nil"/>
              <w:bottom w:val="single" w:sz="4" w:space="0" w:color="auto"/>
              <w:right w:val="single" w:sz="4" w:space="0" w:color="auto"/>
            </w:tcBorders>
            <w:noWrap/>
            <w:vAlign w:val="center"/>
            <w:hideMark/>
          </w:tcPr>
          <w:p w14:paraId="3509B7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42891051</w:t>
            </w:r>
          </w:p>
        </w:tc>
        <w:tc>
          <w:tcPr>
            <w:tcW w:w="5953" w:type="dxa"/>
            <w:tcBorders>
              <w:top w:val="nil"/>
              <w:left w:val="nil"/>
              <w:bottom w:val="single" w:sz="4" w:space="0" w:color="auto"/>
              <w:right w:val="single" w:sz="4" w:space="0" w:color="auto"/>
            </w:tcBorders>
            <w:noWrap/>
            <w:vAlign w:val="center"/>
            <w:hideMark/>
          </w:tcPr>
          <w:p w14:paraId="50D87C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TURIZEM NOVA GORICA IN VIPAVSKA DOLINA</w:t>
            </w:r>
          </w:p>
        </w:tc>
      </w:tr>
      <w:tr w:rsidR="00F24E18" w14:paraId="73E3EC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003F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423</w:t>
            </w:r>
          </w:p>
        </w:tc>
        <w:tc>
          <w:tcPr>
            <w:tcW w:w="1300" w:type="dxa"/>
            <w:tcBorders>
              <w:top w:val="nil"/>
              <w:left w:val="nil"/>
              <w:bottom w:val="single" w:sz="4" w:space="0" w:color="auto"/>
              <w:right w:val="single" w:sz="4" w:space="0" w:color="auto"/>
            </w:tcBorders>
            <w:vAlign w:val="center"/>
            <w:hideMark/>
          </w:tcPr>
          <w:p w14:paraId="7293D4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3391817000</w:t>
            </w:r>
          </w:p>
        </w:tc>
        <w:tc>
          <w:tcPr>
            <w:tcW w:w="1012" w:type="dxa"/>
            <w:tcBorders>
              <w:top w:val="nil"/>
              <w:left w:val="nil"/>
              <w:bottom w:val="single" w:sz="4" w:space="0" w:color="auto"/>
              <w:right w:val="single" w:sz="4" w:space="0" w:color="auto"/>
            </w:tcBorders>
            <w:vAlign w:val="center"/>
            <w:hideMark/>
          </w:tcPr>
          <w:p w14:paraId="2C4934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83975071</w:t>
            </w:r>
          </w:p>
        </w:tc>
        <w:tc>
          <w:tcPr>
            <w:tcW w:w="5953" w:type="dxa"/>
            <w:tcBorders>
              <w:top w:val="nil"/>
              <w:left w:val="nil"/>
              <w:bottom w:val="single" w:sz="4" w:space="0" w:color="auto"/>
              <w:right w:val="single" w:sz="4" w:space="0" w:color="auto"/>
            </w:tcBorders>
            <w:noWrap/>
            <w:vAlign w:val="center"/>
            <w:hideMark/>
          </w:tcPr>
          <w:p w14:paraId="0F66C0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JAVNI ZAVOD ZA TURIZEM, ŠPORT, MLADINSKE IN SOCIALNE PROGRAME SPOTUR SLOVENJ GRADEC</w:t>
            </w:r>
          </w:p>
        </w:tc>
      </w:tr>
      <w:tr w:rsidR="00F24E18" w14:paraId="6DF334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EF02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424</w:t>
            </w:r>
          </w:p>
        </w:tc>
        <w:tc>
          <w:tcPr>
            <w:tcW w:w="1300" w:type="dxa"/>
            <w:tcBorders>
              <w:top w:val="nil"/>
              <w:left w:val="nil"/>
              <w:bottom w:val="single" w:sz="4" w:space="0" w:color="auto"/>
              <w:right w:val="single" w:sz="4" w:space="0" w:color="auto"/>
            </w:tcBorders>
            <w:noWrap/>
            <w:vAlign w:val="center"/>
            <w:hideMark/>
          </w:tcPr>
          <w:p w14:paraId="314B3E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1694758000</w:t>
            </w:r>
          </w:p>
        </w:tc>
        <w:tc>
          <w:tcPr>
            <w:tcW w:w="1012" w:type="dxa"/>
            <w:tcBorders>
              <w:top w:val="nil"/>
              <w:left w:val="nil"/>
              <w:bottom w:val="single" w:sz="4" w:space="0" w:color="auto"/>
              <w:right w:val="single" w:sz="4" w:space="0" w:color="auto"/>
            </w:tcBorders>
            <w:noWrap/>
            <w:vAlign w:val="center"/>
            <w:hideMark/>
          </w:tcPr>
          <w:p w14:paraId="2EB042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62608037</w:t>
            </w:r>
          </w:p>
        </w:tc>
        <w:tc>
          <w:tcPr>
            <w:tcW w:w="5953" w:type="dxa"/>
            <w:tcBorders>
              <w:top w:val="nil"/>
              <w:left w:val="nil"/>
              <w:bottom w:val="single" w:sz="4" w:space="0" w:color="auto"/>
              <w:right w:val="single" w:sz="4" w:space="0" w:color="auto"/>
            </w:tcBorders>
            <w:noWrap/>
            <w:vAlign w:val="center"/>
            <w:hideMark/>
          </w:tcPr>
          <w:p w14:paraId="3AEB3F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JAVNI ZAVOD </w:t>
            </w:r>
            <w:proofErr w:type="spellStart"/>
            <w:r>
              <w:rPr>
                <w:rFonts w:ascii="Arial" w:eastAsia="Times New Roman" w:hAnsi="Arial" w:cs="Arial"/>
                <w:color w:val="000000"/>
                <w:sz w:val="18"/>
                <w:szCs w:val="18"/>
                <w:lang w:eastAsia="sl-SI"/>
              </w:rPr>
              <w:t>ZAVOD</w:t>
            </w:r>
            <w:proofErr w:type="spellEnd"/>
            <w:r>
              <w:rPr>
                <w:rFonts w:ascii="Arial" w:eastAsia="Times New Roman" w:hAnsi="Arial" w:cs="Arial"/>
                <w:color w:val="000000"/>
                <w:sz w:val="18"/>
                <w:szCs w:val="18"/>
                <w:lang w:eastAsia="sl-SI"/>
              </w:rPr>
              <w:t xml:space="preserve"> ZA MLADINO IN ŠPORT TRBOVLJE</w:t>
            </w:r>
          </w:p>
        </w:tc>
      </w:tr>
      <w:tr w:rsidR="00F24E18" w14:paraId="5FDA4AB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28AE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425</w:t>
            </w:r>
          </w:p>
        </w:tc>
        <w:tc>
          <w:tcPr>
            <w:tcW w:w="1300" w:type="dxa"/>
            <w:tcBorders>
              <w:top w:val="nil"/>
              <w:left w:val="nil"/>
              <w:bottom w:val="single" w:sz="4" w:space="0" w:color="auto"/>
              <w:right w:val="single" w:sz="4" w:space="0" w:color="auto"/>
            </w:tcBorders>
            <w:vAlign w:val="center"/>
            <w:hideMark/>
          </w:tcPr>
          <w:p w14:paraId="01C8CA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5945151000</w:t>
            </w:r>
          </w:p>
        </w:tc>
        <w:tc>
          <w:tcPr>
            <w:tcW w:w="1012" w:type="dxa"/>
            <w:tcBorders>
              <w:top w:val="nil"/>
              <w:left w:val="nil"/>
              <w:bottom w:val="single" w:sz="4" w:space="0" w:color="auto"/>
              <w:right w:val="single" w:sz="4" w:space="0" w:color="auto"/>
            </w:tcBorders>
            <w:vAlign w:val="center"/>
            <w:hideMark/>
          </w:tcPr>
          <w:p w14:paraId="0F00BF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22513434</w:t>
            </w:r>
          </w:p>
        </w:tc>
        <w:tc>
          <w:tcPr>
            <w:tcW w:w="5953" w:type="dxa"/>
            <w:tcBorders>
              <w:top w:val="nil"/>
              <w:left w:val="nil"/>
              <w:bottom w:val="single" w:sz="4" w:space="0" w:color="auto"/>
              <w:right w:val="single" w:sz="4" w:space="0" w:color="auto"/>
            </w:tcBorders>
            <w:noWrap/>
            <w:vAlign w:val="center"/>
            <w:hideMark/>
          </w:tcPr>
          <w:p w14:paraId="2ACB99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BREZOVICA D.O.O.</w:t>
            </w:r>
          </w:p>
        </w:tc>
      </w:tr>
      <w:tr w:rsidR="00F24E18" w14:paraId="14288C8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7208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426</w:t>
            </w:r>
          </w:p>
        </w:tc>
        <w:tc>
          <w:tcPr>
            <w:tcW w:w="1300" w:type="dxa"/>
            <w:tcBorders>
              <w:top w:val="nil"/>
              <w:left w:val="nil"/>
              <w:bottom w:val="single" w:sz="4" w:space="0" w:color="auto"/>
              <w:right w:val="single" w:sz="4" w:space="0" w:color="auto"/>
            </w:tcBorders>
            <w:vAlign w:val="center"/>
            <w:hideMark/>
          </w:tcPr>
          <w:p w14:paraId="35CB7F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5213258000</w:t>
            </w:r>
          </w:p>
        </w:tc>
        <w:tc>
          <w:tcPr>
            <w:tcW w:w="1012" w:type="dxa"/>
            <w:tcBorders>
              <w:top w:val="nil"/>
              <w:left w:val="nil"/>
              <w:bottom w:val="single" w:sz="4" w:space="0" w:color="auto"/>
              <w:right w:val="single" w:sz="4" w:space="0" w:color="auto"/>
            </w:tcBorders>
            <w:vAlign w:val="center"/>
            <w:hideMark/>
          </w:tcPr>
          <w:p w14:paraId="5AF569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72013257</w:t>
            </w:r>
          </w:p>
        </w:tc>
        <w:tc>
          <w:tcPr>
            <w:tcW w:w="5953" w:type="dxa"/>
            <w:tcBorders>
              <w:top w:val="nil"/>
              <w:left w:val="nil"/>
              <w:bottom w:val="single" w:sz="4" w:space="0" w:color="auto"/>
              <w:right w:val="single" w:sz="4" w:space="0" w:color="auto"/>
            </w:tcBorders>
            <w:noWrap/>
            <w:vAlign w:val="center"/>
            <w:hideMark/>
          </w:tcPr>
          <w:p w14:paraId="13E004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DRAVOGRAD D.O.O.</w:t>
            </w:r>
          </w:p>
        </w:tc>
      </w:tr>
      <w:tr w:rsidR="00F24E18" w14:paraId="7D13554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A3C7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427</w:t>
            </w:r>
          </w:p>
        </w:tc>
        <w:tc>
          <w:tcPr>
            <w:tcW w:w="1300" w:type="dxa"/>
            <w:tcBorders>
              <w:top w:val="nil"/>
              <w:left w:val="nil"/>
              <w:bottom w:val="single" w:sz="4" w:space="0" w:color="auto"/>
              <w:right w:val="single" w:sz="4" w:space="0" w:color="auto"/>
            </w:tcBorders>
            <w:vAlign w:val="center"/>
            <w:hideMark/>
          </w:tcPr>
          <w:p w14:paraId="102A27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5144574000</w:t>
            </w:r>
          </w:p>
        </w:tc>
        <w:tc>
          <w:tcPr>
            <w:tcW w:w="1012" w:type="dxa"/>
            <w:tcBorders>
              <w:top w:val="nil"/>
              <w:left w:val="nil"/>
              <w:bottom w:val="single" w:sz="4" w:space="0" w:color="auto"/>
              <w:right w:val="single" w:sz="4" w:space="0" w:color="auto"/>
            </w:tcBorders>
            <w:vAlign w:val="center"/>
            <w:hideMark/>
          </w:tcPr>
          <w:p w14:paraId="3C2D34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65119037</w:t>
            </w:r>
          </w:p>
        </w:tc>
        <w:tc>
          <w:tcPr>
            <w:tcW w:w="5953" w:type="dxa"/>
            <w:tcBorders>
              <w:top w:val="nil"/>
              <w:left w:val="nil"/>
              <w:bottom w:val="single" w:sz="4" w:space="0" w:color="auto"/>
              <w:right w:val="single" w:sz="4" w:space="0" w:color="auto"/>
            </w:tcBorders>
            <w:noWrap/>
            <w:vAlign w:val="center"/>
            <w:hideMark/>
          </w:tcPr>
          <w:p w14:paraId="2D504F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GROSUPLJE D.O.O.</w:t>
            </w:r>
          </w:p>
        </w:tc>
      </w:tr>
      <w:tr w:rsidR="00F24E18" w14:paraId="189B563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BC4A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428</w:t>
            </w:r>
          </w:p>
        </w:tc>
        <w:tc>
          <w:tcPr>
            <w:tcW w:w="1300" w:type="dxa"/>
            <w:tcBorders>
              <w:top w:val="nil"/>
              <w:left w:val="nil"/>
              <w:bottom w:val="single" w:sz="4" w:space="0" w:color="auto"/>
              <w:right w:val="single" w:sz="4" w:space="0" w:color="auto"/>
            </w:tcBorders>
            <w:vAlign w:val="center"/>
            <w:hideMark/>
          </w:tcPr>
          <w:p w14:paraId="777A87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5067804000</w:t>
            </w:r>
          </w:p>
        </w:tc>
        <w:tc>
          <w:tcPr>
            <w:tcW w:w="1012" w:type="dxa"/>
            <w:tcBorders>
              <w:top w:val="nil"/>
              <w:left w:val="nil"/>
              <w:bottom w:val="single" w:sz="4" w:space="0" w:color="auto"/>
              <w:right w:val="single" w:sz="4" w:space="0" w:color="auto"/>
            </w:tcBorders>
            <w:vAlign w:val="center"/>
            <w:hideMark/>
          </w:tcPr>
          <w:p w14:paraId="32B856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10626271</w:t>
            </w:r>
          </w:p>
        </w:tc>
        <w:tc>
          <w:tcPr>
            <w:tcW w:w="5953" w:type="dxa"/>
            <w:tcBorders>
              <w:top w:val="nil"/>
              <w:left w:val="nil"/>
              <w:bottom w:val="single" w:sz="4" w:space="0" w:color="auto"/>
              <w:right w:val="single" w:sz="4" w:space="0" w:color="auto"/>
            </w:tcBorders>
            <w:noWrap/>
            <w:vAlign w:val="center"/>
            <w:hideMark/>
          </w:tcPr>
          <w:p w14:paraId="64CFF2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KOMUNALA KOČEVJE D.O.O.</w:t>
            </w:r>
          </w:p>
        </w:tc>
      </w:tr>
      <w:tr w:rsidR="00F24E18" w14:paraId="28AE3D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4651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429</w:t>
            </w:r>
          </w:p>
        </w:tc>
        <w:tc>
          <w:tcPr>
            <w:tcW w:w="1300" w:type="dxa"/>
            <w:tcBorders>
              <w:top w:val="nil"/>
              <w:left w:val="nil"/>
              <w:bottom w:val="single" w:sz="4" w:space="0" w:color="auto"/>
              <w:right w:val="single" w:sz="4" w:space="0" w:color="auto"/>
            </w:tcBorders>
            <w:vAlign w:val="center"/>
            <w:hideMark/>
          </w:tcPr>
          <w:p w14:paraId="16B22C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5068053000</w:t>
            </w:r>
          </w:p>
        </w:tc>
        <w:tc>
          <w:tcPr>
            <w:tcW w:w="1012" w:type="dxa"/>
            <w:tcBorders>
              <w:top w:val="nil"/>
              <w:left w:val="nil"/>
              <w:bottom w:val="single" w:sz="4" w:space="0" w:color="auto"/>
              <w:right w:val="single" w:sz="4" w:space="0" w:color="auto"/>
            </w:tcBorders>
            <w:vAlign w:val="center"/>
            <w:hideMark/>
          </w:tcPr>
          <w:p w14:paraId="4C5800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81322496</w:t>
            </w:r>
          </w:p>
        </w:tc>
        <w:tc>
          <w:tcPr>
            <w:tcW w:w="5953" w:type="dxa"/>
            <w:tcBorders>
              <w:top w:val="nil"/>
              <w:left w:val="nil"/>
              <w:bottom w:val="single" w:sz="4" w:space="0" w:color="auto"/>
              <w:right w:val="single" w:sz="4" w:space="0" w:color="auto"/>
            </w:tcBorders>
            <w:noWrap/>
            <w:vAlign w:val="center"/>
            <w:hideMark/>
          </w:tcPr>
          <w:p w14:paraId="671B98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KOMUNALA RIBNICA D.O.O.</w:t>
            </w:r>
          </w:p>
        </w:tc>
      </w:tr>
      <w:tr w:rsidR="00F24E18" w14:paraId="10B120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70AF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430</w:t>
            </w:r>
          </w:p>
        </w:tc>
        <w:tc>
          <w:tcPr>
            <w:tcW w:w="1300" w:type="dxa"/>
            <w:tcBorders>
              <w:top w:val="nil"/>
              <w:left w:val="nil"/>
              <w:bottom w:val="single" w:sz="4" w:space="0" w:color="auto"/>
              <w:right w:val="single" w:sz="4" w:space="0" w:color="auto"/>
            </w:tcBorders>
            <w:noWrap/>
            <w:vAlign w:val="center"/>
            <w:hideMark/>
          </w:tcPr>
          <w:p w14:paraId="610771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5102103000</w:t>
            </w:r>
          </w:p>
        </w:tc>
        <w:tc>
          <w:tcPr>
            <w:tcW w:w="1012" w:type="dxa"/>
            <w:tcBorders>
              <w:top w:val="nil"/>
              <w:left w:val="nil"/>
              <w:bottom w:val="single" w:sz="4" w:space="0" w:color="auto"/>
              <w:right w:val="single" w:sz="4" w:space="0" w:color="auto"/>
            </w:tcBorders>
            <w:noWrap/>
            <w:vAlign w:val="center"/>
            <w:hideMark/>
          </w:tcPr>
          <w:p w14:paraId="758D66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23002107</w:t>
            </w:r>
          </w:p>
        </w:tc>
        <w:tc>
          <w:tcPr>
            <w:tcW w:w="5953" w:type="dxa"/>
            <w:tcBorders>
              <w:top w:val="nil"/>
              <w:left w:val="nil"/>
              <w:bottom w:val="single" w:sz="4" w:space="0" w:color="auto"/>
              <w:right w:val="single" w:sz="4" w:space="0" w:color="auto"/>
            </w:tcBorders>
            <w:noWrap/>
            <w:vAlign w:val="center"/>
            <w:hideMark/>
          </w:tcPr>
          <w:p w14:paraId="4CAC7F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LOG D.O.O.</w:t>
            </w:r>
          </w:p>
        </w:tc>
      </w:tr>
      <w:tr w:rsidR="00F24E18" w14:paraId="75338A3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40DC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431</w:t>
            </w:r>
          </w:p>
        </w:tc>
        <w:tc>
          <w:tcPr>
            <w:tcW w:w="1300" w:type="dxa"/>
            <w:tcBorders>
              <w:top w:val="nil"/>
              <w:left w:val="nil"/>
              <w:bottom w:val="single" w:sz="4" w:space="0" w:color="auto"/>
              <w:right w:val="single" w:sz="4" w:space="0" w:color="auto"/>
            </w:tcBorders>
            <w:vAlign w:val="center"/>
            <w:hideMark/>
          </w:tcPr>
          <w:p w14:paraId="31581A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5227739000</w:t>
            </w:r>
          </w:p>
        </w:tc>
        <w:tc>
          <w:tcPr>
            <w:tcW w:w="1012" w:type="dxa"/>
            <w:tcBorders>
              <w:top w:val="nil"/>
              <w:left w:val="nil"/>
              <w:bottom w:val="single" w:sz="4" w:space="0" w:color="auto"/>
              <w:right w:val="single" w:sz="4" w:space="0" w:color="auto"/>
            </w:tcBorders>
            <w:vAlign w:val="center"/>
            <w:hideMark/>
          </w:tcPr>
          <w:p w14:paraId="1BF9BD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54471656</w:t>
            </w:r>
          </w:p>
        </w:tc>
        <w:tc>
          <w:tcPr>
            <w:tcW w:w="5953" w:type="dxa"/>
            <w:tcBorders>
              <w:top w:val="nil"/>
              <w:left w:val="nil"/>
              <w:bottom w:val="single" w:sz="4" w:space="0" w:color="auto"/>
              <w:right w:val="single" w:sz="4" w:space="0" w:color="auto"/>
            </w:tcBorders>
            <w:noWrap/>
            <w:vAlign w:val="center"/>
            <w:hideMark/>
          </w:tcPr>
          <w:p w14:paraId="56EDA0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PRODNIK D.O.O.</w:t>
            </w:r>
          </w:p>
        </w:tc>
      </w:tr>
      <w:tr w:rsidR="00F24E18" w14:paraId="4B31451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497A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432</w:t>
            </w:r>
          </w:p>
        </w:tc>
        <w:tc>
          <w:tcPr>
            <w:tcW w:w="1300" w:type="dxa"/>
            <w:tcBorders>
              <w:top w:val="nil"/>
              <w:left w:val="nil"/>
              <w:bottom w:val="single" w:sz="4" w:space="0" w:color="auto"/>
              <w:right w:val="single" w:sz="4" w:space="0" w:color="auto"/>
            </w:tcBorders>
            <w:vAlign w:val="center"/>
            <w:hideMark/>
          </w:tcPr>
          <w:p w14:paraId="7EE8A9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7197187000</w:t>
            </w:r>
          </w:p>
        </w:tc>
        <w:tc>
          <w:tcPr>
            <w:tcW w:w="1012" w:type="dxa"/>
            <w:tcBorders>
              <w:top w:val="nil"/>
              <w:left w:val="nil"/>
              <w:bottom w:val="single" w:sz="4" w:space="0" w:color="auto"/>
              <w:right w:val="single" w:sz="4" w:space="0" w:color="auto"/>
            </w:tcBorders>
            <w:vAlign w:val="center"/>
            <w:hideMark/>
          </w:tcPr>
          <w:p w14:paraId="3EB726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20356846</w:t>
            </w:r>
          </w:p>
        </w:tc>
        <w:tc>
          <w:tcPr>
            <w:tcW w:w="5953" w:type="dxa"/>
            <w:tcBorders>
              <w:top w:val="nil"/>
              <w:left w:val="nil"/>
              <w:bottom w:val="single" w:sz="4" w:space="0" w:color="auto"/>
              <w:right w:val="single" w:sz="4" w:space="0" w:color="auto"/>
            </w:tcBorders>
            <w:noWrap/>
            <w:vAlign w:val="center"/>
            <w:hideMark/>
          </w:tcPr>
          <w:p w14:paraId="133DF6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RAVNE NA KOROŠKEM, D.O.O.</w:t>
            </w:r>
          </w:p>
        </w:tc>
      </w:tr>
      <w:tr w:rsidR="00F24E18" w14:paraId="14AEFDD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34C6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433</w:t>
            </w:r>
          </w:p>
        </w:tc>
        <w:tc>
          <w:tcPr>
            <w:tcW w:w="1300" w:type="dxa"/>
            <w:tcBorders>
              <w:top w:val="nil"/>
              <w:left w:val="nil"/>
              <w:bottom w:val="single" w:sz="4" w:space="0" w:color="auto"/>
              <w:right w:val="single" w:sz="4" w:space="0" w:color="auto"/>
            </w:tcBorders>
            <w:vAlign w:val="center"/>
            <w:hideMark/>
          </w:tcPr>
          <w:p w14:paraId="4FA623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5068134000</w:t>
            </w:r>
          </w:p>
        </w:tc>
        <w:tc>
          <w:tcPr>
            <w:tcW w:w="1012" w:type="dxa"/>
            <w:tcBorders>
              <w:top w:val="nil"/>
              <w:left w:val="nil"/>
              <w:bottom w:val="single" w:sz="4" w:space="0" w:color="auto"/>
              <w:right w:val="single" w:sz="4" w:space="0" w:color="auto"/>
            </w:tcBorders>
            <w:vAlign w:val="center"/>
            <w:hideMark/>
          </w:tcPr>
          <w:p w14:paraId="33AD8D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94086362</w:t>
            </w:r>
          </w:p>
        </w:tc>
        <w:tc>
          <w:tcPr>
            <w:tcW w:w="5953" w:type="dxa"/>
            <w:tcBorders>
              <w:top w:val="nil"/>
              <w:left w:val="nil"/>
              <w:bottom w:val="single" w:sz="4" w:space="0" w:color="auto"/>
              <w:right w:val="single" w:sz="4" w:space="0" w:color="auto"/>
            </w:tcBorders>
            <w:noWrap/>
            <w:vAlign w:val="center"/>
            <w:hideMark/>
          </w:tcPr>
          <w:p w14:paraId="242759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KOMUNALNO PODJETJE ŽALEC, D.O.O.</w:t>
            </w:r>
          </w:p>
        </w:tc>
      </w:tr>
      <w:tr w:rsidR="00F24E18" w14:paraId="156F185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4D5F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434</w:t>
            </w:r>
          </w:p>
        </w:tc>
        <w:tc>
          <w:tcPr>
            <w:tcW w:w="1300" w:type="dxa"/>
            <w:tcBorders>
              <w:top w:val="nil"/>
              <w:left w:val="nil"/>
              <w:bottom w:val="single" w:sz="4" w:space="0" w:color="auto"/>
              <w:right w:val="single" w:sz="4" w:space="0" w:color="auto"/>
            </w:tcBorders>
            <w:vAlign w:val="center"/>
            <w:hideMark/>
          </w:tcPr>
          <w:p w14:paraId="6B471A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5067782000</w:t>
            </w:r>
          </w:p>
        </w:tc>
        <w:tc>
          <w:tcPr>
            <w:tcW w:w="1012" w:type="dxa"/>
            <w:tcBorders>
              <w:top w:val="nil"/>
              <w:left w:val="nil"/>
              <w:bottom w:val="single" w:sz="4" w:space="0" w:color="auto"/>
              <w:right w:val="single" w:sz="4" w:space="0" w:color="auto"/>
            </w:tcBorders>
            <w:vAlign w:val="center"/>
            <w:hideMark/>
          </w:tcPr>
          <w:p w14:paraId="21D746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25717715</w:t>
            </w:r>
          </w:p>
        </w:tc>
        <w:tc>
          <w:tcPr>
            <w:tcW w:w="5953" w:type="dxa"/>
            <w:tcBorders>
              <w:top w:val="nil"/>
              <w:left w:val="nil"/>
              <w:bottom w:val="single" w:sz="4" w:space="0" w:color="auto"/>
              <w:right w:val="single" w:sz="4" w:space="0" w:color="auto"/>
            </w:tcBorders>
            <w:noWrap/>
            <w:vAlign w:val="center"/>
            <w:hideMark/>
          </w:tcPr>
          <w:p w14:paraId="5AC011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 AZIENDA PUBLICA RIŽANSKI VODOVOD KOPER D.O.O. - S.R.L.</w:t>
            </w:r>
          </w:p>
        </w:tc>
      </w:tr>
      <w:tr w:rsidR="00F24E18" w14:paraId="5DB2F4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0640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435</w:t>
            </w:r>
          </w:p>
        </w:tc>
        <w:tc>
          <w:tcPr>
            <w:tcW w:w="1300" w:type="dxa"/>
            <w:tcBorders>
              <w:top w:val="nil"/>
              <w:left w:val="nil"/>
              <w:bottom w:val="single" w:sz="4" w:space="0" w:color="auto"/>
              <w:right w:val="single" w:sz="4" w:space="0" w:color="auto"/>
            </w:tcBorders>
            <w:vAlign w:val="center"/>
            <w:hideMark/>
          </w:tcPr>
          <w:p w14:paraId="24EE58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3356655000</w:t>
            </w:r>
          </w:p>
        </w:tc>
        <w:tc>
          <w:tcPr>
            <w:tcW w:w="1012" w:type="dxa"/>
            <w:tcBorders>
              <w:top w:val="nil"/>
              <w:left w:val="nil"/>
              <w:bottom w:val="single" w:sz="4" w:space="0" w:color="auto"/>
              <w:right w:val="single" w:sz="4" w:space="0" w:color="auto"/>
            </w:tcBorders>
            <w:vAlign w:val="center"/>
            <w:hideMark/>
          </w:tcPr>
          <w:p w14:paraId="66D13E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67396704</w:t>
            </w:r>
          </w:p>
        </w:tc>
        <w:tc>
          <w:tcPr>
            <w:tcW w:w="5953" w:type="dxa"/>
            <w:tcBorders>
              <w:top w:val="nil"/>
              <w:left w:val="nil"/>
              <w:bottom w:val="single" w:sz="4" w:space="0" w:color="auto"/>
              <w:right w:val="single" w:sz="4" w:space="0" w:color="auto"/>
            </w:tcBorders>
            <w:noWrap/>
            <w:vAlign w:val="center"/>
            <w:hideMark/>
          </w:tcPr>
          <w:p w14:paraId="044B74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CENTER ZA RAVNANJE Z ODPADKI PUCONCI D.O.O.</w:t>
            </w:r>
          </w:p>
        </w:tc>
      </w:tr>
      <w:tr w:rsidR="00F24E18" w14:paraId="0498EC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6521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436</w:t>
            </w:r>
          </w:p>
        </w:tc>
        <w:tc>
          <w:tcPr>
            <w:tcW w:w="1300" w:type="dxa"/>
            <w:tcBorders>
              <w:top w:val="nil"/>
              <w:left w:val="nil"/>
              <w:bottom w:val="single" w:sz="4" w:space="0" w:color="auto"/>
              <w:right w:val="single" w:sz="4" w:space="0" w:color="auto"/>
            </w:tcBorders>
            <w:vAlign w:val="center"/>
            <w:hideMark/>
          </w:tcPr>
          <w:p w14:paraId="03B5AB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5227747000</w:t>
            </w:r>
          </w:p>
        </w:tc>
        <w:tc>
          <w:tcPr>
            <w:tcW w:w="1012" w:type="dxa"/>
            <w:tcBorders>
              <w:top w:val="nil"/>
              <w:left w:val="nil"/>
              <w:bottom w:val="single" w:sz="4" w:space="0" w:color="auto"/>
              <w:right w:val="single" w:sz="4" w:space="0" w:color="auto"/>
            </w:tcBorders>
            <w:vAlign w:val="center"/>
            <w:hideMark/>
          </w:tcPr>
          <w:p w14:paraId="6B7238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18604692</w:t>
            </w:r>
          </w:p>
        </w:tc>
        <w:tc>
          <w:tcPr>
            <w:tcW w:w="5953" w:type="dxa"/>
            <w:tcBorders>
              <w:top w:val="nil"/>
              <w:left w:val="nil"/>
              <w:bottom w:val="single" w:sz="4" w:space="0" w:color="auto"/>
              <w:right w:val="single" w:sz="4" w:space="0" w:color="auto"/>
            </w:tcBorders>
            <w:noWrap/>
            <w:vAlign w:val="center"/>
            <w:hideMark/>
          </w:tcPr>
          <w:p w14:paraId="17DFED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CENTRALNA ČISTILNA NAPRAVA DOMŽALE - KAMNIK D.O.O.</w:t>
            </w:r>
          </w:p>
        </w:tc>
      </w:tr>
      <w:tr w:rsidR="00F24E18" w14:paraId="687783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A91E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437</w:t>
            </w:r>
          </w:p>
        </w:tc>
        <w:tc>
          <w:tcPr>
            <w:tcW w:w="1300" w:type="dxa"/>
            <w:tcBorders>
              <w:top w:val="nil"/>
              <w:left w:val="nil"/>
              <w:bottom w:val="single" w:sz="4" w:space="0" w:color="auto"/>
              <w:right w:val="single" w:sz="4" w:space="0" w:color="auto"/>
            </w:tcBorders>
            <w:vAlign w:val="center"/>
            <w:hideMark/>
          </w:tcPr>
          <w:p w14:paraId="67F144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5226406000</w:t>
            </w:r>
          </w:p>
        </w:tc>
        <w:tc>
          <w:tcPr>
            <w:tcW w:w="1012" w:type="dxa"/>
            <w:tcBorders>
              <w:top w:val="nil"/>
              <w:left w:val="nil"/>
              <w:bottom w:val="single" w:sz="4" w:space="0" w:color="auto"/>
              <w:right w:val="single" w:sz="4" w:space="0" w:color="auto"/>
            </w:tcBorders>
            <w:vAlign w:val="center"/>
            <w:hideMark/>
          </w:tcPr>
          <w:p w14:paraId="2DE207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23034033</w:t>
            </w:r>
          </w:p>
        </w:tc>
        <w:tc>
          <w:tcPr>
            <w:tcW w:w="5953" w:type="dxa"/>
            <w:tcBorders>
              <w:top w:val="nil"/>
              <w:left w:val="nil"/>
              <w:bottom w:val="single" w:sz="4" w:space="0" w:color="auto"/>
              <w:right w:val="single" w:sz="4" w:space="0" w:color="auto"/>
            </w:tcBorders>
            <w:noWrap/>
            <w:vAlign w:val="center"/>
            <w:hideMark/>
          </w:tcPr>
          <w:p w14:paraId="534DBD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ENERGETIKA LJUBLJANA D.O.O.</w:t>
            </w:r>
          </w:p>
        </w:tc>
      </w:tr>
      <w:tr w:rsidR="00F24E18" w14:paraId="172621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0F80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438</w:t>
            </w:r>
          </w:p>
        </w:tc>
        <w:tc>
          <w:tcPr>
            <w:tcW w:w="1300" w:type="dxa"/>
            <w:tcBorders>
              <w:top w:val="nil"/>
              <w:left w:val="nil"/>
              <w:bottom w:val="single" w:sz="4" w:space="0" w:color="auto"/>
              <w:right w:val="single" w:sz="4" w:space="0" w:color="auto"/>
            </w:tcBorders>
            <w:noWrap/>
            <w:vAlign w:val="center"/>
            <w:hideMark/>
          </w:tcPr>
          <w:p w14:paraId="09B968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5107199000</w:t>
            </w:r>
          </w:p>
        </w:tc>
        <w:tc>
          <w:tcPr>
            <w:tcW w:w="1012" w:type="dxa"/>
            <w:tcBorders>
              <w:top w:val="nil"/>
              <w:left w:val="nil"/>
              <w:bottom w:val="single" w:sz="4" w:space="0" w:color="auto"/>
              <w:right w:val="single" w:sz="4" w:space="0" w:color="auto"/>
            </w:tcBorders>
            <w:noWrap/>
            <w:vAlign w:val="center"/>
            <w:hideMark/>
          </w:tcPr>
          <w:p w14:paraId="28EFC8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77722922</w:t>
            </w:r>
          </w:p>
        </w:tc>
        <w:tc>
          <w:tcPr>
            <w:tcW w:w="5953" w:type="dxa"/>
            <w:tcBorders>
              <w:top w:val="nil"/>
              <w:left w:val="nil"/>
              <w:bottom w:val="single" w:sz="4" w:space="0" w:color="auto"/>
              <w:right w:val="single" w:sz="4" w:space="0" w:color="auto"/>
            </w:tcBorders>
            <w:noWrap/>
            <w:vAlign w:val="center"/>
            <w:hideMark/>
          </w:tcPr>
          <w:p w14:paraId="11F8F6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ENERGETIKA MARIBOR D.O.O.</w:t>
            </w:r>
          </w:p>
        </w:tc>
      </w:tr>
      <w:tr w:rsidR="00F24E18" w14:paraId="52E6CE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D8E8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439</w:t>
            </w:r>
          </w:p>
        </w:tc>
        <w:tc>
          <w:tcPr>
            <w:tcW w:w="1300" w:type="dxa"/>
            <w:tcBorders>
              <w:top w:val="nil"/>
              <w:left w:val="nil"/>
              <w:bottom w:val="single" w:sz="4" w:space="0" w:color="auto"/>
              <w:right w:val="single" w:sz="4" w:space="0" w:color="auto"/>
            </w:tcBorders>
            <w:vAlign w:val="center"/>
            <w:hideMark/>
          </w:tcPr>
          <w:p w14:paraId="186AF2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6319220000</w:t>
            </w:r>
          </w:p>
        </w:tc>
        <w:tc>
          <w:tcPr>
            <w:tcW w:w="1012" w:type="dxa"/>
            <w:tcBorders>
              <w:top w:val="nil"/>
              <w:left w:val="nil"/>
              <w:bottom w:val="single" w:sz="4" w:space="0" w:color="auto"/>
              <w:right w:val="single" w:sz="4" w:space="0" w:color="auto"/>
            </w:tcBorders>
            <w:vAlign w:val="center"/>
            <w:hideMark/>
          </w:tcPr>
          <w:p w14:paraId="59E149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67401961</w:t>
            </w:r>
          </w:p>
        </w:tc>
        <w:tc>
          <w:tcPr>
            <w:tcW w:w="5953" w:type="dxa"/>
            <w:tcBorders>
              <w:top w:val="nil"/>
              <w:left w:val="nil"/>
              <w:bottom w:val="single" w:sz="4" w:space="0" w:color="auto"/>
              <w:right w:val="single" w:sz="4" w:space="0" w:color="auto"/>
            </w:tcBorders>
            <w:noWrap/>
            <w:vAlign w:val="center"/>
            <w:hideMark/>
          </w:tcPr>
          <w:p w14:paraId="32D28F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KANALIZACIJA IN ČISTILNA NAPRAVA RADLJE, D.O.O.</w:t>
            </w:r>
          </w:p>
        </w:tc>
      </w:tr>
      <w:tr w:rsidR="00F24E18" w14:paraId="6FAA1A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90F3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440</w:t>
            </w:r>
          </w:p>
        </w:tc>
        <w:tc>
          <w:tcPr>
            <w:tcW w:w="1300" w:type="dxa"/>
            <w:tcBorders>
              <w:top w:val="nil"/>
              <w:left w:val="nil"/>
              <w:bottom w:val="single" w:sz="4" w:space="0" w:color="auto"/>
              <w:right w:val="single" w:sz="4" w:space="0" w:color="auto"/>
            </w:tcBorders>
            <w:vAlign w:val="center"/>
            <w:hideMark/>
          </w:tcPr>
          <w:p w14:paraId="02E095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6069185000</w:t>
            </w:r>
          </w:p>
        </w:tc>
        <w:tc>
          <w:tcPr>
            <w:tcW w:w="1012" w:type="dxa"/>
            <w:tcBorders>
              <w:top w:val="nil"/>
              <w:left w:val="nil"/>
              <w:bottom w:val="single" w:sz="4" w:space="0" w:color="auto"/>
              <w:right w:val="single" w:sz="4" w:space="0" w:color="auto"/>
            </w:tcBorders>
            <w:vAlign w:val="center"/>
            <w:hideMark/>
          </w:tcPr>
          <w:p w14:paraId="7CC2FA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21101906</w:t>
            </w:r>
          </w:p>
        </w:tc>
        <w:tc>
          <w:tcPr>
            <w:tcW w:w="5953" w:type="dxa"/>
            <w:tcBorders>
              <w:top w:val="nil"/>
              <w:left w:val="nil"/>
              <w:bottom w:val="single" w:sz="4" w:space="0" w:color="auto"/>
              <w:right w:val="single" w:sz="4" w:space="0" w:color="auto"/>
            </w:tcBorders>
            <w:noWrap/>
            <w:vAlign w:val="center"/>
            <w:hideMark/>
          </w:tcPr>
          <w:p w14:paraId="5F2027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BREŽICE D.O.O.</w:t>
            </w:r>
          </w:p>
        </w:tc>
      </w:tr>
      <w:tr w:rsidR="00F24E18" w14:paraId="560AE0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C97B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441</w:t>
            </w:r>
          </w:p>
        </w:tc>
        <w:tc>
          <w:tcPr>
            <w:tcW w:w="1300" w:type="dxa"/>
            <w:tcBorders>
              <w:top w:val="nil"/>
              <w:left w:val="nil"/>
              <w:bottom w:val="single" w:sz="4" w:space="0" w:color="auto"/>
              <w:right w:val="single" w:sz="4" w:space="0" w:color="auto"/>
            </w:tcBorders>
            <w:vAlign w:val="center"/>
            <w:hideMark/>
          </w:tcPr>
          <w:p w14:paraId="2B9A57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5067758000</w:t>
            </w:r>
          </w:p>
        </w:tc>
        <w:tc>
          <w:tcPr>
            <w:tcW w:w="1012" w:type="dxa"/>
            <w:tcBorders>
              <w:top w:val="nil"/>
              <w:left w:val="nil"/>
              <w:bottom w:val="single" w:sz="4" w:space="0" w:color="auto"/>
              <w:right w:val="single" w:sz="4" w:space="0" w:color="auto"/>
            </w:tcBorders>
            <w:vAlign w:val="center"/>
            <w:hideMark/>
          </w:tcPr>
          <w:p w14:paraId="5B1866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77038037</w:t>
            </w:r>
          </w:p>
        </w:tc>
        <w:tc>
          <w:tcPr>
            <w:tcW w:w="5953" w:type="dxa"/>
            <w:tcBorders>
              <w:top w:val="nil"/>
              <w:left w:val="nil"/>
              <w:bottom w:val="single" w:sz="4" w:space="0" w:color="auto"/>
              <w:right w:val="single" w:sz="4" w:space="0" w:color="auto"/>
            </w:tcBorders>
            <w:noWrap/>
            <w:vAlign w:val="center"/>
            <w:hideMark/>
          </w:tcPr>
          <w:p w14:paraId="5231A8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CERKNICA D.O.O. CERKNICA</w:t>
            </w:r>
          </w:p>
        </w:tc>
      </w:tr>
      <w:tr w:rsidR="00F24E18" w14:paraId="2E66B8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40A2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442</w:t>
            </w:r>
          </w:p>
        </w:tc>
        <w:tc>
          <w:tcPr>
            <w:tcW w:w="1300" w:type="dxa"/>
            <w:tcBorders>
              <w:top w:val="nil"/>
              <w:left w:val="nil"/>
              <w:bottom w:val="single" w:sz="4" w:space="0" w:color="auto"/>
              <w:right w:val="single" w:sz="4" w:space="0" w:color="auto"/>
            </w:tcBorders>
            <w:vAlign w:val="center"/>
            <w:hideMark/>
          </w:tcPr>
          <w:p w14:paraId="1CA76A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5062403000</w:t>
            </w:r>
          </w:p>
        </w:tc>
        <w:tc>
          <w:tcPr>
            <w:tcW w:w="1012" w:type="dxa"/>
            <w:tcBorders>
              <w:top w:val="nil"/>
              <w:left w:val="nil"/>
              <w:bottom w:val="single" w:sz="4" w:space="0" w:color="auto"/>
              <w:right w:val="single" w:sz="4" w:space="0" w:color="auto"/>
            </w:tcBorders>
            <w:vAlign w:val="center"/>
            <w:hideMark/>
          </w:tcPr>
          <w:p w14:paraId="5D9E8B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66111889</w:t>
            </w:r>
          </w:p>
        </w:tc>
        <w:tc>
          <w:tcPr>
            <w:tcW w:w="5953" w:type="dxa"/>
            <w:tcBorders>
              <w:top w:val="nil"/>
              <w:left w:val="nil"/>
              <w:bottom w:val="single" w:sz="4" w:space="0" w:color="auto"/>
              <w:right w:val="single" w:sz="4" w:space="0" w:color="auto"/>
            </w:tcBorders>
            <w:noWrap/>
            <w:vAlign w:val="center"/>
            <w:hideMark/>
          </w:tcPr>
          <w:p w14:paraId="2647DF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ČRNOMELJ D.O.O.</w:t>
            </w:r>
          </w:p>
        </w:tc>
      </w:tr>
      <w:tr w:rsidR="00F24E18" w14:paraId="37D1BBC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C4D1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443</w:t>
            </w:r>
          </w:p>
        </w:tc>
        <w:tc>
          <w:tcPr>
            <w:tcW w:w="1300" w:type="dxa"/>
            <w:tcBorders>
              <w:top w:val="nil"/>
              <w:left w:val="nil"/>
              <w:bottom w:val="single" w:sz="4" w:space="0" w:color="auto"/>
              <w:right w:val="single" w:sz="4" w:space="0" w:color="auto"/>
            </w:tcBorders>
            <w:vAlign w:val="center"/>
            <w:hideMark/>
          </w:tcPr>
          <w:p w14:paraId="5AA7CD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5068088000</w:t>
            </w:r>
          </w:p>
        </w:tc>
        <w:tc>
          <w:tcPr>
            <w:tcW w:w="1012" w:type="dxa"/>
            <w:tcBorders>
              <w:top w:val="nil"/>
              <w:left w:val="nil"/>
              <w:bottom w:val="single" w:sz="4" w:space="0" w:color="auto"/>
              <w:right w:val="single" w:sz="4" w:space="0" w:color="auto"/>
            </w:tcBorders>
            <w:vAlign w:val="center"/>
            <w:hideMark/>
          </w:tcPr>
          <w:p w14:paraId="727F2D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90581121</w:t>
            </w:r>
          </w:p>
        </w:tc>
        <w:tc>
          <w:tcPr>
            <w:tcW w:w="5953" w:type="dxa"/>
            <w:tcBorders>
              <w:top w:val="nil"/>
              <w:left w:val="nil"/>
              <w:bottom w:val="single" w:sz="4" w:space="0" w:color="auto"/>
              <w:right w:val="single" w:sz="4" w:space="0" w:color="auto"/>
            </w:tcBorders>
            <w:noWrap/>
            <w:vAlign w:val="center"/>
            <w:hideMark/>
          </w:tcPr>
          <w:p w14:paraId="140250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D.O.O. SEVNICA</w:t>
            </w:r>
          </w:p>
        </w:tc>
      </w:tr>
      <w:tr w:rsidR="00F24E18" w14:paraId="2237E9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1E94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444</w:t>
            </w:r>
          </w:p>
        </w:tc>
        <w:tc>
          <w:tcPr>
            <w:tcW w:w="1300" w:type="dxa"/>
            <w:tcBorders>
              <w:top w:val="nil"/>
              <w:left w:val="nil"/>
              <w:bottom w:val="single" w:sz="4" w:space="0" w:color="auto"/>
              <w:right w:val="single" w:sz="4" w:space="0" w:color="auto"/>
            </w:tcBorders>
            <w:vAlign w:val="center"/>
            <w:hideMark/>
          </w:tcPr>
          <w:p w14:paraId="242AEB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5144728000</w:t>
            </w:r>
          </w:p>
        </w:tc>
        <w:tc>
          <w:tcPr>
            <w:tcW w:w="1012" w:type="dxa"/>
            <w:tcBorders>
              <w:top w:val="nil"/>
              <w:left w:val="nil"/>
              <w:bottom w:val="single" w:sz="4" w:space="0" w:color="auto"/>
              <w:right w:val="single" w:sz="4" w:space="0" w:color="auto"/>
            </w:tcBorders>
            <w:vAlign w:val="center"/>
            <w:hideMark/>
          </w:tcPr>
          <w:p w14:paraId="1D86CB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16477448</w:t>
            </w:r>
          </w:p>
        </w:tc>
        <w:tc>
          <w:tcPr>
            <w:tcW w:w="5953" w:type="dxa"/>
            <w:tcBorders>
              <w:top w:val="nil"/>
              <w:left w:val="nil"/>
              <w:bottom w:val="single" w:sz="4" w:space="0" w:color="auto"/>
              <w:right w:val="single" w:sz="4" w:space="0" w:color="auto"/>
            </w:tcBorders>
            <w:noWrap/>
            <w:vAlign w:val="center"/>
            <w:hideMark/>
          </w:tcPr>
          <w:p w14:paraId="572785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HRASTNIK D.O.O.</w:t>
            </w:r>
          </w:p>
        </w:tc>
      </w:tr>
      <w:tr w:rsidR="00F24E18" w14:paraId="1876ECE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008B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445</w:t>
            </w:r>
          </w:p>
        </w:tc>
        <w:tc>
          <w:tcPr>
            <w:tcW w:w="1300" w:type="dxa"/>
            <w:tcBorders>
              <w:top w:val="nil"/>
              <w:left w:val="nil"/>
              <w:bottom w:val="single" w:sz="4" w:space="0" w:color="auto"/>
              <w:right w:val="single" w:sz="4" w:space="0" w:color="auto"/>
            </w:tcBorders>
            <w:vAlign w:val="center"/>
            <w:hideMark/>
          </w:tcPr>
          <w:p w14:paraId="6DF090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5144647000</w:t>
            </w:r>
          </w:p>
        </w:tc>
        <w:tc>
          <w:tcPr>
            <w:tcW w:w="1012" w:type="dxa"/>
            <w:tcBorders>
              <w:top w:val="nil"/>
              <w:left w:val="nil"/>
              <w:bottom w:val="single" w:sz="4" w:space="0" w:color="auto"/>
              <w:right w:val="single" w:sz="4" w:space="0" w:color="auto"/>
            </w:tcBorders>
            <w:vAlign w:val="center"/>
            <w:hideMark/>
          </w:tcPr>
          <w:p w14:paraId="40D65E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13286218</w:t>
            </w:r>
          </w:p>
        </w:tc>
        <w:tc>
          <w:tcPr>
            <w:tcW w:w="5953" w:type="dxa"/>
            <w:tcBorders>
              <w:top w:val="nil"/>
              <w:left w:val="nil"/>
              <w:bottom w:val="single" w:sz="4" w:space="0" w:color="auto"/>
              <w:right w:val="single" w:sz="4" w:space="0" w:color="auto"/>
            </w:tcBorders>
            <w:noWrap/>
            <w:vAlign w:val="center"/>
            <w:hideMark/>
          </w:tcPr>
          <w:p w14:paraId="7AF4B2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IDRIJA D.O.O.</w:t>
            </w:r>
          </w:p>
        </w:tc>
      </w:tr>
      <w:tr w:rsidR="00F24E18" w14:paraId="0BAACF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6AA5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446</w:t>
            </w:r>
          </w:p>
        </w:tc>
        <w:tc>
          <w:tcPr>
            <w:tcW w:w="1300" w:type="dxa"/>
            <w:tcBorders>
              <w:top w:val="nil"/>
              <w:left w:val="nil"/>
              <w:bottom w:val="single" w:sz="4" w:space="0" w:color="auto"/>
              <w:right w:val="single" w:sz="4" w:space="0" w:color="auto"/>
            </w:tcBorders>
            <w:vAlign w:val="center"/>
            <w:hideMark/>
          </w:tcPr>
          <w:p w14:paraId="074C61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5016100000</w:t>
            </w:r>
          </w:p>
        </w:tc>
        <w:tc>
          <w:tcPr>
            <w:tcW w:w="1012" w:type="dxa"/>
            <w:tcBorders>
              <w:top w:val="nil"/>
              <w:left w:val="nil"/>
              <w:bottom w:val="single" w:sz="4" w:space="0" w:color="auto"/>
              <w:right w:val="single" w:sz="4" w:space="0" w:color="auto"/>
            </w:tcBorders>
            <w:vAlign w:val="center"/>
            <w:hideMark/>
          </w:tcPr>
          <w:p w14:paraId="1840DA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37819127</w:t>
            </w:r>
          </w:p>
        </w:tc>
        <w:tc>
          <w:tcPr>
            <w:tcW w:w="5953" w:type="dxa"/>
            <w:tcBorders>
              <w:top w:val="nil"/>
              <w:left w:val="nil"/>
              <w:bottom w:val="single" w:sz="4" w:space="0" w:color="auto"/>
              <w:right w:val="single" w:sz="4" w:space="0" w:color="auto"/>
            </w:tcBorders>
            <w:noWrap/>
            <w:vAlign w:val="center"/>
            <w:hideMark/>
          </w:tcPr>
          <w:p w14:paraId="0B064C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ILIRSKA BISTRICA, D.O.O.</w:t>
            </w:r>
          </w:p>
        </w:tc>
      </w:tr>
      <w:tr w:rsidR="00F24E18" w14:paraId="2447013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E7B9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447</w:t>
            </w:r>
          </w:p>
        </w:tc>
        <w:tc>
          <w:tcPr>
            <w:tcW w:w="1300" w:type="dxa"/>
            <w:tcBorders>
              <w:top w:val="nil"/>
              <w:left w:val="nil"/>
              <w:bottom w:val="single" w:sz="4" w:space="0" w:color="auto"/>
              <w:right w:val="single" w:sz="4" w:space="0" w:color="auto"/>
            </w:tcBorders>
            <w:vAlign w:val="center"/>
            <w:hideMark/>
          </w:tcPr>
          <w:p w14:paraId="7ECD90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5156858000</w:t>
            </w:r>
          </w:p>
        </w:tc>
        <w:tc>
          <w:tcPr>
            <w:tcW w:w="1012" w:type="dxa"/>
            <w:tcBorders>
              <w:top w:val="nil"/>
              <w:left w:val="nil"/>
              <w:bottom w:val="single" w:sz="4" w:space="0" w:color="auto"/>
              <w:right w:val="single" w:sz="4" w:space="0" w:color="auto"/>
            </w:tcBorders>
            <w:vAlign w:val="center"/>
            <w:hideMark/>
          </w:tcPr>
          <w:p w14:paraId="2F1E2C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70981515</w:t>
            </w:r>
          </w:p>
        </w:tc>
        <w:tc>
          <w:tcPr>
            <w:tcW w:w="5953" w:type="dxa"/>
            <w:tcBorders>
              <w:top w:val="nil"/>
              <w:left w:val="nil"/>
              <w:bottom w:val="single" w:sz="4" w:space="0" w:color="auto"/>
              <w:right w:val="single" w:sz="4" w:space="0" w:color="auto"/>
            </w:tcBorders>
            <w:noWrap/>
            <w:vAlign w:val="center"/>
            <w:hideMark/>
          </w:tcPr>
          <w:p w14:paraId="33A6E2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IZOLA, D.O.O. AZIENDA PUBBLICA KOMUNALA ISOLA, S.R.L.</w:t>
            </w:r>
          </w:p>
        </w:tc>
      </w:tr>
      <w:tr w:rsidR="00F24E18" w14:paraId="0EAF6C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06AF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448</w:t>
            </w:r>
          </w:p>
        </w:tc>
        <w:tc>
          <w:tcPr>
            <w:tcW w:w="1300" w:type="dxa"/>
            <w:tcBorders>
              <w:top w:val="nil"/>
              <w:left w:val="nil"/>
              <w:bottom w:val="single" w:sz="4" w:space="0" w:color="auto"/>
              <w:right w:val="single" w:sz="4" w:space="0" w:color="auto"/>
            </w:tcBorders>
            <w:vAlign w:val="center"/>
            <w:hideMark/>
          </w:tcPr>
          <w:p w14:paraId="428FC8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5255317000</w:t>
            </w:r>
          </w:p>
        </w:tc>
        <w:tc>
          <w:tcPr>
            <w:tcW w:w="1012" w:type="dxa"/>
            <w:tcBorders>
              <w:top w:val="nil"/>
              <w:left w:val="nil"/>
              <w:bottom w:val="single" w:sz="4" w:space="0" w:color="auto"/>
              <w:right w:val="single" w:sz="4" w:space="0" w:color="auto"/>
            </w:tcBorders>
            <w:vAlign w:val="center"/>
            <w:hideMark/>
          </w:tcPr>
          <w:p w14:paraId="21046D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48279242</w:t>
            </w:r>
          </w:p>
        </w:tc>
        <w:tc>
          <w:tcPr>
            <w:tcW w:w="5953" w:type="dxa"/>
            <w:tcBorders>
              <w:top w:val="nil"/>
              <w:left w:val="nil"/>
              <w:bottom w:val="single" w:sz="4" w:space="0" w:color="auto"/>
              <w:right w:val="single" w:sz="4" w:space="0" w:color="auto"/>
            </w:tcBorders>
            <w:noWrap/>
            <w:vAlign w:val="center"/>
            <w:hideMark/>
          </w:tcPr>
          <w:p w14:paraId="41F5D3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LAŠKO D.O.O.</w:t>
            </w:r>
          </w:p>
        </w:tc>
      </w:tr>
      <w:tr w:rsidR="00F24E18" w14:paraId="794B26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D5BF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449</w:t>
            </w:r>
          </w:p>
        </w:tc>
        <w:tc>
          <w:tcPr>
            <w:tcW w:w="1300" w:type="dxa"/>
            <w:tcBorders>
              <w:top w:val="nil"/>
              <w:left w:val="nil"/>
              <w:bottom w:val="single" w:sz="4" w:space="0" w:color="auto"/>
              <w:right w:val="single" w:sz="4" w:space="0" w:color="auto"/>
            </w:tcBorders>
            <w:noWrap/>
            <w:vAlign w:val="center"/>
            <w:hideMark/>
          </w:tcPr>
          <w:p w14:paraId="752F0A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5475988000</w:t>
            </w:r>
          </w:p>
        </w:tc>
        <w:tc>
          <w:tcPr>
            <w:tcW w:w="1012" w:type="dxa"/>
            <w:tcBorders>
              <w:top w:val="nil"/>
              <w:left w:val="nil"/>
              <w:bottom w:val="single" w:sz="4" w:space="0" w:color="auto"/>
              <w:right w:val="single" w:sz="4" w:space="0" w:color="auto"/>
            </w:tcBorders>
            <w:noWrap/>
            <w:vAlign w:val="center"/>
            <w:hideMark/>
          </w:tcPr>
          <w:p w14:paraId="28A57E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30080070</w:t>
            </w:r>
          </w:p>
        </w:tc>
        <w:tc>
          <w:tcPr>
            <w:tcW w:w="5953" w:type="dxa"/>
            <w:tcBorders>
              <w:top w:val="nil"/>
              <w:left w:val="nil"/>
              <w:bottom w:val="single" w:sz="4" w:space="0" w:color="auto"/>
              <w:right w:val="single" w:sz="4" w:space="0" w:color="auto"/>
            </w:tcBorders>
            <w:noWrap/>
            <w:vAlign w:val="center"/>
            <w:hideMark/>
          </w:tcPr>
          <w:p w14:paraId="6FE9D9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RADEČE D.O.O.</w:t>
            </w:r>
          </w:p>
        </w:tc>
      </w:tr>
      <w:tr w:rsidR="00F24E18" w14:paraId="7198674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168C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450</w:t>
            </w:r>
          </w:p>
        </w:tc>
        <w:tc>
          <w:tcPr>
            <w:tcW w:w="1300" w:type="dxa"/>
            <w:tcBorders>
              <w:top w:val="nil"/>
              <w:left w:val="nil"/>
              <w:bottom w:val="single" w:sz="4" w:space="0" w:color="auto"/>
              <w:right w:val="single" w:sz="4" w:space="0" w:color="auto"/>
            </w:tcBorders>
            <w:vAlign w:val="center"/>
            <w:hideMark/>
          </w:tcPr>
          <w:p w14:paraId="23073E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5072107000</w:t>
            </w:r>
          </w:p>
        </w:tc>
        <w:tc>
          <w:tcPr>
            <w:tcW w:w="1012" w:type="dxa"/>
            <w:tcBorders>
              <w:top w:val="nil"/>
              <w:left w:val="nil"/>
              <w:bottom w:val="single" w:sz="4" w:space="0" w:color="auto"/>
              <w:right w:val="single" w:sz="4" w:space="0" w:color="auto"/>
            </w:tcBorders>
            <w:vAlign w:val="center"/>
            <w:hideMark/>
          </w:tcPr>
          <w:p w14:paraId="67F425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53440978</w:t>
            </w:r>
          </w:p>
        </w:tc>
        <w:tc>
          <w:tcPr>
            <w:tcW w:w="5953" w:type="dxa"/>
            <w:tcBorders>
              <w:top w:val="nil"/>
              <w:left w:val="nil"/>
              <w:bottom w:val="single" w:sz="4" w:space="0" w:color="auto"/>
              <w:right w:val="single" w:sz="4" w:space="0" w:color="auto"/>
            </w:tcBorders>
            <w:noWrap/>
            <w:vAlign w:val="center"/>
            <w:hideMark/>
          </w:tcPr>
          <w:p w14:paraId="1C4080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SLOVENJ GRADEC D.O.O.</w:t>
            </w:r>
          </w:p>
        </w:tc>
      </w:tr>
      <w:tr w:rsidR="00F24E18" w14:paraId="25E0EF5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BF99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451</w:t>
            </w:r>
          </w:p>
        </w:tc>
        <w:tc>
          <w:tcPr>
            <w:tcW w:w="1300" w:type="dxa"/>
            <w:tcBorders>
              <w:top w:val="nil"/>
              <w:left w:val="nil"/>
              <w:bottom w:val="single" w:sz="4" w:space="0" w:color="auto"/>
              <w:right w:val="single" w:sz="4" w:space="0" w:color="auto"/>
            </w:tcBorders>
            <w:vAlign w:val="center"/>
            <w:hideMark/>
          </w:tcPr>
          <w:p w14:paraId="177AAE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8569347000</w:t>
            </w:r>
          </w:p>
        </w:tc>
        <w:tc>
          <w:tcPr>
            <w:tcW w:w="1012" w:type="dxa"/>
            <w:tcBorders>
              <w:top w:val="nil"/>
              <w:left w:val="nil"/>
              <w:bottom w:val="single" w:sz="4" w:space="0" w:color="auto"/>
              <w:right w:val="single" w:sz="4" w:space="0" w:color="auto"/>
            </w:tcBorders>
            <w:vAlign w:val="center"/>
            <w:hideMark/>
          </w:tcPr>
          <w:p w14:paraId="589383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93024711</w:t>
            </w:r>
          </w:p>
        </w:tc>
        <w:tc>
          <w:tcPr>
            <w:tcW w:w="5953" w:type="dxa"/>
            <w:tcBorders>
              <w:top w:val="nil"/>
              <w:left w:val="nil"/>
              <w:bottom w:val="single" w:sz="4" w:space="0" w:color="auto"/>
              <w:right w:val="single" w:sz="4" w:space="0" w:color="auto"/>
            </w:tcBorders>
            <w:noWrap/>
            <w:vAlign w:val="center"/>
            <w:hideMark/>
          </w:tcPr>
          <w:p w14:paraId="2E2A3F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ŠENTILJ, D.O.O.</w:t>
            </w:r>
          </w:p>
        </w:tc>
      </w:tr>
      <w:tr w:rsidR="00F24E18" w14:paraId="7B0CF0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4B49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452</w:t>
            </w:r>
          </w:p>
        </w:tc>
        <w:tc>
          <w:tcPr>
            <w:tcW w:w="1300" w:type="dxa"/>
            <w:tcBorders>
              <w:top w:val="nil"/>
              <w:left w:val="nil"/>
              <w:bottom w:val="single" w:sz="4" w:space="0" w:color="auto"/>
              <w:right w:val="single" w:sz="4" w:space="0" w:color="auto"/>
            </w:tcBorders>
            <w:vAlign w:val="center"/>
            <w:hideMark/>
          </w:tcPr>
          <w:p w14:paraId="004AE7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8569061000</w:t>
            </w:r>
          </w:p>
        </w:tc>
        <w:tc>
          <w:tcPr>
            <w:tcW w:w="1012" w:type="dxa"/>
            <w:tcBorders>
              <w:top w:val="nil"/>
              <w:left w:val="nil"/>
              <w:bottom w:val="single" w:sz="4" w:space="0" w:color="auto"/>
              <w:right w:val="single" w:sz="4" w:space="0" w:color="auto"/>
            </w:tcBorders>
            <w:vAlign w:val="center"/>
            <w:hideMark/>
          </w:tcPr>
          <w:p w14:paraId="549F19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67105874</w:t>
            </w:r>
          </w:p>
        </w:tc>
        <w:tc>
          <w:tcPr>
            <w:tcW w:w="5953" w:type="dxa"/>
            <w:tcBorders>
              <w:top w:val="nil"/>
              <w:left w:val="nil"/>
              <w:bottom w:val="single" w:sz="4" w:space="0" w:color="auto"/>
              <w:right w:val="single" w:sz="4" w:space="0" w:color="auto"/>
            </w:tcBorders>
            <w:noWrap/>
            <w:vAlign w:val="center"/>
            <w:hideMark/>
          </w:tcPr>
          <w:p w14:paraId="76B439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ŠKOFJA LOKA D.O.O.</w:t>
            </w:r>
          </w:p>
        </w:tc>
      </w:tr>
      <w:tr w:rsidR="00F24E18" w14:paraId="7902E8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7CFF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453</w:t>
            </w:r>
          </w:p>
        </w:tc>
        <w:tc>
          <w:tcPr>
            <w:tcW w:w="1300" w:type="dxa"/>
            <w:tcBorders>
              <w:top w:val="nil"/>
              <w:left w:val="nil"/>
              <w:bottom w:val="single" w:sz="4" w:space="0" w:color="auto"/>
              <w:right w:val="single" w:sz="4" w:space="0" w:color="auto"/>
            </w:tcBorders>
            <w:vAlign w:val="center"/>
            <w:hideMark/>
          </w:tcPr>
          <w:p w14:paraId="6858D3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5015731000</w:t>
            </w:r>
          </w:p>
        </w:tc>
        <w:tc>
          <w:tcPr>
            <w:tcW w:w="1012" w:type="dxa"/>
            <w:tcBorders>
              <w:top w:val="nil"/>
              <w:left w:val="nil"/>
              <w:bottom w:val="single" w:sz="4" w:space="0" w:color="auto"/>
              <w:right w:val="single" w:sz="4" w:space="0" w:color="auto"/>
            </w:tcBorders>
            <w:vAlign w:val="center"/>
            <w:hideMark/>
          </w:tcPr>
          <w:p w14:paraId="32B0F7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40870057</w:t>
            </w:r>
          </w:p>
        </w:tc>
        <w:tc>
          <w:tcPr>
            <w:tcW w:w="5953" w:type="dxa"/>
            <w:tcBorders>
              <w:top w:val="nil"/>
              <w:left w:val="nil"/>
              <w:bottom w:val="single" w:sz="4" w:space="0" w:color="auto"/>
              <w:right w:val="single" w:sz="4" w:space="0" w:color="auto"/>
            </w:tcBorders>
            <w:noWrap/>
            <w:vAlign w:val="center"/>
            <w:hideMark/>
          </w:tcPr>
          <w:p w14:paraId="4A1DEC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TRBOVLJE D.O.O.</w:t>
            </w:r>
          </w:p>
        </w:tc>
      </w:tr>
      <w:tr w:rsidR="00F24E18" w14:paraId="340DF7A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AC17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454</w:t>
            </w:r>
          </w:p>
        </w:tc>
        <w:tc>
          <w:tcPr>
            <w:tcW w:w="1300" w:type="dxa"/>
            <w:tcBorders>
              <w:top w:val="nil"/>
              <w:left w:val="nil"/>
              <w:bottom w:val="single" w:sz="4" w:space="0" w:color="auto"/>
              <w:right w:val="single" w:sz="4" w:space="0" w:color="auto"/>
            </w:tcBorders>
            <w:vAlign w:val="center"/>
            <w:hideMark/>
          </w:tcPr>
          <w:p w14:paraId="0814A3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2135655000</w:t>
            </w:r>
          </w:p>
        </w:tc>
        <w:tc>
          <w:tcPr>
            <w:tcW w:w="1012" w:type="dxa"/>
            <w:tcBorders>
              <w:top w:val="nil"/>
              <w:left w:val="nil"/>
              <w:bottom w:val="single" w:sz="4" w:space="0" w:color="auto"/>
              <w:right w:val="single" w:sz="4" w:space="0" w:color="auto"/>
            </w:tcBorders>
            <w:vAlign w:val="center"/>
            <w:hideMark/>
          </w:tcPr>
          <w:p w14:paraId="1AC608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85158640</w:t>
            </w:r>
          </w:p>
        </w:tc>
        <w:tc>
          <w:tcPr>
            <w:tcW w:w="5953" w:type="dxa"/>
            <w:tcBorders>
              <w:top w:val="nil"/>
              <w:left w:val="nil"/>
              <w:bottom w:val="single" w:sz="4" w:space="0" w:color="auto"/>
              <w:right w:val="single" w:sz="4" w:space="0" w:color="auto"/>
            </w:tcBorders>
            <w:noWrap/>
            <w:vAlign w:val="center"/>
            <w:hideMark/>
          </w:tcPr>
          <w:p w14:paraId="3A5398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VODICE, D.O.O.</w:t>
            </w:r>
          </w:p>
        </w:tc>
      </w:tr>
      <w:tr w:rsidR="00F24E18" w14:paraId="0475E6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E2D8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455</w:t>
            </w:r>
          </w:p>
        </w:tc>
        <w:tc>
          <w:tcPr>
            <w:tcW w:w="1300" w:type="dxa"/>
            <w:tcBorders>
              <w:top w:val="nil"/>
              <w:left w:val="nil"/>
              <w:bottom w:val="single" w:sz="4" w:space="0" w:color="auto"/>
              <w:right w:val="single" w:sz="4" w:space="0" w:color="auto"/>
            </w:tcBorders>
            <w:vAlign w:val="center"/>
            <w:hideMark/>
          </w:tcPr>
          <w:p w14:paraId="17A112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5073103000</w:t>
            </w:r>
          </w:p>
        </w:tc>
        <w:tc>
          <w:tcPr>
            <w:tcW w:w="1012" w:type="dxa"/>
            <w:tcBorders>
              <w:top w:val="nil"/>
              <w:left w:val="nil"/>
              <w:bottom w:val="single" w:sz="4" w:space="0" w:color="auto"/>
              <w:right w:val="single" w:sz="4" w:space="0" w:color="auto"/>
            </w:tcBorders>
            <w:vAlign w:val="center"/>
            <w:hideMark/>
          </w:tcPr>
          <w:p w14:paraId="194590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82253536</w:t>
            </w:r>
          </w:p>
        </w:tc>
        <w:tc>
          <w:tcPr>
            <w:tcW w:w="5953" w:type="dxa"/>
            <w:tcBorders>
              <w:top w:val="nil"/>
              <w:left w:val="nil"/>
              <w:bottom w:val="single" w:sz="4" w:space="0" w:color="auto"/>
              <w:right w:val="single" w:sz="4" w:space="0" w:color="auto"/>
            </w:tcBorders>
            <w:noWrap/>
            <w:vAlign w:val="center"/>
            <w:hideMark/>
          </w:tcPr>
          <w:p w14:paraId="1CC9CA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ZAGORJE, D.O.O.</w:t>
            </w:r>
          </w:p>
        </w:tc>
      </w:tr>
      <w:tr w:rsidR="00F24E18" w14:paraId="19A7039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10EA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456</w:t>
            </w:r>
          </w:p>
        </w:tc>
        <w:tc>
          <w:tcPr>
            <w:tcW w:w="1300" w:type="dxa"/>
            <w:tcBorders>
              <w:top w:val="nil"/>
              <w:left w:val="nil"/>
              <w:bottom w:val="single" w:sz="4" w:space="0" w:color="auto"/>
              <w:right w:val="single" w:sz="4" w:space="0" w:color="auto"/>
            </w:tcBorders>
            <w:vAlign w:val="center"/>
            <w:hideMark/>
          </w:tcPr>
          <w:p w14:paraId="361116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5221897000</w:t>
            </w:r>
          </w:p>
        </w:tc>
        <w:tc>
          <w:tcPr>
            <w:tcW w:w="1012" w:type="dxa"/>
            <w:tcBorders>
              <w:top w:val="nil"/>
              <w:left w:val="nil"/>
              <w:bottom w:val="single" w:sz="4" w:space="0" w:color="auto"/>
              <w:right w:val="single" w:sz="4" w:space="0" w:color="auto"/>
            </w:tcBorders>
            <w:vAlign w:val="center"/>
            <w:hideMark/>
          </w:tcPr>
          <w:p w14:paraId="488AEB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25344650</w:t>
            </w:r>
          </w:p>
        </w:tc>
        <w:tc>
          <w:tcPr>
            <w:tcW w:w="5953" w:type="dxa"/>
            <w:tcBorders>
              <w:top w:val="nil"/>
              <w:left w:val="nil"/>
              <w:bottom w:val="single" w:sz="4" w:space="0" w:color="auto"/>
              <w:right w:val="single" w:sz="4" w:space="0" w:color="auto"/>
            </w:tcBorders>
            <w:noWrap/>
            <w:vAlign w:val="center"/>
            <w:hideMark/>
          </w:tcPr>
          <w:p w14:paraId="146FA2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KOMUNALA, D.O.O. MOZIRJE</w:t>
            </w:r>
          </w:p>
        </w:tc>
      </w:tr>
      <w:tr w:rsidR="00F24E18" w14:paraId="44EA6B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4087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457</w:t>
            </w:r>
          </w:p>
        </w:tc>
        <w:tc>
          <w:tcPr>
            <w:tcW w:w="1300" w:type="dxa"/>
            <w:tcBorders>
              <w:top w:val="nil"/>
              <w:left w:val="nil"/>
              <w:bottom w:val="single" w:sz="4" w:space="0" w:color="auto"/>
              <w:right w:val="single" w:sz="4" w:space="0" w:color="auto"/>
            </w:tcBorders>
            <w:vAlign w:val="center"/>
            <w:hideMark/>
          </w:tcPr>
          <w:p w14:paraId="418E97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5231787000</w:t>
            </w:r>
          </w:p>
        </w:tc>
        <w:tc>
          <w:tcPr>
            <w:tcW w:w="1012" w:type="dxa"/>
            <w:tcBorders>
              <w:top w:val="nil"/>
              <w:left w:val="nil"/>
              <w:bottom w:val="single" w:sz="4" w:space="0" w:color="auto"/>
              <w:right w:val="single" w:sz="4" w:space="0" w:color="auto"/>
            </w:tcBorders>
            <w:vAlign w:val="center"/>
            <w:hideMark/>
          </w:tcPr>
          <w:p w14:paraId="16510E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71747761</w:t>
            </w:r>
          </w:p>
        </w:tc>
        <w:tc>
          <w:tcPr>
            <w:tcW w:w="5953" w:type="dxa"/>
            <w:tcBorders>
              <w:top w:val="nil"/>
              <w:left w:val="nil"/>
              <w:bottom w:val="single" w:sz="4" w:space="0" w:color="auto"/>
              <w:right w:val="single" w:sz="4" w:space="0" w:color="auto"/>
            </w:tcBorders>
            <w:noWrap/>
            <w:vAlign w:val="center"/>
            <w:hideMark/>
          </w:tcPr>
          <w:p w14:paraId="3EA7C2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KOMUNALNA ENERGETIKA NOVA GORICA D.O.O.</w:t>
            </w:r>
          </w:p>
        </w:tc>
      </w:tr>
      <w:tr w:rsidR="00F24E18" w14:paraId="04CA11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2AEC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458</w:t>
            </w:r>
          </w:p>
        </w:tc>
        <w:tc>
          <w:tcPr>
            <w:tcW w:w="1300" w:type="dxa"/>
            <w:tcBorders>
              <w:top w:val="nil"/>
              <w:left w:val="nil"/>
              <w:bottom w:val="single" w:sz="4" w:space="0" w:color="auto"/>
              <w:right w:val="single" w:sz="4" w:space="0" w:color="auto"/>
            </w:tcBorders>
            <w:vAlign w:val="center"/>
            <w:hideMark/>
          </w:tcPr>
          <w:p w14:paraId="39C2FD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5827558000</w:t>
            </w:r>
          </w:p>
        </w:tc>
        <w:tc>
          <w:tcPr>
            <w:tcW w:w="1012" w:type="dxa"/>
            <w:tcBorders>
              <w:top w:val="nil"/>
              <w:left w:val="nil"/>
              <w:bottom w:val="single" w:sz="4" w:space="0" w:color="auto"/>
              <w:right w:val="single" w:sz="4" w:space="0" w:color="auto"/>
            </w:tcBorders>
            <w:vAlign w:val="center"/>
            <w:hideMark/>
          </w:tcPr>
          <w:p w14:paraId="08795F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88743926</w:t>
            </w:r>
          </w:p>
        </w:tc>
        <w:tc>
          <w:tcPr>
            <w:tcW w:w="5953" w:type="dxa"/>
            <w:tcBorders>
              <w:top w:val="nil"/>
              <w:left w:val="nil"/>
              <w:bottom w:val="single" w:sz="4" w:space="0" w:color="auto"/>
              <w:right w:val="single" w:sz="4" w:space="0" w:color="auto"/>
            </w:tcBorders>
            <w:noWrap/>
            <w:vAlign w:val="center"/>
            <w:hideMark/>
          </w:tcPr>
          <w:p w14:paraId="3352A6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KOMUNALNO PODJETJE LOGATEC, D.O.O.</w:t>
            </w:r>
          </w:p>
        </w:tc>
      </w:tr>
      <w:tr w:rsidR="00F24E18" w14:paraId="0B83DB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104F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459</w:t>
            </w:r>
          </w:p>
        </w:tc>
        <w:tc>
          <w:tcPr>
            <w:tcW w:w="1300" w:type="dxa"/>
            <w:tcBorders>
              <w:top w:val="nil"/>
              <w:left w:val="nil"/>
              <w:bottom w:val="single" w:sz="4" w:space="0" w:color="auto"/>
              <w:right w:val="single" w:sz="4" w:space="0" w:color="auto"/>
            </w:tcBorders>
            <w:vAlign w:val="center"/>
            <w:hideMark/>
          </w:tcPr>
          <w:p w14:paraId="27D9DA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5015707000</w:t>
            </w:r>
          </w:p>
        </w:tc>
        <w:tc>
          <w:tcPr>
            <w:tcW w:w="1012" w:type="dxa"/>
            <w:tcBorders>
              <w:top w:val="nil"/>
              <w:left w:val="nil"/>
              <w:bottom w:val="single" w:sz="4" w:space="0" w:color="auto"/>
              <w:right w:val="single" w:sz="4" w:space="0" w:color="auto"/>
            </w:tcBorders>
            <w:vAlign w:val="center"/>
            <w:hideMark/>
          </w:tcPr>
          <w:p w14:paraId="6BA249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75879611</w:t>
            </w:r>
          </w:p>
        </w:tc>
        <w:tc>
          <w:tcPr>
            <w:tcW w:w="5953" w:type="dxa"/>
            <w:tcBorders>
              <w:top w:val="nil"/>
              <w:left w:val="nil"/>
              <w:bottom w:val="single" w:sz="4" w:space="0" w:color="auto"/>
              <w:right w:val="single" w:sz="4" w:space="0" w:color="auto"/>
            </w:tcBorders>
            <w:noWrap/>
            <w:vAlign w:val="center"/>
            <w:hideMark/>
          </w:tcPr>
          <w:p w14:paraId="4BDD7F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KOMUNALNO PODJETJE VRHNIKA, D.O.O.</w:t>
            </w:r>
          </w:p>
        </w:tc>
      </w:tr>
      <w:tr w:rsidR="00F24E18" w14:paraId="0E8260C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88F8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460</w:t>
            </w:r>
          </w:p>
        </w:tc>
        <w:tc>
          <w:tcPr>
            <w:tcW w:w="1300" w:type="dxa"/>
            <w:tcBorders>
              <w:top w:val="nil"/>
              <w:left w:val="nil"/>
              <w:bottom w:val="single" w:sz="4" w:space="0" w:color="auto"/>
              <w:right w:val="single" w:sz="4" w:space="0" w:color="auto"/>
            </w:tcBorders>
            <w:noWrap/>
            <w:vAlign w:val="center"/>
            <w:hideMark/>
          </w:tcPr>
          <w:p w14:paraId="0DBE6E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5112141000</w:t>
            </w:r>
          </w:p>
        </w:tc>
        <w:tc>
          <w:tcPr>
            <w:tcW w:w="1012" w:type="dxa"/>
            <w:tcBorders>
              <w:top w:val="nil"/>
              <w:left w:val="nil"/>
              <w:bottom w:val="single" w:sz="4" w:space="0" w:color="auto"/>
              <w:right w:val="single" w:sz="4" w:space="0" w:color="auto"/>
            </w:tcBorders>
            <w:vAlign w:val="center"/>
            <w:hideMark/>
          </w:tcPr>
          <w:p w14:paraId="5D8FBE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84245956</w:t>
            </w:r>
          </w:p>
        </w:tc>
        <w:tc>
          <w:tcPr>
            <w:tcW w:w="5953" w:type="dxa"/>
            <w:tcBorders>
              <w:top w:val="nil"/>
              <w:left w:val="nil"/>
              <w:bottom w:val="single" w:sz="4" w:space="0" w:color="auto"/>
              <w:right w:val="single" w:sz="4" w:space="0" w:color="auto"/>
            </w:tcBorders>
            <w:noWrap/>
            <w:vAlign w:val="center"/>
            <w:hideMark/>
          </w:tcPr>
          <w:p w14:paraId="6E9CC0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KOMUNALNO STANOVANJSKO PODJETJE LITIJA, D.O.O.</w:t>
            </w:r>
          </w:p>
        </w:tc>
      </w:tr>
      <w:tr w:rsidR="00F24E18" w14:paraId="13AF08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C7F9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461</w:t>
            </w:r>
          </w:p>
        </w:tc>
        <w:tc>
          <w:tcPr>
            <w:tcW w:w="1300" w:type="dxa"/>
            <w:tcBorders>
              <w:top w:val="nil"/>
              <w:left w:val="nil"/>
              <w:bottom w:val="single" w:sz="4" w:space="0" w:color="auto"/>
              <w:right w:val="single" w:sz="4" w:space="0" w:color="auto"/>
            </w:tcBorders>
            <w:noWrap/>
            <w:vAlign w:val="center"/>
            <w:hideMark/>
          </w:tcPr>
          <w:p w14:paraId="24C808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8608393000</w:t>
            </w:r>
          </w:p>
        </w:tc>
        <w:tc>
          <w:tcPr>
            <w:tcW w:w="1012" w:type="dxa"/>
            <w:tcBorders>
              <w:top w:val="nil"/>
              <w:left w:val="nil"/>
              <w:bottom w:val="single" w:sz="4" w:space="0" w:color="auto"/>
              <w:right w:val="single" w:sz="4" w:space="0" w:color="auto"/>
            </w:tcBorders>
            <w:noWrap/>
            <w:vAlign w:val="center"/>
            <w:hideMark/>
          </w:tcPr>
          <w:p w14:paraId="29023D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85629138</w:t>
            </w:r>
          </w:p>
        </w:tc>
        <w:tc>
          <w:tcPr>
            <w:tcW w:w="5953" w:type="dxa"/>
            <w:tcBorders>
              <w:top w:val="nil"/>
              <w:left w:val="nil"/>
              <w:bottom w:val="single" w:sz="4" w:space="0" w:color="auto"/>
              <w:right w:val="single" w:sz="4" w:space="0" w:color="auto"/>
            </w:tcBorders>
            <w:noWrap/>
            <w:vAlign w:val="center"/>
            <w:hideMark/>
          </w:tcPr>
          <w:p w14:paraId="55FE31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KOPRSKA PRISTANIŠKA PILOTAŽA D.O.O.</w:t>
            </w:r>
          </w:p>
        </w:tc>
      </w:tr>
      <w:tr w:rsidR="00F24E18" w14:paraId="1EB149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EC47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462</w:t>
            </w:r>
          </w:p>
        </w:tc>
        <w:tc>
          <w:tcPr>
            <w:tcW w:w="1300" w:type="dxa"/>
            <w:tcBorders>
              <w:top w:val="nil"/>
              <w:left w:val="nil"/>
              <w:bottom w:val="single" w:sz="4" w:space="0" w:color="auto"/>
              <w:right w:val="single" w:sz="4" w:space="0" w:color="auto"/>
            </w:tcBorders>
            <w:vAlign w:val="center"/>
            <w:hideMark/>
          </w:tcPr>
          <w:p w14:paraId="4F8039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5015367000</w:t>
            </w:r>
          </w:p>
        </w:tc>
        <w:tc>
          <w:tcPr>
            <w:tcW w:w="1012" w:type="dxa"/>
            <w:tcBorders>
              <w:top w:val="nil"/>
              <w:left w:val="nil"/>
              <w:bottom w:val="single" w:sz="4" w:space="0" w:color="auto"/>
              <w:right w:val="single" w:sz="4" w:space="0" w:color="auto"/>
            </w:tcBorders>
            <w:vAlign w:val="center"/>
            <w:hideMark/>
          </w:tcPr>
          <w:p w14:paraId="053211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17322057</w:t>
            </w:r>
          </w:p>
        </w:tc>
        <w:tc>
          <w:tcPr>
            <w:tcW w:w="5953" w:type="dxa"/>
            <w:tcBorders>
              <w:top w:val="nil"/>
              <w:left w:val="nil"/>
              <w:bottom w:val="single" w:sz="4" w:space="0" w:color="auto"/>
              <w:right w:val="single" w:sz="4" w:space="0" w:color="auto"/>
            </w:tcBorders>
            <w:noWrap/>
            <w:vAlign w:val="center"/>
            <w:hideMark/>
          </w:tcPr>
          <w:p w14:paraId="6CDABD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KOVOD POSTOJNA, VODOVOD, KANALIZACIJA, D.O.O., POSTOJNA</w:t>
            </w:r>
          </w:p>
        </w:tc>
      </w:tr>
      <w:tr w:rsidR="00F24E18" w14:paraId="56F2F4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550B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463</w:t>
            </w:r>
          </w:p>
        </w:tc>
        <w:tc>
          <w:tcPr>
            <w:tcW w:w="1300" w:type="dxa"/>
            <w:tcBorders>
              <w:top w:val="nil"/>
              <w:left w:val="nil"/>
              <w:bottom w:val="single" w:sz="4" w:space="0" w:color="auto"/>
              <w:right w:val="single" w:sz="4" w:space="0" w:color="auto"/>
            </w:tcBorders>
            <w:vAlign w:val="center"/>
            <w:hideMark/>
          </w:tcPr>
          <w:p w14:paraId="63B742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5072999000</w:t>
            </w:r>
          </w:p>
        </w:tc>
        <w:tc>
          <w:tcPr>
            <w:tcW w:w="1012" w:type="dxa"/>
            <w:tcBorders>
              <w:top w:val="nil"/>
              <w:left w:val="nil"/>
              <w:bottom w:val="single" w:sz="4" w:space="0" w:color="auto"/>
              <w:right w:val="single" w:sz="4" w:space="0" w:color="auto"/>
            </w:tcBorders>
            <w:vAlign w:val="center"/>
            <w:hideMark/>
          </w:tcPr>
          <w:p w14:paraId="087E82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89997271</w:t>
            </w:r>
          </w:p>
        </w:tc>
        <w:tc>
          <w:tcPr>
            <w:tcW w:w="5953" w:type="dxa"/>
            <w:tcBorders>
              <w:top w:val="nil"/>
              <w:left w:val="nil"/>
              <w:bottom w:val="single" w:sz="4" w:space="0" w:color="auto"/>
              <w:right w:val="single" w:sz="4" w:space="0" w:color="auto"/>
            </w:tcBorders>
            <w:noWrap/>
            <w:vAlign w:val="center"/>
            <w:hideMark/>
          </w:tcPr>
          <w:p w14:paraId="7861B1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KRAŠKI VODOVOD SEŽANA D.O.O.</w:t>
            </w:r>
          </w:p>
        </w:tc>
      </w:tr>
      <w:tr w:rsidR="00F24E18" w14:paraId="28BEB01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A2C5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464</w:t>
            </w:r>
          </w:p>
        </w:tc>
        <w:tc>
          <w:tcPr>
            <w:tcW w:w="1300" w:type="dxa"/>
            <w:tcBorders>
              <w:top w:val="nil"/>
              <w:left w:val="nil"/>
              <w:bottom w:val="single" w:sz="4" w:space="0" w:color="auto"/>
              <w:right w:val="single" w:sz="4" w:space="0" w:color="auto"/>
            </w:tcBorders>
            <w:vAlign w:val="center"/>
            <w:hideMark/>
          </w:tcPr>
          <w:p w14:paraId="1C7DDD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5607906000</w:t>
            </w:r>
          </w:p>
        </w:tc>
        <w:tc>
          <w:tcPr>
            <w:tcW w:w="1012" w:type="dxa"/>
            <w:tcBorders>
              <w:top w:val="nil"/>
              <w:left w:val="nil"/>
              <w:bottom w:val="single" w:sz="4" w:space="0" w:color="auto"/>
              <w:right w:val="single" w:sz="4" w:space="0" w:color="auto"/>
            </w:tcBorders>
            <w:vAlign w:val="center"/>
            <w:hideMark/>
          </w:tcPr>
          <w:p w14:paraId="23978F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50652613</w:t>
            </w:r>
          </w:p>
        </w:tc>
        <w:tc>
          <w:tcPr>
            <w:tcW w:w="5953" w:type="dxa"/>
            <w:tcBorders>
              <w:top w:val="nil"/>
              <w:left w:val="nil"/>
              <w:bottom w:val="single" w:sz="4" w:space="0" w:color="auto"/>
              <w:right w:val="single" w:sz="4" w:space="0" w:color="auto"/>
            </w:tcBorders>
            <w:noWrap/>
            <w:vAlign w:val="center"/>
            <w:hideMark/>
          </w:tcPr>
          <w:p w14:paraId="0857BB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LJUBLJANSKA PARKIRIŠČA IN TRŽNICE, D.O.O.</w:t>
            </w:r>
          </w:p>
        </w:tc>
      </w:tr>
      <w:tr w:rsidR="00F24E18" w14:paraId="1C6474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7684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465</w:t>
            </w:r>
          </w:p>
        </w:tc>
        <w:tc>
          <w:tcPr>
            <w:tcW w:w="1300" w:type="dxa"/>
            <w:tcBorders>
              <w:top w:val="nil"/>
              <w:left w:val="nil"/>
              <w:bottom w:val="single" w:sz="4" w:space="0" w:color="auto"/>
              <w:right w:val="single" w:sz="4" w:space="0" w:color="auto"/>
            </w:tcBorders>
            <w:vAlign w:val="center"/>
            <w:hideMark/>
          </w:tcPr>
          <w:p w14:paraId="7BD73E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5222966000</w:t>
            </w:r>
          </w:p>
        </w:tc>
        <w:tc>
          <w:tcPr>
            <w:tcW w:w="1012" w:type="dxa"/>
            <w:tcBorders>
              <w:top w:val="nil"/>
              <w:left w:val="nil"/>
              <w:bottom w:val="single" w:sz="4" w:space="0" w:color="auto"/>
              <w:right w:val="single" w:sz="4" w:space="0" w:color="auto"/>
            </w:tcBorders>
            <w:vAlign w:val="center"/>
            <w:hideMark/>
          </w:tcPr>
          <w:p w14:paraId="0B7C5D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66742790</w:t>
            </w:r>
          </w:p>
        </w:tc>
        <w:tc>
          <w:tcPr>
            <w:tcW w:w="5953" w:type="dxa"/>
            <w:tcBorders>
              <w:top w:val="nil"/>
              <w:left w:val="nil"/>
              <w:bottom w:val="single" w:sz="4" w:space="0" w:color="auto"/>
              <w:right w:val="single" w:sz="4" w:space="0" w:color="auto"/>
            </w:tcBorders>
            <w:noWrap/>
            <w:vAlign w:val="center"/>
            <w:hideMark/>
          </w:tcPr>
          <w:p w14:paraId="3D2DAD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LJUBLJANSKI POTNIŠKI PROMET, D.O.O.</w:t>
            </w:r>
          </w:p>
        </w:tc>
      </w:tr>
      <w:tr w:rsidR="00F24E18" w14:paraId="59EDFA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E22D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466</w:t>
            </w:r>
          </w:p>
        </w:tc>
        <w:tc>
          <w:tcPr>
            <w:tcW w:w="1300" w:type="dxa"/>
            <w:tcBorders>
              <w:top w:val="nil"/>
              <w:left w:val="nil"/>
              <w:bottom w:val="single" w:sz="4" w:space="0" w:color="auto"/>
              <w:right w:val="single" w:sz="4" w:space="0" w:color="auto"/>
            </w:tcBorders>
            <w:noWrap/>
            <w:vAlign w:val="center"/>
            <w:hideMark/>
          </w:tcPr>
          <w:p w14:paraId="03F65F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5066310000</w:t>
            </w:r>
          </w:p>
        </w:tc>
        <w:tc>
          <w:tcPr>
            <w:tcW w:w="1012" w:type="dxa"/>
            <w:tcBorders>
              <w:top w:val="nil"/>
              <w:left w:val="nil"/>
              <w:bottom w:val="single" w:sz="4" w:space="0" w:color="auto"/>
              <w:right w:val="single" w:sz="4" w:space="0" w:color="auto"/>
            </w:tcBorders>
            <w:noWrap/>
            <w:vAlign w:val="center"/>
            <w:hideMark/>
          </w:tcPr>
          <w:p w14:paraId="1DAB6F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71083715</w:t>
            </w:r>
          </w:p>
        </w:tc>
        <w:tc>
          <w:tcPr>
            <w:tcW w:w="5953" w:type="dxa"/>
            <w:tcBorders>
              <w:top w:val="nil"/>
              <w:left w:val="nil"/>
              <w:bottom w:val="single" w:sz="4" w:space="0" w:color="auto"/>
              <w:right w:val="single" w:sz="4" w:space="0" w:color="auto"/>
            </w:tcBorders>
            <w:noWrap/>
            <w:vAlign w:val="center"/>
            <w:hideMark/>
          </w:tcPr>
          <w:p w14:paraId="54EE6D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NIGRAD, KOMUNALNO PODJETJE, D. O. O.</w:t>
            </w:r>
          </w:p>
        </w:tc>
      </w:tr>
      <w:tr w:rsidR="00F24E18" w14:paraId="3D2BD5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B80A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467</w:t>
            </w:r>
          </w:p>
        </w:tc>
        <w:tc>
          <w:tcPr>
            <w:tcW w:w="1300" w:type="dxa"/>
            <w:tcBorders>
              <w:top w:val="nil"/>
              <w:left w:val="nil"/>
              <w:bottom w:val="single" w:sz="4" w:space="0" w:color="auto"/>
              <w:right w:val="single" w:sz="4" w:space="0" w:color="auto"/>
            </w:tcBorders>
            <w:vAlign w:val="center"/>
            <w:hideMark/>
          </w:tcPr>
          <w:p w14:paraId="44704B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5105633000</w:t>
            </w:r>
          </w:p>
        </w:tc>
        <w:tc>
          <w:tcPr>
            <w:tcW w:w="1012" w:type="dxa"/>
            <w:tcBorders>
              <w:top w:val="nil"/>
              <w:left w:val="nil"/>
              <w:bottom w:val="single" w:sz="4" w:space="0" w:color="auto"/>
              <w:right w:val="single" w:sz="4" w:space="0" w:color="auto"/>
            </w:tcBorders>
            <w:vAlign w:val="center"/>
            <w:hideMark/>
          </w:tcPr>
          <w:p w14:paraId="2312D5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73819174</w:t>
            </w:r>
          </w:p>
        </w:tc>
        <w:tc>
          <w:tcPr>
            <w:tcW w:w="5953" w:type="dxa"/>
            <w:tcBorders>
              <w:top w:val="nil"/>
              <w:left w:val="nil"/>
              <w:bottom w:val="single" w:sz="4" w:space="0" w:color="auto"/>
              <w:right w:val="single" w:sz="4" w:space="0" w:color="auto"/>
            </w:tcBorders>
            <w:noWrap/>
            <w:vAlign w:val="center"/>
            <w:hideMark/>
          </w:tcPr>
          <w:p w14:paraId="249D2F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OKOLJE PIRAN, D.O.O.</w:t>
            </w:r>
          </w:p>
        </w:tc>
      </w:tr>
      <w:tr w:rsidR="00F24E18" w14:paraId="64EA87D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AFD1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468</w:t>
            </w:r>
          </w:p>
        </w:tc>
        <w:tc>
          <w:tcPr>
            <w:tcW w:w="1300" w:type="dxa"/>
            <w:tcBorders>
              <w:top w:val="nil"/>
              <w:left w:val="nil"/>
              <w:bottom w:val="single" w:sz="4" w:space="0" w:color="auto"/>
              <w:right w:val="single" w:sz="4" w:space="0" w:color="auto"/>
            </w:tcBorders>
            <w:vAlign w:val="center"/>
            <w:hideMark/>
          </w:tcPr>
          <w:p w14:paraId="5501AB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3637905000</w:t>
            </w:r>
          </w:p>
        </w:tc>
        <w:tc>
          <w:tcPr>
            <w:tcW w:w="1012" w:type="dxa"/>
            <w:tcBorders>
              <w:top w:val="nil"/>
              <w:left w:val="nil"/>
              <w:bottom w:val="single" w:sz="4" w:space="0" w:color="auto"/>
              <w:right w:val="single" w:sz="4" w:space="0" w:color="auto"/>
            </w:tcBorders>
            <w:vAlign w:val="center"/>
            <w:hideMark/>
          </w:tcPr>
          <w:p w14:paraId="3C1829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34813144</w:t>
            </w:r>
          </w:p>
        </w:tc>
        <w:tc>
          <w:tcPr>
            <w:tcW w:w="5953" w:type="dxa"/>
            <w:tcBorders>
              <w:top w:val="nil"/>
              <w:left w:val="nil"/>
              <w:bottom w:val="single" w:sz="4" w:space="0" w:color="auto"/>
              <w:right w:val="single" w:sz="4" w:space="0" w:color="auto"/>
            </w:tcBorders>
            <w:noWrap/>
            <w:vAlign w:val="center"/>
            <w:hideMark/>
          </w:tcPr>
          <w:p w14:paraId="05FD63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PRLEKIJA D.O.O.</w:t>
            </w:r>
          </w:p>
        </w:tc>
      </w:tr>
      <w:tr w:rsidR="00F24E18" w14:paraId="03B699F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6916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469</w:t>
            </w:r>
          </w:p>
        </w:tc>
        <w:tc>
          <w:tcPr>
            <w:tcW w:w="1300" w:type="dxa"/>
            <w:tcBorders>
              <w:top w:val="nil"/>
              <w:left w:val="nil"/>
              <w:bottom w:val="single" w:sz="4" w:space="0" w:color="auto"/>
              <w:right w:val="single" w:sz="4" w:space="0" w:color="auto"/>
            </w:tcBorders>
            <w:vAlign w:val="center"/>
            <w:hideMark/>
          </w:tcPr>
          <w:p w14:paraId="1E8A26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5067855000</w:t>
            </w:r>
          </w:p>
        </w:tc>
        <w:tc>
          <w:tcPr>
            <w:tcW w:w="1012" w:type="dxa"/>
            <w:tcBorders>
              <w:top w:val="nil"/>
              <w:left w:val="nil"/>
              <w:bottom w:val="single" w:sz="4" w:space="0" w:color="auto"/>
              <w:right w:val="single" w:sz="4" w:space="0" w:color="auto"/>
            </w:tcBorders>
            <w:vAlign w:val="center"/>
            <w:hideMark/>
          </w:tcPr>
          <w:p w14:paraId="350226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22223576</w:t>
            </w:r>
          </w:p>
        </w:tc>
        <w:tc>
          <w:tcPr>
            <w:tcW w:w="5953" w:type="dxa"/>
            <w:tcBorders>
              <w:top w:val="nil"/>
              <w:left w:val="nil"/>
              <w:bottom w:val="single" w:sz="4" w:space="0" w:color="auto"/>
              <w:right w:val="single" w:sz="4" w:space="0" w:color="auto"/>
            </w:tcBorders>
            <w:noWrap/>
            <w:vAlign w:val="center"/>
            <w:hideMark/>
          </w:tcPr>
          <w:p w14:paraId="2E7CC5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SNAGA, PODJETJE ZA RAVNANJE Z ODPADKI IN DRUGE KOMUNALNE STORITVE, D.O.O.</w:t>
            </w:r>
          </w:p>
        </w:tc>
      </w:tr>
      <w:tr w:rsidR="00F24E18" w14:paraId="08A998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3C6D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470</w:t>
            </w:r>
          </w:p>
        </w:tc>
        <w:tc>
          <w:tcPr>
            <w:tcW w:w="1300" w:type="dxa"/>
            <w:tcBorders>
              <w:top w:val="nil"/>
              <w:left w:val="nil"/>
              <w:bottom w:val="single" w:sz="4" w:space="0" w:color="auto"/>
              <w:right w:val="single" w:sz="4" w:space="0" w:color="auto"/>
            </w:tcBorders>
            <w:vAlign w:val="center"/>
            <w:hideMark/>
          </w:tcPr>
          <w:p w14:paraId="1C539E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5033284000</w:t>
            </w:r>
          </w:p>
        </w:tc>
        <w:tc>
          <w:tcPr>
            <w:tcW w:w="1012" w:type="dxa"/>
            <w:tcBorders>
              <w:top w:val="nil"/>
              <w:left w:val="nil"/>
              <w:bottom w:val="single" w:sz="4" w:space="0" w:color="auto"/>
              <w:right w:val="single" w:sz="4" w:space="0" w:color="auto"/>
            </w:tcBorders>
            <w:vAlign w:val="center"/>
            <w:hideMark/>
          </w:tcPr>
          <w:p w14:paraId="4EF4AB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85360040</w:t>
            </w:r>
          </w:p>
        </w:tc>
        <w:tc>
          <w:tcPr>
            <w:tcW w:w="5953" w:type="dxa"/>
            <w:tcBorders>
              <w:top w:val="nil"/>
              <w:left w:val="nil"/>
              <w:bottom w:val="single" w:sz="4" w:space="0" w:color="auto"/>
              <w:right w:val="single" w:sz="4" w:space="0" w:color="auto"/>
            </w:tcBorders>
            <w:noWrap/>
            <w:vAlign w:val="center"/>
            <w:hideMark/>
          </w:tcPr>
          <w:p w14:paraId="1B6EE7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URADNI LIST REPUBLIKE SLOVENIJE, D.O.O.</w:t>
            </w:r>
          </w:p>
        </w:tc>
      </w:tr>
      <w:tr w:rsidR="00F24E18" w14:paraId="3906628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4D41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471</w:t>
            </w:r>
          </w:p>
        </w:tc>
        <w:tc>
          <w:tcPr>
            <w:tcW w:w="1300" w:type="dxa"/>
            <w:tcBorders>
              <w:top w:val="nil"/>
              <w:left w:val="nil"/>
              <w:bottom w:val="single" w:sz="4" w:space="0" w:color="auto"/>
              <w:right w:val="single" w:sz="4" w:space="0" w:color="auto"/>
            </w:tcBorders>
            <w:vAlign w:val="center"/>
            <w:hideMark/>
          </w:tcPr>
          <w:p w14:paraId="47D93F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5046688000</w:t>
            </w:r>
          </w:p>
        </w:tc>
        <w:tc>
          <w:tcPr>
            <w:tcW w:w="1012" w:type="dxa"/>
            <w:tcBorders>
              <w:top w:val="nil"/>
              <w:left w:val="nil"/>
              <w:bottom w:val="single" w:sz="4" w:space="0" w:color="auto"/>
              <w:right w:val="single" w:sz="4" w:space="0" w:color="auto"/>
            </w:tcBorders>
            <w:vAlign w:val="center"/>
            <w:hideMark/>
          </w:tcPr>
          <w:p w14:paraId="745E4E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64520463</w:t>
            </w:r>
          </w:p>
        </w:tc>
        <w:tc>
          <w:tcPr>
            <w:tcW w:w="5953" w:type="dxa"/>
            <w:tcBorders>
              <w:top w:val="nil"/>
              <w:left w:val="nil"/>
              <w:bottom w:val="single" w:sz="4" w:space="0" w:color="auto"/>
              <w:right w:val="single" w:sz="4" w:space="0" w:color="auto"/>
            </w:tcBorders>
            <w:noWrap/>
            <w:vAlign w:val="center"/>
            <w:hideMark/>
          </w:tcPr>
          <w:p w14:paraId="6105DD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VODOVOD KANALIZACIJA SNAGA D.O.O.</w:t>
            </w:r>
          </w:p>
        </w:tc>
      </w:tr>
      <w:tr w:rsidR="00F24E18" w14:paraId="70EFA5F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FEB3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472</w:t>
            </w:r>
          </w:p>
        </w:tc>
        <w:tc>
          <w:tcPr>
            <w:tcW w:w="1300" w:type="dxa"/>
            <w:tcBorders>
              <w:top w:val="nil"/>
              <w:left w:val="nil"/>
              <w:bottom w:val="single" w:sz="4" w:space="0" w:color="auto"/>
              <w:right w:val="single" w:sz="4" w:space="0" w:color="auto"/>
            </w:tcBorders>
            <w:vAlign w:val="center"/>
            <w:hideMark/>
          </w:tcPr>
          <w:p w14:paraId="7A317E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6564178000</w:t>
            </w:r>
          </w:p>
        </w:tc>
        <w:tc>
          <w:tcPr>
            <w:tcW w:w="1012" w:type="dxa"/>
            <w:tcBorders>
              <w:top w:val="nil"/>
              <w:left w:val="nil"/>
              <w:bottom w:val="single" w:sz="4" w:space="0" w:color="auto"/>
              <w:right w:val="single" w:sz="4" w:space="0" w:color="auto"/>
            </w:tcBorders>
            <w:vAlign w:val="center"/>
            <w:hideMark/>
          </w:tcPr>
          <w:p w14:paraId="57C11D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64838595</w:t>
            </w:r>
          </w:p>
        </w:tc>
        <w:tc>
          <w:tcPr>
            <w:tcW w:w="5953" w:type="dxa"/>
            <w:tcBorders>
              <w:top w:val="nil"/>
              <w:left w:val="nil"/>
              <w:bottom w:val="single" w:sz="4" w:space="0" w:color="auto"/>
              <w:right w:val="single" w:sz="4" w:space="0" w:color="auto"/>
            </w:tcBorders>
            <w:noWrap/>
            <w:vAlign w:val="center"/>
            <w:hideMark/>
          </w:tcPr>
          <w:p w14:paraId="26A3B1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VODOVOD SISTEMA B D.O.O.</w:t>
            </w:r>
          </w:p>
        </w:tc>
      </w:tr>
      <w:tr w:rsidR="00F24E18" w14:paraId="5C7A594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BF3F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473</w:t>
            </w:r>
          </w:p>
        </w:tc>
        <w:tc>
          <w:tcPr>
            <w:tcW w:w="1300" w:type="dxa"/>
            <w:tcBorders>
              <w:top w:val="nil"/>
              <w:left w:val="nil"/>
              <w:bottom w:val="single" w:sz="4" w:space="0" w:color="auto"/>
              <w:right w:val="single" w:sz="4" w:space="0" w:color="auto"/>
            </w:tcBorders>
            <w:noWrap/>
            <w:vAlign w:val="center"/>
            <w:hideMark/>
          </w:tcPr>
          <w:p w14:paraId="27FC05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3992071000</w:t>
            </w:r>
          </w:p>
        </w:tc>
        <w:tc>
          <w:tcPr>
            <w:tcW w:w="1012" w:type="dxa"/>
            <w:tcBorders>
              <w:top w:val="nil"/>
              <w:left w:val="nil"/>
              <w:bottom w:val="single" w:sz="4" w:space="0" w:color="auto"/>
              <w:right w:val="single" w:sz="4" w:space="0" w:color="auto"/>
            </w:tcBorders>
            <w:noWrap/>
            <w:vAlign w:val="center"/>
            <w:hideMark/>
          </w:tcPr>
          <w:p w14:paraId="0A6BFE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92859976</w:t>
            </w:r>
          </w:p>
        </w:tc>
        <w:tc>
          <w:tcPr>
            <w:tcW w:w="5953" w:type="dxa"/>
            <w:tcBorders>
              <w:top w:val="nil"/>
              <w:left w:val="nil"/>
              <w:bottom w:val="single" w:sz="4" w:space="0" w:color="auto"/>
              <w:right w:val="single" w:sz="4" w:space="0" w:color="auto"/>
            </w:tcBorders>
            <w:noWrap/>
            <w:vAlign w:val="center"/>
            <w:hideMark/>
          </w:tcPr>
          <w:p w14:paraId="6C06D0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 ZA MESTNI POTNIŠKI PROMET MARPROM, D.O.O.</w:t>
            </w:r>
          </w:p>
        </w:tc>
      </w:tr>
      <w:tr w:rsidR="00F24E18" w14:paraId="31CC8C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BFE6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474</w:t>
            </w:r>
          </w:p>
        </w:tc>
        <w:tc>
          <w:tcPr>
            <w:tcW w:w="1300" w:type="dxa"/>
            <w:tcBorders>
              <w:top w:val="nil"/>
              <w:left w:val="nil"/>
              <w:bottom w:val="single" w:sz="4" w:space="0" w:color="auto"/>
              <w:right w:val="single" w:sz="4" w:space="0" w:color="auto"/>
            </w:tcBorders>
            <w:vAlign w:val="center"/>
            <w:hideMark/>
          </w:tcPr>
          <w:p w14:paraId="48F740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5072255000</w:t>
            </w:r>
          </w:p>
        </w:tc>
        <w:tc>
          <w:tcPr>
            <w:tcW w:w="1012" w:type="dxa"/>
            <w:tcBorders>
              <w:top w:val="nil"/>
              <w:left w:val="nil"/>
              <w:bottom w:val="single" w:sz="4" w:space="0" w:color="auto"/>
              <w:right w:val="single" w:sz="4" w:space="0" w:color="auto"/>
            </w:tcBorders>
            <w:vAlign w:val="center"/>
            <w:hideMark/>
          </w:tcPr>
          <w:p w14:paraId="506DBB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32375204</w:t>
            </w:r>
          </w:p>
        </w:tc>
        <w:tc>
          <w:tcPr>
            <w:tcW w:w="5953" w:type="dxa"/>
            <w:tcBorders>
              <w:top w:val="nil"/>
              <w:left w:val="nil"/>
              <w:bottom w:val="single" w:sz="4" w:space="0" w:color="auto"/>
              <w:right w:val="single" w:sz="4" w:space="0" w:color="auto"/>
            </w:tcBorders>
            <w:noWrap/>
            <w:vAlign w:val="center"/>
            <w:hideMark/>
          </w:tcPr>
          <w:p w14:paraId="1CB39E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PODJETJE-AZIENDA PUBBLICA MARJETICA KOPER, D.O.O.-S.R.L.</w:t>
            </w:r>
          </w:p>
        </w:tc>
      </w:tr>
      <w:tr w:rsidR="00F24E18" w14:paraId="6FF93B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31EC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475</w:t>
            </w:r>
          </w:p>
        </w:tc>
        <w:tc>
          <w:tcPr>
            <w:tcW w:w="1300" w:type="dxa"/>
            <w:tcBorders>
              <w:top w:val="nil"/>
              <w:left w:val="nil"/>
              <w:bottom w:val="single" w:sz="4" w:space="0" w:color="auto"/>
              <w:right w:val="single" w:sz="4" w:space="0" w:color="auto"/>
            </w:tcBorders>
            <w:noWrap/>
            <w:vAlign w:val="center"/>
            <w:hideMark/>
          </w:tcPr>
          <w:p w14:paraId="094262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6284949000</w:t>
            </w:r>
          </w:p>
        </w:tc>
        <w:tc>
          <w:tcPr>
            <w:tcW w:w="1012" w:type="dxa"/>
            <w:tcBorders>
              <w:top w:val="nil"/>
              <w:left w:val="nil"/>
              <w:bottom w:val="single" w:sz="4" w:space="0" w:color="auto"/>
              <w:right w:val="single" w:sz="4" w:space="0" w:color="auto"/>
            </w:tcBorders>
            <w:noWrap/>
            <w:vAlign w:val="center"/>
            <w:hideMark/>
          </w:tcPr>
          <w:p w14:paraId="52D6C6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73044296</w:t>
            </w:r>
          </w:p>
        </w:tc>
        <w:tc>
          <w:tcPr>
            <w:tcW w:w="5953" w:type="dxa"/>
            <w:tcBorders>
              <w:top w:val="nil"/>
              <w:left w:val="nil"/>
              <w:bottom w:val="single" w:sz="4" w:space="0" w:color="auto"/>
              <w:right w:val="single" w:sz="4" w:space="0" w:color="auto"/>
            </w:tcBorders>
            <w:noWrap/>
            <w:vAlign w:val="center"/>
            <w:hideMark/>
          </w:tcPr>
          <w:p w14:paraId="1485E6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JAVNO VZGOJNO-IZOBRAŽEVALNI ZAVOD VRTEC ŠKOFLJICA</w:t>
            </w:r>
          </w:p>
        </w:tc>
      </w:tr>
      <w:tr w:rsidR="00F24E18" w14:paraId="2385B8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643E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476</w:t>
            </w:r>
          </w:p>
        </w:tc>
        <w:tc>
          <w:tcPr>
            <w:tcW w:w="1300" w:type="dxa"/>
            <w:tcBorders>
              <w:top w:val="nil"/>
              <w:left w:val="nil"/>
              <w:bottom w:val="single" w:sz="4" w:space="0" w:color="auto"/>
              <w:right w:val="single" w:sz="4" w:space="0" w:color="auto"/>
            </w:tcBorders>
            <w:vAlign w:val="center"/>
            <w:hideMark/>
          </w:tcPr>
          <w:p w14:paraId="6BCE06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5926823000</w:t>
            </w:r>
          </w:p>
        </w:tc>
        <w:tc>
          <w:tcPr>
            <w:tcW w:w="1012" w:type="dxa"/>
            <w:tcBorders>
              <w:top w:val="nil"/>
              <w:left w:val="nil"/>
              <w:bottom w:val="single" w:sz="4" w:space="0" w:color="auto"/>
              <w:right w:val="single" w:sz="4" w:space="0" w:color="auto"/>
            </w:tcBorders>
            <w:vAlign w:val="center"/>
            <w:hideMark/>
          </w:tcPr>
          <w:p w14:paraId="59DFFD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67496717</w:t>
            </w:r>
          </w:p>
        </w:tc>
        <w:tc>
          <w:tcPr>
            <w:tcW w:w="5953" w:type="dxa"/>
            <w:tcBorders>
              <w:top w:val="nil"/>
              <w:left w:val="nil"/>
              <w:bottom w:val="single" w:sz="4" w:space="0" w:color="auto"/>
              <w:right w:val="single" w:sz="4" w:space="0" w:color="auto"/>
            </w:tcBorders>
            <w:noWrap/>
            <w:vAlign w:val="center"/>
            <w:hideMark/>
          </w:tcPr>
          <w:p w14:paraId="011BD3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JEKO, JAVNO KOMUNALNO PODJETJE, D.O.O., JESENICE</w:t>
            </w:r>
          </w:p>
        </w:tc>
      </w:tr>
      <w:tr w:rsidR="00F24E18" w14:paraId="7D15D9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FCCD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477</w:t>
            </w:r>
          </w:p>
        </w:tc>
        <w:tc>
          <w:tcPr>
            <w:tcW w:w="1300" w:type="dxa"/>
            <w:tcBorders>
              <w:top w:val="nil"/>
              <w:left w:val="nil"/>
              <w:bottom w:val="single" w:sz="4" w:space="0" w:color="auto"/>
              <w:right w:val="single" w:sz="4" w:space="0" w:color="auto"/>
            </w:tcBorders>
            <w:vAlign w:val="center"/>
            <w:hideMark/>
          </w:tcPr>
          <w:p w14:paraId="0C693C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5466016000</w:t>
            </w:r>
          </w:p>
        </w:tc>
        <w:tc>
          <w:tcPr>
            <w:tcW w:w="1012" w:type="dxa"/>
            <w:tcBorders>
              <w:top w:val="nil"/>
              <w:left w:val="nil"/>
              <w:bottom w:val="single" w:sz="4" w:space="0" w:color="auto"/>
              <w:right w:val="single" w:sz="4" w:space="0" w:color="auto"/>
            </w:tcBorders>
            <w:vAlign w:val="center"/>
            <w:hideMark/>
          </w:tcPr>
          <w:p w14:paraId="3C323E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54691877</w:t>
            </w:r>
          </w:p>
        </w:tc>
        <w:tc>
          <w:tcPr>
            <w:tcW w:w="5953" w:type="dxa"/>
            <w:tcBorders>
              <w:top w:val="nil"/>
              <w:left w:val="nil"/>
              <w:bottom w:val="single" w:sz="4" w:space="0" w:color="auto"/>
              <w:right w:val="single" w:sz="4" w:space="0" w:color="auto"/>
            </w:tcBorders>
            <w:noWrap/>
            <w:vAlign w:val="center"/>
            <w:hideMark/>
          </w:tcPr>
          <w:p w14:paraId="6E959F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JKP ŠENTJUR, JAVNO KOMUNALNO PODJETJE, D.O.O.</w:t>
            </w:r>
          </w:p>
        </w:tc>
      </w:tr>
      <w:tr w:rsidR="00F24E18" w14:paraId="680961D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4FA7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478</w:t>
            </w:r>
          </w:p>
        </w:tc>
        <w:tc>
          <w:tcPr>
            <w:tcW w:w="1300" w:type="dxa"/>
            <w:tcBorders>
              <w:top w:val="nil"/>
              <w:left w:val="nil"/>
              <w:bottom w:val="single" w:sz="4" w:space="0" w:color="auto"/>
              <w:right w:val="single" w:sz="4" w:space="0" w:color="auto"/>
            </w:tcBorders>
            <w:vAlign w:val="center"/>
            <w:hideMark/>
          </w:tcPr>
          <w:p w14:paraId="6CDB3E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5068126000</w:t>
            </w:r>
          </w:p>
        </w:tc>
        <w:tc>
          <w:tcPr>
            <w:tcW w:w="1012" w:type="dxa"/>
            <w:tcBorders>
              <w:top w:val="nil"/>
              <w:left w:val="nil"/>
              <w:bottom w:val="single" w:sz="4" w:space="0" w:color="auto"/>
              <w:right w:val="single" w:sz="4" w:space="0" w:color="auto"/>
            </w:tcBorders>
            <w:vAlign w:val="center"/>
            <w:hideMark/>
          </w:tcPr>
          <w:p w14:paraId="31FFB7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85452360</w:t>
            </w:r>
          </w:p>
        </w:tc>
        <w:tc>
          <w:tcPr>
            <w:tcW w:w="5953" w:type="dxa"/>
            <w:tcBorders>
              <w:top w:val="nil"/>
              <w:left w:val="nil"/>
              <w:bottom w:val="single" w:sz="4" w:space="0" w:color="auto"/>
              <w:right w:val="single" w:sz="4" w:space="0" w:color="auto"/>
            </w:tcBorders>
            <w:noWrap/>
            <w:vAlign w:val="center"/>
            <w:hideMark/>
          </w:tcPr>
          <w:p w14:paraId="3A40EE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JKP, JAVNO KOMUNALNO PODJETJE D.O.O. SLOVENSKE KONJICE</w:t>
            </w:r>
          </w:p>
        </w:tc>
      </w:tr>
      <w:tr w:rsidR="00F24E18" w14:paraId="053E73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FB2C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479</w:t>
            </w:r>
          </w:p>
        </w:tc>
        <w:tc>
          <w:tcPr>
            <w:tcW w:w="1300" w:type="dxa"/>
            <w:tcBorders>
              <w:top w:val="nil"/>
              <w:left w:val="nil"/>
              <w:bottom w:val="single" w:sz="4" w:space="0" w:color="auto"/>
              <w:right w:val="single" w:sz="4" w:space="0" w:color="auto"/>
            </w:tcBorders>
            <w:noWrap/>
            <w:vAlign w:val="center"/>
            <w:hideMark/>
          </w:tcPr>
          <w:p w14:paraId="20E067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5089956000</w:t>
            </w:r>
          </w:p>
        </w:tc>
        <w:tc>
          <w:tcPr>
            <w:tcW w:w="1012" w:type="dxa"/>
            <w:tcBorders>
              <w:top w:val="nil"/>
              <w:left w:val="nil"/>
              <w:bottom w:val="single" w:sz="4" w:space="0" w:color="auto"/>
              <w:right w:val="single" w:sz="4" w:space="0" w:color="auto"/>
            </w:tcBorders>
            <w:noWrap/>
            <w:vAlign w:val="center"/>
            <w:hideMark/>
          </w:tcPr>
          <w:p w14:paraId="5BE919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44770103</w:t>
            </w:r>
          </w:p>
        </w:tc>
        <w:tc>
          <w:tcPr>
            <w:tcW w:w="5953" w:type="dxa"/>
            <w:tcBorders>
              <w:top w:val="nil"/>
              <w:left w:val="nil"/>
              <w:bottom w:val="single" w:sz="4" w:space="0" w:color="auto"/>
              <w:right w:val="single" w:sz="4" w:space="0" w:color="auto"/>
            </w:tcBorders>
            <w:noWrap/>
            <w:vAlign w:val="center"/>
            <w:hideMark/>
          </w:tcPr>
          <w:p w14:paraId="188018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JVIZ OSNOVNA ŠOLA DOBREPOLJE</w:t>
            </w:r>
          </w:p>
        </w:tc>
      </w:tr>
      <w:tr w:rsidR="00F24E18" w14:paraId="46F44CF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ED04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480</w:t>
            </w:r>
          </w:p>
        </w:tc>
        <w:tc>
          <w:tcPr>
            <w:tcW w:w="1300" w:type="dxa"/>
            <w:tcBorders>
              <w:top w:val="nil"/>
              <w:left w:val="nil"/>
              <w:bottom w:val="single" w:sz="4" w:space="0" w:color="auto"/>
              <w:right w:val="single" w:sz="4" w:space="0" w:color="auto"/>
            </w:tcBorders>
            <w:vAlign w:val="center"/>
            <w:hideMark/>
          </w:tcPr>
          <w:p w14:paraId="6AC996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5171008000</w:t>
            </w:r>
          </w:p>
        </w:tc>
        <w:tc>
          <w:tcPr>
            <w:tcW w:w="1012" w:type="dxa"/>
            <w:tcBorders>
              <w:top w:val="nil"/>
              <w:left w:val="nil"/>
              <w:bottom w:val="single" w:sz="4" w:space="0" w:color="auto"/>
              <w:right w:val="single" w:sz="4" w:space="0" w:color="auto"/>
            </w:tcBorders>
            <w:vAlign w:val="center"/>
            <w:hideMark/>
          </w:tcPr>
          <w:p w14:paraId="52A042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71818065</w:t>
            </w:r>
          </w:p>
        </w:tc>
        <w:tc>
          <w:tcPr>
            <w:tcW w:w="5953" w:type="dxa"/>
            <w:tcBorders>
              <w:top w:val="nil"/>
              <w:left w:val="nil"/>
              <w:bottom w:val="single" w:sz="4" w:space="0" w:color="auto"/>
              <w:right w:val="single" w:sz="4" w:space="0" w:color="auto"/>
            </w:tcBorders>
            <w:noWrap/>
            <w:vAlign w:val="center"/>
            <w:hideMark/>
          </w:tcPr>
          <w:p w14:paraId="692EE4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JVIZ, JAVNI VZGOJNO-IZOBRAŽEVALNI ZAVOD MOZIRJE</w:t>
            </w:r>
          </w:p>
        </w:tc>
      </w:tr>
      <w:tr w:rsidR="00F24E18" w14:paraId="572461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3895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481</w:t>
            </w:r>
          </w:p>
        </w:tc>
        <w:tc>
          <w:tcPr>
            <w:tcW w:w="1300" w:type="dxa"/>
            <w:tcBorders>
              <w:top w:val="nil"/>
              <w:left w:val="nil"/>
              <w:bottom w:val="single" w:sz="4" w:space="0" w:color="auto"/>
              <w:right w:val="single" w:sz="4" w:space="0" w:color="auto"/>
            </w:tcBorders>
            <w:noWrap/>
            <w:vAlign w:val="center"/>
            <w:hideMark/>
          </w:tcPr>
          <w:p w14:paraId="06BA72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5053846000</w:t>
            </w:r>
          </w:p>
        </w:tc>
        <w:tc>
          <w:tcPr>
            <w:tcW w:w="1012" w:type="dxa"/>
            <w:tcBorders>
              <w:top w:val="nil"/>
              <w:left w:val="nil"/>
              <w:bottom w:val="single" w:sz="4" w:space="0" w:color="auto"/>
              <w:right w:val="single" w:sz="4" w:space="0" w:color="auto"/>
            </w:tcBorders>
            <w:noWrap/>
            <w:vAlign w:val="center"/>
            <w:hideMark/>
          </w:tcPr>
          <w:p w14:paraId="39BA33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35510277</w:t>
            </w:r>
          </w:p>
        </w:tc>
        <w:tc>
          <w:tcPr>
            <w:tcW w:w="5953" w:type="dxa"/>
            <w:tcBorders>
              <w:top w:val="nil"/>
              <w:left w:val="nil"/>
              <w:bottom w:val="single" w:sz="4" w:space="0" w:color="auto"/>
              <w:right w:val="single" w:sz="4" w:space="0" w:color="auto"/>
            </w:tcBorders>
            <w:noWrap/>
            <w:vAlign w:val="center"/>
            <w:hideMark/>
          </w:tcPr>
          <w:p w14:paraId="376921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JZ LEKARNA KRŠKO</w:t>
            </w:r>
          </w:p>
        </w:tc>
      </w:tr>
      <w:tr w:rsidR="00F24E18" w14:paraId="2B713EF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BB98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482</w:t>
            </w:r>
          </w:p>
        </w:tc>
        <w:tc>
          <w:tcPr>
            <w:tcW w:w="1300" w:type="dxa"/>
            <w:tcBorders>
              <w:top w:val="nil"/>
              <w:left w:val="nil"/>
              <w:bottom w:val="single" w:sz="4" w:space="0" w:color="auto"/>
              <w:right w:val="single" w:sz="4" w:space="0" w:color="auto"/>
            </w:tcBorders>
            <w:noWrap/>
            <w:vAlign w:val="center"/>
            <w:hideMark/>
          </w:tcPr>
          <w:p w14:paraId="1CD730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1775405000</w:t>
            </w:r>
          </w:p>
        </w:tc>
        <w:tc>
          <w:tcPr>
            <w:tcW w:w="1012" w:type="dxa"/>
            <w:tcBorders>
              <w:top w:val="nil"/>
              <w:left w:val="nil"/>
              <w:bottom w:val="single" w:sz="4" w:space="0" w:color="auto"/>
              <w:right w:val="single" w:sz="4" w:space="0" w:color="auto"/>
            </w:tcBorders>
            <w:noWrap/>
            <w:vAlign w:val="center"/>
            <w:hideMark/>
          </w:tcPr>
          <w:p w14:paraId="0668FC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80447414</w:t>
            </w:r>
          </w:p>
        </w:tc>
        <w:tc>
          <w:tcPr>
            <w:tcW w:w="5953" w:type="dxa"/>
            <w:tcBorders>
              <w:top w:val="nil"/>
              <w:left w:val="nil"/>
              <w:bottom w:val="single" w:sz="4" w:space="0" w:color="auto"/>
              <w:right w:val="single" w:sz="4" w:space="0" w:color="auto"/>
            </w:tcBorders>
            <w:noWrap/>
            <w:vAlign w:val="center"/>
            <w:hideMark/>
          </w:tcPr>
          <w:p w14:paraId="04BB95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JZ SOCIO - JAVNI ZAVOD ZA SOCIALNO VARSTVENE DEJAVNOSTI CELJE</w:t>
            </w:r>
          </w:p>
        </w:tc>
      </w:tr>
      <w:tr w:rsidR="00F24E18" w14:paraId="28FDB3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8950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483</w:t>
            </w:r>
          </w:p>
        </w:tc>
        <w:tc>
          <w:tcPr>
            <w:tcW w:w="1300" w:type="dxa"/>
            <w:tcBorders>
              <w:top w:val="nil"/>
              <w:left w:val="nil"/>
              <w:bottom w:val="single" w:sz="4" w:space="0" w:color="auto"/>
              <w:right w:val="single" w:sz="4" w:space="0" w:color="auto"/>
            </w:tcBorders>
            <w:vAlign w:val="center"/>
            <w:hideMark/>
          </w:tcPr>
          <w:p w14:paraId="58F4C9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5241839000</w:t>
            </w:r>
          </w:p>
        </w:tc>
        <w:tc>
          <w:tcPr>
            <w:tcW w:w="1012" w:type="dxa"/>
            <w:tcBorders>
              <w:top w:val="nil"/>
              <w:left w:val="nil"/>
              <w:bottom w:val="single" w:sz="4" w:space="0" w:color="auto"/>
              <w:right w:val="single" w:sz="4" w:space="0" w:color="auto"/>
            </w:tcBorders>
            <w:vAlign w:val="center"/>
            <w:hideMark/>
          </w:tcPr>
          <w:p w14:paraId="41EDEF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67640656</w:t>
            </w:r>
          </w:p>
        </w:tc>
        <w:tc>
          <w:tcPr>
            <w:tcW w:w="5953" w:type="dxa"/>
            <w:tcBorders>
              <w:top w:val="nil"/>
              <w:left w:val="nil"/>
              <w:bottom w:val="single" w:sz="4" w:space="0" w:color="auto"/>
              <w:right w:val="single" w:sz="4" w:space="0" w:color="auto"/>
            </w:tcBorders>
            <w:noWrap/>
            <w:vAlign w:val="center"/>
            <w:hideMark/>
          </w:tcPr>
          <w:p w14:paraId="600E8B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KABINET PREDSEDNIKA VLADE REPUBLIKE SLOVENIJE</w:t>
            </w:r>
          </w:p>
        </w:tc>
      </w:tr>
      <w:tr w:rsidR="00F24E18" w14:paraId="282A8D1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D78A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484</w:t>
            </w:r>
          </w:p>
        </w:tc>
        <w:tc>
          <w:tcPr>
            <w:tcW w:w="1300" w:type="dxa"/>
            <w:tcBorders>
              <w:top w:val="nil"/>
              <w:left w:val="nil"/>
              <w:bottom w:val="single" w:sz="4" w:space="0" w:color="auto"/>
              <w:right w:val="single" w:sz="4" w:space="0" w:color="auto"/>
            </w:tcBorders>
            <w:noWrap/>
            <w:vAlign w:val="center"/>
            <w:hideMark/>
          </w:tcPr>
          <w:p w14:paraId="12E43B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5986010000</w:t>
            </w:r>
          </w:p>
        </w:tc>
        <w:tc>
          <w:tcPr>
            <w:tcW w:w="1012" w:type="dxa"/>
            <w:tcBorders>
              <w:top w:val="nil"/>
              <w:left w:val="nil"/>
              <w:bottom w:val="single" w:sz="4" w:space="0" w:color="auto"/>
              <w:right w:val="single" w:sz="4" w:space="0" w:color="auto"/>
            </w:tcBorders>
            <w:noWrap/>
            <w:vAlign w:val="center"/>
            <w:hideMark/>
          </w:tcPr>
          <w:p w14:paraId="58BFE1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59093927</w:t>
            </w:r>
          </w:p>
        </w:tc>
        <w:tc>
          <w:tcPr>
            <w:tcW w:w="5953" w:type="dxa"/>
            <w:tcBorders>
              <w:top w:val="nil"/>
              <w:left w:val="nil"/>
              <w:bottom w:val="single" w:sz="4" w:space="0" w:color="auto"/>
              <w:right w:val="single" w:sz="4" w:space="0" w:color="auto"/>
            </w:tcBorders>
            <w:noWrap/>
            <w:vAlign w:val="center"/>
            <w:hideMark/>
          </w:tcPr>
          <w:p w14:paraId="5438F5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KAPITALSKA DRUŽBA POKOJNINSKEGA IN INVALIDSKEGA ZAVAROVANJA, D.D.</w:t>
            </w:r>
          </w:p>
        </w:tc>
      </w:tr>
      <w:tr w:rsidR="00F24E18" w14:paraId="7A3241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727E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485</w:t>
            </w:r>
          </w:p>
        </w:tc>
        <w:tc>
          <w:tcPr>
            <w:tcW w:w="1300" w:type="dxa"/>
            <w:tcBorders>
              <w:top w:val="nil"/>
              <w:left w:val="nil"/>
              <w:bottom w:val="single" w:sz="4" w:space="0" w:color="auto"/>
              <w:right w:val="single" w:sz="4" w:space="0" w:color="auto"/>
            </w:tcBorders>
            <w:vAlign w:val="center"/>
            <w:hideMark/>
          </w:tcPr>
          <w:p w14:paraId="5A6026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5051592000</w:t>
            </w:r>
          </w:p>
        </w:tc>
        <w:tc>
          <w:tcPr>
            <w:tcW w:w="1012" w:type="dxa"/>
            <w:tcBorders>
              <w:top w:val="nil"/>
              <w:left w:val="nil"/>
              <w:bottom w:val="single" w:sz="4" w:space="0" w:color="auto"/>
              <w:right w:val="single" w:sz="4" w:space="0" w:color="auto"/>
            </w:tcBorders>
            <w:vAlign w:val="center"/>
            <w:hideMark/>
          </w:tcPr>
          <w:p w14:paraId="35BC2E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33840890</w:t>
            </w:r>
          </w:p>
        </w:tc>
        <w:tc>
          <w:tcPr>
            <w:tcW w:w="5953" w:type="dxa"/>
            <w:tcBorders>
              <w:top w:val="nil"/>
              <w:left w:val="nil"/>
              <w:bottom w:val="single" w:sz="4" w:space="0" w:color="auto"/>
              <w:right w:val="single" w:sz="4" w:space="0" w:color="auto"/>
            </w:tcBorders>
            <w:noWrap/>
            <w:vAlign w:val="center"/>
            <w:hideMark/>
          </w:tcPr>
          <w:p w14:paraId="0F603D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KEMIJSKI INŠTITUT</w:t>
            </w:r>
          </w:p>
        </w:tc>
      </w:tr>
      <w:tr w:rsidR="00F24E18" w14:paraId="7BE2EB4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01A2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486</w:t>
            </w:r>
          </w:p>
        </w:tc>
        <w:tc>
          <w:tcPr>
            <w:tcW w:w="1300" w:type="dxa"/>
            <w:tcBorders>
              <w:top w:val="nil"/>
              <w:left w:val="nil"/>
              <w:bottom w:val="single" w:sz="4" w:space="0" w:color="auto"/>
              <w:right w:val="single" w:sz="4" w:space="0" w:color="auto"/>
            </w:tcBorders>
            <w:noWrap/>
            <w:vAlign w:val="center"/>
            <w:hideMark/>
          </w:tcPr>
          <w:p w14:paraId="5ACB0B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5750946000</w:t>
            </w:r>
          </w:p>
        </w:tc>
        <w:tc>
          <w:tcPr>
            <w:tcW w:w="1012" w:type="dxa"/>
            <w:tcBorders>
              <w:top w:val="nil"/>
              <w:left w:val="nil"/>
              <w:bottom w:val="single" w:sz="4" w:space="0" w:color="auto"/>
              <w:right w:val="single" w:sz="4" w:space="0" w:color="auto"/>
            </w:tcBorders>
            <w:noWrap/>
            <w:vAlign w:val="center"/>
            <w:hideMark/>
          </w:tcPr>
          <w:p w14:paraId="3A9798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49218042</w:t>
            </w:r>
          </w:p>
        </w:tc>
        <w:tc>
          <w:tcPr>
            <w:tcW w:w="5953" w:type="dxa"/>
            <w:tcBorders>
              <w:top w:val="nil"/>
              <w:left w:val="nil"/>
              <w:bottom w:val="single" w:sz="4" w:space="0" w:color="auto"/>
              <w:right w:val="single" w:sz="4" w:space="0" w:color="auto"/>
            </w:tcBorders>
            <w:noWrap/>
            <w:vAlign w:val="center"/>
            <w:hideMark/>
          </w:tcPr>
          <w:p w14:paraId="64C1DA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AJDOVSKIH ŠTUDENTOV IN DIJAKOV</w:t>
            </w:r>
          </w:p>
        </w:tc>
      </w:tr>
      <w:tr w:rsidR="00F24E18" w14:paraId="3EF36E8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6956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487</w:t>
            </w:r>
          </w:p>
        </w:tc>
        <w:tc>
          <w:tcPr>
            <w:tcW w:w="1300" w:type="dxa"/>
            <w:tcBorders>
              <w:top w:val="nil"/>
              <w:left w:val="nil"/>
              <w:bottom w:val="single" w:sz="4" w:space="0" w:color="auto"/>
              <w:right w:val="single" w:sz="4" w:space="0" w:color="auto"/>
            </w:tcBorders>
            <w:noWrap/>
            <w:vAlign w:val="center"/>
            <w:hideMark/>
          </w:tcPr>
          <w:p w14:paraId="233B11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1129503000</w:t>
            </w:r>
          </w:p>
        </w:tc>
        <w:tc>
          <w:tcPr>
            <w:tcW w:w="1012" w:type="dxa"/>
            <w:tcBorders>
              <w:top w:val="nil"/>
              <w:left w:val="nil"/>
              <w:bottom w:val="single" w:sz="4" w:space="0" w:color="auto"/>
              <w:right w:val="single" w:sz="4" w:space="0" w:color="auto"/>
            </w:tcBorders>
            <w:noWrap/>
            <w:vAlign w:val="center"/>
            <w:hideMark/>
          </w:tcPr>
          <w:p w14:paraId="2C14D9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24374440</w:t>
            </w:r>
          </w:p>
        </w:tc>
        <w:tc>
          <w:tcPr>
            <w:tcW w:w="5953" w:type="dxa"/>
            <w:tcBorders>
              <w:top w:val="nil"/>
              <w:left w:val="nil"/>
              <w:bottom w:val="single" w:sz="4" w:space="0" w:color="auto"/>
              <w:right w:val="single" w:sz="4" w:space="0" w:color="auto"/>
            </w:tcBorders>
            <w:noWrap/>
            <w:vAlign w:val="center"/>
            <w:hideMark/>
          </w:tcPr>
          <w:p w14:paraId="36E9B5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B - KLUB TRBOVELJSKIH ŠTUDENTOV</w:t>
            </w:r>
          </w:p>
        </w:tc>
      </w:tr>
      <w:tr w:rsidR="00F24E18" w14:paraId="06DB94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E3F9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488</w:t>
            </w:r>
          </w:p>
        </w:tc>
        <w:tc>
          <w:tcPr>
            <w:tcW w:w="1300" w:type="dxa"/>
            <w:tcBorders>
              <w:top w:val="nil"/>
              <w:left w:val="nil"/>
              <w:bottom w:val="single" w:sz="4" w:space="0" w:color="auto"/>
              <w:right w:val="single" w:sz="4" w:space="0" w:color="auto"/>
            </w:tcBorders>
            <w:noWrap/>
            <w:vAlign w:val="center"/>
            <w:hideMark/>
          </w:tcPr>
          <w:p w14:paraId="13DBF0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5725437000</w:t>
            </w:r>
          </w:p>
        </w:tc>
        <w:tc>
          <w:tcPr>
            <w:tcW w:w="1012" w:type="dxa"/>
            <w:tcBorders>
              <w:top w:val="nil"/>
              <w:left w:val="nil"/>
              <w:bottom w:val="single" w:sz="4" w:space="0" w:color="auto"/>
              <w:right w:val="single" w:sz="4" w:space="0" w:color="auto"/>
            </w:tcBorders>
            <w:noWrap/>
            <w:vAlign w:val="center"/>
            <w:hideMark/>
          </w:tcPr>
          <w:p w14:paraId="779E54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88461475</w:t>
            </w:r>
          </w:p>
        </w:tc>
        <w:tc>
          <w:tcPr>
            <w:tcW w:w="5953" w:type="dxa"/>
            <w:tcBorders>
              <w:top w:val="nil"/>
              <w:left w:val="nil"/>
              <w:bottom w:val="single" w:sz="4" w:space="0" w:color="auto"/>
              <w:right w:val="single" w:sz="4" w:space="0" w:color="auto"/>
            </w:tcBorders>
            <w:noWrap/>
            <w:vAlign w:val="center"/>
            <w:hideMark/>
          </w:tcPr>
          <w:p w14:paraId="100E12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BELOKRANJSKIH ŠTUDENTOV</w:t>
            </w:r>
          </w:p>
        </w:tc>
      </w:tr>
      <w:tr w:rsidR="00F24E18" w14:paraId="178354E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CE52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489</w:t>
            </w:r>
          </w:p>
        </w:tc>
        <w:tc>
          <w:tcPr>
            <w:tcW w:w="1300" w:type="dxa"/>
            <w:tcBorders>
              <w:top w:val="nil"/>
              <w:left w:val="nil"/>
              <w:bottom w:val="single" w:sz="4" w:space="0" w:color="auto"/>
              <w:right w:val="single" w:sz="4" w:space="0" w:color="auto"/>
            </w:tcBorders>
            <w:noWrap/>
            <w:vAlign w:val="center"/>
            <w:hideMark/>
          </w:tcPr>
          <w:p w14:paraId="763893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5507359000</w:t>
            </w:r>
          </w:p>
        </w:tc>
        <w:tc>
          <w:tcPr>
            <w:tcW w:w="1012" w:type="dxa"/>
            <w:tcBorders>
              <w:top w:val="nil"/>
              <w:left w:val="nil"/>
              <w:bottom w:val="single" w:sz="4" w:space="0" w:color="auto"/>
              <w:right w:val="single" w:sz="4" w:space="0" w:color="auto"/>
            </w:tcBorders>
            <w:noWrap/>
            <w:vAlign w:val="center"/>
            <w:hideMark/>
          </w:tcPr>
          <w:p w14:paraId="738D66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98238027</w:t>
            </w:r>
          </w:p>
        </w:tc>
        <w:tc>
          <w:tcPr>
            <w:tcW w:w="5953" w:type="dxa"/>
            <w:tcBorders>
              <w:top w:val="nil"/>
              <w:left w:val="nil"/>
              <w:bottom w:val="single" w:sz="4" w:space="0" w:color="auto"/>
              <w:right w:val="single" w:sz="4" w:space="0" w:color="auto"/>
            </w:tcBorders>
            <w:noWrap/>
            <w:vAlign w:val="center"/>
            <w:hideMark/>
          </w:tcPr>
          <w:p w14:paraId="129274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GORIŠKIH ŠTUDENTOV</w:t>
            </w:r>
          </w:p>
        </w:tc>
      </w:tr>
      <w:tr w:rsidR="00F24E18" w14:paraId="31FBEFC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5D19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490</w:t>
            </w:r>
          </w:p>
        </w:tc>
        <w:tc>
          <w:tcPr>
            <w:tcW w:w="1300" w:type="dxa"/>
            <w:tcBorders>
              <w:top w:val="nil"/>
              <w:left w:val="nil"/>
              <w:bottom w:val="single" w:sz="4" w:space="0" w:color="auto"/>
              <w:right w:val="single" w:sz="4" w:space="0" w:color="auto"/>
            </w:tcBorders>
            <w:noWrap/>
            <w:vAlign w:val="center"/>
            <w:hideMark/>
          </w:tcPr>
          <w:p w14:paraId="22B97F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5623278000</w:t>
            </w:r>
          </w:p>
        </w:tc>
        <w:tc>
          <w:tcPr>
            <w:tcW w:w="1012" w:type="dxa"/>
            <w:tcBorders>
              <w:top w:val="nil"/>
              <w:left w:val="nil"/>
              <w:bottom w:val="single" w:sz="4" w:space="0" w:color="auto"/>
              <w:right w:val="single" w:sz="4" w:space="0" w:color="auto"/>
            </w:tcBorders>
            <w:noWrap/>
            <w:vAlign w:val="center"/>
            <w:hideMark/>
          </w:tcPr>
          <w:p w14:paraId="414B24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58789898</w:t>
            </w:r>
          </w:p>
        </w:tc>
        <w:tc>
          <w:tcPr>
            <w:tcW w:w="5953" w:type="dxa"/>
            <w:tcBorders>
              <w:top w:val="nil"/>
              <w:left w:val="nil"/>
              <w:bottom w:val="single" w:sz="4" w:space="0" w:color="auto"/>
              <w:right w:val="single" w:sz="4" w:space="0" w:color="auto"/>
            </w:tcBorders>
            <w:noWrap/>
            <w:vAlign w:val="center"/>
            <w:hideMark/>
          </w:tcPr>
          <w:p w14:paraId="7AB5F8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IDRIJSKIH ŠTUDENTOV</w:t>
            </w:r>
          </w:p>
        </w:tc>
      </w:tr>
      <w:tr w:rsidR="00F24E18" w14:paraId="7A1DE49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2AD3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491</w:t>
            </w:r>
          </w:p>
        </w:tc>
        <w:tc>
          <w:tcPr>
            <w:tcW w:w="1300" w:type="dxa"/>
            <w:tcBorders>
              <w:top w:val="nil"/>
              <w:left w:val="nil"/>
              <w:bottom w:val="single" w:sz="4" w:space="0" w:color="auto"/>
              <w:right w:val="single" w:sz="4" w:space="0" w:color="auto"/>
            </w:tcBorders>
            <w:noWrap/>
            <w:vAlign w:val="center"/>
            <w:hideMark/>
          </w:tcPr>
          <w:p w14:paraId="6AEF7C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5666058000</w:t>
            </w:r>
          </w:p>
        </w:tc>
        <w:tc>
          <w:tcPr>
            <w:tcW w:w="1012" w:type="dxa"/>
            <w:tcBorders>
              <w:top w:val="nil"/>
              <w:left w:val="nil"/>
              <w:bottom w:val="single" w:sz="4" w:space="0" w:color="auto"/>
              <w:right w:val="single" w:sz="4" w:space="0" w:color="auto"/>
            </w:tcBorders>
            <w:noWrap/>
            <w:vAlign w:val="center"/>
            <w:hideMark/>
          </w:tcPr>
          <w:p w14:paraId="007BBE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26830574</w:t>
            </w:r>
          </w:p>
        </w:tc>
        <w:tc>
          <w:tcPr>
            <w:tcW w:w="5953" w:type="dxa"/>
            <w:tcBorders>
              <w:top w:val="nil"/>
              <w:left w:val="nil"/>
              <w:bottom w:val="single" w:sz="4" w:space="0" w:color="auto"/>
              <w:right w:val="single" w:sz="4" w:space="0" w:color="auto"/>
            </w:tcBorders>
            <w:noWrap/>
            <w:vAlign w:val="center"/>
            <w:hideMark/>
          </w:tcPr>
          <w:p w14:paraId="26392A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JESENIŠKIH ŠTUDENTOV</w:t>
            </w:r>
          </w:p>
        </w:tc>
      </w:tr>
      <w:tr w:rsidR="00F24E18" w14:paraId="006788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D7CC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492</w:t>
            </w:r>
          </w:p>
        </w:tc>
        <w:tc>
          <w:tcPr>
            <w:tcW w:w="1300" w:type="dxa"/>
            <w:tcBorders>
              <w:top w:val="nil"/>
              <w:left w:val="nil"/>
              <w:bottom w:val="single" w:sz="4" w:space="0" w:color="auto"/>
              <w:right w:val="single" w:sz="4" w:space="0" w:color="auto"/>
            </w:tcBorders>
            <w:noWrap/>
            <w:vAlign w:val="center"/>
            <w:hideMark/>
          </w:tcPr>
          <w:p w14:paraId="5CBD4C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5737770000</w:t>
            </w:r>
          </w:p>
        </w:tc>
        <w:tc>
          <w:tcPr>
            <w:tcW w:w="1012" w:type="dxa"/>
            <w:tcBorders>
              <w:top w:val="nil"/>
              <w:left w:val="nil"/>
              <w:bottom w:val="single" w:sz="4" w:space="0" w:color="auto"/>
              <w:right w:val="single" w:sz="4" w:space="0" w:color="auto"/>
            </w:tcBorders>
            <w:noWrap/>
            <w:vAlign w:val="center"/>
            <w:hideMark/>
          </w:tcPr>
          <w:p w14:paraId="651A48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47631384</w:t>
            </w:r>
          </w:p>
        </w:tc>
        <w:tc>
          <w:tcPr>
            <w:tcW w:w="5953" w:type="dxa"/>
            <w:tcBorders>
              <w:top w:val="nil"/>
              <w:left w:val="nil"/>
              <w:bottom w:val="single" w:sz="4" w:space="0" w:color="auto"/>
              <w:right w:val="single" w:sz="4" w:space="0" w:color="auto"/>
            </w:tcBorders>
            <w:noWrap/>
            <w:vAlign w:val="center"/>
            <w:hideMark/>
          </w:tcPr>
          <w:p w14:paraId="3C5ABF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KOROŠKIH ŠTUDENTOV</w:t>
            </w:r>
          </w:p>
        </w:tc>
      </w:tr>
      <w:tr w:rsidR="00F24E18" w14:paraId="44D642C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E62A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493</w:t>
            </w:r>
          </w:p>
        </w:tc>
        <w:tc>
          <w:tcPr>
            <w:tcW w:w="1300" w:type="dxa"/>
            <w:tcBorders>
              <w:top w:val="nil"/>
              <w:left w:val="nil"/>
              <w:bottom w:val="single" w:sz="4" w:space="0" w:color="auto"/>
              <w:right w:val="single" w:sz="4" w:space="0" w:color="auto"/>
            </w:tcBorders>
            <w:noWrap/>
            <w:vAlign w:val="center"/>
            <w:hideMark/>
          </w:tcPr>
          <w:p w14:paraId="7F03DE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1161733000</w:t>
            </w:r>
          </w:p>
        </w:tc>
        <w:tc>
          <w:tcPr>
            <w:tcW w:w="1012" w:type="dxa"/>
            <w:tcBorders>
              <w:top w:val="nil"/>
              <w:left w:val="nil"/>
              <w:bottom w:val="single" w:sz="4" w:space="0" w:color="auto"/>
              <w:right w:val="single" w:sz="4" w:space="0" w:color="auto"/>
            </w:tcBorders>
            <w:noWrap/>
            <w:vAlign w:val="center"/>
            <w:hideMark/>
          </w:tcPr>
          <w:p w14:paraId="527AA9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48463124</w:t>
            </w:r>
          </w:p>
        </w:tc>
        <w:tc>
          <w:tcPr>
            <w:tcW w:w="5953" w:type="dxa"/>
            <w:tcBorders>
              <w:top w:val="nil"/>
              <w:left w:val="nil"/>
              <w:bottom w:val="single" w:sz="4" w:space="0" w:color="auto"/>
              <w:right w:val="single" w:sz="4" w:space="0" w:color="auto"/>
            </w:tcBorders>
            <w:noWrap/>
            <w:vAlign w:val="center"/>
            <w:hideMark/>
          </w:tcPr>
          <w:p w14:paraId="46C313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LITIJSKIH IN ŠMARSKIH ŠTUDENTOV</w:t>
            </w:r>
          </w:p>
        </w:tc>
      </w:tr>
      <w:tr w:rsidR="00F24E18" w14:paraId="47CDE1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CC23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494</w:t>
            </w:r>
          </w:p>
        </w:tc>
        <w:tc>
          <w:tcPr>
            <w:tcW w:w="1300" w:type="dxa"/>
            <w:tcBorders>
              <w:top w:val="nil"/>
              <w:left w:val="nil"/>
              <w:bottom w:val="single" w:sz="4" w:space="0" w:color="auto"/>
              <w:right w:val="single" w:sz="4" w:space="0" w:color="auto"/>
            </w:tcBorders>
            <w:noWrap/>
            <w:vAlign w:val="center"/>
            <w:hideMark/>
          </w:tcPr>
          <w:p w14:paraId="346D9A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1047876000</w:t>
            </w:r>
          </w:p>
        </w:tc>
        <w:tc>
          <w:tcPr>
            <w:tcW w:w="1012" w:type="dxa"/>
            <w:tcBorders>
              <w:top w:val="nil"/>
              <w:left w:val="nil"/>
              <w:bottom w:val="single" w:sz="4" w:space="0" w:color="auto"/>
              <w:right w:val="single" w:sz="4" w:space="0" w:color="auto"/>
            </w:tcBorders>
            <w:noWrap/>
            <w:vAlign w:val="center"/>
            <w:hideMark/>
          </w:tcPr>
          <w:p w14:paraId="6BBD0E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56122934</w:t>
            </w:r>
          </w:p>
        </w:tc>
        <w:tc>
          <w:tcPr>
            <w:tcW w:w="5953" w:type="dxa"/>
            <w:tcBorders>
              <w:top w:val="nil"/>
              <w:left w:val="nil"/>
              <w:bottom w:val="single" w:sz="4" w:space="0" w:color="auto"/>
              <w:right w:val="single" w:sz="4" w:space="0" w:color="auto"/>
            </w:tcBorders>
            <w:noWrap/>
            <w:vAlign w:val="center"/>
            <w:hideMark/>
          </w:tcPr>
          <w:p w14:paraId="4EEF27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MARIBORSKIH ŠTUDENTOV</w:t>
            </w:r>
          </w:p>
        </w:tc>
      </w:tr>
      <w:tr w:rsidR="00F24E18" w14:paraId="73C153E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4C42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495</w:t>
            </w:r>
          </w:p>
        </w:tc>
        <w:tc>
          <w:tcPr>
            <w:tcW w:w="1300" w:type="dxa"/>
            <w:tcBorders>
              <w:top w:val="nil"/>
              <w:left w:val="nil"/>
              <w:bottom w:val="single" w:sz="4" w:space="0" w:color="auto"/>
              <w:right w:val="single" w:sz="4" w:space="0" w:color="auto"/>
            </w:tcBorders>
            <w:noWrap/>
            <w:vAlign w:val="center"/>
            <w:hideMark/>
          </w:tcPr>
          <w:p w14:paraId="489356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5650909000</w:t>
            </w:r>
          </w:p>
        </w:tc>
        <w:tc>
          <w:tcPr>
            <w:tcW w:w="1012" w:type="dxa"/>
            <w:tcBorders>
              <w:top w:val="nil"/>
              <w:left w:val="nil"/>
              <w:bottom w:val="single" w:sz="4" w:space="0" w:color="auto"/>
              <w:right w:val="single" w:sz="4" w:space="0" w:color="auto"/>
            </w:tcBorders>
            <w:noWrap/>
            <w:vAlign w:val="center"/>
            <w:hideMark/>
          </w:tcPr>
          <w:p w14:paraId="575AB4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50923684</w:t>
            </w:r>
          </w:p>
        </w:tc>
        <w:tc>
          <w:tcPr>
            <w:tcW w:w="5953" w:type="dxa"/>
            <w:tcBorders>
              <w:top w:val="nil"/>
              <w:left w:val="nil"/>
              <w:bottom w:val="single" w:sz="4" w:space="0" w:color="auto"/>
              <w:right w:val="single" w:sz="4" w:space="0" w:color="auto"/>
            </w:tcBorders>
            <w:noWrap/>
            <w:vAlign w:val="center"/>
            <w:hideMark/>
          </w:tcPr>
          <w:p w14:paraId="4DD808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ORMOŠKIH ŠTUDENTOV</w:t>
            </w:r>
          </w:p>
        </w:tc>
      </w:tr>
      <w:tr w:rsidR="00F24E18" w14:paraId="69269A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BD41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496</w:t>
            </w:r>
          </w:p>
        </w:tc>
        <w:tc>
          <w:tcPr>
            <w:tcW w:w="1300" w:type="dxa"/>
            <w:tcBorders>
              <w:top w:val="nil"/>
              <w:left w:val="nil"/>
              <w:bottom w:val="single" w:sz="4" w:space="0" w:color="auto"/>
              <w:right w:val="single" w:sz="4" w:space="0" w:color="auto"/>
            </w:tcBorders>
            <w:noWrap/>
            <w:vAlign w:val="center"/>
            <w:hideMark/>
          </w:tcPr>
          <w:p w14:paraId="2997F0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5978688000</w:t>
            </w:r>
          </w:p>
        </w:tc>
        <w:tc>
          <w:tcPr>
            <w:tcW w:w="1012" w:type="dxa"/>
            <w:tcBorders>
              <w:top w:val="nil"/>
              <w:left w:val="nil"/>
              <w:bottom w:val="single" w:sz="4" w:space="0" w:color="auto"/>
              <w:right w:val="single" w:sz="4" w:space="0" w:color="auto"/>
            </w:tcBorders>
            <w:noWrap/>
            <w:vAlign w:val="center"/>
            <w:hideMark/>
          </w:tcPr>
          <w:p w14:paraId="44F432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66700841</w:t>
            </w:r>
          </w:p>
        </w:tc>
        <w:tc>
          <w:tcPr>
            <w:tcW w:w="5953" w:type="dxa"/>
            <w:tcBorders>
              <w:top w:val="nil"/>
              <w:left w:val="nil"/>
              <w:bottom w:val="single" w:sz="4" w:space="0" w:color="auto"/>
              <w:right w:val="single" w:sz="4" w:space="0" w:color="auto"/>
            </w:tcBorders>
            <w:noWrap/>
            <w:vAlign w:val="center"/>
            <w:hideMark/>
          </w:tcPr>
          <w:p w14:paraId="6752A8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PTUJSKIH ŠTUDENTOV</w:t>
            </w:r>
          </w:p>
        </w:tc>
      </w:tr>
      <w:tr w:rsidR="00F24E18" w14:paraId="3CAF92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1378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497</w:t>
            </w:r>
          </w:p>
        </w:tc>
        <w:tc>
          <w:tcPr>
            <w:tcW w:w="1300" w:type="dxa"/>
            <w:tcBorders>
              <w:top w:val="nil"/>
              <w:left w:val="nil"/>
              <w:bottom w:val="single" w:sz="4" w:space="0" w:color="auto"/>
              <w:right w:val="single" w:sz="4" w:space="0" w:color="auto"/>
            </w:tcBorders>
            <w:noWrap/>
            <w:vAlign w:val="center"/>
            <w:hideMark/>
          </w:tcPr>
          <w:p w14:paraId="4AF73C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5569079000</w:t>
            </w:r>
          </w:p>
        </w:tc>
        <w:tc>
          <w:tcPr>
            <w:tcW w:w="1012" w:type="dxa"/>
            <w:tcBorders>
              <w:top w:val="nil"/>
              <w:left w:val="nil"/>
              <w:bottom w:val="single" w:sz="4" w:space="0" w:color="auto"/>
              <w:right w:val="single" w:sz="4" w:space="0" w:color="auto"/>
            </w:tcBorders>
            <w:noWrap/>
            <w:vAlign w:val="center"/>
            <w:hideMark/>
          </w:tcPr>
          <w:p w14:paraId="09D903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47890983</w:t>
            </w:r>
          </w:p>
        </w:tc>
        <w:tc>
          <w:tcPr>
            <w:tcW w:w="5953" w:type="dxa"/>
            <w:tcBorders>
              <w:top w:val="nil"/>
              <w:left w:val="nil"/>
              <w:bottom w:val="single" w:sz="4" w:space="0" w:color="auto"/>
              <w:right w:val="single" w:sz="4" w:space="0" w:color="auto"/>
            </w:tcBorders>
            <w:noWrap/>
            <w:vAlign w:val="center"/>
            <w:hideMark/>
          </w:tcPr>
          <w:p w14:paraId="657B0D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RADOVLJIŠKIH ŠTUDENTOV</w:t>
            </w:r>
          </w:p>
        </w:tc>
      </w:tr>
      <w:tr w:rsidR="00F24E18" w14:paraId="27B20CB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999A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498</w:t>
            </w:r>
          </w:p>
        </w:tc>
        <w:tc>
          <w:tcPr>
            <w:tcW w:w="1300" w:type="dxa"/>
            <w:tcBorders>
              <w:top w:val="nil"/>
              <w:left w:val="nil"/>
              <w:bottom w:val="single" w:sz="4" w:space="0" w:color="auto"/>
              <w:right w:val="single" w:sz="4" w:space="0" w:color="auto"/>
            </w:tcBorders>
            <w:noWrap/>
            <w:vAlign w:val="center"/>
            <w:hideMark/>
          </w:tcPr>
          <w:p w14:paraId="3DBFB9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5192897000</w:t>
            </w:r>
          </w:p>
        </w:tc>
        <w:tc>
          <w:tcPr>
            <w:tcW w:w="1012" w:type="dxa"/>
            <w:tcBorders>
              <w:top w:val="nil"/>
              <w:left w:val="nil"/>
              <w:bottom w:val="single" w:sz="4" w:space="0" w:color="auto"/>
              <w:right w:val="single" w:sz="4" w:space="0" w:color="auto"/>
            </w:tcBorders>
            <w:noWrap/>
            <w:vAlign w:val="center"/>
            <w:hideMark/>
          </w:tcPr>
          <w:p w14:paraId="7F38A6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17688272</w:t>
            </w:r>
          </w:p>
        </w:tc>
        <w:tc>
          <w:tcPr>
            <w:tcW w:w="5953" w:type="dxa"/>
            <w:tcBorders>
              <w:top w:val="nil"/>
              <w:left w:val="nil"/>
              <w:bottom w:val="single" w:sz="4" w:space="0" w:color="auto"/>
              <w:right w:val="single" w:sz="4" w:space="0" w:color="auto"/>
            </w:tcBorders>
            <w:noWrap/>
            <w:vAlign w:val="center"/>
            <w:hideMark/>
          </w:tcPr>
          <w:p w14:paraId="3B46D6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ŠKOFJELOŠKIH ŠTUDENTOV ŠKOFJA LOKA</w:t>
            </w:r>
          </w:p>
        </w:tc>
      </w:tr>
      <w:tr w:rsidR="00F24E18" w14:paraId="53BC21A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9E7E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499</w:t>
            </w:r>
          </w:p>
        </w:tc>
        <w:tc>
          <w:tcPr>
            <w:tcW w:w="1300" w:type="dxa"/>
            <w:tcBorders>
              <w:top w:val="nil"/>
              <w:left w:val="nil"/>
              <w:bottom w:val="single" w:sz="4" w:space="0" w:color="auto"/>
              <w:right w:val="single" w:sz="4" w:space="0" w:color="auto"/>
            </w:tcBorders>
            <w:noWrap/>
            <w:vAlign w:val="center"/>
            <w:hideMark/>
          </w:tcPr>
          <w:p w14:paraId="7F6513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5937655000</w:t>
            </w:r>
          </w:p>
        </w:tc>
        <w:tc>
          <w:tcPr>
            <w:tcW w:w="1012" w:type="dxa"/>
            <w:tcBorders>
              <w:top w:val="nil"/>
              <w:left w:val="nil"/>
              <w:bottom w:val="single" w:sz="4" w:space="0" w:color="auto"/>
              <w:right w:val="single" w:sz="4" w:space="0" w:color="auto"/>
            </w:tcBorders>
            <w:noWrap/>
            <w:vAlign w:val="center"/>
            <w:hideMark/>
          </w:tcPr>
          <w:p w14:paraId="63A667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92886256</w:t>
            </w:r>
          </w:p>
        </w:tc>
        <w:tc>
          <w:tcPr>
            <w:tcW w:w="5953" w:type="dxa"/>
            <w:tcBorders>
              <w:top w:val="nil"/>
              <w:left w:val="nil"/>
              <w:bottom w:val="single" w:sz="4" w:space="0" w:color="auto"/>
              <w:right w:val="single" w:sz="4" w:space="0" w:color="auto"/>
            </w:tcBorders>
            <w:noWrap/>
            <w:vAlign w:val="center"/>
            <w:hideMark/>
          </w:tcPr>
          <w:p w14:paraId="01E546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ILIRSKA BISTRICA</w:t>
            </w:r>
          </w:p>
        </w:tc>
      </w:tr>
      <w:tr w:rsidR="00F24E18" w14:paraId="59A5B4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63FC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500</w:t>
            </w:r>
          </w:p>
        </w:tc>
        <w:tc>
          <w:tcPr>
            <w:tcW w:w="1300" w:type="dxa"/>
            <w:tcBorders>
              <w:top w:val="nil"/>
              <w:left w:val="nil"/>
              <w:bottom w:val="single" w:sz="4" w:space="0" w:color="auto"/>
              <w:right w:val="single" w:sz="4" w:space="0" w:color="auto"/>
            </w:tcBorders>
            <w:noWrap/>
            <w:vAlign w:val="center"/>
            <w:hideMark/>
          </w:tcPr>
          <w:p w14:paraId="5DE736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5414725000</w:t>
            </w:r>
          </w:p>
        </w:tc>
        <w:tc>
          <w:tcPr>
            <w:tcW w:w="1012" w:type="dxa"/>
            <w:tcBorders>
              <w:top w:val="nil"/>
              <w:left w:val="nil"/>
              <w:bottom w:val="single" w:sz="4" w:space="0" w:color="auto"/>
              <w:right w:val="single" w:sz="4" w:space="0" w:color="auto"/>
            </w:tcBorders>
            <w:noWrap/>
            <w:vAlign w:val="center"/>
            <w:hideMark/>
          </w:tcPr>
          <w:p w14:paraId="0A2FD0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72728019</w:t>
            </w:r>
          </w:p>
        </w:tc>
        <w:tc>
          <w:tcPr>
            <w:tcW w:w="5953" w:type="dxa"/>
            <w:tcBorders>
              <w:top w:val="nil"/>
              <w:left w:val="nil"/>
              <w:bottom w:val="single" w:sz="4" w:space="0" w:color="auto"/>
              <w:right w:val="single" w:sz="4" w:space="0" w:color="auto"/>
            </w:tcBorders>
            <w:noWrap/>
            <w:vAlign w:val="center"/>
            <w:hideMark/>
          </w:tcPr>
          <w:p w14:paraId="6762F0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KRANJ</w:t>
            </w:r>
          </w:p>
        </w:tc>
      </w:tr>
      <w:tr w:rsidR="00F24E18" w14:paraId="78D7CC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FF53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w:t>
            </w:r>
          </w:p>
        </w:tc>
        <w:tc>
          <w:tcPr>
            <w:tcW w:w="1300" w:type="dxa"/>
            <w:tcBorders>
              <w:top w:val="nil"/>
              <w:left w:val="nil"/>
              <w:bottom w:val="single" w:sz="4" w:space="0" w:color="auto"/>
              <w:right w:val="single" w:sz="4" w:space="0" w:color="auto"/>
            </w:tcBorders>
            <w:noWrap/>
            <w:vAlign w:val="center"/>
            <w:hideMark/>
          </w:tcPr>
          <w:p w14:paraId="123C1E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1163329000</w:t>
            </w:r>
          </w:p>
        </w:tc>
        <w:tc>
          <w:tcPr>
            <w:tcW w:w="1012" w:type="dxa"/>
            <w:tcBorders>
              <w:top w:val="nil"/>
              <w:left w:val="nil"/>
              <w:bottom w:val="single" w:sz="4" w:space="0" w:color="auto"/>
              <w:right w:val="single" w:sz="4" w:space="0" w:color="auto"/>
            </w:tcBorders>
            <w:noWrap/>
            <w:vAlign w:val="center"/>
            <w:hideMark/>
          </w:tcPr>
          <w:p w14:paraId="275D83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85468622</w:t>
            </w:r>
          </w:p>
        </w:tc>
        <w:tc>
          <w:tcPr>
            <w:tcW w:w="5953" w:type="dxa"/>
            <w:tcBorders>
              <w:top w:val="nil"/>
              <w:left w:val="nil"/>
              <w:bottom w:val="single" w:sz="4" w:space="0" w:color="auto"/>
              <w:right w:val="single" w:sz="4" w:space="0" w:color="auto"/>
            </w:tcBorders>
            <w:noWrap/>
            <w:vAlign w:val="center"/>
            <w:hideMark/>
          </w:tcPr>
          <w:p w14:paraId="49811A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LENDAVA - A LENDVAI EGYETEMISTÁK KLUBJA</w:t>
            </w:r>
          </w:p>
        </w:tc>
      </w:tr>
      <w:tr w:rsidR="00F24E18" w14:paraId="14E237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D5FB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w:t>
            </w:r>
          </w:p>
        </w:tc>
        <w:tc>
          <w:tcPr>
            <w:tcW w:w="1300" w:type="dxa"/>
            <w:tcBorders>
              <w:top w:val="nil"/>
              <w:left w:val="nil"/>
              <w:bottom w:val="single" w:sz="4" w:space="0" w:color="auto"/>
              <w:right w:val="single" w:sz="4" w:space="0" w:color="auto"/>
            </w:tcBorders>
            <w:noWrap/>
            <w:vAlign w:val="center"/>
            <w:hideMark/>
          </w:tcPr>
          <w:p w14:paraId="711D2D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5960959000</w:t>
            </w:r>
          </w:p>
        </w:tc>
        <w:tc>
          <w:tcPr>
            <w:tcW w:w="1012" w:type="dxa"/>
            <w:tcBorders>
              <w:top w:val="nil"/>
              <w:left w:val="nil"/>
              <w:bottom w:val="single" w:sz="4" w:space="0" w:color="auto"/>
              <w:right w:val="single" w:sz="4" w:space="0" w:color="auto"/>
            </w:tcBorders>
            <w:vAlign w:val="center"/>
            <w:hideMark/>
          </w:tcPr>
          <w:p w14:paraId="075BA1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15749401</w:t>
            </w:r>
          </w:p>
        </w:tc>
        <w:tc>
          <w:tcPr>
            <w:tcW w:w="5953" w:type="dxa"/>
            <w:tcBorders>
              <w:top w:val="nil"/>
              <w:left w:val="nil"/>
              <w:bottom w:val="single" w:sz="4" w:space="0" w:color="auto"/>
              <w:right w:val="single" w:sz="4" w:space="0" w:color="auto"/>
            </w:tcBorders>
            <w:noWrap/>
            <w:vAlign w:val="center"/>
            <w:hideMark/>
          </w:tcPr>
          <w:p w14:paraId="6154FF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OBČIN POSTOJNA IN PIVKA</w:t>
            </w:r>
          </w:p>
        </w:tc>
      </w:tr>
      <w:tr w:rsidR="00F24E18" w14:paraId="4433E8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8412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w:t>
            </w:r>
          </w:p>
        </w:tc>
        <w:tc>
          <w:tcPr>
            <w:tcW w:w="1300" w:type="dxa"/>
            <w:tcBorders>
              <w:top w:val="nil"/>
              <w:left w:val="nil"/>
              <w:bottom w:val="single" w:sz="4" w:space="0" w:color="auto"/>
              <w:right w:val="single" w:sz="4" w:space="0" w:color="auto"/>
            </w:tcBorders>
            <w:noWrap/>
            <w:vAlign w:val="center"/>
            <w:hideMark/>
          </w:tcPr>
          <w:p w14:paraId="76D361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1643096000</w:t>
            </w:r>
          </w:p>
        </w:tc>
        <w:tc>
          <w:tcPr>
            <w:tcW w:w="1012" w:type="dxa"/>
            <w:tcBorders>
              <w:top w:val="nil"/>
              <w:left w:val="nil"/>
              <w:bottom w:val="single" w:sz="4" w:space="0" w:color="auto"/>
              <w:right w:val="single" w:sz="4" w:space="0" w:color="auto"/>
            </w:tcBorders>
            <w:noWrap/>
            <w:vAlign w:val="center"/>
            <w:hideMark/>
          </w:tcPr>
          <w:p w14:paraId="2647A9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11365765</w:t>
            </w:r>
          </w:p>
        </w:tc>
        <w:tc>
          <w:tcPr>
            <w:tcW w:w="5953" w:type="dxa"/>
            <w:tcBorders>
              <w:top w:val="nil"/>
              <w:left w:val="nil"/>
              <w:bottom w:val="single" w:sz="4" w:space="0" w:color="auto"/>
              <w:right w:val="single" w:sz="4" w:space="0" w:color="auto"/>
            </w:tcBorders>
            <w:noWrap/>
            <w:vAlign w:val="center"/>
            <w:hideMark/>
          </w:tcPr>
          <w:p w14:paraId="264BC7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OBČINE CELJE</w:t>
            </w:r>
          </w:p>
        </w:tc>
      </w:tr>
      <w:tr w:rsidR="00F24E18" w14:paraId="30C7EC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68AD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w:t>
            </w:r>
          </w:p>
        </w:tc>
        <w:tc>
          <w:tcPr>
            <w:tcW w:w="1300" w:type="dxa"/>
            <w:tcBorders>
              <w:top w:val="nil"/>
              <w:left w:val="nil"/>
              <w:bottom w:val="single" w:sz="4" w:space="0" w:color="auto"/>
              <w:right w:val="single" w:sz="4" w:space="0" w:color="auto"/>
            </w:tcBorders>
            <w:noWrap/>
            <w:vAlign w:val="center"/>
            <w:hideMark/>
          </w:tcPr>
          <w:p w14:paraId="48CAB8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5828147000</w:t>
            </w:r>
          </w:p>
        </w:tc>
        <w:tc>
          <w:tcPr>
            <w:tcW w:w="1012" w:type="dxa"/>
            <w:tcBorders>
              <w:top w:val="nil"/>
              <w:left w:val="nil"/>
              <w:bottom w:val="single" w:sz="4" w:space="0" w:color="auto"/>
              <w:right w:val="single" w:sz="4" w:space="0" w:color="auto"/>
            </w:tcBorders>
            <w:vAlign w:val="center"/>
            <w:hideMark/>
          </w:tcPr>
          <w:p w14:paraId="241501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47342617</w:t>
            </w:r>
          </w:p>
        </w:tc>
        <w:tc>
          <w:tcPr>
            <w:tcW w:w="5953" w:type="dxa"/>
            <w:tcBorders>
              <w:top w:val="nil"/>
              <w:left w:val="nil"/>
              <w:bottom w:val="single" w:sz="4" w:space="0" w:color="auto"/>
              <w:right w:val="single" w:sz="4" w:space="0" w:color="auto"/>
            </w:tcBorders>
            <w:noWrap/>
            <w:vAlign w:val="center"/>
            <w:hideMark/>
          </w:tcPr>
          <w:p w14:paraId="54E002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OBČINE KOPER - CLUB DEGLI STUDENTI DEL COMUNE DI CAPODISTRIA</w:t>
            </w:r>
          </w:p>
        </w:tc>
      </w:tr>
      <w:tr w:rsidR="00F24E18" w14:paraId="600A6FE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B86E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w:t>
            </w:r>
          </w:p>
        </w:tc>
        <w:tc>
          <w:tcPr>
            <w:tcW w:w="1300" w:type="dxa"/>
            <w:tcBorders>
              <w:top w:val="nil"/>
              <w:left w:val="nil"/>
              <w:bottom w:val="single" w:sz="4" w:space="0" w:color="auto"/>
              <w:right w:val="single" w:sz="4" w:space="0" w:color="auto"/>
            </w:tcBorders>
            <w:noWrap/>
            <w:vAlign w:val="center"/>
            <w:hideMark/>
          </w:tcPr>
          <w:p w14:paraId="3E74A1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5669774000</w:t>
            </w:r>
          </w:p>
        </w:tc>
        <w:tc>
          <w:tcPr>
            <w:tcW w:w="1012" w:type="dxa"/>
            <w:tcBorders>
              <w:top w:val="nil"/>
              <w:left w:val="nil"/>
              <w:bottom w:val="single" w:sz="4" w:space="0" w:color="auto"/>
              <w:right w:val="single" w:sz="4" w:space="0" w:color="auto"/>
            </w:tcBorders>
            <w:noWrap/>
            <w:vAlign w:val="center"/>
            <w:hideMark/>
          </w:tcPr>
          <w:p w14:paraId="1B5488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63158957</w:t>
            </w:r>
          </w:p>
        </w:tc>
        <w:tc>
          <w:tcPr>
            <w:tcW w:w="5953" w:type="dxa"/>
            <w:tcBorders>
              <w:top w:val="nil"/>
              <w:left w:val="nil"/>
              <w:bottom w:val="single" w:sz="4" w:space="0" w:color="auto"/>
              <w:right w:val="single" w:sz="4" w:space="0" w:color="auto"/>
            </w:tcBorders>
            <w:noWrap/>
            <w:vAlign w:val="center"/>
            <w:hideMark/>
          </w:tcPr>
          <w:p w14:paraId="1500F0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OBČINE PIRAN - CLUB DEGLI STUDENTI DEL COMUNE DI PIRANO</w:t>
            </w:r>
          </w:p>
        </w:tc>
      </w:tr>
      <w:tr w:rsidR="00F24E18" w14:paraId="4C6AA9A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7483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w:t>
            </w:r>
          </w:p>
        </w:tc>
        <w:tc>
          <w:tcPr>
            <w:tcW w:w="1300" w:type="dxa"/>
            <w:tcBorders>
              <w:top w:val="nil"/>
              <w:left w:val="nil"/>
              <w:bottom w:val="single" w:sz="4" w:space="0" w:color="auto"/>
              <w:right w:val="single" w:sz="4" w:space="0" w:color="auto"/>
            </w:tcBorders>
            <w:noWrap/>
            <w:vAlign w:val="center"/>
            <w:hideMark/>
          </w:tcPr>
          <w:p w14:paraId="0FE3E7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5810566000</w:t>
            </w:r>
          </w:p>
        </w:tc>
        <w:tc>
          <w:tcPr>
            <w:tcW w:w="1012" w:type="dxa"/>
            <w:tcBorders>
              <w:top w:val="nil"/>
              <w:left w:val="nil"/>
              <w:bottom w:val="single" w:sz="4" w:space="0" w:color="auto"/>
              <w:right w:val="single" w:sz="4" w:space="0" w:color="auto"/>
            </w:tcBorders>
            <w:noWrap/>
            <w:vAlign w:val="center"/>
            <w:hideMark/>
          </w:tcPr>
          <w:p w14:paraId="352F95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57985979</w:t>
            </w:r>
          </w:p>
        </w:tc>
        <w:tc>
          <w:tcPr>
            <w:tcW w:w="5953" w:type="dxa"/>
            <w:tcBorders>
              <w:top w:val="nil"/>
              <w:left w:val="nil"/>
              <w:bottom w:val="single" w:sz="4" w:space="0" w:color="auto"/>
              <w:right w:val="single" w:sz="4" w:space="0" w:color="auto"/>
            </w:tcBorders>
            <w:noWrap/>
            <w:vAlign w:val="center"/>
            <w:hideMark/>
          </w:tcPr>
          <w:p w14:paraId="7D8E05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OBČINE TREBNJE</w:t>
            </w:r>
          </w:p>
        </w:tc>
      </w:tr>
      <w:tr w:rsidR="00F24E18" w14:paraId="475045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FB5E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w:t>
            </w:r>
          </w:p>
        </w:tc>
        <w:tc>
          <w:tcPr>
            <w:tcW w:w="1300" w:type="dxa"/>
            <w:tcBorders>
              <w:top w:val="nil"/>
              <w:left w:val="nil"/>
              <w:bottom w:val="single" w:sz="4" w:space="0" w:color="auto"/>
              <w:right w:val="single" w:sz="4" w:space="0" w:color="auto"/>
            </w:tcBorders>
            <w:noWrap/>
            <w:vAlign w:val="center"/>
            <w:hideMark/>
          </w:tcPr>
          <w:p w14:paraId="7077B1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5697026000</w:t>
            </w:r>
          </w:p>
        </w:tc>
        <w:tc>
          <w:tcPr>
            <w:tcW w:w="1012" w:type="dxa"/>
            <w:tcBorders>
              <w:top w:val="nil"/>
              <w:left w:val="nil"/>
              <w:bottom w:val="single" w:sz="4" w:space="0" w:color="auto"/>
              <w:right w:val="single" w:sz="4" w:space="0" w:color="auto"/>
            </w:tcBorders>
            <w:noWrap/>
            <w:vAlign w:val="center"/>
            <w:hideMark/>
          </w:tcPr>
          <w:p w14:paraId="3AF1BC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77595157</w:t>
            </w:r>
          </w:p>
        </w:tc>
        <w:tc>
          <w:tcPr>
            <w:tcW w:w="5953" w:type="dxa"/>
            <w:tcBorders>
              <w:top w:val="nil"/>
              <w:left w:val="nil"/>
              <w:bottom w:val="single" w:sz="4" w:space="0" w:color="auto"/>
              <w:right w:val="single" w:sz="4" w:space="0" w:color="auto"/>
            </w:tcBorders>
            <w:noWrap/>
            <w:vAlign w:val="center"/>
            <w:hideMark/>
          </w:tcPr>
          <w:p w14:paraId="66E3AC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SEŽANA</w:t>
            </w:r>
          </w:p>
        </w:tc>
      </w:tr>
      <w:tr w:rsidR="00F24E18" w14:paraId="4BBA7A9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7A0C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w:t>
            </w:r>
          </w:p>
        </w:tc>
        <w:tc>
          <w:tcPr>
            <w:tcW w:w="1300" w:type="dxa"/>
            <w:tcBorders>
              <w:top w:val="nil"/>
              <w:left w:val="nil"/>
              <w:bottom w:val="single" w:sz="4" w:space="0" w:color="auto"/>
              <w:right w:val="single" w:sz="4" w:space="0" w:color="auto"/>
            </w:tcBorders>
            <w:noWrap/>
            <w:vAlign w:val="center"/>
            <w:hideMark/>
          </w:tcPr>
          <w:p w14:paraId="7E3BF6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5877342000</w:t>
            </w:r>
          </w:p>
        </w:tc>
        <w:tc>
          <w:tcPr>
            <w:tcW w:w="1012" w:type="dxa"/>
            <w:tcBorders>
              <w:top w:val="nil"/>
              <w:left w:val="nil"/>
              <w:bottom w:val="single" w:sz="4" w:space="0" w:color="auto"/>
              <w:right w:val="single" w:sz="4" w:space="0" w:color="auto"/>
            </w:tcBorders>
            <w:noWrap/>
            <w:vAlign w:val="center"/>
            <w:hideMark/>
          </w:tcPr>
          <w:p w14:paraId="5D7280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71800085</w:t>
            </w:r>
          </w:p>
        </w:tc>
        <w:tc>
          <w:tcPr>
            <w:tcW w:w="5953" w:type="dxa"/>
            <w:tcBorders>
              <w:top w:val="nil"/>
              <w:left w:val="nil"/>
              <w:bottom w:val="single" w:sz="4" w:space="0" w:color="auto"/>
              <w:right w:val="single" w:sz="4" w:space="0" w:color="auto"/>
            </w:tcBorders>
            <w:noWrap/>
            <w:vAlign w:val="center"/>
            <w:hideMark/>
          </w:tcPr>
          <w:p w14:paraId="0CB661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ŠTUDENTOV SLOVENSKA BISTRICA</w:t>
            </w:r>
          </w:p>
        </w:tc>
      </w:tr>
      <w:tr w:rsidR="00F24E18" w14:paraId="599378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FE20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w:t>
            </w:r>
          </w:p>
        </w:tc>
        <w:tc>
          <w:tcPr>
            <w:tcW w:w="1300" w:type="dxa"/>
            <w:tcBorders>
              <w:top w:val="nil"/>
              <w:left w:val="nil"/>
              <w:bottom w:val="single" w:sz="4" w:space="0" w:color="auto"/>
              <w:right w:val="single" w:sz="4" w:space="0" w:color="auto"/>
            </w:tcBorders>
            <w:noWrap/>
            <w:vAlign w:val="center"/>
            <w:hideMark/>
          </w:tcPr>
          <w:p w14:paraId="6F3049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5614651000</w:t>
            </w:r>
          </w:p>
        </w:tc>
        <w:tc>
          <w:tcPr>
            <w:tcW w:w="1012" w:type="dxa"/>
            <w:tcBorders>
              <w:top w:val="nil"/>
              <w:left w:val="nil"/>
              <w:bottom w:val="single" w:sz="4" w:space="0" w:color="auto"/>
              <w:right w:val="single" w:sz="4" w:space="0" w:color="auto"/>
            </w:tcBorders>
            <w:noWrap/>
            <w:vAlign w:val="center"/>
            <w:hideMark/>
          </w:tcPr>
          <w:p w14:paraId="2A8A20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35134232</w:t>
            </w:r>
          </w:p>
        </w:tc>
        <w:tc>
          <w:tcPr>
            <w:tcW w:w="5953" w:type="dxa"/>
            <w:tcBorders>
              <w:top w:val="nil"/>
              <w:left w:val="nil"/>
              <w:bottom w:val="single" w:sz="4" w:space="0" w:color="auto"/>
              <w:right w:val="single" w:sz="4" w:space="0" w:color="auto"/>
            </w:tcBorders>
            <w:noWrap/>
            <w:vAlign w:val="center"/>
            <w:hideMark/>
          </w:tcPr>
          <w:p w14:paraId="10098D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TOLMINSKIH ŠTUDENTOV</w:t>
            </w:r>
          </w:p>
        </w:tc>
      </w:tr>
      <w:tr w:rsidR="00F24E18" w14:paraId="02B6B3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7FC9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w:t>
            </w:r>
          </w:p>
        </w:tc>
        <w:tc>
          <w:tcPr>
            <w:tcW w:w="1300" w:type="dxa"/>
            <w:tcBorders>
              <w:top w:val="nil"/>
              <w:left w:val="nil"/>
              <w:bottom w:val="single" w:sz="4" w:space="0" w:color="auto"/>
              <w:right w:val="single" w:sz="4" w:space="0" w:color="auto"/>
            </w:tcBorders>
            <w:noWrap/>
            <w:vAlign w:val="center"/>
            <w:hideMark/>
          </w:tcPr>
          <w:p w14:paraId="065222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5614597000</w:t>
            </w:r>
          </w:p>
        </w:tc>
        <w:tc>
          <w:tcPr>
            <w:tcW w:w="1012" w:type="dxa"/>
            <w:tcBorders>
              <w:top w:val="nil"/>
              <w:left w:val="nil"/>
              <w:bottom w:val="single" w:sz="4" w:space="0" w:color="auto"/>
              <w:right w:val="single" w:sz="4" w:space="0" w:color="auto"/>
            </w:tcBorders>
            <w:noWrap/>
            <w:vAlign w:val="center"/>
            <w:hideMark/>
          </w:tcPr>
          <w:p w14:paraId="1802ED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95641874</w:t>
            </w:r>
          </w:p>
        </w:tc>
        <w:tc>
          <w:tcPr>
            <w:tcW w:w="5953" w:type="dxa"/>
            <w:tcBorders>
              <w:top w:val="nil"/>
              <w:left w:val="nil"/>
              <w:bottom w:val="single" w:sz="4" w:space="0" w:color="auto"/>
              <w:right w:val="single" w:sz="4" w:space="0" w:color="auto"/>
            </w:tcBorders>
            <w:noWrap/>
            <w:vAlign w:val="center"/>
            <w:hideMark/>
          </w:tcPr>
          <w:p w14:paraId="435A85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TRŽIŠKIH ŠTUDENTOV</w:t>
            </w:r>
          </w:p>
        </w:tc>
      </w:tr>
      <w:tr w:rsidR="00F24E18" w14:paraId="1911C5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0797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w:t>
            </w:r>
          </w:p>
        </w:tc>
        <w:tc>
          <w:tcPr>
            <w:tcW w:w="1300" w:type="dxa"/>
            <w:tcBorders>
              <w:top w:val="nil"/>
              <w:left w:val="nil"/>
              <w:bottom w:val="single" w:sz="4" w:space="0" w:color="auto"/>
              <w:right w:val="single" w:sz="4" w:space="0" w:color="auto"/>
            </w:tcBorders>
            <w:noWrap/>
            <w:vAlign w:val="center"/>
            <w:hideMark/>
          </w:tcPr>
          <w:p w14:paraId="5C5105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1051784000</w:t>
            </w:r>
          </w:p>
        </w:tc>
        <w:tc>
          <w:tcPr>
            <w:tcW w:w="1012" w:type="dxa"/>
            <w:tcBorders>
              <w:top w:val="nil"/>
              <w:left w:val="nil"/>
              <w:bottom w:val="single" w:sz="4" w:space="0" w:color="auto"/>
              <w:right w:val="single" w:sz="4" w:space="0" w:color="auto"/>
            </w:tcBorders>
            <w:noWrap/>
            <w:vAlign w:val="center"/>
            <w:hideMark/>
          </w:tcPr>
          <w:p w14:paraId="2B500C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38234394</w:t>
            </w:r>
          </w:p>
        </w:tc>
        <w:tc>
          <w:tcPr>
            <w:tcW w:w="5953" w:type="dxa"/>
            <w:tcBorders>
              <w:top w:val="nil"/>
              <w:left w:val="nil"/>
              <w:bottom w:val="single" w:sz="4" w:space="0" w:color="auto"/>
              <w:right w:val="single" w:sz="4" w:space="0" w:color="auto"/>
            </w:tcBorders>
            <w:noWrap/>
            <w:vAlign w:val="center"/>
            <w:hideMark/>
          </w:tcPr>
          <w:p w14:paraId="390BE9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VRHNIŠKIH ŠTUDENTOV</w:t>
            </w:r>
          </w:p>
        </w:tc>
      </w:tr>
      <w:tr w:rsidR="00F24E18" w14:paraId="5492437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C93C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w:t>
            </w:r>
          </w:p>
        </w:tc>
        <w:tc>
          <w:tcPr>
            <w:tcW w:w="1300" w:type="dxa"/>
            <w:tcBorders>
              <w:top w:val="nil"/>
              <w:left w:val="nil"/>
              <w:bottom w:val="single" w:sz="4" w:space="0" w:color="auto"/>
              <w:right w:val="single" w:sz="4" w:space="0" w:color="auto"/>
            </w:tcBorders>
            <w:noWrap/>
            <w:vAlign w:val="center"/>
            <w:hideMark/>
          </w:tcPr>
          <w:p w14:paraId="1815B9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1151851000</w:t>
            </w:r>
          </w:p>
        </w:tc>
        <w:tc>
          <w:tcPr>
            <w:tcW w:w="1012" w:type="dxa"/>
            <w:tcBorders>
              <w:top w:val="nil"/>
              <w:left w:val="nil"/>
              <w:bottom w:val="single" w:sz="4" w:space="0" w:color="auto"/>
              <w:right w:val="single" w:sz="4" w:space="0" w:color="auto"/>
            </w:tcBorders>
            <w:noWrap/>
            <w:vAlign w:val="center"/>
            <w:hideMark/>
          </w:tcPr>
          <w:p w14:paraId="1485BD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10760431</w:t>
            </w:r>
          </w:p>
        </w:tc>
        <w:tc>
          <w:tcPr>
            <w:tcW w:w="5953" w:type="dxa"/>
            <w:tcBorders>
              <w:top w:val="nil"/>
              <w:left w:val="nil"/>
              <w:bottom w:val="single" w:sz="4" w:space="0" w:color="auto"/>
              <w:right w:val="single" w:sz="4" w:space="0" w:color="auto"/>
            </w:tcBorders>
            <w:noWrap/>
            <w:vAlign w:val="center"/>
            <w:hideMark/>
          </w:tcPr>
          <w:p w14:paraId="69B80B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KLUB ZGORNJESAVINJSKIH ŠTUDENTOV</w:t>
            </w:r>
          </w:p>
        </w:tc>
      </w:tr>
      <w:tr w:rsidR="00F24E18" w14:paraId="342706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3254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w:t>
            </w:r>
          </w:p>
        </w:tc>
        <w:tc>
          <w:tcPr>
            <w:tcW w:w="1300" w:type="dxa"/>
            <w:tcBorders>
              <w:top w:val="nil"/>
              <w:left w:val="nil"/>
              <w:bottom w:val="single" w:sz="4" w:space="0" w:color="auto"/>
              <w:right w:val="single" w:sz="4" w:space="0" w:color="auto"/>
            </w:tcBorders>
            <w:vAlign w:val="center"/>
            <w:hideMark/>
          </w:tcPr>
          <w:p w14:paraId="47EBA4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5055431000</w:t>
            </w:r>
          </w:p>
        </w:tc>
        <w:tc>
          <w:tcPr>
            <w:tcW w:w="1012" w:type="dxa"/>
            <w:tcBorders>
              <w:top w:val="nil"/>
              <w:left w:val="nil"/>
              <w:bottom w:val="single" w:sz="4" w:space="0" w:color="auto"/>
              <w:right w:val="single" w:sz="4" w:space="0" w:color="auto"/>
            </w:tcBorders>
            <w:vAlign w:val="center"/>
            <w:hideMark/>
          </w:tcPr>
          <w:p w14:paraId="3606F1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23887729</w:t>
            </w:r>
          </w:p>
        </w:tc>
        <w:tc>
          <w:tcPr>
            <w:tcW w:w="5953" w:type="dxa"/>
            <w:tcBorders>
              <w:top w:val="nil"/>
              <w:left w:val="nil"/>
              <w:bottom w:val="single" w:sz="4" w:space="0" w:color="auto"/>
              <w:right w:val="single" w:sz="4" w:space="0" w:color="auto"/>
            </w:tcBorders>
            <w:noWrap/>
            <w:vAlign w:val="center"/>
            <w:hideMark/>
          </w:tcPr>
          <w:p w14:paraId="43732A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KMETIJSKI INŠTITUT SLOVENIJE</w:t>
            </w:r>
          </w:p>
        </w:tc>
      </w:tr>
      <w:tr w:rsidR="00F24E18" w14:paraId="5D7D2E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2B6F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w:t>
            </w:r>
          </w:p>
        </w:tc>
        <w:tc>
          <w:tcPr>
            <w:tcW w:w="1300" w:type="dxa"/>
            <w:tcBorders>
              <w:top w:val="nil"/>
              <w:left w:val="nil"/>
              <w:bottom w:val="single" w:sz="4" w:space="0" w:color="auto"/>
              <w:right w:val="single" w:sz="4" w:space="0" w:color="auto"/>
            </w:tcBorders>
            <w:vAlign w:val="center"/>
            <w:hideMark/>
          </w:tcPr>
          <w:p w14:paraId="154F52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1332848000</w:t>
            </w:r>
          </w:p>
        </w:tc>
        <w:tc>
          <w:tcPr>
            <w:tcW w:w="1012" w:type="dxa"/>
            <w:tcBorders>
              <w:top w:val="nil"/>
              <w:left w:val="nil"/>
              <w:bottom w:val="single" w:sz="4" w:space="0" w:color="auto"/>
              <w:right w:val="single" w:sz="4" w:space="0" w:color="auto"/>
            </w:tcBorders>
            <w:vAlign w:val="center"/>
            <w:hideMark/>
          </w:tcPr>
          <w:p w14:paraId="1F1F0A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47075406</w:t>
            </w:r>
          </w:p>
        </w:tc>
        <w:tc>
          <w:tcPr>
            <w:tcW w:w="5953" w:type="dxa"/>
            <w:tcBorders>
              <w:top w:val="nil"/>
              <w:left w:val="nil"/>
              <w:bottom w:val="single" w:sz="4" w:space="0" w:color="auto"/>
              <w:right w:val="single" w:sz="4" w:space="0" w:color="auto"/>
            </w:tcBorders>
            <w:noWrap/>
            <w:vAlign w:val="center"/>
            <w:hideMark/>
          </w:tcPr>
          <w:p w14:paraId="04EEF0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KMETIJSKO GOZDARSKA ZBORNICA SLOVENIJE</w:t>
            </w:r>
          </w:p>
        </w:tc>
      </w:tr>
      <w:tr w:rsidR="00F24E18" w14:paraId="784827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7341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515</w:t>
            </w:r>
          </w:p>
        </w:tc>
        <w:tc>
          <w:tcPr>
            <w:tcW w:w="1300" w:type="dxa"/>
            <w:tcBorders>
              <w:top w:val="nil"/>
              <w:left w:val="nil"/>
              <w:bottom w:val="single" w:sz="4" w:space="0" w:color="auto"/>
              <w:right w:val="single" w:sz="4" w:space="0" w:color="auto"/>
            </w:tcBorders>
            <w:noWrap/>
            <w:vAlign w:val="center"/>
            <w:hideMark/>
          </w:tcPr>
          <w:p w14:paraId="2EABDD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5151074000</w:t>
            </w:r>
          </w:p>
        </w:tc>
        <w:tc>
          <w:tcPr>
            <w:tcW w:w="1012" w:type="dxa"/>
            <w:tcBorders>
              <w:top w:val="nil"/>
              <w:left w:val="nil"/>
              <w:bottom w:val="single" w:sz="4" w:space="0" w:color="auto"/>
              <w:right w:val="single" w:sz="4" w:space="0" w:color="auto"/>
            </w:tcBorders>
            <w:noWrap/>
            <w:vAlign w:val="center"/>
            <w:hideMark/>
          </w:tcPr>
          <w:p w14:paraId="125576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91502543</w:t>
            </w:r>
          </w:p>
        </w:tc>
        <w:tc>
          <w:tcPr>
            <w:tcW w:w="5953" w:type="dxa"/>
            <w:tcBorders>
              <w:top w:val="nil"/>
              <w:left w:val="nil"/>
              <w:bottom w:val="single" w:sz="4" w:space="0" w:color="auto"/>
              <w:right w:val="single" w:sz="4" w:space="0" w:color="auto"/>
            </w:tcBorders>
            <w:noWrap/>
            <w:vAlign w:val="center"/>
            <w:hideMark/>
          </w:tcPr>
          <w:p w14:paraId="73B816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KMETIJSKO GOZDARSKA ZBORNICA SLOVENIJE KMETIJSKO GOZDARSKI ZAVOD KRANJ</w:t>
            </w:r>
          </w:p>
        </w:tc>
      </w:tr>
      <w:tr w:rsidR="00F24E18" w14:paraId="5E7577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11E9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w:t>
            </w:r>
          </w:p>
        </w:tc>
        <w:tc>
          <w:tcPr>
            <w:tcW w:w="1300" w:type="dxa"/>
            <w:tcBorders>
              <w:top w:val="nil"/>
              <w:left w:val="nil"/>
              <w:bottom w:val="single" w:sz="4" w:space="0" w:color="auto"/>
              <w:right w:val="single" w:sz="4" w:space="0" w:color="auto"/>
            </w:tcBorders>
            <w:noWrap/>
            <w:vAlign w:val="center"/>
            <w:hideMark/>
          </w:tcPr>
          <w:p w14:paraId="61318C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5129770000</w:t>
            </w:r>
          </w:p>
        </w:tc>
        <w:tc>
          <w:tcPr>
            <w:tcW w:w="1012" w:type="dxa"/>
            <w:tcBorders>
              <w:top w:val="nil"/>
              <w:left w:val="nil"/>
              <w:bottom w:val="single" w:sz="4" w:space="0" w:color="auto"/>
              <w:right w:val="single" w:sz="4" w:space="0" w:color="auto"/>
            </w:tcBorders>
            <w:noWrap/>
            <w:vAlign w:val="center"/>
            <w:hideMark/>
          </w:tcPr>
          <w:p w14:paraId="44D648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88840620</w:t>
            </w:r>
          </w:p>
        </w:tc>
        <w:tc>
          <w:tcPr>
            <w:tcW w:w="5953" w:type="dxa"/>
            <w:tcBorders>
              <w:top w:val="nil"/>
              <w:left w:val="nil"/>
              <w:bottom w:val="single" w:sz="4" w:space="0" w:color="auto"/>
              <w:right w:val="single" w:sz="4" w:space="0" w:color="auto"/>
            </w:tcBorders>
            <w:noWrap/>
            <w:vAlign w:val="center"/>
            <w:hideMark/>
          </w:tcPr>
          <w:p w14:paraId="6BB6CA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KMETIJSKO GOZDARSKA ZBORNICA SLOVENIJE KMETIJSKO GOZDARSKI ZAVOD LJUBLJANA</w:t>
            </w:r>
          </w:p>
        </w:tc>
      </w:tr>
      <w:tr w:rsidR="00F24E18" w14:paraId="48E501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83EF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w:t>
            </w:r>
          </w:p>
        </w:tc>
        <w:tc>
          <w:tcPr>
            <w:tcW w:w="1300" w:type="dxa"/>
            <w:tcBorders>
              <w:top w:val="nil"/>
              <w:left w:val="nil"/>
              <w:bottom w:val="single" w:sz="4" w:space="0" w:color="auto"/>
              <w:right w:val="single" w:sz="4" w:space="0" w:color="auto"/>
            </w:tcBorders>
            <w:noWrap/>
            <w:vAlign w:val="center"/>
            <w:hideMark/>
          </w:tcPr>
          <w:p w14:paraId="6F9A98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5129877000</w:t>
            </w:r>
          </w:p>
        </w:tc>
        <w:tc>
          <w:tcPr>
            <w:tcW w:w="1012" w:type="dxa"/>
            <w:tcBorders>
              <w:top w:val="nil"/>
              <w:left w:val="nil"/>
              <w:bottom w:val="single" w:sz="4" w:space="0" w:color="auto"/>
              <w:right w:val="single" w:sz="4" w:space="0" w:color="auto"/>
            </w:tcBorders>
            <w:noWrap/>
            <w:vAlign w:val="center"/>
            <w:hideMark/>
          </w:tcPr>
          <w:p w14:paraId="18CCB2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64054233</w:t>
            </w:r>
          </w:p>
        </w:tc>
        <w:tc>
          <w:tcPr>
            <w:tcW w:w="5953" w:type="dxa"/>
            <w:tcBorders>
              <w:top w:val="nil"/>
              <w:left w:val="nil"/>
              <w:bottom w:val="single" w:sz="4" w:space="0" w:color="auto"/>
              <w:right w:val="single" w:sz="4" w:space="0" w:color="auto"/>
            </w:tcBorders>
            <w:noWrap/>
            <w:vAlign w:val="center"/>
            <w:hideMark/>
          </w:tcPr>
          <w:p w14:paraId="7FFA85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KMETIJSKO GOZDARSKA ZBORNICA SLOVENIJE KMETIJSKO GOZDARSKI ZAVOD MARIBOR</w:t>
            </w:r>
          </w:p>
        </w:tc>
      </w:tr>
      <w:tr w:rsidR="00F24E18" w14:paraId="002F61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6707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w:t>
            </w:r>
          </w:p>
        </w:tc>
        <w:tc>
          <w:tcPr>
            <w:tcW w:w="1300" w:type="dxa"/>
            <w:tcBorders>
              <w:top w:val="nil"/>
              <w:left w:val="nil"/>
              <w:bottom w:val="single" w:sz="4" w:space="0" w:color="auto"/>
              <w:right w:val="single" w:sz="4" w:space="0" w:color="auto"/>
            </w:tcBorders>
            <w:noWrap/>
            <w:vAlign w:val="center"/>
            <w:hideMark/>
          </w:tcPr>
          <w:p w14:paraId="4F91CC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5129940000</w:t>
            </w:r>
          </w:p>
        </w:tc>
        <w:tc>
          <w:tcPr>
            <w:tcW w:w="1012" w:type="dxa"/>
            <w:tcBorders>
              <w:top w:val="nil"/>
              <w:left w:val="nil"/>
              <w:bottom w:val="single" w:sz="4" w:space="0" w:color="auto"/>
              <w:right w:val="single" w:sz="4" w:space="0" w:color="auto"/>
            </w:tcBorders>
            <w:noWrap/>
            <w:vAlign w:val="center"/>
            <w:hideMark/>
          </w:tcPr>
          <w:p w14:paraId="2752DB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69697205</w:t>
            </w:r>
          </w:p>
        </w:tc>
        <w:tc>
          <w:tcPr>
            <w:tcW w:w="5953" w:type="dxa"/>
            <w:tcBorders>
              <w:top w:val="nil"/>
              <w:left w:val="nil"/>
              <w:bottom w:val="single" w:sz="4" w:space="0" w:color="auto"/>
              <w:right w:val="single" w:sz="4" w:space="0" w:color="auto"/>
            </w:tcBorders>
            <w:noWrap/>
            <w:vAlign w:val="center"/>
            <w:hideMark/>
          </w:tcPr>
          <w:p w14:paraId="30B3E3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KMETIJSKO GOZDARSKA ZBORNICA SLOVENIJE KMETIJSKO GOZDARSKI ZAVOD MURSKA SOBOTA</w:t>
            </w:r>
          </w:p>
        </w:tc>
      </w:tr>
      <w:tr w:rsidR="00F24E18" w14:paraId="2419CA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BBCA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519</w:t>
            </w:r>
          </w:p>
        </w:tc>
        <w:tc>
          <w:tcPr>
            <w:tcW w:w="1300" w:type="dxa"/>
            <w:tcBorders>
              <w:top w:val="nil"/>
              <w:left w:val="nil"/>
              <w:bottom w:val="single" w:sz="4" w:space="0" w:color="auto"/>
              <w:right w:val="single" w:sz="4" w:space="0" w:color="auto"/>
            </w:tcBorders>
            <w:vAlign w:val="center"/>
            <w:hideMark/>
          </w:tcPr>
          <w:p w14:paraId="234FE0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5051754000</w:t>
            </w:r>
          </w:p>
        </w:tc>
        <w:tc>
          <w:tcPr>
            <w:tcW w:w="1012" w:type="dxa"/>
            <w:tcBorders>
              <w:top w:val="nil"/>
              <w:left w:val="nil"/>
              <w:bottom w:val="single" w:sz="4" w:space="0" w:color="auto"/>
              <w:right w:val="single" w:sz="4" w:space="0" w:color="auto"/>
            </w:tcBorders>
            <w:vAlign w:val="center"/>
            <w:hideMark/>
          </w:tcPr>
          <w:p w14:paraId="4A6480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19169884</w:t>
            </w:r>
          </w:p>
        </w:tc>
        <w:tc>
          <w:tcPr>
            <w:tcW w:w="5953" w:type="dxa"/>
            <w:tcBorders>
              <w:top w:val="nil"/>
              <w:left w:val="nil"/>
              <w:bottom w:val="single" w:sz="4" w:space="0" w:color="auto"/>
              <w:right w:val="single" w:sz="4" w:space="0" w:color="auto"/>
            </w:tcBorders>
            <w:noWrap/>
            <w:vAlign w:val="center"/>
            <w:hideMark/>
          </w:tcPr>
          <w:p w14:paraId="0CB558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KMETIJSKO GOZDARSKA ZBORNICA SLOVENIJE KMETIJSKO GOZDARSKI ZAVOD NOVA GORICA</w:t>
            </w:r>
          </w:p>
        </w:tc>
      </w:tr>
      <w:tr w:rsidR="00F24E18" w14:paraId="0204D1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6F50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w:t>
            </w:r>
          </w:p>
        </w:tc>
        <w:tc>
          <w:tcPr>
            <w:tcW w:w="1300" w:type="dxa"/>
            <w:tcBorders>
              <w:top w:val="nil"/>
              <w:left w:val="nil"/>
              <w:bottom w:val="single" w:sz="4" w:space="0" w:color="auto"/>
              <w:right w:val="single" w:sz="4" w:space="0" w:color="auto"/>
            </w:tcBorders>
            <w:vAlign w:val="center"/>
            <w:hideMark/>
          </w:tcPr>
          <w:p w14:paraId="255D47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5095859000</w:t>
            </w:r>
          </w:p>
        </w:tc>
        <w:tc>
          <w:tcPr>
            <w:tcW w:w="1012" w:type="dxa"/>
            <w:tcBorders>
              <w:top w:val="nil"/>
              <w:left w:val="nil"/>
              <w:bottom w:val="single" w:sz="4" w:space="0" w:color="auto"/>
              <w:right w:val="single" w:sz="4" w:space="0" w:color="auto"/>
            </w:tcBorders>
            <w:vAlign w:val="center"/>
            <w:hideMark/>
          </w:tcPr>
          <w:p w14:paraId="067E6D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62299964</w:t>
            </w:r>
          </w:p>
        </w:tc>
        <w:tc>
          <w:tcPr>
            <w:tcW w:w="5953" w:type="dxa"/>
            <w:tcBorders>
              <w:top w:val="nil"/>
              <w:left w:val="nil"/>
              <w:bottom w:val="single" w:sz="4" w:space="0" w:color="auto"/>
              <w:right w:val="single" w:sz="4" w:space="0" w:color="auto"/>
            </w:tcBorders>
            <w:noWrap/>
            <w:vAlign w:val="center"/>
            <w:hideMark/>
          </w:tcPr>
          <w:p w14:paraId="3B45DB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KMETIJSKO GOZDARSKA ZBORNICA SLOVENIJE KMETIJSKO GOZDARSKI ZAVOD PTUJ</w:t>
            </w:r>
          </w:p>
        </w:tc>
      </w:tr>
      <w:tr w:rsidR="00F24E18" w14:paraId="61C0CB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DC1E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w:t>
            </w:r>
          </w:p>
        </w:tc>
        <w:tc>
          <w:tcPr>
            <w:tcW w:w="1300" w:type="dxa"/>
            <w:tcBorders>
              <w:top w:val="nil"/>
              <w:left w:val="nil"/>
              <w:bottom w:val="single" w:sz="4" w:space="0" w:color="auto"/>
              <w:right w:val="single" w:sz="4" w:space="0" w:color="auto"/>
            </w:tcBorders>
            <w:vAlign w:val="center"/>
            <w:hideMark/>
          </w:tcPr>
          <w:p w14:paraId="508FB7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5932165000</w:t>
            </w:r>
          </w:p>
        </w:tc>
        <w:tc>
          <w:tcPr>
            <w:tcW w:w="1012" w:type="dxa"/>
            <w:tcBorders>
              <w:top w:val="nil"/>
              <w:left w:val="nil"/>
              <w:bottom w:val="single" w:sz="4" w:space="0" w:color="auto"/>
              <w:right w:val="single" w:sz="4" w:space="0" w:color="auto"/>
            </w:tcBorders>
            <w:vAlign w:val="center"/>
            <w:hideMark/>
          </w:tcPr>
          <w:p w14:paraId="348225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85563943</w:t>
            </w:r>
          </w:p>
        </w:tc>
        <w:tc>
          <w:tcPr>
            <w:tcW w:w="5953" w:type="dxa"/>
            <w:tcBorders>
              <w:top w:val="nil"/>
              <w:left w:val="nil"/>
              <w:bottom w:val="single" w:sz="4" w:space="0" w:color="auto"/>
              <w:right w:val="single" w:sz="4" w:space="0" w:color="auto"/>
            </w:tcBorders>
            <w:noWrap/>
            <w:vAlign w:val="center"/>
            <w:hideMark/>
          </w:tcPr>
          <w:p w14:paraId="7FE726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 KULTURNI CENTER LENDAVA - LENDVAI KÖNYVTAR ÉS KULTURÁLIS KÖZPONT</w:t>
            </w:r>
          </w:p>
        </w:tc>
      </w:tr>
      <w:tr w:rsidR="00F24E18" w14:paraId="6C06B4F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46C4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w:t>
            </w:r>
          </w:p>
        </w:tc>
        <w:tc>
          <w:tcPr>
            <w:tcW w:w="1300" w:type="dxa"/>
            <w:tcBorders>
              <w:top w:val="nil"/>
              <w:left w:val="nil"/>
              <w:bottom w:val="single" w:sz="4" w:space="0" w:color="auto"/>
              <w:right w:val="single" w:sz="4" w:space="0" w:color="auto"/>
            </w:tcBorders>
            <w:noWrap/>
            <w:vAlign w:val="center"/>
            <w:hideMark/>
          </w:tcPr>
          <w:p w14:paraId="01FB4B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1787063000</w:t>
            </w:r>
          </w:p>
        </w:tc>
        <w:tc>
          <w:tcPr>
            <w:tcW w:w="1012" w:type="dxa"/>
            <w:tcBorders>
              <w:top w:val="nil"/>
              <w:left w:val="nil"/>
              <w:bottom w:val="single" w:sz="4" w:space="0" w:color="auto"/>
              <w:right w:val="single" w:sz="4" w:space="0" w:color="auto"/>
            </w:tcBorders>
            <w:noWrap/>
            <w:vAlign w:val="center"/>
            <w:hideMark/>
          </w:tcPr>
          <w:p w14:paraId="209882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36778885</w:t>
            </w:r>
          </w:p>
        </w:tc>
        <w:tc>
          <w:tcPr>
            <w:tcW w:w="5953" w:type="dxa"/>
            <w:tcBorders>
              <w:top w:val="nil"/>
              <w:left w:val="nil"/>
              <w:bottom w:val="single" w:sz="4" w:space="0" w:color="auto"/>
              <w:right w:val="single" w:sz="4" w:space="0" w:color="auto"/>
            </w:tcBorders>
            <w:noWrap/>
            <w:vAlign w:val="center"/>
            <w:hideMark/>
          </w:tcPr>
          <w:p w14:paraId="15D6C9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ANTONA SOVRETA HRASTNIK</w:t>
            </w:r>
          </w:p>
        </w:tc>
      </w:tr>
      <w:tr w:rsidR="00F24E18" w14:paraId="68CAC58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5A8A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w:t>
            </w:r>
          </w:p>
        </w:tc>
        <w:tc>
          <w:tcPr>
            <w:tcW w:w="1300" w:type="dxa"/>
            <w:tcBorders>
              <w:top w:val="nil"/>
              <w:left w:val="nil"/>
              <w:bottom w:val="single" w:sz="4" w:space="0" w:color="auto"/>
              <w:right w:val="single" w:sz="4" w:space="0" w:color="auto"/>
            </w:tcBorders>
            <w:noWrap/>
            <w:vAlign w:val="center"/>
            <w:hideMark/>
          </w:tcPr>
          <w:p w14:paraId="2474D8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5055644000</w:t>
            </w:r>
          </w:p>
        </w:tc>
        <w:tc>
          <w:tcPr>
            <w:tcW w:w="1012" w:type="dxa"/>
            <w:tcBorders>
              <w:top w:val="nil"/>
              <w:left w:val="nil"/>
              <w:bottom w:val="single" w:sz="4" w:space="0" w:color="auto"/>
              <w:right w:val="single" w:sz="4" w:space="0" w:color="auto"/>
            </w:tcBorders>
            <w:noWrap/>
            <w:vAlign w:val="center"/>
            <w:hideMark/>
          </w:tcPr>
          <w:p w14:paraId="31A4E6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55424970</w:t>
            </w:r>
          </w:p>
        </w:tc>
        <w:tc>
          <w:tcPr>
            <w:tcW w:w="5953" w:type="dxa"/>
            <w:tcBorders>
              <w:top w:val="nil"/>
              <w:left w:val="nil"/>
              <w:bottom w:val="single" w:sz="4" w:space="0" w:color="auto"/>
              <w:right w:val="single" w:sz="4" w:space="0" w:color="auto"/>
            </w:tcBorders>
            <w:noWrap/>
            <w:vAlign w:val="center"/>
            <w:hideMark/>
          </w:tcPr>
          <w:p w14:paraId="1E3816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ANTONA TOMAŽA LINHARTA RADOVLJICA</w:t>
            </w:r>
          </w:p>
        </w:tc>
      </w:tr>
      <w:tr w:rsidR="00F24E18" w14:paraId="458A2B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0804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w:t>
            </w:r>
          </w:p>
        </w:tc>
        <w:tc>
          <w:tcPr>
            <w:tcW w:w="1300" w:type="dxa"/>
            <w:tcBorders>
              <w:top w:val="nil"/>
              <w:left w:val="nil"/>
              <w:bottom w:val="single" w:sz="4" w:space="0" w:color="auto"/>
              <w:right w:val="single" w:sz="4" w:space="0" w:color="auto"/>
            </w:tcBorders>
            <w:noWrap/>
            <w:vAlign w:val="center"/>
            <w:hideMark/>
          </w:tcPr>
          <w:p w14:paraId="3C9577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5665094000</w:t>
            </w:r>
          </w:p>
        </w:tc>
        <w:tc>
          <w:tcPr>
            <w:tcW w:w="1012" w:type="dxa"/>
            <w:tcBorders>
              <w:top w:val="nil"/>
              <w:left w:val="nil"/>
              <w:bottom w:val="single" w:sz="4" w:space="0" w:color="auto"/>
              <w:right w:val="single" w:sz="4" w:space="0" w:color="auto"/>
            </w:tcBorders>
            <w:noWrap/>
            <w:vAlign w:val="center"/>
            <w:hideMark/>
          </w:tcPr>
          <w:p w14:paraId="4D2405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60519690</w:t>
            </w:r>
          </w:p>
        </w:tc>
        <w:tc>
          <w:tcPr>
            <w:tcW w:w="5953" w:type="dxa"/>
            <w:tcBorders>
              <w:top w:val="nil"/>
              <w:left w:val="nil"/>
              <w:bottom w:val="single" w:sz="4" w:space="0" w:color="auto"/>
              <w:right w:val="single" w:sz="4" w:space="0" w:color="auto"/>
            </w:tcBorders>
            <w:noWrap/>
            <w:vAlign w:val="center"/>
            <w:hideMark/>
          </w:tcPr>
          <w:p w14:paraId="79EAF3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BREŽICE</w:t>
            </w:r>
          </w:p>
        </w:tc>
      </w:tr>
      <w:tr w:rsidR="00F24E18" w14:paraId="1ED6B1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C37F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w:t>
            </w:r>
          </w:p>
        </w:tc>
        <w:tc>
          <w:tcPr>
            <w:tcW w:w="1300" w:type="dxa"/>
            <w:tcBorders>
              <w:top w:val="nil"/>
              <w:left w:val="nil"/>
              <w:bottom w:val="single" w:sz="4" w:space="0" w:color="auto"/>
              <w:right w:val="single" w:sz="4" w:space="0" w:color="auto"/>
            </w:tcBorders>
            <w:noWrap/>
            <w:vAlign w:val="center"/>
            <w:hideMark/>
          </w:tcPr>
          <w:p w14:paraId="46F3ED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5052980000</w:t>
            </w:r>
          </w:p>
        </w:tc>
        <w:tc>
          <w:tcPr>
            <w:tcW w:w="1012" w:type="dxa"/>
            <w:tcBorders>
              <w:top w:val="nil"/>
              <w:left w:val="nil"/>
              <w:bottom w:val="single" w:sz="4" w:space="0" w:color="auto"/>
              <w:right w:val="single" w:sz="4" w:space="0" w:color="auto"/>
            </w:tcBorders>
            <w:noWrap/>
            <w:vAlign w:val="center"/>
            <w:hideMark/>
          </w:tcPr>
          <w:p w14:paraId="16F940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94679479</w:t>
            </w:r>
          </w:p>
        </w:tc>
        <w:tc>
          <w:tcPr>
            <w:tcW w:w="5953" w:type="dxa"/>
            <w:tcBorders>
              <w:top w:val="nil"/>
              <w:left w:val="nil"/>
              <w:bottom w:val="single" w:sz="4" w:space="0" w:color="auto"/>
              <w:right w:val="single" w:sz="4" w:space="0" w:color="auto"/>
            </w:tcBorders>
            <w:noWrap/>
            <w:vAlign w:val="center"/>
            <w:hideMark/>
          </w:tcPr>
          <w:p w14:paraId="7336F8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CIRILA KOSMAČA TOLMIN</w:t>
            </w:r>
          </w:p>
        </w:tc>
      </w:tr>
      <w:tr w:rsidR="00F24E18" w14:paraId="4A39E7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62D2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w:t>
            </w:r>
          </w:p>
        </w:tc>
        <w:tc>
          <w:tcPr>
            <w:tcW w:w="1300" w:type="dxa"/>
            <w:tcBorders>
              <w:top w:val="nil"/>
              <w:left w:val="nil"/>
              <w:bottom w:val="single" w:sz="4" w:space="0" w:color="auto"/>
              <w:right w:val="single" w:sz="4" w:space="0" w:color="auto"/>
            </w:tcBorders>
            <w:noWrap/>
            <w:vAlign w:val="center"/>
            <w:hideMark/>
          </w:tcPr>
          <w:p w14:paraId="432918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1924559000</w:t>
            </w:r>
          </w:p>
        </w:tc>
        <w:tc>
          <w:tcPr>
            <w:tcW w:w="1012" w:type="dxa"/>
            <w:tcBorders>
              <w:top w:val="nil"/>
              <w:left w:val="nil"/>
              <w:bottom w:val="single" w:sz="4" w:space="0" w:color="auto"/>
              <w:right w:val="single" w:sz="4" w:space="0" w:color="auto"/>
            </w:tcBorders>
            <w:noWrap/>
            <w:vAlign w:val="center"/>
            <w:hideMark/>
          </w:tcPr>
          <w:p w14:paraId="1A98F2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86832751</w:t>
            </w:r>
          </w:p>
        </w:tc>
        <w:tc>
          <w:tcPr>
            <w:tcW w:w="5953" w:type="dxa"/>
            <w:tcBorders>
              <w:top w:val="nil"/>
              <w:left w:val="nil"/>
              <w:bottom w:val="single" w:sz="4" w:space="0" w:color="auto"/>
              <w:right w:val="single" w:sz="4" w:space="0" w:color="auto"/>
            </w:tcBorders>
            <w:noWrap/>
            <w:vAlign w:val="center"/>
            <w:hideMark/>
          </w:tcPr>
          <w:p w14:paraId="788966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ČRNOMELJ</w:t>
            </w:r>
          </w:p>
        </w:tc>
      </w:tr>
      <w:tr w:rsidR="00F24E18" w14:paraId="5EED3F8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72B3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w:t>
            </w:r>
          </w:p>
        </w:tc>
        <w:tc>
          <w:tcPr>
            <w:tcW w:w="1300" w:type="dxa"/>
            <w:tcBorders>
              <w:top w:val="nil"/>
              <w:left w:val="nil"/>
              <w:bottom w:val="single" w:sz="4" w:space="0" w:color="auto"/>
              <w:right w:val="single" w:sz="4" w:space="0" w:color="auto"/>
            </w:tcBorders>
            <w:noWrap/>
            <w:vAlign w:val="center"/>
            <w:hideMark/>
          </w:tcPr>
          <w:p w14:paraId="0D6E4F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5269849000</w:t>
            </w:r>
          </w:p>
        </w:tc>
        <w:tc>
          <w:tcPr>
            <w:tcW w:w="1012" w:type="dxa"/>
            <w:tcBorders>
              <w:top w:val="nil"/>
              <w:left w:val="nil"/>
              <w:bottom w:val="single" w:sz="4" w:space="0" w:color="auto"/>
              <w:right w:val="single" w:sz="4" w:space="0" w:color="auto"/>
            </w:tcBorders>
            <w:noWrap/>
            <w:vAlign w:val="center"/>
            <w:hideMark/>
          </w:tcPr>
          <w:p w14:paraId="5BF3E7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79466591</w:t>
            </w:r>
          </w:p>
        </w:tc>
        <w:tc>
          <w:tcPr>
            <w:tcW w:w="5953" w:type="dxa"/>
            <w:tcBorders>
              <w:top w:val="nil"/>
              <w:left w:val="nil"/>
              <w:bottom w:val="single" w:sz="4" w:space="0" w:color="auto"/>
              <w:right w:val="single" w:sz="4" w:space="0" w:color="auto"/>
            </w:tcBorders>
            <w:noWrap/>
            <w:vAlign w:val="center"/>
            <w:hideMark/>
          </w:tcPr>
          <w:p w14:paraId="370BE8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DOMŽALE</w:t>
            </w:r>
          </w:p>
        </w:tc>
      </w:tr>
      <w:tr w:rsidR="00F24E18" w14:paraId="7D5A13F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AC05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528</w:t>
            </w:r>
          </w:p>
        </w:tc>
        <w:tc>
          <w:tcPr>
            <w:tcW w:w="1300" w:type="dxa"/>
            <w:tcBorders>
              <w:top w:val="nil"/>
              <w:left w:val="nil"/>
              <w:bottom w:val="single" w:sz="4" w:space="0" w:color="auto"/>
              <w:right w:val="single" w:sz="4" w:space="0" w:color="auto"/>
            </w:tcBorders>
            <w:noWrap/>
            <w:vAlign w:val="center"/>
            <w:hideMark/>
          </w:tcPr>
          <w:p w14:paraId="386379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1451120000</w:t>
            </w:r>
          </w:p>
        </w:tc>
        <w:tc>
          <w:tcPr>
            <w:tcW w:w="1012" w:type="dxa"/>
            <w:tcBorders>
              <w:top w:val="nil"/>
              <w:left w:val="nil"/>
              <w:bottom w:val="single" w:sz="4" w:space="0" w:color="auto"/>
              <w:right w:val="single" w:sz="4" w:space="0" w:color="auto"/>
            </w:tcBorders>
            <w:noWrap/>
            <w:vAlign w:val="center"/>
            <w:hideMark/>
          </w:tcPr>
          <w:p w14:paraId="5B2887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93811403</w:t>
            </w:r>
          </w:p>
        </w:tc>
        <w:tc>
          <w:tcPr>
            <w:tcW w:w="5953" w:type="dxa"/>
            <w:tcBorders>
              <w:top w:val="nil"/>
              <w:left w:val="nil"/>
              <w:bottom w:val="single" w:sz="4" w:space="0" w:color="auto"/>
              <w:right w:val="single" w:sz="4" w:space="0" w:color="auto"/>
            </w:tcBorders>
            <w:noWrap/>
            <w:vAlign w:val="center"/>
            <w:hideMark/>
          </w:tcPr>
          <w:p w14:paraId="3CE6CD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DR. TONETA PRETNARJA</w:t>
            </w:r>
          </w:p>
        </w:tc>
      </w:tr>
      <w:tr w:rsidR="00F24E18" w14:paraId="6716D9E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BC8B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529</w:t>
            </w:r>
          </w:p>
        </w:tc>
        <w:tc>
          <w:tcPr>
            <w:tcW w:w="1300" w:type="dxa"/>
            <w:tcBorders>
              <w:top w:val="nil"/>
              <w:left w:val="nil"/>
              <w:bottom w:val="single" w:sz="4" w:space="0" w:color="auto"/>
              <w:right w:val="single" w:sz="4" w:space="0" w:color="auto"/>
            </w:tcBorders>
            <w:noWrap/>
            <w:vAlign w:val="center"/>
            <w:hideMark/>
          </w:tcPr>
          <w:p w14:paraId="7339C9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1273957000</w:t>
            </w:r>
          </w:p>
        </w:tc>
        <w:tc>
          <w:tcPr>
            <w:tcW w:w="1012" w:type="dxa"/>
            <w:tcBorders>
              <w:top w:val="nil"/>
              <w:left w:val="nil"/>
              <w:bottom w:val="single" w:sz="4" w:space="0" w:color="auto"/>
              <w:right w:val="single" w:sz="4" w:space="0" w:color="auto"/>
            </w:tcBorders>
            <w:noWrap/>
            <w:vAlign w:val="center"/>
            <w:hideMark/>
          </w:tcPr>
          <w:p w14:paraId="0AF788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74525344</w:t>
            </w:r>
          </w:p>
        </w:tc>
        <w:tc>
          <w:tcPr>
            <w:tcW w:w="5953" w:type="dxa"/>
            <w:tcBorders>
              <w:top w:val="nil"/>
              <w:left w:val="nil"/>
              <w:bottom w:val="single" w:sz="4" w:space="0" w:color="auto"/>
              <w:right w:val="single" w:sz="4" w:space="0" w:color="auto"/>
            </w:tcBorders>
            <w:noWrap/>
            <w:vAlign w:val="center"/>
            <w:hideMark/>
          </w:tcPr>
          <w:p w14:paraId="554C31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DRAVOGRAD</w:t>
            </w:r>
          </w:p>
        </w:tc>
      </w:tr>
      <w:tr w:rsidR="00F24E18" w14:paraId="02572AD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B326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530</w:t>
            </w:r>
          </w:p>
        </w:tc>
        <w:tc>
          <w:tcPr>
            <w:tcW w:w="1300" w:type="dxa"/>
            <w:tcBorders>
              <w:top w:val="nil"/>
              <w:left w:val="nil"/>
              <w:bottom w:val="single" w:sz="4" w:space="0" w:color="auto"/>
              <w:right w:val="single" w:sz="4" w:space="0" w:color="auto"/>
            </w:tcBorders>
            <w:noWrap/>
            <w:vAlign w:val="center"/>
            <w:hideMark/>
          </w:tcPr>
          <w:p w14:paraId="5DE447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5627460000</w:t>
            </w:r>
          </w:p>
        </w:tc>
        <w:tc>
          <w:tcPr>
            <w:tcW w:w="1012" w:type="dxa"/>
            <w:tcBorders>
              <w:top w:val="nil"/>
              <w:left w:val="nil"/>
              <w:bottom w:val="single" w:sz="4" w:space="0" w:color="auto"/>
              <w:right w:val="single" w:sz="4" w:space="0" w:color="auto"/>
            </w:tcBorders>
            <w:noWrap/>
            <w:vAlign w:val="center"/>
            <w:hideMark/>
          </w:tcPr>
          <w:p w14:paraId="19A3B9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88074412</w:t>
            </w:r>
          </w:p>
        </w:tc>
        <w:tc>
          <w:tcPr>
            <w:tcW w:w="5953" w:type="dxa"/>
            <w:tcBorders>
              <w:top w:val="nil"/>
              <w:left w:val="nil"/>
              <w:bottom w:val="single" w:sz="4" w:space="0" w:color="auto"/>
              <w:right w:val="single" w:sz="4" w:space="0" w:color="auto"/>
            </w:tcBorders>
            <w:noWrap/>
            <w:vAlign w:val="center"/>
            <w:hideMark/>
          </w:tcPr>
          <w:p w14:paraId="38FDF9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FRANCA KSAVRA MEŠKA ORMOŽ</w:t>
            </w:r>
          </w:p>
        </w:tc>
      </w:tr>
      <w:tr w:rsidR="00F24E18" w14:paraId="77864B4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1406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531</w:t>
            </w:r>
          </w:p>
        </w:tc>
        <w:tc>
          <w:tcPr>
            <w:tcW w:w="1300" w:type="dxa"/>
            <w:tcBorders>
              <w:top w:val="nil"/>
              <w:left w:val="nil"/>
              <w:bottom w:val="single" w:sz="4" w:space="0" w:color="auto"/>
              <w:right w:val="single" w:sz="4" w:space="0" w:color="auto"/>
            </w:tcBorders>
            <w:noWrap/>
            <w:vAlign w:val="center"/>
            <w:hideMark/>
          </w:tcPr>
          <w:p w14:paraId="4C4468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5543452000</w:t>
            </w:r>
          </w:p>
        </w:tc>
        <w:tc>
          <w:tcPr>
            <w:tcW w:w="1012" w:type="dxa"/>
            <w:tcBorders>
              <w:top w:val="nil"/>
              <w:left w:val="nil"/>
              <w:bottom w:val="single" w:sz="4" w:space="0" w:color="auto"/>
              <w:right w:val="single" w:sz="4" w:space="0" w:color="auto"/>
            </w:tcBorders>
            <w:noWrap/>
            <w:vAlign w:val="center"/>
            <w:hideMark/>
          </w:tcPr>
          <w:p w14:paraId="777014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20620586</w:t>
            </w:r>
          </w:p>
        </w:tc>
        <w:tc>
          <w:tcPr>
            <w:tcW w:w="5953" w:type="dxa"/>
            <w:tcBorders>
              <w:top w:val="nil"/>
              <w:left w:val="nil"/>
              <w:bottom w:val="single" w:sz="4" w:space="0" w:color="auto"/>
              <w:right w:val="single" w:sz="4" w:space="0" w:color="auto"/>
            </w:tcBorders>
            <w:noWrap/>
            <w:vAlign w:val="center"/>
            <w:hideMark/>
          </w:tcPr>
          <w:p w14:paraId="21D15A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FRANCETA BALANTIČA KAMNIK</w:t>
            </w:r>
          </w:p>
        </w:tc>
      </w:tr>
      <w:tr w:rsidR="00F24E18" w14:paraId="7144337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02DA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532</w:t>
            </w:r>
          </w:p>
        </w:tc>
        <w:tc>
          <w:tcPr>
            <w:tcW w:w="1300" w:type="dxa"/>
            <w:tcBorders>
              <w:top w:val="nil"/>
              <w:left w:val="nil"/>
              <w:bottom w:val="single" w:sz="4" w:space="0" w:color="auto"/>
              <w:right w:val="single" w:sz="4" w:space="0" w:color="auto"/>
            </w:tcBorders>
            <w:noWrap/>
            <w:vAlign w:val="center"/>
            <w:hideMark/>
          </w:tcPr>
          <w:p w14:paraId="668651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5052815000</w:t>
            </w:r>
          </w:p>
        </w:tc>
        <w:tc>
          <w:tcPr>
            <w:tcW w:w="1012" w:type="dxa"/>
            <w:tcBorders>
              <w:top w:val="nil"/>
              <w:left w:val="nil"/>
              <w:bottom w:val="single" w:sz="4" w:space="0" w:color="auto"/>
              <w:right w:val="single" w:sz="4" w:space="0" w:color="auto"/>
            </w:tcBorders>
            <w:noWrap/>
            <w:vAlign w:val="center"/>
            <w:hideMark/>
          </w:tcPr>
          <w:p w14:paraId="49E10C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75749319</w:t>
            </w:r>
          </w:p>
        </w:tc>
        <w:tc>
          <w:tcPr>
            <w:tcW w:w="5953" w:type="dxa"/>
            <w:tcBorders>
              <w:top w:val="nil"/>
              <w:left w:val="nil"/>
              <w:bottom w:val="single" w:sz="4" w:space="0" w:color="auto"/>
              <w:right w:val="single" w:sz="4" w:space="0" w:color="auto"/>
            </w:tcBorders>
            <w:noWrap/>
            <w:vAlign w:val="center"/>
            <w:hideMark/>
          </w:tcPr>
          <w:p w14:paraId="59A02F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IVANA POTRČA PTUJ</w:t>
            </w:r>
          </w:p>
        </w:tc>
      </w:tr>
      <w:tr w:rsidR="00F24E18" w14:paraId="734D89B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77D5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533</w:t>
            </w:r>
          </w:p>
        </w:tc>
        <w:tc>
          <w:tcPr>
            <w:tcW w:w="1300" w:type="dxa"/>
            <w:tcBorders>
              <w:top w:val="nil"/>
              <w:left w:val="nil"/>
              <w:bottom w:val="single" w:sz="4" w:space="0" w:color="auto"/>
              <w:right w:val="single" w:sz="4" w:space="0" w:color="auto"/>
            </w:tcBorders>
            <w:vAlign w:val="center"/>
            <w:hideMark/>
          </w:tcPr>
          <w:p w14:paraId="7049EE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5052963000</w:t>
            </w:r>
          </w:p>
        </w:tc>
        <w:tc>
          <w:tcPr>
            <w:tcW w:w="1012" w:type="dxa"/>
            <w:tcBorders>
              <w:top w:val="nil"/>
              <w:left w:val="nil"/>
              <w:bottom w:val="single" w:sz="4" w:space="0" w:color="auto"/>
              <w:right w:val="single" w:sz="4" w:space="0" w:color="auto"/>
            </w:tcBorders>
            <w:vAlign w:val="center"/>
            <w:hideMark/>
          </w:tcPr>
          <w:p w14:paraId="5F5DEC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27048870</w:t>
            </w:r>
          </w:p>
        </w:tc>
        <w:tc>
          <w:tcPr>
            <w:tcW w:w="5953" w:type="dxa"/>
            <w:tcBorders>
              <w:top w:val="nil"/>
              <w:left w:val="nil"/>
              <w:bottom w:val="single" w:sz="4" w:space="0" w:color="auto"/>
              <w:right w:val="single" w:sz="4" w:space="0" w:color="auto"/>
            </w:tcBorders>
            <w:noWrap/>
            <w:vAlign w:val="center"/>
            <w:hideMark/>
          </w:tcPr>
          <w:p w14:paraId="313C59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IVANA TAVČARJA ŠKOFJA LOKA</w:t>
            </w:r>
          </w:p>
        </w:tc>
      </w:tr>
      <w:tr w:rsidR="00F24E18" w14:paraId="24D2E1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A97B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534</w:t>
            </w:r>
          </w:p>
        </w:tc>
        <w:tc>
          <w:tcPr>
            <w:tcW w:w="1300" w:type="dxa"/>
            <w:tcBorders>
              <w:top w:val="nil"/>
              <w:left w:val="nil"/>
              <w:bottom w:val="single" w:sz="4" w:space="0" w:color="auto"/>
              <w:right w:val="single" w:sz="4" w:space="0" w:color="auto"/>
            </w:tcBorders>
            <w:noWrap/>
            <w:vAlign w:val="center"/>
            <w:hideMark/>
          </w:tcPr>
          <w:p w14:paraId="00EA99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5052939000</w:t>
            </w:r>
          </w:p>
        </w:tc>
        <w:tc>
          <w:tcPr>
            <w:tcW w:w="1012" w:type="dxa"/>
            <w:tcBorders>
              <w:top w:val="nil"/>
              <w:left w:val="nil"/>
              <w:bottom w:val="single" w:sz="4" w:space="0" w:color="auto"/>
              <w:right w:val="single" w:sz="4" w:space="0" w:color="auto"/>
            </w:tcBorders>
            <w:noWrap/>
            <w:vAlign w:val="center"/>
            <w:hideMark/>
          </w:tcPr>
          <w:p w14:paraId="4308D2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38720671</w:t>
            </w:r>
          </w:p>
        </w:tc>
        <w:tc>
          <w:tcPr>
            <w:tcW w:w="5953" w:type="dxa"/>
            <w:tcBorders>
              <w:top w:val="nil"/>
              <w:left w:val="nil"/>
              <w:bottom w:val="single" w:sz="4" w:space="0" w:color="auto"/>
              <w:right w:val="single" w:sz="4" w:space="0" w:color="auto"/>
            </w:tcBorders>
            <w:noWrap/>
            <w:vAlign w:val="center"/>
            <w:hideMark/>
          </w:tcPr>
          <w:p w14:paraId="448B08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JOSIPA VOŠNJAKA SLOVENSKA BISTRICA</w:t>
            </w:r>
          </w:p>
        </w:tc>
      </w:tr>
      <w:tr w:rsidR="00F24E18" w14:paraId="1701DCA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1A6B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535</w:t>
            </w:r>
          </w:p>
        </w:tc>
        <w:tc>
          <w:tcPr>
            <w:tcW w:w="1300" w:type="dxa"/>
            <w:tcBorders>
              <w:top w:val="nil"/>
              <w:left w:val="nil"/>
              <w:bottom w:val="single" w:sz="4" w:space="0" w:color="auto"/>
              <w:right w:val="single" w:sz="4" w:space="0" w:color="auto"/>
            </w:tcBorders>
            <w:noWrap/>
            <w:vAlign w:val="center"/>
            <w:hideMark/>
          </w:tcPr>
          <w:p w14:paraId="1595BC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5518164000</w:t>
            </w:r>
          </w:p>
        </w:tc>
        <w:tc>
          <w:tcPr>
            <w:tcW w:w="1012" w:type="dxa"/>
            <w:tcBorders>
              <w:top w:val="nil"/>
              <w:left w:val="nil"/>
              <w:bottom w:val="single" w:sz="4" w:space="0" w:color="auto"/>
              <w:right w:val="single" w:sz="4" w:space="0" w:color="auto"/>
            </w:tcBorders>
            <w:noWrap/>
            <w:vAlign w:val="center"/>
            <w:hideMark/>
          </w:tcPr>
          <w:p w14:paraId="2C6F71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60703067</w:t>
            </w:r>
          </w:p>
        </w:tc>
        <w:tc>
          <w:tcPr>
            <w:tcW w:w="5953" w:type="dxa"/>
            <w:tcBorders>
              <w:top w:val="nil"/>
              <w:left w:val="nil"/>
              <w:bottom w:val="single" w:sz="4" w:space="0" w:color="auto"/>
              <w:right w:val="single" w:sz="4" w:space="0" w:color="auto"/>
            </w:tcBorders>
            <w:noWrap/>
            <w:vAlign w:val="center"/>
            <w:hideMark/>
          </w:tcPr>
          <w:p w14:paraId="4A5E19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KSAVERJA MEŠKA SLOVENJ GRADEC</w:t>
            </w:r>
          </w:p>
        </w:tc>
      </w:tr>
      <w:tr w:rsidR="00F24E18" w14:paraId="1797974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7B21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536</w:t>
            </w:r>
          </w:p>
        </w:tc>
        <w:tc>
          <w:tcPr>
            <w:tcW w:w="1300" w:type="dxa"/>
            <w:tcBorders>
              <w:top w:val="nil"/>
              <w:left w:val="nil"/>
              <w:bottom w:val="single" w:sz="4" w:space="0" w:color="auto"/>
              <w:right w:val="single" w:sz="4" w:space="0" w:color="auto"/>
            </w:tcBorders>
            <w:noWrap/>
            <w:vAlign w:val="center"/>
            <w:hideMark/>
          </w:tcPr>
          <w:p w14:paraId="37C016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1917269000</w:t>
            </w:r>
          </w:p>
        </w:tc>
        <w:tc>
          <w:tcPr>
            <w:tcW w:w="1012" w:type="dxa"/>
            <w:tcBorders>
              <w:top w:val="nil"/>
              <w:left w:val="nil"/>
              <w:bottom w:val="single" w:sz="4" w:space="0" w:color="auto"/>
              <w:right w:val="single" w:sz="4" w:space="0" w:color="auto"/>
            </w:tcBorders>
            <w:noWrap/>
            <w:vAlign w:val="center"/>
            <w:hideMark/>
          </w:tcPr>
          <w:p w14:paraId="5F2228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16672500</w:t>
            </w:r>
          </w:p>
        </w:tc>
        <w:tc>
          <w:tcPr>
            <w:tcW w:w="5953" w:type="dxa"/>
            <w:tcBorders>
              <w:top w:val="nil"/>
              <w:left w:val="nil"/>
              <w:bottom w:val="single" w:sz="4" w:space="0" w:color="auto"/>
              <w:right w:val="single" w:sz="4" w:space="0" w:color="auto"/>
            </w:tcBorders>
            <w:noWrap/>
            <w:vAlign w:val="center"/>
            <w:hideMark/>
          </w:tcPr>
          <w:p w14:paraId="3C8A10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LITIJA</w:t>
            </w:r>
          </w:p>
        </w:tc>
      </w:tr>
      <w:tr w:rsidR="00F24E18" w14:paraId="113B2EB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9321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537</w:t>
            </w:r>
          </w:p>
        </w:tc>
        <w:tc>
          <w:tcPr>
            <w:tcW w:w="1300" w:type="dxa"/>
            <w:tcBorders>
              <w:top w:val="nil"/>
              <w:left w:val="nil"/>
              <w:bottom w:val="single" w:sz="4" w:space="0" w:color="auto"/>
              <w:right w:val="single" w:sz="4" w:space="0" w:color="auto"/>
            </w:tcBorders>
            <w:noWrap/>
            <w:vAlign w:val="center"/>
            <w:hideMark/>
          </w:tcPr>
          <w:p w14:paraId="006FD0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5052220000</w:t>
            </w:r>
          </w:p>
        </w:tc>
        <w:tc>
          <w:tcPr>
            <w:tcW w:w="1012" w:type="dxa"/>
            <w:tcBorders>
              <w:top w:val="nil"/>
              <w:left w:val="nil"/>
              <w:bottom w:val="single" w:sz="4" w:space="0" w:color="auto"/>
              <w:right w:val="single" w:sz="4" w:space="0" w:color="auto"/>
            </w:tcBorders>
            <w:noWrap/>
            <w:vAlign w:val="center"/>
            <w:hideMark/>
          </w:tcPr>
          <w:p w14:paraId="5C8F10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17928095</w:t>
            </w:r>
          </w:p>
        </w:tc>
        <w:tc>
          <w:tcPr>
            <w:tcW w:w="5953" w:type="dxa"/>
            <w:tcBorders>
              <w:top w:val="nil"/>
              <w:left w:val="nil"/>
              <w:bottom w:val="single" w:sz="4" w:space="0" w:color="auto"/>
              <w:right w:val="single" w:sz="4" w:space="0" w:color="auto"/>
            </w:tcBorders>
            <w:noWrap/>
            <w:vAlign w:val="center"/>
            <w:hideMark/>
          </w:tcPr>
          <w:p w14:paraId="778700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MIRANA JARCA NOVO MESTO</w:t>
            </w:r>
          </w:p>
        </w:tc>
      </w:tr>
      <w:tr w:rsidR="00F24E18" w14:paraId="0E665C8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7CA3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538</w:t>
            </w:r>
          </w:p>
        </w:tc>
        <w:tc>
          <w:tcPr>
            <w:tcW w:w="1300" w:type="dxa"/>
            <w:tcBorders>
              <w:top w:val="nil"/>
              <w:left w:val="nil"/>
              <w:bottom w:val="single" w:sz="4" w:space="0" w:color="auto"/>
              <w:right w:val="single" w:sz="4" w:space="0" w:color="auto"/>
            </w:tcBorders>
            <w:noWrap/>
            <w:vAlign w:val="center"/>
            <w:hideMark/>
          </w:tcPr>
          <w:p w14:paraId="1695C7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1909738000</w:t>
            </w:r>
          </w:p>
        </w:tc>
        <w:tc>
          <w:tcPr>
            <w:tcW w:w="1012" w:type="dxa"/>
            <w:tcBorders>
              <w:top w:val="nil"/>
              <w:left w:val="nil"/>
              <w:bottom w:val="single" w:sz="4" w:space="0" w:color="auto"/>
              <w:right w:val="single" w:sz="4" w:space="0" w:color="auto"/>
            </w:tcBorders>
            <w:noWrap/>
            <w:vAlign w:val="center"/>
            <w:hideMark/>
          </w:tcPr>
          <w:p w14:paraId="0B029B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77168232</w:t>
            </w:r>
          </w:p>
        </w:tc>
        <w:tc>
          <w:tcPr>
            <w:tcW w:w="5953" w:type="dxa"/>
            <w:tcBorders>
              <w:top w:val="nil"/>
              <w:left w:val="nil"/>
              <w:bottom w:val="single" w:sz="4" w:space="0" w:color="auto"/>
              <w:right w:val="single" w:sz="4" w:space="0" w:color="auto"/>
            </w:tcBorders>
            <w:noWrap/>
            <w:vAlign w:val="center"/>
            <w:hideMark/>
          </w:tcPr>
          <w:p w14:paraId="7E11DD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PAVLA GOLIE TREBNJE</w:t>
            </w:r>
          </w:p>
        </w:tc>
      </w:tr>
      <w:tr w:rsidR="00F24E18" w14:paraId="50C73C4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F796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539</w:t>
            </w:r>
          </w:p>
        </w:tc>
        <w:tc>
          <w:tcPr>
            <w:tcW w:w="1300" w:type="dxa"/>
            <w:tcBorders>
              <w:top w:val="nil"/>
              <w:left w:val="nil"/>
              <w:bottom w:val="single" w:sz="4" w:space="0" w:color="auto"/>
              <w:right w:val="single" w:sz="4" w:space="0" w:color="auto"/>
            </w:tcBorders>
            <w:noWrap/>
            <w:vAlign w:val="center"/>
            <w:hideMark/>
          </w:tcPr>
          <w:p w14:paraId="405004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5814197000</w:t>
            </w:r>
          </w:p>
        </w:tc>
        <w:tc>
          <w:tcPr>
            <w:tcW w:w="1012" w:type="dxa"/>
            <w:tcBorders>
              <w:top w:val="nil"/>
              <w:left w:val="nil"/>
              <w:bottom w:val="single" w:sz="4" w:space="0" w:color="auto"/>
              <w:right w:val="single" w:sz="4" w:space="0" w:color="auto"/>
            </w:tcBorders>
            <w:noWrap/>
            <w:vAlign w:val="center"/>
            <w:hideMark/>
          </w:tcPr>
          <w:p w14:paraId="58CBEA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81782268</w:t>
            </w:r>
          </w:p>
        </w:tc>
        <w:tc>
          <w:tcPr>
            <w:tcW w:w="5953" w:type="dxa"/>
            <w:tcBorders>
              <w:top w:val="nil"/>
              <w:left w:val="nil"/>
              <w:bottom w:val="single" w:sz="4" w:space="0" w:color="auto"/>
              <w:right w:val="single" w:sz="4" w:space="0" w:color="auto"/>
            </w:tcBorders>
            <w:noWrap/>
            <w:vAlign w:val="center"/>
            <w:hideMark/>
          </w:tcPr>
          <w:p w14:paraId="21F1B5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RADLJE OB DRAVI</w:t>
            </w:r>
          </w:p>
        </w:tc>
      </w:tr>
      <w:tr w:rsidR="00F24E18" w14:paraId="36CF6AF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5F35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540</w:t>
            </w:r>
          </w:p>
        </w:tc>
        <w:tc>
          <w:tcPr>
            <w:tcW w:w="1300" w:type="dxa"/>
            <w:tcBorders>
              <w:top w:val="nil"/>
              <w:left w:val="nil"/>
              <w:bottom w:val="single" w:sz="4" w:space="0" w:color="auto"/>
              <w:right w:val="single" w:sz="4" w:space="0" w:color="auto"/>
            </w:tcBorders>
            <w:noWrap/>
            <w:vAlign w:val="center"/>
            <w:hideMark/>
          </w:tcPr>
          <w:p w14:paraId="0D83DA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1847104000</w:t>
            </w:r>
          </w:p>
        </w:tc>
        <w:tc>
          <w:tcPr>
            <w:tcW w:w="1012" w:type="dxa"/>
            <w:tcBorders>
              <w:top w:val="nil"/>
              <w:left w:val="nil"/>
              <w:bottom w:val="single" w:sz="4" w:space="0" w:color="auto"/>
              <w:right w:val="single" w:sz="4" w:space="0" w:color="auto"/>
            </w:tcBorders>
            <w:vAlign w:val="center"/>
            <w:hideMark/>
          </w:tcPr>
          <w:p w14:paraId="16703C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44173121</w:t>
            </w:r>
          </w:p>
        </w:tc>
        <w:tc>
          <w:tcPr>
            <w:tcW w:w="5953" w:type="dxa"/>
            <w:tcBorders>
              <w:top w:val="nil"/>
              <w:left w:val="nil"/>
              <w:bottom w:val="single" w:sz="4" w:space="0" w:color="auto"/>
              <w:right w:val="single" w:sz="4" w:space="0" w:color="auto"/>
            </w:tcBorders>
            <w:noWrap/>
            <w:vAlign w:val="center"/>
            <w:hideMark/>
          </w:tcPr>
          <w:p w14:paraId="6AD2DF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ROGAŠKA SLATINA</w:t>
            </w:r>
          </w:p>
        </w:tc>
      </w:tr>
      <w:tr w:rsidR="00F24E18" w14:paraId="6A435A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4870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541</w:t>
            </w:r>
          </w:p>
        </w:tc>
        <w:tc>
          <w:tcPr>
            <w:tcW w:w="1300" w:type="dxa"/>
            <w:tcBorders>
              <w:top w:val="nil"/>
              <w:left w:val="nil"/>
              <w:bottom w:val="single" w:sz="4" w:space="0" w:color="auto"/>
              <w:right w:val="single" w:sz="4" w:space="0" w:color="auto"/>
            </w:tcBorders>
            <w:noWrap/>
            <w:vAlign w:val="center"/>
            <w:hideMark/>
          </w:tcPr>
          <w:p w14:paraId="4C095E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1614436000</w:t>
            </w:r>
          </w:p>
        </w:tc>
        <w:tc>
          <w:tcPr>
            <w:tcW w:w="1012" w:type="dxa"/>
            <w:tcBorders>
              <w:top w:val="nil"/>
              <w:left w:val="nil"/>
              <w:bottom w:val="single" w:sz="4" w:space="0" w:color="auto"/>
              <w:right w:val="single" w:sz="4" w:space="0" w:color="auto"/>
            </w:tcBorders>
            <w:noWrap/>
            <w:vAlign w:val="center"/>
            <w:hideMark/>
          </w:tcPr>
          <w:p w14:paraId="1E8D02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68502460</w:t>
            </w:r>
          </w:p>
        </w:tc>
        <w:tc>
          <w:tcPr>
            <w:tcW w:w="5953" w:type="dxa"/>
            <w:tcBorders>
              <w:top w:val="nil"/>
              <w:left w:val="nil"/>
              <w:bottom w:val="single" w:sz="4" w:space="0" w:color="auto"/>
              <w:right w:val="single" w:sz="4" w:space="0" w:color="auto"/>
            </w:tcBorders>
            <w:noWrap/>
            <w:vAlign w:val="center"/>
            <w:hideMark/>
          </w:tcPr>
          <w:p w14:paraId="22A68B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SEVNICA</w:t>
            </w:r>
          </w:p>
        </w:tc>
      </w:tr>
      <w:tr w:rsidR="00F24E18" w14:paraId="6FC011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E1FA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542</w:t>
            </w:r>
          </w:p>
        </w:tc>
        <w:tc>
          <w:tcPr>
            <w:tcW w:w="1300" w:type="dxa"/>
            <w:tcBorders>
              <w:top w:val="nil"/>
              <w:left w:val="nil"/>
              <w:bottom w:val="single" w:sz="4" w:space="0" w:color="auto"/>
              <w:right w:val="single" w:sz="4" w:space="0" w:color="auto"/>
            </w:tcBorders>
            <w:noWrap/>
            <w:vAlign w:val="center"/>
            <w:hideMark/>
          </w:tcPr>
          <w:p w14:paraId="5C582F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1803794000</w:t>
            </w:r>
          </w:p>
        </w:tc>
        <w:tc>
          <w:tcPr>
            <w:tcW w:w="1012" w:type="dxa"/>
            <w:tcBorders>
              <w:top w:val="nil"/>
              <w:left w:val="nil"/>
              <w:bottom w:val="single" w:sz="4" w:space="0" w:color="auto"/>
              <w:right w:val="single" w:sz="4" w:space="0" w:color="auto"/>
            </w:tcBorders>
            <w:noWrap/>
            <w:vAlign w:val="center"/>
            <w:hideMark/>
          </w:tcPr>
          <w:p w14:paraId="3E2BD2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61028797</w:t>
            </w:r>
          </w:p>
        </w:tc>
        <w:tc>
          <w:tcPr>
            <w:tcW w:w="5953" w:type="dxa"/>
            <w:tcBorders>
              <w:top w:val="nil"/>
              <w:left w:val="nil"/>
              <w:bottom w:val="single" w:sz="4" w:space="0" w:color="auto"/>
              <w:right w:val="single" w:sz="4" w:space="0" w:color="auto"/>
            </w:tcBorders>
            <w:noWrap/>
            <w:vAlign w:val="center"/>
            <w:hideMark/>
          </w:tcPr>
          <w:p w14:paraId="32367F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ŠMARJE PRI JELŠAH</w:t>
            </w:r>
          </w:p>
        </w:tc>
      </w:tr>
      <w:tr w:rsidR="00F24E18" w14:paraId="405E5FF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6AA2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543</w:t>
            </w:r>
          </w:p>
        </w:tc>
        <w:tc>
          <w:tcPr>
            <w:tcW w:w="1300" w:type="dxa"/>
            <w:tcBorders>
              <w:top w:val="nil"/>
              <w:left w:val="nil"/>
              <w:bottom w:val="single" w:sz="4" w:space="0" w:color="auto"/>
              <w:right w:val="single" w:sz="4" w:space="0" w:color="auto"/>
            </w:tcBorders>
            <w:noWrap/>
            <w:vAlign w:val="center"/>
            <w:hideMark/>
          </w:tcPr>
          <w:p w14:paraId="33D894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5052378000</w:t>
            </w:r>
          </w:p>
        </w:tc>
        <w:tc>
          <w:tcPr>
            <w:tcW w:w="1012" w:type="dxa"/>
            <w:tcBorders>
              <w:top w:val="nil"/>
              <w:left w:val="nil"/>
              <w:bottom w:val="single" w:sz="4" w:space="0" w:color="auto"/>
              <w:right w:val="single" w:sz="4" w:space="0" w:color="auto"/>
            </w:tcBorders>
            <w:noWrap/>
            <w:vAlign w:val="center"/>
            <w:hideMark/>
          </w:tcPr>
          <w:p w14:paraId="16C159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15673073</w:t>
            </w:r>
          </w:p>
        </w:tc>
        <w:tc>
          <w:tcPr>
            <w:tcW w:w="5953" w:type="dxa"/>
            <w:tcBorders>
              <w:top w:val="nil"/>
              <w:left w:val="nil"/>
              <w:bottom w:val="single" w:sz="4" w:space="0" w:color="auto"/>
              <w:right w:val="single" w:sz="4" w:space="0" w:color="auto"/>
            </w:tcBorders>
            <w:noWrap/>
            <w:vAlign w:val="center"/>
            <w:hideMark/>
          </w:tcPr>
          <w:p w14:paraId="129384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TONETA SELIŠKARJA TRBOVLJE</w:t>
            </w:r>
          </w:p>
        </w:tc>
      </w:tr>
      <w:tr w:rsidR="00F24E18" w14:paraId="650D274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9577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544</w:t>
            </w:r>
          </w:p>
        </w:tc>
        <w:tc>
          <w:tcPr>
            <w:tcW w:w="1300" w:type="dxa"/>
            <w:tcBorders>
              <w:top w:val="nil"/>
              <w:left w:val="nil"/>
              <w:bottom w:val="single" w:sz="4" w:space="0" w:color="auto"/>
              <w:right w:val="single" w:sz="4" w:space="0" w:color="auto"/>
            </w:tcBorders>
            <w:vAlign w:val="center"/>
            <w:hideMark/>
          </w:tcPr>
          <w:p w14:paraId="241471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1899597000</w:t>
            </w:r>
          </w:p>
        </w:tc>
        <w:tc>
          <w:tcPr>
            <w:tcW w:w="1012" w:type="dxa"/>
            <w:tcBorders>
              <w:top w:val="nil"/>
              <w:left w:val="nil"/>
              <w:bottom w:val="single" w:sz="4" w:space="0" w:color="auto"/>
              <w:right w:val="single" w:sz="4" w:space="0" w:color="auto"/>
            </w:tcBorders>
            <w:vAlign w:val="center"/>
            <w:hideMark/>
          </w:tcPr>
          <w:p w14:paraId="3F4DB6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17617138</w:t>
            </w:r>
          </w:p>
        </w:tc>
        <w:tc>
          <w:tcPr>
            <w:tcW w:w="5953" w:type="dxa"/>
            <w:tcBorders>
              <w:top w:val="nil"/>
              <w:left w:val="nil"/>
              <w:bottom w:val="single" w:sz="4" w:space="0" w:color="auto"/>
              <w:right w:val="single" w:sz="4" w:space="0" w:color="auto"/>
            </w:tcBorders>
            <w:noWrap/>
            <w:vAlign w:val="center"/>
            <w:hideMark/>
          </w:tcPr>
          <w:p w14:paraId="236141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KNJIŽNICA VELENJE</w:t>
            </w:r>
          </w:p>
        </w:tc>
      </w:tr>
      <w:tr w:rsidR="00F24E18" w14:paraId="02590D7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A955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545</w:t>
            </w:r>
          </w:p>
        </w:tc>
        <w:tc>
          <w:tcPr>
            <w:tcW w:w="1300" w:type="dxa"/>
            <w:tcBorders>
              <w:top w:val="nil"/>
              <w:left w:val="nil"/>
              <w:bottom w:val="single" w:sz="4" w:space="0" w:color="auto"/>
              <w:right w:val="single" w:sz="4" w:space="0" w:color="auto"/>
            </w:tcBorders>
            <w:vAlign w:val="center"/>
            <w:hideMark/>
          </w:tcPr>
          <w:p w14:paraId="2F52D5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8331499000</w:t>
            </w:r>
          </w:p>
        </w:tc>
        <w:tc>
          <w:tcPr>
            <w:tcW w:w="1012" w:type="dxa"/>
            <w:tcBorders>
              <w:top w:val="nil"/>
              <w:left w:val="nil"/>
              <w:bottom w:val="single" w:sz="4" w:space="0" w:color="auto"/>
              <w:right w:val="single" w:sz="4" w:space="0" w:color="auto"/>
            </w:tcBorders>
            <w:vAlign w:val="center"/>
            <w:hideMark/>
          </w:tcPr>
          <w:p w14:paraId="17D14B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11587687</w:t>
            </w:r>
          </w:p>
        </w:tc>
        <w:tc>
          <w:tcPr>
            <w:tcW w:w="5953" w:type="dxa"/>
            <w:tcBorders>
              <w:top w:val="nil"/>
              <w:left w:val="nil"/>
              <w:bottom w:val="single" w:sz="4" w:space="0" w:color="auto"/>
              <w:right w:val="single" w:sz="4" w:space="0" w:color="auto"/>
            </w:tcBorders>
            <w:noWrap/>
            <w:vAlign w:val="center"/>
            <w:hideMark/>
          </w:tcPr>
          <w:p w14:paraId="533DBB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KOBILARNA LIPICA D.O.O.</w:t>
            </w:r>
          </w:p>
        </w:tc>
      </w:tr>
      <w:tr w:rsidR="00F24E18" w14:paraId="5E6A4FE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658D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546</w:t>
            </w:r>
          </w:p>
        </w:tc>
        <w:tc>
          <w:tcPr>
            <w:tcW w:w="1300" w:type="dxa"/>
            <w:tcBorders>
              <w:top w:val="nil"/>
              <w:left w:val="nil"/>
              <w:bottom w:val="single" w:sz="4" w:space="0" w:color="auto"/>
              <w:right w:val="single" w:sz="4" w:space="0" w:color="auto"/>
            </w:tcBorders>
            <w:vAlign w:val="center"/>
            <w:hideMark/>
          </w:tcPr>
          <w:p w14:paraId="2BF545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6086381000</w:t>
            </w:r>
          </w:p>
        </w:tc>
        <w:tc>
          <w:tcPr>
            <w:tcW w:w="1012" w:type="dxa"/>
            <w:tcBorders>
              <w:top w:val="nil"/>
              <w:left w:val="nil"/>
              <w:bottom w:val="single" w:sz="4" w:space="0" w:color="auto"/>
              <w:right w:val="single" w:sz="4" w:space="0" w:color="auto"/>
            </w:tcBorders>
            <w:vAlign w:val="center"/>
            <w:hideMark/>
          </w:tcPr>
          <w:p w14:paraId="7B717A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94050198</w:t>
            </w:r>
          </w:p>
        </w:tc>
        <w:tc>
          <w:tcPr>
            <w:tcW w:w="5953" w:type="dxa"/>
            <w:tcBorders>
              <w:top w:val="nil"/>
              <w:left w:val="nil"/>
              <w:bottom w:val="single" w:sz="4" w:space="0" w:color="auto"/>
              <w:right w:val="single" w:sz="4" w:space="0" w:color="auto"/>
            </w:tcBorders>
            <w:noWrap/>
            <w:vAlign w:val="center"/>
            <w:hideMark/>
          </w:tcPr>
          <w:p w14:paraId="4B823C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KOCEROD, DRUŽBA ZA RAVNANJE Z ODPADKI D.O.O.</w:t>
            </w:r>
          </w:p>
        </w:tc>
      </w:tr>
      <w:tr w:rsidR="00F24E18" w14:paraId="07BD5D8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8878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w:t>
            </w:r>
          </w:p>
        </w:tc>
        <w:tc>
          <w:tcPr>
            <w:tcW w:w="1300" w:type="dxa"/>
            <w:tcBorders>
              <w:top w:val="nil"/>
              <w:left w:val="nil"/>
              <w:bottom w:val="single" w:sz="4" w:space="0" w:color="auto"/>
              <w:right w:val="single" w:sz="4" w:space="0" w:color="auto"/>
            </w:tcBorders>
            <w:vAlign w:val="center"/>
            <w:hideMark/>
          </w:tcPr>
          <w:p w14:paraId="2187BF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6812694000</w:t>
            </w:r>
          </w:p>
        </w:tc>
        <w:tc>
          <w:tcPr>
            <w:tcW w:w="1012" w:type="dxa"/>
            <w:tcBorders>
              <w:top w:val="nil"/>
              <w:left w:val="nil"/>
              <w:bottom w:val="single" w:sz="4" w:space="0" w:color="auto"/>
              <w:right w:val="single" w:sz="4" w:space="0" w:color="auto"/>
            </w:tcBorders>
            <w:vAlign w:val="center"/>
            <w:hideMark/>
          </w:tcPr>
          <w:p w14:paraId="6FD51D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13197797</w:t>
            </w:r>
          </w:p>
        </w:tc>
        <w:tc>
          <w:tcPr>
            <w:tcW w:w="5953" w:type="dxa"/>
            <w:tcBorders>
              <w:top w:val="nil"/>
              <w:left w:val="nil"/>
              <w:bottom w:val="single" w:sz="4" w:space="0" w:color="auto"/>
              <w:right w:val="single" w:sz="4" w:space="0" w:color="auto"/>
            </w:tcBorders>
            <w:noWrap/>
            <w:vAlign w:val="center"/>
            <w:hideMark/>
          </w:tcPr>
          <w:p w14:paraId="5DDD24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KOČEVSKI LES, DRUŽBA ZA LESNO PROIZVODNJO, D.O.O.</w:t>
            </w:r>
          </w:p>
        </w:tc>
      </w:tr>
      <w:tr w:rsidR="00F24E18" w14:paraId="284D8A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BA6E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548</w:t>
            </w:r>
          </w:p>
        </w:tc>
        <w:tc>
          <w:tcPr>
            <w:tcW w:w="1300" w:type="dxa"/>
            <w:tcBorders>
              <w:top w:val="nil"/>
              <w:left w:val="nil"/>
              <w:bottom w:val="single" w:sz="4" w:space="0" w:color="auto"/>
              <w:right w:val="single" w:sz="4" w:space="0" w:color="auto"/>
            </w:tcBorders>
            <w:vAlign w:val="center"/>
            <w:hideMark/>
          </w:tcPr>
          <w:p w14:paraId="39251F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2015609000</w:t>
            </w:r>
          </w:p>
        </w:tc>
        <w:tc>
          <w:tcPr>
            <w:tcW w:w="1012" w:type="dxa"/>
            <w:tcBorders>
              <w:top w:val="nil"/>
              <w:left w:val="nil"/>
              <w:bottom w:val="single" w:sz="4" w:space="0" w:color="auto"/>
              <w:right w:val="single" w:sz="4" w:space="0" w:color="auto"/>
            </w:tcBorders>
            <w:vAlign w:val="center"/>
            <w:hideMark/>
          </w:tcPr>
          <w:p w14:paraId="6038B0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21739609</w:t>
            </w:r>
          </w:p>
        </w:tc>
        <w:tc>
          <w:tcPr>
            <w:tcW w:w="5953" w:type="dxa"/>
            <w:tcBorders>
              <w:top w:val="nil"/>
              <w:left w:val="nil"/>
              <w:bottom w:val="single" w:sz="4" w:space="0" w:color="auto"/>
              <w:right w:val="single" w:sz="4" w:space="0" w:color="auto"/>
            </w:tcBorders>
            <w:noWrap/>
            <w:vAlign w:val="center"/>
            <w:hideMark/>
          </w:tcPr>
          <w:p w14:paraId="79DCD7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KOMISIJA ZA PREPREČEVANJE KORUPCIJE</w:t>
            </w:r>
          </w:p>
        </w:tc>
      </w:tr>
      <w:tr w:rsidR="00F24E18" w14:paraId="0F95B2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BDF8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549</w:t>
            </w:r>
          </w:p>
        </w:tc>
        <w:tc>
          <w:tcPr>
            <w:tcW w:w="1300" w:type="dxa"/>
            <w:tcBorders>
              <w:top w:val="nil"/>
              <w:left w:val="nil"/>
              <w:bottom w:val="single" w:sz="4" w:space="0" w:color="auto"/>
              <w:right w:val="single" w:sz="4" w:space="0" w:color="auto"/>
            </w:tcBorders>
            <w:vAlign w:val="center"/>
            <w:hideMark/>
          </w:tcPr>
          <w:p w14:paraId="2FE37C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5015812000</w:t>
            </w:r>
          </w:p>
        </w:tc>
        <w:tc>
          <w:tcPr>
            <w:tcW w:w="1012" w:type="dxa"/>
            <w:tcBorders>
              <w:top w:val="nil"/>
              <w:left w:val="nil"/>
              <w:bottom w:val="single" w:sz="4" w:space="0" w:color="auto"/>
              <w:right w:val="single" w:sz="4" w:space="0" w:color="auto"/>
            </w:tcBorders>
            <w:vAlign w:val="center"/>
            <w:hideMark/>
          </w:tcPr>
          <w:p w14:paraId="453399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98491881</w:t>
            </w:r>
          </w:p>
        </w:tc>
        <w:tc>
          <w:tcPr>
            <w:tcW w:w="5953" w:type="dxa"/>
            <w:tcBorders>
              <w:top w:val="nil"/>
              <w:left w:val="nil"/>
              <w:bottom w:val="single" w:sz="4" w:space="0" w:color="auto"/>
              <w:right w:val="single" w:sz="4" w:space="0" w:color="auto"/>
            </w:tcBorders>
            <w:noWrap/>
            <w:vAlign w:val="center"/>
            <w:hideMark/>
          </w:tcPr>
          <w:p w14:paraId="679664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KOMUNALNO PODJETJE NOVA GORICA D.D.</w:t>
            </w:r>
          </w:p>
        </w:tc>
      </w:tr>
      <w:tr w:rsidR="00F24E18" w14:paraId="58EBC9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FC53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w:t>
            </w:r>
          </w:p>
        </w:tc>
        <w:tc>
          <w:tcPr>
            <w:tcW w:w="1300" w:type="dxa"/>
            <w:tcBorders>
              <w:top w:val="nil"/>
              <w:left w:val="nil"/>
              <w:bottom w:val="single" w:sz="4" w:space="0" w:color="auto"/>
              <w:right w:val="single" w:sz="4" w:space="0" w:color="auto"/>
            </w:tcBorders>
            <w:vAlign w:val="center"/>
            <w:hideMark/>
          </w:tcPr>
          <w:p w14:paraId="770FE5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5067731000</w:t>
            </w:r>
          </w:p>
        </w:tc>
        <w:tc>
          <w:tcPr>
            <w:tcW w:w="1012" w:type="dxa"/>
            <w:tcBorders>
              <w:top w:val="nil"/>
              <w:left w:val="nil"/>
              <w:bottom w:val="single" w:sz="4" w:space="0" w:color="auto"/>
              <w:right w:val="single" w:sz="4" w:space="0" w:color="auto"/>
            </w:tcBorders>
            <w:vAlign w:val="center"/>
            <w:hideMark/>
          </w:tcPr>
          <w:p w14:paraId="37EBE3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72495421</w:t>
            </w:r>
          </w:p>
        </w:tc>
        <w:tc>
          <w:tcPr>
            <w:tcW w:w="5953" w:type="dxa"/>
            <w:tcBorders>
              <w:top w:val="nil"/>
              <w:left w:val="nil"/>
              <w:bottom w:val="single" w:sz="4" w:space="0" w:color="auto"/>
              <w:right w:val="single" w:sz="4" w:space="0" w:color="auto"/>
            </w:tcBorders>
            <w:noWrap/>
            <w:vAlign w:val="center"/>
            <w:hideMark/>
          </w:tcPr>
          <w:p w14:paraId="6F8B95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KRANJ, JAVNO PODJETJE, D.O.O.</w:t>
            </w:r>
          </w:p>
        </w:tc>
      </w:tr>
      <w:tr w:rsidR="00F24E18" w14:paraId="109C52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9EDA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w:t>
            </w:r>
          </w:p>
        </w:tc>
        <w:tc>
          <w:tcPr>
            <w:tcW w:w="1300" w:type="dxa"/>
            <w:tcBorders>
              <w:top w:val="nil"/>
              <w:left w:val="nil"/>
              <w:bottom w:val="single" w:sz="4" w:space="0" w:color="auto"/>
              <w:right w:val="single" w:sz="4" w:space="0" w:color="auto"/>
            </w:tcBorders>
            <w:noWrap/>
            <w:vAlign w:val="center"/>
            <w:hideMark/>
          </w:tcPr>
          <w:p w14:paraId="3136B1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5157064000</w:t>
            </w:r>
          </w:p>
        </w:tc>
        <w:tc>
          <w:tcPr>
            <w:tcW w:w="1012" w:type="dxa"/>
            <w:tcBorders>
              <w:top w:val="nil"/>
              <w:left w:val="nil"/>
              <w:bottom w:val="single" w:sz="4" w:space="0" w:color="auto"/>
              <w:right w:val="single" w:sz="4" w:space="0" w:color="auto"/>
            </w:tcBorders>
            <w:noWrap/>
            <w:vAlign w:val="center"/>
            <w:hideMark/>
          </w:tcPr>
          <w:p w14:paraId="1A549D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38241528</w:t>
            </w:r>
          </w:p>
        </w:tc>
        <w:tc>
          <w:tcPr>
            <w:tcW w:w="5953" w:type="dxa"/>
            <w:tcBorders>
              <w:top w:val="nil"/>
              <w:left w:val="nil"/>
              <w:bottom w:val="single" w:sz="4" w:space="0" w:color="auto"/>
              <w:right w:val="single" w:sz="4" w:space="0" w:color="auto"/>
            </w:tcBorders>
            <w:noWrap/>
            <w:vAlign w:val="center"/>
            <w:hideMark/>
          </w:tcPr>
          <w:p w14:paraId="3B2EE1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METLIKA JAVNO PODJETJE D.O.O.</w:t>
            </w:r>
          </w:p>
        </w:tc>
      </w:tr>
      <w:tr w:rsidR="00F24E18" w14:paraId="5ABC06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204E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552</w:t>
            </w:r>
          </w:p>
        </w:tc>
        <w:tc>
          <w:tcPr>
            <w:tcW w:w="1300" w:type="dxa"/>
            <w:tcBorders>
              <w:top w:val="nil"/>
              <w:left w:val="nil"/>
              <w:bottom w:val="single" w:sz="4" w:space="0" w:color="auto"/>
              <w:right w:val="single" w:sz="4" w:space="0" w:color="auto"/>
            </w:tcBorders>
            <w:noWrap/>
            <w:vAlign w:val="center"/>
            <w:hideMark/>
          </w:tcPr>
          <w:p w14:paraId="6A64AC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1534424000</w:t>
            </w:r>
          </w:p>
        </w:tc>
        <w:tc>
          <w:tcPr>
            <w:tcW w:w="1012" w:type="dxa"/>
            <w:tcBorders>
              <w:top w:val="nil"/>
              <w:left w:val="nil"/>
              <w:bottom w:val="single" w:sz="4" w:space="0" w:color="auto"/>
              <w:right w:val="single" w:sz="4" w:space="0" w:color="auto"/>
            </w:tcBorders>
            <w:noWrap/>
            <w:vAlign w:val="center"/>
            <w:hideMark/>
          </w:tcPr>
          <w:p w14:paraId="334BEF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73310948</w:t>
            </w:r>
          </w:p>
        </w:tc>
        <w:tc>
          <w:tcPr>
            <w:tcW w:w="5953" w:type="dxa"/>
            <w:tcBorders>
              <w:top w:val="nil"/>
              <w:left w:val="nil"/>
              <w:bottom w:val="single" w:sz="4" w:space="0" w:color="auto"/>
              <w:right w:val="single" w:sz="4" w:space="0" w:color="auto"/>
            </w:tcBorders>
            <w:noWrap/>
            <w:vAlign w:val="center"/>
            <w:hideMark/>
          </w:tcPr>
          <w:p w14:paraId="033D1E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MEŽICA JAVNO KOMUNALNO PODJETJE D.O.O.</w:t>
            </w:r>
          </w:p>
        </w:tc>
      </w:tr>
      <w:tr w:rsidR="00F24E18" w14:paraId="753C12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5CFD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553</w:t>
            </w:r>
          </w:p>
        </w:tc>
        <w:tc>
          <w:tcPr>
            <w:tcW w:w="1300" w:type="dxa"/>
            <w:tcBorders>
              <w:top w:val="nil"/>
              <w:left w:val="nil"/>
              <w:bottom w:val="single" w:sz="4" w:space="0" w:color="auto"/>
              <w:right w:val="single" w:sz="4" w:space="0" w:color="auto"/>
            </w:tcBorders>
            <w:vAlign w:val="center"/>
            <w:hideMark/>
          </w:tcPr>
          <w:p w14:paraId="5C7036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5073120000</w:t>
            </w:r>
          </w:p>
        </w:tc>
        <w:tc>
          <w:tcPr>
            <w:tcW w:w="1012" w:type="dxa"/>
            <w:tcBorders>
              <w:top w:val="nil"/>
              <w:left w:val="nil"/>
              <w:bottom w:val="single" w:sz="4" w:space="0" w:color="auto"/>
              <w:right w:val="single" w:sz="4" w:space="0" w:color="auto"/>
            </w:tcBorders>
            <w:vAlign w:val="center"/>
            <w:hideMark/>
          </w:tcPr>
          <w:p w14:paraId="57DDCC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13503766</w:t>
            </w:r>
          </w:p>
        </w:tc>
        <w:tc>
          <w:tcPr>
            <w:tcW w:w="5953" w:type="dxa"/>
            <w:tcBorders>
              <w:top w:val="nil"/>
              <w:left w:val="nil"/>
              <w:bottom w:val="single" w:sz="4" w:space="0" w:color="auto"/>
              <w:right w:val="single" w:sz="4" w:space="0" w:color="auto"/>
            </w:tcBorders>
            <w:noWrap/>
            <w:vAlign w:val="center"/>
            <w:hideMark/>
          </w:tcPr>
          <w:p w14:paraId="72FD29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NOVO MESTO D.O.O., JAVNO PODJETJE</w:t>
            </w:r>
          </w:p>
        </w:tc>
      </w:tr>
      <w:tr w:rsidR="00F24E18" w14:paraId="7BDCD72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8C4B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554</w:t>
            </w:r>
          </w:p>
        </w:tc>
        <w:tc>
          <w:tcPr>
            <w:tcW w:w="1300" w:type="dxa"/>
            <w:tcBorders>
              <w:top w:val="nil"/>
              <w:left w:val="nil"/>
              <w:bottom w:val="single" w:sz="4" w:space="0" w:color="auto"/>
              <w:right w:val="single" w:sz="4" w:space="0" w:color="auto"/>
            </w:tcBorders>
            <w:vAlign w:val="center"/>
            <w:hideMark/>
          </w:tcPr>
          <w:p w14:paraId="4D28B1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2117975000</w:t>
            </w:r>
          </w:p>
        </w:tc>
        <w:tc>
          <w:tcPr>
            <w:tcW w:w="1012" w:type="dxa"/>
            <w:tcBorders>
              <w:top w:val="nil"/>
              <w:left w:val="nil"/>
              <w:bottom w:val="single" w:sz="4" w:space="0" w:color="auto"/>
              <w:right w:val="single" w:sz="4" w:space="0" w:color="auto"/>
            </w:tcBorders>
            <w:vAlign w:val="center"/>
            <w:hideMark/>
          </w:tcPr>
          <w:p w14:paraId="2D3806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69673195</w:t>
            </w:r>
          </w:p>
        </w:tc>
        <w:tc>
          <w:tcPr>
            <w:tcW w:w="5953" w:type="dxa"/>
            <w:tcBorders>
              <w:top w:val="nil"/>
              <w:left w:val="nil"/>
              <w:bottom w:val="single" w:sz="4" w:space="0" w:color="auto"/>
              <w:right w:val="single" w:sz="4" w:space="0" w:color="auto"/>
            </w:tcBorders>
            <w:noWrap/>
            <w:vAlign w:val="center"/>
            <w:hideMark/>
          </w:tcPr>
          <w:p w14:paraId="595062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RADGONA, JAVNO PODJETJE D.O.O.</w:t>
            </w:r>
          </w:p>
        </w:tc>
      </w:tr>
      <w:tr w:rsidR="00F24E18" w14:paraId="4B36D5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36A7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555</w:t>
            </w:r>
          </w:p>
        </w:tc>
        <w:tc>
          <w:tcPr>
            <w:tcW w:w="1300" w:type="dxa"/>
            <w:tcBorders>
              <w:top w:val="nil"/>
              <w:left w:val="nil"/>
              <w:bottom w:val="single" w:sz="4" w:space="0" w:color="auto"/>
              <w:right w:val="single" w:sz="4" w:space="0" w:color="auto"/>
            </w:tcBorders>
            <w:vAlign w:val="center"/>
            <w:hideMark/>
          </w:tcPr>
          <w:p w14:paraId="65CC17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5063485000</w:t>
            </w:r>
          </w:p>
        </w:tc>
        <w:tc>
          <w:tcPr>
            <w:tcW w:w="1012" w:type="dxa"/>
            <w:tcBorders>
              <w:top w:val="nil"/>
              <w:left w:val="nil"/>
              <w:bottom w:val="single" w:sz="4" w:space="0" w:color="auto"/>
              <w:right w:val="single" w:sz="4" w:space="0" w:color="auto"/>
            </w:tcBorders>
            <w:vAlign w:val="center"/>
            <w:hideMark/>
          </w:tcPr>
          <w:p w14:paraId="61BCDF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98605275</w:t>
            </w:r>
          </w:p>
        </w:tc>
        <w:tc>
          <w:tcPr>
            <w:tcW w:w="5953" w:type="dxa"/>
            <w:tcBorders>
              <w:top w:val="nil"/>
              <w:left w:val="nil"/>
              <w:bottom w:val="single" w:sz="4" w:space="0" w:color="auto"/>
              <w:right w:val="single" w:sz="4" w:space="0" w:color="auto"/>
            </w:tcBorders>
            <w:noWrap/>
            <w:vAlign w:val="center"/>
            <w:hideMark/>
          </w:tcPr>
          <w:p w14:paraId="25E131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RADOVLJICA, JAVNO PODJETJE ZA KOMUNALNO DEJAVNOST, D.O.O.</w:t>
            </w:r>
          </w:p>
        </w:tc>
      </w:tr>
      <w:tr w:rsidR="00F24E18" w14:paraId="05F8BFB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B3E7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556</w:t>
            </w:r>
          </w:p>
        </w:tc>
        <w:tc>
          <w:tcPr>
            <w:tcW w:w="1300" w:type="dxa"/>
            <w:tcBorders>
              <w:top w:val="nil"/>
              <w:left w:val="nil"/>
              <w:bottom w:val="single" w:sz="4" w:space="0" w:color="auto"/>
              <w:right w:val="single" w:sz="4" w:space="0" w:color="auto"/>
            </w:tcBorders>
            <w:vAlign w:val="center"/>
            <w:hideMark/>
          </w:tcPr>
          <w:p w14:paraId="3DD123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5073162000</w:t>
            </w:r>
          </w:p>
        </w:tc>
        <w:tc>
          <w:tcPr>
            <w:tcW w:w="1012" w:type="dxa"/>
            <w:tcBorders>
              <w:top w:val="nil"/>
              <w:left w:val="nil"/>
              <w:bottom w:val="single" w:sz="4" w:space="0" w:color="auto"/>
              <w:right w:val="single" w:sz="4" w:space="0" w:color="auto"/>
            </w:tcBorders>
            <w:vAlign w:val="center"/>
            <w:hideMark/>
          </w:tcPr>
          <w:p w14:paraId="1B48F9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32621213</w:t>
            </w:r>
          </w:p>
        </w:tc>
        <w:tc>
          <w:tcPr>
            <w:tcW w:w="5953" w:type="dxa"/>
            <w:tcBorders>
              <w:top w:val="nil"/>
              <w:left w:val="nil"/>
              <w:bottom w:val="single" w:sz="4" w:space="0" w:color="auto"/>
              <w:right w:val="single" w:sz="4" w:space="0" w:color="auto"/>
            </w:tcBorders>
            <w:noWrap/>
            <w:vAlign w:val="center"/>
            <w:hideMark/>
          </w:tcPr>
          <w:p w14:paraId="598608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SLOVENSKA BISTRICA PODJETJE ZA KOMUNALNE IN DRUGE STORITVE D.O.O.</w:t>
            </w:r>
          </w:p>
        </w:tc>
      </w:tr>
      <w:tr w:rsidR="00F24E18" w14:paraId="753729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DEEE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557</w:t>
            </w:r>
          </w:p>
        </w:tc>
        <w:tc>
          <w:tcPr>
            <w:tcW w:w="1300" w:type="dxa"/>
            <w:tcBorders>
              <w:top w:val="nil"/>
              <w:left w:val="nil"/>
              <w:bottom w:val="single" w:sz="4" w:space="0" w:color="auto"/>
              <w:right w:val="single" w:sz="4" w:space="0" w:color="auto"/>
            </w:tcBorders>
            <w:vAlign w:val="center"/>
            <w:hideMark/>
          </w:tcPr>
          <w:p w14:paraId="2D6023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5077532000</w:t>
            </w:r>
          </w:p>
        </w:tc>
        <w:tc>
          <w:tcPr>
            <w:tcW w:w="1012" w:type="dxa"/>
            <w:tcBorders>
              <w:top w:val="nil"/>
              <w:left w:val="nil"/>
              <w:bottom w:val="single" w:sz="4" w:space="0" w:color="auto"/>
              <w:right w:val="single" w:sz="4" w:space="0" w:color="auto"/>
            </w:tcBorders>
            <w:vAlign w:val="center"/>
            <w:hideMark/>
          </w:tcPr>
          <w:p w14:paraId="5C445B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97143499</w:t>
            </w:r>
          </w:p>
        </w:tc>
        <w:tc>
          <w:tcPr>
            <w:tcW w:w="5953" w:type="dxa"/>
            <w:tcBorders>
              <w:top w:val="nil"/>
              <w:left w:val="nil"/>
              <w:bottom w:val="single" w:sz="4" w:space="0" w:color="auto"/>
              <w:right w:val="single" w:sz="4" w:space="0" w:color="auto"/>
            </w:tcBorders>
            <w:noWrap/>
            <w:vAlign w:val="center"/>
            <w:hideMark/>
          </w:tcPr>
          <w:p w14:paraId="4576AF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TOLMIN, JAVNO PODJETJE, D.O.O.</w:t>
            </w:r>
          </w:p>
        </w:tc>
      </w:tr>
      <w:tr w:rsidR="00F24E18" w14:paraId="5091F9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40CE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558</w:t>
            </w:r>
          </w:p>
        </w:tc>
        <w:tc>
          <w:tcPr>
            <w:tcW w:w="1300" w:type="dxa"/>
            <w:tcBorders>
              <w:top w:val="nil"/>
              <w:left w:val="nil"/>
              <w:bottom w:val="single" w:sz="4" w:space="0" w:color="auto"/>
              <w:right w:val="single" w:sz="4" w:space="0" w:color="auto"/>
            </w:tcBorders>
            <w:vAlign w:val="center"/>
            <w:hideMark/>
          </w:tcPr>
          <w:p w14:paraId="31476F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5243858000</w:t>
            </w:r>
          </w:p>
        </w:tc>
        <w:tc>
          <w:tcPr>
            <w:tcW w:w="1012" w:type="dxa"/>
            <w:tcBorders>
              <w:top w:val="nil"/>
              <w:left w:val="nil"/>
              <w:bottom w:val="single" w:sz="4" w:space="0" w:color="auto"/>
              <w:right w:val="single" w:sz="4" w:space="0" w:color="auto"/>
            </w:tcBorders>
            <w:vAlign w:val="center"/>
            <w:hideMark/>
          </w:tcPr>
          <w:p w14:paraId="1C8738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96907436</w:t>
            </w:r>
          </w:p>
        </w:tc>
        <w:tc>
          <w:tcPr>
            <w:tcW w:w="5953" w:type="dxa"/>
            <w:tcBorders>
              <w:top w:val="nil"/>
              <w:left w:val="nil"/>
              <w:bottom w:val="single" w:sz="4" w:space="0" w:color="auto"/>
              <w:right w:val="single" w:sz="4" w:space="0" w:color="auto"/>
            </w:tcBorders>
            <w:noWrap/>
            <w:vAlign w:val="center"/>
            <w:hideMark/>
          </w:tcPr>
          <w:p w14:paraId="0A82A2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TREBNJE D.O.O.</w:t>
            </w:r>
          </w:p>
        </w:tc>
      </w:tr>
      <w:tr w:rsidR="00F24E18" w14:paraId="243D5BF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2B90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559</w:t>
            </w:r>
          </w:p>
        </w:tc>
        <w:tc>
          <w:tcPr>
            <w:tcW w:w="1300" w:type="dxa"/>
            <w:tcBorders>
              <w:top w:val="nil"/>
              <w:left w:val="nil"/>
              <w:bottom w:val="single" w:sz="4" w:space="0" w:color="auto"/>
              <w:right w:val="single" w:sz="4" w:space="0" w:color="auto"/>
            </w:tcBorders>
            <w:vAlign w:val="center"/>
            <w:hideMark/>
          </w:tcPr>
          <w:p w14:paraId="2152F9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5145023000</w:t>
            </w:r>
          </w:p>
        </w:tc>
        <w:tc>
          <w:tcPr>
            <w:tcW w:w="1012" w:type="dxa"/>
            <w:tcBorders>
              <w:top w:val="nil"/>
              <w:left w:val="nil"/>
              <w:bottom w:val="single" w:sz="4" w:space="0" w:color="auto"/>
              <w:right w:val="single" w:sz="4" w:space="0" w:color="auto"/>
            </w:tcBorders>
            <w:vAlign w:val="center"/>
            <w:hideMark/>
          </w:tcPr>
          <w:p w14:paraId="073117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45105138</w:t>
            </w:r>
          </w:p>
        </w:tc>
        <w:tc>
          <w:tcPr>
            <w:tcW w:w="5953" w:type="dxa"/>
            <w:tcBorders>
              <w:top w:val="nil"/>
              <w:left w:val="nil"/>
              <w:bottom w:val="single" w:sz="4" w:space="0" w:color="auto"/>
              <w:right w:val="single" w:sz="4" w:space="0" w:color="auto"/>
            </w:tcBorders>
            <w:noWrap/>
            <w:vAlign w:val="center"/>
            <w:hideMark/>
          </w:tcPr>
          <w:p w14:paraId="015B3C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TRŽIČ D.O.O.</w:t>
            </w:r>
          </w:p>
        </w:tc>
      </w:tr>
      <w:tr w:rsidR="00F24E18" w14:paraId="2223E9C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FED7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560</w:t>
            </w:r>
          </w:p>
        </w:tc>
        <w:tc>
          <w:tcPr>
            <w:tcW w:w="1300" w:type="dxa"/>
            <w:tcBorders>
              <w:top w:val="nil"/>
              <w:left w:val="nil"/>
              <w:bottom w:val="single" w:sz="4" w:space="0" w:color="auto"/>
              <w:right w:val="single" w:sz="4" w:space="0" w:color="auto"/>
            </w:tcBorders>
            <w:noWrap/>
            <w:vAlign w:val="center"/>
            <w:hideMark/>
          </w:tcPr>
          <w:p w14:paraId="2B9D04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5777372000</w:t>
            </w:r>
          </w:p>
        </w:tc>
        <w:tc>
          <w:tcPr>
            <w:tcW w:w="1012" w:type="dxa"/>
            <w:tcBorders>
              <w:top w:val="nil"/>
              <w:left w:val="nil"/>
              <w:bottom w:val="single" w:sz="4" w:space="0" w:color="auto"/>
              <w:right w:val="single" w:sz="4" w:space="0" w:color="auto"/>
            </w:tcBorders>
            <w:noWrap/>
            <w:vAlign w:val="center"/>
            <w:hideMark/>
          </w:tcPr>
          <w:p w14:paraId="41CD10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85712990</w:t>
            </w:r>
          </w:p>
        </w:tc>
        <w:tc>
          <w:tcPr>
            <w:tcW w:w="5953" w:type="dxa"/>
            <w:tcBorders>
              <w:top w:val="nil"/>
              <w:left w:val="nil"/>
              <w:bottom w:val="single" w:sz="4" w:space="0" w:color="auto"/>
              <w:right w:val="single" w:sz="4" w:space="0" w:color="auto"/>
            </w:tcBorders>
            <w:noWrap/>
            <w:vAlign w:val="center"/>
            <w:hideMark/>
          </w:tcPr>
          <w:p w14:paraId="730F04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VITANJE, JAVNO PODJETJE D.O.O.,</w:t>
            </w:r>
          </w:p>
        </w:tc>
      </w:tr>
      <w:tr w:rsidR="00F24E18" w14:paraId="1781DD8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CBD3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w:t>
            </w:r>
          </w:p>
        </w:tc>
        <w:tc>
          <w:tcPr>
            <w:tcW w:w="1300" w:type="dxa"/>
            <w:tcBorders>
              <w:top w:val="nil"/>
              <w:left w:val="nil"/>
              <w:bottom w:val="single" w:sz="4" w:space="0" w:color="auto"/>
              <w:right w:val="single" w:sz="4" w:space="0" w:color="auto"/>
            </w:tcBorders>
            <w:vAlign w:val="center"/>
            <w:hideMark/>
          </w:tcPr>
          <w:p w14:paraId="647430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5067936000</w:t>
            </w:r>
          </w:p>
        </w:tc>
        <w:tc>
          <w:tcPr>
            <w:tcW w:w="1012" w:type="dxa"/>
            <w:tcBorders>
              <w:top w:val="nil"/>
              <w:left w:val="nil"/>
              <w:bottom w:val="single" w:sz="4" w:space="0" w:color="auto"/>
              <w:right w:val="single" w:sz="4" w:space="0" w:color="auto"/>
            </w:tcBorders>
            <w:vAlign w:val="center"/>
            <w:hideMark/>
          </w:tcPr>
          <w:p w14:paraId="586D72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61364576</w:t>
            </w:r>
          </w:p>
        </w:tc>
        <w:tc>
          <w:tcPr>
            <w:tcW w:w="5953" w:type="dxa"/>
            <w:tcBorders>
              <w:top w:val="nil"/>
              <w:left w:val="nil"/>
              <w:bottom w:val="single" w:sz="4" w:space="0" w:color="auto"/>
              <w:right w:val="single" w:sz="4" w:space="0" w:color="auto"/>
            </w:tcBorders>
            <w:noWrap/>
            <w:vAlign w:val="center"/>
            <w:hideMark/>
          </w:tcPr>
          <w:p w14:paraId="79C50C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JAVNO PODJETJE D.O.O.</w:t>
            </w:r>
          </w:p>
        </w:tc>
      </w:tr>
      <w:tr w:rsidR="00F24E18" w14:paraId="58C3EE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1CF6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562</w:t>
            </w:r>
          </w:p>
        </w:tc>
        <w:tc>
          <w:tcPr>
            <w:tcW w:w="1300" w:type="dxa"/>
            <w:tcBorders>
              <w:top w:val="nil"/>
              <w:left w:val="nil"/>
              <w:bottom w:val="single" w:sz="4" w:space="0" w:color="auto"/>
              <w:right w:val="single" w:sz="4" w:space="0" w:color="auto"/>
            </w:tcBorders>
            <w:vAlign w:val="center"/>
            <w:hideMark/>
          </w:tcPr>
          <w:p w14:paraId="2E3270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5918375000</w:t>
            </w:r>
          </w:p>
        </w:tc>
        <w:tc>
          <w:tcPr>
            <w:tcW w:w="1012" w:type="dxa"/>
            <w:tcBorders>
              <w:top w:val="nil"/>
              <w:left w:val="nil"/>
              <w:bottom w:val="single" w:sz="4" w:space="0" w:color="auto"/>
              <w:right w:val="single" w:sz="4" w:space="0" w:color="auto"/>
            </w:tcBorders>
            <w:vAlign w:val="center"/>
            <w:hideMark/>
          </w:tcPr>
          <w:p w14:paraId="6023EE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43632319</w:t>
            </w:r>
          </w:p>
        </w:tc>
        <w:tc>
          <w:tcPr>
            <w:tcW w:w="5953" w:type="dxa"/>
            <w:tcBorders>
              <w:top w:val="nil"/>
              <w:left w:val="nil"/>
              <w:bottom w:val="single" w:sz="4" w:space="0" w:color="auto"/>
              <w:right w:val="single" w:sz="4" w:space="0" w:color="auto"/>
            </w:tcBorders>
            <w:noWrap/>
            <w:vAlign w:val="center"/>
            <w:hideMark/>
          </w:tcPr>
          <w:p w14:paraId="5D7E7E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KOMUNALA, JAVNO PODJETJE, KRANJSKA GORA, D.O.O.</w:t>
            </w:r>
          </w:p>
        </w:tc>
      </w:tr>
      <w:tr w:rsidR="00F24E18" w14:paraId="57DA69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AAA0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w:t>
            </w:r>
          </w:p>
        </w:tc>
        <w:tc>
          <w:tcPr>
            <w:tcW w:w="1300" w:type="dxa"/>
            <w:tcBorders>
              <w:top w:val="nil"/>
              <w:left w:val="nil"/>
              <w:bottom w:val="single" w:sz="4" w:space="0" w:color="auto"/>
              <w:right w:val="single" w:sz="4" w:space="0" w:color="auto"/>
            </w:tcBorders>
            <w:vAlign w:val="center"/>
            <w:hideMark/>
          </w:tcPr>
          <w:p w14:paraId="7FE6BD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5073049000</w:t>
            </w:r>
          </w:p>
        </w:tc>
        <w:tc>
          <w:tcPr>
            <w:tcW w:w="1012" w:type="dxa"/>
            <w:tcBorders>
              <w:top w:val="nil"/>
              <w:left w:val="nil"/>
              <w:bottom w:val="single" w:sz="4" w:space="0" w:color="auto"/>
              <w:right w:val="single" w:sz="4" w:space="0" w:color="auto"/>
            </w:tcBorders>
            <w:vAlign w:val="center"/>
            <w:hideMark/>
          </w:tcPr>
          <w:p w14:paraId="51F31F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66338441</w:t>
            </w:r>
          </w:p>
        </w:tc>
        <w:tc>
          <w:tcPr>
            <w:tcW w:w="5953" w:type="dxa"/>
            <w:tcBorders>
              <w:top w:val="nil"/>
              <w:left w:val="nil"/>
              <w:bottom w:val="single" w:sz="4" w:space="0" w:color="auto"/>
              <w:right w:val="single" w:sz="4" w:space="0" w:color="auto"/>
            </w:tcBorders>
            <w:noWrap/>
            <w:vAlign w:val="center"/>
            <w:hideMark/>
          </w:tcPr>
          <w:p w14:paraId="771E13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KOMUNALNO PODJETJE ORMOŽ D.O.O.</w:t>
            </w:r>
          </w:p>
        </w:tc>
      </w:tr>
      <w:tr w:rsidR="00F24E18" w14:paraId="579F3DD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0D1C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w:t>
            </w:r>
          </w:p>
        </w:tc>
        <w:tc>
          <w:tcPr>
            <w:tcW w:w="1300" w:type="dxa"/>
            <w:tcBorders>
              <w:top w:val="nil"/>
              <w:left w:val="nil"/>
              <w:bottom w:val="single" w:sz="4" w:space="0" w:color="auto"/>
              <w:right w:val="single" w:sz="4" w:space="0" w:color="auto"/>
            </w:tcBorders>
            <w:vAlign w:val="center"/>
            <w:hideMark/>
          </w:tcPr>
          <w:p w14:paraId="1F1A8A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5321387000</w:t>
            </w:r>
          </w:p>
        </w:tc>
        <w:tc>
          <w:tcPr>
            <w:tcW w:w="1012" w:type="dxa"/>
            <w:tcBorders>
              <w:top w:val="nil"/>
              <w:left w:val="nil"/>
              <w:bottom w:val="single" w:sz="4" w:space="0" w:color="auto"/>
              <w:right w:val="single" w:sz="4" w:space="0" w:color="auto"/>
            </w:tcBorders>
            <w:vAlign w:val="center"/>
            <w:hideMark/>
          </w:tcPr>
          <w:p w14:paraId="584066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65735676</w:t>
            </w:r>
          </w:p>
        </w:tc>
        <w:tc>
          <w:tcPr>
            <w:tcW w:w="5953" w:type="dxa"/>
            <w:tcBorders>
              <w:top w:val="nil"/>
              <w:left w:val="nil"/>
              <w:bottom w:val="single" w:sz="4" w:space="0" w:color="auto"/>
              <w:right w:val="single" w:sz="4" w:space="0" w:color="auto"/>
            </w:tcBorders>
            <w:noWrap/>
            <w:vAlign w:val="center"/>
            <w:hideMark/>
          </w:tcPr>
          <w:p w14:paraId="39B7B4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KOMUNALNO PODJETJE PTUJ D.D.</w:t>
            </w:r>
          </w:p>
        </w:tc>
      </w:tr>
      <w:tr w:rsidR="00F24E18" w14:paraId="683E496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3142B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565</w:t>
            </w:r>
          </w:p>
        </w:tc>
        <w:tc>
          <w:tcPr>
            <w:tcW w:w="1300" w:type="dxa"/>
            <w:tcBorders>
              <w:top w:val="nil"/>
              <w:left w:val="nil"/>
              <w:bottom w:val="single" w:sz="4" w:space="0" w:color="auto"/>
              <w:right w:val="single" w:sz="4" w:space="0" w:color="auto"/>
            </w:tcBorders>
            <w:vAlign w:val="center"/>
            <w:hideMark/>
          </w:tcPr>
          <w:p w14:paraId="07C7A2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5222109000</w:t>
            </w:r>
          </w:p>
        </w:tc>
        <w:tc>
          <w:tcPr>
            <w:tcW w:w="1012" w:type="dxa"/>
            <w:tcBorders>
              <w:top w:val="nil"/>
              <w:left w:val="nil"/>
              <w:bottom w:val="single" w:sz="4" w:space="0" w:color="auto"/>
              <w:right w:val="single" w:sz="4" w:space="0" w:color="auto"/>
            </w:tcBorders>
            <w:vAlign w:val="center"/>
            <w:hideMark/>
          </w:tcPr>
          <w:p w14:paraId="10C037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55713998</w:t>
            </w:r>
          </w:p>
        </w:tc>
        <w:tc>
          <w:tcPr>
            <w:tcW w:w="5953" w:type="dxa"/>
            <w:tcBorders>
              <w:top w:val="nil"/>
              <w:left w:val="nil"/>
              <w:bottom w:val="single" w:sz="4" w:space="0" w:color="auto"/>
              <w:right w:val="single" w:sz="4" w:space="0" w:color="auto"/>
            </w:tcBorders>
            <w:noWrap/>
            <w:vAlign w:val="center"/>
            <w:hideMark/>
          </w:tcPr>
          <w:p w14:paraId="392F57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KOMUNALNO PODJETJE VELENJE IZVAJANJE KOMUNALNIH DEJAVNOSTI, D.O.O</w:t>
            </w:r>
          </w:p>
        </w:tc>
      </w:tr>
      <w:tr w:rsidR="00F24E18" w14:paraId="13BE24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9319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566</w:t>
            </w:r>
          </w:p>
        </w:tc>
        <w:tc>
          <w:tcPr>
            <w:tcW w:w="1300" w:type="dxa"/>
            <w:tcBorders>
              <w:top w:val="nil"/>
              <w:left w:val="nil"/>
              <w:bottom w:val="single" w:sz="4" w:space="0" w:color="auto"/>
              <w:right w:val="single" w:sz="4" w:space="0" w:color="auto"/>
            </w:tcBorders>
            <w:vAlign w:val="center"/>
            <w:hideMark/>
          </w:tcPr>
          <w:p w14:paraId="7E5109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5210461000</w:t>
            </w:r>
          </w:p>
        </w:tc>
        <w:tc>
          <w:tcPr>
            <w:tcW w:w="1012" w:type="dxa"/>
            <w:tcBorders>
              <w:top w:val="nil"/>
              <w:left w:val="nil"/>
              <w:bottom w:val="single" w:sz="4" w:space="0" w:color="auto"/>
              <w:right w:val="single" w:sz="4" w:space="0" w:color="auto"/>
            </w:tcBorders>
            <w:vAlign w:val="center"/>
            <w:hideMark/>
          </w:tcPr>
          <w:p w14:paraId="05DE2A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68647336</w:t>
            </w:r>
          </w:p>
        </w:tc>
        <w:tc>
          <w:tcPr>
            <w:tcW w:w="5953" w:type="dxa"/>
            <w:tcBorders>
              <w:top w:val="nil"/>
              <w:left w:val="nil"/>
              <w:bottom w:val="single" w:sz="4" w:space="0" w:color="auto"/>
              <w:right w:val="single" w:sz="4" w:space="0" w:color="auto"/>
            </w:tcBorders>
            <w:noWrap/>
            <w:vAlign w:val="center"/>
            <w:hideMark/>
          </w:tcPr>
          <w:p w14:paraId="37109F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KOMUNALNO STANOVANJSKA DRUŽBA D.O.O. AJDOVŠČINA</w:t>
            </w:r>
          </w:p>
        </w:tc>
      </w:tr>
      <w:tr w:rsidR="00F24E18" w14:paraId="66DBE6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873B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567</w:t>
            </w:r>
          </w:p>
        </w:tc>
        <w:tc>
          <w:tcPr>
            <w:tcW w:w="1300" w:type="dxa"/>
            <w:tcBorders>
              <w:top w:val="nil"/>
              <w:left w:val="nil"/>
              <w:bottom w:val="single" w:sz="4" w:space="0" w:color="auto"/>
              <w:right w:val="single" w:sz="4" w:space="0" w:color="auto"/>
            </w:tcBorders>
            <w:noWrap/>
            <w:vAlign w:val="center"/>
            <w:hideMark/>
          </w:tcPr>
          <w:p w14:paraId="5F09B8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5110246000</w:t>
            </w:r>
          </w:p>
        </w:tc>
        <w:tc>
          <w:tcPr>
            <w:tcW w:w="1012" w:type="dxa"/>
            <w:tcBorders>
              <w:top w:val="nil"/>
              <w:left w:val="nil"/>
              <w:bottom w:val="single" w:sz="4" w:space="0" w:color="auto"/>
              <w:right w:val="single" w:sz="4" w:space="0" w:color="auto"/>
            </w:tcBorders>
            <w:noWrap/>
            <w:vAlign w:val="center"/>
            <w:hideMark/>
          </w:tcPr>
          <w:p w14:paraId="12FB30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48190675</w:t>
            </w:r>
          </w:p>
        </w:tc>
        <w:tc>
          <w:tcPr>
            <w:tcW w:w="5953" w:type="dxa"/>
            <w:tcBorders>
              <w:top w:val="nil"/>
              <w:left w:val="nil"/>
              <w:bottom w:val="single" w:sz="4" w:space="0" w:color="auto"/>
              <w:right w:val="single" w:sz="4" w:space="0" w:color="auto"/>
            </w:tcBorders>
            <w:noWrap/>
            <w:vAlign w:val="center"/>
            <w:hideMark/>
          </w:tcPr>
          <w:p w14:paraId="49874E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KONSERVATORIJ ZA GLASBO IN BALET MARIBOR</w:t>
            </w:r>
          </w:p>
        </w:tc>
      </w:tr>
      <w:tr w:rsidR="00F24E18" w14:paraId="43AD10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25F6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568</w:t>
            </w:r>
          </w:p>
        </w:tc>
        <w:tc>
          <w:tcPr>
            <w:tcW w:w="1300" w:type="dxa"/>
            <w:tcBorders>
              <w:top w:val="nil"/>
              <w:left w:val="nil"/>
              <w:bottom w:val="single" w:sz="4" w:space="0" w:color="auto"/>
              <w:right w:val="single" w:sz="4" w:space="0" w:color="auto"/>
            </w:tcBorders>
            <w:vAlign w:val="center"/>
            <w:hideMark/>
          </w:tcPr>
          <w:p w14:paraId="54666D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1913301000</w:t>
            </w:r>
          </w:p>
        </w:tc>
        <w:tc>
          <w:tcPr>
            <w:tcW w:w="1012" w:type="dxa"/>
            <w:tcBorders>
              <w:top w:val="nil"/>
              <w:left w:val="nil"/>
              <w:bottom w:val="single" w:sz="4" w:space="0" w:color="auto"/>
              <w:right w:val="single" w:sz="4" w:space="0" w:color="auto"/>
            </w:tcBorders>
            <w:vAlign w:val="center"/>
            <w:hideMark/>
          </w:tcPr>
          <w:p w14:paraId="78844B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18930492</w:t>
            </w:r>
          </w:p>
        </w:tc>
        <w:tc>
          <w:tcPr>
            <w:tcW w:w="5953" w:type="dxa"/>
            <w:tcBorders>
              <w:top w:val="nil"/>
              <w:left w:val="nil"/>
              <w:bottom w:val="single" w:sz="4" w:space="0" w:color="auto"/>
              <w:right w:val="single" w:sz="4" w:space="0" w:color="auto"/>
            </w:tcBorders>
            <w:noWrap/>
            <w:vAlign w:val="center"/>
            <w:hideMark/>
          </w:tcPr>
          <w:p w14:paraId="0659F2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KONTROLA ZRAČNEGA PROMETA SLOVENIJE, D.O.O.</w:t>
            </w:r>
          </w:p>
        </w:tc>
      </w:tr>
      <w:tr w:rsidR="00F24E18" w14:paraId="37444DC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60C7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w:t>
            </w:r>
          </w:p>
        </w:tc>
        <w:tc>
          <w:tcPr>
            <w:tcW w:w="1300" w:type="dxa"/>
            <w:tcBorders>
              <w:top w:val="nil"/>
              <w:left w:val="nil"/>
              <w:bottom w:val="single" w:sz="4" w:space="0" w:color="auto"/>
              <w:right w:val="single" w:sz="4" w:space="0" w:color="auto"/>
            </w:tcBorders>
            <w:noWrap/>
            <w:vAlign w:val="center"/>
            <w:hideMark/>
          </w:tcPr>
          <w:p w14:paraId="58CE1C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5518156000</w:t>
            </w:r>
          </w:p>
        </w:tc>
        <w:tc>
          <w:tcPr>
            <w:tcW w:w="1012" w:type="dxa"/>
            <w:tcBorders>
              <w:top w:val="nil"/>
              <w:left w:val="nil"/>
              <w:bottom w:val="single" w:sz="4" w:space="0" w:color="auto"/>
              <w:right w:val="single" w:sz="4" w:space="0" w:color="auto"/>
            </w:tcBorders>
            <w:noWrap/>
            <w:vAlign w:val="center"/>
            <w:hideMark/>
          </w:tcPr>
          <w:p w14:paraId="763487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55926215</w:t>
            </w:r>
          </w:p>
        </w:tc>
        <w:tc>
          <w:tcPr>
            <w:tcW w:w="5953" w:type="dxa"/>
            <w:tcBorders>
              <w:top w:val="nil"/>
              <w:left w:val="nil"/>
              <w:bottom w:val="single" w:sz="4" w:space="0" w:color="auto"/>
              <w:right w:val="single" w:sz="4" w:space="0" w:color="auto"/>
            </w:tcBorders>
            <w:noWrap/>
            <w:vAlign w:val="center"/>
            <w:hideMark/>
          </w:tcPr>
          <w:p w14:paraId="584A58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KOROŠKA GALERIJA LIKOVNIH UMETNOSTI</w:t>
            </w:r>
          </w:p>
        </w:tc>
      </w:tr>
      <w:tr w:rsidR="00F24E18" w14:paraId="33F71B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67C4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570</w:t>
            </w:r>
          </w:p>
        </w:tc>
        <w:tc>
          <w:tcPr>
            <w:tcW w:w="1300" w:type="dxa"/>
            <w:tcBorders>
              <w:top w:val="nil"/>
              <w:left w:val="nil"/>
              <w:bottom w:val="single" w:sz="4" w:space="0" w:color="auto"/>
              <w:right w:val="single" w:sz="4" w:space="0" w:color="auto"/>
            </w:tcBorders>
            <w:vAlign w:val="center"/>
            <w:hideMark/>
          </w:tcPr>
          <w:p w14:paraId="71E17F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5055709000</w:t>
            </w:r>
          </w:p>
        </w:tc>
        <w:tc>
          <w:tcPr>
            <w:tcW w:w="1012" w:type="dxa"/>
            <w:tcBorders>
              <w:top w:val="nil"/>
              <w:left w:val="nil"/>
              <w:bottom w:val="single" w:sz="4" w:space="0" w:color="auto"/>
              <w:right w:val="single" w:sz="4" w:space="0" w:color="auto"/>
            </w:tcBorders>
            <w:vAlign w:val="center"/>
            <w:hideMark/>
          </w:tcPr>
          <w:p w14:paraId="72D6FC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40712974</w:t>
            </w:r>
          </w:p>
        </w:tc>
        <w:tc>
          <w:tcPr>
            <w:tcW w:w="5953" w:type="dxa"/>
            <w:tcBorders>
              <w:top w:val="nil"/>
              <w:left w:val="nil"/>
              <w:bottom w:val="single" w:sz="4" w:space="0" w:color="auto"/>
              <w:right w:val="single" w:sz="4" w:space="0" w:color="auto"/>
            </w:tcBorders>
            <w:noWrap/>
            <w:vAlign w:val="center"/>
            <w:hideMark/>
          </w:tcPr>
          <w:p w14:paraId="3CA8D4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KOROŠKA LEKARNA</w:t>
            </w:r>
          </w:p>
        </w:tc>
      </w:tr>
      <w:tr w:rsidR="00F24E18" w14:paraId="7DFF6A7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DA5B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w:t>
            </w:r>
          </w:p>
        </w:tc>
        <w:tc>
          <w:tcPr>
            <w:tcW w:w="1300" w:type="dxa"/>
            <w:tcBorders>
              <w:top w:val="nil"/>
              <w:left w:val="nil"/>
              <w:bottom w:val="single" w:sz="4" w:space="0" w:color="auto"/>
              <w:right w:val="single" w:sz="4" w:space="0" w:color="auto"/>
            </w:tcBorders>
            <w:vAlign w:val="center"/>
            <w:hideMark/>
          </w:tcPr>
          <w:p w14:paraId="38E6A2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5049679000</w:t>
            </w:r>
          </w:p>
        </w:tc>
        <w:tc>
          <w:tcPr>
            <w:tcW w:w="1012" w:type="dxa"/>
            <w:tcBorders>
              <w:top w:val="nil"/>
              <w:left w:val="nil"/>
              <w:bottom w:val="single" w:sz="4" w:space="0" w:color="auto"/>
              <w:right w:val="single" w:sz="4" w:space="0" w:color="auto"/>
            </w:tcBorders>
            <w:vAlign w:val="center"/>
            <w:hideMark/>
          </w:tcPr>
          <w:p w14:paraId="030569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66420385</w:t>
            </w:r>
          </w:p>
        </w:tc>
        <w:tc>
          <w:tcPr>
            <w:tcW w:w="5953" w:type="dxa"/>
            <w:tcBorders>
              <w:top w:val="nil"/>
              <w:left w:val="nil"/>
              <w:bottom w:val="single" w:sz="4" w:space="0" w:color="auto"/>
              <w:right w:val="single" w:sz="4" w:space="0" w:color="auto"/>
            </w:tcBorders>
            <w:noWrap/>
            <w:vAlign w:val="center"/>
            <w:hideMark/>
          </w:tcPr>
          <w:p w14:paraId="01A04E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KOROŠKI DOM STAROSTNIKOV</w:t>
            </w:r>
          </w:p>
        </w:tc>
      </w:tr>
      <w:tr w:rsidR="00F24E18" w14:paraId="5565E9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A4BF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w:t>
            </w:r>
          </w:p>
        </w:tc>
        <w:tc>
          <w:tcPr>
            <w:tcW w:w="1300" w:type="dxa"/>
            <w:tcBorders>
              <w:top w:val="nil"/>
              <w:left w:val="nil"/>
              <w:bottom w:val="single" w:sz="4" w:space="0" w:color="auto"/>
              <w:right w:val="single" w:sz="4" w:space="0" w:color="auto"/>
            </w:tcBorders>
            <w:noWrap/>
            <w:vAlign w:val="center"/>
            <w:hideMark/>
          </w:tcPr>
          <w:p w14:paraId="2D5381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1782681000</w:t>
            </w:r>
          </w:p>
        </w:tc>
        <w:tc>
          <w:tcPr>
            <w:tcW w:w="1012" w:type="dxa"/>
            <w:tcBorders>
              <w:top w:val="nil"/>
              <w:left w:val="nil"/>
              <w:bottom w:val="single" w:sz="4" w:space="0" w:color="auto"/>
              <w:right w:val="single" w:sz="4" w:space="0" w:color="auto"/>
            </w:tcBorders>
            <w:noWrap/>
            <w:vAlign w:val="center"/>
            <w:hideMark/>
          </w:tcPr>
          <w:p w14:paraId="77ADD3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36339954</w:t>
            </w:r>
          </w:p>
        </w:tc>
        <w:tc>
          <w:tcPr>
            <w:tcW w:w="5953" w:type="dxa"/>
            <w:tcBorders>
              <w:top w:val="nil"/>
              <w:left w:val="nil"/>
              <w:bottom w:val="single" w:sz="4" w:space="0" w:color="auto"/>
              <w:right w:val="single" w:sz="4" w:space="0" w:color="auto"/>
            </w:tcBorders>
            <w:noWrap/>
            <w:vAlign w:val="center"/>
            <w:hideMark/>
          </w:tcPr>
          <w:p w14:paraId="628CFA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KOROŠKI POKRAJINSKI MUZEJ</w:t>
            </w:r>
          </w:p>
        </w:tc>
      </w:tr>
      <w:tr w:rsidR="00F24E18" w14:paraId="324F07F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BFE3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573</w:t>
            </w:r>
          </w:p>
        </w:tc>
        <w:tc>
          <w:tcPr>
            <w:tcW w:w="1300" w:type="dxa"/>
            <w:tcBorders>
              <w:top w:val="nil"/>
              <w:left w:val="nil"/>
              <w:bottom w:val="single" w:sz="4" w:space="0" w:color="auto"/>
              <w:right w:val="single" w:sz="4" w:space="0" w:color="auto"/>
            </w:tcBorders>
            <w:vAlign w:val="center"/>
            <w:hideMark/>
          </w:tcPr>
          <w:p w14:paraId="797590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5243220000</w:t>
            </w:r>
          </w:p>
        </w:tc>
        <w:tc>
          <w:tcPr>
            <w:tcW w:w="1012" w:type="dxa"/>
            <w:tcBorders>
              <w:top w:val="nil"/>
              <w:left w:val="nil"/>
              <w:bottom w:val="single" w:sz="4" w:space="0" w:color="auto"/>
              <w:right w:val="single" w:sz="4" w:space="0" w:color="auto"/>
            </w:tcBorders>
            <w:vAlign w:val="center"/>
            <w:hideMark/>
          </w:tcPr>
          <w:p w14:paraId="2E2932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10104135</w:t>
            </w:r>
          </w:p>
        </w:tc>
        <w:tc>
          <w:tcPr>
            <w:tcW w:w="5953" w:type="dxa"/>
            <w:tcBorders>
              <w:top w:val="nil"/>
              <w:left w:val="nil"/>
              <w:bottom w:val="single" w:sz="4" w:space="0" w:color="auto"/>
              <w:right w:val="single" w:sz="4" w:space="0" w:color="auto"/>
            </w:tcBorders>
            <w:noWrap/>
            <w:vAlign w:val="center"/>
            <w:hideMark/>
          </w:tcPr>
          <w:p w14:paraId="7D86AA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KOZJANSKI PARK</w:t>
            </w:r>
          </w:p>
        </w:tc>
      </w:tr>
      <w:tr w:rsidR="00F24E18" w14:paraId="400178B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F25E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574</w:t>
            </w:r>
          </w:p>
        </w:tc>
        <w:tc>
          <w:tcPr>
            <w:tcW w:w="1300" w:type="dxa"/>
            <w:tcBorders>
              <w:top w:val="nil"/>
              <w:left w:val="nil"/>
              <w:bottom w:val="single" w:sz="4" w:space="0" w:color="auto"/>
              <w:right w:val="single" w:sz="4" w:space="0" w:color="auto"/>
            </w:tcBorders>
            <w:noWrap/>
            <w:vAlign w:val="center"/>
            <w:hideMark/>
          </w:tcPr>
          <w:p w14:paraId="190E53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5026610000</w:t>
            </w:r>
          </w:p>
        </w:tc>
        <w:tc>
          <w:tcPr>
            <w:tcW w:w="1012" w:type="dxa"/>
            <w:tcBorders>
              <w:top w:val="nil"/>
              <w:left w:val="nil"/>
              <w:bottom w:val="single" w:sz="4" w:space="0" w:color="auto"/>
              <w:right w:val="single" w:sz="4" w:space="0" w:color="auto"/>
            </w:tcBorders>
            <w:noWrap/>
            <w:vAlign w:val="center"/>
            <w:hideMark/>
          </w:tcPr>
          <w:p w14:paraId="559483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37952226</w:t>
            </w:r>
          </w:p>
        </w:tc>
        <w:tc>
          <w:tcPr>
            <w:tcW w:w="5953" w:type="dxa"/>
            <w:tcBorders>
              <w:top w:val="nil"/>
              <w:left w:val="nil"/>
              <w:bottom w:val="single" w:sz="4" w:space="0" w:color="auto"/>
              <w:right w:val="single" w:sz="4" w:space="0" w:color="auto"/>
            </w:tcBorders>
            <w:noWrap/>
            <w:vAlign w:val="center"/>
            <w:hideMark/>
          </w:tcPr>
          <w:p w14:paraId="3D7EAE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AJDOVŠČINA</w:t>
            </w:r>
          </w:p>
        </w:tc>
      </w:tr>
      <w:tr w:rsidR="00F24E18" w14:paraId="7497B9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3812D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w:t>
            </w:r>
          </w:p>
        </w:tc>
        <w:tc>
          <w:tcPr>
            <w:tcW w:w="1300" w:type="dxa"/>
            <w:tcBorders>
              <w:top w:val="nil"/>
              <w:left w:val="nil"/>
              <w:bottom w:val="single" w:sz="4" w:space="0" w:color="auto"/>
              <w:right w:val="single" w:sz="4" w:space="0" w:color="auto"/>
            </w:tcBorders>
            <w:noWrap/>
            <w:vAlign w:val="center"/>
            <w:hideMark/>
          </w:tcPr>
          <w:p w14:paraId="5DC1D8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5016681000</w:t>
            </w:r>
          </w:p>
        </w:tc>
        <w:tc>
          <w:tcPr>
            <w:tcW w:w="1012" w:type="dxa"/>
            <w:tcBorders>
              <w:top w:val="nil"/>
              <w:left w:val="nil"/>
              <w:bottom w:val="single" w:sz="4" w:space="0" w:color="auto"/>
              <w:right w:val="single" w:sz="4" w:space="0" w:color="auto"/>
            </w:tcBorders>
            <w:noWrap/>
            <w:vAlign w:val="center"/>
            <w:hideMark/>
          </w:tcPr>
          <w:p w14:paraId="709BAF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84063700</w:t>
            </w:r>
          </w:p>
        </w:tc>
        <w:tc>
          <w:tcPr>
            <w:tcW w:w="5953" w:type="dxa"/>
            <w:tcBorders>
              <w:top w:val="nil"/>
              <w:left w:val="nil"/>
              <w:bottom w:val="single" w:sz="4" w:space="0" w:color="auto"/>
              <w:right w:val="single" w:sz="4" w:space="0" w:color="auto"/>
            </w:tcBorders>
            <w:noWrap/>
            <w:vAlign w:val="center"/>
            <w:hideMark/>
          </w:tcPr>
          <w:p w14:paraId="1FA769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ARTIČE</w:t>
            </w:r>
          </w:p>
        </w:tc>
      </w:tr>
      <w:tr w:rsidR="00F24E18" w14:paraId="5895BB6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B3A4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576</w:t>
            </w:r>
          </w:p>
        </w:tc>
        <w:tc>
          <w:tcPr>
            <w:tcW w:w="1300" w:type="dxa"/>
            <w:tcBorders>
              <w:top w:val="nil"/>
              <w:left w:val="nil"/>
              <w:bottom w:val="single" w:sz="4" w:space="0" w:color="auto"/>
              <w:right w:val="single" w:sz="4" w:space="0" w:color="auto"/>
            </w:tcBorders>
            <w:noWrap/>
            <w:vAlign w:val="center"/>
            <w:hideMark/>
          </w:tcPr>
          <w:p w14:paraId="35C2AB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5031745000</w:t>
            </w:r>
          </w:p>
        </w:tc>
        <w:tc>
          <w:tcPr>
            <w:tcW w:w="1012" w:type="dxa"/>
            <w:tcBorders>
              <w:top w:val="nil"/>
              <w:left w:val="nil"/>
              <w:bottom w:val="single" w:sz="4" w:space="0" w:color="auto"/>
              <w:right w:val="single" w:sz="4" w:space="0" w:color="auto"/>
            </w:tcBorders>
            <w:noWrap/>
            <w:vAlign w:val="center"/>
            <w:hideMark/>
          </w:tcPr>
          <w:p w14:paraId="08481D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96968265</w:t>
            </w:r>
          </w:p>
        </w:tc>
        <w:tc>
          <w:tcPr>
            <w:tcW w:w="5953" w:type="dxa"/>
            <w:tcBorders>
              <w:top w:val="nil"/>
              <w:left w:val="nil"/>
              <w:bottom w:val="single" w:sz="4" w:space="0" w:color="auto"/>
              <w:right w:val="single" w:sz="4" w:space="0" w:color="auto"/>
            </w:tcBorders>
            <w:noWrap/>
            <w:vAlign w:val="center"/>
            <w:hideMark/>
          </w:tcPr>
          <w:p w14:paraId="51A8EC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BANJŠICE</w:t>
            </w:r>
          </w:p>
        </w:tc>
      </w:tr>
      <w:tr w:rsidR="00F24E18" w14:paraId="47D2DC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4241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577</w:t>
            </w:r>
          </w:p>
        </w:tc>
        <w:tc>
          <w:tcPr>
            <w:tcW w:w="1300" w:type="dxa"/>
            <w:tcBorders>
              <w:top w:val="nil"/>
              <w:left w:val="nil"/>
              <w:bottom w:val="single" w:sz="4" w:space="0" w:color="auto"/>
              <w:right w:val="single" w:sz="4" w:space="0" w:color="auto"/>
            </w:tcBorders>
            <w:noWrap/>
            <w:vAlign w:val="center"/>
            <w:hideMark/>
          </w:tcPr>
          <w:p w14:paraId="1FC718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5016525000</w:t>
            </w:r>
          </w:p>
        </w:tc>
        <w:tc>
          <w:tcPr>
            <w:tcW w:w="1012" w:type="dxa"/>
            <w:tcBorders>
              <w:top w:val="nil"/>
              <w:left w:val="nil"/>
              <w:bottom w:val="single" w:sz="4" w:space="0" w:color="auto"/>
              <w:right w:val="single" w:sz="4" w:space="0" w:color="auto"/>
            </w:tcBorders>
            <w:noWrap/>
            <w:vAlign w:val="center"/>
            <w:hideMark/>
          </w:tcPr>
          <w:p w14:paraId="33FBDD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85007188</w:t>
            </w:r>
          </w:p>
        </w:tc>
        <w:tc>
          <w:tcPr>
            <w:tcW w:w="5953" w:type="dxa"/>
            <w:tcBorders>
              <w:top w:val="nil"/>
              <w:left w:val="nil"/>
              <w:bottom w:val="single" w:sz="4" w:space="0" w:color="auto"/>
              <w:right w:val="single" w:sz="4" w:space="0" w:color="auto"/>
            </w:tcBorders>
            <w:noWrap/>
            <w:vAlign w:val="center"/>
            <w:hideMark/>
          </w:tcPr>
          <w:p w14:paraId="60696E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BATUJE</w:t>
            </w:r>
          </w:p>
        </w:tc>
      </w:tr>
      <w:tr w:rsidR="00F24E18" w14:paraId="6C5AD1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644A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578</w:t>
            </w:r>
          </w:p>
        </w:tc>
        <w:tc>
          <w:tcPr>
            <w:tcW w:w="1300" w:type="dxa"/>
            <w:tcBorders>
              <w:top w:val="nil"/>
              <w:left w:val="nil"/>
              <w:bottom w:val="single" w:sz="4" w:space="0" w:color="auto"/>
              <w:right w:val="single" w:sz="4" w:space="0" w:color="auto"/>
            </w:tcBorders>
            <w:noWrap/>
            <w:vAlign w:val="center"/>
            <w:hideMark/>
          </w:tcPr>
          <w:p w14:paraId="457F17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5028493000</w:t>
            </w:r>
          </w:p>
        </w:tc>
        <w:tc>
          <w:tcPr>
            <w:tcW w:w="1012" w:type="dxa"/>
            <w:tcBorders>
              <w:top w:val="nil"/>
              <w:left w:val="nil"/>
              <w:bottom w:val="single" w:sz="4" w:space="0" w:color="auto"/>
              <w:right w:val="single" w:sz="4" w:space="0" w:color="auto"/>
            </w:tcBorders>
            <w:noWrap/>
            <w:vAlign w:val="center"/>
            <w:hideMark/>
          </w:tcPr>
          <w:p w14:paraId="37B105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17000653</w:t>
            </w:r>
          </w:p>
        </w:tc>
        <w:tc>
          <w:tcPr>
            <w:tcW w:w="5953" w:type="dxa"/>
            <w:tcBorders>
              <w:top w:val="nil"/>
              <w:left w:val="nil"/>
              <w:bottom w:val="single" w:sz="4" w:space="0" w:color="auto"/>
              <w:right w:val="single" w:sz="4" w:space="0" w:color="auto"/>
            </w:tcBorders>
            <w:noWrap/>
            <w:vAlign w:val="center"/>
            <w:hideMark/>
          </w:tcPr>
          <w:p w14:paraId="1D3A9B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BERTOKI</w:t>
            </w:r>
          </w:p>
        </w:tc>
      </w:tr>
      <w:tr w:rsidR="00F24E18" w14:paraId="0DA017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30B4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579</w:t>
            </w:r>
          </w:p>
        </w:tc>
        <w:tc>
          <w:tcPr>
            <w:tcW w:w="1300" w:type="dxa"/>
            <w:tcBorders>
              <w:top w:val="nil"/>
              <w:left w:val="nil"/>
              <w:bottom w:val="single" w:sz="4" w:space="0" w:color="auto"/>
              <w:right w:val="single" w:sz="4" w:space="0" w:color="auto"/>
            </w:tcBorders>
            <w:noWrap/>
            <w:vAlign w:val="center"/>
            <w:hideMark/>
          </w:tcPr>
          <w:p w14:paraId="2E7F7C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5027047000</w:t>
            </w:r>
          </w:p>
        </w:tc>
        <w:tc>
          <w:tcPr>
            <w:tcW w:w="1012" w:type="dxa"/>
            <w:tcBorders>
              <w:top w:val="nil"/>
              <w:left w:val="nil"/>
              <w:bottom w:val="single" w:sz="4" w:space="0" w:color="auto"/>
              <w:right w:val="single" w:sz="4" w:space="0" w:color="auto"/>
            </w:tcBorders>
            <w:noWrap/>
            <w:vAlign w:val="center"/>
            <w:hideMark/>
          </w:tcPr>
          <w:p w14:paraId="6BDEBD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45701725</w:t>
            </w:r>
          </w:p>
        </w:tc>
        <w:tc>
          <w:tcPr>
            <w:tcW w:w="5953" w:type="dxa"/>
            <w:tcBorders>
              <w:top w:val="nil"/>
              <w:left w:val="nil"/>
              <w:bottom w:val="single" w:sz="4" w:space="0" w:color="auto"/>
              <w:right w:val="single" w:sz="4" w:space="0" w:color="auto"/>
            </w:tcBorders>
            <w:noWrap/>
            <w:vAlign w:val="center"/>
            <w:hideMark/>
          </w:tcPr>
          <w:p w14:paraId="5B209F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BESNICA</w:t>
            </w:r>
          </w:p>
        </w:tc>
      </w:tr>
      <w:tr w:rsidR="00F24E18" w14:paraId="75E329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BEE0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580</w:t>
            </w:r>
          </w:p>
        </w:tc>
        <w:tc>
          <w:tcPr>
            <w:tcW w:w="1300" w:type="dxa"/>
            <w:tcBorders>
              <w:top w:val="nil"/>
              <w:left w:val="nil"/>
              <w:bottom w:val="single" w:sz="4" w:space="0" w:color="auto"/>
              <w:right w:val="single" w:sz="4" w:space="0" w:color="auto"/>
            </w:tcBorders>
            <w:noWrap/>
            <w:vAlign w:val="center"/>
            <w:hideMark/>
          </w:tcPr>
          <w:p w14:paraId="22A464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5032822000</w:t>
            </w:r>
          </w:p>
        </w:tc>
        <w:tc>
          <w:tcPr>
            <w:tcW w:w="1012" w:type="dxa"/>
            <w:tcBorders>
              <w:top w:val="nil"/>
              <w:left w:val="nil"/>
              <w:bottom w:val="single" w:sz="4" w:space="0" w:color="auto"/>
              <w:right w:val="single" w:sz="4" w:space="0" w:color="auto"/>
            </w:tcBorders>
            <w:noWrap/>
            <w:vAlign w:val="center"/>
            <w:hideMark/>
          </w:tcPr>
          <w:p w14:paraId="17BDB4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85608955</w:t>
            </w:r>
          </w:p>
        </w:tc>
        <w:tc>
          <w:tcPr>
            <w:tcW w:w="5953" w:type="dxa"/>
            <w:tcBorders>
              <w:top w:val="nil"/>
              <w:left w:val="nil"/>
              <w:bottom w:val="single" w:sz="4" w:space="0" w:color="auto"/>
              <w:right w:val="single" w:sz="4" w:space="0" w:color="auto"/>
            </w:tcBorders>
            <w:noWrap/>
            <w:vAlign w:val="center"/>
            <w:hideMark/>
          </w:tcPr>
          <w:p w14:paraId="63C41E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BEZINA</w:t>
            </w:r>
          </w:p>
        </w:tc>
      </w:tr>
      <w:tr w:rsidR="00F24E18" w14:paraId="10771C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AFEE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w:t>
            </w:r>
          </w:p>
        </w:tc>
        <w:tc>
          <w:tcPr>
            <w:tcW w:w="1300" w:type="dxa"/>
            <w:tcBorders>
              <w:top w:val="nil"/>
              <w:left w:val="nil"/>
              <w:bottom w:val="single" w:sz="4" w:space="0" w:color="auto"/>
              <w:right w:val="single" w:sz="4" w:space="0" w:color="auto"/>
            </w:tcBorders>
            <w:noWrap/>
            <w:vAlign w:val="center"/>
            <w:hideMark/>
          </w:tcPr>
          <w:p w14:paraId="464B69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5029198000</w:t>
            </w:r>
          </w:p>
        </w:tc>
        <w:tc>
          <w:tcPr>
            <w:tcW w:w="1012" w:type="dxa"/>
            <w:tcBorders>
              <w:top w:val="nil"/>
              <w:left w:val="nil"/>
              <w:bottom w:val="single" w:sz="4" w:space="0" w:color="auto"/>
              <w:right w:val="single" w:sz="4" w:space="0" w:color="auto"/>
            </w:tcBorders>
            <w:noWrap/>
            <w:vAlign w:val="center"/>
            <w:hideMark/>
          </w:tcPr>
          <w:p w14:paraId="561816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36606758</w:t>
            </w:r>
          </w:p>
        </w:tc>
        <w:tc>
          <w:tcPr>
            <w:tcW w:w="5953" w:type="dxa"/>
            <w:tcBorders>
              <w:top w:val="nil"/>
              <w:left w:val="nil"/>
              <w:bottom w:val="single" w:sz="4" w:space="0" w:color="auto"/>
              <w:right w:val="single" w:sz="4" w:space="0" w:color="auto"/>
            </w:tcBorders>
            <w:noWrap/>
            <w:vAlign w:val="center"/>
            <w:hideMark/>
          </w:tcPr>
          <w:p w14:paraId="752E68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BIRČNA VAS</w:t>
            </w:r>
          </w:p>
        </w:tc>
      </w:tr>
      <w:tr w:rsidR="00F24E18" w14:paraId="51DA6D9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988B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w:t>
            </w:r>
          </w:p>
        </w:tc>
        <w:tc>
          <w:tcPr>
            <w:tcW w:w="1300" w:type="dxa"/>
            <w:tcBorders>
              <w:top w:val="nil"/>
              <w:left w:val="nil"/>
              <w:bottom w:val="single" w:sz="4" w:space="0" w:color="auto"/>
              <w:right w:val="single" w:sz="4" w:space="0" w:color="auto"/>
            </w:tcBorders>
            <w:noWrap/>
            <w:vAlign w:val="center"/>
            <w:hideMark/>
          </w:tcPr>
          <w:p w14:paraId="2B1BAD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5031397000</w:t>
            </w:r>
          </w:p>
        </w:tc>
        <w:tc>
          <w:tcPr>
            <w:tcW w:w="1012" w:type="dxa"/>
            <w:tcBorders>
              <w:top w:val="nil"/>
              <w:left w:val="nil"/>
              <w:bottom w:val="single" w:sz="4" w:space="0" w:color="auto"/>
              <w:right w:val="single" w:sz="4" w:space="0" w:color="auto"/>
            </w:tcBorders>
            <w:noWrap/>
            <w:vAlign w:val="center"/>
            <w:hideMark/>
          </w:tcPr>
          <w:p w14:paraId="5FD01C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36178110</w:t>
            </w:r>
          </w:p>
        </w:tc>
        <w:tc>
          <w:tcPr>
            <w:tcW w:w="5953" w:type="dxa"/>
            <w:tcBorders>
              <w:top w:val="nil"/>
              <w:left w:val="nil"/>
              <w:bottom w:val="single" w:sz="4" w:space="0" w:color="auto"/>
              <w:right w:val="single" w:sz="4" w:space="0" w:color="auto"/>
            </w:tcBorders>
            <w:noWrap/>
            <w:vAlign w:val="center"/>
            <w:hideMark/>
          </w:tcPr>
          <w:p w14:paraId="4DE128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BITNJE</w:t>
            </w:r>
          </w:p>
        </w:tc>
      </w:tr>
      <w:tr w:rsidR="00F24E18" w14:paraId="47DC6C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AC21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583</w:t>
            </w:r>
          </w:p>
        </w:tc>
        <w:tc>
          <w:tcPr>
            <w:tcW w:w="1300" w:type="dxa"/>
            <w:tcBorders>
              <w:top w:val="nil"/>
              <w:left w:val="nil"/>
              <w:bottom w:val="single" w:sz="4" w:space="0" w:color="auto"/>
              <w:right w:val="single" w:sz="4" w:space="0" w:color="auto"/>
            </w:tcBorders>
            <w:noWrap/>
            <w:vAlign w:val="center"/>
            <w:hideMark/>
          </w:tcPr>
          <w:p w14:paraId="3D7D34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5019516000</w:t>
            </w:r>
          </w:p>
        </w:tc>
        <w:tc>
          <w:tcPr>
            <w:tcW w:w="1012" w:type="dxa"/>
            <w:tcBorders>
              <w:top w:val="nil"/>
              <w:left w:val="nil"/>
              <w:bottom w:val="single" w:sz="4" w:space="0" w:color="auto"/>
              <w:right w:val="single" w:sz="4" w:space="0" w:color="auto"/>
            </w:tcBorders>
            <w:noWrap/>
            <w:vAlign w:val="center"/>
            <w:hideMark/>
          </w:tcPr>
          <w:p w14:paraId="075072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89126793</w:t>
            </w:r>
          </w:p>
        </w:tc>
        <w:tc>
          <w:tcPr>
            <w:tcW w:w="5953" w:type="dxa"/>
            <w:tcBorders>
              <w:top w:val="nil"/>
              <w:left w:val="nil"/>
              <w:bottom w:val="single" w:sz="4" w:space="0" w:color="auto"/>
              <w:right w:val="single" w:sz="4" w:space="0" w:color="auto"/>
            </w:tcBorders>
            <w:noWrap/>
            <w:vAlign w:val="center"/>
            <w:hideMark/>
          </w:tcPr>
          <w:p w14:paraId="3447F7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BIZELJSKO</w:t>
            </w:r>
          </w:p>
        </w:tc>
      </w:tr>
      <w:tr w:rsidR="00F24E18" w14:paraId="1C1F13B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3D79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584</w:t>
            </w:r>
          </w:p>
        </w:tc>
        <w:tc>
          <w:tcPr>
            <w:tcW w:w="1300" w:type="dxa"/>
            <w:tcBorders>
              <w:top w:val="nil"/>
              <w:left w:val="nil"/>
              <w:bottom w:val="single" w:sz="4" w:space="0" w:color="auto"/>
              <w:right w:val="single" w:sz="4" w:space="0" w:color="auto"/>
            </w:tcBorders>
            <w:noWrap/>
            <w:vAlign w:val="center"/>
            <w:hideMark/>
          </w:tcPr>
          <w:p w14:paraId="4768FF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5032440000</w:t>
            </w:r>
          </w:p>
        </w:tc>
        <w:tc>
          <w:tcPr>
            <w:tcW w:w="1012" w:type="dxa"/>
            <w:tcBorders>
              <w:top w:val="nil"/>
              <w:left w:val="nil"/>
              <w:bottom w:val="single" w:sz="4" w:space="0" w:color="auto"/>
              <w:right w:val="single" w:sz="4" w:space="0" w:color="auto"/>
            </w:tcBorders>
            <w:noWrap/>
            <w:vAlign w:val="center"/>
            <w:hideMark/>
          </w:tcPr>
          <w:p w14:paraId="222E13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41550757</w:t>
            </w:r>
          </w:p>
        </w:tc>
        <w:tc>
          <w:tcPr>
            <w:tcW w:w="5953" w:type="dxa"/>
            <w:tcBorders>
              <w:top w:val="nil"/>
              <w:left w:val="nil"/>
              <w:bottom w:val="single" w:sz="4" w:space="0" w:color="auto"/>
              <w:right w:val="single" w:sz="4" w:space="0" w:color="auto"/>
            </w:tcBorders>
            <w:noWrap/>
            <w:vAlign w:val="center"/>
            <w:hideMark/>
          </w:tcPr>
          <w:p w14:paraId="5CB162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BLAGOVNA</w:t>
            </w:r>
          </w:p>
        </w:tc>
      </w:tr>
      <w:tr w:rsidR="00F24E18" w14:paraId="1D5FE59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433D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w:t>
            </w:r>
          </w:p>
        </w:tc>
        <w:tc>
          <w:tcPr>
            <w:tcW w:w="1300" w:type="dxa"/>
            <w:tcBorders>
              <w:top w:val="nil"/>
              <w:left w:val="nil"/>
              <w:bottom w:val="single" w:sz="4" w:space="0" w:color="auto"/>
              <w:right w:val="single" w:sz="4" w:space="0" w:color="auto"/>
            </w:tcBorders>
            <w:noWrap/>
            <w:vAlign w:val="center"/>
            <w:hideMark/>
          </w:tcPr>
          <w:p w14:paraId="01AB71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5020778000</w:t>
            </w:r>
          </w:p>
        </w:tc>
        <w:tc>
          <w:tcPr>
            <w:tcW w:w="1012" w:type="dxa"/>
            <w:tcBorders>
              <w:top w:val="nil"/>
              <w:left w:val="nil"/>
              <w:bottom w:val="single" w:sz="4" w:space="0" w:color="auto"/>
              <w:right w:val="single" w:sz="4" w:space="0" w:color="auto"/>
            </w:tcBorders>
            <w:noWrap/>
            <w:vAlign w:val="center"/>
            <w:hideMark/>
          </w:tcPr>
          <w:p w14:paraId="29341B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91548705</w:t>
            </w:r>
          </w:p>
        </w:tc>
        <w:tc>
          <w:tcPr>
            <w:tcW w:w="5953" w:type="dxa"/>
            <w:tcBorders>
              <w:top w:val="nil"/>
              <w:left w:val="nil"/>
              <w:bottom w:val="single" w:sz="4" w:space="0" w:color="auto"/>
              <w:right w:val="single" w:sz="4" w:space="0" w:color="auto"/>
            </w:tcBorders>
            <w:noWrap/>
            <w:vAlign w:val="center"/>
            <w:hideMark/>
          </w:tcPr>
          <w:p w14:paraId="4F1616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BLANCA</w:t>
            </w:r>
          </w:p>
        </w:tc>
      </w:tr>
      <w:tr w:rsidR="00F24E18" w14:paraId="484A944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F7E4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w:t>
            </w:r>
          </w:p>
        </w:tc>
        <w:tc>
          <w:tcPr>
            <w:tcW w:w="1300" w:type="dxa"/>
            <w:tcBorders>
              <w:top w:val="nil"/>
              <w:left w:val="nil"/>
              <w:bottom w:val="single" w:sz="4" w:space="0" w:color="auto"/>
              <w:right w:val="single" w:sz="4" w:space="0" w:color="auto"/>
            </w:tcBorders>
            <w:noWrap/>
            <w:vAlign w:val="center"/>
            <w:hideMark/>
          </w:tcPr>
          <w:p w14:paraId="7AFFBB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5030129000</w:t>
            </w:r>
          </w:p>
        </w:tc>
        <w:tc>
          <w:tcPr>
            <w:tcW w:w="1012" w:type="dxa"/>
            <w:tcBorders>
              <w:top w:val="nil"/>
              <w:left w:val="nil"/>
              <w:bottom w:val="single" w:sz="4" w:space="0" w:color="auto"/>
              <w:right w:val="single" w:sz="4" w:space="0" w:color="auto"/>
            </w:tcBorders>
            <w:noWrap/>
            <w:vAlign w:val="center"/>
            <w:hideMark/>
          </w:tcPr>
          <w:p w14:paraId="3FCB7A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74521152</w:t>
            </w:r>
          </w:p>
        </w:tc>
        <w:tc>
          <w:tcPr>
            <w:tcW w:w="5953" w:type="dxa"/>
            <w:tcBorders>
              <w:top w:val="nil"/>
              <w:left w:val="nil"/>
              <w:bottom w:val="single" w:sz="4" w:space="0" w:color="auto"/>
              <w:right w:val="single" w:sz="4" w:space="0" w:color="auto"/>
            </w:tcBorders>
            <w:noWrap/>
            <w:vAlign w:val="center"/>
            <w:hideMark/>
          </w:tcPr>
          <w:p w14:paraId="7C3996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BORŠT</w:t>
            </w:r>
          </w:p>
        </w:tc>
      </w:tr>
      <w:tr w:rsidR="00F24E18" w14:paraId="5FEDA3F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2732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w:t>
            </w:r>
          </w:p>
        </w:tc>
        <w:tc>
          <w:tcPr>
            <w:tcW w:w="1300" w:type="dxa"/>
            <w:tcBorders>
              <w:top w:val="nil"/>
              <w:left w:val="nil"/>
              <w:bottom w:val="single" w:sz="4" w:space="0" w:color="auto"/>
              <w:right w:val="single" w:sz="4" w:space="0" w:color="auto"/>
            </w:tcBorders>
            <w:noWrap/>
            <w:vAlign w:val="center"/>
            <w:hideMark/>
          </w:tcPr>
          <w:p w14:paraId="2ACECF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5018803000</w:t>
            </w:r>
          </w:p>
        </w:tc>
        <w:tc>
          <w:tcPr>
            <w:tcW w:w="1012" w:type="dxa"/>
            <w:tcBorders>
              <w:top w:val="nil"/>
              <w:left w:val="nil"/>
              <w:bottom w:val="single" w:sz="4" w:space="0" w:color="auto"/>
              <w:right w:val="single" w:sz="4" w:space="0" w:color="auto"/>
            </w:tcBorders>
            <w:noWrap/>
            <w:vAlign w:val="center"/>
            <w:hideMark/>
          </w:tcPr>
          <w:p w14:paraId="5AF6F5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59543019</w:t>
            </w:r>
          </w:p>
        </w:tc>
        <w:tc>
          <w:tcPr>
            <w:tcW w:w="5953" w:type="dxa"/>
            <w:tcBorders>
              <w:top w:val="nil"/>
              <w:left w:val="nil"/>
              <w:bottom w:val="single" w:sz="4" w:space="0" w:color="auto"/>
              <w:right w:val="single" w:sz="4" w:space="0" w:color="auto"/>
            </w:tcBorders>
            <w:noWrap/>
            <w:vAlign w:val="center"/>
            <w:hideMark/>
          </w:tcPr>
          <w:p w14:paraId="4F252A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BOŠTANJ</w:t>
            </w:r>
          </w:p>
        </w:tc>
      </w:tr>
      <w:tr w:rsidR="00F24E18" w14:paraId="701F2B8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B70B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w:t>
            </w:r>
          </w:p>
        </w:tc>
        <w:tc>
          <w:tcPr>
            <w:tcW w:w="1300" w:type="dxa"/>
            <w:tcBorders>
              <w:top w:val="nil"/>
              <w:left w:val="nil"/>
              <w:bottom w:val="single" w:sz="4" w:space="0" w:color="auto"/>
              <w:right w:val="single" w:sz="4" w:space="0" w:color="auto"/>
            </w:tcBorders>
            <w:noWrap/>
            <w:vAlign w:val="center"/>
            <w:hideMark/>
          </w:tcPr>
          <w:p w14:paraId="1B31A0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5017181000</w:t>
            </w:r>
          </w:p>
        </w:tc>
        <w:tc>
          <w:tcPr>
            <w:tcW w:w="1012" w:type="dxa"/>
            <w:tcBorders>
              <w:top w:val="nil"/>
              <w:left w:val="nil"/>
              <w:bottom w:val="single" w:sz="4" w:space="0" w:color="auto"/>
              <w:right w:val="single" w:sz="4" w:space="0" w:color="auto"/>
            </w:tcBorders>
            <w:noWrap/>
            <w:vAlign w:val="center"/>
            <w:hideMark/>
          </w:tcPr>
          <w:p w14:paraId="59F6FA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30284058</w:t>
            </w:r>
          </w:p>
        </w:tc>
        <w:tc>
          <w:tcPr>
            <w:tcW w:w="5953" w:type="dxa"/>
            <w:tcBorders>
              <w:top w:val="nil"/>
              <w:left w:val="nil"/>
              <w:bottom w:val="single" w:sz="4" w:space="0" w:color="auto"/>
              <w:right w:val="single" w:sz="4" w:space="0" w:color="auto"/>
            </w:tcBorders>
            <w:noWrap/>
            <w:vAlign w:val="center"/>
            <w:hideMark/>
          </w:tcPr>
          <w:p w14:paraId="7303B4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BRANIK</w:t>
            </w:r>
          </w:p>
        </w:tc>
      </w:tr>
      <w:tr w:rsidR="00F24E18" w14:paraId="2294E1A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D63E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589</w:t>
            </w:r>
          </w:p>
        </w:tc>
        <w:tc>
          <w:tcPr>
            <w:tcW w:w="1300" w:type="dxa"/>
            <w:tcBorders>
              <w:top w:val="nil"/>
              <w:left w:val="nil"/>
              <w:bottom w:val="single" w:sz="4" w:space="0" w:color="auto"/>
              <w:right w:val="single" w:sz="4" w:space="0" w:color="auto"/>
            </w:tcBorders>
            <w:noWrap/>
            <w:vAlign w:val="center"/>
            <w:hideMark/>
          </w:tcPr>
          <w:p w14:paraId="142E47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5228034000</w:t>
            </w:r>
          </w:p>
        </w:tc>
        <w:tc>
          <w:tcPr>
            <w:tcW w:w="1012" w:type="dxa"/>
            <w:tcBorders>
              <w:top w:val="nil"/>
              <w:left w:val="nil"/>
              <w:bottom w:val="single" w:sz="4" w:space="0" w:color="auto"/>
              <w:right w:val="single" w:sz="4" w:space="0" w:color="auto"/>
            </w:tcBorders>
            <w:noWrap/>
            <w:vAlign w:val="center"/>
            <w:hideMark/>
          </w:tcPr>
          <w:p w14:paraId="4E7390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74369512</w:t>
            </w:r>
          </w:p>
        </w:tc>
        <w:tc>
          <w:tcPr>
            <w:tcW w:w="5953" w:type="dxa"/>
            <w:tcBorders>
              <w:top w:val="nil"/>
              <w:left w:val="nil"/>
              <w:bottom w:val="single" w:sz="4" w:space="0" w:color="auto"/>
              <w:right w:val="single" w:sz="4" w:space="0" w:color="auto"/>
            </w:tcBorders>
            <w:noWrap/>
            <w:vAlign w:val="center"/>
            <w:hideMark/>
          </w:tcPr>
          <w:p w14:paraId="4285D0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BRATOV SMUK</w:t>
            </w:r>
          </w:p>
        </w:tc>
      </w:tr>
      <w:tr w:rsidR="00F24E18" w14:paraId="5B032D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A2A3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590</w:t>
            </w:r>
          </w:p>
        </w:tc>
        <w:tc>
          <w:tcPr>
            <w:tcW w:w="1300" w:type="dxa"/>
            <w:tcBorders>
              <w:top w:val="nil"/>
              <w:left w:val="nil"/>
              <w:bottom w:val="single" w:sz="4" w:space="0" w:color="auto"/>
              <w:right w:val="single" w:sz="4" w:space="0" w:color="auto"/>
            </w:tcBorders>
            <w:noWrap/>
            <w:vAlign w:val="center"/>
            <w:hideMark/>
          </w:tcPr>
          <w:p w14:paraId="2E6871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5020042000</w:t>
            </w:r>
          </w:p>
        </w:tc>
        <w:tc>
          <w:tcPr>
            <w:tcW w:w="1012" w:type="dxa"/>
            <w:tcBorders>
              <w:top w:val="nil"/>
              <w:left w:val="nil"/>
              <w:bottom w:val="single" w:sz="4" w:space="0" w:color="auto"/>
              <w:right w:val="single" w:sz="4" w:space="0" w:color="auto"/>
            </w:tcBorders>
            <w:noWrap/>
            <w:vAlign w:val="center"/>
            <w:hideMark/>
          </w:tcPr>
          <w:p w14:paraId="77DCAD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18569803</w:t>
            </w:r>
          </w:p>
        </w:tc>
        <w:tc>
          <w:tcPr>
            <w:tcW w:w="5953" w:type="dxa"/>
            <w:tcBorders>
              <w:top w:val="nil"/>
              <w:left w:val="nil"/>
              <w:bottom w:val="single" w:sz="4" w:space="0" w:color="auto"/>
              <w:right w:val="single" w:sz="4" w:space="0" w:color="auto"/>
            </w:tcBorders>
            <w:noWrap/>
            <w:vAlign w:val="center"/>
            <w:hideMark/>
          </w:tcPr>
          <w:p w14:paraId="67FC74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BRESTANICA</w:t>
            </w:r>
          </w:p>
        </w:tc>
      </w:tr>
      <w:tr w:rsidR="00F24E18" w14:paraId="1C85DA9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ED12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w:t>
            </w:r>
          </w:p>
        </w:tc>
        <w:tc>
          <w:tcPr>
            <w:tcW w:w="1300" w:type="dxa"/>
            <w:tcBorders>
              <w:top w:val="nil"/>
              <w:left w:val="nil"/>
              <w:bottom w:val="single" w:sz="4" w:space="0" w:color="auto"/>
              <w:right w:val="single" w:sz="4" w:space="0" w:color="auto"/>
            </w:tcBorders>
            <w:noWrap/>
            <w:vAlign w:val="center"/>
            <w:hideMark/>
          </w:tcPr>
          <w:p w14:paraId="58DA4F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5016584000</w:t>
            </w:r>
          </w:p>
        </w:tc>
        <w:tc>
          <w:tcPr>
            <w:tcW w:w="1012" w:type="dxa"/>
            <w:tcBorders>
              <w:top w:val="nil"/>
              <w:left w:val="nil"/>
              <w:bottom w:val="single" w:sz="4" w:space="0" w:color="auto"/>
              <w:right w:val="single" w:sz="4" w:space="0" w:color="auto"/>
            </w:tcBorders>
            <w:noWrap/>
            <w:vAlign w:val="center"/>
            <w:hideMark/>
          </w:tcPr>
          <w:p w14:paraId="4A3AAF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44480873</w:t>
            </w:r>
          </w:p>
        </w:tc>
        <w:tc>
          <w:tcPr>
            <w:tcW w:w="5953" w:type="dxa"/>
            <w:tcBorders>
              <w:top w:val="nil"/>
              <w:left w:val="nil"/>
              <w:bottom w:val="single" w:sz="4" w:space="0" w:color="auto"/>
              <w:right w:val="single" w:sz="4" w:space="0" w:color="auto"/>
            </w:tcBorders>
            <w:noWrap/>
            <w:vAlign w:val="center"/>
            <w:hideMark/>
          </w:tcPr>
          <w:p w14:paraId="48666D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BREŽICE</w:t>
            </w:r>
          </w:p>
        </w:tc>
      </w:tr>
      <w:tr w:rsidR="00F24E18" w14:paraId="308896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1EE1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w:t>
            </w:r>
          </w:p>
        </w:tc>
        <w:tc>
          <w:tcPr>
            <w:tcW w:w="1300" w:type="dxa"/>
            <w:tcBorders>
              <w:top w:val="nil"/>
              <w:left w:val="nil"/>
              <w:bottom w:val="single" w:sz="4" w:space="0" w:color="auto"/>
              <w:right w:val="single" w:sz="4" w:space="0" w:color="auto"/>
            </w:tcBorders>
            <w:noWrap/>
            <w:vAlign w:val="center"/>
            <w:hideMark/>
          </w:tcPr>
          <w:p w14:paraId="79C8D8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5016533000</w:t>
            </w:r>
          </w:p>
        </w:tc>
        <w:tc>
          <w:tcPr>
            <w:tcW w:w="1012" w:type="dxa"/>
            <w:tcBorders>
              <w:top w:val="nil"/>
              <w:left w:val="nil"/>
              <w:bottom w:val="single" w:sz="4" w:space="0" w:color="auto"/>
              <w:right w:val="single" w:sz="4" w:space="0" w:color="auto"/>
            </w:tcBorders>
            <w:noWrap/>
            <w:vAlign w:val="center"/>
            <w:hideMark/>
          </w:tcPr>
          <w:p w14:paraId="29286E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36001139</w:t>
            </w:r>
          </w:p>
        </w:tc>
        <w:tc>
          <w:tcPr>
            <w:tcW w:w="5953" w:type="dxa"/>
            <w:tcBorders>
              <w:top w:val="nil"/>
              <w:left w:val="nil"/>
              <w:bottom w:val="single" w:sz="4" w:space="0" w:color="auto"/>
              <w:right w:val="single" w:sz="4" w:space="0" w:color="auto"/>
            </w:tcBorders>
            <w:noWrap/>
            <w:vAlign w:val="center"/>
            <w:hideMark/>
          </w:tcPr>
          <w:p w14:paraId="0F2C46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BRJE</w:t>
            </w:r>
          </w:p>
        </w:tc>
      </w:tr>
      <w:tr w:rsidR="00F24E18" w14:paraId="4ABD98A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0839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593</w:t>
            </w:r>
          </w:p>
        </w:tc>
        <w:tc>
          <w:tcPr>
            <w:tcW w:w="1300" w:type="dxa"/>
            <w:tcBorders>
              <w:top w:val="nil"/>
              <w:left w:val="nil"/>
              <w:bottom w:val="single" w:sz="4" w:space="0" w:color="auto"/>
              <w:right w:val="single" w:sz="4" w:space="0" w:color="auto"/>
            </w:tcBorders>
            <w:noWrap/>
            <w:vAlign w:val="center"/>
            <w:hideMark/>
          </w:tcPr>
          <w:p w14:paraId="6D8133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5028132000</w:t>
            </w:r>
          </w:p>
        </w:tc>
        <w:tc>
          <w:tcPr>
            <w:tcW w:w="1012" w:type="dxa"/>
            <w:tcBorders>
              <w:top w:val="nil"/>
              <w:left w:val="nil"/>
              <w:bottom w:val="single" w:sz="4" w:space="0" w:color="auto"/>
              <w:right w:val="single" w:sz="4" w:space="0" w:color="auto"/>
            </w:tcBorders>
            <w:noWrap/>
            <w:vAlign w:val="center"/>
            <w:hideMark/>
          </w:tcPr>
          <w:p w14:paraId="10A3E9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37070541</w:t>
            </w:r>
          </w:p>
        </w:tc>
        <w:tc>
          <w:tcPr>
            <w:tcW w:w="5953" w:type="dxa"/>
            <w:tcBorders>
              <w:top w:val="nil"/>
              <w:left w:val="nil"/>
              <w:bottom w:val="single" w:sz="4" w:space="0" w:color="auto"/>
              <w:right w:val="single" w:sz="4" w:space="0" w:color="auto"/>
            </w:tcBorders>
            <w:noWrap/>
            <w:vAlign w:val="center"/>
            <w:hideMark/>
          </w:tcPr>
          <w:p w14:paraId="7B4615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BUDANJE</w:t>
            </w:r>
          </w:p>
        </w:tc>
      </w:tr>
      <w:tr w:rsidR="00F24E18" w14:paraId="22406A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953A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594</w:t>
            </w:r>
          </w:p>
        </w:tc>
        <w:tc>
          <w:tcPr>
            <w:tcW w:w="1300" w:type="dxa"/>
            <w:tcBorders>
              <w:top w:val="nil"/>
              <w:left w:val="nil"/>
              <w:bottom w:val="single" w:sz="4" w:space="0" w:color="auto"/>
              <w:right w:val="single" w:sz="4" w:space="0" w:color="auto"/>
            </w:tcBorders>
            <w:noWrap/>
            <w:vAlign w:val="center"/>
            <w:hideMark/>
          </w:tcPr>
          <w:p w14:paraId="05FA83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5026954000</w:t>
            </w:r>
          </w:p>
        </w:tc>
        <w:tc>
          <w:tcPr>
            <w:tcW w:w="1012" w:type="dxa"/>
            <w:tcBorders>
              <w:top w:val="nil"/>
              <w:left w:val="nil"/>
              <w:bottom w:val="single" w:sz="4" w:space="0" w:color="auto"/>
              <w:right w:val="single" w:sz="4" w:space="0" w:color="auto"/>
            </w:tcBorders>
            <w:noWrap/>
            <w:vAlign w:val="center"/>
            <w:hideMark/>
          </w:tcPr>
          <w:p w14:paraId="769B68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88667383</w:t>
            </w:r>
          </w:p>
        </w:tc>
        <w:tc>
          <w:tcPr>
            <w:tcW w:w="5953" w:type="dxa"/>
            <w:tcBorders>
              <w:top w:val="nil"/>
              <w:left w:val="nil"/>
              <w:bottom w:val="single" w:sz="4" w:space="0" w:color="auto"/>
              <w:right w:val="single" w:sz="4" w:space="0" w:color="auto"/>
            </w:tcBorders>
            <w:noWrap/>
            <w:vAlign w:val="center"/>
            <w:hideMark/>
          </w:tcPr>
          <w:p w14:paraId="4307ED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CENTER</w:t>
            </w:r>
          </w:p>
        </w:tc>
      </w:tr>
      <w:tr w:rsidR="00F24E18" w14:paraId="279F3CF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4682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595</w:t>
            </w:r>
          </w:p>
        </w:tc>
        <w:tc>
          <w:tcPr>
            <w:tcW w:w="1300" w:type="dxa"/>
            <w:tcBorders>
              <w:top w:val="nil"/>
              <w:left w:val="nil"/>
              <w:bottom w:val="single" w:sz="4" w:space="0" w:color="auto"/>
              <w:right w:val="single" w:sz="4" w:space="0" w:color="auto"/>
            </w:tcBorders>
            <w:noWrap/>
            <w:vAlign w:val="center"/>
            <w:hideMark/>
          </w:tcPr>
          <w:p w14:paraId="580143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5062462000</w:t>
            </w:r>
          </w:p>
        </w:tc>
        <w:tc>
          <w:tcPr>
            <w:tcW w:w="1012" w:type="dxa"/>
            <w:tcBorders>
              <w:top w:val="nil"/>
              <w:left w:val="nil"/>
              <w:bottom w:val="single" w:sz="4" w:space="0" w:color="auto"/>
              <w:right w:val="single" w:sz="4" w:space="0" w:color="auto"/>
            </w:tcBorders>
            <w:noWrap/>
            <w:vAlign w:val="center"/>
            <w:hideMark/>
          </w:tcPr>
          <w:p w14:paraId="4390E1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22477608</w:t>
            </w:r>
          </w:p>
        </w:tc>
        <w:tc>
          <w:tcPr>
            <w:tcW w:w="5953" w:type="dxa"/>
            <w:tcBorders>
              <w:top w:val="nil"/>
              <w:left w:val="nil"/>
              <w:bottom w:val="single" w:sz="4" w:space="0" w:color="auto"/>
              <w:right w:val="single" w:sz="4" w:space="0" w:color="auto"/>
            </w:tcBorders>
            <w:noWrap/>
            <w:vAlign w:val="center"/>
            <w:hideMark/>
          </w:tcPr>
          <w:p w14:paraId="282ED4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CENTER NOVO MESTO</w:t>
            </w:r>
          </w:p>
        </w:tc>
      </w:tr>
      <w:tr w:rsidR="00F24E18" w14:paraId="4D578B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F19B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w:t>
            </w:r>
          </w:p>
        </w:tc>
        <w:tc>
          <w:tcPr>
            <w:tcW w:w="1300" w:type="dxa"/>
            <w:tcBorders>
              <w:top w:val="nil"/>
              <w:left w:val="nil"/>
              <w:bottom w:val="single" w:sz="4" w:space="0" w:color="auto"/>
              <w:right w:val="single" w:sz="4" w:space="0" w:color="auto"/>
            </w:tcBorders>
            <w:noWrap/>
            <w:vAlign w:val="center"/>
            <w:hideMark/>
          </w:tcPr>
          <w:p w14:paraId="29F9A9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5016690000</w:t>
            </w:r>
          </w:p>
        </w:tc>
        <w:tc>
          <w:tcPr>
            <w:tcW w:w="1012" w:type="dxa"/>
            <w:tcBorders>
              <w:top w:val="nil"/>
              <w:left w:val="nil"/>
              <w:bottom w:val="single" w:sz="4" w:space="0" w:color="auto"/>
              <w:right w:val="single" w:sz="4" w:space="0" w:color="auto"/>
            </w:tcBorders>
            <w:noWrap/>
            <w:vAlign w:val="center"/>
            <w:hideMark/>
          </w:tcPr>
          <w:p w14:paraId="69D637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35740183</w:t>
            </w:r>
          </w:p>
        </w:tc>
        <w:tc>
          <w:tcPr>
            <w:tcW w:w="5953" w:type="dxa"/>
            <w:tcBorders>
              <w:top w:val="nil"/>
              <w:left w:val="nil"/>
              <w:bottom w:val="single" w:sz="4" w:space="0" w:color="auto"/>
              <w:right w:val="single" w:sz="4" w:space="0" w:color="auto"/>
            </w:tcBorders>
            <w:noWrap/>
            <w:vAlign w:val="center"/>
            <w:hideMark/>
          </w:tcPr>
          <w:p w14:paraId="5A2B61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CERKLJE OB KRKI</w:t>
            </w:r>
          </w:p>
        </w:tc>
      </w:tr>
      <w:tr w:rsidR="00F24E18" w14:paraId="50DBFA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85CF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597</w:t>
            </w:r>
          </w:p>
        </w:tc>
        <w:tc>
          <w:tcPr>
            <w:tcW w:w="1300" w:type="dxa"/>
            <w:tcBorders>
              <w:top w:val="nil"/>
              <w:left w:val="nil"/>
              <w:bottom w:val="single" w:sz="4" w:space="0" w:color="auto"/>
              <w:right w:val="single" w:sz="4" w:space="0" w:color="auto"/>
            </w:tcBorders>
            <w:noWrap/>
            <w:vAlign w:val="center"/>
            <w:hideMark/>
          </w:tcPr>
          <w:p w14:paraId="52818B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5484430000</w:t>
            </w:r>
          </w:p>
        </w:tc>
        <w:tc>
          <w:tcPr>
            <w:tcW w:w="1012" w:type="dxa"/>
            <w:tcBorders>
              <w:top w:val="nil"/>
              <w:left w:val="nil"/>
              <w:bottom w:val="single" w:sz="4" w:space="0" w:color="auto"/>
              <w:right w:val="single" w:sz="4" w:space="0" w:color="auto"/>
            </w:tcBorders>
            <w:noWrap/>
            <w:vAlign w:val="center"/>
            <w:hideMark/>
          </w:tcPr>
          <w:p w14:paraId="4EDBC3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24078506</w:t>
            </w:r>
          </w:p>
        </w:tc>
        <w:tc>
          <w:tcPr>
            <w:tcW w:w="5953" w:type="dxa"/>
            <w:tcBorders>
              <w:top w:val="nil"/>
              <w:left w:val="nil"/>
              <w:bottom w:val="single" w:sz="4" w:space="0" w:color="auto"/>
              <w:right w:val="single" w:sz="4" w:space="0" w:color="auto"/>
            </w:tcBorders>
            <w:noWrap/>
            <w:vAlign w:val="center"/>
            <w:hideMark/>
          </w:tcPr>
          <w:p w14:paraId="5FD6DC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CESTA</w:t>
            </w:r>
          </w:p>
        </w:tc>
      </w:tr>
      <w:tr w:rsidR="00F24E18" w14:paraId="0241F7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2379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w:t>
            </w:r>
          </w:p>
        </w:tc>
        <w:tc>
          <w:tcPr>
            <w:tcW w:w="1300" w:type="dxa"/>
            <w:tcBorders>
              <w:top w:val="nil"/>
              <w:left w:val="nil"/>
              <w:bottom w:val="single" w:sz="4" w:space="0" w:color="auto"/>
              <w:right w:val="single" w:sz="4" w:space="0" w:color="auto"/>
            </w:tcBorders>
            <w:noWrap/>
            <w:vAlign w:val="center"/>
            <w:hideMark/>
          </w:tcPr>
          <w:p w14:paraId="45FDA7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5028060000</w:t>
            </w:r>
          </w:p>
        </w:tc>
        <w:tc>
          <w:tcPr>
            <w:tcW w:w="1012" w:type="dxa"/>
            <w:tcBorders>
              <w:top w:val="nil"/>
              <w:left w:val="nil"/>
              <w:bottom w:val="single" w:sz="4" w:space="0" w:color="auto"/>
              <w:right w:val="single" w:sz="4" w:space="0" w:color="auto"/>
            </w:tcBorders>
            <w:noWrap/>
            <w:vAlign w:val="center"/>
            <w:hideMark/>
          </w:tcPr>
          <w:p w14:paraId="2F1FD6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30904854</w:t>
            </w:r>
          </w:p>
        </w:tc>
        <w:tc>
          <w:tcPr>
            <w:tcW w:w="5953" w:type="dxa"/>
            <w:tcBorders>
              <w:top w:val="nil"/>
              <w:left w:val="nil"/>
              <w:bottom w:val="single" w:sz="4" w:space="0" w:color="auto"/>
              <w:right w:val="single" w:sz="4" w:space="0" w:color="auto"/>
            </w:tcBorders>
            <w:noWrap/>
            <w:vAlign w:val="center"/>
            <w:hideMark/>
          </w:tcPr>
          <w:p w14:paraId="737248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COL</w:t>
            </w:r>
          </w:p>
        </w:tc>
      </w:tr>
      <w:tr w:rsidR="00F24E18" w14:paraId="281F86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ADBF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599</w:t>
            </w:r>
          </w:p>
        </w:tc>
        <w:tc>
          <w:tcPr>
            <w:tcW w:w="1300" w:type="dxa"/>
            <w:tcBorders>
              <w:top w:val="nil"/>
              <w:left w:val="nil"/>
              <w:bottom w:val="single" w:sz="4" w:space="0" w:color="auto"/>
              <w:right w:val="single" w:sz="4" w:space="0" w:color="auto"/>
            </w:tcBorders>
            <w:noWrap/>
            <w:vAlign w:val="center"/>
            <w:hideMark/>
          </w:tcPr>
          <w:p w14:paraId="1FA003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5031788000</w:t>
            </w:r>
          </w:p>
        </w:tc>
        <w:tc>
          <w:tcPr>
            <w:tcW w:w="1012" w:type="dxa"/>
            <w:tcBorders>
              <w:top w:val="nil"/>
              <w:left w:val="nil"/>
              <w:bottom w:val="single" w:sz="4" w:space="0" w:color="auto"/>
              <w:right w:val="single" w:sz="4" w:space="0" w:color="auto"/>
            </w:tcBorders>
            <w:noWrap/>
            <w:vAlign w:val="center"/>
            <w:hideMark/>
          </w:tcPr>
          <w:p w14:paraId="58BED5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58106081</w:t>
            </w:r>
          </w:p>
        </w:tc>
        <w:tc>
          <w:tcPr>
            <w:tcW w:w="5953" w:type="dxa"/>
            <w:tcBorders>
              <w:top w:val="nil"/>
              <w:left w:val="nil"/>
              <w:bottom w:val="single" w:sz="4" w:space="0" w:color="auto"/>
              <w:right w:val="single" w:sz="4" w:space="0" w:color="auto"/>
            </w:tcBorders>
            <w:noWrap/>
            <w:vAlign w:val="center"/>
            <w:hideMark/>
          </w:tcPr>
          <w:p w14:paraId="2C03C8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ČEPOVAN</w:t>
            </w:r>
          </w:p>
        </w:tc>
      </w:tr>
      <w:tr w:rsidR="00F24E18" w14:paraId="76A5E8F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8050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600</w:t>
            </w:r>
          </w:p>
        </w:tc>
        <w:tc>
          <w:tcPr>
            <w:tcW w:w="1300" w:type="dxa"/>
            <w:tcBorders>
              <w:top w:val="nil"/>
              <w:left w:val="nil"/>
              <w:bottom w:val="single" w:sz="4" w:space="0" w:color="auto"/>
              <w:right w:val="single" w:sz="4" w:space="0" w:color="auto"/>
            </w:tcBorders>
            <w:noWrap/>
            <w:vAlign w:val="center"/>
            <w:hideMark/>
          </w:tcPr>
          <w:p w14:paraId="41A7DF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5020875000</w:t>
            </w:r>
          </w:p>
        </w:tc>
        <w:tc>
          <w:tcPr>
            <w:tcW w:w="1012" w:type="dxa"/>
            <w:tcBorders>
              <w:top w:val="nil"/>
              <w:left w:val="nil"/>
              <w:bottom w:val="single" w:sz="4" w:space="0" w:color="auto"/>
              <w:right w:val="single" w:sz="4" w:space="0" w:color="auto"/>
            </w:tcBorders>
            <w:noWrap/>
            <w:vAlign w:val="center"/>
            <w:hideMark/>
          </w:tcPr>
          <w:p w14:paraId="604458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29406498</w:t>
            </w:r>
          </w:p>
        </w:tc>
        <w:tc>
          <w:tcPr>
            <w:tcW w:w="5953" w:type="dxa"/>
            <w:tcBorders>
              <w:top w:val="nil"/>
              <w:left w:val="nil"/>
              <w:bottom w:val="single" w:sz="4" w:space="0" w:color="auto"/>
              <w:right w:val="single" w:sz="4" w:space="0" w:color="auto"/>
            </w:tcBorders>
            <w:noWrap/>
            <w:vAlign w:val="center"/>
            <w:hideMark/>
          </w:tcPr>
          <w:p w14:paraId="38FDAB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ČREŠNJEVEC</w:t>
            </w:r>
          </w:p>
        </w:tc>
      </w:tr>
      <w:tr w:rsidR="00F24E18" w14:paraId="2A2EF3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E7DF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601</w:t>
            </w:r>
          </w:p>
        </w:tc>
        <w:tc>
          <w:tcPr>
            <w:tcW w:w="1300" w:type="dxa"/>
            <w:tcBorders>
              <w:top w:val="nil"/>
              <w:left w:val="nil"/>
              <w:bottom w:val="single" w:sz="4" w:space="0" w:color="auto"/>
              <w:right w:val="single" w:sz="4" w:space="0" w:color="auto"/>
            </w:tcBorders>
            <w:noWrap/>
            <w:vAlign w:val="center"/>
            <w:hideMark/>
          </w:tcPr>
          <w:p w14:paraId="3B74C2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5028990000</w:t>
            </w:r>
          </w:p>
        </w:tc>
        <w:tc>
          <w:tcPr>
            <w:tcW w:w="1012" w:type="dxa"/>
            <w:tcBorders>
              <w:top w:val="nil"/>
              <w:left w:val="nil"/>
              <w:bottom w:val="single" w:sz="4" w:space="0" w:color="auto"/>
              <w:right w:val="single" w:sz="4" w:space="0" w:color="auto"/>
            </w:tcBorders>
            <w:vAlign w:val="center"/>
            <w:hideMark/>
          </w:tcPr>
          <w:p w14:paraId="096411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28872789</w:t>
            </w:r>
          </w:p>
        </w:tc>
        <w:tc>
          <w:tcPr>
            <w:tcW w:w="5953" w:type="dxa"/>
            <w:tcBorders>
              <w:top w:val="nil"/>
              <w:left w:val="nil"/>
              <w:bottom w:val="single" w:sz="4" w:space="0" w:color="auto"/>
              <w:right w:val="single" w:sz="4" w:space="0" w:color="auto"/>
            </w:tcBorders>
            <w:noWrap/>
            <w:vAlign w:val="center"/>
            <w:hideMark/>
          </w:tcPr>
          <w:p w14:paraId="5EF64E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ČRNI KAL</w:t>
            </w:r>
          </w:p>
        </w:tc>
      </w:tr>
      <w:tr w:rsidR="00F24E18" w14:paraId="303904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3B60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602</w:t>
            </w:r>
          </w:p>
        </w:tc>
        <w:tc>
          <w:tcPr>
            <w:tcW w:w="1300" w:type="dxa"/>
            <w:tcBorders>
              <w:top w:val="nil"/>
              <w:left w:val="nil"/>
              <w:bottom w:val="single" w:sz="4" w:space="0" w:color="auto"/>
              <w:right w:val="single" w:sz="4" w:space="0" w:color="auto"/>
            </w:tcBorders>
            <w:noWrap/>
            <w:vAlign w:val="center"/>
            <w:hideMark/>
          </w:tcPr>
          <w:p w14:paraId="0EE092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5030749000</w:t>
            </w:r>
          </w:p>
        </w:tc>
        <w:tc>
          <w:tcPr>
            <w:tcW w:w="1012" w:type="dxa"/>
            <w:tcBorders>
              <w:top w:val="nil"/>
              <w:left w:val="nil"/>
              <w:bottom w:val="single" w:sz="4" w:space="0" w:color="auto"/>
              <w:right w:val="single" w:sz="4" w:space="0" w:color="auto"/>
            </w:tcBorders>
            <w:noWrap/>
            <w:vAlign w:val="center"/>
            <w:hideMark/>
          </w:tcPr>
          <w:p w14:paraId="58692E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99782669</w:t>
            </w:r>
          </w:p>
        </w:tc>
        <w:tc>
          <w:tcPr>
            <w:tcW w:w="5953" w:type="dxa"/>
            <w:tcBorders>
              <w:top w:val="nil"/>
              <w:left w:val="nil"/>
              <w:bottom w:val="single" w:sz="4" w:space="0" w:color="auto"/>
              <w:right w:val="single" w:sz="4" w:space="0" w:color="auto"/>
            </w:tcBorders>
            <w:noWrap/>
            <w:vAlign w:val="center"/>
            <w:hideMark/>
          </w:tcPr>
          <w:p w14:paraId="562DA5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ČRNIČE-RAVNE</w:t>
            </w:r>
          </w:p>
        </w:tc>
      </w:tr>
      <w:tr w:rsidR="00F24E18" w14:paraId="73CF1AB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6CE1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603</w:t>
            </w:r>
          </w:p>
        </w:tc>
        <w:tc>
          <w:tcPr>
            <w:tcW w:w="1300" w:type="dxa"/>
            <w:tcBorders>
              <w:top w:val="nil"/>
              <w:left w:val="nil"/>
              <w:bottom w:val="single" w:sz="4" w:space="0" w:color="auto"/>
              <w:right w:val="single" w:sz="4" w:space="0" w:color="auto"/>
            </w:tcBorders>
            <w:noWrap/>
            <w:vAlign w:val="center"/>
            <w:hideMark/>
          </w:tcPr>
          <w:p w14:paraId="6A254B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5030862000</w:t>
            </w:r>
          </w:p>
        </w:tc>
        <w:tc>
          <w:tcPr>
            <w:tcW w:w="1012" w:type="dxa"/>
            <w:tcBorders>
              <w:top w:val="nil"/>
              <w:left w:val="nil"/>
              <w:bottom w:val="single" w:sz="4" w:space="0" w:color="auto"/>
              <w:right w:val="single" w:sz="4" w:space="0" w:color="auto"/>
            </w:tcBorders>
            <w:noWrap/>
            <w:vAlign w:val="center"/>
            <w:hideMark/>
          </w:tcPr>
          <w:p w14:paraId="33D1ED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87697840</w:t>
            </w:r>
          </w:p>
        </w:tc>
        <w:tc>
          <w:tcPr>
            <w:tcW w:w="5953" w:type="dxa"/>
            <w:tcBorders>
              <w:top w:val="nil"/>
              <w:left w:val="nil"/>
              <w:bottom w:val="single" w:sz="4" w:space="0" w:color="auto"/>
              <w:right w:val="single" w:sz="4" w:space="0" w:color="auto"/>
            </w:tcBorders>
            <w:noWrap/>
            <w:vAlign w:val="center"/>
            <w:hideMark/>
          </w:tcPr>
          <w:p w14:paraId="177EBA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DOBOVA</w:t>
            </w:r>
          </w:p>
        </w:tc>
      </w:tr>
      <w:tr w:rsidR="00F24E18" w14:paraId="77F6C5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4186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604</w:t>
            </w:r>
          </w:p>
        </w:tc>
        <w:tc>
          <w:tcPr>
            <w:tcW w:w="1300" w:type="dxa"/>
            <w:tcBorders>
              <w:top w:val="nil"/>
              <w:left w:val="nil"/>
              <w:bottom w:val="single" w:sz="4" w:space="0" w:color="auto"/>
              <w:right w:val="single" w:sz="4" w:space="0" w:color="auto"/>
            </w:tcBorders>
            <w:noWrap/>
            <w:vAlign w:val="center"/>
            <w:hideMark/>
          </w:tcPr>
          <w:p w14:paraId="4BE3CE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5032873000</w:t>
            </w:r>
          </w:p>
        </w:tc>
        <w:tc>
          <w:tcPr>
            <w:tcW w:w="1012" w:type="dxa"/>
            <w:tcBorders>
              <w:top w:val="nil"/>
              <w:left w:val="nil"/>
              <w:bottom w:val="single" w:sz="4" w:space="0" w:color="auto"/>
              <w:right w:val="single" w:sz="4" w:space="0" w:color="auto"/>
            </w:tcBorders>
            <w:noWrap/>
            <w:vAlign w:val="center"/>
            <w:hideMark/>
          </w:tcPr>
          <w:p w14:paraId="7D837D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63196115</w:t>
            </w:r>
          </w:p>
        </w:tc>
        <w:tc>
          <w:tcPr>
            <w:tcW w:w="5953" w:type="dxa"/>
            <w:tcBorders>
              <w:top w:val="nil"/>
              <w:left w:val="nil"/>
              <w:bottom w:val="single" w:sz="4" w:space="0" w:color="auto"/>
              <w:right w:val="single" w:sz="4" w:space="0" w:color="auto"/>
            </w:tcBorders>
            <w:noWrap/>
            <w:vAlign w:val="center"/>
            <w:hideMark/>
          </w:tcPr>
          <w:p w14:paraId="38783E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DOBRAVA - GABROVLJE</w:t>
            </w:r>
          </w:p>
        </w:tc>
      </w:tr>
      <w:tr w:rsidR="00F24E18" w14:paraId="21311F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00C8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605</w:t>
            </w:r>
          </w:p>
        </w:tc>
        <w:tc>
          <w:tcPr>
            <w:tcW w:w="1300" w:type="dxa"/>
            <w:tcBorders>
              <w:top w:val="nil"/>
              <w:left w:val="nil"/>
              <w:bottom w:val="single" w:sz="4" w:space="0" w:color="auto"/>
              <w:right w:val="single" w:sz="4" w:space="0" w:color="auto"/>
            </w:tcBorders>
            <w:noWrap/>
            <w:vAlign w:val="center"/>
            <w:hideMark/>
          </w:tcPr>
          <w:p w14:paraId="2616EC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5016673000</w:t>
            </w:r>
          </w:p>
        </w:tc>
        <w:tc>
          <w:tcPr>
            <w:tcW w:w="1012" w:type="dxa"/>
            <w:tcBorders>
              <w:top w:val="nil"/>
              <w:left w:val="nil"/>
              <w:bottom w:val="single" w:sz="4" w:space="0" w:color="auto"/>
              <w:right w:val="single" w:sz="4" w:space="0" w:color="auto"/>
            </w:tcBorders>
            <w:noWrap/>
            <w:vAlign w:val="center"/>
            <w:hideMark/>
          </w:tcPr>
          <w:p w14:paraId="588256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65351452</w:t>
            </w:r>
          </w:p>
        </w:tc>
        <w:tc>
          <w:tcPr>
            <w:tcW w:w="5953" w:type="dxa"/>
            <w:tcBorders>
              <w:top w:val="nil"/>
              <w:left w:val="nil"/>
              <w:bottom w:val="single" w:sz="4" w:space="0" w:color="auto"/>
              <w:right w:val="single" w:sz="4" w:space="0" w:color="auto"/>
            </w:tcBorders>
            <w:noWrap/>
            <w:vAlign w:val="center"/>
            <w:hideMark/>
          </w:tcPr>
          <w:p w14:paraId="1B4AD7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DOBRAVLJE</w:t>
            </w:r>
          </w:p>
        </w:tc>
      </w:tr>
      <w:tr w:rsidR="00F24E18" w14:paraId="40B6C1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8002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606</w:t>
            </w:r>
          </w:p>
        </w:tc>
        <w:tc>
          <w:tcPr>
            <w:tcW w:w="1300" w:type="dxa"/>
            <w:tcBorders>
              <w:top w:val="nil"/>
              <w:left w:val="nil"/>
              <w:bottom w:val="single" w:sz="4" w:space="0" w:color="auto"/>
              <w:right w:val="single" w:sz="4" w:space="0" w:color="auto"/>
            </w:tcBorders>
            <w:noWrap/>
            <w:vAlign w:val="center"/>
            <w:hideMark/>
          </w:tcPr>
          <w:p w14:paraId="6DE9A9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5915350000</w:t>
            </w:r>
          </w:p>
        </w:tc>
        <w:tc>
          <w:tcPr>
            <w:tcW w:w="1012" w:type="dxa"/>
            <w:tcBorders>
              <w:top w:val="nil"/>
              <w:left w:val="nil"/>
              <w:bottom w:val="single" w:sz="4" w:space="0" w:color="auto"/>
              <w:right w:val="single" w:sz="4" w:space="0" w:color="auto"/>
            </w:tcBorders>
            <w:noWrap/>
            <w:vAlign w:val="center"/>
            <w:hideMark/>
          </w:tcPr>
          <w:p w14:paraId="38194D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55790712</w:t>
            </w:r>
          </w:p>
        </w:tc>
        <w:tc>
          <w:tcPr>
            <w:tcW w:w="5953" w:type="dxa"/>
            <w:tcBorders>
              <w:top w:val="nil"/>
              <w:left w:val="nil"/>
              <w:bottom w:val="single" w:sz="4" w:space="0" w:color="auto"/>
              <w:right w:val="single" w:sz="4" w:space="0" w:color="auto"/>
            </w:tcBorders>
            <w:noWrap/>
            <w:vAlign w:val="center"/>
            <w:hideMark/>
          </w:tcPr>
          <w:p w14:paraId="3DCB70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DOBROVLJE</w:t>
            </w:r>
          </w:p>
        </w:tc>
      </w:tr>
      <w:tr w:rsidR="00F24E18" w14:paraId="06B77C7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295F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607</w:t>
            </w:r>
          </w:p>
        </w:tc>
        <w:tc>
          <w:tcPr>
            <w:tcW w:w="1300" w:type="dxa"/>
            <w:tcBorders>
              <w:top w:val="nil"/>
              <w:left w:val="nil"/>
              <w:bottom w:val="single" w:sz="4" w:space="0" w:color="auto"/>
              <w:right w:val="single" w:sz="4" w:space="0" w:color="auto"/>
            </w:tcBorders>
            <w:noWrap/>
            <w:vAlign w:val="center"/>
            <w:hideMark/>
          </w:tcPr>
          <w:p w14:paraId="544861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5026938000</w:t>
            </w:r>
          </w:p>
        </w:tc>
        <w:tc>
          <w:tcPr>
            <w:tcW w:w="1012" w:type="dxa"/>
            <w:tcBorders>
              <w:top w:val="nil"/>
              <w:left w:val="nil"/>
              <w:bottom w:val="single" w:sz="4" w:space="0" w:color="auto"/>
              <w:right w:val="single" w:sz="4" w:space="0" w:color="auto"/>
            </w:tcBorders>
            <w:noWrap/>
            <w:vAlign w:val="center"/>
            <w:hideMark/>
          </w:tcPr>
          <w:p w14:paraId="77CEED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75139553</w:t>
            </w:r>
          </w:p>
        </w:tc>
        <w:tc>
          <w:tcPr>
            <w:tcW w:w="5953" w:type="dxa"/>
            <w:tcBorders>
              <w:top w:val="nil"/>
              <w:left w:val="nil"/>
              <w:bottom w:val="single" w:sz="4" w:space="0" w:color="auto"/>
              <w:right w:val="single" w:sz="4" w:space="0" w:color="auto"/>
            </w:tcBorders>
            <w:noWrap/>
            <w:vAlign w:val="center"/>
            <w:hideMark/>
          </w:tcPr>
          <w:p w14:paraId="587E77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DOLENJA VAS</w:t>
            </w:r>
          </w:p>
        </w:tc>
      </w:tr>
      <w:tr w:rsidR="00F24E18" w14:paraId="17B2AFD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2EB7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608</w:t>
            </w:r>
          </w:p>
        </w:tc>
        <w:tc>
          <w:tcPr>
            <w:tcW w:w="1300" w:type="dxa"/>
            <w:tcBorders>
              <w:top w:val="nil"/>
              <w:left w:val="nil"/>
              <w:bottom w:val="single" w:sz="4" w:space="0" w:color="auto"/>
              <w:right w:val="single" w:sz="4" w:space="0" w:color="auto"/>
            </w:tcBorders>
            <w:noWrap/>
            <w:vAlign w:val="center"/>
            <w:hideMark/>
          </w:tcPr>
          <w:p w14:paraId="43331A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2283034000</w:t>
            </w:r>
          </w:p>
        </w:tc>
        <w:tc>
          <w:tcPr>
            <w:tcW w:w="1012" w:type="dxa"/>
            <w:tcBorders>
              <w:top w:val="nil"/>
              <w:left w:val="nil"/>
              <w:bottom w:val="single" w:sz="4" w:space="0" w:color="auto"/>
              <w:right w:val="single" w:sz="4" w:space="0" w:color="auto"/>
            </w:tcBorders>
            <w:noWrap/>
            <w:vAlign w:val="center"/>
            <w:hideMark/>
          </w:tcPr>
          <w:p w14:paraId="1A7BCB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52550931</w:t>
            </w:r>
          </w:p>
        </w:tc>
        <w:tc>
          <w:tcPr>
            <w:tcW w:w="5953" w:type="dxa"/>
            <w:tcBorders>
              <w:top w:val="nil"/>
              <w:left w:val="nil"/>
              <w:bottom w:val="single" w:sz="4" w:space="0" w:color="auto"/>
              <w:right w:val="single" w:sz="4" w:space="0" w:color="auto"/>
            </w:tcBorders>
            <w:noWrap/>
            <w:vAlign w:val="center"/>
            <w:hideMark/>
          </w:tcPr>
          <w:p w14:paraId="1A4658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DOLGA GORA</w:t>
            </w:r>
          </w:p>
        </w:tc>
      </w:tr>
      <w:tr w:rsidR="00F24E18" w14:paraId="18C7074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1082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609</w:t>
            </w:r>
          </w:p>
        </w:tc>
        <w:tc>
          <w:tcPr>
            <w:tcW w:w="1300" w:type="dxa"/>
            <w:tcBorders>
              <w:top w:val="nil"/>
              <w:left w:val="nil"/>
              <w:bottom w:val="single" w:sz="4" w:space="0" w:color="auto"/>
              <w:right w:val="single" w:sz="4" w:space="0" w:color="auto"/>
            </w:tcBorders>
            <w:noWrap/>
            <w:vAlign w:val="center"/>
            <w:hideMark/>
          </w:tcPr>
          <w:p w14:paraId="3D7024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5021332000</w:t>
            </w:r>
          </w:p>
        </w:tc>
        <w:tc>
          <w:tcPr>
            <w:tcW w:w="1012" w:type="dxa"/>
            <w:tcBorders>
              <w:top w:val="nil"/>
              <w:left w:val="nil"/>
              <w:bottom w:val="single" w:sz="4" w:space="0" w:color="auto"/>
              <w:right w:val="single" w:sz="4" w:space="0" w:color="auto"/>
            </w:tcBorders>
            <w:noWrap/>
            <w:vAlign w:val="center"/>
            <w:hideMark/>
          </w:tcPr>
          <w:p w14:paraId="124146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49398750</w:t>
            </w:r>
          </w:p>
        </w:tc>
        <w:tc>
          <w:tcPr>
            <w:tcW w:w="5953" w:type="dxa"/>
            <w:tcBorders>
              <w:top w:val="nil"/>
              <w:left w:val="nil"/>
              <w:bottom w:val="single" w:sz="4" w:space="0" w:color="auto"/>
              <w:right w:val="single" w:sz="4" w:space="0" w:color="auto"/>
            </w:tcBorders>
            <w:noWrap/>
            <w:vAlign w:val="center"/>
            <w:hideMark/>
          </w:tcPr>
          <w:p w14:paraId="6D4C07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DOLGA POLJANA</w:t>
            </w:r>
          </w:p>
        </w:tc>
      </w:tr>
      <w:tr w:rsidR="00F24E18" w14:paraId="6E7C74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6EAD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610</w:t>
            </w:r>
          </w:p>
        </w:tc>
        <w:tc>
          <w:tcPr>
            <w:tcW w:w="1300" w:type="dxa"/>
            <w:tcBorders>
              <w:top w:val="nil"/>
              <w:left w:val="nil"/>
              <w:bottom w:val="single" w:sz="4" w:space="0" w:color="auto"/>
              <w:right w:val="single" w:sz="4" w:space="0" w:color="auto"/>
            </w:tcBorders>
            <w:noWrap/>
            <w:vAlign w:val="center"/>
            <w:hideMark/>
          </w:tcPr>
          <w:p w14:paraId="7F14DD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2482916000</w:t>
            </w:r>
          </w:p>
        </w:tc>
        <w:tc>
          <w:tcPr>
            <w:tcW w:w="1012" w:type="dxa"/>
            <w:tcBorders>
              <w:top w:val="nil"/>
              <w:left w:val="nil"/>
              <w:bottom w:val="single" w:sz="4" w:space="0" w:color="auto"/>
              <w:right w:val="single" w:sz="4" w:space="0" w:color="auto"/>
            </w:tcBorders>
            <w:noWrap/>
            <w:vAlign w:val="center"/>
            <w:hideMark/>
          </w:tcPr>
          <w:p w14:paraId="5E6F6E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79207260</w:t>
            </w:r>
          </w:p>
        </w:tc>
        <w:tc>
          <w:tcPr>
            <w:tcW w:w="5953" w:type="dxa"/>
            <w:tcBorders>
              <w:top w:val="nil"/>
              <w:left w:val="nil"/>
              <w:bottom w:val="single" w:sz="4" w:space="0" w:color="auto"/>
              <w:right w:val="single" w:sz="4" w:space="0" w:color="auto"/>
            </w:tcBorders>
            <w:noWrap/>
            <w:vAlign w:val="center"/>
            <w:hideMark/>
          </w:tcPr>
          <w:p w14:paraId="73E9E1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DOLNJE BREZOVO</w:t>
            </w:r>
          </w:p>
        </w:tc>
      </w:tr>
      <w:tr w:rsidR="00F24E18" w14:paraId="58AFC3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8818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611</w:t>
            </w:r>
          </w:p>
        </w:tc>
        <w:tc>
          <w:tcPr>
            <w:tcW w:w="1300" w:type="dxa"/>
            <w:tcBorders>
              <w:top w:val="nil"/>
              <w:left w:val="nil"/>
              <w:bottom w:val="single" w:sz="4" w:space="0" w:color="auto"/>
              <w:right w:val="single" w:sz="4" w:space="0" w:color="auto"/>
            </w:tcBorders>
            <w:noWrap/>
            <w:vAlign w:val="center"/>
            <w:hideMark/>
          </w:tcPr>
          <w:p w14:paraId="7B1655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5020522000</w:t>
            </w:r>
          </w:p>
        </w:tc>
        <w:tc>
          <w:tcPr>
            <w:tcW w:w="1012" w:type="dxa"/>
            <w:tcBorders>
              <w:top w:val="nil"/>
              <w:left w:val="nil"/>
              <w:bottom w:val="single" w:sz="4" w:space="0" w:color="auto"/>
              <w:right w:val="single" w:sz="4" w:space="0" w:color="auto"/>
            </w:tcBorders>
            <w:noWrap/>
            <w:vAlign w:val="center"/>
            <w:hideMark/>
          </w:tcPr>
          <w:p w14:paraId="22CF16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42550599</w:t>
            </w:r>
          </w:p>
        </w:tc>
        <w:tc>
          <w:tcPr>
            <w:tcW w:w="5953" w:type="dxa"/>
            <w:tcBorders>
              <w:top w:val="nil"/>
              <w:left w:val="nil"/>
              <w:bottom w:val="single" w:sz="4" w:space="0" w:color="auto"/>
              <w:right w:val="single" w:sz="4" w:space="0" w:color="auto"/>
            </w:tcBorders>
            <w:noWrap/>
            <w:vAlign w:val="center"/>
            <w:hideMark/>
          </w:tcPr>
          <w:p w14:paraId="7DA908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DORNBERK</w:t>
            </w:r>
          </w:p>
        </w:tc>
      </w:tr>
      <w:tr w:rsidR="00F24E18" w14:paraId="5576A6A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E6C7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612</w:t>
            </w:r>
          </w:p>
        </w:tc>
        <w:tc>
          <w:tcPr>
            <w:tcW w:w="1300" w:type="dxa"/>
            <w:tcBorders>
              <w:top w:val="nil"/>
              <w:left w:val="nil"/>
              <w:bottom w:val="single" w:sz="4" w:space="0" w:color="auto"/>
              <w:right w:val="single" w:sz="4" w:space="0" w:color="auto"/>
            </w:tcBorders>
            <w:noWrap/>
            <w:vAlign w:val="center"/>
            <w:hideMark/>
          </w:tcPr>
          <w:p w14:paraId="558F28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5020930000</w:t>
            </w:r>
          </w:p>
        </w:tc>
        <w:tc>
          <w:tcPr>
            <w:tcW w:w="1012" w:type="dxa"/>
            <w:tcBorders>
              <w:top w:val="nil"/>
              <w:left w:val="nil"/>
              <w:bottom w:val="single" w:sz="4" w:space="0" w:color="auto"/>
              <w:right w:val="single" w:sz="4" w:space="0" w:color="auto"/>
            </w:tcBorders>
            <w:noWrap/>
            <w:vAlign w:val="center"/>
            <w:hideMark/>
          </w:tcPr>
          <w:p w14:paraId="6FFF89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34302719</w:t>
            </w:r>
          </w:p>
        </w:tc>
        <w:tc>
          <w:tcPr>
            <w:tcW w:w="5953" w:type="dxa"/>
            <w:tcBorders>
              <w:top w:val="nil"/>
              <w:left w:val="nil"/>
              <w:bottom w:val="single" w:sz="4" w:space="0" w:color="auto"/>
              <w:right w:val="single" w:sz="4" w:space="0" w:color="auto"/>
            </w:tcBorders>
            <w:noWrap/>
            <w:vAlign w:val="center"/>
            <w:hideMark/>
          </w:tcPr>
          <w:p w14:paraId="393F88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DRAMLJE</w:t>
            </w:r>
          </w:p>
        </w:tc>
      </w:tr>
      <w:tr w:rsidR="00F24E18" w14:paraId="37E04BE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E51C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613</w:t>
            </w:r>
          </w:p>
        </w:tc>
        <w:tc>
          <w:tcPr>
            <w:tcW w:w="1300" w:type="dxa"/>
            <w:tcBorders>
              <w:top w:val="nil"/>
              <w:left w:val="nil"/>
              <w:bottom w:val="single" w:sz="4" w:space="0" w:color="auto"/>
              <w:right w:val="single" w:sz="4" w:space="0" w:color="auto"/>
            </w:tcBorders>
            <w:noWrap/>
            <w:vAlign w:val="center"/>
            <w:hideMark/>
          </w:tcPr>
          <w:p w14:paraId="477408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5021740000</w:t>
            </w:r>
          </w:p>
        </w:tc>
        <w:tc>
          <w:tcPr>
            <w:tcW w:w="1012" w:type="dxa"/>
            <w:tcBorders>
              <w:top w:val="nil"/>
              <w:left w:val="nil"/>
              <w:bottom w:val="single" w:sz="4" w:space="0" w:color="auto"/>
              <w:right w:val="single" w:sz="4" w:space="0" w:color="auto"/>
            </w:tcBorders>
            <w:noWrap/>
            <w:vAlign w:val="center"/>
            <w:hideMark/>
          </w:tcPr>
          <w:p w14:paraId="4982AE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74509730</w:t>
            </w:r>
          </w:p>
        </w:tc>
        <w:tc>
          <w:tcPr>
            <w:tcW w:w="5953" w:type="dxa"/>
            <w:tcBorders>
              <w:top w:val="nil"/>
              <w:left w:val="nil"/>
              <w:bottom w:val="single" w:sz="4" w:space="0" w:color="auto"/>
              <w:right w:val="single" w:sz="4" w:space="0" w:color="auto"/>
            </w:tcBorders>
            <w:noWrap/>
            <w:vAlign w:val="center"/>
            <w:hideMark/>
          </w:tcPr>
          <w:p w14:paraId="356327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DRAŽA VAS</w:t>
            </w:r>
          </w:p>
        </w:tc>
      </w:tr>
      <w:tr w:rsidR="00F24E18" w14:paraId="4ED201A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CD3B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614</w:t>
            </w:r>
          </w:p>
        </w:tc>
        <w:tc>
          <w:tcPr>
            <w:tcW w:w="1300" w:type="dxa"/>
            <w:tcBorders>
              <w:top w:val="nil"/>
              <w:left w:val="nil"/>
              <w:bottom w:val="single" w:sz="4" w:space="0" w:color="auto"/>
              <w:right w:val="single" w:sz="4" w:space="0" w:color="auto"/>
            </w:tcBorders>
            <w:noWrap/>
            <w:vAlign w:val="center"/>
            <w:hideMark/>
          </w:tcPr>
          <w:p w14:paraId="06775C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5016541000</w:t>
            </w:r>
          </w:p>
        </w:tc>
        <w:tc>
          <w:tcPr>
            <w:tcW w:w="1012" w:type="dxa"/>
            <w:tcBorders>
              <w:top w:val="nil"/>
              <w:left w:val="nil"/>
              <w:bottom w:val="single" w:sz="4" w:space="0" w:color="auto"/>
              <w:right w:val="single" w:sz="4" w:space="0" w:color="auto"/>
            </w:tcBorders>
            <w:noWrap/>
            <w:vAlign w:val="center"/>
            <w:hideMark/>
          </w:tcPr>
          <w:p w14:paraId="2C2D0F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75781514</w:t>
            </w:r>
          </w:p>
        </w:tc>
        <w:tc>
          <w:tcPr>
            <w:tcW w:w="5953" w:type="dxa"/>
            <w:tcBorders>
              <w:top w:val="nil"/>
              <w:left w:val="nil"/>
              <w:bottom w:val="single" w:sz="4" w:space="0" w:color="auto"/>
              <w:right w:val="single" w:sz="4" w:space="0" w:color="auto"/>
            </w:tcBorders>
            <w:noWrap/>
            <w:vAlign w:val="center"/>
            <w:hideMark/>
          </w:tcPr>
          <w:p w14:paraId="57AE25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GABERJE</w:t>
            </w:r>
          </w:p>
        </w:tc>
      </w:tr>
      <w:tr w:rsidR="00F24E18" w14:paraId="2395748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9742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615</w:t>
            </w:r>
          </w:p>
        </w:tc>
        <w:tc>
          <w:tcPr>
            <w:tcW w:w="1300" w:type="dxa"/>
            <w:tcBorders>
              <w:top w:val="nil"/>
              <w:left w:val="nil"/>
              <w:bottom w:val="single" w:sz="4" w:space="0" w:color="auto"/>
              <w:right w:val="single" w:sz="4" w:space="0" w:color="auto"/>
            </w:tcBorders>
            <w:noWrap/>
            <w:vAlign w:val="center"/>
            <w:hideMark/>
          </w:tcPr>
          <w:p w14:paraId="6AE413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5019508000</w:t>
            </w:r>
          </w:p>
        </w:tc>
        <w:tc>
          <w:tcPr>
            <w:tcW w:w="1012" w:type="dxa"/>
            <w:tcBorders>
              <w:top w:val="nil"/>
              <w:left w:val="nil"/>
              <w:bottom w:val="single" w:sz="4" w:space="0" w:color="auto"/>
              <w:right w:val="single" w:sz="4" w:space="0" w:color="auto"/>
            </w:tcBorders>
            <w:noWrap/>
            <w:vAlign w:val="center"/>
            <w:hideMark/>
          </w:tcPr>
          <w:p w14:paraId="4AC156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82731489</w:t>
            </w:r>
          </w:p>
        </w:tc>
        <w:tc>
          <w:tcPr>
            <w:tcW w:w="5953" w:type="dxa"/>
            <w:tcBorders>
              <w:top w:val="nil"/>
              <w:left w:val="nil"/>
              <w:bottom w:val="single" w:sz="4" w:space="0" w:color="auto"/>
              <w:right w:val="single" w:sz="4" w:space="0" w:color="auto"/>
            </w:tcBorders>
            <w:noWrap/>
            <w:vAlign w:val="center"/>
            <w:hideMark/>
          </w:tcPr>
          <w:p w14:paraId="762FD1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GLOBOKO</w:t>
            </w:r>
          </w:p>
        </w:tc>
      </w:tr>
      <w:tr w:rsidR="00F24E18" w14:paraId="53AF51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A403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616</w:t>
            </w:r>
          </w:p>
        </w:tc>
        <w:tc>
          <w:tcPr>
            <w:tcW w:w="1300" w:type="dxa"/>
            <w:tcBorders>
              <w:top w:val="nil"/>
              <w:left w:val="nil"/>
              <w:bottom w:val="single" w:sz="4" w:space="0" w:color="auto"/>
              <w:right w:val="single" w:sz="4" w:space="0" w:color="auto"/>
            </w:tcBorders>
            <w:noWrap/>
            <w:vAlign w:val="center"/>
            <w:hideMark/>
          </w:tcPr>
          <w:p w14:paraId="2A1CE4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5019494000</w:t>
            </w:r>
          </w:p>
        </w:tc>
        <w:tc>
          <w:tcPr>
            <w:tcW w:w="1012" w:type="dxa"/>
            <w:tcBorders>
              <w:top w:val="nil"/>
              <w:left w:val="nil"/>
              <w:bottom w:val="single" w:sz="4" w:space="0" w:color="auto"/>
              <w:right w:val="single" w:sz="4" w:space="0" w:color="auto"/>
            </w:tcBorders>
            <w:noWrap/>
            <w:vAlign w:val="center"/>
            <w:hideMark/>
          </w:tcPr>
          <w:p w14:paraId="3171E6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38348985</w:t>
            </w:r>
          </w:p>
        </w:tc>
        <w:tc>
          <w:tcPr>
            <w:tcW w:w="5953" w:type="dxa"/>
            <w:tcBorders>
              <w:top w:val="nil"/>
              <w:left w:val="nil"/>
              <w:bottom w:val="single" w:sz="4" w:space="0" w:color="auto"/>
              <w:right w:val="single" w:sz="4" w:space="0" w:color="auto"/>
            </w:tcBorders>
            <w:noWrap/>
            <w:vAlign w:val="center"/>
            <w:hideMark/>
          </w:tcPr>
          <w:p w14:paraId="79A896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GOJAČE MALOVŠE</w:t>
            </w:r>
          </w:p>
        </w:tc>
      </w:tr>
      <w:tr w:rsidR="00F24E18" w14:paraId="042E1DE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C375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617</w:t>
            </w:r>
          </w:p>
        </w:tc>
        <w:tc>
          <w:tcPr>
            <w:tcW w:w="1300" w:type="dxa"/>
            <w:tcBorders>
              <w:top w:val="nil"/>
              <w:left w:val="nil"/>
              <w:bottom w:val="single" w:sz="4" w:space="0" w:color="auto"/>
              <w:right w:val="single" w:sz="4" w:space="0" w:color="auto"/>
            </w:tcBorders>
            <w:noWrap/>
            <w:vAlign w:val="center"/>
            <w:hideMark/>
          </w:tcPr>
          <w:p w14:paraId="7077A7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5031036000</w:t>
            </w:r>
          </w:p>
        </w:tc>
        <w:tc>
          <w:tcPr>
            <w:tcW w:w="1012" w:type="dxa"/>
            <w:tcBorders>
              <w:top w:val="nil"/>
              <w:left w:val="nil"/>
              <w:bottom w:val="single" w:sz="4" w:space="0" w:color="auto"/>
              <w:right w:val="single" w:sz="4" w:space="0" w:color="auto"/>
            </w:tcBorders>
            <w:noWrap/>
            <w:vAlign w:val="center"/>
            <w:hideMark/>
          </w:tcPr>
          <w:p w14:paraId="39655A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74342576</w:t>
            </w:r>
          </w:p>
        </w:tc>
        <w:tc>
          <w:tcPr>
            <w:tcW w:w="5953" w:type="dxa"/>
            <w:tcBorders>
              <w:top w:val="nil"/>
              <w:left w:val="nil"/>
              <w:bottom w:val="single" w:sz="4" w:space="0" w:color="auto"/>
              <w:right w:val="single" w:sz="4" w:space="0" w:color="auto"/>
            </w:tcBorders>
            <w:noWrap/>
            <w:vAlign w:val="center"/>
            <w:hideMark/>
          </w:tcPr>
          <w:p w14:paraId="005CD3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GOLNIK</w:t>
            </w:r>
          </w:p>
        </w:tc>
      </w:tr>
      <w:tr w:rsidR="00F24E18" w14:paraId="288F9AA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3CE1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618</w:t>
            </w:r>
          </w:p>
        </w:tc>
        <w:tc>
          <w:tcPr>
            <w:tcW w:w="1300" w:type="dxa"/>
            <w:tcBorders>
              <w:top w:val="nil"/>
              <w:left w:val="nil"/>
              <w:bottom w:val="single" w:sz="4" w:space="0" w:color="auto"/>
              <w:right w:val="single" w:sz="4" w:space="0" w:color="auto"/>
            </w:tcBorders>
            <w:noWrap/>
            <w:vAlign w:val="center"/>
            <w:hideMark/>
          </w:tcPr>
          <w:p w14:paraId="52B461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5030366000</w:t>
            </w:r>
          </w:p>
        </w:tc>
        <w:tc>
          <w:tcPr>
            <w:tcW w:w="1012" w:type="dxa"/>
            <w:tcBorders>
              <w:top w:val="nil"/>
              <w:left w:val="nil"/>
              <w:bottom w:val="single" w:sz="4" w:space="0" w:color="auto"/>
              <w:right w:val="single" w:sz="4" w:space="0" w:color="auto"/>
            </w:tcBorders>
            <w:noWrap/>
            <w:vAlign w:val="center"/>
            <w:hideMark/>
          </w:tcPr>
          <w:p w14:paraId="6D1057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71748768</w:t>
            </w:r>
          </w:p>
        </w:tc>
        <w:tc>
          <w:tcPr>
            <w:tcW w:w="5953" w:type="dxa"/>
            <w:tcBorders>
              <w:top w:val="nil"/>
              <w:left w:val="nil"/>
              <w:bottom w:val="single" w:sz="4" w:space="0" w:color="auto"/>
              <w:right w:val="single" w:sz="4" w:space="0" w:color="auto"/>
            </w:tcBorders>
            <w:noWrap/>
            <w:vAlign w:val="center"/>
            <w:hideMark/>
          </w:tcPr>
          <w:p w14:paraId="26E7E0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GORA</w:t>
            </w:r>
          </w:p>
        </w:tc>
      </w:tr>
      <w:tr w:rsidR="00F24E18" w14:paraId="1301CE3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2DBC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619</w:t>
            </w:r>
          </w:p>
        </w:tc>
        <w:tc>
          <w:tcPr>
            <w:tcW w:w="1300" w:type="dxa"/>
            <w:tcBorders>
              <w:top w:val="nil"/>
              <w:left w:val="nil"/>
              <w:bottom w:val="single" w:sz="4" w:space="0" w:color="auto"/>
              <w:right w:val="single" w:sz="4" w:space="0" w:color="auto"/>
            </w:tcBorders>
            <w:noWrap/>
            <w:vAlign w:val="center"/>
            <w:hideMark/>
          </w:tcPr>
          <w:p w14:paraId="7DA5A3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5030072000</w:t>
            </w:r>
          </w:p>
        </w:tc>
        <w:tc>
          <w:tcPr>
            <w:tcW w:w="1012" w:type="dxa"/>
            <w:tcBorders>
              <w:top w:val="nil"/>
              <w:left w:val="nil"/>
              <w:bottom w:val="single" w:sz="4" w:space="0" w:color="auto"/>
              <w:right w:val="single" w:sz="4" w:space="0" w:color="auto"/>
            </w:tcBorders>
            <w:noWrap/>
            <w:vAlign w:val="center"/>
            <w:hideMark/>
          </w:tcPr>
          <w:p w14:paraId="566B97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49679554</w:t>
            </w:r>
          </w:p>
        </w:tc>
        <w:tc>
          <w:tcPr>
            <w:tcW w:w="5953" w:type="dxa"/>
            <w:tcBorders>
              <w:top w:val="nil"/>
              <w:left w:val="nil"/>
              <w:bottom w:val="single" w:sz="4" w:space="0" w:color="auto"/>
              <w:right w:val="single" w:sz="4" w:space="0" w:color="auto"/>
            </w:tcBorders>
            <w:noWrap/>
            <w:vAlign w:val="center"/>
            <w:hideMark/>
          </w:tcPr>
          <w:p w14:paraId="789F51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GORENJE</w:t>
            </w:r>
          </w:p>
        </w:tc>
      </w:tr>
      <w:tr w:rsidR="00F24E18" w14:paraId="47B84D7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5084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620</w:t>
            </w:r>
          </w:p>
        </w:tc>
        <w:tc>
          <w:tcPr>
            <w:tcW w:w="1300" w:type="dxa"/>
            <w:tcBorders>
              <w:top w:val="nil"/>
              <w:left w:val="nil"/>
              <w:bottom w:val="single" w:sz="4" w:space="0" w:color="auto"/>
              <w:right w:val="single" w:sz="4" w:space="0" w:color="auto"/>
            </w:tcBorders>
            <w:noWrap/>
            <w:vAlign w:val="center"/>
            <w:hideMark/>
          </w:tcPr>
          <w:p w14:paraId="76F119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5027632000</w:t>
            </w:r>
          </w:p>
        </w:tc>
        <w:tc>
          <w:tcPr>
            <w:tcW w:w="1012" w:type="dxa"/>
            <w:tcBorders>
              <w:top w:val="nil"/>
              <w:left w:val="nil"/>
              <w:bottom w:val="single" w:sz="4" w:space="0" w:color="auto"/>
              <w:right w:val="single" w:sz="4" w:space="0" w:color="auto"/>
            </w:tcBorders>
            <w:noWrap/>
            <w:vAlign w:val="center"/>
            <w:hideMark/>
          </w:tcPr>
          <w:p w14:paraId="1A5AEA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80209815</w:t>
            </w:r>
          </w:p>
        </w:tc>
        <w:tc>
          <w:tcPr>
            <w:tcW w:w="5953" w:type="dxa"/>
            <w:tcBorders>
              <w:top w:val="nil"/>
              <w:left w:val="nil"/>
              <w:bottom w:val="single" w:sz="4" w:space="0" w:color="auto"/>
              <w:right w:val="single" w:sz="4" w:space="0" w:color="auto"/>
            </w:tcBorders>
            <w:noWrap/>
            <w:vAlign w:val="center"/>
            <w:hideMark/>
          </w:tcPr>
          <w:p w14:paraId="2CEAD3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GORICA PRI SLIVNICI</w:t>
            </w:r>
          </w:p>
        </w:tc>
      </w:tr>
      <w:tr w:rsidR="00F24E18" w14:paraId="278D46F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80C6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621</w:t>
            </w:r>
          </w:p>
        </w:tc>
        <w:tc>
          <w:tcPr>
            <w:tcW w:w="1300" w:type="dxa"/>
            <w:tcBorders>
              <w:top w:val="nil"/>
              <w:left w:val="nil"/>
              <w:bottom w:val="single" w:sz="4" w:space="0" w:color="auto"/>
              <w:right w:val="single" w:sz="4" w:space="0" w:color="auto"/>
            </w:tcBorders>
            <w:noWrap/>
            <w:vAlign w:val="center"/>
            <w:hideMark/>
          </w:tcPr>
          <w:p w14:paraId="5B3A58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5029015000</w:t>
            </w:r>
          </w:p>
        </w:tc>
        <w:tc>
          <w:tcPr>
            <w:tcW w:w="1012" w:type="dxa"/>
            <w:tcBorders>
              <w:top w:val="nil"/>
              <w:left w:val="nil"/>
              <w:bottom w:val="single" w:sz="4" w:space="0" w:color="auto"/>
              <w:right w:val="single" w:sz="4" w:space="0" w:color="auto"/>
            </w:tcBorders>
            <w:vAlign w:val="center"/>
            <w:hideMark/>
          </w:tcPr>
          <w:p w14:paraId="686141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38601770</w:t>
            </w:r>
          </w:p>
        </w:tc>
        <w:tc>
          <w:tcPr>
            <w:tcW w:w="5953" w:type="dxa"/>
            <w:tcBorders>
              <w:top w:val="nil"/>
              <w:left w:val="nil"/>
              <w:bottom w:val="single" w:sz="4" w:space="0" w:color="auto"/>
              <w:right w:val="single" w:sz="4" w:space="0" w:color="auto"/>
            </w:tcBorders>
            <w:noWrap/>
            <w:vAlign w:val="center"/>
            <w:hideMark/>
          </w:tcPr>
          <w:p w14:paraId="7611E5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GRAČIŠČE</w:t>
            </w:r>
          </w:p>
        </w:tc>
      </w:tr>
      <w:tr w:rsidR="00F24E18" w14:paraId="779E3E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E950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622</w:t>
            </w:r>
          </w:p>
        </w:tc>
        <w:tc>
          <w:tcPr>
            <w:tcW w:w="1300" w:type="dxa"/>
            <w:tcBorders>
              <w:top w:val="nil"/>
              <w:left w:val="nil"/>
              <w:bottom w:val="single" w:sz="4" w:space="0" w:color="auto"/>
              <w:right w:val="single" w:sz="4" w:space="0" w:color="auto"/>
            </w:tcBorders>
            <w:noWrap/>
            <w:vAlign w:val="center"/>
            <w:hideMark/>
          </w:tcPr>
          <w:p w14:paraId="1EBB2F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5029031000</w:t>
            </w:r>
          </w:p>
        </w:tc>
        <w:tc>
          <w:tcPr>
            <w:tcW w:w="1012" w:type="dxa"/>
            <w:tcBorders>
              <w:top w:val="nil"/>
              <w:left w:val="nil"/>
              <w:bottom w:val="single" w:sz="4" w:space="0" w:color="auto"/>
              <w:right w:val="single" w:sz="4" w:space="0" w:color="auto"/>
            </w:tcBorders>
            <w:noWrap/>
            <w:vAlign w:val="center"/>
            <w:hideMark/>
          </w:tcPr>
          <w:p w14:paraId="0E2020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41633083</w:t>
            </w:r>
          </w:p>
        </w:tc>
        <w:tc>
          <w:tcPr>
            <w:tcW w:w="5953" w:type="dxa"/>
            <w:tcBorders>
              <w:top w:val="nil"/>
              <w:left w:val="nil"/>
              <w:bottom w:val="single" w:sz="4" w:space="0" w:color="auto"/>
              <w:right w:val="single" w:sz="4" w:space="0" w:color="auto"/>
            </w:tcBorders>
            <w:noWrap/>
            <w:vAlign w:val="center"/>
            <w:hideMark/>
          </w:tcPr>
          <w:p w14:paraId="017EC6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GRADIN</w:t>
            </w:r>
          </w:p>
        </w:tc>
      </w:tr>
      <w:tr w:rsidR="00F24E18" w14:paraId="2E1B1A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DB45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623</w:t>
            </w:r>
          </w:p>
        </w:tc>
        <w:tc>
          <w:tcPr>
            <w:tcW w:w="1300" w:type="dxa"/>
            <w:tcBorders>
              <w:top w:val="nil"/>
              <w:left w:val="nil"/>
              <w:bottom w:val="single" w:sz="4" w:space="0" w:color="auto"/>
              <w:right w:val="single" w:sz="4" w:space="0" w:color="auto"/>
            </w:tcBorders>
            <w:noWrap/>
            <w:vAlign w:val="center"/>
            <w:hideMark/>
          </w:tcPr>
          <w:p w14:paraId="5318DD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5031877000</w:t>
            </w:r>
          </w:p>
        </w:tc>
        <w:tc>
          <w:tcPr>
            <w:tcW w:w="1012" w:type="dxa"/>
            <w:tcBorders>
              <w:top w:val="nil"/>
              <w:left w:val="nil"/>
              <w:bottom w:val="single" w:sz="4" w:space="0" w:color="auto"/>
              <w:right w:val="single" w:sz="4" w:space="0" w:color="auto"/>
            </w:tcBorders>
            <w:noWrap/>
            <w:vAlign w:val="center"/>
            <w:hideMark/>
          </w:tcPr>
          <w:p w14:paraId="7BEE4C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90848241</w:t>
            </w:r>
          </w:p>
        </w:tc>
        <w:tc>
          <w:tcPr>
            <w:tcW w:w="5953" w:type="dxa"/>
            <w:tcBorders>
              <w:top w:val="nil"/>
              <w:left w:val="nil"/>
              <w:bottom w:val="single" w:sz="4" w:space="0" w:color="auto"/>
              <w:right w:val="single" w:sz="4" w:space="0" w:color="auto"/>
            </w:tcBorders>
            <w:noWrap/>
            <w:vAlign w:val="center"/>
            <w:hideMark/>
          </w:tcPr>
          <w:p w14:paraId="00007F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GRADIŠČE</w:t>
            </w:r>
          </w:p>
        </w:tc>
      </w:tr>
      <w:tr w:rsidR="00F24E18" w14:paraId="5B88CE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D607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624</w:t>
            </w:r>
          </w:p>
        </w:tc>
        <w:tc>
          <w:tcPr>
            <w:tcW w:w="1300" w:type="dxa"/>
            <w:tcBorders>
              <w:top w:val="nil"/>
              <w:left w:val="nil"/>
              <w:bottom w:val="single" w:sz="4" w:space="0" w:color="auto"/>
              <w:right w:val="single" w:sz="4" w:space="0" w:color="auto"/>
            </w:tcBorders>
            <w:noWrap/>
            <w:vAlign w:val="center"/>
            <w:hideMark/>
          </w:tcPr>
          <w:p w14:paraId="0DE62D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5020549000</w:t>
            </w:r>
          </w:p>
        </w:tc>
        <w:tc>
          <w:tcPr>
            <w:tcW w:w="1012" w:type="dxa"/>
            <w:tcBorders>
              <w:top w:val="nil"/>
              <w:left w:val="nil"/>
              <w:bottom w:val="single" w:sz="4" w:space="0" w:color="auto"/>
              <w:right w:val="single" w:sz="4" w:space="0" w:color="auto"/>
            </w:tcBorders>
            <w:noWrap/>
            <w:vAlign w:val="center"/>
            <w:hideMark/>
          </w:tcPr>
          <w:p w14:paraId="527699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74722085</w:t>
            </w:r>
          </w:p>
        </w:tc>
        <w:tc>
          <w:tcPr>
            <w:tcW w:w="5953" w:type="dxa"/>
            <w:tcBorders>
              <w:top w:val="nil"/>
              <w:left w:val="nil"/>
              <w:bottom w:val="single" w:sz="4" w:space="0" w:color="auto"/>
              <w:right w:val="single" w:sz="4" w:space="0" w:color="auto"/>
            </w:tcBorders>
            <w:noWrap/>
            <w:vAlign w:val="center"/>
            <w:hideMark/>
          </w:tcPr>
          <w:p w14:paraId="2AD8D5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GRGAR</w:t>
            </w:r>
          </w:p>
        </w:tc>
      </w:tr>
      <w:tr w:rsidR="00F24E18" w14:paraId="41ED5F2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60D0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625</w:t>
            </w:r>
          </w:p>
        </w:tc>
        <w:tc>
          <w:tcPr>
            <w:tcW w:w="1300" w:type="dxa"/>
            <w:tcBorders>
              <w:top w:val="nil"/>
              <w:left w:val="nil"/>
              <w:bottom w:val="single" w:sz="4" w:space="0" w:color="auto"/>
              <w:right w:val="single" w:sz="4" w:space="0" w:color="auto"/>
            </w:tcBorders>
            <w:noWrap/>
            <w:vAlign w:val="center"/>
            <w:hideMark/>
          </w:tcPr>
          <w:p w14:paraId="5F3233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5032156000</w:t>
            </w:r>
          </w:p>
        </w:tc>
        <w:tc>
          <w:tcPr>
            <w:tcW w:w="1012" w:type="dxa"/>
            <w:tcBorders>
              <w:top w:val="nil"/>
              <w:left w:val="nil"/>
              <w:bottom w:val="single" w:sz="4" w:space="0" w:color="auto"/>
              <w:right w:val="single" w:sz="4" w:space="0" w:color="auto"/>
            </w:tcBorders>
            <w:noWrap/>
            <w:vAlign w:val="center"/>
            <w:hideMark/>
          </w:tcPr>
          <w:p w14:paraId="24018B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89109996</w:t>
            </w:r>
          </w:p>
        </w:tc>
        <w:tc>
          <w:tcPr>
            <w:tcW w:w="5953" w:type="dxa"/>
            <w:tcBorders>
              <w:top w:val="nil"/>
              <w:left w:val="nil"/>
              <w:bottom w:val="single" w:sz="4" w:space="0" w:color="auto"/>
              <w:right w:val="single" w:sz="4" w:space="0" w:color="auto"/>
            </w:tcBorders>
            <w:noWrap/>
            <w:vAlign w:val="center"/>
            <w:hideMark/>
          </w:tcPr>
          <w:p w14:paraId="6A5109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GRGARSKE RAVNE-BATE</w:t>
            </w:r>
          </w:p>
        </w:tc>
      </w:tr>
      <w:tr w:rsidR="00F24E18" w14:paraId="29042C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6860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626</w:t>
            </w:r>
          </w:p>
        </w:tc>
        <w:tc>
          <w:tcPr>
            <w:tcW w:w="1300" w:type="dxa"/>
            <w:tcBorders>
              <w:top w:val="nil"/>
              <w:left w:val="nil"/>
              <w:bottom w:val="single" w:sz="4" w:space="0" w:color="auto"/>
              <w:right w:val="single" w:sz="4" w:space="0" w:color="auto"/>
            </w:tcBorders>
            <w:noWrap/>
            <w:vAlign w:val="center"/>
            <w:hideMark/>
          </w:tcPr>
          <w:p w14:paraId="214C74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2254891000</w:t>
            </w:r>
          </w:p>
        </w:tc>
        <w:tc>
          <w:tcPr>
            <w:tcW w:w="1012" w:type="dxa"/>
            <w:tcBorders>
              <w:top w:val="nil"/>
              <w:left w:val="nil"/>
              <w:bottom w:val="single" w:sz="4" w:space="0" w:color="auto"/>
              <w:right w:val="single" w:sz="4" w:space="0" w:color="auto"/>
            </w:tcBorders>
            <w:noWrap/>
            <w:vAlign w:val="center"/>
            <w:hideMark/>
          </w:tcPr>
          <w:p w14:paraId="0D14F7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34185909</w:t>
            </w:r>
          </w:p>
        </w:tc>
        <w:tc>
          <w:tcPr>
            <w:tcW w:w="5953" w:type="dxa"/>
            <w:tcBorders>
              <w:top w:val="nil"/>
              <w:left w:val="nil"/>
              <w:bottom w:val="single" w:sz="4" w:space="0" w:color="auto"/>
              <w:right w:val="single" w:sz="4" w:space="0" w:color="auto"/>
            </w:tcBorders>
            <w:noWrap/>
            <w:vAlign w:val="center"/>
            <w:hideMark/>
          </w:tcPr>
          <w:p w14:paraId="7877DA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GROBELNO</w:t>
            </w:r>
          </w:p>
        </w:tc>
      </w:tr>
      <w:tr w:rsidR="00F24E18" w14:paraId="3EE676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3458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627</w:t>
            </w:r>
          </w:p>
        </w:tc>
        <w:tc>
          <w:tcPr>
            <w:tcW w:w="1300" w:type="dxa"/>
            <w:tcBorders>
              <w:top w:val="nil"/>
              <w:left w:val="nil"/>
              <w:bottom w:val="single" w:sz="4" w:space="0" w:color="auto"/>
              <w:right w:val="single" w:sz="4" w:space="0" w:color="auto"/>
            </w:tcBorders>
            <w:noWrap/>
            <w:vAlign w:val="center"/>
            <w:hideMark/>
          </w:tcPr>
          <w:p w14:paraId="1333EF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5019974000</w:t>
            </w:r>
          </w:p>
        </w:tc>
        <w:tc>
          <w:tcPr>
            <w:tcW w:w="1012" w:type="dxa"/>
            <w:tcBorders>
              <w:top w:val="nil"/>
              <w:left w:val="nil"/>
              <w:bottom w:val="single" w:sz="4" w:space="0" w:color="auto"/>
              <w:right w:val="single" w:sz="4" w:space="0" w:color="auto"/>
            </w:tcBorders>
            <w:noWrap/>
            <w:vAlign w:val="center"/>
            <w:hideMark/>
          </w:tcPr>
          <w:p w14:paraId="4A6B98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29608775</w:t>
            </w:r>
          </w:p>
        </w:tc>
        <w:tc>
          <w:tcPr>
            <w:tcW w:w="5953" w:type="dxa"/>
            <w:tcBorders>
              <w:top w:val="nil"/>
              <w:left w:val="nil"/>
              <w:bottom w:val="single" w:sz="4" w:space="0" w:color="auto"/>
              <w:right w:val="single" w:sz="4" w:space="0" w:color="auto"/>
            </w:tcBorders>
            <w:noWrap/>
            <w:vAlign w:val="center"/>
            <w:hideMark/>
          </w:tcPr>
          <w:p w14:paraId="1CD553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HRVATINI</w:t>
            </w:r>
          </w:p>
        </w:tc>
      </w:tr>
      <w:tr w:rsidR="00F24E18" w14:paraId="3E2DD3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6AEF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w:t>
            </w:r>
          </w:p>
        </w:tc>
        <w:tc>
          <w:tcPr>
            <w:tcW w:w="1300" w:type="dxa"/>
            <w:tcBorders>
              <w:top w:val="nil"/>
              <w:left w:val="nil"/>
              <w:bottom w:val="single" w:sz="4" w:space="0" w:color="auto"/>
              <w:right w:val="single" w:sz="4" w:space="0" w:color="auto"/>
            </w:tcBorders>
            <w:noWrap/>
            <w:vAlign w:val="center"/>
            <w:hideMark/>
          </w:tcPr>
          <w:p w14:paraId="63684F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5020697000</w:t>
            </w:r>
          </w:p>
        </w:tc>
        <w:tc>
          <w:tcPr>
            <w:tcW w:w="1012" w:type="dxa"/>
            <w:tcBorders>
              <w:top w:val="nil"/>
              <w:left w:val="nil"/>
              <w:bottom w:val="single" w:sz="4" w:space="0" w:color="auto"/>
              <w:right w:val="single" w:sz="4" w:space="0" w:color="auto"/>
            </w:tcBorders>
            <w:noWrap/>
            <w:vAlign w:val="center"/>
            <w:hideMark/>
          </w:tcPr>
          <w:p w14:paraId="33D0DD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87735750</w:t>
            </w:r>
          </w:p>
        </w:tc>
        <w:tc>
          <w:tcPr>
            <w:tcW w:w="5953" w:type="dxa"/>
            <w:tcBorders>
              <w:top w:val="nil"/>
              <w:left w:val="nil"/>
              <w:bottom w:val="single" w:sz="4" w:space="0" w:color="auto"/>
              <w:right w:val="single" w:sz="4" w:space="0" w:color="auto"/>
            </w:tcBorders>
            <w:noWrap/>
            <w:vAlign w:val="center"/>
            <w:hideMark/>
          </w:tcPr>
          <w:p w14:paraId="6EC95E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IVANJKOVCI</w:t>
            </w:r>
          </w:p>
        </w:tc>
      </w:tr>
      <w:tr w:rsidR="00F24E18" w14:paraId="153DD7F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153E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629</w:t>
            </w:r>
          </w:p>
        </w:tc>
        <w:tc>
          <w:tcPr>
            <w:tcW w:w="1300" w:type="dxa"/>
            <w:tcBorders>
              <w:top w:val="nil"/>
              <w:left w:val="nil"/>
              <w:bottom w:val="single" w:sz="4" w:space="0" w:color="auto"/>
              <w:right w:val="single" w:sz="4" w:space="0" w:color="auto"/>
            </w:tcBorders>
            <w:noWrap/>
            <w:vAlign w:val="center"/>
            <w:hideMark/>
          </w:tcPr>
          <w:p w14:paraId="6D0924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5028655000</w:t>
            </w:r>
          </w:p>
        </w:tc>
        <w:tc>
          <w:tcPr>
            <w:tcW w:w="1012" w:type="dxa"/>
            <w:tcBorders>
              <w:top w:val="nil"/>
              <w:left w:val="nil"/>
              <w:bottom w:val="single" w:sz="4" w:space="0" w:color="auto"/>
              <w:right w:val="single" w:sz="4" w:space="0" w:color="auto"/>
            </w:tcBorders>
            <w:noWrap/>
            <w:vAlign w:val="center"/>
            <w:hideMark/>
          </w:tcPr>
          <w:p w14:paraId="12D7BB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60720212</w:t>
            </w:r>
          </w:p>
        </w:tc>
        <w:tc>
          <w:tcPr>
            <w:tcW w:w="5953" w:type="dxa"/>
            <w:tcBorders>
              <w:top w:val="nil"/>
              <w:left w:val="nil"/>
              <w:bottom w:val="single" w:sz="4" w:space="0" w:color="auto"/>
              <w:right w:val="single" w:sz="4" w:space="0" w:color="auto"/>
            </w:tcBorders>
            <w:noWrap/>
            <w:vAlign w:val="center"/>
            <w:hideMark/>
          </w:tcPr>
          <w:p w14:paraId="793585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JESENICE NA DOLENJSKEM</w:t>
            </w:r>
          </w:p>
        </w:tc>
      </w:tr>
      <w:tr w:rsidR="00F24E18" w14:paraId="2155321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9287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630</w:t>
            </w:r>
          </w:p>
        </w:tc>
        <w:tc>
          <w:tcPr>
            <w:tcW w:w="1300" w:type="dxa"/>
            <w:tcBorders>
              <w:top w:val="nil"/>
              <w:left w:val="nil"/>
              <w:bottom w:val="single" w:sz="4" w:space="0" w:color="auto"/>
              <w:right w:val="single" w:sz="4" w:space="0" w:color="auto"/>
            </w:tcBorders>
            <w:noWrap/>
            <w:vAlign w:val="center"/>
            <w:hideMark/>
          </w:tcPr>
          <w:p w14:paraId="105C8E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5030323000</w:t>
            </w:r>
          </w:p>
        </w:tc>
        <w:tc>
          <w:tcPr>
            <w:tcW w:w="1012" w:type="dxa"/>
            <w:tcBorders>
              <w:top w:val="nil"/>
              <w:left w:val="nil"/>
              <w:bottom w:val="single" w:sz="4" w:space="0" w:color="auto"/>
              <w:right w:val="single" w:sz="4" w:space="0" w:color="auto"/>
            </w:tcBorders>
            <w:noWrap/>
            <w:vAlign w:val="center"/>
            <w:hideMark/>
          </w:tcPr>
          <w:p w14:paraId="49CA16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23554282</w:t>
            </w:r>
          </w:p>
        </w:tc>
        <w:tc>
          <w:tcPr>
            <w:tcW w:w="5953" w:type="dxa"/>
            <w:tcBorders>
              <w:top w:val="nil"/>
              <w:left w:val="nil"/>
              <w:bottom w:val="single" w:sz="4" w:space="0" w:color="auto"/>
              <w:right w:val="single" w:sz="4" w:space="0" w:color="auto"/>
            </w:tcBorders>
            <w:noWrap/>
            <w:vAlign w:val="center"/>
            <w:hideMark/>
          </w:tcPr>
          <w:p w14:paraId="68DA7F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JOŠT</w:t>
            </w:r>
          </w:p>
        </w:tc>
      </w:tr>
      <w:tr w:rsidR="00F24E18" w14:paraId="35CCCB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6F2F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631</w:t>
            </w:r>
          </w:p>
        </w:tc>
        <w:tc>
          <w:tcPr>
            <w:tcW w:w="1300" w:type="dxa"/>
            <w:tcBorders>
              <w:top w:val="nil"/>
              <w:left w:val="nil"/>
              <w:bottom w:val="single" w:sz="4" w:space="0" w:color="auto"/>
              <w:right w:val="single" w:sz="4" w:space="0" w:color="auto"/>
            </w:tcBorders>
            <w:noWrap/>
            <w:vAlign w:val="center"/>
            <w:hideMark/>
          </w:tcPr>
          <w:p w14:paraId="308DE7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5020948000</w:t>
            </w:r>
          </w:p>
        </w:tc>
        <w:tc>
          <w:tcPr>
            <w:tcW w:w="1012" w:type="dxa"/>
            <w:tcBorders>
              <w:top w:val="nil"/>
              <w:left w:val="nil"/>
              <w:bottom w:val="single" w:sz="4" w:space="0" w:color="auto"/>
              <w:right w:val="single" w:sz="4" w:space="0" w:color="auto"/>
            </w:tcBorders>
            <w:noWrap/>
            <w:vAlign w:val="center"/>
            <w:hideMark/>
          </w:tcPr>
          <w:p w14:paraId="4EE946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96646691</w:t>
            </w:r>
          </w:p>
        </w:tc>
        <w:tc>
          <w:tcPr>
            <w:tcW w:w="5953" w:type="dxa"/>
            <w:tcBorders>
              <w:top w:val="nil"/>
              <w:left w:val="nil"/>
              <w:bottom w:val="single" w:sz="4" w:space="0" w:color="auto"/>
              <w:right w:val="single" w:sz="4" w:space="0" w:color="auto"/>
            </w:tcBorders>
            <w:noWrap/>
            <w:vAlign w:val="center"/>
            <w:hideMark/>
          </w:tcPr>
          <w:p w14:paraId="6649BC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KALOBJE</w:t>
            </w:r>
          </w:p>
        </w:tc>
      </w:tr>
      <w:tr w:rsidR="00F24E18" w14:paraId="7703852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A3F3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632</w:t>
            </w:r>
          </w:p>
        </w:tc>
        <w:tc>
          <w:tcPr>
            <w:tcW w:w="1300" w:type="dxa"/>
            <w:tcBorders>
              <w:top w:val="nil"/>
              <w:left w:val="nil"/>
              <w:bottom w:val="single" w:sz="4" w:space="0" w:color="auto"/>
              <w:right w:val="single" w:sz="4" w:space="0" w:color="auto"/>
            </w:tcBorders>
            <w:noWrap/>
            <w:vAlign w:val="center"/>
            <w:hideMark/>
          </w:tcPr>
          <w:p w14:paraId="08B022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5028027000</w:t>
            </w:r>
          </w:p>
        </w:tc>
        <w:tc>
          <w:tcPr>
            <w:tcW w:w="1012" w:type="dxa"/>
            <w:tcBorders>
              <w:top w:val="nil"/>
              <w:left w:val="nil"/>
              <w:bottom w:val="single" w:sz="4" w:space="0" w:color="auto"/>
              <w:right w:val="single" w:sz="4" w:space="0" w:color="auto"/>
            </w:tcBorders>
            <w:noWrap/>
            <w:vAlign w:val="center"/>
            <w:hideMark/>
          </w:tcPr>
          <w:p w14:paraId="681EB3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64560422</w:t>
            </w:r>
          </w:p>
        </w:tc>
        <w:tc>
          <w:tcPr>
            <w:tcW w:w="5953" w:type="dxa"/>
            <w:tcBorders>
              <w:top w:val="nil"/>
              <w:left w:val="nil"/>
              <w:bottom w:val="single" w:sz="4" w:space="0" w:color="auto"/>
              <w:right w:val="single" w:sz="4" w:space="0" w:color="auto"/>
            </w:tcBorders>
            <w:noWrap/>
            <w:vAlign w:val="center"/>
            <w:hideMark/>
          </w:tcPr>
          <w:p w14:paraId="7CDE4B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KAMNJE-POTOČE</w:t>
            </w:r>
          </w:p>
        </w:tc>
      </w:tr>
      <w:tr w:rsidR="00F24E18" w14:paraId="5CC4DE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181B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633</w:t>
            </w:r>
          </w:p>
        </w:tc>
        <w:tc>
          <w:tcPr>
            <w:tcW w:w="1300" w:type="dxa"/>
            <w:tcBorders>
              <w:top w:val="nil"/>
              <w:left w:val="nil"/>
              <w:bottom w:val="single" w:sz="4" w:space="0" w:color="auto"/>
              <w:right w:val="single" w:sz="4" w:space="0" w:color="auto"/>
            </w:tcBorders>
            <w:noWrap/>
            <w:vAlign w:val="center"/>
            <w:hideMark/>
          </w:tcPr>
          <w:p w14:paraId="00E70B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5062527000</w:t>
            </w:r>
          </w:p>
        </w:tc>
        <w:tc>
          <w:tcPr>
            <w:tcW w:w="1012" w:type="dxa"/>
            <w:tcBorders>
              <w:top w:val="nil"/>
              <w:left w:val="nil"/>
              <w:bottom w:val="single" w:sz="4" w:space="0" w:color="auto"/>
              <w:right w:val="single" w:sz="4" w:space="0" w:color="auto"/>
            </w:tcBorders>
            <w:noWrap/>
            <w:vAlign w:val="center"/>
            <w:hideMark/>
          </w:tcPr>
          <w:p w14:paraId="3A9FEF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93324120</w:t>
            </w:r>
          </w:p>
        </w:tc>
        <w:tc>
          <w:tcPr>
            <w:tcW w:w="5953" w:type="dxa"/>
            <w:tcBorders>
              <w:top w:val="nil"/>
              <w:left w:val="nil"/>
              <w:bottom w:val="single" w:sz="4" w:space="0" w:color="auto"/>
              <w:right w:val="single" w:sz="4" w:space="0" w:color="auto"/>
            </w:tcBorders>
            <w:noWrap/>
            <w:vAlign w:val="center"/>
            <w:hideMark/>
          </w:tcPr>
          <w:p w14:paraId="24B207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KANDIJA-GRM NOVO MESTO</w:t>
            </w:r>
          </w:p>
        </w:tc>
      </w:tr>
      <w:tr w:rsidR="00F24E18" w14:paraId="084FDB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8692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634</w:t>
            </w:r>
          </w:p>
        </w:tc>
        <w:tc>
          <w:tcPr>
            <w:tcW w:w="1300" w:type="dxa"/>
            <w:tcBorders>
              <w:top w:val="nil"/>
              <w:left w:val="nil"/>
              <w:bottom w:val="single" w:sz="4" w:space="0" w:color="auto"/>
              <w:right w:val="single" w:sz="4" w:space="0" w:color="auto"/>
            </w:tcBorders>
            <w:noWrap/>
            <w:vAlign w:val="center"/>
            <w:hideMark/>
          </w:tcPr>
          <w:p w14:paraId="50B8B2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5029309000</w:t>
            </w:r>
          </w:p>
        </w:tc>
        <w:tc>
          <w:tcPr>
            <w:tcW w:w="1012" w:type="dxa"/>
            <w:tcBorders>
              <w:top w:val="nil"/>
              <w:left w:val="nil"/>
              <w:bottom w:val="single" w:sz="4" w:space="0" w:color="auto"/>
              <w:right w:val="single" w:sz="4" w:space="0" w:color="auto"/>
            </w:tcBorders>
            <w:noWrap/>
            <w:vAlign w:val="center"/>
            <w:hideMark/>
          </w:tcPr>
          <w:p w14:paraId="589C48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46446451</w:t>
            </w:r>
          </w:p>
        </w:tc>
        <w:tc>
          <w:tcPr>
            <w:tcW w:w="5953" w:type="dxa"/>
            <w:tcBorders>
              <w:top w:val="nil"/>
              <w:left w:val="nil"/>
              <w:bottom w:val="single" w:sz="4" w:space="0" w:color="auto"/>
              <w:right w:val="single" w:sz="4" w:space="0" w:color="auto"/>
            </w:tcBorders>
            <w:noWrap/>
            <w:vAlign w:val="center"/>
            <w:hideMark/>
          </w:tcPr>
          <w:p w14:paraId="7E972A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KAPELE</w:t>
            </w:r>
          </w:p>
        </w:tc>
      </w:tr>
      <w:tr w:rsidR="00F24E18" w14:paraId="2668C8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941A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635</w:t>
            </w:r>
          </w:p>
        </w:tc>
        <w:tc>
          <w:tcPr>
            <w:tcW w:w="1300" w:type="dxa"/>
            <w:tcBorders>
              <w:top w:val="nil"/>
              <w:left w:val="nil"/>
              <w:bottom w:val="single" w:sz="4" w:space="0" w:color="auto"/>
              <w:right w:val="single" w:sz="4" w:space="0" w:color="auto"/>
            </w:tcBorders>
            <w:noWrap/>
            <w:vAlign w:val="center"/>
            <w:hideMark/>
          </w:tcPr>
          <w:p w14:paraId="1ED42A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5020883000</w:t>
            </w:r>
          </w:p>
        </w:tc>
        <w:tc>
          <w:tcPr>
            <w:tcW w:w="1012" w:type="dxa"/>
            <w:tcBorders>
              <w:top w:val="nil"/>
              <w:left w:val="nil"/>
              <w:bottom w:val="single" w:sz="4" w:space="0" w:color="auto"/>
              <w:right w:val="single" w:sz="4" w:space="0" w:color="auto"/>
            </w:tcBorders>
            <w:noWrap/>
            <w:vAlign w:val="center"/>
            <w:hideMark/>
          </w:tcPr>
          <w:p w14:paraId="4C805A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60915331</w:t>
            </w:r>
          </w:p>
        </w:tc>
        <w:tc>
          <w:tcPr>
            <w:tcW w:w="5953" w:type="dxa"/>
            <w:tcBorders>
              <w:top w:val="nil"/>
              <w:left w:val="nil"/>
              <w:bottom w:val="single" w:sz="4" w:space="0" w:color="auto"/>
              <w:right w:val="single" w:sz="4" w:space="0" w:color="auto"/>
            </w:tcBorders>
            <w:noWrap/>
            <w:vAlign w:val="center"/>
            <w:hideMark/>
          </w:tcPr>
          <w:p w14:paraId="730BCA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KEBELJ</w:t>
            </w:r>
          </w:p>
        </w:tc>
      </w:tr>
      <w:tr w:rsidR="00F24E18" w14:paraId="457E189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E913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636</w:t>
            </w:r>
          </w:p>
        </w:tc>
        <w:tc>
          <w:tcPr>
            <w:tcW w:w="1300" w:type="dxa"/>
            <w:tcBorders>
              <w:top w:val="nil"/>
              <w:left w:val="nil"/>
              <w:bottom w:val="single" w:sz="4" w:space="0" w:color="auto"/>
              <w:right w:val="single" w:sz="4" w:space="0" w:color="auto"/>
            </w:tcBorders>
            <w:noWrap/>
            <w:vAlign w:val="center"/>
            <w:hideMark/>
          </w:tcPr>
          <w:p w14:paraId="348C12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5021677000</w:t>
            </w:r>
          </w:p>
        </w:tc>
        <w:tc>
          <w:tcPr>
            <w:tcW w:w="1012" w:type="dxa"/>
            <w:tcBorders>
              <w:top w:val="nil"/>
              <w:left w:val="nil"/>
              <w:bottom w:val="single" w:sz="4" w:space="0" w:color="auto"/>
              <w:right w:val="single" w:sz="4" w:space="0" w:color="auto"/>
            </w:tcBorders>
            <w:noWrap/>
            <w:vAlign w:val="center"/>
            <w:hideMark/>
          </w:tcPr>
          <w:p w14:paraId="7C9EE3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61866512</w:t>
            </w:r>
          </w:p>
        </w:tc>
        <w:tc>
          <w:tcPr>
            <w:tcW w:w="5953" w:type="dxa"/>
            <w:tcBorders>
              <w:top w:val="nil"/>
              <w:left w:val="nil"/>
              <w:bottom w:val="single" w:sz="4" w:space="0" w:color="auto"/>
              <w:right w:val="single" w:sz="4" w:space="0" w:color="auto"/>
            </w:tcBorders>
            <w:noWrap/>
            <w:vAlign w:val="center"/>
            <w:hideMark/>
          </w:tcPr>
          <w:p w14:paraId="769176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KOG</w:t>
            </w:r>
          </w:p>
        </w:tc>
      </w:tr>
      <w:tr w:rsidR="00F24E18" w14:paraId="108420D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829E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637</w:t>
            </w:r>
          </w:p>
        </w:tc>
        <w:tc>
          <w:tcPr>
            <w:tcW w:w="1300" w:type="dxa"/>
            <w:tcBorders>
              <w:top w:val="nil"/>
              <w:left w:val="nil"/>
              <w:bottom w:val="single" w:sz="4" w:space="0" w:color="auto"/>
              <w:right w:val="single" w:sz="4" w:space="0" w:color="auto"/>
            </w:tcBorders>
            <w:noWrap/>
            <w:vAlign w:val="center"/>
            <w:hideMark/>
          </w:tcPr>
          <w:p w14:paraId="5B166D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5017238000</w:t>
            </w:r>
          </w:p>
        </w:tc>
        <w:tc>
          <w:tcPr>
            <w:tcW w:w="1012" w:type="dxa"/>
            <w:tcBorders>
              <w:top w:val="nil"/>
              <w:left w:val="nil"/>
              <w:bottom w:val="single" w:sz="4" w:space="0" w:color="auto"/>
              <w:right w:val="single" w:sz="4" w:space="0" w:color="auto"/>
            </w:tcBorders>
            <w:noWrap/>
            <w:vAlign w:val="center"/>
            <w:hideMark/>
          </w:tcPr>
          <w:p w14:paraId="06770E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39579492</w:t>
            </w:r>
          </w:p>
        </w:tc>
        <w:tc>
          <w:tcPr>
            <w:tcW w:w="5953" w:type="dxa"/>
            <w:tcBorders>
              <w:top w:val="nil"/>
              <w:left w:val="nil"/>
              <w:bottom w:val="single" w:sz="4" w:space="0" w:color="auto"/>
              <w:right w:val="single" w:sz="4" w:space="0" w:color="auto"/>
            </w:tcBorders>
            <w:noWrap/>
            <w:vAlign w:val="center"/>
            <w:hideMark/>
          </w:tcPr>
          <w:p w14:paraId="207DAD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KOKRICA</w:t>
            </w:r>
          </w:p>
        </w:tc>
      </w:tr>
      <w:tr w:rsidR="00F24E18" w14:paraId="21BE241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ED00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638</w:t>
            </w:r>
          </w:p>
        </w:tc>
        <w:tc>
          <w:tcPr>
            <w:tcW w:w="1300" w:type="dxa"/>
            <w:tcBorders>
              <w:top w:val="nil"/>
              <w:left w:val="nil"/>
              <w:bottom w:val="single" w:sz="4" w:space="0" w:color="auto"/>
              <w:right w:val="single" w:sz="4" w:space="0" w:color="auto"/>
            </w:tcBorders>
            <w:noWrap/>
            <w:vAlign w:val="center"/>
            <w:hideMark/>
          </w:tcPr>
          <w:p w14:paraId="1A407A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5018978000</w:t>
            </w:r>
          </w:p>
        </w:tc>
        <w:tc>
          <w:tcPr>
            <w:tcW w:w="1012" w:type="dxa"/>
            <w:tcBorders>
              <w:top w:val="nil"/>
              <w:left w:val="nil"/>
              <w:bottom w:val="single" w:sz="4" w:space="0" w:color="auto"/>
              <w:right w:val="single" w:sz="4" w:space="0" w:color="auto"/>
            </w:tcBorders>
            <w:noWrap/>
            <w:vAlign w:val="center"/>
            <w:hideMark/>
          </w:tcPr>
          <w:p w14:paraId="36AEA8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41179994</w:t>
            </w:r>
          </w:p>
        </w:tc>
        <w:tc>
          <w:tcPr>
            <w:tcW w:w="5953" w:type="dxa"/>
            <w:tcBorders>
              <w:top w:val="nil"/>
              <w:left w:val="nil"/>
              <w:bottom w:val="single" w:sz="4" w:space="0" w:color="auto"/>
              <w:right w:val="single" w:sz="4" w:space="0" w:color="auto"/>
            </w:tcBorders>
            <w:noWrap/>
            <w:vAlign w:val="center"/>
            <w:hideMark/>
          </w:tcPr>
          <w:p w14:paraId="65950A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KONJIŠKA VAS</w:t>
            </w:r>
          </w:p>
        </w:tc>
      </w:tr>
      <w:tr w:rsidR="00F24E18" w14:paraId="3A9F5F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7B18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639</w:t>
            </w:r>
          </w:p>
        </w:tc>
        <w:tc>
          <w:tcPr>
            <w:tcW w:w="1300" w:type="dxa"/>
            <w:tcBorders>
              <w:top w:val="nil"/>
              <w:left w:val="nil"/>
              <w:bottom w:val="single" w:sz="4" w:space="0" w:color="auto"/>
              <w:right w:val="single" w:sz="4" w:space="0" w:color="auto"/>
            </w:tcBorders>
            <w:noWrap/>
            <w:vAlign w:val="center"/>
            <w:hideMark/>
          </w:tcPr>
          <w:p w14:paraId="0B6FEB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5028531000</w:t>
            </w:r>
          </w:p>
        </w:tc>
        <w:tc>
          <w:tcPr>
            <w:tcW w:w="1012" w:type="dxa"/>
            <w:tcBorders>
              <w:top w:val="nil"/>
              <w:left w:val="nil"/>
              <w:bottom w:val="single" w:sz="4" w:space="0" w:color="auto"/>
              <w:right w:val="single" w:sz="4" w:space="0" w:color="auto"/>
            </w:tcBorders>
            <w:noWrap/>
            <w:vAlign w:val="center"/>
            <w:hideMark/>
          </w:tcPr>
          <w:p w14:paraId="5F9F62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65518888</w:t>
            </w:r>
          </w:p>
        </w:tc>
        <w:tc>
          <w:tcPr>
            <w:tcW w:w="5953" w:type="dxa"/>
            <w:tcBorders>
              <w:top w:val="nil"/>
              <w:left w:val="nil"/>
              <w:bottom w:val="single" w:sz="4" w:space="0" w:color="auto"/>
              <w:right w:val="single" w:sz="4" w:space="0" w:color="auto"/>
            </w:tcBorders>
            <w:noWrap/>
            <w:vAlign w:val="center"/>
            <w:hideMark/>
          </w:tcPr>
          <w:p w14:paraId="00904B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KOPER-SEMEDELA</w:t>
            </w:r>
          </w:p>
        </w:tc>
      </w:tr>
      <w:tr w:rsidR="00F24E18" w14:paraId="2AA3EE9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1F66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640</w:t>
            </w:r>
          </w:p>
        </w:tc>
        <w:tc>
          <w:tcPr>
            <w:tcW w:w="1300" w:type="dxa"/>
            <w:tcBorders>
              <w:top w:val="nil"/>
              <w:left w:val="nil"/>
              <w:bottom w:val="single" w:sz="4" w:space="0" w:color="auto"/>
              <w:right w:val="single" w:sz="4" w:space="0" w:color="auto"/>
            </w:tcBorders>
            <w:noWrap/>
            <w:vAlign w:val="center"/>
            <w:hideMark/>
          </w:tcPr>
          <w:p w14:paraId="42AE05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5250099000</w:t>
            </w:r>
          </w:p>
        </w:tc>
        <w:tc>
          <w:tcPr>
            <w:tcW w:w="1012" w:type="dxa"/>
            <w:tcBorders>
              <w:top w:val="nil"/>
              <w:left w:val="nil"/>
              <w:bottom w:val="single" w:sz="4" w:space="0" w:color="auto"/>
              <w:right w:val="single" w:sz="4" w:space="0" w:color="auto"/>
            </w:tcBorders>
            <w:noWrap/>
            <w:vAlign w:val="center"/>
            <w:hideMark/>
          </w:tcPr>
          <w:p w14:paraId="290BE3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46094091</w:t>
            </w:r>
          </w:p>
        </w:tc>
        <w:tc>
          <w:tcPr>
            <w:tcW w:w="5953" w:type="dxa"/>
            <w:tcBorders>
              <w:top w:val="nil"/>
              <w:left w:val="nil"/>
              <w:bottom w:val="single" w:sz="4" w:space="0" w:color="auto"/>
              <w:right w:val="single" w:sz="4" w:space="0" w:color="auto"/>
            </w:tcBorders>
            <w:noWrap/>
            <w:vAlign w:val="center"/>
            <w:hideMark/>
          </w:tcPr>
          <w:p w14:paraId="481362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KOPER-ZA GRADOM</w:t>
            </w:r>
          </w:p>
        </w:tc>
      </w:tr>
      <w:tr w:rsidR="00F24E18" w14:paraId="5F7899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043C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641</w:t>
            </w:r>
          </w:p>
        </w:tc>
        <w:tc>
          <w:tcPr>
            <w:tcW w:w="1300" w:type="dxa"/>
            <w:tcBorders>
              <w:top w:val="nil"/>
              <w:left w:val="nil"/>
              <w:bottom w:val="single" w:sz="4" w:space="0" w:color="auto"/>
              <w:right w:val="single" w:sz="4" w:space="0" w:color="auto"/>
            </w:tcBorders>
            <w:noWrap/>
            <w:vAlign w:val="center"/>
            <w:hideMark/>
          </w:tcPr>
          <w:p w14:paraId="33A2C4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5027055000</w:t>
            </w:r>
          </w:p>
        </w:tc>
        <w:tc>
          <w:tcPr>
            <w:tcW w:w="1012" w:type="dxa"/>
            <w:tcBorders>
              <w:top w:val="nil"/>
              <w:left w:val="nil"/>
              <w:bottom w:val="single" w:sz="4" w:space="0" w:color="auto"/>
              <w:right w:val="single" w:sz="4" w:space="0" w:color="auto"/>
            </w:tcBorders>
            <w:noWrap/>
            <w:vAlign w:val="center"/>
            <w:hideMark/>
          </w:tcPr>
          <w:p w14:paraId="065CA3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77308093</w:t>
            </w:r>
          </w:p>
        </w:tc>
        <w:tc>
          <w:tcPr>
            <w:tcW w:w="5953" w:type="dxa"/>
            <w:tcBorders>
              <w:top w:val="nil"/>
              <w:left w:val="nil"/>
              <w:bottom w:val="single" w:sz="4" w:space="0" w:color="auto"/>
              <w:right w:val="single" w:sz="4" w:space="0" w:color="auto"/>
            </w:tcBorders>
            <w:noWrap/>
            <w:vAlign w:val="center"/>
            <w:hideMark/>
          </w:tcPr>
          <w:p w14:paraId="2AE648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KOPRIVNICA</w:t>
            </w:r>
          </w:p>
        </w:tc>
      </w:tr>
      <w:tr w:rsidR="00F24E18" w14:paraId="16EBCF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ACD5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642</w:t>
            </w:r>
          </w:p>
        </w:tc>
        <w:tc>
          <w:tcPr>
            <w:tcW w:w="1300" w:type="dxa"/>
            <w:tcBorders>
              <w:top w:val="nil"/>
              <w:left w:val="nil"/>
              <w:bottom w:val="single" w:sz="4" w:space="0" w:color="auto"/>
              <w:right w:val="single" w:sz="4" w:space="0" w:color="auto"/>
            </w:tcBorders>
            <w:noWrap/>
            <w:vAlign w:val="center"/>
            <w:hideMark/>
          </w:tcPr>
          <w:p w14:paraId="71854E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5021839000</w:t>
            </w:r>
          </w:p>
        </w:tc>
        <w:tc>
          <w:tcPr>
            <w:tcW w:w="1012" w:type="dxa"/>
            <w:tcBorders>
              <w:top w:val="nil"/>
              <w:left w:val="nil"/>
              <w:bottom w:val="single" w:sz="4" w:space="0" w:color="auto"/>
              <w:right w:val="single" w:sz="4" w:space="0" w:color="auto"/>
            </w:tcBorders>
            <w:noWrap/>
            <w:vAlign w:val="center"/>
            <w:hideMark/>
          </w:tcPr>
          <w:p w14:paraId="221FA2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74934163</w:t>
            </w:r>
          </w:p>
        </w:tc>
        <w:tc>
          <w:tcPr>
            <w:tcW w:w="5953" w:type="dxa"/>
            <w:tcBorders>
              <w:top w:val="nil"/>
              <w:left w:val="nil"/>
              <w:bottom w:val="single" w:sz="4" w:space="0" w:color="auto"/>
              <w:right w:val="single" w:sz="4" w:space="0" w:color="auto"/>
            </w:tcBorders>
            <w:noWrap/>
            <w:vAlign w:val="center"/>
            <w:hideMark/>
          </w:tcPr>
          <w:p w14:paraId="32A59F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KRISTAN VRH</w:t>
            </w:r>
          </w:p>
        </w:tc>
      </w:tr>
      <w:tr w:rsidR="00F24E18" w14:paraId="41A60A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8D9D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643</w:t>
            </w:r>
          </w:p>
        </w:tc>
        <w:tc>
          <w:tcPr>
            <w:tcW w:w="1300" w:type="dxa"/>
            <w:tcBorders>
              <w:top w:val="nil"/>
              <w:left w:val="nil"/>
              <w:bottom w:val="single" w:sz="4" w:space="0" w:color="auto"/>
              <w:right w:val="single" w:sz="4" w:space="0" w:color="auto"/>
            </w:tcBorders>
            <w:noWrap/>
            <w:vAlign w:val="center"/>
            <w:hideMark/>
          </w:tcPr>
          <w:p w14:paraId="26E757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5030102000</w:t>
            </w:r>
          </w:p>
        </w:tc>
        <w:tc>
          <w:tcPr>
            <w:tcW w:w="1012" w:type="dxa"/>
            <w:tcBorders>
              <w:top w:val="nil"/>
              <w:left w:val="nil"/>
              <w:bottom w:val="single" w:sz="4" w:space="0" w:color="auto"/>
              <w:right w:val="single" w:sz="4" w:space="0" w:color="auto"/>
            </w:tcBorders>
            <w:noWrap/>
            <w:vAlign w:val="center"/>
            <w:hideMark/>
          </w:tcPr>
          <w:p w14:paraId="142159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76214753</w:t>
            </w:r>
          </w:p>
        </w:tc>
        <w:tc>
          <w:tcPr>
            <w:tcW w:w="5953" w:type="dxa"/>
            <w:tcBorders>
              <w:top w:val="nil"/>
              <w:left w:val="nil"/>
              <w:bottom w:val="single" w:sz="4" w:space="0" w:color="auto"/>
              <w:right w:val="single" w:sz="4" w:space="0" w:color="auto"/>
            </w:tcBorders>
            <w:noWrap/>
            <w:vAlign w:val="center"/>
            <w:hideMark/>
          </w:tcPr>
          <w:p w14:paraId="5E7821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KRIŽE</w:t>
            </w:r>
          </w:p>
        </w:tc>
      </w:tr>
      <w:tr w:rsidR="00F24E18" w14:paraId="13FAE8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EC4A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644</w:t>
            </w:r>
          </w:p>
        </w:tc>
        <w:tc>
          <w:tcPr>
            <w:tcW w:w="1300" w:type="dxa"/>
            <w:tcBorders>
              <w:top w:val="nil"/>
              <w:left w:val="nil"/>
              <w:bottom w:val="single" w:sz="4" w:space="0" w:color="auto"/>
              <w:right w:val="single" w:sz="4" w:space="0" w:color="auto"/>
            </w:tcBorders>
            <w:noWrap/>
            <w:vAlign w:val="center"/>
            <w:hideMark/>
          </w:tcPr>
          <w:p w14:paraId="19005B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5018811000</w:t>
            </w:r>
          </w:p>
        </w:tc>
        <w:tc>
          <w:tcPr>
            <w:tcW w:w="1012" w:type="dxa"/>
            <w:tcBorders>
              <w:top w:val="nil"/>
              <w:left w:val="nil"/>
              <w:bottom w:val="single" w:sz="4" w:space="0" w:color="auto"/>
              <w:right w:val="single" w:sz="4" w:space="0" w:color="auto"/>
            </w:tcBorders>
            <w:noWrap/>
            <w:vAlign w:val="center"/>
            <w:hideMark/>
          </w:tcPr>
          <w:p w14:paraId="3DD429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45552479</w:t>
            </w:r>
          </w:p>
        </w:tc>
        <w:tc>
          <w:tcPr>
            <w:tcW w:w="5953" w:type="dxa"/>
            <w:tcBorders>
              <w:top w:val="nil"/>
              <w:left w:val="nil"/>
              <w:bottom w:val="single" w:sz="4" w:space="0" w:color="auto"/>
              <w:right w:val="single" w:sz="4" w:space="0" w:color="auto"/>
            </w:tcBorders>
            <w:noWrap/>
            <w:vAlign w:val="center"/>
            <w:hideMark/>
          </w:tcPr>
          <w:p w14:paraId="0F38E0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KRMELJ</w:t>
            </w:r>
          </w:p>
        </w:tc>
      </w:tr>
      <w:tr w:rsidR="00F24E18" w14:paraId="51A74F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C089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645</w:t>
            </w:r>
          </w:p>
        </w:tc>
        <w:tc>
          <w:tcPr>
            <w:tcW w:w="1300" w:type="dxa"/>
            <w:tcBorders>
              <w:top w:val="nil"/>
              <w:left w:val="nil"/>
              <w:bottom w:val="single" w:sz="4" w:space="0" w:color="auto"/>
              <w:right w:val="single" w:sz="4" w:space="0" w:color="auto"/>
            </w:tcBorders>
            <w:noWrap/>
            <w:vAlign w:val="center"/>
            <w:hideMark/>
          </w:tcPr>
          <w:p w14:paraId="446546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5018234000</w:t>
            </w:r>
          </w:p>
        </w:tc>
        <w:tc>
          <w:tcPr>
            <w:tcW w:w="1012" w:type="dxa"/>
            <w:tcBorders>
              <w:top w:val="nil"/>
              <w:left w:val="nil"/>
              <w:bottom w:val="single" w:sz="4" w:space="0" w:color="auto"/>
              <w:right w:val="single" w:sz="4" w:space="0" w:color="auto"/>
            </w:tcBorders>
            <w:noWrap/>
            <w:vAlign w:val="center"/>
            <w:hideMark/>
          </w:tcPr>
          <w:p w14:paraId="7C4251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91634202</w:t>
            </w:r>
          </w:p>
        </w:tc>
        <w:tc>
          <w:tcPr>
            <w:tcW w:w="5953" w:type="dxa"/>
            <w:tcBorders>
              <w:top w:val="nil"/>
              <w:left w:val="nil"/>
              <w:bottom w:val="single" w:sz="4" w:space="0" w:color="auto"/>
              <w:right w:val="single" w:sz="4" w:space="0" w:color="auto"/>
            </w:tcBorders>
            <w:noWrap/>
            <w:vAlign w:val="center"/>
            <w:hideMark/>
          </w:tcPr>
          <w:p w14:paraId="17346F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KROMBERK - LOKE</w:t>
            </w:r>
          </w:p>
        </w:tc>
      </w:tr>
      <w:tr w:rsidR="00F24E18" w14:paraId="7E9E54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8EC5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646</w:t>
            </w:r>
          </w:p>
        </w:tc>
        <w:tc>
          <w:tcPr>
            <w:tcW w:w="1300" w:type="dxa"/>
            <w:tcBorders>
              <w:top w:val="nil"/>
              <w:left w:val="nil"/>
              <w:bottom w:val="single" w:sz="4" w:space="0" w:color="auto"/>
              <w:right w:val="single" w:sz="4" w:space="0" w:color="auto"/>
            </w:tcBorders>
            <w:noWrap/>
            <w:vAlign w:val="center"/>
            <w:hideMark/>
          </w:tcPr>
          <w:p w14:paraId="7243A3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5185858000</w:t>
            </w:r>
          </w:p>
        </w:tc>
        <w:tc>
          <w:tcPr>
            <w:tcW w:w="1012" w:type="dxa"/>
            <w:tcBorders>
              <w:top w:val="nil"/>
              <w:left w:val="nil"/>
              <w:bottom w:val="single" w:sz="4" w:space="0" w:color="auto"/>
              <w:right w:val="single" w:sz="4" w:space="0" w:color="auto"/>
            </w:tcBorders>
            <w:noWrap/>
            <w:vAlign w:val="center"/>
            <w:hideMark/>
          </w:tcPr>
          <w:p w14:paraId="27E8CF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54065151</w:t>
            </w:r>
          </w:p>
        </w:tc>
        <w:tc>
          <w:tcPr>
            <w:tcW w:w="5953" w:type="dxa"/>
            <w:tcBorders>
              <w:top w:val="nil"/>
              <w:left w:val="nil"/>
              <w:bottom w:val="single" w:sz="4" w:space="0" w:color="auto"/>
              <w:right w:val="single" w:sz="4" w:space="0" w:color="auto"/>
            </w:tcBorders>
            <w:noWrap/>
            <w:vAlign w:val="center"/>
            <w:hideMark/>
          </w:tcPr>
          <w:p w14:paraId="2974BD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KRŠKO POLJE</w:t>
            </w:r>
          </w:p>
        </w:tc>
      </w:tr>
      <w:tr w:rsidR="00F24E18" w14:paraId="2ACD5D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149A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647</w:t>
            </w:r>
          </w:p>
        </w:tc>
        <w:tc>
          <w:tcPr>
            <w:tcW w:w="1300" w:type="dxa"/>
            <w:tcBorders>
              <w:top w:val="nil"/>
              <w:left w:val="nil"/>
              <w:bottom w:val="single" w:sz="4" w:space="0" w:color="auto"/>
              <w:right w:val="single" w:sz="4" w:space="0" w:color="auto"/>
            </w:tcBorders>
            <w:noWrap/>
            <w:vAlign w:val="center"/>
            <w:hideMark/>
          </w:tcPr>
          <w:p w14:paraId="00662E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5020913000</w:t>
            </w:r>
          </w:p>
        </w:tc>
        <w:tc>
          <w:tcPr>
            <w:tcW w:w="1012" w:type="dxa"/>
            <w:tcBorders>
              <w:top w:val="nil"/>
              <w:left w:val="nil"/>
              <w:bottom w:val="single" w:sz="4" w:space="0" w:color="auto"/>
              <w:right w:val="single" w:sz="4" w:space="0" w:color="auto"/>
            </w:tcBorders>
            <w:noWrap/>
            <w:vAlign w:val="center"/>
            <w:hideMark/>
          </w:tcPr>
          <w:p w14:paraId="6B14A4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19775172</w:t>
            </w:r>
          </w:p>
        </w:tc>
        <w:tc>
          <w:tcPr>
            <w:tcW w:w="5953" w:type="dxa"/>
            <w:tcBorders>
              <w:top w:val="nil"/>
              <w:left w:val="nil"/>
              <w:bottom w:val="single" w:sz="4" w:space="0" w:color="auto"/>
              <w:right w:val="single" w:sz="4" w:space="0" w:color="auto"/>
            </w:tcBorders>
            <w:noWrap/>
            <w:vAlign w:val="center"/>
            <w:hideMark/>
          </w:tcPr>
          <w:p w14:paraId="11F97A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LOČE</w:t>
            </w:r>
          </w:p>
        </w:tc>
      </w:tr>
      <w:tr w:rsidR="00F24E18" w14:paraId="3B2546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7BA6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648</w:t>
            </w:r>
          </w:p>
        </w:tc>
        <w:tc>
          <w:tcPr>
            <w:tcW w:w="1300" w:type="dxa"/>
            <w:tcBorders>
              <w:top w:val="nil"/>
              <w:left w:val="nil"/>
              <w:bottom w:val="single" w:sz="4" w:space="0" w:color="auto"/>
              <w:right w:val="single" w:sz="4" w:space="0" w:color="auto"/>
            </w:tcBorders>
            <w:noWrap/>
            <w:vAlign w:val="center"/>
            <w:hideMark/>
          </w:tcPr>
          <w:p w14:paraId="599FA3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5020794000</w:t>
            </w:r>
          </w:p>
        </w:tc>
        <w:tc>
          <w:tcPr>
            <w:tcW w:w="1012" w:type="dxa"/>
            <w:tcBorders>
              <w:top w:val="nil"/>
              <w:left w:val="nil"/>
              <w:bottom w:val="single" w:sz="4" w:space="0" w:color="auto"/>
              <w:right w:val="single" w:sz="4" w:space="0" w:color="auto"/>
            </w:tcBorders>
            <w:noWrap/>
            <w:vAlign w:val="center"/>
            <w:hideMark/>
          </w:tcPr>
          <w:p w14:paraId="5C3E72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59522259</w:t>
            </w:r>
          </w:p>
        </w:tc>
        <w:tc>
          <w:tcPr>
            <w:tcW w:w="5953" w:type="dxa"/>
            <w:tcBorders>
              <w:top w:val="nil"/>
              <w:left w:val="nil"/>
              <w:bottom w:val="single" w:sz="4" w:space="0" w:color="auto"/>
              <w:right w:val="single" w:sz="4" w:space="0" w:color="auto"/>
            </w:tcBorders>
            <w:noWrap/>
            <w:vAlign w:val="center"/>
            <w:hideMark/>
          </w:tcPr>
          <w:p w14:paraId="62BE57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LOKA PRI ZIDANEM MOSTU</w:t>
            </w:r>
          </w:p>
        </w:tc>
      </w:tr>
      <w:tr w:rsidR="00F24E18" w14:paraId="59B8DA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0E95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649</w:t>
            </w:r>
          </w:p>
        </w:tc>
        <w:tc>
          <w:tcPr>
            <w:tcW w:w="1300" w:type="dxa"/>
            <w:tcBorders>
              <w:top w:val="nil"/>
              <w:left w:val="nil"/>
              <w:bottom w:val="single" w:sz="4" w:space="0" w:color="auto"/>
              <w:right w:val="single" w:sz="4" w:space="0" w:color="auto"/>
            </w:tcBorders>
            <w:noWrap/>
            <w:vAlign w:val="center"/>
            <w:hideMark/>
          </w:tcPr>
          <w:p w14:paraId="6A7944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5020956000</w:t>
            </w:r>
          </w:p>
        </w:tc>
        <w:tc>
          <w:tcPr>
            <w:tcW w:w="1012" w:type="dxa"/>
            <w:tcBorders>
              <w:top w:val="nil"/>
              <w:left w:val="nil"/>
              <w:bottom w:val="single" w:sz="4" w:space="0" w:color="auto"/>
              <w:right w:val="single" w:sz="4" w:space="0" w:color="auto"/>
            </w:tcBorders>
            <w:noWrap/>
            <w:vAlign w:val="center"/>
            <w:hideMark/>
          </w:tcPr>
          <w:p w14:paraId="493C49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19695624</w:t>
            </w:r>
          </w:p>
        </w:tc>
        <w:tc>
          <w:tcPr>
            <w:tcW w:w="5953" w:type="dxa"/>
            <w:tcBorders>
              <w:top w:val="nil"/>
              <w:left w:val="nil"/>
              <w:bottom w:val="single" w:sz="4" w:space="0" w:color="auto"/>
              <w:right w:val="single" w:sz="4" w:space="0" w:color="auto"/>
            </w:tcBorders>
            <w:noWrap/>
            <w:vAlign w:val="center"/>
            <w:hideMark/>
          </w:tcPr>
          <w:p w14:paraId="28D6F6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LOKA PRI ŽUSMU</w:t>
            </w:r>
          </w:p>
        </w:tc>
      </w:tr>
      <w:tr w:rsidR="00F24E18" w14:paraId="0F79FF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908F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650</w:t>
            </w:r>
          </w:p>
        </w:tc>
        <w:tc>
          <w:tcPr>
            <w:tcW w:w="1300" w:type="dxa"/>
            <w:tcBorders>
              <w:top w:val="nil"/>
              <w:left w:val="nil"/>
              <w:bottom w:val="single" w:sz="4" w:space="0" w:color="auto"/>
              <w:right w:val="single" w:sz="4" w:space="0" w:color="auto"/>
            </w:tcBorders>
            <w:noWrap/>
            <w:vAlign w:val="center"/>
            <w:hideMark/>
          </w:tcPr>
          <w:p w14:paraId="7BD206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5026652000</w:t>
            </w:r>
          </w:p>
        </w:tc>
        <w:tc>
          <w:tcPr>
            <w:tcW w:w="1012" w:type="dxa"/>
            <w:tcBorders>
              <w:top w:val="nil"/>
              <w:left w:val="nil"/>
              <w:bottom w:val="single" w:sz="4" w:space="0" w:color="auto"/>
              <w:right w:val="single" w:sz="4" w:space="0" w:color="auto"/>
            </w:tcBorders>
            <w:noWrap/>
            <w:vAlign w:val="center"/>
            <w:hideMark/>
          </w:tcPr>
          <w:p w14:paraId="433FAE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94202613</w:t>
            </w:r>
          </w:p>
        </w:tc>
        <w:tc>
          <w:tcPr>
            <w:tcW w:w="5953" w:type="dxa"/>
            <w:tcBorders>
              <w:top w:val="nil"/>
              <w:left w:val="nil"/>
              <w:bottom w:val="single" w:sz="4" w:space="0" w:color="auto"/>
              <w:right w:val="single" w:sz="4" w:space="0" w:color="auto"/>
            </w:tcBorders>
            <w:noWrap/>
            <w:vAlign w:val="center"/>
            <w:hideMark/>
          </w:tcPr>
          <w:p w14:paraId="7D03A2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LOKAVEC</w:t>
            </w:r>
          </w:p>
        </w:tc>
      </w:tr>
      <w:tr w:rsidR="00F24E18" w14:paraId="647F2C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57C9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651</w:t>
            </w:r>
          </w:p>
        </w:tc>
        <w:tc>
          <w:tcPr>
            <w:tcW w:w="1300" w:type="dxa"/>
            <w:tcBorders>
              <w:top w:val="nil"/>
              <w:left w:val="nil"/>
              <w:bottom w:val="single" w:sz="4" w:space="0" w:color="auto"/>
              <w:right w:val="single" w:sz="4" w:space="0" w:color="auto"/>
            </w:tcBorders>
            <w:noWrap/>
            <w:vAlign w:val="center"/>
            <w:hideMark/>
          </w:tcPr>
          <w:p w14:paraId="00EC0F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5027560000</w:t>
            </w:r>
          </w:p>
        </w:tc>
        <w:tc>
          <w:tcPr>
            <w:tcW w:w="1012" w:type="dxa"/>
            <w:tcBorders>
              <w:top w:val="nil"/>
              <w:left w:val="nil"/>
              <w:bottom w:val="single" w:sz="4" w:space="0" w:color="auto"/>
              <w:right w:val="single" w:sz="4" w:space="0" w:color="auto"/>
            </w:tcBorders>
            <w:noWrap/>
            <w:vAlign w:val="center"/>
            <w:hideMark/>
          </w:tcPr>
          <w:p w14:paraId="7B0E1F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45231273</w:t>
            </w:r>
          </w:p>
        </w:tc>
        <w:tc>
          <w:tcPr>
            <w:tcW w:w="5953" w:type="dxa"/>
            <w:tcBorders>
              <w:top w:val="nil"/>
              <w:left w:val="nil"/>
              <w:bottom w:val="single" w:sz="4" w:space="0" w:color="auto"/>
              <w:right w:val="single" w:sz="4" w:space="0" w:color="auto"/>
            </w:tcBorders>
            <w:noWrap/>
            <w:vAlign w:val="center"/>
            <w:hideMark/>
          </w:tcPr>
          <w:p w14:paraId="67E558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LOKOVEC</w:t>
            </w:r>
          </w:p>
        </w:tc>
      </w:tr>
      <w:tr w:rsidR="00F24E18" w14:paraId="180635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E042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652</w:t>
            </w:r>
          </w:p>
        </w:tc>
        <w:tc>
          <w:tcPr>
            <w:tcW w:w="1300" w:type="dxa"/>
            <w:tcBorders>
              <w:top w:val="nil"/>
              <w:left w:val="nil"/>
              <w:bottom w:val="single" w:sz="4" w:space="0" w:color="auto"/>
              <w:right w:val="single" w:sz="4" w:space="0" w:color="auto"/>
            </w:tcBorders>
            <w:noWrap/>
            <w:vAlign w:val="center"/>
            <w:hideMark/>
          </w:tcPr>
          <w:p w14:paraId="1F6522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5020565000</w:t>
            </w:r>
          </w:p>
        </w:tc>
        <w:tc>
          <w:tcPr>
            <w:tcW w:w="1012" w:type="dxa"/>
            <w:tcBorders>
              <w:top w:val="nil"/>
              <w:left w:val="nil"/>
              <w:bottom w:val="single" w:sz="4" w:space="0" w:color="auto"/>
              <w:right w:val="single" w:sz="4" w:space="0" w:color="auto"/>
            </w:tcBorders>
            <w:noWrap/>
            <w:vAlign w:val="center"/>
            <w:hideMark/>
          </w:tcPr>
          <w:p w14:paraId="05EFA3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28673107</w:t>
            </w:r>
          </w:p>
        </w:tc>
        <w:tc>
          <w:tcPr>
            <w:tcW w:w="5953" w:type="dxa"/>
            <w:tcBorders>
              <w:top w:val="nil"/>
              <w:left w:val="nil"/>
              <w:bottom w:val="single" w:sz="4" w:space="0" w:color="auto"/>
              <w:right w:val="single" w:sz="4" w:space="0" w:color="auto"/>
            </w:tcBorders>
            <w:noWrap/>
            <w:vAlign w:val="center"/>
            <w:hideMark/>
          </w:tcPr>
          <w:p w14:paraId="556829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LOKVE - LAZNA</w:t>
            </w:r>
          </w:p>
        </w:tc>
      </w:tr>
      <w:tr w:rsidR="00F24E18" w14:paraId="6696781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3CCC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653</w:t>
            </w:r>
          </w:p>
        </w:tc>
        <w:tc>
          <w:tcPr>
            <w:tcW w:w="1300" w:type="dxa"/>
            <w:tcBorders>
              <w:top w:val="nil"/>
              <w:left w:val="nil"/>
              <w:bottom w:val="single" w:sz="4" w:space="0" w:color="auto"/>
              <w:right w:val="single" w:sz="4" w:space="0" w:color="auto"/>
            </w:tcBorders>
            <w:noWrap/>
            <w:vAlign w:val="center"/>
            <w:hideMark/>
          </w:tcPr>
          <w:p w14:paraId="548A8A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2632519000</w:t>
            </w:r>
          </w:p>
        </w:tc>
        <w:tc>
          <w:tcPr>
            <w:tcW w:w="1012" w:type="dxa"/>
            <w:tcBorders>
              <w:top w:val="nil"/>
              <w:left w:val="nil"/>
              <w:bottom w:val="single" w:sz="4" w:space="0" w:color="auto"/>
              <w:right w:val="single" w:sz="4" w:space="0" w:color="auto"/>
            </w:tcBorders>
            <w:noWrap/>
            <w:vAlign w:val="center"/>
            <w:hideMark/>
          </w:tcPr>
          <w:p w14:paraId="61FF87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57032793</w:t>
            </w:r>
          </w:p>
        </w:tc>
        <w:tc>
          <w:tcPr>
            <w:tcW w:w="5953" w:type="dxa"/>
            <w:tcBorders>
              <w:top w:val="nil"/>
              <w:left w:val="nil"/>
              <w:bottom w:val="single" w:sz="4" w:space="0" w:color="auto"/>
              <w:right w:val="single" w:sz="4" w:space="0" w:color="auto"/>
            </w:tcBorders>
            <w:noWrap/>
            <w:vAlign w:val="center"/>
            <w:hideMark/>
          </w:tcPr>
          <w:p w14:paraId="231137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MALE ŽABLJE</w:t>
            </w:r>
          </w:p>
        </w:tc>
      </w:tr>
      <w:tr w:rsidR="00F24E18" w14:paraId="39D7918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8A8C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654</w:t>
            </w:r>
          </w:p>
        </w:tc>
        <w:tc>
          <w:tcPr>
            <w:tcW w:w="1300" w:type="dxa"/>
            <w:tcBorders>
              <w:top w:val="nil"/>
              <w:left w:val="nil"/>
              <w:bottom w:val="single" w:sz="4" w:space="0" w:color="auto"/>
              <w:right w:val="single" w:sz="4" w:space="0" w:color="auto"/>
            </w:tcBorders>
            <w:noWrap/>
            <w:vAlign w:val="center"/>
            <w:hideMark/>
          </w:tcPr>
          <w:p w14:paraId="1F3681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5032288000</w:t>
            </w:r>
          </w:p>
        </w:tc>
        <w:tc>
          <w:tcPr>
            <w:tcW w:w="1012" w:type="dxa"/>
            <w:tcBorders>
              <w:top w:val="nil"/>
              <w:left w:val="nil"/>
              <w:bottom w:val="single" w:sz="4" w:space="0" w:color="auto"/>
              <w:right w:val="single" w:sz="4" w:space="0" w:color="auto"/>
            </w:tcBorders>
            <w:vAlign w:val="center"/>
            <w:hideMark/>
          </w:tcPr>
          <w:p w14:paraId="0917D4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12428159</w:t>
            </w:r>
          </w:p>
        </w:tc>
        <w:tc>
          <w:tcPr>
            <w:tcW w:w="5953" w:type="dxa"/>
            <w:tcBorders>
              <w:top w:val="nil"/>
              <w:left w:val="nil"/>
              <w:bottom w:val="single" w:sz="4" w:space="0" w:color="auto"/>
              <w:right w:val="single" w:sz="4" w:space="0" w:color="auto"/>
            </w:tcBorders>
            <w:noWrap/>
            <w:vAlign w:val="center"/>
            <w:hideMark/>
          </w:tcPr>
          <w:p w14:paraId="724AC7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MALI SLATNIK</w:t>
            </w:r>
          </w:p>
        </w:tc>
      </w:tr>
      <w:tr w:rsidR="00F24E18" w14:paraId="20E3A3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F769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655</w:t>
            </w:r>
          </w:p>
        </w:tc>
        <w:tc>
          <w:tcPr>
            <w:tcW w:w="1300" w:type="dxa"/>
            <w:tcBorders>
              <w:top w:val="nil"/>
              <w:left w:val="nil"/>
              <w:bottom w:val="single" w:sz="4" w:space="0" w:color="auto"/>
              <w:right w:val="single" w:sz="4" w:space="0" w:color="auto"/>
            </w:tcBorders>
            <w:noWrap/>
            <w:vAlign w:val="center"/>
            <w:hideMark/>
          </w:tcPr>
          <w:p w14:paraId="37942B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5031494000</w:t>
            </w:r>
          </w:p>
        </w:tc>
        <w:tc>
          <w:tcPr>
            <w:tcW w:w="1012" w:type="dxa"/>
            <w:tcBorders>
              <w:top w:val="nil"/>
              <w:left w:val="nil"/>
              <w:bottom w:val="single" w:sz="4" w:space="0" w:color="auto"/>
              <w:right w:val="single" w:sz="4" w:space="0" w:color="auto"/>
            </w:tcBorders>
            <w:noWrap/>
            <w:vAlign w:val="center"/>
            <w:hideMark/>
          </w:tcPr>
          <w:p w14:paraId="4A5984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90880994</w:t>
            </w:r>
          </w:p>
        </w:tc>
        <w:tc>
          <w:tcPr>
            <w:tcW w:w="5953" w:type="dxa"/>
            <w:tcBorders>
              <w:top w:val="nil"/>
              <w:left w:val="nil"/>
              <w:bottom w:val="single" w:sz="4" w:space="0" w:color="auto"/>
              <w:right w:val="single" w:sz="4" w:space="0" w:color="auto"/>
            </w:tcBorders>
            <w:noWrap/>
            <w:vAlign w:val="center"/>
            <w:hideMark/>
          </w:tcPr>
          <w:p w14:paraId="674A1A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MAREZIGE</w:t>
            </w:r>
          </w:p>
        </w:tc>
      </w:tr>
      <w:tr w:rsidR="00F24E18" w14:paraId="16BD270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FBCE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656</w:t>
            </w:r>
          </w:p>
        </w:tc>
        <w:tc>
          <w:tcPr>
            <w:tcW w:w="1300" w:type="dxa"/>
            <w:tcBorders>
              <w:top w:val="nil"/>
              <w:left w:val="nil"/>
              <w:bottom w:val="single" w:sz="4" w:space="0" w:color="auto"/>
              <w:right w:val="single" w:sz="4" w:space="0" w:color="auto"/>
            </w:tcBorders>
            <w:noWrap/>
            <w:vAlign w:val="center"/>
            <w:hideMark/>
          </w:tcPr>
          <w:p w14:paraId="721BF0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5017254000</w:t>
            </w:r>
          </w:p>
        </w:tc>
        <w:tc>
          <w:tcPr>
            <w:tcW w:w="1012" w:type="dxa"/>
            <w:tcBorders>
              <w:top w:val="nil"/>
              <w:left w:val="nil"/>
              <w:bottom w:val="single" w:sz="4" w:space="0" w:color="auto"/>
              <w:right w:val="single" w:sz="4" w:space="0" w:color="auto"/>
            </w:tcBorders>
            <w:noWrap/>
            <w:vAlign w:val="center"/>
            <w:hideMark/>
          </w:tcPr>
          <w:p w14:paraId="34ED33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66255236</w:t>
            </w:r>
          </w:p>
        </w:tc>
        <w:tc>
          <w:tcPr>
            <w:tcW w:w="5953" w:type="dxa"/>
            <w:tcBorders>
              <w:top w:val="nil"/>
              <w:left w:val="nil"/>
              <w:bottom w:val="single" w:sz="4" w:space="0" w:color="auto"/>
              <w:right w:val="single" w:sz="4" w:space="0" w:color="auto"/>
            </w:tcBorders>
            <w:noWrap/>
            <w:vAlign w:val="center"/>
            <w:hideMark/>
          </w:tcPr>
          <w:p w14:paraId="0ACA87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MAVČIČE</w:t>
            </w:r>
          </w:p>
        </w:tc>
      </w:tr>
      <w:tr w:rsidR="00F24E18" w14:paraId="61CB7CF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8FC0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657</w:t>
            </w:r>
          </w:p>
        </w:tc>
        <w:tc>
          <w:tcPr>
            <w:tcW w:w="1300" w:type="dxa"/>
            <w:tcBorders>
              <w:top w:val="nil"/>
              <w:left w:val="nil"/>
              <w:bottom w:val="single" w:sz="4" w:space="0" w:color="auto"/>
              <w:right w:val="single" w:sz="4" w:space="0" w:color="auto"/>
            </w:tcBorders>
            <w:noWrap/>
            <w:vAlign w:val="center"/>
            <w:hideMark/>
          </w:tcPr>
          <w:p w14:paraId="32CFC0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5027861000</w:t>
            </w:r>
          </w:p>
        </w:tc>
        <w:tc>
          <w:tcPr>
            <w:tcW w:w="1012" w:type="dxa"/>
            <w:tcBorders>
              <w:top w:val="nil"/>
              <w:left w:val="nil"/>
              <w:bottom w:val="single" w:sz="4" w:space="0" w:color="auto"/>
              <w:right w:val="single" w:sz="4" w:space="0" w:color="auto"/>
            </w:tcBorders>
            <w:noWrap/>
            <w:vAlign w:val="center"/>
            <w:hideMark/>
          </w:tcPr>
          <w:p w14:paraId="6715F9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88518752</w:t>
            </w:r>
          </w:p>
        </w:tc>
        <w:tc>
          <w:tcPr>
            <w:tcW w:w="5953" w:type="dxa"/>
            <w:tcBorders>
              <w:top w:val="nil"/>
              <w:left w:val="nil"/>
              <w:bottom w:val="single" w:sz="4" w:space="0" w:color="auto"/>
              <w:right w:val="single" w:sz="4" w:space="0" w:color="auto"/>
            </w:tcBorders>
            <w:noWrap/>
            <w:vAlign w:val="center"/>
            <w:hideMark/>
          </w:tcPr>
          <w:p w14:paraId="51165B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MESTINJE</w:t>
            </w:r>
          </w:p>
        </w:tc>
      </w:tr>
      <w:tr w:rsidR="00F24E18" w14:paraId="1BF43F2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8504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658</w:t>
            </w:r>
          </w:p>
        </w:tc>
        <w:tc>
          <w:tcPr>
            <w:tcW w:w="1300" w:type="dxa"/>
            <w:tcBorders>
              <w:top w:val="nil"/>
              <w:left w:val="nil"/>
              <w:bottom w:val="single" w:sz="4" w:space="0" w:color="auto"/>
              <w:right w:val="single" w:sz="4" w:space="0" w:color="auto"/>
            </w:tcBorders>
            <w:noWrap/>
            <w:vAlign w:val="center"/>
            <w:hideMark/>
          </w:tcPr>
          <w:p w14:paraId="480543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5018323000</w:t>
            </w:r>
          </w:p>
        </w:tc>
        <w:tc>
          <w:tcPr>
            <w:tcW w:w="1012" w:type="dxa"/>
            <w:tcBorders>
              <w:top w:val="nil"/>
              <w:left w:val="nil"/>
              <w:bottom w:val="single" w:sz="4" w:space="0" w:color="auto"/>
              <w:right w:val="single" w:sz="4" w:space="0" w:color="auto"/>
            </w:tcBorders>
            <w:noWrap/>
            <w:vAlign w:val="center"/>
            <w:hideMark/>
          </w:tcPr>
          <w:p w14:paraId="0CF46A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14828499</w:t>
            </w:r>
          </w:p>
        </w:tc>
        <w:tc>
          <w:tcPr>
            <w:tcW w:w="5953" w:type="dxa"/>
            <w:tcBorders>
              <w:top w:val="nil"/>
              <w:left w:val="nil"/>
              <w:bottom w:val="single" w:sz="4" w:space="0" w:color="auto"/>
              <w:right w:val="single" w:sz="4" w:space="0" w:color="auto"/>
            </w:tcBorders>
            <w:noWrap/>
            <w:vAlign w:val="center"/>
            <w:hideMark/>
          </w:tcPr>
          <w:p w14:paraId="17B87F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MIKLAVŽ PRI ORMOŽU</w:t>
            </w:r>
          </w:p>
        </w:tc>
      </w:tr>
      <w:tr w:rsidR="00F24E18" w14:paraId="2D89BE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26EE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659</w:t>
            </w:r>
          </w:p>
        </w:tc>
        <w:tc>
          <w:tcPr>
            <w:tcW w:w="1300" w:type="dxa"/>
            <w:tcBorders>
              <w:top w:val="nil"/>
              <w:left w:val="nil"/>
              <w:bottom w:val="single" w:sz="4" w:space="0" w:color="auto"/>
              <w:right w:val="single" w:sz="4" w:space="0" w:color="auto"/>
            </w:tcBorders>
            <w:noWrap/>
            <w:vAlign w:val="center"/>
            <w:hideMark/>
          </w:tcPr>
          <w:p w14:paraId="64935F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5365775000</w:t>
            </w:r>
          </w:p>
        </w:tc>
        <w:tc>
          <w:tcPr>
            <w:tcW w:w="1012" w:type="dxa"/>
            <w:tcBorders>
              <w:top w:val="nil"/>
              <w:left w:val="nil"/>
              <w:bottom w:val="single" w:sz="4" w:space="0" w:color="auto"/>
              <w:right w:val="single" w:sz="4" w:space="0" w:color="auto"/>
            </w:tcBorders>
            <w:noWrap/>
            <w:vAlign w:val="center"/>
            <w:hideMark/>
          </w:tcPr>
          <w:p w14:paraId="04B118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84832541</w:t>
            </w:r>
          </w:p>
        </w:tc>
        <w:tc>
          <w:tcPr>
            <w:tcW w:w="5953" w:type="dxa"/>
            <w:tcBorders>
              <w:top w:val="nil"/>
              <w:left w:val="nil"/>
              <w:bottom w:val="single" w:sz="4" w:space="0" w:color="auto"/>
              <w:right w:val="single" w:sz="4" w:space="0" w:color="auto"/>
            </w:tcBorders>
            <w:noWrap/>
            <w:vAlign w:val="center"/>
            <w:hideMark/>
          </w:tcPr>
          <w:p w14:paraId="1909F1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NOVA GORICA</w:t>
            </w:r>
          </w:p>
        </w:tc>
      </w:tr>
      <w:tr w:rsidR="00F24E18" w14:paraId="4B00E5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651F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660</w:t>
            </w:r>
          </w:p>
        </w:tc>
        <w:tc>
          <w:tcPr>
            <w:tcW w:w="1300" w:type="dxa"/>
            <w:tcBorders>
              <w:top w:val="nil"/>
              <w:left w:val="nil"/>
              <w:bottom w:val="single" w:sz="4" w:space="0" w:color="auto"/>
              <w:right w:val="single" w:sz="4" w:space="0" w:color="auto"/>
            </w:tcBorders>
            <w:noWrap/>
            <w:vAlign w:val="center"/>
            <w:hideMark/>
          </w:tcPr>
          <w:p w14:paraId="7A86DD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5020000000</w:t>
            </w:r>
          </w:p>
        </w:tc>
        <w:tc>
          <w:tcPr>
            <w:tcW w:w="1012" w:type="dxa"/>
            <w:tcBorders>
              <w:top w:val="nil"/>
              <w:left w:val="nil"/>
              <w:bottom w:val="single" w:sz="4" w:space="0" w:color="auto"/>
              <w:right w:val="single" w:sz="4" w:space="0" w:color="auto"/>
            </w:tcBorders>
            <w:noWrap/>
            <w:vAlign w:val="center"/>
            <w:hideMark/>
          </w:tcPr>
          <w:p w14:paraId="22FCBF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25403885</w:t>
            </w:r>
          </w:p>
        </w:tc>
        <w:tc>
          <w:tcPr>
            <w:tcW w:w="5953" w:type="dxa"/>
            <w:tcBorders>
              <w:top w:val="nil"/>
              <w:left w:val="nil"/>
              <w:bottom w:val="single" w:sz="4" w:space="0" w:color="auto"/>
              <w:right w:val="single" w:sz="4" w:space="0" w:color="auto"/>
            </w:tcBorders>
            <w:noWrap/>
            <w:vAlign w:val="center"/>
            <w:hideMark/>
          </w:tcPr>
          <w:p w14:paraId="554ECC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OREHEK-DRULOVKA</w:t>
            </w:r>
          </w:p>
        </w:tc>
      </w:tr>
      <w:tr w:rsidR="00F24E18" w14:paraId="0F532A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6B10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661</w:t>
            </w:r>
          </w:p>
        </w:tc>
        <w:tc>
          <w:tcPr>
            <w:tcW w:w="1300" w:type="dxa"/>
            <w:tcBorders>
              <w:top w:val="nil"/>
              <w:left w:val="nil"/>
              <w:bottom w:val="single" w:sz="4" w:space="0" w:color="auto"/>
              <w:right w:val="single" w:sz="4" w:space="0" w:color="auto"/>
            </w:tcBorders>
            <w:noWrap/>
            <w:vAlign w:val="center"/>
            <w:hideMark/>
          </w:tcPr>
          <w:p w14:paraId="3277F1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5031770000</w:t>
            </w:r>
          </w:p>
        </w:tc>
        <w:tc>
          <w:tcPr>
            <w:tcW w:w="1012" w:type="dxa"/>
            <w:tcBorders>
              <w:top w:val="nil"/>
              <w:left w:val="nil"/>
              <w:bottom w:val="single" w:sz="4" w:space="0" w:color="auto"/>
              <w:right w:val="single" w:sz="4" w:space="0" w:color="auto"/>
            </w:tcBorders>
            <w:noWrap/>
            <w:vAlign w:val="center"/>
            <w:hideMark/>
          </w:tcPr>
          <w:p w14:paraId="3E66BD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52506347</w:t>
            </w:r>
          </w:p>
        </w:tc>
        <w:tc>
          <w:tcPr>
            <w:tcW w:w="5953" w:type="dxa"/>
            <w:tcBorders>
              <w:top w:val="nil"/>
              <w:left w:val="nil"/>
              <w:bottom w:val="single" w:sz="4" w:space="0" w:color="auto"/>
              <w:right w:val="single" w:sz="4" w:space="0" w:color="auto"/>
            </w:tcBorders>
            <w:noWrap/>
            <w:vAlign w:val="center"/>
            <w:hideMark/>
          </w:tcPr>
          <w:p w14:paraId="067D48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ORMOŽ</w:t>
            </w:r>
          </w:p>
        </w:tc>
      </w:tr>
      <w:tr w:rsidR="00F24E18" w14:paraId="297242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9D94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662</w:t>
            </w:r>
          </w:p>
        </w:tc>
        <w:tc>
          <w:tcPr>
            <w:tcW w:w="1300" w:type="dxa"/>
            <w:tcBorders>
              <w:top w:val="nil"/>
              <w:left w:val="nil"/>
              <w:bottom w:val="single" w:sz="4" w:space="0" w:color="auto"/>
              <w:right w:val="single" w:sz="4" w:space="0" w:color="auto"/>
            </w:tcBorders>
            <w:noWrap/>
            <w:vAlign w:val="center"/>
            <w:hideMark/>
          </w:tcPr>
          <w:p w14:paraId="2C6420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5020581000</w:t>
            </w:r>
          </w:p>
        </w:tc>
        <w:tc>
          <w:tcPr>
            <w:tcW w:w="1012" w:type="dxa"/>
            <w:tcBorders>
              <w:top w:val="nil"/>
              <w:left w:val="nil"/>
              <w:bottom w:val="single" w:sz="4" w:space="0" w:color="auto"/>
              <w:right w:val="single" w:sz="4" w:space="0" w:color="auto"/>
            </w:tcBorders>
            <w:noWrap/>
            <w:vAlign w:val="center"/>
            <w:hideMark/>
          </w:tcPr>
          <w:p w14:paraId="1836F6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19273614</w:t>
            </w:r>
          </w:p>
        </w:tc>
        <w:tc>
          <w:tcPr>
            <w:tcW w:w="5953" w:type="dxa"/>
            <w:tcBorders>
              <w:top w:val="nil"/>
              <w:left w:val="nil"/>
              <w:bottom w:val="single" w:sz="4" w:space="0" w:color="auto"/>
              <w:right w:val="single" w:sz="4" w:space="0" w:color="auto"/>
            </w:tcBorders>
            <w:noWrap/>
            <w:vAlign w:val="center"/>
            <w:hideMark/>
          </w:tcPr>
          <w:p w14:paraId="0F9385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OSEK-VITOVLJE</w:t>
            </w:r>
          </w:p>
        </w:tc>
      </w:tr>
      <w:tr w:rsidR="00F24E18" w14:paraId="2C74F91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6CE5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663</w:t>
            </w:r>
          </w:p>
        </w:tc>
        <w:tc>
          <w:tcPr>
            <w:tcW w:w="1300" w:type="dxa"/>
            <w:tcBorders>
              <w:top w:val="nil"/>
              <w:left w:val="nil"/>
              <w:bottom w:val="single" w:sz="4" w:space="0" w:color="auto"/>
              <w:right w:val="single" w:sz="4" w:space="0" w:color="auto"/>
            </w:tcBorders>
            <w:noWrap/>
            <w:vAlign w:val="center"/>
            <w:hideMark/>
          </w:tcPr>
          <w:p w14:paraId="2FA601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5016550000</w:t>
            </w:r>
          </w:p>
        </w:tc>
        <w:tc>
          <w:tcPr>
            <w:tcW w:w="1012" w:type="dxa"/>
            <w:tcBorders>
              <w:top w:val="nil"/>
              <w:left w:val="nil"/>
              <w:bottom w:val="single" w:sz="4" w:space="0" w:color="auto"/>
              <w:right w:val="single" w:sz="4" w:space="0" w:color="auto"/>
            </w:tcBorders>
            <w:noWrap/>
            <w:vAlign w:val="center"/>
            <w:hideMark/>
          </w:tcPr>
          <w:p w14:paraId="0E8A26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34882294</w:t>
            </w:r>
          </w:p>
        </w:tc>
        <w:tc>
          <w:tcPr>
            <w:tcW w:w="5953" w:type="dxa"/>
            <w:tcBorders>
              <w:top w:val="nil"/>
              <w:left w:val="nil"/>
              <w:bottom w:val="single" w:sz="4" w:space="0" w:color="auto"/>
              <w:right w:val="single" w:sz="4" w:space="0" w:color="auto"/>
            </w:tcBorders>
            <w:noWrap/>
            <w:vAlign w:val="center"/>
            <w:hideMark/>
          </w:tcPr>
          <w:p w14:paraId="64E47B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OTLICA-KOVK</w:t>
            </w:r>
          </w:p>
        </w:tc>
      </w:tr>
      <w:tr w:rsidR="00F24E18" w14:paraId="3C23C0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83D3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664</w:t>
            </w:r>
          </w:p>
        </w:tc>
        <w:tc>
          <w:tcPr>
            <w:tcW w:w="1300" w:type="dxa"/>
            <w:tcBorders>
              <w:top w:val="nil"/>
              <w:left w:val="nil"/>
              <w:bottom w:val="single" w:sz="4" w:space="0" w:color="auto"/>
              <w:right w:val="single" w:sz="4" w:space="0" w:color="auto"/>
            </w:tcBorders>
            <w:noWrap/>
            <w:vAlign w:val="center"/>
            <w:hideMark/>
          </w:tcPr>
          <w:p w14:paraId="4253A7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5032075000</w:t>
            </w:r>
          </w:p>
        </w:tc>
        <w:tc>
          <w:tcPr>
            <w:tcW w:w="1012" w:type="dxa"/>
            <w:tcBorders>
              <w:top w:val="nil"/>
              <w:left w:val="nil"/>
              <w:bottom w:val="single" w:sz="4" w:space="0" w:color="auto"/>
              <w:right w:val="single" w:sz="4" w:space="0" w:color="auto"/>
            </w:tcBorders>
            <w:noWrap/>
            <w:vAlign w:val="center"/>
            <w:hideMark/>
          </w:tcPr>
          <w:p w14:paraId="1E41B0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64762963</w:t>
            </w:r>
          </w:p>
        </w:tc>
        <w:tc>
          <w:tcPr>
            <w:tcW w:w="5953" w:type="dxa"/>
            <w:tcBorders>
              <w:top w:val="nil"/>
              <w:left w:val="nil"/>
              <w:bottom w:val="single" w:sz="4" w:space="0" w:color="auto"/>
              <w:right w:val="single" w:sz="4" w:space="0" w:color="auto"/>
            </w:tcBorders>
            <w:noWrap/>
            <w:vAlign w:val="center"/>
            <w:hideMark/>
          </w:tcPr>
          <w:p w14:paraId="590BFE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OZELJAN - ŠMIHEL</w:t>
            </w:r>
          </w:p>
        </w:tc>
      </w:tr>
      <w:tr w:rsidR="00F24E18" w14:paraId="48FEF99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A442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665</w:t>
            </w:r>
          </w:p>
        </w:tc>
        <w:tc>
          <w:tcPr>
            <w:tcW w:w="1300" w:type="dxa"/>
            <w:tcBorders>
              <w:top w:val="nil"/>
              <w:left w:val="nil"/>
              <w:bottom w:val="single" w:sz="4" w:space="0" w:color="auto"/>
              <w:right w:val="single" w:sz="4" w:space="0" w:color="auto"/>
            </w:tcBorders>
            <w:noWrap/>
            <w:vAlign w:val="center"/>
            <w:hideMark/>
          </w:tcPr>
          <w:p w14:paraId="328ADC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1747789000</w:t>
            </w:r>
          </w:p>
        </w:tc>
        <w:tc>
          <w:tcPr>
            <w:tcW w:w="1012" w:type="dxa"/>
            <w:tcBorders>
              <w:top w:val="nil"/>
              <w:left w:val="nil"/>
              <w:bottom w:val="single" w:sz="4" w:space="0" w:color="auto"/>
              <w:right w:val="single" w:sz="4" w:space="0" w:color="auto"/>
            </w:tcBorders>
            <w:noWrap/>
            <w:vAlign w:val="center"/>
            <w:hideMark/>
          </w:tcPr>
          <w:p w14:paraId="142827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15579034</w:t>
            </w:r>
          </w:p>
        </w:tc>
        <w:tc>
          <w:tcPr>
            <w:tcW w:w="5953" w:type="dxa"/>
            <w:tcBorders>
              <w:top w:val="nil"/>
              <w:left w:val="nil"/>
              <w:bottom w:val="single" w:sz="4" w:space="0" w:color="auto"/>
              <w:right w:val="single" w:sz="4" w:space="0" w:color="auto"/>
            </w:tcBorders>
            <w:noWrap/>
            <w:vAlign w:val="center"/>
            <w:hideMark/>
          </w:tcPr>
          <w:p w14:paraId="638038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PEČICE</w:t>
            </w:r>
          </w:p>
        </w:tc>
      </w:tr>
      <w:tr w:rsidR="00F24E18" w14:paraId="31F670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BACD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666</w:t>
            </w:r>
          </w:p>
        </w:tc>
        <w:tc>
          <w:tcPr>
            <w:tcW w:w="1300" w:type="dxa"/>
            <w:tcBorders>
              <w:top w:val="nil"/>
              <w:left w:val="nil"/>
              <w:bottom w:val="single" w:sz="4" w:space="0" w:color="auto"/>
              <w:right w:val="single" w:sz="4" w:space="0" w:color="auto"/>
            </w:tcBorders>
            <w:noWrap/>
            <w:vAlign w:val="center"/>
            <w:hideMark/>
          </w:tcPr>
          <w:p w14:paraId="317831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5016703000</w:t>
            </w:r>
          </w:p>
        </w:tc>
        <w:tc>
          <w:tcPr>
            <w:tcW w:w="1012" w:type="dxa"/>
            <w:tcBorders>
              <w:top w:val="nil"/>
              <w:left w:val="nil"/>
              <w:bottom w:val="single" w:sz="4" w:space="0" w:color="auto"/>
              <w:right w:val="single" w:sz="4" w:space="0" w:color="auto"/>
            </w:tcBorders>
            <w:noWrap/>
            <w:vAlign w:val="center"/>
            <w:hideMark/>
          </w:tcPr>
          <w:p w14:paraId="6B1E97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83404279</w:t>
            </w:r>
          </w:p>
        </w:tc>
        <w:tc>
          <w:tcPr>
            <w:tcW w:w="5953" w:type="dxa"/>
            <w:tcBorders>
              <w:top w:val="nil"/>
              <w:left w:val="nil"/>
              <w:bottom w:val="single" w:sz="4" w:space="0" w:color="auto"/>
              <w:right w:val="single" w:sz="4" w:space="0" w:color="auto"/>
            </w:tcBorders>
            <w:noWrap/>
            <w:vAlign w:val="center"/>
            <w:hideMark/>
          </w:tcPr>
          <w:p w14:paraId="0FA7C3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PIŠECE</w:t>
            </w:r>
          </w:p>
        </w:tc>
      </w:tr>
      <w:tr w:rsidR="00F24E18" w14:paraId="67F37E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388E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667</w:t>
            </w:r>
          </w:p>
        </w:tc>
        <w:tc>
          <w:tcPr>
            <w:tcW w:w="1300" w:type="dxa"/>
            <w:tcBorders>
              <w:top w:val="nil"/>
              <w:left w:val="nil"/>
              <w:bottom w:val="single" w:sz="4" w:space="0" w:color="auto"/>
              <w:right w:val="single" w:sz="4" w:space="0" w:color="auto"/>
            </w:tcBorders>
            <w:noWrap/>
            <w:vAlign w:val="center"/>
            <w:hideMark/>
          </w:tcPr>
          <w:p w14:paraId="52B945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2516276000</w:t>
            </w:r>
          </w:p>
        </w:tc>
        <w:tc>
          <w:tcPr>
            <w:tcW w:w="1012" w:type="dxa"/>
            <w:tcBorders>
              <w:top w:val="nil"/>
              <w:left w:val="nil"/>
              <w:bottom w:val="single" w:sz="4" w:space="0" w:color="auto"/>
              <w:right w:val="single" w:sz="4" w:space="0" w:color="auto"/>
            </w:tcBorders>
            <w:noWrap/>
            <w:vAlign w:val="center"/>
            <w:hideMark/>
          </w:tcPr>
          <w:p w14:paraId="28B575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31816851</w:t>
            </w:r>
          </w:p>
        </w:tc>
        <w:tc>
          <w:tcPr>
            <w:tcW w:w="5953" w:type="dxa"/>
            <w:tcBorders>
              <w:top w:val="nil"/>
              <w:left w:val="nil"/>
              <w:bottom w:val="single" w:sz="4" w:space="0" w:color="auto"/>
              <w:right w:val="single" w:sz="4" w:space="0" w:color="auto"/>
            </w:tcBorders>
            <w:noWrap/>
            <w:vAlign w:val="center"/>
            <w:hideMark/>
          </w:tcPr>
          <w:p w14:paraId="5462A8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PLAČE</w:t>
            </w:r>
          </w:p>
        </w:tc>
      </w:tr>
      <w:tr w:rsidR="00F24E18" w14:paraId="4F670B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58D6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668</w:t>
            </w:r>
          </w:p>
        </w:tc>
        <w:tc>
          <w:tcPr>
            <w:tcW w:w="1300" w:type="dxa"/>
            <w:tcBorders>
              <w:top w:val="nil"/>
              <w:left w:val="nil"/>
              <w:bottom w:val="single" w:sz="4" w:space="0" w:color="auto"/>
              <w:right w:val="single" w:sz="4" w:space="0" w:color="auto"/>
            </w:tcBorders>
            <w:noWrap/>
            <w:vAlign w:val="center"/>
            <w:hideMark/>
          </w:tcPr>
          <w:p w14:paraId="021CC6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5017246000</w:t>
            </w:r>
          </w:p>
        </w:tc>
        <w:tc>
          <w:tcPr>
            <w:tcW w:w="1012" w:type="dxa"/>
            <w:tcBorders>
              <w:top w:val="nil"/>
              <w:left w:val="nil"/>
              <w:bottom w:val="single" w:sz="4" w:space="0" w:color="auto"/>
              <w:right w:val="single" w:sz="4" w:space="0" w:color="auto"/>
            </w:tcBorders>
            <w:noWrap/>
            <w:vAlign w:val="center"/>
            <w:hideMark/>
          </w:tcPr>
          <w:p w14:paraId="24E899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23703172</w:t>
            </w:r>
          </w:p>
        </w:tc>
        <w:tc>
          <w:tcPr>
            <w:tcW w:w="5953" w:type="dxa"/>
            <w:tcBorders>
              <w:top w:val="nil"/>
              <w:left w:val="nil"/>
              <w:bottom w:val="single" w:sz="4" w:space="0" w:color="auto"/>
              <w:right w:val="single" w:sz="4" w:space="0" w:color="auto"/>
            </w:tcBorders>
            <w:noWrap/>
            <w:vAlign w:val="center"/>
            <w:hideMark/>
          </w:tcPr>
          <w:p w14:paraId="0A613C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PLANINA</w:t>
            </w:r>
          </w:p>
        </w:tc>
      </w:tr>
      <w:tr w:rsidR="00F24E18" w14:paraId="1AB687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35A9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669</w:t>
            </w:r>
          </w:p>
        </w:tc>
        <w:tc>
          <w:tcPr>
            <w:tcW w:w="1300" w:type="dxa"/>
            <w:tcBorders>
              <w:top w:val="nil"/>
              <w:left w:val="nil"/>
              <w:bottom w:val="single" w:sz="4" w:space="0" w:color="auto"/>
              <w:right w:val="single" w:sz="4" w:space="0" w:color="auto"/>
            </w:tcBorders>
            <w:noWrap/>
            <w:vAlign w:val="center"/>
            <w:hideMark/>
          </w:tcPr>
          <w:p w14:paraId="08B866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5027896000</w:t>
            </w:r>
          </w:p>
        </w:tc>
        <w:tc>
          <w:tcPr>
            <w:tcW w:w="1012" w:type="dxa"/>
            <w:tcBorders>
              <w:top w:val="nil"/>
              <w:left w:val="nil"/>
              <w:bottom w:val="single" w:sz="4" w:space="0" w:color="auto"/>
              <w:right w:val="single" w:sz="4" w:space="0" w:color="auto"/>
            </w:tcBorders>
            <w:noWrap/>
            <w:vAlign w:val="center"/>
            <w:hideMark/>
          </w:tcPr>
          <w:p w14:paraId="254C38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99288486</w:t>
            </w:r>
          </w:p>
        </w:tc>
        <w:tc>
          <w:tcPr>
            <w:tcW w:w="5953" w:type="dxa"/>
            <w:tcBorders>
              <w:top w:val="nil"/>
              <w:left w:val="nil"/>
              <w:bottom w:val="single" w:sz="4" w:space="0" w:color="auto"/>
              <w:right w:val="single" w:sz="4" w:space="0" w:color="auto"/>
            </w:tcBorders>
            <w:noWrap/>
            <w:vAlign w:val="center"/>
            <w:hideMark/>
          </w:tcPr>
          <w:p w14:paraId="781362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PLANINA</w:t>
            </w:r>
          </w:p>
        </w:tc>
      </w:tr>
      <w:tr w:rsidR="00F24E18" w14:paraId="7E35F03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7F63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670</w:t>
            </w:r>
          </w:p>
        </w:tc>
        <w:tc>
          <w:tcPr>
            <w:tcW w:w="1300" w:type="dxa"/>
            <w:tcBorders>
              <w:top w:val="nil"/>
              <w:left w:val="nil"/>
              <w:bottom w:val="single" w:sz="4" w:space="0" w:color="auto"/>
              <w:right w:val="single" w:sz="4" w:space="0" w:color="auto"/>
            </w:tcBorders>
            <w:noWrap/>
            <w:vAlign w:val="center"/>
            <w:hideMark/>
          </w:tcPr>
          <w:p w14:paraId="1D14DC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5019036000</w:t>
            </w:r>
          </w:p>
        </w:tc>
        <w:tc>
          <w:tcPr>
            <w:tcW w:w="1012" w:type="dxa"/>
            <w:tcBorders>
              <w:top w:val="nil"/>
              <w:left w:val="nil"/>
              <w:bottom w:val="single" w:sz="4" w:space="0" w:color="auto"/>
              <w:right w:val="single" w:sz="4" w:space="0" w:color="auto"/>
            </w:tcBorders>
            <w:noWrap/>
            <w:vAlign w:val="center"/>
            <w:hideMark/>
          </w:tcPr>
          <w:p w14:paraId="446E41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23936436</w:t>
            </w:r>
          </w:p>
        </w:tc>
        <w:tc>
          <w:tcPr>
            <w:tcW w:w="5953" w:type="dxa"/>
            <w:tcBorders>
              <w:top w:val="nil"/>
              <w:left w:val="nil"/>
              <w:bottom w:val="single" w:sz="4" w:space="0" w:color="auto"/>
              <w:right w:val="single" w:sz="4" w:space="0" w:color="auto"/>
            </w:tcBorders>
            <w:noWrap/>
            <w:vAlign w:val="center"/>
            <w:hideMark/>
          </w:tcPr>
          <w:p w14:paraId="54C0A9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PLANINA PRI SEVNICI</w:t>
            </w:r>
          </w:p>
        </w:tc>
      </w:tr>
      <w:tr w:rsidR="00F24E18" w14:paraId="579F861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4D9E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671</w:t>
            </w:r>
          </w:p>
        </w:tc>
        <w:tc>
          <w:tcPr>
            <w:tcW w:w="1300" w:type="dxa"/>
            <w:tcBorders>
              <w:top w:val="nil"/>
              <w:left w:val="nil"/>
              <w:bottom w:val="single" w:sz="4" w:space="0" w:color="auto"/>
              <w:right w:val="single" w:sz="4" w:space="0" w:color="auto"/>
            </w:tcBorders>
            <w:noWrap/>
            <w:vAlign w:val="center"/>
            <w:hideMark/>
          </w:tcPr>
          <w:p w14:paraId="1ACC9F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5017203000</w:t>
            </w:r>
          </w:p>
        </w:tc>
        <w:tc>
          <w:tcPr>
            <w:tcW w:w="1012" w:type="dxa"/>
            <w:tcBorders>
              <w:top w:val="nil"/>
              <w:left w:val="nil"/>
              <w:bottom w:val="single" w:sz="4" w:space="0" w:color="auto"/>
              <w:right w:val="single" w:sz="4" w:space="0" w:color="auto"/>
            </w:tcBorders>
            <w:noWrap/>
            <w:vAlign w:val="center"/>
            <w:hideMark/>
          </w:tcPr>
          <w:p w14:paraId="370521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42416566</w:t>
            </w:r>
          </w:p>
        </w:tc>
        <w:tc>
          <w:tcPr>
            <w:tcW w:w="5953" w:type="dxa"/>
            <w:tcBorders>
              <w:top w:val="nil"/>
              <w:left w:val="nil"/>
              <w:bottom w:val="single" w:sz="4" w:space="0" w:color="auto"/>
              <w:right w:val="single" w:sz="4" w:space="0" w:color="auto"/>
            </w:tcBorders>
            <w:noWrap/>
            <w:vAlign w:val="center"/>
            <w:hideMark/>
          </w:tcPr>
          <w:p w14:paraId="5AF081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POBEGI-ČEŽARJI</w:t>
            </w:r>
          </w:p>
        </w:tc>
      </w:tr>
      <w:tr w:rsidR="00F24E18" w14:paraId="5DEF09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E891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672</w:t>
            </w:r>
          </w:p>
        </w:tc>
        <w:tc>
          <w:tcPr>
            <w:tcW w:w="1300" w:type="dxa"/>
            <w:tcBorders>
              <w:top w:val="nil"/>
              <w:left w:val="nil"/>
              <w:bottom w:val="single" w:sz="4" w:space="0" w:color="auto"/>
              <w:right w:val="single" w:sz="4" w:space="0" w:color="auto"/>
            </w:tcBorders>
            <w:noWrap/>
            <w:vAlign w:val="center"/>
            <w:hideMark/>
          </w:tcPr>
          <w:p w14:paraId="7E32FB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5029171000</w:t>
            </w:r>
          </w:p>
        </w:tc>
        <w:tc>
          <w:tcPr>
            <w:tcW w:w="1012" w:type="dxa"/>
            <w:tcBorders>
              <w:top w:val="nil"/>
              <w:left w:val="nil"/>
              <w:bottom w:val="single" w:sz="4" w:space="0" w:color="auto"/>
              <w:right w:val="single" w:sz="4" w:space="0" w:color="auto"/>
            </w:tcBorders>
            <w:noWrap/>
            <w:vAlign w:val="center"/>
            <w:hideMark/>
          </w:tcPr>
          <w:p w14:paraId="04F884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20750692</w:t>
            </w:r>
          </w:p>
        </w:tc>
        <w:tc>
          <w:tcPr>
            <w:tcW w:w="5953" w:type="dxa"/>
            <w:tcBorders>
              <w:top w:val="nil"/>
              <w:left w:val="nil"/>
              <w:bottom w:val="single" w:sz="4" w:space="0" w:color="auto"/>
              <w:right w:val="single" w:sz="4" w:space="0" w:color="auto"/>
            </w:tcBorders>
            <w:noWrap/>
            <w:vAlign w:val="center"/>
            <w:hideMark/>
          </w:tcPr>
          <w:p w14:paraId="4D0899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PODBLICA</w:t>
            </w:r>
          </w:p>
        </w:tc>
      </w:tr>
      <w:tr w:rsidR="00F24E18" w14:paraId="28651E1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4B5E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673</w:t>
            </w:r>
          </w:p>
        </w:tc>
        <w:tc>
          <w:tcPr>
            <w:tcW w:w="1300" w:type="dxa"/>
            <w:tcBorders>
              <w:top w:val="nil"/>
              <w:left w:val="nil"/>
              <w:bottom w:val="single" w:sz="4" w:space="0" w:color="auto"/>
              <w:right w:val="single" w:sz="4" w:space="0" w:color="auto"/>
            </w:tcBorders>
            <w:noWrap/>
            <w:vAlign w:val="center"/>
            <w:hideMark/>
          </w:tcPr>
          <w:p w14:paraId="0479B0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5028787000</w:t>
            </w:r>
          </w:p>
        </w:tc>
        <w:tc>
          <w:tcPr>
            <w:tcW w:w="1012" w:type="dxa"/>
            <w:tcBorders>
              <w:top w:val="nil"/>
              <w:left w:val="nil"/>
              <w:bottom w:val="single" w:sz="4" w:space="0" w:color="auto"/>
              <w:right w:val="single" w:sz="4" w:space="0" w:color="auto"/>
            </w:tcBorders>
            <w:noWrap/>
            <w:vAlign w:val="center"/>
            <w:hideMark/>
          </w:tcPr>
          <w:p w14:paraId="4B6DA9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71175482</w:t>
            </w:r>
          </w:p>
        </w:tc>
        <w:tc>
          <w:tcPr>
            <w:tcW w:w="5953" w:type="dxa"/>
            <w:tcBorders>
              <w:top w:val="nil"/>
              <w:left w:val="nil"/>
              <w:bottom w:val="single" w:sz="4" w:space="0" w:color="auto"/>
              <w:right w:val="single" w:sz="4" w:space="0" w:color="auto"/>
            </w:tcBorders>
            <w:noWrap/>
            <w:vAlign w:val="center"/>
            <w:hideMark/>
          </w:tcPr>
          <w:p w14:paraId="490D90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PODBOČJE</w:t>
            </w:r>
          </w:p>
        </w:tc>
      </w:tr>
      <w:tr w:rsidR="00F24E18" w14:paraId="6CD1FD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40C6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674</w:t>
            </w:r>
          </w:p>
        </w:tc>
        <w:tc>
          <w:tcPr>
            <w:tcW w:w="1300" w:type="dxa"/>
            <w:tcBorders>
              <w:top w:val="nil"/>
              <w:left w:val="nil"/>
              <w:bottom w:val="single" w:sz="4" w:space="0" w:color="auto"/>
              <w:right w:val="single" w:sz="4" w:space="0" w:color="auto"/>
            </w:tcBorders>
            <w:noWrap/>
            <w:vAlign w:val="center"/>
            <w:hideMark/>
          </w:tcPr>
          <w:p w14:paraId="3210D9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5018340000</w:t>
            </w:r>
          </w:p>
        </w:tc>
        <w:tc>
          <w:tcPr>
            <w:tcW w:w="1012" w:type="dxa"/>
            <w:tcBorders>
              <w:top w:val="nil"/>
              <w:left w:val="nil"/>
              <w:bottom w:val="single" w:sz="4" w:space="0" w:color="auto"/>
              <w:right w:val="single" w:sz="4" w:space="0" w:color="auto"/>
            </w:tcBorders>
            <w:noWrap/>
            <w:vAlign w:val="center"/>
            <w:hideMark/>
          </w:tcPr>
          <w:p w14:paraId="4B7A49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59091274</w:t>
            </w:r>
          </w:p>
        </w:tc>
        <w:tc>
          <w:tcPr>
            <w:tcW w:w="5953" w:type="dxa"/>
            <w:tcBorders>
              <w:top w:val="nil"/>
              <w:left w:val="nil"/>
              <w:bottom w:val="single" w:sz="4" w:space="0" w:color="auto"/>
              <w:right w:val="single" w:sz="4" w:space="0" w:color="auto"/>
            </w:tcBorders>
            <w:noWrap/>
            <w:vAlign w:val="center"/>
            <w:hideMark/>
          </w:tcPr>
          <w:p w14:paraId="2D63E8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PODGORCI</w:t>
            </w:r>
          </w:p>
        </w:tc>
      </w:tr>
      <w:tr w:rsidR="00F24E18" w14:paraId="7C19E0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F6E2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675</w:t>
            </w:r>
          </w:p>
        </w:tc>
        <w:tc>
          <w:tcPr>
            <w:tcW w:w="1300" w:type="dxa"/>
            <w:tcBorders>
              <w:top w:val="nil"/>
              <w:left w:val="nil"/>
              <w:bottom w:val="single" w:sz="4" w:space="0" w:color="auto"/>
              <w:right w:val="single" w:sz="4" w:space="0" w:color="auto"/>
            </w:tcBorders>
            <w:noWrap/>
            <w:vAlign w:val="center"/>
            <w:hideMark/>
          </w:tcPr>
          <w:p w14:paraId="706D81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5016568000</w:t>
            </w:r>
          </w:p>
        </w:tc>
        <w:tc>
          <w:tcPr>
            <w:tcW w:w="1012" w:type="dxa"/>
            <w:tcBorders>
              <w:top w:val="nil"/>
              <w:left w:val="nil"/>
              <w:bottom w:val="single" w:sz="4" w:space="0" w:color="auto"/>
              <w:right w:val="single" w:sz="4" w:space="0" w:color="auto"/>
            </w:tcBorders>
            <w:noWrap/>
            <w:vAlign w:val="center"/>
            <w:hideMark/>
          </w:tcPr>
          <w:p w14:paraId="3401BA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45820651</w:t>
            </w:r>
          </w:p>
        </w:tc>
        <w:tc>
          <w:tcPr>
            <w:tcW w:w="5953" w:type="dxa"/>
            <w:tcBorders>
              <w:top w:val="nil"/>
              <w:left w:val="nil"/>
              <w:bottom w:val="single" w:sz="4" w:space="0" w:color="auto"/>
              <w:right w:val="single" w:sz="4" w:space="0" w:color="auto"/>
            </w:tcBorders>
            <w:noWrap/>
            <w:vAlign w:val="center"/>
            <w:hideMark/>
          </w:tcPr>
          <w:p w14:paraId="414B2D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PODKRAJ</w:t>
            </w:r>
          </w:p>
        </w:tc>
      </w:tr>
      <w:tr w:rsidR="00F24E18" w14:paraId="47F42F3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D2C3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676</w:t>
            </w:r>
          </w:p>
        </w:tc>
        <w:tc>
          <w:tcPr>
            <w:tcW w:w="1300" w:type="dxa"/>
            <w:tcBorders>
              <w:top w:val="nil"/>
              <w:left w:val="nil"/>
              <w:bottom w:val="single" w:sz="4" w:space="0" w:color="auto"/>
              <w:right w:val="single" w:sz="4" w:space="0" w:color="auto"/>
            </w:tcBorders>
            <w:noWrap/>
            <w:vAlign w:val="center"/>
            <w:hideMark/>
          </w:tcPr>
          <w:p w14:paraId="3BA90F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5030170000</w:t>
            </w:r>
          </w:p>
        </w:tc>
        <w:tc>
          <w:tcPr>
            <w:tcW w:w="1012" w:type="dxa"/>
            <w:tcBorders>
              <w:top w:val="nil"/>
              <w:left w:val="nil"/>
              <w:bottom w:val="single" w:sz="4" w:space="0" w:color="auto"/>
              <w:right w:val="single" w:sz="4" w:space="0" w:color="auto"/>
            </w:tcBorders>
            <w:vAlign w:val="center"/>
            <w:hideMark/>
          </w:tcPr>
          <w:p w14:paraId="5FC370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61988332</w:t>
            </w:r>
          </w:p>
        </w:tc>
        <w:tc>
          <w:tcPr>
            <w:tcW w:w="5953" w:type="dxa"/>
            <w:tcBorders>
              <w:top w:val="nil"/>
              <w:left w:val="nil"/>
              <w:bottom w:val="single" w:sz="4" w:space="0" w:color="auto"/>
              <w:right w:val="single" w:sz="4" w:space="0" w:color="auto"/>
            </w:tcBorders>
            <w:noWrap/>
            <w:vAlign w:val="center"/>
            <w:hideMark/>
          </w:tcPr>
          <w:p w14:paraId="67AF37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POLENE</w:t>
            </w:r>
          </w:p>
        </w:tc>
      </w:tr>
      <w:tr w:rsidR="00F24E18" w14:paraId="1233B3F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C319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677</w:t>
            </w:r>
          </w:p>
        </w:tc>
        <w:tc>
          <w:tcPr>
            <w:tcW w:w="1300" w:type="dxa"/>
            <w:tcBorders>
              <w:top w:val="nil"/>
              <w:left w:val="nil"/>
              <w:bottom w:val="single" w:sz="4" w:space="0" w:color="auto"/>
              <w:right w:val="single" w:sz="4" w:space="0" w:color="auto"/>
            </w:tcBorders>
            <w:noWrap/>
            <w:vAlign w:val="center"/>
            <w:hideMark/>
          </w:tcPr>
          <w:p w14:paraId="40A424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5019044000</w:t>
            </w:r>
          </w:p>
        </w:tc>
        <w:tc>
          <w:tcPr>
            <w:tcW w:w="1012" w:type="dxa"/>
            <w:tcBorders>
              <w:top w:val="nil"/>
              <w:left w:val="nil"/>
              <w:bottom w:val="single" w:sz="4" w:space="0" w:color="auto"/>
              <w:right w:val="single" w:sz="4" w:space="0" w:color="auto"/>
            </w:tcBorders>
            <w:noWrap/>
            <w:vAlign w:val="center"/>
            <w:hideMark/>
          </w:tcPr>
          <w:p w14:paraId="7419C9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43883320</w:t>
            </w:r>
          </w:p>
        </w:tc>
        <w:tc>
          <w:tcPr>
            <w:tcW w:w="5953" w:type="dxa"/>
            <w:tcBorders>
              <w:top w:val="nil"/>
              <w:left w:val="nil"/>
              <w:bottom w:val="single" w:sz="4" w:space="0" w:color="auto"/>
              <w:right w:val="single" w:sz="4" w:space="0" w:color="auto"/>
            </w:tcBorders>
            <w:noWrap/>
            <w:vAlign w:val="center"/>
            <w:hideMark/>
          </w:tcPr>
          <w:p w14:paraId="1C4B5C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PONIKVA</w:t>
            </w:r>
          </w:p>
        </w:tc>
      </w:tr>
      <w:tr w:rsidR="00F24E18" w14:paraId="045DF04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8C95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678</w:t>
            </w:r>
          </w:p>
        </w:tc>
        <w:tc>
          <w:tcPr>
            <w:tcW w:w="1300" w:type="dxa"/>
            <w:tcBorders>
              <w:top w:val="nil"/>
              <w:left w:val="nil"/>
              <w:bottom w:val="single" w:sz="4" w:space="0" w:color="auto"/>
              <w:right w:val="single" w:sz="4" w:space="0" w:color="auto"/>
            </w:tcBorders>
            <w:noWrap/>
            <w:vAlign w:val="center"/>
            <w:hideMark/>
          </w:tcPr>
          <w:p w14:paraId="003DF6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5021731000</w:t>
            </w:r>
          </w:p>
        </w:tc>
        <w:tc>
          <w:tcPr>
            <w:tcW w:w="1012" w:type="dxa"/>
            <w:tcBorders>
              <w:top w:val="nil"/>
              <w:left w:val="nil"/>
              <w:bottom w:val="single" w:sz="4" w:space="0" w:color="auto"/>
              <w:right w:val="single" w:sz="4" w:space="0" w:color="auto"/>
            </w:tcBorders>
            <w:noWrap/>
            <w:vAlign w:val="center"/>
            <w:hideMark/>
          </w:tcPr>
          <w:p w14:paraId="6418EA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69765502</w:t>
            </w:r>
          </w:p>
        </w:tc>
        <w:tc>
          <w:tcPr>
            <w:tcW w:w="5953" w:type="dxa"/>
            <w:tcBorders>
              <w:top w:val="nil"/>
              <w:left w:val="nil"/>
              <w:bottom w:val="single" w:sz="4" w:space="0" w:color="auto"/>
              <w:right w:val="single" w:sz="4" w:space="0" w:color="auto"/>
            </w:tcBorders>
            <w:noWrap/>
            <w:vAlign w:val="center"/>
            <w:hideMark/>
          </w:tcPr>
          <w:p w14:paraId="2AD68F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PRAGERSKO - GAJ</w:t>
            </w:r>
          </w:p>
        </w:tc>
      </w:tr>
      <w:tr w:rsidR="00F24E18" w14:paraId="4395D1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D72C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679</w:t>
            </w:r>
          </w:p>
        </w:tc>
        <w:tc>
          <w:tcPr>
            <w:tcW w:w="1300" w:type="dxa"/>
            <w:tcBorders>
              <w:top w:val="nil"/>
              <w:left w:val="nil"/>
              <w:bottom w:val="single" w:sz="4" w:space="0" w:color="auto"/>
              <w:right w:val="single" w:sz="4" w:space="0" w:color="auto"/>
            </w:tcBorders>
            <w:noWrap/>
            <w:vAlign w:val="center"/>
            <w:hideMark/>
          </w:tcPr>
          <w:p w14:paraId="33C011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5030269000</w:t>
            </w:r>
          </w:p>
        </w:tc>
        <w:tc>
          <w:tcPr>
            <w:tcW w:w="1012" w:type="dxa"/>
            <w:tcBorders>
              <w:top w:val="nil"/>
              <w:left w:val="nil"/>
              <w:bottom w:val="single" w:sz="4" w:space="0" w:color="auto"/>
              <w:right w:val="single" w:sz="4" w:space="0" w:color="auto"/>
            </w:tcBorders>
            <w:noWrap/>
            <w:vAlign w:val="center"/>
            <w:hideMark/>
          </w:tcPr>
          <w:p w14:paraId="6A62E4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68789670</w:t>
            </w:r>
          </w:p>
        </w:tc>
        <w:tc>
          <w:tcPr>
            <w:tcW w:w="5953" w:type="dxa"/>
            <w:tcBorders>
              <w:top w:val="nil"/>
              <w:left w:val="nil"/>
              <w:bottom w:val="single" w:sz="4" w:space="0" w:color="auto"/>
              <w:right w:val="single" w:sz="4" w:space="0" w:color="auto"/>
            </w:tcBorders>
            <w:noWrap/>
            <w:vAlign w:val="center"/>
            <w:hideMark/>
          </w:tcPr>
          <w:p w14:paraId="6EDA30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PREČNA</w:t>
            </w:r>
          </w:p>
        </w:tc>
      </w:tr>
      <w:tr w:rsidR="00F24E18" w14:paraId="354155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9687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680</w:t>
            </w:r>
          </w:p>
        </w:tc>
        <w:tc>
          <w:tcPr>
            <w:tcW w:w="1300" w:type="dxa"/>
            <w:tcBorders>
              <w:top w:val="nil"/>
              <w:left w:val="nil"/>
              <w:bottom w:val="single" w:sz="4" w:space="0" w:color="auto"/>
              <w:right w:val="single" w:sz="4" w:space="0" w:color="auto"/>
            </w:tcBorders>
            <w:noWrap/>
            <w:vAlign w:val="center"/>
            <w:hideMark/>
          </w:tcPr>
          <w:p w14:paraId="5AE8F1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5019451000</w:t>
            </w:r>
          </w:p>
        </w:tc>
        <w:tc>
          <w:tcPr>
            <w:tcW w:w="1012" w:type="dxa"/>
            <w:tcBorders>
              <w:top w:val="nil"/>
              <w:left w:val="nil"/>
              <w:bottom w:val="single" w:sz="4" w:space="0" w:color="auto"/>
              <w:right w:val="single" w:sz="4" w:space="0" w:color="auto"/>
            </w:tcBorders>
            <w:noWrap/>
            <w:vAlign w:val="center"/>
            <w:hideMark/>
          </w:tcPr>
          <w:p w14:paraId="358E3E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47469056</w:t>
            </w:r>
          </w:p>
        </w:tc>
        <w:tc>
          <w:tcPr>
            <w:tcW w:w="5953" w:type="dxa"/>
            <w:tcBorders>
              <w:top w:val="nil"/>
              <w:left w:val="nil"/>
              <w:bottom w:val="single" w:sz="4" w:space="0" w:color="auto"/>
              <w:right w:val="single" w:sz="4" w:space="0" w:color="auto"/>
            </w:tcBorders>
            <w:noWrap/>
            <w:vAlign w:val="center"/>
            <w:hideMark/>
          </w:tcPr>
          <w:p w14:paraId="2D0509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PREDMEJA</w:t>
            </w:r>
          </w:p>
        </w:tc>
      </w:tr>
      <w:tr w:rsidR="00F24E18" w14:paraId="2D781B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810E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681</w:t>
            </w:r>
          </w:p>
        </w:tc>
        <w:tc>
          <w:tcPr>
            <w:tcW w:w="1300" w:type="dxa"/>
            <w:tcBorders>
              <w:top w:val="nil"/>
              <w:left w:val="nil"/>
              <w:bottom w:val="single" w:sz="4" w:space="0" w:color="auto"/>
              <w:right w:val="single" w:sz="4" w:space="0" w:color="auto"/>
            </w:tcBorders>
            <w:noWrap/>
            <w:vAlign w:val="center"/>
            <w:hideMark/>
          </w:tcPr>
          <w:p w14:paraId="40188B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5031192000</w:t>
            </w:r>
          </w:p>
        </w:tc>
        <w:tc>
          <w:tcPr>
            <w:tcW w:w="1012" w:type="dxa"/>
            <w:tcBorders>
              <w:top w:val="nil"/>
              <w:left w:val="nil"/>
              <w:bottom w:val="single" w:sz="4" w:space="0" w:color="auto"/>
              <w:right w:val="single" w:sz="4" w:space="0" w:color="auto"/>
            </w:tcBorders>
            <w:noWrap/>
            <w:vAlign w:val="center"/>
            <w:hideMark/>
          </w:tcPr>
          <w:p w14:paraId="089B11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40810062</w:t>
            </w:r>
          </w:p>
        </w:tc>
        <w:tc>
          <w:tcPr>
            <w:tcW w:w="5953" w:type="dxa"/>
            <w:tcBorders>
              <w:top w:val="nil"/>
              <w:left w:val="nil"/>
              <w:bottom w:val="single" w:sz="4" w:space="0" w:color="auto"/>
              <w:right w:val="single" w:sz="4" w:space="0" w:color="auto"/>
            </w:tcBorders>
            <w:noWrap/>
            <w:vAlign w:val="center"/>
            <w:hideMark/>
          </w:tcPr>
          <w:p w14:paraId="400C28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PREDOSLJE</w:t>
            </w:r>
          </w:p>
        </w:tc>
      </w:tr>
      <w:tr w:rsidR="00F24E18" w14:paraId="357812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B149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682</w:t>
            </w:r>
          </w:p>
        </w:tc>
        <w:tc>
          <w:tcPr>
            <w:tcW w:w="1300" w:type="dxa"/>
            <w:tcBorders>
              <w:top w:val="nil"/>
              <w:left w:val="nil"/>
              <w:bottom w:val="single" w:sz="4" w:space="0" w:color="auto"/>
              <w:right w:val="single" w:sz="4" w:space="0" w:color="auto"/>
            </w:tcBorders>
            <w:noWrap/>
            <w:vAlign w:val="center"/>
            <w:hideMark/>
          </w:tcPr>
          <w:p w14:paraId="735CFC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5020964000</w:t>
            </w:r>
          </w:p>
        </w:tc>
        <w:tc>
          <w:tcPr>
            <w:tcW w:w="1012" w:type="dxa"/>
            <w:tcBorders>
              <w:top w:val="nil"/>
              <w:left w:val="nil"/>
              <w:bottom w:val="single" w:sz="4" w:space="0" w:color="auto"/>
              <w:right w:val="single" w:sz="4" w:space="0" w:color="auto"/>
            </w:tcBorders>
            <w:noWrap/>
            <w:vAlign w:val="center"/>
            <w:hideMark/>
          </w:tcPr>
          <w:p w14:paraId="514FAE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75020190</w:t>
            </w:r>
          </w:p>
        </w:tc>
        <w:tc>
          <w:tcPr>
            <w:tcW w:w="5953" w:type="dxa"/>
            <w:tcBorders>
              <w:top w:val="nil"/>
              <w:left w:val="nil"/>
              <w:bottom w:val="single" w:sz="4" w:space="0" w:color="auto"/>
              <w:right w:val="single" w:sz="4" w:space="0" w:color="auto"/>
            </w:tcBorders>
            <w:noWrap/>
            <w:vAlign w:val="center"/>
            <w:hideMark/>
          </w:tcPr>
          <w:p w14:paraId="78E2F2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PREVORJE</w:t>
            </w:r>
          </w:p>
        </w:tc>
      </w:tr>
      <w:tr w:rsidR="00F24E18" w14:paraId="4066918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5789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683</w:t>
            </w:r>
          </w:p>
        </w:tc>
        <w:tc>
          <w:tcPr>
            <w:tcW w:w="1300" w:type="dxa"/>
            <w:tcBorders>
              <w:top w:val="nil"/>
              <w:left w:val="nil"/>
              <w:bottom w:val="single" w:sz="4" w:space="0" w:color="auto"/>
              <w:right w:val="single" w:sz="4" w:space="0" w:color="auto"/>
            </w:tcBorders>
            <w:noWrap/>
            <w:vAlign w:val="center"/>
            <w:hideMark/>
          </w:tcPr>
          <w:p w14:paraId="6B523F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5032466000</w:t>
            </w:r>
          </w:p>
        </w:tc>
        <w:tc>
          <w:tcPr>
            <w:tcW w:w="1012" w:type="dxa"/>
            <w:tcBorders>
              <w:top w:val="nil"/>
              <w:left w:val="nil"/>
              <w:bottom w:val="single" w:sz="4" w:space="0" w:color="auto"/>
              <w:right w:val="single" w:sz="4" w:space="0" w:color="auto"/>
            </w:tcBorders>
            <w:noWrap/>
            <w:vAlign w:val="center"/>
            <w:hideMark/>
          </w:tcPr>
          <w:p w14:paraId="4D4ACC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76077292</w:t>
            </w:r>
          </w:p>
        </w:tc>
        <w:tc>
          <w:tcPr>
            <w:tcW w:w="5953" w:type="dxa"/>
            <w:tcBorders>
              <w:top w:val="nil"/>
              <w:left w:val="nil"/>
              <w:bottom w:val="single" w:sz="4" w:space="0" w:color="auto"/>
              <w:right w:val="single" w:sz="4" w:space="0" w:color="auto"/>
            </w:tcBorders>
            <w:noWrap/>
            <w:vAlign w:val="center"/>
            <w:hideMark/>
          </w:tcPr>
          <w:p w14:paraId="49864D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PRIMOŽ</w:t>
            </w:r>
          </w:p>
        </w:tc>
      </w:tr>
      <w:tr w:rsidR="00F24E18" w14:paraId="5BD01E3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EA75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684</w:t>
            </w:r>
          </w:p>
        </w:tc>
        <w:tc>
          <w:tcPr>
            <w:tcW w:w="1300" w:type="dxa"/>
            <w:tcBorders>
              <w:top w:val="nil"/>
              <w:left w:val="nil"/>
              <w:bottom w:val="single" w:sz="4" w:space="0" w:color="auto"/>
              <w:right w:val="single" w:sz="4" w:space="0" w:color="auto"/>
            </w:tcBorders>
            <w:noWrap/>
            <w:vAlign w:val="center"/>
            <w:hideMark/>
          </w:tcPr>
          <w:p w14:paraId="72A716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5021391000</w:t>
            </w:r>
          </w:p>
        </w:tc>
        <w:tc>
          <w:tcPr>
            <w:tcW w:w="1012" w:type="dxa"/>
            <w:tcBorders>
              <w:top w:val="nil"/>
              <w:left w:val="nil"/>
              <w:bottom w:val="single" w:sz="4" w:space="0" w:color="auto"/>
              <w:right w:val="single" w:sz="4" w:space="0" w:color="auto"/>
            </w:tcBorders>
            <w:noWrap/>
            <w:vAlign w:val="center"/>
            <w:hideMark/>
          </w:tcPr>
          <w:p w14:paraId="0F26B3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11657235</w:t>
            </w:r>
          </w:p>
        </w:tc>
        <w:tc>
          <w:tcPr>
            <w:tcW w:w="5953" w:type="dxa"/>
            <w:tcBorders>
              <w:top w:val="nil"/>
              <w:left w:val="nil"/>
              <w:bottom w:val="single" w:sz="4" w:space="0" w:color="auto"/>
              <w:right w:val="single" w:sz="4" w:space="0" w:color="auto"/>
            </w:tcBorders>
            <w:noWrap/>
            <w:vAlign w:val="center"/>
            <w:hideMark/>
          </w:tcPr>
          <w:p w14:paraId="5ABB3A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PRIMSKOVO</w:t>
            </w:r>
          </w:p>
        </w:tc>
      </w:tr>
      <w:tr w:rsidR="00F24E18" w14:paraId="68D8B3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2308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685</w:t>
            </w:r>
          </w:p>
        </w:tc>
        <w:tc>
          <w:tcPr>
            <w:tcW w:w="1300" w:type="dxa"/>
            <w:tcBorders>
              <w:top w:val="nil"/>
              <w:left w:val="nil"/>
              <w:bottom w:val="single" w:sz="4" w:space="0" w:color="auto"/>
              <w:right w:val="single" w:sz="4" w:space="0" w:color="auto"/>
            </w:tcBorders>
            <w:noWrap/>
            <w:vAlign w:val="center"/>
            <w:hideMark/>
          </w:tcPr>
          <w:p w14:paraId="0D1B59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5032113000</w:t>
            </w:r>
          </w:p>
        </w:tc>
        <w:tc>
          <w:tcPr>
            <w:tcW w:w="1012" w:type="dxa"/>
            <w:tcBorders>
              <w:top w:val="nil"/>
              <w:left w:val="nil"/>
              <w:bottom w:val="single" w:sz="4" w:space="0" w:color="auto"/>
              <w:right w:val="single" w:sz="4" w:space="0" w:color="auto"/>
            </w:tcBorders>
            <w:noWrap/>
            <w:vAlign w:val="center"/>
            <w:hideMark/>
          </w:tcPr>
          <w:p w14:paraId="6D491E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13725378</w:t>
            </w:r>
          </w:p>
        </w:tc>
        <w:tc>
          <w:tcPr>
            <w:tcW w:w="5953" w:type="dxa"/>
            <w:tcBorders>
              <w:top w:val="nil"/>
              <w:left w:val="nil"/>
              <w:bottom w:val="single" w:sz="4" w:space="0" w:color="auto"/>
              <w:right w:val="single" w:sz="4" w:space="0" w:color="auto"/>
            </w:tcBorders>
            <w:noWrap/>
            <w:vAlign w:val="center"/>
            <w:hideMark/>
          </w:tcPr>
          <w:p w14:paraId="29136A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PRVAČINA</w:t>
            </w:r>
          </w:p>
        </w:tc>
      </w:tr>
      <w:tr w:rsidR="00F24E18" w14:paraId="560DB29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620E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686</w:t>
            </w:r>
          </w:p>
        </w:tc>
        <w:tc>
          <w:tcPr>
            <w:tcW w:w="1300" w:type="dxa"/>
            <w:tcBorders>
              <w:top w:val="nil"/>
              <w:left w:val="nil"/>
              <w:bottom w:val="single" w:sz="4" w:space="0" w:color="auto"/>
              <w:right w:val="single" w:sz="4" w:space="0" w:color="auto"/>
            </w:tcBorders>
            <w:noWrap/>
            <w:vAlign w:val="center"/>
            <w:hideMark/>
          </w:tcPr>
          <w:p w14:paraId="38C678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5030234000</w:t>
            </w:r>
          </w:p>
        </w:tc>
        <w:tc>
          <w:tcPr>
            <w:tcW w:w="1012" w:type="dxa"/>
            <w:tcBorders>
              <w:top w:val="nil"/>
              <w:left w:val="nil"/>
              <w:bottom w:val="single" w:sz="4" w:space="0" w:color="auto"/>
              <w:right w:val="single" w:sz="4" w:space="0" w:color="auto"/>
            </w:tcBorders>
            <w:noWrap/>
            <w:vAlign w:val="center"/>
            <w:hideMark/>
          </w:tcPr>
          <w:p w14:paraId="311C54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81992149</w:t>
            </w:r>
          </w:p>
        </w:tc>
        <w:tc>
          <w:tcPr>
            <w:tcW w:w="5953" w:type="dxa"/>
            <w:tcBorders>
              <w:top w:val="nil"/>
              <w:left w:val="nil"/>
              <w:bottom w:val="single" w:sz="4" w:space="0" w:color="auto"/>
              <w:right w:val="single" w:sz="4" w:space="0" w:color="auto"/>
            </w:tcBorders>
            <w:noWrap/>
            <w:vAlign w:val="center"/>
            <w:hideMark/>
          </w:tcPr>
          <w:p w14:paraId="26F312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RAKA</w:t>
            </w:r>
          </w:p>
        </w:tc>
      </w:tr>
      <w:tr w:rsidR="00F24E18" w14:paraId="13017C2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8883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687</w:t>
            </w:r>
          </w:p>
        </w:tc>
        <w:tc>
          <w:tcPr>
            <w:tcW w:w="1300" w:type="dxa"/>
            <w:tcBorders>
              <w:top w:val="nil"/>
              <w:left w:val="nil"/>
              <w:bottom w:val="single" w:sz="4" w:space="0" w:color="auto"/>
              <w:right w:val="single" w:sz="4" w:space="0" w:color="auto"/>
            </w:tcBorders>
            <w:noWrap/>
            <w:vAlign w:val="center"/>
            <w:hideMark/>
          </w:tcPr>
          <w:p w14:paraId="1E38E7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5033004000</w:t>
            </w:r>
          </w:p>
        </w:tc>
        <w:tc>
          <w:tcPr>
            <w:tcW w:w="1012" w:type="dxa"/>
            <w:tcBorders>
              <w:top w:val="nil"/>
              <w:left w:val="nil"/>
              <w:bottom w:val="single" w:sz="4" w:space="0" w:color="auto"/>
              <w:right w:val="single" w:sz="4" w:space="0" w:color="auto"/>
            </w:tcBorders>
            <w:noWrap/>
            <w:vAlign w:val="center"/>
            <w:hideMark/>
          </w:tcPr>
          <w:p w14:paraId="08241D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56330456</w:t>
            </w:r>
          </w:p>
        </w:tc>
        <w:tc>
          <w:tcPr>
            <w:tcW w:w="5953" w:type="dxa"/>
            <w:tcBorders>
              <w:top w:val="nil"/>
              <w:left w:val="nil"/>
              <w:bottom w:val="single" w:sz="4" w:space="0" w:color="auto"/>
              <w:right w:val="single" w:sz="4" w:space="0" w:color="auto"/>
            </w:tcBorders>
            <w:noWrap/>
            <w:vAlign w:val="center"/>
            <w:hideMark/>
          </w:tcPr>
          <w:p w14:paraId="6C83AF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RAKITOVEC</w:t>
            </w:r>
          </w:p>
        </w:tc>
      </w:tr>
      <w:tr w:rsidR="00F24E18" w14:paraId="561DB2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04C8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688</w:t>
            </w:r>
          </w:p>
        </w:tc>
        <w:tc>
          <w:tcPr>
            <w:tcW w:w="1300" w:type="dxa"/>
            <w:tcBorders>
              <w:top w:val="nil"/>
              <w:left w:val="nil"/>
              <w:bottom w:val="single" w:sz="4" w:space="0" w:color="auto"/>
              <w:right w:val="single" w:sz="4" w:space="0" w:color="auto"/>
            </w:tcBorders>
            <w:noWrap/>
            <w:vAlign w:val="center"/>
            <w:hideMark/>
          </w:tcPr>
          <w:p w14:paraId="419252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5027454000</w:t>
            </w:r>
          </w:p>
        </w:tc>
        <w:tc>
          <w:tcPr>
            <w:tcW w:w="1012" w:type="dxa"/>
            <w:tcBorders>
              <w:top w:val="nil"/>
              <w:left w:val="nil"/>
              <w:bottom w:val="single" w:sz="4" w:space="0" w:color="auto"/>
              <w:right w:val="single" w:sz="4" w:space="0" w:color="auto"/>
            </w:tcBorders>
            <w:noWrap/>
            <w:vAlign w:val="center"/>
            <w:hideMark/>
          </w:tcPr>
          <w:p w14:paraId="2561F2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30275601</w:t>
            </w:r>
          </w:p>
        </w:tc>
        <w:tc>
          <w:tcPr>
            <w:tcW w:w="5953" w:type="dxa"/>
            <w:tcBorders>
              <w:top w:val="nil"/>
              <w:left w:val="nil"/>
              <w:bottom w:val="single" w:sz="4" w:space="0" w:color="auto"/>
              <w:right w:val="single" w:sz="4" w:space="0" w:color="auto"/>
            </w:tcBorders>
            <w:noWrap/>
            <w:vAlign w:val="center"/>
            <w:hideMark/>
          </w:tcPr>
          <w:p w14:paraId="39B0FE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RAVNICA</w:t>
            </w:r>
          </w:p>
        </w:tc>
      </w:tr>
      <w:tr w:rsidR="00F24E18" w14:paraId="51C1B7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5E71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689</w:t>
            </w:r>
          </w:p>
        </w:tc>
        <w:tc>
          <w:tcPr>
            <w:tcW w:w="1300" w:type="dxa"/>
            <w:tcBorders>
              <w:top w:val="nil"/>
              <w:left w:val="nil"/>
              <w:bottom w:val="single" w:sz="4" w:space="0" w:color="auto"/>
              <w:right w:val="single" w:sz="4" w:space="0" w:color="auto"/>
            </w:tcBorders>
            <w:noWrap/>
            <w:vAlign w:val="center"/>
            <w:hideMark/>
          </w:tcPr>
          <w:p w14:paraId="5E37CC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5032903000</w:t>
            </w:r>
          </w:p>
        </w:tc>
        <w:tc>
          <w:tcPr>
            <w:tcW w:w="1012" w:type="dxa"/>
            <w:tcBorders>
              <w:top w:val="nil"/>
              <w:left w:val="nil"/>
              <w:bottom w:val="single" w:sz="4" w:space="0" w:color="auto"/>
              <w:right w:val="single" w:sz="4" w:space="0" w:color="auto"/>
            </w:tcBorders>
            <w:noWrap/>
            <w:vAlign w:val="center"/>
            <w:hideMark/>
          </w:tcPr>
          <w:p w14:paraId="1DA84C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80387233</w:t>
            </w:r>
          </w:p>
        </w:tc>
        <w:tc>
          <w:tcPr>
            <w:tcW w:w="5953" w:type="dxa"/>
            <w:tcBorders>
              <w:top w:val="nil"/>
              <w:left w:val="nil"/>
              <w:bottom w:val="single" w:sz="4" w:space="0" w:color="auto"/>
              <w:right w:val="single" w:sz="4" w:space="0" w:color="auto"/>
            </w:tcBorders>
            <w:noWrap/>
            <w:vAlign w:val="center"/>
            <w:hideMark/>
          </w:tcPr>
          <w:p w14:paraId="5C916A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RESNIK</w:t>
            </w:r>
          </w:p>
        </w:tc>
      </w:tr>
      <w:tr w:rsidR="00F24E18" w14:paraId="31C443C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9C7E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690</w:t>
            </w:r>
          </w:p>
        </w:tc>
        <w:tc>
          <w:tcPr>
            <w:tcW w:w="1300" w:type="dxa"/>
            <w:tcBorders>
              <w:top w:val="nil"/>
              <w:left w:val="nil"/>
              <w:bottom w:val="single" w:sz="4" w:space="0" w:color="auto"/>
              <w:right w:val="single" w:sz="4" w:space="0" w:color="auto"/>
            </w:tcBorders>
            <w:noWrap/>
            <w:vAlign w:val="center"/>
            <w:hideMark/>
          </w:tcPr>
          <w:p w14:paraId="01AEEA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5020611000</w:t>
            </w:r>
          </w:p>
        </w:tc>
        <w:tc>
          <w:tcPr>
            <w:tcW w:w="1012" w:type="dxa"/>
            <w:tcBorders>
              <w:top w:val="nil"/>
              <w:left w:val="nil"/>
              <w:bottom w:val="single" w:sz="4" w:space="0" w:color="auto"/>
              <w:right w:val="single" w:sz="4" w:space="0" w:color="auto"/>
            </w:tcBorders>
            <w:noWrap/>
            <w:vAlign w:val="center"/>
            <w:hideMark/>
          </w:tcPr>
          <w:p w14:paraId="2E6E66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26849267</w:t>
            </w:r>
          </w:p>
        </w:tc>
        <w:tc>
          <w:tcPr>
            <w:tcW w:w="5953" w:type="dxa"/>
            <w:tcBorders>
              <w:top w:val="nil"/>
              <w:left w:val="nil"/>
              <w:bottom w:val="single" w:sz="4" w:space="0" w:color="auto"/>
              <w:right w:val="single" w:sz="4" w:space="0" w:color="auto"/>
            </w:tcBorders>
            <w:noWrap/>
            <w:vAlign w:val="center"/>
            <w:hideMark/>
          </w:tcPr>
          <w:p w14:paraId="5C5E89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ROŽNA DOLINA</w:t>
            </w:r>
          </w:p>
        </w:tc>
      </w:tr>
      <w:tr w:rsidR="00F24E18" w14:paraId="6376C0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69EA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691</w:t>
            </w:r>
          </w:p>
        </w:tc>
        <w:tc>
          <w:tcPr>
            <w:tcW w:w="1300" w:type="dxa"/>
            <w:tcBorders>
              <w:top w:val="nil"/>
              <w:left w:val="nil"/>
              <w:bottom w:val="single" w:sz="4" w:space="0" w:color="auto"/>
              <w:right w:val="single" w:sz="4" w:space="0" w:color="auto"/>
            </w:tcBorders>
            <w:noWrap/>
            <w:vAlign w:val="center"/>
            <w:hideMark/>
          </w:tcPr>
          <w:p w14:paraId="6750B1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5022088000</w:t>
            </w:r>
          </w:p>
        </w:tc>
        <w:tc>
          <w:tcPr>
            <w:tcW w:w="1012" w:type="dxa"/>
            <w:tcBorders>
              <w:top w:val="nil"/>
              <w:left w:val="nil"/>
              <w:bottom w:val="single" w:sz="4" w:space="0" w:color="auto"/>
              <w:right w:val="single" w:sz="4" w:space="0" w:color="auto"/>
            </w:tcBorders>
            <w:noWrap/>
            <w:vAlign w:val="center"/>
            <w:hideMark/>
          </w:tcPr>
          <w:p w14:paraId="1DC697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69405972</w:t>
            </w:r>
          </w:p>
        </w:tc>
        <w:tc>
          <w:tcPr>
            <w:tcW w:w="5953" w:type="dxa"/>
            <w:tcBorders>
              <w:top w:val="nil"/>
              <w:left w:val="nil"/>
              <w:bottom w:val="single" w:sz="4" w:space="0" w:color="auto"/>
              <w:right w:val="single" w:sz="4" w:space="0" w:color="auto"/>
            </w:tcBorders>
            <w:noWrap/>
            <w:vAlign w:val="center"/>
            <w:hideMark/>
          </w:tcPr>
          <w:p w14:paraId="66A1AD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ROŽNO PRESLADOL</w:t>
            </w:r>
          </w:p>
        </w:tc>
      </w:tr>
      <w:tr w:rsidR="00F24E18" w14:paraId="19D1EF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B75C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692</w:t>
            </w:r>
          </w:p>
        </w:tc>
        <w:tc>
          <w:tcPr>
            <w:tcW w:w="1300" w:type="dxa"/>
            <w:tcBorders>
              <w:top w:val="nil"/>
              <w:left w:val="nil"/>
              <w:bottom w:val="single" w:sz="4" w:space="0" w:color="auto"/>
              <w:right w:val="single" w:sz="4" w:space="0" w:color="auto"/>
            </w:tcBorders>
            <w:noWrap/>
            <w:vAlign w:val="center"/>
            <w:hideMark/>
          </w:tcPr>
          <w:p w14:paraId="5E6E53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5026709000</w:t>
            </w:r>
          </w:p>
        </w:tc>
        <w:tc>
          <w:tcPr>
            <w:tcW w:w="1012" w:type="dxa"/>
            <w:tcBorders>
              <w:top w:val="nil"/>
              <w:left w:val="nil"/>
              <w:bottom w:val="single" w:sz="4" w:space="0" w:color="auto"/>
              <w:right w:val="single" w:sz="4" w:space="0" w:color="auto"/>
            </w:tcBorders>
            <w:noWrap/>
            <w:vAlign w:val="center"/>
            <w:hideMark/>
          </w:tcPr>
          <w:p w14:paraId="497B75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19267843</w:t>
            </w:r>
          </w:p>
        </w:tc>
        <w:tc>
          <w:tcPr>
            <w:tcW w:w="5953" w:type="dxa"/>
            <w:tcBorders>
              <w:top w:val="nil"/>
              <w:left w:val="nil"/>
              <w:bottom w:val="single" w:sz="4" w:space="0" w:color="auto"/>
              <w:right w:val="single" w:sz="4" w:space="0" w:color="auto"/>
            </w:tcBorders>
            <w:noWrap/>
            <w:vAlign w:val="center"/>
            <w:hideMark/>
          </w:tcPr>
          <w:p w14:paraId="206690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SELO</w:t>
            </w:r>
          </w:p>
        </w:tc>
      </w:tr>
      <w:tr w:rsidR="00F24E18" w14:paraId="76709D1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D9CA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693</w:t>
            </w:r>
          </w:p>
        </w:tc>
        <w:tc>
          <w:tcPr>
            <w:tcW w:w="1300" w:type="dxa"/>
            <w:tcBorders>
              <w:top w:val="nil"/>
              <w:left w:val="nil"/>
              <w:bottom w:val="single" w:sz="4" w:space="0" w:color="auto"/>
              <w:right w:val="single" w:sz="4" w:space="0" w:color="auto"/>
            </w:tcBorders>
            <w:noWrap/>
            <w:vAlign w:val="center"/>
            <w:hideMark/>
          </w:tcPr>
          <w:p w14:paraId="2F436E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5031486000</w:t>
            </w:r>
          </w:p>
        </w:tc>
        <w:tc>
          <w:tcPr>
            <w:tcW w:w="1012" w:type="dxa"/>
            <w:tcBorders>
              <w:top w:val="nil"/>
              <w:left w:val="nil"/>
              <w:bottom w:val="single" w:sz="4" w:space="0" w:color="auto"/>
              <w:right w:val="single" w:sz="4" w:space="0" w:color="auto"/>
            </w:tcBorders>
            <w:noWrap/>
            <w:vAlign w:val="center"/>
            <w:hideMark/>
          </w:tcPr>
          <w:p w14:paraId="48ED6D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82991065</w:t>
            </w:r>
          </w:p>
        </w:tc>
        <w:tc>
          <w:tcPr>
            <w:tcW w:w="5953" w:type="dxa"/>
            <w:tcBorders>
              <w:top w:val="nil"/>
              <w:left w:val="nil"/>
              <w:bottom w:val="single" w:sz="4" w:space="0" w:color="auto"/>
              <w:right w:val="single" w:sz="4" w:space="0" w:color="auto"/>
            </w:tcBorders>
            <w:noWrap/>
            <w:vAlign w:val="center"/>
            <w:hideMark/>
          </w:tcPr>
          <w:p w14:paraId="57947C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SENOVO</w:t>
            </w:r>
          </w:p>
        </w:tc>
      </w:tr>
      <w:tr w:rsidR="00F24E18" w14:paraId="652EEC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483B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694</w:t>
            </w:r>
          </w:p>
        </w:tc>
        <w:tc>
          <w:tcPr>
            <w:tcW w:w="1300" w:type="dxa"/>
            <w:tcBorders>
              <w:top w:val="nil"/>
              <w:left w:val="nil"/>
              <w:bottom w:val="single" w:sz="4" w:space="0" w:color="auto"/>
              <w:right w:val="single" w:sz="4" w:space="0" w:color="auto"/>
            </w:tcBorders>
            <w:noWrap/>
            <w:vAlign w:val="center"/>
            <w:hideMark/>
          </w:tcPr>
          <w:p w14:paraId="432EC2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5178916000</w:t>
            </w:r>
          </w:p>
        </w:tc>
        <w:tc>
          <w:tcPr>
            <w:tcW w:w="1012" w:type="dxa"/>
            <w:tcBorders>
              <w:top w:val="nil"/>
              <w:left w:val="nil"/>
              <w:bottom w:val="single" w:sz="4" w:space="0" w:color="auto"/>
              <w:right w:val="single" w:sz="4" w:space="0" w:color="auto"/>
            </w:tcBorders>
            <w:noWrap/>
            <w:vAlign w:val="center"/>
            <w:hideMark/>
          </w:tcPr>
          <w:p w14:paraId="73F3B0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95752315</w:t>
            </w:r>
          </w:p>
        </w:tc>
        <w:tc>
          <w:tcPr>
            <w:tcW w:w="5953" w:type="dxa"/>
            <w:tcBorders>
              <w:top w:val="nil"/>
              <w:left w:val="nil"/>
              <w:bottom w:val="single" w:sz="4" w:space="0" w:color="auto"/>
              <w:right w:val="single" w:sz="4" w:space="0" w:color="auto"/>
            </w:tcBorders>
            <w:noWrap/>
            <w:vAlign w:val="center"/>
            <w:hideMark/>
          </w:tcPr>
          <w:p w14:paraId="66BC69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SENUŠE</w:t>
            </w:r>
          </w:p>
        </w:tc>
      </w:tr>
      <w:tr w:rsidR="00F24E18" w14:paraId="12E6F8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25CF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695</w:t>
            </w:r>
          </w:p>
        </w:tc>
        <w:tc>
          <w:tcPr>
            <w:tcW w:w="1300" w:type="dxa"/>
            <w:tcBorders>
              <w:top w:val="nil"/>
              <w:left w:val="nil"/>
              <w:bottom w:val="single" w:sz="4" w:space="0" w:color="auto"/>
              <w:right w:val="single" w:sz="4" w:space="0" w:color="auto"/>
            </w:tcBorders>
            <w:noWrap/>
            <w:vAlign w:val="center"/>
            <w:hideMark/>
          </w:tcPr>
          <w:p w14:paraId="49A305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5018838000</w:t>
            </w:r>
          </w:p>
        </w:tc>
        <w:tc>
          <w:tcPr>
            <w:tcW w:w="1012" w:type="dxa"/>
            <w:tcBorders>
              <w:top w:val="nil"/>
              <w:left w:val="nil"/>
              <w:bottom w:val="single" w:sz="4" w:space="0" w:color="auto"/>
              <w:right w:val="single" w:sz="4" w:space="0" w:color="auto"/>
            </w:tcBorders>
            <w:noWrap/>
            <w:vAlign w:val="center"/>
            <w:hideMark/>
          </w:tcPr>
          <w:p w14:paraId="0E1337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65049373</w:t>
            </w:r>
          </w:p>
        </w:tc>
        <w:tc>
          <w:tcPr>
            <w:tcW w:w="5953" w:type="dxa"/>
            <w:tcBorders>
              <w:top w:val="nil"/>
              <w:left w:val="nil"/>
              <w:bottom w:val="single" w:sz="4" w:space="0" w:color="auto"/>
              <w:right w:val="single" w:sz="4" w:space="0" w:color="auto"/>
            </w:tcBorders>
            <w:noWrap/>
            <w:vAlign w:val="center"/>
            <w:hideMark/>
          </w:tcPr>
          <w:p w14:paraId="123B95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SEVNICA</w:t>
            </w:r>
          </w:p>
        </w:tc>
      </w:tr>
      <w:tr w:rsidR="00F24E18" w14:paraId="1250FC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D38D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696</w:t>
            </w:r>
          </w:p>
        </w:tc>
        <w:tc>
          <w:tcPr>
            <w:tcW w:w="1300" w:type="dxa"/>
            <w:tcBorders>
              <w:top w:val="nil"/>
              <w:left w:val="nil"/>
              <w:bottom w:val="single" w:sz="4" w:space="0" w:color="auto"/>
              <w:right w:val="single" w:sz="4" w:space="0" w:color="auto"/>
            </w:tcBorders>
            <w:noWrap/>
            <w:vAlign w:val="center"/>
            <w:hideMark/>
          </w:tcPr>
          <w:p w14:paraId="6BE2E0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5032946000</w:t>
            </w:r>
          </w:p>
        </w:tc>
        <w:tc>
          <w:tcPr>
            <w:tcW w:w="1012" w:type="dxa"/>
            <w:tcBorders>
              <w:top w:val="nil"/>
              <w:left w:val="nil"/>
              <w:bottom w:val="single" w:sz="4" w:space="0" w:color="auto"/>
              <w:right w:val="single" w:sz="4" w:space="0" w:color="auto"/>
            </w:tcBorders>
            <w:noWrap/>
            <w:vAlign w:val="center"/>
            <w:hideMark/>
          </w:tcPr>
          <w:p w14:paraId="79C6E0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15985687</w:t>
            </w:r>
          </w:p>
        </w:tc>
        <w:tc>
          <w:tcPr>
            <w:tcW w:w="5953" w:type="dxa"/>
            <w:tcBorders>
              <w:top w:val="nil"/>
              <w:left w:val="nil"/>
              <w:bottom w:val="single" w:sz="4" w:space="0" w:color="auto"/>
              <w:right w:val="single" w:sz="4" w:space="0" w:color="auto"/>
            </w:tcBorders>
            <w:noWrap/>
            <w:vAlign w:val="center"/>
            <w:hideMark/>
          </w:tcPr>
          <w:p w14:paraId="5DAEB4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SKOMARJE</w:t>
            </w:r>
          </w:p>
        </w:tc>
      </w:tr>
      <w:tr w:rsidR="00F24E18" w14:paraId="614B34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E0A5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697</w:t>
            </w:r>
          </w:p>
        </w:tc>
        <w:tc>
          <w:tcPr>
            <w:tcW w:w="1300" w:type="dxa"/>
            <w:tcBorders>
              <w:top w:val="nil"/>
              <w:left w:val="nil"/>
              <w:bottom w:val="single" w:sz="4" w:space="0" w:color="auto"/>
              <w:right w:val="single" w:sz="4" w:space="0" w:color="auto"/>
            </w:tcBorders>
            <w:noWrap/>
            <w:vAlign w:val="center"/>
            <w:hideMark/>
          </w:tcPr>
          <w:p w14:paraId="10382C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5028558000</w:t>
            </w:r>
          </w:p>
        </w:tc>
        <w:tc>
          <w:tcPr>
            <w:tcW w:w="1012" w:type="dxa"/>
            <w:tcBorders>
              <w:top w:val="nil"/>
              <w:left w:val="nil"/>
              <w:bottom w:val="single" w:sz="4" w:space="0" w:color="auto"/>
              <w:right w:val="single" w:sz="4" w:space="0" w:color="auto"/>
            </w:tcBorders>
            <w:noWrap/>
            <w:vAlign w:val="center"/>
            <w:hideMark/>
          </w:tcPr>
          <w:p w14:paraId="56226A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73105635</w:t>
            </w:r>
          </w:p>
        </w:tc>
        <w:tc>
          <w:tcPr>
            <w:tcW w:w="5953" w:type="dxa"/>
            <w:tcBorders>
              <w:top w:val="nil"/>
              <w:left w:val="nil"/>
              <w:bottom w:val="single" w:sz="4" w:space="0" w:color="auto"/>
              <w:right w:val="single" w:sz="4" w:space="0" w:color="auto"/>
            </w:tcBorders>
            <w:noWrap/>
            <w:vAlign w:val="center"/>
            <w:hideMark/>
          </w:tcPr>
          <w:p w14:paraId="016A2C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SKOPICE</w:t>
            </w:r>
          </w:p>
        </w:tc>
      </w:tr>
      <w:tr w:rsidR="00F24E18" w14:paraId="0837850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2A04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698</w:t>
            </w:r>
          </w:p>
        </w:tc>
        <w:tc>
          <w:tcPr>
            <w:tcW w:w="1300" w:type="dxa"/>
            <w:tcBorders>
              <w:top w:val="nil"/>
              <w:left w:val="nil"/>
              <w:bottom w:val="single" w:sz="4" w:space="0" w:color="auto"/>
              <w:right w:val="single" w:sz="4" w:space="0" w:color="auto"/>
            </w:tcBorders>
            <w:noWrap/>
            <w:vAlign w:val="center"/>
            <w:hideMark/>
          </w:tcPr>
          <w:p w14:paraId="6FFFF8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5026741000</w:t>
            </w:r>
          </w:p>
        </w:tc>
        <w:tc>
          <w:tcPr>
            <w:tcW w:w="1012" w:type="dxa"/>
            <w:tcBorders>
              <w:top w:val="nil"/>
              <w:left w:val="nil"/>
              <w:bottom w:val="single" w:sz="4" w:space="0" w:color="auto"/>
              <w:right w:val="single" w:sz="4" w:space="0" w:color="auto"/>
            </w:tcBorders>
            <w:noWrap/>
            <w:vAlign w:val="center"/>
            <w:hideMark/>
          </w:tcPr>
          <w:p w14:paraId="49FA28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57597197</w:t>
            </w:r>
          </w:p>
        </w:tc>
        <w:tc>
          <w:tcPr>
            <w:tcW w:w="5953" w:type="dxa"/>
            <w:tcBorders>
              <w:top w:val="nil"/>
              <w:left w:val="nil"/>
              <w:bottom w:val="single" w:sz="4" w:space="0" w:color="auto"/>
              <w:right w:val="single" w:sz="4" w:space="0" w:color="auto"/>
            </w:tcBorders>
            <w:noWrap/>
            <w:vAlign w:val="center"/>
            <w:hideMark/>
          </w:tcPr>
          <w:p w14:paraId="1D029C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SKRILJE</w:t>
            </w:r>
          </w:p>
        </w:tc>
      </w:tr>
      <w:tr w:rsidR="00F24E18" w14:paraId="7FC504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F7DE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699</w:t>
            </w:r>
          </w:p>
        </w:tc>
        <w:tc>
          <w:tcPr>
            <w:tcW w:w="1300" w:type="dxa"/>
            <w:tcBorders>
              <w:top w:val="nil"/>
              <w:left w:val="nil"/>
              <w:bottom w:val="single" w:sz="4" w:space="0" w:color="auto"/>
              <w:right w:val="single" w:sz="4" w:space="0" w:color="auto"/>
            </w:tcBorders>
            <w:noWrap/>
            <w:vAlign w:val="center"/>
            <w:hideMark/>
          </w:tcPr>
          <w:p w14:paraId="441E9B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5027900000</w:t>
            </w:r>
          </w:p>
        </w:tc>
        <w:tc>
          <w:tcPr>
            <w:tcW w:w="1012" w:type="dxa"/>
            <w:tcBorders>
              <w:top w:val="nil"/>
              <w:left w:val="nil"/>
              <w:bottom w:val="single" w:sz="4" w:space="0" w:color="auto"/>
              <w:right w:val="single" w:sz="4" w:space="0" w:color="auto"/>
            </w:tcBorders>
            <w:noWrap/>
            <w:vAlign w:val="center"/>
            <w:hideMark/>
          </w:tcPr>
          <w:p w14:paraId="654ECA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90743679</w:t>
            </w:r>
          </w:p>
        </w:tc>
        <w:tc>
          <w:tcPr>
            <w:tcW w:w="5953" w:type="dxa"/>
            <w:tcBorders>
              <w:top w:val="nil"/>
              <w:left w:val="nil"/>
              <w:bottom w:val="single" w:sz="4" w:space="0" w:color="auto"/>
              <w:right w:val="single" w:sz="4" w:space="0" w:color="auto"/>
            </w:tcBorders>
            <w:noWrap/>
            <w:vAlign w:val="center"/>
            <w:hideMark/>
          </w:tcPr>
          <w:p w14:paraId="1ACE84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SLADKA GORA</w:t>
            </w:r>
          </w:p>
        </w:tc>
      </w:tr>
      <w:tr w:rsidR="00F24E18" w14:paraId="0D13BB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4D04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700</w:t>
            </w:r>
          </w:p>
        </w:tc>
        <w:tc>
          <w:tcPr>
            <w:tcW w:w="1300" w:type="dxa"/>
            <w:tcBorders>
              <w:top w:val="nil"/>
              <w:left w:val="nil"/>
              <w:bottom w:val="single" w:sz="4" w:space="0" w:color="auto"/>
              <w:right w:val="single" w:sz="4" w:space="0" w:color="auto"/>
            </w:tcBorders>
            <w:noWrap/>
            <w:vAlign w:val="center"/>
            <w:hideMark/>
          </w:tcPr>
          <w:p w14:paraId="59A2E9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5018986000</w:t>
            </w:r>
          </w:p>
        </w:tc>
        <w:tc>
          <w:tcPr>
            <w:tcW w:w="1012" w:type="dxa"/>
            <w:tcBorders>
              <w:top w:val="nil"/>
              <w:left w:val="nil"/>
              <w:bottom w:val="single" w:sz="4" w:space="0" w:color="auto"/>
              <w:right w:val="single" w:sz="4" w:space="0" w:color="auto"/>
            </w:tcBorders>
            <w:noWrap/>
            <w:vAlign w:val="center"/>
            <w:hideMark/>
          </w:tcPr>
          <w:p w14:paraId="59DB48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33171262</w:t>
            </w:r>
          </w:p>
        </w:tc>
        <w:tc>
          <w:tcPr>
            <w:tcW w:w="5953" w:type="dxa"/>
            <w:tcBorders>
              <w:top w:val="nil"/>
              <w:left w:val="nil"/>
              <w:bottom w:val="single" w:sz="4" w:space="0" w:color="auto"/>
              <w:right w:val="single" w:sz="4" w:space="0" w:color="auto"/>
            </w:tcBorders>
            <w:noWrap/>
            <w:vAlign w:val="center"/>
            <w:hideMark/>
          </w:tcPr>
          <w:p w14:paraId="4C8B0A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SLOVENSKE KONJICE</w:t>
            </w:r>
          </w:p>
        </w:tc>
      </w:tr>
      <w:tr w:rsidR="00F24E18" w14:paraId="25CDBD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145B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701</w:t>
            </w:r>
          </w:p>
        </w:tc>
        <w:tc>
          <w:tcPr>
            <w:tcW w:w="1300" w:type="dxa"/>
            <w:tcBorders>
              <w:top w:val="nil"/>
              <w:left w:val="nil"/>
              <w:bottom w:val="single" w:sz="4" w:space="0" w:color="auto"/>
              <w:right w:val="single" w:sz="4" w:space="0" w:color="auto"/>
            </w:tcBorders>
            <w:noWrap/>
            <w:vAlign w:val="center"/>
            <w:hideMark/>
          </w:tcPr>
          <w:p w14:paraId="2D0FD4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5030218000</w:t>
            </w:r>
          </w:p>
        </w:tc>
        <w:tc>
          <w:tcPr>
            <w:tcW w:w="1012" w:type="dxa"/>
            <w:tcBorders>
              <w:top w:val="nil"/>
              <w:left w:val="nil"/>
              <w:bottom w:val="single" w:sz="4" w:space="0" w:color="auto"/>
              <w:right w:val="single" w:sz="4" w:space="0" w:color="auto"/>
            </w:tcBorders>
            <w:noWrap/>
            <w:vAlign w:val="center"/>
            <w:hideMark/>
          </w:tcPr>
          <w:p w14:paraId="5345C1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66802156</w:t>
            </w:r>
          </w:p>
        </w:tc>
        <w:tc>
          <w:tcPr>
            <w:tcW w:w="5953" w:type="dxa"/>
            <w:tcBorders>
              <w:top w:val="nil"/>
              <w:left w:val="nil"/>
              <w:bottom w:val="single" w:sz="4" w:space="0" w:color="auto"/>
              <w:right w:val="single" w:sz="4" w:space="0" w:color="auto"/>
            </w:tcBorders>
            <w:noWrap/>
            <w:vAlign w:val="center"/>
            <w:hideMark/>
          </w:tcPr>
          <w:p w14:paraId="362789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SOJEK-KAMNA GORA</w:t>
            </w:r>
          </w:p>
        </w:tc>
      </w:tr>
      <w:tr w:rsidR="00F24E18" w14:paraId="39D089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DB91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702</w:t>
            </w:r>
          </w:p>
        </w:tc>
        <w:tc>
          <w:tcPr>
            <w:tcW w:w="1300" w:type="dxa"/>
            <w:tcBorders>
              <w:top w:val="nil"/>
              <w:left w:val="nil"/>
              <w:bottom w:val="single" w:sz="4" w:space="0" w:color="auto"/>
              <w:right w:val="single" w:sz="4" w:space="0" w:color="auto"/>
            </w:tcBorders>
            <w:noWrap/>
            <w:vAlign w:val="center"/>
            <w:hideMark/>
          </w:tcPr>
          <w:p w14:paraId="626E1C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5030188000</w:t>
            </w:r>
          </w:p>
        </w:tc>
        <w:tc>
          <w:tcPr>
            <w:tcW w:w="1012" w:type="dxa"/>
            <w:tcBorders>
              <w:top w:val="nil"/>
              <w:left w:val="nil"/>
              <w:bottom w:val="single" w:sz="4" w:space="0" w:color="auto"/>
              <w:right w:val="single" w:sz="4" w:space="0" w:color="auto"/>
            </w:tcBorders>
            <w:noWrap/>
            <w:vAlign w:val="center"/>
            <w:hideMark/>
          </w:tcPr>
          <w:p w14:paraId="355042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56544146</w:t>
            </w:r>
          </w:p>
        </w:tc>
        <w:tc>
          <w:tcPr>
            <w:tcW w:w="5953" w:type="dxa"/>
            <w:tcBorders>
              <w:top w:val="nil"/>
              <w:left w:val="nil"/>
              <w:bottom w:val="single" w:sz="4" w:space="0" w:color="auto"/>
              <w:right w:val="single" w:sz="4" w:space="0" w:color="auto"/>
            </w:tcBorders>
            <w:noWrap/>
            <w:vAlign w:val="center"/>
            <w:hideMark/>
          </w:tcPr>
          <w:p w14:paraId="6311B8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SOLKAN</w:t>
            </w:r>
          </w:p>
        </w:tc>
      </w:tr>
      <w:tr w:rsidR="00F24E18" w14:paraId="7BB03A4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2955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703</w:t>
            </w:r>
          </w:p>
        </w:tc>
        <w:tc>
          <w:tcPr>
            <w:tcW w:w="1300" w:type="dxa"/>
            <w:tcBorders>
              <w:top w:val="nil"/>
              <w:left w:val="nil"/>
              <w:bottom w:val="single" w:sz="4" w:space="0" w:color="auto"/>
              <w:right w:val="single" w:sz="4" w:space="0" w:color="auto"/>
            </w:tcBorders>
            <w:noWrap/>
            <w:vAlign w:val="center"/>
            <w:hideMark/>
          </w:tcPr>
          <w:p w14:paraId="1CC70C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5030137000</w:t>
            </w:r>
          </w:p>
        </w:tc>
        <w:tc>
          <w:tcPr>
            <w:tcW w:w="1012" w:type="dxa"/>
            <w:tcBorders>
              <w:top w:val="nil"/>
              <w:left w:val="nil"/>
              <w:bottom w:val="single" w:sz="4" w:space="0" w:color="auto"/>
              <w:right w:val="single" w:sz="4" w:space="0" w:color="auto"/>
            </w:tcBorders>
            <w:noWrap/>
            <w:vAlign w:val="center"/>
            <w:hideMark/>
          </w:tcPr>
          <w:p w14:paraId="1B4501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63053497</w:t>
            </w:r>
          </w:p>
        </w:tc>
        <w:tc>
          <w:tcPr>
            <w:tcW w:w="5953" w:type="dxa"/>
            <w:tcBorders>
              <w:top w:val="nil"/>
              <w:left w:val="nil"/>
              <w:bottom w:val="single" w:sz="4" w:space="0" w:color="auto"/>
              <w:right w:val="single" w:sz="4" w:space="0" w:color="auto"/>
            </w:tcBorders>
            <w:noWrap/>
            <w:vAlign w:val="center"/>
            <w:hideMark/>
          </w:tcPr>
          <w:p w14:paraId="415F2F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SPODNJE GRUŠOVJE</w:t>
            </w:r>
          </w:p>
        </w:tc>
      </w:tr>
      <w:tr w:rsidR="00F24E18" w14:paraId="243AEC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B841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704</w:t>
            </w:r>
          </w:p>
        </w:tc>
        <w:tc>
          <w:tcPr>
            <w:tcW w:w="1300" w:type="dxa"/>
            <w:tcBorders>
              <w:top w:val="nil"/>
              <w:left w:val="nil"/>
              <w:bottom w:val="single" w:sz="4" w:space="0" w:color="auto"/>
              <w:right w:val="single" w:sz="4" w:space="0" w:color="auto"/>
            </w:tcBorders>
            <w:noWrap/>
            <w:vAlign w:val="center"/>
            <w:hideMark/>
          </w:tcPr>
          <w:p w14:paraId="61A972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2330717000</w:t>
            </w:r>
          </w:p>
        </w:tc>
        <w:tc>
          <w:tcPr>
            <w:tcW w:w="1012" w:type="dxa"/>
            <w:tcBorders>
              <w:top w:val="nil"/>
              <w:left w:val="nil"/>
              <w:bottom w:val="single" w:sz="4" w:space="0" w:color="auto"/>
              <w:right w:val="single" w:sz="4" w:space="0" w:color="auto"/>
            </w:tcBorders>
            <w:noWrap/>
            <w:vAlign w:val="center"/>
            <w:hideMark/>
          </w:tcPr>
          <w:p w14:paraId="3CAAD9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54676878</w:t>
            </w:r>
          </w:p>
        </w:tc>
        <w:tc>
          <w:tcPr>
            <w:tcW w:w="5953" w:type="dxa"/>
            <w:tcBorders>
              <w:top w:val="nil"/>
              <w:left w:val="nil"/>
              <w:bottom w:val="single" w:sz="4" w:space="0" w:color="auto"/>
              <w:right w:val="single" w:sz="4" w:space="0" w:color="auto"/>
            </w:tcBorders>
            <w:noWrap/>
            <w:vAlign w:val="center"/>
            <w:hideMark/>
          </w:tcPr>
          <w:p w14:paraId="016895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SPODNJI STARI GRAD - SPODNJA LIBNA</w:t>
            </w:r>
          </w:p>
        </w:tc>
      </w:tr>
      <w:tr w:rsidR="00F24E18" w14:paraId="114CE81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9442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705</w:t>
            </w:r>
          </w:p>
        </w:tc>
        <w:tc>
          <w:tcPr>
            <w:tcW w:w="1300" w:type="dxa"/>
            <w:tcBorders>
              <w:top w:val="nil"/>
              <w:left w:val="nil"/>
              <w:bottom w:val="single" w:sz="4" w:space="0" w:color="auto"/>
              <w:right w:val="single" w:sz="4" w:space="0" w:color="auto"/>
            </w:tcBorders>
            <w:noWrap/>
            <w:vAlign w:val="center"/>
            <w:hideMark/>
          </w:tcPr>
          <w:p w14:paraId="69D8D8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5016606000</w:t>
            </w:r>
          </w:p>
        </w:tc>
        <w:tc>
          <w:tcPr>
            <w:tcW w:w="1012" w:type="dxa"/>
            <w:tcBorders>
              <w:top w:val="nil"/>
              <w:left w:val="nil"/>
              <w:bottom w:val="single" w:sz="4" w:space="0" w:color="auto"/>
              <w:right w:val="single" w:sz="4" w:space="0" w:color="auto"/>
            </w:tcBorders>
            <w:noWrap/>
            <w:vAlign w:val="center"/>
            <w:hideMark/>
          </w:tcPr>
          <w:p w14:paraId="3F03F5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40932109</w:t>
            </w:r>
          </w:p>
        </w:tc>
        <w:tc>
          <w:tcPr>
            <w:tcW w:w="5953" w:type="dxa"/>
            <w:tcBorders>
              <w:top w:val="nil"/>
              <w:left w:val="nil"/>
              <w:bottom w:val="single" w:sz="4" w:space="0" w:color="auto"/>
              <w:right w:val="single" w:sz="4" w:space="0" w:color="auto"/>
            </w:tcBorders>
            <w:noWrap/>
            <w:vAlign w:val="center"/>
            <w:hideMark/>
          </w:tcPr>
          <w:p w14:paraId="15E871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SROMLJE</w:t>
            </w:r>
          </w:p>
        </w:tc>
      </w:tr>
      <w:tr w:rsidR="00F24E18" w14:paraId="259D59A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704C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706</w:t>
            </w:r>
          </w:p>
        </w:tc>
        <w:tc>
          <w:tcPr>
            <w:tcW w:w="1300" w:type="dxa"/>
            <w:tcBorders>
              <w:top w:val="nil"/>
              <w:left w:val="nil"/>
              <w:bottom w:val="single" w:sz="4" w:space="0" w:color="auto"/>
              <w:right w:val="single" w:sz="4" w:space="0" w:color="auto"/>
            </w:tcBorders>
            <w:noWrap/>
            <w:vAlign w:val="center"/>
            <w:hideMark/>
          </w:tcPr>
          <w:p w14:paraId="45446E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5030781000</w:t>
            </w:r>
          </w:p>
        </w:tc>
        <w:tc>
          <w:tcPr>
            <w:tcW w:w="1012" w:type="dxa"/>
            <w:tcBorders>
              <w:top w:val="nil"/>
              <w:left w:val="nil"/>
              <w:bottom w:val="single" w:sz="4" w:space="0" w:color="auto"/>
              <w:right w:val="single" w:sz="4" w:space="0" w:color="auto"/>
            </w:tcBorders>
            <w:noWrap/>
            <w:vAlign w:val="center"/>
            <w:hideMark/>
          </w:tcPr>
          <w:p w14:paraId="6D5C74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50623346</w:t>
            </w:r>
          </w:p>
        </w:tc>
        <w:tc>
          <w:tcPr>
            <w:tcW w:w="5953" w:type="dxa"/>
            <w:tcBorders>
              <w:top w:val="nil"/>
              <w:left w:val="nil"/>
              <w:bottom w:val="single" w:sz="4" w:space="0" w:color="auto"/>
              <w:right w:val="single" w:sz="4" w:space="0" w:color="auto"/>
            </w:tcBorders>
            <w:noWrap/>
            <w:vAlign w:val="center"/>
            <w:hideMark/>
          </w:tcPr>
          <w:p w14:paraId="0EDF3F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STOMAŽ</w:t>
            </w:r>
          </w:p>
        </w:tc>
      </w:tr>
      <w:tr w:rsidR="00F24E18" w14:paraId="0B9C0B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8633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707</w:t>
            </w:r>
          </w:p>
        </w:tc>
        <w:tc>
          <w:tcPr>
            <w:tcW w:w="1300" w:type="dxa"/>
            <w:tcBorders>
              <w:top w:val="nil"/>
              <w:left w:val="nil"/>
              <w:bottom w:val="single" w:sz="4" w:space="0" w:color="auto"/>
              <w:right w:val="single" w:sz="4" w:space="0" w:color="auto"/>
            </w:tcBorders>
            <w:noWrap/>
            <w:vAlign w:val="center"/>
            <w:hideMark/>
          </w:tcPr>
          <w:p w14:paraId="5764B8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5018994000</w:t>
            </w:r>
          </w:p>
        </w:tc>
        <w:tc>
          <w:tcPr>
            <w:tcW w:w="1012" w:type="dxa"/>
            <w:tcBorders>
              <w:top w:val="nil"/>
              <w:left w:val="nil"/>
              <w:bottom w:val="single" w:sz="4" w:space="0" w:color="auto"/>
              <w:right w:val="single" w:sz="4" w:space="0" w:color="auto"/>
            </w:tcBorders>
            <w:noWrap/>
            <w:vAlign w:val="center"/>
            <w:hideMark/>
          </w:tcPr>
          <w:p w14:paraId="4DF8B1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85348180</w:t>
            </w:r>
          </w:p>
        </w:tc>
        <w:tc>
          <w:tcPr>
            <w:tcW w:w="5953" w:type="dxa"/>
            <w:tcBorders>
              <w:top w:val="nil"/>
              <w:left w:val="nil"/>
              <w:bottom w:val="single" w:sz="4" w:space="0" w:color="auto"/>
              <w:right w:val="single" w:sz="4" w:space="0" w:color="auto"/>
            </w:tcBorders>
            <w:noWrap/>
            <w:vAlign w:val="center"/>
            <w:hideMark/>
          </w:tcPr>
          <w:p w14:paraId="58CB55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STRANICE</w:t>
            </w:r>
          </w:p>
        </w:tc>
      </w:tr>
      <w:tr w:rsidR="00F24E18" w14:paraId="08E70E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80A4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708</w:t>
            </w:r>
          </w:p>
        </w:tc>
        <w:tc>
          <w:tcPr>
            <w:tcW w:w="1300" w:type="dxa"/>
            <w:tcBorders>
              <w:top w:val="nil"/>
              <w:left w:val="nil"/>
              <w:bottom w:val="single" w:sz="4" w:space="0" w:color="auto"/>
              <w:right w:val="single" w:sz="4" w:space="0" w:color="auto"/>
            </w:tcBorders>
            <w:noWrap/>
            <w:vAlign w:val="center"/>
            <w:hideMark/>
          </w:tcPr>
          <w:p w14:paraId="6E39AC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5029139000</w:t>
            </w:r>
          </w:p>
        </w:tc>
        <w:tc>
          <w:tcPr>
            <w:tcW w:w="1012" w:type="dxa"/>
            <w:tcBorders>
              <w:top w:val="nil"/>
              <w:left w:val="nil"/>
              <w:bottom w:val="single" w:sz="4" w:space="0" w:color="auto"/>
              <w:right w:val="single" w:sz="4" w:space="0" w:color="auto"/>
            </w:tcBorders>
            <w:noWrap/>
            <w:vAlign w:val="center"/>
            <w:hideMark/>
          </w:tcPr>
          <w:p w14:paraId="35A62F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93451091</w:t>
            </w:r>
          </w:p>
        </w:tc>
        <w:tc>
          <w:tcPr>
            <w:tcW w:w="5953" w:type="dxa"/>
            <w:tcBorders>
              <w:top w:val="nil"/>
              <w:left w:val="nil"/>
              <w:bottom w:val="single" w:sz="4" w:space="0" w:color="auto"/>
              <w:right w:val="single" w:sz="4" w:space="0" w:color="auto"/>
            </w:tcBorders>
            <w:noWrap/>
            <w:vAlign w:val="center"/>
            <w:hideMark/>
          </w:tcPr>
          <w:p w14:paraId="438964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STRAŽIŠČE</w:t>
            </w:r>
          </w:p>
        </w:tc>
      </w:tr>
      <w:tr w:rsidR="00F24E18" w14:paraId="0366F65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1393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709</w:t>
            </w:r>
          </w:p>
        </w:tc>
        <w:tc>
          <w:tcPr>
            <w:tcW w:w="1300" w:type="dxa"/>
            <w:tcBorders>
              <w:top w:val="nil"/>
              <w:left w:val="nil"/>
              <w:bottom w:val="single" w:sz="4" w:space="0" w:color="auto"/>
              <w:right w:val="single" w:sz="4" w:space="0" w:color="auto"/>
            </w:tcBorders>
            <w:noWrap/>
            <w:vAlign w:val="center"/>
            <w:hideMark/>
          </w:tcPr>
          <w:p w14:paraId="41048F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5027705000</w:t>
            </w:r>
          </w:p>
        </w:tc>
        <w:tc>
          <w:tcPr>
            <w:tcW w:w="1012" w:type="dxa"/>
            <w:tcBorders>
              <w:top w:val="nil"/>
              <w:left w:val="nil"/>
              <w:bottom w:val="single" w:sz="4" w:space="0" w:color="auto"/>
              <w:right w:val="single" w:sz="4" w:space="0" w:color="auto"/>
            </w:tcBorders>
            <w:noWrap/>
            <w:vAlign w:val="center"/>
            <w:hideMark/>
          </w:tcPr>
          <w:p w14:paraId="66F01A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98259806</w:t>
            </w:r>
          </w:p>
        </w:tc>
        <w:tc>
          <w:tcPr>
            <w:tcW w:w="5953" w:type="dxa"/>
            <w:tcBorders>
              <w:top w:val="nil"/>
              <w:left w:val="nil"/>
              <w:bottom w:val="single" w:sz="4" w:space="0" w:color="auto"/>
              <w:right w:val="single" w:sz="4" w:space="0" w:color="auto"/>
            </w:tcBorders>
            <w:noWrap/>
            <w:vAlign w:val="center"/>
            <w:hideMark/>
          </w:tcPr>
          <w:p w14:paraId="2426E6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STUDENEC</w:t>
            </w:r>
          </w:p>
        </w:tc>
      </w:tr>
      <w:tr w:rsidR="00F24E18" w14:paraId="0799DE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05B9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710</w:t>
            </w:r>
          </w:p>
        </w:tc>
        <w:tc>
          <w:tcPr>
            <w:tcW w:w="1300" w:type="dxa"/>
            <w:tcBorders>
              <w:top w:val="nil"/>
              <w:left w:val="nil"/>
              <w:bottom w:val="single" w:sz="4" w:space="0" w:color="auto"/>
              <w:right w:val="single" w:sz="4" w:space="0" w:color="auto"/>
            </w:tcBorders>
            <w:noWrap/>
            <w:vAlign w:val="center"/>
            <w:hideMark/>
          </w:tcPr>
          <w:p w14:paraId="16B214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5018960000</w:t>
            </w:r>
          </w:p>
        </w:tc>
        <w:tc>
          <w:tcPr>
            <w:tcW w:w="1012" w:type="dxa"/>
            <w:tcBorders>
              <w:top w:val="nil"/>
              <w:left w:val="nil"/>
              <w:bottom w:val="single" w:sz="4" w:space="0" w:color="auto"/>
              <w:right w:val="single" w:sz="4" w:space="0" w:color="auto"/>
            </w:tcBorders>
            <w:noWrap/>
            <w:vAlign w:val="center"/>
            <w:hideMark/>
          </w:tcPr>
          <w:p w14:paraId="48C9FB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16702760</w:t>
            </w:r>
          </w:p>
        </w:tc>
        <w:tc>
          <w:tcPr>
            <w:tcW w:w="5953" w:type="dxa"/>
            <w:tcBorders>
              <w:top w:val="nil"/>
              <w:left w:val="nil"/>
              <w:bottom w:val="single" w:sz="4" w:space="0" w:color="auto"/>
              <w:right w:val="single" w:sz="4" w:space="0" w:color="auto"/>
            </w:tcBorders>
            <w:noWrap/>
            <w:vAlign w:val="center"/>
            <w:hideMark/>
          </w:tcPr>
          <w:p w14:paraId="07D168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SVETI JERNEJ</w:t>
            </w:r>
          </w:p>
        </w:tc>
      </w:tr>
      <w:tr w:rsidR="00F24E18" w14:paraId="07F9F0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E6BC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711</w:t>
            </w:r>
          </w:p>
        </w:tc>
        <w:tc>
          <w:tcPr>
            <w:tcW w:w="1300" w:type="dxa"/>
            <w:tcBorders>
              <w:top w:val="nil"/>
              <w:left w:val="nil"/>
              <w:bottom w:val="single" w:sz="4" w:space="0" w:color="auto"/>
              <w:right w:val="single" w:sz="4" w:space="0" w:color="auto"/>
            </w:tcBorders>
            <w:noWrap/>
            <w:vAlign w:val="center"/>
            <w:hideMark/>
          </w:tcPr>
          <w:p w14:paraId="12D5C4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5032733000</w:t>
            </w:r>
          </w:p>
        </w:tc>
        <w:tc>
          <w:tcPr>
            <w:tcW w:w="1012" w:type="dxa"/>
            <w:tcBorders>
              <w:top w:val="nil"/>
              <w:left w:val="nil"/>
              <w:bottom w:val="single" w:sz="4" w:space="0" w:color="auto"/>
              <w:right w:val="single" w:sz="4" w:space="0" w:color="auto"/>
            </w:tcBorders>
            <w:noWrap/>
            <w:vAlign w:val="center"/>
            <w:hideMark/>
          </w:tcPr>
          <w:p w14:paraId="2DD7DF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51765675</w:t>
            </w:r>
          </w:p>
        </w:tc>
        <w:tc>
          <w:tcPr>
            <w:tcW w:w="5953" w:type="dxa"/>
            <w:tcBorders>
              <w:top w:val="nil"/>
              <w:left w:val="nil"/>
              <w:bottom w:val="single" w:sz="4" w:space="0" w:color="auto"/>
              <w:right w:val="single" w:sz="4" w:space="0" w:color="auto"/>
            </w:tcBorders>
            <w:noWrap/>
            <w:vAlign w:val="center"/>
            <w:hideMark/>
          </w:tcPr>
          <w:p w14:paraId="4D9FD6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SVETI ŠTEFAN</w:t>
            </w:r>
          </w:p>
        </w:tc>
      </w:tr>
      <w:tr w:rsidR="00F24E18" w14:paraId="4ACCC8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875F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712</w:t>
            </w:r>
          </w:p>
        </w:tc>
        <w:tc>
          <w:tcPr>
            <w:tcW w:w="1300" w:type="dxa"/>
            <w:tcBorders>
              <w:top w:val="nil"/>
              <w:left w:val="nil"/>
              <w:bottom w:val="single" w:sz="4" w:space="0" w:color="auto"/>
              <w:right w:val="single" w:sz="4" w:space="0" w:color="auto"/>
            </w:tcBorders>
            <w:noWrap/>
            <w:vAlign w:val="center"/>
            <w:hideMark/>
          </w:tcPr>
          <w:p w14:paraId="5665B1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5030226000</w:t>
            </w:r>
          </w:p>
        </w:tc>
        <w:tc>
          <w:tcPr>
            <w:tcW w:w="1012" w:type="dxa"/>
            <w:tcBorders>
              <w:top w:val="nil"/>
              <w:left w:val="nil"/>
              <w:bottom w:val="single" w:sz="4" w:space="0" w:color="auto"/>
              <w:right w:val="single" w:sz="4" w:space="0" w:color="auto"/>
            </w:tcBorders>
            <w:noWrap/>
            <w:vAlign w:val="center"/>
            <w:hideMark/>
          </w:tcPr>
          <w:p w14:paraId="1645CC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35829532</w:t>
            </w:r>
          </w:p>
        </w:tc>
        <w:tc>
          <w:tcPr>
            <w:tcW w:w="5953" w:type="dxa"/>
            <w:tcBorders>
              <w:top w:val="nil"/>
              <w:left w:val="nil"/>
              <w:bottom w:val="single" w:sz="4" w:space="0" w:color="auto"/>
              <w:right w:val="single" w:sz="4" w:space="0" w:color="auto"/>
            </w:tcBorders>
            <w:noWrap/>
            <w:vAlign w:val="center"/>
            <w:hideMark/>
          </w:tcPr>
          <w:p w14:paraId="0ED2DF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ŠEMPAS</w:t>
            </w:r>
          </w:p>
        </w:tc>
      </w:tr>
      <w:tr w:rsidR="00F24E18" w14:paraId="33EFBD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3FBB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713</w:t>
            </w:r>
          </w:p>
        </w:tc>
        <w:tc>
          <w:tcPr>
            <w:tcW w:w="1300" w:type="dxa"/>
            <w:tcBorders>
              <w:top w:val="nil"/>
              <w:left w:val="nil"/>
              <w:bottom w:val="single" w:sz="4" w:space="0" w:color="auto"/>
              <w:right w:val="single" w:sz="4" w:space="0" w:color="auto"/>
            </w:tcBorders>
            <w:noWrap/>
            <w:vAlign w:val="center"/>
            <w:hideMark/>
          </w:tcPr>
          <w:p w14:paraId="011B7A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5018820000</w:t>
            </w:r>
          </w:p>
        </w:tc>
        <w:tc>
          <w:tcPr>
            <w:tcW w:w="1012" w:type="dxa"/>
            <w:tcBorders>
              <w:top w:val="nil"/>
              <w:left w:val="nil"/>
              <w:bottom w:val="single" w:sz="4" w:space="0" w:color="auto"/>
              <w:right w:val="single" w:sz="4" w:space="0" w:color="auto"/>
            </w:tcBorders>
            <w:noWrap/>
            <w:vAlign w:val="center"/>
            <w:hideMark/>
          </w:tcPr>
          <w:p w14:paraId="164202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77562054</w:t>
            </w:r>
          </w:p>
        </w:tc>
        <w:tc>
          <w:tcPr>
            <w:tcW w:w="5953" w:type="dxa"/>
            <w:tcBorders>
              <w:top w:val="nil"/>
              <w:left w:val="nil"/>
              <w:bottom w:val="single" w:sz="4" w:space="0" w:color="auto"/>
              <w:right w:val="single" w:sz="4" w:space="0" w:color="auto"/>
            </w:tcBorders>
            <w:noWrap/>
            <w:vAlign w:val="center"/>
            <w:hideMark/>
          </w:tcPr>
          <w:p w14:paraId="7D54A9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ŠENTJANŽ</w:t>
            </w:r>
          </w:p>
        </w:tc>
      </w:tr>
      <w:tr w:rsidR="00F24E18" w14:paraId="4038056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4149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714</w:t>
            </w:r>
          </w:p>
        </w:tc>
        <w:tc>
          <w:tcPr>
            <w:tcW w:w="1300" w:type="dxa"/>
            <w:tcBorders>
              <w:top w:val="nil"/>
              <w:left w:val="nil"/>
              <w:bottom w:val="single" w:sz="4" w:space="0" w:color="auto"/>
              <w:right w:val="single" w:sz="4" w:space="0" w:color="auto"/>
            </w:tcBorders>
            <w:noWrap/>
            <w:vAlign w:val="center"/>
            <w:hideMark/>
          </w:tcPr>
          <w:p w14:paraId="569D03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2254875000</w:t>
            </w:r>
          </w:p>
        </w:tc>
        <w:tc>
          <w:tcPr>
            <w:tcW w:w="1012" w:type="dxa"/>
            <w:tcBorders>
              <w:top w:val="nil"/>
              <w:left w:val="nil"/>
              <w:bottom w:val="single" w:sz="4" w:space="0" w:color="auto"/>
              <w:right w:val="single" w:sz="4" w:space="0" w:color="auto"/>
            </w:tcBorders>
            <w:noWrap/>
            <w:vAlign w:val="center"/>
            <w:hideMark/>
          </w:tcPr>
          <w:p w14:paraId="60A27F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49737058</w:t>
            </w:r>
          </w:p>
        </w:tc>
        <w:tc>
          <w:tcPr>
            <w:tcW w:w="5953" w:type="dxa"/>
            <w:tcBorders>
              <w:top w:val="nil"/>
              <w:left w:val="nil"/>
              <w:bottom w:val="single" w:sz="4" w:space="0" w:color="auto"/>
              <w:right w:val="single" w:sz="4" w:space="0" w:color="auto"/>
            </w:tcBorders>
            <w:noWrap/>
            <w:vAlign w:val="center"/>
            <w:hideMark/>
          </w:tcPr>
          <w:p w14:paraId="55051D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ŠENTJUR - RIFNIK</w:t>
            </w:r>
          </w:p>
        </w:tc>
      </w:tr>
      <w:tr w:rsidR="00F24E18" w14:paraId="4CCD45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3391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715</w:t>
            </w:r>
          </w:p>
        </w:tc>
        <w:tc>
          <w:tcPr>
            <w:tcW w:w="1300" w:type="dxa"/>
            <w:tcBorders>
              <w:top w:val="nil"/>
              <w:left w:val="nil"/>
              <w:bottom w:val="single" w:sz="4" w:space="0" w:color="auto"/>
              <w:right w:val="single" w:sz="4" w:space="0" w:color="auto"/>
            </w:tcBorders>
            <w:noWrap/>
            <w:vAlign w:val="center"/>
            <w:hideMark/>
          </w:tcPr>
          <w:p w14:paraId="155C73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5030919000</w:t>
            </w:r>
          </w:p>
        </w:tc>
        <w:tc>
          <w:tcPr>
            <w:tcW w:w="1012" w:type="dxa"/>
            <w:tcBorders>
              <w:top w:val="nil"/>
              <w:left w:val="nil"/>
              <w:bottom w:val="single" w:sz="4" w:space="0" w:color="auto"/>
              <w:right w:val="single" w:sz="4" w:space="0" w:color="auto"/>
            </w:tcBorders>
            <w:noWrap/>
            <w:vAlign w:val="center"/>
            <w:hideMark/>
          </w:tcPr>
          <w:p w14:paraId="16D82E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43806414</w:t>
            </w:r>
          </w:p>
        </w:tc>
        <w:tc>
          <w:tcPr>
            <w:tcW w:w="5953" w:type="dxa"/>
            <w:tcBorders>
              <w:top w:val="nil"/>
              <w:left w:val="nil"/>
              <w:bottom w:val="single" w:sz="4" w:space="0" w:color="auto"/>
              <w:right w:val="single" w:sz="4" w:space="0" w:color="auto"/>
            </w:tcBorders>
            <w:noWrap/>
            <w:vAlign w:val="center"/>
            <w:hideMark/>
          </w:tcPr>
          <w:p w14:paraId="7E7AEC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ŠENTLENART</w:t>
            </w:r>
          </w:p>
        </w:tc>
      </w:tr>
      <w:tr w:rsidR="00F24E18" w14:paraId="6E64E21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ED3E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w:t>
            </w:r>
          </w:p>
        </w:tc>
        <w:tc>
          <w:tcPr>
            <w:tcW w:w="1300" w:type="dxa"/>
            <w:tcBorders>
              <w:top w:val="nil"/>
              <w:left w:val="nil"/>
              <w:bottom w:val="single" w:sz="4" w:space="0" w:color="auto"/>
              <w:right w:val="single" w:sz="4" w:space="0" w:color="auto"/>
            </w:tcBorders>
            <w:noWrap/>
            <w:vAlign w:val="center"/>
            <w:hideMark/>
          </w:tcPr>
          <w:p w14:paraId="1D71DE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5021065000</w:t>
            </w:r>
          </w:p>
        </w:tc>
        <w:tc>
          <w:tcPr>
            <w:tcW w:w="1012" w:type="dxa"/>
            <w:tcBorders>
              <w:top w:val="nil"/>
              <w:left w:val="nil"/>
              <w:bottom w:val="single" w:sz="4" w:space="0" w:color="auto"/>
              <w:right w:val="single" w:sz="4" w:space="0" w:color="auto"/>
            </w:tcBorders>
            <w:noWrap/>
            <w:vAlign w:val="center"/>
            <w:hideMark/>
          </w:tcPr>
          <w:p w14:paraId="347198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11132108</w:t>
            </w:r>
          </w:p>
        </w:tc>
        <w:tc>
          <w:tcPr>
            <w:tcW w:w="5953" w:type="dxa"/>
            <w:tcBorders>
              <w:top w:val="nil"/>
              <w:left w:val="nil"/>
              <w:bottom w:val="single" w:sz="4" w:space="0" w:color="auto"/>
              <w:right w:val="single" w:sz="4" w:space="0" w:color="auto"/>
            </w:tcBorders>
            <w:noWrap/>
            <w:vAlign w:val="center"/>
            <w:hideMark/>
          </w:tcPr>
          <w:p w14:paraId="04F2B7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ŠENTVID PRI GROBELNEM</w:t>
            </w:r>
          </w:p>
        </w:tc>
      </w:tr>
      <w:tr w:rsidR="00F24E18" w14:paraId="38AF15F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4320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717</w:t>
            </w:r>
          </w:p>
        </w:tc>
        <w:tc>
          <w:tcPr>
            <w:tcW w:w="1300" w:type="dxa"/>
            <w:tcBorders>
              <w:top w:val="nil"/>
              <w:left w:val="nil"/>
              <w:bottom w:val="single" w:sz="4" w:space="0" w:color="auto"/>
              <w:right w:val="single" w:sz="4" w:space="0" w:color="auto"/>
            </w:tcBorders>
            <w:noWrap/>
            <w:vAlign w:val="center"/>
            <w:hideMark/>
          </w:tcPr>
          <w:p w14:paraId="3D32FC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5159008000</w:t>
            </w:r>
          </w:p>
        </w:tc>
        <w:tc>
          <w:tcPr>
            <w:tcW w:w="1012" w:type="dxa"/>
            <w:tcBorders>
              <w:top w:val="nil"/>
              <w:left w:val="nil"/>
              <w:bottom w:val="single" w:sz="4" w:space="0" w:color="auto"/>
              <w:right w:val="single" w:sz="4" w:space="0" w:color="auto"/>
            </w:tcBorders>
            <w:noWrap/>
            <w:vAlign w:val="center"/>
            <w:hideMark/>
          </w:tcPr>
          <w:p w14:paraId="681FEE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69428344</w:t>
            </w:r>
          </w:p>
        </w:tc>
        <w:tc>
          <w:tcPr>
            <w:tcW w:w="5953" w:type="dxa"/>
            <w:tcBorders>
              <w:top w:val="nil"/>
              <w:left w:val="nil"/>
              <w:bottom w:val="single" w:sz="4" w:space="0" w:color="auto"/>
              <w:right w:val="single" w:sz="4" w:space="0" w:color="auto"/>
            </w:tcBorders>
            <w:noWrap/>
            <w:vAlign w:val="center"/>
            <w:hideMark/>
          </w:tcPr>
          <w:p w14:paraId="2C1B91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ŠKOCJAN</w:t>
            </w:r>
          </w:p>
        </w:tc>
      </w:tr>
      <w:tr w:rsidR="00F24E18" w14:paraId="5F069E0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EBB4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718</w:t>
            </w:r>
          </w:p>
        </w:tc>
        <w:tc>
          <w:tcPr>
            <w:tcW w:w="1300" w:type="dxa"/>
            <w:tcBorders>
              <w:top w:val="nil"/>
              <w:left w:val="nil"/>
              <w:bottom w:val="single" w:sz="4" w:space="0" w:color="auto"/>
              <w:right w:val="single" w:sz="4" w:space="0" w:color="auto"/>
            </w:tcBorders>
            <w:noWrap/>
            <w:vAlign w:val="center"/>
            <w:hideMark/>
          </w:tcPr>
          <w:p w14:paraId="006BE2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5027853000</w:t>
            </w:r>
          </w:p>
        </w:tc>
        <w:tc>
          <w:tcPr>
            <w:tcW w:w="1012" w:type="dxa"/>
            <w:tcBorders>
              <w:top w:val="nil"/>
              <w:left w:val="nil"/>
              <w:bottom w:val="single" w:sz="4" w:space="0" w:color="auto"/>
              <w:right w:val="single" w:sz="4" w:space="0" w:color="auto"/>
            </w:tcBorders>
            <w:noWrap/>
            <w:vAlign w:val="center"/>
            <w:hideMark/>
          </w:tcPr>
          <w:p w14:paraId="45D6DB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29490642</w:t>
            </w:r>
          </w:p>
        </w:tc>
        <w:tc>
          <w:tcPr>
            <w:tcW w:w="5953" w:type="dxa"/>
            <w:tcBorders>
              <w:top w:val="nil"/>
              <w:left w:val="nil"/>
              <w:bottom w:val="single" w:sz="4" w:space="0" w:color="auto"/>
              <w:right w:val="single" w:sz="4" w:space="0" w:color="auto"/>
            </w:tcBorders>
            <w:noWrap/>
            <w:vAlign w:val="center"/>
            <w:hideMark/>
          </w:tcPr>
          <w:p w14:paraId="5EB84A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ŠMARJE</w:t>
            </w:r>
          </w:p>
        </w:tc>
      </w:tr>
      <w:tr w:rsidR="00F24E18" w14:paraId="3B5C0AE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EA0F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719</w:t>
            </w:r>
          </w:p>
        </w:tc>
        <w:tc>
          <w:tcPr>
            <w:tcW w:w="1300" w:type="dxa"/>
            <w:tcBorders>
              <w:top w:val="nil"/>
              <w:left w:val="nil"/>
              <w:bottom w:val="single" w:sz="4" w:space="0" w:color="auto"/>
              <w:right w:val="single" w:sz="4" w:space="0" w:color="auto"/>
            </w:tcBorders>
            <w:noWrap/>
            <w:vAlign w:val="center"/>
            <w:hideMark/>
          </w:tcPr>
          <w:p w14:paraId="7D6CCB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5019125000</w:t>
            </w:r>
          </w:p>
        </w:tc>
        <w:tc>
          <w:tcPr>
            <w:tcW w:w="1012" w:type="dxa"/>
            <w:tcBorders>
              <w:top w:val="nil"/>
              <w:left w:val="nil"/>
              <w:bottom w:val="single" w:sz="4" w:space="0" w:color="auto"/>
              <w:right w:val="single" w:sz="4" w:space="0" w:color="auto"/>
            </w:tcBorders>
            <w:noWrap/>
            <w:vAlign w:val="center"/>
            <w:hideMark/>
          </w:tcPr>
          <w:p w14:paraId="51DAA2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22736697</w:t>
            </w:r>
          </w:p>
        </w:tc>
        <w:tc>
          <w:tcPr>
            <w:tcW w:w="5953" w:type="dxa"/>
            <w:tcBorders>
              <w:top w:val="nil"/>
              <w:left w:val="nil"/>
              <w:bottom w:val="single" w:sz="4" w:space="0" w:color="auto"/>
              <w:right w:val="single" w:sz="4" w:space="0" w:color="auto"/>
            </w:tcBorders>
            <w:noWrap/>
            <w:vAlign w:val="center"/>
            <w:hideMark/>
          </w:tcPr>
          <w:p w14:paraId="4B9F5A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ŠMARJE PRI JELŠAH</w:t>
            </w:r>
          </w:p>
        </w:tc>
      </w:tr>
      <w:tr w:rsidR="00F24E18" w14:paraId="0260A88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1BA9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w:t>
            </w:r>
          </w:p>
        </w:tc>
        <w:tc>
          <w:tcPr>
            <w:tcW w:w="1300" w:type="dxa"/>
            <w:tcBorders>
              <w:top w:val="nil"/>
              <w:left w:val="nil"/>
              <w:bottom w:val="single" w:sz="4" w:space="0" w:color="auto"/>
              <w:right w:val="single" w:sz="4" w:space="0" w:color="auto"/>
            </w:tcBorders>
            <w:noWrap/>
            <w:vAlign w:val="center"/>
            <w:hideMark/>
          </w:tcPr>
          <w:p w14:paraId="214700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5032997000</w:t>
            </w:r>
          </w:p>
        </w:tc>
        <w:tc>
          <w:tcPr>
            <w:tcW w:w="1012" w:type="dxa"/>
            <w:tcBorders>
              <w:top w:val="nil"/>
              <w:left w:val="nil"/>
              <w:bottom w:val="single" w:sz="4" w:space="0" w:color="auto"/>
              <w:right w:val="single" w:sz="4" w:space="0" w:color="auto"/>
            </w:tcBorders>
            <w:noWrap/>
            <w:vAlign w:val="center"/>
            <w:hideMark/>
          </w:tcPr>
          <w:p w14:paraId="3BF82E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22006885</w:t>
            </w:r>
          </w:p>
        </w:tc>
        <w:tc>
          <w:tcPr>
            <w:tcW w:w="5953" w:type="dxa"/>
            <w:tcBorders>
              <w:top w:val="nil"/>
              <w:left w:val="nil"/>
              <w:bottom w:val="single" w:sz="4" w:space="0" w:color="auto"/>
              <w:right w:val="single" w:sz="4" w:space="0" w:color="auto"/>
            </w:tcBorders>
            <w:noWrap/>
            <w:vAlign w:val="center"/>
            <w:hideMark/>
          </w:tcPr>
          <w:p w14:paraId="3B13D1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ŠPITALIČ</w:t>
            </w:r>
          </w:p>
        </w:tc>
      </w:tr>
      <w:tr w:rsidR="00F24E18" w14:paraId="2169A5A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2F11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721</w:t>
            </w:r>
          </w:p>
        </w:tc>
        <w:tc>
          <w:tcPr>
            <w:tcW w:w="1300" w:type="dxa"/>
            <w:tcBorders>
              <w:top w:val="nil"/>
              <w:left w:val="nil"/>
              <w:bottom w:val="single" w:sz="4" w:space="0" w:color="auto"/>
              <w:right w:val="single" w:sz="4" w:space="0" w:color="auto"/>
            </w:tcBorders>
            <w:noWrap/>
            <w:vAlign w:val="center"/>
            <w:hideMark/>
          </w:tcPr>
          <w:p w14:paraId="15D154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5031524000</w:t>
            </w:r>
          </w:p>
        </w:tc>
        <w:tc>
          <w:tcPr>
            <w:tcW w:w="1012" w:type="dxa"/>
            <w:tcBorders>
              <w:top w:val="nil"/>
              <w:left w:val="nil"/>
              <w:bottom w:val="single" w:sz="4" w:space="0" w:color="auto"/>
              <w:right w:val="single" w:sz="4" w:space="0" w:color="auto"/>
            </w:tcBorders>
            <w:noWrap/>
            <w:vAlign w:val="center"/>
            <w:hideMark/>
          </w:tcPr>
          <w:p w14:paraId="1AAD2B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32483384</w:t>
            </w:r>
          </w:p>
        </w:tc>
        <w:tc>
          <w:tcPr>
            <w:tcW w:w="5953" w:type="dxa"/>
            <w:tcBorders>
              <w:top w:val="nil"/>
              <w:left w:val="nil"/>
              <w:bottom w:val="single" w:sz="4" w:space="0" w:color="auto"/>
              <w:right w:val="single" w:sz="4" w:space="0" w:color="auto"/>
            </w:tcBorders>
            <w:noWrap/>
            <w:vAlign w:val="center"/>
            <w:hideMark/>
          </w:tcPr>
          <w:p w14:paraId="00719B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TENETIŠE</w:t>
            </w:r>
          </w:p>
        </w:tc>
      </w:tr>
      <w:tr w:rsidR="00F24E18" w14:paraId="7CE85B7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03BB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722</w:t>
            </w:r>
          </w:p>
        </w:tc>
        <w:tc>
          <w:tcPr>
            <w:tcW w:w="1300" w:type="dxa"/>
            <w:tcBorders>
              <w:top w:val="nil"/>
              <w:left w:val="nil"/>
              <w:bottom w:val="single" w:sz="4" w:space="0" w:color="auto"/>
              <w:right w:val="single" w:sz="4" w:space="0" w:color="auto"/>
            </w:tcBorders>
            <w:noWrap/>
            <w:vAlign w:val="center"/>
            <w:hideMark/>
          </w:tcPr>
          <w:p w14:paraId="433B05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5027713000</w:t>
            </w:r>
          </w:p>
        </w:tc>
        <w:tc>
          <w:tcPr>
            <w:tcW w:w="1012" w:type="dxa"/>
            <w:tcBorders>
              <w:top w:val="nil"/>
              <w:left w:val="nil"/>
              <w:bottom w:val="single" w:sz="4" w:space="0" w:color="auto"/>
              <w:right w:val="single" w:sz="4" w:space="0" w:color="auto"/>
            </w:tcBorders>
            <w:noWrap/>
            <w:vAlign w:val="center"/>
            <w:hideMark/>
          </w:tcPr>
          <w:p w14:paraId="4A4841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92088287</w:t>
            </w:r>
          </w:p>
        </w:tc>
        <w:tc>
          <w:tcPr>
            <w:tcW w:w="5953" w:type="dxa"/>
            <w:tcBorders>
              <w:top w:val="nil"/>
              <w:left w:val="nil"/>
              <w:bottom w:val="single" w:sz="4" w:space="0" w:color="auto"/>
              <w:right w:val="single" w:sz="4" w:space="0" w:color="auto"/>
            </w:tcBorders>
            <w:noWrap/>
            <w:vAlign w:val="center"/>
            <w:hideMark/>
          </w:tcPr>
          <w:p w14:paraId="511710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TEPANJE</w:t>
            </w:r>
          </w:p>
        </w:tc>
      </w:tr>
      <w:tr w:rsidR="00F24E18" w14:paraId="454F501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091B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723</w:t>
            </w:r>
          </w:p>
        </w:tc>
        <w:tc>
          <w:tcPr>
            <w:tcW w:w="1300" w:type="dxa"/>
            <w:tcBorders>
              <w:top w:val="nil"/>
              <w:left w:val="nil"/>
              <w:bottom w:val="single" w:sz="4" w:space="0" w:color="auto"/>
              <w:right w:val="single" w:sz="4" w:space="0" w:color="auto"/>
            </w:tcBorders>
            <w:noWrap/>
            <w:vAlign w:val="center"/>
            <w:hideMark/>
          </w:tcPr>
          <w:p w14:paraId="6D8401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5027934000</w:t>
            </w:r>
          </w:p>
        </w:tc>
        <w:tc>
          <w:tcPr>
            <w:tcW w:w="1012" w:type="dxa"/>
            <w:tcBorders>
              <w:top w:val="nil"/>
              <w:left w:val="nil"/>
              <w:bottom w:val="single" w:sz="4" w:space="0" w:color="auto"/>
              <w:right w:val="single" w:sz="4" w:space="0" w:color="auto"/>
            </w:tcBorders>
            <w:noWrap/>
            <w:vAlign w:val="center"/>
            <w:hideMark/>
          </w:tcPr>
          <w:p w14:paraId="7C4B61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25154940</w:t>
            </w:r>
          </w:p>
        </w:tc>
        <w:tc>
          <w:tcPr>
            <w:tcW w:w="5953" w:type="dxa"/>
            <w:tcBorders>
              <w:top w:val="nil"/>
              <w:left w:val="nil"/>
              <w:bottom w:val="single" w:sz="4" w:space="0" w:color="auto"/>
              <w:right w:val="single" w:sz="4" w:space="0" w:color="auto"/>
            </w:tcBorders>
            <w:noWrap/>
            <w:vAlign w:val="center"/>
            <w:hideMark/>
          </w:tcPr>
          <w:p w14:paraId="72EB3B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TINSKO</w:t>
            </w:r>
          </w:p>
        </w:tc>
      </w:tr>
      <w:tr w:rsidR="00F24E18" w14:paraId="660BB2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C06F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724</w:t>
            </w:r>
          </w:p>
        </w:tc>
        <w:tc>
          <w:tcPr>
            <w:tcW w:w="1300" w:type="dxa"/>
            <w:tcBorders>
              <w:top w:val="nil"/>
              <w:left w:val="nil"/>
              <w:bottom w:val="single" w:sz="4" w:space="0" w:color="auto"/>
              <w:right w:val="single" w:sz="4" w:space="0" w:color="auto"/>
            </w:tcBorders>
            <w:noWrap/>
            <w:vAlign w:val="center"/>
            <w:hideMark/>
          </w:tcPr>
          <w:p w14:paraId="07721B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5020620000</w:t>
            </w:r>
          </w:p>
        </w:tc>
        <w:tc>
          <w:tcPr>
            <w:tcW w:w="1012" w:type="dxa"/>
            <w:tcBorders>
              <w:top w:val="nil"/>
              <w:left w:val="nil"/>
              <w:bottom w:val="single" w:sz="4" w:space="0" w:color="auto"/>
              <w:right w:val="single" w:sz="4" w:space="0" w:color="auto"/>
            </w:tcBorders>
            <w:noWrap/>
            <w:vAlign w:val="center"/>
            <w:hideMark/>
          </w:tcPr>
          <w:p w14:paraId="3F8C16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97310476</w:t>
            </w:r>
          </w:p>
        </w:tc>
        <w:tc>
          <w:tcPr>
            <w:tcW w:w="5953" w:type="dxa"/>
            <w:tcBorders>
              <w:top w:val="nil"/>
              <w:left w:val="nil"/>
              <w:bottom w:val="single" w:sz="4" w:space="0" w:color="auto"/>
              <w:right w:val="single" w:sz="4" w:space="0" w:color="auto"/>
            </w:tcBorders>
            <w:noWrap/>
            <w:vAlign w:val="center"/>
            <w:hideMark/>
          </w:tcPr>
          <w:p w14:paraId="7C4B0B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TRNOVO</w:t>
            </w:r>
          </w:p>
        </w:tc>
      </w:tr>
      <w:tr w:rsidR="00F24E18" w14:paraId="296D284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CBE3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725</w:t>
            </w:r>
          </w:p>
        </w:tc>
        <w:tc>
          <w:tcPr>
            <w:tcW w:w="1300" w:type="dxa"/>
            <w:tcBorders>
              <w:top w:val="nil"/>
              <w:left w:val="nil"/>
              <w:bottom w:val="single" w:sz="4" w:space="0" w:color="auto"/>
              <w:right w:val="single" w:sz="4" w:space="0" w:color="auto"/>
            </w:tcBorders>
            <w:noWrap/>
            <w:vAlign w:val="center"/>
            <w:hideMark/>
          </w:tcPr>
          <w:p w14:paraId="4DEEAF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5030196000</w:t>
            </w:r>
          </w:p>
        </w:tc>
        <w:tc>
          <w:tcPr>
            <w:tcW w:w="1012" w:type="dxa"/>
            <w:tcBorders>
              <w:top w:val="nil"/>
              <w:left w:val="nil"/>
              <w:bottom w:val="single" w:sz="4" w:space="0" w:color="auto"/>
              <w:right w:val="single" w:sz="4" w:space="0" w:color="auto"/>
            </w:tcBorders>
            <w:noWrap/>
            <w:vAlign w:val="center"/>
            <w:hideMark/>
          </w:tcPr>
          <w:p w14:paraId="58DFCE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57179409</w:t>
            </w:r>
          </w:p>
        </w:tc>
        <w:tc>
          <w:tcPr>
            <w:tcW w:w="5953" w:type="dxa"/>
            <w:tcBorders>
              <w:top w:val="nil"/>
              <w:left w:val="nil"/>
              <w:bottom w:val="single" w:sz="4" w:space="0" w:color="auto"/>
              <w:right w:val="single" w:sz="4" w:space="0" w:color="auto"/>
            </w:tcBorders>
            <w:noWrap/>
            <w:vAlign w:val="center"/>
            <w:hideMark/>
          </w:tcPr>
          <w:p w14:paraId="1CEF75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TRSTENIK</w:t>
            </w:r>
          </w:p>
        </w:tc>
      </w:tr>
      <w:tr w:rsidR="00F24E18" w14:paraId="05203A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AE71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726</w:t>
            </w:r>
          </w:p>
        </w:tc>
        <w:tc>
          <w:tcPr>
            <w:tcW w:w="1300" w:type="dxa"/>
            <w:tcBorders>
              <w:top w:val="nil"/>
              <w:left w:val="nil"/>
              <w:bottom w:val="single" w:sz="4" w:space="0" w:color="auto"/>
              <w:right w:val="single" w:sz="4" w:space="0" w:color="auto"/>
            </w:tcBorders>
            <w:noWrap/>
            <w:vAlign w:val="center"/>
            <w:hideMark/>
          </w:tcPr>
          <w:p w14:paraId="4E5088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5029643000</w:t>
            </w:r>
          </w:p>
        </w:tc>
        <w:tc>
          <w:tcPr>
            <w:tcW w:w="1012" w:type="dxa"/>
            <w:tcBorders>
              <w:top w:val="nil"/>
              <w:left w:val="nil"/>
              <w:bottom w:val="single" w:sz="4" w:space="0" w:color="auto"/>
              <w:right w:val="single" w:sz="4" w:space="0" w:color="auto"/>
            </w:tcBorders>
            <w:noWrap/>
            <w:vAlign w:val="center"/>
            <w:hideMark/>
          </w:tcPr>
          <w:p w14:paraId="029878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73437280</w:t>
            </w:r>
          </w:p>
        </w:tc>
        <w:tc>
          <w:tcPr>
            <w:tcW w:w="5953" w:type="dxa"/>
            <w:tcBorders>
              <w:top w:val="nil"/>
              <w:left w:val="nil"/>
              <w:bottom w:val="single" w:sz="4" w:space="0" w:color="auto"/>
              <w:right w:val="single" w:sz="4" w:space="0" w:color="auto"/>
            </w:tcBorders>
            <w:noWrap/>
            <w:vAlign w:val="center"/>
            <w:hideMark/>
          </w:tcPr>
          <w:p w14:paraId="2E5EC7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TRŽIŠČE</w:t>
            </w:r>
          </w:p>
        </w:tc>
      </w:tr>
      <w:tr w:rsidR="00F24E18" w14:paraId="7D45A5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8194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727</w:t>
            </w:r>
          </w:p>
        </w:tc>
        <w:tc>
          <w:tcPr>
            <w:tcW w:w="1300" w:type="dxa"/>
            <w:tcBorders>
              <w:top w:val="nil"/>
              <w:left w:val="nil"/>
              <w:bottom w:val="single" w:sz="4" w:space="0" w:color="auto"/>
              <w:right w:val="single" w:sz="4" w:space="0" w:color="auto"/>
            </w:tcBorders>
            <w:noWrap/>
            <w:vAlign w:val="center"/>
            <w:hideMark/>
          </w:tcPr>
          <w:p w14:paraId="462DBC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5031737000</w:t>
            </w:r>
          </w:p>
        </w:tc>
        <w:tc>
          <w:tcPr>
            <w:tcW w:w="1012" w:type="dxa"/>
            <w:tcBorders>
              <w:top w:val="nil"/>
              <w:left w:val="nil"/>
              <w:bottom w:val="single" w:sz="4" w:space="0" w:color="auto"/>
              <w:right w:val="single" w:sz="4" w:space="0" w:color="auto"/>
            </w:tcBorders>
            <w:noWrap/>
            <w:vAlign w:val="center"/>
            <w:hideMark/>
          </w:tcPr>
          <w:p w14:paraId="63A9E4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27450902</w:t>
            </w:r>
          </w:p>
        </w:tc>
        <w:tc>
          <w:tcPr>
            <w:tcW w:w="5953" w:type="dxa"/>
            <w:tcBorders>
              <w:top w:val="nil"/>
              <w:left w:val="nil"/>
              <w:bottom w:val="single" w:sz="4" w:space="0" w:color="auto"/>
              <w:right w:val="single" w:sz="4" w:space="0" w:color="auto"/>
            </w:tcBorders>
            <w:noWrap/>
            <w:vAlign w:val="center"/>
            <w:hideMark/>
          </w:tcPr>
          <w:p w14:paraId="07BD1E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URŠNA SELA</w:t>
            </w:r>
          </w:p>
        </w:tc>
      </w:tr>
      <w:tr w:rsidR="00F24E18" w14:paraId="2B84CB6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DAA3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728</w:t>
            </w:r>
          </w:p>
        </w:tc>
        <w:tc>
          <w:tcPr>
            <w:tcW w:w="1300" w:type="dxa"/>
            <w:tcBorders>
              <w:top w:val="nil"/>
              <w:left w:val="nil"/>
              <w:bottom w:val="single" w:sz="4" w:space="0" w:color="auto"/>
              <w:right w:val="single" w:sz="4" w:space="0" w:color="auto"/>
            </w:tcBorders>
            <w:noWrap/>
            <w:vAlign w:val="center"/>
            <w:hideMark/>
          </w:tcPr>
          <w:p w14:paraId="25BD02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5027802000</w:t>
            </w:r>
          </w:p>
        </w:tc>
        <w:tc>
          <w:tcPr>
            <w:tcW w:w="1012" w:type="dxa"/>
            <w:tcBorders>
              <w:top w:val="nil"/>
              <w:left w:val="nil"/>
              <w:bottom w:val="single" w:sz="4" w:space="0" w:color="auto"/>
              <w:right w:val="single" w:sz="4" w:space="0" w:color="auto"/>
            </w:tcBorders>
            <w:noWrap/>
            <w:vAlign w:val="center"/>
            <w:hideMark/>
          </w:tcPr>
          <w:p w14:paraId="5F0D9B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23798904</w:t>
            </w:r>
          </w:p>
        </w:tc>
        <w:tc>
          <w:tcPr>
            <w:tcW w:w="5953" w:type="dxa"/>
            <w:tcBorders>
              <w:top w:val="nil"/>
              <w:left w:val="nil"/>
              <w:bottom w:val="single" w:sz="4" w:space="0" w:color="auto"/>
              <w:right w:val="single" w:sz="4" w:space="0" w:color="auto"/>
            </w:tcBorders>
            <w:noWrap/>
            <w:vAlign w:val="center"/>
            <w:hideMark/>
          </w:tcPr>
          <w:p w14:paraId="2810E7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USTJE</w:t>
            </w:r>
          </w:p>
        </w:tc>
      </w:tr>
      <w:tr w:rsidR="00F24E18" w14:paraId="0AC639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7D2F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729</w:t>
            </w:r>
          </w:p>
        </w:tc>
        <w:tc>
          <w:tcPr>
            <w:tcW w:w="1300" w:type="dxa"/>
            <w:tcBorders>
              <w:top w:val="nil"/>
              <w:left w:val="nil"/>
              <w:bottom w:val="single" w:sz="4" w:space="0" w:color="auto"/>
              <w:right w:val="single" w:sz="4" w:space="0" w:color="auto"/>
            </w:tcBorders>
            <w:noWrap/>
            <w:vAlign w:val="center"/>
            <w:hideMark/>
          </w:tcPr>
          <w:p w14:paraId="7DA17F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5031532000</w:t>
            </w:r>
          </w:p>
        </w:tc>
        <w:tc>
          <w:tcPr>
            <w:tcW w:w="1012" w:type="dxa"/>
            <w:tcBorders>
              <w:top w:val="nil"/>
              <w:left w:val="nil"/>
              <w:bottom w:val="single" w:sz="4" w:space="0" w:color="auto"/>
              <w:right w:val="single" w:sz="4" w:space="0" w:color="auto"/>
            </w:tcBorders>
            <w:noWrap/>
            <w:vAlign w:val="center"/>
            <w:hideMark/>
          </w:tcPr>
          <w:p w14:paraId="37A38D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37837516</w:t>
            </w:r>
          </w:p>
        </w:tc>
        <w:tc>
          <w:tcPr>
            <w:tcW w:w="5953" w:type="dxa"/>
            <w:tcBorders>
              <w:top w:val="nil"/>
              <w:left w:val="nil"/>
              <w:bottom w:val="single" w:sz="4" w:space="0" w:color="auto"/>
              <w:right w:val="single" w:sz="4" w:space="0" w:color="auto"/>
            </w:tcBorders>
            <w:noWrap/>
            <w:vAlign w:val="center"/>
            <w:hideMark/>
          </w:tcPr>
          <w:p w14:paraId="1872E4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VANGANEL</w:t>
            </w:r>
          </w:p>
        </w:tc>
      </w:tr>
      <w:tr w:rsidR="00F24E18" w14:paraId="7A370CB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85EF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730</w:t>
            </w:r>
          </w:p>
        </w:tc>
        <w:tc>
          <w:tcPr>
            <w:tcW w:w="1300" w:type="dxa"/>
            <w:tcBorders>
              <w:top w:val="nil"/>
              <w:left w:val="nil"/>
              <w:bottom w:val="single" w:sz="4" w:space="0" w:color="auto"/>
              <w:right w:val="single" w:sz="4" w:space="0" w:color="auto"/>
            </w:tcBorders>
            <w:noWrap/>
            <w:vAlign w:val="center"/>
            <w:hideMark/>
          </w:tcPr>
          <w:p w14:paraId="3A4D38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5019532000</w:t>
            </w:r>
          </w:p>
        </w:tc>
        <w:tc>
          <w:tcPr>
            <w:tcW w:w="1012" w:type="dxa"/>
            <w:tcBorders>
              <w:top w:val="nil"/>
              <w:left w:val="nil"/>
              <w:bottom w:val="single" w:sz="4" w:space="0" w:color="auto"/>
              <w:right w:val="single" w:sz="4" w:space="0" w:color="auto"/>
            </w:tcBorders>
            <w:vAlign w:val="center"/>
            <w:hideMark/>
          </w:tcPr>
          <w:p w14:paraId="3F7AAD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83067876</w:t>
            </w:r>
          </w:p>
        </w:tc>
        <w:tc>
          <w:tcPr>
            <w:tcW w:w="5953" w:type="dxa"/>
            <w:tcBorders>
              <w:top w:val="nil"/>
              <w:left w:val="nil"/>
              <w:bottom w:val="single" w:sz="4" w:space="0" w:color="auto"/>
              <w:right w:val="single" w:sz="4" w:space="0" w:color="auto"/>
            </w:tcBorders>
            <w:noWrap/>
            <w:vAlign w:val="center"/>
            <w:hideMark/>
          </w:tcPr>
          <w:p w14:paraId="605364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VELIKA DOLINA</w:t>
            </w:r>
          </w:p>
        </w:tc>
      </w:tr>
      <w:tr w:rsidR="00F24E18" w14:paraId="4DAB0A9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EF46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731</w:t>
            </w:r>
          </w:p>
        </w:tc>
        <w:tc>
          <w:tcPr>
            <w:tcW w:w="1300" w:type="dxa"/>
            <w:tcBorders>
              <w:top w:val="nil"/>
              <w:left w:val="nil"/>
              <w:bottom w:val="single" w:sz="4" w:space="0" w:color="auto"/>
              <w:right w:val="single" w:sz="4" w:space="0" w:color="auto"/>
            </w:tcBorders>
            <w:noWrap/>
            <w:vAlign w:val="center"/>
            <w:hideMark/>
          </w:tcPr>
          <w:p w14:paraId="7282F3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5029350000</w:t>
            </w:r>
          </w:p>
        </w:tc>
        <w:tc>
          <w:tcPr>
            <w:tcW w:w="1012" w:type="dxa"/>
            <w:tcBorders>
              <w:top w:val="nil"/>
              <w:left w:val="nil"/>
              <w:bottom w:val="single" w:sz="4" w:space="0" w:color="auto"/>
              <w:right w:val="single" w:sz="4" w:space="0" w:color="auto"/>
            </w:tcBorders>
            <w:noWrap/>
            <w:vAlign w:val="center"/>
            <w:hideMark/>
          </w:tcPr>
          <w:p w14:paraId="24B550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77531540</w:t>
            </w:r>
          </w:p>
        </w:tc>
        <w:tc>
          <w:tcPr>
            <w:tcW w:w="5953" w:type="dxa"/>
            <w:tcBorders>
              <w:top w:val="nil"/>
              <w:left w:val="nil"/>
              <w:bottom w:val="single" w:sz="4" w:space="0" w:color="auto"/>
              <w:right w:val="single" w:sz="4" w:space="0" w:color="auto"/>
            </w:tcBorders>
            <w:noWrap/>
            <w:vAlign w:val="center"/>
            <w:hideMark/>
          </w:tcPr>
          <w:p w14:paraId="5ADF90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VELIKA NEDELJA</w:t>
            </w:r>
          </w:p>
        </w:tc>
      </w:tr>
      <w:tr w:rsidR="00F24E18" w14:paraId="17121F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C1AF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732</w:t>
            </w:r>
          </w:p>
        </w:tc>
        <w:tc>
          <w:tcPr>
            <w:tcW w:w="1300" w:type="dxa"/>
            <w:tcBorders>
              <w:top w:val="nil"/>
              <w:left w:val="nil"/>
              <w:bottom w:val="single" w:sz="4" w:space="0" w:color="auto"/>
              <w:right w:val="single" w:sz="4" w:space="0" w:color="auto"/>
            </w:tcBorders>
            <w:noWrap/>
            <w:vAlign w:val="center"/>
            <w:hideMark/>
          </w:tcPr>
          <w:p w14:paraId="628026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5028477000</w:t>
            </w:r>
          </w:p>
        </w:tc>
        <w:tc>
          <w:tcPr>
            <w:tcW w:w="1012" w:type="dxa"/>
            <w:tcBorders>
              <w:top w:val="nil"/>
              <w:left w:val="nil"/>
              <w:bottom w:val="single" w:sz="4" w:space="0" w:color="auto"/>
              <w:right w:val="single" w:sz="4" w:space="0" w:color="auto"/>
            </w:tcBorders>
            <w:noWrap/>
            <w:vAlign w:val="center"/>
            <w:hideMark/>
          </w:tcPr>
          <w:p w14:paraId="694D11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91286336</w:t>
            </w:r>
          </w:p>
        </w:tc>
        <w:tc>
          <w:tcPr>
            <w:tcW w:w="5953" w:type="dxa"/>
            <w:tcBorders>
              <w:top w:val="nil"/>
              <w:left w:val="nil"/>
              <w:bottom w:val="single" w:sz="4" w:space="0" w:color="auto"/>
              <w:right w:val="single" w:sz="4" w:space="0" w:color="auto"/>
            </w:tcBorders>
            <w:noWrap/>
            <w:vAlign w:val="center"/>
            <w:hideMark/>
          </w:tcPr>
          <w:p w14:paraId="4CA954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VELIKE ŽABLJE</w:t>
            </w:r>
          </w:p>
        </w:tc>
      </w:tr>
      <w:tr w:rsidR="00F24E18" w14:paraId="67B2AC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4F3B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733</w:t>
            </w:r>
          </w:p>
        </w:tc>
        <w:tc>
          <w:tcPr>
            <w:tcW w:w="1300" w:type="dxa"/>
            <w:tcBorders>
              <w:top w:val="nil"/>
              <w:left w:val="nil"/>
              <w:bottom w:val="single" w:sz="4" w:space="0" w:color="auto"/>
              <w:right w:val="single" w:sz="4" w:space="0" w:color="auto"/>
            </w:tcBorders>
            <w:noWrap/>
            <w:vAlign w:val="center"/>
            <w:hideMark/>
          </w:tcPr>
          <w:p w14:paraId="53B715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5185521000</w:t>
            </w:r>
          </w:p>
        </w:tc>
        <w:tc>
          <w:tcPr>
            <w:tcW w:w="1012" w:type="dxa"/>
            <w:tcBorders>
              <w:top w:val="nil"/>
              <w:left w:val="nil"/>
              <w:bottom w:val="single" w:sz="4" w:space="0" w:color="auto"/>
              <w:right w:val="single" w:sz="4" w:space="0" w:color="auto"/>
            </w:tcBorders>
            <w:noWrap/>
            <w:vAlign w:val="center"/>
            <w:hideMark/>
          </w:tcPr>
          <w:p w14:paraId="31AF4F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17135974</w:t>
            </w:r>
          </w:p>
        </w:tc>
        <w:tc>
          <w:tcPr>
            <w:tcW w:w="5953" w:type="dxa"/>
            <w:tcBorders>
              <w:top w:val="nil"/>
              <w:left w:val="nil"/>
              <w:bottom w:val="single" w:sz="4" w:space="0" w:color="auto"/>
              <w:right w:val="single" w:sz="4" w:space="0" w:color="auto"/>
            </w:tcBorders>
            <w:noWrap/>
            <w:vAlign w:val="center"/>
            <w:hideMark/>
          </w:tcPr>
          <w:p w14:paraId="2D95D2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VELIKI PODLOG</w:t>
            </w:r>
          </w:p>
        </w:tc>
      </w:tr>
      <w:tr w:rsidR="00F24E18" w14:paraId="00D74F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8A7E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734</w:t>
            </w:r>
          </w:p>
        </w:tc>
        <w:tc>
          <w:tcPr>
            <w:tcW w:w="1300" w:type="dxa"/>
            <w:tcBorders>
              <w:top w:val="nil"/>
              <w:left w:val="nil"/>
              <w:bottom w:val="single" w:sz="4" w:space="0" w:color="auto"/>
              <w:right w:val="single" w:sz="4" w:space="0" w:color="auto"/>
            </w:tcBorders>
            <w:noWrap/>
            <w:vAlign w:val="center"/>
            <w:hideMark/>
          </w:tcPr>
          <w:p w14:paraId="7833B3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5020077000</w:t>
            </w:r>
          </w:p>
        </w:tc>
        <w:tc>
          <w:tcPr>
            <w:tcW w:w="1012" w:type="dxa"/>
            <w:tcBorders>
              <w:top w:val="nil"/>
              <w:left w:val="nil"/>
              <w:bottom w:val="single" w:sz="4" w:space="0" w:color="auto"/>
              <w:right w:val="single" w:sz="4" w:space="0" w:color="auto"/>
            </w:tcBorders>
            <w:noWrap/>
            <w:vAlign w:val="center"/>
            <w:hideMark/>
          </w:tcPr>
          <w:p w14:paraId="728461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69465690</w:t>
            </w:r>
          </w:p>
        </w:tc>
        <w:tc>
          <w:tcPr>
            <w:tcW w:w="5953" w:type="dxa"/>
            <w:tcBorders>
              <w:top w:val="nil"/>
              <w:left w:val="nil"/>
              <w:bottom w:val="single" w:sz="4" w:space="0" w:color="auto"/>
              <w:right w:val="single" w:sz="4" w:space="0" w:color="auto"/>
            </w:tcBorders>
            <w:noWrap/>
            <w:vAlign w:val="center"/>
            <w:hideMark/>
          </w:tcPr>
          <w:p w14:paraId="5B9BBE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VELIKI TRN</w:t>
            </w:r>
          </w:p>
        </w:tc>
      </w:tr>
      <w:tr w:rsidR="00F24E18" w14:paraId="47EC63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1918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735</w:t>
            </w:r>
          </w:p>
        </w:tc>
        <w:tc>
          <w:tcPr>
            <w:tcW w:w="1300" w:type="dxa"/>
            <w:tcBorders>
              <w:top w:val="nil"/>
              <w:left w:val="nil"/>
              <w:bottom w:val="single" w:sz="4" w:space="0" w:color="auto"/>
              <w:right w:val="single" w:sz="4" w:space="0" w:color="auto"/>
            </w:tcBorders>
            <w:noWrap/>
            <w:vAlign w:val="center"/>
            <w:hideMark/>
          </w:tcPr>
          <w:p w14:paraId="60BAF5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5032377000</w:t>
            </w:r>
          </w:p>
        </w:tc>
        <w:tc>
          <w:tcPr>
            <w:tcW w:w="1012" w:type="dxa"/>
            <w:tcBorders>
              <w:top w:val="nil"/>
              <w:left w:val="nil"/>
              <w:bottom w:val="single" w:sz="4" w:space="0" w:color="auto"/>
              <w:right w:val="single" w:sz="4" w:space="0" w:color="auto"/>
            </w:tcBorders>
            <w:noWrap/>
            <w:vAlign w:val="center"/>
            <w:hideMark/>
          </w:tcPr>
          <w:p w14:paraId="7F6316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16663527</w:t>
            </w:r>
          </w:p>
        </w:tc>
        <w:tc>
          <w:tcPr>
            <w:tcW w:w="5953" w:type="dxa"/>
            <w:tcBorders>
              <w:top w:val="nil"/>
              <w:left w:val="nil"/>
              <w:bottom w:val="single" w:sz="4" w:space="0" w:color="auto"/>
              <w:right w:val="single" w:sz="4" w:space="0" w:color="auto"/>
            </w:tcBorders>
            <w:noWrap/>
            <w:vAlign w:val="center"/>
            <w:hideMark/>
          </w:tcPr>
          <w:p w14:paraId="1762E4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VEŠENIK - BRDO</w:t>
            </w:r>
          </w:p>
        </w:tc>
      </w:tr>
      <w:tr w:rsidR="00F24E18" w14:paraId="3A3FD73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B1C9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736</w:t>
            </w:r>
          </w:p>
        </w:tc>
        <w:tc>
          <w:tcPr>
            <w:tcW w:w="1300" w:type="dxa"/>
            <w:tcBorders>
              <w:top w:val="nil"/>
              <w:left w:val="nil"/>
              <w:bottom w:val="single" w:sz="4" w:space="0" w:color="auto"/>
              <w:right w:val="single" w:sz="4" w:space="0" w:color="auto"/>
            </w:tcBorders>
            <w:noWrap/>
            <w:vAlign w:val="center"/>
            <w:hideMark/>
          </w:tcPr>
          <w:p w14:paraId="09797C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5019478000</w:t>
            </w:r>
          </w:p>
        </w:tc>
        <w:tc>
          <w:tcPr>
            <w:tcW w:w="1012" w:type="dxa"/>
            <w:tcBorders>
              <w:top w:val="nil"/>
              <w:left w:val="nil"/>
              <w:bottom w:val="single" w:sz="4" w:space="0" w:color="auto"/>
              <w:right w:val="single" w:sz="4" w:space="0" w:color="auto"/>
            </w:tcBorders>
            <w:noWrap/>
            <w:vAlign w:val="center"/>
            <w:hideMark/>
          </w:tcPr>
          <w:p w14:paraId="149860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44218117</w:t>
            </w:r>
          </w:p>
        </w:tc>
        <w:tc>
          <w:tcPr>
            <w:tcW w:w="5953" w:type="dxa"/>
            <w:tcBorders>
              <w:top w:val="nil"/>
              <w:left w:val="nil"/>
              <w:bottom w:val="single" w:sz="4" w:space="0" w:color="auto"/>
              <w:right w:val="single" w:sz="4" w:space="0" w:color="auto"/>
            </w:tcBorders>
            <w:noWrap/>
            <w:vAlign w:val="center"/>
            <w:hideMark/>
          </w:tcPr>
          <w:p w14:paraId="34B90D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VIPAVSKI KRIŽ</w:t>
            </w:r>
          </w:p>
        </w:tc>
      </w:tr>
      <w:tr w:rsidR="00F24E18" w14:paraId="0A2695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2FC1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737</w:t>
            </w:r>
          </w:p>
        </w:tc>
        <w:tc>
          <w:tcPr>
            <w:tcW w:w="1300" w:type="dxa"/>
            <w:tcBorders>
              <w:top w:val="nil"/>
              <w:left w:val="nil"/>
              <w:bottom w:val="single" w:sz="4" w:space="0" w:color="auto"/>
              <w:right w:val="single" w:sz="4" w:space="0" w:color="auto"/>
            </w:tcBorders>
            <w:noWrap/>
            <w:vAlign w:val="center"/>
            <w:hideMark/>
          </w:tcPr>
          <w:p w14:paraId="491A77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5017262000</w:t>
            </w:r>
          </w:p>
        </w:tc>
        <w:tc>
          <w:tcPr>
            <w:tcW w:w="1012" w:type="dxa"/>
            <w:tcBorders>
              <w:top w:val="nil"/>
              <w:left w:val="nil"/>
              <w:bottom w:val="single" w:sz="4" w:space="0" w:color="auto"/>
              <w:right w:val="single" w:sz="4" w:space="0" w:color="auto"/>
            </w:tcBorders>
            <w:noWrap/>
            <w:vAlign w:val="center"/>
            <w:hideMark/>
          </w:tcPr>
          <w:p w14:paraId="17713F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73099236</w:t>
            </w:r>
          </w:p>
        </w:tc>
        <w:tc>
          <w:tcPr>
            <w:tcW w:w="5953" w:type="dxa"/>
            <w:tcBorders>
              <w:top w:val="nil"/>
              <w:left w:val="nil"/>
              <w:bottom w:val="single" w:sz="4" w:space="0" w:color="auto"/>
              <w:right w:val="single" w:sz="4" w:space="0" w:color="auto"/>
            </w:tcBorders>
            <w:noWrap/>
            <w:vAlign w:val="center"/>
            <w:hideMark/>
          </w:tcPr>
          <w:p w14:paraId="6E95F6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VODOVODNI STOLP</w:t>
            </w:r>
          </w:p>
        </w:tc>
      </w:tr>
      <w:tr w:rsidR="00F24E18" w14:paraId="2D1364D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4189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738</w:t>
            </w:r>
          </w:p>
        </w:tc>
        <w:tc>
          <w:tcPr>
            <w:tcW w:w="1300" w:type="dxa"/>
            <w:tcBorders>
              <w:top w:val="nil"/>
              <w:left w:val="nil"/>
              <w:bottom w:val="single" w:sz="4" w:space="0" w:color="auto"/>
              <w:right w:val="single" w:sz="4" w:space="0" w:color="auto"/>
            </w:tcBorders>
            <w:noWrap/>
            <w:vAlign w:val="center"/>
            <w:hideMark/>
          </w:tcPr>
          <w:p w14:paraId="3E3714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2254883000</w:t>
            </w:r>
          </w:p>
        </w:tc>
        <w:tc>
          <w:tcPr>
            <w:tcW w:w="1012" w:type="dxa"/>
            <w:tcBorders>
              <w:top w:val="nil"/>
              <w:left w:val="nil"/>
              <w:bottom w:val="single" w:sz="4" w:space="0" w:color="auto"/>
              <w:right w:val="single" w:sz="4" w:space="0" w:color="auto"/>
            </w:tcBorders>
            <w:noWrap/>
            <w:vAlign w:val="center"/>
            <w:hideMark/>
          </w:tcPr>
          <w:p w14:paraId="6224E2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99133121</w:t>
            </w:r>
          </w:p>
        </w:tc>
        <w:tc>
          <w:tcPr>
            <w:tcW w:w="5953" w:type="dxa"/>
            <w:tcBorders>
              <w:top w:val="nil"/>
              <w:left w:val="nil"/>
              <w:bottom w:val="single" w:sz="4" w:space="0" w:color="auto"/>
              <w:right w:val="single" w:sz="4" w:space="0" w:color="auto"/>
            </w:tcBorders>
            <w:noWrap/>
            <w:vAlign w:val="center"/>
            <w:hideMark/>
          </w:tcPr>
          <w:p w14:paraId="3C2330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VRBNO - PODGRAD</w:t>
            </w:r>
          </w:p>
        </w:tc>
      </w:tr>
      <w:tr w:rsidR="00F24E18" w14:paraId="354B7BC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0F58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739</w:t>
            </w:r>
          </w:p>
        </w:tc>
        <w:tc>
          <w:tcPr>
            <w:tcW w:w="1300" w:type="dxa"/>
            <w:tcBorders>
              <w:top w:val="nil"/>
              <w:left w:val="nil"/>
              <w:bottom w:val="single" w:sz="4" w:space="0" w:color="auto"/>
              <w:right w:val="single" w:sz="4" w:space="0" w:color="auto"/>
            </w:tcBorders>
            <w:noWrap/>
            <w:vAlign w:val="center"/>
            <w:hideMark/>
          </w:tcPr>
          <w:p w14:paraId="53C5F7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5026733000</w:t>
            </w:r>
          </w:p>
        </w:tc>
        <w:tc>
          <w:tcPr>
            <w:tcW w:w="1012" w:type="dxa"/>
            <w:tcBorders>
              <w:top w:val="nil"/>
              <w:left w:val="nil"/>
              <w:bottom w:val="single" w:sz="4" w:space="0" w:color="auto"/>
              <w:right w:val="single" w:sz="4" w:space="0" w:color="auto"/>
            </w:tcBorders>
            <w:noWrap/>
            <w:vAlign w:val="center"/>
            <w:hideMark/>
          </w:tcPr>
          <w:p w14:paraId="6CB53C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11032278</w:t>
            </w:r>
          </w:p>
        </w:tc>
        <w:tc>
          <w:tcPr>
            <w:tcW w:w="5953" w:type="dxa"/>
            <w:tcBorders>
              <w:top w:val="nil"/>
              <w:left w:val="nil"/>
              <w:bottom w:val="single" w:sz="4" w:space="0" w:color="auto"/>
              <w:right w:val="single" w:sz="4" w:space="0" w:color="auto"/>
            </w:tcBorders>
            <w:noWrap/>
            <w:vAlign w:val="center"/>
            <w:hideMark/>
          </w:tcPr>
          <w:p w14:paraId="7FF000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VRTOVIN</w:t>
            </w:r>
          </w:p>
        </w:tc>
      </w:tr>
      <w:tr w:rsidR="00F24E18" w14:paraId="56F475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D95D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740</w:t>
            </w:r>
          </w:p>
        </w:tc>
        <w:tc>
          <w:tcPr>
            <w:tcW w:w="1300" w:type="dxa"/>
            <w:tcBorders>
              <w:top w:val="nil"/>
              <w:left w:val="nil"/>
              <w:bottom w:val="single" w:sz="4" w:space="0" w:color="auto"/>
              <w:right w:val="single" w:sz="4" w:space="0" w:color="auto"/>
            </w:tcBorders>
            <w:noWrap/>
            <w:vAlign w:val="center"/>
            <w:hideMark/>
          </w:tcPr>
          <w:p w14:paraId="4CDE7B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5020808000</w:t>
            </w:r>
          </w:p>
        </w:tc>
        <w:tc>
          <w:tcPr>
            <w:tcW w:w="1012" w:type="dxa"/>
            <w:tcBorders>
              <w:top w:val="nil"/>
              <w:left w:val="nil"/>
              <w:bottom w:val="single" w:sz="4" w:space="0" w:color="auto"/>
              <w:right w:val="single" w:sz="4" w:space="0" w:color="auto"/>
            </w:tcBorders>
            <w:noWrap/>
            <w:vAlign w:val="center"/>
            <w:hideMark/>
          </w:tcPr>
          <w:p w14:paraId="0E2F97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88731391</w:t>
            </w:r>
          </w:p>
        </w:tc>
        <w:tc>
          <w:tcPr>
            <w:tcW w:w="5953" w:type="dxa"/>
            <w:tcBorders>
              <w:top w:val="nil"/>
              <w:left w:val="nil"/>
              <w:bottom w:val="single" w:sz="4" w:space="0" w:color="auto"/>
              <w:right w:val="single" w:sz="4" w:space="0" w:color="auto"/>
            </w:tcBorders>
            <w:noWrap/>
            <w:vAlign w:val="center"/>
            <w:hideMark/>
          </w:tcPr>
          <w:p w14:paraId="52DF2D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ZABUKOVJE</w:t>
            </w:r>
          </w:p>
        </w:tc>
      </w:tr>
      <w:tr w:rsidR="00F24E18" w14:paraId="01D0BC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39EB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741</w:t>
            </w:r>
          </w:p>
        </w:tc>
        <w:tc>
          <w:tcPr>
            <w:tcW w:w="1300" w:type="dxa"/>
            <w:tcBorders>
              <w:top w:val="nil"/>
              <w:left w:val="nil"/>
              <w:bottom w:val="single" w:sz="4" w:space="0" w:color="auto"/>
              <w:right w:val="single" w:sz="4" w:space="0" w:color="auto"/>
            </w:tcBorders>
            <w:noWrap/>
            <w:vAlign w:val="center"/>
            <w:hideMark/>
          </w:tcPr>
          <w:p w14:paraId="77FC22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5028647000</w:t>
            </w:r>
          </w:p>
        </w:tc>
        <w:tc>
          <w:tcPr>
            <w:tcW w:w="1012" w:type="dxa"/>
            <w:tcBorders>
              <w:top w:val="nil"/>
              <w:left w:val="nil"/>
              <w:bottom w:val="single" w:sz="4" w:space="0" w:color="auto"/>
              <w:right w:val="single" w:sz="4" w:space="0" w:color="auto"/>
            </w:tcBorders>
            <w:noWrap/>
            <w:vAlign w:val="center"/>
            <w:hideMark/>
          </w:tcPr>
          <w:p w14:paraId="1ED0DA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87567644</w:t>
            </w:r>
          </w:p>
        </w:tc>
        <w:tc>
          <w:tcPr>
            <w:tcW w:w="5953" w:type="dxa"/>
            <w:tcBorders>
              <w:top w:val="nil"/>
              <w:left w:val="nil"/>
              <w:bottom w:val="single" w:sz="4" w:space="0" w:color="auto"/>
              <w:right w:val="single" w:sz="4" w:space="0" w:color="auto"/>
            </w:tcBorders>
            <w:noWrap/>
            <w:vAlign w:val="center"/>
            <w:hideMark/>
          </w:tcPr>
          <w:p w14:paraId="4D52F0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ZAKOT-BUKOŠEK-TRNJE</w:t>
            </w:r>
          </w:p>
        </w:tc>
      </w:tr>
      <w:tr w:rsidR="00F24E18" w14:paraId="76EA50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D4C7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742</w:t>
            </w:r>
          </w:p>
        </w:tc>
        <w:tc>
          <w:tcPr>
            <w:tcW w:w="1300" w:type="dxa"/>
            <w:tcBorders>
              <w:top w:val="nil"/>
              <w:left w:val="nil"/>
              <w:bottom w:val="single" w:sz="4" w:space="0" w:color="auto"/>
              <w:right w:val="single" w:sz="4" w:space="0" w:color="auto"/>
            </w:tcBorders>
            <w:noWrap/>
            <w:vAlign w:val="center"/>
            <w:hideMark/>
          </w:tcPr>
          <w:p w14:paraId="60E4A8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5019001000</w:t>
            </w:r>
          </w:p>
        </w:tc>
        <w:tc>
          <w:tcPr>
            <w:tcW w:w="1012" w:type="dxa"/>
            <w:tcBorders>
              <w:top w:val="nil"/>
              <w:left w:val="nil"/>
              <w:bottom w:val="single" w:sz="4" w:space="0" w:color="auto"/>
              <w:right w:val="single" w:sz="4" w:space="0" w:color="auto"/>
            </w:tcBorders>
            <w:noWrap/>
            <w:vAlign w:val="center"/>
            <w:hideMark/>
          </w:tcPr>
          <w:p w14:paraId="3F1378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85574805</w:t>
            </w:r>
          </w:p>
        </w:tc>
        <w:tc>
          <w:tcPr>
            <w:tcW w:w="5953" w:type="dxa"/>
            <w:tcBorders>
              <w:top w:val="nil"/>
              <w:left w:val="nil"/>
              <w:bottom w:val="single" w:sz="4" w:space="0" w:color="auto"/>
              <w:right w:val="single" w:sz="4" w:space="0" w:color="auto"/>
            </w:tcBorders>
            <w:noWrap/>
            <w:vAlign w:val="center"/>
            <w:hideMark/>
          </w:tcPr>
          <w:p w14:paraId="68FAC1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ZBELOVO</w:t>
            </w:r>
          </w:p>
        </w:tc>
      </w:tr>
      <w:tr w:rsidR="00F24E18" w14:paraId="4E8DF8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18AB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743</w:t>
            </w:r>
          </w:p>
        </w:tc>
        <w:tc>
          <w:tcPr>
            <w:tcW w:w="1300" w:type="dxa"/>
            <w:tcBorders>
              <w:top w:val="nil"/>
              <w:left w:val="nil"/>
              <w:bottom w:val="single" w:sz="4" w:space="0" w:color="auto"/>
              <w:right w:val="single" w:sz="4" w:space="0" w:color="auto"/>
            </w:tcBorders>
            <w:noWrap/>
            <w:vAlign w:val="center"/>
            <w:hideMark/>
          </w:tcPr>
          <w:p w14:paraId="4B8429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5031567000</w:t>
            </w:r>
          </w:p>
        </w:tc>
        <w:tc>
          <w:tcPr>
            <w:tcW w:w="1012" w:type="dxa"/>
            <w:tcBorders>
              <w:top w:val="nil"/>
              <w:left w:val="nil"/>
              <w:bottom w:val="single" w:sz="4" w:space="0" w:color="auto"/>
              <w:right w:val="single" w:sz="4" w:space="0" w:color="auto"/>
            </w:tcBorders>
            <w:noWrap/>
            <w:vAlign w:val="center"/>
            <w:hideMark/>
          </w:tcPr>
          <w:p w14:paraId="28444B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23380144</w:t>
            </w:r>
          </w:p>
        </w:tc>
        <w:tc>
          <w:tcPr>
            <w:tcW w:w="5953" w:type="dxa"/>
            <w:tcBorders>
              <w:top w:val="nil"/>
              <w:left w:val="nil"/>
              <w:bottom w:val="single" w:sz="4" w:space="0" w:color="auto"/>
              <w:right w:val="single" w:sz="4" w:space="0" w:color="auto"/>
            </w:tcBorders>
            <w:noWrap/>
            <w:vAlign w:val="center"/>
            <w:hideMark/>
          </w:tcPr>
          <w:p w14:paraId="5F1BF4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ZDOLE</w:t>
            </w:r>
          </w:p>
        </w:tc>
      </w:tr>
      <w:tr w:rsidR="00F24E18" w14:paraId="65CC32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780A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744</w:t>
            </w:r>
          </w:p>
        </w:tc>
        <w:tc>
          <w:tcPr>
            <w:tcW w:w="1300" w:type="dxa"/>
            <w:tcBorders>
              <w:top w:val="nil"/>
              <w:left w:val="nil"/>
              <w:bottom w:val="single" w:sz="4" w:space="0" w:color="auto"/>
              <w:right w:val="single" w:sz="4" w:space="0" w:color="auto"/>
            </w:tcBorders>
            <w:noWrap/>
            <w:vAlign w:val="center"/>
            <w:hideMark/>
          </w:tcPr>
          <w:p w14:paraId="13321D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5032407000</w:t>
            </w:r>
          </w:p>
        </w:tc>
        <w:tc>
          <w:tcPr>
            <w:tcW w:w="1012" w:type="dxa"/>
            <w:tcBorders>
              <w:top w:val="nil"/>
              <w:left w:val="nil"/>
              <w:bottom w:val="single" w:sz="4" w:space="0" w:color="auto"/>
              <w:right w:val="single" w:sz="4" w:space="0" w:color="auto"/>
            </w:tcBorders>
            <w:noWrap/>
            <w:vAlign w:val="center"/>
            <w:hideMark/>
          </w:tcPr>
          <w:p w14:paraId="04A751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33990611</w:t>
            </w:r>
          </w:p>
        </w:tc>
        <w:tc>
          <w:tcPr>
            <w:tcW w:w="5953" w:type="dxa"/>
            <w:tcBorders>
              <w:top w:val="nil"/>
              <w:left w:val="nil"/>
              <w:bottom w:val="single" w:sz="4" w:space="0" w:color="auto"/>
              <w:right w:val="single" w:sz="4" w:space="0" w:color="auto"/>
            </w:tcBorders>
            <w:noWrap/>
            <w:vAlign w:val="center"/>
            <w:hideMark/>
          </w:tcPr>
          <w:p w14:paraId="21EB95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ZEČE</w:t>
            </w:r>
          </w:p>
        </w:tc>
      </w:tr>
      <w:tr w:rsidR="00F24E18" w14:paraId="446D009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BFC5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745</w:t>
            </w:r>
          </w:p>
        </w:tc>
        <w:tc>
          <w:tcPr>
            <w:tcW w:w="1300" w:type="dxa"/>
            <w:tcBorders>
              <w:top w:val="nil"/>
              <w:left w:val="nil"/>
              <w:bottom w:val="single" w:sz="4" w:space="0" w:color="auto"/>
              <w:right w:val="single" w:sz="4" w:space="0" w:color="auto"/>
            </w:tcBorders>
            <w:noWrap/>
            <w:vAlign w:val="center"/>
            <w:hideMark/>
          </w:tcPr>
          <w:p w14:paraId="08FD06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5032776000</w:t>
            </w:r>
          </w:p>
        </w:tc>
        <w:tc>
          <w:tcPr>
            <w:tcW w:w="1012" w:type="dxa"/>
            <w:tcBorders>
              <w:top w:val="nil"/>
              <w:left w:val="nil"/>
              <w:bottom w:val="single" w:sz="4" w:space="0" w:color="auto"/>
              <w:right w:val="single" w:sz="4" w:space="0" w:color="auto"/>
            </w:tcBorders>
            <w:noWrap/>
            <w:vAlign w:val="center"/>
            <w:hideMark/>
          </w:tcPr>
          <w:p w14:paraId="6DF02A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34632298</w:t>
            </w:r>
          </w:p>
        </w:tc>
        <w:tc>
          <w:tcPr>
            <w:tcW w:w="5953" w:type="dxa"/>
            <w:tcBorders>
              <w:top w:val="nil"/>
              <w:left w:val="nil"/>
              <w:bottom w:val="single" w:sz="4" w:space="0" w:color="auto"/>
              <w:right w:val="single" w:sz="4" w:space="0" w:color="auto"/>
            </w:tcBorders>
            <w:noWrap/>
            <w:vAlign w:val="center"/>
            <w:hideMark/>
          </w:tcPr>
          <w:p w14:paraId="318B34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ZIBIKA</w:t>
            </w:r>
          </w:p>
        </w:tc>
      </w:tr>
      <w:tr w:rsidR="00F24E18" w14:paraId="616B15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BC46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746</w:t>
            </w:r>
          </w:p>
        </w:tc>
        <w:tc>
          <w:tcPr>
            <w:tcW w:w="1300" w:type="dxa"/>
            <w:tcBorders>
              <w:top w:val="nil"/>
              <w:left w:val="nil"/>
              <w:bottom w:val="single" w:sz="4" w:space="0" w:color="auto"/>
              <w:right w:val="single" w:sz="4" w:space="0" w:color="auto"/>
            </w:tcBorders>
            <w:noWrap/>
            <w:vAlign w:val="center"/>
            <w:hideMark/>
          </w:tcPr>
          <w:p w14:paraId="65F3C9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5017289000</w:t>
            </w:r>
          </w:p>
        </w:tc>
        <w:tc>
          <w:tcPr>
            <w:tcW w:w="1012" w:type="dxa"/>
            <w:tcBorders>
              <w:top w:val="nil"/>
              <w:left w:val="nil"/>
              <w:bottom w:val="single" w:sz="4" w:space="0" w:color="auto"/>
              <w:right w:val="single" w:sz="4" w:space="0" w:color="auto"/>
            </w:tcBorders>
            <w:noWrap/>
            <w:vAlign w:val="center"/>
            <w:hideMark/>
          </w:tcPr>
          <w:p w14:paraId="5497A6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94363951</w:t>
            </w:r>
          </w:p>
        </w:tc>
        <w:tc>
          <w:tcPr>
            <w:tcW w:w="5953" w:type="dxa"/>
            <w:tcBorders>
              <w:top w:val="nil"/>
              <w:left w:val="nil"/>
              <w:bottom w:val="single" w:sz="4" w:space="0" w:color="auto"/>
              <w:right w:val="single" w:sz="4" w:space="0" w:color="auto"/>
            </w:tcBorders>
            <w:noWrap/>
            <w:vAlign w:val="center"/>
            <w:hideMark/>
          </w:tcPr>
          <w:p w14:paraId="58D794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ZLATO POLJE</w:t>
            </w:r>
          </w:p>
        </w:tc>
      </w:tr>
      <w:tr w:rsidR="00F24E18" w14:paraId="6225682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1D25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747</w:t>
            </w:r>
          </w:p>
        </w:tc>
        <w:tc>
          <w:tcPr>
            <w:tcW w:w="1300" w:type="dxa"/>
            <w:tcBorders>
              <w:top w:val="nil"/>
              <w:left w:val="nil"/>
              <w:bottom w:val="single" w:sz="4" w:space="0" w:color="auto"/>
              <w:right w:val="single" w:sz="4" w:space="0" w:color="auto"/>
            </w:tcBorders>
            <w:noWrap/>
            <w:vAlign w:val="center"/>
            <w:hideMark/>
          </w:tcPr>
          <w:p w14:paraId="4D3978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5019010000</w:t>
            </w:r>
          </w:p>
        </w:tc>
        <w:tc>
          <w:tcPr>
            <w:tcW w:w="1012" w:type="dxa"/>
            <w:tcBorders>
              <w:top w:val="nil"/>
              <w:left w:val="nil"/>
              <w:bottom w:val="single" w:sz="4" w:space="0" w:color="auto"/>
              <w:right w:val="single" w:sz="4" w:space="0" w:color="auto"/>
            </w:tcBorders>
            <w:noWrap/>
            <w:vAlign w:val="center"/>
            <w:hideMark/>
          </w:tcPr>
          <w:p w14:paraId="30D410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37492799</w:t>
            </w:r>
          </w:p>
        </w:tc>
        <w:tc>
          <w:tcPr>
            <w:tcW w:w="5953" w:type="dxa"/>
            <w:tcBorders>
              <w:top w:val="nil"/>
              <w:left w:val="nil"/>
              <w:bottom w:val="single" w:sz="4" w:space="0" w:color="auto"/>
              <w:right w:val="single" w:sz="4" w:space="0" w:color="auto"/>
            </w:tcBorders>
            <w:noWrap/>
            <w:vAlign w:val="center"/>
            <w:hideMark/>
          </w:tcPr>
          <w:p w14:paraId="52820C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ZREČE</w:t>
            </w:r>
          </w:p>
        </w:tc>
      </w:tr>
      <w:tr w:rsidR="00F24E18" w14:paraId="4625067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18A2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748</w:t>
            </w:r>
          </w:p>
        </w:tc>
        <w:tc>
          <w:tcPr>
            <w:tcW w:w="1300" w:type="dxa"/>
            <w:tcBorders>
              <w:top w:val="nil"/>
              <w:left w:val="nil"/>
              <w:bottom w:val="single" w:sz="4" w:space="0" w:color="auto"/>
              <w:right w:val="single" w:sz="4" w:space="0" w:color="auto"/>
            </w:tcBorders>
            <w:noWrap/>
            <w:vAlign w:val="center"/>
            <w:hideMark/>
          </w:tcPr>
          <w:p w14:paraId="5C2244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5028663000</w:t>
            </w:r>
          </w:p>
        </w:tc>
        <w:tc>
          <w:tcPr>
            <w:tcW w:w="1012" w:type="dxa"/>
            <w:tcBorders>
              <w:top w:val="nil"/>
              <w:left w:val="nil"/>
              <w:bottom w:val="single" w:sz="4" w:space="0" w:color="auto"/>
              <w:right w:val="single" w:sz="4" w:space="0" w:color="auto"/>
            </w:tcBorders>
            <w:noWrap/>
            <w:vAlign w:val="center"/>
            <w:hideMark/>
          </w:tcPr>
          <w:p w14:paraId="299F9E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68344384</w:t>
            </w:r>
          </w:p>
        </w:tc>
        <w:tc>
          <w:tcPr>
            <w:tcW w:w="5953" w:type="dxa"/>
            <w:tcBorders>
              <w:top w:val="nil"/>
              <w:left w:val="nil"/>
              <w:bottom w:val="single" w:sz="4" w:space="0" w:color="auto"/>
              <w:right w:val="single" w:sz="4" w:space="0" w:color="auto"/>
            </w:tcBorders>
            <w:noWrap/>
            <w:vAlign w:val="center"/>
            <w:hideMark/>
          </w:tcPr>
          <w:p w14:paraId="6B9B76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ŽABNICA</w:t>
            </w:r>
          </w:p>
        </w:tc>
      </w:tr>
      <w:tr w:rsidR="00F24E18" w14:paraId="6724BCD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75FC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749</w:t>
            </w:r>
          </w:p>
        </w:tc>
        <w:tc>
          <w:tcPr>
            <w:tcW w:w="1300" w:type="dxa"/>
            <w:tcBorders>
              <w:top w:val="nil"/>
              <w:left w:val="nil"/>
              <w:bottom w:val="single" w:sz="4" w:space="0" w:color="auto"/>
              <w:right w:val="single" w:sz="4" w:space="0" w:color="auto"/>
            </w:tcBorders>
            <w:noWrap/>
            <w:vAlign w:val="center"/>
            <w:hideMark/>
          </w:tcPr>
          <w:p w14:paraId="6A7196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5030820000</w:t>
            </w:r>
          </w:p>
        </w:tc>
        <w:tc>
          <w:tcPr>
            <w:tcW w:w="1012" w:type="dxa"/>
            <w:tcBorders>
              <w:top w:val="nil"/>
              <w:left w:val="nil"/>
              <w:bottom w:val="single" w:sz="4" w:space="0" w:color="auto"/>
              <w:right w:val="single" w:sz="4" w:space="0" w:color="auto"/>
            </w:tcBorders>
            <w:noWrap/>
            <w:vAlign w:val="center"/>
            <w:hideMark/>
          </w:tcPr>
          <w:p w14:paraId="22A2CB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80713980</w:t>
            </w:r>
          </w:p>
        </w:tc>
        <w:tc>
          <w:tcPr>
            <w:tcW w:w="5953" w:type="dxa"/>
            <w:tcBorders>
              <w:top w:val="nil"/>
              <w:left w:val="nil"/>
              <w:bottom w:val="single" w:sz="4" w:space="0" w:color="auto"/>
              <w:right w:val="single" w:sz="4" w:space="0" w:color="auto"/>
            </w:tcBorders>
            <w:noWrap/>
            <w:vAlign w:val="center"/>
            <w:hideMark/>
          </w:tcPr>
          <w:p w14:paraId="5A6B72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ŽAPUŽE</w:t>
            </w:r>
          </w:p>
        </w:tc>
      </w:tr>
      <w:tr w:rsidR="00F24E18" w14:paraId="573EA00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6DA7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750</w:t>
            </w:r>
          </w:p>
        </w:tc>
        <w:tc>
          <w:tcPr>
            <w:tcW w:w="1300" w:type="dxa"/>
            <w:tcBorders>
              <w:top w:val="nil"/>
              <w:left w:val="nil"/>
              <w:bottom w:val="single" w:sz="4" w:space="0" w:color="auto"/>
              <w:right w:val="single" w:sz="4" w:space="0" w:color="auto"/>
            </w:tcBorders>
            <w:noWrap/>
            <w:vAlign w:val="center"/>
            <w:hideMark/>
          </w:tcPr>
          <w:p w14:paraId="14AC80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5021758000</w:t>
            </w:r>
          </w:p>
        </w:tc>
        <w:tc>
          <w:tcPr>
            <w:tcW w:w="1012" w:type="dxa"/>
            <w:tcBorders>
              <w:top w:val="nil"/>
              <w:left w:val="nil"/>
              <w:bottom w:val="single" w:sz="4" w:space="0" w:color="auto"/>
              <w:right w:val="single" w:sz="4" w:space="0" w:color="auto"/>
            </w:tcBorders>
            <w:noWrap/>
            <w:vAlign w:val="center"/>
            <w:hideMark/>
          </w:tcPr>
          <w:p w14:paraId="38CA45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15689271</w:t>
            </w:r>
          </w:p>
        </w:tc>
        <w:tc>
          <w:tcPr>
            <w:tcW w:w="5953" w:type="dxa"/>
            <w:tcBorders>
              <w:top w:val="nil"/>
              <w:left w:val="nil"/>
              <w:bottom w:val="single" w:sz="4" w:space="0" w:color="auto"/>
              <w:right w:val="single" w:sz="4" w:space="0" w:color="auto"/>
            </w:tcBorders>
            <w:noWrap/>
            <w:vAlign w:val="center"/>
            <w:hideMark/>
          </w:tcPr>
          <w:p w14:paraId="42D097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ŽIČE</w:t>
            </w:r>
          </w:p>
        </w:tc>
      </w:tr>
      <w:tr w:rsidR="00F24E18" w14:paraId="3152A7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8E77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751</w:t>
            </w:r>
          </w:p>
        </w:tc>
        <w:tc>
          <w:tcPr>
            <w:tcW w:w="1300" w:type="dxa"/>
            <w:tcBorders>
              <w:top w:val="nil"/>
              <w:left w:val="nil"/>
              <w:bottom w:val="single" w:sz="4" w:space="0" w:color="auto"/>
              <w:right w:val="single" w:sz="4" w:space="0" w:color="auto"/>
            </w:tcBorders>
            <w:noWrap/>
            <w:vAlign w:val="center"/>
            <w:hideMark/>
          </w:tcPr>
          <w:p w14:paraId="2C97AB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5028418000</w:t>
            </w:r>
          </w:p>
        </w:tc>
        <w:tc>
          <w:tcPr>
            <w:tcW w:w="1012" w:type="dxa"/>
            <w:tcBorders>
              <w:top w:val="nil"/>
              <w:left w:val="nil"/>
              <w:bottom w:val="single" w:sz="4" w:space="0" w:color="auto"/>
              <w:right w:val="single" w:sz="4" w:space="0" w:color="auto"/>
            </w:tcBorders>
            <w:noWrap/>
            <w:vAlign w:val="center"/>
            <w:hideMark/>
          </w:tcPr>
          <w:p w14:paraId="519A28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58037519</w:t>
            </w:r>
          </w:p>
        </w:tc>
        <w:tc>
          <w:tcPr>
            <w:tcW w:w="5953" w:type="dxa"/>
            <w:tcBorders>
              <w:top w:val="nil"/>
              <w:left w:val="nil"/>
              <w:bottom w:val="single" w:sz="4" w:space="0" w:color="auto"/>
              <w:right w:val="single" w:sz="4" w:space="0" w:color="auto"/>
            </w:tcBorders>
            <w:noWrap/>
            <w:vAlign w:val="center"/>
            <w:hideMark/>
          </w:tcPr>
          <w:p w14:paraId="22083E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KRAJEVNA SKUPNOST ŽUSTERNA</w:t>
            </w:r>
          </w:p>
        </w:tc>
      </w:tr>
      <w:tr w:rsidR="00F24E18" w14:paraId="72DEEA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EB86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752</w:t>
            </w:r>
          </w:p>
        </w:tc>
        <w:tc>
          <w:tcPr>
            <w:tcW w:w="1300" w:type="dxa"/>
            <w:tcBorders>
              <w:top w:val="nil"/>
              <w:left w:val="nil"/>
              <w:bottom w:val="single" w:sz="4" w:space="0" w:color="auto"/>
              <w:right w:val="single" w:sz="4" w:space="0" w:color="auto"/>
            </w:tcBorders>
            <w:vAlign w:val="center"/>
            <w:hideMark/>
          </w:tcPr>
          <w:p w14:paraId="4883B1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5049849000</w:t>
            </w:r>
          </w:p>
        </w:tc>
        <w:tc>
          <w:tcPr>
            <w:tcW w:w="1012" w:type="dxa"/>
            <w:tcBorders>
              <w:top w:val="nil"/>
              <w:left w:val="nil"/>
              <w:bottom w:val="single" w:sz="4" w:space="0" w:color="auto"/>
              <w:right w:val="single" w:sz="4" w:space="0" w:color="auto"/>
            </w:tcBorders>
            <w:vAlign w:val="center"/>
            <w:hideMark/>
          </w:tcPr>
          <w:p w14:paraId="7F439F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42191297</w:t>
            </w:r>
          </w:p>
        </w:tc>
        <w:tc>
          <w:tcPr>
            <w:tcW w:w="5953" w:type="dxa"/>
            <w:tcBorders>
              <w:top w:val="nil"/>
              <w:left w:val="nil"/>
              <w:bottom w:val="single" w:sz="4" w:space="0" w:color="auto"/>
              <w:right w:val="single" w:sz="4" w:space="0" w:color="auto"/>
            </w:tcBorders>
            <w:noWrap/>
            <w:vAlign w:val="center"/>
            <w:hideMark/>
          </w:tcPr>
          <w:p w14:paraId="603881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KRANJSKI VRTCI</w:t>
            </w:r>
          </w:p>
        </w:tc>
      </w:tr>
      <w:tr w:rsidR="00F24E18" w14:paraId="04EF0E8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D232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753</w:t>
            </w:r>
          </w:p>
        </w:tc>
        <w:tc>
          <w:tcPr>
            <w:tcW w:w="1300" w:type="dxa"/>
            <w:tcBorders>
              <w:top w:val="nil"/>
              <w:left w:val="nil"/>
              <w:bottom w:val="single" w:sz="4" w:space="0" w:color="auto"/>
              <w:right w:val="single" w:sz="4" w:space="0" w:color="auto"/>
            </w:tcBorders>
            <w:vAlign w:val="center"/>
            <w:hideMark/>
          </w:tcPr>
          <w:p w14:paraId="56DCB9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8889724000</w:t>
            </w:r>
          </w:p>
        </w:tc>
        <w:tc>
          <w:tcPr>
            <w:tcW w:w="1012" w:type="dxa"/>
            <w:tcBorders>
              <w:top w:val="nil"/>
              <w:left w:val="nil"/>
              <w:bottom w:val="single" w:sz="4" w:space="0" w:color="auto"/>
              <w:right w:val="single" w:sz="4" w:space="0" w:color="auto"/>
            </w:tcBorders>
            <w:vAlign w:val="center"/>
            <w:hideMark/>
          </w:tcPr>
          <w:p w14:paraId="6CCED1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79671977</w:t>
            </w:r>
          </w:p>
        </w:tc>
        <w:tc>
          <w:tcPr>
            <w:tcW w:w="5953" w:type="dxa"/>
            <w:tcBorders>
              <w:top w:val="nil"/>
              <w:left w:val="nil"/>
              <w:bottom w:val="single" w:sz="4" w:space="0" w:color="auto"/>
              <w:right w:val="single" w:sz="4" w:space="0" w:color="auto"/>
            </w:tcBorders>
            <w:noWrap/>
            <w:vAlign w:val="center"/>
            <w:hideMark/>
          </w:tcPr>
          <w:p w14:paraId="5556FB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KREATIVNO SREDIŠČE CENTER ROG</w:t>
            </w:r>
          </w:p>
        </w:tc>
      </w:tr>
      <w:tr w:rsidR="00F24E18" w14:paraId="179A6B6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0CD2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754</w:t>
            </w:r>
          </w:p>
        </w:tc>
        <w:tc>
          <w:tcPr>
            <w:tcW w:w="1300" w:type="dxa"/>
            <w:tcBorders>
              <w:top w:val="nil"/>
              <w:left w:val="nil"/>
              <w:bottom w:val="single" w:sz="4" w:space="0" w:color="auto"/>
              <w:right w:val="single" w:sz="4" w:space="0" w:color="auto"/>
            </w:tcBorders>
            <w:noWrap/>
            <w:vAlign w:val="center"/>
            <w:hideMark/>
          </w:tcPr>
          <w:p w14:paraId="210729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3377342000</w:t>
            </w:r>
          </w:p>
        </w:tc>
        <w:tc>
          <w:tcPr>
            <w:tcW w:w="1012" w:type="dxa"/>
            <w:tcBorders>
              <w:top w:val="nil"/>
              <w:left w:val="nil"/>
              <w:bottom w:val="single" w:sz="4" w:space="0" w:color="auto"/>
              <w:right w:val="single" w:sz="4" w:space="0" w:color="auto"/>
            </w:tcBorders>
            <w:noWrap/>
            <w:vAlign w:val="center"/>
            <w:hideMark/>
          </w:tcPr>
          <w:p w14:paraId="2ACEE0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69087156</w:t>
            </w:r>
          </w:p>
        </w:tc>
        <w:tc>
          <w:tcPr>
            <w:tcW w:w="5953" w:type="dxa"/>
            <w:tcBorders>
              <w:top w:val="nil"/>
              <w:left w:val="nil"/>
              <w:bottom w:val="single" w:sz="4" w:space="0" w:color="auto"/>
              <w:right w:val="single" w:sz="4" w:space="0" w:color="auto"/>
            </w:tcBorders>
            <w:noWrap/>
            <w:vAlign w:val="center"/>
            <w:hideMark/>
          </w:tcPr>
          <w:p w14:paraId="5D8A24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KULTURNI CENTER SEMIČ</w:t>
            </w:r>
          </w:p>
        </w:tc>
      </w:tr>
      <w:tr w:rsidR="00F24E18" w14:paraId="65188B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160E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755</w:t>
            </w:r>
          </w:p>
        </w:tc>
        <w:tc>
          <w:tcPr>
            <w:tcW w:w="1300" w:type="dxa"/>
            <w:tcBorders>
              <w:top w:val="nil"/>
              <w:left w:val="nil"/>
              <w:bottom w:val="single" w:sz="4" w:space="0" w:color="auto"/>
              <w:right w:val="single" w:sz="4" w:space="0" w:color="auto"/>
            </w:tcBorders>
            <w:vAlign w:val="center"/>
            <w:hideMark/>
          </w:tcPr>
          <w:p w14:paraId="5B4963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1263099000</w:t>
            </w:r>
          </w:p>
        </w:tc>
        <w:tc>
          <w:tcPr>
            <w:tcW w:w="1012" w:type="dxa"/>
            <w:tcBorders>
              <w:top w:val="nil"/>
              <w:left w:val="nil"/>
              <w:bottom w:val="single" w:sz="4" w:space="0" w:color="auto"/>
              <w:right w:val="single" w:sz="4" w:space="0" w:color="auto"/>
            </w:tcBorders>
            <w:vAlign w:val="center"/>
            <w:hideMark/>
          </w:tcPr>
          <w:p w14:paraId="296D19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46606831</w:t>
            </w:r>
          </w:p>
        </w:tc>
        <w:tc>
          <w:tcPr>
            <w:tcW w:w="5953" w:type="dxa"/>
            <w:tcBorders>
              <w:top w:val="nil"/>
              <w:left w:val="nil"/>
              <w:bottom w:val="single" w:sz="4" w:space="0" w:color="auto"/>
              <w:right w:val="single" w:sz="4" w:space="0" w:color="auto"/>
            </w:tcBorders>
            <w:noWrap/>
            <w:vAlign w:val="center"/>
            <w:hideMark/>
          </w:tcPr>
          <w:p w14:paraId="596A7B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KULTURNI DOM FRANCA BERNIKA DOMŽALE</w:t>
            </w:r>
          </w:p>
        </w:tc>
      </w:tr>
      <w:tr w:rsidR="00F24E18" w14:paraId="62CC261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A793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756</w:t>
            </w:r>
          </w:p>
        </w:tc>
        <w:tc>
          <w:tcPr>
            <w:tcW w:w="1300" w:type="dxa"/>
            <w:tcBorders>
              <w:top w:val="nil"/>
              <w:left w:val="nil"/>
              <w:bottom w:val="single" w:sz="4" w:space="0" w:color="auto"/>
              <w:right w:val="single" w:sz="4" w:space="0" w:color="auto"/>
            </w:tcBorders>
            <w:noWrap/>
            <w:vAlign w:val="center"/>
            <w:hideMark/>
          </w:tcPr>
          <w:p w14:paraId="2CCBD2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5096944000</w:t>
            </w:r>
          </w:p>
        </w:tc>
        <w:tc>
          <w:tcPr>
            <w:tcW w:w="1012" w:type="dxa"/>
            <w:tcBorders>
              <w:top w:val="nil"/>
              <w:left w:val="nil"/>
              <w:bottom w:val="single" w:sz="4" w:space="0" w:color="auto"/>
              <w:right w:val="single" w:sz="4" w:space="0" w:color="auto"/>
            </w:tcBorders>
            <w:noWrap/>
            <w:vAlign w:val="center"/>
            <w:hideMark/>
          </w:tcPr>
          <w:p w14:paraId="226517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30027110</w:t>
            </w:r>
          </w:p>
        </w:tc>
        <w:tc>
          <w:tcPr>
            <w:tcW w:w="5953" w:type="dxa"/>
            <w:tcBorders>
              <w:top w:val="nil"/>
              <w:left w:val="nil"/>
              <w:bottom w:val="single" w:sz="4" w:space="0" w:color="auto"/>
              <w:right w:val="single" w:sz="4" w:space="0" w:color="auto"/>
            </w:tcBorders>
            <w:noWrap/>
            <w:vAlign w:val="center"/>
            <w:hideMark/>
          </w:tcPr>
          <w:p w14:paraId="1B45E0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KULTURNI DOM KRŠKO</w:t>
            </w:r>
          </w:p>
        </w:tc>
      </w:tr>
      <w:tr w:rsidR="00F24E18" w14:paraId="10DECD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DE93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757</w:t>
            </w:r>
          </w:p>
        </w:tc>
        <w:tc>
          <w:tcPr>
            <w:tcW w:w="1300" w:type="dxa"/>
            <w:tcBorders>
              <w:top w:val="nil"/>
              <w:left w:val="nil"/>
              <w:bottom w:val="single" w:sz="4" w:space="0" w:color="auto"/>
              <w:right w:val="single" w:sz="4" w:space="0" w:color="auto"/>
            </w:tcBorders>
            <w:noWrap/>
            <w:vAlign w:val="center"/>
            <w:hideMark/>
          </w:tcPr>
          <w:p w14:paraId="11BC51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5566355000</w:t>
            </w:r>
          </w:p>
        </w:tc>
        <w:tc>
          <w:tcPr>
            <w:tcW w:w="1012" w:type="dxa"/>
            <w:tcBorders>
              <w:top w:val="nil"/>
              <w:left w:val="nil"/>
              <w:bottom w:val="single" w:sz="4" w:space="0" w:color="auto"/>
              <w:right w:val="single" w:sz="4" w:space="0" w:color="auto"/>
            </w:tcBorders>
            <w:vAlign w:val="center"/>
            <w:hideMark/>
          </w:tcPr>
          <w:p w14:paraId="008539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10417443</w:t>
            </w:r>
          </w:p>
        </w:tc>
        <w:tc>
          <w:tcPr>
            <w:tcW w:w="5953" w:type="dxa"/>
            <w:tcBorders>
              <w:top w:val="nil"/>
              <w:left w:val="nil"/>
              <w:bottom w:val="single" w:sz="4" w:space="0" w:color="auto"/>
              <w:right w:val="single" w:sz="4" w:space="0" w:color="auto"/>
            </w:tcBorders>
            <w:noWrap/>
            <w:vAlign w:val="center"/>
            <w:hideMark/>
          </w:tcPr>
          <w:p w14:paraId="120625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KULTURNI DOM SLOVENJ GRADEC</w:t>
            </w:r>
          </w:p>
        </w:tc>
      </w:tr>
      <w:tr w:rsidR="00F24E18" w14:paraId="2FFA18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8688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758</w:t>
            </w:r>
          </w:p>
        </w:tc>
        <w:tc>
          <w:tcPr>
            <w:tcW w:w="1300" w:type="dxa"/>
            <w:tcBorders>
              <w:top w:val="nil"/>
              <w:left w:val="nil"/>
              <w:bottom w:val="single" w:sz="4" w:space="0" w:color="auto"/>
              <w:right w:val="single" w:sz="4" w:space="0" w:color="auto"/>
            </w:tcBorders>
            <w:vAlign w:val="center"/>
            <w:hideMark/>
          </w:tcPr>
          <w:p w14:paraId="1A3E2C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5650437000</w:t>
            </w:r>
          </w:p>
        </w:tc>
        <w:tc>
          <w:tcPr>
            <w:tcW w:w="1012" w:type="dxa"/>
            <w:tcBorders>
              <w:top w:val="nil"/>
              <w:left w:val="nil"/>
              <w:bottom w:val="single" w:sz="4" w:space="0" w:color="auto"/>
              <w:right w:val="single" w:sz="4" w:space="0" w:color="auto"/>
            </w:tcBorders>
            <w:vAlign w:val="center"/>
            <w:hideMark/>
          </w:tcPr>
          <w:p w14:paraId="5E3ACC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24909165</w:t>
            </w:r>
          </w:p>
        </w:tc>
        <w:tc>
          <w:tcPr>
            <w:tcW w:w="5953" w:type="dxa"/>
            <w:tcBorders>
              <w:top w:val="nil"/>
              <w:left w:val="nil"/>
              <w:bottom w:val="single" w:sz="4" w:space="0" w:color="auto"/>
              <w:right w:val="single" w:sz="4" w:space="0" w:color="auto"/>
            </w:tcBorders>
            <w:noWrap/>
            <w:vAlign w:val="center"/>
            <w:hideMark/>
          </w:tcPr>
          <w:p w14:paraId="10C9FC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KULTURNO PRIREDITVENI CENTER NARODNI DOM MARIBOR</w:t>
            </w:r>
          </w:p>
        </w:tc>
      </w:tr>
      <w:tr w:rsidR="00F24E18" w14:paraId="16BCD1D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7C44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759</w:t>
            </w:r>
          </w:p>
        </w:tc>
        <w:tc>
          <w:tcPr>
            <w:tcW w:w="1300" w:type="dxa"/>
            <w:tcBorders>
              <w:top w:val="nil"/>
              <w:left w:val="nil"/>
              <w:bottom w:val="single" w:sz="4" w:space="0" w:color="auto"/>
              <w:right w:val="single" w:sz="4" w:space="0" w:color="auto"/>
            </w:tcBorders>
            <w:vAlign w:val="center"/>
            <w:hideMark/>
          </w:tcPr>
          <w:p w14:paraId="42549B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5055849000</w:t>
            </w:r>
          </w:p>
        </w:tc>
        <w:tc>
          <w:tcPr>
            <w:tcW w:w="1012" w:type="dxa"/>
            <w:tcBorders>
              <w:top w:val="nil"/>
              <w:left w:val="nil"/>
              <w:bottom w:val="single" w:sz="4" w:space="0" w:color="auto"/>
              <w:right w:val="single" w:sz="4" w:space="0" w:color="auto"/>
            </w:tcBorders>
            <w:vAlign w:val="center"/>
            <w:hideMark/>
          </w:tcPr>
          <w:p w14:paraId="42D8CF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71668454</w:t>
            </w:r>
          </w:p>
        </w:tc>
        <w:tc>
          <w:tcPr>
            <w:tcW w:w="5953" w:type="dxa"/>
            <w:tcBorders>
              <w:top w:val="nil"/>
              <w:left w:val="nil"/>
              <w:bottom w:val="single" w:sz="4" w:space="0" w:color="auto"/>
              <w:right w:val="single" w:sz="4" w:space="0" w:color="auto"/>
            </w:tcBorders>
            <w:noWrap/>
            <w:vAlign w:val="center"/>
            <w:hideMark/>
          </w:tcPr>
          <w:p w14:paraId="128BC2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LAMBRECHTOV DOM, SLOVENSKE KONJICE</w:t>
            </w:r>
          </w:p>
        </w:tc>
      </w:tr>
      <w:tr w:rsidR="00F24E18" w14:paraId="563740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CC0F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760</w:t>
            </w:r>
          </w:p>
        </w:tc>
        <w:tc>
          <w:tcPr>
            <w:tcW w:w="1300" w:type="dxa"/>
            <w:tcBorders>
              <w:top w:val="nil"/>
              <w:left w:val="nil"/>
              <w:bottom w:val="single" w:sz="4" w:space="0" w:color="auto"/>
              <w:right w:val="single" w:sz="4" w:space="0" w:color="auto"/>
            </w:tcBorders>
            <w:noWrap/>
            <w:vAlign w:val="center"/>
            <w:hideMark/>
          </w:tcPr>
          <w:p w14:paraId="037FA4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5053498000</w:t>
            </w:r>
          </w:p>
        </w:tc>
        <w:tc>
          <w:tcPr>
            <w:tcW w:w="1012" w:type="dxa"/>
            <w:tcBorders>
              <w:top w:val="nil"/>
              <w:left w:val="nil"/>
              <w:bottom w:val="single" w:sz="4" w:space="0" w:color="auto"/>
              <w:right w:val="single" w:sz="4" w:space="0" w:color="auto"/>
            </w:tcBorders>
            <w:noWrap/>
            <w:vAlign w:val="center"/>
            <w:hideMark/>
          </w:tcPr>
          <w:p w14:paraId="52E89B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71037519</w:t>
            </w:r>
          </w:p>
        </w:tc>
        <w:tc>
          <w:tcPr>
            <w:tcW w:w="5953" w:type="dxa"/>
            <w:tcBorders>
              <w:top w:val="nil"/>
              <w:left w:val="nil"/>
              <w:bottom w:val="single" w:sz="4" w:space="0" w:color="auto"/>
              <w:right w:val="single" w:sz="4" w:space="0" w:color="auto"/>
            </w:tcBorders>
            <w:noWrap/>
            <w:vAlign w:val="center"/>
            <w:hideMark/>
          </w:tcPr>
          <w:p w14:paraId="408F58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AJDOVŠČINA</w:t>
            </w:r>
          </w:p>
        </w:tc>
      </w:tr>
      <w:tr w:rsidR="00F24E18" w14:paraId="31EA17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A0C3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761</w:t>
            </w:r>
          </w:p>
        </w:tc>
        <w:tc>
          <w:tcPr>
            <w:tcW w:w="1300" w:type="dxa"/>
            <w:tcBorders>
              <w:top w:val="nil"/>
              <w:left w:val="nil"/>
              <w:bottom w:val="single" w:sz="4" w:space="0" w:color="auto"/>
              <w:right w:val="single" w:sz="4" w:space="0" w:color="auto"/>
            </w:tcBorders>
            <w:noWrap/>
            <w:vAlign w:val="center"/>
            <w:hideMark/>
          </w:tcPr>
          <w:p w14:paraId="527BFF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5053510000</w:t>
            </w:r>
          </w:p>
        </w:tc>
        <w:tc>
          <w:tcPr>
            <w:tcW w:w="1012" w:type="dxa"/>
            <w:tcBorders>
              <w:top w:val="nil"/>
              <w:left w:val="nil"/>
              <w:bottom w:val="single" w:sz="4" w:space="0" w:color="auto"/>
              <w:right w:val="single" w:sz="4" w:space="0" w:color="auto"/>
            </w:tcBorders>
            <w:noWrap/>
            <w:vAlign w:val="center"/>
            <w:hideMark/>
          </w:tcPr>
          <w:p w14:paraId="7A16D8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68123302</w:t>
            </w:r>
          </w:p>
        </w:tc>
        <w:tc>
          <w:tcPr>
            <w:tcW w:w="5953" w:type="dxa"/>
            <w:tcBorders>
              <w:top w:val="nil"/>
              <w:left w:val="nil"/>
              <w:bottom w:val="single" w:sz="4" w:space="0" w:color="auto"/>
              <w:right w:val="single" w:sz="4" w:space="0" w:color="auto"/>
            </w:tcBorders>
            <w:noWrap/>
            <w:vAlign w:val="center"/>
            <w:hideMark/>
          </w:tcPr>
          <w:p w14:paraId="5979D4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BREŽICE</w:t>
            </w:r>
          </w:p>
        </w:tc>
      </w:tr>
      <w:tr w:rsidR="00F24E18" w14:paraId="5335EF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8187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762</w:t>
            </w:r>
          </w:p>
        </w:tc>
        <w:tc>
          <w:tcPr>
            <w:tcW w:w="1300" w:type="dxa"/>
            <w:tcBorders>
              <w:top w:val="nil"/>
              <w:left w:val="nil"/>
              <w:bottom w:val="single" w:sz="4" w:space="0" w:color="auto"/>
              <w:right w:val="single" w:sz="4" w:space="0" w:color="auto"/>
            </w:tcBorders>
            <w:noWrap/>
            <w:vAlign w:val="center"/>
            <w:hideMark/>
          </w:tcPr>
          <w:p w14:paraId="102BFF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5053749000</w:t>
            </w:r>
          </w:p>
        </w:tc>
        <w:tc>
          <w:tcPr>
            <w:tcW w:w="1012" w:type="dxa"/>
            <w:tcBorders>
              <w:top w:val="nil"/>
              <w:left w:val="nil"/>
              <w:bottom w:val="single" w:sz="4" w:space="0" w:color="auto"/>
              <w:right w:val="single" w:sz="4" w:space="0" w:color="auto"/>
            </w:tcBorders>
            <w:noWrap/>
            <w:vAlign w:val="center"/>
            <w:hideMark/>
          </w:tcPr>
          <w:p w14:paraId="02FB5A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26345137</w:t>
            </w:r>
          </w:p>
        </w:tc>
        <w:tc>
          <w:tcPr>
            <w:tcW w:w="5953" w:type="dxa"/>
            <w:tcBorders>
              <w:top w:val="nil"/>
              <w:left w:val="nil"/>
              <w:bottom w:val="single" w:sz="4" w:space="0" w:color="auto"/>
              <w:right w:val="single" w:sz="4" w:space="0" w:color="auto"/>
            </w:tcBorders>
            <w:noWrap/>
            <w:vAlign w:val="center"/>
            <w:hideMark/>
          </w:tcPr>
          <w:p w14:paraId="7FCF6A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KOČEVJE</w:t>
            </w:r>
          </w:p>
        </w:tc>
      </w:tr>
      <w:tr w:rsidR="00F24E18" w14:paraId="249AA2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3765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763</w:t>
            </w:r>
          </w:p>
        </w:tc>
        <w:tc>
          <w:tcPr>
            <w:tcW w:w="1300" w:type="dxa"/>
            <w:tcBorders>
              <w:top w:val="nil"/>
              <w:left w:val="nil"/>
              <w:bottom w:val="single" w:sz="4" w:space="0" w:color="auto"/>
              <w:right w:val="single" w:sz="4" w:space="0" w:color="auto"/>
            </w:tcBorders>
            <w:vAlign w:val="center"/>
            <w:hideMark/>
          </w:tcPr>
          <w:p w14:paraId="033B1A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5588090000</w:t>
            </w:r>
          </w:p>
        </w:tc>
        <w:tc>
          <w:tcPr>
            <w:tcW w:w="1012" w:type="dxa"/>
            <w:tcBorders>
              <w:top w:val="nil"/>
              <w:left w:val="nil"/>
              <w:bottom w:val="single" w:sz="4" w:space="0" w:color="auto"/>
              <w:right w:val="single" w:sz="4" w:space="0" w:color="auto"/>
            </w:tcBorders>
            <w:vAlign w:val="center"/>
            <w:hideMark/>
          </w:tcPr>
          <w:p w14:paraId="0D7A75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68619723</w:t>
            </w:r>
          </w:p>
        </w:tc>
        <w:tc>
          <w:tcPr>
            <w:tcW w:w="5953" w:type="dxa"/>
            <w:tcBorders>
              <w:top w:val="nil"/>
              <w:left w:val="nil"/>
              <w:bottom w:val="single" w:sz="4" w:space="0" w:color="auto"/>
              <w:right w:val="single" w:sz="4" w:space="0" w:color="auto"/>
            </w:tcBorders>
            <w:noWrap/>
            <w:vAlign w:val="center"/>
            <w:hideMark/>
          </w:tcPr>
          <w:p w14:paraId="2E08D9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MOZIRJE</w:t>
            </w:r>
          </w:p>
        </w:tc>
      </w:tr>
      <w:tr w:rsidR="00F24E18" w14:paraId="7EF8200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52C0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764</w:t>
            </w:r>
          </w:p>
        </w:tc>
        <w:tc>
          <w:tcPr>
            <w:tcW w:w="1300" w:type="dxa"/>
            <w:tcBorders>
              <w:top w:val="nil"/>
              <w:left w:val="nil"/>
              <w:bottom w:val="single" w:sz="4" w:space="0" w:color="auto"/>
              <w:right w:val="single" w:sz="4" w:space="0" w:color="auto"/>
            </w:tcBorders>
            <w:vAlign w:val="center"/>
            <w:hideMark/>
          </w:tcPr>
          <w:p w14:paraId="10A20B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5691150000</w:t>
            </w:r>
          </w:p>
        </w:tc>
        <w:tc>
          <w:tcPr>
            <w:tcW w:w="1012" w:type="dxa"/>
            <w:tcBorders>
              <w:top w:val="nil"/>
              <w:left w:val="nil"/>
              <w:bottom w:val="single" w:sz="4" w:space="0" w:color="auto"/>
              <w:right w:val="single" w:sz="4" w:space="0" w:color="auto"/>
            </w:tcBorders>
            <w:vAlign w:val="center"/>
            <w:hideMark/>
          </w:tcPr>
          <w:p w14:paraId="339D59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99876469</w:t>
            </w:r>
          </w:p>
        </w:tc>
        <w:tc>
          <w:tcPr>
            <w:tcW w:w="5953" w:type="dxa"/>
            <w:tcBorders>
              <w:top w:val="nil"/>
              <w:left w:val="nil"/>
              <w:bottom w:val="single" w:sz="4" w:space="0" w:color="auto"/>
              <w:right w:val="single" w:sz="4" w:space="0" w:color="auto"/>
            </w:tcBorders>
            <w:noWrap/>
            <w:vAlign w:val="center"/>
            <w:hideMark/>
          </w:tcPr>
          <w:p w14:paraId="367D46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ORMOŽ</w:t>
            </w:r>
          </w:p>
        </w:tc>
      </w:tr>
      <w:tr w:rsidR="00F24E18" w14:paraId="12E7E6D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F278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765</w:t>
            </w:r>
          </w:p>
        </w:tc>
        <w:tc>
          <w:tcPr>
            <w:tcW w:w="1300" w:type="dxa"/>
            <w:tcBorders>
              <w:top w:val="nil"/>
              <w:left w:val="nil"/>
              <w:bottom w:val="single" w:sz="4" w:space="0" w:color="auto"/>
              <w:right w:val="single" w:sz="4" w:space="0" w:color="auto"/>
            </w:tcBorders>
            <w:noWrap/>
            <w:vAlign w:val="center"/>
            <w:hideMark/>
          </w:tcPr>
          <w:p w14:paraId="63F92E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5753309000</w:t>
            </w:r>
          </w:p>
        </w:tc>
        <w:tc>
          <w:tcPr>
            <w:tcW w:w="1012" w:type="dxa"/>
            <w:tcBorders>
              <w:top w:val="nil"/>
              <w:left w:val="nil"/>
              <w:bottom w:val="single" w:sz="4" w:space="0" w:color="auto"/>
              <w:right w:val="single" w:sz="4" w:space="0" w:color="auto"/>
            </w:tcBorders>
            <w:noWrap/>
            <w:vAlign w:val="center"/>
            <w:hideMark/>
          </w:tcPr>
          <w:p w14:paraId="6969F6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85953075</w:t>
            </w:r>
          </w:p>
        </w:tc>
        <w:tc>
          <w:tcPr>
            <w:tcW w:w="5953" w:type="dxa"/>
            <w:tcBorders>
              <w:top w:val="nil"/>
              <w:left w:val="nil"/>
              <w:bottom w:val="single" w:sz="4" w:space="0" w:color="auto"/>
              <w:right w:val="single" w:sz="4" w:space="0" w:color="auto"/>
            </w:tcBorders>
            <w:noWrap/>
            <w:vAlign w:val="center"/>
            <w:hideMark/>
          </w:tcPr>
          <w:p w14:paraId="212B3D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RIBNICA</w:t>
            </w:r>
          </w:p>
        </w:tc>
      </w:tr>
      <w:tr w:rsidR="00F24E18" w14:paraId="74F4502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9067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766</w:t>
            </w:r>
          </w:p>
        </w:tc>
        <w:tc>
          <w:tcPr>
            <w:tcW w:w="1300" w:type="dxa"/>
            <w:tcBorders>
              <w:top w:val="nil"/>
              <w:left w:val="nil"/>
              <w:bottom w:val="single" w:sz="4" w:space="0" w:color="auto"/>
              <w:right w:val="single" w:sz="4" w:space="0" w:color="auto"/>
            </w:tcBorders>
            <w:vAlign w:val="center"/>
            <w:hideMark/>
          </w:tcPr>
          <w:p w14:paraId="6FE180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5054931000</w:t>
            </w:r>
          </w:p>
        </w:tc>
        <w:tc>
          <w:tcPr>
            <w:tcW w:w="1012" w:type="dxa"/>
            <w:tcBorders>
              <w:top w:val="nil"/>
              <w:left w:val="nil"/>
              <w:bottom w:val="single" w:sz="4" w:space="0" w:color="auto"/>
              <w:right w:val="single" w:sz="4" w:space="0" w:color="auto"/>
            </w:tcBorders>
            <w:vAlign w:val="center"/>
            <w:hideMark/>
          </w:tcPr>
          <w:p w14:paraId="38FAB8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58996974</w:t>
            </w:r>
          </w:p>
        </w:tc>
        <w:tc>
          <w:tcPr>
            <w:tcW w:w="5953" w:type="dxa"/>
            <w:tcBorders>
              <w:top w:val="nil"/>
              <w:left w:val="nil"/>
              <w:bottom w:val="single" w:sz="4" w:space="0" w:color="auto"/>
              <w:right w:val="single" w:sz="4" w:space="0" w:color="auto"/>
            </w:tcBorders>
            <w:noWrap/>
            <w:vAlign w:val="center"/>
            <w:hideMark/>
          </w:tcPr>
          <w:p w14:paraId="058907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SEVNICA</w:t>
            </w:r>
          </w:p>
        </w:tc>
      </w:tr>
      <w:tr w:rsidR="00F24E18" w14:paraId="68C600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B368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767</w:t>
            </w:r>
          </w:p>
        </w:tc>
        <w:tc>
          <w:tcPr>
            <w:tcW w:w="1300" w:type="dxa"/>
            <w:tcBorders>
              <w:top w:val="nil"/>
              <w:left w:val="nil"/>
              <w:bottom w:val="single" w:sz="4" w:space="0" w:color="auto"/>
              <w:right w:val="single" w:sz="4" w:space="0" w:color="auto"/>
            </w:tcBorders>
            <w:noWrap/>
            <w:vAlign w:val="center"/>
            <w:hideMark/>
          </w:tcPr>
          <w:p w14:paraId="0CC432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5054966000</w:t>
            </w:r>
          </w:p>
        </w:tc>
        <w:tc>
          <w:tcPr>
            <w:tcW w:w="1012" w:type="dxa"/>
            <w:tcBorders>
              <w:top w:val="nil"/>
              <w:left w:val="nil"/>
              <w:bottom w:val="single" w:sz="4" w:space="0" w:color="auto"/>
              <w:right w:val="single" w:sz="4" w:space="0" w:color="auto"/>
            </w:tcBorders>
            <w:noWrap/>
            <w:vAlign w:val="center"/>
            <w:hideMark/>
          </w:tcPr>
          <w:p w14:paraId="5DD72C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84301171</w:t>
            </w:r>
          </w:p>
        </w:tc>
        <w:tc>
          <w:tcPr>
            <w:tcW w:w="5953" w:type="dxa"/>
            <w:tcBorders>
              <w:top w:val="nil"/>
              <w:left w:val="nil"/>
              <w:bottom w:val="single" w:sz="4" w:space="0" w:color="auto"/>
              <w:right w:val="single" w:sz="4" w:space="0" w:color="auto"/>
            </w:tcBorders>
            <w:noWrap/>
            <w:vAlign w:val="center"/>
            <w:hideMark/>
          </w:tcPr>
          <w:p w14:paraId="22D88D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SLOVENSKA BISTRICA</w:t>
            </w:r>
          </w:p>
        </w:tc>
      </w:tr>
      <w:tr w:rsidR="00F24E18" w14:paraId="1A980EC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1557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768</w:t>
            </w:r>
          </w:p>
        </w:tc>
        <w:tc>
          <w:tcPr>
            <w:tcW w:w="1300" w:type="dxa"/>
            <w:tcBorders>
              <w:top w:val="nil"/>
              <w:left w:val="nil"/>
              <w:bottom w:val="single" w:sz="4" w:space="0" w:color="auto"/>
              <w:right w:val="single" w:sz="4" w:space="0" w:color="auto"/>
            </w:tcBorders>
            <w:noWrap/>
            <w:vAlign w:val="center"/>
            <w:hideMark/>
          </w:tcPr>
          <w:p w14:paraId="40D425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5820405000</w:t>
            </w:r>
          </w:p>
        </w:tc>
        <w:tc>
          <w:tcPr>
            <w:tcW w:w="1012" w:type="dxa"/>
            <w:tcBorders>
              <w:top w:val="nil"/>
              <w:left w:val="nil"/>
              <w:bottom w:val="single" w:sz="4" w:space="0" w:color="auto"/>
              <w:right w:val="single" w:sz="4" w:space="0" w:color="auto"/>
            </w:tcBorders>
            <w:noWrap/>
            <w:vAlign w:val="center"/>
            <w:hideMark/>
          </w:tcPr>
          <w:p w14:paraId="25A549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81195826</w:t>
            </w:r>
          </w:p>
        </w:tc>
        <w:tc>
          <w:tcPr>
            <w:tcW w:w="5953" w:type="dxa"/>
            <w:tcBorders>
              <w:top w:val="nil"/>
              <w:left w:val="nil"/>
              <w:bottom w:val="single" w:sz="4" w:space="0" w:color="auto"/>
              <w:right w:val="single" w:sz="4" w:space="0" w:color="auto"/>
            </w:tcBorders>
            <w:noWrap/>
            <w:vAlign w:val="center"/>
            <w:hideMark/>
          </w:tcPr>
          <w:p w14:paraId="50FD25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LEKARNA VELENJE</w:t>
            </w:r>
          </w:p>
        </w:tc>
      </w:tr>
      <w:tr w:rsidR="00F24E18" w14:paraId="4D0631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7B20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769</w:t>
            </w:r>
          </w:p>
        </w:tc>
        <w:tc>
          <w:tcPr>
            <w:tcW w:w="1300" w:type="dxa"/>
            <w:tcBorders>
              <w:top w:val="nil"/>
              <w:left w:val="nil"/>
              <w:bottom w:val="single" w:sz="4" w:space="0" w:color="auto"/>
              <w:right w:val="single" w:sz="4" w:space="0" w:color="auto"/>
            </w:tcBorders>
            <w:vAlign w:val="center"/>
            <w:hideMark/>
          </w:tcPr>
          <w:p w14:paraId="4CA69A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5054800000</w:t>
            </w:r>
          </w:p>
        </w:tc>
        <w:tc>
          <w:tcPr>
            <w:tcW w:w="1012" w:type="dxa"/>
            <w:tcBorders>
              <w:top w:val="nil"/>
              <w:left w:val="nil"/>
              <w:bottom w:val="single" w:sz="4" w:space="0" w:color="auto"/>
              <w:right w:val="single" w:sz="4" w:space="0" w:color="auto"/>
            </w:tcBorders>
            <w:vAlign w:val="center"/>
            <w:hideMark/>
          </w:tcPr>
          <w:p w14:paraId="2E8084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21691223</w:t>
            </w:r>
          </w:p>
        </w:tc>
        <w:tc>
          <w:tcPr>
            <w:tcW w:w="5953" w:type="dxa"/>
            <w:tcBorders>
              <w:top w:val="nil"/>
              <w:left w:val="nil"/>
              <w:bottom w:val="single" w:sz="4" w:space="0" w:color="auto"/>
              <w:right w:val="single" w:sz="4" w:space="0" w:color="auto"/>
            </w:tcBorders>
            <w:noWrap/>
            <w:vAlign w:val="center"/>
            <w:hideMark/>
          </w:tcPr>
          <w:p w14:paraId="137A11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LEKARNE PTUJ</w:t>
            </w:r>
          </w:p>
        </w:tc>
      </w:tr>
      <w:tr w:rsidR="00F24E18" w14:paraId="54F92FA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92F4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w:t>
            </w:r>
          </w:p>
        </w:tc>
        <w:tc>
          <w:tcPr>
            <w:tcW w:w="1300" w:type="dxa"/>
            <w:tcBorders>
              <w:top w:val="nil"/>
              <w:left w:val="nil"/>
              <w:bottom w:val="single" w:sz="4" w:space="0" w:color="auto"/>
              <w:right w:val="single" w:sz="4" w:space="0" w:color="auto"/>
            </w:tcBorders>
            <w:noWrap/>
            <w:vAlign w:val="center"/>
            <w:hideMark/>
          </w:tcPr>
          <w:p w14:paraId="7DCA91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5053897000</w:t>
            </w:r>
          </w:p>
        </w:tc>
        <w:tc>
          <w:tcPr>
            <w:tcW w:w="1012" w:type="dxa"/>
            <w:tcBorders>
              <w:top w:val="nil"/>
              <w:left w:val="nil"/>
              <w:bottom w:val="single" w:sz="4" w:space="0" w:color="auto"/>
              <w:right w:val="single" w:sz="4" w:space="0" w:color="auto"/>
            </w:tcBorders>
            <w:noWrap/>
            <w:vAlign w:val="center"/>
            <w:hideMark/>
          </w:tcPr>
          <w:p w14:paraId="5F2A48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32009933</w:t>
            </w:r>
          </w:p>
        </w:tc>
        <w:tc>
          <w:tcPr>
            <w:tcW w:w="5953" w:type="dxa"/>
            <w:tcBorders>
              <w:top w:val="nil"/>
              <w:left w:val="nil"/>
              <w:bottom w:val="single" w:sz="4" w:space="0" w:color="auto"/>
              <w:right w:val="single" w:sz="4" w:space="0" w:color="auto"/>
            </w:tcBorders>
            <w:noWrap/>
            <w:vAlign w:val="center"/>
            <w:hideMark/>
          </w:tcPr>
          <w:p w14:paraId="7435F4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LEKARNIŠKA ZBORNICA SLOVENIJE</w:t>
            </w:r>
          </w:p>
        </w:tc>
      </w:tr>
      <w:tr w:rsidR="00F24E18" w14:paraId="080CC6A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A6BF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771</w:t>
            </w:r>
          </w:p>
        </w:tc>
        <w:tc>
          <w:tcPr>
            <w:tcW w:w="1300" w:type="dxa"/>
            <w:tcBorders>
              <w:top w:val="nil"/>
              <w:left w:val="nil"/>
              <w:bottom w:val="single" w:sz="4" w:space="0" w:color="auto"/>
              <w:right w:val="single" w:sz="4" w:space="0" w:color="auto"/>
            </w:tcBorders>
            <w:noWrap/>
            <w:vAlign w:val="center"/>
            <w:hideMark/>
          </w:tcPr>
          <w:p w14:paraId="7611B3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5617413000</w:t>
            </w:r>
          </w:p>
        </w:tc>
        <w:tc>
          <w:tcPr>
            <w:tcW w:w="1012" w:type="dxa"/>
            <w:tcBorders>
              <w:top w:val="nil"/>
              <w:left w:val="nil"/>
              <w:bottom w:val="single" w:sz="4" w:space="0" w:color="auto"/>
              <w:right w:val="single" w:sz="4" w:space="0" w:color="auto"/>
            </w:tcBorders>
            <w:noWrap/>
            <w:vAlign w:val="center"/>
            <w:hideMark/>
          </w:tcPr>
          <w:p w14:paraId="202476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74652613</w:t>
            </w:r>
          </w:p>
        </w:tc>
        <w:tc>
          <w:tcPr>
            <w:tcW w:w="5953" w:type="dxa"/>
            <w:tcBorders>
              <w:top w:val="nil"/>
              <w:left w:val="nil"/>
              <w:bottom w:val="single" w:sz="4" w:space="0" w:color="auto"/>
              <w:right w:val="single" w:sz="4" w:space="0" w:color="auto"/>
            </w:tcBorders>
            <w:noWrap/>
            <w:vAlign w:val="center"/>
            <w:hideMark/>
          </w:tcPr>
          <w:p w14:paraId="31D9B5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KNJIŽNICA METLIKA</w:t>
            </w:r>
          </w:p>
        </w:tc>
      </w:tr>
      <w:tr w:rsidR="00F24E18" w14:paraId="4FD424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2CD3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772</w:t>
            </w:r>
          </w:p>
        </w:tc>
        <w:tc>
          <w:tcPr>
            <w:tcW w:w="1300" w:type="dxa"/>
            <w:tcBorders>
              <w:top w:val="nil"/>
              <w:left w:val="nil"/>
              <w:bottom w:val="single" w:sz="4" w:space="0" w:color="auto"/>
              <w:right w:val="single" w:sz="4" w:space="0" w:color="auto"/>
            </w:tcBorders>
            <w:noWrap/>
            <w:vAlign w:val="center"/>
            <w:hideMark/>
          </w:tcPr>
          <w:p w14:paraId="6BC613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1434233000</w:t>
            </w:r>
          </w:p>
        </w:tc>
        <w:tc>
          <w:tcPr>
            <w:tcW w:w="1012" w:type="dxa"/>
            <w:tcBorders>
              <w:top w:val="nil"/>
              <w:left w:val="nil"/>
              <w:bottom w:val="single" w:sz="4" w:space="0" w:color="auto"/>
              <w:right w:val="single" w:sz="4" w:space="0" w:color="auto"/>
            </w:tcBorders>
            <w:noWrap/>
            <w:vAlign w:val="center"/>
            <w:hideMark/>
          </w:tcPr>
          <w:p w14:paraId="28EBA4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88942767</w:t>
            </w:r>
          </w:p>
        </w:tc>
        <w:tc>
          <w:tcPr>
            <w:tcW w:w="5953" w:type="dxa"/>
            <w:tcBorders>
              <w:top w:val="nil"/>
              <w:left w:val="nil"/>
              <w:bottom w:val="single" w:sz="4" w:space="0" w:color="auto"/>
              <w:right w:val="single" w:sz="4" w:space="0" w:color="auto"/>
            </w:tcBorders>
            <w:noWrap/>
            <w:vAlign w:val="center"/>
            <w:hideMark/>
          </w:tcPr>
          <w:p w14:paraId="731D8D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AJDOVŠČINA</w:t>
            </w:r>
          </w:p>
        </w:tc>
      </w:tr>
      <w:tr w:rsidR="00F24E18" w14:paraId="3CAF3A5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7788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773</w:t>
            </w:r>
          </w:p>
        </w:tc>
        <w:tc>
          <w:tcPr>
            <w:tcW w:w="1300" w:type="dxa"/>
            <w:tcBorders>
              <w:top w:val="nil"/>
              <w:left w:val="nil"/>
              <w:bottom w:val="single" w:sz="4" w:space="0" w:color="auto"/>
              <w:right w:val="single" w:sz="4" w:space="0" w:color="auto"/>
            </w:tcBorders>
            <w:noWrap/>
            <w:vAlign w:val="center"/>
            <w:hideMark/>
          </w:tcPr>
          <w:p w14:paraId="3CBA5E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5051827000</w:t>
            </w:r>
          </w:p>
        </w:tc>
        <w:tc>
          <w:tcPr>
            <w:tcW w:w="1012" w:type="dxa"/>
            <w:tcBorders>
              <w:top w:val="nil"/>
              <w:left w:val="nil"/>
              <w:bottom w:val="single" w:sz="4" w:space="0" w:color="auto"/>
              <w:right w:val="single" w:sz="4" w:space="0" w:color="auto"/>
            </w:tcBorders>
            <w:vAlign w:val="center"/>
            <w:hideMark/>
          </w:tcPr>
          <w:p w14:paraId="54B7BE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59445181</w:t>
            </w:r>
          </w:p>
        </w:tc>
        <w:tc>
          <w:tcPr>
            <w:tcW w:w="5953" w:type="dxa"/>
            <w:tcBorders>
              <w:top w:val="nil"/>
              <w:left w:val="nil"/>
              <w:bottom w:val="single" w:sz="4" w:space="0" w:color="auto"/>
              <w:right w:val="single" w:sz="4" w:space="0" w:color="auto"/>
            </w:tcBorders>
            <w:noWrap/>
            <w:vAlign w:val="center"/>
            <w:hideMark/>
          </w:tcPr>
          <w:p w14:paraId="2814AF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CELJE</w:t>
            </w:r>
          </w:p>
        </w:tc>
      </w:tr>
      <w:tr w:rsidR="00F24E18" w14:paraId="36792BE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5D40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774</w:t>
            </w:r>
          </w:p>
        </w:tc>
        <w:tc>
          <w:tcPr>
            <w:tcW w:w="1300" w:type="dxa"/>
            <w:tcBorders>
              <w:top w:val="nil"/>
              <w:left w:val="nil"/>
              <w:bottom w:val="single" w:sz="4" w:space="0" w:color="auto"/>
              <w:right w:val="single" w:sz="4" w:space="0" w:color="auto"/>
            </w:tcBorders>
            <w:noWrap/>
            <w:vAlign w:val="center"/>
            <w:hideMark/>
          </w:tcPr>
          <w:p w14:paraId="797A40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5086582000</w:t>
            </w:r>
          </w:p>
        </w:tc>
        <w:tc>
          <w:tcPr>
            <w:tcW w:w="1012" w:type="dxa"/>
            <w:tcBorders>
              <w:top w:val="nil"/>
              <w:left w:val="nil"/>
              <w:bottom w:val="single" w:sz="4" w:space="0" w:color="auto"/>
              <w:right w:val="single" w:sz="4" w:space="0" w:color="auto"/>
            </w:tcBorders>
            <w:noWrap/>
            <w:vAlign w:val="center"/>
            <w:hideMark/>
          </w:tcPr>
          <w:p w14:paraId="620FAB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63033755</w:t>
            </w:r>
          </w:p>
        </w:tc>
        <w:tc>
          <w:tcPr>
            <w:tcW w:w="5953" w:type="dxa"/>
            <w:tcBorders>
              <w:top w:val="nil"/>
              <w:left w:val="nil"/>
              <w:bottom w:val="single" w:sz="4" w:space="0" w:color="auto"/>
              <w:right w:val="single" w:sz="4" w:space="0" w:color="auto"/>
            </w:tcBorders>
            <w:noWrap/>
            <w:vAlign w:val="center"/>
            <w:hideMark/>
          </w:tcPr>
          <w:p w14:paraId="0E38DC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JESENICE</w:t>
            </w:r>
          </w:p>
        </w:tc>
      </w:tr>
      <w:tr w:rsidR="00F24E18" w14:paraId="1FEB544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9636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775</w:t>
            </w:r>
          </w:p>
        </w:tc>
        <w:tc>
          <w:tcPr>
            <w:tcW w:w="1300" w:type="dxa"/>
            <w:tcBorders>
              <w:top w:val="nil"/>
              <w:left w:val="nil"/>
              <w:bottom w:val="single" w:sz="4" w:space="0" w:color="auto"/>
              <w:right w:val="single" w:sz="4" w:space="0" w:color="auto"/>
            </w:tcBorders>
            <w:noWrap/>
            <w:vAlign w:val="center"/>
            <w:hideMark/>
          </w:tcPr>
          <w:p w14:paraId="5ABC6B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5051959000</w:t>
            </w:r>
          </w:p>
        </w:tc>
        <w:tc>
          <w:tcPr>
            <w:tcW w:w="1012" w:type="dxa"/>
            <w:tcBorders>
              <w:top w:val="nil"/>
              <w:left w:val="nil"/>
              <w:bottom w:val="single" w:sz="4" w:space="0" w:color="auto"/>
              <w:right w:val="single" w:sz="4" w:space="0" w:color="auto"/>
            </w:tcBorders>
            <w:noWrap/>
            <w:vAlign w:val="center"/>
            <w:hideMark/>
          </w:tcPr>
          <w:p w14:paraId="0963DA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68719906</w:t>
            </w:r>
          </w:p>
        </w:tc>
        <w:tc>
          <w:tcPr>
            <w:tcW w:w="5953" w:type="dxa"/>
            <w:tcBorders>
              <w:top w:val="nil"/>
              <w:left w:val="nil"/>
              <w:bottom w:val="single" w:sz="4" w:space="0" w:color="auto"/>
              <w:right w:val="single" w:sz="4" w:space="0" w:color="auto"/>
            </w:tcBorders>
            <w:noWrap/>
            <w:vAlign w:val="center"/>
            <w:hideMark/>
          </w:tcPr>
          <w:p w14:paraId="56C6B3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KOPER UNIVERSITA' POPOLARE CAPODISTRIA</w:t>
            </w:r>
          </w:p>
        </w:tc>
      </w:tr>
      <w:tr w:rsidR="00F24E18" w14:paraId="5B82E3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0CD4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776</w:t>
            </w:r>
          </w:p>
        </w:tc>
        <w:tc>
          <w:tcPr>
            <w:tcW w:w="1300" w:type="dxa"/>
            <w:tcBorders>
              <w:top w:val="nil"/>
              <w:left w:val="nil"/>
              <w:bottom w:val="single" w:sz="4" w:space="0" w:color="auto"/>
              <w:right w:val="single" w:sz="4" w:space="0" w:color="auto"/>
            </w:tcBorders>
            <w:noWrap/>
            <w:vAlign w:val="center"/>
            <w:hideMark/>
          </w:tcPr>
          <w:p w14:paraId="614AA2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5051983000</w:t>
            </w:r>
          </w:p>
        </w:tc>
        <w:tc>
          <w:tcPr>
            <w:tcW w:w="1012" w:type="dxa"/>
            <w:tcBorders>
              <w:top w:val="nil"/>
              <w:left w:val="nil"/>
              <w:bottom w:val="single" w:sz="4" w:space="0" w:color="auto"/>
              <w:right w:val="single" w:sz="4" w:space="0" w:color="auto"/>
            </w:tcBorders>
            <w:noWrap/>
            <w:vAlign w:val="center"/>
            <w:hideMark/>
          </w:tcPr>
          <w:p w14:paraId="075BAA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87043726</w:t>
            </w:r>
          </w:p>
        </w:tc>
        <w:tc>
          <w:tcPr>
            <w:tcW w:w="5953" w:type="dxa"/>
            <w:tcBorders>
              <w:top w:val="nil"/>
              <w:left w:val="nil"/>
              <w:bottom w:val="single" w:sz="4" w:space="0" w:color="auto"/>
              <w:right w:val="single" w:sz="4" w:space="0" w:color="auto"/>
            </w:tcBorders>
            <w:noWrap/>
            <w:vAlign w:val="center"/>
            <w:hideMark/>
          </w:tcPr>
          <w:p w14:paraId="62AB2A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KRANJ, CENTER ZA IZOBRAŽEVANJE IN KULTURO</w:t>
            </w:r>
          </w:p>
        </w:tc>
      </w:tr>
      <w:tr w:rsidR="00F24E18" w14:paraId="7D9AE0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6EE3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777</w:t>
            </w:r>
          </w:p>
        </w:tc>
        <w:tc>
          <w:tcPr>
            <w:tcW w:w="1300" w:type="dxa"/>
            <w:tcBorders>
              <w:top w:val="nil"/>
              <w:left w:val="nil"/>
              <w:bottom w:val="single" w:sz="4" w:space="0" w:color="auto"/>
              <w:right w:val="single" w:sz="4" w:space="0" w:color="auto"/>
            </w:tcBorders>
            <w:noWrap/>
            <w:vAlign w:val="center"/>
            <w:hideMark/>
          </w:tcPr>
          <w:p w14:paraId="040834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5052181000</w:t>
            </w:r>
          </w:p>
        </w:tc>
        <w:tc>
          <w:tcPr>
            <w:tcW w:w="1012" w:type="dxa"/>
            <w:tcBorders>
              <w:top w:val="nil"/>
              <w:left w:val="nil"/>
              <w:bottom w:val="single" w:sz="4" w:space="0" w:color="auto"/>
              <w:right w:val="single" w:sz="4" w:space="0" w:color="auto"/>
            </w:tcBorders>
            <w:noWrap/>
            <w:vAlign w:val="center"/>
            <w:hideMark/>
          </w:tcPr>
          <w:p w14:paraId="49D4B0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44944209</w:t>
            </w:r>
          </w:p>
        </w:tc>
        <w:tc>
          <w:tcPr>
            <w:tcW w:w="5953" w:type="dxa"/>
            <w:tcBorders>
              <w:top w:val="nil"/>
              <w:left w:val="nil"/>
              <w:bottom w:val="single" w:sz="4" w:space="0" w:color="auto"/>
              <w:right w:val="single" w:sz="4" w:space="0" w:color="auto"/>
            </w:tcBorders>
            <w:noWrap/>
            <w:vAlign w:val="center"/>
            <w:hideMark/>
          </w:tcPr>
          <w:p w14:paraId="7F8DCA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NOVA GORICA</w:t>
            </w:r>
          </w:p>
        </w:tc>
      </w:tr>
      <w:tr w:rsidR="00F24E18" w14:paraId="0757DE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9079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778</w:t>
            </w:r>
          </w:p>
        </w:tc>
        <w:tc>
          <w:tcPr>
            <w:tcW w:w="1300" w:type="dxa"/>
            <w:tcBorders>
              <w:top w:val="nil"/>
              <w:left w:val="nil"/>
              <w:bottom w:val="single" w:sz="4" w:space="0" w:color="auto"/>
              <w:right w:val="single" w:sz="4" w:space="0" w:color="auto"/>
            </w:tcBorders>
            <w:noWrap/>
            <w:vAlign w:val="center"/>
            <w:hideMark/>
          </w:tcPr>
          <w:p w14:paraId="7698D0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5053234000</w:t>
            </w:r>
          </w:p>
        </w:tc>
        <w:tc>
          <w:tcPr>
            <w:tcW w:w="1012" w:type="dxa"/>
            <w:tcBorders>
              <w:top w:val="nil"/>
              <w:left w:val="nil"/>
              <w:bottom w:val="single" w:sz="4" w:space="0" w:color="auto"/>
              <w:right w:val="single" w:sz="4" w:space="0" w:color="auto"/>
            </w:tcBorders>
            <w:noWrap/>
            <w:vAlign w:val="center"/>
            <w:hideMark/>
          </w:tcPr>
          <w:p w14:paraId="5F89FC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78774047</w:t>
            </w:r>
          </w:p>
        </w:tc>
        <w:tc>
          <w:tcPr>
            <w:tcW w:w="5953" w:type="dxa"/>
            <w:tcBorders>
              <w:top w:val="nil"/>
              <w:left w:val="nil"/>
              <w:bottom w:val="single" w:sz="4" w:space="0" w:color="auto"/>
              <w:right w:val="single" w:sz="4" w:space="0" w:color="auto"/>
            </w:tcBorders>
            <w:noWrap/>
            <w:vAlign w:val="center"/>
            <w:hideMark/>
          </w:tcPr>
          <w:p w14:paraId="4BA4AB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RAVNE NA KOROŠKEM</w:t>
            </w:r>
          </w:p>
        </w:tc>
      </w:tr>
      <w:tr w:rsidR="00F24E18" w14:paraId="0E6A25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01BC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779</w:t>
            </w:r>
          </w:p>
        </w:tc>
        <w:tc>
          <w:tcPr>
            <w:tcW w:w="1300" w:type="dxa"/>
            <w:tcBorders>
              <w:top w:val="nil"/>
              <w:left w:val="nil"/>
              <w:bottom w:val="single" w:sz="4" w:space="0" w:color="auto"/>
              <w:right w:val="single" w:sz="4" w:space="0" w:color="auto"/>
            </w:tcBorders>
            <w:noWrap/>
            <w:vAlign w:val="center"/>
            <w:hideMark/>
          </w:tcPr>
          <w:p w14:paraId="4AA8C5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5052947000</w:t>
            </w:r>
          </w:p>
        </w:tc>
        <w:tc>
          <w:tcPr>
            <w:tcW w:w="1012" w:type="dxa"/>
            <w:tcBorders>
              <w:top w:val="nil"/>
              <w:left w:val="nil"/>
              <w:bottom w:val="single" w:sz="4" w:space="0" w:color="auto"/>
              <w:right w:val="single" w:sz="4" w:space="0" w:color="auto"/>
            </w:tcBorders>
            <w:vAlign w:val="center"/>
            <w:hideMark/>
          </w:tcPr>
          <w:p w14:paraId="47A036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55710263</w:t>
            </w:r>
          </w:p>
        </w:tc>
        <w:tc>
          <w:tcPr>
            <w:tcW w:w="5953" w:type="dxa"/>
            <w:tcBorders>
              <w:top w:val="nil"/>
              <w:left w:val="nil"/>
              <w:bottom w:val="single" w:sz="4" w:space="0" w:color="auto"/>
              <w:right w:val="single" w:sz="4" w:space="0" w:color="auto"/>
            </w:tcBorders>
            <w:noWrap/>
            <w:vAlign w:val="center"/>
            <w:hideMark/>
          </w:tcPr>
          <w:p w14:paraId="68548B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ŠKOFJA LOKA</w:t>
            </w:r>
          </w:p>
        </w:tc>
      </w:tr>
      <w:tr w:rsidR="00F24E18" w14:paraId="3F79CF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3978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780</w:t>
            </w:r>
          </w:p>
        </w:tc>
        <w:tc>
          <w:tcPr>
            <w:tcW w:w="1300" w:type="dxa"/>
            <w:tcBorders>
              <w:top w:val="nil"/>
              <w:left w:val="nil"/>
              <w:bottom w:val="single" w:sz="4" w:space="0" w:color="auto"/>
              <w:right w:val="single" w:sz="4" w:space="0" w:color="auto"/>
            </w:tcBorders>
            <w:noWrap/>
            <w:vAlign w:val="center"/>
            <w:hideMark/>
          </w:tcPr>
          <w:p w14:paraId="4CD37B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1451073000</w:t>
            </w:r>
          </w:p>
        </w:tc>
        <w:tc>
          <w:tcPr>
            <w:tcW w:w="1012" w:type="dxa"/>
            <w:tcBorders>
              <w:top w:val="nil"/>
              <w:left w:val="nil"/>
              <w:bottom w:val="single" w:sz="4" w:space="0" w:color="auto"/>
              <w:right w:val="single" w:sz="4" w:space="0" w:color="auto"/>
            </w:tcBorders>
            <w:noWrap/>
            <w:vAlign w:val="center"/>
            <w:hideMark/>
          </w:tcPr>
          <w:p w14:paraId="682F8D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52994643</w:t>
            </w:r>
          </w:p>
        </w:tc>
        <w:tc>
          <w:tcPr>
            <w:tcW w:w="5953" w:type="dxa"/>
            <w:tcBorders>
              <w:top w:val="nil"/>
              <w:left w:val="nil"/>
              <w:bottom w:val="single" w:sz="4" w:space="0" w:color="auto"/>
              <w:right w:val="single" w:sz="4" w:space="0" w:color="auto"/>
            </w:tcBorders>
            <w:noWrap/>
            <w:vAlign w:val="center"/>
            <w:hideMark/>
          </w:tcPr>
          <w:p w14:paraId="035719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TRŽIČ</w:t>
            </w:r>
          </w:p>
        </w:tc>
      </w:tr>
      <w:tr w:rsidR="00F24E18" w14:paraId="000D76C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19CA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781</w:t>
            </w:r>
          </w:p>
        </w:tc>
        <w:tc>
          <w:tcPr>
            <w:tcW w:w="1300" w:type="dxa"/>
            <w:tcBorders>
              <w:top w:val="nil"/>
              <w:left w:val="nil"/>
              <w:bottom w:val="single" w:sz="4" w:space="0" w:color="auto"/>
              <w:right w:val="single" w:sz="4" w:space="0" w:color="auto"/>
            </w:tcBorders>
            <w:noWrap/>
            <w:vAlign w:val="center"/>
            <w:hideMark/>
          </w:tcPr>
          <w:p w14:paraId="5B800C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5052971000</w:t>
            </w:r>
          </w:p>
        </w:tc>
        <w:tc>
          <w:tcPr>
            <w:tcW w:w="1012" w:type="dxa"/>
            <w:tcBorders>
              <w:top w:val="nil"/>
              <w:left w:val="nil"/>
              <w:bottom w:val="single" w:sz="4" w:space="0" w:color="auto"/>
              <w:right w:val="single" w:sz="4" w:space="0" w:color="auto"/>
            </w:tcBorders>
            <w:noWrap/>
            <w:vAlign w:val="center"/>
            <w:hideMark/>
          </w:tcPr>
          <w:p w14:paraId="5A7743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55131603</w:t>
            </w:r>
          </w:p>
        </w:tc>
        <w:tc>
          <w:tcPr>
            <w:tcW w:w="5953" w:type="dxa"/>
            <w:tcBorders>
              <w:top w:val="nil"/>
              <w:left w:val="nil"/>
              <w:bottom w:val="single" w:sz="4" w:space="0" w:color="auto"/>
              <w:right w:val="single" w:sz="4" w:space="0" w:color="auto"/>
            </w:tcBorders>
            <w:noWrap/>
            <w:vAlign w:val="center"/>
            <w:hideMark/>
          </w:tcPr>
          <w:p w14:paraId="2C6A2B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LJUDSKA UNIVERZA, ZAVOD ZA IZOBRAŽEVANJE IN KULTURO, ROGAŠKA SLATINA</w:t>
            </w:r>
          </w:p>
        </w:tc>
      </w:tr>
      <w:tr w:rsidR="00F24E18" w14:paraId="38E3F3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91B5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782</w:t>
            </w:r>
          </w:p>
        </w:tc>
        <w:tc>
          <w:tcPr>
            <w:tcW w:w="1300" w:type="dxa"/>
            <w:tcBorders>
              <w:top w:val="nil"/>
              <w:left w:val="nil"/>
              <w:bottom w:val="single" w:sz="4" w:space="0" w:color="auto"/>
              <w:right w:val="single" w:sz="4" w:space="0" w:color="auto"/>
            </w:tcBorders>
            <w:vAlign w:val="center"/>
            <w:hideMark/>
          </w:tcPr>
          <w:p w14:paraId="33E39B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3628663000</w:t>
            </w:r>
          </w:p>
        </w:tc>
        <w:tc>
          <w:tcPr>
            <w:tcW w:w="1012" w:type="dxa"/>
            <w:tcBorders>
              <w:top w:val="nil"/>
              <w:left w:val="nil"/>
              <w:bottom w:val="single" w:sz="4" w:space="0" w:color="auto"/>
              <w:right w:val="single" w:sz="4" w:space="0" w:color="auto"/>
            </w:tcBorders>
            <w:vAlign w:val="center"/>
            <w:hideMark/>
          </w:tcPr>
          <w:p w14:paraId="3DCF05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89010787</w:t>
            </w:r>
          </w:p>
        </w:tc>
        <w:tc>
          <w:tcPr>
            <w:tcW w:w="5953" w:type="dxa"/>
            <w:tcBorders>
              <w:top w:val="nil"/>
              <w:left w:val="nil"/>
              <w:bottom w:val="single" w:sz="4" w:space="0" w:color="auto"/>
              <w:right w:val="single" w:sz="4" w:space="0" w:color="auto"/>
            </w:tcBorders>
            <w:noWrap/>
            <w:vAlign w:val="center"/>
            <w:hideMark/>
          </w:tcPr>
          <w:p w14:paraId="4A1F96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LL GROSIST DRUŽBA ZA PRODAJO FARMACEVTSKIH, MEDICINSKIH IN DRUGIH PROIZVODOV NA DEBELO D.O.O.</w:t>
            </w:r>
          </w:p>
        </w:tc>
      </w:tr>
      <w:tr w:rsidR="00F24E18" w14:paraId="208D94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F752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783</w:t>
            </w:r>
          </w:p>
        </w:tc>
        <w:tc>
          <w:tcPr>
            <w:tcW w:w="1300" w:type="dxa"/>
            <w:tcBorders>
              <w:top w:val="nil"/>
              <w:left w:val="nil"/>
              <w:bottom w:val="single" w:sz="4" w:space="0" w:color="auto"/>
              <w:right w:val="single" w:sz="4" w:space="0" w:color="auto"/>
            </w:tcBorders>
            <w:noWrap/>
            <w:vAlign w:val="center"/>
            <w:hideMark/>
          </w:tcPr>
          <w:p w14:paraId="7A18CB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3531333000</w:t>
            </w:r>
          </w:p>
        </w:tc>
        <w:tc>
          <w:tcPr>
            <w:tcW w:w="1012" w:type="dxa"/>
            <w:tcBorders>
              <w:top w:val="nil"/>
              <w:left w:val="nil"/>
              <w:bottom w:val="single" w:sz="4" w:space="0" w:color="auto"/>
              <w:right w:val="single" w:sz="4" w:space="0" w:color="auto"/>
            </w:tcBorders>
            <w:noWrap/>
            <w:vAlign w:val="center"/>
            <w:hideMark/>
          </w:tcPr>
          <w:p w14:paraId="245386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83738975</w:t>
            </w:r>
          </w:p>
        </w:tc>
        <w:tc>
          <w:tcPr>
            <w:tcW w:w="5953" w:type="dxa"/>
            <w:tcBorders>
              <w:top w:val="nil"/>
              <w:left w:val="nil"/>
              <w:bottom w:val="single" w:sz="4" w:space="0" w:color="auto"/>
              <w:right w:val="single" w:sz="4" w:space="0" w:color="auto"/>
            </w:tcBorders>
            <w:noWrap/>
            <w:vAlign w:val="center"/>
            <w:hideMark/>
          </w:tcPr>
          <w:p w14:paraId="3360B8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LOKALNA ENERGETSKA AGENCIJA GORENJSKE</w:t>
            </w:r>
          </w:p>
        </w:tc>
      </w:tr>
      <w:tr w:rsidR="00F24E18" w14:paraId="5C912D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873F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784</w:t>
            </w:r>
          </w:p>
        </w:tc>
        <w:tc>
          <w:tcPr>
            <w:tcW w:w="1300" w:type="dxa"/>
            <w:tcBorders>
              <w:top w:val="nil"/>
              <w:left w:val="nil"/>
              <w:bottom w:val="single" w:sz="4" w:space="0" w:color="auto"/>
              <w:right w:val="single" w:sz="4" w:space="0" w:color="auto"/>
            </w:tcBorders>
            <w:noWrap/>
            <w:vAlign w:val="center"/>
            <w:hideMark/>
          </w:tcPr>
          <w:p w14:paraId="499930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5052955000</w:t>
            </w:r>
          </w:p>
        </w:tc>
        <w:tc>
          <w:tcPr>
            <w:tcW w:w="1012" w:type="dxa"/>
            <w:tcBorders>
              <w:top w:val="nil"/>
              <w:left w:val="nil"/>
              <w:bottom w:val="single" w:sz="4" w:space="0" w:color="auto"/>
              <w:right w:val="single" w:sz="4" w:space="0" w:color="auto"/>
            </w:tcBorders>
            <w:noWrap/>
            <w:vAlign w:val="center"/>
            <w:hideMark/>
          </w:tcPr>
          <w:p w14:paraId="14EB90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27805476</w:t>
            </w:r>
          </w:p>
        </w:tc>
        <w:tc>
          <w:tcPr>
            <w:tcW w:w="5953" w:type="dxa"/>
            <w:tcBorders>
              <w:top w:val="nil"/>
              <w:left w:val="nil"/>
              <w:bottom w:val="single" w:sz="4" w:space="0" w:color="auto"/>
              <w:right w:val="single" w:sz="4" w:space="0" w:color="auto"/>
            </w:tcBorders>
            <w:noWrap/>
            <w:vAlign w:val="center"/>
            <w:hideMark/>
          </w:tcPr>
          <w:p w14:paraId="2C0F28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LOŠKI MUZEJ ŠKOFJA LOKA</w:t>
            </w:r>
          </w:p>
        </w:tc>
      </w:tr>
      <w:tr w:rsidR="00F24E18" w14:paraId="482AF7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8316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785</w:t>
            </w:r>
          </w:p>
        </w:tc>
        <w:tc>
          <w:tcPr>
            <w:tcW w:w="1300" w:type="dxa"/>
            <w:tcBorders>
              <w:top w:val="nil"/>
              <w:left w:val="nil"/>
              <w:bottom w:val="single" w:sz="4" w:space="0" w:color="auto"/>
              <w:right w:val="single" w:sz="4" w:space="0" w:color="auto"/>
            </w:tcBorders>
            <w:vAlign w:val="center"/>
            <w:hideMark/>
          </w:tcPr>
          <w:p w14:paraId="67F948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5287073000</w:t>
            </w:r>
          </w:p>
        </w:tc>
        <w:tc>
          <w:tcPr>
            <w:tcW w:w="1012" w:type="dxa"/>
            <w:tcBorders>
              <w:top w:val="nil"/>
              <w:left w:val="nil"/>
              <w:bottom w:val="single" w:sz="4" w:space="0" w:color="auto"/>
              <w:right w:val="single" w:sz="4" w:space="0" w:color="auto"/>
            </w:tcBorders>
            <w:vAlign w:val="center"/>
            <w:hideMark/>
          </w:tcPr>
          <w:p w14:paraId="6167D9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76709426</w:t>
            </w:r>
          </w:p>
        </w:tc>
        <w:tc>
          <w:tcPr>
            <w:tcW w:w="5953" w:type="dxa"/>
            <w:tcBorders>
              <w:top w:val="nil"/>
              <w:left w:val="nil"/>
              <w:bottom w:val="single" w:sz="4" w:space="0" w:color="auto"/>
              <w:right w:val="single" w:sz="4" w:space="0" w:color="auto"/>
            </w:tcBorders>
            <w:noWrap/>
            <w:vAlign w:val="center"/>
            <w:hideMark/>
          </w:tcPr>
          <w:p w14:paraId="6805F8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LTH CASTINGS, ULITKI D.O.O.</w:t>
            </w:r>
          </w:p>
        </w:tc>
      </w:tr>
      <w:tr w:rsidR="00F24E18" w14:paraId="75D871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5B84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786</w:t>
            </w:r>
          </w:p>
        </w:tc>
        <w:tc>
          <w:tcPr>
            <w:tcW w:w="1300" w:type="dxa"/>
            <w:tcBorders>
              <w:top w:val="nil"/>
              <w:left w:val="nil"/>
              <w:bottom w:val="single" w:sz="4" w:space="0" w:color="auto"/>
              <w:right w:val="single" w:sz="4" w:space="0" w:color="auto"/>
            </w:tcBorders>
            <w:vAlign w:val="center"/>
            <w:hideMark/>
          </w:tcPr>
          <w:p w14:paraId="58F8E1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5918707000</w:t>
            </w:r>
          </w:p>
        </w:tc>
        <w:tc>
          <w:tcPr>
            <w:tcW w:w="1012" w:type="dxa"/>
            <w:tcBorders>
              <w:top w:val="nil"/>
              <w:left w:val="nil"/>
              <w:bottom w:val="single" w:sz="4" w:space="0" w:color="auto"/>
              <w:right w:val="single" w:sz="4" w:space="0" w:color="auto"/>
            </w:tcBorders>
            <w:vAlign w:val="center"/>
            <w:hideMark/>
          </w:tcPr>
          <w:p w14:paraId="5EE442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73047813</w:t>
            </w:r>
          </w:p>
        </w:tc>
        <w:tc>
          <w:tcPr>
            <w:tcW w:w="5953" w:type="dxa"/>
            <w:tcBorders>
              <w:top w:val="nil"/>
              <w:left w:val="nil"/>
              <w:bottom w:val="single" w:sz="4" w:space="0" w:color="auto"/>
              <w:right w:val="single" w:sz="4" w:space="0" w:color="auto"/>
            </w:tcBorders>
            <w:noWrap/>
            <w:vAlign w:val="center"/>
            <w:hideMark/>
          </w:tcPr>
          <w:p w14:paraId="75D48A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LUKA KOPER INPO - INVALIDSKO PODJETJE, D.O.O., GRADBENIŠTVO, PROIZVODNE IN DRUGE STORITVE V KOPENSKEM IN VODNEM PROMETU, INVALIDSKA DEJAVNOST.</w:t>
            </w:r>
          </w:p>
        </w:tc>
      </w:tr>
      <w:tr w:rsidR="00F24E18" w14:paraId="67A9B4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8347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787</w:t>
            </w:r>
          </w:p>
        </w:tc>
        <w:tc>
          <w:tcPr>
            <w:tcW w:w="1300" w:type="dxa"/>
            <w:tcBorders>
              <w:top w:val="nil"/>
              <w:left w:val="nil"/>
              <w:bottom w:val="single" w:sz="4" w:space="0" w:color="auto"/>
              <w:right w:val="single" w:sz="4" w:space="0" w:color="auto"/>
            </w:tcBorders>
            <w:vAlign w:val="center"/>
            <w:hideMark/>
          </w:tcPr>
          <w:p w14:paraId="465D8D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5144353000</w:t>
            </w:r>
          </w:p>
        </w:tc>
        <w:tc>
          <w:tcPr>
            <w:tcW w:w="1012" w:type="dxa"/>
            <w:tcBorders>
              <w:top w:val="nil"/>
              <w:left w:val="nil"/>
              <w:bottom w:val="single" w:sz="4" w:space="0" w:color="auto"/>
              <w:right w:val="single" w:sz="4" w:space="0" w:color="auto"/>
            </w:tcBorders>
            <w:vAlign w:val="center"/>
            <w:hideMark/>
          </w:tcPr>
          <w:p w14:paraId="0DF9CE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89190033</w:t>
            </w:r>
          </w:p>
        </w:tc>
        <w:tc>
          <w:tcPr>
            <w:tcW w:w="5953" w:type="dxa"/>
            <w:tcBorders>
              <w:top w:val="nil"/>
              <w:left w:val="nil"/>
              <w:bottom w:val="single" w:sz="4" w:space="0" w:color="auto"/>
              <w:right w:val="single" w:sz="4" w:space="0" w:color="auto"/>
            </w:tcBorders>
            <w:noWrap/>
            <w:vAlign w:val="center"/>
            <w:hideMark/>
          </w:tcPr>
          <w:p w14:paraId="43607D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LUKA KOPER, PRISTANIŠKI IN LOGISTIČNI SISTEM, DELNIŠKA DRUŽBA</w:t>
            </w:r>
          </w:p>
        </w:tc>
      </w:tr>
      <w:tr w:rsidR="00F24E18" w14:paraId="6170AF2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7CE5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788</w:t>
            </w:r>
          </w:p>
        </w:tc>
        <w:tc>
          <w:tcPr>
            <w:tcW w:w="1300" w:type="dxa"/>
            <w:tcBorders>
              <w:top w:val="nil"/>
              <w:left w:val="nil"/>
              <w:bottom w:val="single" w:sz="4" w:space="0" w:color="auto"/>
              <w:right w:val="single" w:sz="4" w:space="0" w:color="auto"/>
            </w:tcBorders>
            <w:vAlign w:val="center"/>
            <w:hideMark/>
          </w:tcPr>
          <w:p w14:paraId="768939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5056756000</w:t>
            </w:r>
          </w:p>
        </w:tc>
        <w:tc>
          <w:tcPr>
            <w:tcW w:w="1012" w:type="dxa"/>
            <w:tcBorders>
              <w:top w:val="nil"/>
              <w:left w:val="nil"/>
              <w:bottom w:val="single" w:sz="4" w:space="0" w:color="auto"/>
              <w:right w:val="single" w:sz="4" w:space="0" w:color="auto"/>
            </w:tcBorders>
            <w:vAlign w:val="center"/>
            <w:hideMark/>
          </w:tcPr>
          <w:p w14:paraId="0968FA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87016362</w:t>
            </w:r>
          </w:p>
        </w:tc>
        <w:tc>
          <w:tcPr>
            <w:tcW w:w="5953" w:type="dxa"/>
            <w:tcBorders>
              <w:top w:val="nil"/>
              <w:left w:val="nil"/>
              <w:bottom w:val="single" w:sz="4" w:space="0" w:color="auto"/>
              <w:right w:val="single" w:sz="4" w:space="0" w:color="auto"/>
            </w:tcBorders>
            <w:noWrap/>
            <w:vAlign w:val="center"/>
            <w:hideMark/>
          </w:tcPr>
          <w:p w14:paraId="1B5330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LUTKOVNO GLEDALIŠČE LJUBLJANA</w:t>
            </w:r>
          </w:p>
        </w:tc>
      </w:tr>
      <w:tr w:rsidR="00F24E18" w14:paraId="6A66FF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FD03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789</w:t>
            </w:r>
          </w:p>
        </w:tc>
        <w:tc>
          <w:tcPr>
            <w:tcW w:w="1300" w:type="dxa"/>
            <w:tcBorders>
              <w:top w:val="nil"/>
              <w:left w:val="nil"/>
              <w:bottom w:val="single" w:sz="4" w:space="0" w:color="auto"/>
              <w:right w:val="single" w:sz="4" w:space="0" w:color="auto"/>
            </w:tcBorders>
            <w:noWrap/>
            <w:vAlign w:val="center"/>
            <w:hideMark/>
          </w:tcPr>
          <w:p w14:paraId="177B26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5103959000</w:t>
            </w:r>
          </w:p>
        </w:tc>
        <w:tc>
          <w:tcPr>
            <w:tcW w:w="1012" w:type="dxa"/>
            <w:tcBorders>
              <w:top w:val="nil"/>
              <w:left w:val="nil"/>
              <w:bottom w:val="single" w:sz="4" w:space="0" w:color="auto"/>
              <w:right w:val="single" w:sz="4" w:space="0" w:color="auto"/>
            </w:tcBorders>
            <w:noWrap/>
            <w:vAlign w:val="center"/>
            <w:hideMark/>
          </w:tcPr>
          <w:p w14:paraId="6A86AB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39815480</w:t>
            </w:r>
          </w:p>
        </w:tc>
        <w:tc>
          <w:tcPr>
            <w:tcW w:w="5953" w:type="dxa"/>
            <w:tcBorders>
              <w:top w:val="nil"/>
              <w:left w:val="nil"/>
              <w:bottom w:val="single" w:sz="4" w:space="0" w:color="auto"/>
              <w:right w:val="single" w:sz="4" w:space="0" w:color="auto"/>
            </w:tcBorders>
            <w:noWrap/>
            <w:vAlign w:val="center"/>
            <w:hideMark/>
          </w:tcPr>
          <w:p w14:paraId="4B6E88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LUTKOVNO GLEDALIŠČE MARIBOR</w:t>
            </w:r>
          </w:p>
        </w:tc>
      </w:tr>
      <w:tr w:rsidR="00F24E18" w14:paraId="7F63A2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5DAC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790</w:t>
            </w:r>
          </w:p>
        </w:tc>
        <w:tc>
          <w:tcPr>
            <w:tcW w:w="1300" w:type="dxa"/>
            <w:tcBorders>
              <w:top w:val="nil"/>
              <w:left w:val="nil"/>
              <w:bottom w:val="single" w:sz="4" w:space="0" w:color="auto"/>
              <w:right w:val="single" w:sz="4" w:space="0" w:color="auto"/>
            </w:tcBorders>
            <w:noWrap/>
            <w:vAlign w:val="center"/>
            <w:hideMark/>
          </w:tcPr>
          <w:p w14:paraId="009D6E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5055636000</w:t>
            </w:r>
          </w:p>
        </w:tc>
        <w:tc>
          <w:tcPr>
            <w:tcW w:w="1012" w:type="dxa"/>
            <w:tcBorders>
              <w:top w:val="nil"/>
              <w:left w:val="nil"/>
              <w:bottom w:val="single" w:sz="4" w:space="0" w:color="auto"/>
              <w:right w:val="single" w:sz="4" w:space="0" w:color="auto"/>
            </w:tcBorders>
            <w:noWrap/>
            <w:vAlign w:val="center"/>
            <w:hideMark/>
          </w:tcPr>
          <w:p w14:paraId="329487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99698722</w:t>
            </w:r>
          </w:p>
        </w:tc>
        <w:tc>
          <w:tcPr>
            <w:tcW w:w="5953" w:type="dxa"/>
            <w:tcBorders>
              <w:top w:val="nil"/>
              <w:left w:val="nil"/>
              <w:bottom w:val="single" w:sz="4" w:space="0" w:color="auto"/>
              <w:right w:val="single" w:sz="4" w:space="0" w:color="auto"/>
            </w:tcBorders>
            <w:noWrap/>
            <w:vAlign w:val="center"/>
            <w:hideMark/>
          </w:tcPr>
          <w:p w14:paraId="070FAC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MARIBORSKA KNJIŽNICA MARIBOR PUBLIC LIBRARY</w:t>
            </w:r>
          </w:p>
        </w:tc>
      </w:tr>
      <w:tr w:rsidR="00F24E18" w14:paraId="34F9FE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6388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791</w:t>
            </w:r>
          </w:p>
        </w:tc>
        <w:tc>
          <w:tcPr>
            <w:tcW w:w="1300" w:type="dxa"/>
            <w:tcBorders>
              <w:top w:val="nil"/>
              <w:left w:val="nil"/>
              <w:bottom w:val="single" w:sz="4" w:space="0" w:color="auto"/>
              <w:right w:val="single" w:sz="4" w:space="0" w:color="auto"/>
            </w:tcBorders>
            <w:noWrap/>
            <w:vAlign w:val="center"/>
            <w:hideMark/>
          </w:tcPr>
          <w:p w14:paraId="017545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5067880000</w:t>
            </w:r>
          </w:p>
        </w:tc>
        <w:tc>
          <w:tcPr>
            <w:tcW w:w="1012" w:type="dxa"/>
            <w:tcBorders>
              <w:top w:val="nil"/>
              <w:left w:val="nil"/>
              <w:bottom w:val="single" w:sz="4" w:space="0" w:color="auto"/>
              <w:right w:val="single" w:sz="4" w:space="0" w:color="auto"/>
            </w:tcBorders>
            <w:noWrap/>
            <w:vAlign w:val="center"/>
            <w:hideMark/>
          </w:tcPr>
          <w:p w14:paraId="0AF6C2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68041527</w:t>
            </w:r>
          </w:p>
        </w:tc>
        <w:tc>
          <w:tcPr>
            <w:tcW w:w="5953" w:type="dxa"/>
            <w:tcBorders>
              <w:top w:val="nil"/>
              <w:left w:val="nil"/>
              <w:bottom w:val="single" w:sz="4" w:space="0" w:color="auto"/>
              <w:right w:val="single" w:sz="4" w:space="0" w:color="auto"/>
            </w:tcBorders>
            <w:noWrap/>
            <w:vAlign w:val="center"/>
            <w:hideMark/>
          </w:tcPr>
          <w:p w14:paraId="379D9F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MARIBORSKI VODOVOD, JAVNO PODJETJE, D.O.O.</w:t>
            </w:r>
          </w:p>
        </w:tc>
      </w:tr>
      <w:tr w:rsidR="00F24E18" w14:paraId="7DFE97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A3DF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792</w:t>
            </w:r>
          </w:p>
        </w:tc>
        <w:tc>
          <w:tcPr>
            <w:tcW w:w="1300" w:type="dxa"/>
            <w:tcBorders>
              <w:top w:val="nil"/>
              <w:left w:val="nil"/>
              <w:bottom w:val="single" w:sz="4" w:space="0" w:color="auto"/>
              <w:right w:val="single" w:sz="4" w:space="0" w:color="auto"/>
            </w:tcBorders>
            <w:noWrap/>
            <w:vAlign w:val="center"/>
            <w:hideMark/>
          </w:tcPr>
          <w:p w14:paraId="2AC48A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2213818000</w:t>
            </w:r>
          </w:p>
        </w:tc>
        <w:tc>
          <w:tcPr>
            <w:tcW w:w="1012" w:type="dxa"/>
            <w:tcBorders>
              <w:top w:val="nil"/>
              <w:left w:val="nil"/>
              <w:bottom w:val="single" w:sz="4" w:space="0" w:color="auto"/>
              <w:right w:val="single" w:sz="4" w:space="0" w:color="auto"/>
            </w:tcBorders>
            <w:noWrap/>
            <w:vAlign w:val="center"/>
            <w:hideMark/>
          </w:tcPr>
          <w:p w14:paraId="50FB8B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95628428</w:t>
            </w:r>
          </w:p>
        </w:tc>
        <w:tc>
          <w:tcPr>
            <w:tcW w:w="5953" w:type="dxa"/>
            <w:tcBorders>
              <w:top w:val="nil"/>
              <w:left w:val="nil"/>
              <w:bottom w:val="single" w:sz="4" w:space="0" w:color="auto"/>
              <w:right w:val="single" w:sz="4" w:space="0" w:color="auto"/>
            </w:tcBorders>
            <w:noWrap/>
            <w:vAlign w:val="center"/>
            <w:hideMark/>
          </w:tcPr>
          <w:p w14:paraId="5D220A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MEDNARODNA FAKULTETA ZA DRUŽBENE IN POSLOVNE ŠTUDIJE</w:t>
            </w:r>
          </w:p>
        </w:tc>
      </w:tr>
      <w:tr w:rsidR="00F24E18" w14:paraId="679B1EF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025C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793</w:t>
            </w:r>
          </w:p>
        </w:tc>
        <w:tc>
          <w:tcPr>
            <w:tcW w:w="1300" w:type="dxa"/>
            <w:tcBorders>
              <w:top w:val="nil"/>
              <w:left w:val="nil"/>
              <w:bottom w:val="single" w:sz="4" w:space="0" w:color="auto"/>
              <w:right w:val="single" w:sz="4" w:space="0" w:color="auto"/>
            </w:tcBorders>
            <w:noWrap/>
            <w:vAlign w:val="center"/>
            <w:hideMark/>
          </w:tcPr>
          <w:p w14:paraId="14AC02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1708520000</w:t>
            </w:r>
          </w:p>
        </w:tc>
        <w:tc>
          <w:tcPr>
            <w:tcW w:w="1012" w:type="dxa"/>
            <w:tcBorders>
              <w:top w:val="nil"/>
              <w:left w:val="nil"/>
              <w:bottom w:val="single" w:sz="4" w:space="0" w:color="auto"/>
              <w:right w:val="single" w:sz="4" w:space="0" w:color="auto"/>
            </w:tcBorders>
            <w:noWrap/>
            <w:vAlign w:val="center"/>
            <w:hideMark/>
          </w:tcPr>
          <w:p w14:paraId="25D73B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41123506</w:t>
            </w:r>
          </w:p>
        </w:tc>
        <w:tc>
          <w:tcPr>
            <w:tcW w:w="5953" w:type="dxa"/>
            <w:tcBorders>
              <w:top w:val="nil"/>
              <w:left w:val="nil"/>
              <w:bottom w:val="single" w:sz="4" w:space="0" w:color="auto"/>
              <w:right w:val="single" w:sz="4" w:space="0" w:color="auto"/>
            </w:tcBorders>
            <w:noWrap/>
            <w:vAlign w:val="center"/>
            <w:hideMark/>
          </w:tcPr>
          <w:p w14:paraId="4D2034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MEDOBČINSKA SPLOŠNA KNJIŽNICA ŽALEC</w:t>
            </w:r>
          </w:p>
        </w:tc>
      </w:tr>
      <w:tr w:rsidR="00F24E18" w14:paraId="7B1832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FF02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794</w:t>
            </w:r>
          </w:p>
        </w:tc>
        <w:tc>
          <w:tcPr>
            <w:tcW w:w="1300" w:type="dxa"/>
            <w:tcBorders>
              <w:top w:val="nil"/>
              <w:left w:val="nil"/>
              <w:bottom w:val="single" w:sz="4" w:space="0" w:color="auto"/>
              <w:right w:val="single" w:sz="4" w:space="0" w:color="auto"/>
            </w:tcBorders>
            <w:vAlign w:val="center"/>
            <w:hideMark/>
          </w:tcPr>
          <w:p w14:paraId="060657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2482509000</w:t>
            </w:r>
          </w:p>
        </w:tc>
        <w:tc>
          <w:tcPr>
            <w:tcW w:w="1012" w:type="dxa"/>
            <w:tcBorders>
              <w:top w:val="nil"/>
              <w:left w:val="nil"/>
              <w:bottom w:val="single" w:sz="4" w:space="0" w:color="auto"/>
              <w:right w:val="single" w:sz="4" w:space="0" w:color="auto"/>
            </w:tcBorders>
            <w:vAlign w:val="center"/>
            <w:hideMark/>
          </w:tcPr>
          <w:p w14:paraId="3C52B6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28733673</w:t>
            </w:r>
          </w:p>
        </w:tc>
        <w:tc>
          <w:tcPr>
            <w:tcW w:w="5953" w:type="dxa"/>
            <w:tcBorders>
              <w:top w:val="nil"/>
              <w:left w:val="nil"/>
              <w:bottom w:val="single" w:sz="4" w:space="0" w:color="auto"/>
              <w:right w:val="single" w:sz="4" w:space="0" w:color="auto"/>
            </w:tcBorders>
            <w:noWrap/>
            <w:vAlign w:val="center"/>
            <w:hideMark/>
          </w:tcPr>
          <w:p w14:paraId="4C33D2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MEDOBČINSKA UPRAVA OBČIN BOVEC, KOBARID, TOLMIN IN KANAL OB SOČI</w:t>
            </w:r>
          </w:p>
        </w:tc>
      </w:tr>
      <w:tr w:rsidR="00F24E18" w14:paraId="755568C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64F0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795</w:t>
            </w:r>
          </w:p>
        </w:tc>
        <w:tc>
          <w:tcPr>
            <w:tcW w:w="1300" w:type="dxa"/>
            <w:tcBorders>
              <w:top w:val="nil"/>
              <w:left w:val="nil"/>
              <w:bottom w:val="single" w:sz="4" w:space="0" w:color="auto"/>
              <w:right w:val="single" w:sz="4" w:space="0" w:color="auto"/>
            </w:tcBorders>
            <w:noWrap/>
            <w:vAlign w:val="center"/>
            <w:hideMark/>
          </w:tcPr>
          <w:p w14:paraId="3D6D33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5095417000</w:t>
            </w:r>
          </w:p>
        </w:tc>
        <w:tc>
          <w:tcPr>
            <w:tcW w:w="1012" w:type="dxa"/>
            <w:tcBorders>
              <w:top w:val="nil"/>
              <w:left w:val="nil"/>
              <w:bottom w:val="single" w:sz="4" w:space="0" w:color="auto"/>
              <w:right w:val="single" w:sz="4" w:space="0" w:color="auto"/>
            </w:tcBorders>
            <w:noWrap/>
            <w:vAlign w:val="center"/>
            <w:hideMark/>
          </w:tcPr>
          <w:p w14:paraId="215048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92474519</w:t>
            </w:r>
          </w:p>
        </w:tc>
        <w:tc>
          <w:tcPr>
            <w:tcW w:w="5953" w:type="dxa"/>
            <w:tcBorders>
              <w:top w:val="nil"/>
              <w:left w:val="nil"/>
              <w:bottom w:val="single" w:sz="4" w:space="0" w:color="auto"/>
              <w:right w:val="single" w:sz="4" w:space="0" w:color="auto"/>
            </w:tcBorders>
            <w:noWrap/>
            <w:vAlign w:val="center"/>
            <w:hideMark/>
          </w:tcPr>
          <w:p w14:paraId="1FFAD8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MEDOBČINSKI MUZEJ KAMNIK</w:t>
            </w:r>
          </w:p>
        </w:tc>
      </w:tr>
      <w:tr w:rsidR="00F24E18" w14:paraId="5F159BD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A2C2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796</w:t>
            </w:r>
          </w:p>
        </w:tc>
        <w:tc>
          <w:tcPr>
            <w:tcW w:w="1300" w:type="dxa"/>
            <w:tcBorders>
              <w:top w:val="nil"/>
              <w:left w:val="nil"/>
              <w:bottom w:val="single" w:sz="4" w:space="0" w:color="auto"/>
              <w:right w:val="single" w:sz="4" w:space="0" w:color="auto"/>
            </w:tcBorders>
            <w:noWrap/>
            <w:vAlign w:val="center"/>
            <w:hideMark/>
          </w:tcPr>
          <w:p w14:paraId="4710CC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5020069000</w:t>
            </w:r>
          </w:p>
        </w:tc>
        <w:tc>
          <w:tcPr>
            <w:tcW w:w="1012" w:type="dxa"/>
            <w:tcBorders>
              <w:top w:val="nil"/>
              <w:left w:val="nil"/>
              <w:bottom w:val="single" w:sz="4" w:space="0" w:color="auto"/>
              <w:right w:val="single" w:sz="4" w:space="0" w:color="auto"/>
            </w:tcBorders>
            <w:noWrap/>
            <w:vAlign w:val="center"/>
            <w:hideMark/>
          </w:tcPr>
          <w:p w14:paraId="6A8D2D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31120679</w:t>
            </w:r>
          </w:p>
        </w:tc>
        <w:tc>
          <w:tcPr>
            <w:tcW w:w="5953" w:type="dxa"/>
            <w:tcBorders>
              <w:top w:val="nil"/>
              <w:left w:val="nil"/>
              <w:bottom w:val="single" w:sz="4" w:space="0" w:color="auto"/>
              <w:right w:val="single" w:sz="4" w:space="0" w:color="auto"/>
            </w:tcBorders>
            <w:noWrap/>
            <w:vAlign w:val="center"/>
            <w:hideMark/>
          </w:tcPr>
          <w:p w14:paraId="451203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ČETRT KRŠKO</w:t>
            </w:r>
          </w:p>
        </w:tc>
      </w:tr>
      <w:tr w:rsidR="00F24E18" w14:paraId="2BF8C0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08F6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797</w:t>
            </w:r>
          </w:p>
        </w:tc>
        <w:tc>
          <w:tcPr>
            <w:tcW w:w="1300" w:type="dxa"/>
            <w:tcBorders>
              <w:top w:val="nil"/>
              <w:left w:val="nil"/>
              <w:bottom w:val="single" w:sz="4" w:space="0" w:color="auto"/>
              <w:right w:val="single" w:sz="4" w:space="0" w:color="auto"/>
            </w:tcBorders>
            <w:noWrap/>
            <w:vAlign w:val="center"/>
            <w:hideMark/>
          </w:tcPr>
          <w:p w14:paraId="01D9F3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5028744000</w:t>
            </w:r>
          </w:p>
        </w:tc>
        <w:tc>
          <w:tcPr>
            <w:tcW w:w="1012" w:type="dxa"/>
            <w:tcBorders>
              <w:top w:val="nil"/>
              <w:left w:val="nil"/>
              <w:bottom w:val="single" w:sz="4" w:space="0" w:color="auto"/>
              <w:right w:val="single" w:sz="4" w:space="0" w:color="auto"/>
            </w:tcBorders>
            <w:noWrap/>
            <w:vAlign w:val="center"/>
            <w:hideMark/>
          </w:tcPr>
          <w:p w14:paraId="21714B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54809444</w:t>
            </w:r>
          </w:p>
        </w:tc>
        <w:tc>
          <w:tcPr>
            <w:tcW w:w="5953" w:type="dxa"/>
            <w:tcBorders>
              <w:top w:val="nil"/>
              <w:left w:val="nil"/>
              <w:bottom w:val="single" w:sz="4" w:space="0" w:color="auto"/>
              <w:right w:val="single" w:sz="4" w:space="0" w:color="auto"/>
            </w:tcBorders>
            <w:noWrap/>
            <w:vAlign w:val="center"/>
            <w:hideMark/>
          </w:tcPr>
          <w:p w14:paraId="125A44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ČETRT LESKOVEC PRI KRŠKEM</w:t>
            </w:r>
          </w:p>
        </w:tc>
      </w:tr>
      <w:tr w:rsidR="00F24E18" w14:paraId="3755E64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F682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798</w:t>
            </w:r>
          </w:p>
        </w:tc>
        <w:tc>
          <w:tcPr>
            <w:tcW w:w="1300" w:type="dxa"/>
            <w:tcBorders>
              <w:top w:val="nil"/>
              <w:left w:val="nil"/>
              <w:bottom w:val="single" w:sz="4" w:space="0" w:color="auto"/>
              <w:right w:val="single" w:sz="4" w:space="0" w:color="auto"/>
            </w:tcBorders>
            <w:noWrap/>
            <w:vAlign w:val="center"/>
            <w:hideMark/>
          </w:tcPr>
          <w:p w14:paraId="0C0B4F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5559723000</w:t>
            </w:r>
          </w:p>
        </w:tc>
        <w:tc>
          <w:tcPr>
            <w:tcW w:w="1012" w:type="dxa"/>
            <w:tcBorders>
              <w:top w:val="nil"/>
              <w:left w:val="nil"/>
              <w:bottom w:val="single" w:sz="4" w:space="0" w:color="auto"/>
              <w:right w:val="single" w:sz="4" w:space="0" w:color="auto"/>
            </w:tcBorders>
            <w:noWrap/>
            <w:vAlign w:val="center"/>
            <w:hideMark/>
          </w:tcPr>
          <w:p w14:paraId="29088C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65477405</w:t>
            </w:r>
          </w:p>
        </w:tc>
        <w:tc>
          <w:tcPr>
            <w:tcW w:w="5953" w:type="dxa"/>
            <w:tcBorders>
              <w:top w:val="nil"/>
              <w:left w:val="nil"/>
              <w:bottom w:val="single" w:sz="4" w:space="0" w:color="auto"/>
              <w:right w:val="single" w:sz="4" w:space="0" w:color="auto"/>
            </w:tcBorders>
            <w:noWrap/>
            <w:vAlign w:val="center"/>
            <w:hideMark/>
          </w:tcPr>
          <w:p w14:paraId="47FC5B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KNJIŽNICA GROSUPLJE</w:t>
            </w:r>
          </w:p>
        </w:tc>
      </w:tr>
      <w:tr w:rsidR="00F24E18" w14:paraId="2474A22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7046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799</w:t>
            </w:r>
          </w:p>
        </w:tc>
        <w:tc>
          <w:tcPr>
            <w:tcW w:w="1300" w:type="dxa"/>
            <w:tcBorders>
              <w:top w:val="nil"/>
              <w:left w:val="nil"/>
              <w:bottom w:val="single" w:sz="4" w:space="0" w:color="auto"/>
              <w:right w:val="single" w:sz="4" w:space="0" w:color="auto"/>
            </w:tcBorders>
            <w:noWrap/>
            <w:vAlign w:val="center"/>
            <w:hideMark/>
          </w:tcPr>
          <w:p w14:paraId="6F3A52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5051878000</w:t>
            </w:r>
          </w:p>
        </w:tc>
        <w:tc>
          <w:tcPr>
            <w:tcW w:w="1012" w:type="dxa"/>
            <w:tcBorders>
              <w:top w:val="nil"/>
              <w:left w:val="nil"/>
              <w:bottom w:val="single" w:sz="4" w:space="0" w:color="auto"/>
              <w:right w:val="single" w:sz="4" w:space="0" w:color="auto"/>
            </w:tcBorders>
            <w:noWrap/>
            <w:vAlign w:val="center"/>
            <w:hideMark/>
          </w:tcPr>
          <w:p w14:paraId="2B8681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54747503</w:t>
            </w:r>
          </w:p>
        </w:tc>
        <w:tc>
          <w:tcPr>
            <w:tcW w:w="5953" w:type="dxa"/>
            <w:tcBorders>
              <w:top w:val="nil"/>
              <w:left w:val="nil"/>
              <w:bottom w:val="single" w:sz="4" w:space="0" w:color="auto"/>
              <w:right w:val="single" w:sz="4" w:space="0" w:color="auto"/>
            </w:tcBorders>
            <w:noWrap/>
            <w:vAlign w:val="center"/>
            <w:hideMark/>
          </w:tcPr>
          <w:p w14:paraId="6234F3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KNJIŽNICA IZOLA - BIBLIOTECA CIVICA DI ISOLA</w:t>
            </w:r>
          </w:p>
        </w:tc>
      </w:tr>
      <w:tr w:rsidR="00F24E18" w14:paraId="3C2DD63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7E04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800</w:t>
            </w:r>
          </w:p>
        </w:tc>
        <w:tc>
          <w:tcPr>
            <w:tcW w:w="1300" w:type="dxa"/>
            <w:tcBorders>
              <w:top w:val="nil"/>
              <w:left w:val="nil"/>
              <w:bottom w:val="single" w:sz="4" w:space="0" w:color="auto"/>
              <w:right w:val="single" w:sz="4" w:space="0" w:color="auto"/>
            </w:tcBorders>
            <w:vAlign w:val="center"/>
            <w:hideMark/>
          </w:tcPr>
          <w:p w14:paraId="6273AA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5052556000</w:t>
            </w:r>
          </w:p>
        </w:tc>
        <w:tc>
          <w:tcPr>
            <w:tcW w:w="1012" w:type="dxa"/>
            <w:tcBorders>
              <w:top w:val="nil"/>
              <w:left w:val="nil"/>
              <w:bottom w:val="single" w:sz="4" w:space="0" w:color="auto"/>
              <w:right w:val="single" w:sz="4" w:space="0" w:color="auto"/>
            </w:tcBorders>
            <w:vAlign w:val="center"/>
            <w:hideMark/>
          </w:tcPr>
          <w:p w14:paraId="0A726D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51239523</w:t>
            </w:r>
          </w:p>
        </w:tc>
        <w:tc>
          <w:tcPr>
            <w:tcW w:w="5953" w:type="dxa"/>
            <w:tcBorders>
              <w:top w:val="nil"/>
              <w:left w:val="nil"/>
              <w:bottom w:val="single" w:sz="4" w:space="0" w:color="auto"/>
              <w:right w:val="single" w:sz="4" w:space="0" w:color="auto"/>
            </w:tcBorders>
            <w:noWrap/>
            <w:vAlign w:val="center"/>
            <w:hideMark/>
          </w:tcPr>
          <w:p w14:paraId="62CF0C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KNJIŽNICA KRANJ</w:t>
            </w:r>
          </w:p>
        </w:tc>
      </w:tr>
      <w:tr w:rsidR="00F24E18" w14:paraId="20500C3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7F40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801</w:t>
            </w:r>
          </w:p>
        </w:tc>
        <w:tc>
          <w:tcPr>
            <w:tcW w:w="1300" w:type="dxa"/>
            <w:tcBorders>
              <w:top w:val="nil"/>
              <w:left w:val="nil"/>
              <w:bottom w:val="single" w:sz="4" w:space="0" w:color="auto"/>
              <w:right w:val="single" w:sz="4" w:space="0" w:color="auto"/>
            </w:tcBorders>
            <w:vAlign w:val="center"/>
            <w:hideMark/>
          </w:tcPr>
          <w:p w14:paraId="3DE54C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3336905000</w:t>
            </w:r>
          </w:p>
        </w:tc>
        <w:tc>
          <w:tcPr>
            <w:tcW w:w="1012" w:type="dxa"/>
            <w:tcBorders>
              <w:top w:val="nil"/>
              <w:left w:val="nil"/>
              <w:bottom w:val="single" w:sz="4" w:space="0" w:color="auto"/>
              <w:right w:val="single" w:sz="4" w:space="0" w:color="auto"/>
            </w:tcBorders>
            <w:vAlign w:val="center"/>
            <w:hideMark/>
          </w:tcPr>
          <w:p w14:paraId="20A8C0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62825844</w:t>
            </w:r>
          </w:p>
        </w:tc>
        <w:tc>
          <w:tcPr>
            <w:tcW w:w="5953" w:type="dxa"/>
            <w:tcBorders>
              <w:top w:val="nil"/>
              <w:left w:val="nil"/>
              <w:bottom w:val="single" w:sz="4" w:space="0" w:color="auto"/>
              <w:right w:val="single" w:sz="4" w:space="0" w:color="auto"/>
            </w:tcBorders>
            <w:noWrap/>
            <w:vAlign w:val="center"/>
            <w:hideMark/>
          </w:tcPr>
          <w:p w14:paraId="04E355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KNJIŽNICA LJUBLJANA</w:t>
            </w:r>
          </w:p>
        </w:tc>
      </w:tr>
      <w:tr w:rsidR="00F24E18" w14:paraId="394B9E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F14B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802</w:t>
            </w:r>
          </w:p>
        </w:tc>
        <w:tc>
          <w:tcPr>
            <w:tcW w:w="1300" w:type="dxa"/>
            <w:tcBorders>
              <w:top w:val="nil"/>
              <w:left w:val="nil"/>
              <w:bottom w:val="single" w:sz="4" w:space="0" w:color="auto"/>
              <w:right w:val="single" w:sz="4" w:space="0" w:color="auto"/>
            </w:tcBorders>
            <w:noWrap/>
            <w:vAlign w:val="center"/>
            <w:hideMark/>
          </w:tcPr>
          <w:p w14:paraId="78EA96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5052246000</w:t>
            </w:r>
          </w:p>
        </w:tc>
        <w:tc>
          <w:tcPr>
            <w:tcW w:w="1012" w:type="dxa"/>
            <w:tcBorders>
              <w:top w:val="nil"/>
              <w:left w:val="nil"/>
              <w:bottom w:val="single" w:sz="4" w:space="0" w:color="auto"/>
              <w:right w:val="single" w:sz="4" w:space="0" w:color="auto"/>
            </w:tcBorders>
            <w:noWrap/>
            <w:vAlign w:val="center"/>
            <w:hideMark/>
          </w:tcPr>
          <w:p w14:paraId="5A9DFD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31640567</w:t>
            </w:r>
          </w:p>
        </w:tc>
        <w:tc>
          <w:tcPr>
            <w:tcW w:w="5953" w:type="dxa"/>
            <w:tcBorders>
              <w:top w:val="nil"/>
              <w:left w:val="nil"/>
              <w:bottom w:val="single" w:sz="4" w:space="0" w:color="auto"/>
              <w:right w:val="single" w:sz="4" w:space="0" w:color="auto"/>
            </w:tcBorders>
            <w:noWrap/>
            <w:vAlign w:val="center"/>
            <w:hideMark/>
          </w:tcPr>
          <w:p w14:paraId="7A1601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KNJIŽNICA PIRAN BIBLIOTECA CIVICA PIRANO</w:t>
            </w:r>
          </w:p>
        </w:tc>
      </w:tr>
      <w:tr w:rsidR="00F24E18" w14:paraId="1BB949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0C34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803</w:t>
            </w:r>
          </w:p>
        </w:tc>
        <w:tc>
          <w:tcPr>
            <w:tcW w:w="1300" w:type="dxa"/>
            <w:tcBorders>
              <w:top w:val="nil"/>
              <w:left w:val="nil"/>
              <w:bottom w:val="single" w:sz="4" w:space="0" w:color="auto"/>
              <w:right w:val="single" w:sz="4" w:space="0" w:color="auto"/>
            </w:tcBorders>
            <w:noWrap/>
            <w:vAlign w:val="center"/>
            <w:hideMark/>
          </w:tcPr>
          <w:p w14:paraId="605234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5052297000</w:t>
            </w:r>
          </w:p>
        </w:tc>
        <w:tc>
          <w:tcPr>
            <w:tcW w:w="1012" w:type="dxa"/>
            <w:tcBorders>
              <w:top w:val="nil"/>
              <w:left w:val="nil"/>
              <w:bottom w:val="single" w:sz="4" w:space="0" w:color="auto"/>
              <w:right w:val="single" w:sz="4" w:space="0" w:color="auto"/>
            </w:tcBorders>
            <w:noWrap/>
            <w:vAlign w:val="center"/>
            <w:hideMark/>
          </w:tcPr>
          <w:p w14:paraId="4CB8BE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97818739</w:t>
            </w:r>
          </w:p>
        </w:tc>
        <w:tc>
          <w:tcPr>
            <w:tcW w:w="5953" w:type="dxa"/>
            <w:tcBorders>
              <w:top w:val="nil"/>
              <w:left w:val="nil"/>
              <w:bottom w:val="single" w:sz="4" w:space="0" w:color="auto"/>
              <w:right w:val="single" w:sz="4" w:space="0" w:color="auto"/>
            </w:tcBorders>
            <w:noWrap/>
            <w:vAlign w:val="center"/>
            <w:hideMark/>
          </w:tcPr>
          <w:p w14:paraId="6663BF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KNJIŽNICA POSTOJNA</w:t>
            </w:r>
          </w:p>
        </w:tc>
      </w:tr>
      <w:tr w:rsidR="00F24E18" w14:paraId="714B700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3F47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804</w:t>
            </w:r>
          </w:p>
        </w:tc>
        <w:tc>
          <w:tcPr>
            <w:tcW w:w="1300" w:type="dxa"/>
            <w:tcBorders>
              <w:top w:val="nil"/>
              <w:left w:val="nil"/>
              <w:bottom w:val="single" w:sz="4" w:space="0" w:color="auto"/>
              <w:right w:val="single" w:sz="4" w:space="0" w:color="auto"/>
            </w:tcBorders>
            <w:noWrap/>
            <w:vAlign w:val="center"/>
            <w:hideMark/>
          </w:tcPr>
          <w:p w14:paraId="4CA308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5021057000</w:t>
            </w:r>
          </w:p>
        </w:tc>
        <w:tc>
          <w:tcPr>
            <w:tcW w:w="1012" w:type="dxa"/>
            <w:tcBorders>
              <w:top w:val="nil"/>
              <w:left w:val="nil"/>
              <w:bottom w:val="single" w:sz="4" w:space="0" w:color="auto"/>
              <w:right w:val="single" w:sz="4" w:space="0" w:color="auto"/>
            </w:tcBorders>
            <w:noWrap/>
            <w:vAlign w:val="center"/>
            <w:hideMark/>
          </w:tcPr>
          <w:p w14:paraId="257B4E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97226564</w:t>
            </w:r>
          </w:p>
        </w:tc>
        <w:tc>
          <w:tcPr>
            <w:tcW w:w="5953" w:type="dxa"/>
            <w:tcBorders>
              <w:top w:val="nil"/>
              <w:left w:val="nil"/>
              <w:bottom w:val="single" w:sz="4" w:space="0" w:color="auto"/>
              <w:right w:val="single" w:sz="4" w:space="0" w:color="auto"/>
            </w:tcBorders>
            <w:noWrap/>
            <w:vAlign w:val="center"/>
            <w:hideMark/>
          </w:tcPr>
          <w:p w14:paraId="06832C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KRAJEVNA SKUPNOST ROGAŠKA SLATINA</w:t>
            </w:r>
          </w:p>
        </w:tc>
      </w:tr>
      <w:tr w:rsidR="00F24E18" w14:paraId="496D80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161C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805</w:t>
            </w:r>
          </w:p>
        </w:tc>
        <w:tc>
          <w:tcPr>
            <w:tcW w:w="1300" w:type="dxa"/>
            <w:tcBorders>
              <w:top w:val="nil"/>
              <w:left w:val="nil"/>
              <w:bottom w:val="single" w:sz="4" w:space="0" w:color="auto"/>
              <w:right w:val="single" w:sz="4" w:space="0" w:color="auto"/>
            </w:tcBorders>
            <w:vAlign w:val="center"/>
            <w:hideMark/>
          </w:tcPr>
          <w:p w14:paraId="495BD7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5880360000</w:t>
            </w:r>
          </w:p>
        </w:tc>
        <w:tc>
          <w:tcPr>
            <w:tcW w:w="1012" w:type="dxa"/>
            <w:tcBorders>
              <w:top w:val="nil"/>
              <w:left w:val="nil"/>
              <w:bottom w:val="single" w:sz="4" w:space="0" w:color="auto"/>
              <w:right w:val="single" w:sz="4" w:space="0" w:color="auto"/>
            </w:tcBorders>
            <w:vAlign w:val="center"/>
            <w:hideMark/>
          </w:tcPr>
          <w:p w14:paraId="6360E9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56012390</w:t>
            </w:r>
          </w:p>
        </w:tc>
        <w:tc>
          <w:tcPr>
            <w:tcW w:w="5953" w:type="dxa"/>
            <w:tcBorders>
              <w:top w:val="nil"/>
              <w:left w:val="nil"/>
              <w:bottom w:val="single" w:sz="4" w:space="0" w:color="auto"/>
              <w:right w:val="single" w:sz="4" w:space="0" w:color="auto"/>
            </w:tcBorders>
            <w:noWrap/>
            <w:vAlign w:val="center"/>
            <w:hideMark/>
          </w:tcPr>
          <w:p w14:paraId="17EF11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CELJE</w:t>
            </w:r>
          </w:p>
        </w:tc>
      </w:tr>
      <w:tr w:rsidR="00F24E18" w14:paraId="676472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F22B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806</w:t>
            </w:r>
          </w:p>
        </w:tc>
        <w:tc>
          <w:tcPr>
            <w:tcW w:w="1300" w:type="dxa"/>
            <w:tcBorders>
              <w:top w:val="nil"/>
              <w:left w:val="nil"/>
              <w:bottom w:val="single" w:sz="4" w:space="0" w:color="auto"/>
              <w:right w:val="single" w:sz="4" w:space="0" w:color="auto"/>
            </w:tcBorders>
            <w:vAlign w:val="center"/>
            <w:hideMark/>
          </w:tcPr>
          <w:p w14:paraId="4D7A07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5874424000</w:t>
            </w:r>
          </w:p>
        </w:tc>
        <w:tc>
          <w:tcPr>
            <w:tcW w:w="1012" w:type="dxa"/>
            <w:tcBorders>
              <w:top w:val="nil"/>
              <w:left w:val="nil"/>
              <w:bottom w:val="single" w:sz="4" w:space="0" w:color="auto"/>
              <w:right w:val="single" w:sz="4" w:space="0" w:color="auto"/>
            </w:tcBorders>
            <w:vAlign w:val="center"/>
            <w:hideMark/>
          </w:tcPr>
          <w:p w14:paraId="5D7294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40016803</w:t>
            </w:r>
          </w:p>
        </w:tc>
        <w:tc>
          <w:tcPr>
            <w:tcW w:w="5953" w:type="dxa"/>
            <w:tcBorders>
              <w:top w:val="nil"/>
              <w:left w:val="nil"/>
              <w:bottom w:val="single" w:sz="4" w:space="0" w:color="auto"/>
              <w:right w:val="single" w:sz="4" w:space="0" w:color="auto"/>
            </w:tcBorders>
            <w:noWrap/>
            <w:vAlign w:val="center"/>
            <w:hideMark/>
          </w:tcPr>
          <w:p w14:paraId="0FB9D6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KOPER</w:t>
            </w:r>
          </w:p>
        </w:tc>
      </w:tr>
      <w:tr w:rsidR="00F24E18" w14:paraId="24CDEC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37B6E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807</w:t>
            </w:r>
          </w:p>
        </w:tc>
        <w:tc>
          <w:tcPr>
            <w:tcW w:w="1300" w:type="dxa"/>
            <w:tcBorders>
              <w:top w:val="nil"/>
              <w:left w:val="nil"/>
              <w:bottom w:val="single" w:sz="4" w:space="0" w:color="auto"/>
              <w:right w:val="single" w:sz="4" w:space="0" w:color="auto"/>
            </w:tcBorders>
            <w:noWrap/>
            <w:vAlign w:val="center"/>
            <w:hideMark/>
          </w:tcPr>
          <w:p w14:paraId="014436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5026997000</w:t>
            </w:r>
          </w:p>
        </w:tc>
        <w:tc>
          <w:tcPr>
            <w:tcW w:w="1012" w:type="dxa"/>
            <w:tcBorders>
              <w:top w:val="nil"/>
              <w:left w:val="nil"/>
              <w:bottom w:val="single" w:sz="4" w:space="0" w:color="auto"/>
              <w:right w:val="single" w:sz="4" w:space="0" w:color="auto"/>
            </w:tcBorders>
            <w:noWrap/>
            <w:vAlign w:val="center"/>
            <w:hideMark/>
          </w:tcPr>
          <w:p w14:paraId="30DF35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78947235</w:t>
            </w:r>
          </w:p>
        </w:tc>
        <w:tc>
          <w:tcPr>
            <w:tcW w:w="5953" w:type="dxa"/>
            <w:tcBorders>
              <w:top w:val="nil"/>
              <w:left w:val="nil"/>
              <w:bottom w:val="single" w:sz="4" w:space="0" w:color="auto"/>
              <w:right w:val="single" w:sz="4" w:space="0" w:color="auto"/>
            </w:tcBorders>
            <w:noWrap/>
            <w:vAlign w:val="center"/>
            <w:hideMark/>
          </w:tcPr>
          <w:p w14:paraId="7E2321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KOPER KRAJEVNA SKUPNOST ŠKOFIJE</w:t>
            </w:r>
          </w:p>
        </w:tc>
      </w:tr>
      <w:tr w:rsidR="00F24E18" w14:paraId="4CFC1CD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F6C5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808</w:t>
            </w:r>
          </w:p>
        </w:tc>
        <w:tc>
          <w:tcPr>
            <w:tcW w:w="1300" w:type="dxa"/>
            <w:tcBorders>
              <w:top w:val="nil"/>
              <w:left w:val="nil"/>
              <w:bottom w:val="single" w:sz="4" w:space="0" w:color="auto"/>
              <w:right w:val="single" w:sz="4" w:space="0" w:color="auto"/>
            </w:tcBorders>
            <w:vAlign w:val="center"/>
            <w:hideMark/>
          </w:tcPr>
          <w:p w14:paraId="38164C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5874653000</w:t>
            </w:r>
          </w:p>
        </w:tc>
        <w:tc>
          <w:tcPr>
            <w:tcW w:w="1012" w:type="dxa"/>
            <w:tcBorders>
              <w:top w:val="nil"/>
              <w:left w:val="nil"/>
              <w:bottom w:val="single" w:sz="4" w:space="0" w:color="auto"/>
              <w:right w:val="single" w:sz="4" w:space="0" w:color="auto"/>
            </w:tcBorders>
            <w:vAlign w:val="center"/>
            <w:hideMark/>
          </w:tcPr>
          <w:p w14:paraId="4A7F09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55789935</w:t>
            </w:r>
          </w:p>
        </w:tc>
        <w:tc>
          <w:tcPr>
            <w:tcW w:w="5953" w:type="dxa"/>
            <w:tcBorders>
              <w:top w:val="nil"/>
              <w:left w:val="nil"/>
              <w:bottom w:val="single" w:sz="4" w:space="0" w:color="auto"/>
              <w:right w:val="single" w:sz="4" w:space="0" w:color="auto"/>
            </w:tcBorders>
            <w:noWrap/>
            <w:vAlign w:val="center"/>
            <w:hideMark/>
          </w:tcPr>
          <w:p w14:paraId="06A6ED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KRANJ</w:t>
            </w:r>
          </w:p>
        </w:tc>
      </w:tr>
      <w:tr w:rsidR="00F24E18" w14:paraId="2056D7A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EB5D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809</w:t>
            </w:r>
          </w:p>
        </w:tc>
        <w:tc>
          <w:tcPr>
            <w:tcW w:w="1300" w:type="dxa"/>
            <w:tcBorders>
              <w:top w:val="nil"/>
              <w:left w:val="nil"/>
              <w:bottom w:val="single" w:sz="4" w:space="0" w:color="auto"/>
              <w:right w:val="single" w:sz="4" w:space="0" w:color="auto"/>
            </w:tcBorders>
            <w:vAlign w:val="center"/>
            <w:hideMark/>
          </w:tcPr>
          <w:p w14:paraId="266E68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5874572000</w:t>
            </w:r>
          </w:p>
        </w:tc>
        <w:tc>
          <w:tcPr>
            <w:tcW w:w="1012" w:type="dxa"/>
            <w:tcBorders>
              <w:top w:val="nil"/>
              <w:left w:val="nil"/>
              <w:bottom w:val="single" w:sz="4" w:space="0" w:color="auto"/>
              <w:right w:val="single" w:sz="4" w:space="0" w:color="auto"/>
            </w:tcBorders>
            <w:vAlign w:val="center"/>
            <w:hideMark/>
          </w:tcPr>
          <w:p w14:paraId="749DFD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18845673</w:t>
            </w:r>
          </w:p>
        </w:tc>
        <w:tc>
          <w:tcPr>
            <w:tcW w:w="5953" w:type="dxa"/>
            <w:tcBorders>
              <w:top w:val="nil"/>
              <w:left w:val="nil"/>
              <w:bottom w:val="single" w:sz="4" w:space="0" w:color="auto"/>
              <w:right w:val="single" w:sz="4" w:space="0" w:color="auto"/>
            </w:tcBorders>
            <w:noWrap/>
            <w:vAlign w:val="center"/>
            <w:hideMark/>
          </w:tcPr>
          <w:p w14:paraId="6C2346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KRŠKO</w:t>
            </w:r>
          </w:p>
        </w:tc>
      </w:tr>
      <w:tr w:rsidR="00F24E18" w14:paraId="2F9D921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9C1D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810</w:t>
            </w:r>
          </w:p>
        </w:tc>
        <w:tc>
          <w:tcPr>
            <w:tcW w:w="1300" w:type="dxa"/>
            <w:tcBorders>
              <w:top w:val="nil"/>
              <w:left w:val="nil"/>
              <w:bottom w:val="single" w:sz="4" w:space="0" w:color="auto"/>
              <w:right w:val="single" w:sz="4" w:space="0" w:color="auto"/>
            </w:tcBorders>
            <w:vAlign w:val="center"/>
            <w:hideMark/>
          </w:tcPr>
          <w:p w14:paraId="062B40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5874025000</w:t>
            </w:r>
          </w:p>
        </w:tc>
        <w:tc>
          <w:tcPr>
            <w:tcW w:w="1012" w:type="dxa"/>
            <w:tcBorders>
              <w:top w:val="nil"/>
              <w:left w:val="nil"/>
              <w:bottom w:val="single" w:sz="4" w:space="0" w:color="auto"/>
              <w:right w:val="single" w:sz="4" w:space="0" w:color="auto"/>
            </w:tcBorders>
            <w:vAlign w:val="center"/>
            <w:hideMark/>
          </w:tcPr>
          <w:p w14:paraId="44669E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67593321</w:t>
            </w:r>
          </w:p>
        </w:tc>
        <w:tc>
          <w:tcPr>
            <w:tcW w:w="5953" w:type="dxa"/>
            <w:tcBorders>
              <w:top w:val="nil"/>
              <w:left w:val="nil"/>
              <w:bottom w:val="single" w:sz="4" w:space="0" w:color="auto"/>
              <w:right w:val="single" w:sz="4" w:space="0" w:color="auto"/>
            </w:tcBorders>
            <w:noWrap/>
            <w:vAlign w:val="center"/>
            <w:hideMark/>
          </w:tcPr>
          <w:p w14:paraId="2FCB91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LJUBLJANA</w:t>
            </w:r>
          </w:p>
        </w:tc>
      </w:tr>
      <w:tr w:rsidR="00F24E18" w14:paraId="1F378BF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FA71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811</w:t>
            </w:r>
          </w:p>
        </w:tc>
        <w:tc>
          <w:tcPr>
            <w:tcW w:w="1300" w:type="dxa"/>
            <w:tcBorders>
              <w:top w:val="nil"/>
              <w:left w:val="nil"/>
              <w:bottom w:val="single" w:sz="4" w:space="0" w:color="auto"/>
              <w:right w:val="single" w:sz="4" w:space="0" w:color="auto"/>
            </w:tcBorders>
            <w:vAlign w:val="center"/>
            <w:hideMark/>
          </w:tcPr>
          <w:p w14:paraId="04E87E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5883369000</w:t>
            </w:r>
          </w:p>
        </w:tc>
        <w:tc>
          <w:tcPr>
            <w:tcW w:w="1012" w:type="dxa"/>
            <w:tcBorders>
              <w:top w:val="nil"/>
              <w:left w:val="nil"/>
              <w:bottom w:val="single" w:sz="4" w:space="0" w:color="auto"/>
              <w:right w:val="single" w:sz="4" w:space="0" w:color="auto"/>
            </w:tcBorders>
            <w:vAlign w:val="center"/>
            <w:hideMark/>
          </w:tcPr>
          <w:p w14:paraId="6644F2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12709590</w:t>
            </w:r>
          </w:p>
        </w:tc>
        <w:tc>
          <w:tcPr>
            <w:tcW w:w="5953" w:type="dxa"/>
            <w:tcBorders>
              <w:top w:val="nil"/>
              <w:left w:val="nil"/>
              <w:bottom w:val="single" w:sz="4" w:space="0" w:color="auto"/>
              <w:right w:val="single" w:sz="4" w:space="0" w:color="auto"/>
            </w:tcBorders>
            <w:noWrap/>
            <w:vAlign w:val="center"/>
            <w:hideMark/>
          </w:tcPr>
          <w:p w14:paraId="7E04F4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MARIBOR</w:t>
            </w:r>
          </w:p>
        </w:tc>
      </w:tr>
      <w:tr w:rsidR="00F24E18" w14:paraId="5E8CCC2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0064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812</w:t>
            </w:r>
          </w:p>
        </w:tc>
        <w:tc>
          <w:tcPr>
            <w:tcW w:w="1300" w:type="dxa"/>
            <w:tcBorders>
              <w:top w:val="nil"/>
              <w:left w:val="nil"/>
              <w:bottom w:val="single" w:sz="4" w:space="0" w:color="auto"/>
              <w:right w:val="single" w:sz="4" w:space="0" w:color="auto"/>
            </w:tcBorders>
            <w:vAlign w:val="center"/>
            <w:hideMark/>
          </w:tcPr>
          <w:p w14:paraId="770D4B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5883172000</w:t>
            </w:r>
          </w:p>
        </w:tc>
        <w:tc>
          <w:tcPr>
            <w:tcW w:w="1012" w:type="dxa"/>
            <w:tcBorders>
              <w:top w:val="nil"/>
              <w:left w:val="nil"/>
              <w:bottom w:val="single" w:sz="4" w:space="0" w:color="auto"/>
              <w:right w:val="single" w:sz="4" w:space="0" w:color="auto"/>
            </w:tcBorders>
            <w:vAlign w:val="center"/>
            <w:hideMark/>
          </w:tcPr>
          <w:p w14:paraId="541868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32339828</w:t>
            </w:r>
          </w:p>
        </w:tc>
        <w:tc>
          <w:tcPr>
            <w:tcW w:w="5953" w:type="dxa"/>
            <w:tcBorders>
              <w:top w:val="nil"/>
              <w:left w:val="nil"/>
              <w:bottom w:val="single" w:sz="4" w:space="0" w:color="auto"/>
              <w:right w:val="single" w:sz="4" w:space="0" w:color="auto"/>
            </w:tcBorders>
            <w:noWrap/>
            <w:vAlign w:val="center"/>
            <w:hideMark/>
          </w:tcPr>
          <w:p w14:paraId="475D3A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MURSKA SOBOTA</w:t>
            </w:r>
          </w:p>
        </w:tc>
      </w:tr>
      <w:tr w:rsidR="00F24E18" w14:paraId="54855FA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81A4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813</w:t>
            </w:r>
          </w:p>
        </w:tc>
        <w:tc>
          <w:tcPr>
            <w:tcW w:w="1300" w:type="dxa"/>
            <w:tcBorders>
              <w:top w:val="nil"/>
              <w:left w:val="nil"/>
              <w:bottom w:val="single" w:sz="4" w:space="0" w:color="auto"/>
              <w:right w:val="single" w:sz="4" w:space="0" w:color="auto"/>
            </w:tcBorders>
            <w:vAlign w:val="center"/>
            <w:hideMark/>
          </w:tcPr>
          <w:p w14:paraId="3A8902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5881773000</w:t>
            </w:r>
          </w:p>
        </w:tc>
        <w:tc>
          <w:tcPr>
            <w:tcW w:w="1012" w:type="dxa"/>
            <w:tcBorders>
              <w:top w:val="nil"/>
              <w:left w:val="nil"/>
              <w:bottom w:val="single" w:sz="4" w:space="0" w:color="auto"/>
              <w:right w:val="single" w:sz="4" w:space="0" w:color="auto"/>
            </w:tcBorders>
            <w:vAlign w:val="center"/>
            <w:hideMark/>
          </w:tcPr>
          <w:p w14:paraId="3532C5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53055730</w:t>
            </w:r>
          </w:p>
        </w:tc>
        <w:tc>
          <w:tcPr>
            <w:tcW w:w="5953" w:type="dxa"/>
            <w:tcBorders>
              <w:top w:val="nil"/>
              <w:left w:val="nil"/>
              <w:bottom w:val="single" w:sz="4" w:space="0" w:color="auto"/>
              <w:right w:val="single" w:sz="4" w:space="0" w:color="auto"/>
            </w:tcBorders>
            <w:noWrap/>
            <w:vAlign w:val="center"/>
            <w:hideMark/>
          </w:tcPr>
          <w:p w14:paraId="77D8D5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NOVA GORICA</w:t>
            </w:r>
          </w:p>
        </w:tc>
      </w:tr>
      <w:tr w:rsidR="00F24E18" w14:paraId="491B52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B39D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814</w:t>
            </w:r>
          </w:p>
        </w:tc>
        <w:tc>
          <w:tcPr>
            <w:tcW w:w="1300" w:type="dxa"/>
            <w:tcBorders>
              <w:top w:val="nil"/>
              <w:left w:val="nil"/>
              <w:bottom w:val="single" w:sz="4" w:space="0" w:color="auto"/>
              <w:right w:val="single" w:sz="4" w:space="0" w:color="auto"/>
            </w:tcBorders>
            <w:vAlign w:val="center"/>
            <w:hideMark/>
          </w:tcPr>
          <w:p w14:paraId="54A860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5883288000</w:t>
            </w:r>
          </w:p>
        </w:tc>
        <w:tc>
          <w:tcPr>
            <w:tcW w:w="1012" w:type="dxa"/>
            <w:tcBorders>
              <w:top w:val="nil"/>
              <w:left w:val="nil"/>
              <w:bottom w:val="single" w:sz="4" w:space="0" w:color="auto"/>
              <w:right w:val="single" w:sz="4" w:space="0" w:color="auto"/>
            </w:tcBorders>
            <w:vAlign w:val="center"/>
            <w:hideMark/>
          </w:tcPr>
          <w:p w14:paraId="5A79FB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48768111</w:t>
            </w:r>
          </w:p>
        </w:tc>
        <w:tc>
          <w:tcPr>
            <w:tcW w:w="5953" w:type="dxa"/>
            <w:tcBorders>
              <w:top w:val="nil"/>
              <w:left w:val="nil"/>
              <w:bottom w:val="single" w:sz="4" w:space="0" w:color="auto"/>
              <w:right w:val="single" w:sz="4" w:space="0" w:color="auto"/>
            </w:tcBorders>
            <w:noWrap/>
            <w:vAlign w:val="center"/>
            <w:hideMark/>
          </w:tcPr>
          <w:p w14:paraId="14B399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NOVO MESTO</w:t>
            </w:r>
          </w:p>
        </w:tc>
      </w:tr>
      <w:tr w:rsidR="00F24E18" w14:paraId="34B5BA2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4050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815</w:t>
            </w:r>
          </w:p>
        </w:tc>
        <w:tc>
          <w:tcPr>
            <w:tcW w:w="1300" w:type="dxa"/>
            <w:tcBorders>
              <w:top w:val="nil"/>
              <w:left w:val="nil"/>
              <w:bottom w:val="single" w:sz="4" w:space="0" w:color="auto"/>
              <w:right w:val="single" w:sz="4" w:space="0" w:color="auto"/>
            </w:tcBorders>
            <w:vAlign w:val="center"/>
            <w:hideMark/>
          </w:tcPr>
          <w:p w14:paraId="164ED7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5883598000</w:t>
            </w:r>
          </w:p>
        </w:tc>
        <w:tc>
          <w:tcPr>
            <w:tcW w:w="1012" w:type="dxa"/>
            <w:tcBorders>
              <w:top w:val="nil"/>
              <w:left w:val="nil"/>
              <w:bottom w:val="single" w:sz="4" w:space="0" w:color="auto"/>
              <w:right w:val="single" w:sz="4" w:space="0" w:color="auto"/>
            </w:tcBorders>
            <w:vAlign w:val="center"/>
            <w:hideMark/>
          </w:tcPr>
          <w:p w14:paraId="69A1ED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85675237</w:t>
            </w:r>
          </w:p>
        </w:tc>
        <w:tc>
          <w:tcPr>
            <w:tcW w:w="5953" w:type="dxa"/>
            <w:tcBorders>
              <w:top w:val="nil"/>
              <w:left w:val="nil"/>
              <w:bottom w:val="single" w:sz="4" w:space="0" w:color="auto"/>
              <w:right w:val="single" w:sz="4" w:space="0" w:color="auto"/>
            </w:tcBorders>
            <w:noWrap/>
            <w:vAlign w:val="center"/>
            <w:hideMark/>
          </w:tcPr>
          <w:p w14:paraId="042905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PTUJ</w:t>
            </w:r>
          </w:p>
        </w:tc>
      </w:tr>
      <w:tr w:rsidR="00F24E18" w14:paraId="31523D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B3E9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816</w:t>
            </w:r>
          </w:p>
        </w:tc>
        <w:tc>
          <w:tcPr>
            <w:tcW w:w="1300" w:type="dxa"/>
            <w:tcBorders>
              <w:top w:val="nil"/>
              <w:left w:val="nil"/>
              <w:bottom w:val="single" w:sz="4" w:space="0" w:color="auto"/>
              <w:right w:val="single" w:sz="4" w:space="0" w:color="auto"/>
            </w:tcBorders>
            <w:vAlign w:val="center"/>
            <w:hideMark/>
          </w:tcPr>
          <w:p w14:paraId="2320F4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5883903000</w:t>
            </w:r>
          </w:p>
        </w:tc>
        <w:tc>
          <w:tcPr>
            <w:tcW w:w="1012" w:type="dxa"/>
            <w:tcBorders>
              <w:top w:val="nil"/>
              <w:left w:val="nil"/>
              <w:bottom w:val="single" w:sz="4" w:space="0" w:color="auto"/>
              <w:right w:val="single" w:sz="4" w:space="0" w:color="auto"/>
            </w:tcBorders>
            <w:vAlign w:val="center"/>
            <w:hideMark/>
          </w:tcPr>
          <w:p w14:paraId="424036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92076912</w:t>
            </w:r>
          </w:p>
        </w:tc>
        <w:tc>
          <w:tcPr>
            <w:tcW w:w="5953" w:type="dxa"/>
            <w:tcBorders>
              <w:top w:val="nil"/>
              <w:left w:val="nil"/>
              <w:bottom w:val="single" w:sz="4" w:space="0" w:color="auto"/>
              <w:right w:val="single" w:sz="4" w:space="0" w:color="auto"/>
            </w:tcBorders>
            <w:noWrap/>
            <w:vAlign w:val="center"/>
            <w:hideMark/>
          </w:tcPr>
          <w:p w14:paraId="3472C0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SLOVENJ GRADEC</w:t>
            </w:r>
          </w:p>
        </w:tc>
      </w:tr>
      <w:tr w:rsidR="00F24E18" w14:paraId="468DDE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0605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817</w:t>
            </w:r>
          </w:p>
        </w:tc>
        <w:tc>
          <w:tcPr>
            <w:tcW w:w="1300" w:type="dxa"/>
            <w:tcBorders>
              <w:top w:val="nil"/>
              <w:left w:val="nil"/>
              <w:bottom w:val="single" w:sz="4" w:space="0" w:color="auto"/>
              <w:right w:val="single" w:sz="4" w:space="0" w:color="auto"/>
            </w:tcBorders>
            <w:vAlign w:val="center"/>
            <w:hideMark/>
          </w:tcPr>
          <w:p w14:paraId="711622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5884268000</w:t>
            </w:r>
          </w:p>
        </w:tc>
        <w:tc>
          <w:tcPr>
            <w:tcW w:w="1012" w:type="dxa"/>
            <w:tcBorders>
              <w:top w:val="nil"/>
              <w:left w:val="nil"/>
              <w:bottom w:val="single" w:sz="4" w:space="0" w:color="auto"/>
              <w:right w:val="single" w:sz="4" w:space="0" w:color="auto"/>
            </w:tcBorders>
            <w:vAlign w:val="center"/>
            <w:hideMark/>
          </w:tcPr>
          <w:p w14:paraId="7932E3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49082884</w:t>
            </w:r>
          </w:p>
        </w:tc>
        <w:tc>
          <w:tcPr>
            <w:tcW w:w="5953" w:type="dxa"/>
            <w:tcBorders>
              <w:top w:val="nil"/>
              <w:left w:val="nil"/>
              <w:bottom w:val="single" w:sz="4" w:space="0" w:color="auto"/>
              <w:right w:val="single" w:sz="4" w:space="0" w:color="auto"/>
            </w:tcBorders>
            <w:noWrap/>
            <w:vAlign w:val="center"/>
            <w:hideMark/>
          </w:tcPr>
          <w:p w14:paraId="30479E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OBČINA VELENJE</w:t>
            </w:r>
          </w:p>
        </w:tc>
      </w:tr>
      <w:tr w:rsidR="00F24E18" w14:paraId="0E633C4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8B8C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818</w:t>
            </w:r>
          </w:p>
        </w:tc>
        <w:tc>
          <w:tcPr>
            <w:tcW w:w="1300" w:type="dxa"/>
            <w:tcBorders>
              <w:top w:val="nil"/>
              <w:left w:val="nil"/>
              <w:bottom w:val="single" w:sz="4" w:space="0" w:color="auto"/>
              <w:right w:val="single" w:sz="4" w:space="0" w:color="auto"/>
            </w:tcBorders>
            <w:noWrap/>
            <w:vAlign w:val="center"/>
            <w:hideMark/>
          </w:tcPr>
          <w:p w14:paraId="43A97C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5021766000</w:t>
            </w:r>
          </w:p>
        </w:tc>
        <w:tc>
          <w:tcPr>
            <w:tcW w:w="1012" w:type="dxa"/>
            <w:tcBorders>
              <w:top w:val="nil"/>
              <w:left w:val="nil"/>
              <w:bottom w:val="single" w:sz="4" w:space="0" w:color="auto"/>
              <w:right w:val="single" w:sz="4" w:space="0" w:color="auto"/>
            </w:tcBorders>
            <w:noWrap/>
            <w:vAlign w:val="center"/>
            <w:hideMark/>
          </w:tcPr>
          <w:p w14:paraId="581505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64636313</w:t>
            </w:r>
          </w:p>
        </w:tc>
        <w:tc>
          <w:tcPr>
            <w:tcW w:w="5953" w:type="dxa"/>
            <w:tcBorders>
              <w:top w:val="nil"/>
              <w:left w:val="nil"/>
              <w:bottom w:val="single" w:sz="4" w:space="0" w:color="auto"/>
              <w:right w:val="single" w:sz="4" w:space="0" w:color="auto"/>
            </w:tcBorders>
            <w:noWrap/>
            <w:vAlign w:val="center"/>
            <w:hideMark/>
          </w:tcPr>
          <w:p w14:paraId="396FBA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MESTNA SKUPNOST ŠENTJUR</w:t>
            </w:r>
          </w:p>
        </w:tc>
      </w:tr>
      <w:tr w:rsidR="00F24E18" w14:paraId="0B54A7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0CB8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819</w:t>
            </w:r>
          </w:p>
        </w:tc>
        <w:tc>
          <w:tcPr>
            <w:tcW w:w="1300" w:type="dxa"/>
            <w:tcBorders>
              <w:top w:val="nil"/>
              <w:left w:val="nil"/>
              <w:bottom w:val="single" w:sz="4" w:space="0" w:color="auto"/>
              <w:right w:val="single" w:sz="4" w:space="0" w:color="auto"/>
            </w:tcBorders>
            <w:noWrap/>
            <w:vAlign w:val="center"/>
            <w:hideMark/>
          </w:tcPr>
          <w:p w14:paraId="52FE9E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8579156000</w:t>
            </w:r>
          </w:p>
        </w:tc>
        <w:tc>
          <w:tcPr>
            <w:tcW w:w="1012" w:type="dxa"/>
            <w:tcBorders>
              <w:top w:val="nil"/>
              <w:left w:val="nil"/>
              <w:bottom w:val="single" w:sz="4" w:space="0" w:color="auto"/>
              <w:right w:val="single" w:sz="4" w:space="0" w:color="auto"/>
            </w:tcBorders>
            <w:noWrap/>
            <w:vAlign w:val="center"/>
            <w:hideMark/>
          </w:tcPr>
          <w:p w14:paraId="0D22A9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53087682</w:t>
            </w:r>
          </w:p>
        </w:tc>
        <w:tc>
          <w:tcPr>
            <w:tcW w:w="5953" w:type="dxa"/>
            <w:tcBorders>
              <w:top w:val="nil"/>
              <w:left w:val="nil"/>
              <w:bottom w:val="single" w:sz="4" w:space="0" w:color="auto"/>
              <w:right w:val="single" w:sz="4" w:space="0" w:color="auto"/>
            </w:tcBorders>
            <w:noWrap/>
            <w:vAlign w:val="center"/>
            <w:hideMark/>
          </w:tcPr>
          <w:p w14:paraId="05DD06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MESTNE NEPREMIČNINE, DRUŽBA ZA UPRAVLJANJE, GOSPODARJENJE IN TRGOVANJE Z NEPREMIČNINAMI D.O.O.</w:t>
            </w:r>
          </w:p>
        </w:tc>
      </w:tr>
      <w:tr w:rsidR="00F24E18" w14:paraId="3CDBCD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B854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820</w:t>
            </w:r>
          </w:p>
        </w:tc>
        <w:tc>
          <w:tcPr>
            <w:tcW w:w="1300" w:type="dxa"/>
            <w:tcBorders>
              <w:top w:val="nil"/>
              <w:left w:val="nil"/>
              <w:bottom w:val="single" w:sz="4" w:space="0" w:color="auto"/>
              <w:right w:val="single" w:sz="4" w:space="0" w:color="auto"/>
            </w:tcBorders>
            <w:noWrap/>
            <w:vAlign w:val="center"/>
            <w:hideMark/>
          </w:tcPr>
          <w:p w14:paraId="3F7E3C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1580515000</w:t>
            </w:r>
          </w:p>
        </w:tc>
        <w:tc>
          <w:tcPr>
            <w:tcW w:w="1012" w:type="dxa"/>
            <w:tcBorders>
              <w:top w:val="nil"/>
              <w:left w:val="nil"/>
              <w:bottom w:val="single" w:sz="4" w:space="0" w:color="auto"/>
              <w:right w:val="single" w:sz="4" w:space="0" w:color="auto"/>
            </w:tcBorders>
            <w:noWrap/>
            <w:vAlign w:val="center"/>
            <w:hideMark/>
          </w:tcPr>
          <w:p w14:paraId="68ECDE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69962529</w:t>
            </w:r>
          </w:p>
        </w:tc>
        <w:tc>
          <w:tcPr>
            <w:tcW w:w="5953" w:type="dxa"/>
            <w:tcBorders>
              <w:top w:val="nil"/>
              <w:left w:val="nil"/>
              <w:bottom w:val="single" w:sz="4" w:space="0" w:color="auto"/>
              <w:right w:val="single" w:sz="4" w:space="0" w:color="auto"/>
            </w:tcBorders>
            <w:noWrap/>
            <w:vAlign w:val="center"/>
            <w:hideMark/>
          </w:tcPr>
          <w:p w14:paraId="621AE5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MESTNE STORITVE, JAVNO PODJETJE ZA UREJANJE MESTA, D.O.O., NOVA GORICA</w:t>
            </w:r>
          </w:p>
        </w:tc>
      </w:tr>
      <w:tr w:rsidR="00F24E18" w14:paraId="01B151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68BF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821</w:t>
            </w:r>
          </w:p>
        </w:tc>
        <w:tc>
          <w:tcPr>
            <w:tcW w:w="1300" w:type="dxa"/>
            <w:tcBorders>
              <w:top w:val="nil"/>
              <w:left w:val="nil"/>
              <w:bottom w:val="single" w:sz="4" w:space="0" w:color="auto"/>
              <w:right w:val="single" w:sz="4" w:space="0" w:color="auto"/>
            </w:tcBorders>
            <w:noWrap/>
            <w:vAlign w:val="center"/>
            <w:hideMark/>
          </w:tcPr>
          <w:p w14:paraId="688113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5053161000</w:t>
            </w:r>
          </w:p>
        </w:tc>
        <w:tc>
          <w:tcPr>
            <w:tcW w:w="1012" w:type="dxa"/>
            <w:tcBorders>
              <w:top w:val="nil"/>
              <w:left w:val="nil"/>
              <w:bottom w:val="single" w:sz="4" w:space="0" w:color="auto"/>
              <w:right w:val="single" w:sz="4" w:space="0" w:color="auto"/>
            </w:tcBorders>
            <w:noWrap/>
            <w:vAlign w:val="center"/>
            <w:hideMark/>
          </w:tcPr>
          <w:p w14:paraId="3AD2CD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77805526</w:t>
            </w:r>
          </w:p>
        </w:tc>
        <w:tc>
          <w:tcPr>
            <w:tcW w:w="5953" w:type="dxa"/>
            <w:tcBorders>
              <w:top w:val="nil"/>
              <w:left w:val="nil"/>
              <w:bottom w:val="single" w:sz="4" w:space="0" w:color="auto"/>
              <w:right w:val="single" w:sz="4" w:space="0" w:color="auto"/>
            </w:tcBorders>
            <w:noWrap/>
            <w:vAlign w:val="center"/>
            <w:hideMark/>
          </w:tcPr>
          <w:p w14:paraId="441556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MESTNO GLEDALIŠČE LJUBLJANSKO</w:t>
            </w:r>
          </w:p>
        </w:tc>
      </w:tr>
      <w:tr w:rsidR="00F24E18" w14:paraId="67F2113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99C5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822</w:t>
            </w:r>
          </w:p>
        </w:tc>
        <w:tc>
          <w:tcPr>
            <w:tcW w:w="1300" w:type="dxa"/>
            <w:tcBorders>
              <w:top w:val="nil"/>
              <w:left w:val="nil"/>
              <w:bottom w:val="single" w:sz="4" w:space="0" w:color="auto"/>
              <w:right w:val="single" w:sz="4" w:space="0" w:color="auto"/>
            </w:tcBorders>
            <w:noWrap/>
            <w:vAlign w:val="center"/>
            <w:hideMark/>
          </w:tcPr>
          <w:p w14:paraId="4839E9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1190393000</w:t>
            </w:r>
          </w:p>
        </w:tc>
        <w:tc>
          <w:tcPr>
            <w:tcW w:w="1012" w:type="dxa"/>
            <w:tcBorders>
              <w:top w:val="nil"/>
              <w:left w:val="nil"/>
              <w:bottom w:val="single" w:sz="4" w:space="0" w:color="auto"/>
              <w:right w:val="single" w:sz="4" w:space="0" w:color="auto"/>
            </w:tcBorders>
            <w:noWrap/>
            <w:vAlign w:val="center"/>
            <w:hideMark/>
          </w:tcPr>
          <w:p w14:paraId="70B677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79524575</w:t>
            </w:r>
          </w:p>
        </w:tc>
        <w:tc>
          <w:tcPr>
            <w:tcW w:w="5953" w:type="dxa"/>
            <w:tcBorders>
              <w:top w:val="nil"/>
              <w:left w:val="nil"/>
              <w:bottom w:val="single" w:sz="4" w:space="0" w:color="auto"/>
              <w:right w:val="single" w:sz="4" w:space="0" w:color="auto"/>
            </w:tcBorders>
            <w:noWrap/>
            <w:vAlign w:val="center"/>
            <w:hideMark/>
          </w:tcPr>
          <w:p w14:paraId="23073E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DELO, DRUŽINO, SOCIALNE ZADEVE IN ENAKE MOŽNOSTI INŠPEKTORAT REPUBLIKE SLOVENIJE ZA DELO</w:t>
            </w:r>
          </w:p>
        </w:tc>
      </w:tr>
      <w:tr w:rsidR="00F24E18" w14:paraId="2CCF4A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8A76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823</w:t>
            </w:r>
          </w:p>
        </w:tc>
        <w:tc>
          <w:tcPr>
            <w:tcW w:w="1300" w:type="dxa"/>
            <w:tcBorders>
              <w:top w:val="nil"/>
              <w:left w:val="nil"/>
              <w:bottom w:val="single" w:sz="4" w:space="0" w:color="auto"/>
              <w:right w:val="single" w:sz="4" w:space="0" w:color="auto"/>
            </w:tcBorders>
            <w:vAlign w:val="center"/>
            <w:hideMark/>
          </w:tcPr>
          <w:p w14:paraId="76FE01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2632586000</w:t>
            </w:r>
          </w:p>
        </w:tc>
        <w:tc>
          <w:tcPr>
            <w:tcW w:w="1012" w:type="dxa"/>
            <w:tcBorders>
              <w:top w:val="nil"/>
              <w:left w:val="nil"/>
              <w:bottom w:val="single" w:sz="4" w:space="0" w:color="auto"/>
              <w:right w:val="single" w:sz="4" w:space="0" w:color="auto"/>
            </w:tcBorders>
            <w:vAlign w:val="center"/>
            <w:hideMark/>
          </w:tcPr>
          <w:p w14:paraId="098B8A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29802377</w:t>
            </w:r>
          </w:p>
        </w:tc>
        <w:tc>
          <w:tcPr>
            <w:tcW w:w="5953" w:type="dxa"/>
            <w:tcBorders>
              <w:top w:val="nil"/>
              <w:left w:val="nil"/>
              <w:bottom w:val="single" w:sz="4" w:space="0" w:color="auto"/>
              <w:right w:val="single" w:sz="4" w:space="0" w:color="auto"/>
            </w:tcBorders>
            <w:noWrap/>
            <w:vAlign w:val="center"/>
            <w:hideMark/>
          </w:tcPr>
          <w:p w14:paraId="494666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DIGITALNO PREOBRAZBO</w:t>
            </w:r>
          </w:p>
        </w:tc>
      </w:tr>
      <w:tr w:rsidR="00F24E18" w14:paraId="043EE8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746D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824</w:t>
            </w:r>
          </w:p>
        </w:tc>
        <w:tc>
          <w:tcPr>
            <w:tcW w:w="1300" w:type="dxa"/>
            <w:tcBorders>
              <w:top w:val="nil"/>
              <w:left w:val="nil"/>
              <w:bottom w:val="single" w:sz="4" w:space="0" w:color="auto"/>
              <w:right w:val="single" w:sz="4" w:space="0" w:color="auto"/>
            </w:tcBorders>
            <w:vAlign w:val="center"/>
            <w:hideMark/>
          </w:tcPr>
          <w:p w14:paraId="389DF8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5028256000</w:t>
            </w:r>
          </w:p>
        </w:tc>
        <w:tc>
          <w:tcPr>
            <w:tcW w:w="1012" w:type="dxa"/>
            <w:tcBorders>
              <w:top w:val="nil"/>
              <w:left w:val="nil"/>
              <w:bottom w:val="single" w:sz="4" w:space="0" w:color="auto"/>
              <w:right w:val="single" w:sz="4" w:space="0" w:color="auto"/>
            </w:tcBorders>
            <w:vAlign w:val="center"/>
            <w:hideMark/>
          </w:tcPr>
          <w:p w14:paraId="1F45BB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23348887</w:t>
            </w:r>
          </w:p>
        </w:tc>
        <w:tc>
          <w:tcPr>
            <w:tcW w:w="5953" w:type="dxa"/>
            <w:tcBorders>
              <w:top w:val="nil"/>
              <w:left w:val="nil"/>
              <w:bottom w:val="single" w:sz="4" w:space="0" w:color="auto"/>
              <w:right w:val="single" w:sz="4" w:space="0" w:color="auto"/>
            </w:tcBorders>
            <w:noWrap/>
            <w:vAlign w:val="center"/>
            <w:hideMark/>
          </w:tcPr>
          <w:p w14:paraId="51249A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FINANCE</w:t>
            </w:r>
          </w:p>
        </w:tc>
      </w:tr>
      <w:tr w:rsidR="00F24E18" w14:paraId="1107BD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6315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825</w:t>
            </w:r>
          </w:p>
        </w:tc>
        <w:tc>
          <w:tcPr>
            <w:tcW w:w="1300" w:type="dxa"/>
            <w:tcBorders>
              <w:top w:val="nil"/>
              <w:left w:val="nil"/>
              <w:bottom w:val="single" w:sz="4" w:space="0" w:color="auto"/>
              <w:right w:val="single" w:sz="4" w:space="0" w:color="auto"/>
            </w:tcBorders>
            <w:vAlign w:val="center"/>
            <w:hideMark/>
          </w:tcPr>
          <w:p w14:paraId="002CC6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2482711000</w:t>
            </w:r>
          </w:p>
        </w:tc>
        <w:tc>
          <w:tcPr>
            <w:tcW w:w="1012" w:type="dxa"/>
            <w:tcBorders>
              <w:top w:val="nil"/>
              <w:left w:val="nil"/>
              <w:bottom w:val="single" w:sz="4" w:space="0" w:color="auto"/>
              <w:right w:val="single" w:sz="4" w:space="0" w:color="auto"/>
            </w:tcBorders>
            <w:vAlign w:val="center"/>
            <w:hideMark/>
          </w:tcPr>
          <w:p w14:paraId="50C92B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77695771</w:t>
            </w:r>
          </w:p>
        </w:tc>
        <w:tc>
          <w:tcPr>
            <w:tcW w:w="5953" w:type="dxa"/>
            <w:tcBorders>
              <w:top w:val="nil"/>
              <w:left w:val="nil"/>
              <w:bottom w:val="single" w:sz="4" w:space="0" w:color="auto"/>
              <w:right w:val="single" w:sz="4" w:space="0" w:color="auto"/>
            </w:tcBorders>
            <w:noWrap/>
            <w:vAlign w:val="center"/>
            <w:hideMark/>
          </w:tcPr>
          <w:p w14:paraId="509C23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FINANCE FINANČNA UPRAVA REPUBLIKE SLOVENIJE</w:t>
            </w:r>
          </w:p>
        </w:tc>
      </w:tr>
      <w:tr w:rsidR="00F24E18" w14:paraId="6199363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F32F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826</w:t>
            </w:r>
          </w:p>
        </w:tc>
        <w:tc>
          <w:tcPr>
            <w:tcW w:w="1300" w:type="dxa"/>
            <w:tcBorders>
              <w:top w:val="nil"/>
              <w:left w:val="nil"/>
              <w:bottom w:val="single" w:sz="4" w:space="0" w:color="auto"/>
              <w:right w:val="single" w:sz="4" w:space="0" w:color="auto"/>
            </w:tcBorders>
            <w:noWrap/>
            <w:vAlign w:val="center"/>
            <w:hideMark/>
          </w:tcPr>
          <w:p w14:paraId="3C71AA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5816947000</w:t>
            </w:r>
          </w:p>
        </w:tc>
        <w:tc>
          <w:tcPr>
            <w:tcW w:w="1012" w:type="dxa"/>
            <w:tcBorders>
              <w:top w:val="nil"/>
              <w:left w:val="nil"/>
              <w:bottom w:val="single" w:sz="4" w:space="0" w:color="auto"/>
              <w:right w:val="single" w:sz="4" w:space="0" w:color="auto"/>
            </w:tcBorders>
            <w:noWrap/>
            <w:vAlign w:val="center"/>
            <w:hideMark/>
          </w:tcPr>
          <w:p w14:paraId="6FB7EC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40520056</w:t>
            </w:r>
          </w:p>
        </w:tc>
        <w:tc>
          <w:tcPr>
            <w:tcW w:w="5953" w:type="dxa"/>
            <w:tcBorders>
              <w:top w:val="nil"/>
              <w:left w:val="nil"/>
              <w:bottom w:val="single" w:sz="4" w:space="0" w:color="auto"/>
              <w:right w:val="single" w:sz="4" w:space="0" w:color="auto"/>
            </w:tcBorders>
            <w:noWrap/>
            <w:vAlign w:val="center"/>
            <w:hideMark/>
          </w:tcPr>
          <w:p w14:paraId="7DF2AB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FINANCE RS GENERALNI SEKRETARIAT - SLUŽBA ZA ANALIZE IN RAZVOJ</w:t>
            </w:r>
          </w:p>
        </w:tc>
      </w:tr>
      <w:tr w:rsidR="00F24E18" w14:paraId="654BCF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C0C4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827</w:t>
            </w:r>
          </w:p>
        </w:tc>
        <w:tc>
          <w:tcPr>
            <w:tcW w:w="1300" w:type="dxa"/>
            <w:tcBorders>
              <w:top w:val="nil"/>
              <w:left w:val="nil"/>
              <w:bottom w:val="single" w:sz="4" w:space="0" w:color="auto"/>
              <w:right w:val="single" w:sz="4" w:space="0" w:color="auto"/>
            </w:tcBorders>
            <w:vAlign w:val="center"/>
            <w:hideMark/>
          </w:tcPr>
          <w:p w14:paraId="7735AB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1572814000</w:t>
            </w:r>
          </w:p>
        </w:tc>
        <w:tc>
          <w:tcPr>
            <w:tcW w:w="1012" w:type="dxa"/>
            <w:tcBorders>
              <w:top w:val="nil"/>
              <w:left w:val="nil"/>
              <w:bottom w:val="single" w:sz="4" w:space="0" w:color="auto"/>
              <w:right w:val="single" w:sz="4" w:space="0" w:color="auto"/>
            </w:tcBorders>
            <w:vAlign w:val="center"/>
            <w:hideMark/>
          </w:tcPr>
          <w:p w14:paraId="6110C9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10641424</w:t>
            </w:r>
          </w:p>
        </w:tc>
        <w:tc>
          <w:tcPr>
            <w:tcW w:w="5953" w:type="dxa"/>
            <w:tcBorders>
              <w:top w:val="nil"/>
              <w:left w:val="nil"/>
              <w:bottom w:val="single" w:sz="4" w:space="0" w:color="auto"/>
              <w:right w:val="single" w:sz="4" w:space="0" w:color="auto"/>
            </w:tcBorders>
            <w:noWrap/>
            <w:vAlign w:val="center"/>
            <w:hideMark/>
          </w:tcPr>
          <w:p w14:paraId="5C05CB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FINANCE UPRAVA REPUBLIKE SLOVENIJE ZA JAVNA PLAČILA</w:t>
            </w:r>
          </w:p>
        </w:tc>
      </w:tr>
      <w:tr w:rsidR="00F24E18" w14:paraId="7C2F4F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5F4F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828</w:t>
            </w:r>
          </w:p>
        </w:tc>
        <w:tc>
          <w:tcPr>
            <w:tcW w:w="1300" w:type="dxa"/>
            <w:tcBorders>
              <w:top w:val="nil"/>
              <w:left w:val="nil"/>
              <w:bottom w:val="single" w:sz="4" w:space="0" w:color="auto"/>
              <w:right w:val="single" w:sz="4" w:space="0" w:color="auto"/>
            </w:tcBorders>
            <w:vAlign w:val="center"/>
            <w:hideMark/>
          </w:tcPr>
          <w:p w14:paraId="6B8AC7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1870491000</w:t>
            </w:r>
          </w:p>
        </w:tc>
        <w:tc>
          <w:tcPr>
            <w:tcW w:w="1012" w:type="dxa"/>
            <w:tcBorders>
              <w:top w:val="nil"/>
              <w:left w:val="nil"/>
              <w:bottom w:val="single" w:sz="4" w:space="0" w:color="auto"/>
              <w:right w:val="single" w:sz="4" w:space="0" w:color="auto"/>
            </w:tcBorders>
            <w:vAlign w:val="center"/>
            <w:hideMark/>
          </w:tcPr>
          <w:p w14:paraId="4626FC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29066042</w:t>
            </w:r>
          </w:p>
        </w:tc>
        <w:tc>
          <w:tcPr>
            <w:tcW w:w="5953" w:type="dxa"/>
            <w:tcBorders>
              <w:top w:val="nil"/>
              <w:left w:val="nil"/>
              <w:bottom w:val="single" w:sz="4" w:space="0" w:color="auto"/>
              <w:right w:val="single" w:sz="4" w:space="0" w:color="auto"/>
            </w:tcBorders>
            <w:noWrap/>
            <w:vAlign w:val="center"/>
            <w:hideMark/>
          </w:tcPr>
          <w:p w14:paraId="60C18C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FINANCE URAD REPUBLIKE SLOVENIJE ZA NADZOR PRORAČUNA</w:t>
            </w:r>
          </w:p>
        </w:tc>
      </w:tr>
      <w:tr w:rsidR="00F24E18" w14:paraId="7E7FEF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0A5E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829</w:t>
            </w:r>
          </w:p>
        </w:tc>
        <w:tc>
          <w:tcPr>
            <w:tcW w:w="1300" w:type="dxa"/>
            <w:tcBorders>
              <w:top w:val="nil"/>
              <w:left w:val="nil"/>
              <w:bottom w:val="single" w:sz="4" w:space="0" w:color="auto"/>
              <w:right w:val="single" w:sz="4" w:space="0" w:color="auto"/>
            </w:tcBorders>
            <w:vAlign w:val="center"/>
            <w:hideMark/>
          </w:tcPr>
          <w:p w14:paraId="2EEAAF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5875021000</w:t>
            </w:r>
          </w:p>
        </w:tc>
        <w:tc>
          <w:tcPr>
            <w:tcW w:w="1012" w:type="dxa"/>
            <w:tcBorders>
              <w:top w:val="nil"/>
              <w:left w:val="nil"/>
              <w:bottom w:val="single" w:sz="4" w:space="0" w:color="auto"/>
              <w:right w:val="single" w:sz="4" w:space="0" w:color="auto"/>
            </w:tcBorders>
            <w:vAlign w:val="center"/>
            <w:hideMark/>
          </w:tcPr>
          <w:p w14:paraId="7C6B20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60330279</w:t>
            </w:r>
          </w:p>
        </w:tc>
        <w:tc>
          <w:tcPr>
            <w:tcW w:w="5953" w:type="dxa"/>
            <w:tcBorders>
              <w:top w:val="nil"/>
              <w:left w:val="nil"/>
              <w:bottom w:val="single" w:sz="4" w:space="0" w:color="auto"/>
              <w:right w:val="single" w:sz="4" w:space="0" w:color="auto"/>
            </w:tcBorders>
            <w:noWrap/>
            <w:vAlign w:val="center"/>
            <w:hideMark/>
          </w:tcPr>
          <w:p w14:paraId="34C181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FINANCE URAD REPUBLIKE SLOVENIJE ZA PREPREČEVANJE PRANJA DENARJA</w:t>
            </w:r>
          </w:p>
        </w:tc>
      </w:tr>
      <w:tr w:rsidR="00F24E18" w14:paraId="79030D2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22CB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830</w:t>
            </w:r>
          </w:p>
        </w:tc>
        <w:tc>
          <w:tcPr>
            <w:tcW w:w="1300" w:type="dxa"/>
            <w:tcBorders>
              <w:top w:val="nil"/>
              <w:left w:val="nil"/>
              <w:bottom w:val="single" w:sz="4" w:space="0" w:color="auto"/>
              <w:right w:val="single" w:sz="4" w:space="0" w:color="auto"/>
            </w:tcBorders>
            <w:vAlign w:val="center"/>
            <w:hideMark/>
          </w:tcPr>
          <w:p w14:paraId="0AE401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2399245000</w:t>
            </w:r>
          </w:p>
        </w:tc>
        <w:tc>
          <w:tcPr>
            <w:tcW w:w="1012" w:type="dxa"/>
            <w:tcBorders>
              <w:top w:val="nil"/>
              <w:left w:val="nil"/>
              <w:bottom w:val="single" w:sz="4" w:space="0" w:color="auto"/>
              <w:right w:val="single" w:sz="4" w:space="0" w:color="auto"/>
            </w:tcBorders>
            <w:vAlign w:val="center"/>
            <w:hideMark/>
          </w:tcPr>
          <w:p w14:paraId="6828B4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43159290</w:t>
            </w:r>
          </w:p>
        </w:tc>
        <w:tc>
          <w:tcPr>
            <w:tcW w:w="5953" w:type="dxa"/>
            <w:tcBorders>
              <w:top w:val="nil"/>
              <w:left w:val="nil"/>
              <w:bottom w:val="single" w:sz="4" w:space="0" w:color="auto"/>
              <w:right w:val="single" w:sz="4" w:space="0" w:color="auto"/>
            </w:tcBorders>
            <w:noWrap/>
            <w:vAlign w:val="center"/>
            <w:hideMark/>
          </w:tcPr>
          <w:p w14:paraId="7CB2F8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GOSPODARSKI RAZVOJ IN TEHNOLOGIJO</w:t>
            </w:r>
          </w:p>
        </w:tc>
      </w:tr>
      <w:tr w:rsidR="00F24E18" w14:paraId="0E2149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1C98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831</w:t>
            </w:r>
          </w:p>
        </w:tc>
        <w:tc>
          <w:tcPr>
            <w:tcW w:w="1300" w:type="dxa"/>
            <w:tcBorders>
              <w:top w:val="nil"/>
              <w:left w:val="nil"/>
              <w:bottom w:val="single" w:sz="4" w:space="0" w:color="auto"/>
              <w:right w:val="single" w:sz="4" w:space="0" w:color="auto"/>
            </w:tcBorders>
            <w:vAlign w:val="center"/>
            <w:hideMark/>
          </w:tcPr>
          <w:p w14:paraId="3515AE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5521858000</w:t>
            </w:r>
          </w:p>
        </w:tc>
        <w:tc>
          <w:tcPr>
            <w:tcW w:w="1012" w:type="dxa"/>
            <w:tcBorders>
              <w:top w:val="nil"/>
              <w:left w:val="nil"/>
              <w:bottom w:val="single" w:sz="4" w:space="0" w:color="auto"/>
              <w:right w:val="single" w:sz="4" w:space="0" w:color="auto"/>
            </w:tcBorders>
            <w:vAlign w:val="center"/>
            <w:hideMark/>
          </w:tcPr>
          <w:p w14:paraId="1BE168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41705211</w:t>
            </w:r>
          </w:p>
        </w:tc>
        <w:tc>
          <w:tcPr>
            <w:tcW w:w="5953" w:type="dxa"/>
            <w:tcBorders>
              <w:top w:val="nil"/>
              <w:left w:val="nil"/>
              <w:bottom w:val="single" w:sz="4" w:space="0" w:color="auto"/>
              <w:right w:val="single" w:sz="4" w:space="0" w:color="auto"/>
            </w:tcBorders>
            <w:noWrap/>
            <w:vAlign w:val="center"/>
            <w:hideMark/>
          </w:tcPr>
          <w:p w14:paraId="317FC7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GOSPODARSKI RAZVOJ IN TEHNOLOGIJO - URAD REPUBLIKE SLOVENIJE ZA INTELEKTUALNO LASTNINO</w:t>
            </w:r>
          </w:p>
        </w:tc>
      </w:tr>
      <w:tr w:rsidR="00F24E18" w14:paraId="1B804B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1C3C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832</w:t>
            </w:r>
          </w:p>
        </w:tc>
        <w:tc>
          <w:tcPr>
            <w:tcW w:w="1300" w:type="dxa"/>
            <w:tcBorders>
              <w:top w:val="nil"/>
              <w:left w:val="nil"/>
              <w:bottom w:val="single" w:sz="4" w:space="0" w:color="auto"/>
              <w:right w:val="single" w:sz="4" w:space="0" w:color="auto"/>
            </w:tcBorders>
            <w:vAlign w:val="center"/>
            <w:hideMark/>
          </w:tcPr>
          <w:p w14:paraId="0C43BC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2632616000</w:t>
            </w:r>
          </w:p>
        </w:tc>
        <w:tc>
          <w:tcPr>
            <w:tcW w:w="1012" w:type="dxa"/>
            <w:tcBorders>
              <w:top w:val="nil"/>
              <w:left w:val="nil"/>
              <w:bottom w:val="single" w:sz="4" w:space="0" w:color="auto"/>
              <w:right w:val="single" w:sz="4" w:space="0" w:color="auto"/>
            </w:tcBorders>
            <w:vAlign w:val="center"/>
            <w:hideMark/>
          </w:tcPr>
          <w:p w14:paraId="1D9A03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98577212</w:t>
            </w:r>
          </w:p>
        </w:tc>
        <w:tc>
          <w:tcPr>
            <w:tcW w:w="5953" w:type="dxa"/>
            <w:tcBorders>
              <w:top w:val="nil"/>
              <w:left w:val="nil"/>
              <w:bottom w:val="single" w:sz="4" w:space="0" w:color="auto"/>
              <w:right w:val="single" w:sz="4" w:space="0" w:color="auto"/>
            </w:tcBorders>
            <w:noWrap/>
            <w:vAlign w:val="center"/>
            <w:hideMark/>
          </w:tcPr>
          <w:p w14:paraId="389732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GOSPODARSTVO, TURIZEM IN ŠPORT</w:t>
            </w:r>
          </w:p>
        </w:tc>
      </w:tr>
      <w:tr w:rsidR="00F24E18" w14:paraId="5353CA8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DD44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833</w:t>
            </w:r>
          </w:p>
        </w:tc>
        <w:tc>
          <w:tcPr>
            <w:tcW w:w="1300" w:type="dxa"/>
            <w:tcBorders>
              <w:top w:val="nil"/>
              <w:left w:val="nil"/>
              <w:bottom w:val="single" w:sz="4" w:space="0" w:color="auto"/>
              <w:right w:val="single" w:sz="4" w:space="0" w:color="auto"/>
            </w:tcBorders>
            <w:noWrap/>
            <w:vAlign w:val="center"/>
            <w:hideMark/>
          </w:tcPr>
          <w:p w14:paraId="7AA7CA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2632659000</w:t>
            </w:r>
          </w:p>
        </w:tc>
        <w:tc>
          <w:tcPr>
            <w:tcW w:w="1012" w:type="dxa"/>
            <w:tcBorders>
              <w:top w:val="nil"/>
              <w:left w:val="nil"/>
              <w:bottom w:val="single" w:sz="4" w:space="0" w:color="auto"/>
              <w:right w:val="single" w:sz="4" w:space="0" w:color="auto"/>
            </w:tcBorders>
            <w:noWrap/>
            <w:vAlign w:val="center"/>
            <w:hideMark/>
          </w:tcPr>
          <w:p w14:paraId="121224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16592751</w:t>
            </w:r>
          </w:p>
        </w:tc>
        <w:tc>
          <w:tcPr>
            <w:tcW w:w="5953" w:type="dxa"/>
            <w:tcBorders>
              <w:top w:val="nil"/>
              <w:left w:val="nil"/>
              <w:bottom w:val="single" w:sz="4" w:space="0" w:color="auto"/>
              <w:right w:val="single" w:sz="4" w:space="0" w:color="auto"/>
            </w:tcBorders>
            <w:noWrap/>
            <w:vAlign w:val="center"/>
            <w:hideMark/>
          </w:tcPr>
          <w:p w14:paraId="5D1A41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GOSPODARSTVO, TURIZEM IN ŠPORT - URAD RS ZA INTELEKTUALNO LASTNINO</w:t>
            </w:r>
          </w:p>
        </w:tc>
      </w:tr>
      <w:tr w:rsidR="00F24E18" w14:paraId="653056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8E44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834</w:t>
            </w:r>
          </w:p>
        </w:tc>
        <w:tc>
          <w:tcPr>
            <w:tcW w:w="1300" w:type="dxa"/>
            <w:tcBorders>
              <w:top w:val="nil"/>
              <w:left w:val="nil"/>
              <w:bottom w:val="single" w:sz="4" w:space="0" w:color="auto"/>
              <w:right w:val="single" w:sz="4" w:space="0" w:color="auto"/>
            </w:tcBorders>
            <w:noWrap/>
            <w:vAlign w:val="center"/>
            <w:hideMark/>
          </w:tcPr>
          <w:p w14:paraId="7CEBEA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2632667000</w:t>
            </w:r>
          </w:p>
        </w:tc>
        <w:tc>
          <w:tcPr>
            <w:tcW w:w="1012" w:type="dxa"/>
            <w:tcBorders>
              <w:top w:val="nil"/>
              <w:left w:val="nil"/>
              <w:bottom w:val="single" w:sz="4" w:space="0" w:color="auto"/>
              <w:right w:val="single" w:sz="4" w:space="0" w:color="auto"/>
            </w:tcBorders>
            <w:noWrap/>
            <w:vAlign w:val="center"/>
            <w:hideMark/>
          </w:tcPr>
          <w:p w14:paraId="019596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27271218</w:t>
            </w:r>
          </w:p>
        </w:tc>
        <w:tc>
          <w:tcPr>
            <w:tcW w:w="5953" w:type="dxa"/>
            <w:tcBorders>
              <w:top w:val="nil"/>
              <w:left w:val="nil"/>
              <w:bottom w:val="single" w:sz="4" w:space="0" w:color="auto"/>
              <w:right w:val="single" w:sz="4" w:space="0" w:color="auto"/>
            </w:tcBorders>
            <w:noWrap/>
            <w:vAlign w:val="center"/>
            <w:hideMark/>
          </w:tcPr>
          <w:p w14:paraId="62AB6A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GOSPODARSTVO, TURIZEM IN ŠPORT, TRŽNI INŠPEKTORAT REPUBLIKE SLOVENIJE</w:t>
            </w:r>
          </w:p>
        </w:tc>
      </w:tr>
      <w:tr w:rsidR="00F24E18" w14:paraId="2DE25A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6D1E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835</w:t>
            </w:r>
          </w:p>
        </w:tc>
        <w:tc>
          <w:tcPr>
            <w:tcW w:w="1300" w:type="dxa"/>
            <w:tcBorders>
              <w:top w:val="nil"/>
              <w:left w:val="nil"/>
              <w:bottom w:val="single" w:sz="4" w:space="0" w:color="auto"/>
              <w:right w:val="single" w:sz="4" w:space="0" w:color="auto"/>
            </w:tcBorders>
            <w:noWrap/>
            <w:vAlign w:val="center"/>
            <w:hideMark/>
          </w:tcPr>
          <w:p w14:paraId="173E88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2632683000</w:t>
            </w:r>
          </w:p>
        </w:tc>
        <w:tc>
          <w:tcPr>
            <w:tcW w:w="1012" w:type="dxa"/>
            <w:tcBorders>
              <w:top w:val="nil"/>
              <w:left w:val="nil"/>
              <w:bottom w:val="single" w:sz="4" w:space="0" w:color="auto"/>
              <w:right w:val="single" w:sz="4" w:space="0" w:color="auto"/>
            </w:tcBorders>
            <w:noWrap/>
            <w:vAlign w:val="center"/>
            <w:hideMark/>
          </w:tcPr>
          <w:p w14:paraId="5515AB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64425517</w:t>
            </w:r>
          </w:p>
        </w:tc>
        <w:tc>
          <w:tcPr>
            <w:tcW w:w="5953" w:type="dxa"/>
            <w:tcBorders>
              <w:top w:val="nil"/>
              <w:left w:val="nil"/>
              <w:bottom w:val="single" w:sz="4" w:space="0" w:color="auto"/>
              <w:right w:val="single" w:sz="4" w:space="0" w:color="auto"/>
            </w:tcBorders>
            <w:noWrap/>
            <w:vAlign w:val="center"/>
            <w:hideMark/>
          </w:tcPr>
          <w:p w14:paraId="3B5E5B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GOSPODARSTVO, TURIZEM IN ŠPORT, URAD REPUBLIKE SLOVENIJE ZA MEROSLOVJE</w:t>
            </w:r>
          </w:p>
        </w:tc>
      </w:tr>
      <w:tr w:rsidR="00F24E18" w14:paraId="49E4CB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A7F8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836</w:t>
            </w:r>
          </w:p>
        </w:tc>
        <w:tc>
          <w:tcPr>
            <w:tcW w:w="1300" w:type="dxa"/>
            <w:tcBorders>
              <w:top w:val="nil"/>
              <w:left w:val="nil"/>
              <w:bottom w:val="single" w:sz="4" w:space="0" w:color="auto"/>
              <w:right w:val="single" w:sz="4" w:space="0" w:color="auto"/>
            </w:tcBorders>
            <w:vAlign w:val="center"/>
            <w:hideMark/>
          </w:tcPr>
          <w:p w14:paraId="49E226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2399270000</w:t>
            </w:r>
          </w:p>
        </w:tc>
        <w:tc>
          <w:tcPr>
            <w:tcW w:w="1012" w:type="dxa"/>
            <w:tcBorders>
              <w:top w:val="nil"/>
              <w:left w:val="nil"/>
              <w:bottom w:val="single" w:sz="4" w:space="0" w:color="auto"/>
              <w:right w:val="single" w:sz="4" w:space="0" w:color="auto"/>
            </w:tcBorders>
            <w:vAlign w:val="center"/>
            <w:hideMark/>
          </w:tcPr>
          <w:p w14:paraId="03F21B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25967061</w:t>
            </w:r>
          </w:p>
        </w:tc>
        <w:tc>
          <w:tcPr>
            <w:tcW w:w="5953" w:type="dxa"/>
            <w:tcBorders>
              <w:top w:val="nil"/>
              <w:left w:val="nil"/>
              <w:bottom w:val="single" w:sz="4" w:space="0" w:color="auto"/>
              <w:right w:val="single" w:sz="4" w:space="0" w:color="auto"/>
            </w:tcBorders>
            <w:noWrap/>
            <w:vAlign w:val="center"/>
            <w:hideMark/>
          </w:tcPr>
          <w:p w14:paraId="7A19C6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INFRASTRUKTURO</w:t>
            </w:r>
          </w:p>
        </w:tc>
      </w:tr>
      <w:tr w:rsidR="00F24E18" w14:paraId="4465F37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695B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837</w:t>
            </w:r>
          </w:p>
        </w:tc>
        <w:tc>
          <w:tcPr>
            <w:tcW w:w="1300" w:type="dxa"/>
            <w:tcBorders>
              <w:top w:val="nil"/>
              <w:left w:val="nil"/>
              <w:bottom w:val="single" w:sz="4" w:space="0" w:color="auto"/>
              <w:right w:val="single" w:sz="4" w:space="0" w:color="auto"/>
            </w:tcBorders>
            <w:vAlign w:val="center"/>
            <w:hideMark/>
          </w:tcPr>
          <w:p w14:paraId="09E5DD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5300177000</w:t>
            </w:r>
          </w:p>
        </w:tc>
        <w:tc>
          <w:tcPr>
            <w:tcW w:w="1012" w:type="dxa"/>
            <w:tcBorders>
              <w:top w:val="nil"/>
              <w:left w:val="nil"/>
              <w:bottom w:val="single" w:sz="4" w:space="0" w:color="auto"/>
              <w:right w:val="single" w:sz="4" w:space="0" w:color="auto"/>
            </w:tcBorders>
            <w:vAlign w:val="center"/>
            <w:hideMark/>
          </w:tcPr>
          <w:p w14:paraId="5280ED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75827735</w:t>
            </w:r>
          </w:p>
        </w:tc>
        <w:tc>
          <w:tcPr>
            <w:tcW w:w="5953" w:type="dxa"/>
            <w:tcBorders>
              <w:top w:val="nil"/>
              <w:left w:val="nil"/>
              <w:bottom w:val="single" w:sz="4" w:space="0" w:color="auto"/>
              <w:right w:val="single" w:sz="4" w:space="0" w:color="auto"/>
            </w:tcBorders>
            <w:noWrap/>
            <w:vAlign w:val="center"/>
            <w:hideMark/>
          </w:tcPr>
          <w:p w14:paraId="3711E4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INFRASTRUKTURO, DIREKCIJA REPUBLIKE SLOVENIJE ZA INFRASTRUKTURO</w:t>
            </w:r>
          </w:p>
        </w:tc>
      </w:tr>
      <w:tr w:rsidR="00F24E18" w14:paraId="7568A0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3A70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838</w:t>
            </w:r>
          </w:p>
        </w:tc>
        <w:tc>
          <w:tcPr>
            <w:tcW w:w="1300" w:type="dxa"/>
            <w:tcBorders>
              <w:top w:val="nil"/>
              <w:left w:val="nil"/>
              <w:bottom w:val="single" w:sz="4" w:space="0" w:color="auto"/>
              <w:right w:val="single" w:sz="4" w:space="0" w:color="auto"/>
            </w:tcBorders>
            <w:noWrap/>
            <w:vAlign w:val="center"/>
            <w:hideMark/>
          </w:tcPr>
          <w:p w14:paraId="5B036E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2399288000</w:t>
            </w:r>
          </w:p>
        </w:tc>
        <w:tc>
          <w:tcPr>
            <w:tcW w:w="1012" w:type="dxa"/>
            <w:tcBorders>
              <w:top w:val="nil"/>
              <w:left w:val="nil"/>
              <w:bottom w:val="single" w:sz="4" w:space="0" w:color="auto"/>
              <w:right w:val="single" w:sz="4" w:space="0" w:color="auto"/>
            </w:tcBorders>
            <w:noWrap/>
            <w:vAlign w:val="center"/>
            <w:hideMark/>
          </w:tcPr>
          <w:p w14:paraId="2DB32A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75141051</w:t>
            </w:r>
          </w:p>
        </w:tc>
        <w:tc>
          <w:tcPr>
            <w:tcW w:w="5953" w:type="dxa"/>
            <w:tcBorders>
              <w:top w:val="nil"/>
              <w:left w:val="nil"/>
              <w:bottom w:val="single" w:sz="4" w:space="0" w:color="auto"/>
              <w:right w:val="single" w:sz="4" w:space="0" w:color="auto"/>
            </w:tcBorders>
            <w:noWrap/>
            <w:vAlign w:val="center"/>
            <w:hideMark/>
          </w:tcPr>
          <w:p w14:paraId="4D5FF5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INFRASTRUKTURO, INŠPEKTORAT REPUBLIKE SLOVENIJE ZA INFRASTRUKTURO</w:t>
            </w:r>
          </w:p>
        </w:tc>
      </w:tr>
      <w:tr w:rsidR="00F24E18" w14:paraId="649B01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DFD1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839</w:t>
            </w:r>
          </w:p>
        </w:tc>
        <w:tc>
          <w:tcPr>
            <w:tcW w:w="1300" w:type="dxa"/>
            <w:tcBorders>
              <w:top w:val="nil"/>
              <w:left w:val="nil"/>
              <w:bottom w:val="single" w:sz="4" w:space="0" w:color="auto"/>
              <w:right w:val="single" w:sz="4" w:space="0" w:color="auto"/>
            </w:tcBorders>
            <w:vAlign w:val="center"/>
            <w:hideMark/>
          </w:tcPr>
          <w:p w14:paraId="2A756C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5022592000</w:t>
            </w:r>
          </w:p>
        </w:tc>
        <w:tc>
          <w:tcPr>
            <w:tcW w:w="1012" w:type="dxa"/>
            <w:tcBorders>
              <w:top w:val="nil"/>
              <w:left w:val="nil"/>
              <w:bottom w:val="single" w:sz="4" w:space="0" w:color="auto"/>
              <w:right w:val="single" w:sz="4" w:space="0" w:color="auto"/>
            </w:tcBorders>
            <w:vAlign w:val="center"/>
            <w:hideMark/>
          </w:tcPr>
          <w:p w14:paraId="75E08D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95586377</w:t>
            </w:r>
          </w:p>
        </w:tc>
        <w:tc>
          <w:tcPr>
            <w:tcW w:w="5953" w:type="dxa"/>
            <w:tcBorders>
              <w:top w:val="nil"/>
              <w:left w:val="nil"/>
              <w:bottom w:val="single" w:sz="4" w:space="0" w:color="auto"/>
              <w:right w:val="single" w:sz="4" w:space="0" w:color="auto"/>
            </w:tcBorders>
            <w:noWrap/>
            <w:vAlign w:val="center"/>
            <w:hideMark/>
          </w:tcPr>
          <w:p w14:paraId="42AF92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INFRASTRUKTURO, UPRAVA REPUBLIKE SLOVENIJE ZA POMORSTVO</w:t>
            </w:r>
          </w:p>
        </w:tc>
      </w:tr>
      <w:tr w:rsidR="00F24E18" w14:paraId="5068607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A82C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840</w:t>
            </w:r>
          </w:p>
        </w:tc>
        <w:tc>
          <w:tcPr>
            <w:tcW w:w="1300" w:type="dxa"/>
            <w:tcBorders>
              <w:top w:val="nil"/>
              <w:left w:val="nil"/>
              <w:bottom w:val="single" w:sz="4" w:space="0" w:color="auto"/>
              <w:right w:val="single" w:sz="4" w:space="0" w:color="auto"/>
            </w:tcBorders>
            <w:vAlign w:val="center"/>
            <w:hideMark/>
          </w:tcPr>
          <w:p w14:paraId="33C083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2399300000</w:t>
            </w:r>
          </w:p>
        </w:tc>
        <w:tc>
          <w:tcPr>
            <w:tcW w:w="1012" w:type="dxa"/>
            <w:tcBorders>
              <w:top w:val="nil"/>
              <w:left w:val="nil"/>
              <w:bottom w:val="single" w:sz="4" w:space="0" w:color="auto"/>
              <w:right w:val="single" w:sz="4" w:space="0" w:color="auto"/>
            </w:tcBorders>
            <w:vAlign w:val="center"/>
            <w:hideMark/>
          </w:tcPr>
          <w:p w14:paraId="7B72F4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14246821</w:t>
            </w:r>
          </w:p>
        </w:tc>
        <w:tc>
          <w:tcPr>
            <w:tcW w:w="5953" w:type="dxa"/>
            <w:tcBorders>
              <w:top w:val="nil"/>
              <w:left w:val="nil"/>
              <w:bottom w:val="single" w:sz="4" w:space="0" w:color="auto"/>
              <w:right w:val="single" w:sz="4" w:space="0" w:color="auto"/>
            </w:tcBorders>
            <w:noWrap/>
            <w:vAlign w:val="center"/>
            <w:hideMark/>
          </w:tcPr>
          <w:p w14:paraId="04190F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IZOBRAŽEVANJE, ZNANOST IN ŠPORT</w:t>
            </w:r>
          </w:p>
        </w:tc>
      </w:tr>
      <w:tr w:rsidR="00F24E18" w14:paraId="571AFBF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492E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841</w:t>
            </w:r>
          </w:p>
        </w:tc>
        <w:tc>
          <w:tcPr>
            <w:tcW w:w="1300" w:type="dxa"/>
            <w:tcBorders>
              <w:top w:val="nil"/>
              <w:left w:val="nil"/>
              <w:bottom w:val="single" w:sz="4" w:space="0" w:color="auto"/>
              <w:right w:val="single" w:sz="4" w:space="0" w:color="auto"/>
            </w:tcBorders>
            <w:vAlign w:val="center"/>
            <w:hideMark/>
          </w:tcPr>
          <w:p w14:paraId="459A7D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2482762000</w:t>
            </w:r>
          </w:p>
        </w:tc>
        <w:tc>
          <w:tcPr>
            <w:tcW w:w="1012" w:type="dxa"/>
            <w:tcBorders>
              <w:top w:val="nil"/>
              <w:left w:val="nil"/>
              <w:bottom w:val="single" w:sz="4" w:space="0" w:color="auto"/>
              <w:right w:val="single" w:sz="4" w:space="0" w:color="auto"/>
            </w:tcBorders>
            <w:vAlign w:val="center"/>
            <w:hideMark/>
          </w:tcPr>
          <w:p w14:paraId="52BF7A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91838983</w:t>
            </w:r>
          </w:p>
        </w:tc>
        <w:tc>
          <w:tcPr>
            <w:tcW w:w="5953" w:type="dxa"/>
            <w:tcBorders>
              <w:top w:val="nil"/>
              <w:left w:val="nil"/>
              <w:bottom w:val="single" w:sz="4" w:space="0" w:color="auto"/>
              <w:right w:val="single" w:sz="4" w:space="0" w:color="auto"/>
            </w:tcBorders>
            <w:noWrap/>
            <w:vAlign w:val="center"/>
            <w:hideMark/>
          </w:tcPr>
          <w:p w14:paraId="16C322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JAVNO UPRAVO</w:t>
            </w:r>
          </w:p>
        </w:tc>
      </w:tr>
      <w:tr w:rsidR="00F24E18" w14:paraId="50B025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414F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842</w:t>
            </w:r>
          </w:p>
        </w:tc>
        <w:tc>
          <w:tcPr>
            <w:tcW w:w="1300" w:type="dxa"/>
            <w:tcBorders>
              <w:top w:val="nil"/>
              <w:left w:val="nil"/>
              <w:bottom w:val="single" w:sz="4" w:space="0" w:color="auto"/>
              <w:right w:val="single" w:sz="4" w:space="0" w:color="auto"/>
            </w:tcBorders>
            <w:noWrap/>
            <w:vAlign w:val="center"/>
            <w:hideMark/>
          </w:tcPr>
          <w:p w14:paraId="019B9A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2482908000</w:t>
            </w:r>
          </w:p>
        </w:tc>
        <w:tc>
          <w:tcPr>
            <w:tcW w:w="1012" w:type="dxa"/>
            <w:tcBorders>
              <w:top w:val="nil"/>
              <w:left w:val="nil"/>
              <w:bottom w:val="single" w:sz="4" w:space="0" w:color="auto"/>
              <w:right w:val="single" w:sz="4" w:space="0" w:color="auto"/>
            </w:tcBorders>
            <w:noWrap/>
            <w:vAlign w:val="center"/>
            <w:hideMark/>
          </w:tcPr>
          <w:p w14:paraId="498FD3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35787406</w:t>
            </w:r>
          </w:p>
        </w:tc>
        <w:tc>
          <w:tcPr>
            <w:tcW w:w="5953" w:type="dxa"/>
            <w:tcBorders>
              <w:top w:val="nil"/>
              <w:left w:val="nil"/>
              <w:bottom w:val="single" w:sz="4" w:space="0" w:color="auto"/>
              <w:right w:val="single" w:sz="4" w:space="0" w:color="auto"/>
            </w:tcBorders>
            <w:noWrap/>
            <w:vAlign w:val="center"/>
            <w:hideMark/>
          </w:tcPr>
          <w:p w14:paraId="2DB340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JAVNO UPRAVO, INŠPEKTORAT ZA JAVNI SEKTOR</w:t>
            </w:r>
          </w:p>
        </w:tc>
      </w:tr>
      <w:tr w:rsidR="00F24E18" w14:paraId="6A8AAE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ADC8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843</w:t>
            </w:r>
          </w:p>
        </w:tc>
        <w:tc>
          <w:tcPr>
            <w:tcW w:w="1300" w:type="dxa"/>
            <w:tcBorders>
              <w:top w:val="nil"/>
              <w:left w:val="nil"/>
              <w:bottom w:val="single" w:sz="4" w:space="0" w:color="auto"/>
              <w:right w:val="single" w:sz="4" w:space="0" w:color="auto"/>
            </w:tcBorders>
            <w:vAlign w:val="center"/>
            <w:hideMark/>
          </w:tcPr>
          <w:p w14:paraId="75F3B6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2399253000</w:t>
            </w:r>
          </w:p>
        </w:tc>
        <w:tc>
          <w:tcPr>
            <w:tcW w:w="1012" w:type="dxa"/>
            <w:tcBorders>
              <w:top w:val="nil"/>
              <w:left w:val="nil"/>
              <w:bottom w:val="single" w:sz="4" w:space="0" w:color="auto"/>
              <w:right w:val="single" w:sz="4" w:space="0" w:color="auto"/>
            </w:tcBorders>
            <w:vAlign w:val="center"/>
            <w:hideMark/>
          </w:tcPr>
          <w:p w14:paraId="21A06D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31162991</w:t>
            </w:r>
          </w:p>
        </w:tc>
        <w:tc>
          <w:tcPr>
            <w:tcW w:w="5953" w:type="dxa"/>
            <w:tcBorders>
              <w:top w:val="nil"/>
              <w:left w:val="nil"/>
              <w:bottom w:val="single" w:sz="4" w:space="0" w:color="auto"/>
              <w:right w:val="single" w:sz="4" w:space="0" w:color="auto"/>
            </w:tcBorders>
            <w:noWrap/>
            <w:vAlign w:val="center"/>
            <w:hideMark/>
          </w:tcPr>
          <w:p w14:paraId="2295DE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KMETIJSTVO, GOZDARSTVO IN PREHRANO</w:t>
            </w:r>
          </w:p>
        </w:tc>
      </w:tr>
      <w:tr w:rsidR="00F24E18" w14:paraId="0E078F1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54CF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844</w:t>
            </w:r>
          </w:p>
        </w:tc>
        <w:tc>
          <w:tcPr>
            <w:tcW w:w="1300" w:type="dxa"/>
            <w:tcBorders>
              <w:top w:val="nil"/>
              <w:left w:val="nil"/>
              <w:bottom w:val="single" w:sz="4" w:space="0" w:color="auto"/>
              <w:right w:val="single" w:sz="4" w:space="0" w:color="auto"/>
            </w:tcBorders>
            <w:vAlign w:val="center"/>
            <w:hideMark/>
          </w:tcPr>
          <w:p w14:paraId="01B2A0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2399261000</w:t>
            </w:r>
          </w:p>
        </w:tc>
        <w:tc>
          <w:tcPr>
            <w:tcW w:w="1012" w:type="dxa"/>
            <w:tcBorders>
              <w:top w:val="nil"/>
              <w:left w:val="nil"/>
              <w:bottom w:val="single" w:sz="4" w:space="0" w:color="auto"/>
              <w:right w:val="single" w:sz="4" w:space="0" w:color="auto"/>
            </w:tcBorders>
            <w:vAlign w:val="center"/>
            <w:hideMark/>
          </w:tcPr>
          <w:p w14:paraId="3CB733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17924430</w:t>
            </w:r>
          </w:p>
        </w:tc>
        <w:tc>
          <w:tcPr>
            <w:tcW w:w="5953" w:type="dxa"/>
            <w:tcBorders>
              <w:top w:val="nil"/>
              <w:left w:val="nil"/>
              <w:bottom w:val="single" w:sz="4" w:space="0" w:color="auto"/>
              <w:right w:val="single" w:sz="4" w:space="0" w:color="auto"/>
            </w:tcBorders>
            <w:noWrap/>
            <w:vAlign w:val="center"/>
            <w:hideMark/>
          </w:tcPr>
          <w:p w14:paraId="5B4200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KMETIJSTVO, GOZDARSTVO IN PREHRANO, INŠPEKTORAT REPUBLIKE SLOVENIJE ZA KMETIJSTVO, GOZDARSTVO, LOVSTVO IN RIBIŠTVO</w:t>
            </w:r>
          </w:p>
        </w:tc>
      </w:tr>
      <w:tr w:rsidR="00F24E18" w14:paraId="2719BBB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0945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845</w:t>
            </w:r>
          </w:p>
        </w:tc>
        <w:tc>
          <w:tcPr>
            <w:tcW w:w="1300" w:type="dxa"/>
            <w:tcBorders>
              <w:top w:val="nil"/>
              <w:left w:val="nil"/>
              <w:bottom w:val="single" w:sz="4" w:space="0" w:color="auto"/>
              <w:right w:val="single" w:sz="4" w:space="0" w:color="auto"/>
            </w:tcBorders>
            <w:vAlign w:val="center"/>
            <w:hideMark/>
          </w:tcPr>
          <w:p w14:paraId="25CCE7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2399334000</w:t>
            </w:r>
          </w:p>
        </w:tc>
        <w:tc>
          <w:tcPr>
            <w:tcW w:w="1012" w:type="dxa"/>
            <w:tcBorders>
              <w:top w:val="nil"/>
              <w:left w:val="nil"/>
              <w:bottom w:val="single" w:sz="4" w:space="0" w:color="auto"/>
              <w:right w:val="single" w:sz="4" w:space="0" w:color="auto"/>
            </w:tcBorders>
            <w:vAlign w:val="center"/>
            <w:hideMark/>
          </w:tcPr>
          <w:p w14:paraId="40CE4F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59739746</w:t>
            </w:r>
          </w:p>
        </w:tc>
        <w:tc>
          <w:tcPr>
            <w:tcW w:w="5953" w:type="dxa"/>
            <w:tcBorders>
              <w:top w:val="nil"/>
              <w:left w:val="nil"/>
              <w:bottom w:val="single" w:sz="4" w:space="0" w:color="auto"/>
              <w:right w:val="single" w:sz="4" w:space="0" w:color="auto"/>
            </w:tcBorders>
            <w:noWrap/>
            <w:vAlign w:val="center"/>
            <w:hideMark/>
          </w:tcPr>
          <w:p w14:paraId="45C4B9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KMETIJSTVO, GOZDARSTVO IN PREHRANO, UPRAVA REPUBLIKE SLOVENIJE ZA VARNO HRANO, VETERINARSTVO IN VARSTVO RASTLIN</w:t>
            </w:r>
          </w:p>
        </w:tc>
      </w:tr>
      <w:tr w:rsidR="00F24E18" w14:paraId="1113C2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43B3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846</w:t>
            </w:r>
          </w:p>
        </w:tc>
        <w:tc>
          <w:tcPr>
            <w:tcW w:w="1300" w:type="dxa"/>
            <w:tcBorders>
              <w:top w:val="nil"/>
              <w:left w:val="nil"/>
              <w:bottom w:val="single" w:sz="4" w:space="0" w:color="auto"/>
              <w:right w:val="single" w:sz="4" w:space="0" w:color="auto"/>
            </w:tcBorders>
            <w:vAlign w:val="center"/>
            <w:hideMark/>
          </w:tcPr>
          <w:p w14:paraId="3D5862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2632551000</w:t>
            </w:r>
          </w:p>
        </w:tc>
        <w:tc>
          <w:tcPr>
            <w:tcW w:w="1012" w:type="dxa"/>
            <w:tcBorders>
              <w:top w:val="nil"/>
              <w:left w:val="nil"/>
              <w:bottom w:val="single" w:sz="4" w:space="0" w:color="auto"/>
              <w:right w:val="single" w:sz="4" w:space="0" w:color="auto"/>
            </w:tcBorders>
            <w:vAlign w:val="center"/>
            <w:hideMark/>
          </w:tcPr>
          <w:p w14:paraId="02B595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68256809</w:t>
            </w:r>
          </w:p>
        </w:tc>
        <w:tc>
          <w:tcPr>
            <w:tcW w:w="5953" w:type="dxa"/>
            <w:tcBorders>
              <w:top w:val="nil"/>
              <w:left w:val="nil"/>
              <w:bottom w:val="single" w:sz="4" w:space="0" w:color="auto"/>
              <w:right w:val="single" w:sz="4" w:space="0" w:color="auto"/>
            </w:tcBorders>
            <w:noWrap/>
            <w:vAlign w:val="center"/>
            <w:hideMark/>
          </w:tcPr>
          <w:p w14:paraId="0B387C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KOHEZIJO IN REGIONALNI RAZVOJ</w:t>
            </w:r>
          </w:p>
        </w:tc>
      </w:tr>
      <w:tr w:rsidR="00F24E18" w14:paraId="1E1A9D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280D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847</w:t>
            </w:r>
          </w:p>
        </w:tc>
        <w:tc>
          <w:tcPr>
            <w:tcW w:w="1300" w:type="dxa"/>
            <w:tcBorders>
              <w:top w:val="nil"/>
              <w:left w:val="nil"/>
              <w:bottom w:val="single" w:sz="4" w:space="0" w:color="auto"/>
              <w:right w:val="single" w:sz="4" w:space="0" w:color="auto"/>
            </w:tcBorders>
            <w:vAlign w:val="center"/>
            <w:hideMark/>
          </w:tcPr>
          <w:p w14:paraId="21A9BE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2399342000</w:t>
            </w:r>
          </w:p>
        </w:tc>
        <w:tc>
          <w:tcPr>
            <w:tcW w:w="1012" w:type="dxa"/>
            <w:tcBorders>
              <w:top w:val="nil"/>
              <w:left w:val="nil"/>
              <w:bottom w:val="single" w:sz="4" w:space="0" w:color="auto"/>
              <w:right w:val="single" w:sz="4" w:space="0" w:color="auto"/>
            </w:tcBorders>
            <w:vAlign w:val="center"/>
            <w:hideMark/>
          </w:tcPr>
          <w:p w14:paraId="07FC49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70949417</w:t>
            </w:r>
          </w:p>
        </w:tc>
        <w:tc>
          <w:tcPr>
            <w:tcW w:w="5953" w:type="dxa"/>
            <w:tcBorders>
              <w:top w:val="nil"/>
              <w:left w:val="nil"/>
              <w:bottom w:val="single" w:sz="4" w:space="0" w:color="auto"/>
              <w:right w:val="single" w:sz="4" w:space="0" w:color="auto"/>
            </w:tcBorders>
            <w:noWrap/>
            <w:vAlign w:val="center"/>
            <w:hideMark/>
          </w:tcPr>
          <w:p w14:paraId="74989F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KULTURO</w:t>
            </w:r>
          </w:p>
        </w:tc>
      </w:tr>
      <w:tr w:rsidR="00F24E18" w14:paraId="6E1D9F0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0AA1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848</w:t>
            </w:r>
          </w:p>
        </w:tc>
        <w:tc>
          <w:tcPr>
            <w:tcW w:w="1300" w:type="dxa"/>
            <w:tcBorders>
              <w:top w:val="nil"/>
              <w:left w:val="nil"/>
              <w:bottom w:val="single" w:sz="4" w:space="0" w:color="auto"/>
              <w:right w:val="single" w:sz="4" w:space="0" w:color="auto"/>
            </w:tcBorders>
            <w:vAlign w:val="center"/>
            <w:hideMark/>
          </w:tcPr>
          <w:p w14:paraId="78E573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2399369000</w:t>
            </w:r>
          </w:p>
        </w:tc>
        <w:tc>
          <w:tcPr>
            <w:tcW w:w="1012" w:type="dxa"/>
            <w:tcBorders>
              <w:top w:val="nil"/>
              <w:left w:val="nil"/>
              <w:bottom w:val="single" w:sz="4" w:space="0" w:color="auto"/>
              <w:right w:val="single" w:sz="4" w:space="0" w:color="auto"/>
            </w:tcBorders>
            <w:vAlign w:val="center"/>
            <w:hideMark/>
          </w:tcPr>
          <w:p w14:paraId="157F3E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12356824</w:t>
            </w:r>
          </w:p>
        </w:tc>
        <w:tc>
          <w:tcPr>
            <w:tcW w:w="5953" w:type="dxa"/>
            <w:tcBorders>
              <w:top w:val="nil"/>
              <w:left w:val="nil"/>
              <w:bottom w:val="single" w:sz="4" w:space="0" w:color="auto"/>
              <w:right w:val="single" w:sz="4" w:space="0" w:color="auto"/>
            </w:tcBorders>
            <w:noWrap/>
            <w:vAlign w:val="center"/>
            <w:hideMark/>
          </w:tcPr>
          <w:p w14:paraId="4D8478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KULTURO ARHIV REPUBLIKE SLOVENIJE</w:t>
            </w:r>
          </w:p>
        </w:tc>
      </w:tr>
      <w:tr w:rsidR="00F24E18" w14:paraId="66D6E1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6AF3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849</w:t>
            </w:r>
          </w:p>
        </w:tc>
        <w:tc>
          <w:tcPr>
            <w:tcW w:w="1300" w:type="dxa"/>
            <w:tcBorders>
              <w:top w:val="nil"/>
              <w:left w:val="nil"/>
              <w:bottom w:val="single" w:sz="4" w:space="0" w:color="auto"/>
              <w:right w:val="single" w:sz="4" w:space="0" w:color="auto"/>
            </w:tcBorders>
            <w:noWrap/>
            <w:vAlign w:val="center"/>
            <w:hideMark/>
          </w:tcPr>
          <w:p w14:paraId="7F0EA6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2399377000</w:t>
            </w:r>
          </w:p>
        </w:tc>
        <w:tc>
          <w:tcPr>
            <w:tcW w:w="1012" w:type="dxa"/>
            <w:tcBorders>
              <w:top w:val="nil"/>
              <w:left w:val="nil"/>
              <w:bottom w:val="single" w:sz="4" w:space="0" w:color="auto"/>
              <w:right w:val="single" w:sz="4" w:space="0" w:color="auto"/>
            </w:tcBorders>
            <w:noWrap/>
            <w:vAlign w:val="center"/>
            <w:hideMark/>
          </w:tcPr>
          <w:p w14:paraId="700F44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41159101</w:t>
            </w:r>
          </w:p>
        </w:tc>
        <w:tc>
          <w:tcPr>
            <w:tcW w:w="5953" w:type="dxa"/>
            <w:tcBorders>
              <w:top w:val="nil"/>
              <w:left w:val="nil"/>
              <w:bottom w:val="single" w:sz="4" w:space="0" w:color="auto"/>
              <w:right w:val="single" w:sz="4" w:space="0" w:color="auto"/>
            </w:tcBorders>
            <w:noWrap/>
            <w:vAlign w:val="center"/>
            <w:hideMark/>
          </w:tcPr>
          <w:p w14:paraId="14C1B8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KULTURO INŠPEKTORAT REPUBLIKE SLOVENIJE ZA KULTURO IN MEDIJE</w:t>
            </w:r>
          </w:p>
        </w:tc>
      </w:tr>
      <w:tr w:rsidR="00F24E18" w14:paraId="6DBAB8A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90E4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850</w:t>
            </w:r>
          </w:p>
        </w:tc>
        <w:tc>
          <w:tcPr>
            <w:tcW w:w="1300" w:type="dxa"/>
            <w:tcBorders>
              <w:top w:val="nil"/>
              <w:left w:val="nil"/>
              <w:bottom w:val="single" w:sz="4" w:space="0" w:color="auto"/>
              <w:right w:val="single" w:sz="4" w:space="0" w:color="auto"/>
            </w:tcBorders>
            <w:vAlign w:val="center"/>
            <w:hideMark/>
          </w:tcPr>
          <w:p w14:paraId="3D9B37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2632594000</w:t>
            </w:r>
          </w:p>
        </w:tc>
        <w:tc>
          <w:tcPr>
            <w:tcW w:w="1012" w:type="dxa"/>
            <w:tcBorders>
              <w:top w:val="nil"/>
              <w:left w:val="nil"/>
              <w:bottom w:val="single" w:sz="4" w:space="0" w:color="auto"/>
              <w:right w:val="single" w:sz="4" w:space="0" w:color="auto"/>
            </w:tcBorders>
            <w:vAlign w:val="center"/>
            <w:hideMark/>
          </w:tcPr>
          <w:p w14:paraId="06B6A9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18170692</w:t>
            </w:r>
          </w:p>
        </w:tc>
        <w:tc>
          <w:tcPr>
            <w:tcW w:w="5953" w:type="dxa"/>
            <w:tcBorders>
              <w:top w:val="nil"/>
              <w:left w:val="nil"/>
              <w:bottom w:val="single" w:sz="4" w:space="0" w:color="auto"/>
              <w:right w:val="single" w:sz="4" w:space="0" w:color="auto"/>
            </w:tcBorders>
            <w:noWrap/>
            <w:vAlign w:val="center"/>
            <w:hideMark/>
          </w:tcPr>
          <w:p w14:paraId="28916A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NARAVNE VIRE IN PROSTOR</w:t>
            </w:r>
          </w:p>
        </w:tc>
      </w:tr>
      <w:tr w:rsidR="00F24E18" w14:paraId="179B3C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4B90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851</w:t>
            </w:r>
          </w:p>
        </w:tc>
        <w:tc>
          <w:tcPr>
            <w:tcW w:w="1300" w:type="dxa"/>
            <w:tcBorders>
              <w:top w:val="nil"/>
              <w:left w:val="nil"/>
              <w:bottom w:val="single" w:sz="4" w:space="0" w:color="auto"/>
              <w:right w:val="single" w:sz="4" w:space="0" w:color="auto"/>
            </w:tcBorders>
            <w:noWrap/>
            <w:vAlign w:val="center"/>
            <w:hideMark/>
          </w:tcPr>
          <w:p w14:paraId="0102AF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2632730000</w:t>
            </w:r>
          </w:p>
        </w:tc>
        <w:tc>
          <w:tcPr>
            <w:tcW w:w="1012" w:type="dxa"/>
            <w:tcBorders>
              <w:top w:val="nil"/>
              <w:left w:val="nil"/>
              <w:bottom w:val="single" w:sz="4" w:space="0" w:color="auto"/>
              <w:right w:val="single" w:sz="4" w:space="0" w:color="auto"/>
            </w:tcBorders>
            <w:noWrap/>
            <w:vAlign w:val="center"/>
            <w:hideMark/>
          </w:tcPr>
          <w:p w14:paraId="5F12D9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83845003</w:t>
            </w:r>
          </w:p>
        </w:tc>
        <w:tc>
          <w:tcPr>
            <w:tcW w:w="5953" w:type="dxa"/>
            <w:tcBorders>
              <w:top w:val="nil"/>
              <w:left w:val="nil"/>
              <w:bottom w:val="single" w:sz="4" w:space="0" w:color="auto"/>
              <w:right w:val="single" w:sz="4" w:space="0" w:color="auto"/>
            </w:tcBorders>
            <w:noWrap/>
            <w:vAlign w:val="center"/>
            <w:hideMark/>
          </w:tcPr>
          <w:p w14:paraId="711D99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NARAVNE VIRE IN PROSTOR DIREKCIJA REPUBLIKE SLOVENIJE ZA VODE</w:t>
            </w:r>
          </w:p>
        </w:tc>
      </w:tr>
      <w:tr w:rsidR="00F24E18" w14:paraId="4FF412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5FAA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852</w:t>
            </w:r>
          </w:p>
        </w:tc>
        <w:tc>
          <w:tcPr>
            <w:tcW w:w="1300" w:type="dxa"/>
            <w:tcBorders>
              <w:top w:val="nil"/>
              <w:left w:val="nil"/>
              <w:bottom w:val="single" w:sz="4" w:space="0" w:color="auto"/>
              <w:right w:val="single" w:sz="4" w:space="0" w:color="auto"/>
            </w:tcBorders>
            <w:vAlign w:val="center"/>
            <w:hideMark/>
          </w:tcPr>
          <w:p w14:paraId="2628D7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2632713000</w:t>
            </w:r>
          </w:p>
        </w:tc>
        <w:tc>
          <w:tcPr>
            <w:tcW w:w="1012" w:type="dxa"/>
            <w:tcBorders>
              <w:top w:val="nil"/>
              <w:left w:val="nil"/>
              <w:bottom w:val="single" w:sz="4" w:space="0" w:color="auto"/>
              <w:right w:val="single" w:sz="4" w:space="0" w:color="auto"/>
            </w:tcBorders>
            <w:noWrap/>
            <w:vAlign w:val="center"/>
            <w:hideMark/>
          </w:tcPr>
          <w:p w14:paraId="07CF51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56084382</w:t>
            </w:r>
          </w:p>
        </w:tc>
        <w:tc>
          <w:tcPr>
            <w:tcW w:w="5953" w:type="dxa"/>
            <w:tcBorders>
              <w:top w:val="nil"/>
              <w:left w:val="nil"/>
              <w:bottom w:val="single" w:sz="4" w:space="0" w:color="auto"/>
              <w:right w:val="single" w:sz="4" w:space="0" w:color="auto"/>
            </w:tcBorders>
            <w:noWrap/>
            <w:vAlign w:val="center"/>
            <w:hideMark/>
          </w:tcPr>
          <w:p w14:paraId="37659A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NARAVNE VIRE IN PROSTOR, GEODETSKA UPRAVA REPUBLIKE SLOVENIJE</w:t>
            </w:r>
          </w:p>
        </w:tc>
      </w:tr>
      <w:tr w:rsidR="00F24E18" w14:paraId="059B6FB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895E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853</w:t>
            </w:r>
          </w:p>
        </w:tc>
        <w:tc>
          <w:tcPr>
            <w:tcW w:w="1300" w:type="dxa"/>
            <w:tcBorders>
              <w:top w:val="nil"/>
              <w:left w:val="nil"/>
              <w:bottom w:val="single" w:sz="4" w:space="0" w:color="auto"/>
              <w:right w:val="single" w:sz="4" w:space="0" w:color="auto"/>
            </w:tcBorders>
            <w:vAlign w:val="center"/>
            <w:hideMark/>
          </w:tcPr>
          <w:p w14:paraId="6E0AD2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5030200000</w:t>
            </w:r>
          </w:p>
        </w:tc>
        <w:tc>
          <w:tcPr>
            <w:tcW w:w="1012" w:type="dxa"/>
            <w:tcBorders>
              <w:top w:val="nil"/>
              <w:left w:val="nil"/>
              <w:bottom w:val="single" w:sz="4" w:space="0" w:color="auto"/>
              <w:right w:val="single" w:sz="4" w:space="0" w:color="auto"/>
            </w:tcBorders>
            <w:vAlign w:val="center"/>
            <w:hideMark/>
          </w:tcPr>
          <w:p w14:paraId="304611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52817652</w:t>
            </w:r>
          </w:p>
        </w:tc>
        <w:tc>
          <w:tcPr>
            <w:tcW w:w="5953" w:type="dxa"/>
            <w:tcBorders>
              <w:top w:val="nil"/>
              <w:left w:val="nil"/>
              <w:bottom w:val="single" w:sz="4" w:space="0" w:color="auto"/>
              <w:right w:val="single" w:sz="4" w:space="0" w:color="auto"/>
            </w:tcBorders>
            <w:noWrap/>
            <w:vAlign w:val="center"/>
            <w:hideMark/>
          </w:tcPr>
          <w:p w14:paraId="0B1D7E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NOTRANJE ZADEVE</w:t>
            </w:r>
          </w:p>
        </w:tc>
      </w:tr>
      <w:tr w:rsidR="00F24E18" w14:paraId="455AB4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189D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854</w:t>
            </w:r>
          </w:p>
        </w:tc>
        <w:tc>
          <w:tcPr>
            <w:tcW w:w="1300" w:type="dxa"/>
            <w:tcBorders>
              <w:top w:val="nil"/>
              <w:left w:val="nil"/>
              <w:bottom w:val="single" w:sz="4" w:space="0" w:color="auto"/>
              <w:right w:val="single" w:sz="4" w:space="0" w:color="auto"/>
            </w:tcBorders>
            <w:noWrap/>
            <w:vAlign w:val="center"/>
            <w:hideMark/>
          </w:tcPr>
          <w:p w14:paraId="465023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1902407000</w:t>
            </w:r>
          </w:p>
        </w:tc>
        <w:tc>
          <w:tcPr>
            <w:tcW w:w="1012" w:type="dxa"/>
            <w:tcBorders>
              <w:top w:val="nil"/>
              <w:left w:val="nil"/>
              <w:bottom w:val="single" w:sz="4" w:space="0" w:color="auto"/>
              <w:right w:val="single" w:sz="4" w:space="0" w:color="auto"/>
            </w:tcBorders>
            <w:noWrap/>
            <w:vAlign w:val="center"/>
            <w:hideMark/>
          </w:tcPr>
          <w:p w14:paraId="0B792C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37990608</w:t>
            </w:r>
          </w:p>
        </w:tc>
        <w:tc>
          <w:tcPr>
            <w:tcW w:w="5953" w:type="dxa"/>
            <w:tcBorders>
              <w:top w:val="nil"/>
              <w:left w:val="nil"/>
              <w:bottom w:val="single" w:sz="4" w:space="0" w:color="auto"/>
              <w:right w:val="single" w:sz="4" w:space="0" w:color="auto"/>
            </w:tcBorders>
            <w:noWrap/>
            <w:vAlign w:val="center"/>
            <w:hideMark/>
          </w:tcPr>
          <w:p w14:paraId="42A4BF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NOTRANJE ZADEVE INŠPEKTORAT REPUBLIKE SLOVENIJE ZA NOTRANJE ZADEVE</w:t>
            </w:r>
          </w:p>
        </w:tc>
      </w:tr>
      <w:tr w:rsidR="00F24E18" w14:paraId="22AA597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CF66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855</w:t>
            </w:r>
          </w:p>
        </w:tc>
        <w:tc>
          <w:tcPr>
            <w:tcW w:w="1300" w:type="dxa"/>
            <w:tcBorders>
              <w:top w:val="nil"/>
              <w:left w:val="nil"/>
              <w:bottom w:val="single" w:sz="4" w:space="0" w:color="auto"/>
              <w:right w:val="single" w:sz="4" w:space="0" w:color="auto"/>
            </w:tcBorders>
            <w:vAlign w:val="center"/>
            <w:hideMark/>
          </w:tcPr>
          <w:p w14:paraId="06A919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1332813000</w:t>
            </w:r>
          </w:p>
        </w:tc>
        <w:tc>
          <w:tcPr>
            <w:tcW w:w="1012" w:type="dxa"/>
            <w:tcBorders>
              <w:top w:val="nil"/>
              <w:left w:val="nil"/>
              <w:bottom w:val="single" w:sz="4" w:space="0" w:color="auto"/>
              <w:right w:val="single" w:sz="4" w:space="0" w:color="auto"/>
            </w:tcBorders>
            <w:vAlign w:val="center"/>
            <w:hideMark/>
          </w:tcPr>
          <w:p w14:paraId="203E63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47429518</w:t>
            </w:r>
          </w:p>
        </w:tc>
        <w:tc>
          <w:tcPr>
            <w:tcW w:w="5953" w:type="dxa"/>
            <w:tcBorders>
              <w:top w:val="nil"/>
              <w:left w:val="nil"/>
              <w:bottom w:val="single" w:sz="4" w:space="0" w:color="auto"/>
              <w:right w:val="single" w:sz="4" w:space="0" w:color="auto"/>
            </w:tcBorders>
            <w:noWrap/>
            <w:vAlign w:val="center"/>
            <w:hideMark/>
          </w:tcPr>
          <w:p w14:paraId="148DE5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NOTRANJE ZADEVE POLICIJA</w:t>
            </w:r>
          </w:p>
        </w:tc>
      </w:tr>
      <w:tr w:rsidR="00F24E18" w14:paraId="371BECA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37B8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856</w:t>
            </w:r>
          </w:p>
        </w:tc>
        <w:tc>
          <w:tcPr>
            <w:tcW w:w="1300" w:type="dxa"/>
            <w:tcBorders>
              <w:top w:val="nil"/>
              <w:left w:val="nil"/>
              <w:bottom w:val="single" w:sz="4" w:space="0" w:color="auto"/>
              <w:right w:val="single" w:sz="4" w:space="0" w:color="auto"/>
            </w:tcBorders>
            <w:vAlign w:val="center"/>
            <w:hideMark/>
          </w:tcPr>
          <w:p w14:paraId="00B940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5268923000</w:t>
            </w:r>
          </w:p>
        </w:tc>
        <w:tc>
          <w:tcPr>
            <w:tcW w:w="1012" w:type="dxa"/>
            <w:tcBorders>
              <w:top w:val="nil"/>
              <w:left w:val="nil"/>
              <w:bottom w:val="single" w:sz="4" w:space="0" w:color="auto"/>
              <w:right w:val="single" w:sz="4" w:space="0" w:color="auto"/>
            </w:tcBorders>
            <w:vAlign w:val="center"/>
            <w:hideMark/>
          </w:tcPr>
          <w:p w14:paraId="5DE3B9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47978457</w:t>
            </w:r>
          </w:p>
        </w:tc>
        <w:tc>
          <w:tcPr>
            <w:tcW w:w="5953" w:type="dxa"/>
            <w:tcBorders>
              <w:top w:val="nil"/>
              <w:left w:val="nil"/>
              <w:bottom w:val="single" w:sz="4" w:space="0" w:color="auto"/>
              <w:right w:val="single" w:sz="4" w:space="0" w:color="auto"/>
            </w:tcBorders>
            <w:noWrap/>
            <w:vAlign w:val="center"/>
            <w:hideMark/>
          </w:tcPr>
          <w:p w14:paraId="044DC8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OBRAMBO</w:t>
            </w:r>
          </w:p>
        </w:tc>
      </w:tr>
      <w:tr w:rsidR="00F24E18" w14:paraId="71D3E2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52C0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857</w:t>
            </w:r>
          </w:p>
        </w:tc>
        <w:tc>
          <w:tcPr>
            <w:tcW w:w="1300" w:type="dxa"/>
            <w:tcBorders>
              <w:top w:val="nil"/>
              <w:left w:val="nil"/>
              <w:bottom w:val="single" w:sz="4" w:space="0" w:color="auto"/>
              <w:right w:val="single" w:sz="4" w:space="0" w:color="auto"/>
            </w:tcBorders>
            <w:vAlign w:val="center"/>
            <w:hideMark/>
          </w:tcPr>
          <w:p w14:paraId="12B47A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2482789000</w:t>
            </w:r>
          </w:p>
        </w:tc>
        <w:tc>
          <w:tcPr>
            <w:tcW w:w="1012" w:type="dxa"/>
            <w:tcBorders>
              <w:top w:val="nil"/>
              <w:left w:val="nil"/>
              <w:bottom w:val="single" w:sz="4" w:space="0" w:color="auto"/>
              <w:right w:val="single" w:sz="4" w:space="0" w:color="auto"/>
            </w:tcBorders>
            <w:vAlign w:val="center"/>
            <w:hideMark/>
          </w:tcPr>
          <w:p w14:paraId="30CEC8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55058515</w:t>
            </w:r>
          </w:p>
        </w:tc>
        <w:tc>
          <w:tcPr>
            <w:tcW w:w="5953" w:type="dxa"/>
            <w:tcBorders>
              <w:top w:val="nil"/>
              <w:left w:val="nil"/>
              <w:bottom w:val="single" w:sz="4" w:space="0" w:color="auto"/>
              <w:right w:val="single" w:sz="4" w:space="0" w:color="auto"/>
            </w:tcBorders>
            <w:noWrap/>
            <w:vAlign w:val="center"/>
            <w:hideMark/>
          </w:tcPr>
          <w:p w14:paraId="07E4DB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OKOLJE IN PROSTOR</w:t>
            </w:r>
          </w:p>
        </w:tc>
      </w:tr>
      <w:tr w:rsidR="00F24E18" w14:paraId="254EED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AC4A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858</w:t>
            </w:r>
          </w:p>
        </w:tc>
        <w:tc>
          <w:tcPr>
            <w:tcW w:w="1300" w:type="dxa"/>
            <w:tcBorders>
              <w:top w:val="nil"/>
              <w:left w:val="nil"/>
              <w:bottom w:val="single" w:sz="4" w:space="0" w:color="auto"/>
              <w:right w:val="single" w:sz="4" w:space="0" w:color="auto"/>
            </w:tcBorders>
            <w:vAlign w:val="center"/>
            <w:hideMark/>
          </w:tcPr>
          <w:p w14:paraId="34A9BB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2516152000</w:t>
            </w:r>
          </w:p>
        </w:tc>
        <w:tc>
          <w:tcPr>
            <w:tcW w:w="1012" w:type="dxa"/>
            <w:tcBorders>
              <w:top w:val="nil"/>
              <w:left w:val="nil"/>
              <w:bottom w:val="single" w:sz="4" w:space="0" w:color="auto"/>
              <w:right w:val="single" w:sz="4" w:space="0" w:color="auto"/>
            </w:tcBorders>
            <w:vAlign w:val="center"/>
            <w:hideMark/>
          </w:tcPr>
          <w:p w14:paraId="6E86B7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34921567</w:t>
            </w:r>
          </w:p>
        </w:tc>
        <w:tc>
          <w:tcPr>
            <w:tcW w:w="5953" w:type="dxa"/>
            <w:tcBorders>
              <w:top w:val="nil"/>
              <w:left w:val="nil"/>
              <w:bottom w:val="single" w:sz="4" w:space="0" w:color="auto"/>
              <w:right w:val="single" w:sz="4" w:space="0" w:color="auto"/>
            </w:tcBorders>
            <w:noWrap/>
            <w:vAlign w:val="center"/>
            <w:hideMark/>
          </w:tcPr>
          <w:p w14:paraId="41278C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OKOLJE IN PROSTOR DIREKCIJA REPUBLIKE SLOVENIJE ZA VODE</w:t>
            </w:r>
          </w:p>
        </w:tc>
      </w:tr>
      <w:tr w:rsidR="00F24E18" w14:paraId="582A37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F556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859</w:t>
            </w:r>
          </w:p>
        </w:tc>
        <w:tc>
          <w:tcPr>
            <w:tcW w:w="1300" w:type="dxa"/>
            <w:tcBorders>
              <w:top w:val="nil"/>
              <w:left w:val="nil"/>
              <w:bottom w:val="single" w:sz="4" w:space="0" w:color="auto"/>
              <w:right w:val="single" w:sz="4" w:space="0" w:color="auto"/>
            </w:tcBorders>
            <w:vAlign w:val="center"/>
            <w:hideMark/>
          </w:tcPr>
          <w:p w14:paraId="6216FC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2482878000</w:t>
            </w:r>
          </w:p>
        </w:tc>
        <w:tc>
          <w:tcPr>
            <w:tcW w:w="1012" w:type="dxa"/>
            <w:tcBorders>
              <w:top w:val="nil"/>
              <w:left w:val="nil"/>
              <w:bottom w:val="single" w:sz="4" w:space="0" w:color="auto"/>
              <w:right w:val="single" w:sz="4" w:space="0" w:color="auto"/>
            </w:tcBorders>
            <w:vAlign w:val="center"/>
            <w:hideMark/>
          </w:tcPr>
          <w:p w14:paraId="26F2FC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18945082</w:t>
            </w:r>
          </w:p>
        </w:tc>
        <w:tc>
          <w:tcPr>
            <w:tcW w:w="5953" w:type="dxa"/>
            <w:tcBorders>
              <w:top w:val="nil"/>
              <w:left w:val="nil"/>
              <w:bottom w:val="single" w:sz="4" w:space="0" w:color="auto"/>
              <w:right w:val="single" w:sz="4" w:space="0" w:color="auto"/>
            </w:tcBorders>
            <w:noWrap/>
            <w:vAlign w:val="center"/>
            <w:hideMark/>
          </w:tcPr>
          <w:p w14:paraId="52D533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OKOLJE IN PROSTOR, AGENCIJA REPUBLIKE SLOVENIJE ZA OKOLJE</w:t>
            </w:r>
          </w:p>
        </w:tc>
      </w:tr>
      <w:tr w:rsidR="00F24E18" w14:paraId="4C836B1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9B24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860</w:t>
            </w:r>
          </w:p>
        </w:tc>
        <w:tc>
          <w:tcPr>
            <w:tcW w:w="1300" w:type="dxa"/>
            <w:tcBorders>
              <w:top w:val="nil"/>
              <w:left w:val="nil"/>
              <w:bottom w:val="single" w:sz="4" w:space="0" w:color="auto"/>
              <w:right w:val="single" w:sz="4" w:space="0" w:color="auto"/>
            </w:tcBorders>
            <w:vAlign w:val="center"/>
            <w:hideMark/>
          </w:tcPr>
          <w:p w14:paraId="68E0D9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2482886000</w:t>
            </w:r>
          </w:p>
        </w:tc>
        <w:tc>
          <w:tcPr>
            <w:tcW w:w="1012" w:type="dxa"/>
            <w:tcBorders>
              <w:top w:val="nil"/>
              <w:left w:val="nil"/>
              <w:bottom w:val="single" w:sz="4" w:space="0" w:color="auto"/>
              <w:right w:val="single" w:sz="4" w:space="0" w:color="auto"/>
            </w:tcBorders>
            <w:vAlign w:val="center"/>
            <w:hideMark/>
          </w:tcPr>
          <w:p w14:paraId="150E2A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57410763</w:t>
            </w:r>
          </w:p>
        </w:tc>
        <w:tc>
          <w:tcPr>
            <w:tcW w:w="5953" w:type="dxa"/>
            <w:tcBorders>
              <w:top w:val="nil"/>
              <w:left w:val="nil"/>
              <w:bottom w:val="single" w:sz="4" w:space="0" w:color="auto"/>
              <w:right w:val="single" w:sz="4" w:space="0" w:color="auto"/>
            </w:tcBorders>
            <w:noWrap/>
            <w:vAlign w:val="center"/>
            <w:hideMark/>
          </w:tcPr>
          <w:p w14:paraId="5B7257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OKOLJE IN PROSTOR, GEODETSKA UPRAVA REPUBLIKE SLOVENIJE</w:t>
            </w:r>
          </w:p>
        </w:tc>
      </w:tr>
      <w:tr w:rsidR="00F24E18" w14:paraId="11BCE9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B110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861</w:t>
            </w:r>
          </w:p>
        </w:tc>
        <w:tc>
          <w:tcPr>
            <w:tcW w:w="1300" w:type="dxa"/>
            <w:tcBorders>
              <w:top w:val="nil"/>
              <w:left w:val="nil"/>
              <w:bottom w:val="single" w:sz="4" w:space="0" w:color="auto"/>
              <w:right w:val="single" w:sz="4" w:space="0" w:color="auto"/>
            </w:tcBorders>
            <w:vAlign w:val="center"/>
            <w:hideMark/>
          </w:tcPr>
          <w:p w14:paraId="6BE602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2482894000</w:t>
            </w:r>
          </w:p>
        </w:tc>
        <w:tc>
          <w:tcPr>
            <w:tcW w:w="1012" w:type="dxa"/>
            <w:tcBorders>
              <w:top w:val="nil"/>
              <w:left w:val="nil"/>
              <w:bottom w:val="single" w:sz="4" w:space="0" w:color="auto"/>
              <w:right w:val="single" w:sz="4" w:space="0" w:color="auto"/>
            </w:tcBorders>
            <w:vAlign w:val="center"/>
            <w:hideMark/>
          </w:tcPr>
          <w:p w14:paraId="71EEFF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46975268</w:t>
            </w:r>
          </w:p>
        </w:tc>
        <w:tc>
          <w:tcPr>
            <w:tcW w:w="5953" w:type="dxa"/>
            <w:tcBorders>
              <w:top w:val="nil"/>
              <w:left w:val="nil"/>
              <w:bottom w:val="single" w:sz="4" w:space="0" w:color="auto"/>
              <w:right w:val="single" w:sz="4" w:space="0" w:color="auto"/>
            </w:tcBorders>
            <w:noWrap/>
            <w:vAlign w:val="center"/>
            <w:hideMark/>
          </w:tcPr>
          <w:p w14:paraId="78D801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OKOLJE IN PROSTOR, INŠPEKTORAT REPUBLIKE SLOVENIJE ZA OKOLJE IN PROSTOR</w:t>
            </w:r>
          </w:p>
        </w:tc>
      </w:tr>
      <w:tr w:rsidR="00F24E18" w14:paraId="31C0EC7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4F1C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862</w:t>
            </w:r>
          </w:p>
        </w:tc>
        <w:tc>
          <w:tcPr>
            <w:tcW w:w="1300" w:type="dxa"/>
            <w:tcBorders>
              <w:top w:val="nil"/>
              <w:left w:val="nil"/>
              <w:bottom w:val="single" w:sz="4" w:space="0" w:color="auto"/>
              <w:right w:val="single" w:sz="4" w:space="0" w:color="auto"/>
            </w:tcBorders>
            <w:vAlign w:val="center"/>
            <w:hideMark/>
          </w:tcPr>
          <w:p w14:paraId="50FD43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2482860000</w:t>
            </w:r>
          </w:p>
        </w:tc>
        <w:tc>
          <w:tcPr>
            <w:tcW w:w="1012" w:type="dxa"/>
            <w:tcBorders>
              <w:top w:val="nil"/>
              <w:left w:val="nil"/>
              <w:bottom w:val="single" w:sz="4" w:space="0" w:color="auto"/>
              <w:right w:val="single" w:sz="4" w:space="0" w:color="auto"/>
            </w:tcBorders>
            <w:vAlign w:val="center"/>
            <w:hideMark/>
          </w:tcPr>
          <w:p w14:paraId="1F1793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85030791</w:t>
            </w:r>
          </w:p>
        </w:tc>
        <w:tc>
          <w:tcPr>
            <w:tcW w:w="5953" w:type="dxa"/>
            <w:tcBorders>
              <w:top w:val="nil"/>
              <w:left w:val="nil"/>
              <w:bottom w:val="single" w:sz="4" w:space="0" w:color="auto"/>
              <w:right w:val="single" w:sz="4" w:space="0" w:color="auto"/>
            </w:tcBorders>
            <w:noWrap/>
            <w:vAlign w:val="center"/>
            <w:hideMark/>
          </w:tcPr>
          <w:p w14:paraId="668C5C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OKOLJE IN PROSTOR, UPRAVA REPUBLIKE SLOVENIJE ZA JEDRSKO VARNOST</w:t>
            </w:r>
          </w:p>
        </w:tc>
      </w:tr>
      <w:tr w:rsidR="00F24E18" w14:paraId="351CCD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3BD1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863</w:t>
            </w:r>
          </w:p>
        </w:tc>
        <w:tc>
          <w:tcPr>
            <w:tcW w:w="1300" w:type="dxa"/>
            <w:tcBorders>
              <w:top w:val="nil"/>
              <w:left w:val="nil"/>
              <w:bottom w:val="single" w:sz="4" w:space="0" w:color="auto"/>
              <w:right w:val="single" w:sz="4" w:space="0" w:color="auto"/>
            </w:tcBorders>
            <w:vAlign w:val="center"/>
            <w:hideMark/>
          </w:tcPr>
          <w:p w14:paraId="7ED70C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2632535000</w:t>
            </w:r>
          </w:p>
        </w:tc>
        <w:tc>
          <w:tcPr>
            <w:tcW w:w="1012" w:type="dxa"/>
            <w:tcBorders>
              <w:top w:val="nil"/>
              <w:left w:val="nil"/>
              <w:bottom w:val="single" w:sz="4" w:space="0" w:color="auto"/>
              <w:right w:val="single" w:sz="4" w:space="0" w:color="auto"/>
            </w:tcBorders>
            <w:vAlign w:val="center"/>
            <w:hideMark/>
          </w:tcPr>
          <w:p w14:paraId="1B0FB6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69434930</w:t>
            </w:r>
          </w:p>
        </w:tc>
        <w:tc>
          <w:tcPr>
            <w:tcW w:w="5953" w:type="dxa"/>
            <w:tcBorders>
              <w:top w:val="nil"/>
              <w:left w:val="nil"/>
              <w:bottom w:val="single" w:sz="4" w:space="0" w:color="auto"/>
              <w:right w:val="single" w:sz="4" w:space="0" w:color="auto"/>
            </w:tcBorders>
            <w:noWrap/>
            <w:vAlign w:val="center"/>
            <w:hideMark/>
          </w:tcPr>
          <w:p w14:paraId="44D832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OKOLJE, PODNEBJE IN ENERGIJO</w:t>
            </w:r>
          </w:p>
        </w:tc>
      </w:tr>
      <w:tr w:rsidR="00F24E18" w14:paraId="0FC8807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11BD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864</w:t>
            </w:r>
          </w:p>
        </w:tc>
        <w:tc>
          <w:tcPr>
            <w:tcW w:w="1300" w:type="dxa"/>
            <w:tcBorders>
              <w:top w:val="nil"/>
              <w:left w:val="nil"/>
              <w:bottom w:val="single" w:sz="4" w:space="0" w:color="auto"/>
              <w:right w:val="single" w:sz="4" w:space="0" w:color="auto"/>
            </w:tcBorders>
            <w:vAlign w:val="center"/>
            <w:hideMark/>
          </w:tcPr>
          <w:p w14:paraId="1CA91F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2399237000</w:t>
            </w:r>
          </w:p>
        </w:tc>
        <w:tc>
          <w:tcPr>
            <w:tcW w:w="1012" w:type="dxa"/>
            <w:tcBorders>
              <w:top w:val="nil"/>
              <w:left w:val="nil"/>
              <w:bottom w:val="single" w:sz="4" w:space="0" w:color="auto"/>
              <w:right w:val="single" w:sz="4" w:space="0" w:color="auto"/>
            </w:tcBorders>
            <w:vAlign w:val="center"/>
            <w:hideMark/>
          </w:tcPr>
          <w:p w14:paraId="1F39C0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32179090</w:t>
            </w:r>
          </w:p>
        </w:tc>
        <w:tc>
          <w:tcPr>
            <w:tcW w:w="5953" w:type="dxa"/>
            <w:tcBorders>
              <w:top w:val="nil"/>
              <w:left w:val="nil"/>
              <w:bottom w:val="single" w:sz="4" w:space="0" w:color="auto"/>
              <w:right w:val="single" w:sz="4" w:space="0" w:color="auto"/>
            </w:tcBorders>
            <w:noWrap/>
            <w:vAlign w:val="center"/>
            <w:hideMark/>
          </w:tcPr>
          <w:p w14:paraId="05A46B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PRAVOSODJE</w:t>
            </w:r>
          </w:p>
        </w:tc>
      </w:tr>
      <w:tr w:rsidR="00F24E18" w14:paraId="223467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F481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865</w:t>
            </w:r>
          </w:p>
        </w:tc>
        <w:tc>
          <w:tcPr>
            <w:tcW w:w="1300" w:type="dxa"/>
            <w:tcBorders>
              <w:top w:val="nil"/>
              <w:left w:val="nil"/>
              <w:bottom w:val="single" w:sz="4" w:space="0" w:color="auto"/>
              <w:right w:val="single" w:sz="4" w:space="0" w:color="auto"/>
            </w:tcBorders>
            <w:noWrap/>
            <w:vAlign w:val="center"/>
            <w:hideMark/>
          </w:tcPr>
          <w:p w14:paraId="541D22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2516268000</w:t>
            </w:r>
          </w:p>
        </w:tc>
        <w:tc>
          <w:tcPr>
            <w:tcW w:w="1012" w:type="dxa"/>
            <w:tcBorders>
              <w:top w:val="nil"/>
              <w:left w:val="nil"/>
              <w:bottom w:val="single" w:sz="4" w:space="0" w:color="auto"/>
              <w:right w:val="single" w:sz="4" w:space="0" w:color="auto"/>
            </w:tcBorders>
            <w:noWrap/>
            <w:vAlign w:val="center"/>
            <w:hideMark/>
          </w:tcPr>
          <w:p w14:paraId="7CC53B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93314272</w:t>
            </w:r>
          </w:p>
        </w:tc>
        <w:tc>
          <w:tcPr>
            <w:tcW w:w="5953" w:type="dxa"/>
            <w:tcBorders>
              <w:top w:val="nil"/>
              <w:left w:val="nil"/>
              <w:bottom w:val="single" w:sz="4" w:space="0" w:color="auto"/>
              <w:right w:val="single" w:sz="4" w:space="0" w:color="auto"/>
            </w:tcBorders>
            <w:noWrap/>
            <w:vAlign w:val="center"/>
            <w:hideMark/>
          </w:tcPr>
          <w:p w14:paraId="3579F1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PRAVOSODJE UPRAVA REPUBLIKE SLOVENIJE ZA PROBACIJO</w:t>
            </w:r>
          </w:p>
        </w:tc>
      </w:tr>
      <w:tr w:rsidR="00F24E18" w14:paraId="47D332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6998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866</w:t>
            </w:r>
          </w:p>
        </w:tc>
        <w:tc>
          <w:tcPr>
            <w:tcW w:w="1300" w:type="dxa"/>
            <w:tcBorders>
              <w:top w:val="nil"/>
              <w:left w:val="nil"/>
              <w:bottom w:val="single" w:sz="4" w:space="0" w:color="auto"/>
              <w:right w:val="single" w:sz="4" w:space="0" w:color="auto"/>
            </w:tcBorders>
            <w:vAlign w:val="center"/>
            <w:hideMark/>
          </w:tcPr>
          <w:p w14:paraId="20FE05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5888093000</w:t>
            </w:r>
          </w:p>
        </w:tc>
        <w:tc>
          <w:tcPr>
            <w:tcW w:w="1012" w:type="dxa"/>
            <w:tcBorders>
              <w:top w:val="nil"/>
              <w:left w:val="nil"/>
              <w:bottom w:val="single" w:sz="4" w:space="0" w:color="auto"/>
              <w:right w:val="single" w:sz="4" w:space="0" w:color="auto"/>
            </w:tcBorders>
            <w:vAlign w:val="center"/>
            <w:hideMark/>
          </w:tcPr>
          <w:p w14:paraId="4C1F2B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26731622</w:t>
            </w:r>
          </w:p>
        </w:tc>
        <w:tc>
          <w:tcPr>
            <w:tcW w:w="5953" w:type="dxa"/>
            <w:tcBorders>
              <w:top w:val="nil"/>
              <w:left w:val="nil"/>
              <w:bottom w:val="single" w:sz="4" w:space="0" w:color="auto"/>
              <w:right w:val="single" w:sz="4" w:space="0" w:color="auto"/>
            </w:tcBorders>
            <w:noWrap/>
            <w:vAlign w:val="center"/>
            <w:hideMark/>
          </w:tcPr>
          <w:p w14:paraId="62C558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PRAVOSODJE UPRAVA RS ZA IZVRŠEVANJE KAZENSKIH SANKCIJ</w:t>
            </w:r>
          </w:p>
        </w:tc>
      </w:tr>
      <w:tr w:rsidR="00F24E18" w14:paraId="68FC00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508E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867</w:t>
            </w:r>
          </w:p>
        </w:tc>
        <w:tc>
          <w:tcPr>
            <w:tcW w:w="1300" w:type="dxa"/>
            <w:tcBorders>
              <w:top w:val="nil"/>
              <w:left w:val="nil"/>
              <w:bottom w:val="single" w:sz="4" w:space="0" w:color="auto"/>
              <w:right w:val="single" w:sz="4" w:space="0" w:color="auto"/>
            </w:tcBorders>
            <w:noWrap/>
            <w:vAlign w:val="center"/>
            <w:hideMark/>
          </w:tcPr>
          <w:p w14:paraId="096A6A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2632560000</w:t>
            </w:r>
          </w:p>
        </w:tc>
        <w:tc>
          <w:tcPr>
            <w:tcW w:w="1012" w:type="dxa"/>
            <w:tcBorders>
              <w:top w:val="nil"/>
              <w:left w:val="nil"/>
              <w:bottom w:val="single" w:sz="4" w:space="0" w:color="auto"/>
              <w:right w:val="single" w:sz="4" w:space="0" w:color="auto"/>
            </w:tcBorders>
            <w:noWrap/>
            <w:vAlign w:val="center"/>
            <w:hideMark/>
          </w:tcPr>
          <w:p w14:paraId="5280AB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10978429</w:t>
            </w:r>
          </w:p>
        </w:tc>
        <w:tc>
          <w:tcPr>
            <w:tcW w:w="5953" w:type="dxa"/>
            <w:tcBorders>
              <w:top w:val="nil"/>
              <w:left w:val="nil"/>
              <w:bottom w:val="single" w:sz="4" w:space="0" w:color="auto"/>
              <w:right w:val="single" w:sz="4" w:space="0" w:color="auto"/>
            </w:tcBorders>
            <w:noWrap/>
            <w:vAlign w:val="center"/>
            <w:hideMark/>
          </w:tcPr>
          <w:p w14:paraId="2D2E6C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SOLIDARNO PRIHODNOST</w:t>
            </w:r>
          </w:p>
        </w:tc>
      </w:tr>
      <w:tr w:rsidR="00F24E18" w14:paraId="7BE5C2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B40C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868</w:t>
            </w:r>
          </w:p>
        </w:tc>
        <w:tc>
          <w:tcPr>
            <w:tcW w:w="1300" w:type="dxa"/>
            <w:tcBorders>
              <w:top w:val="nil"/>
              <w:left w:val="nil"/>
              <w:bottom w:val="single" w:sz="4" w:space="0" w:color="auto"/>
              <w:right w:val="single" w:sz="4" w:space="0" w:color="auto"/>
            </w:tcBorders>
            <w:noWrap/>
            <w:vAlign w:val="center"/>
            <w:hideMark/>
          </w:tcPr>
          <w:p w14:paraId="64580C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2632543000</w:t>
            </w:r>
          </w:p>
        </w:tc>
        <w:tc>
          <w:tcPr>
            <w:tcW w:w="1012" w:type="dxa"/>
            <w:tcBorders>
              <w:top w:val="nil"/>
              <w:left w:val="nil"/>
              <w:bottom w:val="single" w:sz="4" w:space="0" w:color="auto"/>
              <w:right w:val="single" w:sz="4" w:space="0" w:color="auto"/>
            </w:tcBorders>
            <w:noWrap/>
            <w:vAlign w:val="center"/>
            <w:hideMark/>
          </w:tcPr>
          <w:p w14:paraId="20F437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54707218</w:t>
            </w:r>
          </w:p>
        </w:tc>
        <w:tc>
          <w:tcPr>
            <w:tcW w:w="5953" w:type="dxa"/>
            <w:tcBorders>
              <w:top w:val="nil"/>
              <w:left w:val="nil"/>
              <w:bottom w:val="single" w:sz="4" w:space="0" w:color="auto"/>
              <w:right w:val="single" w:sz="4" w:space="0" w:color="auto"/>
            </w:tcBorders>
            <w:noWrap/>
            <w:vAlign w:val="center"/>
            <w:hideMark/>
          </w:tcPr>
          <w:p w14:paraId="53FBBF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VISOKO ŠOLSTVO, ZNANOST IN INOVACIJE</w:t>
            </w:r>
          </w:p>
        </w:tc>
      </w:tr>
      <w:tr w:rsidR="00F24E18" w14:paraId="6EF671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724B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869</w:t>
            </w:r>
          </w:p>
        </w:tc>
        <w:tc>
          <w:tcPr>
            <w:tcW w:w="1300" w:type="dxa"/>
            <w:tcBorders>
              <w:top w:val="nil"/>
              <w:left w:val="nil"/>
              <w:bottom w:val="single" w:sz="4" w:space="0" w:color="auto"/>
              <w:right w:val="single" w:sz="4" w:space="0" w:color="auto"/>
            </w:tcBorders>
            <w:vAlign w:val="center"/>
            <w:hideMark/>
          </w:tcPr>
          <w:p w14:paraId="13D54F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2632608000</w:t>
            </w:r>
          </w:p>
        </w:tc>
        <w:tc>
          <w:tcPr>
            <w:tcW w:w="1012" w:type="dxa"/>
            <w:tcBorders>
              <w:top w:val="nil"/>
              <w:left w:val="nil"/>
              <w:bottom w:val="single" w:sz="4" w:space="0" w:color="auto"/>
              <w:right w:val="single" w:sz="4" w:space="0" w:color="auto"/>
            </w:tcBorders>
            <w:vAlign w:val="center"/>
            <w:hideMark/>
          </w:tcPr>
          <w:p w14:paraId="7959AE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64524485</w:t>
            </w:r>
          </w:p>
        </w:tc>
        <w:tc>
          <w:tcPr>
            <w:tcW w:w="5953" w:type="dxa"/>
            <w:tcBorders>
              <w:top w:val="nil"/>
              <w:left w:val="nil"/>
              <w:bottom w:val="single" w:sz="4" w:space="0" w:color="auto"/>
              <w:right w:val="single" w:sz="4" w:space="0" w:color="auto"/>
            </w:tcBorders>
            <w:noWrap/>
            <w:vAlign w:val="center"/>
            <w:hideMark/>
          </w:tcPr>
          <w:p w14:paraId="007A4D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VZGOJO IN IZOBRAŽEVANJE</w:t>
            </w:r>
          </w:p>
        </w:tc>
      </w:tr>
      <w:tr w:rsidR="00F24E18" w14:paraId="10A6FD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6951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870</w:t>
            </w:r>
          </w:p>
        </w:tc>
        <w:tc>
          <w:tcPr>
            <w:tcW w:w="1300" w:type="dxa"/>
            <w:tcBorders>
              <w:top w:val="nil"/>
              <w:left w:val="nil"/>
              <w:bottom w:val="single" w:sz="4" w:space="0" w:color="auto"/>
              <w:right w:val="single" w:sz="4" w:space="0" w:color="auto"/>
            </w:tcBorders>
            <w:noWrap/>
            <w:vAlign w:val="center"/>
            <w:hideMark/>
          </w:tcPr>
          <w:p w14:paraId="067B26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2632705000</w:t>
            </w:r>
          </w:p>
        </w:tc>
        <w:tc>
          <w:tcPr>
            <w:tcW w:w="1012" w:type="dxa"/>
            <w:tcBorders>
              <w:top w:val="nil"/>
              <w:left w:val="nil"/>
              <w:bottom w:val="single" w:sz="4" w:space="0" w:color="auto"/>
              <w:right w:val="single" w:sz="4" w:space="0" w:color="auto"/>
            </w:tcBorders>
            <w:noWrap/>
            <w:vAlign w:val="center"/>
            <w:hideMark/>
          </w:tcPr>
          <w:p w14:paraId="3D8319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46611240</w:t>
            </w:r>
          </w:p>
        </w:tc>
        <w:tc>
          <w:tcPr>
            <w:tcW w:w="5953" w:type="dxa"/>
            <w:tcBorders>
              <w:top w:val="nil"/>
              <w:left w:val="nil"/>
              <w:bottom w:val="single" w:sz="4" w:space="0" w:color="auto"/>
              <w:right w:val="single" w:sz="4" w:space="0" w:color="auto"/>
            </w:tcBorders>
            <w:noWrap/>
            <w:vAlign w:val="center"/>
            <w:hideMark/>
          </w:tcPr>
          <w:p w14:paraId="696632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VZGOJO IN IZOBRAŽEVANJE, INŠPEKTORAT REPUBLIKE SLOVENIJE ZA ŠOLSTVO</w:t>
            </w:r>
          </w:p>
        </w:tc>
      </w:tr>
      <w:tr w:rsidR="00F24E18" w14:paraId="6D626F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5E41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871</w:t>
            </w:r>
          </w:p>
        </w:tc>
        <w:tc>
          <w:tcPr>
            <w:tcW w:w="1300" w:type="dxa"/>
            <w:tcBorders>
              <w:top w:val="nil"/>
              <w:left w:val="nil"/>
              <w:bottom w:val="single" w:sz="4" w:space="0" w:color="auto"/>
              <w:right w:val="single" w:sz="4" w:space="0" w:color="auto"/>
            </w:tcBorders>
            <w:vAlign w:val="center"/>
            <w:hideMark/>
          </w:tcPr>
          <w:p w14:paraId="480262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5030544000</w:t>
            </w:r>
          </w:p>
        </w:tc>
        <w:tc>
          <w:tcPr>
            <w:tcW w:w="1012" w:type="dxa"/>
            <w:tcBorders>
              <w:top w:val="nil"/>
              <w:left w:val="nil"/>
              <w:bottom w:val="single" w:sz="4" w:space="0" w:color="auto"/>
              <w:right w:val="single" w:sz="4" w:space="0" w:color="auto"/>
            </w:tcBorders>
            <w:vAlign w:val="center"/>
            <w:hideMark/>
          </w:tcPr>
          <w:p w14:paraId="1E96F8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96395265</w:t>
            </w:r>
          </w:p>
        </w:tc>
        <w:tc>
          <w:tcPr>
            <w:tcW w:w="5953" w:type="dxa"/>
            <w:tcBorders>
              <w:top w:val="nil"/>
              <w:left w:val="nil"/>
              <w:bottom w:val="single" w:sz="4" w:space="0" w:color="auto"/>
              <w:right w:val="single" w:sz="4" w:space="0" w:color="auto"/>
            </w:tcBorders>
            <w:noWrap/>
            <w:vAlign w:val="center"/>
            <w:hideMark/>
          </w:tcPr>
          <w:p w14:paraId="20DA2F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ZDRAVJE</w:t>
            </w:r>
          </w:p>
        </w:tc>
      </w:tr>
      <w:tr w:rsidR="00F24E18" w14:paraId="6F97A4F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5BB7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872</w:t>
            </w:r>
          </w:p>
        </w:tc>
        <w:tc>
          <w:tcPr>
            <w:tcW w:w="1300" w:type="dxa"/>
            <w:tcBorders>
              <w:top w:val="nil"/>
              <w:left w:val="nil"/>
              <w:bottom w:val="single" w:sz="4" w:space="0" w:color="auto"/>
              <w:right w:val="single" w:sz="4" w:space="0" w:color="auto"/>
            </w:tcBorders>
            <w:vAlign w:val="center"/>
            <w:hideMark/>
          </w:tcPr>
          <w:p w14:paraId="7DA5E4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1729489000</w:t>
            </w:r>
          </w:p>
        </w:tc>
        <w:tc>
          <w:tcPr>
            <w:tcW w:w="1012" w:type="dxa"/>
            <w:tcBorders>
              <w:top w:val="nil"/>
              <w:left w:val="nil"/>
              <w:bottom w:val="single" w:sz="4" w:space="0" w:color="auto"/>
              <w:right w:val="single" w:sz="4" w:space="0" w:color="auto"/>
            </w:tcBorders>
            <w:vAlign w:val="center"/>
            <w:hideMark/>
          </w:tcPr>
          <w:p w14:paraId="603F87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19179766</w:t>
            </w:r>
          </w:p>
        </w:tc>
        <w:tc>
          <w:tcPr>
            <w:tcW w:w="5953" w:type="dxa"/>
            <w:tcBorders>
              <w:top w:val="nil"/>
              <w:left w:val="nil"/>
              <w:bottom w:val="single" w:sz="4" w:space="0" w:color="auto"/>
              <w:right w:val="single" w:sz="4" w:space="0" w:color="auto"/>
            </w:tcBorders>
            <w:noWrap/>
            <w:vAlign w:val="center"/>
            <w:hideMark/>
          </w:tcPr>
          <w:p w14:paraId="004EF1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ZDRAVJE UPRAVA REPUBLIKE SLOVENIJE ZA VARSTVO PRED SEVANJI</w:t>
            </w:r>
          </w:p>
        </w:tc>
      </w:tr>
      <w:tr w:rsidR="00F24E18" w14:paraId="1DCFD8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A099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873</w:t>
            </w:r>
          </w:p>
        </w:tc>
        <w:tc>
          <w:tcPr>
            <w:tcW w:w="1300" w:type="dxa"/>
            <w:tcBorders>
              <w:top w:val="nil"/>
              <w:left w:val="nil"/>
              <w:bottom w:val="single" w:sz="4" w:space="0" w:color="auto"/>
              <w:right w:val="single" w:sz="4" w:space="0" w:color="auto"/>
            </w:tcBorders>
            <w:noWrap/>
            <w:vAlign w:val="center"/>
            <w:hideMark/>
          </w:tcPr>
          <w:p w14:paraId="573C48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1332511000</w:t>
            </w:r>
          </w:p>
        </w:tc>
        <w:tc>
          <w:tcPr>
            <w:tcW w:w="1012" w:type="dxa"/>
            <w:tcBorders>
              <w:top w:val="nil"/>
              <w:left w:val="nil"/>
              <w:bottom w:val="single" w:sz="4" w:space="0" w:color="auto"/>
              <w:right w:val="single" w:sz="4" w:space="0" w:color="auto"/>
            </w:tcBorders>
            <w:vAlign w:val="center"/>
            <w:hideMark/>
          </w:tcPr>
          <w:p w14:paraId="3EB9D2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58667334</w:t>
            </w:r>
          </w:p>
        </w:tc>
        <w:tc>
          <w:tcPr>
            <w:tcW w:w="5953" w:type="dxa"/>
            <w:tcBorders>
              <w:top w:val="nil"/>
              <w:left w:val="nil"/>
              <w:bottom w:val="single" w:sz="4" w:space="0" w:color="auto"/>
              <w:right w:val="single" w:sz="4" w:space="0" w:color="auto"/>
            </w:tcBorders>
            <w:noWrap/>
            <w:vAlign w:val="center"/>
            <w:hideMark/>
          </w:tcPr>
          <w:p w14:paraId="79D5E5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ZDRAVJE URAD REPUBLIKE SLOVENIJE ZA KEMIKALIJE</w:t>
            </w:r>
          </w:p>
        </w:tc>
      </w:tr>
      <w:tr w:rsidR="00F24E18" w14:paraId="22E3FE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B34B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874</w:t>
            </w:r>
          </w:p>
        </w:tc>
        <w:tc>
          <w:tcPr>
            <w:tcW w:w="1300" w:type="dxa"/>
            <w:tcBorders>
              <w:top w:val="nil"/>
              <w:left w:val="nil"/>
              <w:bottom w:val="single" w:sz="4" w:space="0" w:color="auto"/>
              <w:right w:val="single" w:sz="4" w:space="0" w:color="auto"/>
            </w:tcBorders>
            <w:noWrap/>
            <w:vAlign w:val="center"/>
            <w:hideMark/>
          </w:tcPr>
          <w:p w14:paraId="7E58C3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5875048000</w:t>
            </w:r>
          </w:p>
        </w:tc>
        <w:tc>
          <w:tcPr>
            <w:tcW w:w="1012" w:type="dxa"/>
            <w:tcBorders>
              <w:top w:val="nil"/>
              <w:left w:val="nil"/>
              <w:bottom w:val="single" w:sz="4" w:space="0" w:color="auto"/>
              <w:right w:val="single" w:sz="4" w:space="0" w:color="auto"/>
            </w:tcBorders>
            <w:noWrap/>
            <w:vAlign w:val="center"/>
            <w:hideMark/>
          </w:tcPr>
          <w:p w14:paraId="2E48A6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61552160</w:t>
            </w:r>
          </w:p>
        </w:tc>
        <w:tc>
          <w:tcPr>
            <w:tcW w:w="5953" w:type="dxa"/>
            <w:tcBorders>
              <w:top w:val="nil"/>
              <w:left w:val="nil"/>
              <w:bottom w:val="single" w:sz="4" w:space="0" w:color="auto"/>
              <w:right w:val="single" w:sz="4" w:space="0" w:color="auto"/>
            </w:tcBorders>
            <w:noWrap/>
            <w:vAlign w:val="center"/>
            <w:hideMark/>
          </w:tcPr>
          <w:p w14:paraId="342C4F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ZDRAVJE ZDRAVSTVENI INŠPEKTORAT REPUBLIKE SLOVENIJE</w:t>
            </w:r>
          </w:p>
        </w:tc>
      </w:tr>
      <w:tr w:rsidR="00F24E18" w14:paraId="7B11B69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A09A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875</w:t>
            </w:r>
          </w:p>
        </w:tc>
        <w:tc>
          <w:tcPr>
            <w:tcW w:w="1300" w:type="dxa"/>
            <w:tcBorders>
              <w:top w:val="nil"/>
              <w:left w:val="nil"/>
              <w:bottom w:val="single" w:sz="4" w:space="0" w:color="auto"/>
              <w:right w:val="single" w:sz="4" w:space="0" w:color="auto"/>
            </w:tcBorders>
            <w:vAlign w:val="center"/>
            <w:hideMark/>
          </w:tcPr>
          <w:p w14:paraId="6F5342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5186722000</w:t>
            </w:r>
          </w:p>
        </w:tc>
        <w:tc>
          <w:tcPr>
            <w:tcW w:w="1012" w:type="dxa"/>
            <w:tcBorders>
              <w:top w:val="nil"/>
              <w:left w:val="nil"/>
              <w:bottom w:val="single" w:sz="4" w:space="0" w:color="auto"/>
              <w:right w:val="single" w:sz="4" w:space="0" w:color="auto"/>
            </w:tcBorders>
            <w:vAlign w:val="center"/>
            <w:hideMark/>
          </w:tcPr>
          <w:p w14:paraId="683809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96258420</w:t>
            </w:r>
          </w:p>
        </w:tc>
        <w:tc>
          <w:tcPr>
            <w:tcW w:w="5953" w:type="dxa"/>
            <w:tcBorders>
              <w:top w:val="nil"/>
              <w:left w:val="nil"/>
              <w:bottom w:val="single" w:sz="4" w:space="0" w:color="auto"/>
              <w:right w:val="single" w:sz="4" w:space="0" w:color="auto"/>
            </w:tcBorders>
            <w:noWrap/>
            <w:vAlign w:val="center"/>
            <w:hideMark/>
          </w:tcPr>
          <w:p w14:paraId="48E458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MINISTRSTVO ZA ZUNANJE IN EVROPSKE ZADEVE</w:t>
            </w:r>
          </w:p>
        </w:tc>
      </w:tr>
      <w:tr w:rsidR="00F24E18" w14:paraId="3A48C0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96CB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876</w:t>
            </w:r>
          </w:p>
        </w:tc>
        <w:tc>
          <w:tcPr>
            <w:tcW w:w="1300" w:type="dxa"/>
            <w:tcBorders>
              <w:top w:val="nil"/>
              <w:left w:val="nil"/>
              <w:bottom w:val="single" w:sz="4" w:space="0" w:color="auto"/>
              <w:right w:val="single" w:sz="4" w:space="0" w:color="auto"/>
            </w:tcBorders>
            <w:noWrap/>
            <w:vAlign w:val="center"/>
            <w:hideMark/>
          </w:tcPr>
          <w:p w14:paraId="411ADD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5986567000</w:t>
            </w:r>
          </w:p>
        </w:tc>
        <w:tc>
          <w:tcPr>
            <w:tcW w:w="1012" w:type="dxa"/>
            <w:tcBorders>
              <w:top w:val="nil"/>
              <w:left w:val="nil"/>
              <w:bottom w:val="single" w:sz="4" w:space="0" w:color="auto"/>
              <w:right w:val="single" w:sz="4" w:space="0" w:color="auto"/>
            </w:tcBorders>
            <w:noWrap/>
            <w:vAlign w:val="center"/>
            <w:hideMark/>
          </w:tcPr>
          <w:p w14:paraId="3EC1A7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87432382</w:t>
            </w:r>
          </w:p>
        </w:tc>
        <w:tc>
          <w:tcPr>
            <w:tcW w:w="5953" w:type="dxa"/>
            <w:tcBorders>
              <w:top w:val="nil"/>
              <w:left w:val="nil"/>
              <w:bottom w:val="single" w:sz="4" w:space="0" w:color="auto"/>
              <w:right w:val="single" w:sz="4" w:space="0" w:color="auto"/>
            </w:tcBorders>
            <w:noWrap/>
            <w:vAlign w:val="center"/>
            <w:hideMark/>
          </w:tcPr>
          <w:p w14:paraId="264EDB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MLADINSKI CENTER VELENJE KULTURA IN IZOBRAŽEVANJE, ŠALEŠKA CESTA 3, VELENJE</w:t>
            </w:r>
          </w:p>
        </w:tc>
      </w:tr>
      <w:tr w:rsidR="00F24E18" w14:paraId="792F3B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0DF5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877</w:t>
            </w:r>
          </w:p>
        </w:tc>
        <w:tc>
          <w:tcPr>
            <w:tcW w:w="1300" w:type="dxa"/>
            <w:tcBorders>
              <w:top w:val="nil"/>
              <w:left w:val="nil"/>
              <w:bottom w:val="single" w:sz="4" w:space="0" w:color="auto"/>
              <w:right w:val="single" w:sz="4" w:space="0" w:color="auto"/>
            </w:tcBorders>
            <w:noWrap/>
            <w:vAlign w:val="center"/>
            <w:hideMark/>
          </w:tcPr>
          <w:p w14:paraId="768B15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8645329000</w:t>
            </w:r>
          </w:p>
        </w:tc>
        <w:tc>
          <w:tcPr>
            <w:tcW w:w="1012" w:type="dxa"/>
            <w:tcBorders>
              <w:top w:val="nil"/>
              <w:left w:val="nil"/>
              <w:bottom w:val="single" w:sz="4" w:space="0" w:color="auto"/>
              <w:right w:val="single" w:sz="4" w:space="0" w:color="auto"/>
            </w:tcBorders>
            <w:noWrap/>
            <w:vAlign w:val="center"/>
            <w:hideMark/>
          </w:tcPr>
          <w:p w14:paraId="50C6AC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36305642</w:t>
            </w:r>
          </w:p>
        </w:tc>
        <w:tc>
          <w:tcPr>
            <w:tcW w:w="5953" w:type="dxa"/>
            <w:tcBorders>
              <w:top w:val="nil"/>
              <w:left w:val="nil"/>
              <w:bottom w:val="single" w:sz="4" w:space="0" w:color="auto"/>
              <w:right w:val="single" w:sz="4" w:space="0" w:color="auto"/>
            </w:tcBorders>
            <w:noWrap/>
            <w:vAlign w:val="center"/>
            <w:hideMark/>
          </w:tcPr>
          <w:p w14:paraId="70D367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MLADINSKI CENTER ŽALEC, JAVNI ZAVOD ZA MLADINSKO KULTURO, IZOBRAŽEVANJE, INFORMIRANJE IN REKREACIJO</w:t>
            </w:r>
          </w:p>
        </w:tc>
      </w:tr>
      <w:tr w:rsidR="00F24E18" w14:paraId="1984583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0038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878</w:t>
            </w:r>
          </w:p>
        </w:tc>
        <w:tc>
          <w:tcPr>
            <w:tcW w:w="1300" w:type="dxa"/>
            <w:tcBorders>
              <w:top w:val="nil"/>
              <w:left w:val="nil"/>
              <w:bottom w:val="single" w:sz="4" w:space="0" w:color="auto"/>
              <w:right w:val="single" w:sz="4" w:space="0" w:color="auto"/>
            </w:tcBorders>
            <w:noWrap/>
            <w:vAlign w:val="center"/>
            <w:hideMark/>
          </w:tcPr>
          <w:p w14:paraId="377AC5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5986435000</w:t>
            </w:r>
          </w:p>
        </w:tc>
        <w:tc>
          <w:tcPr>
            <w:tcW w:w="1012" w:type="dxa"/>
            <w:tcBorders>
              <w:top w:val="nil"/>
              <w:left w:val="nil"/>
              <w:bottom w:val="single" w:sz="4" w:space="0" w:color="auto"/>
              <w:right w:val="single" w:sz="4" w:space="0" w:color="auto"/>
            </w:tcBorders>
            <w:noWrap/>
            <w:vAlign w:val="center"/>
            <w:hideMark/>
          </w:tcPr>
          <w:p w14:paraId="7C02CE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78192072</w:t>
            </w:r>
          </w:p>
        </w:tc>
        <w:tc>
          <w:tcPr>
            <w:tcW w:w="5953" w:type="dxa"/>
            <w:tcBorders>
              <w:top w:val="nil"/>
              <w:left w:val="nil"/>
              <w:bottom w:val="single" w:sz="4" w:space="0" w:color="auto"/>
              <w:right w:val="single" w:sz="4" w:space="0" w:color="auto"/>
            </w:tcBorders>
            <w:noWrap/>
            <w:vAlign w:val="center"/>
            <w:hideMark/>
          </w:tcPr>
          <w:p w14:paraId="12C137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MLADINSKI INFORMATIVNI IN KULTURNI KLUB MURSKA SOBOTA</w:t>
            </w:r>
          </w:p>
        </w:tc>
      </w:tr>
      <w:tr w:rsidR="00F24E18" w14:paraId="365C67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3897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879</w:t>
            </w:r>
          </w:p>
        </w:tc>
        <w:tc>
          <w:tcPr>
            <w:tcW w:w="1300" w:type="dxa"/>
            <w:tcBorders>
              <w:top w:val="nil"/>
              <w:left w:val="nil"/>
              <w:bottom w:val="single" w:sz="4" w:space="0" w:color="auto"/>
              <w:right w:val="single" w:sz="4" w:space="0" w:color="auto"/>
            </w:tcBorders>
            <w:noWrap/>
            <w:vAlign w:val="center"/>
            <w:hideMark/>
          </w:tcPr>
          <w:p w14:paraId="6709ED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5821371000</w:t>
            </w:r>
          </w:p>
        </w:tc>
        <w:tc>
          <w:tcPr>
            <w:tcW w:w="1012" w:type="dxa"/>
            <w:tcBorders>
              <w:top w:val="nil"/>
              <w:left w:val="nil"/>
              <w:bottom w:val="single" w:sz="4" w:space="0" w:color="auto"/>
              <w:right w:val="single" w:sz="4" w:space="0" w:color="auto"/>
            </w:tcBorders>
            <w:noWrap/>
            <w:vAlign w:val="center"/>
            <w:hideMark/>
          </w:tcPr>
          <w:p w14:paraId="02E1A4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32972822</w:t>
            </w:r>
          </w:p>
        </w:tc>
        <w:tc>
          <w:tcPr>
            <w:tcW w:w="5953" w:type="dxa"/>
            <w:tcBorders>
              <w:top w:val="nil"/>
              <w:left w:val="nil"/>
              <w:bottom w:val="single" w:sz="4" w:space="0" w:color="auto"/>
              <w:right w:val="single" w:sz="4" w:space="0" w:color="auto"/>
            </w:tcBorders>
            <w:noWrap/>
            <w:vAlign w:val="center"/>
            <w:hideMark/>
          </w:tcPr>
          <w:p w14:paraId="257FE4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MLADINSKI KULTURNI CENTER MARIBOR ANGLEŠKI PREVOD IMENA ZAVODA: YOUTH CULTURAL CENTRE MARIBOR</w:t>
            </w:r>
          </w:p>
        </w:tc>
      </w:tr>
      <w:tr w:rsidR="00F24E18" w14:paraId="349842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02DF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880</w:t>
            </w:r>
          </w:p>
        </w:tc>
        <w:tc>
          <w:tcPr>
            <w:tcW w:w="1300" w:type="dxa"/>
            <w:tcBorders>
              <w:top w:val="nil"/>
              <w:left w:val="nil"/>
              <w:bottom w:val="single" w:sz="4" w:space="0" w:color="auto"/>
              <w:right w:val="single" w:sz="4" w:space="0" w:color="auto"/>
            </w:tcBorders>
            <w:noWrap/>
            <w:vAlign w:val="center"/>
            <w:hideMark/>
          </w:tcPr>
          <w:p w14:paraId="133773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5273943000</w:t>
            </w:r>
          </w:p>
        </w:tc>
        <w:tc>
          <w:tcPr>
            <w:tcW w:w="1012" w:type="dxa"/>
            <w:tcBorders>
              <w:top w:val="nil"/>
              <w:left w:val="nil"/>
              <w:bottom w:val="single" w:sz="4" w:space="0" w:color="auto"/>
              <w:right w:val="single" w:sz="4" w:space="0" w:color="auto"/>
            </w:tcBorders>
            <w:noWrap/>
            <w:vAlign w:val="center"/>
            <w:hideMark/>
          </w:tcPr>
          <w:p w14:paraId="514C10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28277678</w:t>
            </w:r>
          </w:p>
        </w:tc>
        <w:tc>
          <w:tcPr>
            <w:tcW w:w="5953" w:type="dxa"/>
            <w:tcBorders>
              <w:top w:val="nil"/>
              <w:left w:val="nil"/>
              <w:bottom w:val="single" w:sz="4" w:space="0" w:color="auto"/>
              <w:right w:val="single" w:sz="4" w:space="0" w:color="auto"/>
            </w:tcBorders>
            <w:noWrap/>
            <w:vAlign w:val="center"/>
            <w:hideMark/>
          </w:tcPr>
          <w:p w14:paraId="6E32F9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MLADINSKO KLIMATSKO ZDRAVILIŠČE RAKITNA</w:t>
            </w:r>
          </w:p>
        </w:tc>
      </w:tr>
      <w:tr w:rsidR="00F24E18" w14:paraId="2F24D6E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403D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881</w:t>
            </w:r>
          </w:p>
        </w:tc>
        <w:tc>
          <w:tcPr>
            <w:tcW w:w="1300" w:type="dxa"/>
            <w:tcBorders>
              <w:top w:val="nil"/>
              <w:left w:val="nil"/>
              <w:bottom w:val="single" w:sz="4" w:space="0" w:color="auto"/>
              <w:right w:val="single" w:sz="4" w:space="0" w:color="auto"/>
            </w:tcBorders>
            <w:vAlign w:val="center"/>
            <w:hideMark/>
          </w:tcPr>
          <w:p w14:paraId="4B8447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5055610000</w:t>
            </w:r>
          </w:p>
        </w:tc>
        <w:tc>
          <w:tcPr>
            <w:tcW w:w="1012" w:type="dxa"/>
            <w:tcBorders>
              <w:top w:val="nil"/>
              <w:left w:val="nil"/>
              <w:bottom w:val="single" w:sz="4" w:space="0" w:color="auto"/>
              <w:right w:val="single" w:sz="4" w:space="0" w:color="auto"/>
            </w:tcBorders>
            <w:vAlign w:val="center"/>
            <w:hideMark/>
          </w:tcPr>
          <w:p w14:paraId="2CC121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77185161</w:t>
            </w:r>
          </w:p>
        </w:tc>
        <w:tc>
          <w:tcPr>
            <w:tcW w:w="5953" w:type="dxa"/>
            <w:tcBorders>
              <w:top w:val="nil"/>
              <w:left w:val="nil"/>
              <w:bottom w:val="single" w:sz="4" w:space="0" w:color="auto"/>
              <w:right w:val="single" w:sz="4" w:space="0" w:color="auto"/>
            </w:tcBorders>
            <w:noWrap/>
            <w:vAlign w:val="center"/>
            <w:hideMark/>
          </w:tcPr>
          <w:p w14:paraId="083332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MODERNA GALERIJA</w:t>
            </w:r>
          </w:p>
        </w:tc>
      </w:tr>
      <w:tr w:rsidR="00F24E18" w14:paraId="1A8E99B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5623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882</w:t>
            </w:r>
          </w:p>
        </w:tc>
        <w:tc>
          <w:tcPr>
            <w:tcW w:w="1300" w:type="dxa"/>
            <w:tcBorders>
              <w:top w:val="nil"/>
              <w:left w:val="nil"/>
              <w:bottom w:val="single" w:sz="4" w:space="0" w:color="auto"/>
              <w:right w:val="single" w:sz="4" w:space="0" w:color="auto"/>
            </w:tcBorders>
            <w:vAlign w:val="center"/>
            <w:hideMark/>
          </w:tcPr>
          <w:p w14:paraId="0A8BAB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3454428000</w:t>
            </w:r>
          </w:p>
        </w:tc>
        <w:tc>
          <w:tcPr>
            <w:tcW w:w="1012" w:type="dxa"/>
            <w:tcBorders>
              <w:top w:val="nil"/>
              <w:left w:val="nil"/>
              <w:bottom w:val="single" w:sz="4" w:space="0" w:color="auto"/>
              <w:right w:val="single" w:sz="4" w:space="0" w:color="auto"/>
            </w:tcBorders>
            <w:vAlign w:val="center"/>
            <w:hideMark/>
          </w:tcPr>
          <w:p w14:paraId="2B41F7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48922366</w:t>
            </w:r>
          </w:p>
        </w:tc>
        <w:tc>
          <w:tcPr>
            <w:tcW w:w="5953" w:type="dxa"/>
            <w:tcBorders>
              <w:top w:val="nil"/>
              <w:left w:val="nil"/>
              <w:bottom w:val="single" w:sz="4" w:space="0" w:color="auto"/>
              <w:right w:val="single" w:sz="4" w:space="0" w:color="auto"/>
            </w:tcBorders>
            <w:noWrap/>
            <w:vAlign w:val="center"/>
            <w:hideMark/>
          </w:tcPr>
          <w:p w14:paraId="1CD10A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MUZEJ IN GALERIJE MESTA LJUBLJANE</w:t>
            </w:r>
          </w:p>
        </w:tc>
      </w:tr>
      <w:tr w:rsidR="00F24E18" w14:paraId="45A15A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AAE6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883</w:t>
            </w:r>
          </w:p>
        </w:tc>
        <w:tc>
          <w:tcPr>
            <w:tcW w:w="1300" w:type="dxa"/>
            <w:tcBorders>
              <w:top w:val="nil"/>
              <w:left w:val="nil"/>
              <w:bottom w:val="single" w:sz="4" w:space="0" w:color="auto"/>
              <w:right w:val="single" w:sz="4" w:space="0" w:color="auto"/>
            </w:tcBorders>
            <w:noWrap/>
            <w:vAlign w:val="center"/>
            <w:hideMark/>
          </w:tcPr>
          <w:p w14:paraId="165211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5052718000</w:t>
            </w:r>
          </w:p>
        </w:tc>
        <w:tc>
          <w:tcPr>
            <w:tcW w:w="1012" w:type="dxa"/>
            <w:tcBorders>
              <w:top w:val="nil"/>
              <w:left w:val="nil"/>
              <w:bottom w:val="single" w:sz="4" w:space="0" w:color="auto"/>
              <w:right w:val="single" w:sz="4" w:space="0" w:color="auto"/>
            </w:tcBorders>
            <w:noWrap/>
            <w:vAlign w:val="center"/>
            <w:hideMark/>
          </w:tcPr>
          <w:p w14:paraId="6570B3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56772637</w:t>
            </w:r>
          </w:p>
        </w:tc>
        <w:tc>
          <w:tcPr>
            <w:tcW w:w="5953" w:type="dxa"/>
            <w:tcBorders>
              <w:top w:val="nil"/>
              <w:left w:val="nil"/>
              <w:bottom w:val="single" w:sz="4" w:space="0" w:color="auto"/>
              <w:right w:val="single" w:sz="4" w:space="0" w:color="auto"/>
            </w:tcBorders>
            <w:noWrap/>
            <w:vAlign w:val="center"/>
            <w:hideMark/>
          </w:tcPr>
          <w:p w14:paraId="2FAE1D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MUZEJ NARODNE OSVOBODITVE MARIBOR</w:t>
            </w:r>
          </w:p>
        </w:tc>
      </w:tr>
      <w:tr w:rsidR="00F24E18" w14:paraId="6DB700D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0797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884</w:t>
            </w:r>
          </w:p>
        </w:tc>
        <w:tc>
          <w:tcPr>
            <w:tcW w:w="1300" w:type="dxa"/>
            <w:tcBorders>
              <w:top w:val="nil"/>
              <w:left w:val="nil"/>
              <w:bottom w:val="single" w:sz="4" w:space="0" w:color="auto"/>
              <w:right w:val="single" w:sz="4" w:space="0" w:color="auto"/>
            </w:tcBorders>
            <w:noWrap/>
            <w:vAlign w:val="center"/>
            <w:hideMark/>
          </w:tcPr>
          <w:p w14:paraId="70599A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9322981000</w:t>
            </w:r>
          </w:p>
        </w:tc>
        <w:tc>
          <w:tcPr>
            <w:tcW w:w="1012" w:type="dxa"/>
            <w:tcBorders>
              <w:top w:val="nil"/>
              <w:left w:val="nil"/>
              <w:bottom w:val="single" w:sz="4" w:space="0" w:color="auto"/>
              <w:right w:val="single" w:sz="4" w:space="0" w:color="auto"/>
            </w:tcBorders>
            <w:noWrap/>
            <w:vAlign w:val="center"/>
            <w:hideMark/>
          </w:tcPr>
          <w:p w14:paraId="387CA6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25004603</w:t>
            </w:r>
          </w:p>
        </w:tc>
        <w:tc>
          <w:tcPr>
            <w:tcW w:w="5953" w:type="dxa"/>
            <w:tcBorders>
              <w:top w:val="nil"/>
              <w:left w:val="nil"/>
              <w:bottom w:val="single" w:sz="4" w:space="0" w:color="auto"/>
              <w:right w:val="single" w:sz="4" w:space="0" w:color="auto"/>
            </w:tcBorders>
            <w:noWrap/>
            <w:vAlign w:val="center"/>
            <w:hideMark/>
          </w:tcPr>
          <w:p w14:paraId="210F94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MUZEJ NOVEJŠE IN SODOBNE ZGODOVINE SLOVENIJE</w:t>
            </w:r>
          </w:p>
        </w:tc>
      </w:tr>
      <w:tr w:rsidR="00F24E18" w14:paraId="4C7725C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A8FF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885</w:t>
            </w:r>
          </w:p>
        </w:tc>
        <w:tc>
          <w:tcPr>
            <w:tcW w:w="1300" w:type="dxa"/>
            <w:tcBorders>
              <w:top w:val="nil"/>
              <w:left w:val="nil"/>
              <w:bottom w:val="single" w:sz="4" w:space="0" w:color="auto"/>
              <w:right w:val="single" w:sz="4" w:space="0" w:color="auto"/>
            </w:tcBorders>
            <w:noWrap/>
            <w:vAlign w:val="center"/>
            <w:hideMark/>
          </w:tcPr>
          <w:p w14:paraId="0E51E9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5051843000</w:t>
            </w:r>
          </w:p>
        </w:tc>
        <w:tc>
          <w:tcPr>
            <w:tcW w:w="1012" w:type="dxa"/>
            <w:tcBorders>
              <w:top w:val="nil"/>
              <w:left w:val="nil"/>
              <w:bottom w:val="single" w:sz="4" w:space="0" w:color="auto"/>
              <w:right w:val="single" w:sz="4" w:space="0" w:color="auto"/>
            </w:tcBorders>
            <w:noWrap/>
            <w:vAlign w:val="center"/>
            <w:hideMark/>
          </w:tcPr>
          <w:p w14:paraId="776CBF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55651151</w:t>
            </w:r>
          </w:p>
        </w:tc>
        <w:tc>
          <w:tcPr>
            <w:tcW w:w="5953" w:type="dxa"/>
            <w:tcBorders>
              <w:top w:val="nil"/>
              <w:left w:val="nil"/>
              <w:bottom w:val="single" w:sz="4" w:space="0" w:color="auto"/>
              <w:right w:val="single" w:sz="4" w:space="0" w:color="auto"/>
            </w:tcBorders>
            <w:noWrap/>
            <w:vAlign w:val="center"/>
            <w:hideMark/>
          </w:tcPr>
          <w:p w14:paraId="21FEF1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MUZEJ NOVEJŠE ZGODOVINE CELJE</w:t>
            </w:r>
          </w:p>
        </w:tc>
      </w:tr>
      <w:tr w:rsidR="00F24E18" w14:paraId="60CAB9B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F173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886</w:t>
            </w:r>
          </w:p>
        </w:tc>
        <w:tc>
          <w:tcPr>
            <w:tcW w:w="1300" w:type="dxa"/>
            <w:tcBorders>
              <w:top w:val="nil"/>
              <w:left w:val="nil"/>
              <w:bottom w:val="single" w:sz="4" w:space="0" w:color="auto"/>
              <w:right w:val="single" w:sz="4" w:space="0" w:color="auto"/>
            </w:tcBorders>
            <w:noWrap/>
            <w:vAlign w:val="center"/>
            <w:hideMark/>
          </w:tcPr>
          <w:p w14:paraId="76D87E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5052084000</w:t>
            </w:r>
          </w:p>
        </w:tc>
        <w:tc>
          <w:tcPr>
            <w:tcW w:w="1012" w:type="dxa"/>
            <w:tcBorders>
              <w:top w:val="nil"/>
              <w:left w:val="nil"/>
              <w:bottom w:val="single" w:sz="4" w:space="0" w:color="auto"/>
              <w:right w:val="single" w:sz="4" w:space="0" w:color="auto"/>
            </w:tcBorders>
            <w:vAlign w:val="center"/>
            <w:hideMark/>
          </w:tcPr>
          <w:p w14:paraId="6A80F7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80093213</w:t>
            </w:r>
          </w:p>
        </w:tc>
        <w:tc>
          <w:tcPr>
            <w:tcW w:w="5953" w:type="dxa"/>
            <w:tcBorders>
              <w:top w:val="nil"/>
              <w:left w:val="nil"/>
              <w:bottom w:val="single" w:sz="4" w:space="0" w:color="auto"/>
              <w:right w:val="single" w:sz="4" w:space="0" w:color="auto"/>
            </w:tcBorders>
            <w:noWrap/>
            <w:vAlign w:val="center"/>
            <w:hideMark/>
          </w:tcPr>
          <w:p w14:paraId="7096B5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MUZEJ NOVEJŠE ZGODOVINE SLOVENIJE</w:t>
            </w:r>
          </w:p>
        </w:tc>
      </w:tr>
      <w:tr w:rsidR="00F24E18" w14:paraId="7D2A92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42AB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887</w:t>
            </w:r>
          </w:p>
        </w:tc>
        <w:tc>
          <w:tcPr>
            <w:tcW w:w="1300" w:type="dxa"/>
            <w:tcBorders>
              <w:top w:val="nil"/>
              <w:left w:val="nil"/>
              <w:bottom w:val="single" w:sz="4" w:space="0" w:color="auto"/>
              <w:right w:val="single" w:sz="4" w:space="0" w:color="auto"/>
            </w:tcBorders>
            <w:noWrap/>
            <w:vAlign w:val="center"/>
            <w:hideMark/>
          </w:tcPr>
          <w:p w14:paraId="04B331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1899546000</w:t>
            </w:r>
          </w:p>
        </w:tc>
        <w:tc>
          <w:tcPr>
            <w:tcW w:w="1012" w:type="dxa"/>
            <w:tcBorders>
              <w:top w:val="nil"/>
              <w:left w:val="nil"/>
              <w:bottom w:val="single" w:sz="4" w:space="0" w:color="auto"/>
              <w:right w:val="single" w:sz="4" w:space="0" w:color="auto"/>
            </w:tcBorders>
            <w:noWrap/>
            <w:vAlign w:val="center"/>
            <w:hideMark/>
          </w:tcPr>
          <w:p w14:paraId="697DA9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38527383</w:t>
            </w:r>
          </w:p>
        </w:tc>
        <w:tc>
          <w:tcPr>
            <w:tcW w:w="5953" w:type="dxa"/>
            <w:tcBorders>
              <w:top w:val="nil"/>
              <w:left w:val="nil"/>
              <w:bottom w:val="single" w:sz="4" w:space="0" w:color="auto"/>
              <w:right w:val="single" w:sz="4" w:space="0" w:color="auto"/>
            </w:tcBorders>
            <w:noWrap/>
            <w:vAlign w:val="center"/>
            <w:hideMark/>
          </w:tcPr>
          <w:p w14:paraId="14E701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MUZEJ VELENJE</w:t>
            </w:r>
          </w:p>
        </w:tc>
      </w:tr>
      <w:tr w:rsidR="00F24E18" w14:paraId="077794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3BD3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888</w:t>
            </w:r>
          </w:p>
        </w:tc>
        <w:tc>
          <w:tcPr>
            <w:tcW w:w="1300" w:type="dxa"/>
            <w:tcBorders>
              <w:top w:val="nil"/>
              <w:left w:val="nil"/>
              <w:bottom w:val="single" w:sz="4" w:space="0" w:color="auto"/>
              <w:right w:val="single" w:sz="4" w:space="0" w:color="auto"/>
            </w:tcBorders>
            <w:noWrap/>
            <w:vAlign w:val="center"/>
            <w:hideMark/>
          </w:tcPr>
          <w:p w14:paraId="433306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1534807000</w:t>
            </w:r>
          </w:p>
        </w:tc>
        <w:tc>
          <w:tcPr>
            <w:tcW w:w="1012" w:type="dxa"/>
            <w:tcBorders>
              <w:top w:val="nil"/>
              <w:left w:val="nil"/>
              <w:bottom w:val="single" w:sz="4" w:space="0" w:color="auto"/>
              <w:right w:val="single" w:sz="4" w:space="0" w:color="auto"/>
            </w:tcBorders>
            <w:noWrap/>
            <w:vAlign w:val="center"/>
            <w:hideMark/>
          </w:tcPr>
          <w:p w14:paraId="179236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17881447</w:t>
            </w:r>
          </w:p>
        </w:tc>
        <w:tc>
          <w:tcPr>
            <w:tcW w:w="5953" w:type="dxa"/>
            <w:tcBorders>
              <w:top w:val="nil"/>
              <w:left w:val="nil"/>
              <w:bottom w:val="single" w:sz="4" w:space="0" w:color="auto"/>
              <w:right w:val="single" w:sz="4" w:space="0" w:color="auto"/>
            </w:tcBorders>
            <w:noWrap/>
            <w:vAlign w:val="center"/>
            <w:hideMark/>
          </w:tcPr>
          <w:p w14:paraId="5F3B78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MUZEJ VRBOVEC, MUZEJ GOZDARSTVA IN LESARSTVA</w:t>
            </w:r>
          </w:p>
        </w:tc>
      </w:tr>
      <w:tr w:rsidR="00F24E18" w14:paraId="55D2B8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843B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889</w:t>
            </w:r>
          </w:p>
        </w:tc>
        <w:tc>
          <w:tcPr>
            <w:tcW w:w="1300" w:type="dxa"/>
            <w:tcBorders>
              <w:top w:val="nil"/>
              <w:left w:val="nil"/>
              <w:bottom w:val="single" w:sz="4" w:space="0" w:color="auto"/>
              <w:right w:val="single" w:sz="4" w:space="0" w:color="auto"/>
            </w:tcBorders>
            <w:noWrap/>
            <w:vAlign w:val="center"/>
            <w:hideMark/>
          </w:tcPr>
          <w:p w14:paraId="18DE59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5052840000</w:t>
            </w:r>
          </w:p>
        </w:tc>
        <w:tc>
          <w:tcPr>
            <w:tcW w:w="1012" w:type="dxa"/>
            <w:tcBorders>
              <w:top w:val="nil"/>
              <w:left w:val="nil"/>
              <w:bottom w:val="single" w:sz="4" w:space="0" w:color="auto"/>
              <w:right w:val="single" w:sz="4" w:space="0" w:color="auto"/>
            </w:tcBorders>
            <w:noWrap/>
            <w:vAlign w:val="center"/>
            <w:hideMark/>
          </w:tcPr>
          <w:p w14:paraId="2513DA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37713922</w:t>
            </w:r>
          </w:p>
        </w:tc>
        <w:tc>
          <w:tcPr>
            <w:tcW w:w="5953" w:type="dxa"/>
            <w:tcBorders>
              <w:top w:val="nil"/>
              <w:left w:val="nil"/>
              <w:bottom w:val="single" w:sz="4" w:space="0" w:color="auto"/>
              <w:right w:val="single" w:sz="4" w:space="0" w:color="auto"/>
            </w:tcBorders>
            <w:noWrap/>
            <w:vAlign w:val="center"/>
            <w:hideMark/>
          </w:tcPr>
          <w:p w14:paraId="05A995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MUZEJI RADOVLJIŠKE OBČINE</w:t>
            </w:r>
          </w:p>
        </w:tc>
      </w:tr>
      <w:tr w:rsidR="00F24E18" w14:paraId="2DCF58D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0CDD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890</w:t>
            </w:r>
          </w:p>
        </w:tc>
        <w:tc>
          <w:tcPr>
            <w:tcW w:w="1300" w:type="dxa"/>
            <w:tcBorders>
              <w:top w:val="nil"/>
              <w:left w:val="nil"/>
              <w:bottom w:val="single" w:sz="4" w:space="0" w:color="auto"/>
              <w:right w:val="single" w:sz="4" w:space="0" w:color="auto"/>
            </w:tcBorders>
            <w:noWrap/>
            <w:vAlign w:val="center"/>
            <w:hideMark/>
          </w:tcPr>
          <w:p w14:paraId="589842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3705480000</w:t>
            </w:r>
          </w:p>
        </w:tc>
        <w:tc>
          <w:tcPr>
            <w:tcW w:w="1012" w:type="dxa"/>
            <w:tcBorders>
              <w:top w:val="nil"/>
              <w:left w:val="nil"/>
              <w:bottom w:val="single" w:sz="4" w:space="0" w:color="auto"/>
              <w:right w:val="single" w:sz="4" w:space="0" w:color="auto"/>
            </w:tcBorders>
            <w:noWrap/>
            <w:vAlign w:val="center"/>
            <w:hideMark/>
          </w:tcPr>
          <w:p w14:paraId="643F95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13496140</w:t>
            </w:r>
          </w:p>
        </w:tc>
        <w:tc>
          <w:tcPr>
            <w:tcW w:w="5953" w:type="dxa"/>
            <w:tcBorders>
              <w:top w:val="nil"/>
              <w:left w:val="nil"/>
              <w:bottom w:val="single" w:sz="4" w:space="0" w:color="auto"/>
              <w:right w:val="single" w:sz="4" w:space="0" w:color="auto"/>
            </w:tcBorders>
            <w:noWrap/>
            <w:vAlign w:val="center"/>
            <w:hideMark/>
          </w:tcPr>
          <w:p w14:paraId="7654C9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NACIONALNA AGENCIJA REPUBLIKE SLOVENIJE ZA KAKOVOST V VISOKEM ŠOLSTVU</w:t>
            </w:r>
          </w:p>
        </w:tc>
      </w:tr>
      <w:tr w:rsidR="00F24E18" w14:paraId="322E6C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907B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891</w:t>
            </w:r>
          </w:p>
        </w:tc>
        <w:tc>
          <w:tcPr>
            <w:tcW w:w="1300" w:type="dxa"/>
            <w:tcBorders>
              <w:top w:val="nil"/>
              <w:left w:val="nil"/>
              <w:bottom w:val="single" w:sz="4" w:space="0" w:color="auto"/>
              <w:right w:val="single" w:sz="4" w:space="0" w:color="auto"/>
            </w:tcBorders>
            <w:vAlign w:val="center"/>
            <w:hideMark/>
          </w:tcPr>
          <w:p w14:paraId="6FEB96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5055784000</w:t>
            </w:r>
          </w:p>
        </w:tc>
        <w:tc>
          <w:tcPr>
            <w:tcW w:w="1012" w:type="dxa"/>
            <w:tcBorders>
              <w:top w:val="nil"/>
              <w:left w:val="nil"/>
              <w:bottom w:val="single" w:sz="4" w:space="0" w:color="auto"/>
              <w:right w:val="single" w:sz="4" w:space="0" w:color="auto"/>
            </w:tcBorders>
            <w:vAlign w:val="center"/>
            <w:hideMark/>
          </w:tcPr>
          <w:p w14:paraId="3BE6BF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83534784</w:t>
            </w:r>
          </w:p>
        </w:tc>
        <w:tc>
          <w:tcPr>
            <w:tcW w:w="5953" w:type="dxa"/>
            <w:tcBorders>
              <w:top w:val="nil"/>
              <w:left w:val="nil"/>
              <w:bottom w:val="single" w:sz="4" w:space="0" w:color="auto"/>
              <w:right w:val="single" w:sz="4" w:space="0" w:color="auto"/>
            </w:tcBorders>
            <w:noWrap/>
            <w:vAlign w:val="center"/>
            <w:hideMark/>
          </w:tcPr>
          <w:p w14:paraId="1E54B1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NACIONALNI INŠTITUT ZA BIOLOGIJO NATIONAL INSTITUTE OF BIOLOGY</w:t>
            </w:r>
          </w:p>
        </w:tc>
      </w:tr>
      <w:tr w:rsidR="00F24E18" w14:paraId="1163B2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F28D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892</w:t>
            </w:r>
          </w:p>
        </w:tc>
        <w:tc>
          <w:tcPr>
            <w:tcW w:w="1300" w:type="dxa"/>
            <w:tcBorders>
              <w:top w:val="nil"/>
              <w:left w:val="nil"/>
              <w:bottom w:val="single" w:sz="4" w:space="0" w:color="auto"/>
              <w:right w:val="single" w:sz="4" w:space="0" w:color="auto"/>
            </w:tcBorders>
            <w:vAlign w:val="center"/>
            <w:hideMark/>
          </w:tcPr>
          <w:p w14:paraId="2933DB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6462642000</w:t>
            </w:r>
          </w:p>
        </w:tc>
        <w:tc>
          <w:tcPr>
            <w:tcW w:w="1012" w:type="dxa"/>
            <w:tcBorders>
              <w:top w:val="nil"/>
              <w:left w:val="nil"/>
              <w:bottom w:val="single" w:sz="4" w:space="0" w:color="auto"/>
              <w:right w:val="single" w:sz="4" w:space="0" w:color="auto"/>
            </w:tcBorders>
            <w:vAlign w:val="center"/>
            <w:hideMark/>
          </w:tcPr>
          <w:p w14:paraId="45863E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44724535</w:t>
            </w:r>
          </w:p>
        </w:tc>
        <w:tc>
          <w:tcPr>
            <w:tcW w:w="5953" w:type="dxa"/>
            <w:tcBorders>
              <w:top w:val="nil"/>
              <w:left w:val="nil"/>
              <w:bottom w:val="single" w:sz="4" w:space="0" w:color="auto"/>
              <w:right w:val="single" w:sz="4" w:space="0" w:color="auto"/>
            </w:tcBorders>
            <w:noWrap/>
            <w:vAlign w:val="center"/>
            <w:hideMark/>
          </w:tcPr>
          <w:p w14:paraId="4A21E5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NACIONALNI INŠTITUT ZA JAVNO ZDRAVJE</w:t>
            </w:r>
          </w:p>
        </w:tc>
      </w:tr>
      <w:tr w:rsidR="00F24E18" w14:paraId="04859F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C83B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893</w:t>
            </w:r>
          </w:p>
        </w:tc>
        <w:tc>
          <w:tcPr>
            <w:tcW w:w="1300" w:type="dxa"/>
            <w:tcBorders>
              <w:top w:val="nil"/>
              <w:left w:val="nil"/>
              <w:bottom w:val="single" w:sz="4" w:space="0" w:color="auto"/>
              <w:right w:val="single" w:sz="4" w:space="0" w:color="auto"/>
            </w:tcBorders>
            <w:vAlign w:val="center"/>
            <w:hideMark/>
          </w:tcPr>
          <w:p w14:paraId="7499D1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6489087000</w:t>
            </w:r>
          </w:p>
        </w:tc>
        <w:tc>
          <w:tcPr>
            <w:tcW w:w="1012" w:type="dxa"/>
            <w:tcBorders>
              <w:top w:val="nil"/>
              <w:left w:val="nil"/>
              <w:bottom w:val="single" w:sz="4" w:space="0" w:color="auto"/>
              <w:right w:val="single" w:sz="4" w:space="0" w:color="auto"/>
            </w:tcBorders>
            <w:vAlign w:val="center"/>
            <w:hideMark/>
          </w:tcPr>
          <w:p w14:paraId="4C0216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19651295</w:t>
            </w:r>
          </w:p>
        </w:tc>
        <w:tc>
          <w:tcPr>
            <w:tcW w:w="5953" w:type="dxa"/>
            <w:tcBorders>
              <w:top w:val="nil"/>
              <w:left w:val="nil"/>
              <w:bottom w:val="single" w:sz="4" w:space="0" w:color="auto"/>
              <w:right w:val="single" w:sz="4" w:space="0" w:color="auto"/>
            </w:tcBorders>
            <w:noWrap/>
            <w:vAlign w:val="center"/>
            <w:hideMark/>
          </w:tcPr>
          <w:p w14:paraId="071325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NACIONALNI LABORATORIJ ZA ZDRAVJE, OKOLJE IN HRANO</w:t>
            </w:r>
          </w:p>
        </w:tc>
      </w:tr>
      <w:tr w:rsidR="00F24E18" w14:paraId="4E654B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3D9E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894</w:t>
            </w:r>
          </w:p>
        </w:tc>
        <w:tc>
          <w:tcPr>
            <w:tcW w:w="1300" w:type="dxa"/>
            <w:tcBorders>
              <w:top w:val="nil"/>
              <w:left w:val="nil"/>
              <w:bottom w:val="single" w:sz="4" w:space="0" w:color="auto"/>
              <w:right w:val="single" w:sz="4" w:space="0" w:color="auto"/>
            </w:tcBorders>
            <w:vAlign w:val="center"/>
            <w:hideMark/>
          </w:tcPr>
          <w:p w14:paraId="7803BC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5052076000</w:t>
            </w:r>
          </w:p>
        </w:tc>
        <w:tc>
          <w:tcPr>
            <w:tcW w:w="1012" w:type="dxa"/>
            <w:tcBorders>
              <w:top w:val="nil"/>
              <w:left w:val="nil"/>
              <w:bottom w:val="single" w:sz="4" w:space="0" w:color="auto"/>
              <w:right w:val="single" w:sz="4" w:space="0" w:color="auto"/>
            </w:tcBorders>
            <w:vAlign w:val="center"/>
            <w:hideMark/>
          </w:tcPr>
          <w:p w14:paraId="42523B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38676770</w:t>
            </w:r>
          </w:p>
        </w:tc>
        <w:tc>
          <w:tcPr>
            <w:tcW w:w="5953" w:type="dxa"/>
            <w:tcBorders>
              <w:top w:val="nil"/>
              <w:left w:val="nil"/>
              <w:bottom w:val="single" w:sz="4" w:space="0" w:color="auto"/>
              <w:right w:val="single" w:sz="4" w:space="0" w:color="auto"/>
            </w:tcBorders>
            <w:noWrap/>
            <w:vAlign w:val="center"/>
            <w:hideMark/>
          </w:tcPr>
          <w:p w14:paraId="67AF62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NARODNA GALERIJA</w:t>
            </w:r>
          </w:p>
        </w:tc>
      </w:tr>
      <w:tr w:rsidR="00F24E18" w14:paraId="53801A2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0EBD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895</w:t>
            </w:r>
          </w:p>
        </w:tc>
        <w:tc>
          <w:tcPr>
            <w:tcW w:w="1300" w:type="dxa"/>
            <w:tcBorders>
              <w:top w:val="nil"/>
              <w:left w:val="nil"/>
              <w:bottom w:val="single" w:sz="4" w:space="0" w:color="auto"/>
              <w:right w:val="single" w:sz="4" w:space="0" w:color="auto"/>
            </w:tcBorders>
            <w:vAlign w:val="center"/>
            <w:hideMark/>
          </w:tcPr>
          <w:p w14:paraId="138B9A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5056730000</w:t>
            </w:r>
          </w:p>
        </w:tc>
        <w:tc>
          <w:tcPr>
            <w:tcW w:w="1012" w:type="dxa"/>
            <w:tcBorders>
              <w:top w:val="nil"/>
              <w:left w:val="nil"/>
              <w:bottom w:val="single" w:sz="4" w:space="0" w:color="auto"/>
              <w:right w:val="single" w:sz="4" w:space="0" w:color="auto"/>
            </w:tcBorders>
            <w:vAlign w:val="center"/>
            <w:hideMark/>
          </w:tcPr>
          <w:p w14:paraId="6DA782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79713513</w:t>
            </w:r>
          </w:p>
        </w:tc>
        <w:tc>
          <w:tcPr>
            <w:tcW w:w="5953" w:type="dxa"/>
            <w:tcBorders>
              <w:top w:val="nil"/>
              <w:left w:val="nil"/>
              <w:bottom w:val="single" w:sz="4" w:space="0" w:color="auto"/>
              <w:right w:val="single" w:sz="4" w:space="0" w:color="auto"/>
            </w:tcBorders>
            <w:noWrap/>
            <w:vAlign w:val="center"/>
            <w:hideMark/>
          </w:tcPr>
          <w:p w14:paraId="4E4BF8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NARODNA IN UNIVERZITETNA KNJIŽNICA</w:t>
            </w:r>
          </w:p>
        </w:tc>
      </w:tr>
      <w:tr w:rsidR="00F24E18" w14:paraId="4B5D28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780E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896</w:t>
            </w:r>
          </w:p>
        </w:tc>
        <w:tc>
          <w:tcPr>
            <w:tcW w:w="1300" w:type="dxa"/>
            <w:tcBorders>
              <w:top w:val="nil"/>
              <w:left w:val="nil"/>
              <w:bottom w:val="single" w:sz="4" w:space="0" w:color="auto"/>
              <w:right w:val="single" w:sz="4" w:space="0" w:color="auto"/>
            </w:tcBorders>
            <w:noWrap/>
            <w:vAlign w:val="center"/>
            <w:hideMark/>
          </w:tcPr>
          <w:p w14:paraId="3CD6F7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5055482000</w:t>
            </w:r>
          </w:p>
        </w:tc>
        <w:tc>
          <w:tcPr>
            <w:tcW w:w="1012" w:type="dxa"/>
            <w:tcBorders>
              <w:top w:val="nil"/>
              <w:left w:val="nil"/>
              <w:bottom w:val="single" w:sz="4" w:space="0" w:color="auto"/>
              <w:right w:val="single" w:sz="4" w:space="0" w:color="auto"/>
            </w:tcBorders>
            <w:noWrap/>
            <w:vAlign w:val="center"/>
            <w:hideMark/>
          </w:tcPr>
          <w:p w14:paraId="1DD869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70031568</w:t>
            </w:r>
          </w:p>
        </w:tc>
        <w:tc>
          <w:tcPr>
            <w:tcW w:w="5953" w:type="dxa"/>
            <w:tcBorders>
              <w:top w:val="nil"/>
              <w:left w:val="nil"/>
              <w:bottom w:val="single" w:sz="4" w:space="0" w:color="auto"/>
              <w:right w:val="single" w:sz="4" w:space="0" w:color="auto"/>
            </w:tcBorders>
            <w:noWrap/>
            <w:vAlign w:val="center"/>
            <w:hideMark/>
          </w:tcPr>
          <w:p w14:paraId="125B15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NARODNI MUZEJ SLOVENIJE</w:t>
            </w:r>
          </w:p>
        </w:tc>
      </w:tr>
      <w:tr w:rsidR="00F24E18" w14:paraId="411C23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D696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897</w:t>
            </w:r>
          </w:p>
        </w:tc>
        <w:tc>
          <w:tcPr>
            <w:tcW w:w="1300" w:type="dxa"/>
            <w:tcBorders>
              <w:top w:val="nil"/>
              <w:left w:val="nil"/>
              <w:bottom w:val="single" w:sz="4" w:space="0" w:color="auto"/>
              <w:right w:val="single" w:sz="4" w:space="0" w:color="auto"/>
            </w:tcBorders>
            <w:vAlign w:val="center"/>
            <w:hideMark/>
          </w:tcPr>
          <w:p w14:paraId="766117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1468952000</w:t>
            </w:r>
          </w:p>
        </w:tc>
        <w:tc>
          <w:tcPr>
            <w:tcW w:w="1012" w:type="dxa"/>
            <w:tcBorders>
              <w:top w:val="nil"/>
              <w:left w:val="nil"/>
              <w:bottom w:val="single" w:sz="4" w:space="0" w:color="auto"/>
              <w:right w:val="single" w:sz="4" w:space="0" w:color="auto"/>
            </w:tcBorders>
            <w:vAlign w:val="center"/>
            <w:hideMark/>
          </w:tcPr>
          <w:p w14:paraId="05DA7F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36092215</w:t>
            </w:r>
          </w:p>
        </w:tc>
        <w:tc>
          <w:tcPr>
            <w:tcW w:w="5953" w:type="dxa"/>
            <w:tcBorders>
              <w:top w:val="nil"/>
              <w:left w:val="nil"/>
              <w:bottom w:val="single" w:sz="4" w:space="0" w:color="auto"/>
              <w:right w:val="single" w:sz="4" w:space="0" w:color="auto"/>
            </w:tcBorders>
            <w:noWrap/>
            <w:vAlign w:val="center"/>
            <w:hideMark/>
          </w:tcPr>
          <w:p w14:paraId="2A5605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NEPREMIČNINE CELJE, UPRAVLJANJE, GOSPODARJENJE IN TRGOVANJE Z NEPREMIČNINAMI D.O.O.</w:t>
            </w:r>
          </w:p>
        </w:tc>
      </w:tr>
      <w:tr w:rsidR="00F24E18" w14:paraId="394D66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7AC4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898</w:t>
            </w:r>
          </w:p>
        </w:tc>
        <w:tc>
          <w:tcPr>
            <w:tcW w:w="1300" w:type="dxa"/>
            <w:tcBorders>
              <w:top w:val="nil"/>
              <w:left w:val="nil"/>
              <w:bottom w:val="single" w:sz="4" w:space="0" w:color="auto"/>
              <w:right w:val="single" w:sz="4" w:space="0" w:color="auto"/>
            </w:tcBorders>
            <w:vAlign w:val="center"/>
            <w:hideMark/>
          </w:tcPr>
          <w:p w14:paraId="53D912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5985986000</w:t>
            </w:r>
          </w:p>
        </w:tc>
        <w:tc>
          <w:tcPr>
            <w:tcW w:w="1012" w:type="dxa"/>
            <w:tcBorders>
              <w:top w:val="nil"/>
              <w:left w:val="nil"/>
              <w:bottom w:val="single" w:sz="4" w:space="0" w:color="auto"/>
              <w:right w:val="single" w:sz="4" w:space="0" w:color="auto"/>
            </w:tcBorders>
            <w:vAlign w:val="center"/>
            <w:hideMark/>
          </w:tcPr>
          <w:p w14:paraId="49AF00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64377814</w:t>
            </w:r>
          </w:p>
        </w:tc>
        <w:tc>
          <w:tcPr>
            <w:tcW w:w="5953" w:type="dxa"/>
            <w:tcBorders>
              <w:top w:val="nil"/>
              <w:left w:val="nil"/>
              <w:bottom w:val="single" w:sz="4" w:space="0" w:color="auto"/>
              <w:right w:val="single" w:sz="4" w:space="0" w:color="auto"/>
            </w:tcBorders>
            <w:noWrap/>
            <w:vAlign w:val="center"/>
            <w:hideMark/>
          </w:tcPr>
          <w:p w14:paraId="59AC12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NEPREMIČNINSKI SKLAD POKOJNINSKEGA IN INVALIDSKEGA ZAVAROVANJA, D.O.O.</w:t>
            </w:r>
          </w:p>
        </w:tc>
      </w:tr>
      <w:tr w:rsidR="00F24E18" w14:paraId="7FAA6F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6CAA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899</w:t>
            </w:r>
          </w:p>
        </w:tc>
        <w:tc>
          <w:tcPr>
            <w:tcW w:w="1300" w:type="dxa"/>
            <w:tcBorders>
              <w:top w:val="nil"/>
              <w:left w:val="nil"/>
              <w:bottom w:val="single" w:sz="4" w:space="0" w:color="auto"/>
              <w:right w:val="single" w:sz="4" w:space="0" w:color="auto"/>
            </w:tcBorders>
            <w:vAlign w:val="center"/>
            <w:hideMark/>
          </w:tcPr>
          <w:p w14:paraId="08CEF7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5143373000</w:t>
            </w:r>
          </w:p>
        </w:tc>
        <w:tc>
          <w:tcPr>
            <w:tcW w:w="1012" w:type="dxa"/>
            <w:tcBorders>
              <w:top w:val="nil"/>
              <w:left w:val="nil"/>
              <w:bottom w:val="single" w:sz="4" w:space="0" w:color="auto"/>
              <w:right w:val="single" w:sz="4" w:space="0" w:color="auto"/>
            </w:tcBorders>
            <w:vAlign w:val="center"/>
            <w:hideMark/>
          </w:tcPr>
          <w:p w14:paraId="06F284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52398790</w:t>
            </w:r>
          </w:p>
        </w:tc>
        <w:tc>
          <w:tcPr>
            <w:tcW w:w="5953" w:type="dxa"/>
            <w:tcBorders>
              <w:top w:val="nil"/>
              <w:left w:val="nil"/>
              <w:bottom w:val="single" w:sz="4" w:space="0" w:color="auto"/>
              <w:right w:val="single" w:sz="4" w:space="0" w:color="auto"/>
            </w:tcBorders>
            <w:noWrap/>
            <w:vAlign w:val="center"/>
            <w:hideMark/>
          </w:tcPr>
          <w:p w14:paraId="20D753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NOMAGO, STORITVE MOBILNOSTI IN POTOVANJ, D.O.O.</w:t>
            </w:r>
          </w:p>
        </w:tc>
      </w:tr>
      <w:tr w:rsidR="00F24E18" w14:paraId="56D22F2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8819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900</w:t>
            </w:r>
          </w:p>
        </w:tc>
        <w:tc>
          <w:tcPr>
            <w:tcW w:w="1300" w:type="dxa"/>
            <w:tcBorders>
              <w:top w:val="nil"/>
              <w:left w:val="nil"/>
              <w:bottom w:val="single" w:sz="4" w:space="0" w:color="auto"/>
              <w:right w:val="single" w:sz="4" w:space="0" w:color="auto"/>
            </w:tcBorders>
            <w:vAlign w:val="center"/>
            <w:hideMark/>
          </w:tcPr>
          <w:p w14:paraId="283C75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1840193000</w:t>
            </w:r>
          </w:p>
        </w:tc>
        <w:tc>
          <w:tcPr>
            <w:tcW w:w="1012" w:type="dxa"/>
            <w:tcBorders>
              <w:top w:val="nil"/>
              <w:left w:val="nil"/>
              <w:bottom w:val="single" w:sz="4" w:space="0" w:color="auto"/>
              <w:right w:val="single" w:sz="4" w:space="0" w:color="auto"/>
            </w:tcBorders>
            <w:vAlign w:val="center"/>
            <w:hideMark/>
          </w:tcPr>
          <w:p w14:paraId="326349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86615181</w:t>
            </w:r>
          </w:p>
        </w:tc>
        <w:tc>
          <w:tcPr>
            <w:tcW w:w="5953" w:type="dxa"/>
            <w:tcBorders>
              <w:top w:val="nil"/>
              <w:left w:val="nil"/>
              <w:bottom w:val="single" w:sz="4" w:space="0" w:color="auto"/>
              <w:right w:val="single" w:sz="4" w:space="0" w:color="auto"/>
            </w:tcBorders>
            <w:noWrap/>
            <w:vAlign w:val="center"/>
            <w:hideMark/>
          </w:tcPr>
          <w:p w14:paraId="25FF86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NOTRANJSKI REGIJSKI PARK</w:t>
            </w:r>
          </w:p>
        </w:tc>
      </w:tr>
      <w:tr w:rsidR="00F24E18" w14:paraId="4287799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6863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901</w:t>
            </w:r>
          </w:p>
        </w:tc>
        <w:tc>
          <w:tcPr>
            <w:tcW w:w="1300" w:type="dxa"/>
            <w:tcBorders>
              <w:top w:val="nil"/>
              <w:left w:val="nil"/>
              <w:bottom w:val="single" w:sz="4" w:space="0" w:color="auto"/>
              <w:right w:val="single" w:sz="4" w:space="0" w:color="auto"/>
            </w:tcBorders>
            <w:vAlign w:val="center"/>
            <w:hideMark/>
          </w:tcPr>
          <w:p w14:paraId="37CB9D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5034345000</w:t>
            </w:r>
          </w:p>
        </w:tc>
        <w:tc>
          <w:tcPr>
            <w:tcW w:w="1012" w:type="dxa"/>
            <w:tcBorders>
              <w:top w:val="nil"/>
              <w:left w:val="nil"/>
              <w:bottom w:val="single" w:sz="4" w:space="0" w:color="auto"/>
              <w:right w:val="single" w:sz="4" w:space="0" w:color="auto"/>
            </w:tcBorders>
            <w:vAlign w:val="center"/>
            <w:hideMark/>
          </w:tcPr>
          <w:p w14:paraId="195B9D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61082597</w:t>
            </w:r>
          </w:p>
        </w:tc>
        <w:tc>
          <w:tcPr>
            <w:tcW w:w="5953" w:type="dxa"/>
            <w:tcBorders>
              <w:top w:val="nil"/>
              <w:left w:val="nil"/>
              <w:bottom w:val="single" w:sz="4" w:space="0" w:color="auto"/>
              <w:right w:val="single" w:sz="4" w:space="0" w:color="auto"/>
            </w:tcBorders>
            <w:noWrap/>
            <w:vAlign w:val="center"/>
            <w:hideMark/>
          </w:tcPr>
          <w:p w14:paraId="6ABBD2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NUKLEARNA ELEKTRARNA KRŠKO D.O.O.</w:t>
            </w:r>
          </w:p>
        </w:tc>
      </w:tr>
      <w:tr w:rsidR="00F24E18" w14:paraId="148E068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50E1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902</w:t>
            </w:r>
          </w:p>
        </w:tc>
        <w:tc>
          <w:tcPr>
            <w:tcW w:w="1300" w:type="dxa"/>
            <w:tcBorders>
              <w:top w:val="nil"/>
              <w:left w:val="nil"/>
              <w:bottom w:val="single" w:sz="4" w:space="0" w:color="auto"/>
              <w:right w:val="single" w:sz="4" w:space="0" w:color="auto"/>
            </w:tcBorders>
            <w:vAlign w:val="center"/>
            <w:hideMark/>
          </w:tcPr>
          <w:p w14:paraId="53E82C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5053781000</w:t>
            </w:r>
          </w:p>
        </w:tc>
        <w:tc>
          <w:tcPr>
            <w:tcW w:w="1012" w:type="dxa"/>
            <w:tcBorders>
              <w:top w:val="nil"/>
              <w:left w:val="nil"/>
              <w:bottom w:val="single" w:sz="4" w:space="0" w:color="auto"/>
              <w:right w:val="single" w:sz="4" w:space="0" w:color="auto"/>
            </w:tcBorders>
            <w:vAlign w:val="center"/>
            <w:hideMark/>
          </w:tcPr>
          <w:p w14:paraId="0D0EF9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21706468</w:t>
            </w:r>
          </w:p>
        </w:tc>
        <w:tc>
          <w:tcPr>
            <w:tcW w:w="5953" w:type="dxa"/>
            <w:tcBorders>
              <w:top w:val="nil"/>
              <w:left w:val="nil"/>
              <w:bottom w:val="single" w:sz="4" w:space="0" w:color="auto"/>
              <w:right w:val="single" w:sz="4" w:space="0" w:color="auto"/>
            </w:tcBorders>
            <w:noWrap/>
            <w:vAlign w:val="center"/>
            <w:hideMark/>
          </w:tcPr>
          <w:p w14:paraId="12885E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OBALNE LEKARNE KOPER FARMACIE COSTIERE CAPODISTRIA</w:t>
            </w:r>
          </w:p>
        </w:tc>
      </w:tr>
      <w:tr w:rsidR="00F24E18" w14:paraId="6B0ED4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9D13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903</w:t>
            </w:r>
          </w:p>
        </w:tc>
        <w:tc>
          <w:tcPr>
            <w:tcW w:w="1300" w:type="dxa"/>
            <w:tcBorders>
              <w:top w:val="nil"/>
              <w:left w:val="nil"/>
              <w:bottom w:val="single" w:sz="4" w:space="0" w:color="auto"/>
              <w:right w:val="single" w:sz="4" w:space="0" w:color="auto"/>
            </w:tcBorders>
            <w:vAlign w:val="center"/>
            <w:hideMark/>
          </w:tcPr>
          <w:p w14:paraId="5008BB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5198917000</w:t>
            </w:r>
          </w:p>
        </w:tc>
        <w:tc>
          <w:tcPr>
            <w:tcW w:w="1012" w:type="dxa"/>
            <w:tcBorders>
              <w:top w:val="nil"/>
              <w:left w:val="nil"/>
              <w:bottom w:val="single" w:sz="4" w:space="0" w:color="auto"/>
              <w:right w:val="single" w:sz="4" w:space="0" w:color="auto"/>
            </w:tcBorders>
            <w:vAlign w:val="center"/>
            <w:hideMark/>
          </w:tcPr>
          <w:p w14:paraId="7A0453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57138664</w:t>
            </w:r>
          </w:p>
        </w:tc>
        <w:tc>
          <w:tcPr>
            <w:tcW w:w="5953" w:type="dxa"/>
            <w:tcBorders>
              <w:top w:val="nil"/>
              <w:left w:val="nil"/>
              <w:bottom w:val="single" w:sz="4" w:space="0" w:color="auto"/>
              <w:right w:val="single" w:sz="4" w:space="0" w:color="auto"/>
            </w:tcBorders>
            <w:noWrap/>
            <w:vAlign w:val="center"/>
            <w:hideMark/>
          </w:tcPr>
          <w:p w14:paraId="12F8BA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OBALNI DOM UPOKOJENCEV KOPER - CASA COSTIERA DEL PENSIONATO CAPODISTRIA</w:t>
            </w:r>
          </w:p>
        </w:tc>
      </w:tr>
      <w:tr w:rsidR="00F24E18" w14:paraId="19501F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09F0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904</w:t>
            </w:r>
          </w:p>
        </w:tc>
        <w:tc>
          <w:tcPr>
            <w:tcW w:w="1300" w:type="dxa"/>
            <w:tcBorders>
              <w:top w:val="nil"/>
              <w:left w:val="nil"/>
              <w:bottom w:val="single" w:sz="4" w:space="0" w:color="auto"/>
              <w:right w:val="single" w:sz="4" w:space="0" w:color="auto"/>
            </w:tcBorders>
            <w:noWrap/>
            <w:vAlign w:val="center"/>
            <w:hideMark/>
          </w:tcPr>
          <w:p w14:paraId="1F6C22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5009448000</w:t>
            </w:r>
          </w:p>
        </w:tc>
        <w:tc>
          <w:tcPr>
            <w:tcW w:w="1012" w:type="dxa"/>
            <w:tcBorders>
              <w:top w:val="nil"/>
              <w:left w:val="nil"/>
              <w:bottom w:val="single" w:sz="4" w:space="0" w:color="auto"/>
              <w:right w:val="single" w:sz="4" w:space="0" w:color="auto"/>
            </w:tcBorders>
            <w:noWrap/>
            <w:vAlign w:val="center"/>
            <w:hideMark/>
          </w:tcPr>
          <w:p w14:paraId="12853A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64795110</w:t>
            </w:r>
          </w:p>
        </w:tc>
        <w:tc>
          <w:tcPr>
            <w:tcW w:w="5953" w:type="dxa"/>
            <w:tcBorders>
              <w:top w:val="nil"/>
              <w:left w:val="nil"/>
              <w:bottom w:val="single" w:sz="4" w:space="0" w:color="auto"/>
              <w:right w:val="single" w:sz="4" w:space="0" w:color="auto"/>
            </w:tcBorders>
            <w:noWrap/>
            <w:vAlign w:val="center"/>
            <w:hideMark/>
          </w:tcPr>
          <w:p w14:paraId="1C2382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OBALNO PLANINSKO DRUŠTVO KOPER - CLUB ALPINO COSTIERO CAPODISTRIA</w:t>
            </w:r>
          </w:p>
        </w:tc>
      </w:tr>
      <w:tr w:rsidR="00F24E18" w14:paraId="4B50B1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DE64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905</w:t>
            </w:r>
          </w:p>
        </w:tc>
        <w:tc>
          <w:tcPr>
            <w:tcW w:w="1300" w:type="dxa"/>
            <w:tcBorders>
              <w:top w:val="nil"/>
              <w:left w:val="nil"/>
              <w:bottom w:val="single" w:sz="4" w:space="0" w:color="auto"/>
              <w:right w:val="single" w:sz="4" w:space="0" w:color="auto"/>
            </w:tcBorders>
            <w:vAlign w:val="center"/>
            <w:hideMark/>
          </w:tcPr>
          <w:p w14:paraId="3BCA65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5879914000</w:t>
            </w:r>
          </w:p>
        </w:tc>
        <w:tc>
          <w:tcPr>
            <w:tcW w:w="1012" w:type="dxa"/>
            <w:tcBorders>
              <w:top w:val="nil"/>
              <w:left w:val="nil"/>
              <w:bottom w:val="single" w:sz="4" w:space="0" w:color="auto"/>
              <w:right w:val="single" w:sz="4" w:space="0" w:color="auto"/>
            </w:tcBorders>
            <w:vAlign w:val="center"/>
            <w:hideMark/>
          </w:tcPr>
          <w:p w14:paraId="5EB008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51533251</w:t>
            </w:r>
          </w:p>
        </w:tc>
        <w:tc>
          <w:tcPr>
            <w:tcW w:w="5953" w:type="dxa"/>
            <w:tcBorders>
              <w:top w:val="nil"/>
              <w:left w:val="nil"/>
              <w:bottom w:val="single" w:sz="4" w:space="0" w:color="auto"/>
              <w:right w:val="single" w:sz="4" w:space="0" w:color="auto"/>
            </w:tcBorders>
            <w:noWrap/>
            <w:vAlign w:val="center"/>
            <w:hideMark/>
          </w:tcPr>
          <w:p w14:paraId="22344B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AJDOVŠČINA</w:t>
            </w:r>
          </w:p>
        </w:tc>
      </w:tr>
      <w:tr w:rsidR="00F24E18" w14:paraId="47150B7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A58B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906</w:t>
            </w:r>
          </w:p>
        </w:tc>
        <w:tc>
          <w:tcPr>
            <w:tcW w:w="1300" w:type="dxa"/>
            <w:tcBorders>
              <w:top w:val="nil"/>
              <w:left w:val="nil"/>
              <w:bottom w:val="single" w:sz="4" w:space="0" w:color="auto"/>
              <w:right w:val="single" w:sz="4" w:space="0" w:color="auto"/>
            </w:tcBorders>
            <w:vAlign w:val="center"/>
            <w:hideMark/>
          </w:tcPr>
          <w:p w14:paraId="76F7D5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2482851000</w:t>
            </w:r>
          </w:p>
        </w:tc>
        <w:tc>
          <w:tcPr>
            <w:tcW w:w="1012" w:type="dxa"/>
            <w:tcBorders>
              <w:top w:val="nil"/>
              <w:left w:val="nil"/>
              <w:bottom w:val="single" w:sz="4" w:space="0" w:color="auto"/>
              <w:right w:val="single" w:sz="4" w:space="0" w:color="auto"/>
            </w:tcBorders>
            <w:vAlign w:val="center"/>
            <w:hideMark/>
          </w:tcPr>
          <w:p w14:paraId="1CC68E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71620176</w:t>
            </w:r>
          </w:p>
        </w:tc>
        <w:tc>
          <w:tcPr>
            <w:tcW w:w="5953" w:type="dxa"/>
            <w:tcBorders>
              <w:top w:val="nil"/>
              <w:left w:val="nil"/>
              <w:bottom w:val="single" w:sz="4" w:space="0" w:color="auto"/>
              <w:right w:val="single" w:sz="4" w:space="0" w:color="auto"/>
            </w:tcBorders>
            <w:noWrap/>
            <w:vAlign w:val="center"/>
            <w:hideMark/>
          </w:tcPr>
          <w:p w14:paraId="084480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ANKARAN</w:t>
            </w:r>
          </w:p>
        </w:tc>
      </w:tr>
      <w:tr w:rsidR="00F24E18" w14:paraId="324E67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662F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907</w:t>
            </w:r>
          </w:p>
        </w:tc>
        <w:tc>
          <w:tcPr>
            <w:tcW w:w="1300" w:type="dxa"/>
            <w:tcBorders>
              <w:top w:val="nil"/>
              <w:left w:val="nil"/>
              <w:bottom w:val="single" w:sz="4" w:space="0" w:color="auto"/>
              <w:right w:val="single" w:sz="4" w:space="0" w:color="auto"/>
            </w:tcBorders>
            <w:vAlign w:val="center"/>
            <w:hideMark/>
          </w:tcPr>
          <w:p w14:paraId="243ADA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2215632000</w:t>
            </w:r>
          </w:p>
        </w:tc>
        <w:tc>
          <w:tcPr>
            <w:tcW w:w="1012" w:type="dxa"/>
            <w:tcBorders>
              <w:top w:val="nil"/>
              <w:left w:val="nil"/>
              <w:bottom w:val="single" w:sz="4" w:space="0" w:color="auto"/>
              <w:right w:val="single" w:sz="4" w:space="0" w:color="auto"/>
            </w:tcBorders>
            <w:vAlign w:val="center"/>
            <w:hideMark/>
          </w:tcPr>
          <w:p w14:paraId="00E646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91194652</w:t>
            </w:r>
          </w:p>
        </w:tc>
        <w:tc>
          <w:tcPr>
            <w:tcW w:w="5953" w:type="dxa"/>
            <w:tcBorders>
              <w:top w:val="nil"/>
              <w:left w:val="nil"/>
              <w:bottom w:val="single" w:sz="4" w:space="0" w:color="auto"/>
              <w:right w:val="single" w:sz="4" w:space="0" w:color="auto"/>
            </w:tcBorders>
            <w:noWrap/>
            <w:vAlign w:val="center"/>
            <w:hideMark/>
          </w:tcPr>
          <w:p w14:paraId="1D1B10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APAČE</w:t>
            </w:r>
          </w:p>
        </w:tc>
      </w:tr>
      <w:tr w:rsidR="00F24E18" w14:paraId="277A5C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D2FD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908</w:t>
            </w:r>
          </w:p>
        </w:tc>
        <w:tc>
          <w:tcPr>
            <w:tcW w:w="1300" w:type="dxa"/>
            <w:tcBorders>
              <w:top w:val="nil"/>
              <w:left w:val="nil"/>
              <w:bottom w:val="single" w:sz="4" w:space="0" w:color="auto"/>
              <w:right w:val="single" w:sz="4" w:space="0" w:color="auto"/>
            </w:tcBorders>
            <w:vAlign w:val="center"/>
            <w:hideMark/>
          </w:tcPr>
          <w:p w14:paraId="2D53EF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5883016000</w:t>
            </w:r>
          </w:p>
        </w:tc>
        <w:tc>
          <w:tcPr>
            <w:tcW w:w="1012" w:type="dxa"/>
            <w:tcBorders>
              <w:top w:val="nil"/>
              <w:left w:val="nil"/>
              <w:bottom w:val="single" w:sz="4" w:space="0" w:color="auto"/>
              <w:right w:val="single" w:sz="4" w:space="0" w:color="auto"/>
            </w:tcBorders>
            <w:vAlign w:val="center"/>
            <w:hideMark/>
          </w:tcPr>
          <w:p w14:paraId="0806BC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39587282</w:t>
            </w:r>
          </w:p>
        </w:tc>
        <w:tc>
          <w:tcPr>
            <w:tcW w:w="5953" w:type="dxa"/>
            <w:tcBorders>
              <w:top w:val="nil"/>
              <w:left w:val="nil"/>
              <w:bottom w:val="single" w:sz="4" w:space="0" w:color="auto"/>
              <w:right w:val="single" w:sz="4" w:space="0" w:color="auto"/>
            </w:tcBorders>
            <w:noWrap/>
            <w:vAlign w:val="center"/>
            <w:hideMark/>
          </w:tcPr>
          <w:p w14:paraId="056FA7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BELTINCI</w:t>
            </w:r>
          </w:p>
        </w:tc>
      </w:tr>
      <w:tr w:rsidR="00F24E18" w14:paraId="4CA8E31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2CAE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909</w:t>
            </w:r>
          </w:p>
        </w:tc>
        <w:tc>
          <w:tcPr>
            <w:tcW w:w="1300" w:type="dxa"/>
            <w:tcBorders>
              <w:top w:val="nil"/>
              <w:left w:val="nil"/>
              <w:bottom w:val="single" w:sz="4" w:space="0" w:color="auto"/>
              <w:right w:val="single" w:sz="4" w:space="0" w:color="auto"/>
            </w:tcBorders>
            <w:vAlign w:val="center"/>
            <w:hideMark/>
          </w:tcPr>
          <w:p w14:paraId="79414D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1332139000</w:t>
            </w:r>
          </w:p>
        </w:tc>
        <w:tc>
          <w:tcPr>
            <w:tcW w:w="1012" w:type="dxa"/>
            <w:tcBorders>
              <w:top w:val="nil"/>
              <w:left w:val="nil"/>
              <w:bottom w:val="single" w:sz="4" w:space="0" w:color="auto"/>
              <w:right w:val="single" w:sz="4" w:space="0" w:color="auto"/>
            </w:tcBorders>
            <w:vAlign w:val="center"/>
            <w:hideMark/>
          </w:tcPr>
          <w:p w14:paraId="595665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77399935</w:t>
            </w:r>
          </w:p>
        </w:tc>
        <w:tc>
          <w:tcPr>
            <w:tcW w:w="5953" w:type="dxa"/>
            <w:tcBorders>
              <w:top w:val="nil"/>
              <w:left w:val="nil"/>
              <w:bottom w:val="single" w:sz="4" w:space="0" w:color="auto"/>
              <w:right w:val="single" w:sz="4" w:space="0" w:color="auto"/>
            </w:tcBorders>
            <w:noWrap/>
            <w:vAlign w:val="center"/>
            <w:hideMark/>
          </w:tcPr>
          <w:p w14:paraId="626EB8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BENEDIKT</w:t>
            </w:r>
          </w:p>
        </w:tc>
      </w:tr>
      <w:tr w:rsidR="00F24E18" w14:paraId="635D351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1D96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910</w:t>
            </w:r>
          </w:p>
        </w:tc>
        <w:tc>
          <w:tcPr>
            <w:tcW w:w="1300" w:type="dxa"/>
            <w:tcBorders>
              <w:top w:val="nil"/>
              <w:left w:val="nil"/>
              <w:bottom w:val="single" w:sz="4" w:space="0" w:color="auto"/>
              <w:right w:val="single" w:sz="4" w:space="0" w:color="auto"/>
            </w:tcBorders>
            <w:vAlign w:val="center"/>
            <w:hideMark/>
          </w:tcPr>
          <w:p w14:paraId="38233A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1357450000</w:t>
            </w:r>
          </w:p>
        </w:tc>
        <w:tc>
          <w:tcPr>
            <w:tcW w:w="1012" w:type="dxa"/>
            <w:tcBorders>
              <w:top w:val="nil"/>
              <w:left w:val="nil"/>
              <w:bottom w:val="single" w:sz="4" w:space="0" w:color="auto"/>
              <w:right w:val="single" w:sz="4" w:space="0" w:color="auto"/>
            </w:tcBorders>
            <w:vAlign w:val="center"/>
            <w:hideMark/>
          </w:tcPr>
          <w:p w14:paraId="3A7A2C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22562605</w:t>
            </w:r>
          </w:p>
        </w:tc>
        <w:tc>
          <w:tcPr>
            <w:tcW w:w="5953" w:type="dxa"/>
            <w:tcBorders>
              <w:top w:val="nil"/>
              <w:left w:val="nil"/>
              <w:bottom w:val="single" w:sz="4" w:space="0" w:color="auto"/>
              <w:right w:val="single" w:sz="4" w:space="0" w:color="auto"/>
            </w:tcBorders>
            <w:noWrap/>
            <w:vAlign w:val="center"/>
            <w:hideMark/>
          </w:tcPr>
          <w:p w14:paraId="7C1597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BISTRICA OB SOTLI</w:t>
            </w:r>
          </w:p>
        </w:tc>
      </w:tr>
      <w:tr w:rsidR="00F24E18" w14:paraId="308E98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CA66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911</w:t>
            </w:r>
          </w:p>
        </w:tc>
        <w:tc>
          <w:tcPr>
            <w:tcW w:w="1300" w:type="dxa"/>
            <w:tcBorders>
              <w:top w:val="nil"/>
              <w:left w:val="nil"/>
              <w:bottom w:val="single" w:sz="4" w:space="0" w:color="auto"/>
              <w:right w:val="single" w:sz="4" w:space="0" w:color="auto"/>
            </w:tcBorders>
            <w:vAlign w:val="center"/>
            <w:hideMark/>
          </w:tcPr>
          <w:p w14:paraId="34CC4B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5883539000</w:t>
            </w:r>
          </w:p>
        </w:tc>
        <w:tc>
          <w:tcPr>
            <w:tcW w:w="1012" w:type="dxa"/>
            <w:tcBorders>
              <w:top w:val="nil"/>
              <w:left w:val="nil"/>
              <w:bottom w:val="single" w:sz="4" w:space="0" w:color="auto"/>
              <w:right w:val="single" w:sz="4" w:space="0" w:color="auto"/>
            </w:tcBorders>
            <w:vAlign w:val="center"/>
            <w:hideMark/>
          </w:tcPr>
          <w:p w14:paraId="1C7BE3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75845687</w:t>
            </w:r>
          </w:p>
        </w:tc>
        <w:tc>
          <w:tcPr>
            <w:tcW w:w="5953" w:type="dxa"/>
            <w:tcBorders>
              <w:top w:val="nil"/>
              <w:left w:val="nil"/>
              <w:bottom w:val="single" w:sz="4" w:space="0" w:color="auto"/>
              <w:right w:val="single" w:sz="4" w:space="0" w:color="auto"/>
            </w:tcBorders>
            <w:noWrap/>
            <w:vAlign w:val="center"/>
            <w:hideMark/>
          </w:tcPr>
          <w:p w14:paraId="57D564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BLED</w:t>
            </w:r>
          </w:p>
        </w:tc>
      </w:tr>
      <w:tr w:rsidR="00F24E18" w14:paraId="0B78D0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6E88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912</w:t>
            </w:r>
          </w:p>
        </w:tc>
        <w:tc>
          <w:tcPr>
            <w:tcW w:w="1300" w:type="dxa"/>
            <w:tcBorders>
              <w:top w:val="nil"/>
              <w:left w:val="nil"/>
              <w:bottom w:val="single" w:sz="4" w:space="0" w:color="auto"/>
              <w:right w:val="single" w:sz="4" w:space="0" w:color="auto"/>
            </w:tcBorders>
            <w:noWrap/>
            <w:vAlign w:val="center"/>
            <w:hideMark/>
          </w:tcPr>
          <w:p w14:paraId="507A22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1358456000</w:t>
            </w:r>
          </w:p>
        </w:tc>
        <w:tc>
          <w:tcPr>
            <w:tcW w:w="1012" w:type="dxa"/>
            <w:tcBorders>
              <w:top w:val="nil"/>
              <w:left w:val="nil"/>
              <w:bottom w:val="single" w:sz="4" w:space="0" w:color="auto"/>
              <w:right w:val="single" w:sz="4" w:space="0" w:color="auto"/>
            </w:tcBorders>
            <w:noWrap/>
            <w:vAlign w:val="center"/>
            <w:hideMark/>
          </w:tcPr>
          <w:p w14:paraId="7887A4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47254629</w:t>
            </w:r>
          </w:p>
        </w:tc>
        <w:tc>
          <w:tcPr>
            <w:tcW w:w="5953" w:type="dxa"/>
            <w:tcBorders>
              <w:top w:val="nil"/>
              <w:left w:val="nil"/>
              <w:bottom w:val="single" w:sz="4" w:space="0" w:color="auto"/>
              <w:right w:val="single" w:sz="4" w:space="0" w:color="auto"/>
            </w:tcBorders>
            <w:noWrap/>
            <w:vAlign w:val="center"/>
            <w:hideMark/>
          </w:tcPr>
          <w:p w14:paraId="06B291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BLOKE</w:t>
            </w:r>
          </w:p>
        </w:tc>
      </w:tr>
      <w:tr w:rsidR="00F24E18" w14:paraId="2DBA6C0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F123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913</w:t>
            </w:r>
          </w:p>
        </w:tc>
        <w:tc>
          <w:tcPr>
            <w:tcW w:w="1300" w:type="dxa"/>
            <w:tcBorders>
              <w:top w:val="nil"/>
              <w:left w:val="nil"/>
              <w:bottom w:val="single" w:sz="4" w:space="0" w:color="auto"/>
              <w:right w:val="single" w:sz="4" w:space="0" w:color="auto"/>
            </w:tcBorders>
            <w:vAlign w:val="center"/>
            <w:hideMark/>
          </w:tcPr>
          <w:p w14:paraId="21DA53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5883415000</w:t>
            </w:r>
          </w:p>
        </w:tc>
        <w:tc>
          <w:tcPr>
            <w:tcW w:w="1012" w:type="dxa"/>
            <w:tcBorders>
              <w:top w:val="nil"/>
              <w:left w:val="nil"/>
              <w:bottom w:val="single" w:sz="4" w:space="0" w:color="auto"/>
              <w:right w:val="single" w:sz="4" w:space="0" w:color="auto"/>
            </w:tcBorders>
            <w:vAlign w:val="center"/>
            <w:hideMark/>
          </w:tcPr>
          <w:p w14:paraId="4FCC0F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43302904</w:t>
            </w:r>
          </w:p>
        </w:tc>
        <w:tc>
          <w:tcPr>
            <w:tcW w:w="5953" w:type="dxa"/>
            <w:tcBorders>
              <w:top w:val="nil"/>
              <w:left w:val="nil"/>
              <w:bottom w:val="single" w:sz="4" w:space="0" w:color="auto"/>
              <w:right w:val="single" w:sz="4" w:space="0" w:color="auto"/>
            </w:tcBorders>
            <w:noWrap/>
            <w:vAlign w:val="center"/>
            <w:hideMark/>
          </w:tcPr>
          <w:p w14:paraId="627B42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BOHINJ</w:t>
            </w:r>
          </w:p>
        </w:tc>
      </w:tr>
      <w:tr w:rsidR="00F24E18" w14:paraId="0D044E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CFE9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914</w:t>
            </w:r>
          </w:p>
        </w:tc>
        <w:tc>
          <w:tcPr>
            <w:tcW w:w="1300" w:type="dxa"/>
            <w:tcBorders>
              <w:top w:val="nil"/>
              <w:left w:val="nil"/>
              <w:bottom w:val="single" w:sz="4" w:space="0" w:color="auto"/>
              <w:right w:val="single" w:sz="4" w:space="0" w:color="auto"/>
            </w:tcBorders>
            <w:vAlign w:val="center"/>
            <w:hideMark/>
          </w:tcPr>
          <w:p w14:paraId="3A4AC3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5883393000</w:t>
            </w:r>
          </w:p>
        </w:tc>
        <w:tc>
          <w:tcPr>
            <w:tcW w:w="1012" w:type="dxa"/>
            <w:tcBorders>
              <w:top w:val="nil"/>
              <w:left w:val="nil"/>
              <w:bottom w:val="single" w:sz="4" w:space="0" w:color="auto"/>
              <w:right w:val="single" w:sz="4" w:space="0" w:color="auto"/>
            </w:tcBorders>
            <w:vAlign w:val="center"/>
            <w:hideMark/>
          </w:tcPr>
          <w:p w14:paraId="6127FE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94882134</w:t>
            </w:r>
          </w:p>
        </w:tc>
        <w:tc>
          <w:tcPr>
            <w:tcW w:w="5953" w:type="dxa"/>
            <w:tcBorders>
              <w:top w:val="nil"/>
              <w:left w:val="nil"/>
              <w:bottom w:val="single" w:sz="4" w:space="0" w:color="auto"/>
              <w:right w:val="single" w:sz="4" w:space="0" w:color="auto"/>
            </w:tcBorders>
            <w:noWrap/>
            <w:vAlign w:val="center"/>
            <w:hideMark/>
          </w:tcPr>
          <w:p w14:paraId="566573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BOROVNICA</w:t>
            </w:r>
          </w:p>
        </w:tc>
      </w:tr>
      <w:tr w:rsidR="00F24E18" w14:paraId="4A38F1F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567A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915</w:t>
            </w:r>
          </w:p>
        </w:tc>
        <w:tc>
          <w:tcPr>
            <w:tcW w:w="1300" w:type="dxa"/>
            <w:tcBorders>
              <w:top w:val="nil"/>
              <w:left w:val="nil"/>
              <w:bottom w:val="single" w:sz="4" w:space="0" w:color="auto"/>
              <w:right w:val="single" w:sz="4" w:space="0" w:color="auto"/>
            </w:tcBorders>
            <w:vAlign w:val="center"/>
            <w:hideMark/>
          </w:tcPr>
          <w:p w14:paraId="05AD1E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5881498000</w:t>
            </w:r>
          </w:p>
        </w:tc>
        <w:tc>
          <w:tcPr>
            <w:tcW w:w="1012" w:type="dxa"/>
            <w:tcBorders>
              <w:top w:val="nil"/>
              <w:left w:val="nil"/>
              <w:bottom w:val="single" w:sz="4" w:space="0" w:color="auto"/>
              <w:right w:val="single" w:sz="4" w:space="0" w:color="auto"/>
            </w:tcBorders>
            <w:vAlign w:val="center"/>
            <w:hideMark/>
          </w:tcPr>
          <w:p w14:paraId="5D8A5E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36828866</w:t>
            </w:r>
          </w:p>
        </w:tc>
        <w:tc>
          <w:tcPr>
            <w:tcW w:w="5953" w:type="dxa"/>
            <w:tcBorders>
              <w:top w:val="nil"/>
              <w:left w:val="nil"/>
              <w:bottom w:val="single" w:sz="4" w:space="0" w:color="auto"/>
              <w:right w:val="single" w:sz="4" w:space="0" w:color="auto"/>
            </w:tcBorders>
            <w:noWrap/>
            <w:vAlign w:val="center"/>
            <w:hideMark/>
          </w:tcPr>
          <w:p w14:paraId="20647D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BOVEC</w:t>
            </w:r>
          </w:p>
        </w:tc>
      </w:tr>
      <w:tr w:rsidR="00F24E18" w14:paraId="3B7C9EC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A741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916</w:t>
            </w:r>
          </w:p>
        </w:tc>
        <w:tc>
          <w:tcPr>
            <w:tcW w:w="1300" w:type="dxa"/>
            <w:tcBorders>
              <w:top w:val="nil"/>
              <w:left w:val="nil"/>
              <w:bottom w:val="single" w:sz="4" w:space="0" w:color="auto"/>
              <w:right w:val="single" w:sz="4" w:space="0" w:color="auto"/>
            </w:tcBorders>
            <w:vAlign w:val="center"/>
            <w:hideMark/>
          </w:tcPr>
          <w:p w14:paraId="7C8BDB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1357557000</w:t>
            </w:r>
          </w:p>
        </w:tc>
        <w:tc>
          <w:tcPr>
            <w:tcW w:w="1012" w:type="dxa"/>
            <w:tcBorders>
              <w:top w:val="nil"/>
              <w:left w:val="nil"/>
              <w:bottom w:val="single" w:sz="4" w:space="0" w:color="auto"/>
              <w:right w:val="single" w:sz="4" w:space="0" w:color="auto"/>
            </w:tcBorders>
            <w:vAlign w:val="center"/>
            <w:hideMark/>
          </w:tcPr>
          <w:p w14:paraId="1C6EC1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49877445</w:t>
            </w:r>
          </w:p>
        </w:tc>
        <w:tc>
          <w:tcPr>
            <w:tcW w:w="5953" w:type="dxa"/>
            <w:tcBorders>
              <w:top w:val="nil"/>
              <w:left w:val="nil"/>
              <w:bottom w:val="single" w:sz="4" w:space="0" w:color="auto"/>
              <w:right w:val="single" w:sz="4" w:space="0" w:color="auto"/>
            </w:tcBorders>
            <w:noWrap/>
            <w:vAlign w:val="center"/>
            <w:hideMark/>
          </w:tcPr>
          <w:p w14:paraId="5FFB01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BRASLOVČE</w:t>
            </w:r>
          </w:p>
        </w:tc>
      </w:tr>
      <w:tr w:rsidR="00F24E18" w14:paraId="3370861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E4B4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917</w:t>
            </w:r>
          </w:p>
        </w:tc>
        <w:tc>
          <w:tcPr>
            <w:tcW w:w="1300" w:type="dxa"/>
            <w:tcBorders>
              <w:top w:val="nil"/>
              <w:left w:val="nil"/>
              <w:bottom w:val="single" w:sz="4" w:space="0" w:color="auto"/>
              <w:right w:val="single" w:sz="4" w:space="0" w:color="auto"/>
            </w:tcBorders>
            <w:vAlign w:val="center"/>
            <w:hideMark/>
          </w:tcPr>
          <w:p w14:paraId="7EDF1C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5881781000</w:t>
            </w:r>
          </w:p>
        </w:tc>
        <w:tc>
          <w:tcPr>
            <w:tcW w:w="1012" w:type="dxa"/>
            <w:tcBorders>
              <w:top w:val="nil"/>
              <w:left w:val="nil"/>
              <w:bottom w:val="single" w:sz="4" w:space="0" w:color="auto"/>
              <w:right w:val="single" w:sz="4" w:space="0" w:color="auto"/>
            </w:tcBorders>
            <w:vAlign w:val="center"/>
            <w:hideMark/>
          </w:tcPr>
          <w:p w14:paraId="50522B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58633391</w:t>
            </w:r>
          </w:p>
        </w:tc>
        <w:tc>
          <w:tcPr>
            <w:tcW w:w="5953" w:type="dxa"/>
            <w:tcBorders>
              <w:top w:val="nil"/>
              <w:left w:val="nil"/>
              <w:bottom w:val="single" w:sz="4" w:space="0" w:color="auto"/>
              <w:right w:val="single" w:sz="4" w:space="0" w:color="auto"/>
            </w:tcBorders>
            <w:noWrap/>
            <w:vAlign w:val="center"/>
            <w:hideMark/>
          </w:tcPr>
          <w:p w14:paraId="7B4F7C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BRDA</w:t>
            </w:r>
          </w:p>
        </w:tc>
      </w:tr>
      <w:tr w:rsidR="00F24E18" w14:paraId="145D7DC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D52C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918</w:t>
            </w:r>
          </w:p>
        </w:tc>
        <w:tc>
          <w:tcPr>
            <w:tcW w:w="1300" w:type="dxa"/>
            <w:tcBorders>
              <w:top w:val="nil"/>
              <w:left w:val="nil"/>
              <w:bottom w:val="single" w:sz="4" w:space="0" w:color="auto"/>
              <w:right w:val="single" w:sz="4" w:space="0" w:color="auto"/>
            </w:tcBorders>
            <w:noWrap/>
            <w:vAlign w:val="center"/>
            <w:hideMark/>
          </w:tcPr>
          <w:p w14:paraId="530F4B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5874971000</w:t>
            </w:r>
          </w:p>
        </w:tc>
        <w:tc>
          <w:tcPr>
            <w:tcW w:w="1012" w:type="dxa"/>
            <w:tcBorders>
              <w:top w:val="nil"/>
              <w:left w:val="nil"/>
              <w:bottom w:val="single" w:sz="4" w:space="0" w:color="auto"/>
              <w:right w:val="single" w:sz="4" w:space="0" w:color="auto"/>
            </w:tcBorders>
            <w:noWrap/>
            <w:vAlign w:val="center"/>
            <w:hideMark/>
          </w:tcPr>
          <w:p w14:paraId="0CCE37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10773703</w:t>
            </w:r>
          </w:p>
        </w:tc>
        <w:tc>
          <w:tcPr>
            <w:tcW w:w="5953" w:type="dxa"/>
            <w:tcBorders>
              <w:top w:val="nil"/>
              <w:left w:val="nil"/>
              <w:bottom w:val="single" w:sz="4" w:space="0" w:color="auto"/>
              <w:right w:val="single" w:sz="4" w:space="0" w:color="auto"/>
            </w:tcBorders>
            <w:noWrap/>
            <w:vAlign w:val="center"/>
            <w:hideMark/>
          </w:tcPr>
          <w:p w14:paraId="5E2A35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BREZOVICA</w:t>
            </w:r>
          </w:p>
        </w:tc>
      </w:tr>
      <w:tr w:rsidR="00F24E18" w14:paraId="3FF916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AF83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919</w:t>
            </w:r>
          </w:p>
        </w:tc>
        <w:tc>
          <w:tcPr>
            <w:tcW w:w="1300" w:type="dxa"/>
            <w:tcBorders>
              <w:top w:val="nil"/>
              <w:left w:val="nil"/>
              <w:bottom w:val="single" w:sz="4" w:space="0" w:color="auto"/>
              <w:right w:val="single" w:sz="4" w:space="0" w:color="auto"/>
            </w:tcBorders>
            <w:vAlign w:val="center"/>
            <w:hideMark/>
          </w:tcPr>
          <w:p w14:paraId="25492D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5880173000</w:t>
            </w:r>
          </w:p>
        </w:tc>
        <w:tc>
          <w:tcPr>
            <w:tcW w:w="1012" w:type="dxa"/>
            <w:tcBorders>
              <w:top w:val="nil"/>
              <w:left w:val="nil"/>
              <w:bottom w:val="single" w:sz="4" w:space="0" w:color="auto"/>
              <w:right w:val="single" w:sz="4" w:space="0" w:color="auto"/>
            </w:tcBorders>
            <w:vAlign w:val="center"/>
            <w:hideMark/>
          </w:tcPr>
          <w:p w14:paraId="0351DF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34944745</w:t>
            </w:r>
          </w:p>
        </w:tc>
        <w:tc>
          <w:tcPr>
            <w:tcW w:w="5953" w:type="dxa"/>
            <w:tcBorders>
              <w:top w:val="nil"/>
              <w:left w:val="nil"/>
              <w:bottom w:val="single" w:sz="4" w:space="0" w:color="auto"/>
              <w:right w:val="single" w:sz="4" w:space="0" w:color="auto"/>
            </w:tcBorders>
            <w:noWrap/>
            <w:vAlign w:val="center"/>
            <w:hideMark/>
          </w:tcPr>
          <w:p w14:paraId="77096F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BREŽICE</w:t>
            </w:r>
          </w:p>
        </w:tc>
      </w:tr>
      <w:tr w:rsidR="00F24E18" w14:paraId="66E54A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E182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920</w:t>
            </w:r>
          </w:p>
        </w:tc>
        <w:tc>
          <w:tcPr>
            <w:tcW w:w="1300" w:type="dxa"/>
            <w:tcBorders>
              <w:top w:val="nil"/>
              <w:left w:val="nil"/>
              <w:bottom w:val="single" w:sz="4" w:space="0" w:color="auto"/>
              <w:right w:val="single" w:sz="4" w:space="0" w:color="auto"/>
            </w:tcBorders>
            <w:vAlign w:val="center"/>
            <w:hideMark/>
          </w:tcPr>
          <w:p w14:paraId="5349B3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1365789000</w:t>
            </w:r>
          </w:p>
        </w:tc>
        <w:tc>
          <w:tcPr>
            <w:tcW w:w="1012" w:type="dxa"/>
            <w:tcBorders>
              <w:top w:val="nil"/>
              <w:left w:val="nil"/>
              <w:bottom w:val="single" w:sz="4" w:space="0" w:color="auto"/>
              <w:right w:val="single" w:sz="4" w:space="0" w:color="auto"/>
            </w:tcBorders>
            <w:vAlign w:val="center"/>
            <w:hideMark/>
          </w:tcPr>
          <w:p w14:paraId="4D7D15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96320923</w:t>
            </w:r>
          </w:p>
        </w:tc>
        <w:tc>
          <w:tcPr>
            <w:tcW w:w="5953" w:type="dxa"/>
            <w:tcBorders>
              <w:top w:val="nil"/>
              <w:left w:val="nil"/>
              <w:bottom w:val="single" w:sz="4" w:space="0" w:color="auto"/>
              <w:right w:val="single" w:sz="4" w:space="0" w:color="auto"/>
            </w:tcBorders>
            <w:noWrap/>
            <w:vAlign w:val="center"/>
            <w:hideMark/>
          </w:tcPr>
          <w:p w14:paraId="52B0E2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CANKOVA</w:t>
            </w:r>
          </w:p>
        </w:tc>
      </w:tr>
      <w:tr w:rsidR="00F24E18" w14:paraId="1122969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6078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921</w:t>
            </w:r>
          </w:p>
        </w:tc>
        <w:tc>
          <w:tcPr>
            <w:tcW w:w="1300" w:type="dxa"/>
            <w:tcBorders>
              <w:top w:val="nil"/>
              <w:left w:val="nil"/>
              <w:bottom w:val="single" w:sz="4" w:space="0" w:color="auto"/>
              <w:right w:val="single" w:sz="4" w:space="0" w:color="auto"/>
            </w:tcBorders>
            <w:vAlign w:val="center"/>
            <w:hideMark/>
          </w:tcPr>
          <w:p w14:paraId="610E55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5874670000</w:t>
            </w:r>
          </w:p>
        </w:tc>
        <w:tc>
          <w:tcPr>
            <w:tcW w:w="1012" w:type="dxa"/>
            <w:tcBorders>
              <w:top w:val="nil"/>
              <w:left w:val="nil"/>
              <w:bottom w:val="single" w:sz="4" w:space="0" w:color="auto"/>
              <w:right w:val="single" w:sz="4" w:space="0" w:color="auto"/>
            </w:tcBorders>
            <w:vAlign w:val="center"/>
            <w:hideMark/>
          </w:tcPr>
          <w:p w14:paraId="7E0270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14251086</w:t>
            </w:r>
          </w:p>
        </w:tc>
        <w:tc>
          <w:tcPr>
            <w:tcW w:w="5953" w:type="dxa"/>
            <w:tcBorders>
              <w:top w:val="nil"/>
              <w:left w:val="nil"/>
              <w:bottom w:val="single" w:sz="4" w:space="0" w:color="auto"/>
              <w:right w:val="single" w:sz="4" w:space="0" w:color="auto"/>
            </w:tcBorders>
            <w:noWrap/>
            <w:vAlign w:val="center"/>
            <w:hideMark/>
          </w:tcPr>
          <w:p w14:paraId="3EA313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CERKLJE NA GORENJSKEM</w:t>
            </w:r>
          </w:p>
        </w:tc>
      </w:tr>
      <w:tr w:rsidR="00F24E18" w14:paraId="059B20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F8B7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922</w:t>
            </w:r>
          </w:p>
        </w:tc>
        <w:tc>
          <w:tcPr>
            <w:tcW w:w="1300" w:type="dxa"/>
            <w:tcBorders>
              <w:top w:val="nil"/>
              <w:left w:val="nil"/>
              <w:bottom w:val="single" w:sz="4" w:space="0" w:color="auto"/>
              <w:right w:val="single" w:sz="4" w:space="0" w:color="auto"/>
            </w:tcBorders>
            <w:vAlign w:val="center"/>
            <w:hideMark/>
          </w:tcPr>
          <w:p w14:paraId="3EA5EC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5880157000</w:t>
            </w:r>
          </w:p>
        </w:tc>
        <w:tc>
          <w:tcPr>
            <w:tcW w:w="1012" w:type="dxa"/>
            <w:tcBorders>
              <w:top w:val="nil"/>
              <w:left w:val="nil"/>
              <w:bottom w:val="single" w:sz="4" w:space="0" w:color="auto"/>
              <w:right w:val="single" w:sz="4" w:space="0" w:color="auto"/>
            </w:tcBorders>
            <w:vAlign w:val="center"/>
            <w:hideMark/>
          </w:tcPr>
          <w:p w14:paraId="7E7FC2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72799595</w:t>
            </w:r>
          </w:p>
        </w:tc>
        <w:tc>
          <w:tcPr>
            <w:tcW w:w="5953" w:type="dxa"/>
            <w:tcBorders>
              <w:top w:val="nil"/>
              <w:left w:val="nil"/>
              <w:bottom w:val="single" w:sz="4" w:space="0" w:color="auto"/>
              <w:right w:val="single" w:sz="4" w:space="0" w:color="auto"/>
            </w:tcBorders>
            <w:noWrap/>
            <w:vAlign w:val="center"/>
            <w:hideMark/>
          </w:tcPr>
          <w:p w14:paraId="064AFB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CERKNICA</w:t>
            </w:r>
          </w:p>
        </w:tc>
      </w:tr>
      <w:tr w:rsidR="00F24E18" w14:paraId="66E57F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43E4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923</w:t>
            </w:r>
          </w:p>
        </w:tc>
        <w:tc>
          <w:tcPr>
            <w:tcW w:w="1300" w:type="dxa"/>
            <w:tcBorders>
              <w:top w:val="nil"/>
              <w:left w:val="nil"/>
              <w:bottom w:val="single" w:sz="4" w:space="0" w:color="auto"/>
              <w:right w:val="single" w:sz="4" w:space="0" w:color="auto"/>
            </w:tcBorders>
            <w:vAlign w:val="center"/>
            <w:hideMark/>
          </w:tcPr>
          <w:p w14:paraId="66A992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5880076000</w:t>
            </w:r>
          </w:p>
        </w:tc>
        <w:tc>
          <w:tcPr>
            <w:tcW w:w="1012" w:type="dxa"/>
            <w:tcBorders>
              <w:top w:val="nil"/>
              <w:left w:val="nil"/>
              <w:bottom w:val="single" w:sz="4" w:space="0" w:color="auto"/>
              <w:right w:val="single" w:sz="4" w:space="0" w:color="auto"/>
            </w:tcBorders>
            <w:vAlign w:val="center"/>
            <w:hideMark/>
          </w:tcPr>
          <w:p w14:paraId="126238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54677696</w:t>
            </w:r>
          </w:p>
        </w:tc>
        <w:tc>
          <w:tcPr>
            <w:tcW w:w="5953" w:type="dxa"/>
            <w:tcBorders>
              <w:top w:val="nil"/>
              <w:left w:val="nil"/>
              <w:bottom w:val="single" w:sz="4" w:space="0" w:color="auto"/>
              <w:right w:val="single" w:sz="4" w:space="0" w:color="auto"/>
            </w:tcBorders>
            <w:noWrap/>
            <w:vAlign w:val="center"/>
            <w:hideMark/>
          </w:tcPr>
          <w:p w14:paraId="5D0D6B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CERKNO</w:t>
            </w:r>
          </w:p>
        </w:tc>
      </w:tr>
      <w:tr w:rsidR="00F24E18" w14:paraId="77782CB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54B2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924</w:t>
            </w:r>
          </w:p>
        </w:tc>
        <w:tc>
          <w:tcPr>
            <w:tcW w:w="1300" w:type="dxa"/>
            <w:tcBorders>
              <w:top w:val="nil"/>
              <w:left w:val="nil"/>
              <w:bottom w:val="single" w:sz="4" w:space="0" w:color="auto"/>
              <w:right w:val="single" w:sz="4" w:space="0" w:color="auto"/>
            </w:tcBorders>
            <w:vAlign w:val="center"/>
            <w:hideMark/>
          </w:tcPr>
          <w:p w14:paraId="054872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1332066000</w:t>
            </w:r>
          </w:p>
        </w:tc>
        <w:tc>
          <w:tcPr>
            <w:tcW w:w="1012" w:type="dxa"/>
            <w:tcBorders>
              <w:top w:val="nil"/>
              <w:left w:val="nil"/>
              <w:bottom w:val="single" w:sz="4" w:space="0" w:color="auto"/>
              <w:right w:val="single" w:sz="4" w:space="0" w:color="auto"/>
            </w:tcBorders>
            <w:vAlign w:val="center"/>
            <w:hideMark/>
          </w:tcPr>
          <w:p w14:paraId="4762A2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78110475</w:t>
            </w:r>
          </w:p>
        </w:tc>
        <w:tc>
          <w:tcPr>
            <w:tcW w:w="5953" w:type="dxa"/>
            <w:tcBorders>
              <w:top w:val="nil"/>
              <w:left w:val="nil"/>
              <w:bottom w:val="single" w:sz="4" w:space="0" w:color="auto"/>
              <w:right w:val="single" w:sz="4" w:space="0" w:color="auto"/>
            </w:tcBorders>
            <w:noWrap/>
            <w:vAlign w:val="center"/>
            <w:hideMark/>
          </w:tcPr>
          <w:p w14:paraId="2DF051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CERKVENJAK</w:t>
            </w:r>
          </w:p>
        </w:tc>
      </w:tr>
      <w:tr w:rsidR="00F24E18" w14:paraId="4A6CEC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58F8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925</w:t>
            </w:r>
          </w:p>
        </w:tc>
        <w:tc>
          <w:tcPr>
            <w:tcW w:w="1300" w:type="dxa"/>
            <w:tcBorders>
              <w:top w:val="nil"/>
              <w:left w:val="nil"/>
              <w:bottom w:val="single" w:sz="4" w:space="0" w:color="auto"/>
              <w:right w:val="single" w:sz="4" w:space="0" w:color="auto"/>
            </w:tcBorders>
            <w:vAlign w:val="center"/>
            <w:hideMark/>
          </w:tcPr>
          <w:p w14:paraId="683B3B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2242770000</w:t>
            </w:r>
          </w:p>
        </w:tc>
        <w:tc>
          <w:tcPr>
            <w:tcW w:w="1012" w:type="dxa"/>
            <w:tcBorders>
              <w:top w:val="nil"/>
              <w:left w:val="nil"/>
              <w:bottom w:val="single" w:sz="4" w:space="0" w:color="auto"/>
              <w:right w:val="single" w:sz="4" w:space="0" w:color="auto"/>
            </w:tcBorders>
            <w:vAlign w:val="center"/>
            <w:hideMark/>
          </w:tcPr>
          <w:p w14:paraId="435FE1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52739813</w:t>
            </w:r>
          </w:p>
        </w:tc>
        <w:tc>
          <w:tcPr>
            <w:tcW w:w="5953" w:type="dxa"/>
            <w:tcBorders>
              <w:top w:val="nil"/>
              <w:left w:val="nil"/>
              <w:bottom w:val="single" w:sz="4" w:space="0" w:color="auto"/>
              <w:right w:val="single" w:sz="4" w:space="0" w:color="auto"/>
            </w:tcBorders>
            <w:noWrap/>
            <w:vAlign w:val="center"/>
            <w:hideMark/>
          </w:tcPr>
          <w:p w14:paraId="506193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CIRKULANE</w:t>
            </w:r>
          </w:p>
        </w:tc>
      </w:tr>
      <w:tr w:rsidR="00F24E18" w14:paraId="4E2085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CA66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926</w:t>
            </w:r>
          </w:p>
        </w:tc>
        <w:tc>
          <w:tcPr>
            <w:tcW w:w="1300" w:type="dxa"/>
            <w:tcBorders>
              <w:top w:val="nil"/>
              <w:left w:val="nil"/>
              <w:bottom w:val="single" w:sz="4" w:space="0" w:color="auto"/>
              <w:right w:val="single" w:sz="4" w:space="0" w:color="auto"/>
            </w:tcBorders>
            <w:vAlign w:val="center"/>
            <w:hideMark/>
          </w:tcPr>
          <w:p w14:paraId="22D159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5874726000</w:t>
            </w:r>
          </w:p>
        </w:tc>
        <w:tc>
          <w:tcPr>
            <w:tcW w:w="1012" w:type="dxa"/>
            <w:tcBorders>
              <w:top w:val="nil"/>
              <w:left w:val="nil"/>
              <w:bottom w:val="single" w:sz="4" w:space="0" w:color="auto"/>
              <w:right w:val="single" w:sz="4" w:space="0" w:color="auto"/>
            </w:tcBorders>
            <w:vAlign w:val="center"/>
            <w:hideMark/>
          </w:tcPr>
          <w:p w14:paraId="5460AA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23656484</w:t>
            </w:r>
          </w:p>
        </w:tc>
        <w:tc>
          <w:tcPr>
            <w:tcW w:w="5953" w:type="dxa"/>
            <w:tcBorders>
              <w:top w:val="nil"/>
              <w:left w:val="nil"/>
              <w:bottom w:val="single" w:sz="4" w:space="0" w:color="auto"/>
              <w:right w:val="single" w:sz="4" w:space="0" w:color="auto"/>
            </w:tcBorders>
            <w:noWrap/>
            <w:vAlign w:val="center"/>
            <w:hideMark/>
          </w:tcPr>
          <w:p w14:paraId="1B740C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ČRENŠOVCI</w:t>
            </w:r>
          </w:p>
        </w:tc>
      </w:tr>
      <w:tr w:rsidR="00F24E18" w14:paraId="13B565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ADD8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927</w:t>
            </w:r>
          </w:p>
        </w:tc>
        <w:tc>
          <w:tcPr>
            <w:tcW w:w="1300" w:type="dxa"/>
            <w:tcBorders>
              <w:top w:val="nil"/>
              <w:left w:val="nil"/>
              <w:bottom w:val="single" w:sz="4" w:space="0" w:color="auto"/>
              <w:right w:val="single" w:sz="4" w:space="0" w:color="auto"/>
            </w:tcBorders>
            <w:vAlign w:val="center"/>
            <w:hideMark/>
          </w:tcPr>
          <w:p w14:paraId="38532E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5883679000</w:t>
            </w:r>
          </w:p>
        </w:tc>
        <w:tc>
          <w:tcPr>
            <w:tcW w:w="1012" w:type="dxa"/>
            <w:tcBorders>
              <w:top w:val="nil"/>
              <w:left w:val="nil"/>
              <w:bottom w:val="single" w:sz="4" w:space="0" w:color="auto"/>
              <w:right w:val="single" w:sz="4" w:space="0" w:color="auto"/>
            </w:tcBorders>
            <w:vAlign w:val="center"/>
            <w:hideMark/>
          </w:tcPr>
          <w:p w14:paraId="6A390F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44743548</w:t>
            </w:r>
          </w:p>
        </w:tc>
        <w:tc>
          <w:tcPr>
            <w:tcW w:w="5953" w:type="dxa"/>
            <w:tcBorders>
              <w:top w:val="nil"/>
              <w:left w:val="nil"/>
              <w:bottom w:val="single" w:sz="4" w:space="0" w:color="auto"/>
              <w:right w:val="single" w:sz="4" w:space="0" w:color="auto"/>
            </w:tcBorders>
            <w:noWrap/>
            <w:vAlign w:val="center"/>
            <w:hideMark/>
          </w:tcPr>
          <w:p w14:paraId="2A0EC5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ČRNA NA KOROŠKEM</w:t>
            </w:r>
          </w:p>
        </w:tc>
      </w:tr>
      <w:tr w:rsidR="00F24E18" w14:paraId="3EA6FD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0AC4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928</w:t>
            </w:r>
          </w:p>
        </w:tc>
        <w:tc>
          <w:tcPr>
            <w:tcW w:w="1300" w:type="dxa"/>
            <w:tcBorders>
              <w:top w:val="nil"/>
              <w:left w:val="nil"/>
              <w:bottom w:val="single" w:sz="4" w:space="0" w:color="auto"/>
              <w:right w:val="single" w:sz="4" w:space="0" w:color="auto"/>
            </w:tcBorders>
            <w:vAlign w:val="center"/>
            <w:hideMark/>
          </w:tcPr>
          <w:p w14:paraId="0523A7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5880254000</w:t>
            </w:r>
          </w:p>
        </w:tc>
        <w:tc>
          <w:tcPr>
            <w:tcW w:w="1012" w:type="dxa"/>
            <w:tcBorders>
              <w:top w:val="nil"/>
              <w:left w:val="nil"/>
              <w:bottom w:val="single" w:sz="4" w:space="0" w:color="auto"/>
              <w:right w:val="single" w:sz="4" w:space="0" w:color="auto"/>
            </w:tcBorders>
            <w:vAlign w:val="center"/>
            <w:hideMark/>
          </w:tcPr>
          <w:p w14:paraId="43EDD9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83111697</w:t>
            </w:r>
          </w:p>
        </w:tc>
        <w:tc>
          <w:tcPr>
            <w:tcW w:w="5953" w:type="dxa"/>
            <w:tcBorders>
              <w:top w:val="nil"/>
              <w:left w:val="nil"/>
              <w:bottom w:val="single" w:sz="4" w:space="0" w:color="auto"/>
              <w:right w:val="single" w:sz="4" w:space="0" w:color="auto"/>
            </w:tcBorders>
            <w:noWrap/>
            <w:vAlign w:val="center"/>
            <w:hideMark/>
          </w:tcPr>
          <w:p w14:paraId="16CC82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ČRNOMELJ</w:t>
            </w:r>
          </w:p>
        </w:tc>
      </w:tr>
      <w:tr w:rsidR="00F24E18" w14:paraId="26C4C5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6A28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929</w:t>
            </w:r>
          </w:p>
        </w:tc>
        <w:tc>
          <w:tcPr>
            <w:tcW w:w="1300" w:type="dxa"/>
            <w:tcBorders>
              <w:top w:val="nil"/>
              <w:left w:val="nil"/>
              <w:bottom w:val="single" w:sz="4" w:space="0" w:color="auto"/>
              <w:right w:val="single" w:sz="4" w:space="0" w:color="auto"/>
            </w:tcBorders>
            <w:vAlign w:val="center"/>
            <w:hideMark/>
          </w:tcPr>
          <w:p w14:paraId="2EB1D6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5882966000</w:t>
            </w:r>
          </w:p>
        </w:tc>
        <w:tc>
          <w:tcPr>
            <w:tcW w:w="1012" w:type="dxa"/>
            <w:tcBorders>
              <w:top w:val="nil"/>
              <w:left w:val="nil"/>
              <w:bottom w:val="single" w:sz="4" w:space="0" w:color="auto"/>
              <w:right w:val="single" w:sz="4" w:space="0" w:color="auto"/>
            </w:tcBorders>
            <w:vAlign w:val="center"/>
            <w:hideMark/>
          </w:tcPr>
          <w:p w14:paraId="778E59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76286193</w:t>
            </w:r>
          </w:p>
        </w:tc>
        <w:tc>
          <w:tcPr>
            <w:tcW w:w="5953" w:type="dxa"/>
            <w:tcBorders>
              <w:top w:val="nil"/>
              <w:left w:val="nil"/>
              <w:bottom w:val="single" w:sz="4" w:space="0" w:color="auto"/>
              <w:right w:val="single" w:sz="4" w:space="0" w:color="auto"/>
            </w:tcBorders>
            <w:noWrap/>
            <w:vAlign w:val="center"/>
            <w:hideMark/>
          </w:tcPr>
          <w:p w14:paraId="2B1D86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DESTRNIK</w:t>
            </w:r>
          </w:p>
        </w:tc>
      </w:tr>
      <w:tr w:rsidR="00F24E18" w14:paraId="652AF9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D80A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930</w:t>
            </w:r>
          </w:p>
        </w:tc>
        <w:tc>
          <w:tcPr>
            <w:tcW w:w="1300" w:type="dxa"/>
            <w:tcBorders>
              <w:top w:val="nil"/>
              <w:left w:val="nil"/>
              <w:bottom w:val="single" w:sz="4" w:space="0" w:color="auto"/>
              <w:right w:val="single" w:sz="4" w:space="0" w:color="auto"/>
            </w:tcBorders>
            <w:vAlign w:val="center"/>
            <w:hideMark/>
          </w:tcPr>
          <w:p w14:paraId="2C0C01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1357409000</w:t>
            </w:r>
          </w:p>
        </w:tc>
        <w:tc>
          <w:tcPr>
            <w:tcW w:w="1012" w:type="dxa"/>
            <w:tcBorders>
              <w:top w:val="nil"/>
              <w:left w:val="nil"/>
              <w:bottom w:val="single" w:sz="4" w:space="0" w:color="auto"/>
              <w:right w:val="single" w:sz="4" w:space="0" w:color="auto"/>
            </w:tcBorders>
            <w:vAlign w:val="center"/>
            <w:hideMark/>
          </w:tcPr>
          <w:p w14:paraId="6396BD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22084665</w:t>
            </w:r>
          </w:p>
        </w:tc>
        <w:tc>
          <w:tcPr>
            <w:tcW w:w="5953" w:type="dxa"/>
            <w:tcBorders>
              <w:top w:val="nil"/>
              <w:left w:val="nil"/>
              <w:bottom w:val="single" w:sz="4" w:space="0" w:color="auto"/>
              <w:right w:val="single" w:sz="4" w:space="0" w:color="auto"/>
            </w:tcBorders>
            <w:noWrap/>
            <w:vAlign w:val="center"/>
            <w:hideMark/>
          </w:tcPr>
          <w:p w14:paraId="28F54A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DOBJE</w:t>
            </w:r>
          </w:p>
        </w:tc>
      </w:tr>
      <w:tr w:rsidR="00F24E18" w14:paraId="68B303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A293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931</w:t>
            </w:r>
          </w:p>
        </w:tc>
        <w:tc>
          <w:tcPr>
            <w:tcW w:w="1300" w:type="dxa"/>
            <w:tcBorders>
              <w:top w:val="nil"/>
              <w:left w:val="nil"/>
              <w:bottom w:val="single" w:sz="4" w:space="0" w:color="auto"/>
              <w:right w:val="single" w:sz="4" w:space="0" w:color="auto"/>
            </w:tcBorders>
            <w:vAlign w:val="center"/>
            <w:hideMark/>
          </w:tcPr>
          <w:p w14:paraId="44123A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5886252000</w:t>
            </w:r>
          </w:p>
        </w:tc>
        <w:tc>
          <w:tcPr>
            <w:tcW w:w="1012" w:type="dxa"/>
            <w:tcBorders>
              <w:top w:val="nil"/>
              <w:left w:val="nil"/>
              <w:bottom w:val="single" w:sz="4" w:space="0" w:color="auto"/>
              <w:right w:val="single" w:sz="4" w:space="0" w:color="auto"/>
            </w:tcBorders>
            <w:vAlign w:val="center"/>
            <w:hideMark/>
          </w:tcPr>
          <w:p w14:paraId="0A6C51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57506396</w:t>
            </w:r>
          </w:p>
        </w:tc>
        <w:tc>
          <w:tcPr>
            <w:tcW w:w="5953" w:type="dxa"/>
            <w:tcBorders>
              <w:top w:val="nil"/>
              <w:left w:val="nil"/>
              <w:bottom w:val="single" w:sz="4" w:space="0" w:color="auto"/>
              <w:right w:val="single" w:sz="4" w:space="0" w:color="auto"/>
            </w:tcBorders>
            <w:noWrap/>
            <w:vAlign w:val="center"/>
            <w:hideMark/>
          </w:tcPr>
          <w:p w14:paraId="7872D7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DOBREPOLJE</w:t>
            </w:r>
          </w:p>
        </w:tc>
      </w:tr>
      <w:tr w:rsidR="00F24E18" w14:paraId="2CFCC2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9FAC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932</w:t>
            </w:r>
          </w:p>
        </w:tc>
        <w:tc>
          <w:tcPr>
            <w:tcW w:w="1300" w:type="dxa"/>
            <w:tcBorders>
              <w:top w:val="nil"/>
              <w:left w:val="nil"/>
              <w:bottom w:val="single" w:sz="4" w:space="0" w:color="auto"/>
              <w:right w:val="single" w:sz="4" w:space="0" w:color="auto"/>
            </w:tcBorders>
            <w:vAlign w:val="center"/>
            <w:hideMark/>
          </w:tcPr>
          <w:p w14:paraId="26B808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1358570000</w:t>
            </w:r>
          </w:p>
        </w:tc>
        <w:tc>
          <w:tcPr>
            <w:tcW w:w="1012" w:type="dxa"/>
            <w:tcBorders>
              <w:top w:val="nil"/>
              <w:left w:val="nil"/>
              <w:bottom w:val="single" w:sz="4" w:space="0" w:color="auto"/>
              <w:right w:val="single" w:sz="4" w:space="0" w:color="auto"/>
            </w:tcBorders>
            <w:vAlign w:val="center"/>
            <w:hideMark/>
          </w:tcPr>
          <w:p w14:paraId="7D32E0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71772626</w:t>
            </w:r>
          </w:p>
        </w:tc>
        <w:tc>
          <w:tcPr>
            <w:tcW w:w="5953" w:type="dxa"/>
            <w:tcBorders>
              <w:top w:val="nil"/>
              <w:left w:val="nil"/>
              <w:bottom w:val="single" w:sz="4" w:space="0" w:color="auto"/>
              <w:right w:val="single" w:sz="4" w:space="0" w:color="auto"/>
            </w:tcBorders>
            <w:noWrap/>
            <w:vAlign w:val="center"/>
            <w:hideMark/>
          </w:tcPr>
          <w:p w14:paraId="23E897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DOBRNA</w:t>
            </w:r>
          </w:p>
        </w:tc>
      </w:tr>
      <w:tr w:rsidR="00F24E18" w14:paraId="76643F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B741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933</w:t>
            </w:r>
          </w:p>
        </w:tc>
        <w:tc>
          <w:tcPr>
            <w:tcW w:w="1300" w:type="dxa"/>
            <w:tcBorders>
              <w:top w:val="nil"/>
              <w:left w:val="nil"/>
              <w:bottom w:val="single" w:sz="4" w:space="0" w:color="auto"/>
              <w:right w:val="single" w:sz="4" w:space="0" w:color="auto"/>
            </w:tcBorders>
            <w:vAlign w:val="center"/>
            <w:hideMark/>
          </w:tcPr>
          <w:p w14:paraId="4C5A3A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5874998000</w:t>
            </w:r>
          </w:p>
        </w:tc>
        <w:tc>
          <w:tcPr>
            <w:tcW w:w="1012" w:type="dxa"/>
            <w:tcBorders>
              <w:top w:val="nil"/>
              <w:left w:val="nil"/>
              <w:bottom w:val="single" w:sz="4" w:space="0" w:color="auto"/>
              <w:right w:val="single" w:sz="4" w:space="0" w:color="auto"/>
            </w:tcBorders>
            <w:vAlign w:val="center"/>
            <w:hideMark/>
          </w:tcPr>
          <w:p w14:paraId="3C73D1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91166004</w:t>
            </w:r>
          </w:p>
        </w:tc>
        <w:tc>
          <w:tcPr>
            <w:tcW w:w="5953" w:type="dxa"/>
            <w:tcBorders>
              <w:top w:val="nil"/>
              <w:left w:val="nil"/>
              <w:bottom w:val="single" w:sz="4" w:space="0" w:color="auto"/>
              <w:right w:val="single" w:sz="4" w:space="0" w:color="auto"/>
            </w:tcBorders>
            <w:noWrap/>
            <w:vAlign w:val="center"/>
            <w:hideMark/>
          </w:tcPr>
          <w:p w14:paraId="4241EE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DOBROVA-POLHOV GRADEC</w:t>
            </w:r>
          </w:p>
        </w:tc>
      </w:tr>
      <w:tr w:rsidR="00F24E18" w14:paraId="19C2F7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E63B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934</w:t>
            </w:r>
          </w:p>
        </w:tc>
        <w:tc>
          <w:tcPr>
            <w:tcW w:w="1300" w:type="dxa"/>
            <w:tcBorders>
              <w:top w:val="nil"/>
              <w:left w:val="nil"/>
              <w:bottom w:val="single" w:sz="4" w:space="0" w:color="auto"/>
              <w:right w:val="single" w:sz="4" w:space="0" w:color="auto"/>
            </w:tcBorders>
            <w:vAlign w:val="center"/>
            <w:hideMark/>
          </w:tcPr>
          <w:p w14:paraId="617B96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1332198000</w:t>
            </w:r>
          </w:p>
        </w:tc>
        <w:tc>
          <w:tcPr>
            <w:tcW w:w="1012" w:type="dxa"/>
            <w:tcBorders>
              <w:top w:val="nil"/>
              <w:left w:val="nil"/>
              <w:bottom w:val="single" w:sz="4" w:space="0" w:color="auto"/>
              <w:right w:val="single" w:sz="4" w:space="0" w:color="auto"/>
            </w:tcBorders>
            <w:vAlign w:val="center"/>
            <w:hideMark/>
          </w:tcPr>
          <w:p w14:paraId="5D4FA2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72637706</w:t>
            </w:r>
          </w:p>
        </w:tc>
        <w:tc>
          <w:tcPr>
            <w:tcW w:w="5953" w:type="dxa"/>
            <w:tcBorders>
              <w:top w:val="nil"/>
              <w:left w:val="nil"/>
              <w:bottom w:val="single" w:sz="4" w:space="0" w:color="auto"/>
              <w:right w:val="single" w:sz="4" w:space="0" w:color="auto"/>
            </w:tcBorders>
            <w:noWrap/>
            <w:vAlign w:val="center"/>
            <w:hideMark/>
          </w:tcPr>
          <w:p w14:paraId="5326FC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DOBROVNIK DOBRONAK KOZSEG</w:t>
            </w:r>
          </w:p>
        </w:tc>
      </w:tr>
      <w:tr w:rsidR="00F24E18" w14:paraId="7A7515F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935D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935</w:t>
            </w:r>
          </w:p>
        </w:tc>
        <w:tc>
          <w:tcPr>
            <w:tcW w:w="1300" w:type="dxa"/>
            <w:tcBorders>
              <w:top w:val="nil"/>
              <w:left w:val="nil"/>
              <w:bottom w:val="single" w:sz="4" w:space="0" w:color="auto"/>
              <w:right w:val="single" w:sz="4" w:space="0" w:color="auto"/>
            </w:tcBorders>
            <w:vAlign w:val="center"/>
            <w:hideMark/>
          </w:tcPr>
          <w:p w14:paraId="1B6605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5874173000</w:t>
            </w:r>
          </w:p>
        </w:tc>
        <w:tc>
          <w:tcPr>
            <w:tcW w:w="1012" w:type="dxa"/>
            <w:tcBorders>
              <w:top w:val="nil"/>
              <w:left w:val="nil"/>
              <w:bottom w:val="single" w:sz="4" w:space="0" w:color="auto"/>
              <w:right w:val="single" w:sz="4" w:space="0" w:color="auto"/>
            </w:tcBorders>
            <w:vAlign w:val="center"/>
            <w:hideMark/>
          </w:tcPr>
          <w:p w14:paraId="33E846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81226748</w:t>
            </w:r>
          </w:p>
        </w:tc>
        <w:tc>
          <w:tcPr>
            <w:tcW w:w="5953" w:type="dxa"/>
            <w:tcBorders>
              <w:top w:val="nil"/>
              <w:left w:val="nil"/>
              <w:bottom w:val="single" w:sz="4" w:space="0" w:color="auto"/>
              <w:right w:val="single" w:sz="4" w:space="0" w:color="auto"/>
            </w:tcBorders>
            <w:noWrap/>
            <w:vAlign w:val="center"/>
            <w:hideMark/>
          </w:tcPr>
          <w:p w14:paraId="70D36F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DOL PRI LJUBLJANI</w:t>
            </w:r>
          </w:p>
        </w:tc>
      </w:tr>
      <w:tr w:rsidR="00F24E18" w14:paraId="3D2D66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D78B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936</w:t>
            </w:r>
          </w:p>
        </w:tc>
        <w:tc>
          <w:tcPr>
            <w:tcW w:w="1300" w:type="dxa"/>
            <w:tcBorders>
              <w:top w:val="nil"/>
              <w:left w:val="nil"/>
              <w:bottom w:val="single" w:sz="4" w:space="0" w:color="auto"/>
              <w:right w:val="single" w:sz="4" w:space="0" w:color="auto"/>
            </w:tcBorders>
            <w:vAlign w:val="center"/>
            <w:hideMark/>
          </w:tcPr>
          <w:p w14:paraId="001B1B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1365720000</w:t>
            </w:r>
          </w:p>
        </w:tc>
        <w:tc>
          <w:tcPr>
            <w:tcW w:w="1012" w:type="dxa"/>
            <w:tcBorders>
              <w:top w:val="nil"/>
              <w:left w:val="nil"/>
              <w:bottom w:val="single" w:sz="4" w:space="0" w:color="auto"/>
              <w:right w:val="single" w:sz="4" w:space="0" w:color="auto"/>
            </w:tcBorders>
            <w:vAlign w:val="center"/>
            <w:hideMark/>
          </w:tcPr>
          <w:p w14:paraId="2B0669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29941318</w:t>
            </w:r>
          </w:p>
        </w:tc>
        <w:tc>
          <w:tcPr>
            <w:tcW w:w="5953" w:type="dxa"/>
            <w:tcBorders>
              <w:top w:val="nil"/>
              <w:left w:val="nil"/>
              <w:bottom w:val="single" w:sz="4" w:space="0" w:color="auto"/>
              <w:right w:val="single" w:sz="4" w:space="0" w:color="auto"/>
            </w:tcBorders>
            <w:noWrap/>
            <w:vAlign w:val="center"/>
            <w:hideMark/>
          </w:tcPr>
          <w:p w14:paraId="3011FD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DOLENJSKE TOPLICE</w:t>
            </w:r>
          </w:p>
        </w:tc>
      </w:tr>
      <w:tr w:rsidR="00F24E18" w14:paraId="750BAE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CEA0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937</w:t>
            </w:r>
          </w:p>
        </w:tc>
        <w:tc>
          <w:tcPr>
            <w:tcW w:w="1300" w:type="dxa"/>
            <w:tcBorders>
              <w:top w:val="nil"/>
              <w:left w:val="nil"/>
              <w:bottom w:val="single" w:sz="4" w:space="0" w:color="auto"/>
              <w:right w:val="single" w:sz="4" w:space="0" w:color="auto"/>
            </w:tcBorders>
            <w:vAlign w:val="center"/>
            <w:hideMark/>
          </w:tcPr>
          <w:p w14:paraId="3EDE95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5880513000</w:t>
            </w:r>
          </w:p>
        </w:tc>
        <w:tc>
          <w:tcPr>
            <w:tcW w:w="1012" w:type="dxa"/>
            <w:tcBorders>
              <w:top w:val="nil"/>
              <w:left w:val="nil"/>
              <w:bottom w:val="single" w:sz="4" w:space="0" w:color="auto"/>
              <w:right w:val="single" w:sz="4" w:space="0" w:color="auto"/>
            </w:tcBorders>
            <w:vAlign w:val="center"/>
            <w:hideMark/>
          </w:tcPr>
          <w:p w14:paraId="7C1438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62862006</w:t>
            </w:r>
          </w:p>
        </w:tc>
        <w:tc>
          <w:tcPr>
            <w:tcW w:w="5953" w:type="dxa"/>
            <w:tcBorders>
              <w:top w:val="nil"/>
              <w:left w:val="nil"/>
              <w:bottom w:val="single" w:sz="4" w:space="0" w:color="auto"/>
              <w:right w:val="single" w:sz="4" w:space="0" w:color="auto"/>
            </w:tcBorders>
            <w:noWrap/>
            <w:vAlign w:val="center"/>
            <w:hideMark/>
          </w:tcPr>
          <w:p w14:paraId="2EC921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DOMŽALE</w:t>
            </w:r>
          </w:p>
        </w:tc>
      </w:tr>
      <w:tr w:rsidR="00F24E18" w14:paraId="3FE8714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30FE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938</w:t>
            </w:r>
          </w:p>
        </w:tc>
        <w:tc>
          <w:tcPr>
            <w:tcW w:w="1300" w:type="dxa"/>
            <w:tcBorders>
              <w:top w:val="nil"/>
              <w:left w:val="nil"/>
              <w:bottom w:val="single" w:sz="4" w:space="0" w:color="auto"/>
              <w:right w:val="single" w:sz="4" w:space="0" w:color="auto"/>
            </w:tcBorders>
            <w:noWrap/>
            <w:vAlign w:val="center"/>
            <w:hideMark/>
          </w:tcPr>
          <w:p w14:paraId="5EA4E9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5884039000</w:t>
            </w:r>
          </w:p>
        </w:tc>
        <w:tc>
          <w:tcPr>
            <w:tcW w:w="1012" w:type="dxa"/>
            <w:tcBorders>
              <w:top w:val="nil"/>
              <w:left w:val="nil"/>
              <w:bottom w:val="single" w:sz="4" w:space="0" w:color="auto"/>
              <w:right w:val="single" w:sz="4" w:space="0" w:color="auto"/>
            </w:tcBorders>
            <w:noWrap/>
            <w:vAlign w:val="center"/>
            <w:hideMark/>
          </w:tcPr>
          <w:p w14:paraId="778FBE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44295839</w:t>
            </w:r>
          </w:p>
        </w:tc>
        <w:tc>
          <w:tcPr>
            <w:tcW w:w="5953" w:type="dxa"/>
            <w:tcBorders>
              <w:top w:val="nil"/>
              <w:left w:val="nil"/>
              <w:bottom w:val="single" w:sz="4" w:space="0" w:color="auto"/>
              <w:right w:val="single" w:sz="4" w:space="0" w:color="auto"/>
            </w:tcBorders>
            <w:noWrap/>
            <w:vAlign w:val="center"/>
            <w:hideMark/>
          </w:tcPr>
          <w:p w14:paraId="60949A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DORNAVA</w:t>
            </w:r>
          </w:p>
        </w:tc>
      </w:tr>
      <w:tr w:rsidR="00F24E18" w14:paraId="6D747F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4F3D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939</w:t>
            </w:r>
          </w:p>
        </w:tc>
        <w:tc>
          <w:tcPr>
            <w:tcW w:w="1300" w:type="dxa"/>
            <w:tcBorders>
              <w:top w:val="nil"/>
              <w:left w:val="nil"/>
              <w:bottom w:val="single" w:sz="4" w:space="0" w:color="auto"/>
              <w:right w:val="single" w:sz="4" w:space="0" w:color="auto"/>
            </w:tcBorders>
            <w:vAlign w:val="center"/>
            <w:hideMark/>
          </w:tcPr>
          <w:p w14:paraId="21FC65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5880351000</w:t>
            </w:r>
          </w:p>
        </w:tc>
        <w:tc>
          <w:tcPr>
            <w:tcW w:w="1012" w:type="dxa"/>
            <w:tcBorders>
              <w:top w:val="nil"/>
              <w:left w:val="nil"/>
              <w:bottom w:val="single" w:sz="4" w:space="0" w:color="auto"/>
              <w:right w:val="single" w:sz="4" w:space="0" w:color="auto"/>
            </w:tcBorders>
            <w:vAlign w:val="center"/>
            <w:hideMark/>
          </w:tcPr>
          <w:p w14:paraId="6AD12C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47554851</w:t>
            </w:r>
          </w:p>
        </w:tc>
        <w:tc>
          <w:tcPr>
            <w:tcW w:w="5953" w:type="dxa"/>
            <w:tcBorders>
              <w:top w:val="nil"/>
              <w:left w:val="nil"/>
              <w:bottom w:val="single" w:sz="4" w:space="0" w:color="auto"/>
              <w:right w:val="single" w:sz="4" w:space="0" w:color="auto"/>
            </w:tcBorders>
            <w:noWrap/>
            <w:vAlign w:val="center"/>
            <w:hideMark/>
          </w:tcPr>
          <w:p w14:paraId="75B2F5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DRAVOGRAD</w:t>
            </w:r>
          </w:p>
        </w:tc>
      </w:tr>
      <w:tr w:rsidR="00F24E18" w14:paraId="72BCCC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4E84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940</w:t>
            </w:r>
          </w:p>
        </w:tc>
        <w:tc>
          <w:tcPr>
            <w:tcW w:w="1300" w:type="dxa"/>
            <w:tcBorders>
              <w:top w:val="nil"/>
              <w:left w:val="nil"/>
              <w:bottom w:val="single" w:sz="4" w:space="0" w:color="auto"/>
              <w:right w:val="single" w:sz="4" w:space="0" w:color="auto"/>
            </w:tcBorders>
            <w:vAlign w:val="center"/>
            <w:hideMark/>
          </w:tcPr>
          <w:p w14:paraId="443AAC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5883300000</w:t>
            </w:r>
          </w:p>
        </w:tc>
        <w:tc>
          <w:tcPr>
            <w:tcW w:w="1012" w:type="dxa"/>
            <w:tcBorders>
              <w:top w:val="nil"/>
              <w:left w:val="nil"/>
              <w:bottom w:val="single" w:sz="4" w:space="0" w:color="auto"/>
              <w:right w:val="single" w:sz="4" w:space="0" w:color="auto"/>
            </w:tcBorders>
            <w:vAlign w:val="center"/>
            <w:hideMark/>
          </w:tcPr>
          <w:p w14:paraId="1A07DD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41316819</w:t>
            </w:r>
          </w:p>
        </w:tc>
        <w:tc>
          <w:tcPr>
            <w:tcW w:w="5953" w:type="dxa"/>
            <w:tcBorders>
              <w:top w:val="nil"/>
              <w:left w:val="nil"/>
              <w:bottom w:val="single" w:sz="4" w:space="0" w:color="auto"/>
              <w:right w:val="single" w:sz="4" w:space="0" w:color="auto"/>
            </w:tcBorders>
            <w:noWrap/>
            <w:vAlign w:val="center"/>
            <w:hideMark/>
          </w:tcPr>
          <w:p w14:paraId="3ADAB0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DUPLEK</w:t>
            </w:r>
          </w:p>
        </w:tc>
      </w:tr>
      <w:tr w:rsidR="00F24E18" w14:paraId="144AC9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EB63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941</w:t>
            </w:r>
          </w:p>
        </w:tc>
        <w:tc>
          <w:tcPr>
            <w:tcW w:w="1300" w:type="dxa"/>
            <w:tcBorders>
              <w:top w:val="nil"/>
              <w:left w:val="nil"/>
              <w:bottom w:val="single" w:sz="4" w:space="0" w:color="auto"/>
              <w:right w:val="single" w:sz="4" w:space="0" w:color="auto"/>
            </w:tcBorders>
            <w:vAlign w:val="center"/>
            <w:hideMark/>
          </w:tcPr>
          <w:p w14:paraId="14508D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5883261000</w:t>
            </w:r>
          </w:p>
        </w:tc>
        <w:tc>
          <w:tcPr>
            <w:tcW w:w="1012" w:type="dxa"/>
            <w:tcBorders>
              <w:top w:val="nil"/>
              <w:left w:val="nil"/>
              <w:bottom w:val="single" w:sz="4" w:space="0" w:color="auto"/>
              <w:right w:val="single" w:sz="4" w:space="0" w:color="auto"/>
            </w:tcBorders>
            <w:vAlign w:val="center"/>
            <w:hideMark/>
          </w:tcPr>
          <w:p w14:paraId="715BE9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63943026</w:t>
            </w:r>
          </w:p>
        </w:tc>
        <w:tc>
          <w:tcPr>
            <w:tcW w:w="5953" w:type="dxa"/>
            <w:tcBorders>
              <w:top w:val="nil"/>
              <w:left w:val="nil"/>
              <w:bottom w:val="single" w:sz="4" w:space="0" w:color="auto"/>
              <w:right w:val="single" w:sz="4" w:space="0" w:color="auto"/>
            </w:tcBorders>
            <w:noWrap/>
            <w:vAlign w:val="center"/>
            <w:hideMark/>
          </w:tcPr>
          <w:p w14:paraId="6E2173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GORENJA VAS-POLJANE</w:t>
            </w:r>
          </w:p>
        </w:tc>
      </w:tr>
      <w:tr w:rsidR="00F24E18" w14:paraId="36F2C5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3341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942</w:t>
            </w:r>
          </w:p>
        </w:tc>
        <w:tc>
          <w:tcPr>
            <w:tcW w:w="1300" w:type="dxa"/>
            <w:tcBorders>
              <w:top w:val="nil"/>
              <w:left w:val="nil"/>
              <w:bottom w:val="single" w:sz="4" w:space="0" w:color="auto"/>
              <w:right w:val="single" w:sz="4" w:space="0" w:color="auto"/>
            </w:tcBorders>
            <w:vAlign w:val="center"/>
            <w:hideMark/>
          </w:tcPr>
          <w:p w14:paraId="0D67A8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5883962000</w:t>
            </w:r>
          </w:p>
        </w:tc>
        <w:tc>
          <w:tcPr>
            <w:tcW w:w="1012" w:type="dxa"/>
            <w:tcBorders>
              <w:top w:val="nil"/>
              <w:left w:val="nil"/>
              <w:bottom w:val="single" w:sz="4" w:space="0" w:color="auto"/>
              <w:right w:val="single" w:sz="4" w:space="0" w:color="auto"/>
            </w:tcBorders>
            <w:vAlign w:val="center"/>
            <w:hideMark/>
          </w:tcPr>
          <w:p w14:paraId="5CC0B8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81877790</w:t>
            </w:r>
          </w:p>
        </w:tc>
        <w:tc>
          <w:tcPr>
            <w:tcW w:w="5953" w:type="dxa"/>
            <w:tcBorders>
              <w:top w:val="nil"/>
              <w:left w:val="nil"/>
              <w:bottom w:val="single" w:sz="4" w:space="0" w:color="auto"/>
              <w:right w:val="single" w:sz="4" w:space="0" w:color="auto"/>
            </w:tcBorders>
            <w:noWrap/>
            <w:vAlign w:val="center"/>
            <w:hideMark/>
          </w:tcPr>
          <w:p w14:paraId="6880F9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GORIŠNICA</w:t>
            </w:r>
          </w:p>
        </w:tc>
      </w:tr>
      <w:tr w:rsidR="00F24E18" w14:paraId="09F470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9A53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943</w:t>
            </w:r>
          </w:p>
        </w:tc>
        <w:tc>
          <w:tcPr>
            <w:tcW w:w="1300" w:type="dxa"/>
            <w:tcBorders>
              <w:top w:val="nil"/>
              <w:left w:val="nil"/>
              <w:bottom w:val="single" w:sz="4" w:space="0" w:color="auto"/>
              <w:right w:val="single" w:sz="4" w:space="0" w:color="auto"/>
            </w:tcBorders>
            <w:vAlign w:val="center"/>
            <w:hideMark/>
          </w:tcPr>
          <w:p w14:paraId="2D838C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2209721000</w:t>
            </w:r>
          </w:p>
        </w:tc>
        <w:tc>
          <w:tcPr>
            <w:tcW w:w="1012" w:type="dxa"/>
            <w:tcBorders>
              <w:top w:val="nil"/>
              <w:left w:val="nil"/>
              <w:bottom w:val="single" w:sz="4" w:space="0" w:color="auto"/>
              <w:right w:val="single" w:sz="4" w:space="0" w:color="auto"/>
            </w:tcBorders>
            <w:vAlign w:val="center"/>
            <w:hideMark/>
          </w:tcPr>
          <w:p w14:paraId="2AAC53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66614198</w:t>
            </w:r>
          </w:p>
        </w:tc>
        <w:tc>
          <w:tcPr>
            <w:tcW w:w="5953" w:type="dxa"/>
            <w:tcBorders>
              <w:top w:val="nil"/>
              <w:left w:val="nil"/>
              <w:bottom w:val="single" w:sz="4" w:space="0" w:color="auto"/>
              <w:right w:val="single" w:sz="4" w:space="0" w:color="auto"/>
            </w:tcBorders>
            <w:noWrap/>
            <w:vAlign w:val="center"/>
            <w:hideMark/>
          </w:tcPr>
          <w:p w14:paraId="301AA9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GORJE</w:t>
            </w:r>
          </w:p>
        </w:tc>
      </w:tr>
      <w:tr w:rsidR="00F24E18" w14:paraId="2F216C8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97AA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944</w:t>
            </w:r>
          </w:p>
        </w:tc>
        <w:tc>
          <w:tcPr>
            <w:tcW w:w="1300" w:type="dxa"/>
            <w:tcBorders>
              <w:top w:val="nil"/>
              <w:left w:val="nil"/>
              <w:bottom w:val="single" w:sz="4" w:space="0" w:color="auto"/>
              <w:right w:val="single" w:sz="4" w:space="0" w:color="auto"/>
            </w:tcBorders>
            <w:vAlign w:val="center"/>
            <w:hideMark/>
          </w:tcPr>
          <w:p w14:paraId="32750E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5880289000</w:t>
            </w:r>
          </w:p>
        </w:tc>
        <w:tc>
          <w:tcPr>
            <w:tcW w:w="1012" w:type="dxa"/>
            <w:tcBorders>
              <w:top w:val="nil"/>
              <w:left w:val="nil"/>
              <w:bottom w:val="single" w:sz="4" w:space="0" w:color="auto"/>
              <w:right w:val="single" w:sz="4" w:space="0" w:color="auto"/>
            </w:tcBorders>
            <w:vAlign w:val="center"/>
            <w:hideMark/>
          </w:tcPr>
          <w:p w14:paraId="4FC3A7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40051846</w:t>
            </w:r>
          </w:p>
        </w:tc>
        <w:tc>
          <w:tcPr>
            <w:tcW w:w="5953" w:type="dxa"/>
            <w:tcBorders>
              <w:top w:val="nil"/>
              <w:left w:val="nil"/>
              <w:bottom w:val="single" w:sz="4" w:space="0" w:color="auto"/>
              <w:right w:val="single" w:sz="4" w:space="0" w:color="auto"/>
            </w:tcBorders>
            <w:noWrap/>
            <w:vAlign w:val="center"/>
            <w:hideMark/>
          </w:tcPr>
          <w:p w14:paraId="1FF257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GORNJA RADGONA</w:t>
            </w:r>
          </w:p>
        </w:tc>
      </w:tr>
      <w:tr w:rsidR="00F24E18" w14:paraId="218410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4DA6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945</w:t>
            </w:r>
          </w:p>
        </w:tc>
        <w:tc>
          <w:tcPr>
            <w:tcW w:w="1300" w:type="dxa"/>
            <w:tcBorders>
              <w:top w:val="nil"/>
              <w:left w:val="nil"/>
              <w:bottom w:val="single" w:sz="4" w:space="0" w:color="auto"/>
              <w:right w:val="single" w:sz="4" w:space="0" w:color="auto"/>
            </w:tcBorders>
            <w:vAlign w:val="center"/>
            <w:hideMark/>
          </w:tcPr>
          <w:p w14:paraId="2E08AB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5883075000</w:t>
            </w:r>
          </w:p>
        </w:tc>
        <w:tc>
          <w:tcPr>
            <w:tcW w:w="1012" w:type="dxa"/>
            <w:tcBorders>
              <w:top w:val="nil"/>
              <w:left w:val="nil"/>
              <w:bottom w:val="single" w:sz="4" w:space="0" w:color="auto"/>
              <w:right w:val="single" w:sz="4" w:space="0" w:color="auto"/>
            </w:tcBorders>
            <w:vAlign w:val="center"/>
            <w:hideMark/>
          </w:tcPr>
          <w:p w14:paraId="1DA0C2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69366144</w:t>
            </w:r>
          </w:p>
        </w:tc>
        <w:tc>
          <w:tcPr>
            <w:tcW w:w="5953" w:type="dxa"/>
            <w:tcBorders>
              <w:top w:val="nil"/>
              <w:left w:val="nil"/>
              <w:bottom w:val="single" w:sz="4" w:space="0" w:color="auto"/>
              <w:right w:val="single" w:sz="4" w:space="0" w:color="auto"/>
            </w:tcBorders>
            <w:noWrap/>
            <w:vAlign w:val="center"/>
            <w:hideMark/>
          </w:tcPr>
          <w:p w14:paraId="3B5E08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GORNJI PETROVCI</w:t>
            </w:r>
          </w:p>
        </w:tc>
      </w:tr>
      <w:tr w:rsidR="00F24E18" w14:paraId="6EC3F4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85D6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946</w:t>
            </w:r>
          </w:p>
        </w:tc>
        <w:tc>
          <w:tcPr>
            <w:tcW w:w="1300" w:type="dxa"/>
            <w:tcBorders>
              <w:top w:val="nil"/>
              <w:left w:val="nil"/>
              <w:bottom w:val="single" w:sz="4" w:space="0" w:color="auto"/>
              <w:right w:val="single" w:sz="4" w:space="0" w:color="auto"/>
            </w:tcBorders>
            <w:vAlign w:val="center"/>
            <w:hideMark/>
          </w:tcPr>
          <w:p w14:paraId="438F3F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1365673000</w:t>
            </w:r>
          </w:p>
        </w:tc>
        <w:tc>
          <w:tcPr>
            <w:tcW w:w="1012" w:type="dxa"/>
            <w:tcBorders>
              <w:top w:val="nil"/>
              <w:left w:val="nil"/>
              <w:bottom w:val="single" w:sz="4" w:space="0" w:color="auto"/>
              <w:right w:val="single" w:sz="4" w:space="0" w:color="auto"/>
            </w:tcBorders>
            <w:vAlign w:val="center"/>
            <w:hideMark/>
          </w:tcPr>
          <w:p w14:paraId="698901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70454540</w:t>
            </w:r>
          </w:p>
        </w:tc>
        <w:tc>
          <w:tcPr>
            <w:tcW w:w="5953" w:type="dxa"/>
            <w:tcBorders>
              <w:top w:val="nil"/>
              <w:left w:val="nil"/>
              <w:bottom w:val="single" w:sz="4" w:space="0" w:color="auto"/>
              <w:right w:val="single" w:sz="4" w:space="0" w:color="auto"/>
            </w:tcBorders>
            <w:noWrap/>
            <w:vAlign w:val="center"/>
            <w:hideMark/>
          </w:tcPr>
          <w:p w14:paraId="4811D2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GRAD</w:t>
            </w:r>
          </w:p>
        </w:tc>
      </w:tr>
      <w:tr w:rsidR="00F24E18" w14:paraId="02BC971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9320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947</w:t>
            </w:r>
          </w:p>
        </w:tc>
        <w:tc>
          <w:tcPr>
            <w:tcW w:w="1300" w:type="dxa"/>
            <w:tcBorders>
              <w:top w:val="nil"/>
              <w:left w:val="nil"/>
              <w:bottom w:val="single" w:sz="4" w:space="0" w:color="auto"/>
              <w:right w:val="single" w:sz="4" w:space="0" w:color="auto"/>
            </w:tcBorders>
            <w:vAlign w:val="center"/>
            <w:hideMark/>
          </w:tcPr>
          <w:p w14:paraId="1D55D2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5880734000</w:t>
            </w:r>
          </w:p>
        </w:tc>
        <w:tc>
          <w:tcPr>
            <w:tcW w:w="1012" w:type="dxa"/>
            <w:tcBorders>
              <w:top w:val="nil"/>
              <w:left w:val="nil"/>
              <w:bottom w:val="single" w:sz="4" w:space="0" w:color="auto"/>
              <w:right w:val="single" w:sz="4" w:space="0" w:color="auto"/>
            </w:tcBorders>
            <w:vAlign w:val="center"/>
            <w:hideMark/>
          </w:tcPr>
          <w:p w14:paraId="00722D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14067765</w:t>
            </w:r>
          </w:p>
        </w:tc>
        <w:tc>
          <w:tcPr>
            <w:tcW w:w="5953" w:type="dxa"/>
            <w:tcBorders>
              <w:top w:val="nil"/>
              <w:left w:val="nil"/>
              <w:bottom w:val="single" w:sz="4" w:space="0" w:color="auto"/>
              <w:right w:val="single" w:sz="4" w:space="0" w:color="auto"/>
            </w:tcBorders>
            <w:noWrap/>
            <w:vAlign w:val="center"/>
            <w:hideMark/>
          </w:tcPr>
          <w:p w14:paraId="37423A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GROSUPLJE</w:t>
            </w:r>
          </w:p>
        </w:tc>
      </w:tr>
      <w:tr w:rsidR="00F24E18" w14:paraId="6EAFFE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FD65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948</w:t>
            </w:r>
          </w:p>
        </w:tc>
        <w:tc>
          <w:tcPr>
            <w:tcW w:w="1300" w:type="dxa"/>
            <w:tcBorders>
              <w:top w:val="nil"/>
              <w:left w:val="nil"/>
              <w:bottom w:val="single" w:sz="4" w:space="0" w:color="auto"/>
              <w:right w:val="single" w:sz="4" w:space="0" w:color="auto"/>
            </w:tcBorders>
            <w:vAlign w:val="center"/>
            <w:hideMark/>
          </w:tcPr>
          <w:p w14:paraId="6F218F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1357441000</w:t>
            </w:r>
          </w:p>
        </w:tc>
        <w:tc>
          <w:tcPr>
            <w:tcW w:w="1012" w:type="dxa"/>
            <w:tcBorders>
              <w:top w:val="nil"/>
              <w:left w:val="nil"/>
              <w:bottom w:val="single" w:sz="4" w:space="0" w:color="auto"/>
              <w:right w:val="single" w:sz="4" w:space="0" w:color="auto"/>
            </w:tcBorders>
            <w:vAlign w:val="center"/>
            <w:hideMark/>
          </w:tcPr>
          <w:p w14:paraId="7594D1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24866792</w:t>
            </w:r>
          </w:p>
        </w:tc>
        <w:tc>
          <w:tcPr>
            <w:tcW w:w="5953" w:type="dxa"/>
            <w:tcBorders>
              <w:top w:val="nil"/>
              <w:left w:val="nil"/>
              <w:bottom w:val="single" w:sz="4" w:space="0" w:color="auto"/>
              <w:right w:val="single" w:sz="4" w:space="0" w:color="auto"/>
            </w:tcBorders>
            <w:noWrap/>
            <w:vAlign w:val="center"/>
            <w:hideMark/>
          </w:tcPr>
          <w:p w14:paraId="6939EF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HAJDINA</w:t>
            </w:r>
          </w:p>
        </w:tc>
      </w:tr>
      <w:tr w:rsidR="00F24E18" w14:paraId="26A12E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C56A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949</w:t>
            </w:r>
          </w:p>
        </w:tc>
        <w:tc>
          <w:tcPr>
            <w:tcW w:w="1300" w:type="dxa"/>
            <w:tcBorders>
              <w:top w:val="nil"/>
              <w:left w:val="nil"/>
              <w:bottom w:val="single" w:sz="4" w:space="0" w:color="auto"/>
              <w:right w:val="single" w:sz="4" w:space="0" w:color="auto"/>
            </w:tcBorders>
            <w:vAlign w:val="center"/>
            <w:hideMark/>
          </w:tcPr>
          <w:p w14:paraId="60A4AC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1365568000</w:t>
            </w:r>
          </w:p>
        </w:tc>
        <w:tc>
          <w:tcPr>
            <w:tcW w:w="1012" w:type="dxa"/>
            <w:tcBorders>
              <w:top w:val="nil"/>
              <w:left w:val="nil"/>
              <w:bottom w:val="single" w:sz="4" w:space="0" w:color="auto"/>
              <w:right w:val="single" w:sz="4" w:space="0" w:color="auto"/>
            </w:tcBorders>
            <w:vAlign w:val="center"/>
            <w:hideMark/>
          </w:tcPr>
          <w:p w14:paraId="28746B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24685844</w:t>
            </w:r>
          </w:p>
        </w:tc>
        <w:tc>
          <w:tcPr>
            <w:tcW w:w="5953" w:type="dxa"/>
            <w:tcBorders>
              <w:top w:val="nil"/>
              <w:left w:val="nil"/>
              <w:bottom w:val="single" w:sz="4" w:space="0" w:color="auto"/>
              <w:right w:val="single" w:sz="4" w:space="0" w:color="auto"/>
            </w:tcBorders>
            <w:noWrap/>
            <w:vAlign w:val="center"/>
            <w:hideMark/>
          </w:tcPr>
          <w:p w14:paraId="153ED5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HOČE - SLIVNICA</w:t>
            </w:r>
          </w:p>
        </w:tc>
      </w:tr>
      <w:tr w:rsidR="00F24E18" w14:paraId="4D7D8FC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7B08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950</w:t>
            </w:r>
          </w:p>
        </w:tc>
        <w:tc>
          <w:tcPr>
            <w:tcW w:w="1300" w:type="dxa"/>
            <w:tcBorders>
              <w:top w:val="nil"/>
              <w:left w:val="nil"/>
              <w:bottom w:val="single" w:sz="4" w:space="0" w:color="auto"/>
              <w:right w:val="single" w:sz="4" w:space="0" w:color="auto"/>
            </w:tcBorders>
            <w:vAlign w:val="center"/>
            <w:hideMark/>
          </w:tcPr>
          <w:p w14:paraId="5B0056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1357344000</w:t>
            </w:r>
          </w:p>
        </w:tc>
        <w:tc>
          <w:tcPr>
            <w:tcW w:w="1012" w:type="dxa"/>
            <w:tcBorders>
              <w:top w:val="nil"/>
              <w:left w:val="nil"/>
              <w:bottom w:val="single" w:sz="4" w:space="0" w:color="auto"/>
              <w:right w:val="single" w:sz="4" w:space="0" w:color="auto"/>
            </w:tcBorders>
            <w:vAlign w:val="center"/>
            <w:hideMark/>
          </w:tcPr>
          <w:p w14:paraId="36FCCE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73790141</w:t>
            </w:r>
          </w:p>
        </w:tc>
        <w:tc>
          <w:tcPr>
            <w:tcW w:w="5953" w:type="dxa"/>
            <w:tcBorders>
              <w:top w:val="nil"/>
              <w:left w:val="nil"/>
              <w:bottom w:val="single" w:sz="4" w:space="0" w:color="auto"/>
              <w:right w:val="single" w:sz="4" w:space="0" w:color="auto"/>
            </w:tcBorders>
            <w:noWrap/>
            <w:vAlign w:val="center"/>
            <w:hideMark/>
          </w:tcPr>
          <w:p w14:paraId="1B9C12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HODOŠ</w:t>
            </w:r>
          </w:p>
        </w:tc>
      </w:tr>
      <w:tr w:rsidR="00F24E18" w14:paraId="229E45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0103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951</w:t>
            </w:r>
          </w:p>
        </w:tc>
        <w:tc>
          <w:tcPr>
            <w:tcW w:w="1300" w:type="dxa"/>
            <w:tcBorders>
              <w:top w:val="nil"/>
              <w:left w:val="nil"/>
              <w:bottom w:val="single" w:sz="4" w:space="0" w:color="auto"/>
              <w:right w:val="single" w:sz="4" w:space="0" w:color="auto"/>
            </w:tcBorders>
            <w:vAlign w:val="center"/>
            <w:hideMark/>
          </w:tcPr>
          <w:p w14:paraId="72F339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1332180000</w:t>
            </w:r>
          </w:p>
        </w:tc>
        <w:tc>
          <w:tcPr>
            <w:tcW w:w="1012" w:type="dxa"/>
            <w:tcBorders>
              <w:top w:val="nil"/>
              <w:left w:val="nil"/>
              <w:bottom w:val="single" w:sz="4" w:space="0" w:color="auto"/>
              <w:right w:val="single" w:sz="4" w:space="0" w:color="auto"/>
            </w:tcBorders>
            <w:vAlign w:val="center"/>
            <w:hideMark/>
          </w:tcPr>
          <w:p w14:paraId="77F1E3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19084951</w:t>
            </w:r>
          </w:p>
        </w:tc>
        <w:tc>
          <w:tcPr>
            <w:tcW w:w="5953" w:type="dxa"/>
            <w:tcBorders>
              <w:top w:val="nil"/>
              <w:left w:val="nil"/>
              <w:bottom w:val="single" w:sz="4" w:space="0" w:color="auto"/>
              <w:right w:val="single" w:sz="4" w:space="0" w:color="auto"/>
            </w:tcBorders>
            <w:noWrap/>
            <w:vAlign w:val="center"/>
            <w:hideMark/>
          </w:tcPr>
          <w:p w14:paraId="15B382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HORJUL</w:t>
            </w:r>
          </w:p>
        </w:tc>
      </w:tr>
      <w:tr w:rsidR="00F24E18" w14:paraId="316DD03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D7F7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952</w:t>
            </w:r>
          </w:p>
        </w:tc>
        <w:tc>
          <w:tcPr>
            <w:tcW w:w="1300" w:type="dxa"/>
            <w:tcBorders>
              <w:top w:val="nil"/>
              <w:left w:val="nil"/>
              <w:bottom w:val="single" w:sz="4" w:space="0" w:color="auto"/>
              <w:right w:val="single" w:sz="4" w:space="0" w:color="auto"/>
            </w:tcBorders>
            <w:vAlign w:val="center"/>
            <w:hideMark/>
          </w:tcPr>
          <w:p w14:paraId="743DAC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5880181000</w:t>
            </w:r>
          </w:p>
        </w:tc>
        <w:tc>
          <w:tcPr>
            <w:tcW w:w="1012" w:type="dxa"/>
            <w:tcBorders>
              <w:top w:val="nil"/>
              <w:left w:val="nil"/>
              <w:bottom w:val="single" w:sz="4" w:space="0" w:color="auto"/>
              <w:right w:val="single" w:sz="4" w:space="0" w:color="auto"/>
            </w:tcBorders>
            <w:vAlign w:val="center"/>
            <w:hideMark/>
          </w:tcPr>
          <w:p w14:paraId="7CFC94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83246274</w:t>
            </w:r>
          </w:p>
        </w:tc>
        <w:tc>
          <w:tcPr>
            <w:tcW w:w="5953" w:type="dxa"/>
            <w:tcBorders>
              <w:top w:val="nil"/>
              <w:left w:val="nil"/>
              <w:bottom w:val="single" w:sz="4" w:space="0" w:color="auto"/>
              <w:right w:val="single" w:sz="4" w:space="0" w:color="auto"/>
            </w:tcBorders>
            <w:noWrap/>
            <w:vAlign w:val="center"/>
            <w:hideMark/>
          </w:tcPr>
          <w:p w14:paraId="00D61E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HRASTNIK</w:t>
            </w:r>
          </w:p>
        </w:tc>
      </w:tr>
      <w:tr w:rsidR="00F24E18" w14:paraId="57B6A7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D92D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953</w:t>
            </w:r>
          </w:p>
        </w:tc>
        <w:tc>
          <w:tcPr>
            <w:tcW w:w="1300" w:type="dxa"/>
            <w:tcBorders>
              <w:top w:val="nil"/>
              <w:left w:val="nil"/>
              <w:bottom w:val="single" w:sz="4" w:space="0" w:color="auto"/>
              <w:right w:val="single" w:sz="4" w:space="0" w:color="auto"/>
            </w:tcBorders>
            <w:vAlign w:val="center"/>
            <w:hideMark/>
          </w:tcPr>
          <w:p w14:paraId="12BD73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5883032000</w:t>
            </w:r>
          </w:p>
        </w:tc>
        <w:tc>
          <w:tcPr>
            <w:tcW w:w="1012" w:type="dxa"/>
            <w:tcBorders>
              <w:top w:val="nil"/>
              <w:left w:val="nil"/>
              <w:bottom w:val="single" w:sz="4" w:space="0" w:color="auto"/>
              <w:right w:val="single" w:sz="4" w:space="0" w:color="auto"/>
            </w:tcBorders>
            <w:vAlign w:val="center"/>
            <w:hideMark/>
          </w:tcPr>
          <w:p w14:paraId="08F6C7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96355557</w:t>
            </w:r>
          </w:p>
        </w:tc>
        <w:tc>
          <w:tcPr>
            <w:tcW w:w="5953" w:type="dxa"/>
            <w:tcBorders>
              <w:top w:val="nil"/>
              <w:left w:val="nil"/>
              <w:bottom w:val="single" w:sz="4" w:space="0" w:color="auto"/>
              <w:right w:val="single" w:sz="4" w:space="0" w:color="auto"/>
            </w:tcBorders>
            <w:noWrap/>
            <w:vAlign w:val="center"/>
            <w:hideMark/>
          </w:tcPr>
          <w:p w14:paraId="7E3F26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HRPELJE - KOZINA</w:t>
            </w:r>
          </w:p>
        </w:tc>
      </w:tr>
      <w:tr w:rsidR="00F24E18" w14:paraId="766922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3617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954</w:t>
            </w:r>
          </w:p>
        </w:tc>
        <w:tc>
          <w:tcPr>
            <w:tcW w:w="1300" w:type="dxa"/>
            <w:tcBorders>
              <w:top w:val="nil"/>
              <w:left w:val="nil"/>
              <w:bottom w:val="single" w:sz="4" w:space="0" w:color="auto"/>
              <w:right w:val="single" w:sz="4" w:space="0" w:color="auto"/>
            </w:tcBorders>
            <w:vAlign w:val="center"/>
            <w:hideMark/>
          </w:tcPr>
          <w:p w14:paraId="572599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5880068000</w:t>
            </w:r>
          </w:p>
        </w:tc>
        <w:tc>
          <w:tcPr>
            <w:tcW w:w="1012" w:type="dxa"/>
            <w:tcBorders>
              <w:top w:val="nil"/>
              <w:left w:val="nil"/>
              <w:bottom w:val="single" w:sz="4" w:space="0" w:color="auto"/>
              <w:right w:val="single" w:sz="4" w:space="0" w:color="auto"/>
            </w:tcBorders>
            <w:vAlign w:val="center"/>
            <w:hideMark/>
          </w:tcPr>
          <w:p w14:paraId="588690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20497423</w:t>
            </w:r>
          </w:p>
        </w:tc>
        <w:tc>
          <w:tcPr>
            <w:tcW w:w="5953" w:type="dxa"/>
            <w:tcBorders>
              <w:top w:val="nil"/>
              <w:left w:val="nil"/>
              <w:bottom w:val="single" w:sz="4" w:space="0" w:color="auto"/>
              <w:right w:val="single" w:sz="4" w:space="0" w:color="auto"/>
            </w:tcBorders>
            <w:noWrap/>
            <w:vAlign w:val="center"/>
            <w:hideMark/>
          </w:tcPr>
          <w:p w14:paraId="3D6F6B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IDRIJA</w:t>
            </w:r>
          </w:p>
        </w:tc>
      </w:tr>
      <w:tr w:rsidR="00F24E18" w14:paraId="1969AB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6E2A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955</w:t>
            </w:r>
          </w:p>
        </w:tc>
        <w:tc>
          <w:tcPr>
            <w:tcW w:w="1300" w:type="dxa"/>
            <w:tcBorders>
              <w:top w:val="nil"/>
              <w:left w:val="nil"/>
              <w:bottom w:val="single" w:sz="4" w:space="0" w:color="auto"/>
              <w:right w:val="single" w:sz="4" w:space="0" w:color="auto"/>
            </w:tcBorders>
            <w:vAlign w:val="center"/>
            <w:hideMark/>
          </w:tcPr>
          <w:p w14:paraId="2F671E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5874769000</w:t>
            </w:r>
          </w:p>
        </w:tc>
        <w:tc>
          <w:tcPr>
            <w:tcW w:w="1012" w:type="dxa"/>
            <w:tcBorders>
              <w:top w:val="nil"/>
              <w:left w:val="nil"/>
              <w:bottom w:val="single" w:sz="4" w:space="0" w:color="auto"/>
              <w:right w:val="single" w:sz="4" w:space="0" w:color="auto"/>
            </w:tcBorders>
            <w:vAlign w:val="center"/>
            <w:hideMark/>
          </w:tcPr>
          <w:p w14:paraId="21F72E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47731206</w:t>
            </w:r>
          </w:p>
        </w:tc>
        <w:tc>
          <w:tcPr>
            <w:tcW w:w="5953" w:type="dxa"/>
            <w:tcBorders>
              <w:top w:val="nil"/>
              <w:left w:val="nil"/>
              <w:bottom w:val="single" w:sz="4" w:space="0" w:color="auto"/>
              <w:right w:val="single" w:sz="4" w:space="0" w:color="auto"/>
            </w:tcBorders>
            <w:noWrap/>
            <w:vAlign w:val="center"/>
            <w:hideMark/>
          </w:tcPr>
          <w:p w14:paraId="22C5CD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IG</w:t>
            </w:r>
          </w:p>
        </w:tc>
      </w:tr>
      <w:tr w:rsidR="00F24E18" w14:paraId="4A742C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F74E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956</w:t>
            </w:r>
          </w:p>
        </w:tc>
        <w:tc>
          <w:tcPr>
            <w:tcW w:w="1300" w:type="dxa"/>
            <w:tcBorders>
              <w:top w:val="nil"/>
              <w:left w:val="nil"/>
              <w:bottom w:val="single" w:sz="4" w:space="0" w:color="auto"/>
              <w:right w:val="single" w:sz="4" w:space="0" w:color="auto"/>
            </w:tcBorders>
            <w:vAlign w:val="center"/>
            <w:hideMark/>
          </w:tcPr>
          <w:p w14:paraId="7B92B0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5880416000</w:t>
            </w:r>
          </w:p>
        </w:tc>
        <w:tc>
          <w:tcPr>
            <w:tcW w:w="1012" w:type="dxa"/>
            <w:tcBorders>
              <w:top w:val="nil"/>
              <w:left w:val="nil"/>
              <w:bottom w:val="single" w:sz="4" w:space="0" w:color="auto"/>
              <w:right w:val="single" w:sz="4" w:space="0" w:color="auto"/>
            </w:tcBorders>
            <w:vAlign w:val="center"/>
            <w:hideMark/>
          </w:tcPr>
          <w:p w14:paraId="459BFD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19908911</w:t>
            </w:r>
          </w:p>
        </w:tc>
        <w:tc>
          <w:tcPr>
            <w:tcW w:w="5953" w:type="dxa"/>
            <w:tcBorders>
              <w:top w:val="nil"/>
              <w:left w:val="nil"/>
              <w:bottom w:val="single" w:sz="4" w:space="0" w:color="auto"/>
              <w:right w:val="single" w:sz="4" w:space="0" w:color="auto"/>
            </w:tcBorders>
            <w:noWrap/>
            <w:vAlign w:val="center"/>
            <w:hideMark/>
          </w:tcPr>
          <w:p w14:paraId="0C5F98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ILIRSKA BISTRICA</w:t>
            </w:r>
          </w:p>
        </w:tc>
      </w:tr>
      <w:tr w:rsidR="00F24E18" w14:paraId="078F61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CFDB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957</w:t>
            </w:r>
          </w:p>
        </w:tc>
        <w:tc>
          <w:tcPr>
            <w:tcW w:w="1300" w:type="dxa"/>
            <w:tcBorders>
              <w:top w:val="nil"/>
              <w:left w:val="nil"/>
              <w:bottom w:val="single" w:sz="4" w:space="0" w:color="auto"/>
              <w:right w:val="single" w:sz="4" w:space="0" w:color="auto"/>
            </w:tcBorders>
            <w:vAlign w:val="center"/>
            <w:hideMark/>
          </w:tcPr>
          <w:p w14:paraId="72254B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5886244000</w:t>
            </w:r>
          </w:p>
        </w:tc>
        <w:tc>
          <w:tcPr>
            <w:tcW w:w="1012" w:type="dxa"/>
            <w:tcBorders>
              <w:top w:val="nil"/>
              <w:left w:val="nil"/>
              <w:bottom w:val="single" w:sz="4" w:space="0" w:color="auto"/>
              <w:right w:val="single" w:sz="4" w:space="0" w:color="auto"/>
            </w:tcBorders>
            <w:vAlign w:val="center"/>
            <w:hideMark/>
          </w:tcPr>
          <w:p w14:paraId="1BE11E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44105487</w:t>
            </w:r>
          </w:p>
        </w:tc>
        <w:tc>
          <w:tcPr>
            <w:tcW w:w="5953" w:type="dxa"/>
            <w:tcBorders>
              <w:top w:val="nil"/>
              <w:left w:val="nil"/>
              <w:bottom w:val="single" w:sz="4" w:space="0" w:color="auto"/>
              <w:right w:val="single" w:sz="4" w:space="0" w:color="auto"/>
            </w:tcBorders>
            <w:noWrap/>
            <w:vAlign w:val="center"/>
            <w:hideMark/>
          </w:tcPr>
          <w:p w14:paraId="265AE1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IVANČNA GORICA</w:t>
            </w:r>
          </w:p>
        </w:tc>
      </w:tr>
      <w:tr w:rsidR="00F24E18" w14:paraId="2AFB54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8A9E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958</w:t>
            </w:r>
          </w:p>
        </w:tc>
        <w:tc>
          <w:tcPr>
            <w:tcW w:w="1300" w:type="dxa"/>
            <w:tcBorders>
              <w:top w:val="nil"/>
              <w:left w:val="nil"/>
              <w:bottom w:val="single" w:sz="4" w:space="0" w:color="auto"/>
              <w:right w:val="single" w:sz="4" w:space="0" w:color="auto"/>
            </w:tcBorders>
            <w:vAlign w:val="center"/>
            <w:hideMark/>
          </w:tcPr>
          <w:p w14:paraId="3AE664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5874190000</w:t>
            </w:r>
          </w:p>
        </w:tc>
        <w:tc>
          <w:tcPr>
            <w:tcW w:w="1012" w:type="dxa"/>
            <w:tcBorders>
              <w:top w:val="nil"/>
              <w:left w:val="nil"/>
              <w:bottom w:val="single" w:sz="4" w:space="0" w:color="auto"/>
              <w:right w:val="single" w:sz="4" w:space="0" w:color="auto"/>
            </w:tcBorders>
            <w:vAlign w:val="center"/>
            <w:hideMark/>
          </w:tcPr>
          <w:p w14:paraId="339E0B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16510801</w:t>
            </w:r>
          </w:p>
        </w:tc>
        <w:tc>
          <w:tcPr>
            <w:tcW w:w="5953" w:type="dxa"/>
            <w:tcBorders>
              <w:top w:val="nil"/>
              <w:left w:val="nil"/>
              <w:bottom w:val="single" w:sz="4" w:space="0" w:color="auto"/>
              <w:right w:val="single" w:sz="4" w:space="0" w:color="auto"/>
            </w:tcBorders>
            <w:noWrap/>
            <w:vAlign w:val="center"/>
            <w:hideMark/>
          </w:tcPr>
          <w:p w14:paraId="512C49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IZOLA</w:t>
            </w:r>
          </w:p>
        </w:tc>
      </w:tr>
      <w:tr w:rsidR="00F24E18" w14:paraId="295FB73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F34D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959</w:t>
            </w:r>
          </w:p>
        </w:tc>
        <w:tc>
          <w:tcPr>
            <w:tcW w:w="1300" w:type="dxa"/>
            <w:tcBorders>
              <w:top w:val="nil"/>
              <w:left w:val="nil"/>
              <w:bottom w:val="single" w:sz="4" w:space="0" w:color="auto"/>
              <w:right w:val="single" w:sz="4" w:space="0" w:color="auto"/>
            </w:tcBorders>
            <w:vAlign w:val="center"/>
            <w:hideMark/>
          </w:tcPr>
          <w:p w14:paraId="3EE91A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5874335000</w:t>
            </w:r>
          </w:p>
        </w:tc>
        <w:tc>
          <w:tcPr>
            <w:tcW w:w="1012" w:type="dxa"/>
            <w:tcBorders>
              <w:top w:val="nil"/>
              <w:left w:val="nil"/>
              <w:bottom w:val="single" w:sz="4" w:space="0" w:color="auto"/>
              <w:right w:val="single" w:sz="4" w:space="0" w:color="auto"/>
            </w:tcBorders>
            <w:vAlign w:val="center"/>
            <w:hideMark/>
          </w:tcPr>
          <w:p w14:paraId="0F9C1C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39795888</w:t>
            </w:r>
          </w:p>
        </w:tc>
        <w:tc>
          <w:tcPr>
            <w:tcW w:w="5953" w:type="dxa"/>
            <w:tcBorders>
              <w:top w:val="nil"/>
              <w:left w:val="nil"/>
              <w:bottom w:val="single" w:sz="4" w:space="0" w:color="auto"/>
              <w:right w:val="single" w:sz="4" w:space="0" w:color="auto"/>
            </w:tcBorders>
            <w:noWrap/>
            <w:vAlign w:val="center"/>
            <w:hideMark/>
          </w:tcPr>
          <w:p w14:paraId="72F7D9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JESENICE</w:t>
            </w:r>
          </w:p>
        </w:tc>
      </w:tr>
      <w:tr w:rsidR="00F24E18" w14:paraId="33B869E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0406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960</w:t>
            </w:r>
          </w:p>
        </w:tc>
        <w:tc>
          <w:tcPr>
            <w:tcW w:w="1300" w:type="dxa"/>
            <w:tcBorders>
              <w:top w:val="nil"/>
              <w:left w:val="nil"/>
              <w:bottom w:val="single" w:sz="4" w:space="0" w:color="auto"/>
              <w:right w:val="single" w:sz="4" w:space="0" w:color="auto"/>
            </w:tcBorders>
            <w:vAlign w:val="center"/>
            <w:hideMark/>
          </w:tcPr>
          <w:p w14:paraId="2D70C6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1332112000</w:t>
            </w:r>
          </w:p>
        </w:tc>
        <w:tc>
          <w:tcPr>
            <w:tcW w:w="1012" w:type="dxa"/>
            <w:tcBorders>
              <w:top w:val="nil"/>
              <w:left w:val="nil"/>
              <w:bottom w:val="single" w:sz="4" w:space="0" w:color="auto"/>
              <w:right w:val="single" w:sz="4" w:space="0" w:color="auto"/>
            </w:tcBorders>
            <w:vAlign w:val="center"/>
            <w:hideMark/>
          </w:tcPr>
          <w:p w14:paraId="5A7EE2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84980923</w:t>
            </w:r>
          </w:p>
        </w:tc>
        <w:tc>
          <w:tcPr>
            <w:tcW w:w="5953" w:type="dxa"/>
            <w:tcBorders>
              <w:top w:val="nil"/>
              <w:left w:val="nil"/>
              <w:bottom w:val="single" w:sz="4" w:space="0" w:color="auto"/>
              <w:right w:val="single" w:sz="4" w:space="0" w:color="auto"/>
            </w:tcBorders>
            <w:noWrap/>
            <w:vAlign w:val="center"/>
            <w:hideMark/>
          </w:tcPr>
          <w:p w14:paraId="50D26D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JEZERSKO</w:t>
            </w:r>
          </w:p>
        </w:tc>
      </w:tr>
      <w:tr w:rsidR="00F24E18" w14:paraId="4756496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C3CC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961</w:t>
            </w:r>
          </w:p>
        </w:tc>
        <w:tc>
          <w:tcPr>
            <w:tcW w:w="1300" w:type="dxa"/>
            <w:tcBorders>
              <w:top w:val="nil"/>
              <w:left w:val="nil"/>
              <w:bottom w:val="single" w:sz="4" w:space="0" w:color="auto"/>
              <w:right w:val="single" w:sz="4" w:space="0" w:color="auto"/>
            </w:tcBorders>
            <w:vAlign w:val="center"/>
            <w:hideMark/>
          </w:tcPr>
          <w:p w14:paraId="2699DC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5883750000</w:t>
            </w:r>
          </w:p>
        </w:tc>
        <w:tc>
          <w:tcPr>
            <w:tcW w:w="1012" w:type="dxa"/>
            <w:tcBorders>
              <w:top w:val="nil"/>
              <w:left w:val="nil"/>
              <w:bottom w:val="single" w:sz="4" w:space="0" w:color="auto"/>
              <w:right w:val="single" w:sz="4" w:space="0" w:color="auto"/>
            </w:tcBorders>
            <w:vAlign w:val="center"/>
            <w:hideMark/>
          </w:tcPr>
          <w:p w14:paraId="77BFD2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11578491</w:t>
            </w:r>
          </w:p>
        </w:tc>
        <w:tc>
          <w:tcPr>
            <w:tcW w:w="5953" w:type="dxa"/>
            <w:tcBorders>
              <w:top w:val="nil"/>
              <w:left w:val="nil"/>
              <w:bottom w:val="single" w:sz="4" w:space="0" w:color="auto"/>
              <w:right w:val="single" w:sz="4" w:space="0" w:color="auto"/>
            </w:tcBorders>
            <w:noWrap/>
            <w:vAlign w:val="center"/>
            <w:hideMark/>
          </w:tcPr>
          <w:p w14:paraId="150A4D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JURŠINCI</w:t>
            </w:r>
          </w:p>
        </w:tc>
      </w:tr>
      <w:tr w:rsidR="00F24E18" w14:paraId="4003E80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4B79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962</w:t>
            </w:r>
          </w:p>
        </w:tc>
        <w:tc>
          <w:tcPr>
            <w:tcW w:w="1300" w:type="dxa"/>
            <w:tcBorders>
              <w:top w:val="nil"/>
              <w:left w:val="nil"/>
              <w:bottom w:val="single" w:sz="4" w:space="0" w:color="auto"/>
              <w:right w:val="single" w:sz="4" w:space="0" w:color="auto"/>
            </w:tcBorders>
            <w:vAlign w:val="center"/>
            <w:hideMark/>
          </w:tcPr>
          <w:p w14:paraId="6E7A04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5874483000</w:t>
            </w:r>
          </w:p>
        </w:tc>
        <w:tc>
          <w:tcPr>
            <w:tcW w:w="1012" w:type="dxa"/>
            <w:tcBorders>
              <w:top w:val="nil"/>
              <w:left w:val="nil"/>
              <w:bottom w:val="single" w:sz="4" w:space="0" w:color="auto"/>
              <w:right w:val="single" w:sz="4" w:space="0" w:color="auto"/>
            </w:tcBorders>
            <w:vAlign w:val="center"/>
            <w:hideMark/>
          </w:tcPr>
          <w:p w14:paraId="5A078D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28232801</w:t>
            </w:r>
          </w:p>
        </w:tc>
        <w:tc>
          <w:tcPr>
            <w:tcW w:w="5953" w:type="dxa"/>
            <w:tcBorders>
              <w:top w:val="nil"/>
              <w:left w:val="nil"/>
              <w:bottom w:val="single" w:sz="4" w:space="0" w:color="auto"/>
              <w:right w:val="single" w:sz="4" w:space="0" w:color="auto"/>
            </w:tcBorders>
            <w:noWrap/>
            <w:vAlign w:val="center"/>
            <w:hideMark/>
          </w:tcPr>
          <w:p w14:paraId="6EBC11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KAMNIK</w:t>
            </w:r>
          </w:p>
        </w:tc>
      </w:tr>
      <w:tr w:rsidR="00F24E18" w14:paraId="34693EC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E80B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963</w:t>
            </w:r>
          </w:p>
        </w:tc>
        <w:tc>
          <w:tcPr>
            <w:tcW w:w="1300" w:type="dxa"/>
            <w:tcBorders>
              <w:top w:val="nil"/>
              <w:left w:val="nil"/>
              <w:bottom w:val="single" w:sz="4" w:space="0" w:color="auto"/>
              <w:right w:val="single" w:sz="4" w:space="0" w:color="auto"/>
            </w:tcBorders>
            <w:vAlign w:val="center"/>
            <w:hideMark/>
          </w:tcPr>
          <w:p w14:paraId="11142D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5881820000</w:t>
            </w:r>
          </w:p>
        </w:tc>
        <w:tc>
          <w:tcPr>
            <w:tcW w:w="1012" w:type="dxa"/>
            <w:tcBorders>
              <w:top w:val="nil"/>
              <w:left w:val="nil"/>
              <w:bottom w:val="single" w:sz="4" w:space="0" w:color="auto"/>
              <w:right w:val="single" w:sz="4" w:space="0" w:color="auto"/>
            </w:tcBorders>
            <w:vAlign w:val="center"/>
            <w:hideMark/>
          </w:tcPr>
          <w:p w14:paraId="4E116A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88524671</w:t>
            </w:r>
          </w:p>
        </w:tc>
        <w:tc>
          <w:tcPr>
            <w:tcW w:w="5953" w:type="dxa"/>
            <w:tcBorders>
              <w:top w:val="nil"/>
              <w:left w:val="nil"/>
              <w:bottom w:val="single" w:sz="4" w:space="0" w:color="auto"/>
              <w:right w:val="single" w:sz="4" w:space="0" w:color="auto"/>
            </w:tcBorders>
            <w:noWrap/>
            <w:vAlign w:val="center"/>
            <w:hideMark/>
          </w:tcPr>
          <w:p w14:paraId="0D23E0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KANAL OB SOČI</w:t>
            </w:r>
          </w:p>
        </w:tc>
      </w:tr>
      <w:tr w:rsidR="00F24E18" w14:paraId="780C2F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9A71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964</w:t>
            </w:r>
          </w:p>
        </w:tc>
        <w:tc>
          <w:tcPr>
            <w:tcW w:w="1300" w:type="dxa"/>
            <w:tcBorders>
              <w:top w:val="nil"/>
              <w:left w:val="nil"/>
              <w:bottom w:val="single" w:sz="4" w:space="0" w:color="auto"/>
              <w:right w:val="single" w:sz="4" w:space="0" w:color="auto"/>
            </w:tcBorders>
            <w:vAlign w:val="center"/>
            <w:hideMark/>
          </w:tcPr>
          <w:p w14:paraId="73F387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5883709000</w:t>
            </w:r>
          </w:p>
        </w:tc>
        <w:tc>
          <w:tcPr>
            <w:tcW w:w="1012" w:type="dxa"/>
            <w:tcBorders>
              <w:top w:val="nil"/>
              <w:left w:val="nil"/>
              <w:bottom w:val="single" w:sz="4" w:space="0" w:color="auto"/>
              <w:right w:val="single" w:sz="4" w:space="0" w:color="auto"/>
            </w:tcBorders>
            <w:vAlign w:val="center"/>
            <w:hideMark/>
          </w:tcPr>
          <w:p w14:paraId="6098E1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93796471</w:t>
            </w:r>
          </w:p>
        </w:tc>
        <w:tc>
          <w:tcPr>
            <w:tcW w:w="5953" w:type="dxa"/>
            <w:tcBorders>
              <w:top w:val="nil"/>
              <w:left w:val="nil"/>
              <w:bottom w:val="single" w:sz="4" w:space="0" w:color="auto"/>
              <w:right w:val="single" w:sz="4" w:space="0" w:color="auto"/>
            </w:tcBorders>
            <w:noWrap/>
            <w:vAlign w:val="center"/>
            <w:hideMark/>
          </w:tcPr>
          <w:p w14:paraId="641440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KIDRIČEVO</w:t>
            </w:r>
          </w:p>
        </w:tc>
      </w:tr>
      <w:tr w:rsidR="00F24E18" w14:paraId="54AB8B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87F6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965</w:t>
            </w:r>
          </w:p>
        </w:tc>
        <w:tc>
          <w:tcPr>
            <w:tcW w:w="1300" w:type="dxa"/>
            <w:tcBorders>
              <w:top w:val="nil"/>
              <w:left w:val="nil"/>
              <w:bottom w:val="single" w:sz="4" w:space="0" w:color="auto"/>
              <w:right w:val="single" w:sz="4" w:space="0" w:color="auto"/>
            </w:tcBorders>
            <w:vAlign w:val="center"/>
            <w:hideMark/>
          </w:tcPr>
          <w:p w14:paraId="290B6F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5881463000</w:t>
            </w:r>
          </w:p>
        </w:tc>
        <w:tc>
          <w:tcPr>
            <w:tcW w:w="1012" w:type="dxa"/>
            <w:tcBorders>
              <w:top w:val="nil"/>
              <w:left w:val="nil"/>
              <w:bottom w:val="single" w:sz="4" w:space="0" w:color="auto"/>
              <w:right w:val="single" w:sz="4" w:space="0" w:color="auto"/>
            </w:tcBorders>
            <w:vAlign w:val="center"/>
            <w:hideMark/>
          </w:tcPr>
          <w:p w14:paraId="36D26B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89371925</w:t>
            </w:r>
          </w:p>
        </w:tc>
        <w:tc>
          <w:tcPr>
            <w:tcW w:w="5953" w:type="dxa"/>
            <w:tcBorders>
              <w:top w:val="nil"/>
              <w:left w:val="nil"/>
              <w:bottom w:val="single" w:sz="4" w:space="0" w:color="auto"/>
              <w:right w:val="single" w:sz="4" w:space="0" w:color="auto"/>
            </w:tcBorders>
            <w:noWrap/>
            <w:vAlign w:val="center"/>
            <w:hideMark/>
          </w:tcPr>
          <w:p w14:paraId="4164D7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KOBARID</w:t>
            </w:r>
          </w:p>
        </w:tc>
      </w:tr>
      <w:tr w:rsidR="00F24E18" w14:paraId="15E753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17B8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966</w:t>
            </w:r>
          </w:p>
        </w:tc>
        <w:tc>
          <w:tcPr>
            <w:tcW w:w="1300" w:type="dxa"/>
            <w:tcBorders>
              <w:top w:val="nil"/>
              <w:left w:val="nil"/>
              <w:bottom w:val="single" w:sz="4" w:space="0" w:color="auto"/>
              <w:right w:val="single" w:sz="4" w:space="0" w:color="auto"/>
            </w:tcBorders>
            <w:vAlign w:val="center"/>
            <w:hideMark/>
          </w:tcPr>
          <w:p w14:paraId="2D00EA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5874734000</w:t>
            </w:r>
          </w:p>
        </w:tc>
        <w:tc>
          <w:tcPr>
            <w:tcW w:w="1012" w:type="dxa"/>
            <w:tcBorders>
              <w:top w:val="nil"/>
              <w:left w:val="nil"/>
              <w:bottom w:val="single" w:sz="4" w:space="0" w:color="auto"/>
              <w:right w:val="single" w:sz="4" w:space="0" w:color="auto"/>
            </w:tcBorders>
            <w:vAlign w:val="center"/>
            <w:hideMark/>
          </w:tcPr>
          <w:p w14:paraId="173479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47774720</w:t>
            </w:r>
          </w:p>
        </w:tc>
        <w:tc>
          <w:tcPr>
            <w:tcW w:w="5953" w:type="dxa"/>
            <w:tcBorders>
              <w:top w:val="nil"/>
              <w:left w:val="nil"/>
              <w:bottom w:val="single" w:sz="4" w:space="0" w:color="auto"/>
              <w:right w:val="single" w:sz="4" w:space="0" w:color="auto"/>
            </w:tcBorders>
            <w:noWrap/>
            <w:vAlign w:val="center"/>
            <w:hideMark/>
          </w:tcPr>
          <w:p w14:paraId="532D8F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KOBILJE</w:t>
            </w:r>
          </w:p>
        </w:tc>
      </w:tr>
      <w:tr w:rsidR="00F24E18" w14:paraId="1446511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6832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967</w:t>
            </w:r>
          </w:p>
        </w:tc>
        <w:tc>
          <w:tcPr>
            <w:tcW w:w="1300" w:type="dxa"/>
            <w:tcBorders>
              <w:top w:val="nil"/>
              <w:left w:val="nil"/>
              <w:bottom w:val="single" w:sz="4" w:space="0" w:color="auto"/>
              <w:right w:val="single" w:sz="4" w:space="0" w:color="auto"/>
            </w:tcBorders>
            <w:vAlign w:val="center"/>
            <w:hideMark/>
          </w:tcPr>
          <w:p w14:paraId="467813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5874238000</w:t>
            </w:r>
          </w:p>
        </w:tc>
        <w:tc>
          <w:tcPr>
            <w:tcW w:w="1012" w:type="dxa"/>
            <w:tcBorders>
              <w:top w:val="nil"/>
              <w:left w:val="nil"/>
              <w:bottom w:val="single" w:sz="4" w:space="0" w:color="auto"/>
              <w:right w:val="single" w:sz="4" w:space="0" w:color="auto"/>
            </w:tcBorders>
            <w:vAlign w:val="center"/>
            <w:hideMark/>
          </w:tcPr>
          <w:p w14:paraId="0787A9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20945892</w:t>
            </w:r>
          </w:p>
        </w:tc>
        <w:tc>
          <w:tcPr>
            <w:tcW w:w="5953" w:type="dxa"/>
            <w:tcBorders>
              <w:top w:val="nil"/>
              <w:left w:val="nil"/>
              <w:bottom w:val="single" w:sz="4" w:space="0" w:color="auto"/>
              <w:right w:val="single" w:sz="4" w:space="0" w:color="auto"/>
            </w:tcBorders>
            <w:noWrap/>
            <w:vAlign w:val="center"/>
            <w:hideMark/>
          </w:tcPr>
          <w:p w14:paraId="7A7FCF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KOČEVJE</w:t>
            </w:r>
          </w:p>
        </w:tc>
      </w:tr>
      <w:tr w:rsidR="00F24E18" w14:paraId="2E48BF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A178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968</w:t>
            </w:r>
          </w:p>
        </w:tc>
        <w:tc>
          <w:tcPr>
            <w:tcW w:w="1300" w:type="dxa"/>
            <w:tcBorders>
              <w:top w:val="nil"/>
              <w:left w:val="nil"/>
              <w:bottom w:val="single" w:sz="4" w:space="0" w:color="auto"/>
              <w:right w:val="single" w:sz="4" w:space="0" w:color="auto"/>
            </w:tcBorders>
            <w:vAlign w:val="center"/>
            <w:hideMark/>
          </w:tcPr>
          <w:p w14:paraId="1596F4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5883091000</w:t>
            </w:r>
          </w:p>
        </w:tc>
        <w:tc>
          <w:tcPr>
            <w:tcW w:w="1012" w:type="dxa"/>
            <w:tcBorders>
              <w:top w:val="nil"/>
              <w:left w:val="nil"/>
              <w:bottom w:val="single" w:sz="4" w:space="0" w:color="auto"/>
              <w:right w:val="single" w:sz="4" w:space="0" w:color="auto"/>
            </w:tcBorders>
            <w:vAlign w:val="center"/>
            <w:hideMark/>
          </w:tcPr>
          <w:p w14:paraId="5B317D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98324390</w:t>
            </w:r>
          </w:p>
        </w:tc>
        <w:tc>
          <w:tcPr>
            <w:tcW w:w="5953" w:type="dxa"/>
            <w:tcBorders>
              <w:top w:val="nil"/>
              <w:left w:val="nil"/>
              <w:bottom w:val="single" w:sz="4" w:space="0" w:color="auto"/>
              <w:right w:val="single" w:sz="4" w:space="0" w:color="auto"/>
            </w:tcBorders>
            <w:noWrap/>
            <w:vAlign w:val="center"/>
            <w:hideMark/>
          </w:tcPr>
          <w:p w14:paraId="14AC3A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KOMEN</w:t>
            </w:r>
          </w:p>
        </w:tc>
      </w:tr>
      <w:tr w:rsidR="00F24E18" w14:paraId="41DF57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EF51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969</w:t>
            </w:r>
          </w:p>
        </w:tc>
        <w:tc>
          <w:tcPr>
            <w:tcW w:w="1300" w:type="dxa"/>
            <w:tcBorders>
              <w:top w:val="nil"/>
              <w:left w:val="nil"/>
              <w:bottom w:val="single" w:sz="4" w:space="0" w:color="auto"/>
              <w:right w:val="single" w:sz="4" w:space="0" w:color="auto"/>
            </w:tcBorders>
            <w:vAlign w:val="center"/>
            <w:hideMark/>
          </w:tcPr>
          <w:p w14:paraId="730838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1332155000</w:t>
            </w:r>
          </w:p>
        </w:tc>
        <w:tc>
          <w:tcPr>
            <w:tcW w:w="1012" w:type="dxa"/>
            <w:tcBorders>
              <w:top w:val="nil"/>
              <w:left w:val="nil"/>
              <w:bottom w:val="single" w:sz="4" w:space="0" w:color="auto"/>
              <w:right w:val="single" w:sz="4" w:space="0" w:color="auto"/>
            </w:tcBorders>
            <w:vAlign w:val="center"/>
            <w:hideMark/>
          </w:tcPr>
          <w:p w14:paraId="1D732E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22332570</w:t>
            </w:r>
          </w:p>
        </w:tc>
        <w:tc>
          <w:tcPr>
            <w:tcW w:w="5953" w:type="dxa"/>
            <w:tcBorders>
              <w:top w:val="nil"/>
              <w:left w:val="nil"/>
              <w:bottom w:val="single" w:sz="4" w:space="0" w:color="auto"/>
              <w:right w:val="single" w:sz="4" w:space="0" w:color="auto"/>
            </w:tcBorders>
            <w:noWrap/>
            <w:vAlign w:val="center"/>
            <w:hideMark/>
          </w:tcPr>
          <w:p w14:paraId="66DCDB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KOMENDA</w:t>
            </w:r>
          </w:p>
        </w:tc>
      </w:tr>
      <w:tr w:rsidR="00F24E18" w14:paraId="7323962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2651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970</w:t>
            </w:r>
          </w:p>
        </w:tc>
        <w:tc>
          <w:tcPr>
            <w:tcW w:w="1300" w:type="dxa"/>
            <w:tcBorders>
              <w:top w:val="nil"/>
              <w:left w:val="nil"/>
              <w:bottom w:val="single" w:sz="4" w:space="0" w:color="auto"/>
              <w:right w:val="single" w:sz="4" w:space="0" w:color="auto"/>
            </w:tcBorders>
            <w:vAlign w:val="center"/>
            <w:hideMark/>
          </w:tcPr>
          <w:p w14:paraId="48FFBB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2179903000</w:t>
            </w:r>
          </w:p>
        </w:tc>
        <w:tc>
          <w:tcPr>
            <w:tcW w:w="1012" w:type="dxa"/>
            <w:tcBorders>
              <w:top w:val="nil"/>
              <w:left w:val="nil"/>
              <w:bottom w:val="single" w:sz="4" w:space="0" w:color="auto"/>
              <w:right w:val="single" w:sz="4" w:space="0" w:color="auto"/>
            </w:tcBorders>
            <w:vAlign w:val="center"/>
            <w:hideMark/>
          </w:tcPr>
          <w:p w14:paraId="15C754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71838449</w:t>
            </w:r>
          </w:p>
        </w:tc>
        <w:tc>
          <w:tcPr>
            <w:tcW w:w="5953" w:type="dxa"/>
            <w:tcBorders>
              <w:top w:val="nil"/>
              <w:left w:val="nil"/>
              <w:bottom w:val="single" w:sz="4" w:space="0" w:color="auto"/>
              <w:right w:val="single" w:sz="4" w:space="0" w:color="auto"/>
            </w:tcBorders>
            <w:noWrap/>
            <w:vAlign w:val="center"/>
            <w:hideMark/>
          </w:tcPr>
          <w:p w14:paraId="1B06E8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KOSTANJEVICA NA KRKI</w:t>
            </w:r>
          </w:p>
        </w:tc>
      </w:tr>
      <w:tr w:rsidR="00F24E18" w14:paraId="5015BA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445B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971</w:t>
            </w:r>
          </w:p>
        </w:tc>
        <w:tc>
          <w:tcPr>
            <w:tcW w:w="1300" w:type="dxa"/>
            <w:tcBorders>
              <w:top w:val="nil"/>
              <w:left w:val="nil"/>
              <w:bottom w:val="single" w:sz="4" w:space="0" w:color="auto"/>
              <w:right w:val="single" w:sz="4" w:space="0" w:color="auto"/>
            </w:tcBorders>
            <w:vAlign w:val="center"/>
            <w:hideMark/>
          </w:tcPr>
          <w:p w14:paraId="546D23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1332210000</w:t>
            </w:r>
          </w:p>
        </w:tc>
        <w:tc>
          <w:tcPr>
            <w:tcW w:w="1012" w:type="dxa"/>
            <w:tcBorders>
              <w:top w:val="nil"/>
              <w:left w:val="nil"/>
              <w:bottom w:val="single" w:sz="4" w:space="0" w:color="auto"/>
              <w:right w:val="single" w:sz="4" w:space="0" w:color="auto"/>
            </w:tcBorders>
            <w:vAlign w:val="center"/>
            <w:hideMark/>
          </w:tcPr>
          <w:p w14:paraId="7A0263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17807328</w:t>
            </w:r>
          </w:p>
        </w:tc>
        <w:tc>
          <w:tcPr>
            <w:tcW w:w="5953" w:type="dxa"/>
            <w:tcBorders>
              <w:top w:val="nil"/>
              <w:left w:val="nil"/>
              <w:bottom w:val="single" w:sz="4" w:space="0" w:color="auto"/>
              <w:right w:val="single" w:sz="4" w:space="0" w:color="auto"/>
            </w:tcBorders>
            <w:noWrap/>
            <w:vAlign w:val="center"/>
            <w:hideMark/>
          </w:tcPr>
          <w:p w14:paraId="48AA80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KOSTEL</w:t>
            </w:r>
          </w:p>
        </w:tc>
      </w:tr>
      <w:tr w:rsidR="00F24E18" w14:paraId="339580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998B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972</w:t>
            </w:r>
          </w:p>
        </w:tc>
        <w:tc>
          <w:tcPr>
            <w:tcW w:w="1300" w:type="dxa"/>
            <w:tcBorders>
              <w:top w:val="nil"/>
              <w:left w:val="nil"/>
              <w:bottom w:val="single" w:sz="4" w:space="0" w:color="auto"/>
              <w:right w:val="single" w:sz="4" w:space="0" w:color="auto"/>
            </w:tcBorders>
            <w:vAlign w:val="center"/>
            <w:hideMark/>
          </w:tcPr>
          <w:p w14:paraId="5992DB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5884004000</w:t>
            </w:r>
          </w:p>
        </w:tc>
        <w:tc>
          <w:tcPr>
            <w:tcW w:w="1012" w:type="dxa"/>
            <w:tcBorders>
              <w:top w:val="nil"/>
              <w:left w:val="nil"/>
              <w:bottom w:val="single" w:sz="4" w:space="0" w:color="auto"/>
              <w:right w:val="single" w:sz="4" w:space="0" w:color="auto"/>
            </w:tcBorders>
            <w:vAlign w:val="center"/>
            <w:hideMark/>
          </w:tcPr>
          <w:p w14:paraId="71F9CC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17124379</w:t>
            </w:r>
          </w:p>
        </w:tc>
        <w:tc>
          <w:tcPr>
            <w:tcW w:w="5953" w:type="dxa"/>
            <w:tcBorders>
              <w:top w:val="nil"/>
              <w:left w:val="nil"/>
              <w:bottom w:val="single" w:sz="4" w:space="0" w:color="auto"/>
              <w:right w:val="single" w:sz="4" w:space="0" w:color="auto"/>
            </w:tcBorders>
            <w:noWrap/>
            <w:vAlign w:val="center"/>
            <w:hideMark/>
          </w:tcPr>
          <w:p w14:paraId="17264E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KOZJE</w:t>
            </w:r>
          </w:p>
        </w:tc>
      </w:tr>
      <w:tr w:rsidR="00F24E18" w14:paraId="6797514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7F4E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973</w:t>
            </w:r>
          </w:p>
        </w:tc>
        <w:tc>
          <w:tcPr>
            <w:tcW w:w="1300" w:type="dxa"/>
            <w:tcBorders>
              <w:top w:val="nil"/>
              <w:left w:val="nil"/>
              <w:bottom w:val="single" w:sz="4" w:space="0" w:color="auto"/>
              <w:right w:val="single" w:sz="4" w:space="0" w:color="auto"/>
            </w:tcBorders>
            <w:vAlign w:val="center"/>
            <w:hideMark/>
          </w:tcPr>
          <w:p w14:paraId="73EBA9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5874327000</w:t>
            </w:r>
          </w:p>
        </w:tc>
        <w:tc>
          <w:tcPr>
            <w:tcW w:w="1012" w:type="dxa"/>
            <w:tcBorders>
              <w:top w:val="nil"/>
              <w:left w:val="nil"/>
              <w:bottom w:val="single" w:sz="4" w:space="0" w:color="auto"/>
              <w:right w:val="single" w:sz="4" w:space="0" w:color="auto"/>
            </w:tcBorders>
            <w:vAlign w:val="center"/>
            <w:hideMark/>
          </w:tcPr>
          <w:p w14:paraId="32DD0D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81758006</w:t>
            </w:r>
          </w:p>
        </w:tc>
        <w:tc>
          <w:tcPr>
            <w:tcW w:w="5953" w:type="dxa"/>
            <w:tcBorders>
              <w:top w:val="nil"/>
              <w:left w:val="nil"/>
              <w:bottom w:val="single" w:sz="4" w:space="0" w:color="auto"/>
              <w:right w:val="single" w:sz="4" w:space="0" w:color="auto"/>
            </w:tcBorders>
            <w:noWrap/>
            <w:vAlign w:val="center"/>
            <w:hideMark/>
          </w:tcPr>
          <w:p w14:paraId="656B7C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KRANJSKA GORA</w:t>
            </w:r>
          </w:p>
        </w:tc>
      </w:tr>
      <w:tr w:rsidR="00F24E18" w14:paraId="25BA07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15A8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974</w:t>
            </w:r>
          </w:p>
        </w:tc>
        <w:tc>
          <w:tcPr>
            <w:tcW w:w="1300" w:type="dxa"/>
            <w:tcBorders>
              <w:top w:val="nil"/>
              <w:left w:val="nil"/>
              <w:bottom w:val="single" w:sz="4" w:space="0" w:color="auto"/>
              <w:right w:val="single" w:sz="4" w:space="0" w:color="auto"/>
            </w:tcBorders>
            <w:vAlign w:val="center"/>
            <w:hideMark/>
          </w:tcPr>
          <w:p w14:paraId="60EFCC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1332147000</w:t>
            </w:r>
          </w:p>
        </w:tc>
        <w:tc>
          <w:tcPr>
            <w:tcW w:w="1012" w:type="dxa"/>
            <w:tcBorders>
              <w:top w:val="nil"/>
              <w:left w:val="nil"/>
              <w:bottom w:val="single" w:sz="4" w:space="0" w:color="auto"/>
              <w:right w:val="single" w:sz="4" w:space="0" w:color="auto"/>
            </w:tcBorders>
            <w:vAlign w:val="center"/>
            <w:hideMark/>
          </w:tcPr>
          <w:p w14:paraId="6A888C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84582057</w:t>
            </w:r>
          </w:p>
        </w:tc>
        <w:tc>
          <w:tcPr>
            <w:tcW w:w="5953" w:type="dxa"/>
            <w:tcBorders>
              <w:top w:val="nil"/>
              <w:left w:val="nil"/>
              <w:bottom w:val="single" w:sz="4" w:space="0" w:color="auto"/>
              <w:right w:val="single" w:sz="4" w:space="0" w:color="auto"/>
            </w:tcBorders>
            <w:noWrap/>
            <w:vAlign w:val="center"/>
            <w:hideMark/>
          </w:tcPr>
          <w:p w14:paraId="13830D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KRIŽEVCI</w:t>
            </w:r>
          </w:p>
        </w:tc>
      </w:tr>
      <w:tr w:rsidR="00F24E18" w14:paraId="2698048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BEA1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975</w:t>
            </w:r>
          </w:p>
        </w:tc>
        <w:tc>
          <w:tcPr>
            <w:tcW w:w="1300" w:type="dxa"/>
            <w:tcBorders>
              <w:top w:val="nil"/>
              <w:left w:val="nil"/>
              <w:bottom w:val="single" w:sz="4" w:space="0" w:color="auto"/>
              <w:right w:val="single" w:sz="4" w:space="0" w:color="auto"/>
            </w:tcBorders>
            <w:vAlign w:val="center"/>
            <w:hideMark/>
          </w:tcPr>
          <w:p w14:paraId="684689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5884144000</w:t>
            </w:r>
          </w:p>
        </w:tc>
        <w:tc>
          <w:tcPr>
            <w:tcW w:w="1012" w:type="dxa"/>
            <w:tcBorders>
              <w:top w:val="nil"/>
              <w:left w:val="nil"/>
              <w:bottom w:val="single" w:sz="4" w:space="0" w:color="auto"/>
              <w:right w:val="single" w:sz="4" w:space="0" w:color="auto"/>
            </w:tcBorders>
            <w:vAlign w:val="center"/>
            <w:hideMark/>
          </w:tcPr>
          <w:p w14:paraId="7522A4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63326833</w:t>
            </w:r>
          </w:p>
        </w:tc>
        <w:tc>
          <w:tcPr>
            <w:tcW w:w="5953" w:type="dxa"/>
            <w:tcBorders>
              <w:top w:val="nil"/>
              <w:left w:val="nil"/>
              <w:bottom w:val="single" w:sz="4" w:space="0" w:color="auto"/>
              <w:right w:val="single" w:sz="4" w:space="0" w:color="auto"/>
            </w:tcBorders>
            <w:noWrap/>
            <w:vAlign w:val="center"/>
            <w:hideMark/>
          </w:tcPr>
          <w:p w14:paraId="4D112A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KUNGOTA</w:t>
            </w:r>
          </w:p>
        </w:tc>
      </w:tr>
      <w:tr w:rsidR="00F24E18" w14:paraId="78C716B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F1B5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976</w:t>
            </w:r>
          </w:p>
        </w:tc>
        <w:tc>
          <w:tcPr>
            <w:tcW w:w="1300" w:type="dxa"/>
            <w:tcBorders>
              <w:top w:val="nil"/>
              <w:left w:val="nil"/>
              <w:bottom w:val="single" w:sz="4" w:space="0" w:color="auto"/>
              <w:right w:val="single" w:sz="4" w:space="0" w:color="auto"/>
            </w:tcBorders>
            <w:vAlign w:val="center"/>
            <w:hideMark/>
          </w:tcPr>
          <w:p w14:paraId="43D8A4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5883121000</w:t>
            </w:r>
          </w:p>
        </w:tc>
        <w:tc>
          <w:tcPr>
            <w:tcW w:w="1012" w:type="dxa"/>
            <w:tcBorders>
              <w:top w:val="nil"/>
              <w:left w:val="nil"/>
              <w:bottom w:val="single" w:sz="4" w:space="0" w:color="auto"/>
              <w:right w:val="single" w:sz="4" w:space="0" w:color="auto"/>
            </w:tcBorders>
            <w:vAlign w:val="center"/>
            <w:hideMark/>
          </w:tcPr>
          <w:p w14:paraId="691BAA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64854302</w:t>
            </w:r>
          </w:p>
        </w:tc>
        <w:tc>
          <w:tcPr>
            <w:tcW w:w="5953" w:type="dxa"/>
            <w:tcBorders>
              <w:top w:val="nil"/>
              <w:left w:val="nil"/>
              <w:bottom w:val="single" w:sz="4" w:space="0" w:color="auto"/>
              <w:right w:val="single" w:sz="4" w:space="0" w:color="auto"/>
            </w:tcBorders>
            <w:noWrap/>
            <w:vAlign w:val="center"/>
            <w:hideMark/>
          </w:tcPr>
          <w:p w14:paraId="6561EC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KUZMA</w:t>
            </w:r>
          </w:p>
        </w:tc>
      </w:tr>
      <w:tr w:rsidR="00F24E18" w14:paraId="60AEA3F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C06A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977</w:t>
            </w:r>
          </w:p>
        </w:tc>
        <w:tc>
          <w:tcPr>
            <w:tcW w:w="1300" w:type="dxa"/>
            <w:tcBorders>
              <w:top w:val="nil"/>
              <w:left w:val="nil"/>
              <w:bottom w:val="single" w:sz="4" w:space="0" w:color="auto"/>
              <w:right w:val="single" w:sz="4" w:space="0" w:color="auto"/>
            </w:tcBorders>
            <w:vAlign w:val="center"/>
            <w:hideMark/>
          </w:tcPr>
          <w:p w14:paraId="58CD93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5874505000</w:t>
            </w:r>
          </w:p>
        </w:tc>
        <w:tc>
          <w:tcPr>
            <w:tcW w:w="1012" w:type="dxa"/>
            <w:tcBorders>
              <w:top w:val="nil"/>
              <w:left w:val="nil"/>
              <w:bottom w:val="single" w:sz="4" w:space="0" w:color="auto"/>
              <w:right w:val="single" w:sz="4" w:space="0" w:color="auto"/>
            </w:tcBorders>
            <w:vAlign w:val="center"/>
            <w:hideMark/>
          </w:tcPr>
          <w:p w14:paraId="619831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11734612</w:t>
            </w:r>
          </w:p>
        </w:tc>
        <w:tc>
          <w:tcPr>
            <w:tcW w:w="5953" w:type="dxa"/>
            <w:tcBorders>
              <w:top w:val="nil"/>
              <w:left w:val="nil"/>
              <w:bottom w:val="single" w:sz="4" w:space="0" w:color="auto"/>
              <w:right w:val="single" w:sz="4" w:space="0" w:color="auto"/>
            </w:tcBorders>
            <w:noWrap/>
            <w:vAlign w:val="center"/>
            <w:hideMark/>
          </w:tcPr>
          <w:p w14:paraId="26AD47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LAŠKO</w:t>
            </w:r>
          </w:p>
        </w:tc>
      </w:tr>
      <w:tr w:rsidR="00F24E18" w14:paraId="07B74AE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D662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978</w:t>
            </w:r>
          </w:p>
        </w:tc>
        <w:tc>
          <w:tcPr>
            <w:tcW w:w="1300" w:type="dxa"/>
            <w:tcBorders>
              <w:top w:val="nil"/>
              <w:left w:val="nil"/>
              <w:bottom w:val="single" w:sz="4" w:space="0" w:color="auto"/>
              <w:right w:val="single" w:sz="4" w:space="0" w:color="auto"/>
            </w:tcBorders>
            <w:vAlign w:val="center"/>
            <w:hideMark/>
          </w:tcPr>
          <w:p w14:paraId="099176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5874254000</w:t>
            </w:r>
          </w:p>
        </w:tc>
        <w:tc>
          <w:tcPr>
            <w:tcW w:w="1012" w:type="dxa"/>
            <w:tcBorders>
              <w:top w:val="nil"/>
              <w:left w:val="nil"/>
              <w:bottom w:val="single" w:sz="4" w:space="0" w:color="auto"/>
              <w:right w:val="single" w:sz="4" w:space="0" w:color="auto"/>
            </w:tcBorders>
            <w:vAlign w:val="center"/>
            <w:hideMark/>
          </w:tcPr>
          <w:p w14:paraId="2C6F7A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68458509</w:t>
            </w:r>
          </w:p>
        </w:tc>
        <w:tc>
          <w:tcPr>
            <w:tcW w:w="5953" w:type="dxa"/>
            <w:tcBorders>
              <w:top w:val="nil"/>
              <w:left w:val="nil"/>
              <w:bottom w:val="single" w:sz="4" w:space="0" w:color="auto"/>
              <w:right w:val="single" w:sz="4" w:space="0" w:color="auto"/>
            </w:tcBorders>
            <w:noWrap/>
            <w:vAlign w:val="center"/>
            <w:hideMark/>
          </w:tcPr>
          <w:p w14:paraId="4BAB5A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LENART</w:t>
            </w:r>
          </w:p>
        </w:tc>
      </w:tr>
      <w:tr w:rsidR="00F24E18" w14:paraId="6BC28F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C055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979</w:t>
            </w:r>
          </w:p>
        </w:tc>
        <w:tc>
          <w:tcPr>
            <w:tcW w:w="1300" w:type="dxa"/>
            <w:tcBorders>
              <w:top w:val="nil"/>
              <w:left w:val="nil"/>
              <w:bottom w:val="single" w:sz="4" w:space="0" w:color="auto"/>
              <w:right w:val="single" w:sz="4" w:space="0" w:color="auto"/>
            </w:tcBorders>
            <w:vAlign w:val="center"/>
            <w:hideMark/>
          </w:tcPr>
          <w:p w14:paraId="768CDB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5874645000</w:t>
            </w:r>
          </w:p>
        </w:tc>
        <w:tc>
          <w:tcPr>
            <w:tcW w:w="1012" w:type="dxa"/>
            <w:tcBorders>
              <w:top w:val="nil"/>
              <w:left w:val="nil"/>
              <w:bottom w:val="single" w:sz="4" w:space="0" w:color="auto"/>
              <w:right w:val="single" w:sz="4" w:space="0" w:color="auto"/>
            </w:tcBorders>
            <w:vAlign w:val="center"/>
            <w:hideMark/>
          </w:tcPr>
          <w:p w14:paraId="14BD36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27705935</w:t>
            </w:r>
          </w:p>
        </w:tc>
        <w:tc>
          <w:tcPr>
            <w:tcW w:w="5953" w:type="dxa"/>
            <w:tcBorders>
              <w:top w:val="nil"/>
              <w:left w:val="nil"/>
              <w:bottom w:val="single" w:sz="4" w:space="0" w:color="auto"/>
              <w:right w:val="single" w:sz="4" w:space="0" w:color="auto"/>
            </w:tcBorders>
            <w:noWrap/>
            <w:vAlign w:val="center"/>
            <w:hideMark/>
          </w:tcPr>
          <w:p w14:paraId="39E39B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LENDAVA - LENDVA KÖZSEG</w:t>
            </w:r>
          </w:p>
        </w:tc>
      </w:tr>
      <w:tr w:rsidR="00F24E18" w14:paraId="0B165EF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F819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980</w:t>
            </w:r>
          </w:p>
        </w:tc>
        <w:tc>
          <w:tcPr>
            <w:tcW w:w="1300" w:type="dxa"/>
            <w:tcBorders>
              <w:top w:val="nil"/>
              <w:left w:val="nil"/>
              <w:bottom w:val="single" w:sz="4" w:space="0" w:color="auto"/>
              <w:right w:val="single" w:sz="4" w:space="0" w:color="auto"/>
            </w:tcBorders>
            <w:vAlign w:val="center"/>
            <w:hideMark/>
          </w:tcPr>
          <w:p w14:paraId="4605B3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5874246000</w:t>
            </w:r>
          </w:p>
        </w:tc>
        <w:tc>
          <w:tcPr>
            <w:tcW w:w="1012" w:type="dxa"/>
            <w:tcBorders>
              <w:top w:val="nil"/>
              <w:left w:val="nil"/>
              <w:bottom w:val="single" w:sz="4" w:space="0" w:color="auto"/>
              <w:right w:val="single" w:sz="4" w:space="0" w:color="auto"/>
            </w:tcBorders>
            <w:vAlign w:val="center"/>
            <w:hideMark/>
          </w:tcPr>
          <w:p w14:paraId="63BCF7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18369529</w:t>
            </w:r>
          </w:p>
        </w:tc>
        <w:tc>
          <w:tcPr>
            <w:tcW w:w="5953" w:type="dxa"/>
            <w:tcBorders>
              <w:top w:val="nil"/>
              <w:left w:val="nil"/>
              <w:bottom w:val="single" w:sz="4" w:space="0" w:color="auto"/>
              <w:right w:val="single" w:sz="4" w:space="0" w:color="auto"/>
            </w:tcBorders>
            <w:noWrap/>
            <w:vAlign w:val="center"/>
            <w:hideMark/>
          </w:tcPr>
          <w:p w14:paraId="636DEC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LITIJA</w:t>
            </w:r>
          </w:p>
        </w:tc>
      </w:tr>
      <w:tr w:rsidR="00F24E18" w14:paraId="3F4A01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45DE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981</w:t>
            </w:r>
          </w:p>
        </w:tc>
        <w:tc>
          <w:tcPr>
            <w:tcW w:w="1300" w:type="dxa"/>
            <w:tcBorders>
              <w:top w:val="nil"/>
              <w:left w:val="nil"/>
              <w:bottom w:val="single" w:sz="4" w:space="0" w:color="auto"/>
              <w:right w:val="single" w:sz="4" w:space="0" w:color="auto"/>
            </w:tcBorders>
            <w:vAlign w:val="center"/>
            <w:hideMark/>
          </w:tcPr>
          <w:p w14:paraId="376C4A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5883733000</w:t>
            </w:r>
          </w:p>
        </w:tc>
        <w:tc>
          <w:tcPr>
            <w:tcW w:w="1012" w:type="dxa"/>
            <w:tcBorders>
              <w:top w:val="nil"/>
              <w:left w:val="nil"/>
              <w:bottom w:val="single" w:sz="4" w:space="0" w:color="auto"/>
              <w:right w:val="single" w:sz="4" w:space="0" w:color="auto"/>
            </w:tcBorders>
            <w:vAlign w:val="center"/>
            <w:hideMark/>
          </w:tcPr>
          <w:p w14:paraId="506426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57533776</w:t>
            </w:r>
          </w:p>
        </w:tc>
        <w:tc>
          <w:tcPr>
            <w:tcW w:w="5953" w:type="dxa"/>
            <w:tcBorders>
              <w:top w:val="nil"/>
              <w:left w:val="nil"/>
              <w:bottom w:val="single" w:sz="4" w:space="0" w:color="auto"/>
              <w:right w:val="single" w:sz="4" w:space="0" w:color="auto"/>
            </w:tcBorders>
            <w:noWrap/>
            <w:vAlign w:val="center"/>
            <w:hideMark/>
          </w:tcPr>
          <w:p w14:paraId="2D3758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LJUBNO</w:t>
            </w:r>
          </w:p>
        </w:tc>
      </w:tr>
      <w:tr w:rsidR="00F24E18" w14:paraId="1B9EFE3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1A53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982</w:t>
            </w:r>
          </w:p>
        </w:tc>
        <w:tc>
          <w:tcPr>
            <w:tcW w:w="1300" w:type="dxa"/>
            <w:tcBorders>
              <w:top w:val="nil"/>
              <w:left w:val="nil"/>
              <w:bottom w:val="single" w:sz="4" w:space="0" w:color="auto"/>
              <w:right w:val="single" w:sz="4" w:space="0" w:color="auto"/>
            </w:tcBorders>
            <w:vAlign w:val="center"/>
            <w:hideMark/>
          </w:tcPr>
          <w:p w14:paraId="2E0C34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5874092000</w:t>
            </w:r>
          </w:p>
        </w:tc>
        <w:tc>
          <w:tcPr>
            <w:tcW w:w="1012" w:type="dxa"/>
            <w:tcBorders>
              <w:top w:val="nil"/>
              <w:left w:val="nil"/>
              <w:bottom w:val="single" w:sz="4" w:space="0" w:color="auto"/>
              <w:right w:val="single" w:sz="4" w:space="0" w:color="auto"/>
            </w:tcBorders>
            <w:vAlign w:val="center"/>
            <w:hideMark/>
          </w:tcPr>
          <w:p w14:paraId="254A22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60214406</w:t>
            </w:r>
          </w:p>
        </w:tc>
        <w:tc>
          <w:tcPr>
            <w:tcW w:w="5953" w:type="dxa"/>
            <w:tcBorders>
              <w:top w:val="nil"/>
              <w:left w:val="nil"/>
              <w:bottom w:val="single" w:sz="4" w:space="0" w:color="auto"/>
              <w:right w:val="single" w:sz="4" w:space="0" w:color="auto"/>
            </w:tcBorders>
            <w:noWrap/>
            <w:vAlign w:val="center"/>
            <w:hideMark/>
          </w:tcPr>
          <w:p w14:paraId="28212B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LJUTOMER</w:t>
            </w:r>
          </w:p>
        </w:tc>
      </w:tr>
      <w:tr w:rsidR="00F24E18" w14:paraId="5B36D09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8B32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983</w:t>
            </w:r>
          </w:p>
        </w:tc>
        <w:tc>
          <w:tcPr>
            <w:tcW w:w="1300" w:type="dxa"/>
            <w:tcBorders>
              <w:top w:val="nil"/>
              <w:left w:val="nil"/>
              <w:bottom w:val="single" w:sz="4" w:space="0" w:color="auto"/>
              <w:right w:val="single" w:sz="4" w:space="0" w:color="auto"/>
            </w:tcBorders>
            <w:vAlign w:val="center"/>
            <w:hideMark/>
          </w:tcPr>
          <w:p w14:paraId="20235D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2261154000</w:t>
            </w:r>
          </w:p>
        </w:tc>
        <w:tc>
          <w:tcPr>
            <w:tcW w:w="1012" w:type="dxa"/>
            <w:tcBorders>
              <w:top w:val="nil"/>
              <w:left w:val="nil"/>
              <w:bottom w:val="single" w:sz="4" w:space="0" w:color="auto"/>
              <w:right w:val="single" w:sz="4" w:space="0" w:color="auto"/>
            </w:tcBorders>
            <w:vAlign w:val="center"/>
            <w:hideMark/>
          </w:tcPr>
          <w:p w14:paraId="07C4FF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77778642</w:t>
            </w:r>
          </w:p>
        </w:tc>
        <w:tc>
          <w:tcPr>
            <w:tcW w:w="5953" w:type="dxa"/>
            <w:tcBorders>
              <w:top w:val="nil"/>
              <w:left w:val="nil"/>
              <w:bottom w:val="single" w:sz="4" w:space="0" w:color="auto"/>
              <w:right w:val="single" w:sz="4" w:space="0" w:color="auto"/>
            </w:tcBorders>
            <w:noWrap/>
            <w:vAlign w:val="center"/>
            <w:hideMark/>
          </w:tcPr>
          <w:p w14:paraId="2B93AB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LOG - DRAGOMER</w:t>
            </w:r>
          </w:p>
        </w:tc>
      </w:tr>
      <w:tr w:rsidR="00F24E18" w14:paraId="73D9C26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ED7E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984</w:t>
            </w:r>
          </w:p>
        </w:tc>
        <w:tc>
          <w:tcPr>
            <w:tcW w:w="1300" w:type="dxa"/>
            <w:tcBorders>
              <w:top w:val="nil"/>
              <w:left w:val="nil"/>
              <w:bottom w:val="single" w:sz="4" w:space="0" w:color="auto"/>
              <w:right w:val="single" w:sz="4" w:space="0" w:color="auto"/>
            </w:tcBorders>
            <w:vAlign w:val="center"/>
            <w:hideMark/>
          </w:tcPr>
          <w:p w14:paraId="121378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5874661000</w:t>
            </w:r>
          </w:p>
        </w:tc>
        <w:tc>
          <w:tcPr>
            <w:tcW w:w="1012" w:type="dxa"/>
            <w:tcBorders>
              <w:top w:val="nil"/>
              <w:left w:val="nil"/>
              <w:bottom w:val="single" w:sz="4" w:space="0" w:color="auto"/>
              <w:right w:val="single" w:sz="4" w:space="0" w:color="auto"/>
            </w:tcBorders>
            <w:vAlign w:val="center"/>
            <w:hideMark/>
          </w:tcPr>
          <w:p w14:paraId="100D99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55512844</w:t>
            </w:r>
          </w:p>
        </w:tc>
        <w:tc>
          <w:tcPr>
            <w:tcW w:w="5953" w:type="dxa"/>
            <w:tcBorders>
              <w:top w:val="nil"/>
              <w:left w:val="nil"/>
              <w:bottom w:val="single" w:sz="4" w:space="0" w:color="auto"/>
              <w:right w:val="single" w:sz="4" w:space="0" w:color="auto"/>
            </w:tcBorders>
            <w:noWrap/>
            <w:vAlign w:val="center"/>
            <w:hideMark/>
          </w:tcPr>
          <w:p w14:paraId="74D6E9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LOGATEC</w:t>
            </w:r>
          </w:p>
        </w:tc>
      </w:tr>
      <w:tr w:rsidR="00F24E18" w14:paraId="0FBD6DD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02D8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985</w:t>
            </w:r>
          </w:p>
        </w:tc>
        <w:tc>
          <w:tcPr>
            <w:tcW w:w="1300" w:type="dxa"/>
            <w:tcBorders>
              <w:top w:val="nil"/>
              <w:left w:val="nil"/>
              <w:bottom w:val="single" w:sz="4" w:space="0" w:color="auto"/>
              <w:right w:val="single" w:sz="4" w:space="0" w:color="auto"/>
            </w:tcBorders>
            <w:vAlign w:val="center"/>
            <w:hideMark/>
          </w:tcPr>
          <w:p w14:paraId="7C3BA1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5880165000</w:t>
            </w:r>
          </w:p>
        </w:tc>
        <w:tc>
          <w:tcPr>
            <w:tcW w:w="1012" w:type="dxa"/>
            <w:tcBorders>
              <w:top w:val="nil"/>
              <w:left w:val="nil"/>
              <w:bottom w:val="single" w:sz="4" w:space="0" w:color="auto"/>
              <w:right w:val="single" w:sz="4" w:space="0" w:color="auto"/>
            </w:tcBorders>
            <w:vAlign w:val="center"/>
            <w:hideMark/>
          </w:tcPr>
          <w:p w14:paraId="16B9F4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78057370</w:t>
            </w:r>
          </w:p>
        </w:tc>
        <w:tc>
          <w:tcPr>
            <w:tcW w:w="5953" w:type="dxa"/>
            <w:tcBorders>
              <w:top w:val="nil"/>
              <w:left w:val="nil"/>
              <w:bottom w:val="single" w:sz="4" w:space="0" w:color="auto"/>
              <w:right w:val="single" w:sz="4" w:space="0" w:color="auto"/>
            </w:tcBorders>
            <w:noWrap/>
            <w:vAlign w:val="center"/>
            <w:hideMark/>
          </w:tcPr>
          <w:p w14:paraId="76D2CA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LOŠKA DOLINA</w:t>
            </w:r>
          </w:p>
        </w:tc>
      </w:tr>
      <w:tr w:rsidR="00F24E18" w14:paraId="2A7523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2B4D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986</w:t>
            </w:r>
          </w:p>
        </w:tc>
        <w:tc>
          <w:tcPr>
            <w:tcW w:w="1300" w:type="dxa"/>
            <w:tcBorders>
              <w:top w:val="nil"/>
              <w:left w:val="nil"/>
              <w:bottom w:val="single" w:sz="4" w:space="0" w:color="auto"/>
              <w:right w:val="single" w:sz="4" w:space="0" w:color="auto"/>
            </w:tcBorders>
            <w:vAlign w:val="center"/>
            <w:hideMark/>
          </w:tcPr>
          <w:p w14:paraId="254678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5883806000</w:t>
            </w:r>
          </w:p>
        </w:tc>
        <w:tc>
          <w:tcPr>
            <w:tcW w:w="1012" w:type="dxa"/>
            <w:tcBorders>
              <w:top w:val="nil"/>
              <w:left w:val="nil"/>
              <w:bottom w:val="single" w:sz="4" w:space="0" w:color="auto"/>
              <w:right w:val="single" w:sz="4" w:space="0" w:color="auto"/>
            </w:tcBorders>
            <w:vAlign w:val="center"/>
            <w:hideMark/>
          </w:tcPr>
          <w:p w14:paraId="1B9C37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47965525</w:t>
            </w:r>
          </w:p>
        </w:tc>
        <w:tc>
          <w:tcPr>
            <w:tcW w:w="5953" w:type="dxa"/>
            <w:tcBorders>
              <w:top w:val="nil"/>
              <w:left w:val="nil"/>
              <w:bottom w:val="single" w:sz="4" w:space="0" w:color="auto"/>
              <w:right w:val="single" w:sz="4" w:space="0" w:color="auto"/>
            </w:tcBorders>
            <w:noWrap/>
            <w:vAlign w:val="center"/>
            <w:hideMark/>
          </w:tcPr>
          <w:p w14:paraId="530965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LOŠKI POTOK</w:t>
            </w:r>
          </w:p>
        </w:tc>
      </w:tr>
      <w:tr w:rsidR="00F24E18" w14:paraId="02B76F6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E164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987</w:t>
            </w:r>
          </w:p>
        </w:tc>
        <w:tc>
          <w:tcPr>
            <w:tcW w:w="1300" w:type="dxa"/>
            <w:tcBorders>
              <w:top w:val="nil"/>
              <w:left w:val="nil"/>
              <w:bottom w:val="single" w:sz="4" w:space="0" w:color="auto"/>
              <w:right w:val="single" w:sz="4" w:space="0" w:color="auto"/>
            </w:tcBorders>
            <w:vAlign w:val="center"/>
            <w:hideMark/>
          </w:tcPr>
          <w:p w14:paraId="63CE47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1357883000</w:t>
            </w:r>
          </w:p>
        </w:tc>
        <w:tc>
          <w:tcPr>
            <w:tcW w:w="1012" w:type="dxa"/>
            <w:tcBorders>
              <w:top w:val="nil"/>
              <w:left w:val="nil"/>
              <w:bottom w:val="single" w:sz="4" w:space="0" w:color="auto"/>
              <w:right w:val="single" w:sz="4" w:space="0" w:color="auto"/>
            </w:tcBorders>
            <w:vAlign w:val="center"/>
            <w:hideMark/>
          </w:tcPr>
          <w:p w14:paraId="7BA767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11392657</w:t>
            </w:r>
          </w:p>
        </w:tc>
        <w:tc>
          <w:tcPr>
            <w:tcW w:w="5953" w:type="dxa"/>
            <w:tcBorders>
              <w:top w:val="nil"/>
              <w:left w:val="nil"/>
              <w:bottom w:val="single" w:sz="4" w:space="0" w:color="auto"/>
              <w:right w:val="single" w:sz="4" w:space="0" w:color="auto"/>
            </w:tcBorders>
            <w:noWrap/>
            <w:vAlign w:val="center"/>
            <w:hideMark/>
          </w:tcPr>
          <w:p w14:paraId="602B93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LOVRENC NA POHORJU</w:t>
            </w:r>
          </w:p>
        </w:tc>
      </w:tr>
      <w:tr w:rsidR="00F24E18" w14:paraId="33F613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3A11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988</w:t>
            </w:r>
          </w:p>
        </w:tc>
        <w:tc>
          <w:tcPr>
            <w:tcW w:w="1300" w:type="dxa"/>
            <w:tcBorders>
              <w:top w:val="nil"/>
              <w:left w:val="nil"/>
              <w:bottom w:val="single" w:sz="4" w:space="0" w:color="auto"/>
              <w:right w:val="single" w:sz="4" w:space="0" w:color="auto"/>
            </w:tcBorders>
            <w:noWrap/>
            <w:vAlign w:val="center"/>
            <w:hideMark/>
          </w:tcPr>
          <w:p w14:paraId="18D036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5883784000</w:t>
            </w:r>
          </w:p>
        </w:tc>
        <w:tc>
          <w:tcPr>
            <w:tcW w:w="1012" w:type="dxa"/>
            <w:tcBorders>
              <w:top w:val="nil"/>
              <w:left w:val="nil"/>
              <w:bottom w:val="single" w:sz="4" w:space="0" w:color="auto"/>
              <w:right w:val="single" w:sz="4" w:space="0" w:color="auto"/>
            </w:tcBorders>
            <w:noWrap/>
            <w:vAlign w:val="center"/>
            <w:hideMark/>
          </w:tcPr>
          <w:p w14:paraId="06C6DF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92082386</w:t>
            </w:r>
          </w:p>
        </w:tc>
        <w:tc>
          <w:tcPr>
            <w:tcW w:w="5953" w:type="dxa"/>
            <w:tcBorders>
              <w:top w:val="nil"/>
              <w:left w:val="nil"/>
              <w:bottom w:val="single" w:sz="4" w:space="0" w:color="auto"/>
              <w:right w:val="single" w:sz="4" w:space="0" w:color="auto"/>
            </w:tcBorders>
            <w:noWrap/>
            <w:vAlign w:val="center"/>
            <w:hideMark/>
          </w:tcPr>
          <w:p w14:paraId="16897F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LUČE</w:t>
            </w:r>
          </w:p>
        </w:tc>
      </w:tr>
      <w:tr w:rsidR="00F24E18" w14:paraId="38731B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5EDA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989</w:t>
            </w:r>
          </w:p>
        </w:tc>
        <w:tc>
          <w:tcPr>
            <w:tcW w:w="1300" w:type="dxa"/>
            <w:tcBorders>
              <w:top w:val="nil"/>
              <w:left w:val="nil"/>
              <w:bottom w:val="single" w:sz="4" w:space="0" w:color="auto"/>
              <w:right w:val="single" w:sz="4" w:space="0" w:color="auto"/>
            </w:tcBorders>
            <w:vAlign w:val="center"/>
            <w:hideMark/>
          </w:tcPr>
          <w:p w14:paraId="0BEC63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5880491000</w:t>
            </w:r>
          </w:p>
        </w:tc>
        <w:tc>
          <w:tcPr>
            <w:tcW w:w="1012" w:type="dxa"/>
            <w:tcBorders>
              <w:top w:val="nil"/>
              <w:left w:val="nil"/>
              <w:bottom w:val="single" w:sz="4" w:space="0" w:color="auto"/>
              <w:right w:val="single" w:sz="4" w:space="0" w:color="auto"/>
            </w:tcBorders>
            <w:vAlign w:val="center"/>
            <w:hideMark/>
          </w:tcPr>
          <w:p w14:paraId="06B6C7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19246331</w:t>
            </w:r>
          </w:p>
        </w:tc>
        <w:tc>
          <w:tcPr>
            <w:tcW w:w="5953" w:type="dxa"/>
            <w:tcBorders>
              <w:top w:val="nil"/>
              <w:left w:val="nil"/>
              <w:bottom w:val="single" w:sz="4" w:space="0" w:color="auto"/>
              <w:right w:val="single" w:sz="4" w:space="0" w:color="auto"/>
            </w:tcBorders>
            <w:noWrap/>
            <w:vAlign w:val="center"/>
            <w:hideMark/>
          </w:tcPr>
          <w:p w14:paraId="2D0874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LUKOVICA</w:t>
            </w:r>
          </w:p>
        </w:tc>
      </w:tr>
      <w:tr w:rsidR="00F24E18" w14:paraId="2764E5C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F1FF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990</w:t>
            </w:r>
          </w:p>
        </w:tc>
        <w:tc>
          <w:tcPr>
            <w:tcW w:w="1300" w:type="dxa"/>
            <w:tcBorders>
              <w:top w:val="nil"/>
              <w:left w:val="nil"/>
              <w:bottom w:val="single" w:sz="4" w:space="0" w:color="auto"/>
              <w:right w:val="single" w:sz="4" w:space="0" w:color="auto"/>
            </w:tcBorders>
            <w:vAlign w:val="center"/>
            <w:hideMark/>
          </w:tcPr>
          <w:p w14:paraId="08EB2A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5883644000</w:t>
            </w:r>
          </w:p>
        </w:tc>
        <w:tc>
          <w:tcPr>
            <w:tcW w:w="1012" w:type="dxa"/>
            <w:tcBorders>
              <w:top w:val="nil"/>
              <w:left w:val="nil"/>
              <w:bottom w:val="single" w:sz="4" w:space="0" w:color="auto"/>
              <w:right w:val="single" w:sz="4" w:space="0" w:color="auto"/>
            </w:tcBorders>
            <w:vAlign w:val="center"/>
            <w:hideMark/>
          </w:tcPr>
          <w:p w14:paraId="40C969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11993197</w:t>
            </w:r>
          </w:p>
        </w:tc>
        <w:tc>
          <w:tcPr>
            <w:tcW w:w="5953" w:type="dxa"/>
            <w:tcBorders>
              <w:top w:val="nil"/>
              <w:left w:val="nil"/>
              <w:bottom w:val="single" w:sz="4" w:space="0" w:color="auto"/>
              <w:right w:val="single" w:sz="4" w:space="0" w:color="auto"/>
            </w:tcBorders>
            <w:noWrap/>
            <w:vAlign w:val="center"/>
            <w:hideMark/>
          </w:tcPr>
          <w:p w14:paraId="09EEC0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MAJŠPERK</w:t>
            </w:r>
          </w:p>
        </w:tc>
      </w:tr>
      <w:tr w:rsidR="00F24E18" w14:paraId="3E8B21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CF07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991</w:t>
            </w:r>
          </w:p>
        </w:tc>
        <w:tc>
          <w:tcPr>
            <w:tcW w:w="1300" w:type="dxa"/>
            <w:tcBorders>
              <w:top w:val="nil"/>
              <w:left w:val="nil"/>
              <w:bottom w:val="single" w:sz="4" w:space="0" w:color="auto"/>
              <w:right w:val="single" w:sz="4" w:space="0" w:color="auto"/>
            </w:tcBorders>
            <w:vAlign w:val="center"/>
            <w:hideMark/>
          </w:tcPr>
          <w:p w14:paraId="756B83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2242753000</w:t>
            </w:r>
          </w:p>
        </w:tc>
        <w:tc>
          <w:tcPr>
            <w:tcW w:w="1012" w:type="dxa"/>
            <w:tcBorders>
              <w:top w:val="nil"/>
              <w:left w:val="nil"/>
              <w:bottom w:val="single" w:sz="4" w:space="0" w:color="auto"/>
              <w:right w:val="single" w:sz="4" w:space="0" w:color="auto"/>
            </w:tcBorders>
            <w:vAlign w:val="center"/>
            <w:hideMark/>
          </w:tcPr>
          <w:p w14:paraId="3895A7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26682117</w:t>
            </w:r>
          </w:p>
        </w:tc>
        <w:tc>
          <w:tcPr>
            <w:tcW w:w="5953" w:type="dxa"/>
            <w:tcBorders>
              <w:top w:val="nil"/>
              <w:left w:val="nil"/>
              <w:bottom w:val="single" w:sz="4" w:space="0" w:color="auto"/>
              <w:right w:val="single" w:sz="4" w:space="0" w:color="auto"/>
            </w:tcBorders>
            <w:noWrap/>
            <w:vAlign w:val="center"/>
            <w:hideMark/>
          </w:tcPr>
          <w:p w14:paraId="60552C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MAKOLE</w:t>
            </w:r>
          </w:p>
        </w:tc>
      </w:tr>
      <w:tr w:rsidR="00F24E18" w14:paraId="6BA2011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9766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992</w:t>
            </w:r>
          </w:p>
        </w:tc>
        <w:tc>
          <w:tcPr>
            <w:tcW w:w="1300" w:type="dxa"/>
            <w:tcBorders>
              <w:top w:val="nil"/>
              <w:left w:val="nil"/>
              <w:bottom w:val="single" w:sz="4" w:space="0" w:color="auto"/>
              <w:right w:val="single" w:sz="4" w:space="0" w:color="auto"/>
            </w:tcBorders>
            <w:vAlign w:val="center"/>
            <w:hideMark/>
          </w:tcPr>
          <w:p w14:paraId="1D48E9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1357492000</w:t>
            </w:r>
          </w:p>
        </w:tc>
        <w:tc>
          <w:tcPr>
            <w:tcW w:w="1012" w:type="dxa"/>
            <w:tcBorders>
              <w:top w:val="nil"/>
              <w:left w:val="nil"/>
              <w:bottom w:val="single" w:sz="4" w:space="0" w:color="auto"/>
              <w:right w:val="single" w:sz="4" w:space="0" w:color="auto"/>
            </w:tcBorders>
            <w:vAlign w:val="center"/>
            <w:hideMark/>
          </w:tcPr>
          <w:p w14:paraId="112865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57234213</w:t>
            </w:r>
          </w:p>
        </w:tc>
        <w:tc>
          <w:tcPr>
            <w:tcW w:w="5953" w:type="dxa"/>
            <w:tcBorders>
              <w:top w:val="nil"/>
              <w:left w:val="nil"/>
              <w:bottom w:val="single" w:sz="4" w:space="0" w:color="auto"/>
              <w:right w:val="single" w:sz="4" w:space="0" w:color="auto"/>
            </w:tcBorders>
            <w:noWrap/>
            <w:vAlign w:val="center"/>
            <w:hideMark/>
          </w:tcPr>
          <w:p w14:paraId="55D872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MARKOVCI</w:t>
            </w:r>
          </w:p>
        </w:tc>
      </w:tr>
      <w:tr w:rsidR="00F24E18" w14:paraId="0A9B5B2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10C5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993</w:t>
            </w:r>
          </w:p>
        </w:tc>
        <w:tc>
          <w:tcPr>
            <w:tcW w:w="1300" w:type="dxa"/>
            <w:tcBorders>
              <w:top w:val="nil"/>
              <w:left w:val="nil"/>
              <w:bottom w:val="single" w:sz="4" w:space="0" w:color="auto"/>
              <w:right w:val="single" w:sz="4" w:space="0" w:color="auto"/>
            </w:tcBorders>
            <w:vAlign w:val="center"/>
            <w:hideMark/>
          </w:tcPr>
          <w:p w14:paraId="3B67E4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5874564000</w:t>
            </w:r>
          </w:p>
        </w:tc>
        <w:tc>
          <w:tcPr>
            <w:tcW w:w="1012" w:type="dxa"/>
            <w:tcBorders>
              <w:top w:val="nil"/>
              <w:left w:val="nil"/>
              <w:bottom w:val="single" w:sz="4" w:space="0" w:color="auto"/>
              <w:right w:val="single" w:sz="4" w:space="0" w:color="auto"/>
            </w:tcBorders>
            <w:vAlign w:val="center"/>
            <w:hideMark/>
          </w:tcPr>
          <w:p w14:paraId="1BB998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20991517</w:t>
            </w:r>
          </w:p>
        </w:tc>
        <w:tc>
          <w:tcPr>
            <w:tcW w:w="5953" w:type="dxa"/>
            <w:tcBorders>
              <w:top w:val="nil"/>
              <w:left w:val="nil"/>
              <w:bottom w:val="single" w:sz="4" w:space="0" w:color="auto"/>
              <w:right w:val="single" w:sz="4" w:space="0" w:color="auto"/>
            </w:tcBorders>
            <w:noWrap/>
            <w:vAlign w:val="center"/>
            <w:hideMark/>
          </w:tcPr>
          <w:p w14:paraId="3A1675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MEDVODE</w:t>
            </w:r>
          </w:p>
        </w:tc>
      </w:tr>
      <w:tr w:rsidR="00F24E18" w14:paraId="639D8F6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04CC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994</w:t>
            </w:r>
          </w:p>
        </w:tc>
        <w:tc>
          <w:tcPr>
            <w:tcW w:w="1300" w:type="dxa"/>
            <w:tcBorders>
              <w:top w:val="nil"/>
              <w:left w:val="nil"/>
              <w:bottom w:val="single" w:sz="4" w:space="0" w:color="auto"/>
              <w:right w:val="single" w:sz="4" w:space="0" w:color="auto"/>
            </w:tcBorders>
            <w:vAlign w:val="center"/>
            <w:hideMark/>
          </w:tcPr>
          <w:p w14:paraId="242227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5880483000</w:t>
            </w:r>
          </w:p>
        </w:tc>
        <w:tc>
          <w:tcPr>
            <w:tcW w:w="1012" w:type="dxa"/>
            <w:tcBorders>
              <w:top w:val="nil"/>
              <w:left w:val="nil"/>
              <w:bottom w:val="single" w:sz="4" w:space="0" w:color="auto"/>
              <w:right w:val="single" w:sz="4" w:space="0" w:color="auto"/>
            </w:tcBorders>
            <w:vAlign w:val="center"/>
            <w:hideMark/>
          </w:tcPr>
          <w:p w14:paraId="4D5B70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74039059</w:t>
            </w:r>
          </w:p>
        </w:tc>
        <w:tc>
          <w:tcPr>
            <w:tcW w:w="5953" w:type="dxa"/>
            <w:tcBorders>
              <w:top w:val="nil"/>
              <w:left w:val="nil"/>
              <w:bottom w:val="single" w:sz="4" w:space="0" w:color="auto"/>
              <w:right w:val="single" w:sz="4" w:space="0" w:color="auto"/>
            </w:tcBorders>
            <w:noWrap/>
            <w:vAlign w:val="center"/>
            <w:hideMark/>
          </w:tcPr>
          <w:p w14:paraId="48042F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MENGEŠ</w:t>
            </w:r>
          </w:p>
        </w:tc>
      </w:tr>
      <w:tr w:rsidR="00F24E18" w14:paraId="3D212A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93D5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995</w:t>
            </w:r>
          </w:p>
        </w:tc>
        <w:tc>
          <w:tcPr>
            <w:tcW w:w="1300" w:type="dxa"/>
            <w:tcBorders>
              <w:top w:val="nil"/>
              <w:left w:val="nil"/>
              <w:bottom w:val="single" w:sz="4" w:space="0" w:color="auto"/>
              <w:right w:val="single" w:sz="4" w:space="0" w:color="auto"/>
            </w:tcBorders>
            <w:vAlign w:val="center"/>
            <w:hideMark/>
          </w:tcPr>
          <w:p w14:paraId="787798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5881374000</w:t>
            </w:r>
          </w:p>
        </w:tc>
        <w:tc>
          <w:tcPr>
            <w:tcW w:w="1012" w:type="dxa"/>
            <w:tcBorders>
              <w:top w:val="nil"/>
              <w:left w:val="nil"/>
              <w:bottom w:val="single" w:sz="4" w:space="0" w:color="auto"/>
              <w:right w:val="single" w:sz="4" w:space="0" w:color="auto"/>
            </w:tcBorders>
            <w:vAlign w:val="center"/>
            <w:hideMark/>
          </w:tcPr>
          <w:p w14:paraId="1F324C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74906275</w:t>
            </w:r>
          </w:p>
        </w:tc>
        <w:tc>
          <w:tcPr>
            <w:tcW w:w="5953" w:type="dxa"/>
            <w:tcBorders>
              <w:top w:val="nil"/>
              <w:left w:val="nil"/>
              <w:bottom w:val="single" w:sz="4" w:space="0" w:color="auto"/>
              <w:right w:val="single" w:sz="4" w:space="0" w:color="auto"/>
            </w:tcBorders>
            <w:noWrap/>
            <w:vAlign w:val="center"/>
            <w:hideMark/>
          </w:tcPr>
          <w:p w14:paraId="67BC47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METLIKA</w:t>
            </w:r>
          </w:p>
        </w:tc>
      </w:tr>
      <w:tr w:rsidR="00F24E18" w14:paraId="0CA7F2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7833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996</w:t>
            </w:r>
          </w:p>
        </w:tc>
        <w:tc>
          <w:tcPr>
            <w:tcW w:w="1300" w:type="dxa"/>
            <w:tcBorders>
              <w:top w:val="nil"/>
              <w:left w:val="nil"/>
              <w:bottom w:val="single" w:sz="4" w:space="0" w:color="auto"/>
              <w:right w:val="single" w:sz="4" w:space="0" w:color="auto"/>
            </w:tcBorders>
            <w:vAlign w:val="center"/>
            <w:hideMark/>
          </w:tcPr>
          <w:p w14:paraId="6A6006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5883610000</w:t>
            </w:r>
          </w:p>
        </w:tc>
        <w:tc>
          <w:tcPr>
            <w:tcW w:w="1012" w:type="dxa"/>
            <w:tcBorders>
              <w:top w:val="nil"/>
              <w:left w:val="nil"/>
              <w:bottom w:val="single" w:sz="4" w:space="0" w:color="auto"/>
              <w:right w:val="single" w:sz="4" w:space="0" w:color="auto"/>
            </w:tcBorders>
            <w:vAlign w:val="center"/>
            <w:hideMark/>
          </w:tcPr>
          <w:p w14:paraId="00F432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82400776</w:t>
            </w:r>
          </w:p>
        </w:tc>
        <w:tc>
          <w:tcPr>
            <w:tcW w:w="5953" w:type="dxa"/>
            <w:tcBorders>
              <w:top w:val="nil"/>
              <w:left w:val="nil"/>
              <w:bottom w:val="single" w:sz="4" w:space="0" w:color="auto"/>
              <w:right w:val="single" w:sz="4" w:space="0" w:color="auto"/>
            </w:tcBorders>
            <w:noWrap/>
            <w:vAlign w:val="center"/>
            <w:hideMark/>
          </w:tcPr>
          <w:p w14:paraId="333ED6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MEŽICA</w:t>
            </w:r>
          </w:p>
        </w:tc>
      </w:tr>
      <w:tr w:rsidR="00F24E18" w14:paraId="0535A8A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FE66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w:t>
            </w:r>
          </w:p>
        </w:tc>
        <w:tc>
          <w:tcPr>
            <w:tcW w:w="1300" w:type="dxa"/>
            <w:tcBorders>
              <w:top w:val="nil"/>
              <w:left w:val="nil"/>
              <w:bottom w:val="single" w:sz="4" w:space="0" w:color="auto"/>
              <w:right w:val="single" w:sz="4" w:space="0" w:color="auto"/>
            </w:tcBorders>
            <w:vAlign w:val="center"/>
            <w:hideMark/>
          </w:tcPr>
          <w:p w14:paraId="37C183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1365614000</w:t>
            </w:r>
          </w:p>
        </w:tc>
        <w:tc>
          <w:tcPr>
            <w:tcW w:w="1012" w:type="dxa"/>
            <w:tcBorders>
              <w:top w:val="nil"/>
              <w:left w:val="nil"/>
              <w:bottom w:val="single" w:sz="4" w:space="0" w:color="auto"/>
              <w:right w:val="single" w:sz="4" w:space="0" w:color="auto"/>
            </w:tcBorders>
            <w:vAlign w:val="center"/>
            <w:hideMark/>
          </w:tcPr>
          <w:p w14:paraId="15DE1B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60592869</w:t>
            </w:r>
          </w:p>
        </w:tc>
        <w:tc>
          <w:tcPr>
            <w:tcW w:w="5953" w:type="dxa"/>
            <w:tcBorders>
              <w:top w:val="nil"/>
              <w:left w:val="nil"/>
              <w:bottom w:val="single" w:sz="4" w:space="0" w:color="auto"/>
              <w:right w:val="single" w:sz="4" w:space="0" w:color="auto"/>
            </w:tcBorders>
            <w:noWrap/>
            <w:vAlign w:val="center"/>
            <w:hideMark/>
          </w:tcPr>
          <w:p w14:paraId="04D1F1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MIKLAVŽ NA DRAVSKEM POLJU</w:t>
            </w:r>
          </w:p>
        </w:tc>
      </w:tr>
      <w:tr w:rsidR="00F24E18" w14:paraId="7D61000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92DE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998</w:t>
            </w:r>
          </w:p>
        </w:tc>
        <w:tc>
          <w:tcPr>
            <w:tcW w:w="1300" w:type="dxa"/>
            <w:tcBorders>
              <w:top w:val="nil"/>
              <w:left w:val="nil"/>
              <w:bottom w:val="single" w:sz="4" w:space="0" w:color="auto"/>
              <w:right w:val="single" w:sz="4" w:space="0" w:color="auto"/>
            </w:tcBorders>
            <w:vAlign w:val="center"/>
            <w:hideMark/>
          </w:tcPr>
          <w:p w14:paraId="7B71FF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5881838000</w:t>
            </w:r>
          </w:p>
        </w:tc>
        <w:tc>
          <w:tcPr>
            <w:tcW w:w="1012" w:type="dxa"/>
            <w:tcBorders>
              <w:top w:val="nil"/>
              <w:left w:val="nil"/>
              <w:bottom w:val="single" w:sz="4" w:space="0" w:color="auto"/>
              <w:right w:val="single" w:sz="4" w:space="0" w:color="auto"/>
            </w:tcBorders>
            <w:vAlign w:val="center"/>
            <w:hideMark/>
          </w:tcPr>
          <w:p w14:paraId="5F7217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57235708</w:t>
            </w:r>
          </w:p>
        </w:tc>
        <w:tc>
          <w:tcPr>
            <w:tcW w:w="5953" w:type="dxa"/>
            <w:tcBorders>
              <w:top w:val="nil"/>
              <w:left w:val="nil"/>
              <w:bottom w:val="single" w:sz="4" w:space="0" w:color="auto"/>
              <w:right w:val="single" w:sz="4" w:space="0" w:color="auto"/>
            </w:tcBorders>
            <w:noWrap/>
            <w:vAlign w:val="center"/>
            <w:hideMark/>
          </w:tcPr>
          <w:p w14:paraId="36EB56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MIREN-KOSTANJEVICA</w:t>
            </w:r>
          </w:p>
        </w:tc>
      </w:tr>
      <w:tr w:rsidR="00F24E18" w14:paraId="62C9163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4ADC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999</w:t>
            </w:r>
          </w:p>
        </w:tc>
        <w:tc>
          <w:tcPr>
            <w:tcW w:w="1300" w:type="dxa"/>
            <w:tcBorders>
              <w:top w:val="nil"/>
              <w:left w:val="nil"/>
              <w:bottom w:val="single" w:sz="4" w:space="0" w:color="auto"/>
              <w:right w:val="single" w:sz="4" w:space="0" w:color="auto"/>
            </w:tcBorders>
            <w:vAlign w:val="center"/>
            <w:hideMark/>
          </w:tcPr>
          <w:p w14:paraId="0BF9A0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2399164000</w:t>
            </w:r>
          </w:p>
        </w:tc>
        <w:tc>
          <w:tcPr>
            <w:tcW w:w="1012" w:type="dxa"/>
            <w:tcBorders>
              <w:top w:val="nil"/>
              <w:left w:val="nil"/>
              <w:bottom w:val="single" w:sz="4" w:space="0" w:color="auto"/>
              <w:right w:val="single" w:sz="4" w:space="0" w:color="auto"/>
            </w:tcBorders>
            <w:vAlign w:val="center"/>
            <w:hideMark/>
          </w:tcPr>
          <w:p w14:paraId="028C10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80793509</w:t>
            </w:r>
          </w:p>
        </w:tc>
        <w:tc>
          <w:tcPr>
            <w:tcW w:w="5953" w:type="dxa"/>
            <w:tcBorders>
              <w:top w:val="nil"/>
              <w:left w:val="nil"/>
              <w:bottom w:val="single" w:sz="4" w:space="0" w:color="auto"/>
              <w:right w:val="single" w:sz="4" w:space="0" w:color="auto"/>
            </w:tcBorders>
            <w:noWrap/>
            <w:vAlign w:val="center"/>
            <w:hideMark/>
          </w:tcPr>
          <w:p w14:paraId="52535A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MIRNA</w:t>
            </w:r>
          </w:p>
        </w:tc>
      </w:tr>
      <w:tr w:rsidR="00F24E18" w14:paraId="341ABFE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65A4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1000</w:t>
            </w:r>
          </w:p>
        </w:tc>
        <w:tc>
          <w:tcPr>
            <w:tcW w:w="1300" w:type="dxa"/>
            <w:tcBorders>
              <w:top w:val="nil"/>
              <w:left w:val="nil"/>
              <w:bottom w:val="single" w:sz="4" w:space="0" w:color="auto"/>
              <w:right w:val="single" w:sz="4" w:space="0" w:color="auto"/>
            </w:tcBorders>
            <w:vAlign w:val="center"/>
            <w:hideMark/>
          </w:tcPr>
          <w:p w14:paraId="7162CE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1357816000</w:t>
            </w:r>
          </w:p>
        </w:tc>
        <w:tc>
          <w:tcPr>
            <w:tcW w:w="1012" w:type="dxa"/>
            <w:tcBorders>
              <w:top w:val="nil"/>
              <w:left w:val="nil"/>
              <w:bottom w:val="single" w:sz="4" w:space="0" w:color="auto"/>
              <w:right w:val="single" w:sz="4" w:space="0" w:color="auto"/>
            </w:tcBorders>
            <w:vAlign w:val="center"/>
            <w:hideMark/>
          </w:tcPr>
          <w:p w14:paraId="769DE4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57621594</w:t>
            </w:r>
          </w:p>
        </w:tc>
        <w:tc>
          <w:tcPr>
            <w:tcW w:w="5953" w:type="dxa"/>
            <w:tcBorders>
              <w:top w:val="nil"/>
              <w:left w:val="nil"/>
              <w:bottom w:val="single" w:sz="4" w:space="0" w:color="auto"/>
              <w:right w:val="single" w:sz="4" w:space="0" w:color="auto"/>
            </w:tcBorders>
            <w:noWrap/>
            <w:vAlign w:val="center"/>
            <w:hideMark/>
          </w:tcPr>
          <w:p w14:paraId="2247B5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MIRNA PEČ</w:t>
            </w:r>
          </w:p>
        </w:tc>
      </w:tr>
      <w:tr w:rsidR="00F24E18" w14:paraId="638440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41D2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1001</w:t>
            </w:r>
          </w:p>
        </w:tc>
        <w:tc>
          <w:tcPr>
            <w:tcW w:w="1300" w:type="dxa"/>
            <w:tcBorders>
              <w:top w:val="nil"/>
              <w:left w:val="nil"/>
              <w:bottom w:val="single" w:sz="4" w:space="0" w:color="auto"/>
              <w:right w:val="single" w:sz="4" w:space="0" w:color="auto"/>
            </w:tcBorders>
            <w:vAlign w:val="center"/>
            <w:hideMark/>
          </w:tcPr>
          <w:p w14:paraId="554289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5883954000</w:t>
            </w:r>
          </w:p>
        </w:tc>
        <w:tc>
          <w:tcPr>
            <w:tcW w:w="1012" w:type="dxa"/>
            <w:tcBorders>
              <w:top w:val="nil"/>
              <w:left w:val="nil"/>
              <w:bottom w:val="single" w:sz="4" w:space="0" w:color="auto"/>
              <w:right w:val="single" w:sz="4" w:space="0" w:color="auto"/>
            </w:tcBorders>
            <w:vAlign w:val="center"/>
            <w:hideMark/>
          </w:tcPr>
          <w:p w14:paraId="74B315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87944154</w:t>
            </w:r>
          </w:p>
        </w:tc>
        <w:tc>
          <w:tcPr>
            <w:tcW w:w="5953" w:type="dxa"/>
            <w:tcBorders>
              <w:top w:val="nil"/>
              <w:left w:val="nil"/>
              <w:bottom w:val="single" w:sz="4" w:space="0" w:color="auto"/>
              <w:right w:val="single" w:sz="4" w:space="0" w:color="auto"/>
            </w:tcBorders>
            <w:noWrap/>
            <w:vAlign w:val="center"/>
            <w:hideMark/>
          </w:tcPr>
          <w:p w14:paraId="15406C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MISLINJA</w:t>
            </w:r>
          </w:p>
        </w:tc>
      </w:tr>
      <w:tr w:rsidR="00F24E18" w14:paraId="4DB2C7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9993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1002</w:t>
            </w:r>
          </w:p>
        </w:tc>
        <w:tc>
          <w:tcPr>
            <w:tcW w:w="1300" w:type="dxa"/>
            <w:tcBorders>
              <w:top w:val="nil"/>
              <w:left w:val="nil"/>
              <w:bottom w:val="single" w:sz="4" w:space="0" w:color="auto"/>
              <w:right w:val="single" w:sz="4" w:space="0" w:color="auto"/>
            </w:tcBorders>
            <w:noWrap/>
            <w:vAlign w:val="center"/>
            <w:hideMark/>
          </w:tcPr>
          <w:p w14:paraId="15AD33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2241170000</w:t>
            </w:r>
          </w:p>
        </w:tc>
        <w:tc>
          <w:tcPr>
            <w:tcW w:w="1012" w:type="dxa"/>
            <w:tcBorders>
              <w:top w:val="nil"/>
              <w:left w:val="nil"/>
              <w:bottom w:val="single" w:sz="4" w:space="0" w:color="auto"/>
              <w:right w:val="single" w:sz="4" w:space="0" w:color="auto"/>
            </w:tcBorders>
            <w:noWrap/>
            <w:vAlign w:val="center"/>
            <w:hideMark/>
          </w:tcPr>
          <w:p w14:paraId="30A239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28624777</w:t>
            </w:r>
          </w:p>
        </w:tc>
        <w:tc>
          <w:tcPr>
            <w:tcW w:w="5953" w:type="dxa"/>
            <w:tcBorders>
              <w:top w:val="nil"/>
              <w:left w:val="nil"/>
              <w:bottom w:val="single" w:sz="4" w:space="0" w:color="auto"/>
              <w:right w:val="single" w:sz="4" w:space="0" w:color="auto"/>
            </w:tcBorders>
            <w:noWrap/>
            <w:vAlign w:val="center"/>
            <w:hideMark/>
          </w:tcPr>
          <w:p w14:paraId="5A7821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MOKRONOG - TREBELNO</w:t>
            </w:r>
          </w:p>
        </w:tc>
      </w:tr>
      <w:tr w:rsidR="00F24E18" w14:paraId="3F39183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8DAE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1003</w:t>
            </w:r>
          </w:p>
        </w:tc>
        <w:tc>
          <w:tcPr>
            <w:tcW w:w="1300" w:type="dxa"/>
            <w:tcBorders>
              <w:top w:val="nil"/>
              <w:left w:val="nil"/>
              <w:bottom w:val="single" w:sz="4" w:space="0" w:color="auto"/>
              <w:right w:val="single" w:sz="4" w:space="0" w:color="auto"/>
            </w:tcBorders>
            <w:vAlign w:val="center"/>
            <w:hideMark/>
          </w:tcPr>
          <w:p w14:paraId="7C7E87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5880505000</w:t>
            </w:r>
          </w:p>
        </w:tc>
        <w:tc>
          <w:tcPr>
            <w:tcW w:w="1012" w:type="dxa"/>
            <w:tcBorders>
              <w:top w:val="nil"/>
              <w:left w:val="nil"/>
              <w:bottom w:val="single" w:sz="4" w:space="0" w:color="auto"/>
              <w:right w:val="single" w:sz="4" w:space="0" w:color="auto"/>
            </w:tcBorders>
            <w:vAlign w:val="center"/>
            <w:hideMark/>
          </w:tcPr>
          <w:p w14:paraId="1D31B0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41432851</w:t>
            </w:r>
          </w:p>
        </w:tc>
        <w:tc>
          <w:tcPr>
            <w:tcW w:w="5953" w:type="dxa"/>
            <w:tcBorders>
              <w:top w:val="nil"/>
              <w:left w:val="nil"/>
              <w:bottom w:val="single" w:sz="4" w:space="0" w:color="auto"/>
              <w:right w:val="single" w:sz="4" w:space="0" w:color="auto"/>
            </w:tcBorders>
            <w:noWrap/>
            <w:vAlign w:val="center"/>
            <w:hideMark/>
          </w:tcPr>
          <w:p w14:paraId="165B14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MORAVČE</w:t>
            </w:r>
          </w:p>
        </w:tc>
      </w:tr>
      <w:tr w:rsidR="00F24E18" w14:paraId="5C3D0F9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62F4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1004</w:t>
            </w:r>
          </w:p>
        </w:tc>
        <w:tc>
          <w:tcPr>
            <w:tcW w:w="1300" w:type="dxa"/>
            <w:tcBorders>
              <w:top w:val="nil"/>
              <w:left w:val="nil"/>
              <w:bottom w:val="single" w:sz="4" w:space="0" w:color="auto"/>
              <w:right w:val="single" w:sz="4" w:space="0" w:color="auto"/>
            </w:tcBorders>
            <w:vAlign w:val="center"/>
            <w:hideMark/>
          </w:tcPr>
          <w:p w14:paraId="4B577D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5883164000</w:t>
            </w:r>
          </w:p>
        </w:tc>
        <w:tc>
          <w:tcPr>
            <w:tcW w:w="1012" w:type="dxa"/>
            <w:tcBorders>
              <w:top w:val="nil"/>
              <w:left w:val="nil"/>
              <w:bottom w:val="single" w:sz="4" w:space="0" w:color="auto"/>
              <w:right w:val="single" w:sz="4" w:space="0" w:color="auto"/>
            </w:tcBorders>
            <w:vAlign w:val="center"/>
            <w:hideMark/>
          </w:tcPr>
          <w:p w14:paraId="766618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62760963</w:t>
            </w:r>
          </w:p>
        </w:tc>
        <w:tc>
          <w:tcPr>
            <w:tcW w:w="5953" w:type="dxa"/>
            <w:tcBorders>
              <w:top w:val="nil"/>
              <w:left w:val="nil"/>
              <w:bottom w:val="single" w:sz="4" w:space="0" w:color="auto"/>
              <w:right w:val="single" w:sz="4" w:space="0" w:color="auto"/>
            </w:tcBorders>
            <w:noWrap/>
            <w:vAlign w:val="center"/>
            <w:hideMark/>
          </w:tcPr>
          <w:p w14:paraId="45D01E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MORAVSKE TOPLICE</w:t>
            </w:r>
          </w:p>
        </w:tc>
      </w:tr>
      <w:tr w:rsidR="00F24E18" w14:paraId="363996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8B6D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1005</w:t>
            </w:r>
          </w:p>
        </w:tc>
        <w:tc>
          <w:tcPr>
            <w:tcW w:w="1300" w:type="dxa"/>
            <w:tcBorders>
              <w:top w:val="nil"/>
              <w:left w:val="nil"/>
              <w:bottom w:val="single" w:sz="4" w:space="0" w:color="auto"/>
              <w:right w:val="single" w:sz="4" w:space="0" w:color="auto"/>
            </w:tcBorders>
            <w:vAlign w:val="center"/>
            <w:hideMark/>
          </w:tcPr>
          <w:p w14:paraId="590593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5883849000</w:t>
            </w:r>
          </w:p>
        </w:tc>
        <w:tc>
          <w:tcPr>
            <w:tcW w:w="1012" w:type="dxa"/>
            <w:tcBorders>
              <w:top w:val="nil"/>
              <w:left w:val="nil"/>
              <w:bottom w:val="single" w:sz="4" w:space="0" w:color="auto"/>
              <w:right w:val="single" w:sz="4" w:space="0" w:color="auto"/>
            </w:tcBorders>
            <w:vAlign w:val="center"/>
            <w:hideMark/>
          </w:tcPr>
          <w:p w14:paraId="460558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70998396</w:t>
            </w:r>
          </w:p>
        </w:tc>
        <w:tc>
          <w:tcPr>
            <w:tcW w:w="5953" w:type="dxa"/>
            <w:tcBorders>
              <w:top w:val="nil"/>
              <w:left w:val="nil"/>
              <w:bottom w:val="single" w:sz="4" w:space="0" w:color="auto"/>
              <w:right w:val="single" w:sz="4" w:space="0" w:color="auto"/>
            </w:tcBorders>
            <w:noWrap/>
            <w:vAlign w:val="center"/>
            <w:hideMark/>
          </w:tcPr>
          <w:p w14:paraId="560FC6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MOZIRJE</w:t>
            </w:r>
          </w:p>
        </w:tc>
      </w:tr>
      <w:tr w:rsidR="00F24E18" w14:paraId="4BD43E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5E1F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1006</w:t>
            </w:r>
          </w:p>
        </w:tc>
        <w:tc>
          <w:tcPr>
            <w:tcW w:w="1300" w:type="dxa"/>
            <w:tcBorders>
              <w:top w:val="nil"/>
              <w:left w:val="nil"/>
              <w:bottom w:val="single" w:sz="4" w:space="0" w:color="auto"/>
              <w:right w:val="single" w:sz="4" w:space="0" w:color="auto"/>
            </w:tcBorders>
            <w:vAlign w:val="center"/>
            <w:hideMark/>
          </w:tcPr>
          <w:p w14:paraId="67E417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5881706000</w:t>
            </w:r>
          </w:p>
        </w:tc>
        <w:tc>
          <w:tcPr>
            <w:tcW w:w="1012" w:type="dxa"/>
            <w:tcBorders>
              <w:top w:val="nil"/>
              <w:left w:val="nil"/>
              <w:bottom w:val="single" w:sz="4" w:space="0" w:color="auto"/>
              <w:right w:val="single" w:sz="4" w:space="0" w:color="auto"/>
            </w:tcBorders>
            <w:vAlign w:val="center"/>
            <w:hideMark/>
          </w:tcPr>
          <w:p w14:paraId="345DE9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89876547</w:t>
            </w:r>
          </w:p>
        </w:tc>
        <w:tc>
          <w:tcPr>
            <w:tcW w:w="5953" w:type="dxa"/>
            <w:tcBorders>
              <w:top w:val="nil"/>
              <w:left w:val="nil"/>
              <w:bottom w:val="single" w:sz="4" w:space="0" w:color="auto"/>
              <w:right w:val="single" w:sz="4" w:space="0" w:color="auto"/>
            </w:tcBorders>
            <w:noWrap/>
            <w:vAlign w:val="center"/>
            <w:hideMark/>
          </w:tcPr>
          <w:p w14:paraId="11C4F4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MUTA</w:t>
            </w:r>
          </w:p>
        </w:tc>
      </w:tr>
      <w:tr w:rsidR="00F24E18" w14:paraId="5FF58B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5BF3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1007</w:t>
            </w:r>
          </w:p>
        </w:tc>
        <w:tc>
          <w:tcPr>
            <w:tcW w:w="1300" w:type="dxa"/>
            <w:tcBorders>
              <w:top w:val="nil"/>
              <w:left w:val="nil"/>
              <w:bottom w:val="single" w:sz="4" w:space="0" w:color="auto"/>
              <w:right w:val="single" w:sz="4" w:space="0" w:color="auto"/>
            </w:tcBorders>
            <w:vAlign w:val="center"/>
            <w:hideMark/>
          </w:tcPr>
          <w:p w14:paraId="6A946E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5874688000</w:t>
            </w:r>
          </w:p>
        </w:tc>
        <w:tc>
          <w:tcPr>
            <w:tcW w:w="1012" w:type="dxa"/>
            <w:tcBorders>
              <w:top w:val="nil"/>
              <w:left w:val="nil"/>
              <w:bottom w:val="single" w:sz="4" w:space="0" w:color="auto"/>
              <w:right w:val="single" w:sz="4" w:space="0" w:color="auto"/>
            </w:tcBorders>
            <w:vAlign w:val="center"/>
            <w:hideMark/>
          </w:tcPr>
          <w:p w14:paraId="5B51FA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30835437</w:t>
            </w:r>
          </w:p>
        </w:tc>
        <w:tc>
          <w:tcPr>
            <w:tcW w:w="5953" w:type="dxa"/>
            <w:tcBorders>
              <w:top w:val="nil"/>
              <w:left w:val="nil"/>
              <w:bottom w:val="single" w:sz="4" w:space="0" w:color="auto"/>
              <w:right w:val="single" w:sz="4" w:space="0" w:color="auto"/>
            </w:tcBorders>
            <w:noWrap/>
            <w:vAlign w:val="center"/>
            <w:hideMark/>
          </w:tcPr>
          <w:p w14:paraId="72FFF2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NAKLO</w:t>
            </w:r>
          </w:p>
        </w:tc>
      </w:tr>
      <w:tr w:rsidR="00F24E18" w14:paraId="4FB07C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002D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1008</w:t>
            </w:r>
          </w:p>
        </w:tc>
        <w:tc>
          <w:tcPr>
            <w:tcW w:w="1300" w:type="dxa"/>
            <w:tcBorders>
              <w:top w:val="nil"/>
              <w:left w:val="nil"/>
              <w:bottom w:val="single" w:sz="4" w:space="0" w:color="auto"/>
              <w:right w:val="single" w:sz="4" w:space="0" w:color="auto"/>
            </w:tcBorders>
            <w:vAlign w:val="center"/>
            <w:hideMark/>
          </w:tcPr>
          <w:p w14:paraId="23EB04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5883822000</w:t>
            </w:r>
          </w:p>
        </w:tc>
        <w:tc>
          <w:tcPr>
            <w:tcW w:w="1012" w:type="dxa"/>
            <w:tcBorders>
              <w:top w:val="nil"/>
              <w:left w:val="nil"/>
              <w:bottom w:val="single" w:sz="4" w:space="0" w:color="auto"/>
              <w:right w:val="single" w:sz="4" w:space="0" w:color="auto"/>
            </w:tcBorders>
            <w:vAlign w:val="center"/>
            <w:hideMark/>
          </w:tcPr>
          <w:p w14:paraId="0A1368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43645151</w:t>
            </w:r>
          </w:p>
        </w:tc>
        <w:tc>
          <w:tcPr>
            <w:tcW w:w="5953" w:type="dxa"/>
            <w:tcBorders>
              <w:top w:val="nil"/>
              <w:left w:val="nil"/>
              <w:bottom w:val="single" w:sz="4" w:space="0" w:color="auto"/>
              <w:right w:val="single" w:sz="4" w:space="0" w:color="auto"/>
            </w:tcBorders>
            <w:noWrap/>
            <w:vAlign w:val="center"/>
            <w:hideMark/>
          </w:tcPr>
          <w:p w14:paraId="25A1EA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NAZARJE</w:t>
            </w:r>
          </w:p>
        </w:tc>
      </w:tr>
      <w:tr w:rsidR="00F24E18" w14:paraId="5AAE556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AE44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1009</w:t>
            </w:r>
          </w:p>
        </w:tc>
        <w:tc>
          <w:tcPr>
            <w:tcW w:w="1300" w:type="dxa"/>
            <w:tcBorders>
              <w:top w:val="nil"/>
              <w:left w:val="nil"/>
              <w:bottom w:val="single" w:sz="4" w:space="0" w:color="auto"/>
              <w:right w:val="single" w:sz="4" w:space="0" w:color="auto"/>
            </w:tcBorders>
            <w:vAlign w:val="center"/>
            <w:hideMark/>
          </w:tcPr>
          <w:p w14:paraId="7877E4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5874718000</w:t>
            </w:r>
          </w:p>
        </w:tc>
        <w:tc>
          <w:tcPr>
            <w:tcW w:w="1012" w:type="dxa"/>
            <w:tcBorders>
              <w:top w:val="nil"/>
              <w:left w:val="nil"/>
              <w:bottom w:val="single" w:sz="4" w:space="0" w:color="auto"/>
              <w:right w:val="single" w:sz="4" w:space="0" w:color="auto"/>
            </w:tcBorders>
            <w:vAlign w:val="center"/>
            <w:hideMark/>
          </w:tcPr>
          <w:p w14:paraId="2A7786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20765762</w:t>
            </w:r>
          </w:p>
        </w:tc>
        <w:tc>
          <w:tcPr>
            <w:tcW w:w="5953" w:type="dxa"/>
            <w:tcBorders>
              <w:top w:val="nil"/>
              <w:left w:val="nil"/>
              <w:bottom w:val="single" w:sz="4" w:space="0" w:color="auto"/>
              <w:right w:val="single" w:sz="4" w:space="0" w:color="auto"/>
            </w:tcBorders>
            <w:noWrap/>
            <w:vAlign w:val="center"/>
            <w:hideMark/>
          </w:tcPr>
          <w:p w14:paraId="466CE5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ODRANCI</w:t>
            </w:r>
          </w:p>
        </w:tc>
      </w:tr>
      <w:tr w:rsidR="00F24E18" w14:paraId="385398B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0EC6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1010</w:t>
            </w:r>
          </w:p>
        </w:tc>
        <w:tc>
          <w:tcPr>
            <w:tcW w:w="1300" w:type="dxa"/>
            <w:tcBorders>
              <w:top w:val="nil"/>
              <w:left w:val="nil"/>
              <w:bottom w:val="single" w:sz="4" w:space="0" w:color="auto"/>
              <w:right w:val="single" w:sz="4" w:space="0" w:color="auto"/>
            </w:tcBorders>
            <w:vAlign w:val="center"/>
            <w:hideMark/>
          </w:tcPr>
          <w:p w14:paraId="6ACEE4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1357506000</w:t>
            </w:r>
          </w:p>
        </w:tc>
        <w:tc>
          <w:tcPr>
            <w:tcW w:w="1012" w:type="dxa"/>
            <w:tcBorders>
              <w:top w:val="nil"/>
              <w:left w:val="nil"/>
              <w:bottom w:val="single" w:sz="4" w:space="0" w:color="auto"/>
              <w:right w:val="single" w:sz="4" w:space="0" w:color="auto"/>
            </w:tcBorders>
            <w:vAlign w:val="center"/>
            <w:hideMark/>
          </w:tcPr>
          <w:p w14:paraId="1E2802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70271046</w:t>
            </w:r>
          </w:p>
        </w:tc>
        <w:tc>
          <w:tcPr>
            <w:tcW w:w="5953" w:type="dxa"/>
            <w:tcBorders>
              <w:top w:val="nil"/>
              <w:left w:val="nil"/>
              <w:bottom w:val="single" w:sz="4" w:space="0" w:color="auto"/>
              <w:right w:val="single" w:sz="4" w:space="0" w:color="auto"/>
            </w:tcBorders>
            <w:noWrap/>
            <w:vAlign w:val="center"/>
            <w:hideMark/>
          </w:tcPr>
          <w:p w14:paraId="00076F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OPLOTNICA</w:t>
            </w:r>
          </w:p>
        </w:tc>
      </w:tr>
      <w:tr w:rsidR="00F24E18" w14:paraId="690B0B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1745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1011</w:t>
            </w:r>
          </w:p>
        </w:tc>
        <w:tc>
          <w:tcPr>
            <w:tcW w:w="1300" w:type="dxa"/>
            <w:tcBorders>
              <w:top w:val="nil"/>
              <w:left w:val="nil"/>
              <w:bottom w:val="single" w:sz="4" w:space="0" w:color="auto"/>
              <w:right w:val="single" w:sz="4" w:space="0" w:color="auto"/>
            </w:tcBorders>
            <w:vAlign w:val="center"/>
            <w:hideMark/>
          </w:tcPr>
          <w:p w14:paraId="69C5D7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5883687000</w:t>
            </w:r>
          </w:p>
        </w:tc>
        <w:tc>
          <w:tcPr>
            <w:tcW w:w="1012" w:type="dxa"/>
            <w:tcBorders>
              <w:top w:val="nil"/>
              <w:left w:val="nil"/>
              <w:bottom w:val="single" w:sz="4" w:space="0" w:color="auto"/>
              <w:right w:val="single" w:sz="4" w:space="0" w:color="auto"/>
            </w:tcBorders>
            <w:vAlign w:val="center"/>
            <w:hideMark/>
          </w:tcPr>
          <w:p w14:paraId="65F737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29924464</w:t>
            </w:r>
          </w:p>
        </w:tc>
        <w:tc>
          <w:tcPr>
            <w:tcW w:w="5953" w:type="dxa"/>
            <w:tcBorders>
              <w:top w:val="nil"/>
              <w:left w:val="nil"/>
              <w:bottom w:val="single" w:sz="4" w:space="0" w:color="auto"/>
              <w:right w:val="single" w:sz="4" w:space="0" w:color="auto"/>
            </w:tcBorders>
            <w:noWrap/>
            <w:vAlign w:val="center"/>
            <w:hideMark/>
          </w:tcPr>
          <w:p w14:paraId="582045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ORMOŽ</w:t>
            </w:r>
          </w:p>
        </w:tc>
      </w:tr>
      <w:tr w:rsidR="00F24E18" w14:paraId="3BFD41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CA7E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1012</w:t>
            </w:r>
          </w:p>
        </w:tc>
        <w:tc>
          <w:tcPr>
            <w:tcW w:w="1300" w:type="dxa"/>
            <w:tcBorders>
              <w:top w:val="nil"/>
              <w:left w:val="nil"/>
              <w:bottom w:val="single" w:sz="4" w:space="0" w:color="auto"/>
              <w:right w:val="single" w:sz="4" w:space="0" w:color="auto"/>
            </w:tcBorders>
            <w:noWrap/>
            <w:vAlign w:val="center"/>
            <w:hideMark/>
          </w:tcPr>
          <w:p w14:paraId="5E5757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5874220000</w:t>
            </w:r>
          </w:p>
        </w:tc>
        <w:tc>
          <w:tcPr>
            <w:tcW w:w="1012" w:type="dxa"/>
            <w:tcBorders>
              <w:top w:val="nil"/>
              <w:left w:val="nil"/>
              <w:bottom w:val="single" w:sz="4" w:space="0" w:color="auto"/>
              <w:right w:val="single" w:sz="4" w:space="0" w:color="auto"/>
            </w:tcBorders>
            <w:noWrap/>
            <w:vAlign w:val="center"/>
            <w:hideMark/>
          </w:tcPr>
          <w:p w14:paraId="57D3B3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27549887</w:t>
            </w:r>
          </w:p>
        </w:tc>
        <w:tc>
          <w:tcPr>
            <w:tcW w:w="5953" w:type="dxa"/>
            <w:tcBorders>
              <w:top w:val="nil"/>
              <w:left w:val="nil"/>
              <w:bottom w:val="single" w:sz="4" w:space="0" w:color="auto"/>
              <w:right w:val="single" w:sz="4" w:space="0" w:color="auto"/>
            </w:tcBorders>
            <w:noWrap/>
            <w:vAlign w:val="center"/>
            <w:hideMark/>
          </w:tcPr>
          <w:p w14:paraId="6FAC31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OSILNICA</w:t>
            </w:r>
          </w:p>
        </w:tc>
      </w:tr>
      <w:tr w:rsidR="00F24E18" w14:paraId="6736ED6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C6D8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1013</w:t>
            </w:r>
          </w:p>
        </w:tc>
        <w:tc>
          <w:tcPr>
            <w:tcW w:w="1300" w:type="dxa"/>
            <w:tcBorders>
              <w:top w:val="nil"/>
              <w:left w:val="nil"/>
              <w:bottom w:val="single" w:sz="4" w:space="0" w:color="auto"/>
              <w:right w:val="single" w:sz="4" w:space="0" w:color="auto"/>
            </w:tcBorders>
            <w:vAlign w:val="center"/>
            <w:hideMark/>
          </w:tcPr>
          <w:p w14:paraId="507B73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5884098000</w:t>
            </w:r>
          </w:p>
        </w:tc>
        <w:tc>
          <w:tcPr>
            <w:tcW w:w="1012" w:type="dxa"/>
            <w:tcBorders>
              <w:top w:val="nil"/>
              <w:left w:val="nil"/>
              <w:bottom w:val="single" w:sz="4" w:space="0" w:color="auto"/>
              <w:right w:val="single" w:sz="4" w:space="0" w:color="auto"/>
            </w:tcBorders>
            <w:vAlign w:val="center"/>
            <w:hideMark/>
          </w:tcPr>
          <w:p w14:paraId="2B032E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51503492</w:t>
            </w:r>
          </w:p>
        </w:tc>
        <w:tc>
          <w:tcPr>
            <w:tcW w:w="5953" w:type="dxa"/>
            <w:tcBorders>
              <w:top w:val="nil"/>
              <w:left w:val="nil"/>
              <w:bottom w:val="single" w:sz="4" w:space="0" w:color="auto"/>
              <w:right w:val="single" w:sz="4" w:space="0" w:color="auto"/>
            </w:tcBorders>
            <w:noWrap/>
            <w:vAlign w:val="center"/>
            <w:hideMark/>
          </w:tcPr>
          <w:p w14:paraId="340CB9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PESNICA</w:t>
            </w:r>
          </w:p>
        </w:tc>
      </w:tr>
      <w:tr w:rsidR="00F24E18" w14:paraId="7A1A99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3D5A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1014</w:t>
            </w:r>
          </w:p>
        </w:tc>
        <w:tc>
          <w:tcPr>
            <w:tcW w:w="1300" w:type="dxa"/>
            <w:tcBorders>
              <w:top w:val="nil"/>
              <w:left w:val="nil"/>
              <w:bottom w:val="single" w:sz="4" w:space="0" w:color="auto"/>
              <w:right w:val="single" w:sz="4" w:space="0" w:color="auto"/>
            </w:tcBorders>
            <w:vAlign w:val="center"/>
            <w:hideMark/>
          </w:tcPr>
          <w:p w14:paraId="69C8F6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5883873000</w:t>
            </w:r>
          </w:p>
        </w:tc>
        <w:tc>
          <w:tcPr>
            <w:tcW w:w="1012" w:type="dxa"/>
            <w:tcBorders>
              <w:top w:val="nil"/>
              <w:left w:val="nil"/>
              <w:bottom w:val="single" w:sz="4" w:space="0" w:color="auto"/>
              <w:right w:val="single" w:sz="4" w:space="0" w:color="auto"/>
            </w:tcBorders>
            <w:vAlign w:val="center"/>
            <w:hideMark/>
          </w:tcPr>
          <w:p w14:paraId="5DAED7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29263930</w:t>
            </w:r>
          </w:p>
        </w:tc>
        <w:tc>
          <w:tcPr>
            <w:tcW w:w="5953" w:type="dxa"/>
            <w:tcBorders>
              <w:top w:val="nil"/>
              <w:left w:val="nil"/>
              <w:bottom w:val="single" w:sz="4" w:space="0" w:color="auto"/>
              <w:right w:val="single" w:sz="4" w:space="0" w:color="auto"/>
            </w:tcBorders>
            <w:noWrap/>
            <w:vAlign w:val="center"/>
            <w:hideMark/>
          </w:tcPr>
          <w:p w14:paraId="178C3D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PIRAN</w:t>
            </w:r>
          </w:p>
        </w:tc>
      </w:tr>
      <w:tr w:rsidR="00F24E18" w14:paraId="4933D1E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6FB0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1015</w:t>
            </w:r>
          </w:p>
        </w:tc>
        <w:tc>
          <w:tcPr>
            <w:tcW w:w="1300" w:type="dxa"/>
            <w:tcBorders>
              <w:top w:val="nil"/>
              <w:left w:val="nil"/>
              <w:bottom w:val="single" w:sz="4" w:space="0" w:color="auto"/>
              <w:right w:val="single" w:sz="4" w:space="0" w:color="auto"/>
            </w:tcBorders>
            <w:vAlign w:val="center"/>
            <w:hideMark/>
          </w:tcPr>
          <w:p w14:paraId="7CCCE1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5883563000</w:t>
            </w:r>
          </w:p>
        </w:tc>
        <w:tc>
          <w:tcPr>
            <w:tcW w:w="1012" w:type="dxa"/>
            <w:tcBorders>
              <w:top w:val="nil"/>
              <w:left w:val="nil"/>
              <w:bottom w:val="single" w:sz="4" w:space="0" w:color="auto"/>
              <w:right w:val="single" w:sz="4" w:space="0" w:color="auto"/>
            </w:tcBorders>
            <w:vAlign w:val="center"/>
            <w:hideMark/>
          </w:tcPr>
          <w:p w14:paraId="5AE976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57255440</w:t>
            </w:r>
          </w:p>
        </w:tc>
        <w:tc>
          <w:tcPr>
            <w:tcW w:w="5953" w:type="dxa"/>
            <w:tcBorders>
              <w:top w:val="nil"/>
              <w:left w:val="nil"/>
              <w:bottom w:val="single" w:sz="4" w:space="0" w:color="auto"/>
              <w:right w:val="single" w:sz="4" w:space="0" w:color="auto"/>
            </w:tcBorders>
            <w:noWrap/>
            <w:vAlign w:val="center"/>
            <w:hideMark/>
          </w:tcPr>
          <w:p w14:paraId="496BD7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PIVKA</w:t>
            </w:r>
          </w:p>
        </w:tc>
      </w:tr>
      <w:tr w:rsidR="00F24E18" w14:paraId="06D49A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076C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1016</w:t>
            </w:r>
          </w:p>
        </w:tc>
        <w:tc>
          <w:tcPr>
            <w:tcW w:w="1300" w:type="dxa"/>
            <w:tcBorders>
              <w:top w:val="nil"/>
              <w:left w:val="nil"/>
              <w:bottom w:val="single" w:sz="4" w:space="0" w:color="auto"/>
              <w:right w:val="single" w:sz="4" w:space="0" w:color="auto"/>
            </w:tcBorders>
            <w:vAlign w:val="center"/>
            <w:hideMark/>
          </w:tcPr>
          <w:p w14:paraId="0BD824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5883997000</w:t>
            </w:r>
          </w:p>
        </w:tc>
        <w:tc>
          <w:tcPr>
            <w:tcW w:w="1012" w:type="dxa"/>
            <w:tcBorders>
              <w:top w:val="nil"/>
              <w:left w:val="nil"/>
              <w:bottom w:val="single" w:sz="4" w:space="0" w:color="auto"/>
              <w:right w:val="single" w:sz="4" w:space="0" w:color="auto"/>
            </w:tcBorders>
            <w:vAlign w:val="center"/>
            <w:hideMark/>
          </w:tcPr>
          <w:p w14:paraId="7E0619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83117989</w:t>
            </w:r>
          </w:p>
        </w:tc>
        <w:tc>
          <w:tcPr>
            <w:tcW w:w="5953" w:type="dxa"/>
            <w:tcBorders>
              <w:top w:val="nil"/>
              <w:left w:val="nil"/>
              <w:bottom w:val="single" w:sz="4" w:space="0" w:color="auto"/>
              <w:right w:val="single" w:sz="4" w:space="0" w:color="auto"/>
            </w:tcBorders>
            <w:noWrap/>
            <w:vAlign w:val="center"/>
            <w:hideMark/>
          </w:tcPr>
          <w:p w14:paraId="4B0E83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PODČETRTEK</w:t>
            </w:r>
          </w:p>
        </w:tc>
      </w:tr>
      <w:tr w:rsidR="00F24E18" w14:paraId="77503D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3354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1017</w:t>
            </w:r>
          </w:p>
        </w:tc>
        <w:tc>
          <w:tcPr>
            <w:tcW w:w="1300" w:type="dxa"/>
            <w:tcBorders>
              <w:top w:val="nil"/>
              <w:left w:val="nil"/>
              <w:bottom w:val="single" w:sz="4" w:space="0" w:color="auto"/>
              <w:right w:val="single" w:sz="4" w:space="0" w:color="auto"/>
            </w:tcBorders>
            <w:noWrap/>
            <w:vAlign w:val="center"/>
            <w:hideMark/>
          </w:tcPr>
          <w:p w14:paraId="3D39D3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5881668000</w:t>
            </w:r>
          </w:p>
        </w:tc>
        <w:tc>
          <w:tcPr>
            <w:tcW w:w="1012" w:type="dxa"/>
            <w:tcBorders>
              <w:top w:val="nil"/>
              <w:left w:val="nil"/>
              <w:bottom w:val="single" w:sz="4" w:space="0" w:color="auto"/>
              <w:right w:val="single" w:sz="4" w:space="0" w:color="auto"/>
            </w:tcBorders>
            <w:noWrap/>
            <w:vAlign w:val="center"/>
            <w:hideMark/>
          </w:tcPr>
          <w:p w14:paraId="6E6464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42106257</w:t>
            </w:r>
          </w:p>
        </w:tc>
        <w:tc>
          <w:tcPr>
            <w:tcW w:w="5953" w:type="dxa"/>
            <w:tcBorders>
              <w:top w:val="nil"/>
              <w:left w:val="nil"/>
              <w:bottom w:val="single" w:sz="4" w:space="0" w:color="auto"/>
              <w:right w:val="single" w:sz="4" w:space="0" w:color="auto"/>
            </w:tcBorders>
            <w:noWrap/>
            <w:vAlign w:val="center"/>
            <w:hideMark/>
          </w:tcPr>
          <w:p w14:paraId="1C72B3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PODVELKA</w:t>
            </w:r>
          </w:p>
        </w:tc>
      </w:tr>
      <w:tr w:rsidR="00F24E18" w14:paraId="49D372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5EEE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1018</w:t>
            </w:r>
          </w:p>
        </w:tc>
        <w:tc>
          <w:tcPr>
            <w:tcW w:w="1300" w:type="dxa"/>
            <w:tcBorders>
              <w:top w:val="nil"/>
              <w:left w:val="nil"/>
              <w:bottom w:val="single" w:sz="4" w:space="0" w:color="auto"/>
              <w:right w:val="single" w:sz="4" w:space="0" w:color="auto"/>
            </w:tcBorders>
            <w:noWrap/>
            <w:vAlign w:val="center"/>
            <w:hideMark/>
          </w:tcPr>
          <w:p w14:paraId="40E63F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2242745000</w:t>
            </w:r>
          </w:p>
        </w:tc>
        <w:tc>
          <w:tcPr>
            <w:tcW w:w="1012" w:type="dxa"/>
            <w:tcBorders>
              <w:top w:val="nil"/>
              <w:left w:val="nil"/>
              <w:bottom w:val="single" w:sz="4" w:space="0" w:color="auto"/>
              <w:right w:val="single" w:sz="4" w:space="0" w:color="auto"/>
            </w:tcBorders>
            <w:noWrap/>
            <w:vAlign w:val="center"/>
            <w:hideMark/>
          </w:tcPr>
          <w:p w14:paraId="5C2C4F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30543673</w:t>
            </w:r>
          </w:p>
        </w:tc>
        <w:tc>
          <w:tcPr>
            <w:tcW w:w="5953" w:type="dxa"/>
            <w:tcBorders>
              <w:top w:val="nil"/>
              <w:left w:val="nil"/>
              <w:bottom w:val="single" w:sz="4" w:space="0" w:color="auto"/>
              <w:right w:val="single" w:sz="4" w:space="0" w:color="auto"/>
            </w:tcBorders>
            <w:noWrap/>
            <w:vAlign w:val="center"/>
            <w:hideMark/>
          </w:tcPr>
          <w:p w14:paraId="2AF9BC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POLJČANE</w:t>
            </w:r>
          </w:p>
        </w:tc>
      </w:tr>
      <w:tr w:rsidR="00F24E18" w14:paraId="4848F52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DB79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1019</w:t>
            </w:r>
          </w:p>
        </w:tc>
        <w:tc>
          <w:tcPr>
            <w:tcW w:w="1300" w:type="dxa"/>
            <w:tcBorders>
              <w:top w:val="nil"/>
              <w:left w:val="nil"/>
              <w:bottom w:val="single" w:sz="4" w:space="0" w:color="auto"/>
              <w:right w:val="single" w:sz="4" w:space="0" w:color="auto"/>
            </w:tcBorders>
            <w:noWrap/>
            <w:vAlign w:val="center"/>
            <w:hideMark/>
          </w:tcPr>
          <w:p w14:paraId="31DF72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1357603000</w:t>
            </w:r>
          </w:p>
        </w:tc>
        <w:tc>
          <w:tcPr>
            <w:tcW w:w="1012" w:type="dxa"/>
            <w:tcBorders>
              <w:top w:val="nil"/>
              <w:left w:val="nil"/>
              <w:bottom w:val="single" w:sz="4" w:space="0" w:color="auto"/>
              <w:right w:val="single" w:sz="4" w:space="0" w:color="auto"/>
            </w:tcBorders>
            <w:noWrap/>
            <w:vAlign w:val="center"/>
            <w:hideMark/>
          </w:tcPr>
          <w:p w14:paraId="6429F0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27768228</w:t>
            </w:r>
          </w:p>
        </w:tc>
        <w:tc>
          <w:tcPr>
            <w:tcW w:w="5953" w:type="dxa"/>
            <w:tcBorders>
              <w:top w:val="nil"/>
              <w:left w:val="nil"/>
              <w:bottom w:val="single" w:sz="4" w:space="0" w:color="auto"/>
              <w:right w:val="single" w:sz="4" w:space="0" w:color="auto"/>
            </w:tcBorders>
            <w:noWrap/>
            <w:vAlign w:val="center"/>
            <w:hideMark/>
          </w:tcPr>
          <w:p w14:paraId="38058E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POLZELA</w:t>
            </w:r>
          </w:p>
        </w:tc>
      </w:tr>
      <w:tr w:rsidR="00F24E18" w14:paraId="1F8E38B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F10D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1020</w:t>
            </w:r>
          </w:p>
        </w:tc>
        <w:tc>
          <w:tcPr>
            <w:tcW w:w="1300" w:type="dxa"/>
            <w:tcBorders>
              <w:top w:val="nil"/>
              <w:left w:val="nil"/>
              <w:bottom w:val="single" w:sz="4" w:space="0" w:color="auto"/>
              <w:right w:val="single" w:sz="4" w:space="0" w:color="auto"/>
            </w:tcBorders>
            <w:vAlign w:val="center"/>
            <w:hideMark/>
          </w:tcPr>
          <w:p w14:paraId="07AAE2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5883512000</w:t>
            </w:r>
          </w:p>
        </w:tc>
        <w:tc>
          <w:tcPr>
            <w:tcW w:w="1012" w:type="dxa"/>
            <w:tcBorders>
              <w:top w:val="nil"/>
              <w:left w:val="nil"/>
              <w:bottom w:val="single" w:sz="4" w:space="0" w:color="auto"/>
              <w:right w:val="single" w:sz="4" w:space="0" w:color="auto"/>
            </w:tcBorders>
            <w:vAlign w:val="center"/>
            <w:hideMark/>
          </w:tcPr>
          <w:p w14:paraId="41C282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13053973</w:t>
            </w:r>
          </w:p>
        </w:tc>
        <w:tc>
          <w:tcPr>
            <w:tcW w:w="5953" w:type="dxa"/>
            <w:tcBorders>
              <w:top w:val="nil"/>
              <w:left w:val="nil"/>
              <w:bottom w:val="single" w:sz="4" w:space="0" w:color="auto"/>
              <w:right w:val="single" w:sz="4" w:space="0" w:color="auto"/>
            </w:tcBorders>
            <w:noWrap/>
            <w:vAlign w:val="center"/>
            <w:hideMark/>
          </w:tcPr>
          <w:p w14:paraId="5E167B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POSTOJNA</w:t>
            </w:r>
          </w:p>
        </w:tc>
      </w:tr>
      <w:tr w:rsidR="00F24E18" w14:paraId="1BD1B86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21DD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1021</w:t>
            </w:r>
          </w:p>
        </w:tc>
        <w:tc>
          <w:tcPr>
            <w:tcW w:w="1300" w:type="dxa"/>
            <w:tcBorders>
              <w:top w:val="nil"/>
              <w:left w:val="nil"/>
              <w:bottom w:val="single" w:sz="4" w:space="0" w:color="auto"/>
              <w:right w:val="single" w:sz="4" w:space="0" w:color="auto"/>
            </w:tcBorders>
            <w:vAlign w:val="center"/>
            <w:hideMark/>
          </w:tcPr>
          <w:p w14:paraId="642E0E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1357654000</w:t>
            </w:r>
          </w:p>
        </w:tc>
        <w:tc>
          <w:tcPr>
            <w:tcW w:w="1012" w:type="dxa"/>
            <w:tcBorders>
              <w:top w:val="nil"/>
              <w:left w:val="nil"/>
              <w:bottom w:val="single" w:sz="4" w:space="0" w:color="auto"/>
              <w:right w:val="single" w:sz="4" w:space="0" w:color="auto"/>
            </w:tcBorders>
            <w:vAlign w:val="center"/>
            <w:hideMark/>
          </w:tcPr>
          <w:p w14:paraId="55FD0B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39527972</w:t>
            </w:r>
          </w:p>
        </w:tc>
        <w:tc>
          <w:tcPr>
            <w:tcW w:w="5953" w:type="dxa"/>
            <w:tcBorders>
              <w:top w:val="nil"/>
              <w:left w:val="nil"/>
              <w:bottom w:val="single" w:sz="4" w:space="0" w:color="auto"/>
              <w:right w:val="single" w:sz="4" w:space="0" w:color="auto"/>
            </w:tcBorders>
            <w:noWrap/>
            <w:vAlign w:val="center"/>
            <w:hideMark/>
          </w:tcPr>
          <w:p w14:paraId="67A0B8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PREBOLD</w:t>
            </w:r>
          </w:p>
        </w:tc>
      </w:tr>
      <w:tr w:rsidR="00F24E18" w14:paraId="74A0F0D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9AFA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1022</w:t>
            </w:r>
          </w:p>
        </w:tc>
        <w:tc>
          <w:tcPr>
            <w:tcW w:w="1300" w:type="dxa"/>
            <w:tcBorders>
              <w:top w:val="nil"/>
              <w:left w:val="nil"/>
              <w:bottom w:val="single" w:sz="4" w:space="0" w:color="auto"/>
              <w:right w:val="single" w:sz="4" w:space="0" w:color="auto"/>
            </w:tcBorders>
            <w:vAlign w:val="center"/>
            <w:hideMark/>
          </w:tcPr>
          <w:p w14:paraId="6F7A10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5874599000</w:t>
            </w:r>
          </w:p>
        </w:tc>
        <w:tc>
          <w:tcPr>
            <w:tcW w:w="1012" w:type="dxa"/>
            <w:tcBorders>
              <w:top w:val="nil"/>
              <w:left w:val="nil"/>
              <w:bottom w:val="single" w:sz="4" w:space="0" w:color="auto"/>
              <w:right w:val="single" w:sz="4" w:space="0" w:color="auto"/>
            </w:tcBorders>
            <w:vAlign w:val="center"/>
            <w:hideMark/>
          </w:tcPr>
          <w:p w14:paraId="38C714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77195108</w:t>
            </w:r>
          </w:p>
        </w:tc>
        <w:tc>
          <w:tcPr>
            <w:tcW w:w="5953" w:type="dxa"/>
            <w:tcBorders>
              <w:top w:val="nil"/>
              <w:left w:val="nil"/>
              <w:bottom w:val="single" w:sz="4" w:space="0" w:color="auto"/>
              <w:right w:val="single" w:sz="4" w:space="0" w:color="auto"/>
            </w:tcBorders>
            <w:noWrap/>
            <w:vAlign w:val="center"/>
            <w:hideMark/>
          </w:tcPr>
          <w:p w14:paraId="486563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PREDDVOR</w:t>
            </w:r>
          </w:p>
        </w:tc>
      </w:tr>
      <w:tr w:rsidR="00F24E18" w14:paraId="74EA5D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4492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1023</w:t>
            </w:r>
          </w:p>
        </w:tc>
        <w:tc>
          <w:tcPr>
            <w:tcW w:w="1300" w:type="dxa"/>
            <w:tcBorders>
              <w:top w:val="nil"/>
              <w:left w:val="nil"/>
              <w:bottom w:val="single" w:sz="4" w:space="0" w:color="auto"/>
              <w:right w:val="single" w:sz="4" w:space="0" w:color="auto"/>
            </w:tcBorders>
            <w:vAlign w:val="center"/>
            <w:hideMark/>
          </w:tcPr>
          <w:p w14:paraId="2AB1E7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1357719000</w:t>
            </w:r>
          </w:p>
        </w:tc>
        <w:tc>
          <w:tcPr>
            <w:tcW w:w="1012" w:type="dxa"/>
            <w:tcBorders>
              <w:top w:val="nil"/>
              <w:left w:val="nil"/>
              <w:bottom w:val="single" w:sz="4" w:space="0" w:color="auto"/>
              <w:right w:val="single" w:sz="4" w:space="0" w:color="auto"/>
            </w:tcBorders>
            <w:vAlign w:val="center"/>
            <w:hideMark/>
          </w:tcPr>
          <w:p w14:paraId="06151C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28520513</w:t>
            </w:r>
          </w:p>
        </w:tc>
        <w:tc>
          <w:tcPr>
            <w:tcW w:w="5953" w:type="dxa"/>
            <w:tcBorders>
              <w:top w:val="nil"/>
              <w:left w:val="nil"/>
              <w:bottom w:val="single" w:sz="4" w:space="0" w:color="auto"/>
              <w:right w:val="single" w:sz="4" w:space="0" w:color="auto"/>
            </w:tcBorders>
            <w:noWrap/>
            <w:vAlign w:val="center"/>
            <w:hideMark/>
          </w:tcPr>
          <w:p w14:paraId="72EC78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PREVALJE</w:t>
            </w:r>
          </w:p>
        </w:tc>
      </w:tr>
      <w:tr w:rsidR="00F24E18" w14:paraId="0590B2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1C43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1024</w:t>
            </w:r>
          </w:p>
        </w:tc>
        <w:tc>
          <w:tcPr>
            <w:tcW w:w="1300" w:type="dxa"/>
            <w:tcBorders>
              <w:top w:val="nil"/>
              <w:left w:val="nil"/>
              <w:bottom w:val="single" w:sz="4" w:space="0" w:color="auto"/>
              <w:right w:val="single" w:sz="4" w:space="0" w:color="auto"/>
            </w:tcBorders>
            <w:vAlign w:val="center"/>
            <w:hideMark/>
          </w:tcPr>
          <w:p w14:paraId="7D4641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5883237000</w:t>
            </w:r>
          </w:p>
        </w:tc>
        <w:tc>
          <w:tcPr>
            <w:tcW w:w="1012" w:type="dxa"/>
            <w:tcBorders>
              <w:top w:val="nil"/>
              <w:left w:val="nil"/>
              <w:bottom w:val="single" w:sz="4" w:space="0" w:color="auto"/>
              <w:right w:val="single" w:sz="4" w:space="0" w:color="auto"/>
            </w:tcBorders>
            <w:vAlign w:val="center"/>
            <w:hideMark/>
          </w:tcPr>
          <w:p w14:paraId="0B4B2F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70902020</w:t>
            </w:r>
          </w:p>
        </w:tc>
        <w:tc>
          <w:tcPr>
            <w:tcW w:w="5953" w:type="dxa"/>
            <w:tcBorders>
              <w:top w:val="nil"/>
              <w:left w:val="nil"/>
              <w:bottom w:val="single" w:sz="4" w:space="0" w:color="auto"/>
              <w:right w:val="single" w:sz="4" w:space="0" w:color="auto"/>
            </w:tcBorders>
            <w:noWrap/>
            <w:vAlign w:val="center"/>
            <w:hideMark/>
          </w:tcPr>
          <w:p w14:paraId="5E6937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PUCONCI</w:t>
            </w:r>
          </w:p>
        </w:tc>
      </w:tr>
      <w:tr w:rsidR="00F24E18" w14:paraId="78828EC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2C73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1025</w:t>
            </w:r>
          </w:p>
        </w:tc>
        <w:tc>
          <w:tcPr>
            <w:tcW w:w="1300" w:type="dxa"/>
            <w:tcBorders>
              <w:top w:val="nil"/>
              <w:left w:val="nil"/>
              <w:bottom w:val="single" w:sz="4" w:space="0" w:color="auto"/>
              <w:right w:val="single" w:sz="4" w:space="0" w:color="auto"/>
            </w:tcBorders>
            <w:vAlign w:val="center"/>
            <w:hideMark/>
          </w:tcPr>
          <w:p w14:paraId="134994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5883253000</w:t>
            </w:r>
          </w:p>
        </w:tc>
        <w:tc>
          <w:tcPr>
            <w:tcW w:w="1012" w:type="dxa"/>
            <w:tcBorders>
              <w:top w:val="nil"/>
              <w:left w:val="nil"/>
              <w:bottom w:val="single" w:sz="4" w:space="0" w:color="auto"/>
              <w:right w:val="single" w:sz="4" w:space="0" w:color="auto"/>
            </w:tcBorders>
            <w:vAlign w:val="center"/>
            <w:hideMark/>
          </w:tcPr>
          <w:p w14:paraId="08DA7D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85992046</w:t>
            </w:r>
          </w:p>
        </w:tc>
        <w:tc>
          <w:tcPr>
            <w:tcW w:w="5953" w:type="dxa"/>
            <w:tcBorders>
              <w:top w:val="nil"/>
              <w:left w:val="nil"/>
              <w:bottom w:val="single" w:sz="4" w:space="0" w:color="auto"/>
              <w:right w:val="single" w:sz="4" w:space="0" w:color="auto"/>
            </w:tcBorders>
            <w:noWrap/>
            <w:vAlign w:val="center"/>
            <w:hideMark/>
          </w:tcPr>
          <w:p w14:paraId="410BB0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RAČE-FRAM</w:t>
            </w:r>
          </w:p>
        </w:tc>
      </w:tr>
      <w:tr w:rsidR="00F24E18" w14:paraId="3BFF2C7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AD82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1026</w:t>
            </w:r>
          </w:p>
        </w:tc>
        <w:tc>
          <w:tcPr>
            <w:tcW w:w="1300" w:type="dxa"/>
            <w:tcBorders>
              <w:top w:val="nil"/>
              <w:left w:val="nil"/>
              <w:bottom w:val="single" w:sz="4" w:space="0" w:color="auto"/>
              <w:right w:val="single" w:sz="4" w:space="0" w:color="auto"/>
            </w:tcBorders>
            <w:vAlign w:val="center"/>
            <w:hideMark/>
          </w:tcPr>
          <w:p w14:paraId="72611B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5874491000</w:t>
            </w:r>
          </w:p>
        </w:tc>
        <w:tc>
          <w:tcPr>
            <w:tcW w:w="1012" w:type="dxa"/>
            <w:tcBorders>
              <w:top w:val="nil"/>
              <w:left w:val="nil"/>
              <w:bottom w:val="single" w:sz="4" w:space="0" w:color="auto"/>
              <w:right w:val="single" w:sz="4" w:space="0" w:color="auto"/>
            </w:tcBorders>
            <w:vAlign w:val="center"/>
            <w:hideMark/>
          </w:tcPr>
          <w:p w14:paraId="127962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50643720</w:t>
            </w:r>
          </w:p>
        </w:tc>
        <w:tc>
          <w:tcPr>
            <w:tcW w:w="5953" w:type="dxa"/>
            <w:tcBorders>
              <w:top w:val="nil"/>
              <w:left w:val="nil"/>
              <w:bottom w:val="single" w:sz="4" w:space="0" w:color="auto"/>
              <w:right w:val="single" w:sz="4" w:space="0" w:color="auto"/>
            </w:tcBorders>
            <w:noWrap/>
            <w:vAlign w:val="center"/>
            <w:hideMark/>
          </w:tcPr>
          <w:p w14:paraId="55D088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RADEČE</w:t>
            </w:r>
          </w:p>
        </w:tc>
      </w:tr>
      <w:tr w:rsidR="00F24E18" w14:paraId="71EF191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58B1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1027</w:t>
            </w:r>
          </w:p>
        </w:tc>
        <w:tc>
          <w:tcPr>
            <w:tcW w:w="1300" w:type="dxa"/>
            <w:tcBorders>
              <w:top w:val="nil"/>
              <w:left w:val="nil"/>
              <w:bottom w:val="single" w:sz="4" w:space="0" w:color="auto"/>
              <w:right w:val="single" w:sz="4" w:space="0" w:color="auto"/>
            </w:tcBorders>
            <w:vAlign w:val="center"/>
            <w:hideMark/>
          </w:tcPr>
          <w:p w14:paraId="30AC11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5880297000</w:t>
            </w:r>
          </w:p>
        </w:tc>
        <w:tc>
          <w:tcPr>
            <w:tcW w:w="1012" w:type="dxa"/>
            <w:tcBorders>
              <w:top w:val="nil"/>
              <w:left w:val="nil"/>
              <w:bottom w:val="single" w:sz="4" w:space="0" w:color="auto"/>
              <w:right w:val="single" w:sz="4" w:space="0" w:color="auto"/>
            </w:tcBorders>
            <w:vAlign w:val="center"/>
            <w:hideMark/>
          </w:tcPr>
          <w:p w14:paraId="542267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53944640</w:t>
            </w:r>
          </w:p>
        </w:tc>
        <w:tc>
          <w:tcPr>
            <w:tcW w:w="5953" w:type="dxa"/>
            <w:tcBorders>
              <w:top w:val="nil"/>
              <w:left w:val="nil"/>
              <w:bottom w:val="single" w:sz="4" w:space="0" w:color="auto"/>
              <w:right w:val="single" w:sz="4" w:space="0" w:color="auto"/>
            </w:tcBorders>
            <w:noWrap/>
            <w:vAlign w:val="center"/>
            <w:hideMark/>
          </w:tcPr>
          <w:p w14:paraId="46EFA0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RADENCI</w:t>
            </w:r>
          </w:p>
        </w:tc>
      </w:tr>
      <w:tr w:rsidR="00F24E18" w14:paraId="785B612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A349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1028</w:t>
            </w:r>
          </w:p>
        </w:tc>
        <w:tc>
          <w:tcPr>
            <w:tcW w:w="1300" w:type="dxa"/>
            <w:tcBorders>
              <w:top w:val="nil"/>
              <w:left w:val="nil"/>
              <w:bottom w:val="single" w:sz="4" w:space="0" w:color="auto"/>
              <w:right w:val="single" w:sz="4" w:space="0" w:color="auto"/>
            </w:tcBorders>
            <w:vAlign w:val="center"/>
            <w:hideMark/>
          </w:tcPr>
          <w:p w14:paraId="1F54DB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5881811000</w:t>
            </w:r>
          </w:p>
        </w:tc>
        <w:tc>
          <w:tcPr>
            <w:tcW w:w="1012" w:type="dxa"/>
            <w:tcBorders>
              <w:top w:val="nil"/>
              <w:left w:val="nil"/>
              <w:bottom w:val="single" w:sz="4" w:space="0" w:color="auto"/>
              <w:right w:val="single" w:sz="4" w:space="0" w:color="auto"/>
            </w:tcBorders>
            <w:vAlign w:val="center"/>
            <w:hideMark/>
          </w:tcPr>
          <w:p w14:paraId="156D1D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12310727</w:t>
            </w:r>
          </w:p>
        </w:tc>
        <w:tc>
          <w:tcPr>
            <w:tcW w:w="5953" w:type="dxa"/>
            <w:tcBorders>
              <w:top w:val="nil"/>
              <w:left w:val="nil"/>
              <w:bottom w:val="single" w:sz="4" w:space="0" w:color="auto"/>
              <w:right w:val="single" w:sz="4" w:space="0" w:color="auto"/>
            </w:tcBorders>
            <w:noWrap/>
            <w:vAlign w:val="center"/>
            <w:hideMark/>
          </w:tcPr>
          <w:p w14:paraId="1619D7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RADLJE OB DRAVI</w:t>
            </w:r>
          </w:p>
        </w:tc>
      </w:tr>
      <w:tr w:rsidR="00F24E18" w14:paraId="5FC3F6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AA78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1029</w:t>
            </w:r>
          </w:p>
        </w:tc>
        <w:tc>
          <w:tcPr>
            <w:tcW w:w="1300" w:type="dxa"/>
            <w:tcBorders>
              <w:top w:val="nil"/>
              <w:left w:val="nil"/>
              <w:bottom w:val="single" w:sz="4" w:space="0" w:color="auto"/>
              <w:right w:val="single" w:sz="4" w:space="0" w:color="auto"/>
            </w:tcBorders>
            <w:vAlign w:val="center"/>
            <w:hideMark/>
          </w:tcPr>
          <w:p w14:paraId="7AF09D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5883466000</w:t>
            </w:r>
          </w:p>
        </w:tc>
        <w:tc>
          <w:tcPr>
            <w:tcW w:w="1012" w:type="dxa"/>
            <w:tcBorders>
              <w:top w:val="nil"/>
              <w:left w:val="nil"/>
              <w:bottom w:val="single" w:sz="4" w:space="0" w:color="auto"/>
              <w:right w:val="single" w:sz="4" w:space="0" w:color="auto"/>
            </w:tcBorders>
            <w:vAlign w:val="center"/>
            <w:hideMark/>
          </w:tcPr>
          <w:p w14:paraId="7BC735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67759076</w:t>
            </w:r>
          </w:p>
        </w:tc>
        <w:tc>
          <w:tcPr>
            <w:tcW w:w="5953" w:type="dxa"/>
            <w:tcBorders>
              <w:top w:val="nil"/>
              <w:left w:val="nil"/>
              <w:bottom w:val="single" w:sz="4" w:space="0" w:color="auto"/>
              <w:right w:val="single" w:sz="4" w:space="0" w:color="auto"/>
            </w:tcBorders>
            <w:noWrap/>
            <w:vAlign w:val="center"/>
            <w:hideMark/>
          </w:tcPr>
          <w:p w14:paraId="246207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RADOVLJICA</w:t>
            </w:r>
          </w:p>
        </w:tc>
      </w:tr>
      <w:tr w:rsidR="00F24E18" w14:paraId="5BA364F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E6C3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1030</w:t>
            </w:r>
          </w:p>
        </w:tc>
        <w:tc>
          <w:tcPr>
            <w:tcW w:w="1300" w:type="dxa"/>
            <w:tcBorders>
              <w:top w:val="nil"/>
              <w:left w:val="nil"/>
              <w:bottom w:val="single" w:sz="4" w:space="0" w:color="auto"/>
              <w:right w:val="single" w:sz="4" w:space="0" w:color="auto"/>
            </w:tcBorders>
            <w:vAlign w:val="center"/>
            <w:hideMark/>
          </w:tcPr>
          <w:p w14:paraId="5EF4D6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5883628000</w:t>
            </w:r>
          </w:p>
        </w:tc>
        <w:tc>
          <w:tcPr>
            <w:tcW w:w="1012" w:type="dxa"/>
            <w:tcBorders>
              <w:top w:val="nil"/>
              <w:left w:val="nil"/>
              <w:bottom w:val="single" w:sz="4" w:space="0" w:color="auto"/>
              <w:right w:val="single" w:sz="4" w:space="0" w:color="auto"/>
            </w:tcBorders>
            <w:vAlign w:val="center"/>
            <w:hideMark/>
          </w:tcPr>
          <w:p w14:paraId="71D483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48626244</w:t>
            </w:r>
          </w:p>
        </w:tc>
        <w:tc>
          <w:tcPr>
            <w:tcW w:w="5953" w:type="dxa"/>
            <w:tcBorders>
              <w:top w:val="nil"/>
              <w:left w:val="nil"/>
              <w:bottom w:val="single" w:sz="4" w:space="0" w:color="auto"/>
              <w:right w:val="single" w:sz="4" w:space="0" w:color="auto"/>
            </w:tcBorders>
            <w:noWrap/>
            <w:vAlign w:val="center"/>
            <w:hideMark/>
          </w:tcPr>
          <w:p w14:paraId="00CD36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RAVNE NA KOROŠKEM</w:t>
            </w:r>
          </w:p>
        </w:tc>
      </w:tr>
      <w:tr w:rsidR="00F24E18" w14:paraId="2E1F9B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660A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1031</w:t>
            </w:r>
          </w:p>
        </w:tc>
        <w:tc>
          <w:tcPr>
            <w:tcW w:w="1300" w:type="dxa"/>
            <w:tcBorders>
              <w:top w:val="nil"/>
              <w:left w:val="nil"/>
              <w:bottom w:val="single" w:sz="4" w:space="0" w:color="auto"/>
              <w:right w:val="single" w:sz="4" w:space="0" w:color="auto"/>
            </w:tcBorders>
            <w:vAlign w:val="center"/>
            <w:hideMark/>
          </w:tcPr>
          <w:p w14:paraId="33A1B5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1332163000</w:t>
            </w:r>
          </w:p>
        </w:tc>
        <w:tc>
          <w:tcPr>
            <w:tcW w:w="1012" w:type="dxa"/>
            <w:tcBorders>
              <w:top w:val="nil"/>
              <w:left w:val="nil"/>
              <w:bottom w:val="single" w:sz="4" w:space="0" w:color="auto"/>
              <w:right w:val="single" w:sz="4" w:space="0" w:color="auto"/>
            </w:tcBorders>
            <w:vAlign w:val="center"/>
            <w:hideMark/>
          </w:tcPr>
          <w:p w14:paraId="5DB4E0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84157020</w:t>
            </w:r>
          </w:p>
        </w:tc>
        <w:tc>
          <w:tcPr>
            <w:tcW w:w="5953" w:type="dxa"/>
            <w:tcBorders>
              <w:top w:val="nil"/>
              <w:left w:val="nil"/>
              <w:bottom w:val="single" w:sz="4" w:space="0" w:color="auto"/>
              <w:right w:val="single" w:sz="4" w:space="0" w:color="auto"/>
            </w:tcBorders>
            <w:noWrap/>
            <w:vAlign w:val="center"/>
            <w:hideMark/>
          </w:tcPr>
          <w:p w14:paraId="7F1A46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RAZKRIŽJE</w:t>
            </w:r>
          </w:p>
        </w:tc>
      </w:tr>
      <w:tr w:rsidR="00F24E18" w14:paraId="5D1369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A45B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1032</w:t>
            </w:r>
          </w:p>
        </w:tc>
        <w:tc>
          <w:tcPr>
            <w:tcW w:w="1300" w:type="dxa"/>
            <w:tcBorders>
              <w:top w:val="nil"/>
              <w:left w:val="nil"/>
              <w:bottom w:val="single" w:sz="4" w:space="0" w:color="auto"/>
              <w:right w:val="single" w:sz="4" w:space="0" w:color="auto"/>
            </w:tcBorders>
            <w:noWrap/>
            <w:vAlign w:val="center"/>
            <w:hideMark/>
          </w:tcPr>
          <w:p w14:paraId="754C5A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2255987000</w:t>
            </w:r>
          </w:p>
        </w:tc>
        <w:tc>
          <w:tcPr>
            <w:tcW w:w="1012" w:type="dxa"/>
            <w:tcBorders>
              <w:top w:val="nil"/>
              <w:left w:val="nil"/>
              <w:bottom w:val="single" w:sz="4" w:space="0" w:color="auto"/>
              <w:right w:val="single" w:sz="4" w:space="0" w:color="auto"/>
            </w:tcBorders>
            <w:noWrap/>
            <w:vAlign w:val="center"/>
            <w:hideMark/>
          </w:tcPr>
          <w:p w14:paraId="0D3C5E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45064440</w:t>
            </w:r>
          </w:p>
        </w:tc>
        <w:tc>
          <w:tcPr>
            <w:tcW w:w="5953" w:type="dxa"/>
            <w:tcBorders>
              <w:top w:val="nil"/>
              <w:left w:val="nil"/>
              <w:bottom w:val="single" w:sz="4" w:space="0" w:color="auto"/>
              <w:right w:val="single" w:sz="4" w:space="0" w:color="auto"/>
            </w:tcBorders>
            <w:noWrap/>
            <w:vAlign w:val="center"/>
            <w:hideMark/>
          </w:tcPr>
          <w:p w14:paraId="6005E4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REČICA OB SAVINJI</w:t>
            </w:r>
          </w:p>
        </w:tc>
      </w:tr>
      <w:tr w:rsidR="00F24E18" w14:paraId="1E8764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CA3C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1033</w:t>
            </w:r>
          </w:p>
        </w:tc>
        <w:tc>
          <w:tcPr>
            <w:tcW w:w="1300" w:type="dxa"/>
            <w:tcBorders>
              <w:top w:val="nil"/>
              <w:left w:val="nil"/>
              <w:bottom w:val="single" w:sz="4" w:space="0" w:color="auto"/>
              <w:right w:val="single" w:sz="4" w:space="0" w:color="auto"/>
            </w:tcBorders>
            <w:vAlign w:val="center"/>
            <w:hideMark/>
          </w:tcPr>
          <w:p w14:paraId="056D05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2203553000</w:t>
            </w:r>
          </w:p>
        </w:tc>
        <w:tc>
          <w:tcPr>
            <w:tcW w:w="1012" w:type="dxa"/>
            <w:tcBorders>
              <w:top w:val="nil"/>
              <w:left w:val="nil"/>
              <w:bottom w:val="single" w:sz="4" w:space="0" w:color="auto"/>
              <w:right w:val="single" w:sz="4" w:space="0" w:color="auto"/>
            </w:tcBorders>
            <w:vAlign w:val="center"/>
            <w:hideMark/>
          </w:tcPr>
          <w:p w14:paraId="428AF4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90522001</w:t>
            </w:r>
          </w:p>
        </w:tc>
        <w:tc>
          <w:tcPr>
            <w:tcW w:w="5953" w:type="dxa"/>
            <w:tcBorders>
              <w:top w:val="nil"/>
              <w:left w:val="nil"/>
              <w:bottom w:val="single" w:sz="4" w:space="0" w:color="auto"/>
              <w:right w:val="single" w:sz="4" w:space="0" w:color="auto"/>
            </w:tcBorders>
            <w:noWrap/>
            <w:vAlign w:val="center"/>
            <w:hideMark/>
          </w:tcPr>
          <w:p w14:paraId="67E02F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RENČE - VOGRSKO</w:t>
            </w:r>
          </w:p>
        </w:tc>
      </w:tr>
      <w:tr w:rsidR="00F24E18" w14:paraId="4D9F27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3892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1034</w:t>
            </w:r>
          </w:p>
        </w:tc>
        <w:tc>
          <w:tcPr>
            <w:tcW w:w="1300" w:type="dxa"/>
            <w:tcBorders>
              <w:top w:val="nil"/>
              <w:left w:val="nil"/>
              <w:bottom w:val="single" w:sz="4" w:space="0" w:color="auto"/>
              <w:right w:val="single" w:sz="4" w:space="0" w:color="auto"/>
            </w:tcBorders>
            <w:vAlign w:val="center"/>
            <w:hideMark/>
          </w:tcPr>
          <w:p w14:paraId="545EB2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5883865000</w:t>
            </w:r>
          </w:p>
        </w:tc>
        <w:tc>
          <w:tcPr>
            <w:tcW w:w="1012" w:type="dxa"/>
            <w:tcBorders>
              <w:top w:val="nil"/>
              <w:left w:val="nil"/>
              <w:bottom w:val="single" w:sz="4" w:space="0" w:color="auto"/>
              <w:right w:val="single" w:sz="4" w:space="0" w:color="auto"/>
            </w:tcBorders>
            <w:vAlign w:val="center"/>
            <w:hideMark/>
          </w:tcPr>
          <w:p w14:paraId="4FDFF0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61623059</w:t>
            </w:r>
          </w:p>
        </w:tc>
        <w:tc>
          <w:tcPr>
            <w:tcW w:w="5953" w:type="dxa"/>
            <w:tcBorders>
              <w:top w:val="nil"/>
              <w:left w:val="nil"/>
              <w:bottom w:val="single" w:sz="4" w:space="0" w:color="auto"/>
              <w:right w:val="single" w:sz="4" w:space="0" w:color="auto"/>
            </w:tcBorders>
            <w:noWrap/>
            <w:vAlign w:val="center"/>
            <w:hideMark/>
          </w:tcPr>
          <w:p w14:paraId="5D16C5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RIBNICA</w:t>
            </w:r>
          </w:p>
        </w:tc>
      </w:tr>
      <w:tr w:rsidR="00F24E18" w14:paraId="172F1C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B1BC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1035</w:t>
            </w:r>
          </w:p>
        </w:tc>
        <w:tc>
          <w:tcPr>
            <w:tcW w:w="1300" w:type="dxa"/>
            <w:tcBorders>
              <w:top w:val="nil"/>
              <w:left w:val="nil"/>
              <w:bottom w:val="single" w:sz="4" w:space="0" w:color="auto"/>
              <w:right w:val="single" w:sz="4" w:space="0" w:color="auto"/>
            </w:tcBorders>
            <w:vAlign w:val="center"/>
            <w:hideMark/>
          </w:tcPr>
          <w:p w14:paraId="569D77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1358324000</w:t>
            </w:r>
          </w:p>
        </w:tc>
        <w:tc>
          <w:tcPr>
            <w:tcW w:w="1012" w:type="dxa"/>
            <w:tcBorders>
              <w:top w:val="nil"/>
              <w:left w:val="nil"/>
              <w:bottom w:val="single" w:sz="4" w:space="0" w:color="auto"/>
              <w:right w:val="single" w:sz="4" w:space="0" w:color="auto"/>
            </w:tcBorders>
            <w:vAlign w:val="center"/>
            <w:hideMark/>
          </w:tcPr>
          <w:p w14:paraId="720D9A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87880300</w:t>
            </w:r>
          </w:p>
        </w:tc>
        <w:tc>
          <w:tcPr>
            <w:tcW w:w="5953" w:type="dxa"/>
            <w:tcBorders>
              <w:top w:val="nil"/>
              <w:left w:val="nil"/>
              <w:bottom w:val="single" w:sz="4" w:space="0" w:color="auto"/>
              <w:right w:val="single" w:sz="4" w:space="0" w:color="auto"/>
            </w:tcBorders>
            <w:noWrap/>
            <w:vAlign w:val="center"/>
            <w:hideMark/>
          </w:tcPr>
          <w:p w14:paraId="0EEC38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RIBNICA NA POHORJU</w:t>
            </w:r>
          </w:p>
        </w:tc>
      </w:tr>
      <w:tr w:rsidR="00F24E18" w14:paraId="732F60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6F87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1036</w:t>
            </w:r>
          </w:p>
        </w:tc>
        <w:tc>
          <w:tcPr>
            <w:tcW w:w="1300" w:type="dxa"/>
            <w:tcBorders>
              <w:top w:val="nil"/>
              <w:left w:val="nil"/>
              <w:bottom w:val="single" w:sz="4" w:space="0" w:color="auto"/>
              <w:right w:val="single" w:sz="4" w:space="0" w:color="auto"/>
            </w:tcBorders>
            <w:vAlign w:val="center"/>
            <w:hideMark/>
          </w:tcPr>
          <w:p w14:paraId="22AB8D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5883946000</w:t>
            </w:r>
          </w:p>
        </w:tc>
        <w:tc>
          <w:tcPr>
            <w:tcW w:w="1012" w:type="dxa"/>
            <w:tcBorders>
              <w:top w:val="nil"/>
              <w:left w:val="nil"/>
              <w:bottom w:val="single" w:sz="4" w:space="0" w:color="auto"/>
              <w:right w:val="single" w:sz="4" w:space="0" w:color="auto"/>
            </w:tcBorders>
            <w:vAlign w:val="center"/>
            <w:hideMark/>
          </w:tcPr>
          <w:p w14:paraId="2A58DD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84699825</w:t>
            </w:r>
          </w:p>
        </w:tc>
        <w:tc>
          <w:tcPr>
            <w:tcW w:w="5953" w:type="dxa"/>
            <w:tcBorders>
              <w:top w:val="nil"/>
              <w:left w:val="nil"/>
              <w:bottom w:val="single" w:sz="4" w:space="0" w:color="auto"/>
              <w:right w:val="single" w:sz="4" w:space="0" w:color="auto"/>
            </w:tcBorders>
            <w:noWrap/>
            <w:vAlign w:val="center"/>
            <w:hideMark/>
          </w:tcPr>
          <w:p w14:paraId="2E2F99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ROGAŠKA SLATINA</w:t>
            </w:r>
          </w:p>
        </w:tc>
      </w:tr>
      <w:tr w:rsidR="00F24E18" w14:paraId="48E48B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848A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1037</w:t>
            </w:r>
          </w:p>
        </w:tc>
        <w:tc>
          <w:tcPr>
            <w:tcW w:w="1300" w:type="dxa"/>
            <w:tcBorders>
              <w:top w:val="nil"/>
              <w:left w:val="nil"/>
              <w:bottom w:val="single" w:sz="4" w:space="0" w:color="auto"/>
              <w:right w:val="single" w:sz="4" w:space="0" w:color="auto"/>
            </w:tcBorders>
            <w:vAlign w:val="center"/>
            <w:hideMark/>
          </w:tcPr>
          <w:p w14:paraId="26B85D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5883245000</w:t>
            </w:r>
          </w:p>
        </w:tc>
        <w:tc>
          <w:tcPr>
            <w:tcW w:w="1012" w:type="dxa"/>
            <w:tcBorders>
              <w:top w:val="nil"/>
              <w:left w:val="nil"/>
              <w:bottom w:val="single" w:sz="4" w:space="0" w:color="auto"/>
              <w:right w:val="single" w:sz="4" w:space="0" w:color="auto"/>
            </w:tcBorders>
            <w:vAlign w:val="center"/>
            <w:hideMark/>
          </w:tcPr>
          <w:p w14:paraId="09DFC7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61143707</w:t>
            </w:r>
          </w:p>
        </w:tc>
        <w:tc>
          <w:tcPr>
            <w:tcW w:w="5953" w:type="dxa"/>
            <w:tcBorders>
              <w:top w:val="nil"/>
              <w:left w:val="nil"/>
              <w:bottom w:val="single" w:sz="4" w:space="0" w:color="auto"/>
              <w:right w:val="single" w:sz="4" w:space="0" w:color="auto"/>
            </w:tcBorders>
            <w:noWrap/>
            <w:vAlign w:val="center"/>
            <w:hideMark/>
          </w:tcPr>
          <w:p w14:paraId="6906E7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ROGAŠOVCI</w:t>
            </w:r>
          </w:p>
        </w:tc>
      </w:tr>
      <w:tr w:rsidR="00F24E18" w14:paraId="6A2EF4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C2EA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1038</w:t>
            </w:r>
          </w:p>
        </w:tc>
        <w:tc>
          <w:tcPr>
            <w:tcW w:w="1300" w:type="dxa"/>
            <w:tcBorders>
              <w:top w:val="nil"/>
              <w:left w:val="nil"/>
              <w:bottom w:val="single" w:sz="4" w:space="0" w:color="auto"/>
              <w:right w:val="single" w:sz="4" w:space="0" w:color="auto"/>
            </w:tcBorders>
            <w:vAlign w:val="center"/>
            <w:hideMark/>
          </w:tcPr>
          <w:p w14:paraId="0AB435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5883938000</w:t>
            </w:r>
          </w:p>
        </w:tc>
        <w:tc>
          <w:tcPr>
            <w:tcW w:w="1012" w:type="dxa"/>
            <w:tcBorders>
              <w:top w:val="nil"/>
              <w:left w:val="nil"/>
              <w:bottom w:val="single" w:sz="4" w:space="0" w:color="auto"/>
              <w:right w:val="single" w:sz="4" w:space="0" w:color="auto"/>
            </w:tcBorders>
            <w:vAlign w:val="center"/>
            <w:hideMark/>
          </w:tcPr>
          <w:p w14:paraId="3E8269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47348429</w:t>
            </w:r>
          </w:p>
        </w:tc>
        <w:tc>
          <w:tcPr>
            <w:tcW w:w="5953" w:type="dxa"/>
            <w:tcBorders>
              <w:top w:val="nil"/>
              <w:left w:val="nil"/>
              <w:bottom w:val="single" w:sz="4" w:space="0" w:color="auto"/>
              <w:right w:val="single" w:sz="4" w:space="0" w:color="auto"/>
            </w:tcBorders>
            <w:noWrap/>
            <w:vAlign w:val="center"/>
            <w:hideMark/>
          </w:tcPr>
          <w:p w14:paraId="2C162F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ROGATEC</w:t>
            </w:r>
          </w:p>
        </w:tc>
      </w:tr>
      <w:tr w:rsidR="00F24E18" w14:paraId="7E01796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5D52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1039</w:t>
            </w:r>
          </w:p>
        </w:tc>
        <w:tc>
          <w:tcPr>
            <w:tcW w:w="1300" w:type="dxa"/>
            <w:tcBorders>
              <w:top w:val="nil"/>
              <w:left w:val="nil"/>
              <w:bottom w:val="single" w:sz="4" w:space="0" w:color="auto"/>
              <w:right w:val="single" w:sz="4" w:space="0" w:color="auto"/>
            </w:tcBorders>
            <w:vAlign w:val="center"/>
            <w:hideMark/>
          </w:tcPr>
          <w:p w14:paraId="6536DA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5883571000</w:t>
            </w:r>
          </w:p>
        </w:tc>
        <w:tc>
          <w:tcPr>
            <w:tcW w:w="1012" w:type="dxa"/>
            <w:tcBorders>
              <w:top w:val="nil"/>
              <w:left w:val="nil"/>
              <w:bottom w:val="single" w:sz="4" w:space="0" w:color="auto"/>
              <w:right w:val="single" w:sz="4" w:space="0" w:color="auto"/>
            </w:tcBorders>
            <w:vAlign w:val="center"/>
            <w:hideMark/>
          </w:tcPr>
          <w:p w14:paraId="0476AF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81314485</w:t>
            </w:r>
          </w:p>
        </w:tc>
        <w:tc>
          <w:tcPr>
            <w:tcW w:w="5953" w:type="dxa"/>
            <w:tcBorders>
              <w:top w:val="nil"/>
              <w:left w:val="nil"/>
              <w:bottom w:val="single" w:sz="4" w:space="0" w:color="auto"/>
              <w:right w:val="single" w:sz="4" w:space="0" w:color="auto"/>
            </w:tcBorders>
            <w:noWrap/>
            <w:vAlign w:val="center"/>
            <w:hideMark/>
          </w:tcPr>
          <w:p w14:paraId="582AD3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RUŠE</w:t>
            </w:r>
          </w:p>
        </w:tc>
      </w:tr>
      <w:tr w:rsidR="00F24E18" w14:paraId="09875B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9BF1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1040</w:t>
            </w:r>
          </w:p>
        </w:tc>
        <w:tc>
          <w:tcPr>
            <w:tcW w:w="1300" w:type="dxa"/>
            <w:tcBorders>
              <w:top w:val="nil"/>
              <w:left w:val="nil"/>
              <w:bottom w:val="single" w:sz="4" w:space="0" w:color="auto"/>
              <w:right w:val="single" w:sz="4" w:space="0" w:color="auto"/>
            </w:tcBorders>
            <w:noWrap/>
            <w:vAlign w:val="center"/>
            <w:hideMark/>
          </w:tcPr>
          <w:p w14:paraId="0E8C06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1357930000</w:t>
            </w:r>
          </w:p>
        </w:tc>
        <w:tc>
          <w:tcPr>
            <w:tcW w:w="1012" w:type="dxa"/>
            <w:tcBorders>
              <w:top w:val="nil"/>
              <w:left w:val="nil"/>
              <w:bottom w:val="single" w:sz="4" w:space="0" w:color="auto"/>
              <w:right w:val="single" w:sz="4" w:space="0" w:color="auto"/>
            </w:tcBorders>
            <w:noWrap/>
            <w:vAlign w:val="center"/>
            <w:hideMark/>
          </w:tcPr>
          <w:p w14:paraId="2CDD73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36150380</w:t>
            </w:r>
          </w:p>
        </w:tc>
        <w:tc>
          <w:tcPr>
            <w:tcW w:w="5953" w:type="dxa"/>
            <w:tcBorders>
              <w:top w:val="nil"/>
              <w:left w:val="nil"/>
              <w:bottom w:val="single" w:sz="4" w:space="0" w:color="auto"/>
              <w:right w:val="single" w:sz="4" w:space="0" w:color="auto"/>
            </w:tcBorders>
            <w:noWrap/>
            <w:vAlign w:val="center"/>
            <w:hideMark/>
          </w:tcPr>
          <w:p w14:paraId="4692D1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SELNICA OB DRAVI</w:t>
            </w:r>
          </w:p>
        </w:tc>
      </w:tr>
      <w:tr w:rsidR="00F24E18" w14:paraId="125461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CB0F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1041</w:t>
            </w:r>
          </w:p>
        </w:tc>
        <w:tc>
          <w:tcPr>
            <w:tcW w:w="1300" w:type="dxa"/>
            <w:tcBorders>
              <w:top w:val="nil"/>
              <w:left w:val="nil"/>
              <w:bottom w:val="single" w:sz="4" w:space="0" w:color="auto"/>
              <w:right w:val="single" w:sz="4" w:space="0" w:color="auto"/>
            </w:tcBorders>
            <w:vAlign w:val="center"/>
            <w:hideMark/>
          </w:tcPr>
          <w:p w14:paraId="112571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5880262000</w:t>
            </w:r>
          </w:p>
        </w:tc>
        <w:tc>
          <w:tcPr>
            <w:tcW w:w="1012" w:type="dxa"/>
            <w:tcBorders>
              <w:top w:val="nil"/>
              <w:left w:val="nil"/>
              <w:bottom w:val="single" w:sz="4" w:space="0" w:color="auto"/>
              <w:right w:val="single" w:sz="4" w:space="0" w:color="auto"/>
            </w:tcBorders>
            <w:vAlign w:val="center"/>
            <w:hideMark/>
          </w:tcPr>
          <w:p w14:paraId="646F27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79049273</w:t>
            </w:r>
          </w:p>
        </w:tc>
        <w:tc>
          <w:tcPr>
            <w:tcW w:w="5953" w:type="dxa"/>
            <w:tcBorders>
              <w:top w:val="nil"/>
              <w:left w:val="nil"/>
              <w:bottom w:val="single" w:sz="4" w:space="0" w:color="auto"/>
              <w:right w:val="single" w:sz="4" w:space="0" w:color="auto"/>
            </w:tcBorders>
            <w:noWrap/>
            <w:vAlign w:val="center"/>
            <w:hideMark/>
          </w:tcPr>
          <w:p w14:paraId="173975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SEMIČ</w:t>
            </w:r>
          </w:p>
        </w:tc>
      </w:tr>
      <w:tr w:rsidR="00F24E18" w14:paraId="517BE8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3BED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1042</w:t>
            </w:r>
          </w:p>
        </w:tc>
        <w:tc>
          <w:tcPr>
            <w:tcW w:w="1300" w:type="dxa"/>
            <w:tcBorders>
              <w:top w:val="nil"/>
              <w:left w:val="nil"/>
              <w:bottom w:val="single" w:sz="4" w:space="0" w:color="auto"/>
              <w:right w:val="single" w:sz="4" w:space="0" w:color="auto"/>
            </w:tcBorders>
            <w:vAlign w:val="center"/>
            <w:hideMark/>
          </w:tcPr>
          <w:p w14:paraId="7802C0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5883008000</w:t>
            </w:r>
          </w:p>
        </w:tc>
        <w:tc>
          <w:tcPr>
            <w:tcW w:w="1012" w:type="dxa"/>
            <w:tcBorders>
              <w:top w:val="nil"/>
              <w:left w:val="nil"/>
              <w:bottom w:val="single" w:sz="4" w:space="0" w:color="auto"/>
              <w:right w:val="single" w:sz="4" w:space="0" w:color="auto"/>
            </w:tcBorders>
            <w:vAlign w:val="center"/>
            <w:hideMark/>
          </w:tcPr>
          <w:p w14:paraId="1CAB5C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99767392</w:t>
            </w:r>
          </w:p>
        </w:tc>
        <w:tc>
          <w:tcPr>
            <w:tcW w:w="5953" w:type="dxa"/>
            <w:tcBorders>
              <w:top w:val="nil"/>
              <w:left w:val="nil"/>
              <w:bottom w:val="single" w:sz="4" w:space="0" w:color="auto"/>
              <w:right w:val="single" w:sz="4" w:space="0" w:color="auto"/>
            </w:tcBorders>
            <w:noWrap/>
            <w:vAlign w:val="center"/>
            <w:hideMark/>
          </w:tcPr>
          <w:p w14:paraId="750B67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SEVNICA</w:t>
            </w:r>
          </w:p>
        </w:tc>
      </w:tr>
      <w:tr w:rsidR="00F24E18" w14:paraId="430CB7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9B43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1043</w:t>
            </w:r>
          </w:p>
        </w:tc>
        <w:tc>
          <w:tcPr>
            <w:tcW w:w="1300" w:type="dxa"/>
            <w:tcBorders>
              <w:top w:val="nil"/>
              <w:left w:val="nil"/>
              <w:bottom w:val="single" w:sz="4" w:space="0" w:color="auto"/>
              <w:right w:val="single" w:sz="4" w:space="0" w:color="auto"/>
            </w:tcBorders>
            <w:vAlign w:val="center"/>
            <w:hideMark/>
          </w:tcPr>
          <w:p w14:paraId="7469B3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5884047000</w:t>
            </w:r>
          </w:p>
        </w:tc>
        <w:tc>
          <w:tcPr>
            <w:tcW w:w="1012" w:type="dxa"/>
            <w:tcBorders>
              <w:top w:val="nil"/>
              <w:left w:val="nil"/>
              <w:bottom w:val="single" w:sz="4" w:space="0" w:color="auto"/>
              <w:right w:val="single" w:sz="4" w:space="0" w:color="auto"/>
            </w:tcBorders>
            <w:vAlign w:val="center"/>
            <w:hideMark/>
          </w:tcPr>
          <w:p w14:paraId="16108B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66378443</w:t>
            </w:r>
          </w:p>
        </w:tc>
        <w:tc>
          <w:tcPr>
            <w:tcW w:w="5953" w:type="dxa"/>
            <w:tcBorders>
              <w:top w:val="nil"/>
              <w:left w:val="nil"/>
              <w:bottom w:val="single" w:sz="4" w:space="0" w:color="auto"/>
              <w:right w:val="single" w:sz="4" w:space="0" w:color="auto"/>
            </w:tcBorders>
            <w:noWrap/>
            <w:vAlign w:val="center"/>
            <w:hideMark/>
          </w:tcPr>
          <w:p w14:paraId="13B287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SEŽANA</w:t>
            </w:r>
          </w:p>
        </w:tc>
      </w:tr>
      <w:tr w:rsidR="00F24E18" w14:paraId="01A855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D6F2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1044</w:t>
            </w:r>
          </w:p>
        </w:tc>
        <w:tc>
          <w:tcPr>
            <w:tcW w:w="1300" w:type="dxa"/>
            <w:tcBorders>
              <w:top w:val="nil"/>
              <w:left w:val="nil"/>
              <w:bottom w:val="single" w:sz="4" w:space="0" w:color="auto"/>
              <w:right w:val="single" w:sz="4" w:space="0" w:color="auto"/>
            </w:tcBorders>
            <w:vAlign w:val="center"/>
            <w:hideMark/>
          </w:tcPr>
          <w:p w14:paraId="262B43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5884250000</w:t>
            </w:r>
          </w:p>
        </w:tc>
        <w:tc>
          <w:tcPr>
            <w:tcW w:w="1012" w:type="dxa"/>
            <w:tcBorders>
              <w:top w:val="nil"/>
              <w:left w:val="nil"/>
              <w:bottom w:val="single" w:sz="4" w:space="0" w:color="auto"/>
              <w:right w:val="single" w:sz="4" w:space="0" w:color="auto"/>
            </w:tcBorders>
            <w:vAlign w:val="center"/>
            <w:hideMark/>
          </w:tcPr>
          <w:p w14:paraId="64C4D0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49960563</w:t>
            </w:r>
          </w:p>
        </w:tc>
        <w:tc>
          <w:tcPr>
            <w:tcW w:w="5953" w:type="dxa"/>
            <w:tcBorders>
              <w:top w:val="nil"/>
              <w:left w:val="nil"/>
              <w:bottom w:val="single" w:sz="4" w:space="0" w:color="auto"/>
              <w:right w:val="single" w:sz="4" w:space="0" w:color="auto"/>
            </w:tcBorders>
            <w:noWrap/>
            <w:vAlign w:val="center"/>
            <w:hideMark/>
          </w:tcPr>
          <w:p w14:paraId="6D877B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w:t>
            </w:r>
          </w:p>
        </w:tc>
      </w:tr>
      <w:tr w:rsidR="00F24E18" w14:paraId="43D6F16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E71B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1045</w:t>
            </w:r>
          </w:p>
        </w:tc>
        <w:tc>
          <w:tcPr>
            <w:tcW w:w="1300" w:type="dxa"/>
            <w:tcBorders>
              <w:top w:val="nil"/>
              <w:left w:val="nil"/>
              <w:bottom w:val="single" w:sz="4" w:space="0" w:color="auto"/>
              <w:right w:val="single" w:sz="4" w:space="0" w:color="auto"/>
            </w:tcBorders>
            <w:noWrap/>
            <w:vAlign w:val="center"/>
            <w:hideMark/>
          </w:tcPr>
          <w:p w14:paraId="0A0F36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5181615000</w:t>
            </w:r>
          </w:p>
        </w:tc>
        <w:tc>
          <w:tcPr>
            <w:tcW w:w="1012" w:type="dxa"/>
            <w:tcBorders>
              <w:top w:val="nil"/>
              <w:left w:val="nil"/>
              <w:bottom w:val="single" w:sz="4" w:space="0" w:color="auto"/>
              <w:right w:val="single" w:sz="4" w:space="0" w:color="auto"/>
            </w:tcBorders>
            <w:noWrap/>
            <w:vAlign w:val="center"/>
            <w:hideMark/>
          </w:tcPr>
          <w:p w14:paraId="04A44C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91149177</w:t>
            </w:r>
          </w:p>
        </w:tc>
        <w:tc>
          <w:tcPr>
            <w:tcW w:w="5953" w:type="dxa"/>
            <w:tcBorders>
              <w:top w:val="nil"/>
              <w:left w:val="nil"/>
              <w:bottom w:val="single" w:sz="4" w:space="0" w:color="auto"/>
              <w:right w:val="single" w:sz="4" w:space="0" w:color="auto"/>
            </w:tcBorders>
            <w:noWrap/>
            <w:vAlign w:val="center"/>
            <w:hideMark/>
          </w:tcPr>
          <w:p w14:paraId="2E1DAF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ALFONZ ŠARH SLOVENSKA BISTRICA</w:t>
            </w:r>
          </w:p>
        </w:tc>
      </w:tr>
      <w:tr w:rsidR="00F24E18" w14:paraId="681A513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F81B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1046</w:t>
            </w:r>
          </w:p>
        </w:tc>
        <w:tc>
          <w:tcPr>
            <w:tcW w:w="1300" w:type="dxa"/>
            <w:tcBorders>
              <w:top w:val="nil"/>
              <w:left w:val="nil"/>
              <w:bottom w:val="single" w:sz="4" w:space="0" w:color="auto"/>
              <w:right w:val="single" w:sz="4" w:space="0" w:color="auto"/>
            </w:tcBorders>
            <w:noWrap/>
            <w:vAlign w:val="center"/>
            <w:hideMark/>
          </w:tcPr>
          <w:p w14:paraId="74562B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5181631000</w:t>
            </w:r>
          </w:p>
        </w:tc>
        <w:tc>
          <w:tcPr>
            <w:tcW w:w="1012" w:type="dxa"/>
            <w:tcBorders>
              <w:top w:val="nil"/>
              <w:left w:val="nil"/>
              <w:bottom w:val="single" w:sz="4" w:space="0" w:color="auto"/>
              <w:right w:val="single" w:sz="4" w:space="0" w:color="auto"/>
            </w:tcBorders>
            <w:noWrap/>
            <w:vAlign w:val="center"/>
            <w:hideMark/>
          </w:tcPr>
          <w:p w14:paraId="28C6F4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84222697</w:t>
            </w:r>
          </w:p>
        </w:tc>
        <w:tc>
          <w:tcPr>
            <w:tcW w:w="5953" w:type="dxa"/>
            <w:tcBorders>
              <w:top w:val="nil"/>
              <w:left w:val="nil"/>
              <w:bottom w:val="single" w:sz="4" w:space="0" w:color="auto"/>
              <w:right w:val="single" w:sz="4" w:space="0" w:color="auto"/>
            </w:tcBorders>
            <w:noWrap/>
            <w:vAlign w:val="center"/>
            <w:hideMark/>
          </w:tcPr>
          <w:p w14:paraId="738C4A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DR.JAGODIČ SLOVENSKA BISTRICA</w:t>
            </w:r>
          </w:p>
        </w:tc>
      </w:tr>
      <w:tr w:rsidR="00F24E18" w14:paraId="7700288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A9F6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1047</w:t>
            </w:r>
          </w:p>
        </w:tc>
        <w:tc>
          <w:tcPr>
            <w:tcW w:w="1300" w:type="dxa"/>
            <w:tcBorders>
              <w:top w:val="nil"/>
              <w:left w:val="nil"/>
              <w:bottom w:val="single" w:sz="4" w:space="0" w:color="auto"/>
              <w:right w:val="single" w:sz="4" w:space="0" w:color="auto"/>
            </w:tcBorders>
            <w:noWrap/>
            <w:vAlign w:val="center"/>
            <w:hideMark/>
          </w:tcPr>
          <w:p w14:paraId="176C33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5181607000</w:t>
            </w:r>
          </w:p>
        </w:tc>
        <w:tc>
          <w:tcPr>
            <w:tcW w:w="1012" w:type="dxa"/>
            <w:tcBorders>
              <w:top w:val="nil"/>
              <w:left w:val="nil"/>
              <w:bottom w:val="single" w:sz="4" w:space="0" w:color="auto"/>
              <w:right w:val="single" w:sz="4" w:space="0" w:color="auto"/>
            </w:tcBorders>
            <w:noWrap/>
            <w:vAlign w:val="center"/>
            <w:hideMark/>
          </w:tcPr>
          <w:p w14:paraId="2CF39F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41585372</w:t>
            </w:r>
          </w:p>
        </w:tc>
        <w:tc>
          <w:tcPr>
            <w:tcW w:w="5953" w:type="dxa"/>
            <w:tcBorders>
              <w:top w:val="nil"/>
              <w:left w:val="nil"/>
              <w:bottom w:val="single" w:sz="4" w:space="0" w:color="auto"/>
              <w:right w:val="single" w:sz="4" w:space="0" w:color="auto"/>
            </w:tcBorders>
            <w:noWrap/>
            <w:vAlign w:val="center"/>
            <w:hideMark/>
          </w:tcPr>
          <w:p w14:paraId="1929E3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IMPOL SLOVENSKA BISTRICA</w:t>
            </w:r>
          </w:p>
        </w:tc>
      </w:tr>
      <w:tr w:rsidR="00F24E18" w14:paraId="4B7A1A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1F9C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1048</w:t>
            </w:r>
          </w:p>
        </w:tc>
        <w:tc>
          <w:tcPr>
            <w:tcW w:w="1300" w:type="dxa"/>
            <w:tcBorders>
              <w:top w:val="nil"/>
              <w:left w:val="nil"/>
              <w:bottom w:val="single" w:sz="4" w:space="0" w:color="auto"/>
              <w:right w:val="single" w:sz="4" w:space="0" w:color="auto"/>
            </w:tcBorders>
            <w:noWrap/>
            <w:vAlign w:val="center"/>
            <w:hideMark/>
          </w:tcPr>
          <w:p w14:paraId="43CF7C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5020891000</w:t>
            </w:r>
          </w:p>
        </w:tc>
        <w:tc>
          <w:tcPr>
            <w:tcW w:w="1012" w:type="dxa"/>
            <w:tcBorders>
              <w:top w:val="nil"/>
              <w:left w:val="nil"/>
              <w:bottom w:val="single" w:sz="4" w:space="0" w:color="auto"/>
              <w:right w:val="single" w:sz="4" w:space="0" w:color="auto"/>
            </w:tcBorders>
            <w:noWrap/>
            <w:vAlign w:val="center"/>
            <w:hideMark/>
          </w:tcPr>
          <w:p w14:paraId="09D6EA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46631569</w:t>
            </w:r>
          </w:p>
        </w:tc>
        <w:tc>
          <w:tcPr>
            <w:tcW w:w="5953" w:type="dxa"/>
            <w:tcBorders>
              <w:top w:val="nil"/>
              <w:left w:val="nil"/>
              <w:bottom w:val="single" w:sz="4" w:space="0" w:color="auto"/>
              <w:right w:val="single" w:sz="4" w:space="0" w:color="auto"/>
            </w:tcBorders>
            <w:noWrap/>
            <w:vAlign w:val="center"/>
            <w:hideMark/>
          </w:tcPr>
          <w:p w14:paraId="14E25F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LAPORJE</w:t>
            </w:r>
          </w:p>
        </w:tc>
      </w:tr>
      <w:tr w:rsidR="00F24E18" w14:paraId="34C81E2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4D96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1049</w:t>
            </w:r>
          </w:p>
        </w:tc>
        <w:tc>
          <w:tcPr>
            <w:tcW w:w="1300" w:type="dxa"/>
            <w:tcBorders>
              <w:top w:val="nil"/>
              <w:left w:val="nil"/>
              <w:bottom w:val="single" w:sz="4" w:space="0" w:color="auto"/>
              <w:right w:val="single" w:sz="4" w:space="0" w:color="auto"/>
            </w:tcBorders>
            <w:noWrap/>
            <w:vAlign w:val="center"/>
            <w:hideMark/>
          </w:tcPr>
          <w:p w14:paraId="0982BF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5006708000</w:t>
            </w:r>
          </w:p>
        </w:tc>
        <w:tc>
          <w:tcPr>
            <w:tcW w:w="1012" w:type="dxa"/>
            <w:tcBorders>
              <w:top w:val="nil"/>
              <w:left w:val="nil"/>
              <w:bottom w:val="single" w:sz="4" w:space="0" w:color="auto"/>
              <w:right w:val="single" w:sz="4" w:space="0" w:color="auto"/>
            </w:tcBorders>
            <w:noWrap/>
            <w:vAlign w:val="center"/>
            <w:hideMark/>
          </w:tcPr>
          <w:p w14:paraId="780B9D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55373372</w:t>
            </w:r>
          </w:p>
        </w:tc>
        <w:tc>
          <w:tcPr>
            <w:tcW w:w="5953" w:type="dxa"/>
            <w:tcBorders>
              <w:top w:val="nil"/>
              <w:left w:val="nil"/>
              <w:bottom w:val="single" w:sz="4" w:space="0" w:color="auto"/>
              <w:right w:val="single" w:sz="4" w:space="0" w:color="auto"/>
            </w:tcBorders>
            <w:noWrap/>
            <w:vAlign w:val="center"/>
            <w:hideMark/>
          </w:tcPr>
          <w:p w14:paraId="709F92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LESKOVEC - STARI LOG</w:t>
            </w:r>
          </w:p>
        </w:tc>
      </w:tr>
      <w:tr w:rsidR="00F24E18" w14:paraId="37C571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3969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1050</w:t>
            </w:r>
          </w:p>
        </w:tc>
        <w:tc>
          <w:tcPr>
            <w:tcW w:w="1300" w:type="dxa"/>
            <w:tcBorders>
              <w:top w:val="nil"/>
              <w:left w:val="nil"/>
              <w:bottom w:val="single" w:sz="4" w:space="0" w:color="auto"/>
              <w:right w:val="single" w:sz="4" w:space="0" w:color="auto"/>
            </w:tcBorders>
            <w:noWrap/>
            <w:vAlign w:val="center"/>
            <w:hideMark/>
          </w:tcPr>
          <w:p w14:paraId="419326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5181623000</w:t>
            </w:r>
          </w:p>
        </w:tc>
        <w:tc>
          <w:tcPr>
            <w:tcW w:w="1012" w:type="dxa"/>
            <w:tcBorders>
              <w:top w:val="nil"/>
              <w:left w:val="nil"/>
              <w:bottom w:val="single" w:sz="4" w:space="0" w:color="auto"/>
              <w:right w:val="single" w:sz="4" w:space="0" w:color="auto"/>
            </w:tcBorders>
            <w:noWrap/>
            <w:vAlign w:val="center"/>
            <w:hideMark/>
          </w:tcPr>
          <w:p w14:paraId="453BEC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38720582</w:t>
            </w:r>
          </w:p>
        </w:tc>
        <w:tc>
          <w:tcPr>
            <w:tcW w:w="5953" w:type="dxa"/>
            <w:tcBorders>
              <w:top w:val="nil"/>
              <w:left w:val="nil"/>
              <w:bottom w:val="single" w:sz="4" w:space="0" w:color="auto"/>
              <w:right w:val="single" w:sz="4" w:space="0" w:color="auto"/>
            </w:tcBorders>
            <w:noWrap/>
            <w:vAlign w:val="center"/>
            <w:hideMark/>
          </w:tcPr>
          <w:p w14:paraId="26E845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POHORSKI ODRED SLOVENSKA BISTRICA</w:t>
            </w:r>
          </w:p>
        </w:tc>
      </w:tr>
      <w:tr w:rsidR="00F24E18" w14:paraId="41E0E0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99BD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1051</w:t>
            </w:r>
          </w:p>
        </w:tc>
        <w:tc>
          <w:tcPr>
            <w:tcW w:w="1300" w:type="dxa"/>
            <w:tcBorders>
              <w:top w:val="nil"/>
              <w:left w:val="nil"/>
              <w:bottom w:val="single" w:sz="4" w:space="0" w:color="auto"/>
              <w:right w:val="single" w:sz="4" w:space="0" w:color="auto"/>
            </w:tcBorders>
            <w:noWrap/>
            <w:vAlign w:val="center"/>
            <w:hideMark/>
          </w:tcPr>
          <w:p w14:paraId="20FECF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5032717000</w:t>
            </w:r>
          </w:p>
        </w:tc>
        <w:tc>
          <w:tcPr>
            <w:tcW w:w="1012" w:type="dxa"/>
            <w:tcBorders>
              <w:top w:val="nil"/>
              <w:left w:val="nil"/>
              <w:bottom w:val="single" w:sz="4" w:space="0" w:color="auto"/>
              <w:right w:val="single" w:sz="4" w:space="0" w:color="auto"/>
            </w:tcBorders>
            <w:noWrap/>
            <w:vAlign w:val="center"/>
            <w:hideMark/>
          </w:tcPr>
          <w:p w14:paraId="6A67FD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79362532</w:t>
            </w:r>
          </w:p>
        </w:tc>
        <w:tc>
          <w:tcPr>
            <w:tcW w:w="5953" w:type="dxa"/>
            <w:tcBorders>
              <w:top w:val="nil"/>
              <w:left w:val="nil"/>
              <w:bottom w:val="single" w:sz="4" w:space="0" w:color="auto"/>
              <w:right w:val="single" w:sz="4" w:space="0" w:color="auto"/>
            </w:tcBorders>
            <w:noWrap/>
            <w:vAlign w:val="center"/>
            <w:hideMark/>
          </w:tcPr>
          <w:p w14:paraId="326403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SPODNJA POLSKAVA</w:t>
            </w:r>
          </w:p>
        </w:tc>
      </w:tr>
      <w:tr w:rsidR="00F24E18" w14:paraId="199797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1AC5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1052</w:t>
            </w:r>
          </w:p>
        </w:tc>
        <w:tc>
          <w:tcPr>
            <w:tcW w:w="1300" w:type="dxa"/>
            <w:tcBorders>
              <w:top w:val="nil"/>
              <w:left w:val="nil"/>
              <w:bottom w:val="single" w:sz="4" w:space="0" w:color="auto"/>
              <w:right w:val="single" w:sz="4" w:space="0" w:color="auto"/>
            </w:tcBorders>
            <w:noWrap/>
            <w:vAlign w:val="center"/>
            <w:hideMark/>
          </w:tcPr>
          <w:p w14:paraId="7D1579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5018943000</w:t>
            </w:r>
          </w:p>
        </w:tc>
        <w:tc>
          <w:tcPr>
            <w:tcW w:w="1012" w:type="dxa"/>
            <w:tcBorders>
              <w:top w:val="nil"/>
              <w:left w:val="nil"/>
              <w:bottom w:val="single" w:sz="4" w:space="0" w:color="auto"/>
              <w:right w:val="single" w:sz="4" w:space="0" w:color="auto"/>
            </w:tcBorders>
            <w:noWrap/>
            <w:vAlign w:val="center"/>
            <w:hideMark/>
          </w:tcPr>
          <w:p w14:paraId="3BF1BA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96595124</w:t>
            </w:r>
          </w:p>
        </w:tc>
        <w:tc>
          <w:tcPr>
            <w:tcW w:w="5953" w:type="dxa"/>
            <w:tcBorders>
              <w:top w:val="nil"/>
              <w:left w:val="nil"/>
              <w:bottom w:val="single" w:sz="4" w:space="0" w:color="auto"/>
              <w:right w:val="single" w:sz="4" w:space="0" w:color="auto"/>
            </w:tcBorders>
            <w:noWrap/>
            <w:vAlign w:val="center"/>
            <w:hideMark/>
          </w:tcPr>
          <w:p w14:paraId="4389D4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ŠMARTNO NA POHORJU</w:t>
            </w:r>
          </w:p>
        </w:tc>
      </w:tr>
      <w:tr w:rsidR="00F24E18" w14:paraId="2CBC12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93B2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1053</w:t>
            </w:r>
          </w:p>
        </w:tc>
        <w:tc>
          <w:tcPr>
            <w:tcW w:w="1300" w:type="dxa"/>
            <w:tcBorders>
              <w:top w:val="nil"/>
              <w:left w:val="nil"/>
              <w:bottom w:val="single" w:sz="4" w:space="0" w:color="auto"/>
              <w:right w:val="single" w:sz="4" w:space="0" w:color="auto"/>
            </w:tcBorders>
            <w:noWrap/>
            <w:vAlign w:val="center"/>
            <w:hideMark/>
          </w:tcPr>
          <w:p w14:paraId="283B35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5032741000</w:t>
            </w:r>
          </w:p>
        </w:tc>
        <w:tc>
          <w:tcPr>
            <w:tcW w:w="1012" w:type="dxa"/>
            <w:tcBorders>
              <w:top w:val="nil"/>
              <w:left w:val="nil"/>
              <w:bottom w:val="single" w:sz="4" w:space="0" w:color="auto"/>
              <w:right w:val="single" w:sz="4" w:space="0" w:color="auto"/>
            </w:tcBorders>
            <w:noWrap/>
            <w:vAlign w:val="center"/>
            <w:hideMark/>
          </w:tcPr>
          <w:p w14:paraId="026FEE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72074698</w:t>
            </w:r>
          </w:p>
        </w:tc>
        <w:tc>
          <w:tcPr>
            <w:tcW w:w="5953" w:type="dxa"/>
            <w:tcBorders>
              <w:top w:val="nil"/>
              <w:left w:val="nil"/>
              <w:bottom w:val="single" w:sz="4" w:space="0" w:color="auto"/>
              <w:right w:val="single" w:sz="4" w:space="0" w:color="auto"/>
            </w:tcBorders>
            <w:noWrap/>
            <w:vAlign w:val="center"/>
            <w:hideMark/>
          </w:tcPr>
          <w:p w14:paraId="1B231A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TINJE</w:t>
            </w:r>
          </w:p>
        </w:tc>
      </w:tr>
      <w:tr w:rsidR="00F24E18" w14:paraId="690F25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1E37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1054</w:t>
            </w:r>
          </w:p>
        </w:tc>
        <w:tc>
          <w:tcPr>
            <w:tcW w:w="1300" w:type="dxa"/>
            <w:tcBorders>
              <w:top w:val="nil"/>
              <w:left w:val="nil"/>
              <w:bottom w:val="single" w:sz="4" w:space="0" w:color="auto"/>
              <w:right w:val="single" w:sz="4" w:space="0" w:color="auto"/>
            </w:tcBorders>
            <w:noWrap/>
            <w:vAlign w:val="center"/>
            <w:hideMark/>
          </w:tcPr>
          <w:p w14:paraId="104502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5181640000</w:t>
            </w:r>
          </w:p>
        </w:tc>
        <w:tc>
          <w:tcPr>
            <w:tcW w:w="1012" w:type="dxa"/>
            <w:tcBorders>
              <w:top w:val="nil"/>
              <w:left w:val="nil"/>
              <w:bottom w:val="single" w:sz="4" w:space="0" w:color="auto"/>
              <w:right w:val="single" w:sz="4" w:space="0" w:color="auto"/>
            </w:tcBorders>
            <w:noWrap/>
            <w:vAlign w:val="center"/>
            <w:hideMark/>
          </w:tcPr>
          <w:p w14:paraId="426B5A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48180840</w:t>
            </w:r>
          </w:p>
        </w:tc>
        <w:tc>
          <w:tcPr>
            <w:tcW w:w="5953" w:type="dxa"/>
            <w:tcBorders>
              <w:top w:val="nil"/>
              <w:left w:val="nil"/>
              <w:bottom w:val="single" w:sz="4" w:space="0" w:color="auto"/>
              <w:right w:val="single" w:sz="4" w:space="0" w:color="auto"/>
            </w:tcBorders>
            <w:noWrap/>
            <w:vAlign w:val="center"/>
            <w:hideMark/>
          </w:tcPr>
          <w:p w14:paraId="2B8359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VRHOLE-PRELOGE</w:t>
            </w:r>
          </w:p>
        </w:tc>
      </w:tr>
      <w:tr w:rsidR="00F24E18" w14:paraId="37506C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1E90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1055</w:t>
            </w:r>
          </w:p>
        </w:tc>
        <w:tc>
          <w:tcPr>
            <w:tcW w:w="1300" w:type="dxa"/>
            <w:tcBorders>
              <w:top w:val="nil"/>
              <w:left w:val="nil"/>
              <w:bottom w:val="single" w:sz="4" w:space="0" w:color="auto"/>
              <w:right w:val="single" w:sz="4" w:space="0" w:color="auto"/>
            </w:tcBorders>
            <w:noWrap/>
            <w:vAlign w:val="center"/>
            <w:hideMark/>
          </w:tcPr>
          <w:p w14:paraId="00AB47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5018951000</w:t>
            </w:r>
          </w:p>
        </w:tc>
        <w:tc>
          <w:tcPr>
            <w:tcW w:w="1012" w:type="dxa"/>
            <w:tcBorders>
              <w:top w:val="nil"/>
              <w:left w:val="nil"/>
              <w:bottom w:val="single" w:sz="4" w:space="0" w:color="auto"/>
              <w:right w:val="single" w:sz="4" w:space="0" w:color="auto"/>
            </w:tcBorders>
            <w:noWrap/>
            <w:vAlign w:val="center"/>
            <w:hideMark/>
          </w:tcPr>
          <w:p w14:paraId="45E458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32175302</w:t>
            </w:r>
          </w:p>
        </w:tc>
        <w:tc>
          <w:tcPr>
            <w:tcW w:w="5953" w:type="dxa"/>
            <w:tcBorders>
              <w:top w:val="nil"/>
              <w:left w:val="nil"/>
              <w:bottom w:val="single" w:sz="4" w:space="0" w:color="auto"/>
              <w:right w:val="single" w:sz="4" w:space="0" w:color="auto"/>
            </w:tcBorders>
            <w:noWrap/>
            <w:vAlign w:val="center"/>
            <w:hideMark/>
          </w:tcPr>
          <w:p w14:paraId="642D42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ZGORNJA LOŽNICA</w:t>
            </w:r>
          </w:p>
        </w:tc>
      </w:tr>
      <w:tr w:rsidR="00F24E18" w14:paraId="419AD29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5C4E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1056</w:t>
            </w:r>
          </w:p>
        </w:tc>
        <w:tc>
          <w:tcPr>
            <w:tcW w:w="1300" w:type="dxa"/>
            <w:tcBorders>
              <w:top w:val="nil"/>
              <w:left w:val="nil"/>
              <w:bottom w:val="single" w:sz="4" w:space="0" w:color="auto"/>
              <w:right w:val="single" w:sz="4" w:space="0" w:color="auto"/>
            </w:tcBorders>
            <w:noWrap/>
            <w:vAlign w:val="center"/>
            <w:hideMark/>
          </w:tcPr>
          <w:p w14:paraId="27344B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5020905000</w:t>
            </w:r>
          </w:p>
        </w:tc>
        <w:tc>
          <w:tcPr>
            <w:tcW w:w="1012" w:type="dxa"/>
            <w:tcBorders>
              <w:top w:val="nil"/>
              <w:left w:val="nil"/>
              <w:bottom w:val="single" w:sz="4" w:space="0" w:color="auto"/>
              <w:right w:val="single" w:sz="4" w:space="0" w:color="auto"/>
            </w:tcBorders>
            <w:noWrap/>
            <w:vAlign w:val="center"/>
            <w:hideMark/>
          </w:tcPr>
          <w:p w14:paraId="1C47B0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42311993</w:t>
            </w:r>
          </w:p>
        </w:tc>
        <w:tc>
          <w:tcPr>
            <w:tcW w:w="5953" w:type="dxa"/>
            <w:tcBorders>
              <w:top w:val="nil"/>
              <w:left w:val="nil"/>
              <w:bottom w:val="single" w:sz="4" w:space="0" w:color="auto"/>
              <w:right w:val="single" w:sz="4" w:space="0" w:color="auto"/>
            </w:tcBorders>
            <w:noWrap/>
            <w:vAlign w:val="center"/>
            <w:hideMark/>
          </w:tcPr>
          <w:p w14:paraId="0544F5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SLOVENSKA BISTRICA KRAJEVNA SKUPNOST ZGORNJA POLSKAVA</w:t>
            </w:r>
          </w:p>
        </w:tc>
      </w:tr>
      <w:tr w:rsidR="00F24E18" w14:paraId="76DB95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8E01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1057</w:t>
            </w:r>
          </w:p>
        </w:tc>
        <w:tc>
          <w:tcPr>
            <w:tcW w:w="1300" w:type="dxa"/>
            <w:tcBorders>
              <w:top w:val="nil"/>
              <w:left w:val="nil"/>
              <w:bottom w:val="single" w:sz="4" w:space="0" w:color="auto"/>
              <w:right w:val="single" w:sz="4" w:space="0" w:color="auto"/>
            </w:tcBorders>
            <w:vAlign w:val="center"/>
            <w:hideMark/>
          </w:tcPr>
          <w:p w14:paraId="41CC8A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5883814000</w:t>
            </w:r>
          </w:p>
        </w:tc>
        <w:tc>
          <w:tcPr>
            <w:tcW w:w="1012" w:type="dxa"/>
            <w:tcBorders>
              <w:top w:val="nil"/>
              <w:left w:val="nil"/>
              <w:bottom w:val="single" w:sz="4" w:space="0" w:color="auto"/>
              <w:right w:val="single" w:sz="4" w:space="0" w:color="auto"/>
            </w:tcBorders>
            <w:vAlign w:val="center"/>
            <w:hideMark/>
          </w:tcPr>
          <w:p w14:paraId="5EDACA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65504038</w:t>
            </w:r>
          </w:p>
        </w:tc>
        <w:tc>
          <w:tcPr>
            <w:tcW w:w="5953" w:type="dxa"/>
            <w:tcBorders>
              <w:top w:val="nil"/>
              <w:left w:val="nil"/>
              <w:bottom w:val="single" w:sz="4" w:space="0" w:color="auto"/>
              <w:right w:val="single" w:sz="4" w:space="0" w:color="auto"/>
            </w:tcBorders>
            <w:noWrap/>
            <w:vAlign w:val="center"/>
            <w:hideMark/>
          </w:tcPr>
          <w:p w14:paraId="0A97A6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SLOVENSKE KONJICE</w:t>
            </w:r>
          </w:p>
        </w:tc>
      </w:tr>
      <w:tr w:rsidR="00F24E18" w14:paraId="604CD6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006C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1058</w:t>
            </w:r>
          </w:p>
        </w:tc>
        <w:tc>
          <w:tcPr>
            <w:tcW w:w="1300" w:type="dxa"/>
            <w:tcBorders>
              <w:top w:val="nil"/>
              <w:left w:val="nil"/>
              <w:bottom w:val="single" w:sz="4" w:space="0" w:color="auto"/>
              <w:right w:val="single" w:sz="4" w:space="0" w:color="auto"/>
            </w:tcBorders>
            <w:vAlign w:val="center"/>
            <w:hideMark/>
          </w:tcPr>
          <w:p w14:paraId="684ADA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1358154000</w:t>
            </w:r>
          </w:p>
        </w:tc>
        <w:tc>
          <w:tcPr>
            <w:tcW w:w="1012" w:type="dxa"/>
            <w:tcBorders>
              <w:top w:val="nil"/>
              <w:left w:val="nil"/>
              <w:bottom w:val="single" w:sz="4" w:space="0" w:color="auto"/>
              <w:right w:val="single" w:sz="4" w:space="0" w:color="auto"/>
            </w:tcBorders>
            <w:vAlign w:val="center"/>
            <w:hideMark/>
          </w:tcPr>
          <w:p w14:paraId="1A9EAE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97149667</w:t>
            </w:r>
          </w:p>
        </w:tc>
        <w:tc>
          <w:tcPr>
            <w:tcW w:w="5953" w:type="dxa"/>
            <w:tcBorders>
              <w:top w:val="nil"/>
              <w:left w:val="nil"/>
              <w:bottom w:val="single" w:sz="4" w:space="0" w:color="auto"/>
              <w:right w:val="single" w:sz="4" w:space="0" w:color="auto"/>
            </w:tcBorders>
            <w:noWrap/>
            <w:vAlign w:val="center"/>
            <w:hideMark/>
          </w:tcPr>
          <w:p w14:paraId="548729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SODRAŽICA</w:t>
            </w:r>
          </w:p>
        </w:tc>
      </w:tr>
      <w:tr w:rsidR="00F24E18" w14:paraId="0FA5DCA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D828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1059</w:t>
            </w:r>
          </w:p>
        </w:tc>
        <w:tc>
          <w:tcPr>
            <w:tcW w:w="1300" w:type="dxa"/>
            <w:tcBorders>
              <w:top w:val="nil"/>
              <w:left w:val="nil"/>
              <w:bottom w:val="single" w:sz="4" w:space="0" w:color="auto"/>
              <w:right w:val="single" w:sz="4" w:space="0" w:color="auto"/>
            </w:tcBorders>
            <w:vAlign w:val="center"/>
            <w:hideMark/>
          </w:tcPr>
          <w:p w14:paraId="45A1DC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1365851000</w:t>
            </w:r>
          </w:p>
        </w:tc>
        <w:tc>
          <w:tcPr>
            <w:tcW w:w="1012" w:type="dxa"/>
            <w:tcBorders>
              <w:top w:val="nil"/>
              <w:left w:val="nil"/>
              <w:bottom w:val="single" w:sz="4" w:space="0" w:color="auto"/>
              <w:right w:val="single" w:sz="4" w:space="0" w:color="auto"/>
            </w:tcBorders>
            <w:vAlign w:val="center"/>
            <w:hideMark/>
          </w:tcPr>
          <w:p w14:paraId="6DA04B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78412447</w:t>
            </w:r>
          </w:p>
        </w:tc>
        <w:tc>
          <w:tcPr>
            <w:tcW w:w="5953" w:type="dxa"/>
            <w:tcBorders>
              <w:top w:val="nil"/>
              <w:left w:val="nil"/>
              <w:bottom w:val="single" w:sz="4" w:space="0" w:color="auto"/>
              <w:right w:val="single" w:sz="4" w:space="0" w:color="auto"/>
            </w:tcBorders>
            <w:noWrap/>
            <w:vAlign w:val="center"/>
            <w:hideMark/>
          </w:tcPr>
          <w:p w14:paraId="396C6D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SOLČAVA</w:t>
            </w:r>
          </w:p>
        </w:tc>
      </w:tr>
      <w:tr w:rsidR="00F24E18" w14:paraId="59FFB87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0DA8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1060</w:t>
            </w:r>
          </w:p>
        </w:tc>
        <w:tc>
          <w:tcPr>
            <w:tcW w:w="1300" w:type="dxa"/>
            <w:tcBorders>
              <w:top w:val="nil"/>
              <w:left w:val="nil"/>
              <w:bottom w:val="single" w:sz="4" w:space="0" w:color="auto"/>
              <w:right w:val="single" w:sz="4" w:space="0" w:color="auto"/>
            </w:tcBorders>
            <w:vAlign w:val="center"/>
            <w:hideMark/>
          </w:tcPr>
          <w:p w14:paraId="4BFB01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2242788000</w:t>
            </w:r>
          </w:p>
        </w:tc>
        <w:tc>
          <w:tcPr>
            <w:tcW w:w="1012" w:type="dxa"/>
            <w:tcBorders>
              <w:top w:val="nil"/>
              <w:left w:val="nil"/>
              <w:bottom w:val="single" w:sz="4" w:space="0" w:color="auto"/>
              <w:right w:val="single" w:sz="4" w:space="0" w:color="auto"/>
            </w:tcBorders>
            <w:vAlign w:val="center"/>
            <w:hideMark/>
          </w:tcPr>
          <w:p w14:paraId="777181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72907932</w:t>
            </w:r>
          </w:p>
        </w:tc>
        <w:tc>
          <w:tcPr>
            <w:tcW w:w="5953" w:type="dxa"/>
            <w:tcBorders>
              <w:top w:val="nil"/>
              <w:left w:val="nil"/>
              <w:bottom w:val="single" w:sz="4" w:space="0" w:color="auto"/>
              <w:right w:val="single" w:sz="4" w:space="0" w:color="auto"/>
            </w:tcBorders>
            <w:noWrap/>
            <w:vAlign w:val="center"/>
            <w:hideMark/>
          </w:tcPr>
          <w:p w14:paraId="5880A3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SREDIŠČE OB DRAVI</w:t>
            </w:r>
          </w:p>
        </w:tc>
      </w:tr>
      <w:tr w:rsidR="00F24E18" w14:paraId="3CE6C87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5417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1061</w:t>
            </w:r>
          </w:p>
        </w:tc>
        <w:tc>
          <w:tcPr>
            <w:tcW w:w="1300" w:type="dxa"/>
            <w:tcBorders>
              <w:top w:val="nil"/>
              <w:left w:val="nil"/>
              <w:bottom w:val="single" w:sz="4" w:space="0" w:color="auto"/>
              <w:right w:val="single" w:sz="4" w:space="0" w:color="auto"/>
            </w:tcBorders>
            <w:vAlign w:val="center"/>
            <w:hideMark/>
          </w:tcPr>
          <w:p w14:paraId="2F0AF0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5883199000</w:t>
            </w:r>
          </w:p>
        </w:tc>
        <w:tc>
          <w:tcPr>
            <w:tcW w:w="1012" w:type="dxa"/>
            <w:tcBorders>
              <w:top w:val="nil"/>
              <w:left w:val="nil"/>
              <w:bottom w:val="single" w:sz="4" w:space="0" w:color="auto"/>
              <w:right w:val="single" w:sz="4" w:space="0" w:color="auto"/>
            </w:tcBorders>
            <w:vAlign w:val="center"/>
            <w:hideMark/>
          </w:tcPr>
          <w:p w14:paraId="51B155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12241075</w:t>
            </w:r>
          </w:p>
        </w:tc>
        <w:tc>
          <w:tcPr>
            <w:tcW w:w="5953" w:type="dxa"/>
            <w:tcBorders>
              <w:top w:val="nil"/>
              <w:left w:val="nil"/>
              <w:bottom w:val="single" w:sz="4" w:space="0" w:color="auto"/>
              <w:right w:val="single" w:sz="4" w:space="0" w:color="auto"/>
            </w:tcBorders>
            <w:noWrap/>
            <w:vAlign w:val="center"/>
            <w:hideMark/>
          </w:tcPr>
          <w:p w14:paraId="1B2030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STARŠE</w:t>
            </w:r>
          </w:p>
        </w:tc>
      </w:tr>
      <w:tr w:rsidR="00F24E18" w14:paraId="3DFD76A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A605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1062</w:t>
            </w:r>
          </w:p>
        </w:tc>
        <w:tc>
          <w:tcPr>
            <w:tcW w:w="1300" w:type="dxa"/>
            <w:tcBorders>
              <w:top w:val="nil"/>
              <w:left w:val="nil"/>
              <w:bottom w:val="single" w:sz="4" w:space="0" w:color="auto"/>
              <w:right w:val="single" w:sz="4" w:space="0" w:color="auto"/>
            </w:tcBorders>
            <w:vAlign w:val="center"/>
            <w:hideMark/>
          </w:tcPr>
          <w:p w14:paraId="082832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2241145000</w:t>
            </w:r>
          </w:p>
        </w:tc>
        <w:tc>
          <w:tcPr>
            <w:tcW w:w="1012" w:type="dxa"/>
            <w:tcBorders>
              <w:top w:val="nil"/>
              <w:left w:val="nil"/>
              <w:bottom w:val="single" w:sz="4" w:space="0" w:color="auto"/>
              <w:right w:val="single" w:sz="4" w:space="0" w:color="auto"/>
            </w:tcBorders>
            <w:vAlign w:val="center"/>
            <w:hideMark/>
          </w:tcPr>
          <w:p w14:paraId="092251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26246465</w:t>
            </w:r>
          </w:p>
        </w:tc>
        <w:tc>
          <w:tcPr>
            <w:tcW w:w="5953" w:type="dxa"/>
            <w:tcBorders>
              <w:top w:val="nil"/>
              <w:left w:val="nil"/>
              <w:bottom w:val="single" w:sz="4" w:space="0" w:color="auto"/>
              <w:right w:val="single" w:sz="4" w:space="0" w:color="auto"/>
            </w:tcBorders>
            <w:noWrap/>
            <w:vAlign w:val="center"/>
            <w:hideMark/>
          </w:tcPr>
          <w:p w14:paraId="04A4B6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STRAŽA</w:t>
            </w:r>
          </w:p>
        </w:tc>
      </w:tr>
      <w:tr w:rsidR="00F24E18" w14:paraId="12E6624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BEB1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1063</w:t>
            </w:r>
          </w:p>
        </w:tc>
        <w:tc>
          <w:tcPr>
            <w:tcW w:w="1300" w:type="dxa"/>
            <w:tcBorders>
              <w:top w:val="nil"/>
              <w:left w:val="nil"/>
              <w:bottom w:val="single" w:sz="4" w:space="0" w:color="auto"/>
              <w:right w:val="single" w:sz="4" w:space="0" w:color="auto"/>
            </w:tcBorders>
            <w:vAlign w:val="center"/>
            <w:hideMark/>
          </w:tcPr>
          <w:p w14:paraId="119B10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1332074000</w:t>
            </w:r>
          </w:p>
        </w:tc>
        <w:tc>
          <w:tcPr>
            <w:tcW w:w="1012" w:type="dxa"/>
            <w:tcBorders>
              <w:top w:val="nil"/>
              <w:left w:val="nil"/>
              <w:bottom w:val="single" w:sz="4" w:space="0" w:color="auto"/>
              <w:right w:val="single" w:sz="4" w:space="0" w:color="auto"/>
            </w:tcBorders>
            <w:vAlign w:val="center"/>
            <w:hideMark/>
          </w:tcPr>
          <w:p w14:paraId="04CC0B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59385081</w:t>
            </w:r>
          </w:p>
        </w:tc>
        <w:tc>
          <w:tcPr>
            <w:tcW w:w="5953" w:type="dxa"/>
            <w:tcBorders>
              <w:top w:val="nil"/>
              <w:left w:val="nil"/>
              <w:bottom w:val="single" w:sz="4" w:space="0" w:color="auto"/>
              <w:right w:val="single" w:sz="4" w:space="0" w:color="auto"/>
            </w:tcBorders>
            <w:noWrap/>
            <w:vAlign w:val="center"/>
            <w:hideMark/>
          </w:tcPr>
          <w:p w14:paraId="22CFA4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SVETA ANA</w:t>
            </w:r>
          </w:p>
        </w:tc>
      </w:tr>
      <w:tr w:rsidR="00F24E18" w14:paraId="643AE8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54CB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1064</w:t>
            </w:r>
          </w:p>
        </w:tc>
        <w:tc>
          <w:tcPr>
            <w:tcW w:w="1300" w:type="dxa"/>
            <w:tcBorders>
              <w:top w:val="nil"/>
              <w:left w:val="nil"/>
              <w:bottom w:val="single" w:sz="4" w:space="0" w:color="auto"/>
              <w:right w:val="single" w:sz="4" w:space="0" w:color="auto"/>
            </w:tcBorders>
            <w:vAlign w:val="center"/>
            <w:hideMark/>
          </w:tcPr>
          <w:p w14:paraId="6F0FF6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2242796000</w:t>
            </w:r>
          </w:p>
        </w:tc>
        <w:tc>
          <w:tcPr>
            <w:tcW w:w="1012" w:type="dxa"/>
            <w:tcBorders>
              <w:top w:val="nil"/>
              <w:left w:val="nil"/>
              <w:bottom w:val="single" w:sz="4" w:space="0" w:color="auto"/>
              <w:right w:val="single" w:sz="4" w:space="0" w:color="auto"/>
            </w:tcBorders>
            <w:vAlign w:val="center"/>
            <w:hideMark/>
          </w:tcPr>
          <w:p w14:paraId="528074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58878734</w:t>
            </w:r>
          </w:p>
        </w:tc>
        <w:tc>
          <w:tcPr>
            <w:tcW w:w="5953" w:type="dxa"/>
            <w:tcBorders>
              <w:top w:val="nil"/>
              <w:left w:val="nil"/>
              <w:bottom w:val="single" w:sz="4" w:space="0" w:color="auto"/>
              <w:right w:val="single" w:sz="4" w:space="0" w:color="auto"/>
            </w:tcBorders>
            <w:noWrap/>
            <w:vAlign w:val="center"/>
            <w:hideMark/>
          </w:tcPr>
          <w:p w14:paraId="24F4F3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SVETA TROJICA V SLOVENSKIH GORICAH</w:t>
            </w:r>
          </w:p>
        </w:tc>
      </w:tr>
      <w:tr w:rsidR="00F24E18" w14:paraId="56ED2BC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06AE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1065</w:t>
            </w:r>
          </w:p>
        </w:tc>
        <w:tc>
          <w:tcPr>
            <w:tcW w:w="1300" w:type="dxa"/>
            <w:tcBorders>
              <w:top w:val="nil"/>
              <w:left w:val="nil"/>
              <w:bottom w:val="single" w:sz="4" w:space="0" w:color="auto"/>
              <w:right w:val="single" w:sz="4" w:space="0" w:color="auto"/>
            </w:tcBorders>
            <w:vAlign w:val="center"/>
            <w:hideMark/>
          </w:tcPr>
          <w:p w14:paraId="7271AA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1358103000</w:t>
            </w:r>
          </w:p>
        </w:tc>
        <w:tc>
          <w:tcPr>
            <w:tcW w:w="1012" w:type="dxa"/>
            <w:tcBorders>
              <w:top w:val="nil"/>
              <w:left w:val="nil"/>
              <w:bottom w:val="single" w:sz="4" w:space="0" w:color="auto"/>
              <w:right w:val="single" w:sz="4" w:space="0" w:color="auto"/>
            </w:tcBorders>
            <w:vAlign w:val="center"/>
            <w:hideMark/>
          </w:tcPr>
          <w:p w14:paraId="0DA0A9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72359528</w:t>
            </w:r>
          </w:p>
        </w:tc>
        <w:tc>
          <w:tcPr>
            <w:tcW w:w="5953" w:type="dxa"/>
            <w:tcBorders>
              <w:top w:val="nil"/>
              <w:left w:val="nil"/>
              <w:bottom w:val="single" w:sz="4" w:space="0" w:color="auto"/>
              <w:right w:val="single" w:sz="4" w:space="0" w:color="auto"/>
            </w:tcBorders>
            <w:noWrap/>
            <w:vAlign w:val="center"/>
            <w:hideMark/>
          </w:tcPr>
          <w:p w14:paraId="678791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SVETI ANDRAŽ V SLOVENSKIH GORICAH</w:t>
            </w:r>
          </w:p>
        </w:tc>
      </w:tr>
      <w:tr w:rsidR="00F24E18" w14:paraId="2A5074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B59A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1066</w:t>
            </w:r>
          </w:p>
        </w:tc>
        <w:tc>
          <w:tcPr>
            <w:tcW w:w="1300" w:type="dxa"/>
            <w:tcBorders>
              <w:top w:val="nil"/>
              <w:left w:val="nil"/>
              <w:bottom w:val="single" w:sz="4" w:space="0" w:color="auto"/>
              <w:right w:val="single" w:sz="4" w:space="0" w:color="auto"/>
            </w:tcBorders>
            <w:vAlign w:val="center"/>
            <w:hideMark/>
          </w:tcPr>
          <w:p w14:paraId="49029F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5880319000</w:t>
            </w:r>
          </w:p>
        </w:tc>
        <w:tc>
          <w:tcPr>
            <w:tcW w:w="1012" w:type="dxa"/>
            <w:tcBorders>
              <w:top w:val="nil"/>
              <w:left w:val="nil"/>
              <w:bottom w:val="single" w:sz="4" w:space="0" w:color="auto"/>
              <w:right w:val="single" w:sz="4" w:space="0" w:color="auto"/>
            </w:tcBorders>
            <w:vAlign w:val="center"/>
            <w:hideMark/>
          </w:tcPr>
          <w:p w14:paraId="04AAC0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36670243</w:t>
            </w:r>
          </w:p>
        </w:tc>
        <w:tc>
          <w:tcPr>
            <w:tcW w:w="5953" w:type="dxa"/>
            <w:tcBorders>
              <w:top w:val="nil"/>
              <w:left w:val="nil"/>
              <w:bottom w:val="single" w:sz="4" w:space="0" w:color="auto"/>
              <w:right w:val="single" w:sz="4" w:space="0" w:color="auto"/>
            </w:tcBorders>
            <w:noWrap/>
            <w:vAlign w:val="center"/>
            <w:hideMark/>
          </w:tcPr>
          <w:p w14:paraId="259D9B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SVETI JURIJ OB ŠČAVNICI</w:t>
            </w:r>
          </w:p>
        </w:tc>
      </w:tr>
      <w:tr w:rsidR="00F24E18" w14:paraId="200678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818F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1067</w:t>
            </w:r>
          </w:p>
        </w:tc>
        <w:tc>
          <w:tcPr>
            <w:tcW w:w="1300" w:type="dxa"/>
            <w:tcBorders>
              <w:top w:val="nil"/>
              <w:left w:val="nil"/>
              <w:bottom w:val="single" w:sz="4" w:space="0" w:color="auto"/>
              <w:right w:val="single" w:sz="4" w:space="0" w:color="auto"/>
            </w:tcBorders>
            <w:vAlign w:val="center"/>
            <w:hideMark/>
          </w:tcPr>
          <w:p w14:paraId="647BA2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2242877000</w:t>
            </w:r>
          </w:p>
        </w:tc>
        <w:tc>
          <w:tcPr>
            <w:tcW w:w="1012" w:type="dxa"/>
            <w:tcBorders>
              <w:top w:val="nil"/>
              <w:left w:val="nil"/>
              <w:bottom w:val="single" w:sz="4" w:space="0" w:color="auto"/>
              <w:right w:val="single" w:sz="4" w:space="0" w:color="auto"/>
            </w:tcBorders>
            <w:vAlign w:val="center"/>
            <w:hideMark/>
          </w:tcPr>
          <w:p w14:paraId="76258B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58481435</w:t>
            </w:r>
          </w:p>
        </w:tc>
        <w:tc>
          <w:tcPr>
            <w:tcW w:w="5953" w:type="dxa"/>
            <w:tcBorders>
              <w:top w:val="nil"/>
              <w:left w:val="nil"/>
              <w:bottom w:val="single" w:sz="4" w:space="0" w:color="auto"/>
              <w:right w:val="single" w:sz="4" w:space="0" w:color="auto"/>
            </w:tcBorders>
            <w:noWrap/>
            <w:vAlign w:val="center"/>
            <w:hideMark/>
          </w:tcPr>
          <w:p w14:paraId="1963AD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SVETI JURIJ V SLOVENSKIH GORICAH</w:t>
            </w:r>
          </w:p>
        </w:tc>
      </w:tr>
      <w:tr w:rsidR="00F24E18" w14:paraId="4760DF1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36A0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1068</w:t>
            </w:r>
          </w:p>
        </w:tc>
        <w:tc>
          <w:tcPr>
            <w:tcW w:w="1300" w:type="dxa"/>
            <w:tcBorders>
              <w:top w:val="nil"/>
              <w:left w:val="nil"/>
              <w:bottom w:val="single" w:sz="4" w:space="0" w:color="auto"/>
              <w:right w:val="single" w:sz="4" w:space="0" w:color="auto"/>
            </w:tcBorders>
            <w:vAlign w:val="center"/>
            <w:hideMark/>
          </w:tcPr>
          <w:p w14:paraId="51B8E6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2242761000</w:t>
            </w:r>
          </w:p>
        </w:tc>
        <w:tc>
          <w:tcPr>
            <w:tcW w:w="1012" w:type="dxa"/>
            <w:tcBorders>
              <w:top w:val="nil"/>
              <w:left w:val="nil"/>
              <w:bottom w:val="single" w:sz="4" w:space="0" w:color="auto"/>
              <w:right w:val="single" w:sz="4" w:space="0" w:color="auto"/>
            </w:tcBorders>
            <w:vAlign w:val="center"/>
            <w:hideMark/>
          </w:tcPr>
          <w:p w14:paraId="3D645B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46847758</w:t>
            </w:r>
          </w:p>
        </w:tc>
        <w:tc>
          <w:tcPr>
            <w:tcW w:w="5953" w:type="dxa"/>
            <w:tcBorders>
              <w:top w:val="nil"/>
              <w:left w:val="nil"/>
              <w:bottom w:val="single" w:sz="4" w:space="0" w:color="auto"/>
              <w:right w:val="single" w:sz="4" w:space="0" w:color="auto"/>
            </w:tcBorders>
            <w:noWrap/>
            <w:vAlign w:val="center"/>
            <w:hideMark/>
          </w:tcPr>
          <w:p w14:paraId="4E199B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SVETI TOMAŽ</w:t>
            </w:r>
          </w:p>
        </w:tc>
      </w:tr>
      <w:tr w:rsidR="00F24E18" w14:paraId="6BAF2ED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5C0F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1069</w:t>
            </w:r>
          </w:p>
        </w:tc>
        <w:tc>
          <w:tcPr>
            <w:tcW w:w="1300" w:type="dxa"/>
            <w:tcBorders>
              <w:top w:val="nil"/>
              <w:left w:val="nil"/>
              <w:bottom w:val="single" w:sz="4" w:space="0" w:color="auto"/>
              <w:right w:val="single" w:sz="4" w:space="0" w:color="auto"/>
            </w:tcBorders>
            <w:vAlign w:val="center"/>
            <w:hideMark/>
          </w:tcPr>
          <w:p w14:paraId="68D576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5883113000</w:t>
            </w:r>
          </w:p>
        </w:tc>
        <w:tc>
          <w:tcPr>
            <w:tcW w:w="1012" w:type="dxa"/>
            <w:tcBorders>
              <w:top w:val="nil"/>
              <w:left w:val="nil"/>
              <w:bottom w:val="single" w:sz="4" w:space="0" w:color="auto"/>
              <w:right w:val="single" w:sz="4" w:space="0" w:color="auto"/>
            </w:tcBorders>
            <w:vAlign w:val="center"/>
            <w:hideMark/>
          </w:tcPr>
          <w:p w14:paraId="602EB0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83272631</w:t>
            </w:r>
          </w:p>
        </w:tc>
        <w:tc>
          <w:tcPr>
            <w:tcW w:w="5953" w:type="dxa"/>
            <w:tcBorders>
              <w:top w:val="nil"/>
              <w:left w:val="nil"/>
              <w:bottom w:val="single" w:sz="4" w:space="0" w:color="auto"/>
              <w:right w:val="single" w:sz="4" w:space="0" w:color="auto"/>
            </w:tcBorders>
            <w:noWrap/>
            <w:vAlign w:val="center"/>
            <w:hideMark/>
          </w:tcPr>
          <w:p w14:paraId="7A2800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ŠALOVCI</w:t>
            </w:r>
          </w:p>
        </w:tc>
      </w:tr>
      <w:tr w:rsidR="00F24E18" w14:paraId="48DF95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A4AB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1070</w:t>
            </w:r>
          </w:p>
        </w:tc>
        <w:tc>
          <w:tcPr>
            <w:tcW w:w="1300" w:type="dxa"/>
            <w:tcBorders>
              <w:top w:val="nil"/>
              <w:left w:val="nil"/>
              <w:bottom w:val="single" w:sz="4" w:space="0" w:color="auto"/>
              <w:right w:val="single" w:sz="4" w:space="0" w:color="auto"/>
            </w:tcBorders>
            <w:vAlign w:val="center"/>
            <w:hideMark/>
          </w:tcPr>
          <w:p w14:paraId="5A6451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1358227000</w:t>
            </w:r>
          </w:p>
        </w:tc>
        <w:tc>
          <w:tcPr>
            <w:tcW w:w="1012" w:type="dxa"/>
            <w:tcBorders>
              <w:top w:val="nil"/>
              <w:left w:val="nil"/>
              <w:bottom w:val="single" w:sz="4" w:space="0" w:color="auto"/>
              <w:right w:val="single" w:sz="4" w:space="0" w:color="auto"/>
            </w:tcBorders>
            <w:vAlign w:val="center"/>
            <w:hideMark/>
          </w:tcPr>
          <w:p w14:paraId="558560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44857390</w:t>
            </w:r>
          </w:p>
        </w:tc>
        <w:tc>
          <w:tcPr>
            <w:tcW w:w="5953" w:type="dxa"/>
            <w:tcBorders>
              <w:top w:val="nil"/>
              <w:left w:val="nil"/>
              <w:bottom w:val="single" w:sz="4" w:space="0" w:color="auto"/>
              <w:right w:val="single" w:sz="4" w:space="0" w:color="auto"/>
            </w:tcBorders>
            <w:noWrap/>
            <w:vAlign w:val="center"/>
            <w:hideMark/>
          </w:tcPr>
          <w:p w14:paraId="78D971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ŠEMPETER - VRTOJBA</w:t>
            </w:r>
          </w:p>
        </w:tc>
      </w:tr>
      <w:tr w:rsidR="00F24E18" w14:paraId="58B660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75E0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1071</w:t>
            </w:r>
          </w:p>
        </w:tc>
        <w:tc>
          <w:tcPr>
            <w:tcW w:w="1300" w:type="dxa"/>
            <w:tcBorders>
              <w:top w:val="nil"/>
              <w:left w:val="nil"/>
              <w:bottom w:val="single" w:sz="4" w:space="0" w:color="auto"/>
              <w:right w:val="single" w:sz="4" w:space="0" w:color="auto"/>
            </w:tcBorders>
            <w:vAlign w:val="center"/>
            <w:hideMark/>
          </w:tcPr>
          <w:p w14:paraId="793477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5874696000</w:t>
            </w:r>
          </w:p>
        </w:tc>
        <w:tc>
          <w:tcPr>
            <w:tcW w:w="1012" w:type="dxa"/>
            <w:tcBorders>
              <w:top w:val="nil"/>
              <w:left w:val="nil"/>
              <w:bottom w:val="single" w:sz="4" w:space="0" w:color="auto"/>
              <w:right w:val="single" w:sz="4" w:space="0" w:color="auto"/>
            </w:tcBorders>
            <w:vAlign w:val="center"/>
            <w:hideMark/>
          </w:tcPr>
          <w:p w14:paraId="6CE334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85537322</w:t>
            </w:r>
          </w:p>
        </w:tc>
        <w:tc>
          <w:tcPr>
            <w:tcW w:w="5953" w:type="dxa"/>
            <w:tcBorders>
              <w:top w:val="nil"/>
              <w:left w:val="nil"/>
              <w:bottom w:val="single" w:sz="4" w:space="0" w:color="auto"/>
              <w:right w:val="single" w:sz="4" w:space="0" w:color="auto"/>
            </w:tcBorders>
            <w:noWrap/>
            <w:vAlign w:val="center"/>
            <w:hideMark/>
          </w:tcPr>
          <w:p w14:paraId="637348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ŠENČUR</w:t>
            </w:r>
          </w:p>
        </w:tc>
      </w:tr>
      <w:tr w:rsidR="00F24E18" w14:paraId="23D459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A196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1072</w:t>
            </w:r>
          </w:p>
        </w:tc>
        <w:tc>
          <w:tcPr>
            <w:tcW w:w="1300" w:type="dxa"/>
            <w:tcBorders>
              <w:top w:val="nil"/>
              <w:left w:val="nil"/>
              <w:bottom w:val="single" w:sz="4" w:space="0" w:color="auto"/>
              <w:right w:val="single" w:sz="4" w:space="0" w:color="auto"/>
            </w:tcBorders>
            <w:vAlign w:val="center"/>
            <w:hideMark/>
          </w:tcPr>
          <w:p w14:paraId="3D24D6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5884209000</w:t>
            </w:r>
          </w:p>
        </w:tc>
        <w:tc>
          <w:tcPr>
            <w:tcW w:w="1012" w:type="dxa"/>
            <w:tcBorders>
              <w:top w:val="nil"/>
              <w:left w:val="nil"/>
              <w:bottom w:val="single" w:sz="4" w:space="0" w:color="auto"/>
              <w:right w:val="single" w:sz="4" w:space="0" w:color="auto"/>
            </w:tcBorders>
            <w:vAlign w:val="center"/>
            <w:hideMark/>
          </w:tcPr>
          <w:p w14:paraId="49358F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38253283</w:t>
            </w:r>
          </w:p>
        </w:tc>
        <w:tc>
          <w:tcPr>
            <w:tcW w:w="5953" w:type="dxa"/>
            <w:tcBorders>
              <w:top w:val="nil"/>
              <w:left w:val="nil"/>
              <w:bottom w:val="single" w:sz="4" w:space="0" w:color="auto"/>
              <w:right w:val="single" w:sz="4" w:space="0" w:color="auto"/>
            </w:tcBorders>
            <w:noWrap/>
            <w:vAlign w:val="center"/>
            <w:hideMark/>
          </w:tcPr>
          <w:p w14:paraId="26D065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ŠENTILJ</w:t>
            </w:r>
          </w:p>
        </w:tc>
      </w:tr>
      <w:tr w:rsidR="00F24E18" w14:paraId="2847AE6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6BA2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1073</w:t>
            </w:r>
          </w:p>
        </w:tc>
        <w:tc>
          <w:tcPr>
            <w:tcW w:w="1300" w:type="dxa"/>
            <w:tcBorders>
              <w:top w:val="nil"/>
              <w:left w:val="nil"/>
              <w:bottom w:val="single" w:sz="4" w:space="0" w:color="auto"/>
              <w:right w:val="single" w:sz="4" w:space="0" w:color="auto"/>
            </w:tcBorders>
            <w:vAlign w:val="center"/>
            <w:hideMark/>
          </w:tcPr>
          <w:p w14:paraId="504B90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5883334000</w:t>
            </w:r>
          </w:p>
        </w:tc>
        <w:tc>
          <w:tcPr>
            <w:tcW w:w="1012" w:type="dxa"/>
            <w:tcBorders>
              <w:top w:val="nil"/>
              <w:left w:val="nil"/>
              <w:bottom w:val="single" w:sz="4" w:space="0" w:color="auto"/>
              <w:right w:val="single" w:sz="4" w:space="0" w:color="auto"/>
            </w:tcBorders>
            <w:vAlign w:val="center"/>
            <w:hideMark/>
          </w:tcPr>
          <w:p w14:paraId="7DF247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62524291</w:t>
            </w:r>
          </w:p>
        </w:tc>
        <w:tc>
          <w:tcPr>
            <w:tcW w:w="5953" w:type="dxa"/>
            <w:tcBorders>
              <w:top w:val="nil"/>
              <w:left w:val="nil"/>
              <w:bottom w:val="single" w:sz="4" w:space="0" w:color="auto"/>
              <w:right w:val="single" w:sz="4" w:space="0" w:color="auto"/>
            </w:tcBorders>
            <w:noWrap/>
            <w:vAlign w:val="center"/>
            <w:hideMark/>
          </w:tcPr>
          <w:p w14:paraId="52ABEA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ŠENTJERNEJ</w:t>
            </w:r>
          </w:p>
        </w:tc>
      </w:tr>
      <w:tr w:rsidR="00F24E18" w14:paraId="04A72B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F9EA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1074</w:t>
            </w:r>
          </w:p>
        </w:tc>
        <w:tc>
          <w:tcPr>
            <w:tcW w:w="1300" w:type="dxa"/>
            <w:tcBorders>
              <w:top w:val="nil"/>
              <w:left w:val="nil"/>
              <w:bottom w:val="single" w:sz="4" w:space="0" w:color="auto"/>
              <w:right w:val="single" w:sz="4" w:space="0" w:color="auto"/>
            </w:tcBorders>
            <w:vAlign w:val="center"/>
            <w:hideMark/>
          </w:tcPr>
          <w:p w14:paraId="6EB278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5884799000</w:t>
            </w:r>
          </w:p>
        </w:tc>
        <w:tc>
          <w:tcPr>
            <w:tcW w:w="1012" w:type="dxa"/>
            <w:tcBorders>
              <w:top w:val="nil"/>
              <w:left w:val="nil"/>
              <w:bottom w:val="single" w:sz="4" w:space="0" w:color="auto"/>
              <w:right w:val="single" w:sz="4" w:space="0" w:color="auto"/>
            </w:tcBorders>
            <w:vAlign w:val="center"/>
            <w:hideMark/>
          </w:tcPr>
          <w:p w14:paraId="4FD2C8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20341253</w:t>
            </w:r>
          </w:p>
        </w:tc>
        <w:tc>
          <w:tcPr>
            <w:tcW w:w="5953" w:type="dxa"/>
            <w:tcBorders>
              <w:top w:val="nil"/>
              <w:left w:val="nil"/>
              <w:bottom w:val="single" w:sz="4" w:space="0" w:color="auto"/>
              <w:right w:val="single" w:sz="4" w:space="0" w:color="auto"/>
            </w:tcBorders>
            <w:noWrap/>
            <w:vAlign w:val="center"/>
            <w:hideMark/>
          </w:tcPr>
          <w:p w14:paraId="645AA6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ŠENTJUR</w:t>
            </w:r>
          </w:p>
        </w:tc>
      </w:tr>
      <w:tr w:rsidR="00F24E18" w14:paraId="63793E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407F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1075</w:t>
            </w:r>
          </w:p>
        </w:tc>
        <w:tc>
          <w:tcPr>
            <w:tcW w:w="1300" w:type="dxa"/>
            <w:tcBorders>
              <w:top w:val="nil"/>
              <w:left w:val="nil"/>
              <w:bottom w:val="single" w:sz="4" w:space="0" w:color="auto"/>
              <w:right w:val="single" w:sz="4" w:space="0" w:color="auto"/>
            </w:tcBorders>
            <w:vAlign w:val="center"/>
            <w:hideMark/>
          </w:tcPr>
          <w:p w14:paraId="716623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2241153000</w:t>
            </w:r>
          </w:p>
        </w:tc>
        <w:tc>
          <w:tcPr>
            <w:tcW w:w="1012" w:type="dxa"/>
            <w:tcBorders>
              <w:top w:val="nil"/>
              <w:left w:val="nil"/>
              <w:bottom w:val="single" w:sz="4" w:space="0" w:color="auto"/>
              <w:right w:val="single" w:sz="4" w:space="0" w:color="auto"/>
            </w:tcBorders>
            <w:vAlign w:val="center"/>
            <w:hideMark/>
          </w:tcPr>
          <w:p w14:paraId="7674DB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43936377</w:t>
            </w:r>
          </w:p>
        </w:tc>
        <w:tc>
          <w:tcPr>
            <w:tcW w:w="5953" w:type="dxa"/>
            <w:tcBorders>
              <w:top w:val="nil"/>
              <w:left w:val="nil"/>
              <w:bottom w:val="single" w:sz="4" w:space="0" w:color="auto"/>
              <w:right w:val="single" w:sz="4" w:space="0" w:color="auto"/>
            </w:tcBorders>
            <w:noWrap/>
            <w:vAlign w:val="center"/>
            <w:hideMark/>
          </w:tcPr>
          <w:p w14:paraId="7C083F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ŠENTRUPERT</w:t>
            </w:r>
          </w:p>
        </w:tc>
      </w:tr>
      <w:tr w:rsidR="00F24E18" w14:paraId="0CE518A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4EAB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1076</w:t>
            </w:r>
          </w:p>
        </w:tc>
        <w:tc>
          <w:tcPr>
            <w:tcW w:w="1300" w:type="dxa"/>
            <w:tcBorders>
              <w:top w:val="nil"/>
              <w:left w:val="nil"/>
              <w:bottom w:val="single" w:sz="4" w:space="0" w:color="auto"/>
              <w:right w:val="single" w:sz="4" w:space="0" w:color="auto"/>
            </w:tcBorders>
            <w:vAlign w:val="center"/>
            <w:hideMark/>
          </w:tcPr>
          <w:p w14:paraId="0E1916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5883296000</w:t>
            </w:r>
          </w:p>
        </w:tc>
        <w:tc>
          <w:tcPr>
            <w:tcW w:w="1012" w:type="dxa"/>
            <w:tcBorders>
              <w:top w:val="nil"/>
              <w:left w:val="nil"/>
              <w:bottom w:val="single" w:sz="4" w:space="0" w:color="auto"/>
              <w:right w:val="single" w:sz="4" w:space="0" w:color="auto"/>
            </w:tcBorders>
            <w:vAlign w:val="center"/>
            <w:hideMark/>
          </w:tcPr>
          <w:p w14:paraId="737B16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33551588</w:t>
            </w:r>
          </w:p>
        </w:tc>
        <w:tc>
          <w:tcPr>
            <w:tcW w:w="5953" w:type="dxa"/>
            <w:tcBorders>
              <w:top w:val="nil"/>
              <w:left w:val="nil"/>
              <w:bottom w:val="single" w:sz="4" w:space="0" w:color="auto"/>
              <w:right w:val="single" w:sz="4" w:space="0" w:color="auto"/>
            </w:tcBorders>
            <w:noWrap/>
            <w:vAlign w:val="center"/>
            <w:hideMark/>
          </w:tcPr>
          <w:p w14:paraId="540989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ŠKOCJAN</w:t>
            </w:r>
          </w:p>
        </w:tc>
      </w:tr>
      <w:tr w:rsidR="00F24E18" w14:paraId="0E9309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EEA1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1077</w:t>
            </w:r>
          </w:p>
        </w:tc>
        <w:tc>
          <w:tcPr>
            <w:tcW w:w="1300" w:type="dxa"/>
            <w:tcBorders>
              <w:top w:val="nil"/>
              <w:left w:val="nil"/>
              <w:bottom w:val="single" w:sz="4" w:space="0" w:color="auto"/>
              <w:right w:val="single" w:sz="4" w:space="0" w:color="auto"/>
            </w:tcBorders>
            <w:vAlign w:val="center"/>
            <w:hideMark/>
          </w:tcPr>
          <w:p w14:paraId="1CA9CF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5883318000</w:t>
            </w:r>
          </w:p>
        </w:tc>
        <w:tc>
          <w:tcPr>
            <w:tcW w:w="1012" w:type="dxa"/>
            <w:tcBorders>
              <w:top w:val="nil"/>
              <w:left w:val="nil"/>
              <w:bottom w:val="single" w:sz="4" w:space="0" w:color="auto"/>
              <w:right w:val="single" w:sz="4" w:space="0" w:color="auto"/>
            </w:tcBorders>
            <w:vAlign w:val="center"/>
            <w:hideMark/>
          </w:tcPr>
          <w:p w14:paraId="3995DB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18947271</w:t>
            </w:r>
          </w:p>
        </w:tc>
        <w:tc>
          <w:tcPr>
            <w:tcW w:w="5953" w:type="dxa"/>
            <w:tcBorders>
              <w:top w:val="nil"/>
              <w:left w:val="nil"/>
              <w:bottom w:val="single" w:sz="4" w:space="0" w:color="auto"/>
              <w:right w:val="single" w:sz="4" w:space="0" w:color="auto"/>
            </w:tcBorders>
            <w:noWrap/>
            <w:vAlign w:val="center"/>
            <w:hideMark/>
          </w:tcPr>
          <w:p w14:paraId="452098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ŠKOFJA LOKA</w:t>
            </w:r>
          </w:p>
        </w:tc>
      </w:tr>
      <w:tr w:rsidR="00F24E18" w14:paraId="048B75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EAE3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1078</w:t>
            </w:r>
          </w:p>
        </w:tc>
        <w:tc>
          <w:tcPr>
            <w:tcW w:w="1300" w:type="dxa"/>
            <w:tcBorders>
              <w:top w:val="nil"/>
              <w:left w:val="nil"/>
              <w:bottom w:val="single" w:sz="4" w:space="0" w:color="auto"/>
              <w:right w:val="single" w:sz="4" w:space="0" w:color="auto"/>
            </w:tcBorders>
            <w:vAlign w:val="center"/>
            <w:hideMark/>
          </w:tcPr>
          <w:p w14:paraId="031ACF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5874602000</w:t>
            </w:r>
          </w:p>
        </w:tc>
        <w:tc>
          <w:tcPr>
            <w:tcW w:w="1012" w:type="dxa"/>
            <w:tcBorders>
              <w:top w:val="nil"/>
              <w:left w:val="nil"/>
              <w:bottom w:val="single" w:sz="4" w:space="0" w:color="auto"/>
              <w:right w:val="single" w:sz="4" w:space="0" w:color="auto"/>
            </w:tcBorders>
            <w:vAlign w:val="center"/>
            <w:hideMark/>
          </w:tcPr>
          <w:p w14:paraId="36870A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72177918</w:t>
            </w:r>
          </w:p>
        </w:tc>
        <w:tc>
          <w:tcPr>
            <w:tcW w:w="5953" w:type="dxa"/>
            <w:tcBorders>
              <w:top w:val="nil"/>
              <w:left w:val="nil"/>
              <w:bottom w:val="single" w:sz="4" w:space="0" w:color="auto"/>
              <w:right w:val="single" w:sz="4" w:space="0" w:color="auto"/>
            </w:tcBorders>
            <w:noWrap/>
            <w:vAlign w:val="center"/>
            <w:hideMark/>
          </w:tcPr>
          <w:p w14:paraId="75BA3B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ŠKOFLJICA</w:t>
            </w:r>
          </w:p>
        </w:tc>
      </w:tr>
      <w:tr w:rsidR="00F24E18" w14:paraId="5E74C1E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3405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1079</w:t>
            </w:r>
          </w:p>
        </w:tc>
        <w:tc>
          <w:tcPr>
            <w:tcW w:w="1300" w:type="dxa"/>
            <w:tcBorders>
              <w:top w:val="nil"/>
              <w:left w:val="nil"/>
              <w:bottom w:val="single" w:sz="4" w:space="0" w:color="auto"/>
              <w:right w:val="single" w:sz="4" w:space="0" w:color="auto"/>
            </w:tcBorders>
            <w:vAlign w:val="center"/>
            <w:hideMark/>
          </w:tcPr>
          <w:p w14:paraId="67B794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5884012000</w:t>
            </w:r>
          </w:p>
        </w:tc>
        <w:tc>
          <w:tcPr>
            <w:tcW w:w="1012" w:type="dxa"/>
            <w:tcBorders>
              <w:top w:val="nil"/>
              <w:left w:val="nil"/>
              <w:bottom w:val="single" w:sz="4" w:space="0" w:color="auto"/>
              <w:right w:val="single" w:sz="4" w:space="0" w:color="auto"/>
            </w:tcBorders>
            <w:vAlign w:val="center"/>
            <w:hideMark/>
          </w:tcPr>
          <w:p w14:paraId="08BFFD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31214908</w:t>
            </w:r>
          </w:p>
        </w:tc>
        <w:tc>
          <w:tcPr>
            <w:tcW w:w="5953" w:type="dxa"/>
            <w:tcBorders>
              <w:top w:val="nil"/>
              <w:left w:val="nil"/>
              <w:bottom w:val="single" w:sz="4" w:space="0" w:color="auto"/>
              <w:right w:val="single" w:sz="4" w:space="0" w:color="auto"/>
            </w:tcBorders>
            <w:noWrap/>
            <w:vAlign w:val="center"/>
            <w:hideMark/>
          </w:tcPr>
          <w:p w14:paraId="487C2A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ŠMARJE PRI JELŠAH</w:t>
            </w:r>
          </w:p>
        </w:tc>
      </w:tr>
      <w:tr w:rsidR="00F24E18" w14:paraId="19A1AA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3FDC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1080</w:t>
            </w:r>
          </w:p>
        </w:tc>
        <w:tc>
          <w:tcPr>
            <w:tcW w:w="1300" w:type="dxa"/>
            <w:tcBorders>
              <w:top w:val="nil"/>
              <w:left w:val="nil"/>
              <w:bottom w:val="single" w:sz="4" w:space="0" w:color="auto"/>
              <w:right w:val="single" w:sz="4" w:space="0" w:color="auto"/>
            </w:tcBorders>
            <w:vAlign w:val="center"/>
            <w:hideMark/>
          </w:tcPr>
          <w:p w14:paraId="6CF98C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2241161000</w:t>
            </w:r>
          </w:p>
        </w:tc>
        <w:tc>
          <w:tcPr>
            <w:tcW w:w="1012" w:type="dxa"/>
            <w:tcBorders>
              <w:top w:val="nil"/>
              <w:left w:val="nil"/>
              <w:bottom w:val="single" w:sz="4" w:space="0" w:color="auto"/>
              <w:right w:val="single" w:sz="4" w:space="0" w:color="auto"/>
            </w:tcBorders>
            <w:vAlign w:val="center"/>
            <w:hideMark/>
          </w:tcPr>
          <w:p w14:paraId="3C8B6C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80990258</w:t>
            </w:r>
          </w:p>
        </w:tc>
        <w:tc>
          <w:tcPr>
            <w:tcW w:w="5953" w:type="dxa"/>
            <w:tcBorders>
              <w:top w:val="nil"/>
              <w:left w:val="nil"/>
              <w:bottom w:val="single" w:sz="4" w:space="0" w:color="auto"/>
              <w:right w:val="single" w:sz="4" w:space="0" w:color="auto"/>
            </w:tcBorders>
            <w:noWrap/>
            <w:vAlign w:val="center"/>
            <w:hideMark/>
          </w:tcPr>
          <w:p w14:paraId="4BD085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ŠMARJEŠKE TOPLICE</w:t>
            </w:r>
          </w:p>
        </w:tc>
      </w:tr>
      <w:tr w:rsidR="00F24E18" w14:paraId="78280AA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2815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1081</w:t>
            </w:r>
          </w:p>
        </w:tc>
        <w:tc>
          <w:tcPr>
            <w:tcW w:w="1300" w:type="dxa"/>
            <w:tcBorders>
              <w:top w:val="nil"/>
              <w:left w:val="nil"/>
              <w:bottom w:val="single" w:sz="4" w:space="0" w:color="auto"/>
              <w:right w:val="single" w:sz="4" w:space="0" w:color="auto"/>
            </w:tcBorders>
            <w:vAlign w:val="center"/>
            <w:hideMark/>
          </w:tcPr>
          <w:p w14:paraId="1EDB23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5884276000</w:t>
            </w:r>
          </w:p>
        </w:tc>
        <w:tc>
          <w:tcPr>
            <w:tcW w:w="1012" w:type="dxa"/>
            <w:tcBorders>
              <w:top w:val="nil"/>
              <w:left w:val="nil"/>
              <w:bottom w:val="single" w:sz="4" w:space="0" w:color="auto"/>
              <w:right w:val="single" w:sz="4" w:space="0" w:color="auto"/>
            </w:tcBorders>
            <w:vAlign w:val="center"/>
            <w:hideMark/>
          </w:tcPr>
          <w:p w14:paraId="57EA5D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64225569</w:t>
            </w:r>
          </w:p>
        </w:tc>
        <w:tc>
          <w:tcPr>
            <w:tcW w:w="5953" w:type="dxa"/>
            <w:tcBorders>
              <w:top w:val="nil"/>
              <w:left w:val="nil"/>
              <w:bottom w:val="single" w:sz="4" w:space="0" w:color="auto"/>
              <w:right w:val="single" w:sz="4" w:space="0" w:color="auto"/>
            </w:tcBorders>
            <w:noWrap/>
            <w:vAlign w:val="center"/>
            <w:hideMark/>
          </w:tcPr>
          <w:p w14:paraId="551094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ŠMARTNO OB PAKI</w:t>
            </w:r>
          </w:p>
        </w:tc>
      </w:tr>
      <w:tr w:rsidR="00F24E18" w14:paraId="3962DD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2E89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1082</w:t>
            </w:r>
          </w:p>
        </w:tc>
        <w:tc>
          <w:tcPr>
            <w:tcW w:w="1300" w:type="dxa"/>
            <w:tcBorders>
              <w:top w:val="nil"/>
              <w:left w:val="nil"/>
              <w:bottom w:val="single" w:sz="4" w:space="0" w:color="auto"/>
              <w:right w:val="single" w:sz="4" w:space="0" w:color="auto"/>
            </w:tcBorders>
            <w:vAlign w:val="center"/>
            <w:hideMark/>
          </w:tcPr>
          <w:p w14:paraId="1B4FA1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1779737000</w:t>
            </w:r>
          </w:p>
        </w:tc>
        <w:tc>
          <w:tcPr>
            <w:tcW w:w="1012" w:type="dxa"/>
            <w:tcBorders>
              <w:top w:val="nil"/>
              <w:left w:val="nil"/>
              <w:bottom w:val="single" w:sz="4" w:space="0" w:color="auto"/>
              <w:right w:val="single" w:sz="4" w:space="0" w:color="auto"/>
            </w:tcBorders>
            <w:vAlign w:val="center"/>
            <w:hideMark/>
          </w:tcPr>
          <w:p w14:paraId="58F7C9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99744686</w:t>
            </w:r>
          </w:p>
        </w:tc>
        <w:tc>
          <w:tcPr>
            <w:tcW w:w="5953" w:type="dxa"/>
            <w:tcBorders>
              <w:top w:val="nil"/>
              <w:left w:val="nil"/>
              <w:bottom w:val="single" w:sz="4" w:space="0" w:color="auto"/>
              <w:right w:val="single" w:sz="4" w:space="0" w:color="auto"/>
            </w:tcBorders>
            <w:noWrap/>
            <w:vAlign w:val="center"/>
            <w:hideMark/>
          </w:tcPr>
          <w:p w14:paraId="35026E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ŠMARTNO PRI LITIJI</w:t>
            </w:r>
          </w:p>
        </w:tc>
      </w:tr>
      <w:tr w:rsidR="00F24E18" w14:paraId="1444CC7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CB4A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1083</w:t>
            </w:r>
          </w:p>
        </w:tc>
        <w:tc>
          <w:tcPr>
            <w:tcW w:w="1300" w:type="dxa"/>
            <w:tcBorders>
              <w:top w:val="nil"/>
              <w:left w:val="nil"/>
              <w:bottom w:val="single" w:sz="4" w:space="0" w:color="auto"/>
              <w:right w:val="single" w:sz="4" w:space="0" w:color="auto"/>
            </w:tcBorders>
            <w:vAlign w:val="center"/>
            <w:hideMark/>
          </w:tcPr>
          <w:p w14:paraId="31F344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5884284000</w:t>
            </w:r>
          </w:p>
        </w:tc>
        <w:tc>
          <w:tcPr>
            <w:tcW w:w="1012" w:type="dxa"/>
            <w:tcBorders>
              <w:top w:val="nil"/>
              <w:left w:val="nil"/>
              <w:bottom w:val="single" w:sz="4" w:space="0" w:color="auto"/>
              <w:right w:val="single" w:sz="4" w:space="0" w:color="auto"/>
            </w:tcBorders>
            <w:vAlign w:val="center"/>
            <w:hideMark/>
          </w:tcPr>
          <w:p w14:paraId="5C908F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97214043</w:t>
            </w:r>
          </w:p>
        </w:tc>
        <w:tc>
          <w:tcPr>
            <w:tcW w:w="5953" w:type="dxa"/>
            <w:tcBorders>
              <w:top w:val="nil"/>
              <w:left w:val="nil"/>
              <w:bottom w:val="single" w:sz="4" w:space="0" w:color="auto"/>
              <w:right w:val="single" w:sz="4" w:space="0" w:color="auto"/>
            </w:tcBorders>
            <w:noWrap/>
            <w:vAlign w:val="center"/>
            <w:hideMark/>
          </w:tcPr>
          <w:p w14:paraId="30DFC9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ŠOŠTANJ</w:t>
            </w:r>
          </w:p>
        </w:tc>
      </w:tr>
      <w:tr w:rsidR="00F24E18" w14:paraId="2CF4BC9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64D6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1084</w:t>
            </w:r>
          </w:p>
        </w:tc>
        <w:tc>
          <w:tcPr>
            <w:tcW w:w="1300" w:type="dxa"/>
            <w:tcBorders>
              <w:top w:val="nil"/>
              <w:left w:val="nil"/>
              <w:bottom w:val="single" w:sz="4" w:space="0" w:color="auto"/>
              <w:right w:val="single" w:sz="4" w:space="0" w:color="auto"/>
            </w:tcBorders>
            <w:vAlign w:val="center"/>
            <w:hideMark/>
          </w:tcPr>
          <w:p w14:paraId="6D8CCF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5880378000</w:t>
            </w:r>
          </w:p>
        </w:tc>
        <w:tc>
          <w:tcPr>
            <w:tcW w:w="1012" w:type="dxa"/>
            <w:tcBorders>
              <w:top w:val="nil"/>
              <w:left w:val="nil"/>
              <w:bottom w:val="single" w:sz="4" w:space="0" w:color="auto"/>
              <w:right w:val="single" w:sz="4" w:space="0" w:color="auto"/>
            </w:tcBorders>
            <w:vAlign w:val="center"/>
            <w:hideMark/>
          </w:tcPr>
          <w:p w14:paraId="4DF465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78439388</w:t>
            </w:r>
          </w:p>
        </w:tc>
        <w:tc>
          <w:tcPr>
            <w:tcW w:w="5953" w:type="dxa"/>
            <w:tcBorders>
              <w:top w:val="nil"/>
              <w:left w:val="nil"/>
              <w:bottom w:val="single" w:sz="4" w:space="0" w:color="auto"/>
              <w:right w:val="single" w:sz="4" w:space="0" w:color="auto"/>
            </w:tcBorders>
            <w:noWrap/>
            <w:vAlign w:val="center"/>
            <w:hideMark/>
          </w:tcPr>
          <w:p w14:paraId="33D5D2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ŠTORE</w:t>
            </w:r>
          </w:p>
        </w:tc>
      </w:tr>
      <w:tr w:rsidR="00F24E18" w14:paraId="6D45DA0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F3AF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1085</w:t>
            </w:r>
          </w:p>
        </w:tc>
        <w:tc>
          <w:tcPr>
            <w:tcW w:w="1300" w:type="dxa"/>
            <w:tcBorders>
              <w:top w:val="nil"/>
              <w:left w:val="nil"/>
              <w:bottom w:val="single" w:sz="4" w:space="0" w:color="auto"/>
              <w:right w:val="single" w:sz="4" w:space="0" w:color="auto"/>
            </w:tcBorders>
            <w:vAlign w:val="center"/>
            <w:hideMark/>
          </w:tcPr>
          <w:p w14:paraId="7693D4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1357727000</w:t>
            </w:r>
          </w:p>
        </w:tc>
        <w:tc>
          <w:tcPr>
            <w:tcW w:w="1012" w:type="dxa"/>
            <w:tcBorders>
              <w:top w:val="nil"/>
              <w:left w:val="nil"/>
              <w:bottom w:val="single" w:sz="4" w:space="0" w:color="auto"/>
              <w:right w:val="single" w:sz="4" w:space="0" w:color="auto"/>
            </w:tcBorders>
            <w:vAlign w:val="center"/>
            <w:hideMark/>
          </w:tcPr>
          <w:p w14:paraId="205D16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43471862</w:t>
            </w:r>
          </w:p>
        </w:tc>
        <w:tc>
          <w:tcPr>
            <w:tcW w:w="5953" w:type="dxa"/>
            <w:tcBorders>
              <w:top w:val="nil"/>
              <w:left w:val="nil"/>
              <w:bottom w:val="single" w:sz="4" w:space="0" w:color="auto"/>
              <w:right w:val="single" w:sz="4" w:space="0" w:color="auto"/>
            </w:tcBorders>
            <w:noWrap/>
            <w:vAlign w:val="center"/>
            <w:hideMark/>
          </w:tcPr>
          <w:p w14:paraId="2E46CD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TABOR</w:t>
            </w:r>
          </w:p>
        </w:tc>
      </w:tr>
      <w:tr w:rsidR="00F24E18" w14:paraId="4E0E4CB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C9F9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1086</w:t>
            </w:r>
          </w:p>
        </w:tc>
        <w:tc>
          <w:tcPr>
            <w:tcW w:w="1300" w:type="dxa"/>
            <w:tcBorders>
              <w:top w:val="nil"/>
              <w:left w:val="nil"/>
              <w:bottom w:val="single" w:sz="4" w:space="0" w:color="auto"/>
              <w:right w:val="single" w:sz="4" w:space="0" w:color="auto"/>
            </w:tcBorders>
            <w:vAlign w:val="center"/>
            <w:hideMark/>
          </w:tcPr>
          <w:p w14:paraId="7E64AF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5883067000</w:t>
            </w:r>
          </w:p>
        </w:tc>
        <w:tc>
          <w:tcPr>
            <w:tcW w:w="1012" w:type="dxa"/>
            <w:tcBorders>
              <w:top w:val="nil"/>
              <w:left w:val="nil"/>
              <w:bottom w:val="single" w:sz="4" w:space="0" w:color="auto"/>
              <w:right w:val="single" w:sz="4" w:space="0" w:color="auto"/>
            </w:tcBorders>
            <w:vAlign w:val="center"/>
            <w:hideMark/>
          </w:tcPr>
          <w:p w14:paraId="77AA05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43730361</w:t>
            </w:r>
          </w:p>
        </w:tc>
        <w:tc>
          <w:tcPr>
            <w:tcW w:w="5953" w:type="dxa"/>
            <w:tcBorders>
              <w:top w:val="nil"/>
              <w:left w:val="nil"/>
              <w:bottom w:val="single" w:sz="4" w:space="0" w:color="auto"/>
              <w:right w:val="single" w:sz="4" w:space="0" w:color="auto"/>
            </w:tcBorders>
            <w:noWrap/>
            <w:vAlign w:val="center"/>
            <w:hideMark/>
          </w:tcPr>
          <w:p w14:paraId="509DBA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TIŠINA</w:t>
            </w:r>
          </w:p>
        </w:tc>
      </w:tr>
      <w:tr w:rsidR="00F24E18" w14:paraId="09DBB6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A2F8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1087</w:t>
            </w:r>
          </w:p>
        </w:tc>
        <w:tc>
          <w:tcPr>
            <w:tcW w:w="1300" w:type="dxa"/>
            <w:tcBorders>
              <w:top w:val="nil"/>
              <w:left w:val="nil"/>
              <w:bottom w:val="single" w:sz="4" w:space="0" w:color="auto"/>
              <w:right w:val="single" w:sz="4" w:space="0" w:color="auto"/>
            </w:tcBorders>
            <w:vAlign w:val="center"/>
            <w:hideMark/>
          </w:tcPr>
          <w:p w14:paraId="2813F6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5881455000</w:t>
            </w:r>
          </w:p>
        </w:tc>
        <w:tc>
          <w:tcPr>
            <w:tcW w:w="1012" w:type="dxa"/>
            <w:tcBorders>
              <w:top w:val="nil"/>
              <w:left w:val="nil"/>
              <w:bottom w:val="single" w:sz="4" w:space="0" w:color="auto"/>
              <w:right w:val="single" w:sz="4" w:space="0" w:color="auto"/>
            </w:tcBorders>
            <w:vAlign w:val="center"/>
            <w:hideMark/>
          </w:tcPr>
          <w:p w14:paraId="20D321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19588976</w:t>
            </w:r>
          </w:p>
        </w:tc>
        <w:tc>
          <w:tcPr>
            <w:tcW w:w="5953" w:type="dxa"/>
            <w:tcBorders>
              <w:top w:val="nil"/>
              <w:left w:val="nil"/>
              <w:bottom w:val="single" w:sz="4" w:space="0" w:color="auto"/>
              <w:right w:val="single" w:sz="4" w:space="0" w:color="auto"/>
            </w:tcBorders>
            <w:noWrap/>
            <w:vAlign w:val="center"/>
            <w:hideMark/>
          </w:tcPr>
          <w:p w14:paraId="5ECA16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TOLMIN</w:t>
            </w:r>
          </w:p>
        </w:tc>
      </w:tr>
      <w:tr w:rsidR="00F24E18" w14:paraId="555A84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F589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1088</w:t>
            </w:r>
          </w:p>
        </w:tc>
        <w:tc>
          <w:tcPr>
            <w:tcW w:w="1300" w:type="dxa"/>
            <w:tcBorders>
              <w:top w:val="nil"/>
              <w:left w:val="nil"/>
              <w:bottom w:val="single" w:sz="4" w:space="0" w:color="auto"/>
              <w:right w:val="single" w:sz="4" w:space="0" w:color="auto"/>
            </w:tcBorders>
            <w:vAlign w:val="center"/>
            <w:hideMark/>
          </w:tcPr>
          <w:p w14:paraId="02993E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5882940000</w:t>
            </w:r>
          </w:p>
        </w:tc>
        <w:tc>
          <w:tcPr>
            <w:tcW w:w="1012" w:type="dxa"/>
            <w:tcBorders>
              <w:top w:val="nil"/>
              <w:left w:val="nil"/>
              <w:bottom w:val="single" w:sz="4" w:space="0" w:color="auto"/>
              <w:right w:val="single" w:sz="4" w:space="0" w:color="auto"/>
            </w:tcBorders>
            <w:vAlign w:val="center"/>
            <w:hideMark/>
          </w:tcPr>
          <w:p w14:paraId="4C0C0E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86624784</w:t>
            </w:r>
          </w:p>
        </w:tc>
        <w:tc>
          <w:tcPr>
            <w:tcW w:w="5953" w:type="dxa"/>
            <w:tcBorders>
              <w:top w:val="nil"/>
              <w:left w:val="nil"/>
              <w:bottom w:val="single" w:sz="4" w:space="0" w:color="auto"/>
              <w:right w:val="single" w:sz="4" w:space="0" w:color="auto"/>
            </w:tcBorders>
            <w:noWrap/>
            <w:vAlign w:val="center"/>
            <w:hideMark/>
          </w:tcPr>
          <w:p w14:paraId="0584DE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TRBOVLJE</w:t>
            </w:r>
          </w:p>
        </w:tc>
      </w:tr>
      <w:tr w:rsidR="00F24E18" w14:paraId="06D3AC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8946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1089</w:t>
            </w:r>
          </w:p>
        </w:tc>
        <w:tc>
          <w:tcPr>
            <w:tcW w:w="1300" w:type="dxa"/>
            <w:tcBorders>
              <w:top w:val="nil"/>
              <w:left w:val="nil"/>
              <w:bottom w:val="single" w:sz="4" w:space="0" w:color="auto"/>
              <w:right w:val="single" w:sz="4" w:space="0" w:color="auto"/>
            </w:tcBorders>
            <w:vAlign w:val="center"/>
            <w:hideMark/>
          </w:tcPr>
          <w:p w14:paraId="0963BE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5882958000</w:t>
            </w:r>
          </w:p>
        </w:tc>
        <w:tc>
          <w:tcPr>
            <w:tcW w:w="1012" w:type="dxa"/>
            <w:tcBorders>
              <w:top w:val="nil"/>
              <w:left w:val="nil"/>
              <w:bottom w:val="single" w:sz="4" w:space="0" w:color="auto"/>
              <w:right w:val="single" w:sz="4" w:space="0" w:color="auto"/>
            </w:tcBorders>
            <w:vAlign w:val="center"/>
            <w:hideMark/>
          </w:tcPr>
          <w:p w14:paraId="5299A2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34728317</w:t>
            </w:r>
          </w:p>
        </w:tc>
        <w:tc>
          <w:tcPr>
            <w:tcW w:w="5953" w:type="dxa"/>
            <w:tcBorders>
              <w:top w:val="nil"/>
              <w:left w:val="nil"/>
              <w:bottom w:val="single" w:sz="4" w:space="0" w:color="auto"/>
              <w:right w:val="single" w:sz="4" w:space="0" w:color="auto"/>
            </w:tcBorders>
            <w:noWrap/>
            <w:vAlign w:val="center"/>
            <w:hideMark/>
          </w:tcPr>
          <w:p w14:paraId="6AF9A8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TREBNJE</w:t>
            </w:r>
          </w:p>
        </w:tc>
      </w:tr>
      <w:tr w:rsidR="00F24E18" w14:paraId="3CF060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7B47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1090</w:t>
            </w:r>
          </w:p>
        </w:tc>
        <w:tc>
          <w:tcPr>
            <w:tcW w:w="1300" w:type="dxa"/>
            <w:tcBorders>
              <w:top w:val="nil"/>
              <w:left w:val="nil"/>
              <w:bottom w:val="single" w:sz="4" w:space="0" w:color="auto"/>
              <w:right w:val="single" w:sz="4" w:space="0" w:color="auto"/>
            </w:tcBorders>
            <w:vAlign w:val="center"/>
            <w:hideMark/>
          </w:tcPr>
          <w:p w14:paraId="7163CA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1358057000</w:t>
            </w:r>
          </w:p>
        </w:tc>
        <w:tc>
          <w:tcPr>
            <w:tcW w:w="1012" w:type="dxa"/>
            <w:tcBorders>
              <w:top w:val="nil"/>
              <w:left w:val="nil"/>
              <w:bottom w:val="single" w:sz="4" w:space="0" w:color="auto"/>
              <w:right w:val="single" w:sz="4" w:space="0" w:color="auto"/>
            </w:tcBorders>
            <w:vAlign w:val="center"/>
            <w:hideMark/>
          </w:tcPr>
          <w:p w14:paraId="1C5695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40178722</w:t>
            </w:r>
          </w:p>
        </w:tc>
        <w:tc>
          <w:tcPr>
            <w:tcW w:w="5953" w:type="dxa"/>
            <w:tcBorders>
              <w:top w:val="nil"/>
              <w:left w:val="nil"/>
              <w:bottom w:val="single" w:sz="4" w:space="0" w:color="auto"/>
              <w:right w:val="single" w:sz="4" w:space="0" w:color="auto"/>
            </w:tcBorders>
            <w:noWrap/>
            <w:vAlign w:val="center"/>
            <w:hideMark/>
          </w:tcPr>
          <w:p w14:paraId="40B6B9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TRNOVSKA VAS</w:t>
            </w:r>
          </w:p>
        </w:tc>
      </w:tr>
      <w:tr w:rsidR="00F24E18" w14:paraId="088729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ACFC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1091</w:t>
            </w:r>
          </w:p>
        </w:tc>
        <w:tc>
          <w:tcPr>
            <w:tcW w:w="1300" w:type="dxa"/>
            <w:tcBorders>
              <w:top w:val="nil"/>
              <w:left w:val="nil"/>
              <w:bottom w:val="single" w:sz="4" w:space="0" w:color="auto"/>
              <w:right w:val="single" w:sz="4" w:space="0" w:color="auto"/>
            </w:tcBorders>
            <w:vAlign w:val="center"/>
            <w:hideMark/>
          </w:tcPr>
          <w:p w14:paraId="436C9B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1358561000</w:t>
            </w:r>
          </w:p>
        </w:tc>
        <w:tc>
          <w:tcPr>
            <w:tcW w:w="1012" w:type="dxa"/>
            <w:tcBorders>
              <w:top w:val="nil"/>
              <w:left w:val="nil"/>
              <w:bottom w:val="single" w:sz="4" w:space="0" w:color="auto"/>
              <w:right w:val="single" w:sz="4" w:space="0" w:color="auto"/>
            </w:tcBorders>
            <w:vAlign w:val="center"/>
            <w:hideMark/>
          </w:tcPr>
          <w:p w14:paraId="388403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33714789</w:t>
            </w:r>
          </w:p>
        </w:tc>
        <w:tc>
          <w:tcPr>
            <w:tcW w:w="5953" w:type="dxa"/>
            <w:tcBorders>
              <w:top w:val="nil"/>
              <w:left w:val="nil"/>
              <w:bottom w:val="single" w:sz="4" w:space="0" w:color="auto"/>
              <w:right w:val="single" w:sz="4" w:space="0" w:color="auto"/>
            </w:tcBorders>
            <w:noWrap/>
            <w:vAlign w:val="center"/>
            <w:hideMark/>
          </w:tcPr>
          <w:p w14:paraId="3B8C18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TRZIN</w:t>
            </w:r>
          </w:p>
        </w:tc>
      </w:tr>
      <w:tr w:rsidR="00F24E18" w14:paraId="7B9947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4CCF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1092</w:t>
            </w:r>
          </w:p>
        </w:tc>
        <w:tc>
          <w:tcPr>
            <w:tcW w:w="1300" w:type="dxa"/>
            <w:tcBorders>
              <w:top w:val="nil"/>
              <w:left w:val="nil"/>
              <w:bottom w:val="single" w:sz="4" w:space="0" w:color="auto"/>
              <w:right w:val="single" w:sz="4" w:space="0" w:color="auto"/>
            </w:tcBorders>
            <w:vAlign w:val="center"/>
            <w:hideMark/>
          </w:tcPr>
          <w:p w14:paraId="51CFB4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5883547000</w:t>
            </w:r>
          </w:p>
        </w:tc>
        <w:tc>
          <w:tcPr>
            <w:tcW w:w="1012" w:type="dxa"/>
            <w:tcBorders>
              <w:top w:val="nil"/>
              <w:left w:val="nil"/>
              <w:bottom w:val="single" w:sz="4" w:space="0" w:color="auto"/>
              <w:right w:val="single" w:sz="4" w:space="0" w:color="auto"/>
            </w:tcBorders>
            <w:vAlign w:val="center"/>
            <w:hideMark/>
          </w:tcPr>
          <w:p w14:paraId="2853CE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23676264</w:t>
            </w:r>
          </w:p>
        </w:tc>
        <w:tc>
          <w:tcPr>
            <w:tcW w:w="5953" w:type="dxa"/>
            <w:tcBorders>
              <w:top w:val="nil"/>
              <w:left w:val="nil"/>
              <w:bottom w:val="single" w:sz="4" w:space="0" w:color="auto"/>
              <w:right w:val="single" w:sz="4" w:space="0" w:color="auto"/>
            </w:tcBorders>
            <w:noWrap/>
            <w:vAlign w:val="center"/>
            <w:hideMark/>
          </w:tcPr>
          <w:p w14:paraId="323378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TRŽIČ</w:t>
            </w:r>
          </w:p>
        </w:tc>
      </w:tr>
      <w:tr w:rsidR="00F24E18" w14:paraId="496A08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58FD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1093</w:t>
            </w:r>
          </w:p>
        </w:tc>
        <w:tc>
          <w:tcPr>
            <w:tcW w:w="1300" w:type="dxa"/>
            <w:tcBorders>
              <w:top w:val="nil"/>
              <w:left w:val="nil"/>
              <w:bottom w:val="single" w:sz="4" w:space="0" w:color="auto"/>
              <w:right w:val="single" w:sz="4" w:space="0" w:color="auto"/>
            </w:tcBorders>
            <w:vAlign w:val="center"/>
            <w:hideMark/>
          </w:tcPr>
          <w:p w14:paraId="6AFA39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5874700000</w:t>
            </w:r>
          </w:p>
        </w:tc>
        <w:tc>
          <w:tcPr>
            <w:tcW w:w="1012" w:type="dxa"/>
            <w:tcBorders>
              <w:top w:val="nil"/>
              <w:left w:val="nil"/>
              <w:bottom w:val="single" w:sz="4" w:space="0" w:color="auto"/>
              <w:right w:val="single" w:sz="4" w:space="0" w:color="auto"/>
            </w:tcBorders>
            <w:vAlign w:val="center"/>
            <w:hideMark/>
          </w:tcPr>
          <w:p w14:paraId="1C8D39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42090539</w:t>
            </w:r>
          </w:p>
        </w:tc>
        <w:tc>
          <w:tcPr>
            <w:tcW w:w="5953" w:type="dxa"/>
            <w:tcBorders>
              <w:top w:val="nil"/>
              <w:left w:val="nil"/>
              <w:bottom w:val="single" w:sz="4" w:space="0" w:color="auto"/>
              <w:right w:val="single" w:sz="4" w:space="0" w:color="auto"/>
            </w:tcBorders>
            <w:noWrap/>
            <w:vAlign w:val="center"/>
            <w:hideMark/>
          </w:tcPr>
          <w:p w14:paraId="70F02F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TURNIŠČE</w:t>
            </w:r>
          </w:p>
        </w:tc>
      </w:tr>
      <w:tr w:rsidR="00F24E18" w14:paraId="52906D1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CD87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1094</w:t>
            </w:r>
          </w:p>
        </w:tc>
        <w:tc>
          <w:tcPr>
            <w:tcW w:w="1300" w:type="dxa"/>
            <w:tcBorders>
              <w:top w:val="nil"/>
              <w:left w:val="nil"/>
              <w:bottom w:val="single" w:sz="4" w:space="0" w:color="auto"/>
              <w:right w:val="single" w:sz="4" w:space="0" w:color="auto"/>
            </w:tcBorders>
            <w:vAlign w:val="center"/>
            <w:hideMark/>
          </w:tcPr>
          <w:p w14:paraId="7ED255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5874785000</w:t>
            </w:r>
          </w:p>
        </w:tc>
        <w:tc>
          <w:tcPr>
            <w:tcW w:w="1012" w:type="dxa"/>
            <w:tcBorders>
              <w:top w:val="nil"/>
              <w:left w:val="nil"/>
              <w:bottom w:val="single" w:sz="4" w:space="0" w:color="auto"/>
              <w:right w:val="single" w:sz="4" w:space="0" w:color="auto"/>
            </w:tcBorders>
            <w:vAlign w:val="center"/>
            <w:hideMark/>
          </w:tcPr>
          <w:p w14:paraId="661EE4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54849799</w:t>
            </w:r>
          </w:p>
        </w:tc>
        <w:tc>
          <w:tcPr>
            <w:tcW w:w="5953" w:type="dxa"/>
            <w:tcBorders>
              <w:top w:val="nil"/>
              <w:left w:val="nil"/>
              <w:bottom w:val="single" w:sz="4" w:space="0" w:color="auto"/>
              <w:right w:val="single" w:sz="4" w:space="0" w:color="auto"/>
            </w:tcBorders>
            <w:noWrap/>
            <w:vAlign w:val="center"/>
            <w:hideMark/>
          </w:tcPr>
          <w:p w14:paraId="4A2398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VELIKE LAŠČE</w:t>
            </w:r>
          </w:p>
        </w:tc>
      </w:tr>
      <w:tr w:rsidR="00F24E18" w14:paraId="56D463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B657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1095</w:t>
            </w:r>
          </w:p>
        </w:tc>
        <w:tc>
          <w:tcPr>
            <w:tcW w:w="1300" w:type="dxa"/>
            <w:tcBorders>
              <w:top w:val="nil"/>
              <w:left w:val="nil"/>
              <w:bottom w:val="single" w:sz="4" w:space="0" w:color="auto"/>
              <w:right w:val="single" w:sz="4" w:space="0" w:color="auto"/>
            </w:tcBorders>
            <w:vAlign w:val="center"/>
            <w:hideMark/>
          </w:tcPr>
          <w:p w14:paraId="335A3A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1332171000</w:t>
            </w:r>
          </w:p>
        </w:tc>
        <w:tc>
          <w:tcPr>
            <w:tcW w:w="1012" w:type="dxa"/>
            <w:tcBorders>
              <w:top w:val="nil"/>
              <w:left w:val="nil"/>
              <w:bottom w:val="single" w:sz="4" w:space="0" w:color="auto"/>
              <w:right w:val="single" w:sz="4" w:space="0" w:color="auto"/>
            </w:tcBorders>
            <w:vAlign w:val="center"/>
            <w:hideMark/>
          </w:tcPr>
          <w:p w14:paraId="278B1B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71491821</w:t>
            </w:r>
          </w:p>
        </w:tc>
        <w:tc>
          <w:tcPr>
            <w:tcW w:w="5953" w:type="dxa"/>
            <w:tcBorders>
              <w:top w:val="nil"/>
              <w:left w:val="nil"/>
              <w:bottom w:val="single" w:sz="4" w:space="0" w:color="auto"/>
              <w:right w:val="single" w:sz="4" w:space="0" w:color="auto"/>
            </w:tcBorders>
            <w:noWrap/>
            <w:vAlign w:val="center"/>
            <w:hideMark/>
          </w:tcPr>
          <w:p w14:paraId="1EAFBC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VERŽEJ</w:t>
            </w:r>
          </w:p>
        </w:tc>
      </w:tr>
      <w:tr w:rsidR="00F24E18" w14:paraId="6406966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0640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1096</w:t>
            </w:r>
          </w:p>
        </w:tc>
        <w:tc>
          <w:tcPr>
            <w:tcW w:w="1300" w:type="dxa"/>
            <w:tcBorders>
              <w:top w:val="nil"/>
              <w:left w:val="nil"/>
              <w:bottom w:val="single" w:sz="4" w:space="0" w:color="auto"/>
              <w:right w:val="single" w:sz="4" w:space="0" w:color="auto"/>
            </w:tcBorders>
            <w:vAlign w:val="center"/>
            <w:hideMark/>
          </w:tcPr>
          <w:p w14:paraId="63F6F6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5883423000</w:t>
            </w:r>
          </w:p>
        </w:tc>
        <w:tc>
          <w:tcPr>
            <w:tcW w:w="1012" w:type="dxa"/>
            <w:tcBorders>
              <w:top w:val="nil"/>
              <w:left w:val="nil"/>
              <w:bottom w:val="single" w:sz="4" w:space="0" w:color="auto"/>
              <w:right w:val="single" w:sz="4" w:space="0" w:color="auto"/>
            </w:tcBorders>
            <w:vAlign w:val="center"/>
            <w:hideMark/>
          </w:tcPr>
          <w:p w14:paraId="14653E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21061742</w:t>
            </w:r>
          </w:p>
        </w:tc>
        <w:tc>
          <w:tcPr>
            <w:tcW w:w="5953" w:type="dxa"/>
            <w:tcBorders>
              <w:top w:val="nil"/>
              <w:left w:val="nil"/>
              <w:bottom w:val="single" w:sz="4" w:space="0" w:color="auto"/>
              <w:right w:val="single" w:sz="4" w:space="0" w:color="auto"/>
            </w:tcBorders>
            <w:noWrap/>
            <w:vAlign w:val="center"/>
            <w:hideMark/>
          </w:tcPr>
          <w:p w14:paraId="0B234B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VIDEM</w:t>
            </w:r>
          </w:p>
        </w:tc>
      </w:tr>
      <w:tr w:rsidR="00F24E18" w14:paraId="773091F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C567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1097</w:t>
            </w:r>
          </w:p>
        </w:tc>
        <w:tc>
          <w:tcPr>
            <w:tcW w:w="1300" w:type="dxa"/>
            <w:tcBorders>
              <w:top w:val="nil"/>
              <w:left w:val="nil"/>
              <w:bottom w:val="single" w:sz="4" w:space="0" w:color="auto"/>
              <w:right w:val="single" w:sz="4" w:space="0" w:color="auto"/>
            </w:tcBorders>
            <w:vAlign w:val="center"/>
            <w:hideMark/>
          </w:tcPr>
          <w:p w14:paraId="0F2A2B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5879922000</w:t>
            </w:r>
          </w:p>
        </w:tc>
        <w:tc>
          <w:tcPr>
            <w:tcW w:w="1012" w:type="dxa"/>
            <w:tcBorders>
              <w:top w:val="nil"/>
              <w:left w:val="nil"/>
              <w:bottom w:val="single" w:sz="4" w:space="0" w:color="auto"/>
              <w:right w:val="single" w:sz="4" w:space="0" w:color="auto"/>
            </w:tcBorders>
            <w:vAlign w:val="center"/>
            <w:hideMark/>
          </w:tcPr>
          <w:p w14:paraId="5FD8BB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56416245</w:t>
            </w:r>
          </w:p>
        </w:tc>
        <w:tc>
          <w:tcPr>
            <w:tcW w:w="5953" w:type="dxa"/>
            <w:tcBorders>
              <w:top w:val="nil"/>
              <w:left w:val="nil"/>
              <w:bottom w:val="single" w:sz="4" w:space="0" w:color="auto"/>
              <w:right w:val="single" w:sz="4" w:space="0" w:color="auto"/>
            </w:tcBorders>
            <w:noWrap/>
            <w:vAlign w:val="center"/>
            <w:hideMark/>
          </w:tcPr>
          <w:p w14:paraId="189DC2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VIPAVA</w:t>
            </w:r>
          </w:p>
        </w:tc>
      </w:tr>
      <w:tr w:rsidR="00F24E18" w14:paraId="5FF1B2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5CB6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1098</w:t>
            </w:r>
          </w:p>
        </w:tc>
        <w:tc>
          <w:tcPr>
            <w:tcW w:w="1300" w:type="dxa"/>
            <w:tcBorders>
              <w:top w:val="nil"/>
              <w:left w:val="nil"/>
              <w:bottom w:val="single" w:sz="4" w:space="0" w:color="auto"/>
              <w:right w:val="single" w:sz="4" w:space="0" w:color="auto"/>
            </w:tcBorders>
            <w:vAlign w:val="center"/>
            <w:hideMark/>
          </w:tcPr>
          <w:p w14:paraId="08D9E8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5883768000</w:t>
            </w:r>
          </w:p>
        </w:tc>
        <w:tc>
          <w:tcPr>
            <w:tcW w:w="1012" w:type="dxa"/>
            <w:tcBorders>
              <w:top w:val="nil"/>
              <w:left w:val="nil"/>
              <w:bottom w:val="single" w:sz="4" w:space="0" w:color="auto"/>
              <w:right w:val="single" w:sz="4" w:space="0" w:color="auto"/>
            </w:tcBorders>
            <w:vAlign w:val="center"/>
            <w:hideMark/>
          </w:tcPr>
          <w:p w14:paraId="2ABAC5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28019610</w:t>
            </w:r>
          </w:p>
        </w:tc>
        <w:tc>
          <w:tcPr>
            <w:tcW w:w="5953" w:type="dxa"/>
            <w:tcBorders>
              <w:top w:val="nil"/>
              <w:left w:val="nil"/>
              <w:bottom w:val="single" w:sz="4" w:space="0" w:color="auto"/>
              <w:right w:val="single" w:sz="4" w:space="0" w:color="auto"/>
            </w:tcBorders>
            <w:noWrap/>
            <w:vAlign w:val="center"/>
            <w:hideMark/>
          </w:tcPr>
          <w:p w14:paraId="5A2887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VITANJE</w:t>
            </w:r>
          </w:p>
        </w:tc>
      </w:tr>
      <w:tr w:rsidR="00F24E18" w14:paraId="5B1021F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4F66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1099</w:t>
            </w:r>
          </w:p>
        </w:tc>
        <w:tc>
          <w:tcPr>
            <w:tcW w:w="1300" w:type="dxa"/>
            <w:tcBorders>
              <w:top w:val="nil"/>
              <w:left w:val="nil"/>
              <w:bottom w:val="single" w:sz="4" w:space="0" w:color="auto"/>
              <w:right w:val="single" w:sz="4" w:space="0" w:color="auto"/>
            </w:tcBorders>
            <w:vAlign w:val="center"/>
            <w:hideMark/>
          </w:tcPr>
          <w:p w14:paraId="3F0B4B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5874637000</w:t>
            </w:r>
          </w:p>
        </w:tc>
        <w:tc>
          <w:tcPr>
            <w:tcW w:w="1012" w:type="dxa"/>
            <w:tcBorders>
              <w:top w:val="nil"/>
              <w:left w:val="nil"/>
              <w:bottom w:val="single" w:sz="4" w:space="0" w:color="auto"/>
              <w:right w:val="single" w:sz="4" w:space="0" w:color="auto"/>
            </w:tcBorders>
            <w:vAlign w:val="center"/>
            <w:hideMark/>
          </w:tcPr>
          <w:p w14:paraId="2F5B75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61348139</w:t>
            </w:r>
          </w:p>
        </w:tc>
        <w:tc>
          <w:tcPr>
            <w:tcW w:w="5953" w:type="dxa"/>
            <w:tcBorders>
              <w:top w:val="nil"/>
              <w:left w:val="nil"/>
              <w:bottom w:val="single" w:sz="4" w:space="0" w:color="auto"/>
              <w:right w:val="single" w:sz="4" w:space="0" w:color="auto"/>
            </w:tcBorders>
            <w:noWrap/>
            <w:vAlign w:val="center"/>
            <w:hideMark/>
          </w:tcPr>
          <w:p w14:paraId="62A7D1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VODICE</w:t>
            </w:r>
          </w:p>
        </w:tc>
      </w:tr>
      <w:tr w:rsidR="00F24E18" w14:paraId="1334915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F47F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1100</w:t>
            </w:r>
          </w:p>
        </w:tc>
        <w:tc>
          <w:tcPr>
            <w:tcW w:w="1300" w:type="dxa"/>
            <w:tcBorders>
              <w:top w:val="nil"/>
              <w:left w:val="nil"/>
              <w:bottom w:val="single" w:sz="4" w:space="0" w:color="auto"/>
              <w:right w:val="single" w:sz="4" w:space="0" w:color="auto"/>
            </w:tcBorders>
            <w:vAlign w:val="center"/>
            <w:hideMark/>
          </w:tcPr>
          <w:p w14:paraId="02C5E8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5880386000</w:t>
            </w:r>
          </w:p>
        </w:tc>
        <w:tc>
          <w:tcPr>
            <w:tcW w:w="1012" w:type="dxa"/>
            <w:tcBorders>
              <w:top w:val="nil"/>
              <w:left w:val="nil"/>
              <w:bottom w:val="single" w:sz="4" w:space="0" w:color="auto"/>
              <w:right w:val="single" w:sz="4" w:space="0" w:color="auto"/>
            </w:tcBorders>
            <w:vAlign w:val="center"/>
            <w:hideMark/>
          </w:tcPr>
          <w:p w14:paraId="7D6E89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67288006</w:t>
            </w:r>
          </w:p>
        </w:tc>
        <w:tc>
          <w:tcPr>
            <w:tcW w:w="5953" w:type="dxa"/>
            <w:tcBorders>
              <w:top w:val="nil"/>
              <w:left w:val="nil"/>
              <w:bottom w:val="single" w:sz="4" w:space="0" w:color="auto"/>
              <w:right w:val="single" w:sz="4" w:space="0" w:color="auto"/>
            </w:tcBorders>
            <w:noWrap/>
            <w:vAlign w:val="center"/>
            <w:hideMark/>
          </w:tcPr>
          <w:p w14:paraId="148D7E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VOJNIK</w:t>
            </w:r>
          </w:p>
        </w:tc>
      </w:tr>
      <w:tr w:rsidR="00F24E18" w14:paraId="5E6863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B7B5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1101</w:t>
            </w:r>
          </w:p>
        </w:tc>
        <w:tc>
          <w:tcPr>
            <w:tcW w:w="1300" w:type="dxa"/>
            <w:tcBorders>
              <w:top w:val="nil"/>
              <w:left w:val="nil"/>
              <w:bottom w:val="single" w:sz="4" w:space="0" w:color="auto"/>
              <w:right w:val="single" w:sz="4" w:space="0" w:color="auto"/>
            </w:tcBorders>
            <w:vAlign w:val="center"/>
            <w:hideMark/>
          </w:tcPr>
          <w:p w14:paraId="3CC390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1357778000</w:t>
            </w:r>
          </w:p>
        </w:tc>
        <w:tc>
          <w:tcPr>
            <w:tcW w:w="1012" w:type="dxa"/>
            <w:tcBorders>
              <w:top w:val="nil"/>
              <w:left w:val="nil"/>
              <w:bottom w:val="single" w:sz="4" w:space="0" w:color="auto"/>
              <w:right w:val="single" w:sz="4" w:space="0" w:color="auto"/>
            </w:tcBorders>
            <w:vAlign w:val="center"/>
            <w:hideMark/>
          </w:tcPr>
          <w:p w14:paraId="358EB9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59929286</w:t>
            </w:r>
          </w:p>
        </w:tc>
        <w:tc>
          <w:tcPr>
            <w:tcW w:w="5953" w:type="dxa"/>
            <w:tcBorders>
              <w:top w:val="nil"/>
              <w:left w:val="nil"/>
              <w:bottom w:val="single" w:sz="4" w:space="0" w:color="auto"/>
              <w:right w:val="single" w:sz="4" w:space="0" w:color="auto"/>
            </w:tcBorders>
            <w:noWrap/>
            <w:vAlign w:val="center"/>
            <w:hideMark/>
          </w:tcPr>
          <w:p w14:paraId="3F709D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VRANSKO</w:t>
            </w:r>
          </w:p>
        </w:tc>
      </w:tr>
      <w:tr w:rsidR="00F24E18" w14:paraId="052E0C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C482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1102</w:t>
            </w:r>
          </w:p>
        </w:tc>
        <w:tc>
          <w:tcPr>
            <w:tcW w:w="1300" w:type="dxa"/>
            <w:tcBorders>
              <w:top w:val="nil"/>
              <w:left w:val="nil"/>
              <w:bottom w:val="single" w:sz="4" w:space="0" w:color="auto"/>
              <w:right w:val="single" w:sz="4" w:space="0" w:color="auto"/>
            </w:tcBorders>
            <w:vAlign w:val="center"/>
            <w:hideMark/>
          </w:tcPr>
          <w:p w14:paraId="3ED4C0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5883407000</w:t>
            </w:r>
          </w:p>
        </w:tc>
        <w:tc>
          <w:tcPr>
            <w:tcW w:w="1012" w:type="dxa"/>
            <w:tcBorders>
              <w:top w:val="nil"/>
              <w:left w:val="nil"/>
              <w:bottom w:val="single" w:sz="4" w:space="0" w:color="auto"/>
              <w:right w:val="single" w:sz="4" w:space="0" w:color="auto"/>
            </w:tcBorders>
            <w:vAlign w:val="center"/>
            <w:hideMark/>
          </w:tcPr>
          <w:p w14:paraId="02EA7A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43542204</w:t>
            </w:r>
          </w:p>
        </w:tc>
        <w:tc>
          <w:tcPr>
            <w:tcW w:w="5953" w:type="dxa"/>
            <w:tcBorders>
              <w:top w:val="nil"/>
              <w:left w:val="nil"/>
              <w:bottom w:val="single" w:sz="4" w:space="0" w:color="auto"/>
              <w:right w:val="single" w:sz="4" w:space="0" w:color="auto"/>
            </w:tcBorders>
            <w:noWrap/>
            <w:vAlign w:val="center"/>
            <w:hideMark/>
          </w:tcPr>
          <w:p w14:paraId="785F90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VRHNIKA</w:t>
            </w:r>
          </w:p>
        </w:tc>
      </w:tr>
      <w:tr w:rsidR="00F24E18" w14:paraId="5CB0534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A6F5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1103</w:t>
            </w:r>
          </w:p>
        </w:tc>
        <w:tc>
          <w:tcPr>
            <w:tcW w:w="1300" w:type="dxa"/>
            <w:tcBorders>
              <w:top w:val="nil"/>
              <w:left w:val="nil"/>
              <w:bottom w:val="single" w:sz="4" w:space="0" w:color="auto"/>
              <w:right w:val="single" w:sz="4" w:space="0" w:color="auto"/>
            </w:tcBorders>
            <w:vAlign w:val="center"/>
            <w:hideMark/>
          </w:tcPr>
          <w:p w14:paraId="6A2B8D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5881765000</w:t>
            </w:r>
          </w:p>
        </w:tc>
        <w:tc>
          <w:tcPr>
            <w:tcW w:w="1012" w:type="dxa"/>
            <w:tcBorders>
              <w:top w:val="nil"/>
              <w:left w:val="nil"/>
              <w:bottom w:val="single" w:sz="4" w:space="0" w:color="auto"/>
              <w:right w:val="single" w:sz="4" w:space="0" w:color="auto"/>
            </w:tcBorders>
            <w:vAlign w:val="center"/>
            <w:hideMark/>
          </w:tcPr>
          <w:p w14:paraId="23CDC1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43178740</w:t>
            </w:r>
          </w:p>
        </w:tc>
        <w:tc>
          <w:tcPr>
            <w:tcW w:w="5953" w:type="dxa"/>
            <w:tcBorders>
              <w:top w:val="nil"/>
              <w:left w:val="nil"/>
              <w:bottom w:val="single" w:sz="4" w:space="0" w:color="auto"/>
              <w:right w:val="single" w:sz="4" w:space="0" w:color="auto"/>
            </w:tcBorders>
            <w:noWrap/>
            <w:vAlign w:val="center"/>
            <w:hideMark/>
          </w:tcPr>
          <w:p w14:paraId="279365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VUZENICA</w:t>
            </w:r>
          </w:p>
        </w:tc>
      </w:tr>
      <w:tr w:rsidR="00F24E18" w14:paraId="4A6368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776B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1104</w:t>
            </w:r>
          </w:p>
        </w:tc>
        <w:tc>
          <w:tcPr>
            <w:tcW w:w="1300" w:type="dxa"/>
            <w:tcBorders>
              <w:top w:val="nil"/>
              <w:left w:val="nil"/>
              <w:bottom w:val="single" w:sz="4" w:space="0" w:color="auto"/>
              <w:right w:val="single" w:sz="4" w:space="0" w:color="auto"/>
            </w:tcBorders>
            <w:vAlign w:val="center"/>
            <w:hideMark/>
          </w:tcPr>
          <w:p w14:paraId="47626F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5883890000</w:t>
            </w:r>
          </w:p>
        </w:tc>
        <w:tc>
          <w:tcPr>
            <w:tcW w:w="1012" w:type="dxa"/>
            <w:tcBorders>
              <w:top w:val="nil"/>
              <w:left w:val="nil"/>
              <w:bottom w:val="single" w:sz="4" w:space="0" w:color="auto"/>
              <w:right w:val="single" w:sz="4" w:space="0" w:color="auto"/>
            </w:tcBorders>
            <w:vAlign w:val="center"/>
            <w:hideMark/>
          </w:tcPr>
          <w:p w14:paraId="2650CF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25643444</w:t>
            </w:r>
          </w:p>
        </w:tc>
        <w:tc>
          <w:tcPr>
            <w:tcW w:w="5953" w:type="dxa"/>
            <w:tcBorders>
              <w:top w:val="nil"/>
              <w:left w:val="nil"/>
              <w:bottom w:val="single" w:sz="4" w:space="0" w:color="auto"/>
              <w:right w:val="single" w:sz="4" w:space="0" w:color="auto"/>
            </w:tcBorders>
            <w:noWrap/>
            <w:vAlign w:val="center"/>
            <w:hideMark/>
          </w:tcPr>
          <w:p w14:paraId="0537D7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ZAGORJE OB SAVI</w:t>
            </w:r>
          </w:p>
        </w:tc>
      </w:tr>
      <w:tr w:rsidR="00F24E18" w14:paraId="22BAE5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A53D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1105</w:t>
            </w:r>
          </w:p>
        </w:tc>
        <w:tc>
          <w:tcPr>
            <w:tcW w:w="1300" w:type="dxa"/>
            <w:tcBorders>
              <w:top w:val="nil"/>
              <w:left w:val="nil"/>
              <w:bottom w:val="single" w:sz="4" w:space="0" w:color="auto"/>
              <w:right w:val="single" w:sz="4" w:space="0" w:color="auto"/>
            </w:tcBorders>
            <w:vAlign w:val="center"/>
            <w:hideMark/>
          </w:tcPr>
          <w:p w14:paraId="7837DD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5883377000</w:t>
            </w:r>
          </w:p>
        </w:tc>
        <w:tc>
          <w:tcPr>
            <w:tcW w:w="1012" w:type="dxa"/>
            <w:tcBorders>
              <w:top w:val="nil"/>
              <w:left w:val="nil"/>
              <w:bottom w:val="single" w:sz="4" w:space="0" w:color="auto"/>
              <w:right w:val="single" w:sz="4" w:space="0" w:color="auto"/>
            </w:tcBorders>
            <w:vAlign w:val="center"/>
            <w:hideMark/>
          </w:tcPr>
          <w:p w14:paraId="123C8B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47964332</w:t>
            </w:r>
          </w:p>
        </w:tc>
        <w:tc>
          <w:tcPr>
            <w:tcW w:w="5953" w:type="dxa"/>
            <w:tcBorders>
              <w:top w:val="nil"/>
              <w:left w:val="nil"/>
              <w:bottom w:val="single" w:sz="4" w:space="0" w:color="auto"/>
              <w:right w:val="single" w:sz="4" w:space="0" w:color="auto"/>
            </w:tcBorders>
            <w:noWrap/>
            <w:vAlign w:val="center"/>
            <w:hideMark/>
          </w:tcPr>
          <w:p w14:paraId="37B7D6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ZAVRČ</w:t>
            </w:r>
          </w:p>
        </w:tc>
      </w:tr>
      <w:tr w:rsidR="00F24E18" w14:paraId="2160E61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0B09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1106</w:t>
            </w:r>
          </w:p>
        </w:tc>
        <w:tc>
          <w:tcPr>
            <w:tcW w:w="1300" w:type="dxa"/>
            <w:tcBorders>
              <w:top w:val="nil"/>
              <w:left w:val="nil"/>
              <w:bottom w:val="single" w:sz="4" w:space="0" w:color="auto"/>
              <w:right w:val="single" w:sz="4" w:space="0" w:color="auto"/>
            </w:tcBorders>
            <w:vAlign w:val="center"/>
            <w:hideMark/>
          </w:tcPr>
          <w:p w14:paraId="7D6BD4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5883342000</w:t>
            </w:r>
          </w:p>
        </w:tc>
        <w:tc>
          <w:tcPr>
            <w:tcW w:w="1012" w:type="dxa"/>
            <w:tcBorders>
              <w:top w:val="nil"/>
              <w:left w:val="nil"/>
              <w:bottom w:val="single" w:sz="4" w:space="0" w:color="auto"/>
              <w:right w:val="single" w:sz="4" w:space="0" w:color="auto"/>
            </w:tcBorders>
            <w:vAlign w:val="center"/>
            <w:hideMark/>
          </w:tcPr>
          <w:p w14:paraId="2CC6BA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35536519</w:t>
            </w:r>
          </w:p>
        </w:tc>
        <w:tc>
          <w:tcPr>
            <w:tcW w:w="5953" w:type="dxa"/>
            <w:tcBorders>
              <w:top w:val="nil"/>
              <w:left w:val="nil"/>
              <w:bottom w:val="single" w:sz="4" w:space="0" w:color="auto"/>
              <w:right w:val="single" w:sz="4" w:space="0" w:color="auto"/>
            </w:tcBorders>
            <w:noWrap/>
            <w:vAlign w:val="center"/>
            <w:hideMark/>
          </w:tcPr>
          <w:p w14:paraId="5F0016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ZREČE</w:t>
            </w:r>
          </w:p>
        </w:tc>
      </w:tr>
      <w:tr w:rsidR="00F24E18" w14:paraId="108AE52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67DD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1107</w:t>
            </w:r>
          </w:p>
        </w:tc>
        <w:tc>
          <w:tcPr>
            <w:tcW w:w="1300" w:type="dxa"/>
            <w:tcBorders>
              <w:top w:val="nil"/>
              <w:left w:val="nil"/>
              <w:bottom w:val="single" w:sz="4" w:space="0" w:color="auto"/>
              <w:right w:val="single" w:sz="4" w:space="0" w:color="auto"/>
            </w:tcBorders>
            <w:vAlign w:val="center"/>
            <w:hideMark/>
          </w:tcPr>
          <w:p w14:paraId="34A33C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5881544000</w:t>
            </w:r>
          </w:p>
        </w:tc>
        <w:tc>
          <w:tcPr>
            <w:tcW w:w="1012" w:type="dxa"/>
            <w:tcBorders>
              <w:top w:val="nil"/>
              <w:left w:val="nil"/>
              <w:bottom w:val="single" w:sz="4" w:space="0" w:color="auto"/>
              <w:right w:val="single" w:sz="4" w:space="0" w:color="auto"/>
            </w:tcBorders>
            <w:vAlign w:val="center"/>
            <w:hideMark/>
          </w:tcPr>
          <w:p w14:paraId="755127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62546708</w:t>
            </w:r>
          </w:p>
        </w:tc>
        <w:tc>
          <w:tcPr>
            <w:tcW w:w="5953" w:type="dxa"/>
            <w:tcBorders>
              <w:top w:val="nil"/>
              <w:left w:val="nil"/>
              <w:bottom w:val="single" w:sz="4" w:space="0" w:color="auto"/>
              <w:right w:val="single" w:sz="4" w:space="0" w:color="auto"/>
            </w:tcBorders>
            <w:noWrap/>
            <w:vAlign w:val="center"/>
            <w:hideMark/>
          </w:tcPr>
          <w:p w14:paraId="4566B7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ŽALEC</w:t>
            </w:r>
          </w:p>
        </w:tc>
      </w:tr>
      <w:tr w:rsidR="00F24E18" w14:paraId="4DE3A0D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8667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1108</w:t>
            </w:r>
          </w:p>
        </w:tc>
        <w:tc>
          <w:tcPr>
            <w:tcW w:w="1300" w:type="dxa"/>
            <w:tcBorders>
              <w:top w:val="nil"/>
              <w:left w:val="nil"/>
              <w:bottom w:val="single" w:sz="4" w:space="0" w:color="auto"/>
              <w:right w:val="single" w:sz="4" w:space="0" w:color="auto"/>
            </w:tcBorders>
            <w:vAlign w:val="center"/>
            <w:hideMark/>
          </w:tcPr>
          <w:p w14:paraId="2E2E51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5883148000</w:t>
            </w:r>
          </w:p>
        </w:tc>
        <w:tc>
          <w:tcPr>
            <w:tcW w:w="1012" w:type="dxa"/>
            <w:tcBorders>
              <w:top w:val="nil"/>
              <w:left w:val="nil"/>
              <w:bottom w:val="single" w:sz="4" w:space="0" w:color="auto"/>
              <w:right w:val="single" w:sz="4" w:space="0" w:color="auto"/>
            </w:tcBorders>
            <w:vAlign w:val="center"/>
            <w:hideMark/>
          </w:tcPr>
          <w:p w14:paraId="41F580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59920327</w:t>
            </w:r>
          </w:p>
        </w:tc>
        <w:tc>
          <w:tcPr>
            <w:tcW w:w="5953" w:type="dxa"/>
            <w:tcBorders>
              <w:top w:val="nil"/>
              <w:left w:val="nil"/>
              <w:bottom w:val="single" w:sz="4" w:space="0" w:color="auto"/>
              <w:right w:val="single" w:sz="4" w:space="0" w:color="auto"/>
            </w:tcBorders>
            <w:noWrap/>
            <w:vAlign w:val="center"/>
            <w:hideMark/>
          </w:tcPr>
          <w:p w14:paraId="025690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ŽELEZNIKI</w:t>
            </w:r>
          </w:p>
        </w:tc>
      </w:tr>
      <w:tr w:rsidR="00F24E18" w14:paraId="191874C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9F59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1109</w:t>
            </w:r>
          </w:p>
        </w:tc>
        <w:tc>
          <w:tcPr>
            <w:tcW w:w="1300" w:type="dxa"/>
            <w:tcBorders>
              <w:top w:val="nil"/>
              <w:left w:val="nil"/>
              <w:bottom w:val="single" w:sz="4" w:space="0" w:color="auto"/>
              <w:right w:val="single" w:sz="4" w:space="0" w:color="auto"/>
            </w:tcBorders>
            <w:vAlign w:val="center"/>
            <w:hideMark/>
          </w:tcPr>
          <w:p w14:paraId="6C493A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1357999000</w:t>
            </w:r>
          </w:p>
        </w:tc>
        <w:tc>
          <w:tcPr>
            <w:tcW w:w="1012" w:type="dxa"/>
            <w:tcBorders>
              <w:top w:val="nil"/>
              <w:left w:val="nil"/>
              <w:bottom w:val="single" w:sz="4" w:space="0" w:color="auto"/>
              <w:right w:val="single" w:sz="4" w:space="0" w:color="auto"/>
            </w:tcBorders>
            <w:vAlign w:val="center"/>
            <w:hideMark/>
          </w:tcPr>
          <w:p w14:paraId="505FC2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91024129</w:t>
            </w:r>
          </w:p>
        </w:tc>
        <w:tc>
          <w:tcPr>
            <w:tcW w:w="5953" w:type="dxa"/>
            <w:tcBorders>
              <w:top w:val="nil"/>
              <w:left w:val="nil"/>
              <w:bottom w:val="single" w:sz="4" w:space="0" w:color="auto"/>
              <w:right w:val="single" w:sz="4" w:space="0" w:color="auto"/>
            </w:tcBorders>
            <w:noWrap/>
            <w:vAlign w:val="center"/>
            <w:hideMark/>
          </w:tcPr>
          <w:p w14:paraId="04ADC2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ŽETALE</w:t>
            </w:r>
          </w:p>
        </w:tc>
      </w:tr>
      <w:tr w:rsidR="00F24E18" w14:paraId="4CE879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455C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1110</w:t>
            </w:r>
          </w:p>
        </w:tc>
        <w:tc>
          <w:tcPr>
            <w:tcW w:w="1300" w:type="dxa"/>
            <w:tcBorders>
              <w:top w:val="nil"/>
              <w:left w:val="nil"/>
              <w:bottom w:val="single" w:sz="4" w:space="0" w:color="auto"/>
              <w:right w:val="single" w:sz="4" w:space="0" w:color="auto"/>
            </w:tcBorders>
            <w:vAlign w:val="center"/>
            <w:hideMark/>
          </w:tcPr>
          <w:p w14:paraId="31FC47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5883202000</w:t>
            </w:r>
          </w:p>
        </w:tc>
        <w:tc>
          <w:tcPr>
            <w:tcW w:w="1012" w:type="dxa"/>
            <w:tcBorders>
              <w:top w:val="nil"/>
              <w:left w:val="nil"/>
              <w:bottom w:val="single" w:sz="4" w:space="0" w:color="auto"/>
              <w:right w:val="single" w:sz="4" w:space="0" w:color="auto"/>
            </w:tcBorders>
            <w:vAlign w:val="center"/>
            <w:hideMark/>
          </w:tcPr>
          <w:p w14:paraId="365638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69533768</w:t>
            </w:r>
          </w:p>
        </w:tc>
        <w:tc>
          <w:tcPr>
            <w:tcW w:w="5953" w:type="dxa"/>
            <w:tcBorders>
              <w:top w:val="nil"/>
              <w:left w:val="nil"/>
              <w:bottom w:val="single" w:sz="4" w:space="0" w:color="auto"/>
              <w:right w:val="single" w:sz="4" w:space="0" w:color="auto"/>
            </w:tcBorders>
            <w:noWrap/>
            <w:vAlign w:val="center"/>
            <w:hideMark/>
          </w:tcPr>
          <w:p w14:paraId="24C8F8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ŽIRI</w:t>
            </w:r>
          </w:p>
        </w:tc>
      </w:tr>
      <w:tr w:rsidR="00F24E18" w14:paraId="3940F84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9B63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1111</w:t>
            </w:r>
          </w:p>
        </w:tc>
        <w:tc>
          <w:tcPr>
            <w:tcW w:w="1300" w:type="dxa"/>
            <w:tcBorders>
              <w:top w:val="nil"/>
              <w:left w:val="nil"/>
              <w:bottom w:val="single" w:sz="4" w:space="0" w:color="auto"/>
              <w:right w:val="single" w:sz="4" w:space="0" w:color="auto"/>
            </w:tcBorders>
            <w:vAlign w:val="center"/>
            <w:hideMark/>
          </w:tcPr>
          <w:p w14:paraId="1D379D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1332201000</w:t>
            </w:r>
          </w:p>
        </w:tc>
        <w:tc>
          <w:tcPr>
            <w:tcW w:w="1012" w:type="dxa"/>
            <w:tcBorders>
              <w:top w:val="nil"/>
              <w:left w:val="nil"/>
              <w:bottom w:val="single" w:sz="4" w:space="0" w:color="auto"/>
              <w:right w:val="single" w:sz="4" w:space="0" w:color="auto"/>
            </w:tcBorders>
            <w:vAlign w:val="center"/>
            <w:hideMark/>
          </w:tcPr>
          <w:p w14:paraId="798F98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59713631</w:t>
            </w:r>
          </w:p>
        </w:tc>
        <w:tc>
          <w:tcPr>
            <w:tcW w:w="5953" w:type="dxa"/>
            <w:tcBorders>
              <w:top w:val="nil"/>
              <w:left w:val="nil"/>
              <w:bottom w:val="single" w:sz="4" w:space="0" w:color="auto"/>
              <w:right w:val="single" w:sz="4" w:space="0" w:color="auto"/>
            </w:tcBorders>
            <w:noWrap/>
            <w:vAlign w:val="center"/>
            <w:hideMark/>
          </w:tcPr>
          <w:p w14:paraId="14CA8A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ŽIROVNICA</w:t>
            </w:r>
          </w:p>
        </w:tc>
      </w:tr>
      <w:tr w:rsidR="00F24E18" w14:paraId="52AE61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815C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1112</w:t>
            </w:r>
          </w:p>
        </w:tc>
        <w:tc>
          <w:tcPr>
            <w:tcW w:w="1300" w:type="dxa"/>
            <w:tcBorders>
              <w:top w:val="nil"/>
              <w:left w:val="nil"/>
              <w:bottom w:val="single" w:sz="4" w:space="0" w:color="auto"/>
              <w:right w:val="single" w:sz="4" w:space="0" w:color="auto"/>
            </w:tcBorders>
            <w:vAlign w:val="center"/>
            <w:hideMark/>
          </w:tcPr>
          <w:p w14:paraId="59B97C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1358383000</w:t>
            </w:r>
          </w:p>
        </w:tc>
        <w:tc>
          <w:tcPr>
            <w:tcW w:w="1012" w:type="dxa"/>
            <w:tcBorders>
              <w:top w:val="nil"/>
              <w:left w:val="nil"/>
              <w:bottom w:val="single" w:sz="4" w:space="0" w:color="auto"/>
              <w:right w:val="single" w:sz="4" w:space="0" w:color="auto"/>
            </w:tcBorders>
            <w:vAlign w:val="center"/>
            <w:hideMark/>
          </w:tcPr>
          <w:p w14:paraId="3BF260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48985457</w:t>
            </w:r>
          </w:p>
        </w:tc>
        <w:tc>
          <w:tcPr>
            <w:tcW w:w="5953" w:type="dxa"/>
            <w:tcBorders>
              <w:top w:val="nil"/>
              <w:left w:val="nil"/>
              <w:bottom w:val="single" w:sz="4" w:space="0" w:color="auto"/>
              <w:right w:val="single" w:sz="4" w:space="0" w:color="auto"/>
            </w:tcBorders>
            <w:noWrap/>
            <w:vAlign w:val="center"/>
            <w:hideMark/>
          </w:tcPr>
          <w:p w14:paraId="5C7D6C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OBČINA ŽUŽEMBERK</w:t>
            </w:r>
          </w:p>
        </w:tc>
      </w:tr>
      <w:tr w:rsidR="00F24E18" w14:paraId="0428F42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EFFE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1113</w:t>
            </w:r>
          </w:p>
        </w:tc>
        <w:tc>
          <w:tcPr>
            <w:tcW w:w="1300" w:type="dxa"/>
            <w:tcBorders>
              <w:top w:val="nil"/>
              <w:left w:val="nil"/>
              <w:bottom w:val="single" w:sz="4" w:space="0" w:color="auto"/>
              <w:right w:val="single" w:sz="4" w:space="0" w:color="auto"/>
            </w:tcBorders>
            <w:noWrap/>
            <w:vAlign w:val="center"/>
            <w:hideMark/>
          </w:tcPr>
          <w:p w14:paraId="400C8E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5052505000</w:t>
            </w:r>
          </w:p>
        </w:tc>
        <w:tc>
          <w:tcPr>
            <w:tcW w:w="1012" w:type="dxa"/>
            <w:tcBorders>
              <w:top w:val="nil"/>
              <w:left w:val="nil"/>
              <w:bottom w:val="single" w:sz="4" w:space="0" w:color="auto"/>
              <w:right w:val="single" w:sz="4" w:space="0" w:color="auto"/>
            </w:tcBorders>
            <w:noWrap/>
            <w:vAlign w:val="center"/>
            <w:hideMark/>
          </w:tcPr>
          <w:p w14:paraId="3CC759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49169645</w:t>
            </w:r>
          </w:p>
        </w:tc>
        <w:tc>
          <w:tcPr>
            <w:tcW w:w="5953" w:type="dxa"/>
            <w:tcBorders>
              <w:top w:val="nil"/>
              <w:left w:val="nil"/>
              <w:bottom w:val="single" w:sz="4" w:space="0" w:color="auto"/>
              <w:right w:val="single" w:sz="4" w:space="0" w:color="auto"/>
            </w:tcBorders>
            <w:noWrap/>
            <w:vAlign w:val="center"/>
            <w:hideMark/>
          </w:tcPr>
          <w:p w14:paraId="46C810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OBČINSKA KNJIŽNICA JESENICE</w:t>
            </w:r>
          </w:p>
        </w:tc>
      </w:tr>
      <w:tr w:rsidR="00F24E18" w14:paraId="350F651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2AC4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1114</w:t>
            </w:r>
          </w:p>
        </w:tc>
        <w:tc>
          <w:tcPr>
            <w:tcW w:w="1300" w:type="dxa"/>
            <w:tcBorders>
              <w:top w:val="nil"/>
              <w:left w:val="nil"/>
              <w:bottom w:val="single" w:sz="4" w:space="0" w:color="auto"/>
              <w:right w:val="single" w:sz="4" w:space="0" w:color="auto"/>
            </w:tcBorders>
            <w:vAlign w:val="center"/>
            <w:hideMark/>
          </w:tcPr>
          <w:p w14:paraId="2DC3F7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5111501000</w:t>
            </w:r>
          </w:p>
        </w:tc>
        <w:tc>
          <w:tcPr>
            <w:tcW w:w="1012" w:type="dxa"/>
            <w:tcBorders>
              <w:top w:val="nil"/>
              <w:left w:val="nil"/>
              <w:bottom w:val="single" w:sz="4" w:space="0" w:color="auto"/>
              <w:right w:val="single" w:sz="4" w:space="0" w:color="auto"/>
            </w:tcBorders>
            <w:vAlign w:val="center"/>
            <w:hideMark/>
          </w:tcPr>
          <w:p w14:paraId="51F7B0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43438806</w:t>
            </w:r>
          </w:p>
        </w:tc>
        <w:tc>
          <w:tcPr>
            <w:tcW w:w="5953" w:type="dxa"/>
            <w:tcBorders>
              <w:top w:val="nil"/>
              <w:left w:val="nil"/>
              <w:bottom w:val="single" w:sz="4" w:space="0" w:color="auto"/>
              <w:right w:val="single" w:sz="4" w:space="0" w:color="auto"/>
            </w:tcBorders>
            <w:noWrap/>
            <w:vAlign w:val="center"/>
            <w:hideMark/>
          </w:tcPr>
          <w:p w14:paraId="264160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OKP JAVNO PODJETJE ZA KOMUNALNE STORITVE ROGAŠKA SLATINA, D.O.O.</w:t>
            </w:r>
          </w:p>
        </w:tc>
      </w:tr>
      <w:tr w:rsidR="00F24E18" w14:paraId="2C692C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A6C3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1115</w:t>
            </w:r>
          </w:p>
        </w:tc>
        <w:tc>
          <w:tcPr>
            <w:tcW w:w="1300" w:type="dxa"/>
            <w:tcBorders>
              <w:top w:val="nil"/>
              <w:left w:val="nil"/>
              <w:bottom w:val="single" w:sz="4" w:space="0" w:color="auto"/>
              <w:right w:val="single" w:sz="4" w:space="0" w:color="auto"/>
            </w:tcBorders>
            <w:vAlign w:val="center"/>
            <w:hideMark/>
          </w:tcPr>
          <w:p w14:paraId="5AA522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2399121000</w:t>
            </w:r>
          </w:p>
        </w:tc>
        <w:tc>
          <w:tcPr>
            <w:tcW w:w="1012" w:type="dxa"/>
            <w:tcBorders>
              <w:top w:val="nil"/>
              <w:left w:val="nil"/>
              <w:bottom w:val="single" w:sz="4" w:space="0" w:color="auto"/>
              <w:right w:val="single" w:sz="4" w:space="0" w:color="auto"/>
            </w:tcBorders>
            <w:vAlign w:val="center"/>
            <w:hideMark/>
          </w:tcPr>
          <w:p w14:paraId="0C2EBD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66807107</w:t>
            </w:r>
          </w:p>
        </w:tc>
        <w:tc>
          <w:tcPr>
            <w:tcW w:w="5953" w:type="dxa"/>
            <w:tcBorders>
              <w:top w:val="nil"/>
              <w:left w:val="nil"/>
              <w:bottom w:val="single" w:sz="4" w:space="0" w:color="auto"/>
              <w:right w:val="single" w:sz="4" w:space="0" w:color="auto"/>
            </w:tcBorders>
            <w:noWrap/>
            <w:vAlign w:val="center"/>
            <w:hideMark/>
          </w:tcPr>
          <w:p w14:paraId="783536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OKRAJNO SODIŠČE V LJUBLJANI</w:t>
            </w:r>
          </w:p>
        </w:tc>
      </w:tr>
      <w:tr w:rsidR="00F24E18" w14:paraId="209AEF8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EB9E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1116</w:t>
            </w:r>
          </w:p>
        </w:tc>
        <w:tc>
          <w:tcPr>
            <w:tcW w:w="1300" w:type="dxa"/>
            <w:tcBorders>
              <w:top w:val="nil"/>
              <w:left w:val="nil"/>
              <w:bottom w:val="single" w:sz="4" w:space="0" w:color="auto"/>
              <w:right w:val="single" w:sz="4" w:space="0" w:color="auto"/>
            </w:tcBorders>
            <w:noWrap/>
            <w:vAlign w:val="center"/>
            <w:hideMark/>
          </w:tcPr>
          <w:p w14:paraId="3F385A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5881625000</w:t>
            </w:r>
          </w:p>
        </w:tc>
        <w:tc>
          <w:tcPr>
            <w:tcW w:w="1012" w:type="dxa"/>
            <w:tcBorders>
              <w:top w:val="nil"/>
              <w:left w:val="nil"/>
              <w:bottom w:val="single" w:sz="4" w:space="0" w:color="auto"/>
              <w:right w:val="single" w:sz="4" w:space="0" w:color="auto"/>
            </w:tcBorders>
            <w:noWrap/>
            <w:vAlign w:val="center"/>
            <w:hideMark/>
          </w:tcPr>
          <w:p w14:paraId="6FFC1C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69333327</w:t>
            </w:r>
          </w:p>
        </w:tc>
        <w:tc>
          <w:tcPr>
            <w:tcW w:w="5953" w:type="dxa"/>
            <w:tcBorders>
              <w:top w:val="nil"/>
              <w:left w:val="nil"/>
              <w:bottom w:val="single" w:sz="4" w:space="0" w:color="auto"/>
              <w:right w:val="single" w:sz="4" w:space="0" w:color="auto"/>
            </w:tcBorders>
            <w:noWrap/>
            <w:vAlign w:val="center"/>
            <w:hideMark/>
          </w:tcPr>
          <w:p w14:paraId="35EEAE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NA PTUJU</w:t>
            </w:r>
          </w:p>
        </w:tc>
      </w:tr>
      <w:tr w:rsidR="00F24E18" w14:paraId="611AFA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E493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1117</w:t>
            </w:r>
          </w:p>
        </w:tc>
        <w:tc>
          <w:tcPr>
            <w:tcW w:w="1300" w:type="dxa"/>
            <w:tcBorders>
              <w:top w:val="nil"/>
              <w:left w:val="nil"/>
              <w:bottom w:val="single" w:sz="4" w:space="0" w:color="auto"/>
              <w:right w:val="single" w:sz="4" w:space="0" w:color="auto"/>
            </w:tcBorders>
            <w:noWrap/>
            <w:vAlign w:val="center"/>
            <w:hideMark/>
          </w:tcPr>
          <w:p w14:paraId="45F193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5023971000</w:t>
            </w:r>
          </w:p>
        </w:tc>
        <w:tc>
          <w:tcPr>
            <w:tcW w:w="1012" w:type="dxa"/>
            <w:tcBorders>
              <w:top w:val="nil"/>
              <w:left w:val="nil"/>
              <w:bottom w:val="single" w:sz="4" w:space="0" w:color="auto"/>
              <w:right w:val="single" w:sz="4" w:space="0" w:color="auto"/>
            </w:tcBorders>
            <w:noWrap/>
            <w:vAlign w:val="center"/>
            <w:hideMark/>
          </w:tcPr>
          <w:p w14:paraId="5FA173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70973873</w:t>
            </w:r>
          </w:p>
        </w:tc>
        <w:tc>
          <w:tcPr>
            <w:tcW w:w="5953" w:type="dxa"/>
            <w:tcBorders>
              <w:top w:val="nil"/>
              <w:left w:val="nil"/>
              <w:bottom w:val="single" w:sz="4" w:space="0" w:color="auto"/>
              <w:right w:val="single" w:sz="4" w:space="0" w:color="auto"/>
            </w:tcBorders>
            <w:noWrap/>
            <w:vAlign w:val="center"/>
            <w:hideMark/>
          </w:tcPr>
          <w:p w14:paraId="4FD2B2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CELJU</w:t>
            </w:r>
          </w:p>
        </w:tc>
      </w:tr>
      <w:tr w:rsidR="00F24E18" w14:paraId="6EF21E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1BA0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1118</w:t>
            </w:r>
          </w:p>
        </w:tc>
        <w:tc>
          <w:tcPr>
            <w:tcW w:w="1300" w:type="dxa"/>
            <w:tcBorders>
              <w:top w:val="nil"/>
              <w:left w:val="nil"/>
              <w:bottom w:val="single" w:sz="4" w:space="0" w:color="auto"/>
              <w:right w:val="single" w:sz="4" w:space="0" w:color="auto"/>
            </w:tcBorders>
            <w:noWrap/>
            <w:vAlign w:val="center"/>
            <w:hideMark/>
          </w:tcPr>
          <w:p w14:paraId="35E7C5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5022576000</w:t>
            </w:r>
          </w:p>
        </w:tc>
        <w:tc>
          <w:tcPr>
            <w:tcW w:w="1012" w:type="dxa"/>
            <w:tcBorders>
              <w:top w:val="nil"/>
              <w:left w:val="nil"/>
              <w:bottom w:val="single" w:sz="4" w:space="0" w:color="auto"/>
              <w:right w:val="single" w:sz="4" w:space="0" w:color="auto"/>
            </w:tcBorders>
            <w:noWrap/>
            <w:vAlign w:val="center"/>
            <w:hideMark/>
          </w:tcPr>
          <w:p w14:paraId="17A106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87925516</w:t>
            </w:r>
          </w:p>
        </w:tc>
        <w:tc>
          <w:tcPr>
            <w:tcW w:w="5953" w:type="dxa"/>
            <w:tcBorders>
              <w:top w:val="nil"/>
              <w:left w:val="nil"/>
              <w:bottom w:val="single" w:sz="4" w:space="0" w:color="auto"/>
              <w:right w:val="single" w:sz="4" w:space="0" w:color="auto"/>
            </w:tcBorders>
            <w:noWrap/>
            <w:vAlign w:val="center"/>
            <w:hideMark/>
          </w:tcPr>
          <w:p w14:paraId="1795F5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KOPRU</w:t>
            </w:r>
          </w:p>
        </w:tc>
      </w:tr>
      <w:tr w:rsidR="00F24E18" w14:paraId="7DD3FB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7DF7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1119</w:t>
            </w:r>
          </w:p>
        </w:tc>
        <w:tc>
          <w:tcPr>
            <w:tcW w:w="1300" w:type="dxa"/>
            <w:tcBorders>
              <w:top w:val="nil"/>
              <w:left w:val="nil"/>
              <w:bottom w:val="single" w:sz="4" w:space="0" w:color="auto"/>
              <w:right w:val="single" w:sz="4" w:space="0" w:color="auto"/>
            </w:tcBorders>
            <w:noWrap/>
            <w:vAlign w:val="center"/>
            <w:hideMark/>
          </w:tcPr>
          <w:p w14:paraId="5087FE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5024145000</w:t>
            </w:r>
          </w:p>
        </w:tc>
        <w:tc>
          <w:tcPr>
            <w:tcW w:w="1012" w:type="dxa"/>
            <w:tcBorders>
              <w:top w:val="nil"/>
              <w:left w:val="nil"/>
              <w:bottom w:val="single" w:sz="4" w:space="0" w:color="auto"/>
              <w:right w:val="single" w:sz="4" w:space="0" w:color="auto"/>
            </w:tcBorders>
            <w:noWrap/>
            <w:vAlign w:val="center"/>
            <w:hideMark/>
          </w:tcPr>
          <w:p w14:paraId="0C2E2E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41429419</w:t>
            </w:r>
          </w:p>
        </w:tc>
        <w:tc>
          <w:tcPr>
            <w:tcW w:w="5953" w:type="dxa"/>
            <w:tcBorders>
              <w:top w:val="nil"/>
              <w:left w:val="nil"/>
              <w:bottom w:val="single" w:sz="4" w:space="0" w:color="auto"/>
              <w:right w:val="single" w:sz="4" w:space="0" w:color="auto"/>
            </w:tcBorders>
            <w:noWrap/>
            <w:vAlign w:val="center"/>
            <w:hideMark/>
          </w:tcPr>
          <w:p w14:paraId="62A8B9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KRANJU</w:t>
            </w:r>
          </w:p>
        </w:tc>
      </w:tr>
      <w:tr w:rsidR="00F24E18" w14:paraId="46B0795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6885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1120</w:t>
            </w:r>
          </w:p>
        </w:tc>
        <w:tc>
          <w:tcPr>
            <w:tcW w:w="1300" w:type="dxa"/>
            <w:tcBorders>
              <w:top w:val="nil"/>
              <w:left w:val="nil"/>
              <w:bottom w:val="single" w:sz="4" w:space="0" w:color="auto"/>
              <w:right w:val="single" w:sz="4" w:space="0" w:color="auto"/>
            </w:tcBorders>
            <w:noWrap/>
            <w:vAlign w:val="center"/>
            <w:hideMark/>
          </w:tcPr>
          <w:p w14:paraId="6CE327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5881684000</w:t>
            </w:r>
          </w:p>
        </w:tc>
        <w:tc>
          <w:tcPr>
            <w:tcW w:w="1012" w:type="dxa"/>
            <w:tcBorders>
              <w:top w:val="nil"/>
              <w:left w:val="nil"/>
              <w:bottom w:val="single" w:sz="4" w:space="0" w:color="auto"/>
              <w:right w:val="single" w:sz="4" w:space="0" w:color="auto"/>
            </w:tcBorders>
            <w:noWrap/>
            <w:vAlign w:val="center"/>
            <w:hideMark/>
          </w:tcPr>
          <w:p w14:paraId="616D56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93425376</w:t>
            </w:r>
          </w:p>
        </w:tc>
        <w:tc>
          <w:tcPr>
            <w:tcW w:w="5953" w:type="dxa"/>
            <w:tcBorders>
              <w:top w:val="nil"/>
              <w:left w:val="nil"/>
              <w:bottom w:val="single" w:sz="4" w:space="0" w:color="auto"/>
              <w:right w:val="single" w:sz="4" w:space="0" w:color="auto"/>
            </w:tcBorders>
            <w:noWrap/>
            <w:vAlign w:val="center"/>
            <w:hideMark/>
          </w:tcPr>
          <w:p w14:paraId="3A9379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KRŠKEM</w:t>
            </w:r>
          </w:p>
        </w:tc>
      </w:tr>
      <w:tr w:rsidR="00F24E18" w14:paraId="6889732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2B79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1121</w:t>
            </w:r>
          </w:p>
        </w:tc>
        <w:tc>
          <w:tcPr>
            <w:tcW w:w="1300" w:type="dxa"/>
            <w:tcBorders>
              <w:top w:val="nil"/>
              <w:left w:val="nil"/>
              <w:bottom w:val="single" w:sz="4" w:space="0" w:color="auto"/>
              <w:right w:val="single" w:sz="4" w:space="0" w:color="auto"/>
            </w:tcBorders>
            <w:vAlign w:val="center"/>
            <w:hideMark/>
          </w:tcPr>
          <w:p w14:paraId="4DD8C3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5022746000</w:t>
            </w:r>
          </w:p>
        </w:tc>
        <w:tc>
          <w:tcPr>
            <w:tcW w:w="1012" w:type="dxa"/>
            <w:tcBorders>
              <w:top w:val="nil"/>
              <w:left w:val="nil"/>
              <w:bottom w:val="single" w:sz="4" w:space="0" w:color="auto"/>
              <w:right w:val="single" w:sz="4" w:space="0" w:color="auto"/>
            </w:tcBorders>
            <w:vAlign w:val="center"/>
            <w:hideMark/>
          </w:tcPr>
          <w:p w14:paraId="0FCA57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73421642</w:t>
            </w:r>
          </w:p>
        </w:tc>
        <w:tc>
          <w:tcPr>
            <w:tcW w:w="5953" w:type="dxa"/>
            <w:tcBorders>
              <w:top w:val="nil"/>
              <w:left w:val="nil"/>
              <w:bottom w:val="single" w:sz="4" w:space="0" w:color="auto"/>
              <w:right w:val="single" w:sz="4" w:space="0" w:color="auto"/>
            </w:tcBorders>
            <w:noWrap/>
            <w:vAlign w:val="center"/>
            <w:hideMark/>
          </w:tcPr>
          <w:p w14:paraId="6081A4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LJUBLJANI</w:t>
            </w:r>
          </w:p>
        </w:tc>
      </w:tr>
      <w:tr w:rsidR="00F24E18" w14:paraId="694EBA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1323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1122</w:t>
            </w:r>
          </w:p>
        </w:tc>
        <w:tc>
          <w:tcPr>
            <w:tcW w:w="1300" w:type="dxa"/>
            <w:tcBorders>
              <w:top w:val="nil"/>
              <w:left w:val="nil"/>
              <w:bottom w:val="single" w:sz="4" w:space="0" w:color="auto"/>
              <w:right w:val="single" w:sz="4" w:space="0" w:color="auto"/>
            </w:tcBorders>
            <w:noWrap/>
            <w:vAlign w:val="center"/>
            <w:hideMark/>
          </w:tcPr>
          <w:p w14:paraId="054087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5023041000</w:t>
            </w:r>
          </w:p>
        </w:tc>
        <w:tc>
          <w:tcPr>
            <w:tcW w:w="1012" w:type="dxa"/>
            <w:tcBorders>
              <w:top w:val="nil"/>
              <w:left w:val="nil"/>
              <w:bottom w:val="single" w:sz="4" w:space="0" w:color="auto"/>
              <w:right w:val="single" w:sz="4" w:space="0" w:color="auto"/>
            </w:tcBorders>
            <w:noWrap/>
            <w:vAlign w:val="center"/>
            <w:hideMark/>
          </w:tcPr>
          <w:p w14:paraId="179040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52327027</w:t>
            </w:r>
          </w:p>
        </w:tc>
        <w:tc>
          <w:tcPr>
            <w:tcW w:w="5953" w:type="dxa"/>
            <w:tcBorders>
              <w:top w:val="nil"/>
              <w:left w:val="nil"/>
              <w:bottom w:val="single" w:sz="4" w:space="0" w:color="auto"/>
              <w:right w:val="single" w:sz="4" w:space="0" w:color="auto"/>
            </w:tcBorders>
            <w:noWrap/>
            <w:vAlign w:val="center"/>
            <w:hideMark/>
          </w:tcPr>
          <w:p w14:paraId="1406F0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MARIBORU</w:t>
            </w:r>
          </w:p>
        </w:tc>
      </w:tr>
      <w:tr w:rsidR="00F24E18" w14:paraId="6AC1542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540A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1123</w:t>
            </w:r>
          </w:p>
        </w:tc>
        <w:tc>
          <w:tcPr>
            <w:tcW w:w="1300" w:type="dxa"/>
            <w:tcBorders>
              <w:top w:val="nil"/>
              <w:left w:val="nil"/>
              <w:bottom w:val="single" w:sz="4" w:space="0" w:color="auto"/>
              <w:right w:val="single" w:sz="4" w:space="0" w:color="auto"/>
            </w:tcBorders>
            <w:noWrap/>
            <w:vAlign w:val="center"/>
            <w:hideMark/>
          </w:tcPr>
          <w:p w14:paraId="0F1060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5023122000</w:t>
            </w:r>
          </w:p>
        </w:tc>
        <w:tc>
          <w:tcPr>
            <w:tcW w:w="1012" w:type="dxa"/>
            <w:tcBorders>
              <w:top w:val="nil"/>
              <w:left w:val="nil"/>
              <w:bottom w:val="single" w:sz="4" w:space="0" w:color="auto"/>
              <w:right w:val="single" w:sz="4" w:space="0" w:color="auto"/>
            </w:tcBorders>
            <w:noWrap/>
            <w:vAlign w:val="center"/>
            <w:hideMark/>
          </w:tcPr>
          <w:p w14:paraId="0249E8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62735454</w:t>
            </w:r>
          </w:p>
        </w:tc>
        <w:tc>
          <w:tcPr>
            <w:tcW w:w="5953" w:type="dxa"/>
            <w:tcBorders>
              <w:top w:val="nil"/>
              <w:left w:val="nil"/>
              <w:bottom w:val="single" w:sz="4" w:space="0" w:color="auto"/>
              <w:right w:val="single" w:sz="4" w:space="0" w:color="auto"/>
            </w:tcBorders>
            <w:noWrap/>
            <w:vAlign w:val="center"/>
            <w:hideMark/>
          </w:tcPr>
          <w:p w14:paraId="68644B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MURSKI SOBOTI</w:t>
            </w:r>
          </w:p>
        </w:tc>
      </w:tr>
      <w:tr w:rsidR="00F24E18" w14:paraId="53FCFF5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C769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1124</w:t>
            </w:r>
          </w:p>
        </w:tc>
        <w:tc>
          <w:tcPr>
            <w:tcW w:w="1300" w:type="dxa"/>
            <w:tcBorders>
              <w:top w:val="nil"/>
              <w:left w:val="nil"/>
              <w:bottom w:val="single" w:sz="4" w:space="0" w:color="auto"/>
              <w:right w:val="single" w:sz="4" w:space="0" w:color="auto"/>
            </w:tcBorders>
            <w:noWrap/>
            <w:vAlign w:val="center"/>
            <w:hideMark/>
          </w:tcPr>
          <w:p w14:paraId="1E24C9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5023203000</w:t>
            </w:r>
          </w:p>
        </w:tc>
        <w:tc>
          <w:tcPr>
            <w:tcW w:w="1012" w:type="dxa"/>
            <w:tcBorders>
              <w:top w:val="nil"/>
              <w:left w:val="nil"/>
              <w:bottom w:val="single" w:sz="4" w:space="0" w:color="auto"/>
              <w:right w:val="single" w:sz="4" w:space="0" w:color="auto"/>
            </w:tcBorders>
            <w:noWrap/>
            <w:vAlign w:val="center"/>
            <w:hideMark/>
          </w:tcPr>
          <w:p w14:paraId="045D93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48610496</w:t>
            </w:r>
          </w:p>
        </w:tc>
        <w:tc>
          <w:tcPr>
            <w:tcW w:w="5953" w:type="dxa"/>
            <w:tcBorders>
              <w:top w:val="nil"/>
              <w:left w:val="nil"/>
              <w:bottom w:val="single" w:sz="4" w:space="0" w:color="auto"/>
              <w:right w:val="single" w:sz="4" w:space="0" w:color="auto"/>
            </w:tcBorders>
            <w:noWrap/>
            <w:vAlign w:val="center"/>
            <w:hideMark/>
          </w:tcPr>
          <w:p w14:paraId="14FD49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NOVI GORICI</w:t>
            </w:r>
          </w:p>
        </w:tc>
      </w:tr>
      <w:tr w:rsidR="00F24E18" w14:paraId="7D5816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DBC1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1125</w:t>
            </w:r>
          </w:p>
        </w:tc>
        <w:tc>
          <w:tcPr>
            <w:tcW w:w="1300" w:type="dxa"/>
            <w:tcBorders>
              <w:top w:val="nil"/>
              <w:left w:val="nil"/>
              <w:bottom w:val="single" w:sz="4" w:space="0" w:color="auto"/>
              <w:right w:val="single" w:sz="4" w:space="0" w:color="auto"/>
            </w:tcBorders>
            <w:noWrap/>
            <w:vAlign w:val="center"/>
            <w:hideMark/>
          </w:tcPr>
          <w:p w14:paraId="28ADA8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5881650000</w:t>
            </w:r>
          </w:p>
        </w:tc>
        <w:tc>
          <w:tcPr>
            <w:tcW w:w="1012" w:type="dxa"/>
            <w:tcBorders>
              <w:top w:val="nil"/>
              <w:left w:val="nil"/>
              <w:bottom w:val="single" w:sz="4" w:space="0" w:color="auto"/>
              <w:right w:val="single" w:sz="4" w:space="0" w:color="auto"/>
            </w:tcBorders>
            <w:noWrap/>
            <w:vAlign w:val="center"/>
            <w:hideMark/>
          </w:tcPr>
          <w:p w14:paraId="2919B9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42092477</w:t>
            </w:r>
          </w:p>
        </w:tc>
        <w:tc>
          <w:tcPr>
            <w:tcW w:w="5953" w:type="dxa"/>
            <w:tcBorders>
              <w:top w:val="nil"/>
              <w:left w:val="nil"/>
              <w:bottom w:val="single" w:sz="4" w:space="0" w:color="auto"/>
              <w:right w:val="single" w:sz="4" w:space="0" w:color="auto"/>
            </w:tcBorders>
            <w:noWrap/>
            <w:vAlign w:val="center"/>
            <w:hideMark/>
          </w:tcPr>
          <w:p w14:paraId="5ADD78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DRŽAVNO TOŽILSTVO V SLOVENJ GRADCU</w:t>
            </w:r>
          </w:p>
        </w:tc>
      </w:tr>
      <w:tr w:rsidR="00F24E18" w14:paraId="41CD63D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5ADF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1126</w:t>
            </w:r>
          </w:p>
        </w:tc>
        <w:tc>
          <w:tcPr>
            <w:tcW w:w="1300" w:type="dxa"/>
            <w:tcBorders>
              <w:top w:val="nil"/>
              <w:left w:val="nil"/>
              <w:bottom w:val="single" w:sz="4" w:space="0" w:color="auto"/>
              <w:right w:val="single" w:sz="4" w:space="0" w:color="auto"/>
            </w:tcBorders>
            <w:vAlign w:val="center"/>
            <w:hideMark/>
          </w:tcPr>
          <w:p w14:paraId="344AB4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5881528000</w:t>
            </w:r>
          </w:p>
        </w:tc>
        <w:tc>
          <w:tcPr>
            <w:tcW w:w="1012" w:type="dxa"/>
            <w:tcBorders>
              <w:top w:val="nil"/>
              <w:left w:val="nil"/>
              <w:bottom w:val="single" w:sz="4" w:space="0" w:color="auto"/>
              <w:right w:val="single" w:sz="4" w:space="0" w:color="auto"/>
            </w:tcBorders>
            <w:vAlign w:val="center"/>
            <w:hideMark/>
          </w:tcPr>
          <w:p w14:paraId="30F746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91674824</w:t>
            </w:r>
          </w:p>
        </w:tc>
        <w:tc>
          <w:tcPr>
            <w:tcW w:w="5953" w:type="dxa"/>
            <w:tcBorders>
              <w:top w:val="nil"/>
              <w:left w:val="nil"/>
              <w:bottom w:val="single" w:sz="4" w:space="0" w:color="auto"/>
              <w:right w:val="single" w:sz="4" w:space="0" w:color="auto"/>
            </w:tcBorders>
            <w:noWrap/>
            <w:vAlign w:val="center"/>
            <w:hideMark/>
          </w:tcPr>
          <w:p w14:paraId="1953E0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NA PTUJU</w:t>
            </w:r>
          </w:p>
        </w:tc>
      </w:tr>
      <w:tr w:rsidR="00F24E18" w14:paraId="4933262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7B07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1127</w:t>
            </w:r>
          </w:p>
        </w:tc>
        <w:tc>
          <w:tcPr>
            <w:tcW w:w="1300" w:type="dxa"/>
            <w:tcBorders>
              <w:top w:val="nil"/>
              <w:left w:val="nil"/>
              <w:bottom w:val="single" w:sz="4" w:space="0" w:color="auto"/>
              <w:right w:val="single" w:sz="4" w:space="0" w:color="auto"/>
            </w:tcBorders>
            <w:vAlign w:val="center"/>
            <w:hideMark/>
          </w:tcPr>
          <w:p w14:paraId="2DDB39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5024161000</w:t>
            </w:r>
          </w:p>
        </w:tc>
        <w:tc>
          <w:tcPr>
            <w:tcW w:w="1012" w:type="dxa"/>
            <w:tcBorders>
              <w:top w:val="nil"/>
              <w:left w:val="nil"/>
              <w:bottom w:val="single" w:sz="4" w:space="0" w:color="auto"/>
              <w:right w:val="single" w:sz="4" w:space="0" w:color="auto"/>
            </w:tcBorders>
            <w:vAlign w:val="center"/>
            <w:hideMark/>
          </w:tcPr>
          <w:p w14:paraId="4E4AFC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44824106</w:t>
            </w:r>
          </w:p>
        </w:tc>
        <w:tc>
          <w:tcPr>
            <w:tcW w:w="5953" w:type="dxa"/>
            <w:tcBorders>
              <w:top w:val="nil"/>
              <w:left w:val="nil"/>
              <w:bottom w:val="single" w:sz="4" w:space="0" w:color="auto"/>
              <w:right w:val="single" w:sz="4" w:space="0" w:color="auto"/>
            </w:tcBorders>
            <w:noWrap/>
            <w:vAlign w:val="center"/>
            <w:hideMark/>
          </w:tcPr>
          <w:p w14:paraId="2DCDBF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CELJU</w:t>
            </w:r>
          </w:p>
        </w:tc>
      </w:tr>
      <w:tr w:rsidR="00F24E18" w14:paraId="58ED0AF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4C92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1128</w:t>
            </w:r>
          </w:p>
        </w:tc>
        <w:tc>
          <w:tcPr>
            <w:tcW w:w="1300" w:type="dxa"/>
            <w:tcBorders>
              <w:top w:val="nil"/>
              <w:left w:val="nil"/>
              <w:bottom w:val="single" w:sz="4" w:space="0" w:color="auto"/>
              <w:right w:val="single" w:sz="4" w:space="0" w:color="auto"/>
            </w:tcBorders>
            <w:vAlign w:val="center"/>
            <w:hideMark/>
          </w:tcPr>
          <w:p w14:paraId="76AD23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5022541000</w:t>
            </w:r>
          </w:p>
        </w:tc>
        <w:tc>
          <w:tcPr>
            <w:tcW w:w="1012" w:type="dxa"/>
            <w:tcBorders>
              <w:top w:val="nil"/>
              <w:left w:val="nil"/>
              <w:bottom w:val="single" w:sz="4" w:space="0" w:color="auto"/>
              <w:right w:val="single" w:sz="4" w:space="0" w:color="auto"/>
            </w:tcBorders>
            <w:vAlign w:val="center"/>
            <w:hideMark/>
          </w:tcPr>
          <w:p w14:paraId="6B4729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72430133</w:t>
            </w:r>
          </w:p>
        </w:tc>
        <w:tc>
          <w:tcPr>
            <w:tcW w:w="5953" w:type="dxa"/>
            <w:tcBorders>
              <w:top w:val="nil"/>
              <w:left w:val="nil"/>
              <w:bottom w:val="single" w:sz="4" w:space="0" w:color="auto"/>
              <w:right w:val="single" w:sz="4" w:space="0" w:color="auto"/>
            </w:tcBorders>
            <w:noWrap/>
            <w:vAlign w:val="center"/>
            <w:hideMark/>
          </w:tcPr>
          <w:p w14:paraId="2407C3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KOPRU</w:t>
            </w:r>
          </w:p>
        </w:tc>
      </w:tr>
      <w:tr w:rsidR="00F24E18" w14:paraId="684C552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CB8A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1129</w:t>
            </w:r>
          </w:p>
        </w:tc>
        <w:tc>
          <w:tcPr>
            <w:tcW w:w="1300" w:type="dxa"/>
            <w:tcBorders>
              <w:top w:val="nil"/>
              <w:left w:val="nil"/>
              <w:bottom w:val="single" w:sz="4" w:space="0" w:color="auto"/>
              <w:right w:val="single" w:sz="4" w:space="0" w:color="auto"/>
            </w:tcBorders>
            <w:vAlign w:val="center"/>
            <w:hideMark/>
          </w:tcPr>
          <w:p w14:paraId="538329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5022614000</w:t>
            </w:r>
          </w:p>
        </w:tc>
        <w:tc>
          <w:tcPr>
            <w:tcW w:w="1012" w:type="dxa"/>
            <w:tcBorders>
              <w:top w:val="nil"/>
              <w:left w:val="nil"/>
              <w:bottom w:val="single" w:sz="4" w:space="0" w:color="auto"/>
              <w:right w:val="single" w:sz="4" w:space="0" w:color="auto"/>
            </w:tcBorders>
            <w:vAlign w:val="center"/>
            <w:hideMark/>
          </w:tcPr>
          <w:p w14:paraId="69D9A1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34926089</w:t>
            </w:r>
          </w:p>
        </w:tc>
        <w:tc>
          <w:tcPr>
            <w:tcW w:w="5953" w:type="dxa"/>
            <w:tcBorders>
              <w:top w:val="nil"/>
              <w:left w:val="nil"/>
              <w:bottom w:val="single" w:sz="4" w:space="0" w:color="auto"/>
              <w:right w:val="single" w:sz="4" w:space="0" w:color="auto"/>
            </w:tcBorders>
            <w:noWrap/>
            <w:vAlign w:val="center"/>
            <w:hideMark/>
          </w:tcPr>
          <w:p w14:paraId="5D10CB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KRANJU</w:t>
            </w:r>
          </w:p>
        </w:tc>
      </w:tr>
      <w:tr w:rsidR="00F24E18" w14:paraId="343AFE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6B6F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1130</w:t>
            </w:r>
          </w:p>
        </w:tc>
        <w:tc>
          <w:tcPr>
            <w:tcW w:w="1300" w:type="dxa"/>
            <w:tcBorders>
              <w:top w:val="nil"/>
              <w:left w:val="nil"/>
              <w:bottom w:val="single" w:sz="4" w:space="0" w:color="auto"/>
              <w:right w:val="single" w:sz="4" w:space="0" w:color="auto"/>
            </w:tcBorders>
            <w:vAlign w:val="center"/>
            <w:hideMark/>
          </w:tcPr>
          <w:p w14:paraId="5B9583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5877946000</w:t>
            </w:r>
          </w:p>
        </w:tc>
        <w:tc>
          <w:tcPr>
            <w:tcW w:w="1012" w:type="dxa"/>
            <w:tcBorders>
              <w:top w:val="nil"/>
              <w:left w:val="nil"/>
              <w:bottom w:val="single" w:sz="4" w:space="0" w:color="auto"/>
              <w:right w:val="single" w:sz="4" w:space="0" w:color="auto"/>
            </w:tcBorders>
            <w:vAlign w:val="center"/>
            <w:hideMark/>
          </w:tcPr>
          <w:p w14:paraId="11D7BB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72372133</w:t>
            </w:r>
          </w:p>
        </w:tc>
        <w:tc>
          <w:tcPr>
            <w:tcW w:w="5953" w:type="dxa"/>
            <w:tcBorders>
              <w:top w:val="nil"/>
              <w:left w:val="nil"/>
              <w:bottom w:val="single" w:sz="4" w:space="0" w:color="auto"/>
              <w:right w:val="single" w:sz="4" w:space="0" w:color="auto"/>
            </w:tcBorders>
            <w:noWrap/>
            <w:vAlign w:val="center"/>
            <w:hideMark/>
          </w:tcPr>
          <w:p w14:paraId="1C48E9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KRŠKEM</w:t>
            </w:r>
          </w:p>
        </w:tc>
      </w:tr>
      <w:tr w:rsidR="00F24E18" w14:paraId="591C816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5398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1131</w:t>
            </w:r>
          </w:p>
        </w:tc>
        <w:tc>
          <w:tcPr>
            <w:tcW w:w="1300" w:type="dxa"/>
            <w:tcBorders>
              <w:top w:val="nil"/>
              <w:left w:val="nil"/>
              <w:bottom w:val="single" w:sz="4" w:space="0" w:color="auto"/>
              <w:right w:val="single" w:sz="4" w:space="0" w:color="auto"/>
            </w:tcBorders>
            <w:vAlign w:val="center"/>
            <w:hideMark/>
          </w:tcPr>
          <w:p w14:paraId="601139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5022762000</w:t>
            </w:r>
          </w:p>
        </w:tc>
        <w:tc>
          <w:tcPr>
            <w:tcW w:w="1012" w:type="dxa"/>
            <w:tcBorders>
              <w:top w:val="nil"/>
              <w:left w:val="nil"/>
              <w:bottom w:val="single" w:sz="4" w:space="0" w:color="auto"/>
              <w:right w:val="single" w:sz="4" w:space="0" w:color="auto"/>
            </w:tcBorders>
            <w:vAlign w:val="center"/>
            <w:hideMark/>
          </w:tcPr>
          <w:p w14:paraId="0FDBF9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67294308</w:t>
            </w:r>
          </w:p>
        </w:tc>
        <w:tc>
          <w:tcPr>
            <w:tcW w:w="5953" w:type="dxa"/>
            <w:tcBorders>
              <w:top w:val="nil"/>
              <w:left w:val="nil"/>
              <w:bottom w:val="single" w:sz="4" w:space="0" w:color="auto"/>
              <w:right w:val="single" w:sz="4" w:space="0" w:color="auto"/>
            </w:tcBorders>
            <w:noWrap/>
            <w:vAlign w:val="center"/>
            <w:hideMark/>
          </w:tcPr>
          <w:p w14:paraId="04F8D5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LJUBLJANI</w:t>
            </w:r>
          </w:p>
        </w:tc>
      </w:tr>
      <w:tr w:rsidR="00F24E18" w14:paraId="2B6C9C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9D4B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1132</w:t>
            </w:r>
          </w:p>
        </w:tc>
        <w:tc>
          <w:tcPr>
            <w:tcW w:w="1300" w:type="dxa"/>
            <w:tcBorders>
              <w:top w:val="nil"/>
              <w:left w:val="nil"/>
              <w:bottom w:val="single" w:sz="4" w:space="0" w:color="auto"/>
              <w:right w:val="single" w:sz="4" w:space="0" w:color="auto"/>
            </w:tcBorders>
            <w:noWrap/>
            <w:vAlign w:val="center"/>
            <w:hideMark/>
          </w:tcPr>
          <w:p w14:paraId="6E6EC2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5023025000</w:t>
            </w:r>
          </w:p>
        </w:tc>
        <w:tc>
          <w:tcPr>
            <w:tcW w:w="1012" w:type="dxa"/>
            <w:tcBorders>
              <w:top w:val="nil"/>
              <w:left w:val="nil"/>
              <w:bottom w:val="single" w:sz="4" w:space="0" w:color="auto"/>
              <w:right w:val="single" w:sz="4" w:space="0" w:color="auto"/>
            </w:tcBorders>
            <w:noWrap/>
            <w:vAlign w:val="center"/>
            <w:hideMark/>
          </w:tcPr>
          <w:p w14:paraId="2A3B22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25450662</w:t>
            </w:r>
          </w:p>
        </w:tc>
        <w:tc>
          <w:tcPr>
            <w:tcW w:w="5953" w:type="dxa"/>
            <w:tcBorders>
              <w:top w:val="nil"/>
              <w:left w:val="nil"/>
              <w:bottom w:val="single" w:sz="4" w:space="0" w:color="auto"/>
              <w:right w:val="single" w:sz="4" w:space="0" w:color="auto"/>
            </w:tcBorders>
            <w:noWrap/>
            <w:vAlign w:val="center"/>
            <w:hideMark/>
          </w:tcPr>
          <w:p w14:paraId="399530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MARIBORU</w:t>
            </w:r>
          </w:p>
        </w:tc>
      </w:tr>
      <w:tr w:rsidR="00F24E18" w14:paraId="3904DC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CDEF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1133</w:t>
            </w:r>
          </w:p>
        </w:tc>
        <w:tc>
          <w:tcPr>
            <w:tcW w:w="1300" w:type="dxa"/>
            <w:tcBorders>
              <w:top w:val="nil"/>
              <w:left w:val="nil"/>
              <w:bottom w:val="single" w:sz="4" w:space="0" w:color="auto"/>
              <w:right w:val="single" w:sz="4" w:space="0" w:color="auto"/>
            </w:tcBorders>
            <w:vAlign w:val="center"/>
            <w:hideMark/>
          </w:tcPr>
          <w:p w14:paraId="775F02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5023149000</w:t>
            </w:r>
          </w:p>
        </w:tc>
        <w:tc>
          <w:tcPr>
            <w:tcW w:w="1012" w:type="dxa"/>
            <w:tcBorders>
              <w:top w:val="nil"/>
              <w:left w:val="nil"/>
              <w:bottom w:val="single" w:sz="4" w:space="0" w:color="auto"/>
              <w:right w:val="single" w:sz="4" w:space="0" w:color="auto"/>
            </w:tcBorders>
            <w:vAlign w:val="center"/>
            <w:hideMark/>
          </w:tcPr>
          <w:p w14:paraId="12E143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12433861</w:t>
            </w:r>
          </w:p>
        </w:tc>
        <w:tc>
          <w:tcPr>
            <w:tcW w:w="5953" w:type="dxa"/>
            <w:tcBorders>
              <w:top w:val="nil"/>
              <w:left w:val="nil"/>
              <w:bottom w:val="single" w:sz="4" w:space="0" w:color="auto"/>
              <w:right w:val="single" w:sz="4" w:space="0" w:color="auto"/>
            </w:tcBorders>
            <w:noWrap/>
            <w:vAlign w:val="center"/>
            <w:hideMark/>
          </w:tcPr>
          <w:p w14:paraId="66F0A5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MURSKI SOBOTI</w:t>
            </w:r>
          </w:p>
        </w:tc>
      </w:tr>
      <w:tr w:rsidR="00F24E18" w14:paraId="464E05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9442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1134</w:t>
            </w:r>
          </w:p>
        </w:tc>
        <w:tc>
          <w:tcPr>
            <w:tcW w:w="1300" w:type="dxa"/>
            <w:tcBorders>
              <w:top w:val="nil"/>
              <w:left w:val="nil"/>
              <w:bottom w:val="single" w:sz="4" w:space="0" w:color="auto"/>
              <w:right w:val="single" w:sz="4" w:space="0" w:color="auto"/>
            </w:tcBorders>
            <w:vAlign w:val="center"/>
            <w:hideMark/>
          </w:tcPr>
          <w:p w14:paraId="74D968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5023319000</w:t>
            </w:r>
          </w:p>
        </w:tc>
        <w:tc>
          <w:tcPr>
            <w:tcW w:w="1012" w:type="dxa"/>
            <w:tcBorders>
              <w:top w:val="nil"/>
              <w:left w:val="nil"/>
              <w:bottom w:val="single" w:sz="4" w:space="0" w:color="auto"/>
              <w:right w:val="single" w:sz="4" w:space="0" w:color="auto"/>
            </w:tcBorders>
            <w:vAlign w:val="center"/>
            <w:hideMark/>
          </w:tcPr>
          <w:p w14:paraId="53946C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27842398</w:t>
            </w:r>
          </w:p>
        </w:tc>
        <w:tc>
          <w:tcPr>
            <w:tcW w:w="5953" w:type="dxa"/>
            <w:tcBorders>
              <w:top w:val="nil"/>
              <w:left w:val="nil"/>
              <w:bottom w:val="single" w:sz="4" w:space="0" w:color="auto"/>
              <w:right w:val="single" w:sz="4" w:space="0" w:color="auto"/>
            </w:tcBorders>
            <w:noWrap/>
            <w:vAlign w:val="center"/>
            <w:hideMark/>
          </w:tcPr>
          <w:p w14:paraId="0025D4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NOVEM MESTU</w:t>
            </w:r>
          </w:p>
        </w:tc>
      </w:tr>
      <w:tr w:rsidR="00F24E18" w14:paraId="0C4DCF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3332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1135</w:t>
            </w:r>
          </w:p>
        </w:tc>
        <w:tc>
          <w:tcPr>
            <w:tcW w:w="1300" w:type="dxa"/>
            <w:tcBorders>
              <w:top w:val="nil"/>
              <w:left w:val="nil"/>
              <w:bottom w:val="single" w:sz="4" w:space="0" w:color="auto"/>
              <w:right w:val="single" w:sz="4" w:space="0" w:color="auto"/>
            </w:tcBorders>
            <w:vAlign w:val="center"/>
            <w:hideMark/>
          </w:tcPr>
          <w:p w14:paraId="591393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5023211000</w:t>
            </w:r>
          </w:p>
        </w:tc>
        <w:tc>
          <w:tcPr>
            <w:tcW w:w="1012" w:type="dxa"/>
            <w:tcBorders>
              <w:top w:val="nil"/>
              <w:left w:val="nil"/>
              <w:bottom w:val="single" w:sz="4" w:space="0" w:color="auto"/>
              <w:right w:val="single" w:sz="4" w:space="0" w:color="auto"/>
            </w:tcBorders>
            <w:vAlign w:val="center"/>
            <w:hideMark/>
          </w:tcPr>
          <w:p w14:paraId="5F004F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33069239</w:t>
            </w:r>
          </w:p>
        </w:tc>
        <w:tc>
          <w:tcPr>
            <w:tcW w:w="5953" w:type="dxa"/>
            <w:tcBorders>
              <w:top w:val="nil"/>
              <w:left w:val="nil"/>
              <w:bottom w:val="single" w:sz="4" w:space="0" w:color="auto"/>
              <w:right w:val="single" w:sz="4" w:space="0" w:color="auto"/>
            </w:tcBorders>
            <w:noWrap/>
            <w:vAlign w:val="center"/>
            <w:hideMark/>
          </w:tcPr>
          <w:p w14:paraId="29FA8F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NOVI GORICI</w:t>
            </w:r>
          </w:p>
        </w:tc>
      </w:tr>
      <w:tr w:rsidR="00F24E18" w14:paraId="2A2727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1827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1136</w:t>
            </w:r>
          </w:p>
        </w:tc>
        <w:tc>
          <w:tcPr>
            <w:tcW w:w="1300" w:type="dxa"/>
            <w:tcBorders>
              <w:top w:val="nil"/>
              <w:left w:val="nil"/>
              <w:bottom w:val="single" w:sz="4" w:space="0" w:color="auto"/>
              <w:right w:val="single" w:sz="4" w:space="0" w:color="auto"/>
            </w:tcBorders>
            <w:vAlign w:val="center"/>
            <w:hideMark/>
          </w:tcPr>
          <w:p w14:paraId="59B427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5881536000</w:t>
            </w:r>
          </w:p>
        </w:tc>
        <w:tc>
          <w:tcPr>
            <w:tcW w:w="1012" w:type="dxa"/>
            <w:tcBorders>
              <w:top w:val="nil"/>
              <w:left w:val="nil"/>
              <w:bottom w:val="single" w:sz="4" w:space="0" w:color="auto"/>
              <w:right w:val="single" w:sz="4" w:space="0" w:color="auto"/>
            </w:tcBorders>
            <w:vAlign w:val="center"/>
            <w:hideMark/>
          </w:tcPr>
          <w:p w14:paraId="6F5B0F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55955495</w:t>
            </w:r>
          </w:p>
        </w:tc>
        <w:tc>
          <w:tcPr>
            <w:tcW w:w="5953" w:type="dxa"/>
            <w:tcBorders>
              <w:top w:val="nil"/>
              <w:left w:val="nil"/>
              <w:bottom w:val="single" w:sz="4" w:space="0" w:color="auto"/>
              <w:right w:val="single" w:sz="4" w:space="0" w:color="auto"/>
            </w:tcBorders>
            <w:noWrap/>
            <w:vAlign w:val="center"/>
            <w:hideMark/>
          </w:tcPr>
          <w:p w14:paraId="13687A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OKROŽNO SODIŠČE V SLOVENJ GRADCU</w:t>
            </w:r>
          </w:p>
        </w:tc>
      </w:tr>
      <w:tr w:rsidR="00F24E18" w14:paraId="319F26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1D2D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1137</w:t>
            </w:r>
          </w:p>
        </w:tc>
        <w:tc>
          <w:tcPr>
            <w:tcW w:w="1300" w:type="dxa"/>
            <w:tcBorders>
              <w:top w:val="nil"/>
              <w:left w:val="nil"/>
              <w:bottom w:val="single" w:sz="4" w:space="0" w:color="auto"/>
              <w:right w:val="single" w:sz="4" w:space="0" w:color="auto"/>
            </w:tcBorders>
            <w:vAlign w:val="center"/>
            <w:hideMark/>
          </w:tcPr>
          <w:p w14:paraId="697A26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5055733000</w:t>
            </w:r>
          </w:p>
        </w:tc>
        <w:tc>
          <w:tcPr>
            <w:tcW w:w="1012" w:type="dxa"/>
            <w:tcBorders>
              <w:top w:val="nil"/>
              <w:left w:val="nil"/>
              <w:bottom w:val="single" w:sz="4" w:space="0" w:color="auto"/>
              <w:right w:val="single" w:sz="4" w:space="0" w:color="auto"/>
            </w:tcBorders>
            <w:vAlign w:val="center"/>
            <w:hideMark/>
          </w:tcPr>
          <w:p w14:paraId="0E2932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34052674</w:t>
            </w:r>
          </w:p>
        </w:tc>
        <w:tc>
          <w:tcPr>
            <w:tcW w:w="5953" w:type="dxa"/>
            <w:tcBorders>
              <w:top w:val="nil"/>
              <w:left w:val="nil"/>
              <w:bottom w:val="single" w:sz="4" w:space="0" w:color="auto"/>
              <w:right w:val="single" w:sz="4" w:space="0" w:color="auto"/>
            </w:tcBorders>
            <w:noWrap/>
            <w:vAlign w:val="center"/>
            <w:hideMark/>
          </w:tcPr>
          <w:p w14:paraId="5D7D79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ONKOLOŠKI INŠTITUT LJUBLJANA</w:t>
            </w:r>
          </w:p>
        </w:tc>
      </w:tr>
      <w:tr w:rsidR="00F24E18" w14:paraId="1ABF56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8614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1138</w:t>
            </w:r>
          </w:p>
        </w:tc>
        <w:tc>
          <w:tcPr>
            <w:tcW w:w="1300" w:type="dxa"/>
            <w:tcBorders>
              <w:top w:val="nil"/>
              <w:left w:val="nil"/>
              <w:bottom w:val="single" w:sz="4" w:space="0" w:color="auto"/>
              <w:right w:val="single" w:sz="4" w:space="0" w:color="auto"/>
            </w:tcBorders>
            <w:vAlign w:val="center"/>
            <w:hideMark/>
          </w:tcPr>
          <w:p w14:paraId="4FC012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5053765000</w:t>
            </w:r>
          </w:p>
        </w:tc>
        <w:tc>
          <w:tcPr>
            <w:tcW w:w="1012" w:type="dxa"/>
            <w:tcBorders>
              <w:top w:val="nil"/>
              <w:left w:val="nil"/>
              <w:bottom w:val="single" w:sz="4" w:space="0" w:color="auto"/>
              <w:right w:val="single" w:sz="4" w:space="0" w:color="auto"/>
            </w:tcBorders>
            <w:vAlign w:val="center"/>
            <w:hideMark/>
          </w:tcPr>
          <w:p w14:paraId="168EEB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30348145</w:t>
            </w:r>
          </w:p>
        </w:tc>
        <w:tc>
          <w:tcPr>
            <w:tcW w:w="5953" w:type="dxa"/>
            <w:tcBorders>
              <w:top w:val="nil"/>
              <w:left w:val="nil"/>
              <w:bottom w:val="single" w:sz="4" w:space="0" w:color="auto"/>
              <w:right w:val="single" w:sz="4" w:space="0" w:color="auto"/>
            </w:tcBorders>
            <w:noWrap/>
            <w:vAlign w:val="center"/>
            <w:hideMark/>
          </w:tcPr>
          <w:p w14:paraId="03E8F3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ORTOPEDSKA BOLNIŠNICA VALDOLTRA OSPEDALE ORTOPEDICO VALDOLTRA</w:t>
            </w:r>
          </w:p>
        </w:tc>
      </w:tr>
      <w:tr w:rsidR="00F24E18" w14:paraId="639061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65CD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1139</w:t>
            </w:r>
          </w:p>
        </w:tc>
        <w:tc>
          <w:tcPr>
            <w:tcW w:w="1300" w:type="dxa"/>
            <w:tcBorders>
              <w:top w:val="nil"/>
              <w:left w:val="nil"/>
              <w:bottom w:val="single" w:sz="4" w:space="0" w:color="auto"/>
              <w:right w:val="single" w:sz="4" w:space="0" w:color="auto"/>
            </w:tcBorders>
            <w:noWrap/>
            <w:vAlign w:val="center"/>
            <w:hideMark/>
          </w:tcPr>
          <w:p w14:paraId="117D3A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5087783000</w:t>
            </w:r>
          </w:p>
        </w:tc>
        <w:tc>
          <w:tcPr>
            <w:tcW w:w="1012" w:type="dxa"/>
            <w:tcBorders>
              <w:top w:val="nil"/>
              <w:left w:val="nil"/>
              <w:bottom w:val="single" w:sz="4" w:space="0" w:color="auto"/>
              <w:right w:val="single" w:sz="4" w:space="0" w:color="auto"/>
            </w:tcBorders>
            <w:noWrap/>
            <w:vAlign w:val="center"/>
            <w:hideMark/>
          </w:tcPr>
          <w:p w14:paraId="0C3628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34597085</w:t>
            </w:r>
          </w:p>
        </w:tc>
        <w:tc>
          <w:tcPr>
            <w:tcW w:w="5953" w:type="dxa"/>
            <w:tcBorders>
              <w:top w:val="nil"/>
              <w:left w:val="nil"/>
              <w:bottom w:val="single" w:sz="4" w:space="0" w:color="auto"/>
              <w:right w:val="single" w:sz="4" w:space="0" w:color="auto"/>
            </w:tcBorders>
            <w:noWrap/>
            <w:vAlign w:val="center"/>
            <w:hideMark/>
          </w:tcPr>
          <w:p w14:paraId="14CEFB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"BLAŽA KOCENA" PONIKVA</w:t>
            </w:r>
          </w:p>
        </w:tc>
      </w:tr>
      <w:tr w:rsidR="00F24E18" w14:paraId="1578C8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E85B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1140</w:t>
            </w:r>
          </w:p>
        </w:tc>
        <w:tc>
          <w:tcPr>
            <w:tcW w:w="1300" w:type="dxa"/>
            <w:tcBorders>
              <w:top w:val="nil"/>
              <w:left w:val="nil"/>
              <w:bottom w:val="single" w:sz="4" w:space="0" w:color="auto"/>
              <w:right w:val="single" w:sz="4" w:space="0" w:color="auto"/>
            </w:tcBorders>
            <w:noWrap/>
            <w:vAlign w:val="center"/>
            <w:hideMark/>
          </w:tcPr>
          <w:p w14:paraId="5117DC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5719054000</w:t>
            </w:r>
          </w:p>
        </w:tc>
        <w:tc>
          <w:tcPr>
            <w:tcW w:w="1012" w:type="dxa"/>
            <w:tcBorders>
              <w:top w:val="nil"/>
              <w:left w:val="nil"/>
              <w:bottom w:val="single" w:sz="4" w:space="0" w:color="auto"/>
              <w:right w:val="single" w:sz="4" w:space="0" w:color="auto"/>
            </w:tcBorders>
            <w:noWrap/>
            <w:vAlign w:val="center"/>
            <w:hideMark/>
          </w:tcPr>
          <w:p w14:paraId="1B858A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39376699</w:t>
            </w:r>
          </w:p>
        </w:tc>
        <w:tc>
          <w:tcPr>
            <w:tcW w:w="5953" w:type="dxa"/>
            <w:tcBorders>
              <w:top w:val="nil"/>
              <w:left w:val="nil"/>
              <w:bottom w:val="single" w:sz="4" w:space="0" w:color="auto"/>
              <w:right w:val="single" w:sz="4" w:space="0" w:color="auto"/>
            </w:tcBorders>
            <w:noWrap/>
            <w:vAlign w:val="center"/>
            <w:hideMark/>
          </w:tcPr>
          <w:p w14:paraId="6D2DEA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16. DECEMBRA MOJSTRANA</w:t>
            </w:r>
          </w:p>
        </w:tc>
      </w:tr>
      <w:tr w:rsidR="00F24E18" w14:paraId="41A739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AD86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1141</w:t>
            </w:r>
          </w:p>
        </w:tc>
        <w:tc>
          <w:tcPr>
            <w:tcW w:w="1300" w:type="dxa"/>
            <w:tcBorders>
              <w:top w:val="nil"/>
              <w:left w:val="nil"/>
              <w:bottom w:val="single" w:sz="4" w:space="0" w:color="auto"/>
              <w:right w:val="single" w:sz="4" w:space="0" w:color="auto"/>
            </w:tcBorders>
            <w:noWrap/>
            <w:vAlign w:val="center"/>
            <w:hideMark/>
          </w:tcPr>
          <w:p w14:paraId="7D1400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5241243000</w:t>
            </w:r>
          </w:p>
        </w:tc>
        <w:tc>
          <w:tcPr>
            <w:tcW w:w="1012" w:type="dxa"/>
            <w:tcBorders>
              <w:top w:val="nil"/>
              <w:left w:val="nil"/>
              <w:bottom w:val="single" w:sz="4" w:space="0" w:color="auto"/>
              <w:right w:val="single" w:sz="4" w:space="0" w:color="auto"/>
            </w:tcBorders>
            <w:noWrap/>
            <w:vAlign w:val="center"/>
            <w:hideMark/>
          </w:tcPr>
          <w:p w14:paraId="036E7D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19755104</w:t>
            </w:r>
          </w:p>
        </w:tc>
        <w:tc>
          <w:tcPr>
            <w:tcW w:w="5953" w:type="dxa"/>
            <w:tcBorders>
              <w:top w:val="nil"/>
              <w:left w:val="nil"/>
              <w:bottom w:val="single" w:sz="4" w:space="0" w:color="auto"/>
              <w:right w:val="single" w:sz="4" w:space="0" w:color="auto"/>
            </w:tcBorders>
            <w:noWrap/>
            <w:vAlign w:val="center"/>
            <w:hideMark/>
          </w:tcPr>
          <w:p w14:paraId="40D836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27. JULIJ KAMNIK</w:t>
            </w:r>
          </w:p>
        </w:tc>
      </w:tr>
      <w:tr w:rsidR="00F24E18" w14:paraId="7D40BE0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4B54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1142</w:t>
            </w:r>
          </w:p>
        </w:tc>
        <w:tc>
          <w:tcPr>
            <w:tcW w:w="1300" w:type="dxa"/>
            <w:tcBorders>
              <w:top w:val="nil"/>
              <w:left w:val="nil"/>
              <w:bottom w:val="single" w:sz="4" w:space="0" w:color="auto"/>
              <w:right w:val="single" w:sz="4" w:space="0" w:color="auto"/>
            </w:tcBorders>
            <w:noWrap/>
            <w:vAlign w:val="center"/>
            <w:hideMark/>
          </w:tcPr>
          <w:p w14:paraId="2FF33B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5084687000</w:t>
            </w:r>
          </w:p>
        </w:tc>
        <w:tc>
          <w:tcPr>
            <w:tcW w:w="1012" w:type="dxa"/>
            <w:tcBorders>
              <w:top w:val="nil"/>
              <w:left w:val="nil"/>
              <w:bottom w:val="single" w:sz="4" w:space="0" w:color="auto"/>
              <w:right w:val="single" w:sz="4" w:space="0" w:color="auto"/>
            </w:tcBorders>
            <w:noWrap/>
            <w:vAlign w:val="center"/>
            <w:hideMark/>
          </w:tcPr>
          <w:p w14:paraId="214D15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45289018</w:t>
            </w:r>
          </w:p>
        </w:tc>
        <w:tc>
          <w:tcPr>
            <w:tcW w:w="5953" w:type="dxa"/>
            <w:tcBorders>
              <w:top w:val="nil"/>
              <w:left w:val="nil"/>
              <w:bottom w:val="single" w:sz="4" w:space="0" w:color="auto"/>
              <w:right w:val="single" w:sz="4" w:space="0" w:color="auto"/>
            </w:tcBorders>
            <w:noWrap/>
            <w:vAlign w:val="center"/>
            <w:hideMark/>
          </w:tcPr>
          <w:p w14:paraId="254C5A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8 TALCEV LOGATEC</w:t>
            </w:r>
          </w:p>
        </w:tc>
      </w:tr>
      <w:tr w:rsidR="00F24E18" w14:paraId="1BD2BB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C6D8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1143</w:t>
            </w:r>
          </w:p>
        </w:tc>
        <w:tc>
          <w:tcPr>
            <w:tcW w:w="1300" w:type="dxa"/>
            <w:tcBorders>
              <w:top w:val="nil"/>
              <w:left w:val="nil"/>
              <w:bottom w:val="single" w:sz="4" w:space="0" w:color="auto"/>
              <w:right w:val="single" w:sz="4" w:space="0" w:color="auto"/>
            </w:tcBorders>
            <w:vAlign w:val="center"/>
            <w:hideMark/>
          </w:tcPr>
          <w:p w14:paraId="625C40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5083940000</w:t>
            </w:r>
          </w:p>
        </w:tc>
        <w:tc>
          <w:tcPr>
            <w:tcW w:w="1012" w:type="dxa"/>
            <w:tcBorders>
              <w:top w:val="nil"/>
              <w:left w:val="nil"/>
              <w:bottom w:val="single" w:sz="4" w:space="0" w:color="auto"/>
              <w:right w:val="single" w:sz="4" w:space="0" w:color="auto"/>
            </w:tcBorders>
            <w:vAlign w:val="center"/>
            <w:hideMark/>
          </w:tcPr>
          <w:p w14:paraId="081C67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38506467</w:t>
            </w:r>
          </w:p>
        </w:tc>
        <w:tc>
          <w:tcPr>
            <w:tcW w:w="5953" w:type="dxa"/>
            <w:tcBorders>
              <w:top w:val="nil"/>
              <w:left w:val="nil"/>
              <w:bottom w:val="single" w:sz="4" w:space="0" w:color="auto"/>
              <w:right w:val="single" w:sz="4" w:space="0" w:color="auto"/>
            </w:tcBorders>
            <w:noWrap/>
            <w:vAlign w:val="center"/>
            <w:hideMark/>
          </w:tcPr>
          <w:p w14:paraId="44B982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ADAMA BOHORIČA BRESTANICA</w:t>
            </w:r>
          </w:p>
        </w:tc>
      </w:tr>
      <w:tr w:rsidR="00F24E18" w14:paraId="312F4F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77F0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1144</w:t>
            </w:r>
          </w:p>
        </w:tc>
        <w:tc>
          <w:tcPr>
            <w:tcW w:w="1300" w:type="dxa"/>
            <w:tcBorders>
              <w:top w:val="nil"/>
              <w:left w:val="nil"/>
              <w:bottom w:val="single" w:sz="4" w:space="0" w:color="auto"/>
              <w:right w:val="single" w:sz="4" w:space="0" w:color="auto"/>
            </w:tcBorders>
            <w:noWrap/>
            <w:vAlign w:val="center"/>
            <w:hideMark/>
          </w:tcPr>
          <w:p w14:paraId="5A4253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5089000000</w:t>
            </w:r>
          </w:p>
        </w:tc>
        <w:tc>
          <w:tcPr>
            <w:tcW w:w="1012" w:type="dxa"/>
            <w:tcBorders>
              <w:top w:val="nil"/>
              <w:left w:val="nil"/>
              <w:bottom w:val="single" w:sz="4" w:space="0" w:color="auto"/>
              <w:right w:val="single" w:sz="4" w:space="0" w:color="auto"/>
            </w:tcBorders>
            <w:noWrap/>
            <w:vAlign w:val="center"/>
            <w:hideMark/>
          </w:tcPr>
          <w:p w14:paraId="3D9BC1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45507201</w:t>
            </w:r>
          </w:p>
        </w:tc>
        <w:tc>
          <w:tcPr>
            <w:tcW w:w="5953" w:type="dxa"/>
            <w:tcBorders>
              <w:top w:val="nil"/>
              <w:left w:val="nil"/>
              <w:bottom w:val="single" w:sz="4" w:space="0" w:color="auto"/>
              <w:right w:val="single" w:sz="4" w:space="0" w:color="auto"/>
            </w:tcBorders>
            <w:noWrap/>
            <w:vAlign w:val="center"/>
            <w:hideMark/>
          </w:tcPr>
          <w:p w14:paraId="1B589A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ALOJZA GRADNIKA DOBROVO</w:t>
            </w:r>
          </w:p>
        </w:tc>
      </w:tr>
      <w:tr w:rsidR="00F24E18" w14:paraId="6F8ECA2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08AC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1145</w:t>
            </w:r>
          </w:p>
        </w:tc>
        <w:tc>
          <w:tcPr>
            <w:tcW w:w="1300" w:type="dxa"/>
            <w:tcBorders>
              <w:top w:val="nil"/>
              <w:left w:val="nil"/>
              <w:bottom w:val="single" w:sz="4" w:space="0" w:color="auto"/>
              <w:right w:val="single" w:sz="4" w:space="0" w:color="auto"/>
            </w:tcBorders>
            <w:noWrap/>
            <w:vAlign w:val="center"/>
            <w:hideMark/>
          </w:tcPr>
          <w:p w14:paraId="0AD8FD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5087538000</w:t>
            </w:r>
          </w:p>
        </w:tc>
        <w:tc>
          <w:tcPr>
            <w:tcW w:w="1012" w:type="dxa"/>
            <w:tcBorders>
              <w:top w:val="nil"/>
              <w:left w:val="nil"/>
              <w:bottom w:val="single" w:sz="4" w:space="0" w:color="auto"/>
              <w:right w:val="single" w:sz="4" w:space="0" w:color="auto"/>
            </w:tcBorders>
            <w:noWrap/>
            <w:vAlign w:val="center"/>
            <w:hideMark/>
          </w:tcPr>
          <w:p w14:paraId="41793C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50320807</w:t>
            </w:r>
          </w:p>
        </w:tc>
        <w:tc>
          <w:tcPr>
            <w:tcW w:w="5953" w:type="dxa"/>
            <w:tcBorders>
              <w:top w:val="nil"/>
              <w:left w:val="nil"/>
              <w:bottom w:val="single" w:sz="4" w:space="0" w:color="auto"/>
              <w:right w:val="single" w:sz="4" w:space="0" w:color="auto"/>
            </w:tcBorders>
            <w:noWrap/>
            <w:vAlign w:val="center"/>
            <w:hideMark/>
          </w:tcPr>
          <w:p w14:paraId="63026F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ANE GALE SEVNICA</w:t>
            </w:r>
          </w:p>
        </w:tc>
      </w:tr>
      <w:tr w:rsidR="00F24E18" w14:paraId="67C9EA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EED9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1146</w:t>
            </w:r>
          </w:p>
        </w:tc>
        <w:tc>
          <w:tcPr>
            <w:tcW w:w="1300" w:type="dxa"/>
            <w:tcBorders>
              <w:top w:val="nil"/>
              <w:left w:val="nil"/>
              <w:bottom w:val="single" w:sz="4" w:space="0" w:color="auto"/>
              <w:right w:val="single" w:sz="4" w:space="0" w:color="auto"/>
            </w:tcBorders>
            <w:noWrap/>
            <w:vAlign w:val="center"/>
            <w:hideMark/>
          </w:tcPr>
          <w:p w14:paraId="0D1E6D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5085187000</w:t>
            </w:r>
          </w:p>
        </w:tc>
        <w:tc>
          <w:tcPr>
            <w:tcW w:w="1012" w:type="dxa"/>
            <w:tcBorders>
              <w:top w:val="nil"/>
              <w:left w:val="nil"/>
              <w:bottom w:val="single" w:sz="4" w:space="0" w:color="auto"/>
              <w:right w:val="single" w:sz="4" w:space="0" w:color="auto"/>
            </w:tcBorders>
            <w:noWrap/>
            <w:vAlign w:val="center"/>
            <w:hideMark/>
          </w:tcPr>
          <w:p w14:paraId="63567E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86623265</w:t>
            </w:r>
          </w:p>
        </w:tc>
        <w:tc>
          <w:tcPr>
            <w:tcW w:w="5953" w:type="dxa"/>
            <w:tcBorders>
              <w:top w:val="nil"/>
              <w:left w:val="nil"/>
              <w:bottom w:val="single" w:sz="4" w:space="0" w:color="auto"/>
              <w:right w:val="single" w:sz="4" w:space="0" w:color="auto"/>
            </w:tcBorders>
            <w:noWrap/>
            <w:vAlign w:val="center"/>
            <w:hideMark/>
          </w:tcPr>
          <w:p w14:paraId="083156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ANGELA BESEDNJAKA</w:t>
            </w:r>
          </w:p>
        </w:tc>
      </w:tr>
      <w:tr w:rsidR="00F24E18" w14:paraId="33EE8B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3123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1147</w:t>
            </w:r>
          </w:p>
        </w:tc>
        <w:tc>
          <w:tcPr>
            <w:tcW w:w="1300" w:type="dxa"/>
            <w:tcBorders>
              <w:top w:val="nil"/>
              <w:left w:val="nil"/>
              <w:bottom w:val="single" w:sz="4" w:space="0" w:color="auto"/>
              <w:right w:val="single" w:sz="4" w:space="0" w:color="auto"/>
            </w:tcBorders>
            <w:noWrap/>
            <w:vAlign w:val="center"/>
            <w:hideMark/>
          </w:tcPr>
          <w:p w14:paraId="201DF3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5087651000</w:t>
            </w:r>
          </w:p>
        </w:tc>
        <w:tc>
          <w:tcPr>
            <w:tcW w:w="1012" w:type="dxa"/>
            <w:tcBorders>
              <w:top w:val="nil"/>
              <w:left w:val="nil"/>
              <w:bottom w:val="single" w:sz="4" w:space="0" w:color="auto"/>
              <w:right w:val="single" w:sz="4" w:space="0" w:color="auto"/>
            </w:tcBorders>
            <w:noWrap/>
            <w:vAlign w:val="center"/>
            <w:hideMark/>
          </w:tcPr>
          <w:p w14:paraId="381CAD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53210336</w:t>
            </w:r>
          </w:p>
        </w:tc>
        <w:tc>
          <w:tcPr>
            <w:tcW w:w="5953" w:type="dxa"/>
            <w:tcBorders>
              <w:top w:val="nil"/>
              <w:left w:val="nil"/>
              <w:bottom w:val="single" w:sz="4" w:space="0" w:color="auto"/>
              <w:right w:val="single" w:sz="4" w:space="0" w:color="auto"/>
            </w:tcBorders>
            <w:noWrap/>
            <w:vAlign w:val="center"/>
            <w:hideMark/>
          </w:tcPr>
          <w:p w14:paraId="3F4422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ANICE ČERNEJEVE MAKOLE</w:t>
            </w:r>
          </w:p>
        </w:tc>
      </w:tr>
      <w:tr w:rsidR="00F24E18" w14:paraId="198DAD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633A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1148</w:t>
            </w:r>
          </w:p>
        </w:tc>
        <w:tc>
          <w:tcPr>
            <w:tcW w:w="1300" w:type="dxa"/>
            <w:tcBorders>
              <w:top w:val="nil"/>
              <w:left w:val="nil"/>
              <w:bottom w:val="single" w:sz="4" w:space="0" w:color="auto"/>
              <w:right w:val="single" w:sz="4" w:space="0" w:color="auto"/>
            </w:tcBorders>
            <w:noWrap/>
            <w:vAlign w:val="center"/>
            <w:hideMark/>
          </w:tcPr>
          <w:p w14:paraId="36D59F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5924359000</w:t>
            </w:r>
          </w:p>
        </w:tc>
        <w:tc>
          <w:tcPr>
            <w:tcW w:w="1012" w:type="dxa"/>
            <w:tcBorders>
              <w:top w:val="nil"/>
              <w:left w:val="nil"/>
              <w:bottom w:val="single" w:sz="4" w:space="0" w:color="auto"/>
              <w:right w:val="single" w:sz="4" w:space="0" w:color="auto"/>
            </w:tcBorders>
            <w:noWrap/>
            <w:vAlign w:val="center"/>
            <w:hideMark/>
          </w:tcPr>
          <w:p w14:paraId="3C4C37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81377231</w:t>
            </w:r>
          </w:p>
        </w:tc>
        <w:tc>
          <w:tcPr>
            <w:tcW w:w="5953" w:type="dxa"/>
            <w:tcBorders>
              <w:top w:val="nil"/>
              <w:left w:val="nil"/>
              <w:bottom w:val="single" w:sz="4" w:space="0" w:color="auto"/>
              <w:right w:val="single" w:sz="4" w:space="0" w:color="auto"/>
            </w:tcBorders>
            <w:noWrap/>
            <w:vAlign w:val="center"/>
            <w:hideMark/>
          </w:tcPr>
          <w:p w14:paraId="530247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AŠKERCA RIMSKE TOPLICE</w:t>
            </w:r>
          </w:p>
        </w:tc>
      </w:tr>
      <w:tr w:rsidR="00F24E18" w14:paraId="32DA16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35C6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1149</w:t>
            </w:r>
          </w:p>
        </w:tc>
        <w:tc>
          <w:tcPr>
            <w:tcW w:w="1300" w:type="dxa"/>
            <w:tcBorders>
              <w:top w:val="nil"/>
              <w:left w:val="nil"/>
              <w:bottom w:val="single" w:sz="4" w:space="0" w:color="auto"/>
              <w:right w:val="single" w:sz="4" w:space="0" w:color="auto"/>
            </w:tcBorders>
            <w:noWrap/>
            <w:vAlign w:val="center"/>
            <w:hideMark/>
          </w:tcPr>
          <w:p w14:paraId="091224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5088224000</w:t>
            </w:r>
          </w:p>
        </w:tc>
        <w:tc>
          <w:tcPr>
            <w:tcW w:w="1012" w:type="dxa"/>
            <w:tcBorders>
              <w:top w:val="nil"/>
              <w:left w:val="nil"/>
              <w:bottom w:val="single" w:sz="4" w:space="0" w:color="auto"/>
              <w:right w:val="single" w:sz="4" w:space="0" w:color="auto"/>
            </w:tcBorders>
            <w:noWrap/>
            <w:vAlign w:val="center"/>
            <w:hideMark/>
          </w:tcPr>
          <w:p w14:paraId="17FDA9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25656317</w:t>
            </w:r>
          </w:p>
        </w:tc>
        <w:tc>
          <w:tcPr>
            <w:tcW w:w="5953" w:type="dxa"/>
            <w:tcBorders>
              <w:top w:val="nil"/>
              <w:left w:val="nil"/>
              <w:bottom w:val="single" w:sz="4" w:space="0" w:color="auto"/>
              <w:right w:val="single" w:sz="4" w:space="0" w:color="auto"/>
            </w:tcBorders>
            <w:noWrap/>
            <w:vAlign w:val="center"/>
            <w:hideMark/>
          </w:tcPr>
          <w:p w14:paraId="794DA5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AŠKERCA VELENJE</w:t>
            </w:r>
          </w:p>
        </w:tc>
      </w:tr>
      <w:tr w:rsidR="00F24E18" w14:paraId="0F6105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AB48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1150</w:t>
            </w:r>
          </w:p>
        </w:tc>
        <w:tc>
          <w:tcPr>
            <w:tcW w:w="1300" w:type="dxa"/>
            <w:tcBorders>
              <w:top w:val="nil"/>
              <w:left w:val="nil"/>
              <w:bottom w:val="single" w:sz="4" w:space="0" w:color="auto"/>
              <w:right w:val="single" w:sz="4" w:space="0" w:color="auto"/>
            </w:tcBorders>
            <w:noWrap/>
            <w:vAlign w:val="center"/>
            <w:hideMark/>
          </w:tcPr>
          <w:p w14:paraId="0D06E7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5084709000</w:t>
            </w:r>
          </w:p>
        </w:tc>
        <w:tc>
          <w:tcPr>
            <w:tcW w:w="1012" w:type="dxa"/>
            <w:tcBorders>
              <w:top w:val="nil"/>
              <w:left w:val="nil"/>
              <w:bottom w:val="single" w:sz="4" w:space="0" w:color="auto"/>
              <w:right w:val="single" w:sz="4" w:space="0" w:color="auto"/>
            </w:tcBorders>
            <w:noWrap/>
            <w:vAlign w:val="center"/>
            <w:hideMark/>
          </w:tcPr>
          <w:p w14:paraId="5CDB9D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12132233</w:t>
            </w:r>
          </w:p>
        </w:tc>
        <w:tc>
          <w:tcPr>
            <w:tcW w:w="5953" w:type="dxa"/>
            <w:tcBorders>
              <w:top w:val="nil"/>
              <w:left w:val="nil"/>
              <w:bottom w:val="single" w:sz="4" w:space="0" w:color="auto"/>
              <w:right w:val="single" w:sz="4" w:space="0" w:color="auto"/>
            </w:tcBorders>
            <w:noWrap/>
            <w:vAlign w:val="center"/>
            <w:hideMark/>
          </w:tcPr>
          <w:p w14:paraId="7033D4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BEZENŠKA FRANKOLOVO</w:t>
            </w:r>
          </w:p>
        </w:tc>
      </w:tr>
      <w:tr w:rsidR="00F24E18" w14:paraId="6503E3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1C7F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1151</w:t>
            </w:r>
          </w:p>
        </w:tc>
        <w:tc>
          <w:tcPr>
            <w:tcW w:w="1300" w:type="dxa"/>
            <w:tcBorders>
              <w:top w:val="nil"/>
              <w:left w:val="nil"/>
              <w:bottom w:val="single" w:sz="4" w:space="0" w:color="auto"/>
              <w:right w:val="single" w:sz="4" w:space="0" w:color="auto"/>
            </w:tcBorders>
            <w:noWrap/>
            <w:vAlign w:val="center"/>
            <w:hideMark/>
          </w:tcPr>
          <w:p w14:paraId="18570B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5496829000</w:t>
            </w:r>
          </w:p>
        </w:tc>
        <w:tc>
          <w:tcPr>
            <w:tcW w:w="1012" w:type="dxa"/>
            <w:tcBorders>
              <w:top w:val="nil"/>
              <w:left w:val="nil"/>
              <w:bottom w:val="single" w:sz="4" w:space="0" w:color="auto"/>
              <w:right w:val="single" w:sz="4" w:space="0" w:color="auto"/>
            </w:tcBorders>
            <w:noWrap/>
            <w:vAlign w:val="center"/>
            <w:hideMark/>
          </w:tcPr>
          <w:p w14:paraId="5E55E4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44439407</w:t>
            </w:r>
          </w:p>
        </w:tc>
        <w:tc>
          <w:tcPr>
            <w:tcW w:w="5953" w:type="dxa"/>
            <w:tcBorders>
              <w:top w:val="nil"/>
              <w:left w:val="nil"/>
              <w:bottom w:val="single" w:sz="4" w:space="0" w:color="auto"/>
              <w:right w:val="single" w:sz="4" w:space="0" w:color="auto"/>
            </w:tcBorders>
            <w:noWrap/>
            <w:vAlign w:val="center"/>
            <w:hideMark/>
          </w:tcPr>
          <w:p w14:paraId="201F1F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GLOBOČNIKA POSTOJNA</w:t>
            </w:r>
          </w:p>
        </w:tc>
      </w:tr>
      <w:tr w:rsidR="00F24E18" w14:paraId="7DA63A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41F4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1152</w:t>
            </w:r>
          </w:p>
        </w:tc>
        <w:tc>
          <w:tcPr>
            <w:tcW w:w="1300" w:type="dxa"/>
            <w:tcBorders>
              <w:top w:val="nil"/>
              <w:left w:val="nil"/>
              <w:bottom w:val="single" w:sz="4" w:space="0" w:color="auto"/>
              <w:right w:val="single" w:sz="4" w:space="0" w:color="auto"/>
            </w:tcBorders>
            <w:noWrap/>
            <w:vAlign w:val="center"/>
            <w:hideMark/>
          </w:tcPr>
          <w:p w14:paraId="3A52B8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5090032000</w:t>
            </w:r>
          </w:p>
        </w:tc>
        <w:tc>
          <w:tcPr>
            <w:tcW w:w="1012" w:type="dxa"/>
            <w:tcBorders>
              <w:top w:val="nil"/>
              <w:left w:val="nil"/>
              <w:bottom w:val="single" w:sz="4" w:space="0" w:color="auto"/>
              <w:right w:val="single" w:sz="4" w:space="0" w:color="auto"/>
            </w:tcBorders>
            <w:noWrap/>
            <w:vAlign w:val="center"/>
            <w:hideMark/>
          </w:tcPr>
          <w:p w14:paraId="1284A0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67396488</w:t>
            </w:r>
          </w:p>
        </w:tc>
        <w:tc>
          <w:tcPr>
            <w:tcW w:w="5953" w:type="dxa"/>
            <w:tcBorders>
              <w:top w:val="nil"/>
              <w:left w:val="nil"/>
              <w:bottom w:val="single" w:sz="4" w:space="0" w:color="auto"/>
              <w:right w:val="single" w:sz="4" w:space="0" w:color="auto"/>
            </w:tcBorders>
            <w:noWrap/>
            <w:vAlign w:val="center"/>
            <w:hideMark/>
          </w:tcPr>
          <w:p w14:paraId="05147A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INGOLIČA SPODNJA POLSKAVA</w:t>
            </w:r>
          </w:p>
        </w:tc>
      </w:tr>
      <w:tr w:rsidR="00F24E18" w14:paraId="7A19EA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237F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1153</w:t>
            </w:r>
          </w:p>
        </w:tc>
        <w:tc>
          <w:tcPr>
            <w:tcW w:w="1300" w:type="dxa"/>
            <w:tcBorders>
              <w:top w:val="nil"/>
              <w:left w:val="nil"/>
              <w:bottom w:val="single" w:sz="4" w:space="0" w:color="auto"/>
              <w:right w:val="single" w:sz="4" w:space="0" w:color="auto"/>
            </w:tcBorders>
            <w:vAlign w:val="center"/>
            <w:hideMark/>
          </w:tcPr>
          <w:p w14:paraId="05D237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1534980000</w:t>
            </w:r>
          </w:p>
        </w:tc>
        <w:tc>
          <w:tcPr>
            <w:tcW w:w="1012" w:type="dxa"/>
            <w:tcBorders>
              <w:top w:val="nil"/>
              <w:left w:val="nil"/>
              <w:bottom w:val="single" w:sz="4" w:space="0" w:color="auto"/>
              <w:right w:val="single" w:sz="4" w:space="0" w:color="auto"/>
            </w:tcBorders>
            <w:vAlign w:val="center"/>
            <w:hideMark/>
          </w:tcPr>
          <w:p w14:paraId="6CB7D4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60066792</w:t>
            </w:r>
          </w:p>
        </w:tc>
        <w:tc>
          <w:tcPr>
            <w:tcW w:w="5953" w:type="dxa"/>
            <w:tcBorders>
              <w:top w:val="nil"/>
              <w:left w:val="nil"/>
              <w:bottom w:val="single" w:sz="4" w:space="0" w:color="auto"/>
              <w:right w:val="single" w:sz="4" w:space="0" w:color="auto"/>
            </w:tcBorders>
            <w:noWrap/>
            <w:vAlign w:val="center"/>
            <w:hideMark/>
          </w:tcPr>
          <w:p w14:paraId="636A24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MARTINA SLOMŠKA VRHNIKA</w:t>
            </w:r>
          </w:p>
        </w:tc>
      </w:tr>
      <w:tr w:rsidR="00F24E18" w14:paraId="6FE3230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3F92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1154</w:t>
            </w:r>
          </w:p>
        </w:tc>
        <w:tc>
          <w:tcPr>
            <w:tcW w:w="1300" w:type="dxa"/>
            <w:tcBorders>
              <w:top w:val="nil"/>
              <w:left w:val="nil"/>
              <w:bottom w:val="single" w:sz="4" w:space="0" w:color="auto"/>
              <w:right w:val="single" w:sz="4" w:space="0" w:color="auto"/>
            </w:tcBorders>
            <w:vAlign w:val="center"/>
            <w:hideMark/>
          </w:tcPr>
          <w:p w14:paraId="54DE47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5087554000</w:t>
            </w:r>
          </w:p>
        </w:tc>
        <w:tc>
          <w:tcPr>
            <w:tcW w:w="1012" w:type="dxa"/>
            <w:tcBorders>
              <w:top w:val="nil"/>
              <w:left w:val="nil"/>
              <w:bottom w:val="single" w:sz="4" w:space="0" w:color="auto"/>
              <w:right w:val="single" w:sz="4" w:space="0" w:color="auto"/>
            </w:tcBorders>
            <w:vAlign w:val="center"/>
            <w:hideMark/>
          </w:tcPr>
          <w:p w14:paraId="6E6FE4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23027746</w:t>
            </w:r>
          </w:p>
        </w:tc>
        <w:tc>
          <w:tcPr>
            <w:tcW w:w="5953" w:type="dxa"/>
            <w:tcBorders>
              <w:top w:val="nil"/>
              <w:left w:val="nil"/>
              <w:bottom w:val="single" w:sz="4" w:space="0" w:color="auto"/>
              <w:right w:val="single" w:sz="4" w:space="0" w:color="auto"/>
            </w:tcBorders>
            <w:noWrap/>
            <w:vAlign w:val="center"/>
            <w:hideMark/>
          </w:tcPr>
          <w:p w14:paraId="559929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ŠIBELJA-STJENKA KOMEN</w:t>
            </w:r>
          </w:p>
        </w:tc>
      </w:tr>
      <w:tr w:rsidR="00F24E18" w14:paraId="342CBA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C3CE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1155</w:t>
            </w:r>
          </w:p>
        </w:tc>
        <w:tc>
          <w:tcPr>
            <w:tcW w:w="1300" w:type="dxa"/>
            <w:tcBorders>
              <w:top w:val="nil"/>
              <w:left w:val="nil"/>
              <w:bottom w:val="single" w:sz="4" w:space="0" w:color="auto"/>
              <w:right w:val="single" w:sz="4" w:space="0" w:color="auto"/>
            </w:tcBorders>
            <w:noWrap/>
            <w:vAlign w:val="center"/>
            <w:hideMark/>
          </w:tcPr>
          <w:p w14:paraId="2DE594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5087341000</w:t>
            </w:r>
          </w:p>
        </w:tc>
        <w:tc>
          <w:tcPr>
            <w:tcW w:w="1012" w:type="dxa"/>
            <w:tcBorders>
              <w:top w:val="nil"/>
              <w:left w:val="nil"/>
              <w:bottom w:val="single" w:sz="4" w:space="0" w:color="auto"/>
              <w:right w:val="single" w:sz="4" w:space="0" w:color="auto"/>
            </w:tcBorders>
            <w:noWrap/>
            <w:vAlign w:val="center"/>
            <w:hideMark/>
          </w:tcPr>
          <w:p w14:paraId="5B89E2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18782400</w:t>
            </w:r>
          </w:p>
        </w:tc>
        <w:tc>
          <w:tcPr>
            <w:tcW w:w="5953" w:type="dxa"/>
            <w:tcBorders>
              <w:top w:val="nil"/>
              <w:left w:val="nil"/>
              <w:bottom w:val="single" w:sz="4" w:space="0" w:color="auto"/>
              <w:right w:val="single" w:sz="4" w:space="0" w:color="auto"/>
            </w:tcBorders>
            <w:noWrap/>
            <w:vAlign w:val="center"/>
            <w:hideMark/>
          </w:tcPr>
          <w:p w14:paraId="53C7D4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TOMAŽA LINHARTA RADOVLJICA</w:t>
            </w:r>
          </w:p>
        </w:tc>
      </w:tr>
      <w:tr w:rsidR="00F24E18" w14:paraId="4E66C0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FBB2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1156</w:t>
            </w:r>
          </w:p>
        </w:tc>
        <w:tc>
          <w:tcPr>
            <w:tcW w:w="1300" w:type="dxa"/>
            <w:tcBorders>
              <w:top w:val="nil"/>
              <w:left w:val="nil"/>
              <w:bottom w:val="single" w:sz="4" w:space="0" w:color="auto"/>
              <w:right w:val="single" w:sz="4" w:space="0" w:color="auto"/>
            </w:tcBorders>
            <w:vAlign w:val="center"/>
            <w:hideMark/>
          </w:tcPr>
          <w:p w14:paraId="7CEC04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5231825000</w:t>
            </w:r>
          </w:p>
        </w:tc>
        <w:tc>
          <w:tcPr>
            <w:tcW w:w="1012" w:type="dxa"/>
            <w:tcBorders>
              <w:top w:val="nil"/>
              <w:left w:val="nil"/>
              <w:bottom w:val="single" w:sz="4" w:space="0" w:color="auto"/>
              <w:right w:val="single" w:sz="4" w:space="0" w:color="auto"/>
            </w:tcBorders>
            <w:vAlign w:val="center"/>
            <w:hideMark/>
          </w:tcPr>
          <w:p w14:paraId="056D15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71906096</w:t>
            </w:r>
          </w:p>
        </w:tc>
        <w:tc>
          <w:tcPr>
            <w:tcW w:w="5953" w:type="dxa"/>
            <w:tcBorders>
              <w:top w:val="nil"/>
              <w:left w:val="nil"/>
              <w:bottom w:val="single" w:sz="4" w:space="0" w:color="auto"/>
              <w:right w:val="single" w:sz="4" w:space="0" w:color="auto"/>
            </w:tcBorders>
            <w:noWrap/>
            <w:vAlign w:val="center"/>
            <w:hideMark/>
          </w:tcPr>
          <w:p w14:paraId="44DF87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ANTONA UKMARJA KOPER SCUOLA ELEMENTARE ANTON UKMAR CAPODISTRIA</w:t>
            </w:r>
          </w:p>
        </w:tc>
      </w:tr>
      <w:tr w:rsidR="00F24E18" w14:paraId="15EF0C2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F168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1157</w:t>
            </w:r>
          </w:p>
        </w:tc>
        <w:tc>
          <w:tcPr>
            <w:tcW w:w="1300" w:type="dxa"/>
            <w:tcBorders>
              <w:top w:val="nil"/>
              <w:left w:val="nil"/>
              <w:bottom w:val="single" w:sz="4" w:space="0" w:color="auto"/>
              <w:right w:val="single" w:sz="4" w:space="0" w:color="auto"/>
            </w:tcBorders>
            <w:noWrap/>
            <w:vAlign w:val="center"/>
            <w:hideMark/>
          </w:tcPr>
          <w:p w14:paraId="06495C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5083559000</w:t>
            </w:r>
          </w:p>
        </w:tc>
        <w:tc>
          <w:tcPr>
            <w:tcW w:w="1012" w:type="dxa"/>
            <w:tcBorders>
              <w:top w:val="nil"/>
              <w:left w:val="nil"/>
              <w:bottom w:val="single" w:sz="4" w:space="0" w:color="auto"/>
              <w:right w:val="single" w:sz="4" w:space="0" w:color="auto"/>
            </w:tcBorders>
            <w:noWrap/>
            <w:vAlign w:val="center"/>
            <w:hideMark/>
          </w:tcPr>
          <w:p w14:paraId="475F7E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86290185</w:t>
            </w:r>
          </w:p>
        </w:tc>
        <w:tc>
          <w:tcPr>
            <w:tcW w:w="5953" w:type="dxa"/>
            <w:tcBorders>
              <w:top w:val="nil"/>
              <w:left w:val="nil"/>
              <w:bottom w:val="single" w:sz="4" w:space="0" w:color="auto"/>
              <w:right w:val="single" w:sz="4" w:space="0" w:color="auto"/>
            </w:tcBorders>
            <w:noWrap/>
            <w:vAlign w:val="center"/>
            <w:hideMark/>
          </w:tcPr>
          <w:p w14:paraId="359450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ARTIČE</w:t>
            </w:r>
          </w:p>
        </w:tc>
      </w:tr>
      <w:tr w:rsidR="00F24E18" w14:paraId="20F5D75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B2BE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1158</w:t>
            </w:r>
          </w:p>
        </w:tc>
        <w:tc>
          <w:tcPr>
            <w:tcW w:w="1300" w:type="dxa"/>
            <w:tcBorders>
              <w:top w:val="nil"/>
              <w:left w:val="nil"/>
              <w:bottom w:val="single" w:sz="4" w:space="0" w:color="auto"/>
              <w:right w:val="single" w:sz="4" w:space="0" w:color="auto"/>
            </w:tcBorders>
            <w:noWrap/>
            <w:vAlign w:val="center"/>
            <w:hideMark/>
          </w:tcPr>
          <w:p w14:paraId="7A3BE4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5088968000</w:t>
            </w:r>
          </w:p>
        </w:tc>
        <w:tc>
          <w:tcPr>
            <w:tcW w:w="1012" w:type="dxa"/>
            <w:tcBorders>
              <w:top w:val="nil"/>
              <w:left w:val="nil"/>
              <w:bottom w:val="single" w:sz="4" w:space="0" w:color="auto"/>
              <w:right w:val="single" w:sz="4" w:space="0" w:color="auto"/>
            </w:tcBorders>
            <w:noWrap/>
            <w:vAlign w:val="center"/>
            <w:hideMark/>
          </w:tcPr>
          <w:p w14:paraId="66AA4F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10335234</w:t>
            </w:r>
          </w:p>
        </w:tc>
        <w:tc>
          <w:tcPr>
            <w:tcW w:w="5953" w:type="dxa"/>
            <w:tcBorders>
              <w:top w:val="nil"/>
              <w:left w:val="nil"/>
              <w:bottom w:val="single" w:sz="4" w:space="0" w:color="auto"/>
              <w:right w:val="single" w:sz="4" w:space="0" w:color="auto"/>
            </w:tcBorders>
            <w:noWrap/>
            <w:vAlign w:val="center"/>
            <w:hideMark/>
          </w:tcPr>
          <w:p w14:paraId="2EAC3E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BAKOVCI</w:t>
            </w:r>
          </w:p>
        </w:tc>
      </w:tr>
      <w:tr w:rsidR="00F24E18" w14:paraId="2E6526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522F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1159</w:t>
            </w:r>
          </w:p>
        </w:tc>
        <w:tc>
          <w:tcPr>
            <w:tcW w:w="1300" w:type="dxa"/>
            <w:tcBorders>
              <w:top w:val="nil"/>
              <w:left w:val="nil"/>
              <w:bottom w:val="single" w:sz="4" w:space="0" w:color="auto"/>
              <w:right w:val="single" w:sz="4" w:space="0" w:color="auto"/>
            </w:tcBorders>
            <w:vAlign w:val="center"/>
            <w:hideMark/>
          </w:tcPr>
          <w:p w14:paraId="75F4D2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5085349000</w:t>
            </w:r>
          </w:p>
        </w:tc>
        <w:tc>
          <w:tcPr>
            <w:tcW w:w="1012" w:type="dxa"/>
            <w:tcBorders>
              <w:top w:val="nil"/>
              <w:left w:val="nil"/>
              <w:bottom w:val="single" w:sz="4" w:space="0" w:color="auto"/>
              <w:right w:val="single" w:sz="4" w:space="0" w:color="auto"/>
            </w:tcBorders>
            <w:vAlign w:val="center"/>
            <w:hideMark/>
          </w:tcPr>
          <w:p w14:paraId="4C3408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78628326</w:t>
            </w:r>
          </w:p>
        </w:tc>
        <w:tc>
          <w:tcPr>
            <w:tcW w:w="5953" w:type="dxa"/>
            <w:tcBorders>
              <w:top w:val="nil"/>
              <w:left w:val="nil"/>
              <w:bottom w:val="single" w:sz="4" w:space="0" w:color="auto"/>
              <w:right w:val="single" w:sz="4" w:space="0" w:color="auto"/>
            </w:tcBorders>
            <w:noWrap/>
            <w:vAlign w:val="center"/>
            <w:hideMark/>
          </w:tcPr>
          <w:p w14:paraId="0331F3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BELOKRANJSKEGA ODREDA SEMIČ</w:t>
            </w:r>
          </w:p>
        </w:tc>
      </w:tr>
      <w:tr w:rsidR="00F24E18" w14:paraId="0A9198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81CA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1160</w:t>
            </w:r>
          </w:p>
        </w:tc>
        <w:tc>
          <w:tcPr>
            <w:tcW w:w="1300" w:type="dxa"/>
            <w:tcBorders>
              <w:top w:val="nil"/>
              <w:left w:val="nil"/>
              <w:bottom w:val="single" w:sz="4" w:space="0" w:color="auto"/>
              <w:right w:val="single" w:sz="4" w:space="0" w:color="auto"/>
            </w:tcBorders>
            <w:noWrap/>
            <w:vAlign w:val="center"/>
            <w:hideMark/>
          </w:tcPr>
          <w:p w14:paraId="034FBD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5085560000</w:t>
            </w:r>
          </w:p>
        </w:tc>
        <w:tc>
          <w:tcPr>
            <w:tcW w:w="1012" w:type="dxa"/>
            <w:tcBorders>
              <w:top w:val="nil"/>
              <w:left w:val="nil"/>
              <w:bottom w:val="single" w:sz="4" w:space="0" w:color="auto"/>
              <w:right w:val="single" w:sz="4" w:space="0" w:color="auto"/>
            </w:tcBorders>
            <w:noWrap/>
            <w:vAlign w:val="center"/>
            <w:hideMark/>
          </w:tcPr>
          <w:p w14:paraId="2537DC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41251717</w:t>
            </w:r>
          </w:p>
        </w:tc>
        <w:tc>
          <w:tcPr>
            <w:tcW w:w="5953" w:type="dxa"/>
            <w:tcBorders>
              <w:top w:val="nil"/>
              <w:left w:val="nil"/>
              <w:bottom w:val="single" w:sz="4" w:space="0" w:color="auto"/>
              <w:right w:val="single" w:sz="4" w:space="0" w:color="auto"/>
            </w:tcBorders>
            <w:noWrap/>
            <w:vAlign w:val="center"/>
            <w:hideMark/>
          </w:tcPr>
          <w:p w14:paraId="6B21CB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BELTINCI</w:t>
            </w:r>
          </w:p>
        </w:tc>
      </w:tr>
      <w:tr w:rsidR="00F24E18" w14:paraId="4E31A9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964E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1161</w:t>
            </w:r>
          </w:p>
        </w:tc>
        <w:tc>
          <w:tcPr>
            <w:tcW w:w="1300" w:type="dxa"/>
            <w:tcBorders>
              <w:top w:val="nil"/>
              <w:left w:val="nil"/>
              <w:bottom w:val="single" w:sz="4" w:space="0" w:color="auto"/>
              <w:right w:val="single" w:sz="4" w:space="0" w:color="auto"/>
            </w:tcBorders>
            <w:vAlign w:val="center"/>
            <w:hideMark/>
          </w:tcPr>
          <w:p w14:paraId="37480F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5089913000</w:t>
            </w:r>
          </w:p>
        </w:tc>
        <w:tc>
          <w:tcPr>
            <w:tcW w:w="1012" w:type="dxa"/>
            <w:tcBorders>
              <w:top w:val="nil"/>
              <w:left w:val="nil"/>
              <w:bottom w:val="single" w:sz="4" w:space="0" w:color="auto"/>
              <w:right w:val="single" w:sz="4" w:space="0" w:color="auto"/>
            </w:tcBorders>
            <w:vAlign w:val="center"/>
            <w:hideMark/>
          </w:tcPr>
          <w:p w14:paraId="628404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51149877</w:t>
            </w:r>
          </w:p>
        </w:tc>
        <w:tc>
          <w:tcPr>
            <w:tcW w:w="5953" w:type="dxa"/>
            <w:tcBorders>
              <w:top w:val="nil"/>
              <w:left w:val="nil"/>
              <w:bottom w:val="single" w:sz="4" w:space="0" w:color="auto"/>
              <w:right w:val="single" w:sz="4" w:space="0" w:color="auto"/>
            </w:tcBorders>
            <w:noWrap/>
            <w:vAlign w:val="center"/>
            <w:hideMark/>
          </w:tcPr>
          <w:p w14:paraId="7DB2C4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BEŽIGRAD</w:t>
            </w:r>
          </w:p>
        </w:tc>
      </w:tr>
      <w:tr w:rsidR="00F24E18" w14:paraId="0CA137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301C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1162</w:t>
            </w:r>
          </w:p>
        </w:tc>
        <w:tc>
          <w:tcPr>
            <w:tcW w:w="1300" w:type="dxa"/>
            <w:tcBorders>
              <w:top w:val="nil"/>
              <w:left w:val="nil"/>
              <w:bottom w:val="single" w:sz="4" w:space="0" w:color="auto"/>
              <w:right w:val="single" w:sz="4" w:space="0" w:color="auto"/>
            </w:tcBorders>
            <w:vAlign w:val="center"/>
            <w:hideMark/>
          </w:tcPr>
          <w:p w14:paraId="6ACF1C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5088135000</w:t>
            </w:r>
          </w:p>
        </w:tc>
        <w:tc>
          <w:tcPr>
            <w:tcW w:w="1012" w:type="dxa"/>
            <w:tcBorders>
              <w:top w:val="nil"/>
              <w:left w:val="nil"/>
              <w:bottom w:val="single" w:sz="4" w:space="0" w:color="auto"/>
              <w:right w:val="single" w:sz="4" w:space="0" w:color="auto"/>
            </w:tcBorders>
            <w:vAlign w:val="center"/>
            <w:hideMark/>
          </w:tcPr>
          <w:p w14:paraId="269497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55429483</w:t>
            </w:r>
          </w:p>
        </w:tc>
        <w:tc>
          <w:tcPr>
            <w:tcW w:w="5953" w:type="dxa"/>
            <w:tcBorders>
              <w:top w:val="nil"/>
              <w:left w:val="nil"/>
              <w:bottom w:val="single" w:sz="4" w:space="0" w:color="auto"/>
              <w:right w:val="single" w:sz="4" w:space="0" w:color="auto"/>
            </w:tcBorders>
            <w:noWrap/>
            <w:vAlign w:val="center"/>
            <w:hideMark/>
          </w:tcPr>
          <w:p w14:paraId="2D8970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BISTRICA</w:t>
            </w:r>
          </w:p>
        </w:tc>
      </w:tr>
      <w:tr w:rsidR="00F24E18" w14:paraId="50D3CC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E5A7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1163</w:t>
            </w:r>
          </w:p>
        </w:tc>
        <w:tc>
          <w:tcPr>
            <w:tcW w:w="1300" w:type="dxa"/>
            <w:tcBorders>
              <w:top w:val="nil"/>
              <w:left w:val="nil"/>
              <w:bottom w:val="single" w:sz="4" w:space="0" w:color="auto"/>
              <w:right w:val="single" w:sz="4" w:space="0" w:color="auto"/>
            </w:tcBorders>
            <w:vAlign w:val="center"/>
            <w:hideMark/>
          </w:tcPr>
          <w:p w14:paraId="485514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5087902000</w:t>
            </w:r>
          </w:p>
        </w:tc>
        <w:tc>
          <w:tcPr>
            <w:tcW w:w="1012" w:type="dxa"/>
            <w:tcBorders>
              <w:top w:val="nil"/>
              <w:left w:val="nil"/>
              <w:bottom w:val="single" w:sz="4" w:space="0" w:color="auto"/>
              <w:right w:val="single" w:sz="4" w:space="0" w:color="auto"/>
            </w:tcBorders>
            <w:vAlign w:val="center"/>
            <w:hideMark/>
          </w:tcPr>
          <w:p w14:paraId="030088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71028951</w:t>
            </w:r>
          </w:p>
        </w:tc>
        <w:tc>
          <w:tcPr>
            <w:tcW w:w="5953" w:type="dxa"/>
            <w:tcBorders>
              <w:top w:val="nil"/>
              <w:left w:val="nil"/>
              <w:bottom w:val="single" w:sz="4" w:space="0" w:color="auto"/>
              <w:right w:val="single" w:sz="4" w:space="0" w:color="auto"/>
            </w:tcBorders>
            <w:noWrap/>
            <w:vAlign w:val="center"/>
            <w:hideMark/>
          </w:tcPr>
          <w:p w14:paraId="467350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BISTRICA OB SOTLI</w:t>
            </w:r>
          </w:p>
        </w:tc>
      </w:tr>
      <w:tr w:rsidR="00F24E18" w14:paraId="38C498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69CA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1164</w:t>
            </w:r>
          </w:p>
        </w:tc>
        <w:tc>
          <w:tcPr>
            <w:tcW w:w="1300" w:type="dxa"/>
            <w:tcBorders>
              <w:top w:val="nil"/>
              <w:left w:val="nil"/>
              <w:bottom w:val="single" w:sz="4" w:space="0" w:color="auto"/>
              <w:right w:val="single" w:sz="4" w:space="0" w:color="auto"/>
            </w:tcBorders>
            <w:noWrap/>
            <w:vAlign w:val="center"/>
            <w:hideMark/>
          </w:tcPr>
          <w:p w14:paraId="3D7B73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5087473000</w:t>
            </w:r>
          </w:p>
        </w:tc>
        <w:tc>
          <w:tcPr>
            <w:tcW w:w="1012" w:type="dxa"/>
            <w:tcBorders>
              <w:top w:val="nil"/>
              <w:left w:val="nil"/>
              <w:bottom w:val="single" w:sz="4" w:space="0" w:color="auto"/>
              <w:right w:val="single" w:sz="4" w:space="0" w:color="auto"/>
            </w:tcBorders>
            <w:noWrap/>
            <w:vAlign w:val="center"/>
            <w:hideMark/>
          </w:tcPr>
          <w:p w14:paraId="440A11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49104624</w:t>
            </w:r>
          </w:p>
        </w:tc>
        <w:tc>
          <w:tcPr>
            <w:tcW w:w="5953" w:type="dxa"/>
            <w:tcBorders>
              <w:top w:val="nil"/>
              <w:left w:val="nil"/>
              <w:bottom w:val="single" w:sz="4" w:space="0" w:color="auto"/>
              <w:right w:val="single" w:sz="4" w:space="0" w:color="auto"/>
            </w:tcBorders>
            <w:noWrap/>
            <w:vAlign w:val="center"/>
            <w:hideMark/>
          </w:tcPr>
          <w:p w14:paraId="514756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BLANCA</w:t>
            </w:r>
          </w:p>
        </w:tc>
      </w:tr>
      <w:tr w:rsidR="00F24E18" w14:paraId="4C0603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19BE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1165</w:t>
            </w:r>
          </w:p>
        </w:tc>
        <w:tc>
          <w:tcPr>
            <w:tcW w:w="1300" w:type="dxa"/>
            <w:tcBorders>
              <w:top w:val="nil"/>
              <w:left w:val="nil"/>
              <w:bottom w:val="single" w:sz="4" w:space="0" w:color="auto"/>
              <w:right w:val="single" w:sz="4" w:space="0" w:color="auto"/>
            </w:tcBorders>
            <w:noWrap/>
            <w:vAlign w:val="center"/>
            <w:hideMark/>
          </w:tcPr>
          <w:p w14:paraId="1B9E15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5085551000</w:t>
            </w:r>
          </w:p>
        </w:tc>
        <w:tc>
          <w:tcPr>
            <w:tcW w:w="1012" w:type="dxa"/>
            <w:tcBorders>
              <w:top w:val="nil"/>
              <w:left w:val="nil"/>
              <w:bottom w:val="single" w:sz="4" w:space="0" w:color="auto"/>
              <w:right w:val="single" w:sz="4" w:space="0" w:color="auto"/>
            </w:tcBorders>
            <w:noWrap/>
            <w:vAlign w:val="center"/>
            <w:hideMark/>
          </w:tcPr>
          <w:p w14:paraId="1ABD01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64095053</w:t>
            </w:r>
          </w:p>
        </w:tc>
        <w:tc>
          <w:tcPr>
            <w:tcW w:w="5953" w:type="dxa"/>
            <w:tcBorders>
              <w:top w:val="nil"/>
              <w:left w:val="nil"/>
              <w:bottom w:val="single" w:sz="4" w:space="0" w:color="auto"/>
              <w:right w:val="single" w:sz="4" w:space="0" w:color="auto"/>
            </w:tcBorders>
            <w:noWrap/>
            <w:vAlign w:val="center"/>
            <w:hideMark/>
          </w:tcPr>
          <w:p w14:paraId="5FFB70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BLAŽA ARNIČA LUČE</w:t>
            </w:r>
          </w:p>
        </w:tc>
      </w:tr>
      <w:tr w:rsidR="00F24E18" w14:paraId="7F96F06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C322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1166</w:t>
            </w:r>
          </w:p>
        </w:tc>
        <w:tc>
          <w:tcPr>
            <w:tcW w:w="1300" w:type="dxa"/>
            <w:tcBorders>
              <w:top w:val="nil"/>
              <w:left w:val="nil"/>
              <w:bottom w:val="single" w:sz="4" w:space="0" w:color="auto"/>
              <w:right w:val="single" w:sz="4" w:space="0" w:color="auto"/>
            </w:tcBorders>
            <w:noWrap/>
            <w:vAlign w:val="center"/>
            <w:hideMark/>
          </w:tcPr>
          <w:p w14:paraId="621CA4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5088976000</w:t>
            </w:r>
          </w:p>
        </w:tc>
        <w:tc>
          <w:tcPr>
            <w:tcW w:w="1012" w:type="dxa"/>
            <w:tcBorders>
              <w:top w:val="nil"/>
              <w:left w:val="nil"/>
              <w:bottom w:val="single" w:sz="4" w:space="0" w:color="auto"/>
              <w:right w:val="single" w:sz="4" w:space="0" w:color="auto"/>
            </w:tcBorders>
            <w:noWrap/>
            <w:vAlign w:val="center"/>
            <w:hideMark/>
          </w:tcPr>
          <w:p w14:paraId="7FE032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72026804</w:t>
            </w:r>
          </w:p>
        </w:tc>
        <w:tc>
          <w:tcPr>
            <w:tcW w:w="5953" w:type="dxa"/>
            <w:tcBorders>
              <w:top w:val="nil"/>
              <w:left w:val="nil"/>
              <w:bottom w:val="single" w:sz="4" w:space="0" w:color="auto"/>
              <w:right w:val="single" w:sz="4" w:space="0" w:color="auto"/>
            </w:tcBorders>
            <w:noWrap/>
            <w:vAlign w:val="center"/>
            <w:hideMark/>
          </w:tcPr>
          <w:p w14:paraId="570F43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BOGOJINA</w:t>
            </w:r>
          </w:p>
        </w:tc>
      </w:tr>
      <w:tr w:rsidR="00F24E18" w14:paraId="52B331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91F8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1167</w:t>
            </w:r>
          </w:p>
        </w:tc>
        <w:tc>
          <w:tcPr>
            <w:tcW w:w="1300" w:type="dxa"/>
            <w:tcBorders>
              <w:top w:val="nil"/>
              <w:left w:val="nil"/>
              <w:bottom w:val="single" w:sz="4" w:space="0" w:color="auto"/>
              <w:right w:val="single" w:sz="4" w:space="0" w:color="auto"/>
            </w:tcBorders>
            <w:noWrap/>
            <w:vAlign w:val="center"/>
            <w:hideMark/>
          </w:tcPr>
          <w:p w14:paraId="6704EE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5085110000</w:t>
            </w:r>
          </w:p>
        </w:tc>
        <w:tc>
          <w:tcPr>
            <w:tcW w:w="1012" w:type="dxa"/>
            <w:tcBorders>
              <w:top w:val="nil"/>
              <w:left w:val="nil"/>
              <w:bottom w:val="single" w:sz="4" w:space="0" w:color="auto"/>
              <w:right w:val="single" w:sz="4" w:space="0" w:color="auto"/>
            </w:tcBorders>
            <w:noWrap/>
            <w:vAlign w:val="center"/>
            <w:hideMark/>
          </w:tcPr>
          <w:p w14:paraId="4340A7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90652363</w:t>
            </w:r>
          </w:p>
        </w:tc>
        <w:tc>
          <w:tcPr>
            <w:tcW w:w="5953" w:type="dxa"/>
            <w:tcBorders>
              <w:top w:val="nil"/>
              <w:left w:val="nil"/>
              <w:bottom w:val="single" w:sz="4" w:space="0" w:color="auto"/>
              <w:right w:val="single" w:sz="4" w:space="0" w:color="auto"/>
            </w:tcBorders>
            <w:noWrap/>
            <w:vAlign w:val="center"/>
            <w:hideMark/>
          </w:tcPr>
          <w:p w14:paraId="225C86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BOJANA ILICHA MARIBOR</w:t>
            </w:r>
          </w:p>
        </w:tc>
      </w:tr>
      <w:tr w:rsidR="00F24E18" w14:paraId="5662C31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7A73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1168</w:t>
            </w:r>
          </w:p>
        </w:tc>
        <w:tc>
          <w:tcPr>
            <w:tcW w:w="1300" w:type="dxa"/>
            <w:tcBorders>
              <w:top w:val="nil"/>
              <w:left w:val="nil"/>
              <w:bottom w:val="single" w:sz="4" w:space="0" w:color="auto"/>
              <w:right w:val="single" w:sz="4" w:space="0" w:color="auto"/>
            </w:tcBorders>
            <w:noWrap/>
            <w:vAlign w:val="center"/>
            <w:hideMark/>
          </w:tcPr>
          <w:p w14:paraId="57AE4C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5087481000</w:t>
            </w:r>
          </w:p>
        </w:tc>
        <w:tc>
          <w:tcPr>
            <w:tcW w:w="1012" w:type="dxa"/>
            <w:tcBorders>
              <w:top w:val="nil"/>
              <w:left w:val="nil"/>
              <w:bottom w:val="single" w:sz="4" w:space="0" w:color="auto"/>
              <w:right w:val="single" w:sz="4" w:space="0" w:color="auto"/>
            </w:tcBorders>
            <w:noWrap/>
            <w:vAlign w:val="center"/>
            <w:hideMark/>
          </w:tcPr>
          <w:p w14:paraId="54BB56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48285200</w:t>
            </w:r>
          </w:p>
        </w:tc>
        <w:tc>
          <w:tcPr>
            <w:tcW w:w="5953" w:type="dxa"/>
            <w:tcBorders>
              <w:top w:val="nil"/>
              <w:left w:val="nil"/>
              <w:bottom w:val="single" w:sz="4" w:space="0" w:color="auto"/>
              <w:right w:val="single" w:sz="4" w:space="0" w:color="auto"/>
            </w:tcBorders>
            <w:noWrap/>
            <w:vAlign w:val="center"/>
            <w:hideMark/>
          </w:tcPr>
          <w:p w14:paraId="31E5C2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BOŠTANJ</w:t>
            </w:r>
          </w:p>
        </w:tc>
      </w:tr>
      <w:tr w:rsidR="00F24E18" w14:paraId="5DEA8A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E45F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1169</w:t>
            </w:r>
          </w:p>
        </w:tc>
        <w:tc>
          <w:tcPr>
            <w:tcW w:w="1300" w:type="dxa"/>
            <w:tcBorders>
              <w:top w:val="nil"/>
              <w:left w:val="nil"/>
              <w:bottom w:val="single" w:sz="4" w:space="0" w:color="auto"/>
              <w:right w:val="single" w:sz="4" w:space="0" w:color="auto"/>
            </w:tcBorders>
            <w:noWrap/>
            <w:vAlign w:val="center"/>
            <w:hideMark/>
          </w:tcPr>
          <w:p w14:paraId="452985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5090091000</w:t>
            </w:r>
          </w:p>
        </w:tc>
        <w:tc>
          <w:tcPr>
            <w:tcW w:w="1012" w:type="dxa"/>
            <w:tcBorders>
              <w:top w:val="nil"/>
              <w:left w:val="nil"/>
              <w:bottom w:val="single" w:sz="4" w:space="0" w:color="auto"/>
              <w:right w:val="single" w:sz="4" w:space="0" w:color="auto"/>
            </w:tcBorders>
            <w:noWrap/>
            <w:vAlign w:val="center"/>
            <w:hideMark/>
          </w:tcPr>
          <w:p w14:paraId="64E839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61582476</w:t>
            </w:r>
          </w:p>
        </w:tc>
        <w:tc>
          <w:tcPr>
            <w:tcW w:w="5953" w:type="dxa"/>
            <w:tcBorders>
              <w:top w:val="nil"/>
              <w:left w:val="nil"/>
              <w:bottom w:val="single" w:sz="4" w:space="0" w:color="auto"/>
              <w:right w:val="single" w:sz="4" w:space="0" w:color="auto"/>
            </w:tcBorders>
            <w:noWrap/>
            <w:vAlign w:val="center"/>
            <w:hideMark/>
          </w:tcPr>
          <w:p w14:paraId="3BFFC3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BOVEC</w:t>
            </w:r>
          </w:p>
        </w:tc>
      </w:tr>
      <w:tr w:rsidR="00F24E18" w14:paraId="0CF7EDB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C8E8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1170</w:t>
            </w:r>
          </w:p>
        </w:tc>
        <w:tc>
          <w:tcPr>
            <w:tcW w:w="1300" w:type="dxa"/>
            <w:tcBorders>
              <w:top w:val="nil"/>
              <w:left w:val="nil"/>
              <w:bottom w:val="single" w:sz="4" w:space="0" w:color="auto"/>
              <w:right w:val="single" w:sz="4" w:space="0" w:color="auto"/>
            </w:tcBorders>
            <w:noWrap/>
            <w:vAlign w:val="center"/>
            <w:hideMark/>
          </w:tcPr>
          <w:p w14:paraId="7B8EE3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5085799000</w:t>
            </w:r>
          </w:p>
        </w:tc>
        <w:tc>
          <w:tcPr>
            <w:tcW w:w="1012" w:type="dxa"/>
            <w:tcBorders>
              <w:top w:val="nil"/>
              <w:left w:val="nil"/>
              <w:bottom w:val="single" w:sz="4" w:space="0" w:color="auto"/>
              <w:right w:val="single" w:sz="4" w:space="0" w:color="auto"/>
            </w:tcBorders>
            <w:noWrap/>
            <w:vAlign w:val="center"/>
            <w:hideMark/>
          </w:tcPr>
          <w:p w14:paraId="33C559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33669040</w:t>
            </w:r>
          </w:p>
        </w:tc>
        <w:tc>
          <w:tcPr>
            <w:tcW w:w="5953" w:type="dxa"/>
            <w:tcBorders>
              <w:top w:val="nil"/>
              <w:left w:val="nil"/>
              <w:bottom w:val="single" w:sz="4" w:space="0" w:color="auto"/>
              <w:right w:val="single" w:sz="4" w:space="0" w:color="auto"/>
            </w:tcBorders>
            <w:noWrap/>
            <w:vAlign w:val="center"/>
            <w:hideMark/>
          </w:tcPr>
          <w:p w14:paraId="34F743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BRANIK</w:t>
            </w:r>
          </w:p>
        </w:tc>
      </w:tr>
      <w:tr w:rsidR="00F24E18" w14:paraId="091EBCF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6777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1171</w:t>
            </w:r>
          </w:p>
        </w:tc>
        <w:tc>
          <w:tcPr>
            <w:tcW w:w="1300" w:type="dxa"/>
            <w:tcBorders>
              <w:top w:val="nil"/>
              <w:left w:val="nil"/>
              <w:bottom w:val="single" w:sz="4" w:space="0" w:color="auto"/>
              <w:right w:val="single" w:sz="4" w:space="0" w:color="auto"/>
            </w:tcBorders>
            <w:vAlign w:val="center"/>
            <w:hideMark/>
          </w:tcPr>
          <w:p w14:paraId="0252B5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5088496000</w:t>
            </w:r>
          </w:p>
        </w:tc>
        <w:tc>
          <w:tcPr>
            <w:tcW w:w="1012" w:type="dxa"/>
            <w:tcBorders>
              <w:top w:val="nil"/>
              <w:left w:val="nil"/>
              <w:bottom w:val="single" w:sz="4" w:space="0" w:color="auto"/>
              <w:right w:val="single" w:sz="4" w:space="0" w:color="auto"/>
            </w:tcBorders>
            <w:vAlign w:val="center"/>
            <w:hideMark/>
          </w:tcPr>
          <w:p w14:paraId="3A0377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28733533</w:t>
            </w:r>
          </w:p>
        </w:tc>
        <w:tc>
          <w:tcPr>
            <w:tcW w:w="5953" w:type="dxa"/>
            <w:tcBorders>
              <w:top w:val="nil"/>
              <w:left w:val="nil"/>
              <w:bottom w:val="single" w:sz="4" w:space="0" w:color="auto"/>
              <w:right w:val="single" w:sz="4" w:space="0" w:color="auto"/>
            </w:tcBorders>
            <w:noWrap/>
            <w:vAlign w:val="center"/>
            <w:hideMark/>
          </w:tcPr>
          <w:p w14:paraId="320BC8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BRASLOVČE</w:t>
            </w:r>
          </w:p>
        </w:tc>
      </w:tr>
      <w:tr w:rsidR="00F24E18" w14:paraId="796D9E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4500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1172</w:t>
            </w:r>
          </w:p>
        </w:tc>
        <w:tc>
          <w:tcPr>
            <w:tcW w:w="1300" w:type="dxa"/>
            <w:tcBorders>
              <w:top w:val="nil"/>
              <w:left w:val="nil"/>
              <w:bottom w:val="single" w:sz="4" w:space="0" w:color="auto"/>
              <w:right w:val="single" w:sz="4" w:space="0" w:color="auto"/>
            </w:tcBorders>
            <w:noWrap/>
            <w:vAlign w:val="center"/>
            <w:hideMark/>
          </w:tcPr>
          <w:p w14:paraId="212FA4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5088178000</w:t>
            </w:r>
          </w:p>
        </w:tc>
        <w:tc>
          <w:tcPr>
            <w:tcW w:w="1012" w:type="dxa"/>
            <w:tcBorders>
              <w:top w:val="nil"/>
              <w:left w:val="nil"/>
              <w:bottom w:val="single" w:sz="4" w:space="0" w:color="auto"/>
              <w:right w:val="single" w:sz="4" w:space="0" w:color="auto"/>
            </w:tcBorders>
            <w:noWrap/>
            <w:vAlign w:val="center"/>
            <w:hideMark/>
          </w:tcPr>
          <w:p w14:paraId="3BD249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40878333</w:t>
            </w:r>
          </w:p>
        </w:tc>
        <w:tc>
          <w:tcPr>
            <w:tcW w:w="5953" w:type="dxa"/>
            <w:tcBorders>
              <w:top w:val="nil"/>
              <w:left w:val="nil"/>
              <w:bottom w:val="single" w:sz="4" w:space="0" w:color="auto"/>
              <w:right w:val="single" w:sz="4" w:space="0" w:color="auto"/>
            </w:tcBorders>
            <w:noWrap/>
            <w:vAlign w:val="center"/>
            <w:hideMark/>
          </w:tcPr>
          <w:p w14:paraId="0D4A60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BRATOV LETONJA ŠMARTNO OB PAKI</w:t>
            </w:r>
          </w:p>
        </w:tc>
      </w:tr>
      <w:tr w:rsidR="00F24E18" w14:paraId="0EB2B80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77D9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1173</w:t>
            </w:r>
          </w:p>
        </w:tc>
        <w:tc>
          <w:tcPr>
            <w:tcW w:w="1300" w:type="dxa"/>
            <w:tcBorders>
              <w:top w:val="nil"/>
              <w:left w:val="nil"/>
              <w:bottom w:val="single" w:sz="4" w:space="0" w:color="auto"/>
              <w:right w:val="single" w:sz="4" w:space="0" w:color="auto"/>
            </w:tcBorders>
            <w:vAlign w:val="center"/>
            <w:hideMark/>
          </w:tcPr>
          <w:p w14:paraId="79D621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5085080000</w:t>
            </w:r>
          </w:p>
        </w:tc>
        <w:tc>
          <w:tcPr>
            <w:tcW w:w="1012" w:type="dxa"/>
            <w:tcBorders>
              <w:top w:val="nil"/>
              <w:left w:val="nil"/>
              <w:bottom w:val="single" w:sz="4" w:space="0" w:color="auto"/>
              <w:right w:val="single" w:sz="4" w:space="0" w:color="auto"/>
            </w:tcBorders>
            <w:vAlign w:val="center"/>
            <w:hideMark/>
          </w:tcPr>
          <w:p w14:paraId="26C571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36197254</w:t>
            </w:r>
          </w:p>
        </w:tc>
        <w:tc>
          <w:tcPr>
            <w:tcW w:w="5953" w:type="dxa"/>
            <w:tcBorders>
              <w:top w:val="nil"/>
              <w:left w:val="nil"/>
              <w:bottom w:val="single" w:sz="4" w:space="0" w:color="auto"/>
              <w:right w:val="single" w:sz="4" w:space="0" w:color="auto"/>
            </w:tcBorders>
            <w:noWrap/>
            <w:vAlign w:val="center"/>
            <w:hideMark/>
          </w:tcPr>
          <w:p w14:paraId="7FA8ED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BRATOV POLANČIČEV MARIBOR</w:t>
            </w:r>
          </w:p>
        </w:tc>
      </w:tr>
      <w:tr w:rsidR="00F24E18" w14:paraId="5D588B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4B99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1174</w:t>
            </w:r>
          </w:p>
        </w:tc>
        <w:tc>
          <w:tcPr>
            <w:tcW w:w="1300" w:type="dxa"/>
            <w:tcBorders>
              <w:top w:val="nil"/>
              <w:left w:val="nil"/>
              <w:bottom w:val="single" w:sz="4" w:space="0" w:color="auto"/>
              <w:right w:val="single" w:sz="4" w:space="0" w:color="auto"/>
            </w:tcBorders>
            <w:noWrap/>
            <w:vAlign w:val="center"/>
            <w:hideMark/>
          </w:tcPr>
          <w:p w14:paraId="64400D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5087155000</w:t>
            </w:r>
          </w:p>
        </w:tc>
        <w:tc>
          <w:tcPr>
            <w:tcW w:w="1012" w:type="dxa"/>
            <w:tcBorders>
              <w:top w:val="nil"/>
              <w:left w:val="nil"/>
              <w:bottom w:val="single" w:sz="4" w:space="0" w:color="auto"/>
              <w:right w:val="single" w:sz="4" w:space="0" w:color="auto"/>
            </w:tcBorders>
            <w:noWrap/>
            <w:vAlign w:val="center"/>
            <w:hideMark/>
          </w:tcPr>
          <w:p w14:paraId="085832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70196958</w:t>
            </w:r>
          </w:p>
        </w:tc>
        <w:tc>
          <w:tcPr>
            <w:tcW w:w="5953" w:type="dxa"/>
            <w:tcBorders>
              <w:top w:val="nil"/>
              <w:left w:val="nil"/>
              <w:bottom w:val="single" w:sz="4" w:space="0" w:color="auto"/>
              <w:right w:val="single" w:sz="4" w:space="0" w:color="auto"/>
            </w:tcBorders>
            <w:noWrap/>
            <w:vAlign w:val="center"/>
            <w:hideMark/>
          </w:tcPr>
          <w:p w14:paraId="3A9E13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BREG</w:t>
            </w:r>
          </w:p>
        </w:tc>
      </w:tr>
      <w:tr w:rsidR="00F24E18" w14:paraId="2B9120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FDF4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1175</w:t>
            </w:r>
          </w:p>
        </w:tc>
        <w:tc>
          <w:tcPr>
            <w:tcW w:w="1300" w:type="dxa"/>
            <w:tcBorders>
              <w:top w:val="nil"/>
              <w:left w:val="nil"/>
              <w:bottom w:val="single" w:sz="4" w:space="0" w:color="auto"/>
              <w:right w:val="single" w:sz="4" w:space="0" w:color="auto"/>
            </w:tcBorders>
            <w:vAlign w:val="center"/>
            <w:hideMark/>
          </w:tcPr>
          <w:p w14:paraId="31AAB1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5089816000</w:t>
            </w:r>
          </w:p>
        </w:tc>
        <w:tc>
          <w:tcPr>
            <w:tcW w:w="1012" w:type="dxa"/>
            <w:tcBorders>
              <w:top w:val="nil"/>
              <w:left w:val="nil"/>
              <w:bottom w:val="single" w:sz="4" w:space="0" w:color="auto"/>
              <w:right w:val="single" w:sz="4" w:space="0" w:color="auto"/>
            </w:tcBorders>
            <w:vAlign w:val="center"/>
            <w:hideMark/>
          </w:tcPr>
          <w:p w14:paraId="7C6AF6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42630142</w:t>
            </w:r>
          </w:p>
        </w:tc>
        <w:tc>
          <w:tcPr>
            <w:tcW w:w="5953" w:type="dxa"/>
            <w:tcBorders>
              <w:top w:val="nil"/>
              <w:left w:val="nil"/>
              <w:bottom w:val="single" w:sz="4" w:space="0" w:color="auto"/>
              <w:right w:val="single" w:sz="4" w:space="0" w:color="auto"/>
            </w:tcBorders>
            <w:noWrap/>
            <w:vAlign w:val="center"/>
            <w:hideMark/>
          </w:tcPr>
          <w:p w14:paraId="2E87D2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BREZNO-PODVELKA</w:t>
            </w:r>
          </w:p>
        </w:tc>
      </w:tr>
      <w:tr w:rsidR="00F24E18" w14:paraId="214D3F4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9E4C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1176</w:t>
            </w:r>
          </w:p>
        </w:tc>
        <w:tc>
          <w:tcPr>
            <w:tcW w:w="1300" w:type="dxa"/>
            <w:tcBorders>
              <w:top w:val="nil"/>
              <w:left w:val="nil"/>
              <w:bottom w:val="single" w:sz="4" w:space="0" w:color="auto"/>
              <w:right w:val="single" w:sz="4" w:space="0" w:color="auto"/>
            </w:tcBorders>
            <w:noWrap/>
            <w:vAlign w:val="center"/>
            <w:hideMark/>
          </w:tcPr>
          <w:p w14:paraId="48E706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5089646000</w:t>
            </w:r>
          </w:p>
        </w:tc>
        <w:tc>
          <w:tcPr>
            <w:tcW w:w="1012" w:type="dxa"/>
            <w:tcBorders>
              <w:top w:val="nil"/>
              <w:left w:val="nil"/>
              <w:bottom w:val="single" w:sz="4" w:space="0" w:color="auto"/>
              <w:right w:val="single" w:sz="4" w:space="0" w:color="auto"/>
            </w:tcBorders>
            <w:noWrap/>
            <w:vAlign w:val="center"/>
            <w:hideMark/>
          </w:tcPr>
          <w:p w14:paraId="61FBF3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24113794</w:t>
            </w:r>
          </w:p>
        </w:tc>
        <w:tc>
          <w:tcPr>
            <w:tcW w:w="5953" w:type="dxa"/>
            <w:tcBorders>
              <w:top w:val="nil"/>
              <w:left w:val="nil"/>
              <w:bottom w:val="single" w:sz="4" w:space="0" w:color="auto"/>
              <w:right w:val="single" w:sz="4" w:space="0" w:color="auto"/>
            </w:tcBorders>
            <w:noWrap/>
            <w:vAlign w:val="center"/>
            <w:hideMark/>
          </w:tcPr>
          <w:p w14:paraId="19A671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BREZOVICA PRI LJUBLJANI</w:t>
            </w:r>
          </w:p>
        </w:tc>
      </w:tr>
      <w:tr w:rsidR="00F24E18" w14:paraId="773DD2A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8111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1177</w:t>
            </w:r>
          </w:p>
        </w:tc>
        <w:tc>
          <w:tcPr>
            <w:tcW w:w="1300" w:type="dxa"/>
            <w:tcBorders>
              <w:top w:val="nil"/>
              <w:left w:val="nil"/>
              <w:bottom w:val="single" w:sz="4" w:space="0" w:color="auto"/>
              <w:right w:val="single" w:sz="4" w:space="0" w:color="auto"/>
            </w:tcBorders>
            <w:vAlign w:val="center"/>
            <w:hideMark/>
          </w:tcPr>
          <w:p w14:paraId="118C60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1193481000</w:t>
            </w:r>
          </w:p>
        </w:tc>
        <w:tc>
          <w:tcPr>
            <w:tcW w:w="1012" w:type="dxa"/>
            <w:tcBorders>
              <w:top w:val="nil"/>
              <w:left w:val="nil"/>
              <w:bottom w:val="single" w:sz="4" w:space="0" w:color="auto"/>
              <w:right w:val="single" w:sz="4" w:space="0" w:color="auto"/>
            </w:tcBorders>
            <w:vAlign w:val="center"/>
            <w:hideMark/>
          </w:tcPr>
          <w:p w14:paraId="5170A3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29928419</w:t>
            </w:r>
          </w:p>
        </w:tc>
        <w:tc>
          <w:tcPr>
            <w:tcW w:w="5953" w:type="dxa"/>
            <w:tcBorders>
              <w:top w:val="nil"/>
              <w:left w:val="nil"/>
              <w:bottom w:val="single" w:sz="4" w:space="0" w:color="auto"/>
              <w:right w:val="single" w:sz="4" w:space="0" w:color="auto"/>
            </w:tcBorders>
            <w:noWrap/>
            <w:vAlign w:val="center"/>
            <w:hideMark/>
          </w:tcPr>
          <w:p w14:paraId="693A28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BRINJE GROSUPLJE</w:t>
            </w:r>
          </w:p>
        </w:tc>
      </w:tr>
      <w:tr w:rsidR="00F24E18" w14:paraId="2C9D5A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C7A8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1178</w:t>
            </w:r>
          </w:p>
        </w:tc>
        <w:tc>
          <w:tcPr>
            <w:tcW w:w="1300" w:type="dxa"/>
            <w:tcBorders>
              <w:top w:val="nil"/>
              <w:left w:val="nil"/>
              <w:bottom w:val="single" w:sz="4" w:space="0" w:color="auto"/>
              <w:right w:val="single" w:sz="4" w:space="0" w:color="auto"/>
            </w:tcBorders>
            <w:noWrap/>
            <w:vAlign w:val="center"/>
            <w:hideMark/>
          </w:tcPr>
          <w:p w14:paraId="1B9F35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5086868000</w:t>
            </w:r>
          </w:p>
        </w:tc>
        <w:tc>
          <w:tcPr>
            <w:tcW w:w="1012" w:type="dxa"/>
            <w:tcBorders>
              <w:top w:val="nil"/>
              <w:left w:val="nil"/>
              <w:bottom w:val="single" w:sz="4" w:space="0" w:color="auto"/>
              <w:right w:val="single" w:sz="4" w:space="0" w:color="auto"/>
            </w:tcBorders>
            <w:noWrap/>
            <w:vAlign w:val="center"/>
            <w:hideMark/>
          </w:tcPr>
          <w:p w14:paraId="45C856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78931606</w:t>
            </w:r>
          </w:p>
        </w:tc>
        <w:tc>
          <w:tcPr>
            <w:tcW w:w="5953" w:type="dxa"/>
            <w:tcBorders>
              <w:top w:val="nil"/>
              <w:left w:val="nil"/>
              <w:bottom w:val="single" w:sz="4" w:space="0" w:color="auto"/>
              <w:right w:val="single" w:sz="4" w:space="0" w:color="auto"/>
            </w:tcBorders>
            <w:noWrap/>
            <w:vAlign w:val="center"/>
            <w:hideMark/>
          </w:tcPr>
          <w:p w14:paraId="31B29F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BRŠLJIN</w:t>
            </w:r>
          </w:p>
        </w:tc>
      </w:tr>
      <w:tr w:rsidR="00F24E18" w14:paraId="26EB3C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A2BD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1179</w:t>
            </w:r>
          </w:p>
        </w:tc>
        <w:tc>
          <w:tcPr>
            <w:tcW w:w="1300" w:type="dxa"/>
            <w:tcBorders>
              <w:top w:val="nil"/>
              <w:left w:val="nil"/>
              <w:bottom w:val="single" w:sz="4" w:space="0" w:color="auto"/>
              <w:right w:val="single" w:sz="4" w:space="0" w:color="auto"/>
            </w:tcBorders>
            <w:noWrap/>
            <w:vAlign w:val="center"/>
            <w:hideMark/>
          </w:tcPr>
          <w:p w14:paraId="1D4015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5086361000</w:t>
            </w:r>
          </w:p>
        </w:tc>
        <w:tc>
          <w:tcPr>
            <w:tcW w:w="1012" w:type="dxa"/>
            <w:tcBorders>
              <w:top w:val="nil"/>
              <w:left w:val="nil"/>
              <w:bottom w:val="single" w:sz="4" w:space="0" w:color="auto"/>
              <w:right w:val="single" w:sz="4" w:space="0" w:color="auto"/>
            </w:tcBorders>
            <w:noWrap/>
            <w:vAlign w:val="center"/>
            <w:hideMark/>
          </w:tcPr>
          <w:p w14:paraId="3E970A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49987836</w:t>
            </w:r>
          </w:p>
        </w:tc>
        <w:tc>
          <w:tcPr>
            <w:tcW w:w="5953" w:type="dxa"/>
            <w:tcBorders>
              <w:top w:val="nil"/>
              <w:left w:val="nil"/>
              <w:bottom w:val="single" w:sz="4" w:space="0" w:color="auto"/>
              <w:right w:val="single" w:sz="4" w:space="0" w:color="auto"/>
            </w:tcBorders>
            <w:noWrap/>
            <w:vAlign w:val="center"/>
            <w:hideMark/>
          </w:tcPr>
          <w:p w14:paraId="438380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BRUSNICE</w:t>
            </w:r>
          </w:p>
        </w:tc>
      </w:tr>
      <w:tr w:rsidR="00F24E18" w14:paraId="1AC252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7E6A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1180</w:t>
            </w:r>
          </w:p>
        </w:tc>
        <w:tc>
          <w:tcPr>
            <w:tcW w:w="1300" w:type="dxa"/>
            <w:tcBorders>
              <w:top w:val="nil"/>
              <w:left w:val="nil"/>
              <w:bottom w:val="single" w:sz="4" w:space="0" w:color="auto"/>
              <w:right w:val="single" w:sz="4" w:space="0" w:color="auto"/>
            </w:tcBorders>
            <w:noWrap/>
            <w:vAlign w:val="center"/>
            <w:hideMark/>
          </w:tcPr>
          <w:p w14:paraId="71DAC1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5085608000</w:t>
            </w:r>
          </w:p>
        </w:tc>
        <w:tc>
          <w:tcPr>
            <w:tcW w:w="1012" w:type="dxa"/>
            <w:tcBorders>
              <w:top w:val="nil"/>
              <w:left w:val="nil"/>
              <w:bottom w:val="single" w:sz="4" w:space="0" w:color="auto"/>
              <w:right w:val="single" w:sz="4" w:space="0" w:color="auto"/>
            </w:tcBorders>
            <w:noWrap/>
            <w:vAlign w:val="center"/>
            <w:hideMark/>
          </w:tcPr>
          <w:p w14:paraId="703B4C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10798226</w:t>
            </w:r>
          </w:p>
        </w:tc>
        <w:tc>
          <w:tcPr>
            <w:tcW w:w="5953" w:type="dxa"/>
            <w:tcBorders>
              <w:top w:val="nil"/>
              <w:left w:val="nil"/>
              <w:bottom w:val="single" w:sz="4" w:space="0" w:color="auto"/>
              <w:right w:val="single" w:sz="4" w:space="0" w:color="auto"/>
            </w:tcBorders>
            <w:noWrap/>
            <w:vAlign w:val="center"/>
            <w:hideMark/>
          </w:tcPr>
          <w:p w14:paraId="2DFE95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CANKOVA</w:t>
            </w:r>
          </w:p>
        </w:tc>
      </w:tr>
      <w:tr w:rsidR="00F24E18" w14:paraId="4318A6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DDAA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1181</w:t>
            </w:r>
          </w:p>
        </w:tc>
        <w:tc>
          <w:tcPr>
            <w:tcW w:w="1300" w:type="dxa"/>
            <w:tcBorders>
              <w:top w:val="nil"/>
              <w:left w:val="nil"/>
              <w:bottom w:val="single" w:sz="4" w:space="0" w:color="auto"/>
              <w:right w:val="single" w:sz="4" w:space="0" w:color="auto"/>
            </w:tcBorders>
            <w:noWrap/>
            <w:vAlign w:val="center"/>
            <w:hideMark/>
          </w:tcPr>
          <w:p w14:paraId="71E964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5086825000</w:t>
            </w:r>
          </w:p>
        </w:tc>
        <w:tc>
          <w:tcPr>
            <w:tcW w:w="1012" w:type="dxa"/>
            <w:tcBorders>
              <w:top w:val="nil"/>
              <w:left w:val="nil"/>
              <w:bottom w:val="single" w:sz="4" w:space="0" w:color="auto"/>
              <w:right w:val="single" w:sz="4" w:space="0" w:color="auto"/>
            </w:tcBorders>
            <w:noWrap/>
            <w:vAlign w:val="center"/>
            <w:hideMark/>
          </w:tcPr>
          <w:p w14:paraId="21CF97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38521610</w:t>
            </w:r>
          </w:p>
        </w:tc>
        <w:tc>
          <w:tcPr>
            <w:tcW w:w="5953" w:type="dxa"/>
            <w:tcBorders>
              <w:top w:val="nil"/>
              <w:left w:val="nil"/>
              <w:bottom w:val="single" w:sz="4" w:space="0" w:color="auto"/>
              <w:right w:val="single" w:sz="4" w:space="0" w:color="auto"/>
            </w:tcBorders>
            <w:noWrap/>
            <w:vAlign w:val="center"/>
            <w:hideMark/>
          </w:tcPr>
          <w:p w14:paraId="33F117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CENTER</w:t>
            </w:r>
          </w:p>
        </w:tc>
      </w:tr>
      <w:tr w:rsidR="00F24E18" w14:paraId="74F927E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A994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1182</w:t>
            </w:r>
          </w:p>
        </w:tc>
        <w:tc>
          <w:tcPr>
            <w:tcW w:w="1300" w:type="dxa"/>
            <w:tcBorders>
              <w:top w:val="nil"/>
              <w:left w:val="nil"/>
              <w:bottom w:val="single" w:sz="4" w:space="0" w:color="auto"/>
              <w:right w:val="single" w:sz="4" w:space="0" w:color="auto"/>
            </w:tcBorders>
            <w:noWrap/>
            <w:vAlign w:val="center"/>
            <w:hideMark/>
          </w:tcPr>
          <w:p w14:paraId="3B9FD2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5083575000</w:t>
            </w:r>
          </w:p>
        </w:tc>
        <w:tc>
          <w:tcPr>
            <w:tcW w:w="1012" w:type="dxa"/>
            <w:tcBorders>
              <w:top w:val="nil"/>
              <w:left w:val="nil"/>
              <w:bottom w:val="single" w:sz="4" w:space="0" w:color="auto"/>
              <w:right w:val="single" w:sz="4" w:space="0" w:color="auto"/>
            </w:tcBorders>
            <w:noWrap/>
            <w:vAlign w:val="center"/>
            <w:hideMark/>
          </w:tcPr>
          <w:p w14:paraId="7D6197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16258193</w:t>
            </w:r>
          </w:p>
        </w:tc>
        <w:tc>
          <w:tcPr>
            <w:tcW w:w="5953" w:type="dxa"/>
            <w:tcBorders>
              <w:top w:val="nil"/>
              <w:left w:val="nil"/>
              <w:bottom w:val="single" w:sz="4" w:space="0" w:color="auto"/>
              <w:right w:val="single" w:sz="4" w:space="0" w:color="auto"/>
            </w:tcBorders>
            <w:noWrap/>
            <w:vAlign w:val="center"/>
            <w:hideMark/>
          </w:tcPr>
          <w:p w14:paraId="2401D2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CERKLJE OB KRKI</w:t>
            </w:r>
          </w:p>
        </w:tc>
      </w:tr>
      <w:tr w:rsidR="00F24E18" w14:paraId="32936E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7C87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1183</w:t>
            </w:r>
          </w:p>
        </w:tc>
        <w:tc>
          <w:tcPr>
            <w:tcW w:w="1300" w:type="dxa"/>
            <w:tcBorders>
              <w:top w:val="nil"/>
              <w:left w:val="nil"/>
              <w:bottom w:val="single" w:sz="4" w:space="0" w:color="auto"/>
              <w:right w:val="single" w:sz="4" w:space="0" w:color="auto"/>
            </w:tcBorders>
            <w:noWrap/>
            <w:vAlign w:val="center"/>
            <w:hideMark/>
          </w:tcPr>
          <w:p w14:paraId="65580E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5082960000</w:t>
            </w:r>
          </w:p>
        </w:tc>
        <w:tc>
          <w:tcPr>
            <w:tcW w:w="1012" w:type="dxa"/>
            <w:tcBorders>
              <w:top w:val="nil"/>
              <w:left w:val="nil"/>
              <w:bottom w:val="single" w:sz="4" w:space="0" w:color="auto"/>
              <w:right w:val="single" w:sz="4" w:space="0" w:color="auto"/>
            </w:tcBorders>
            <w:noWrap/>
            <w:vAlign w:val="center"/>
            <w:hideMark/>
          </w:tcPr>
          <w:p w14:paraId="7E1EAF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44292180</w:t>
            </w:r>
          </w:p>
        </w:tc>
        <w:tc>
          <w:tcPr>
            <w:tcW w:w="5953" w:type="dxa"/>
            <w:tcBorders>
              <w:top w:val="nil"/>
              <w:left w:val="nil"/>
              <w:bottom w:val="single" w:sz="4" w:space="0" w:color="auto"/>
              <w:right w:val="single" w:sz="4" w:space="0" w:color="auto"/>
            </w:tcBorders>
            <w:noWrap/>
            <w:vAlign w:val="center"/>
            <w:hideMark/>
          </w:tcPr>
          <w:p w14:paraId="7A3732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CERKNO</w:t>
            </w:r>
          </w:p>
        </w:tc>
      </w:tr>
      <w:tr w:rsidR="00F24E18" w14:paraId="3E6227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FF38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1184</w:t>
            </w:r>
          </w:p>
        </w:tc>
        <w:tc>
          <w:tcPr>
            <w:tcW w:w="1300" w:type="dxa"/>
            <w:tcBorders>
              <w:top w:val="nil"/>
              <w:left w:val="nil"/>
              <w:bottom w:val="single" w:sz="4" w:space="0" w:color="auto"/>
              <w:right w:val="single" w:sz="4" w:space="0" w:color="auto"/>
            </w:tcBorders>
            <w:noWrap/>
            <w:vAlign w:val="center"/>
            <w:hideMark/>
          </w:tcPr>
          <w:p w14:paraId="463363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5089247000</w:t>
            </w:r>
          </w:p>
        </w:tc>
        <w:tc>
          <w:tcPr>
            <w:tcW w:w="1012" w:type="dxa"/>
            <w:tcBorders>
              <w:top w:val="nil"/>
              <w:left w:val="nil"/>
              <w:bottom w:val="single" w:sz="4" w:space="0" w:color="auto"/>
              <w:right w:val="single" w:sz="4" w:space="0" w:color="auto"/>
            </w:tcBorders>
            <w:noWrap/>
            <w:vAlign w:val="center"/>
            <w:hideMark/>
          </w:tcPr>
          <w:p w14:paraId="3C875F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68357753</w:t>
            </w:r>
          </w:p>
        </w:tc>
        <w:tc>
          <w:tcPr>
            <w:tcW w:w="5953" w:type="dxa"/>
            <w:tcBorders>
              <w:top w:val="nil"/>
              <w:left w:val="nil"/>
              <w:bottom w:val="single" w:sz="4" w:space="0" w:color="auto"/>
              <w:right w:val="single" w:sz="4" w:space="0" w:color="auto"/>
            </w:tcBorders>
            <w:noWrap/>
            <w:vAlign w:val="center"/>
            <w:hideMark/>
          </w:tcPr>
          <w:p w14:paraId="305816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CIRKULANE - ZAVRČ</w:t>
            </w:r>
          </w:p>
        </w:tc>
      </w:tr>
      <w:tr w:rsidR="00F24E18" w14:paraId="73CEB7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9F83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1185</w:t>
            </w:r>
          </w:p>
        </w:tc>
        <w:tc>
          <w:tcPr>
            <w:tcW w:w="1300" w:type="dxa"/>
            <w:tcBorders>
              <w:top w:val="nil"/>
              <w:left w:val="nil"/>
              <w:bottom w:val="single" w:sz="4" w:space="0" w:color="auto"/>
              <w:right w:val="single" w:sz="4" w:space="0" w:color="auto"/>
            </w:tcBorders>
            <w:noWrap/>
            <w:vAlign w:val="center"/>
            <w:hideMark/>
          </w:tcPr>
          <w:p w14:paraId="407748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5082544000</w:t>
            </w:r>
          </w:p>
        </w:tc>
        <w:tc>
          <w:tcPr>
            <w:tcW w:w="1012" w:type="dxa"/>
            <w:tcBorders>
              <w:top w:val="nil"/>
              <w:left w:val="nil"/>
              <w:bottom w:val="single" w:sz="4" w:space="0" w:color="auto"/>
              <w:right w:val="single" w:sz="4" w:space="0" w:color="auto"/>
            </w:tcBorders>
            <w:noWrap/>
            <w:vAlign w:val="center"/>
            <w:hideMark/>
          </w:tcPr>
          <w:p w14:paraId="3B21A4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11095822</w:t>
            </w:r>
          </w:p>
        </w:tc>
        <w:tc>
          <w:tcPr>
            <w:tcW w:w="5953" w:type="dxa"/>
            <w:tcBorders>
              <w:top w:val="nil"/>
              <w:left w:val="nil"/>
              <w:bottom w:val="single" w:sz="4" w:space="0" w:color="auto"/>
              <w:right w:val="single" w:sz="4" w:space="0" w:color="auto"/>
            </w:tcBorders>
            <w:noWrap/>
            <w:vAlign w:val="center"/>
            <w:hideMark/>
          </w:tcPr>
          <w:p w14:paraId="14AE0A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COL</w:t>
            </w:r>
          </w:p>
        </w:tc>
      </w:tr>
      <w:tr w:rsidR="00F24E18" w14:paraId="7EC080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4FFC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1186</w:t>
            </w:r>
          </w:p>
        </w:tc>
        <w:tc>
          <w:tcPr>
            <w:tcW w:w="1300" w:type="dxa"/>
            <w:tcBorders>
              <w:top w:val="nil"/>
              <w:left w:val="nil"/>
              <w:bottom w:val="single" w:sz="4" w:space="0" w:color="auto"/>
              <w:right w:val="single" w:sz="4" w:space="0" w:color="auto"/>
            </w:tcBorders>
            <w:noWrap/>
            <w:vAlign w:val="center"/>
            <w:hideMark/>
          </w:tcPr>
          <w:p w14:paraId="0391EC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5087821000</w:t>
            </w:r>
          </w:p>
        </w:tc>
        <w:tc>
          <w:tcPr>
            <w:tcW w:w="1012" w:type="dxa"/>
            <w:tcBorders>
              <w:top w:val="nil"/>
              <w:left w:val="nil"/>
              <w:bottom w:val="single" w:sz="4" w:space="0" w:color="auto"/>
              <w:right w:val="single" w:sz="4" w:space="0" w:color="auto"/>
            </w:tcBorders>
            <w:noWrap/>
            <w:vAlign w:val="center"/>
            <w:hideMark/>
          </w:tcPr>
          <w:p w14:paraId="1031A8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72155680</w:t>
            </w:r>
          </w:p>
        </w:tc>
        <w:tc>
          <w:tcPr>
            <w:tcW w:w="5953" w:type="dxa"/>
            <w:tcBorders>
              <w:top w:val="nil"/>
              <w:left w:val="nil"/>
              <w:bottom w:val="single" w:sz="4" w:space="0" w:color="auto"/>
              <w:right w:val="single" w:sz="4" w:space="0" w:color="auto"/>
            </w:tcBorders>
            <w:noWrap/>
            <w:vAlign w:val="center"/>
            <w:hideMark/>
          </w:tcPr>
          <w:p w14:paraId="5C09CB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CVETKA GOLARJA</w:t>
            </w:r>
          </w:p>
        </w:tc>
      </w:tr>
      <w:tr w:rsidR="00F24E18" w14:paraId="502E96A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0E9E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1187</w:t>
            </w:r>
          </w:p>
        </w:tc>
        <w:tc>
          <w:tcPr>
            <w:tcW w:w="1300" w:type="dxa"/>
            <w:tcBorders>
              <w:top w:val="nil"/>
              <w:left w:val="nil"/>
              <w:bottom w:val="single" w:sz="4" w:space="0" w:color="auto"/>
              <w:right w:val="single" w:sz="4" w:space="0" w:color="auto"/>
            </w:tcBorders>
            <w:noWrap/>
            <w:vAlign w:val="center"/>
            <w:hideMark/>
          </w:tcPr>
          <w:p w14:paraId="5DD89D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8927375000</w:t>
            </w:r>
          </w:p>
        </w:tc>
        <w:tc>
          <w:tcPr>
            <w:tcW w:w="1012" w:type="dxa"/>
            <w:tcBorders>
              <w:top w:val="nil"/>
              <w:left w:val="nil"/>
              <w:bottom w:val="single" w:sz="4" w:space="0" w:color="auto"/>
              <w:right w:val="single" w:sz="4" w:space="0" w:color="auto"/>
            </w:tcBorders>
            <w:noWrap/>
            <w:vAlign w:val="center"/>
            <w:hideMark/>
          </w:tcPr>
          <w:p w14:paraId="5A227C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73053287</w:t>
            </w:r>
          </w:p>
        </w:tc>
        <w:tc>
          <w:tcPr>
            <w:tcW w:w="5953" w:type="dxa"/>
            <w:tcBorders>
              <w:top w:val="nil"/>
              <w:left w:val="nil"/>
              <w:bottom w:val="single" w:sz="4" w:space="0" w:color="auto"/>
              <w:right w:val="single" w:sz="4" w:space="0" w:color="auto"/>
            </w:tcBorders>
            <w:noWrap/>
            <w:vAlign w:val="center"/>
            <w:hideMark/>
          </w:tcPr>
          <w:p w14:paraId="7800C2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CVETKA GOLARJA LJUTOMER</w:t>
            </w:r>
          </w:p>
        </w:tc>
      </w:tr>
      <w:tr w:rsidR="00F24E18" w14:paraId="233C8F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5739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1188</w:t>
            </w:r>
          </w:p>
        </w:tc>
        <w:tc>
          <w:tcPr>
            <w:tcW w:w="1300" w:type="dxa"/>
            <w:tcBorders>
              <w:top w:val="nil"/>
              <w:left w:val="nil"/>
              <w:bottom w:val="single" w:sz="4" w:space="0" w:color="auto"/>
              <w:right w:val="single" w:sz="4" w:space="0" w:color="auto"/>
            </w:tcBorders>
            <w:noWrap/>
            <w:vAlign w:val="center"/>
            <w:hideMark/>
          </w:tcPr>
          <w:p w14:paraId="7B4978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5088992000</w:t>
            </w:r>
          </w:p>
        </w:tc>
        <w:tc>
          <w:tcPr>
            <w:tcW w:w="1012" w:type="dxa"/>
            <w:tcBorders>
              <w:top w:val="nil"/>
              <w:left w:val="nil"/>
              <w:bottom w:val="single" w:sz="4" w:space="0" w:color="auto"/>
              <w:right w:val="single" w:sz="4" w:space="0" w:color="auto"/>
            </w:tcBorders>
            <w:noWrap/>
            <w:vAlign w:val="center"/>
            <w:hideMark/>
          </w:tcPr>
          <w:p w14:paraId="4CAA33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46864237</w:t>
            </w:r>
          </w:p>
        </w:tc>
        <w:tc>
          <w:tcPr>
            <w:tcW w:w="5953" w:type="dxa"/>
            <w:tcBorders>
              <w:top w:val="nil"/>
              <w:left w:val="nil"/>
              <w:bottom w:val="single" w:sz="4" w:space="0" w:color="auto"/>
              <w:right w:val="single" w:sz="4" w:space="0" w:color="auto"/>
            </w:tcBorders>
            <w:noWrap/>
            <w:vAlign w:val="center"/>
            <w:hideMark/>
          </w:tcPr>
          <w:p w14:paraId="387CB5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ČEPOVAN</w:t>
            </w:r>
          </w:p>
        </w:tc>
      </w:tr>
      <w:tr w:rsidR="00F24E18" w14:paraId="1F15E86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5F87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1189</w:t>
            </w:r>
          </w:p>
        </w:tc>
        <w:tc>
          <w:tcPr>
            <w:tcW w:w="1300" w:type="dxa"/>
            <w:tcBorders>
              <w:top w:val="nil"/>
              <w:left w:val="nil"/>
              <w:bottom w:val="single" w:sz="4" w:space="0" w:color="auto"/>
              <w:right w:val="single" w:sz="4" w:space="0" w:color="auto"/>
            </w:tcBorders>
            <w:noWrap/>
            <w:vAlign w:val="center"/>
            <w:hideMark/>
          </w:tcPr>
          <w:p w14:paraId="1CE4F6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5087368000</w:t>
            </w:r>
          </w:p>
        </w:tc>
        <w:tc>
          <w:tcPr>
            <w:tcW w:w="1012" w:type="dxa"/>
            <w:tcBorders>
              <w:top w:val="nil"/>
              <w:left w:val="nil"/>
              <w:bottom w:val="single" w:sz="4" w:space="0" w:color="auto"/>
              <w:right w:val="single" w:sz="4" w:space="0" w:color="auto"/>
            </w:tcBorders>
            <w:noWrap/>
            <w:vAlign w:val="center"/>
            <w:hideMark/>
          </w:tcPr>
          <w:p w14:paraId="16DBFE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98266225</w:t>
            </w:r>
          </w:p>
        </w:tc>
        <w:tc>
          <w:tcPr>
            <w:tcW w:w="5953" w:type="dxa"/>
            <w:tcBorders>
              <w:top w:val="nil"/>
              <w:left w:val="nil"/>
              <w:bottom w:val="single" w:sz="4" w:space="0" w:color="auto"/>
              <w:right w:val="single" w:sz="4" w:space="0" w:color="auto"/>
            </w:tcBorders>
            <w:noWrap/>
            <w:vAlign w:val="center"/>
            <w:hideMark/>
          </w:tcPr>
          <w:p w14:paraId="10C2DF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ČRNA NA KOROŠKEM</w:t>
            </w:r>
          </w:p>
        </w:tc>
      </w:tr>
      <w:tr w:rsidR="00F24E18" w14:paraId="7CAF7A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81BF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1190</w:t>
            </w:r>
          </w:p>
        </w:tc>
        <w:tc>
          <w:tcPr>
            <w:tcW w:w="1300" w:type="dxa"/>
            <w:tcBorders>
              <w:top w:val="nil"/>
              <w:left w:val="nil"/>
              <w:bottom w:val="single" w:sz="4" w:space="0" w:color="auto"/>
              <w:right w:val="single" w:sz="4" w:space="0" w:color="auto"/>
            </w:tcBorders>
            <w:noWrap/>
            <w:vAlign w:val="center"/>
            <w:hideMark/>
          </w:tcPr>
          <w:p w14:paraId="5A8AB3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5082978000</w:t>
            </w:r>
          </w:p>
        </w:tc>
        <w:tc>
          <w:tcPr>
            <w:tcW w:w="1012" w:type="dxa"/>
            <w:tcBorders>
              <w:top w:val="nil"/>
              <w:left w:val="nil"/>
              <w:bottom w:val="single" w:sz="4" w:space="0" w:color="auto"/>
              <w:right w:val="single" w:sz="4" w:space="0" w:color="auto"/>
            </w:tcBorders>
            <w:noWrap/>
            <w:vAlign w:val="center"/>
            <w:hideMark/>
          </w:tcPr>
          <w:p w14:paraId="161A0E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55214959</w:t>
            </w:r>
          </w:p>
        </w:tc>
        <w:tc>
          <w:tcPr>
            <w:tcW w:w="5953" w:type="dxa"/>
            <w:tcBorders>
              <w:top w:val="nil"/>
              <w:left w:val="nil"/>
              <w:bottom w:val="single" w:sz="4" w:space="0" w:color="auto"/>
              <w:right w:val="single" w:sz="4" w:space="0" w:color="auto"/>
            </w:tcBorders>
            <w:noWrap/>
            <w:vAlign w:val="center"/>
            <w:hideMark/>
          </w:tcPr>
          <w:p w14:paraId="00BA0D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ČRNI VRH</w:t>
            </w:r>
          </w:p>
        </w:tc>
      </w:tr>
      <w:tr w:rsidR="00F24E18" w14:paraId="4E0B71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E996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1191</w:t>
            </w:r>
          </w:p>
        </w:tc>
        <w:tc>
          <w:tcPr>
            <w:tcW w:w="1300" w:type="dxa"/>
            <w:tcBorders>
              <w:top w:val="nil"/>
              <w:left w:val="nil"/>
              <w:bottom w:val="single" w:sz="4" w:space="0" w:color="auto"/>
              <w:right w:val="single" w:sz="4" w:space="0" w:color="auto"/>
            </w:tcBorders>
            <w:noWrap/>
            <w:vAlign w:val="center"/>
            <w:hideMark/>
          </w:tcPr>
          <w:p w14:paraId="065081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5082528000</w:t>
            </w:r>
          </w:p>
        </w:tc>
        <w:tc>
          <w:tcPr>
            <w:tcW w:w="1012" w:type="dxa"/>
            <w:tcBorders>
              <w:top w:val="nil"/>
              <w:left w:val="nil"/>
              <w:bottom w:val="single" w:sz="4" w:space="0" w:color="auto"/>
              <w:right w:val="single" w:sz="4" w:space="0" w:color="auto"/>
            </w:tcBorders>
            <w:noWrap/>
            <w:vAlign w:val="center"/>
            <w:hideMark/>
          </w:tcPr>
          <w:p w14:paraId="598BB9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42140153</w:t>
            </w:r>
          </w:p>
        </w:tc>
        <w:tc>
          <w:tcPr>
            <w:tcW w:w="5953" w:type="dxa"/>
            <w:tcBorders>
              <w:top w:val="nil"/>
              <w:left w:val="nil"/>
              <w:bottom w:val="single" w:sz="4" w:space="0" w:color="auto"/>
              <w:right w:val="single" w:sz="4" w:space="0" w:color="auto"/>
            </w:tcBorders>
            <w:noWrap/>
            <w:vAlign w:val="center"/>
            <w:hideMark/>
          </w:tcPr>
          <w:p w14:paraId="606642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DANILA LOKARJA AJDOVŠČINA</w:t>
            </w:r>
          </w:p>
        </w:tc>
      </w:tr>
      <w:tr w:rsidR="00F24E18" w14:paraId="1C07DC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15AA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1192</w:t>
            </w:r>
          </w:p>
        </w:tc>
        <w:tc>
          <w:tcPr>
            <w:tcW w:w="1300" w:type="dxa"/>
            <w:tcBorders>
              <w:top w:val="nil"/>
              <w:left w:val="nil"/>
              <w:bottom w:val="single" w:sz="4" w:space="0" w:color="auto"/>
              <w:right w:val="single" w:sz="4" w:space="0" w:color="auto"/>
            </w:tcBorders>
            <w:vAlign w:val="center"/>
            <w:hideMark/>
          </w:tcPr>
          <w:p w14:paraId="6229C6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5083389000</w:t>
            </w:r>
          </w:p>
        </w:tc>
        <w:tc>
          <w:tcPr>
            <w:tcW w:w="1012" w:type="dxa"/>
            <w:tcBorders>
              <w:top w:val="nil"/>
              <w:left w:val="nil"/>
              <w:bottom w:val="single" w:sz="4" w:space="0" w:color="auto"/>
              <w:right w:val="single" w:sz="4" w:space="0" w:color="auto"/>
            </w:tcBorders>
            <w:vAlign w:val="center"/>
            <w:hideMark/>
          </w:tcPr>
          <w:p w14:paraId="77B51B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42494940</w:t>
            </w:r>
          </w:p>
        </w:tc>
        <w:tc>
          <w:tcPr>
            <w:tcW w:w="5953" w:type="dxa"/>
            <w:tcBorders>
              <w:top w:val="nil"/>
              <w:left w:val="nil"/>
              <w:bottom w:val="single" w:sz="4" w:space="0" w:color="auto"/>
              <w:right w:val="single" w:sz="4" w:space="0" w:color="auto"/>
            </w:tcBorders>
            <w:noWrap/>
            <w:vAlign w:val="center"/>
            <w:hideMark/>
          </w:tcPr>
          <w:p w14:paraId="79E332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DANILE KUMAR</w:t>
            </w:r>
          </w:p>
        </w:tc>
      </w:tr>
      <w:tr w:rsidR="00F24E18" w14:paraId="38FD780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95CA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1193</w:t>
            </w:r>
          </w:p>
        </w:tc>
        <w:tc>
          <w:tcPr>
            <w:tcW w:w="1300" w:type="dxa"/>
            <w:tcBorders>
              <w:top w:val="nil"/>
              <w:left w:val="nil"/>
              <w:bottom w:val="single" w:sz="4" w:space="0" w:color="auto"/>
              <w:right w:val="single" w:sz="4" w:space="0" w:color="auto"/>
            </w:tcBorders>
            <w:noWrap/>
            <w:vAlign w:val="center"/>
            <w:hideMark/>
          </w:tcPr>
          <w:p w14:paraId="317B78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5086027000</w:t>
            </w:r>
          </w:p>
        </w:tc>
        <w:tc>
          <w:tcPr>
            <w:tcW w:w="1012" w:type="dxa"/>
            <w:tcBorders>
              <w:top w:val="nil"/>
              <w:left w:val="nil"/>
              <w:bottom w:val="single" w:sz="4" w:space="0" w:color="auto"/>
              <w:right w:val="single" w:sz="4" w:space="0" w:color="auto"/>
            </w:tcBorders>
            <w:noWrap/>
            <w:vAlign w:val="center"/>
            <w:hideMark/>
          </w:tcPr>
          <w:p w14:paraId="68BB21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40296407</w:t>
            </w:r>
          </w:p>
        </w:tc>
        <w:tc>
          <w:tcPr>
            <w:tcW w:w="5953" w:type="dxa"/>
            <w:tcBorders>
              <w:top w:val="nil"/>
              <w:left w:val="nil"/>
              <w:bottom w:val="single" w:sz="4" w:space="0" w:color="auto"/>
              <w:right w:val="single" w:sz="4" w:space="0" w:color="auto"/>
            </w:tcBorders>
            <w:noWrap/>
            <w:vAlign w:val="center"/>
            <w:hideMark/>
          </w:tcPr>
          <w:p w14:paraId="6E11B9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DAVORINA JENKA CERKLJE NA GORENJSKEM</w:t>
            </w:r>
          </w:p>
        </w:tc>
      </w:tr>
      <w:tr w:rsidR="00F24E18" w14:paraId="59C8A3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F2E7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1194</w:t>
            </w:r>
          </w:p>
        </w:tc>
        <w:tc>
          <w:tcPr>
            <w:tcW w:w="1300" w:type="dxa"/>
            <w:tcBorders>
              <w:top w:val="nil"/>
              <w:left w:val="nil"/>
              <w:bottom w:val="single" w:sz="4" w:space="0" w:color="auto"/>
              <w:right w:val="single" w:sz="4" w:space="0" w:color="auto"/>
            </w:tcBorders>
            <w:vAlign w:val="center"/>
            <w:hideMark/>
          </w:tcPr>
          <w:p w14:paraId="77B0D1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5083834000</w:t>
            </w:r>
          </w:p>
        </w:tc>
        <w:tc>
          <w:tcPr>
            <w:tcW w:w="1012" w:type="dxa"/>
            <w:tcBorders>
              <w:top w:val="nil"/>
              <w:left w:val="nil"/>
              <w:bottom w:val="single" w:sz="4" w:space="0" w:color="auto"/>
              <w:right w:val="single" w:sz="4" w:space="0" w:color="auto"/>
            </w:tcBorders>
            <w:vAlign w:val="center"/>
            <w:hideMark/>
          </w:tcPr>
          <w:p w14:paraId="555FB4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18370071</w:t>
            </w:r>
          </w:p>
        </w:tc>
        <w:tc>
          <w:tcPr>
            <w:tcW w:w="5953" w:type="dxa"/>
            <w:tcBorders>
              <w:top w:val="nil"/>
              <w:left w:val="nil"/>
              <w:bottom w:val="single" w:sz="4" w:space="0" w:color="auto"/>
              <w:right w:val="single" w:sz="4" w:space="0" w:color="auto"/>
            </w:tcBorders>
            <w:noWrap/>
            <w:vAlign w:val="center"/>
            <w:hideMark/>
          </w:tcPr>
          <w:p w14:paraId="538CC0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DEKANI</w:t>
            </w:r>
          </w:p>
        </w:tc>
      </w:tr>
      <w:tr w:rsidR="00F24E18" w14:paraId="4D3FCB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30CE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1195</w:t>
            </w:r>
          </w:p>
        </w:tc>
        <w:tc>
          <w:tcPr>
            <w:tcW w:w="1300" w:type="dxa"/>
            <w:tcBorders>
              <w:top w:val="nil"/>
              <w:left w:val="nil"/>
              <w:bottom w:val="single" w:sz="4" w:space="0" w:color="auto"/>
              <w:right w:val="single" w:sz="4" w:space="0" w:color="auto"/>
            </w:tcBorders>
            <w:noWrap/>
            <w:vAlign w:val="center"/>
            <w:hideMark/>
          </w:tcPr>
          <w:p w14:paraId="485EA9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5085772000</w:t>
            </w:r>
          </w:p>
        </w:tc>
        <w:tc>
          <w:tcPr>
            <w:tcW w:w="1012" w:type="dxa"/>
            <w:tcBorders>
              <w:top w:val="nil"/>
              <w:left w:val="nil"/>
              <w:bottom w:val="single" w:sz="4" w:space="0" w:color="auto"/>
              <w:right w:val="single" w:sz="4" w:space="0" w:color="auto"/>
            </w:tcBorders>
            <w:noWrap/>
            <w:vAlign w:val="center"/>
            <w:hideMark/>
          </w:tcPr>
          <w:p w14:paraId="728D5A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82684669</w:t>
            </w:r>
          </w:p>
        </w:tc>
        <w:tc>
          <w:tcPr>
            <w:tcW w:w="5953" w:type="dxa"/>
            <w:tcBorders>
              <w:top w:val="nil"/>
              <w:left w:val="nil"/>
              <w:bottom w:val="single" w:sz="4" w:space="0" w:color="auto"/>
              <w:right w:val="single" w:sz="4" w:space="0" w:color="auto"/>
            </w:tcBorders>
            <w:noWrap/>
            <w:vAlign w:val="center"/>
            <w:hideMark/>
          </w:tcPr>
          <w:p w14:paraId="33DD56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DESKLE</w:t>
            </w:r>
          </w:p>
        </w:tc>
      </w:tr>
      <w:tr w:rsidR="00F24E18" w14:paraId="4DDADC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6AD3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1196</w:t>
            </w:r>
          </w:p>
        </w:tc>
        <w:tc>
          <w:tcPr>
            <w:tcW w:w="1300" w:type="dxa"/>
            <w:tcBorders>
              <w:top w:val="nil"/>
              <w:left w:val="nil"/>
              <w:bottom w:val="single" w:sz="4" w:space="0" w:color="auto"/>
              <w:right w:val="single" w:sz="4" w:space="0" w:color="auto"/>
            </w:tcBorders>
            <w:noWrap/>
            <w:vAlign w:val="center"/>
            <w:hideMark/>
          </w:tcPr>
          <w:p w14:paraId="544998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5084733000</w:t>
            </w:r>
          </w:p>
        </w:tc>
        <w:tc>
          <w:tcPr>
            <w:tcW w:w="1012" w:type="dxa"/>
            <w:tcBorders>
              <w:top w:val="nil"/>
              <w:left w:val="nil"/>
              <w:bottom w:val="single" w:sz="4" w:space="0" w:color="auto"/>
              <w:right w:val="single" w:sz="4" w:space="0" w:color="auto"/>
            </w:tcBorders>
            <w:noWrap/>
            <w:vAlign w:val="center"/>
            <w:hideMark/>
          </w:tcPr>
          <w:p w14:paraId="2664CD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98266144</w:t>
            </w:r>
          </w:p>
        </w:tc>
        <w:tc>
          <w:tcPr>
            <w:tcW w:w="5953" w:type="dxa"/>
            <w:tcBorders>
              <w:top w:val="nil"/>
              <w:left w:val="nil"/>
              <w:bottom w:val="single" w:sz="4" w:space="0" w:color="auto"/>
              <w:right w:val="single" w:sz="4" w:space="0" w:color="auto"/>
            </w:tcBorders>
            <w:noWrap/>
            <w:vAlign w:val="center"/>
            <w:hideMark/>
          </w:tcPr>
          <w:p w14:paraId="042656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DOB</w:t>
            </w:r>
          </w:p>
        </w:tc>
      </w:tr>
      <w:tr w:rsidR="00F24E18" w14:paraId="13C2839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59DC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1197</w:t>
            </w:r>
          </w:p>
        </w:tc>
        <w:tc>
          <w:tcPr>
            <w:tcW w:w="1300" w:type="dxa"/>
            <w:tcBorders>
              <w:top w:val="nil"/>
              <w:left w:val="nil"/>
              <w:bottom w:val="single" w:sz="4" w:space="0" w:color="auto"/>
              <w:right w:val="single" w:sz="4" w:space="0" w:color="auto"/>
            </w:tcBorders>
            <w:noWrap/>
            <w:vAlign w:val="center"/>
            <w:hideMark/>
          </w:tcPr>
          <w:p w14:paraId="72744A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5582911000</w:t>
            </w:r>
          </w:p>
        </w:tc>
        <w:tc>
          <w:tcPr>
            <w:tcW w:w="1012" w:type="dxa"/>
            <w:tcBorders>
              <w:top w:val="nil"/>
              <w:left w:val="nil"/>
              <w:bottom w:val="single" w:sz="4" w:space="0" w:color="auto"/>
              <w:right w:val="single" w:sz="4" w:space="0" w:color="auto"/>
            </w:tcBorders>
            <w:noWrap/>
            <w:vAlign w:val="center"/>
            <w:hideMark/>
          </w:tcPr>
          <w:p w14:paraId="7257B5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84077867</w:t>
            </w:r>
          </w:p>
        </w:tc>
        <w:tc>
          <w:tcPr>
            <w:tcW w:w="5953" w:type="dxa"/>
            <w:tcBorders>
              <w:top w:val="nil"/>
              <w:left w:val="nil"/>
              <w:bottom w:val="single" w:sz="4" w:space="0" w:color="auto"/>
              <w:right w:val="single" w:sz="4" w:space="0" w:color="auto"/>
            </w:tcBorders>
            <w:noWrap/>
            <w:vAlign w:val="center"/>
            <w:hideMark/>
          </w:tcPr>
          <w:p w14:paraId="29E365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DOBJE</w:t>
            </w:r>
          </w:p>
        </w:tc>
      </w:tr>
      <w:tr w:rsidR="00F24E18" w14:paraId="711364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3EE4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1198</w:t>
            </w:r>
          </w:p>
        </w:tc>
        <w:tc>
          <w:tcPr>
            <w:tcW w:w="1300" w:type="dxa"/>
            <w:tcBorders>
              <w:top w:val="nil"/>
              <w:left w:val="nil"/>
              <w:bottom w:val="single" w:sz="4" w:space="0" w:color="auto"/>
              <w:right w:val="single" w:sz="4" w:space="0" w:color="auto"/>
            </w:tcBorders>
            <w:vAlign w:val="center"/>
            <w:hideMark/>
          </w:tcPr>
          <w:p w14:paraId="0FCB99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5085888000</w:t>
            </w:r>
          </w:p>
        </w:tc>
        <w:tc>
          <w:tcPr>
            <w:tcW w:w="1012" w:type="dxa"/>
            <w:tcBorders>
              <w:top w:val="nil"/>
              <w:left w:val="nil"/>
              <w:bottom w:val="single" w:sz="4" w:space="0" w:color="auto"/>
              <w:right w:val="single" w:sz="4" w:space="0" w:color="auto"/>
            </w:tcBorders>
            <w:vAlign w:val="center"/>
            <w:hideMark/>
          </w:tcPr>
          <w:p w14:paraId="10CF9B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89450116</w:t>
            </w:r>
          </w:p>
        </w:tc>
        <w:tc>
          <w:tcPr>
            <w:tcW w:w="5953" w:type="dxa"/>
            <w:tcBorders>
              <w:top w:val="nil"/>
              <w:left w:val="nil"/>
              <w:bottom w:val="single" w:sz="4" w:space="0" w:color="auto"/>
              <w:right w:val="single" w:sz="4" w:space="0" w:color="auto"/>
            </w:tcBorders>
            <w:noWrap/>
            <w:vAlign w:val="center"/>
            <w:hideMark/>
          </w:tcPr>
          <w:p w14:paraId="079819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DOBRAVLJE</w:t>
            </w:r>
          </w:p>
        </w:tc>
      </w:tr>
      <w:tr w:rsidR="00F24E18" w14:paraId="366BD42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0DF0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1199</w:t>
            </w:r>
          </w:p>
        </w:tc>
        <w:tc>
          <w:tcPr>
            <w:tcW w:w="1300" w:type="dxa"/>
            <w:tcBorders>
              <w:top w:val="nil"/>
              <w:left w:val="nil"/>
              <w:bottom w:val="single" w:sz="4" w:space="0" w:color="auto"/>
              <w:right w:val="single" w:sz="4" w:space="0" w:color="auto"/>
            </w:tcBorders>
            <w:noWrap/>
            <w:vAlign w:val="center"/>
            <w:hideMark/>
          </w:tcPr>
          <w:p w14:paraId="01CC45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5082668000</w:t>
            </w:r>
          </w:p>
        </w:tc>
        <w:tc>
          <w:tcPr>
            <w:tcW w:w="1012" w:type="dxa"/>
            <w:tcBorders>
              <w:top w:val="nil"/>
              <w:left w:val="nil"/>
              <w:bottom w:val="single" w:sz="4" w:space="0" w:color="auto"/>
              <w:right w:val="single" w:sz="4" w:space="0" w:color="auto"/>
            </w:tcBorders>
            <w:noWrap/>
            <w:vAlign w:val="center"/>
            <w:hideMark/>
          </w:tcPr>
          <w:p w14:paraId="1489C4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15988945</w:t>
            </w:r>
          </w:p>
        </w:tc>
        <w:tc>
          <w:tcPr>
            <w:tcW w:w="5953" w:type="dxa"/>
            <w:tcBorders>
              <w:top w:val="nil"/>
              <w:left w:val="nil"/>
              <w:bottom w:val="single" w:sz="4" w:space="0" w:color="auto"/>
              <w:right w:val="single" w:sz="4" w:space="0" w:color="auto"/>
            </w:tcBorders>
            <w:noWrap/>
            <w:vAlign w:val="center"/>
            <w:hideMark/>
          </w:tcPr>
          <w:p w14:paraId="04406B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DOBRNA</w:t>
            </w:r>
          </w:p>
        </w:tc>
      </w:tr>
      <w:tr w:rsidR="00F24E18" w14:paraId="02AFFB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B779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1200</w:t>
            </w:r>
          </w:p>
        </w:tc>
        <w:tc>
          <w:tcPr>
            <w:tcW w:w="1300" w:type="dxa"/>
            <w:tcBorders>
              <w:top w:val="nil"/>
              <w:left w:val="nil"/>
              <w:bottom w:val="single" w:sz="4" w:space="0" w:color="auto"/>
              <w:right w:val="single" w:sz="4" w:space="0" w:color="auto"/>
            </w:tcBorders>
            <w:noWrap/>
            <w:vAlign w:val="center"/>
            <w:hideMark/>
          </w:tcPr>
          <w:p w14:paraId="56C84A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5084415000</w:t>
            </w:r>
          </w:p>
        </w:tc>
        <w:tc>
          <w:tcPr>
            <w:tcW w:w="1012" w:type="dxa"/>
            <w:tcBorders>
              <w:top w:val="nil"/>
              <w:left w:val="nil"/>
              <w:bottom w:val="single" w:sz="4" w:space="0" w:color="auto"/>
              <w:right w:val="single" w:sz="4" w:space="0" w:color="auto"/>
            </w:tcBorders>
            <w:noWrap/>
            <w:vAlign w:val="center"/>
            <w:hideMark/>
          </w:tcPr>
          <w:p w14:paraId="5CDDC2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13274546</w:t>
            </w:r>
          </w:p>
        </w:tc>
        <w:tc>
          <w:tcPr>
            <w:tcW w:w="5953" w:type="dxa"/>
            <w:tcBorders>
              <w:top w:val="nil"/>
              <w:left w:val="nil"/>
              <w:bottom w:val="single" w:sz="4" w:space="0" w:color="auto"/>
              <w:right w:val="single" w:sz="4" w:space="0" w:color="auto"/>
            </w:tcBorders>
            <w:noWrap/>
            <w:vAlign w:val="center"/>
            <w:hideMark/>
          </w:tcPr>
          <w:p w14:paraId="4284FB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DOBROVA</w:t>
            </w:r>
          </w:p>
        </w:tc>
      </w:tr>
      <w:tr w:rsidR="00F24E18" w14:paraId="66EB765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50D7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1201</w:t>
            </w:r>
          </w:p>
        </w:tc>
        <w:tc>
          <w:tcPr>
            <w:tcW w:w="1300" w:type="dxa"/>
            <w:tcBorders>
              <w:top w:val="nil"/>
              <w:left w:val="nil"/>
              <w:bottom w:val="single" w:sz="4" w:space="0" w:color="auto"/>
              <w:right w:val="single" w:sz="4" w:space="0" w:color="auto"/>
            </w:tcBorders>
            <w:noWrap/>
            <w:vAlign w:val="center"/>
            <w:hideMark/>
          </w:tcPr>
          <w:p w14:paraId="1C63C2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5086370000</w:t>
            </w:r>
          </w:p>
        </w:tc>
        <w:tc>
          <w:tcPr>
            <w:tcW w:w="1012" w:type="dxa"/>
            <w:tcBorders>
              <w:top w:val="nil"/>
              <w:left w:val="nil"/>
              <w:bottom w:val="single" w:sz="4" w:space="0" w:color="auto"/>
              <w:right w:val="single" w:sz="4" w:space="0" w:color="auto"/>
            </w:tcBorders>
            <w:noWrap/>
            <w:vAlign w:val="center"/>
            <w:hideMark/>
          </w:tcPr>
          <w:p w14:paraId="3A17D8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51655535</w:t>
            </w:r>
          </w:p>
        </w:tc>
        <w:tc>
          <w:tcPr>
            <w:tcW w:w="5953" w:type="dxa"/>
            <w:tcBorders>
              <w:top w:val="nil"/>
              <w:left w:val="nil"/>
              <w:bottom w:val="single" w:sz="4" w:space="0" w:color="auto"/>
              <w:right w:val="single" w:sz="4" w:space="0" w:color="auto"/>
            </w:tcBorders>
            <w:noWrap/>
            <w:vAlign w:val="center"/>
            <w:hideMark/>
          </w:tcPr>
          <w:p w14:paraId="3FDEF1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DOLENJSKE TOPLICE</w:t>
            </w:r>
          </w:p>
        </w:tc>
      </w:tr>
      <w:tr w:rsidR="00F24E18" w14:paraId="50E358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2782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1202</w:t>
            </w:r>
          </w:p>
        </w:tc>
        <w:tc>
          <w:tcPr>
            <w:tcW w:w="1300" w:type="dxa"/>
            <w:tcBorders>
              <w:top w:val="nil"/>
              <w:left w:val="nil"/>
              <w:bottom w:val="single" w:sz="4" w:space="0" w:color="auto"/>
              <w:right w:val="single" w:sz="4" w:space="0" w:color="auto"/>
            </w:tcBorders>
            <w:vAlign w:val="center"/>
            <w:hideMark/>
          </w:tcPr>
          <w:p w14:paraId="70D7AF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5082803000</w:t>
            </w:r>
          </w:p>
        </w:tc>
        <w:tc>
          <w:tcPr>
            <w:tcW w:w="1012" w:type="dxa"/>
            <w:tcBorders>
              <w:top w:val="nil"/>
              <w:left w:val="nil"/>
              <w:bottom w:val="single" w:sz="4" w:space="0" w:color="auto"/>
              <w:right w:val="single" w:sz="4" w:space="0" w:color="auto"/>
            </w:tcBorders>
            <w:vAlign w:val="center"/>
            <w:hideMark/>
          </w:tcPr>
          <w:p w14:paraId="1D85A0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94835039</w:t>
            </w:r>
          </w:p>
        </w:tc>
        <w:tc>
          <w:tcPr>
            <w:tcW w:w="5953" w:type="dxa"/>
            <w:tcBorders>
              <w:top w:val="nil"/>
              <w:left w:val="nil"/>
              <w:bottom w:val="single" w:sz="4" w:space="0" w:color="auto"/>
              <w:right w:val="single" w:sz="4" w:space="0" w:color="auto"/>
            </w:tcBorders>
            <w:noWrap/>
            <w:vAlign w:val="center"/>
            <w:hideMark/>
          </w:tcPr>
          <w:p w14:paraId="2A6DC9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DOMŽALE</w:t>
            </w:r>
          </w:p>
        </w:tc>
      </w:tr>
      <w:tr w:rsidR="00F24E18" w14:paraId="76CE208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D635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1203</w:t>
            </w:r>
          </w:p>
        </w:tc>
        <w:tc>
          <w:tcPr>
            <w:tcW w:w="1300" w:type="dxa"/>
            <w:tcBorders>
              <w:top w:val="nil"/>
              <w:left w:val="nil"/>
              <w:bottom w:val="single" w:sz="4" w:space="0" w:color="auto"/>
              <w:right w:val="single" w:sz="4" w:space="0" w:color="auto"/>
            </w:tcBorders>
            <w:noWrap/>
            <w:vAlign w:val="center"/>
            <w:hideMark/>
          </w:tcPr>
          <w:p w14:paraId="00CDDB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5085802000</w:t>
            </w:r>
          </w:p>
        </w:tc>
        <w:tc>
          <w:tcPr>
            <w:tcW w:w="1012" w:type="dxa"/>
            <w:tcBorders>
              <w:top w:val="nil"/>
              <w:left w:val="nil"/>
              <w:bottom w:val="single" w:sz="4" w:space="0" w:color="auto"/>
              <w:right w:val="single" w:sz="4" w:space="0" w:color="auto"/>
            </w:tcBorders>
            <w:noWrap/>
            <w:vAlign w:val="center"/>
            <w:hideMark/>
          </w:tcPr>
          <w:p w14:paraId="7474B7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30649366</w:t>
            </w:r>
          </w:p>
        </w:tc>
        <w:tc>
          <w:tcPr>
            <w:tcW w:w="5953" w:type="dxa"/>
            <w:tcBorders>
              <w:top w:val="nil"/>
              <w:left w:val="nil"/>
              <w:bottom w:val="single" w:sz="4" w:space="0" w:color="auto"/>
              <w:right w:val="single" w:sz="4" w:space="0" w:color="auto"/>
            </w:tcBorders>
            <w:noWrap/>
            <w:vAlign w:val="center"/>
            <w:hideMark/>
          </w:tcPr>
          <w:p w14:paraId="3CA73C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DORNBERK</w:t>
            </w:r>
          </w:p>
        </w:tc>
      </w:tr>
      <w:tr w:rsidR="00F24E18" w14:paraId="20258C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C33A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1204</w:t>
            </w:r>
          </w:p>
        </w:tc>
        <w:tc>
          <w:tcPr>
            <w:tcW w:w="1300" w:type="dxa"/>
            <w:tcBorders>
              <w:top w:val="nil"/>
              <w:left w:val="nil"/>
              <w:bottom w:val="single" w:sz="4" w:space="0" w:color="auto"/>
              <w:right w:val="single" w:sz="4" w:space="0" w:color="auto"/>
            </w:tcBorders>
            <w:noWrap/>
            <w:vAlign w:val="center"/>
            <w:hideMark/>
          </w:tcPr>
          <w:p w14:paraId="48A74D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5087422000</w:t>
            </w:r>
          </w:p>
        </w:tc>
        <w:tc>
          <w:tcPr>
            <w:tcW w:w="1012" w:type="dxa"/>
            <w:tcBorders>
              <w:top w:val="nil"/>
              <w:left w:val="nil"/>
              <w:bottom w:val="single" w:sz="4" w:space="0" w:color="auto"/>
              <w:right w:val="single" w:sz="4" w:space="0" w:color="auto"/>
            </w:tcBorders>
            <w:noWrap/>
            <w:vAlign w:val="center"/>
            <w:hideMark/>
          </w:tcPr>
          <w:p w14:paraId="554EAF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58814515</w:t>
            </w:r>
          </w:p>
        </w:tc>
        <w:tc>
          <w:tcPr>
            <w:tcW w:w="5953" w:type="dxa"/>
            <w:tcBorders>
              <w:top w:val="nil"/>
              <w:left w:val="nil"/>
              <w:bottom w:val="single" w:sz="4" w:space="0" w:color="auto"/>
              <w:right w:val="single" w:sz="4" w:space="0" w:color="auto"/>
            </w:tcBorders>
            <w:noWrap/>
            <w:vAlign w:val="center"/>
            <w:hideMark/>
          </w:tcPr>
          <w:p w14:paraId="46A0C1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ANTONA DEBELJAKA LOŠKI POTOK</w:t>
            </w:r>
          </w:p>
        </w:tc>
      </w:tr>
      <w:tr w:rsidR="00F24E18" w14:paraId="4663C6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8D0F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1205</w:t>
            </w:r>
          </w:p>
        </w:tc>
        <w:tc>
          <w:tcPr>
            <w:tcW w:w="1300" w:type="dxa"/>
            <w:tcBorders>
              <w:top w:val="nil"/>
              <w:left w:val="nil"/>
              <w:bottom w:val="single" w:sz="4" w:space="0" w:color="auto"/>
              <w:right w:val="single" w:sz="4" w:space="0" w:color="auto"/>
            </w:tcBorders>
            <w:vAlign w:val="center"/>
            <w:hideMark/>
          </w:tcPr>
          <w:p w14:paraId="4D8B2B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5082897000</w:t>
            </w:r>
          </w:p>
        </w:tc>
        <w:tc>
          <w:tcPr>
            <w:tcW w:w="1012" w:type="dxa"/>
            <w:tcBorders>
              <w:top w:val="nil"/>
              <w:left w:val="nil"/>
              <w:bottom w:val="single" w:sz="4" w:space="0" w:color="auto"/>
              <w:right w:val="single" w:sz="4" w:space="0" w:color="auto"/>
            </w:tcBorders>
            <w:vAlign w:val="center"/>
            <w:hideMark/>
          </w:tcPr>
          <w:p w14:paraId="6F11A4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92256457</w:t>
            </w:r>
          </w:p>
        </w:tc>
        <w:tc>
          <w:tcPr>
            <w:tcW w:w="5953" w:type="dxa"/>
            <w:tcBorders>
              <w:top w:val="nil"/>
              <w:left w:val="nil"/>
              <w:bottom w:val="single" w:sz="4" w:space="0" w:color="auto"/>
              <w:right w:val="single" w:sz="4" w:space="0" w:color="auto"/>
            </w:tcBorders>
            <w:noWrap/>
            <w:vAlign w:val="center"/>
            <w:hideMark/>
          </w:tcPr>
          <w:p w14:paraId="12D311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ANTONA TRSTENJAKA NEGOVA</w:t>
            </w:r>
          </w:p>
        </w:tc>
      </w:tr>
      <w:tr w:rsidR="00F24E18" w14:paraId="6B513CF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BA84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1206</w:t>
            </w:r>
          </w:p>
        </w:tc>
        <w:tc>
          <w:tcPr>
            <w:tcW w:w="1300" w:type="dxa"/>
            <w:tcBorders>
              <w:top w:val="nil"/>
              <w:left w:val="nil"/>
              <w:bottom w:val="single" w:sz="4" w:space="0" w:color="auto"/>
              <w:right w:val="single" w:sz="4" w:space="0" w:color="auto"/>
            </w:tcBorders>
            <w:noWrap/>
            <w:vAlign w:val="center"/>
            <w:hideMark/>
          </w:tcPr>
          <w:p w14:paraId="1A776C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5087449000</w:t>
            </w:r>
          </w:p>
        </w:tc>
        <w:tc>
          <w:tcPr>
            <w:tcW w:w="1012" w:type="dxa"/>
            <w:tcBorders>
              <w:top w:val="nil"/>
              <w:left w:val="nil"/>
              <w:bottom w:val="single" w:sz="4" w:space="0" w:color="auto"/>
              <w:right w:val="single" w:sz="4" w:space="0" w:color="auto"/>
            </w:tcBorders>
            <w:noWrap/>
            <w:vAlign w:val="center"/>
            <w:hideMark/>
          </w:tcPr>
          <w:p w14:paraId="729292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66532060</w:t>
            </w:r>
          </w:p>
        </w:tc>
        <w:tc>
          <w:tcPr>
            <w:tcW w:w="5953" w:type="dxa"/>
            <w:tcBorders>
              <w:top w:val="nil"/>
              <w:left w:val="nil"/>
              <w:bottom w:val="single" w:sz="4" w:space="0" w:color="auto"/>
              <w:right w:val="single" w:sz="4" w:space="0" w:color="auto"/>
            </w:tcBorders>
            <w:noWrap/>
            <w:vAlign w:val="center"/>
            <w:hideMark/>
          </w:tcPr>
          <w:p w14:paraId="7C1C78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FRANCETA PREŠERNA</w:t>
            </w:r>
          </w:p>
        </w:tc>
      </w:tr>
      <w:tr w:rsidR="00F24E18" w14:paraId="62B708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9D64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1207</w:t>
            </w:r>
          </w:p>
        </w:tc>
        <w:tc>
          <w:tcPr>
            <w:tcW w:w="1300" w:type="dxa"/>
            <w:tcBorders>
              <w:top w:val="nil"/>
              <w:left w:val="nil"/>
              <w:bottom w:val="single" w:sz="4" w:space="0" w:color="auto"/>
              <w:right w:val="single" w:sz="4" w:space="0" w:color="auto"/>
            </w:tcBorders>
            <w:noWrap/>
            <w:vAlign w:val="center"/>
            <w:hideMark/>
          </w:tcPr>
          <w:p w14:paraId="7F1D55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5087015000</w:t>
            </w:r>
          </w:p>
        </w:tc>
        <w:tc>
          <w:tcPr>
            <w:tcW w:w="1012" w:type="dxa"/>
            <w:tcBorders>
              <w:top w:val="nil"/>
              <w:left w:val="nil"/>
              <w:bottom w:val="single" w:sz="4" w:space="0" w:color="auto"/>
              <w:right w:val="single" w:sz="4" w:space="0" w:color="auto"/>
            </w:tcBorders>
            <w:noWrap/>
            <w:vAlign w:val="center"/>
            <w:hideMark/>
          </w:tcPr>
          <w:p w14:paraId="236621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31182194</w:t>
            </w:r>
          </w:p>
        </w:tc>
        <w:tc>
          <w:tcPr>
            <w:tcW w:w="5953" w:type="dxa"/>
            <w:tcBorders>
              <w:top w:val="nil"/>
              <w:left w:val="nil"/>
              <w:bottom w:val="single" w:sz="4" w:space="0" w:color="auto"/>
              <w:right w:val="single" w:sz="4" w:space="0" w:color="auto"/>
            </w:tcBorders>
            <w:noWrap/>
            <w:vAlign w:val="center"/>
            <w:hideMark/>
          </w:tcPr>
          <w:p w14:paraId="202FBE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FRANJA ŽGEČA DORNAVA</w:t>
            </w:r>
          </w:p>
        </w:tc>
      </w:tr>
      <w:tr w:rsidR="00F24E18" w14:paraId="2432A7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C91F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1208</w:t>
            </w:r>
          </w:p>
        </w:tc>
        <w:tc>
          <w:tcPr>
            <w:tcW w:w="1300" w:type="dxa"/>
            <w:tcBorders>
              <w:top w:val="nil"/>
              <w:left w:val="nil"/>
              <w:bottom w:val="single" w:sz="4" w:space="0" w:color="auto"/>
              <w:right w:val="single" w:sz="4" w:space="0" w:color="auto"/>
            </w:tcBorders>
            <w:noWrap/>
            <w:vAlign w:val="center"/>
            <w:hideMark/>
          </w:tcPr>
          <w:p w14:paraId="18BD9B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5087465000</w:t>
            </w:r>
          </w:p>
        </w:tc>
        <w:tc>
          <w:tcPr>
            <w:tcW w:w="1012" w:type="dxa"/>
            <w:tcBorders>
              <w:top w:val="nil"/>
              <w:left w:val="nil"/>
              <w:bottom w:val="single" w:sz="4" w:space="0" w:color="auto"/>
              <w:right w:val="single" w:sz="4" w:space="0" w:color="auto"/>
            </w:tcBorders>
            <w:noWrap/>
            <w:vAlign w:val="center"/>
            <w:hideMark/>
          </w:tcPr>
          <w:p w14:paraId="3D0BDF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41016017</w:t>
            </w:r>
          </w:p>
        </w:tc>
        <w:tc>
          <w:tcPr>
            <w:tcW w:w="5953" w:type="dxa"/>
            <w:tcBorders>
              <w:top w:val="nil"/>
              <w:left w:val="nil"/>
              <w:bottom w:val="single" w:sz="4" w:space="0" w:color="auto"/>
              <w:right w:val="single" w:sz="4" w:space="0" w:color="auto"/>
            </w:tcBorders>
            <w:noWrap/>
            <w:vAlign w:val="center"/>
            <w:hideMark/>
          </w:tcPr>
          <w:p w14:paraId="0B8FBC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IVANA PRIJATELJA SODRAŽICA</w:t>
            </w:r>
          </w:p>
        </w:tc>
      </w:tr>
      <w:tr w:rsidR="00F24E18" w14:paraId="16B5CE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5BFF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1209</w:t>
            </w:r>
          </w:p>
        </w:tc>
        <w:tc>
          <w:tcPr>
            <w:tcW w:w="1300" w:type="dxa"/>
            <w:tcBorders>
              <w:top w:val="nil"/>
              <w:left w:val="nil"/>
              <w:bottom w:val="single" w:sz="4" w:space="0" w:color="auto"/>
              <w:right w:val="single" w:sz="4" w:space="0" w:color="auto"/>
            </w:tcBorders>
            <w:vAlign w:val="center"/>
            <w:hideMark/>
          </w:tcPr>
          <w:p w14:paraId="525FC2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5087309000</w:t>
            </w:r>
          </w:p>
        </w:tc>
        <w:tc>
          <w:tcPr>
            <w:tcW w:w="1012" w:type="dxa"/>
            <w:tcBorders>
              <w:top w:val="nil"/>
              <w:left w:val="nil"/>
              <w:bottom w:val="single" w:sz="4" w:space="0" w:color="auto"/>
              <w:right w:val="single" w:sz="4" w:space="0" w:color="auto"/>
            </w:tcBorders>
            <w:vAlign w:val="center"/>
            <w:hideMark/>
          </w:tcPr>
          <w:p w14:paraId="3EBCAD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51576597</w:t>
            </w:r>
          </w:p>
        </w:tc>
        <w:tc>
          <w:tcPr>
            <w:tcW w:w="5953" w:type="dxa"/>
            <w:tcBorders>
              <w:top w:val="nil"/>
              <w:left w:val="nil"/>
              <w:bottom w:val="single" w:sz="4" w:space="0" w:color="auto"/>
              <w:right w:val="single" w:sz="4" w:space="0" w:color="auto"/>
            </w:tcBorders>
            <w:noWrap/>
            <w:vAlign w:val="center"/>
            <w:hideMark/>
          </w:tcPr>
          <w:p w14:paraId="6749D6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JANEZA MENCINGERJA BOHINJSKA BISTRICA</w:t>
            </w:r>
          </w:p>
        </w:tc>
      </w:tr>
      <w:tr w:rsidR="00F24E18" w14:paraId="64F5177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CD54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1210</w:t>
            </w:r>
          </w:p>
        </w:tc>
        <w:tc>
          <w:tcPr>
            <w:tcW w:w="1300" w:type="dxa"/>
            <w:tcBorders>
              <w:top w:val="nil"/>
              <w:left w:val="nil"/>
              <w:bottom w:val="single" w:sz="4" w:space="0" w:color="auto"/>
              <w:right w:val="single" w:sz="4" w:space="0" w:color="auto"/>
            </w:tcBorders>
            <w:noWrap/>
            <w:vAlign w:val="center"/>
            <w:hideMark/>
          </w:tcPr>
          <w:p w14:paraId="7B2D45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5087635000</w:t>
            </w:r>
          </w:p>
        </w:tc>
        <w:tc>
          <w:tcPr>
            <w:tcW w:w="1012" w:type="dxa"/>
            <w:tcBorders>
              <w:top w:val="nil"/>
              <w:left w:val="nil"/>
              <w:bottom w:val="single" w:sz="4" w:space="0" w:color="auto"/>
              <w:right w:val="single" w:sz="4" w:space="0" w:color="auto"/>
            </w:tcBorders>
            <w:noWrap/>
            <w:vAlign w:val="center"/>
            <w:hideMark/>
          </w:tcPr>
          <w:p w14:paraId="12C945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33029512</w:t>
            </w:r>
          </w:p>
        </w:tc>
        <w:tc>
          <w:tcPr>
            <w:tcW w:w="5953" w:type="dxa"/>
            <w:tcBorders>
              <w:top w:val="nil"/>
              <w:left w:val="nil"/>
              <w:bottom w:val="single" w:sz="4" w:space="0" w:color="auto"/>
              <w:right w:val="single" w:sz="4" w:space="0" w:color="auto"/>
            </w:tcBorders>
            <w:noWrap/>
            <w:vAlign w:val="center"/>
            <w:hideMark/>
          </w:tcPr>
          <w:p w14:paraId="4E7E79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JOŽETA PUČNIKA ČREŠNJEVEC</w:t>
            </w:r>
          </w:p>
        </w:tc>
      </w:tr>
      <w:tr w:rsidR="00F24E18" w14:paraId="541A96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9142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1211</w:t>
            </w:r>
          </w:p>
        </w:tc>
        <w:tc>
          <w:tcPr>
            <w:tcW w:w="1300" w:type="dxa"/>
            <w:tcBorders>
              <w:top w:val="nil"/>
              <w:left w:val="nil"/>
              <w:bottom w:val="single" w:sz="4" w:space="0" w:color="auto"/>
              <w:right w:val="single" w:sz="4" w:space="0" w:color="auto"/>
            </w:tcBorders>
            <w:noWrap/>
            <w:vAlign w:val="center"/>
            <w:hideMark/>
          </w:tcPr>
          <w:p w14:paraId="44AF7E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5082579000</w:t>
            </w:r>
          </w:p>
        </w:tc>
        <w:tc>
          <w:tcPr>
            <w:tcW w:w="1012" w:type="dxa"/>
            <w:tcBorders>
              <w:top w:val="nil"/>
              <w:left w:val="nil"/>
              <w:bottom w:val="single" w:sz="4" w:space="0" w:color="auto"/>
              <w:right w:val="single" w:sz="4" w:space="0" w:color="auto"/>
            </w:tcBorders>
            <w:noWrap/>
            <w:vAlign w:val="center"/>
            <w:hideMark/>
          </w:tcPr>
          <w:p w14:paraId="1B9DD2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16691059</w:t>
            </w:r>
          </w:p>
        </w:tc>
        <w:tc>
          <w:tcPr>
            <w:tcW w:w="5953" w:type="dxa"/>
            <w:tcBorders>
              <w:top w:val="nil"/>
              <w:left w:val="nil"/>
              <w:bottom w:val="single" w:sz="4" w:space="0" w:color="auto"/>
              <w:right w:val="single" w:sz="4" w:space="0" w:color="auto"/>
            </w:tcBorders>
            <w:noWrap/>
            <w:vAlign w:val="center"/>
            <w:hideMark/>
          </w:tcPr>
          <w:p w14:paraId="1098E1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JOŽETA TOPORIŠIČA DOBOVA</w:t>
            </w:r>
          </w:p>
        </w:tc>
      </w:tr>
      <w:tr w:rsidR="00F24E18" w14:paraId="07661C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0840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1212</w:t>
            </w:r>
          </w:p>
        </w:tc>
        <w:tc>
          <w:tcPr>
            <w:tcW w:w="1300" w:type="dxa"/>
            <w:tcBorders>
              <w:top w:val="nil"/>
              <w:left w:val="nil"/>
              <w:bottom w:val="single" w:sz="4" w:space="0" w:color="auto"/>
              <w:right w:val="single" w:sz="4" w:space="0" w:color="auto"/>
            </w:tcBorders>
            <w:noWrap/>
            <w:vAlign w:val="center"/>
            <w:hideMark/>
          </w:tcPr>
          <w:p w14:paraId="26AF08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5087201000</w:t>
            </w:r>
          </w:p>
        </w:tc>
        <w:tc>
          <w:tcPr>
            <w:tcW w:w="1012" w:type="dxa"/>
            <w:tcBorders>
              <w:top w:val="nil"/>
              <w:left w:val="nil"/>
              <w:bottom w:val="single" w:sz="4" w:space="0" w:color="auto"/>
              <w:right w:val="single" w:sz="4" w:space="0" w:color="auto"/>
            </w:tcBorders>
            <w:noWrap/>
            <w:vAlign w:val="center"/>
            <w:hideMark/>
          </w:tcPr>
          <w:p w14:paraId="23E713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61373800</w:t>
            </w:r>
          </w:p>
        </w:tc>
        <w:tc>
          <w:tcPr>
            <w:tcW w:w="5953" w:type="dxa"/>
            <w:tcBorders>
              <w:top w:val="nil"/>
              <w:left w:val="nil"/>
              <w:bottom w:val="single" w:sz="4" w:space="0" w:color="auto"/>
              <w:right w:val="single" w:sz="4" w:space="0" w:color="auto"/>
            </w:tcBorders>
            <w:noWrap/>
            <w:vAlign w:val="center"/>
            <w:hideMark/>
          </w:tcPr>
          <w:p w14:paraId="72ECF4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LJUDEVITA PIVKA</w:t>
            </w:r>
          </w:p>
        </w:tc>
      </w:tr>
      <w:tr w:rsidR="00F24E18" w14:paraId="0E6849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724A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1213</w:t>
            </w:r>
          </w:p>
        </w:tc>
        <w:tc>
          <w:tcPr>
            <w:tcW w:w="1300" w:type="dxa"/>
            <w:tcBorders>
              <w:top w:val="nil"/>
              <w:left w:val="nil"/>
              <w:bottom w:val="single" w:sz="4" w:space="0" w:color="auto"/>
              <w:right w:val="single" w:sz="4" w:space="0" w:color="auto"/>
            </w:tcBorders>
            <w:noWrap/>
            <w:vAlign w:val="center"/>
            <w:hideMark/>
          </w:tcPr>
          <w:p w14:paraId="028E08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5083290000</w:t>
            </w:r>
          </w:p>
        </w:tc>
        <w:tc>
          <w:tcPr>
            <w:tcW w:w="1012" w:type="dxa"/>
            <w:tcBorders>
              <w:top w:val="nil"/>
              <w:left w:val="nil"/>
              <w:bottom w:val="single" w:sz="4" w:space="0" w:color="auto"/>
              <w:right w:val="single" w:sz="4" w:space="0" w:color="auto"/>
            </w:tcBorders>
            <w:noWrap/>
            <w:vAlign w:val="center"/>
            <w:hideMark/>
          </w:tcPr>
          <w:p w14:paraId="1DE894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74268244</w:t>
            </w:r>
          </w:p>
        </w:tc>
        <w:tc>
          <w:tcPr>
            <w:tcW w:w="5953" w:type="dxa"/>
            <w:tcBorders>
              <w:top w:val="nil"/>
              <w:left w:val="nil"/>
              <w:bottom w:val="single" w:sz="4" w:space="0" w:color="auto"/>
              <w:right w:val="single" w:sz="4" w:space="0" w:color="auto"/>
            </w:tcBorders>
            <w:noWrap/>
            <w:vAlign w:val="center"/>
            <w:hideMark/>
          </w:tcPr>
          <w:p w14:paraId="7E9AA9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MIHAJLA ROSTOHARJA KRŠKO</w:t>
            </w:r>
          </w:p>
        </w:tc>
      </w:tr>
      <w:tr w:rsidR="00F24E18" w14:paraId="3A662FF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C5E5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1214</w:t>
            </w:r>
          </w:p>
        </w:tc>
        <w:tc>
          <w:tcPr>
            <w:tcW w:w="1300" w:type="dxa"/>
            <w:tcBorders>
              <w:top w:val="nil"/>
              <w:left w:val="nil"/>
              <w:bottom w:val="single" w:sz="4" w:space="0" w:color="auto"/>
              <w:right w:val="single" w:sz="4" w:space="0" w:color="auto"/>
            </w:tcBorders>
            <w:vAlign w:val="center"/>
            <w:hideMark/>
          </w:tcPr>
          <w:p w14:paraId="2FFEC7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5088089000</w:t>
            </w:r>
          </w:p>
        </w:tc>
        <w:tc>
          <w:tcPr>
            <w:tcW w:w="1012" w:type="dxa"/>
            <w:tcBorders>
              <w:top w:val="nil"/>
              <w:left w:val="nil"/>
              <w:bottom w:val="single" w:sz="4" w:space="0" w:color="auto"/>
              <w:right w:val="single" w:sz="4" w:space="0" w:color="auto"/>
            </w:tcBorders>
            <w:vAlign w:val="center"/>
            <w:hideMark/>
          </w:tcPr>
          <w:p w14:paraId="5C38A2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79666981</w:t>
            </w:r>
          </w:p>
        </w:tc>
        <w:tc>
          <w:tcPr>
            <w:tcW w:w="5953" w:type="dxa"/>
            <w:tcBorders>
              <w:top w:val="nil"/>
              <w:left w:val="nil"/>
              <w:bottom w:val="single" w:sz="4" w:space="0" w:color="auto"/>
              <w:right w:val="single" w:sz="4" w:space="0" w:color="auto"/>
            </w:tcBorders>
            <w:noWrap/>
            <w:vAlign w:val="center"/>
            <w:hideMark/>
          </w:tcPr>
          <w:p w14:paraId="03B7B9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PAVLA LUNAČKA ŠENTRUPERT</w:t>
            </w:r>
          </w:p>
        </w:tc>
      </w:tr>
      <w:tr w:rsidR="00F24E18" w14:paraId="5F973B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4A0A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1215</w:t>
            </w:r>
          </w:p>
        </w:tc>
        <w:tc>
          <w:tcPr>
            <w:tcW w:w="1300" w:type="dxa"/>
            <w:tcBorders>
              <w:top w:val="nil"/>
              <w:left w:val="nil"/>
              <w:bottom w:val="single" w:sz="4" w:space="0" w:color="auto"/>
              <w:right w:val="single" w:sz="4" w:space="0" w:color="auto"/>
            </w:tcBorders>
            <w:noWrap/>
            <w:vAlign w:val="center"/>
            <w:hideMark/>
          </w:tcPr>
          <w:p w14:paraId="1C6F10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5083397000</w:t>
            </w:r>
          </w:p>
        </w:tc>
        <w:tc>
          <w:tcPr>
            <w:tcW w:w="1012" w:type="dxa"/>
            <w:tcBorders>
              <w:top w:val="nil"/>
              <w:left w:val="nil"/>
              <w:bottom w:val="single" w:sz="4" w:space="0" w:color="auto"/>
              <w:right w:val="single" w:sz="4" w:space="0" w:color="auto"/>
            </w:tcBorders>
            <w:noWrap/>
            <w:vAlign w:val="center"/>
            <w:hideMark/>
          </w:tcPr>
          <w:p w14:paraId="6BDE78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69049408</w:t>
            </w:r>
          </w:p>
        </w:tc>
        <w:tc>
          <w:tcPr>
            <w:tcW w:w="5953" w:type="dxa"/>
            <w:tcBorders>
              <w:top w:val="nil"/>
              <w:left w:val="nil"/>
              <w:bottom w:val="single" w:sz="4" w:space="0" w:color="auto"/>
              <w:right w:val="single" w:sz="4" w:space="0" w:color="auto"/>
            </w:tcBorders>
            <w:noWrap/>
            <w:vAlign w:val="center"/>
            <w:hideMark/>
          </w:tcPr>
          <w:p w14:paraId="50AEDE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 VITA KRAIGHERJA</w:t>
            </w:r>
          </w:p>
        </w:tc>
      </w:tr>
      <w:tr w:rsidR="00F24E18" w14:paraId="6A81760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CE05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1216</w:t>
            </w:r>
          </w:p>
        </w:tc>
        <w:tc>
          <w:tcPr>
            <w:tcW w:w="1300" w:type="dxa"/>
            <w:tcBorders>
              <w:top w:val="nil"/>
              <w:left w:val="nil"/>
              <w:bottom w:val="single" w:sz="4" w:space="0" w:color="auto"/>
              <w:right w:val="single" w:sz="4" w:space="0" w:color="auto"/>
            </w:tcBorders>
            <w:vAlign w:val="center"/>
            <w:hideMark/>
          </w:tcPr>
          <w:p w14:paraId="45AC62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5088321000</w:t>
            </w:r>
          </w:p>
        </w:tc>
        <w:tc>
          <w:tcPr>
            <w:tcW w:w="1012" w:type="dxa"/>
            <w:tcBorders>
              <w:top w:val="nil"/>
              <w:left w:val="nil"/>
              <w:bottom w:val="single" w:sz="4" w:space="0" w:color="auto"/>
              <w:right w:val="single" w:sz="4" w:space="0" w:color="auto"/>
            </w:tcBorders>
            <w:vAlign w:val="center"/>
            <w:hideMark/>
          </w:tcPr>
          <w:p w14:paraId="014FC5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27688836</w:t>
            </w:r>
          </w:p>
        </w:tc>
        <w:tc>
          <w:tcPr>
            <w:tcW w:w="5953" w:type="dxa"/>
            <w:tcBorders>
              <w:top w:val="nil"/>
              <w:left w:val="nil"/>
              <w:bottom w:val="single" w:sz="4" w:space="0" w:color="auto"/>
              <w:right w:val="single" w:sz="4" w:space="0" w:color="auto"/>
            </w:tcBorders>
            <w:noWrap/>
            <w:vAlign w:val="center"/>
            <w:hideMark/>
          </w:tcPr>
          <w:p w14:paraId="6C67F0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DR.IVANA KOROŠCA BOROVNICA</w:t>
            </w:r>
          </w:p>
        </w:tc>
      </w:tr>
      <w:tr w:rsidR="00F24E18" w14:paraId="2461DFF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9AAE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1217</w:t>
            </w:r>
          </w:p>
        </w:tc>
        <w:tc>
          <w:tcPr>
            <w:tcW w:w="1300" w:type="dxa"/>
            <w:tcBorders>
              <w:top w:val="nil"/>
              <w:left w:val="nil"/>
              <w:bottom w:val="single" w:sz="4" w:space="0" w:color="auto"/>
              <w:right w:val="single" w:sz="4" w:space="0" w:color="auto"/>
            </w:tcBorders>
            <w:vAlign w:val="center"/>
            <w:hideMark/>
          </w:tcPr>
          <w:p w14:paraId="601821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5083532000</w:t>
            </w:r>
          </w:p>
        </w:tc>
        <w:tc>
          <w:tcPr>
            <w:tcW w:w="1012" w:type="dxa"/>
            <w:tcBorders>
              <w:top w:val="nil"/>
              <w:left w:val="nil"/>
              <w:bottom w:val="single" w:sz="4" w:space="0" w:color="auto"/>
              <w:right w:val="single" w:sz="4" w:space="0" w:color="auto"/>
            </w:tcBorders>
            <w:vAlign w:val="center"/>
            <w:hideMark/>
          </w:tcPr>
          <w:p w14:paraId="18D4A2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10582789</w:t>
            </w:r>
          </w:p>
        </w:tc>
        <w:tc>
          <w:tcPr>
            <w:tcW w:w="5953" w:type="dxa"/>
            <w:tcBorders>
              <w:top w:val="nil"/>
              <w:left w:val="nil"/>
              <w:bottom w:val="single" w:sz="4" w:space="0" w:color="auto"/>
              <w:right w:val="single" w:sz="4" w:space="0" w:color="auto"/>
            </w:tcBorders>
            <w:noWrap/>
            <w:vAlign w:val="center"/>
            <w:hideMark/>
          </w:tcPr>
          <w:p w14:paraId="30721A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DRAGA BAJCA VIPAVA</w:t>
            </w:r>
          </w:p>
        </w:tc>
      </w:tr>
      <w:tr w:rsidR="00F24E18" w14:paraId="4F4F73C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DA27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1218</w:t>
            </w:r>
          </w:p>
        </w:tc>
        <w:tc>
          <w:tcPr>
            <w:tcW w:w="1300" w:type="dxa"/>
            <w:tcBorders>
              <w:top w:val="nil"/>
              <w:left w:val="nil"/>
              <w:bottom w:val="single" w:sz="4" w:space="0" w:color="auto"/>
              <w:right w:val="single" w:sz="4" w:space="0" w:color="auto"/>
            </w:tcBorders>
            <w:noWrap/>
            <w:vAlign w:val="center"/>
            <w:hideMark/>
          </w:tcPr>
          <w:p w14:paraId="2136B7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5085250000</w:t>
            </w:r>
          </w:p>
        </w:tc>
        <w:tc>
          <w:tcPr>
            <w:tcW w:w="1012" w:type="dxa"/>
            <w:tcBorders>
              <w:top w:val="nil"/>
              <w:left w:val="nil"/>
              <w:bottom w:val="single" w:sz="4" w:space="0" w:color="auto"/>
              <w:right w:val="single" w:sz="4" w:space="0" w:color="auto"/>
            </w:tcBorders>
            <w:noWrap/>
            <w:vAlign w:val="center"/>
            <w:hideMark/>
          </w:tcPr>
          <w:p w14:paraId="4B3307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87328704</w:t>
            </w:r>
          </w:p>
        </w:tc>
        <w:tc>
          <w:tcPr>
            <w:tcW w:w="5953" w:type="dxa"/>
            <w:tcBorders>
              <w:top w:val="nil"/>
              <w:left w:val="nil"/>
              <w:bottom w:val="single" w:sz="4" w:space="0" w:color="auto"/>
              <w:right w:val="single" w:sz="4" w:space="0" w:color="auto"/>
            </w:tcBorders>
            <w:noWrap/>
            <w:vAlign w:val="center"/>
            <w:hideMark/>
          </w:tcPr>
          <w:p w14:paraId="7FB49F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DRAGA KOBALA MARIBOR</w:t>
            </w:r>
          </w:p>
        </w:tc>
      </w:tr>
      <w:tr w:rsidR="00F24E18" w14:paraId="4363F2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1AA0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1219</w:t>
            </w:r>
          </w:p>
        </w:tc>
        <w:tc>
          <w:tcPr>
            <w:tcW w:w="1300" w:type="dxa"/>
            <w:tcBorders>
              <w:top w:val="nil"/>
              <w:left w:val="nil"/>
              <w:bottom w:val="single" w:sz="4" w:space="0" w:color="auto"/>
              <w:right w:val="single" w:sz="4" w:space="0" w:color="auto"/>
            </w:tcBorders>
            <w:noWrap/>
            <w:vAlign w:val="center"/>
            <w:hideMark/>
          </w:tcPr>
          <w:p w14:paraId="368629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2197197000</w:t>
            </w:r>
          </w:p>
        </w:tc>
        <w:tc>
          <w:tcPr>
            <w:tcW w:w="1012" w:type="dxa"/>
            <w:tcBorders>
              <w:top w:val="nil"/>
              <w:left w:val="nil"/>
              <w:bottom w:val="single" w:sz="4" w:space="0" w:color="auto"/>
              <w:right w:val="single" w:sz="4" w:space="0" w:color="auto"/>
            </w:tcBorders>
            <w:noWrap/>
            <w:vAlign w:val="center"/>
            <w:hideMark/>
          </w:tcPr>
          <w:p w14:paraId="53E4DD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88530264</w:t>
            </w:r>
          </w:p>
        </w:tc>
        <w:tc>
          <w:tcPr>
            <w:tcW w:w="5953" w:type="dxa"/>
            <w:tcBorders>
              <w:top w:val="nil"/>
              <w:left w:val="nil"/>
              <w:bottom w:val="single" w:sz="4" w:space="0" w:color="auto"/>
              <w:right w:val="single" w:sz="4" w:space="0" w:color="auto"/>
            </w:tcBorders>
            <w:noWrap/>
            <w:vAlign w:val="center"/>
            <w:hideMark/>
          </w:tcPr>
          <w:p w14:paraId="0E007A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DRAGOMELJ</w:t>
            </w:r>
          </w:p>
        </w:tc>
      </w:tr>
      <w:tr w:rsidR="00F24E18" w14:paraId="18AB0D5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6727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1220</w:t>
            </w:r>
          </w:p>
        </w:tc>
        <w:tc>
          <w:tcPr>
            <w:tcW w:w="1300" w:type="dxa"/>
            <w:tcBorders>
              <w:top w:val="nil"/>
              <w:left w:val="nil"/>
              <w:bottom w:val="single" w:sz="4" w:space="0" w:color="auto"/>
              <w:right w:val="single" w:sz="4" w:space="0" w:color="auto"/>
            </w:tcBorders>
            <w:noWrap/>
            <w:vAlign w:val="center"/>
            <w:hideMark/>
          </w:tcPr>
          <w:p w14:paraId="4C5E53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5089379000</w:t>
            </w:r>
          </w:p>
        </w:tc>
        <w:tc>
          <w:tcPr>
            <w:tcW w:w="1012" w:type="dxa"/>
            <w:tcBorders>
              <w:top w:val="nil"/>
              <w:left w:val="nil"/>
              <w:bottom w:val="single" w:sz="4" w:space="0" w:color="auto"/>
              <w:right w:val="single" w:sz="4" w:space="0" w:color="auto"/>
            </w:tcBorders>
            <w:noWrap/>
            <w:vAlign w:val="center"/>
            <w:hideMark/>
          </w:tcPr>
          <w:p w14:paraId="59B58C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80880258</w:t>
            </w:r>
          </w:p>
        </w:tc>
        <w:tc>
          <w:tcPr>
            <w:tcW w:w="5953" w:type="dxa"/>
            <w:tcBorders>
              <w:top w:val="nil"/>
              <w:left w:val="nil"/>
              <w:bottom w:val="single" w:sz="4" w:space="0" w:color="auto"/>
              <w:right w:val="single" w:sz="4" w:space="0" w:color="auto"/>
            </w:tcBorders>
            <w:noWrap/>
            <w:vAlign w:val="center"/>
            <w:hideMark/>
          </w:tcPr>
          <w:p w14:paraId="24CE47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DRAGOMIRJA BENČIČA-BRKINA HRPELJE</w:t>
            </w:r>
          </w:p>
        </w:tc>
      </w:tr>
      <w:tr w:rsidR="00F24E18" w14:paraId="5BE71F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2AC6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1221</w:t>
            </w:r>
          </w:p>
        </w:tc>
        <w:tc>
          <w:tcPr>
            <w:tcW w:w="1300" w:type="dxa"/>
            <w:tcBorders>
              <w:top w:val="nil"/>
              <w:left w:val="nil"/>
              <w:bottom w:val="single" w:sz="4" w:space="0" w:color="auto"/>
              <w:right w:val="single" w:sz="4" w:space="0" w:color="auto"/>
            </w:tcBorders>
            <w:noWrap/>
            <w:vAlign w:val="center"/>
            <w:hideMark/>
          </w:tcPr>
          <w:p w14:paraId="0514A4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5086345000</w:t>
            </w:r>
          </w:p>
        </w:tc>
        <w:tc>
          <w:tcPr>
            <w:tcW w:w="1012" w:type="dxa"/>
            <w:tcBorders>
              <w:top w:val="nil"/>
              <w:left w:val="nil"/>
              <w:bottom w:val="single" w:sz="4" w:space="0" w:color="auto"/>
              <w:right w:val="single" w:sz="4" w:space="0" w:color="auto"/>
            </w:tcBorders>
            <w:noWrap/>
            <w:vAlign w:val="center"/>
            <w:hideMark/>
          </w:tcPr>
          <w:p w14:paraId="03E672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30381355</w:t>
            </w:r>
          </w:p>
        </w:tc>
        <w:tc>
          <w:tcPr>
            <w:tcW w:w="5953" w:type="dxa"/>
            <w:tcBorders>
              <w:top w:val="nil"/>
              <w:left w:val="nil"/>
              <w:bottom w:val="single" w:sz="4" w:space="0" w:color="auto"/>
              <w:right w:val="single" w:sz="4" w:space="0" w:color="auto"/>
            </w:tcBorders>
            <w:noWrap/>
            <w:vAlign w:val="center"/>
            <w:hideMark/>
          </w:tcPr>
          <w:p w14:paraId="3ABF67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DRAGOTINA KETTEJA</w:t>
            </w:r>
          </w:p>
        </w:tc>
      </w:tr>
      <w:tr w:rsidR="00F24E18" w14:paraId="64354C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C02E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1222</w:t>
            </w:r>
          </w:p>
        </w:tc>
        <w:tc>
          <w:tcPr>
            <w:tcW w:w="1300" w:type="dxa"/>
            <w:tcBorders>
              <w:top w:val="nil"/>
              <w:left w:val="nil"/>
              <w:bottom w:val="single" w:sz="4" w:space="0" w:color="auto"/>
              <w:right w:val="single" w:sz="4" w:space="0" w:color="auto"/>
            </w:tcBorders>
            <w:vAlign w:val="center"/>
            <w:hideMark/>
          </w:tcPr>
          <w:p w14:paraId="03CB4E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5624533000</w:t>
            </w:r>
          </w:p>
        </w:tc>
        <w:tc>
          <w:tcPr>
            <w:tcW w:w="1012" w:type="dxa"/>
            <w:tcBorders>
              <w:top w:val="nil"/>
              <w:left w:val="nil"/>
              <w:bottom w:val="single" w:sz="4" w:space="0" w:color="auto"/>
              <w:right w:val="single" w:sz="4" w:space="0" w:color="auto"/>
            </w:tcBorders>
            <w:vAlign w:val="center"/>
            <w:hideMark/>
          </w:tcPr>
          <w:p w14:paraId="297F4E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78261023</w:t>
            </w:r>
          </w:p>
        </w:tc>
        <w:tc>
          <w:tcPr>
            <w:tcW w:w="5953" w:type="dxa"/>
            <w:tcBorders>
              <w:top w:val="nil"/>
              <w:left w:val="nil"/>
              <w:bottom w:val="single" w:sz="4" w:space="0" w:color="auto"/>
              <w:right w:val="single" w:sz="4" w:space="0" w:color="auto"/>
            </w:tcBorders>
            <w:noWrap/>
            <w:vAlign w:val="center"/>
            <w:hideMark/>
          </w:tcPr>
          <w:p w14:paraId="13E21B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DRAGOTINA KETTEJA ILIRSKA BISTRICA</w:t>
            </w:r>
          </w:p>
        </w:tc>
      </w:tr>
      <w:tr w:rsidR="00F24E18" w14:paraId="79B258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D4A2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1223</w:t>
            </w:r>
          </w:p>
        </w:tc>
        <w:tc>
          <w:tcPr>
            <w:tcW w:w="1300" w:type="dxa"/>
            <w:tcBorders>
              <w:top w:val="nil"/>
              <w:left w:val="nil"/>
              <w:bottom w:val="single" w:sz="4" w:space="0" w:color="auto"/>
              <w:right w:val="single" w:sz="4" w:space="0" w:color="auto"/>
            </w:tcBorders>
            <w:vAlign w:val="center"/>
            <w:hideMark/>
          </w:tcPr>
          <w:p w14:paraId="577914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5087775000</w:t>
            </w:r>
          </w:p>
        </w:tc>
        <w:tc>
          <w:tcPr>
            <w:tcW w:w="1012" w:type="dxa"/>
            <w:tcBorders>
              <w:top w:val="nil"/>
              <w:left w:val="nil"/>
              <w:bottom w:val="single" w:sz="4" w:space="0" w:color="auto"/>
              <w:right w:val="single" w:sz="4" w:space="0" w:color="auto"/>
            </w:tcBorders>
            <w:vAlign w:val="center"/>
            <w:hideMark/>
          </w:tcPr>
          <w:p w14:paraId="5B0655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84523603</w:t>
            </w:r>
          </w:p>
        </w:tc>
        <w:tc>
          <w:tcPr>
            <w:tcW w:w="5953" w:type="dxa"/>
            <w:tcBorders>
              <w:top w:val="nil"/>
              <w:left w:val="nil"/>
              <w:bottom w:val="single" w:sz="4" w:space="0" w:color="auto"/>
              <w:right w:val="single" w:sz="4" w:space="0" w:color="auto"/>
            </w:tcBorders>
            <w:noWrap/>
            <w:vAlign w:val="center"/>
            <w:hideMark/>
          </w:tcPr>
          <w:p w14:paraId="1D0591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DRAMLJE</w:t>
            </w:r>
          </w:p>
        </w:tc>
      </w:tr>
      <w:tr w:rsidR="00F24E18" w14:paraId="2724BE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07E6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1224</w:t>
            </w:r>
          </w:p>
        </w:tc>
        <w:tc>
          <w:tcPr>
            <w:tcW w:w="1300" w:type="dxa"/>
            <w:tcBorders>
              <w:top w:val="nil"/>
              <w:left w:val="nil"/>
              <w:bottom w:val="single" w:sz="4" w:space="0" w:color="auto"/>
              <w:right w:val="single" w:sz="4" w:space="0" w:color="auto"/>
            </w:tcBorders>
            <w:noWrap/>
            <w:vAlign w:val="center"/>
            <w:hideMark/>
          </w:tcPr>
          <w:p w14:paraId="2C323D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5204950000</w:t>
            </w:r>
          </w:p>
        </w:tc>
        <w:tc>
          <w:tcPr>
            <w:tcW w:w="1012" w:type="dxa"/>
            <w:tcBorders>
              <w:top w:val="nil"/>
              <w:left w:val="nil"/>
              <w:bottom w:val="single" w:sz="4" w:space="0" w:color="auto"/>
              <w:right w:val="single" w:sz="4" w:space="0" w:color="auto"/>
            </w:tcBorders>
            <w:noWrap/>
            <w:vAlign w:val="center"/>
            <w:hideMark/>
          </w:tcPr>
          <w:p w14:paraId="1E62D5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79401392</w:t>
            </w:r>
          </w:p>
        </w:tc>
        <w:tc>
          <w:tcPr>
            <w:tcW w:w="5953" w:type="dxa"/>
            <w:tcBorders>
              <w:top w:val="nil"/>
              <w:left w:val="nil"/>
              <w:bottom w:val="single" w:sz="4" w:space="0" w:color="auto"/>
              <w:right w:val="single" w:sz="4" w:space="0" w:color="auto"/>
            </w:tcBorders>
            <w:noWrap/>
            <w:vAlign w:val="center"/>
            <w:hideMark/>
          </w:tcPr>
          <w:p w14:paraId="50A363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DRAVLJE</w:t>
            </w:r>
          </w:p>
        </w:tc>
      </w:tr>
      <w:tr w:rsidR="00F24E18" w14:paraId="595935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AA9D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1225</w:t>
            </w:r>
          </w:p>
        </w:tc>
        <w:tc>
          <w:tcPr>
            <w:tcW w:w="1300" w:type="dxa"/>
            <w:tcBorders>
              <w:top w:val="nil"/>
              <w:left w:val="nil"/>
              <w:bottom w:val="single" w:sz="4" w:space="0" w:color="auto"/>
              <w:right w:val="single" w:sz="4" w:space="0" w:color="auto"/>
            </w:tcBorders>
            <w:noWrap/>
            <w:vAlign w:val="center"/>
            <w:hideMark/>
          </w:tcPr>
          <w:p w14:paraId="775B28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1574710000</w:t>
            </w:r>
          </w:p>
        </w:tc>
        <w:tc>
          <w:tcPr>
            <w:tcW w:w="1012" w:type="dxa"/>
            <w:tcBorders>
              <w:top w:val="nil"/>
              <w:left w:val="nil"/>
              <w:bottom w:val="single" w:sz="4" w:space="0" w:color="auto"/>
              <w:right w:val="single" w:sz="4" w:space="0" w:color="auto"/>
            </w:tcBorders>
            <w:noWrap/>
            <w:vAlign w:val="center"/>
            <w:hideMark/>
          </w:tcPr>
          <w:p w14:paraId="7F28AA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63882612</w:t>
            </w:r>
          </w:p>
        </w:tc>
        <w:tc>
          <w:tcPr>
            <w:tcW w:w="5953" w:type="dxa"/>
            <w:tcBorders>
              <w:top w:val="nil"/>
              <w:left w:val="nil"/>
              <w:bottom w:val="single" w:sz="4" w:space="0" w:color="auto"/>
              <w:right w:val="single" w:sz="4" w:space="0" w:color="auto"/>
            </w:tcBorders>
            <w:noWrap/>
            <w:vAlign w:val="center"/>
            <w:hideMark/>
          </w:tcPr>
          <w:p w14:paraId="56215F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DRSKA</w:t>
            </w:r>
          </w:p>
        </w:tc>
      </w:tr>
      <w:tr w:rsidR="00F24E18" w14:paraId="2B89616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70AD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1226</w:t>
            </w:r>
          </w:p>
        </w:tc>
        <w:tc>
          <w:tcPr>
            <w:tcW w:w="1300" w:type="dxa"/>
            <w:tcBorders>
              <w:top w:val="nil"/>
              <w:left w:val="nil"/>
              <w:bottom w:val="single" w:sz="4" w:space="0" w:color="auto"/>
              <w:right w:val="single" w:sz="4" w:space="0" w:color="auto"/>
            </w:tcBorders>
            <w:noWrap/>
            <w:vAlign w:val="center"/>
            <w:hideMark/>
          </w:tcPr>
          <w:p w14:paraId="53CED0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5085233000</w:t>
            </w:r>
          </w:p>
        </w:tc>
        <w:tc>
          <w:tcPr>
            <w:tcW w:w="1012" w:type="dxa"/>
            <w:tcBorders>
              <w:top w:val="nil"/>
              <w:left w:val="nil"/>
              <w:bottom w:val="single" w:sz="4" w:space="0" w:color="auto"/>
              <w:right w:val="single" w:sz="4" w:space="0" w:color="auto"/>
            </w:tcBorders>
            <w:noWrap/>
            <w:vAlign w:val="center"/>
            <w:hideMark/>
          </w:tcPr>
          <w:p w14:paraId="401024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70388717</w:t>
            </w:r>
          </w:p>
        </w:tc>
        <w:tc>
          <w:tcPr>
            <w:tcW w:w="5953" w:type="dxa"/>
            <w:tcBorders>
              <w:top w:val="nil"/>
              <w:left w:val="nil"/>
              <w:bottom w:val="single" w:sz="4" w:space="0" w:color="auto"/>
              <w:right w:val="single" w:sz="4" w:space="0" w:color="auto"/>
            </w:tcBorders>
            <w:noWrap/>
            <w:vAlign w:val="center"/>
            <w:hideMark/>
          </w:tcPr>
          <w:p w14:paraId="465E52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DUPLEK</w:t>
            </w:r>
          </w:p>
        </w:tc>
      </w:tr>
      <w:tr w:rsidR="00F24E18" w14:paraId="0F39F98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6A23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1227</w:t>
            </w:r>
          </w:p>
        </w:tc>
        <w:tc>
          <w:tcPr>
            <w:tcW w:w="1300" w:type="dxa"/>
            <w:tcBorders>
              <w:top w:val="nil"/>
              <w:left w:val="nil"/>
              <w:bottom w:val="single" w:sz="4" w:space="0" w:color="auto"/>
              <w:right w:val="single" w:sz="4" w:space="0" w:color="auto"/>
            </w:tcBorders>
            <w:noWrap/>
            <w:vAlign w:val="center"/>
            <w:hideMark/>
          </w:tcPr>
          <w:p w14:paraId="12DB0E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5083141000</w:t>
            </w:r>
          </w:p>
        </w:tc>
        <w:tc>
          <w:tcPr>
            <w:tcW w:w="1012" w:type="dxa"/>
            <w:tcBorders>
              <w:top w:val="nil"/>
              <w:left w:val="nil"/>
              <w:bottom w:val="single" w:sz="4" w:space="0" w:color="auto"/>
              <w:right w:val="single" w:sz="4" w:space="0" w:color="auto"/>
            </w:tcBorders>
            <w:noWrap/>
            <w:vAlign w:val="center"/>
            <w:hideMark/>
          </w:tcPr>
          <w:p w14:paraId="78C2B1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84366451</w:t>
            </w:r>
          </w:p>
        </w:tc>
        <w:tc>
          <w:tcPr>
            <w:tcW w:w="5953" w:type="dxa"/>
            <w:tcBorders>
              <w:top w:val="nil"/>
              <w:left w:val="nil"/>
              <w:bottom w:val="single" w:sz="4" w:space="0" w:color="auto"/>
              <w:right w:val="single" w:sz="4" w:space="0" w:color="auto"/>
            </w:tcBorders>
            <w:noWrap/>
            <w:vAlign w:val="center"/>
            <w:hideMark/>
          </w:tcPr>
          <w:p w14:paraId="600DDF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DUŠANA BORDONA SEMEDELA-KOPER SCUOLA ELEMENTARE DUŠAN BORDON SEMEDELLA-CAPODISTRIA</w:t>
            </w:r>
          </w:p>
        </w:tc>
      </w:tr>
      <w:tr w:rsidR="00F24E18" w14:paraId="74D8BF6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25BB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1228</w:t>
            </w:r>
          </w:p>
        </w:tc>
        <w:tc>
          <w:tcPr>
            <w:tcW w:w="1300" w:type="dxa"/>
            <w:tcBorders>
              <w:top w:val="nil"/>
              <w:left w:val="nil"/>
              <w:bottom w:val="single" w:sz="4" w:space="0" w:color="auto"/>
              <w:right w:val="single" w:sz="4" w:space="0" w:color="auto"/>
            </w:tcBorders>
            <w:vAlign w:val="center"/>
            <w:hideMark/>
          </w:tcPr>
          <w:p w14:paraId="489AF8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5085853000</w:t>
            </w:r>
          </w:p>
        </w:tc>
        <w:tc>
          <w:tcPr>
            <w:tcW w:w="1012" w:type="dxa"/>
            <w:tcBorders>
              <w:top w:val="nil"/>
              <w:left w:val="nil"/>
              <w:bottom w:val="single" w:sz="4" w:space="0" w:color="auto"/>
              <w:right w:val="single" w:sz="4" w:space="0" w:color="auto"/>
            </w:tcBorders>
            <w:vAlign w:val="center"/>
            <w:hideMark/>
          </w:tcPr>
          <w:p w14:paraId="7C47EC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37423754</w:t>
            </w:r>
          </w:p>
        </w:tc>
        <w:tc>
          <w:tcPr>
            <w:tcW w:w="5953" w:type="dxa"/>
            <w:tcBorders>
              <w:top w:val="nil"/>
              <w:left w:val="nil"/>
              <w:bottom w:val="single" w:sz="4" w:space="0" w:color="auto"/>
              <w:right w:val="single" w:sz="4" w:space="0" w:color="auto"/>
            </w:tcBorders>
            <w:noWrap/>
            <w:vAlign w:val="center"/>
            <w:hideMark/>
          </w:tcPr>
          <w:p w14:paraId="6E41FE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DUŠANA FLISA HOČE</w:t>
            </w:r>
          </w:p>
        </w:tc>
      </w:tr>
      <w:tr w:rsidR="00F24E18" w14:paraId="44A559B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34F1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1229</w:t>
            </w:r>
          </w:p>
        </w:tc>
        <w:tc>
          <w:tcPr>
            <w:tcW w:w="1300" w:type="dxa"/>
            <w:tcBorders>
              <w:top w:val="nil"/>
              <w:left w:val="nil"/>
              <w:bottom w:val="single" w:sz="4" w:space="0" w:color="auto"/>
              <w:right w:val="single" w:sz="4" w:space="0" w:color="auto"/>
            </w:tcBorders>
            <w:noWrap/>
            <w:vAlign w:val="center"/>
            <w:hideMark/>
          </w:tcPr>
          <w:p w14:paraId="1C2AFF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5089506000</w:t>
            </w:r>
          </w:p>
        </w:tc>
        <w:tc>
          <w:tcPr>
            <w:tcW w:w="1012" w:type="dxa"/>
            <w:tcBorders>
              <w:top w:val="nil"/>
              <w:left w:val="nil"/>
              <w:bottom w:val="single" w:sz="4" w:space="0" w:color="auto"/>
              <w:right w:val="single" w:sz="4" w:space="0" w:color="auto"/>
            </w:tcBorders>
            <w:noWrap/>
            <w:vAlign w:val="center"/>
            <w:hideMark/>
          </w:tcPr>
          <w:p w14:paraId="38A93B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59594063</w:t>
            </w:r>
          </w:p>
        </w:tc>
        <w:tc>
          <w:tcPr>
            <w:tcW w:w="5953" w:type="dxa"/>
            <w:tcBorders>
              <w:top w:val="nil"/>
              <w:left w:val="nil"/>
              <w:bottom w:val="single" w:sz="4" w:space="0" w:color="auto"/>
              <w:right w:val="single" w:sz="4" w:space="0" w:color="auto"/>
            </w:tcBorders>
            <w:noWrap/>
            <w:vAlign w:val="center"/>
            <w:hideMark/>
          </w:tcPr>
          <w:p w14:paraId="4F6083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DUŠANA MUNIHA MOST NA SOČI</w:t>
            </w:r>
          </w:p>
        </w:tc>
      </w:tr>
      <w:tr w:rsidR="00F24E18" w14:paraId="240937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6F0F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1230</w:t>
            </w:r>
          </w:p>
        </w:tc>
        <w:tc>
          <w:tcPr>
            <w:tcW w:w="1300" w:type="dxa"/>
            <w:tcBorders>
              <w:top w:val="nil"/>
              <w:left w:val="nil"/>
              <w:bottom w:val="single" w:sz="4" w:space="0" w:color="auto"/>
              <w:right w:val="single" w:sz="4" w:space="0" w:color="auto"/>
            </w:tcBorders>
            <w:noWrap/>
            <w:vAlign w:val="center"/>
            <w:hideMark/>
          </w:tcPr>
          <w:p w14:paraId="3DA15C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5087546000</w:t>
            </w:r>
          </w:p>
        </w:tc>
        <w:tc>
          <w:tcPr>
            <w:tcW w:w="1012" w:type="dxa"/>
            <w:tcBorders>
              <w:top w:val="nil"/>
              <w:left w:val="nil"/>
              <w:bottom w:val="single" w:sz="4" w:space="0" w:color="auto"/>
              <w:right w:val="single" w:sz="4" w:space="0" w:color="auto"/>
            </w:tcBorders>
            <w:noWrap/>
            <w:vAlign w:val="center"/>
            <w:hideMark/>
          </w:tcPr>
          <w:p w14:paraId="7268B6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71215719</w:t>
            </w:r>
          </w:p>
        </w:tc>
        <w:tc>
          <w:tcPr>
            <w:tcW w:w="5953" w:type="dxa"/>
            <w:tcBorders>
              <w:top w:val="nil"/>
              <w:left w:val="nil"/>
              <w:bottom w:val="single" w:sz="4" w:space="0" w:color="auto"/>
              <w:right w:val="single" w:sz="4" w:space="0" w:color="auto"/>
            </w:tcBorders>
            <w:noWrap/>
            <w:vAlign w:val="center"/>
            <w:hideMark/>
          </w:tcPr>
          <w:p w14:paraId="363ED8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DUTOVLJE</w:t>
            </w:r>
          </w:p>
        </w:tc>
      </w:tr>
      <w:tr w:rsidR="00F24E18" w14:paraId="1B94A1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B1B7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1231</w:t>
            </w:r>
          </w:p>
        </w:tc>
        <w:tc>
          <w:tcPr>
            <w:tcW w:w="1300" w:type="dxa"/>
            <w:tcBorders>
              <w:top w:val="nil"/>
              <w:left w:val="nil"/>
              <w:bottom w:val="single" w:sz="4" w:space="0" w:color="auto"/>
              <w:right w:val="single" w:sz="4" w:space="0" w:color="auto"/>
            </w:tcBorders>
            <w:noWrap/>
            <w:vAlign w:val="center"/>
            <w:hideMark/>
          </w:tcPr>
          <w:p w14:paraId="0CC8B2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5083168000</w:t>
            </w:r>
          </w:p>
        </w:tc>
        <w:tc>
          <w:tcPr>
            <w:tcW w:w="1012" w:type="dxa"/>
            <w:tcBorders>
              <w:top w:val="nil"/>
              <w:left w:val="nil"/>
              <w:bottom w:val="single" w:sz="4" w:space="0" w:color="auto"/>
              <w:right w:val="single" w:sz="4" w:space="0" w:color="auto"/>
            </w:tcBorders>
            <w:noWrap/>
            <w:vAlign w:val="center"/>
            <w:hideMark/>
          </w:tcPr>
          <w:p w14:paraId="0A65B9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22889426</w:t>
            </w:r>
          </w:p>
        </w:tc>
        <w:tc>
          <w:tcPr>
            <w:tcW w:w="5953" w:type="dxa"/>
            <w:tcBorders>
              <w:top w:val="nil"/>
              <w:left w:val="nil"/>
              <w:bottom w:val="single" w:sz="4" w:space="0" w:color="auto"/>
              <w:right w:val="single" w:sz="4" w:space="0" w:color="auto"/>
            </w:tcBorders>
            <w:noWrap/>
            <w:vAlign w:val="center"/>
            <w:hideMark/>
          </w:tcPr>
          <w:p w14:paraId="7B7A3D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ELVIRE VATOVEC PRADE - KOPER SCUOLA ELEMENTARE ELVIRA VATOVEC PRADE - CAPODISTRIA</w:t>
            </w:r>
          </w:p>
        </w:tc>
      </w:tr>
      <w:tr w:rsidR="00F24E18" w14:paraId="26B7693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0DFA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1232</w:t>
            </w:r>
          </w:p>
        </w:tc>
        <w:tc>
          <w:tcPr>
            <w:tcW w:w="1300" w:type="dxa"/>
            <w:tcBorders>
              <w:top w:val="nil"/>
              <w:left w:val="nil"/>
              <w:bottom w:val="single" w:sz="4" w:space="0" w:color="auto"/>
              <w:right w:val="single" w:sz="4" w:space="0" w:color="auto"/>
            </w:tcBorders>
            <w:vAlign w:val="center"/>
            <w:hideMark/>
          </w:tcPr>
          <w:p w14:paraId="23415A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5087325000</w:t>
            </w:r>
          </w:p>
        </w:tc>
        <w:tc>
          <w:tcPr>
            <w:tcW w:w="1012" w:type="dxa"/>
            <w:tcBorders>
              <w:top w:val="nil"/>
              <w:left w:val="nil"/>
              <w:bottom w:val="single" w:sz="4" w:space="0" w:color="auto"/>
              <w:right w:val="single" w:sz="4" w:space="0" w:color="auto"/>
            </w:tcBorders>
            <w:vAlign w:val="center"/>
            <w:hideMark/>
          </w:tcPr>
          <w:p w14:paraId="1D2734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61563455</w:t>
            </w:r>
          </w:p>
        </w:tc>
        <w:tc>
          <w:tcPr>
            <w:tcW w:w="5953" w:type="dxa"/>
            <w:tcBorders>
              <w:top w:val="nil"/>
              <w:left w:val="nil"/>
              <w:bottom w:val="single" w:sz="4" w:space="0" w:color="auto"/>
              <w:right w:val="single" w:sz="4" w:space="0" w:color="auto"/>
            </w:tcBorders>
            <w:noWrap/>
            <w:vAlign w:val="center"/>
            <w:hideMark/>
          </w:tcPr>
          <w:p w14:paraId="041EA5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F.S. FINŽGARJA LESCE</w:t>
            </w:r>
          </w:p>
        </w:tc>
      </w:tr>
      <w:tr w:rsidR="00F24E18" w14:paraId="61C587B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4D17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1233</w:t>
            </w:r>
          </w:p>
        </w:tc>
        <w:tc>
          <w:tcPr>
            <w:tcW w:w="1300" w:type="dxa"/>
            <w:tcBorders>
              <w:top w:val="nil"/>
              <w:left w:val="nil"/>
              <w:bottom w:val="single" w:sz="4" w:space="0" w:color="auto"/>
              <w:right w:val="single" w:sz="4" w:space="0" w:color="auto"/>
            </w:tcBorders>
            <w:noWrap/>
            <w:vAlign w:val="center"/>
            <w:hideMark/>
          </w:tcPr>
          <w:p w14:paraId="59983B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5083095000</w:t>
            </w:r>
          </w:p>
        </w:tc>
        <w:tc>
          <w:tcPr>
            <w:tcW w:w="1012" w:type="dxa"/>
            <w:tcBorders>
              <w:top w:val="nil"/>
              <w:left w:val="nil"/>
              <w:bottom w:val="single" w:sz="4" w:space="0" w:color="auto"/>
              <w:right w:val="single" w:sz="4" w:space="0" w:color="auto"/>
            </w:tcBorders>
            <w:noWrap/>
            <w:vAlign w:val="center"/>
            <w:hideMark/>
          </w:tcPr>
          <w:p w14:paraId="404066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56815905</w:t>
            </w:r>
          </w:p>
        </w:tc>
        <w:tc>
          <w:tcPr>
            <w:tcW w:w="5953" w:type="dxa"/>
            <w:tcBorders>
              <w:top w:val="nil"/>
              <w:left w:val="nil"/>
              <w:bottom w:val="single" w:sz="4" w:space="0" w:color="auto"/>
              <w:right w:val="single" w:sz="4" w:space="0" w:color="auto"/>
            </w:tcBorders>
            <w:noWrap/>
            <w:vAlign w:val="center"/>
            <w:hideMark/>
          </w:tcPr>
          <w:p w14:paraId="019C3C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FARA</w:t>
            </w:r>
          </w:p>
        </w:tc>
      </w:tr>
      <w:tr w:rsidR="00F24E18" w14:paraId="3A84C1C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F46A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1234</w:t>
            </w:r>
          </w:p>
        </w:tc>
        <w:tc>
          <w:tcPr>
            <w:tcW w:w="1300" w:type="dxa"/>
            <w:tcBorders>
              <w:top w:val="nil"/>
              <w:left w:val="nil"/>
              <w:bottom w:val="single" w:sz="4" w:space="0" w:color="auto"/>
              <w:right w:val="single" w:sz="4" w:space="0" w:color="auto"/>
            </w:tcBorders>
            <w:noWrap/>
            <w:vAlign w:val="center"/>
            <w:hideMark/>
          </w:tcPr>
          <w:p w14:paraId="48B7A7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5085624000</w:t>
            </w:r>
          </w:p>
        </w:tc>
        <w:tc>
          <w:tcPr>
            <w:tcW w:w="1012" w:type="dxa"/>
            <w:tcBorders>
              <w:top w:val="nil"/>
              <w:left w:val="nil"/>
              <w:bottom w:val="single" w:sz="4" w:space="0" w:color="auto"/>
              <w:right w:val="single" w:sz="4" w:space="0" w:color="auto"/>
            </w:tcBorders>
            <w:noWrap/>
            <w:vAlign w:val="center"/>
            <w:hideMark/>
          </w:tcPr>
          <w:p w14:paraId="48A933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79277802</w:t>
            </w:r>
          </w:p>
        </w:tc>
        <w:tc>
          <w:tcPr>
            <w:tcW w:w="5953" w:type="dxa"/>
            <w:tcBorders>
              <w:top w:val="nil"/>
              <w:left w:val="nil"/>
              <w:bottom w:val="single" w:sz="4" w:space="0" w:color="auto"/>
              <w:right w:val="single" w:sz="4" w:space="0" w:color="auto"/>
            </w:tcBorders>
            <w:noWrap/>
            <w:vAlign w:val="center"/>
            <w:hideMark/>
          </w:tcPr>
          <w:p w14:paraId="1E1C30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FOKOVCI</w:t>
            </w:r>
          </w:p>
        </w:tc>
      </w:tr>
      <w:tr w:rsidR="00F24E18" w14:paraId="62F0E84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09DF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1235</w:t>
            </w:r>
          </w:p>
        </w:tc>
        <w:tc>
          <w:tcPr>
            <w:tcW w:w="1300" w:type="dxa"/>
            <w:tcBorders>
              <w:top w:val="nil"/>
              <w:left w:val="nil"/>
              <w:bottom w:val="single" w:sz="4" w:space="0" w:color="auto"/>
              <w:right w:val="single" w:sz="4" w:space="0" w:color="auto"/>
            </w:tcBorders>
            <w:vAlign w:val="center"/>
            <w:hideMark/>
          </w:tcPr>
          <w:p w14:paraId="1FD322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5085241000</w:t>
            </w:r>
          </w:p>
        </w:tc>
        <w:tc>
          <w:tcPr>
            <w:tcW w:w="1012" w:type="dxa"/>
            <w:tcBorders>
              <w:top w:val="nil"/>
              <w:left w:val="nil"/>
              <w:bottom w:val="single" w:sz="4" w:space="0" w:color="auto"/>
              <w:right w:val="single" w:sz="4" w:space="0" w:color="auto"/>
            </w:tcBorders>
            <w:vAlign w:val="center"/>
            <w:hideMark/>
          </w:tcPr>
          <w:p w14:paraId="01D145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20947879</w:t>
            </w:r>
          </w:p>
        </w:tc>
        <w:tc>
          <w:tcPr>
            <w:tcW w:w="5953" w:type="dxa"/>
            <w:tcBorders>
              <w:top w:val="nil"/>
              <w:left w:val="nil"/>
              <w:bottom w:val="single" w:sz="4" w:space="0" w:color="auto"/>
              <w:right w:val="single" w:sz="4" w:space="0" w:color="auto"/>
            </w:tcBorders>
            <w:noWrap/>
            <w:vAlign w:val="center"/>
            <w:hideMark/>
          </w:tcPr>
          <w:p w14:paraId="545F31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FRAM</w:t>
            </w:r>
          </w:p>
        </w:tc>
      </w:tr>
      <w:tr w:rsidR="00F24E18" w14:paraId="4C6E5A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0C95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1236</w:t>
            </w:r>
          </w:p>
        </w:tc>
        <w:tc>
          <w:tcPr>
            <w:tcW w:w="1300" w:type="dxa"/>
            <w:tcBorders>
              <w:top w:val="nil"/>
              <w:left w:val="nil"/>
              <w:bottom w:val="single" w:sz="4" w:space="0" w:color="auto"/>
              <w:right w:val="single" w:sz="4" w:space="0" w:color="auto"/>
            </w:tcBorders>
            <w:vAlign w:val="center"/>
            <w:hideMark/>
          </w:tcPr>
          <w:p w14:paraId="30C123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5083036000</w:t>
            </w:r>
          </w:p>
        </w:tc>
        <w:tc>
          <w:tcPr>
            <w:tcW w:w="1012" w:type="dxa"/>
            <w:tcBorders>
              <w:top w:val="nil"/>
              <w:left w:val="nil"/>
              <w:bottom w:val="single" w:sz="4" w:space="0" w:color="auto"/>
              <w:right w:val="single" w:sz="4" w:space="0" w:color="auto"/>
            </w:tcBorders>
            <w:vAlign w:val="center"/>
            <w:hideMark/>
          </w:tcPr>
          <w:p w14:paraId="7C78AE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64526208</w:t>
            </w:r>
          </w:p>
        </w:tc>
        <w:tc>
          <w:tcPr>
            <w:tcW w:w="5953" w:type="dxa"/>
            <w:tcBorders>
              <w:top w:val="nil"/>
              <w:left w:val="nil"/>
              <w:bottom w:val="single" w:sz="4" w:space="0" w:color="auto"/>
              <w:right w:val="single" w:sz="4" w:space="0" w:color="auto"/>
            </w:tcBorders>
            <w:noWrap/>
            <w:vAlign w:val="center"/>
            <w:hideMark/>
          </w:tcPr>
          <w:p w14:paraId="3CC429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FRANA ALBREHTA KAMNIK</w:t>
            </w:r>
          </w:p>
        </w:tc>
      </w:tr>
      <w:tr w:rsidR="00F24E18" w14:paraId="3286B7D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9D73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1237</w:t>
            </w:r>
          </w:p>
        </w:tc>
        <w:tc>
          <w:tcPr>
            <w:tcW w:w="1300" w:type="dxa"/>
            <w:tcBorders>
              <w:top w:val="nil"/>
              <w:left w:val="nil"/>
              <w:bottom w:val="single" w:sz="4" w:space="0" w:color="auto"/>
              <w:right w:val="single" w:sz="4" w:space="0" w:color="auto"/>
            </w:tcBorders>
            <w:vAlign w:val="center"/>
            <w:hideMark/>
          </w:tcPr>
          <w:p w14:paraId="736FCA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5221625000</w:t>
            </w:r>
          </w:p>
        </w:tc>
        <w:tc>
          <w:tcPr>
            <w:tcW w:w="1012" w:type="dxa"/>
            <w:tcBorders>
              <w:top w:val="nil"/>
              <w:left w:val="nil"/>
              <w:bottom w:val="single" w:sz="4" w:space="0" w:color="auto"/>
              <w:right w:val="single" w:sz="4" w:space="0" w:color="auto"/>
            </w:tcBorders>
            <w:vAlign w:val="center"/>
            <w:hideMark/>
          </w:tcPr>
          <w:p w14:paraId="22BE19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50989456</w:t>
            </w:r>
          </w:p>
        </w:tc>
        <w:tc>
          <w:tcPr>
            <w:tcW w:w="5953" w:type="dxa"/>
            <w:tcBorders>
              <w:top w:val="nil"/>
              <w:left w:val="nil"/>
              <w:bottom w:val="single" w:sz="4" w:space="0" w:color="auto"/>
              <w:right w:val="single" w:sz="4" w:space="0" w:color="auto"/>
            </w:tcBorders>
            <w:noWrap/>
            <w:vAlign w:val="center"/>
            <w:hideMark/>
          </w:tcPr>
          <w:p w14:paraId="71F72D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FRANA ERJAVCA NOVA GORICA</w:t>
            </w:r>
          </w:p>
        </w:tc>
      </w:tr>
      <w:tr w:rsidR="00F24E18" w14:paraId="3CE953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476E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1238</w:t>
            </w:r>
          </w:p>
        </w:tc>
        <w:tc>
          <w:tcPr>
            <w:tcW w:w="1300" w:type="dxa"/>
            <w:tcBorders>
              <w:top w:val="nil"/>
              <w:left w:val="nil"/>
              <w:bottom w:val="single" w:sz="4" w:space="0" w:color="auto"/>
              <w:right w:val="single" w:sz="4" w:space="0" w:color="auto"/>
            </w:tcBorders>
            <w:noWrap/>
            <w:vAlign w:val="center"/>
            <w:hideMark/>
          </w:tcPr>
          <w:p w14:paraId="506226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5082641000</w:t>
            </w:r>
          </w:p>
        </w:tc>
        <w:tc>
          <w:tcPr>
            <w:tcW w:w="1012" w:type="dxa"/>
            <w:tcBorders>
              <w:top w:val="nil"/>
              <w:left w:val="nil"/>
              <w:bottom w:val="single" w:sz="4" w:space="0" w:color="auto"/>
              <w:right w:val="single" w:sz="4" w:space="0" w:color="auto"/>
            </w:tcBorders>
            <w:noWrap/>
            <w:vAlign w:val="center"/>
            <w:hideMark/>
          </w:tcPr>
          <w:p w14:paraId="60661D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27612457</w:t>
            </w:r>
          </w:p>
        </w:tc>
        <w:tc>
          <w:tcPr>
            <w:tcW w:w="5953" w:type="dxa"/>
            <w:tcBorders>
              <w:top w:val="nil"/>
              <w:left w:val="nil"/>
              <w:bottom w:val="single" w:sz="4" w:space="0" w:color="auto"/>
              <w:right w:val="single" w:sz="4" w:space="0" w:color="auto"/>
            </w:tcBorders>
            <w:noWrap/>
            <w:vAlign w:val="center"/>
            <w:hideMark/>
          </w:tcPr>
          <w:p w14:paraId="488BF9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FRANA KRANJCA</w:t>
            </w:r>
          </w:p>
        </w:tc>
      </w:tr>
      <w:tr w:rsidR="00F24E18" w14:paraId="03754EB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3527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w:t>
            </w:r>
          </w:p>
        </w:tc>
        <w:tc>
          <w:tcPr>
            <w:tcW w:w="1300" w:type="dxa"/>
            <w:tcBorders>
              <w:top w:val="nil"/>
              <w:left w:val="nil"/>
              <w:bottom w:val="single" w:sz="4" w:space="0" w:color="auto"/>
              <w:right w:val="single" w:sz="4" w:space="0" w:color="auto"/>
            </w:tcBorders>
            <w:noWrap/>
            <w:vAlign w:val="center"/>
            <w:hideMark/>
          </w:tcPr>
          <w:p w14:paraId="383DDB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5086388000</w:t>
            </w:r>
          </w:p>
        </w:tc>
        <w:tc>
          <w:tcPr>
            <w:tcW w:w="1012" w:type="dxa"/>
            <w:tcBorders>
              <w:top w:val="nil"/>
              <w:left w:val="nil"/>
              <w:bottom w:val="single" w:sz="4" w:space="0" w:color="auto"/>
              <w:right w:val="single" w:sz="4" w:space="0" w:color="auto"/>
            </w:tcBorders>
            <w:noWrap/>
            <w:vAlign w:val="center"/>
            <w:hideMark/>
          </w:tcPr>
          <w:p w14:paraId="381E58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70483345</w:t>
            </w:r>
          </w:p>
        </w:tc>
        <w:tc>
          <w:tcPr>
            <w:tcW w:w="5953" w:type="dxa"/>
            <w:tcBorders>
              <w:top w:val="nil"/>
              <w:left w:val="nil"/>
              <w:bottom w:val="single" w:sz="4" w:space="0" w:color="auto"/>
              <w:right w:val="single" w:sz="4" w:space="0" w:color="auto"/>
            </w:tcBorders>
            <w:noWrap/>
            <w:vAlign w:val="center"/>
            <w:hideMark/>
          </w:tcPr>
          <w:p w14:paraId="7F33DB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FRANA METELKA ŠKOCJAN</w:t>
            </w:r>
          </w:p>
        </w:tc>
      </w:tr>
      <w:tr w:rsidR="00F24E18" w14:paraId="3DC2B5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59C1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1240</w:t>
            </w:r>
          </w:p>
        </w:tc>
        <w:tc>
          <w:tcPr>
            <w:tcW w:w="1300" w:type="dxa"/>
            <w:tcBorders>
              <w:top w:val="nil"/>
              <w:left w:val="nil"/>
              <w:bottom w:val="single" w:sz="4" w:space="0" w:color="auto"/>
              <w:right w:val="single" w:sz="4" w:space="0" w:color="auto"/>
            </w:tcBorders>
            <w:noWrap/>
            <w:vAlign w:val="center"/>
            <w:hideMark/>
          </w:tcPr>
          <w:p w14:paraId="7C5507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5186650000</w:t>
            </w:r>
          </w:p>
        </w:tc>
        <w:tc>
          <w:tcPr>
            <w:tcW w:w="1012" w:type="dxa"/>
            <w:tcBorders>
              <w:top w:val="nil"/>
              <w:left w:val="nil"/>
              <w:bottom w:val="single" w:sz="4" w:space="0" w:color="auto"/>
              <w:right w:val="single" w:sz="4" w:space="0" w:color="auto"/>
            </w:tcBorders>
            <w:noWrap/>
            <w:vAlign w:val="center"/>
            <w:hideMark/>
          </w:tcPr>
          <w:p w14:paraId="651A55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89921658</w:t>
            </w:r>
          </w:p>
        </w:tc>
        <w:tc>
          <w:tcPr>
            <w:tcW w:w="5953" w:type="dxa"/>
            <w:tcBorders>
              <w:top w:val="nil"/>
              <w:left w:val="nil"/>
              <w:bottom w:val="single" w:sz="4" w:space="0" w:color="auto"/>
              <w:right w:val="single" w:sz="4" w:space="0" w:color="auto"/>
            </w:tcBorders>
            <w:noWrap/>
            <w:vAlign w:val="center"/>
            <w:hideMark/>
          </w:tcPr>
          <w:p w14:paraId="3E4D7D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FRANA ROŠA</w:t>
            </w:r>
          </w:p>
        </w:tc>
      </w:tr>
      <w:tr w:rsidR="00F24E18" w14:paraId="35C7C6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A8E4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1241</w:t>
            </w:r>
          </w:p>
        </w:tc>
        <w:tc>
          <w:tcPr>
            <w:tcW w:w="1300" w:type="dxa"/>
            <w:tcBorders>
              <w:top w:val="nil"/>
              <w:left w:val="nil"/>
              <w:bottom w:val="single" w:sz="4" w:space="0" w:color="auto"/>
              <w:right w:val="single" w:sz="4" w:space="0" w:color="auto"/>
            </w:tcBorders>
            <w:noWrap/>
            <w:vAlign w:val="center"/>
            <w:hideMark/>
          </w:tcPr>
          <w:p w14:paraId="775D88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5085306000</w:t>
            </w:r>
          </w:p>
        </w:tc>
        <w:tc>
          <w:tcPr>
            <w:tcW w:w="1012" w:type="dxa"/>
            <w:tcBorders>
              <w:top w:val="nil"/>
              <w:left w:val="nil"/>
              <w:bottom w:val="single" w:sz="4" w:space="0" w:color="auto"/>
              <w:right w:val="single" w:sz="4" w:space="0" w:color="auto"/>
            </w:tcBorders>
            <w:noWrap/>
            <w:vAlign w:val="center"/>
            <w:hideMark/>
          </w:tcPr>
          <w:p w14:paraId="5A487B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69830835</w:t>
            </w:r>
          </w:p>
        </w:tc>
        <w:tc>
          <w:tcPr>
            <w:tcW w:w="5953" w:type="dxa"/>
            <w:tcBorders>
              <w:top w:val="nil"/>
              <w:left w:val="nil"/>
              <w:bottom w:val="single" w:sz="4" w:space="0" w:color="auto"/>
              <w:right w:val="single" w:sz="4" w:space="0" w:color="auto"/>
            </w:tcBorders>
            <w:noWrap/>
            <w:vAlign w:val="center"/>
            <w:hideMark/>
          </w:tcPr>
          <w:p w14:paraId="29C2EB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FRANCA LEŠNIKA-VUKA SLIVNICA PRI MARIBORU</w:t>
            </w:r>
          </w:p>
        </w:tc>
      </w:tr>
      <w:tr w:rsidR="00F24E18" w14:paraId="2F42C7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1404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1242</w:t>
            </w:r>
          </w:p>
        </w:tc>
        <w:tc>
          <w:tcPr>
            <w:tcW w:w="1300" w:type="dxa"/>
            <w:tcBorders>
              <w:top w:val="nil"/>
              <w:left w:val="nil"/>
              <w:bottom w:val="single" w:sz="4" w:space="0" w:color="auto"/>
              <w:right w:val="single" w:sz="4" w:space="0" w:color="auto"/>
            </w:tcBorders>
            <w:noWrap/>
            <w:vAlign w:val="center"/>
            <w:hideMark/>
          </w:tcPr>
          <w:p w14:paraId="37058E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5085837000</w:t>
            </w:r>
          </w:p>
        </w:tc>
        <w:tc>
          <w:tcPr>
            <w:tcW w:w="1012" w:type="dxa"/>
            <w:tcBorders>
              <w:top w:val="nil"/>
              <w:left w:val="nil"/>
              <w:bottom w:val="single" w:sz="4" w:space="0" w:color="auto"/>
              <w:right w:val="single" w:sz="4" w:space="0" w:color="auto"/>
            </w:tcBorders>
            <w:noWrap/>
            <w:vAlign w:val="center"/>
            <w:hideMark/>
          </w:tcPr>
          <w:p w14:paraId="6B26D9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25901010</w:t>
            </w:r>
          </w:p>
        </w:tc>
        <w:tc>
          <w:tcPr>
            <w:tcW w:w="5953" w:type="dxa"/>
            <w:tcBorders>
              <w:top w:val="nil"/>
              <w:left w:val="nil"/>
              <w:bottom w:val="single" w:sz="4" w:space="0" w:color="auto"/>
              <w:right w:val="single" w:sz="4" w:space="0" w:color="auto"/>
            </w:tcBorders>
            <w:noWrap/>
            <w:vAlign w:val="center"/>
            <w:hideMark/>
          </w:tcPr>
          <w:p w14:paraId="4C81EB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FRANCA ROZMANA-STANETA MARIBOR</w:t>
            </w:r>
          </w:p>
        </w:tc>
      </w:tr>
      <w:tr w:rsidR="00F24E18" w14:paraId="64B225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ECF6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1243</w:t>
            </w:r>
          </w:p>
        </w:tc>
        <w:tc>
          <w:tcPr>
            <w:tcW w:w="1300" w:type="dxa"/>
            <w:tcBorders>
              <w:top w:val="nil"/>
              <w:left w:val="nil"/>
              <w:bottom w:val="single" w:sz="4" w:space="0" w:color="auto"/>
              <w:right w:val="single" w:sz="4" w:space="0" w:color="auto"/>
            </w:tcBorders>
            <w:noWrap/>
            <w:vAlign w:val="center"/>
            <w:hideMark/>
          </w:tcPr>
          <w:p w14:paraId="30B208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5083419000</w:t>
            </w:r>
          </w:p>
        </w:tc>
        <w:tc>
          <w:tcPr>
            <w:tcW w:w="1012" w:type="dxa"/>
            <w:tcBorders>
              <w:top w:val="nil"/>
              <w:left w:val="nil"/>
              <w:bottom w:val="single" w:sz="4" w:space="0" w:color="auto"/>
              <w:right w:val="single" w:sz="4" w:space="0" w:color="auto"/>
            </w:tcBorders>
            <w:noWrap/>
            <w:vAlign w:val="center"/>
            <w:hideMark/>
          </w:tcPr>
          <w:p w14:paraId="390FDF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75844818</w:t>
            </w:r>
          </w:p>
        </w:tc>
        <w:tc>
          <w:tcPr>
            <w:tcW w:w="5953" w:type="dxa"/>
            <w:tcBorders>
              <w:top w:val="nil"/>
              <w:left w:val="nil"/>
              <w:bottom w:val="single" w:sz="4" w:space="0" w:color="auto"/>
              <w:right w:val="single" w:sz="4" w:space="0" w:color="auto"/>
            </w:tcBorders>
            <w:noWrap/>
            <w:vAlign w:val="center"/>
            <w:hideMark/>
          </w:tcPr>
          <w:p w14:paraId="30F93D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FRANCETA BEVKA</w:t>
            </w:r>
          </w:p>
        </w:tc>
      </w:tr>
      <w:tr w:rsidR="00F24E18" w14:paraId="0369EC2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4D72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1244</w:t>
            </w:r>
          </w:p>
        </w:tc>
        <w:tc>
          <w:tcPr>
            <w:tcW w:w="1300" w:type="dxa"/>
            <w:tcBorders>
              <w:top w:val="nil"/>
              <w:left w:val="nil"/>
              <w:bottom w:val="single" w:sz="4" w:space="0" w:color="auto"/>
              <w:right w:val="single" w:sz="4" w:space="0" w:color="auto"/>
            </w:tcBorders>
            <w:noWrap/>
            <w:vAlign w:val="center"/>
            <w:hideMark/>
          </w:tcPr>
          <w:p w14:paraId="331D6B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5272653000</w:t>
            </w:r>
          </w:p>
        </w:tc>
        <w:tc>
          <w:tcPr>
            <w:tcW w:w="1012" w:type="dxa"/>
            <w:tcBorders>
              <w:top w:val="nil"/>
              <w:left w:val="nil"/>
              <w:bottom w:val="single" w:sz="4" w:space="0" w:color="auto"/>
              <w:right w:val="single" w:sz="4" w:space="0" w:color="auto"/>
            </w:tcBorders>
            <w:noWrap/>
            <w:vAlign w:val="center"/>
            <w:hideMark/>
          </w:tcPr>
          <w:p w14:paraId="0AB908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27755975</w:t>
            </w:r>
          </w:p>
        </w:tc>
        <w:tc>
          <w:tcPr>
            <w:tcW w:w="5953" w:type="dxa"/>
            <w:tcBorders>
              <w:top w:val="nil"/>
              <w:left w:val="nil"/>
              <w:bottom w:val="single" w:sz="4" w:space="0" w:color="auto"/>
              <w:right w:val="single" w:sz="4" w:space="0" w:color="auto"/>
            </w:tcBorders>
            <w:noWrap/>
            <w:vAlign w:val="center"/>
            <w:hideMark/>
          </w:tcPr>
          <w:p w14:paraId="777FF8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FRANCETA BEVKA TOLMIN</w:t>
            </w:r>
          </w:p>
        </w:tc>
      </w:tr>
      <w:tr w:rsidR="00F24E18" w14:paraId="216CDB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9642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1245</w:t>
            </w:r>
          </w:p>
        </w:tc>
        <w:tc>
          <w:tcPr>
            <w:tcW w:w="1300" w:type="dxa"/>
            <w:tcBorders>
              <w:top w:val="nil"/>
              <w:left w:val="nil"/>
              <w:bottom w:val="single" w:sz="4" w:space="0" w:color="auto"/>
              <w:right w:val="single" w:sz="4" w:space="0" w:color="auto"/>
            </w:tcBorders>
            <w:noWrap/>
            <w:vAlign w:val="center"/>
            <w:hideMark/>
          </w:tcPr>
          <w:p w14:paraId="4C9364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5089697000</w:t>
            </w:r>
          </w:p>
        </w:tc>
        <w:tc>
          <w:tcPr>
            <w:tcW w:w="1012" w:type="dxa"/>
            <w:tcBorders>
              <w:top w:val="nil"/>
              <w:left w:val="nil"/>
              <w:bottom w:val="single" w:sz="4" w:space="0" w:color="auto"/>
              <w:right w:val="single" w:sz="4" w:space="0" w:color="auto"/>
            </w:tcBorders>
            <w:vAlign w:val="center"/>
            <w:hideMark/>
          </w:tcPr>
          <w:p w14:paraId="4D90F3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16814487</w:t>
            </w:r>
          </w:p>
        </w:tc>
        <w:tc>
          <w:tcPr>
            <w:tcW w:w="5953" w:type="dxa"/>
            <w:tcBorders>
              <w:top w:val="nil"/>
              <w:left w:val="nil"/>
              <w:bottom w:val="single" w:sz="4" w:space="0" w:color="auto"/>
              <w:right w:val="single" w:sz="4" w:space="0" w:color="auto"/>
            </w:tcBorders>
            <w:noWrap/>
            <w:vAlign w:val="center"/>
            <w:hideMark/>
          </w:tcPr>
          <w:p w14:paraId="4CE251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FRANCETA PREŠERNA ČRENŠOVCI</w:t>
            </w:r>
          </w:p>
        </w:tc>
      </w:tr>
      <w:tr w:rsidR="00F24E18" w14:paraId="411DFA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1B08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1246</w:t>
            </w:r>
          </w:p>
        </w:tc>
        <w:tc>
          <w:tcPr>
            <w:tcW w:w="1300" w:type="dxa"/>
            <w:tcBorders>
              <w:top w:val="nil"/>
              <w:left w:val="nil"/>
              <w:bottom w:val="single" w:sz="4" w:space="0" w:color="auto"/>
              <w:right w:val="single" w:sz="4" w:space="0" w:color="auto"/>
            </w:tcBorders>
            <w:noWrap/>
            <w:vAlign w:val="center"/>
            <w:hideMark/>
          </w:tcPr>
          <w:p w14:paraId="70339D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5086035000</w:t>
            </w:r>
          </w:p>
        </w:tc>
        <w:tc>
          <w:tcPr>
            <w:tcW w:w="1012" w:type="dxa"/>
            <w:tcBorders>
              <w:top w:val="nil"/>
              <w:left w:val="nil"/>
              <w:bottom w:val="single" w:sz="4" w:space="0" w:color="auto"/>
              <w:right w:val="single" w:sz="4" w:space="0" w:color="auto"/>
            </w:tcBorders>
            <w:noWrap/>
            <w:vAlign w:val="center"/>
            <w:hideMark/>
          </w:tcPr>
          <w:p w14:paraId="072A89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94256454</w:t>
            </w:r>
          </w:p>
        </w:tc>
        <w:tc>
          <w:tcPr>
            <w:tcW w:w="5953" w:type="dxa"/>
            <w:tcBorders>
              <w:top w:val="nil"/>
              <w:left w:val="nil"/>
              <w:bottom w:val="single" w:sz="4" w:space="0" w:color="auto"/>
              <w:right w:val="single" w:sz="4" w:space="0" w:color="auto"/>
            </w:tcBorders>
            <w:noWrap/>
            <w:vAlign w:val="center"/>
            <w:hideMark/>
          </w:tcPr>
          <w:p w14:paraId="05D7C1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FRANCETA PREŠERNA KRANJ</w:t>
            </w:r>
          </w:p>
        </w:tc>
      </w:tr>
      <w:tr w:rsidR="00F24E18" w14:paraId="7EB791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203E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1247</w:t>
            </w:r>
          </w:p>
        </w:tc>
        <w:tc>
          <w:tcPr>
            <w:tcW w:w="1300" w:type="dxa"/>
            <w:tcBorders>
              <w:top w:val="nil"/>
              <w:left w:val="nil"/>
              <w:bottom w:val="single" w:sz="4" w:space="0" w:color="auto"/>
              <w:right w:val="single" w:sz="4" w:space="0" w:color="auto"/>
            </w:tcBorders>
            <w:noWrap/>
            <w:vAlign w:val="center"/>
            <w:hideMark/>
          </w:tcPr>
          <w:p w14:paraId="0E199F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5085195000</w:t>
            </w:r>
          </w:p>
        </w:tc>
        <w:tc>
          <w:tcPr>
            <w:tcW w:w="1012" w:type="dxa"/>
            <w:tcBorders>
              <w:top w:val="nil"/>
              <w:left w:val="nil"/>
              <w:bottom w:val="single" w:sz="4" w:space="0" w:color="auto"/>
              <w:right w:val="single" w:sz="4" w:space="0" w:color="auto"/>
            </w:tcBorders>
            <w:noWrap/>
            <w:vAlign w:val="center"/>
            <w:hideMark/>
          </w:tcPr>
          <w:p w14:paraId="08114F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78028116</w:t>
            </w:r>
          </w:p>
        </w:tc>
        <w:tc>
          <w:tcPr>
            <w:tcW w:w="5953" w:type="dxa"/>
            <w:tcBorders>
              <w:top w:val="nil"/>
              <w:left w:val="nil"/>
              <w:bottom w:val="single" w:sz="4" w:space="0" w:color="auto"/>
              <w:right w:val="single" w:sz="4" w:space="0" w:color="auto"/>
            </w:tcBorders>
            <w:noWrap/>
            <w:vAlign w:val="center"/>
            <w:hideMark/>
          </w:tcPr>
          <w:p w14:paraId="1B21E7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FRANCETA PREŠERNA MARIBOR</w:t>
            </w:r>
          </w:p>
        </w:tc>
      </w:tr>
      <w:tr w:rsidR="00F24E18" w14:paraId="01867F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65B7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1248</w:t>
            </w:r>
          </w:p>
        </w:tc>
        <w:tc>
          <w:tcPr>
            <w:tcW w:w="1300" w:type="dxa"/>
            <w:tcBorders>
              <w:top w:val="nil"/>
              <w:left w:val="nil"/>
              <w:bottom w:val="single" w:sz="4" w:space="0" w:color="auto"/>
              <w:right w:val="single" w:sz="4" w:space="0" w:color="auto"/>
            </w:tcBorders>
            <w:vAlign w:val="center"/>
            <w:hideMark/>
          </w:tcPr>
          <w:p w14:paraId="50505A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5087384000</w:t>
            </w:r>
          </w:p>
        </w:tc>
        <w:tc>
          <w:tcPr>
            <w:tcW w:w="1012" w:type="dxa"/>
            <w:tcBorders>
              <w:top w:val="nil"/>
              <w:left w:val="nil"/>
              <w:bottom w:val="single" w:sz="4" w:space="0" w:color="auto"/>
              <w:right w:val="single" w:sz="4" w:space="0" w:color="auto"/>
            </w:tcBorders>
            <w:vAlign w:val="center"/>
            <w:hideMark/>
          </w:tcPr>
          <w:p w14:paraId="359A6E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73077500</w:t>
            </w:r>
          </w:p>
        </w:tc>
        <w:tc>
          <w:tcPr>
            <w:tcW w:w="5953" w:type="dxa"/>
            <w:tcBorders>
              <w:top w:val="nil"/>
              <w:left w:val="nil"/>
              <w:bottom w:val="single" w:sz="4" w:space="0" w:color="auto"/>
              <w:right w:val="single" w:sz="4" w:space="0" w:color="auto"/>
            </w:tcBorders>
            <w:noWrap/>
            <w:vAlign w:val="center"/>
            <w:hideMark/>
          </w:tcPr>
          <w:p w14:paraId="008821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FRANJA GOLOBA PREVALJE</w:t>
            </w:r>
          </w:p>
        </w:tc>
      </w:tr>
      <w:tr w:rsidR="00F24E18" w14:paraId="561D84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C903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1249</w:t>
            </w:r>
          </w:p>
        </w:tc>
        <w:tc>
          <w:tcPr>
            <w:tcW w:w="1300" w:type="dxa"/>
            <w:tcBorders>
              <w:top w:val="nil"/>
              <w:left w:val="nil"/>
              <w:bottom w:val="single" w:sz="4" w:space="0" w:color="auto"/>
              <w:right w:val="single" w:sz="4" w:space="0" w:color="auto"/>
            </w:tcBorders>
            <w:vAlign w:val="center"/>
            <w:hideMark/>
          </w:tcPr>
          <w:p w14:paraId="7DA23A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5087805000</w:t>
            </w:r>
          </w:p>
        </w:tc>
        <w:tc>
          <w:tcPr>
            <w:tcW w:w="1012" w:type="dxa"/>
            <w:tcBorders>
              <w:top w:val="nil"/>
              <w:left w:val="nil"/>
              <w:bottom w:val="single" w:sz="4" w:space="0" w:color="auto"/>
              <w:right w:val="single" w:sz="4" w:space="0" w:color="auto"/>
            </w:tcBorders>
            <w:vAlign w:val="center"/>
            <w:hideMark/>
          </w:tcPr>
          <w:p w14:paraId="539F86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48313033</w:t>
            </w:r>
          </w:p>
        </w:tc>
        <w:tc>
          <w:tcPr>
            <w:tcW w:w="5953" w:type="dxa"/>
            <w:tcBorders>
              <w:top w:val="nil"/>
              <w:left w:val="nil"/>
              <w:bottom w:val="single" w:sz="4" w:space="0" w:color="auto"/>
              <w:right w:val="single" w:sz="4" w:space="0" w:color="auto"/>
            </w:tcBorders>
            <w:noWrap/>
            <w:vAlign w:val="center"/>
            <w:hideMark/>
          </w:tcPr>
          <w:p w14:paraId="29F279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FRANJA MALGAJA ŠENTJUR</w:t>
            </w:r>
          </w:p>
        </w:tc>
      </w:tr>
      <w:tr w:rsidR="00F24E18" w14:paraId="097499D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65DF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1250</w:t>
            </w:r>
          </w:p>
        </w:tc>
        <w:tc>
          <w:tcPr>
            <w:tcW w:w="1300" w:type="dxa"/>
            <w:tcBorders>
              <w:top w:val="nil"/>
              <w:left w:val="nil"/>
              <w:bottom w:val="single" w:sz="4" w:space="0" w:color="auto"/>
              <w:right w:val="single" w:sz="4" w:space="0" w:color="auto"/>
            </w:tcBorders>
            <w:noWrap/>
            <w:vAlign w:val="center"/>
            <w:hideMark/>
          </w:tcPr>
          <w:p w14:paraId="7034D5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5084873000</w:t>
            </w:r>
          </w:p>
        </w:tc>
        <w:tc>
          <w:tcPr>
            <w:tcW w:w="1012" w:type="dxa"/>
            <w:tcBorders>
              <w:top w:val="nil"/>
              <w:left w:val="nil"/>
              <w:bottom w:val="single" w:sz="4" w:space="0" w:color="auto"/>
              <w:right w:val="single" w:sz="4" w:space="0" w:color="auto"/>
            </w:tcBorders>
            <w:noWrap/>
            <w:vAlign w:val="center"/>
            <w:hideMark/>
          </w:tcPr>
          <w:p w14:paraId="35FA2B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84580062</w:t>
            </w:r>
          </w:p>
        </w:tc>
        <w:tc>
          <w:tcPr>
            <w:tcW w:w="5953" w:type="dxa"/>
            <w:tcBorders>
              <w:top w:val="nil"/>
              <w:left w:val="nil"/>
              <w:bottom w:val="single" w:sz="4" w:space="0" w:color="auto"/>
              <w:right w:val="single" w:sz="4" w:space="0" w:color="auto"/>
            </w:tcBorders>
            <w:noWrap/>
            <w:vAlign w:val="center"/>
            <w:hideMark/>
          </w:tcPr>
          <w:p w14:paraId="596B6E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GABROVKA - DOLE</w:t>
            </w:r>
          </w:p>
        </w:tc>
      </w:tr>
      <w:tr w:rsidR="00F24E18" w14:paraId="1091182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3E49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1251</w:t>
            </w:r>
          </w:p>
        </w:tc>
        <w:tc>
          <w:tcPr>
            <w:tcW w:w="1300" w:type="dxa"/>
            <w:tcBorders>
              <w:top w:val="nil"/>
              <w:left w:val="nil"/>
              <w:bottom w:val="single" w:sz="4" w:space="0" w:color="auto"/>
              <w:right w:val="single" w:sz="4" w:space="0" w:color="auto"/>
            </w:tcBorders>
            <w:noWrap/>
            <w:vAlign w:val="center"/>
            <w:hideMark/>
          </w:tcPr>
          <w:p w14:paraId="45A544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5083699000</w:t>
            </w:r>
          </w:p>
        </w:tc>
        <w:tc>
          <w:tcPr>
            <w:tcW w:w="1012" w:type="dxa"/>
            <w:tcBorders>
              <w:top w:val="nil"/>
              <w:left w:val="nil"/>
              <w:bottom w:val="single" w:sz="4" w:space="0" w:color="auto"/>
              <w:right w:val="single" w:sz="4" w:space="0" w:color="auto"/>
            </w:tcBorders>
            <w:noWrap/>
            <w:vAlign w:val="center"/>
            <w:hideMark/>
          </w:tcPr>
          <w:p w14:paraId="70368E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56978006</w:t>
            </w:r>
          </w:p>
        </w:tc>
        <w:tc>
          <w:tcPr>
            <w:tcW w:w="5953" w:type="dxa"/>
            <w:tcBorders>
              <w:top w:val="nil"/>
              <w:left w:val="nil"/>
              <w:bottom w:val="single" w:sz="4" w:space="0" w:color="auto"/>
              <w:right w:val="single" w:sz="4" w:space="0" w:color="auto"/>
            </w:tcBorders>
            <w:noWrap/>
            <w:vAlign w:val="center"/>
            <w:hideMark/>
          </w:tcPr>
          <w:p w14:paraId="780C72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GLAZIJA</w:t>
            </w:r>
          </w:p>
        </w:tc>
      </w:tr>
      <w:tr w:rsidR="00F24E18" w14:paraId="57CADF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5761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1252</w:t>
            </w:r>
          </w:p>
        </w:tc>
        <w:tc>
          <w:tcPr>
            <w:tcW w:w="1300" w:type="dxa"/>
            <w:tcBorders>
              <w:top w:val="nil"/>
              <w:left w:val="nil"/>
              <w:bottom w:val="single" w:sz="4" w:space="0" w:color="auto"/>
              <w:right w:val="single" w:sz="4" w:space="0" w:color="auto"/>
            </w:tcBorders>
            <w:noWrap/>
            <w:vAlign w:val="center"/>
            <w:hideMark/>
          </w:tcPr>
          <w:p w14:paraId="183369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5082587000</w:t>
            </w:r>
          </w:p>
        </w:tc>
        <w:tc>
          <w:tcPr>
            <w:tcW w:w="1012" w:type="dxa"/>
            <w:tcBorders>
              <w:top w:val="nil"/>
              <w:left w:val="nil"/>
              <w:bottom w:val="single" w:sz="4" w:space="0" w:color="auto"/>
              <w:right w:val="single" w:sz="4" w:space="0" w:color="auto"/>
            </w:tcBorders>
            <w:noWrap/>
            <w:vAlign w:val="center"/>
            <w:hideMark/>
          </w:tcPr>
          <w:p w14:paraId="076AA5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45800316</w:t>
            </w:r>
          </w:p>
        </w:tc>
        <w:tc>
          <w:tcPr>
            <w:tcW w:w="5953" w:type="dxa"/>
            <w:tcBorders>
              <w:top w:val="nil"/>
              <w:left w:val="nil"/>
              <w:bottom w:val="single" w:sz="4" w:space="0" w:color="auto"/>
              <w:right w:val="single" w:sz="4" w:space="0" w:color="auto"/>
            </w:tcBorders>
            <w:noWrap/>
            <w:vAlign w:val="center"/>
            <w:hideMark/>
          </w:tcPr>
          <w:p w14:paraId="214B10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GLOBOKO</w:t>
            </w:r>
          </w:p>
        </w:tc>
      </w:tr>
      <w:tr w:rsidR="00F24E18" w14:paraId="12D8F6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EF6B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1253</w:t>
            </w:r>
          </w:p>
        </w:tc>
        <w:tc>
          <w:tcPr>
            <w:tcW w:w="1300" w:type="dxa"/>
            <w:tcBorders>
              <w:top w:val="nil"/>
              <w:left w:val="nil"/>
              <w:bottom w:val="single" w:sz="4" w:space="0" w:color="auto"/>
              <w:right w:val="single" w:sz="4" w:space="0" w:color="auto"/>
            </w:tcBorders>
            <w:noWrap/>
            <w:vAlign w:val="center"/>
            <w:hideMark/>
          </w:tcPr>
          <w:p w14:paraId="2802E0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5087317000</w:t>
            </w:r>
          </w:p>
        </w:tc>
        <w:tc>
          <w:tcPr>
            <w:tcW w:w="1012" w:type="dxa"/>
            <w:tcBorders>
              <w:top w:val="nil"/>
              <w:left w:val="nil"/>
              <w:bottom w:val="single" w:sz="4" w:space="0" w:color="auto"/>
              <w:right w:val="single" w:sz="4" w:space="0" w:color="auto"/>
            </w:tcBorders>
            <w:noWrap/>
            <w:vAlign w:val="center"/>
            <w:hideMark/>
          </w:tcPr>
          <w:p w14:paraId="1162FD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99229692</w:t>
            </w:r>
          </w:p>
        </w:tc>
        <w:tc>
          <w:tcPr>
            <w:tcW w:w="5953" w:type="dxa"/>
            <w:tcBorders>
              <w:top w:val="nil"/>
              <w:left w:val="nil"/>
              <w:bottom w:val="single" w:sz="4" w:space="0" w:color="auto"/>
              <w:right w:val="single" w:sz="4" w:space="0" w:color="auto"/>
            </w:tcBorders>
            <w:noWrap/>
            <w:vAlign w:val="center"/>
            <w:hideMark/>
          </w:tcPr>
          <w:p w14:paraId="1DA30A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GORJE</w:t>
            </w:r>
          </w:p>
        </w:tc>
      </w:tr>
      <w:tr w:rsidR="00F24E18" w14:paraId="29776E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7945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1254</w:t>
            </w:r>
          </w:p>
        </w:tc>
        <w:tc>
          <w:tcPr>
            <w:tcW w:w="1300" w:type="dxa"/>
            <w:tcBorders>
              <w:top w:val="nil"/>
              <w:left w:val="nil"/>
              <w:bottom w:val="single" w:sz="4" w:space="0" w:color="auto"/>
              <w:right w:val="single" w:sz="4" w:space="0" w:color="auto"/>
            </w:tcBorders>
            <w:vAlign w:val="center"/>
            <w:hideMark/>
          </w:tcPr>
          <w:p w14:paraId="4F7CF9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5083745000</w:t>
            </w:r>
          </w:p>
        </w:tc>
        <w:tc>
          <w:tcPr>
            <w:tcW w:w="1012" w:type="dxa"/>
            <w:tcBorders>
              <w:top w:val="nil"/>
              <w:left w:val="nil"/>
              <w:bottom w:val="single" w:sz="4" w:space="0" w:color="auto"/>
              <w:right w:val="single" w:sz="4" w:space="0" w:color="auto"/>
            </w:tcBorders>
            <w:vAlign w:val="center"/>
            <w:hideMark/>
          </w:tcPr>
          <w:p w14:paraId="08872F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18671624</w:t>
            </w:r>
          </w:p>
        </w:tc>
        <w:tc>
          <w:tcPr>
            <w:tcW w:w="5953" w:type="dxa"/>
            <w:tcBorders>
              <w:top w:val="nil"/>
              <w:left w:val="nil"/>
              <w:bottom w:val="single" w:sz="4" w:space="0" w:color="auto"/>
              <w:right w:val="single" w:sz="4" w:space="0" w:color="auto"/>
            </w:tcBorders>
            <w:noWrap/>
            <w:vAlign w:val="center"/>
            <w:hideMark/>
          </w:tcPr>
          <w:p w14:paraId="452B4E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GORNJA RADGONA</w:t>
            </w:r>
          </w:p>
        </w:tc>
      </w:tr>
      <w:tr w:rsidR="00F24E18" w14:paraId="62C260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C457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1255</w:t>
            </w:r>
          </w:p>
        </w:tc>
        <w:tc>
          <w:tcPr>
            <w:tcW w:w="1300" w:type="dxa"/>
            <w:tcBorders>
              <w:top w:val="nil"/>
              <w:left w:val="nil"/>
              <w:bottom w:val="single" w:sz="4" w:space="0" w:color="auto"/>
              <w:right w:val="single" w:sz="4" w:space="0" w:color="auto"/>
            </w:tcBorders>
            <w:noWrap/>
            <w:vAlign w:val="center"/>
            <w:hideMark/>
          </w:tcPr>
          <w:p w14:paraId="385932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5085586000</w:t>
            </w:r>
          </w:p>
        </w:tc>
        <w:tc>
          <w:tcPr>
            <w:tcW w:w="1012" w:type="dxa"/>
            <w:tcBorders>
              <w:top w:val="nil"/>
              <w:left w:val="nil"/>
              <w:bottom w:val="single" w:sz="4" w:space="0" w:color="auto"/>
              <w:right w:val="single" w:sz="4" w:space="0" w:color="auto"/>
            </w:tcBorders>
            <w:noWrap/>
            <w:vAlign w:val="center"/>
            <w:hideMark/>
          </w:tcPr>
          <w:p w14:paraId="50FFBB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61749206</w:t>
            </w:r>
          </w:p>
        </w:tc>
        <w:tc>
          <w:tcPr>
            <w:tcW w:w="5953" w:type="dxa"/>
            <w:tcBorders>
              <w:top w:val="nil"/>
              <w:left w:val="nil"/>
              <w:bottom w:val="single" w:sz="4" w:space="0" w:color="auto"/>
              <w:right w:val="single" w:sz="4" w:space="0" w:color="auto"/>
            </w:tcBorders>
            <w:noWrap/>
            <w:vAlign w:val="center"/>
            <w:hideMark/>
          </w:tcPr>
          <w:p w14:paraId="7DD801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GORNJI PETROVCI</w:t>
            </w:r>
          </w:p>
        </w:tc>
      </w:tr>
      <w:tr w:rsidR="00F24E18" w14:paraId="34CF60A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060C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1256</w:t>
            </w:r>
          </w:p>
        </w:tc>
        <w:tc>
          <w:tcPr>
            <w:tcW w:w="1300" w:type="dxa"/>
            <w:tcBorders>
              <w:top w:val="nil"/>
              <w:left w:val="nil"/>
              <w:bottom w:val="single" w:sz="4" w:space="0" w:color="auto"/>
              <w:right w:val="single" w:sz="4" w:space="0" w:color="auto"/>
            </w:tcBorders>
            <w:noWrap/>
            <w:vAlign w:val="center"/>
            <w:hideMark/>
          </w:tcPr>
          <w:p w14:paraId="4125DB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5085594000</w:t>
            </w:r>
          </w:p>
        </w:tc>
        <w:tc>
          <w:tcPr>
            <w:tcW w:w="1012" w:type="dxa"/>
            <w:tcBorders>
              <w:top w:val="nil"/>
              <w:left w:val="nil"/>
              <w:bottom w:val="single" w:sz="4" w:space="0" w:color="auto"/>
              <w:right w:val="single" w:sz="4" w:space="0" w:color="auto"/>
            </w:tcBorders>
            <w:noWrap/>
            <w:vAlign w:val="center"/>
            <w:hideMark/>
          </w:tcPr>
          <w:p w14:paraId="646884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23698110</w:t>
            </w:r>
          </w:p>
        </w:tc>
        <w:tc>
          <w:tcPr>
            <w:tcW w:w="5953" w:type="dxa"/>
            <w:tcBorders>
              <w:top w:val="nil"/>
              <w:left w:val="nil"/>
              <w:bottom w:val="single" w:sz="4" w:space="0" w:color="auto"/>
              <w:right w:val="single" w:sz="4" w:space="0" w:color="auto"/>
            </w:tcBorders>
            <w:noWrap/>
            <w:vAlign w:val="center"/>
            <w:hideMark/>
          </w:tcPr>
          <w:p w14:paraId="18C0BA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GRAD</w:t>
            </w:r>
          </w:p>
        </w:tc>
      </w:tr>
      <w:tr w:rsidR="00F24E18" w14:paraId="3F6DA11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BC93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1257</w:t>
            </w:r>
          </w:p>
        </w:tc>
        <w:tc>
          <w:tcPr>
            <w:tcW w:w="1300" w:type="dxa"/>
            <w:tcBorders>
              <w:top w:val="nil"/>
              <w:left w:val="nil"/>
              <w:bottom w:val="single" w:sz="4" w:space="0" w:color="auto"/>
              <w:right w:val="single" w:sz="4" w:space="0" w:color="auto"/>
            </w:tcBorders>
            <w:vAlign w:val="center"/>
            <w:hideMark/>
          </w:tcPr>
          <w:p w14:paraId="676541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5689155000</w:t>
            </w:r>
          </w:p>
        </w:tc>
        <w:tc>
          <w:tcPr>
            <w:tcW w:w="1012" w:type="dxa"/>
            <w:tcBorders>
              <w:top w:val="nil"/>
              <w:left w:val="nil"/>
              <w:bottom w:val="single" w:sz="4" w:space="0" w:color="auto"/>
              <w:right w:val="single" w:sz="4" w:space="0" w:color="auto"/>
            </w:tcBorders>
            <w:vAlign w:val="center"/>
            <w:hideMark/>
          </w:tcPr>
          <w:p w14:paraId="328967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42070651</w:t>
            </w:r>
          </w:p>
        </w:tc>
        <w:tc>
          <w:tcPr>
            <w:tcW w:w="5953" w:type="dxa"/>
            <w:tcBorders>
              <w:top w:val="nil"/>
              <w:left w:val="nil"/>
              <w:bottom w:val="single" w:sz="4" w:space="0" w:color="auto"/>
              <w:right w:val="single" w:sz="4" w:space="0" w:color="auto"/>
            </w:tcBorders>
            <w:noWrap/>
            <w:vAlign w:val="center"/>
            <w:hideMark/>
          </w:tcPr>
          <w:p w14:paraId="5C5838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GRADEC</w:t>
            </w:r>
          </w:p>
        </w:tc>
      </w:tr>
      <w:tr w:rsidR="00F24E18" w14:paraId="25ACC0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C94F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1258</w:t>
            </w:r>
          </w:p>
        </w:tc>
        <w:tc>
          <w:tcPr>
            <w:tcW w:w="1300" w:type="dxa"/>
            <w:tcBorders>
              <w:top w:val="nil"/>
              <w:left w:val="nil"/>
              <w:bottom w:val="single" w:sz="4" w:space="0" w:color="auto"/>
              <w:right w:val="single" w:sz="4" w:space="0" w:color="auto"/>
            </w:tcBorders>
            <w:noWrap/>
            <w:vAlign w:val="center"/>
            <w:hideMark/>
          </w:tcPr>
          <w:p w14:paraId="24F667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5090059000</w:t>
            </w:r>
          </w:p>
        </w:tc>
        <w:tc>
          <w:tcPr>
            <w:tcW w:w="1012" w:type="dxa"/>
            <w:tcBorders>
              <w:top w:val="nil"/>
              <w:left w:val="nil"/>
              <w:bottom w:val="single" w:sz="4" w:space="0" w:color="auto"/>
              <w:right w:val="single" w:sz="4" w:space="0" w:color="auto"/>
            </w:tcBorders>
            <w:noWrap/>
            <w:vAlign w:val="center"/>
            <w:hideMark/>
          </w:tcPr>
          <w:p w14:paraId="1BDEDC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75852390</w:t>
            </w:r>
          </w:p>
        </w:tc>
        <w:tc>
          <w:tcPr>
            <w:tcW w:w="5953" w:type="dxa"/>
            <w:tcBorders>
              <w:top w:val="nil"/>
              <w:left w:val="nil"/>
              <w:bottom w:val="single" w:sz="4" w:space="0" w:color="auto"/>
              <w:right w:val="single" w:sz="4" w:space="0" w:color="auto"/>
            </w:tcBorders>
            <w:noWrap/>
            <w:vAlign w:val="center"/>
            <w:hideMark/>
          </w:tcPr>
          <w:p w14:paraId="4FCDCF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GRIŽE</w:t>
            </w:r>
          </w:p>
        </w:tc>
      </w:tr>
      <w:tr w:rsidR="00F24E18" w14:paraId="77F6EEF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62FA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1259</w:t>
            </w:r>
          </w:p>
        </w:tc>
        <w:tc>
          <w:tcPr>
            <w:tcW w:w="1300" w:type="dxa"/>
            <w:tcBorders>
              <w:top w:val="nil"/>
              <w:left w:val="nil"/>
              <w:bottom w:val="single" w:sz="4" w:space="0" w:color="auto"/>
              <w:right w:val="single" w:sz="4" w:space="0" w:color="auto"/>
            </w:tcBorders>
            <w:noWrap/>
            <w:vAlign w:val="center"/>
            <w:hideMark/>
          </w:tcPr>
          <w:p w14:paraId="432DD2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5086850000</w:t>
            </w:r>
          </w:p>
        </w:tc>
        <w:tc>
          <w:tcPr>
            <w:tcW w:w="1012" w:type="dxa"/>
            <w:tcBorders>
              <w:top w:val="nil"/>
              <w:left w:val="nil"/>
              <w:bottom w:val="single" w:sz="4" w:space="0" w:color="auto"/>
              <w:right w:val="single" w:sz="4" w:space="0" w:color="auto"/>
            </w:tcBorders>
            <w:noWrap/>
            <w:vAlign w:val="center"/>
            <w:hideMark/>
          </w:tcPr>
          <w:p w14:paraId="5003C7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87598167</w:t>
            </w:r>
          </w:p>
        </w:tc>
        <w:tc>
          <w:tcPr>
            <w:tcW w:w="5953" w:type="dxa"/>
            <w:tcBorders>
              <w:top w:val="nil"/>
              <w:left w:val="nil"/>
              <w:bottom w:val="single" w:sz="4" w:space="0" w:color="auto"/>
              <w:right w:val="single" w:sz="4" w:space="0" w:color="auto"/>
            </w:tcBorders>
            <w:noWrap/>
            <w:vAlign w:val="center"/>
            <w:hideMark/>
          </w:tcPr>
          <w:p w14:paraId="3C0DC9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GRM</w:t>
            </w:r>
          </w:p>
        </w:tc>
      </w:tr>
      <w:tr w:rsidR="00F24E18" w14:paraId="59390DD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3A42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1260</w:t>
            </w:r>
          </w:p>
        </w:tc>
        <w:tc>
          <w:tcPr>
            <w:tcW w:w="1300" w:type="dxa"/>
            <w:tcBorders>
              <w:top w:val="nil"/>
              <w:left w:val="nil"/>
              <w:bottom w:val="single" w:sz="4" w:space="0" w:color="auto"/>
              <w:right w:val="single" w:sz="4" w:space="0" w:color="auto"/>
            </w:tcBorders>
            <w:noWrap/>
            <w:vAlign w:val="center"/>
            <w:hideMark/>
          </w:tcPr>
          <w:p w14:paraId="711857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5087643000</w:t>
            </w:r>
          </w:p>
        </w:tc>
        <w:tc>
          <w:tcPr>
            <w:tcW w:w="1012" w:type="dxa"/>
            <w:tcBorders>
              <w:top w:val="nil"/>
              <w:left w:val="nil"/>
              <w:bottom w:val="single" w:sz="4" w:space="0" w:color="auto"/>
              <w:right w:val="single" w:sz="4" w:space="0" w:color="auto"/>
            </w:tcBorders>
            <w:noWrap/>
            <w:vAlign w:val="center"/>
            <w:hideMark/>
          </w:tcPr>
          <w:p w14:paraId="4DD10F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36415006</w:t>
            </w:r>
          </w:p>
        </w:tc>
        <w:tc>
          <w:tcPr>
            <w:tcW w:w="5953" w:type="dxa"/>
            <w:tcBorders>
              <w:top w:val="nil"/>
              <w:left w:val="nil"/>
              <w:bottom w:val="single" w:sz="4" w:space="0" w:color="auto"/>
              <w:right w:val="single" w:sz="4" w:space="0" w:color="auto"/>
            </w:tcBorders>
            <w:noWrap/>
            <w:vAlign w:val="center"/>
            <w:hideMark/>
          </w:tcPr>
          <w:p w14:paraId="6845CF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GUSTAVA ŠILIHA LAPORJE</w:t>
            </w:r>
          </w:p>
        </w:tc>
      </w:tr>
      <w:tr w:rsidR="00F24E18" w14:paraId="5841035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D60B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1261</w:t>
            </w:r>
          </w:p>
        </w:tc>
        <w:tc>
          <w:tcPr>
            <w:tcW w:w="1300" w:type="dxa"/>
            <w:tcBorders>
              <w:top w:val="nil"/>
              <w:left w:val="nil"/>
              <w:bottom w:val="single" w:sz="4" w:space="0" w:color="auto"/>
              <w:right w:val="single" w:sz="4" w:space="0" w:color="auto"/>
            </w:tcBorders>
            <w:noWrap/>
            <w:vAlign w:val="center"/>
            <w:hideMark/>
          </w:tcPr>
          <w:p w14:paraId="3A780E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5088208000</w:t>
            </w:r>
          </w:p>
        </w:tc>
        <w:tc>
          <w:tcPr>
            <w:tcW w:w="1012" w:type="dxa"/>
            <w:tcBorders>
              <w:top w:val="nil"/>
              <w:left w:val="nil"/>
              <w:bottom w:val="single" w:sz="4" w:space="0" w:color="auto"/>
              <w:right w:val="single" w:sz="4" w:space="0" w:color="auto"/>
            </w:tcBorders>
            <w:noWrap/>
            <w:vAlign w:val="center"/>
            <w:hideMark/>
          </w:tcPr>
          <w:p w14:paraId="2ADE6F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87755246</w:t>
            </w:r>
          </w:p>
        </w:tc>
        <w:tc>
          <w:tcPr>
            <w:tcW w:w="5953" w:type="dxa"/>
            <w:tcBorders>
              <w:top w:val="nil"/>
              <w:left w:val="nil"/>
              <w:bottom w:val="single" w:sz="4" w:space="0" w:color="auto"/>
              <w:right w:val="single" w:sz="4" w:space="0" w:color="auto"/>
            </w:tcBorders>
            <w:noWrap/>
            <w:vAlign w:val="center"/>
            <w:hideMark/>
          </w:tcPr>
          <w:p w14:paraId="326B44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GUSTAVA ŠILIHA, VELENJE</w:t>
            </w:r>
          </w:p>
        </w:tc>
      </w:tr>
      <w:tr w:rsidR="00F24E18" w14:paraId="7606E4B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2A95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1262</w:t>
            </w:r>
          </w:p>
        </w:tc>
        <w:tc>
          <w:tcPr>
            <w:tcW w:w="1300" w:type="dxa"/>
            <w:tcBorders>
              <w:top w:val="nil"/>
              <w:left w:val="nil"/>
              <w:bottom w:val="single" w:sz="4" w:space="0" w:color="auto"/>
              <w:right w:val="single" w:sz="4" w:space="0" w:color="auto"/>
            </w:tcBorders>
            <w:noWrap/>
            <w:vAlign w:val="center"/>
            <w:hideMark/>
          </w:tcPr>
          <w:p w14:paraId="69A98E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5087031000</w:t>
            </w:r>
          </w:p>
        </w:tc>
        <w:tc>
          <w:tcPr>
            <w:tcW w:w="1012" w:type="dxa"/>
            <w:tcBorders>
              <w:top w:val="nil"/>
              <w:left w:val="nil"/>
              <w:bottom w:val="single" w:sz="4" w:space="0" w:color="auto"/>
              <w:right w:val="single" w:sz="4" w:space="0" w:color="auto"/>
            </w:tcBorders>
            <w:noWrap/>
            <w:vAlign w:val="center"/>
            <w:hideMark/>
          </w:tcPr>
          <w:p w14:paraId="28BA82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33939314</w:t>
            </w:r>
          </w:p>
        </w:tc>
        <w:tc>
          <w:tcPr>
            <w:tcW w:w="5953" w:type="dxa"/>
            <w:tcBorders>
              <w:top w:val="nil"/>
              <w:left w:val="nil"/>
              <w:bottom w:val="single" w:sz="4" w:space="0" w:color="auto"/>
              <w:right w:val="single" w:sz="4" w:space="0" w:color="auto"/>
            </w:tcBorders>
            <w:noWrap/>
            <w:vAlign w:val="center"/>
            <w:hideMark/>
          </w:tcPr>
          <w:p w14:paraId="163122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HAJDINA</w:t>
            </w:r>
          </w:p>
        </w:tc>
      </w:tr>
      <w:tr w:rsidR="00F24E18" w14:paraId="7BBAAC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823A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1263</w:t>
            </w:r>
          </w:p>
        </w:tc>
        <w:tc>
          <w:tcPr>
            <w:tcW w:w="1300" w:type="dxa"/>
            <w:tcBorders>
              <w:top w:val="nil"/>
              <w:left w:val="nil"/>
              <w:bottom w:val="single" w:sz="4" w:space="0" w:color="auto"/>
              <w:right w:val="single" w:sz="4" w:space="0" w:color="auto"/>
            </w:tcBorders>
            <w:noWrap/>
            <w:vAlign w:val="center"/>
            <w:hideMark/>
          </w:tcPr>
          <w:p w14:paraId="7C051C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5083877000</w:t>
            </w:r>
          </w:p>
        </w:tc>
        <w:tc>
          <w:tcPr>
            <w:tcW w:w="1012" w:type="dxa"/>
            <w:tcBorders>
              <w:top w:val="nil"/>
              <w:left w:val="nil"/>
              <w:bottom w:val="single" w:sz="4" w:space="0" w:color="auto"/>
              <w:right w:val="single" w:sz="4" w:space="0" w:color="auto"/>
            </w:tcBorders>
            <w:noWrap/>
            <w:vAlign w:val="center"/>
            <w:hideMark/>
          </w:tcPr>
          <w:p w14:paraId="6B1FA4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81628757</w:t>
            </w:r>
          </w:p>
        </w:tc>
        <w:tc>
          <w:tcPr>
            <w:tcW w:w="5953" w:type="dxa"/>
            <w:tcBorders>
              <w:top w:val="nil"/>
              <w:left w:val="nil"/>
              <w:bottom w:val="single" w:sz="4" w:space="0" w:color="auto"/>
              <w:right w:val="single" w:sz="4" w:space="0" w:color="auto"/>
            </w:tcBorders>
            <w:noWrap/>
            <w:vAlign w:val="center"/>
            <w:hideMark/>
          </w:tcPr>
          <w:p w14:paraId="380390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HELENE PUHAR KRANJ</w:t>
            </w:r>
          </w:p>
        </w:tc>
      </w:tr>
      <w:tr w:rsidR="00F24E18" w14:paraId="1510931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7599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1264</w:t>
            </w:r>
          </w:p>
        </w:tc>
        <w:tc>
          <w:tcPr>
            <w:tcW w:w="1300" w:type="dxa"/>
            <w:tcBorders>
              <w:top w:val="nil"/>
              <w:left w:val="nil"/>
              <w:bottom w:val="single" w:sz="4" w:space="0" w:color="auto"/>
              <w:right w:val="single" w:sz="4" w:space="0" w:color="auto"/>
            </w:tcBorders>
            <w:noWrap/>
            <w:vAlign w:val="center"/>
            <w:hideMark/>
          </w:tcPr>
          <w:p w14:paraId="119578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5089891000</w:t>
            </w:r>
          </w:p>
        </w:tc>
        <w:tc>
          <w:tcPr>
            <w:tcW w:w="1012" w:type="dxa"/>
            <w:tcBorders>
              <w:top w:val="nil"/>
              <w:left w:val="nil"/>
              <w:bottom w:val="single" w:sz="4" w:space="0" w:color="auto"/>
              <w:right w:val="single" w:sz="4" w:space="0" w:color="auto"/>
            </w:tcBorders>
            <w:noWrap/>
            <w:vAlign w:val="center"/>
            <w:hideMark/>
          </w:tcPr>
          <w:p w14:paraId="2E2F8F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58122982</w:t>
            </w:r>
          </w:p>
        </w:tc>
        <w:tc>
          <w:tcPr>
            <w:tcW w:w="5953" w:type="dxa"/>
            <w:tcBorders>
              <w:top w:val="nil"/>
              <w:left w:val="nil"/>
              <w:bottom w:val="single" w:sz="4" w:space="0" w:color="auto"/>
              <w:right w:val="single" w:sz="4" w:space="0" w:color="auto"/>
            </w:tcBorders>
            <w:noWrap/>
            <w:vAlign w:val="center"/>
            <w:hideMark/>
          </w:tcPr>
          <w:p w14:paraId="719FA8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HEROJA JANEZA HRIBARJA</w:t>
            </w:r>
          </w:p>
        </w:tc>
      </w:tr>
      <w:tr w:rsidR="00F24E18" w14:paraId="5C6B094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E7A9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1265</w:t>
            </w:r>
          </w:p>
        </w:tc>
        <w:tc>
          <w:tcPr>
            <w:tcW w:w="1300" w:type="dxa"/>
            <w:tcBorders>
              <w:top w:val="nil"/>
              <w:left w:val="nil"/>
              <w:bottom w:val="single" w:sz="4" w:space="0" w:color="auto"/>
              <w:right w:val="single" w:sz="4" w:space="0" w:color="auto"/>
            </w:tcBorders>
            <w:noWrap/>
            <w:vAlign w:val="center"/>
            <w:hideMark/>
          </w:tcPr>
          <w:p w14:paraId="4D6267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5084369000</w:t>
            </w:r>
          </w:p>
        </w:tc>
        <w:tc>
          <w:tcPr>
            <w:tcW w:w="1012" w:type="dxa"/>
            <w:tcBorders>
              <w:top w:val="nil"/>
              <w:left w:val="nil"/>
              <w:bottom w:val="single" w:sz="4" w:space="0" w:color="auto"/>
              <w:right w:val="single" w:sz="4" w:space="0" w:color="auto"/>
            </w:tcBorders>
            <w:noWrap/>
            <w:vAlign w:val="center"/>
            <w:hideMark/>
          </w:tcPr>
          <w:p w14:paraId="532537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23541300</w:t>
            </w:r>
          </w:p>
        </w:tc>
        <w:tc>
          <w:tcPr>
            <w:tcW w:w="5953" w:type="dxa"/>
            <w:tcBorders>
              <w:top w:val="nil"/>
              <w:left w:val="nil"/>
              <w:bottom w:val="single" w:sz="4" w:space="0" w:color="auto"/>
              <w:right w:val="single" w:sz="4" w:space="0" w:color="auto"/>
            </w:tcBorders>
            <w:noWrap/>
            <w:vAlign w:val="center"/>
            <w:hideMark/>
          </w:tcPr>
          <w:p w14:paraId="55C0B1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HINKA SMREKARJA</w:t>
            </w:r>
          </w:p>
        </w:tc>
      </w:tr>
      <w:tr w:rsidR="00F24E18" w14:paraId="596647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501E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1266</w:t>
            </w:r>
          </w:p>
        </w:tc>
        <w:tc>
          <w:tcPr>
            <w:tcW w:w="1300" w:type="dxa"/>
            <w:tcBorders>
              <w:top w:val="nil"/>
              <w:left w:val="nil"/>
              <w:bottom w:val="single" w:sz="4" w:space="0" w:color="auto"/>
              <w:right w:val="single" w:sz="4" w:space="0" w:color="auto"/>
            </w:tcBorders>
            <w:noWrap/>
            <w:vAlign w:val="center"/>
            <w:hideMark/>
          </w:tcPr>
          <w:p w14:paraId="49A614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5084423000</w:t>
            </w:r>
          </w:p>
        </w:tc>
        <w:tc>
          <w:tcPr>
            <w:tcW w:w="1012" w:type="dxa"/>
            <w:tcBorders>
              <w:top w:val="nil"/>
              <w:left w:val="nil"/>
              <w:bottom w:val="single" w:sz="4" w:space="0" w:color="auto"/>
              <w:right w:val="single" w:sz="4" w:space="0" w:color="auto"/>
            </w:tcBorders>
            <w:vAlign w:val="center"/>
            <w:hideMark/>
          </w:tcPr>
          <w:p w14:paraId="0367D8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99488493</w:t>
            </w:r>
          </w:p>
        </w:tc>
        <w:tc>
          <w:tcPr>
            <w:tcW w:w="5953" w:type="dxa"/>
            <w:tcBorders>
              <w:top w:val="nil"/>
              <w:left w:val="nil"/>
              <w:bottom w:val="single" w:sz="4" w:space="0" w:color="auto"/>
              <w:right w:val="single" w:sz="4" w:space="0" w:color="auto"/>
            </w:tcBorders>
            <w:noWrap/>
            <w:vAlign w:val="center"/>
            <w:hideMark/>
          </w:tcPr>
          <w:p w14:paraId="41E3C0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HORJUL</w:t>
            </w:r>
          </w:p>
        </w:tc>
      </w:tr>
      <w:tr w:rsidR="00F24E18" w14:paraId="3524673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C7BF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1267</w:t>
            </w:r>
          </w:p>
        </w:tc>
        <w:tc>
          <w:tcPr>
            <w:tcW w:w="1300" w:type="dxa"/>
            <w:tcBorders>
              <w:top w:val="nil"/>
              <w:left w:val="nil"/>
              <w:bottom w:val="single" w:sz="4" w:space="0" w:color="auto"/>
              <w:right w:val="single" w:sz="4" w:space="0" w:color="auto"/>
            </w:tcBorders>
            <w:noWrap/>
            <w:vAlign w:val="center"/>
            <w:hideMark/>
          </w:tcPr>
          <w:p w14:paraId="610CA6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5914914000</w:t>
            </w:r>
          </w:p>
        </w:tc>
        <w:tc>
          <w:tcPr>
            <w:tcW w:w="1012" w:type="dxa"/>
            <w:tcBorders>
              <w:top w:val="nil"/>
              <w:left w:val="nil"/>
              <w:bottom w:val="single" w:sz="4" w:space="0" w:color="auto"/>
              <w:right w:val="single" w:sz="4" w:space="0" w:color="auto"/>
            </w:tcBorders>
            <w:noWrap/>
            <w:vAlign w:val="center"/>
            <w:hideMark/>
          </w:tcPr>
          <w:p w14:paraId="3D6E3F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54735289</w:t>
            </w:r>
          </w:p>
        </w:tc>
        <w:tc>
          <w:tcPr>
            <w:tcW w:w="5953" w:type="dxa"/>
            <w:tcBorders>
              <w:top w:val="nil"/>
              <w:left w:val="nil"/>
              <w:bottom w:val="single" w:sz="4" w:space="0" w:color="auto"/>
              <w:right w:val="single" w:sz="4" w:space="0" w:color="auto"/>
            </w:tcBorders>
            <w:noWrap/>
            <w:vAlign w:val="center"/>
            <w:hideMark/>
          </w:tcPr>
          <w:p w14:paraId="498CAF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HRUŠEVEC ŠENTJUR</w:t>
            </w:r>
          </w:p>
        </w:tc>
      </w:tr>
      <w:tr w:rsidR="00F24E18" w14:paraId="22DA95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981B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1268</w:t>
            </w:r>
          </w:p>
        </w:tc>
        <w:tc>
          <w:tcPr>
            <w:tcW w:w="1300" w:type="dxa"/>
            <w:tcBorders>
              <w:top w:val="nil"/>
              <w:left w:val="nil"/>
              <w:bottom w:val="single" w:sz="4" w:space="0" w:color="auto"/>
              <w:right w:val="single" w:sz="4" w:space="0" w:color="auto"/>
            </w:tcBorders>
            <w:vAlign w:val="center"/>
            <w:hideMark/>
          </w:tcPr>
          <w:p w14:paraId="766F15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5640245000</w:t>
            </w:r>
          </w:p>
        </w:tc>
        <w:tc>
          <w:tcPr>
            <w:tcW w:w="1012" w:type="dxa"/>
            <w:tcBorders>
              <w:top w:val="nil"/>
              <w:left w:val="nil"/>
              <w:bottom w:val="single" w:sz="4" w:space="0" w:color="auto"/>
              <w:right w:val="single" w:sz="4" w:space="0" w:color="auto"/>
            </w:tcBorders>
            <w:vAlign w:val="center"/>
            <w:hideMark/>
          </w:tcPr>
          <w:p w14:paraId="1EA38E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28051076</w:t>
            </w:r>
          </w:p>
        </w:tc>
        <w:tc>
          <w:tcPr>
            <w:tcW w:w="5953" w:type="dxa"/>
            <w:tcBorders>
              <w:top w:val="nil"/>
              <w:left w:val="nil"/>
              <w:bottom w:val="single" w:sz="4" w:space="0" w:color="auto"/>
              <w:right w:val="single" w:sz="4" w:space="0" w:color="auto"/>
            </w:tcBorders>
            <w:noWrap/>
            <w:vAlign w:val="center"/>
            <w:hideMark/>
          </w:tcPr>
          <w:p w14:paraId="038F13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 MURSKA SOBOTA</w:t>
            </w:r>
          </w:p>
        </w:tc>
      </w:tr>
      <w:tr w:rsidR="00F24E18" w14:paraId="716323F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A6C0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1269</w:t>
            </w:r>
          </w:p>
        </w:tc>
        <w:tc>
          <w:tcPr>
            <w:tcW w:w="1300" w:type="dxa"/>
            <w:tcBorders>
              <w:top w:val="nil"/>
              <w:left w:val="nil"/>
              <w:bottom w:val="single" w:sz="4" w:space="0" w:color="auto"/>
              <w:right w:val="single" w:sz="4" w:space="0" w:color="auto"/>
            </w:tcBorders>
            <w:vAlign w:val="center"/>
            <w:hideMark/>
          </w:tcPr>
          <w:p w14:paraId="3640FA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5082986000</w:t>
            </w:r>
          </w:p>
        </w:tc>
        <w:tc>
          <w:tcPr>
            <w:tcW w:w="1012" w:type="dxa"/>
            <w:tcBorders>
              <w:top w:val="nil"/>
              <w:left w:val="nil"/>
              <w:bottom w:val="single" w:sz="4" w:space="0" w:color="auto"/>
              <w:right w:val="single" w:sz="4" w:space="0" w:color="auto"/>
            </w:tcBorders>
            <w:vAlign w:val="center"/>
            <w:hideMark/>
          </w:tcPr>
          <w:p w14:paraId="75E19C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75180596</w:t>
            </w:r>
          </w:p>
        </w:tc>
        <w:tc>
          <w:tcPr>
            <w:tcW w:w="5953" w:type="dxa"/>
            <w:tcBorders>
              <w:top w:val="nil"/>
              <w:left w:val="nil"/>
              <w:bottom w:val="single" w:sz="4" w:space="0" w:color="auto"/>
              <w:right w:val="single" w:sz="4" w:space="0" w:color="auto"/>
            </w:tcBorders>
            <w:noWrap/>
            <w:vAlign w:val="center"/>
            <w:hideMark/>
          </w:tcPr>
          <w:p w14:paraId="6B2E7C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IDRIJA</w:t>
            </w:r>
          </w:p>
        </w:tc>
      </w:tr>
      <w:tr w:rsidR="00F24E18" w14:paraId="0193E2D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6853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1270</w:t>
            </w:r>
          </w:p>
        </w:tc>
        <w:tc>
          <w:tcPr>
            <w:tcW w:w="1300" w:type="dxa"/>
            <w:tcBorders>
              <w:top w:val="nil"/>
              <w:left w:val="nil"/>
              <w:bottom w:val="single" w:sz="4" w:space="0" w:color="auto"/>
              <w:right w:val="single" w:sz="4" w:space="0" w:color="auto"/>
            </w:tcBorders>
            <w:vAlign w:val="center"/>
            <w:hideMark/>
          </w:tcPr>
          <w:p w14:paraId="544C2D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5084431000</w:t>
            </w:r>
          </w:p>
        </w:tc>
        <w:tc>
          <w:tcPr>
            <w:tcW w:w="1012" w:type="dxa"/>
            <w:tcBorders>
              <w:top w:val="nil"/>
              <w:left w:val="nil"/>
              <w:bottom w:val="single" w:sz="4" w:space="0" w:color="auto"/>
              <w:right w:val="single" w:sz="4" w:space="0" w:color="auto"/>
            </w:tcBorders>
            <w:vAlign w:val="center"/>
            <w:hideMark/>
          </w:tcPr>
          <w:p w14:paraId="098527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72025735</w:t>
            </w:r>
          </w:p>
        </w:tc>
        <w:tc>
          <w:tcPr>
            <w:tcW w:w="5953" w:type="dxa"/>
            <w:tcBorders>
              <w:top w:val="nil"/>
              <w:left w:val="nil"/>
              <w:bottom w:val="single" w:sz="4" w:space="0" w:color="auto"/>
              <w:right w:val="single" w:sz="4" w:space="0" w:color="auto"/>
            </w:tcBorders>
            <w:noWrap/>
            <w:vAlign w:val="center"/>
            <w:hideMark/>
          </w:tcPr>
          <w:p w14:paraId="543EA0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IG</w:t>
            </w:r>
          </w:p>
        </w:tc>
      </w:tr>
      <w:tr w:rsidR="00F24E18" w14:paraId="3983ED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7171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1271</w:t>
            </w:r>
          </w:p>
        </w:tc>
        <w:tc>
          <w:tcPr>
            <w:tcW w:w="1300" w:type="dxa"/>
            <w:tcBorders>
              <w:top w:val="nil"/>
              <w:left w:val="nil"/>
              <w:bottom w:val="single" w:sz="4" w:space="0" w:color="auto"/>
              <w:right w:val="single" w:sz="4" w:space="0" w:color="auto"/>
            </w:tcBorders>
            <w:noWrap/>
            <w:vAlign w:val="center"/>
            <w:hideMark/>
          </w:tcPr>
          <w:p w14:paraId="181CF6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5640270000</w:t>
            </w:r>
          </w:p>
        </w:tc>
        <w:tc>
          <w:tcPr>
            <w:tcW w:w="1012" w:type="dxa"/>
            <w:tcBorders>
              <w:top w:val="nil"/>
              <w:left w:val="nil"/>
              <w:bottom w:val="single" w:sz="4" w:space="0" w:color="auto"/>
              <w:right w:val="single" w:sz="4" w:space="0" w:color="auto"/>
            </w:tcBorders>
            <w:noWrap/>
            <w:vAlign w:val="center"/>
            <w:hideMark/>
          </w:tcPr>
          <w:p w14:paraId="2A23A3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10690336</w:t>
            </w:r>
          </w:p>
        </w:tc>
        <w:tc>
          <w:tcPr>
            <w:tcW w:w="5953" w:type="dxa"/>
            <w:tcBorders>
              <w:top w:val="nil"/>
              <w:left w:val="nil"/>
              <w:bottom w:val="single" w:sz="4" w:space="0" w:color="auto"/>
              <w:right w:val="single" w:sz="4" w:space="0" w:color="auto"/>
            </w:tcBorders>
            <w:noWrap/>
            <w:vAlign w:val="center"/>
            <w:hideMark/>
          </w:tcPr>
          <w:p w14:paraId="3440EA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II MURSKA SOBOTA</w:t>
            </w:r>
          </w:p>
        </w:tc>
      </w:tr>
      <w:tr w:rsidR="00F24E18" w14:paraId="07F0429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3833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1272</w:t>
            </w:r>
          </w:p>
        </w:tc>
        <w:tc>
          <w:tcPr>
            <w:tcW w:w="1300" w:type="dxa"/>
            <w:tcBorders>
              <w:top w:val="nil"/>
              <w:left w:val="nil"/>
              <w:bottom w:val="single" w:sz="4" w:space="0" w:color="auto"/>
              <w:right w:val="single" w:sz="4" w:space="0" w:color="auto"/>
            </w:tcBorders>
            <w:noWrap/>
            <w:vAlign w:val="center"/>
            <w:hideMark/>
          </w:tcPr>
          <w:p w14:paraId="282D95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5640261000</w:t>
            </w:r>
          </w:p>
        </w:tc>
        <w:tc>
          <w:tcPr>
            <w:tcW w:w="1012" w:type="dxa"/>
            <w:tcBorders>
              <w:top w:val="nil"/>
              <w:left w:val="nil"/>
              <w:bottom w:val="single" w:sz="4" w:space="0" w:color="auto"/>
              <w:right w:val="single" w:sz="4" w:space="0" w:color="auto"/>
            </w:tcBorders>
            <w:noWrap/>
            <w:vAlign w:val="center"/>
            <w:hideMark/>
          </w:tcPr>
          <w:p w14:paraId="77D48B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53080548</w:t>
            </w:r>
          </w:p>
        </w:tc>
        <w:tc>
          <w:tcPr>
            <w:tcW w:w="5953" w:type="dxa"/>
            <w:tcBorders>
              <w:top w:val="nil"/>
              <w:left w:val="nil"/>
              <w:bottom w:val="single" w:sz="4" w:space="0" w:color="auto"/>
              <w:right w:val="single" w:sz="4" w:space="0" w:color="auto"/>
            </w:tcBorders>
            <w:noWrap/>
            <w:vAlign w:val="center"/>
            <w:hideMark/>
          </w:tcPr>
          <w:p w14:paraId="300341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III MURSKA SOBOTA</w:t>
            </w:r>
          </w:p>
        </w:tc>
      </w:tr>
      <w:tr w:rsidR="00F24E18" w14:paraId="3AEACC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385E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1273</w:t>
            </w:r>
          </w:p>
        </w:tc>
        <w:tc>
          <w:tcPr>
            <w:tcW w:w="1300" w:type="dxa"/>
            <w:tcBorders>
              <w:top w:val="nil"/>
              <w:left w:val="nil"/>
              <w:bottom w:val="single" w:sz="4" w:space="0" w:color="auto"/>
              <w:right w:val="single" w:sz="4" w:space="0" w:color="auto"/>
            </w:tcBorders>
            <w:noWrap/>
            <w:vAlign w:val="center"/>
            <w:hideMark/>
          </w:tcPr>
          <w:p w14:paraId="387EAF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7085761000</w:t>
            </w:r>
          </w:p>
        </w:tc>
        <w:tc>
          <w:tcPr>
            <w:tcW w:w="1012" w:type="dxa"/>
            <w:tcBorders>
              <w:top w:val="nil"/>
              <w:left w:val="nil"/>
              <w:bottom w:val="single" w:sz="4" w:space="0" w:color="auto"/>
              <w:right w:val="single" w:sz="4" w:space="0" w:color="auto"/>
            </w:tcBorders>
            <w:noWrap/>
            <w:vAlign w:val="center"/>
            <w:hideMark/>
          </w:tcPr>
          <w:p w14:paraId="6F1F10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84095580</w:t>
            </w:r>
          </w:p>
        </w:tc>
        <w:tc>
          <w:tcPr>
            <w:tcW w:w="5953" w:type="dxa"/>
            <w:tcBorders>
              <w:top w:val="nil"/>
              <w:left w:val="nil"/>
              <w:bottom w:val="single" w:sz="4" w:space="0" w:color="auto"/>
              <w:right w:val="single" w:sz="4" w:space="0" w:color="auto"/>
            </w:tcBorders>
            <w:noWrap/>
            <w:vAlign w:val="center"/>
            <w:hideMark/>
          </w:tcPr>
          <w:p w14:paraId="15B77A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IN VRTEC ANKARAN SCUOLA ELEMENTARE E GIARDINO D'INFANZIA ANCARANO</w:t>
            </w:r>
          </w:p>
        </w:tc>
      </w:tr>
      <w:tr w:rsidR="00F24E18" w14:paraId="08894F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B4B3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1274</w:t>
            </w:r>
          </w:p>
        </w:tc>
        <w:tc>
          <w:tcPr>
            <w:tcW w:w="1300" w:type="dxa"/>
            <w:tcBorders>
              <w:top w:val="nil"/>
              <w:left w:val="nil"/>
              <w:bottom w:val="single" w:sz="4" w:space="0" w:color="auto"/>
              <w:right w:val="single" w:sz="4" w:space="0" w:color="auto"/>
            </w:tcBorders>
            <w:noWrap/>
            <w:vAlign w:val="center"/>
            <w:hideMark/>
          </w:tcPr>
          <w:p w14:paraId="1B4C98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5084768000</w:t>
            </w:r>
          </w:p>
        </w:tc>
        <w:tc>
          <w:tcPr>
            <w:tcW w:w="1012" w:type="dxa"/>
            <w:tcBorders>
              <w:top w:val="nil"/>
              <w:left w:val="nil"/>
              <w:bottom w:val="single" w:sz="4" w:space="0" w:color="auto"/>
              <w:right w:val="single" w:sz="4" w:space="0" w:color="auto"/>
            </w:tcBorders>
            <w:noWrap/>
            <w:vAlign w:val="center"/>
            <w:hideMark/>
          </w:tcPr>
          <w:p w14:paraId="64891D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34766219</w:t>
            </w:r>
          </w:p>
        </w:tc>
        <w:tc>
          <w:tcPr>
            <w:tcW w:w="5953" w:type="dxa"/>
            <w:tcBorders>
              <w:top w:val="nil"/>
              <w:left w:val="nil"/>
              <w:bottom w:val="single" w:sz="4" w:space="0" w:color="auto"/>
              <w:right w:val="single" w:sz="4" w:space="0" w:color="auto"/>
            </w:tcBorders>
            <w:noWrap/>
            <w:vAlign w:val="center"/>
            <w:hideMark/>
          </w:tcPr>
          <w:p w14:paraId="7B445B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IN VRTEC APAČE</w:t>
            </w:r>
          </w:p>
        </w:tc>
      </w:tr>
      <w:tr w:rsidR="00F24E18" w14:paraId="433A98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B7E4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1275</w:t>
            </w:r>
          </w:p>
        </w:tc>
        <w:tc>
          <w:tcPr>
            <w:tcW w:w="1300" w:type="dxa"/>
            <w:tcBorders>
              <w:top w:val="nil"/>
              <w:left w:val="nil"/>
              <w:bottom w:val="single" w:sz="4" w:space="0" w:color="auto"/>
              <w:right w:val="single" w:sz="4" w:space="0" w:color="auto"/>
            </w:tcBorders>
            <w:noWrap/>
            <w:vAlign w:val="center"/>
            <w:hideMark/>
          </w:tcPr>
          <w:p w14:paraId="27BD6B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5083133000</w:t>
            </w:r>
          </w:p>
        </w:tc>
        <w:tc>
          <w:tcPr>
            <w:tcW w:w="1012" w:type="dxa"/>
            <w:tcBorders>
              <w:top w:val="nil"/>
              <w:left w:val="nil"/>
              <w:bottom w:val="single" w:sz="4" w:space="0" w:color="auto"/>
              <w:right w:val="single" w:sz="4" w:space="0" w:color="auto"/>
            </w:tcBorders>
            <w:noWrap/>
            <w:vAlign w:val="center"/>
            <w:hideMark/>
          </w:tcPr>
          <w:p w14:paraId="28BFF9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78522625</w:t>
            </w:r>
          </w:p>
        </w:tc>
        <w:tc>
          <w:tcPr>
            <w:tcW w:w="5953" w:type="dxa"/>
            <w:tcBorders>
              <w:top w:val="nil"/>
              <w:left w:val="nil"/>
              <w:bottom w:val="single" w:sz="4" w:space="0" w:color="auto"/>
              <w:right w:val="single" w:sz="4" w:space="0" w:color="auto"/>
            </w:tcBorders>
            <w:noWrap/>
            <w:vAlign w:val="center"/>
            <w:hideMark/>
          </w:tcPr>
          <w:p w14:paraId="67DA78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ISTRSKEGA ODREDA GRAČIŠČE</w:t>
            </w:r>
          </w:p>
        </w:tc>
      </w:tr>
      <w:tr w:rsidR="00F24E18" w14:paraId="6B5218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F954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1276</w:t>
            </w:r>
          </w:p>
        </w:tc>
        <w:tc>
          <w:tcPr>
            <w:tcW w:w="1300" w:type="dxa"/>
            <w:tcBorders>
              <w:top w:val="nil"/>
              <w:left w:val="nil"/>
              <w:bottom w:val="single" w:sz="4" w:space="0" w:color="auto"/>
              <w:right w:val="single" w:sz="4" w:space="0" w:color="auto"/>
            </w:tcBorders>
            <w:noWrap/>
            <w:vAlign w:val="center"/>
            <w:hideMark/>
          </w:tcPr>
          <w:p w14:paraId="2D1A19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5640253000</w:t>
            </w:r>
          </w:p>
        </w:tc>
        <w:tc>
          <w:tcPr>
            <w:tcW w:w="1012" w:type="dxa"/>
            <w:tcBorders>
              <w:top w:val="nil"/>
              <w:left w:val="nil"/>
              <w:bottom w:val="single" w:sz="4" w:space="0" w:color="auto"/>
              <w:right w:val="single" w:sz="4" w:space="0" w:color="auto"/>
            </w:tcBorders>
            <w:noWrap/>
            <w:vAlign w:val="center"/>
            <w:hideMark/>
          </w:tcPr>
          <w:p w14:paraId="5D4815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10286179</w:t>
            </w:r>
          </w:p>
        </w:tc>
        <w:tc>
          <w:tcPr>
            <w:tcW w:w="5953" w:type="dxa"/>
            <w:tcBorders>
              <w:top w:val="nil"/>
              <w:left w:val="nil"/>
              <w:bottom w:val="single" w:sz="4" w:space="0" w:color="auto"/>
              <w:right w:val="single" w:sz="4" w:space="0" w:color="auto"/>
            </w:tcBorders>
            <w:noWrap/>
            <w:vAlign w:val="center"/>
            <w:hideMark/>
          </w:tcPr>
          <w:p w14:paraId="316ADA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 MURSKA SOBOTA</w:t>
            </w:r>
          </w:p>
        </w:tc>
      </w:tr>
      <w:tr w:rsidR="00F24E18" w14:paraId="391EC86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8D25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1277</w:t>
            </w:r>
          </w:p>
        </w:tc>
        <w:tc>
          <w:tcPr>
            <w:tcW w:w="1300" w:type="dxa"/>
            <w:tcBorders>
              <w:top w:val="nil"/>
              <w:left w:val="nil"/>
              <w:bottom w:val="single" w:sz="4" w:space="0" w:color="auto"/>
              <w:right w:val="single" w:sz="4" w:space="0" w:color="auto"/>
            </w:tcBorders>
            <w:noWrap/>
            <w:vAlign w:val="center"/>
            <w:hideMark/>
          </w:tcPr>
          <w:p w14:paraId="0CF569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5083150000</w:t>
            </w:r>
          </w:p>
        </w:tc>
        <w:tc>
          <w:tcPr>
            <w:tcW w:w="1012" w:type="dxa"/>
            <w:tcBorders>
              <w:top w:val="nil"/>
              <w:left w:val="nil"/>
              <w:bottom w:val="single" w:sz="4" w:space="0" w:color="auto"/>
              <w:right w:val="single" w:sz="4" w:space="0" w:color="auto"/>
            </w:tcBorders>
            <w:noWrap/>
            <w:vAlign w:val="center"/>
            <w:hideMark/>
          </w:tcPr>
          <w:p w14:paraId="3DDAD4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34559477</w:t>
            </w:r>
          </w:p>
        </w:tc>
        <w:tc>
          <w:tcPr>
            <w:tcW w:w="5953" w:type="dxa"/>
            <w:tcBorders>
              <w:top w:val="nil"/>
              <w:left w:val="nil"/>
              <w:bottom w:val="single" w:sz="4" w:space="0" w:color="auto"/>
              <w:right w:val="single" w:sz="4" w:space="0" w:color="auto"/>
            </w:tcBorders>
            <w:noWrap/>
            <w:vAlign w:val="center"/>
            <w:hideMark/>
          </w:tcPr>
          <w:p w14:paraId="0F0B21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BABIČA-JAGRA MAREZIGE</w:t>
            </w:r>
          </w:p>
        </w:tc>
      </w:tr>
      <w:tr w:rsidR="00F24E18" w14:paraId="604E5CA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FA8B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1278</w:t>
            </w:r>
          </w:p>
        </w:tc>
        <w:tc>
          <w:tcPr>
            <w:tcW w:w="1300" w:type="dxa"/>
            <w:tcBorders>
              <w:top w:val="nil"/>
              <w:left w:val="nil"/>
              <w:bottom w:val="single" w:sz="4" w:space="0" w:color="auto"/>
              <w:right w:val="single" w:sz="4" w:space="0" w:color="auto"/>
            </w:tcBorders>
            <w:vAlign w:val="center"/>
            <w:hideMark/>
          </w:tcPr>
          <w:p w14:paraId="62C6B2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5088330000</w:t>
            </w:r>
          </w:p>
        </w:tc>
        <w:tc>
          <w:tcPr>
            <w:tcW w:w="1012" w:type="dxa"/>
            <w:tcBorders>
              <w:top w:val="nil"/>
              <w:left w:val="nil"/>
              <w:bottom w:val="single" w:sz="4" w:space="0" w:color="auto"/>
              <w:right w:val="single" w:sz="4" w:space="0" w:color="auto"/>
            </w:tcBorders>
            <w:vAlign w:val="center"/>
            <w:hideMark/>
          </w:tcPr>
          <w:p w14:paraId="7BB1FC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78824966</w:t>
            </w:r>
          </w:p>
        </w:tc>
        <w:tc>
          <w:tcPr>
            <w:tcW w:w="5953" w:type="dxa"/>
            <w:tcBorders>
              <w:top w:val="nil"/>
              <w:left w:val="nil"/>
              <w:bottom w:val="single" w:sz="4" w:space="0" w:color="auto"/>
              <w:right w:val="single" w:sz="4" w:space="0" w:color="auto"/>
            </w:tcBorders>
            <w:noWrap/>
            <w:vAlign w:val="center"/>
            <w:hideMark/>
          </w:tcPr>
          <w:p w14:paraId="76240E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CANKARJA</w:t>
            </w:r>
          </w:p>
        </w:tc>
      </w:tr>
      <w:tr w:rsidR="00F24E18" w14:paraId="44B2017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449B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1279</w:t>
            </w:r>
          </w:p>
        </w:tc>
        <w:tc>
          <w:tcPr>
            <w:tcW w:w="1300" w:type="dxa"/>
            <w:tcBorders>
              <w:top w:val="nil"/>
              <w:left w:val="nil"/>
              <w:bottom w:val="single" w:sz="4" w:space="0" w:color="auto"/>
              <w:right w:val="single" w:sz="4" w:space="0" w:color="auto"/>
            </w:tcBorders>
            <w:noWrap/>
            <w:vAlign w:val="center"/>
            <w:hideMark/>
          </w:tcPr>
          <w:p w14:paraId="182099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5085012000</w:t>
            </w:r>
          </w:p>
        </w:tc>
        <w:tc>
          <w:tcPr>
            <w:tcW w:w="1012" w:type="dxa"/>
            <w:tcBorders>
              <w:top w:val="nil"/>
              <w:left w:val="nil"/>
              <w:bottom w:val="single" w:sz="4" w:space="0" w:color="auto"/>
              <w:right w:val="single" w:sz="4" w:space="0" w:color="auto"/>
            </w:tcBorders>
            <w:noWrap/>
            <w:vAlign w:val="center"/>
            <w:hideMark/>
          </w:tcPr>
          <w:p w14:paraId="35B112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92006582</w:t>
            </w:r>
          </w:p>
        </w:tc>
        <w:tc>
          <w:tcPr>
            <w:tcW w:w="5953" w:type="dxa"/>
            <w:tcBorders>
              <w:top w:val="nil"/>
              <w:left w:val="nil"/>
              <w:bottom w:val="single" w:sz="4" w:space="0" w:color="auto"/>
              <w:right w:val="single" w:sz="4" w:space="0" w:color="auto"/>
            </w:tcBorders>
            <w:noWrap/>
            <w:vAlign w:val="center"/>
            <w:hideMark/>
          </w:tcPr>
          <w:p w14:paraId="65212C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CANKARJA LJUTOMER</w:t>
            </w:r>
          </w:p>
        </w:tc>
      </w:tr>
      <w:tr w:rsidR="00F24E18" w14:paraId="52E879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EF81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1280</w:t>
            </w:r>
          </w:p>
        </w:tc>
        <w:tc>
          <w:tcPr>
            <w:tcW w:w="1300" w:type="dxa"/>
            <w:tcBorders>
              <w:top w:val="nil"/>
              <w:left w:val="nil"/>
              <w:bottom w:val="single" w:sz="4" w:space="0" w:color="auto"/>
              <w:right w:val="single" w:sz="4" w:space="0" w:color="auto"/>
            </w:tcBorders>
            <w:noWrap/>
            <w:vAlign w:val="center"/>
            <w:hideMark/>
          </w:tcPr>
          <w:p w14:paraId="2E52B5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5889286000</w:t>
            </w:r>
          </w:p>
        </w:tc>
        <w:tc>
          <w:tcPr>
            <w:tcW w:w="1012" w:type="dxa"/>
            <w:tcBorders>
              <w:top w:val="nil"/>
              <w:left w:val="nil"/>
              <w:bottom w:val="single" w:sz="4" w:space="0" w:color="auto"/>
              <w:right w:val="single" w:sz="4" w:space="0" w:color="auto"/>
            </w:tcBorders>
            <w:noWrap/>
            <w:vAlign w:val="center"/>
            <w:hideMark/>
          </w:tcPr>
          <w:p w14:paraId="35F823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59416815</w:t>
            </w:r>
          </w:p>
        </w:tc>
        <w:tc>
          <w:tcPr>
            <w:tcW w:w="5953" w:type="dxa"/>
            <w:tcBorders>
              <w:top w:val="nil"/>
              <w:left w:val="nil"/>
              <w:bottom w:val="single" w:sz="4" w:space="0" w:color="auto"/>
              <w:right w:val="single" w:sz="4" w:space="0" w:color="auto"/>
            </w:tcBorders>
            <w:noWrap/>
            <w:vAlign w:val="center"/>
            <w:hideMark/>
          </w:tcPr>
          <w:p w14:paraId="0B6F96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CANKARJA TRBOVLJE</w:t>
            </w:r>
          </w:p>
        </w:tc>
      </w:tr>
      <w:tr w:rsidR="00F24E18" w14:paraId="0E2F65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9C3F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1281</w:t>
            </w:r>
          </w:p>
        </w:tc>
        <w:tc>
          <w:tcPr>
            <w:tcW w:w="1300" w:type="dxa"/>
            <w:tcBorders>
              <w:top w:val="nil"/>
              <w:left w:val="nil"/>
              <w:bottom w:val="single" w:sz="4" w:space="0" w:color="auto"/>
              <w:right w:val="single" w:sz="4" w:space="0" w:color="auto"/>
            </w:tcBorders>
            <w:vAlign w:val="center"/>
            <w:hideMark/>
          </w:tcPr>
          <w:p w14:paraId="744BE0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5263620000</w:t>
            </w:r>
          </w:p>
        </w:tc>
        <w:tc>
          <w:tcPr>
            <w:tcW w:w="1012" w:type="dxa"/>
            <w:tcBorders>
              <w:top w:val="nil"/>
              <w:left w:val="nil"/>
              <w:bottom w:val="single" w:sz="4" w:space="0" w:color="auto"/>
              <w:right w:val="single" w:sz="4" w:space="0" w:color="auto"/>
            </w:tcBorders>
            <w:vAlign w:val="center"/>
            <w:hideMark/>
          </w:tcPr>
          <w:p w14:paraId="1DDE29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94792259</w:t>
            </w:r>
          </w:p>
        </w:tc>
        <w:tc>
          <w:tcPr>
            <w:tcW w:w="5953" w:type="dxa"/>
            <w:tcBorders>
              <w:top w:val="nil"/>
              <w:left w:val="nil"/>
              <w:bottom w:val="single" w:sz="4" w:space="0" w:color="auto"/>
              <w:right w:val="single" w:sz="4" w:space="0" w:color="auto"/>
            </w:tcBorders>
            <w:noWrap/>
            <w:vAlign w:val="center"/>
            <w:hideMark/>
          </w:tcPr>
          <w:p w14:paraId="6EFD80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GROHARJA</w:t>
            </w:r>
          </w:p>
        </w:tc>
      </w:tr>
      <w:tr w:rsidR="00F24E18" w14:paraId="34F0DE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4C6E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1282</w:t>
            </w:r>
          </w:p>
        </w:tc>
        <w:tc>
          <w:tcPr>
            <w:tcW w:w="1300" w:type="dxa"/>
            <w:tcBorders>
              <w:top w:val="nil"/>
              <w:left w:val="nil"/>
              <w:bottom w:val="single" w:sz="4" w:space="0" w:color="auto"/>
              <w:right w:val="single" w:sz="4" w:space="0" w:color="auto"/>
            </w:tcBorders>
            <w:vAlign w:val="center"/>
            <w:hideMark/>
          </w:tcPr>
          <w:p w14:paraId="4E4419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5088372000</w:t>
            </w:r>
          </w:p>
        </w:tc>
        <w:tc>
          <w:tcPr>
            <w:tcW w:w="1012" w:type="dxa"/>
            <w:tcBorders>
              <w:top w:val="nil"/>
              <w:left w:val="nil"/>
              <w:bottom w:val="single" w:sz="4" w:space="0" w:color="auto"/>
              <w:right w:val="single" w:sz="4" w:space="0" w:color="auto"/>
            </w:tcBorders>
            <w:vAlign w:val="center"/>
            <w:hideMark/>
          </w:tcPr>
          <w:p w14:paraId="2596DB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33761663</w:t>
            </w:r>
          </w:p>
        </w:tc>
        <w:tc>
          <w:tcPr>
            <w:tcW w:w="5953" w:type="dxa"/>
            <w:tcBorders>
              <w:top w:val="nil"/>
              <w:left w:val="nil"/>
              <w:bottom w:val="single" w:sz="4" w:space="0" w:color="auto"/>
              <w:right w:val="single" w:sz="4" w:space="0" w:color="auto"/>
            </w:tcBorders>
            <w:noWrap/>
            <w:vAlign w:val="center"/>
            <w:hideMark/>
          </w:tcPr>
          <w:p w14:paraId="2781AD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KAVČIČA</w:t>
            </w:r>
          </w:p>
        </w:tc>
      </w:tr>
      <w:tr w:rsidR="00F24E18" w14:paraId="3CF788C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8E08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1283</w:t>
            </w:r>
          </w:p>
        </w:tc>
        <w:tc>
          <w:tcPr>
            <w:tcW w:w="1300" w:type="dxa"/>
            <w:tcBorders>
              <w:top w:val="nil"/>
              <w:left w:val="nil"/>
              <w:bottom w:val="single" w:sz="4" w:space="0" w:color="auto"/>
              <w:right w:val="single" w:sz="4" w:space="0" w:color="auto"/>
            </w:tcBorders>
            <w:vAlign w:val="center"/>
            <w:hideMark/>
          </w:tcPr>
          <w:p w14:paraId="3EE8AA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5089069000</w:t>
            </w:r>
          </w:p>
        </w:tc>
        <w:tc>
          <w:tcPr>
            <w:tcW w:w="1012" w:type="dxa"/>
            <w:tcBorders>
              <w:top w:val="nil"/>
              <w:left w:val="nil"/>
              <w:bottom w:val="single" w:sz="4" w:space="0" w:color="auto"/>
              <w:right w:val="single" w:sz="4" w:space="0" w:color="auto"/>
            </w:tcBorders>
            <w:vAlign w:val="center"/>
            <w:hideMark/>
          </w:tcPr>
          <w:p w14:paraId="7EE7C3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11522399</w:t>
            </w:r>
          </w:p>
        </w:tc>
        <w:tc>
          <w:tcPr>
            <w:tcW w:w="5953" w:type="dxa"/>
            <w:tcBorders>
              <w:top w:val="nil"/>
              <w:left w:val="nil"/>
              <w:bottom w:val="single" w:sz="4" w:space="0" w:color="auto"/>
              <w:right w:val="single" w:sz="4" w:space="0" w:color="auto"/>
            </w:tcBorders>
            <w:noWrap/>
            <w:vAlign w:val="center"/>
            <w:hideMark/>
          </w:tcPr>
          <w:p w14:paraId="1C45CD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ROBA ŠEMPETER PRI GORICI</w:t>
            </w:r>
          </w:p>
        </w:tc>
      </w:tr>
      <w:tr w:rsidR="00F24E18" w14:paraId="55C42F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4801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1284</w:t>
            </w:r>
          </w:p>
        </w:tc>
        <w:tc>
          <w:tcPr>
            <w:tcW w:w="1300" w:type="dxa"/>
            <w:tcBorders>
              <w:top w:val="nil"/>
              <w:left w:val="nil"/>
              <w:bottom w:val="single" w:sz="4" w:space="0" w:color="auto"/>
              <w:right w:val="single" w:sz="4" w:space="0" w:color="auto"/>
            </w:tcBorders>
            <w:vAlign w:val="center"/>
            <w:hideMark/>
          </w:tcPr>
          <w:p w14:paraId="086BB4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5088402000</w:t>
            </w:r>
          </w:p>
        </w:tc>
        <w:tc>
          <w:tcPr>
            <w:tcW w:w="1012" w:type="dxa"/>
            <w:tcBorders>
              <w:top w:val="nil"/>
              <w:left w:val="nil"/>
              <w:bottom w:val="single" w:sz="4" w:space="0" w:color="auto"/>
              <w:right w:val="single" w:sz="4" w:space="0" w:color="auto"/>
            </w:tcBorders>
            <w:vAlign w:val="center"/>
            <w:hideMark/>
          </w:tcPr>
          <w:p w14:paraId="26F671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44831994</w:t>
            </w:r>
          </w:p>
        </w:tc>
        <w:tc>
          <w:tcPr>
            <w:tcW w:w="5953" w:type="dxa"/>
            <w:tcBorders>
              <w:top w:val="nil"/>
              <w:left w:val="nil"/>
              <w:bottom w:val="single" w:sz="4" w:space="0" w:color="auto"/>
              <w:right w:val="single" w:sz="4" w:space="0" w:color="auto"/>
            </w:tcBorders>
            <w:noWrap/>
            <w:vAlign w:val="center"/>
            <w:hideMark/>
          </w:tcPr>
          <w:p w14:paraId="576842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SKVARČE ZAGORJE OB SAVI, C. 9. AVGUSTA 44</w:t>
            </w:r>
          </w:p>
        </w:tc>
      </w:tr>
      <w:tr w:rsidR="00F24E18" w14:paraId="77F39BD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7095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1285</w:t>
            </w:r>
          </w:p>
        </w:tc>
        <w:tc>
          <w:tcPr>
            <w:tcW w:w="1300" w:type="dxa"/>
            <w:tcBorders>
              <w:top w:val="nil"/>
              <w:left w:val="nil"/>
              <w:bottom w:val="single" w:sz="4" w:space="0" w:color="auto"/>
              <w:right w:val="single" w:sz="4" w:space="0" w:color="auto"/>
            </w:tcBorders>
            <w:noWrap/>
            <w:vAlign w:val="center"/>
            <w:hideMark/>
          </w:tcPr>
          <w:p w14:paraId="141FA0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5087813000</w:t>
            </w:r>
          </w:p>
        </w:tc>
        <w:tc>
          <w:tcPr>
            <w:tcW w:w="1012" w:type="dxa"/>
            <w:tcBorders>
              <w:top w:val="nil"/>
              <w:left w:val="nil"/>
              <w:bottom w:val="single" w:sz="4" w:space="0" w:color="auto"/>
              <w:right w:val="single" w:sz="4" w:space="0" w:color="auto"/>
            </w:tcBorders>
            <w:noWrap/>
            <w:vAlign w:val="center"/>
            <w:hideMark/>
          </w:tcPr>
          <w:p w14:paraId="1C4DD4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72397870</w:t>
            </w:r>
          </w:p>
        </w:tc>
        <w:tc>
          <w:tcPr>
            <w:tcW w:w="5953" w:type="dxa"/>
            <w:tcBorders>
              <w:top w:val="nil"/>
              <w:left w:val="nil"/>
              <w:bottom w:val="single" w:sz="4" w:space="0" w:color="auto"/>
              <w:right w:val="single" w:sz="4" w:space="0" w:color="auto"/>
            </w:tcBorders>
            <w:noWrap/>
            <w:vAlign w:val="center"/>
            <w:hideMark/>
          </w:tcPr>
          <w:p w14:paraId="70E0B7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IVANA TAVČARJA GORENJA VAS</w:t>
            </w:r>
          </w:p>
        </w:tc>
      </w:tr>
      <w:tr w:rsidR="00F24E18" w14:paraId="2C876C6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ADD3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1286</w:t>
            </w:r>
          </w:p>
        </w:tc>
        <w:tc>
          <w:tcPr>
            <w:tcW w:w="1300" w:type="dxa"/>
            <w:tcBorders>
              <w:top w:val="nil"/>
              <w:left w:val="nil"/>
              <w:bottom w:val="single" w:sz="4" w:space="0" w:color="auto"/>
              <w:right w:val="single" w:sz="4" w:space="0" w:color="auto"/>
            </w:tcBorders>
            <w:noWrap/>
            <w:vAlign w:val="center"/>
            <w:hideMark/>
          </w:tcPr>
          <w:p w14:paraId="428B6A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5900026000</w:t>
            </w:r>
          </w:p>
        </w:tc>
        <w:tc>
          <w:tcPr>
            <w:tcW w:w="1012" w:type="dxa"/>
            <w:tcBorders>
              <w:top w:val="nil"/>
              <w:left w:val="nil"/>
              <w:bottom w:val="single" w:sz="4" w:space="0" w:color="auto"/>
              <w:right w:val="single" w:sz="4" w:space="0" w:color="auto"/>
            </w:tcBorders>
            <w:noWrap/>
            <w:vAlign w:val="center"/>
            <w:hideMark/>
          </w:tcPr>
          <w:p w14:paraId="797B9B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41002270</w:t>
            </w:r>
          </w:p>
        </w:tc>
        <w:tc>
          <w:tcPr>
            <w:tcW w:w="5953" w:type="dxa"/>
            <w:tcBorders>
              <w:top w:val="nil"/>
              <w:left w:val="nil"/>
              <w:bottom w:val="single" w:sz="4" w:space="0" w:color="auto"/>
              <w:right w:val="single" w:sz="4" w:space="0" w:color="auto"/>
            </w:tcBorders>
            <w:noWrap/>
            <w:vAlign w:val="center"/>
            <w:hideMark/>
          </w:tcPr>
          <w:p w14:paraId="160DDA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IVANJKOVCI</w:t>
            </w:r>
          </w:p>
        </w:tc>
      </w:tr>
      <w:tr w:rsidR="00F24E18" w14:paraId="260950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56A9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1287</w:t>
            </w:r>
          </w:p>
        </w:tc>
        <w:tc>
          <w:tcPr>
            <w:tcW w:w="1300" w:type="dxa"/>
            <w:tcBorders>
              <w:top w:val="nil"/>
              <w:left w:val="nil"/>
              <w:bottom w:val="single" w:sz="4" w:space="0" w:color="auto"/>
              <w:right w:val="single" w:sz="4" w:space="0" w:color="auto"/>
            </w:tcBorders>
            <w:noWrap/>
            <w:vAlign w:val="center"/>
            <w:hideMark/>
          </w:tcPr>
          <w:p w14:paraId="31A9A8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5204941000</w:t>
            </w:r>
          </w:p>
        </w:tc>
        <w:tc>
          <w:tcPr>
            <w:tcW w:w="1012" w:type="dxa"/>
            <w:tcBorders>
              <w:top w:val="nil"/>
              <w:left w:val="nil"/>
              <w:bottom w:val="single" w:sz="4" w:space="0" w:color="auto"/>
              <w:right w:val="single" w:sz="4" w:space="0" w:color="auto"/>
            </w:tcBorders>
            <w:noWrap/>
            <w:vAlign w:val="center"/>
            <w:hideMark/>
          </w:tcPr>
          <w:p w14:paraId="54AFDD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45147990</w:t>
            </w:r>
          </w:p>
        </w:tc>
        <w:tc>
          <w:tcPr>
            <w:tcW w:w="5953" w:type="dxa"/>
            <w:tcBorders>
              <w:top w:val="nil"/>
              <w:left w:val="nil"/>
              <w:bottom w:val="single" w:sz="4" w:space="0" w:color="auto"/>
              <w:right w:val="single" w:sz="4" w:space="0" w:color="auto"/>
            </w:tcBorders>
            <w:noWrap/>
            <w:vAlign w:val="center"/>
            <w:hideMark/>
          </w:tcPr>
          <w:p w14:paraId="79C217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JAKOBA ALJAŽA KRANJ</w:t>
            </w:r>
          </w:p>
        </w:tc>
      </w:tr>
      <w:tr w:rsidR="00F24E18" w14:paraId="4ECDC69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5181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1288</w:t>
            </w:r>
          </w:p>
        </w:tc>
        <w:tc>
          <w:tcPr>
            <w:tcW w:w="1300" w:type="dxa"/>
            <w:tcBorders>
              <w:top w:val="nil"/>
              <w:left w:val="nil"/>
              <w:bottom w:val="single" w:sz="4" w:space="0" w:color="auto"/>
              <w:right w:val="single" w:sz="4" w:space="0" w:color="auto"/>
            </w:tcBorders>
            <w:noWrap/>
            <w:vAlign w:val="center"/>
            <w:hideMark/>
          </w:tcPr>
          <w:p w14:paraId="27D2B5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5089344000</w:t>
            </w:r>
          </w:p>
        </w:tc>
        <w:tc>
          <w:tcPr>
            <w:tcW w:w="1012" w:type="dxa"/>
            <w:tcBorders>
              <w:top w:val="nil"/>
              <w:left w:val="nil"/>
              <w:bottom w:val="single" w:sz="4" w:space="0" w:color="auto"/>
              <w:right w:val="single" w:sz="4" w:space="0" w:color="auto"/>
            </w:tcBorders>
            <w:noWrap/>
            <w:vAlign w:val="center"/>
            <w:hideMark/>
          </w:tcPr>
          <w:p w14:paraId="599C61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10804412</w:t>
            </w:r>
          </w:p>
        </w:tc>
        <w:tc>
          <w:tcPr>
            <w:tcW w:w="5953" w:type="dxa"/>
            <w:tcBorders>
              <w:top w:val="nil"/>
              <w:left w:val="nil"/>
              <w:bottom w:val="single" w:sz="4" w:space="0" w:color="auto"/>
              <w:right w:val="single" w:sz="4" w:space="0" w:color="auto"/>
            </w:tcBorders>
            <w:noWrap/>
            <w:vAlign w:val="center"/>
            <w:hideMark/>
          </w:tcPr>
          <w:p w14:paraId="5F6207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JANEZA KUHARJA RAZKRIŽJE</w:t>
            </w:r>
          </w:p>
        </w:tc>
      </w:tr>
      <w:tr w:rsidR="00F24E18" w14:paraId="7E358B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47D4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1289</w:t>
            </w:r>
          </w:p>
        </w:tc>
        <w:tc>
          <w:tcPr>
            <w:tcW w:w="1300" w:type="dxa"/>
            <w:tcBorders>
              <w:top w:val="nil"/>
              <w:left w:val="nil"/>
              <w:bottom w:val="single" w:sz="4" w:space="0" w:color="auto"/>
              <w:right w:val="single" w:sz="4" w:space="0" w:color="auto"/>
            </w:tcBorders>
            <w:noWrap/>
            <w:vAlign w:val="center"/>
            <w:hideMark/>
          </w:tcPr>
          <w:p w14:paraId="29BDE5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8889830000</w:t>
            </w:r>
          </w:p>
        </w:tc>
        <w:tc>
          <w:tcPr>
            <w:tcW w:w="1012" w:type="dxa"/>
            <w:tcBorders>
              <w:top w:val="nil"/>
              <w:left w:val="nil"/>
              <w:bottom w:val="single" w:sz="4" w:space="0" w:color="auto"/>
              <w:right w:val="single" w:sz="4" w:space="0" w:color="auto"/>
            </w:tcBorders>
            <w:noWrap/>
            <w:vAlign w:val="center"/>
            <w:hideMark/>
          </w:tcPr>
          <w:p w14:paraId="751A10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46234551</w:t>
            </w:r>
          </w:p>
        </w:tc>
        <w:tc>
          <w:tcPr>
            <w:tcW w:w="5953" w:type="dxa"/>
            <w:tcBorders>
              <w:top w:val="nil"/>
              <w:left w:val="nil"/>
              <w:bottom w:val="single" w:sz="4" w:space="0" w:color="auto"/>
              <w:right w:val="single" w:sz="4" w:space="0" w:color="auto"/>
            </w:tcBorders>
            <w:noWrap/>
            <w:vAlign w:val="center"/>
            <w:hideMark/>
          </w:tcPr>
          <w:p w14:paraId="03F237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JANEZA PUHARJA KRANJ - CENTER</w:t>
            </w:r>
          </w:p>
        </w:tc>
      </w:tr>
      <w:tr w:rsidR="00F24E18" w14:paraId="13C920E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24D3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1290</w:t>
            </w:r>
          </w:p>
        </w:tc>
        <w:tc>
          <w:tcPr>
            <w:tcW w:w="1300" w:type="dxa"/>
            <w:tcBorders>
              <w:top w:val="nil"/>
              <w:left w:val="nil"/>
              <w:bottom w:val="single" w:sz="4" w:space="0" w:color="auto"/>
              <w:right w:val="single" w:sz="4" w:space="0" w:color="auto"/>
            </w:tcBorders>
            <w:vAlign w:val="center"/>
            <w:hideMark/>
          </w:tcPr>
          <w:p w14:paraId="0AC95A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5088852000</w:t>
            </w:r>
          </w:p>
        </w:tc>
        <w:tc>
          <w:tcPr>
            <w:tcW w:w="1012" w:type="dxa"/>
            <w:tcBorders>
              <w:top w:val="nil"/>
              <w:left w:val="nil"/>
              <w:bottom w:val="single" w:sz="4" w:space="0" w:color="auto"/>
              <w:right w:val="single" w:sz="4" w:space="0" w:color="auto"/>
            </w:tcBorders>
            <w:vAlign w:val="center"/>
            <w:hideMark/>
          </w:tcPr>
          <w:p w14:paraId="69B208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51038315</w:t>
            </w:r>
          </w:p>
        </w:tc>
        <w:tc>
          <w:tcPr>
            <w:tcW w:w="5953" w:type="dxa"/>
            <w:tcBorders>
              <w:top w:val="nil"/>
              <w:left w:val="nil"/>
              <w:bottom w:val="single" w:sz="4" w:space="0" w:color="auto"/>
              <w:right w:val="single" w:sz="4" w:space="0" w:color="auto"/>
            </w:tcBorders>
            <w:noWrap/>
            <w:vAlign w:val="center"/>
            <w:hideMark/>
          </w:tcPr>
          <w:p w14:paraId="6E0368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JANKA GLAZERJA RUŠE</w:t>
            </w:r>
          </w:p>
        </w:tc>
      </w:tr>
      <w:tr w:rsidR="00F24E18" w14:paraId="6F861D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00A7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1291</w:t>
            </w:r>
          </w:p>
        </w:tc>
        <w:tc>
          <w:tcPr>
            <w:tcW w:w="1300" w:type="dxa"/>
            <w:tcBorders>
              <w:top w:val="nil"/>
              <w:left w:val="nil"/>
              <w:bottom w:val="single" w:sz="4" w:space="0" w:color="auto"/>
              <w:right w:val="single" w:sz="4" w:space="0" w:color="auto"/>
            </w:tcBorders>
            <w:vAlign w:val="center"/>
            <w:hideMark/>
          </w:tcPr>
          <w:p w14:paraId="022B46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5082790000</w:t>
            </w:r>
          </w:p>
        </w:tc>
        <w:tc>
          <w:tcPr>
            <w:tcW w:w="1012" w:type="dxa"/>
            <w:tcBorders>
              <w:top w:val="nil"/>
              <w:left w:val="nil"/>
              <w:bottom w:val="single" w:sz="4" w:space="0" w:color="auto"/>
              <w:right w:val="single" w:sz="4" w:space="0" w:color="auto"/>
            </w:tcBorders>
            <w:vAlign w:val="center"/>
            <w:hideMark/>
          </w:tcPr>
          <w:p w14:paraId="51499C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50409484</w:t>
            </w:r>
          </w:p>
        </w:tc>
        <w:tc>
          <w:tcPr>
            <w:tcW w:w="5953" w:type="dxa"/>
            <w:tcBorders>
              <w:top w:val="nil"/>
              <w:left w:val="nil"/>
              <w:bottom w:val="single" w:sz="4" w:space="0" w:color="auto"/>
              <w:right w:val="single" w:sz="4" w:space="0" w:color="auto"/>
            </w:tcBorders>
            <w:noWrap/>
            <w:vAlign w:val="center"/>
            <w:hideMark/>
          </w:tcPr>
          <w:p w14:paraId="0FFCC7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JANKA KERSNIKA BRDO</w:t>
            </w:r>
          </w:p>
        </w:tc>
      </w:tr>
      <w:tr w:rsidR="00F24E18" w14:paraId="19873BA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28B0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1292</w:t>
            </w:r>
          </w:p>
        </w:tc>
        <w:tc>
          <w:tcPr>
            <w:tcW w:w="1300" w:type="dxa"/>
            <w:tcBorders>
              <w:top w:val="nil"/>
              <w:left w:val="nil"/>
              <w:bottom w:val="single" w:sz="4" w:space="0" w:color="auto"/>
              <w:right w:val="single" w:sz="4" w:space="0" w:color="auto"/>
            </w:tcBorders>
            <w:noWrap/>
            <w:vAlign w:val="center"/>
            <w:hideMark/>
          </w:tcPr>
          <w:p w14:paraId="3EFF1F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5083354000</w:t>
            </w:r>
          </w:p>
        </w:tc>
        <w:tc>
          <w:tcPr>
            <w:tcW w:w="1012" w:type="dxa"/>
            <w:tcBorders>
              <w:top w:val="nil"/>
              <w:left w:val="nil"/>
              <w:bottom w:val="single" w:sz="4" w:space="0" w:color="auto"/>
              <w:right w:val="single" w:sz="4" w:space="0" w:color="auto"/>
            </w:tcBorders>
            <w:noWrap/>
            <w:vAlign w:val="center"/>
            <w:hideMark/>
          </w:tcPr>
          <w:p w14:paraId="5C5EF8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63332248</w:t>
            </w:r>
          </w:p>
        </w:tc>
        <w:tc>
          <w:tcPr>
            <w:tcW w:w="5953" w:type="dxa"/>
            <w:tcBorders>
              <w:top w:val="nil"/>
              <w:left w:val="nil"/>
              <w:bottom w:val="single" w:sz="4" w:space="0" w:color="auto"/>
              <w:right w:val="single" w:sz="4" w:space="0" w:color="auto"/>
            </w:tcBorders>
            <w:noWrap/>
            <w:vAlign w:val="center"/>
            <w:hideMark/>
          </w:tcPr>
          <w:p w14:paraId="427B91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JANKA MODRA, DOL PRI LJUBLJANI</w:t>
            </w:r>
          </w:p>
        </w:tc>
      </w:tr>
      <w:tr w:rsidR="00F24E18" w14:paraId="40EE76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0901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1293</w:t>
            </w:r>
          </w:p>
        </w:tc>
        <w:tc>
          <w:tcPr>
            <w:tcW w:w="1300" w:type="dxa"/>
            <w:tcBorders>
              <w:top w:val="nil"/>
              <w:left w:val="nil"/>
              <w:bottom w:val="single" w:sz="4" w:space="0" w:color="auto"/>
              <w:right w:val="single" w:sz="4" w:space="0" w:color="auto"/>
            </w:tcBorders>
            <w:noWrap/>
            <w:vAlign w:val="center"/>
            <w:hideMark/>
          </w:tcPr>
          <w:p w14:paraId="189E0B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5085217000</w:t>
            </w:r>
          </w:p>
        </w:tc>
        <w:tc>
          <w:tcPr>
            <w:tcW w:w="1012" w:type="dxa"/>
            <w:tcBorders>
              <w:top w:val="nil"/>
              <w:left w:val="nil"/>
              <w:bottom w:val="single" w:sz="4" w:space="0" w:color="auto"/>
              <w:right w:val="single" w:sz="4" w:space="0" w:color="auto"/>
            </w:tcBorders>
            <w:noWrap/>
            <w:vAlign w:val="center"/>
            <w:hideMark/>
          </w:tcPr>
          <w:p w14:paraId="02393B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82112037</w:t>
            </w:r>
          </w:p>
        </w:tc>
        <w:tc>
          <w:tcPr>
            <w:tcW w:w="5953" w:type="dxa"/>
            <w:tcBorders>
              <w:top w:val="nil"/>
              <w:left w:val="nil"/>
              <w:bottom w:val="single" w:sz="4" w:space="0" w:color="auto"/>
              <w:right w:val="single" w:sz="4" w:space="0" w:color="auto"/>
            </w:tcBorders>
            <w:noWrap/>
            <w:vAlign w:val="center"/>
            <w:hideMark/>
          </w:tcPr>
          <w:p w14:paraId="68AC9C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JANKA PADEŽNIKA MARIBOR</w:t>
            </w:r>
          </w:p>
        </w:tc>
      </w:tr>
      <w:tr w:rsidR="00F24E18" w14:paraId="5D8331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4FAA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1294</w:t>
            </w:r>
          </w:p>
        </w:tc>
        <w:tc>
          <w:tcPr>
            <w:tcW w:w="1300" w:type="dxa"/>
            <w:tcBorders>
              <w:top w:val="nil"/>
              <w:left w:val="nil"/>
              <w:bottom w:val="single" w:sz="4" w:space="0" w:color="auto"/>
              <w:right w:val="single" w:sz="4" w:space="0" w:color="auto"/>
            </w:tcBorders>
            <w:noWrap/>
            <w:vAlign w:val="center"/>
            <w:hideMark/>
          </w:tcPr>
          <w:p w14:paraId="664CD4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5084628000</w:t>
            </w:r>
          </w:p>
        </w:tc>
        <w:tc>
          <w:tcPr>
            <w:tcW w:w="1012" w:type="dxa"/>
            <w:tcBorders>
              <w:top w:val="nil"/>
              <w:left w:val="nil"/>
              <w:bottom w:val="single" w:sz="4" w:space="0" w:color="auto"/>
              <w:right w:val="single" w:sz="4" w:space="0" w:color="auto"/>
            </w:tcBorders>
            <w:noWrap/>
            <w:vAlign w:val="center"/>
            <w:hideMark/>
          </w:tcPr>
          <w:p w14:paraId="2C73CC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94576980</w:t>
            </w:r>
          </w:p>
        </w:tc>
        <w:tc>
          <w:tcPr>
            <w:tcW w:w="5953" w:type="dxa"/>
            <w:tcBorders>
              <w:top w:val="nil"/>
              <w:left w:val="nil"/>
              <w:bottom w:val="single" w:sz="4" w:space="0" w:color="auto"/>
              <w:right w:val="single" w:sz="4" w:space="0" w:color="auto"/>
            </w:tcBorders>
            <w:noWrap/>
            <w:vAlign w:val="center"/>
            <w:hideMark/>
          </w:tcPr>
          <w:p w14:paraId="7172D5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JANKA RIBIČA CEZANJEVCI</w:t>
            </w:r>
          </w:p>
        </w:tc>
      </w:tr>
      <w:tr w:rsidR="00F24E18" w14:paraId="6E78DC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1CB6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1295</w:t>
            </w:r>
          </w:p>
        </w:tc>
        <w:tc>
          <w:tcPr>
            <w:tcW w:w="1300" w:type="dxa"/>
            <w:tcBorders>
              <w:top w:val="nil"/>
              <w:left w:val="nil"/>
              <w:bottom w:val="single" w:sz="4" w:space="0" w:color="auto"/>
              <w:right w:val="single" w:sz="4" w:space="0" w:color="auto"/>
            </w:tcBorders>
            <w:noWrap/>
            <w:vAlign w:val="center"/>
            <w:hideMark/>
          </w:tcPr>
          <w:p w14:paraId="218448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5087848000</w:t>
            </w:r>
          </w:p>
        </w:tc>
        <w:tc>
          <w:tcPr>
            <w:tcW w:w="1012" w:type="dxa"/>
            <w:tcBorders>
              <w:top w:val="nil"/>
              <w:left w:val="nil"/>
              <w:bottom w:val="single" w:sz="4" w:space="0" w:color="auto"/>
              <w:right w:val="single" w:sz="4" w:space="0" w:color="auto"/>
            </w:tcBorders>
            <w:noWrap/>
            <w:vAlign w:val="center"/>
            <w:hideMark/>
          </w:tcPr>
          <w:p w14:paraId="6AD138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81752130</w:t>
            </w:r>
          </w:p>
        </w:tc>
        <w:tc>
          <w:tcPr>
            <w:tcW w:w="5953" w:type="dxa"/>
            <w:tcBorders>
              <w:top w:val="nil"/>
              <w:left w:val="nil"/>
              <w:bottom w:val="single" w:sz="4" w:space="0" w:color="auto"/>
              <w:right w:val="single" w:sz="4" w:space="0" w:color="auto"/>
            </w:tcBorders>
            <w:noWrap/>
            <w:vAlign w:val="center"/>
            <w:hideMark/>
          </w:tcPr>
          <w:p w14:paraId="777F6C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JELA JANEŽIČA</w:t>
            </w:r>
          </w:p>
        </w:tc>
      </w:tr>
      <w:tr w:rsidR="00F24E18" w14:paraId="20CAFDC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9DAE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1296</w:t>
            </w:r>
          </w:p>
        </w:tc>
        <w:tc>
          <w:tcPr>
            <w:tcW w:w="1300" w:type="dxa"/>
            <w:tcBorders>
              <w:top w:val="nil"/>
              <w:left w:val="nil"/>
              <w:bottom w:val="single" w:sz="4" w:space="0" w:color="auto"/>
              <w:right w:val="single" w:sz="4" w:space="0" w:color="auto"/>
            </w:tcBorders>
            <w:noWrap/>
            <w:vAlign w:val="center"/>
            <w:hideMark/>
          </w:tcPr>
          <w:p w14:paraId="153909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5719038000</w:t>
            </w:r>
          </w:p>
        </w:tc>
        <w:tc>
          <w:tcPr>
            <w:tcW w:w="1012" w:type="dxa"/>
            <w:tcBorders>
              <w:top w:val="nil"/>
              <w:left w:val="nil"/>
              <w:bottom w:val="single" w:sz="4" w:space="0" w:color="auto"/>
              <w:right w:val="single" w:sz="4" w:space="0" w:color="auto"/>
            </w:tcBorders>
            <w:noWrap/>
            <w:vAlign w:val="center"/>
            <w:hideMark/>
          </w:tcPr>
          <w:p w14:paraId="482B6A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65736290</w:t>
            </w:r>
          </w:p>
        </w:tc>
        <w:tc>
          <w:tcPr>
            <w:tcW w:w="5953" w:type="dxa"/>
            <w:tcBorders>
              <w:top w:val="nil"/>
              <w:left w:val="nil"/>
              <w:bottom w:val="single" w:sz="4" w:space="0" w:color="auto"/>
              <w:right w:val="single" w:sz="4" w:space="0" w:color="auto"/>
            </w:tcBorders>
            <w:noWrap/>
            <w:vAlign w:val="center"/>
            <w:hideMark/>
          </w:tcPr>
          <w:p w14:paraId="4494F0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JOSIPA VANDOTA KRANJSKA GORA</w:t>
            </w:r>
          </w:p>
        </w:tc>
      </w:tr>
      <w:tr w:rsidR="00F24E18" w14:paraId="2B0BC02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7716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1297</w:t>
            </w:r>
          </w:p>
        </w:tc>
        <w:tc>
          <w:tcPr>
            <w:tcW w:w="1300" w:type="dxa"/>
            <w:tcBorders>
              <w:top w:val="nil"/>
              <w:left w:val="nil"/>
              <w:bottom w:val="single" w:sz="4" w:space="0" w:color="auto"/>
              <w:right w:val="single" w:sz="4" w:space="0" w:color="auto"/>
            </w:tcBorders>
            <w:noWrap/>
            <w:vAlign w:val="center"/>
            <w:hideMark/>
          </w:tcPr>
          <w:p w14:paraId="41942C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5083958000</w:t>
            </w:r>
          </w:p>
        </w:tc>
        <w:tc>
          <w:tcPr>
            <w:tcW w:w="1012" w:type="dxa"/>
            <w:tcBorders>
              <w:top w:val="nil"/>
              <w:left w:val="nil"/>
              <w:bottom w:val="single" w:sz="4" w:space="0" w:color="auto"/>
              <w:right w:val="single" w:sz="4" w:space="0" w:color="auto"/>
            </w:tcBorders>
            <w:noWrap/>
            <w:vAlign w:val="center"/>
            <w:hideMark/>
          </w:tcPr>
          <w:p w14:paraId="6C7F32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47511788</w:t>
            </w:r>
          </w:p>
        </w:tc>
        <w:tc>
          <w:tcPr>
            <w:tcW w:w="5953" w:type="dxa"/>
            <w:tcBorders>
              <w:top w:val="nil"/>
              <w:left w:val="nil"/>
              <w:bottom w:val="single" w:sz="4" w:space="0" w:color="auto"/>
              <w:right w:val="single" w:sz="4" w:space="0" w:color="auto"/>
            </w:tcBorders>
            <w:noWrap/>
            <w:vAlign w:val="center"/>
            <w:hideMark/>
          </w:tcPr>
          <w:p w14:paraId="66C192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JOŽETA GORJUPA KOSTANJEVICA NA KRKI</w:t>
            </w:r>
          </w:p>
        </w:tc>
      </w:tr>
      <w:tr w:rsidR="00F24E18" w14:paraId="0D9391E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D684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1298</w:t>
            </w:r>
          </w:p>
        </w:tc>
        <w:tc>
          <w:tcPr>
            <w:tcW w:w="1300" w:type="dxa"/>
            <w:tcBorders>
              <w:top w:val="nil"/>
              <w:left w:val="nil"/>
              <w:bottom w:val="single" w:sz="4" w:space="0" w:color="auto"/>
              <w:right w:val="single" w:sz="4" w:space="0" w:color="auto"/>
            </w:tcBorders>
            <w:noWrap/>
            <w:vAlign w:val="center"/>
            <w:hideMark/>
          </w:tcPr>
          <w:p w14:paraId="4CA842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5082838000</w:t>
            </w:r>
          </w:p>
        </w:tc>
        <w:tc>
          <w:tcPr>
            <w:tcW w:w="1012" w:type="dxa"/>
            <w:tcBorders>
              <w:top w:val="nil"/>
              <w:left w:val="nil"/>
              <w:bottom w:val="single" w:sz="4" w:space="0" w:color="auto"/>
              <w:right w:val="single" w:sz="4" w:space="0" w:color="auto"/>
            </w:tcBorders>
            <w:noWrap/>
            <w:vAlign w:val="center"/>
            <w:hideMark/>
          </w:tcPr>
          <w:p w14:paraId="6E01BB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11448750</w:t>
            </w:r>
          </w:p>
        </w:tc>
        <w:tc>
          <w:tcPr>
            <w:tcW w:w="5953" w:type="dxa"/>
            <w:tcBorders>
              <w:top w:val="nil"/>
              <w:left w:val="nil"/>
              <w:bottom w:val="single" w:sz="4" w:space="0" w:color="auto"/>
              <w:right w:val="single" w:sz="4" w:space="0" w:color="auto"/>
            </w:tcBorders>
            <w:noWrap/>
            <w:vAlign w:val="center"/>
            <w:hideMark/>
          </w:tcPr>
          <w:p w14:paraId="537012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JURIJA VEGE</w:t>
            </w:r>
          </w:p>
        </w:tc>
      </w:tr>
      <w:tr w:rsidR="00F24E18" w14:paraId="3E1017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500E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1299</w:t>
            </w:r>
          </w:p>
        </w:tc>
        <w:tc>
          <w:tcPr>
            <w:tcW w:w="1300" w:type="dxa"/>
            <w:tcBorders>
              <w:top w:val="nil"/>
              <w:left w:val="nil"/>
              <w:bottom w:val="single" w:sz="4" w:space="0" w:color="auto"/>
              <w:right w:val="single" w:sz="4" w:space="0" w:color="auto"/>
            </w:tcBorders>
            <w:noWrap/>
            <w:vAlign w:val="center"/>
            <w:hideMark/>
          </w:tcPr>
          <w:p w14:paraId="274AF8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5087040000</w:t>
            </w:r>
          </w:p>
        </w:tc>
        <w:tc>
          <w:tcPr>
            <w:tcW w:w="1012" w:type="dxa"/>
            <w:tcBorders>
              <w:top w:val="nil"/>
              <w:left w:val="nil"/>
              <w:bottom w:val="single" w:sz="4" w:space="0" w:color="auto"/>
              <w:right w:val="single" w:sz="4" w:space="0" w:color="auto"/>
            </w:tcBorders>
            <w:vAlign w:val="center"/>
            <w:hideMark/>
          </w:tcPr>
          <w:p w14:paraId="0225CF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52707806</w:t>
            </w:r>
          </w:p>
        </w:tc>
        <w:tc>
          <w:tcPr>
            <w:tcW w:w="5953" w:type="dxa"/>
            <w:tcBorders>
              <w:top w:val="nil"/>
              <w:left w:val="nil"/>
              <w:bottom w:val="single" w:sz="4" w:space="0" w:color="auto"/>
              <w:right w:val="single" w:sz="4" w:space="0" w:color="auto"/>
            </w:tcBorders>
            <w:noWrap/>
            <w:vAlign w:val="center"/>
            <w:hideMark/>
          </w:tcPr>
          <w:p w14:paraId="7F8C22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JURŠINCI</w:t>
            </w:r>
          </w:p>
        </w:tc>
      </w:tr>
      <w:tr w:rsidR="00F24E18" w14:paraId="2F67B9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7174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1300</w:t>
            </w:r>
          </w:p>
        </w:tc>
        <w:tc>
          <w:tcPr>
            <w:tcW w:w="1300" w:type="dxa"/>
            <w:tcBorders>
              <w:top w:val="nil"/>
              <w:left w:val="nil"/>
              <w:bottom w:val="single" w:sz="4" w:space="0" w:color="auto"/>
              <w:right w:val="single" w:sz="4" w:space="0" w:color="auto"/>
            </w:tcBorders>
            <w:vAlign w:val="center"/>
            <w:hideMark/>
          </w:tcPr>
          <w:p w14:paraId="3D8391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5087678000</w:t>
            </w:r>
          </w:p>
        </w:tc>
        <w:tc>
          <w:tcPr>
            <w:tcW w:w="1012" w:type="dxa"/>
            <w:tcBorders>
              <w:top w:val="nil"/>
              <w:left w:val="nil"/>
              <w:bottom w:val="single" w:sz="4" w:space="0" w:color="auto"/>
              <w:right w:val="single" w:sz="4" w:space="0" w:color="auto"/>
            </w:tcBorders>
            <w:vAlign w:val="center"/>
            <w:hideMark/>
          </w:tcPr>
          <w:p w14:paraId="7B6C3F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17144442</w:t>
            </w:r>
          </w:p>
        </w:tc>
        <w:tc>
          <w:tcPr>
            <w:tcW w:w="5953" w:type="dxa"/>
            <w:tcBorders>
              <w:top w:val="nil"/>
              <w:left w:val="nil"/>
              <w:bottom w:val="single" w:sz="4" w:space="0" w:color="auto"/>
              <w:right w:val="single" w:sz="4" w:space="0" w:color="auto"/>
            </w:tcBorders>
            <w:noWrap/>
            <w:vAlign w:val="center"/>
            <w:hideMark/>
          </w:tcPr>
          <w:p w14:paraId="02C089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KAJETANA KOVIČA POLJČANE</w:t>
            </w:r>
          </w:p>
        </w:tc>
      </w:tr>
      <w:tr w:rsidR="00F24E18" w14:paraId="6E7221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4676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1301</w:t>
            </w:r>
          </w:p>
        </w:tc>
        <w:tc>
          <w:tcPr>
            <w:tcW w:w="1300" w:type="dxa"/>
            <w:tcBorders>
              <w:top w:val="nil"/>
              <w:left w:val="nil"/>
              <w:bottom w:val="single" w:sz="4" w:space="0" w:color="auto"/>
              <w:right w:val="single" w:sz="4" w:space="0" w:color="auto"/>
            </w:tcBorders>
            <w:noWrap/>
            <w:vAlign w:val="center"/>
            <w:hideMark/>
          </w:tcPr>
          <w:p w14:paraId="5F39E5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5082919000</w:t>
            </w:r>
          </w:p>
        </w:tc>
        <w:tc>
          <w:tcPr>
            <w:tcW w:w="1012" w:type="dxa"/>
            <w:tcBorders>
              <w:top w:val="nil"/>
              <w:left w:val="nil"/>
              <w:bottom w:val="single" w:sz="4" w:space="0" w:color="auto"/>
              <w:right w:val="single" w:sz="4" w:space="0" w:color="auto"/>
            </w:tcBorders>
            <w:noWrap/>
            <w:vAlign w:val="center"/>
            <w:hideMark/>
          </w:tcPr>
          <w:p w14:paraId="4B14F9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57189684</w:t>
            </w:r>
          </w:p>
        </w:tc>
        <w:tc>
          <w:tcPr>
            <w:tcW w:w="5953" w:type="dxa"/>
            <w:tcBorders>
              <w:top w:val="nil"/>
              <w:left w:val="nil"/>
              <w:bottom w:val="single" w:sz="4" w:space="0" w:color="auto"/>
              <w:right w:val="single" w:sz="4" w:space="0" w:color="auto"/>
            </w:tcBorders>
            <w:noWrap/>
            <w:vAlign w:val="center"/>
            <w:hideMark/>
          </w:tcPr>
          <w:p w14:paraId="7EA3D6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KAJETANA KOVIČA RADENCI</w:t>
            </w:r>
          </w:p>
        </w:tc>
      </w:tr>
      <w:tr w:rsidR="00F24E18" w14:paraId="47290A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7BE3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1302</w:t>
            </w:r>
          </w:p>
        </w:tc>
        <w:tc>
          <w:tcPr>
            <w:tcW w:w="1300" w:type="dxa"/>
            <w:tcBorders>
              <w:top w:val="nil"/>
              <w:left w:val="nil"/>
              <w:bottom w:val="single" w:sz="4" w:space="0" w:color="auto"/>
              <w:right w:val="single" w:sz="4" w:space="0" w:color="auto"/>
            </w:tcBorders>
            <w:noWrap/>
            <w:vAlign w:val="center"/>
            <w:hideMark/>
          </w:tcPr>
          <w:p w14:paraId="4ACCA7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5086710000</w:t>
            </w:r>
          </w:p>
        </w:tc>
        <w:tc>
          <w:tcPr>
            <w:tcW w:w="1012" w:type="dxa"/>
            <w:tcBorders>
              <w:top w:val="nil"/>
              <w:left w:val="nil"/>
              <w:bottom w:val="single" w:sz="4" w:space="0" w:color="auto"/>
              <w:right w:val="single" w:sz="4" w:space="0" w:color="auto"/>
            </w:tcBorders>
            <w:noWrap/>
            <w:vAlign w:val="center"/>
            <w:hideMark/>
          </w:tcPr>
          <w:p w14:paraId="28320E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31795609</w:t>
            </w:r>
          </w:p>
        </w:tc>
        <w:tc>
          <w:tcPr>
            <w:tcW w:w="5953" w:type="dxa"/>
            <w:tcBorders>
              <w:top w:val="nil"/>
              <w:left w:val="nil"/>
              <w:bottom w:val="single" w:sz="4" w:space="0" w:color="auto"/>
              <w:right w:val="single" w:sz="4" w:space="0" w:color="auto"/>
            </w:tcBorders>
            <w:noWrap/>
            <w:vAlign w:val="center"/>
            <w:hideMark/>
          </w:tcPr>
          <w:p w14:paraId="236A7C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KAMNICA</w:t>
            </w:r>
          </w:p>
        </w:tc>
      </w:tr>
      <w:tr w:rsidR="00F24E18" w14:paraId="2865DE1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80FA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1303</w:t>
            </w:r>
          </w:p>
        </w:tc>
        <w:tc>
          <w:tcPr>
            <w:tcW w:w="1300" w:type="dxa"/>
            <w:tcBorders>
              <w:top w:val="nil"/>
              <w:left w:val="nil"/>
              <w:bottom w:val="single" w:sz="4" w:space="0" w:color="auto"/>
              <w:right w:val="single" w:sz="4" w:space="0" w:color="auto"/>
            </w:tcBorders>
            <w:noWrap/>
            <w:vAlign w:val="center"/>
            <w:hideMark/>
          </w:tcPr>
          <w:p w14:paraId="4B12BA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5089018000</w:t>
            </w:r>
          </w:p>
        </w:tc>
        <w:tc>
          <w:tcPr>
            <w:tcW w:w="1012" w:type="dxa"/>
            <w:tcBorders>
              <w:top w:val="nil"/>
              <w:left w:val="nil"/>
              <w:bottom w:val="single" w:sz="4" w:space="0" w:color="auto"/>
              <w:right w:val="single" w:sz="4" w:space="0" w:color="auto"/>
            </w:tcBorders>
            <w:noWrap/>
            <w:vAlign w:val="center"/>
            <w:hideMark/>
          </w:tcPr>
          <w:p w14:paraId="288A8B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87540266</w:t>
            </w:r>
          </w:p>
        </w:tc>
        <w:tc>
          <w:tcPr>
            <w:tcW w:w="5953" w:type="dxa"/>
            <w:tcBorders>
              <w:top w:val="nil"/>
              <w:left w:val="nil"/>
              <w:bottom w:val="single" w:sz="4" w:space="0" w:color="auto"/>
              <w:right w:val="single" w:sz="4" w:space="0" w:color="auto"/>
            </w:tcBorders>
            <w:noWrap/>
            <w:vAlign w:val="center"/>
            <w:hideMark/>
          </w:tcPr>
          <w:p w14:paraId="661AAC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KANAL</w:t>
            </w:r>
          </w:p>
        </w:tc>
      </w:tr>
      <w:tr w:rsidR="00F24E18" w14:paraId="5F85BB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0704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1304</w:t>
            </w:r>
          </w:p>
        </w:tc>
        <w:tc>
          <w:tcPr>
            <w:tcW w:w="1300" w:type="dxa"/>
            <w:tcBorders>
              <w:top w:val="nil"/>
              <w:left w:val="nil"/>
              <w:bottom w:val="single" w:sz="4" w:space="0" w:color="auto"/>
              <w:right w:val="single" w:sz="4" w:space="0" w:color="auto"/>
            </w:tcBorders>
            <w:noWrap/>
            <w:vAlign w:val="center"/>
            <w:hideMark/>
          </w:tcPr>
          <w:p w14:paraId="133940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5084776000</w:t>
            </w:r>
          </w:p>
        </w:tc>
        <w:tc>
          <w:tcPr>
            <w:tcW w:w="1012" w:type="dxa"/>
            <w:tcBorders>
              <w:top w:val="nil"/>
              <w:left w:val="nil"/>
              <w:bottom w:val="single" w:sz="4" w:space="0" w:color="auto"/>
              <w:right w:val="single" w:sz="4" w:space="0" w:color="auto"/>
            </w:tcBorders>
            <w:noWrap/>
            <w:vAlign w:val="center"/>
            <w:hideMark/>
          </w:tcPr>
          <w:p w14:paraId="167B4A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26126885</w:t>
            </w:r>
          </w:p>
        </w:tc>
        <w:tc>
          <w:tcPr>
            <w:tcW w:w="5953" w:type="dxa"/>
            <w:tcBorders>
              <w:top w:val="nil"/>
              <w:left w:val="nil"/>
              <w:bottom w:val="single" w:sz="4" w:space="0" w:color="auto"/>
              <w:right w:val="single" w:sz="4" w:space="0" w:color="auto"/>
            </w:tcBorders>
            <w:noWrap/>
            <w:vAlign w:val="center"/>
            <w:hideMark/>
          </w:tcPr>
          <w:p w14:paraId="12DDBC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KAPELA</w:t>
            </w:r>
          </w:p>
        </w:tc>
      </w:tr>
      <w:tr w:rsidR="00F24E18" w14:paraId="72581D8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87AA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1305</w:t>
            </w:r>
          </w:p>
        </w:tc>
        <w:tc>
          <w:tcPr>
            <w:tcW w:w="1300" w:type="dxa"/>
            <w:tcBorders>
              <w:top w:val="nil"/>
              <w:left w:val="nil"/>
              <w:bottom w:val="single" w:sz="4" w:space="0" w:color="auto"/>
              <w:right w:val="single" w:sz="4" w:space="0" w:color="auto"/>
            </w:tcBorders>
            <w:noWrap/>
            <w:vAlign w:val="center"/>
            <w:hideMark/>
          </w:tcPr>
          <w:p w14:paraId="779743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2136147000</w:t>
            </w:r>
          </w:p>
        </w:tc>
        <w:tc>
          <w:tcPr>
            <w:tcW w:w="1012" w:type="dxa"/>
            <w:tcBorders>
              <w:top w:val="nil"/>
              <w:left w:val="nil"/>
              <w:bottom w:val="single" w:sz="4" w:space="0" w:color="auto"/>
              <w:right w:val="single" w:sz="4" w:space="0" w:color="auto"/>
            </w:tcBorders>
            <w:noWrap/>
            <w:vAlign w:val="center"/>
            <w:hideMark/>
          </w:tcPr>
          <w:p w14:paraId="0117B5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96822341</w:t>
            </w:r>
          </w:p>
        </w:tc>
        <w:tc>
          <w:tcPr>
            <w:tcW w:w="5953" w:type="dxa"/>
            <w:tcBorders>
              <w:top w:val="nil"/>
              <w:left w:val="nil"/>
              <w:bottom w:val="single" w:sz="4" w:space="0" w:color="auto"/>
              <w:right w:val="single" w:sz="4" w:space="0" w:color="auto"/>
            </w:tcBorders>
            <w:noWrap/>
            <w:vAlign w:val="center"/>
            <w:hideMark/>
          </w:tcPr>
          <w:p w14:paraId="0592F8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KARLA DESTOVNIKA-KAJUHA ŠOŠTANJ</w:t>
            </w:r>
          </w:p>
        </w:tc>
      </w:tr>
      <w:tr w:rsidR="00F24E18" w14:paraId="50B3046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7204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1306</w:t>
            </w:r>
          </w:p>
        </w:tc>
        <w:tc>
          <w:tcPr>
            <w:tcW w:w="1300" w:type="dxa"/>
            <w:tcBorders>
              <w:top w:val="nil"/>
              <w:left w:val="nil"/>
              <w:bottom w:val="single" w:sz="4" w:space="0" w:color="auto"/>
              <w:right w:val="single" w:sz="4" w:space="0" w:color="auto"/>
            </w:tcBorders>
            <w:noWrap/>
            <w:vAlign w:val="center"/>
            <w:hideMark/>
          </w:tcPr>
          <w:p w14:paraId="6617AA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5084270000</w:t>
            </w:r>
          </w:p>
        </w:tc>
        <w:tc>
          <w:tcPr>
            <w:tcW w:w="1012" w:type="dxa"/>
            <w:tcBorders>
              <w:top w:val="nil"/>
              <w:left w:val="nil"/>
              <w:bottom w:val="single" w:sz="4" w:space="0" w:color="auto"/>
              <w:right w:val="single" w:sz="4" w:space="0" w:color="auto"/>
            </w:tcBorders>
            <w:noWrap/>
            <w:vAlign w:val="center"/>
            <w:hideMark/>
          </w:tcPr>
          <w:p w14:paraId="34EC8E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48351784</w:t>
            </w:r>
          </w:p>
        </w:tc>
        <w:tc>
          <w:tcPr>
            <w:tcW w:w="5953" w:type="dxa"/>
            <w:tcBorders>
              <w:top w:val="nil"/>
              <w:left w:val="nil"/>
              <w:bottom w:val="single" w:sz="4" w:space="0" w:color="auto"/>
              <w:right w:val="single" w:sz="4" w:space="0" w:color="auto"/>
            </w:tcBorders>
            <w:noWrap/>
            <w:vAlign w:val="center"/>
            <w:hideMark/>
          </w:tcPr>
          <w:p w14:paraId="721953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KETTEJA IN MURNA</w:t>
            </w:r>
          </w:p>
        </w:tc>
      </w:tr>
      <w:tr w:rsidR="00F24E18" w14:paraId="58FE86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BBAE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1307</w:t>
            </w:r>
          </w:p>
        </w:tc>
        <w:tc>
          <w:tcPr>
            <w:tcW w:w="1300" w:type="dxa"/>
            <w:tcBorders>
              <w:top w:val="nil"/>
              <w:left w:val="nil"/>
              <w:bottom w:val="single" w:sz="4" w:space="0" w:color="auto"/>
              <w:right w:val="single" w:sz="4" w:space="0" w:color="auto"/>
            </w:tcBorders>
            <w:noWrap/>
            <w:vAlign w:val="center"/>
            <w:hideMark/>
          </w:tcPr>
          <w:p w14:paraId="0126B1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5087066000</w:t>
            </w:r>
          </w:p>
        </w:tc>
        <w:tc>
          <w:tcPr>
            <w:tcW w:w="1012" w:type="dxa"/>
            <w:tcBorders>
              <w:top w:val="nil"/>
              <w:left w:val="nil"/>
              <w:bottom w:val="single" w:sz="4" w:space="0" w:color="auto"/>
              <w:right w:val="single" w:sz="4" w:space="0" w:color="auto"/>
            </w:tcBorders>
            <w:noWrap/>
            <w:vAlign w:val="center"/>
            <w:hideMark/>
          </w:tcPr>
          <w:p w14:paraId="447ED2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60809051</w:t>
            </w:r>
          </w:p>
        </w:tc>
        <w:tc>
          <w:tcPr>
            <w:tcW w:w="5953" w:type="dxa"/>
            <w:tcBorders>
              <w:top w:val="nil"/>
              <w:left w:val="nil"/>
              <w:bottom w:val="single" w:sz="4" w:space="0" w:color="auto"/>
              <w:right w:val="single" w:sz="4" w:space="0" w:color="auto"/>
            </w:tcBorders>
            <w:noWrap/>
            <w:vAlign w:val="center"/>
            <w:hideMark/>
          </w:tcPr>
          <w:p w14:paraId="5068A1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KIDRIČEVO</w:t>
            </w:r>
          </w:p>
        </w:tc>
      </w:tr>
      <w:tr w:rsidR="00F24E18" w14:paraId="50003F4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680D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1308</w:t>
            </w:r>
          </w:p>
        </w:tc>
        <w:tc>
          <w:tcPr>
            <w:tcW w:w="1300" w:type="dxa"/>
            <w:tcBorders>
              <w:top w:val="nil"/>
              <w:left w:val="nil"/>
              <w:bottom w:val="single" w:sz="4" w:space="0" w:color="auto"/>
              <w:right w:val="single" w:sz="4" w:space="0" w:color="auto"/>
            </w:tcBorders>
            <w:noWrap/>
            <w:vAlign w:val="center"/>
            <w:hideMark/>
          </w:tcPr>
          <w:p w14:paraId="2DE0ED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5089719000</w:t>
            </w:r>
          </w:p>
        </w:tc>
        <w:tc>
          <w:tcPr>
            <w:tcW w:w="1012" w:type="dxa"/>
            <w:tcBorders>
              <w:top w:val="nil"/>
              <w:left w:val="nil"/>
              <w:bottom w:val="single" w:sz="4" w:space="0" w:color="auto"/>
              <w:right w:val="single" w:sz="4" w:space="0" w:color="auto"/>
            </w:tcBorders>
            <w:noWrap/>
            <w:vAlign w:val="center"/>
            <w:hideMark/>
          </w:tcPr>
          <w:p w14:paraId="290FB0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48379611</w:t>
            </w:r>
          </w:p>
        </w:tc>
        <w:tc>
          <w:tcPr>
            <w:tcW w:w="5953" w:type="dxa"/>
            <w:tcBorders>
              <w:top w:val="nil"/>
              <w:left w:val="nil"/>
              <w:bottom w:val="single" w:sz="4" w:space="0" w:color="auto"/>
              <w:right w:val="single" w:sz="4" w:space="0" w:color="auto"/>
            </w:tcBorders>
            <w:noWrap/>
            <w:vAlign w:val="center"/>
            <w:hideMark/>
          </w:tcPr>
          <w:p w14:paraId="59EF64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KOBILJE</w:t>
            </w:r>
          </w:p>
        </w:tc>
      </w:tr>
      <w:tr w:rsidR="00F24E18" w14:paraId="7640D9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8761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1309</w:t>
            </w:r>
          </w:p>
        </w:tc>
        <w:tc>
          <w:tcPr>
            <w:tcW w:w="1300" w:type="dxa"/>
            <w:tcBorders>
              <w:top w:val="nil"/>
              <w:left w:val="nil"/>
              <w:bottom w:val="single" w:sz="4" w:space="0" w:color="auto"/>
              <w:right w:val="single" w:sz="4" w:space="0" w:color="auto"/>
            </w:tcBorders>
            <w:noWrap/>
            <w:vAlign w:val="center"/>
            <w:hideMark/>
          </w:tcPr>
          <w:p w14:paraId="48C590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5082773000</w:t>
            </w:r>
          </w:p>
        </w:tc>
        <w:tc>
          <w:tcPr>
            <w:tcW w:w="1012" w:type="dxa"/>
            <w:tcBorders>
              <w:top w:val="nil"/>
              <w:left w:val="nil"/>
              <w:bottom w:val="single" w:sz="4" w:space="0" w:color="auto"/>
              <w:right w:val="single" w:sz="4" w:space="0" w:color="auto"/>
            </w:tcBorders>
            <w:noWrap/>
            <w:vAlign w:val="center"/>
            <w:hideMark/>
          </w:tcPr>
          <w:p w14:paraId="5E3613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83415394</w:t>
            </w:r>
          </w:p>
        </w:tc>
        <w:tc>
          <w:tcPr>
            <w:tcW w:w="5953" w:type="dxa"/>
            <w:tcBorders>
              <w:top w:val="nil"/>
              <w:left w:val="nil"/>
              <w:bottom w:val="single" w:sz="4" w:space="0" w:color="auto"/>
              <w:right w:val="single" w:sz="4" w:space="0" w:color="auto"/>
            </w:tcBorders>
            <w:noWrap/>
            <w:vAlign w:val="center"/>
            <w:hideMark/>
          </w:tcPr>
          <w:p w14:paraId="5B9ECD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KOMANDANTA STANETA DRAGATUŠ</w:t>
            </w:r>
          </w:p>
        </w:tc>
      </w:tr>
      <w:tr w:rsidR="00F24E18" w14:paraId="688020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EE0B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1310</w:t>
            </w:r>
          </w:p>
        </w:tc>
        <w:tc>
          <w:tcPr>
            <w:tcW w:w="1300" w:type="dxa"/>
            <w:tcBorders>
              <w:top w:val="nil"/>
              <w:left w:val="nil"/>
              <w:bottom w:val="single" w:sz="4" w:space="0" w:color="auto"/>
              <w:right w:val="single" w:sz="4" w:space="0" w:color="auto"/>
            </w:tcBorders>
            <w:noWrap/>
            <w:vAlign w:val="center"/>
            <w:hideMark/>
          </w:tcPr>
          <w:p w14:paraId="374ECB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5083052000</w:t>
            </w:r>
          </w:p>
        </w:tc>
        <w:tc>
          <w:tcPr>
            <w:tcW w:w="1012" w:type="dxa"/>
            <w:tcBorders>
              <w:top w:val="nil"/>
              <w:left w:val="nil"/>
              <w:bottom w:val="single" w:sz="4" w:space="0" w:color="auto"/>
              <w:right w:val="single" w:sz="4" w:space="0" w:color="auto"/>
            </w:tcBorders>
            <w:noWrap/>
            <w:vAlign w:val="center"/>
            <w:hideMark/>
          </w:tcPr>
          <w:p w14:paraId="64D402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37317296</w:t>
            </w:r>
          </w:p>
        </w:tc>
        <w:tc>
          <w:tcPr>
            <w:tcW w:w="5953" w:type="dxa"/>
            <w:tcBorders>
              <w:top w:val="nil"/>
              <w:left w:val="nil"/>
              <w:bottom w:val="single" w:sz="4" w:space="0" w:color="auto"/>
              <w:right w:val="single" w:sz="4" w:space="0" w:color="auto"/>
            </w:tcBorders>
            <w:noWrap/>
            <w:vAlign w:val="center"/>
            <w:hideMark/>
          </w:tcPr>
          <w:p w14:paraId="348189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KOMENDA MOSTE</w:t>
            </w:r>
          </w:p>
        </w:tc>
      </w:tr>
      <w:tr w:rsidR="00F24E18" w14:paraId="4849C8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5AC6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1311</w:t>
            </w:r>
          </w:p>
        </w:tc>
        <w:tc>
          <w:tcPr>
            <w:tcW w:w="1300" w:type="dxa"/>
            <w:tcBorders>
              <w:top w:val="nil"/>
              <w:left w:val="nil"/>
              <w:bottom w:val="single" w:sz="4" w:space="0" w:color="auto"/>
              <w:right w:val="single" w:sz="4" w:space="0" w:color="auto"/>
            </w:tcBorders>
            <w:noWrap/>
            <w:vAlign w:val="center"/>
            <w:hideMark/>
          </w:tcPr>
          <w:p w14:paraId="338886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2229463000</w:t>
            </w:r>
          </w:p>
        </w:tc>
        <w:tc>
          <w:tcPr>
            <w:tcW w:w="1012" w:type="dxa"/>
            <w:tcBorders>
              <w:top w:val="nil"/>
              <w:left w:val="nil"/>
              <w:bottom w:val="single" w:sz="4" w:space="0" w:color="auto"/>
              <w:right w:val="single" w:sz="4" w:space="0" w:color="auto"/>
            </w:tcBorders>
            <w:noWrap/>
            <w:vAlign w:val="center"/>
            <w:hideMark/>
          </w:tcPr>
          <w:p w14:paraId="17941E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25866702</w:t>
            </w:r>
          </w:p>
        </w:tc>
        <w:tc>
          <w:tcPr>
            <w:tcW w:w="5953" w:type="dxa"/>
            <w:tcBorders>
              <w:top w:val="nil"/>
              <w:left w:val="nil"/>
              <w:bottom w:val="single" w:sz="4" w:space="0" w:color="auto"/>
              <w:right w:val="single" w:sz="4" w:space="0" w:color="auto"/>
            </w:tcBorders>
            <w:noWrap/>
            <w:vAlign w:val="center"/>
            <w:hideMark/>
          </w:tcPr>
          <w:p w14:paraId="285B0E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KOPER SCUOLA ELEMENTARE CAPODISTRIA</w:t>
            </w:r>
          </w:p>
        </w:tc>
      </w:tr>
      <w:tr w:rsidR="00F24E18" w14:paraId="14A883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9EE1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1312</w:t>
            </w:r>
          </w:p>
        </w:tc>
        <w:tc>
          <w:tcPr>
            <w:tcW w:w="1300" w:type="dxa"/>
            <w:tcBorders>
              <w:top w:val="nil"/>
              <w:left w:val="nil"/>
              <w:bottom w:val="single" w:sz="4" w:space="0" w:color="auto"/>
              <w:right w:val="single" w:sz="4" w:space="0" w:color="auto"/>
            </w:tcBorders>
            <w:noWrap/>
            <w:vAlign w:val="center"/>
            <w:hideMark/>
          </w:tcPr>
          <w:p w14:paraId="57445C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5088887000</w:t>
            </w:r>
          </w:p>
        </w:tc>
        <w:tc>
          <w:tcPr>
            <w:tcW w:w="1012" w:type="dxa"/>
            <w:tcBorders>
              <w:top w:val="nil"/>
              <w:left w:val="nil"/>
              <w:bottom w:val="single" w:sz="4" w:space="0" w:color="auto"/>
              <w:right w:val="single" w:sz="4" w:space="0" w:color="auto"/>
            </w:tcBorders>
            <w:noWrap/>
            <w:vAlign w:val="center"/>
            <w:hideMark/>
          </w:tcPr>
          <w:p w14:paraId="7494CC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60415266</w:t>
            </w:r>
          </w:p>
        </w:tc>
        <w:tc>
          <w:tcPr>
            <w:tcW w:w="5953" w:type="dxa"/>
            <w:tcBorders>
              <w:top w:val="nil"/>
              <w:left w:val="nil"/>
              <w:bottom w:val="single" w:sz="4" w:space="0" w:color="auto"/>
              <w:right w:val="single" w:sz="4" w:space="0" w:color="auto"/>
            </w:tcBorders>
            <w:noWrap/>
            <w:vAlign w:val="center"/>
            <w:hideMark/>
          </w:tcPr>
          <w:p w14:paraId="0B7B4F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KORENA</w:t>
            </w:r>
          </w:p>
        </w:tc>
      </w:tr>
      <w:tr w:rsidR="00F24E18" w14:paraId="70F42F5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C7FD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1313</w:t>
            </w:r>
          </w:p>
        </w:tc>
        <w:tc>
          <w:tcPr>
            <w:tcW w:w="1300" w:type="dxa"/>
            <w:tcBorders>
              <w:top w:val="nil"/>
              <w:left w:val="nil"/>
              <w:bottom w:val="single" w:sz="4" w:space="0" w:color="auto"/>
              <w:right w:val="single" w:sz="4" w:space="0" w:color="auto"/>
            </w:tcBorders>
            <w:noWrap/>
            <w:vAlign w:val="center"/>
            <w:hideMark/>
          </w:tcPr>
          <w:p w14:paraId="564810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5719046000</w:t>
            </w:r>
          </w:p>
        </w:tc>
        <w:tc>
          <w:tcPr>
            <w:tcW w:w="1012" w:type="dxa"/>
            <w:tcBorders>
              <w:top w:val="nil"/>
              <w:left w:val="nil"/>
              <w:bottom w:val="single" w:sz="4" w:space="0" w:color="auto"/>
              <w:right w:val="single" w:sz="4" w:space="0" w:color="auto"/>
            </w:tcBorders>
            <w:noWrap/>
            <w:vAlign w:val="center"/>
            <w:hideMark/>
          </w:tcPr>
          <w:p w14:paraId="259C63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44425465</w:t>
            </w:r>
          </w:p>
        </w:tc>
        <w:tc>
          <w:tcPr>
            <w:tcW w:w="5953" w:type="dxa"/>
            <w:tcBorders>
              <w:top w:val="nil"/>
              <w:left w:val="nil"/>
              <w:bottom w:val="single" w:sz="4" w:space="0" w:color="auto"/>
              <w:right w:val="single" w:sz="4" w:space="0" w:color="auto"/>
            </w:tcBorders>
            <w:noWrap/>
            <w:vAlign w:val="center"/>
            <w:hideMark/>
          </w:tcPr>
          <w:p w14:paraId="7B9DD4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KOROŠKA BELA JESENICE</w:t>
            </w:r>
          </w:p>
        </w:tc>
      </w:tr>
      <w:tr w:rsidR="00F24E18" w14:paraId="74F4CF9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C9BF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1314</w:t>
            </w:r>
          </w:p>
        </w:tc>
        <w:tc>
          <w:tcPr>
            <w:tcW w:w="1300" w:type="dxa"/>
            <w:tcBorders>
              <w:top w:val="nil"/>
              <w:left w:val="nil"/>
              <w:bottom w:val="single" w:sz="4" w:space="0" w:color="auto"/>
              <w:right w:val="single" w:sz="4" w:space="0" w:color="auto"/>
            </w:tcBorders>
            <w:vAlign w:val="center"/>
            <w:hideMark/>
          </w:tcPr>
          <w:p w14:paraId="70D1E9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5185815000</w:t>
            </w:r>
          </w:p>
        </w:tc>
        <w:tc>
          <w:tcPr>
            <w:tcW w:w="1012" w:type="dxa"/>
            <w:tcBorders>
              <w:top w:val="nil"/>
              <w:left w:val="nil"/>
              <w:bottom w:val="single" w:sz="4" w:space="0" w:color="auto"/>
              <w:right w:val="single" w:sz="4" w:space="0" w:color="auto"/>
            </w:tcBorders>
            <w:vAlign w:val="center"/>
            <w:hideMark/>
          </w:tcPr>
          <w:p w14:paraId="3FF8F0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83712143</w:t>
            </w:r>
          </w:p>
        </w:tc>
        <w:tc>
          <w:tcPr>
            <w:tcW w:w="5953" w:type="dxa"/>
            <w:tcBorders>
              <w:top w:val="nil"/>
              <w:left w:val="nil"/>
              <w:bottom w:val="single" w:sz="4" w:space="0" w:color="auto"/>
              <w:right w:val="single" w:sz="4" w:space="0" w:color="auto"/>
            </w:tcBorders>
            <w:noWrap/>
            <w:vAlign w:val="center"/>
            <w:hideMark/>
          </w:tcPr>
          <w:p w14:paraId="4C29A6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KOROŠKI JEKLARJI RAVNE NA KOROŠKEM</w:t>
            </w:r>
          </w:p>
        </w:tc>
      </w:tr>
      <w:tr w:rsidR="00F24E18" w14:paraId="0EF4787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CC04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1315</w:t>
            </w:r>
          </w:p>
        </w:tc>
        <w:tc>
          <w:tcPr>
            <w:tcW w:w="1300" w:type="dxa"/>
            <w:tcBorders>
              <w:top w:val="nil"/>
              <w:left w:val="nil"/>
              <w:bottom w:val="single" w:sz="4" w:space="0" w:color="auto"/>
              <w:right w:val="single" w:sz="4" w:space="0" w:color="auto"/>
            </w:tcBorders>
            <w:vAlign w:val="center"/>
            <w:hideMark/>
          </w:tcPr>
          <w:p w14:paraId="23CA3B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5087929000</w:t>
            </w:r>
          </w:p>
        </w:tc>
        <w:tc>
          <w:tcPr>
            <w:tcW w:w="1012" w:type="dxa"/>
            <w:tcBorders>
              <w:top w:val="nil"/>
              <w:left w:val="nil"/>
              <w:bottom w:val="single" w:sz="4" w:space="0" w:color="auto"/>
              <w:right w:val="single" w:sz="4" w:space="0" w:color="auto"/>
            </w:tcBorders>
            <w:vAlign w:val="center"/>
            <w:hideMark/>
          </w:tcPr>
          <w:p w14:paraId="206A92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56311761</w:t>
            </w:r>
          </w:p>
        </w:tc>
        <w:tc>
          <w:tcPr>
            <w:tcW w:w="5953" w:type="dxa"/>
            <w:tcBorders>
              <w:top w:val="nil"/>
              <w:left w:val="nil"/>
              <w:bottom w:val="single" w:sz="4" w:space="0" w:color="auto"/>
              <w:right w:val="single" w:sz="4" w:space="0" w:color="auto"/>
            </w:tcBorders>
            <w:noWrap/>
            <w:vAlign w:val="center"/>
            <w:hideMark/>
          </w:tcPr>
          <w:p w14:paraId="33924F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KOZJE</w:t>
            </w:r>
          </w:p>
        </w:tc>
      </w:tr>
      <w:tr w:rsidR="00F24E18" w14:paraId="38A2AC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BD73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1316</w:t>
            </w:r>
          </w:p>
        </w:tc>
        <w:tc>
          <w:tcPr>
            <w:tcW w:w="1300" w:type="dxa"/>
            <w:tcBorders>
              <w:top w:val="nil"/>
              <w:left w:val="nil"/>
              <w:bottom w:val="single" w:sz="4" w:space="0" w:color="auto"/>
              <w:right w:val="single" w:sz="4" w:space="0" w:color="auto"/>
            </w:tcBorders>
            <w:vAlign w:val="center"/>
            <w:hideMark/>
          </w:tcPr>
          <w:p w14:paraId="2617DB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5088127000</w:t>
            </w:r>
          </w:p>
        </w:tc>
        <w:tc>
          <w:tcPr>
            <w:tcW w:w="1012" w:type="dxa"/>
            <w:tcBorders>
              <w:top w:val="nil"/>
              <w:left w:val="nil"/>
              <w:bottom w:val="single" w:sz="4" w:space="0" w:color="auto"/>
              <w:right w:val="single" w:sz="4" w:space="0" w:color="auto"/>
            </w:tcBorders>
            <w:vAlign w:val="center"/>
            <w:hideMark/>
          </w:tcPr>
          <w:p w14:paraId="7C4D6E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57553629</w:t>
            </w:r>
          </w:p>
        </w:tc>
        <w:tc>
          <w:tcPr>
            <w:tcW w:w="5953" w:type="dxa"/>
            <w:tcBorders>
              <w:top w:val="nil"/>
              <w:left w:val="nil"/>
              <w:bottom w:val="single" w:sz="4" w:space="0" w:color="auto"/>
              <w:right w:val="single" w:sz="4" w:space="0" w:color="auto"/>
            </w:tcBorders>
            <w:noWrap/>
            <w:vAlign w:val="center"/>
            <w:hideMark/>
          </w:tcPr>
          <w:p w14:paraId="418223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KRIŽE</w:t>
            </w:r>
          </w:p>
        </w:tc>
      </w:tr>
      <w:tr w:rsidR="00F24E18" w14:paraId="1C40F42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AD9D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1317</w:t>
            </w:r>
          </w:p>
        </w:tc>
        <w:tc>
          <w:tcPr>
            <w:tcW w:w="1300" w:type="dxa"/>
            <w:tcBorders>
              <w:top w:val="nil"/>
              <w:left w:val="nil"/>
              <w:bottom w:val="single" w:sz="4" w:space="0" w:color="auto"/>
              <w:right w:val="single" w:sz="4" w:space="0" w:color="auto"/>
            </w:tcBorders>
            <w:noWrap/>
            <w:vAlign w:val="center"/>
            <w:hideMark/>
          </w:tcPr>
          <w:p w14:paraId="46708F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5084636000</w:t>
            </w:r>
          </w:p>
        </w:tc>
        <w:tc>
          <w:tcPr>
            <w:tcW w:w="1012" w:type="dxa"/>
            <w:tcBorders>
              <w:top w:val="nil"/>
              <w:left w:val="nil"/>
              <w:bottom w:val="single" w:sz="4" w:space="0" w:color="auto"/>
              <w:right w:val="single" w:sz="4" w:space="0" w:color="auto"/>
            </w:tcBorders>
            <w:noWrap/>
            <w:vAlign w:val="center"/>
            <w:hideMark/>
          </w:tcPr>
          <w:p w14:paraId="67490B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93578253</w:t>
            </w:r>
          </w:p>
        </w:tc>
        <w:tc>
          <w:tcPr>
            <w:tcW w:w="5953" w:type="dxa"/>
            <w:tcBorders>
              <w:top w:val="nil"/>
              <w:left w:val="nil"/>
              <w:bottom w:val="single" w:sz="4" w:space="0" w:color="auto"/>
              <w:right w:val="single" w:sz="4" w:space="0" w:color="auto"/>
            </w:tcBorders>
            <w:noWrap/>
            <w:vAlign w:val="center"/>
            <w:hideMark/>
          </w:tcPr>
          <w:p w14:paraId="7852D1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KRIŽEVCI</w:t>
            </w:r>
          </w:p>
        </w:tc>
      </w:tr>
      <w:tr w:rsidR="00F24E18" w14:paraId="2B6EA5C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E2DD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1318</w:t>
            </w:r>
          </w:p>
        </w:tc>
        <w:tc>
          <w:tcPr>
            <w:tcW w:w="1300" w:type="dxa"/>
            <w:tcBorders>
              <w:top w:val="nil"/>
              <w:left w:val="nil"/>
              <w:bottom w:val="single" w:sz="4" w:space="0" w:color="auto"/>
              <w:right w:val="single" w:sz="4" w:space="0" w:color="auto"/>
            </w:tcBorders>
            <w:noWrap/>
            <w:vAlign w:val="center"/>
            <w:hideMark/>
          </w:tcPr>
          <w:p w14:paraId="544DAC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5087520000</w:t>
            </w:r>
          </w:p>
        </w:tc>
        <w:tc>
          <w:tcPr>
            <w:tcW w:w="1012" w:type="dxa"/>
            <w:tcBorders>
              <w:top w:val="nil"/>
              <w:left w:val="nil"/>
              <w:bottom w:val="single" w:sz="4" w:space="0" w:color="auto"/>
              <w:right w:val="single" w:sz="4" w:space="0" w:color="auto"/>
            </w:tcBorders>
            <w:noWrap/>
            <w:vAlign w:val="center"/>
            <w:hideMark/>
          </w:tcPr>
          <w:p w14:paraId="42EDC6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20318936</w:t>
            </w:r>
          </w:p>
        </w:tc>
        <w:tc>
          <w:tcPr>
            <w:tcW w:w="5953" w:type="dxa"/>
            <w:tcBorders>
              <w:top w:val="nil"/>
              <w:left w:val="nil"/>
              <w:bottom w:val="single" w:sz="4" w:space="0" w:color="auto"/>
              <w:right w:val="single" w:sz="4" w:space="0" w:color="auto"/>
            </w:tcBorders>
            <w:noWrap/>
            <w:vAlign w:val="center"/>
            <w:hideMark/>
          </w:tcPr>
          <w:p w14:paraId="36EC89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KRMELJ</w:t>
            </w:r>
          </w:p>
        </w:tc>
      </w:tr>
      <w:tr w:rsidR="00F24E18" w14:paraId="059D64B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DBBC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1319</w:t>
            </w:r>
          </w:p>
        </w:tc>
        <w:tc>
          <w:tcPr>
            <w:tcW w:w="1300" w:type="dxa"/>
            <w:tcBorders>
              <w:top w:val="nil"/>
              <w:left w:val="nil"/>
              <w:bottom w:val="single" w:sz="4" w:space="0" w:color="auto"/>
              <w:right w:val="single" w:sz="4" w:space="0" w:color="auto"/>
            </w:tcBorders>
            <w:vAlign w:val="center"/>
            <w:hideMark/>
          </w:tcPr>
          <w:p w14:paraId="5ECC43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5085152000</w:t>
            </w:r>
          </w:p>
        </w:tc>
        <w:tc>
          <w:tcPr>
            <w:tcW w:w="1012" w:type="dxa"/>
            <w:tcBorders>
              <w:top w:val="nil"/>
              <w:left w:val="nil"/>
              <w:bottom w:val="single" w:sz="4" w:space="0" w:color="auto"/>
              <w:right w:val="single" w:sz="4" w:space="0" w:color="auto"/>
            </w:tcBorders>
            <w:vAlign w:val="center"/>
            <w:hideMark/>
          </w:tcPr>
          <w:p w14:paraId="5D4E3F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58552561</w:t>
            </w:r>
          </w:p>
        </w:tc>
        <w:tc>
          <w:tcPr>
            <w:tcW w:w="5953" w:type="dxa"/>
            <w:tcBorders>
              <w:top w:val="nil"/>
              <w:left w:val="nil"/>
              <w:bottom w:val="single" w:sz="4" w:space="0" w:color="auto"/>
              <w:right w:val="single" w:sz="4" w:space="0" w:color="auto"/>
            </w:tcBorders>
            <w:noWrap/>
            <w:vAlign w:val="center"/>
            <w:hideMark/>
          </w:tcPr>
          <w:p w14:paraId="1DF2C5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KUNGOTA</w:t>
            </w:r>
          </w:p>
        </w:tc>
      </w:tr>
      <w:tr w:rsidR="00F24E18" w14:paraId="25F6DB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2D61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1320</w:t>
            </w:r>
          </w:p>
        </w:tc>
        <w:tc>
          <w:tcPr>
            <w:tcW w:w="1300" w:type="dxa"/>
            <w:tcBorders>
              <w:top w:val="nil"/>
              <w:left w:val="nil"/>
              <w:bottom w:val="single" w:sz="4" w:space="0" w:color="auto"/>
              <w:right w:val="single" w:sz="4" w:space="0" w:color="auto"/>
            </w:tcBorders>
            <w:noWrap/>
            <w:vAlign w:val="center"/>
            <w:hideMark/>
          </w:tcPr>
          <w:p w14:paraId="21F4D0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5085632000</w:t>
            </w:r>
          </w:p>
        </w:tc>
        <w:tc>
          <w:tcPr>
            <w:tcW w:w="1012" w:type="dxa"/>
            <w:tcBorders>
              <w:top w:val="nil"/>
              <w:left w:val="nil"/>
              <w:bottom w:val="single" w:sz="4" w:space="0" w:color="auto"/>
              <w:right w:val="single" w:sz="4" w:space="0" w:color="auto"/>
            </w:tcBorders>
            <w:noWrap/>
            <w:vAlign w:val="center"/>
            <w:hideMark/>
          </w:tcPr>
          <w:p w14:paraId="47E1A6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77414900</w:t>
            </w:r>
          </w:p>
        </w:tc>
        <w:tc>
          <w:tcPr>
            <w:tcW w:w="5953" w:type="dxa"/>
            <w:tcBorders>
              <w:top w:val="nil"/>
              <w:left w:val="nil"/>
              <w:bottom w:val="single" w:sz="4" w:space="0" w:color="auto"/>
              <w:right w:val="single" w:sz="4" w:space="0" w:color="auto"/>
            </w:tcBorders>
            <w:noWrap/>
            <w:vAlign w:val="center"/>
            <w:hideMark/>
          </w:tcPr>
          <w:p w14:paraId="36C45B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KUZMA</w:t>
            </w:r>
          </w:p>
        </w:tc>
      </w:tr>
      <w:tr w:rsidR="00F24E18" w14:paraId="2CD15F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4B9D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1321</w:t>
            </w:r>
          </w:p>
        </w:tc>
        <w:tc>
          <w:tcPr>
            <w:tcW w:w="1300" w:type="dxa"/>
            <w:tcBorders>
              <w:top w:val="nil"/>
              <w:left w:val="nil"/>
              <w:bottom w:val="single" w:sz="4" w:space="0" w:color="auto"/>
              <w:right w:val="single" w:sz="4" w:space="0" w:color="auto"/>
            </w:tcBorders>
            <w:noWrap/>
            <w:vAlign w:val="center"/>
            <w:hideMark/>
          </w:tcPr>
          <w:p w14:paraId="11EF32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5062799000</w:t>
            </w:r>
          </w:p>
        </w:tc>
        <w:tc>
          <w:tcPr>
            <w:tcW w:w="1012" w:type="dxa"/>
            <w:tcBorders>
              <w:top w:val="nil"/>
              <w:left w:val="nil"/>
              <w:bottom w:val="single" w:sz="4" w:space="0" w:color="auto"/>
              <w:right w:val="single" w:sz="4" w:space="0" w:color="auto"/>
            </w:tcBorders>
            <w:noWrap/>
            <w:vAlign w:val="center"/>
            <w:hideMark/>
          </w:tcPr>
          <w:p w14:paraId="207706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27299627</w:t>
            </w:r>
          </w:p>
        </w:tc>
        <w:tc>
          <w:tcPr>
            <w:tcW w:w="5953" w:type="dxa"/>
            <w:tcBorders>
              <w:top w:val="nil"/>
              <w:left w:val="nil"/>
              <w:bottom w:val="single" w:sz="4" w:space="0" w:color="auto"/>
              <w:right w:val="single" w:sz="4" w:space="0" w:color="auto"/>
            </w:tcBorders>
            <w:noWrap/>
            <w:vAlign w:val="center"/>
            <w:hideMark/>
          </w:tcPr>
          <w:p w14:paraId="113156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LAVA</w:t>
            </w:r>
          </w:p>
        </w:tc>
      </w:tr>
      <w:tr w:rsidR="00F24E18" w14:paraId="06554D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4584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1322</w:t>
            </w:r>
          </w:p>
        </w:tc>
        <w:tc>
          <w:tcPr>
            <w:tcW w:w="1300" w:type="dxa"/>
            <w:tcBorders>
              <w:top w:val="nil"/>
              <w:left w:val="nil"/>
              <w:bottom w:val="single" w:sz="4" w:space="0" w:color="auto"/>
              <w:right w:val="single" w:sz="4" w:space="0" w:color="auto"/>
            </w:tcBorders>
            <w:vAlign w:val="center"/>
            <w:hideMark/>
          </w:tcPr>
          <w:p w14:paraId="40EC8E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5086639000</w:t>
            </w:r>
          </w:p>
        </w:tc>
        <w:tc>
          <w:tcPr>
            <w:tcW w:w="1012" w:type="dxa"/>
            <w:tcBorders>
              <w:top w:val="nil"/>
              <w:left w:val="nil"/>
              <w:bottom w:val="single" w:sz="4" w:space="0" w:color="auto"/>
              <w:right w:val="single" w:sz="4" w:space="0" w:color="auto"/>
            </w:tcBorders>
            <w:vAlign w:val="center"/>
            <w:hideMark/>
          </w:tcPr>
          <w:p w14:paraId="4E12BB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27905918</w:t>
            </w:r>
          </w:p>
        </w:tc>
        <w:tc>
          <w:tcPr>
            <w:tcW w:w="5953" w:type="dxa"/>
            <w:tcBorders>
              <w:top w:val="nil"/>
              <w:left w:val="nil"/>
              <w:bottom w:val="single" w:sz="4" w:space="0" w:color="auto"/>
              <w:right w:val="single" w:sz="4" w:space="0" w:color="auto"/>
            </w:tcBorders>
            <w:noWrap/>
            <w:vAlign w:val="center"/>
            <w:hideMark/>
          </w:tcPr>
          <w:p w14:paraId="3FBE65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LENART</w:t>
            </w:r>
          </w:p>
        </w:tc>
      </w:tr>
      <w:tr w:rsidR="00F24E18" w14:paraId="46D9DF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8F1A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1323</w:t>
            </w:r>
          </w:p>
        </w:tc>
        <w:tc>
          <w:tcPr>
            <w:tcW w:w="1300" w:type="dxa"/>
            <w:tcBorders>
              <w:top w:val="nil"/>
              <w:left w:val="nil"/>
              <w:bottom w:val="single" w:sz="4" w:space="0" w:color="auto"/>
              <w:right w:val="single" w:sz="4" w:space="0" w:color="auto"/>
            </w:tcBorders>
            <w:vAlign w:val="center"/>
            <w:hideMark/>
          </w:tcPr>
          <w:p w14:paraId="39E986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5087937000</w:t>
            </w:r>
          </w:p>
        </w:tc>
        <w:tc>
          <w:tcPr>
            <w:tcW w:w="1012" w:type="dxa"/>
            <w:tcBorders>
              <w:top w:val="nil"/>
              <w:left w:val="nil"/>
              <w:bottom w:val="single" w:sz="4" w:space="0" w:color="auto"/>
              <w:right w:val="single" w:sz="4" w:space="0" w:color="auto"/>
            </w:tcBorders>
            <w:vAlign w:val="center"/>
            <w:hideMark/>
          </w:tcPr>
          <w:p w14:paraId="4ECA7C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68680210</w:t>
            </w:r>
          </w:p>
        </w:tc>
        <w:tc>
          <w:tcPr>
            <w:tcW w:w="5953" w:type="dxa"/>
            <w:tcBorders>
              <w:top w:val="nil"/>
              <w:left w:val="nil"/>
              <w:bottom w:val="single" w:sz="4" w:space="0" w:color="auto"/>
              <w:right w:val="single" w:sz="4" w:space="0" w:color="auto"/>
            </w:tcBorders>
            <w:noWrap/>
            <w:vAlign w:val="center"/>
            <w:hideMark/>
          </w:tcPr>
          <w:p w14:paraId="492260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LESIČNO</w:t>
            </w:r>
          </w:p>
        </w:tc>
      </w:tr>
      <w:tr w:rsidR="00F24E18" w14:paraId="4F717E7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6240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1324</w:t>
            </w:r>
          </w:p>
        </w:tc>
        <w:tc>
          <w:tcPr>
            <w:tcW w:w="1300" w:type="dxa"/>
            <w:tcBorders>
              <w:top w:val="nil"/>
              <w:left w:val="nil"/>
              <w:bottom w:val="single" w:sz="4" w:space="0" w:color="auto"/>
              <w:right w:val="single" w:sz="4" w:space="0" w:color="auto"/>
            </w:tcBorders>
            <w:vAlign w:val="center"/>
            <w:hideMark/>
          </w:tcPr>
          <w:p w14:paraId="673E0B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5085047000</w:t>
            </w:r>
          </w:p>
        </w:tc>
        <w:tc>
          <w:tcPr>
            <w:tcW w:w="1012" w:type="dxa"/>
            <w:tcBorders>
              <w:top w:val="nil"/>
              <w:left w:val="nil"/>
              <w:bottom w:val="single" w:sz="4" w:space="0" w:color="auto"/>
              <w:right w:val="single" w:sz="4" w:space="0" w:color="auto"/>
            </w:tcBorders>
            <w:vAlign w:val="center"/>
            <w:hideMark/>
          </w:tcPr>
          <w:p w14:paraId="5252D7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76398137</w:t>
            </w:r>
          </w:p>
        </w:tc>
        <w:tc>
          <w:tcPr>
            <w:tcW w:w="5953" w:type="dxa"/>
            <w:tcBorders>
              <w:top w:val="nil"/>
              <w:left w:val="nil"/>
              <w:bottom w:val="single" w:sz="4" w:space="0" w:color="auto"/>
              <w:right w:val="single" w:sz="4" w:space="0" w:color="auto"/>
            </w:tcBorders>
            <w:noWrap/>
            <w:vAlign w:val="center"/>
            <w:hideMark/>
          </w:tcPr>
          <w:p w14:paraId="4F1764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LESKOVEC PRI KRŠKEM</w:t>
            </w:r>
          </w:p>
        </w:tc>
      </w:tr>
      <w:tr w:rsidR="00F24E18" w14:paraId="4A0FC4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0DE7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1325</w:t>
            </w:r>
          </w:p>
        </w:tc>
        <w:tc>
          <w:tcPr>
            <w:tcW w:w="1300" w:type="dxa"/>
            <w:tcBorders>
              <w:top w:val="nil"/>
              <w:left w:val="nil"/>
              <w:bottom w:val="single" w:sz="4" w:space="0" w:color="auto"/>
              <w:right w:val="single" w:sz="4" w:space="0" w:color="auto"/>
            </w:tcBorders>
            <w:noWrap/>
            <w:vAlign w:val="center"/>
            <w:hideMark/>
          </w:tcPr>
          <w:p w14:paraId="40765F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5689147000</w:t>
            </w:r>
          </w:p>
        </w:tc>
        <w:tc>
          <w:tcPr>
            <w:tcW w:w="1012" w:type="dxa"/>
            <w:tcBorders>
              <w:top w:val="nil"/>
              <w:left w:val="nil"/>
              <w:bottom w:val="single" w:sz="4" w:space="0" w:color="auto"/>
              <w:right w:val="single" w:sz="4" w:space="0" w:color="auto"/>
            </w:tcBorders>
            <w:noWrap/>
            <w:vAlign w:val="center"/>
            <w:hideMark/>
          </w:tcPr>
          <w:p w14:paraId="184361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17567734</w:t>
            </w:r>
          </w:p>
        </w:tc>
        <w:tc>
          <w:tcPr>
            <w:tcW w:w="5953" w:type="dxa"/>
            <w:tcBorders>
              <w:top w:val="nil"/>
              <w:left w:val="nil"/>
              <w:bottom w:val="single" w:sz="4" w:space="0" w:color="auto"/>
              <w:right w:val="single" w:sz="4" w:space="0" w:color="auto"/>
            </w:tcBorders>
            <w:noWrap/>
            <w:vAlign w:val="center"/>
            <w:hideMark/>
          </w:tcPr>
          <w:p w14:paraId="6BEEFA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LITIJA</w:t>
            </w:r>
          </w:p>
        </w:tc>
      </w:tr>
      <w:tr w:rsidR="00F24E18" w14:paraId="0ACB87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FFA4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1326</w:t>
            </w:r>
          </w:p>
        </w:tc>
        <w:tc>
          <w:tcPr>
            <w:tcW w:w="1300" w:type="dxa"/>
            <w:tcBorders>
              <w:top w:val="nil"/>
              <w:left w:val="nil"/>
              <w:bottom w:val="single" w:sz="4" w:space="0" w:color="auto"/>
              <w:right w:val="single" w:sz="4" w:space="0" w:color="auto"/>
            </w:tcBorders>
            <w:noWrap/>
            <w:vAlign w:val="center"/>
            <w:hideMark/>
          </w:tcPr>
          <w:p w14:paraId="3F6802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5375827000</w:t>
            </w:r>
          </w:p>
        </w:tc>
        <w:tc>
          <w:tcPr>
            <w:tcW w:w="1012" w:type="dxa"/>
            <w:tcBorders>
              <w:top w:val="nil"/>
              <w:left w:val="nil"/>
              <w:bottom w:val="single" w:sz="4" w:space="0" w:color="auto"/>
              <w:right w:val="single" w:sz="4" w:space="0" w:color="auto"/>
            </w:tcBorders>
            <w:noWrap/>
            <w:vAlign w:val="center"/>
            <w:hideMark/>
          </w:tcPr>
          <w:p w14:paraId="14389F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85566543</w:t>
            </w:r>
          </w:p>
        </w:tc>
        <w:tc>
          <w:tcPr>
            <w:tcW w:w="5953" w:type="dxa"/>
            <w:tcBorders>
              <w:top w:val="nil"/>
              <w:left w:val="nil"/>
              <w:bottom w:val="single" w:sz="4" w:space="0" w:color="auto"/>
              <w:right w:val="single" w:sz="4" w:space="0" w:color="auto"/>
            </w:tcBorders>
            <w:noWrap/>
            <w:vAlign w:val="center"/>
            <w:hideMark/>
          </w:tcPr>
          <w:p w14:paraId="5B41EA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LIVADA</w:t>
            </w:r>
          </w:p>
        </w:tc>
      </w:tr>
      <w:tr w:rsidR="00F24E18" w14:paraId="26E1F6A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0CD3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1327</w:t>
            </w:r>
          </w:p>
        </w:tc>
        <w:tc>
          <w:tcPr>
            <w:tcW w:w="1300" w:type="dxa"/>
            <w:tcBorders>
              <w:top w:val="nil"/>
              <w:left w:val="nil"/>
              <w:bottom w:val="single" w:sz="4" w:space="0" w:color="auto"/>
              <w:right w:val="single" w:sz="4" w:space="0" w:color="auto"/>
            </w:tcBorders>
            <w:noWrap/>
            <w:vAlign w:val="center"/>
            <w:hideMark/>
          </w:tcPr>
          <w:p w14:paraId="301740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5081939000</w:t>
            </w:r>
          </w:p>
        </w:tc>
        <w:tc>
          <w:tcPr>
            <w:tcW w:w="1012" w:type="dxa"/>
            <w:tcBorders>
              <w:top w:val="nil"/>
              <w:left w:val="nil"/>
              <w:bottom w:val="single" w:sz="4" w:space="0" w:color="auto"/>
              <w:right w:val="single" w:sz="4" w:space="0" w:color="auto"/>
            </w:tcBorders>
            <w:noWrap/>
            <w:vAlign w:val="center"/>
            <w:hideMark/>
          </w:tcPr>
          <w:p w14:paraId="071B1A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45242372</w:t>
            </w:r>
          </w:p>
        </w:tc>
        <w:tc>
          <w:tcPr>
            <w:tcW w:w="5953" w:type="dxa"/>
            <w:tcBorders>
              <w:top w:val="nil"/>
              <w:left w:val="nil"/>
              <w:bottom w:val="single" w:sz="4" w:space="0" w:color="auto"/>
              <w:right w:val="single" w:sz="4" w:space="0" w:color="auto"/>
            </w:tcBorders>
            <w:noWrap/>
            <w:vAlign w:val="center"/>
            <w:hideMark/>
          </w:tcPr>
          <w:p w14:paraId="35DE29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LIVADA VELENJE</w:t>
            </w:r>
          </w:p>
        </w:tc>
      </w:tr>
      <w:tr w:rsidR="00F24E18" w14:paraId="41DDA0C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C08C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1328</w:t>
            </w:r>
          </w:p>
        </w:tc>
        <w:tc>
          <w:tcPr>
            <w:tcW w:w="1300" w:type="dxa"/>
            <w:tcBorders>
              <w:top w:val="nil"/>
              <w:left w:val="nil"/>
              <w:bottom w:val="single" w:sz="4" w:space="0" w:color="auto"/>
              <w:right w:val="single" w:sz="4" w:space="0" w:color="auto"/>
            </w:tcBorders>
            <w:noWrap/>
            <w:vAlign w:val="center"/>
            <w:hideMark/>
          </w:tcPr>
          <w:p w14:paraId="06E98B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1262823000</w:t>
            </w:r>
          </w:p>
        </w:tc>
        <w:tc>
          <w:tcPr>
            <w:tcW w:w="1012" w:type="dxa"/>
            <w:tcBorders>
              <w:top w:val="nil"/>
              <w:left w:val="nil"/>
              <w:bottom w:val="single" w:sz="4" w:space="0" w:color="auto"/>
              <w:right w:val="single" w:sz="4" w:space="0" w:color="auto"/>
            </w:tcBorders>
            <w:noWrap/>
            <w:vAlign w:val="center"/>
            <w:hideMark/>
          </w:tcPr>
          <w:p w14:paraId="489E44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68305192</w:t>
            </w:r>
          </w:p>
        </w:tc>
        <w:tc>
          <w:tcPr>
            <w:tcW w:w="5953" w:type="dxa"/>
            <w:tcBorders>
              <w:top w:val="nil"/>
              <w:left w:val="nil"/>
              <w:bottom w:val="single" w:sz="4" w:space="0" w:color="auto"/>
              <w:right w:val="single" w:sz="4" w:space="0" w:color="auto"/>
            </w:tcBorders>
            <w:noWrap/>
            <w:vAlign w:val="center"/>
            <w:hideMark/>
          </w:tcPr>
          <w:p w14:paraId="7AB9B8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LJUBEČNA</w:t>
            </w:r>
          </w:p>
        </w:tc>
      </w:tr>
      <w:tr w:rsidR="00F24E18" w14:paraId="6FE65A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6EAB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1329</w:t>
            </w:r>
          </w:p>
        </w:tc>
        <w:tc>
          <w:tcPr>
            <w:tcW w:w="1300" w:type="dxa"/>
            <w:tcBorders>
              <w:top w:val="nil"/>
              <w:left w:val="nil"/>
              <w:bottom w:val="single" w:sz="4" w:space="0" w:color="auto"/>
              <w:right w:val="single" w:sz="4" w:space="0" w:color="auto"/>
            </w:tcBorders>
            <w:noWrap/>
            <w:vAlign w:val="center"/>
            <w:hideMark/>
          </w:tcPr>
          <w:p w14:paraId="26B8C4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5088941000</w:t>
            </w:r>
          </w:p>
        </w:tc>
        <w:tc>
          <w:tcPr>
            <w:tcW w:w="1012" w:type="dxa"/>
            <w:tcBorders>
              <w:top w:val="nil"/>
              <w:left w:val="nil"/>
              <w:bottom w:val="single" w:sz="4" w:space="0" w:color="auto"/>
              <w:right w:val="single" w:sz="4" w:space="0" w:color="auto"/>
            </w:tcBorders>
            <w:noWrap/>
            <w:vAlign w:val="center"/>
            <w:hideMark/>
          </w:tcPr>
          <w:p w14:paraId="195263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67789943</w:t>
            </w:r>
          </w:p>
        </w:tc>
        <w:tc>
          <w:tcPr>
            <w:tcW w:w="5953" w:type="dxa"/>
            <w:tcBorders>
              <w:top w:val="nil"/>
              <w:left w:val="nil"/>
              <w:bottom w:val="single" w:sz="4" w:space="0" w:color="auto"/>
              <w:right w:val="single" w:sz="4" w:space="0" w:color="auto"/>
            </w:tcBorders>
            <w:noWrap/>
            <w:vAlign w:val="center"/>
            <w:hideMark/>
          </w:tcPr>
          <w:p w14:paraId="08C104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LJUBNO OB SAVINJI</w:t>
            </w:r>
          </w:p>
        </w:tc>
      </w:tr>
      <w:tr w:rsidR="00F24E18" w14:paraId="5C7B6CD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3643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1330</w:t>
            </w:r>
          </w:p>
        </w:tc>
        <w:tc>
          <w:tcPr>
            <w:tcW w:w="1300" w:type="dxa"/>
            <w:tcBorders>
              <w:top w:val="nil"/>
              <w:left w:val="nil"/>
              <w:bottom w:val="single" w:sz="4" w:space="0" w:color="auto"/>
              <w:right w:val="single" w:sz="4" w:space="0" w:color="auto"/>
            </w:tcBorders>
            <w:vAlign w:val="center"/>
            <w:hideMark/>
          </w:tcPr>
          <w:p w14:paraId="03C7E4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5087147000</w:t>
            </w:r>
          </w:p>
        </w:tc>
        <w:tc>
          <w:tcPr>
            <w:tcW w:w="1012" w:type="dxa"/>
            <w:tcBorders>
              <w:top w:val="nil"/>
              <w:left w:val="nil"/>
              <w:bottom w:val="single" w:sz="4" w:space="0" w:color="auto"/>
              <w:right w:val="single" w:sz="4" w:space="0" w:color="auto"/>
            </w:tcBorders>
            <w:vAlign w:val="center"/>
            <w:hideMark/>
          </w:tcPr>
          <w:p w14:paraId="2688B2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86058932</w:t>
            </w:r>
          </w:p>
        </w:tc>
        <w:tc>
          <w:tcPr>
            <w:tcW w:w="5953" w:type="dxa"/>
            <w:tcBorders>
              <w:top w:val="nil"/>
              <w:left w:val="nil"/>
              <w:bottom w:val="single" w:sz="4" w:space="0" w:color="auto"/>
              <w:right w:val="single" w:sz="4" w:space="0" w:color="auto"/>
            </w:tcBorders>
            <w:noWrap/>
            <w:vAlign w:val="center"/>
            <w:hideMark/>
          </w:tcPr>
          <w:p w14:paraId="65467E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LJUDSKI VRT</w:t>
            </w:r>
          </w:p>
        </w:tc>
      </w:tr>
      <w:tr w:rsidR="00F24E18" w14:paraId="6440D32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0B63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1331</w:t>
            </w:r>
          </w:p>
        </w:tc>
        <w:tc>
          <w:tcPr>
            <w:tcW w:w="1300" w:type="dxa"/>
            <w:tcBorders>
              <w:top w:val="nil"/>
              <w:left w:val="nil"/>
              <w:bottom w:val="single" w:sz="4" w:space="0" w:color="auto"/>
              <w:right w:val="single" w:sz="4" w:space="0" w:color="auto"/>
            </w:tcBorders>
            <w:noWrap/>
            <w:vAlign w:val="center"/>
            <w:hideMark/>
          </w:tcPr>
          <w:p w14:paraId="7DED49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5089433000</w:t>
            </w:r>
          </w:p>
        </w:tc>
        <w:tc>
          <w:tcPr>
            <w:tcW w:w="1012" w:type="dxa"/>
            <w:tcBorders>
              <w:top w:val="nil"/>
              <w:left w:val="nil"/>
              <w:bottom w:val="single" w:sz="4" w:space="0" w:color="auto"/>
              <w:right w:val="single" w:sz="4" w:space="0" w:color="auto"/>
            </w:tcBorders>
            <w:noWrap/>
            <w:vAlign w:val="center"/>
            <w:hideMark/>
          </w:tcPr>
          <w:p w14:paraId="13324C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49210220</w:t>
            </w:r>
          </w:p>
        </w:tc>
        <w:tc>
          <w:tcPr>
            <w:tcW w:w="5953" w:type="dxa"/>
            <w:tcBorders>
              <w:top w:val="nil"/>
              <w:left w:val="nil"/>
              <w:bottom w:val="single" w:sz="4" w:space="0" w:color="auto"/>
              <w:right w:val="single" w:sz="4" w:space="0" w:color="auto"/>
            </w:tcBorders>
            <w:noWrap/>
            <w:vAlign w:val="center"/>
            <w:hideMark/>
          </w:tcPr>
          <w:p w14:paraId="0BB61B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LOČE</w:t>
            </w:r>
          </w:p>
        </w:tc>
      </w:tr>
      <w:tr w:rsidR="00F24E18" w14:paraId="6AAD37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F226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w:t>
            </w:r>
          </w:p>
        </w:tc>
        <w:tc>
          <w:tcPr>
            <w:tcW w:w="1300" w:type="dxa"/>
            <w:tcBorders>
              <w:top w:val="nil"/>
              <w:left w:val="nil"/>
              <w:bottom w:val="single" w:sz="4" w:space="0" w:color="auto"/>
              <w:right w:val="single" w:sz="4" w:space="0" w:color="auto"/>
            </w:tcBorders>
            <w:noWrap/>
            <w:vAlign w:val="center"/>
            <w:hideMark/>
          </w:tcPr>
          <w:p w14:paraId="55AED1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5207045000</w:t>
            </w:r>
          </w:p>
        </w:tc>
        <w:tc>
          <w:tcPr>
            <w:tcW w:w="1012" w:type="dxa"/>
            <w:tcBorders>
              <w:top w:val="nil"/>
              <w:left w:val="nil"/>
              <w:bottom w:val="single" w:sz="4" w:space="0" w:color="auto"/>
              <w:right w:val="single" w:sz="4" w:space="0" w:color="auto"/>
            </w:tcBorders>
            <w:noWrap/>
            <w:vAlign w:val="center"/>
            <w:hideMark/>
          </w:tcPr>
          <w:p w14:paraId="2EA072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49698125</w:t>
            </w:r>
          </w:p>
        </w:tc>
        <w:tc>
          <w:tcPr>
            <w:tcW w:w="5953" w:type="dxa"/>
            <w:tcBorders>
              <w:top w:val="nil"/>
              <w:left w:val="nil"/>
              <w:bottom w:val="single" w:sz="4" w:space="0" w:color="auto"/>
              <w:right w:val="single" w:sz="4" w:space="0" w:color="auto"/>
            </w:tcBorders>
            <w:noWrap/>
            <w:vAlign w:val="center"/>
            <w:hideMark/>
          </w:tcPr>
          <w:p w14:paraId="5C4553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LOG - DRAGOMER</w:t>
            </w:r>
          </w:p>
        </w:tc>
      </w:tr>
      <w:tr w:rsidR="00F24E18" w14:paraId="0D36E8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3C69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1333</w:t>
            </w:r>
          </w:p>
        </w:tc>
        <w:tc>
          <w:tcPr>
            <w:tcW w:w="1300" w:type="dxa"/>
            <w:tcBorders>
              <w:top w:val="nil"/>
              <w:left w:val="nil"/>
              <w:bottom w:val="single" w:sz="4" w:space="0" w:color="auto"/>
              <w:right w:val="single" w:sz="4" w:space="0" w:color="auto"/>
            </w:tcBorders>
            <w:noWrap/>
            <w:vAlign w:val="center"/>
            <w:hideMark/>
          </w:tcPr>
          <w:p w14:paraId="32AF80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5289211000</w:t>
            </w:r>
          </w:p>
        </w:tc>
        <w:tc>
          <w:tcPr>
            <w:tcW w:w="1012" w:type="dxa"/>
            <w:tcBorders>
              <w:top w:val="nil"/>
              <w:left w:val="nil"/>
              <w:bottom w:val="single" w:sz="4" w:space="0" w:color="auto"/>
              <w:right w:val="single" w:sz="4" w:space="0" w:color="auto"/>
            </w:tcBorders>
            <w:noWrap/>
            <w:vAlign w:val="center"/>
            <w:hideMark/>
          </w:tcPr>
          <w:p w14:paraId="11DB90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67958451</w:t>
            </w:r>
          </w:p>
        </w:tc>
        <w:tc>
          <w:tcPr>
            <w:tcW w:w="5953" w:type="dxa"/>
            <w:tcBorders>
              <w:top w:val="nil"/>
              <w:left w:val="nil"/>
              <w:bottom w:val="single" w:sz="4" w:space="0" w:color="auto"/>
              <w:right w:val="single" w:sz="4" w:space="0" w:color="auto"/>
            </w:tcBorders>
            <w:noWrap/>
            <w:vAlign w:val="center"/>
            <w:hideMark/>
          </w:tcPr>
          <w:p w14:paraId="2F3131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LOKA ČRNOMELJ</w:t>
            </w:r>
          </w:p>
        </w:tc>
      </w:tr>
      <w:tr w:rsidR="00F24E18" w14:paraId="750E6D0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7BA5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1334</w:t>
            </w:r>
          </w:p>
        </w:tc>
        <w:tc>
          <w:tcPr>
            <w:tcW w:w="1300" w:type="dxa"/>
            <w:tcBorders>
              <w:top w:val="nil"/>
              <w:left w:val="nil"/>
              <w:bottom w:val="single" w:sz="4" w:space="0" w:color="auto"/>
              <w:right w:val="single" w:sz="4" w:space="0" w:color="auto"/>
            </w:tcBorders>
            <w:vAlign w:val="center"/>
            <w:hideMark/>
          </w:tcPr>
          <w:p w14:paraId="3887ED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5085993000</w:t>
            </w:r>
          </w:p>
        </w:tc>
        <w:tc>
          <w:tcPr>
            <w:tcW w:w="1012" w:type="dxa"/>
            <w:tcBorders>
              <w:top w:val="nil"/>
              <w:left w:val="nil"/>
              <w:bottom w:val="single" w:sz="4" w:space="0" w:color="auto"/>
              <w:right w:val="single" w:sz="4" w:space="0" w:color="auto"/>
            </w:tcBorders>
            <w:vAlign w:val="center"/>
            <w:hideMark/>
          </w:tcPr>
          <w:p w14:paraId="51A83E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29424445</w:t>
            </w:r>
          </w:p>
        </w:tc>
        <w:tc>
          <w:tcPr>
            <w:tcW w:w="5953" w:type="dxa"/>
            <w:tcBorders>
              <w:top w:val="nil"/>
              <w:left w:val="nil"/>
              <w:bottom w:val="single" w:sz="4" w:space="0" w:color="auto"/>
              <w:right w:val="single" w:sz="4" w:space="0" w:color="auto"/>
            </w:tcBorders>
            <w:noWrap/>
            <w:vAlign w:val="center"/>
            <w:hideMark/>
          </w:tcPr>
          <w:p w14:paraId="3E80FA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LOUISA ADAMIČA GROSUPLJE</w:t>
            </w:r>
          </w:p>
        </w:tc>
      </w:tr>
      <w:tr w:rsidR="00F24E18" w14:paraId="6361B9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7898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1335</w:t>
            </w:r>
          </w:p>
        </w:tc>
        <w:tc>
          <w:tcPr>
            <w:tcW w:w="1300" w:type="dxa"/>
            <w:tcBorders>
              <w:top w:val="nil"/>
              <w:left w:val="nil"/>
              <w:bottom w:val="single" w:sz="4" w:space="0" w:color="auto"/>
              <w:right w:val="single" w:sz="4" w:space="0" w:color="auto"/>
            </w:tcBorders>
            <w:noWrap/>
            <w:vAlign w:val="center"/>
            <w:hideMark/>
          </w:tcPr>
          <w:p w14:paraId="3E8BD2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5085179000</w:t>
            </w:r>
          </w:p>
        </w:tc>
        <w:tc>
          <w:tcPr>
            <w:tcW w:w="1012" w:type="dxa"/>
            <w:tcBorders>
              <w:top w:val="nil"/>
              <w:left w:val="nil"/>
              <w:bottom w:val="single" w:sz="4" w:space="0" w:color="auto"/>
              <w:right w:val="single" w:sz="4" w:space="0" w:color="auto"/>
            </w:tcBorders>
            <w:noWrap/>
            <w:vAlign w:val="center"/>
            <w:hideMark/>
          </w:tcPr>
          <w:p w14:paraId="1511E8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89983882</w:t>
            </w:r>
          </w:p>
        </w:tc>
        <w:tc>
          <w:tcPr>
            <w:tcW w:w="5953" w:type="dxa"/>
            <w:tcBorders>
              <w:top w:val="nil"/>
              <w:left w:val="nil"/>
              <w:bottom w:val="single" w:sz="4" w:space="0" w:color="auto"/>
              <w:right w:val="single" w:sz="4" w:space="0" w:color="auto"/>
            </w:tcBorders>
            <w:noWrap/>
            <w:vAlign w:val="center"/>
            <w:hideMark/>
          </w:tcPr>
          <w:p w14:paraId="6B241C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LOVRENC NA POHORJU</w:t>
            </w:r>
          </w:p>
        </w:tc>
      </w:tr>
      <w:tr w:rsidR="00F24E18" w14:paraId="42A2D04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1E5A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1336</w:t>
            </w:r>
          </w:p>
        </w:tc>
        <w:tc>
          <w:tcPr>
            <w:tcW w:w="1300" w:type="dxa"/>
            <w:tcBorders>
              <w:top w:val="nil"/>
              <w:left w:val="nil"/>
              <w:bottom w:val="single" w:sz="4" w:space="0" w:color="auto"/>
              <w:right w:val="single" w:sz="4" w:space="0" w:color="auto"/>
            </w:tcBorders>
            <w:noWrap/>
            <w:vAlign w:val="center"/>
            <w:hideMark/>
          </w:tcPr>
          <w:p w14:paraId="227D03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5089034000</w:t>
            </w:r>
          </w:p>
        </w:tc>
        <w:tc>
          <w:tcPr>
            <w:tcW w:w="1012" w:type="dxa"/>
            <w:tcBorders>
              <w:top w:val="nil"/>
              <w:left w:val="nil"/>
              <w:bottom w:val="single" w:sz="4" w:space="0" w:color="auto"/>
              <w:right w:val="single" w:sz="4" w:space="0" w:color="auto"/>
            </w:tcBorders>
            <w:noWrap/>
            <w:vAlign w:val="center"/>
            <w:hideMark/>
          </w:tcPr>
          <w:p w14:paraId="30F6EA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44215932</w:t>
            </w:r>
          </w:p>
        </w:tc>
        <w:tc>
          <w:tcPr>
            <w:tcW w:w="5953" w:type="dxa"/>
            <w:tcBorders>
              <w:top w:val="nil"/>
              <w:left w:val="nil"/>
              <w:bottom w:val="single" w:sz="4" w:space="0" w:color="auto"/>
              <w:right w:val="single" w:sz="4" w:space="0" w:color="auto"/>
            </w:tcBorders>
            <w:noWrap/>
            <w:vAlign w:val="center"/>
            <w:hideMark/>
          </w:tcPr>
          <w:p w14:paraId="0B89DA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LUCIJANA BRATKOVIČA BRATUŠA RENČE</w:t>
            </w:r>
          </w:p>
        </w:tc>
      </w:tr>
      <w:tr w:rsidR="00F24E18" w14:paraId="09BE34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1D59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1337</w:t>
            </w:r>
          </w:p>
        </w:tc>
        <w:tc>
          <w:tcPr>
            <w:tcW w:w="1300" w:type="dxa"/>
            <w:tcBorders>
              <w:top w:val="nil"/>
              <w:left w:val="nil"/>
              <w:bottom w:val="single" w:sz="4" w:space="0" w:color="auto"/>
              <w:right w:val="single" w:sz="4" w:space="0" w:color="auto"/>
            </w:tcBorders>
            <w:noWrap/>
            <w:vAlign w:val="center"/>
            <w:hideMark/>
          </w:tcPr>
          <w:p w14:paraId="2FEF6F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5086728000</w:t>
            </w:r>
          </w:p>
        </w:tc>
        <w:tc>
          <w:tcPr>
            <w:tcW w:w="1012" w:type="dxa"/>
            <w:tcBorders>
              <w:top w:val="nil"/>
              <w:left w:val="nil"/>
              <w:bottom w:val="single" w:sz="4" w:space="0" w:color="auto"/>
              <w:right w:val="single" w:sz="4" w:space="0" w:color="auto"/>
            </w:tcBorders>
            <w:noWrap/>
            <w:vAlign w:val="center"/>
            <w:hideMark/>
          </w:tcPr>
          <w:p w14:paraId="0F8D63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84740299</w:t>
            </w:r>
          </w:p>
        </w:tc>
        <w:tc>
          <w:tcPr>
            <w:tcW w:w="5953" w:type="dxa"/>
            <w:tcBorders>
              <w:top w:val="nil"/>
              <w:left w:val="nil"/>
              <w:bottom w:val="single" w:sz="4" w:space="0" w:color="auto"/>
              <w:right w:val="single" w:sz="4" w:space="0" w:color="auto"/>
            </w:tcBorders>
            <w:noWrap/>
            <w:vAlign w:val="center"/>
            <w:hideMark/>
          </w:tcPr>
          <w:p w14:paraId="3E1D6B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LUDVIKA PLIBERŠKA MARIBOR</w:t>
            </w:r>
          </w:p>
        </w:tc>
      </w:tr>
      <w:tr w:rsidR="00F24E18" w14:paraId="45852C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EE0A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1338</w:t>
            </w:r>
          </w:p>
        </w:tc>
        <w:tc>
          <w:tcPr>
            <w:tcW w:w="1300" w:type="dxa"/>
            <w:tcBorders>
              <w:top w:val="nil"/>
              <w:left w:val="nil"/>
              <w:bottom w:val="single" w:sz="4" w:space="0" w:color="auto"/>
              <w:right w:val="single" w:sz="4" w:space="0" w:color="auto"/>
            </w:tcBorders>
            <w:noWrap/>
            <w:vAlign w:val="center"/>
            <w:hideMark/>
          </w:tcPr>
          <w:p w14:paraId="2727AF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5083486000</w:t>
            </w:r>
          </w:p>
        </w:tc>
        <w:tc>
          <w:tcPr>
            <w:tcW w:w="1012" w:type="dxa"/>
            <w:tcBorders>
              <w:top w:val="nil"/>
              <w:left w:val="nil"/>
              <w:bottom w:val="single" w:sz="4" w:space="0" w:color="auto"/>
              <w:right w:val="single" w:sz="4" w:space="0" w:color="auto"/>
            </w:tcBorders>
            <w:noWrap/>
            <w:vAlign w:val="center"/>
            <w:hideMark/>
          </w:tcPr>
          <w:p w14:paraId="3896C2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36181455</w:t>
            </w:r>
          </w:p>
        </w:tc>
        <w:tc>
          <w:tcPr>
            <w:tcW w:w="5953" w:type="dxa"/>
            <w:tcBorders>
              <w:top w:val="nil"/>
              <w:left w:val="nil"/>
              <w:bottom w:val="single" w:sz="4" w:space="0" w:color="auto"/>
              <w:right w:val="single" w:sz="4" w:space="0" w:color="auto"/>
            </w:tcBorders>
            <w:noWrap/>
            <w:vAlign w:val="center"/>
            <w:hideMark/>
          </w:tcPr>
          <w:p w14:paraId="0AA3B5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MAJDE VRHOVNIK</w:t>
            </w:r>
          </w:p>
        </w:tc>
      </w:tr>
      <w:tr w:rsidR="00F24E18" w14:paraId="63B310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06AB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1339</w:t>
            </w:r>
          </w:p>
        </w:tc>
        <w:tc>
          <w:tcPr>
            <w:tcW w:w="1300" w:type="dxa"/>
            <w:tcBorders>
              <w:top w:val="nil"/>
              <w:left w:val="nil"/>
              <w:bottom w:val="single" w:sz="4" w:space="0" w:color="auto"/>
              <w:right w:val="single" w:sz="4" w:space="0" w:color="auto"/>
            </w:tcBorders>
            <w:noWrap/>
            <w:vAlign w:val="center"/>
            <w:hideMark/>
          </w:tcPr>
          <w:p w14:paraId="17E51C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5087074000</w:t>
            </w:r>
          </w:p>
        </w:tc>
        <w:tc>
          <w:tcPr>
            <w:tcW w:w="1012" w:type="dxa"/>
            <w:tcBorders>
              <w:top w:val="nil"/>
              <w:left w:val="nil"/>
              <w:bottom w:val="single" w:sz="4" w:space="0" w:color="auto"/>
              <w:right w:val="single" w:sz="4" w:space="0" w:color="auto"/>
            </w:tcBorders>
            <w:noWrap/>
            <w:vAlign w:val="center"/>
            <w:hideMark/>
          </w:tcPr>
          <w:p w14:paraId="4B8C01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57555559</w:t>
            </w:r>
          </w:p>
        </w:tc>
        <w:tc>
          <w:tcPr>
            <w:tcW w:w="5953" w:type="dxa"/>
            <w:tcBorders>
              <w:top w:val="nil"/>
              <w:left w:val="nil"/>
              <w:bottom w:val="single" w:sz="4" w:space="0" w:color="auto"/>
              <w:right w:val="single" w:sz="4" w:space="0" w:color="auto"/>
            </w:tcBorders>
            <w:noWrap/>
            <w:vAlign w:val="center"/>
            <w:hideMark/>
          </w:tcPr>
          <w:p w14:paraId="551A0E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MAJŠPERK</w:t>
            </w:r>
          </w:p>
        </w:tc>
      </w:tr>
      <w:tr w:rsidR="00F24E18" w14:paraId="50826D2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924A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1340</w:t>
            </w:r>
          </w:p>
        </w:tc>
        <w:tc>
          <w:tcPr>
            <w:tcW w:w="1300" w:type="dxa"/>
            <w:tcBorders>
              <w:top w:val="nil"/>
              <w:left w:val="nil"/>
              <w:bottom w:val="single" w:sz="4" w:space="0" w:color="auto"/>
              <w:right w:val="single" w:sz="4" w:space="0" w:color="auto"/>
            </w:tcBorders>
            <w:noWrap/>
            <w:vAlign w:val="center"/>
            <w:hideMark/>
          </w:tcPr>
          <w:p w14:paraId="7230CD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5085209000</w:t>
            </w:r>
          </w:p>
        </w:tc>
        <w:tc>
          <w:tcPr>
            <w:tcW w:w="1012" w:type="dxa"/>
            <w:tcBorders>
              <w:top w:val="nil"/>
              <w:left w:val="nil"/>
              <w:bottom w:val="single" w:sz="4" w:space="0" w:color="auto"/>
              <w:right w:val="single" w:sz="4" w:space="0" w:color="auto"/>
            </w:tcBorders>
            <w:noWrap/>
            <w:vAlign w:val="center"/>
            <w:hideMark/>
          </w:tcPr>
          <w:p w14:paraId="554FAC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81376847</w:t>
            </w:r>
          </w:p>
        </w:tc>
        <w:tc>
          <w:tcPr>
            <w:tcW w:w="5953" w:type="dxa"/>
            <w:tcBorders>
              <w:top w:val="nil"/>
              <w:left w:val="nil"/>
              <w:bottom w:val="single" w:sz="4" w:space="0" w:color="auto"/>
              <w:right w:val="single" w:sz="4" w:space="0" w:color="auto"/>
            </w:tcBorders>
            <w:noWrap/>
            <w:vAlign w:val="center"/>
            <w:hideMark/>
          </w:tcPr>
          <w:p w14:paraId="6C95F9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MAKSA DURJAVE MARIBOR</w:t>
            </w:r>
          </w:p>
        </w:tc>
      </w:tr>
      <w:tr w:rsidR="00F24E18" w14:paraId="4B5C05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A264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1341</w:t>
            </w:r>
          </w:p>
        </w:tc>
        <w:tc>
          <w:tcPr>
            <w:tcW w:w="1300" w:type="dxa"/>
            <w:tcBorders>
              <w:top w:val="nil"/>
              <w:left w:val="nil"/>
              <w:bottom w:val="single" w:sz="4" w:space="0" w:color="auto"/>
              <w:right w:val="single" w:sz="4" w:space="0" w:color="auto"/>
            </w:tcBorders>
            <w:noWrap/>
            <w:vAlign w:val="center"/>
            <w:hideMark/>
          </w:tcPr>
          <w:p w14:paraId="0EEA31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5082595000</w:t>
            </w:r>
          </w:p>
        </w:tc>
        <w:tc>
          <w:tcPr>
            <w:tcW w:w="1012" w:type="dxa"/>
            <w:tcBorders>
              <w:top w:val="nil"/>
              <w:left w:val="nil"/>
              <w:bottom w:val="single" w:sz="4" w:space="0" w:color="auto"/>
              <w:right w:val="single" w:sz="4" w:space="0" w:color="auto"/>
            </w:tcBorders>
            <w:noWrap/>
            <w:vAlign w:val="center"/>
            <w:hideMark/>
          </w:tcPr>
          <w:p w14:paraId="498AE6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77693809</w:t>
            </w:r>
          </w:p>
        </w:tc>
        <w:tc>
          <w:tcPr>
            <w:tcW w:w="5953" w:type="dxa"/>
            <w:tcBorders>
              <w:top w:val="nil"/>
              <w:left w:val="nil"/>
              <w:bottom w:val="single" w:sz="4" w:space="0" w:color="auto"/>
              <w:right w:val="single" w:sz="4" w:space="0" w:color="auto"/>
            </w:tcBorders>
            <w:noWrap/>
            <w:vAlign w:val="center"/>
            <w:hideMark/>
          </w:tcPr>
          <w:p w14:paraId="70C186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MAKSA PLETERŠNIKA PIŠECE</w:t>
            </w:r>
          </w:p>
        </w:tc>
      </w:tr>
      <w:tr w:rsidR="00F24E18" w14:paraId="3B9C3BA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44AE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1342</w:t>
            </w:r>
          </w:p>
        </w:tc>
        <w:tc>
          <w:tcPr>
            <w:tcW w:w="1300" w:type="dxa"/>
            <w:tcBorders>
              <w:top w:val="nil"/>
              <w:left w:val="nil"/>
              <w:bottom w:val="single" w:sz="4" w:space="0" w:color="auto"/>
              <w:right w:val="single" w:sz="4" w:space="0" w:color="auto"/>
            </w:tcBorders>
            <w:noWrap/>
            <w:vAlign w:val="center"/>
            <w:hideMark/>
          </w:tcPr>
          <w:p w14:paraId="79E70F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5084610000</w:t>
            </w:r>
          </w:p>
        </w:tc>
        <w:tc>
          <w:tcPr>
            <w:tcW w:w="1012" w:type="dxa"/>
            <w:tcBorders>
              <w:top w:val="nil"/>
              <w:left w:val="nil"/>
              <w:bottom w:val="single" w:sz="4" w:space="0" w:color="auto"/>
              <w:right w:val="single" w:sz="4" w:space="0" w:color="auto"/>
            </w:tcBorders>
            <w:noWrap/>
            <w:vAlign w:val="center"/>
            <w:hideMark/>
          </w:tcPr>
          <w:p w14:paraId="303F52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36663417</w:t>
            </w:r>
          </w:p>
        </w:tc>
        <w:tc>
          <w:tcPr>
            <w:tcW w:w="5953" w:type="dxa"/>
            <w:tcBorders>
              <w:top w:val="nil"/>
              <w:left w:val="nil"/>
              <w:bottom w:val="single" w:sz="4" w:space="0" w:color="auto"/>
              <w:right w:val="single" w:sz="4" w:space="0" w:color="auto"/>
            </w:tcBorders>
            <w:noWrap/>
            <w:vAlign w:val="center"/>
            <w:hideMark/>
          </w:tcPr>
          <w:p w14:paraId="08518D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MALA NEDELJA</w:t>
            </w:r>
          </w:p>
        </w:tc>
      </w:tr>
      <w:tr w:rsidR="00F24E18" w14:paraId="65B2563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A873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1343</w:t>
            </w:r>
          </w:p>
        </w:tc>
        <w:tc>
          <w:tcPr>
            <w:tcW w:w="1300" w:type="dxa"/>
            <w:tcBorders>
              <w:top w:val="nil"/>
              <w:left w:val="nil"/>
              <w:bottom w:val="single" w:sz="4" w:space="0" w:color="auto"/>
              <w:right w:val="single" w:sz="4" w:space="0" w:color="auto"/>
            </w:tcBorders>
            <w:noWrap/>
            <w:vAlign w:val="center"/>
            <w:hideMark/>
          </w:tcPr>
          <w:p w14:paraId="20647B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5206634000</w:t>
            </w:r>
          </w:p>
        </w:tc>
        <w:tc>
          <w:tcPr>
            <w:tcW w:w="1012" w:type="dxa"/>
            <w:tcBorders>
              <w:top w:val="nil"/>
              <w:left w:val="nil"/>
              <w:bottom w:val="single" w:sz="4" w:space="0" w:color="auto"/>
              <w:right w:val="single" w:sz="4" w:space="0" w:color="auto"/>
            </w:tcBorders>
            <w:noWrap/>
            <w:vAlign w:val="center"/>
            <w:hideMark/>
          </w:tcPr>
          <w:p w14:paraId="49E685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79836682</w:t>
            </w:r>
          </w:p>
        </w:tc>
        <w:tc>
          <w:tcPr>
            <w:tcW w:w="5953" w:type="dxa"/>
            <w:tcBorders>
              <w:top w:val="nil"/>
              <w:left w:val="nil"/>
              <w:bottom w:val="single" w:sz="4" w:space="0" w:color="auto"/>
              <w:right w:val="single" w:sz="4" w:space="0" w:color="auto"/>
            </w:tcBorders>
            <w:noWrap/>
            <w:vAlign w:val="center"/>
            <w:hideMark/>
          </w:tcPr>
          <w:p w14:paraId="2B8D45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MALEČNIK</w:t>
            </w:r>
          </w:p>
        </w:tc>
      </w:tr>
      <w:tr w:rsidR="00F24E18" w14:paraId="02639D3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A353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1344</w:t>
            </w:r>
          </w:p>
        </w:tc>
        <w:tc>
          <w:tcPr>
            <w:tcW w:w="1300" w:type="dxa"/>
            <w:tcBorders>
              <w:top w:val="nil"/>
              <w:left w:val="nil"/>
              <w:bottom w:val="single" w:sz="4" w:space="0" w:color="auto"/>
              <w:right w:val="single" w:sz="4" w:space="0" w:color="auto"/>
            </w:tcBorders>
            <w:vAlign w:val="center"/>
            <w:hideMark/>
          </w:tcPr>
          <w:p w14:paraId="65C555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5268931000</w:t>
            </w:r>
          </w:p>
        </w:tc>
        <w:tc>
          <w:tcPr>
            <w:tcW w:w="1012" w:type="dxa"/>
            <w:tcBorders>
              <w:top w:val="nil"/>
              <w:left w:val="nil"/>
              <w:bottom w:val="single" w:sz="4" w:space="0" w:color="auto"/>
              <w:right w:val="single" w:sz="4" w:space="0" w:color="auto"/>
            </w:tcBorders>
            <w:vAlign w:val="center"/>
            <w:hideMark/>
          </w:tcPr>
          <w:p w14:paraId="5E6220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52634876</w:t>
            </w:r>
          </w:p>
        </w:tc>
        <w:tc>
          <w:tcPr>
            <w:tcW w:w="5953" w:type="dxa"/>
            <w:tcBorders>
              <w:top w:val="nil"/>
              <w:left w:val="nil"/>
              <w:bottom w:val="single" w:sz="4" w:space="0" w:color="auto"/>
              <w:right w:val="single" w:sz="4" w:space="0" w:color="auto"/>
            </w:tcBorders>
            <w:noWrap/>
            <w:vAlign w:val="center"/>
            <w:hideMark/>
          </w:tcPr>
          <w:p w14:paraId="758B77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MARIJE VERE</w:t>
            </w:r>
          </w:p>
        </w:tc>
      </w:tr>
      <w:tr w:rsidR="00F24E18" w14:paraId="04A0B4E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924E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1345</w:t>
            </w:r>
          </w:p>
        </w:tc>
        <w:tc>
          <w:tcPr>
            <w:tcW w:w="1300" w:type="dxa"/>
            <w:tcBorders>
              <w:top w:val="nil"/>
              <w:left w:val="nil"/>
              <w:bottom w:val="single" w:sz="4" w:space="0" w:color="auto"/>
              <w:right w:val="single" w:sz="4" w:space="0" w:color="auto"/>
            </w:tcBorders>
            <w:noWrap/>
            <w:vAlign w:val="center"/>
            <w:hideMark/>
          </w:tcPr>
          <w:p w14:paraId="01E2D4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5087104000</w:t>
            </w:r>
          </w:p>
        </w:tc>
        <w:tc>
          <w:tcPr>
            <w:tcW w:w="1012" w:type="dxa"/>
            <w:tcBorders>
              <w:top w:val="nil"/>
              <w:left w:val="nil"/>
              <w:bottom w:val="single" w:sz="4" w:space="0" w:color="auto"/>
              <w:right w:val="single" w:sz="4" w:space="0" w:color="auto"/>
            </w:tcBorders>
            <w:vAlign w:val="center"/>
            <w:hideMark/>
          </w:tcPr>
          <w:p w14:paraId="76029D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19017910</w:t>
            </w:r>
          </w:p>
        </w:tc>
        <w:tc>
          <w:tcPr>
            <w:tcW w:w="5953" w:type="dxa"/>
            <w:tcBorders>
              <w:top w:val="nil"/>
              <w:left w:val="nil"/>
              <w:bottom w:val="single" w:sz="4" w:space="0" w:color="auto"/>
              <w:right w:val="single" w:sz="4" w:space="0" w:color="auto"/>
            </w:tcBorders>
            <w:noWrap/>
            <w:vAlign w:val="center"/>
            <w:hideMark/>
          </w:tcPr>
          <w:p w14:paraId="5D5AEF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MARKOVCI</w:t>
            </w:r>
          </w:p>
        </w:tc>
      </w:tr>
      <w:tr w:rsidR="00F24E18" w14:paraId="66EB01D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4960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1346</w:t>
            </w:r>
          </w:p>
        </w:tc>
        <w:tc>
          <w:tcPr>
            <w:tcW w:w="1300" w:type="dxa"/>
            <w:tcBorders>
              <w:top w:val="nil"/>
              <w:left w:val="nil"/>
              <w:bottom w:val="single" w:sz="4" w:space="0" w:color="auto"/>
              <w:right w:val="single" w:sz="4" w:space="0" w:color="auto"/>
            </w:tcBorders>
            <w:noWrap/>
            <w:vAlign w:val="center"/>
            <w:hideMark/>
          </w:tcPr>
          <w:p w14:paraId="2E006E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5085268000</w:t>
            </w:r>
          </w:p>
        </w:tc>
        <w:tc>
          <w:tcPr>
            <w:tcW w:w="1012" w:type="dxa"/>
            <w:tcBorders>
              <w:top w:val="nil"/>
              <w:left w:val="nil"/>
              <w:bottom w:val="single" w:sz="4" w:space="0" w:color="auto"/>
              <w:right w:val="single" w:sz="4" w:space="0" w:color="auto"/>
            </w:tcBorders>
            <w:noWrap/>
            <w:vAlign w:val="center"/>
            <w:hideMark/>
          </w:tcPr>
          <w:p w14:paraId="61970A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53839773</w:t>
            </w:r>
          </w:p>
        </w:tc>
        <w:tc>
          <w:tcPr>
            <w:tcW w:w="5953" w:type="dxa"/>
            <w:tcBorders>
              <w:top w:val="nil"/>
              <w:left w:val="nil"/>
              <w:bottom w:val="single" w:sz="4" w:space="0" w:color="auto"/>
              <w:right w:val="single" w:sz="4" w:space="0" w:color="auto"/>
            </w:tcBorders>
            <w:noWrap/>
            <w:vAlign w:val="center"/>
            <w:hideMark/>
          </w:tcPr>
          <w:p w14:paraId="7A854D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MARTINA KONŠAKA MARIBOR</w:t>
            </w:r>
          </w:p>
        </w:tc>
      </w:tr>
      <w:tr w:rsidR="00F24E18" w14:paraId="66DAC7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B235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1347</w:t>
            </w:r>
          </w:p>
        </w:tc>
        <w:tc>
          <w:tcPr>
            <w:tcW w:w="1300" w:type="dxa"/>
            <w:tcBorders>
              <w:top w:val="nil"/>
              <w:left w:val="nil"/>
              <w:bottom w:val="single" w:sz="4" w:space="0" w:color="auto"/>
              <w:right w:val="single" w:sz="4" w:space="0" w:color="auto"/>
            </w:tcBorders>
            <w:noWrap/>
            <w:vAlign w:val="center"/>
            <w:hideMark/>
          </w:tcPr>
          <w:p w14:paraId="2FABEF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5236681000</w:t>
            </w:r>
          </w:p>
        </w:tc>
        <w:tc>
          <w:tcPr>
            <w:tcW w:w="1012" w:type="dxa"/>
            <w:tcBorders>
              <w:top w:val="nil"/>
              <w:left w:val="nil"/>
              <w:bottom w:val="single" w:sz="4" w:space="0" w:color="auto"/>
              <w:right w:val="single" w:sz="4" w:space="0" w:color="auto"/>
            </w:tcBorders>
            <w:noWrap/>
            <w:vAlign w:val="center"/>
            <w:hideMark/>
          </w:tcPr>
          <w:p w14:paraId="720CFF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98721089</w:t>
            </w:r>
          </w:p>
        </w:tc>
        <w:tc>
          <w:tcPr>
            <w:tcW w:w="5953" w:type="dxa"/>
            <w:tcBorders>
              <w:top w:val="nil"/>
              <w:left w:val="nil"/>
              <w:bottom w:val="single" w:sz="4" w:space="0" w:color="auto"/>
              <w:right w:val="single" w:sz="4" w:space="0" w:color="auto"/>
            </w:tcBorders>
            <w:noWrap/>
            <w:vAlign w:val="center"/>
            <w:hideMark/>
          </w:tcPr>
          <w:p w14:paraId="77AA99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MARTINA KRPANA</w:t>
            </w:r>
          </w:p>
        </w:tc>
      </w:tr>
      <w:tr w:rsidR="00F24E18" w14:paraId="735D3CF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209F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1348</w:t>
            </w:r>
          </w:p>
        </w:tc>
        <w:tc>
          <w:tcPr>
            <w:tcW w:w="1300" w:type="dxa"/>
            <w:tcBorders>
              <w:top w:val="nil"/>
              <w:left w:val="nil"/>
              <w:bottom w:val="single" w:sz="4" w:space="0" w:color="auto"/>
              <w:right w:val="single" w:sz="4" w:space="0" w:color="auto"/>
            </w:tcBorders>
            <w:noWrap/>
            <w:vAlign w:val="center"/>
            <w:hideMark/>
          </w:tcPr>
          <w:p w14:paraId="688DE6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5279976000</w:t>
            </w:r>
          </w:p>
        </w:tc>
        <w:tc>
          <w:tcPr>
            <w:tcW w:w="1012" w:type="dxa"/>
            <w:tcBorders>
              <w:top w:val="nil"/>
              <w:left w:val="nil"/>
              <w:bottom w:val="single" w:sz="4" w:space="0" w:color="auto"/>
              <w:right w:val="single" w:sz="4" w:space="0" w:color="auto"/>
            </w:tcBorders>
            <w:noWrap/>
            <w:vAlign w:val="center"/>
            <w:hideMark/>
          </w:tcPr>
          <w:p w14:paraId="26D0E6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93323611</w:t>
            </w:r>
          </w:p>
        </w:tc>
        <w:tc>
          <w:tcPr>
            <w:tcW w:w="5953" w:type="dxa"/>
            <w:tcBorders>
              <w:top w:val="nil"/>
              <w:left w:val="nil"/>
              <w:bottom w:val="single" w:sz="4" w:space="0" w:color="auto"/>
              <w:right w:val="single" w:sz="4" w:space="0" w:color="auto"/>
            </w:tcBorders>
            <w:noWrap/>
            <w:vAlign w:val="center"/>
            <w:hideMark/>
          </w:tcPr>
          <w:p w14:paraId="372DCE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MATIJE ČOPA KRANJ</w:t>
            </w:r>
          </w:p>
        </w:tc>
      </w:tr>
      <w:tr w:rsidR="00F24E18" w14:paraId="539579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F8FC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1349</w:t>
            </w:r>
          </w:p>
        </w:tc>
        <w:tc>
          <w:tcPr>
            <w:tcW w:w="1300" w:type="dxa"/>
            <w:tcBorders>
              <w:top w:val="nil"/>
              <w:left w:val="nil"/>
              <w:bottom w:val="single" w:sz="4" w:space="0" w:color="auto"/>
              <w:right w:val="single" w:sz="4" w:space="0" w:color="auto"/>
            </w:tcBorders>
            <w:noWrap/>
            <w:vAlign w:val="center"/>
            <w:hideMark/>
          </w:tcPr>
          <w:p w14:paraId="1D01E8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5222575000</w:t>
            </w:r>
          </w:p>
        </w:tc>
        <w:tc>
          <w:tcPr>
            <w:tcW w:w="1012" w:type="dxa"/>
            <w:tcBorders>
              <w:top w:val="nil"/>
              <w:left w:val="nil"/>
              <w:bottom w:val="single" w:sz="4" w:space="0" w:color="auto"/>
              <w:right w:val="single" w:sz="4" w:space="0" w:color="auto"/>
            </w:tcBorders>
            <w:noWrap/>
            <w:vAlign w:val="center"/>
            <w:hideMark/>
          </w:tcPr>
          <w:p w14:paraId="6D3933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26623404</w:t>
            </w:r>
          </w:p>
        </w:tc>
        <w:tc>
          <w:tcPr>
            <w:tcW w:w="5953" w:type="dxa"/>
            <w:tcBorders>
              <w:top w:val="nil"/>
              <w:left w:val="nil"/>
              <w:bottom w:val="single" w:sz="4" w:space="0" w:color="auto"/>
              <w:right w:val="single" w:sz="4" w:space="0" w:color="auto"/>
            </w:tcBorders>
            <w:noWrap/>
            <w:vAlign w:val="center"/>
            <w:hideMark/>
          </w:tcPr>
          <w:p w14:paraId="46700C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MEDVODE</w:t>
            </w:r>
          </w:p>
        </w:tc>
      </w:tr>
      <w:tr w:rsidR="00F24E18" w14:paraId="5690DF1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56E0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1350</w:t>
            </w:r>
          </w:p>
        </w:tc>
        <w:tc>
          <w:tcPr>
            <w:tcW w:w="1300" w:type="dxa"/>
            <w:tcBorders>
              <w:top w:val="nil"/>
              <w:left w:val="nil"/>
              <w:bottom w:val="single" w:sz="4" w:space="0" w:color="auto"/>
              <w:right w:val="single" w:sz="4" w:space="0" w:color="auto"/>
            </w:tcBorders>
            <w:noWrap/>
            <w:vAlign w:val="center"/>
            <w:hideMark/>
          </w:tcPr>
          <w:p w14:paraId="27E70C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5082820000</w:t>
            </w:r>
          </w:p>
        </w:tc>
        <w:tc>
          <w:tcPr>
            <w:tcW w:w="1012" w:type="dxa"/>
            <w:tcBorders>
              <w:top w:val="nil"/>
              <w:left w:val="nil"/>
              <w:bottom w:val="single" w:sz="4" w:space="0" w:color="auto"/>
              <w:right w:val="single" w:sz="4" w:space="0" w:color="auto"/>
            </w:tcBorders>
            <w:noWrap/>
            <w:vAlign w:val="center"/>
            <w:hideMark/>
          </w:tcPr>
          <w:p w14:paraId="65DE90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94625387</w:t>
            </w:r>
          </w:p>
        </w:tc>
        <w:tc>
          <w:tcPr>
            <w:tcW w:w="5953" w:type="dxa"/>
            <w:tcBorders>
              <w:top w:val="nil"/>
              <w:left w:val="nil"/>
              <w:bottom w:val="single" w:sz="4" w:space="0" w:color="auto"/>
              <w:right w:val="single" w:sz="4" w:space="0" w:color="auto"/>
            </w:tcBorders>
            <w:noWrap/>
            <w:vAlign w:val="center"/>
            <w:hideMark/>
          </w:tcPr>
          <w:p w14:paraId="2652EE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MENGEŠ</w:t>
            </w:r>
          </w:p>
        </w:tc>
      </w:tr>
      <w:tr w:rsidR="00F24E18" w14:paraId="407290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CBC1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1351</w:t>
            </w:r>
          </w:p>
        </w:tc>
        <w:tc>
          <w:tcPr>
            <w:tcW w:w="1300" w:type="dxa"/>
            <w:tcBorders>
              <w:top w:val="nil"/>
              <w:left w:val="nil"/>
              <w:bottom w:val="single" w:sz="4" w:space="0" w:color="auto"/>
              <w:right w:val="single" w:sz="4" w:space="0" w:color="auto"/>
            </w:tcBorders>
            <w:noWrap/>
            <w:vAlign w:val="center"/>
            <w:hideMark/>
          </w:tcPr>
          <w:p w14:paraId="39D23D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5088925000</w:t>
            </w:r>
          </w:p>
        </w:tc>
        <w:tc>
          <w:tcPr>
            <w:tcW w:w="1012" w:type="dxa"/>
            <w:tcBorders>
              <w:top w:val="nil"/>
              <w:left w:val="nil"/>
              <w:bottom w:val="single" w:sz="4" w:space="0" w:color="auto"/>
              <w:right w:val="single" w:sz="4" w:space="0" w:color="auto"/>
            </w:tcBorders>
            <w:noWrap/>
            <w:vAlign w:val="center"/>
            <w:hideMark/>
          </w:tcPr>
          <w:p w14:paraId="5183AE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25802925</w:t>
            </w:r>
          </w:p>
        </w:tc>
        <w:tc>
          <w:tcPr>
            <w:tcW w:w="5953" w:type="dxa"/>
            <w:tcBorders>
              <w:top w:val="nil"/>
              <w:left w:val="nil"/>
              <w:bottom w:val="single" w:sz="4" w:space="0" w:color="auto"/>
              <w:right w:val="single" w:sz="4" w:space="0" w:color="auto"/>
            </w:tcBorders>
            <w:noWrap/>
            <w:vAlign w:val="center"/>
            <w:hideMark/>
          </w:tcPr>
          <w:p w14:paraId="43B98D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METLIKA</w:t>
            </w:r>
          </w:p>
        </w:tc>
      </w:tr>
      <w:tr w:rsidR="00F24E18" w14:paraId="14FC26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1857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1352</w:t>
            </w:r>
          </w:p>
        </w:tc>
        <w:tc>
          <w:tcPr>
            <w:tcW w:w="1300" w:type="dxa"/>
            <w:tcBorders>
              <w:top w:val="nil"/>
              <w:left w:val="nil"/>
              <w:bottom w:val="single" w:sz="4" w:space="0" w:color="auto"/>
              <w:right w:val="single" w:sz="4" w:space="0" w:color="auto"/>
            </w:tcBorders>
            <w:noWrap/>
            <w:vAlign w:val="center"/>
            <w:hideMark/>
          </w:tcPr>
          <w:p w14:paraId="6EDB50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5087376000</w:t>
            </w:r>
          </w:p>
        </w:tc>
        <w:tc>
          <w:tcPr>
            <w:tcW w:w="1012" w:type="dxa"/>
            <w:tcBorders>
              <w:top w:val="nil"/>
              <w:left w:val="nil"/>
              <w:bottom w:val="single" w:sz="4" w:space="0" w:color="auto"/>
              <w:right w:val="single" w:sz="4" w:space="0" w:color="auto"/>
            </w:tcBorders>
            <w:noWrap/>
            <w:vAlign w:val="center"/>
            <w:hideMark/>
          </w:tcPr>
          <w:p w14:paraId="6E9E3D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93869126</w:t>
            </w:r>
          </w:p>
        </w:tc>
        <w:tc>
          <w:tcPr>
            <w:tcW w:w="5953" w:type="dxa"/>
            <w:tcBorders>
              <w:top w:val="nil"/>
              <w:left w:val="nil"/>
              <w:bottom w:val="single" w:sz="4" w:space="0" w:color="auto"/>
              <w:right w:val="single" w:sz="4" w:space="0" w:color="auto"/>
            </w:tcBorders>
            <w:noWrap/>
            <w:vAlign w:val="center"/>
            <w:hideMark/>
          </w:tcPr>
          <w:p w14:paraId="47975D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MEŽICA</w:t>
            </w:r>
          </w:p>
        </w:tc>
      </w:tr>
      <w:tr w:rsidR="00F24E18" w14:paraId="148AFDF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615D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1353</w:t>
            </w:r>
          </w:p>
        </w:tc>
        <w:tc>
          <w:tcPr>
            <w:tcW w:w="1300" w:type="dxa"/>
            <w:tcBorders>
              <w:top w:val="nil"/>
              <w:left w:val="nil"/>
              <w:bottom w:val="single" w:sz="4" w:space="0" w:color="auto"/>
              <w:right w:val="single" w:sz="4" w:space="0" w:color="auto"/>
            </w:tcBorders>
            <w:vAlign w:val="center"/>
            <w:hideMark/>
          </w:tcPr>
          <w:p w14:paraId="3A50A2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5088216000</w:t>
            </w:r>
          </w:p>
        </w:tc>
        <w:tc>
          <w:tcPr>
            <w:tcW w:w="1012" w:type="dxa"/>
            <w:tcBorders>
              <w:top w:val="nil"/>
              <w:left w:val="nil"/>
              <w:bottom w:val="single" w:sz="4" w:space="0" w:color="auto"/>
              <w:right w:val="single" w:sz="4" w:space="0" w:color="auto"/>
            </w:tcBorders>
            <w:vAlign w:val="center"/>
            <w:hideMark/>
          </w:tcPr>
          <w:p w14:paraId="426D72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39145522</w:t>
            </w:r>
          </w:p>
        </w:tc>
        <w:tc>
          <w:tcPr>
            <w:tcW w:w="5953" w:type="dxa"/>
            <w:tcBorders>
              <w:top w:val="nil"/>
              <w:left w:val="nil"/>
              <w:bottom w:val="single" w:sz="4" w:space="0" w:color="auto"/>
              <w:right w:val="single" w:sz="4" w:space="0" w:color="auto"/>
            </w:tcBorders>
            <w:noWrap/>
            <w:vAlign w:val="center"/>
            <w:hideMark/>
          </w:tcPr>
          <w:p w14:paraId="7BC01F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MIHE PINTARJA TOLEDA, VELENJE</w:t>
            </w:r>
          </w:p>
        </w:tc>
      </w:tr>
      <w:tr w:rsidR="00F24E18" w14:paraId="11BC0AF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3DE4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1354</w:t>
            </w:r>
          </w:p>
        </w:tc>
        <w:tc>
          <w:tcPr>
            <w:tcW w:w="1300" w:type="dxa"/>
            <w:tcBorders>
              <w:top w:val="nil"/>
              <w:left w:val="nil"/>
              <w:bottom w:val="single" w:sz="4" w:space="0" w:color="auto"/>
              <w:right w:val="single" w:sz="4" w:space="0" w:color="auto"/>
            </w:tcBorders>
            <w:noWrap/>
            <w:vAlign w:val="center"/>
            <w:hideMark/>
          </w:tcPr>
          <w:p w14:paraId="6880EC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5085276000</w:t>
            </w:r>
          </w:p>
        </w:tc>
        <w:tc>
          <w:tcPr>
            <w:tcW w:w="1012" w:type="dxa"/>
            <w:tcBorders>
              <w:top w:val="nil"/>
              <w:left w:val="nil"/>
              <w:bottom w:val="single" w:sz="4" w:space="0" w:color="auto"/>
              <w:right w:val="single" w:sz="4" w:space="0" w:color="auto"/>
            </w:tcBorders>
            <w:noWrap/>
            <w:vAlign w:val="center"/>
            <w:hideMark/>
          </w:tcPr>
          <w:p w14:paraId="34FC5B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70073627</w:t>
            </w:r>
          </w:p>
        </w:tc>
        <w:tc>
          <w:tcPr>
            <w:tcW w:w="5953" w:type="dxa"/>
            <w:tcBorders>
              <w:top w:val="nil"/>
              <w:left w:val="nil"/>
              <w:bottom w:val="single" w:sz="4" w:space="0" w:color="auto"/>
              <w:right w:val="single" w:sz="4" w:space="0" w:color="auto"/>
            </w:tcBorders>
            <w:noWrap/>
            <w:vAlign w:val="center"/>
            <w:hideMark/>
          </w:tcPr>
          <w:p w14:paraId="5048BE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MIKLAVŽ NA DRAVSKEM POLJU</w:t>
            </w:r>
          </w:p>
        </w:tc>
      </w:tr>
      <w:tr w:rsidR="00F24E18" w14:paraId="5E1A13E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FD98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1355</w:t>
            </w:r>
          </w:p>
        </w:tc>
        <w:tc>
          <w:tcPr>
            <w:tcW w:w="1300" w:type="dxa"/>
            <w:tcBorders>
              <w:top w:val="nil"/>
              <w:left w:val="nil"/>
              <w:bottom w:val="single" w:sz="4" w:space="0" w:color="auto"/>
              <w:right w:val="single" w:sz="4" w:space="0" w:color="auto"/>
            </w:tcBorders>
            <w:noWrap/>
            <w:vAlign w:val="center"/>
            <w:hideMark/>
          </w:tcPr>
          <w:p w14:paraId="1CCB4A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5089158000</w:t>
            </w:r>
          </w:p>
        </w:tc>
        <w:tc>
          <w:tcPr>
            <w:tcW w:w="1012" w:type="dxa"/>
            <w:tcBorders>
              <w:top w:val="nil"/>
              <w:left w:val="nil"/>
              <w:bottom w:val="single" w:sz="4" w:space="0" w:color="auto"/>
              <w:right w:val="single" w:sz="4" w:space="0" w:color="auto"/>
            </w:tcBorders>
            <w:noWrap/>
            <w:vAlign w:val="center"/>
            <w:hideMark/>
          </w:tcPr>
          <w:p w14:paraId="3E056A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29832063</w:t>
            </w:r>
          </w:p>
        </w:tc>
        <w:tc>
          <w:tcPr>
            <w:tcW w:w="5953" w:type="dxa"/>
            <w:tcBorders>
              <w:top w:val="nil"/>
              <w:left w:val="nil"/>
              <w:bottom w:val="single" w:sz="4" w:space="0" w:color="auto"/>
              <w:right w:val="single" w:sz="4" w:space="0" w:color="auto"/>
            </w:tcBorders>
            <w:noWrap/>
            <w:vAlign w:val="center"/>
            <w:hideMark/>
          </w:tcPr>
          <w:p w14:paraId="70CF5C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MIKLAVŽ PRI ORMOŽU</w:t>
            </w:r>
          </w:p>
        </w:tc>
      </w:tr>
      <w:tr w:rsidR="00F24E18" w14:paraId="284F14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7B19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1356</w:t>
            </w:r>
          </w:p>
        </w:tc>
        <w:tc>
          <w:tcPr>
            <w:tcW w:w="1300" w:type="dxa"/>
            <w:tcBorders>
              <w:top w:val="nil"/>
              <w:left w:val="nil"/>
              <w:bottom w:val="single" w:sz="4" w:space="0" w:color="auto"/>
              <w:right w:val="single" w:sz="4" w:space="0" w:color="auto"/>
            </w:tcBorders>
            <w:noWrap/>
            <w:vAlign w:val="center"/>
            <w:hideMark/>
          </w:tcPr>
          <w:p w14:paraId="728D47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5089328000</w:t>
            </w:r>
          </w:p>
        </w:tc>
        <w:tc>
          <w:tcPr>
            <w:tcW w:w="1012" w:type="dxa"/>
            <w:tcBorders>
              <w:top w:val="nil"/>
              <w:left w:val="nil"/>
              <w:bottom w:val="single" w:sz="4" w:space="0" w:color="auto"/>
              <w:right w:val="single" w:sz="4" w:space="0" w:color="auto"/>
            </w:tcBorders>
            <w:noWrap/>
            <w:vAlign w:val="center"/>
            <w:hideMark/>
          </w:tcPr>
          <w:p w14:paraId="310AF4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68625260</w:t>
            </w:r>
          </w:p>
        </w:tc>
        <w:tc>
          <w:tcPr>
            <w:tcW w:w="5953" w:type="dxa"/>
            <w:tcBorders>
              <w:top w:val="nil"/>
              <w:left w:val="nil"/>
              <w:bottom w:val="single" w:sz="4" w:space="0" w:color="auto"/>
              <w:right w:val="single" w:sz="4" w:space="0" w:color="auto"/>
            </w:tcBorders>
            <w:noWrap/>
            <w:vAlign w:val="center"/>
            <w:hideMark/>
          </w:tcPr>
          <w:p w14:paraId="0C5B5E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MILANA MAJCNA ŠENTJANŽ</w:t>
            </w:r>
          </w:p>
        </w:tc>
      </w:tr>
      <w:tr w:rsidR="00F24E18" w14:paraId="5433CE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D1DB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1357</w:t>
            </w:r>
          </w:p>
        </w:tc>
        <w:tc>
          <w:tcPr>
            <w:tcW w:w="1300" w:type="dxa"/>
            <w:tcBorders>
              <w:top w:val="nil"/>
              <w:left w:val="nil"/>
              <w:bottom w:val="single" w:sz="4" w:space="0" w:color="auto"/>
              <w:right w:val="single" w:sz="4" w:space="0" w:color="auto"/>
            </w:tcBorders>
            <w:noWrap/>
            <w:vAlign w:val="center"/>
            <w:hideMark/>
          </w:tcPr>
          <w:p w14:paraId="19D8BA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5204291000</w:t>
            </w:r>
          </w:p>
        </w:tc>
        <w:tc>
          <w:tcPr>
            <w:tcW w:w="1012" w:type="dxa"/>
            <w:tcBorders>
              <w:top w:val="nil"/>
              <w:left w:val="nil"/>
              <w:bottom w:val="single" w:sz="4" w:space="0" w:color="auto"/>
              <w:right w:val="single" w:sz="4" w:space="0" w:color="auto"/>
            </w:tcBorders>
            <w:noWrap/>
            <w:vAlign w:val="center"/>
            <w:hideMark/>
          </w:tcPr>
          <w:p w14:paraId="2A6FF5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11555050</w:t>
            </w:r>
          </w:p>
        </w:tc>
        <w:tc>
          <w:tcPr>
            <w:tcW w:w="5953" w:type="dxa"/>
            <w:tcBorders>
              <w:top w:val="nil"/>
              <w:left w:val="nil"/>
              <w:bottom w:val="single" w:sz="4" w:space="0" w:color="auto"/>
              <w:right w:val="single" w:sz="4" w:space="0" w:color="auto"/>
            </w:tcBorders>
            <w:noWrap/>
            <w:vAlign w:val="center"/>
            <w:hideMark/>
          </w:tcPr>
          <w:p w14:paraId="241EFF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MILANA ŠUŠTARŠIČA</w:t>
            </w:r>
          </w:p>
        </w:tc>
      </w:tr>
      <w:tr w:rsidR="00F24E18" w14:paraId="417D20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7507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1358</w:t>
            </w:r>
          </w:p>
        </w:tc>
        <w:tc>
          <w:tcPr>
            <w:tcW w:w="1300" w:type="dxa"/>
            <w:tcBorders>
              <w:top w:val="nil"/>
              <w:left w:val="nil"/>
              <w:bottom w:val="single" w:sz="4" w:space="0" w:color="auto"/>
              <w:right w:val="single" w:sz="4" w:space="0" w:color="auto"/>
            </w:tcBorders>
            <w:noWrap/>
            <w:vAlign w:val="center"/>
            <w:hideMark/>
          </w:tcPr>
          <w:p w14:paraId="3E9BF2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5083729000</w:t>
            </w:r>
          </w:p>
        </w:tc>
        <w:tc>
          <w:tcPr>
            <w:tcW w:w="1012" w:type="dxa"/>
            <w:tcBorders>
              <w:top w:val="nil"/>
              <w:left w:val="nil"/>
              <w:bottom w:val="single" w:sz="4" w:space="0" w:color="auto"/>
              <w:right w:val="single" w:sz="4" w:space="0" w:color="auto"/>
            </w:tcBorders>
            <w:noWrap/>
            <w:vAlign w:val="center"/>
            <w:hideMark/>
          </w:tcPr>
          <w:p w14:paraId="7FB52F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15995615</w:t>
            </w:r>
          </w:p>
        </w:tc>
        <w:tc>
          <w:tcPr>
            <w:tcW w:w="5953" w:type="dxa"/>
            <w:tcBorders>
              <w:top w:val="nil"/>
              <w:left w:val="nil"/>
              <w:bottom w:val="single" w:sz="4" w:space="0" w:color="auto"/>
              <w:right w:val="single" w:sz="4" w:space="0" w:color="auto"/>
            </w:tcBorders>
            <w:noWrap/>
            <w:vAlign w:val="center"/>
            <w:hideMark/>
          </w:tcPr>
          <w:p w14:paraId="64E508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MILKE ŠOBAR-NATAŠE ČRNOMELJ</w:t>
            </w:r>
          </w:p>
        </w:tc>
      </w:tr>
      <w:tr w:rsidR="00F24E18" w14:paraId="06D4DB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478D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1359</w:t>
            </w:r>
          </w:p>
        </w:tc>
        <w:tc>
          <w:tcPr>
            <w:tcW w:w="1300" w:type="dxa"/>
            <w:tcBorders>
              <w:top w:val="nil"/>
              <w:left w:val="nil"/>
              <w:bottom w:val="single" w:sz="4" w:space="0" w:color="auto"/>
              <w:right w:val="single" w:sz="4" w:space="0" w:color="auto"/>
            </w:tcBorders>
            <w:noWrap/>
            <w:vAlign w:val="center"/>
            <w:hideMark/>
          </w:tcPr>
          <w:p w14:paraId="6C14E1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5089352000</w:t>
            </w:r>
          </w:p>
        </w:tc>
        <w:tc>
          <w:tcPr>
            <w:tcW w:w="1012" w:type="dxa"/>
            <w:tcBorders>
              <w:top w:val="nil"/>
              <w:left w:val="nil"/>
              <w:bottom w:val="single" w:sz="4" w:space="0" w:color="auto"/>
              <w:right w:val="single" w:sz="4" w:space="0" w:color="auto"/>
            </w:tcBorders>
            <w:noWrap/>
            <w:vAlign w:val="center"/>
            <w:hideMark/>
          </w:tcPr>
          <w:p w14:paraId="781515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96298197</w:t>
            </w:r>
          </w:p>
        </w:tc>
        <w:tc>
          <w:tcPr>
            <w:tcW w:w="5953" w:type="dxa"/>
            <w:tcBorders>
              <w:top w:val="nil"/>
              <w:left w:val="nil"/>
              <w:bottom w:val="single" w:sz="4" w:space="0" w:color="auto"/>
              <w:right w:val="single" w:sz="4" w:space="0" w:color="auto"/>
            </w:tcBorders>
            <w:noWrap/>
            <w:vAlign w:val="center"/>
            <w:hideMark/>
          </w:tcPr>
          <w:p w14:paraId="5BE1F7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MILOJKE ŠTRUKELJ NOVA GORICA</w:t>
            </w:r>
          </w:p>
        </w:tc>
      </w:tr>
      <w:tr w:rsidR="00F24E18" w14:paraId="6D0ED68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EC3F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1360</w:t>
            </w:r>
          </w:p>
        </w:tc>
        <w:tc>
          <w:tcPr>
            <w:tcW w:w="1300" w:type="dxa"/>
            <w:tcBorders>
              <w:top w:val="nil"/>
              <w:left w:val="nil"/>
              <w:bottom w:val="single" w:sz="4" w:space="0" w:color="auto"/>
              <w:right w:val="single" w:sz="4" w:space="0" w:color="auto"/>
            </w:tcBorders>
            <w:noWrap/>
            <w:vAlign w:val="center"/>
            <w:hideMark/>
          </w:tcPr>
          <w:p w14:paraId="384377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5087694000</w:t>
            </w:r>
          </w:p>
        </w:tc>
        <w:tc>
          <w:tcPr>
            <w:tcW w:w="1012" w:type="dxa"/>
            <w:tcBorders>
              <w:top w:val="nil"/>
              <w:left w:val="nil"/>
              <w:bottom w:val="single" w:sz="4" w:space="0" w:color="auto"/>
              <w:right w:val="single" w:sz="4" w:space="0" w:color="auto"/>
            </w:tcBorders>
            <w:noWrap/>
            <w:vAlign w:val="center"/>
            <w:hideMark/>
          </w:tcPr>
          <w:p w14:paraId="0F394B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86171275</w:t>
            </w:r>
          </w:p>
        </w:tc>
        <w:tc>
          <w:tcPr>
            <w:tcW w:w="5953" w:type="dxa"/>
            <w:tcBorders>
              <w:top w:val="nil"/>
              <w:left w:val="nil"/>
              <w:bottom w:val="single" w:sz="4" w:space="0" w:color="auto"/>
              <w:right w:val="single" w:sz="4" w:space="0" w:color="auto"/>
            </w:tcBorders>
            <w:noWrap/>
            <w:vAlign w:val="center"/>
            <w:hideMark/>
          </w:tcPr>
          <w:p w14:paraId="241C4E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MINKE NAMESTNIK-SONJE SLOVENSKA BISTRICA</w:t>
            </w:r>
          </w:p>
        </w:tc>
      </w:tr>
      <w:tr w:rsidR="00F24E18" w14:paraId="6F0216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4940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1361</w:t>
            </w:r>
          </w:p>
        </w:tc>
        <w:tc>
          <w:tcPr>
            <w:tcW w:w="1300" w:type="dxa"/>
            <w:tcBorders>
              <w:top w:val="nil"/>
              <w:left w:val="nil"/>
              <w:bottom w:val="single" w:sz="4" w:space="0" w:color="auto"/>
              <w:right w:val="single" w:sz="4" w:space="0" w:color="auto"/>
            </w:tcBorders>
            <w:noWrap/>
            <w:vAlign w:val="center"/>
            <w:hideMark/>
          </w:tcPr>
          <w:p w14:paraId="2E397C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5084105000</w:t>
            </w:r>
          </w:p>
        </w:tc>
        <w:tc>
          <w:tcPr>
            <w:tcW w:w="1012" w:type="dxa"/>
            <w:tcBorders>
              <w:top w:val="nil"/>
              <w:left w:val="nil"/>
              <w:bottom w:val="single" w:sz="4" w:space="0" w:color="auto"/>
              <w:right w:val="single" w:sz="4" w:space="0" w:color="auto"/>
            </w:tcBorders>
            <w:noWrap/>
            <w:vAlign w:val="center"/>
            <w:hideMark/>
          </w:tcPr>
          <w:p w14:paraId="6E7496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32234945</w:t>
            </w:r>
          </w:p>
        </w:tc>
        <w:tc>
          <w:tcPr>
            <w:tcW w:w="5953" w:type="dxa"/>
            <w:tcBorders>
              <w:top w:val="nil"/>
              <w:left w:val="nil"/>
              <w:bottom w:val="single" w:sz="4" w:space="0" w:color="auto"/>
              <w:right w:val="single" w:sz="4" w:space="0" w:color="auto"/>
            </w:tcBorders>
            <w:noWrap/>
            <w:vAlign w:val="center"/>
            <w:hideMark/>
          </w:tcPr>
          <w:p w14:paraId="09BB3C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MIRANA JARCA</w:t>
            </w:r>
          </w:p>
        </w:tc>
      </w:tr>
      <w:tr w:rsidR="00F24E18" w14:paraId="06606F3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3069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1362</w:t>
            </w:r>
          </w:p>
        </w:tc>
        <w:tc>
          <w:tcPr>
            <w:tcW w:w="1300" w:type="dxa"/>
            <w:tcBorders>
              <w:top w:val="nil"/>
              <w:left w:val="nil"/>
              <w:bottom w:val="single" w:sz="4" w:space="0" w:color="auto"/>
              <w:right w:val="single" w:sz="4" w:space="0" w:color="auto"/>
            </w:tcBorders>
            <w:noWrap/>
            <w:vAlign w:val="center"/>
            <w:hideMark/>
          </w:tcPr>
          <w:p w14:paraId="6239BC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5082765000</w:t>
            </w:r>
          </w:p>
        </w:tc>
        <w:tc>
          <w:tcPr>
            <w:tcW w:w="1012" w:type="dxa"/>
            <w:tcBorders>
              <w:top w:val="nil"/>
              <w:left w:val="nil"/>
              <w:bottom w:val="single" w:sz="4" w:space="0" w:color="auto"/>
              <w:right w:val="single" w:sz="4" w:space="0" w:color="auto"/>
            </w:tcBorders>
            <w:noWrap/>
            <w:vAlign w:val="center"/>
            <w:hideMark/>
          </w:tcPr>
          <w:p w14:paraId="5C0388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38693313</w:t>
            </w:r>
          </w:p>
        </w:tc>
        <w:tc>
          <w:tcPr>
            <w:tcW w:w="5953" w:type="dxa"/>
            <w:tcBorders>
              <w:top w:val="nil"/>
              <w:left w:val="nil"/>
              <w:bottom w:val="single" w:sz="4" w:space="0" w:color="auto"/>
              <w:right w:val="single" w:sz="4" w:space="0" w:color="auto"/>
            </w:tcBorders>
            <w:noWrap/>
            <w:vAlign w:val="center"/>
            <w:hideMark/>
          </w:tcPr>
          <w:p w14:paraId="0E91B1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MIRANA JARCA ČRNOMELJ</w:t>
            </w:r>
          </w:p>
        </w:tc>
      </w:tr>
      <w:tr w:rsidR="00F24E18" w14:paraId="637849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96FF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1363</w:t>
            </w:r>
          </w:p>
        </w:tc>
        <w:tc>
          <w:tcPr>
            <w:tcW w:w="1300" w:type="dxa"/>
            <w:tcBorders>
              <w:top w:val="nil"/>
              <w:left w:val="nil"/>
              <w:bottom w:val="single" w:sz="4" w:space="0" w:color="auto"/>
              <w:right w:val="single" w:sz="4" w:space="0" w:color="auto"/>
            </w:tcBorders>
            <w:vAlign w:val="center"/>
            <w:hideMark/>
          </w:tcPr>
          <w:p w14:paraId="07D585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5085829000</w:t>
            </w:r>
          </w:p>
        </w:tc>
        <w:tc>
          <w:tcPr>
            <w:tcW w:w="1012" w:type="dxa"/>
            <w:tcBorders>
              <w:top w:val="nil"/>
              <w:left w:val="nil"/>
              <w:bottom w:val="single" w:sz="4" w:space="0" w:color="auto"/>
              <w:right w:val="single" w:sz="4" w:space="0" w:color="auto"/>
            </w:tcBorders>
            <w:vAlign w:val="center"/>
            <w:hideMark/>
          </w:tcPr>
          <w:p w14:paraId="256222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57887411</w:t>
            </w:r>
          </w:p>
        </w:tc>
        <w:tc>
          <w:tcPr>
            <w:tcW w:w="5953" w:type="dxa"/>
            <w:tcBorders>
              <w:top w:val="nil"/>
              <w:left w:val="nil"/>
              <w:bottom w:val="single" w:sz="4" w:space="0" w:color="auto"/>
              <w:right w:val="single" w:sz="4" w:space="0" w:color="auto"/>
            </w:tcBorders>
            <w:noWrap/>
            <w:vAlign w:val="center"/>
            <w:hideMark/>
          </w:tcPr>
          <w:p w14:paraId="40CBBF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MIREN</w:t>
            </w:r>
          </w:p>
        </w:tc>
      </w:tr>
      <w:tr w:rsidR="00F24E18" w14:paraId="0C8064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B1CF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1364</w:t>
            </w:r>
          </w:p>
        </w:tc>
        <w:tc>
          <w:tcPr>
            <w:tcW w:w="1300" w:type="dxa"/>
            <w:tcBorders>
              <w:top w:val="nil"/>
              <w:left w:val="nil"/>
              <w:bottom w:val="single" w:sz="4" w:space="0" w:color="auto"/>
              <w:right w:val="single" w:sz="4" w:space="0" w:color="auto"/>
            </w:tcBorders>
            <w:noWrap/>
            <w:vAlign w:val="center"/>
            <w:hideMark/>
          </w:tcPr>
          <w:p w14:paraId="786E39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5090083000</w:t>
            </w:r>
          </w:p>
        </w:tc>
        <w:tc>
          <w:tcPr>
            <w:tcW w:w="1012" w:type="dxa"/>
            <w:tcBorders>
              <w:top w:val="nil"/>
              <w:left w:val="nil"/>
              <w:bottom w:val="single" w:sz="4" w:space="0" w:color="auto"/>
              <w:right w:val="single" w:sz="4" w:space="0" w:color="auto"/>
            </w:tcBorders>
            <w:noWrap/>
            <w:vAlign w:val="center"/>
            <w:hideMark/>
          </w:tcPr>
          <w:p w14:paraId="37A374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49417398</w:t>
            </w:r>
          </w:p>
        </w:tc>
        <w:tc>
          <w:tcPr>
            <w:tcW w:w="5953" w:type="dxa"/>
            <w:tcBorders>
              <w:top w:val="nil"/>
              <w:left w:val="nil"/>
              <w:bottom w:val="single" w:sz="4" w:space="0" w:color="auto"/>
              <w:right w:val="single" w:sz="4" w:space="0" w:color="auto"/>
            </w:tcBorders>
            <w:noWrap/>
            <w:vAlign w:val="center"/>
            <w:hideMark/>
          </w:tcPr>
          <w:p w14:paraId="14C2B4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MIRNA</w:t>
            </w:r>
          </w:p>
        </w:tc>
      </w:tr>
      <w:tr w:rsidR="00F24E18" w14:paraId="6259C8F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9990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1365</w:t>
            </w:r>
          </w:p>
        </w:tc>
        <w:tc>
          <w:tcPr>
            <w:tcW w:w="1300" w:type="dxa"/>
            <w:tcBorders>
              <w:top w:val="nil"/>
              <w:left w:val="nil"/>
              <w:bottom w:val="single" w:sz="4" w:space="0" w:color="auto"/>
              <w:right w:val="single" w:sz="4" w:space="0" w:color="auto"/>
            </w:tcBorders>
            <w:noWrap/>
            <w:vAlign w:val="center"/>
            <w:hideMark/>
          </w:tcPr>
          <w:p w14:paraId="023CDB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5496837000</w:t>
            </w:r>
          </w:p>
        </w:tc>
        <w:tc>
          <w:tcPr>
            <w:tcW w:w="1012" w:type="dxa"/>
            <w:tcBorders>
              <w:top w:val="nil"/>
              <w:left w:val="nil"/>
              <w:bottom w:val="single" w:sz="4" w:space="0" w:color="auto"/>
              <w:right w:val="single" w:sz="4" w:space="0" w:color="auto"/>
            </w:tcBorders>
            <w:noWrap/>
            <w:vAlign w:val="center"/>
            <w:hideMark/>
          </w:tcPr>
          <w:p w14:paraId="73B8C1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92694969</w:t>
            </w:r>
          </w:p>
        </w:tc>
        <w:tc>
          <w:tcPr>
            <w:tcW w:w="5953" w:type="dxa"/>
            <w:tcBorders>
              <w:top w:val="nil"/>
              <w:left w:val="nil"/>
              <w:bottom w:val="single" w:sz="4" w:space="0" w:color="auto"/>
              <w:right w:val="single" w:sz="4" w:space="0" w:color="auto"/>
            </w:tcBorders>
            <w:noWrap/>
            <w:vAlign w:val="center"/>
            <w:hideMark/>
          </w:tcPr>
          <w:p w14:paraId="11D98F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MIROSLAVA VILHARJA POSTOJNA</w:t>
            </w:r>
          </w:p>
        </w:tc>
      </w:tr>
      <w:tr w:rsidR="00F24E18" w14:paraId="17F20A1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7EA9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1366</w:t>
            </w:r>
          </w:p>
        </w:tc>
        <w:tc>
          <w:tcPr>
            <w:tcW w:w="1300" w:type="dxa"/>
            <w:tcBorders>
              <w:top w:val="nil"/>
              <w:left w:val="nil"/>
              <w:bottom w:val="single" w:sz="4" w:space="0" w:color="auto"/>
              <w:right w:val="single" w:sz="4" w:space="0" w:color="auto"/>
            </w:tcBorders>
            <w:noWrap/>
            <w:vAlign w:val="center"/>
            <w:hideMark/>
          </w:tcPr>
          <w:p w14:paraId="7B4ADE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5087589000</w:t>
            </w:r>
          </w:p>
        </w:tc>
        <w:tc>
          <w:tcPr>
            <w:tcW w:w="1012" w:type="dxa"/>
            <w:tcBorders>
              <w:top w:val="nil"/>
              <w:left w:val="nil"/>
              <w:bottom w:val="single" w:sz="4" w:space="0" w:color="auto"/>
              <w:right w:val="single" w:sz="4" w:space="0" w:color="auto"/>
            </w:tcBorders>
            <w:noWrap/>
            <w:vAlign w:val="center"/>
            <w:hideMark/>
          </w:tcPr>
          <w:p w14:paraId="0250D8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53705181</w:t>
            </w:r>
          </w:p>
        </w:tc>
        <w:tc>
          <w:tcPr>
            <w:tcW w:w="5953" w:type="dxa"/>
            <w:tcBorders>
              <w:top w:val="nil"/>
              <w:left w:val="nil"/>
              <w:bottom w:val="single" w:sz="4" w:space="0" w:color="auto"/>
              <w:right w:val="single" w:sz="4" w:space="0" w:color="auto"/>
            </w:tcBorders>
            <w:noWrap/>
            <w:vAlign w:val="center"/>
            <w:hideMark/>
          </w:tcPr>
          <w:p w14:paraId="72A0A5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MISLINJA</w:t>
            </w:r>
          </w:p>
        </w:tc>
      </w:tr>
      <w:tr w:rsidR="00F24E18" w14:paraId="77A0A55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7AB9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1367</w:t>
            </w:r>
          </w:p>
        </w:tc>
        <w:tc>
          <w:tcPr>
            <w:tcW w:w="1300" w:type="dxa"/>
            <w:tcBorders>
              <w:top w:val="nil"/>
              <w:left w:val="nil"/>
              <w:bottom w:val="single" w:sz="4" w:space="0" w:color="auto"/>
              <w:right w:val="single" w:sz="4" w:space="0" w:color="auto"/>
            </w:tcBorders>
            <w:vAlign w:val="center"/>
            <w:hideMark/>
          </w:tcPr>
          <w:p w14:paraId="6E21A7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5089760000</w:t>
            </w:r>
          </w:p>
        </w:tc>
        <w:tc>
          <w:tcPr>
            <w:tcW w:w="1012" w:type="dxa"/>
            <w:tcBorders>
              <w:top w:val="nil"/>
              <w:left w:val="nil"/>
              <w:bottom w:val="single" w:sz="4" w:space="0" w:color="auto"/>
              <w:right w:val="single" w:sz="4" w:space="0" w:color="auto"/>
            </w:tcBorders>
            <w:vAlign w:val="center"/>
            <w:hideMark/>
          </w:tcPr>
          <w:p w14:paraId="1C1E6F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29619904</w:t>
            </w:r>
          </w:p>
        </w:tc>
        <w:tc>
          <w:tcPr>
            <w:tcW w:w="5953" w:type="dxa"/>
            <w:tcBorders>
              <w:top w:val="nil"/>
              <w:left w:val="nil"/>
              <w:bottom w:val="single" w:sz="4" w:space="0" w:color="auto"/>
              <w:right w:val="single" w:sz="4" w:space="0" w:color="auto"/>
            </w:tcBorders>
            <w:noWrap/>
            <w:vAlign w:val="center"/>
            <w:hideMark/>
          </w:tcPr>
          <w:p w14:paraId="56B4F8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MIŠKA KRANJCA VELIKA POLANA</w:t>
            </w:r>
          </w:p>
        </w:tc>
      </w:tr>
      <w:tr w:rsidR="00F24E18" w14:paraId="38E2F3C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F4DF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1368</w:t>
            </w:r>
          </w:p>
        </w:tc>
        <w:tc>
          <w:tcPr>
            <w:tcW w:w="1300" w:type="dxa"/>
            <w:tcBorders>
              <w:top w:val="nil"/>
              <w:left w:val="nil"/>
              <w:bottom w:val="single" w:sz="4" w:space="0" w:color="auto"/>
              <w:right w:val="single" w:sz="4" w:space="0" w:color="auto"/>
            </w:tcBorders>
            <w:noWrap/>
            <w:vAlign w:val="center"/>
            <w:hideMark/>
          </w:tcPr>
          <w:p w14:paraId="15345D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5087163000</w:t>
            </w:r>
          </w:p>
        </w:tc>
        <w:tc>
          <w:tcPr>
            <w:tcW w:w="1012" w:type="dxa"/>
            <w:tcBorders>
              <w:top w:val="nil"/>
              <w:left w:val="nil"/>
              <w:bottom w:val="single" w:sz="4" w:space="0" w:color="auto"/>
              <w:right w:val="single" w:sz="4" w:space="0" w:color="auto"/>
            </w:tcBorders>
            <w:noWrap/>
            <w:vAlign w:val="center"/>
            <w:hideMark/>
          </w:tcPr>
          <w:p w14:paraId="15066A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80951147</w:t>
            </w:r>
          </w:p>
        </w:tc>
        <w:tc>
          <w:tcPr>
            <w:tcW w:w="5953" w:type="dxa"/>
            <w:tcBorders>
              <w:top w:val="nil"/>
              <w:left w:val="nil"/>
              <w:bottom w:val="single" w:sz="4" w:space="0" w:color="auto"/>
              <w:right w:val="single" w:sz="4" w:space="0" w:color="auto"/>
            </w:tcBorders>
            <w:noWrap/>
            <w:vAlign w:val="center"/>
            <w:hideMark/>
          </w:tcPr>
          <w:p w14:paraId="322B0E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MLADIKA</w:t>
            </w:r>
          </w:p>
        </w:tc>
      </w:tr>
      <w:tr w:rsidR="00F24E18" w14:paraId="23CE04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B02E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1369</w:t>
            </w:r>
          </w:p>
        </w:tc>
        <w:tc>
          <w:tcPr>
            <w:tcW w:w="1300" w:type="dxa"/>
            <w:tcBorders>
              <w:top w:val="nil"/>
              <w:left w:val="nil"/>
              <w:bottom w:val="single" w:sz="4" w:space="0" w:color="auto"/>
              <w:right w:val="single" w:sz="4" w:space="0" w:color="auto"/>
            </w:tcBorders>
            <w:vAlign w:val="center"/>
            <w:hideMark/>
          </w:tcPr>
          <w:p w14:paraId="02EC51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5088062000</w:t>
            </w:r>
          </w:p>
        </w:tc>
        <w:tc>
          <w:tcPr>
            <w:tcW w:w="1012" w:type="dxa"/>
            <w:tcBorders>
              <w:top w:val="nil"/>
              <w:left w:val="nil"/>
              <w:bottom w:val="single" w:sz="4" w:space="0" w:color="auto"/>
              <w:right w:val="single" w:sz="4" w:space="0" w:color="auto"/>
            </w:tcBorders>
            <w:vAlign w:val="center"/>
            <w:hideMark/>
          </w:tcPr>
          <w:p w14:paraId="3EEF4C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11475064</w:t>
            </w:r>
          </w:p>
        </w:tc>
        <w:tc>
          <w:tcPr>
            <w:tcW w:w="5953" w:type="dxa"/>
            <w:tcBorders>
              <w:top w:val="nil"/>
              <w:left w:val="nil"/>
              <w:bottom w:val="single" w:sz="4" w:space="0" w:color="auto"/>
              <w:right w:val="single" w:sz="4" w:space="0" w:color="auto"/>
            </w:tcBorders>
            <w:noWrap/>
            <w:vAlign w:val="center"/>
            <w:hideMark/>
          </w:tcPr>
          <w:p w14:paraId="7D5E40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MOKRONOG</w:t>
            </w:r>
          </w:p>
        </w:tc>
      </w:tr>
      <w:tr w:rsidR="00F24E18" w14:paraId="5AB8F02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8DBC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1370</w:t>
            </w:r>
          </w:p>
        </w:tc>
        <w:tc>
          <w:tcPr>
            <w:tcW w:w="1300" w:type="dxa"/>
            <w:tcBorders>
              <w:top w:val="nil"/>
              <w:left w:val="nil"/>
              <w:bottom w:val="single" w:sz="4" w:space="0" w:color="auto"/>
              <w:right w:val="single" w:sz="4" w:space="0" w:color="auto"/>
            </w:tcBorders>
            <w:noWrap/>
            <w:vAlign w:val="center"/>
            <w:hideMark/>
          </w:tcPr>
          <w:p w14:paraId="257C6C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5088950000</w:t>
            </w:r>
          </w:p>
        </w:tc>
        <w:tc>
          <w:tcPr>
            <w:tcW w:w="1012" w:type="dxa"/>
            <w:tcBorders>
              <w:top w:val="nil"/>
              <w:left w:val="nil"/>
              <w:bottom w:val="single" w:sz="4" w:space="0" w:color="auto"/>
              <w:right w:val="single" w:sz="4" w:space="0" w:color="auto"/>
            </w:tcBorders>
            <w:noWrap/>
            <w:vAlign w:val="center"/>
            <w:hideMark/>
          </w:tcPr>
          <w:p w14:paraId="3160DE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86633619</w:t>
            </w:r>
          </w:p>
        </w:tc>
        <w:tc>
          <w:tcPr>
            <w:tcW w:w="5953" w:type="dxa"/>
            <w:tcBorders>
              <w:top w:val="nil"/>
              <w:left w:val="nil"/>
              <w:bottom w:val="single" w:sz="4" w:space="0" w:color="auto"/>
              <w:right w:val="single" w:sz="4" w:space="0" w:color="auto"/>
            </w:tcBorders>
            <w:noWrap/>
            <w:vAlign w:val="center"/>
            <w:hideMark/>
          </w:tcPr>
          <w:p w14:paraId="6C3224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MOZIRJE</w:t>
            </w:r>
          </w:p>
        </w:tc>
      </w:tr>
      <w:tr w:rsidR="00F24E18" w14:paraId="6F45FF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E111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1371</w:t>
            </w:r>
          </w:p>
        </w:tc>
        <w:tc>
          <w:tcPr>
            <w:tcW w:w="1300" w:type="dxa"/>
            <w:tcBorders>
              <w:top w:val="nil"/>
              <w:left w:val="nil"/>
              <w:bottom w:val="single" w:sz="4" w:space="0" w:color="auto"/>
              <w:right w:val="single" w:sz="4" w:space="0" w:color="auto"/>
            </w:tcBorders>
            <w:vAlign w:val="center"/>
            <w:hideMark/>
          </w:tcPr>
          <w:p w14:paraId="6C5A20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5087287000</w:t>
            </w:r>
          </w:p>
        </w:tc>
        <w:tc>
          <w:tcPr>
            <w:tcW w:w="1012" w:type="dxa"/>
            <w:tcBorders>
              <w:top w:val="nil"/>
              <w:left w:val="nil"/>
              <w:bottom w:val="single" w:sz="4" w:space="0" w:color="auto"/>
              <w:right w:val="single" w:sz="4" w:space="0" w:color="auto"/>
            </w:tcBorders>
            <w:vAlign w:val="center"/>
            <w:hideMark/>
          </w:tcPr>
          <w:p w14:paraId="58AF43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69843716</w:t>
            </w:r>
          </w:p>
        </w:tc>
        <w:tc>
          <w:tcPr>
            <w:tcW w:w="5953" w:type="dxa"/>
            <w:tcBorders>
              <w:top w:val="nil"/>
              <w:left w:val="nil"/>
              <w:bottom w:val="single" w:sz="4" w:space="0" w:color="auto"/>
              <w:right w:val="single" w:sz="4" w:space="0" w:color="auto"/>
            </w:tcBorders>
            <w:noWrap/>
            <w:vAlign w:val="center"/>
            <w:hideMark/>
          </w:tcPr>
          <w:p w14:paraId="56B4C0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MUTA</w:t>
            </w:r>
          </w:p>
        </w:tc>
      </w:tr>
      <w:tr w:rsidR="00F24E18" w14:paraId="42197C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656B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1372</w:t>
            </w:r>
          </w:p>
        </w:tc>
        <w:tc>
          <w:tcPr>
            <w:tcW w:w="1300" w:type="dxa"/>
            <w:tcBorders>
              <w:top w:val="nil"/>
              <w:left w:val="nil"/>
              <w:bottom w:val="single" w:sz="4" w:space="0" w:color="auto"/>
              <w:right w:val="single" w:sz="4" w:space="0" w:color="auto"/>
            </w:tcBorders>
            <w:noWrap/>
            <w:vAlign w:val="center"/>
            <w:hideMark/>
          </w:tcPr>
          <w:p w14:paraId="2CDD5C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5084091000</w:t>
            </w:r>
          </w:p>
        </w:tc>
        <w:tc>
          <w:tcPr>
            <w:tcW w:w="1012" w:type="dxa"/>
            <w:tcBorders>
              <w:top w:val="nil"/>
              <w:left w:val="nil"/>
              <w:bottom w:val="single" w:sz="4" w:space="0" w:color="auto"/>
              <w:right w:val="single" w:sz="4" w:space="0" w:color="auto"/>
            </w:tcBorders>
            <w:noWrap/>
            <w:vAlign w:val="center"/>
            <w:hideMark/>
          </w:tcPr>
          <w:p w14:paraId="4322CF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79338119</w:t>
            </w:r>
          </w:p>
        </w:tc>
        <w:tc>
          <w:tcPr>
            <w:tcW w:w="5953" w:type="dxa"/>
            <w:tcBorders>
              <w:top w:val="nil"/>
              <w:left w:val="nil"/>
              <w:bottom w:val="single" w:sz="4" w:space="0" w:color="auto"/>
              <w:right w:val="single" w:sz="4" w:space="0" w:color="auto"/>
            </w:tcBorders>
            <w:noWrap/>
            <w:vAlign w:val="center"/>
            <w:hideMark/>
          </w:tcPr>
          <w:p w14:paraId="297680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N. H. MAKSA PEČARJA</w:t>
            </w:r>
          </w:p>
        </w:tc>
      </w:tr>
      <w:tr w:rsidR="00F24E18" w14:paraId="7C7CC3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C863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1373</w:t>
            </w:r>
          </w:p>
        </w:tc>
        <w:tc>
          <w:tcPr>
            <w:tcW w:w="1300" w:type="dxa"/>
            <w:tcBorders>
              <w:top w:val="nil"/>
              <w:left w:val="nil"/>
              <w:bottom w:val="single" w:sz="4" w:space="0" w:color="auto"/>
              <w:right w:val="single" w:sz="4" w:space="0" w:color="auto"/>
            </w:tcBorders>
            <w:noWrap/>
            <w:vAlign w:val="center"/>
            <w:hideMark/>
          </w:tcPr>
          <w:p w14:paraId="308BEB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1193830000</w:t>
            </w:r>
          </w:p>
        </w:tc>
        <w:tc>
          <w:tcPr>
            <w:tcW w:w="1012" w:type="dxa"/>
            <w:tcBorders>
              <w:top w:val="nil"/>
              <w:left w:val="nil"/>
              <w:bottom w:val="single" w:sz="4" w:space="0" w:color="auto"/>
              <w:right w:val="single" w:sz="4" w:space="0" w:color="auto"/>
            </w:tcBorders>
            <w:noWrap/>
            <w:vAlign w:val="center"/>
            <w:hideMark/>
          </w:tcPr>
          <w:p w14:paraId="02C9B2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53817753</w:t>
            </w:r>
          </w:p>
        </w:tc>
        <w:tc>
          <w:tcPr>
            <w:tcW w:w="5953" w:type="dxa"/>
            <w:tcBorders>
              <w:top w:val="nil"/>
              <w:left w:val="nil"/>
              <w:bottom w:val="single" w:sz="4" w:space="0" w:color="auto"/>
              <w:right w:val="single" w:sz="4" w:space="0" w:color="auto"/>
            </w:tcBorders>
            <w:noWrap/>
            <w:vAlign w:val="center"/>
            <w:hideMark/>
          </w:tcPr>
          <w:p w14:paraId="0ED0D4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NAKLO</w:t>
            </w:r>
          </w:p>
        </w:tc>
      </w:tr>
      <w:tr w:rsidR="00F24E18" w14:paraId="4A23804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715C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1374</w:t>
            </w:r>
          </w:p>
        </w:tc>
        <w:tc>
          <w:tcPr>
            <w:tcW w:w="1300" w:type="dxa"/>
            <w:tcBorders>
              <w:top w:val="nil"/>
              <w:left w:val="nil"/>
              <w:bottom w:val="single" w:sz="4" w:space="0" w:color="auto"/>
              <w:right w:val="single" w:sz="4" w:space="0" w:color="auto"/>
            </w:tcBorders>
            <w:noWrap/>
            <w:vAlign w:val="center"/>
            <w:hideMark/>
          </w:tcPr>
          <w:p w14:paraId="6CFA6F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5089905000</w:t>
            </w:r>
          </w:p>
        </w:tc>
        <w:tc>
          <w:tcPr>
            <w:tcW w:w="1012" w:type="dxa"/>
            <w:tcBorders>
              <w:top w:val="nil"/>
              <w:left w:val="nil"/>
              <w:bottom w:val="single" w:sz="4" w:space="0" w:color="auto"/>
              <w:right w:val="single" w:sz="4" w:space="0" w:color="auto"/>
            </w:tcBorders>
            <w:noWrap/>
            <w:vAlign w:val="center"/>
            <w:hideMark/>
          </w:tcPr>
          <w:p w14:paraId="5EA61F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90342593</w:t>
            </w:r>
          </w:p>
        </w:tc>
        <w:tc>
          <w:tcPr>
            <w:tcW w:w="5953" w:type="dxa"/>
            <w:tcBorders>
              <w:top w:val="nil"/>
              <w:left w:val="nil"/>
              <w:bottom w:val="single" w:sz="4" w:space="0" w:color="auto"/>
              <w:right w:val="single" w:sz="4" w:space="0" w:color="auto"/>
            </w:tcBorders>
            <w:noWrap/>
            <w:vAlign w:val="center"/>
            <w:hideMark/>
          </w:tcPr>
          <w:p w14:paraId="260FE0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NARODNEGA HEROJA RAJKA HRASTNIK</w:t>
            </w:r>
          </w:p>
        </w:tc>
      </w:tr>
      <w:tr w:rsidR="00F24E18" w14:paraId="62B308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FD53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1375</w:t>
            </w:r>
          </w:p>
        </w:tc>
        <w:tc>
          <w:tcPr>
            <w:tcW w:w="1300" w:type="dxa"/>
            <w:tcBorders>
              <w:top w:val="nil"/>
              <w:left w:val="nil"/>
              <w:bottom w:val="single" w:sz="4" w:space="0" w:color="auto"/>
              <w:right w:val="single" w:sz="4" w:space="0" w:color="auto"/>
            </w:tcBorders>
            <w:noWrap/>
            <w:vAlign w:val="center"/>
            <w:hideMark/>
          </w:tcPr>
          <w:p w14:paraId="6784AC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1253484000</w:t>
            </w:r>
          </w:p>
        </w:tc>
        <w:tc>
          <w:tcPr>
            <w:tcW w:w="1012" w:type="dxa"/>
            <w:tcBorders>
              <w:top w:val="nil"/>
              <w:left w:val="nil"/>
              <w:bottom w:val="single" w:sz="4" w:space="0" w:color="auto"/>
              <w:right w:val="single" w:sz="4" w:space="0" w:color="auto"/>
            </w:tcBorders>
            <w:noWrap/>
            <w:vAlign w:val="center"/>
            <w:hideMark/>
          </w:tcPr>
          <w:p w14:paraId="67E5F9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34152563</w:t>
            </w:r>
          </w:p>
        </w:tc>
        <w:tc>
          <w:tcPr>
            <w:tcW w:w="5953" w:type="dxa"/>
            <w:tcBorders>
              <w:top w:val="nil"/>
              <w:left w:val="nil"/>
              <w:bottom w:val="single" w:sz="4" w:space="0" w:color="auto"/>
              <w:right w:val="single" w:sz="4" w:space="0" w:color="auto"/>
            </w:tcBorders>
            <w:noWrap/>
            <w:vAlign w:val="center"/>
            <w:hideMark/>
          </w:tcPr>
          <w:p w14:paraId="7C9B08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NAZARJE</w:t>
            </w:r>
          </w:p>
        </w:tc>
      </w:tr>
      <w:tr w:rsidR="00F24E18" w14:paraId="43B5BE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524A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1376</w:t>
            </w:r>
          </w:p>
        </w:tc>
        <w:tc>
          <w:tcPr>
            <w:tcW w:w="1300" w:type="dxa"/>
            <w:tcBorders>
              <w:top w:val="nil"/>
              <w:left w:val="nil"/>
              <w:bottom w:val="single" w:sz="4" w:space="0" w:color="auto"/>
              <w:right w:val="single" w:sz="4" w:space="0" w:color="auto"/>
            </w:tcBorders>
            <w:vAlign w:val="center"/>
            <w:hideMark/>
          </w:tcPr>
          <w:p w14:paraId="34FF7E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5082889000</w:t>
            </w:r>
          </w:p>
        </w:tc>
        <w:tc>
          <w:tcPr>
            <w:tcW w:w="1012" w:type="dxa"/>
            <w:tcBorders>
              <w:top w:val="nil"/>
              <w:left w:val="nil"/>
              <w:bottom w:val="single" w:sz="4" w:space="0" w:color="auto"/>
              <w:right w:val="single" w:sz="4" w:space="0" w:color="auto"/>
            </w:tcBorders>
            <w:vAlign w:val="center"/>
            <w:hideMark/>
          </w:tcPr>
          <w:p w14:paraId="48A731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62927892</w:t>
            </w:r>
          </w:p>
        </w:tc>
        <w:tc>
          <w:tcPr>
            <w:tcW w:w="5953" w:type="dxa"/>
            <w:tcBorders>
              <w:top w:val="nil"/>
              <w:left w:val="nil"/>
              <w:bottom w:val="single" w:sz="4" w:space="0" w:color="auto"/>
              <w:right w:val="single" w:sz="4" w:space="0" w:color="auto"/>
            </w:tcBorders>
            <w:noWrap/>
            <w:vAlign w:val="center"/>
            <w:hideMark/>
          </w:tcPr>
          <w:p w14:paraId="511593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NEZNANIH TALCEV DRAVOGRAD</w:t>
            </w:r>
          </w:p>
        </w:tc>
      </w:tr>
      <w:tr w:rsidR="00F24E18" w14:paraId="00D238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6830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1377</w:t>
            </w:r>
          </w:p>
        </w:tc>
        <w:tc>
          <w:tcPr>
            <w:tcW w:w="1300" w:type="dxa"/>
            <w:tcBorders>
              <w:top w:val="nil"/>
              <w:left w:val="nil"/>
              <w:bottom w:val="single" w:sz="4" w:space="0" w:color="auto"/>
              <w:right w:val="single" w:sz="4" w:space="0" w:color="auto"/>
            </w:tcBorders>
            <w:vAlign w:val="center"/>
            <w:hideMark/>
          </w:tcPr>
          <w:p w14:paraId="6E0FEC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5082722000</w:t>
            </w:r>
          </w:p>
        </w:tc>
        <w:tc>
          <w:tcPr>
            <w:tcW w:w="1012" w:type="dxa"/>
            <w:tcBorders>
              <w:top w:val="nil"/>
              <w:left w:val="nil"/>
              <w:bottom w:val="single" w:sz="4" w:space="0" w:color="auto"/>
              <w:right w:val="single" w:sz="4" w:space="0" w:color="auto"/>
            </w:tcBorders>
            <w:vAlign w:val="center"/>
            <w:hideMark/>
          </w:tcPr>
          <w:p w14:paraId="73FB6C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54018471</w:t>
            </w:r>
          </w:p>
        </w:tc>
        <w:tc>
          <w:tcPr>
            <w:tcW w:w="5953" w:type="dxa"/>
            <w:tcBorders>
              <w:top w:val="nil"/>
              <w:left w:val="nil"/>
              <w:bottom w:val="single" w:sz="4" w:space="0" w:color="auto"/>
              <w:right w:val="single" w:sz="4" w:space="0" w:color="auto"/>
            </w:tcBorders>
            <w:noWrap/>
            <w:vAlign w:val="center"/>
            <w:hideMark/>
          </w:tcPr>
          <w:p w14:paraId="0F8BCA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NOTRANJSKI ODRED CERKNICA</w:t>
            </w:r>
          </w:p>
        </w:tc>
      </w:tr>
      <w:tr w:rsidR="00F24E18" w14:paraId="4C5495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CE44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1378</w:t>
            </w:r>
          </w:p>
        </w:tc>
        <w:tc>
          <w:tcPr>
            <w:tcW w:w="1300" w:type="dxa"/>
            <w:tcBorders>
              <w:top w:val="nil"/>
              <w:left w:val="nil"/>
              <w:bottom w:val="single" w:sz="4" w:space="0" w:color="auto"/>
              <w:right w:val="single" w:sz="4" w:space="0" w:color="auto"/>
            </w:tcBorders>
            <w:noWrap/>
            <w:vAlign w:val="center"/>
            <w:hideMark/>
          </w:tcPr>
          <w:p w14:paraId="532E0B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5273935000</w:t>
            </w:r>
          </w:p>
        </w:tc>
        <w:tc>
          <w:tcPr>
            <w:tcW w:w="1012" w:type="dxa"/>
            <w:tcBorders>
              <w:top w:val="nil"/>
              <w:left w:val="nil"/>
              <w:bottom w:val="single" w:sz="4" w:space="0" w:color="auto"/>
              <w:right w:val="single" w:sz="4" w:space="0" w:color="auto"/>
            </w:tcBorders>
            <w:noWrap/>
            <w:vAlign w:val="center"/>
            <w:hideMark/>
          </w:tcPr>
          <w:p w14:paraId="2868D6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15729257</w:t>
            </w:r>
          </w:p>
        </w:tc>
        <w:tc>
          <w:tcPr>
            <w:tcW w:w="5953" w:type="dxa"/>
            <w:tcBorders>
              <w:top w:val="nil"/>
              <w:left w:val="nil"/>
              <w:bottom w:val="single" w:sz="4" w:space="0" w:color="auto"/>
              <w:right w:val="single" w:sz="4" w:space="0" w:color="auto"/>
            </w:tcBorders>
            <w:noWrap/>
            <w:vAlign w:val="center"/>
            <w:hideMark/>
          </w:tcPr>
          <w:p w14:paraId="58E7B6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NOVE JARŠE</w:t>
            </w:r>
          </w:p>
        </w:tc>
      </w:tr>
      <w:tr w:rsidR="00F24E18" w14:paraId="639E1B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057B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1379</w:t>
            </w:r>
          </w:p>
        </w:tc>
        <w:tc>
          <w:tcPr>
            <w:tcW w:w="1300" w:type="dxa"/>
            <w:tcBorders>
              <w:top w:val="nil"/>
              <w:left w:val="nil"/>
              <w:bottom w:val="single" w:sz="4" w:space="0" w:color="auto"/>
              <w:right w:val="single" w:sz="4" w:space="0" w:color="auto"/>
            </w:tcBorders>
            <w:noWrap/>
            <w:vAlign w:val="center"/>
            <w:hideMark/>
          </w:tcPr>
          <w:p w14:paraId="415622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5089441000</w:t>
            </w:r>
          </w:p>
        </w:tc>
        <w:tc>
          <w:tcPr>
            <w:tcW w:w="1012" w:type="dxa"/>
            <w:tcBorders>
              <w:top w:val="nil"/>
              <w:left w:val="nil"/>
              <w:bottom w:val="single" w:sz="4" w:space="0" w:color="auto"/>
              <w:right w:val="single" w:sz="4" w:space="0" w:color="auto"/>
            </w:tcBorders>
            <w:noWrap/>
            <w:vAlign w:val="center"/>
            <w:hideMark/>
          </w:tcPr>
          <w:p w14:paraId="20815F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11833173</w:t>
            </w:r>
          </w:p>
        </w:tc>
        <w:tc>
          <w:tcPr>
            <w:tcW w:w="5953" w:type="dxa"/>
            <w:tcBorders>
              <w:top w:val="nil"/>
              <w:left w:val="nil"/>
              <w:bottom w:val="single" w:sz="4" w:space="0" w:color="auto"/>
              <w:right w:val="single" w:sz="4" w:space="0" w:color="auto"/>
            </w:tcBorders>
            <w:noWrap/>
            <w:vAlign w:val="center"/>
            <w:hideMark/>
          </w:tcPr>
          <w:p w14:paraId="1E349E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OB DRAVINJI</w:t>
            </w:r>
          </w:p>
        </w:tc>
      </w:tr>
      <w:tr w:rsidR="00F24E18" w14:paraId="0E5A8B7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8C0B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1380</w:t>
            </w:r>
          </w:p>
        </w:tc>
        <w:tc>
          <w:tcPr>
            <w:tcW w:w="1300" w:type="dxa"/>
            <w:tcBorders>
              <w:top w:val="nil"/>
              <w:left w:val="nil"/>
              <w:bottom w:val="single" w:sz="4" w:space="0" w:color="auto"/>
              <w:right w:val="single" w:sz="4" w:space="0" w:color="auto"/>
            </w:tcBorders>
            <w:noWrap/>
            <w:vAlign w:val="center"/>
            <w:hideMark/>
          </w:tcPr>
          <w:p w14:paraId="6EABF6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5621712000</w:t>
            </w:r>
          </w:p>
        </w:tc>
        <w:tc>
          <w:tcPr>
            <w:tcW w:w="1012" w:type="dxa"/>
            <w:tcBorders>
              <w:top w:val="nil"/>
              <w:left w:val="nil"/>
              <w:bottom w:val="single" w:sz="4" w:space="0" w:color="auto"/>
              <w:right w:val="single" w:sz="4" w:space="0" w:color="auto"/>
            </w:tcBorders>
            <w:noWrap/>
            <w:vAlign w:val="center"/>
            <w:hideMark/>
          </w:tcPr>
          <w:p w14:paraId="562CE0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90536398</w:t>
            </w:r>
          </w:p>
        </w:tc>
        <w:tc>
          <w:tcPr>
            <w:tcW w:w="5953" w:type="dxa"/>
            <w:tcBorders>
              <w:top w:val="nil"/>
              <w:left w:val="nil"/>
              <w:bottom w:val="single" w:sz="4" w:space="0" w:color="auto"/>
              <w:right w:val="single" w:sz="4" w:space="0" w:color="auto"/>
            </w:tcBorders>
            <w:noWrap/>
            <w:vAlign w:val="center"/>
            <w:hideMark/>
          </w:tcPr>
          <w:p w14:paraId="129C39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OB RINŽI KOČEVJE</w:t>
            </w:r>
          </w:p>
        </w:tc>
      </w:tr>
      <w:tr w:rsidR="00F24E18" w14:paraId="7035DD0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A5D2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1381</w:t>
            </w:r>
          </w:p>
        </w:tc>
        <w:tc>
          <w:tcPr>
            <w:tcW w:w="1300" w:type="dxa"/>
            <w:tcBorders>
              <w:top w:val="nil"/>
              <w:left w:val="nil"/>
              <w:bottom w:val="single" w:sz="4" w:space="0" w:color="auto"/>
              <w:right w:val="single" w:sz="4" w:space="0" w:color="auto"/>
            </w:tcBorders>
            <w:noWrap/>
            <w:vAlign w:val="center"/>
            <w:hideMark/>
          </w:tcPr>
          <w:p w14:paraId="6E991D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5089743000</w:t>
            </w:r>
          </w:p>
        </w:tc>
        <w:tc>
          <w:tcPr>
            <w:tcW w:w="1012" w:type="dxa"/>
            <w:tcBorders>
              <w:top w:val="nil"/>
              <w:left w:val="nil"/>
              <w:bottom w:val="single" w:sz="4" w:space="0" w:color="auto"/>
              <w:right w:val="single" w:sz="4" w:space="0" w:color="auto"/>
            </w:tcBorders>
            <w:noWrap/>
            <w:vAlign w:val="center"/>
            <w:hideMark/>
          </w:tcPr>
          <w:p w14:paraId="031502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21296626</w:t>
            </w:r>
          </w:p>
        </w:tc>
        <w:tc>
          <w:tcPr>
            <w:tcW w:w="5953" w:type="dxa"/>
            <w:tcBorders>
              <w:top w:val="nil"/>
              <w:left w:val="nil"/>
              <w:bottom w:val="single" w:sz="4" w:space="0" w:color="auto"/>
              <w:right w:val="single" w:sz="4" w:space="0" w:color="auto"/>
            </w:tcBorders>
            <w:noWrap/>
            <w:vAlign w:val="center"/>
            <w:hideMark/>
          </w:tcPr>
          <w:p w14:paraId="580C70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ODRANCI</w:t>
            </w:r>
          </w:p>
        </w:tc>
      </w:tr>
      <w:tr w:rsidR="00F24E18" w14:paraId="73E11F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6E4E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1382</w:t>
            </w:r>
          </w:p>
        </w:tc>
        <w:tc>
          <w:tcPr>
            <w:tcW w:w="1300" w:type="dxa"/>
            <w:tcBorders>
              <w:top w:val="nil"/>
              <w:left w:val="nil"/>
              <w:bottom w:val="single" w:sz="4" w:space="0" w:color="auto"/>
              <w:right w:val="single" w:sz="4" w:space="0" w:color="auto"/>
            </w:tcBorders>
            <w:noWrap/>
            <w:vAlign w:val="center"/>
            <w:hideMark/>
          </w:tcPr>
          <w:p w14:paraId="6BCF44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5174309000</w:t>
            </w:r>
          </w:p>
        </w:tc>
        <w:tc>
          <w:tcPr>
            <w:tcW w:w="1012" w:type="dxa"/>
            <w:tcBorders>
              <w:top w:val="nil"/>
              <w:left w:val="nil"/>
              <w:bottom w:val="single" w:sz="4" w:space="0" w:color="auto"/>
              <w:right w:val="single" w:sz="4" w:space="0" w:color="auto"/>
            </w:tcBorders>
            <w:noWrap/>
            <w:vAlign w:val="center"/>
            <w:hideMark/>
          </w:tcPr>
          <w:p w14:paraId="098225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73389439</w:t>
            </w:r>
          </w:p>
        </w:tc>
        <w:tc>
          <w:tcPr>
            <w:tcW w:w="5953" w:type="dxa"/>
            <w:tcBorders>
              <w:top w:val="nil"/>
              <w:left w:val="nil"/>
              <w:bottom w:val="single" w:sz="4" w:space="0" w:color="auto"/>
              <w:right w:val="single" w:sz="4" w:space="0" w:color="auto"/>
            </w:tcBorders>
            <w:noWrap/>
            <w:vAlign w:val="center"/>
            <w:hideMark/>
          </w:tcPr>
          <w:p w14:paraId="60DC06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OLGE MEGLIČ</w:t>
            </w:r>
          </w:p>
        </w:tc>
      </w:tr>
      <w:tr w:rsidR="00F24E18" w14:paraId="5D2666D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9397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1383</w:t>
            </w:r>
          </w:p>
        </w:tc>
        <w:tc>
          <w:tcPr>
            <w:tcW w:w="1300" w:type="dxa"/>
            <w:tcBorders>
              <w:top w:val="nil"/>
              <w:left w:val="nil"/>
              <w:bottom w:val="single" w:sz="4" w:space="0" w:color="auto"/>
              <w:right w:val="single" w:sz="4" w:space="0" w:color="auto"/>
            </w:tcBorders>
            <w:noWrap/>
            <w:vAlign w:val="center"/>
            <w:hideMark/>
          </w:tcPr>
          <w:p w14:paraId="1F25FF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1319841000</w:t>
            </w:r>
          </w:p>
        </w:tc>
        <w:tc>
          <w:tcPr>
            <w:tcW w:w="1012" w:type="dxa"/>
            <w:tcBorders>
              <w:top w:val="nil"/>
              <w:left w:val="nil"/>
              <w:bottom w:val="single" w:sz="4" w:space="0" w:color="auto"/>
              <w:right w:val="single" w:sz="4" w:space="0" w:color="auto"/>
            </w:tcBorders>
            <w:noWrap/>
            <w:vAlign w:val="center"/>
            <w:hideMark/>
          </w:tcPr>
          <w:p w14:paraId="0FC5D5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72290480</w:t>
            </w:r>
          </w:p>
        </w:tc>
        <w:tc>
          <w:tcPr>
            <w:tcW w:w="5953" w:type="dxa"/>
            <w:tcBorders>
              <w:top w:val="nil"/>
              <w:left w:val="nil"/>
              <w:bottom w:val="single" w:sz="4" w:space="0" w:color="auto"/>
              <w:right w:val="single" w:sz="4" w:space="0" w:color="auto"/>
            </w:tcBorders>
            <w:noWrap/>
            <w:vAlign w:val="center"/>
            <w:hideMark/>
          </w:tcPr>
          <w:p w14:paraId="339B05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OREHEK KRANJ</w:t>
            </w:r>
          </w:p>
        </w:tc>
      </w:tr>
      <w:tr w:rsidR="00F24E18" w14:paraId="28B423C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43E4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1384</w:t>
            </w:r>
          </w:p>
        </w:tc>
        <w:tc>
          <w:tcPr>
            <w:tcW w:w="1300" w:type="dxa"/>
            <w:tcBorders>
              <w:top w:val="nil"/>
              <w:left w:val="nil"/>
              <w:bottom w:val="single" w:sz="4" w:space="0" w:color="auto"/>
              <w:right w:val="single" w:sz="4" w:space="0" w:color="auto"/>
            </w:tcBorders>
            <w:noWrap/>
            <w:vAlign w:val="center"/>
            <w:hideMark/>
          </w:tcPr>
          <w:p w14:paraId="38AB7E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5089875000</w:t>
            </w:r>
          </w:p>
        </w:tc>
        <w:tc>
          <w:tcPr>
            <w:tcW w:w="1012" w:type="dxa"/>
            <w:tcBorders>
              <w:top w:val="nil"/>
              <w:left w:val="nil"/>
              <w:bottom w:val="single" w:sz="4" w:space="0" w:color="auto"/>
              <w:right w:val="single" w:sz="4" w:space="0" w:color="auto"/>
            </w:tcBorders>
            <w:noWrap/>
            <w:vAlign w:val="center"/>
            <w:hideMark/>
          </w:tcPr>
          <w:p w14:paraId="262A86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59310197</w:t>
            </w:r>
          </w:p>
        </w:tc>
        <w:tc>
          <w:tcPr>
            <w:tcW w:w="5953" w:type="dxa"/>
            <w:tcBorders>
              <w:top w:val="nil"/>
              <w:left w:val="nil"/>
              <w:bottom w:val="single" w:sz="4" w:space="0" w:color="auto"/>
              <w:right w:val="single" w:sz="4" w:space="0" w:color="auto"/>
            </w:tcBorders>
            <w:noWrap/>
            <w:vAlign w:val="center"/>
            <w:hideMark/>
          </w:tcPr>
          <w:p w14:paraId="486D6B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ORMOŽ</w:t>
            </w:r>
          </w:p>
        </w:tc>
      </w:tr>
      <w:tr w:rsidR="00F24E18" w14:paraId="61F69E4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CCC7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1385</w:t>
            </w:r>
          </w:p>
        </w:tc>
        <w:tc>
          <w:tcPr>
            <w:tcW w:w="1300" w:type="dxa"/>
            <w:tcBorders>
              <w:top w:val="nil"/>
              <w:left w:val="nil"/>
              <w:bottom w:val="single" w:sz="4" w:space="0" w:color="auto"/>
              <w:right w:val="single" w:sz="4" w:space="0" w:color="auto"/>
            </w:tcBorders>
            <w:vAlign w:val="center"/>
            <w:hideMark/>
          </w:tcPr>
          <w:p w14:paraId="481FCC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5088798000</w:t>
            </w:r>
          </w:p>
        </w:tc>
        <w:tc>
          <w:tcPr>
            <w:tcW w:w="1012" w:type="dxa"/>
            <w:tcBorders>
              <w:top w:val="nil"/>
              <w:left w:val="nil"/>
              <w:bottom w:val="single" w:sz="4" w:space="0" w:color="auto"/>
              <w:right w:val="single" w:sz="4" w:space="0" w:color="auto"/>
            </w:tcBorders>
            <w:vAlign w:val="center"/>
            <w:hideMark/>
          </w:tcPr>
          <w:p w14:paraId="0702D9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81115997</w:t>
            </w:r>
          </w:p>
        </w:tc>
        <w:tc>
          <w:tcPr>
            <w:tcW w:w="5953" w:type="dxa"/>
            <w:tcBorders>
              <w:top w:val="nil"/>
              <w:left w:val="nil"/>
              <w:bottom w:val="single" w:sz="4" w:space="0" w:color="auto"/>
              <w:right w:val="single" w:sz="4" w:space="0" w:color="auto"/>
            </w:tcBorders>
            <w:noWrap/>
            <w:vAlign w:val="center"/>
            <w:hideMark/>
          </w:tcPr>
          <w:p w14:paraId="134BE7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OSKARJA KOVAČIČA</w:t>
            </w:r>
          </w:p>
        </w:tc>
      </w:tr>
      <w:tr w:rsidR="00F24E18" w14:paraId="3916BFB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2270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1386</w:t>
            </w:r>
          </w:p>
        </w:tc>
        <w:tc>
          <w:tcPr>
            <w:tcW w:w="1300" w:type="dxa"/>
            <w:tcBorders>
              <w:top w:val="nil"/>
              <w:left w:val="nil"/>
              <w:bottom w:val="single" w:sz="4" w:space="0" w:color="auto"/>
              <w:right w:val="single" w:sz="4" w:space="0" w:color="auto"/>
            </w:tcBorders>
            <w:vAlign w:val="center"/>
            <w:hideMark/>
          </w:tcPr>
          <w:p w14:paraId="3D38D6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5084822000</w:t>
            </w:r>
          </w:p>
        </w:tc>
        <w:tc>
          <w:tcPr>
            <w:tcW w:w="1012" w:type="dxa"/>
            <w:tcBorders>
              <w:top w:val="nil"/>
              <w:left w:val="nil"/>
              <w:bottom w:val="single" w:sz="4" w:space="0" w:color="auto"/>
              <w:right w:val="single" w:sz="4" w:space="0" w:color="auto"/>
            </w:tcBorders>
            <w:vAlign w:val="center"/>
            <w:hideMark/>
          </w:tcPr>
          <w:p w14:paraId="4890E1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39097293</w:t>
            </w:r>
          </w:p>
        </w:tc>
        <w:tc>
          <w:tcPr>
            <w:tcW w:w="5953" w:type="dxa"/>
            <w:tcBorders>
              <w:top w:val="nil"/>
              <w:left w:val="nil"/>
              <w:bottom w:val="single" w:sz="4" w:space="0" w:color="auto"/>
              <w:right w:val="single" w:sz="4" w:space="0" w:color="auto"/>
            </w:tcBorders>
            <w:noWrap/>
            <w:vAlign w:val="center"/>
            <w:hideMark/>
          </w:tcPr>
          <w:p w14:paraId="7925C5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OSKARJA KOVAČIČA ŠKOFIJE</w:t>
            </w:r>
          </w:p>
        </w:tc>
      </w:tr>
      <w:tr w:rsidR="00F24E18" w14:paraId="732F55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C52E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1387</w:t>
            </w:r>
          </w:p>
        </w:tc>
        <w:tc>
          <w:tcPr>
            <w:tcW w:w="1300" w:type="dxa"/>
            <w:tcBorders>
              <w:top w:val="nil"/>
              <w:left w:val="nil"/>
              <w:bottom w:val="single" w:sz="4" w:space="0" w:color="auto"/>
              <w:right w:val="single" w:sz="4" w:space="0" w:color="auto"/>
            </w:tcBorders>
            <w:noWrap/>
            <w:vAlign w:val="center"/>
            <w:hideMark/>
          </w:tcPr>
          <w:p w14:paraId="7F87D5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5082536000</w:t>
            </w:r>
          </w:p>
        </w:tc>
        <w:tc>
          <w:tcPr>
            <w:tcW w:w="1012" w:type="dxa"/>
            <w:tcBorders>
              <w:top w:val="nil"/>
              <w:left w:val="nil"/>
              <w:bottom w:val="single" w:sz="4" w:space="0" w:color="auto"/>
              <w:right w:val="single" w:sz="4" w:space="0" w:color="auto"/>
            </w:tcBorders>
            <w:vAlign w:val="center"/>
            <w:hideMark/>
          </w:tcPr>
          <w:p w14:paraId="190604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65681924</w:t>
            </w:r>
          </w:p>
        </w:tc>
        <w:tc>
          <w:tcPr>
            <w:tcW w:w="5953" w:type="dxa"/>
            <w:tcBorders>
              <w:top w:val="nil"/>
              <w:left w:val="nil"/>
              <w:bottom w:val="single" w:sz="4" w:space="0" w:color="auto"/>
              <w:right w:val="single" w:sz="4" w:space="0" w:color="auto"/>
            </w:tcBorders>
            <w:noWrap/>
            <w:vAlign w:val="center"/>
            <w:hideMark/>
          </w:tcPr>
          <w:p w14:paraId="16D48C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OTLICA</w:t>
            </w:r>
          </w:p>
        </w:tc>
      </w:tr>
      <w:tr w:rsidR="00F24E18" w14:paraId="6E530E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FEAD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1388</w:t>
            </w:r>
          </w:p>
        </w:tc>
        <w:tc>
          <w:tcPr>
            <w:tcW w:w="1300" w:type="dxa"/>
            <w:tcBorders>
              <w:top w:val="nil"/>
              <w:left w:val="nil"/>
              <w:bottom w:val="single" w:sz="4" w:space="0" w:color="auto"/>
              <w:right w:val="single" w:sz="4" w:space="0" w:color="auto"/>
            </w:tcBorders>
            <w:noWrap/>
            <w:vAlign w:val="center"/>
            <w:hideMark/>
          </w:tcPr>
          <w:p w14:paraId="3A5783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5086264000</w:t>
            </w:r>
          </w:p>
        </w:tc>
        <w:tc>
          <w:tcPr>
            <w:tcW w:w="1012" w:type="dxa"/>
            <w:tcBorders>
              <w:top w:val="nil"/>
              <w:left w:val="nil"/>
              <w:bottom w:val="single" w:sz="4" w:space="0" w:color="auto"/>
              <w:right w:val="single" w:sz="4" w:space="0" w:color="auto"/>
            </w:tcBorders>
            <w:noWrap/>
            <w:vAlign w:val="center"/>
            <w:hideMark/>
          </w:tcPr>
          <w:p w14:paraId="4A6098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95753443</w:t>
            </w:r>
          </w:p>
        </w:tc>
        <w:tc>
          <w:tcPr>
            <w:tcW w:w="5953" w:type="dxa"/>
            <w:tcBorders>
              <w:top w:val="nil"/>
              <w:left w:val="nil"/>
              <w:bottom w:val="single" w:sz="4" w:space="0" w:color="auto"/>
              <w:right w:val="single" w:sz="4" w:space="0" w:color="auto"/>
            </w:tcBorders>
            <w:noWrap/>
            <w:vAlign w:val="center"/>
            <w:hideMark/>
          </w:tcPr>
          <w:p w14:paraId="76D542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OTOČEC</w:t>
            </w:r>
          </w:p>
        </w:tc>
      </w:tr>
      <w:tr w:rsidR="00F24E18" w14:paraId="70AB47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5BD1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1389</w:t>
            </w:r>
          </w:p>
        </w:tc>
        <w:tc>
          <w:tcPr>
            <w:tcW w:w="1300" w:type="dxa"/>
            <w:tcBorders>
              <w:top w:val="nil"/>
              <w:left w:val="nil"/>
              <w:bottom w:val="single" w:sz="4" w:space="0" w:color="auto"/>
              <w:right w:val="single" w:sz="4" w:space="0" w:color="auto"/>
            </w:tcBorders>
            <w:noWrap/>
            <w:vAlign w:val="center"/>
            <w:hideMark/>
          </w:tcPr>
          <w:p w14:paraId="7491EC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5012554000</w:t>
            </w:r>
          </w:p>
        </w:tc>
        <w:tc>
          <w:tcPr>
            <w:tcW w:w="1012" w:type="dxa"/>
            <w:tcBorders>
              <w:top w:val="nil"/>
              <w:left w:val="nil"/>
              <w:bottom w:val="single" w:sz="4" w:space="0" w:color="auto"/>
              <w:right w:val="single" w:sz="4" w:space="0" w:color="auto"/>
            </w:tcBorders>
            <w:noWrap/>
            <w:vAlign w:val="center"/>
            <w:hideMark/>
          </w:tcPr>
          <w:p w14:paraId="1D2FD3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29406285</w:t>
            </w:r>
          </w:p>
        </w:tc>
        <w:tc>
          <w:tcPr>
            <w:tcW w:w="5953" w:type="dxa"/>
            <w:tcBorders>
              <w:top w:val="nil"/>
              <w:left w:val="nil"/>
              <w:bottom w:val="single" w:sz="4" w:space="0" w:color="auto"/>
              <w:right w:val="single" w:sz="4" w:space="0" w:color="auto"/>
            </w:tcBorders>
            <w:noWrap/>
            <w:vAlign w:val="center"/>
            <w:hideMark/>
          </w:tcPr>
          <w:p w14:paraId="4EDC33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PARTIZANSKA BOLNIŠNICA JESEN TINJE</w:t>
            </w:r>
          </w:p>
        </w:tc>
      </w:tr>
      <w:tr w:rsidR="00F24E18" w14:paraId="42C13F2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F08A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1390</w:t>
            </w:r>
          </w:p>
        </w:tc>
        <w:tc>
          <w:tcPr>
            <w:tcW w:w="1300" w:type="dxa"/>
            <w:tcBorders>
              <w:top w:val="nil"/>
              <w:left w:val="nil"/>
              <w:bottom w:val="single" w:sz="4" w:space="0" w:color="auto"/>
              <w:right w:val="single" w:sz="4" w:space="0" w:color="auto"/>
            </w:tcBorders>
            <w:noWrap/>
            <w:vAlign w:val="center"/>
            <w:hideMark/>
          </w:tcPr>
          <w:p w14:paraId="280E95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5088569000</w:t>
            </w:r>
          </w:p>
        </w:tc>
        <w:tc>
          <w:tcPr>
            <w:tcW w:w="1012" w:type="dxa"/>
            <w:tcBorders>
              <w:top w:val="nil"/>
              <w:left w:val="nil"/>
              <w:bottom w:val="single" w:sz="4" w:space="0" w:color="auto"/>
              <w:right w:val="single" w:sz="4" w:space="0" w:color="auto"/>
            </w:tcBorders>
            <w:noWrap/>
            <w:vAlign w:val="center"/>
            <w:hideMark/>
          </w:tcPr>
          <w:p w14:paraId="528506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94658609</w:t>
            </w:r>
          </w:p>
        </w:tc>
        <w:tc>
          <w:tcPr>
            <w:tcW w:w="5953" w:type="dxa"/>
            <w:tcBorders>
              <w:top w:val="nil"/>
              <w:left w:val="nil"/>
              <w:bottom w:val="single" w:sz="4" w:space="0" w:color="auto"/>
              <w:right w:val="single" w:sz="4" w:space="0" w:color="auto"/>
            </w:tcBorders>
            <w:noWrap/>
            <w:vAlign w:val="center"/>
            <w:hideMark/>
          </w:tcPr>
          <w:p w14:paraId="54685C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PETROVČE</w:t>
            </w:r>
          </w:p>
        </w:tc>
      </w:tr>
      <w:tr w:rsidR="00F24E18" w14:paraId="686421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A13D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1391</w:t>
            </w:r>
          </w:p>
        </w:tc>
        <w:tc>
          <w:tcPr>
            <w:tcW w:w="1300" w:type="dxa"/>
            <w:tcBorders>
              <w:top w:val="nil"/>
              <w:left w:val="nil"/>
              <w:bottom w:val="single" w:sz="4" w:space="0" w:color="auto"/>
              <w:right w:val="single" w:sz="4" w:space="0" w:color="auto"/>
            </w:tcBorders>
            <w:noWrap/>
            <w:vAlign w:val="center"/>
            <w:hideMark/>
          </w:tcPr>
          <w:p w14:paraId="66BC3C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5084393000</w:t>
            </w:r>
          </w:p>
        </w:tc>
        <w:tc>
          <w:tcPr>
            <w:tcW w:w="1012" w:type="dxa"/>
            <w:tcBorders>
              <w:top w:val="nil"/>
              <w:left w:val="nil"/>
              <w:bottom w:val="single" w:sz="4" w:space="0" w:color="auto"/>
              <w:right w:val="single" w:sz="4" w:space="0" w:color="auto"/>
            </w:tcBorders>
            <w:noWrap/>
            <w:vAlign w:val="center"/>
            <w:hideMark/>
          </w:tcPr>
          <w:p w14:paraId="5E7575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52479668</w:t>
            </w:r>
          </w:p>
        </w:tc>
        <w:tc>
          <w:tcPr>
            <w:tcW w:w="5953" w:type="dxa"/>
            <w:tcBorders>
              <w:top w:val="nil"/>
              <w:left w:val="nil"/>
              <w:bottom w:val="single" w:sz="4" w:space="0" w:color="auto"/>
              <w:right w:val="single" w:sz="4" w:space="0" w:color="auto"/>
            </w:tcBorders>
            <w:noWrap/>
            <w:vAlign w:val="center"/>
            <w:hideMark/>
          </w:tcPr>
          <w:p w14:paraId="5B33AC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PIRNIČE</w:t>
            </w:r>
          </w:p>
        </w:tc>
      </w:tr>
      <w:tr w:rsidR="00F24E18" w14:paraId="0FD6070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64A2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1392</w:t>
            </w:r>
          </w:p>
        </w:tc>
        <w:tc>
          <w:tcPr>
            <w:tcW w:w="1300" w:type="dxa"/>
            <w:tcBorders>
              <w:top w:val="nil"/>
              <w:left w:val="nil"/>
              <w:bottom w:val="single" w:sz="4" w:space="0" w:color="auto"/>
              <w:right w:val="single" w:sz="4" w:space="0" w:color="auto"/>
            </w:tcBorders>
            <w:noWrap/>
            <w:vAlign w:val="center"/>
            <w:hideMark/>
          </w:tcPr>
          <w:p w14:paraId="03BFD0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5089212000</w:t>
            </w:r>
          </w:p>
        </w:tc>
        <w:tc>
          <w:tcPr>
            <w:tcW w:w="1012" w:type="dxa"/>
            <w:tcBorders>
              <w:top w:val="nil"/>
              <w:left w:val="nil"/>
              <w:bottom w:val="single" w:sz="4" w:space="0" w:color="auto"/>
              <w:right w:val="single" w:sz="4" w:space="0" w:color="auto"/>
            </w:tcBorders>
            <w:noWrap/>
            <w:vAlign w:val="center"/>
            <w:hideMark/>
          </w:tcPr>
          <w:p w14:paraId="70AED2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42909872</w:t>
            </w:r>
          </w:p>
        </w:tc>
        <w:tc>
          <w:tcPr>
            <w:tcW w:w="5953" w:type="dxa"/>
            <w:tcBorders>
              <w:top w:val="nil"/>
              <w:left w:val="nil"/>
              <w:bottom w:val="single" w:sz="4" w:space="0" w:color="auto"/>
              <w:right w:val="single" w:sz="4" w:space="0" w:color="auto"/>
            </w:tcBorders>
            <w:noWrap/>
            <w:vAlign w:val="center"/>
            <w:hideMark/>
          </w:tcPr>
          <w:p w14:paraId="7DD92E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PIVKA</w:t>
            </w:r>
          </w:p>
        </w:tc>
      </w:tr>
      <w:tr w:rsidR="00F24E18" w14:paraId="5EF5C2B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D94B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1393</w:t>
            </w:r>
          </w:p>
        </w:tc>
        <w:tc>
          <w:tcPr>
            <w:tcW w:w="1300" w:type="dxa"/>
            <w:tcBorders>
              <w:top w:val="nil"/>
              <w:left w:val="nil"/>
              <w:bottom w:val="single" w:sz="4" w:space="0" w:color="auto"/>
              <w:right w:val="single" w:sz="4" w:space="0" w:color="auto"/>
            </w:tcBorders>
            <w:noWrap/>
            <w:vAlign w:val="center"/>
            <w:hideMark/>
          </w:tcPr>
          <w:p w14:paraId="4B2996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5089450000</w:t>
            </w:r>
          </w:p>
        </w:tc>
        <w:tc>
          <w:tcPr>
            <w:tcW w:w="1012" w:type="dxa"/>
            <w:tcBorders>
              <w:top w:val="nil"/>
              <w:left w:val="nil"/>
              <w:bottom w:val="single" w:sz="4" w:space="0" w:color="auto"/>
              <w:right w:val="single" w:sz="4" w:space="0" w:color="auto"/>
            </w:tcBorders>
            <w:noWrap/>
            <w:vAlign w:val="center"/>
            <w:hideMark/>
          </w:tcPr>
          <w:p w14:paraId="1573C6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18080774</w:t>
            </w:r>
          </w:p>
        </w:tc>
        <w:tc>
          <w:tcPr>
            <w:tcW w:w="5953" w:type="dxa"/>
            <w:tcBorders>
              <w:top w:val="nil"/>
              <w:left w:val="nil"/>
              <w:bottom w:val="single" w:sz="4" w:space="0" w:color="auto"/>
              <w:right w:val="single" w:sz="4" w:space="0" w:color="auto"/>
            </w:tcBorders>
            <w:noWrap/>
            <w:vAlign w:val="center"/>
            <w:hideMark/>
          </w:tcPr>
          <w:p w14:paraId="15A110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PLANINA PRI SEVNICI</w:t>
            </w:r>
          </w:p>
        </w:tc>
      </w:tr>
      <w:tr w:rsidR="00F24E18" w14:paraId="4A9C98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3CE8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1394</w:t>
            </w:r>
          </w:p>
        </w:tc>
        <w:tc>
          <w:tcPr>
            <w:tcW w:w="1300" w:type="dxa"/>
            <w:tcBorders>
              <w:top w:val="nil"/>
              <w:left w:val="nil"/>
              <w:bottom w:val="single" w:sz="4" w:space="0" w:color="auto"/>
              <w:right w:val="single" w:sz="4" w:space="0" w:color="auto"/>
            </w:tcBorders>
            <w:vAlign w:val="center"/>
            <w:hideMark/>
          </w:tcPr>
          <w:p w14:paraId="5CB67B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5087716000</w:t>
            </w:r>
          </w:p>
        </w:tc>
        <w:tc>
          <w:tcPr>
            <w:tcW w:w="1012" w:type="dxa"/>
            <w:tcBorders>
              <w:top w:val="nil"/>
              <w:left w:val="nil"/>
              <w:bottom w:val="single" w:sz="4" w:space="0" w:color="auto"/>
              <w:right w:val="single" w:sz="4" w:space="0" w:color="auto"/>
            </w:tcBorders>
            <w:vAlign w:val="center"/>
            <w:hideMark/>
          </w:tcPr>
          <w:p w14:paraId="5FBF04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67612261</w:t>
            </w:r>
          </w:p>
        </w:tc>
        <w:tc>
          <w:tcPr>
            <w:tcW w:w="5953" w:type="dxa"/>
            <w:tcBorders>
              <w:top w:val="nil"/>
              <w:left w:val="nil"/>
              <w:bottom w:val="single" w:sz="4" w:space="0" w:color="auto"/>
              <w:right w:val="single" w:sz="4" w:space="0" w:color="auto"/>
            </w:tcBorders>
            <w:noWrap/>
            <w:vAlign w:val="center"/>
            <w:hideMark/>
          </w:tcPr>
          <w:p w14:paraId="3E291F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POD GORO</w:t>
            </w:r>
          </w:p>
        </w:tc>
      </w:tr>
      <w:tr w:rsidR="00F24E18" w14:paraId="4639E91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80DF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1395</w:t>
            </w:r>
          </w:p>
        </w:tc>
        <w:tc>
          <w:tcPr>
            <w:tcW w:w="1300" w:type="dxa"/>
            <w:tcBorders>
              <w:top w:val="nil"/>
              <w:left w:val="nil"/>
              <w:bottom w:val="single" w:sz="4" w:space="0" w:color="auto"/>
              <w:right w:val="single" w:sz="4" w:space="0" w:color="auto"/>
            </w:tcBorders>
            <w:noWrap/>
            <w:vAlign w:val="center"/>
            <w:hideMark/>
          </w:tcPr>
          <w:p w14:paraId="0F1A13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5086051000</w:t>
            </w:r>
          </w:p>
        </w:tc>
        <w:tc>
          <w:tcPr>
            <w:tcW w:w="1012" w:type="dxa"/>
            <w:tcBorders>
              <w:top w:val="nil"/>
              <w:left w:val="nil"/>
              <w:bottom w:val="single" w:sz="4" w:space="0" w:color="auto"/>
              <w:right w:val="single" w:sz="4" w:space="0" w:color="auto"/>
            </w:tcBorders>
            <w:noWrap/>
            <w:vAlign w:val="center"/>
            <w:hideMark/>
          </w:tcPr>
          <w:p w14:paraId="765CC9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57625166</w:t>
            </w:r>
          </w:p>
        </w:tc>
        <w:tc>
          <w:tcPr>
            <w:tcW w:w="5953" w:type="dxa"/>
            <w:tcBorders>
              <w:top w:val="nil"/>
              <w:left w:val="nil"/>
              <w:bottom w:val="single" w:sz="4" w:space="0" w:color="auto"/>
              <w:right w:val="single" w:sz="4" w:space="0" w:color="auto"/>
            </w:tcBorders>
            <w:noWrap/>
            <w:vAlign w:val="center"/>
            <w:hideMark/>
          </w:tcPr>
          <w:p w14:paraId="60981A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PODBOČJE</w:t>
            </w:r>
          </w:p>
        </w:tc>
      </w:tr>
      <w:tr w:rsidR="00F24E18" w14:paraId="63A6BB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B0D5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1396</w:t>
            </w:r>
          </w:p>
        </w:tc>
        <w:tc>
          <w:tcPr>
            <w:tcW w:w="1300" w:type="dxa"/>
            <w:tcBorders>
              <w:top w:val="nil"/>
              <w:left w:val="nil"/>
              <w:bottom w:val="single" w:sz="4" w:space="0" w:color="auto"/>
              <w:right w:val="single" w:sz="4" w:space="0" w:color="auto"/>
            </w:tcBorders>
            <w:vAlign w:val="center"/>
            <w:hideMark/>
          </w:tcPr>
          <w:p w14:paraId="38FB72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5087945000</w:t>
            </w:r>
          </w:p>
        </w:tc>
        <w:tc>
          <w:tcPr>
            <w:tcW w:w="1012" w:type="dxa"/>
            <w:tcBorders>
              <w:top w:val="nil"/>
              <w:left w:val="nil"/>
              <w:bottom w:val="single" w:sz="4" w:space="0" w:color="auto"/>
              <w:right w:val="single" w:sz="4" w:space="0" w:color="auto"/>
            </w:tcBorders>
            <w:vAlign w:val="center"/>
            <w:hideMark/>
          </w:tcPr>
          <w:p w14:paraId="216F2F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96126043</w:t>
            </w:r>
          </w:p>
        </w:tc>
        <w:tc>
          <w:tcPr>
            <w:tcW w:w="5953" w:type="dxa"/>
            <w:tcBorders>
              <w:top w:val="nil"/>
              <w:left w:val="nil"/>
              <w:bottom w:val="single" w:sz="4" w:space="0" w:color="auto"/>
              <w:right w:val="single" w:sz="4" w:space="0" w:color="auto"/>
            </w:tcBorders>
            <w:noWrap/>
            <w:vAlign w:val="center"/>
            <w:hideMark/>
          </w:tcPr>
          <w:p w14:paraId="41909B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PODČETRTEK</w:t>
            </w:r>
          </w:p>
        </w:tc>
      </w:tr>
      <w:tr w:rsidR="00F24E18" w14:paraId="0B0186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8150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1397</w:t>
            </w:r>
          </w:p>
        </w:tc>
        <w:tc>
          <w:tcPr>
            <w:tcW w:w="1300" w:type="dxa"/>
            <w:tcBorders>
              <w:top w:val="nil"/>
              <w:left w:val="nil"/>
              <w:bottom w:val="single" w:sz="4" w:space="0" w:color="auto"/>
              <w:right w:val="single" w:sz="4" w:space="0" w:color="auto"/>
            </w:tcBorders>
            <w:noWrap/>
            <w:vAlign w:val="center"/>
            <w:hideMark/>
          </w:tcPr>
          <w:p w14:paraId="11EF4C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5086019000</w:t>
            </w:r>
          </w:p>
        </w:tc>
        <w:tc>
          <w:tcPr>
            <w:tcW w:w="1012" w:type="dxa"/>
            <w:tcBorders>
              <w:top w:val="nil"/>
              <w:left w:val="nil"/>
              <w:bottom w:val="single" w:sz="4" w:space="0" w:color="auto"/>
              <w:right w:val="single" w:sz="4" w:space="0" w:color="auto"/>
            </w:tcBorders>
            <w:noWrap/>
            <w:vAlign w:val="center"/>
            <w:hideMark/>
          </w:tcPr>
          <w:p w14:paraId="246095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12391263</w:t>
            </w:r>
          </w:p>
        </w:tc>
        <w:tc>
          <w:tcPr>
            <w:tcW w:w="5953" w:type="dxa"/>
            <w:tcBorders>
              <w:top w:val="nil"/>
              <w:left w:val="nil"/>
              <w:bottom w:val="single" w:sz="4" w:space="0" w:color="auto"/>
              <w:right w:val="single" w:sz="4" w:space="0" w:color="auto"/>
            </w:tcBorders>
            <w:noWrap/>
            <w:vAlign w:val="center"/>
            <w:hideMark/>
          </w:tcPr>
          <w:p w14:paraId="2848C6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PODGORA KUTEŽEVO</w:t>
            </w:r>
          </w:p>
        </w:tc>
      </w:tr>
      <w:tr w:rsidR="00F24E18" w14:paraId="2FF489D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9810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1398</w:t>
            </w:r>
          </w:p>
        </w:tc>
        <w:tc>
          <w:tcPr>
            <w:tcW w:w="1300" w:type="dxa"/>
            <w:tcBorders>
              <w:top w:val="nil"/>
              <w:left w:val="nil"/>
              <w:bottom w:val="single" w:sz="4" w:space="0" w:color="auto"/>
              <w:right w:val="single" w:sz="4" w:space="0" w:color="auto"/>
            </w:tcBorders>
            <w:noWrap/>
            <w:vAlign w:val="center"/>
            <w:hideMark/>
          </w:tcPr>
          <w:p w14:paraId="68ACE3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5087597000</w:t>
            </w:r>
          </w:p>
        </w:tc>
        <w:tc>
          <w:tcPr>
            <w:tcW w:w="1012" w:type="dxa"/>
            <w:tcBorders>
              <w:top w:val="nil"/>
              <w:left w:val="nil"/>
              <w:bottom w:val="single" w:sz="4" w:space="0" w:color="auto"/>
              <w:right w:val="single" w:sz="4" w:space="0" w:color="auto"/>
            </w:tcBorders>
            <w:vAlign w:val="center"/>
            <w:hideMark/>
          </w:tcPr>
          <w:p w14:paraId="4B9897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93058187</w:t>
            </w:r>
          </w:p>
        </w:tc>
        <w:tc>
          <w:tcPr>
            <w:tcW w:w="5953" w:type="dxa"/>
            <w:tcBorders>
              <w:top w:val="nil"/>
              <w:left w:val="nil"/>
              <w:bottom w:val="single" w:sz="4" w:space="0" w:color="auto"/>
              <w:right w:val="single" w:sz="4" w:space="0" w:color="auto"/>
            </w:tcBorders>
            <w:noWrap/>
            <w:vAlign w:val="center"/>
            <w:hideMark/>
          </w:tcPr>
          <w:p w14:paraId="380842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PODGORJE PRI SLOVENJ GRADCU</w:t>
            </w:r>
          </w:p>
        </w:tc>
      </w:tr>
      <w:tr w:rsidR="00F24E18" w14:paraId="1B54FC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583C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1399</w:t>
            </w:r>
          </w:p>
        </w:tc>
        <w:tc>
          <w:tcPr>
            <w:tcW w:w="1300" w:type="dxa"/>
            <w:tcBorders>
              <w:top w:val="nil"/>
              <w:left w:val="nil"/>
              <w:bottom w:val="single" w:sz="4" w:space="0" w:color="auto"/>
              <w:right w:val="single" w:sz="4" w:space="0" w:color="auto"/>
            </w:tcBorders>
            <w:noWrap/>
            <w:vAlign w:val="center"/>
            <w:hideMark/>
          </w:tcPr>
          <w:p w14:paraId="7B195D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5087112000</w:t>
            </w:r>
          </w:p>
        </w:tc>
        <w:tc>
          <w:tcPr>
            <w:tcW w:w="1012" w:type="dxa"/>
            <w:tcBorders>
              <w:top w:val="nil"/>
              <w:left w:val="nil"/>
              <w:bottom w:val="single" w:sz="4" w:space="0" w:color="auto"/>
              <w:right w:val="single" w:sz="4" w:space="0" w:color="auto"/>
            </w:tcBorders>
            <w:noWrap/>
            <w:vAlign w:val="center"/>
            <w:hideMark/>
          </w:tcPr>
          <w:p w14:paraId="1737E4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88073106</w:t>
            </w:r>
          </w:p>
        </w:tc>
        <w:tc>
          <w:tcPr>
            <w:tcW w:w="5953" w:type="dxa"/>
            <w:tcBorders>
              <w:top w:val="nil"/>
              <w:left w:val="nil"/>
              <w:bottom w:val="single" w:sz="4" w:space="0" w:color="auto"/>
              <w:right w:val="single" w:sz="4" w:space="0" w:color="auto"/>
            </w:tcBorders>
            <w:noWrap/>
            <w:vAlign w:val="center"/>
            <w:hideMark/>
          </w:tcPr>
          <w:p w14:paraId="56371C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PODLEHNIK</w:t>
            </w:r>
          </w:p>
        </w:tc>
      </w:tr>
      <w:tr w:rsidR="00F24E18" w14:paraId="626855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54B1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1400</w:t>
            </w:r>
          </w:p>
        </w:tc>
        <w:tc>
          <w:tcPr>
            <w:tcW w:w="1300" w:type="dxa"/>
            <w:tcBorders>
              <w:top w:val="nil"/>
              <w:left w:val="nil"/>
              <w:bottom w:val="single" w:sz="4" w:space="0" w:color="auto"/>
              <w:right w:val="single" w:sz="4" w:space="0" w:color="auto"/>
            </w:tcBorders>
            <w:noWrap/>
            <w:vAlign w:val="center"/>
            <w:hideMark/>
          </w:tcPr>
          <w:p w14:paraId="1A30B7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5085543000</w:t>
            </w:r>
          </w:p>
        </w:tc>
        <w:tc>
          <w:tcPr>
            <w:tcW w:w="1012" w:type="dxa"/>
            <w:tcBorders>
              <w:top w:val="nil"/>
              <w:left w:val="nil"/>
              <w:bottom w:val="single" w:sz="4" w:space="0" w:color="auto"/>
              <w:right w:val="single" w:sz="4" w:space="0" w:color="auto"/>
            </w:tcBorders>
            <w:noWrap/>
            <w:vAlign w:val="center"/>
            <w:hideMark/>
          </w:tcPr>
          <w:p w14:paraId="5A0BD7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68512902</w:t>
            </w:r>
          </w:p>
        </w:tc>
        <w:tc>
          <w:tcPr>
            <w:tcW w:w="5953" w:type="dxa"/>
            <w:tcBorders>
              <w:top w:val="nil"/>
              <w:left w:val="nil"/>
              <w:bottom w:val="single" w:sz="4" w:space="0" w:color="auto"/>
              <w:right w:val="single" w:sz="4" w:space="0" w:color="auto"/>
            </w:tcBorders>
            <w:noWrap/>
            <w:vAlign w:val="center"/>
            <w:hideMark/>
          </w:tcPr>
          <w:p w14:paraId="13453E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PODZEMELJ</w:t>
            </w:r>
          </w:p>
        </w:tc>
      </w:tr>
      <w:tr w:rsidR="00F24E18" w14:paraId="632D07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AA9E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1401</w:t>
            </w:r>
          </w:p>
        </w:tc>
        <w:tc>
          <w:tcPr>
            <w:tcW w:w="1300" w:type="dxa"/>
            <w:tcBorders>
              <w:top w:val="nil"/>
              <w:left w:val="nil"/>
              <w:bottom w:val="single" w:sz="4" w:space="0" w:color="auto"/>
              <w:right w:val="single" w:sz="4" w:space="0" w:color="auto"/>
            </w:tcBorders>
            <w:noWrap/>
            <w:vAlign w:val="center"/>
            <w:hideMark/>
          </w:tcPr>
          <w:p w14:paraId="478A46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5087660000</w:t>
            </w:r>
          </w:p>
        </w:tc>
        <w:tc>
          <w:tcPr>
            <w:tcW w:w="1012" w:type="dxa"/>
            <w:tcBorders>
              <w:top w:val="nil"/>
              <w:left w:val="nil"/>
              <w:bottom w:val="single" w:sz="4" w:space="0" w:color="auto"/>
              <w:right w:val="single" w:sz="4" w:space="0" w:color="auto"/>
            </w:tcBorders>
            <w:noWrap/>
            <w:vAlign w:val="center"/>
            <w:hideMark/>
          </w:tcPr>
          <w:p w14:paraId="1EC177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12215279</w:t>
            </w:r>
          </w:p>
        </w:tc>
        <w:tc>
          <w:tcPr>
            <w:tcW w:w="5953" w:type="dxa"/>
            <w:tcBorders>
              <w:top w:val="nil"/>
              <w:left w:val="nil"/>
              <w:bottom w:val="single" w:sz="4" w:space="0" w:color="auto"/>
              <w:right w:val="single" w:sz="4" w:space="0" w:color="auto"/>
            </w:tcBorders>
            <w:noWrap/>
            <w:vAlign w:val="center"/>
            <w:hideMark/>
          </w:tcPr>
          <w:p w14:paraId="7F07A4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POHORSKEGA BATALJONA OPLOTNICA</w:t>
            </w:r>
          </w:p>
        </w:tc>
      </w:tr>
      <w:tr w:rsidR="00F24E18" w14:paraId="1F0E14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8FFF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1402</w:t>
            </w:r>
          </w:p>
        </w:tc>
        <w:tc>
          <w:tcPr>
            <w:tcW w:w="1300" w:type="dxa"/>
            <w:tcBorders>
              <w:top w:val="nil"/>
              <w:left w:val="nil"/>
              <w:bottom w:val="single" w:sz="4" w:space="0" w:color="auto"/>
              <w:right w:val="single" w:sz="4" w:space="0" w:color="auto"/>
            </w:tcBorders>
            <w:vAlign w:val="center"/>
            <w:hideMark/>
          </w:tcPr>
          <w:p w14:paraId="1C4545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5087686000</w:t>
            </w:r>
          </w:p>
        </w:tc>
        <w:tc>
          <w:tcPr>
            <w:tcW w:w="1012" w:type="dxa"/>
            <w:tcBorders>
              <w:top w:val="nil"/>
              <w:left w:val="nil"/>
              <w:bottom w:val="single" w:sz="4" w:space="0" w:color="auto"/>
              <w:right w:val="single" w:sz="4" w:space="0" w:color="auto"/>
            </w:tcBorders>
            <w:vAlign w:val="center"/>
            <w:hideMark/>
          </w:tcPr>
          <w:p w14:paraId="287E31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48238112</w:t>
            </w:r>
          </w:p>
        </w:tc>
        <w:tc>
          <w:tcPr>
            <w:tcW w:w="5953" w:type="dxa"/>
            <w:tcBorders>
              <w:top w:val="nil"/>
              <w:left w:val="nil"/>
              <w:bottom w:val="single" w:sz="4" w:space="0" w:color="auto"/>
              <w:right w:val="single" w:sz="4" w:space="0" w:color="auto"/>
            </w:tcBorders>
            <w:noWrap/>
            <w:vAlign w:val="center"/>
            <w:hideMark/>
          </w:tcPr>
          <w:p w14:paraId="0C4DC8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POHORSKEGA ODREDA SLOVENSKA BISTRICA</w:t>
            </w:r>
          </w:p>
        </w:tc>
      </w:tr>
      <w:tr w:rsidR="00F24E18" w14:paraId="23B798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4585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1403</w:t>
            </w:r>
          </w:p>
        </w:tc>
        <w:tc>
          <w:tcPr>
            <w:tcW w:w="1300" w:type="dxa"/>
            <w:tcBorders>
              <w:top w:val="nil"/>
              <w:left w:val="nil"/>
              <w:bottom w:val="single" w:sz="4" w:space="0" w:color="auto"/>
              <w:right w:val="single" w:sz="4" w:space="0" w:color="auto"/>
            </w:tcBorders>
            <w:vAlign w:val="center"/>
            <w:hideMark/>
          </w:tcPr>
          <w:p w14:paraId="580F97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5084466000</w:t>
            </w:r>
          </w:p>
        </w:tc>
        <w:tc>
          <w:tcPr>
            <w:tcW w:w="1012" w:type="dxa"/>
            <w:tcBorders>
              <w:top w:val="nil"/>
              <w:left w:val="nil"/>
              <w:bottom w:val="single" w:sz="4" w:space="0" w:color="auto"/>
              <w:right w:val="single" w:sz="4" w:space="0" w:color="auto"/>
            </w:tcBorders>
            <w:vAlign w:val="center"/>
            <w:hideMark/>
          </w:tcPr>
          <w:p w14:paraId="6939A2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36290530</w:t>
            </w:r>
          </w:p>
        </w:tc>
        <w:tc>
          <w:tcPr>
            <w:tcW w:w="5953" w:type="dxa"/>
            <w:tcBorders>
              <w:top w:val="nil"/>
              <w:left w:val="nil"/>
              <w:bottom w:val="single" w:sz="4" w:space="0" w:color="auto"/>
              <w:right w:val="single" w:sz="4" w:space="0" w:color="auto"/>
            </w:tcBorders>
            <w:noWrap/>
            <w:vAlign w:val="center"/>
            <w:hideMark/>
          </w:tcPr>
          <w:p w14:paraId="631B27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POLHOV GRADEC</w:t>
            </w:r>
          </w:p>
        </w:tc>
      </w:tr>
      <w:tr w:rsidR="00F24E18" w14:paraId="711610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60D1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1404</w:t>
            </w:r>
          </w:p>
        </w:tc>
        <w:tc>
          <w:tcPr>
            <w:tcW w:w="1300" w:type="dxa"/>
            <w:tcBorders>
              <w:top w:val="nil"/>
              <w:left w:val="nil"/>
              <w:bottom w:val="single" w:sz="4" w:space="0" w:color="auto"/>
              <w:right w:val="single" w:sz="4" w:space="0" w:color="auto"/>
            </w:tcBorders>
            <w:noWrap/>
            <w:vAlign w:val="center"/>
            <w:hideMark/>
          </w:tcPr>
          <w:p w14:paraId="7E4EB4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1199498000</w:t>
            </w:r>
          </w:p>
        </w:tc>
        <w:tc>
          <w:tcPr>
            <w:tcW w:w="1012" w:type="dxa"/>
            <w:tcBorders>
              <w:top w:val="nil"/>
              <w:left w:val="nil"/>
              <w:bottom w:val="single" w:sz="4" w:space="0" w:color="auto"/>
              <w:right w:val="single" w:sz="4" w:space="0" w:color="auto"/>
            </w:tcBorders>
            <w:noWrap/>
            <w:vAlign w:val="center"/>
            <w:hideMark/>
          </w:tcPr>
          <w:p w14:paraId="2C72B9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95058354</w:t>
            </w:r>
          </w:p>
        </w:tc>
        <w:tc>
          <w:tcPr>
            <w:tcW w:w="5953" w:type="dxa"/>
            <w:tcBorders>
              <w:top w:val="nil"/>
              <w:left w:val="nil"/>
              <w:bottom w:val="single" w:sz="4" w:space="0" w:color="auto"/>
              <w:right w:val="single" w:sz="4" w:space="0" w:color="auto"/>
            </w:tcBorders>
            <w:noWrap/>
            <w:vAlign w:val="center"/>
            <w:hideMark/>
          </w:tcPr>
          <w:p w14:paraId="484744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POLJANE, 4223 POLJANE</w:t>
            </w:r>
          </w:p>
        </w:tc>
      </w:tr>
      <w:tr w:rsidR="00F24E18" w14:paraId="1B58BD2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8D90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1405</w:t>
            </w:r>
          </w:p>
        </w:tc>
        <w:tc>
          <w:tcPr>
            <w:tcW w:w="1300" w:type="dxa"/>
            <w:tcBorders>
              <w:top w:val="nil"/>
              <w:left w:val="nil"/>
              <w:bottom w:val="single" w:sz="4" w:space="0" w:color="auto"/>
              <w:right w:val="single" w:sz="4" w:space="0" w:color="auto"/>
            </w:tcBorders>
            <w:vAlign w:val="center"/>
            <w:hideMark/>
          </w:tcPr>
          <w:p w14:paraId="2FF54C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5088500000</w:t>
            </w:r>
          </w:p>
        </w:tc>
        <w:tc>
          <w:tcPr>
            <w:tcW w:w="1012" w:type="dxa"/>
            <w:tcBorders>
              <w:top w:val="nil"/>
              <w:left w:val="nil"/>
              <w:bottom w:val="single" w:sz="4" w:space="0" w:color="auto"/>
              <w:right w:val="single" w:sz="4" w:space="0" w:color="auto"/>
            </w:tcBorders>
            <w:vAlign w:val="center"/>
            <w:hideMark/>
          </w:tcPr>
          <w:p w14:paraId="708259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33941688</w:t>
            </w:r>
          </w:p>
        </w:tc>
        <w:tc>
          <w:tcPr>
            <w:tcW w:w="5953" w:type="dxa"/>
            <w:tcBorders>
              <w:top w:val="nil"/>
              <w:left w:val="nil"/>
              <w:bottom w:val="single" w:sz="4" w:space="0" w:color="auto"/>
              <w:right w:val="single" w:sz="4" w:space="0" w:color="auto"/>
            </w:tcBorders>
            <w:noWrap/>
            <w:vAlign w:val="center"/>
            <w:hideMark/>
          </w:tcPr>
          <w:p w14:paraId="539F24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POLZELA</w:t>
            </w:r>
          </w:p>
        </w:tc>
      </w:tr>
      <w:tr w:rsidR="00F24E18" w14:paraId="741816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5DD4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1406</w:t>
            </w:r>
          </w:p>
        </w:tc>
        <w:tc>
          <w:tcPr>
            <w:tcW w:w="1300" w:type="dxa"/>
            <w:tcBorders>
              <w:top w:val="nil"/>
              <w:left w:val="nil"/>
              <w:bottom w:val="single" w:sz="4" w:space="0" w:color="auto"/>
              <w:right w:val="single" w:sz="4" w:space="0" w:color="auto"/>
            </w:tcBorders>
            <w:vAlign w:val="center"/>
            <w:hideMark/>
          </w:tcPr>
          <w:p w14:paraId="489B7C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5088518000</w:t>
            </w:r>
          </w:p>
        </w:tc>
        <w:tc>
          <w:tcPr>
            <w:tcW w:w="1012" w:type="dxa"/>
            <w:tcBorders>
              <w:top w:val="nil"/>
              <w:left w:val="nil"/>
              <w:bottom w:val="single" w:sz="4" w:space="0" w:color="auto"/>
              <w:right w:val="single" w:sz="4" w:space="0" w:color="auto"/>
            </w:tcBorders>
            <w:vAlign w:val="center"/>
            <w:hideMark/>
          </w:tcPr>
          <w:p w14:paraId="100580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81995270</w:t>
            </w:r>
          </w:p>
        </w:tc>
        <w:tc>
          <w:tcPr>
            <w:tcW w:w="5953" w:type="dxa"/>
            <w:tcBorders>
              <w:top w:val="nil"/>
              <w:left w:val="nil"/>
              <w:bottom w:val="single" w:sz="4" w:space="0" w:color="auto"/>
              <w:right w:val="single" w:sz="4" w:space="0" w:color="auto"/>
            </w:tcBorders>
            <w:noWrap/>
            <w:vAlign w:val="center"/>
            <w:hideMark/>
          </w:tcPr>
          <w:p w14:paraId="3E2D8A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PREBOLD</w:t>
            </w:r>
          </w:p>
        </w:tc>
      </w:tr>
      <w:tr w:rsidR="00F24E18" w14:paraId="7F3E38B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1AC3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1407</w:t>
            </w:r>
          </w:p>
        </w:tc>
        <w:tc>
          <w:tcPr>
            <w:tcW w:w="1300" w:type="dxa"/>
            <w:tcBorders>
              <w:top w:val="nil"/>
              <w:left w:val="nil"/>
              <w:bottom w:val="single" w:sz="4" w:space="0" w:color="auto"/>
              <w:right w:val="single" w:sz="4" w:space="0" w:color="auto"/>
            </w:tcBorders>
            <w:noWrap/>
            <w:vAlign w:val="center"/>
            <w:hideMark/>
          </w:tcPr>
          <w:p w14:paraId="2CD4C4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5083222000</w:t>
            </w:r>
          </w:p>
        </w:tc>
        <w:tc>
          <w:tcPr>
            <w:tcW w:w="1012" w:type="dxa"/>
            <w:tcBorders>
              <w:top w:val="nil"/>
              <w:left w:val="nil"/>
              <w:bottom w:val="single" w:sz="4" w:space="0" w:color="auto"/>
              <w:right w:val="single" w:sz="4" w:space="0" w:color="auto"/>
            </w:tcBorders>
            <w:vAlign w:val="center"/>
            <w:hideMark/>
          </w:tcPr>
          <w:p w14:paraId="799509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53580664</w:t>
            </w:r>
          </w:p>
        </w:tc>
        <w:tc>
          <w:tcPr>
            <w:tcW w:w="5953" w:type="dxa"/>
            <w:tcBorders>
              <w:top w:val="nil"/>
              <w:left w:val="nil"/>
              <w:bottom w:val="single" w:sz="4" w:space="0" w:color="auto"/>
              <w:right w:val="single" w:sz="4" w:space="0" w:color="auto"/>
            </w:tcBorders>
            <w:noWrap/>
            <w:vAlign w:val="center"/>
            <w:hideMark/>
          </w:tcPr>
          <w:p w14:paraId="6590CE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PREDOSLJE KRANJ</w:t>
            </w:r>
          </w:p>
        </w:tc>
      </w:tr>
      <w:tr w:rsidR="00F24E18" w14:paraId="41C995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12BC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1408</w:t>
            </w:r>
          </w:p>
        </w:tc>
        <w:tc>
          <w:tcPr>
            <w:tcW w:w="1300" w:type="dxa"/>
            <w:tcBorders>
              <w:top w:val="nil"/>
              <w:left w:val="nil"/>
              <w:bottom w:val="single" w:sz="4" w:space="0" w:color="auto"/>
              <w:right w:val="single" w:sz="4" w:space="0" w:color="auto"/>
            </w:tcBorders>
            <w:vAlign w:val="center"/>
            <w:hideMark/>
          </w:tcPr>
          <w:p w14:paraId="16E26C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5084741000</w:t>
            </w:r>
          </w:p>
        </w:tc>
        <w:tc>
          <w:tcPr>
            <w:tcW w:w="1012" w:type="dxa"/>
            <w:tcBorders>
              <w:top w:val="nil"/>
              <w:left w:val="nil"/>
              <w:bottom w:val="single" w:sz="4" w:space="0" w:color="auto"/>
              <w:right w:val="single" w:sz="4" w:space="0" w:color="auto"/>
            </w:tcBorders>
            <w:vAlign w:val="center"/>
            <w:hideMark/>
          </w:tcPr>
          <w:p w14:paraId="077B7E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68428120</w:t>
            </w:r>
          </w:p>
        </w:tc>
        <w:tc>
          <w:tcPr>
            <w:tcW w:w="5953" w:type="dxa"/>
            <w:tcBorders>
              <w:top w:val="nil"/>
              <w:left w:val="nil"/>
              <w:bottom w:val="single" w:sz="4" w:space="0" w:color="auto"/>
              <w:right w:val="single" w:sz="4" w:space="0" w:color="auto"/>
            </w:tcBorders>
            <w:noWrap/>
            <w:vAlign w:val="center"/>
            <w:hideMark/>
          </w:tcPr>
          <w:p w14:paraId="27B0B9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PRESERJE PRI RADOMLJAH</w:t>
            </w:r>
          </w:p>
        </w:tc>
      </w:tr>
      <w:tr w:rsidR="00F24E18" w14:paraId="6EF5079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6ECC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1409</w:t>
            </w:r>
          </w:p>
        </w:tc>
        <w:tc>
          <w:tcPr>
            <w:tcW w:w="1300" w:type="dxa"/>
            <w:tcBorders>
              <w:top w:val="nil"/>
              <w:left w:val="nil"/>
              <w:bottom w:val="single" w:sz="4" w:space="0" w:color="auto"/>
              <w:right w:val="single" w:sz="4" w:space="0" w:color="auto"/>
            </w:tcBorders>
            <w:noWrap/>
            <w:vAlign w:val="center"/>
            <w:hideMark/>
          </w:tcPr>
          <w:p w14:paraId="4EAB22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5084334000</w:t>
            </w:r>
          </w:p>
        </w:tc>
        <w:tc>
          <w:tcPr>
            <w:tcW w:w="1012" w:type="dxa"/>
            <w:tcBorders>
              <w:top w:val="nil"/>
              <w:left w:val="nil"/>
              <w:bottom w:val="single" w:sz="4" w:space="0" w:color="auto"/>
              <w:right w:val="single" w:sz="4" w:space="0" w:color="auto"/>
            </w:tcBorders>
            <w:noWrap/>
            <w:vAlign w:val="center"/>
            <w:hideMark/>
          </w:tcPr>
          <w:p w14:paraId="1667E4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34416170</w:t>
            </w:r>
          </w:p>
        </w:tc>
        <w:tc>
          <w:tcPr>
            <w:tcW w:w="5953" w:type="dxa"/>
            <w:tcBorders>
              <w:top w:val="nil"/>
              <w:left w:val="nil"/>
              <w:bottom w:val="single" w:sz="4" w:space="0" w:color="auto"/>
              <w:right w:val="single" w:sz="4" w:space="0" w:color="auto"/>
            </w:tcBorders>
            <w:noWrap/>
            <w:vAlign w:val="center"/>
            <w:hideMark/>
          </w:tcPr>
          <w:p w14:paraId="2AADF7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PRESKA</w:t>
            </w:r>
          </w:p>
        </w:tc>
      </w:tr>
      <w:tr w:rsidR="00F24E18" w14:paraId="2E7AF6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30CB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1410</w:t>
            </w:r>
          </w:p>
        </w:tc>
        <w:tc>
          <w:tcPr>
            <w:tcW w:w="1300" w:type="dxa"/>
            <w:tcBorders>
              <w:top w:val="nil"/>
              <w:left w:val="nil"/>
              <w:bottom w:val="single" w:sz="4" w:space="0" w:color="auto"/>
              <w:right w:val="single" w:sz="4" w:space="0" w:color="auto"/>
            </w:tcBorders>
            <w:noWrap/>
            <w:vAlign w:val="center"/>
            <w:hideMark/>
          </w:tcPr>
          <w:p w14:paraId="6FF514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5086949000</w:t>
            </w:r>
          </w:p>
        </w:tc>
        <w:tc>
          <w:tcPr>
            <w:tcW w:w="1012" w:type="dxa"/>
            <w:tcBorders>
              <w:top w:val="nil"/>
              <w:left w:val="nil"/>
              <w:bottom w:val="single" w:sz="4" w:space="0" w:color="auto"/>
              <w:right w:val="single" w:sz="4" w:space="0" w:color="auto"/>
            </w:tcBorders>
            <w:noWrap/>
            <w:vAlign w:val="center"/>
            <w:hideMark/>
          </w:tcPr>
          <w:p w14:paraId="281036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98956574</w:t>
            </w:r>
          </w:p>
        </w:tc>
        <w:tc>
          <w:tcPr>
            <w:tcW w:w="5953" w:type="dxa"/>
            <w:tcBorders>
              <w:top w:val="nil"/>
              <w:left w:val="nil"/>
              <w:bottom w:val="single" w:sz="4" w:space="0" w:color="auto"/>
              <w:right w:val="single" w:sz="4" w:space="0" w:color="auto"/>
            </w:tcBorders>
            <w:noWrap/>
            <w:vAlign w:val="center"/>
            <w:hideMark/>
          </w:tcPr>
          <w:p w14:paraId="11135A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PRESTRANEK</w:t>
            </w:r>
          </w:p>
        </w:tc>
      </w:tr>
      <w:tr w:rsidR="00F24E18" w14:paraId="04EAF6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482E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1411</w:t>
            </w:r>
          </w:p>
        </w:tc>
        <w:tc>
          <w:tcPr>
            <w:tcW w:w="1300" w:type="dxa"/>
            <w:tcBorders>
              <w:top w:val="nil"/>
              <w:left w:val="nil"/>
              <w:bottom w:val="single" w:sz="4" w:space="0" w:color="auto"/>
              <w:right w:val="single" w:sz="4" w:space="0" w:color="auto"/>
            </w:tcBorders>
            <w:noWrap/>
            <w:vAlign w:val="center"/>
            <w:hideMark/>
          </w:tcPr>
          <w:p w14:paraId="722B1E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5086272000</w:t>
            </w:r>
          </w:p>
        </w:tc>
        <w:tc>
          <w:tcPr>
            <w:tcW w:w="1012" w:type="dxa"/>
            <w:tcBorders>
              <w:top w:val="nil"/>
              <w:left w:val="nil"/>
              <w:bottom w:val="single" w:sz="4" w:space="0" w:color="auto"/>
              <w:right w:val="single" w:sz="4" w:space="0" w:color="auto"/>
            </w:tcBorders>
            <w:noWrap/>
            <w:vAlign w:val="center"/>
            <w:hideMark/>
          </w:tcPr>
          <w:p w14:paraId="7B460E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69795819</w:t>
            </w:r>
          </w:p>
        </w:tc>
        <w:tc>
          <w:tcPr>
            <w:tcW w:w="5953" w:type="dxa"/>
            <w:tcBorders>
              <w:top w:val="nil"/>
              <w:left w:val="nil"/>
              <w:bottom w:val="single" w:sz="4" w:space="0" w:color="auto"/>
              <w:right w:val="single" w:sz="4" w:space="0" w:color="auto"/>
            </w:tcBorders>
            <w:noWrap/>
            <w:vAlign w:val="center"/>
            <w:hideMark/>
          </w:tcPr>
          <w:p w14:paraId="49ACCA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PREVOLE</w:t>
            </w:r>
          </w:p>
        </w:tc>
      </w:tr>
      <w:tr w:rsidR="00F24E18" w14:paraId="109AA3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FF62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1412</w:t>
            </w:r>
          </w:p>
        </w:tc>
        <w:tc>
          <w:tcPr>
            <w:tcW w:w="1300" w:type="dxa"/>
            <w:tcBorders>
              <w:top w:val="nil"/>
              <w:left w:val="nil"/>
              <w:bottom w:val="single" w:sz="4" w:space="0" w:color="auto"/>
              <w:right w:val="single" w:sz="4" w:space="0" w:color="auto"/>
            </w:tcBorders>
            <w:vAlign w:val="center"/>
            <w:hideMark/>
          </w:tcPr>
          <w:p w14:paraId="14790F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5084156000</w:t>
            </w:r>
          </w:p>
        </w:tc>
        <w:tc>
          <w:tcPr>
            <w:tcW w:w="1012" w:type="dxa"/>
            <w:tcBorders>
              <w:top w:val="nil"/>
              <w:left w:val="nil"/>
              <w:bottom w:val="single" w:sz="4" w:space="0" w:color="auto"/>
              <w:right w:val="single" w:sz="4" w:space="0" w:color="auto"/>
            </w:tcBorders>
            <w:vAlign w:val="center"/>
            <w:hideMark/>
          </w:tcPr>
          <w:p w14:paraId="0358DD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32732686</w:t>
            </w:r>
          </w:p>
        </w:tc>
        <w:tc>
          <w:tcPr>
            <w:tcW w:w="5953" w:type="dxa"/>
            <w:tcBorders>
              <w:top w:val="nil"/>
              <w:left w:val="nil"/>
              <w:bottom w:val="single" w:sz="4" w:space="0" w:color="auto"/>
              <w:right w:val="single" w:sz="4" w:space="0" w:color="auto"/>
            </w:tcBorders>
            <w:noWrap/>
            <w:vAlign w:val="center"/>
            <w:hideMark/>
          </w:tcPr>
          <w:p w14:paraId="0337D9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PREŽIHOVEGA VORANCA</w:t>
            </w:r>
          </w:p>
        </w:tc>
      </w:tr>
      <w:tr w:rsidR="00F24E18" w14:paraId="2106001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84C9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1413</w:t>
            </w:r>
          </w:p>
        </w:tc>
        <w:tc>
          <w:tcPr>
            <w:tcW w:w="1300" w:type="dxa"/>
            <w:tcBorders>
              <w:top w:val="nil"/>
              <w:left w:val="nil"/>
              <w:bottom w:val="single" w:sz="4" w:space="0" w:color="auto"/>
              <w:right w:val="single" w:sz="4" w:space="0" w:color="auto"/>
            </w:tcBorders>
            <w:noWrap/>
            <w:vAlign w:val="center"/>
            <w:hideMark/>
          </w:tcPr>
          <w:p w14:paraId="5C2506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5089751000</w:t>
            </w:r>
          </w:p>
        </w:tc>
        <w:tc>
          <w:tcPr>
            <w:tcW w:w="1012" w:type="dxa"/>
            <w:tcBorders>
              <w:top w:val="nil"/>
              <w:left w:val="nil"/>
              <w:bottom w:val="single" w:sz="4" w:space="0" w:color="auto"/>
              <w:right w:val="single" w:sz="4" w:space="0" w:color="auto"/>
            </w:tcBorders>
            <w:noWrap/>
            <w:vAlign w:val="center"/>
            <w:hideMark/>
          </w:tcPr>
          <w:p w14:paraId="136ACA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94330522</w:t>
            </w:r>
          </w:p>
        </w:tc>
        <w:tc>
          <w:tcPr>
            <w:tcW w:w="5953" w:type="dxa"/>
            <w:tcBorders>
              <w:top w:val="nil"/>
              <w:left w:val="nil"/>
              <w:bottom w:val="single" w:sz="4" w:space="0" w:color="auto"/>
              <w:right w:val="single" w:sz="4" w:space="0" w:color="auto"/>
            </w:tcBorders>
            <w:noWrap/>
            <w:vAlign w:val="center"/>
            <w:hideMark/>
          </w:tcPr>
          <w:p w14:paraId="02EB89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PREŽIHOVEGA VORANCA BISTRICA</w:t>
            </w:r>
          </w:p>
        </w:tc>
      </w:tr>
      <w:tr w:rsidR="00F24E18" w14:paraId="5C42B1F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3F16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1414</w:t>
            </w:r>
          </w:p>
        </w:tc>
        <w:tc>
          <w:tcPr>
            <w:tcW w:w="1300" w:type="dxa"/>
            <w:tcBorders>
              <w:top w:val="nil"/>
              <w:left w:val="nil"/>
              <w:bottom w:val="single" w:sz="4" w:space="0" w:color="auto"/>
              <w:right w:val="single" w:sz="4" w:space="0" w:color="auto"/>
            </w:tcBorders>
            <w:noWrap/>
            <w:vAlign w:val="center"/>
            <w:hideMark/>
          </w:tcPr>
          <w:p w14:paraId="554F25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5719097000</w:t>
            </w:r>
          </w:p>
        </w:tc>
        <w:tc>
          <w:tcPr>
            <w:tcW w:w="1012" w:type="dxa"/>
            <w:tcBorders>
              <w:top w:val="nil"/>
              <w:left w:val="nil"/>
              <w:bottom w:val="single" w:sz="4" w:space="0" w:color="auto"/>
              <w:right w:val="single" w:sz="4" w:space="0" w:color="auto"/>
            </w:tcBorders>
            <w:noWrap/>
            <w:vAlign w:val="center"/>
            <w:hideMark/>
          </w:tcPr>
          <w:p w14:paraId="586493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71303103</w:t>
            </w:r>
          </w:p>
        </w:tc>
        <w:tc>
          <w:tcPr>
            <w:tcW w:w="5953" w:type="dxa"/>
            <w:tcBorders>
              <w:top w:val="nil"/>
              <w:left w:val="nil"/>
              <w:bottom w:val="single" w:sz="4" w:space="0" w:color="auto"/>
              <w:right w:val="single" w:sz="4" w:space="0" w:color="auto"/>
            </w:tcBorders>
            <w:noWrap/>
            <w:vAlign w:val="center"/>
            <w:hideMark/>
          </w:tcPr>
          <w:p w14:paraId="257388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PREŽIHOVEGA VORANCA JESENICE</w:t>
            </w:r>
          </w:p>
        </w:tc>
      </w:tr>
      <w:tr w:rsidR="00F24E18" w14:paraId="12150D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B175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1415</w:t>
            </w:r>
          </w:p>
        </w:tc>
        <w:tc>
          <w:tcPr>
            <w:tcW w:w="1300" w:type="dxa"/>
            <w:tcBorders>
              <w:top w:val="nil"/>
              <w:left w:val="nil"/>
              <w:bottom w:val="single" w:sz="4" w:space="0" w:color="auto"/>
              <w:right w:val="single" w:sz="4" w:space="0" w:color="auto"/>
            </w:tcBorders>
            <w:noWrap/>
            <w:vAlign w:val="center"/>
            <w:hideMark/>
          </w:tcPr>
          <w:p w14:paraId="03E8CD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5085101000</w:t>
            </w:r>
          </w:p>
        </w:tc>
        <w:tc>
          <w:tcPr>
            <w:tcW w:w="1012" w:type="dxa"/>
            <w:tcBorders>
              <w:top w:val="nil"/>
              <w:left w:val="nil"/>
              <w:bottom w:val="single" w:sz="4" w:space="0" w:color="auto"/>
              <w:right w:val="single" w:sz="4" w:space="0" w:color="auto"/>
            </w:tcBorders>
            <w:noWrap/>
            <w:vAlign w:val="center"/>
            <w:hideMark/>
          </w:tcPr>
          <w:p w14:paraId="152C5A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97870692</w:t>
            </w:r>
          </w:p>
        </w:tc>
        <w:tc>
          <w:tcPr>
            <w:tcW w:w="5953" w:type="dxa"/>
            <w:tcBorders>
              <w:top w:val="nil"/>
              <w:left w:val="nil"/>
              <w:bottom w:val="single" w:sz="4" w:space="0" w:color="auto"/>
              <w:right w:val="single" w:sz="4" w:space="0" w:color="auto"/>
            </w:tcBorders>
            <w:noWrap/>
            <w:vAlign w:val="center"/>
            <w:hideMark/>
          </w:tcPr>
          <w:p w14:paraId="618DA5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PREŽIHOVEGA VORANCA MARIBOR</w:t>
            </w:r>
          </w:p>
        </w:tc>
      </w:tr>
      <w:tr w:rsidR="00F24E18" w14:paraId="6587F2D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B5D9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1416</w:t>
            </w:r>
          </w:p>
        </w:tc>
        <w:tc>
          <w:tcPr>
            <w:tcW w:w="1300" w:type="dxa"/>
            <w:tcBorders>
              <w:top w:val="nil"/>
              <w:left w:val="nil"/>
              <w:bottom w:val="single" w:sz="4" w:space="0" w:color="auto"/>
              <w:right w:val="single" w:sz="4" w:space="0" w:color="auto"/>
            </w:tcBorders>
            <w:vAlign w:val="center"/>
            <w:hideMark/>
          </w:tcPr>
          <w:p w14:paraId="776C9A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5087392000</w:t>
            </w:r>
          </w:p>
        </w:tc>
        <w:tc>
          <w:tcPr>
            <w:tcW w:w="1012" w:type="dxa"/>
            <w:tcBorders>
              <w:top w:val="nil"/>
              <w:left w:val="nil"/>
              <w:bottom w:val="single" w:sz="4" w:space="0" w:color="auto"/>
              <w:right w:val="single" w:sz="4" w:space="0" w:color="auto"/>
            </w:tcBorders>
            <w:vAlign w:val="center"/>
            <w:hideMark/>
          </w:tcPr>
          <w:p w14:paraId="1C7262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26935465</w:t>
            </w:r>
          </w:p>
        </w:tc>
        <w:tc>
          <w:tcPr>
            <w:tcW w:w="5953" w:type="dxa"/>
            <w:tcBorders>
              <w:top w:val="nil"/>
              <w:left w:val="nil"/>
              <w:bottom w:val="single" w:sz="4" w:space="0" w:color="auto"/>
              <w:right w:val="single" w:sz="4" w:space="0" w:color="auto"/>
            </w:tcBorders>
            <w:noWrap/>
            <w:vAlign w:val="center"/>
            <w:hideMark/>
          </w:tcPr>
          <w:p w14:paraId="6B3B85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PREŽIHOVEGA VORANCA RAVNE NA KOROŠKEM</w:t>
            </w:r>
          </w:p>
        </w:tc>
      </w:tr>
      <w:tr w:rsidR="00F24E18" w14:paraId="37CD05E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7D04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1417</w:t>
            </w:r>
          </w:p>
        </w:tc>
        <w:tc>
          <w:tcPr>
            <w:tcW w:w="1300" w:type="dxa"/>
            <w:tcBorders>
              <w:top w:val="nil"/>
              <w:left w:val="nil"/>
              <w:bottom w:val="single" w:sz="4" w:space="0" w:color="auto"/>
              <w:right w:val="single" w:sz="4" w:space="0" w:color="auto"/>
            </w:tcBorders>
            <w:noWrap/>
            <w:vAlign w:val="center"/>
            <w:hideMark/>
          </w:tcPr>
          <w:p w14:paraId="76317B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5924332000</w:t>
            </w:r>
          </w:p>
        </w:tc>
        <w:tc>
          <w:tcPr>
            <w:tcW w:w="1012" w:type="dxa"/>
            <w:tcBorders>
              <w:top w:val="nil"/>
              <w:left w:val="nil"/>
              <w:bottom w:val="single" w:sz="4" w:space="0" w:color="auto"/>
              <w:right w:val="single" w:sz="4" w:space="0" w:color="auto"/>
            </w:tcBorders>
            <w:noWrap/>
            <w:vAlign w:val="center"/>
            <w:hideMark/>
          </w:tcPr>
          <w:p w14:paraId="6353A5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29610249</w:t>
            </w:r>
          </w:p>
        </w:tc>
        <w:tc>
          <w:tcPr>
            <w:tcW w:w="5953" w:type="dxa"/>
            <w:tcBorders>
              <w:top w:val="nil"/>
              <w:left w:val="nil"/>
              <w:bottom w:val="single" w:sz="4" w:space="0" w:color="auto"/>
              <w:right w:val="single" w:sz="4" w:space="0" w:color="auto"/>
            </w:tcBorders>
            <w:noWrap/>
            <w:vAlign w:val="center"/>
            <w:hideMark/>
          </w:tcPr>
          <w:p w14:paraId="1AF804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PRIMOŽA TRUBARJA LAŠKO</w:t>
            </w:r>
          </w:p>
        </w:tc>
      </w:tr>
      <w:tr w:rsidR="00F24E18" w14:paraId="7935FA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687B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1418</w:t>
            </w:r>
          </w:p>
        </w:tc>
        <w:tc>
          <w:tcPr>
            <w:tcW w:w="1300" w:type="dxa"/>
            <w:tcBorders>
              <w:top w:val="nil"/>
              <w:left w:val="nil"/>
              <w:bottom w:val="single" w:sz="4" w:space="0" w:color="auto"/>
              <w:right w:val="single" w:sz="4" w:space="0" w:color="auto"/>
            </w:tcBorders>
            <w:noWrap/>
            <w:vAlign w:val="center"/>
            <w:hideMark/>
          </w:tcPr>
          <w:p w14:paraId="7647B5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5084539000</w:t>
            </w:r>
          </w:p>
        </w:tc>
        <w:tc>
          <w:tcPr>
            <w:tcW w:w="1012" w:type="dxa"/>
            <w:tcBorders>
              <w:top w:val="nil"/>
              <w:left w:val="nil"/>
              <w:bottom w:val="single" w:sz="4" w:space="0" w:color="auto"/>
              <w:right w:val="single" w:sz="4" w:space="0" w:color="auto"/>
            </w:tcBorders>
            <w:noWrap/>
            <w:vAlign w:val="center"/>
            <w:hideMark/>
          </w:tcPr>
          <w:p w14:paraId="3800DD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21805865</w:t>
            </w:r>
          </w:p>
        </w:tc>
        <w:tc>
          <w:tcPr>
            <w:tcW w:w="5953" w:type="dxa"/>
            <w:tcBorders>
              <w:top w:val="nil"/>
              <w:left w:val="nil"/>
              <w:bottom w:val="single" w:sz="4" w:space="0" w:color="auto"/>
              <w:right w:val="single" w:sz="4" w:space="0" w:color="auto"/>
            </w:tcBorders>
            <w:noWrap/>
            <w:vAlign w:val="center"/>
            <w:hideMark/>
          </w:tcPr>
          <w:p w14:paraId="1446BF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PRIMOŽA TRUBARJA VELIKE LAŠČE</w:t>
            </w:r>
          </w:p>
        </w:tc>
      </w:tr>
      <w:tr w:rsidR="00F24E18" w14:paraId="626CDB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E7D3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1419</w:t>
            </w:r>
          </w:p>
        </w:tc>
        <w:tc>
          <w:tcPr>
            <w:tcW w:w="1300" w:type="dxa"/>
            <w:tcBorders>
              <w:top w:val="nil"/>
              <w:left w:val="nil"/>
              <w:bottom w:val="single" w:sz="4" w:space="0" w:color="auto"/>
              <w:right w:val="single" w:sz="4" w:space="0" w:color="auto"/>
            </w:tcBorders>
            <w:noWrap/>
            <w:vAlign w:val="center"/>
            <w:hideMark/>
          </w:tcPr>
          <w:p w14:paraId="26AE7B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5087295000</w:t>
            </w:r>
          </w:p>
        </w:tc>
        <w:tc>
          <w:tcPr>
            <w:tcW w:w="1012" w:type="dxa"/>
            <w:tcBorders>
              <w:top w:val="nil"/>
              <w:left w:val="nil"/>
              <w:bottom w:val="single" w:sz="4" w:space="0" w:color="auto"/>
              <w:right w:val="single" w:sz="4" w:space="0" w:color="auto"/>
            </w:tcBorders>
            <w:noWrap/>
            <w:vAlign w:val="center"/>
            <w:hideMark/>
          </w:tcPr>
          <w:p w14:paraId="0EBBA6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56918518</w:t>
            </w:r>
          </w:p>
        </w:tc>
        <w:tc>
          <w:tcPr>
            <w:tcW w:w="5953" w:type="dxa"/>
            <w:tcBorders>
              <w:top w:val="nil"/>
              <w:left w:val="nil"/>
              <w:bottom w:val="single" w:sz="4" w:space="0" w:color="auto"/>
              <w:right w:val="single" w:sz="4" w:space="0" w:color="auto"/>
            </w:tcBorders>
            <w:noWrap/>
            <w:vAlign w:val="center"/>
            <w:hideMark/>
          </w:tcPr>
          <w:p w14:paraId="4FFE1B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PROF. DR. JOSIPA PLEMLJA BLED</w:t>
            </w:r>
          </w:p>
        </w:tc>
      </w:tr>
      <w:tr w:rsidR="00F24E18" w14:paraId="03D918F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2370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1420</w:t>
            </w:r>
          </w:p>
        </w:tc>
        <w:tc>
          <w:tcPr>
            <w:tcW w:w="1300" w:type="dxa"/>
            <w:tcBorders>
              <w:top w:val="nil"/>
              <w:left w:val="nil"/>
              <w:bottom w:val="single" w:sz="4" w:space="0" w:color="auto"/>
              <w:right w:val="single" w:sz="4" w:space="0" w:color="auto"/>
            </w:tcBorders>
            <w:noWrap/>
            <w:vAlign w:val="center"/>
            <w:hideMark/>
          </w:tcPr>
          <w:p w14:paraId="3BAC3B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5084164000</w:t>
            </w:r>
          </w:p>
        </w:tc>
        <w:tc>
          <w:tcPr>
            <w:tcW w:w="1012" w:type="dxa"/>
            <w:tcBorders>
              <w:top w:val="nil"/>
              <w:left w:val="nil"/>
              <w:bottom w:val="single" w:sz="4" w:space="0" w:color="auto"/>
              <w:right w:val="single" w:sz="4" w:space="0" w:color="auto"/>
            </w:tcBorders>
            <w:noWrap/>
            <w:vAlign w:val="center"/>
            <w:hideMark/>
          </w:tcPr>
          <w:p w14:paraId="596BBA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89177606</w:t>
            </w:r>
          </w:p>
        </w:tc>
        <w:tc>
          <w:tcPr>
            <w:tcW w:w="5953" w:type="dxa"/>
            <w:tcBorders>
              <w:top w:val="nil"/>
              <w:left w:val="nil"/>
              <w:bottom w:val="single" w:sz="4" w:space="0" w:color="auto"/>
              <w:right w:val="single" w:sz="4" w:space="0" w:color="auto"/>
            </w:tcBorders>
            <w:noWrap/>
            <w:vAlign w:val="center"/>
            <w:hideMark/>
          </w:tcPr>
          <w:p w14:paraId="14F130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PRULE</w:t>
            </w:r>
          </w:p>
        </w:tc>
      </w:tr>
      <w:tr w:rsidR="00F24E18" w14:paraId="705DDAF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9F39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1421</w:t>
            </w:r>
          </w:p>
        </w:tc>
        <w:tc>
          <w:tcPr>
            <w:tcW w:w="1300" w:type="dxa"/>
            <w:tcBorders>
              <w:top w:val="nil"/>
              <w:left w:val="nil"/>
              <w:bottom w:val="single" w:sz="4" w:space="0" w:color="auto"/>
              <w:right w:val="single" w:sz="4" w:space="0" w:color="auto"/>
            </w:tcBorders>
            <w:noWrap/>
            <w:vAlign w:val="center"/>
            <w:hideMark/>
          </w:tcPr>
          <w:p w14:paraId="096193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5085691000</w:t>
            </w:r>
          </w:p>
        </w:tc>
        <w:tc>
          <w:tcPr>
            <w:tcW w:w="1012" w:type="dxa"/>
            <w:tcBorders>
              <w:top w:val="nil"/>
              <w:left w:val="nil"/>
              <w:bottom w:val="single" w:sz="4" w:space="0" w:color="auto"/>
              <w:right w:val="single" w:sz="4" w:space="0" w:color="auto"/>
            </w:tcBorders>
            <w:noWrap/>
            <w:vAlign w:val="center"/>
            <w:hideMark/>
          </w:tcPr>
          <w:p w14:paraId="7F57C3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96341742</w:t>
            </w:r>
          </w:p>
        </w:tc>
        <w:tc>
          <w:tcPr>
            <w:tcW w:w="5953" w:type="dxa"/>
            <w:tcBorders>
              <w:top w:val="nil"/>
              <w:left w:val="nil"/>
              <w:bottom w:val="single" w:sz="4" w:space="0" w:color="auto"/>
              <w:right w:val="single" w:sz="4" w:space="0" w:color="auto"/>
            </w:tcBorders>
            <w:noWrap/>
            <w:vAlign w:val="center"/>
            <w:hideMark/>
          </w:tcPr>
          <w:p w14:paraId="64ECED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PUCONCI</w:t>
            </w:r>
          </w:p>
        </w:tc>
      </w:tr>
      <w:tr w:rsidR="00F24E18" w14:paraId="44FA1A1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A745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1422</w:t>
            </w:r>
          </w:p>
        </w:tc>
        <w:tc>
          <w:tcPr>
            <w:tcW w:w="1300" w:type="dxa"/>
            <w:tcBorders>
              <w:top w:val="nil"/>
              <w:left w:val="nil"/>
              <w:bottom w:val="single" w:sz="4" w:space="0" w:color="auto"/>
              <w:right w:val="single" w:sz="4" w:space="0" w:color="auto"/>
            </w:tcBorders>
            <w:vAlign w:val="center"/>
            <w:hideMark/>
          </w:tcPr>
          <w:p w14:paraId="3B1E2F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5085292000</w:t>
            </w:r>
          </w:p>
        </w:tc>
        <w:tc>
          <w:tcPr>
            <w:tcW w:w="1012" w:type="dxa"/>
            <w:tcBorders>
              <w:top w:val="nil"/>
              <w:left w:val="nil"/>
              <w:bottom w:val="single" w:sz="4" w:space="0" w:color="auto"/>
              <w:right w:val="single" w:sz="4" w:space="0" w:color="auto"/>
            </w:tcBorders>
            <w:vAlign w:val="center"/>
            <w:hideMark/>
          </w:tcPr>
          <w:p w14:paraId="1001B2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97890898</w:t>
            </w:r>
          </w:p>
        </w:tc>
        <w:tc>
          <w:tcPr>
            <w:tcW w:w="5953" w:type="dxa"/>
            <w:tcBorders>
              <w:top w:val="nil"/>
              <w:left w:val="nil"/>
              <w:bottom w:val="single" w:sz="4" w:space="0" w:color="auto"/>
              <w:right w:val="single" w:sz="4" w:space="0" w:color="auto"/>
            </w:tcBorders>
            <w:noWrap/>
            <w:vAlign w:val="center"/>
            <w:hideMark/>
          </w:tcPr>
          <w:p w14:paraId="2C1BE3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RAČE</w:t>
            </w:r>
          </w:p>
        </w:tc>
      </w:tr>
      <w:tr w:rsidR="00F24E18" w14:paraId="46362C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C7F8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1423</w:t>
            </w:r>
          </w:p>
        </w:tc>
        <w:tc>
          <w:tcPr>
            <w:tcW w:w="1300" w:type="dxa"/>
            <w:tcBorders>
              <w:top w:val="nil"/>
              <w:left w:val="nil"/>
              <w:bottom w:val="single" w:sz="4" w:space="0" w:color="auto"/>
              <w:right w:val="single" w:sz="4" w:space="0" w:color="auto"/>
            </w:tcBorders>
            <w:noWrap/>
            <w:vAlign w:val="center"/>
            <w:hideMark/>
          </w:tcPr>
          <w:p w14:paraId="178372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5085845000</w:t>
            </w:r>
          </w:p>
        </w:tc>
        <w:tc>
          <w:tcPr>
            <w:tcW w:w="1012" w:type="dxa"/>
            <w:tcBorders>
              <w:top w:val="nil"/>
              <w:left w:val="nil"/>
              <w:bottom w:val="single" w:sz="4" w:space="0" w:color="auto"/>
              <w:right w:val="single" w:sz="4" w:space="0" w:color="auto"/>
            </w:tcBorders>
            <w:noWrap/>
            <w:vAlign w:val="center"/>
            <w:hideMark/>
          </w:tcPr>
          <w:p w14:paraId="28B91F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61528714</w:t>
            </w:r>
          </w:p>
        </w:tc>
        <w:tc>
          <w:tcPr>
            <w:tcW w:w="5953" w:type="dxa"/>
            <w:tcBorders>
              <w:top w:val="nil"/>
              <w:left w:val="nil"/>
              <w:bottom w:val="single" w:sz="4" w:space="0" w:color="auto"/>
              <w:right w:val="single" w:sz="4" w:space="0" w:color="auto"/>
            </w:tcBorders>
            <w:noWrap/>
            <w:vAlign w:val="center"/>
            <w:hideMark/>
          </w:tcPr>
          <w:p w14:paraId="6102DF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RADA ROBIČA LIMBUŠ</w:t>
            </w:r>
          </w:p>
        </w:tc>
      </w:tr>
      <w:tr w:rsidR="00F24E18" w14:paraId="640E821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5185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1424</w:t>
            </w:r>
          </w:p>
        </w:tc>
        <w:tc>
          <w:tcPr>
            <w:tcW w:w="1300" w:type="dxa"/>
            <w:tcBorders>
              <w:top w:val="nil"/>
              <w:left w:val="nil"/>
              <w:bottom w:val="single" w:sz="4" w:space="0" w:color="auto"/>
              <w:right w:val="single" w:sz="4" w:space="0" w:color="auto"/>
            </w:tcBorders>
            <w:noWrap/>
            <w:vAlign w:val="center"/>
            <w:hideMark/>
          </w:tcPr>
          <w:p w14:paraId="7D6AB2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5089271000</w:t>
            </w:r>
          </w:p>
        </w:tc>
        <w:tc>
          <w:tcPr>
            <w:tcW w:w="1012" w:type="dxa"/>
            <w:tcBorders>
              <w:top w:val="nil"/>
              <w:left w:val="nil"/>
              <w:bottom w:val="single" w:sz="4" w:space="0" w:color="auto"/>
              <w:right w:val="single" w:sz="4" w:space="0" w:color="auto"/>
            </w:tcBorders>
            <w:noWrap/>
            <w:vAlign w:val="center"/>
            <w:hideMark/>
          </w:tcPr>
          <w:p w14:paraId="0149AE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54093899</w:t>
            </w:r>
          </w:p>
        </w:tc>
        <w:tc>
          <w:tcPr>
            <w:tcW w:w="5953" w:type="dxa"/>
            <w:tcBorders>
              <w:top w:val="nil"/>
              <w:left w:val="nil"/>
              <w:bottom w:val="single" w:sz="4" w:space="0" w:color="auto"/>
              <w:right w:val="single" w:sz="4" w:space="0" w:color="auto"/>
            </w:tcBorders>
            <w:noWrap/>
            <w:vAlign w:val="center"/>
            <w:hideMark/>
          </w:tcPr>
          <w:p w14:paraId="02AA8D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RADLJE OB DRAVI</w:t>
            </w:r>
          </w:p>
        </w:tc>
      </w:tr>
      <w:tr w:rsidR="00F24E18" w14:paraId="550AB3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A237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1425</w:t>
            </w:r>
          </w:p>
        </w:tc>
        <w:tc>
          <w:tcPr>
            <w:tcW w:w="1300" w:type="dxa"/>
            <w:tcBorders>
              <w:top w:val="nil"/>
              <w:left w:val="nil"/>
              <w:bottom w:val="single" w:sz="4" w:space="0" w:color="auto"/>
              <w:right w:val="single" w:sz="4" w:space="0" w:color="auto"/>
            </w:tcBorders>
            <w:noWrap/>
            <w:vAlign w:val="center"/>
            <w:hideMark/>
          </w:tcPr>
          <w:p w14:paraId="393B44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5083281000</w:t>
            </w:r>
          </w:p>
        </w:tc>
        <w:tc>
          <w:tcPr>
            <w:tcW w:w="1012" w:type="dxa"/>
            <w:tcBorders>
              <w:top w:val="nil"/>
              <w:left w:val="nil"/>
              <w:bottom w:val="single" w:sz="4" w:space="0" w:color="auto"/>
              <w:right w:val="single" w:sz="4" w:space="0" w:color="auto"/>
            </w:tcBorders>
            <w:noWrap/>
            <w:vAlign w:val="center"/>
            <w:hideMark/>
          </w:tcPr>
          <w:p w14:paraId="31C713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61576824</w:t>
            </w:r>
          </w:p>
        </w:tc>
        <w:tc>
          <w:tcPr>
            <w:tcW w:w="5953" w:type="dxa"/>
            <w:tcBorders>
              <w:top w:val="nil"/>
              <w:left w:val="nil"/>
              <w:bottom w:val="single" w:sz="4" w:space="0" w:color="auto"/>
              <w:right w:val="single" w:sz="4" w:space="0" w:color="auto"/>
            </w:tcBorders>
            <w:noWrap/>
            <w:vAlign w:val="center"/>
            <w:hideMark/>
          </w:tcPr>
          <w:p w14:paraId="3D53DB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RAKA</w:t>
            </w:r>
          </w:p>
        </w:tc>
      </w:tr>
      <w:tr w:rsidR="00F24E18" w14:paraId="534CE99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93CF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1426</w:t>
            </w:r>
          </w:p>
        </w:tc>
        <w:tc>
          <w:tcPr>
            <w:tcW w:w="1300" w:type="dxa"/>
            <w:tcBorders>
              <w:top w:val="nil"/>
              <w:left w:val="nil"/>
              <w:bottom w:val="single" w:sz="4" w:space="0" w:color="auto"/>
              <w:right w:val="single" w:sz="4" w:space="0" w:color="auto"/>
            </w:tcBorders>
            <w:vAlign w:val="center"/>
            <w:hideMark/>
          </w:tcPr>
          <w:p w14:paraId="3F93B5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5087252000</w:t>
            </w:r>
          </w:p>
        </w:tc>
        <w:tc>
          <w:tcPr>
            <w:tcW w:w="1012" w:type="dxa"/>
            <w:tcBorders>
              <w:top w:val="nil"/>
              <w:left w:val="nil"/>
              <w:bottom w:val="single" w:sz="4" w:space="0" w:color="auto"/>
              <w:right w:val="single" w:sz="4" w:space="0" w:color="auto"/>
            </w:tcBorders>
            <w:vAlign w:val="center"/>
            <w:hideMark/>
          </w:tcPr>
          <w:p w14:paraId="20B941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93310510</w:t>
            </w:r>
          </w:p>
        </w:tc>
        <w:tc>
          <w:tcPr>
            <w:tcW w:w="5953" w:type="dxa"/>
            <w:tcBorders>
              <w:top w:val="nil"/>
              <w:left w:val="nil"/>
              <w:bottom w:val="single" w:sz="4" w:space="0" w:color="auto"/>
              <w:right w:val="single" w:sz="4" w:space="0" w:color="auto"/>
            </w:tcBorders>
            <w:noWrap/>
            <w:vAlign w:val="center"/>
            <w:hideMark/>
          </w:tcPr>
          <w:p w14:paraId="7E16FF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RIBNICA NA POHORJU</w:t>
            </w:r>
          </w:p>
        </w:tc>
      </w:tr>
      <w:tr w:rsidR="00F24E18" w14:paraId="38E2ED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AA1D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1427</w:t>
            </w:r>
          </w:p>
        </w:tc>
        <w:tc>
          <w:tcPr>
            <w:tcW w:w="1300" w:type="dxa"/>
            <w:tcBorders>
              <w:top w:val="nil"/>
              <w:left w:val="nil"/>
              <w:bottom w:val="single" w:sz="4" w:space="0" w:color="auto"/>
              <w:right w:val="single" w:sz="4" w:space="0" w:color="auto"/>
            </w:tcBorders>
            <w:noWrap/>
            <w:vAlign w:val="center"/>
            <w:hideMark/>
          </w:tcPr>
          <w:p w14:paraId="414404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5086132000</w:t>
            </w:r>
          </w:p>
        </w:tc>
        <w:tc>
          <w:tcPr>
            <w:tcW w:w="1012" w:type="dxa"/>
            <w:tcBorders>
              <w:top w:val="nil"/>
              <w:left w:val="nil"/>
              <w:bottom w:val="single" w:sz="4" w:space="0" w:color="auto"/>
              <w:right w:val="single" w:sz="4" w:space="0" w:color="auto"/>
            </w:tcBorders>
            <w:noWrap/>
            <w:vAlign w:val="center"/>
            <w:hideMark/>
          </w:tcPr>
          <w:p w14:paraId="697518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43483461</w:t>
            </w:r>
          </w:p>
        </w:tc>
        <w:tc>
          <w:tcPr>
            <w:tcW w:w="5953" w:type="dxa"/>
            <w:tcBorders>
              <w:top w:val="nil"/>
              <w:left w:val="nil"/>
              <w:bottom w:val="single" w:sz="4" w:space="0" w:color="auto"/>
              <w:right w:val="single" w:sz="4" w:space="0" w:color="auto"/>
            </w:tcBorders>
            <w:noWrap/>
            <w:vAlign w:val="center"/>
            <w:hideMark/>
          </w:tcPr>
          <w:p w14:paraId="4C38C4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RIHARDA JAKOPIČA</w:t>
            </w:r>
          </w:p>
        </w:tc>
      </w:tr>
      <w:tr w:rsidR="00F24E18" w14:paraId="3A1B241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BB39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1428</w:t>
            </w:r>
          </w:p>
        </w:tc>
        <w:tc>
          <w:tcPr>
            <w:tcW w:w="1300" w:type="dxa"/>
            <w:tcBorders>
              <w:top w:val="nil"/>
              <w:left w:val="nil"/>
              <w:bottom w:val="single" w:sz="4" w:space="0" w:color="auto"/>
              <w:right w:val="single" w:sz="4" w:space="0" w:color="auto"/>
            </w:tcBorders>
            <w:vAlign w:val="center"/>
            <w:hideMark/>
          </w:tcPr>
          <w:p w14:paraId="4D8F3C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5083737000</w:t>
            </w:r>
          </w:p>
        </w:tc>
        <w:tc>
          <w:tcPr>
            <w:tcW w:w="1012" w:type="dxa"/>
            <w:tcBorders>
              <w:top w:val="nil"/>
              <w:left w:val="nil"/>
              <w:bottom w:val="single" w:sz="4" w:space="0" w:color="auto"/>
              <w:right w:val="single" w:sz="4" w:space="0" w:color="auto"/>
            </w:tcBorders>
            <w:vAlign w:val="center"/>
            <w:hideMark/>
          </w:tcPr>
          <w:p w14:paraId="0B1525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34707735</w:t>
            </w:r>
          </w:p>
        </w:tc>
        <w:tc>
          <w:tcPr>
            <w:tcW w:w="5953" w:type="dxa"/>
            <w:tcBorders>
              <w:top w:val="nil"/>
              <w:left w:val="nil"/>
              <w:bottom w:val="single" w:sz="4" w:space="0" w:color="auto"/>
              <w:right w:val="single" w:sz="4" w:space="0" w:color="auto"/>
            </w:tcBorders>
            <w:noWrap/>
            <w:vAlign w:val="center"/>
            <w:hideMark/>
          </w:tcPr>
          <w:p w14:paraId="453C6C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RODICA</w:t>
            </w:r>
          </w:p>
        </w:tc>
      </w:tr>
      <w:tr w:rsidR="00F24E18" w14:paraId="1D27BB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4586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1429</w:t>
            </w:r>
          </w:p>
        </w:tc>
        <w:tc>
          <w:tcPr>
            <w:tcW w:w="1300" w:type="dxa"/>
            <w:tcBorders>
              <w:top w:val="nil"/>
              <w:left w:val="nil"/>
              <w:bottom w:val="single" w:sz="4" w:space="0" w:color="auto"/>
              <w:right w:val="single" w:sz="4" w:space="0" w:color="auto"/>
            </w:tcBorders>
            <w:noWrap/>
            <w:vAlign w:val="center"/>
            <w:hideMark/>
          </w:tcPr>
          <w:p w14:paraId="0C5493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5082854000</w:t>
            </w:r>
          </w:p>
        </w:tc>
        <w:tc>
          <w:tcPr>
            <w:tcW w:w="1012" w:type="dxa"/>
            <w:tcBorders>
              <w:top w:val="nil"/>
              <w:left w:val="nil"/>
              <w:bottom w:val="single" w:sz="4" w:space="0" w:color="auto"/>
              <w:right w:val="single" w:sz="4" w:space="0" w:color="auto"/>
            </w:tcBorders>
            <w:noWrap/>
            <w:vAlign w:val="center"/>
            <w:hideMark/>
          </w:tcPr>
          <w:p w14:paraId="239FD2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21511489</w:t>
            </w:r>
          </w:p>
        </w:tc>
        <w:tc>
          <w:tcPr>
            <w:tcW w:w="5953" w:type="dxa"/>
            <w:tcBorders>
              <w:top w:val="nil"/>
              <w:left w:val="nil"/>
              <w:bottom w:val="single" w:sz="4" w:space="0" w:color="auto"/>
              <w:right w:val="single" w:sz="4" w:space="0" w:color="auto"/>
            </w:tcBorders>
            <w:noWrap/>
            <w:vAlign w:val="center"/>
            <w:hideMark/>
          </w:tcPr>
          <w:p w14:paraId="454C5A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ROJE</w:t>
            </w:r>
          </w:p>
        </w:tc>
      </w:tr>
      <w:tr w:rsidR="00F24E18" w14:paraId="001966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5BA2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1430</w:t>
            </w:r>
          </w:p>
        </w:tc>
        <w:tc>
          <w:tcPr>
            <w:tcW w:w="1300" w:type="dxa"/>
            <w:tcBorders>
              <w:top w:val="nil"/>
              <w:left w:val="nil"/>
              <w:bottom w:val="single" w:sz="4" w:space="0" w:color="auto"/>
              <w:right w:val="single" w:sz="4" w:space="0" w:color="auto"/>
            </w:tcBorders>
            <w:vAlign w:val="center"/>
            <w:hideMark/>
          </w:tcPr>
          <w:p w14:paraId="0E6F2C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5086167000</w:t>
            </w:r>
          </w:p>
        </w:tc>
        <w:tc>
          <w:tcPr>
            <w:tcW w:w="1012" w:type="dxa"/>
            <w:tcBorders>
              <w:top w:val="nil"/>
              <w:left w:val="nil"/>
              <w:bottom w:val="single" w:sz="4" w:space="0" w:color="auto"/>
              <w:right w:val="single" w:sz="4" w:space="0" w:color="auto"/>
            </w:tcBorders>
            <w:vAlign w:val="center"/>
            <w:hideMark/>
          </w:tcPr>
          <w:p w14:paraId="5A0F2A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62160559</w:t>
            </w:r>
          </w:p>
        </w:tc>
        <w:tc>
          <w:tcPr>
            <w:tcW w:w="5953" w:type="dxa"/>
            <w:tcBorders>
              <w:top w:val="nil"/>
              <w:left w:val="nil"/>
              <w:bottom w:val="single" w:sz="4" w:space="0" w:color="auto"/>
              <w:right w:val="single" w:sz="4" w:space="0" w:color="auto"/>
            </w:tcBorders>
            <w:noWrap/>
            <w:vAlign w:val="center"/>
            <w:hideMark/>
          </w:tcPr>
          <w:p w14:paraId="12CDE6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RUDOLFA MAISTRA</w:t>
            </w:r>
          </w:p>
        </w:tc>
      </w:tr>
      <w:tr w:rsidR="00F24E18" w14:paraId="65673A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8CA2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1431</w:t>
            </w:r>
          </w:p>
        </w:tc>
        <w:tc>
          <w:tcPr>
            <w:tcW w:w="1300" w:type="dxa"/>
            <w:tcBorders>
              <w:top w:val="nil"/>
              <w:left w:val="nil"/>
              <w:bottom w:val="single" w:sz="4" w:space="0" w:color="auto"/>
              <w:right w:val="single" w:sz="4" w:space="0" w:color="auto"/>
            </w:tcBorders>
            <w:noWrap/>
            <w:vAlign w:val="center"/>
            <w:hideMark/>
          </w:tcPr>
          <w:p w14:paraId="5342DD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5083800000</w:t>
            </w:r>
          </w:p>
        </w:tc>
        <w:tc>
          <w:tcPr>
            <w:tcW w:w="1012" w:type="dxa"/>
            <w:tcBorders>
              <w:top w:val="nil"/>
              <w:left w:val="nil"/>
              <w:bottom w:val="single" w:sz="4" w:space="0" w:color="auto"/>
              <w:right w:val="single" w:sz="4" w:space="0" w:color="auto"/>
            </w:tcBorders>
            <w:noWrap/>
            <w:vAlign w:val="center"/>
            <w:hideMark/>
          </w:tcPr>
          <w:p w14:paraId="47344B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40184277</w:t>
            </w:r>
          </w:p>
        </w:tc>
        <w:tc>
          <w:tcPr>
            <w:tcW w:w="5953" w:type="dxa"/>
            <w:tcBorders>
              <w:top w:val="nil"/>
              <w:left w:val="nil"/>
              <w:bottom w:val="single" w:sz="4" w:space="0" w:color="auto"/>
              <w:right w:val="single" w:sz="4" w:space="0" w:color="auto"/>
            </w:tcBorders>
            <w:noWrap/>
            <w:vAlign w:val="center"/>
            <w:hideMark/>
          </w:tcPr>
          <w:p w14:paraId="3C3F59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RUDOLFA UKOVIČA PODGRAD</w:t>
            </w:r>
          </w:p>
        </w:tc>
      </w:tr>
      <w:tr w:rsidR="00F24E18" w14:paraId="088536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2997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1432</w:t>
            </w:r>
          </w:p>
        </w:tc>
        <w:tc>
          <w:tcPr>
            <w:tcW w:w="1300" w:type="dxa"/>
            <w:tcBorders>
              <w:top w:val="nil"/>
              <w:left w:val="nil"/>
              <w:bottom w:val="single" w:sz="4" w:space="0" w:color="auto"/>
              <w:right w:val="single" w:sz="4" w:space="0" w:color="auto"/>
            </w:tcBorders>
            <w:noWrap/>
            <w:vAlign w:val="center"/>
            <w:hideMark/>
          </w:tcPr>
          <w:p w14:paraId="0A9D40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5087490000</w:t>
            </w:r>
          </w:p>
        </w:tc>
        <w:tc>
          <w:tcPr>
            <w:tcW w:w="1012" w:type="dxa"/>
            <w:tcBorders>
              <w:top w:val="nil"/>
              <w:left w:val="nil"/>
              <w:bottom w:val="single" w:sz="4" w:space="0" w:color="auto"/>
              <w:right w:val="single" w:sz="4" w:space="0" w:color="auto"/>
            </w:tcBorders>
            <w:noWrap/>
            <w:vAlign w:val="center"/>
            <w:hideMark/>
          </w:tcPr>
          <w:p w14:paraId="4DCED9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69230307</w:t>
            </w:r>
          </w:p>
        </w:tc>
        <w:tc>
          <w:tcPr>
            <w:tcW w:w="5953" w:type="dxa"/>
            <w:tcBorders>
              <w:top w:val="nil"/>
              <w:left w:val="nil"/>
              <w:bottom w:val="single" w:sz="4" w:space="0" w:color="auto"/>
              <w:right w:val="single" w:sz="4" w:space="0" w:color="auto"/>
            </w:tcBorders>
            <w:noWrap/>
            <w:vAlign w:val="center"/>
            <w:hideMark/>
          </w:tcPr>
          <w:p w14:paraId="137B9E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SAVA KLADNIKA SEVNICA</w:t>
            </w:r>
          </w:p>
        </w:tc>
      </w:tr>
      <w:tr w:rsidR="00F24E18" w14:paraId="0F5AEE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8828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1433</w:t>
            </w:r>
          </w:p>
        </w:tc>
        <w:tc>
          <w:tcPr>
            <w:tcW w:w="1300" w:type="dxa"/>
            <w:tcBorders>
              <w:top w:val="nil"/>
              <w:left w:val="nil"/>
              <w:bottom w:val="single" w:sz="4" w:space="0" w:color="auto"/>
              <w:right w:val="single" w:sz="4" w:space="0" w:color="auto"/>
            </w:tcBorders>
            <w:noWrap/>
            <w:vAlign w:val="center"/>
            <w:hideMark/>
          </w:tcPr>
          <w:p w14:paraId="779921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5083362000</w:t>
            </w:r>
          </w:p>
        </w:tc>
        <w:tc>
          <w:tcPr>
            <w:tcW w:w="1012" w:type="dxa"/>
            <w:tcBorders>
              <w:top w:val="nil"/>
              <w:left w:val="nil"/>
              <w:bottom w:val="single" w:sz="4" w:space="0" w:color="auto"/>
              <w:right w:val="single" w:sz="4" w:space="0" w:color="auto"/>
            </w:tcBorders>
            <w:noWrap/>
            <w:vAlign w:val="center"/>
            <w:hideMark/>
          </w:tcPr>
          <w:p w14:paraId="48AC5F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71148922</w:t>
            </w:r>
          </w:p>
        </w:tc>
        <w:tc>
          <w:tcPr>
            <w:tcW w:w="5953" w:type="dxa"/>
            <w:tcBorders>
              <w:top w:val="nil"/>
              <w:left w:val="nil"/>
              <w:bottom w:val="single" w:sz="4" w:space="0" w:color="auto"/>
              <w:right w:val="single" w:sz="4" w:space="0" w:color="auto"/>
            </w:tcBorders>
            <w:noWrap/>
            <w:vAlign w:val="center"/>
            <w:hideMark/>
          </w:tcPr>
          <w:p w14:paraId="17CC30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SAVSKO NASELJE</w:t>
            </w:r>
          </w:p>
        </w:tc>
      </w:tr>
      <w:tr w:rsidR="00F24E18" w14:paraId="5D543AB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6F53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1434</w:t>
            </w:r>
          </w:p>
        </w:tc>
        <w:tc>
          <w:tcPr>
            <w:tcW w:w="1300" w:type="dxa"/>
            <w:tcBorders>
              <w:top w:val="nil"/>
              <w:left w:val="nil"/>
              <w:bottom w:val="single" w:sz="4" w:space="0" w:color="auto"/>
              <w:right w:val="single" w:sz="4" w:space="0" w:color="auto"/>
            </w:tcBorders>
            <w:vAlign w:val="center"/>
            <w:hideMark/>
          </w:tcPr>
          <w:p w14:paraId="7FD65B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5085136000</w:t>
            </w:r>
          </w:p>
        </w:tc>
        <w:tc>
          <w:tcPr>
            <w:tcW w:w="1012" w:type="dxa"/>
            <w:tcBorders>
              <w:top w:val="nil"/>
              <w:left w:val="nil"/>
              <w:bottom w:val="single" w:sz="4" w:space="0" w:color="auto"/>
              <w:right w:val="single" w:sz="4" w:space="0" w:color="auto"/>
            </w:tcBorders>
            <w:vAlign w:val="center"/>
            <w:hideMark/>
          </w:tcPr>
          <w:p w14:paraId="5D90B1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21101736</w:t>
            </w:r>
          </w:p>
        </w:tc>
        <w:tc>
          <w:tcPr>
            <w:tcW w:w="5953" w:type="dxa"/>
            <w:tcBorders>
              <w:top w:val="nil"/>
              <w:left w:val="nil"/>
              <w:bottom w:val="single" w:sz="4" w:space="0" w:color="auto"/>
              <w:right w:val="single" w:sz="4" w:space="0" w:color="auto"/>
            </w:tcBorders>
            <w:noWrap/>
            <w:vAlign w:val="center"/>
            <w:hideMark/>
          </w:tcPr>
          <w:p w14:paraId="12F508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SELNICA OB DRAVI</w:t>
            </w:r>
          </w:p>
        </w:tc>
      </w:tr>
      <w:tr w:rsidR="00F24E18" w14:paraId="2F5CDF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5E6A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1435</w:t>
            </w:r>
          </w:p>
        </w:tc>
        <w:tc>
          <w:tcPr>
            <w:tcW w:w="1300" w:type="dxa"/>
            <w:tcBorders>
              <w:top w:val="nil"/>
              <w:left w:val="nil"/>
              <w:bottom w:val="single" w:sz="4" w:space="0" w:color="auto"/>
              <w:right w:val="single" w:sz="4" w:space="0" w:color="auto"/>
            </w:tcBorders>
            <w:noWrap/>
            <w:vAlign w:val="center"/>
            <w:hideMark/>
          </w:tcPr>
          <w:p w14:paraId="583639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5089832000</w:t>
            </w:r>
          </w:p>
        </w:tc>
        <w:tc>
          <w:tcPr>
            <w:tcW w:w="1012" w:type="dxa"/>
            <w:tcBorders>
              <w:top w:val="nil"/>
              <w:left w:val="nil"/>
              <w:bottom w:val="single" w:sz="4" w:space="0" w:color="auto"/>
              <w:right w:val="single" w:sz="4" w:space="0" w:color="auto"/>
            </w:tcBorders>
            <w:noWrap/>
            <w:vAlign w:val="center"/>
            <w:hideMark/>
          </w:tcPr>
          <w:p w14:paraId="334CFE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51971020</w:t>
            </w:r>
          </w:p>
        </w:tc>
        <w:tc>
          <w:tcPr>
            <w:tcW w:w="5953" w:type="dxa"/>
            <w:tcBorders>
              <w:top w:val="nil"/>
              <w:left w:val="nil"/>
              <w:bottom w:val="single" w:sz="4" w:space="0" w:color="auto"/>
              <w:right w:val="single" w:sz="4" w:space="0" w:color="auto"/>
            </w:tcBorders>
            <w:noWrap/>
            <w:vAlign w:val="center"/>
            <w:hideMark/>
          </w:tcPr>
          <w:p w14:paraId="2BD1EC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SIMONA GREGORČIČA KOBARID</w:t>
            </w:r>
          </w:p>
        </w:tc>
      </w:tr>
      <w:tr w:rsidR="00F24E18" w14:paraId="4407B29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FC8A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1436</w:t>
            </w:r>
          </w:p>
        </w:tc>
        <w:tc>
          <w:tcPr>
            <w:tcW w:w="1300" w:type="dxa"/>
            <w:tcBorders>
              <w:top w:val="nil"/>
              <w:left w:val="nil"/>
              <w:bottom w:val="single" w:sz="4" w:space="0" w:color="auto"/>
              <w:right w:val="single" w:sz="4" w:space="0" w:color="auto"/>
            </w:tcBorders>
            <w:noWrap/>
            <w:vAlign w:val="center"/>
            <w:hideMark/>
          </w:tcPr>
          <w:p w14:paraId="2B4B7E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5084385000</w:t>
            </w:r>
          </w:p>
        </w:tc>
        <w:tc>
          <w:tcPr>
            <w:tcW w:w="1012" w:type="dxa"/>
            <w:tcBorders>
              <w:top w:val="nil"/>
              <w:left w:val="nil"/>
              <w:bottom w:val="single" w:sz="4" w:space="0" w:color="auto"/>
              <w:right w:val="single" w:sz="4" w:space="0" w:color="auto"/>
            </w:tcBorders>
            <w:noWrap/>
            <w:vAlign w:val="center"/>
            <w:hideMark/>
          </w:tcPr>
          <w:p w14:paraId="0A34B0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11413743</w:t>
            </w:r>
          </w:p>
        </w:tc>
        <w:tc>
          <w:tcPr>
            <w:tcW w:w="5953" w:type="dxa"/>
            <w:tcBorders>
              <w:top w:val="nil"/>
              <w:left w:val="nil"/>
              <w:bottom w:val="single" w:sz="4" w:space="0" w:color="auto"/>
              <w:right w:val="single" w:sz="4" w:space="0" w:color="auto"/>
            </w:tcBorders>
            <w:noWrap/>
            <w:vAlign w:val="center"/>
            <w:hideMark/>
          </w:tcPr>
          <w:p w14:paraId="225F7B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SIMONA JENKA</w:t>
            </w:r>
          </w:p>
        </w:tc>
      </w:tr>
      <w:tr w:rsidR="00F24E18" w14:paraId="4778B7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5C40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1437</w:t>
            </w:r>
          </w:p>
        </w:tc>
        <w:tc>
          <w:tcPr>
            <w:tcW w:w="1300" w:type="dxa"/>
            <w:tcBorders>
              <w:top w:val="nil"/>
              <w:left w:val="nil"/>
              <w:bottom w:val="single" w:sz="4" w:space="0" w:color="auto"/>
              <w:right w:val="single" w:sz="4" w:space="0" w:color="auto"/>
            </w:tcBorders>
            <w:noWrap/>
            <w:vAlign w:val="center"/>
            <w:hideMark/>
          </w:tcPr>
          <w:p w14:paraId="4C3567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5083192000</w:t>
            </w:r>
          </w:p>
        </w:tc>
        <w:tc>
          <w:tcPr>
            <w:tcW w:w="1012" w:type="dxa"/>
            <w:tcBorders>
              <w:top w:val="nil"/>
              <w:left w:val="nil"/>
              <w:bottom w:val="single" w:sz="4" w:space="0" w:color="auto"/>
              <w:right w:val="single" w:sz="4" w:space="0" w:color="auto"/>
            </w:tcBorders>
            <w:noWrap/>
            <w:vAlign w:val="center"/>
            <w:hideMark/>
          </w:tcPr>
          <w:p w14:paraId="37D71B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43026141</w:t>
            </w:r>
          </w:p>
        </w:tc>
        <w:tc>
          <w:tcPr>
            <w:tcW w:w="5953" w:type="dxa"/>
            <w:tcBorders>
              <w:top w:val="nil"/>
              <w:left w:val="nil"/>
              <w:bottom w:val="single" w:sz="4" w:space="0" w:color="auto"/>
              <w:right w:val="single" w:sz="4" w:space="0" w:color="auto"/>
            </w:tcBorders>
            <w:noWrap/>
            <w:vAlign w:val="center"/>
            <w:hideMark/>
          </w:tcPr>
          <w:p w14:paraId="5252A4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SIMONA JENKA KRANJ</w:t>
            </w:r>
          </w:p>
        </w:tc>
      </w:tr>
      <w:tr w:rsidR="00F24E18" w14:paraId="2F51BD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3738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1438</w:t>
            </w:r>
          </w:p>
        </w:tc>
        <w:tc>
          <w:tcPr>
            <w:tcW w:w="1300" w:type="dxa"/>
            <w:tcBorders>
              <w:top w:val="nil"/>
              <w:left w:val="nil"/>
              <w:bottom w:val="single" w:sz="4" w:space="0" w:color="auto"/>
              <w:right w:val="single" w:sz="4" w:space="0" w:color="auto"/>
            </w:tcBorders>
            <w:noWrap/>
            <w:vAlign w:val="center"/>
            <w:hideMark/>
          </w:tcPr>
          <w:p w14:paraId="4A8C07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5085144000</w:t>
            </w:r>
          </w:p>
        </w:tc>
        <w:tc>
          <w:tcPr>
            <w:tcW w:w="1012" w:type="dxa"/>
            <w:tcBorders>
              <w:top w:val="nil"/>
              <w:left w:val="nil"/>
              <w:bottom w:val="single" w:sz="4" w:space="0" w:color="auto"/>
              <w:right w:val="single" w:sz="4" w:space="0" w:color="auto"/>
            </w:tcBorders>
            <w:noWrap/>
            <w:vAlign w:val="center"/>
            <w:hideMark/>
          </w:tcPr>
          <w:p w14:paraId="790DE4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74840959</w:t>
            </w:r>
          </w:p>
        </w:tc>
        <w:tc>
          <w:tcPr>
            <w:tcW w:w="5953" w:type="dxa"/>
            <w:tcBorders>
              <w:top w:val="nil"/>
              <w:left w:val="nil"/>
              <w:bottom w:val="single" w:sz="4" w:space="0" w:color="auto"/>
              <w:right w:val="single" w:sz="4" w:space="0" w:color="auto"/>
            </w:tcBorders>
            <w:noWrap/>
            <w:vAlign w:val="center"/>
            <w:hideMark/>
          </w:tcPr>
          <w:p w14:paraId="24FD95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SLADKI VRH</w:t>
            </w:r>
          </w:p>
        </w:tc>
      </w:tr>
      <w:tr w:rsidR="00F24E18" w14:paraId="5AE87B7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D977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1439</w:t>
            </w:r>
          </w:p>
        </w:tc>
        <w:tc>
          <w:tcPr>
            <w:tcW w:w="1300" w:type="dxa"/>
            <w:tcBorders>
              <w:top w:val="nil"/>
              <w:left w:val="nil"/>
              <w:bottom w:val="single" w:sz="4" w:space="0" w:color="auto"/>
              <w:right w:val="single" w:sz="4" w:space="0" w:color="auto"/>
            </w:tcBorders>
            <w:noWrap/>
            <w:vAlign w:val="center"/>
            <w:hideMark/>
          </w:tcPr>
          <w:p w14:paraId="4ABA87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5085322000</w:t>
            </w:r>
          </w:p>
        </w:tc>
        <w:tc>
          <w:tcPr>
            <w:tcW w:w="1012" w:type="dxa"/>
            <w:tcBorders>
              <w:top w:val="nil"/>
              <w:left w:val="nil"/>
              <w:bottom w:val="single" w:sz="4" w:space="0" w:color="auto"/>
              <w:right w:val="single" w:sz="4" w:space="0" w:color="auto"/>
            </w:tcBorders>
            <w:noWrap/>
            <w:vAlign w:val="center"/>
            <w:hideMark/>
          </w:tcPr>
          <w:p w14:paraId="70FE19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38028654</w:t>
            </w:r>
          </w:p>
        </w:tc>
        <w:tc>
          <w:tcPr>
            <w:tcW w:w="5953" w:type="dxa"/>
            <w:tcBorders>
              <w:top w:val="nil"/>
              <w:left w:val="nil"/>
              <w:bottom w:val="single" w:sz="4" w:space="0" w:color="auto"/>
              <w:right w:val="single" w:sz="4" w:space="0" w:color="auto"/>
            </w:tcBorders>
            <w:noWrap/>
            <w:vAlign w:val="center"/>
            <w:hideMark/>
          </w:tcPr>
          <w:p w14:paraId="5F299F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SLAVE KLAVORE MARIBOR</w:t>
            </w:r>
          </w:p>
        </w:tc>
      </w:tr>
      <w:tr w:rsidR="00F24E18" w14:paraId="1C7EA1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D686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1440</w:t>
            </w:r>
          </w:p>
        </w:tc>
        <w:tc>
          <w:tcPr>
            <w:tcW w:w="1300" w:type="dxa"/>
            <w:tcBorders>
              <w:top w:val="nil"/>
              <w:left w:val="nil"/>
              <w:bottom w:val="single" w:sz="4" w:space="0" w:color="auto"/>
              <w:right w:val="single" w:sz="4" w:space="0" w:color="auto"/>
            </w:tcBorders>
            <w:vAlign w:val="center"/>
            <w:hideMark/>
          </w:tcPr>
          <w:p w14:paraId="77EF4A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5087791000</w:t>
            </w:r>
          </w:p>
        </w:tc>
        <w:tc>
          <w:tcPr>
            <w:tcW w:w="1012" w:type="dxa"/>
            <w:tcBorders>
              <w:top w:val="nil"/>
              <w:left w:val="nil"/>
              <w:bottom w:val="single" w:sz="4" w:space="0" w:color="auto"/>
              <w:right w:val="single" w:sz="4" w:space="0" w:color="auto"/>
            </w:tcBorders>
            <w:vAlign w:val="center"/>
            <w:hideMark/>
          </w:tcPr>
          <w:p w14:paraId="3212A0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33404569</w:t>
            </w:r>
          </w:p>
        </w:tc>
        <w:tc>
          <w:tcPr>
            <w:tcW w:w="5953" w:type="dxa"/>
            <w:tcBorders>
              <w:top w:val="nil"/>
              <w:left w:val="nil"/>
              <w:bottom w:val="single" w:sz="4" w:space="0" w:color="auto"/>
              <w:right w:val="single" w:sz="4" w:space="0" w:color="auto"/>
            </w:tcBorders>
            <w:noWrap/>
            <w:vAlign w:val="center"/>
            <w:hideMark/>
          </w:tcPr>
          <w:p w14:paraId="0FA733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SLIVNICA PRI CELJU</w:t>
            </w:r>
          </w:p>
        </w:tc>
      </w:tr>
      <w:tr w:rsidR="00F24E18" w14:paraId="7425EF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10EA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1441</w:t>
            </w:r>
          </w:p>
        </w:tc>
        <w:tc>
          <w:tcPr>
            <w:tcW w:w="1300" w:type="dxa"/>
            <w:tcBorders>
              <w:top w:val="nil"/>
              <w:left w:val="nil"/>
              <w:bottom w:val="single" w:sz="4" w:space="0" w:color="auto"/>
              <w:right w:val="single" w:sz="4" w:space="0" w:color="auto"/>
            </w:tcBorders>
            <w:vAlign w:val="center"/>
            <w:hideMark/>
          </w:tcPr>
          <w:p w14:paraId="41067A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5089042000</w:t>
            </w:r>
          </w:p>
        </w:tc>
        <w:tc>
          <w:tcPr>
            <w:tcW w:w="1012" w:type="dxa"/>
            <w:tcBorders>
              <w:top w:val="nil"/>
              <w:left w:val="nil"/>
              <w:bottom w:val="single" w:sz="4" w:space="0" w:color="auto"/>
              <w:right w:val="single" w:sz="4" w:space="0" w:color="auto"/>
            </w:tcBorders>
            <w:vAlign w:val="center"/>
            <w:hideMark/>
          </w:tcPr>
          <w:p w14:paraId="30A4F9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15978346</w:t>
            </w:r>
          </w:p>
        </w:tc>
        <w:tc>
          <w:tcPr>
            <w:tcW w:w="5953" w:type="dxa"/>
            <w:tcBorders>
              <w:top w:val="nil"/>
              <w:left w:val="nil"/>
              <w:bottom w:val="single" w:sz="4" w:space="0" w:color="auto"/>
              <w:right w:val="single" w:sz="4" w:space="0" w:color="auto"/>
            </w:tcBorders>
            <w:noWrap/>
            <w:vAlign w:val="center"/>
            <w:hideMark/>
          </w:tcPr>
          <w:p w14:paraId="440E50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SOLKAN</w:t>
            </w:r>
          </w:p>
        </w:tc>
      </w:tr>
      <w:tr w:rsidR="00F24E18" w14:paraId="701ABF9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6A09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1442</w:t>
            </w:r>
          </w:p>
        </w:tc>
        <w:tc>
          <w:tcPr>
            <w:tcW w:w="1300" w:type="dxa"/>
            <w:tcBorders>
              <w:top w:val="nil"/>
              <w:left w:val="nil"/>
              <w:bottom w:val="single" w:sz="4" w:space="0" w:color="auto"/>
              <w:right w:val="single" w:sz="4" w:space="0" w:color="auto"/>
            </w:tcBorders>
            <w:noWrap/>
            <w:vAlign w:val="center"/>
            <w:hideMark/>
          </w:tcPr>
          <w:p w14:paraId="74FBAB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5083788000</w:t>
            </w:r>
          </w:p>
        </w:tc>
        <w:tc>
          <w:tcPr>
            <w:tcW w:w="1012" w:type="dxa"/>
            <w:tcBorders>
              <w:top w:val="nil"/>
              <w:left w:val="nil"/>
              <w:bottom w:val="single" w:sz="4" w:space="0" w:color="auto"/>
              <w:right w:val="single" w:sz="4" w:space="0" w:color="auto"/>
            </w:tcBorders>
            <w:noWrap/>
            <w:vAlign w:val="center"/>
            <w:hideMark/>
          </w:tcPr>
          <w:p w14:paraId="75F8B1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10527397</w:t>
            </w:r>
          </w:p>
        </w:tc>
        <w:tc>
          <w:tcPr>
            <w:tcW w:w="5953" w:type="dxa"/>
            <w:tcBorders>
              <w:top w:val="nil"/>
              <w:left w:val="nil"/>
              <w:bottom w:val="single" w:sz="4" w:space="0" w:color="auto"/>
              <w:right w:val="single" w:sz="4" w:space="0" w:color="auto"/>
            </w:tcBorders>
            <w:noWrap/>
            <w:vAlign w:val="center"/>
            <w:hideMark/>
          </w:tcPr>
          <w:p w14:paraId="60BA8F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SPODNJA IDRIJA</w:t>
            </w:r>
          </w:p>
        </w:tc>
      </w:tr>
      <w:tr w:rsidR="00F24E18" w14:paraId="73F529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3612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1443</w:t>
            </w:r>
          </w:p>
        </w:tc>
        <w:tc>
          <w:tcPr>
            <w:tcW w:w="1300" w:type="dxa"/>
            <w:tcBorders>
              <w:top w:val="nil"/>
              <w:left w:val="nil"/>
              <w:bottom w:val="single" w:sz="4" w:space="0" w:color="auto"/>
              <w:right w:val="single" w:sz="4" w:space="0" w:color="auto"/>
            </w:tcBorders>
            <w:vAlign w:val="center"/>
            <w:hideMark/>
          </w:tcPr>
          <w:p w14:paraId="2E7552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5084326000</w:t>
            </w:r>
          </w:p>
        </w:tc>
        <w:tc>
          <w:tcPr>
            <w:tcW w:w="1012" w:type="dxa"/>
            <w:tcBorders>
              <w:top w:val="nil"/>
              <w:left w:val="nil"/>
              <w:bottom w:val="single" w:sz="4" w:space="0" w:color="auto"/>
              <w:right w:val="single" w:sz="4" w:space="0" w:color="auto"/>
            </w:tcBorders>
            <w:vAlign w:val="center"/>
            <w:hideMark/>
          </w:tcPr>
          <w:p w14:paraId="65E232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94204390</w:t>
            </w:r>
          </w:p>
        </w:tc>
        <w:tc>
          <w:tcPr>
            <w:tcW w:w="5953" w:type="dxa"/>
            <w:tcBorders>
              <w:top w:val="nil"/>
              <w:left w:val="nil"/>
              <w:bottom w:val="single" w:sz="4" w:space="0" w:color="auto"/>
              <w:right w:val="single" w:sz="4" w:space="0" w:color="auto"/>
            </w:tcBorders>
            <w:noWrap/>
            <w:vAlign w:val="center"/>
            <w:hideMark/>
          </w:tcPr>
          <w:p w14:paraId="31BB27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SPODNJA ŠIŠKA</w:t>
            </w:r>
          </w:p>
        </w:tc>
      </w:tr>
      <w:tr w:rsidR="00F24E18" w14:paraId="6BB28C8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5128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1444</w:t>
            </w:r>
          </w:p>
        </w:tc>
        <w:tc>
          <w:tcPr>
            <w:tcW w:w="1300" w:type="dxa"/>
            <w:tcBorders>
              <w:top w:val="nil"/>
              <w:left w:val="nil"/>
              <w:bottom w:val="single" w:sz="4" w:space="0" w:color="auto"/>
              <w:right w:val="single" w:sz="4" w:space="0" w:color="auto"/>
            </w:tcBorders>
            <w:vAlign w:val="center"/>
            <w:hideMark/>
          </w:tcPr>
          <w:p w14:paraId="079691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5210429000</w:t>
            </w:r>
          </w:p>
        </w:tc>
        <w:tc>
          <w:tcPr>
            <w:tcW w:w="1012" w:type="dxa"/>
            <w:tcBorders>
              <w:top w:val="nil"/>
              <w:left w:val="nil"/>
              <w:bottom w:val="single" w:sz="4" w:space="0" w:color="auto"/>
              <w:right w:val="single" w:sz="4" w:space="0" w:color="auto"/>
            </w:tcBorders>
            <w:vAlign w:val="center"/>
            <w:hideMark/>
          </w:tcPr>
          <w:p w14:paraId="3652AD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94094306</w:t>
            </w:r>
          </w:p>
        </w:tc>
        <w:tc>
          <w:tcPr>
            <w:tcW w:w="5953" w:type="dxa"/>
            <w:tcBorders>
              <w:top w:val="nil"/>
              <w:left w:val="nil"/>
              <w:bottom w:val="single" w:sz="4" w:space="0" w:color="auto"/>
              <w:right w:val="single" w:sz="4" w:space="0" w:color="auto"/>
            </w:tcBorders>
            <w:noWrap/>
            <w:vAlign w:val="center"/>
            <w:hideMark/>
          </w:tcPr>
          <w:p w14:paraId="1CC925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SREČKA KOSOVELA</w:t>
            </w:r>
          </w:p>
        </w:tc>
      </w:tr>
      <w:tr w:rsidR="00F24E18" w14:paraId="14093A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C51B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1445</w:t>
            </w:r>
          </w:p>
        </w:tc>
        <w:tc>
          <w:tcPr>
            <w:tcW w:w="1300" w:type="dxa"/>
            <w:tcBorders>
              <w:top w:val="nil"/>
              <w:left w:val="nil"/>
              <w:bottom w:val="single" w:sz="4" w:space="0" w:color="auto"/>
              <w:right w:val="single" w:sz="4" w:space="0" w:color="auto"/>
            </w:tcBorders>
            <w:noWrap/>
            <w:vAlign w:val="center"/>
            <w:hideMark/>
          </w:tcPr>
          <w:p w14:paraId="13BC50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5086426000</w:t>
            </w:r>
          </w:p>
        </w:tc>
        <w:tc>
          <w:tcPr>
            <w:tcW w:w="1012" w:type="dxa"/>
            <w:tcBorders>
              <w:top w:val="nil"/>
              <w:left w:val="nil"/>
              <w:bottom w:val="single" w:sz="4" w:space="0" w:color="auto"/>
              <w:right w:val="single" w:sz="4" w:space="0" w:color="auto"/>
            </w:tcBorders>
            <w:noWrap/>
            <w:vAlign w:val="center"/>
            <w:hideMark/>
          </w:tcPr>
          <w:p w14:paraId="3A5C5F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92129196</w:t>
            </w:r>
          </w:p>
        </w:tc>
        <w:tc>
          <w:tcPr>
            <w:tcW w:w="5953" w:type="dxa"/>
            <w:tcBorders>
              <w:top w:val="nil"/>
              <w:left w:val="nil"/>
              <w:bottom w:val="single" w:sz="4" w:space="0" w:color="auto"/>
              <w:right w:val="single" w:sz="4" w:space="0" w:color="auto"/>
            </w:tcBorders>
            <w:noWrap/>
            <w:vAlign w:val="center"/>
            <w:hideMark/>
          </w:tcPr>
          <w:p w14:paraId="04CBA8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SREDIŠČE OB DRAVI</w:t>
            </w:r>
          </w:p>
        </w:tc>
      </w:tr>
      <w:tr w:rsidR="00F24E18" w14:paraId="651B3E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1670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1446</w:t>
            </w:r>
          </w:p>
        </w:tc>
        <w:tc>
          <w:tcPr>
            <w:tcW w:w="1300" w:type="dxa"/>
            <w:tcBorders>
              <w:top w:val="nil"/>
              <w:left w:val="nil"/>
              <w:bottom w:val="single" w:sz="4" w:space="0" w:color="auto"/>
              <w:right w:val="single" w:sz="4" w:space="0" w:color="auto"/>
            </w:tcBorders>
            <w:noWrap/>
            <w:vAlign w:val="center"/>
            <w:hideMark/>
          </w:tcPr>
          <w:p w14:paraId="14D5B9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5083206000</w:t>
            </w:r>
          </w:p>
        </w:tc>
        <w:tc>
          <w:tcPr>
            <w:tcW w:w="1012" w:type="dxa"/>
            <w:tcBorders>
              <w:top w:val="nil"/>
              <w:left w:val="nil"/>
              <w:bottom w:val="single" w:sz="4" w:space="0" w:color="auto"/>
              <w:right w:val="single" w:sz="4" w:space="0" w:color="auto"/>
            </w:tcBorders>
            <w:vAlign w:val="center"/>
            <w:hideMark/>
          </w:tcPr>
          <w:p w14:paraId="6633A9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88156176</w:t>
            </w:r>
          </w:p>
        </w:tc>
        <w:tc>
          <w:tcPr>
            <w:tcW w:w="5953" w:type="dxa"/>
            <w:tcBorders>
              <w:top w:val="nil"/>
              <w:left w:val="nil"/>
              <w:bottom w:val="single" w:sz="4" w:space="0" w:color="auto"/>
              <w:right w:val="single" w:sz="4" w:space="0" w:color="auto"/>
            </w:tcBorders>
            <w:noWrap/>
            <w:vAlign w:val="center"/>
            <w:hideMark/>
          </w:tcPr>
          <w:p w14:paraId="66EB1F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STANETA ŽAGARJA KRANJ</w:t>
            </w:r>
          </w:p>
        </w:tc>
      </w:tr>
      <w:tr w:rsidR="00F24E18" w14:paraId="15C399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4738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1447</w:t>
            </w:r>
          </w:p>
        </w:tc>
        <w:tc>
          <w:tcPr>
            <w:tcW w:w="1300" w:type="dxa"/>
            <w:tcBorders>
              <w:top w:val="nil"/>
              <w:left w:val="nil"/>
              <w:bottom w:val="single" w:sz="4" w:space="0" w:color="auto"/>
              <w:right w:val="single" w:sz="4" w:space="0" w:color="auto"/>
            </w:tcBorders>
            <w:noWrap/>
            <w:vAlign w:val="center"/>
            <w:hideMark/>
          </w:tcPr>
          <w:p w14:paraId="044FFB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5087333000</w:t>
            </w:r>
          </w:p>
        </w:tc>
        <w:tc>
          <w:tcPr>
            <w:tcW w:w="1012" w:type="dxa"/>
            <w:tcBorders>
              <w:top w:val="nil"/>
              <w:left w:val="nil"/>
              <w:bottom w:val="single" w:sz="4" w:space="0" w:color="auto"/>
              <w:right w:val="single" w:sz="4" w:space="0" w:color="auto"/>
            </w:tcBorders>
            <w:noWrap/>
            <w:vAlign w:val="center"/>
            <w:hideMark/>
          </w:tcPr>
          <w:p w14:paraId="0B6DEF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81968060</w:t>
            </w:r>
          </w:p>
        </w:tc>
        <w:tc>
          <w:tcPr>
            <w:tcW w:w="5953" w:type="dxa"/>
            <w:tcBorders>
              <w:top w:val="nil"/>
              <w:left w:val="nil"/>
              <w:bottom w:val="single" w:sz="4" w:space="0" w:color="auto"/>
              <w:right w:val="single" w:sz="4" w:space="0" w:color="auto"/>
            </w:tcBorders>
            <w:noWrap/>
            <w:vAlign w:val="center"/>
            <w:hideMark/>
          </w:tcPr>
          <w:p w14:paraId="138CA5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STANETA ŽAGARJA LIPNICA</w:t>
            </w:r>
          </w:p>
        </w:tc>
      </w:tr>
      <w:tr w:rsidR="00F24E18" w14:paraId="23A8E4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D26C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1448</w:t>
            </w:r>
          </w:p>
        </w:tc>
        <w:tc>
          <w:tcPr>
            <w:tcW w:w="1300" w:type="dxa"/>
            <w:tcBorders>
              <w:top w:val="nil"/>
              <w:left w:val="nil"/>
              <w:bottom w:val="single" w:sz="4" w:space="0" w:color="auto"/>
              <w:right w:val="single" w:sz="4" w:space="0" w:color="auto"/>
            </w:tcBorders>
            <w:noWrap/>
            <w:vAlign w:val="center"/>
            <w:hideMark/>
          </w:tcPr>
          <w:p w14:paraId="229B09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5171059000</w:t>
            </w:r>
          </w:p>
        </w:tc>
        <w:tc>
          <w:tcPr>
            <w:tcW w:w="1012" w:type="dxa"/>
            <w:tcBorders>
              <w:top w:val="nil"/>
              <w:left w:val="nil"/>
              <w:bottom w:val="single" w:sz="4" w:space="0" w:color="auto"/>
              <w:right w:val="single" w:sz="4" w:space="0" w:color="auto"/>
            </w:tcBorders>
            <w:noWrap/>
            <w:vAlign w:val="center"/>
            <w:hideMark/>
          </w:tcPr>
          <w:p w14:paraId="30D6E0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10523677</w:t>
            </w:r>
          </w:p>
        </w:tc>
        <w:tc>
          <w:tcPr>
            <w:tcW w:w="5953" w:type="dxa"/>
            <w:tcBorders>
              <w:top w:val="nil"/>
              <w:left w:val="nil"/>
              <w:bottom w:val="single" w:sz="4" w:space="0" w:color="auto"/>
              <w:right w:val="single" w:sz="4" w:space="0" w:color="auto"/>
            </w:tcBorders>
            <w:noWrap/>
            <w:vAlign w:val="center"/>
            <w:hideMark/>
          </w:tcPr>
          <w:p w14:paraId="3E6E2C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STANKA VRAZA ORMOŽ</w:t>
            </w:r>
          </w:p>
        </w:tc>
      </w:tr>
      <w:tr w:rsidR="00F24E18" w14:paraId="59DC9D6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5867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1449</w:t>
            </w:r>
          </w:p>
        </w:tc>
        <w:tc>
          <w:tcPr>
            <w:tcW w:w="1300" w:type="dxa"/>
            <w:tcBorders>
              <w:top w:val="nil"/>
              <w:left w:val="nil"/>
              <w:bottom w:val="single" w:sz="4" w:space="0" w:color="auto"/>
              <w:right w:val="single" w:sz="4" w:space="0" w:color="auto"/>
            </w:tcBorders>
            <w:noWrap/>
            <w:vAlign w:val="center"/>
            <w:hideMark/>
          </w:tcPr>
          <w:p w14:paraId="577E16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5085314000</w:t>
            </w:r>
          </w:p>
        </w:tc>
        <w:tc>
          <w:tcPr>
            <w:tcW w:w="1012" w:type="dxa"/>
            <w:tcBorders>
              <w:top w:val="nil"/>
              <w:left w:val="nil"/>
              <w:bottom w:val="single" w:sz="4" w:space="0" w:color="auto"/>
              <w:right w:val="single" w:sz="4" w:space="0" w:color="auto"/>
            </w:tcBorders>
            <w:noWrap/>
            <w:vAlign w:val="center"/>
            <w:hideMark/>
          </w:tcPr>
          <w:p w14:paraId="1B27CB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25722824</w:t>
            </w:r>
          </w:p>
        </w:tc>
        <w:tc>
          <w:tcPr>
            <w:tcW w:w="5953" w:type="dxa"/>
            <w:tcBorders>
              <w:top w:val="nil"/>
              <w:left w:val="nil"/>
              <w:bottom w:val="single" w:sz="4" w:space="0" w:color="auto"/>
              <w:right w:val="single" w:sz="4" w:space="0" w:color="auto"/>
            </w:tcBorders>
            <w:noWrap/>
            <w:vAlign w:val="center"/>
            <w:hideMark/>
          </w:tcPr>
          <w:p w14:paraId="60BD51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STARŠE</w:t>
            </w:r>
          </w:p>
        </w:tc>
      </w:tr>
      <w:tr w:rsidR="00F24E18" w14:paraId="2909FD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8F14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1450</w:t>
            </w:r>
          </w:p>
        </w:tc>
        <w:tc>
          <w:tcPr>
            <w:tcW w:w="1300" w:type="dxa"/>
            <w:tcBorders>
              <w:top w:val="nil"/>
              <w:left w:val="nil"/>
              <w:bottom w:val="single" w:sz="4" w:space="0" w:color="auto"/>
              <w:right w:val="single" w:sz="4" w:space="0" w:color="auto"/>
            </w:tcBorders>
            <w:noWrap/>
            <w:vAlign w:val="center"/>
            <w:hideMark/>
          </w:tcPr>
          <w:p w14:paraId="2F1E69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5623677000</w:t>
            </w:r>
          </w:p>
        </w:tc>
        <w:tc>
          <w:tcPr>
            <w:tcW w:w="1012" w:type="dxa"/>
            <w:tcBorders>
              <w:top w:val="nil"/>
              <w:left w:val="nil"/>
              <w:bottom w:val="single" w:sz="4" w:space="0" w:color="auto"/>
              <w:right w:val="single" w:sz="4" w:space="0" w:color="auto"/>
            </w:tcBorders>
            <w:noWrap/>
            <w:vAlign w:val="center"/>
            <w:hideMark/>
          </w:tcPr>
          <w:p w14:paraId="3CC9AE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67259375</w:t>
            </w:r>
          </w:p>
        </w:tc>
        <w:tc>
          <w:tcPr>
            <w:tcW w:w="5953" w:type="dxa"/>
            <w:tcBorders>
              <w:top w:val="nil"/>
              <w:left w:val="nil"/>
              <w:bottom w:val="single" w:sz="4" w:space="0" w:color="auto"/>
              <w:right w:val="single" w:sz="4" w:space="0" w:color="auto"/>
            </w:tcBorders>
            <w:noWrap/>
            <w:vAlign w:val="center"/>
            <w:hideMark/>
          </w:tcPr>
          <w:p w14:paraId="203840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STIČNA</w:t>
            </w:r>
          </w:p>
        </w:tc>
      </w:tr>
      <w:tr w:rsidR="00F24E18" w14:paraId="24A17CC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59E5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1451</w:t>
            </w:r>
          </w:p>
        </w:tc>
        <w:tc>
          <w:tcPr>
            <w:tcW w:w="1300" w:type="dxa"/>
            <w:tcBorders>
              <w:top w:val="nil"/>
              <w:left w:val="nil"/>
              <w:bottom w:val="single" w:sz="4" w:space="0" w:color="auto"/>
              <w:right w:val="single" w:sz="4" w:space="0" w:color="auto"/>
            </w:tcBorders>
            <w:noWrap/>
            <w:vAlign w:val="center"/>
            <w:hideMark/>
          </w:tcPr>
          <w:p w14:paraId="36BBE0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5086833000</w:t>
            </w:r>
          </w:p>
        </w:tc>
        <w:tc>
          <w:tcPr>
            <w:tcW w:w="1012" w:type="dxa"/>
            <w:tcBorders>
              <w:top w:val="nil"/>
              <w:left w:val="nil"/>
              <w:bottom w:val="single" w:sz="4" w:space="0" w:color="auto"/>
              <w:right w:val="single" w:sz="4" w:space="0" w:color="auto"/>
            </w:tcBorders>
            <w:noWrap/>
            <w:vAlign w:val="center"/>
            <w:hideMark/>
          </w:tcPr>
          <w:p w14:paraId="60AAEB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92232787</w:t>
            </w:r>
          </w:p>
        </w:tc>
        <w:tc>
          <w:tcPr>
            <w:tcW w:w="5953" w:type="dxa"/>
            <w:tcBorders>
              <w:top w:val="nil"/>
              <w:left w:val="nil"/>
              <w:bottom w:val="single" w:sz="4" w:space="0" w:color="auto"/>
              <w:right w:val="single" w:sz="4" w:space="0" w:color="auto"/>
            </w:tcBorders>
            <w:noWrap/>
            <w:vAlign w:val="center"/>
            <w:hideMark/>
          </w:tcPr>
          <w:p w14:paraId="18237D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STOPIČE</w:t>
            </w:r>
          </w:p>
        </w:tc>
      </w:tr>
      <w:tr w:rsidR="00F24E18" w14:paraId="69489B2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3DB0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1452</w:t>
            </w:r>
          </w:p>
        </w:tc>
        <w:tc>
          <w:tcPr>
            <w:tcW w:w="1300" w:type="dxa"/>
            <w:tcBorders>
              <w:top w:val="nil"/>
              <w:left w:val="nil"/>
              <w:bottom w:val="single" w:sz="4" w:space="0" w:color="auto"/>
              <w:right w:val="single" w:sz="4" w:space="0" w:color="auto"/>
            </w:tcBorders>
            <w:noWrap/>
            <w:vAlign w:val="center"/>
            <w:hideMark/>
          </w:tcPr>
          <w:p w14:paraId="73AF75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5083818000</w:t>
            </w:r>
          </w:p>
        </w:tc>
        <w:tc>
          <w:tcPr>
            <w:tcW w:w="1012" w:type="dxa"/>
            <w:tcBorders>
              <w:top w:val="nil"/>
              <w:left w:val="nil"/>
              <w:bottom w:val="single" w:sz="4" w:space="0" w:color="auto"/>
              <w:right w:val="single" w:sz="4" w:space="0" w:color="auto"/>
            </w:tcBorders>
            <w:noWrap/>
            <w:vAlign w:val="center"/>
            <w:hideMark/>
          </w:tcPr>
          <w:p w14:paraId="2D2A40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21169012</w:t>
            </w:r>
          </w:p>
        </w:tc>
        <w:tc>
          <w:tcPr>
            <w:tcW w:w="5953" w:type="dxa"/>
            <w:tcBorders>
              <w:top w:val="nil"/>
              <w:left w:val="nil"/>
              <w:bottom w:val="single" w:sz="4" w:space="0" w:color="auto"/>
              <w:right w:val="single" w:sz="4" w:space="0" w:color="auto"/>
            </w:tcBorders>
            <w:noWrap/>
            <w:vAlign w:val="center"/>
            <w:hideMark/>
          </w:tcPr>
          <w:p w14:paraId="490894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STRANJE</w:t>
            </w:r>
          </w:p>
        </w:tc>
      </w:tr>
      <w:tr w:rsidR="00F24E18" w14:paraId="5D2852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7520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1453</w:t>
            </w:r>
          </w:p>
        </w:tc>
        <w:tc>
          <w:tcPr>
            <w:tcW w:w="1300" w:type="dxa"/>
            <w:tcBorders>
              <w:top w:val="nil"/>
              <w:left w:val="nil"/>
              <w:bottom w:val="single" w:sz="4" w:space="0" w:color="auto"/>
              <w:right w:val="single" w:sz="4" w:space="0" w:color="auto"/>
            </w:tcBorders>
            <w:vAlign w:val="center"/>
            <w:hideMark/>
          </w:tcPr>
          <w:p w14:paraId="257D04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5085365000</w:t>
            </w:r>
          </w:p>
        </w:tc>
        <w:tc>
          <w:tcPr>
            <w:tcW w:w="1012" w:type="dxa"/>
            <w:tcBorders>
              <w:top w:val="nil"/>
              <w:left w:val="nil"/>
              <w:bottom w:val="single" w:sz="4" w:space="0" w:color="auto"/>
              <w:right w:val="single" w:sz="4" w:space="0" w:color="auto"/>
            </w:tcBorders>
            <w:vAlign w:val="center"/>
            <w:hideMark/>
          </w:tcPr>
          <w:p w14:paraId="481B06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80750842</w:t>
            </w:r>
          </w:p>
        </w:tc>
        <w:tc>
          <w:tcPr>
            <w:tcW w:w="5953" w:type="dxa"/>
            <w:tcBorders>
              <w:top w:val="nil"/>
              <w:left w:val="nil"/>
              <w:bottom w:val="single" w:sz="4" w:space="0" w:color="auto"/>
              <w:right w:val="single" w:sz="4" w:space="0" w:color="auto"/>
            </w:tcBorders>
            <w:noWrap/>
            <w:vAlign w:val="center"/>
            <w:hideMark/>
          </w:tcPr>
          <w:p w14:paraId="4FE347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STRAŽIŠČE KRANJ</w:t>
            </w:r>
          </w:p>
        </w:tc>
      </w:tr>
      <w:tr w:rsidR="00F24E18" w14:paraId="557A8F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F2B1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1454</w:t>
            </w:r>
          </w:p>
        </w:tc>
        <w:tc>
          <w:tcPr>
            <w:tcW w:w="1300" w:type="dxa"/>
            <w:tcBorders>
              <w:top w:val="nil"/>
              <w:left w:val="nil"/>
              <w:bottom w:val="single" w:sz="4" w:space="0" w:color="auto"/>
              <w:right w:val="single" w:sz="4" w:space="0" w:color="auto"/>
            </w:tcBorders>
            <w:noWrap/>
            <w:vAlign w:val="center"/>
            <w:hideMark/>
          </w:tcPr>
          <w:p w14:paraId="6FA383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5083753000</w:t>
            </w:r>
          </w:p>
        </w:tc>
        <w:tc>
          <w:tcPr>
            <w:tcW w:w="1012" w:type="dxa"/>
            <w:tcBorders>
              <w:top w:val="nil"/>
              <w:left w:val="nil"/>
              <w:bottom w:val="single" w:sz="4" w:space="0" w:color="auto"/>
              <w:right w:val="single" w:sz="4" w:space="0" w:color="auto"/>
            </w:tcBorders>
            <w:noWrap/>
            <w:vAlign w:val="center"/>
            <w:hideMark/>
          </w:tcPr>
          <w:p w14:paraId="6EEEA1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19644051</w:t>
            </w:r>
          </w:p>
        </w:tc>
        <w:tc>
          <w:tcPr>
            <w:tcW w:w="5953" w:type="dxa"/>
            <w:tcBorders>
              <w:top w:val="nil"/>
              <w:left w:val="nil"/>
              <w:bottom w:val="single" w:sz="4" w:space="0" w:color="auto"/>
              <w:right w:val="single" w:sz="4" w:space="0" w:color="auto"/>
            </w:tcBorders>
            <w:noWrap/>
            <w:vAlign w:val="center"/>
            <w:hideMark/>
          </w:tcPr>
          <w:p w14:paraId="53C55C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SV. JURIJ OB ŠČAVNICI</w:t>
            </w:r>
          </w:p>
        </w:tc>
      </w:tr>
      <w:tr w:rsidR="00F24E18" w14:paraId="458098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CD51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1455</w:t>
            </w:r>
          </w:p>
        </w:tc>
        <w:tc>
          <w:tcPr>
            <w:tcW w:w="1300" w:type="dxa"/>
            <w:tcBorders>
              <w:top w:val="nil"/>
              <w:left w:val="nil"/>
              <w:bottom w:val="single" w:sz="4" w:space="0" w:color="auto"/>
              <w:right w:val="single" w:sz="4" w:space="0" w:color="auto"/>
            </w:tcBorders>
            <w:noWrap/>
            <w:vAlign w:val="center"/>
            <w:hideMark/>
          </w:tcPr>
          <w:p w14:paraId="34B261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5084865000</w:t>
            </w:r>
          </w:p>
        </w:tc>
        <w:tc>
          <w:tcPr>
            <w:tcW w:w="1012" w:type="dxa"/>
            <w:tcBorders>
              <w:top w:val="nil"/>
              <w:left w:val="nil"/>
              <w:bottom w:val="single" w:sz="4" w:space="0" w:color="auto"/>
              <w:right w:val="single" w:sz="4" w:space="0" w:color="auto"/>
            </w:tcBorders>
            <w:noWrap/>
            <w:vAlign w:val="center"/>
            <w:hideMark/>
          </w:tcPr>
          <w:p w14:paraId="3A4A01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81069472</w:t>
            </w:r>
          </w:p>
        </w:tc>
        <w:tc>
          <w:tcPr>
            <w:tcW w:w="5953" w:type="dxa"/>
            <w:tcBorders>
              <w:top w:val="nil"/>
              <w:left w:val="nil"/>
              <w:bottom w:val="single" w:sz="4" w:space="0" w:color="auto"/>
              <w:right w:val="single" w:sz="4" w:space="0" w:color="auto"/>
            </w:tcBorders>
            <w:noWrap/>
            <w:vAlign w:val="center"/>
            <w:hideMark/>
          </w:tcPr>
          <w:p w14:paraId="4427CA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SVETA ANA</w:t>
            </w:r>
          </w:p>
        </w:tc>
      </w:tr>
      <w:tr w:rsidR="00F24E18" w14:paraId="705B5DB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5D4B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1456</w:t>
            </w:r>
          </w:p>
        </w:tc>
        <w:tc>
          <w:tcPr>
            <w:tcW w:w="1300" w:type="dxa"/>
            <w:tcBorders>
              <w:top w:val="nil"/>
              <w:left w:val="nil"/>
              <w:bottom w:val="single" w:sz="4" w:space="0" w:color="auto"/>
              <w:right w:val="single" w:sz="4" w:space="0" w:color="auto"/>
            </w:tcBorders>
            <w:noWrap/>
            <w:vAlign w:val="center"/>
            <w:hideMark/>
          </w:tcPr>
          <w:p w14:paraId="232F0A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5085705000</w:t>
            </w:r>
          </w:p>
        </w:tc>
        <w:tc>
          <w:tcPr>
            <w:tcW w:w="1012" w:type="dxa"/>
            <w:tcBorders>
              <w:top w:val="nil"/>
              <w:left w:val="nil"/>
              <w:bottom w:val="single" w:sz="4" w:space="0" w:color="auto"/>
              <w:right w:val="single" w:sz="4" w:space="0" w:color="auto"/>
            </w:tcBorders>
            <w:noWrap/>
            <w:vAlign w:val="center"/>
            <w:hideMark/>
          </w:tcPr>
          <w:p w14:paraId="5EA5E7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99951525</w:t>
            </w:r>
          </w:p>
        </w:tc>
        <w:tc>
          <w:tcPr>
            <w:tcW w:w="5953" w:type="dxa"/>
            <w:tcBorders>
              <w:top w:val="nil"/>
              <w:left w:val="nil"/>
              <w:bottom w:val="single" w:sz="4" w:space="0" w:color="auto"/>
              <w:right w:val="single" w:sz="4" w:space="0" w:color="auto"/>
            </w:tcBorders>
            <w:noWrap/>
            <w:vAlign w:val="center"/>
            <w:hideMark/>
          </w:tcPr>
          <w:p w14:paraId="1DA224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SVETI JURIJ</w:t>
            </w:r>
          </w:p>
        </w:tc>
      </w:tr>
      <w:tr w:rsidR="00F24E18" w14:paraId="3FF89E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26BD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1457</w:t>
            </w:r>
          </w:p>
        </w:tc>
        <w:tc>
          <w:tcPr>
            <w:tcW w:w="1300" w:type="dxa"/>
            <w:tcBorders>
              <w:top w:val="nil"/>
              <w:left w:val="nil"/>
              <w:bottom w:val="single" w:sz="4" w:space="0" w:color="auto"/>
              <w:right w:val="single" w:sz="4" w:space="0" w:color="auto"/>
            </w:tcBorders>
            <w:noWrap/>
            <w:vAlign w:val="center"/>
            <w:hideMark/>
          </w:tcPr>
          <w:p w14:paraId="754EFB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5089166000</w:t>
            </w:r>
          </w:p>
        </w:tc>
        <w:tc>
          <w:tcPr>
            <w:tcW w:w="1012" w:type="dxa"/>
            <w:tcBorders>
              <w:top w:val="nil"/>
              <w:left w:val="nil"/>
              <w:bottom w:val="single" w:sz="4" w:space="0" w:color="auto"/>
              <w:right w:val="single" w:sz="4" w:space="0" w:color="auto"/>
            </w:tcBorders>
            <w:noWrap/>
            <w:vAlign w:val="center"/>
            <w:hideMark/>
          </w:tcPr>
          <w:p w14:paraId="72017F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70846057</w:t>
            </w:r>
          </w:p>
        </w:tc>
        <w:tc>
          <w:tcPr>
            <w:tcW w:w="5953" w:type="dxa"/>
            <w:tcBorders>
              <w:top w:val="nil"/>
              <w:left w:val="nil"/>
              <w:bottom w:val="single" w:sz="4" w:space="0" w:color="auto"/>
              <w:right w:val="single" w:sz="4" w:space="0" w:color="auto"/>
            </w:tcBorders>
            <w:noWrap/>
            <w:vAlign w:val="center"/>
            <w:hideMark/>
          </w:tcPr>
          <w:p w14:paraId="3E78EB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SVETI TOMAŽ</w:t>
            </w:r>
          </w:p>
        </w:tc>
      </w:tr>
      <w:tr w:rsidR="00F24E18" w14:paraId="3290F7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E0DE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1458</w:t>
            </w:r>
          </w:p>
        </w:tc>
        <w:tc>
          <w:tcPr>
            <w:tcW w:w="1300" w:type="dxa"/>
            <w:tcBorders>
              <w:top w:val="nil"/>
              <w:left w:val="nil"/>
              <w:bottom w:val="single" w:sz="4" w:space="0" w:color="auto"/>
              <w:right w:val="single" w:sz="4" w:space="0" w:color="auto"/>
            </w:tcBorders>
            <w:noWrap/>
            <w:vAlign w:val="center"/>
            <w:hideMark/>
          </w:tcPr>
          <w:p w14:paraId="30C7D0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5085713000</w:t>
            </w:r>
          </w:p>
        </w:tc>
        <w:tc>
          <w:tcPr>
            <w:tcW w:w="1012" w:type="dxa"/>
            <w:tcBorders>
              <w:top w:val="nil"/>
              <w:left w:val="nil"/>
              <w:bottom w:val="single" w:sz="4" w:space="0" w:color="auto"/>
              <w:right w:val="single" w:sz="4" w:space="0" w:color="auto"/>
            </w:tcBorders>
            <w:noWrap/>
            <w:vAlign w:val="center"/>
            <w:hideMark/>
          </w:tcPr>
          <w:p w14:paraId="7CA2E8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81487754</w:t>
            </w:r>
          </w:p>
        </w:tc>
        <w:tc>
          <w:tcPr>
            <w:tcW w:w="5953" w:type="dxa"/>
            <w:tcBorders>
              <w:top w:val="nil"/>
              <w:left w:val="nil"/>
              <w:bottom w:val="single" w:sz="4" w:space="0" w:color="auto"/>
              <w:right w:val="single" w:sz="4" w:space="0" w:color="auto"/>
            </w:tcBorders>
            <w:noWrap/>
            <w:vAlign w:val="center"/>
            <w:hideMark/>
          </w:tcPr>
          <w:p w14:paraId="10B2B3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ŠALOVCI</w:t>
            </w:r>
          </w:p>
        </w:tc>
      </w:tr>
      <w:tr w:rsidR="00F24E18" w14:paraId="27374C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60AE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1459</w:t>
            </w:r>
          </w:p>
        </w:tc>
        <w:tc>
          <w:tcPr>
            <w:tcW w:w="1300" w:type="dxa"/>
            <w:tcBorders>
              <w:top w:val="nil"/>
              <w:left w:val="nil"/>
              <w:bottom w:val="single" w:sz="4" w:space="0" w:color="auto"/>
              <w:right w:val="single" w:sz="4" w:space="0" w:color="auto"/>
            </w:tcBorders>
            <w:noWrap/>
            <w:vAlign w:val="center"/>
            <w:hideMark/>
          </w:tcPr>
          <w:p w14:paraId="5E14C1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5086353000</w:t>
            </w:r>
          </w:p>
        </w:tc>
        <w:tc>
          <w:tcPr>
            <w:tcW w:w="1012" w:type="dxa"/>
            <w:tcBorders>
              <w:top w:val="nil"/>
              <w:left w:val="nil"/>
              <w:bottom w:val="single" w:sz="4" w:space="0" w:color="auto"/>
              <w:right w:val="single" w:sz="4" w:space="0" w:color="auto"/>
            </w:tcBorders>
            <w:noWrap/>
            <w:vAlign w:val="center"/>
            <w:hideMark/>
          </w:tcPr>
          <w:p w14:paraId="5D4D05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76094693</w:t>
            </w:r>
          </w:p>
        </w:tc>
        <w:tc>
          <w:tcPr>
            <w:tcW w:w="5953" w:type="dxa"/>
            <w:tcBorders>
              <w:top w:val="nil"/>
              <w:left w:val="nil"/>
              <w:bottom w:val="single" w:sz="4" w:space="0" w:color="auto"/>
              <w:right w:val="single" w:sz="4" w:space="0" w:color="auto"/>
            </w:tcBorders>
            <w:noWrap/>
            <w:vAlign w:val="center"/>
            <w:hideMark/>
          </w:tcPr>
          <w:p w14:paraId="6ECF71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ŠEMPAS</w:t>
            </w:r>
          </w:p>
        </w:tc>
      </w:tr>
      <w:tr w:rsidR="00F24E18" w14:paraId="7E5325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8599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1460</w:t>
            </w:r>
          </w:p>
        </w:tc>
        <w:tc>
          <w:tcPr>
            <w:tcW w:w="1300" w:type="dxa"/>
            <w:tcBorders>
              <w:top w:val="nil"/>
              <w:left w:val="nil"/>
              <w:bottom w:val="single" w:sz="4" w:space="0" w:color="auto"/>
              <w:right w:val="single" w:sz="4" w:space="0" w:color="auto"/>
            </w:tcBorders>
            <w:noWrap/>
            <w:vAlign w:val="center"/>
            <w:hideMark/>
          </w:tcPr>
          <w:p w14:paraId="13546D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5083249000</w:t>
            </w:r>
          </w:p>
        </w:tc>
        <w:tc>
          <w:tcPr>
            <w:tcW w:w="1012" w:type="dxa"/>
            <w:tcBorders>
              <w:top w:val="nil"/>
              <w:left w:val="nil"/>
              <w:bottom w:val="single" w:sz="4" w:space="0" w:color="auto"/>
              <w:right w:val="single" w:sz="4" w:space="0" w:color="auto"/>
            </w:tcBorders>
            <w:noWrap/>
            <w:vAlign w:val="center"/>
            <w:hideMark/>
          </w:tcPr>
          <w:p w14:paraId="28F819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36605069</w:t>
            </w:r>
          </w:p>
        </w:tc>
        <w:tc>
          <w:tcPr>
            <w:tcW w:w="5953" w:type="dxa"/>
            <w:tcBorders>
              <w:top w:val="nil"/>
              <w:left w:val="nil"/>
              <w:bottom w:val="single" w:sz="4" w:space="0" w:color="auto"/>
              <w:right w:val="single" w:sz="4" w:space="0" w:color="auto"/>
            </w:tcBorders>
            <w:noWrap/>
            <w:vAlign w:val="center"/>
            <w:hideMark/>
          </w:tcPr>
          <w:p w14:paraId="50F5BC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ŠENČUR</w:t>
            </w:r>
          </w:p>
        </w:tc>
      </w:tr>
      <w:tr w:rsidR="00F24E18" w14:paraId="660E1F1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BFD5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1461</w:t>
            </w:r>
          </w:p>
        </w:tc>
        <w:tc>
          <w:tcPr>
            <w:tcW w:w="1300" w:type="dxa"/>
            <w:tcBorders>
              <w:top w:val="nil"/>
              <w:left w:val="nil"/>
              <w:bottom w:val="single" w:sz="4" w:space="0" w:color="auto"/>
              <w:right w:val="single" w:sz="4" w:space="0" w:color="auto"/>
            </w:tcBorders>
            <w:noWrap/>
            <w:vAlign w:val="center"/>
            <w:hideMark/>
          </w:tcPr>
          <w:p w14:paraId="187B1C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5914183000</w:t>
            </w:r>
          </w:p>
        </w:tc>
        <w:tc>
          <w:tcPr>
            <w:tcW w:w="1012" w:type="dxa"/>
            <w:tcBorders>
              <w:top w:val="nil"/>
              <w:left w:val="nil"/>
              <w:bottom w:val="single" w:sz="4" w:space="0" w:color="auto"/>
              <w:right w:val="single" w:sz="4" w:space="0" w:color="auto"/>
            </w:tcBorders>
            <w:noWrap/>
            <w:vAlign w:val="center"/>
            <w:hideMark/>
          </w:tcPr>
          <w:p w14:paraId="45EF15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61137014</w:t>
            </w:r>
          </w:p>
        </w:tc>
        <w:tc>
          <w:tcPr>
            <w:tcW w:w="5953" w:type="dxa"/>
            <w:tcBorders>
              <w:top w:val="nil"/>
              <w:left w:val="nil"/>
              <w:bottom w:val="single" w:sz="4" w:space="0" w:color="auto"/>
              <w:right w:val="single" w:sz="4" w:space="0" w:color="auto"/>
            </w:tcBorders>
            <w:noWrap/>
            <w:vAlign w:val="center"/>
            <w:hideMark/>
          </w:tcPr>
          <w:p w14:paraId="001CA5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ŠENTJANŽ PRI DRAVOGRADU</w:t>
            </w:r>
          </w:p>
        </w:tc>
      </w:tr>
      <w:tr w:rsidR="00F24E18" w14:paraId="551720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CCA0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1462</w:t>
            </w:r>
          </w:p>
        </w:tc>
        <w:tc>
          <w:tcPr>
            <w:tcW w:w="1300" w:type="dxa"/>
            <w:tcBorders>
              <w:top w:val="nil"/>
              <w:left w:val="nil"/>
              <w:bottom w:val="single" w:sz="4" w:space="0" w:color="auto"/>
              <w:right w:val="single" w:sz="4" w:space="0" w:color="auto"/>
            </w:tcBorders>
            <w:vAlign w:val="center"/>
            <w:hideMark/>
          </w:tcPr>
          <w:p w14:paraId="332BF9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5086299000</w:t>
            </w:r>
          </w:p>
        </w:tc>
        <w:tc>
          <w:tcPr>
            <w:tcW w:w="1012" w:type="dxa"/>
            <w:tcBorders>
              <w:top w:val="nil"/>
              <w:left w:val="nil"/>
              <w:bottom w:val="single" w:sz="4" w:space="0" w:color="auto"/>
              <w:right w:val="single" w:sz="4" w:space="0" w:color="auto"/>
            </w:tcBorders>
            <w:vAlign w:val="center"/>
            <w:hideMark/>
          </w:tcPr>
          <w:p w14:paraId="392115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77005821</w:t>
            </w:r>
          </w:p>
        </w:tc>
        <w:tc>
          <w:tcPr>
            <w:tcW w:w="5953" w:type="dxa"/>
            <w:tcBorders>
              <w:top w:val="nil"/>
              <w:left w:val="nil"/>
              <w:bottom w:val="single" w:sz="4" w:space="0" w:color="auto"/>
              <w:right w:val="single" w:sz="4" w:space="0" w:color="auto"/>
            </w:tcBorders>
            <w:noWrap/>
            <w:vAlign w:val="center"/>
            <w:hideMark/>
          </w:tcPr>
          <w:p w14:paraId="455125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ŠENTJERNEJ</w:t>
            </w:r>
          </w:p>
        </w:tc>
      </w:tr>
      <w:tr w:rsidR="00F24E18" w14:paraId="6BD727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3624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1463</w:t>
            </w:r>
          </w:p>
        </w:tc>
        <w:tc>
          <w:tcPr>
            <w:tcW w:w="1300" w:type="dxa"/>
            <w:tcBorders>
              <w:top w:val="nil"/>
              <w:left w:val="nil"/>
              <w:bottom w:val="single" w:sz="4" w:space="0" w:color="auto"/>
              <w:right w:val="single" w:sz="4" w:space="0" w:color="auto"/>
            </w:tcBorders>
            <w:vAlign w:val="center"/>
            <w:hideMark/>
          </w:tcPr>
          <w:p w14:paraId="7F1805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5090016000</w:t>
            </w:r>
          </w:p>
        </w:tc>
        <w:tc>
          <w:tcPr>
            <w:tcW w:w="1012" w:type="dxa"/>
            <w:tcBorders>
              <w:top w:val="nil"/>
              <w:left w:val="nil"/>
              <w:bottom w:val="single" w:sz="4" w:space="0" w:color="auto"/>
              <w:right w:val="single" w:sz="4" w:space="0" w:color="auto"/>
            </w:tcBorders>
            <w:vAlign w:val="center"/>
            <w:hideMark/>
          </w:tcPr>
          <w:p w14:paraId="5784EC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51719070</w:t>
            </w:r>
          </w:p>
        </w:tc>
        <w:tc>
          <w:tcPr>
            <w:tcW w:w="5953" w:type="dxa"/>
            <w:tcBorders>
              <w:top w:val="nil"/>
              <w:left w:val="nil"/>
              <w:bottom w:val="single" w:sz="4" w:space="0" w:color="auto"/>
              <w:right w:val="single" w:sz="4" w:space="0" w:color="auto"/>
            </w:tcBorders>
            <w:noWrap/>
            <w:vAlign w:val="center"/>
            <w:hideMark/>
          </w:tcPr>
          <w:p w14:paraId="215F9B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ŠENTVID</w:t>
            </w:r>
          </w:p>
        </w:tc>
      </w:tr>
      <w:tr w:rsidR="00F24E18" w14:paraId="68B7053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1084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1464</w:t>
            </w:r>
          </w:p>
        </w:tc>
        <w:tc>
          <w:tcPr>
            <w:tcW w:w="1300" w:type="dxa"/>
            <w:tcBorders>
              <w:top w:val="nil"/>
              <w:left w:val="nil"/>
              <w:bottom w:val="single" w:sz="4" w:space="0" w:color="auto"/>
              <w:right w:val="single" w:sz="4" w:space="0" w:color="auto"/>
            </w:tcBorders>
            <w:noWrap/>
            <w:vAlign w:val="center"/>
            <w:hideMark/>
          </w:tcPr>
          <w:p w14:paraId="6CA884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5089468000</w:t>
            </w:r>
          </w:p>
        </w:tc>
        <w:tc>
          <w:tcPr>
            <w:tcW w:w="1012" w:type="dxa"/>
            <w:tcBorders>
              <w:top w:val="nil"/>
              <w:left w:val="nil"/>
              <w:bottom w:val="single" w:sz="4" w:space="0" w:color="auto"/>
              <w:right w:val="single" w:sz="4" w:space="0" w:color="auto"/>
            </w:tcBorders>
            <w:noWrap/>
            <w:vAlign w:val="center"/>
            <w:hideMark/>
          </w:tcPr>
          <w:p w14:paraId="17F119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24921394</w:t>
            </w:r>
          </w:p>
        </w:tc>
        <w:tc>
          <w:tcPr>
            <w:tcW w:w="5953" w:type="dxa"/>
            <w:tcBorders>
              <w:top w:val="nil"/>
              <w:left w:val="nil"/>
              <w:bottom w:val="single" w:sz="4" w:space="0" w:color="auto"/>
              <w:right w:val="single" w:sz="4" w:space="0" w:color="auto"/>
            </w:tcBorders>
            <w:noWrap/>
            <w:vAlign w:val="center"/>
            <w:hideMark/>
          </w:tcPr>
          <w:p w14:paraId="177B1A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ŠKOFJA LOKA - MESTO</w:t>
            </w:r>
          </w:p>
        </w:tc>
      </w:tr>
      <w:tr w:rsidR="00F24E18" w14:paraId="5A837B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50E9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1465</w:t>
            </w:r>
          </w:p>
        </w:tc>
        <w:tc>
          <w:tcPr>
            <w:tcW w:w="1300" w:type="dxa"/>
            <w:tcBorders>
              <w:top w:val="nil"/>
              <w:left w:val="nil"/>
              <w:bottom w:val="single" w:sz="4" w:space="0" w:color="auto"/>
              <w:right w:val="single" w:sz="4" w:space="0" w:color="auto"/>
            </w:tcBorders>
            <w:vAlign w:val="center"/>
            <w:hideMark/>
          </w:tcPr>
          <w:p w14:paraId="4B2716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5084482000</w:t>
            </w:r>
          </w:p>
        </w:tc>
        <w:tc>
          <w:tcPr>
            <w:tcW w:w="1012" w:type="dxa"/>
            <w:tcBorders>
              <w:top w:val="nil"/>
              <w:left w:val="nil"/>
              <w:bottom w:val="single" w:sz="4" w:space="0" w:color="auto"/>
              <w:right w:val="single" w:sz="4" w:space="0" w:color="auto"/>
            </w:tcBorders>
            <w:vAlign w:val="center"/>
            <w:hideMark/>
          </w:tcPr>
          <w:p w14:paraId="359228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59782820</w:t>
            </w:r>
          </w:p>
        </w:tc>
        <w:tc>
          <w:tcPr>
            <w:tcW w:w="5953" w:type="dxa"/>
            <w:tcBorders>
              <w:top w:val="nil"/>
              <w:left w:val="nil"/>
              <w:bottom w:val="single" w:sz="4" w:space="0" w:color="auto"/>
              <w:right w:val="single" w:sz="4" w:space="0" w:color="auto"/>
            </w:tcBorders>
            <w:noWrap/>
            <w:vAlign w:val="center"/>
            <w:hideMark/>
          </w:tcPr>
          <w:p w14:paraId="43316F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ŠKOFLJICA</w:t>
            </w:r>
          </w:p>
        </w:tc>
      </w:tr>
      <w:tr w:rsidR="00F24E18" w14:paraId="2C93261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3128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1466</w:t>
            </w:r>
          </w:p>
        </w:tc>
        <w:tc>
          <w:tcPr>
            <w:tcW w:w="1300" w:type="dxa"/>
            <w:tcBorders>
              <w:top w:val="nil"/>
              <w:left w:val="nil"/>
              <w:bottom w:val="single" w:sz="4" w:space="0" w:color="auto"/>
              <w:right w:val="single" w:sz="4" w:space="0" w:color="auto"/>
            </w:tcBorders>
            <w:vAlign w:val="center"/>
            <w:hideMark/>
          </w:tcPr>
          <w:p w14:paraId="55EBF6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5087988000</w:t>
            </w:r>
          </w:p>
        </w:tc>
        <w:tc>
          <w:tcPr>
            <w:tcW w:w="1012" w:type="dxa"/>
            <w:tcBorders>
              <w:top w:val="nil"/>
              <w:left w:val="nil"/>
              <w:bottom w:val="single" w:sz="4" w:space="0" w:color="auto"/>
              <w:right w:val="single" w:sz="4" w:space="0" w:color="auto"/>
            </w:tcBorders>
            <w:vAlign w:val="center"/>
            <w:hideMark/>
          </w:tcPr>
          <w:p w14:paraId="585DFA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94363455</w:t>
            </w:r>
          </w:p>
        </w:tc>
        <w:tc>
          <w:tcPr>
            <w:tcW w:w="5953" w:type="dxa"/>
            <w:tcBorders>
              <w:top w:val="nil"/>
              <w:left w:val="nil"/>
              <w:bottom w:val="single" w:sz="4" w:space="0" w:color="auto"/>
              <w:right w:val="single" w:sz="4" w:space="0" w:color="auto"/>
            </w:tcBorders>
            <w:noWrap/>
            <w:vAlign w:val="center"/>
            <w:hideMark/>
          </w:tcPr>
          <w:p w14:paraId="286E5A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ŠMARJE PRI JELŠAH</w:t>
            </w:r>
          </w:p>
        </w:tc>
      </w:tr>
      <w:tr w:rsidR="00F24E18" w14:paraId="4E982F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28F3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1467</w:t>
            </w:r>
          </w:p>
        </w:tc>
        <w:tc>
          <w:tcPr>
            <w:tcW w:w="1300" w:type="dxa"/>
            <w:tcBorders>
              <w:top w:val="nil"/>
              <w:left w:val="nil"/>
              <w:bottom w:val="single" w:sz="4" w:space="0" w:color="auto"/>
              <w:right w:val="single" w:sz="4" w:space="0" w:color="auto"/>
            </w:tcBorders>
            <w:noWrap/>
            <w:vAlign w:val="center"/>
            <w:hideMark/>
          </w:tcPr>
          <w:p w14:paraId="520AE4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5083842000</w:t>
            </w:r>
          </w:p>
        </w:tc>
        <w:tc>
          <w:tcPr>
            <w:tcW w:w="1012" w:type="dxa"/>
            <w:tcBorders>
              <w:top w:val="nil"/>
              <w:left w:val="nil"/>
              <w:bottom w:val="single" w:sz="4" w:space="0" w:color="auto"/>
              <w:right w:val="single" w:sz="4" w:space="0" w:color="auto"/>
            </w:tcBorders>
            <w:noWrap/>
            <w:vAlign w:val="center"/>
            <w:hideMark/>
          </w:tcPr>
          <w:p w14:paraId="06FE5A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98962043</w:t>
            </w:r>
          </w:p>
        </w:tc>
        <w:tc>
          <w:tcPr>
            <w:tcW w:w="5953" w:type="dxa"/>
            <w:tcBorders>
              <w:top w:val="nil"/>
              <w:left w:val="nil"/>
              <w:bottom w:val="single" w:sz="4" w:space="0" w:color="auto"/>
              <w:right w:val="single" w:sz="4" w:space="0" w:color="auto"/>
            </w:tcBorders>
            <w:noWrap/>
            <w:vAlign w:val="center"/>
            <w:hideMark/>
          </w:tcPr>
          <w:p w14:paraId="66F135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ŠMARJE PRI KOPRU</w:t>
            </w:r>
          </w:p>
        </w:tc>
      </w:tr>
      <w:tr w:rsidR="00F24E18" w14:paraId="72C844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5048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1468</w:t>
            </w:r>
          </w:p>
        </w:tc>
        <w:tc>
          <w:tcPr>
            <w:tcW w:w="1300" w:type="dxa"/>
            <w:tcBorders>
              <w:top w:val="nil"/>
              <w:left w:val="nil"/>
              <w:bottom w:val="single" w:sz="4" w:space="0" w:color="auto"/>
              <w:right w:val="single" w:sz="4" w:space="0" w:color="auto"/>
            </w:tcBorders>
            <w:noWrap/>
            <w:vAlign w:val="center"/>
            <w:hideMark/>
          </w:tcPr>
          <w:p w14:paraId="0607A6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7272219000</w:t>
            </w:r>
          </w:p>
        </w:tc>
        <w:tc>
          <w:tcPr>
            <w:tcW w:w="1012" w:type="dxa"/>
            <w:tcBorders>
              <w:top w:val="nil"/>
              <w:left w:val="nil"/>
              <w:bottom w:val="single" w:sz="4" w:space="0" w:color="auto"/>
              <w:right w:val="single" w:sz="4" w:space="0" w:color="auto"/>
            </w:tcBorders>
            <w:noWrap/>
            <w:vAlign w:val="center"/>
            <w:hideMark/>
          </w:tcPr>
          <w:p w14:paraId="6E9D2E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31362605</w:t>
            </w:r>
          </w:p>
        </w:tc>
        <w:tc>
          <w:tcPr>
            <w:tcW w:w="5953" w:type="dxa"/>
            <w:tcBorders>
              <w:top w:val="nil"/>
              <w:left w:val="nil"/>
              <w:bottom w:val="single" w:sz="4" w:space="0" w:color="auto"/>
              <w:right w:val="single" w:sz="4" w:space="0" w:color="auto"/>
            </w:tcBorders>
            <w:noWrap/>
            <w:vAlign w:val="center"/>
            <w:hideMark/>
          </w:tcPr>
          <w:p w14:paraId="1F0A8C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ŠMARJE-SAP</w:t>
            </w:r>
          </w:p>
        </w:tc>
      </w:tr>
      <w:tr w:rsidR="00F24E18" w14:paraId="433319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F30D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1469</w:t>
            </w:r>
          </w:p>
        </w:tc>
        <w:tc>
          <w:tcPr>
            <w:tcW w:w="1300" w:type="dxa"/>
            <w:tcBorders>
              <w:top w:val="nil"/>
              <w:left w:val="nil"/>
              <w:bottom w:val="single" w:sz="4" w:space="0" w:color="auto"/>
              <w:right w:val="single" w:sz="4" w:space="0" w:color="auto"/>
            </w:tcBorders>
            <w:noWrap/>
            <w:vAlign w:val="center"/>
            <w:hideMark/>
          </w:tcPr>
          <w:p w14:paraId="124C97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5086302000</w:t>
            </w:r>
          </w:p>
        </w:tc>
        <w:tc>
          <w:tcPr>
            <w:tcW w:w="1012" w:type="dxa"/>
            <w:tcBorders>
              <w:top w:val="nil"/>
              <w:left w:val="nil"/>
              <w:bottom w:val="single" w:sz="4" w:space="0" w:color="auto"/>
              <w:right w:val="single" w:sz="4" w:space="0" w:color="auto"/>
            </w:tcBorders>
            <w:noWrap/>
            <w:vAlign w:val="center"/>
            <w:hideMark/>
          </w:tcPr>
          <w:p w14:paraId="1F4C31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73055956</w:t>
            </w:r>
          </w:p>
        </w:tc>
        <w:tc>
          <w:tcPr>
            <w:tcW w:w="5953" w:type="dxa"/>
            <w:tcBorders>
              <w:top w:val="nil"/>
              <w:left w:val="nil"/>
              <w:bottom w:val="single" w:sz="4" w:space="0" w:color="auto"/>
              <w:right w:val="single" w:sz="4" w:space="0" w:color="auto"/>
            </w:tcBorders>
            <w:noWrap/>
            <w:vAlign w:val="center"/>
            <w:hideMark/>
          </w:tcPr>
          <w:p w14:paraId="490E43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ŠMARJETA</w:t>
            </w:r>
          </w:p>
        </w:tc>
      </w:tr>
      <w:tr w:rsidR="00F24E18" w14:paraId="517871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7426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1470</w:t>
            </w:r>
          </w:p>
        </w:tc>
        <w:tc>
          <w:tcPr>
            <w:tcW w:w="1300" w:type="dxa"/>
            <w:tcBorders>
              <w:top w:val="nil"/>
              <w:left w:val="nil"/>
              <w:bottom w:val="single" w:sz="4" w:space="0" w:color="auto"/>
              <w:right w:val="single" w:sz="4" w:space="0" w:color="auto"/>
            </w:tcBorders>
            <w:noWrap/>
            <w:vAlign w:val="center"/>
            <w:hideMark/>
          </w:tcPr>
          <w:p w14:paraId="74EE2A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5084083000</w:t>
            </w:r>
          </w:p>
        </w:tc>
        <w:tc>
          <w:tcPr>
            <w:tcW w:w="1012" w:type="dxa"/>
            <w:tcBorders>
              <w:top w:val="nil"/>
              <w:left w:val="nil"/>
              <w:bottom w:val="single" w:sz="4" w:space="0" w:color="auto"/>
              <w:right w:val="single" w:sz="4" w:space="0" w:color="auto"/>
            </w:tcBorders>
            <w:noWrap/>
            <w:vAlign w:val="center"/>
            <w:hideMark/>
          </w:tcPr>
          <w:p w14:paraId="6FEE76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76955052</w:t>
            </w:r>
          </w:p>
        </w:tc>
        <w:tc>
          <w:tcPr>
            <w:tcW w:w="5953" w:type="dxa"/>
            <w:tcBorders>
              <w:top w:val="nil"/>
              <w:left w:val="nil"/>
              <w:bottom w:val="single" w:sz="4" w:space="0" w:color="auto"/>
              <w:right w:val="single" w:sz="4" w:space="0" w:color="auto"/>
            </w:tcBorders>
            <w:noWrap/>
            <w:vAlign w:val="center"/>
            <w:hideMark/>
          </w:tcPr>
          <w:p w14:paraId="2A3BC1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ŠMARTNO</w:t>
            </w:r>
          </w:p>
        </w:tc>
      </w:tr>
      <w:tr w:rsidR="00F24E18" w14:paraId="5CEB201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B0B5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1471</w:t>
            </w:r>
          </w:p>
        </w:tc>
        <w:tc>
          <w:tcPr>
            <w:tcW w:w="1300" w:type="dxa"/>
            <w:tcBorders>
              <w:top w:val="nil"/>
              <w:left w:val="nil"/>
              <w:bottom w:val="single" w:sz="4" w:space="0" w:color="auto"/>
              <w:right w:val="single" w:sz="4" w:space="0" w:color="auto"/>
            </w:tcBorders>
            <w:noWrap/>
            <w:vAlign w:val="center"/>
            <w:hideMark/>
          </w:tcPr>
          <w:p w14:paraId="5A413E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5089425000</w:t>
            </w:r>
          </w:p>
        </w:tc>
        <w:tc>
          <w:tcPr>
            <w:tcW w:w="1012" w:type="dxa"/>
            <w:tcBorders>
              <w:top w:val="nil"/>
              <w:left w:val="nil"/>
              <w:bottom w:val="single" w:sz="4" w:space="0" w:color="auto"/>
              <w:right w:val="single" w:sz="4" w:space="0" w:color="auto"/>
            </w:tcBorders>
            <w:noWrap/>
            <w:vAlign w:val="center"/>
            <w:hideMark/>
          </w:tcPr>
          <w:p w14:paraId="14023E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15317765</w:t>
            </w:r>
          </w:p>
        </w:tc>
        <w:tc>
          <w:tcPr>
            <w:tcW w:w="5953" w:type="dxa"/>
            <w:tcBorders>
              <w:top w:val="nil"/>
              <w:left w:val="nil"/>
              <w:bottom w:val="single" w:sz="4" w:space="0" w:color="auto"/>
              <w:right w:val="single" w:sz="4" w:space="0" w:color="auto"/>
            </w:tcBorders>
            <w:noWrap/>
            <w:vAlign w:val="center"/>
            <w:hideMark/>
          </w:tcPr>
          <w:p w14:paraId="352EBB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ŠMARTNO NA POHORJU</w:t>
            </w:r>
          </w:p>
        </w:tc>
      </w:tr>
      <w:tr w:rsidR="00F24E18" w14:paraId="2BEC19D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3B4C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1472</w:t>
            </w:r>
          </w:p>
        </w:tc>
        <w:tc>
          <w:tcPr>
            <w:tcW w:w="1300" w:type="dxa"/>
            <w:tcBorders>
              <w:top w:val="nil"/>
              <w:left w:val="nil"/>
              <w:bottom w:val="single" w:sz="4" w:space="0" w:color="auto"/>
              <w:right w:val="single" w:sz="4" w:space="0" w:color="auto"/>
            </w:tcBorders>
            <w:vAlign w:val="center"/>
            <w:hideMark/>
          </w:tcPr>
          <w:p w14:paraId="54E366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5133785000</w:t>
            </w:r>
          </w:p>
        </w:tc>
        <w:tc>
          <w:tcPr>
            <w:tcW w:w="1012" w:type="dxa"/>
            <w:tcBorders>
              <w:top w:val="nil"/>
              <w:left w:val="nil"/>
              <w:bottom w:val="single" w:sz="4" w:space="0" w:color="auto"/>
              <w:right w:val="single" w:sz="4" w:space="0" w:color="auto"/>
            </w:tcBorders>
            <w:vAlign w:val="center"/>
            <w:hideMark/>
          </w:tcPr>
          <w:p w14:paraId="32D85E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61510971</w:t>
            </w:r>
          </w:p>
        </w:tc>
        <w:tc>
          <w:tcPr>
            <w:tcW w:w="5953" w:type="dxa"/>
            <w:tcBorders>
              <w:top w:val="nil"/>
              <w:left w:val="nil"/>
              <w:bottom w:val="single" w:sz="4" w:space="0" w:color="auto"/>
              <w:right w:val="single" w:sz="4" w:space="0" w:color="auto"/>
            </w:tcBorders>
            <w:noWrap/>
            <w:vAlign w:val="center"/>
            <w:hideMark/>
          </w:tcPr>
          <w:p w14:paraId="31A1EC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ŠMARTNO POD ŠMARNO GORO</w:t>
            </w:r>
          </w:p>
        </w:tc>
      </w:tr>
      <w:tr w:rsidR="00F24E18" w14:paraId="36C5B9B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A7DF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1473</w:t>
            </w:r>
          </w:p>
        </w:tc>
        <w:tc>
          <w:tcPr>
            <w:tcW w:w="1300" w:type="dxa"/>
            <w:tcBorders>
              <w:top w:val="nil"/>
              <w:left w:val="nil"/>
              <w:bottom w:val="single" w:sz="4" w:space="0" w:color="auto"/>
              <w:right w:val="single" w:sz="4" w:space="0" w:color="auto"/>
            </w:tcBorders>
            <w:noWrap/>
            <w:vAlign w:val="center"/>
            <w:hideMark/>
          </w:tcPr>
          <w:p w14:paraId="12377E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5089409000</w:t>
            </w:r>
          </w:p>
        </w:tc>
        <w:tc>
          <w:tcPr>
            <w:tcW w:w="1012" w:type="dxa"/>
            <w:tcBorders>
              <w:top w:val="nil"/>
              <w:left w:val="nil"/>
              <w:bottom w:val="single" w:sz="4" w:space="0" w:color="auto"/>
              <w:right w:val="single" w:sz="4" w:space="0" w:color="auto"/>
            </w:tcBorders>
            <w:noWrap/>
            <w:vAlign w:val="center"/>
            <w:hideMark/>
          </w:tcPr>
          <w:p w14:paraId="760999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15598586</w:t>
            </w:r>
          </w:p>
        </w:tc>
        <w:tc>
          <w:tcPr>
            <w:tcW w:w="5953" w:type="dxa"/>
            <w:tcBorders>
              <w:top w:val="nil"/>
              <w:left w:val="nil"/>
              <w:bottom w:val="single" w:sz="4" w:space="0" w:color="auto"/>
              <w:right w:val="single" w:sz="4" w:space="0" w:color="auto"/>
            </w:tcBorders>
            <w:noWrap/>
            <w:vAlign w:val="center"/>
            <w:hideMark/>
          </w:tcPr>
          <w:p w14:paraId="69427D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ŠMARTNO PRI SLOVENJ GRADCU</w:t>
            </w:r>
          </w:p>
        </w:tc>
      </w:tr>
      <w:tr w:rsidR="00F24E18" w14:paraId="15691A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7189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1474</w:t>
            </w:r>
          </w:p>
        </w:tc>
        <w:tc>
          <w:tcPr>
            <w:tcW w:w="1300" w:type="dxa"/>
            <w:tcBorders>
              <w:top w:val="nil"/>
              <w:left w:val="nil"/>
              <w:bottom w:val="single" w:sz="4" w:space="0" w:color="auto"/>
              <w:right w:val="single" w:sz="4" w:space="0" w:color="auto"/>
            </w:tcBorders>
            <w:noWrap/>
            <w:vAlign w:val="center"/>
            <w:hideMark/>
          </w:tcPr>
          <w:p w14:paraId="50A48C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5950686000</w:t>
            </w:r>
          </w:p>
        </w:tc>
        <w:tc>
          <w:tcPr>
            <w:tcW w:w="1012" w:type="dxa"/>
            <w:tcBorders>
              <w:top w:val="nil"/>
              <w:left w:val="nil"/>
              <w:bottom w:val="single" w:sz="4" w:space="0" w:color="auto"/>
              <w:right w:val="single" w:sz="4" w:space="0" w:color="auto"/>
            </w:tcBorders>
            <w:noWrap/>
            <w:vAlign w:val="center"/>
            <w:hideMark/>
          </w:tcPr>
          <w:p w14:paraId="53B1A1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47328304</w:t>
            </w:r>
          </w:p>
        </w:tc>
        <w:tc>
          <w:tcPr>
            <w:tcW w:w="5953" w:type="dxa"/>
            <w:tcBorders>
              <w:top w:val="nil"/>
              <w:left w:val="nil"/>
              <w:bottom w:val="single" w:sz="4" w:space="0" w:color="auto"/>
              <w:right w:val="single" w:sz="4" w:space="0" w:color="auto"/>
            </w:tcBorders>
            <w:noWrap/>
            <w:vAlign w:val="center"/>
            <w:hideMark/>
          </w:tcPr>
          <w:p w14:paraId="6096D4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ŠMARTNO V TUHINJU</w:t>
            </w:r>
          </w:p>
        </w:tc>
      </w:tr>
      <w:tr w:rsidR="00F24E18" w14:paraId="0271EE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3163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1475</w:t>
            </w:r>
          </w:p>
        </w:tc>
        <w:tc>
          <w:tcPr>
            <w:tcW w:w="1300" w:type="dxa"/>
            <w:tcBorders>
              <w:top w:val="nil"/>
              <w:left w:val="nil"/>
              <w:bottom w:val="single" w:sz="4" w:space="0" w:color="auto"/>
              <w:right w:val="single" w:sz="4" w:space="0" w:color="auto"/>
            </w:tcBorders>
            <w:noWrap/>
            <w:vAlign w:val="center"/>
            <w:hideMark/>
          </w:tcPr>
          <w:p w14:paraId="0DBEFF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5086841000</w:t>
            </w:r>
          </w:p>
        </w:tc>
        <w:tc>
          <w:tcPr>
            <w:tcW w:w="1012" w:type="dxa"/>
            <w:tcBorders>
              <w:top w:val="nil"/>
              <w:left w:val="nil"/>
              <w:bottom w:val="single" w:sz="4" w:space="0" w:color="auto"/>
              <w:right w:val="single" w:sz="4" w:space="0" w:color="auto"/>
            </w:tcBorders>
            <w:noWrap/>
            <w:vAlign w:val="center"/>
            <w:hideMark/>
          </w:tcPr>
          <w:p w14:paraId="736BC4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39971953</w:t>
            </w:r>
          </w:p>
        </w:tc>
        <w:tc>
          <w:tcPr>
            <w:tcW w:w="5953" w:type="dxa"/>
            <w:tcBorders>
              <w:top w:val="nil"/>
              <w:left w:val="nil"/>
              <w:bottom w:val="single" w:sz="4" w:space="0" w:color="auto"/>
              <w:right w:val="single" w:sz="4" w:space="0" w:color="auto"/>
            </w:tcBorders>
            <w:noWrap/>
            <w:vAlign w:val="center"/>
            <w:hideMark/>
          </w:tcPr>
          <w:p w14:paraId="08676A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ŠMIHEL</w:t>
            </w:r>
          </w:p>
        </w:tc>
      </w:tr>
      <w:tr w:rsidR="00F24E18" w14:paraId="56024BD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E568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1476</w:t>
            </w:r>
          </w:p>
        </w:tc>
        <w:tc>
          <w:tcPr>
            <w:tcW w:w="1300" w:type="dxa"/>
            <w:tcBorders>
              <w:top w:val="nil"/>
              <w:left w:val="nil"/>
              <w:bottom w:val="single" w:sz="4" w:space="0" w:color="auto"/>
              <w:right w:val="single" w:sz="4" w:space="0" w:color="auto"/>
            </w:tcBorders>
            <w:noWrap/>
            <w:vAlign w:val="center"/>
            <w:hideMark/>
          </w:tcPr>
          <w:p w14:paraId="66E13D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5082676000</w:t>
            </w:r>
          </w:p>
        </w:tc>
        <w:tc>
          <w:tcPr>
            <w:tcW w:w="1012" w:type="dxa"/>
            <w:tcBorders>
              <w:top w:val="nil"/>
              <w:left w:val="nil"/>
              <w:bottom w:val="single" w:sz="4" w:space="0" w:color="auto"/>
              <w:right w:val="single" w:sz="4" w:space="0" w:color="auto"/>
            </w:tcBorders>
            <w:noWrap/>
            <w:vAlign w:val="center"/>
            <w:hideMark/>
          </w:tcPr>
          <w:p w14:paraId="69F7E1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24735779</w:t>
            </w:r>
          </w:p>
        </w:tc>
        <w:tc>
          <w:tcPr>
            <w:tcW w:w="5953" w:type="dxa"/>
            <w:tcBorders>
              <w:top w:val="nil"/>
              <w:left w:val="nil"/>
              <w:bottom w:val="single" w:sz="4" w:space="0" w:color="auto"/>
              <w:right w:val="single" w:sz="4" w:space="0" w:color="auto"/>
            </w:tcBorders>
            <w:noWrap/>
            <w:vAlign w:val="center"/>
            <w:hideMark/>
          </w:tcPr>
          <w:p w14:paraId="658FBA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ŠTORE</w:t>
            </w:r>
          </w:p>
        </w:tc>
      </w:tr>
      <w:tr w:rsidR="00F24E18" w14:paraId="5097F91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2477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1477</w:t>
            </w:r>
          </w:p>
        </w:tc>
        <w:tc>
          <w:tcPr>
            <w:tcW w:w="1300" w:type="dxa"/>
            <w:tcBorders>
              <w:top w:val="nil"/>
              <w:left w:val="nil"/>
              <w:bottom w:val="single" w:sz="4" w:space="0" w:color="auto"/>
              <w:right w:val="single" w:sz="4" w:space="0" w:color="auto"/>
            </w:tcBorders>
            <w:vAlign w:val="center"/>
            <w:hideMark/>
          </w:tcPr>
          <w:p w14:paraId="5EF943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2294460000</w:t>
            </w:r>
          </w:p>
        </w:tc>
        <w:tc>
          <w:tcPr>
            <w:tcW w:w="1012" w:type="dxa"/>
            <w:tcBorders>
              <w:top w:val="nil"/>
              <w:left w:val="nil"/>
              <w:bottom w:val="single" w:sz="4" w:space="0" w:color="auto"/>
              <w:right w:val="single" w:sz="4" w:space="0" w:color="auto"/>
            </w:tcBorders>
            <w:vAlign w:val="center"/>
            <w:hideMark/>
          </w:tcPr>
          <w:p w14:paraId="1BA94F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39855210</w:t>
            </w:r>
          </w:p>
        </w:tc>
        <w:tc>
          <w:tcPr>
            <w:tcW w:w="5953" w:type="dxa"/>
            <w:tcBorders>
              <w:top w:val="nil"/>
              <w:left w:val="nil"/>
              <w:bottom w:val="single" w:sz="4" w:space="0" w:color="auto"/>
              <w:right w:val="single" w:sz="4" w:space="0" w:color="auto"/>
            </w:tcBorders>
            <w:noWrap/>
            <w:vAlign w:val="center"/>
            <w:hideMark/>
          </w:tcPr>
          <w:p w14:paraId="495157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ŠTURJE, AJDOVŠČINA</w:t>
            </w:r>
          </w:p>
        </w:tc>
      </w:tr>
      <w:tr w:rsidR="00F24E18" w14:paraId="7761EC9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3BA4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1478</w:t>
            </w:r>
          </w:p>
        </w:tc>
        <w:tc>
          <w:tcPr>
            <w:tcW w:w="1300" w:type="dxa"/>
            <w:tcBorders>
              <w:top w:val="nil"/>
              <w:left w:val="nil"/>
              <w:bottom w:val="single" w:sz="4" w:space="0" w:color="auto"/>
              <w:right w:val="single" w:sz="4" w:space="0" w:color="auto"/>
            </w:tcBorders>
            <w:noWrap/>
            <w:vAlign w:val="center"/>
            <w:hideMark/>
          </w:tcPr>
          <w:p w14:paraId="181F9E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5610508000</w:t>
            </w:r>
          </w:p>
        </w:tc>
        <w:tc>
          <w:tcPr>
            <w:tcW w:w="1012" w:type="dxa"/>
            <w:tcBorders>
              <w:top w:val="nil"/>
              <w:left w:val="nil"/>
              <w:bottom w:val="single" w:sz="4" w:space="0" w:color="auto"/>
              <w:right w:val="single" w:sz="4" w:space="0" w:color="auto"/>
            </w:tcBorders>
            <w:noWrap/>
            <w:vAlign w:val="center"/>
            <w:hideMark/>
          </w:tcPr>
          <w:p w14:paraId="101051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50654802</w:t>
            </w:r>
          </w:p>
        </w:tc>
        <w:tc>
          <w:tcPr>
            <w:tcW w:w="5953" w:type="dxa"/>
            <w:tcBorders>
              <w:top w:val="nil"/>
              <w:left w:val="nil"/>
              <w:bottom w:val="single" w:sz="4" w:space="0" w:color="auto"/>
              <w:right w:val="single" w:sz="4" w:space="0" w:color="auto"/>
            </w:tcBorders>
            <w:noWrap/>
            <w:vAlign w:val="center"/>
            <w:hideMark/>
          </w:tcPr>
          <w:p w14:paraId="5D0A83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TABOR I MARIBOR</w:t>
            </w:r>
          </w:p>
        </w:tc>
      </w:tr>
      <w:tr w:rsidR="00F24E18" w14:paraId="178955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BECC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1479</w:t>
            </w:r>
          </w:p>
        </w:tc>
        <w:tc>
          <w:tcPr>
            <w:tcW w:w="1300" w:type="dxa"/>
            <w:tcBorders>
              <w:top w:val="nil"/>
              <w:left w:val="nil"/>
              <w:bottom w:val="single" w:sz="4" w:space="0" w:color="auto"/>
              <w:right w:val="single" w:sz="4" w:space="0" w:color="auto"/>
            </w:tcBorders>
            <w:noWrap/>
            <w:vAlign w:val="center"/>
            <w:hideMark/>
          </w:tcPr>
          <w:p w14:paraId="6CBCF9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5085721000</w:t>
            </w:r>
          </w:p>
        </w:tc>
        <w:tc>
          <w:tcPr>
            <w:tcW w:w="1012" w:type="dxa"/>
            <w:tcBorders>
              <w:top w:val="nil"/>
              <w:left w:val="nil"/>
              <w:bottom w:val="single" w:sz="4" w:space="0" w:color="auto"/>
              <w:right w:val="single" w:sz="4" w:space="0" w:color="auto"/>
            </w:tcBorders>
            <w:noWrap/>
            <w:vAlign w:val="center"/>
            <w:hideMark/>
          </w:tcPr>
          <w:p w14:paraId="28BE97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56492987</w:t>
            </w:r>
          </w:p>
        </w:tc>
        <w:tc>
          <w:tcPr>
            <w:tcW w:w="5953" w:type="dxa"/>
            <w:tcBorders>
              <w:top w:val="nil"/>
              <w:left w:val="nil"/>
              <w:bottom w:val="single" w:sz="4" w:space="0" w:color="auto"/>
              <w:right w:val="single" w:sz="4" w:space="0" w:color="auto"/>
            </w:tcBorders>
            <w:noWrap/>
            <w:vAlign w:val="center"/>
            <w:hideMark/>
          </w:tcPr>
          <w:p w14:paraId="32D459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TIŠINA</w:t>
            </w:r>
          </w:p>
        </w:tc>
      </w:tr>
      <w:tr w:rsidR="00F24E18" w14:paraId="549F2C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A3AD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1480</w:t>
            </w:r>
          </w:p>
        </w:tc>
        <w:tc>
          <w:tcPr>
            <w:tcW w:w="1300" w:type="dxa"/>
            <w:tcBorders>
              <w:top w:val="nil"/>
              <w:left w:val="nil"/>
              <w:bottom w:val="single" w:sz="4" w:space="0" w:color="auto"/>
              <w:right w:val="single" w:sz="4" w:space="0" w:color="auto"/>
            </w:tcBorders>
            <w:vAlign w:val="center"/>
            <w:hideMark/>
          </w:tcPr>
          <w:p w14:paraId="445373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5083044000</w:t>
            </w:r>
          </w:p>
        </w:tc>
        <w:tc>
          <w:tcPr>
            <w:tcW w:w="1012" w:type="dxa"/>
            <w:tcBorders>
              <w:top w:val="nil"/>
              <w:left w:val="nil"/>
              <w:bottom w:val="single" w:sz="4" w:space="0" w:color="auto"/>
              <w:right w:val="single" w:sz="4" w:space="0" w:color="auto"/>
            </w:tcBorders>
            <w:vAlign w:val="center"/>
            <w:hideMark/>
          </w:tcPr>
          <w:p w14:paraId="507558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31285805</w:t>
            </w:r>
          </w:p>
        </w:tc>
        <w:tc>
          <w:tcPr>
            <w:tcW w:w="5953" w:type="dxa"/>
            <w:tcBorders>
              <w:top w:val="nil"/>
              <w:left w:val="nil"/>
              <w:bottom w:val="single" w:sz="4" w:space="0" w:color="auto"/>
              <w:right w:val="single" w:sz="4" w:space="0" w:color="auto"/>
            </w:tcBorders>
            <w:noWrap/>
            <w:vAlign w:val="center"/>
            <w:hideMark/>
          </w:tcPr>
          <w:p w14:paraId="40DC0B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TOMA BREJCA</w:t>
            </w:r>
          </w:p>
        </w:tc>
      </w:tr>
      <w:tr w:rsidR="00F24E18" w14:paraId="60DCAD8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7971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1481</w:t>
            </w:r>
          </w:p>
        </w:tc>
        <w:tc>
          <w:tcPr>
            <w:tcW w:w="1300" w:type="dxa"/>
            <w:tcBorders>
              <w:top w:val="nil"/>
              <w:left w:val="nil"/>
              <w:bottom w:val="single" w:sz="4" w:space="0" w:color="auto"/>
              <w:right w:val="single" w:sz="4" w:space="0" w:color="auto"/>
            </w:tcBorders>
            <w:noWrap/>
            <w:vAlign w:val="center"/>
            <w:hideMark/>
          </w:tcPr>
          <w:p w14:paraId="430226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5899508000</w:t>
            </w:r>
          </w:p>
        </w:tc>
        <w:tc>
          <w:tcPr>
            <w:tcW w:w="1012" w:type="dxa"/>
            <w:tcBorders>
              <w:top w:val="nil"/>
              <w:left w:val="nil"/>
              <w:bottom w:val="single" w:sz="4" w:space="0" w:color="auto"/>
              <w:right w:val="single" w:sz="4" w:space="0" w:color="auto"/>
            </w:tcBorders>
            <w:noWrap/>
            <w:vAlign w:val="center"/>
            <w:hideMark/>
          </w:tcPr>
          <w:p w14:paraId="449212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96660902</w:t>
            </w:r>
          </w:p>
        </w:tc>
        <w:tc>
          <w:tcPr>
            <w:tcW w:w="5953" w:type="dxa"/>
            <w:tcBorders>
              <w:top w:val="nil"/>
              <w:left w:val="nil"/>
              <w:bottom w:val="single" w:sz="4" w:space="0" w:color="auto"/>
              <w:right w:val="single" w:sz="4" w:space="0" w:color="auto"/>
            </w:tcBorders>
            <w:noWrap/>
            <w:vAlign w:val="center"/>
            <w:hideMark/>
          </w:tcPr>
          <w:p w14:paraId="32CF96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TONČKE ČEČ</w:t>
            </w:r>
          </w:p>
        </w:tc>
      </w:tr>
      <w:tr w:rsidR="00F24E18" w14:paraId="792DFFC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F9E1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1482</w:t>
            </w:r>
          </w:p>
        </w:tc>
        <w:tc>
          <w:tcPr>
            <w:tcW w:w="1300" w:type="dxa"/>
            <w:tcBorders>
              <w:top w:val="nil"/>
              <w:left w:val="nil"/>
              <w:bottom w:val="single" w:sz="4" w:space="0" w:color="auto"/>
              <w:right w:val="single" w:sz="4" w:space="0" w:color="auto"/>
            </w:tcBorders>
            <w:noWrap/>
            <w:vAlign w:val="center"/>
            <w:hideMark/>
          </w:tcPr>
          <w:p w14:paraId="6958FD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5088755000</w:t>
            </w:r>
          </w:p>
        </w:tc>
        <w:tc>
          <w:tcPr>
            <w:tcW w:w="1012" w:type="dxa"/>
            <w:tcBorders>
              <w:top w:val="nil"/>
              <w:left w:val="nil"/>
              <w:bottom w:val="single" w:sz="4" w:space="0" w:color="auto"/>
              <w:right w:val="single" w:sz="4" w:space="0" w:color="auto"/>
            </w:tcBorders>
            <w:noWrap/>
            <w:vAlign w:val="center"/>
            <w:hideMark/>
          </w:tcPr>
          <w:p w14:paraId="160594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98088742</w:t>
            </w:r>
          </w:p>
        </w:tc>
        <w:tc>
          <w:tcPr>
            <w:tcW w:w="5953" w:type="dxa"/>
            <w:tcBorders>
              <w:top w:val="nil"/>
              <w:left w:val="nil"/>
              <w:bottom w:val="single" w:sz="4" w:space="0" w:color="auto"/>
              <w:right w:val="single" w:sz="4" w:space="0" w:color="auto"/>
            </w:tcBorders>
            <w:noWrap/>
            <w:vAlign w:val="center"/>
            <w:hideMark/>
          </w:tcPr>
          <w:p w14:paraId="6F2F00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TONETA ČUFARJA</w:t>
            </w:r>
          </w:p>
        </w:tc>
      </w:tr>
      <w:tr w:rsidR="00F24E18" w14:paraId="4F347C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BB13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1483</w:t>
            </w:r>
          </w:p>
        </w:tc>
        <w:tc>
          <w:tcPr>
            <w:tcW w:w="1300" w:type="dxa"/>
            <w:tcBorders>
              <w:top w:val="nil"/>
              <w:left w:val="nil"/>
              <w:bottom w:val="single" w:sz="4" w:space="0" w:color="auto"/>
              <w:right w:val="single" w:sz="4" w:space="0" w:color="auto"/>
            </w:tcBorders>
            <w:vAlign w:val="center"/>
            <w:hideMark/>
          </w:tcPr>
          <w:p w14:paraId="47E5CA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5719089000</w:t>
            </w:r>
          </w:p>
        </w:tc>
        <w:tc>
          <w:tcPr>
            <w:tcW w:w="1012" w:type="dxa"/>
            <w:tcBorders>
              <w:top w:val="nil"/>
              <w:left w:val="nil"/>
              <w:bottom w:val="single" w:sz="4" w:space="0" w:color="auto"/>
              <w:right w:val="single" w:sz="4" w:space="0" w:color="auto"/>
            </w:tcBorders>
            <w:vAlign w:val="center"/>
            <w:hideMark/>
          </w:tcPr>
          <w:p w14:paraId="558D62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56149425</w:t>
            </w:r>
          </w:p>
        </w:tc>
        <w:tc>
          <w:tcPr>
            <w:tcW w:w="5953" w:type="dxa"/>
            <w:tcBorders>
              <w:top w:val="nil"/>
              <w:left w:val="nil"/>
              <w:bottom w:val="single" w:sz="4" w:space="0" w:color="auto"/>
              <w:right w:val="single" w:sz="4" w:space="0" w:color="auto"/>
            </w:tcBorders>
            <w:noWrap/>
            <w:vAlign w:val="center"/>
            <w:hideMark/>
          </w:tcPr>
          <w:p w14:paraId="2BF774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TONETA ČUFARJA JESENICE</w:t>
            </w:r>
          </w:p>
        </w:tc>
      </w:tr>
      <w:tr w:rsidR="00F24E18" w14:paraId="7EF6689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9215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1484</w:t>
            </w:r>
          </w:p>
        </w:tc>
        <w:tc>
          <w:tcPr>
            <w:tcW w:w="1300" w:type="dxa"/>
            <w:tcBorders>
              <w:top w:val="nil"/>
              <w:left w:val="nil"/>
              <w:bottom w:val="single" w:sz="4" w:space="0" w:color="auto"/>
              <w:right w:val="single" w:sz="4" w:space="0" w:color="auto"/>
            </w:tcBorders>
            <w:noWrap/>
            <w:vAlign w:val="center"/>
            <w:hideMark/>
          </w:tcPr>
          <w:p w14:paraId="1E6011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5085284000</w:t>
            </w:r>
          </w:p>
        </w:tc>
        <w:tc>
          <w:tcPr>
            <w:tcW w:w="1012" w:type="dxa"/>
            <w:tcBorders>
              <w:top w:val="nil"/>
              <w:left w:val="nil"/>
              <w:bottom w:val="single" w:sz="4" w:space="0" w:color="auto"/>
              <w:right w:val="single" w:sz="4" w:space="0" w:color="auto"/>
            </w:tcBorders>
            <w:noWrap/>
            <w:vAlign w:val="center"/>
            <w:hideMark/>
          </w:tcPr>
          <w:p w14:paraId="668CEE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26804964</w:t>
            </w:r>
          </w:p>
        </w:tc>
        <w:tc>
          <w:tcPr>
            <w:tcW w:w="5953" w:type="dxa"/>
            <w:tcBorders>
              <w:top w:val="nil"/>
              <w:left w:val="nil"/>
              <w:bottom w:val="single" w:sz="4" w:space="0" w:color="auto"/>
              <w:right w:val="single" w:sz="4" w:space="0" w:color="auto"/>
            </w:tcBorders>
            <w:noWrap/>
            <w:vAlign w:val="center"/>
            <w:hideMark/>
          </w:tcPr>
          <w:p w14:paraId="47B17C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TONETA ČUFARJA MARIBOR</w:t>
            </w:r>
          </w:p>
        </w:tc>
      </w:tr>
      <w:tr w:rsidR="00F24E18" w14:paraId="563F876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16A4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1485</w:t>
            </w:r>
          </w:p>
        </w:tc>
        <w:tc>
          <w:tcPr>
            <w:tcW w:w="1300" w:type="dxa"/>
            <w:tcBorders>
              <w:top w:val="nil"/>
              <w:left w:val="nil"/>
              <w:bottom w:val="single" w:sz="4" w:space="0" w:color="auto"/>
              <w:right w:val="single" w:sz="4" w:space="0" w:color="auto"/>
            </w:tcBorders>
            <w:vAlign w:val="center"/>
            <w:hideMark/>
          </w:tcPr>
          <w:p w14:paraId="55A40A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5088399000</w:t>
            </w:r>
          </w:p>
        </w:tc>
        <w:tc>
          <w:tcPr>
            <w:tcW w:w="1012" w:type="dxa"/>
            <w:tcBorders>
              <w:top w:val="nil"/>
              <w:left w:val="nil"/>
              <w:bottom w:val="single" w:sz="4" w:space="0" w:color="auto"/>
              <w:right w:val="single" w:sz="4" w:space="0" w:color="auto"/>
            </w:tcBorders>
            <w:vAlign w:val="center"/>
            <w:hideMark/>
          </w:tcPr>
          <w:p w14:paraId="1122F3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62408534</w:t>
            </w:r>
          </w:p>
        </w:tc>
        <w:tc>
          <w:tcPr>
            <w:tcW w:w="5953" w:type="dxa"/>
            <w:tcBorders>
              <w:top w:val="nil"/>
              <w:left w:val="nil"/>
              <w:bottom w:val="single" w:sz="4" w:space="0" w:color="auto"/>
              <w:right w:val="single" w:sz="4" w:space="0" w:color="auto"/>
            </w:tcBorders>
            <w:noWrap/>
            <w:vAlign w:val="center"/>
            <w:hideMark/>
          </w:tcPr>
          <w:p w14:paraId="04F215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TONETA OKROGARJA</w:t>
            </w:r>
          </w:p>
        </w:tc>
      </w:tr>
      <w:tr w:rsidR="00F24E18" w14:paraId="57D05D6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3B3D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1486</w:t>
            </w:r>
          </w:p>
        </w:tc>
        <w:tc>
          <w:tcPr>
            <w:tcW w:w="1300" w:type="dxa"/>
            <w:tcBorders>
              <w:top w:val="nil"/>
              <w:left w:val="nil"/>
              <w:bottom w:val="single" w:sz="4" w:space="0" w:color="auto"/>
              <w:right w:val="single" w:sz="4" w:space="0" w:color="auto"/>
            </w:tcBorders>
            <w:noWrap/>
            <w:vAlign w:val="center"/>
            <w:hideMark/>
          </w:tcPr>
          <w:p w14:paraId="21A527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5086256000</w:t>
            </w:r>
          </w:p>
        </w:tc>
        <w:tc>
          <w:tcPr>
            <w:tcW w:w="1012" w:type="dxa"/>
            <w:tcBorders>
              <w:top w:val="nil"/>
              <w:left w:val="nil"/>
              <w:bottom w:val="single" w:sz="4" w:space="0" w:color="auto"/>
              <w:right w:val="single" w:sz="4" w:space="0" w:color="auto"/>
            </w:tcBorders>
            <w:noWrap/>
            <w:vAlign w:val="center"/>
            <w:hideMark/>
          </w:tcPr>
          <w:p w14:paraId="57F102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57013357</w:t>
            </w:r>
          </w:p>
        </w:tc>
        <w:tc>
          <w:tcPr>
            <w:tcW w:w="5953" w:type="dxa"/>
            <w:tcBorders>
              <w:top w:val="nil"/>
              <w:left w:val="nil"/>
              <w:bottom w:val="single" w:sz="4" w:space="0" w:color="auto"/>
              <w:right w:val="single" w:sz="4" w:space="0" w:color="auto"/>
            </w:tcBorders>
            <w:noWrap/>
            <w:vAlign w:val="center"/>
            <w:hideMark/>
          </w:tcPr>
          <w:p w14:paraId="540827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TONETA PAVČKA</w:t>
            </w:r>
          </w:p>
        </w:tc>
      </w:tr>
      <w:tr w:rsidR="00F24E18" w14:paraId="1BBB88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9CB7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1487</w:t>
            </w:r>
          </w:p>
        </w:tc>
        <w:tc>
          <w:tcPr>
            <w:tcW w:w="1300" w:type="dxa"/>
            <w:tcBorders>
              <w:top w:val="nil"/>
              <w:left w:val="nil"/>
              <w:bottom w:val="single" w:sz="4" w:space="0" w:color="auto"/>
              <w:right w:val="single" w:sz="4" w:space="0" w:color="auto"/>
            </w:tcBorders>
            <w:noWrap/>
            <w:vAlign w:val="center"/>
            <w:hideMark/>
          </w:tcPr>
          <w:p w14:paraId="6A31C2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5082749000</w:t>
            </w:r>
          </w:p>
        </w:tc>
        <w:tc>
          <w:tcPr>
            <w:tcW w:w="1012" w:type="dxa"/>
            <w:tcBorders>
              <w:top w:val="nil"/>
              <w:left w:val="nil"/>
              <w:bottom w:val="single" w:sz="4" w:space="0" w:color="auto"/>
              <w:right w:val="single" w:sz="4" w:space="0" w:color="auto"/>
            </w:tcBorders>
            <w:noWrap/>
            <w:vAlign w:val="center"/>
            <w:hideMark/>
          </w:tcPr>
          <w:p w14:paraId="1208D9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22081453</w:t>
            </w:r>
          </w:p>
        </w:tc>
        <w:tc>
          <w:tcPr>
            <w:tcW w:w="5953" w:type="dxa"/>
            <w:tcBorders>
              <w:top w:val="nil"/>
              <w:left w:val="nil"/>
              <w:bottom w:val="single" w:sz="4" w:space="0" w:color="auto"/>
              <w:right w:val="single" w:sz="4" w:space="0" w:color="auto"/>
            </w:tcBorders>
            <w:noWrap/>
            <w:vAlign w:val="center"/>
            <w:hideMark/>
          </w:tcPr>
          <w:p w14:paraId="789C35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TONETA ŠRAJA ALJOŠE</w:t>
            </w:r>
          </w:p>
        </w:tc>
      </w:tr>
      <w:tr w:rsidR="00F24E18" w14:paraId="6AA98E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6B67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1488</w:t>
            </w:r>
          </w:p>
        </w:tc>
        <w:tc>
          <w:tcPr>
            <w:tcW w:w="1300" w:type="dxa"/>
            <w:tcBorders>
              <w:top w:val="nil"/>
              <w:left w:val="nil"/>
              <w:bottom w:val="single" w:sz="4" w:space="0" w:color="auto"/>
              <w:right w:val="single" w:sz="4" w:space="0" w:color="auto"/>
            </w:tcBorders>
            <w:noWrap/>
            <w:vAlign w:val="center"/>
            <w:hideMark/>
          </w:tcPr>
          <w:p w14:paraId="2765BC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5083796000</w:t>
            </w:r>
          </w:p>
        </w:tc>
        <w:tc>
          <w:tcPr>
            <w:tcW w:w="1012" w:type="dxa"/>
            <w:tcBorders>
              <w:top w:val="nil"/>
              <w:left w:val="nil"/>
              <w:bottom w:val="single" w:sz="4" w:space="0" w:color="auto"/>
              <w:right w:val="single" w:sz="4" w:space="0" w:color="auto"/>
            </w:tcBorders>
            <w:noWrap/>
            <w:vAlign w:val="center"/>
            <w:hideMark/>
          </w:tcPr>
          <w:p w14:paraId="04F1CD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46127356</w:t>
            </w:r>
          </w:p>
        </w:tc>
        <w:tc>
          <w:tcPr>
            <w:tcW w:w="5953" w:type="dxa"/>
            <w:tcBorders>
              <w:top w:val="nil"/>
              <w:left w:val="nil"/>
              <w:bottom w:val="single" w:sz="4" w:space="0" w:color="auto"/>
              <w:right w:val="single" w:sz="4" w:space="0" w:color="auto"/>
            </w:tcBorders>
            <w:noWrap/>
            <w:vAlign w:val="center"/>
            <w:hideMark/>
          </w:tcPr>
          <w:p w14:paraId="4B5A84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TONETA TOMŠIČA KNEŽAK</w:t>
            </w:r>
          </w:p>
        </w:tc>
      </w:tr>
      <w:tr w:rsidR="00F24E18" w14:paraId="408C743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CD87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1489</w:t>
            </w:r>
          </w:p>
        </w:tc>
        <w:tc>
          <w:tcPr>
            <w:tcW w:w="1300" w:type="dxa"/>
            <w:tcBorders>
              <w:top w:val="nil"/>
              <w:left w:val="nil"/>
              <w:bottom w:val="single" w:sz="4" w:space="0" w:color="auto"/>
              <w:right w:val="single" w:sz="4" w:space="0" w:color="auto"/>
            </w:tcBorders>
            <w:vAlign w:val="center"/>
            <w:hideMark/>
          </w:tcPr>
          <w:p w14:paraId="38C64F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5889235000</w:t>
            </w:r>
          </w:p>
        </w:tc>
        <w:tc>
          <w:tcPr>
            <w:tcW w:w="1012" w:type="dxa"/>
            <w:tcBorders>
              <w:top w:val="nil"/>
              <w:left w:val="nil"/>
              <w:bottom w:val="single" w:sz="4" w:space="0" w:color="auto"/>
              <w:right w:val="single" w:sz="4" w:space="0" w:color="auto"/>
            </w:tcBorders>
            <w:vAlign w:val="center"/>
            <w:hideMark/>
          </w:tcPr>
          <w:p w14:paraId="2AE344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55876811</w:t>
            </w:r>
          </w:p>
        </w:tc>
        <w:tc>
          <w:tcPr>
            <w:tcW w:w="5953" w:type="dxa"/>
            <w:tcBorders>
              <w:top w:val="nil"/>
              <w:left w:val="nil"/>
              <w:bottom w:val="single" w:sz="4" w:space="0" w:color="auto"/>
              <w:right w:val="single" w:sz="4" w:space="0" w:color="auto"/>
            </w:tcBorders>
            <w:noWrap/>
            <w:vAlign w:val="center"/>
            <w:hideMark/>
          </w:tcPr>
          <w:p w14:paraId="6BC6B1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TRBOVLJE</w:t>
            </w:r>
          </w:p>
        </w:tc>
      </w:tr>
      <w:tr w:rsidR="00F24E18" w14:paraId="30ECA4F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5276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1490</w:t>
            </w:r>
          </w:p>
        </w:tc>
        <w:tc>
          <w:tcPr>
            <w:tcW w:w="1300" w:type="dxa"/>
            <w:tcBorders>
              <w:top w:val="nil"/>
              <w:left w:val="nil"/>
              <w:bottom w:val="single" w:sz="4" w:space="0" w:color="auto"/>
              <w:right w:val="single" w:sz="4" w:space="0" w:color="auto"/>
            </w:tcBorders>
            <w:noWrap/>
            <w:vAlign w:val="center"/>
            <w:hideMark/>
          </w:tcPr>
          <w:p w14:paraId="61860E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5088097000</w:t>
            </w:r>
          </w:p>
        </w:tc>
        <w:tc>
          <w:tcPr>
            <w:tcW w:w="1012" w:type="dxa"/>
            <w:tcBorders>
              <w:top w:val="nil"/>
              <w:left w:val="nil"/>
              <w:bottom w:val="single" w:sz="4" w:space="0" w:color="auto"/>
              <w:right w:val="single" w:sz="4" w:space="0" w:color="auto"/>
            </w:tcBorders>
            <w:noWrap/>
            <w:vAlign w:val="center"/>
            <w:hideMark/>
          </w:tcPr>
          <w:p w14:paraId="6EE28F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41249356</w:t>
            </w:r>
          </w:p>
        </w:tc>
        <w:tc>
          <w:tcPr>
            <w:tcW w:w="5953" w:type="dxa"/>
            <w:tcBorders>
              <w:top w:val="nil"/>
              <w:left w:val="nil"/>
              <w:bottom w:val="single" w:sz="4" w:space="0" w:color="auto"/>
              <w:right w:val="single" w:sz="4" w:space="0" w:color="auto"/>
            </w:tcBorders>
            <w:noWrap/>
            <w:vAlign w:val="center"/>
            <w:hideMark/>
          </w:tcPr>
          <w:p w14:paraId="04A45F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TREBNJE</w:t>
            </w:r>
          </w:p>
        </w:tc>
      </w:tr>
      <w:tr w:rsidR="00F24E18" w14:paraId="75D9CF6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8295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1491</w:t>
            </w:r>
          </w:p>
        </w:tc>
        <w:tc>
          <w:tcPr>
            <w:tcW w:w="1300" w:type="dxa"/>
            <w:tcBorders>
              <w:top w:val="nil"/>
              <w:left w:val="nil"/>
              <w:bottom w:val="single" w:sz="4" w:space="0" w:color="auto"/>
              <w:right w:val="single" w:sz="4" w:space="0" w:color="auto"/>
            </w:tcBorders>
            <w:noWrap/>
            <w:vAlign w:val="center"/>
            <w:hideMark/>
          </w:tcPr>
          <w:p w14:paraId="09AAE7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5084440000</w:t>
            </w:r>
          </w:p>
        </w:tc>
        <w:tc>
          <w:tcPr>
            <w:tcW w:w="1012" w:type="dxa"/>
            <w:tcBorders>
              <w:top w:val="nil"/>
              <w:left w:val="nil"/>
              <w:bottom w:val="single" w:sz="4" w:space="0" w:color="auto"/>
              <w:right w:val="single" w:sz="4" w:space="0" w:color="auto"/>
            </w:tcBorders>
            <w:noWrap/>
            <w:vAlign w:val="center"/>
            <w:hideMark/>
          </w:tcPr>
          <w:p w14:paraId="7C929E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67940650</w:t>
            </w:r>
          </w:p>
        </w:tc>
        <w:tc>
          <w:tcPr>
            <w:tcW w:w="5953" w:type="dxa"/>
            <w:tcBorders>
              <w:top w:val="nil"/>
              <w:left w:val="nil"/>
              <w:bottom w:val="single" w:sz="4" w:space="0" w:color="auto"/>
              <w:right w:val="single" w:sz="4" w:space="0" w:color="auto"/>
            </w:tcBorders>
            <w:noWrap/>
            <w:vAlign w:val="center"/>
            <w:hideMark/>
          </w:tcPr>
          <w:p w14:paraId="1FDCD4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TRNOVO</w:t>
            </w:r>
          </w:p>
        </w:tc>
      </w:tr>
      <w:tr w:rsidR="00F24E18" w14:paraId="2BDEC52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F617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1492</w:t>
            </w:r>
          </w:p>
        </w:tc>
        <w:tc>
          <w:tcPr>
            <w:tcW w:w="1300" w:type="dxa"/>
            <w:tcBorders>
              <w:top w:val="nil"/>
              <w:left w:val="nil"/>
              <w:bottom w:val="single" w:sz="4" w:space="0" w:color="auto"/>
              <w:right w:val="single" w:sz="4" w:space="0" w:color="auto"/>
            </w:tcBorders>
            <w:vAlign w:val="center"/>
            <w:hideMark/>
          </w:tcPr>
          <w:p w14:paraId="5EFB0F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5255287000</w:t>
            </w:r>
          </w:p>
        </w:tc>
        <w:tc>
          <w:tcPr>
            <w:tcW w:w="1012" w:type="dxa"/>
            <w:tcBorders>
              <w:top w:val="nil"/>
              <w:left w:val="nil"/>
              <w:bottom w:val="single" w:sz="4" w:space="0" w:color="auto"/>
              <w:right w:val="single" w:sz="4" w:space="0" w:color="auto"/>
            </w:tcBorders>
            <w:vAlign w:val="center"/>
            <w:hideMark/>
          </w:tcPr>
          <w:p w14:paraId="6083E7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54697751</w:t>
            </w:r>
          </w:p>
        </w:tc>
        <w:tc>
          <w:tcPr>
            <w:tcW w:w="5953" w:type="dxa"/>
            <w:tcBorders>
              <w:top w:val="nil"/>
              <w:left w:val="nil"/>
              <w:bottom w:val="single" w:sz="4" w:space="0" w:color="auto"/>
              <w:right w:val="single" w:sz="4" w:space="0" w:color="auto"/>
            </w:tcBorders>
            <w:noWrap/>
            <w:vAlign w:val="center"/>
            <w:hideMark/>
          </w:tcPr>
          <w:p w14:paraId="3F43EC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TRZIN</w:t>
            </w:r>
          </w:p>
        </w:tc>
      </w:tr>
      <w:tr w:rsidR="00F24E18" w14:paraId="57F1E2F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3EAB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1493</w:t>
            </w:r>
          </w:p>
        </w:tc>
        <w:tc>
          <w:tcPr>
            <w:tcW w:w="1300" w:type="dxa"/>
            <w:tcBorders>
              <w:top w:val="nil"/>
              <w:left w:val="nil"/>
              <w:bottom w:val="single" w:sz="4" w:space="0" w:color="auto"/>
              <w:right w:val="single" w:sz="4" w:space="0" w:color="auto"/>
            </w:tcBorders>
            <w:noWrap/>
            <w:vAlign w:val="center"/>
            <w:hideMark/>
          </w:tcPr>
          <w:p w14:paraId="2B3EC1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5087503000</w:t>
            </w:r>
          </w:p>
        </w:tc>
        <w:tc>
          <w:tcPr>
            <w:tcW w:w="1012" w:type="dxa"/>
            <w:tcBorders>
              <w:top w:val="nil"/>
              <w:left w:val="nil"/>
              <w:bottom w:val="single" w:sz="4" w:space="0" w:color="auto"/>
              <w:right w:val="single" w:sz="4" w:space="0" w:color="auto"/>
            </w:tcBorders>
            <w:noWrap/>
            <w:vAlign w:val="center"/>
            <w:hideMark/>
          </w:tcPr>
          <w:p w14:paraId="218D6B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33629927</w:t>
            </w:r>
          </w:p>
        </w:tc>
        <w:tc>
          <w:tcPr>
            <w:tcW w:w="5953" w:type="dxa"/>
            <w:tcBorders>
              <w:top w:val="nil"/>
              <w:left w:val="nil"/>
              <w:bottom w:val="single" w:sz="4" w:space="0" w:color="auto"/>
              <w:right w:val="single" w:sz="4" w:space="0" w:color="auto"/>
            </w:tcBorders>
            <w:noWrap/>
            <w:vAlign w:val="center"/>
            <w:hideMark/>
          </w:tcPr>
          <w:p w14:paraId="495834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TRŽIŠČE</w:t>
            </w:r>
          </w:p>
        </w:tc>
      </w:tr>
      <w:tr w:rsidR="00F24E18" w14:paraId="6E527C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9D43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1494</w:t>
            </w:r>
          </w:p>
        </w:tc>
        <w:tc>
          <w:tcPr>
            <w:tcW w:w="1300" w:type="dxa"/>
            <w:tcBorders>
              <w:top w:val="nil"/>
              <w:left w:val="nil"/>
              <w:bottom w:val="single" w:sz="4" w:space="0" w:color="auto"/>
              <w:right w:val="single" w:sz="4" w:space="0" w:color="auto"/>
            </w:tcBorders>
            <w:vAlign w:val="center"/>
            <w:hideMark/>
          </w:tcPr>
          <w:p w14:paraId="2D380A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5084059000</w:t>
            </w:r>
          </w:p>
        </w:tc>
        <w:tc>
          <w:tcPr>
            <w:tcW w:w="1012" w:type="dxa"/>
            <w:tcBorders>
              <w:top w:val="nil"/>
              <w:left w:val="nil"/>
              <w:bottom w:val="single" w:sz="4" w:space="0" w:color="auto"/>
              <w:right w:val="single" w:sz="4" w:space="0" w:color="auto"/>
            </w:tcBorders>
            <w:vAlign w:val="center"/>
            <w:hideMark/>
          </w:tcPr>
          <w:p w14:paraId="59F58F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12307572</w:t>
            </w:r>
          </w:p>
        </w:tc>
        <w:tc>
          <w:tcPr>
            <w:tcW w:w="5953" w:type="dxa"/>
            <w:tcBorders>
              <w:top w:val="nil"/>
              <w:left w:val="nil"/>
              <w:bottom w:val="single" w:sz="4" w:space="0" w:color="auto"/>
              <w:right w:val="single" w:sz="4" w:space="0" w:color="auto"/>
            </w:tcBorders>
            <w:noWrap/>
            <w:vAlign w:val="center"/>
            <w:hideMark/>
          </w:tcPr>
          <w:p w14:paraId="3C92FF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TURNIŠČE</w:t>
            </w:r>
          </w:p>
        </w:tc>
      </w:tr>
      <w:tr w:rsidR="00F24E18" w14:paraId="0DEE54E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77F5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1495</w:t>
            </w:r>
          </w:p>
        </w:tc>
        <w:tc>
          <w:tcPr>
            <w:tcW w:w="1300" w:type="dxa"/>
            <w:tcBorders>
              <w:top w:val="nil"/>
              <w:left w:val="nil"/>
              <w:bottom w:val="single" w:sz="4" w:space="0" w:color="auto"/>
              <w:right w:val="single" w:sz="4" w:space="0" w:color="auto"/>
            </w:tcBorders>
            <w:noWrap/>
            <w:vAlign w:val="center"/>
            <w:hideMark/>
          </w:tcPr>
          <w:p w14:paraId="2E0E89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5084342000</w:t>
            </w:r>
          </w:p>
        </w:tc>
        <w:tc>
          <w:tcPr>
            <w:tcW w:w="1012" w:type="dxa"/>
            <w:tcBorders>
              <w:top w:val="nil"/>
              <w:left w:val="nil"/>
              <w:bottom w:val="single" w:sz="4" w:space="0" w:color="auto"/>
              <w:right w:val="single" w:sz="4" w:space="0" w:color="auto"/>
            </w:tcBorders>
            <w:noWrap/>
            <w:vAlign w:val="center"/>
            <w:hideMark/>
          </w:tcPr>
          <w:p w14:paraId="7EC92A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94718164</w:t>
            </w:r>
          </w:p>
        </w:tc>
        <w:tc>
          <w:tcPr>
            <w:tcW w:w="5953" w:type="dxa"/>
            <w:tcBorders>
              <w:top w:val="nil"/>
              <w:left w:val="nil"/>
              <w:bottom w:val="single" w:sz="4" w:space="0" w:color="auto"/>
              <w:right w:val="single" w:sz="4" w:space="0" w:color="auto"/>
            </w:tcBorders>
            <w:noWrap/>
            <w:vAlign w:val="center"/>
            <w:hideMark/>
          </w:tcPr>
          <w:p w14:paraId="065F37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VALENTINA VODNIKA</w:t>
            </w:r>
          </w:p>
        </w:tc>
      </w:tr>
      <w:tr w:rsidR="00F24E18" w14:paraId="52368F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3AF5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1496</w:t>
            </w:r>
          </w:p>
        </w:tc>
        <w:tc>
          <w:tcPr>
            <w:tcW w:w="1300" w:type="dxa"/>
            <w:tcBorders>
              <w:top w:val="nil"/>
              <w:left w:val="nil"/>
              <w:bottom w:val="single" w:sz="4" w:space="0" w:color="auto"/>
              <w:right w:val="single" w:sz="4" w:space="0" w:color="auto"/>
            </w:tcBorders>
            <w:noWrap/>
            <w:vAlign w:val="center"/>
            <w:hideMark/>
          </w:tcPr>
          <w:p w14:paraId="6FE677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5086329000</w:t>
            </w:r>
          </w:p>
        </w:tc>
        <w:tc>
          <w:tcPr>
            <w:tcW w:w="1012" w:type="dxa"/>
            <w:tcBorders>
              <w:top w:val="nil"/>
              <w:left w:val="nil"/>
              <w:bottom w:val="single" w:sz="4" w:space="0" w:color="auto"/>
              <w:right w:val="single" w:sz="4" w:space="0" w:color="auto"/>
            </w:tcBorders>
            <w:noWrap/>
            <w:vAlign w:val="center"/>
            <w:hideMark/>
          </w:tcPr>
          <w:p w14:paraId="77934E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86730738</w:t>
            </w:r>
          </w:p>
        </w:tc>
        <w:tc>
          <w:tcPr>
            <w:tcW w:w="5953" w:type="dxa"/>
            <w:tcBorders>
              <w:top w:val="nil"/>
              <w:left w:val="nil"/>
              <w:bottom w:val="single" w:sz="4" w:space="0" w:color="auto"/>
              <w:right w:val="single" w:sz="4" w:space="0" w:color="auto"/>
            </w:tcBorders>
            <w:noWrap/>
            <w:vAlign w:val="center"/>
            <w:hideMark/>
          </w:tcPr>
          <w:p w14:paraId="6949E0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VAVTA VAS</w:t>
            </w:r>
          </w:p>
        </w:tc>
      </w:tr>
      <w:tr w:rsidR="00F24E18" w14:paraId="003458E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2460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1497</w:t>
            </w:r>
          </w:p>
        </w:tc>
        <w:tc>
          <w:tcPr>
            <w:tcW w:w="1300" w:type="dxa"/>
            <w:tcBorders>
              <w:top w:val="nil"/>
              <w:left w:val="nil"/>
              <w:bottom w:val="single" w:sz="4" w:space="0" w:color="auto"/>
              <w:right w:val="single" w:sz="4" w:space="0" w:color="auto"/>
            </w:tcBorders>
            <w:noWrap/>
            <w:vAlign w:val="center"/>
            <w:hideMark/>
          </w:tcPr>
          <w:p w14:paraId="1884CB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5083583000</w:t>
            </w:r>
          </w:p>
        </w:tc>
        <w:tc>
          <w:tcPr>
            <w:tcW w:w="1012" w:type="dxa"/>
            <w:tcBorders>
              <w:top w:val="nil"/>
              <w:left w:val="nil"/>
              <w:bottom w:val="single" w:sz="4" w:space="0" w:color="auto"/>
              <w:right w:val="single" w:sz="4" w:space="0" w:color="auto"/>
            </w:tcBorders>
            <w:noWrap/>
            <w:vAlign w:val="center"/>
            <w:hideMark/>
          </w:tcPr>
          <w:p w14:paraId="397926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81190344</w:t>
            </w:r>
          </w:p>
        </w:tc>
        <w:tc>
          <w:tcPr>
            <w:tcW w:w="5953" w:type="dxa"/>
            <w:tcBorders>
              <w:top w:val="nil"/>
              <w:left w:val="nil"/>
              <w:bottom w:val="single" w:sz="4" w:space="0" w:color="auto"/>
              <w:right w:val="single" w:sz="4" w:space="0" w:color="auto"/>
            </w:tcBorders>
            <w:noWrap/>
            <w:vAlign w:val="center"/>
            <w:hideMark/>
          </w:tcPr>
          <w:p w14:paraId="77CFF6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VELIKA DOLINA</w:t>
            </w:r>
          </w:p>
        </w:tc>
      </w:tr>
      <w:tr w:rsidR="00F24E18" w14:paraId="410770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4339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1498</w:t>
            </w:r>
          </w:p>
        </w:tc>
        <w:tc>
          <w:tcPr>
            <w:tcW w:w="1300" w:type="dxa"/>
            <w:tcBorders>
              <w:top w:val="nil"/>
              <w:left w:val="nil"/>
              <w:bottom w:val="single" w:sz="4" w:space="0" w:color="auto"/>
              <w:right w:val="single" w:sz="4" w:space="0" w:color="auto"/>
            </w:tcBorders>
            <w:noWrap/>
            <w:vAlign w:val="center"/>
            <w:hideMark/>
          </w:tcPr>
          <w:p w14:paraId="74F695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5090148000</w:t>
            </w:r>
          </w:p>
        </w:tc>
        <w:tc>
          <w:tcPr>
            <w:tcW w:w="1012" w:type="dxa"/>
            <w:tcBorders>
              <w:top w:val="nil"/>
              <w:left w:val="nil"/>
              <w:bottom w:val="single" w:sz="4" w:space="0" w:color="auto"/>
              <w:right w:val="single" w:sz="4" w:space="0" w:color="auto"/>
            </w:tcBorders>
            <w:noWrap/>
            <w:vAlign w:val="center"/>
            <w:hideMark/>
          </w:tcPr>
          <w:p w14:paraId="32CA74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82142211</w:t>
            </w:r>
          </w:p>
        </w:tc>
        <w:tc>
          <w:tcPr>
            <w:tcW w:w="5953" w:type="dxa"/>
            <w:tcBorders>
              <w:top w:val="nil"/>
              <w:left w:val="nil"/>
              <w:bottom w:val="single" w:sz="4" w:space="0" w:color="auto"/>
              <w:right w:val="single" w:sz="4" w:space="0" w:color="auto"/>
            </w:tcBorders>
            <w:noWrap/>
            <w:vAlign w:val="center"/>
            <w:hideMark/>
          </w:tcPr>
          <w:p w14:paraId="1BD7CE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VELIKA NEDELJA</w:t>
            </w:r>
          </w:p>
        </w:tc>
      </w:tr>
      <w:tr w:rsidR="00F24E18" w14:paraId="1F060D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6D30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1499</w:t>
            </w:r>
          </w:p>
        </w:tc>
        <w:tc>
          <w:tcPr>
            <w:tcW w:w="1300" w:type="dxa"/>
            <w:tcBorders>
              <w:top w:val="nil"/>
              <w:left w:val="nil"/>
              <w:bottom w:val="single" w:sz="4" w:space="0" w:color="auto"/>
              <w:right w:val="single" w:sz="4" w:space="0" w:color="auto"/>
            </w:tcBorders>
            <w:noWrap/>
            <w:vAlign w:val="center"/>
            <w:hideMark/>
          </w:tcPr>
          <w:p w14:paraId="58EBF8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5088119000</w:t>
            </w:r>
          </w:p>
        </w:tc>
        <w:tc>
          <w:tcPr>
            <w:tcW w:w="1012" w:type="dxa"/>
            <w:tcBorders>
              <w:top w:val="nil"/>
              <w:left w:val="nil"/>
              <w:bottom w:val="single" w:sz="4" w:space="0" w:color="auto"/>
              <w:right w:val="single" w:sz="4" w:space="0" w:color="auto"/>
            </w:tcBorders>
            <w:noWrap/>
            <w:vAlign w:val="center"/>
            <w:hideMark/>
          </w:tcPr>
          <w:p w14:paraId="6FB47B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47660759</w:t>
            </w:r>
          </w:p>
        </w:tc>
        <w:tc>
          <w:tcPr>
            <w:tcW w:w="5953" w:type="dxa"/>
            <w:tcBorders>
              <w:top w:val="nil"/>
              <w:left w:val="nil"/>
              <w:bottom w:val="single" w:sz="4" w:space="0" w:color="auto"/>
              <w:right w:val="single" w:sz="4" w:space="0" w:color="auto"/>
            </w:tcBorders>
            <w:noWrap/>
            <w:vAlign w:val="center"/>
            <w:hideMark/>
          </w:tcPr>
          <w:p w14:paraId="79FAA1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VELIKI GABER</w:t>
            </w:r>
          </w:p>
        </w:tc>
      </w:tr>
      <w:tr w:rsidR="00F24E18" w14:paraId="62DB872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4831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1500</w:t>
            </w:r>
          </w:p>
        </w:tc>
        <w:tc>
          <w:tcPr>
            <w:tcW w:w="1300" w:type="dxa"/>
            <w:tcBorders>
              <w:top w:val="nil"/>
              <w:left w:val="nil"/>
              <w:bottom w:val="single" w:sz="4" w:space="0" w:color="auto"/>
              <w:right w:val="single" w:sz="4" w:space="0" w:color="auto"/>
            </w:tcBorders>
            <w:noWrap/>
            <w:vAlign w:val="center"/>
            <w:hideMark/>
          </w:tcPr>
          <w:p w14:paraId="5A9122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5082811000</w:t>
            </w:r>
          </w:p>
        </w:tc>
        <w:tc>
          <w:tcPr>
            <w:tcW w:w="1012" w:type="dxa"/>
            <w:tcBorders>
              <w:top w:val="nil"/>
              <w:left w:val="nil"/>
              <w:bottom w:val="single" w:sz="4" w:space="0" w:color="auto"/>
              <w:right w:val="single" w:sz="4" w:space="0" w:color="auto"/>
            </w:tcBorders>
            <w:noWrap/>
            <w:vAlign w:val="center"/>
            <w:hideMark/>
          </w:tcPr>
          <w:p w14:paraId="0CE03B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16670884</w:t>
            </w:r>
          </w:p>
        </w:tc>
        <w:tc>
          <w:tcPr>
            <w:tcW w:w="5953" w:type="dxa"/>
            <w:tcBorders>
              <w:top w:val="nil"/>
              <w:left w:val="nil"/>
              <w:bottom w:val="single" w:sz="4" w:space="0" w:color="auto"/>
              <w:right w:val="single" w:sz="4" w:space="0" w:color="auto"/>
            </w:tcBorders>
            <w:noWrap/>
            <w:vAlign w:val="center"/>
            <w:hideMark/>
          </w:tcPr>
          <w:p w14:paraId="114A1A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VENCLJA PERKA</w:t>
            </w:r>
          </w:p>
        </w:tc>
      </w:tr>
      <w:tr w:rsidR="00F24E18" w14:paraId="148B93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DD4D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1501</w:t>
            </w:r>
          </w:p>
        </w:tc>
        <w:tc>
          <w:tcPr>
            <w:tcW w:w="1300" w:type="dxa"/>
            <w:tcBorders>
              <w:top w:val="nil"/>
              <w:left w:val="nil"/>
              <w:bottom w:val="single" w:sz="4" w:space="0" w:color="auto"/>
              <w:right w:val="single" w:sz="4" w:space="0" w:color="auto"/>
            </w:tcBorders>
            <w:vAlign w:val="center"/>
            <w:hideMark/>
          </w:tcPr>
          <w:p w14:paraId="36EEEE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5051215000</w:t>
            </w:r>
          </w:p>
        </w:tc>
        <w:tc>
          <w:tcPr>
            <w:tcW w:w="1012" w:type="dxa"/>
            <w:tcBorders>
              <w:top w:val="nil"/>
              <w:left w:val="nil"/>
              <w:bottom w:val="single" w:sz="4" w:space="0" w:color="auto"/>
              <w:right w:val="single" w:sz="4" w:space="0" w:color="auto"/>
            </w:tcBorders>
            <w:vAlign w:val="center"/>
            <w:hideMark/>
          </w:tcPr>
          <w:p w14:paraId="073480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32512864</w:t>
            </w:r>
          </w:p>
        </w:tc>
        <w:tc>
          <w:tcPr>
            <w:tcW w:w="5953" w:type="dxa"/>
            <w:tcBorders>
              <w:top w:val="nil"/>
              <w:left w:val="nil"/>
              <w:bottom w:val="single" w:sz="4" w:space="0" w:color="auto"/>
              <w:right w:val="single" w:sz="4" w:space="0" w:color="auto"/>
            </w:tcBorders>
            <w:noWrap/>
            <w:vAlign w:val="center"/>
            <w:hideMark/>
          </w:tcPr>
          <w:p w14:paraId="043C33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VERŽEJ</w:t>
            </w:r>
          </w:p>
        </w:tc>
      </w:tr>
      <w:tr w:rsidR="00F24E18" w14:paraId="1A35F6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A208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1502</w:t>
            </w:r>
          </w:p>
        </w:tc>
        <w:tc>
          <w:tcPr>
            <w:tcW w:w="1300" w:type="dxa"/>
            <w:tcBorders>
              <w:top w:val="nil"/>
              <w:left w:val="nil"/>
              <w:bottom w:val="single" w:sz="4" w:space="0" w:color="auto"/>
              <w:right w:val="single" w:sz="4" w:space="0" w:color="auto"/>
            </w:tcBorders>
            <w:noWrap/>
            <w:vAlign w:val="center"/>
            <w:hideMark/>
          </w:tcPr>
          <w:p w14:paraId="682F87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5084300000</w:t>
            </w:r>
          </w:p>
        </w:tc>
        <w:tc>
          <w:tcPr>
            <w:tcW w:w="1012" w:type="dxa"/>
            <w:tcBorders>
              <w:top w:val="nil"/>
              <w:left w:val="nil"/>
              <w:bottom w:val="single" w:sz="4" w:space="0" w:color="auto"/>
              <w:right w:val="single" w:sz="4" w:space="0" w:color="auto"/>
            </w:tcBorders>
            <w:noWrap/>
            <w:vAlign w:val="center"/>
            <w:hideMark/>
          </w:tcPr>
          <w:p w14:paraId="025DF3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52386368</w:t>
            </w:r>
          </w:p>
        </w:tc>
        <w:tc>
          <w:tcPr>
            <w:tcW w:w="5953" w:type="dxa"/>
            <w:tcBorders>
              <w:top w:val="nil"/>
              <w:left w:val="nil"/>
              <w:bottom w:val="single" w:sz="4" w:space="0" w:color="auto"/>
              <w:right w:val="single" w:sz="4" w:space="0" w:color="auto"/>
            </w:tcBorders>
            <w:noWrap/>
            <w:vAlign w:val="center"/>
            <w:hideMark/>
          </w:tcPr>
          <w:p w14:paraId="694F17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VIDE PREGARC</w:t>
            </w:r>
          </w:p>
        </w:tc>
      </w:tr>
      <w:tr w:rsidR="00F24E18" w14:paraId="28E84B3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48C8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1503</w:t>
            </w:r>
          </w:p>
        </w:tc>
        <w:tc>
          <w:tcPr>
            <w:tcW w:w="1300" w:type="dxa"/>
            <w:tcBorders>
              <w:top w:val="nil"/>
              <w:left w:val="nil"/>
              <w:bottom w:val="single" w:sz="4" w:space="0" w:color="auto"/>
              <w:right w:val="single" w:sz="4" w:space="0" w:color="auto"/>
            </w:tcBorders>
            <w:vAlign w:val="center"/>
            <w:hideMark/>
          </w:tcPr>
          <w:p w14:paraId="3A407D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5087171000</w:t>
            </w:r>
          </w:p>
        </w:tc>
        <w:tc>
          <w:tcPr>
            <w:tcW w:w="1012" w:type="dxa"/>
            <w:tcBorders>
              <w:top w:val="nil"/>
              <w:left w:val="nil"/>
              <w:bottom w:val="single" w:sz="4" w:space="0" w:color="auto"/>
              <w:right w:val="single" w:sz="4" w:space="0" w:color="auto"/>
            </w:tcBorders>
            <w:vAlign w:val="center"/>
            <w:hideMark/>
          </w:tcPr>
          <w:p w14:paraId="571443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13592793</w:t>
            </w:r>
          </w:p>
        </w:tc>
        <w:tc>
          <w:tcPr>
            <w:tcW w:w="5953" w:type="dxa"/>
            <w:tcBorders>
              <w:top w:val="nil"/>
              <w:left w:val="nil"/>
              <w:bottom w:val="single" w:sz="4" w:space="0" w:color="auto"/>
              <w:right w:val="single" w:sz="4" w:space="0" w:color="auto"/>
            </w:tcBorders>
            <w:noWrap/>
            <w:vAlign w:val="center"/>
            <w:hideMark/>
          </w:tcPr>
          <w:p w14:paraId="3F688C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VIDEM</w:t>
            </w:r>
          </w:p>
        </w:tc>
      </w:tr>
      <w:tr w:rsidR="00F24E18" w14:paraId="1BE930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9A5C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1504</w:t>
            </w:r>
          </w:p>
        </w:tc>
        <w:tc>
          <w:tcPr>
            <w:tcW w:w="1300" w:type="dxa"/>
            <w:tcBorders>
              <w:top w:val="nil"/>
              <w:left w:val="nil"/>
              <w:bottom w:val="single" w:sz="4" w:space="0" w:color="auto"/>
              <w:right w:val="single" w:sz="4" w:space="0" w:color="auto"/>
            </w:tcBorders>
            <w:noWrap/>
            <w:vAlign w:val="center"/>
            <w:hideMark/>
          </w:tcPr>
          <w:p w14:paraId="26D91E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5082781000</w:t>
            </w:r>
          </w:p>
        </w:tc>
        <w:tc>
          <w:tcPr>
            <w:tcW w:w="1012" w:type="dxa"/>
            <w:tcBorders>
              <w:top w:val="nil"/>
              <w:left w:val="nil"/>
              <w:bottom w:val="single" w:sz="4" w:space="0" w:color="auto"/>
              <w:right w:val="single" w:sz="4" w:space="0" w:color="auto"/>
            </w:tcBorders>
            <w:noWrap/>
            <w:vAlign w:val="center"/>
            <w:hideMark/>
          </w:tcPr>
          <w:p w14:paraId="726AC7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75824973</w:t>
            </w:r>
          </w:p>
        </w:tc>
        <w:tc>
          <w:tcPr>
            <w:tcW w:w="5953" w:type="dxa"/>
            <w:tcBorders>
              <w:top w:val="nil"/>
              <w:left w:val="nil"/>
              <w:bottom w:val="single" w:sz="4" w:space="0" w:color="auto"/>
              <w:right w:val="single" w:sz="4" w:space="0" w:color="auto"/>
            </w:tcBorders>
            <w:noWrap/>
            <w:vAlign w:val="center"/>
            <w:hideMark/>
          </w:tcPr>
          <w:p w14:paraId="05795C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VINICA</w:t>
            </w:r>
          </w:p>
        </w:tc>
      </w:tr>
      <w:tr w:rsidR="00F24E18" w14:paraId="2E01FD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FE77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1505</w:t>
            </w:r>
          </w:p>
        </w:tc>
        <w:tc>
          <w:tcPr>
            <w:tcW w:w="1300" w:type="dxa"/>
            <w:tcBorders>
              <w:top w:val="nil"/>
              <w:left w:val="nil"/>
              <w:bottom w:val="single" w:sz="4" w:space="0" w:color="auto"/>
              <w:right w:val="single" w:sz="4" w:space="0" w:color="auto"/>
            </w:tcBorders>
            <w:noWrap/>
            <w:vAlign w:val="center"/>
            <w:hideMark/>
          </w:tcPr>
          <w:p w14:paraId="4C3F45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5087724000</w:t>
            </w:r>
          </w:p>
        </w:tc>
        <w:tc>
          <w:tcPr>
            <w:tcW w:w="1012" w:type="dxa"/>
            <w:tcBorders>
              <w:top w:val="nil"/>
              <w:left w:val="nil"/>
              <w:bottom w:val="single" w:sz="4" w:space="0" w:color="auto"/>
              <w:right w:val="single" w:sz="4" w:space="0" w:color="auto"/>
            </w:tcBorders>
            <w:noWrap/>
            <w:vAlign w:val="center"/>
            <w:hideMark/>
          </w:tcPr>
          <w:p w14:paraId="326206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65089600</w:t>
            </w:r>
          </w:p>
        </w:tc>
        <w:tc>
          <w:tcPr>
            <w:tcW w:w="5953" w:type="dxa"/>
            <w:tcBorders>
              <w:top w:val="nil"/>
              <w:left w:val="nil"/>
              <w:bottom w:val="single" w:sz="4" w:space="0" w:color="auto"/>
              <w:right w:val="single" w:sz="4" w:space="0" w:color="auto"/>
            </w:tcBorders>
            <w:noWrap/>
            <w:vAlign w:val="center"/>
            <w:hideMark/>
          </w:tcPr>
          <w:p w14:paraId="75AAA1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VITANJE</w:t>
            </w:r>
          </w:p>
        </w:tc>
      </w:tr>
      <w:tr w:rsidR="00F24E18" w14:paraId="7A622F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7236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1506</w:t>
            </w:r>
          </w:p>
        </w:tc>
        <w:tc>
          <w:tcPr>
            <w:tcW w:w="1300" w:type="dxa"/>
            <w:tcBorders>
              <w:top w:val="nil"/>
              <w:left w:val="nil"/>
              <w:bottom w:val="single" w:sz="4" w:space="0" w:color="auto"/>
              <w:right w:val="single" w:sz="4" w:space="0" w:color="auto"/>
            </w:tcBorders>
            <w:noWrap/>
            <w:vAlign w:val="center"/>
            <w:hideMark/>
          </w:tcPr>
          <w:p w14:paraId="419CF4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5084407000</w:t>
            </w:r>
          </w:p>
        </w:tc>
        <w:tc>
          <w:tcPr>
            <w:tcW w:w="1012" w:type="dxa"/>
            <w:tcBorders>
              <w:top w:val="nil"/>
              <w:left w:val="nil"/>
              <w:bottom w:val="single" w:sz="4" w:space="0" w:color="auto"/>
              <w:right w:val="single" w:sz="4" w:space="0" w:color="auto"/>
            </w:tcBorders>
            <w:noWrap/>
            <w:vAlign w:val="center"/>
            <w:hideMark/>
          </w:tcPr>
          <w:p w14:paraId="3D64E3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31191070</w:t>
            </w:r>
          </w:p>
        </w:tc>
        <w:tc>
          <w:tcPr>
            <w:tcW w:w="5953" w:type="dxa"/>
            <w:tcBorders>
              <w:top w:val="nil"/>
              <w:left w:val="nil"/>
              <w:bottom w:val="single" w:sz="4" w:space="0" w:color="auto"/>
              <w:right w:val="single" w:sz="4" w:space="0" w:color="auto"/>
            </w:tcBorders>
            <w:noWrap/>
            <w:vAlign w:val="center"/>
            <w:hideMark/>
          </w:tcPr>
          <w:p w14:paraId="626FE9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VIŽMARJE-BROD</w:t>
            </w:r>
          </w:p>
        </w:tc>
      </w:tr>
      <w:tr w:rsidR="00F24E18" w14:paraId="495DD5C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C66C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1507</w:t>
            </w:r>
          </w:p>
        </w:tc>
        <w:tc>
          <w:tcPr>
            <w:tcW w:w="1300" w:type="dxa"/>
            <w:tcBorders>
              <w:top w:val="nil"/>
              <w:left w:val="nil"/>
              <w:bottom w:val="single" w:sz="4" w:space="0" w:color="auto"/>
              <w:right w:val="single" w:sz="4" w:space="0" w:color="auto"/>
            </w:tcBorders>
            <w:noWrap/>
            <w:vAlign w:val="center"/>
            <w:hideMark/>
          </w:tcPr>
          <w:p w14:paraId="0E2F85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5084377000</w:t>
            </w:r>
          </w:p>
        </w:tc>
        <w:tc>
          <w:tcPr>
            <w:tcW w:w="1012" w:type="dxa"/>
            <w:tcBorders>
              <w:top w:val="nil"/>
              <w:left w:val="nil"/>
              <w:bottom w:val="single" w:sz="4" w:space="0" w:color="auto"/>
              <w:right w:val="single" w:sz="4" w:space="0" w:color="auto"/>
            </w:tcBorders>
            <w:noWrap/>
            <w:vAlign w:val="center"/>
            <w:hideMark/>
          </w:tcPr>
          <w:p w14:paraId="501249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23124741</w:t>
            </w:r>
          </w:p>
        </w:tc>
        <w:tc>
          <w:tcPr>
            <w:tcW w:w="5953" w:type="dxa"/>
            <w:tcBorders>
              <w:top w:val="nil"/>
              <w:left w:val="nil"/>
              <w:bottom w:val="single" w:sz="4" w:space="0" w:color="auto"/>
              <w:right w:val="single" w:sz="4" w:space="0" w:color="auto"/>
            </w:tcBorders>
            <w:noWrap/>
            <w:vAlign w:val="center"/>
            <w:hideMark/>
          </w:tcPr>
          <w:p w14:paraId="6898CF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VODICE</w:t>
            </w:r>
          </w:p>
        </w:tc>
      </w:tr>
      <w:tr w:rsidR="00F24E18" w14:paraId="0BAA6E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DE9F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1508</w:t>
            </w:r>
          </w:p>
        </w:tc>
        <w:tc>
          <w:tcPr>
            <w:tcW w:w="1300" w:type="dxa"/>
            <w:tcBorders>
              <w:top w:val="nil"/>
              <w:left w:val="nil"/>
              <w:bottom w:val="single" w:sz="4" w:space="0" w:color="auto"/>
              <w:right w:val="single" w:sz="4" w:space="0" w:color="auto"/>
            </w:tcBorders>
            <w:noWrap/>
            <w:vAlign w:val="center"/>
            <w:hideMark/>
          </w:tcPr>
          <w:p w14:paraId="0AA2DF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5083478000</w:t>
            </w:r>
          </w:p>
        </w:tc>
        <w:tc>
          <w:tcPr>
            <w:tcW w:w="1012" w:type="dxa"/>
            <w:tcBorders>
              <w:top w:val="nil"/>
              <w:left w:val="nil"/>
              <w:bottom w:val="single" w:sz="4" w:space="0" w:color="auto"/>
              <w:right w:val="single" w:sz="4" w:space="0" w:color="auto"/>
            </w:tcBorders>
            <w:noWrap/>
            <w:vAlign w:val="center"/>
            <w:hideMark/>
          </w:tcPr>
          <w:p w14:paraId="25720E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43102913</w:t>
            </w:r>
          </w:p>
        </w:tc>
        <w:tc>
          <w:tcPr>
            <w:tcW w:w="5953" w:type="dxa"/>
            <w:tcBorders>
              <w:top w:val="nil"/>
              <w:left w:val="nil"/>
              <w:bottom w:val="single" w:sz="4" w:space="0" w:color="auto"/>
              <w:right w:val="single" w:sz="4" w:space="0" w:color="auto"/>
            </w:tcBorders>
            <w:noWrap/>
            <w:vAlign w:val="center"/>
            <w:hideMark/>
          </w:tcPr>
          <w:p w14:paraId="2397A5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VODMAT</w:t>
            </w:r>
          </w:p>
        </w:tc>
      </w:tr>
      <w:tr w:rsidR="00F24E18" w14:paraId="783FC8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6682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1509</w:t>
            </w:r>
          </w:p>
        </w:tc>
        <w:tc>
          <w:tcPr>
            <w:tcW w:w="1300" w:type="dxa"/>
            <w:tcBorders>
              <w:top w:val="nil"/>
              <w:left w:val="nil"/>
              <w:bottom w:val="single" w:sz="4" w:space="0" w:color="auto"/>
              <w:right w:val="single" w:sz="4" w:space="0" w:color="auto"/>
            </w:tcBorders>
            <w:noWrap/>
            <w:vAlign w:val="center"/>
            <w:hideMark/>
          </w:tcPr>
          <w:p w14:paraId="0B990F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5083028000</w:t>
            </w:r>
          </w:p>
        </w:tc>
        <w:tc>
          <w:tcPr>
            <w:tcW w:w="1012" w:type="dxa"/>
            <w:tcBorders>
              <w:top w:val="nil"/>
              <w:left w:val="nil"/>
              <w:bottom w:val="single" w:sz="4" w:space="0" w:color="auto"/>
              <w:right w:val="single" w:sz="4" w:space="0" w:color="auto"/>
            </w:tcBorders>
            <w:noWrap/>
            <w:vAlign w:val="center"/>
            <w:hideMark/>
          </w:tcPr>
          <w:p w14:paraId="09E38B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79063152</w:t>
            </w:r>
          </w:p>
        </w:tc>
        <w:tc>
          <w:tcPr>
            <w:tcW w:w="5953" w:type="dxa"/>
            <w:tcBorders>
              <w:top w:val="nil"/>
              <w:left w:val="nil"/>
              <w:bottom w:val="single" w:sz="4" w:space="0" w:color="auto"/>
              <w:right w:val="single" w:sz="4" w:space="0" w:color="auto"/>
            </w:tcBorders>
            <w:noWrap/>
            <w:vAlign w:val="center"/>
            <w:hideMark/>
          </w:tcPr>
          <w:p w14:paraId="796A25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VOJKE ŠMUC IZOLA SCUOLA ELEMENTARE VOJKA ŠMUC ISOLA</w:t>
            </w:r>
          </w:p>
        </w:tc>
      </w:tr>
      <w:tr w:rsidR="00F24E18" w14:paraId="37C716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EF56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1510</w:t>
            </w:r>
          </w:p>
        </w:tc>
        <w:tc>
          <w:tcPr>
            <w:tcW w:w="1300" w:type="dxa"/>
            <w:tcBorders>
              <w:top w:val="nil"/>
              <w:left w:val="nil"/>
              <w:bottom w:val="single" w:sz="4" w:space="0" w:color="auto"/>
              <w:right w:val="single" w:sz="4" w:space="0" w:color="auto"/>
            </w:tcBorders>
            <w:vAlign w:val="center"/>
            <w:hideMark/>
          </w:tcPr>
          <w:p w14:paraId="15E81B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5082684000</w:t>
            </w:r>
          </w:p>
        </w:tc>
        <w:tc>
          <w:tcPr>
            <w:tcW w:w="1012" w:type="dxa"/>
            <w:tcBorders>
              <w:top w:val="nil"/>
              <w:left w:val="nil"/>
              <w:bottom w:val="single" w:sz="4" w:space="0" w:color="auto"/>
              <w:right w:val="single" w:sz="4" w:space="0" w:color="auto"/>
            </w:tcBorders>
            <w:vAlign w:val="center"/>
            <w:hideMark/>
          </w:tcPr>
          <w:p w14:paraId="048201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95289763</w:t>
            </w:r>
          </w:p>
        </w:tc>
        <w:tc>
          <w:tcPr>
            <w:tcW w:w="5953" w:type="dxa"/>
            <w:tcBorders>
              <w:top w:val="nil"/>
              <w:left w:val="nil"/>
              <w:bottom w:val="single" w:sz="4" w:space="0" w:color="auto"/>
              <w:right w:val="single" w:sz="4" w:space="0" w:color="auto"/>
            </w:tcBorders>
            <w:noWrap/>
            <w:vAlign w:val="center"/>
            <w:hideMark/>
          </w:tcPr>
          <w:p w14:paraId="0A74A4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VOJNIK</w:t>
            </w:r>
          </w:p>
        </w:tc>
      </w:tr>
      <w:tr w:rsidR="00F24E18" w14:paraId="0E09B6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ADEC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1511</w:t>
            </w:r>
          </w:p>
        </w:tc>
        <w:tc>
          <w:tcPr>
            <w:tcW w:w="1300" w:type="dxa"/>
            <w:tcBorders>
              <w:top w:val="nil"/>
              <w:left w:val="nil"/>
              <w:bottom w:val="single" w:sz="4" w:space="0" w:color="auto"/>
              <w:right w:val="single" w:sz="4" w:space="0" w:color="auto"/>
            </w:tcBorders>
            <w:noWrap/>
            <w:vAlign w:val="center"/>
            <w:hideMark/>
          </w:tcPr>
          <w:p w14:paraId="0A51BE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5084008000</w:t>
            </w:r>
          </w:p>
        </w:tc>
        <w:tc>
          <w:tcPr>
            <w:tcW w:w="1012" w:type="dxa"/>
            <w:tcBorders>
              <w:top w:val="nil"/>
              <w:left w:val="nil"/>
              <w:bottom w:val="single" w:sz="4" w:space="0" w:color="auto"/>
              <w:right w:val="single" w:sz="4" w:space="0" w:color="auto"/>
            </w:tcBorders>
            <w:noWrap/>
            <w:vAlign w:val="center"/>
            <w:hideMark/>
          </w:tcPr>
          <w:p w14:paraId="7D115A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60776641</w:t>
            </w:r>
          </w:p>
        </w:tc>
        <w:tc>
          <w:tcPr>
            <w:tcW w:w="5953" w:type="dxa"/>
            <w:tcBorders>
              <w:top w:val="nil"/>
              <w:left w:val="nil"/>
              <w:bottom w:val="single" w:sz="4" w:space="0" w:color="auto"/>
              <w:right w:val="single" w:sz="4" w:space="0" w:color="auto"/>
            </w:tcBorders>
            <w:noWrap/>
            <w:vAlign w:val="center"/>
            <w:hideMark/>
          </w:tcPr>
          <w:p w14:paraId="1DC0F1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VOLIČINA</w:t>
            </w:r>
          </w:p>
        </w:tc>
      </w:tr>
      <w:tr w:rsidR="00F24E18" w14:paraId="4C7B957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A60D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1512</w:t>
            </w:r>
          </w:p>
        </w:tc>
        <w:tc>
          <w:tcPr>
            <w:tcW w:w="1300" w:type="dxa"/>
            <w:tcBorders>
              <w:top w:val="nil"/>
              <w:left w:val="nil"/>
              <w:bottom w:val="single" w:sz="4" w:space="0" w:color="auto"/>
              <w:right w:val="single" w:sz="4" w:space="0" w:color="auto"/>
            </w:tcBorders>
            <w:noWrap/>
            <w:vAlign w:val="center"/>
            <w:hideMark/>
          </w:tcPr>
          <w:p w14:paraId="6E4E16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5088526000</w:t>
            </w:r>
          </w:p>
        </w:tc>
        <w:tc>
          <w:tcPr>
            <w:tcW w:w="1012" w:type="dxa"/>
            <w:tcBorders>
              <w:top w:val="nil"/>
              <w:left w:val="nil"/>
              <w:bottom w:val="single" w:sz="4" w:space="0" w:color="auto"/>
              <w:right w:val="single" w:sz="4" w:space="0" w:color="auto"/>
            </w:tcBorders>
            <w:noWrap/>
            <w:vAlign w:val="center"/>
            <w:hideMark/>
          </w:tcPr>
          <w:p w14:paraId="44B8F0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65135482</w:t>
            </w:r>
          </w:p>
        </w:tc>
        <w:tc>
          <w:tcPr>
            <w:tcW w:w="5953" w:type="dxa"/>
            <w:tcBorders>
              <w:top w:val="nil"/>
              <w:left w:val="nil"/>
              <w:bottom w:val="single" w:sz="4" w:space="0" w:color="auto"/>
              <w:right w:val="single" w:sz="4" w:space="0" w:color="auto"/>
            </w:tcBorders>
            <w:noWrap/>
            <w:vAlign w:val="center"/>
            <w:hideMark/>
          </w:tcPr>
          <w:p w14:paraId="060016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VRANSKO - TABOR</w:t>
            </w:r>
          </w:p>
        </w:tc>
      </w:tr>
      <w:tr w:rsidR="00F24E18" w14:paraId="42F6FF0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214E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1513</w:t>
            </w:r>
          </w:p>
        </w:tc>
        <w:tc>
          <w:tcPr>
            <w:tcW w:w="1300" w:type="dxa"/>
            <w:tcBorders>
              <w:top w:val="nil"/>
              <w:left w:val="nil"/>
              <w:bottom w:val="single" w:sz="4" w:space="0" w:color="auto"/>
              <w:right w:val="single" w:sz="4" w:space="0" w:color="auto"/>
            </w:tcBorders>
            <w:noWrap/>
            <w:vAlign w:val="center"/>
            <w:hideMark/>
          </w:tcPr>
          <w:p w14:paraId="64CB33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5084989000</w:t>
            </w:r>
          </w:p>
        </w:tc>
        <w:tc>
          <w:tcPr>
            <w:tcW w:w="1012" w:type="dxa"/>
            <w:tcBorders>
              <w:top w:val="nil"/>
              <w:left w:val="nil"/>
              <w:bottom w:val="single" w:sz="4" w:space="0" w:color="auto"/>
              <w:right w:val="single" w:sz="4" w:space="0" w:color="auto"/>
            </w:tcBorders>
            <w:noWrap/>
            <w:vAlign w:val="center"/>
            <w:hideMark/>
          </w:tcPr>
          <w:p w14:paraId="62949E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34317627</w:t>
            </w:r>
          </w:p>
        </w:tc>
        <w:tc>
          <w:tcPr>
            <w:tcW w:w="5953" w:type="dxa"/>
            <w:tcBorders>
              <w:top w:val="nil"/>
              <w:left w:val="nil"/>
              <w:bottom w:val="single" w:sz="4" w:space="0" w:color="auto"/>
              <w:right w:val="single" w:sz="4" w:space="0" w:color="auto"/>
            </w:tcBorders>
            <w:noWrap/>
            <w:vAlign w:val="center"/>
            <w:hideMark/>
          </w:tcPr>
          <w:p w14:paraId="7A845D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VRHOVCI</w:t>
            </w:r>
          </w:p>
        </w:tc>
      </w:tr>
      <w:tr w:rsidR="00F24E18" w14:paraId="51B6A6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A2A9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1514</w:t>
            </w:r>
          </w:p>
        </w:tc>
        <w:tc>
          <w:tcPr>
            <w:tcW w:w="1300" w:type="dxa"/>
            <w:tcBorders>
              <w:top w:val="nil"/>
              <w:left w:val="nil"/>
              <w:bottom w:val="single" w:sz="4" w:space="0" w:color="auto"/>
              <w:right w:val="single" w:sz="4" w:space="0" w:color="auto"/>
            </w:tcBorders>
            <w:noWrap/>
            <w:vAlign w:val="center"/>
            <w:hideMark/>
          </w:tcPr>
          <w:p w14:paraId="33514E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5087279000</w:t>
            </w:r>
          </w:p>
        </w:tc>
        <w:tc>
          <w:tcPr>
            <w:tcW w:w="1012" w:type="dxa"/>
            <w:tcBorders>
              <w:top w:val="nil"/>
              <w:left w:val="nil"/>
              <w:bottom w:val="single" w:sz="4" w:space="0" w:color="auto"/>
              <w:right w:val="single" w:sz="4" w:space="0" w:color="auto"/>
            </w:tcBorders>
            <w:noWrap/>
            <w:vAlign w:val="center"/>
            <w:hideMark/>
          </w:tcPr>
          <w:p w14:paraId="5143A1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64020673</w:t>
            </w:r>
          </w:p>
        </w:tc>
        <w:tc>
          <w:tcPr>
            <w:tcW w:w="5953" w:type="dxa"/>
            <w:tcBorders>
              <w:top w:val="nil"/>
              <w:left w:val="nil"/>
              <w:bottom w:val="single" w:sz="4" w:space="0" w:color="auto"/>
              <w:right w:val="single" w:sz="4" w:space="0" w:color="auto"/>
            </w:tcBorders>
            <w:noWrap/>
            <w:vAlign w:val="center"/>
            <w:hideMark/>
          </w:tcPr>
          <w:p w14:paraId="2AA331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VUZENICA</w:t>
            </w:r>
          </w:p>
        </w:tc>
      </w:tr>
      <w:tr w:rsidR="00F24E18" w14:paraId="34F50E0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197E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1515</w:t>
            </w:r>
          </w:p>
        </w:tc>
        <w:tc>
          <w:tcPr>
            <w:tcW w:w="1300" w:type="dxa"/>
            <w:tcBorders>
              <w:top w:val="nil"/>
              <w:left w:val="nil"/>
              <w:bottom w:val="single" w:sz="4" w:space="0" w:color="auto"/>
              <w:right w:val="single" w:sz="4" w:space="0" w:color="auto"/>
            </w:tcBorders>
            <w:noWrap/>
            <w:vAlign w:val="center"/>
            <w:hideMark/>
          </w:tcPr>
          <w:p w14:paraId="5816D5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5083966000</w:t>
            </w:r>
          </w:p>
        </w:tc>
        <w:tc>
          <w:tcPr>
            <w:tcW w:w="1012" w:type="dxa"/>
            <w:tcBorders>
              <w:top w:val="nil"/>
              <w:left w:val="nil"/>
              <w:bottom w:val="single" w:sz="4" w:space="0" w:color="auto"/>
              <w:right w:val="single" w:sz="4" w:space="0" w:color="auto"/>
            </w:tcBorders>
            <w:noWrap/>
            <w:vAlign w:val="center"/>
            <w:hideMark/>
          </w:tcPr>
          <w:p w14:paraId="7EFF25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26071240</w:t>
            </w:r>
          </w:p>
        </w:tc>
        <w:tc>
          <w:tcPr>
            <w:tcW w:w="5953" w:type="dxa"/>
            <w:tcBorders>
              <w:top w:val="nil"/>
              <w:left w:val="nil"/>
              <w:bottom w:val="single" w:sz="4" w:space="0" w:color="auto"/>
              <w:right w:val="single" w:sz="4" w:space="0" w:color="auto"/>
            </w:tcBorders>
            <w:noWrap/>
            <w:vAlign w:val="center"/>
            <w:hideMark/>
          </w:tcPr>
          <w:p w14:paraId="1D49D8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XIV. DIVIZIJE SENOVO</w:t>
            </w:r>
          </w:p>
        </w:tc>
      </w:tr>
      <w:tr w:rsidR="00F24E18" w14:paraId="618989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280A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1516</w:t>
            </w:r>
          </w:p>
        </w:tc>
        <w:tc>
          <w:tcPr>
            <w:tcW w:w="1300" w:type="dxa"/>
            <w:tcBorders>
              <w:top w:val="nil"/>
              <w:left w:val="nil"/>
              <w:bottom w:val="single" w:sz="4" w:space="0" w:color="auto"/>
              <w:right w:val="single" w:sz="4" w:space="0" w:color="auto"/>
            </w:tcBorders>
            <w:noWrap/>
            <w:vAlign w:val="center"/>
            <w:hideMark/>
          </w:tcPr>
          <w:p w14:paraId="732954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5084857000</w:t>
            </w:r>
          </w:p>
        </w:tc>
        <w:tc>
          <w:tcPr>
            <w:tcW w:w="1012" w:type="dxa"/>
            <w:tcBorders>
              <w:top w:val="nil"/>
              <w:left w:val="nil"/>
              <w:bottom w:val="single" w:sz="4" w:space="0" w:color="auto"/>
              <w:right w:val="single" w:sz="4" w:space="0" w:color="auto"/>
            </w:tcBorders>
            <w:noWrap/>
            <w:vAlign w:val="center"/>
            <w:hideMark/>
          </w:tcPr>
          <w:p w14:paraId="13A83D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95886478</w:t>
            </w:r>
          </w:p>
        </w:tc>
        <w:tc>
          <w:tcPr>
            <w:tcW w:w="5953" w:type="dxa"/>
            <w:tcBorders>
              <w:top w:val="nil"/>
              <w:left w:val="nil"/>
              <w:bottom w:val="single" w:sz="4" w:space="0" w:color="auto"/>
              <w:right w:val="single" w:sz="4" w:space="0" w:color="auto"/>
            </w:tcBorders>
            <w:noWrap/>
            <w:vAlign w:val="center"/>
            <w:hideMark/>
          </w:tcPr>
          <w:p w14:paraId="383EEF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ZBORA ODPOSLANCEV, KOČEVJE</w:t>
            </w:r>
          </w:p>
        </w:tc>
      </w:tr>
      <w:tr w:rsidR="00F24E18" w14:paraId="3AA436B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60CC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1517</w:t>
            </w:r>
          </w:p>
        </w:tc>
        <w:tc>
          <w:tcPr>
            <w:tcW w:w="1300" w:type="dxa"/>
            <w:tcBorders>
              <w:top w:val="nil"/>
              <w:left w:val="nil"/>
              <w:bottom w:val="single" w:sz="4" w:space="0" w:color="auto"/>
              <w:right w:val="single" w:sz="4" w:space="0" w:color="auto"/>
            </w:tcBorders>
            <w:noWrap/>
            <w:vAlign w:val="center"/>
            <w:hideMark/>
          </w:tcPr>
          <w:p w14:paraId="409ECB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5087830000</w:t>
            </w:r>
          </w:p>
        </w:tc>
        <w:tc>
          <w:tcPr>
            <w:tcW w:w="1012" w:type="dxa"/>
            <w:tcBorders>
              <w:top w:val="nil"/>
              <w:left w:val="nil"/>
              <w:bottom w:val="single" w:sz="4" w:space="0" w:color="auto"/>
              <w:right w:val="single" w:sz="4" w:space="0" w:color="auto"/>
            </w:tcBorders>
            <w:noWrap/>
            <w:vAlign w:val="center"/>
            <w:hideMark/>
          </w:tcPr>
          <w:p w14:paraId="26EE78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36326020</w:t>
            </w:r>
          </w:p>
        </w:tc>
        <w:tc>
          <w:tcPr>
            <w:tcW w:w="5953" w:type="dxa"/>
            <w:tcBorders>
              <w:top w:val="nil"/>
              <w:left w:val="nil"/>
              <w:bottom w:val="single" w:sz="4" w:space="0" w:color="auto"/>
              <w:right w:val="single" w:sz="4" w:space="0" w:color="auto"/>
            </w:tcBorders>
            <w:noWrap/>
            <w:vAlign w:val="center"/>
            <w:hideMark/>
          </w:tcPr>
          <w:p w14:paraId="25975B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ŽELEZNIKI</w:t>
            </w:r>
          </w:p>
        </w:tc>
      </w:tr>
      <w:tr w:rsidR="00F24E18" w14:paraId="02DC71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D2E5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1518</w:t>
            </w:r>
          </w:p>
        </w:tc>
        <w:tc>
          <w:tcPr>
            <w:tcW w:w="1300" w:type="dxa"/>
            <w:tcBorders>
              <w:top w:val="nil"/>
              <w:left w:val="nil"/>
              <w:bottom w:val="single" w:sz="4" w:space="0" w:color="auto"/>
              <w:right w:val="single" w:sz="4" w:space="0" w:color="auto"/>
            </w:tcBorders>
            <w:noWrap/>
            <w:vAlign w:val="center"/>
            <w:hideMark/>
          </w:tcPr>
          <w:p w14:paraId="5DA988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5968330000</w:t>
            </w:r>
          </w:p>
        </w:tc>
        <w:tc>
          <w:tcPr>
            <w:tcW w:w="1012" w:type="dxa"/>
            <w:tcBorders>
              <w:top w:val="nil"/>
              <w:left w:val="nil"/>
              <w:bottom w:val="single" w:sz="4" w:space="0" w:color="auto"/>
              <w:right w:val="single" w:sz="4" w:space="0" w:color="auto"/>
            </w:tcBorders>
            <w:noWrap/>
            <w:vAlign w:val="center"/>
            <w:hideMark/>
          </w:tcPr>
          <w:p w14:paraId="4BD619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59442018</w:t>
            </w:r>
          </w:p>
        </w:tc>
        <w:tc>
          <w:tcPr>
            <w:tcW w:w="5953" w:type="dxa"/>
            <w:tcBorders>
              <w:top w:val="nil"/>
              <w:left w:val="nil"/>
              <w:bottom w:val="single" w:sz="4" w:space="0" w:color="auto"/>
              <w:right w:val="single" w:sz="4" w:space="0" w:color="auto"/>
            </w:tcBorders>
            <w:noWrap/>
            <w:vAlign w:val="center"/>
            <w:hideMark/>
          </w:tcPr>
          <w:p w14:paraId="6FA75E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ŽETALE</w:t>
            </w:r>
          </w:p>
        </w:tc>
      </w:tr>
      <w:tr w:rsidR="00F24E18" w14:paraId="606635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FA1E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1519</w:t>
            </w:r>
          </w:p>
        </w:tc>
        <w:tc>
          <w:tcPr>
            <w:tcW w:w="1300" w:type="dxa"/>
            <w:tcBorders>
              <w:top w:val="nil"/>
              <w:left w:val="nil"/>
              <w:bottom w:val="single" w:sz="4" w:space="0" w:color="auto"/>
              <w:right w:val="single" w:sz="4" w:space="0" w:color="auto"/>
            </w:tcBorders>
            <w:vAlign w:val="center"/>
            <w:hideMark/>
          </w:tcPr>
          <w:p w14:paraId="5F77A6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5089476000</w:t>
            </w:r>
          </w:p>
        </w:tc>
        <w:tc>
          <w:tcPr>
            <w:tcW w:w="1012" w:type="dxa"/>
            <w:tcBorders>
              <w:top w:val="nil"/>
              <w:left w:val="nil"/>
              <w:bottom w:val="single" w:sz="4" w:space="0" w:color="auto"/>
              <w:right w:val="single" w:sz="4" w:space="0" w:color="auto"/>
            </w:tcBorders>
            <w:vAlign w:val="center"/>
            <w:hideMark/>
          </w:tcPr>
          <w:p w14:paraId="0C28F0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79208843</w:t>
            </w:r>
          </w:p>
        </w:tc>
        <w:tc>
          <w:tcPr>
            <w:tcW w:w="5953" w:type="dxa"/>
            <w:tcBorders>
              <w:top w:val="nil"/>
              <w:left w:val="nil"/>
              <w:bottom w:val="single" w:sz="4" w:space="0" w:color="auto"/>
              <w:right w:val="single" w:sz="4" w:space="0" w:color="auto"/>
            </w:tcBorders>
            <w:noWrap/>
            <w:vAlign w:val="center"/>
            <w:hideMark/>
          </w:tcPr>
          <w:p w14:paraId="1990BB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ŽIRI</w:t>
            </w:r>
          </w:p>
        </w:tc>
      </w:tr>
      <w:tr w:rsidR="00F24E18" w14:paraId="56B63A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1C68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1520</w:t>
            </w:r>
          </w:p>
        </w:tc>
        <w:tc>
          <w:tcPr>
            <w:tcW w:w="1300" w:type="dxa"/>
            <w:tcBorders>
              <w:top w:val="nil"/>
              <w:left w:val="nil"/>
              <w:bottom w:val="single" w:sz="4" w:space="0" w:color="auto"/>
              <w:right w:val="single" w:sz="4" w:space="0" w:color="auto"/>
            </w:tcBorders>
            <w:vAlign w:val="center"/>
            <w:hideMark/>
          </w:tcPr>
          <w:p w14:paraId="78ED17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5719062000</w:t>
            </w:r>
          </w:p>
        </w:tc>
        <w:tc>
          <w:tcPr>
            <w:tcW w:w="1012" w:type="dxa"/>
            <w:tcBorders>
              <w:top w:val="nil"/>
              <w:left w:val="nil"/>
              <w:bottom w:val="single" w:sz="4" w:space="0" w:color="auto"/>
              <w:right w:val="single" w:sz="4" w:space="0" w:color="auto"/>
            </w:tcBorders>
            <w:vAlign w:val="center"/>
            <w:hideMark/>
          </w:tcPr>
          <w:p w14:paraId="3AAD53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55702759</w:t>
            </w:r>
          </w:p>
        </w:tc>
        <w:tc>
          <w:tcPr>
            <w:tcW w:w="5953" w:type="dxa"/>
            <w:tcBorders>
              <w:top w:val="nil"/>
              <w:left w:val="nil"/>
              <w:bottom w:val="single" w:sz="4" w:space="0" w:color="auto"/>
              <w:right w:val="single" w:sz="4" w:space="0" w:color="auto"/>
            </w:tcBorders>
            <w:noWrap/>
            <w:vAlign w:val="center"/>
            <w:hideMark/>
          </w:tcPr>
          <w:p w14:paraId="267AF9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ŽIROVNICA</w:t>
            </w:r>
          </w:p>
        </w:tc>
      </w:tr>
      <w:tr w:rsidR="00F24E18" w14:paraId="0515030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EA0E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1521</w:t>
            </w:r>
          </w:p>
        </w:tc>
        <w:tc>
          <w:tcPr>
            <w:tcW w:w="1300" w:type="dxa"/>
            <w:tcBorders>
              <w:top w:val="nil"/>
              <w:left w:val="nil"/>
              <w:bottom w:val="single" w:sz="4" w:space="0" w:color="auto"/>
              <w:right w:val="single" w:sz="4" w:space="0" w:color="auto"/>
            </w:tcBorders>
            <w:noWrap/>
            <w:vAlign w:val="center"/>
            <w:hideMark/>
          </w:tcPr>
          <w:p w14:paraId="592CC3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5086337000</w:t>
            </w:r>
          </w:p>
        </w:tc>
        <w:tc>
          <w:tcPr>
            <w:tcW w:w="1012" w:type="dxa"/>
            <w:tcBorders>
              <w:top w:val="nil"/>
              <w:left w:val="nil"/>
              <w:bottom w:val="single" w:sz="4" w:space="0" w:color="auto"/>
              <w:right w:val="single" w:sz="4" w:space="0" w:color="auto"/>
            </w:tcBorders>
            <w:noWrap/>
            <w:vAlign w:val="center"/>
            <w:hideMark/>
          </w:tcPr>
          <w:p w14:paraId="2559E7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97836311</w:t>
            </w:r>
          </w:p>
        </w:tc>
        <w:tc>
          <w:tcPr>
            <w:tcW w:w="5953" w:type="dxa"/>
            <w:tcBorders>
              <w:top w:val="nil"/>
              <w:left w:val="nil"/>
              <w:bottom w:val="single" w:sz="4" w:space="0" w:color="auto"/>
              <w:right w:val="single" w:sz="4" w:space="0" w:color="auto"/>
            </w:tcBorders>
            <w:noWrap/>
            <w:vAlign w:val="center"/>
            <w:hideMark/>
          </w:tcPr>
          <w:p w14:paraId="051EAE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OSNOVNA ŠOLA ŽUŽEMBERK</w:t>
            </w:r>
          </w:p>
        </w:tc>
      </w:tr>
      <w:tr w:rsidR="00F24E18" w14:paraId="3645EA3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21EF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1522</w:t>
            </w:r>
          </w:p>
        </w:tc>
        <w:tc>
          <w:tcPr>
            <w:tcW w:w="1300" w:type="dxa"/>
            <w:tcBorders>
              <w:top w:val="nil"/>
              <w:left w:val="nil"/>
              <w:bottom w:val="single" w:sz="4" w:space="0" w:color="auto"/>
              <w:right w:val="single" w:sz="4" w:space="0" w:color="auto"/>
            </w:tcBorders>
            <w:vAlign w:val="center"/>
            <w:hideMark/>
          </w:tcPr>
          <w:p w14:paraId="3ADD62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5165792000</w:t>
            </w:r>
          </w:p>
        </w:tc>
        <w:tc>
          <w:tcPr>
            <w:tcW w:w="1012" w:type="dxa"/>
            <w:tcBorders>
              <w:top w:val="nil"/>
              <w:left w:val="nil"/>
              <w:bottom w:val="single" w:sz="4" w:space="0" w:color="auto"/>
              <w:right w:val="single" w:sz="4" w:space="0" w:color="auto"/>
            </w:tcBorders>
            <w:vAlign w:val="center"/>
            <w:hideMark/>
          </w:tcPr>
          <w:p w14:paraId="5A2AD7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90714237</w:t>
            </w:r>
          </w:p>
        </w:tc>
        <w:tc>
          <w:tcPr>
            <w:tcW w:w="5953" w:type="dxa"/>
            <w:tcBorders>
              <w:top w:val="nil"/>
              <w:left w:val="nil"/>
              <w:bottom w:val="single" w:sz="4" w:space="0" w:color="auto"/>
              <w:right w:val="single" w:sz="4" w:space="0" w:color="auto"/>
            </w:tcBorders>
            <w:noWrap/>
            <w:vAlign w:val="center"/>
            <w:hideMark/>
          </w:tcPr>
          <w:p w14:paraId="38A1E7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OSNOVNO ZDRAVSTVO GORENJSKE</w:t>
            </w:r>
          </w:p>
        </w:tc>
      </w:tr>
      <w:tr w:rsidR="00F24E18" w14:paraId="34E48E9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3795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1523</w:t>
            </w:r>
          </w:p>
        </w:tc>
        <w:tc>
          <w:tcPr>
            <w:tcW w:w="1300" w:type="dxa"/>
            <w:tcBorders>
              <w:top w:val="nil"/>
              <w:left w:val="nil"/>
              <w:bottom w:val="single" w:sz="4" w:space="0" w:color="auto"/>
              <w:right w:val="single" w:sz="4" w:space="0" w:color="auto"/>
            </w:tcBorders>
            <w:noWrap/>
            <w:vAlign w:val="center"/>
            <w:hideMark/>
          </w:tcPr>
          <w:p w14:paraId="767309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5055601000</w:t>
            </w:r>
          </w:p>
        </w:tc>
        <w:tc>
          <w:tcPr>
            <w:tcW w:w="1012" w:type="dxa"/>
            <w:tcBorders>
              <w:top w:val="nil"/>
              <w:left w:val="nil"/>
              <w:bottom w:val="single" w:sz="4" w:space="0" w:color="auto"/>
              <w:right w:val="single" w:sz="4" w:space="0" w:color="auto"/>
            </w:tcBorders>
            <w:noWrap/>
            <w:vAlign w:val="center"/>
            <w:hideMark/>
          </w:tcPr>
          <w:p w14:paraId="363930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50396714</w:t>
            </w:r>
          </w:p>
        </w:tc>
        <w:tc>
          <w:tcPr>
            <w:tcW w:w="5953" w:type="dxa"/>
            <w:tcBorders>
              <w:top w:val="nil"/>
              <w:left w:val="nil"/>
              <w:bottom w:val="single" w:sz="4" w:space="0" w:color="auto"/>
              <w:right w:val="single" w:sz="4" w:space="0" w:color="auto"/>
            </w:tcBorders>
            <w:noWrap/>
            <w:vAlign w:val="center"/>
            <w:hideMark/>
          </w:tcPr>
          <w:p w14:paraId="4AF85B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OSREDNJA KNJIŽNICA CELJE</w:t>
            </w:r>
          </w:p>
        </w:tc>
      </w:tr>
      <w:tr w:rsidR="00F24E18" w14:paraId="045BC1A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3F3F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1524</w:t>
            </w:r>
          </w:p>
        </w:tc>
        <w:tc>
          <w:tcPr>
            <w:tcW w:w="1300" w:type="dxa"/>
            <w:tcBorders>
              <w:top w:val="nil"/>
              <w:left w:val="nil"/>
              <w:bottom w:val="single" w:sz="4" w:space="0" w:color="auto"/>
              <w:right w:val="single" w:sz="4" w:space="0" w:color="auto"/>
            </w:tcBorders>
            <w:noWrap/>
            <w:vAlign w:val="center"/>
            <w:hideMark/>
          </w:tcPr>
          <w:p w14:paraId="787D7D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5644585000</w:t>
            </w:r>
          </w:p>
        </w:tc>
        <w:tc>
          <w:tcPr>
            <w:tcW w:w="1012" w:type="dxa"/>
            <w:tcBorders>
              <w:top w:val="nil"/>
              <w:left w:val="nil"/>
              <w:bottom w:val="single" w:sz="4" w:space="0" w:color="auto"/>
              <w:right w:val="single" w:sz="4" w:space="0" w:color="auto"/>
            </w:tcBorders>
            <w:noWrap/>
            <w:vAlign w:val="center"/>
            <w:hideMark/>
          </w:tcPr>
          <w:p w14:paraId="0135D5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92486835</w:t>
            </w:r>
          </w:p>
        </w:tc>
        <w:tc>
          <w:tcPr>
            <w:tcW w:w="5953" w:type="dxa"/>
            <w:tcBorders>
              <w:top w:val="nil"/>
              <w:left w:val="nil"/>
              <w:bottom w:val="single" w:sz="4" w:space="0" w:color="auto"/>
              <w:right w:val="single" w:sz="4" w:space="0" w:color="auto"/>
            </w:tcBorders>
            <w:noWrap/>
            <w:vAlign w:val="center"/>
            <w:hideMark/>
          </w:tcPr>
          <w:p w14:paraId="095E5E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OSREDNJA KNJIŽNICA MOZIRJE</w:t>
            </w:r>
          </w:p>
        </w:tc>
      </w:tr>
      <w:tr w:rsidR="00F24E18" w14:paraId="158D74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1FB8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1525</w:t>
            </w:r>
          </w:p>
        </w:tc>
        <w:tc>
          <w:tcPr>
            <w:tcW w:w="1300" w:type="dxa"/>
            <w:tcBorders>
              <w:top w:val="nil"/>
              <w:left w:val="nil"/>
              <w:bottom w:val="single" w:sz="4" w:space="0" w:color="auto"/>
              <w:right w:val="single" w:sz="4" w:space="0" w:color="auto"/>
            </w:tcBorders>
            <w:noWrap/>
            <w:vAlign w:val="center"/>
            <w:hideMark/>
          </w:tcPr>
          <w:p w14:paraId="0EF336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5051967000</w:t>
            </w:r>
          </w:p>
        </w:tc>
        <w:tc>
          <w:tcPr>
            <w:tcW w:w="1012" w:type="dxa"/>
            <w:tcBorders>
              <w:top w:val="nil"/>
              <w:left w:val="nil"/>
              <w:bottom w:val="single" w:sz="4" w:space="0" w:color="auto"/>
              <w:right w:val="single" w:sz="4" w:space="0" w:color="auto"/>
            </w:tcBorders>
            <w:noWrap/>
            <w:vAlign w:val="center"/>
            <w:hideMark/>
          </w:tcPr>
          <w:p w14:paraId="239103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10908838</w:t>
            </w:r>
          </w:p>
        </w:tc>
        <w:tc>
          <w:tcPr>
            <w:tcW w:w="5953" w:type="dxa"/>
            <w:tcBorders>
              <w:top w:val="nil"/>
              <w:left w:val="nil"/>
              <w:bottom w:val="single" w:sz="4" w:space="0" w:color="auto"/>
              <w:right w:val="single" w:sz="4" w:space="0" w:color="auto"/>
            </w:tcBorders>
            <w:noWrap/>
            <w:vAlign w:val="center"/>
            <w:hideMark/>
          </w:tcPr>
          <w:p w14:paraId="0D3717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OSREDNJA KNJIŽNICA SREČKA VILHARJA KOPER BIBLIOTECA CENTRALE SREČKO VILHAR CAPODISTRIA</w:t>
            </w:r>
          </w:p>
        </w:tc>
      </w:tr>
      <w:tr w:rsidR="00F24E18" w14:paraId="625D7DE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BB14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1526</w:t>
            </w:r>
          </w:p>
        </w:tc>
        <w:tc>
          <w:tcPr>
            <w:tcW w:w="1300" w:type="dxa"/>
            <w:tcBorders>
              <w:top w:val="nil"/>
              <w:left w:val="nil"/>
              <w:bottom w:val="single" w:sz="4" w:space="0" w:color="auto"/>
              <w:right w:val="single" w:sz="4" w:space="0" w:color="auto"/>
            </w:tcBorders>
            <w:vAlign w:val="center"/>
            <w:hideMark/>
          </w:tcPr>
          <w:p w14:paraId="1A1480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5050855000</w:t>
            </w:r>
          </w:p>
        </w:tc>
        <w:tc>
          <w:tcPr>
            <w:tcW w:w="1012" w:type="dxa"/>
            <w:tcBorders>
              <w:top w:val="nil"/>
              <w:left w:val="nil"/>
              <w:bottom w:val="single" w:sz="4" w:space="0" w:color="auto"/>
              <w:right w:val="single" w:sz="4" w:space="0" w:color="auto"/>
            </w:tcBorders>
            <w:vAlign w:val="center"/>
            <w:hideMark/>
          </w:tcPr>
          <w:p w14:paraId="1F84E2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59155388</w:t>
            </w:r>
          </w:p>
        </w:tc>
        <w:tc>
          <w:tcPr>
            <w:tcW w:w="5953" w:type="dxa"/>
            <w:tcBorders>
              <w:top w:val="nil"/>
              <w:left w:val="nil"/>
              <w:bottom w:val="single" w:sz="4" w:space="0" w:color="auto"/>
              <w:right w:val="single" w:sz="4" w:space="0" w:color="auto"/>
            </w:tcBorders>
            <w:noWrap/>
            <w:vAlign w:val="center"/>
            <w:hideMark/>
          </w:tcPr>
          <w:p w14:paraId="4800D0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OTROŠKI VRTEC AJDOVŠČINA</w:t>
            </w:r>
          </w:p>
        </w:tc>
      </w:tr>
      <w:tr w:rsidR="00F24E18" w14:paraId="3CA296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B3EF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1527</w:t>
            </w:r>
          </w:p>
        </w:tc>
        <w:tc>
          <w:tcPr>
            <w:tcW w:w="1300" w:type="dxa"/>
            <w:tcBorders>
              <w:top w:val="nil"/>
              <w:left w:val="nil"/>
              <w:bottom w:val="single" w:sz="4" w:space="0" w:color="auto"/>
              <w:right w:val="single" w:sz="4" w:space="0" w:color="auto"/>
            </w:tcBorders>
            <w:noWrap/>
            <w:vAlign w:val="center"/>
            <w:hideMark/>
          </w:tcPr>
          <w:p w14:paraId="0CF88A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5166420000</w:t>
            </w:r>
          </w:p>
        </w:tc>
        <w:tc>
          <w:tcPr>
            <w:tcW w:w="1012" w:type="dxa"/>
            <w:tcBorders>
              <w:top w:val="nil"/>
              <w:left w:val="nil"/>
              <w:bottom w:val="single" w:sz="4" w:space="0" w:color="auto"/>
              <w:right w:val="single" w:sz="4" w:space="0" w:color="auto"/>
            </w:tcBorders>
            <w:noWrap/>
            <w:vAlign w:val="center"/>
            <w:hideMark/>
          </w:tcPr>
          <w:p w14:paraId="35ECBB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26699745</w:t>
            </w:r>
          </w:p>
        </w:tc>
        <w:tc>
          <w:tcPr>
            <w:tcW w:w="5953" w:type="dxa"/>
            <w:tcBorders>
              <w:top w:val="nil"/>
              <w:left w:val="nil"/>
              <w:bottom w:val="single" w:sz="4" w:space="0" w:color="auto"/>
              <w:right w:val="single" w:sz="4" w:space="0" w:color="auto"/>
            </w:tcBorders>
            <w:noWrap/>
            <w:vAlign w:val="center"/>
            <w:hideMark/>
          </w:tcPr>
          <w:p w14:paraId="55E7E7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OTROŠKI VRTEC METLIKA</w:t>
            </w:r>
          </w:p>
        </w:tc>
      </w:tr>
      <w:tr w:rsidR="00F24E18" w14:paraId="32609D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7EFD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1528</w:t>
            </w:r>
          </w:p>
        </w:tc>
        <w:tc>
          <w:tcPr>
            <w:tcW w:w="1300" w:type="dxa"/>
            <w:tcBorders>
              <w:top w:val="nil"/>
              <w:left w:val="nil"/>
              <w:bottom w:val="single" w:sz="4" w:space="0" w:color="auto"/>
              <w:right w:val="single" w:sz="4" w:space="0" w:color="auto"/>
            </w:tcBorders>
            <w:vAlign w:val="center"/>
            <w:hideMark/>
          </w:tcPr>
          <w:p w14:paraId="56C379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1121715000</w:t>
            </w:r>
          </w:p>
        </w:tc>
        <w:tc>
          <w:tcPr>
            <w:tcW w:w="1012" w:type="dxa"/>
            <w:tcBorders>
              <w:top w:val="nil"/>
              <w:left w:val="nil"/>
              <w:bottom w:val="single" w:sz="4" w:space="0" w:color="auto"/>
              <w:right w:val="single" w:sz="4" w:space="0" w:color="auto"/>
            </w:tcBorders>
            <w:vAlign w:val="center"/>
            <w:hideMark/>
          </w:tcPr>
          <w:p w14:paraId="241D8D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11690151</w:t>
            </w:r>
          </w:p>
        </w:tc>
        <w:tc>
          <w:tcPr>
            <w:tcW w:w="5953" w:type="dxa"/>
            <w:tcBorders>
              <w:top w:val="nil"/>
              <w:left w:val="nil"/>
              <w:bottom w:val="single" w:sz="4" w:space="0" w:color="auto"/>
              <w:right w:val="single" w:sz="4" w:space="0" w:color="auto"/>
            </w:tcBorders>
            <w:noWrap/>
            <w:vAlign w:val="center"/>
            <w:hideMark/>
          </w:tcPr>
          <w:p w14:paraId="1CBDA4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PARK ŠKOCJANSKE JAME, SLOVENIJA</w:t>
            </w:r>
          </w:p>
        </w:tc>
      </w:tr>
      <w:tr w:rsidR="00F24E18" w14:paraId="1108DA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761E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1529</w:t>
            </w:r>
          </w:p>
        </w:tc>
        <w:tc>
          <w:tcPr>
            <w:tcW w:w="1300" w:type="dxa"/>
            <w:tcBorders>
              <w:top w:val="nil"/>
              <w:left w:val="nil"/>
              <w:bottom w:val="single" w:sz="4" w:space="0" w:color="auto"/>
              <w:right w:val="single" w:sz="4" w:space="0" w:color="auto"/>
            </w:tcBorders>
            <w:noWrap/>
            <w:vAlign w:val="center"/>
            <w:hideMark/>
          </w:tcPr>
          <w:p w14:paraId="318168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5051614000</w:t>
            </w:r>
          </w:p>
        </w:tc>
        <w:tc>
          <w:tcPr>
            <w:tcW w:w="1012" w:type="dxa"/>
            <w:tcBorders>
              <w:top w:val="nil"/>
              <w:left w:val="nil"/>
              <w:bottom w:val="single" w:sz="4" w:space="0" w:color="auto"/>
              <w:right w:val="single" w:sz="4" w:space="0" w:color="auto"/>
            </w:tcBorders>
            <w:noWrap/>
            <w:vAlign w:val="center"/>
            <w:hideMark/>
          </w:tcPr>
          <w:p w14:paraId="4CA1D6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68705093</w:t>
            </w:r>
          </w:p>
        </w:tc>
        <w:tc>
          <w:tcPr>
            <w:tcW w:w="5953" w:type="dxa"/>
            <w:tcBorders>
              <w:top w:val="nil"/>
              <w:left w:val="nil"/>
              <w:bottom w:val="single" w:sz="4" w:space="0" w:color="auto"/>
              <w:right w:val="single" w:sz="4" w:space="0" w:color="auto"/>
            </w:tcBorders>
            <w:noWrap/>
            <w:vAlign w:val="center"/>
            <w:hideMark/>
          </w:tcPr>
          <w:p w14:paraId="77A85D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PEDAGOŠKI INŠTITUT</w:t>
            </w:r>
          </w:p>
        </w:tc>
      </w:tr>
      <w:tr w:rsidR="00F24E18" w14:paraId="2A068E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A13D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1530</w:t>
            </w:r>
          </w:p>
        </w:tc>
        <w:tc>
          <w:tcPr>
            <w:tcW w:w="1300" w:type="dxa"/>
            <w:tcBorders>
              <w:top w:val="nil"/>
              <w:left w:val="nil"/>
              <w:bottom w:val="single" w:sz="4" w:space="0" w:color="auto"/>
              <w:right w:val="single" w:sz="4" w:space="0" w:color="auto"/>
            </w:tcBorders>
            <w:noWrap/>
            <w:vAlign w:val="center"/>
            <w:hideMark/>
          </w:tcPr>
          <w:p w14:paraId="13B779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1434284000</w:t>
            </w:r>
          </w:p>
        </w:tc>
        <w:tc>
          <w:tcPr>
            <w:tcW w:w="1012" w:type="dxa"/>
            <w:tcBorders>
              <w:top w:val="nil"/>
              <w:left w:val="nil"/>
              <w:bottom w:val="single" w:sz="4" w:space="0" w:color="auto"/>
              <w:right w:val="single" w:sz="4" w:space="0" w:color="auto"/>
            </w:tcBorders>
            <w:noWrap/>
            <w:vAlign w:val="center"/>
            <w:hideMark/>
          </w:tcPr>
          <w:p w14:paraId="00C28E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66707790</w:t>
            </w:r>
          </w:p>
        </w:tc>
        <w:tc>
          <w:tcPr>
            <w:tcW w:w="5953" w:type="dxa"/>
            <w:tcBorders>
              <w:top w:val="nil"/>
              <w:left w:val="nil"/>
              <w:bottom w:val="single" w:sz="4" w:space="0" w:color="auto"/>
              <w:right w:val="single" w:sz="4" w:space="0" w:color="auto"/>
            </w:tcBorders>
            <w:noWrap/>
            <w:vAlign w:val="center"/>
            <w:hideMark/>
          </w:tcPr>
          <w:p w14:paraId="42CF69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PILONOVA GALERIJA AJDOVŠČINA</w:t>
            </w:r>
          </w:p>
        </w:tc>
      </w:tr>
      <w:tr w:rsidR="00F24E18" w14:paraId="5A851D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8C21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1531</w:t>
            </w:r>
          </w:p>
        </w:tc>
        <w:tc>
          <w:tcPr>
            <w:tcW w:w="1300" w:type="dxa"/>
            <w:tcBorders>
              <w:top w:val="nil"/>
              <w:left w:val="nil"/>
              <w:bottom w:val="single" w:sz="4" w:space="0" w:color="auto"/>
              <w:right w:val="single" w:sz="4" w:space="0" w:color="auto"/>
            </w:tcBorders>
            <w:noWrap/>
            <w:vAlign w:val="center"/>
            <w:hideMark/>
          </w:tcPr>
          <w:p w14:paraId="12E122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5056012000</w:t>
            </w:r>
          </w:p>
        </w:tc>
        <w:tc>
          <w:tcPr>
            <w:tcW w:w="1012" w:type="dxa"/>
            <w:tcBorders>
              <w:top w:val="nil"/>
              <w:left w:val="nil"/>
              <w:bottom w:val="single" w:sz="4" w:space="0" w:color="auto"/>
              <w:right w:val="single" w:sz="4" w:space="0" w:color="auto"/>
            </w:tcBorders>
            <w:noWrap/>
            <w:vAlign w:val="center"/>
            <w:hideMark/>
          </w:tcPr>
          <w:p w14:paraId="61E30A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80961223</w:t>
            </w:r>
          </w:p>
        </w:tc>
        <w:tc>
          <w:tcPr>
            <w:tcW w:w="5953" w:type="dxa"/>
            <w:tcBorders>
              <w:top w:val="nil"/>
              <w:left w:val="nil"/>
              <w:bottom w:val="single" w:sz="4" w:space="0" w:color="auto"/>
              <w:right w:val="single" w:sz="4" w:space="0" w:color="auto"/>
            </w:tcBorders>
            <w:noWrap/>
            <w:vAlign w:val="center"/>
            <w:hideMark/>
          </w:tcPr>
          <w:p w14:paraId="5E255D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PIONIRSKI DOM - CENTER ZA KULTURO MLADIH</w:t>
            </w:r>
          </w:p>
        </w:tc>
      </w:tr>
      <w:tr w:rsidR="00F24E18" w14:paraId="0BBA68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D85C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1532</w:t>
            </w:r>
          </w:p>
        </w:tc>
        <w:tc>
          <w:tcPr>
            <w:tcW w:w="1300" w:type="dxa"/>
            <w:tcBorders>
              <w:top w:val="nil"/>
              <w:left w:val="nil"/>
              <w:bottom w:val="single" w:sz="4" w:space="0" w:color="auto"/>
              <w:right w:val="single" w:sz="4" w:space="0" w:color="auto"/>
            </w:tcBorders>
            <w:vAlign w:val="center"/>
            <w:hideMark/>
          </w:tcPr>
          <w:p w14:paraId="6A6A9F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5145368000</w:t>
            </w:r>
          </w:p>
        </w:tc>
        <w:tc>
          <w:tcPr>
            <w:tcW w:w="1012" w:type="dxa"/>
            <w:tcBorders>
              <w:top w:val="nil"/>
              <w:left w:val="nil"/>
              <w:bottom w:val="single" w:sz="4" w:space="0" w:color="auto"/>
              <w:right w:val="single" w:sz="4" w:space="0" w:color="auto"/>
            </w:tcBorders>
            <w:vAlign w:val="center"/>
            <w:hideMark/>
          </w:tcPr>
          <w:p w14:paraId="176BEC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62316133</w:t>
            </w:r>
          </w:p>
        </w:tc>
        <w:tc>
          <w:tcPr>
            <w:tcW w:w="5953" w:type="dxa"/>
            <w:tcBorders>
              <w:top w:val="nil"/>
              <w:left w:val="nil"/>
              <w:bottom w:val="single" w:sz="4" w:space="0" w:color="auto"/>
              <w:right w:val="single" w:sz="4" w:space="0" w:color="auto"/>
            </w:tcBorders>
            <w:noWrap/>
            <w:vAlign w:val="center"/>
            <w:hideMark/>
          </w:tcPr>
          <w:p w14:paraId="225E03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PLANINSKA ZVEZA SLOVENIJE</w:t>
            </w:r>
          </w:p>
        </w:tc>
      </w:tr>
      <w:tr w:rsidR="00F24E18" w14:paraId="60E976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4206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1533</w:t>
            </w:r>
          </w:p>
        </w:tc>
        <w:tc>
          <w:tcPr>
            <w:tcW w:w="1300" w:type="dxa"/>
            <w:tcBorders>
              <w:top w:val="nil"/>
              <w:left w:val="nil"/>
              <w:bottom w:val="single" w:sz="4" w:space="0" w:color="auto"/>
              <w:right w:val="single" w:sz="4" w:space="0" w:color="auto"/>
            </w:tcBorders>
            <w:noWrap/>
            <w:vAlign w:val="center"/>
            <w:hideMark/>
          </w:tcPr>
          <w:p w14:paraId="44FCA9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5034477000</w:t>
            </w:r>
          </w:p>
        </w:tc>
        <w:tc>
          <w:tcPr>
            <w:tcW w:w="1012" w:type="dxa"/>
            <w:tcBorders>
              <w:top w:val="nil"/>
              <w:left w:val="nil"/>
              <w:bottom w:val="single" w:sz="4" w:space="0" w:color="auto"/>
              <w:right w:val="single" w:sz="4" w:space="0" w:color="auto"/>
            </w:tcBorders>
            <w:noWrap/>
            <w:vAlign w:val="center"/>
            <w:hideMark/>
          </w:tcPr>
          <w:p w14:paraId="2BEF7A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12048852</w:t>
            </w:r>
          </w:p>
        </w:tc>
        <w:tc>
          <w:tcPr>
            <w:tcW w:w="5953" w:type="dxa"/>
            <w:tcBorders>
              <w:top w:val="nil"/>
              <w:left w:val="nil"/>
              <w:bottom w:val="single" w:sz="4" w:space="0" w:color="auto"/>
              <w:right w:val="single" w:sz="4" w:space="0" w:color="auto"/>
            </w:tcBorders>
            <w:noWrap/>
            <w:vAlign w:val="center"/>
            <w:hideMark/>
          </w:tcPr>
          <w:p w14:paraId="1D40FA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PLINARNA MARIBOR DRUŽBA ZA PROIZVODNJO, DISTRIBUCIJO ENERGENTOV, TRGOVINO IN STORITVE D.O.O.</w:t>
            </w:r>
          </w:p>
        </w:tc>
      </w:tr>
      <w:tr w:rsidR="00F24E18" w14:paraId="00FACE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7CAD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1534</w:t>
            </w:r>
          </w:p>
        </w:tc>
        <w:tc>
          <w:tcPr>
            <w:tcW w:w="1300" w:type="dxa"/>
            <w:tcBorders>
              <w:top w:val="nil"/>
              <w:left w:val="nil"/>
              <w:bottom w:val="single" w:sz="4" w:space="0" w:color="auto"/>
              <w:right w:val="single" w:sz="4" w:space="0" w:color="auto"/>
            </w:tcBorders>
            <w:noWrap/>
            <w:vAlign w:val="center"/>
            <w:hideMark/>
          </w:tcPr>
          <w:p w14:paraId="052AA1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8005621000</w:t>
            </w:r>
          </w:p>
        </w:tc>
        <w:tc>
          <w:tcPr>
            <w:tcW w:w="1012" w:type="dxa"/>
            <w:tcBorders>
              <w:top w:val="nil"/>
              <w:left w:val="nil"/>
              <w:bottom w:val="single" w:sz="4" w:space="0" w:color="auto"/>
              <w:right w:val="single" w:sz="4" w:space="0" w:color="auto"/>
            </w:tcBorders>
            <w:noWrap/>
            <w:vAlign w:val="center"/>
            <w:hideMark/>
          </w:tcPr>
          <w:p w14:paraId="4F9174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69856826</w:t>
            </w:r>
          </w:p>
        </w:tc>
        <w:tc>
          <w:tcPr>
            <w:tcW w:w="5953" w:type="dxa"/>
            <w:tcBorders>
              <w:top w:val="nil"/>
              <w:left w:val="nil"/>
              <w:bottom w:val="single" w:sz="4" w:space="0" w:color="auto"/>
              <w:right w:val="single" w:sz="4" w:space="0" w:color="auto"/>
            </w:tcBorders>
            <w:noWrap/>
            <w:vAlign w:val="center"/>
            <w:hideMark/>
          </w:tcPr>
          <w:p w14:paraId="1A2E65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PLINHOLD, UPRAVLJANJE PLINSKE INFRASTRUKTURE, D.O.O.</w:t>
            </w:r>
          </w:p>
        </w:tc>
      </w:tr>
      <w:tr w:rsidR="00F24E18" w14:paraId="04D5313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CC38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1535</w:t>
            </w:r>
          </w:p>
        </w:tc>
        <w:tc>
          <w:tcPr>
            <w:tcW w:w="1300" w:type="dxa"/>
            <w:tcBorders>
              <w:top w:val="nil"/>
              <w:left w:val="nil"/>
              <w:bottom w:val="single" w:sz="4" w:space="0" w:color="auto"/>
              <w:right w:val="single" w:sz="4" w:space="0" w:color="auto"/>
            </w:tcBorders>
            <w:vAlign w:val="center"/>
            <w:hideMark/>
          </w:tcPr>
          <w:p w14:paraId="2596E7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1954288000</w:t>
            </w:r>
          </w:p>
        </w:tc>
        <w:tc>
          <w:tcPr>
            <w:tcW w:w="1012" w:type="dxa"/>
            <w:tcBorders>
              <w:top w:val="nil"/>
              <w:left w:val="nil"/>
              <w:bottom w:val="single" w:sz="4" w:space="0" w:color="auto"/>
              <w:right w:val="single" w:sz="4" w:space="0" w:color="auto"/>
            </w:tcBorders>
            <w:vAlign w:val="center"/>
            <w:hideMark/>
          </w:tcPr>
          <w:p w14:paraId="2936A0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31378285</w:t>
            </w:r>
          </w:p>
        </w:tc>
        <w:tc>
          <w:tcPr>
            <w:tcW w:w="5953" w:type="dxa"/>
            <w:tcBorders>
              <w:top w:val="nil"/>
              <w:left w:val="nil"/>
              <w:bottom w:val="single" w:sz="4" w:space="0" w:color="auto"/>
              <w:right w:val="single" w:sz="4" w:space="0" w:color="auto"/>
            </w:tcBorders>
            <w:noWrap/>
            <w:vAlign w:val="center"/>
            <w:hideMark/>
          </w:tcPr>
          <w:p w14:paraId="2FAFC2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PLINOVODI, DRUŽBA ZA UPRAVLJANJE S PRENOSNIM SISTEMOM, D.O.O.</w:t>
            </w:r>
          </w:p>
        </w:tc>
      </w:tr>
      <w:tr w:rsidR="00F24E18" w14:paraId="357CF2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CCB3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1536</w:t>
            </w:r>
          </w:p>
        </w:tc>
        <w:tc>
          <w:tcPr>
            <w:tcW w:w="1300" w:type="dxa"/>
            <w:tcBorders>
              <w:top w:val="nil"/>
              <w:left w:val="nil"/>
              <w:bottom w:val="single" w:sz="4" w:space="0" w:color="auto"/>
              <w:right w:val="single" w:sz="4" w:space="0" w:color="auto"/>
            </w:tcBorders>
            <w:noWrap/>
            <w:vAlign w:val="center"/>
            <w:hideMark/>
          </w:tcPr>
          <w:p w14:paraId="2515BC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3397785000</w:t>
            </w:r>
          </w:p>
        </w:tc>
        <w:tc>
          <w:tcPr>
            <w:tcW w:w="1012" w:type="dxa"/>
            <w:tcBorders>
              <w:top w:val="nil"/>
              <w:left w:val="nil"/>
              <w:bottom w:val="single" w:sz="4" w:space="0" w:color="auto"/>
              <w:right w:val="single" w:sz="4" w:space="0" w:color="auto"/>
            </w:tcBorders>
            <w:noWrap/>
            <w:vAlign w:val="center"/>
            <w:hideMark/>
          </w:tcPr>
          <w:p w14:paraId="4DF2B8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36173673</w:t>
            </w:r>
          </w:p>
        </w:tc>
        <w:tc>
          <w:tcPr>
            <w:tcW w:w="5953" w:type="dxa"/>
            <w:tcBorders>
              <w:top w:val="nil"/>
              <w:left w:val="nil"/>
              <w:bottom w:val="single" w:sz="4" w:space="0" w:color="auto"/>
              <w:right w:val="single" w:sz="4" w:space="0" w:color="auto"/>
            </w:tcBorders>
            <w:noWrap/>
            <w:vAlign w:val="center"/>
            <w:hideMark/>
          </w:tcPr>
          <w:p w14:paraId="738AF8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PODJETNIŠKI INKUBATOR KOČEVJE, JAVNI ZAVOD ZA PODJETNIŠTVO, IZOBRAŽEVANJE IN DRUGE DEJAVNOSTI</w:t>
            </w:r>
          </w:p>
        </w:tc>
      </w:tr>
      <w:tr w:rsidR="00F24E18" w14:paraId="1D46A8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6613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1537</w:t>
            </w:r>
          </w:p>
        </w:tc>
        <w:tc>
          <w:tcPr>
            <w:tcW w:w="1300" w:type="dxa"/>
            <w:tcBorders>
              <w:top w:val="nil"/>
              <w:left w:val="nil"/>
              <w:bottom w:val="single" w:sz="4" w:space="0" w:color="auto"/>
              <w:right w:val="single" w:sz="4" w:space="0" w:color="auto"/>
            </w:tcBorders>
            <w:noWrap/>
            <w:vAlign w:val="center"/>
            <w:hideMark/>
          </w:tcPr>
          <w:p w14:paraId="08054E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5067928000</w:t>
            </w:r>
          </w:p>
        </w:tc>
        <w:tc>
          <w:tcPr>
            <w:tcW w:w="1012" w:type="dxa"/>
            <w:tcBorders>
              <w:top w:val="nil"/>
              <w:left w:val="nil"/>
              <w:bottom w:val="single" w:sz="4" w:space="0" w:color="auto"/>
              <w:right w:val="single" w:sz="4" w:space="0" w:color="auto"/>
            </w:tcBorders>
            <w:noWrap/>
            <w:vAlign w:val="center"/>
            <w:hideMark/>
          </w:tcPr>
          <w:p w14:paraId="4EA79D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51546132</w:t>
            </w:r>
          </w:p>
        </w:tc>
        <w:tc>
          <w:tcPr>
            <w:tcW w:w="5953" w:type="dxa"/>
            <w:tcBorders>
              <w:top w:val="nil"/>
              <w:left w:val="nil"/>
              <w:bottom w:val="single" w:sz="4" w:space="0" w:color="auto"/>
              <w:right w:val="single" w:sz="4" w:space="0" w:color="auto"/>
            </w:tcBorders>
            <w:noWrap/>
            <w:vAlign w:val="center"/>
            <w:hideMark/>
          </w:tcPr>
          <w:p w14:paraId="0F5079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POGREBNO PODJETJE MARIBOR, JAVNO PODJETJE, D.O.O.</w:t>
            </w:r>
          </w:p>
        </w:tc>
      </w:tr>
      <w:tr w:rsidR="00F24E18" w14:paraId="589BE06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C352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1538</w:t>
            </w:r>
          </w:p>
        </w:tc>
        <w:tc>
          <w:tcPr>
            <w:tcW w:w="1300" w:type="dxa"/>
            <w:tcBorders>
              <w:top w:val="nil"/>
              <w:left w:val="nil"/>
              <w:bottom w:val="single" w:sz="4" w:space="0" w:color="auto"/>
              <w:right w:val="single" w:sz="4" w:space="0" w:color="auto"/>
            </w:tcBorders>
            <w:vAlign w:val="center"/>
            <w:hideMark/>
          </w:tcPr>
          <w:p w14:paraId="724A09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5016193000</w:t>
            </w:r>
          </w:p>
        </w:tc>
        <w:tc>
          <w:tcPr>
            <w:tcW w:w="1012" w:type="dxa"/>
            <w:tcBorders>
              <w:top w:val="nil"/>
              <w:left w:val="nil"/>
              <w:bottom w:val="single" w:sz="4" w:space="0" w:color="auto"/>
              <w:right w:val="single" w:sz="4" w:space="0" w:color="auto"/>
            </w:tcBorders>
            <w:vAlign w:val="center"/>
            <w:hideMark/>
          </w:tcPr>
          <w:p w14:paraId="1D67FC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45289522</w:t>
            </w:r>
          </w:p>
        </w:tc>
        <w:tc>
          <w:tcPr>
            <w:tcW w:w="5953" w:type="dxa"/>
            <w:tcBorders>
              <w:top w:val="nil"/>
              <w:left w:val="nil"/>
              <w:bottom w:val="single" w:sz="4" w:space="0" w:color="auto"/>
              <w:right w:val="single" w:sz="4" w:space="0" w:color="auto"/>
            </w:tcBorders>
            <w:noWrap/>
            <w:vAlign w:val="center"/>
            <w:hideMark/>
          </w:tcPr>
          <w:p w14:paraId="395A4F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POKLICNA GASILSKA ENOTA CELJE</w:t>
            </w:r>
          </w:p>
        </w:tc>
      </w:tr>
      <w:tr w:rsidR="00F24E18" w14:paraId="76AD42A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FD1A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1539</w:t>
            </w:r>
          </w:p>
        </w:tc>
        <w:tc>
          <w:tcPr>
            <w:tcW w:w="1300" w:type="dxa"/>
            <w:tcBorders>
              <w:top w:val="nil"/>
              <w:left w:val="nil"/>
              <w:bottom w:val="single" w:sz="4" w:space="0" w:color="auto"/>
              <w:right w:val="single" w:sz="4" w:space="0" w:color="auto"/>
            </w:tcBorders>
            <w:noWrap/>
            <w:vAlign w:val="center"/>
            <w:hideMark/>
          </w:tcPr>
          <w:p w14:paraId="7EEA97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5274168000</w:t>
            </w:r>
          </w:p>
        </w:tc>
        <w:tc>
          <w:tcPr>
            <w:tcW w:w="1012" w:type="dxa"/>
            <w:tcBorders>
              <w:top w:val="nil"/>
              <w:left w:val="nil"/>
              <w:bottom w:val="single" w:sz="4" w:space="0" w:color="auto"/>
              <w:right w:val="single" w:sz="4" w:space="0" w:color="auto"/>
            </w:tcBorders>
            <w:noWrap/>
            <w:vAlign w:val="center"/>
            <w:hideMark/>
          </w:tcPr>
          <w:p w14:paraId="08BDC2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87639815</w:t>
            </w:r>
          </w:p>
        </w:tc>
        <w:tc>
          <w:tcPr>
            <w:tcW w:w="5953" w:type="dxa"/>
            <w:tcBorders>
              <w:top w:val="nil"/>
              <w:left w:val="nil"/>
              <w:bottom w:val="single" w:sz="4" w:space="0" w:color="auto"/>
              <w:right w:val="single" w:sz="4" w:space="0" w:color="auto"/>
            </w:tcBorders>
            <w:noWrap/>
            <w:vAlign w:val="center"/>
            <w:hideMark/>
          </w:tcPr>
          <w:p w14:paraId="72DF2C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POKLICNA GASILSKA ENOTA KRŠKO</w:t>
            </w:r>
          </w:p>
        </w:tc>
      </w:tr>
      <w:tr w:rsidR="00F24E18" w14:paraId="49B368C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E22D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1540</w:t>
            </w:r>
          </w:p>
        </w:tc>
        <w:tc>
          <w:tcPr>
            <w:tcW w:w="1300" w:type="dxa"/>
            <w:tcBorders>
              <w:top w:val="nil"/>
              <w:left w:val="nil"/>
              <w:bottom w:val="single" w:sz="4" w:space="0" w:color="auto"/>
              <w:right w:val="single" w:sz="4" w:space="0" w:color="auto"/>
            </w:tcBorders>
            <w:noWrap/>
            <w:vAlign w:val="center"/>
            <w:hideMark/>
          </w:tcPr>
          <w:p w14:paraId="5306A8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5051975000</w:t>
            </w:r>
          </w:p>
        </w:tc>
        <w:tc>
          <w:tcPr>
            <w:tcW w:w="1012" w:type="dxa"/>
            <w:tcBorders>
              <w:top w:val="nil"/>
              <w:left w:val="nil"/>
              <w:bottom w:val="single" w:sz="4" w:space="0" w:color="auto"/>
              <w:right w:val="single" w:sz="4" w:space="0" w:color="auto"/>
            </w:tcBorders>
            <w:noWrap/>
            <w:vAlign w:val="center"/>
            <w:hideMark/>
          </w:tcPr>
          <w:p w14:paraId="418BF2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89089782</w:t>
            </w:r>
          </w:p>
        </w:tc>
        <w:tc>
          <w:tcPr>
            <w:tcW w:w="5953" w:type="dxa"/>
            <w:tcBorders>
              <w:top w:val="nil"/>
              <w:left w:val="nil"/>
              <w:bottom w:val="single" w:sz="4" w:space="0" w:color="auto"/>
              <w:right w:val="single" w:sz="4" w:space="0" w:color="auto"/>
            </w:tcBorders>
            <w:noWrap/>
            <w:vAlign w:val="center"/>
            <w:hideMark/>
          </w:tcPr>
          <w:p w14:paraId="30EE86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POKRAJINSKI ARHIV KOPER</w:t>
            </w:r>
          </w:p>
        </w:tc>
      </w:tr>
      <w:tr w:rsidR="00F24E18" w14:paraId="6564F9D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C6B6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1541</w:t>
            </w:r>
          </w:p>
        </w:tc>
        <w:tc>
          <w:tcPr>
            <w:tcW w:w="1300" w:type="dxa"/>
            <w:tcBorders>
              <w:top w:val="nil"/>
              <w:left w:val="nil"/>
              <w:bottom w:val="single" w:sz="4" w:space="0" w:color="auto"/>
              <w:right w:val="single" w:sz="4" w:space="0" w:color="auto"/>
            </w:tcBorders>
            <w:noWrap/>
            <w:vAlign w:val="center"/>
            <w:hideMark/>
          </w:tcPr>
          <w:p w14:paraId="1C53B5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5057183000</w:t>
            </w:r>
          </w:p>
        </w:tc>
        <w:tc>
          <w:tcPr>
            <w:tcW w:w="1012" w:type="dxa"/>
            <w:tcBorders>
              <w:top w:val="nil"/>
              <w:left w:val="nil"/>
              <w:bottom w:val="single" w:sz="4" w:space="0" w:color="auto"/>
              <w:right w:val="single" w:sz="4" w:space="0" w:color="auto"/>
            </w:tcBorders>
            <w:noWrap/>
            <w:vAlign w:val="center"/>
            <w:hideMark/>
          </w:tcPr>
          <w:p w14:paraId="5260EC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68464193</w:t>
            </w:r>
          </w:p>
        </w:tc>
        <w:tc>
          <w:tcPr>
            <w:tcW w:w="5953" w:type="dxa"/>
            <w:tcBorders>
              <w:top w:val="nil"/>
              <w:left w:val="nil"/>
              <w:bottom w:val="single" w:sz="4" w:space="0" w:color="auto"/>
              <w:right w:val="single" w:sz="4" w:space="0" w:color="auto"/>
            </w:tcBorders>
            <w:noWrap/>
            <w:vAlign w:val="center"/>
            <w:hideMark/>
          </w:tcPr>
          <w:p w14:paraId="6B5636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POKRAJINSKI ARHIV MARIBOR</w:t>
            </w:r>
          </w:p>
        </w:tc>
      </w:tr>
      <w:tr w:rsidR="00F24E18" w14:paraId="1665BC9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D0F0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1542</w:t>
            </w:r>
          </w:p>
        </w:tc>
        <w:tc>
          <w:tcPr>
            <w:tcW w:w="1300" w:type="dxa"/>
            <w:tcBorders>
              <w:top w:val="nil"/>
              <w:left w:val="nil"/>
              <w:bottom w:val="single" w:sz="4" w:space="0" w:color="auto"/>
              <w:right w:val="single" w:sz="4" w:space="0" w:color="auto"/>
            </w:tcBorders>
            <w:noWrap/>
            <w:vAlign w:val="center"/>
            <w:hideMark/>
          </w:tcPr>
          <w:p w14:paraId="03B246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5052203000</w:t>
            </w:r>
          </w:p>
        </w:tc>
        <w:tc>
          <w:tcPr>
            <w:tcW w:w="1012" w:type="dxa"/>
            <w:tcBorders>
              <w:top w:val="nil"/>
              <w:left w:val="nil"/>
              <w:bottom w:val="single" w:sz="4" w:space="0" w:color="auto"/>
              <w:right w:val="single" w:sz="4" w:space="0" w:color="auto"/>
            </w:tcBorders>
            <w:vAlign w:val="center"/>
            <w:hideMark/>
          </w:tcPr>
          <w:p w14:paraId="69513E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63913445</w:t>
            </w:r>
          </w:p>
        </w:tc>
        <w:tc>
          <w:tcPr>
            <w:tcW w:w="5953" w:type="dxa"/>
            <w:tcBorders>
              <w:top w:val="nil"/>
              <w:left w:val="nil"/>
              <w:bottom w:val="single" w:sz="4" w:space="0" w:color="auto"/>
              <w:right w:val="single" w:sz="4" w:space="0" w:color="auto"/>
            </w:tcBorders>
            <w:noWrap/>
            <w:vAlign w:val="center"/>
            <w:hideMark/>
          </w:tcPr>
          <w:p w14:paraId="6CC9D7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POKRAJINSKI ARHIV V NOVI GORICI</w:t>
            </w:r>
          </w:p>
        </w:tc>
      </w:tr>
      <w:tr w:rsidR="00F24E18" w14:paraId="019671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007B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1543</w:t>
            </w:r>
          </w:p>
        </w:tc>
        <w:tc>
          <w:tcPr>
            <w:tcW w:w="1300" w:type="dxa"/>
            <w:tcBorders>
              <w:top w:val="nil"/>
              <w:left w:val="nil"/>
              <w:bottom w:val="single" w:sz="4" w:space="0" w:color="auto"/>
              <w:right w:val="single" w:sz="4" w:space="0" w:color="auto"/>
            </w:tcBorders>
            <w:noWrap/>
            <w:vAlign w:val="center"/>
            <w:hideMark/>
          </w:tcPr>
          <w:p w14:paraId="257C2E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5051819000</w:t>
            </w:r>
          </w:p>
        </w:tc>
        <w:tc>
          <w:tcPr>
            <w:tcW w:w="1012" w:type="dxa"/>
            <w:tcBorders>
              <w:top w:val="nil"/>
              <w:left w:val="nil"/>
              <w:bottom w:val="single" w:sz="4" w:space="0" w:color="auto"/>
              <w:right w:val="single" w:sz="4" w:space="0" w:color="auto"/>
            </w:tcBorders>
            <w:noWrap/>
            <w:vAlign w:val="center"/>
            <w:hideMark/>
          </w:tcPr>
          <w:p w14:paraId="282233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94566895</w:t>
            </w:r>
          </w:p>
        </w:tc>
        <w:tc>
          <w:tcPr>
            <w:tcW w:w="5953" w:type="dxa"/>
            <w:tcBorders>
              <w:top w:val="nil"/>
              <w:left w:val="nil"/>
              <w:bottom w:val="single" w:sz="4" w:space="0" w:color="auto"/>
              <w:right w:val="single" w:sz="4" w:space="0" w:color="auto"/>
            </w:tcBorders>
            <w:noWrap/>
            <w:vAlign w:val="center"/>
            <w:hideMark/>
          </w:tcPr>
          <w:p w14:paraId="430DC0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POKRAJINSKI MUZEJ CELJE</w:t>
            </w:r>
          </w:p>
        </w:tc>
      </w:tr>
      <w:tr w:rsidR="00F24E18" w14:paraId="6CC74EF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86A8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1544</w:t>
            </w:r>
          </w:p>
        </w:tc>
        <w:tc>
          <w:tcPr>
            <w:tcW w:w="1300" w:type="dxa"/>
            <w:tcBorders>
              <w:top w:val="nil"/>
              <w:left w:val="nil"/>
              <w:bottom w:val="single" w:sz="4" w:space="0" w:color="auto"/>
              <w:right w:val="single" w:sz="4" w:space="0" w:color="auto"/>
            </w:tcBorders>
            <w:noWrap/>
            <w:vAlign w:val="center"/>
            <w:hideMark/>
          </w:tcPr>
          <w:p w14:paraId="5FF2F3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5051932000</w:t>
            </w:r>
          </w:p>
        </w:tc>
        <w:tc>
          <w:tcPr>
            <w:tcW w:w="1012" w:type="dxa"/>
            <w:tcBorders>
              <w:top w:val="nil"/>
              <w:left w:val="nil"/>
              <w:bottom w:val="single" w:sz="4" w:space="0" w:color="auto"/>
              <w:right w:val="single" w:sz="4" w:space="0" w:color="auto"/>
            </w:tcBorders>
            <w:noWrap/>
            <w:vAlign w:val="center"/>
            <w:hideMark/>
          </w:tcPr>
          <w:p w14:paraId="067937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91629438</w:t>
            </w:r>
          </w:p>
        </w:tc>
        <w:tc>
          <w:tcPr>
            <w:tcW w:w="5953" w:type="dxa"/>
            <w:tcBorders>
              <w:top w:val="nil"/>
              <w:left w:val="nil"/>
              <w:bottom w:val="single" w:sz="4" w:space="0" w:color="auto"/>
              <w:right w:val="single" w:sz="4" w:space="0" w:color="auto"/>
            </w:tcBorders>
            <w:noWrap/>
            <w:vAlign w:val="center"/>
            <w:hideMark/>
          </w:tcPr>
          <w:p w14:paraId="734658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POKRAJINSKI MUZEJ KOPER, MUSEO REGIONALE DI CAPODISTRIA</w:t>
            </w:r>
          </w:p>
        </w:tc>
      </w:tr>
      <w:tr w:rsidR="00F24E18" w14:paraId="0A92EE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2DEA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1545</w:t>
            </w:r>
          </w:p>
        </w:tc>
        <w:tc>
          <w:tcPr>
            <w:tcW w:w="1300" w:type="dxa"/>
            <w:tcBorders>
              <w:top w:val="nil"/>
              <w:left w:val="nil"/>
              <w:bottom w:val="single" w:sz="4" w:space="0" w:color="auto"/>
              <w:right w:val="single" w:sz="4" w:space="0" w:color="auto"/>
            </w:tcBorders>
            <w:noWrap/>
            <w:vAlign w:val="center"/>
            <w:hideMark/>
          </w:tcPr>
          <w:p w14:paraId="3D9CFD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5055920000</w:t>
            </w:r>
          </w:p>
        </w:tc>
        <w:tc>
          <w:tcPr>
            <w:tcW w:w="1012" w:type="dxa"/>
            <w:tcBorders>
              <w:top w:val="nil"/>
              <w:left w:val="nil"/>
              <w:bottom w:val="single" w:sz="4" w:space="0" w:color="auto"/>
              <w:right w:val="single" w:sz="4" w:space="0" w:color="auto"/>
            </w:tcBorders>
            <w:noWrap/>
            <w:vAlign w:val="center"/>
            <w:hideMark/>
          </w:tcPr>
          <w:p w14:paraId="4AAA48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24100978</w:t>
            </w:r>
          </w:p>
        </w:tc>
        <w:tc>
          <w:tcPr>
            <w:tcW w:w="5953" w:type="dxa"/>
            <w:tcBorders>
              <w:top w:val="nil"/>
              <w:left w:val="nil"/>
              <w:bottom w:val="single" w:sz="4" w:space="0" w:color="auto"/>
              <w:right w:val="single" w:sz="4" w:space="0" w:color="auto"/>
            </w:tcBorders>
            <w:noWrap/>
            <w:vAlign w:val="center"/>
            <w:hideMark/>
          </w:tcPr>
          <w:p w14:paraId="01B4A7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POKRAJINSKI MUZEJ MARIBOR</w:t>
            </w:r>
          </w:p>
        </w:tc>
      </w:tr>
      <w:tr w:rsidR="00F24E18" w14:paraId="5B85A1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D08D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1546</w:t>
            </w:r>
          </w:p>
        </w:tc>
        <w:tc>
          <w:tcPr>
            <w:tcW w:w="1300" w:type="dxa"/>
            <w:tcBorders>
              <w:top w:val="nil"/>
              <w:left w:val="nil"/>
              <w:bottom w:val="single" w:sz="4" w:space="0" w:color="auto"/>
              <w:right w:val="single" w:sz="4" w:space="0" w:color="auto"/>
            </w:tcBorders>
            <w:noWrap/>
            <w:vAlign w:val="center"/>
            <w:hideMark/>
          </w:tcPr>
          <w:p w14:paraId="78D185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5052823000</w:t>
            </w:r>
          </w:p>
        </w:tc>
        <w:tc>
          <w:tcPr>
            <w:tcW w:w="1012" w:type="dxa"/>
            <w:tcBorders>
              <w:top w:val="nil"/>
              <w:left w:val="nil"/>
              <w:bottom w:val="single" w:sz="4" w:space="0" w:color="auto"/>
              <w:right w:val="single" w:sz="4" w:space="0" w:color="auto"/>
            </w:tcBorders>
            <w:noWrap/>
            <w:vAlign w:val="center"/>
            <w:hideMark/>
          </w:tcPr>
          <w:p w14:paraId="18FBE6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89285492</w:t>
            </w:r>
          </w:p>
        </w:tc>
        <w:tc>
          <w:tcPr>
            <w:tcW w:w="5953" w:type="dxa"/>
            <w:tcBorders>
              <w:top w:val="nil"/>
              <w:left w:val="nil"/>
              <w:bottom w:val="single" w:sz="4" w:space="0" w:color="auto"/>
              <w:right w:val="single" w:sz="4" w:space="0" w:color="auto"/>
            </w:tcBorders>
            <w:noWrap/>
            <w:vAlign w:val="center"/>
            <w:hideMark/>
          </w:tcPr>
          <w:p w14:paraId="12C99C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POKRAJINSKI MUZEJ PTUJ - ORMOŽ</w:t>
            </w:r>
          </w:p>
        </w:tc>
      </w:tr>
      <w:tr w:rsidR="00F24E18" w14:paraId="440F828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8180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1547</w:t>
            </w:r>
          </w:p>
        </w:tc>
        <w:tc>
          <w:tcPr>
            <w:tcW w:w="1300" w:type="dxa"/>
            <w:tcBorders>
              <w:top w:val="nil"/>
              <w:left w:val="nil"/>
              <w:bottom w:val="single" w:sz="4" w:space="0" w:color="auto"/>
              <w:right w:val="single" w:sz="4" w:space="0" w:color="auto"/>
            </w:tcBorders>
            <w:noWrap/>
            <w:vAlign w:val="center"/>
            <w:hideMark/>
          </w:tcPr>
          <w:p w14:paraId="732C12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5052238000</w:t>
            </w:r>
          </w:p>
        </w:tc>
        <w:tc>
          <w:tcPr>
            <w:tcW w:w="1012" w:type="dxa"/>
            <w:tcBorders>
              <w:top w:val="nil"/>
              <w:left w:val="nil"/>
              <w:bottom w:val="single" w:sz="4" w:space="0" w:color="auto"/>
              <w:right w:val="single" w:sz="4" w:space="0" w:color="auto"/>
            </w:tcBorders>
            <w:noWrap/>
            <w:vAlign w:val="center"/>
            <w:hideMark/>
          </w:tcPr>
          <w:p w14:paraId="7CC635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19410735</w:t>
            </w:r>
          </w:p>
        </w:tc>
        <w:tc>
          <w:tcPr>
            <w:tcW w:w="5953" w:type="dxa"/>
            <w:tcBorders>
              <w:top w:val="nil"/>
              <w:left w:val="nil"/>
              <w:bottom w:val="single" w:sz="4" w:space="0" w:color="auto"/>
              <w:right w:val="single" w:sz="4" w:space="0" w:color="auto"/>
            </w:tcBorders>
            <w:noWrap/>
            <w:vAlign w:val="center"/>
            <w:hideMark/>
          </w:tcPr>
          <w:p w14:paraId="5AF354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POMORSKI MUZEJ - MUSEO DEL MARE SERGEJ MAŠERA PIRAN - PIRANO</w:t>
            </w:r>
          </w:p>
        </w:tc>
      </w:tr>
      <w:tr w:rsidR="00F24E18" w14:paraId="7E3F800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0FB6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1548</w:t>
            </w:r>
          </w:p>
        </w:tc>
        <w:tc>
          <w:tcPr>
            <w:tcW w:w="1300" w:type="dxa"/>
            <w:tcBorders>
              <w:top w:val="nil"/>
              <w:left w:val="nil"/>
              <w:bottom w:val="single" w:sz="4" w:space="0" w:color="auto"/>
              <w:right w:val="single" w:sz="4" w:space="0" w:color="auto"/>
            </w:tcBorders>
            <w:vAlign w:val="center"/>
            <w:hideMark/>
          </w:tcPr>
          <w:p w14:paraId="4FE4F2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5782384000</w:t>
            </w:r>
          </w:p>
        </w:tc>
        <w:tc>
          <w:tcPr>
            <w:tcW w:w="1012" w:type="dxa"/>
            <w:tcBorders>
              <w:top w:val="nil"/>
              <w:left w:val="nil"/>
              <w:bottom w:val="single" w:sz="4" w:space="0" w:color="auto"/>
              <w:right w:val="single" w:sz="4" w:space="0" w:color="auto"/>
            </w:tcBorders>
            <w:vAlign w:val="center"/>
            <w:hideMark/>
          </w:tcPr>
          <w:p w14:paraId="1D340C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79384820</w:t>
            </w:r>
          </w:p>
        </w:tc>
        <w:tc>
          <w:tcPr>
            <w:tcW w:w="5953" w:type="dxa"/>
            <w:tcBorders>
              <w:top w:val="nil"/>
              <w:left w:val="nil"/>
              <w:bottom w:val="single" w:sz="4" w:space="0" w:color="auto"/>
              <w:right w:val="single" w:sz="4" w:space="0" w:color="auto"/>
            </w:tcBorders>
            <w:noWrap/>
            <w:vAlign w:val="center"/>
            <w:hideMark/>
          </w:tcPr>
          <w:p w14:paraId="70D6DF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POMURSKA MADŽARSKA SAMOUPRAVNA NARODNA SKUPNOST MURAVIDEKI MAGYAR ONKORMANYZATI NEMZETI KOZOSSEG</w:t>
            </w:r>
          </w:p>
        </w:tc>
      </w:tr>
      <w:tr w:rsidR="00F24E18" w14:paraId="1E0EDF5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1E73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1549</w:t>
            </w:r>
          </w:p>
        </w:tc>
        <w:tc>
          <w:tcPr>
            <w:tcW w:w="1300" w:type="dxa"/>
            <w:tcBorders>
              <w:top w:val="nil"/>
              <w:left w:val="nil"/>
              <w:bottom w:val="single" w:sz="4" w:space="0" w:color="auto"/>
              <w:right w:val="single" w:sz="4" w:space="0" w:color="auto"/>
            </w:tcBorders>
            <w:vAlign w:val="center"/>
            <w:hideMark/>
          </w:tcPr>
          <w:p w14:paraId="5C4632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5054516000</w:t>
            </w:r>
          </w:p>
        </w:tc>
        <w:tc>
          <w:tcPr>
            <w:tcW w:w="1012" w:type="dxa"/>
            <w:tcBorders>
              <w:top w:val="nil"/>
              <w:left w:val="nil"/>
              <w:bottom w:val="single" w:sz="4" w:space="0" w:color="auto"/>
              <w:right w:val="single" w:sz="4" w:space="0" w:color="auto"/>
            </w:tcBorders>
            <w:vAlign w:val="center"/>
            <w:hideMark/>
          </w:tcPr>
          <w:p w14:paraId="0C06FB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96617756</w:t>
            </w:r>
          </w:p>
        </w:tc>
        <w:tc>
          <w:tcPr>
            <w:tcW w:w="5953" w:type="dxa"/>
            <w:tcBorders>
              <w:top w:val="nil"/>
              <w:left w:val="nil"/>
              <w:bottom w:val="single" w:sz="4" w:space="0" w:color="auto"/>
              <w:right w:val="single" w:sz="4" w:space="0" w:color="auto"/>
            </w:tcBorders>
            <w:noWrap/>
            <w:vAlign w:val="center"/>
            <w:hideMark/>
          </w:tcPr>
          <w:p w14:paraId="02FC24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POMURSKE LEKARNE MURSKA SOBOTA</w:t>
            </w:r>
          </w:p>
        </w:tc>
      </w:tr>
      <w:tr w:rsidR="00F24E18" w14:paraId="6C00B2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9BC4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1550</w:t>
            </w:r>
          </w:p>
        </w:tc>
        <w:tc>
          <w:tcPr>
            <w:tcW w:w="1300" w:type="dxa"/>
            <w:tcBorders>
              <w:top w:val="nil"/>
              <w:left w:val="nil"/>
              <w:bottom w:val="single" w:sz="4" w:space="0" w:color="auto"/>
              <w:right w:val="single" w:sz="4" w:space="0" w:color="auto"/>
            </w:tcBorders>
            <w:noWrap/>
            <w:vAlign w:val="center"/>
            <w:hideMark/>
          </w:tcPr>
          <w:p w14:paraId="61C40D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5676282000</w:t>
            </w:r>
          </w:p>
        </w:tc>
        <w:tc>
          <w:tcPr>
            <w:tcW w:w="1012" w:type="dxa"/>
            <w:tcBorders>
              <w:top w:val="nil"/>
              <w:left w:val="nil"/>
              <w:bottom w:val="single" w:sz="4" w:space="0" w:color="auto"/>
              <w:right w:val="single" w:sz="4" w:space="0" w:color="auto"/>
            </w:tcBorders>
            <w:noWrap/>
            <w:vAlign w:val="center"/>
            <w:hideMark/>
          </w:tcPr>
          <w:p w14:paraId="393E7B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57725845</w:t>
            </w:r>
          </w:p>
        </w:tc>
        <w:tc>
          <w:tcPr>
            <w:tcW w:w="5953" w:type="dxa"/>
            <w:tcBorders>
              <w:top w:val="nil"/>
              <w:left w:val="nil"/>
              <w:bottom w:val="single" w:sz="4" w:space="0" w:color="auto"/>
              <w:right w:val="single" w:sz="4" w:space="0" w:color="auto"/>
            </w:tcBorders>
            <w:noWrap/>
            <w:vAlign w:val="center"/>
            <w:hideMark/>
          </w:tcPr>
          <w:p w14:paraId="2D0320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POMURSKI MUZEJ MURSKA SOBOTA</w:t>
            </w:r>
          </w:p>
        </w:tc>
      </w:tr>
      <w:tr w:rsidR="00F24E18" w14:paraId="2661179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C2E5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1551</w:t>
            </w:r>
          </w:p>
        </w:tc>
        <w:tc>
          <w:tcPr>
            <w:tcW w:w="1300" w:type="dxa"/>
            <w:tcBorders>
              <w:top w:val="nil"/>
              <w:left w:val="nil"/>
              <w:bottom w:val="single" w:sz="4" w:space="0" w:color="auto"/>
              <w:right w:val="single" w:sz="4" w:space="0" w:color="auto"/>
            </w:tcBorders>
            <w:noWrap/>
            <w:vAlign w:val="center"/>
            <w:hideMark/>
          </w:tcPr>
          <w:p w14:paraId="5CFA2E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1414933000</w:t>
            </w:r>
          </w:p>
        </w:tc>
        <w:tc>
          <w:tcPr>
            <w:tcW w:w="1012" w:type="dxa"/>
            <w:tcBorders>
              <w:top w:val="nil"/>
              <w:left w:val="nil"/>
              <w:bottom w:val="single" w:sz="4" w:space="0" w:color="auto"/>
              <w:right w:val="single" w:sz="4" w:space="0" w:color="auto"/>
            </w:tcBorders>
            <w:noWrap/>
            <w:vAlign w:val="center"/>
            <w:hideMark/>
          </w:tcPr>
          <w:p w14:paraId="04E6FE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32155425</w:t>
            </w:r>
          </w:p>
        </w:tc>
        <w:tc>
          <w:tcPr>
            <w:tcW w:w="5953" w:type="dxa"/>
            <w:tcBorders>
              <w:top w:val="nil"/>
              <w:left w:val="nil"/>
              <w:bottom w:val="single" w:sz="4" w:space="0" w:color="auto"/>
              <w:right w:val="single" w:sz="4" w:space="0" w:color="auto"/>
            </w:tcBorders>
            <w:noWrap/>
            <w:vAlign w:val="center"/>
            <w:hideMark/>
          </w:tcPr>
          <w:p w14:paraId="2CBE94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POSOŠKI RAZVOJNI CENTER</w:t>
            </w:r>
          </w:p>
        </w:tc>
      </w:tr>
      <w:tr w:rsidR="00F24E18" w14:paraId="0ACF19F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D285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1552</w:t>
            </w:r>
          </w:p>
        </w:tc>
        <w:tc>
          <w:tcPr>
            <w:tcW w:w="1300" w:type="dxa"/>
            <w:tcBorders>
              <w:top w:val="nil"/>
              <w:left w:val="nil"/>
              <w:bottom w:val="single" w:sz="4" w:space="0" w:color="auto"/>
              <w:right w:val="single" w:sz="4" w:space="0" w:color="auto"/>
            </w:tcBorders>
            <w:vAlign w:val="center"/>
            <w:hideMark/>
          </w:tcPr>
          <w:p w14:paraId="28508A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5881447000</w:t>
            </w:r>
          </w:p>
        </w:tc>
        <w:tc>
          <w:tcPr>
            <w:tcW w:w="1012" w:type="dxa"/>
            <w:tcBorders>
              <w:top w:val="nil"/>
              <w:left w:val="nil"/>
              <w:bottom w:val="single" w:sz="4" w:space="0" w:color="auto"/>
              <w:right w:val="single" w:sz="4" w:space="0" w:color="auto"/>
            </w:tcBorders>
            <w:vAlign w:val="center"/>
            <w:hideMark/>
          </w:tcPr>
          <w:p w14:paraId="34CEEB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25028022</w:t>
            </w:r>
          </w:p>
        </w:tc>
        <w:tc>
          <w:tcPr>
            <w:tcW w:w="5953" w:type="dxa"/>
            <w:tcBorders>
              <w:top w:val="nil"/>
              <w:left w:val="nil"/>
              <w:bottom w:val="single" w:sz="4" w:space="0" w:color="auto"/>
              <w:right w:val="single" w:sz="4" w:space="0" w:color="auto"/>
            </w:tcBorders>
            <w:noWrap/>
            <w:vAlign w:val="center"/>
            <w:hideMark/>
          </w:tcPr>
          <w:p w14:paraId="011B2E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POŠTA SLOVENIJE D.O.O.</w:t>
            </w:r>
          </w:p>
        </w:tc>
      </w:tr>
      <w:tr w:rsidR="00F24E18" w14:paraId="6B494B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2464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1553</w:t>
            </w:r>
          </w:p>
        </w:tc>
        <w:tc>
          <w:tcPr>
            <w:tcW w:w="1300" w:type="dxa"/>
            <w:tcBorders>
              <w:top w:val="nil"/>
              <w:left w:val="nil"/>
              <w:bottom w:val="single" w:sz="4" w:space="0" w:color="auto"/>
              <w:right w:val="single" w:sz="4" w:space="0" w:color="auto"/>
            </w:tcBorders>
            <w:vAlign w:val="center"/>
            <w:hideMark/>
          </w:tcPr>
          <w:p w14:paraId="7D2C03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5040361000</w:t>
            </w:r>
          </w:p>
        </w:tc>
        <w:tc>
          <w:tcPr>
            <w:tcW w:w="1012" w:type="dxa"/>
            <w:tcBorders>
              <w:top w:val="nil"/>
              <w:left w:val="nil"/>
              <w:bottom w:val="single" w:sz="4" w:space="0" w:color="auto"/>
              <w:right w:val="single" w:sz="4" w:space="0" w:color="auto"/>
            </w:tcBorders>
            <w:vAlign w:val="center"/>
            <w:hideMark/>
          </w:tcPr>
          <w:p w14:paraId="1C9957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92231217</w:t>
            </w:r>
          </w:p>
        </w:tc>
        <w:tc>
          <w:tcPr>
            <w:tcW w:w="5953" w:type="dxa"/>
            <w:tcBorders>
              <w:top w:val="nil"/>
              <w:left w:val="nil"/>
              <w:bottom w:val="single" w:sz="4" w:space="0" w:color="auto"/>
              <w:right w:val="single" w:sz="4" w:space="0" w:color="auto"/>
            </w:tcBorders>
            <w:noWrap/>
            <w:vAlign w:val="center"/>
            <w:hideMark/>
          </w:tcPr>
          <w:p w14:paraId="41C2DA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PREMOGOVNIK VELENJE, D.O.O.</w:t>
            </w:r>
          </w:p>
        </w:tc>
      </w:tr>
      <w:tr w:rsidR="00F24E18" w14:paraId="597916A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E108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1554</w:t>
            </w:r>
          </w:p>
        </w:tc>
        <w:tc>
          <w:tcPr>
            <w:tcW w:w="1300" w:type="dxa"/>
            <w:tcBorders>
              <w:top w:val="nil"/>
              <w:left w:val="nil"/>
              <w:bottom w:val="single" w:sz="4" w:space="0" w:color="auto"/>
              <w:right w:val="single" w:sz="4" w:space="0" w:color="auto"/>
            </w:tcBorders>
            <w:noWrap/>
            <w:vAlign w:val="center"/>
            <w:hideMark/>
          </w:tcPr>
          <w:p w14:paraId="55080D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5053153000</w:t>
            </w:r>
          </w:p>
        </w:tc>
        <w:tc>
          <w:tcPr>
            <w:tcW w:w="1012" w:type="dxa"/>
            <w:tcBorders>
              <w:top w:val="nil"/>
              <w:left w:val="nil"/>
              <w:bottom w:val="single" w:sz="4" w:space="0" w:color="auto"/>
              <w:right w:val="single" w:sz="4" w:space="0" w:color="auto"/>
            </w:tcBorders>
            <w:noWrap/>
            <w:vAlign w:val="center"/>
            <w:hideMark/>
          </w:tcPr>
          <w:p w14:paraId="30E868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51413906</w:t>
            </w:r>
          </w:p>
        </w:tc>
        <w:tc>
          <w:tcPr>
            <w:tcW w:w="5953" w:type="dxa"/>
            <w:tcBorders>
              <w:top w:val="nil"/>
              <w:left w:val="nil"/>
              <w:bottom w:val="single" w:sz="4" w:space="0" w:color="auto"/>
              <w:right w:val="single" w:sz="4" w:space="0" w:color="auto"/>
            </w:tcBorders>
            <w:noWrap/>
            <w:vAlign w:val="center"/>
            <w:hideMark/>
          </w:tcPr>
          <w:p w14:paraId="5F04E2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PREŠERNOVO GLEDALIŠČE KRANJ</w:t>
            </w:r>
          </w:p>
        </w:tc>
      </w:tr>
      <w:tr w:rsidR="00F24E18" w14:paraId="7E81649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6634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1555</w:t>
            </w:r>
          </w:p>
        </w:tc>
        <w:tc>
          <w:tcPr>
            <w:tcW w:w="1300" w:type="dxa"/>
            <w:tcBorders>
              <w:top w:val="nil"/>
              <w:left w:val="nil"/>
              <w:bottom w:val="single" w:sz="4" w:space="0" w:color="auto"/>
              <w:right w:val="single" w:sz="4" w:space="0" w:color="auto"/>
            </w:tcBorders>
            <w:vAlign w:val="center"/>
            <w:hideMark/>
          </w:tcPr>
          <w:p w14:paraId="0CF8B8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5496365000</w:t>
            </w:r>
          </w:p>
        </w:tc>
        <w:tc>
          <w:tcPr>
            <w:tcW w:w="1012" w:type="dxa"/>
            <w:tcBorders>
              <w:top w:val="nil"/>
              <w:left w:val="nil"/>
              <w:bottom w:val="single" w:sz="4" w:space="0" w:color="auto"/>
              <w:right w:val="single" w:sz="4" w:space="0" w:color="auto"/>
            </w:tcBorders>
            <w:vAlign w:val="center"/>
            <w:hideMark/>
          </w:tcPr>
          <w:p w14:paraId="3CC4B1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23017236</w:t>
            </w:r>
          </w:p>
        </w:tc>
        <w:tc>
          <w:tcPr>
            <w:tcW w:w="5953" w:type="dxa"/>
            <w:tcBorders>
              <w:top w:val="nil"/>
              <w:left w:val="nil"/>
              <w:bottom w:val="single" w:sz="4" w:space="0" w:color="auto"/>
              <w:right w:val="single" w:sz="4" w:space="0" w:color="auto"/>
            </w:tcBorders>
            <w:noWrap/>
            <w:vAlign w:val="center"/>
            <w:hideMark/>
          </w:tcPr>
          <w:p w14:paraId="60C848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PRIZMA PONIKVE, POSEBNI SOCIALNO VARSTVENI ZAVOD</w:t>
            </w:r>
          </w:p>
        </w:tc>
      </w:tr>
      <w:tr w:rsidR="00F24E18" w14:paraId="48B527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FC68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1556</w:t>
            </w:r>
          </w:p>
        </w:tc>
        <w:tc>
          <w:tcPr>
            <w:tcW w:w="1300" w:type="dxa"/>
            <w:tcBorders>
              <w:top w:val="nil"/>
              <w:left w:val="nil"/>
              <w:bottom w:val="single" w:sz="4" w:space="0" w:color="auto"/>
              <w:right w:val="single" w:sz="4" w:space="0" w:color="auto"/>
            </w:tcBorders>
            <w:noWrap/>
            <w:vAlign w:val="center"/>
            <w:hideMark/>
          </w:tcPr>
          <w:p w14:paraId="224744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5825962000</w:t>
            </w:r>
          </w:p>
        </w:tc>
        <w:tc>
          <w:tcPr>
            <w:tcW w:w="1012" w:type="dxa"/>
            <w:tcBorders>
              <w:top w:val="nil"/>
              <w:left w:val="nil"/>
              <w:bottom w:val="single" w:sz="4" w:space="0" w:color="auto"/>
              <w:right w:val="single" w:sz="4" w:space="0" w:color="auto"/>
            </w:tcBorders>
            <w:noWrap/>
            <w:vAlign w:val="center"/>
            <w:hideMark/>
          </w:tcPr>
          <w:p w14:paraId="231DC1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29798809</w:t>
            </w:r>
          </w:p>
        </w:tc>
        <w:tc>
          <w:tcPr>
            <w:tcW w:w="5953" w:type="dxa"/>
            <w:tcBorders>
              <w:top w:val="nil"/>
              <w:left w:val="nil"/>
              <w:bottom w:val="single" w:sz="4" w:space="0" w:color="auto"/>
              <w:right w:val="single" w:sz="4" w:space="0" w:color="auto"/>
            </w:tcBorders>
            <w:noWrap/>
            <w:vAlign w:val="center"/>
            <w:hideMark/>
          </w:tcPr>
          <w:p w14:paraId="47920A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PRLEŠKI ŠTUDENTSKI KLUB</w:t>
            </w:r>
          </w:p>
        </w:tc>
      </w:tr>
      <w:tr w:rsidR="00F24E18" w14:paraId="5268D7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BEE8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1557</w:t>
            </w:r>
          </w:p>
        </w:tc>
        <w:tc>
          <w:tcPr>
            <w:tcW w:w="1300" w:type="dxa"/>
            <w:tcBorders>
              <w:top w:val="nil"/>
              <w:left w:val="nil"/>
              <w:bottom w:val="single" w:sz="4" w:space="0" w:color="auto"/>
              <w:right w:val="single" w:sz="4" w:space="0" w:color="auto"/>
            </w:tcBorders>
            <w:vAlign w:val="center"/>
            <w:hideMark/>
          </w:tcPr>
          <w:p w14:paraId="7EEDC8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5183120000</w:t>
            </w:r>
          </w:p>
        </w:tc>
        <w:tc>
          <w:tcPr>
            <w:tcW w:w="1012" w:type="dxa"/>
            <w:tcBorders>
              <w:top w:val="nil"/>
              <w:left w:val="nil"/>
              <w:bottom w:val="single" w:sz="4" w:space="0" w:color="auto"/>
              <w:right w:val="single" w:sz="4" w:space="0" w:color="auto"/>
            </w:tcBorders>
            <w:vAlign w:val="center"/>
            <w:hideMark/>
          </w:tcPr>
          <w:p w14:paraId="0324CE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49707728</w:t>
            </w:r>
          </w:p>
        </w:tc>
        <w:tc>
          <w:tcPr>
            <w:tcW w:w="5953" w:type="dxa"/>
            <w:tcBorders>
              <w:top w:val="nil"/>
              <w:left w:val="nil"/>
              <w:bottom w:val="single" w:sz="4" w:space="0" w:color="auto"/>
              <w:right w:val="single" w:sz="4" w:space="0" w:color="auto"/>
            </w:tcBorders>
            <w:noWrap/>
            <w:vAlign w:val="center"/>
            <w:hideMark/>
          </w:tcPr>
          <w:p w14:paraId="362206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PROMETNA ŠOLA MARIBOR</w:t>
            </w:r>
          </w:p>
        </w:tc>
      </w:tr>
      <w:tr w:rsidR="00F24E18" w14:paraId="7C2EF4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29CA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1558</w:t>
            </w:r>
          </w:p>
        </w:tc>
        <w:tc>
          <w:tcPr>
            <w:tcW w:w="1300" w:type="dxa"/>
            <w:tcBorders>
              <w:top w:val="nil"/>
              <w:left w:val="nil"/>
              <w:bottom w:val="single" w:sz="4" w:space="0" w:color="auto"/>
              <w:right w:val="single" w:sz="4" w:space="0" w:color="auto"/>
            </w:tcBorders>
            <w:noWrap/>
            <w:vAlign w:val="center"/>
            <w:hideMark/>
          </w:tcPr>
          <w:p w14:paraId="2D57C8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5674522000</w:t>
            </w:r>
          </w:p>
        </w:tc>
        <w:tc>
          <w:tcPr>
            <w:tcW w:w="1012" w:type="dxa"/>
            <w:tcBorders>
              <w:top w:val="nil"/>
              <w:left w:val="nil"/>
              <w:bottom w:val="single" w:sz="4" w:space="0" w:color="auto"/>
              <w:right w:val="single" w:sz="4" w:space="0" w:color="auto"/>
            </w:tcBorders>
            <w:noWrap/>
            <w:vAlign w:val="center"/>
            <w:hideMark/>
          </w:tcPr>
          <w:p w14:paraId="1BB24A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34722645</w:t>
            </w:r>
          </w:p>
        </w:tc>
        <w:tc>
          <w:tcPr>
            <w:tcW w:w="5953" w:type="dxa"/>
            <w:tcBorders>
              <w:top w:val="nil"/>
              <w:left w:val="nil"/>
              <w:bottom w:val="single" w:sz="4" w:space="0" w:color="auto"/>
              <w:right w:val="single" w:sz="4" w:space="0" w:color="auto"/>
            </w:tcBorders>
            <w:noWrap/>
            <w:vAlign w:val="center"/>
            <w:hideMark/>
          </w:tcPr>
          <w:p w14:paraId="21E8D4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PROMETNI INSTITUT LJUBLJANA D.O.O. ZA PODROČJE RAZISKOVALNE IN INFORMATIVNE DEJAVNOSTI TER IZDELAVO PREDINVESTICIJSKIH IN INVESTICIJSKIH PROGRAMOV, LJUBLJANA, KOLODVORSKA 11</w:t>
            </w:r>
          </w:p>
        </w:tc>
      </w:tr>
      <w:tr w:rsidR="00F24E18" w14:paraId="35A1BB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554D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1559</w:t>
            </w:r>
          </w:p>
        </w:tc>
        <w:tc>
          <w:tcPr>
            <w:tcW w:w="1300" w:type="dxa"/>
            <w:tcBorders>
              <w:top w:val="nil"/>
              <w:left w:val="nil"/>
              <w:bottom w:val="single" w:sz="4" w:space="0" w:color="auto"/>
              <w:right w:val="single" w:sz="4" w:space="0" w:color="auto"/>
            </w:tcBorders>
            <w:vAlign w:val="center"/>
            <w:hideMark/>
          </w:tcPr>
          <w:p w14:paraId="538AD2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5127637000</w:t>
            </w:r>
          </w:p>
        </w:tc>
        <w:tc>
          <w:tcPr>
            <w:tcW w:w="1012" w:type="dxa"/>
            <w:tcBorders>
              <w:top w:val="nil"/>
              <w:left w:val="nil"/>
              <w:bottom w:val="single" w:sz="4" w:space="0" w:color="auto"/>
              <w:right w:val="single" w:sz="4" w:space="0" w:color="auto"/>
            </w:tcBorders>
            <w:vAlign w:val="center"/>
            <w:hideMark/>
          </w:tcPr>
          <w:p w14:paraId="0FBD88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66043131</w:t>
            </w:r>
          </w:p>
        </w:tc>
        <w:tc>
          <w:tcPr>
            <w:tcW w:w="5953" w:type="dxa"/>
            <w:tcBorders>
              <w:top w:val="nil"/>
              <w:left w:val="nil"/>
              <w:bottom w:val="single" w:sz="4" w:space="0" w:color="auto"/>
              <w:right w:val="single" w:sz="4" w:space="0" w:color="auto"/>
            </w:tcBorders>
            <w:noWrap/>
            <w:vAlign w:val="center"/>
            <w:hideMark/>
          </w:tcPr>
          <w:p w14:paraId="753CB9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BOVEC</w:t>
            </w:r>
          </w:p>
        </w:tc>
      </w:tr>
      <w:tr w:rsidR="00F24E18" w14:paraId="5F66E24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AD71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1560</w:t>
            </w:r>
          </w:p>
        </w:tc>
        <w:tc>
          <w:tcPr>
            <w:tcW w:w="1300" w:type="dxa"/>
            <w:tcBorders>
              <w:top w:val="nil"/>
              <w:left w:val="nil"/>
              <w:bottom w:val="single" w:sz="4" w:space="0" w:color="auto"/>
              <w:right w:val="single" w:sz="4" w:space="0" w:color="auto"/>
            </w:tcBorders>
            <w:vAlign w:val="center"/>
            <w:hideMark/>
          </w:tcPr>
          <w:p w14:paraId="50E700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5117798000</w:t>
            </w:r>
          </w:p>
        </w:tc>
        <w:tc>
          <w:tcPr>
            <w:tcW w:w="1012" w:type="dxa"/>
            <w:tcBorders>
              <w:top w:val="nil"/>
              <w:left w:val="nil"/>
              <w:bottom w:val="single" w:sz="4" w:space="0" w:color="auto"/>
              <w:right w:val="single" w:sz="4" w:space="0" w:color="auto"/>
            </w:tcBorders>
            <w:vAlign w:val="center"/>
            <w:hideMark/>
          </w:tcPr>
          <w:p w14:paraId="491B79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87828502</w:t>
            </w:r>
          </w:p>
        </w:tc>
        <w:tc>
          <w:tcPr>
            <w:tcW w:w="5953" w:type="dxa"/>
            <w:tcBorders>
              <w:top w:val="nil"/>
              <w:left w:val="nil"/>
              <w:bottom w:val="single" w:sz="4" w:space="0" w:color="auto"/>
              <w:right w:val="single" w:sz="4" w:space="0" w:color="auto"/>
            </w:tcBorders>
            <w:noWrap/>
            <w:vAlign w:val="center"/>
            <w:hideMark/>
          </w:tcPr>
          <w:p w14:paraId="3E0BA2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ČEČE TRBOVLJE</w:t>
            </w:r>
          </w:p>
        </w:tc>
      </w:tr>
      <w:tr w:rsidR="00F24E18" w14:paraId="039542F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043B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1561</w:t>
            </w:r>
          </w:p>
        </w:tc>
        <w:tc>
          <w:tcPr>
            <w:tcW w:w="1300" w:type="dxa"/>
            <w:tcBorders>
              <w:top w:val="nil"/>
              <w:left w:val="nil"/>
              <w:bottom w:val="single" w:sz="4" w:space="0" w:color="auto"/>
              <w:right w:val="single" w:sz="4" w:space="0" w:color="auto"/>
            </w:tcBorders>
            <w:vAlign w:val="center"/>
            <w:hideMark/>
          </w:tcPr>
          <w:p w14:paraId="026B78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5202485000</w:t>
            </w:r>
          </w:p>
        </w:tc>
        <w:tc>
          <w:tcPr>
            <w:tcW w:w="1012" w:type="dxa"/>
            <w:tcBorders>
              <w:top w:val="nil"/>
              <w:left w:val="nil"/>
              <w:bottom w:val="single" w:sz="4" w:space="0" w:color="auto"/>
              <w:right w:val="single" w:sz="4" w:space="0" w:color="auto"/>
            </w:tcBorders>
            <w:vAlign w:val="center"/>
            <w:hideMark/>
          </w:tcPr>
          <w:p w14:paraId="7001D3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74310615</w:t>
            </w:r>
          </w:p>
        </w:tc>
        <w:tc>
          <w:tcPr>
            <w:tcW w:w="5953" w:type="dxa"/>
            <w:tcBorders>
              <w:top w:val="nil"/>
              <w:left w:val="nil"/>
              <w:bottom w:val="single" w:sz="4" w:space="0" w:color="auto"/>
              <w:right w:val="single" w:sz="4" w:space="0" w:color="auto"/>
            </w:tcBorders>
            <w:noWrap/>
            <w:vAlign w:val="center"/>
            <w:hideMark/>
          </w:tcPr>
          <w:p w14:paraId="112CED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ČEPOVAN</w:t>
            </w:r>
          </w:p>
        </w:tc>
      </w:tr>
      <w:tr w:rsidR="00F24E18" w14:paraId="2FBB9E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365A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1562</w:t>
            </w:r>
          </w:p>
        </w:tc>
        <w:tc>
          <w:tcPr>
            <w:tcW w:w="1300" w:type="dxa"/>
            <w:tcBorders>
              <w:top w:val="nil"/>
              <w:left w:val="nil"/>
              <w:bottom w:val="single" w:sz="4" w:space="0" w:color="auto"/>
              <w:right w:val="single" w:sz="4" w:space="0" w:color="auto"/>
            </w:tcBorders>
            <w:vAlign w:val="center"/>
            <w:hideMark/>
          </w:tcPr>
          <w:p w14:paraId="104105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5128315000</w:t>
            </w:r>
          </w:p>
        </w:tc>
        <w:tc>
          <w:tcPr>
            <w:tcW w:w="1012" w:type="dxa"/>
            <w:tcBorders>
              <w:top w:val="nil"/>
              <w:left w:val="nil"/>
              <w:bottom w:val="single" w:sz="4" w:space="0" w:color="auto"/>
              <w:right w:val="single" w:sz="4" w:space="0" w:color="auto"/>
            </w:tcBorders>
            <w:vAlign w:val="center"/>
            <w:hideMark/>
          </w:tcPr>
          <w:p w14:paraId="297510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20358890</w:t>
            </w:r>
          </w:p>
        </w:tc>
        <w:tc>
          <w:tcPr>
            <w:tcW w:w="5953" w:type="dxa"/>
            <w:tcBorders>
              <w:top w:val="nil"/>
              <w:left w:val="nil"/>
              <w:bottom w:val="single" w:sz="4" w:space="0" w:color="auto"/>
              <w:right w:val="single" w:sz="4" w:space="0" w:color="auto"/>
            </w:tcBorders>
            <w:noWrap/>
            <w:vAlign w:val="center"/>
            <w:hideMark/>
          </w:tcPr>
          <w:p w14:paraId="0B113F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DEKANI</w:t>
            </w:r>
          </w:p>
        </w:tc>
      </w:tr>
      <w:tr w:rsidR="00F24E18" w14:paraId="1B65CA7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C712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1563</w:t>
            </w:r>
          </w:p>
        </w:tc>
        <w:tc>
          <w:tcPr>
            <w:tcW w:w="1300" w:type="dxa"/>
            <w:tcBorders>
              <w:top w:val="nil"/>
              <w:left w:val="nil"/>
              <w:bottom w:val="single" w:sz="4" w:space="0" w:color="auto"/>
              <w:right w:val="single" w:sz="4" w:space="0" w:color="auto"/>
            </w:tcBorders>
            <w:vAlign w:val="center"/>
            <w:hideMark/>
          </w:tcPr>
          <w:p w14:paraId="2F0F74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5115736000</w:t>
            </w:r>
          </w:p>
        </w:tc>
        <w:tc>
          <w:tcPr>
            <w:tcW w:w="1012" w:type="dxa"/>
            <w:tcBorders>
              <w:top w:val="nil"/>
              <w:left w:val="nil"/>
              <w:bottom w:val="single" w:sz="4" w:space="0" w:color="auto"/>
              <w:right w:val="single" w:sz="4" w:space="0" w:color="auto"/>
            </w:tcBorders>
            <w:vAlign w:val="center"/>
            <w:hideMark/>
          </w:tcPr>
          <w:p w14:paraId="7EE2E3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36444839</w:t>
            </w:r>
          </w:p>
        </w:tc>
        <w:tc>
          <w:tcPr>
            <w:tcW w:w="5953" w:type="dxa"/>
            <w:tcBorders>
              <w:top w:val="nil"/>
              <w:left w:val="nil"/>
              <w:bottom w:val="single" w:sz="4" w:space="0" w:color="auto"/>
              <w:right w:val="single" w:sz="4" w:space="0" w:color="auto"/>
            </w:tcBorders>
            <w:noWrap/>
            <w:vAlign w:val="center"/>
            <w:hideMark/>
          </w:tcPr>
          <w:p w14:paraId="614126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DOBRNA</w:t>
            </w:r>
          </w:p>
        </w:tc>
      </w:tr>
      <w:tr w:rsidR="00F24E18" w14:paraId="540C5F4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14B6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1564</w:t>
            </w:r>
          </w:p>
        </w:tc>
        <w:tc>
          <w:tcPr>
            <w:tcW w:w="1300" w:type="dxa"/>
            <w:tcBorders>
              <w:top w:val="nil"/>
              <w:left w:val="nil"/>
              <w:bottom w:val="single" w:sz="4" w:space="0" w:color="auto"/>
              <w:right w:val="single" w:sz="4" w:space="0" w:color="auto"/>
            </w:tcBorders>
            <w:noWrap/>
            <w:vAlign w:val="center"/>
            <w:hideMark/>
          </w:tcPr>
          <w:p w14:paraId="54A96D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5245176000</w:t>
            </w:r>
          </w:p>
        </w:tc>
        <w:tc>
          <w:tcPr>
            <w:tcW w:w="1012" w:type="dxa"/>
            <w:tcBorders>
              <w:top w:val="nil"/>
              <w:left w:val="nil"/>
              <w:bottom w:val="single" w:sz="4" w:space="0" w:color="auto"/>
              <w:right w:val="single" w:sz="4" w:space="0" w:color="auto"/>
            </w:tcBorders>
            <w:noWrap/>
            <w:vAlign w:val="center"/>
            <w:hideMark/>
          </w:tcPr>
          <w:p w14:paraId="02DD28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47827394</w:t>
            </w:r>
          </w:p>
        </w:tc>
        <w:tc>
          <w:tcPr>
            <w:tcW w:w="5953" w:type="dxa"/>
            <w:tcBorders>
              <w:top w:val="nil"/>
              <w:left w:val="nil"/>
              <w:bottom w:val="single" w:sz="4" w:space="0" w:color="auto"/>
              <w:right w:val="single" w:sz="4" w:space="0" w:color="auto"/>
            </w:tcBorders>
            <w:noWrap/>
            <w:vAlign w:val="center"/>
            <w:hideMark/>
          </w:tcPr>
          <w:p w14:paraId="795BDB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DRAVLJE</w:t>
            </w:r>
          </w:p>
        </w:tc>
      </w:tr>
      <w:tr w:rsidR="00F24E18" w14:paraId="654DAD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B017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1565</w:t>
            </w:r>
          </w:p>
        </w:tc>
        <w:tc>
          <w:tcPr>
            <w:tcW w:w="1300" w:type="dxa"/>
            <w:tcBorders>
              <w:top w:val="nil"/>
              <w:left w:val="nil"/>
              <w:bottom w:val="single" w:sz="4" w:space="0" w:color="auto"/>
              <w:right w:val="single" w:sz="4" w:space="0" w:color="auto"/>
            </w:tcBorders>
            <w:vAlign w:val="center"/>
            <w:hideMark/>
          </w:tcPr>
          <w:p w14:paraId="739030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5120888000</w:t>
            </w:r>
          </w:p>
        </w:tc>
        <w:tc>
          <w:tcPr>
            <w:tcW w:w="1012" w:type="dxa"/>
            <w:tcBorders>
              <w:top w:val="nil"/>
              <w:left w:val="nil"/>
              <w:bottom w:val="single" w:sz="4" w:space="0" w:color="auto"/>
              <w:right w:val="single" w:sz="4" w:space="0" w:color="auto"/>
            </w:tcBorders>
            <w:vAlign w:val="center"/>
            <w:hideMark/>
          </w:tcPr>
          <w:p w14:paraId="7D9EE0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28741021</w:t>
            </w:r>
          </w:p>
        </w:tc>
        <w:tc>
          <w:tcPr>
            <w:tcW w:w="5953" w:type="dxa"/>
            <w:tcBorders>
              <w:top w:val="nil"/>
              <w:left w:val="nil"/>
              <w:bottom w:val="single" w:sz="4" w:space="0" w:color="auto"/>
              <w:right w:val="single" w:sz="4" w:space="0" w:color="auto"/>
            </w:tcBorders>
            <w:noWrap/>
            <w:vAlign w:val="center"/>
            <w:hideMark/>
          </w:tcPr>
          <w:p w14:paraId="530AED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DVORJANE</w:t>
            </w:r>
          </w:p>
        </w:tc>
      </w:tr>
      <w:tr w:rsidR="00F24E18" w14:paraId="49D2BB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FDD1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1566</w:t>
            </w:r>
          </w:p>
        </w:tc>
        <w:tc>
          <w:tcPr>
            <w:tcW w:w="1300" w:type="dxa"/>
            <w:tcBorders>
              <w:top w:val="nil"/>
              <w:left w:val="nil"/>
              <w:bottom w:val="single" w:sz="4" w:space="0" w:color="auto"/>
              <w:right w:val="single" w:sz="4" w:space="0" w:color="auto"/>
            </w:tcBorders>
            <w:vAlign w:val="center"/>
            <w:hideMark/>
          </w:tcPr>
          <w:p w14:paraId="776422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5102707000</w:t>
            </w:r>
          </w:p>
        </w:tc>
        <w:tc>
          <w:tcPr>
            <w:tcW w:w="1012" w:type="dxa"/>
            <w:tcBorders>
              <w:top w:val="nil"/>
              <w:left w:val="nil"/>
              <w:bottom w:val="single" w:sz="4" w:space="0" w:color="auto"/>
              <w:right w:val="single" w:sz="4" w:space="0" w:color="auto"/>
            </w:tcBorders>
            <w:vAlign w:val="center"/>
            <w:hideMark/>
          </w:tcPr>
          <w:p w14:paraId="577AC6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36080683</w:t>
            </w:r>
          </w:p>
        </w:tc>
        <w:tc>
          <w:tcPr>
            <w:tcW w:w="5953" w:type="dxa"/>
            <w:tcBorders>
              <w:top w:val="nil"/>
              <w:left w:val="nil"/>
              <w:bottom w:val="single" w:sz="4" w:space="0" w:color="auto"/>
              <w:right w:val="single" w:sz="4" w:space="0" w:color="auto"/>
            </w:tcBorders>
            <w:noWrap/>
            <w:vAlign w:val="center"/>
            <w:hideMark/>
          </w:tcPr>
          <w:p w14:paraId="1C1E19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FRANKOLOVO</w:t>
            </w:r>
          </w:p>
        </w:tc>
      </w:tr>
      <w:tr w:rsidR="00F24E18" w14:paraId="76858F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8242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1567</w:t>
            </w:r>
          </w:p>
        </w:tc>
        <w:tc>
          <w:tcPr>
            <w:tcW w:w="1300" w:type="dxa"/>
            <w:tcBorders>
              <w:top w:val="nil"/>
              <w:left w:val="nil"/>
              <w:bottom w:val="single" w:sz="4" w:space="0" w:color="auto"/>
              <w:right w:val="single" w:sz="4" w:space="0" w:color="auto"/>
            </w:tcBorders>
            <w:vAlign w:val="center"/>
            <w:hideMark/>
          </w:tcPr>
          <w:p w14:paraId="043883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5219345000</w:t>
            </w:r>
          </w:p>
        </w:tc>
        <w:tc>
          <w:tcPr>
            <w:tcW w:w="1012" w:type="dxa"/>
            <w:tcBorders>
              <w:top w:val="nil"/>
              <w:left w:val="nil"/>
              <w:bottom w:val="single" w:sz="4" w:space="0" w:color="auto"/>
              <w:right w:val="single" w:sz="4" w:space="0" w:color="auto"/>
            </w:tcBorders>
            <w:vAlign w:val="center"/>
            <w:hideMark/>
          </w:tcPr>
          <w:p w14:paraId="071631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30452619</w:t>
            </w:r>
          </w:p>
        </w:tc>
        <w:tc>
          <w:tcPr>
            <w:tcW w:w="5953" w:type="dxa"/>
            <w:tcBorders>
              <w:top w:val="nil"/>
              <w:left w:val="nil"/>
              <w:bottom w:val="single" w:sz="4" w:space="0" w:color="auto"/>
              <w:right w:val="single" w:sz="4" w:space="0" w:color="auto"/>
            </w:tcBorders>
            <w:noWrap/>
            <w:vAlign w:val="center"/>
            <w:hideMark/>
          </w:tcPr>
          <w:p w14:paraId="797AC9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GABROVKA</w:t>
            </w:r>
          </w:p>
        </w:tc>
      </w:tr>
      <w:tr w:rsidR="00F24E18" w14:paraId="46A314C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F069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1568</w:t>
            </w:r>
          </w:p>
        </w:tc>
        <w:tc>
          <w:tcPr>
            <w:tcW w:w="1300" w:type="dxa"/>
            <w:tcBorders>
              <w:top w:val="nil"/>
              <w:left w:val="nil"/>
              <w:bottom w:val="single" w:sz="4" w:space="0" w:color="auto"/>
              <w:right w:val="single" w:sz="4" w:space="0" w:color="auto"/>
            </w:tcBorders>
            <w:noWrap/>
            <w:vAlign w:val="center"/>
            <w:hideMark/>
          </w:tcPr>
          <w:p w14:paraId="2DFF75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5135125000</w:t>
            </w:r>
          </w:p>
        </w:tc>
        <w:tc>
          <w:tcPr>
            <w:tcW w:w="1012" w:type="dxa"/>
            <w:tcBorders>
              <w:top w:val="nil"/>
              <w:left w:val="nil"/>
              <w:bottom w:val="single" w:sz="4" w:space="0" w:color="auto"/>
              <w:right w:val="single" w:sz="4" w:space="0" w:color="auto"/>
            </w:tcBorders>
            <w:noWrap/>
            <w:vAlign w:val="center"/>
            <w:hideMark/>
          </w:tcPr>
          <w:p w14:paraId="3C4228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47992549</w:t>
            </w:r>
          </w:p>
        </w:tc>
        <w:tc>
          <w:tcPr>
            <w:tcW w:w="5953" w:type="dxa"/>
            <w:tcBorders>
              <w:top w:val="nil"/>
              <w:left w:val="nil"/>
              <w:bottom w:val="single" w:sz="4" w:space="0" w:color="auto"/>
              <w:right w:val="single" w:sz="4" w:space="0" w:color="auto"/>
            </w:tcBorders>
            <w:noWrap/>
            <w:vAlign w:val="center"/>
            <w:hideMark/>
          </w:tcPr>
          <w:p w14:paraId="511250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GAMELJNE</w:t>
            </w:r>
          </w:p>
        </w:tc>
      </w:tr>
      <w:tr w:rsidR="00F24E18" w14:paraId="162998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60C0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1569</w:t>
            </w:r>
          </w:p>
        </w:tc>
        <w:tc>
          <w:tcPr>
            <w:tcW w:w="1300" w:type="dxa"/>
            <w:tcBorders>
              <w:top w:val="nil"/>
              <w:left w:val="nil"/>
              <w:bottom w:val="single" w:sz="4" w:space="0" w:color="auto"/>
              <w:right w:val="single" w:sz="4" w:space="0" w:color="auto"/>
            </w:tcBorders>
            <w:vAlign w:val="center"/>
            <w:hideMark/>
          </w:tcPr>
          <w:p w14:paraId="0FD34B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5080509000</w:t>
            </w:r>
          </w:p>
        </w:tc>
        <w:tc>
          <w:tcPr>
            <w:tcW w:w="1012" w:type="dxa"/>
            <w:tcBorders>
              <w:top w:val="nil"/>
              <w:left w:val="nil"/>
              <w:bottom w:val="single" w:sz="4" w:space="0" w:color="auto"/>
              <w:right w:val="single" w:sz="4" w:space="0" w:color="auto"/>
            </w:tcBorders>
            <w:vAlign w:val="center"/>
            <w:hideMark/>
          </w:tcPr>
          <w:p w14:paraId="380930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59674539</w:t>
            </w:r>
          </w:p>
        </w:tc>
        <w:tc>
          <w:tcPr>
            <w:tcW w:w="5953" w:type="dxa"/>
            <w:tcBorders>
              <w:top w:val="nil"/>
              <w:left w:val="nil"/>
              <w:bottom w:val="single" w:sz="4" w:space="0" w:color="auto"/>
              <w:right w:val="single" w:sz="4" w:space="0" w:color="auto"/>
            </w:tcBorders>
            <w:noWrap/>
            <w:vAlign w:val="center"/>
            <w:hideMark/>
          </w:tcPr>
          <w:p w14:paraId="539BAC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GORJE</w:t>
            </w:r>
          </w:p>
        </w:tc>
      </w:tr>
      <w:tr w:rsidR="00F24E18" w14:paraId="6648723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CCA2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1570</w:t>
            </w:r>
          </w:p>
        </w:tc>
        <w:tc>
          <w:tcPr>
            <w:tcW w:w="1300" w:type="dxa"/>
            <w:tcBorders>
              <w:top w:val="nil"/>
              <w:left w:val="nil"/>
              <w:bottom w:val="single" w:sz="4" w:space="0" w:color="auto"/>
              <w:right w:val="single" w:sz="4" w:space="0" w:color="auto"/>
            </w:tcBorders>
            <w:vAlign w:val="center"/>
            <w:hideMark/>
          </w:tcPr>
          <w:p w14:paraId="498B51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5162050000</w:t>
            </w:r>
          </w:p>
        </w:tc>
        <w:tc>
          <w:tcPr>
            <w:tcW w:w="1012" w:type="dxa"/>
            <w:tcBorders>
              <w:top w:val="nil"/>
              <w:left w:val="nil"/>
              <w:bottom w:val="single" w:sz="4" w:space="0" w:color="auto"/>
              <w:right w:val="single" w:sz="4" w:space="0" w:color="auto"/>
            </w:tcBorders>
            <w:vAlign w:val="center"/>
            <w:hideMark/>
          </w:tcPr>
          <w:p w14:paraId="00C166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44862741</w:t>
            </w:r>
          </w:p>
        </w:tc>
        <w:tc>
          <w:tcPr>
            <w:tcW w:w="5953" w:type="dxa"/>
            <w:tcBorders>
              <w:top w:val="nil"/>
              <w:left w:val="nil"/>
              <w:bottom w:val="single" w:sz="4" w:space="0" w:color="auto"/>
              <w:right w:val="single" w:sz="4" w:space="0" w:color="auto"/>
            </w:tcBorders>
            <w:noWrap/>
            <w:vAlign w:val="center"/>
            <w:hideMark/>
          </w:tcPr>
          <w:p w14:paraId="168ACF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ILIRSKA BISTRICA</w:t>
            </w:r>
          </w:p>
        </w:tc>
      </w:tr>
      <w:tr w:rsidR="00F24E18" w14:paraId="65784E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529D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1571</w:t>
            </w:r>
          </w:p>
        </w:tc>
        <w:tc>
          <w:tcPr>
            <w:tcW w:w="1300" w:type="dxa"/>
            <w:tcBorders>
              <w:top w:val="nil"/>
              <w:left w:val="nil"/>
              <w:bottom w:val="single" w:sz="4" w:space="0" w:color="auto"/>
              <w:right w:val="single" w:sz="4" w:space="0" w:color="auto"/>
            </w:tcBorders>
            <w:vAlign w:val="center"/>
            <w:hideMark/>
          </w:tcPr>
          <w:p w14:paraId="7065C7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5151813000</w:t>
            </w:r>
          </w:p>
        </w:tc>
        <w:tc>
          <w:tcPr>
            <w:tcW w:w="1012" w:type="dxa"/>
            <w:tcBorders>
              <w:top w:val="nil"/>
              <w:left w:val="nil"/>
              <w:bottom w:val="single" w:sz="4" w:space="0" w:color="auto"/>
              <w:right w:val="single" w:sz="4" w:space="0" w:color="auto"/>
            </w:tcBorders>
            <w:vAlign w:val="center"/>
            <w:hideMark/>
          </w:tcPr>
          <w:p w14:paraId="0BAC23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82251061</w:t>
            </w:r>
          </w:p>
        </w:tc>
        <w:tc>
          <w:tcPr>
            <w:tcW w:w="5953" w:type="dxa"/>
            <w:tcBorders>
              <w:top w:val="nil"/>
              <w:left w:val="nil"/>
              <w:bottom w:val="single" w:sz="4" w:space="0" w:color="auto"/>
              <w:right w:val="single" w:sz="4" w:space="0" w:color="auto"/>
            </w:tcBorders>
            <w:noWrap/>
            <w:vAlign w:val="center"/>
            <w:hideMark/>
          </w:tcPr>
          <w:p w14:paraId="65E38B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JESENICE</w:t>
            </w:r>
          </w:p>
        </w:tc>
      </w:tr>
      <w:tr w:rsidR="00F24E18" w14:paraId="74960B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67B8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1572</w:t>
            </w:r>
          </w:p>
        </w:tc>
        <w:tc>
          <w:tcPr>
            <w:tcW w:w="1300" w:type="dxa"/>
            <w:tcBorders>
              <w:top w:val="nil"/>
              <w:left w:val="nil"/>
              <w:bottom w:val="single" w:sz="4" w:space="0" w:color="auto"/>
              <w:right w:val="single" w:sz="4" w:space="0" w:color="auto"/>
            </w:tcBorders>
            <w:noWrap/>
            <w:vAlign w:val="center"/>
            <w:hideMark/>
          </w:tcPr>
          <w:p w14:paraId="4D161F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5162742000</w:t>
            </w:r>
          </w:p>
        </w:tc>
        <w:tc>
          <w:tcPr>
            <w:tcW w:w="1012" w:type="dxa"/>
            <w:tcBorders>
              <w:top w:val="nil"/>
              <w:left w:val="nil"/>
              <w:bottom w:val="single" w:sz="4" w:space="0" w:color="auto"/>
              <w:right w:val="single" w:sz="4" w:space="0" w:color="auto"/>
            </w:tcBorders>
            <w:noWrap/>
            <w:vAlign w:val="center"/>
            <w:hideMark/>
          </w:tcPr>
          <w:p w14:paraId="64D13C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80339905</w:t>
            </w:r>
          </w:p>
        </w:tc>
        <w:tc>
          <w:tcPr>
            <w:tcW w:w="5953" w:type="dxa"/>
            <w:tcBorders>
              <w:top w:val="nil"/>
              <w:left w:val="nil"/>
              <w:bottom w:val="single" w:sz="4" w:space="0" w:color="auto"/>
              <w:right w:val="single" w:sz="4" w:space="0" w:color="auto"/>
            </w:tcBorders>
            <w:noWrap/>
            <w:vAlign w:val="center"/>
            <w:hideMark/>
          </w:tcPr>
          <w:p w14:paraId="4A09C9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JEŽICA</w:t>
            </w:r>
          </w:p>
        </w:tc>
      </w:tr>
      <w:tr w:rsidR="00F24E18" w14:paraId="2E0BB00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3206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1573</w:t>
            </w:r>
          </w:p>
        </w:tc>
        <w:tc>
          <w:tcPr>
            <w:tcW w:w="1300" w:type="dxa"/>
            <w:tcBorders>
              <w:top w:val="nil"/>
              <w:left w:val="nil"/>
              <w:bottom w:val="single" w:sz="4" w:space="0" w:color="auto"/>
              <w:right w:val="single" w:sz="4" w:space="0" w:color="auto"/>
            </w:tcBorders>
            <w:vAlign w:val="center"/>
            <w:hideMark/>
          </w:tcPr>
          <w:p w14:paraId="093E98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5162521000</w:t>
            </w:r>
          </w:p>
        </w:tc>
        <w:tc>
          <w:tcPr>
            <w:tcW w:w="1012" w:type="dxa"/>
            <w:tcBorders>
              <w:top w:val="nil"/>
              <w:left w:val="nil"/>
              <w:bottom w:val="single" w:sz="4" w:space="0" w:color="auto"/>
              <w:right w:val="single" w:sz="4" w:space="0" w:color="auto"/>
            </w:tcBorders>
            <w:vAlign w:val="center"/>
            <w:hideMark/>
          </w:tcPr>
          <w:p w14:paraId="4171A5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77091574</w:t>
            </w:r>
          </w:p>
        </w:tc>
        <w:tc>
          <w:tcPr>
            <w:tcW w:w="5953" w:type="dxa"/>
            <w:tcBorders>
              <w:top w:val="nil"/>
              <w:left w:val="nil"/>
              <w:bottom w:val="single" w:sz="4" w:space="0" w:color="auto"/>
              <w:right w:val="single" w:sz="4" w:space="0" w:color="auto"/>
            </w:tcBorders>
            <w:noWrap/>
            <w:vAlign w:val="center"/>
            <w:hideMark/>
          </w:tcPr>
          <w:p w14:paraId="3FEE24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KLEK</w:t>
            </w:r>
          </w:p>
        </w:tc>
      </w:tr>
      <w:tr w:rsidR="00F24E18" w14:paraId="39E759A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6DCA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1574</w:t>
            </w:r>
          </w:p>
        </w:tc>
        <w:tc>
          <w:tcPr>
            <w:tcW w:w="1300" w:type="dxa"/>
            <w:tcBorders>
              <w:top w:val="nil"/>
              <w:left w:val="nil"/>
              <w:bottom w:val="single" w:sz="4" w:space="0" w:color="auto"/>
              <w:right w:val="single" w:sz="4" w:space="0" w:color="auto"/>
            </w:tcBorders>
            <w:vAlign w:val="center"/>
            <w:hideMark/>
          </w:tcPr>
          <w:p w14:paraId="3C0419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5155355000</w:t>
            </w:r>
          </w:p>
        </w:tc>
        <w:tc>
          <w:tcPr>
            <w:tcW w:w="1012" w:type="dxa"/>
            <w:tcBorders>
              <w:top w:val="nil"/>
              <w:left w:val="nil"/>
              <w:bottom w:val="single" w:sz="4" w:space="0" w:color="auto"/>
              <w:right w:val="single" w:sz="4" w:space="0" w:color="auto"/>
            </w:tcBorders>
            <w:vAlign w:val="center"/>
            <w:hideMark/>
          </w:tcPr>
          <w:p w14:paraId="0459AD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24629553</w:t>
            </w:r>
          </w:p>
        </w:tc>
        <w:tc>
          <w:tcPr>
            <w:tcW w:w="5953" w:type="dxa"/>
            <w:tcBorders>
              <w:top w:val="nil"/>
              <w:left w:val="nil"/>
              <w:bottom w:val="single" w:sz="4" w:space="0" w:color="auto"/>
              <w:right w:val="single" w:sz="4" w:space="0" w:color="auto"/>
            </w:tcBorders>
            <w:noWrap/>
            <w:vAlign w:val="center"/>
            <w:hideMark/>
          </w:tcPr>
          <w:p w14:paraId="7F5D50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KOČEVJE</w:t>
            </w:r>
          </w:p>
        </w:tc>
      </w:tr>
      <w:tr w:rsidR="00F24E18" w14:paraId="2770BB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6668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1575</w:t>
            </w:r>
          </w:p>
        </w:tc>
        <w:tc>
          <w:tcPr>
            <w:tcW w:w="1300" w:type="dxa"/>
            <w:tcBorders>
              <w:top w:val="nil"/>
              <w:left w:val="nil"/>
              <w:bottom w:val="single" w:sz="4" w:space="0" w:color="auto"/>
              <w:right w:val="single" w:sz="4" w:space="0" w:color="auto"/>
            </w:tcBorders>
            <w:vAlign w:val="center"/>
            <w:hideMark/>
          </w:tcPr>
          <w:p w14:paraId="22CF6F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5136768000</w:t>
            </w:r>
          </w:p>
        </w:tc>
        <w:tc>
          <w:tcPr>
            <w:tcW w:w="1012" w:type="dxa"/>
            <w:tcBorders>
              <w:top w:val="nil"/>
              <w:left w:val="nil"/>
              <w:bottom w:val="single" w:sz="4" w:space="0" w:color="auto"/>
              <w:right w:val="single" w:sz="4" w:space="0" w:color="auto"/>
            </w:tcBorders>
            <w:vAlign w:val="center"/>
            <w:hideMark/>
          </w:tcPr>
          <w:p w14:paraId="0AEA7C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42316502</w:t>
            </w:r>
          </w:p>
        </w:tc>
        <w:tc>
          <w:tcPr>
            <w:tcW w:w="5953" w:type="dxa"/>
            <w:tcBorders>
              <w:top w:val="nil"/>
              <w:left w:val="nil"/>
              <w:bottom w:val="single" w:sz="4" w:space="0" w:color="auto"/>
              <w:right w:val="single" w:sz="4" w:space="0" w:color="auto"/>
            </w:tcBorders>
            <w:noWrap/>
            <w:vAlign w:val="center"/>
            <w:hideMark/>
          </w:tcPr>
          <w:p w14:paraId="60C2AC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KOSTANJEVICA NA KRASU</w:t>
            </w:r>
          </w:p>
        </w:tc>
      </w:tr>
      <w:tr w:rsidR="00F24E18" w14:paraId="7FD3DC4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D692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1576</w:t>
            </w:r>
          </w:p>
        </w:tc>
        <w:tc>
          <w:tcPr>
            <w:tcW w:w="1300" w:type="dxa"/>
            <w:tcBorders>
              <w:top w:val="nil"/>
              <w:left w:val="nil"/>
              <w:bottom w:val="single" w:sz="4" w:space="0" w:color="auto"/>
              <w:right w:val="single" w:sz="4" w:space="0" w:color="auto"/>
            </w:tcBorders>
            <w:noWrap/>
            <w:vAlign w:val="center"/>
            <w:hideMark/>
          </w:tcPr>
          <w:p w14:paraId="04B9EA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5219531000</w:t>
            </w:r>
          </w:p>
        </w:tc>
        <w:tc>
          <w:tcPr>
            <w:tcW w:w="1012" w:type="dxa"/>
            <w:tcBorders>
              <w:top w:val="nil"/>
              <w:left w:val="nil"/>
              <w:bottom w:val="single" w:sz="4" w:space="0" w:color="auto"/>
              <w:right w:val="single" w:sz="4" w:space="0" w:color="auto"/>
            </w:tcBorders>
            <w:noWrap/>
            <w:vAlign w:val="center"/>
            <w:hideMark/>
          </w:tcPr>
          <w:p w14:paraId="6B6DCA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21906513</w:t>
            </w:r>
          </w:p>
        </w:tc>
        <w:tc>
          <w:tcPr>
            <w:tcW w:w="5953" w:type="dxa"/>
            <w:tcBorders>
              <w:top w:val="nil"/>
              <w:left w:val="nil"/>
              <w:bottom w:val="single" w:sz="4" w:space="0" w:color="auto"/>
              <w:right w:val="single" w:sz="4" w:space="0" w:color="auto"/>
            </w:tcBorders>
            <w:noWrap/>
            <w:vAlign w:val="center"/>
            <w:hideMark/>
          </w:tcPr>
          <w:p w14:paraId="6E103B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KOZARJE</w:t>
            </w:r>
          </w:p>
        </w:tc>
      </w:tr>
      <w:tr w:rsidR="00F24E18" w14:paraId="34762A2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B571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1577</w:t>
            </w:r>
          </w:p>
        </w:tc>
        <w:tc>
          <w:tcPr>
            <w:tcW w:w="1300" w:type="dxa"/>
            <w:tcBorders>
              <w:top w:val="nil"/>
              <w:left w:val="nil"/>
              <w:bottom w:val="single" w:sz="4" w:space="0" w:color="auto"/>
              <w:right w:val="single" w:sz="4" w:space="0" w:color="auto"/>
            </w:tcBorders>
            <w:noWrap/>
            <w:vAlign w:val="center"/>
            <w:hideMark/>
          </w:tcPr>
          <w:p w14:paraId="34E029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5134161000</w:t>
            </w:r>
          </w:p>
        </w:tc>
        <w:tc>
          <w:tcPr>
            <w:tcW w:w="1012" w:type="dxa"/>
            <w:tcBorders>
              <w:top w:val="nil"/>
              <w:left w:val="nil"/>
              <w:bottom w:val="single" w:sz="4" w:space="0" w:color="auto"/>
              <w:right w:val="single" w:sz="4" w:space="0" w:color="auto"/>
            </w:tcBorders>
            <w:noWrap/>
            <w:vAlign w:val="center"/>
            <w:hideMark/>
          </w:tcPr>
          <w:p w14:paraId="16977C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54318068</w:t>
            </w:r>
          </w:p>
        </w:tc>
        <w:tc>
          <w:tcPr>
            <w:tcW w:w="5953" w:type="dxa"/>
            <w:tcBorders>
              <w:top w:val="nil"/>
              <w:left w:val="nil"/>
              <w:bottom w:val="single" w:sz="4" w:space="0" w:color="auto"/>
              <w:right w:val="single" w:sz="4" w:space="0" w:color="auto"/>
            </w:tcBorders>
            <w:noWrap/>
            <w:vAlign w:val="center"/>
            <w:hideMark/>
          </w:tcPr>
          <w:p w14:paraId="4C8F67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LJUBLJANA - TRNOVO</w:t>
            </w:r>
          </w:p>
        </w:tc>
      </w:tr>
      <w:tr w:rsidR="00F24E18" w14:paraId="034C0F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3BD6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1578</w:t>
            </w:r>
          </w:p>
        </w:tc>
        <w:tc>
          <w:tcPr>
            <w:tcW w:w="1300" w:type="dxa"/>
            <w:tcBorders>
              <w:top w:val="nil"/>
              <w:left w:val="nil"/>
              <w:bottom w:val="single" w:sz="4" w:space="0" w:color="auto"/>
              <w:right w:val="single" w:sz="4" w:space="0" w:color="auto"/>
            </w:tcBorders>
            <w:noWrap/>
            <w:vAlign w:val="center"/>
            <w:hideMark/>
          </w:tcPr>
          <w:p w14:paraId="76AE94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5135834000</w:t>
            </w:r>
          </w:p>
        </w:tc>
        <w:tc>
          <w:tcPr>
            <w:tcW w:w="1012" w:type="dxa"/>
            <w:tcBorders>
              <w:top w:val="nil"/>
              <w:left w:val="nil"/>
              <w:bottom w:val="single" w:sz="4" w:space="0" w:color="auto"/>
              <w:right w:val="single" w:sz="4" w:space="0" w:color="auto"/>
            </w:tcBorders>
            <w:noWrap/>
            <w:vAlign w:val="center"/>
            <w:hideMark/>
          </w:tcPr>
          <w:p w14:paraId="228BB4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54774845</w:t>
            </w:r>
          </w:p>
        </w:tc>
        <w:tc>
          <w:tcPr>
            <w:tcW w:w="5953" w:type="dxa"/>
            <w:tcBorders>
              <w:top w:val="nil"/>
              <w:left w:val="nil"/>
              <w:bottom w:val="single" w:sz="4" w:space="0" w:color="auto"/>
              <w:right w:val="single" w:sz="4" w:space="0" w:color="auto"/>
            </w:tcBorders>
            <w:noWrap/>
            <w:vAlign w:val="center"/>
            <w:hideMark/>
          </w:tcPr>
          <w:p w14:paraId="64AAB0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LJUBLJANA - VIČ</w:t>
            </w:r>
          </w:p>
        </w:tc>
      </w:tr>
      <w:tr w:rsidR="00F24E18" w14:paraId="794EF12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06A8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1579</w:t>
            </w:r>
          </w:p>
        </w:tc>
        <w:tc>
          <w:tcPr>
            <w:tcW w:w="1300" w:type="dxa"/>
            <w:tcBorders>
              <w:top w:val="nil"/>
              <w:left w:val="nil"/>
              <w:bottom w:val="single" w:sz="4" w:space="0" w:color="auto"/>
              <w:right w:val="single" w:sz="4" w:space="0" w:color="auto"/>
            </w:tcBorders>
            <w:noWrap/>
            <w:vAlign w:val="center"/>
            <w:hideMark/>
          </w:tcPr>
          <w:p w14:paraId="527180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5236444000</w:t>
            </w:r>
          </w:p>
        </w:tc>
        <w:tc>
          <w:tcPr>
            <w:tcW w:w="1012" w:type="dxa"/>
            <w:tcBorders>
              <w:top w:val="nil"/>
              <w:left w:val="nil"/>
              <w:bottom w:val="single" w:sz="4" w:space="0" w:color="auto"/>
              <w:right w:val="single" w:sz="4" w:space="0" w:color="auto"/>
            </w:tcBorders>
            <w:noWrap/>
            <w:vAlign w:val="center"/>
            <w:hideMark/>
          </w:tcPr>
          <w:p w14:paraId="675623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37569937</w:t>
            </w:r>
          </w:p>
        </w:tc>
        <w:tc>
          <w:tcPr>
            <w:tcW w:w="5953" w:type="dxa"/>
            <w:tcBorders>
              <w:top w:val="nil"/>
              <w:left w:val="nil"/>
              <w:bottom w:val="single" w:sz="4" w:space="0" w:color="auto"/>
              <w:right w:val="single" w:sz="4" w:space="0" w:color="auto"/>
            </w:tcBorders>
            <w:noWrap/>
            <w:vAlign w:val="center"/>
            <w:hideMark/>
          </w:tcPr>
          <w:p w14:paraId="6E9C32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LJUBLJANA BARJE</w:t>
            </w:r>
          </w:p>
        </w:tc>
      </w:tr>
      <w:tr w:rsidR="00F24E18" w14:paraId="29DE15E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8634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1580</w:t>
            </w:r>
          </w:p>
        </w:tc>
        <w:tc>
          <w:tcPr>
            <w:tcW w:w="1300" w:type="dxa"/>
            <w:tcBorders>
              <w:top w:val="nil"/>
              <w:left w:val="nil"/>
              <w:bottom w:val="single" w:sz="4" w:space="0" w:color="auto"/>
              <w:right w:val="single" w:sz="4" w:space="0" w:color="auto"/>
            </w:tcBorders>
            <w:vAlign w:val="center"/>
            <w:hideMark/>
          </w:tcPr>
          <w:p w14:paraId="0B9993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5010748000</w:t>
            </w:r>
          </w:p>
        </w:tc>
        <w:tc>
          <w:tcPr>
            <w:tcW w:w="1012" w:type="dxa"/>
            <w:tcBorders>
              <w:top w:val="nil"/>
              <w:left w:val="nil"/>
              <w:bottom w:val="single" w:sz="4" w:space="0" w:color="auto"/>
              <w:right w:val="single" w:sz="4" w:space="0" w:color="auto"/>
            </w:tcBorders>
            <w:vAlign w:val="center"/>
            <w:hideMark/>
          </w:tcPr>
          <w:p w14:paraId="1DBF76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84322527</w:t>
            </w:r>
          </w:p>
        </w:tc>
        <w:tc>
          <w:tcPr>
            <w:tcW w:w="5953" w:type="dxa"/>
            <w:tcBorders>
              <w:top w:val="nil"/>
              <w:left w:val="nil"/>
              <w:bottom w:val="single" w:sz="4" w:space="0" w:color="auto"/>
              <w:right w:val="single" w:sz="4" w:space="0" w:color="auto"/>
            </w:tcBorders>
            <w:noWrap/>
            <w:vAlign w:val="center"/>
            <w:hideMark/>
          </w:tcPr>
          <w:p w14:paraId="553694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LJUTOMER</w:t>
            </w:r>
          </w:p>
        </w:tc>
      </w:tr>
      <w:tr w:rsidR="00F24E18" w14:paraId="5DD35BE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FA02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1581</w:t>
            </w:r>
          </w:p>
        </w:tc>
        <w:tc>
          <w:tcPr>
            <w:tcW w:w="1300" w:type="dxa"/>
            <w:tcBorders>
              <w:top w:val="nil"/>
              <w:left w:val="nil"/>
              <w:bottom w:val="single" w:sz="4" w:space="0" w:color="auto"/>
              <w:right w:val="single" w:sz="4" w:space="0" w:color="auto"/>
            </w:tcBorders>
            <w:noWrap/>
            <w:vAlign w:val="center"/>
            <w:hideMark/>
          </w:tcPr>
          <w:p w14:paraId="5D37FC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5230446000</w:t>
            </w:r>
          </w:p>
        </w:tc>
        <w:tc>
          <w:tcPr>
            <w:tcW w:w="1012" w:type="dxa"/>
            <w:tcBorders>
              <w:top w:val="nil"/>
              <w:left w:val="nil"/>
              <w:bottom w:val="single" w:sz="4" w:space="0" w:color="auto"/>
              <w:right w:val="single" w:sz="4" w:space="0" w:color="auto"/>
            </w:tcBorders>
            <w:noWrap/>
            <w:vAlign w:val="center"/>
            <w:hideMark/>
          </w:tcPr>
          <w:p w14:paraId="47E725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54921651</w:t>
            </w:r>
          </w:p>
        </w:tc>
        <w:tc>
          <w:tcPr>
            <w:tcW w:w="5953" w:type="dxa"/>
            <w:tcBorders>
              <w:top w:val="nil"/>
              <w:left w:val="nil"/>
              <w:bottom w:val="single" w:sz="4" w:space="0" w:color="auto"/>
              <w:right w:val="single" w:sz="4" w:space="0" w:color="auto"/>
            </w:tcBorders>
            <w:noWrap/>
            <w:vAlign w:val="center"/>
            <w:hideMark/>
          </w:tcPr>
          <w:p w14:paraId="099615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NADGORICA</w:t>
            </w:r>
          </w:p>
        </w:tc>
      </w:tr>
      <w:tr w:rsidR="00F24E18" w14:paraId="3BBE84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7928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1582</w:t>
            </w:r>
          </w:p>
        </w:tc>
        <w:tc>
          <w:tcPr>
            <w:tcW w:w="1300" w:type="dxa"/>
            <w:tcBorders>
              <w:top w:val="nil"/>
              <w:left w:val="nil"/>
              <w:bottom w:val="single" w:sz="4" w:space="0" w:color="auto"/>
              <w:right w:val="single" w:sz="4" w:space="0" w:color="auto"/>
            </w:tcBorders>
            <w:vAlign w:val="center"/>
            <w:hideMark/>
          </w:tcPr>
          <w:p w14:paraId="130AD5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5097746000</w:t>
            </w:r>
          </w:p>
        </w:tc>
        <w:tc>
          <w:tcPr>
            <w:tcW w:w="1012" w:type="dxa"/>
            <w:tcBorders>
              <w:top w:val="nil"/>
              <w:left w:val="nil"/>
              <w:bottom w:val="single" w:sz="4" w:space="0" w:color="auto"/>
              <w:right w:val="single" w:sz="4" w:space="0" w:color="auto"/>
            </w:tcBorders>
            <w:vAlign w:val="center"/>
            <w:hideMark/>
          </w:tcPr>
          <w:p w14:paraId="21A2FD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31801277</w:t>
            </w:r>
          </w:p>
        </w:tc>
        <w:tc>
          <w:tcPr>
            <w:tcW w:w="5953" w:type="dxa"/>
            <w:tcBorders>
              <w:top w:val="nil"/>
              <w:left w:val="nil"/>
              <w:bottom w:val="single" w:sz="4" w:space="0" w:color="auto"/>
              <w:right w:val="single" w:sz="4" w:space="0" w:color="auto"/>
            </w:tcBorders>
            <w:noWrap/>
            <w:vAlign w:val="center"/>
            <w:hideMark/>
          </w:tcPr>
          <w:p w14:paraId="04D35D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NOVA CERKEV</w:t>
            </w:r>
          </w:p>
        </w:tc>
      </w:tr>
      <w:tr w:rsidR="00F24E18" w14:paraId="4DA01E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F89D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1583</w:t>
            </w:r>
          </w:p>
        </w:tc>
        <w:tc>
          <w:tcPr>
            <w:tcW w:w="1300" w:type="dxa"/>
            <w:tcBorders>
              <w:top w:val="nil"/>
              <w:left w:val="nil"/>
              <w:bottom w:val="single" w:sz="4" w:space="0" w:color="auto"/>
              <w:right w:val="single" w:sz="4" w:space="0" w:color="auto"/>
            </w:tcBorders>
            <w:noWrap/>
            <w:vAlign w:val="center"/>
            <w:hideMark/>
          </w:tcPr>
          <w:p w14:paraId="5AC24E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5202990000</w:t>
            </w:r>
          </w:p>
        </w:tc>
        <w:tc>
          <w:tcPr>
            <w:tcW w:w="1012" w:type="dxa"/>
            <w:tcBorders>
              <w:top w:val="nil"/>
              <w:left w:val="nil"/>
              <w:bottom w:val="single" w:sz="4" w:space="0" w:color="auto"/>
              <w:right w:val="single" w:sz="4" w:space="0" w:color="auto"/>
            </w:tcBorders>
            <w:noWrap/>
            <w:vAlign w:val="center"/>
            <w:hideMark/>
          </w:tcPr>
          <w:p w14:paraId="6B4751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19195141</w:t>
            </w:r>
          </w:p>
        </w:tc>
        <w:tc>
          <w:tcPr>
            <w:tcW w:w="5953" w:type="dxa"/>
            <w:tcBorders>
              <w:top w:val="nil"/>
              <w:left w:val="nil"/>
              <w:bottom w:val="single" w:sz="4" w:space="0" w:color="auto"/>
              <w:right w:val="single" w:sz="4" w:space="0" w:color="auto"/>
            </w:tcBorders>
            <w:noWrap/>
            <w:vAlign w:val="center"/>
            <w:hideMark/>
          </w:tcPr>
          <w:p w14:paraId="2A0645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PODGORICA-ŠENTJAKOB</w:t>
            </w:r>
          </w:p>
        </w:tc>
      </w:tr>
      <w:tr w:rsidR="00F24E18" w14:paraId="5F2A12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AE09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1584</w:t>
            </w:r>
          </w:p>
        </w:tc>
        <w:tc>
          <w:tcPr>
            <w:tcW w:w="1300" w:type="dxa"/>
            <w:tcBorders>
              <w:top w:val="nil"/>
              <w:left w:val="nil"/>
              <w:bottom w:val="single" w:sz="4" w:space="0" w:color="auto"/>
              <w:right w:val="single" w:sz="4" w:space="0" w:color="auto"/>
            </w:tcBorders>
            <w:vAlign w:val="center"/>
            <w:hideMark/>
          </w:tcPr>
          <w:p w14:paraId="39AB9A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5172829000</w:t>
            </w:r>
          </w:p>
        </w:tc>
        <w:tc>
          <w:tcPr>
            <w:tcW w:w="1012" w:type="dxa"/>
            <w:tcBorders>
              <w:top w:val="nil"/>
              <w:left w:val="nil"/>
              <w:bottom w:val="single" w:sz="4" w:space="0" w:color="auto"/>
              <w:right w:val="single" w:sz="4" w:space="0" w:color="auto"/>
            </w:tcBorders>
            <w:vAlign w:val="center"/>
            <w:hideMark/>
          </w:tcPr>
          <w:p w14:paraId="074377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38618265</w:t>
            </w:r>
          </w:p>
        </w:tc>
        <w:tc>
          <w:tcPr>
            <w:tcW w:w="5953" w:type="dxa"/>
            <w:tcBorders>
              <w:top w:val="nil"/>
              <w:left w:val="nil"/>
              <w:bottom w:val="single" w:sz="4" w:space="0" w:color="auto"/>
              <w:right w:val="single" w:sz="4" w:space="0" w:color="auto"/>
            </w:tcBorders>
            <w:noWrap/>
            <w:vAlign w:val="center"/>
            <w:hideMark/>
          </w:tcPr>
          <w:p w14:paraId="424153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PREČNA</w:t>
            </w:r>
          </w:p>
        </w:tc>
      </w:tr>
      <w:tr w:rsidR="00F24E18" w14:paraId="6F3EBF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24EC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1585</w:t>
            </w:r>
          </w:p>
        </w:tc>
        <w:tc>
          <w:tcPr>
            <w:tcW w:w="1300" w:type="dxa"/>
            <w:tcBorders>
              <w:top w:val="nil"/>
              <w:left w:val="nil"/>
              <w:bottom w:val="single" w:sz="4" w:space="0" w:color="auto"/>
              <w:right w:val="single" w:sz="4" w:space="0" w:color="auto"/>
            </w:tcBorders>
            <w:vAlign w:val="center"/>
            <w:hideMark/>
          </w:tcPr>
          <w:p w14:paraId="5FA06B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5285666000</w:t>
            </w:r>
          </w:p>
        </w:tc>
        <w:tc>
          <w:tcPr>
            <w:tcW w:w="1012" w:type="dxa"/>
            <w:tcBorders>
              <w:top w:val="nil"/>
              <w:left w:val="nil"/>
              <w:bottom w:val="single" w:sz="4" w:space="0" w:color="auto"/>
              <w:right w:val="single" w:sz="4" w:space="0" w:color="auto"/>
            </w:tcBorders>
            <w:vAlign w:val="center"/>
            <w:hideMark/>
          </w:tcPr>
          <w:p w14:paraId="284225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14015498</w:t>
            </w:r>
          </w:p>
        </w:tc>
        <w:tc>
          <w:tcPr>
            <w:tcW w:w="5953" w:type="dxa"/>
            <w:tcBorders>
              <w:top w:val="nil"/>
              <w:left w:val="nil"/>
              <w:bottom w:val="single" w:sz="4" w:space="0" w:color="auto"/>
              <w:right w:val="single" w:sz="4" w:space="0" w:color="auto"/>
            </w:tcBorders>
            <w:noWrap/>
            <w:vAlign w:val="center"/>
            <w:hideMark/>
          </w:tcPr>
          <w:p w14:paraId="0C95F0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PREŽGANJE</w:t>
            </w:r>
          </w:p>
        </w:tc>
      </w:tr>
      <w:tr w:rsidR="00F24E18" w14:paraId="7FD4CC3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582E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1586</w:t>
            </w:r>
          </w:p>
        </w:tc>
        <w:tc>
          <w:tcPr>
            <w:tcW w:w="1300" w:type="dxa"/>
            <w:tcBorders>
              <w:top w:val="nil"/>
              <w:left w:val="nil"/>
              <w:bottom w:val="single" w:sz="4" w:space="0" w:color="auto"/>
              <w:right w:val="single" w:sz="4" w:space="0" w:color="auto"/>
            </w:tcBorders>
            <w:vAlign w:val="center"/>
            <w:hideMark/>
          </w:tcPr>
          <w:p w14:paraId="32EA38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5258081000</w:t>
            </w:r>
          </w:p>
        </w:tc>
        <w:tc>
          <w:tcPr>
            <w:tcW w:w="1012" w:type="dxa"/>
            <w:tcBorders>
              <w:top w:val="nil"/>
              <w:left w:val="nil"/>
              <w:bottom w:val="single" w:sz="4" w:space="0" w:color="auto"/>
              <w:right w:val="single" w:sz="4" w:space="0" w:color="auto"/>
            </w:tcBorders>
            <w:vAlign w:val="center"/>
            <w:hideMark/>
          </w:tcPr>
          <w:p w14:paraId="5E94D9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54831016</w:t>
            </w:r>
          </w:p>
        </w:tc>
        <w:tc>
          <w:tcPr>
            <w:tcW w:w="5953" w:type="dxa"/>
            <w:tcBorders>
              <w:top w:val="nil"/>
              <w:left w:val="nil"/>
              <w:bottom w:val="single" w:sz="4" w:space="0" w:color="auto"/>
              <w:right w:val="single" w:sz="4" w:space="0" w:color="auto"/>
            </w:tcBorders>
            <w:noWrap/>
            <w:vAlign w:val="center"/>
            <w:hideMark/>
          </w:tcPr>
          <w:p w14:paraId="0F5661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PTUJSKA GORA</w:t>
            </w:r>
          </w:p>
        </w:tc>
      </w:tr>
      <w:tr w:rsidR="00F24E18" w14:paraId="45000AB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AC2E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1587</w:t>
            </w:r>
          </w:p>
        </w:tc>
        <w:tc>
          <w:tcPr>
            <w:tcW w:w="1300" w:type="dxa"/>
            <w:tcBorders>
              <w:top w:val="nil"/>
              <w:left w:val="nil"/>
              <w:bottom w:val="single" w:sz="4" w:space="0" w:color="auto"/>
              <w:right w:val="single" w:sz="4" w:space="0" w:color="auto"/>
            </w:tcBorders>
            <w:noWrap/>
            <w:vAlign w:val="center"/>
            <w:hideMark/>
          </w:tcPr>
          <w:p w14:paraId="6587A0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5236517000</w:t>
            </w:r>
          </w:p>
        </w:tc>
        <w:tc>
          <w:tcPr>
            <w:tcW w:w="1012" w:type="dxa"/>
            <w:tcBorders>
              <w:top w:val="nil"/>
              <w:left w:val="nil"/>
              <w:bottom w:val="single" w:sz="4" w:space="0" w:color="auto"/>
              <w:right w:val="single" w:sz="4" w:space="0" w:color="auto"/>
            </w:tcBorders>
            <w:noWrap/>
            <w:vAlign w:val="center"/>
            <w:hideMark/>
          </w:tcPr>
          <w:p w14:paraId="1F1400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21601275</w:t>
            </w:r>
          </w:p>
        </w:tc>
        <w:tc>
          <w:tcPr>
            <w:tcW w:w="5953" w:type="dxa"/>
            <w:tcBorders>
              <w:top w:val="nil"/>
              <w:left w:val="nil"/>
              <w:bottom w:val="single" w:sz="4" w:space="0" w:color="auto"/>
              <w:right w:val="single" w:sz="4" w:space="0" w:color="auto"/>
            </w:tcBorders>
            <w:noWrap/>
            <w:vAlign w:val="center"/>
            <w:hideMark/>
          </w:tcPr>
          <w:p w14:paraId="5D669F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RAŠICA</w:t>
            </w:r>
          </w:p>
        </w:tc>
      </w:tr>
      <w:tr w:rsidR="00F24E18" w14:paraId="2DEC5F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A900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1588</w:t>
            </w:r>
          </w:p>
        </w:tc>
        <w:tc>
          <w:tcPr>
            <w:tcW w:w="1300" w:type="dxa"/>
            <w:tcBorders>
              <w:top w:val="nil"/>
              <w:left w:val="nil"/>
              <w:bottom w:val="single" w:sz="4" w:space="0" w:color="auto"/>
              <w:right w:val="single" w:sz="4" w:space="0" w:color="auto"/>
            </w:tcBorders>
            <w:vAlign w:val="center"/>
            <w:hideMark/>
          </w:tcPr>
          <w:p w14:paraId="4786FF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5115116000</w:t>
            </w:r>
          </w:p>
        </w:tc>
        <w:tc>
          <w:tcPr>
            <w:tcW w:w="1012" w:type="dxa"/>
            <w:tcBorders>
              <w:top w:val="nil"/>
              <w:left w:val="nil"/>
              <w:bottom w:val="single" w:sz="4" w:space="0" w:color="auto"/>
              <w:right w:val="single" w:sz="4" w:space="0" w:color="auto"/>
            </w:tcBorders>
            <w:vAlign w:val="center"/>
            <w:hideMark/>
          </w:tcPr>
          <w:p w14:paraId="210F7E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56141394</w:t>
            </w:r>
          </w:p>
        </w:tc>
        <w:tc>
          <w:tcPr>
            <w:tcW w:w="5953" w:type="dxa"/>
            <w:tcBorders>
              <w:top w:val="nil"/>
              <w:left w:val="nil"/>
              <w:bottom w:val="single" w:sz="4" w:space="0" w:color="auto"/>
              <w:right w:val="single" w:sz="4" w:space="0" w:color="auto"/>
            </w:tcBorders>
            <w:noWrap/>
            <w:vAlign w:val="center"/>
            <w:hideMark/>
          </w:tcPr>
          <w:p w14:paraId="6A6E8B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RIBNICA</w:t>
            </w:r>
          </w:p>
        </w:tc>
      </w:tr>
      <w:tr w:rsidR="00F24E18" w14:paraId="0530B6C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1FB7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1589</w:t>
            </w:r>
          </w:p>
        </w:tc>
        <w:tc>
          <w:tcPr>
            <w:tcW w:w="1300" w:type="dxa"/>
            <w:tcBorders>
              <w:top w:val="nil"/>
              <w:left w:val="nil"/>
              <w:bottom w:val="single" w:sz="4" w:space="0" w:color="auto"/>
              <w:right w:val="single" w:sz="4" w:space="0" w:color="auto"/>
            </w:tcBorders>
            <w:vAlign w:val="center"/>
            <w:hideMark/>
          </w:tcPr>
          <w:p w14:paraId="3BBC99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5210593000</w:t>
            </w:r>
          </w:p>
        </w:tc>
        <w:tc>
          <w:tcPr>
            <w:tcW w:w="1012" w:type="dxa"/>
            <w:tcBorders>
              <w:top w:val="nil"/>
              <w:left w:val="nil"/>
              <w:bottom w:val="single" w:sz="4" w:space="0" w:color="auto"/>
              <w:right w:val="single" w:sz="4" w:space="0" w:color="auto"/>
            </w:tcBorders>
            <w:vAlign w:val="center"/>
            <w:hideMark/>
          </w:tcPr>
          <w:p w14:paraId="4D69D6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44202768</w:t>
            </w:r>
          </w:p>
        </w:tc>
        <w:tc>
          <w:tcPr>
            <w:tcW w:w="5953" w:type="dxa"/>
            <w:tcBorders>
              <w:top w:val="nil"/>
              <w:left w:val="nil"/>
              <w:bottom w:val="single" w:sz="4" w:space="0" w:color="auto"/>
              <w:right w:val="single" w:sz="4" w:space="0" w:color="auto"/>
            </w:tcBorders>
            <w:noWrap/>
            <w:vAlign w:val="center"/>
            <w:hideMark/>
          </w:tcPr>
          <w:p w14:paraId="705843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SELE-VRHE</w:t>
            </w:r>
          </w:p>
        </w:tc>
      </w:tr>
      <w:tr w:rsidR="00F24E18" w14:paraId="3AA8B7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DFBD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1590</w:t>
            </w:r>
          </w:p>
        </w:tc>
        <w:tc>
          <w:tcPr>
            <w:tcW w:w="1300" w:type="dxa"/>
            <w:tcBorders>
              <w:top w:val="nil"/>
              <w:left w:val="nil"/>
              <w:bottom w:val="single" w:sz="4" w:space="0" w:color="auto"/>
              <w:right w:val="single" w:sz="4" w:space="0" w:color="auto"/>
            </w:tcBorders>
            <w:vAlign w:val="center"/>
            <w:hideMark/>
          </w:tcPr>
          <w:p w14:paraId="7A791B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5253071000</w:t>
            </w:r>
          </w:p>
        </w:tc>
        <w:tc>
          <w:tcPr>
            <w:tcW w:w="1012" w:type="dxa"/>
            <w:tcBorders>
              <w:top w:val="nil"/>
              <w:left w:val="nil"/>
              <w:bottom w:val="single" w:sz="4" w:space="0" w:color="auto"/>
              <w:right w:val="single" w:sz="4" w:space="0" w:color="auto"/>
            </w:tcBorders>
            <w:vAlign w:val="center"/>
            <w:hideMark/>
          </w:tcPr>
          <w:p w14:paraId="1321E3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47619805</w:t>
            </w:r>
          </w:p>
        </w:tc>
        <w:tc>
          <w:tcPr>
            <w:tcW w:w="5953" w:type="dxa"/>
            <w:tcBorders>
              <w:top w:val="nil"/>
              <w:left w:val="nil"/>
              <w:bottom w:val="single" w:sz="4" w:space="0" w:color="auto"/>
              <w:right w:val="single" w:sz="4" w:space="0" w:color="auto"/>
            </w:tcBorders>
            <w:noWrap/>
            <w:vAlign w:val="center"/>
            <w:hideMark/>
          </w:tcPr>
          <w:p w14:paraId="161EE7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SEMIČ</w:t>
            </w:r>
          </w:p>
        </w:tc>
      </w:tr>
      <w:tr w:rsidR="00F24E18" w14:paraId="194E23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A1C7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1591</w:t>
            </w:r>
          </w:p>
        </w:tc>
        <w:tc>
          <w:tcPr>
            <w:tcW w:w="1300" w:type="dxa"/>
            <w:tcBorders>
              <w:top w:val="nil"/>
              <w:left w:val="nil"/>
              <w:bottom w:val="single" w:sz="4" w:space="0" w:color="auto"/>
              <w:right w:val="single" w:sz="4" w:space="0" w:color="auto"/>
            </w:tcBorders>
            <w:noWrap/>
            <w:vAlign w:val="center"/>
            <w:hideMark/>
          </w:tcPr>
          <w:p w14:paraId="5A768C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5079403000</w:t>
            </w:r>
          </w:p>
        </w:tc>
        <w:tc>
          <w:tcPr>
            <w:tcW w:w="1012" w:type="dxa"/>
            <w:tcBorders>
              <w:top w:val="nil"/>
              <w:left w:val="nil"/>
              <w:bottom w:val="single" w:sz="4" w:space="0" w:color="auto"/>
              <w:right w:val="single" w:sz="4" w:space="0" w:color="auto"/>
            </w:tcBorders>
            <w:noWrap/>
            <w:vAlign w:val="center"/>
            <w:hideMark/>
          </w:tcPr>
          <w:p w14:paraId="10ED2B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56046219</w:t>
            </w:r>
          </w:p>
        </w:tc>
        <w:tc>
          <w:tcPr>
            <w:tcW w:w="5953" w:type="dxa"/>
            <w:tcBorders>
              <w:top w:val="nil"/>
              <w:left w:val="nil"/>
              <w:bottom w:val="single" w:sz="4" w:space="0" w:color="auto"/>
              <w:right w:val="single" w:sz="4" w:space="0" w:color="auto"/>
            </w:tcBorders>
            <w:noWrap/>
            <w:vAlign w:val="center"/>
            <w:hideMark/>
          </w:tcPr>
          <w:p w14:paraId="75A36B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SLAPE - POLJE</w:t>
            </w:r>
          </w:p>
        </w:tc>
      </w:tr>
      <w:tr w:rsidR="00F24E18" w14:paraId="1D7B1C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AEB0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1592</w:t>
            </w:r>
          </w:p>
        </w:tc>
        <w:tc>
          <w:tcPr>
            <w:tcW w:w="1300" w:type="dxa"/>
            <w:tcBorders>
              <w:top w:val="nil"/>
              <w:left w:val="nil"/>
              <w:bottom w:val="single" w:sz="4" w:space="0" w:color="auto"/>
              <w:right w:val="single" w:sz="4" w:space="0" w:color="auto"/>
            </w:tcBorders>
            <w:noWrap/>
            <w:vAlign w:val="center"/>
            <w:hideMark/>
          </w:tcPr>
          <w:p w14:paraId="79A973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5133777000</w:t>
            </w:r>
          </w:p>
        </w:tc>
        <w:tc>
          <w:tcPr>
            <w:tcW w:w="1012" w:type="dxa"/>
            <w:tcBorders>
              <w:top w:val="nil"/>
              <w:left w:val="nil"/>
              <w:bottom w:val="single" w:sz="4" w:space="0" w:color="auto"/>
              <w:right w:val="single" w:sz="4" w:space="0" w:color="auto"/>
            </w:tcBorders>
            <w:noWrap/>
            <w:vAlign w:val="center"/>
            <w:hideMark/>
          </w:tcPr>
          <w:p w14:paraId="74C3EE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51025655</w:t>
            </w:r>
          </w:p>
        </w:tc>
        <w:tc>
          <w:tcPr>
            <w:tcW w:w="5953" w:type="dxa"/>
            <w:tcBorders>
              <w:top w:val="nil"/>
              <w:left w:val="nil"/>
              <w:bottom w:val="single" w:sz="4" w:space="0" w:color="auto"/>
              <w:right w:val="single" w:sz="4" w:space="0" w:color="auto"/>
            </w:tcBorders>
            <w:noWrap/>
            <w:vAlign w:val="center"/>
            <w:hideMark/>
          </w:tcPr>
          <w:p w14:paraId="1BA82A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SOSTRO</w:t>
            </w:r>
          </w:p>
        </w:tc>
      </w:tr>
      <w:tr w:rsidR="00F24E18" w14:paraId="3CF2134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09BD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1593</w:t>
            </w:r>
          </w:p>
        </w:tc>
        <w:tc>
          <w:tcPr>
            <w:tcW w:w="1300" w:type="dxa"/>
            <w:tcBorders>
              <w:top w:val="nil"/>
              <w:left w:val="nil"/>
              <w:bottom w:val="single" w:sz="4" w:space="0" w:color="auto"/>
              <w:right w:val="single" w:sz="4" w:space="0" w:color="auto"/>
            </w:tcBorders>
            <w:vAlign w:val="center"/>
            <w:hideMark/>
          </w:tcPr>
          <w:p w14:paraId="6BAB24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5614473000</w:t>
            </w:r>
          </w:p>
        </w:tc>
        <w:tc>
          <w:tcPr>
            <w:tcW w:w="1012" w:type="dxa"/>
            <w:tcBorders>
              <w:top w:val="nil"/>
              <w:left w:val="nil"/>
              <w:bottom w:val="single" w:sz="4" w:space="0" w:color="auto"/>
              <w:right w:val="single" w:sz="4" w:space="0" w:color="auto"/>
            </w:tcBorders>
            <w:vAlign w:val="center"/>
            <w:hideMark/>
          </w:tcPr>
          <w:p w14:paraId="1F9B12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17801931</w:t>
            </w:r>
          </w:p>
        </w:tc>
        <w:tc>
          <w:tcPr>
            <w:tcW w:w="5953" w:type="dxa"/>
            <w:tcBorders>
              <w:top w:val="nil"/>
              <w:left w:val="nil"/>
              <w:bottom w:val="single" w:sz="4" w:space="0" w:color="auto"/>
              <w:right w:val="single" w:sz="4" w:space="0" w:color="auto"/>
            </w:tcBorders>
            <w:noWrap/>
            <w:vAlign w:val="center"/>
            <w:hideMark/>
          </w:tcPr>
          <w:p w14:paraId="1B0F81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SPODNJA KUNGOTA</w:t>
            </w:r>
          </w:p>
        </w:tc>
      </w:tr>
      <w:tr w:rsidR="00F24E18" w14:paraId="615CC5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DA1A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1594</w:t>
            </w:r>
          </w:p>
        </w:tc>
        <w:tc>
          <w:tcPr>
            <w:tcW w:w="1300" w:type="dxa"/>
            <w:tcBorders>
              <w:top w:val="nil"/>
              <w:left w:val="nil"/>
              <w:bottom w:val="single" w:sz="4" w:space="0" w:color="auto"/>
              <w:right w:val="single" w:sz="4" w:space="0" w:color="auto"/>
            </w:tcBorders>
            <w:vAlign w:val="center"/>
            <w:hideMark/>
          </w:tcPr>
          <w:p w14:paraId="2335AC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5202892000</w:t>
            </w:r>
          </w:p>
        </w:tc>
        <w:tc>
          <w:tcPr>
            <w:tcW w:w="1012" w:type="dxa"/>
            <w:tcBorders>
              <w:top w:val="nil"/>
              <w:left w:val="nil"/>
              <w:bottom w:val="single" w:sz="4" w:space="0" w:color="auto"/>
              <w:right w:val="single" w:sz="4" w:space="0" w:color="auto"/>
            </w:tcBorders>
            <w:vAlign w:val="center"/>
            <w:hideMark/>
          </w:tcPr>
          <w:p w14:paraId="5D29AA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26244349</w:t>
            </w:r>
          </w:p>
        </w:tc>
        <w:tc>
          <w:tcPr>
            <w:tcW w:w="5953" w:type="dxa"/>
            <w:tcBorders>
              <w:top w:val="nil"/>
              <w:left w:val="nil"/>
              <w:bottom w:val="single" w:sz="4" w:space="0" w:color="auto"/>
              <w:right w:val="single" w:sz="4" w:space="0" w:color="auto"/>
            </w:tcBorders>
            <w:noWrap/>
            <w:vAlign w:val="center"/>
            <w:hideMark/>
          </w:tcPr>
          <w:p w14:paraId="22779A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ŠEMPETER PRI GORICI</w:t>
            </w:r>
          </w:p>
        </w:tc>
      </w:tr>
      <w:tr w:rsidR="00F24E18" w14:paraId="6FFCA8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1759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1595</w:t>
            </w:r>
          </w:p>
        </w:tc>
        <w:tc>
          <w:tcPr>
            <w:tcW w:w="1300" w:type="dxa"/>
            <w:tcBorders>
              <w:top w:val="nil"/>
              <w:left w:val="nil"/>
              <w:bottom w:val="single" w:sz="4" w:space="0" w:color="auto"/>
              <w:right w:val="single" w:sz="4" w:space="0" w:color="auto"/>
            </w:tcBorders>
            <w:noWrap/>
            <w:vAlign w:val="center"/>
            <w:hideMark/>
          </w:tcPr>
          <w:p w14:paraId="7DD563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5226023000</w:t>
            </w:r>
          </w:p>
        </w:tc>
        <w:tc>
          <w:tcPr>
            <w:tcW w:w="1012" w:type="dxa"/>
            <w:tcBorders>
              <w:top w:val="nil"/>
              <w:left w:val="nil"/>
              <w:bottom w:val="single" w:sz="4" w:space="0" w:color="auto"/>
              <w:right w:val="single" w:sz="4" w:space="0" w:color="auto"/>
            </w:tcBorders>
            <w:noWrap/>
            <w:vAlign w:val="center"/>
            <w:hideMark/>
          </w:tcPr>
          <w:p w14:paraId="7E49B2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30438284</w:t>
            </w:r>
          </w:p>
        </w:tc>
        <w:tc>
          <w:tcPr>
            <w:tcW w:w="5953" w:type="dxa"/>
            <w:tcBorders>
              <w:top w:val="nil"/>
              <w:left w:val="nil"/>
              <w:bottom w:val="single" w:sz="4" w:space="0" w:color="auto"/>
              <w:right w:val="single" w:sz="4" w:space="0" w:color="auto"/>
            </w:tcBorders>
            <w:noWrap/>
            <w:vAlign w:val="center"/>
            <w:hideMark/>
          </w:tcPr>
          <w:p w14:paraId="6C5E12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ŠTEPANJSKO NASELJE</w:t>
            </w:r>
          </w:p>
        </w:tc>
      </w:tr>
      <w:tr w:rsidR="00F24E18" w14:paraId="75A510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E9D6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1596</w:t>
            </w:r>
          </w:p>
        </w:tc>
        <w:tc>
          <w:tcPr>
            <w:tcW w:w="1300" w:type="dxa"/>
            <w:tcBorders>
              <w:top w:val="nil"/>
              <w:left w:val="nil"/>
              <w:bottom w:val="single" w:sz="4" w:space="0" w:color="auto"/>
              <w:right w:val="single" w:sz="4" w:space="0" w:color="auto"/>
            </w:tcBorders>
            <w:noWrap/>
            <w:vAlign w:val="center"/>
            <w:hideMark/>
          </w:tcPr>
          <w:p w14:paraId="07E736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1205323000</w:t>
            </w:r>
          </w:p>
        </w:tc>
        <w:tc>
          <w:tcPr>
            <w:tcW w:w="1012" w:type="dxa"/>
            <w:tcBorders>
              <w:top w:val="nil"/>
              <w:left w:val="nil"/>
              <w:bottom w:val="single" w:sz="4" w:space="0" w:color="auto"/>
              <w:right w:val="single" w:sz="4" w:space="0" w:color="auto"/>
            </w:tcBorders>
            <w:noWrap/>
            <w:vAlign w:val="center"/>
            <w:hideMark/>
          </w:tcPr>
          <w:p w14:paraId="4C3269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91392373</w:t>
            </w:r>
          </w:p>
        </w:tc>
        <w:tc>
          <w:tcPr>
            <w:tcW w:w="5953" w:type="dxa"/>
            <w:tcBorders>
              <w:top w:val="nil"/>
              <w:left w:val="nil"/>
              <w:bottom w:val="single" w:sz="4" w:space="0" w:color="auto"/>
              <w:right w:val="single" w:sz="4" w:space="0" w:color="auto"/>
            </w:tcBorders>
            <w:noWrap/>
            <w:vAlign w:val="center"/>
            <w:hideMark/>
          </w:tcPr>
          <w:p w14:paraId="44FE94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TACEN</w:t>
            </w:r>
          </w:p>
        </w:tc>
      </w:tr>
      <w:tr w:rsidR="00F24E18" w14:paraId="72554D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6E8A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1597</w:t>
            </w:r>
          </w:p>
        </w:tc>
        <w:tc>
          <w:tcPr>
            <w:tcW w:w="1300" w:type="dxa"/>
            <w:tcBorders>
              <w:top w:val="nil"/>
              <w:left w:val="nil"/>
              <w:bottom w:val="single" w:sz="4" w:space="0" w:color="auto"/>
              <w:right w:val="single" w:sz="4" w:space="0" w:color="auto"/>
            </w:tcBorders>
            <w:vAlign w:val="center"/>
            <w:hideMark/>
          </w:tcPr>
          <w:p w14:paraId="23C328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5154251000</w:t>
            </w:r>
          </w:p>
        </w:tc>
        <w:tc>
          <w:tcPr>
            <w:tcW w:w="1012" w:type="dxa"/>
            <w:tcBorders>
              <w:top w:val="nil"/>
              <w:left w:val="nil"/>
              <w:bottom w:val="single" w:sz="4" w:space="0" w:color="auto"/>
              <w:right w:val="single" w:sz="4" w:space="0" w:color="auto"/>
            </w:tcBorders>
            <w:vAlign w:val="center"/>
            <w:hideMark/>
          </w:tcPr>
          <w:p w14:paraId="10F8DA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19599056</w:t>
            </w:r>
          </w:p>
        </w:tc>
        <w:tc>
          <w:tcPr>
            <w:tcW w:w="5953" w:type="dxa"/>
            <w:tcBorders>
              <w:top w:val="nil"/>
              <w:left w:val="nil"/>
              <w:bottom w:val="single" w:sz="4" w:space="0" w:color="auto"/>
              <w:right w:val="single" w:sz="4" w:space="0" w:color="auto"/>
            </w:tcBorders>
            <w:noWrap/>
            <w:vAlign w:val="center"/>
            <w:hideMark/>
          </w:tcPr>
          <w:p w14:paraId="35D61E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TOLMIN</w:t>
            </w:r>
          </w:p>
        </w:tc>
      </w:tr>
      <w:tr w:rsidR="00F24E18" w14:paraId="545E34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95DB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1598</w:t>
            </w:r>
          </w:p>
        </w:tc>
        <w:tc>
          <w:tcPr>
            <w:tcW w:w="1300" w:type="dxa"/>
            <w:tcBorders>
              <w:top w:val="nil"/>
              <w:left w:val="nil"/>
              <w:bottom w:val="single" w:sz="4" w:space="0" w:color="auto"/>
              <w:right w:val="single" w:sz="4" w:space="0" w:color="auto"/>
            </w:tcBorders>
            <w:noWrap/>
            <w:vAlign w:val="center"/>
            <w:hideMark/>
          </w:tcPr>
          <w:p w14:paraId="090DFD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5199506000</w:t>
            </w:r>
          </w:p>
        </w:tc>
        <w:tc>
          <w:tcPr>
            <w:tcW w:w="1012" w:type="dxa"/>
            <w:tcBorders>
              <w:top w:val="nil"/>
              <w:left w:val="nil"/>
              <w:bottom w:val="single" w:sz="4" w:space="0" w:color="auto"/>
              <w:right w:val="single" w:sz="4" w:space="0" w:color="auto"/>
            </w:tcBorders>
            <w:noWrap/>
            <w:vAlign w:val="center"/>
            <w:hideMark/>
          </w:tcPr>
          <w:p w14:paraId="78C1A7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43743323</w:t>
            </w:r>
          </w:p>
        </w:tc>
        <w:tc>
          <w:tcPr>
            <w:tcW w:w="5953" w:type="dxa"/>
            <w:tcBorders>
              <w:top w:val="nil"/>
              <w:left w:val="nil"/>
              <w:bottom w:val="single" w:sz="4" w:space="0" w:color="auto"/>
              <w:right w:val="single" w:sz="4" w:space="0" w:color="auto"/>
            </w:tcBorders>
            <w:noWrap/>
            <w:vAlign w:val="center"/>
            <w:hideMark/>
          </w:tcPr>
          <w:p w14:paraId="383B41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TOMAČEVO - JARŠE</w:t>
            </w:r>
          </w:p>
        </w:tc>
      </w:tr>
      <w:tr w:rsidR="00F24E18" w14:paraId="3893972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1FBC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1599</w:t>
            </w:r>
          </w:p>
        </w:tc>
        <w:tc>
          <w:tcPr>
            <w:tcW w:w="1300" w:type="dxa"/>
            <w:tcBorders>
              <w:top w:val="nil"/>
              <w:left w:val="nil"/>
              <w:bottom w:val="single" w:sz="4" w:space="0" w:color="auto"/>
              <w:right w:val="single" w:sz="4" w:space="0" w:color="auto"/>
            </w:tcBorders>
            <w:vAlign w:val="center"/>
            <w:hideMark/>
          </w:tcPr>
          <w:p w14:paraId="05A1E5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5155878000</w:t>
            </w:r>
          </w:p>
        </w:tc>
        <w:tc>
          <w:tcPr>
            <w:tcW w:w="1012" w:type="dxa"/>
            <w:tcBorders>
              <w:top w:val="nil"/>
              <w:left w:val="nil"/>
              <w:bottom w:val="single" w:sz="4" w:space="0" w:color="auto"/>
              <w:right w:val="single" w:sz="4" w:space="0" w:color="auto"/>
            </w:tcBorders>
            <w:vAlign w:val="center"/>
            <w:hideMark/>
          </w:tcPr>
          <w:p w14:paraId="2EE253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10071059</w:t>
            </w:r>
          </w:p>
        </w:tc>
        <w:tc>
          <w:tcPr>
            <w:tcW w:w="5953" w:type="dxa"/>
            <w:tcBorders>
              <w:top w:val="nil"/>
              <w:left w:val="nil"/>
              <w:bottom w:val="single" w:sz="4" w:space="0" w:color="auto"/>
              <w:right w:val="single" w:sz="4" w:space="0" w:color="auto"/>
            </w:tcBorders>
            <w:noWrap/>
            <w:vAlign w:val="center"/>
            <w:hideMark/>
          </w:tcPr>
          <w:p w14:paraId="3BB8B8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VELIKI KAMEN</w:t>
            </w:r>
          </w:p>
        </w:tc>
      </w:tr>
      <w:tr w:rsidR="00F24E18" w14:paraId="61E2CF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1B90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1600</w:t>
            </w:r>
          </w:p>
        </w:tc>
        <w:tc>
          <w:tcPr>
            <w:tcW w:w="1300" w:type="dxa"/>
            <w:tcBorders>
              <w:top w:val="nil"/>
              <w:left w:val="nil"/>
              <w:bottom w:val="single" w:sz="4" w:space="0" w:color="auto"/>
              <w:right w:val="single" w:sz="4" w:space="0" w:color="auto"/>
            </w:tcBorders>
            <w:vAlign w:val="center"/>
            <w:hideMark/>
          </w:tcPr>
          <w:p w14:paraId="699116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5011540000</w:t>
            </w:r>
          </w:p>
        </w:tc>
        <w:tc>
          <w:tcPr>
            <w:tcW w:w="1012" w:type="dxa"/>
            <w:tcBorders>
              <w:top w:val="nil"/>
              <w:left w:val="nil"/>
              <w:bottom w:val="single" w:sz="4" w:space="0" w:color="auto"/>
              <w:right w:val="single" w:sz="4" w:space="0" w:color="auto"/>
            </w:tcBorders>
            <w:vAlign w:val="center"/>
            <w:hideMark/>
          </w:tcPr>
          <w:p w14:paraId="7E283A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33724342</w:t>
            </w:r>
          </w:p>
        </w:tc>
        <w:tc>
          <w:tcPr>
            <w:tcW w:w="5953" w:type="dxa"/>
            <w:tcBorders>
              <w:top w:val="nil"/>
              <w:left w:val="nil"/>
              <w:bottom w:val="single" w:sz="4" w:space="0" w:color="auto"/>
              <w:right w:val="single" w:sz="4" w:space="0" w:color="auto"/>
            </w:tcBorders>
            <w:noWrap/>
            <w:vAlign w:val="center"/>
            <w:hideMark/>
          </w:tcPr>
          <w:p w14:paraId="68500B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VERD</w:t>
            </w:r>
          </w:p>
        </w:tc>
      </w:tr>
      <w:tr w:rsidR="00F24E18" w14:paraId="53FA5F6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2C57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1601</w:t>
            </w:r>
          </w:p>
        </w:tc>
        <w:tc>
          <w:tcPr>
            <w:tcW w:w="1300" w:type="dxa"/>
            <w:tcBorders>
              <w:top w:val="nil"/>
              <w:left w:val="nil"/>
              <w:bottom w:val="single" w:sz="4" w:space="0" w:color="auto"/>
              <w:right w:val="single" w:sz="4" w:space="0" w:color="auto"/>
            </w:tcBorders>
            <w:noWrap/>
            <w:vAlign w:val="center"/>
            <w:hideMark/>
          </w:tcPr>
          <w:p w14:paraId="212185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5237653000</w:t>
            </w:r>
          </w:p>
        </w:tc>
        <w:tc>
          <w:tcPr>
            <w:tcW w:w="1012" w:type="dxa"/>
            <w:tcBorders>
              <w:top w:val="nil"/>
              <w:left w:val="nil"/>
              <w:bottom w:val="single" w:sz="4" w:space="0" w:color="auto"/>
              <w:right w:val="single" w:sz="4" w:space="0" w:color="auto"/>
            </w:tcBorders>
            <w:noWrap/>
            <w:vAlign w:val="center"/>
            <w:hideMark/>
          </w:tcPr>
          <w:p w14:paraId="1DFBED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55085067</w:t>
            </w:r>
          </w:p>
        </w:tc>
        <w:tc>
          <w:tcPr>
            <w:tcW w:w="5953" w:type="dxa"/>
            <w:tcBorders>
              <w:top w:val="nil"/>
              <w:left w:val="nil"/>
              <w:bottom w:val="single" w:sz="4" w:space="0" w:color="auto"/>
              <w:right w:val="single" w:sz="4" w:space="0" w:color="auto"/>
            </w:tcBorders>
            <w:noWrap/>
            <w:vAlign w:val="center"/>
            <w:hideMark/>
          </w:tcPr>
          <w:p w14:paraId="64E22D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VIŽMARJE - BROD</w:t>
            </w:r>
          </w:p>
        </w:tc>
      </w:tr>
      <w:tr w:rsidR="00F24E18" w14:paraId="5908FE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29C7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1602</w:t>
            </w:r>
          </w:p>
        </w:tc>
        <w:tc>
          <w:tcPr>
            <w:tcW w:w="1300" w:type="dxa"/>
            <w:tcBorders>
              <w:top w:val="nil"/>
              <w:left w:val="nil"/>
              <w:bottom w:val="single" w:sz="4" w:space="0" w:color="auto"/>
              <w:right w:val="single" w:sz="4" w:space="0" w:color="auto"/>
            </w:tcBorders>
            <w:vAlign w:val="center"/>
            <w:hideMark/>
          </w:tcPr>
          <w:p w14:paraId="28E8D2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5135303000</w:t>
            </w:r>
          </w:p>
        </w:tc>
        <w:tc>
          <w:tcPr>
            <w:tcW w:w="1012" w:type="dxa"/>
            <w:tcBorders>
              <w:top w:val="nil"/>
              <w:left w:val="nil"/>
              <w:bottom w:val="single" w:sz="4" w:space="0" w:color="auto"/>
              <w:right w:val="single" w:sz="4" w:space="0" w:color="auto"/>
            </w:tcBorders>
            <w:vAlign w:val="center"/>
            <w:hideMark/>
          </w:tcPr>
          <w:p w14:paraId="06F0AE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58293906</w:t>
            </w:r>
          </w:p>
        </w:tc>
        <w:tc>
          <w:tcPr>
            <w:tcW w:w="5953" w:type="dxa"/>
            <w:tcBorders>
              <w:top w:val="nil"/>
              <w:left w:val="nil"/>
              <w:bottom w:val="single" w:sz="4" w:space="0" w:color="auto"/>
              <w:right w:val="single" w:sz="4" w:space="0" w:color="auto"/>
            </w:tcBorders>
            <w:noWrap/>
            <w:vAlign w:val="center"/>
            <w:hideMark/>
          </w:tcPr>
          <w:p w14:paraId="5A6468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ZADOBROVA - SNEBERJE - NOVO POLJE</w:t>
            </w:r>
          </w:p>
        </w:tc>
      </w:tr>
      <w:tr w:rsidR="00F24E18" w14:paraId="64E475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1F95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1603</w:t>
            </w:r>
          </w:p>
        </w:tc>
        <w:tc>
          <w:tcPr>
            <w:tcW w:w="1300" w:type="dxa"/>
            <w:tcBorders>
              <w:top w:val="nil"/>
              <w:left w:val="nil"/>
              <w:bottom w:val="single" w:sz="4" w:space="0" w:color="auto"/>
              <w:right w:val="single" w:sz="4" w:space="0" w:color="auto"/>
            </w:tcBorders>
            <w:noWrap/>
            <w:vAlign w:val="center"/>
            <w:hideMark/>
          </w:tcPr>
          <w:p w14:paraId="5BA902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5246903000</w:t>
            </w:r>
          </w:p>
        </w:tc>
        <w:tc>
          <w:tcPr>
            <w:tcW w:w="1012" w:type="dxa"/>
            <w:tcBorders>
              <w:top w:val="nil"/>
              <w:left w:val="nil"/>
              <w:bottom w:val="single" w:sz="4" w:space="0" w:color="auto"/>
              <w:right w:val="single" w:sz="4" w:space="0" w:color="auto"/>
            </w:tcBorders>
            <w:noWrap/>
            <w:vAlign w:val="center"/>
            <w:hideMark/>
          </w:tcPr>
          <w:p w14:paraId="7DC2AD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12008206</w:t>
            </w:r>
          </w:p>
        </w:tc>
        <w:tc>
          <w:tcPr>
            <w:tcW w:w="5953" w:type="dxa"/>
            <w:tcBorders>
              <w:top w:val="nil"/>
              <w:left w:val="nil"/>
              <w:bottom w:val="single" w:sz="4" w:space="0" w:color="auto"/>
              <w:right w:val="single" w:sz="4" w:space="0" w:color="auto"/>
            </w:tcBorders>
            <w:noWrap/>
            <w:vAlign w:val="center"/>
            <w:hideMark/>
          </w:tcPr>
          <w:p w14:paraId="30987C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ZALOG - SP.KAŠELJ</w:t>
            </w:r>
          </w:p>
        </w:tc>
      </w:tr>
      <w:tr w:rsidR="00F24E18" w14:paraId="6C43C73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78C0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1604</w:t>
            </w:r>
          </w:p>
        </w:tc>
        <w:tc>
          <w:tcPr>
            <w:tcW w:w="1300" w:type="dxa"/>
            <w:tcBorders>
              <w:top w:val="nil"/>
              <w:left w:val="nil"/>
              <w:bottom w:val="single" w:sz="4" w:space="0" w:color="auto"/>
              <w:right w:val="single" w:sz="4" w:space="0" w:color="auto"/>
            </w:tcBorders>
            <w:vAlign w:val="center"/>
            <w:hideMark/>
          </w:tcPr>
          <w:p w14:paraId="527B88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5120993000</w:t>
            </w:r>
          </w:p>
        </w:tc>
        <w:tc>
          <w:tcPr>
            <w:tcW w:w="1012" w:type="dxa"/>
            <w:tcBorders>
              <w:top w:val="nil"/>
              <w:left w:val="nil"/>
              <w:bottom w:val="single" w:sz="4" w:space="0" w:color="auto"/>
              <w:right w:val="single" w:sz="4" w:space="0" w:color="auto"/>
            </w:tcBorders>
            <w:vAlign w:val="center"/>
            <w:hideMark/>
          </w:tcPr>
          <w:p w14:paraId="6833E5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52917304</w:t>
            </w:r>
          </w:p>
        </w:tc>
        <w:tc>
          <w:tcPr>
            <w:tcW w:w="5953" w:type="dxa"/>
            <w:tcBorders>
              <w:top w:val="nil"/>
              <w:left w:val="nil"/>
              <w:bottom w:val="single" w:sz="4" w:space="0" w:color="auto"/>
              <w:right w:val="single" w:sz="4" w:space="0" w:color="auto"/>
            </w:tcBorders>
            <w:noWrap/>
            <w:vAlign w:val="center"/>
            <w:hideMark/>
          </w:tcPr>
          <w:p w14:paraId="29E5B4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ZGORNJA KUNGOTA</w:t>
            </w:r>
          </w:p>
        </w:tc>
      </w:tr>
      <w:tr w:rsidR="00F24E18" w14:paraId="4C9F5E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3F6F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1605</w:t>
            </w:r>
          </w:p>
        </w:tc>
        <w:tc>
          <w:tcPr>
            <w:tcW w:w="1300" w:type="dxa"/>
            <w:tcBorders>
              <w:top w:val="nil"/>
              <w:left w:val="nil"/>
              <w:bottom w:val="single" w:sz="4" w:space="0" w:color="auto"/>
              <w:right w:val="single" w:sz="4" w:space="0" w:color="auto"/>
            </w:tcBorders>
            <w:noWrap/>
            <w:vAlign w:val="center"/>
            <w:hideMark/>
          </w:tcPr>
          <w:p w14:paraId="3FA014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5233453000</w:t>
            </w:r>
          </w:p>
        </w:tc>
        <w:tc>
          <w:tcPr>
            <w:tcW w:w="1012" w:type="dxa"/>
            <w:tcBorders>
              <w:top w:val="nil"/>
              <w:left w:val="nil"/>
              <w:bottom w:val="single" w:sz="4" w:space="0" w:color="auto"/>
              <w:right w:val="single" w:sz="4" w:space="0" w:color="auto"/>
            </w:tcBorders>
            <w:noWrap/>
            <w:vAlign w:val="center"/>
            <w:hideMark/>
          </w:tcPr>
          <w:p w14:paraId="7B4085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16081013</w:t>
            </w:r>
          </w:p>
        </w:tc>
        <w:tc>
          <w:tcPr>
            <w:tcW w:w="5953" w:type="dxa"/>
            <w:tcBorders>
              <w:top w:val="nil"/>
              <w:left w:val="nil"/>
              <w:bottom w:val="single" w:sz="4" w:space="0" w:color="auto"/>
              <w:right w:val="single" w:sz="4" w:space="0" w:color="auto"/>
            </w:tcBorders>
            <w:noWrap/>
            <w:vAlign w:val="center"/>
            <w:hideMark/>
          </w:tcPr>
          <w:p w14:paraId="755B5A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ZGORNJA ŠIŠKA</w:t>
            </w:r>
          </w:p>
        </w:tc>
      </w:tr>
      <w:tr w:rsidR="00F24E18" w14:paraId="78CFDCF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0741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1606</w:t>
            </w:r>
          </w:p>
        </w:tc>
        <w:tc>
          <w:tcPr>
            <w:tcW w:w="1300" w:type="dxa"/>
            <w:tcBorders>
              <w:top w:val="nil"/>
              <w:left w:val="nil"/>
              <w:bottom w:val="single" w:sz="4" w:space="0" w:color="auto"/>
              <w:right w:val="single" w:sz="4" w:space="0" w:color="auto"/>
            </w:tcBorders>
            <w:vAlign w:val="center"/>
            <w:hideMark/>
          </w:tcPr>
          <w:p w14:paraId="466846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5153867000</w:t>
            </w:r>
          </w:p>
        </w:tc>
        <w:tc>
          <w:tcPr>
            <w:tcW w:w="1012" w:type="dxa"/>
            <w:tcBorders>
              <w:top w:val="nil"/>
              <w:left w:val="nil"/>
              <w:bottom w:val="single" w:sz="4" w:space="0" w:color="auto"/>
              <w:right w:val="single" w:sz="4" w:space="0" w:color="auto"/>
            </w:tcBorders>
            <w:vAlign w:val="center"/>
            <w:hideMark/>
          </w:tcPr>
          <w:p w14:paraId="295C10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77846788</w:t>
            </w:r>
          </w:p>
        </w:tc>
        <w:tc>
          <w:tcPr>
            <w:tcW w:w="5953" w:type="dxa"/>
            <w:tcBorders>
              <w:top w:val="nil"/>
              <w:left w:val="nil"/>
              <w:bottom w:val="single" w:sz="4" w:space="0" w:color="auto"/>
              <w:right w:val="single" w:sz="4" w:space="0" w:color="auto"/>
            </w:tcBorders>
            <w:noWrap/>
            <w:vAlign w:val="center"/>
            <w:hideMark/>
          </w:tcPr>
          <w:p w14:paraId="4BEDB1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PROSTOVOLJNO GASILSKO DRUŠTVO ŽELEZNIKI</w:t>
            </w:r>
          </w:p>
        </w:tc>
      </w:tr>
      <w:tr w:rsidR="00F24E18" w14:paraId="47BA6AD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5DB4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1607</w:t>
            </w:r>
          </w:p>
        </w:tc>
        <w:tc>
          <w:tcPr>
            <w:tcW w:w="1300" w:type="dxa"/>
            <w:tcBorders>
              <w:top w:val="nil"/>
              <w:left w:val="nil"/>
              <w:bottom w:val="single" w:sz="4" w:space="0" w:color="auto"/>
              <w:right w:val="single" w:sz="4" w:space="0" w:color="auto"/>
            </w:tcBorders>
            <w:noWrap/>
            <w:vAlign w:val="center"/>
            <w:hideMark/>
          </w:tcPr>
          <w:p w14:paraId="7AE142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5085535000</w:t>
            </w:r>
          </w:p>
        </w:tc>
        <w:tc>
          <w:tcPr>
            <w:tcW w:w="1012" w:type="dxa"/>
            <w:tcBorders>
              <w:top w:val="nil"/>
              <w:left w:val="nil"/>
              <w:bottom w:val="single" w:sz="4" w:space="0" w:color="auto"/>
              <w:right w:val="single" w:sz="4" w:space="0" w:color="auto"/>
            </w:tcBorders>
            <w:noWrap/>
            <w:vAlign w:val="center"/>
            <w:hideMark/>
          </w:tcPr>
          <w:p w14:paraId="2EBE19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41623878</w:t>
            </w:r>
          </w:p>
        </w:tc>
        <w:tc>
          <w:tcPr>
            <w:tcW w:w="5953" w:type="dxa"/>
            <w:tcBorders>
              <w:top w:val="nil"/>
              <w:left w:val="nil"/>
              <w:bottom w:val="single" w:sz="4" w:space="0" w:color="auto"/>
              <w:right w:val="single" w:sz="4" w:space="0" w:color="auto"/>
            </w:tcBorders>
            <w:noWrap/>
            <w:vAlign w:val="center"/>
            <w:hideMark/>
          </w:tcPr>
          <w:p w14:paraId="4DE43B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PRVA GIMNAZIJA MARIBOR</w:t>
            </w:r>
          </w:p>
        </w:tc>
      </w:tr>
      <w:tr w:rsidR="00F24E18" w14:paraId="0871C34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A1A3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1608</w:t>
            </w:r>
          </w:p>
        </w:tc>
        <w:tc>
          <w:tcPr>
            <w:tcW w:w="1300" w:type="dxa"/>
            <w:tcBorders>
              <w:top w:val="nil"/>
              <w:left w:val="nil"/>
              <w:bottom w:val="single" w:sz="4" w:space="0" w:color="auto"/>
              <w:right w:val="single" w:sz="4" w:space="0" w:color="auto"/>
            </w:tcBorders>
            <w:noWrap/>
            <w:vAlign w:val="center"/>
            <w:hideMark/>
          </w:tcPr>
          <w:p w14:paraId="3505A1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5089395000</w:t>
            </w:r>
          </w:p>
        </w:tc>
        <w:tc>
          <w:tcPr>
            <w:tcW w:w="1012" w:type="dxa"/>
            <w:tcBorders>
              <w:top w:val="nil"/>
              <w:left w:val="nil"/>
              <w:bottom w:val="single" w:sz="4" w:space="0" w:color="auto"/>
              <w:right w:val="single" w:sz="4" w:space="0" w:color="auto"/>
            </w:tcBorders>
            <w:noWrap/>
            <w:vAlign w:val="center"/>
            <w:hideMark/>
          </w:tcPr>
          <w:p w14:paraId="342295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23083972</w:t>
            </w:r>
          </w:p>
        </w:tc>
        <w:tc>
          <w:tcPr>
            <w:tcW w:w="5953" w:type="dxa"/>
            <w:tcBorders>
              <w:top w:val="nil"/>
              <w:left w:val="nil"/>
              <w:bottom w:val="single" w:sz="4" w:space="0" w:color="auto"/>
              <w:right w:val="single" w:sz="4" w:space="0" w:color="auto"/>
            </w:tcBorders>
            <w:noWrap/>
            <w:vAlign w:val="center"/>
            <w:hideMark/>
          </w:tcPr>
          <w:p w14:paraId="2DC8B9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PRVA OSNOVNA ŠOLA SLOVENJ GRADEC</w:t>
            </w:r>
          </w:p>
        </w:tc>
      </w:tr>
      <w:tr w:rsidR="00F24E18" w14:paraId="7B9FCB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5D7A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1609</w:t>
            </w:r>
          </w:p>
        </w:tc>
        <w:tc>
          <w:tcPr>
            <w:tcW w:w="1300" w:type="dxa"/>
            <w:tcBorders>
              <w:top w:val="nil"/>
              <w:left w:val="nil"/>
              <w:bottom w:val="single" w:sz="4" w:space="0" w:color="auto"/>
              <w:right w:val="single" w:sz="4" w:space="0" w:color="auto"/>
            </w:tcBorders>
            <w:vAlign w:val="center"/>
            <w:hideMark/>
          </w:tcPr>
          <w:p w14:paraId="103BBA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5054818000</w:t>
            </w:r>
          </w:p>
        </w:tc>
        <w:tc>
          <w:tcPr>
            <w:tcW w:w="1012" w:type="dxa"/>
            <w:tcBorders>
              <w:top w:val="nil"/>
              <w:left w:val="nil"/>
              <w:bottom w:val="single" w:sz="4" w:space="0" w:color="auto"/>
              <w:right w:val="single" w:sz="4" w:space="0" w:color="auto"/>
            </w:tcBorders>
            <w:vAlign w:val="center"/>
            <w:hideMark/>
          </w:tcPr>
          <w:p w14:paraId="5E7624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94700699</w:t>
            </w:r>
          </w:p>
        </w:tc>
        <w:tc>
          <w:tcPr>
            <w:tcW w:w="5953" w:type="dxa"/>
            <w:tcBorders>
              <w:top w:val="nil"/>
              <w:left w:val="nil"/>
              <w:bottom w:val="single" w:sz="4" w:space="0" w:color="auto"/>
              <w:right w:val="single" w:sz="4" w:space="0" w:color="auto"/>
            </w:tcBorders>
            <w:noWrap/>
            <w:vAlign w:val="center"/>
            <w:hideMark/>
          </w:tcPr>
          <w:p w14:paraId="755FE9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PSIHIATRIČNA BOLNIŠNICA BEGUNJE</w:t>
            </w:r>
          </w:p>
        </w:tc>
      </w:tr>
      <w:tr w:rsidR="00F24E18" w14:paraId="16B8B6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594E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1610</w:t>
            </w:r>
          </w:p>
        </w:tc>
        <w:tc>
          <w:tcPr>
            <w:tcW w:w="1300" w:type="dxa"/>
            <w:tcBorders>
              <w:top w:val="nil"/>
              <w:left w:val="nil"/>
              <w:bottom w:val="single" w:sz="4" w:space="0" w:color="auto"/>
              <w:right w:val="single" w:sz="4" w:space="0" w:color="auto"/>
            </w:tcBorders>
            <w:vAlign w:val="center"/>
            <w:hideMark/>
          </w:tcPr>
          <w:p w14:paraId="491FFA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5053668000</w:t>
            </w:r>
          </w:p>
        </w:tc>
        <w:tc>
          <w:tcPr>
            <w:tcW w:w="1012" w:type="dxa"/>
            <w:tcBorders>
              <w:top w:val="nil"/>
              <w:left w:val="nil"/>
              <w:bottom w:val="single" w:sz="4" w:space="0" w:color="auto"/>
              <w:right w:val="single" w:sz="4" w:space="0" w:color="auto"/>
            </w:tcBorders>
            <w:vAlign w:val="center"/>
            <w:hideMark/>
          </w:tcPr>
          <w:p w14:paraId="6AE3CE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73393789</w:t>
            </w:r>
          </w:p>
        </w:tc>
        <w:tc>
          <w:tcPr>
            <w:tcW w:w="5953" w:type="dxa"/>
            <w:tcBorders>
              <w:top w:val="nil"/>
              <w:left w:val="nil"/>
              <w:bottom w:val="single" w:sz="4" w:space="0" w:color="auto"/>
              <w:right w:val="single" w:sz="4" w:space="0" w:color="auto"/>
            </w:tcBorders>
            <w:noWrap/>
            <w:vAlign w:val="center"/>
            <w:hideMark/>
          </w:tcPr>
          <w:p w14:paraId="4072FF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PSIHIATRIČNA BOLNIŠNICA IDRIJA</w:t>
            </w:r>
          </w:p>
        </w:tc>
      </w:tr>
      <w:tr w:rsidR="00F24E18" w14:paraId="5A6A466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2C76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1611</w:t>
            </w:r>
          </w:p>
        </w:tc>
        <w:tc>
          <w:tcPr>
            <w:tcW w:w="1300" w:type="dxa"/>
            <w:tcBorders>
              <w:top w:val="nil"/>
              <w:left w:val="nil"/>
              <w:bottom w:val="single" w:sz="4" w:space="0" w:color="auto"/>
              <w:right w:val="single" w:sz="4" w:space="0" w:color="auto"/>
            </w:tcBorders>
            <w:vAlign w:val="center"/>
            <w:hideMark/>
          </w:tcPr>
          <w:p w14:paraId="0FD090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5054788000</w:t>
            </w:r>
          </w:p>
        </w:tc>
        <w:tc>
          <w:tcPr>
            <w:tcW w:w="1012" w:type="dxa"/>
            <w:tcBorders>
              <w:top w:val="nil"/>
              <w:left w:val="nil"/>
              <w:bottom w:val="single" w:sz="4" w:space="0" w:color="auto"/>
              <w:right w:val="single" w:sz="4" w:space="0" w:color="auto"/>
            </w:tcBorders>
            <w:vAlign w:val="center"/>
            <w:hideMark/>
          </w:tcPr>
          <w:p w14:paraId="4F3323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98922904</w:t>
            </w:r>
          </w:p>
        </w:tc>
        <w:tc>
          <w:tcPr>
            <w:tcW w:w="5953" w:type="dxa"/>
            <w:tcBorders>
              <w:top w:val="nil"/>
              <w:left w:val="nil"/>
              <w:bottom w:val="single" w:sz="4" w:space="0" w:color="auto"/>
              <w:right w:val="single" w:sz="4" w:space="0" w:color="auto"/>
            </w:tcBorders>
            <w:noWrap/>
            <w:vAlign w:val="center"/>
            <w:hideMark/>
          </w:tcPr>
          <w:p w14:paraId="77D5A6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PSIHIATRIČNA BOLNIŠNICA ORMOŽ</w:t>
            </w:r>
          </w:p>
        </w:tc>
      </w:tr>
      <w:tr w:rsidR="00F24E18" w14:paraId="7948996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1C8C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1612</w:t>
            </w:r>
          </w:p>
        </w:tc>
        <w:tc>
          <w:tcPr>
            <w:tcW w:w="1300" w:type="dxa"/>
            <w:tcBorders>
              <w:top w:val="nil"/>
              <w:left w:val="nil"/>
              <w:bottom w:val="single" w:sz="4" w:space="0" w:color="auto"/>
              <w:right w:val="single" w:sz="4" w:space="0" w:color="auto"/>
            </w:tcBorders>
            <w:vAlign w:val="center"/>
            <w:hideMark/>
          </w:tcPr>
          <w:p w14:paraId="7435C1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5685800000</w:t>
            </w:r>
          </w:p>
        </w:tc>
        <w:tc>
          <w:tcPr>
            <w:tcW w:w="1012" w:type="dxa"/>
            <w:tcBorders>
              <w:top w:val="nil"/>
              <w:left w:val="nil"/>
              <w:bottom w:val="single" w:sz="4" w:space="0" w:color="auto"/>
              <w:right w:val="single" w:sz="4" w:space="0" w:color="auto"/>
            </w:tcBorders>
            <w:vAlign w:val="center"/>
            <w:hideMark/>
          </w:tcPr>
          <w:p w14:paraId="4D47E3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44691025</w:t>
            </w:r>
          </w:p>
        </w:tc>
        <w:tc>
          <w:tcPr>
            <w:tcW w:w="5953" w:type="dxa"/>
            <w:tcBorders>
              <w:top w:val="nil"/>
              <w:left w:val="nil"/>
              <w:bottom w:val="single" w:sz="4" w:space="0" w:color="auto"/>
              <w:right w:val="single" w:sz="4" w:space="0" w:color="auto"/>
            </w:tcBorders>
            <w:noWrap/>
            <w:vAlign w:val="center"/>
            <w:hideMark/>
          </w:tcPr>
          <w:p w14:paraId="59E31F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PSIHIATRIČNA BOLNIŠNICA VOJNIK</w:t>
            </w:r>
          </w:p>
        </w:tc>
      </w:tr>
      <w:tr w:rsidR="00F24E18" w14:paraId="40D7E0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31BD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1613</w:t>
            </w:r>
          </w:p>
        </w:tc>
        <w:tc>
          <w:tcPr>
            <w:tcW w:w="1300" w:type="dxa"/>
            <w:tcBorders>
              <w:top w:val="nil"/>
              <w:left w:val="nil"/>
              <w:bottom w:val="single" w:sz="4" w:space="0" w:color="auto"/>
              <w:right w:val="single" w:sz="4" w:space="0" w:color="auto"/>
            </w:tcBorders>
            <w:vAlign w:val="center"/>
            <w:hideMark/>
          </w:tcPr>
          <w:p w14:paraId="1C3794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5874742000</w:t>
            </w:r>
          </w:p>
        </w:tc>
        <w:tc>
          <w:tcPr>
            <w:tcW w:w="1012" w:type="dxa"/>
            <w:tcBorders>
              <w:top w:val="nil"/>
              <w:left w:val="nil"/>
              <w:bottom w:val="single" w:sz="4" w:space="0" w:color="auto"/>
              <w:right w:val="single" w:sz="4" w:space="0" w:color="auto"/>
            </w:tcBorders>
            <w:vAlign w:val="center"/>
            <w:hideMark/>
          </w:tcPr>
          <w:p w14:paraId="1B4DA8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72434295</w:t>
            </w:r>
          </w:p>
        </w:tc>
        <w:tc>
          <w:tcPr>
            <w:tcW w:w="5953" w:type="dxa"/>
            <w:tcBorders>
              <w:top w:val="nil"/>
              <w:left w:val="nil"/>
              <w:bottom w:val="single" w:sz="4" w:space="0" w:color="auto"/>
              <w:right w:val="single" w:sz="4" w:space="0" w:color="auto"/>
            </w:tcBorders>
            <w:noWrap/>
            <w:vAlign w:val="center"/>
            <w:hideMark/>
          </w:tcPr>
          <w:p w14:paraId="0D4F93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RAČUNSKO SODIŠČE REPUBLIKE SLOVENIJE</w:t>
            </w:r>
          </w:p>
        </w:tc>
      </w:tr>
      <w:tr w:rsidR="00F24E18" w14:paraId="416A2C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C558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1614</w:t>
            </w:r>
          </w:p>
        </w:tc>
        <w:tc>
          <w:tcPr>
            <w:tcW w:w="1300" w:type="dxa"/>
            <w:tcBorders>
              <w:top w:val="nil"/>
              <w:left w:val="nil"/>
              <w:bottom w:val="single" w:sz="4" w:space="0" w:color="auto"/>
              <w:right w:val="single" w:sz="4" w:space="0" w:color="auto"/>
            </w:tcBorders>
            <w:vAlign w:val="center"/>
            <w:hideMark/>
          </w:tcPr>
          <w:p w14:paraId="11EE33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5056497000</w:t>
            </w:r>
          </w:p>
        </w:tc>
        <w:tc>
          <w:tcPr>
            <w:tcW w:w="1012" w:type="dxa"/>
            <w:tcBorders>
              <w:top w:val="nil"/>
              <w:left w:val="nil"/>
              <w:bottom w:val="single" w:sz="4" w:space="0" w:color="auto"/>
              <w:right w:val="single" w:sz="4" w:space="0" w:color="auto"/>
            </w:tcBorders>
            <w:vAlign w:val="center"/>
            <w:hideMark/>
          </w:tcPr>
          <w:p w14:paraId="7A2793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29865174</w:t>
            </w:r>
          </w:p>
        </w:tc>
        <w:tc>
          <w:tcPr>
            <w:tcW w:w="5953" w:type="dxa"/>
            <w:tcBorders>
              <w:top w:val="nil"/>
              <w:left w:val="nil"/>
              <w:bottom w:val="single" w:sz="4" w:space="0" w:color="auto"/>
              <w:right w:val="single" w:sz="4" w:space="0" w:color="auto"/>
            </w:tcBorders>
            <w:noWrap/>
            <w:vAlign w:val="center"/>
            <w:hideMark/>
          </w:tcPr>
          <w:p w14:paraId="5B5AB1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RADIOTELEVIZIJA SLOVENIJA JAVNI ZAVOD, LJUBLJANA</w:t>
            </w:r>
          </w:p>
        </w:tc>
      </w:tr>
      <w:tr w:rsidR="00F24E18" w14:paraId="3F8761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3AB1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1615</w:t>
            </w:r>
          </w:p>
        </w:tc>
        <w:tc>
          <w:tcPr>
            <w:tcW w:w="1300" w:type="dxa"/>
            <w:tcBorders>
              <w:top w:val="nil"/>
              <w:left w:val="nil"/>
              <w:bottom w:val="single" w:sz="4" w:space="0" w:color="auto"/>
              <w:right w:val="single" w:sz="4" w:space="0" w:color="auto"/>
            </w:tcBorders>
            <w:noWrap/>
            <w:vAlign w:val="center"/>
            <w:hideMark/>
          </w:tcPr>
          <w:p w14:paraId="63B284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1490524000</w:t>
            </w:r>
          </w:p>
        </w:tc>
        <w:tc>
          <w:tcPr>
            <w:tcW w:w="1012" w:type="dxa"/>
            <w:tcBorders>
              <w:top w:val="nil"/>
              <w:left w:val="nil"/>
              <w:bottom w:val="single" w:sz="4" w:space="0" w:color="auto"/>
              <w:right w:val="single" w:sz="4" w:space="0" w:color="auto"/>
            </w:tcBorders>
            <w:noWrap/>
            <w:vAlign w:val="center"/>
            <w:hideMark/>
          </w:tcPr>
          <w:p w14:paraId="529845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71357963</w:t>
            </w:r>
          </w:p>
        </w:tc>
        <w:tc>
          <w:tcPr>
            <w:tcW w:w="5953" w:type="dxa"/>
            <w:tcBorders>
              <w:top w:val="nil"/>
              <w:left w:val="nil"/>
              <w:bottom w:val="single" w:sz="4" w:space="0" w:color="auto"/>
              <w:right w:val="single" w:sz="4" w:space="0" w:color="auto"/>
            </w:tcBorders>
            <w:noWrap/>
            <w:vAlign w:val="center"/>
            <w:hideMark/>
          </w:tcPr>
          <w:p w14:paraId="36B7AD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RAZVOJNA AGENCIJA KOZJANSKO</w:t>
            </w:r>
          </w:p>
        </w:tc>
      </w:tr>
      <w:tr w:rsidR="00F24E18" w14:paraId="177E60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BD54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1616</w:t>
            </w:r>
          </w:p>
        </w:tc>
        <w:tc>
          <w:tcPr>
            <w:tcW w:w="1300" w:type="dxa"/>
            <w:tcBorders>
              <w:top w:val="nil"/>
              <w:left w:val="nil"/>
              <w:bottom w:val="single" w:sz="4" w:space="0" w:color="auto"/>
              <w:right w:val="single" w:sz="4" w:space="0" w:color="auto"/>
            </w:tcBorders>
            <w:noWrap/>
            <w:vAlign w:val="center"/>
            <w:hideMark/>
          </w:tcPr>
          <w:p w14:paraId="456049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1227459000</w:t>
            </w:r>
          </w:p>
        </w:tc>
        <w:tc>
          <w:tcPr>
            <w:tcW w:w="1012" w:type="dxa"/>
            <w:tcBorders>
              <w:top w:val="nil"/>
              <w:left w:val="nil"/>
              <w:bottom w:val="single" w:sz="4" w:space="0" w:color="auto"/>
              <w:right w:val="single" w:sz="4" w:space="0" w:color="auto"/>
            </w:tcBorders>
            <w:noWrap/>
            <w:vAlign w:val="center"/>
            <w:hideMark/>
          </w:tcPr>
          <w:p w14:paraId="19EC10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17719852</w:t>
            </w:r>
          </w:p>
        </w:tc>
        <w:tc>
          <w:tcPr>
            <w:tcW w:w="5953" w:type="dxa"/>
            <w:tcBorders>
              <w:top w:val="nil"/>
              <w:left w:val="nil"/>
              <w:bottom w:val="single" w:sz="4" w:space="0" w:color="auto"/>
              <w:right w:val="single" w:sz="4" w:space="0" w:color="auto"/>
            </w:tcBorders>
            <w:noWrap/>
            <w:vAlign w:val="center"/>
            <w:hideMark/>
          </w:tcPr>
          <w:p w14:paraId="105492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RAZVOJNA AGENCIJA SAVINJSKO-ŠALEŠKE REGIJE, D. O. O.</w:t>
            </w:r>
          </w:p>
        </w:tc>
      </w:tr>
      <w:tr w:rsidR="00F24E18" w14:paraId="1C5733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5772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1617</w:t>
            </w:r>
          </w:p>
        </w:tc>
        <w:tc>
          <w:tcPr>
            <w:tcW w:w="1300" w:type="dxa"/>
            <w:tcBorders>
              <w:top w:val="nil"/>
              <w:left w:val="nil"/>
              <w:bottom w:val="single" w:sz="4" w:space="0" w:color="auto"/>
              <w:right w:val="single" w:sz="4" w:space="0" w:color="auto"/>
            </w:tcBorders>
            <w:noWrap/>
            <w:vAlign w:val="center"/>
            <w:hideMark/>
          </w:tcPr>
          <w:p w14:paraId="43D82A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2333813000</w:t>
            </w:r>
          </w:p>
        </w:tc>
        <w:tc>
          <w:tcPr>
            <w:tcW w:w="1012" w:type="dxa"/>
            <w:tcBorders>
              <w:top w:val="nil"/>
              <w:left w:val="nil"/>
              <w:bottom w:val="single" w:sz="4" w:space="0" w:color="auto"/>
              <w:right w:val="single" w:sz="4" w:space="0" w:color="auto"/>
            </w:tcBorders>
            <w:noWrap/>
            <w:vAlign w:val="center"/>
            <w:hideMark/>
          </w:tcPr>
          <w:p w14:paraId="56E332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89110528</w:t>
            </w:r>
          </w:p>
        </w:tc>
        <w:tc>
          <w:tcPr>
            <w:tcW w:w="5953" w:type="dxa"/>
            <w:tcBorders>
              <w:top w:val="nil"/>
              <w:left w:val="nil"/>
              <w:bottom w:val="single" w:sz="4" w:space="0" w:color="auto"/>
              <w:right w:val="single" w:sz="4" w:space="0" w:color="auto"/>
            </w:tcBorders>
            <w:noWrap/>
            <w:vAlign w:val="center"/>
            <w:hideMark/>
          </w:tcPr>
          <w:p w14:paraId="6512C6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RAZVOJNA AGENCIJA SLOVENSKE GORICE, D.O.O.</w:t>
            </w:r>
          </w:p>
        </w:tc>
      </w:tr>
      <w:tr w:rsidR="00F24E18" w14:paraId="307DA5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4EB6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1618</w:t>
            </w:r>
          </w:p>
        </w:tc>
        <w:tc>
          <w:tcPr>
            <w:tcW w:w="1300" w:type="dxa"/>
            <w:tcBorders>
              <w:top w:val="nil"/>
              <w:left w:val="nil"/>
              <w:bottom w:val="single" w:sz="4" w:space="0" w:color="auto"/>
              <w:right w:val="single" w:sz="4" w:space="0" w:color="auto"/>
            </w:tcBorders>
            <w:noWrap/>
            <w:vAlign w:val="center"/>
            <w:hideMark/>
          </w:tcPr>
          <w:p w14:paraId="5EC0A2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1490460000</w:t>
            </w:r>
          </w:p>
        </w:tc>
        <w:tc>
          <w:tcPr>
            <w:tcW w:w="1012" w:type="dxa"/>
            <w:tcBorders>
              <w:top w:val="nil"/>
              <w:left w:val="nil"/>
              <w:bottom w:val="single" w:sz="4" w:space="0" w:color="auto"/>
              <w:right w:val="single" w:sz="4" w:space="0" w:color="auto"/>
            </w:tcBorders>
            <w:noWrap/>
            <w:vAlign w:val="center"/>
            <w:hideMark/>
          </w:tcPr>
          <w:p w14:paraId="1F144C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74303759</w:t>
            </w:r>
          </w:p>
        </w:tc>
        <w:tc>
          <w:tcPr>
            <w:tcW w:w="5953" w:type="dxa"/>
            <w:tcBorders>
              <w:top w:val="nil"/>
              <w:left w:val="nil"/>
              <w:bottom w:val="single" w:sz="4" w:space="0" w:color="auto"/>
              <w:right w:val="single" w:sz="4" w:space="0" w:color="auto"/>
            </w:tcBorders>
            <w:noWrap/>
            <w:vAlign w:val="center"/>
            <w:hideMark/>
          </w:tcPr>
          <w:p w14:paraId="68C389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RAZVOJNA AGENCIJA SORA D.O.O.</w:t>
            </w:r>
          </w:p>
        </w:tc>
      </w:tr>
      <w:tr w:rsidR="00F24E18" w14:paraId="4E388E7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3293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1619</w:t>
            </w:r>
          </w:p>
        </w:tc>
        <w:tc>
          <w:tcPr>
            <w:tcW w:w="1300" w:type="dxa"/>
            <w:tcBorders>
              <w:top w:val="nil"/>
              <w:left w:val="nil"/>
              <w:bottom w:val="single" w:sz="4" w:space="0" w:color="auto"/>
              <w:right w:val="single" w:sz="4" w:space="0" w:color="auto"/>
            </w:tcBorders>
            <w:noWrap/>
            <w:vAlign w:val="center"/>
            <w:hideMark/>
          </w:tcPr>
          <w:p w14:paraId="32567D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1587609000</w:t>
            </w:r>
          </w:p>
        </w:tc>
        <w:tc>
          <w:tcPr>
            <w:tcW w:w="1012" w:type="dxa"/>
            <w:tcBorders>
              <w:top w:val="nil"/>
              <w:left w:val="nil"/>
              <w:bottom w:val="single" w:sz="4" w:space="0" w:color="auto"/>
              <w:right w:val="single" w:sz="4" w:space="0" w:color="auto"/>
            </w:tcBorders>
            <w:noWrap/>
            <w:vAlign w:val="center"/>
            <w:hideMark/>
          </w:tcPr>
          <w:p w14:paraId="3B1974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54935580</w:t>
            </w:r>
          </w:p>
        </w:tc>
        <w:tc>
          <w:tcPr>
            <w:tcW w:w="5953" w:type="dxa"/>
            <w:tcBorders>
              <w:top w:val="nil"/>
              <w:left w:val="nil"/>
              <w:bottom w:val="single" w:sz="4" w:space="0" w:color="auto"/>
              <w:right w:val="single" w:sz="4" w:space="0" w:color="auto"/>
            </w:tcBorders>
            <w:noWrap/>
            <w:vAlign w:val="center"/>
            <w:hideMark/>
          </w:tcPr>
          <w:p w14:paraId="5A9982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RAZVOJNA AGENCIJA SOTLA</w:t>
            </w:r>
          </w:p>
        </w:tc>
      </w:tr>
      <w:tr w:rsidR="00F24E18" w14:paraId="43225E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BEE3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1620</w:t>
            </w:r>
          </w:p>
        </w:tc>
        <w:tc>
          <w:tcPr>
            <w:tcW w:w="1300" w:type="dxa"/>
            <w:tcBorders>
              <w:top w:val="nil"/>
              <w:left w:val="nil"/>
              <w:bottom w:val="single" w:sz="4" w:space="0" w:color="auto"/>
              <w:right w:val="single" w:sz="4" w:space="0" w:color="auto"/>
            </w:tcBorders>
            <w:noWrap/>
            <w:vAlign w:val="center"/>
            <w:hideMark/>
          </w:tcPr>
          <w:p w14:paraId="381804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1540114000</w:t>
            </w:r>
          </w:p>
        </w:tc>
        <w:tc>
          <w:tcPr>
            <w:tcW w:w="1012" w:type="dxa"/>
            <w:tcBorders>
              <w:top w:val="nil"/>
              <w:left w:val="nil"/>
              <w:bottom w:val="single" w:sz="4" w:space="0" w:color="auto"/>
              <w:right w:val="single" w:sz="4" w:space="0" w:color="auto"/>
            </w:tcBorders>
            <w:noWrap/>
            <w:vAlign w:val="center"/>
            <w:hideMark/>
          </w:tcPr>
          <w:p w14:paraId="0C7503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99442809</w:t>
            </w:r>
          </w:p>
        </w:tc>
        <w:tc>
          <w:tcPr>
            <w:tcW w:w="5953" w:type="dxa"/>
            <w:tcBorders>
              <w:top w:val="nil"/>
              <w:left w:val="nil"/>
              <w:bottom w:val="single" w:sz="4" w:space="0" w:color="auto"/>
              <w:right w:val="single" w:sz="4" w:space="0" w:color="auto"/>
            </w:tcBorders>
            <w:noWrap/>
            <w:vAlign w:val="center"/>
            <w:hideMark/>
          </w:tcPr>
          <w:p w14:paraId="001510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RAZVOJNA AGENCIJA ZGORNJE GORENJSKE</w:t>
            </w:r>
          </w:p>
        </w:tc>
      </w:tr>
      <w:tr w:rsidR="00F24E18" w14:paraId="2B777D8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860D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1621</w:t>
            </w:r>
          </w:p>
        </w:tc>
        <w:tc>
          <w:tcPr>
            <w:tcW w:w="1300" w:type="dxa"/>
            <w:tcBorders>
              <w:top w:val="nil"/>
              <w:left w:val="nil"/>
              <w:bottom w:val="single" w:sz="4" w:space="0" w:color="auto"/>
              <w:right w:val="single" w:sz="4" w:space="0" w:color="auto"/>
            </w:tcBorders>
            <w:noWrap/>
            <w:vAlign w:val="center"/>
            <w:hideMark/>
          </w:tcPr>
          <w:p w14:paraId="69BEBA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5948193000</w:t>
            </w:r>
          </w:p>
        </w:tc>
        <w:tc>
          <w:tcPr>
            <w:tcW w:w="1012" w:type="dxa"/>
            <w:tcBorders>
              <w:top w:val="nil"/>
              <w:left w:val="nil"/>
              <w:bottom w:val="single" w:sz="4" w:space="0" w:color="auto"/>
              <w:right w:val="single" w:sz="4" w:space="0" w:color="auto"/>
            </w:tcBorders>
            <w:noWrap/>
            <w:vAlign w:val="center"/>
            <w:hideMark/>
          </w:tcPr>
          <w:p w14:paraId="54FB78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19252048</w:t>
            </w:r>
          </w:p>
        </w:tc>
        <w:tc>
          <w:tcPr>
            <w:tcW w:w="5953" w:type="dxa"/>
            <w:tcBorders>
              <w:top w:val="nil"/>
              <w:left w:val="nil"/>
              <w:bottom w:val="single" w:sz="4" w:space="0" w:color="auto"/>
              <w:right w:val="single" w:sz="4" w:space="0" w:color="auto"/>
            </w:tcBorders>
            <w:noWrap/>
            <w:vAlign w:val="center"/>
            <w:hideMark/>
          </w:tcPr>
          <w:p w14:paraId="4E40EA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RAZVOJNI CENTER MURSKA SOBOTA DEVELOPMENT CENTRE MURSKA SOBOTA</w:t>
            </w:r>
          </w:p>
        </w:tc>
      </w:tr>
      <w:tr w:rsidR="00F24E18" w14:paraId="0199DC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17BB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1622</w:t>
            </w:r>
          </w:p>
        </w:tc>
        <w:tc>
          <w:tcPr>
            <w:tcW w:w="1300" w:type="dxa"/>
            <w:tcBorders>
              <w:top w:val="nil"/>
              <w:left w:val="nil"/>
              <w:bottom w:val="single" w:sz="4" w:space="0" w:color="auto"/>
              <w:right w:val="single" w:sz="4" w:space="0" w:color="auto"/>
            </w:tcBorders>
            <w:noWrap/>
            <w:vAlign w:val="center"/>
            <w:hideMark/>
          </w:tcPr>
          <w:p w14:paraId="037A2E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1227319000</w:t>
            </w:r>
          </w:p>
        </w:tc>
        <w:tc>
          <w:tcPr>
            <w:tcW w:w="1012" w:type="dxa"/>
            <w:tcBorders>
              <w:top w:val="nil"/>
              <w:left w:val="nil"/>
              <w:bottom w:val="single" w:sz="4" w:space="0" w:color="auto"/>
              <w:right w:val="single" w:sz="4" w:space="0" w:color="auto"/>
            </w:tcBorders>
            <w:noWrap/>
            <w:vAlign w:val="center"/>
            <w:hideMark/>
          </w:tcPr>
          <w:p w14:paraId="015F6B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77074963</w:t>
            </w:r>
          </w:p>
        </w:tc>
        <w:tc>
          <w:tcPr>
            <w:tcW w:w="5953" w:type="dxa"/>
            <w:tcBorders>
              <w:top w:val="nil"/>
              <w:left w:val="nil"/>
              <w:bottom w:val="single" w:sz="4" w:space="0" w:color="auto"/>
              <w:right w:val="single" w:sz="4" w:space="0" w:color="auto"/>
            </w:tcBorders>
            <w:noWrap/>
            <w:vAlign w:val="center"/>
            <w:hideMark/>
          </w:tcPr>
          <w:p w14:paraId="44B227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RAZVOJNI CENTER NOVO MESTO, SVETOVANJE IN RAZVOJ, D.O.O.</w:t>
            </w:r>
          </w:p>
        </w:tc>
      </w:tr>
      <w:tr w:rsidR="00F24E18" w14:paraId="5BF097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B7D1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1623</w:t>
            </w:r>
          </w:p>
        </w:tc>
        <w:tc>
          <w:tcPr>
            <w:tcW w:w="1300" w:type="dxa"/>
            <w:tcBorders>
              <w:top w:val="nil"/>
              <w:left w:val="nil"/>
              <w:bottom w:val="single" w:sz="4" w:space="0" w:color="auto"/>
              <w:right w:val="single" w:sz="4" w:space="0" w:color="auto"/>
            </w:tcBorders>
            <w:noWrap/>
            <w:vAlign w:val="center"/>
            <w:hideMark/>
          </w:tcPr>
          <w:p w14:paraId="54FF3E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1489208000</w:t>
            </w:r>
          </w:p>
        </w:tc>
        <w:tc>
          <w:tcPr>
            <w:tcW w:w="1012" w:type="dxa"/>
            <w:tcBorders>
              <w:top w:val="nil"/>
              <w:left w:val="nil"/>
              <w:bottom w:val="single" w:sz="4" w:space="0" w:color="auto"/>
              <w:right w:val="single" w:sz="4" w:space="0" w:color="auto"/>
            </w:tcBorders>
            <w:noWrap/>
            <w:vAlign w:val="center"/>
            <w:hideMark/>
          </w:tcPr>
          <w:p w14:paraId="5F0178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35375701</w:t>
            </w:r>
          </w:p>
        </w:tc>
        <w:tc>
          <w:tcPr>
            <w:tcW w:w="5953" w:type="dxa"/>
            <w:tcBorders>
              <w:top w:val="nil"/>
              <w:left w:val="nil"/>
              <w:bottom w:val="single" w:sz="4" w:space="0" w:color="auto"/>
              <w:right w:val="single" w:sz="4" w:space="0" w:color="auto"/>
            </w:tcBorders>
            <w:noWrap/>
            <w:vAlign w:val="center"/>
            <w:hideMark/>
          </w:tcPr>
          <w:p w14:paraId="567EDC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RAZVOJNI CENTER SRCA SLOVENIJE, D.O.O.</w:t>
            </w:r>
          </w:p>
        </w:tc>
      </w:tr>
      <w:tr w:rsidR="00F24E18" w14:paraId="4F52FC1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EFD4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1624</w:t>
            </w:r>
          </w:p>
        </w:tc>
        <w:tc>
          <w:tcPr>
            <w:tcW w:w="1300" w:type="dxa"/>
            <w:tcBorders>
              <w:top w:val="nil"/>
              <w:left w:val="nil"/>
              <w:bottom w:val="single" w:sz="4" w:space="0" w:color="auto"/>
              <w:right w:val="single" w:sz="4" w:space="0" w:color="auto"/>
            </w:tcBorders>
            <w:noWrap/>
            <w:vAlign w:val="center"/>
            <w:hideMark/>
          </w:tcPr>
          <w:p w14:paraId="06B146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1518399000</w:t>
            </w:r>
          </w:p>
        </w:tc>
        <w:tc>
          <w:tcPr>
            <w:tcW w:w="1012" w:type="dxa"/>
            <w:tcBorders>
              <w:top w:val="nil"/>
              <w:left w:val="nil"/>
              <w:bottom w:val="single" w:sz="4" w:space="0" w:color="auto"/>
              <w:right w:val="single" w:sz="4" w:space="0" w:color="auto"/>
            </w:tcBorders>
            <w:noWrap/>
            <w:vAlign w:val="center"/>
            <w:hideMark/>
          </w:tcPr>
          <w:p w14:paraId="59D928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71124101</w:t>
            </w:r>
          </w:p>
        </w:tc>
        <w:tc>
          <w:tcPr>
            <w:tcW w:w="5953" w:type="dxa"/>
            <w:tcBorders>
              <w:top w:val="nil"/>
              <w:left w:val="nil"/>
              <w:bottom w:val="single" w:sz="4" w:space="0" w:color="auto"/>
              <w:right w:val="single" w:sz="4" w:space="0" w:color="auto"/>
            </w:tcBorders>
            <w:noWrap/>
            <w:vAlign w:val="center"/>
            <w:hideMark/>
          </w:tcPr>
          <w:p w14:paraId="7AF976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RAZVOJNO INFORMACIJSKI CENTER BELA KRAJINA</w:t>
            </w:r>
          </w:p>
        </w:tc>
      </w:tr>
      <w:tr w:rsidR="00F24E18" w14:paraId="1373A9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9D00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1625</w:t>
            </w:r>
          </w:p>
        </w:tc>
        <w:tc>
          <w:tcPr>
            <w:tcW w:w="1300" w:type="dxa"/>
            <w:tcBorders>
              <w:top w:val="nil"/>
              <w:left w:val="nil"/>
              <w:bottom w:val="single" w:sz="4" w:space="0" w:color="auto"/>
              <w:right w:val="single" w:sz="4" w:space="0" w:color="auto"/>
            </w:tcBorders>
            <w:vAlign w:val="center"/>
            <w:hideMark/>
          </w:tcPr>
          <w:p w14:paraId="4B19BC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1510045000</w:t>
            </w:r>
          </w:p>
        </w:tc>
        <w:tc>
          <w:tcPr>
            <w:tcW w:w="1012" w:type="dxa"/>
            <w:tcBorders>
              <w:top w:val="nil"/>
              <w:left w:val="nil"/>
              <w:bottom w:val="single" w:sz="4" w:space="0" w:color="auto"/>
              <w:right w:val="single" w:sz="4" w:space="0" w:color="auto"/>
            </w:tcBorders>
            <w:vAlign w:val="center"/>
            <w:hideMark/>
          </w:tcPr>
          <w:p w14:paraId="356D49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72326018</w:t>
            </w:r>
          </w:p>
        </w:tc>
        <w:tc>
          <w:tcPr>
            <w:tcW w:w="5953" w:type="dxa"/>
            <w:tcBorders>
              <w:top w:val="nil"/>
              <w:left w:val="nil"/>
              <w:bottom w:val="single" w:sz="4" w:space="0" w:color="auto"/>
              <w:right w:val="single" w:sz="4" w:space="0" w:color="auto"/>
            </w:tcBorders>
            <w:noWrap/>
            <w:vAlign w:val="center"/>
            <w:hideMark/>
          </w:tcPr>
          <w:p w14:paraId="3CA7FB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RAZVOJNO INFORMACIJSKI CENTER SLOVENSKA BISTRICA</w:t>
            </w:r>
          </w:p>
        </w:tc>
      </w:tr>
      <w:tr w:rsidR="00F24E18" w14:paraId="16090A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3415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w:t>
            </w:r>
          </w:p>
        </w:tc>
        <w:tc>
          <w:tcPr>
            <w:tcW w:w="1300" w:type="dxa"/>
            <w:tcBorders>
              <w:top w:val="nil"/>
              <w:left w:val="nil"/>
              <w:bottom w:val="single" w:sz="4" w:space="0" w:color="auto"/>
              <w:right w:val="single" w:sz="4" w:space="0" w:color="auto"/>
            </w:tcBorders>
            <w:noWrap/>
            <w:vAlign w:val="center"/>
            <w:hideMark/>
          </w:tcPr>
          <w:p w14:paraId="041B07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5051738000</w:t>
            </w:r>
          </w:p>
        </w:tc>
        <w:tc>
          <w:tcPr>
            <w:tcW w:w="1012" w:type="dxa"/>
            <w:tcBorders>
              <w:top w:val="nil"/>
              <w:left w:val="nil"/>
              <w:bottom w:val="single" w:sz="4" w:space="0" w:color="auto"/>
              <w:right w:val="single" w:sz="4" w:space="0" w:color="auto"/>
            </w:tcBorders>
            <w:noWrap/>
            <w:vAlign w:val="center"/>
            <w:hideMark/>
          </w:tcPr>
          <w:p w14:paraId="1C0241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53990129</w:t>
            </w:r>
          </w:p>
        </w:tc>
        <w:tc>
          <w:tcPr>
            <w:tcW w:w="5953" w:type="dxa"/>
            <w:tcBorders>
              <w:top w:val="nil"/>
              <w:left w:val="nil"/>
              <w:bottom w:val="single" w:sz="4" w:space="0" w:color="auto"/>
              <w:right w:val="single" w:sz="4" w:space="0" w:color="auto"/>
            </w:tcBorders>
            <w:noWrap/>
            <w:vAlign w:val="center"/>
            <w:hideMark/>
          </w:tcPr>
          <w:p w14:paraId="1D8F1A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RAZVOJNO IZOBRAŽEVALNI CENTER NOVO MESTO</w:t>
            </w:r>
          </w:p>
        </w:tc>
      </w:tr>
      <w:tr w:rsidR="00F24E18" w14:paraId="2EED42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3D1B7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w:t>
            </w:r>
          </w:p>
        </w:tc>
        <w:tc>
          <w:tcPr>
            <w:tcW w:w="1300" w:type="dxa"/>
            <w:tcBorders>
              <w:top w:val="nil"/>
              <w:left w:val="nil"/>
              <w:bottom w:val="single" w:sz="4" w:space="0" w:color="auto"/>
              <w:right w:val="single" w:sz="4" w:space="0" w:color="auto"/>
            </w:tcBorders>
            <w:vAlign w:val="center"/>
            <w:hideMark/>
          </w:tcPr>
          <w:p w14:paraId="4F7E91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5232210000</w:t>
            </w:r>
          </w:p>
        </w:tc>
        <w:tc>
          <w:tcPr>
            <w:tcW w:w="1012" w:type="dxa"/>
            <w:tcBorders>
              <w:top w:val="nil"/>
              <w:left w:val="nil"/>
              <w:bottom w:val="single" w:sz="4" w:space="0" w:color="auto"/>
              <w:right w:val="single" w:sz="4" w:space="0" w:color="auto"/>
            </w:tcBorders>
            <w:vAlign w:val="center"/>
            <w:hideMark/>
          </w:tcPr>
          <w:p w14:paraId="45A398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69628955</w:t>
            </w:r>
          </w:p>
        </w:tc>
        <w:tc>
          <w:tcPr>
            <w:tcW w:w="5953" w:type="dxa"/>
            <w:tcBorders>
              <w:top w:val="nil"/>
              <w:left w:val="nil"/>
              <w:bottom w:val="single" w:sz="4" w:space="0" w:color="auto"/>
              <w:right w:val="single" w:sz="4" w:space="0" w:color="auto"/>
            </w:tcBorders>
            <w:noWrap/>
            <w:vAlign w:val="center"/>
            <w:hideMark/>
          </w:tcPr>
          <w:p w14:paraId="301BA0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RDEČA DVORANA ŠPORTNO REKREACIJSKI ZAVOD</w:t>
            </w:r>
          </w:p>
        </w:tc>
      </w:tr>
      <w:tr w:rsidR="00F24E18" w14:paraId="7693D80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240E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1628</w:t>
            </w:r>
          </w:p>
        </w:tc>
        <w:tc>
          <w:tcPr>
            <w:tcW w:w="1300" w:type="dxa"/>
            <w:tcBorders>
              <w:top w:val="nil"/>
              <w:left w:val="nil"/>
              <w:bottom w:val="single" w:sz="4" w:space="0" w:color="auto"/>
              <w:right w:val="single" w:sz="4" w:space="0" w:color="auto"/>
            </w:tcBorders>
            <w:noWrap/>
            <w:vAlign w:val="center"/>
            <w:hideMark/>
          </w:tcPr>
          <w:p w14:paraId="0548CB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1469100000</w:t>
            </w:r>
          </w:p>
        </w:tc>
        <w:tc>
          <w:tcPr>
            <w:tcW w:w="1012" w:type="dxa"/>
            <w:tcBorders>
              <w:top w:val="nil"/>
              <w:left w:val="nil"/>
              <w:bottom w:val="single" w:sz="4" w:space="0" w:color="auto"/>
              <w:right w:val="single" w:sz="4" w:space="0" w:color="auto"/>
            </w:tcBorders>
            <w:noWrap/>
            <w:vAlign w:val="center"/>
            <w:hideMark/>
          </w:tcPr>
          <w:p w14:paraId="54B3B7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65950704</w:t>
            </w:r>
          </w:p>
        </w:tc>
        <w:tc>
          <w:tcPr>
            <w:tcW w:w="5953" w:type="dxa"/>
            <w:tcBorders>
              <w:top w:val="nil"/>
              <w:left w:val="nil"/>
              <w:bottom w:val="single" w:sz="4" w:space="0" w:color="auto"/>
              <w:right w:val="single" w:sz="4" w:space="0" w:color="auto"/>
            </w:tcBorders>
            <w:noWrap/>
            <w:vAlign w:val="center"/>
            <w:hideMark/>
          </w:tcPr>
          <w:p w14:paraId="0D9A61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REGIJSKA RAZVOJNA AGENCIJA ROD AJDOVŠČINA</w:t>
            </w:r>
          </w:p>
        </w:tc>
      </w:tr>
      <w:tr w:rsidR="00F24E18" w14:paraId="1D3943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D39D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1629</w:t>
            </w:r>
          </w:p>
        </w:tc>
        <w:tc>
          <w:tcPr>
            <w:tcW w:w="1300" w:type="dxa"/>
            <w:tcBorders>
              <w:top w:val="nil"/>
              <w:left w:val="nil"/>
              <w:bottom w:val="single" w:sz="4" w:space="0" w:color="auto"/>
              <w:right w:val="single" w:sz="4" w:space="0" w:color="auto"/>
            </w:tcBorders>
            <w:vAlign w:val="center"/>
            <w:hideMark/>
          </w:tcPr>
          <w:p w14:paraId="715E39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1584758000</w:t>
            </w:r>
          </w:p>
        </w:tc>
        <w:tc>
          <w:tcPr>
            <w:tcW w:w="1012" w:type="dxa"/>
            <w:tcBorders>
              <w:top w:val="nil"/>
              <w:left w:val="nil"/>
              <w:bottom w:val="single" w:sz="4" w:space="0" w:color="auto"/>
              <w:right w:val="single" w:sz="4" w:space="0" w:color="auto"/>
            </w:tcBorders>
            <w:vAlign w:val="center"/>
            <w:hideMark/>
          </w:tcPr>
          <w:p w14:paraId="46D7A4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36213250</w:t>
            </w:r>
          </w:p>
        </w:tc>
        <w:tc>
          <w:tcPr>
            <w:tcW w:w="5953" w:type="dxa"/>
            <w:tcBorders>
              <w:top w:val="nil"/>
              <w:left w:val="nil"/>
              <w:bottom w:val="single" w:sz="4" w:space="0" w:color="auto"/>
              <w:right w:val="single" w:sz="4" w:space="0" w:color="auto"/>
            </w:tcBorders>
            <w:noWrap/>
            <w:vAlign w:val="center"/>
            <w:hideMark/>
          </w:tcPr>
          <w:p w14:paraId="59E0B9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REGIONALNA RAZVOJNA AGENCIJA - LJUBLJANSKE URBANE REGIJE</w:t>
            </w:r>
          </w:p>
        </w:tc>
      </w:tr>
      <w:tr w:rsidR="00F24E18" w14:paraId="35AF53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E199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1630</w:t>
            </w:r>
          </w:p>
        </w:tc>
        <w:tc>
          <w:tcPr>
            <w:tcW w:w="1300" w:type="dxa"/>
            <w:tcBorders>
              <w:top w:val="nil"/>
              <w:left w:val="nil"/>
              <w:bottom w:val="single" w:sz="4" w:space="0" w:color="auto"/>
              <w:right w:val="single" w:sz="4" w:space="0" w:color="auto"/>
            </w:tcBorders>
            <w:noWrap/>
            <w:vAlign w:val="center"/>
            <w:hideMark/>
          </w:tcPr>
          <w:p w14:paraId="41CC46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1338811000</w:t>
            </w:r>
          </w:p>
        </w:tc>
        <w:tc>
          <w:tcPr>
            <w:tcW w:w="1012" w:type="dxa"/>
            <w:tcBorders>
              <w:top w:val="nil"/>
              <w:left w:val="nil"/>
              <w:bottom w:val="single" w:sz="4" w:space="0" w:color="auto"/>
              <w:right w:val="single" w:sz="4" w:space="0" w:color="auto"/>
            </w:tcBorders>
            <w:noWrap/>
            <w:vAlign w:val="center"/>
            <w:hideMark/>
          </w:tcPr>
          <w:p w14:paraId="54AA67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12235016</w:t>
            </w:r>
          </w:p>
        </w:tc>
        <w:tc>
          <w:tcPr>
            <w:tcW w:w="5953" w:type="dxa"/>
            <w:tcBorders>
              <w:top w:val="nil"/>
              <w:left w:val="nil"/>
              <w:bottom w:val="single" w:sz="4" w:space="0" w:color="auto"/>
              <w:right w:val="single" w:sz="4" w:space="0" w:color="auto"/>
            </w:tcBorders>
            <w:noWrap/>
            <w:vAlign w:val="center"/>
            <w:hideMark/>
          </w:tcPr>
          <w:p w14:paraId="284337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REGIONALNA RAZVOJNA AGENCIJA POSAVJE</w:t>
            </w:r>
          </w:p>
        </w:tc>
      </w:tr>
      <w:tr w:rsidR="00F24E18" w14:paraId="00A4E4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2E02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1631</w:t>
            </w:r>
          </w:p>
        </w:tc>
        <w:tc>
          <w:tcPr>
            <w:tcW w:w="1300" w:type="dxa"/>
            <w:tcBorders>
              <w:top w:val="nil"/>
              <w:left w:val="nil"/>
              <w:bottom w:val="single" w:sz="4" w:space="0" w:color="auto"/>
              <w:right w:val="single" w:sz="4" w:space="0" w:color="auto"/>
            </w:tcBorders>
            <w:vAlign w:val="center"/>
            <w:hideMark/>
          </w:tcPr>
          <w:p w14:paraId="5A251F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5778336000</w:t>
            </w:r>
          </w:p>
        </w:tc>
        <w:tc>
          <w:tcPr>
            <w:tcW w:w="1012" w:type="dxa"/>
            <w:tcBorders>
              <w:top w:val="nil"/>
              <w:left w:val="nil"/>
              <w:bottom w:val="single" w:sz="4" w:space="0" w:color="auto"/>
              <w:right w:val="single" w:sz="4" w:space="0" w:color="auto"/>
            </w:tcBorders>
            <w:vAlign w:val="center"/>
            <w:hideMark/>
          </w:tcPr>
          <w:p w14:paraId="5D2941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33925950</w:t>
            </w:r>
          </w:p>
        </w:tc>
        <w:tc>
          <w:tcPr>
            <w:tcW w:w="5953" w:type="dxa"/>
            <w:tcBorders>
              <w:top w:val="nil"/>
              <w:left w:val="nil"/>
              <w:bottom w:val="single" w:sz="4" w:space="0" w:color="auto"/>
              <w:right w:val="single" w:sz="4" w:space="0" w:color="auto"/>
            </w:tcBorders>
            <w:noWrap/>
            <w:vAlign w:val="center"/>
            <w:hideMark/>
          </w:tcPr>
          <w:p w14:paraId="12BD3B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REGIONALNA RAZVOJNA AGENCIJA ZA PODRAVJE - MARIBOR</w:t>
            </w:r>
          </w:p>
        </w:tc>
      </w:tr>
      <w:tr w:rsidR="00F24E18" w14:paraId="24627E7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CCD3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1632</w:t>
            </w:r>
          </w:p>
        </w:tc>
        <w:tc>
          <w:tcPr>
            <w:tcW w:w="1300" w:type="dxa"/>
            <w:tcBorders>
              <w:top w:val="nil"/>
              <w:left w:val="nil"/>
              <w:bottom w:val="single" w:sz="4" w:space="0" w:color="auto"/>
              <w:right w:val="single" w:sz="4" w:space="0" w:color="auto"/>
            </w:tcBorders>
            <w:vAlign w:val="center"/>
            <w:hideMark/>
          </w:tcPr>
          <w:p w14:paraId="5CD168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5868696000</w:t>
            </w:r>
          </w:p>
        </w:tc>
        <w:tc>
          <w:tcPr>
            <w:tcW w:w="1012" w:type="dxa"/>
            <w:tcBorders>
              <w:top w:val="nil"/>
              <w:left w:val="nil"/>
              <w:bottom w:val="single" w:sz="4" w:space="0" w:color="auto"/>
              <w:right w:val="single" w:sz="4" w:space="0" w:color="auto"/>
            </w:tcBorders>
            <w:vAlign w:val="center"/>
            <w:hideMark/>
          </w:tcPr>
          <w:p w14:paraId="689C9C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28049705</w:t>
            </w:r>
          </w:p>
        </w:tc>
        <w:tc>
          <w:tcPr>
            <w:tcW w:w="5953" w:type="dxa"/>
            <w:tcBorders>
              <w:top w:val="nil"/>
              <w:left w:val="nil"/>
              <w:bottom w:val="single" w:sz="4" w:space="0" w:color="auto"/>
              <w:right w:val="single" w:sz="4" w:space="0" w:color="auto"/>
            </w:tcBorders>
            <w:noWrap/>
            <w:vAlign w:val="center"/>
            <w:hideMark/>
          </w:tcPr>
          <w:p w14:paraId="5B3F3F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REGIONALNI RAZVOJNI CENTER KOPER CENTRO REGIONALE DI SVILUPPO CAPODISTRIA</w:t>
            </w:r>
          </w:p>
        </w:tc>
      </w:tr>
      <w:tr w:rsidR="00F24E18" w14:paraId="086DE1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9B2D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1633</w:t>
            </w:r>
          </w:p>
        </w:tc>
        <w:tc>
          <w:tcPr>
            <w:tcW w:w="1300" w:type="dxa"/>
            <w:tcBorders>
              <w:top w:val="nil"/>
              <w:left w:val="nil"/>
              <w:bottom w:val="single" w:sz="4" w:space="0" w:color="auto"/>
              <w:right w:val="single" w:sz="4" w:space="0" w:color="auto"/>
            </w:tcBorders>
            <w:noWrap/>
            <w:vAlign w:val="center"/>
            <w:hideMark/>
          </w:tcPr>
          <w:p w14:paraId="6934C6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5886392000</w:t>
            </w:r>
          </w:p>
        </w:tc>
        <w:tc>
          <w:tcPr>
            <w:tcW w:w="1012" w:type="dxa"/>
            <w:tcBorders>
              <w:top w:val="nil"/>
              <w:left w:val="nil"/>
              <w:bottom w:val="single" w:sz="4" w:space="0" w:color="auto"/>
              <w:right w:val="single" w:sz="4" w:space="0" w:color="auto"/>
            </w:tcBorders>
            <w:noWrap/>
            <w:vAlign w:val="center"/>
            <w:hideMark/>
          </w:tcPr>
          <w:p w14:paraId="28B1F4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35332409</w:t>
            </w:r>
          </w:p>
        </w:tc>
        <w:tc>
          <w:tcPr>
            <w:tcW w:w="5953" w:type="dxa"/>
            <w:tcBorders>
              <w:top w:val="nil"/>
              <w:left w:val="nil"/>
              <w:bottom w:val="single" w:sz="4" w:space="0" w:color="auto"/>
              <w:right w:val="single" w:sz="4" w:space="0" w:color="auto"/>
            </w:tcBorders>
            <w:noWrap/>
            <w:vAlign w:val="center"/>
            <w:hideMark/>
          </w:tcPr>
          <w:p w14:paraId="4E0748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AJDOVŠČINA</w:t>
            </w:r>
          </w:p>
        </w:tc>
      </w:tr>
      <w:tr w:rsidR="00F24E18" w14:paraId="5B48059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6C28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1634</w:t>
            </w:r>
          </w:p>
        </w:tc>
        <w:tc>
          <w:tcPr>
            <w:tcW w:w="1300" w:type="dxa"/>
            <w:tcBorders>
              <w:top w:val="nil"/>
              <w:left w:val="nil"/>
              <w:bottom w:val="single" w:sz="4" w:space="0" w:color="auto"/>
              <w:right w:val="single" w:sz="4" w:space="0" w:color="auto"/>
            </w:tcBorders>
            <w:noWrap/>
            <w:vAlign w:val="center"/>
            <w:hideMark/>
          </w:tcPr>
          <w:p w14:paraId="225C42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5886384000</w:t>
            </w:r>
          </w:p>
        </w:tc>
        <w:tc>
          <w:tcPr>
            <w:tcW w:w="1012" w:type="dxa"/>
            <w:tcBorders>
              <w:top w:val="nil"/>
              <w:left w:val="nil"/>
              <w:bottom w:val="single" w:sz="4" w:space="0" w:color="auto"/>
              <w:right w:val="single" w:sz="4" w:space="0" w:color="auto"/>
            </w:tcBorders>
            <w:noWrap/>
            <w:vAlign w:val="center"/>
            <w:hideMark/>
          </w:tcPr>
          <w:p w14:paraId="48693E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79369502</w:t>
            </w:r>
          </w:p>
        </w:tc>
        <w:tc>
          <w:tcPr>
            <w:tcW w:w="5953" w:type="dxa"/>
            <w:tcBorders>
              <w:top w:val="nil"/>
              <w:left w:val="nil"/>
              <w:bottom w:val="single" w:sz="4" w:space="0" w:color="auto"/>
              <w:right w:val="single" w:sz="4" w:space="0" w:color="auto"/>
            </w:tcBorders>
            <w:noWrap/>
            <w:vAlign w:val="center"/>
            <w:hideMark/>
          </w:tcPr>
          <w:p w14:paraId="0887C2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BREŽICE</w:t>
            </w:r>
          </w:p>
        </w:tc>
      </w:tr>
      <w:tr w:rsidR="00F24E18" w14:paraId="193016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0C30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1635</w:t>
            </w:r>
          </w:p>
        </w:tc>
        <w:tc>
          <w:tcPr>
            <w:tcW w:w="1300" w:type="dxa"/>
            <w:tcBorders>
              <w:top w:val="nil"/>
              <w:left w:val="nil"/>
              <w:bottom w:val="single" w:sz="4" w:space="0" w:color="auto"/>
              <w:right w:val="single" w:sz="4" w:space="0" w:color="auto"/>
            </w:tcBorders>
            <w:noWrap/>
            <w:vAlign w:val="center"/>
            <w:hideMark/>
          </w:tcPr>
          <w:p w14:paraId="6FA013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5886376000</w:t>
            </w:r>
          </w:p>
        </w:tc>
        <w:tc>
          <w:tcPr>
            <w:tcW w:w="1012" w:type="dxa"/>
            <w:tcBorders>
              <w:top w:val="nil"/>
              <w:left w:val="nil"/>
              <w:bottom w:val="single" w:sz="4" w:space="0" w:color="auto"/>
              <w:right w:val="single" w:sz="4" w:space="0" w:color="auto"/>
            </w:tcBorders>
            <w:noWrap/>
            <w:vAlign w:val="center"/>
            <w:hideMark/>
          </w:tcPr>
          <w:p w14:paraId="6B0692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69982163</w:t>
            </w:r>
          </w:p>
        </w:tc>
        <w:tc>
          <w:tcPr>
            <w:tcW w:w="5953" w:type="dxa"/>
            <w:tcBorders>
              <w:top w:val="nil"/>
              <w:left w:val="nil"/>
              <w:bottom w:val="single" w:sz="4" w:space="0" w:color="auto"/>
              <w:right w:val="single" w:sz="4" w:space="0" w:color="auto"/>
            </w:tcBorders>
            <w:noWrap/>
            <w:vAlign w:val="center"/>
            <w:hideMark/>
          </w:tcPr>
          <w:p w14:paraId="7628E0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CELJE</w:t>
            </w:r>
          </w:p>
        </w:tc>
      </w:tr>
      <w:tr w:rsidR="00F24E18" w14:paraId="5BBBD77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EC38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1636</w:t>
            </w:r>
          </w:p>
        </w:tc>
        <w:tc>
          <w:tcPr>
            <w:tcW w:w="1300" w:type="dxa"/>
            <w:tcBorders>
              <w:top w:val="nil"/>
              <w:left w:val="nil"/>
              <w:bottom w:val="single" w:sz="4" w:space="0" w:color="auto"/>
              <w:right w:val="single" w:sz="4" w:space="0" w:color="auto"/>
            </w:tcBorders>
            <w:noWrap/>
            <w:vAlign w:val="center"/>
            <w:hideMark/>
          </w:tcPr>
          <w:p w14:paraId="554314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5886368000</w:t>
            </w:r>
          </w:p>
        </w:tc>
        <w:tc>
          <w:tcPr>
            <w:tcW w:w="1012" w:type="dxa"/>
            <w:tcBorders>
              <w:top w:val="nil"/>
              <w:left w:val="nil"/>
              <w:bottom w:val="single" w:sz="4" w:space="0" w:color="auto"/>
              <w:right w:val="single" w:sz="4" w:space="0" w:color="auto"/>
            </w:tcBorders>
            <w:noWrap/>
            <w:vAlign w:val="center"/>
            <w:hideMark/>
          </w:tcPr>
          <w:p w14:paraId="0985AF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85085502</w:t>
            </w:r>
          </w:p>
        </w:tc>
        <w:tc>
          <w:tcPr>
            <w:tcW w:w="5953" w:type="dxa"/>
            <w:tcBorders>
              <w:top w:val="nil"/>
              <w:left w:val="nil"/>
              <w:bottom w:val="single" w:sz="4" w:space="0" w:color="auto"/>
              <w:right w:val="single" w:sz="4" w:space="0" w:color="auto"/>
            </w:tcBorders>
            <w:noWrap/>
            <w:vAlign w:val="center"/>
            <w:hideMark/>
          </w:tcPr>
          <w:p w14:paraId="68BAA7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CERKNICA</w:t>
            </w:r>
          </w:p>
        </w:tc>
      </w:tr>
      <w:tr w:rsidR="00F24E18" w14:paraId="062CB8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45F6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1637</w:t>
            </w:r>
          </w:p>
        </w:tc>
        <w:tc>
          <w:tcPr>
            <w:tcW w:w="1300" w:type="dxa"/>
            <w:tcBorders>
              <w:top w:val="nil"/>
              <w:left w:val="nil"/>
              <w:bottom w:val="single" w:sz="4" w:space="0" w:color="auto"/>
              <w:right w:val="single" w:sz="4" w:space="0" w:color="auto"/>
            </w:tcBorders>
            <w:noWrap/>
            <w:vAlign w:val="center"/>
            <w:hideMark/>
          </w:tcPr>
          <w:p w14:paraId="2708B9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5886350000</w:t>
            </w:r>
          </w:p>
        </w:tc>
        <w:tc>
          <w:tcPr>
            <w:tcW w:w="1012" w:type="dxa"/>
            <w:tcBorders>
              <w:top w:val="nil"/>
              <w:left w:val="nil"/>
              <w:bottom w:val="single" w:sz="4" w:space="0" w:color="auto"/>
              <w:right w:val="single" w:sz="4" w:space="0" w:color="auto"/>
            </w:tcBorders>
            <w:noWrap/>
            <w:vAlign w:val="center"/>
            <w:hideMark/>
          </w:tcPr>
          <w:p w14:paraId="14CBF4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57545871</w:t>
            </w:r>
          </w:p>
        </w:tc>
        <w:tc>
          <w:tcPr>
            <w:tcW w:w="5953" w:type="dxa"/>
            <w:tcBorders>
              <w:top w:val="nil"/>
              <w:left w:val="nil"/>
              <w:bottom w:val="single" w:sz="4" w:space="0" w:color="auto"/>
              <w:right w:val="single" w:sz="4" w:space="0" w:color="auto"/>
            </w:tcBorders>
            <w:noWrap/>
            <w:vAlign w:val="center"/>
            <w:hideMark/>
          </w:tcPr>
          <w:p w14:paraId="6F6B65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DOMŽALE</w:t>
            </w:r>
          </w:p>
        </w:tc>
      </w:tr>
      <w:tr w:rsidR="00F24E18" w14:paraId="40AE3E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ADB5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1638</w:t>
            </w:r>
          </w:p>
        </w:tc>
        <w:tc>
          <w:tcPr>
            <w:tcW w:w="1300" w:type="dxa"/>
            <w:tcBorders>
              <w:top w:val="nil"/>
              <w:left w:val="nil"/>
              <w:bottom w:val="single" w:sz="4" w:space="0" w:color="auto"/>
              <w:right w:val="single" w:sz="4" w:space="0" w:color="auto"/>
            </w:tcBorders>
            <w:noWrap/>
            <w:vAlign w:val="center"/>
            <w:hideMark/>
          </w:tcPr>
          <w:p w14:paraId="2F19BF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5886341000</w:t>
            </w:r>
          </w:p>
        </w:tc>
        <w:tc>
          <w:tcPr>
            <w:tcW w:w="1012" w:type="dxa"/>
            <w:tcBorders>
              <w:top w:val="nil"/>
              <w:left w:val="nil"/>
              <w:bottom w:val="single" w:sz="4" w:space="0" w:color="auto"/>
              <w:right w:val="single" w:sz="4" w:space="0" w:color="auto"/>
            </w:tcBorders>
            <w:noWrap/>
            <w:vAlign w:val="center"/>
            <w:hideMark/>
          </w:tcPr>
          <w:p w14:paraId="09C258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84280654</w:t>
            </w:r>
          </w:p>
        </w:tc>
        <w:tc>
          <w:tcPr>
            <w:tcW w:w="5953" w:type="dxa"/>
            <w:tcBorders>
              <w:top w:val="nil"/>
              <w:left w:val="nil"/>
              <w:bottom w:val="single" w:sz="4" w:space="0" w:color="auto"/>
              <w:right w:val="single" w:sz="4" w:space="0" w:color="auto"/>
            </w:tcBorders>
            <w:noWrap/>
            <w:vAlign w:val="center"/>
            <w:hideMark/>
          </w:tcPr>
          <w:p w14:paraId="7FC4EC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DRAVOGRAD</w:t>
            </w:r>
          </w:p>
        </w:tc>
      </w:tr>
      <w:tr w:rsidR="00F24E18" w14:paraId="296840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B1E3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1639</w:t>
            </w:r>
          </w:p>
        </w:tc>
        <w:tc>
          <w:tcPr>
            <w:tcW w:w="1300" w:type="dxa"/>
            <w:tcBorders>
              <w:top w:val="nil"/>
              <w:left w:val="nil"/>
              <w:bottom w:val="single" w:sz="4" w:space="0" w:color="auto"/>
              <w:right w:val="single" w:sz="4" w:space="0" w:color="auto"/>
            </w:tcBorders>
            <w:noWrap/>
            <w:vAlign w:val="center"/>
            <w:hideMark/>
          </w:tcPr>
          <w:p w14:paraId="7E63C7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5886333000</w:t>
            </w:r>
          </w:p>
        </w:tc>
        <w:tc>
          <w:tcPr>
            <w:tcW w:w="1012" w:type="dxa"/>
            <w:tcBorders>
              <w:top w:val="nil"/>
              <w:left w:val="nil"/>
              <w:bottom w:val="single" w:sz="4" w:space="0" w:color="auto"/>
              <w:right w:val="single" w:sz="4" w:space="0" w:color="auto"/>
            </w:tcBorders>
            <w:noWrap/>
            <w:vAlign w:val="center"/>
            <w:hideMark/>
          </w:tcPr>
          <w:p w14:paraId="54E48B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20797460</w:t>
            </w:r>
          </w:p>
        </w:tc>
        <w:tc>
          <w:tcPr>
            <w:tcW w:w="5953" w:type="dxa"/>
            <w:tcBorders>
              <w:top w:val="nil"/>
              <w:left w:val="nil"/>
              <w:bottom w:val="single" w:sz="4" w:space="0" w:color="auto"/>
              <w:right w:val="single" w:sz="4" w:space="0" w:color="auto"/>
            </w:tcBorders>
            <w:noWrap/>
            <w:vAlign w:val="center"/>
            <w:hideMark/>
          </w:tcPr>
          <w:p w14:paraId="5ED841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GORNJA RADGONA</w:t>
            </w:r>
          </w:p>
        </w:tc>
      </w:tr>
      <w:tr w:rsidR="00F24E18" w14:paraId="67935C4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77CF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1640</w:t>
            </w:r>
          </w:p>
        </w:tc>
        <w:tc>
          <w:tcPr>
            <w:tcW w:w="1300" w:type="dxa"/>
            <w:tcBorders>
              <w:top w:val="nil"/>
              <w:left w:val="nil"/>
              <w:bottom w:val="single" w:sz="4" w:space="0" w:color="auto"/>
              <w:right w:val="single" w:sz="4" w:space="0" w:color="auto"/>
            </w:tcBorders>
            <w:noWrap/>
            <w:vAlign w:val="center"/>
            <w:hideMark/>
          </w:tcPr>
          <w:p w14:paraId="525D28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5886325000</w:t>
            </w:r>
          </w:p>
        </w:tc>
        <w:tc>
          <w:tcPr>
            <w:tcW w:w="1012" w:type="dxa"/>
            <w:tcBorders>
              <w:top w:val="nil"/>
              <w:left w:val="nil"/>
              <w:bottom w:val="single" w:sz="4" w:space="0" w:color="auto"/>
              <w:right w:val="single" w:sz="4" w:space="0" w:color="auto"/>
            </w:tcBorders>
            <w:noWrap/>
            <w:vAlign w:val="center"/>
            <w:hideMark/>
          </w:tcPr>
          <w:p w14:paraId="5AF977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19031548</w:t>
            </w:r>
          </w:p>
        </w:tc>
        <w:tc>
          <w:tcPr>
            <w:tcW w:w="5953" w:type="dxa"/>
            <w:tcBorders>
              <w:top w:val="nil"/>
              <w:left w:val="nil"/>
              <w:bottom w:val="single" w:sz="4" w:space="0" w:color="auto"/>
              <w:right w:val="single" w:sz="4" w:space="0" w:color="auto"/>
            </w:tcBorders>
            <w:noWrap/>
            <w:vAlign w:val="center"/>
            <w:hideMark/>
          </w:tcPr>
          <w:p w14:paraId="2F6C44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GROSUPLJE</w:t>
            </w:r>
          </w:p>
        </w:tc>
      </w:tr>
      <w:tr w:rsidR="00F24E18" w14:paraId="506FAD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4778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1641</w:t>
            </w:r>
          </w:p>
        </w:tc>
        <w:tc>
          <w:tcPr>
            <w:tcW w:w="1300" w:type="dxa"/>
            <w:tcBorders>
              <w:top w:val="nil"/>
              <w:left w:val="nil"/>
              <w:bottom w:val="single" w:sz="4" w:space="0" w:color="auto"/>
              <w:right w:val="single" w:sz="4" w:space="0" w:color="auto"/>
            </w:tcBorders>
            <w:noWrap/>
            <w:vAlign w:val="center"/>
            <w:hideMark/>
          </w:tcPr>
          <w:p w14:paraId="1FD7E1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5886317000</w:t>
            </w:r>
          </w:p>
        </w:tc>
        <w:tc>
          <w:tcPr>
            <w:tcW w:w="1012" w:type="dxa"/>
            <w:tcBorders>
              <w:top w:val="nil"/>
              <w:left w:val="nil"/>
              <w:bottom w:val="single" w:sz="4" w:space="0" w:color="auto"/>
              <w:right w:val="single" w:sz="4" w:space="0" w:color="auto"/>
            </w:tcBorders>
            <w:noWrap/>
            <w:vAlign w:val="center"/>
            <w:hideMark/>
          </w:tcPr>
          <w:p w14:paraId="37F0EE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93837232</w:t>
            </w:r>
          </w:p>
        </w:tc>
        <w:tc>
          <w:tcPr>
            <w:tcW w:w="5953" w:type="dxa"/>
            <w:tcBorders>
              <w:top w:val="nil"/>
              <w:left w:val="nil"/>
              <w:bottom w:val="single" w:sz="4" w:space="0" w:color="auto"/>
              <w:right w:val="single" w:sz="4" w:space="0" w:color="auto"/>
            </w:tcBorders>
            <w:noWrap/>
            <w:vAlign w:val="center"/>
            <w:hideMark/>
          </w:tcPr>
          <w:p w14:paraId="3102B8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HRASTNIK</w:t>
            </w:r>
          </w:p>
        </w:tc>
      </w:tr>
      <w:tr w:rsidR="00F24E18" w14:paraId="52A684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7044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1642</w:t>
            </w:r>
          </w:p>
        </w:tc>
        <w:tc>
          <w:tcPr>
            <w:tcW w:w="1300" w:type="dxa"/>
            <w:tcBorders>
              <w:top w:val="nil"/>
              <w:left w:val="nil"/>
              <w:bottom w:val="single" w:sz="4" w:space="0" w:color="auto"/>
              <w:right w:val="single" w:sz="4" w:space="0" w:color="auto"/>
            </w:tcBorders>
            <w:noWrap/>
            <w:vAlign w:val="center"/>
            <w:hideMark/>
          </w:tcPr>
          <w:p w14:paraId="59094F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5886309000</w:t>
            </w:r>
          </w:p>
        </w:tc>
        <w:tc>
          <w:tcPr>
            <w:tcW w:w="1012" w:type="dxa"/>
            <w:tcBorders>
              <w:top w:val="nil"/>
              <w:left w:val="nil"/>
              <w:bottom w:val="single" w:sz="4" w:space="0" w:color="auto"/>
              <w:right w:val="single" w:sz="4" w:space="0" w:color="auto"/>
            </w:tcBorders>
            <w:noWrap/>
            <w:vAlign w:val="center"/>
            <w:hideMark/>
          </w:tcPr>
          <w:p w14:paraId="552AFB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73258270</w:t>
            </w:r>
          </w:p>
        </w:tc>
        <w:tc>
          <w:tcPr>
            <w:tcW w:w="5953" w:type="dxa"/>
            <w:tcBorders>
              <w:top w:val="nil"/>
              <w:left w:val="nil"/>
              <w:bottom w:val="single" w:sz="4" w:space="0" w:color="auto"/>
              <w:right w:val="single" w:sz="4" w:space="0" w:color="auto"/>
            </w:tcBorders>
            <w:noWrap/>
            <w:vAlign w:val="center"/>
            <w:hideMark/>
          </w:tcPr>
          <w:p w14:paraId="6CF373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IDRIJA</w:t>
            </w:r>
          </w:p>
        </w:tc>
      </w:tr>
      <w:tr w:rsidR="00F24E18" w14:paraId="1D7376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3728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1643</w:t>
            </w:r>
          </w:p>
        </w:tc>
        <w:tc>
          <w:tcPr>
            <w:tcW w:w="1300" w:type="dxa"/>
            <w:tcBorders>
              <w:top w:val="nil"/>
              <w:left w:val="nil"/>
              <w:bottom w:val="single" w:sz="4" w:space="0" w:color="auto"/>
              <w:right w:val="single" w:sz="4" w:space="0" w:color="auto"/>
            </w:tcBorders>
            <w:noWrap/>
            <w:vAlign w:val="center"/>
            <w:hideMark/>
          </w:tcPr>
          <w:p w14:paraId="340861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5886295000</w:t>
            </w:r>
          </w:p>
        </w:tc>
        <w:tc>
          <w:tcPr>
            <w:tcW w:w="1012" w:type="dxa"/>
            <w:tcBorders>
              <w:top w:val="nil"/>
              <w:left w:val="nil"/>
              <w:bottom w:val="single" w:sz="4" w:space="0" w:color="auto"/>
              <w:right w:val="single" w:sz="4" w:space="0" w:color="auto"/>
            </w:tcBorders>
            <w:noWrap/>
            <w:vAlign w:val="center"/>
            <w:hideMark/>
          </w:tcPr>
          <w:p w14:paraId="40A372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54833809</w:t>
            </w:r>
          </w:p>
        </w:tc>
        <w:tc>
          <w:tcPr>
            <w:tcW w:w="5953" w:type="dxa"/>
            <w:tcBorders>
              <w:top w:val="nil"/>
              <w:left w:val="nil"/>
              <w:bottom w:val="single" w:sz="4" w:space="0" w:color="auto"/>
              <w:right w:val="single" w:sz="4" w:space="0" w:color="auto"/>
            </w:tcBorders>
            <w:noWrap/>
            <w:vAlign w:val="center"/>
            <w:hideMark/>
          </w:tcPr>
          <w:p w14:paraId="59794C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ILIRSKA BISTRICA</w:t>
            </w:r>
          </w:p>
        </w:tc>
      </w:tr>
      <w:tr w:rsidR="00F24E18" w14:paraId="7BEC8A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9DDF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1644</w:t>
            </w:r>
          </w:p>
        </w:tc>
        <w:tc>
          <w:tcPr>
            <w:tcW w:w="1300" w:type="dxa"/>
            <w:tcBorders>
              <w:top w:val="nil"/>
              <w:left w:val="nil"/>
              <w:bottom w:val="single" w:sz="4" w:space="0" w:color="auto"/>
              <w:right w:val="single" w:sz="4" w:space="0" w:color="auto"/>
            </w:tcBorders>
            <w:noWrap/>
            <w:vAlign w:val="center"/>
            <w:hideMark/>
          </w:tcPr>
          <w:p w14:paraId="508CC6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5874807000</w:t>
            </w:r>
          </w:p>
        </w:tc>
        <w:tc>
          <w:tcPr>
            <w:tcW w:w="1012" w:type="dxa"/>
            <w:tcBorders>
              <w:top w:val="nil"/>
              <w:left w:val="nil"/>
              <w:bottom w:val="single" w:sz="4" w:space="0" w:color="auto"/>
              <w:right w:val="single" w:sz="4" w:space="0" w:color="auto"/>
            </w:tcBorders>
            <w:noWrap/>
            <w:vAlign w:val="center"/>
            <w:hideMark/>
          </w:tcPr>
          <w:p w14:paraId="43AAA6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66485185</w:t>
            </w:r>
          </w:p>
        </w:tc>
        <w:tc>
          <w:tcPr>
            <w:tcW w:w="5953" w:type="dxa"/>
            <w:tcBorders>
              <w:top w:val="nil"/>
              <w:left w:val="nil"/>
              <w:bottom w:val="single" w:sz="4" w:space="0" w:color="auto"/>
              <w:right w:val="single" w:sz="4" w:space="0" w:color="auto"/>
            </w:tcBorders>
            <w:noWrap/>
            <w:vAlign w:val="center"/>
            <w:hideMark/>
          </w:tcPr>
          <w:p w14:paraId="04B056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IZOLA</w:t>
            </w:r>
          </w:p>
        </w:tc>
      </w:tr>
      <w:tr w:rsidR="00F24E18" w14:paraId="6CD26C3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9168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1645</w:t>
            </w:r>
          </w:p>
        </w:tc>
        <w:tc>
          <w:tcPr>
            <w:tcW w:w="1300" w:type="dxa"/>
            <w:tcBorders>
              <w:top w:val="nil"/>
              <w:left w:val="nil"/>
              <w:bottom w:val="single" w:sz="4" w:space="0" w:color="auto"/>
              <w:right w:val="single" w:sz="4" w:space="0" w:color="auto"/>
            </w:tcBorders>
            <w:noWrap/>
            <w:vAlign w:val="center"/>
            <w:hideMark/>
          </w:tcPr>
          <w:p w14:paraId="315ABD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5874815000</w:t>
            </w:r>
          </w:p>
        </w:tc>
        <w:tc>
          <w:tcPr>
            <w:tcW w:w="1012" w:type="dxa"/>
            <w:tcBorders>
              <w:top w:val="nil"/>
              <w:left w:val="nil"/>
              <w:bottom w:val="single" w:sz="4" w:space="0" w:color="auto"/>
              <w:right w:val="single" w:sz="4" w:space="0" w:color="auto"/>
            </w:tcBorders>
            <w:noWrap/>
            <w:vAlign w:val="center"/>
            <w:hideMark/>
          </w:tcPr>
          <w:p w14:paraId="01255A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81615949</w:t>
            </w:r>
          </w:p>
        </w:tc>
        <w:tc>
          <w:tcPr>
            <w:tcW w:w="5953" w:type="dxa"/>
            <w:tcBorders>
              <w:top w:val="nil"/>
              <w:left w:val="nil"/>
              <w:bottom w:val="single" w:sz="4" w:space="0" w:color="auto"/>
              <w:right w:val="single" w:sz="4" w:space="0" w:color="auto"/>
            </w:tcBorders>
            <w:noWrap/>
            <w:vAlign w:val="center"/>
            <w:hideMark/>
          </w:tcPr>
          <w:p w14:paraId="1111A4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JESENICE</w:t>
            </w:r>
          </w:p>
        </w:tc>
      </w:tr>
      <w:tr w:rsidR="00F24E18" w14:paraId="78E317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8D6F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1646</w:t>
            </w:r>
          </w:p>
        </w:tc>
        <w:tc>
          <w:tcPr>
            <w:tcW w:w="1300" w:type="dxa"/>
            <w:tcBorders>
              <w:top w:val="nil"/>
              <w:left w:val="nil"/>
              <w:bottom w:val="single" w:sz="4" w:space="0" w:color="auto"/>
              <w:right w:val="single" w:sz="4" w:space="0" w:color="auto"/>
            </w:tcBorders>
            <w:noWrap/>
            <w:vAlign w:val="center"/>
            <w:hideMark/>
          </w:tcPr>
          <w:p w14:paraId="5008CA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5874823000</w:t>
            </w:r>
          </w:p>
        </w:tc>
        <w:tc>
          <w:tcPr>
            <w:tcW w:w="1012" w:type="dxa"/>
            <w:tcBorders>
              <w:top w:val="nil"/>
              <w:left w:val="nil"/>
              <w:bottom w:val="single" w:sz="4" w:space="0" w:color="auto"/>
              <w:right w:val="single" w:sz="4" w:space="0" w:color="auto"/>
            </w:tcBorders>
            <w:noWrap/>
            <w:vAlign w:val="center"/>
            <w:hideMark/>
          </w:tcPr>
          <w:p w14:paraId="7C4F3A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69738688</w:t>
            </w:r>
          </w:p>
        </w:tc>
        <w:tc>
          <w:tcPr>
            <w:tcW w:w="5953" w:type="dxa"/>
            <w:tcBorders>
              <w:top w:val="nil"/>
              <w:left w:val="nil"/>
              <w:bottom w:val="single" w:sz="4" w:space="0" w:color="auto"/>
              <w:right w:val="single" w:sz="4" w:space="0" w:color="auto"/>
            </w:tcBorders>
            <w:noWrap/>
            <w:vAlign w:val="center"/>
            <w:hideMark/>
          </w:tcPr>
          <w:p w14:paraId="06795C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KAMNIK</w:t>
            </w:r>
          </w:p>
        </w:tc>
      </w:tr>
      <w:tr w:rsidR="00F24E18" w14:paraId="1317E9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03BE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1647</w:t>
            </w:r>
          </w:p>
        </w:tc>
        <w:tc>
          <w:tcPr>
            <w:tcW w:w="1300" w:type="dxa"/>
            <w:tcBorders>
              <w:top w:val="nil"/>
              <w:left w:val="nil"/>
              <w:bottom w:val="single" w:sz="4" w:space="0" w:color="auto"/>
              <w:right w:val="single" w:sz="4" w:space="0" w:color="auto"/>
            </w:tcBorders>
            <w:noWrap/>
            <w:vAlign w:val="center"/>
            <w:hideMark/>
          </w:tcPr>
          <w:p w14:paraId="19AFF0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5874831000</w:t>
            </w:r>
          </w:p>
        </w:tc>
        <w:tc>
          <w:tcPr>
            <w:tcW w:w="1012" w:type="dxa"/>
            <w:tcBorders>
              <w:top w:val="nil"/>
              <w:left w:val="nil"/>
              <w:bottom w:val="single" w:sz="4" w:space="0" w:color="auto"/>
              <w:right w:val="single" w:sz="4" w:space="0" w:color="auto"/>
            </w:tcBorders>
            <w:noWrap/>
            <w:vAlign w:val="center"/>
            <w:hideMark/>
          </w:tcPr>
          <w:p w14:paraId="0D99A5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51131455</w:t>
            </w:r>
          </w:p>
        </w:tc>
        <w:tc>
          <w:tcPr>
            <w:tcW w:w="5953" w:type="dxa"/>
            <w:tcBorders>
              <w:top w:val="nil"/>
              <w:left w:val="nil"/>
              <w:bottom w:val="single" w:sz="4" w:space="0" w:color="auto"/>
              <w:right w:val="single" w:sz="4" w:space="0" w:color="auto"/>
            </w:tcBorders>
            <w:noWrap/>
            <w:vAlign w:val="center"/>
            <w:hideMark/>
          </w:tcPr>
          <w:p w14:paraId="5A6FEE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KOČEVJE</w:t>
            </w:r>
          </w:p>
        </w:tc>
      </w:tr>
      <w:tr w:rsidR="00F24E18" w14:paraId="34818A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6123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1648</w:t>
            </w:r>
          </w:p>
        </w:tc>
        <w:tc>
          <w:tcPr>
            <w:tcW w:w="1300" w:type="dxa"/>
            <w:tcBorders>
              <w:top w:val="nil"/>
              <w:left w:val="nil"/>
              <w:bottom w:val="single" w:sz="4" w:space="0" w:color="auto"/>
              <w:right w:val="single" w:sz="4" w:space="0" w:color="auto"/>
            </w:tcBorders>
            <w:noWrap/>
            <w:vAlign w:val="center"/>
            <w:hideMark/>
          </w:tcPr>
          <w:p w14:paraId="04A189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5874882000</w:t>
            </w:r>
          </w:p>
        </w:tc>
        <w:tc>
          <w:tcPr>
            <w:tcW w:w="1012" w:type="dxa"/>
            <w:tcBorders>
              <w:top w:val="nil"/>
              <w:left w:val="nil"/>
              <w:bottom w:val="single" w:sz="4" w:space="0" w:color="auto"/>
              <w:right w:val="single" w:sz="4" w:space="0" w:color="auto"/>
            </w:tcBorders>
            <w:noWrap/>
            <w:vAlign w:val="center"/>
            <w:hideMark/>
          </w:tcPr>
          <w:p w14:paraId="441EE0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56695080</w:t>
            </w:r>
          </w:p>
        </w:tc>
        <w:tc>
          <w:tcPr>
            <w:tcW w:w="5953" w:type="dxa"/>
            <w:tcBorders>
              <w:top w:val="nil"/>
              <w:left w:val="nil"/>
              <w:bottom w:val="single" w:sz="4" w:space="0" w:color="auto"/>
              <w:right w:val="single" w:sz="4" w:space="0" w:color="auto"/>
            </w:tcBorders>
            <w:noWrap/>
            <w:vAlign w:val="center"/>
            <w:hideMark/>
          </w:tcPr>
          <w:p w14:paraId="6F914E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KOPER</w:t>
            </w:r>
          </w:p>
        </w:tc>
      </w:tr>
      <w:tr w:rsidR="00F24E18" w14:paraId="23BDECC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B74D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1649</w:t>
            </w:r>
          </w:p>
        </w:tc>
        <w:tc>
          <w:tcPr>
            <w:tcW w:w="1300" w:type="dxa"/>
            <w:tcBorders>
              <w:top w:val="nil"/>
              <w:left w:val="nil"/>
              <w:bottom w:val="single" w:sz="4" w:space="0" w:color="auto"/>
              <w:right w:val="single" w:sz="4" w:space="0" w:color="auto"/>
            </w:tcBorders>
            <w:noWrap/>
            <w:vAlign w:val="center"/>
            <w:hideMark/>
          </w:tcPr>
          <w:p w14:paraId="5B182A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5874840000</w:t>
            </w:r>
          </w:p>
        </w:tc>
        <w:tc>
          <w:tcPr>
            <w:tcW w:w="1012" w:type="dxa"/>
            <w:tcBorders>
              <w:top w:val="nil"/>
              <w:left w:val="nil"/>
              <w:bottom w:val="single" w:sz="4" w:space="0" w:color="auto"/>
              <w:right w:val="single" w:sz="4" w:space="0" w:color="auto"/>
            </w:tcBorders>
            <w:noWrap/>
            <w:vAlign w:val="center"/>
            <w:hideMark/>
          </w:tcPr>
          <w:p w14:paraId="493300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36601098</w:t>
            </w:r>
          </w:p>
        </w:tc>
        <w:tc>
          <w:tcPr>
            <w:tcW w:w="5953" w:type="dxa"/>
            <w:tcBorders>
              <w:top w:val="nil"/>
              <w:left w:val="nil"/>
              <w:bottom w:val="single" w:sz="4" w:space="0" w:color="auto"/>
              <w:right w:val="single" w:sz="4" w:space="0" w:color="auto"/>
            </w:tcBorders>
            <w:noWrap/>
            <w:vAlign w:val="center"/>
            <w:hideMark/>
          </w:tcPr>
          <w:p w14:paraId="44AC5E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KRANJ</w:t>
            </w:r>
          </w:p>
        </w:tc>
      </w:tr>
      <w:tr w:rsidR="00F24E18" w14:paraId="555949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30CC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1650</w:t>
            </w:r>
          </w:p>
        </w:tc>
        <w:tc>
          <w:tcPr>
            <w:tcW w:w="1300" w:type="dxa"/>
            <w:tcBorders>
              <w:top w:val="nil"/>
              <w:left w:val="nil"/>
              <w:bottom w:val="single" w:sz="4" w:space="0" w:color="auto"/>
              <w:right w:val="single" w:sz="4" w:space="0" w:color="auto"/>
            </w:tcBorders>
            <w:noWrap/>
            <w:vAlign w:val="center"/>
            <w:hideMark/>
          </w:tcPr>
          <w:p w14:paraId="1316DF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5874904000</w:t>
            </w:r>
          </w:p>
        </w:tc>
        <w:tc>
          <w:tcPr>
            <w:tcW w:w="1012" w:type="dxa"/>
            <w:tcBorders>
              <w:top w:val="nil"/>
              <w:left w:val="nil"/>
              <w:bottom w:val="single" w:sz="4" w:space="0" w:color="auto"/>
              <w:right w:val="single" w:sz="4" w:space="0" w:color="auto"/>
            </w:tcBorders>
            <w:noWrap/>
            <w:vAlign w:val="center"/>
            <w:hideMark/>
          </w:tcPr>
          <w:p w14:paraId="6F7BA3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92136648</w:t>
            </w:r>
          </w:p>
        </w:tc>
        <w:tc>
          <w:tcPr>
            <w:tcW w:w="5953" w:type="dxa"/>
            <w:tcBorders>
              <w:top w:val="nil"/>
              <w:left w:val="nil"/>
              <w:bottom w:val="single" w:sz="4" w:space="0" w:color="auto"/>
              <w:right w:val="single" w:sz="4" w:space="0" w:color="auto"/>
            </w:tcBorders>
            <w:noWrap/>
            <w:vAlign w:val="center"/>
            <w:hideMark/>
          </w:tcPr>
          <w:p w14:paraId="752CDE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KRŠKO</w:t>
            </w:r>
          </w:p>
        </w:tc>
      </w:tr>
      <w:tr w:rsidR="00F24E18" w14:paraId="3A592E1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6B54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1651</w:t>
            </w:r>
          </w:p>
        </w:tc>
        <w:tc>
          <w:tcPr>
            <w:tcW w:w="1300" w:type="dxa"/>
            <w:tcBorders>
              <w:top w:val="nil"/>
              <w:left w:val="nil"/>
              <w:bottom w:val="single" w:sz="4" w:space="0" w:color="auto"/>
              <w:right w:val="single" w:sz="4" w:space="0" w:color="auto"/>
            </w:tcBorders>
            <w:noWrap/>
            <w:vAlign w:val="center"/>
            <w:hideMark/>
          </w:tcPr>
          <w:p w14:paraId="79871B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5874858000</w:t>
            </w:r>
          </w:p>
        </w:tc>
        <w:tc>
          <w:tcPr>
            <w:tcW w:w="1012" w:type="dxa"/>
            <w:tcBorders>
              <w:top w:val="nil"/>
              <w:left w:val="nil"/>
              <w:bottom w:val="single" w:sz="4" w:space="0" w:color="auto"/>
              <w:right w:val="single" w:sz="4" w:space="0" w:color="auto"/>
            </w:tcBorders>
            <w:noWrap/>
            <w:vAlign w:val="center"/>
            <w:hideMark/>
          </w:tcPr>
          <w:p w14:paraId="4F4643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68476531</w:t>
            </w:r>
          </w:p>
        </w:tc>
        <w:tc>
          <w:tcPr>
            <w:tcW w:w="5953" w:type="dxa"/>
            <w:tcBorders>
              <w:top w:val="nil"/>
              <w:left w:val="nil"/>
              <w:bottom w:val="single" w:sz="4" w:space="0" w:color="auto"/>
              <w:right w:val="single" w:sz="4" w:space="0" w:color="auto"/>
            </w:tcBorders>
            <w:noWrap/>
            <w:vAlign w:val="center"/>
            <w:hideMark/>
          </w:tcPr>
          <w:p w14:paraId="559118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LAŠKO</w:t>
            </w:r>
          </w:p>
        </w:tc>
      </w:tr>
      <w:tr w:rsidR="00F24E18" w14:paraId="7BCD87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4A2D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1652</w:t>
            </w:r>
          </w:p>
        </w:tc>
        <w:tc>
          <w:tcPr>
            <w:tcW w:w="1300" w:type="dxa"/>
            <w:tcBorders>
              <w:top w:val="nil"/>
              <w:left w:val="nil"/>
              <w:bottom w:val="single" w:sz="4" w:space="0" w:color="auto"/>
              <w:right w:val="single" w:sz="4" w:space="0" w:color="auto"/>
            </w:tcBorders>
            <w:noWrap/>
            <w:vAlign w:val="center"/>
            <w:hideMark/>
          </w:tcPr>
          <w:p w14:paraId="5AD1BE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5874912000</w:t>
            </w:r>
          </w:p>
        </w:tc>
        <w:tc>
          <w:tcPr>
            <w:tcW w:w="1012" w:type="dxa"/>
            <w:tcBorders>
              <w:top w:val="nil"/>
              <w:left w:val="nil"/>
              <w:bottom w:val="single" w:sz="4" w:space="0" w:color="auto"/>
              <w:right w:val="single" w:sz="4" w:space="0" w:color="auto"/>
            </w:tcBorders>
            <w:noWrap/>
            <w:vAlign w:val="center"/>
            <w:hideMark/>
          </w:tcPr>
          <w:p w14:paraId="3B7EC0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79812414</w:t>
            </w:r>
          </w:p>
        </w:tc>
        <w:tc>
          <w:tcPr>
            <w:tcW w:w="5953" w:type="dxa"/>
            <w:tcBorders>
              <w:top w:val="nil"/>
              <w:left w:val="nil"/>
              <w:bottom w:val="single" w:sz="4" w:space="0" w:color="auto"/>
              <w:right w:val="single" w:sz="4" w:space="0" w:color="auto"/>
            </w:tcBorders>
            <w:noWrap/>
            <w:vAlign w:val="center"/>
            <w:hideMark/>
          </w:tcPr>
          <w:p w14:paraId="08A34C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LENART</w:t>
            </w:r>
          </w:p>
        </w:tc>
      </w:tr>
      <w:tr w:rsidR="00F24E18" w14:paraId="59382D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C156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1653</w:t>
            </w:r>
          </w:p>
        </w:tc>
        <w:tc>
          <w:tcPr>
            <w:tcW w:w="1300" w:type="dxa"/>
            <w:tcBorders>
              <w:top w:val="nil"/>
              <w:left w:val="nil"/>
              <w:bottom w:val="single" w:sz="4" w:space="0" w:color="auto"/>
              <w:right w:val="single" w:sz="4" w:space="0" w:color="auto"/>
            </w:tcBorders>
            <w:noWrap/>
            <w:vAlign w:val="center"/>
            <w:hideMark/>
          </w:tcPr>
          <w:p w14:paraId="122639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5874874000</w:t>
            </w:r>
          </w:p>
        </w:tc>
        <w:tc>
          <w:tcPr>
            <w:tcW w:w="1012" w:type="dxa"/>
            <w:tcBorders>
              <w:top w:val="nil"/>
              <w:left w:val="nil"/>
              <w:bottom w:val="single" w:sz="4" w:space="0" w:color="auto"/>
              <w:right w:val="single" w:sz="4" w:space="0" w:color="auto"/>
            </w:tcBorders>
            <w:noWrap/>
            <w:vAlign w:val="center"/>
            <w:hideMark/>
          </w:tcPr>
          <w:p w14:paraId="5F7804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36000248</w:t>
            </w:r>
          </w:p>
        </w:tc>
        <w:tc>
          <w:tcPr>
            <w:tcW w:w="5953" w:type="dxa"/>
            <w:tcBorders>
              <w:top w:val="nil"/>
              <w:left w:val="nil"/>
              <w:bottom w:val="single" w:sz="4" w:space="0" w:color="auto"/>
              <w:right w:val="single" w:sz="4" w:space="0" w:color="auto"/>
            </w:tcBorders>
            <w:noWrap/>
            <w:vAlign w:val="center"/>
            <w:hideMark/>
          </w:tcPr>
          <w:p w14:paraId="1A4B63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LENDAVA</w:t>
            </w:r>
          </w:p>
        </w:tc>
      </w:tr>
      <w:tr w:rsidR="00F24E18" w14:paraId="1D96CB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2861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1654</w:t>
            </w:r>
          </w:p>
        </w:tc>
        <w:tc>
          <w:tcPr>
            <w:tcW w:w="1300" w:type="dxa"/>
            <w:tcBorders>
              <w:top w:val="nil"/>
              <w:left w:val="nil"/>
              <w:bottom w:val="single" w:sz="4" w:space="0" w:color="auto"/>
              <w:right w:val="single" w:sz="4" w:space="0" w:color="auto"/>
            </w:tcBorders>
            <w:noWrap/>
            <w:vAlign w:val="center"/>
            <w:hideMark/>
          </w:tcPr>
          <w:p w14:paraId="3737C1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5874866000</w:t>
            </w:r>
          </w:p>
        </w:tc>
        <w:tc>
          <w:tcPr>
            <w:tcW w:w="1012" w:type="dxa"/>
            <w:tcBorders>
              <w:top w:val="nil"/>
              <w:left w:val="nil"/>
              <w:bottom w:val="single" w:sz="4" w:space="0" w:color="auto"/>
              <w:right w:val="single" w:sz="4" w:space="0" w:color="auto"/>
            </w:tcBorders>
            <w:noWrap/>
            <w:vAlign w:val="center"/>
            <w:hideMark/>
          </w:tcPr>
          <w:p w14:paraId="710DDA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23945656</w:t>
            </w:r>
          </w:p>
        </w:tc>
        <w:tc>
          <w:tcPr>
            <w:tcW w:w="5953" w:type="dxa"/>
            <w:tcBorders>
              <w:top w:val="nil"/>
              <w:left w:val="nil"/>
              <w:bottom w:val="single" w:sz="4" w:space="0" w:color="auto"/>
              <w:right w:val="single" w:sz="4" w:space="0" w:color="auto"/>
            </w:tcBorders>
            <w:noWrap/>
            <w:vAlign w:val="center"/>
            <w:hideMark/>
          </w:tcPr>
          <w:p w14:paraId="3B85F8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LITIJA</w:t>
            </w:r>
          </w:p>
        </w:tc>
      </w:tr>
      <w:tr w:rsidR="00F24E18" w14:paraId="2BDEC23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05F5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1655</w:t>
            </w:r>
          </w:p>
        </w:tc>
        <w:tc>
          <w:tcPr>
            <w:tcW w:w="1300" w:type="dxa"/>
            <w:tcBorders>
              <w:top w:val="nil"/>
              <w:left w:val="nil"/>
              <w:bottom w:val="single" w:sz="4" w:space="0" w:color="auto"/>
              <w:right w:val="single" w:sz="4" w:space="0" w:color="auto"/>
            </w:tcBorders>
            <w:noWrap/>
            <w:vAlign w:val="center"/>
            <w:hideMark/>
          </w:tcPr>
          <w:p w14:paraId="28A05E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5874939000</w:t>
            </w:r>
          </w:p>
        </w:tc>
        <w:tc>
          <w:tcPr>
            <w:tcW w:w="1012" w:type="dxa"/>
            <w:tcBorders>
              <w:top w:val="nil"/>
              <w:left w:val="nil"/>
              <w:bottom w:val="single" w:sz="4" w:space="0" w:color="auto"/>
              <w:right w:val="single" w:sz="4" w:space="0" w:color="auto"/>
            </w:tcBorders>
            <w:noWrap/>
            <w:vAlign w:val="center"/>
            <w:hideMark/>
          </w:tcPr>
          <w:p w14:paraId="2B511C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35325089</w:t>
            </w:r>
          </w:p>
        </w:tc>
        <w:tc>
          <w:tcPr>
            <w:tcW w:w="5953" w:type="dxa"/>
            <w:tcBorders>
              <w:top w:val="nil"/>
              <w:left w:val="nil"/>
              <w:bottom w:val="single" w:sz="4" w:space="0" w:color="auto"/>
              <w:right w:val="single" w:sz="4" w:space="0" w:color="auto"/>
            </w:tcBorders>
            <w:noWrap/>
            <w:vAlign w:val="center"/>
            <w:hideMark/>
          </w:tcPr>
          <w:p w14:paraId="61B9B1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LJUBLJANA</w:t>
            </w:r>
          </w:p>
        </w:tc>
      </w:tr>
      <w:tr w:rsidR="00F24E18" w14:paraId="5D14789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CDF2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1656</w:t>
            </w:r>
          </w:p>
        </w:tc>
        <w:tc>
          <w:tcPr>
            <w:tcW w:w="1300" w:type="dxa"/>
            <w:tcBorders>
              <w:top w:val="nil"/>
              <w:left w:val="nil"/>
              <w:bottom w:val="single" w:sz="4" w:space="0" w:color="auto"/>
              <w:right w:val="single" w:sz="4" w:space="0" w:color="auto"/>
            </w:tcBorders>
            <w:noWrap/>
            <w:vAlign w:val="center"/>
            <w:hideMark/>
          </w:tcPr>
          <w:p w14:paraId="46E78F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5874947000</w:t>
            </w:r>
          </w:p>
        </w:tc>
        <w:tc>
          <w:tcPr>
            <w:tcW w:w="1012" w:type="dxa"/>
            <w:tcBorders>
              <w:top w:val="nil"/>
              <w:left w:val="nil"/>
              <w:bottom w:val="single" w:sz="4" w:space="0" w:color="auto"/>
              <w:right w:val="single" w:sz="4" w:space="0" w:color="auto"/>
            </w:tcBorders>
            <w:noWrap/>
            <w:vAlign w:val="center"/>
            <w:hideMark/>
          </w:tcPr>
          <w:p w14:paraId="3C7D53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97983853</w:t>
            </w:r>
          </w:p>
        </w:tc>
        <w:tc>
          <w:tcPr>
            <w:tcW w:w="5953" w:type="dxa"/>
            <w:tcBorders>
              <w:top w:val="nil"/>
              <w:left w:val="nil"/>
              <w:bottom w:val="single" w:sz="4" w:space="0" w:color="auto"/>
              <w:right w:val="single" w:sz="4" w:space="0" w:color="auto"/>
            </w:tcBorders>
            <w:noWrap/>
            <w:vAlign w:val="center"/>
            <w:hideMark/>
          </w:tcPr>
          <w:p w14:paraId="2EF08B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LJUTOMER</w:t>
            </w:r>
          </w:p>
        </w:tc>
      </w:tr>
      <w:tr w:rsidR="00F24E18" w14:paraId="62E3314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645D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1657</w:t>
            </w:r>
          </w:p>
        </w:tc>
        <w:tc>
          <w:tcPr>
            <w:tcW w:w="1300" w:type="dxa"/>
            <w:tcBorders>
              <w:top w:val="nil"/>
              <w:left w:val="nil"/>
              <w:bottom w:val="single" w:sz="4" w:space="0" w:color="auto"/>
              <w:right w:val="single" w:sz="4" w:space="0" w:color="auto"/>
            </w:tcBorders>
            <w:noWrap/>
            <w:vAlign w:val="center"/>
            <w:hideMark/>
          </w:tcPr>
          <w:p w14:paraId="265E2D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5874955000</w:t>
            </w:r>
          </w:p>
        </w:tc>
        <w:tc>
          <w:tcPr>
            <w:tcW w:w="1012" w:type="dxa"/>
            <w:tcBorders>
              <w:top w:val="nil"/>
              <w:left w:val="nil"/>
              <w:bottom w:val="single" w:sz="4" w:space="0" w:color="auto"/>
              <w:right w:val="single" w:sz="4" w:space="0" w:color="auto"/>
            </w:tcBorders>
            <w:noWrap/>
            <w:vAlign w:val="center"/>
            <w:hideMark/>
          </w:tcPr>
          <w:p w14:paraId="060904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40911799</w:t>
            </w:r>
          </w:p>
        </w:tc>
        <w:tc>
          <w:tcPr>
            <w:tcW w:w="5953" w:type="dxa"/>
            <w:tcBorders>
              <w:top w:val="nil"/>
              <w:left w:val="nil"/>
              <w:bottom w:val="single" w:sz="4" w:space="0" w:color="auto"/>
              <w:right w:val="single" w:sz="4" w:space="0" w:color="auto"/>
            </w:tcBorders>
            <w:noWrap/>
            <w:vAlign w:val="center"/>
            <w:hideMark/>
          </w:tcPr>
          <w:p w14:paraId="22F317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LOGATEC</w:t>
            </w:r>
          </w:p>
        </w:tc>
      </w:tr>
      <w:tr w:rsidR="00F24E18" w14:paraId="36C760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E6A6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1658</w:t>
            </w:r>
          </w:p>
        </w:tc>
        <w:tc>
          <w:tcPr>
            <w:tcW w:w="1300" w:type="dxa"/>
            <w:tcBorders>
              <w:top w:val="nil"/>
              <w:left w:val="nil"/>
              <w:bottom w:val="single" w:sz="4" w:space="0" w:color="auto"/>
              <w:right w:val="single" w:sz="4" w:space="0" w:color="auto"/>
            </w:tcBorders>
            <w:noWrap/>
            <w:vAlign w:val="center"/>
            <w:hideMark/>
          </w:tcPr>
          <w:p w14:paraId="6B7FBC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5886422000</w:t>
            </w:r>
          </w:p>
        </w:tc>
        <w:tc>
          <w:tcPr>
            <w:tcW w:w="1012" w:type="dxa"/>
            <w:tcBorders>
              <w:top w:val="nil"/>
              <w:left w:val="nil"/>
              <w:bottom w:val="single" w:sz="4" w:space="0" w:color="auto"/>
              <w:right w:val="single" w:sz="4" w:space="0" w:color="auto"/>
            </w:tcBorders>
            <w:noWrap/>
            <w:vAlign w:val="center"/>
            <w:hideMark/>
          </w:tcPr>
          <w:p w14:paraId="1E73CC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23328797</w:t>
            </w:r>
          </w:p>
        </w:tc>
        <w:tc>
          <w:tcPr>
            <w:tcW w:w="5953" w:type="dxa"/>
            <w:tcBorders>
              <w:top w:val="nil"/>
              <w:left w:val="nil"/>
              <w:bottom w:val="single" w:sz="4" w:space="0" w:color="auto"/>
              <w:right w:val="single" w:sz="4" w:space="0" w:color="auto"/>
            </w:tcBorders>
            <w:noWrap/>
            <w:vAlign w:val="center"/>
            <w:hideMark/>
          </w:tcPr>
          <w:p w14:paraId="5B7BC8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MARIBOR</w:t>
            </w:r>
          </w:p>
        </w:tc>
      </w:tr>
      <w:tr w:rsidR="00F24E18" w14:paraId="58D6B6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C3F5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1659</w:t>
            </w:r>
          </w:p>
        </w:tc>
        <w:tc>
          <w:tcPr>
            <w:tcW w:w="1300" w:type="dxa"/>
            <w:tcBorders>
              <w:top w:val="nil"/>
              <w:left w:val="nil"/>
              <w:bottom w:val="single" w:sz="4" w:space="0" w:color="auto"/>
              <w:right w:val="single" w:sz="4" w:space="0" w:color="auto"/>
            </w:tcBorders>
            <w:noWrap/>
            <w:vAlign w:val="center"/>
            <w:hideMark/>
          </w:tcPr>
          <w:p w14:paraId="0DAF0F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5886759000</w:t>
            </w:r>
          </w:p>
        </w:tc>
        <w:tc>
          <w:tcPr>
            <w:tcW w:w="1012" w:type="dxa"/>
            <w:tcBorders>
              <w:top w:val="nil"/>
              <w:left w:val="nil"/>
              <w:bottom w:val="single" w:sz="4" w:space="0" w:color="auto"/>
              <w:right w:val="single" w:sz="4" w:space="0" w:color="auto"/>
            </w:tcBorders>
            <w:noWrap/>
            <w:vAlign w:val="center"/>
            <w:hideMark/>
          </w:tcPr>
          <w:p w14:paraId="0FE1BC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73170658</w:t>
            </w:r>
          </w:p>
        </w:tc>
        <w:tc>
          <w:tcPr>
            <w:tcW w:w="5953" w:type="dxa"/>
            <w:tcBorders>
              <w:top w:val="nil"/>
              <w:left w:val="nil"/>
              <w:bottom w:val="single" w:sz="4" w:space="0" w:color="auto"/>
              <w:right w:val="single" w:sz="4" w:space="0" w:color="auto"/>
            </w:tcBorders>
            <w:noWrap/>
            <w:vAlign w:val="center"/>
            <w:hideMark/>
          </w:tcPr>
          <w:p w14:paraId="620AF1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METLIKA</w:t>
            </w:r>
          </w:p>
        </w:tc>
      </w:tr>
      <w:tr w:rsidR="00F24E18" w14:paraId="142A880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268B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1660</w:t>
            </w:r>
          </w:p>
        </w:tc>
        <w:tc>
          <w:tcPr>
            <w:tcW w:w="1300" w:type="dxa"/>
            <w:tcBorders>
              <w:top w:val="nil"/>
              <w:left w:val="nil"/>
              <w:bottom w:val="single" w:sz="4" w:space="0" w:color="auto"/>
              <w:right w:val="single" w:sz="4" w:space="0" w:color="auto"/>
            </w:tcBorders>
            <w:noWrap/>
            <w:vAlign w:val="center"/>
            <w:hideMark/>
          </w:tcPr>
          <w:p w14:paraId="21C766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5886732000</w:t>
            </w:r>
          </w:p>
        </w:tc>
        <w:tc>
          <w:tcPr>
            <w:tcW w:w="1012" w:type="dxa"/>
            <w:tcBorders>
              <w:top w:val="nil"/>
              <w:left w:val="nil"/>
              <w:bottom w:val="single" w:sz="4" w:space="0" w:color="auto"/>
              <w:right w:val="single" w:sz="4" w:space="0" w:color="auto"/>
            </w:tcBorders>
            <w:noWrap/>
            <w:vAlign w:val="center"/>
            <w:hideMark/>
          </w:tcPr>
          <w:p w14:paraId="79BD7D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96327499</w:t>
            </w:r>
          </w:p>
        </w:tc>
        <w:tc>
          <w:tcPr>
            <w:tcW w:w="5953" w:type="dxa"/>
            <w:tcBorders>
              <w:top w:val="nil"/>
              <w:left w:val="nil"/>
              <w:bottom w:val="single" w:sz="4" w:space="0" w:color="auto"/>
              <w:right w:val="single" w:sz="4" w:space="0" w:color="auto"/>
            </w:tcBorders>
            <w:noWrap/>
            <w:vAlign w:val="center"/>
            <w:hideMark/>
          </w:tcPr>
          <w:p w14:paraId="757B3E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MOZIRJE</w:t>
            </w:r>
          </w:p>
        </w:tc>
      </w:tr>
      <w:tr w:rsidR="00F24E18" w14:paraId="0A196EA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B164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1661</w:t>
            </w:r>
          </w:p>
        </w:tc>
        <w:tc>
          <w:tcPr>
            <w:tcW w:w="1300" w:type="dxa"/>
            <w:tcBorders>
              <w:top w:val="nil"/>
              <w:left w:val="nil"/>
              <w:bottom w:val="single" w:sz="4" w:space="0" w:color="auto"/>
              <w:right w:val="single" w:sz="4" w:space="0" w:color="auto"/>
            </w:tcBorders>
            <w:noWrap/>
            <w:vAlign w:val="center"/>
            <w:hideMark/>
          </w:tcPr>
          <w:p w14:paraId="367170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5886724000</w:t>
            </w:r>
          </w:p>
        </w:tc>
        <w:tc>
          <w:tcPr>
            <w:tcW w:w="1012" w:type="dxa"/>
            <w:tcBorders>
              <w:top w:val="nil"/>
              <w:left w:val="nil"/>
              <w:bottom w:val="single" w:sz="4" w:space="0" w:color="auto"/>
              <w:right w:val="single" w:sz="4" w:space="0" w:color="auto"/>
            </w:tcBorders>
            <w:noWrap/>
            <w:vAlign w:val="center"/>
            <w:hideMark/>
          </w:tcPr>
          <w:p w14:paraId="38FEB5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24052965</w:t>
            </w:r>
          </w:p>
        </w:tc>
        <w:tc>
          <w:tcPr>
            <w:tcW w:w="5953" w:type="dxa"/>
            <w:tcBorders>
              <w:top w:val="nil"/>
              <w:left w:val="nil"/>
              <w:bottom w:val="single" w:sz="4" w:space="0" w:color="auto"/>
              <w:right w:val="single" w:sz="4" w:space="0" w:color="auto"/>
            </w:tcBorders>
            <w:noWrap/>
            <w:vAlign w:val="center"/>
            <w:hideMark/>
          </w:tcPr>
          <w:p w14:paraId="1E7BAF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MURSKA SOBOTA</w:t>
            </w:r>
          </w:p>
        </w:tc>
      </w:tr>
      <w:tr w:rsidR="00F24E18" w14:paraId="48D390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B75F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1662</w:t>
            </w:r>
          </w:p>
        </w:tc>
        <w:tc>
          <w:tcPr>
            <w:tcW w:w="1300" w:type="dxa"/>
            <w:tcBorders>
              <w:top w:val="nil"/>
              <w:left w:val="nil"/>
              <w:bottom w:val="single" w:sz="4" w:space="0" w:color="auto"/>
              <w:right w:val="single" w:sz="4" w:space="0" w:color="auto"/>
            </w:tcBorders>
            <w:noWrap/>
            <w:vAlign w:val="center"/>
            <w:hideMark/>
          </w:tcPr>
          <w:p w14:paraId="71E4FD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5886716000</w:t>
            </w:r>
          </w:p>
        </w:tc>
        <w:tc>
          <w:tcPr>
            <w:tcW w:w="1012" w:type="dxa"/>
            <w:tcBorders>
              <w:top w:val="nil"/>
              <w:left w:val="nil"/>
              <w:bottom w:val="single" w:sz="4" w:space="0" w:color="auto"/>
              <w:right w:val="single" w:sz="4" w:space="0" w:color="auto"/>
            </w:tcBorders>
            <w:noWrap/>
            <w:vAlign w:val="center"/>
            <w:hideMark/>
          </w:tcPr>
          <w:p w14:paraId="78EB24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76002128</w:t>
            </w:r>
          </w:p>
        </w:tc>
        <w:tc>
          <w:tcPr>
            <w:tcW w:w="5953" w:type="dxa"/>
            <w:tcBorders>
              <w:top w:val="nil"/>
              <w:left w:val="nil"/>
              <w:bottom w:val="single" w:sz="4" w:space="0" w:color="auto"/>
              <w:right w:val="single" w:sz="4" w:space="0" w:color="auto"/>
            </w:tcBorders>
            <w:noWrap/>
            <w:vAlign w:val="center"/>
            <w:hideMark/>
          </w:tcPr>
          <w:p w14:paraId="6FE53F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NOVA GORICA</w:t>
            </w:r>
          </w:p>
        </w:tc>
      </w:tr>
      <w:tr w:rsidR="00F24E18" w14:paraId="6060C3F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48C6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1663</w:t>
            </w:r>
          </w:p>
        </w:tc>
        <w:tc>
          <w:tcPr>
            <w:tcW w:w="1300" w:type="dxa"/>
            <w:tcBorders>
              <w:top w:val="nil"/>
              <w:left w:val="nil"/>
              <w:bottom w:val="single" w:sz="4" w:space="0" w:color="auto"/>
              <w:right w:val="single" w:sz="4" w:space="0" w:color="auto"/>
            </w:tcBorders>
            <w:vAlign w:val="center"/>
            <w:hideMark/>
          </w:tcPr>
          <w:p w14:paraId="3DF760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5886708000</w:t>
            </w:r>
          </w:p>
        </w:tc>
        <w:tc>
          <w:tcPr>
            <w:tcW w:w="1012" w:type="dxa"/>
            <w:tcBorders>
              <w:top w:val="nil"/>
              <w:left w:val="nil"/>
              <w:bottom w:val="single" w:sz="4" w:space="0" w:color="auto"/>
              <w:right w:val="single" w:sz="4" w:space="0" w:color="auto"/>
            </w:tcBorders>
            <w:vAlign w:val="center"/>
            <w:hideMark/>
          </w:tcPr>
          <w:p w14:paraId="563375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15328228</w:t>
            </w:r>
          </w:p>
        </w:tc>
        <w:tc>
          <w:tcPr>
            <w:tcW w:w="5953" w:type="dxa"/>
            <w:tcBorders>
              <w:top w:val="nil"/>
              <w:left w:val="nil"/>
              <w:bottom w:val="single" w:sz="4" w:space="0" w:color="auto"/>
              <w:right w:val="single" w:sz="4" w:space="0" w:color="auto"/>
            </w:tcBorders>
            <w:noWrap/>
            <w:vAlign w:val="center"/>
            <w:hideMark/>
          </w:tcPr>
          <w:p w14:paraId="0F202C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NOVO MESTO</w:t>
            </w:r>
          </w:p>
        </w:tc>
      </w:tr>
      <w:tr w:rsidR="00F24E18" w14:paraId="5E4020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49F5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1664</w:t>
            </w:r>
          </w:p>
        </w:tc>
        <w:tc>
          <w:tcPr>
            <w:tcW w:w="1300" w:type="dxa"/>
            <w:tcBorders>
              <w:top w:val="nil"/>
              <w:left w:val="nil"/>
              <w:bottom w:val="single" w:sz="4" w:space="0" w:color="auto"/>
              <w:right w:val="single" w:sz="4" w:space="0" w:color="auto"/>
            </w:tcBorders>
            <w:noWrap/>
            <w:vAlign w:val="center"/>
            <w:hideMark/>
          </w:tcPr>
          <w:p w14:paraId="5F64C0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5886694000</w:t>
            </w:r>
          </w:p>
        </w:tc>
        <w:tc>
          <w:tcPr>
            <w:tcW w:w="1012" w:type="dxa"/>
            <w:tcBorders>
              <w:top w:val="nil"/>
              <w:left w:val="nil"/>
              <w:bottom w:val="single" w:sz="4" w:space="0" w:color="auto"/>
              <w:right w:val="single" w:sz="4" w:space="0" w:color="auto"/>
            </w:tcBorders>
            <w:noWrap/>
            <w:vAlign w:val="center"/>
            <w:hideMark/>
          </w:tcPr>
          <w:p w14:paraId="372A96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61241202</w:t>
            </w:r>
          </w:p>
        </w:tc>
        <w:tc>
          <w:tcPr>
            <w:tcW w:w="5953" w:type="dxa"/>
            <w:tcBorders>
              <w:top w:val="nil"/>
              <w:left w:val="nil"/>
              <w:bottom w:val="single" w:sz="4" w:space="0" w:color="auto"/>
              <w:right w:val="single" w:sz="4" w:space="0" w:color="auto"/>
            </w:tcBorders>
            <w:noWrap/>
            <w:vAlign w:val="center"/>
            <w:hideMark/>
          </w:tcPr>
          <w:p w14:paraId="77CBBD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ORMOŽ</w:t>
            </w:r>
          </w:p>
        </w:tc>
      </w:tr>
      <w:tr w:rsidR="00F24E18" w14:paraId="7C7255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3CFD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1665</w:t>
            </w:r>
          </w:p>
        </w:tc>
        <w:tc>
          <w:tcPr>
            <w:tcW w:w="1300" w:type="dxa"/>
            <w:tcBorders>
              <w:top w:val="nil"/>
              <w:left w:val="nil"/>
              <w:bottom w:val="single" w:sz="4" w:space="0" w:color="auto"/>
              <w:right w:val="single" w:sz="4" w:space="0" w:color="auto"/>
            </w:tcBorders>
            <w:noWrap/>
            <w:vAlign w:val="center"/>
            <w:hideMark/>
          </w:tcPr>
          <w:p w14:paraId="07DF38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5886414000</w:t>
            </w:r>
          </w:p>
        </w:tc>
        <w:tc>
          <w:tcPr>
            <w:tcW w:w="1012" w:type="dxa"/>
            <w:tcBorders>
              <w:top w:val="nil"/>
              <w:left w:val="nil"/>
              <w:bottom w:val="single" w:sz="4" w:space="0" w:color="auto"/>
              <w:right w:val="single" w:sz="4" w:space="0" w:color="auto"/>
            </w:tcBorders>
            <w:noWrap/>
            <w:vAlign w:val="center"/>
            <w:hideMark/>
          </w:tcPr>
          <w:p w14:paraId="198145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78585147</w:t>
            </w:r>
          </w:p>
        </w:tc>
        <w:tc>
          <w:tcPr>
            <w:tcW w:w="5953" w:type="dxa"/>
            <w:tcBorders>
              <w:top w:val="nil"/>
              <w:left w:val="nil"/>
              <w:bottom w:val="single" w:sz="4" w:space="0" w:color="auto"/>
              <w:right w:val="single" w:sz="4" w:space="0" w:color="auto"/>
            </w:tcBorders>
            <w:noWrap/>
            <w:vAlign w:val="center"/>
            <w:hideMark/>
          </w:tcPr>
          <w:p w14:paraId="0F4245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PESNICA</w:t>
            </w:r>
          </w:p>
        </w:tc>
      </w:tr>
      <w:tr w:rsidR="00F24E18" w14:paraId="55B8B1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428E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1666</w:t>
            </w:r>
          </w:p>
        </w:tc>
        <w:tc>
          <w:tcPr>
            <w:tcW w:w="1300" w:type="dxa"/>
            <w:tcBorders>
              <w:top w:val="nil"/>
              <w:left w:val="nil"/>
              <w:bottom w:val="single" w:sz="4" w:space="0" w:color="auto"/>
              <w:right w:val="single" w:sz="4" w:space="0" w:color="auto"/>
            </w:tcBorders>
            <w:noWrap/>
            <w:vAlign w:val="center"/>
            <w:hideMark/>
          </w:tcPr>
          <w:p w14:paraId="196C64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5886686000</w:t>
            </w:r>
          </w:p>
        </w:tc>
        <w:tc>
          <w:tcPr>
            <w:tcW w:w="1012" w:type="dxa"/>
            <w:tcBorders>
              <w:top w:val="nil"/>
              <w:left w:val="nil"/>
              <w:bottom w:val="single" w:sz="4" w:space="0" w:color="auto"/>
              <w:right w:val="single" w:sz="4" w:space="0" w:color="auto"/>
            </w:tcBorders>
            <w:noWrap/>
            <w:vAlign w:val="center"/>
            <w:hideMark/>
          </w:tcPr>
          <w:p w14:paraId="6E4529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16986784</w:t>
            </w:r>
          </w:p>
        </w:tc>
        <w:tc>
          <w:tcPr>
            <w:tcW w:w="5953" w:type="dxa"/>
            <w:tcBorders>
              <w:top w:val="nil"/>
              <w:left w:val="nil"/>
              <w:bottom w:val="single" w:sz="4" w:space="0" w:color="auto"/>
              <w:right w:val="single" w:sz="4" w:space="0" w:color="auto"/>
            </w:tcBorders>
            <w:noWrap/>
            <w:vAlign w:val="center"/>
            <w:hideMark/>
          </w:tcPr>
          <w:p w14:paraId="6E588A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PIRAN</w:t>
            </w:r>
          </w:p>
        </w:tc>
      </w:tr>
      <w:tr w:rsidR="00F24E18" w14:paraId="31CBE2B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911D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1667</w:t>
            </w:r>
          </w:p>
        </w:tc>
        <w:tc>
          <w:tcPr>
            <w:tcW w:w="1300" w:type="dxa"/>
            <w:tcBorders>
              <w:top w:val="nil"/>
              <w:left w:val="nil"/>
              <w:bottom w:val="single" w:sz="4" w:space="0" w:color="auto"/>
              <w:right w:val="single" w:sz="4" w:space="0" w:color="auto"/>
            </w:tcBorders>
            <w:noWrap/>
            <w:vAlign w:val="center"/>
            <w:hideMark/>
          </w:tcPr>
          <w:p w14:paraId="3F1991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5886678000</w:t>
            </w:r>
          </w:p>
        </w:tc>
        <w:tc>
          <w:tcPr>
            <w:tcW w:w="1012" w:type="dxa"/>
            <w:tcBorders>
              <w:top w:val="nil"/>
              <w:left w:val="nil"/>
              <w:bottom w:val="single" w:sz="4" w:space="0" w:color="auto"/>
              <w:right w:val="single" w:sz="4" w:space="0" w:color="auto"/>
            </w:tcBorders>
            <w:noWrap/>
            <w:vAlign w:val="center"/>
            <w:hideMark/>
          </w:tcPr>
          <w:p w14:paraId="53011D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81782586</w:t>
            </w:r>
          </w:p>
        </w:tc>
        <w:tc>
          <w:tcPr>
            <w:tcW w:w="5953" w:type="dxa"/>
            <w:tcBorders>
              <w:top w:val="nil"/>
              <w:left w:val="nil"/>
              <w:bottom w:val="single" w:sz="4" w:space="0" w:color="auto"/>
              <w:right w:val="single" w:sz="4" w:space="0" w:color="auto"/>
            </w:tcBorders>
            <w:noWrap/>
            <w:vAlign w:val="center"/>
            <w:hideMark/>
          </w:tcPr>
          <w:p w14:paraId="6CD491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POSTOJNA</w:t>
            </w:r>
          </w:p>
        </w:tc>
      </w:tr>
      <w:tr w:rsidR="00F24E18" w14:paraId="6B4CF0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C4D9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1668</w:t>
            </w:r>
          </w:p>
        </w:tc>
        <w:tc>
          <w:tcPr>
            <w:tcW w:w="1300" w:type="dxa"/>
            <w:tcBorders>
              <w:top w:val="nil"/>
              <w:left w:val="nil"/>
              <w:bottom w:val="single" w:sz="4" w:space="0" w:color="auto"/>
              <w:right w:val="single" w:sz="4" w:space="0" w:color="auto"/>
            </w:tcBorders>
            <w:noWrap/>
            <w:vAlign w:val="center"/>
            <w:hideMark/>
          </w:tcPr>
          <w:p w14:paraId="1BD124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5886660000</w:t>
            </w:r>
          </w:p>
        </w:tc>
        <w:tc>
          <w:tcPr>
            <w:tcW w:w="1012" w:type="dxa"/>
            <w:tcBorders>
              <w:top w:val="nil"/>
              <w:left w:val="nil"/>
              <w:bottom w:val="single" w:sz="4" w:space="0" w:color="auto"/>
              <w:right w:val="single" w:sz="4" w:space="0" w:color="auto"/>
            </w:tcBorders>
            <w:noWrap/>
            <w:vAlign w:val="center"/>
            <w:hideMark/>
          </w:tcPr>
          <w:p w14:paraId="417258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98166158</w:t>
            </w:r>
          </w:p>
        </w:tc>
        <w:tc>
          <w:tcPr>
            <w:tcW w:w="5953" w:type="dxa"/>
            <w:tcBorders>
              <w:top w:val="nil"/>
              <w:left w:val="nil"/>
              <w:bottom w:val="single" w:sz="4" w:space="0" w:color="auto"/>
              <w:right w:val="single" w:sz="4" w:space="0" w:color="auto"/>
            </w:tcBorders>
            <w:noWrap/>
            <w:vAlign w:val="center"/>
            <w:hideMark/>
          </w:tcPr>
          <w:p w14:paraId="5AB19F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PTUJ</w:t>
            </w:r>
          </w:p>
        </w:tc>
      </w:tr>
      <w:tr w:rsidR="00F24E18" w14:paraId="1DF9D85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BB63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1669</w:t>
            </w:r>
          </w:p>
        </w:tc>
        <w:tc>
          <w:tcPr>
            <w:tcW w:w="1300" w:type="dxa"/>
            <w:tcBorders>
              <w:top w:val="nil"/>
              <w:left w:val="nil"/>
              <w:bottom w:val="single" w:sz="4" w:space="0" w:color="auto"/>
              <w:right w:val="single" w:sz="4" w:space="0" w:color="auto"/>
            </w:tcBorders>
            <w:noWrap/>
            <w:vAlign w:val="center"/>
            <w:hideMark/>
          </w:tcPr>
          <w:p w14:paraId="0CE579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5886651000</w:t>
            </w:r>
          </w:p>
        </w:tc>
        <w:tc>
          <w:tcPr>
            <w:tcW w:w="1012" w:type="dxa"/>
            <w:tcBorders>
              <w:top w:val="nil"/>
              <w:left w:val="nil"/>
              <w:bottom w:val="single" w:sz="4" w:space="0" w:color="auto"/>
              <w:right w:val="single" w:sz="4" w:space="0" w:color="auto"/>
            </w:tcBorders>
            <w:noWrap/>
            <w:vAlign w:val="center"/>
            <w:hideMark/>
          </w:tcPr>
          <w:p w14:paraId="5A832A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74984012</w:t>
            </w:r>
          </w:p>
        </w:tc>
        <w:tc>
          <w:tcPr>
            <w:tcW w:w="5953" w:type="dxa"/>
            <w:tcBorders>
              <w:top w:val="nil"/>
              <w:left w:val="nil"/>
              <w:bottom w:val="single" w:sz="4" w:space="0" w:color="auto"/>
              <w:right w:val="single" w:sz="4" w:space="0" w:color="auto"/>
            </w:tcBorders>
            <w:noWrap/>
            <w:vAlign w:val="center"/>
            <w:hideMark/>
          </w:tcPr>
          <w:p w14:paraId="750A0F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RADLJE OB DRAVI</w:t>
            </w:r>
          </w:p>
        </w:tc>
      </w:tr>
      <w:tr w:rsidR="00F24E18" w14:paraId="1766A51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EC38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1670</w:t>
            </w:r>
          </w:p>
        </w:tc>
        <w:tc>
          <w:tcPr>
            <w:tcW w:w="1300" w:type="dxa"/>
            <w:tcBorders>
              <w:top w:val="nil"/>
              <w:left w:val="nil"/>
              <w:bottom w:val="single" w:sz="4" w:space="0" w:color="auto"/>
              <w:right w:val="single" w:sz="4" w:space="0" w:color="auto"/>
            </w:tcBorders>
            <w:noWrap/>
            <w:vAlign w:val="center"/>
            <w:hideMark/>
          </w:tcPr>
          <w:p w14:paraId="4548EB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5886643000</w:t>
            </w:r>
          </w:p>
        </w:tc>
        <w:tc>
          <w:tcPr>
            <w:tcW w:w="1012" w:type="dxa"/>
            <w:tcBorders>
              <w:top w:val="nil"/>
              <w:left w:val="nil"/>
              <w:bottom w:val="single" w:sz="4" w:space="0" w:color="auto"/>
              <w:right w:val="single" w:sz="4" w:space="0" w:color="auto"/>
            </w:tcBorders>
            <w:noWrap/>
            <w:vAlign w:val="center"/>
            <w:hideMark/>
          </w:tcPr>
          <w:p w14:paraId="198D9B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57100071</w:t>
            </w:r>
          </w:p>
        </w:tc>
        <w:tc>
          <w:tcPr>
            <w:tcW w:w="5953" w:type="dxa"/>
            <w:tcBorders>
              <w:top w:val="nil"/>
              <w:left w:val="nil"/>
              <w:bottom w:val="single" w:sz="4" w:space="0" w:color="auto"/>
              <w:right w:val="single" w:sz="4" w:space="0" w:color="auto"/>
            </w:tcBorders>
            <w:noWrap/>
            <w:vAlign w:val="center"/>
            <w:hideMark/>
          </w:tcPr>
          <w:p w14:paraId="689782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RADOVLJICA</w:t>
            </w:r>
          </w:p>
        </w:tc>
      </w:tr>
      <w:tr w:rsidR="00F24E18" w14:paraId="3E6296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D748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1671</w:t>
            </w:r>
          </w:p>
        </w:tc>
        <w:tc>
          <w:tcPr>
            <w:tcW w:w="1300" w:type="dxa"/>
            <w:tcBorders>
              <w:top w:val="nil"/>
              <w:left w:val="nil"/>
              <w:bottom w:val="single" w:sz="4" w:space="0" w:color="auto"/>
              <w:right w:val="single" w:sz="4" w:space="0" w:color="auto"/>
            </w:tcBorders>
            <w:noWrap/>
            <w:vAlign w:val="center"/>
            <w:hideMark/>
          </w:tcPr>
          <w:p w14:paraId="79073F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5886635000</w:t>
            </w:r>
          </w:p>
        </w:tc>
        <w:tc>
          <w:tcPr>
            <w:tcW w:w="1012" w:type="dxa"/>
            <w:tcBorders>
              <w:top w:val="nil"/>
              <w:left w:val="nil"/>
              <w:bottom w:val="single" w:sz="4" w:space="0" w:color="auto"/>
              <w:right w:val="single" w:sz="4" w:space="0" w:color="auto"/>
            </w:tcBorders>
            <w:noWrap/>
            <w:vAlign w:val="center"/>
            <w:hideMark/>
          </w:tcPr>
          <w:p w14:paraId="260BFE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15491331</w:t>
            </w:r>
          </w:p>
        </w:tc>
        <w:tc>
          <w:tcPr>
            <w:tcW w:w="5953" w:type="dxa"/>
            <w:tcBorders>
              <w:top w:val="nil"/>
              <w:left w:val="nil"/>
              <w:bottom w:val="single" w:sz="4" w:space="0" w:color="auto"/>
              <w:right w:val="single" w:sz="4" w:space="0" w:color="auto"/>
            </w:tcBorders>
            <w:noWrap/>
            <w:vAlign w:val="center"/>
            <w:hideMark/>
          </w:tcPr>
          <w:p w14:paraId="352097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RAVNE NA KOROŠKEM</w:t>
            </w:r>
          </w:p>
        </w:tc>
      </w:tr>
      <w:tr w:rsidR="00F24E18" w14:paraId="496509E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3E02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1672</w:t>
            </w:r>
          </w:p>
        </w:tc>
        <w:tc>
          <w:tcPr>
            <w:tcW w:w="1300" w:type="dxa"/>
            <w:tcBorders>
              <w:top w:val="nil"/>
              <w:left w:val="nil"/>
              <w:bottom w:val="single" w:sz="4" w:space="0" w:color="auto"/>
              <w:right w:val="single" w:sz="4" w:space="0" w:color="auto"/>
            </w:tcBorders>
            <w:noWrap/>
            <w:vAlign w:val="center"/>
            <w:hideMark/>
          </w:tcPr>
          <w:p w14:paraId="50FCE9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5886406000</w:t>
            </w:r>
          </w:p>
        </w:tc>
        <w:tc>
          <w:tcPr>
            <w:tcW w:w="1012" w:type="dxa"/>
            <w:tcBorders>
              <w:top w:val="nil"/>
              <w:left w:val="nil"/>
              <w:bottom w:val="single" w:sz="4" w:space="0" w:color="auto"/>
              <w:right w:val="single" w:sz="4" w:space="0" w:color="auto"/>
            </w:tcBorders>
            <w:noWrap/>
            <w:vAlign w:val="center"/>
            <w:hideMark/>
          </w:tcPr>
          <w:p w14:paraId="11A32E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28876946</w:t>
            </w:r>
          </w:p>
        </w:tc>
        <w:tc>
          <w:tcPr>
            <w:tcW w:w="5953" w:type="dxa"/>
            <w:tcBorders>
              <w:top w:val="nil"/>
              <w:left w:val="nil"/>
              <w:bottom w:val="single" w:sz="4" w:space="0" w:color="auto"/>
              <w:right w:val="single" w:sz="4" w:space="0" w:color="auto"/>
            </w:tcBorders>
            <w:noWrap/>
            <w:vAlign w:val="center"/>
            <w:hideMark/>
          </w:tcPr>
          <w:p w14:paraId="3C3E9E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RUŠE</w:t>
            </w:r>
          </w:p>
        </w:tc>
      </w:tr>
      <w:tr w:rsidR="00F24E18" w14:paraId="69617D4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38AD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1673</w:t>
            </w:r>
          </w:p>
        </w:tc>
        <w:tc>
          <w:tcPr>
            <w:tcW w:w="1300" w:type="dxa"/>
            <w:tcBorders>
              <w:top w:val="nil"/>
              <w:left w:val="nil"/>
              <w:bottom w:val="single" w:sz="4" w:space="0" w:color="auto"/>
              <w:right w:val="single" w:sz="4" w:space="0" w:color="auto"/>
            </w:tcBorders>
            <w:noWrap/>
            <w:vAlign w:val="center"/>
            <w:hideMark/>
          </w:tcPr>
          <w:p w14:paraId="4D5CE4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5886619000</w:t>
            </w:r>
          </w:p>
        </w:tc>
        <w:tc>
          <w:tcPr>
            <w:tcW w:w="1012" w:type="dxa"/>
            <w:tcBorders>
              <w:top w:val="nil"/>
              <w:left w:val="nil"/>
              <w:bottom w:val="single" w:sz="4" w:space="0" w:color="auto"/>
              <w:right w:val="single" w:sz="4" w:space="0" w:color="auto"/>
            </w:tcBorders>
            <w:noWrap/>
            <w:vAlign w:val="center"/>
            <w:hideMark/>
          </w:tcPr>
          <w:p w14:paraId="7FBE61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58994742</w:t>
            </w:r>
          </w:p>
        </w:tc>
        <w:tc>
          <w:tcPr>
            <w:tcW w:w="5953" w:type="dxa"/>
            <w:tcBorders>
              <w:top w:val="nil"/>
              <w:left w:val="nil"/>
              <w:bottom w:val="single" w:sz="4" w:space="0" w:color="auto"/>
              <w:right w:val="single" w:sz="4" w:space="0" w:color="auto"/>
            </w:tcBorders>
            <w:noWrap/>
            <w:vAlign w:val="center"/>
            <w:hideMark/>
          </w:tcPr>
          <w:p w14:paraId="45A86C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SEVNICA</w:t>
            </w:r>
          </w:p>
        </w:tc>
      </w:tr>
      <w:tr w:rsidR="00F24E18" w14:paraId="72F9E3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102A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1674</w:t>
            </w:r>
          </w:p>
        </w:tc>
        <w:tc>
          <w:tcPr>
            <w:tcW w:w="1300" w:type="dxa"/>
            <w:tcBorders>
              <w:top w:val="nil"/>
              <w:left w:val="nil"/>
              <w:bottom w:val="single" w:sz="4" w:space="0" w:color="auto"/>
              <w:right w:val="single" w:sz="4" w:space="0" w:color="auto"/>
            </w:tcBorders>
            <w:noWrap/>
            <w:vAlign w:val="center"/>
            <w:hideMark/>
          </w:tcPr>
          <w:p w14:paraId="733911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5886589000</w:t>
            </w:r>
          </w:p>
        </w:tc>
        <w:tc>
          <w:tcPr>
            <w:tcW w:w="1012" w:type="dxa"/>
            <w:tcBorders>
              <w:top w:val="nil"/>
              <w:left w:val="nil"/>
              <w:bottom w:val="single" w:sz="4" w:space="0" w:color="auto"/>
              <w:right w:val="single" w:sz="4" w:space="0" w:color="auto"/>
            </w:tcBorders>
            <w:noWrap/>
            <w:vAlign w:val="center"/>
            <w:hideMark/>
          </w:tcPr>
          <w:p w14:paraId="6F6093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89565649</w:t>
            </w:r>
          </w:p>
        </w:tc>
        <w:tc>
          <w:tcPr>
            <w:tcW w:w="5953" w:type="dxa"/>
            <w:tcBorders>
              <w:top w:val="nil"/>
              <w:left w:val="nil"/>
              <w:bottom w:val="single" w:sz="4" w:space="0" w:color="auto"/>
              <w:right w:val="single" w:sz="4" w:space="0" w:color="auto"/>
            </w:tcBorders>
            <w:noWrap/>
            <w:vAlign w:val="center"/>
            <w:hideMark/>
          </w:tcPr>
          <w:p w14:paraId="66F8D4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SLOVENJ GRADEC</w:t>
            </w:r>
          </w:p>
        </w:tc>
      </w:tr>
      <w:tr w:rsidR="00F24E18" w14:paraId="7EBCC9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A1AA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1675</w:t>
            </w:r>
          </w:p>
        </w:tc>
        <w:tc>
          <w:tcPr>
            <w:tcW w:w="1300" w:type="dxa"/>
            <w:tcBorders>
              <w:top w:val="nil"/>
              <w:left w:val="nil"/>
              <w:bottom w:val="single" w:sz="4" w:space="0" w:color="auto"/>
              <w:right w:val="single" w:sz="4" w:space="0" w:color="auto"/>
            </w:tcBorders>
            <w:noWrap/>
            <w:vAlign w:val="center"/>
            <w:hideMark/>
          </w:tcPr>
          <w:p w14:paraId="102884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5886562000</w:t>
            </w:r>
          </w:p>
        </w:tc>
        <w:tc>
          <w:tcPr>
            <w:tcW w:w="1012" w:type="dxa"/>
            <w:tcBorders>
              <w:top w:val="nil"/>
              <w:left w:val="nil"/>
              <w:bottom w:val="single" w:sz="4" w:space="0" w:color="auto"/>
              <w:right w:val="single" w:sz="4" w:space="0" w:color="auto"/>
            </w:tcBorders>
            <w:noWrap/>
            <w:vAlign w:val="center"/>
            <w:hideMark/>
          </w:tcPr>
          <w:p w14:paraId="7D6824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36456128</w:t>
            </w:r>
          </w:p>
        </w:tc>
        <w:tc>
          <w:tcPr>
            <w:tcW w:w="5953" w:type="dxa"/>
            <w:tcBorders>
              <w:top w:val="nil"/>
              <w:left w:val="nil"/>
              <w:bottom w:val="single" w:sz="4" w:space="0" w:color="auto"/>
              <w:right w:val="single" w:sz="4" w:space="0" w:color="auto"/>
            </w:tcBorders>
            <w:noWrap/>
            <w:vAlign w:val="center"/>
            <w:hideMark/>
          </w:tcPr>
          <w:p w14:paraId="1F5AF0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SLOVENSKA BISTRICA</w:t>
            </w:r>
          </w:p>
        </w:tc>
      </w:tr>
      <w:tr w:rsidR="00F24E18" w14:paraId="445A63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9228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1676</w:t>
            </w:r>
          </w:p>
        </w:tc>
        <w:tc>
          <w:tcPr>
            <w:tcW w:w="1300" w:type="dxa"/>
            <w:tcBorders>
              <w:top w:val="nil"/>
              <w:left w:val="nil"/>
              <w:bottom w:val="single" w:sz="4" w:space="0" w:color="auto"/>
              <w:right w:val="single" w:sz="4" w:space="0" w:color="auto"/>
            </w:tcBorders>
            <w:noWrap/>
            <w:vAlign w:val="center"/>
            <w:hideMark/>
          </w:tcPr>
          <w:p w14:paraId="212970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5886554000</w:t>
            </w:r>
          </w:p>
        </w:tc>
        <w:tc>
          <w:tcPr>
            <w:tcW w:w="1012" w:type="dxa"/>
            <w:tcBorders>
              <w:top w:val="nil"/>
              <w:left w:val="nil"/>
              <w:bottom w:val="single" w:sz="4" w:space="0" w:color="auto"/>
              <w:right w:val="single" w:sz="4" w:space="0" w:color="auto"/>
            </w:tcBorders>
            <w:noWrap/>
            <w:vAlign w:val="center"/>
            <w:hideMark/>
          </w:tcPr>
          <w:p w14:paraId="4DCEA8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98034715</w:t>
            </w:r>
          </w:p>
        </w:tc>
        <w:tc>
          <w:tcPr>
            <w:tcW w:w="5953" w:type="dxa"/>
            <w:tcBorders>
              <w:top w:val="nil"/>
              <w:left w:val="nil"/>
              <w:bottom w:val="single" w:sz="4" w:space="0" w:color="auto"/>
              <w:right w:val="single" w:sz="4" w:space="0" w:color="auto"/>
            </w:tcBorders>
            <w:noWrap/>
            <w:vAlign w:val="center"/>
            <w:hideMark/>
          </w:tcPr>
          <w:p w14:paraId="0C1CB5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SLOVENSKE KONJICE</w:t>
            </w:r>
          </w:p>
        </w:tc>
      </w:tr>
      <w:tr w:rsidR="00F24E18" w14:paraId="7753B63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BA46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1677</w:t>
            </w:r>
          </w:p>
        </w:tc>
        <w:tc>
          <w:tcPr>
            <w:tcW w:w="1300" w:type="dxa"/>
            <w:tcBorders>
              <w:top w:val="nil"/>
              <w:left w:val="nil"/>
              <w:bottom w:val="single" w:sz="4" w:space="0" w:color="auto"/>
              <w:right w:val="single" w:sz="4" w:space="0" w:color="auto"/>
            </w:tcBorders>
            <w:noWrap/>
            <w:vAlign w:val="center"/>
            <w:hideMark/>
          </w:tcPr>
          <w:p w14:paraId="373971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5886538000</w:t>
            </w:r>
          </w:p>
        </w:tc>
        <w:tc>
          <w:tcPr>
            <w:tcW w:w="1012" w:type="dxa"/>
            <w:tcBorders>
              <w:top w:val="nil"/>
              <w:left w:val="nil"/>
              <w:bottom w:val="single" w:sz="4" w:space="0" w:color="auto"/>
              <w:right w:val="single" w:sz="4" w:space="0" w:color="auto"/>
            </w:tcBorders>
            <w:noWrap/>
            <w:vAlign w:val="center"/>
            <w:hideMark/>
          </w:tcPr>
          <w:p w14:paraId="31C89E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48700789</w:t>
            </w:r>
          </w:p>
        </w:tc>
        <w:tc>
          <w:tcPr>
            <w:tcW w:w="5953" w:type="dxa"/>
            <w:tcBorders>
              <w:top w:val="nil"/>
              <w:left w:val="nil"/>
              <w:bottom w:val="single" w:sz="4" w:space="0" w:color="auto"/>
              <w:right w:val="single" w:sz="4" w:space="0" w:color="auto"/>
            </w:tcBorders>
            <w:noWrap/>
            <w:vAlign w:val="center"/>
            <w:hideMark/>
          </w:tcPr>
          <w:p w14:paraId="7883E7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ŠKOFJA LOKA</w:t>
            </w:r>
          </w:p>
        </w:tc>
      </w:tr>
      <w:tr w:rsidR="00F24E18" w14:paraId="65423C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8345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1678</w:t>
            </w:r>
          </w:p>
        </w:tc>
        <w:tc>
          <w:tcPr>
            <w:tcW w:w="1300" w:type="dxa"/>
            <w:tcBorders>
              <w:top w:val="nil"/>
              <w:left w:val="nil"/>
              <w:bottom w:val="single" w:sz="4" w:space="0" w:color="auto"/>
              <w:right w:val="single" w:sz="4" w:space="0" w:color="auto"/>
            </w:tcBorders>
            <w:noWrap/>
            <w:vAlign w:val="center"/>
            <w:hideMark/>
          </w:tcPr>
          <w:p w14:paraId="041435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5886520000</w:t>
            </w:r>
          </w:p>
        </w:tc>
        <w:tc>
          <w:tcPr>
            <w:tcW w:w="1012" w:type="dxa"/>
            <w:tcBorders>
              <w:top w:val="nil"/>
              <w:left w:val="nil"/>
              <w:bottom w:val="single" w:sz="4" w:space="0" w:color="auto"/>
              <w:right w:val="single" w:sz="4" w:space="0" w:color="auto"/>
            </w:tcBorders>
            <w:noWrap/>
            <w:vAlign w:val="center"/>
            <w:hideMark/>
          </w:tcPr>
          <w:p w14:paraId="166263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54166268</w:t>
            </w:r>
          </w:p>
        </w:tc>
        <w:tc>
          <w:tcPr>
            <w:tcW w:w="5953" w:type="dxa"/>
            <w:tcBorders>
              <w:top w:val="nil"/>
              <w:left w:val="nil"/>
              <w:bottom w:val="single" w:sz="4" w:space="0" w:color="auto"/>
              <w:right w:val="single" w:sz="4" w:space="0" w:color="auto"/>
            </w:tcBorders>
            <w:noWrap/>
            <w:vAlign w:val="center"/>
            <w:hideMark/>
          </w:tcPr>
          <w:p w14:paraId="57A162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ŠMARJE PRI JELŠAH</w:t>
            </w:r>
          </w:p>
        </w:tc>
      </w:tr>
      <w:tr w:rsidR="00F24E18" w14:paraId="517FFEC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0708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1679</w:t>
            </w:r>
          </w:p>
        </w:tc>
        <w:tc>
          <w:tcPr>
            <w:tcW w:w="1300" w:type="dxa"/>
            <w:tcBorders>
              <w:top w:val="nil"/>
              <w:left w:val="nil"/>
              <w:bottom w:val="single" w:sz="4" w:space="0" w:color="auto"/>
              <w:right w:val="single" w:sz="4" w:space="0" w:color="auto"/>
            </w:tcBorders>
            <w:noWrap/>
            <w:vAlign w:val="center"/>
            <w:hideMark/>
          </w:tcPr>
          <w:p w14:paraId="5DD85D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5886511000</w:t>
            </w:r>
          </w:p>
        </w:tc>
        <w:tc>
          <w:tcPr>
            <w:tcW w:w="1012" w:type="dxa"/>
            <w:tcBorders>
              <w:top w:val="nil"/>
              <w:left w:val="nil"/>
              <w:bottom w:val="single" w:sz="4" w:space="0" w:color="auto"/>
              <w:right w:val="single" w:sz="4" w:space="0" w:color="auto"/>
            </w:tcBorders>
            <w:noWrap/>
            <w:vAlign w:val="center"/>
            <w:hideMark/>
          </w:tcPr>
          <w:p w14:paraId="5075CA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45214271</w:t>
            </w:r>
          </w:p>
        </w:tc>
        <w:tc>
          <w:tcPr>
            <w:tcW w:w="5953" w:type="dxa"/>
            <w:tcBorders>
              <w:top w:val="nil"/>
              <w:left w:val="nil"/>
              <w:bottom w:val="single" w:sz="4" w:space="0" w:color="auto"/>
              <w:right w:val="single" w:sz="4" w:space="0" w:color="auto"/>
            </w:tcBorders>
            <w:noWrap/>
            <w:vAlign w:val="center"/>
            <w:hideMark/>
          </w:tcPr>
          <w:p w14:paraId="51F224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TOLMIN</w:t>
            </w:r>
          </w:p>
        </w:tc>
      </w:tr>
      <w:tr w:rsidR="00F24E18" w14:paraId="7820084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5EE2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1680</w:t>
            </w:r>
          </w:p>
        </w:tc>
        <w:tc>
          <w:tcPr>
            <w:tcW w:w="1300" w:type="dxa"/>
            <w:tcBorders>
              <w:top w:val="nil"/>
              <w:left w:val="nil"/>
              <w:bottom w:val="single" w:sz="4" w:space="0" w:color="auto"/>
              <w:right w:val="single" w:sz="4" w:space="0" w:color="auto"/>
            </w:tcBorders>
            <w:noWrap/>
            <w:vAlign w:val="center"/>
            <w:hideMark/>
          </w:tcPr>
          <w:p w14:paraId="712CD4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5886490000</w:t>
            </w:r>
          </w:p>
        </w:tc>
        <w:tc>
          <w:tcPr>
            <w:tcW w:w="1012" w:type="dxa"/>
            <w:tcBorders>
              <w:top w:val="nil"/>
              <w:left w:val="nil"/>
              <w:bottom w:val="single" w:sz="4" w:space="0" w:color="auto"/>
              <w:right w:val="single" w:sz="4" w:space="0" w:color="auto"/>
            </w:tcBorders>
            <w:noWrap/>
            <w:vAlign w:val="center"/>
            <w:hideMark/>
          </w:tcPr>
          <w:p w14:paraId="5FEAF2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50471996</w:t>
            </w:r>
          </w:p>
        </w:tc>
        <w:tc>
          <w:tcPr>
            <w:tcW w:w="5953" w:type="dxa"/>
            <w:tcBorders>
              <w:top w:val="nil"/>
              <w:left w:val="nil"/>
              <w:bottom w:val="single" w:sz="4" w:space="0" w:color="auto"/>
              <w:right w:val="single" w:sz="4" w:space="0" w:color="auto"/>
            </w:tcBorders>
            <w:noWrap/>
            <w:vAlign w:val="center"/>
            <w:hideMark/>
          </w:tcPr>
          <w:p w14:paraId="536581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TREBNJE</w:t>
            </w:r>
          </w:p>
        </w:tc>
      </w:tr>
      <w:tr w:rsidR="00F24E18" w14:paraId="4C383F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EB4B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1681</w:t>
            </w:r>
          </w:p>
        </w:tc>
        <w:tc>
          <w:tcPr>
            <w:tcW w:w="1300" w:type="dxa"/>
            <w:tcBorders>
              <w:top w:val="nil"/>
              <w:left w:val="nil"/>
              <w:bottom w:val="single" w:sz="4" w:space="0" w:color="auto"/>
              <w:right w:val="single" w:sz="4" w:space="0" w:color="auto"/>
            </w:tcBorders>
            <w:noWrap/>
            <w:vAlign w:val="center"/>
            <w:hideMark/>
          </w:tcPr>
          <w:p w14:paraId="00AB7D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5886481000</w:t>
            </w:r>
          </w:p>
        </w:tc>
        <w:tc>
          <w:tcPr>
            <w:tcW w:w="1012" w:type="dxa"/>
            <w:tcBorders>
              <w:top w:val="nil"/>
              <w:left w:val="nil"/>
              <w:bottom w:val="single" w:sz="4" w:space="0" w:color="auto"/>
              <w:right w:val="single" w:sz="4" w:space="0" w:color="auto"/>
            </w:tcBorders>
            <w:noWrap/>
            <w:vAlign w:val="center"/>
            <w:hideMark/>
          </w:tcPr>
          <w:p w14:paraId="4DFE60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94057532</w:t>
            </w:r>
          </w:p>
        </w:tc>
        <w:tc>
          <w:tcPr>
            <w:tcW w:w="5953" w:type="dxa"/>
            <w:tcBorders>
              <w:top w:val="nil"/>
              <w:left w:val="nil"/>
              <w:bottom w:val="single" w:sz="4" w:space="0" w:color="auto"/>
              <w:right w:val="single" w:sz="4" w:space="0" w:color="auto"/>
            </w:tcBorders>
            <w:noWrap/>
            <w:vAlign w:val="center"/>
            <w:hideMark/>
          </w:tcPr>
          <w:p w14:paraId="32BE5E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TRŽIČ</w:t>
            </w:r>
          </w:p>
        </w:tc>
      </w:tr>
      <w:tr w:rsidR="00F24E18" w14:paraId="08EA6B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E43B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1682</w:t>
            </w:r>
          </w:p>
        </w:tc>
        <w:tc>
          <w:tcPr>
            <w:tcW w:w="1300" w:type="dxa"/>
            <w:tcBorders>
              <w:top w:val="nil"/>
              <w:left w:val="nil"/>
              <w:bottom w:val="single" w:sz="4" w:space="0" w:color="auto"/>
              <w:right w:val="single" w:sz="4" w:space="0" w:color="auto"/>
            </w:tcBorders>
            <w:noWrap/>
            <w:vAlign w:val="center"/>
            <w:hideMark/>
          </w:tcPr>
          <w:p w14:paraId="62C351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5886473000</w:t>
            </w:r>
          </w:p>
        </w:tc>
        <w:tc>
          <w:tcPr>
            <w:tcW w:w="1012" w:type="dxa"/>
            <w:tcBorders>
              <w:top w:val="nil"/>
              <w:left w:val="nil"/>
              <w:bottom w:val="single" w:sz="4" w:space="0" w:color="auto"/>
              <w:right w:val="single" w:sz="4" w:space="0" w:color="auto"/>
            </w:tcBorders>
            <w:noWrap/>
            <w:vAlign w:val="center"/>
            <w:hideMark/>
          </w:tcPr>
          <w:p w14:paraId="7A1CC6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56482574</w:t>
            </w:r>
          </w:p>
        </w:tc>
        <w:tc>
          <w:tcPr>
            <w:tcW w:w="5953" w:type="dxa"/>
            <w:tcBorders>
              <w:top w:val="nil"/>
              <w:left w:val="nil"/>
              <w:bottom w:val="single" w:sz="4" w:space="0" w:color="auto"/>
              <w:right w:val="single" w:sz="4" w:space="0" w:color="auto"/>
            </w:tcBorders>
            <w:noWrap/>
            <w:vAlign w:val="center"/>
            <w:hideMark/>
          </w:tcPr>
          <w:p w14:paraId="3CF11C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VELENJE</w:t>
            </w:r>
          </w:p>
        </w:tc>
      </w:tr>
      <w:tr w:rsidR="00F24E18" w14:paraId="156967F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39E2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1683</w:t>
            </w:r>
          </w:p>
        </w:tc>
        <w:tc>
          <w:tcPr>
            <w:tcW w:w="1300" w:type="dxa"/>
            <w:tcBorders>
              <w:top w:val="nil"/>
              <w:left w:val="nil"/>
              <w:bottom w:val="single" w:sz="4" w:space="0" w:color="auto"/>
              <w:right w:val="single" w:sz="4" w:space="0" w:color="auto"/>
            </w:tcBorders>
            <w:noWrap/>
            <w:vAlign w:val="center"/>
            <w:hideMark/>
          </w:tcPr>
          <w:p w14:paraId="5BC609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5886465000</w:t>
            </w:r>
          </w:p>
        </w:tc>
        <w:tc>
          <w:tcPr>
            <w:tcW w:w="1012" w:type="dxa"/>
            <w:tcBorders>
              <w:top w:val="nil"/>
              <w:left w:val="nil"/>
              <w:bottom w:val="single" w:sz="4" w:space="0" w:color="auto"/>
              <w:right w:val="single" w:sz="4" w:space="0" w:color="auto"/>
            </w:tcBorders>
            <w:noWrap/>
            <w:vAlign w:val="center"/>
            <w:hideMark/>
          </w:tcPr>
          <w:p w14:paraId="5778D4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42955335</w:t>
            </w:r>
          </w:p>
        </w:tc>
        <w:tc>
          <w:tcPr>
            <w:tcW w:w="5953" w:type="dxa"/>
            <w:tcBorders>
              <w:top w:val="nil"/>
              <w:left w:val="nil"/>
              <w:bottom w:val="single" w:sz="4" w:space="0" w:color="auto"/>
              <w:right w:val="single" w:sz="4" w:space="0" w:color="auto"/>
            </w:tcBorders>
            <w:noWrap/>
            <w:vAlign w:val="center"/>
            <w:hideMark/>
          </w:tcPr>
          <w:p w14:paraId="516E74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VRHNIKA</w:t>
            </w:r>
          </w:p>
        </w:tc>
      </w:tr>
      <w:tr w:rsidR="00F24E18" w14:paraId="1671B6C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C6F4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1684</w:t>
            </w:r>
          </w:p>
        </w:tc>
        <w:tc>
          <w:tcPr>
            <w:tcW w:w="1300" w:type="dxa"/>
            <w:tcBorders>
              <w:top w:val="nil"/>
              <w:left w:val="nil"/>
              <w:bottom w:val="single" w:sz="4" w:space="0" w:color="auto"/>
              <w:right w:val="single" w:sz="4" w:space="0" w:color="auto"/>
            </w:tcBorders>
            <w:noWrap/>
            <w:vAlign w:val="center"/>
            <w:hideMark/>
          </w:tcPr>
          <w:p w14:paraId="769172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5886457000</w:t>
            </w:r>
          </w:p>
        </w:tc>
        <w:tc>
          <w:tcPr>
            <w:tcW w:w="1012" w:type="dxa"/>
            <w:tcBorders>
              <w:top w:val="nil"/>
              <w:left w:val="nil"/>
              <w:bottom w:val="single" w:sz="4" w:space="0" w:color="auto"/>
              <w:right w:val="single" w:sz="4" w:space="0" w:color="auto"/>
            </w:tcBorders>
            <w:noWrap/>
            <w:vAlign w:val="center"/>
            <w:hideMark/>
          </w:tcPr>
          <w:p w14:paraId="44E48B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19950411</w:t>
            </w:r>
          </w:p>
        </w:tc>
        <w:tc>
          <w:tcPr>
            <w:tcW w:w="5953" w:type="dxa"/>
            <w:tcBorders>
              <w:top w:val="nil"/>
              <w:left w:val="nil"/>
              <w:bottom w:val="single" w:sz="4" w:space="0" w:color="auto"/>
              <w:right w:val="single" w:sz="4" w:space="0" w:color="auto"/>
            </w:tcBorders>
            <w:noWrap/>
            <w:vAlign w:val="center"/>
            <w:hideMark/>
          </w:tcPr>
          <w:p w14:paraId="0EBA26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ZAGORJE OB SAVI</w:t>
            </w:r>
          </w:p>
        </w:tc>
      </w:tr>
      <w:tr w:rsidR="00F24E18" w14:paraId="020C4CD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7D45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1685</w:t>
            </w:r>
          </w:p>
        </w:tc>
        <w:tc>
          <w:tcPr>
            <w:tcW w:w="1300" w:type="dxa"/>
            <w:tcBorders>
              <w:top w:val="nil"/>
              <w:left w:val="nil"/>
              <w:bottom w:val="single" w:sz="4" w:space="0" w:color="auto"/>
              <w:right w:val="single" w:sz="4" w:space="0" w:color="auto"/>
            </w:tcBorders>
            <w:noWrap/>
            <w:vAlign w:val="center"/>
            <w:hideMark/>
          </w:tcPr>
          <w:p w14:paraId="17EBF0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5886449000</w:t>
            </w:r>
          </w:p>
        </w:tc>
        <w:tc>
          <w:tcPr>
            <w:tcW w:w="1012" w:type="dxa"/>
            <w:tcBorders>
              <w:top w:val="nil"/>
              <w:left w:val="nil"/>
              <w:bottom w:val="single" w:sz="4" w:space="0" w:color="auto"/>
              <w:right w:val="single" w:sz="4" w:space="0" w:color="auto"/>
            </w:tcBorders>
            <w:noWrap/>
            <w:vAlign w:val="center"/>
            <w:hideMark/>
          </w:tcPr>
          <w:p w14:paraId="5172E0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28291948</w:t>
            </w:r>
          </w:p>
        </w:tc>
        <w:tc>
          <w:tcPr>
            <w:tcW w:w="5953" w:type="dxa"/>
            <w:tcBorders>
              <w:top w:val="nil"/>
              <w:left w:val="nil"/>
              <w:bottom w:val="single" w:sz="4" w:space="0" w:color="auto"/>
              <w:right w:val="single" w:sz="4" w:space="0" w:color="auto"/>
            </w:tcBorders>
            <w:noWrap/>
            <w:vAlign w:val="center"/>
            <w:hideMark/>
          </w:tcPr>
          <w:p w14:paraId="3F2178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UPRAVNA ENOTA ŽALEC</w:t>
            </w:r>
          </w:p>
        </w:tc>
      </w:tr>
      <w:tr w:rsidR="00F24E18" w14:paraId="6DB0A4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EB81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1686</w:t>
            </w:r>
          </w:p>
        </w:tc>
        <w:tc>
          <w:tcPr>
            <w:tcW w:w="1300" w:type="dxa"/>
            <w:tcBorders>
              <w:top w:val="nil"/>
              <w:left w:val="nil"/>
              <w:bottom w:val="single" w:sz="4" w:space="0" w:color="auto"/>
              <w:right w:val="single" w:sz="4" w:space="0" w:color="auto"/>
            </w:tcBorders>
            <w:noWrap/>
            <w:vAlign w:val="center"/>
            <w:hideMark/>
          </w:tcPr>
          <w:p w14:paraId="61DBD4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5858135000</w:t>
            </w:r>
          </w:p>
        </w:tc>
        <w:tc>
          <w:tcPr>
            <w:tcW w:w="1012" w:type="dxa"/>
            <w:tcBorders>
              <w:top w:val="nil"/>
              <w:left w:val="nil"/>
              <w:bottom w:val="single" w:sz="4" w:space="0" w:color="auto"/>
              <w:right w:val="single" w:sz="4" w:space="0" w:color="auto"/>
            </w:tcBorders>
            <w:noWrap/>
            <w:vAlign w:val="center"/>
            <w:hideMark/>
          </w:tcPr>
          <w:p w14:paraId="497F70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19290870</w:t>
            </w:r>
          </w:p>
        </w:tc>
        <w:tc>
          <w:tcPr>
            <w:tcW w:w="5953" w:type="dxa"/>
            <w:tcBorders>
              <w:top w:val="nil"/>
              <w:left w:val="nil"/>
              <w:bottom w:val="single" w:sz="4" w:space="0" w:color="auto"/>
              <w:right w:val="single" w:sz="4" w:space="0" w:color="auto"/>
            </w:tcBorders>
            <w:noWrap/>
            <w:vAlign w:val="center"/>
            <w:hideMark/>
          </w:tcPr>
          <w:p w14:paraId="391ECD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DELOVNO SODIŠČE V CELJU</w:t>
            </w:r>
          </w:p>
        </w:tc>
      </w:tr>
      <w:tr w:rsidR="00F24E18" w14:paraId="3AE46E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95A6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1687</w:t>
            </w:r>
          </w:p>
        </w:tc>
        <w:tc>
          <w:tcPr>
            <w:tcW w:w="1300" w:type="dxa"/>
            <w:tcBorders>
              <w:top w:val="nil"/>
              <w:left w:val="nil"/>
              <w:bottom w:val="single" w:sz="4" w:space="0" w:color="auto"/>
              <w:right w:val="single" w:sz="4" w:space="0" w:color="auto"/>
            </w:tcBorders>
            <w:vAlign w:val="center"/>
            <w:hideMark/>
          </w:tcPr>
          <w:p w14:paraId="041540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5022860000</w:t>
            </w:r>
          </w:p>
        </w:tc>
        <w:tc>
          <w:tcPr>
            <w:tcW w:w="1012" w:type="dxa"/>
            <w:tcBorders>
              <w:top w:val="nil"/>
              <w:left w:val="nil"/>
              <w:bottom w:val="single" w:sz="4" w:space="0" w:color="auto"/>
              <w:right w:val="single" w:sz="4" w:space="0" w:color="auto"/>
            </w:tcBorders>
            <w:vAlign w:val="center"/>
            <w:hideMark/>
          </w:tcPr>
          <w:p w14:paraId="3E5475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76953475</w:t>
            </w:r>
          </w:p>
        </w:tc>
        <w:tc>
          <w:tcPr>
            <w:tcW w:w="5953" w:type="dxa"/>
            <w:tcBorders>
              <w:top w:val="nil"/>
              <w:left w:val="nil"/>
              <w:bottom w:val="single" w:sz="4" w:space="0" w:color="auto"/>
              <w:right w:val="single" w:sz="4" w:space="0" w:color="auto"/>
            </w:tcBorders>
            <w:noWrap/>
            <w:vAlign w:val="center"/>
            <w:hideMark/>
          </w:tcPr>
          <w:p w14:paraId="4928BC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MINISTRSTVO ZA DELO, DRUŽINO, SOCIALNE ZADEVE IN ENAKE MOŽNOSTI</w:t>
            </w:r>
          </w:p>
        </w:tc>
      </w:tr>
      <w:tr w:rsidR="00F24E18" w14:paraId="0D00CD3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7674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1688</w:t>
            </w:r>
          </w:p>
        </w:tc>
        <w:tc>
          <w:tcPr>
            <w:tcW w:w="1300" w:type="dxa"/>
            <w:tcBorders>
              <w:top w:val="nil"/>
              <w:left w:val="nil"/>
              <w:bottom w:val="single" w:sz="4" w:space="0" w:color="auto"/>
              <w:right w:val="single" w:sz="4" w:space="0" w:color="auto"/>
            </w:tcBorders>
            <w:vAlign w:val="center"/>
            <w:hideMark/>
          </w:tcPr>
          <w:p w14:paraId="2352FA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2178982000</w:t>
            </w:r>
          </w:p>
        </w:tc>
        <w:tc>
          <w:tcPr>
            <w:tcW w:w="1012" w:type="dxa"/>
            <w:tcBorders>
              <w:top w:val="nil"/>
              <w:left w:val="nil"/>
              <w:bottom w:val="single" w:sz="4" w:space="0" w:color="auto"/>
              <w:right w:val="single" w:sz="4" w:space="0" w:color="auto"/>
            </w:tcBorders>
            <w:vAlign w:val="center"/>
            <w:hideMark/>
          </w:tcPr>
          <w:p w14:paraId="416C3C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25845837</w:t>
            </w:r>
          </w:p>
        </w:tc>
        <w:tc>
          <w:tcPr>
            <w:tcW w:w="5953" w:type="dxa"/>
            <w:tcBorders>
              <w:top w:val="nil"/>
              <w:left w:val="nil"/>
              <w:bottom w:val="single" w:sz="4" w:space="0" w:color="auto"/>
              <w:right w:val="single" w:sz="4" w:space="0" w:color="auto"/>
            </w:tcBorders>
            <w:noWrap/>
            <w:vAlign w:val="center"/>
            <w:hideMark/>
          </w:tcPr>
          <w:p w14:paraId="706926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REPUBLIKA SLOVENIJA, MINISTRSTVO ZA KMETIJSTVO, GOZDARSTVO IN PREHRANO, AGENCIJA REPUBLIKE SLOVENIJE ZA KMETIJSKE TRGE IN RAZVOJ PODEŽELJA</w:t>
            </w:r>
          </w:p>
        </w:tc>
      </w:tr>
      <w:tr w:rsidR="00F24E18" w14:paraId="4BC1759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CCE6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1689</w:t>
            </w:r>
          </w:p>
        </w:tc>
        <w:tc>
          <w:tcPr>
            <w:tcW w:w="1300" w:type="dxa"/>
            <w:tcBorders>
              <w:top w:val="nil"/>
              <w:left w:val="nil"/>
              <w:bottom w:val="single" w:sz="4" w:space="0" w:color="auto"/>
              <w:right w:val="single" w:sz="4" w:space="0" w:color="auto"/>
            </w:tcBorders>
            <w:noWrap/>
            <w:vAlign w:val="center"/>
            <w:hideMark/>
          </w:tcPr>
          <w:p w14:paraId="39B6BF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5513065000</w:t>
            </w:r>
          </w:p>
        </w:tc>
        <w:tc>
          <w:tcPr>
            <w:tcW w:w="1012" w:type="dxa"/>
            <w:tcBorders>
              <w:top w:val="nil"/>
              <w:left w:val="nil"/>
              <w:bottom w:val="single" w:sz="4" w:space="0" w:color="auto"/>
              <w:right w:val="single" w:sz="4" w:space="0" w:color="auto"/>
            </w:tcBorders>
            <w:noWrap/>
            <w:vAlign w:val="center"/>
            <w:hideMark/>
          </w:tcPr>
          <w:p w14:paraId="32E884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81182791</w:t>
            </w:r>
          </w:p>
        </w:tc>
        <w:tc>
          <w:tcPr>
            <w:tcW w:w="5953" w:type="dxa"/>
            <w:tcBorders>
              <w:top w:val="nil"/>
              <w:left w:val="nil"/>
              <w:bottom w:val="single" w:sz="4" w:space="0" w:color="auto"/>
              <w:right w:val="single" w:sz="4" w:space="0" w:color="auto"/>
            </w:tcBorders>
            <w:noWrap/>
            <w:vAlign w:val="center"/>
            <w:hideMark/>
          </w:tcPr>
          <w:p w14:paraId="1D2912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RGP D.O.O., REKONSTRUKCIJE, GRADNJE, PROIZVODNJA</w:t>
            </w:r>
          </w:p>
        </w:tc>
      </w:tr>
      <w:tr w:rsidR="00F24E18" w14:paraId="3A695CE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C814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1690</w:t>
            </w:r>
          </w:p>
        </w:tc>
        <w:tc>
          <w:tcPr>
            <w:tcW w:w="1300" w:type="dxa"/>
            <w:tcBorders>
              <w:top w:val="nil"/>
              <w:left w:val="nil"/>
              <w:bottom w:val="single" w:sz="4" w:space="0" w:color="auto"/>
              <w:right w:val="single" w:sz="4" w:space="0" w:color="auto"/>
            </w:tcBorders>
            <w:noWrap/>
            <w:vAlign w:val="center"/>
            <w:hideMark/>
          </w:tcPr>
          <w:p w14:paraId="31C31C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5936861000</w:t>
            </w:r>
          </w:p>
        </w:tc>
        <w:tc>
          <w:tcPr>
            <w:tcW w:w="1012" w:type="dxa"/>
            <w:tcBorders>
              <w:top w:val="nil"/>
              <w:left w:val="nil"/>
              <w:bottom w:val="single" w:sz="4" w:space="0" w:color="auto"/>
              <w:right w:val="single" w:sz="4" w:space="0" w:color="auto"/>
            </w:tcBorders>
            <w:noWrap/>
            <w:vAlign w:val="center"/>
            <w:hideMark/>
          </w:tcPr>
          <w:p w14:paraId="252BB1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76048934</w:t>
            </w:r>
          </w:p>
        </w:tc>
        <w:tc>
          <w:tcPr>
            <w:tcW w:w="5953" w:type="dxa"/>
            <w:tcBorders>
              <w:top w:val="nil"/>
              <w:left w:val="nil"/>
              <w:bottom w:val="single" w:sz="4" w:space="0" w:color="auto"/>
              <w:right w:val="single" w:sz="4" w:space="0" w:color="auto"/>
            </w:tcBorders>
            <w:noWrap/>
            <w:vAlign w:val="center"/>
            <w:hideMark/>
          </w:tcPr>
          <w:p w14:paraId="183814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RIBNIŠKI ŠTUDENTSKI KLUB</w:t>
            </w:r>
          </w:p>
        </w:tc>
      </w:tr>
      <w:tr w:rsidR="00F24E18" w14:paraId="0DF1EEA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1EE4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1691</w:t>
            </w:r>
          </w:p>
        </w:tc>
        <w:tc>
          <w:tcPr>
            <w:tcW w:w="1300" w:type="dxa"/>
            <w:tcBorders>
              <w:top w:val="nil"/>
              <w:left w:val="nil"/>
              <w:bottom w:val="single" w:sz="4" w:space="0" w:color="auto"/>
              <w:right w:val="single" w:sz="4" w:space="0" w:color="auto"/>
            </w:tcBorders>
            <w:vAlign w:val="center"/>
            <w:hideMark/>
          </w:tcPr>
          <w:p w14:paraId="77351F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1900145000</w:t>
            </w:r>
          </w:p>
        </w:tc>
        <w:tc>
          <w:tcPr>
            <w:tcW w:w="1012" w:type="dxa"/>
            <w:tcBorders>
              <w:top w:val="nil"/>
              <w:left w:val="nil"/>
              <w:bottom w:val="single" w:sz="4" w:space="0" w:color="auto"/>
              <w:right w:val="single" w:sz="4" w:space="0" w:color="auto"/>
            </w:tcBorders>
            <w:vAlign w:val="center"/>
            <w:hideMark/>
          </w:tcPr>
          <w:p w14:paraId="4C128B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36541028</w:t>
            </w:r>
          </w:p>
        </w:tc>
        <w:tc>
          <w:tcPr>
            <w:tcW w:w="5953" w:type="dxa"/>
            <w:tcBorders>
              <w:top w:val="nil"/>
              <w:left w:val="nil"/>
              <w:bottom w:val="single" w:sz="4" w:space="0" w:color="auto"/>
              <w:right w:val="single" w:sz="4" w:space="0" w:color="auto"/>
            </w:tcBorders>
            <w:noWrap/>
            <w:vAlign w:val="center"/>
            <w:hideMark/>
          </w:tcPr>
          <w:p w14:paraId="7E7FF5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RIS, RAZISKOVALNO IZOBRAŽEVALNO SREDIŠČE DVOREC RAKIČAN</w:t>
            </w:r>
          </w:p>
        </w:tc>
      </w:tr>
      <w:tr w:rsidR="00F24E18" w14:paraId="2D7B90D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5D3D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1692</w:t>
            </w:r>
          </w:p>
        </w:tc>
        <w:tc>
          <w:tcPr>
            <w:tcW w:w="1300" w:type="dxa"/>
            <w:tcBorders>
              <w:top w:val="nil"/>
              <w:left w:val="nil"/>
              <w:bottom w:val="single" w:sz="4" w:space="0" w:color="auto"/>
              <w:right w:val="single" w:sz="4" w:space="0" w:color="auto"/>
            </w:tcBorders>
            <w:noWrap/>
            <w:vAlign w:val="center"/>
            <w:hideMark/>
          </w:tcPr>
          <w:p w14:paraId="3506B6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1660616000</w:t>
            </w:r>
          </w:p>
        </w:tc>
        <w:tc>
          <w:tcPr>
            <w:tcW w:w="1012" w:type="dxa"/>
            <w:tcBorders>
              <w:top w:val="nil"/>
              <w:left w:val="nil"/>
              <w:bottom w:val="single" w:sz="4" w:space="0" w:color="auto"/>
              <w:right w:val="single" w:sz="4" w:space="0" w:color="auto"/>
            </w:tcBorders>
            <w:noWrap/>
            <w:vAlign w:val="center"/>
            <w:hideMark/>
          </w:tcPr>
          <w:p w14:paraId="5D8E77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58273069</w:t>
            </w:r>
          </w:p>
        </w:tc>
        <w:tc>
          <w:tcPr>
            <w:tcW w:w="5953" w:type="dxa"/>
            <w:tcBorders>
              <w:top w:val="nil"/>
              <w:left w:val="nil"/>
              <w:bottom w:val="single" w:sz="4" w:space="0" w:color="auto"/>
              <w:right w:val="single" w:sz="4" w:space="0" w:color="auto"/>
            </w:tcBorders>
            <w:noWrap/>
            <w:vAlign w:val="center"/>
            <w:hideMark/>
          </w:tcPr>
          <w:p w14:paraId="3D9238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RRA KOROŠKA REGIONALNA RAZVOJNA AGENCIJA ZA KOROŠKO REGIJO D.O.O.</w:t>
            </w:r>
          </w:p>
        </w:tc>
      </w:tr>
      <w:tr w:rsidR="00F24E18" w14:paraId="70EECC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70B2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1693</w:t>
            </w:r>
          </w:p>
        </w:tc>
        <w:tc>
          <w:tcPr>
            <w:tcW w:w="1300" w:type="dxa"/>
            <w:tcBorders>
              <w:top w:val="nil"/>
              <w:left w:val="nil"/>
              <w:bottom w:val="single" w:sz="4" w:space="0" w:color="auto"/>
              <w:right w:val="single" w:sz="4" w:space="0" w:color="auto"/>
            </w:tcBorders>
            <w:noWrap/>
            <w:vAlign w:val="center"/>
            <w:hideMark/>
          </w:tcPr>
          <w:p w14:paraId="1687E7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1461974000</w:t>
            </w:r>
          </w:p>
        </w:tc>
        <w:tc>
          <w:tcPr>
            <w:tcW w:w="1012" w:type="dxa"/>
            <w:tcBorders>
              <w:top w:val="nil"/>
              <w:left w:val="nil"/>
              <w:bottom w:val="single" w:sz="4" w:space="0" w:color="auto"/>
              <w:right w:val="single" w:sz="4" w:space="0" w:color="auto"/>
            </w:tcBorders>
            <w:noWrap/>
            <w:vAlign w:val="center"/>
            <w:hideMark/>
          </w:tcPr>
          <w:p w14:paraId="76B76D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95877835</w:t>
            </w:r>
          </w:p>
        </w:tc>
        <w:tc>
          <w:tcPr>
            <w:tcW w:w="5953" w:type="dxa"/>
            <w:tcBorders>
              <w:top w:val="nil"/>
              <w:left w:val="nil"/>
              <w:bottom w:val="single" w:sz="4" w:space="0" w:color="auto"/>
              <w:right w:val="single" w:sz="4" w:space="0" w:color="auto"/>
            </w:tcBorders>
            <w:noWrap/>
            <w:vAlign w:val="center"/>
            <w:hideMark/>
          </w:tcPr>
          <w:p w14:paraId="76031F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RRA SEVERNE PRIMORSKE REGIJSKA RAZVOJNA AGENCIJA D.O.O. NOVA GORICA</w:t>
            </w:r>
          </w:p>
        </w:tc>
      </w:tr>
      <w:tr w:rsidR="00F24E18" w14:paraId="3C7381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20AA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1694</w:t>
            </w:r>
          </w:p>
        </w:tc>
        <w:tc>
          <w:tcPr>
            <w:tcW w:w="1300" w:type="dxa"/>
            <w:tcBorders>
              <w:top w:val="nil"/>
              <w:left w:val="nil"/>
              <w:bottom w:val="single" w:sz="4" w:space="0" w:color="auto"/>
              <w:right w:val="single" w:sz="4" w:space="0" w:color="auto"/>
            </w:tcBorders>
            <w:vAlign w:val="center"/>
            <w:hideMark/>
          </w:tcPr>
          <w:p w14:paraId="4434D6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5920850000</w:t>
            </w:r>
          </w:p>
        </w:tc>
        <w:tc>
          <w:tcPr>
            <w:tcW w:w="1012" w:type="dxa"/>
            <w:tcBorders>
              <w:top w:val="nil"/>
              <w:left w:val="nil"/>
              <w:bottom w:val="single" w:sz="4" w:space="0" w:color="auto"/>
              <w:right w:val="single" w:sz="4" w:space="0" w:color="auto"/>
            </w:tcBorders>
            <w:vAlign w:val="center"/>
            <w:hideMark/>
          </w:tcPr>
          <w:p w14:paraId="3A2348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61120073</w:t>
            </w:r>
          </w:p>
        </w:tc>
        <w:tc>
          <w:tcPr>
            <w:tcW w:w="5953" w:type="dxa"/>
            <w:tcBorders>
              <w:top w:val="nil"/>
              <w:left w:val="nil"/>
              <w:bottom w:val="single" w:sz="4" w:space="0" w:color="auto"/>
              <w:right w:val="single" w:sz="4" w:space="0" w:color="auto"/>
            </w:tcBorders>
            <w:noWrap/>
            <w:vAlign w:val="center"/>
            <w:hideMark/>
          </w:tcPr>
          <w:p w14:paraId="76B297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RTH, RUDNIK TRBOVLJE-HRASTNIK D.O.O.-V LIKVIDACIJI</w:t>
            </w:r>
          </w:p>
        </w:tc>
      </w:tr>
      <w:tr w:rsidR="00F24E18" w14:paraId="1FDAD1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3452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1695</w:t>
            </w:r>
          </w:p>
        </w:tc>
        <w:tc>
          <w:tcPr>
            <w:tcW w:w="1300" w:type="dxa"/>
            <w:tcBorders>
              <w:top w:val="nil"/>
              <w:left w:val="nil"/>
              <w:bottom w:val="single" w:sz="4" w:space="0" w:color="auto"/>
              <w:right w:val="single" w:sz="4" w:space="0" w:color="auto"/>
            </w:tcBorders>
            <w:vAlign w:val="center"/>
            <w:hideMark/>
          </w:tcPr>
          <w:p w14:paraId="10591E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5521688000</w:t>
            </w:r>
          </w:p>
        </w:tc>
        <w:tc>
          <w:tcPr>
            <w:tcW w:w="1012" w:type="dxa"/>
            <w:tcBorders>
              <w:top w:val="nil"/>
              <w:left w:val="nil"/>
              <w:bottom w:val="single" w:sz="4" w:space="0" w:color="auto"/>
              <w:right w:val="single" w:sz="4" w:space="0" w:color="auto"/>
            </w:tcBorders>
            <w:vAlign w:val="center"/>
            <w:hideMark/>
          </w:tcPr>
          <w:p w14:paraId="45E845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87045729</w:t>
            </w:r>
          </w:p>
        </w:tc>
        <w:tc>
          <w:tcPr>
            <w:tcW w:w="5953" w:type="dxa"/>
            <w:tcBorders>
              <w:top w:val="nil"/>
              <w:left w:val="nil"/>
              <w:bottom w:val="single" w:sz="4" w:space="0" w:color="auto"/>
              <w:right w:val="single" w:sz="4" w:space="0" w:color="auto"/>
            </w:tcBorders>
            <w:noWrap/>
            <w:vAlign w:val="center"/>
            <w:hideMark/>
          </w:tcPr>
          <w:p w14:paraId="7AD030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RUDAR SENOVO POSLOVANJE Z NEPREMIČNINAMI, GRADNJE, STORITVE IN TRGOVINA SENOVO D.O.O.</w:t>
            </w:r>
          </w:p>
        </w:tc>
      </w:tr>
      <w:tr w:rsidR="00F24E18" w14:paraId="05BE03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936F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1696</w:t>
            </w:r>
          </w:p>
        </w:tc>
        <w:tc>
          <w:tcPr>
            <w:tcW w:w="1300" w:type="dxa"/>
            <w:tcBorders>
              <w:top w:val="nil"/>
              <w:left w:val="nil"/>
              <w:bottom w:val="single" w:sz="4" w:space="0" w:color="auto"/>
              <w:right w:val="single" w:sz="4" w:space="0" w:color="auto"/>
            </w:tcBorders>
            <w:noWrap/>
            <w:vAlign w:val="center"/>
            <w:hideMark/>
          </w:tcPr>
          <w:p w14:paraId="3B1D61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5159709000</w:t>
            </w:r>
          </w:p>
        </w:tc>
        <w:tc>
          <w:tcPr>
            <w:tcW w:w="1012" w:type="dxa"/>
            <w:tcBorders>
              <w:top w:val="nil"/>
              <w:left w:val="nil"/>
              <w:bottom w:val="single" w:sz="4" w:space="0" w:color="auto"/>
              <w:right w:val="single" w:sz="4" w:space="0" w:color="auto"/>
            </w:tcBorders>
            <w:noWrap/>
            <w:vAlign w:val="center"/>
            <w:hideMark/>
          </w:tcPr>
          <w:p w14:paraId="713235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76675424</w:t>
            </w:r>
          </w:p>
        </w:tc>
        <w:tc>
          <w:tcPr>
            <w:tcW w:w="5953" w:type="dxa"/>
            <w:tcBorders>
              <w:top w:val="nil"/>
              <w:left w:val="nil"/>
              <w:bottom w:val="single" w:sz="4" w:space="0" w:color="auto"/>
              <w:right w:val="single" w:sz="4" w:space="0" w:color="auto"/>
            </w:tcBorders>
            <w:noWrap/>
            <w:vAlign w:val="center"/>
            <w:hideMark/>
          </w:tcPr>
          <w:p w14:paraId="2E4AC6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RUDNIK ŽIROVSKI VRH, JAVNO PODJETJE ZA ZAPIRANJE RUDNIKA URANA, D.O.O.</w:t>
            </w:r>
          </w:p>
        </w:tc>
      </w:tr>
      <w:tr w:rsidR="00F24E18" w14:paraId="5A5890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A104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1697</w:t>
            </w:r>
          </w:p>
        </w:tc>
        <w:tc>
          <w:tcPr>
            <w:tcW w:w="1300" w:type="dxa"/>
            <w:tcBorders>
              <w:top w:val="nil"/>
              <w:left w:val="nil"/>
              <w:bottom w:val="single" w:sz="4" w:space="0" w:color="auto"/>
              <w:right w:val="single" w:sz="4" w:space="0" w:color="auto"/>
            </w:tcBorders>
            <w:vAlign w:val="center"/>
            <w:hideMark/>
          </w:tcPr>
          <w:p w14:paraId="6D379D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9104470000</w:t>
            </w:r>
          </w:p>
        </w:tc>
        <w:tc>
          <w:tcPr>
            <w:tcW w:w="1012" w:type="dxa"/>
            <w:tcBorders>
              <w:top w:val="nil"/>
              <w:left w:val="nil"/>
              <w:bottom w:val="single" w:sz="4" w:space="0" w:color="auto"/>
              <w:right w:val="single" w:sz="4" w:space="0" w:color="auto"/>
            </w:tcBorders>
            <w:vAlign w:val="center"/>
            <w:hideMark/>
          </w:tcPr>
          <w:p w14:paraId="09AA33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19740212</w:t>
            </w:r>
          </w:p>
        </w:tc>
        <w:tc>
          <w:tcPr>
            <w:tcW w:w="5953" w:type="dxa"/>
            <w:tcBorders>
              <w:top w:val="nil"/>
              <w:left w:val="nil"/>
              <w:bottom w:val="single" w:sz="4" w:space="0" w:color="auto"/>
              <w:right w:val="single" w:sz="4" w:space="0" w:color="auto"/>
            </w:tcBorders>
            <w:noWrap/>
            <w:vAlign w:val="center"/>
            <w:hideMark/>
          </w:tcPr>
          <w:p w14:paraId="6192DD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RUDOLFOVO - ZNANSTVENO IN TEHNOLOŠKO SREDIŠČE NOVO MESTO</w:t>
            </w:r>
          </w:p>
        </w:tc>
      </w:tr>
      <w:tr w:rsidR="00F24E18" w14:paraId="62EA16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A7DD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1698</w:t>
            </w:r>
          </w:p>
        </w:tc>
        <w:tc>
          <w:tcPr>
            <w:tcW w:w="1300" w:type="dxa"/>
            <w:tcBorders>
              <w:top w:val="nil"/>
              <w:left w:val="nil"/>
              <w:bottom w:val="single" w:sz="4" w:space="0" w:color="auto"/>
              <w:right w:val="single" w:sz="4" w:space="0" w:color="auto"/>
            </w:tcBorders>
            <w:noWrap/>
            <w:vAlign w:val="center"/>
            <w:hideMark/>
          </w:tcPr>
          <w:p w14:paraId="4CF44E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5167167000</w:t>
            </w:r>
          </w:p>
        </w:tc>
        <w:tc>
          <w:tcPr>
            <w:tcW w:w="1012" w:type="dxa"/>
            <w:tcBorders>
              <w:top w:val="nil"/>
              <w:left w:val="nil"/>
              <w:bottom w:val="single" w:sz="4" w:space="0" w:color="auto"/>
              <w:right w:val="single" w:sz="4" w:space="0" w:color="auto"/>
            </w:tcBorders>
            <w:noWrap/>
            <w:vAlign w:val="center"/>
            <w:hideMark/>
          </w:tcPr>
          <w:p w14:paraId="5369B1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99678004</w:t>
            </w:r>
          </w:p>
        </w:tc>
        <w:tc>
          <w:tcPr>
            <w:tcW w:w="5953" w:type="dxa"/>
            <w:tcBorders>
              <w:top w:val="nil"/>
              <w:left w:val="nil"/>
              <w:bottom w:val="single" w:sz="4" w:space="0" w:color="auto"/>
              <w:right w:val="single" w:sz="4" w:space="0" w:color="auto"/>
            </w:tcBorders>
            <w:noWrap/>
            <w:vAlign w:val="center"/>
            <w:hideMark/>
          </w:tcPr>
          <w:p w14:paraId="18C1EE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SAMOUPRAVNA SKUPNOST ITALIJANSKE NARODNOSTI KOPER COMUNITA` AUTOGESTITA DELLA NAZIONALITA` ITALIANA DI CAPODISTRIA</w:t>
            </w:r>
          </w:p>
        </w:tc>
      </w:tr>
      <w:tr w:rsidR="00F24E18" w14:paraId="2895EC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6867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1699</w:t>
            </w:r>
          </w:p>
        </w:tc>
        <w:tc>
          <w:tcPr>
            <w:tcW w:w="1300" w:type="dxa"/>
            <w:tcBorders>
              <w:top w:val="nil"/>
              <w:left w:val="nil"/>
              <w:bottom w:val="single" w:sz="4" w:space="0" w:color="auto"/>
              <w:right w:val="single" w:sz="4" w:space="0" w:color="auto"/>
            </w:tcBorders>
            <w:noWrap/>
            <w:vAlign w:val="center"/>
            <w:hideMark/>
          </w:tcPr>
          <w:p w14:paraId="454B9D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2332655000</w:t>
            </w:r>
          </w:p>
        </w:tc>
        <w:tc>
          <w:tcPr>
            <w:tcW w:w="1012" w:type="dxa"/>
            <w:tcBorders>
              <w:top w:val="nil"/>
              <w:left w:val="nil"/>
              <w:bottom w:val="single" w:sz="4" w:space="0" w:color="auto"/>
              <w:right w:val="single" w:sz="4" w:space="0" w:color="auto"/>
            </w:tcBorders>
            <w:noWrap/>
            <w:vAlign w:val="center"/>
            <w:hideMark/>
          </w:tcPr>
          <w:p w14:paraId="00DC10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16705327</w:t>
            </w:r>
          </w:p>
        </w:tc>
        <w:tc>
          <w:tcPr>
            <w:tcW w:w="5953" w:type="dxa"/>
            <w:tcBorders>
              <w:top w:val="nil"/>
              <w:left w:val="nil"/>
              <w:bottom w:val="single" w:sz="4" w:space="0" w:color="auto"/>
              <w:right w:val="single" w:sz="4" w:space="0" w:color="auto"/>
            </w:tcBorders>
            <w:noWrap/>
            <w:vAlign w:val="center"/>
            <w:hideMark/>
          </w:tcPr>
          <w:p w14:paraId="1566EC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SAŠA INKUBATOR, DRUŽBA ZA PODJETNIŠKO IN POSLOVNO SVETOVANJE, D.O.O.</w:t>
            </w:r>
          </w:p>
        </w:tc>
      </w:tr>
      <w:tr w:rsidR="00F24E18" w14:paraId="5C2348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9BF3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1700</w:t>
            </w:r>
          </w:p>
        </w:tc>
        <w:tc>
          <w:tcPr>
            <w:tcW w:w="1300" w:type="dxa"/>
            <w:tcBorders>
              <w:top w:val="nil"/>
              <w:left w:val="nil"/>
              <w:bottom w:val="single" w:sz="4" w:space="0" w:color="auto"/>
              <w:right w:val="single" w:sz="4" w:space="0" w:color="auto"/>
            </w:tcBorders>
            <w:vAlign w:val="center"/>
            <w:hideMark/>
          </w:tcPr>
          <w:p w14:paraId="6BC7BC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5044405000</w:t>
            </w:r>
          </w:p>
        </w:tc>
        <w:tc>
          <w:tcPr>
            <w:tcW w:w="1012" w:type="dxa"/>
            <w:tcBorders>
              <w:top w:val="nil"/>
              <w:left w:val="nil"/>
              <w:bottom w:val="single" w:sz="4" w:space="0" w:color="auto"/>
              <w:right w:val="single" w:sz="4" w:space="0" w:color="auto"/>
            </w:tcBorders>
            <w:vAlign w:val="center"/>
            <w:hideMark/>
          </w:tcPr>
          <w:p w14:paraId="688D13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74887351</w:t>
            </w:r>
          </w:p>
        </w:tc>
        <w:tc>
          <w:tcPr>
            <w:tcW w:w="5953" w:type="dxa"/>
            <w:tcBorders>
              <w:top w:val="nil"/>
              <w:left w:val="nil"/>
              <w:bottom w:val="single" w:sz="4" w:space="0" w:color="auto"/>
              <w:right w:val="single" w:sz="4" w:space="0" w:color="auto"/>
            </w:tcBorders>
            <w:noWrap/>
            <w:vAlign w:val="center"/>
            <w:hideMark/>
          </w:tcPr>
          <w:p w14:paraId="073A21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SAVSKE ELEKTRARNE LJUBLJANA D.O.O.</w:t>
            </w:r>
          </w:p>
        </w:tc>
      </w:tr>
      <w:tr w:rsidR="00F24E18" w14:paraId="121F7CD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B051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1701</w:t>
            </w:r>
          </w:p>
        </w:tc>
        <w:tc>
          <w:tcPr>
            <w:tcW w:w="1300" w:type="dxa"/>
            <w:tcBorders>
              <w:top w:val="nil"/>
              <w:left w:val="nil"/>
              <w:bottom w:val="single" w:sz="4" w:space="0" w:color="auto"/>
              <w:right w:val="single" w:sz="4" w:space="0" w:color="auto"/>
            </w:tcBorders>
            <w:noWrap/>
            <w:vAlign w:val="center"/>
            <w:hideMark/>
          </w:tcPr>
          <w:p w14:paraId="1734AE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5244145000</w:t>
            </w:r>
          </w:p>
        </w:tc>
        <w:tc>
          <w:tcPr>
            <w:tcW w:w="1012" w:type="dxa"/>
            <w:tcBorders>
              <w:top w:val="nil"/>
              <w:left w:val="nil"/>
              <w:bottom w:val="single" w:sz="4" w:space="0" w:color="auto"/>
              <w:right w:val="single" w:sz="4" w:space="0" w:color="auto"/>
            </w:tcBorders>
            <w:noWrap/>
            <w:vAlign w:val="center"/>
            <w:hideMark/>
          </w:tcPr>
          <w:p w14:paraId="5B0A60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20679785</w:t>
            </w:r>
          </w:p>
        </w:tc>
        <w:tc>
          <w:tcPr>
            <w:tcW w:w="5953" w:type="dxa"/>
            <w:tcBorders>
              <w:top w:val="nil"/>
              <w:left w:val="nil"/>
              <w:bottom w:val="single" w:sz="4" w:space="0" w:color="auto"/>
              <w:right w:val="single" w:sz="4" w:space="0" w:color="auto"/>
            </w:tcBorders>
            <w:noWrap/>
            <w:vAlign w:val="center"/>
            <w:hideMark/>
          </w:tcPr>
          <w:p w14:paraId="381ED6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SCUOLA DELL' INFANZIA LA COCCINELLA PIRANO - VRTEC LA COCCINELLA PIRAN</w:t>
            </w:r>
          </w:p>
        </w:tc>
      </w:tr>
      <w:tr w:rsidR="00F24E18" w14:paraId="17AFA61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0579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1702</w:t>
            </w:r>
          </w:p>
        </w:tc>
        <w:tc>
          <w:tcPr>
            <w:tcW w:w="1300" w:type="dxa"/>
            <w:tcBorders>
              <w:top w:val="nil"/>
              <w:left w:val="nil"/>
              <w:bottom w:val="single" w:sz="4" w:space="0" w:color="auto"/>
              <w:right w:val="single" w:sz="4" w:space="0" w:color="auto"/>
            </w:tcBorders>
            <w:noWrap/>
            <w:vAlign w:val="center"/>
            <w:hideMark/>
          </w:tcPr>
          <w:p w14:paraId="360AA0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5089514000</w:t>
            </w:r>
          </w:p>
        </w:tc>
        <w:tc>
          <w:tcPr>
            <w:tcW w:w="1012" w:type="dxa"/>
            <w:tcBorders>
              <w:top w:val="nil"/>
              <w:left w:val="nil"/>
              <w:bottom w:val="single" w:sz="4" w:space="0" w:color="auto"/>
              <w:right w:val="single" w:sz="4" w:space="0" w:color="auto"/>
            </w:tcBorders>
            <w:vAlign w:val="center"/>
            <w:hideMark/>
          </w:tcPr>
          <w:p w14:paraId="50CCF2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88215857</w:t>
            </w:r>
          </w:p>
        </w:tc>
        <w:tc>
          <w:tcPr>
            <w:tcW w:w="5953" w:type="dxa"/>
            <w:tcBorders>
              <w:top w:val="nil"/>
              <w:left w:val="nil"/>
              <w:bottom w:val="single" w:sz="4" w:space="0" w:color="auto"/>
              <w:right w:val="single" w:sz="4" w:space="0" w:color="auto"/>
            </w:tcBorders>
            <w:noWrap/>
            <w:vAlign w:val="center"/>
            <w:hideMark/>
          </w:tcPr>
          <w:p w14:paraId="6183C8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SCUOLA ELEMENTARE DANTE ALIGHIERI ISOLA - OSNOVNA ŠOLA DANTE ALIGHIERI IZOLA</w:t>
            </w:r>
          </w:p>
        </w:tc>
      </w:tr>
      <w:tr w:rsidR="00F24E18" w14:paraId="03EA4B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82FC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1703</w:t>
            </w:r>
          </w:p>
        </w:tc>
        <w:tc>
          <w:tcPr>
            <w:tcW w:w="1300" w:type="dxa"/>
            <w:tcBorders>
              <w:top w:val="nil"/>
              <w:left w:val="nil"/>
              <w:bottom w:val="single" w:sz="4" w:space="0" w:color="auto"/>
              <w:right w:val="single" w:sz="4" w:space="0" w:color="auto"/>
            </w:tcBorders>
            <w:noWrap/>
            <w:vAlign w:val="center"/>
            <w:hideMark/>
          </w:tcPr>
          <w:p w14:paraId="643091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5084849000</w:t>
            </w:r>
          </w:p>
        </w:tc>
        <w:tc>
          <w:tcPr>
            <w:tcW w:w="1012" w:type="dxa"/>
            <w:tcBorders>
              <w:top w:val="nil"/>
              <w:left w:val="nil"/>
              <w:bottom w:val="single" w:sz="4" w:space="0" w:color="auto"/>
              <w:right w:val="single" w:sz="4" w:space="0" w:color="auto"/>
            </w:tcBorders>
            <w:noWrap/>
            <w:vAlign w:val="center"/>
            <w:hideMark/>
          </w:tcPr>
          <w:p w14:paraId="363DB9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41881761</w:t>
            </w:r>
          </w:p>
        </w:tc>
        <w:tc>
          <w:tcPr>
            <w:tcW w:w="5953" w:type="dxa"/>
            <w:tcBorders>
              <w:top w:val="nil"/>
              <w:left w:val="nil"/>
              <w:bottom w:val="single" w:sz="4" w:space="0" w:color="auto"/>
              <w:right w:val="single" w:sz="4" w:space="0" w:color="auto"/>
            </w:tcBorders>
            <w:noWrap/>
            <w:vAlign w:val="center"/>
            <w:hideMark/>
          </w:tcPr>
          <w:p w14:paraId="790305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SCUOLA ELEMENTARE PIER PAOLO VERGERIO IL VECCHIO CAPODISTRIA OSNOVNA ŠOLA PIER PAOLO VERGERIO IL VECCHIO KOPER</w:t>
            </w:r>
          </w:p>
        </w:tc>
      </w:tr>
      <w:tr w:rsidR="00F24E18" w14:paraId="48E648E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5A1B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1704</w:t>
            </w:r>
          </w:p>
        </w:tc>
        <w:tc>
          <w:tcPr>
            <w:tcW w:w="1300" w:type="dxa"/>
            <w:tcBorders>
              <w:top w:val="nil"/>
              <w:left w:val="nil"/>
              <w:bottom w:val="single" w:sz="4" w:space="0" w:color="auto"/>
              <w:right w:val="single" w:sz="4" w:space="0" w:color="auto"/>
            </w:tcBorders>
            <w:noWrap/>
            <w:vAlign w:val="center"/>
            <w:hideMark/>
          </w:tcPr>
          <w:p w14:paraId="71E3D2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5086442000</w:t>
            </w:r>
          </w:p>
        </w:tc>
        <w:tc>
          <w:tcPr>
            <w:tcW w:w="1012" w:type="dxa"/>
            <w:tcBorders>
              <w:top w:val="nil"/>
              <w:left w:val="nil"/>
              <w:bottom w:val="single" w:sz="4" w:space="0" w:color="auto"/>
              <w:right w:val="single" w:sz="4" w:space="0" w:color="auto"/>
            </w:tcBorders>
            <w:noWrap/>
            <w:vAlign w:val="center"/>
            <w:hideMark/>
          </w:tcPr>
          <w:p w14:paraId="4C2082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53413440</w:t>
            </w:r>
          </w:p>
        </w:tc>
        <w:tc>
          <w:tcPr>
            <w:tcW w:w="5953" w:type="dxa"/>
            <w:tcBorders>
              <w:top w:val="nil"/>
              <w:left w:val="nil"/>
              <w:bottom w:val="single" w:sz="4" w:space="0" w:color="auto"/>
              <w:right w:val="single" w:sz="4" w:space="0" w:color="auto"/>
            </w:tcBorders>
            <w:noWrap/>
            <w:vAlign w:val="center"/>
            <w:hideMark/>
          </w:tcPr>
          <w:p w14:paraId="1643FA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SCUOLA ELEMENTARE VINCENZO E DIEGO DE CASTRO PIRANO - OSNOVNA ŠOLA VINCENZO E DIEGO DE CASTRO PIRAN</w:t>
            </w:r>
          </w:p>
        </w:tc>
      </w:tr>
      <w:tr w:rsidR="00F24E18" w14:paraId="6B3D2B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883D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1705</w:t>
            </w:r>
          </w:p>
        </w:tc>
        <w:tc>
          <w:tcPr>
            <w:tcW w:w="1300" w:type="dxa"/>
            <w:tcBorders>
              <w:top w:val="nil"/>
              <w:left w:val="nil"/>
              <w:bottom w:val="single" w:sz="4" w:space="0" w:color="auto"/>
              <w:right w:val="single" w:sz="4" w:space="0" w:color="auto"/>
            </w:tcBorders>
            <w:vAlign w:val="center"/>
            <w:hideMark/>
          </w:tcPr>
          <w:p w14:paraId="16A2D7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5665493000</w:t>
            </w:r>
          </w:p>
        </w:tc>
        <w:tc>
          <w:tcPr>
            <w:tcW w:w="1012" w:type="dxa"/>
            <w:tcBorders>
              <w:top w:val="nil"/>
              <w:left w:val="nil"/>
              <w:bottom w:val="single" w:sz="4" w:space="0" w:color="auto"/>
              <w:right w:val="single" w:sz="4" w:space="0" w:color="auto"/>
            </w:tcBorders>
            <w:vAlign w:val="center"/>
            <w:hideMark/>
          </w:tcPr>
          <w:p w14:paraId="002AAC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82155135</w:t>
            </w:r>
          </w:p>
        </w:tc>
        <w:tc>
          <w:tcPr>
            <w:tcW w:w="5953" w:type="dxa"/>
            <w:tcBorders>
              <w:top w:val="nil"/>
              <w:left w:val="nil"/>
              <w:bottom w:val="single" w:sz="4" w:space="0" w:color="auto"/>
              <w:right w:val="single" w:sz="4" w:space="0" w:color="auto"/>
            </w:tcBorders>
            <w:noWrap/>
            <w:vAlign w:val="center"/>
            <w:hideMark/>
          </w:tcPr>
          <w:p w14:paraId="002374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SID - SLOVENSKA IZVOZNA IN RAZVOJNA BANKA, D.D., LJUBLJANA</w:t>
            </w:r>
          </w:p>
        </w:tc>
      </w:tr>
      <w:tr w:rsidR="00F24E18" w14:paraId="327A961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C2BF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1706</w:t>
            </w:r>
          </w:p>
        </w:tc>
        <w:tc>
          <w:tcPr>
            <w:tcW w:w="1300" w:type="dxa"/>
            <w:tcBorders>
              <w:top w:val="nil"/>
              <w:left w:val="nil"/>
              <w:bottom w:val="single" w:sz="4" w:space="0" w:color="auto"/>
              <w:right w:val="single" w:sz="4" w:space="0" w:color="auto"/>
            </w:tcBorders>
            <w:vAlign w:val="center"/>
            <w:hideMark/>
          </w:tcPr>
          <w:p w14:paraId="5E3275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5914523000</w:t>
            </w:r>
          </w:p>
        </w:tc>
        <w:tc>
          <w:tcPr>
            <w:tcW w:w="1012" w:type="dxa"/>
            <w:tcBorders>
              <w:top w:val="nil"/>
              <w:left w:val="nil"/>
              <w:bottom w:val="single" w:sz="4" w:space="0" w:color="auto"/>
              <w:right w:val="single" w:sz="4" w:space="0" w:color="auto"/>
            </w:tcBorders>
            <w:vAlign w:val="center"/>
            <w:hideMark/>
          </w:tcPr>
          <w:p w14:paraId="50CE7D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54123135</w:t>
            </w:r>
          </w:p>
        </w:tc>
        <w:tc>
          <w:tcPr>
            <w:tcW w:w="5953" w:type="dxa"/>
            <w:tcBorders>
              <w:top w:val="nil"/>
              <w:left w:val="nil"/>
              <w:bottom w:val="single" w:sz="4" w:space="0" w:color="auto"/>
              <w:right w:val="single" w:sz="4" w:space="0" w:color="auto"/>
            </w:tcBorders>
            <w:noWrap/>
            <w:vAlign w:val="center"/>
            <w:hideMark/>
          </w:tcPr>
          <w:p w14:paraId="1CC0FB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SIMBIO, DRUŽBA ZA RAVNANJE Z ODPADKI D.O.O.</w:t>
            </w:r>
          </w:p>
        </w:tc>
      </w:tr>
      <w:tr w:rsidR="00F24E18" w14:paraId="36EBD22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DD80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1707</w:t>
            </w:r>
          </w:p>
        </w:tc>
        <w:tc>
          <w:tcPr>
            <w:tcW w:w="1300" w:type="dxa"/>
            <w:tcBorders>
              <w:top w:val="nil"/>
              <w:left w:val="nil"/>
              <w:bottom w:val="single" w:sz="4" w:space="0" w:color="auto"/>
              <w:right w:val="single" w:sz="4" w:space="0" w:color="auto"/>
            </w:tcBorders>
            <w:vAlign w:val="center"/>
            <w:hideMark/>
          </w:tcPr>
          <w:p w14:paraId="038EB7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5729963000</w:t>
            </w:r>
          </w:p>
        </w:tc>
        <w:tc>
          <w:tcPr>
            <w:tcW w:w="1012" w:type="dxa"/>
            <w:tcBorders>
              <w:top w:val="nil"/>
              <w:left w:val="nil"/>
              <w:bottom w:val="single" w:sz="4" w:space="0" w:color="auto"/>
              <w:right w:val="single" w:sz="4" w:space="0" w:color="auto"/>
            </w:tcBorders>
            <w:vAlign w:val="center"/>
            <w:hideMark/>
          </w:tcPr>
          <w:p w14:paraId="15255A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26279266</w:t>
            </w:r>
          </w:p>
        </w:tc>
        <w:tc>
          <w:tcPr>
            <w:tcW w:w="5953" w:type="dxa"/>
            <w:tcBorders>
              <w:top w:val="nil"/>
              <w:left w:val="nil"/>
              <w:bottom w:val="single" w:sz="4" w:space="0" w:color="auto"/>
              <w:right w:val="single" w:sz="4" w:space="0" w:color="auto"/>
            </w:tcBorders>
            <w:noWrap/>
            <w:vAlign w:val="center"/>
            <w:hideMark/>
          </w:tcPr>
          <w:p w14:paraId="550B8B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SKLAD KMETIJSKIH ZEMLJIŠČ IN GOZDOV REPUBLIKE SLOVENIJE</w:t>
            </w:r>
          </w:p>
        </w:tc>
      </w:tr>
      <w:tr w:rsidR="00F24E18" w14:paraId="20FFAA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EAF3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1708</w:t>
            </w:r>
          </w:p>
        </w:tc>
        <w:tc>
          <w:tcPr>
            <w:tcW w:w="1300" w:type="dxa"/>
            <w:tcBorders>
              <w:top w:val="nil"/>
              <w:left w:val="nil"/>
              <w:bottom w:val="single" w:sz="4" w:space="0" w:color="auto"/>
              <w:right w:val="single" w:sz="4" w:space="0" w:color="auto"/>
            </w:tcBorders>
            <w:noWrap/>
            <w:vAlign w:val="center"/>
            <w:hideMark/>
          </w:tcPr>
          <w:p w14:paraId="439D5E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2197189000</w:t>
            </w:r>
          </w:p>
        </w:tc>
        <w:tc>
          <w:tcPr>
            <w:tcW w:w="1012" w:type="dxa"/>
            <w:tcBorders>
              <w:top w:val="nil"/>
              <w:left w:val="nil"/>
              <w:bottom w:val="single" w:sz="4" w:space="0" w:color="auto"/>
              <w:right w:val="single" w:sz="4" w:space="0" w:color="auto"/>
            </w:tcBorders>
            <w:noWrap/>
            <w:vAlign w:val="center"/>
            <w:hideMark/>
          </w:tcPr>
          <w:p w14:paraId="073D9C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66700094</w:t>
            </w:r>
          </w:p>
        </w:tc>
        <w:tc>
          <w:tcPr>
            <w:tcW w:w="5953" w:type="dxa"/>
            <w:tcBorders>
              <w:top w:val="nil"/>
              <w:left w:val="nil"/>
              <w:bottom w:val="single" w:sz="4" w:space="0" w:color="auto"/>
              <w:right w:val="single" w:sz="4" w:space="0" w:color="auto"/>
            </w:tcBorders>
            <w:noWrap/>
            <w:vAlign w:val="center"/>
            <w:hideMark/>
          </w:tcPr>
          <w:p w14:paraId="61AF66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SKLAD REPUBLIKE SLOVENIJE ZA NASLEDSTVO, JAVNI SKLAD</w:t>
            </w:r>
          </w:p>
        </w:tc>
      </w:tr>
      <w:tr w:rsidR="00F24E18" w14:paraId="28A792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368C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1709</w:t>
            </w:r>
          </w:p>
        </w:tc>
        <w:tc>
          <w:tcPr>
            <w:tcW w:w="1300" w:type="dxa"/>
            <w:tcBorders>
              <w:top w:val="nil"/>
              <w:left w:val="nil"/>
              <w:bottom w:val="single" w:sz="4" w:space="0" w:color="auto"/>
              <w:right w:val="single" w:sz="4" w:space="0" w:color="auto"/>
            </w:tcBorders>
            <w:noWrap/>
            <w:vAlign w:val="center"/>
            <w:hideMark/>
          </w:tcPr>
          <w:p w14:paraId="46B003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2516314000</w:t>
            </w:r>
          </w:p>
        </w:tc>
        <w:tc>
          <w:tcPr>
            <w:tcW w:w="1012" w:type="dxa"/>
            <w:tcBorders>
              <w:top w:val="nil"/>
              <w:left w:val="nil"/>
              <w:bottom w:val="single" w:sz="4" w:space="0" w:color="auto"/>
              <w:right w:val="single" w:sz="4" w:space="0" w:color="auto"/>
            </w:tcBorders>
            <w:noWrap/>
            <w:vAlign w:val="center"/>
            <w:hideMark/>
          </w:tcPr>
          <w:p w14:paraId="6984A2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35214767</w:t>
            </w:r>
          </w:p>
        </w:tc>
        <w:tc>
          <w:tcPr>
            <w:tcW w:w="5953" w:type="dxa"/>
            <w:tcBorders>
              <w:top w:val="nil"/>
              <w:left w:val="nil"/>
              <w:bottom w:val="single" w:sz="4" w:space="0" w:color="auto"/>
              <w:right w:val="single" w:sz="4" w:space="0" w:color="auto"/>
            </w:tcBorders>
            <w:noWrap/>
            <w:vAlign w:val="center"/>
            <w:hideMark/>
          </w:tcPr>
          <w:p w14:paraId="204C42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SKUPNA OBČINSKA UPRAVA OBČIN DOLENJSKE</w:t>
            </w:r>
          </w:p>
        </w:tc>
      </w:tr>
      <w:tr w:rsidR="00F24E18" w14:paraId="1CF26D9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B706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1710</w:t>
            </w:r>
          </w:p>
        </w:tc>
        <w:tc>
          <w:tcPr>
            <w:tcW w:w="1300" w:type="dxa"/>
            <w:tcBorders>
              <w:top w:val="nil"/>
              <w:left w:val="nil"/>
              <w:bottom w:val="single" w:sz="4" w:space="0" w:color="auto"/>
              <w:right w:val="single" w:sz="4" w:space="0" w:color="auto"/>
            </w:tcBorders>
            <w:noWrap/>
            <w:vAlign w:val="center"/>
            <w:hideMark/>
          </w:tcPr>
          <w:p w14:paraId="6B939C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2516365000</w:t>
            </w:r>
          </w:p>
        </w:tc>
        <w:tc>
          <w:tcPr>
            <w:tcW w:w="1012" w:type="dxa"/>
            <w:tcBorders>
              <w:top w:val="nil"/>
              <w:left w:val="nil"/>
              <w:bottom w:val="single" w:sz="4" w:space="0" w:color="auto"/>
              <w:right w:val="single" w:sz="4" w:space="0" w:color="auto"/>
            </w:tcBorders>
            <w:noWrap/>
            <w:vAlign w:val="center"/>
            <w:hideMark/>
          </w:tcPr>
          <w:p w14:paraId="18E6F7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71778802</w:t>
            </w:r>
          </w:p>
        </w:tc>
        <w:tc>
          <w:tcPr>
            <w:tcW w:w="5953" w:type="dxa"/>
            <w:tcBorders>
              <w:top w:val="nil"/>
              <w:left w:val="nil"/>
              <w:bottom w:val="single" w:sz="4" w:space="0" w:color="auto"/>
              <w:right w:val="single" w:sz="4" w:space="0" w:color="auto"/>
            </w:tcBorders>
            <w:noWrap/>
            <w:vAlign w:val="center"/>
            <w:hideMark/>
          </w:tcPr>
          <w:p w14:paraId="6FB565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SKUPNA OBČINSKA UPRAVA OBČIN KOČEVJE, KOSTEL IN OSILNICA</w:t>
            </w:r>
          </w:p>
        </w:tc>
      </w:tr>
      <w:tr w:rsidR="00F24E18" w14:paraId="761BF6F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B638A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1711</w:t>
            </w:r>
          </w:p>
        </w:tc>
        <w:tc>
          <w:tcPr>
            <w:tcW w:w="1300" w:type="dxa"/>
            <w:tcBorders>
              <w:top w:val="nil"/>
              <w:left w:val="nil"/>
              <w:bottom w:val="single" w:sz="4" w:space="0" w:color="auto"/>
              <w:right w:val="single" w:sz="4" w:space="0" w:color="auto"/>
            </w:tcBorders>
            <w:noWrap/>
            <w:vAlign w:val="center"/>
            <w:hideMark/>
          </w:tcPr>
          <w:p w14:paraId="54CC17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1429353000</w:t>
            </w:r>
          </w:p>
        </w:tc>
        <w:tc>
          <w:tcPr>
            <w:tcW w:w="1012" w:type="dxa"/>
            <w:tcBorders>
              <w:top w:val="nil"/>
              <w:left w:val="nil"/>
              <w:bottom w:val="single" w:sz="4" w:space="0" w:color="auto"/>
              <w:right w:val="single" w:sz="4" w:space="0" w:color="auto"/>
            </w:tcBorders>
            <w:noWrap/>
            <w:vAlign w:val="center"/>
            <w:hideMark/>
          </w:tcPr>
          <w:p w14:paraId="34C048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84131110</w:t>
            </w:r>
          </w:p>
        </w:tc>
        <w:tc>
          <w:tcPr>
            <w:tcW w:w="5953" w:type="dxa"/>
            <w:tcBorders>
              <w:top w:val="nil"/>
              <w:left w:val="nil"/>
              <w:bottom w:val="single" w:sz="4" w:space="0" w:color="auto"/>
              <w:right w:val="single" w:sz="4" w:space="0" w:color="auto"/>
            </w:tcBorders>
            <w:noWrap/>
            <w:vAlign w:val="center"/>
            <w:hideMark/>
          </w:tcPr>
          <w:p w14:paraId="4F9730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SKUPNA OBČINSKA UPRAVA OBČIN V SPODNJEM PODRAVJU</w:t>
            </w:r>
          </w:p>
        </w:tc>
      </w:tr>
      <w:tr w:rsidR="00F24E18" w14:paraId="175FA5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DEF0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1712</w:t>
            </w:r>
          </w:p>
        </w:tc>
        <w:tc>
          <w:tcPr>
            <w:tcW w:w="1300" w:type="dxa"/>
            <w:tcBorders>
              <w:top w:val="nil"/>
              <w:left w:val="nil"/>
              <w:bottom w:val="single" w:sz="4" w:space="0" w:color="auto"/>
              <w:right w:val="single" w:sz="4" w:space="0" w:color="auto"/>
            </w:tcBorders>
            <w:vAlign w:val="center"/>
            <w:hideMark/>
          </w:tcPr>
          <w:p w14:paraId="68B28A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5828821000</w:t>
            </w:r>
          </w:p>
        </w:tc>
        <w:tc>
          <w:tcPr>
            <w:tcW w:w="1012" w:type="dxa"/>
            <w:tcBorders>
              <w:top w:val="nil"/>
              <w:left w:val="nil"/>
              <w:bottom w:val="single" w:sz="4" w:space="0" w:color="auto"/>
              <w:right w:val="single" w:sz="4" w:space="0" w:color="auto"/>
            </w:tcBorders>
            <w:vAlign w:val="center"/>
            <w:hideMark/>
          </w:tcPr>
          <w:p w14:paraId="246722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12655368</w:t>
            </w:r>
          </w:p>
        </w:tc>
        <w:tc>
          <w:tcPr>
            <w:tcW w:w="5953" w:type="dxa"/>
            <w:tcBorders>
              <w:top w:val="nil"/>
              <w:left w:val="nil"/>
              <w:bottom w:val="single" w:sz="4" w:space="0" w:color="auto"/>
              <w:right w:val="single" w:sz="4" w:space="0" w:color="auto"/>
            </w:tcBorders>
            <w:noWrap/>
            <w:vAlign w:val="center"/>
            <w:hideMark/>
          </w:tcPr>
          <w:p w14:paraId="23A8A2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SKUPNOST OBČIN SLOVENIJE</w:t>
            </w:r>
          </w:p>
        </w:tc>
      </w:tr>
      <w:tr w:rsidR="00F24E18" w14:paraId="398EA4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6E21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1713</w:t>
            </w:r>
          </w:p>
        </w:tc>
        <w:tc>
          <w:tcPr>
            <w:tcW w:w="1300" w:type="dxa"/>
            <w:tcBorders>
              <w:top w:val="nil"/>
              <w:left w:val="nil"/>
              <w:bottom w:val="single" w:sz="4" w:space="0" w:color="auto"/>
              <w:right w:val="single" w:sz="4" w:space="0" w:color="auto"/>
            </w:tcBorders>
            <w:vAlign w:val="center"/>
            <w:hideMark/>
          </w:tcPr>
          <w:p w14:paraId="5B01B3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1244442000</w:t>
            </w:r>
          </w:p>
        </w:tc>
        <w:tc>
          <w:tcPr>
            <w:tcW w:w="1012" w:type="dxa"/>
            <w:tcBorders>
              <w:top w:val="nil"/>
              <w:left w:val="nil"/>
              <w:bottom w:val="single" w:sz="4" w:space="0" w:color="auto"/>
              <w:right w:val="single" w:sz="4" w:space="0" w:color="auto"/>
            </w:tcBorders>
            <w:vAlign w:val="center"/>
            <w:hideMark/>
          </w:tcPr>
          <w:p w14:paraId="6B5834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23247029</w:t>
            </w:r>
          </w:p>
        </w:tc>
        <w:tc>
          <w:tcPr>
            <w:tcW w:w="5953" w:type="dxa"/>
            <w:tcBorders>
              <w:top w:val="nil"/>
              <w:left w:val="nil"/>
              <w:bottom w:val="single" w:sz="4" w:space="0" w:color="auto"/>
              <w:right w:val="single" w:sz="4" w:space="0" w:color="auto"/>
            </w:tcBorders>
            <w:noWrap/>
            <w:vAlign w:val="center"/>
            <w:hideMark/>
          </w:tcPr>
          <w:p w14:paraId="31DAFF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SKUPNOST SOCIALNIH ZAVODOV SLOVENIJE</w:t>
            </w:r>
          </w:p>
        </w:tc>
      </w:tr>
      <w:tr w:rsidR="00F24E18" w14:paraId="449736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542A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1714</w:t>
            </w:r>
          </w:p>
        </w:tc>
        <w:tc>
          <w:tcPr>
            <w:tcW w:w="1300" w:type="dxa"/>
            <w:tcBorders>
              <w:top w:val="nil"/>
              <w:left w:val="nil"/>
              <w:bottom w:val="single" w:sz="4" w:space="0" w:color="auto"/>
              <w:right w:val="single" w:sz="4" w:space="0" w:color="auto"/>
            </w:tcBorders>
            <w:vAlign w:val="center"/>
            <w:hideMark/>
          </w:tcPr>
          <w:p w14:paraId="27EE6F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5051444000</w:t>
            </w:r>
          </w:p>
        </w:tc>
        <w:tc>
          <w:tcPr>
            <w:tcW w:w="1012" w:type="dxa"/>
            <w:tcBorders>
              <w:top w:val="nil"/>
              <w:left w:val="nil"/>
              <w:bottom w:val="single" w:sz="4" w:space="0" w:color="auto"/>
              <w:right w:val="single" w:sz="4" w:space="0" w:color="auto"/>
            </w:tcBorders>
            <w:vAlign w:val="center"/>
            <w:hideMark/>
          </w:tcPr>
          <w:p w14:paraId="013477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54785758</w:t>
            </w:r>
          </w:p>
        </w:tc>
        <w:tc>
          <w:tcPr>
            <w:tcW w:w="5953" w:type="dxa"/>
            <w:tcBorders>
              <w:top w:val="nil"/>
              <w:left w:val="nil"/>
              <w:bottom w:val="single" w:sz="4" w:space="0" w:color="auto"/>
              <w:right w:val="single" w:sz="4" w:space="0" w:color="auto"/>
            </w:tcBorders>
            <w:noWrap/>
            <w:vAlign w:val="center"/>
            <w:hideMark/>
          </w:tcPr>
          <w:p w14:paraId="54CC81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SLOVENSKA AKADEMIJA ZNANOSTI IN UMETNOSTI</w:t>
            </w:r>
          </w:p>
        </w:tc>
      </w:tr>
      <w:tr w:rsidR="00F24E18" w14:paraId="239121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1ECF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1715</w:t>
            </w:r>
          </w:p>
        </w:tc>
        <w:tc>
          <w:tcPr>
            <w:tcW w:w="1300" w:type="dxa"/>
            <w:tcBorders>
              <w:top w:val="nil"/>
              <w:left w:val="nil"/>
              <w:bottom w:val="single" w:sz="4" w:space="0" w:color="auto"/>
              <w:right w:val="single" w:sz="4" w:space="0" w:color="auto"/>
            </w:tcBorders>
            <w:noWrap/>
            <w:vAlign w:val="center"/>
            <w:hideMark/>
          </w:tcPr>
          <w:p w14:paraId="511DCB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1555669000</w:t>
            </w:r>
          </w:p>
        </w:tc>
        <w:tc>
          <w:tcPr>
            <w:tcW w:w="1012" w:type="dxa"/>
            <w:tcBorders>
              <w:top w:val="nil"/>
              <w:left w:val="nil"/>
              <w:bottom w:val="single" w:sz="4" w:space="0" w:color="auto"/>
              <w:right w:val="single" w:sz="4" w:space="0" w:color="auto"/>
            </w:tcBorders>
            <w:noWrap/>
            <w:vAlign w:val="center"/>
            <w:hideMark/>
          </w:tcPr>
          <w:p w14:paraId="7F0700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97967602</w:t>
            </w:r>
          </w:p>
        </w:tc>
        <w:tc>
          <w:tcPr>
            <w:tcW w:w="5953" w:type="dxa"/>
            <w:tcBorders>
              <w:top w:val="nil"/>
              <w:left w:val="nil"/>
              <w:bottom w:val="single" w:sz="4" w:space="0" w:color="auto"/>
              <w:right w:val="single" w:sz="4" w:space="0" w:color="auto"/>
            </w:tcBorders>
            <w:noWrap/>
            <w:vAlign w:val="center"/>
            <w:hideMark/>
          </w:tcPr>
          <w:p w14:paraId="4AB52D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SLOVENSKA AKREDITACIJA</w:t>
            </w:r>
          </w:p>
        </w:tc>
      </w:tr>
      <w:tr w:rsidR="00F24E18" w14:paraId="2AB231C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B4B0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1716</w:t>
            </w:r>
          </w:p>
        </w:tc>
        <w:tc>
          <w:tcPr>
            <w:tcW w:w="1300" w:type="dxa"/>
            <w:tcBorders>
              <w:top w:val="nil"/>
              <w:left w:val="nil"/>
              <w:bottom w:val="single" w:sz="4" w:space="0" w:color="auto"/>
              <w:right w:val="single" w:sz="4" w:space="0" w:color="auto"/>
            </w:tcBorders>
            <w:vAlign w:val="center"/>
            <w:hideMark/>
          </w:tcPr>
          <w:p w14:paraId="5BF320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5053242000</w:t>
            </w:r>
          </w:p>
        </w:tc>
        <w:tc>
          <w:tcPr>
            <w:tcW w:w="1012" w:type="dxa"/>
            <w:tcBorders>
              <w:top w:val="nil"/>
              <w:left w:val="nil"/>
              <w:bottom w:val="single" w:sz="4" w:space="0" w:color="auto"/>
              <w:right w:val="single" w:sz="4" w:space="0" w:color="auto"/>
            </w:tcBorders>
            <w:vAlign w:val="center"/>
            <w:hideMark/>
          </w:tcPr>
          <w:p w14:paraId="19358A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85684198</w:t>
            </w:r>
          </w:p>
        </w:tc>
        <w:tc>
          <w:tcPr>
            <w:tcW w:w="5953" w:type="dxa"/>
            <w:tcBorders>
              <w:top w:val="nil"/>
              <w:left w:val="nil"/>
              <w:bottom w:val="single" w:sz="4" w:space="0" w:color="auto"/>
              <w:right w:val="single" w:sz="4" w:space="0" w:color="auto"/>
            </w:tcBorders>
            <w:noWrap/>
            <w:vAlign w:val="center"/>
            <w:hideMark/>
          </w:tcPr>
          <w:p w14:paraId="35FC4A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SLOVENSKA FILHARMONIJA</w:t>
            </w:r>
          </w:p>
        </w:tc>
      </w:tr>
      <w:tr w:rsidR="00F24E18" w14:paraId="495FF1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2BD9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1717</w:t>
            </w:r>
          </w:p>
        </w:tc>
        <w:tc>
          <w:tcPr>
            <w:tcW w:w="1300" w:type="dxa"/>
            <w:tcBorders>
              <w:top w:val="nil"/>
              <w:left w:val="nil"/>
              <w:bottom w:val="single" w:sz="4" w:space="0" w:color="auto"/>
              <w:right w:val="single" w:sz="4" w:space="0" w:color="auto"/>
            </w:tcBorders>
            <w:noWrap/>
            <w:vAlign w:val="center"/>
            <w:hideMark/>
          </w:tcPr>
          <w:p w14:paraId="5A4532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5971683000</w:t>
            </w:r>
          </w:p>
        </w:tc>
        <w:tc>
          <w:tcPr>
            <w:tcW w:w="1012" w:type="dxa"/>
            <w:tcBorders>
              <w:top w:val="nil"/>
              <w:left w:val="nil"/>
              <w:bottom w:val="single" w:sz="4" w:space="0" w:color="auto"/>
              <w:right w:val="single" w:sz="4" w:space="0" w:color="auto"/>
            </w:tcBorders>
            <w:noWrap/>
            <w:vAlign w:val="center"/>
            <w:hideMark/>
          </w:tcPr>
          <w:p w14:paraId="2BAEB7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45044309</w:t>
            </w:r>
          </w:p>
        </w:tc>
        <w:tc>
          <w:tcPr>
            <w:tcW w:w="5953" w:type="dxa"/>
            <w:tcBorders>
              <w:top w:val="nil"/>
              <w:left w:val="nil"/>
              <w:bottom w:val="single" w:sz="4" w:space="0" w:color="auto"/>
              <w:right w:val="single" w:sz="4" w:space="0" w:color="auto"/>
            </w:tcBorders>
            <w:noWrap/>
            <w:vAlign w:val="center"/>
            <w:hideMark/>
          </w:tcPr>
          <w:p w14:paraId="68C0D9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SLOVENSKA KINOTEKA</w:t>
            </w:r>
          </w:p>
        </w:tc>
      </w:tr>
      <w:tr w:rsidR="00F24E18" w14:paraId="3FA709D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C062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1718</w:t>
            </w:r>
          </w:p>
        </w:tc>
        <w:tc>
          <w:tcPr>
            <w:tcW w:w="1300" w:type="dxa"/>
            <w:tcBorders>
              <w:top w:val="nil"/>
              <w:left w:val="nil"/>
              <w:bottom w:val="single" w:sz="4" w:space="0" w:color="auto"/>
              <w:right w:val="single" w:sz="4" w:space="0" w:color="auto"/>
            </w:tcBorders>
            <w:noWrap/>
            <w:vAlign w:val="center"/>
            <w:hideMark/>
          </w:tcPr>
          <w:p w14:paraId="6F99B3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5488745000</w:t>
            </w:r>
          </w:p>
        </w:tc>
        <w:tc>
          <w:tcPr>
            <w:tcW w:w="1012" w:type="dxa"/>
            <w:tcBorders>
              <w:top w:val="nil"/>
              <w:left w:val="nil"/>
              <w:bottom w:val="single" w:sz="4" w:space="0" w:color="auto"/>
              <w:right w:val="single" w:sz="4" w:space="0" w:color="auto"/>
            </w:tcBorders>
            <w:noWrap/>
            <w:vAlign w:val="center"/>
            <w:hideMark/>
          </w:tcPr>
          <w:p w14:paraId="768AD4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73929948</w:t>
            </w:r>
          </w:p>
        </w:tc>
        <w:tc>
          <w:tcPr>
            <w:tcW w:w="5953" w:type="dxa"/>
            <w:tcBorders>
              <w:top w:val="nil"/>
              <w:left w:val="nil"/>
              <w:bottom w:val="single" w:sz="4" w:space="0" w:color="auto"/>
              <w:right w:val="single" w:sz="4" w:space="0" w:color="auto"/>
            </w:tcBorders>
            <w:noWrap/>
            <w:vAlign w:val="center"/>
            <w:hideMark/>
          </w:tcPr>
          <w:p w14:paraId="4719B0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SLOVENSKA TISKOVNA AGENCIJA D.O.O., LJUBLJANA</w:t>
            </w:r>
          </w:p>
        </w:tc>
      </w:tr>
      <w:tr w:rsidR="00F24E18" w14:paraId="76259DF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3043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1719</w:t>
            </w:r>
          </w:p>
        </w:tc>
        <w:tc>
          <w:tcPr>
            <w:tcW w:w="1300" w:type="dxa"/>
            <w:tcBorders>
              <w:top w:val="nil"/>
              <w:left w:val="nil"/>
              <w:bottom w:val="single" w:sz="4" w:space="0" w:color="auto"/>
              <w:right w:val="single" w:sz="4" w:space="0" w:color="auto"/>
            </w:tcBorders>
            <w:vAlign w:val="center"/>
            <w:hideMark/>
          </w:tcPr>
          <w:p w14:paraId="04A34E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6017177000</w:t>
            </w:r>
          </w:p>
        </w:tc>
        <w:tc>
          <w:tcPr>
            <w:tcW w:w="1012" w:type="dxa"/>
            <w:tcBorders>
              <w:top w:val="nil"/>
              <w:left w:val="nil"/>
              <w:bottom w:val="single" w:sz="4" w:space="0" w:color="auto"/>
              <w:right w:val="single" w:sz="4" w:space="0" w:color="auto"/>
            </w:tcBorders>
            <w:vAlign w:val="center"/>
            <w:hideMark/>
          </w:tcPr>
          <w:p w14:paraId="080B32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94995737</w:t>
            </w:r>
          </w:p>
        </w:tc>
        <w:tc>
          <w:tcPr>
            <w:tcW w:w="5953" w:type="dxa"/>
            <w:tcBorders>
              <w:top w:val="nil"/>
              <w:left w:val="nil"/>
              <w:bottom w:val="single" w:sz="4" w:space="0" w:color="auto"/>
              <w:right w:val="single" w:sz="4" w:space="0" w:color="auto"/>
            </w:tcBorders>
            <w:noWrap/>
            <w:vAlign w:val="center"/>
            <w:hideMark/>
          </w:tcPr>
          <w:p w14:paraId="309C45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SLOVENSKE ŽELEZNICE - INFRASTRUKTURA, DRUŽBA ZA UPRAVLJANJE IN VZDRŽEVANJE ŽELEZNIŠKE INFRASTRUKTURE TER VODENJE ŽELEZNIŠKEGA PROMETA, D.O.O.</w:t>
            </w:r>
          </w:p>
        </w:tc>
      </w:tr>
      <w:tr w:rsidR="00F24E18" w14:paraId="5A6F0A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2937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1720</w:t>
            </w:r>
          </w:p>
        </w:tc>
        <w:tc>
          <w:tcPr>
            <w:tcW w:w="1300" w:type="dxa"/>
            <w:tcBorders>
              <w:top w:val="nil"/>
              <w:left w:val="nil"/>
              <w:bottom w:val="single" w:sz="4" w:space="0" w:color="auto"/>
              <w:right w:val="single" w:sz="4" w:space="0" w:color="auto"/>
            </w:tcBorders>
            <w:vAlign w:val="center"/>
            <w:hideMark/>
          </w:tcPr>
          <w:p w14:paraId="744A2E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6017274000</w:t>
            </w:r>
          </w:p>
        </w:tc>
        <w:tc>
          <w:tcPr>
            <w:tcW w:w="1012" w:type="dxa"/>
            <w:tcBorders>
              <w:top w:val="nil"/>
              <w:left w:val="nil"/>
              <w:bottom w:val="single" w:sz="4" w:space="0" w:color="auto"/>
              <w:right w:val="single" w:sz="4" w:space="0" w:color="auto"/>
            </w:tcBorders>
            <w:vAlign w:val="center"/>
            <w:hideMark/>
          </w:tcPr>
          <w:p w14:paraId="5CEBD2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89393686</w:t>
            </w:r>
          </w:p>
        </w:tc>
        <w:tc>
          <w:tcPr>
            <w:tcW w:w="5953" w:type="dxa"/>
            <w:tcBorders>
              <w:top w:val="nil"/>
              <w:left w:val="nil"/>
              <w:bottom w:val="single" w:sz="4" w:space="0" w:color="auto"/>
              <w:right w:val="single" w:sz="4" w:space="0" w:color="auto"/>
            </w:tcBorders>
            <w:noWrap/>
            <w:vAlign w:val="center"/>
            <w:hideMark/>
          </w:tcPr>
          <w:p w14:paraId="5DF9FD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SLOVENSKE ŽELEZNICE - POTNIŠKI PROMET, DRUŽBA ZA OPRAVLJANJE PREVOZA POTNIKOV V NOTRANJEM IN MEDNARODNEM ŽELEZNIŠKEM PROMETU, D.O.O.</w:t>
            </w:r>
          </w:p>
        </w:tc>
      </w:tr>
      <w:tr w:rsidR="00F24E18" w14:paraId="51AB422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0079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1721</w:t>
            </w:r>
          </w:p>
        </w:tc>
        <w:tc>
          <w:tcPr>
            <w:tcW w:w="1300" w:type="dxa"/>
            <w:tcBorders>
              <w:top w:val="nil"/>
              <w:left w:val="nil"/>
              <w:bottom w:val="single" w:sz="4" w:space="0" w:color="auto"/>
              <w:right w:val="single" w:sz="4" w:space="0" w:color="auto"/>
            </w:tcBorders>
            <w:vAlign w:val="center"/>
            <w:hideMark/>
          </w:tcPr>
          <w:p w14:paraId="3A5186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6017231000</w:t>
            </w:r>
          </w:p>
        </w:tc>
        <w:tc>
          <w:tcPr>
            <w:tcW w:w="1012" w:type="dxa"/>
            <w:tcBorders>
              <w:top w:val="nil"/>
              <w:left w:val="nil"/>
              <w:bottom w:val="single" w:sz="4" w:space="0" w:color="auto"/>
              <w:right w:val="single" w:sz="4" w:space="0" w:color="auto"/>
            </w:tcBorders>
            <w:vAlign w:val="center"/>
            <w:hideMark/>
          </w:tcPr>
          <w:p w14:paraId="64B153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84667044</w:t>
            </w:r>
          </w:p>
        </w:tc>
        <w:tc>
          <w:tcPr>
            <w:tcW w:w="5953" w:type="dxa"/>
            <w:tcBorders>
              <w:top w:val="nil"/>
              <w:left w:val="nil"/>
              <w:bottom w:val="single" w:sz="4" w:space="0" w:color="auto"/>
              <w:right w:val="single" w:sz="4" w:space="0" w:color="auto"/>
            </w:tcBorders>
            <w:noWrap/>
            <w:vAlign w:val="center"/>
            <w:hideMark/>
          </w:tcPr>
          <w:p w14:paraId="01CA87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SLOVENSKE ŽELEZNICE - TOVORNI PROMET, DRUŽBA ZA OPRAVLJANJE PREVOZA BLAGA V NOTRANJEM IN MEDNARODNEM ŽELEZNIŠKEM PROMETU, D.O.O.</w:t>
            </w:r>
          </w:p>
        </w:tc>
      </w:tr>
      <w:tr w:rsidR="00F24E18" w14:paraId="479F50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15C2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1722</w:t>
            </w:r>
          </w:p>
        </w:tc>
        <w:tc>
          <w:tcPr>
            <w:tcW w:w="1300" w:type="dxa"/>
            <w:tcBorders>
              <w:top w:val="nil"/>
              <w:left w:val="nil"/>
              <w:bottom w:val="single" w:sz="4" w:space="0" w:color="auto"/>
              <w:right w:val="single" w:sz="4" w:space="0" w:color="auto"/>
            </w:tcBorders>
            <w:vAlign w:val="center"/>
            <w:hideMark/>
          </w:tcPr>
          <w:p w14:paraId="07E169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5142733000</w:t>
            </w:r>
          </w:p>
        </w:tc>
        <w:tc>
          <w:tcPr>
            <w:tcW w:w="1012" w:type="dxa"/>
            <w:tcBorders>
              <w:top w:val="nil"/>
              <w:left w:val="nil"/>
              <w:bottom w:val="single" w:sz="4" w:space="0" w:color="auto"/>
              <w:right w:val="single" w:sz="4" w:space="0" w:color="auto"/>
            </w:tcBorders>
            <w:vAlign w:val="center"/>
            <w:hideMark/>
          </w:tcPr>
          <w:p w14:paraId="6DAAB5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18190995</w:t>
            </w:r>
          </w:p>
        </w:tc>
        <w:tc>
          <w:tcPr>
            <w:tcW w:w="5953" w:type="dxa"/>
            <w:tcBorders>
              <w:top w:val="nil"/>
              <w:left w:val="nil"/>
              <w:bottom w:val="single" w:sz="4" w:space="0" w:color="auto"/>
              <w:right w:val="single" w:sz="4" w:space="0" w:color="auto"/>
            </w:tcBorders>
            <w:noWrap/>
            <w:vAlign w:val="center"/>
            <w:hideMark/>
          </w:tcPr>
          <w:p w14:paraId="48FDB1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SLOVENSKE ŽELEZNICE, D.O.O.</w:t>
            </w:r>
          </w:p>
        </w:tc>
      </w:tr>
      <w:tr w:rsidR="00F24E18" w14:paraId="48B0B29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D1A7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1723</w:t>
            </w:r>
          </w:p>
        </w:tc>
        <w:tc>
          <w:tcPr>
            <w:tcW w:w="1300" w:type="dxa"/>
            <w:tcBorders>
              <w:top w:val="nil"/>
              <w:left w:val="nil"/>
              <w:bottom w:val="single" w:sz="4" w:space="0" w:color="auto"/>
              <w:right w:val="single" w:sz="4" w:space="0" w:color="auto"/>
            </w:tcBorders>
            <w:vAlign w:val="center"/>
            <w:hideMark/>
          </w:tcPr>
          <w:p w14:paraId="17179F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7035845000</w:t>
            </w:r>
          </w:p>
        </w:tc>
        <w:tc>
          <w:tcPr>
            <w:tcW w:w="1012" w:type="dxa"/>
            <w:tcBorders>
              <w:top w:val="nil"/>
              <w:left w:val="nil"/>
              <w:bottom w:val="single" w:sz="4" w:space="0" w:color="auto"/>
              <w:right w:val="single" w:sz="4" w:space="0" w:color="auto"/>
            </w:tcBorders>
            <w:vAlign w:val="center"/>
            <w:hideMark/>
          </w:tcPr>
          <w:p w14:paraId="005B5C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75204878</w:t>
            </w:r>
          </w:p>
        </w:tc>
        <w:tc>
          <w:tcPr>
            <w:tcW w:w="5953" w:type="dxa"/>
            <w:tcBorders>
              <w:top w:val="nil"/>
              <w:left w:val="nil"/>
              <w:bottom w:val="single" w:sz="4" w:space="0" w:color="auto"/>
              <w:right w:val="single" w:sz="4" w:space="0" w:color="auto"/>
            </w:tcBorders>
            <w:noWrap/>
            <w:vAlign w:val="center"/>
            <w:hideMark/>
          </w:tcPr>
          <w:p w14:paraId="4BF9C9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SLOVENSKI DRŽAVNI GOZDOVI, D. O. O.</w:t>
            </w:r>
          </w:p>
        </w:tc>
      </w:tr>
      <w:tr w:rsidR="00F24E18" w14:paraId="3C6A5AA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C00C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1724</w:t>
            </w:r>
          </w:p>
        </w:tc>
        <w:tc>
          <w:tcPr>
            <w:tcW w:w="1300" w:type="dxa"/>
            <w:tcBorders>
              <w:top w:val="nil"/>
              <w:left w:val="nil"/>
              <w:bottom w:val="single" w:sz="4" w:space="0" w:color="auto"/>
              <w:right w:val="single" w:sz="4" w:space="0" w:color="auto"/>
            </w:tcBorders>
            <w:vAlign w:val="center"/>
            <w:hideMark/>
          </w:tcPr>
          <w:p w14:paraId="0BBA7B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5727847000</w:t>
            </w:r>
          </w:p>
        </w:tc>
        <w:tc>
          <w:tcPr>
            <w:tcW w:w="1012" w:type="dxa"/>
            <w:tcBorders>
              <w:top w:val="nil"/>
              <w:left w:val="nil"/>
              <w:bottom w:val="single" w:sz="4" w:space="0" w:color="auto"/>
              <w:right w:val="single" w:sz="4" w:space="0" w:color="auto"/>
            </w:tcBorders>
            <w:vAlign w:val="center"/>
            <w:hideMark/>
          </w:tcPr>
          <w:p w14:paraId="0C1F3D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46130373</w:t>
            </w:r>
          </w:p>
        </w:tc>
        <w:tc>
          <w:tcPr>
            <w:tcW w:w="5953" w:type="dxa"/>
            <w:tcBorders>
              <w:top w:val="nil"/>
              <w:left w:val="nil"/>
              <w:bottom w:val="single" w:sz="4" w:space="0" w:color="auto"/>
              <w:right w:val="single" w:sz="4" w:space="0" w:color="auto"/>
            </w:tcBorders>
            <w:noWrap/>
            <w:vAlign w:val="center"/>
            <w:hideMark/>
          </w:tcPr>
          <w:p w14:paraId="258362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SLOVENSKI DRŽAVNI HOLDING, D.D.</w:t>
            </w:r>
          </w:p>
        </w:tc>
      </w:tr>
      <w:tr w:rsidR="00F24E18" w14:paraId="1AD7F06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2589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1725</w:t>
            </w:r>
          </w:p>
        </w:tc>
        <w:tc>
          <w:tcPr>
            <w:tcW w:w="1300" w:type="dxa"/>
            <w:tcBorders>
              <w:top w:val="nil"/>
              <w:left w:val="nil"/>
              <w:bottom w:val="single" w:sz="4" w:space="0" w:color="auto"/>
              <w:right w:val="single" w:sz="4" w:space="0" w:color="auto"/>
            </w:tcBorders>
            <w:noWrap/>
            <w:vAlign w:val="center"/>
            <w:hideMark/>
          </w:tcPr>
          <w:p w14:paraId="561A8C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5052653000</w:t>
            </w:r>
          </w:p>
        </w:tc>
        <w:tc>
          <w:tcPr>
            <w:tcW w:w="1012" w:type="dxa"/>
            <w:tcBorders>
              <w:top w:val="nil"/>
              <w:left w:val="nil"/>
              <w:bottom w:val="single" w:sz="4" w:space="0" w:color="auto"/>
              <w:right w:val="single" w:sz="4" w:space="0" w:color="auto"/>
            </w:tcBorders>
            <w:noWrap/>
            <w:vAlign w:val="center"/>
            <w:hideMark/>
          </w:tcPr>
          <w:p w14:paraId="538D50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99955407</w:t>
            </w:r>
          </w:p>
        </w:tc>
        <w:tc>
          <w:tcPr>
            <w:tcW w:w="5953" w:type="dxa"/>
            <w:tcBorders>
              <w:top w:val="nil"/>
              <w:left w:val="nil"/>
              <w:bottom w:val="single" w:sz="4" w:space="0" w:color="auto"/>
              <w:right w:val="single" w:sz="4" w:space="0" w:color="auto"/>
            </w:tcBorders>
            <w:noWrap/>
            <w:vAlign w:val="center"/>
            <w:hideMark/>
          </w:tcPr>
          <w:p w14:paraId="6F5494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SLOVENSKI ETNOGRAFSKI MUZEJ</w:t>
            </w:r>
          </w:p>
        </w:tc>
      </w:tr>
      <w:tr w:rsidR="00F24E18" w14:paraId="62D1799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2EBD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1726</w:t>
            </w:r>
          </w:p>
        </w:tc>
        <w:tc>
          <w:tcPr>
            <w:tcW w:w="1300" w:type="dxa"/>
            <w:tcBorders>
              <w:top w:val="nil"/>
              <w:left w:val="nil"/>
              <w:bottom w:val="single" w:sz="4" w:space="0" w:color="auto"/>
              <w:right w:val="single" w:sz="4" w:space="0" w:color="auto"/>
            </w:tcBorders>
            <w:noWrap/>
            <w:vAlign w:val="center"/>
            <w:hideMark/>
          </w:tcPr>
          <w:p w14:paraId="4137B4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5985854000</w:t>
            </w:r>
          </w:p>
        </w:tc>
        <w:tc>
          <w:tcPr>
            <w:tcW w:w="1012" w:type="dxa"/>
            <w:tcBorders>
              <w:top w:val="nil"/>
              <w:left w:val="nil"/>
              <w:bottom w:val="single" w:sz="4" w:space="0" w:color="auto"/>
              <w:right w:val="single" w:sz="4" w:space="0" w:color="auto"/>
            </w:tcBorders>
            <w:noWrap/>
            <w:vAlign w:val="center"/>
            <w:hideMark/>
          </w:tcPr>
          <w:p w14:paraId="11085F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52285944</w:t>
            </w:r>
          </w:p>
        </w:tc>
        <w:tc>
          <w:tcPr>
            <w:tcW w:w="5953" w:type="dxa"/>
            <w:tcBorders>
              <w:top w:val="nil"/>
              <w:left w:val="nil"/>
              <w:bottom w:val="single" w:sz="4" w:space="0" w:color="auto"/>
              <w:right w:val="single" w:sz="4" w:space="0" w:color="auto"/>
            </w:tcBorders>
            <w:noWrap/>
            <w:vAlign w:val="center"/>
            <w:hideMark/>
          </w:tcPr>
          <w:p w14:paraId="094623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SLOVENSKI GLEDALIŠKI INŠTITUT</w:t>
            </w:r>
          </w:p>
        </w:tc>
      </w:tr>
      <w:tr w:rsidR="00F24E18" w14:paraId="499C5D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3215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1727</w:t>
            </w:r>
          </w:p>
        </w:tc>
        <w:tc>
          <w:tcPr>
            <w:tcW w:w="1300" w:type="dxa"/>
            <w:tcBorders>
              <w:top w:val="nil"/>
              <w:left w:val="nil"/>
              <w:bottom w:val="single" w:sz="4" w:space="0" w:color="auto"/>
              <w:right w:val="single" w:sz="4" w:space="0" w:color="auto"/>
            </w:tcBorders>
            <w:vAlign w:val="center"/>
            <w:hideMark/>
          </w:tcPr>
          <w:p w14:paraId="316C0D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1593781000</w:t>
            </w:r>
          </w:p>
        </w:tc>
        <w:tc>
          <w:tcPr>
            <w:tcW w:w="1012" w:type="dxa"/>
            <w:tcBorders>
              <w:top w:val="nil"/>
              <w:left w:val="nil"/>
              <w:bottom w:val="single" w:sz="4" w:space="0" w:color="auto"/>
              <w:right w:val="single" w:sz="4" w:space="0" w:color="auto"/>
            </w:tcBorders>
            <w:vAlign w:val="center"/>
            <w:hideMark/>
          </w:tcPr>
          <w:p w14:paraId="19423B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83093931</w:t>
            </w:r>
          </w:p>
        </w:tc>
        <w:tc>
          <w:tcPr>
            <w:tcW w:w="5953" w:type="dxa"/>
            <w:tcBorders>
              <w:top w:val="nil"/>
              <w:left w:val="nil"/>
              <w:bottom w:val="single" w:sz="4" w:space="0" w:color="auto"/>
              <w:right w:val="single" w:sz="4" w:space="0" w:color="auto"/>
            </w:tcBorders>
            <w:noWrap/>
            <w:vAlign w:val="center"/>
            <w:hideMark/>
          </w:tcPr>
          <w:p w14:paraId="1CECF5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SLOVENSKI INŠTITUT ZA STANDARDIZACIJO</w:t>
            </w:r>
          </w:p>
        </w:tc>
      </w:tr>
      <w:tr w:rsidR="00F24E18" w14:paraId="589D15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B726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1728</w:t>
            </w:r>
          </w:p>
        </w:tc>
        <w:tc>
          <w:tcPr>
            <w:tcW w:w="1300" w:type="dxa"/>
            <w:tcBorders>
              <w:top w:val="nil"/>
              <w:left w:val="nil"/>
              <w:bottom w:val="single" w:sz="4" w:space="0" w:color="auto"/>
              <w:right w:val="single" w:sz="4" w:space="0" w:color="auto"/>
            </w:tcBorders>
            <w:noWrap/>
            <w:vAlign w:val="center"/>
            <w:hideMark/>
          </w:tcPr>
          <w:p w14:paraId="234E16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5052033000</w:t>
            </w:r>
          </w:p>
        </w:tc>
        <w:tc>
          <w:tcPr>
            <w:tcW w:w="1012" w:type="dxa"/>
            <w:tcBorders>
              <w:top w:val="nil"/>
              <w:left w:val="nil"/>
              <w:bottom w:val="single" w:sz="4" w:space="0" w:color="auto"/>
              <w:right w:val="single" w:sz="4" w:space="0" w:color="auto"/>
            </w:tcBorders>
            <w:noWrap/>
            <w:vAlign w:val="center"/>
            <w:hideMark/>
          </w:tcPr>
          <w:p w14:paraId="05C250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38442663</w:t>
            </w:r>
          </w:p>
        </w:tc>
        <w:tc>
          <w:tcPr>
            <w:tcW w:w="5953" w:type="dxa"/>
            <w:tcBorders>
              <w:top w:val="nil"/>
              <w:left w:val="nil"/>
              <w:bottom w:val="single" w:sz="4" w:space="0" w:color="auto"/>
              <w:right w:val="single" w:sz="4" w:space="0" w:color="auto"/>
            </w:tcBorders>
            <w:noWrap/>
            <w:vAlign w:val="center"/>
            <w:hideMark/>
          </w:tcPr>
          <w:p w14:paraId="0A9D88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SLOVENSKI ŠOLSKI MUZEJ</w:t>
            </w:r>
          </w:p>
        </w:tc>
      </w:tr>
      <w:tr w:rsidR="00F24E18" w14:paraId="2A0D9F4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571C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1729</w:t>
            </w:r>
          </w:p>
        </w:tc>
        <w:tc>
          <w:tcPr>
            <w:tcW w:w="1300" w:type="dxa"/>
            <w:tcBorders>
              <w:top w:val="nil"/>
              <w:left w:val="nil"/>
              <w:bottom w:val="single" w:sz="4" w:space="0" w:color="auto"/>
              <w:right w:val="single" w:sz="4" w:space="0" w:color="auto"/>
            </w:tcBorders>
            <w:noWrap/>
            <w:vAlign w:val="center"/>
            <w:hideMark/>
          </w:tcPr>
          <w:p w14:paraId="31EB0A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5055750000</w:t>
            </w:r>
          </w:p>
        </w:tc>
        <w:tc>
          <w:tcPr>
            <w:tcW w:w="1012" w:type="dxa"/>
            <w:tcBorders>
              <w:top w:val="nil"/>
              <w:left w:val="nil"/>
              <w:bottom w:val="single" w:sz="4" w:space="0" w:color="auto"/>
              <w:right w:val="single" w:sz="4" w:space="0" w:color="auto"/>
            </w:tcBorders>
            <w:noWrap/>
            <w:vAlign w:val="center"/>
            <w:hideMark/>
          </w:tcPr>
          <w:p w14:paraId="2108FA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21436762</w:t>
            </w:r>
          </w:p>
        </w:tc>
        <w:tc>
          <w:tcPr>
            <w:tcW w:w="5953" w:type="dxa"/>
            <w:tcBorders>
              <w:top w:val="nil"/>
              <w:left w:val="nil"/>
              <w:bottom w:val="single" w:sz="4" w:space="0" w:color="auto"/>
              <w:right w:val="single" w:sz="4" w:space="0" w:color="auto"/>
            </w:tcBorders>
            <w:noWrap/>
            <w:vAlign w:val="center"/>
            <w:hideMark/>
          </w:tcPr>
          <w:p w14:paraId="7087EF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SLOVENSKO LJUDSKO GLEDALIŠČE CELJE</w:t>
            </w:r>
          </w:p>
        </w:tc>
      </w:tr>
      <w:tr w:rsidR="00F24E18" w14:paraId="1AA944C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A3A0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1730</w:t>
            </w:r>
          </w:p>
        </w:tc>
        <w:tc>
          <w:tcPr>
            <w:tcW w:w="1300" w:type="dxa"/>
            <w:tcBorders>
              <w:top w:val="nil"/>
              <w:left w:val="nil"/>
              <w:bottom w:val="single" w:sz="4" w:space="0" w:color="auto"/>
              <w:right w:val="single" w:sz="4" w:space="0" w:color="auto"/>
            </w:tcBorders>
            <w:vAlign w:val="center"/>
            <w:hideMark/>
          </w:tcPr>
          <w:p w14:paraId="0B546C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5698375000</w:t>
            </w:r>
          </w:p>
        </w:tc>
        <w:tc>
          <w:tcPr>
            <w:tcW w:w="1012" w:type="dxa"/>
            <w:tcBorders>
              <w:top w:val="nil"/>
              <w:left w:val="nil"/>
              <w:bottom w:val="single" w:sz="4" w:space="0" w:color="auto"/>
              <w:right w:val="single" w:sz="4" w:space="0" w:color="auto"/>
            </w:tcBorders>
            <w:vAlign w:val="center"/>
            <w:hideMark/>
          </w:tcPr>
          <w:p w14:paraId="40DD5F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59617055</w:t>
            </w:r>
          </w:p>
        </w:tc>
        <w:tc>
          <w:tcPr>
            <w:tcW w:w="5953" w:type="dxa"/>
            <w:tcBorders>
              <w:top w:val="nil"/>
              <w:left w:val="nil"/>
              <w:bottom w:val="single" w:sz="4" w:space="0" w:color="auto"/>
              <w:right w:val="single" w:sz="4" w:space="0" w:color="auto"/>
            </w:tcBorders>
            <w:noWrap/>
            <w:vAlign w:val="center"/>
            <w:hideMark/>
          </w:tcPr>
          <w:p w14:paraId="07A9DD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SLOVENSKO NARODNO GLEDALIŠČE DRAMA LJUBLJANA</w:t>
            </w:r>
          </w:p>
        </w:tc>
      </w:tr>
      <w:tr w:rsidR="00F24E18" w14:paraId="7035FC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C082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1731</w:t>
            </w:r>
          </w:p>
        </w:tc>
        <w:tc>
          <w:tcPr>
            <w:tcW w:w="1300" w:type="dxa"/>
            <w:tcBorders>
              <w:top w:val="nil"/>
              <w:left w:val="nil"/>
              <w:bottom w:val="single" w:sz="4" w:space="0" w:color="auto"/>
              <w:right w:val="single" w:sz="4" w:space="0" w:color="auto"/>
            </w:tcBorders>
            <w:vAlign w:val="center"/>
            <w:hideMark/>
          </w:tcPr>
          <w:p w14:paraId="7667AE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5053315000</w:t>
            </w:r>
          </w:p>
        </w:tc>
        <w:tc>
          <w:tcPr>
            <w:tcW w:w="1012" w:type="dxa"/>
            <w:tcBorders>
              <w:top w:val="nil"/>
              <w:left w:val="nil"/>
              <w:bottom w:val="single" w:sz="4" w:space="0" w:color="auto"/>
              <w:right w:val="single" w:sz="4" w:space="0" w:color="auto"/>
            </w:tcBorders>
            <w:vAlign w:val="center"/>
            <w:hideMark/>
          </w:tcPr>
          <w:p w14:paraId="0290A4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19801491</w:t>
            </w:r>
          </w:p>
        </w:tc>
        <w:tc>
          <w:tcPr>
            <w:tcW w:w="5953" w:type="dxa"/>
            <w:tcBorders>
              <w:top w:val="nil"/>
              <w:left w:val="nil"/>
              <w:bottom w:val="single" w:sz="4" w:space="0" w:color="auto"/>
              <w:right w:val="single" w:sz="4" w:space="0" w:color="auto"/>
            </w:tcBorders>
            <w:noWrap/>
            <w:vAlign w:val="center"/>
            <w:hideMark/>
          </w:tcPr>
          <w:p w14:paraId="0214BA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SLOVENSKO NARODNO GLEDALIŠČE MARIBOR</w:t>
            </w:r>
          </w:p>
        </w:tc>
      </w:tr>
      <w:tr w:rsidR="00F24E18" w14:paraId="3F10CFA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1D05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1732</w:t>
            </w:r>
          </w:p>
        </w:tc>
        <w:tc>
          <w:tcPr>
            <w:tcW w:w="1300" w:type="dxa"/>
            <w:tcBorders>
              <w:top w:val="nil"/>
              <w:left w:val="nil"/>
              <w:bottom w:val="single" w:sz="4" w:space="0" w:color="auto"/>
              <w:right w:val="single" w:sz="4" w:space="0" w:color="auto"/>
            </w:tcBorders>
            <w:vAlign w:val="center"/>
            <w:hideMark/>
          </w:tcPr>
          <w:p w14:paraId="0E5BDD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5053358000</w:t>
            </w:r>
          </w:p>
        </w:tc>
        <w:tc>
          <w:tcPr>
            <w:tcW w:w="1012" w:type="dxa"/>
            <w:tcBorders>
              <w:top w:val="nil"/>
              <w:left w:val="nil"/>
              <w:bottom w:val="single" w:sz="4" w:space="0" w:color="auto"/>
              <w:right w:val="single" w:sz="4" w:space="0" w:color="auto"/>
            </w:tcBorders>
            <w:vAlign w:val="center"/>
            <w:hideMark/>
          </w:tcPr>
          <w:p w14:paraId="754E19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86431587</w:t>
            </w:r>
          </w:p>
        </w:tc>
        <w:tc>
          <w:tcPr>
            <w:tcW w:w="5953" w:type="dxa"/>
            <w:tcBorders>
              <w:top w:val="nil"/>
              <w:left w:val="nil"/>
              <w:bottom w:val="single" w:sz="4" w:space="0" w:color="auto"/>
              <w:right w:val="single" w:sz="4" w:space="0" w:color="auto"/>
            </w:tcBorders>
            <w:noWrap/>
            <w:vAlign w:val="center"/>
            <w:hideMark/>
          </w:tcPr>
          <w:p w14:paraId="50288F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SLOVENSKO NARODNO GLEDALIŠČE NOVA GORICA</w:t>
            </w:r>
          </w:p>
        </w:tc>
      </w:tr>
      <w:tr w:rsidR="00F24E18" w14:paraId="380BCF8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FB36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1733</w:t>
            </w:r>
          </w:p>
        </w:tc>
        <w:tc>
          <w:tcPr>
            <w:tcW w:w="1300" w:type="dxa"/>
            <w:tcBorders>
              <w:top w:val="nil"/>
              <w:left w:val="nil"/>
              <w:bottom w:val="single" w:sz="4" w:space="0" w:color="auto"/>
              <w:right w:val="single" w:sz="4" w:space="0" w:color="auto"/>
            </w:tcBorders>
            <w:vAlign w:val="center"/>
            <w:hideMark/>
          </w:tcPr>
          <w:p w14:paraId="7A77D6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5698359000</w:t>
            </w:r>
          </w:p>
        </w:tc>
        <w:tc>
          <w:tcPr>
            <w:tcW w:w="1012" w:type="dxa"/>
            <w:tcBorders>
              <w:top w:val="nil"/>
              <w:left w:val="nil"/>
              <w:bottom w:val="single" w:sz="4" w:space="0" w:color="auto"/>
              <w:right w:val="single" w:sz="4" w:space="0" w:color="auto"/>
            </w:tcBorders>
            <w:vAlign w:val="center"/>
            <w:hideMark/>
          </w:tcPr>
          <w:p w14:paraId="62757E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48596604</w:t>
            </w:r>
          </w:p>
        </w:tc>
        <w:tc>
          <w:tcPr>
            <w:tcW w:w="5953" w:type="dxa"/>
            <w:tcBorders>
              <w:top w:val="nil"/>
              <w:left w:val="nil"/>
              <w:bottom w:val="single" w:sz="4" w:space="0" w:color="auto"/>
              <w:right w:val="single" w:sz="4" w:space="0" w:color="auto"/>
            </w:tcBorders>
            <w:noWrap/>
            <w:vAlign w:val="center"/>
            <w:hideMark/>
          </w:tcPr>
          <w:p w14:paraId="507874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SLOVENSKO NARODNO GLEDALIŠČE OPERA IN BALET LJUBLJANA</w:t>
            </w:r>
          </w:p>
        </w:tc>
      </w:tr>
      <w:tr w:rsidR="00F24E18" w14:paraId="7676079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2581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1734</w:t>
            </w:r>
          </w:p>
        </w:tc>
        <w:tc>
          <w:tcPr>
            <w:tcW w:w="1300" w:type="dxa"/>
            <w:tcBorders>
              <w:top w:val="nil"/>
              <w:left w:val="nil"/>
              <w:bottom w:val="single" w:sz="4" w:space="0" w:color="auto"/>
              <w:right w:val="single" w:sz="4" w:space="0" w:color="auto"/>
            </w:tcBorders>
            <w:vAlign w:val="center"/>
            <w:hideMark/>
          </w:tcPr>
          <w:p w14:paraId="11E317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2482550000</w:t>
            </w:r>
          </w:p>
        </w:tc>
        <w:tc>
          <w:tcPr>
            <w:tcW w:w="1012" w:type="dxa"/>
            <w:tcBorders>
              <w:top w:val="nil"/>
              <w:left w:val="nil"/>
              <w:bottom w:val="single" w:sz="4" w:space="0" w:color="auto"/>
              <w:right w:val="single" w:sz="4" w:space="0" w:color="auto"/>
            </w:tcBorders>
            <w:vAlign w:val="center"/>
            <w:hideMark/>
          </w:tcPr>
          <w:p w14:paraId="500783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18640494</w:t>
            </w:r>
          </w:p>
        </w:tc>
        <w:tc>
          <w:tcPr>
            <w:tcW w:w="5953" w:type="dxa"/>
            <w:tcBorders>
              <w:top w:val="nil"/>
              <w:left w:val="nil"/>
              <w:bottom w:val="single" w:sz="4" w:space="0" w:color="auto"/>
              <w:right w:val="single" w:sz="4" w:space="0" w:color="auto"/>
            </w:tcBorders>
            <w:noWrap/>
            <w:vAlign w:val="center"/>
            <w:hideMark/>
          </w:tcPr>
          <w:p w14:paraId="4B46CE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SLUŽBA VLADE REPUBLIKE SLOVENIJE ZA RAZVOJ IN EVROPSKO KOHEZIJSKO POLITIKO</w:t>
            </w:r>
          </w:p>
        </w:tc>
      </w:tr>
      <w:tr w:rsidR="00F24E18" w14:paraId="2734AB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90E31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1735</w:t>
            </w:r>
          </w:p>
        </w:tc>
        <w:tc>
          <w:tcPr>
            <w:tcW w:w="1300" w:type="dxa"/>
            <w:tcBorders>
              <w:top w:val="nil"/>
              <w:left w:val="nil"/>
              <w:bottom w:val="single" w:sz="4" w:space="0" w:color="auto"/>
              <w:right w:val="single" w:sz="4" w:space="0" w:color="auto"/>
            </w:tcBorders>
            <w:vAlign w:val="center"/>
            <w:hideMark/>
          </w:tcPr>
          <w:p w14:paraId="208924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5186765000</w:t>
            </w:r>
          </w:p>
        </w:tc>
        <w:tc>
          <w:tcPr>
            <w:tcW w:w="1012" w:type="dxa"/>
            <w:tcBorders>
              <w:top w:val="nil"/>
              <w:left w:val="nil"/>
              <w:bottom w:val="single" w:sz="4" w:space="0" w:color="auto"/>
              <w:right w:val="single" w:sz="4" w:space="0" w:color="auto"/>
            </w:tcBorders>
            <w:vAlign w:val="center"/>
            <w:hideMark/>
          </w:tcPr>
          <w:p w14:paraId="483A55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99681595</w:t>
            </w:r>
          </w:p>
        </w:tc>
        <w:tc>
          <w:tcPr>
            <w:tcW w:w="5953" w:type="dxa"/>
            <w:tcBorders>
              <w:top w:val="nil"/>
              <w:left w:val="nil"/>
              <w:bottom w:val="single" w:sz="4" w:space="0" w:color="auto"/>
              <w:right w:val="single" w:sz="4" w:space="0" w:color="auto"/>
            </w:tcBorders>
            <w:noWrap/>
            <w:vAlign w:val="center"/>
            <w:hideMark/>
          </w:tcPr>
          <w:p w14:paraId="00F3E2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SLUŽBA VLADE REPUBLIKE SLOVENIJE ZA ZAKONODAJO</w:t>
            </w:r>
          </w:p>
        </w:tc>
      </w:tr>
      <w:tr w:rsidR="00F24E18" w14:paraId="480AC86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A5FF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1736</w:t>
            </w:r>
          </w:p>
        </w:tc>
        <w:tc>
          <w:tcPr>
            <w:tcW w:w="1300" w:type="dxa"/>
            <w:tcBorders>
              <w:top w:val="nil"/>
              <w:left w:val="nil"/>
              <w:bottom w:val="single" w:sz="4" w:space="0" w:color="auto"/>
              <w:right w:val="single" w:sz="4" w:space="0" w:color="auto"/>
            </w:tcBorders>
            <w:vAlign w:val="center"/>
            <w:hideMark/>
          </w:tcPr>
          <w:p w14:paraId="3D5A61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5049903000</w:t>
            </w:r>
          </w:p>
        </w:tc>
        <w:tc>
          <w:tcPr>
            <w:tcW w:w="1012" w:type="dxa"/>
            <w:tcBorders>
              <w:top w:val="nil"/>
              <w:left w:val="nil"/>
              <w:bottom w:val="single" w:sz="4" w:space="0" w:color="auto"/>
              <w:right w:val="single" w:sz="4" w:space="0" w:color="auto"/>
            </w:tcBorders>
            <w:vAlign w:val="center"/>
            <w:hideMark/>
          </w:tcPr>
          <w:p w14:paraId="4F6E1D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10220704</w:t>
            </w:r>
          </w:p>
        </w:tc>
        <w:tc>
          <w:tcPr>
            <w:tcW w:w="5953" w:type="dxa"/>
            <w:tcBorders>
              <w:top w:val="nil"/>
              <w:left w:val="nil"/>
              <w:bottom w:val="single" w:sz="4" w:space="0" w:color="auto"/>
              <w:right w:val="single" w:sz="4" w:space="0" w:color="auto"/>
            </w:tcBorders>
            <w:noWrap/>
            <w:vAlign w:val="center"/>
            <w:hideMark/>
          </w:tcPr>
          <w:p w14:paraId="4E73B5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SOCIALNO VARSTVENI ZAVOD HRASTOVEC</w:t>
            </w:r>
          </w:p>
        </w:tc>
      </w:tr>
      <w:tr w:rsidR="00F24E18" w14:paraId="75DC82E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B73A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1737</w:t>
            </w:r>
          </w:p>
        </w:tc>
        <w:tc>
          <w:tcPr>
            <w:tcW w:w="1300" w:type="dxa"/>
            <w:tcBorders>
              <w:top w:val="nil"/>
              <w:left w:val="nil"/>
              <w:bottom w:val="single" w:sz="4" w:space="0" w:color="auto"/>
              <w:right w:val="single" w:sz="4" w:space="0" w:color="auto"/>
            </w:tcBorders>
            <w:noWrap/>
            <w:vAlign w:val="center"/>
            <w:hideMark/>
          </w:tcPr>
          <w:p w14:paraId="704AA4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5888174000</w:t>
            </w:r>
          </w:p>
        </w:tc>
        <w:tc>
          <w:tcPr>
            <w:tcW w:w="1012" w:type="dxa"/>
            <w:tcBorders>
              <w:top w:val="nil"/>
              <w:left w:val="nil"/>
              <w:bottom w:val="single" w:sz="4" w:space="0" w:color="auto"/>
              <w:right w:val="single" w:sz="4" w:space="0" w:color="auto"/>
            </w:tcBorders>
            <w:noWrap/>
            <w:vAlign w:val="center"/>
            <w:hideMark/>
          </w:tcPr>
          <w:p w14:paraId="7A8DD2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70654441</w:t>
            </w:r>
          </w:p>
        </w:tc>
        <w:tc>
          <w:tcPr>
            <w:tcW w:w="5953" w:type="dxa"/>
            <w:tcBorders>
              <w:top w:val="nil"/>
              <w:left w:val="nil"/>
              <w:bottom w:val="single" w:sz="4" w:space="0" w:color="auto"/>
              <w:right w:val="single" w:sz="4" w:space="0" w:color="auto"/>
            </w:tcBorders>
            <w:noWrap/>
            <w:vAlign w:val="center"/>
            <w:hideMark/>
          </w:tcPr>
          <w:p w14:paraId="2DDF98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SODNI SVET REPUBLIKE SLOVENIJE</w:t>
            </w:r>
          </w:p>
        </w:tc>
      </w:tr>
      <w:tr w:rsidR="00F24E18" w14:paraId="2707121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96D2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1738</w:t>
            </w:r>
          </w:p>
        </w:tc>
        <w:tc>
          <w:tcPr>
            <w:tcW w:w="1300" w:type="dxa"/>
            <w:tcBorders>
              <w:top w:val="nil"/>
              <w:left w:val="nil"/>
              <w:bottom w:val="single" w:sz="4" w:space="0" w:color="auto"/>
              <w:right w:val="single" w:sz="4" w:space="0" w:color="auto"/>
            </w:tcBorders>
            <w:vAlign w:val="center"/>
            <w:hideMark/>
          </w:tcPr>
          <w:p w14:paraId="601099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2294389000</w:t>
            </w:r>
          </w:p>
        </w:tc>
        <w:tc>
          <w:tcPr>
            <w:tcW w:w="1012" w:type="dxa"/>
            <w:tcBorders>
              <w:top w:val="nil"/>
              <w:left w:val="nil"/>
              <w:bottom w:val="single" w:sz="4" w:space="0" w:color="auto"/>
              <w:right w:val="single" w:sz="4" w:space="0" w:color="auto"/>
            </w:tcBorders>
            <w:vAlign w:val="center"/>
            <w:hideMark/>
          </w:tcPr>
          <w:p w14:paraId="77CC06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45603057</w:t>
            </w:r>
          </w:p>
        </w:tc>
        <w:tc>
          <w:tcPr>
            <w:tcW w:w="5953" w:type="dxa"/>
            <w:tcBorders>
              <w:top w:val="nil"/>
              <w:left w:val="nil"/>
              <w:bottom w:val="single" w:sz="4" w:space="0" w:color="auto"/>
              <w:right w:val="single" w:sz="4" w:space="0" w:color="auto"/>
            </w:tcBorders>
            <w:noWrap/>
            <w:vAlign w:val="center"/>
            <w:hideMark/>
          </w:tcPr>
          <w:p w14:paraId="691D60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SODO DISTRIBUCIJSKI OPERATER Z ELEKTRIČNO ENERGIJO, D.O.O.</w:t>
            </w:r>
          </w:p>
        </w:tc>
      </w:tr>
      <w:tr w:rsidR="00F24E18" w14:paraId="0AB0D1B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4D3C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1739</w:t>
            </w:r>
          </w:p>
        </w:tc>
        <w:tc>
          <w:tcPr>
            <w:tcW w:w="1300" w:type="dxa"/>
            <w:tcBorders>
              <w:top w:val="nil"/>
              <w:left w:val="nil"/>
              <w:bottom w:val="single" w:sz="4" w:space="0" w:color="auto"/>
              <w:right w:val="single" w:sz="4" w:space="0" w:color="auto"/>
            </w:tcBorders>
            <w:noWrap/>
            <w:vAlign w:val="center"/>
            <w:hideMark/>
          </w:tcPr>
          <w:p w14:paraId="0F1777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3955320000</w:t>
            </w:r>
          </w:p>
        </w:tc>
        <w:tc>
          <w:tcPr>
            <w:tcW w:w="1012" w:type="dxa"/>
            <w:tcBorders>
              <w:top w:val="nil"/>
              <w:left w:val="nil"/>
              <w:bottom w:val="single" w:sz="4" w:space="0" w:color="auto"/>
              <w:right w:val="single" w:sz="4" w:space="0" w:color="auto"/>
            </w:tcBorders>
            <w:vAlign w:val="center"/>
            <w:hideMark/>
          </w:tcPr>
          <w:p w14:paraId="124046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36760447</w:t>
            </w:r>
          </w:p>
        </w:tc>
        <w:tc>
          <w:tcPr>
            <w:tcW w:w="5953" w:type="dxa"/>
            <w:tcBorders>
              <w:top w:val="nil"/>
              <w:left w:val="nil"/>
              <w:bottom w:val="single" w:sz="4" w:space="0" w:color="auto"/>
              <w:right w:val="single" w:sz="4" w:space="0" w:color="auto"/>
            </w:tcBorders>
            <w:noWrap/>
            <w:vAlign w:val="center"/>
            <w:hideMark/>
          </w:tcPr>
          <w:p w14:paraId="46D8EA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SOL NAVITAS INVESTICIJE, SONČNE ELEKTRARNE, D.O.O.</w:t>
            </w:r>
          </w:p>
        </w:tc>
      </w:tr>
      <w:tr w:rsidR="00F24E18" w14:paraId="3DFC680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69F0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1740</w:t>
            </w:r>
          </w:p>
        </w:tc>
        <w:tc>
          <w:tcPr>
            <w:tcW w:w="1300" w:type="dxa"/>
            <w:tcBorders>
              <w:top w:val="nil"/>
              <w:left w:val="nil"/>
              <w:bottom w:val="single" w:sz="4" w:space="0" w:color="auto"/>
              <w:right w:val="single" w:sz="4" w:space="0" w:color="auto"/>
            </w:tcBorders>
            <w:vAlign w:val="center"/>
            <w:hideMark/>
          </w:tcPr>
          <w:p w14:paraId="473016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5044421000</w:t>
            </w:r>
          </w:p>
        </w:tc>
        <w:tc>
          <w:tcPr>
            <w:tcW w:w="1012" w:type="dxa"/>
            <w:tcBorders>
              <w:top w:val="nil"/>
              <w:left w:val="nil"/>
              <w:bottom w:val="single" w:sz="4" w:space="0" w:color="auto"/>
              <w:right w:val="single" w:sz="4" w:space="0" w:color="auto"/>
            </w:tcBorders>
            <w:vAlign w:val="center"/>
            <w:hideMark/>
          </w:tcPr>
          <w:p w14:paraId="1AD5C4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74100475</w:t>
            </w:r>
          </w:p>
        </w:tc>
        <w:tc>
          <w:tcPr>
            <w:tcW w:w="5953" w:type="dxa"/>
            <w:tcBorders>
              <w:top w:val="nil"/>
              <w:left w:val="nil"/>
              <w:bottom w:val="single" w:sz="4" w:space="0" w:color="auto"/>
              <w:right w:val="single" w:sz="4" w:space="0" w:color="auto"/>
            </w:tcBorders>
            <w:noWrap/>
            <w:vAlign w:val="center"/>
            <w:hideMark/>
          </w:tcPr>
          <w:p w14:paraId="15D596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SOŠKE ELEKTRARNE NOVA GORICA D.O.O.</w:t>
            </w:r>
          </w:p>
        </w:tc>
      </w:tr>
      <w:tr w:rsidR="00F24E18" w14:paraId="2F2C69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2F83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1741</w:t>
            </w:r>
          </w:p>
        </w:tc>
        <w:tc>
          <w:tcPr>
            <w:tcW w:w="1300" w:type="dxa"/>
            <w:tcBorders>
              <w:top w:val="nil"/>
              <w:left w:val="nil"/>
              <w:bottom w:val="single" w:sz="4" w:space="0" w:color="auto"/>
              <w:right w:val="single" w:sz="4" w:space="0" w:color="auto"/>
            </w:tcBorders>
            <w:vAlign w:val="center"/>
            <w:hideMark/>
          </w:tcPr>
          <w:p w14:paraId="14DE20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2399318000</w:t>
            </w:r>
          </w:p>
        </w:tc>
        <w:tc>
          <w:tcPr>
            <w:tcW w:w="1012" w:type="dxa"/>
            <w:tcBorders>
              <w:top w:val="nil"/>
              <w:left w:val="nil"/>
              <w:bottom w:val="single" w:sz="4" w:space="0" w:color="auto"/>
              <w:right w:val="single" w:sz="4" w:space="0" w:color="auto"/>
            </w:tcBorders>
            <w:vAlign w:val="center"/>
            <w:hideMark/>
          </w:tcPr>
          <w:p w14:paraId="289F76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84952571</w:t>
            </w:r>
          </w:p>
        </w:tc>
        <w:tc>
          <w:tcPr>
            <w:tcW w:w="5953" w:type="dxa"/>
            <w:tcBorders>
              <w:top w:val="nil"/>
              <w:left w:val="nil"/>
              <w:bottom w:val="single" w:sz="4" w:space="0" w:color="auto"/>
              <w:right w:val="single" w:sz="4" w:space="0" w:color="auto"/>
            </w:tcBorders>
            <w:noWrap/>
            <w:vAlign w:val="center"/>
            <w:hideMark/>
          </w:tcPr>
          <w:p w14:paraId="087FF0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SPECIALIZIRANO DRŽAVNO TOŽILSTVO REPUBLIKE SLOVENIJE</w:t>
            </w:r>
          </w:p>
        </w:tc>
      </w:tr>
      <w:tr w:rsidR="00F24E18" w14:paraId="361D30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E1A7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1742</w:t>
            </w:r>
          </w:p>
        </w:tc>
        <w:tc>
          <w:tcPr>
            <w:tcW w:w="1300" w:type="dxa"/>
            <w:tcBorders>
              <w:top w:val="nil"/>
              <w:left w:val="nil"/>
              <w:bottom w:val="single" w:sz="4" w:space="0" w:color="auto"/>
              <w:right w:val="single" w:sz="4" w:space="0" w:color="auto"/>
            </w:tcBorders>
            <w:vAlign w:val="center"/>
            <w:hideMark/>
          </w:tcPr>
          <w:p w14:paraId="4CF597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5105323000</w:t>
            </w:r>
          </w:p>
        </w:tc>
        <w:tc>
          <w:tcPr>
            <w:tcW w:w="1012" w:type="dxa"/>
            <w:tcBorders>
              <w:top w:val="nil"/>
              <w:left w:val="nil"/>
              <w:bottom w:val="single" w:sz="4" w:space="0" w:color="auto"/>
              <w:right w:val="single" w:sz="4" w:space="0" w:color="auto"/>
            </w:tcBorders>
            <w:vAlign w:val="center"/>
            <w:hideMark/>
          </w:tcPr>
          <w:p w14:paraId="04D260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58152784</w:t>
            </w:r>
          </w:p>
        </w:tc>
        <w:tc>
          <w:tcPr>
            <w:tcW w:w="5953" w:type="dxa"/>
            <w:tcBorders>
              <w:top w:val="nil"/>
              <w:left w:val="nil"/>
              <w:bottom w:val="single" w:sz="4" w:space="0" w:color="auto"/>
              <w:right w:val="single" w:sz="4" w:space="0" w:color="auto"/>
            </w:tcBorders>
            <w:noWrap/>
            <w:vAlign w:val="center"/>
            <w:hideMark/>
          </w:tcPr>
          <w:p w14:paraId="15C15D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BREŽICE</w:t>
            </w:r>
          </w:p>
        </w:tc>
      </w:tr>
      <w:tr w:rsidR="00F24E18" w14:paraId="2AD6DCC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C802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1743</w:t>
            </w:r>
          </w:p>
        </w:tc>
        <w:tc>
          <w:tcPr>
            <w:tcW w:w="1300" w:type="dxa"/>
            <w:tcBorders>
              <w:top w:val="nil"/>
              <w:left w:val="nil"/>
              <w:bottom w:val="single" w:sz="4" w:space="0" w:color="auto"/>
              <w:right w:val="single" w:sz="4" w:space="0" w:color="auto"/>
            </w:tcBorders>
            <w:vAlign w:val="center"/>
            <w:hideMark/>
          </w:tcPr>
          <w:p w14:paraId="4C162F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5064716000</w:t>
            </w:r>
          </w:p>
        </w:tc>
        <w:tc>
          <w:tcPr>
            <w:tcW w:w="1012" w:type="dxa"/>
            <w:tcBorders>
              <w:top w:val="nil"/>
              <w:left w:val="nil"/>
              <w:bottom w:val="single" w:sz="4" w:space="0" w:color="auto"/>
              <w:right w:val="single" w:sz="4" w:space="0" w:color="auto"/>
            </w:tcBorders>
            <w:vAlign w:val="center"/>
            <w:hideMark/>
          </w:tcPr>
          <w:p w14:paraId="0A3BDE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42119022</w:t>
            </w:r>
          </w:p>
        </w:tc>
        <w:tc>
          <w:tcPr>
            <w:tcW w:w="5953" w:type="dxa"/>
            <w:tcBorders>
              <w:top w:val="nil"/>
              <w:left w:val="nil"/>
              <w:bottom w:val="single" w:sz="4" w:space="0" w:color="auto"/>
              <w:right w:val="single" w:sz="4" w:space="0" w:color="auto"/>
            </w:tcBorders>
            <w:noWrap/>
            <w:vAlign w:val="center"/>
            <w:hideMark/>
          </w:tcPr>
          <w:p w14:paraId="35C6E8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CELJE</w:t>
            </w:r>
          </w:p>
        </w:tc>
      </w:tr>
      <w:tr w:rsidR="00F24E18" w14:paraId="4F2DEA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E171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1744</w:t>
            </w:r>
          </w:p>
        </w:tc>
        <w:tc>
          <w:tcPr>
            <w:tcW w:w="1300" w:type="dxa"/>
            <w:tcBorders>
              <w:top w:val="nil"/>
              <w:left w:val="nil"/>
              <w:bottom w:val="single" w:sz="4" w:space="0" w:color="auto"/>
              <w:right w:val="single" w:sz="4" w:space="0" w:color="auto"/>
            </w:tcBorders>
            <w:vAlign w:val="center"/>
            <w:hideMark/>
          </w:tcPr>
          <w:p w14:paraId="56C92A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5055695000</w:t>
            </w:r>
          </w:p>
        </w:tc>
        <w:tc>
          <w:tcPr>
            <w:tcW w:w="1012" w:type="dxa"/>
            <w:tcBorders>
              <w:top w:val="nil"/>
              <w:left w:val="nil"/>
              <w:bottom w:val="single" w:sz="4" w:space="0" w:color="auto"/>
              <w:right w:val="single" w:sz="4" w:space="0" w:color="auto"/>
            </w:tcBorders>
            <w:vAlign w:val="center"/>
            <w:hideMark/>
          </w:tcPr>
          <w:p w14:paraId="7E82A4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11427205</w:t>
            </w:r>
          </w:p>
        </w:tc>
        <w:tc>
          <w:tcPr>
            <w:tcW w:w="5953" w:type="dxa"/>
            <w:tcBorders>
              <w:top w:val="nil"/>
              <w:left w:val="nil"/>
              <w:bottom w:val="single" w:sz="4" w:space="0" w:color="auto"/>
              <w:right w:val="single" w:sz="4" w:space="0" w:color="auto"/>
            </w:tcBorders>
            <w:noWrap/>
            <w:vAlign w:val="center"/>
            <w:hideMark/>
          </w:tcPr>
          <w:p w14:paraId="74ED50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DR. FRANCA DERGANCA NOVA GORICA</w:t>
            </w:r>
          </w:p>
        </w:tc>
      </w:tr>
      <w:tr w:rsidR="00F24E18" w14:paraId="3A9BF7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8BB1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1745</w:t>
            </w:r>
          </w:p>
        </w:tc>
        <w:tc>
          <w:tcPr>
            <w:tcW w:w="1300" w:type="dxa"/>
            <w:tcBorders>
              <w:top w:val="nil"/>
              <w:left w:val="nil"/>
              <w:bottom w:val="single" w:sz="4" w:space="0" w:color="auto"/>
              <w:right w:val="single" w:sz="4" w:space="0" w:color="auto"/>
            </w:tcBorders>
            <w:vAlign w:val="center"/>
            <w:hideMark/>
          </w:tcPr>
          <w:p w14:paraId="1D1B23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5054796000</w:t>
            </w:r>
          </w:p>
        </w:tc>
        <w:tc>
          <w:tcPr>
            <w:tcW w:w="1012" w:type="dxa"/>
            <w:tcBorders>
              <w:top w:val="nil"/>
              <w:left w:val="nil"/>
              <w:bottom w:val="single" w:sz="4" w:space="0" w:color="auto"/>
              <w:right w:val="single" w:sz="4" w:space="0" w:color="auto"/>
            </w:tcBorders>
            <w:vAlign w:val="center"/>
            <w:hideMark/>
          </w:tcPr>
          <w:p w14:paraId="352875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35767294</w:t>
            </w:r>
          </w:p>
        </w:tc>
        <w:tc>
          <w:tcPr>
            <w:tcW w:w="5953" w:type="dxa"/>
            <w:tcBorders>
              <w:top w:val="nil"/>
              <w:left w:val="nil"/>
              <w:bottom w:val="single" w:sz="4" w:space="0" w:color="auto"/>
              <w:right w:val="single" w:sz="4" w:space="0" w:color="auto"/>
            </w:tcBorders>
            <w:noWrap/>
            <w:vAlign w:val="center"/>
            <w:hideMark/>
          </w:tcPr>
          <w:p w14:paraId="6C209F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DR. JOŽETA POTRČA PTUJ</w:t>
            </w:r>
          </w:p>
        </w:tc>
      </w:tr>
      <w:tr w:rsidR="00F24E18" w14:paraId="0526EB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6C7F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1746</w:t>
            </w:r>
          </w:p>
        </w:tc>
        <w:tc>
          <w:tcPr>
            <w:tcW w:w="1300" w:type="dxa"/>
            <w:tcBorders>
              <w:top w:val="nil"/>
              <w:left w:val="nil"/>
              <w:bottom w:val="single" w:sz="4" w:space="0" w:color="auto"/>
              <w:right w:val="single" w:sz="4" w:space="0" w:color="auto"/>
            </w:tcBorders>
            <w:vAlign w:val="center"/>
            <w:hideMark/>
          </w:tcPr>
          <w:p w14:paraId="396702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1399632000</w:t>
            </w:r>
          </w:p>
        </w:tc>
        <w:tc>
          <w:tcPr>
            <w:tcW w:w="1012" w:type="dxa"/>
            <w:tcBorders>
              <w:top w:val="nil"/>
              <w:left w:val="nil"/>
              <w:bottom w:val="single" w:sz="4" w:space="0" w:color="auto"/>
              <w:right w:val="single" w:sz="4" w:space="0" w:color="auto"/>
            </w:tcBorders>
            <w:vAlign w:val="center"/>
            <w:hideMark/>
          </w:tcPr>
          <w:p w14:paraId="3FD2B3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79007589</w:t>
            </w:r>
          </w:p>
        </w:tc>
        <w:tc>
          <w:tcPr>
            <w:tcW w:w="5953" w:type="dxa"/>
            <w:tcBorders>
              <w:top w:val="nil"/>
              <w:left w:val="nil"/>
              <w:bottom w:val="single" w:sz="4" w:space="0" w:color="auto"/>
              <w:right w:val="single" w:sz="4" w:space="0" w:color="auto"/>
            </w:tcBorders>
            <w:noWrap/>
            <w:vAlign w:val="center"/>
            <w:hideMark/>
          </w:tcPr>
          <w:p w14:paraId="113A50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IZOLA OSPEDALE GENERALE ISOLA</w:t>
            </w:r>
          </w:p>
        </w:tc>
      </w:tr>
      <w:tr w:rsidR="00F24E18" w14:paraId="0DE44E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2EAF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1747</w:t>
            </w:r>
          </w:p>
        </w:tc>
        <w:tc>
          <w:tcPr>
            <w:tcW w:w="1300" w:type="dxa"/>
            <w:tcBorders>
              <w:top w:val="nil"/>
              <w:left w:val="nil"/>
              <w:bottom w:val="single" w:sz="4" w:space="0" w:color="auto"/>
              <w:right w:val="single" w:sz="4" w:space="0" w:color="auto"/>
            </w:tcBorders>
            <w:vAlign w:val="center"/>
            <w:hideMark/>
          </w:tcPr>
          <w:p w14:paraId="36FFE1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5053692000</w:t>
            </w:r>
          </w:p>
        </w:tc>
        <w:tc>
          <w:tcPr>
            <w:tcW w:w="1012" w:type="dxa"/>
            <w:tcBorders>
              <w:top w:val="nil"/>
              <w:left w:val="nil"/>
              <w:bottom w:val="single" w:sz="4" w:space="0" w:color="auto"/>
              <w:right w:val="single" w:sz="4" w:space="0" w:color="auto"/>
            </w:tcBorders>
            <w:vAlign w:val="center"/>
            <w:hideMark/>
          </w:tcPr>
          <w:p w14:paraId="11840E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86143824</w:t>
            </w:r>
          </w:p>
        </w:tc>
        <w:tc>
          <w:tcPr>
            <w:tcW w:w="5953" w:type="dxa"/>
            <w:tcBorders>
              <w:top w:val="nil"/>
              <w:left w:val="nil"/>
              <w:bottom w:val="single" w:sz="4" w:space="0" w:color="auto"/>
              <w:right w:val="single" w:sz="4" w:space="0" w:color="auto"/>
            </w:tcBorders>
            <w:noWrap/>
            <w:vAlign w:val="center"/>
            <w:hideMark/>
          </w:tcPr>
          <w:p w14:paraId="122AC5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JESENICE</w:t>
            </w:r>
          </w:p>
        </w:tc>
      </w:tr>
      <w:tr w:rsidR="00F24E18" w14:paraId="4C00D7F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A33F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1748</w:t>
            </w:r>
          </w:p>
        </w:tc>
        <w:tc>
          <w:tcPr>
            <w:tcW w:w="1300" w:type="dxa"/>
            <w:tcBorders>
              <w:top w:val="nil"/>
              <w:left w:val="nil"/>
              <w:bottom w:val="single" w:sz="4" w:space="0" w:color="auto"/>
              <w:right w:val="single" w:sz="4" w:space="0" w:color="auto"/>
            </w:tcBorders>
            <w:vAlign w:val="center"/>
            <w:hideMark/>
          </w:tcPr>
          <w:p w14:paraId="33B731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1122517000</w:t>
            </w:r>
          </w:p>
        </w:tc>
        <w:tc>
          <w:tcPr>
            <w:tcW w:w="1012" w:type="dxa"/>
            <w:tcBorders>
              <w:top w:val="nil"/>
              <w:left w:val="nil"/>
              <w:bottom w:val="single" w:sz="4" w:space="0" w:color="auto"/>
              <w:right w:val="single" w:sz="4" w:space="0" w:color="auto"/>
            </w:tcBorders>
            <w:vAlign w:val="center"/>
            <w:hideMark/>
          </w:tcPr>
          <w:p w14:paraId="15E3F9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30946034</w:t>
            </w:r>
          </w:p>
        </w:tc>
        <w:tc>
          <w:tcPr>
            <w:tcW w:w="5953" w:type="dxa"/>
            <w:tcBorders>
              <w:top w:val="nil"/>
              <w:left w:val="nil"/>
              <w:bottom w:val="single" w:sz="4" w:space="0" w:color="auto"/>
              <w:right w:val="single" w:sz="4" w:space="0" w:color="auto"/>
            </w:tcBorders>
            <w:noWrap/>
            <w:vAlign w:val="center"/>
            <w:hideMark/>
          </w:tcPr>
          <w:p w14:paraId="65E2E1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MURSKA SOBOTA</w:t>
            </w:r>
          </w:p>
        </w:tc>
      </w:tr>
      <w:tr w:rsidR="00F24E18" w14:paraId="1C8CB66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76B28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1749</w:t>
            </w:r>
          </w:p>
        </w:tc>
        <w:tc>
          <w:tcPr>
            <w:tcW w:w="1300" w:type="dxa"/>
            <w:tcBorders>
              <w:top w:val="nil"/>
              <w:left w:val="nil"/>
              <w:bottom w:val="single" w:sz="4" w:space="0" w:color="auto"/>
              <w:right w:val="single" w:sz="4" w:space="0" w:color="auto"/>
            </w:tcBorders>
            <w:vAlign w:val="center"/>
            <w:hideMark/>
          </w:tcPr>
          <w:p w14:paraId="44F41E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5054621000</w:t>
            </w:r>
          </w:p>
        </w:tc>
        <w:tc>
          <w:tcPr>
            <w:tcW w:w="1012" w:type="dxa"/>
            <w:tcBorders>
              <w:top w:val="nil"/>
              <w:left w:val="nil"/>
              <w:bottom w:val="single" w:sz="4" w:space="0" w:color="auto"/>
              <w:right w:val="single" w:sz="4" w:space="0" w:color="auto"/>
            </w:tcBorders>
            <w:vAlign w:val="center"/>
            <w:hideMark/>
          </w:tcPr>
          <w:p w14:paraId="6444F8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82657106</w:t>
            </w:r>
          </w:p>
        </w:tc>
        <w:tc>
          <w:tcPr>
            <w:tcW w:w="5953" w:type="dxa"/>
            <w:tcBorders>
              <w:top w:val="nil"/>
              <w:left w:val="nil"/>
              <w:bottom w:val="single" w:sz="4" w:space="0" w:color="auto"/>
              <w:right w:val="single" w:sz="4" w:space="0" w:color="auto"/>
            </w:tcBorders>
            <w:noWrap/>
            <w:vAlign w:val="center"/>
            <w:hideMark/>
          </w:tcPr>
          <w:p w14:paraId="44F8EC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NOVO MESTO</w:t>
            </w:r>
          </w:p>
        </w:tc>
      </w:tr>
      <w:tr w:rsidR="00F24E18" w14:paraId="1D15A6C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3F8F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1750</w:t>
            </w:r>
          </w:p>
        </w:tc>
        <w:tc>
          <w:tcPr>
            <w:tcW w:w="1300" w:type="dxa"/>
            <w:tcBorders>
              <w:top w:val="nil"/>
              <w:left w:val="nil"/>
              <w:bottom w:val="single" w:sz="4" w:space="0" w:color="auto"/>
              <w:right w:val="single" w:sz="4" w:space="0" w:color="auto"/>
            </w:tcBorders>
            <w:vAlign w:val="center"/>
            <w:hideMark/>
          </w:tcPr>
          <w:p w14:paraId="6A8320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5054958000</w:t>
            </w:r>
          </w:p>
        </w:tc>
        <w:tc>
          <w:tcPr>
            <w:tcW w:w="1012" w:type="dxa"/>
            <w:tcBorders>
              <w:top w:val="nil"/>
              <w:left w:val="nil"/>
              <w:bottom w:val="single" w:sz="4" w:space="0" w:color="auto"/>
              <w:right w:val="single" w:sz="4" w:space="0" w:color="auto"/>
            </w:tcBorders>
            <w:vAlign w:val="center"/>
            <w:hideMark/>
          </w:tcPr>
          <w:p w14:paraId="438358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34697390</w:t>
            </w:r>
          </w:p>
        </w:tc>
        <w:tc>
          <w:tcPr>
            <w:tcW w:w="5953" w:type="dxa"/>
            <w:tcBorders>
              <w:top w:val="nil"/>
              <w:left w:val="nil"/>
              <w:bottom w:val="single" w:sz="4" w:space="0" w:color="auto"/>
              <w:right w:val="single" w:sz="4" w:space="0" w:color="auto"/>
            </w:tcBorders>
            <w:noWrap/>
            <w:vAlign w:val="center"/>
            <w:hideMark/>
          </w:tcPr>
          <w:p w14:paraId="20EF72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SLOVENJ GRADEC</w:t>
            </w:r>
          </w:p>
        </w:tc>
      </w:tr>
      <w:tr w:rsidR="00F24E18" w14:paraId="063EEA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ACFA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1751</w:t>
            </w:r>
          </w:p>
        </w:tc>
        <w:tc>
          <w:tcPr>
            <w:tcW w:w="1300" w:type="dxa"/>
            <w:tcBorders>
              <w:top w:val="nil"/>
              <w:left w:val="nil"/>
              <w:bottom w:val="single" w:sz="4" w:space="0" w:color="auto"/>
              <w:right w:val="single" w:sz="4" w:space="0" w:color="auto"/>
            </w:tcBorders>
            <w:vAlign w:val="center"/>
            <w:hideMark/>
          </w:tcPr>
          <w:p w14:paraId="211721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5055121000</w:t>
            </w:r>
          </w:p>
        </w:tc>
        <w:tc>
          <w:tcPr>
            <w:tcW w:w="1012" w:type="dxa"/>
            <w:tcBorders>
              <w:top w:val="nil"/>
              <w:left w:val="nil"/>
              <w:bottom w:val="single" w:sz="4" w:space="0" w:color="auto"/>
              <w:right w:val="single" w:sz="4" w:space="0" w:color="auto"/>
            </w:tcBorders>
            <w:vAlign w:val="center"/>
            <w:hideMark/>
          </w:tcPr>
          <w:p w14:paraId="0F66EB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99756650</w:t>
            </w:r>
          </w:p>
        </w:tc>
        <w:tc>
          <w:tcPr>
            <w:tcW w:w="5953" w:type="dxa"/>
            <w:tcBorders>
              <w:top w:val="nil"/>
              <w:left w:val="nil"/>
              <w:bottom w:val="single" w:sz="4" w:space="0" w:color="auto"/>
              <w:right w:val="single" w:sz="4" w:space="0" w:color="auto"/>
            </w:tcBorders>
            <w:noWrap/>
            <w:vAlign w:val="center"/>
            <w:hideMark/>
          </w:tcPr>
          <w:p w14:paraId="7A5E14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SPLOŠNA BOLNIŠNICA TRBOVLJE</w:t>
            </w:r>
          </w:p>
        </w:tc>
      </w:tr>
      <w:tr w:rsidR="00F24E18" w14:paraId="68C665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B81B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1752</w:t>
            </w:r>
          </w:p>
        </w:tc>
        <w:tc>
          <w:tcPr>
            <w:tcW w:w="1300" w:type="dxa"/>
            <w:tcBorders>
              <w:top w:val="nil"/>
              <w:left w:val="nil"/>
              <w:bottom w:val="single" w:sz="4" w:space="0" w:color="auto"/>
              <w:right w:val="single" w:sz="4" w:space="0" w:color="auto"/>
            </w:tcBorders>
            <w:noWrap/>
            <w:vAlign w:val="center"/>
            <w:hideMark/>
          </w:tcPr>
          <w:p w14:paraId="4FFF26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5085527000</w:t>
            </w:r>
          </w:p>
        </w:tc>
        <w:tc>
          <w:tcPr>
            <w:tcW w:w="1012" w:type="dxa"/>
            <w:tcBorders>
              <w:top w:val="nil"/>
              <w:left w:val="nil"/>
              <w:bottom w:val="single" w:sz="4" w:space="0" w:color="auto"/>
              <w:right w:val="single" w:sz="4" w:space="0" w:color="auto"/>
            </w:tcBorders>
            <w:noWrap/>
            <w:vAlign w:val="center"/>
            <w:hideMark/>
          </w:tcPr>
          <w:p w14:paraId="0A622F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39643735</w:t>
            </w:r>
          </w:p>
        </w:tc>
        <w:tc>
          <w:tcPr>
            <w:tcW w:w="5953" w:type="dxa"/>
            <w:tcBorders>
              <w:top w:val="nil"/>
              <w:left w:val="nil"/>
              <w:bottom w:val="single" w:sz="4" w:space="0" w:color="auto"/>
              <w:right w:val="single" w:sz="4" w:space="0" w:color="auto"/>
            </w:tcBorders>
            <w:noWrap/>
            <w:vAlign w:val="center"/>
            <w:hideMark/>
          </w:tcPr>
          <w:p w14:paraId="73CF0A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EKONOMSKA ŠOLA IN GIMNAZIJA MARIBOR</w:t>
            </w:r>
          </w:p>
        </w:tc>
      </w:tr>
      <w:tr w:rsidR="00F24E18" w14:paraId="18F274E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2ACA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1753</w:t>
            </w:r>
          </w:p>
        </w:tc>
        <w:tc>
          <w:tcPr>
            <w:tcW w:w="1300" w:type="dxa"/>
            <w:tcBorders>
              <w:top w:val="nil"/>
              <w:left w:val="nil"/>
              <w:bottom w:val="single" w:sz="4" w:space="0" w:color="auto"/>
              <w:right w:val="single" w:sz="4" w:space="0" w:color="auto"/>
            </w:tcBorders>
            <w:noWrap/>
            <w:vAlign w:val="center"/>
            <w:hideMark/>
          </w:tcPr>
          <w:p w14:paraId="6AAECD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5084199000</w:t>
            </w:r>
          </w:p>
        </w:tc>
        <w:tc>
          <w:tcPr>
            <w:tcW w:w="1012" w:type="dxa"/>
            <w:tcBorders>
              <w:top w:val="nil"/>
              <w:left w:val="nil"/>
              <w:bottom w:val="single" w:sz="4" w:space="0" w:color="auto"/>
              <w:right w:val="single" w:sz="4" w:space="0" w:color="auto"/>
            </w:tcBorders>
            <w:noWrap/>
            <w:vAlign w:val="center"/>
            <w:hideMark/>
          </w:tcPr>
          <w:p w14:paraId="4F0CBD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43787991</w:t>
            </w:r>
          </w:p>
        </w:tc>
        <w:tc>
          <w:tcPr>
            <w:tcW w:w="5953" w:type="dxa"/>
            <w:tcBorders>
              <w:top w:val="nil"/>
              <w:left w:val="nil"/>
              <w:bottom w:val="single" w:sz="4" w:space="0" w:color="auto"/>
              <w:right w:val="single" w:sz="4" w:space="0" w:color="auto"/>
            </w:tcBorders>
            <w:noWrap/>
            <w:vAlign w:val="center"/>
            <w:hideMark/>
          </w:tcPr>
          <w:p w14:paraId="36C404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EKONOMSKA ŠOLA LJUBLJANA</w:t>
            </w:r>
          </w:p>
        </w:tc>
      </w:tr>
      <w:tr w:rsidR="00F24E18" w14:paraId="3310C88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87C52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1754</w:t>
            </w:r>
          </w:p>
        </w:tc>
        <w:tc>
          <w:tcPr>
            <w:tcW w:w="1300" w:type="dxa"/>
            <w:tcBorders>
              <w:top w:val="nil"/>
              <w:left w:val="nil"/>
              <w:bottom w:val="single" w:sz="4" w:space="0" w:color="auto"/>
              <w:right w:val="single" w:sz="4" w:space="0" w:color="auto"/>
            </w:tcBorders>
            <w:noWrap/>
            <w:vAlign w:val="center"/>
            <w:hideMark/>
          </w:tcPr>
          <w:p w14:paraId="448197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5088712000</w:t>
            </w:r>
          </w:p>
        </w:tc>
        <w:tc>
          <w:tcPr>
            <w:tcW w:w="1012" w:type="dxa"/>
            <w:tcBorders>
              <w:top w:val="nil"/>
              <w:left w:val="nil"/>
              <w:bottom w:val="single" w:sz="4" w:space="0" w:color="auto"/>
              <w:right w:val="single" w:sz="4" w:space="0" w:color="auto"/>
            </w:tcBorders>
            <w:noWrap/>
            <w:vAlign w:val="center"/>
            <w:hideMark/>
          </w:tcPr>
          <w:p w14:paraId="3A9295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26806088</w:t>
            </w:r>
          </w:p>
        </w:tc>
        <w:tc>
          <w:tcPr>
            <w:tcW w:w="5953" w:type="dxa"/>
            <w:tcBorders>
              <w:top w:val="nil"/>
              <w:left w:val="nil"/>
              <w:bottom w:val="single" w:sz="4" w:space="0" w:color="auto"/>
              <w:right w:val="single" w:sz="4" w:space="0" w:color="auto"/>
            </w:tcBorders>
            <w:noWrap/>
            <w:vAlign w:val="center"/>
            <w:hideMark/>
          </w:tcPr>
          <w:p w14:paraId="246E35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EKONOMSKO - POSLOVNA ŠOLA KOPER - SCUOLA MEDIA DI ECONOMIA E GESTIONE AZIENDALE CAPODISTRIA</w:t>
            </w:r>
          </w:p>
        </w:tc>
      </w:tr>
      <w:tr w:rsidR="00F24E18" w14:paraId="3E52DFD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EA1C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1755</w:t>
            </w:r>
          </w:p>
        </w:tc>
        <w:tc>
          <w:tcPr>
            <w:tcW w:w="1300" w:type="dxa"/>
            <w:tcBorders>
              <w:top w:val="nil"/>
              <w:left w:val="nil"/>
              <w:bottom w:val="single" w:sz="4" w:space="0" w:color="auto"/>
              <w:right w:val="single" w:sz="4" w:space="0" w:color="auto"/>
            </w:tcBorders>
            <w:vAlign w:val="center"/>
            <w:hideMark/>
          </w:tcPr>
          <w:p w14:paraId="214297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6430856000</w:t>
            </w:r>
          </w:p>
        </w:tc>
        <w:tc>
          <w:tcPr>
            <w:tcW w:w="1012" w:type="dxa"/>
            <w:tcBorders>
              <w:top w:val="nil"/>
              <w:left w:val="nil"/>
              <w:bottom w:val="single" w:sz="4" w:space="0" w:color="auto"/>
              <w:right w:val="single" w:sz="4" w:space="0" w:color="auto"/>
            </w:tcBorders>
            <w:vAlign w:val="center"/>
            <w:hideMark/>
          </w:tcPr>
          <w:p w14:paraId="12BC05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58751009</w:t>
            </w:r>
          </w:p>
        </w:tc>
        <w:tc>
          <w:tcPr>
            <w:tcW w:w="5953" w:type="dxa"/>
            <w:tcBorders>
              <w:top w:val="nil"/>
              <w:left w:val="nil"/>
              <w:bottom w:val="single" w:sz="4" w:space="0" w:color="auto"/>
              <w:right w:val="single" w:sz="4" w:space="0" w:color="auto"/>
            </w:tcBorders>
            <w:noWrap/>
            <w:vAlign w:val="center"/>
            <w:hideMark/>
          </w:tcPr>
          <w:p w14:paraId="522A5D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ELEKTRO-RAČUNALNIŠKA ŠOLA MARIBOR</w:t>
            </w:r>
          </w:p>
        </w:tc>
      </w:tr>
      <w:tr w:rsidR="00F24E18" w14:paraId="770422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61B5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1756</w:t>
            </w:r>
          </w:p>
        </w:tc>
        <w:tc>
          <w:tcPr>
            <w:tcW w:w="1300" w:type="dxa"/>
            <w:tcBorders>
              <w:top w:val="nil"/>
              <w:left w:val="nil"/>
              <w:bottom w:val="single" w:sz="4" w:space="0" w:color="auto"/>
              <w:right w:val="single" w:sz="4" w:space="0" w:color="auto"/>
            </w:tcBorders>
            <w:noWrap/>
            <w:vAlign w:val="center"/>
            <w:hideMark/>
          </w:tcPr>
          <w:p w14:paraId="1B795E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5653347000</w:t>
            </w:r>
          </w:p>
        </w:tc>
        <w:tc>
          <w:tcPr>
            <w:tcW w:w="1012" w:type="dxa"/>
            <w:tcBorders>
              <w:top w:val="nil"/>
              <w:left w:val="nil"/>
              <w:bottom w:val="single" w:sz="4" w:space="0" w:color="auto"/>
              <w:right w:val="single" w:sz="4" w:space="0" w:color="auto"/>
            </w:tcBorders>
            <w:noWrap/>
            <w:vAlign w:val="center"/>
            <w:hideMark/>
          </w:tcPr>
          <w:p w14:paraId="1A2A46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42992206</w:t>
            </w:r>
          </w:p>
        </w:tc>
        <w:tc>
          <w:tcPr>
            <w:tcW w:w="5953" w:type="dxa"/>
            <w:tcBorders>
              <w:top w:val="nil"/>
              <w:left w:val="nil"/>
              <w:bottom w:val="single" w:sz="4" w:space="0" w:color="auto"/>
              <w:right w:val="single" w:sz="4" w:space="0" w:color="auto"/>
            </w:tcBorders>
            <w:noWrap/>
            <w:vAlign w:val="center"/>
            <w:hideMark/>
          </w:tcPr>
          <w:p w14:paraId="62D741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FRIZERSKA ŠOLA LJUBLJANA</w:t>
            </w:r>
          </w:p>
        </w:tc>
      </w:tr>
      <w:tr w:rsidR="00F24E18" w14:paraId="4E3796C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B7D7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1757</w:t>
            </w:r>
          </w:p>
        </w:tc>
        <w:tc>
          <w:tcPr>
            <w:tcW w:w="1300" w:type="dxa"/>
            <w:tcBorders>
              <w:top w:val="nil"/>
              <w:left w:val="nil"/>
              <w:bottom w:val="single" w:sz="4" w:space="0" w:color="auto"/>
              <w:right w:val="single" w:sz="4" w:space="0" w:color="auto"/>
            </w:tcBorders>
            <w:vAlign w:val="center"/>
            <w:hideMark/>
          </w:tcPr>
          <w:p w14:paraId="4BCCAF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5921678000</w:t>
            </w:r>
          </w:p>
        </w:tc>
        <w:tc>
          <w:tcPr>
            <w:tcW w:w="1012" w:type="dxa"/>
            <w:tcBorders>
              <w:top w:val="nil"/>
              <w:left w:val="nil"/>
              <w:bottom w:val="single" w:sz="4" w:space="0" w:color="auto"/>
              <w:right w:val="single" w:sz="4" w:space="0" w:color="auto"/>
            </w:tcBorders>
            <w:vAlign w:val="center"/>
            <w:hideMark/>
          </w:tcPr>
          <w:p w14:paraId="066336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29929610</w:t>
            </w:r>
          </w:p>
        </w:tc>
        <w:tc>
          <w:tcPr>
            <w:tcW w:w="5953" w:type="dxa"/>
            <w:tcBorders>
              <w:top w:val="nil"/>
              <w:left w:val="nil"/>
              <w:bottom w:val="single" w:sz="4" w:space="0" w:color="auto"/>
              <w:right w:val="single" w:sz="4" w:space="0" w:color="auto"/>
            </w:tcBorders>
            <w:noWrap/>
            <w:vAlign w:val="center"/>
            <w:hideMark/>
          </w:tcPr>
          <w:p w14:paraId="2724EA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GOSTINSKA IN TURISTIČNA ŠOLA RADOVLJICA</w:t>
            </w:r>
          </w:p>
        </w:tc>
      </w:tr>
      <w:tr w:rsidR="00F24E18" w14:paraId="3EB125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A074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1758</w:t>
            </w:r>
          </w:p>
        </w:tc>
        <w:tc>
          <w:tcPr>
            <w:tcW w:w="1300" w:type="dxa"/>
            <w:tcBorders>
              <w:top w:val="nil"/>
              <w:left w:val="nil"/>
              <w:bottom w:val="single" w:sz="4" w:space="0" w:color="auto"/>
              <w:right w:val="single" w:sz="4" w:space="0" w:color="auto"/>
            </w:tcBorders>
            <w:vAlign w:val="center"/>
            <w:hideMark/>
          </w:tcPr>
          <w:p w14:paraId="37AF0B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5089808000</w:t>
            </w:r>
          </w:p>
        </w:tc>
        <w:tc>
          <w:tcPr>
            <w:tcW w:w="1012" w:type="dxa"/>
            <w:tcBorders>
              <w:top w:val="nil"/>
              <w:left w:val="nil"/>
              <w:bottom w:val="single" w:sz="4" w:space="0" w:color="auto"/>
              <w:right w:val="single" w:sz="4" w:space="0" w:color="auto"/>
            </w:tcBorders>
            <w:vAlign w:val="center"/>
            <w:hideMark/>
          </w:tcPr>
          <w:p w14:paraId="514920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55477232</w:t>
            </w:r>
          </w:p>
        </w:tc>
        <w:tc>
          <w:tcPr>
            <w:tcW w:w="5953" w:type="dxa"/>
            <w:tcBorders>
              <w:top w:val="nil"/>
              <w:left w:val="nil"/>
              <w:bottom w:val="single" w:sz="4" w:space="0" w:color="auto"/>
              <w:right w:val="single" w:sz="4" w:space="0" w:color="auto"/>
            </w:tcBorders>
            <w:noWrap/>
            <w:vAlign w:val="center"/>
            <w:hideMark/>
          </w:tcPr>
          <w:p w14:paraId="7D72F8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GOZDARSKA, LESARSKA IN ZDRAVSTVENA ŠOLA POSTOJNA</w:t>
            </w:r>
          </w:p>
        </w:tc>
      </w:tr>
      <w:tr w:rsidR="00F24E18" w14:paraId="68534D2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F280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1759</w:t>
            </w:r>
          </w:p>
        </w:tc>
        <w:tc>
          <w:tcPr>
            <w:tcW w:w="1300" w:type="dxa"/>
            <w:tcBorders>
              <w:top w:val="nil"/>
              <w:left w:val="nil"/>
              <w:bottom w:val="single" w:sz="4" w:space="0" w:color="auto"/>
              <w:right w:val="single" w:sz="4" w:space="0" w:color="auto"/>
            </w:tcBorders>
            <w:noWrap/>
            <w:vAlign w:val="center"/>
            <w:hideMark/>
          </w:tcPr>
          <w:p w14:paraId="6E2D1F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5089930000</w:t>
            </w:r>
          </w:p>
        </w:tc>
        <w:tc>
          <w:tcPr>
            <w:tcW w:w="1012" w:type="dxa"/>
            <w:tcBorders>
              <w:top w:val="nil"/>
              <w:left w:val="nil"/>
              <w:bottom w:val="single" w:sz="4" w:space="0" w:color="auto"/>
              <w:right w:val="single" w:sz="4" w:space="0" w:color="auto"/>
            </w:tcBorders>
            <w:noWrap/>
            <w:vAlign w:val="center"/>
            <w:hideMark/>
          </w:tcPr>
          <w:p w14:paraId="542094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77098846</w:t>
            </w:r>
          </w:p>
        </w:tc>
        <w:tc>
          <w:tcPr>
            <w:tcW w:w="5953" w:type="dxa"/>
            <w:tcBorders>
              <w:top w:val="nil"/>
              <w:left w:val="nil"/>
              <w:bottom w:val="single" w:sz="4" w:space="0" w:color="auto"/>
              <w:right w:val="single" w:sz="4" w:space="0" w:color="auto"/>
            </w:tcBorders>
            <w:noWrap/>
            <w:vAlign w:val="center"/>
            <w:hideMark/>
          </w:tcPr>
          <w:p w14:paraId="00EEE8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GRADBENA ŠOLA IN GIMNAZIJA MARIBOR</w:t>
            </w:r>
          </w:p>
        </w:tc>
      </w:tr>
      <w:tr w:rsidR="00F24E18" w14:paraId="1C1C24E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C2E5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1760</w:t>
            </w:r>
          </w:p>
        </w:tc>
        <w:tc>
          <w:tcPr>
            <w:tcW w:w="1300" w:type="dxa"/>
            <w:tcBorders>
              <w:top w:val="nil"/>
              <w:left w:val="nil"/>
              <w:bottom w:val="single" w:sz="4" w:space="0" w:color="auto"/>
              <w:right w:val="single" w:sz="4" w:space="0" w:color="auto"/>
            </w:tcBorders>
            <w:vAlign w:val="center"/>
            <w:hideMark/>
          </w:tcPr>
          <w:p w14:paraId="75F69D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5084130000</w:t>
            </w:r>
          </w:p>
        </w:tc>
        <w:tc>
          <w:tcPr>
            <w:tcW w:w="1012" w:type="dxa"/>
            <w:tcBorders>
              <w:top w:val="nil"/>
              <w:left w:val="nil"/>
              <w:bottom w:val="single" w:sz="4" w:space="0" w:color="auto"/>
              <w:right w:val="single" w:sz="4" w:space="0" w:color="auto"/>
            </w:tcBorders>
            <w:vAlign w:val="center"/>
            <w:hideMark/>
          </w:tcPr>
          <w:p w14:paraId="10FB67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54108411</w:t>
            </w:r>
          </w:p>
        </w:tc>
        <w:tc>
          <w:tcPr>
            <w:tcW w:w="5953" w:type="dxa"/>
            <w:tcBorders>
              <w:top w:val="nil"/>
              <w:left w:val="nil"/>
              <w:bottom w:val="single" w:sz="4" w:space="0" w:color="auto"/>
              <w:right w:val="single" w:sz="4" w:space="0" w:color="auto"/>
            </w:tcBorders>
            <w:noWrap/>
            <w:vAlign w:val="center"/>
            <w:hideMark/>
          </w:tcPr>
          <w:p w14:paraId="17BBD6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GRADBENA, GEODETSKA, OKOLJEVARSTVENA ŠOLA IN STROKOVNA GIMNAZIJA LJUBLJANA</w:t>
            </w:r>
          </w:p>
        </w:tc>
      </w:tr>
      <w:tr w:rsidR="00F24E18" w14:paraId="07A898C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C067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1761</w:t>
            </w:r>
          </w:p>
        </w:tc>
        <w:tc>
          <w:tcPr>
            <w:tcW w:w="1300" w:type="dxa"/>
            <w:tcBorders>
              <w:top w:val="nil"/>
              <w:left w:val="nil"/>
              <w:bottom w:val="single" w:sz="4" w:space="0" w:color="auto"/>
              <w:right w:val="single" w:sz="4" w:space="0" w:color="auto"/>
            </w:tcBorders>
            <w:vAlign w:val="center"/>
            <w:hideMark/>
          </w:tcPr>
          <w:p w14:paraId="364962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5086671000</w:t>
            </w:r>
          </w:p>
        </w:tc>
        <w:tc>
          <w:tcPr>
            <w:tcW w:w="1012" w:type="dxa"/>
            <w:tcBorders>
              <w:top w:val="nil"/>
              <w:left w:val="nil"/>
              <w:bottom w:val="single" w:sz="4" w:space="0" w:color="auto"/>
              <w:right w:val="single" w:sz="4" w:space="0" w:color="auto"/>
            </w:tcBorders>
            <w:vAlign w:val="center"/>
            <w:hideMark/>
          </w:tcPr>
          <w:p w14:paraId="38417B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77459849</w:t>
            </w:r>
          </w:p>
        </w:tc>
        <w:tc>
          <w:tcPr>
            <w:tcW w:w="5953" w:type="dxa"/>
            <w:tcBorders>
              <w:top w:val="nil"/>
              <w:left w:val="nil"/>
              <w:bottom w:val="single" w:sz="4" w:space="0" w:color="auto"/>
              <w:right w:val="single" w:sz="4" w:space="0" w:color="auto"/>
            </w:tcBorders>
            <w:noWrap/>
            <w:vAlign w:val="center"/>
            <w:hideMark/>
          </w:tcPr>
          <w:p w14:paraId="432543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MEDIJSKA IN GRAFIČNA ŠOLA LJUBLJANA</w:t>
            </w:r>
          </w:p>
        </w:tc>
      </w:tr>
      <w:tr w:rsidR="00F24E18" w14:paraId="56AD93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F8CB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1762</w:t>
            </w:r>
          </w:p>
        </w:tc>
        <w:tc>
          <w:tcPr>
            <w:tcW w:w="1300" w:type="dxa"/>
            <w:tcBorders>
              <w:top w:val="nil"/>
              <w:left w:val="nil"/>
              <w:bottom w:val="single" w:sz="4" w:space="0" w:color="auto"/>
              <w:right w:val="single" w:sz="4" w:space="0" w:color="auto"/>
            </w:tcBorders>
            <w:vAlign w:val="center"/>
            <w:hideMark/>
          </w:tcPr>
          <w:p w14:paraId="089383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5085934000</w:t>
            </w:r>
          </w:p>
        </w:tc>
        <w:tc>
          <w:tcPr>
            <w:tcW w:w="1012" w:type="dxa"/>
            <w:tcBorders>
              <w:top w:val="nil"/>
              <w:left w:val="nil"/>
              <w:bottom w:val="single" w:sz="4" w:space="0" w:color="auto"/>
              <w:right w:val="single" w:sz="4" w:space="0" w:color="auto"/>
            </w:tcBorders>
            <w:vAlign w:val="center"/>
            <w:hideMark/>
          </w:tcPr>
          <w:p w14:paraId="1E1A39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72429968</w:t>
            </w:r>
          </w:p>
        </w:tc>
        <w:tc>
          <w:tcPr>
            <w:tcW w:w="5953" w:type="dxa"/>
            <w:tcBorders>
              <w:top w:val="nil"/>
              <w:left w:val="nil"/>
              <w:bottom w:val="single" w:sz="4" w:space="0" w:color="auto"/>
              <w:right w:val="single" w:sz="4" w:space="0" w:color="auto"/>
            </w:tcBorders>
            <w:noWrap/>
            <w:vAlign w:val="center"/>
            <w:hideMark/>
          </w:tcPr>
          <w:p w14:paraId="6F2417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ČRNOMELJ</w:t>
            </w:r>
          </w:p>
        </w:tc>
      </w:tr>
      <w:tr w:rsidR="00F24E18" w14:paraId="5BFBDE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FACA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1763</w:t>
            </w:r>
          </w:p>
        </w:tc>
        <w:tc>
          <w:tcPr>
            <w:tcW w:w="1300" w:type="dxa"/>
            <w:tcBorders>
              <w:top w:val="nil"/>
              <w:left w:val="nil"/>
              <w:bottom w:val="single" w:sz="4" w:space="0" w:color="auto"/>
              <w:right w:val="single" w:sz="4" w:space="0" w:color="auto"/>
            </w:tcBorders>
            <w:noWrap/>
            <w:vAlign w:val="center"/>
            <w:hideMark/>
          </w:tcPr>
          <w:p w14:paraId="3F346C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5084750000</w:t>
            </w:r>
          </w:p>
        </w:tc>
        <w:tc>
          <w:tcPr>
            <w:tcW w:w="1012" w:type="dxa"/>
            <w:tcBorders>
              <w:top w:val="nil"/>
              <w:left w:val="nil"/>
              <w:bottom w:val="single" w:sz="4" w:space="0" w:color="auto"/>
              <w:right w:val="single" w:sz="4" w:space="0" w:color="auto"/>
            </w:tcBorders>
            <w:noWrap/>
            <w:vAlign w:val="center"/>
            <w:hideMark/>
          </w:tcPr>
          <w:p w14:paraId="5927A7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28922026</w:t>
            </w:r>
          </w:p>
        </w:tc>
        <w:tc>
          <w:tcPr>
            <w:tcW w:w="5953" w:type="dxa"/>
            <w:tcBorders>
              <w:top w:val="nil"/>
              <w:left w:val="nil"/>
              <w:bottom w:val="single" w:sz="4" w:space="0" w:color="auto"/>
              <w:right w:val="single" w:sz="4" w:space="0" w:color="auto"/>
            </w:tcBorders>
            <w:noWrap/>
            <w:vAlign w:val="center"/>
            <w:hideMark/>
          </w:tcPr>
          <w:p w14:paraId="6156DA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DOMŽALE</w:t>
            </w:r>
          </w:p>
        </w:tc>
      </w:tr>
      <w:tr w:rsidR="00F24E18" w14:paraId="5C669A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80FC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1764</w:t>
            </w:r>
          </w:p>
        </w:tc>
        <w:tc>
          <w:tcPr>
            <w:tcW w:w="1300" w:type="dxa"/>
            <w:tcBorders>
              <w:top w:val="nil"/>
              <w:left w:val="nil"/>
              <w:bottom w:val="single" w:sz="4" w:space="0" w:color="auto"/>
              <w:right w:val="single" w:sz="4" w:space="0" w:color="auto"/>
            </w:tcBorders>
            <w:vAlign w:val="center"/>
            <w:hideMark/>
          </w:tcPr>
          <w:p w14:paraId="376CF5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6285996000</w:t>
            </w:r>
          </w:p>
        </w:tc>
        <w:tc>
          <w:tcPr>
            <w:tcW w:w="1012" w:type="dxa"/>
            <w:tcBorders>
              <w:top w:val="nil"/>
              <w:left w:val="nil"/>
              <w:bottom w:val="single" w:sz="4" w:space="0" w:color="auto"/>
              <w:right w:val="single" w:sz="4" w:space="0" w:color="auto"/>
            </w:tcBorders>
            <w:vAlign w:val="center"/>
            <w:hideMark/>
          </w:tcPr>
          <w:p w14:paraId="6A072F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83800280</w:t>
            </w:r>
          </w:p>
        </w:tc>
        <w:tc>
          <w:tcPr>
            <w:tcW w:w="5953" w:type="dxa"/>
            <w:tcBorders>
              <w:top w:val="nil"/>
              <w:left w:val="nil"/>
              <w:bottom w:val="single" w:sz="4" w:space="0" w:color="auto"/>
              <w:right w:val="single" w:sz="4" w:space="0" w:color="auto"/>
            </w:tcBorders>
            <w:noWrap/>
            <w:vAlign w:val="center"/>
            <w:hideMark/>
          </w:tcPr>
          <w:p w14:paraId="30B2F4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IZOLA - SCUOLA MEDIA ISOLA</w:t>
            </w:r>
          </w:p>
        </w:tc>
      </w:tr>
      <w:tr w:rsidR="00F24E18" w14:paraId="3F88C5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3BE0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1765</w:t>
            </w:r>
          </w:p>
        </w:tc>
        <w:tc>
          <w:tcPr>
            <w:tcW w:w="1300" w:type="dxa"/>
            <w:tcBorders>
              <w:top w:val="nil"/>
              <w:left w:val="nil"/>
              <w:bottom w:val="single" w:sz="4" w:space="0" w:color="auto"/>
              <w:right w:val="single" w:sz="4" w:space="0" w:color="auto"/>
            </w:tcBorders>
            <w:noWrap/>
            <w:vAlign w:val="center"/>
            <w:hideMark/>
          </w:tcPr>
          <w:p w14:paraId="7F1075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5854105000</w:t>
            </w:r>
          </w:p>
        </w:tc>
        <w:tc>
          <w:tcPr>
            <w:tcW w:w="1012" w:type="dxa"/>
            <w:tcBorders>
              <w:top w:val="nil"/>
              <w:left w:val="nil"/>
              <w:bottom w:val="single" w:sz="4" w:space="0" w:color="auto"/>
              <w:right w:val="single" w:sz="4" w:space="0" w:color="auto"/>
            </w:tcBorders>
            <w:noWrap/>
            <w:vAlign w:val="center"/>
            <w:hideMark/>
          </w:tcPr>
          <w:p w14:paraId="358109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62275348</w:t>
            </w:r>
          </w:p>
        </w:tc>
        <w:tc>
          <w:tcPr>
            <w:tcW w:w="5953" w:type="dxa"/>
            <w:tcBorders>
              <w:top w:val="nil"/>
              <w:left w:val="nil"/>
              <w:bottom w:val="single" w:sz="4" w:space="0" w:color="auto"/>
              <w:right w:val="single" w:sz="4" w:space="0" w:color="auto"/>
            </w:tcBorders>
            <w:noWrap/>
            <w:vAlign w:val="center"/>
            <w:hideMark/>
          </w:tcPr>
          <w:p w14:paraId="3263F3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JESENICE</w:t>
            </w:r>
          </w:p>
        </w:tc>
      </w:tr>
      <w:tr w:rsidR="00F24E18" w14:paraId="1F77692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FBCE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1766</w:t>
            </w:r>
          </w:p>
        </w:tc>
        <w:tc>
          <w:tcPr>
            <w:tcW w:w="1300" w:type="dxa"/>
            <w:tcBorders>
              <w:top w:val="nil"/>
              <w:left w:val="nil"/>
              <w:bottom w:val="single" w:sz="4" w:space="0" w:color="auto"/>
              <w:right w:val="single" w:sz="4" w:space="0" w:color="auto"/>
            </w:tcBorders>
            <w:noWrap/>
            <w:vAlign w:val="center"/>
            <w:hideMark/>
          </w:tcPr>
          <w:p w14:paraId="632066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5623685000</w:t>
            </w:r>
          </w:p>
        </w:tc>
        <w:tc>
          <w:tcPr>
            <w:tcW w:w="1012" w:type="dxa"/>
            <w:tcBorders>
              <w:top w:val="nil"/>
              <w:left w:val="nil"/>
              <w:bottom w:val="single" w:sz="4" w:space="0" w:color="auto"/>
              <w:right w:val="single" w:sz="4" w:space="0" w:color="auto"/>
            </w:tcBorders>
            <w:vAlign w:val="center"/>
            <w:hideMark/>
          </w:tcPr>
          <w:p w14:paraId="6D09A0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11898852</w:t>
            </w:r>
          </w:p>
        </w:tc>
        <w:tc>
          <w:tcPr>
            <w:tcW w:w="5953" w:type="dxa"/>
            <w:tcBorders>
              <w:top w:val="nil"/>
              <w:left w:val="nil"/>
              <w:bottom w:val="single" w:sz="4" w:space="0" w:color="auto"/>
              <w:right w:val="single" w:sz="4" w:space="0" w:color="auto"/>
            </w:tcBorders>
            <w:noWrap/>
            <w:vAlign w:val="center"/>
            <w:hideMark/>
          </w:tcPr>
          <w:p w14:paraId="2553EB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JOSIPA JURČIČA IVANČNA GORICA</w:t>
            </w:r>
          </w:p>
        </w:tc>
      </w:tr>
      <w:tr w:rsidR="00F24E18" w14:paraId="458B43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09D8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1767</w:t>
            </w:r>
          </w:p>
        </w:tc>
        <w:tc>
          <w:tcPr>
            <w:tcW w:w="1300" w:type="dxa"/>
            <w:tcBorders>
              <w:top w:val="nil"/>
              <w:left w:val="nil"/>
              <w:bottom w:val="single" w:sz="4" w:space="0" w:color="auto"/>
              <w:right w:val="single" w:sz="4" w:space="0" w:color="auto"/>
            </w:tcBorders>
            <w:noWrap/>
            <w:vAlign w:val="center"/>
            <w:hideMark/>
          </w:tcPr>
          <w:p w14:paraId="6BB557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5083893000</w:t>
            </w:r>
          </w:p>
        </w:tc>
        <w:tc>
          <w:tcPr>
            <w:tcW w:w="1012" w:type="dxa"/>
            <w:tcBorders>
              <w:top w:val="nil"/>
              <w:left w:val="nil"/>
              <w:bottom w:val="single" w:sz="4" w:space="0" w:color="auto"/>
              <w:right w:val="single" w:sz="4" w:space="0" w:color="auto"/>
            </w:tcBorders>
            <w:noWrap/>
            <w:vAlign w:val="center"/>
            <w:hideMark/>
          </w:tcPr>
          <w:p w14:paraId="26E90B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47081961</w:t>
            </w:r>
          </w:p>
        </w:tc>
        <w:tc>
          <w:tcPr>
            <w:tcW w:w="5953" w:type="dxa"/>
            <w:tcBorders>
              <w:top w:val="nil"/>
              <w:left w:val="nil"/>
              <w:bottom w:val="single" w:sz="4" w:space="0" w:color="auto"/>
              <w:right w:val="single" w:sz="4" w:space="0" w:color="auto"/>
            </w:tcBorders>
            <w:noWrap/>
            <w:vAlign w:val="center"/>
            <w:hideMark/>
          </w:tcPr>
          <w:p w14:paraId="5576B1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PIETRO COPPO IZOLA SCUOLA MEDIA PIETRO COPPO ISOLA</w:t>
            </w:r>
          </w:p>
        </w:tc>
      </w:tr>
      <w:tr w:rsidR="00F24E18" w14:paraId="4C0C7B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B765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1768</w:t>
            </w:r>
          </w:p>
        </w:tc>
        <w:tc>
          <w:tcPr>
            <w:tcW w:w="1300" w:type="dxa"/>
            <w:tcBorders>
              <w:top w:val="nil"/>
              <w:left w:val="nil"/>
              <w:bottom w:val="single" w:sz="4" w:space="0" w:color="auto"/>
              <w:right w:val="single" w:sz="4" w:space="0" w:color="auto"/>
            </w:tcBorders>
            <w:vAlign w:val="center"/>
            <w:hideMark/>
          </w:tcPr>
          <w:p w14:paraId="38BBE9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1429221000</w:t>
            </w:r>
          </w:p>
        </w:tc>
        <w:tc>
          <w:tcPr>
            <w:tcW w:w="1012" w:type="dxa"/>
            <w:tcBorders>
              <w:top w:val="nil"/>
              <w:left w:val="nil"/>
              <w:bottom w:val="single" w:sz="4" w:space="0" w:color="auto"/>
              <w:right w:val="single" w:sz="4" w:space="0" w:color="auto"/>
            </w:tcBorders>
            <w:vAlign w:val="center"/>
            <w:hideMark/>
          </w:tcPr>
          <w:p w14:paraId="1C0390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10927140</w:t>
            </w:r>
          </w:p>
        </w:tc>
        <w:tc>
          <w:tcPr>
            <w:tcW w:w="5953" w:type="dxa"/>
            <w:tcBorders>
              <w:top w:val="nil"/>
              <w:left w:val="nil"/>
              <w:bottom w:val="single" w:sz="4" w:space="0" w:color="auto"/>
              <w:right w:val="single" w:sz="4" w:space="0" w:color="auto"/>
            </w:tcBorders>
            <w:noWrap/>
            <w:vAlign w:val="center"/>
            <w:hideMark/>
          </w:tcPr>
          <w:p w14:paraId="4FC823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SLOVENSKA BISTRICA</w:t>
            </w:r>
          </w:p>
        </w:tc>
      </w:tr>
      <w:tr w:rsidR="00F24E18" w14:paraId="5CD6FCF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F597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1769</w:t>
            </w:r>
          </w:p>
        </w:tc>
        <w:tc>
          <w:tcPr>
            <w:tcW w:w="1300" w:type="dxa"/>
            <w:tcBorders>
              <w:top w:val="nil"/>
              <w:left w:val="nil"/>
              <w:bottom w:val="single" w:sz="4" w:space="0" w:color="auto"/>
              <w:right w:val="single" w:sz="4" w:space="0" w:color="auto"/>
            </w:tcBorders>
            <w:vAlign w:val="center"/>
            <w:hideMark/>
          </w:tcPr>
          <w:p w14:paraId="09CB70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5631564000</w:t>
            </w:r>
          </w:p>
        </w:tc>
        <w:tc>
          <w:tcPr>
            <w:tcW w:w="1012" w:type="dxa"/>
            <w:tcBorders>
              <w:top w:val="nil"/>
              <w:left w:val="nil"/>
              <w:bottom w:val="single" w:sz="4" w:space="0" w:color="auto"/>
              <w:right w:val="single" w:sz="4" w:space="0" w:color="auto"/>
            </w:tcBorders>
            <w:vAlign w:val="center"/>
            <w:hideMark/>
          </w:tcPr>
          <w:p w14:paraId="5CA3D6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57726612</w:t>
            </w:r>
          </w:p>
        </w:tc>
        <w:tc>
          <w:tcPr>
            <w:tcW w:w="5953" w:type="dxa"/>
            <w:tcBorders>
              <w:top w:val="nil"/>
              <w:left w:val="nil"/>
              <w:bottom w:val="single" w:sz="4" w:space="0" w:color="auto"/>
              <w:right w:val="single" w:sz="4" w:space="0" w:color="auto"/>
            </w:tcBorders>
            <w:noWrap/>
            <w:vAlign w:val="center"/>
            <w:hideMark/>
          </w:tcPr>
          <w:p w14:paraId="145A07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TEHNIŠKIH STROK ŠIŠKA</w:t>
            </w:r>
          </w:p>
        </w:tc>
      </w:tr>
      <w:tr w:rsidR="00F24E18" w14:paraId="3C9730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B3BA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1770</w:t>
            </w:r>
          </w:p>
        </w:tc>
        <w:tc>
          <w:tcPr>
            <w:tcW w:w="1300" w:type="dxa"/>
            <w:tcBorders>
              <w:top w:val="nil"/>
              <w:left w:val="nil"/>
              <w:bottom w:val="single" w:sz="4" w:space="0" w:color="auto"/>
              <w:right w:val="single" w:sz="4" w:space="0" w:color="auto"/>
            </w:tcBorders>
            <w:vAlign w:val="center"/>
            <w:hideMark/>
          </w:tcPr>
          <w:p w14:paraId="1011CB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5084997000</w:t>
            </w:r>
          </w:p>
        </w:tc>
        <w:tc>
          <w:tcPr>
            <w:tcW w:w="1012" w:type="dxa"/>
            <w:tcBorders>
              <w:top w:val="nil"/>
              <w:left w:val="nil"/>
              <w:bottom w:val="single" w:sz="4" w:space="0" w:color="auto"/>
              <w:right w:val="single" w:sz="4" w:space="0" w:color="auto"/>
            </w:tcBorders>
            <w:vAlign w:val="center"/>
            <w:hideMark/>
          </w:tcPr>
          <w:p w14:paraId="15B99B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13997360</w:t>
            </w:r>
          </w:p>
        </w:tc>
        <w:tc>
          <w:tcPr>
            <w:tcW w:w="5953" w:type="dxa"/>
            <w:tcBorders>
              <w:top w:val="nil"/>
              <w:left w:val="nil"/>
              <w:bottom w:val="single" w:sz="4" w:space="0" w:color="auto"/>
              <w:right w:val="single" w:sz="4" w:space="0" w:color="auto"/>
            </w:tcBorders>
            <w:noWrap/>
            <w:vAlign w:val="center"/>
            <w:hideMark/>
          </w:tcPr>
          <w:p w14:paraId="0CA1F7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VENO PILON AJDOVŠČINA</w:t>
            </w:r>
          </w:p>
        </w:tc>
      </w:tr>
      <w:tr w:rsidR="00F24E18" w14:paraId="61E364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3B37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1771</w:t>
            </w:r>
          </w:p>
        </w:tc>
        <w:tc>
          <w:tcPr>
            <w:tcW w:w="1300" w:type="dxa"/>
            <w:tcBorders>
              <w:top w:val="nil"/>
              <w:left w:val="nil"/>
              <w:bottom w:val="single" w:sz="4" w:space="0" w:color="auto"/>
              <w:right w:val="single" w:sz="4" w:space="0" w:color="auto"/>
            </w:tcBorders>
            <w:vAlign w:val="center"/>
            <w:hideMark/>
          </w:tcPr>
          <w:p w14:paraId="6DD69E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5084911000</w:t>
            </w:r>
          </w:p>
        </w:tc>
        <w:tc>
          <w:tcPr>
            <w:tcW w:w="1012" w:type="dxa"/>
            <w:tcBorders>
              <w:top w:val="nil"/>
              <w:left w:val="nil"/>
              <w:bottom w:val="single" w:sz="4" w:space="0" w:color="auto"/>
              <w:right w:val="single" w:sz="4" w:space="0" w:color="auto"/>
            </w:tcBorders>
            <w:vAlign w:val="center"/>
            <w:hideMark/>
          </w:tcPr>
          <w:p w14:paraId="5D9C1D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45091501</w:t>
            </w:r>
          </w:p>
        </w:tc>
        <w:tc>
          <w:tcPr>
            <w:tcW w:w="5953" w:type="dxa"/>
            <w:tcBorders>
              <w:top w:val="nil"/>
              <w:left w:val="nil"/>
              <w:bottom w:val="single" w:sz="4" w:space="0" w:color="auto"/>
              <w:right w:val="single" w:sz="4" w:space="0" w:color="auto"/>
            </w:tcBorders>
            <w:noWrap/>
            <w:vAlign w:val="center"/>
            <w:hideMark/>
          </w:tcPr>
          <w:p w14:paraId="491266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ZA FARMACIJO, KOZMETIKO IN ZDRAVSTVO</w:t>
            </w:r>
          </w:p>
        </w:tc>
      </w:tr>
      <w:tr w:rsidR="00F24E18" w14:paraId="20FF558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8C10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1772</w:t>
            </w:r>
          </w:p>
        </w:tc>
        <w:tc>
          <w:tcPr>
            <w:tcW w:w="1300" w:type="dxa"/>
            <w:tcBorders>
              <w:top w:val="nil"/>
              <w:left w:val="nil"/>
              <w:bottom w:val="single" w:sz="4" w:space="0" w:color="auto"/>
              <w:right w:val="single" w:sz="4" w:space="0" w:color="auto"/>
            </w:tcBorders>
            <w:vAlign w:val="center"/>
            <w:hideMark/>
          </w:tcPr>
          <w:p w14:paraId="775D1F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5085900000</w:t>
            </w:r>
          </w:p>
        </w:tc>
        <w:tc>
          <w:tcPr>
            <w:tcW w:w="1012" w:type="dxa"/>
            <w:tcBorders>
              <w:top w:val="nil"/>
              <w:left w:val="nil"/>
              <w:bottom w:val="single" w:sz="4" w:space="0" w:color="auto"/>
              <w:right w:val="single" w:sz="4" w:space="0" w:color="auto"/>
            </w:tcBorders>
            <w:vAlign w:val="center"/>
            <w:hideMark/>
          </w:tcPr>
          <w:p w14:paraId="4A8959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16722841</w:t>
            </w:r>
          </w:p>
        </w:tc>
        <w:tc>
          <w:tcPr>
            <w:tcW w:w="5953" w:type="dxa"/>
            <w:tcBorders>
              <w:top w:val="nil"/>
              <w:left w:val="nil"/>
              <w:bottom w:val="single" w:sz="4" w:space="0" w:color="auto"/>
              <w:right w:val="single" w:sz="4" w:space="0" w:color="auto"/>
            </w:tcBorders>
            <w:noWrap/>
            <w:vAlign w:val="center"/>
            <w:hideMark/>
          </w:tcPr>
          <w:p w14:paraId="124CA2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ZA GOSTINSTVO IN TURIZEM CELJE</w:t>
            </w:r>
          </w:p>
        </w:tc>
      </w:tr>
      <w:tr w:rsidR="00F24E18" w14:paraId="44596F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8135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1773</w:t>
            </w:r>
          </w:p>
        </w:tc>
        <w:tc>
          <w:tcPr>
            <w:tcW w:w="1300" w:type="dxa"/>
            <w:tcBorders>
              <w:top w:val="nil"/>
              <w:left w:val="nil"/>
              <w:bottom w:val="single" w:sz="4" w:space="0" w:color="auto"/>
              <w:right w:val="single" w:sz="4" w:space="0" w:color="auto"/>
            </w:tcBorders>
            <w:noWrap/>
            <w:vAlign w:val="center"/>
            <w:hideMark/>
          </w:tcPr>
          <w:p w14:paraId="3DFC82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5086752000</w:t>
            </w:r>
          </w:p>
        </w:tc>
        <w:tc>
          <w:tcPr>
            <w:tcW w:w="1012" w:type="dxa"/>
            <w:tcBorders>
              <w:top w:val="nil"/>
              <w:left w:val="nil"/>
              <w:bottom w:val="single" w:sz="4" w:space="0" w:color="auto"/>
              <w:right w:val="single" w:sz="4" w:space="0" w:color="auto"/>
            </w:tcBorders>
            <w:noWrap/>
            <w:vAlign w:val="center"/>
            <w:hideMark/>
          </w:tcPr>
          <w:p w14:paraId="1B20B3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79487491</w:t>
            </w:r>
          </w:p>
        </w:tc>
        <w:tc>
          <w:tcPr>
            <w:tcW w:w="5953" w:type="dxa"/>
            <w:tcBorders>
              <w:top w:val="nil"/>
              <w:left w:val="nil"/>
              <w:bottom w:val="single" w:sz="4" w:space="0" w:color="auto"/>
              <w:right w:val="single" w:sz="4" w:space="0" w:color="auto"/>
            </w:tcBorders>
            <w:noWrap/>
            <w:vAlign w:val="center"/>
            <w:hideMark/>
          </w:tcPr>
          <w:p w14:paraId="50A426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ZA GOSTINSTVO IN TURIZEM MARIBOR</w:t>
            </w:r>
          </w:p>
        </w:tc>
      </w:tr>
      <w:tr w:rsidR="00F24E18" w14:paraId="7086B20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10C1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1774</w:t>
            </w:r>
          </w:p>
        </w:tc>
        <w:tc>
          <w:tcPr>
            <w:tcW w:w="1300" w:type="dxa"/>
            <w:tcBorders>
              <w:top w:val="nil"/>
              <w:left w:val="nil"/>
              <w:bottom w:val="single" w:sz="4" w:space="0" w:color="auto"/>
              <w:right w:val="single" w:sz="4" w:space="0" w:color="auto"/>
            </w:tcBorders>
            <w:noWrap/>
            <w:vAlign w:val="center"/>
            <w:hideMark/>
          </w:tcPr>
          <w:p w14:paraId="3BD5AF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5084784000</w:t>
            </w:r>
          </w:p>
        </w:tc>
        <w:tc>
          <w:tcPr>
            <w:tcW w:w="1012" w:type="dxa"/>
            <w:tcBorders>
              <w:top w:val="nil"/>
              <w:left w:val="nil"/>
              <w:bottom w:val="single" w:sz="4" w:space="0" w:color="auto"/>
              <w:right w:val="single" w:sz="4" w:space="0" w:color="auto"/>
            </w:tcBorders>
            <w:noWrap/>
            <w:vAlign w:val="center"/>
            <w:hideMark/>
          </w:tcPr>
          <w:p w14:paraId="0FAFF3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90515781</w:t>
            </w:r>
          </w:p>
        </w:tc>
        <w:tc>
          <w:tcPr>
            <w:tcW w:w="5953" w:type="dxa"/>
            <w:tcBorders>
              <w:top w:val="nil"/>
              <w:left w:val="nil"/>
              <w:bottom w:val="single" w:sz="4" w:space="0" w:color="auto"/>
              <w:right w:val="single" w:sz="4" w:space="0" w:color="auto"/>
            </w:tcBorders>
            <w:noWrap/>
            <w:vAlign w:val="center"/>
            <w:hideMark/>
          </w:tcPr>
          <w:p w14:paraId="6C14AE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ZA GOSTINSTVO IN TURIZEM RADENCI</w:t>
            </w:r>
          </w:p>
        </w:tc>
      </w:tr>
      <w:tr w:rsidR="00F24E18" w14:paraId="5DD8E9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6895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1775</w:t>
            </w:r>
          </w:p>
        </w:tc>
        <w:tc>
          <w:tcPr>
            <w:tcW w:w="1300" w:type="dxa"/>
            <w:tcBorders>
              <w:top w:val="nil"/>
              <w:left w:val="nil"/>
              <w:bottom w:val="single" w:sz="4" w:space="0" w:color="auto"/>
              <w:right w:val="single" w:sz="4" w:space="0" w:color="auto"/>
            </w:tcBorders>
            <w:vAlign w:val="center"/>
            <w:hideMark/>
          </w:tcPr>
          <w:p w14:paraId="1946C8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5086108000</w:t>
            </w:r>
          </w:p>
        </w:tc>
        <w:tc>
          <w:tcPr>
            <w:tcW w:w="1012" w:type="dxa"/>
            <w:tcBorders>
              <w:top w:val="nil"/>
              <w:left w:val="nil"/>
              <w:bottom w:val="single" w:sz="4" w:space="0" w:color="auto"/>
              <w:right w:val="single" w:sz="4" w:space="0" w:color="auto"/>
            </w:tcBorders>
            <w:vAlign w:val="center"/>
            <w:hideMark/>
          </w:tcPr>
          <w:p w14:paraId="4B74EB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64067076</w:t>
            </w:r>
          </w:p>
        </w:tc>
        <w:tc>
          <w:tcPr>
            <w:tcW w:w="5953" w:type="dxa"/>
            <w:tcBorders>
              <w:top w:val="nil"/>
              <w:left w:val="nil"/>
              <w:bottom w:val="single" w:sz="4" w:space="0" w:color="auto"/>
              <w:right w:val="single" w:sz="4" w:space="0" w:color="auto"/>
            </w:tcBorders>
            <w:noWrap/>
            <w:vAlign w:val="center"/>
            <w:hideMark/>
          </w:tcPr>
          <w:p w14:paraId="5F8A75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ZA OBLIKOVANJE IN FOTOGRAFIJO LJUBLJANA</w:t>
            </w:r>
          </w:p>
        </w:tc>
      </w:tr>
      <w:tr w:rsidR="00F24E18" w14:paraId="51DB19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7D90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1776</w:t>
            </w:r>
          </w:p>
        </w:tc>
        <w:tc>
          <w:tcPr>
            <w:tcW w:w="1300" w:type="dxa"/>
            <w:tcBorders>
              <w:top w:val="nil"/>
              <w:left w:val="nil"/>
              <w:bottom w:val="single" w:sz="4" w:space="0" w:color="auto"/>
              <w:right w:val="single" w:sz="4" w:space="0" w:color="auto"/>
            </w:tcBorders>
            <w:noWrap/>
            <w:vAlign w:val="center"/>
            <w:hideMark/>
          </w:tcPr>
          <w:p w14:paraId="1D1FE7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5086736000</w:t>
            </w:r>
          </w:p>
        </w:tc>
        <w:tc>
          <w:tcPr>
            <w:tcW w:w="1012" w:type="dxa"/>
            <w:tcBorders>
              <w:top w:val="nil"/>
              <w:left w:val="nil"/>
              <w:bottom w:val="single" w:sz="4" w:space="0" w:color="auto"/>
              <w:right w:val="single" w:sz="4" w:space="0" w:color="auto"/>
            </w:tcBorders>
            <w:noWrap/>
            <w:vAlign w:val="center"/>
            <w:hideMark/>
          </w:tcPr>
          <w:p w14:paraId="6BF5E8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72453117</w:t>
            </w:r>
          </w:p>
        </w:tc>
        <w:tc>
          <w:tcPr>
            <w:tcW w:w="5953" w:type="dxa"/>
            <w:tcBorders>
              <w:top w:val="nil"/>
              <w:left w:val="nil"/>
              <w:bottom w:val="single" w:sz="4" w:space="0" w:color="auto"/>
              <w:right w:val="single" w:sz="4" w:space="0" w:color="auto"/>
            </w:tcBorders>
            <w:noWrap/>
            <w:vAlign w:val="center"/>
            <w:hideMark/>
          </w:tcPr>
          <w:p w14:paraId="53F750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ZA OBLIKOVANJE MARIBOR</w:t>
            </w:r>
          </w:p>
        </w:tc>
      </w:tr>
      <w:tr w:rsidR="00F24E18" w14:paraId="4B436F1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7023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1777</w:t>
            </w:r>
          </w:p>
        </w:tc>
        <w:tc>
          <w:tcPr>
            <w:tcW w:w="1300" w:type="dxa"/>
            <w:tcBorders>
              <w:top w:val="nil"/>
              <w:left w:val="nil"/>
              <w:bottom w:val="single" w:sz="4" w:space="0" w:color="auto"/>
              <w:right w:val="single" w:sz="4" w:space="0" w:color="auto"/>
            </w:tcBorders>
            <w:vAlign w:val="center"/>
            <w:hideMark/>
          </w:tcPr>
          <w:p w14:paraId="321345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5086744000</w:t>
            </w:r>
          </w:p>
        </w:tc>
        <w:tc>
          <w:tcPr>
            <w:tcW w:w="1012" w:type="dxa"/>
            <w:tcBorders>
              <w:top w:val="nil"/>
              <w:left w:val="nil"/>
              <w:bottom w:val="single" w:sz="4" w:space="0" w:color="auto"/>
              <w:right w:val="single" w:sz="4" w:space="0" w:color="auto"/>
            </w:tcBorders>
            <w:vAlign w:val="center"/>
            <w:hideMark/>
          </w:tcPr>
          <w:p w14:paraId="2866EE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17683785</w:t>
            </w:r>
          </w:p>
        </w:tc>
        <w:tc>
          <w:tcPr>
            <w:tcW w:w="5953" w:type="dxa"/>
            <w:tcBorders>
              <w:top w:val="nil"/>
              <w:left w:val="nil"/>
              <w:bottom w:val="single" w:sz="4" w:space="0" w:color="auto"/>
              <w:right w:val="single" w:sz="4" w:space="0" w:color="auto"/>
            </w:tcBorders>
            <w:noWrap/>
            <w:vAlign w:val="center"/>
            <w:hideMark/>
          </w:tcPr>
          <w:p w14:paraId="0FE7D0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ZA TRŽENJE IN DIZAJN MARIBOR</w:t>
            </w:r>
          </w:p>
        </w:tc>
      </w:tr>
      <w:tr w:rsidR="00F24E18" w14:paraId="0FB6D83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08CA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1778</w:t>
            </w:r>
          </w:p>
        </w:tc>
        <w:tc>
          <w:tcPr>
            <w:tcW w:w="1300" w:type="dxa"/>
            <w:tcBorders>
              <w:top w:val="nil"/>
              <w:left w:val="nil"/>
              <w:bottom w:val="single" w:sz="4" w:space="0" w:color="auto"/>
              <w:right w:val="single" w:sz="4" w:space="0" w:color="auto"/>
            </w:tcBorders>
            <w:vAlign w:val="center"/>
            <w:hideMark/>
          </w:tcPr>
          <w:p w14:paraId="6D4982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5263603000</w:t>
            </w:r>
          </w:p>
        </w:tc>
        <w:tc>
          <w:tcPr>
            <w:tcW w:w="1012" w:type="dxa"/>
            <w:tcBorders>
              <w:top w:val="nil"/>
              <w:left w:val="nil"/>
              <w:bottom w:val="single" w:sz="4" w:space="0" w:color="auto"/>
              <w:right w:val="single" w:sz="4" w:space="0" w:color="auto"/>
            </w:tcBorders>
            <w:vAlign w:val="center"/>
            <w:hideMark/>
          </w:tcPr>
          <w:p w14:paraId="3811BB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62434934</w:t>
            </w:r>
          </w:p>
        </w:tc>
        <w:tc>
          <w:tcPr>
            <w:tcW w:w="5953" w:type="dxa"/>
            <w:tcBorders>
              <w:top w:val="nil"/>
              <w:left w:val="nil"/>
              <w:bottom w:val="single" w:sz="4" w:space="0" w:color="auto"/>
              <w:right w:val="single" w:sz="4" w:space="0" w:color="auto"/>
            </w:tcBorders>
            <w:noWrap/>
            <w:vAlign w:val="center"/>
            <w:hideMark/>
          </w:tcPr>
          <w:p w14:paraId="1B5E67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ŠOLA ZAGORJE</w:t>
            </w:r>
          </w:p>
        </w:tc>
      </w:tr>
      <w:tr w:rsidR="00F24E18" w14:paraId="2BCC73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91DA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1779</w:t>
            </w:r>
          </w:p>
        </w:tc>
        <w:tc>
          <w:tcPr>
            <w:tcW w:w="1300" w:type="dxa"/>
            <w:tcBorders>
              <w:top w:val="nil"/>
              <w:left w:val="nil"/>
              <w:bottom w:val="single" w:sz="4" w:space="0" w:color="auto"/>
              <w:right w:val="single" w:sz="4" w:space="0" w:color="auto"/>
            </w:tcBorders>
            <w:noWrap/>
            <w:vAlign w:val="center"/>
            <w:hideMark/>
          </w:tcPr>
          <w:p w14:paraId="1A707C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5243297000</w:t>
            </w:r>
          </w:p>
        </w:tc>
        <w:tc>
          <w:tcPr>
            <w:tcW w:w="1012" w:type="dxa"/>
            <w:tcBorders>
              <w:top w:val="nil"/>
              <w:left w:val="nil"/>
              <w:bottom w:val="single" w:sz="4" w:space="0" w:color="auto"/>
              <w:right w:val="single" w:sz="4" w:space="0" w:color="auto"/>
            </w:tcBorders>
            <w:noWrap/>
            <w:vAlign w:val="center"/>
            <w:hideMark/>
          </w:tcPr>
          <w:p w14:paraId="6861AA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15203298</w:t>
            </w:r>
          </w:p>
        </w:tc>
        <w:tc>
          <w:tcPr>
            <w:tcW w:w="5953" w:type="dxa"/>
            <w:tcBorders>
              <w:top w:val="nil"/>
              <w:left w:val="nil"/>
              <w:bottom w:val="single" w:sz="4" w:space="0" w:color="auto"/>
              <w:right w:val="single" w:sz="4" w:space="0" w:color="auto"/>
            </w:tcBorders>
            <w:noWrap/>
            <w:vAlign w:val="center"/>
            <w:hideMark/>
          </w:tcPr>
          <w:p w14:paraId="05C684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TEHNIŠKA IN POKLICNA ŠOLA TRBOVLJE</w:t>
            </w:r>
          </w:p>
        </w:tc>
      </w:tr>
      <w:tr w:rsidR="00F24E18" w14:paraId="0F8C2E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881B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1780</w:t>
            </w:r>
          </w:p>
        </w:tc>
        <w:tc>
          <w:tcPr>
            <w:tcW w:w="1300" w:type="dxa"/>
            <w:tcBorders>
              <w:top w:val="nil"/>
              <w:left w:val="nil"/>
              <w:bottom w:val="single" w:sz="4" w:space="0" w:color="auto"/>
              <w:right w:val="single" w:sz="4" w:space="0" w:color="auto"/>
            </w:tcBorders>
            <w:noWrap/>
            <w:vAlign w:val="center"/>
            <w:hideMark/>
          </w:tcPr>
          <w:p w14:paraId="4990CD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5083176000</w:t>
            </w:r>
          </w:p>
        </w:tc>
        <w:tc>
          <w:tcPr>
            <w:tcW w:w="1012" w:type="dxa"/>
            <w:tcBorders>
              <w:top w:val="nil"/>
              <w:left w:val="nil"/>
              <w:bottom w:val="single" w:sz="4" w:space="0" w:color="auto"/>
              <w:right w:val="single" w:sz="4" w:space="0" w:color="auto"/>
            </w:tcBorders>
            <w:noWrap/>
            <w:vAlign w:val="center"/>
            <w:hideMark/>
          </w:tcPr>
          <w:p w14:paraId="532035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67914063</w:t>
            </w:r>
          </w:p>
        </w:tc>
        <w:tc>
          <w:tcPr>
            <w:tcW w:w="5953" w:type="dxa"/>
            <w:tcBorders>
              <w:top w:val="nil"/>
              <w:left w:val="nil"/>
              <w:bottom w:val="single" w:sz="4" w:space="0" w:color="auto"/>
              <w:right w:val="single" w:sz="4" w:space="0" w:color="auto"/>
            </w:tcBorders>
            <w:noWrap/>
            <w:vAlign w:val="center"/>
            <w:hideMark/>
          </w:tcPr>
          <w:p w14:paraId="15A5AA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TEHNIŠKA ŠOLA KOPER - SCUOLA MEDIA TECNICA DI CAPODISTRIA</w:t>
            </w:r>
          </w:p>
        </w:tc>
      </w:tr>
      <w:tr w:rsidR="00F24E18" w14:paraId="1FCC6D7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EB36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1781</w:t>
            </w:r>
          </w:p>
        </w:tc>
        <w:tc>
          <w:tcPr>
            <w:tcW w:w="1300" w:type="dxa"/>
            <w:tcBorders>
              <w:top w:val="nil"/>
              <w:left w:val="nil"/>
              <w:bottom w:val="single" w:sz="4" w:space="0" w:color="auto"/>
              <w:right w:val="single" w:sz="4" w:space="0" w:color="auto"/>
            </w:tcBorders>
            <w:vAlign w:val="center"/>
            <w:hideMark/>
          </w:tcPr>
          <w:p w14:paraId="4D8650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5086647000</w:t>
            </w:r>
          </w:p>
        </w:tc>
        <w:tc>
          <w:tcPr>
            <w:tcW w:w="1012" w:type="dxa"/>
            <w:tcBorders>
              <w:top w:val="nil"/>
              <w:left w:val="nil"/>
              <w:bottom w:val="single" w:sz="4" w:space="0" w:color="auto"/>
              <w:right w:val="single" w:sz="4" w:space="0" w:color="auto"/>
            </w:tcBorders>
            <w:vAlign w:val="center"/>
            <w:hideMark/>
          </w:tcPr>
          <w:p w14:paraId="34BA7B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95740791</w:t>
            </w:r>
          </w:p>
        </w:tc>
        <w:tc>
          <w:tcPr>
            <w:tcW w:w="5953" w:type="dxa"/>
            <w:tcBorders>
              <w:top w:val="nil"/>
              <w:left w:val="nil"/>
              <w:bottom w:val="single" w:sz="4" w:space="0" w:color="auto"/>
              <w:right w:val="single" w:sz="4" w:space="0" w:color="auto"/>
            </w:tcBorders>
            <w:noWrap/>
            <w:vAlign w:val="center"/>
            <w:hideMark/>
          </w:tcPr>
          <w:p w14:paraId="712E7F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TRGOVSKA IN ARANŽERSKA ŠOLA LJUBLJANA</w:t>
            </w:r>
          </w:p>
        </w:tc>
      </w:tr>
      <w:tr w:rsidR="00F24E18" w14:paraId="44C66B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9119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1782</w:t>
            </w:r>
          </w:p>
        </w:tc>
        <w:tc>
          <w:tcPr>
            <w:tcW w:w="1300" w:type="dxa"/>
            <w:tcBorders>
              <w:top w:val="nil"/>
              <w:left w:val="nil"/>
              <w:bottom w:val="single" w:sz="4" w:space="0" w:color="auto"/>
              <w:right w:val="single" w:sz="4" w:space="0" w:color="auto"/>
            </w:tcBorders>
            <w:noWrap/>
            <w:vAlign w:val="center"/>
            <w:hideMark/>
          </w:tcPr>
          <w:p w14:paraId="598EC2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5086094000</w:t>
            </w:r>
          </w:p>
        </w:tc>
        <w:tc>
          <w:tcPr>
            <w:tcW w:w="1012" w:type="dxa"/>
            <w:tcBorders>
              <w:top w:val="nil"/>
              <w:left w:val="nil"/>
              <w:bottom w:val="single" w:sz="4" w:space="0" w:color="auto"/>
              <w:right w:val="single" w:sz="4" w:space="0" w:color="auto"/>
            </w:tcBorders>
            <w:noWrap/>
            <w:vAlign w:val="center"/>
            <w:hideMark/>
          </w:tcPr>
          <w:p w14:paraId="54CCF3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50498720</w:t>
            </w:r>
          </w:p>
        </w:tc>
        <w:tc>
          <w:tcPr>
            <w:tcW w:w="5953" w:type="dxa"/>
            <w:tcBorders>
              <w:top w:val="nil"/>
              <w:left w:val="nil"/>
              <w:bottom w:val="single" w:sz="4" w:space="0" w:color="auto"/>
              <w:right w:val="single" w:sz="4" w:space="0" w:color="auto"/>
            </w:tcBorders>
            <w:noWrap/>
            <w:vAlign w:val="center"/>
            <w:hideMark/>
          </w:tcPr>
          <w:p w14:paraId="559EB6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UPRAVNO ADMINISTRATIVNA ŠOLA LJUBLJANA</w:t>
            </w:r>
          </w:p>
        </w:tc>
      </w:tr>
      <w:tr w:rsidR="00F24E18" w14:paraId="7BA92E3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0FED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1783</w:t>
            </w:r>
          </w:p>
        </w:tc>
        <w:tc>
          <w:tcPr>
            <w:tcW w:w="1300" w:type="dxa"/>
            <w:tcBorders>
              <w:top w:val="nil"/>
              <w:left w:val="nil"/>
              <w:bottom w:val="single" w:sz="4" w:space="0" w:color="auto"/>
              <w:right w:val="single" w:sz="4" w:space="0" w:color="auto"/>
            </w:tcBorders>
            <w:vAlign w:val="center"/>
            <w:hideMark/>
          </w:tcPr>
          <w:p w14:paraId="7D1150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5084903000</w:t>
            </w:r>
          </w:p>
        </w:tc>
        <w:tc>
          <w:tcPr>
            <w:tcW w:w="1012" w:type="dxa"/>
            <w:tcBorders>
              <w:top w:val="nil"/>
              <w:left w:val="nil"/>
              <w:bottom w:val="single" w:sz="4" w:space="0" w:color="auto"/>
              <w:right w:val="single" w:sz="4" w:space="0" w:color="auto"/>
            </w:tcBorders>
            <w:vAlign w:val="center"/>
            <w:hideMark/>
          </w:tcPr>
          <w:p w14:paraId="1C5901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47364220</w:t>
            </w:r>
          </w:p>
        </w:tc>
        <w:tc>
          <w:tcPr>
            <w:tcW w:w="5953" w:type="dxa"/>
            <w:tcBorders>
              <w:top w:val="nil"/>
              <w:left w:val="nil"/>
              <w:bottom w:val="single" w:sz="4" w:space="0" w:color="auto"/>
              <w:right w:val="single" w:sz="4" w:space="0" w:color="auto"/>
            </w:tcBorders>
            <w:noWrap/>
            <w:vAlign w:val="center"/>
            <w:hideMark/>
          </w:tcPr>
          <w:p w14:paraId="1D9517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VZGOJITELJSKA ŠOLA, GIMNAZIJA IN UMETNIŠKA GIMNAZIJA LJUBLJANA</w:t>
            </w:r>
          </w:p>
        </w:tc>
      </w:tr>
      <w:tr w:rsidR="00F24E18" w14:paraId="3BB46EA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5ED0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1784</w:t>
            </w:r>
          </w:p>
        </w:tc>
        <w:tc>
          <w:tcPr>
            <w:tcW w:w="1300" w:type="dxa"/>
            <w:tcBorders>
              <w:top w:val="nil"/>
              <w:left w:val="nil"/>
              <w:bottom w:val="single" w:sz="4" w:space="0" w:color="auto"/>
              <w:right w:val="single" w:sz="4" w:space="0" w:color="auto"/>
            </w:tcBorders>
            <w:noWrap/>
            <w:vAlign w:val="center"/>
            <w:hideMark/>
          </w:tcPr>
          <w:p w14:paraId="64723E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5083621000</w:t>
            </w:r>
          </w:p>
        </w:tc>
        <w:tc>
          <w:tcPr>
            <w:tcW w:w="1012" w:type="dxa"/>
            <w:tcBorders>
              <w:top w:val="nil"/>
              <w:left w:val="nil"/>
              <w:bottom w:val="single" w:sz="4" w:space="0" w:color="auto"/>
              <w:right w:val="single" w:sz="4" w:space="0" w:color="auto"/>
            </w:tcBorders>
            <w:noWrap/>
            <w:vAlign w:val="center"/>
            <w:hideMark/>
          </w:tcPr>
          <w:p w14:paraId="0DCFF4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52910946</w:t>
            </w:r>
          </w:p>
        </w:tc>
        <w:tc>
          <w:tcPr>
            <w:tcW w:w="5953" w:type="dxa"/>
            <w:tcBorders>
              <w:top w:val="nil"/>
              <w:left w:val="nil"/>
              <w:bottom w:val="single" w:sz="4" w:space="0" w:color="auto"/>
              <w:right w:val="single" w:sz="4" w:space="0" w:color="auto"/>
            </w:tcBorders>
            <w:noWrap/>
            <w:vAlign w:val="center"/>
            <w:hideMark/>
          </w:tcPr>
          <w:p w14:paraId="7DEB01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ZDRAVSTVENA IN KOZMETIČNA ŠOLA CELJE</w:t>
            </w:r>
          </w:p>
        </w:tc>
      </w:tr>
      <w:tr w:rsidR="00F24E18" w14:paraId="55692B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04F8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1785</w:t>
            </w:r>
          </w:p>
        </w:tc>
        <w:tc>
          <w:tcPr>
            <w:tcW w:w="1300" w:type="dxa"/>
            <w:tcBorders>
              <w:top w:val="nil"/>
              <w:left w:val="nil"/>
              <w:bottom w:val="single" w:sz="4" w:space="0" w:color="auto"/>
              <w:right w:val="single" w:sz="4" w:space="0" w:color="auto"/>
            </w:tcBorders>
            <w:noWrap/>
            <w:vAlign w:val="center"/>
            <w:hideMark/>
          </w:tcPr>
          <w:p w14:paraId="1DBB0A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5088895000</w:t>
            </w:r>
          </w:p>
        </w:tc>
        <w:tc>
          <w:tcPr>
            <w:tcW w:w="1012" w:type="dxa"/>
            <w:tcBorders>
              <w:top w:val="nil"/>
              <w:left w:val="nil"/>
              <w:bottom w:val="single" w:sz="4" w:space="0" w:color="auto"/>
              <w:right w:val="single" w:sz="4" w:space="0" w:color="auto"/>
            </w:tcBorders>
            <w:noWrap/>
            <w:vAlign w:val="center"/>
            <w:hideMark/>
          </w:tcPr>
          <w:p w14:paraId="2B83EF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86411462</w:t>
            </w:r>
          </w:p>
        </w:tc>
        <w:tc>
          <w:tcPr>
            <w:tcW w:w="5953" w:type="dxa"/>
            <w:tcBorders>
              <w:top w:val="nil"/>
              <w:left w:val="nil"/>
              <w:bottom w:val="single" w:sz="4" w:space="0" w:color="auto"/>
              <w:right w:val="single" w:sz="4" w:space="0" w:color="auto"/>
            </w:tcBorders>
            <w:noWrap/>
            <w:vAlign w:val="center"/>
            <w:hideMark/>
          </w:tcPr>
          <w:p w14:paraId="7F7563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ZDRAVSTVENA IN KOZMETIČNA ŠOLA MARIBOR</w:t>
            </w:r>
          </w:p>
        </w:tc>
      </w:tr>
      <w:tr w:rsidR="00F24E18" w14:paraId="5130A8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A85C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1786</w:t>
            </w:r>
          </w:p>
        </w:tc>
        <w:tc>
          <w:tcPr>
            <w:tcW w:w="1300" w:type="dxa"/>
            <w:tcBorders>
              <w:top w:val="nil"/>
              <w:left w:val="nil"/>
              <w:bottom w:val="single" w:sz="4" w:space="0" w:color="auto"/>
              <w:right w:val="single" w:sz="4" w:space="0" w:color="auto"/>
            </w:tcBorders>
            <w:vAlign w:val="center"/>
            <w:hideMark/>
          </w:tcPr>
          <w:p w14:paraId="5BFAB1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5242045000</w:t>
            </w:r>
          </w:p>
        </w:tc>
        <w:tc>
          <w:tcPr>
            <w:tcW w:w="1012" w:type="dxa"/>
            <w:tcBorders>
              <w:top w:val="nil"/>
              <w:left w:val="nil"/>
              <w:bottom w:val="single" w:sz="4" w:space="0" w:color="auto"/>
              <w:right w:val="single" w:sz="4" w:space="0" w:color="auto"/>
            </w:tcBorders>
            <w:vAlign w:val="center"/>
            <w:hideMark/>
          </w:tcPr>
          <w:p w14:paraId="3B652D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31987249</w:t>
            </w:r>
          </w:p>
        </w:tc>
        <w:tc>
          <w:tcPr>
            <w:tcW w:w="5953" w:type="dxa"/>
            <w:tcBorders>
              <w:top w:val="nil"/>
              <w:left w:val="nil"/>
              <w:bottom w:val="single" w:sz="4" w:space="0" w:color="auto"/>
              <w:right w:val="single" w:sz="4" w:space="0" w:color="auto"/>
            </w:tcBorders>
            <w:noWrap/>
            <w:vAlign w:val="center"/>
            <w:hideMark/>
          </w:tcPr>
          <w:p w14:paraId="339E0B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ZDRAVSTVENA ŠOLA LJUBLJANA</w:t>
            </w:r>
          </w:p>
        </w:tc>
      </w:tr>
      <w:tr w:rsidR="00F24E18" w14:paraId="5A7A34D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B968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1787</w:t>
            </w:r>
          </w:p>
        </w:tc>
        <w:tc>
          <w:tcPr>
            <w:tcW w:w="1300" w:type="dxa"/>
            <w:tcBorders>
              <w:top w:val="nil"/>
              <w:left w:val="nil"/>
              <w:bottom w:val="single" w:sz="4" w:space="0" w:color="auto"/>
              <w:right w:val="single" w:sz="4" w:space="0" w:color="auto"/>
            </w:tcBorders>
            <w:vAlign w:val="center"/>
            <w:hideMark/>
          </w:tcPr>
          <w:p w14:paraId="2DF899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5085748000</w:t>
            </w:r>
          </w:p>
        </w:tc>
        <w:tc>
          <w:tcPr>
            <w:tcW w:w="1012" w:type="dxa"/>
            <w:tcBorders>
              <w:top w:val="nil"/>
              <w:left w:val="nil"/>
              <w:bottom w:val="single" w:sz="4" w:space="0" w:color="auto"/>
              <w:right w:val="single" w:sz="4" w:space="0" w:color="auto"/>
            </w:tcBorders>
            <w:vAlign w:val="center"/>
            <w:hideMark/>
          </w:tcPr>
          <w:p w14:paraId="35355F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45797781</w:t>
            </w:r>
          </w:p>
        </w:tc>
        <w:tc>
          <w:tcPr>
            <w:tcW w:w="5953" w:type="dxa"/>
            <w:tcBorders>
              <w:top w:val="nil"/>
              <w:left w:val="nil"/>
              <w:bottom w:val="single" w:sz="4" w:space="0" w:color="auto"/>
              <w:right w:val="single" w:sz="4" w:space="0" w:color="auto"/>
            </w:tcBorders>
            <w:noWrap/>
            <w:vAlign w:val="center"/>
            <w:hideMark/>
          </w:tcPr>
          <w:p w14:paraId="5B9411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SREDNJA ZDRAVSTVENA ŠOLA MURSKA SOBOTA</w:t>
            </w:r>
          </w:p>
        </w:tc>
      </w:tr>
      <w:tr w:rsidR="00F24E18" w14:paraId="5BA4CBA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48FA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1788</w:t>
            </w:r>
          </w:p>
        </w:tc>
        <w:tc>
          <w:tcPr>
            <w:tcW w:w="1300" w:type="dxa"/>
            <w:tcBorders>
              <w:top w:val="nil"/>
              <w:left w:val="nil"/>
              <w:bottom w:val="single" w:sz="4" w:space="0" w:color="auto"/>
              <w:right w:val="single" w:sz="4" w:space="0" w:color="auto"/>
            </w:tcBorders>
            <w:noWrap/>
            <w:vAlign w:val="center"/>
            <w:hideMark/>
          </w:tcPr>
          <w:p w14:paraId="13C408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5921279000</w:t>
            </w:r>
          </w:p>
        </w:tc>
        <w:tc>
          <w:tcPr>
            <w:tcW w:w="1012" w:type="dxa"/>
            <w:tcBorders>
              <w:top w:val="nil"/>
              <w:left w:val="nil"/>
              <w:bottom w:val="single" w:sz="4" w:space="0" w:color="auto"/>
              <w:right w:val="single" w:sz="4" w:space="0" w:color="auto"/>
            </w:tcBorders>
            <w:noWrap/>
            <w:vAlign w:val="center"/>
            <w:hideMark/>
          </w:tcPr>
          <w:p w14:paraId="6280FC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24822868</w:t>
            </w:r>
          </w:p>
        </w:tc>
        <w:tc>
          <w:tcPr>
            <w:tcW w:w="5953" w:type="dxa"/>
            <w:tcBorders>
              <w:top w:val="nil"/>
              <w:left w:val="nil"/>
              <w:bottom w:val="single" w:sz="4" w:space="0" w:color="auto"/>
              <w:right w:val="single" w:sz="4" w:space="0" w:color="auto"/>
            </w:tcBorders>
            <w:noWrap/>
            <w:vAlign w:val="center"/>
            <w:hideMark/>
          </w:tcPr>
          <w:p w14:paraId="096751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STANOVANJSKI SKLAD MESTNE OBČINE NOVA GORICA JAVNI SKLAD</w:t>
            </w:r>
          </w:p>
        </w:tc>
      </w:tr>
      <w:tr w:rsidR="00F24E18" w14:paraId="007429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25C9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1789</w:t>
            </w:r>
          </w:p>
        </w:tc>
        <w:tc>
          <w:tcPr>
            <w:tcW w:w="1300" w:type="dxa"/>
            <w:tcBorders>
              <w:top w:val="nil"/>
              <w:left w:val="nil"/>
              <w:bottom w:val="single" w:sz="4" w:space="0" w:color="auto"/>
              <w:right w:val="single" w:sz="4" w:space="0" w:color="auto"/>
            </w:tcBorders>
            <w:vAlign w:val="center"/>
            <w:hideMark/>
          </w:tcPr>
          <w:p w14:paraId="30BD26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5539153000</w:t>
            </w:r>
          </w:p>
        </w:tc>
        <w:tc>
          <w:tcPr>
            <w:tcW w:w="1012" w:type="dxa"/>
            <w:tcBorders>
              <w:top w:val="nil"/>
              <w:left w:val="nil"/>
              <w:bottom w:val="single" w:sz="4" w:space="0" w:color="auto"/>
              <w:right w:val="single" w:sz="4" w:space="0" w:color="auto"/>
            </w:tcBorders>
            <w:vAlign w:val="center"/>
            <w:hideMark/>
          </w:tcPr>
          <w:p w14:paraId="638778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79034217</w:t>
            </w:r>
          </w:p>
        </w:tc>
        <w:tc>
          <w:tcPr>
            <w:tcW w:w="5953" w:type="dxa"/>
            <w:tcBorders>
              <w:top w:val="nil"/>
              <w:left w:val="nil"/>
              <w:bottom w:val="single" w:sz="4" w:space="0" w:color="auto"/>
              <w:right w:val="single" w:sz="4" w:space="0" w:color="auto"/>
            </w:tcBorders>
            <w:noWrap/>
            <w:vAlign w:val="center"/>
            <w:hideMark/>
          </w:tcPr>
          <w:p w14:paraId="5F19EB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STANOVANJSKI SKLAD REPUBLIKE SLOVENIJE, JAVNI SKLAD</w:t>
            </w:r>
          </w:p>
        </w:tc>
      </w:tr>
      <w:tr w:rsidR="00F24E18" w14:paraId="2DB7AD5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61C2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1790</w:t>
            </w:r>
          </w:p>
        </w:tc>
        <w:tc>
          <w:tcPr>
            <w:tcW w:w="1300" w:type="dxa"/>
            <w:tcBorders>
              <w:top w:val="nil"/>
              <w:left w:val="nil"/>
              <w:bottom w:val="single" w:sz="4" w:space="0" w:color="auto"/>
              <w:right w:val="single" w:sz="4" w:space="0" w:color="auto"/>
            </w:tcBorders>
            <w:vAlign w:val="center"/>
            <w:hideMark/>
          </w:tcPr>
          <w:p w14:paraId="586F53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5968526000</w:t>
            </w:r>
          </w:p>
        </w:tc>
        <w:tc>
          <w:tcPr>
            <w:tcW w:w="1012" w:type="dxa"/>
            <w:tcBorders>
              <w:top w:val="nil"/>
              <w:left w:val="nil"/>
              <w:bottom w:val="single" w:sz="4" w:space="0" w:color="auto"/>
              <w:right w:val="single" w:sz="4" w:space="0" w:color="auto"/>
            </w:tcBorders>
            <w:vAlign w:val="center"/>
            <w:hideMark/>
          </w:tcPr>
          <w:p w14:paraId="41D812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21649405</w:t>
            </w:r>
          </w:p>
        </w:tc>
        <w:tc>
          <w:tcPr>
            <w:tcW w:w="5953" w:type="dxa"/>
            <w:tcBorders>
              <w:top w:val="nil"/>
              <w:left w:val="nil"/>
              <w:bottom w:val="single" w:sz="4" w:space="0" w:color="auto"/>
              <w:right w:val="single" w:sz="4" w:space="0" w:color="auto"/>
            </w:tcBorders>
            <w:noWrap/>
            <w:vAlign w:val="center"/>
            <w:hideMark/>
          </w:tcPr>
          <w:p w14:paraId="193BFF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STANOVANJSKO PODJETJE KONJICE, DRUŽBA ZA UPRAVLJANJE NEPREMIČNIN, INVESTICIJSKI INŽENIRING TER PROIZVODNJO IN DISTRIBUCIJO TOPLOTNE ENERGIJE, D.O.O.</w:t>
            </w:r>
          </w:p>
        </w:tc>
      </w:tr>
      <w:tr w:rsidR="00F24E18" w14:paraId="5915A1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80E0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1791</w:t>
            </w:r>
          </w:p>
        </w:tc>
        <w:tc>
          <w:tcPr>
            <w:tcW w:w="1300" w:type="dxa"/>
            <w:tcBorders>
              <w:top w:val="nil"/>
              <w:left w:val="nil"/>
              <w:bottom w:val="single" w:sz="4" w:space="0" w:color="auto"/>
              <w:right w:val="single" w:sz="4" w:space="0" w:color="auto"/>
            </w:tcBorders>
            <w:noWrap/>
            <w:vAlign w:val="center"/>
            <w:hideMark/>
          </w:tcPr>
          <w:p w14:paraId="3D3E0E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5049873000</w:t>
            </w:r>
          </w:p>
        </w:tc>
        <w:tc>
          <w:tcPr>
            <w:tcW w:w="1012" w:type="dxa"/>
            <w:tcBorders>
              <w:top w:val="nil"/>
              <w:left w:val="nil"/>
              <w:bottom w:val="single" w:sz="4" w:space="0" w:color="auto"/>
              <w:right w:val="single" w:sz="4" w:space="0" w:color="auto"/>
            </w:tcBorders>
            <w:noWrap/>
            <w:vAlign w:val="center"/>
            <w:hideMark/>
          </w:tcPr>
          <w:p w14:paraId="10B14E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78184754</w:t>
            </w:r>
          </w:p>
        </w:tc>
        <w:tc>
          <w:tcPr>
            <w:tcW w:w="5953" w:type="dxa"/>
            <w:tcBorders>
              <w:top w:val="nil"/>
              <w:left w:val="nil"/>
              <w:bottom w:val="single" w:sz="4" w:space="0" w:color="auto"/>
              <w:right w:val="single" w:sz="4" w:space="0" w:color="auto"/>
            </w:tcBorders>
            <w:noWrap/>
            <w:vAlign w:val="center"/>
            <w:hideMark/>
          </w:tcPr>
          <w:p w14:paraId="7D2D97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STROKOVNI CENTER KRANJ</w:t>
            </w:r>
          </w:p>
        </w:tc>
      </w:tr>
      <w:tr w:rsidR="00F24E18" w14:paraId="1BEB773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D36C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1792</w:t>
            </w:r>
          </w:p>
        </w:tc>
        <w:tc>
          <w:tcPr>
            <w:tcW w:w="1300" w:type="dxa"/>
            <w:tcBorders>
              <w:top w:val="nil"/>
              <w:left w:val="nil"/>
              <w:bottom w:val="single" w:sz="4" w:space="0" w:color="auto"/>
              <w:right w:val="single" w:sz="4" w:space="0" w:color="auto"/>
            </w:tcBorders>
            <w:vAlign w:val="center"/>
            <w:hideMark/>
          </w:tcPr>
          <w:p w14:paraId="22E4C1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5051223000</w:t>
            </w:r>
          </w:p>
        </w:tc>
        <w:tc>
          <w:tcPr>
            <w:tcW w:w="1012" w:type="dxa"/>
            <w:tcBorders>
              <w:top w:val="nil"/>
              <w:left w:val="nil"/>
              <w:bottom w:val="single" w:sz="4" w:space="0" w:color="auto"/>
              <w:right w:val="single" w:sz="4" w:space="0" w:color="auto"/>
            </w:tcBorders>
            <w:vAlign w:val="center"/>
            <w:hideMark/>
          </w:tcPr>
          <w:p w14:paraId="3CEFA7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96476915</w:t>
            </w:r>
          </w:p>
        </w:tc>
        <w:tc>
          <w:tcPr>
            <w:tcW w:w="5953" w:type="dxa"/>
            <w:tcBorders>
              <w:top w:val="nil"/>
              <w:left w:val="nil"/>
              <w:bottom w:val="single" w:sz="4" w:space="0" w:color="auto"/>
              <w:right w:val="single" w:sz="4" w:space="0" w:color="auto"/>
            </w:tcBorders>
            <w:noWrap/>
            <w:vAlign w:val="center"/>
            <w:hideMark/>
          </w:tcPr>
          <w:p w14:paraId="510A87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STROKOVNI CENTER LOGATEC</w:t>
            </w:r>
          </w:p>
        </w:tc>
      </w:tr>
      <w:tr w:rsidR="00F24E18" w14:paraId="4B2C2B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48E7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1793</w:t>
            </w:r>
          </w:p>
        </w:tc>
        <w:tc>
          <w:tcPr>
            <w:tcW w:w="1300" w:type="dxa"/>
            <w:tcBorders>
              <w:top w:val="nil"/>
              <w:left w:val="nil"/>
              <w:bottom w:val="single" w:sz="4" w:space="0" w:color="auto"/>
              <w:right w:val="single" w:sz="4" w:space="0" w:color="auto"/>
            </w:tcBorders>
            <w:noWrap/>
            <w:vAlign w:val="center"/>
            <w:hideMark/>
          </w:tcPr>
          <w:p w14:paraId="0EDE2D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5050448000</w:t>
            </w:r>
          </w:p>
        </w:tc>
        <w:tc>
          <w:tcPr>
            <w:tcW w:w="1012" w:type="dxa"/>
            <w:tcBorders>
              <w:top w:val="nil"/>
              <w:left w:val="nil"/>
              <w:bottom w:val="single" w:sz="4" w:space="0" w:color="auto"/>
              <w:right w:val="single" w:sz="4" w:space="0" w:color="auto"/>
            </w:tcBorders>
            <w:noWrap/>
            <w:vAlign w:val="center"/>
            <w:hideMark/>
          </w:tcPr>
          <w:p w14:paraId="7C860C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95581537</w:t>
            </w:r>
          </w:p>
        </w:tc>
        <w:tc>
          <w:tcPr>
            <w:tcW w:w="5953" w:type="dxa"/>
            <w:tcBorders>
              <w:top w:val="nil"/>
              <w:left w:val="nil"/>
              <w:bottom w:val="single" w:sz="4" w:space="0" w:color="auto"/>
              <w:right w:val="single" w:sz="4" w:space="0" w:color="auto"/>
            </w:tcBorders>
            <w:noWrap/>
            <w:vAlign w:val="center"/>
            <w:hideMark/>
          </w:tcPr>
          <w:p w14:paraId="3DA056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STROKOVNI CENTER MLADINSKI DOM MARIBOR</w:t>
            </w:r>
          </w:p>
        </w:tc>
      </w:tr>
      <w:tr w:rsidR="00F24E18" w14:paraId="6637F3F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95AE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1794</w:t>
            </w:r>
          </w:p>
        </w:tc>
        <w:tc>
          <w:tcPr>
            <w:tcW w:w="1300" w:type="dxa"/>
            <w:tcBorders>
              <w:top w:val="nil"/>
              <w:left w:val="nil"/>
              <w:bottom w:val="single" w:sz="4" w:space="0" w:color="auto"/>
              <w:right w:val="single" w:sz="4" w:space="0" w:color="auto"/>
            </w:tcBorders>
            <w:noWrap/>
            <w:vAlign w:val="center"/>
            <w:hideMark/>
          </w:tcPr>
          <w:p w14:paraId="21560B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5050570000</w:t>
            </w:r>
          </w:p>
        </w:tc>
        <w:tc>
          <w:tcPr>
            <w:tcW w:w="1012" w:type="dxa"/>
            <w:tcBorders>
              <w:top w:val="nil"/>
              <w:left w:val="nil"/>
              <w:bottom w:val="single" w:sz="4" w:space="0" w:color="auto"/>
              <w:right w:val="single" w:sz="4" w:space="0" w:color="auto"/>
            </w:tcBorders>
            <w:noWrap/>
            <w:vAlign w:val="center"/>
            <w:hideMark/>
          </w:tcPr>
          <w:p w14:paraId="7CF0C6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59604212</w:t>
            </w:r>
          </w:p>
        </w:tc>
        <w:tc>
          <w:tcPr>
            <w:tcW w:w="5953" w:type="dxa"/>
            <w:tcBorders>
              <w:top w:val="nil"/>
              <w:left w:val="nil"/>
              <w:bottom w:val="single" w:sz="4" w:space="0" w:color="auto"/>
              <w:right w:val="single" w:sz="4" w:space="0" w:color="auto"/>
            </w:tcBorders>
            <w:noWrap/>
            <w:vAlign w:val="center"/>
            <w:hideMark/>
          </w:tcPr>
          <w:p w14:paraId="3BF2A1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STROKOVNI CENTER PLANINA</w:t>
            </w:r>
          </w:p>
        </w:tc>
      </w:tr>
      <w:tr w:rsidR="00F24E18" w14:paraId="20B950E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967D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1795</w:t>
            </w:r>
          </w:p>
        </w:tc>
        <w:tc>
          <w:tcPr>
            <w:tcW w:w="1300" w:type="dxa"/>
            <w:tcBorders>
              <w:top w:val="nil"/>
              <w:left w:val="nil"/>
              <w:bottom w:val="single" w:sz="4" w:space="0" w:color="auto"/>
              <w:right w:val="single" w:sz="4" w:space="0" w:color="auto"/>
            </w:tcBorders>
            <w:noWrap/>
            <w:vAlign w:val="center"/>
            <w:hideMark/>
          </w:tcPr>
          <w:p w14:paraId="275007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5050928000</w:t>
            </w:r>
          </w:p>
        </w:tc>
        <w:tc>
          <w:tcPr>
            <w:tcW w:w="1012" w:type="dxa"/>
            <w:tcBorders>
              <w:top w:val="nil"/>
              <w:left w:val="nil"/>
              <w:bottom w:val="single" w:sz="4" w:space="0" w:color="auto"/>
              <w:right w:val="single" w:sz="4" w:space="0" w:color="auto"/>
            </w:tcBorders>
            <w:noWrap/>
            <w:vAlign w:val="center"/>
            <w:hideMark/>
          </w:tcPr>
          <w:p w14:paraId="443C67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56317450</w:t>
            </w:r>
          </w:p>
        </w:tc>
        <w:tc>
          <w:tcPr>
            <w:tcW w:w="5953" w:type="dxa"/>
            <w:tcBorders>
              <w:top w:val="nil"/>
              <w:left w:val="nil"/>
              <w:bottom w:val="single" w:sz="4" w:space="0" w:color="auto"/>
              <w:right w:val="single" w:sz="4" w:space="0" w:color="auto"/>
            </w:tcBorders>
            <w:noWrap/>
            <w:vAlign w:val="center"/>
            <w:hideMark/>
          </w:tcPr>
          <w:p w14:paraId="5C616D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STROKOVNI CENTER VIŠNJA GORA</w:t>
            </w:r>
          </w:p>
        </w:tc>
      </w:tr>
      <w:tr w:rsidR="00F24E18" w14:paraId="505535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626E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1796</w:t>
            </w:r>
          </w:p>
        </w:tc>
        <w:tc>
          <w:tcPr>
            <w:tcW w:w="1300" w:type="dxa"/>
            <w:tcBorders>
              <w:top w:val="nil"/>
              <w:left w:val="nil"/>
              <w:bottom w:val="single" w:sz="4" w:space="0" w:color="auto"/>
              <w:right w:val="single" w:sz="4" w:space="0" w:color="auto"/>
            </w:tcBorders>
            <w:noWrap/>
            <w:vAlign w:val="center"/>
            <w:hideMark/>
          </w:tcPr>
          <w:p w14:paraId="5B2621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5089883000</w:t>
            </w:r>
          </w:p>
        </w:tc>
        <w:tc>
          <w:tcPr>
            <w:tcW w:w="1012" w:type="dxa"/>
            <w:tcBorders>
              <w:top w:val="nil"/>
              <w:left w:val="nil"/>
              <w:bottom w:val="single" w:sz="4" w:space="0" w:color="auto"/>
              <w:right w:val="single" w:sz="4" w:space="0" w:color="auto"/>
            </w:tcBorders>
            <w:noWrap/>
            <w:vAlign w:val="center"/>
            <w:hideMark/>
          </w:tcPr>
          <w:p w14:paraId="60E3E2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55517951</w:t>
            </w:r>
          </w:p>
        </w:tc>
        <w:tc>
          <w:tcPr>
            <w:tcW w:w="5953" w:type="dxa"/>
            <w:tcBorders>
              <w:top w:val="nil"/>
              <w:left w:val="nil"/>
              <w:bottom w:val="single" w:sz="4" w:space="0" w:color="auto"/>
              <w:right w:val="single" w:sz="4" w:space="0" w:color="auto"/>
            </w:tcBorders>
            <w:noWrap/>
            <w:vAlign w:val="center"/>
            <w:hideMark/>
          </w:tcPr>
          <w:p w14:paraId="216590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STROKOVNI IZOBRAŽEVALNI CENTER LJUBLJANA</w:t>
            </w:r>
          </w:p>
        </w:tc>
      </w:tr>
      <w:tr w:rsidR="00F24E18" w14:paraId="7255833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F3ED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1797</w:t>
            </w:r>
          </w:p>
        </w:tc>
        <w:tc>
          <w:tcPr>
            <w:tcW w:w="1300" w:type="dxa"/>
            <w:tcBorders>
              <w:top w:val="nil"/>
              <w:left w:val="nil"/>
              <w:bottom w:val="single" w:sz="4" w:space="0" w:color="auto"/>
              <w:right w:val="single" w:sz="4" w:space="0" w:color="auto"/>
            </w:tcBorders>
            <w:noWrap/>
            <w:vAlign w:val="center"/>
            <w:hideMark/>
          </w:tcPr>
          <w:p w14:paraId="7BD86B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1458558000</w:t>
            </w:r>
          </w:p>
        </w:tc>
        <w:tc>
          <w:tcPr>
            <w:tcW w:w="1012" w:type="dxa"/>
            <w:tcBorders>
              <w:top w:val="nil"/>
              <w:left w:val="nil"/>
              <w:bottom w:val="single" w:sz="4" w:space="0" w:color="auto"/>
              <w:right w:val="single" w:sz="4" w:space="0" w:color="auto"/>
            </w:tcBorders>
            <w:noWrap/>
            <w:vAlign w:val="center"/>
            <w:hideMark/>
          </w:tcPr>
          <w:p w14:paraId="38B122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51349728</w:t>
            </w:r>
          </w:p>
        </w:tc>
        <w:tc>
          <w:tcPr>
            <w:tcW w:w="5953" w:type="dxa"/>
            <w:tcBorders>
              <w:top w:val="nil"/>
              <w:left w:val="nil"/>
              <w:bottom w:val="single" w:sz="4" w:space="0" w:color="auto"/>
              <w:right w:val="single" w:sz="4" w:space="0" w:color="auto"/>
            </w:tcBorders>
            <w:noWrap/>
            <w:vAlign w:val="center"/>
            <w:hideMark/>
          </w:tcPr>
          <w:p w14:paraId="7E9341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STROKOVNO IZOBRAŽEVALNI CENTER BREŽICE</w:t>
            </w:r>
          </w:p>
        </w:tc>
      </w:tr>
      <w:tr w:rsidR="00F24E18" w14:paraId="1C9BEA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984F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1798</w:t>
            </w:r>
          </w:p>
        </w:tc>
        <w:tc>
          <w:tcPr>
            <w:tcW w:w="1300" w:type="dxa"/>
            <w:tcBorders>
              <w:top w:val="nil"/>
              <w:left w:val="nil"/>
              <w:bottom w:val="single" w:sz="4" w:space="0" w:color="auto"/>
              <w:right w:val="single" w:sz="4" w:space="0" w:color="auto"/>
            </w:tcBorders>
            <w:noWrap/>
            <w:vAlign w:val="center"/>
            <w:hideMark/>
          </w:tcPr>
          <w:p w14:paraId="4F38EA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9162623000</w:t>
            </w:r>
          </w:p>
        </w:tc>
        <w:tc>
          <w:tcPr>
            <w:tcW w:w="1012" w:type="dxa"/>
            <w:tcBorders>
              <w:top w:val="nil"/>
              <w:left w:val="nil"/>
              <w:bottom w:val="single" w:sz="4" w:space="0" w:color="auto"/>
              <w:right w:val="single" w:sz="4" w:space="0" w:color="auto"/>
            </w:tcBorders>
            <w:noWrap/>
            <w:vAlign w:val="center"/>
            <w:hideMark/>
          </w:tcPr>
          <w:p w14:paraId="557F36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93998341</w:t>
            </w:r>
          </w:p>
        </w:tc>
        <w:tc>
          <w:tcPr>
            <w:tcW w:w="5953" w:type="dxa"/>
            <w:tcBorders>
              <w:top w:val="nil"/>
              <w:left w:val="nil"/>
              <w:bottom w:val="single" w:sz="4" w:space="0" w:color="auto"/>
              <w:right w:val="single" w:sz="4" w:space="0" w:color="auto"/>
            </w:tcBorders>
            <w:noWrap/>
            <w:vAlign w:val="center"/>
            <w:hideMark/>
          </w:tcPr>
          <w:p w14:paraId="0C6513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SVETOVALNI CENTER ZA OTROKE, MLADOSTNIKE IN STARŠE ISTRE CENTRO DI CONSULENZA PER I BAMBINI, I GIOVANI E I GENITORI DELL'ISTRIA</w:t>
            </w:r>
          </w:p>
        </w:tc>
      </w:tr>
      <w:tr w:rsidR="00F24E18" w14:paraId="6420D4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913F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1799</w:t>
            </w:r>
          </w:p>
        </w:tc>
        <w:tc>
          <w:tcPr>
            <w:tcW w:w="1300" w:type="dxa"/>
            <w:tcBorders>
              <w:top w:val="nil"/>
              <w:left w:val="nil"/>
              <w:bottom w:val="single" w:sz="4" w:space="0" w:color="auto"/>
              <w:right w:val="single" w:sz="4" w:space="0" w:color="auto"/>
            </w:tcBorders>
            <w:noWrap/>
            <w:vAlign w:val="center"/>
            <w:hideMark/>
          </w:tcPr>
          <w:p w14:paraId="734A49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5050375000</w:t>
            </w:r>
          </w:p>
        </w:tc>
        <w:tc>
          <w:tcPr>
            <w:tcW w:w="1012" w:type="dxa"/>
            <w:tcBorders>
              <w:top w:val="nil"/>
              <w:left w:val="nil"/>
              <w:bottom w:val="single" w:sz="4" w:space="0" w:color="auto"/>
              <w:right w:val="single" w:sz="4" w:space="0" w:color="auto"/>
            </w:tcBorders>
            <w:noWrap/>
            <w:vAlign w:val="center"/>
            <w:hideMark/>
          </w:tcPr>
          <w:p w14:paraId="03F001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50635905</w:t>
            </w:r>
          </w:p>
        </w:tc>
        <w:tc>
          <w:tcPr>
            <w:tcW w:w="5953" w:type="dxa"/>
            <w:tcBorders>
              <w:top w:val="nil"/>
              <w:left w:val="nil"/>
              <w:bottom w:val="single" w:sz="4" w:space="0" w:color="auto"/>
              <w:right w:val="single" w:sz="4" w:space="0" w:color="auto"/>
            </w:tcBorders>
            <w:noWrap/>
            <w:vAlign w:val="center"/>
            <w:hideMark/>
          </w:tcPr>
          <w:p w14:paraId="297AB9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SVETOVALNI CENTER ZA OTROKE, MLADOSTNIKE IN STARŠE MARIBOR</w:t>
            </w:r>
          </w:p>
        </w:tc>
      </w:tr>
      <w:tr w:rsidR="00F24E18" w14:paraId="496F09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745C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1800</w:t>
            </w:r>
          </w:p>
        </w:tc>
        <w:tc>
          <w:tcPr>
            <w:tcW w:w="1300" w:type="dxa"/>
            <w:tcBorders>
              <w:top w:val="nil"/>
              <w:left w:val="nil"/>
              <w:bottom w:val="single" w:sz="4" w:space="0" w:color="auto"/>
              <w:right w:val="single" w:sz="4" w:space="0" w:color="auto"/>
            </w:tcBorders>
            <w:vAlign w:val="center"/>
            <w:hideMark/>
          </w:tcPr>
          <w:p w14:paraId="3D0E84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5865824000</w:t>
            </w:r>
          </w:p>
        </w:tc>
        <w:tc>
          <w:tcPr>
            <w:tcW w:w="1012" w:type="dxa"/>
            <w:tcBorders>
              <w:top w:val="nil"/>
              <w:left w:val="nil"/>
              <w:bottom w:val="single" w:sz="4" w:space="0" w:color="auto"/>
              <w:right w:val="single" w:sz="4" w:space="0" w:color="auto"/>
            </w:tcBorders>
            <w:vAlign w:val="center"/>
            <w:hideMark/>
          </w:tcPr>
          <w:p w14:paraId="70FA49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99181762</w:t>
            </w:r>
          </w:p>
        </w:tc>
        <w:tc>
          <w:tcPr>
            <w:tcW w:w="5953" w:type="dxa"/>
            <w:tcBorders>
              <w:top w:val="nil"/>
              <w:left w:val="nil"/>
              <w:bottom w:val="single" w:sz="4" w:space="0" w:color="auto"/>
              <w:right w:val="single" w:sz="4" w:space="0" w:color="auto"/>
            </w:tcBorders>
            <w:noWrap/>
            <w:vAlign w:val="center"/>
            <w:hideMark/>
          </w:tcPr>
          <w:p w14:paraId="4CEA092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SŽ - VLEKA IN TEHNIKA, D.O.O.</w:t>
            </w:r>
          </w:p>
        </w:tc>
      </w:tr>
      <w:tr w:rsidR="00F24E18" w14:paraId="3688B30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CDFF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1801</w:t>
            </w:r>
          </w:p>
        </w:tc>
        <w:tc>
          <w:tcPr>
            <w:tcW w:w="1300" w:type="dxa"/>
            <w:tcBorders>
              <w:top w:val="nil"/>
              <w:left w:val="nil"/>
              <w:bottom w:val="single" w:sz="4" w:space="0" w:color="auto"/>
              <w:right w:val="single" w:sz="4" w:space="0" w:color="auto"/>
            </w:tcBorders>
            <w:noWrap/>
            <w:vAlign w:val="center"/>
            <w:hideMark/>
          </w:tcPr>
          <w:p w14:paraId="50D186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5381339000</w:t>
            </w:r>
          </w:p>
        </w:tc>
        <w:tc>
          <w:tcPr>
            <w:tcW w:w="1012" w:type="dxa"/>
            <w:tcBorders>
              <w:top w:val="nil"/>
              <w:left w:val="nil"/>
              <w:bottom w:val="single" w:sz="4" w:space="0" w:color="auto"/>
              <w:right w:val="single" w:sz="4" w:space="0" w:color="auto"/>
            </w:tcBorders>
            <w:noWrap/>
            <w:vAlign w:val="center"/>
            <w:hideMark/>
          </w:tcPr>
          <w:p w14:paraId="112E85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95965050</w:t>
            </w:r>
          </w:p>
        </w:tc>
        <w:tc>
          <w:tcPr>
            <w:tcW w:w="5953" w:type="dxa"/>
            <w:tcBorders>
              <w:top w:val="nil"/>
              <w:left w:val="nil"/>
              <w:bottom w:val="single" w:sz="4" w:space="0" w:color="auto"/>
              <w:right w:val="single" w:sz="4" w:space="0" w:color="auto"/>
            </w:tcBorders>
            <w:noWrap/>
            <w:vAlign w:val="center"/>
            <w:hideMark/>
          </w:tcPr>
          <w:p w14:paraId="40C73D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ŠALEŠKI ŠTUDENTSKI KLUB</w:t>
            </w:r>
          </w:p>
        </w:tc>
      </w:tr>
      <w:tr w:rsidR="00F24E18" w14:paraId="025147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49FD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1802</w:t>
            </w:r>
          </w:p>
        </w:tc>
        <w:tc>
          <w:tcPr>
            <w:tcW w:w="1300" w:type="dxa"/>
            <w:tcBorders>
              <w:top w:val="nil"/>
              <w:left w:val="nil"/>
              <w:bottom w:val="single" w:sz="4" w:space="0" w:color="auto"/>
              <w:right w:val="single" w:sz="4" w:space="0" w:color="auto"/>
            </w:tcBorders>
            <w:noWrap/>
            <w:vAlign w:val="center"/>
            <w:hideMark/>
          </w:tcPr>
          <w:p w14:paraId="728A04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1201794000</w:t>
            </w:r>
          </w:p>
        </w:tc>
        <w:tc>
          <w:tcPr>
            <w:tcW w:w="1012" w:type="dxa"/>
            <w:tcBorders>
              <w:top w:val="nil"/>
              <w:left w:val="nil"/>
              <w:bottom w:val="single" w:sz="4" w:space="0" w:color="auto"/>
              <w:right w:val="single" w:sz="4" w:space="0" w:color="auto"/>
            </w:tcBorders>
            <w:noWrap/>
            <w:vAlign w:val="center"/>
            <w:hideMark/>
          </w:tcPr>
          <w:p w14:paraId="33E7C7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83625950</w:t>
            </w:r>
          </w:p>
        </w:tc>
        <w:tc>
          <w:tcPr>
            <w:tcW w:w="5953" w:type="dxa"/>
            <w:tcBorders>
              <w:top w:val="nil"/>
              <w:left w:val="nil"/>
              <w:bottom w:val="single" w:sz="4" w:space="0" w:color="auto"/>
              <w:right w:val="single" w:sz="4" w:space="0" w:color="auto"/>
            </w:tcBorders>
            <w:noWrap/>
            <w:vAlign w:val="center"/>
            <w:hideMark/>
          </w:tcPr>
          <w:p w14:paraId="5DEDAE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ŠOLA ZA HORTIKULTURO IN VIZUALNE UMETNOSTI CELJE</w:t>
            </w:r>
          </w:p>
        </w:tc>
      </w:tr>
      <w:tr w:rsidR="00F24E18" w14:paraId="37B09F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1ED1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1803</w:t>
            </w:r>
          </w:p>
        </w:tc>
        <w:tc>
          <w:tcPr>
            <w:tcW w:w="1300" w:type="dxa"/>
            <w:tcBorders>
              <w:top w:val="nil"/>
              <w:left w:val="nil"/>
              <w:bottom w:val="single" w:sz="4" w:space="0" w:color="auto"/>
              <w:right w:val="single" w:sz="4" w:space="0" w:color="auto"/>
            </w:tcBorders>
            <w:noWrap/>
            <w:vAlign w:val="center"/>
            <w:hideMark/>
          </w:tcPr>
          <w:p w14:paraId="5044D7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1429680000</w:t>
            </w:r>
          </w:p>
        </w:tc>
        <w:tc>
          <w:tcPr>
            <w:tcW w:w="1012" w:type="dxa"/>
            <w:tcBorders>
              <w:top w:val="nil"/>
              <w:left w:val="nil"/>
              <w:bottom w:val="single" w:sz="4" w:space="0" w:color="auto"/>
              <w:right w:val="single" w:sz="4" w:space="0" w:color="auto"/>
            </w:tcBorders>
            <w:noWrap/>
            <w:vAlign w:val="center"/>
            <w:hideMark/>
          </w:tcPr>
          <w:p w14:paraId="7C13D1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39631265</w:t>
            </w:r>
          </w:p>
        </w:tc>
        <w:tc>
          <w:tcPr>
            <w:tcW w:w="5953" w:type="dxa"/>
            <w:tcBorders>
              <w:top w:val="nil"/>
              <w:left w:val="nil"/>
              <w:bottom w:val="single" w:sz="4" w:space="0" w:color="auto"/>
              <w:right w:val="single" w:sz="4" w:space="0" w:color="auto"/>
            </w:tcBorders>
            <w:noWrap/>
            <w:vAlign w:val="center"/>
            <w:hideMark/>
          </w:tcPr>
          <w:p w14:paraId="1F5FC2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ŠOLSKE STORITVENE DEJAVNOSTI "PETKA" ŽALEC</w:t>
            </w:r>
          </w:p>
        </w:tc>
      </w:tr>
      <w:tr w:rsidR="00F24E18" w14:paraId="1CE3F59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DD84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1804</w:t>
            </w:r>
          </w:p>
        </w:tc>
        <w:tc>
          <w:tcPr>
            <w:tcW w:w="1300" w:type="dxa"/>
            <w:tcBorders>
              <w:top w:val="nil"/>
              <w:left w:val="nil"/>
              <w:bottom w:val="single" w:sz="4" w:space="0" w:color="auto"/>
              <w:right w:val="single" w:sz="4" w:space="0" w:color="auto"/>
            </w:tcBorders>
            <w:vAlign w:val="center"/>
            <w:hideMark/>
          </w:tcPr>
          <w:p w14:paraId="06310F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5082692000</w:t>
            </w:r>
          </w:p>
        </w:tc>
        <w:tc>
          <w:tcPr>
            <w:tcW w:w="1012" w:type="dxa"/>
            <w:tcBorders>
              <w:top w:val="nil"/>
              <w:left w:val="nil"/>
              <w:bottom w:val="single" w:sz="4" w:space="0" w:color="auto"/>
              <w:right w:val="single" w:sz="4" w:space="0" w:color="auto"/>
            </w:tcBorders>
            <w:vAlign w:val="center"/>
            <w:hideMark/>
          </w:tcPr>
          <w:p w14:paraId="233305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76965007</w:t>
            </w:r>
          </w:p>
        </w:tc>
        <w:tc>
          <w:tcPr>
            <w:tcW w:w="5953" w:type="dxa"/>
            <w:tcBorders>
              <w:top w:val="nil"/>
              <w:left w:val="nil"/>
              <w:bottom w:val="single" w:sz="4" w:space="0" w:color="auto"/>
              <w:right w:val="single" w:sz="4" w:space="0" w:color="auto"/>
            </w:tcBorders>
            <w:noWrap/>
            <w:vAlign w:val="center"/>
            <w:hideMark/>
          </w:tcPr>
          <w:p w14:paraId="77769F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CELJE</w:t>
            </w:r>
          </w:p>
        </w:tc>
      </w:tr>
      <w:tr w:rsidR="00F24E18" w14:paraId="626FF9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5260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1805</w:t>
            </w:r>
          </w:p>
        </w:tc>
        <w:tc>
          <w:tcPr>
            <w:tcW w:w="1300" w:type="dxa"/>
            <w:tcBorders>
              <w:top w:val="nil"/>
              <w:left w:val="nil"/>
              <w:bottom w:val="single" w:sz="4" w:space="0" w:color="auto"/>
              <w:right w:val="single" w:sz="4" w:space="0" w:color="auto"/>
            </w:tcBorders>
            <w:noWrap/>
            <w:vAlign w:val="center"/>
            <w:hideMark/>
          </w:tcPr>
          <w:p w14:paraId="233CA3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6286259000</w:t>
            </w:r>
          </w:p>
        </w:tc>
        <w:tc>
          <w:tcPr>
            <w:tcW w:w="1012" w:type="dxa"/>
            <w:tcBorders>
              <w:top w:val="nil"/>
              <w:left w:val="nil"/>
              <w:bottom w:val="single" w:sz="4" w:space="0" w:color="auto"/>
              <w:right w:val="single" w:sz="4" w:space="0" w:color="auto"/>
            </w:tcBorders>
            <w:noWrap/>
            <w:vAlign w:val="center"/>
            <w:hideMark/>
          </w:tcPr>
          <w:p w14:paraId="684BD8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12782076</w:t>
            </w:r>
          </w:p>
        </w:tc>
        <w:tc>
          <w:tcPr>
            <w:tcW w:w="5953" w:type="dxa"/>
            <w:tcBorders>
              <w:top w:val="nil"/>
              <w:left w:val="nil"/>
              <w:bottom w:val="single" w:sz="4" w:space="0" w:color="auto"/>
              <w:right w:val="single" w:sz="4" w:space="0" w:color="auto"/>
            </w:tcBorders>
            <w:noWrap/>
            <w:vAlign w:val="center"/>
            <w:hideMark/>
          </w:tcPr>
          <w:p w14:paraId="40BE5F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KRANJ</w:t>
            </w:r>
          </w:p>
        </w:tc>
      </w:tr>
      <w:tr w:rsidR="00F24E18" w14:paraId="14E2974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C36C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1806</w:t>
            </w:r>
          </w:p>
        </w:tc>
        <w:tc>
          <w:tcPr>
            <w:tcW w:w="1300" w:type="dxa"/>
            <w:tcBorders>
              <w:top w:val="nil"/>
              <w:left w:val="nil"/>
              <w:bottom w:val="single" w:sz="4" w:space="0" w:color="auto"/>
              <w:right w:val="single" w:sz="4" w:space="0" w:color="auto"/>
            </w:tcBorders>
            <w:noWrap/>
            <w:vAlign w:val="center"/>
            <w:hideMark/>
          </w:tcPr>
          <w:p w14:paraId="701442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5083982000</w:t>
            </w:r>
          </w:p>
        </w:tc>
        <w:tc>
          <w:tcPr>
            <w:tcW w:w="1012" w:type="dxa"/>
            <w:tcBorders>
              <w:top w:val="nil"/>
              <w:left w:val="nil"/>
              <w:bottom w:val="single" w:sz="4" w:space="0" w:color="auto"/>
              <w:right w:val="single" w:sz="4" w:space="0" w:color="auto"/>
            </w:tcBorders>
            <w:noWrap/>
            <w:vAlign w:val="center"/>
            <w:hideMark/>
          </w:tcPr>
          <w:p w14:paraId="543AA4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36867578</w:t>
            </w:r>
          </w:p>
        </w:tc>
        <w:tc>
          <w:tcPr>
            <w:tcW w:w="5953" w:type="dxa"/>
            <w:tcBorders>
              <w:top w:val="nil"/>
              <w:left w:val="nil"/>
              <w:bottom w:val="single" w:sz="4" w:space="0" w:color="auto"/>
              <w:right w:val="single" w:sz="4" w:space="0" w:color="auto"/>
            </w:tcBorders>
            <w:noWrap/>
            <w:vAlign w:val="center"/>
            <w:hideMark/>
          </w:tcPr>
          <w:p w14:paraId="68C627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KRŠKO-SEVNICA</w:t>
            </w:r>
          </w:p>
        </w:tc>
      </w:tr>
      <w:tr w:rsidR="00F24E18" w14:paraId="59CA1B6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D13D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1807</w:t>
            </w:r>
          </w:p>
        </w:tc>
        <w:tc>
          <w:tcPr>
            <w:tcW w:w="1300" w:type="dxa"/>
            <w:tcBorders>
              <w:top w:val="nil"/>
              <w:left w:val="nil"/>
              <w:bottom w:val="single" w:sz="4" w:space="0" w:color="auto"/>
              <w:right w:val="single" w:sz="4" w:space="0" w:color="auto"/>
            </w:tcBorders>
            <w:vAlign w:val="center"/>
            <w:hideMark/>
          </w:tcPr>
          <w:p w14:paraId="1D27B9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1430971000</w:t>
            </w:r>
          </w:p>
        </w:tc>
        <w:tc>
          <w:tcPr>
            <w:tcW w:w="1012" w:type="dxa"/>
            <w:tcBorders>
              <w:top w:val="nil"/>
              <w:left w:val="nil"/>
              <w:bottom w:val="single" w:sz="4" w:space="0" w:color="auto"/>
              <w:right w:val="single" w:sz="4" w:space="0" w:color="auto"/>
            </w:tcBorders>
            <w:vAlign w:val="center"/>
            <w:hideMark/>
          </w:tcPr>
          <w:p w14:paraId="18095F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73059471</w:t>
            </w:r>
          </w:p>
        </w:tc>
        <w:tc>
          <w:tcPr>
            <w:tcW w:w="5953" w:type="dxa"/>
            <w:tcBorders>
              <w:top w:val="nil"/>
              <w:left w:val="nil"/>
              <w:bottom w:val="single" w:sz="4" w:space="0" w:color="auto"/>
              <w:right w:val="single" w:sz="4" w:space="0" w:color="auto"/>
            </w:tcBorders>
            <w:noWrap/>
            <w:vAlign w:val="center"/>
            <w:hideMark/>
          </w:tcPr>
          <w:p w14:paraId="3AA4A7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LJUBLJANA</w:t>
            </w:r>
          </w:p>
        </w:tc>
      </w:tr>
      <w:tr w:rsidR="00F24E18" w14:paraId="19BAFDD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8A8A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1808</w:t>
            </w:r>
          </w:p>
        </w:tc>
        <w:tc>
          <w:tcPr>
            <w:tcW w:w="1300" w:type="dxa"/>
            <w:tcBorders>
              <w:top w:val="nil"/>
              <w:left w:val="nil"/>
              <w:bottom w:val="single" w:sz="4" w:space="0" w:color="auto"/>
              <w:right w:val="single" w:sz="4" w:space="0" w:color="auto"/>
            </w:tcBorders>
            <w:vAlign w:val="center"/>
            <w:hideMark/>
          </w:tcPr>
          <w:p w14:paraId="12FC87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5089085000</w:t>
            </w:r>
          </w:p>
        </w:tc>
        <w:tc>
          <w:tcPr>
            <w:tcW w:w="1012" w:type="dxa"/>
            <w:tcBorders>
              <w:top w:val="nil"/>
              <w:left w:val="nil"/>
              <w:bottom w:val="single" w:sz="4" w:space="0" w:color="auto"/>
              <w:right w:val="single" w:sz="4" w:space="0" w:color="auto"/>
            </w:tcBorders>
            <w:vAlign w:val="center"/>
            <w:hideMark/>
          </w:tcPr>
          <w:p w14:paraId="7CF6C5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69993211</w:t>
            </w:r>
          </w:p>
        </w:tc>
        <w:tc>
          <w:tcPr>
            <w:tcW w:w="5953" w:type="dxa"/>
            <w:tcBorders>
              <w:top w:val="nil"/>
              <w:left w:val="nil"/>
              <w:bottom w:val="single" w:sz="4" w:space="0" w:color="auto"/>
              <w:right w:val="single" w:sz="4" w:space="0" w:color="auto"/>
            </w:tcBorders>
            <w:noWrap/>
            <w:vAlign w:val="center"/>
            <w:hideMark/>
          </w:tcPr>
          <w:p w14:paraId="22044A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NOVA GORICA</w:t>
            </w:r>
          </w:p>
        </w:tc>
      </w:tr>
      <w:tr w:rsidR="00F24E18" w14:paraId="2777E2B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A95D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1809</w:t>
            </w:r>
          </w:p>
        </w:tc>
        <w:tc>
          <w:tcPr>
            <w:tcW w:w="1300" w:type="dxa"/>
            <w:tcBorders>
              <w:top w:val="nil"/>
              <w:left w:val="nil"/>
              <w:bottom w:val="single" w:sz="4" w:space="0" w:color="auto"/>
              <w:right w:val="single" w:sz="4" w:space="0" w:color="auto"/>
            </w:tcBorders>
            <w:vAlign w:val="center"/>
            <w:hideMark/>
          </w:tcPr>
          <w:p w14:paraId="3D851C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5258782000</w:t>
            </w:r>
          </w:p>
        </w:tc>
        <w:tc>
          <w:tcPr>
            <w:tcW w:w="1012" w:type="dxa"/>
            <w:tcBorders>
              <w:top w:val="nil"/>
              <w:left w:val="nil"/>
              <w:bottom w:val="single" w:sz="4" w:space="0" w:color="auto"/>
              <w:right w:val="single" w:sz="4" w:space="0" w:color="auto"/>
            </w:tcBorders>
            <w:vAlign w:val="center"/>
            <w:hideMark/>
          </w:tcPr>
          <w:p w14:paraId="36ACA8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68565127</w:t>
            </w:r>
          </w:p>
        </w:tc>
        <w:tc>
          <w:tcPr>
            <w:tcW w:w="5953" w:type="dxa"/>
            <w:tcBorders>
              <w:top w:val="nil"/>
              <w:left w:val="nil"/>
              <w:bottom w:val="single" w:sz="4" w:space="0" w:color="auto"/>
              <w:right w:val="single" w:sz="4" w:space="0" w:color="auto"/>
            </w:tcBorders>
            <w:noWrap/>
            <w:vAlign w:val="center"/>
            <w:hideMark/>
          </w:tcPr>
          <w:p w14:paraId="18C70E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NOVO MESTO</w:t>
            </w:r>
          </w:p>
        </w:tc>
      </w:tr>
      <w:tr w:rsidR="00F24E18" w14:paraId="1FB8AC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413E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1810</w:t>
            </w:r>
          </w:p>
        </w:tc>
        <w:tc>
          <w:tcPr>
            <w:tcW w:w="1300" w:type="dxa"/>
            <w:tcBorders>
              <w:top w:val="nil"/>
              <w:left w:val="nil"/>
              <w:bottom w:val="single" w:sz="4" w:space="0" w:color="auto"/>
              <w:right w:val="single" w:sz="4" w:space="0" w:color="auto"/>
            </w:tcBorders>
            <w:noWrap/>
            <w:vAlign w:val="center"/>
            <w:hideMark/>
          </w:tcPr>
          <w:p w14:paraId="0B05B5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5086957000</w:t>
            </w:r>
          </w:p>
        </w:tc>
        <w:tc>
          <w:tcPr>
            <w:tcW w:w="1012" w:type="dxa"/>
            <w:tcBorders>
              <w:top w:val="nil"/>
              <w:left w:val="nil"/>
              <w:bottom w:val="single" w:sz="4" w:space="0" w:color="auto"/>
              <w:right w:val="single" w:sz="4" w:space="0" w:color="auto"/>
            </w:tcBorders>
            <w:noWrap/>
            <w:vAlign w:val="center"/>
            <w:hideMark/>
          </w:tcPr>
          <w:p w14:paraId="7520C0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17067006</w:t>
            </w:r>
          </w:p>
        </w:tc>
        <w:tc>
          <w:tcPr>
            <w:tcW w:w="5953" w:type="dxa"/>
            <w:tcBorders>
              <w:top w:val="nil"/>
              <w:left w:val="nil"/>
              <w:bottom w:val="single" w:sz="4" w:space="0" w:color="auto"/>
              <w:right w:val="single" w:sz="4" w:space="0" w:color="auto"/>
            </w:tcBorders>
            <w:noWrap/>
            <w:vAlign w:val="center"/>
            <w:hideMark/>
          </w:tcPr>
          <w:p w14:paraId="048C91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POSTOJNA</w:t>
            </w:r>
          </w:p>
        </w:tc>
      </w:tr>
      <w:tr w:rsidR="00F24E18" w14:paraId="3B2C05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CC37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1811</w:t>
            </w:r>
          </w:p>
        </w:tc>
        <w:tc>
          <w:tcPr>
            <w:tcW w:w="1300" w:type="dxa"/>
            <w:tcBorders>
              <w:top w:val="nil"/>
              <w:left w:val="nil"/>
              <w:bottom w:val="single" w:sz="4" w:space="0" w:color="auto"/>
              <w:right w:val="single" w:sz="4" w:space="0" w:color="auto"/>
            </w:tcBorders>
            <w:vAlign w:val="center"/>
            <w:hideMark/>
          </w:tcPr>
          <w:p w14:paraId="576ECA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5064678000</w:t>
            </w:r>
          </w:p>
        </w:tc>
        <w:tc>
          <w:tcPr>
            <w:tcW w:w="1012" w:type="dxa"/>
            <w:tcBorders>
              <w:top w:val="nil"/>
              <w:left w:val="nil"/>
              <w:bottom w:val="single" w:sz="4" w:space="0" w:color="auto"/>
              <w:right w:val="single" w:sz="4" w:space="0" w:color="auto"/>
            </w:tcBorders>
            <w:vAlign w:val="center"/>
            <w:hideMark/>
          </w:tcPr>
          <w:p w14:paraId="505910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23369809</w:t>
            </w:r>
          </w:p>
        </w:tc>
        <w:tc>
          <w:tcPr>
            <w:tcW w:w="5953" w:type="dxa"/>
            <w:tcBorders>
              <w:top w:val="nil"/>
              <w:left w:val="nil"/>
              <w:bottom w:val="single" w:sz="4" w:space="0" w:color="auto"/>
              <w:right w:val="single" w:sz="4" w:space="0" w:color="auto"/>
            </w:tcBorders>
            <w:noWrap/>
            <w:vAlign w:val="center"/>
            <w:hideMark/>
          </w:tcPr>
          <w:p w14:paraId="03E9CB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PTUJ</w:t>
            </w:r>
          </w:p>
        </w:tc>
      </w:tr>
      <w:tr w:rsidR="00F24E18" w14:paraId="2D3DA9C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E87B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1812</w:t>
            </w:r>
          </w:p>
        </w:tc>
        <w:tc>
          <w:tcPr>
            <w:tcW w:w="1300" w:type="dxa"/>
            <w:tcBorders>
              <w:top w:val="nil"/>
              <w:left w:val="nil"/>
              <w:bottom w:val="single" w:sz="4" w:space="0" w:color="auto"/>
              <w:right w:val="single" w:sz="4" w:space="0" w:color="auto"/>
            </w:tcBorders>
            <w:vAlign w:val="center"/>
            <w:hideMark/>
          </w:tcPr>
          <w:p w14:paraId="4BDE21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2345188000</w:t>
            </w:r>
          </w:p>
        </w:tc>
        <w:tc>
          <w:tcPr>
            <w:tcW w:w="1012" w:type="dxa"/>
            <w:tcBorders>
              <w:top w:val="nil"/>
              <w:left w:val="nil"/>
              <w:bottom w:val="single" w:sz="4" w:space="0" w:color="auto"/>
              <w:right w:val="single" w:sz="4" w:space="0" w:color="auto"/>
            </w:tcBorders>
            <w:vAlign w:val="center"/>
            <w:hideMark/>
          </w:tcPr>
          <w:p w14:paraId="23C369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27201163</w:t>
            </w:r>
          </w:p>
        </w:tc>
        <w:tc>
          <w:tcPr>
            <w:tcW w:w="5953" w:type="dxa"/>
            <w:tcBorders>
              <w:top w:val="nil"/>
              <w:left w:val="nil"/>
              <w:bottom w:val="single" w:sz="4" w:space="0" w:color="auto"/>
              <w:right w:val="single" w:sz="4" w:space="0" w:color="auto"/>
            </w:tcBorders>
            <w:noWrap/>
            <w:vAlign w:val="center"/>
            <w:hideMark/>
          </w:tcPr>
          <w:p w14:paraId="1AB502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RAVNE NA KOROŠKEM</w:t>
            </w:r>
          </w:p>
        </w:tc>
      </w:tr>
      <w:tr w:rsidR="00F24E18" w14:paraId="53582DB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A7A1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1813</w:t>
            </w:r>
          </w:p>
        </w:tc>
        <w:tc>
          <w:tcPr>
            <w:tcW w:w="1300" w:type="dxa"/>
            <w:tcBorders>
              <w:top w:val="nil"/>
              <w:left w:val="nil"/>
              <w:bottom w:val="single" w:sz="4" w:space="0" w:color="auto"/>
              <w:right w:val="single" w:sz="4" w:space="0" w:color="auto"/>
            </w:tcBorders>
            <w:noWrap/>
            <w:vAlign w:val="center"/>
            <w:hideMark/>
          </w:tcPr>
          <w:p w14:paraId="06FD7D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5087996000</w:t>
            </w:r>
          </w:p>
        </w:tc>
        <w:tc>
          <w:tcPr>
            <w:tcW w:w="1012" w:type="dxa"/>
            <w:tcBorders>
              <w:top w:val="nil"/>
              <w:left w:val="nil"/>
              <w:bottom w:val="single" w:sz="4" w:space="0" w:color="auto"/>
              <w:right w:val="single" w:sz="4" w:space="0" w:color="auto"/>
            </w:tcBorders>
            <w:noWrap/>
            <w:vAlign w:val="center"/>
            <w:hideMark/>
          </w:tcPr>
          <w:p w14:paraId="45B2A9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21344205</w:t>
            </w:r>
          </w:p>
        </w:tc>
        <w:tc>
          <w:tcPr>
            <w:tcW w:w="5953" w:type="dxa"/>
            <w:tcBorders>
              <w:top w:val="nil"/>
              <w:left w:val="nil"/>
              <w:bottom w:val="single" w:sz="4" w:space="0" w:color="auto"/>
              <w:right w:val="single" w:sz="4" w:space="0" w:color="auto"/>
            </w:tcBorders>
            <w:noWrap/>
            <w:vAlign w:val="center"/>
            <w:hideMark/>
          </w:tcPr>
          <w:p w14:paraId="7212B9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ROGAŠKA SLATINA</w:t>
            </w:r>
          </w:p>
        </w:tc>
      </w:tr>
      <w:tr w:rsidR="00F24E18" w14:paraId="6607A90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DEFB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1814</w:t>
            </w:r>
          </w:p>
        </w:tc>
        <w:tc>
          <w:tcPr>
            <w:tcW w:w="1300" w:type="dxa"/>
            <w:tcBorders>
              <w:top w:val="nil"/>
              <w:left w:val="nil"/>
              <w:bottom w:val="single" w:sz="4" w:space="0" w:color="auto"/>
              <w:right w:val="single" w:sz="4" w:space="0" w:color="auto"/>
            </w:tcBorders>
            <w:noWrap/>
            <w:vAlign w:val="center"/>
            <w:hideMark/>
          </w:tcPr>
          <w:p w14:paraId="1D683F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5089417000</w:t>
            </w:r>
          </w:p>
        </w:tc>
        <w:tc>
          <w:tcPr>
            <w:tcW w:w="1012" w:type="dxa"/>
            <w:tcBorders>
              <w:top w:val="nil"/>
              <w:left w:val="nil"/>
              <w:bottom w:val="single" w:sz="4" w:space="0" w:color="auto"/>
              <w:right w:val="single" w:sz="4" w:space="0" w:color="auto"/>
            </w:tcBorders>
            <w:noWrap/>
            <w:vAlign w:val="center"/>
            <w:hideMark/>
          </w:tcPr>
          <w:p w14:paraId="434AC7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73346276</w:t>
            </w:r>
          </w:p>
        </w:tc>
        <w:tc>
          <w:tcPr>
            <w:tcW w:w="5953" w:type="dxa"/>
            <w:tcBorders>
              <w:top w:val="nil"/>
              <w:left w:val="nil"/>
              <w:bottom w:val="single" w:sz="4" w:space="0" w:color="auto"/>
              <w:right w:val="single" w:sz="4" w:space="0" w:color="auto"/>
            </w:tcBorders>
            <w:noWrap/>
            <w:vAlign w:val="center"/>
            <w:hideMark/>
          </w:tcPr>
          <w:p w14:paraId="26DC21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SLOVENJ GRADEC</w:t>
            </w:r>
          </w:p>
        </w:tc>
      </w:tr>
      <w:tr w:rsidR="00F24E18" w14:paraId="2158334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EC49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1815</w:t>
            </w:r>
          </w:p>
        </w:tc>
        <w:tc>
          <w:tcPr>
            <w:tcW w:w="1300" w:type="dxa"/>
            <w:tcBorders>
              <w:top w:val="nil"/>
              <w:left w:val="nil"/>
              <w:bottom w:val="single" w:sz="4" w:space="0" w:color="auto"/>
              <w:right w:val="single" w:sz="4" w:space="0" w:color="auto"/>
            </w:tcBorders>
            <w:vAlign w:val="center"/>
            <w:hideMark/>
          </w:tcPr>
          <w:p w14:paraId="59BBA4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5052343000</w:t>
            </w:r>
          </w:p>
        </w:tc>
        <w:tc>
          <w:tcPr>
            <w:tcW w:w="1012" w:type="dxa"/>
            <w:tcBorders>
              <w:top w:val="nil"/>
              <w:left w:val="nil"/>
              <w:bottom w:val="single" w:sz="4" w:space="0" w:color="auto"/>
              <w:right w:val="single" w:sz="4" w:space="0" w:color="auto"/>
            </w:tcBorders>
            <w:vAlign w:val="center"/>
            <w:hideMark/>
          </w:tcPr>
          <w:p w14:paraId="0E9A44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93550049</w:t>
            </w:r>
          </w:p>
        </w:tc>
        <w:tc>
          <w:tcPr>
            <w:tcW w:w="5953" w:type="dxa"/>
            <w:tcBorders>
              <w:top w:val="nil"/>
              <w:left w:val="nil"/>
              <w:bottom w:val="single" w:sz="4" w:space="0" w:color="auto"/>
              <w:right w:val="single" w:sz="4" w:space="0" w:color="auto"/>
            </w:tcBorders>
            <w:noWrap/>
            <w:vAlign w:val="center"/>
            <w:hideMark/>
          </w:tcPr>
          <w:p w14:paraId="4F378E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SLOVENSKE KONJICE - ZREČE</w:t>
            </w:r>
          </w:p>
        </w:tc>
      </w:tr>
      <w:tr w:rsidR="00F24E18" w14:paraId="455990C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B39C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1816</w:t>
            </w:r>
          </w:p>
        </w:tc>
        <w:tc>
          <w:tcPr>
            <w:tcW w:w="1300" w:type="dxa"/>
            <w:tcBorders>
              <w:top w:val="nil"/>
              <w:left w:val="nil"/>
              <w:bottom w:val="single" w:sz="4" w:space="0" w:color="auto"/>
              <w:right w:val="single" w:sz="4" w:space="0" w:color="auto"/>
            </w:tcBorders>
            <w:vAlign w:val="center"/>
            <w:hideMark/>
          </w:tcPr>
          <w:p w14:paraId="388CC0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5009189000</w:t>
            </w:r>
          </w:p>
        </w:tc>
        <w:tc>
          <w:tcPr>
            <w:tcW w:w="1012" w:type="dxa"/>
            <w:tcBorders>
              <w:top w:val="nil"/>
              <w:left w:val="nil"/>
              <w:bottom w:val="single" w:sz="4" w:space="0" w:color="auto"/>
              <w:right w:val="single" w:sz="4" w:space="0" w:color="auto"/>
            </w:tcBorders>
            <w:vAlign w:val="center"/>
            <w:hideMark/>
          </w:tcPr>
          <w:p w14:paraId="0AAFA9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74080601</w:t>
            </w:r>
          </w:p>
        </w:tc>
        <w:tc>
          <w:tcPr>
            <w:tcW w:w="5953" w:type="dxa"/>
            <w:tcBorders>
              <w:top w:val="nil"/>
              <w:left w:val="nil"/>
              <w:bottom w:val="single" w:sz="4" w:space="0" w:color="auto"/>
              <w:right w:val="single" w:sz="4" w:space="0" w:color="auto"/>
            </w:tcBorders>
            <w:noWrap/>
            <w:vAlign w:val="center"/>
            <w:hideMark/>
          </w:tcPr>
          <w:p w14:paraId="101309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SREČKA KOSOVELA SEŽANA</w:t>
            </w:r>
          </w:p>
        </w:tc>
      </w:tr>
      <w:tr w:rsidR="00F24E18" w14:paraId="4E8223E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1474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1817</w:t>
            </w:r>
          </w:p>
        </w:tc>
        <w:tc>
          <w:tcPr>
            <w:tcW w:w="1300" w:type="dxa"/>
            <w:tcBorders>
              <w:top w:val="nil"/>
              <w:left w:val="nil"/>
              <w:bottom w:val="single" w:sz="4" w:space="0" w:color="auto"/>
              <w:right w:val="single" w:sz="4" w:space="0" w:color="auto"/>
            </w:tcBorders>
            <w:noWrap/>
            <w:vAlign w:val="center"/>
            <w:hideMark/>
          </w:tcPr>
          <w:p w14:paraId="63D345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1214438000</w:t>
            </w:r>
          </w:p>
        </w:tc>
        <w:tc>
          <w:tcPr>
            <w:tcW w:w="1012" w:type="dxa"/>
            <w:tcBorders>
              <w:top w:val="nil"/>
              <w:left w:val="nil"/>
              <w:bottom w:val="single" w:sz="4" w:space="0" w:color="auto"/>
              <w:right w:val="single" w:sz="4" w:space="0" w:color="auto"/>
            </w:tcBorders>
            <w:noWrap/>
            <w:vAlign w:val="center"/>
            <w:hideMark/>
          </w:tcPr>
          <w:p w14:paraId="3B24FB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11775823</w:t>
            </w:r>
          </w:p>
        </w:tc>
        <w:tc>
          <w:tcPr>
            <w:tcW w:w="5953" w:type="dxa"/>
            <w:tcBorders>
              <w:top w:val="nil"/>
              <w:left w:val="nil"/>
              <w:bottom w:val="single" w:sz="4" w:space="0" w:color="auto"/>
              <w:right w:val="single" w:sz="4" w:space="0" w:color="auto"/>
            </w:tcBorders>
            <w:noWrap/>
            <w:vAlign w:val="center"/>
            <w:hideMark/>
          </w:tcPr>
          <w:p w14:paraId="14CE6E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ŠENTJUR</w:t>
            </w:r>
          </w:p>
        </w:tc>
      </w:tr>
      <w:tr w:rsidR="00F24E18" w14:paraId="76BA63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A862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1818</w:t>
            </w:r>
          </w:p>
        </w:tc>
        <w:tc>
          <w:tcPr>
            <w:tcW w:w="1300" w:type="dxa"/>
            <w:tcBorders>
              <w:top w:val="nil"/>
              <w:left w:val="nil"/>
              <w:bottom w:val="single" w:sz="4" w:space="0" w:color="auto"/>
              <w:right w:val="single" w:sz="4" w:space="0" w:color="auto"/>
            </w:tcBorders>
            <w:noWrap/>
            <w:vAlign w:val="center"/>
            <w:hideMark/>
          </w:tcPr>
          <w:p w14:paraId="63E180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5087872000</w:t>
            </w:r>
          </w:p>
        </w:tc>
        <w:tc>
          <w:tcPr>
            <w:tcW w:w="1012" w:type="dxa"/>
            <w:tcBorders>
              <w:top w:val="nil"/>
              <w:left w:val="nil"/>
              <w:bottom w:val="single" w:sz="4" w:space="0" w:color="auto"/>
              <w:right w:val="single" w:sz="4" w:space="0" w:color="auto"/>
            </w:tcBorders>
            <w:noWrap/>
            <w:vAlign w:val="center"/>
            <w:hideMark/>
          </w:tcPr>
          <w:p w14:paraId="5D078D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13129635</w:t>
            </w:r>
          </w:p>
        </w:tc>
        <w:tc>
          <w:tcPr>
            <w:tcW w:w="5953" w:type="dxa"/>
            <w:tcBorders>
              <w:top w:val="nil"/>
              <w:left w:val="nil"/>
              <w:bottom w:val="single" w:sz="4" w:space="0" w:color="auto"/>
              <w:right w:val="single" w:sz="4" w:space="0" w:color="auto"/>
            </w:tcBorders>
            <w:noWrap/>
            <w:vAlign w:val="center"/>
            <w:hideMark/>
          </w:tcPr>
          <w:p w14:paraId="05C522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ŠKOFJA LOKA</w:t>
            </w:r>
          </w:p>
        </w:tc>
      </w:tr>
      <w:tr w:rsidR="00F24E18" w14:paraId="04B86B1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7B17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1819</w:t>
            </w:r>
          </w:p>
        </w:tc>
        <w:tc>
          <w:tcPr>
            <w:tcW w:w="1300" w:type="dxa"/>
            <w:tcBorders>
              <w:top w:val="nil"/>
              <w:left w:val="nil"/>
              <w:bottom w:val="single" w:sz="4" w:space="0" w:color="auto"/>
              <w:right w:val="single" w:sz="4" w:space="0" w:color="auto"/>
            </w:tcBorders>
            <w:vAlign w:val="center"/>
            <w:hideMark/>
          </w:tcPr>
          <w:p w14:paraId="784824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5243050000</w:t>
            </w:r>
          </w:p>
        </w:tc>
        <w:tc>
          <w:tcPr>
            <w:tcW w:w="1012" w:type="dxa"/>
            <w:tcBorders>
              <w:top w:val="nil"/>
              <w:left w:val="nil"/>
              <w:bottom w:val="single" w:sz="4" w:space="0" w:color="auto"/>
              <w:right w:val="single" w:sz="4" w:space="0" w:color="auto"/>
            </w:tcBorders>
            <w:vAlign w:val="center"/>
            <w:hideMark/>
          </w:tcPr>
          <w:p w14:paraId="02A8A9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98282522</w:t>
            </w:r>
          </w:p>
        </w:tc>
        <w:tc>
          <w:tcPr>
            <w:tcW w:w="5953" w:type="dxa"/>
            <w:tcBorders>
              <w:top w:val="nil"/>
              <w:left w:val="nil"/>
              <w:bottom w:val="single" w:sz="4" w:space="0" w:color="auto"/>
              <w:right w:val="single" w:sz="4" w:space="0" w:color="auto"/>
            </w:tcBorders>
            <w:noWrap/>
            <w:vAlign w:val="center"/>
            <w:hideMark/>
          </w:tcPr>
          <w:p w14:paraId="1B8CD4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VELENJE</w:t>
            </w:r>
          </w:p>
        </w:tc>
      </w:tr>
      <w:tr w:rsidR="00F24E18" w14:paraId="4C264B2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F0D3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1820</w:t>
            </w:r>
          </w:p>
        </w:tc>
        <w:tc>
          <w:tcPr>
            <w:tcW w:w="1300" w:type="dxa"/>
            <w:tcBorders>
              <w:top w:val="nil"/>
              <w:left w:val="nil"/>
              <w:bottom w:val="single" w:sz="4" w:space="0" w:color="auto"/>
              <w:right w:val="single" w:sz="4" w:space="0" w:color="auto"/>
            </w:tcBorders>
            <w:noWrap/>
            <w:vAlign w:val="center"/>
            <w:hideMark/>
          </w:tcPr>
          <w:p w14:paraId="7EECE6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5083435000</w:t>
            </w:r>
          </w:p>
        </w:tc>
        <w:tc>
          <w:tcPr>
            <w:tcW w:w="1012" w:type="dxa"/>
            <w:tcBorders>
              <w:top w:val="nil"/>
              <w:left w:val="nil"/>
              <w:bottom w:val="single" w:sz="4" w:space="0" w:color="auto"/>
              <w:right w:val="single" w:sz="4" w:space="0" w:color="auto"/>
            </w:tcBorders>
            <w:noWrap/>
            <w:vAlign w:val="center"/>
            <w:hideMark/>
          </w:tcPr>
          <w:p w14:paraId="614B03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76893375</w:t>
            </w:r>
          </w:p>
        </w:tc>
        <w:tc>
          <w:tcPr>
            <w:tcW w:w="5953" w:type="dxa"/>
            <w:tcBorders>
              <w:top w:val="nil"/>
              <w:left w:val="nil"/>
              <w:bottom w:val="single" w:sz="4" w:space="0" w:color="auto"/>
              <w:right w:val="single" w:sz="4" w:space="0" w:color="auto"/>
            </w:tcBorders>
            <w:noWrap/>
            <w:vAlign w:val="center"/>
            <w:hideMark/>
          </w:tcPr>
          <w:p w14:paraId="15C546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ŠOLSKI CENTER ZA POŠTO, EKONOMIJO IN TELEKOMUNIKACIJE LJUBLJANA</w:t>
            </w:r>
          </w:p>
        </w:tc>
      </w:tr>
      <w:tr w:rsidR="00F24E18" w14:paraId="14ED4B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1E72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1821</w:t>
            </w:r>
          </w:p>
        </w:tc>
        <w:tc>
          <w:tcPr>
            <w:tcW w:w="1300" w:type="dxa"/>
            <w:tcBorders>
              <w:top w:val="nil"/>
              <w:left w:val="nil"/>
              <w:bottom w:val="single" w:sz="4" w:space="0" w:color="auto"/>
              <w:right w:val="single" w:sz="4" w:space="0" w:color="auto"/>
            </w:tcBorders>
            <w:noWrap/>
            <w:vAlign w:val="center"/>
            <w:hideMark/>
          </w:tcPr>
          <w:p w14:paraId="4F208B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3388042000</w:t>
            </w:r>
          </w:p>
        </w:tc>
        <w:tc>
          <w:tcPr>
            <w:tcW w:w="1012" w:type="dxa"/>
            <w:tcBorders>
              <w:top w:val="nil"/>
              <w:left w:val="nil"/>
              <w:bottom w:val="single" w:sz="4" w:space="0" w:color="auto"/>
              <w:right w:val="single" w:sz="4" w:space="0" w:color="auto"/>
            </w:tcBorders>
            <w:noWrap/>
            <w:vAlign w:val="center"/>
            <w:hideMark/>
          </w:tcPr>
          <w:p w14:paraId="2E9AD8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10663924</w:t>
            </w:r>
          </w:p>
        </w:tc>
        <w:tc>
          <w:tcPr>
            <w:tcW w:w="5953" w:type="dxa"/>
            <w:tcBorders>
              <w:top w:val="nil"/>
              <w:left w:val="nil"/>
              <w:bottom w:val="single" w:sz="4" w:space="0" w:color="auto"/>
              <w:right w:val="single" w:sz="4" w:space="0" w:color="auto"/>
            </w:tcBorders>
            <w:noWrap/>
            <w:vAlign w:val="center"/>
            <w:hideMark/>
          </w:tcPr>
          <w:p w14:paraId="05687F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ŠPORT MARIBOR, DRUŽBA ZA UPRAVLJANJE S ŠPORTNIMI OBJEKTI D.O.O.</w:t>
            </w:r>
          </w:p>
        </w:tc>
      </w:tr>
      <w:tr w:rsidR="00F24E18" w14:paraId="780E6B0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7DAF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1822</w:t>
            </w:r>
          </w:p>
        </w:tc>
        <w:tc>
          <w:tcPr>
            <w:tcW w:w="1300" w:type="dxa"/>
            <w:tcBorders>
              <w:top w:val="nil"/>
              <w:left w:val="nil"/>
              <w:bottom w:val="single" w:sz="4" w:space="0" w:color="auto"/>
              <w:right w:val="single" w:sz="4" w:space="0" w:color="auto"/>
            </w:tcBorders>
            <w:noWrap/>
            <w:vAlign w:val="center"/>
            <w:hideMark/>
          </w:tcPr>
          <w:p w14:paraId="66D5BC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1411004000</w:t>
            </w:r>
          </w:p>
        </w:tc>
        <w:tc>
          <w:tcPr>
            <w:tcW w:w="1012" w:type="dxa"/>
            <w:tcBorders>
              <w:top w:val="nil"/>
              <w:left w:val="nil"/>
              <w:bottom w:val="single" w:sz="4" w:space="0" w:color="auto"/>
              <w:right w:val="single" w:sz="4" w:space="0" w:color="auto"/>
            </w:tcBorders>
            <w:noWrap/>
            <w:vAlign w:val="center"/>
            <w:hideMark/>
          </w:tcPr>
          <w:p w14:paraId="30B325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62792601</w:t>
            </w:r>
          </w:p>
        </w:tc>
        <w:tc>
          <w:tcPr>
            <w:tcW w:w="5953" w:type="dxa"/>
            <w:tcBorders>
              <w:top w:val="nil"/>
              <w:left w:val="nil"/>
              <w:bottom w:val="single" w:sz="4" w:space="0" w:color="auto"/>
              <w:right w:val="single" w:sz="4" w:space="0" w:color="auto"/>
            </w:tcBorders>
            <w:noWrap/>
            <w:vAlign w:val="center"/>
            <w:hideMark/>
          </w:tcPr>
          <w:p w14:paraId="63B6D4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ŠTUDENTSKA ORGANIZACIJA SLOVENIJE</w:t>
            </w:r>
          </w:p>
        </w:tc>
      </w:tr>
      <w:tr w:rsidR="00F24E18" w14:paraId="3CBCCD2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2BD7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1823</w:t>
            </w:r>
          </w:p>
        </w:tc>
        <w:tc>
          <w:tcPr>
            <w:tcW w:w="1300" w:type="dxa"/>
            <w:tcBorders>
              <w:top w:val="nil"/>
              <w:left w:val="nil"/>
              <w:bottom w:val="single" w:sz="4" w:space="0" w:color="auto"/>
              <w:right w:val="single" w:sz="4" w:space="0" w:color="auto"/>
            </w:tcBorders>
            <w:noWrap/>
            <w:vAlign w:val="center"/>
            <w:hideMark/>
          </w:tcPr>
          <w:p w14:paraId="18F68C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1852191000</w:t>
            </w:r>
          </w:p>
        </w:tc>
        <w:tc>
          <w:tcPr>
            <w:tcW w:w="1012" w:type="dxa"/>
            <w:tcBorders>
              <w:top w:val="nil"/>
              <w:left w:val="nil"/>
              <w:bottom w:val="single" w:sz="4" w:space="0" w:color="auto"/>
              <w:right w:val="single" w:sz="4" w:space="0" w:color="auto"/>
            </w:tcBorders>
            <w:noWrap/>
            <w:vAlign w:val="center"/>
            <w:hideMark/>
          </w:tcPr>
          <w:p w14:paraId="458795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15176436</w:t>
            </w:r>
          </w:p>
        </w:tc>
        <w:tc>
          <w:tcPr>
            <w:tcW w:w="5953" w:type="dxa"/>
            <w:tcBorders>
              <w:top w:val="nil"/>
              <w:left w:val="nil"/>
              <w:bottom w:val="single" w:sz="4" w:space="0" w:color="auto"/>
              <w:right w:val="single" w:sz="4" w:space="0" w:color="auto"/>
            </w:tcBorders>
            <w:noWrap/>
            <w:vAlign w:val="center"/>
            <w:hideMark/>
          </w:tcPr>
          <w:p w14:paraId="7D90F2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ŠTUDENTSKA ORGANIZACIJA UNIVERZE NA PRIMORSKEM</w:t>
            </w:r>
          </w:p>
        </w:tc>
      </w:tr>
      <w:tr w:rsidR="00F24E18" w14:paraId="60DDEC1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16DC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1824</w:t>
            </w:r>
          </w:p>
        </w:tc>
        <w:tc>
          <w:tcPr>
            <w:tcW w:w="1300" w:type="dxa"/>
            <w:tcBorders>
              <w:top w:val="nil"/>
              <w:left w:val="nil"/>
              <w:bottom w:val="single" w:sz="4" w:space="0" w:color="auto"/>
              <w:right w:val="single" w:sz="4" w:space="0" w:color="auto"/>
            </w:tcBorders>
            <w:vAlign w:val="center"/>
            <w:hideMark/>
          </w:tcPr>
          <w:p w14:paraId="3220C4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5133734000</w:t>
            </w:r>
          </w:p>
        </w:tc>
        <w:tc>
          <w:tcPr>
            <w:tcW w:w="1012" w:type="dxa"/>
            <w:tcBorders>
              <w:top w:val="nil"/>
              <w:left w:val="nil"/>
              <w:bottom w:val="single" w:sz="4" w:space="0" w:color="auto"/>
              <w:right w:val="single" w:sz="4" w:space="0" w:color="auto"/>
            </w:tcBorders>
            <w:vAlign w:val="center"/>
            <w:hideMark/>
          </w:tcPr>
          <w:p w14:paraId="2E1BF5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55049745</w:t>
            </w:r>
          </w:p>
        </w:tc>
        <w:tc>
          <w:tcPr>
            <w:tcW w:w="5953" w:type="dxa"/>
            <w:tcBorders>
              <w:top w:val="nil"/>
              <w:left w:val="nil"/>
              <w:bottom w:val="single" w:sz="4" w:space="0" w:color="auto"/>
              <w:right w:val="single" w:sz="4" w:space="0" w:color="auto"/>
            </w:tcBorders>
            <w:noWrap/>
            <w:vAlign w:val="center"/>
            <w:hideMark/>
          </w:tcPr>
          <w:p w14:paraId="01A98E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ŠTUDENTSKA ORGANIZACIJA UNIVERZE V LJUBLJANI</w:t>
            </w:r>
          </w:p>
        </w:tc>
      </w:tr>
      <w:tr w:rsidR="00F24E18" w14:paraId="2DCB93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B763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1825</w:t>
            </w:r>
          </w:p>
        </w:tc>
        <w:tc>
          <w:tcPr>
            <w:tcW w:w="1300" w:type="dxa"/>
            <w:tcBorders>
              <w:top w:val="nil"/>
              <w:left w:val="nil"/>
              <w:bottom w:val="single" w:sz="4" w:space="0" w:color="auto"/>
              <w:right w:val="single" w:sz="4" w:space="0" w:color="auto"/>
            </w:tcBorders>
            <w:noWrap/>
            <w:vAlign w:val="center"/>
            <w:hideMark/>
          </w:tcPr>
          <w:p w14:paraId="627245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5492122000</w:t>
            </w:r>
          </w:p>
        </w:tc>
        <w:tc>
          <w:tcPr>
            <w:tcW w:w="1012" w:type="dxa"/>
            <w:tcBorders>
              <w:top w:val="nil"/>
              <w:left w:val="nil"/>
              <w:bottom w:val="single" w:sz="4" w:space="0" w:color="auto"/>
              <w:right w:val="single" w:sz="4" w:space="0" w:color="auto"/>
            </w:tcBorders>
            <w:noWrap/>
            <w:vAlign w:val="center"/>
            <w:hideMark/>
          </w:tcPr>
          <w:p w14:paraId="54E6EB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64710564</w:t>
            </w:r>
          </w:p>
        </w:tc>
        <w:tc>
          <w:tcPr>
            <w:tcW w:w="5953" w:type="dxa"/>
            <w:tcBorders>
              <w:top w:val="nil"/>
              <w:left w:val="nil"/>
              <w:bottom w:val="single" w:sz="4" w:space="0" w:color="auto"/>
              <w:right w:val="single" w:sz="4" w:space="0" w:color="auto"/>
            </w:tcBorders>
            <w:noWrap/>
            <w:vAlign w:val="center"/>
            <w:hideMark/>
          </w:tcPr>
          <w:p w14:paraId="39D4A5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ŠTUDENTSKA ORGANIZACIJA UNIVERZE V MARIBORU</w:t>
            </w:r>
          </w:p>
        </w:tc>
      </w:tr>
      <w:tr w:rsidR="00F24E18" w14:paraId="5F6B6D9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E091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1826</w:t>
            </w:r>
          </w:p>
        </w:tc>
        <w:tc>
          <w:tcPr>
            <w:tcW w:w="1300" w:type="dxa"/>
            <w:tcBorders>
              <w:top w:val="nil"/>
              <w:left w:val="nil"/>
              <w:bottom w:val="single" w:sz="4" w:space="0" w:color="auto"/>
              <w:right w:val="single" w:sz="4" w:space="0" w:color="auto"/>
            </w:tcBorders>
            <w:noWrap/>
            <w:vAlign w:val="center"/>
            <w:hideMark/>
          </w:tcPr>
          <w:p w14:paraId="43426E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3655822000</w:t>
            </w:r>
          </w:p>
        </w:tc>
        <w:tc>
          <w:tcPr>
            <w:tcW w:w="1012" w:type="dxa"/>
            <w:tcBorders>
              <w:top w:val="nil"/>
              <w:left w:val="nil"/>
              <w:bottom w:val="single" w:sz="4" w:space="0" w:color="auto"/>
              <w:right w:val="single" w:sz="4" w:space="0" w:color="auto"/>
            </w:tcBorders>
            <w:noWrap/>
            <w:vAlign w:val="center"/>
            <w:hideMark/>
          </w:tcPr>
          <w:p w14:paraId="668688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18891993</w:t>
            </w:r>
          </w:p>
        </w:tc>
        <w:tc>
          <w:tcPr>
            <w:tcW w:w="5953" w:type="dxa"/>
            <w:tcBorders>
              <w:top w:val="nil"/>
              <w:left w:val="nil"/>
              <w:bottom w:val="single" w:sz="4" w:space="0" w:color="auto"/>
              <w:right w:val="single" w:sz="4" w:space="0" w:color="auto"/>
            </w:tcBorders>
            <w:noWrap/>
            <w:vAlign w:val="center"/>
            <w:hideMark/>
          </w:tcPr>
          <w:p w14:paraId="522E90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ŠTUDENTSKA SVETOVALNICA ŠTUDENTSKE ORGANIZACIJE UNIVERZE V LJUBLJANI, ZAVOD ZA SVETOVALNE DEJAVNOSTI</w:t>
            </w:r>
          </w:p>
        </w:tc>
      </w:tr>
      <w:tr w:rsidR="00F24E18" w14:paraId="53D0A3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5774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1827</w:t>
            </w:r>
          </w:p>
        </w:tc>
        <w:tc>
          <w:tcPr>
            <w:tcW w:w="1300" w:type="dxa"/>
            <w:tcBorders>
              <w:top w:val="nil"/>
              <w:left w:val="nil"/>
              <w:bottom w:val="single" w:sz="4" w:space="0" w:color="auto"/>
              <w:right w:val="single" w:sz="4" w:space="0" w:color="auto"/>
            </w:tcBorders>
            <w:vAlign w:val="center"/>
            <w:hideMark/>
          </w:tcPr>
          <w:p w14:paraId="312797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6280722000</w:t>
            </w:r>
          </w:p>
        </w:tc>
        <w:tc>
          <w:tcPr>
            <w:tcW w:w="1012" w:type="dxa"/>
            <w:tcBorders>
              <w:top w:val="nil"/>
              <w:left w:val="nil"/>
              <w:bottom w:val="single" w:sz="4" w:space="0" w:color="auto"/>
              <w:right w:val="single" w:sz="4" w:space="0" w:color="auto"/>
            </w:tcBorders>
            <w:vAlign w:val="center"/>
            <w:hideMark/>
          </w:tcPr>
          <w:p w14:paraId="56F11B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13258664</w:t>
            </w:r>
          </w:p>
        </w:tc>
        <w:tc>
          <w:tcPr>
            <w:tcW w:w="5953" w:type="dxa"/>
            <w:tcBorders>
              <w:top w:val="nil"/>
              <w:left w:val="nil"/>
              <w:bottom w:val="single" w:sz="4" w:space="0" w:color="auto"/>
              <w:right w:val="single" w:sz="4" w:space="0" w:color="auto"/>
            </w:tcBorders>
            <w:noWrap/>
            <w:vAlign w:val="center"/>
            <w:hideMark/>
          </w:tcPr>
          <w:p w14:paraId="7ABA30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ŠTUDENTSKI DOM LJUBLJANA</w:t>
            </w:r>
          </w:p>
        </w:tc>
      </w:tr>
      <w:tr w:rsidR="00F24E18" w14:paraId="352B14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1894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1828</w:t>
            </w:r>
          </w:p>
        </w:tc>
        <w:tc>
          <w:tcPr>
            <w:tcW w:w="1300" w:type="dxa"/>
            <w:tcBorders>
              <w:top w:val="nil"/>
              <w:left w:val="nil"/>
              <w:bottom w:val="single" w:sz="4" w:space="0" w:color="auto"/>
              <w:right w:val="single" w:sz="4" w:space="0" w:color="auto"/>
            </w:tcBorders>
            <w:noWrap/>
            <w:vAlign w:val="center"/>
            <w:hideMark/>
          </w:tcPr>
          <w:p w14:paraId="78014C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1178873000</w:t>
            </w:r>
          </w:p>
        </w:tc>
        <w:tc>
          <w:tcPr>
            <w:tcW w:w="1012" w:type="dxa"/>
            <w:tcBorders>
              <w:top w:val="nil"/>
              <w:left w:val="nil"/>
              <w:bottom w:val="single" w:sz="4" w:space="0" w:color="auto"/>
              <w:right w:val="single" w:sz="4" w:space="0" w:color="auto"/>
            </w:tcBorders>
            <w:noWrap/>
            <w:vAlign w:val="center"/>
            <w:hideMark/>
          </w:tcPr>
          <w:p w14:paraId="64EADA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45315639</w:t>
            </w:r>
          </w:p>
        </w:tc>
        <w:tc>
          <w:tcPr>
            <w:tcW w:w="5953" w:type="dxa"/>
            <w:tcBorders>
              <w:top w:val="nil"/>
              <w:left w:val="nil"/>
              <w:bottom w:val="single" w:sz="4" w:space="0" w:color="auto"/>
              <w:right w:val="single" w:sz="4" w:space="0" w:color="auto"/>
            </w:tcBorders>
            <w:noWrap/>
            <w:vAlign w:val="center"/>
            <w:hideMark/>
          </w:tcPr>
          <w:p w14:paraId="20DC0E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ŠTUDENTSKI KLUB GROŠ</w:t>
            </w:r>
          </w:p>
        </w:tc>
      </w:tr>
      <w:tr w:rsidR="00F24E18" w14:paraId="3B4D7C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CBD6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1829</w:t>
            </w:r>
          </w:p>
        </w:tc>
        <w:tc>
          <w:tcPr>
            <w:tcW w:w="1300" w:type="dxa"/>
            <w:tcBorders>
              <w:top w:val="nil"/>
              <w:left w:val="nil"/>
              <w:bottom w:val="single" w:sz="4" w:space="0" w:color="auto"/>
              <w:right w:val="single" w:sz="4" w:space="0" w:color="auto"/>
            </w:tcBorders>
            <w:noWrap/>
            <w:vAlign w:val="center"/>
            <w:hideMark/>
          </w:tcPr>
          <w:p w14:paraId="36F198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5911575000</w:t>
            </w:r>
          </w:p>
        </w:tc>
        <w:tc>
          <w:tcPr>
            <w:tcW w:w="1012" w:type="dxa"/>
            <w:tcBorders>
              <w:top w:val="nil"/>
              <w:left w:val="nil"/>
              <w:bottom w:val="single" w:sz="4" w:space="0" w:color="auto"/>
              <w:right w:val="single" w:sz="4" w:space="0" w:color="auto"/>
            </w:tcBorders>
            <w:noWrap/>
            <w:vAlign w:val="center"/>
            <w:hideMark/>
          </w:tcPr>
          <w:p w14:paraId="6D7A7E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79334105</w:t>
            </w:r>
          </w:p>
        </w:tc>
        <w:tc>
          <w:tcPr>
            <w:tcW w:w="5953" w:type="dxa"/>
            <w:tcBorders>
              <w:top w:val="nil"/>
              <w:left w:val="nil"/>
              <w:bottom w:val="single" w:sz="4" w:space="0" w:color="auto"/>
              <w:right w:val="single" w:sz="4" w:space="0" w:color="auto"/>
            </w:tcBorders>
            <w:noWrap/>
            <w:vAlign w:val="center"/>
            <w:hideMark/>
          </w:tcPr>
          <w:p w14:paraId="0F4A95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ŠTUDENTSKI KLUB KAMNIK</w:t>
            </w:r>
          </w:p>
        </w:tc>
      </w:tr>
      <w:tr w:rsidR="00F24E18" w14:paraId="42AB9B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ACB9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1830</w:t>
            </w:r>
          </w:p>
        </w:tc>
        <w:tc>
          <w:tcPr>
            <w:tcW w:w="1300" w:type="dxa"/>
            <w:tcBorders>
              <w:top w:val="nil"/>
              <w:left w:val="nil"/>
              <w:bottom w:val="single" w:sz="4" w:space="0" w:color="auto"/>
              <w:right w:val="single" w:sz="4" w:space="0" w:color="auto"/>
            </w:tcBorders>
            <w:noWrap/>
            <w:vAlign w:val="center"/>
            <w:hideMark/>
          </w:tcPr>
          <w:p w14:paraId="4B5515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1139096000</w:t>
            </w:r>
          </w:p>
        </w:tc>
        <w:tc>
          <w:tcPr>
            <w:tcW w:w="1012" w:type="dxa"/>
            <w:tcBorders>
              <w:top w:val="nil"/>
              <w:left w:val="nil"/>
              <w:bottom w:val="single" w:sz="4" w:space="0" w:color="auto"/>
              <w:right w:val="single" w:sz="4" w:space="0" w:color="auto"/>
            </w:tcBorders>
            <w:noWrap/>
            <w:vAlign w:val="center"/>
            <w:hideMark/>
          </w:tcPr>
          <w:p w14:paraId="1A3708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80663486</w:t>
            </w:r>
          </w:p>
        </w:tc>
        <w:tc>
          <w:tcPr>
            <w:tcW w:w="5953" w:type="dxa"/>
            <w:tcBorders>
              <w:top w:val="nil"/>
              <w:left w:val="nil"/>
              <w:bottom w:val="single" w:sz="4" w:space="0" w:color="auto"/>
              <w:right w:val="single" w:sz="4" w:space="0" w:color="auto"/>
            </w:tcBorders>
            <w:noWrap/>
            <w:vAlign w:val="center"/>
            <w:hideMark/>
          </w:tcPr>
          <w:p w14:paraId="4C465E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ŠTUDENTSKI KLUB SEVNICA</w:t>
            </w:r>
          </w:p>
        </w:tc>
      </w:tr>
      <w:tr w:rsidR="00F24E18" w14:paraId="07C6967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7EDF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1831</w:t>
            </w:r>
          </w:p>
        </w:tc>
        <w:tc>
          <w:tcPr>
            <w:tcW w:w="1300" w:type="dxa"/>
            <w:tcBorders>
              <w:top w:val="nil"/>
              <w:left w:val="nil"/>
              <w:bottom w:val="single" w:sz="4" w:space="0" w:color="auto"/>
              <w:right w:val="single" w:sz="4" w:space="0" w:color="auto"/>
            </w:tcBorders>
            <w:noWrap/>
            <w:vAlign w:val="center"/>
            <w:hideMark/>
          </w:tcPr>
          <w:p w14:paraId="3A5629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1164546000</w:t>
            </w:r>
          </w:p>
        </w:tc>
        <w:tc>
          <w:tcPr>
            <w:tcW w:w="1012" w:type="dxa"/>
            <w:tcBorders>
              <w:top w:val="nil"/>
              <w:left w:val="nil"/>
              <w:bottom w:val="single" w:sz="4" w:space="0" w:color="auto"/>
              <w:right w:val="single" w:sz="4" w:space="0" w:color="auto"/>
            </w:tcBorders>
            <w:noWrap/>
            <w:vAlign w:val="center"/>
            <w:hideMark/>
          </w:tcPr>
          <w:p w14:paraId="168CE4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86901362</w:t>
            </w:r>
          </w:p>
        </w:tc>
        <w:tc>
          <w:tcPr>
            <w:tcW w:w="5953" w:type="dxa"/>
            <w:tcBorders>
              <w:top w:val="nil"/>
              <w:left w:val="nil"/>
              <w:bottom w:val="single" w:sz="4" w:space="0" w:color="auto"/>
              <w:right w:val="single" w:sz="4" w:space="0" w:color="auto"/>
            </w:tcBorders>
            <w:noWrap/>
            <w:vAlign w:val="center"/>
            <w:hideMark/>
          </w:tcPr>
          <w:p w14:paraId="3626C0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ŠTUDENTSKI KLUB SLOVENSKIH GORIC</w:t>
            </w:r>
          </w:p>
        </w:tc>
      </w:tr>
      <w:tr w:rsidR="00F24E18" w14:paraId="5942445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87CE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1832</w:t>
            </w:r>
          </w:p>
        </w:tc>
        <w:tc>
          <w:tcPr>
            <w:tcW w:w="1300" w:type="dxa"/>
            <w:tcBorders>
              <w:top w:val="nil"/>
              <w:left w:val="nil"/>
              <w:bottom w:val="single" w:sz="4" w:space="0" w:color="auto"/>
              <w:right w:val="single" w:sz="4" w:space="0" w:color="auto"/>
            </w:tcBorders>
            <w:noWrap/>
            <w:vAlign w:val="center"/>
            <w:hideMark/>
          </w:tcPr>
          <w:p w14:paraId="3CFA27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5696623000</w:t>
            </w:r>
          </w:p>
        </w:tc>
        <w:tc>
          <w:tcPr>
            <w:tcW w:w="1012" w:type="dxa"/>
            <w:tcBorders>
              <w:top w:val="nil"/>
              <w:left w:val="nil"/>
              <w:bottom w:val="single" w:sz="4" w:space="0" w:color="auto"/>
              <w:right w:val="single" w:sz="4" w:space="0" w:color="auto"/>
            </w:tcBorders>
            <w:noWrap/>
            <w:vAlign w:val="center"/>
            <w:hideMark/>
          </w:tcPr>
          <w:p w14:paraId="63C221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51508427</w:t>
            </w:r>
          </w:p>
        </w:tc>
        <w:tc>
          <w:tcPr>
            <w:tcW w:w="5953" w:type="dxa"/>
            <w:tcBorders>
              <w:top w:val="nil"/>
              <w:left w:val="nil"/>
              <w:bottom w:val="single" w:sz="4" w:space="0" w:color="auto"/>
              <w:right w:val="single" w:sz="4" w:space="0" w:color="auto"/>
            </w:tcBorders>
            <w:noWrap/>
            <w:vAlign w:val="center"/>
            <w:hideMark/>
          </w:tcPr>
          <w:p w14:paraId="297A70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ŠTUDENTSKI KLUB ŽALEC</w:t>
            </w:r>
          </w:p>
        </w:tc>
      </w:tr>
      <w:tr w:rsidR="00F24E18" w14:paraId="3E43801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E458C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1833</w:t>
            </w:r>
          </w:p>
        </w:tc>
        <w:tc>
          <w:tcPr>
            <w:tcW w:w="1300" w:type="dxa"/>
            <w:tcBorders>
              <w:top w:val="nil"/>
              <w:left w:val="nil"/>
              <w:bottom w:val="single" w:sz="4" w:space="0" w:color="auto"/>
              <w:right w:val="single" w:sz="4" w:space="0" w:color="auto"/>
            </w:tcBorders>
            <w:noWrap/>
            <w:vAlign w:val="center"/>
            <w:hideMark/>
          </w:tcPr>
          <w:p w14:paraId="2D301A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3325369000</w:t>
            </w:r>
          </w:p>
        </w:tc>
        <w:tc>
          <w:tcPr>
            <w:tcW w:w="1012" w:type="dxa"/>
            <w:tcBorders>
              <w:top w:val="nil"/>
              <w:left w:val="nil"/>
              <w:bottom w:val="single" w:sz="4" w:space="0" w:color="auto"/>
              <w:right w:val="single" w:sz="4" w:space="0" w:color="auto"/>
            </w:tcBorders>
            <w:noWrap/>
            <w:vAlign w:val="center"/>
            <w:hideMark/>
          </w:tcPr>
          <w:p w14:paraId="298609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71180079</w:t>
            </w:r>
          </w:p>
        </w:tc>
        <w:tc>
          <w:tcPr>
            <w:tcW w:w="5953" w:type="dxa"/>
            <w:tcBorders>
              <w:top w:val="nil"/>
              <w:left w:val="nil"/>
              <w:bottom w:val="single" w:sz="4" w:space="0" w:color="auto"/>
              <w:right w:val="single" w:sz="4" w:space="0" w:color="auto"/>
            </w:tcBorders>
            <w:noWrap/>
            <w:vAlign w:val="center"/>
            <w:hideMark/>
          </w:tcPr>
          <w:p w14:paraId="162C58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ŠTUDIJSKI CENTER ZA NARODNO SPRAVO</w:t>
            </w:r>
          </w:p>
        </w:tc>
      </w:tr>
      <w:tr w:rsidR="00F24E18" w14:paraId="3A3B6A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9707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1834</w:t>
            </w:r>
          </w:p>
        </w:tc>
        <w:tc>
          <w:tcPr>
            <w:tcW w:w="1300" w:type="dxa"/>
            <w:tcBorders>
              <w:top w:val="nil"/>
              <w:left w:val="nil"/>
              <w:bottom w:val="single" w:sz="4" w:space="0" w:color="auto"/>
              <w:right w:val="single" w:sz="4" w:space="0" w:color="auto"/>
            </w:tcBorders>
            <w:vAlign w:val="center"/>
            <w:hideMark/>
          </w:tcPr>
          <w:p w14:paraId="43046B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5052602000</w:t>
            </w:r>
          </w:p>
        </w:tc>
        <w:tc>
          <w:tcPr>
            <w:tcW w:w="1012" w:type="dxa"/>
            <w:tcBorders>
              <w:top w:val="nil"/>
              <w:left w:val="nil"/>
              <w:bottom w:val="single" w:sz="4" w:space="0" w:color="auto"/>
              <w:right w:val="single" w:sz="4" w:space="0" w:color="auto"/>
            </w:tcBorders>
            <w:vAlign w:val="center"/>
            <w:hideMark/>
          </w:tcPr>
          <w:p w14:paraId="1BA6F4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96599944</w:t>
            </w:r>
          </w:p>
        </w:tc>
        <w:tc>
          <w:tcPr>
            <w:tcW w:w="5953" w:type="dxa"/>
            <w:tcBorders>
              <w:top w:val="nil"/>
              <w:left w:val="nil"/>
              <w:bottom w:val="single" w:sz="4" w:space="0" w:color="auto"/>
              <w:right w:val="single" w:sz="4" w:space="0" w:color="auto"/>
            </w:tcBorders>
            <w:noWrap/>
            <w:vAlign w:val="center"/>
            <w:hideMark/>
          </w:tcPr>
          <w:p w14:paraId="6EF14D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TEHNIŠKI MUZEJ SLOVENIJE</w:t>
            </w:r>
          </w:p>
        </w:tc>
      </w:tr>
      <w:tr w:rsidR="00F24E18" w14:paraId="127DAB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803A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1835</w:t>
            </w:r>
          </w:p>
        </w:tc>
        <w:tc>
          <w:tcPr>
            <w:tcW w:w="1300" w:type="dxa"/>
            <w:tcBorders>
              <w:top w:val="nil"/>
              <w:left w:val="nil"/>
              <w:bottom w:val="single" w:sz="4" w:space="0" w:color="auto"/>
              <w:right w:val="single" w:sz="4" w:space="0" w:color="auto"/>
            </w:tcBorders>
            <w:vAlign w:val="center"/>
            <w:hideMark/>
          </w:tcPr>
          <w:p w14:paraId="165E22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6669107000</w:t>
            </w:r>
          </w:p>
        </w:tc>
        <w:tc>
          <w:tcPr>
            <w:tcW w:w="1012" w:type="dxa"/>
            <w:tcBorders>
              <w:top w:val="nil"/>
              <w:left w:val="nil"/>
              <w:bottom w:val="single" w:sz="4" w:space="0" w:color="auto"/>
              <w:right w:val="single" w:sz="4" w:space="0" w:color="auto"/>
            </w:tcBorders>
            <w:vAlign w:val="center"/>
            <w:hideMark/>
          </w:tcPr>
          <w:p w14:paraId="3464EE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95675680</w:t>
            </w:r>
          </w:p>
        </w:tc>
        <w:tc>
          <w:tcPr>
            <w:tcW w:w="5953" w:type="dxa"/>
            <w:tcBorders>
              <w:top w:val="nil"/>
              <w:left w:val="nil"/>
              <w:bottom w:val="single" w:sz="4" w:space="0" w:color="auto"/>
              <w:right w:val="single" w:sz="4" w:space="0" w:color="auto"/>
            </w:tcBorders>
            <w:noWrap/>
            <w:vAlign w:val="center"/>
            <w:hideMark/>
          </w:tcPr>
          <w:p w14:paraId="1F2967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TEHNIŠKI ŠOLSKI CENTER MARIBOR</w:t>
            </w:r>
          </w:p>
        </w:tc>
      </w:tr>
      <w:tr w:rsidR="00F24E18" w14:paraId="0AD0B6F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37B7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1836</w:t>
            </w:r>
          </w:p>
        </w:tc>
        <w:tc>
          <w:tcPr>
            <w:tcW w:w="1300" w:type="dxa"/>
            <w:tcBorders>
              <w:top w:val="nil"/>
              <w:left w:val="nil"/>
              <w:bottom w:val="single" w:sz="4" w:space="0" w:color="auto"/>
              <w:right w:val="single" w:sz="4" w:space="0" w:color="auto"/>
            </w:tcBorders>
            <w:noWrap/>
            <w:vAlign w:val="center"/>
            <w:hideMark/>
          </w:tcPr>
          <w:p w14:paraId="469A82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8538573000</w:t>
            </w:r>
          </w:p>
        </w:tc>
        <w:tc>
          <w:tcPr>
            <w:tcW w:w="1012" w:type="dxa"/>
            <w:tcBorders>
              <w:top w:val="nil"/>
              <w:left w:val="nil"/>
              <w:bottom w:val="single" w:sz="4" w:space="0" w:color="auto"/>
              <w:right w:val="single" w:sz="4" w:space="0" w:color="auto"/>
            </w:tcBorders>
            <w:noWrap/>
            <w:vAlign w:val="center"/>
            <w:hideMark/>
          </w:tcPr>
          <w:p w14:paraId="309268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18665594</w:t>
            </w:r>
          </w:p>
        </w:tc>
        <w:tc>
          <w:tcPr>
            <w:tcW w:w="5953" w:type="dxa"/>
            <w:tcBorders>
              <w:top w:val="nil"/>
              <w:left w:val="nil"/>
              <w:bottom w:val="single" w:sz="4" w:space="0" w:color="auto"/>
              <w:right w:val="single" w:sz="4" w:space="0" w:color="auto"/>
            </w:tcBorders>
            <w:noWrap/>
            <w:vAlign w:val="center"/>
            <w:hideMark/>
          </w:tcPr>
          <w:p w14:paraId="7BB932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TEHNO PARK CELJE, JAVNI ZAVOD ZA SPODBUJANJE ZNANOSTI, TEHNOLOGIJE IN INOVATIVNOSTI</w:t>
            </w:r>
          </w:p>
        </w:tc>
      </w:tr>
      <w:tr w:rsidR="00F24E18" w14:paraId="153404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074E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1837</w:t>
            </w:r>
          </w:p>
        </w:tc>
        <w:tc>
          <w:tcPr>
            <w:tcW w:w="1300" w:type="dxa"/>
            <w:tcBorders>
              <w:top w:val="nil"/>
              <w:left w:val="nil"/>
              <w:bottom w:val="single" w:sz="4" w:space="0" w:color="auto"/>
              <w:right w:val="single" w:sz="4" w:space="0" w:color="auto"/>
            </w:tcBorders>
            <w:noWrap/>
            <w:vAlign w:val="center"/>
            <w:hideMark/>
          </w:tcPr>
          <w:p w14:paraId="27498D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5911508000</w:t>
            </w:r>
          </w:p>
        </w:tc>
        <w:tc>
          <w:tcPr>
            <w:tcW w:w="1012" w:type="dxa"/>
            <w:tcBorders>
              <w:top w:val="nil"/>
              <w:left w:val="nil"/>
              <w:bottom w:val="single" w:sz="4" w:space="0" w:color="auto"/>
              <w:right w:val="single" w:sz="4" w:space="0" w:color="auto"/>
            </w:tcBorders>
            <w:noWrap/>
            <w:vAlign w:val="center"/>
            <w:hideMark/>
          </w:tcPr>
          <w:p w14:paraId="4BBBE1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44444656</w:t>
            </w:r>
          </w:p>
        </w:tc>
        <w:tc>
          <w:tcPr>
            <w:tcW w:w="5953" w:type="dxa"/>
            <w:tcBorders>
              <w:top w:val="nil"/>
              <w:left w:val="nil"/>
              <w:bottom w:val="single" w:sz="4" w:space="0" w:color="auto"/>
              <w:right w:val="single" w:sz="4" w:space="0" w:color="auto"/>
            </w:tcBorders>
            <w:noWrap/>
            <w:vAlign w:val="center"/>
            <w:hideMark/>
          </w:tcPr>
          <w:p w14:paraId="01CF9F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TEHNOLOŠKI PARK LJUBLJANA D.O.O.</w:t>
            </w:r>
          </w:p>
        </w:tc>
      </w:tr>
      <w:tr w:rsidR="00F24E18" w14:paraId="6E2F2C2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95C7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1838</w:t>
            </w:r>
          </w:p>
        </w:tc>
        <w:tc>
          <w:tcPr>
            <w:tcW w:w="1300" w:type="dxa"/>
            <w:tcBorders>
              <w:top w:val="nil"/>
              <w:left w:val="nil"/>
              <w:bottom w:val="single" w:sz="4" w:space="0" w:color="auto"/>
              <w:right w:val="single" w:sz="4" w:space="0" w:color="auto"/>
            </w:tcBorders>
            <w:vAlign w:val="center"/>
            <w:hideMark/>
          </w:tcPr>
          <w:p w14:paraId="1820EA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5033772000</w:t>
            </w:r>
          </w:p>
        </w:tc>
        <w:tc>
          <w:tcPr>
            <w:tcW w:w="1012" w:type="dxa"/>
            <w:tcBorders>
              <w:top w:val="nil"/>
              <w:left w:val="nil"/>
              <w:bottom w:val="single" w:sz="4" w:space="0" w:color="auto"/>
              <w:right w:val="single" w:sz="4" w:space="0" w:color="auto"/>
            </w:tcBorders>
            <w:vAlign w:val="center"/>
            <w:hideMark/>
          </w:tcPr>
          <w:p w14:paraId="41DBEC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49407783</w:t>
            </w:r>
          </w:p>
        </w:tc>
        <w:tc>
          <w:tcPr>
            <w:tcW w:w="5953" w:type="dxa"/>
            <w:tcBorders>
              <w:top w:val="nil"/>
              <w:left w:val="nil"/>
              <w:bottom w:val="single" w:sz="4" w:space="0" w:color="auto"/>
              <w:right w:val="single" w:sz="4" w:space="0" w:color="auto"/>
            </w:tcBorders>
            <w:noWrap/>
            <w:vAlign w:val="center"/>
            <w:hideMark/>
          </w:tcPr>
          <w:p w14:paraId="2D1733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TERMOELEKTRARNA BRESTANICA D.O.O.</w:t>
            </w:r>
          </w:p>
        </w:tc>
      </w:tr>
      <w:tr w:rsidR="00F24E18" w14:paraId="2DE867A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BE1B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1839</w:t>
            </w:r>
          </w:p>
        </w:tc>
        <w:tc>
          <w:tcPr>
            <w:tcW w:w="1300" w:type="dxa"/>
            <w:tcBorders>
              <w:top w:val="nil"/>
              <w:left w:val="nil"/>
              <w:bottom w:val="single" w:sz="4" w:space="0" w:color="auto"/>
              <w:right w:val="single" w:sz="4" w:space="0" w:color="auto"/>
            </w:tcBorders>
            <w:vAlign w:val="center"/>
            <w:hideMark/>
          </w:tcPr>
          <w:p w14:paraId="723C76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5040388000</w:t>
            </w:r>
          </w:p>
        </w:tc>
        <w:tc>
          <w:tcPr>
            <w:tcW w:w="1012" w:type="dxa"/>
            <w:tcBorders>
              <w:top w:val="nil"/>
              <w:left w:val="nil"/>
              <w:bottom w:val="single" w:sz="4" w:space="0" w:color="auto"/>
              <w:right w:val="single" w:sz="4" w:space="0" w:color="auto"/>
            </w:tcBorders>
            <w:vAlign w:val="center"/>
            <w:hideMark/>
          </w:tcPr>
          <w:p w14:paraId="14ABA0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92189903</w:t>
            </w:r>
          </w:p>
        </w:tc>
        <w:tc>
          <w:tcPr>
            <w:tcW w:w="5953" w:type="dxa"/>
            <w:tcBorders>
              <w:top w:val="nil"/>
              <w:left w:val="nil"/>
              <w:bottom w:val="single" w:sz="4" w:space="0" w:color="auto"/>
              <w:right w:val="single" w:sz="4" w:space="0" w:color="auto"/>
            </w:tcBorders>
            <w:noWrap/>
            <w:vAlign w:val="center"/>
            <w:hideMark/>
          </w:tcPr>
          <w:p w14:paraId="17302A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TERMOELEKTRARNA ŠOŠTANJ D.O.O.</w:t>
            </w:r>
          </w:p>
        </w:tc>
      </w:tr>
      <w:tr w:rsidR="00F24E18" w14:paraId="5CA220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DD3A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1840</w:t>
            </w:r>
          </w:p>
        </w:tc>
        <w:tc>
          <w:tcPr>
            <w:tcW w:w="1300" w:type="dxa"/>
            <w:tcBorders>
              <w:top w:val="nil"/>
              <w:left w:val="nil"/>
              <w:bottom w:val="single" w:sz="4" w:space="0" w:color="auto"/>
              <w:right w:val="single" w:sz="4" w:space="0" w:color="auto"/>
            </w:tcBorders>
            <w:noWrap/>
            <w:vAlign w:val="center"/>
            <w:hideMark/>
          </w:tcPr>
          <w:p w14:paraId="0D1CE9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1510592000</w:t>
            </w:r>
          </w:p>
        </w:tc>
        <w:tc>
          <w:tcPr>
            <w:tcW w:w="1012" w:type="dxa"/>
            <w:tcBorders>
              <w:top w:val="nil"/>
              <w:left w:val="nil"/>
              <w:bottom w:val="single" w:sz="4" w:space="0" w:color="auto"/>
              <w:right w:val="single" w:sz="4" w:space="0" w:color="auto"/>
            </w:tcBorders>
            <w:noWrap/>
            <w:vAlign w:val="center"/>
            <w:hideMark/>
          </w:tcPr>
          <w:p w14:paraId="292854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65295609</w:t>
            </w:r>
          </w:p>
        </w:tc>
        <w:tc>
          <w:tcPr>
            <w:tcW w:w="5953" w:type="dxa"/>
            <w:tcBorders>
              <w:top w:val="nil"/>
              <w:left w:val="nil"/>
              <w:bottom w:val="single" w:sz="4" w:space="0" w:color="auto"/>
              <w:right w:val="single" w:sz="4" w:space="0" w:color="auto"/>
            </w:tcBorders>
            <w:noWrap/>
            <w:vAlign w:val="center"/>
            <w:hideMark/>
          </w:tcPr>
          <w:p w14:paraId="0B4477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TOLMINSKI MUZEJ</w:t>
            </w:r>
          </w:p>
        </w:tc>
      </w:tr>
      <w:tr w:rsidR="00F24E18" w14:paraId="540CDFB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C343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1841</w:t>
            </w:r>
          </w:p>
        </w:tc>
        <w:tc>
          <w:tcPr>
            <w:tcW w:w="1300" w:type="dxa"/>
            <w:tcBorders>
              <w:top w:val="nil"/>
              <w:left w:val="nil"/>
              <w:bottom w:val="single" w:sz="4" w:space="0" w:color="auto"/>
              <w:right w:val="single" w:sz="4" w:space="0" w:color="auto"/>
            </w:tcBorders>
            <w:noWrap/>
            <w:vAlign w:val="center"/>
            <w:hideMark/>
          </w:tcPr>
          <w:p w14:paraId="280165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5087619000</w:t>
            </w:r>
          </w:p>
        </w:tc>
        <w:tc>
          <w:tcPr>
            <w:tcW w:w="1012" w:type="dxa"/>
            <w:tcBorders>
              <w:top w:val="nil"/>
              <w:left w:val="nil"/>
              <w:bottom w:val="single" w:sz="4" w:space="0" w:color="auto"/>
              <w:right w:val="single" w:sz="4" w:space="0" w:color="auto"/>
            </w:tcBorders>
            <w:noWrap/>
            <w:vAlign w:val="center"/>
            <w:hideMark/>
          </w:tcPr>
          <w:p w14:paraId="588DD4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32857608</w:t>
            </w:r>
          </w:p>
        </w:tc>
        <w:tc>
          <w:tcPr>
            <w:tcW w:w="5953" w:type="dxa"/>
            <w:tcBorders>
              <w:top w:val="nil"/>
              <w:left w:val="nil"/>
              <w:bottom w:val="single" w:sz="4" w:space="0" w:color="auto"/>
              <w:right w:val="single" w:sz="4" w:space="0" w:color="auto"/>
            </w:tcBorders>
            <w:noWrap/>
            <w:vAlign w:val="center"/>
            <w:hideMark/>
          </w:tcPr>
          <w:p w14:paraId="541C12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TRETJA OSNOVNA ŠOLA SLOVENJ GRADEC</w:t>
            </w:r>
          </w:p>
        </w:tc>
      </w:tr>
      <w:tr w:rsidR="00F24E18" w14:paraId="292C5A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EF15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1842</w:t>
            </w:r>
          </w:p>
        </w:tc>
        <w:tc>
          <w:tcPr>
            <w:tcW w:w="1300" w:type="dxa"/>
            <w:tcBorders>
              <w:top w:val="nil"/>
              <w:left w:val="nil"/>
              <w:bottom w:val="single" w:sz="4" w:space="0" w:color="auto"/>
              <w:right w:val="single" w:sz="4" w:space="0" w:color="auto"/>
            </w:tcBorders>
            <w:vAlign w:val="center"/>
            <w:hideMark/>
          </w:tcPr>
          <w:p w14:paraId="4B22F9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5055814000</w:t>
            </w:r>
          </w:p>
        </w:tc>
        <w:tc>
          <w:tcPr>
            <w:tcW w:w="1012" w:type="dxa"/>
            <w:tcBorders>
              <w:top w:val="nil"/>
              <w:left w:val="nil"/>
              <w:bottom w:val="single" w:sz="4" w:space="0" w:color="auto"/>
              <w:right w:val="single" w:sz="4" w:space="0" w:color="auto"/>
            </w:tcBorders>
            <w:vAlign w:val="center"/>
            <w:hideMark/>
          </w:tcPr>
          <w:p w14:paraId="17C813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83235434</w:t>
            </w:r>
          </w:p>
        </w:tc>
        <w:tc>
          <w:tcPr>
            <w:tcW w:w="5953" w:type="dxa"/>
            <w:tcBorders>
              <w:top w:val="nil"/>
              <w:left w:val="nil"/>
              <w:bottom w:val="single" w:sz="4" w:space="0" w:color="auto"/>
              <w:right w:val="single" w:sz="4" w:space="0" w:color="auto"/>
            </w:tcBorders>
            <w:noWrap/>
            <w:vAlign w:val="center"/>
            <w:hideMark/>
          </w:tcPr>
          <w:p w14:paraId="71A02E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TRUBARJEV DOM UPOKOJENCEV</w:t>
            </w:r>
          </w:p>
        </w:tc>
      </w:tr>
      <w:tr w:rsidR="00F24E18" w14:paraId="206F39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A33E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1843</w:t>
            </w:r>
          </w:p>
        </w:tc>
        <w:tc>
          <w:tcPr>
            <w:tcW w:w="1300" w:type="dxa"/>
            <w:tcBorders>
              <w:top w:val="nil"/>
              <w:left w:val="nil"/>
              <w:bottom w:val="single" w:sz="4" w:space="0" w:color="auto"/>
              <w:right w:val="single" w:sz="4" w:space="0" w:color="auto"/>
            </w:tcBorders>
            <w:noWrap/>
            <w:vAlign w:val="center"/>
            <w:hideMark/>
          </w:tcPr>
          <w:p w14:paraId="029C46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5956803000</w:t>
            </w:r>
          </w:p>
        </w:tc>
        <w:tc>
          <w:tcPr>
            <w:tcW w:w="1012" w:type="dxa"/>
            <w:tcBorders>
              <w:top w:val="nil"/>
              <w:left w:val="nil"/>
              <w:bottom w:val="single" w:sz="4" w:space="0" w:color="auto"/>
              <w:right w:val="single" w:sz="4" w:space="0" w:color="auto"/>
            </w:tcBorders>
            <w:noWrap/>
            <w:vAlign w:val="center"/>
            <w:hideMark/>
          </w:tcPr>
          <w:p w14:paraId="40572D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30513219</w:t>
            </w:r>
          </w:p>
        </w:tc>
        <w:tc>
          <w:tcPr>
            <w:tcW w:w="5953" w:type="dxa"/>
            <w:tcBorders>
              <w:top w:val="nil"/>
              <w:left w:val="nil"/>
              <w:bottom w:val="single" w:sz="4" w:space="0" w:color="auto"/>
              <w:right w:val="single" w:sz="4" w:space="0" w:color="auto"/>
            </w:tcBorders>
            <w:noWrap/>
            <w:vAlign w:val="center"/>
            <w:hideMark/>
          </w:tcPr>
          <w:p w14:paraId="6B89CC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TURISTIČNO-INFORMATIVNI CENTER MORAVSKE TOPLICE</w:t>
            </w:r>
          </w:p>
        </w:tc>
      </w:tr>
      <w:tr w:rsidR="00F24E18" w14:paraId="41999C9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EABA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1844</w:t>
            </w:r>
          </w:p>
        </w:tc>
        <w:tc>
          <w:tcPr>
            <w:tcW w:w="1300" w:type="dxa"/>
            <w:tcBorders>
              <w:top w:val="nil"/>
              <w:left w:val="nil"/>
              <w:bottom w:val="single" w:sz="4" w:space="0" w:color="auto"/>
              <w:right w:val="single" w:sz="4" w:space="0" w:color="auto"/>
            </w:tcBorders>
            <w:noWrap/>
            <w:vAlign w:val="center"/>
            <w:hideMark/>
          </w:tcPr>
          <w:p w14:paraId="790554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1510614000</w:t>
            </w:r>
          </w:p>
        </w:tc>
        <w:tc>
          <w:tcPr>
            <w:tcW w:w="1012" w:type="dxa"/>
            <w:tcBorders>
              <w:top w:val="nil"/>
              <w:left w:val="nil"/>
              <w:bottom w:val="single" w:sz="4" w:space="0" w:color="auto"/>
              <w:right w:val="single" w:sz="4" w:space="0" w:color="auto"/>
            </w:tcBorders>
            <w:noWrap/>
            <w:vAlign w:val="center"/>
            <w:hideMark/>
          </w:tcPr>
          <w:p w14:paraId="5C7DFE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84521147</w:t>
            </w:r>
          </w:p>
        </w:tc>
        <w:tc>
          <w:tcPr>
            <w:tcW w:w="5953" w:type="dxa"/>
            <w:tcBorders>
              <w:top w:val="nil"/>
              <w:left w:val="nil"/>
              <w:bottom w:val="single" w:sz="4" w:space="0" w:color="auto"/>
              <w:right w:val="single" w:sz="4" w:space="0" w:color="auto"/>
            </w:tcBorders>
            <w:noWrap/>
            <w:vAlign w:val="center"/>
            <w:hideMark/>
          </w:tcPr>
          <w:p w14:paraId="68A5F4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TURIZEM BOHINJ - ZAVOD ZA POSPEŠEVANJE TURIZMA</w:t>
            </w:r>
          </w:p>
        </w:tc>
      </w:tr>
      <w:tr w:rsidR="00F24E18" w14:paraId="2271F17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D1921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1845</w:t>
            </w:r>
          </w:p>
        </w:tc>
        <w:tc>
          <w:tcPr>
            <w:tcW w:w="1300" w:type="dxa"/>
            <w:tcBorders>
              <w:top w:val="nil"/>
              <w:left w:val="nil"/>
              <w:bottom w:val="single" w:sz="4" w:space="0" w:color="auto"/>
              <w:right w:val="single" w:sz="4" w:space="0" w:color="auto"/>
            </w:tcBorders>
            <w:noWrap/>
            <w:vAlign w:val="center"/>
            <w:hideMark/>
          </w:tcPr>
          <w:p w14:paraId="081F55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1201727000</w:t>
            </w:r>
          </w:p>
        </w:tc>
        <w:tc>
          <w:tcPr>
            <w:tcW w:w="1012" w:type="dxa"/>
            <w:tcBorders>
              <w:top w:val="nil"/>
              <w:left w:val="nil"/>
              <w:bottom w:val="single" w:sz="4" w:space="0" w:color="auto"/>
              <w:right w:val="single" w:sz="4" w:space="0" w:color="auto"/>
            </w:tcBorders>
            <w:noWrap/>
            <w:vAlign w:val="center"/>
            <w:hideMark/>
          </w:tcPr>
          <w:p w14:paraId="352590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66559286</w:t>
            </w:r>
          </w:p>
        </w:tc>
        <w:tc>
          <w:tcPr>
            <w:tcW w:w="5953" w:type="dxa"/>
            <w:tcBorders>
              <w:top w:val="nil"/>
              <w:left w:val="nil"/>
              <w:bottom w:val="single" w:sz="4" w:space="0" w:color="auto"/>
              <w:right w:val="single" w:sz="4" w:space="0" w:color="auto"/>
            </w:tcBorders>
            <w:noWrap/>
            <w:vAlign w:val="center"/>
            <w:hideMark/>
          </w:tcPr>
          <w:p w14:paraId="7D257E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TURIZEM KRANJSKA GORA</w:t>
            </w:r>
          </w:p>
        </w:tc>
      </w:tr>
      <w:tr w:rsidR="00F24E18" w14:paraId="34553EB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48AE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1846</w:t>
            </w:r>
          </w:p>
        </w:tc>
        <w:tc>
          <w:tcPr>
            <w:tcW w:w="1300" w:type="dxa"/>
            <w:tcBorders>
              <w:top w:val="nil"/>
              <w:left w:val="nil"/>
              <w:bottom w:val="single" w:sz="4" w:space="0" w:color="auto"/>
              <w:right w:val="single" w:sz="4" w:space="0" w:color="auto"/>
            </w:tcBorders>
            <w:vAlign w:val="center"/>
            <w:hideMark/>
          </w:tcPr>
          <w:p w14:paraId="675F44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1622935000</w:t>
            </w:r>
          </w:p>
        </w:tc>
        <w:tc>
          <w:tcPr>
            <w:tcW w:w="1012" w:type="dxa"/>
            <w:tcBorders>
              <w:top w:val="nil"/>
              <w:left w:val="nil"/>
              <w:bottom w:val="single" w:sz="4" w:space="0" w:color="auto"/>
              <w:right w:val="single" w:sz="4" w:space="0" w:color="auto"/>
            </w:tcBorders>
            <w:vAlign w:val="center"/>
            <w:hideMark/>
          </w:tcPr>
          <w:p w14:paraId="4CCF0F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85321389</w:t>
            </w:r>
          </w:p>
        </w:tc>
        <w:tc>
          <w:tcPr>
            <w:tcW w:w="5953" w:type="dxa"/>
            <w:tcBorders>
              <w:top w:val="nil"/>
              <w:left w:val="nil"/>
              <w:bottom w:val="single" w:sz="4" w:space="0" w:color="auto"/>
              <w:right w:val="single" w:sz="4" w:space="0" w:color="auto"/>
            </w:tcBorders>
            <w:noWrap/>
            <w:vAlign w:val="center"/>
            <w:hideMark/>
          </w:tcPr>
          <w:p w14:paraId="3E8FF9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TURIZEM LJUBLJANA</w:t>
            </w:r>
          </w:p>
        </w:tc>
      </w:tr>
      <w:tr w:rsidR="00F24E18" w14:paraId="64CD57F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545A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1847</w:t>
            </w:r>
          </w:p>
        </w:tc>
        <w:tc>
          <w:tcPr>
            <w:tcW w:w="1300" w:type="dxa"/>
            <w:tcBorders>
              <w:top w:val="nil"/>
              <w:left w:val="nil"/>
              <w:bottom w:val="single" w:sz="4" w:space="0" w:color="auto"/>
              <w:right w:val="single" w:sz="4" w:space="0" w:color="auto"/>
            </w:tcBorders>
            <w:noWrap/>
            <w:vAlign w:val="center"/>
            <w:hideMark/>
          </w:tcPr>
          <w:p w14:paraId="501962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5052122000</w:t>
            </w:r>
          </w:p>
        </w:tc>
        <w:tc>
          <w:tcPr>
            <w:tcW w:w="1012" w:type="dxa"/>
            <w:tcBorders>
              <w:top w:val="nil"/>
              <w:left w:val="nil"/>
              <w:bottom w:val="single" w:sz="4" w:space="0" w:color="auto"/>
              <w:right w:val="single" w:sz="4" w:space="0" w:color="auto"/>
            </w:tcBorders>
            <w:noWrap/>
            <w:vAlign w:val="center"/>
            <w:hideMark/>
          </w:tcPr>
          <w:p w14:paraId="78E05A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22032410</w:t>
            </w:r>
          </w:p>
        </w:tc>
        <w:tc>
          <w:tcPr>
            <w:tcW w:w="5953" w:type="dxa"/>
            <w:tcBorders>
              <w:top w:val="nil"/>
              <w:left w:val="nil"/>
              <w:bottom w:val="single" w:sz="4" w:space="0" w:color="auto"/>
              <w:right w:val="single" w:sz="4" w:space="0" w:color="auto"/>
            </w:tcBorders>
            <w:noWrap/>
            <w:vAlign w:val="center"/>
            <w:hideMark/>
          </w:tcPr>
          <w:p w14:paraId="51EBF9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UMETNOSTNA GALERIJA MARIBOR</w:t>
            </w:r>
          </w:p>
        </w:tc>
      </w:tr>
      <w:tr w:rsidR="00F24E18" w14:paraId="48CCA48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B478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1848</w:t>
            </w:r>
          </w:p>
        </w:tc>
        <w:tc>
          <w:tcPr>
            <w:tcW w:w="1300" w:type="dxa"/>
            <w:tcBorders>
              <w:top w:val="nil"/>
              <w:left w:val="nil"/>
              <w:bottom w:val="single" w:sz="4" w:space="0" w:color="auto"/>
              <w:right w:val="single" w:sz="4" w:space="0" w:color="auto"/>
            </w:tcBorders>
            <w:vAlign w:val="center"/>
            <w:hideMark/>
          </w:tcPr>
          <w:p w14:paraId="0A7F6A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1810014000</w:t>
            </w:r>
          </w:p>
        </w:tc>
        <w:tc>
          <w:tcPr>
            <w:tcW w:w="1012" w:type="dxa"/>
            <w:tcBorders>
              <w:top w:val="nil"/>
              <w:left w:val="nil"/>
              <w:bottom w:val="single" w:sz="4" w:space="0" w:color="auto"/>
              <w:right w:val="single" w:sz="4" w:space="0" w:color="auto"/>
            </w:tcBorders>
            <w:vAlign w:val="center"/>
            <w:hideMark/>
          </w:tcPr>
          <w:p w14:paraId="553297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71633065</w:t>
            </w:r>
          </w:p>
        </w:tc>
        <w:tc>
          <w:tcPr>
            <w:tcW w:w="5953" w:type="dxa"/>
            <w:tcBorders>
              <w:top w:val="nil"/>
              <w:left w:val="nil"/>
              <w:bottom w:val="single" w:sz="4" w:space="0" w:color="auto"/>
              <w:right w:val="single" w:sz="4" w:space="0" w:color="auto"/>
            </w:tcBorders>
            <w:noWrap/>
            <w:vAlign w:val="center"/>
            <w:hideMark/>
          </w:tcPr>
          <w:p w14:paraId="10EF56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NA PRIMORSKEM UNIVERSITA DEL LITORALE</w:t>
            </w:r>
          </w:p>
        </w:tc>
      </w:tr>
      <w:tr w:rsidR="00F24E18" w14:paraId="0BC0F75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D089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1849</w:t>
            </w:r>
          </w:p>
        </w:tc>
        <w:tc>
          <w:tcPr>
            <w:tcW w:w="1300" w:type="dxa"/>
            <w:tcBorders>
              <w:top w:val="nil"/>
              <w:left w:val="nil"/>
              <w:bottom w:val="single" w:sz="4" w:space="0" w:color="auto"/>
              <w:right w:val="single" w:sz="4" w:space="0" w:color="auto"/>
            </w:tcBorders>
            <w:vAlign w:val="center"/>
            <w:hideMark/>
          </w:tcPr>
          <w:p w14:paraId="742EAE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5085063000</w:t>
            </w:r>
          </w:p>
        </w:tc>
        <w:tc>
          <w:tcPr>
            <w:tcW w:w="1012" w:type="dxa"/>
            <w:tcBorders>
              <w:top w:val="nil"/>
              <w:left w:val="nil"/>
              <w:bottom w:val="single" w:sz="4" w:space="0" w:color="auto"/>
              <w:right w:val="single" w:sz="4" w:space="0" w:color="auto"/>
            </w:tcBorders>
            <w:vAlign w:val="center"/>
            <w:hideMark/>
          </w:tcPr>
          <w:p w14:paraId="3DE372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54162513</w:t>
            </w:r>
          </w:p>
        </w:tc>
        <w:tc>
          <w:tcPr>
            <w:tcW w:w="5953" w:type="dxa"/>
            <w:tcBorders>
              <w:top w:val="nil"/>
              <w:left w:val="nil"/>
              <w:bottom w:val="single" w:sz="4" w:space="0" w:color="auto"/>
              <w:right w:val="single" w:sz="4" w:space="0" w:color="auto"/>
            </w:tcBorders>
            <w:noWrap/>
            <w:vAlign w:val="center"/>
            <w:hideMark/>
          </w:tcPr>
          <w:p w14:paraId="59AAE2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w:t>
            </w:r>
          </w:p>
        </w:tc>
      </w:tr>
      <w:tr w:rsidR="00F24E18" w14:paraId="4D3EAA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DE65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1850</w:t>
            </w:r>
          </w:p>
        </w:tc>
        <w:tc>
          <w:tcPr>
            <w:tcW w:w="1300" w:type="dxa"/>
            <w:tcBorders>
              <w:top w:val="nil"/>
              <w:left w:val="nil"/>
              <w:bottom w:val="single" w:sz="4" w:space="0" w:color="auto"/>
              <w:right w:val="single" w:sz="4" w:space="0" w:color="auto"/>
            </w:tcBorders>
            <w:vAlign w:val="center"/>
            <w:hideMark/>
          </w:tcPr>
          <w:p w14:paraId="62ECB5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1626809000</w:t>
            </w:r>
          </w:p>
        </w:tc>
        <w:tc>
          <w:tcPr>
            <w:tcW w:w="1012" w:type="dxa"/>
            <w:tcBorders>
              <w:top w:val="nil"/>
              <w:left w:val="nil"/>
              <w:bottom w:val="single" w:sz="4" w:space="0" w:color="auto"/>
              <w:right w:val="single" w:sz="4" w:space="0" w:color="auto"/>
            </w:tcBorders>
            <w:vAlign w:val="center"/>
            <w:hideMark/>
          </w:tcPr>
          <w:p w14:paraId="2DF58F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89735552</w:t>
            </w:r>
          </w:p>
        </w:tc>
        <w:tc>
          <w:tcPr>
            <w:tcW w:w="5953" w:type="dxa"/>
            <w:tcBorders>
              <w:top w:val="nil"/>
              <w:left w:val="nil"/>
              <w:bottom w:val="single" w:sz="4" w:space="0" w:color="auto"/>
              <w:right w:val="single" w:sz="4" w:space="0" w:color="auto"/>
            </w:tcBorders>
            <w:noWrap/>
            <w:vAlign w:val="center"/>
            <w:hideMark/>
          </w:tcPr>
          <w:p w14:paraId="40991E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AKADEMIJA ZA GLASBO</w:t>
            </w:r>
          </w:p>
        </w:tc>
      </w:tr>
      <w:tr w:rsidR="00F24E18" w14:paraId="6935D4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2209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1851</w:t>
            </w:r>
          </w:p>
        </w:tc>
        <w:tc>
          <w:tcPr>
            <w:tcW w:w="1300" w:type="dxa"/>
            <w:tcBorders>
              <w:top w:val="nil"/>
              <w:left w:val="nil"/>
              <w:bottom w:val="single" w:sz="4" w:space="0" w:color="auto"/>
              <w:right w:val="single" w:sz="4" w:space="0" w:color="auto"/>
            </w:tcBorders>
            <w:noWrap/>
            <w:vAlign w:val="center"/>
            <w:hideMark/>
          </w:tcPr>
          <w:p w14:paraId="4CE13B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1626892000</w:t>
            </w:r>
          </w:p>
        </w:tc>
        <w:tc>
          <w:tcPr>
            <w:tcW w:w="1012" w:type="dxa"/>
            <w:tcBorders>
              <w:top w:val="nil"/>
              <w:left w:val="nil"/>
              <w:bottom w:val="single" w:sz="4" w:space="0" w:color="auto"/>
              <w:right w:val="single" w:sz="4" w:space="0" w:color="auto"/>
            </w:tcBorders>
            <w:noWrap/>
            <w:vAlign w:val="center"/>
            <w:hideMark/>
          </w:tcPr>
          <w:p w14:paraId="77C4C8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44328451</w:t>
            </w:r>
          </w:p>
        </w:tc>
        <w:tc>
          <w:tcPr>
            <w:tcW w:w="5953" w:type="dxa"/>
            <w:tcBorders>
              <w:top w:val="nil"/>
              <w:left w:val="nil"/>
              <w:bottom w:val="single" w:sz="4" w:space="0" w:color="auto"/>
              <w:right w:val="single" w:sz="4" w:space="0" w:color="auto"/>
            </w:tcBorders>
            <w:noWrap/>
            <w:vAlign w:val="center"/>
            <w:hideMark/>
          </w:tcPr>
          <w:p w14:paraId="534A6C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AKADEMIJA ZA GLEDALIŠČE, RADIO, FILM IN TELEVIZIJO</w:t>
            </w:r>
          </w:p>
        </w:tc>
      </w:tr>
      <w:tr w:rsidR="00F24E18" w14:paraId="49730B8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113AF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1852</w:t>
            </w:r>
          </w:p>
        </w:tc>
        <w:tc>
          <w:tcPr>
            <w:tcW w:w="1300" w:type="dxa"/>
            <w:tcBorders>
              <w:top w:val="nil"/>
              <w:left w:val="nil"/>
              <w:bottom w:val="single" w:sz="4" w:space="0" w:color="auto"/>
              <w:right w:val="single" w:sz="4" w:space="0" w:color="auto"/>
            </w:tcBorders>
            <w:vAlign w:val="center"/>
            <w:hideMark/>
          </w:tcPr>
          <w:p w14:paraId="7B4E88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1626906000</w:t>
            </w:r>
          </w:p>
        </w:tc>
        <w:tc>
          <w:tcPr>
            <w:tcW w:w="1012" w:type="dxa"/>
            <w:tcBorders>
              <w:top w:val="nil"/>
              <w:left w:val="nil"/>
              <w:bottom w:val="single" w:sz="4" w:space="0" w:color="auto"/>
              <w:right w:val="single" w:sz="4" w:space="0" w:color="auto"/>
            </w:tcBorders>
            <w:vAlign w:val="center"/>
            <w:hideMark/>
          </w:tcPr>
          <w:p w14:paraId="0ECEE1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36546151</w:t>
            </w:r>
          </w:p>
        </w:tc>
        <w:tc>
          <w:tcPr>
            <w:tcW w:w="5953" w:type="dxa"/>
            <w:tcBorders>
              <w:top w:val="nil"/>
              <w:left w:val="nil"/>
              <w:bottom w:val="single" w:sz="4" w:space="0" w:color="auto"/>
              <w:right w:val="single" w:sz="4" w:space="0" w:color="auto"/>
            </w:tcBorders>
            <w:noWrap/>
            <w:vAlign w:val="center"/>
            <w:hideMark/>
          </w:tcPr>
          <w:p w14:paraId="31A2B1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AKADEMIJA ZA LIKOVNO UMETNOST IN OBLIKOVANJE</w:t>
            </w:r>
          </w:p>
        </w:tc>
      </w:tr>
      <w:tr w:rsidR="00F24E18" w14:paraId="602927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8DCB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1853</w:t>
            </w:r>
          </w:p>
        </w:tc>
        <w:tc>
          <w:tcPr>
            <w:tcW w:w="1300" w:type="dxa"/>
            <w:tcBorders>
              <w:top w:val="nil"/>
              <w:left w:val="nil"/>
              <w:bottom w:val="single" w:sz="4" w:space="0" w:color="auto"/>
              <w:right w:val="single" w:sz="4" w:space="0" w:color="auto"/>
            </w:tcBorders>
            <w:vAlign w:val="center"/>
            <w:hideMark/>
          </w:tcPr>
          <w:p w14:paraId="23D053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1626914000</w:t>
            </w:r>
          </w:p>
        </w:tc>
        <w:tc>
          <w:tcPr>
            <w:tcW w:w="1012" w:type="dxa"/>
            <w:tcBorders>
              <w:top w:val="nil"/>
              <w:left w:val="nil"/>
              <w:bottom w:val="single" w:sz="4" w:space="0" w:color="auto"/>
              <w:right w:val="single" w:sz="4" w:space="0" w:color="auto"/>
            </w:tcBorders>
            <w:vAlign w:val="center"/>
            <w:hideMark/>
          </w:tcPr>
          <w:p w14:paraId="0A1418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94761795</w:t>
            </w:r>
          </w:p>
        </w:tc>
        <w:tc>
          <w:tcPr>
            <w:tcW w:w="5953" w:type="dxa"/>
            <w:tcBorders>
              <w:top w:val="nil"/>
              <w:left w:val="nil"/>
              <w:bottom w:val="single" w:sz="4" w:space="0" w:color="auto"/>
              <w:right w:val="single" w:sz="4" w:space="0" w:color="auto"/>
            </w:tcBorders>
            <w:noWrap/>
            <w:vAlign w:val="center"/>
            <w:hideMark/>
          </w:tcPr>
          <w:p w14:paraId="3FFCCB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BIOTEHNIŠKA FAKULTETA</w:t>
            </w:r>
          </w:p>
        </w:tc>
      </w:tr>
      <w:tr w:rsidR="00F24E18" w14:paraId="0E8BD8C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5D2E9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1854</w:t>
            </w:r>
          </w:p>
        </w:tc>
        <w:tc>
          <w:tcPr>
            <w:tcW w:w="1300" w:type="dxa"/>
            <w:tcBorders>
              <w:top w:val="nil"/>
              <w:left w:val="nil"/>
              <w:bottom w:val="single" w:sz="4" w:space="0" w:color="auto"/>
              <w:right w:val="single" w:sz="4" w:space="0" w:color="auto"/>
            </w:tcBorders>
            <w:vAlign w:val="center"/>
            <w:hideMark/>
          </w:tcPr>
          <w:p w14:paraId="274A84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1626922000</w:t>
            </w:r>
          </w:p>
        </w:tc>
        <w:tc>
          <w:tcPr>
            <w:tcW w:w="1012" w:type="dxa"/>
            <w:tcBorders>
              <w:top w:val="nil"/>
              <w:left w:val="nil"/>
              <w:bottom w:val="single" w:sz="4" w:space="0" w:color="auto"/>
              <w:right w:val="single" w:sz="4" w:space="0" w:color="auto"/>
            </w:tcBorders>
            <w:vAlign w:val="center"/>
            <w:hideMark/>
          </w:tcPr>
          <w:p w14:paraId="70D2BC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28186745</w:t>
            </w:r>
          </w:p>
        </w:tc>
        <w:tc>
          <w:tcPr>
            <w:tcW w:w="5953" w:type="dxa"/>
            <w:tcBorders>
              <w:top w:val="nil"/>
              <w:left w:val="nil"/>
              <w:bottom w:val="single" w:sz="4" w:space="0" w:color="auto"/>
              <w:right w:val="single" w:sz="4" w:space="0" w:color="auto"/>
            </w:tcBorders>
            <w:noWrap/>
            <w:vAlign w:val="center"/>
            <w:hideMark/>
          </w:tcPr>
          <w:p w14:paraId="5FA66C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EKONOMSKA FAKULTETA</w:t>
            </w:r>
          </w:p>
        </w:tc>
      </w:tr>
      <w:tr w:rsidR="00F24E18" w14:paraId="1E4EE40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0760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1855</w:t>
            </w:r>
          </w:p>
        </w:tc>
        <w:tc>
          <w:tcPr>
            <w:tcW w:w="1300" w:type="dxa"/>
            <w:tcBorders>
              <w:top w:val="nil"/>
              <w:left w:val="nil"/>
              <w:bottom w:val="single" w:sz="4" w:space="0" w:color="auto"/>
              <w:right w:val="single" w:sz="4" w:space="0" w:color="auto"/>
            </w:tcBorders>
            <w:vAlign w:val="center"/>
            <w:hideMark/>
          </w:tcPr>
          <w:p w14:paraId="040DAF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1626949000</w:t>
            </w:r>
          </w:p>
        </w:tc>
        <w:tc>
          <w:tcPr>
            <w:tcW w:w="1012" w:type="dxa"/>
            <w:tcBorders>
              <w:top w:val="nil"/>
              <w:left w:val="nil"/>
              <w:bottom w:val="single" w:sz="4" w:space="0" w:color="auto"/>
              <w:right w:val="single" w:sz="4" w:space="0" w:color="auto"/>
            </w:tcBorders>
            <w:vAlign w:val="center"/>
            <w:hideMark/>
          </w:tcPr>
          <w:p w14:paraId="1C1A05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48046167</w:t>
            </w:r>
          </w:p>
        </w:tc>
        <w:tc>
          <w:tcPr>
            <w:tcW w:w="5953" w:type="dxa"/>
            <w:tcBorders>
              <w:top w:val="nil"/>
              <w:left w:val="nil"/>
              <w:bottom w:val="single" w:sz="4" w:space="0" w:color="auto"/>
              <w:right w:val="single" w:sz="4" w:space="0" w:color="auto"/>
            </w:tcBorders>
            <w:noWrap/>
            <w:vAlign w:val="center"/>
            <w:hideMark/>
          </w:tcPr>
          <w:p w14:paraId="2D407E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ARHITEKTURO</w:t>
            </w:r>
          </w:p>
        </w:tc>
      </w:tr>
      <w:tr w:rsidR="00F24E18" w14:paraId="13BBABF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38DFB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1856</w:t>
            </w:r>
          </w:p>
        </w:tc>
        <w:tc>
          <w:tcPr>
            <w:tcW w:w="1300" w:type="dxa"/>
            <w:tcBorders>
              <w:top w:val="nil"/>
              <w:left w:val="nil"/>
              <w:bottom w:val="single" w:sz="4" w:space="0" w:color="auto"/>
              <w:right w:val="single" w:sz="4" w:space="0" w:color="auto"/>
            </w:tcBorders>
            <w:vAlign w:val="center"/>
            <w:hideMark/>
          </w:tcPr>
          <w:p w14:paraId="09005C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1626957000</w:t>
            </w:r>
          </w:p>
        </w:tc>
        <w:tc>
          <w:tcPr>
            <w:tcW w:w="1012" w:type="dxa"/>
            <w:tcBorders>
              <w:top w:val="nil"/>
              <w:left w:val="nil"/>
              <w:bottom w:val="single" w:sz="4" w:space="0" w:color="auto"/>
              <w:right w:val="single" w:sz="4" w:space="0" w:color="auto"/>
            </w:tcBorders>
            <w:vAlign w:val="center"/>
            <w:hideMark/>
          </w:tcPr>
          <w:p w14:paraId="6DE0F3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47607807</w:t>
            </w:r>
          </w:p>
        </w:tc>
        <w:tc>
          <w:tcPr>
            <w:tcW w:w="5953" w:type="dxa"/>
            <w:tcBorders>
              <w:top w:val="nil"/>
              <w:left w:val="nil"/>
              <w:bottom w:val="single" w:sz="4" w:space="0" w:color="auto"/>
              <w:right w:val="single" w:sz="4" w:space="0" w:color="auto"/>
            </w:tcBorders>
            <w:noWrap/>
            <w:vAlign w:val="center"/>
            <w:hideMark/>
          </w:tcPr>
          <w:p w14:paraId="69FC6B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DRUŽBENE VEDE</w:t>
            </w:r>
          </w:p>
        </w:tc>
      </w:tr>
      <w:tr w:rsidR="00F24E18" w14:paraId="7EEF8D1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1C197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1857</w:t>
            </w:r>
          </w:p>
        </w:tc>
        <w:tc>
          <w:tcPr>
            <w:tcW w:w="1300" w:type="dxa"/>
            <w:tcBorders>
              <w:top w:val="nil"/>
              <w:left w:val="nil"/>
              <w:bottom w:val="single" w:sz="4" w:space="0" w:color="auto"/>
              <w:right w:val="single" w:sz="4" w:space="0" w:color="auto"/>
            </w:tcBorders>
            <w:vAlign w:val="center"/>
            <w:hideMark/>
          </w:tcPr>
          <w:p w14:paraId="1AE752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1626965000</w:t>
            </w:r>
          </w:p>
        </w:tc>
        <w:tc>
          <w:tcPr>
            <w:tcW w:w="1012" w:type="dxa"/>
            <w:tcBorders>
              <w:top w:val="nil"/>
              <w:left w:val="nil"/>
              <w:bottom w:val="single" w:sz="4" w:space="0" w:color="auto"/>
              <w:right w:val="single" w:sz="4" w:space="0" w:color="auto"/>
            </w:tcBorders>
            <w:vAlign w:val="center"/>
            <w:hideMark/>
          </w:tcPr>
          <w:p w14:paraId="376349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11015489</w:t>
            </w:r>
          </w:p>
        </w:tc>
        <w:tc>
          <w:tcPr>
            <w:tcW w:w="5953" w:type="dxa"/>
            <w:tcBorders>
              <w:top w:val="nil"/>
              <w:left w:val="nil"/>
              <w:bottom w:val="single" w:sz="4" w:space="0" w:color="auto"/>
              <w:right w:val="single" w:sz="4" w:space="0" w:color="auto"/>
            </w:tcBorders>
            <w:noWrap/>
            <w:vAlign w:val="center"/>
            <w:hideMark/>
          </w:tcPr>
          <w:p w14:paraId="76F70E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ELEKTROTEHNIKO</w:t>
            </w:r>
          </w:p>
        </w:tc>
      </w:tr>
      <w:tr w:rsidR="00F24E18" w14:paraId="30C7838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0443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1858</w:t>
            </w:r>
          </w:p>
        </w:tc>
        <w:tc>
          <w:tcPr>
            <w:tcW w:w="1300" w:type="dxa"/>
            <w:tcBorders>
              <w:top w:val="nil"/>
              <w:left w:val="nil"/>
              <w:bottom w:val="single" w:sz="4" w:space="0" w:color="auto"/>
              <w:right w:val="single" w:sz="4" w:space="0" w:color="auto"/>
            </w:tcBorders>
            <w:vAlign w:val="center"/>
            <w:hideMark/>
          </w:tcPr>
          <w:p w14:paraId="09A092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1626973000</w:t>
            </w:r>
          </w:p>
        </w:tc>
        <w:tc>
          <w:tcPr>
            <w:tcW w:w="1012" w:type="dxa"/>
            <w:tcBorders>
              <w:top w:val="nil"/>
              <w:left w:val="nil"/>
              <w:bottom w:val="single" w:sz="4" w:space="0" w:color="auto"/>
              <w:right w:val="single" w:sz="4" w:space="0" w:color="auto"/>
            </w:tcBorders>
            <w:vAlign w:val="center"/>
            <w:hideMark/>
          </w:tcPr>
          <w:p w14:paraId="701592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11690682</w:t>
            </w:r>
          </w:p>
        </w:tc>
        <w:tc>
          <w:tcPr>
            <w:tcW w:w="5953" w:type="dxa"/>
            <w:tcBorders>
              <w:top w:val="nil"/>
              <w:left w:val="nil"/>
              <w:bottom w:val="single" w:sz="4" w:space="0" w:color="auto"/>
              <w:right w:val="single" w:sz="4" w:space="0" w:color="auto"/>
            </w:tcBorders>
            <w:noWrap/>
            <w:vAlign w:val="center"/>
            <w:hideMark/>
          </w:tcPr>
          <w:p w14:paraId="06ACDD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FARMACIJO</w:t>
            </w:r>
          </w:p>
        </w:tc>
      </w:tr>
      <w:tr w:rsidR="00F24E18" w14:paraId="65F8F03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0EC1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1859</w:t>
            </w:r>
          </w:p>
        </w:tc>
        <w:tc>
          <w:tcPr>
            <w:tcW w:w="1300" w:type="dxa"/>
            <w:tcBorders>
              <w:top w:val="nil"/>
              <w:left w:val="nil"/>
              <w:bottom w:val="single" w:sz="4" w:space="0" w:color="auto"/>
              <w:right w:val="single" w:sz="4" w:space="0" w:color="auto"/>
            </w:tcBorders>
            <w:vAlign w:val="center"/>
            <w:hideMark/>
          </w:tcPr>
          <w:p w14:paraId="5E21CF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1626981000</w:t>
            </w:r>
          </w:p>
        </w:tc>
        <w:tc>
          <w:tcPr>
            <w:tcW w:w="1012" w:type="dxa"/>
            <w:tcBorders>
              <w:top w:val="nil"/>
              <w:left w:val="nil"/>
              <w:bottom w:val="single" w:sz="4" w:space="0" w:color="auto"/>
              <w:right w:val="single" w:sz="4" w:space="0" w:color="auto"/>
            </w:tcBorders>
            <w:vAlign w:val="center"/>
            <w:hideMark/>
          </w:tcPr>
          <w:p w14:paraId="5226E0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98643339</w:t>
            </w:r>
          </w:p>
        </w:tc>
        <w:tc>
          <w:tcPr>
            <w:tcW w:w="5953" w:type="dxa"/>
            <w:tcBorders>
              <w:top w:val="nil"/>
              <w:left w:val="nil"/>
              <w:bottom w:val="single" w:sz="4" w:space="0" w:color="auto"/>
              <w:right w:val="single" w:sz="4" w:space="0" w:color="auto"/>
            </w:tcBorders>
            <w:noWrap/>
            <w:vAlign w:val="center"/>
            <w:hideMark/>
          </w:tcPr>
          <w:p w14:paraId="3877C6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GRADBENIŠTVO IN GEODEZIJO</w:t>
            </w:r>
          </w:p>
        </w:tc>
      </w:tr>
      <w:tr w:rsidR="00F24E18" w14:paraId="61316C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24AD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1860</w:t>
            </w:r>
          </w:p>
        </w:tc>
        <w:tc>
          <w:tcPr>
            <w:tcW w:w="1300" w:type="dxa"/>
            <w:tcBorders>
              <w:top w:val="nil"/>
              <w:left w:val="nil"/>
              <w:bottom w:val="single" w:sz="4" w:space="0" w:color="auto"/>
              <w:right w:val="single" w:sz="4" w:space="0" w:color="auto"/>
            </w:tcBorders>
            <w:vAlign w:val="center"/>
            <w:hideMark/>
          </w:tcPr>
          <w:p w14:paraId="0C2C44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1626990000</w:t>
            </w:r>
          </w:p>
        </w:tc>
        <w:tc>
          <w:tcPr>
            <w:tcW w:w="1012" w:type="dxa"/>
            <w:tcBorders>
              <w:top w:val="nil"/>
              <w:left w:val="nil"/>
              <w:bottom w:val="single" w:sz="4" w:space="0" w:color="auto"/>
              <w:right w:val="single" w:sz="4" w:space="0" w:color="auto"/>
            </w:tcBorders>
            <w:vAlign w:val="center"/>
            <w:hideMark/>
          </w:tcPr>
          <w:p w14:paraId="195DEF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65565754</w:t>
            </w:r>
          </w:p>
        </w:tc>
        <w:tc>
          <w:tcPr>
            <w:tcW w:w="5953" w:type="dxa"/>
            <w:tcBorders>
              <w:top w:val="nil"/>
              <w:left w:val="nil"/>
              <w:bottom w:val="single" w:sz="4" w:space="0" w:color="auto"/>
              <w:right w:val="single" w:sz="4" w:space="0" w:color="auto"/>
            </w:tcBorders>
            <w:noWrap/>
            <w:vAlign w:val="center"/>
            <w:hideMark/>
          </w:tcPr>
          <w:p w14:paraId="43CB16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KEMIJO IN KEMIJSKO TEHNOLOGIJO</w:t>
            </w:r>
          </w:p>
        </w:tc>
      </w:tr>
      <w:tr w:rsidR="00F24E18" w14:paraId="558A29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165E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1861</w:t>
            </w:r>
          </w:p>
        </w:tc>
        <w:tc>
          <w:tcPr>
            <w:tcW w:w="1300" w:type="dxa"/>
            <w:tcBorders>
              <w:top w:val="nil"/>
              <w:left w:val="nil"/>
              <w:bottom w:val="single" w:sz="4" w:space="0" w:color="auto"/>
              <w:right w:val="single" w:sz="4" w:space="0" w:color="auto"/>
            </w:tcBorders>
            <w:vAlign w:val="center"/>
            <w:hideMark/>
          </w:tcPr>
          <w:p w14:paraId="35243D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1627007000</w:t>
            </w:r>
          </w:p>
        </w:tc>
        <w:tc>
          <w:tcPr>
            <w:tcW w:w="1012" w:type="dxa"/>
            <w:tcBorders>
              <w:top w:val="nil"/>
              <w:left w:val="nil"/>
              <w:bottom w:val="single" w:sz="4" w:space="0" w:color="auto"/>
              <w:right w:val="single" w:sz="4" w:space="0" w:color="auto"/>
            </w:tcBorders>
            <w:vAlign w:val="center"/>
            <w:hideMark/>
          </w:tcPr>
          <w:p w14:paraId="4A6A33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55332862</w:t>
            </w:r>
          </w:p>
        </w:tc>
        <w:tc>
          <w:tcPr>
            <w:tcW w:w="5953" w:type="dxa"/>
            <w:tcBorders>
              <w:top w:val="nil"/>
              <w:left w:val="nil"/>
              <w:bottom w:val="single" w:sz="4" w:space="0" w:color="auto"/>
              <w:right w:val="single" w:sz="4" w:space="0" w:color="auto"/>
            </w:tcBorders>
            <w:noWrap/>
            <w:vAlign w:val="center"/>
            <w:hideMark/>
          </w:tcPr>
          <w:p w14:paraId="6758D2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MATEMATIKO IN FIZIKO</w:t>
            </w:r>
          </w:p>
        </w:tc>
      </w:tr>
      <w:tr w:rsidR="00F24E18" w14:paraId="06C51CC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5D47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1862</w:t>
            </w:r>
          </w:p>
        </w:tc>
        <w:tc>
          <w:tcPr>
            <w:tcW w:w="1300" w:type="dxa"/>
            <w:tcBorders>
              <w:top w:val="nil"/>
              <w:left w:val="nil"/>
              <w:bottom w:val="single" w:sz="4" w:space="0" w:color="auto"/>
              <w:right w:val="single" w:sz="4" w:space="0" w:color="auto"/>
            </w:tcBorders>
            <w:vAlign w:val="center"/>
            <w:hideMark/>
          </w:tcPr>
          <w:p w14:paraId="05863B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1627015000</w:t>
            </w:r>
          </w:p>
        </w:tc>
        <w:tc>
          <w:tcPr>
            <w:tcW w:w="1012" w:type="dxa"/>
            <w:tcBorders>
              <w:top w:val="nil"/>
              <w:left w:val="nil"/>
              <w:bottom w:val="single" w:sz="4" w:space="0" w:color="auto"/>
              <w:right w:val="single" w:sz="4" w:space="0" w:color="auto"/>
            </w:tcBorders>
            <w:vAlign w:val="center"/>
            <w:hideMark/>
          </w:tcPr>
          <w:p w14:paraId="09A5A3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99219778</w:t>
            </w:r>
          </w:p>
        </w:tc>
        <w:tc>
          <w:tcPr>
            <w:tcW w:w="5953" w:type="dxa"/>
            <w:tcBorders>
              <w:top w:val="nil"/>
              <w:left w:val="nil"/>
              <w:bottom w:val="single" w:sz="4" w:space="0" w:color="auto"/>
              <w:right w:val="single" w:sz="4" w:space="0" w:color="auto"/>
            </w:tcBorders>
            <w:noWrap/>
            <w:vAlign w:val="center"/>
            <w:hideMark/>
          </w:tcPr>
          <w:p w14:paraId="327D2A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POMORSTVO IN PROMET</w:t>
            </w:r>
          </w:p>
        </w:tc>
      </w:tr>
      <w:tr w:rsidR="00F24E18" w14:paraId="01E7AC4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EE0F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1863</w:t>
            </w:r>
          </w:p>
        </w:tc>
        <w:tc>
          <w:tcPr>
            <w:tcW w:w="1300" w:type="dxa"/>
            <w:tcBorders>
              <w:top w:val="nil"/>
              <w:left w:val="nil"/>
              <w:bottom w:val="single" w:sz="4" w:space="0" w:color="auto"/>
              <w:right w:val="single" w:sz="4" w:space="0" w:color="auto"/>
            </w:tcBorders>
            <w:vAlign w:val="center"/>
            <w:hideMark/>
          </w:tcPr>
          <w:p w14:paraId="11DE42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1627023000</w:t>
            </w:r>
          </w:p>
        </w:tc>
        <w:tc>
          <w:tcPr>
            <w:tcW w:w="1012" w:type="dxa"/>
            <w:tcBorders>
              <w:top w:val="nil"/>
              <w:left w:val="nil"/>
              <w:bottom w:val="single" w:sz="4" w:space="0" w:color="auto"/>
              <w:right w:val="single" w:sz="4" w:space="0" w:color="auto"/>
            </w:tcBorders>
            <w:vAlign w:val="center"/>
            <w:hideMark/>
          </w:tcPr>
          <w:p w14:paraId="169944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67909027</w:t>
            </w:r>
          </w:p>
        </w:tc>
        <w:tc>
          <w:tcPr>
            <w:tcW w:w="5953" w:type="dxa"/>
            <w:tcBorders>
              <w:top w:val="nil"/>
              <w:left w:val="nil"/>
              <w:bottom w:val="single" w:sz="4" w:space="0" w:color="auto"/>
              <w:right w:val="single" w:sz="4" w:space="0" w:color="auto"/>
            </w:tcBorders>
            <w:noWrap/>
            <w:vAlign w:val="center"/>
            <w:hideMark/>
          </w:tcPr>
          <w:p w14:paraId="10E37A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RAČUNALNIŠTVO IN INFORMATIKO</w:t>
            </w:r>
          </w:p>
        </w:tc>
      </w:tr>
      <w:tr w:rsidR="00F24E18" w14:paraId="070EB27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FC7F1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1864</w:t>
            </w:r>
          </w:p>
        </w:tc>
        <w:tc>
          <w:tcPr>
            <w:tcW w:w="1300" w:type="dxa"/>
            <w:tcBorders>
              <w:top w:val="nil"/>
              <w:left w:val="nil"/>
              <w:bottom w:val="single" w:sz="4" w:space="0" w:color="auto"/>
              <w:right w:val="single" w:sz="4" w:space="0" w:color="auto"/>
            </w:tcBorders>
            <w:noWrap/>
            <w:vAlign w:val="center"/>
            <w:hideMark/>
          </w:tcPr>
          <w:p w14:paraId="2477B6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1627147000</w:t>
            </w:r>
          </w:p>
        </w:tc>
        <w:tc>
          <w:tcPr>
            <w:tcW w:w="1012" w:type="dxa"/>
            <w:tcBorders>
              <w:top w:val="nil"/>
              <w:left w:val="nil"/>
              <w:bottom w:val="single" w:sz="4" w:space="0" w:color="auto"/>
              <w:right w:val="single" w:sz="4" w:space="0" w:color="auto"/>
            </w:tcBorders>
            <w:noWrap/>
            <w:vAlign w:val="center"/>
            <w:hideMark/>
          </w:tcPr>
          <w:p w14:paraId="1F94B2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80139574</w:t>
            </w:r>
          </w:p>
        </w:tc>
        <w:tc>
          <w:tcPr>
            <w:tcW w:w="5953" w:type="dxa"/>
            <w:tcBorders>
              <w:top w:val="nil"/>
              <w:left w:val="nil"/>
              <w:bottom w:val="single" w:sz="4" w:space="0" w:color="auto"/>
              <w:right w:val="single" w:sz="4" w:space="0" w:color="auto"/>
            </w:tcBorders>
            <w:noWrap/>
            <w:vAlign w:val="center"/>
            <w:hideMark/>
          </w:tcPr>
          <w:p w14:paraId="2682E8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SOCIALNO DELO</w:t>
            </w:r>
          </w:p>
        </w:tc>
      </w:tr>
      <w:tr w:rsidR="00F24E18" w14:paraId="480D75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E15F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1865</w:t>
            </w:r>
          </w:p>
        </w:tc>
        <w:tc>
          <w:tcPr>
            <w:tcW w:w="1300" w:type="dxa"/>
            <w:tcBorders>
              <w:top w:val="nil"/>
              <w:left w:val="nil"/>
              <w:bottom w:val="single" w:sz="4" w:space="0" w:color="auto"/>
              <w:right w:val="single" w:sz="4" w:space="0" w:color="auto"/>
            </w:tcBorders>
            <w:vAlign w:val="center"/>
            <w:hideMark/>
          </w:tcPr>
          <w:p w14:paraId="361CED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1627031000</w:t>
            </w:r>
          </w:p>
        </w:tc>
        <w:tc>
          <w:tcPr>
            <w:tcW w:w="1012" w:type="dxa"/>
            <w:tcBorders>
              <w:top w:val="nil"/>
              <w:left w:val="nil"/>
              <w:bottom w:val="single" w:sz="4" w:space="0" w:color="auto"/>
              <w:right w:val="single" w:sz="4" w:space="0" w:color="auto"/>
            </w:tcBorders>
            <w:vAlign w:val="center"/>
            <w:hideMark/>
          </w:tcPr>
          <w:p w14:paraId="0EE1C2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28118081</w:t>
            </w:r>
          </w:p>
        </w:tc>
        <w:tc>
          <w:tcPr>
            <w:tcW w:w="5953" w:type="dxa"/>
            <w:tcBorders>
              <w:top w:val="nil"/>
              <w:left w:val="nil"/>
              <w:bottom w:val="single" w:sz="4" w:space="0" w:color="auto"/>
              <w:right w:val="single" w:sz="4" w:space="0" w:color="auto"/>
            </w:tcBorders>
            <w:noWrap/>
            <w:vAlign w:val="center"/>
            <w:hideMark/>
          </w:tcPr>
          <w:p w14:paraId="05EF4A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STROJNIŠTVO</w:t>
            </w:r>
          </w:p>
        </w:tc>
      </w:tr>
      <w:tr w:rsidR="00F24E18" w14:paraId="3104DFB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615F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1866</w:t>
            </w:r>
          </w:p>
        </w:tc>
        <w:tc>
          <w:tcPr>
            <w:tcW w:w="1300" w:type="dxa"/>
            <w:tcBorders>
              <w:top w:val="nil"/>
              <w:left w:val="nil"/>
              <w:bottom w:val="single" w:sz="4" w:space="0" w:color="auto"/>
              <w:right w:val="single" w:sz="4" w:space="0" w:color="auto"/>
            </w:tcBorders>
            <w:vAlign w:val="center"/>
            <w:hideMark/>
          </w:tcPr>
          <w:p w14:paraId="7D9AA8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1627040000</w:t>
            </w:r>
          </w:p>
        </w:tc>
        <w:tc>
          <w:tcPr>
            <w:tcW w:w="1012" w:type="dxa"/>
            <w:tcBorders>
              <w:top w:val="nil"/>
              <w:left w:val="nil"/>
              <w:bottom w:val="single" w:sz="4" w:space="0" w:color="auto"/>
              <w:right w:val="single" w:sz="4" w:space="0" w:color="auto"/>
            </w:tcBorders>
            <w:vAlign w:val="center"/>
            <w:hideMark/>
          </w:tcPr>
          <w:p w14:paraId="313CCE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96040289</w:t>
            </w:r>
          </w:p>
        </w:tc>
        <w:tc>
          <w:tcPr>
            <w:tcW w:w="5953" w:type="dxa"/>
            <w:tcBorders>
              <w:top w:val="nil"/>
              <w:left w:val="nil"/>
              <w:bottom w:val="single" w:sz="4" w:space="0" w:color="auto"/>
              <w:right w:val="single" w:sz="4" w:space="0" w:color="auto"/>
            </w:tcBorders>
            <w:noWrap/>
            <w:vAlign w:val="center"/>
            <w:hideMark/>
          </w:tcPr>
          <w:p w14:paraId="04BF11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ŠPORT</w:t>
            </w:r>
          </w:p>
        </w:tc>
      </w:tr>
      <w:tr w:rsidR="00F24E18" w14:paraId="0B441B0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0692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1867</w:t>
            </w:r>
          </w:p>
        </w:tc>
        <w:tc>
          <w:tcPr>
            <w:tcW w:w="1300" w:type="dxa"/>
            <w:tcBorders>
              <w:top w:val="nil"/>
              <w:left w:val="nil"/>
              <w:bottom w:val="single" w:sz="4" w:space="0" w:color="auto"/>
              <w:right w:val="single" w:sz="4" w:space="0" w:color="auto"/>
            </w:tcBorders>
            <w:vAlign w:val="center"/>
            <w:hideMark/>
          </w:tcPr>
          <w:p w14:paraId="4E349B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1627163000</w:t>
            </w:r>
          </w:p>
        </w:tc>
        <w:tc>
          <w:tcPr>
            <w:tcW w:w="1012" w:type="dxa"/>
            <w:tcBorders>
              <w:top w:val="nil"/>
              <w:left w:val="nil"/>
              <w:bottom w:val="single" w:sz="4" w:space="0" w:color="auto"/>
              <w:right w:val="single" w:sz="4" w:space="0" w:color="auto"/>
            </w:tcBorders>
            <w:vAlign w:val="center"/>
            <w:hideMark/>
          </w:tcPr>
          <w:p w14:paraId="534836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14629763</w:t>
            </w:r>
          </w:p>
        </w:tc>
        <w:tc>
          <w:tcPr>
            <w:tcW w:w="5953" w:type="dxa"/>
            <w:tcBorders>
              <w:top w:val="nil"/>
              <w:left w:val="nil"/>
              <w:bottom w:val="single" w:sz="4" w:space="0" w:color="auto"/>
              <w:right w:val="single" w:sz="4" w:space="0" w:color="auto"/>
            </w:tcBorders>
            <w:noWrap/>
            <w:vAlign w:val="center"/>
            <w:hideMark/>
          </w:tcPr>
          <w:p w14:paraId="146BEB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FAKULTETA ZA UPRAVO</w:t>
            </w:r>
          </w:p>
        </w:tc>
      </w:tr>
      <w:tr w:rsidR="00F24E18" w14:paraId="02FE82B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CDE0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1868</w:t>
            </w:r>
          </w:p>
        </w:tc>
        <w:tc>
          <w:tcPr>
            <w:tcW w:w="1300" w:type="dxa"/>
            <w:tcBorders>
              <w:top w:val="nil"/>
              <w:left w:val="nil"/>
              <w:bottom w:val="single" w:sz="4" w:space="0" w:color="auto"/>
              <w:right w:val="single" w:sz="4" w:space="0" w:color="auto"/>
            </w:tcBorders>
            <w:vAlign w:val="center"/>
            <w:hideMark/>
          </w:tcPr>
          <w:p w14:paraId="4B17D8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1627058000</w:t>
            </w:r>
          </w:p>
        </w:tc>
        <w:tc>
          <w:tcPr>
            <w:tcW w:w="1012" w:type="dxa"/>
            <w:tcBorders>
              <w:top w:val="nil"/>
              <w:left w:val="nil"/>
              <w:bottom w:val="single" w:sz="4" w:space="0" w:color="auto"/>
              <w:right w:val="single" w:sz="4" w:space="0" w:color="auto"/>
            </w:tcBorders>
            <w:vAlign w:val="center"/>
            <w:hideMark/>
          </w:tcPr>
          <w:p w14:paraId="6CE0AC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55382657</w:t>
            </w:r>
          </w:p>
        </w:tc>
        <w:tc>
          <w:tcPr>
            <w:tcW w:w="5953" w:type="dxa"/>
            <w:tcBorders>
              <w:top w:val="nil"/>
              <w:left w:val="nil"/>
              <w:bottom w:val="single" w:sz="4" w:space="0" w:color="auto"/>
              <w:right w:val="single" w:sz="4" w:space="0" w:color="auto"/>
            </w:tcBorders>
            <w:noWrap/>
            <w:vAlign w:val="center"/>
            <w:hideMark/>
          </w:tcPr>
          <w:p w14:paraId="024A99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FILOZOFSKA FAKULTETA</w:t>
            </w:r>
          </w:p>
        </w:tc>
      </w:tr>
      <w:tr w:rsidR="00F24E18" w14:paraId="4316DC1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EA6E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1869</w:t>
            </w:r>
          </w:p>
        </w:tc>
        <w:tc>
          <w:tcPr>
            <w:tcW w:w="1300" w:type="dxa"/>
            <w:tcBorders>
              <w:top w:val="nil"/>
              <w:left w:val="nil"/>
              <w:bottom w:val="single" w:sz="4" w:space="0" w:color="auto"/>
              <w:right w:val="single" w:sz="4" w:space="0" w:color="auto"/>
            </w:tcBorders>
            <w:vAlign w:val="center"/>
            <w:hideMark/>
          </w:tcPr>
          <w:p w14:paraId="5498F7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1627066000</w:t>
            </w:r>
          </w:p>
        </w:tc>
        <w:tc>
          <w:tcPr>
            <w:tcW w:w="1012" w:type="dxa"/>
            <w:tcBorders>
              <w:top w:val="nil"/>
              <w:left w:val="nil"/>
              <w:bottom w:val="single" w:sz="4" w:space="0" w:color="auto"/>
              <w:right w:val="single" w:sz="4" w:space="0" w:color="auto"/>
            </w:tcBorders>
            <w:vAlign w:val="center"/>
            <w:hideMark/>
          </w:tcPr>
          <w:p w14:paraId="0B5F40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44752385</w:t>
            </w:r>
          </w:p>
        </w:tc>
        <w:tc>
          <w:tcPr>
            <w:tcW w:w="5953" w:type="dxa"/>
            <w:tcBorders>
              <w:top w:val="nil"/>
              <w:left w:val="nil"/>
              <w:bottom w:val="single" w:sz="4" w:space="0" w:color="auto"/>
              <w:right w:val="single" w:sz="4" w:space="0" w:color="auto"/>
            </w:tcBorders>
            <w:noWrap/>
            <w:vAlign w:val="center"/>
            <w:hideMark/>
          </w:tcPr>
          <w:p w14:paraId="6033EC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MEDICINSKA FAKULTETA</w:t>
            </w:r>
          </w:p>
        </w:tc>
      </w:tr>
      <w:tr w:rsidR="00F24E18" w14:paraId="28036E1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06D4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1870</w:t>
            </w:r>
          </w:p>
        </w:tc>
        <w:tc>
          <w:tcPr>
            <w:tcW w:w="1300" w:type="dxa"/>
            <w:tcBorders>
              <w:top w:val="nil"/>
              <w:left w:val="nil"/>
              <w:bottom w:val="single" w:sz="4" w:space="0" w:color="auto"/>
              <w:right w:val="single" w:sz="4" w:space="0" w:color="auto"/>
            </w:tcBorders>
            <w:noWrap/>
            <w:vAlign w:val="center"/>
            <w:hideMark/>
          </w:tcPr>
          <w:p w14:paraId="242139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1627074000</w:t>
            </w:r>
          </w:p>
        </w:tc>
        <w:tc>
          <w:tcPr>
            <w:tcW w:w="1012" w:type="dxa"/>
            <w:tcBorders>
              <w:top w:val="nil"/>
              <w:left w:val="nil"/>
              <w:bottom w:val="single" w:sz="4" w:space="0" w:color="auto"/>
              <w:right w:val="single" w:sz="4" w:space="0" w:color="auto"/>
            </w:tcBorders>
            <w:noWrap/>
            <w:vAlign w:val="center"/>
            <w:hideMark/>
          </w:tcPr>
          <w:p w14:paraId="29A47F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24405388</w:t>
            </w:r>
          </w:p>
        </w:tc>
        <w:tc>
          <w:tcPr>
            <w:tcW w:w="5953" w:type="dxa"/>
            <w:tcBorders>
              <w:top w:val="nil"/>
              <w:left w:val="nil"/>
              <w:bottom w:val="single" w:sz="4" w:space="0" w:color="auto"/>
              <w:right w:val="single" w:sz="4" w:space="0" w:color="auto"/>
            </w:tcBorders>
            <w:noWrap/>
            <w:vAlign w:val="center"/>
            <w:hideMark/>
          </w:tcPr>
          <w:p w14:paraId="26BC7C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NARAVOSLOVNOTEHNIŠKA FAKULTETA</w:t>
            </w:r>
          </w:p>
        </w:tc>
      </w:tr>
      <w:tr w:rsidR="00F24E18" w14:paraId="5B7A9B2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A330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1871</w:t>
            </w:r>
          </w:p>
        </w:tc>
        <w:tc>
          <w:tcPr>
            <w:tcW w:w="1300" w:type="dxa"/>
            <w:tcBorders>
              <w:top w:val="nil"/>
              <w:left w:val="nil"/>
              <w:bottom w:val="single" w:sz="4" w:space="0" w:color="auto"/>
              <w:right w:val="single" w:sz="4" w:space="0" w:color="auto"/>
            </w:tcBorders>
            <w:noWrap/>
            <w:vAlign w:val="center"/>
            <w:hideMark/>
          </w:tcPr>
          <w:p w14:paraId="5D8EA8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1627082000</w:t>
            </w:r>
          </w:p>
        </w:tc>
        <w:tc>
          <w:tcPr>
            <w:tcW w:w="1012" w:type="dxa"/>
            <w:tcBorders>
              <w:top w:val="nil"/>
              <w:left w:val="nil"/>
              <w:bottom w:val="single" w:sz="4" w:space="0" w:color="auto"/>
              <w:right w:val="single" w:sz="4" w:space="0" w:color="auto"/>
            </w:tcBorders>
            <w:noWrap/>
            <w:vAlign w:val="center"/>
            <w:hideMark/>
          </w:tcPr>
          <w:p w14:paraId="44D3A5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61412198</w:t>
            </w:r>
          </w:p>
        </w:tc>
        <w:tc>
          <w:tcPr>
            <w:tcW w:w="5953" w:type="dxa"/>
            <w:tcBorders>
              <w:top w:val="nil"/>
              <w:left w:val="nil"/>
              <w:bottom w:val="single" w:sz="4" w:space="0" w:color="auto"/>
              <w:right w:val="single" w:sz="4" w:space="0" w:color="auto"/>
            </w:tcBorders>
            <w:noWrap/>
            <w:vAlign w:val="center"/>
            <w:hideMark/>
          </w:tcPr>
          <w:p w14:paraId="068947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PEDAGOŠKA FAKULTETA</w:t>
            </w:r>
          </w:p>
        </w:tc>
      </w:tr>
      <w:tr w:rsidR="00F24E18" w14:paraId="53E06FD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9FCD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1872</w:t>
            </w:r>
          </w:p>
        </w:tc>
        <w:tc>
          <w:tcPr>
            <w:tcW w:w="1300" w:type="dxa"/>
            <w:tcBorders>
              <w:top w:val="nil"/>
              <w:left w:val="nil"/>
              <w:bottom w:val="single" w:sz="4" w:space="0" w:color="auto"/>
              <w:right w:val="single" w:sz="4" w:space="0" w:color="auto"/>
            </w:tcBorders>
            <w:noWrap/>
            <w:vAlign w:val="center"/>
            <w:hideMark/>
          </w:tcPr>
          <w:p w14:paraId="528F7A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1627104000</w:t>
            </w:r>
          </w:p>
        </w:tc>
        <w:tc>
          <w:tcPr>
            <w:tcW w:w="1012" w:type="dxa"/>
            <w:tcBorders>
              <w:top w:val="nil"/>
              <w:left w:val="nil"/>
              <w:bottom w:val="single" w:sz="4" w:space="0" w:color="auto"/>
              <w:right w:val="single" w:sz="4" w:space="0" w:color="auto"/>
            </w:tcBorders>
            <w:noWrap/>
            <w:vAlign w:val="center"/>
            <w:hideMark/>
          </w:tcPr>
          <w:p w14:paraId="656DF9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13125427</w:t>
            </w:r>
          </w:p>
        </w:tc>
        <w:tc>
          <w:tcPr>
            <w:tcW w:w="5953" w:type="dxa"/>
            <w:tcBorders>
              <w:top w:val="nil"/>
              <w:left w:val="nil"/>
              <w:bottom w:val="single" w:sz="4" w:space="0" w:color="auto"/>
              <w:right w:val="single" w:sz="4" w:space="0" w:color="auto"/>
            </w:tcBorders>
            <w:noWrap/>
            <w:vAlign w:val="center"/>
            <w:hideMark/>
          </w:tcPr>
          <w:p w14:paraId="470989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PRAVNA FAKULTETA</w:t>
            </w:r>
          </w:p>
        </w:tc>
      </w:tr>
      <w:tr w:rsidR="00F24E18" w14:paraId="3A988E2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2F8B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1873</w:t>
            </w:r>
          </w:p>
        </w:tc>
        <w:tc>
          <w:tcPr>
            <w:tcW w:w="1300" w:type="dxa"/>
            <w:tcBorders>
              <w:top w:val="nil"/>
              <w:left w:val="nil"/>
              <w:bottom w:val="single" w:sz="4" w:space="0" w:color="auto"/>
              <w:right w:val="single" w:sz="4" w:space="0" w:color="auto"/>
            </w:tcBorders>
            <w:noWrap/>
            <w:vAlign w:val="center"/>
            <w:hideMark/>
          </w:tcPr>
          <w:p w14:paraId="0F1726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1627112000</w:t>
            </w:r>
          </w:p>
        </w:tc>
        <w:tc>
          <w:tcPr>
            <w:tcW w:w="1012" w:type="dxa"/>
            <w:tcBorders>
              <w:top w:val="nil"/>
              <w:left w:val="nil"/>
              <w:bottom w:val="single" w:sz="4" w:space="0" w:color="auto"/>
              <w:right w:val="single" w:sz="4" w:space="0" w:color="auto"/>
            </w:tcBorders>
            <w:noWrap/>
            <w:vAlign w:val="center"/>
            <w:hideMark/>
          </w:tcPr>
          <w:p w14:paraId="062690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36640514</w:t>
            </w:r>
          </w:p>
        </w:tc>
        <w:tc>
          <w:tcPr>
            <w:tcW w:w="5953" w:type="dxa"/>
            <w:tcBorders>
              <w:top w:val="nil"/>
              <w:left w:val="nil"/>
              <w:bottom w:val="single" w:sz="4" w:space="0" w:color="auto"/>
              <w:right w:val="single" w:sz="4" w:space="0" w:color="auto"/>
            </w:tcBorders>
            <w:noWrap/>
            <w:vAlign w:val="center"/>
            <w:hideMark/>
          </w:tcPr>
          <w:p w14:paraId="10702D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TEOLOŠKA FAKULTETA</w:t>
            </w:r>
          </w:p>
        </w:tc>
      </w:tr>
      <w:tr w:rsidR="00F24E18" w14:paraId="018FA6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9208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1874</w:t>
            </w:r>
          </w:p>
        </w:tc>
        <w:tc>
          <w:tcPr>
            <w:tcW w:w="1300" w:type="dxa"/>
            <w:tcBorders>
              <w:top w:val="nil"/>
              <w:left w:val="nil"/>
              <w:bottom w:val="single" w:sz="4" w:space="0" w:color="auto"/>
              <w:right w:val="single" w:sz="4" w:space="0" w:color="auto"/>
            </w:tcBorders>
            <w:vAlign w:val="center"/>
            <w:hideMark/>
          </w:tcPr>
          <w:p w14:paraId="4258D4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1627139000</w:t>
            </w:r>
          </w:p>
        </w:tc>
        <w:tc>
          <w:tcPr>
            <w:tcW w:w="1012" w:type="dxa"/>
            <w:tcBorders>
              <w:top w:val="nil"/>
              <w:left w:val="nil"/>
              <w:bottom w:val="single" w:sz="4" w:space="0" w:color="auto"/>
              <w:right w:val="single" w:sz="4" w:space="0" w:color="auto"/>
            </w:tcBorders>
            <w:vAlign w:val="center"/>
            <w:hideMark/>
          </w:tcPr>
          <w:p w14:paraId="64D163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59676418</w:t>
            </w:r>
          </w:p>
        </w:tc>
        <w:tc>
          <w:tcPr>
            <w:tcW w:w="5953" w:type="dxa"/>
            <w:tcBorders>
              <w:top w:val="nil"/>
              <w:left w:val="nil"/>
              <w:bottom w:val="single" w:sz="4" w:space="0" w:color="auto"/>
              <w:right w:val="single" w:sz="4" w:space="0" w:color="auto"/>
            </w:tcBorders>
            <w:noWrap/>
            <w:vAlign w:val="center"/>
            <w:hideMark/>
          </w:tcPr>
          <w:p w14:paraId="4FDA37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VETERINARSKA FAKULTETA</w:t>
            </w:r>
          </w:p>
        </w:tc>
      </w:tr>
      <w:tr w:rsidR="00F24E18" w14:paraId="2B4D413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E233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1875</w:t>
            </w:r>
          </w:p>
        </w:tc>
        <w:tc>
          <w:tcPr>
            <w:tcW w:w="1300" w:type="dxa"/>
            <w:tcBorders>
              <w:top w:val="nil"/>
              <w:left w:val="nil"/>
              <w:bottom w:val="single" w:sz="4" w:space="0" w:color="auto"/>
              <w:right w:val="single" w:sz="4" w:space="0" w:color="auto"/>
            </w:tcBorders>
            <w:vAlign w:val="center"/>
            <w:hideMark/>
          </w:tcPr>
          <w:p w14:paraId="46D66D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1627155000</w:t>
            </w:r>
          </w:p>
        </w:tc>
        <w:tc>
          <w:tcPr>
            <w:tcW w:w="1012" w:type="dxa"/>
            <w:tcBorders>
              <w:top w:val="nil"/>
              <w:left w:val="nil"/>
              <w:bottom w:val="single" w:sz="4" w:space="0" w:color="auto"/>
              <w:right w:val="single" w:sz="4" w:space="0" w:color="auto"/>
            </w:tcBorders>
            <w:vAlign w:val="center"/>
            <w:hideMark/>
          </w:tcPr>
          <w:p w14:paraId="2B2C43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23997788</w:t>
            </w:r>
          </w:p>
        </w:tc>
        <w:tc>
          <w:tcPr>
            <w:tcW w:w="5953" w:type="dxa"/>
            <w:tcBorders>
              <w:top w:val="nil"/>
              <w:left w:val="nil"/>
              <w:bottom w:val="single" w:sz="4" w:space="0" w:color="auto"/>
              <w:right w:val="single" w:sz="4" w:space="0" w:color="auto"/>
            </w:tcBorders>
            <w:noWrap/>
            <w:vAlign w:val="center"/>
            <w:hideMark/>
          </w:tcPr>
          <w:p w14:paraId="5C224F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LJUBLJANI, ZDRAVSTVENA FAKULTETA</w:t>
            </w:r>
          </w:p>
        </w:tc>
      </w:tr>
      <w:tr w:rsidR="00F24E18" w14:paraId="633E680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CACA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1876</w:t>
            </w:r>
          </w:p>
        </w:tc>
        <w:tc>
          <w:tcPr>
            <w:tcW w:w="1300" w:type="dxa"/>
            <w:tcBorders>
              <w:top w:val="nil"/>
              <w:left w:val="nil"/>
              <w:bottom w:val="single" w:sz="4" w:space="0" w:color="auto"/>
              <w:right w:val="single" w:sz="4" w:space="0" w:color="auto"/>
            </w:tcBorders>
            <w:vAlign w:val="center"/>
            <w:hideMark/>
          </w:tcPr>
          <w:p w14:paraId="77CDE2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5089638000</w:t>
            </w:r>
          </w:p>
        </w:tc>
        <w:tc>
          <w:tcPr>
            <w:tcW w:w="1012" w:type="dxa"/>
            <w:tcBorders>
              <w:top w:val="nil"/>
              <w:left w:val="nil"/>
              <w:bottom w:val="single" w:sz="4" w:space="0" w:color="auto"/>
              <w:right w:val="single" w:sz="4" w:space="0" w:color="auto"/>
            </w:tcBorders>
            <w:vAlign w:val="center"/>
            <w:hideMark/>
          </w:tcPr>
          <w:p w14:paraId="3067F3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1EF2CA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w:t>
            </w:r>
          </w:p>
        </w:tc>
      </w:tr>
      <w:tr w:rsidR="00F24E18" w14:paraId="086145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29D8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1877</w:t>
            </w:r>
          </w:p>
        </w:tc>
        <w:tc>
          <w:tcPr>
            <w:tcW w:w="1300" w:type="dxa"/>
            <w:tcBorders>
              <w:top w:val="nil"/>
              <w:left w:val="nil"/>
              <w:bottom w:val="single" w:sz="4" w:space="0" w:color="auto"/>
              <w:right w:val="single" w:sz="4" w:space="0" w:color="auto"/>
            </w:tcBorders>
            <w:vAlign w:val="center"/>
            <w:hideMark/>
          </w:tcPr>
          <w:p w14:paraId="1C6EAE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5089638003</w:t>
            </w:r>
          </w:p>
        </w:tc>
        <w:tc>
          <w:tcPr>
            <w:tcW w:w="1012" w:type="dxa"/>
            <w:tcBorders>
              <w:top w:val="nil"/>
              <w:left w:val="nil"/>
              <w:bottom w:val="single" w:sz="4" w:space="0" w:color="auto"/>
              <w:right w:val="single" w:sz="4" w:space="0" w:color="auto"/>
            </w:tcBorders>
            <w:vAlign w:val="center"/>
            <w:hideMark/>
          </w:tcPr>
          <w:p w14:paraId="5D18EF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20B986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ELEKTROTEHNIKO, RAČUNALNIŠTVO IN INFORMATIKO</w:t>
            </w:r>
          </w:p>
        </w:tc>
      </w:tr>
      <w:tr w:rsidR="00F24E18" w14:paraId="1FAEBF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B64A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1878</w:t>
            </w:r>
          </w:p>
        </w:tc>
        <w:tc>
          <w:tcPr>
            <w:tcW w:w="1300" w:type="dxa"/>
            <w:tcBorders>
              <w:top w:val="nil"/>
              <w:left w:val="nil"/>
              <w:bottom w:val="single" w:sz="4" w:space="0" w:color="auto"/>
              <w:right w:val="single" w:sz="4" w:space="0" w:color="auto"/>
            </w:tcBorders>
            <w:noWrap/>
            <w:vAlign w:val="center"/>
            <w:hideMark/>
          </w:tcPr>
          <w:p w14:paraId="6A5F87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5089638052</w:t>
            </w:r>
          </w:p>
        </w:tc>
        <w:tc>
          <w:tcPr>
            <w:tcW w:w="1012" w:type="dxa"/>
            <w:tcBorders>
              <w:top w:val="nil"/>
              <w:left w:val="nil"/>
              <w:bottom w:val="single" w:sz="4" w:space="0" w:color="auto"/>
              <w:right w:val="single" w:sz="4" w:space="0" w:color="auto"/>
            </w:tcBorders>
            <w:noWrap/>
            <w:vAlign w:val="center"/>
            <w:hideMark/>
          </w:tcPr>
          <w:p w14:paraId="6DD40B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7ADA31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ENERGETIKO</w:t>
            </w:r>
          </w:p>
        </w:tc>
      </w:tr>
      <w:tr w:rsidR="00F24E18" w14:paraId="09865CB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FC80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1879</w:t>
            </w:r>
          </w:p>
        </w:tc>
        <w:tc>
          <w:tcPr>
            <w:tcW w:w="1300" w:type="dxa"/>
            <w:tcBorders>
              <w:top w:val="nil"/>
              <w:left w:val="nil"/>
              <w:bottom w:val="single" w:sz="4" w:space="0" w:color="auto"/>
              <w:right w:val="single" w:sz="4" w:space="0" w:color="auto"/>
            </w:tcBorders>
            <w:vAlign w:val="center"/>
            <w:hideMark/>
          </w:tcPr>
          <w:p w14:paraId="2AD8C0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5089638012</w:t>
            </w:r>
          </w:p>
        </w:tc>
        <w:tc>
          <w:tcPr>
            <w:tcW w:w="1012" w:type="dxa"/>
            <w:tcBorders>
              <w:top w:val="nil"/>
              <w:left w:val="nil"/>
              <w:bottom w:val="single" w:sz="4" w:space="0" w:color="auto"/>
              <w:right w:val="single" w:sz="4" w:space="0" w:color="auto"/>
            </w:tcBorders>
            <w:vAlign w:val="center"/>
            <w:hideMark/>
          </w:tcPr>
          <w:p w14:paraId="586B35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23EE56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KEMIJO IN KEMIJSKO TEHNOLOGIJO</w:t>
            </w:r>
          </w:p>
        </w:tc>
      </w:tr>
      <w:tr w:rsidR="00F24E18" w14:paraId="314096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9E72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1880</w:t>
            </w:r>
          </w:p>
        </w:tc>
        <w:tc>
          <w:tcPr>
            <w:tcW w:w="1300" w:type="dxa"/>
            <w:tcBorders>
              <w:top w:val="nil"/>
              <w:left w:val="nil"/>
              <w:bottom w:val="single" w:sz="4" w:space="0" w:color="auto"/>
              <w:right w:val="single" w:sz="4" w:space="0" w:color="auto"/>
            </w:tcBorders>
            <w:noWrap/>
            <w:vAlign w:val="center"/>
            <w:hideMark/>
          </w:tcPr>
          <w:p w14:paraId="139F4D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5089638049</w:t>
            </w:r>
          </w:p>
        </w:tc>
        <w:tc>
          <w:tcPr>
            <w:tcW w:w="1012" w:type="dxa"/>
            <w:tcBorders>
              <w:top w:val="nil"/>
              <w:left w:val="nil"/>
              <w:bottom w:val="single" w:sz="4" w:space="0" w:color="auto"/>
              <w:right w:val="single" w:sz="4" w:space="0" w:color="auto"/>
            </w:tcBorders>
            <w:noWrap/>
            <w:vAlign w:val="center"/>
            <w:hideMark/>
          </w:tcPr>
          <w:p w14:paraId="61651D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7F350C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LOGISTIKO</w:t>
            </w:r>
          </w:p>
        </w:tc>
      </w:tr>
      <w:tr w:rsidR="00F24E18" w14:paraId="60E92C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5D80D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1881</w:t>
            </w:r>
          </w:p>
        </w:tc>
        <w:tc>
          <w:tcPr>
            <w:tcW w:w="1300" w:type="dxa"/>
            <w:tcBorders>
              <w:top w:val="nil"/>
              <w:left w:val="nil"/>
              <w:bottom w:val="single" w:sz="4" w:space="0" w:color="auto"/>
              <w:right w:val="single" w:sz="4" w:space="0" w:color="auto"/>
            </w:tcBorders>
            <w:noWrap/>
            <w:vAlign w:val="center"/>
            <w:hideMark/>
          </w:tcPr>
          <w:p w14:paraId="1C904D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5089638051</w:t>
            </w:r>
          </w:p>
        </w:tc>
        <w:tc>
          <w:tcPr>
            <w:tcW w:w="1012" w:type="dxa"/>
            <w:tcBorders>
              <w:top w:val="nil"/>
              <w:left w:val="nil"/>
              <w:bottom w:val="single" w:sz="4" w:space="0" w:color="auto"/>
              <w:right w:val="single" w:sz="4" w:space="0" w:color="auto"/>
            </w:tcBorders>
            <w:noWrap/>
            <w:vAlign w:val="center"/>
            <w:hideMark/>
          </w:tcPr>
          <w:p w14:paraId="66F285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00F563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NARAVOSLOVJE IN MATEMATIKO</w:t>
            </w:r>
          </w:p>
        </w:tc>
      </w:tr>
      <w:tr w:rsidR="00F24E18" w14:paraId="0ECED99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6D59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1882</w:t>
            </w:r>
          </w:p>
        </w:tc>
        <w:tc>
          <w:tcPr>
            <w:tcW w:w="1300" w:type="dxa"/>
            <w:tcBorders>
              <w:top w:val="nil"/>
              <w:left w:val="nil"/>
              <w:bottom w:val="single" w:sz="4" w:space="0" w:color="auto"/>
              <w:right w:val="single" w:sz="4" w:space="0" w:color="auto"/>
            </w:tcBorders>
            <w:noWrap/>
            <w:vAlign w:val="center"/>
            <w:hideMark/>
          </w:tcPr>
          <w:p w14:paraId="3A11C9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5089638018</w:t>
            </w:r>
          </w:p>
        </w:tc>
        <w:tc>
          <w:tcPr>
            <w:tcW w:w="1012" w:type="dxa"/>
            <w:tcBorders>
              <w:top w:val="nil"/>
              <w:left w:val="nil"/>
              <w:bottom w:val="single" w:sz="4" w:space="0" w:color="auto"/>
              <w:right w:val="single" w:sz="4" w:space="0" w:color="auto"/>
            </w:tcBorders>
            <w:noWrap/>
            <w:vAlign w:val="center"/>
            <w:hideMark/>
          </w:tcPr>
          <w:p w14:paraId="577E15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1B00F5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ORGANIZACIJSKE VEDE</w:t>
            </w:r>
          </w:p>
        </w:tc>
      </w:tr>
      <w:tr w:rsidR="00F24E18" w14:paraId="40937F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07E81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1883</w:t>
            </w:r>
          </w:p>
        </w:tc>
        <w:tc>
          <w:tcPr>
            <w:tcW w:w="1300" w:type="dxa"/>
            <w:tcBorders>
              <w:top w:val="nil"/>
              <w:left w:val="nil"/>
              <w:bottom w:val="single" w:sz="4" w:space="0" w:color="auto"/>
              <w:right w:val="single" w:sz="4" w:space="0" w:color="auto"/>
            </w:tcBorders>
            <w:vAlign w:val="center"/>
            <w:hideMark/>
          </w:tcPr>
          <w:p w14:paraId="003BBB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5089638010</w:t>
            </w:r>
          </w:p>
        </w:tc>
        <w:tc>
          <w:tcPr>
            <w:tcW w:w="1012" w:type="dxa"/>
            <w:tcBorders>
              <w:top w:val="nil"/>
              <w:left w:val="nil"/>
              <w:bottom w:val="single" w:sz="4" w:space="0" w:color="auto"/>
              <w:right w:val="single" w:sz="4" w:space="0" w:color="auto"/>
            </w:tcBorders>
            <w:vAlign w:val="center"/>
            <w:hideMark/>
          </w:tcPr>
          <w:p w14:paraId="0E8E9A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0FDA30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STROJNIŠTVO</w:t>
            </w:r>
          </w:p>
        </w:tc>
      </w:tr>
      <w:tr w:rsidR="00F24E18" w14:paraId="70A4C83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9970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1884</w:t>
            </w:r>
          </w:p>
        </w:tc>
        <w:tc>
          <w:tcPr>
            <w:tcW w:w="1300" w:type="dxa"/>
            <w:tcBorders>
              <w:top w:val="nil"/>
              <w:left w:val="nil"/>
              <w:bottom w:val="single" w:sz="4" w:space="0" w:color="auto"/>
              <w:right w:val="single" w:sz="4" w:space="0" w:color="auto"/>
            </w:tcBorders>
            <w:vAlign w:val="center"/>
            <w:hideMark/>
          </w:tcPr>
          <w:p w14:paraId="1A8867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5089638050</w:t>
            </w:r>
          </w:p>
        </w:tc>
        <w:tc>
          <w:tcPr>
            <w:tcW w:w="1012" w:type="dxa"/>
            <w:tcBorders>
              <w:top w:val="nil"/>
              <w:left w:val="nil"/>
              <w:bottom w:val="single" w:sz="4" w:space="0" w:color="auto"/>
              <w:right w:val="single" w:sz="4" w:space="0" w:color="auto"/>
            </w:tcBorders>
            <w:vAlign w:val="center"/>
            <w:hideMark/>
          </w:tcPr>
          <w:p w14:paraId="7E06A1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5F76EE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FILOZOFSKA FAKULTETA</w:t>
            </w:r>
          </w:p>
        </w:tc>
      </w:tr>
      <w:tr w:rsidR="00F24E18" w14:paraId="47FFE4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A309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1885</w:t>
            </w:r>
          </w:p>
        </w:tc>
        <w:tc>
          <w:tcPr>
            <w:tcW w:w="1300" w:type="dxa"/>
            <w:tcBorders>
              <w:top w:val="nil"/>
              <w:left w:val="nil"/>
              <w:bottom w:val="single" w:sz="4" w:space="0" w:color="auto"/>
              <w:right w:val="single" w:sz="4" w:space="0" w:color="auto"/>
            </w:tcBorders>
            <w:noWrap/>
            <w:vAlign w:val="center"/>
            <w:hideMark/>
          </w:tcPr>
          <w:p w14:paraId="15A214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5089638013</w:t>
            </w:r>
          </w:p>
        </w:tc>
        <w:tc>
          <w:tcPr>
            <w:tcW w:w="1012" w:type="dxa"/>
            <w:tcBorders>
              <w:top w:val="nil"/>
              <w:left w:val="nil"/>
              <w:bottom w:val="single" w:sz="4" w:space="0" w:color="auto"/>
              <w:right w:val="single" w:sz="4" w:space="0" w:color="auto"/>
            </w:tcBorders>
            <w:noWrap/>
            <w:vAlign w:val="center"/>
            <w:hideMark/>
          </w:tcPr>
          <w:p w14:paraId="0601E0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10FCA9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PEDAGOŠKA FAKULTETA</w:t>
            </w:r>
          </w:p>
        </w:tc>
      </w:tr>
      <w:tr w:rsidR="00F24E18" w14:paraId="0ACC94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EE167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1886</w:t>
            </w:r>
          </w:p>
        </w:tc>
        <w:tc>
          <w:tcPr>
            <w:tcW w:w="1300" w:type="dxa"/>
            <w:tcBorders>
              <w:top w:val="nil"/>
              <w:left w:val="nil"/>
              <w:bottom w:val="single" w:sz="4" w:space="0" w:color="auto"/>
              <w:right w:val="single" w:sz="4" w:space="0" w:color="auto"/>
            </w:tcBorders>
            <w:noWrap/>
            <w:vAlign w:val="center"/>
            <w:hideMark/>
          </w:tcPr>
          <w:p w14:paraId="683FA7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5089638015</w:t>
            </w:r>
          </w:p>
        </w:tc>
        <w:tc>
          <w:tcPr>
            <w:tcW w:w="1012" w:type="dxa"/>
            <w:tcBorders>
              <w:top w:val="nil"/>
              <w:left w:val="nil"/>
              <w:bottom w:val="single" w:sz="4" w:space="0" w:color="auto"/>
              <w:right w:val="single" w:sz="4" w:space="0" w:color="auto"/>
            </w:tcBorders>
            <w:noWrap/>
            <w:vAlign w:val="center"/>
            <w:hideMark/>
          </w:tcPr>
          <w:p w14:paraId="6D1437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3BB0DA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PRAVNA FAKULTETA</w:t>
            </w:r>
          </w:p>
        </w:tc>
      </w:tr>
      <w:tr w:rsidR="00F24E18" w14:paraId="1A5C672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5FBA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1887</w:t>
            </w:r>
          </w:p>
        </w:tc>
        <w:tc>
          <w:tcPr>
            <w:tcW w:w="1300" w:type="dxa"/>
            <w:tcBorders>
              <w:top w:val="nil"/>
              <w:left w:val="nil"/>
              <w:bottom w:val="single" w:sz="4" w:space="0" w:color="auto"/>
              <w:right w:val="single" w:sz="4" w:space="0" w:color="auto"/>
            </w:tcBorders>
            <w:vAlign w:val="center"/>
            <w:hideMark/>
          </w:tcPr>
          <w:p w14:paraId="2485B8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5050332000</w:t>
            </w:r>
          </w:p>
        </w:tc>
        <w:tc>
          <w:tcPr>
            <w:tcW w:w="1012" w:type="dxa"/>
            <w:tcBorders>
              <w:top w:val="nil"/>
              <w:left w:val="nil"/>
              <w:bottom w:val="single" w:sz="4" w:space="0" w:color="auto"/>
              <w:right w:val="single" w:sz="4" w:space="0" w:color="auto"/>
            </w:tcBorders>
            <w:vAlign w:val="center"/>
            <w:hideMark/>
          </w:tcPr>
          <w:p w14:paraId="3902EB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50213091</w:t>
            </w:r>
          </w:p>
        </w:tc>
        <w:tc>
          <w:tcPr>
            <w:tcW w:w="5953" w:type="dxa"/>
            <w:tcBorders>
              <w:top w:val="nil"/>
              <w:left w:val="nil"/>
              <w:bottom w:val="single" w:sz="4" w:space="0" w:color="auto"/>
              <w:right w:val="single" w:sz="4" w:space="0" w:color="auto"/>
            </w:tcBorders>
            <w:noWrap/>
            <w:vAlign w:val="center"/>
            <w:hideMark/>
          </w:tcPr>
          <w:p w14:paraId="401901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ŠTUDENTSKI DOMOVI</w:t>
            </w:r>
          </w:p>
        </w:tc>
      </w:tr>
      <w:tr w:rsidR="00F24E18" w14:paraId="010FFB9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5EEAF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1888</w:t>
            </w:r>
          </w:p>
        </w:tc>
        <w:tc>
          <w:tcPr>
            <w:tcW w:w="1300" w:type="dxa"/>
            <w:tcBorders>
              <w:top w:val="nil"/>
              <w:left w:val="nil"/>
              <w:bottom w:val="single" w:sz="4" w:space="0" w:color="auto"/>
              <w:right w:val="single" w:sz="4" w:space="0" w:color="auto"/>
            </w:tcBorders>
            <w:vAlign w:val="center"/>
            <w:hideMark/>
          </w:tcPr>
          <w:p w14:paraId="10C6AA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5052114000</w:t>
            </w:r>
          </w:p>
        </w:tc>
        <w:tc>
          <w:tcPr>
            <w:tcW w:w="1012" w:type="dxa"/>
            <w:tcBorders>
              <w:top w:val="nil"/>
              <w:left w:val="nil"/>
              <w:bottom w:val="single" w:sz="4" w:space="0" w:color="auto"/>
              <w:right w:val="single" w:sz="4" w:space="0" w:color="auto"/>
            </w:tcBorders>
            <w:vAlign w:val="center"/>
            <w:hideMark/>
          </w:tcPr>
          <w:p w14:paraId="309938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11537213</w:t>
            </w:r>
          </w:p>
        </w:tc>
        <w:tc>
          <w:tcPr>
            <w:tcW w:w="5953" w:type="dxa"/>
            <w:tcBorders>
              <w:top w:val="nil"/>
              <w:left w:val="nil"/>
              <w:bottom w:val="single" w:sz="4" w:space="0" w:color="auto"/>
              <w:right w:val="single" w:sz="4" w:space="0" w:color="auto"/>
            </w:tcBorders>
            <w:noWrap/>
            <w:vAlign w:val="center"/>
            <w:hideMark/>
          </w:tcPr>
          <w:p w14:paraId="0106E8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UNIVERZITETNA KNJIŽNICA MARIBOR</w:t>
            </w:r>
          </w:p>
        </w:tc>
      </w:tr>
      <w:tr w:rsidR="00F24E18" w14:paraId="661D1E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3471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1889</w:t>
            </w:r>
          </w:p>
        </w:tc>
        <w:tc>
          <w:tcPr>
            <w:tcW w:w="1300" w:type="dxa"/>
            <w:tcBorders>
              <w:top w:val="nil"/>
              <w:left w:val="nil"/>
              <w:bottom w:val="single" w:sz="4" w:space="0" w:color="auto"/>
              <w:right w:val="single" w:sz="4" w:space="0" w:color="auto"/>
            </w:tcBorders>
            <w:vAlign w:val="center"/>
            <w:hideMark/>
          </w:tcPr>
          <w:p w14:paraId="3FE8B6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5089638004</w:t>
            </w:r>
          </w:p>
        </w:tc>
        <w:tc>
          <w:tcPr>
            <w:tcW w:w="1012" w:type="dxa"/>
            <w:tcBorders>
              <w:top w:val="nil"/>
              <w:left w:val="nil"/>
              <w:bottom w:val="single" w:sz="4" w:space="0" w:color="auto"/>
              <w:right w:val="single" w:sz="4" w:space="0" w:color="auto"/>
            </w:tcBorders>
            <w:vAlign w:val="center"/>
            <w:hideMark/>
          </w:tcPr>
          <w:p w14:paraId="5DABDB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25165D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KMETIJSTVO IN BIOSISTEMSKE VEDE</w:t>
            </w:r>
          </w:p>
        </w:tc>
      </w:tr>
      <w:tr w:rsidR="00F24E18" w14:paraId="101B27A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1FDF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1890</w:t>
            </w:r>
          </w:p>
        </w:tc>
        <w:tc>
          <w:tcPr>
            <w:tcW w:w="1300" w:type="dxa"/>
            <w:tcBorders>
              <w:top w:val="nil"/>
              <w:left w:val="nil"/>
              <w:bottom w:val="single" w:sz="4" w:space="0" w:color="auto"/>
              <w:right w:val="single" w:sz="4" w:space="0" w:color="auto"/>
            </w:tcBorders>
            <w:vAlign w:val="center"/>
            <w:hideMark/>
          </w:tcPr>
          <w:p w14:paraId="0FD359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5089638054</w:t>
            </w:r>
          </w:p>
        </w:tc>
        <w:tc>
          <w:tcPr>
            <w:tcW w:w="1012" w:type="dxa"/>
            <w:tcBorders>
              <w:top w:val="nil"/>
              <w:left w:val="nil"/>
              <w:bottom w:val="single" w:sz="4" w:space="0" w:color="auto"/>
              <w:right w:val="single" w:sz="4" w:space="0" w:color="auto"/>
            </w:tcBorders>
            <w:vAlign w:val="center"/>
            <w:hideMark/>
          </w:tcPr>
          <w:p w14:paraId="3A1CF2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03813D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TURIZEM</w:t>
            </w:r>
          </w:p>
        </w:tc>
      </w:tr>
      <w:tr w:rsidR="00F24E18" w14:paraId="3407119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CCB4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1891</w:t>
            </w:r>
          </w:p>
        </w:tc>
        <w:tc>
          <w:tcPr>
            <w:tcW w:w="1300" w:type="dxa"/>
            <w:tcBorders>
              <w:top w:val="nil"/>
              <w:left w:val="nil"/>
              <w:bottom w:val="single" w:sz="4" w:space="0" w:color="auto"/>
              <w:right w:val="single" w:sz="4" w:space="0" w:color="auto"/>
            </w:tcBorders>
            <w:vAlign w:val="center"/>
            <w:hideMark/>
          </w:tcPr>
          <w:p w14:paraId="5427A2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5089638047</w:t>
            </w:r>
          </w:p>
        </w:tc>
        <w:tc>
          <w:tcPr>
            <w:tcW w:w="1012" w:type="dxa"/>
            <w:tcBorders>
              <w:top w:val="nil"/>
              <w:left w:val="nil"/>
              <w:bottom w:val="single" w:sz="4" w:space="0" w:color="auto"/>
              <w:right w:val="single" w:sz="4" w:space="0" w:color="auto"/>
            </w:tcBorders>
            <w:vAlign w:val="center"/>
            <w:hideMark/>
          </w:tcPr>
          <w:p w14:paraId="0F9943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05BCB8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VARNOSTNE VEDE</w:t>
            </w:r>
          </w:p>
        </w:tc>
      </w:tr>
      <w:tr w:rsidR="00F24E18" w14:paraId="1C10909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3A57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1892</w:t>
            </w:r>
          </w:p>
        </w:tc>
        <w:tc>
          <w:tcPr>
            <w:tcW w:w="1300" w:type="dxa"/>
            <w:tcBorders>
              <w:top w:val="nil"/>
              <w:left w:val="nil"/>
              <w:bottom w:val="single" w:sz="4" w:space="0" w:color="auto"/>
              <w:right w:val="single" w:sz="4" w:space="0" w:color="auto"/>
            </w:tcBorders>
            <w:vAlign w:val="center"/>
            <w:hideMark/>
          </w:tcPr>
          <w:p w14:paraId="6F3993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5089638016</w:t>
            </w:r>
          </w:p>
        </w:tc>
        <w:tc>
          <w:tcPr>
            <w:tcW w:w="1012" w:type="dxa"/>
            <w:tcBorders>
              <w:top w:val="nil"/>
              <w:left w:val="nil"/>
              <w:bottom w:val="single" w:sz="4" w:space="0" w:color="auto"/>
              <w:right w:val="single" w:sz="4" w:space="0" w:color="auto"/>
            </w:tcBorders>
            <w:vAlign w:val="center"/>
            <w:hideMark/>
          </w:tcPr>
          <w:p w14:paraId="0EE9A0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33C809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FAKULTETA ZA ZDRAVSTVENE VEDE</w:t>
            </w:r>
          </w:p>
        </w:tc>
      </w:tr>
      <w:tr w:rsidR="00F24E18" w14:paraId="0216F5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86D7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1893</w:t>
            </w:r>
          </w:p>
        </w:tc>
        <w:tc>
          <w:tcPr>
            <w:tcW w:w="1300" w:type="dxa"/>
            <w:tcBorders>
              <w:top w:val="nil"/>
              <w:left w:val="nil"/>
              <w:bottom w:val="single" w:sz="4" w:space="0" w:color="auto"/>
              <w:right w:val="single" w:sz="4" w:space="0" w:color="auto"/>
            </w:tcBorders>
            <w:vAlign w:val="center"/>
            <w:hideMark/>
          </w:tcPr>
          <w:p w14:paraId="4A10C3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5089638048</w:t>
            </w:r>
          </w:p>
        </w:tc>
        <w:tc>
          <w:tcPr>
            <w:tcW w:w="1012" w:type="dxa"/>
            <w:tcBorders>
              <w:top w:val="nil"/>
              <w:left w:val="nil"/>
              <w:bottom w:val="single" w:sz="4" w:space="0" w:color="auto"/>
              <w:right w:val="single" w:sz="4" w:space="0" w:color="auto"/>
            </w:tcBorders>
            <w:vAlign w:val="center"/>
            <w:hideMark/>
          </w:tcPr>
          <w:p w14:paraId="002D1B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71674705</w:t>
            </w:r>
          </w:p>
        </w:tc>
        <w:tc>
          <w:tcPr>
            <w:tcW w:w="5953" w:type="dxa"/>
            <w:tcBorders>
              <w:top w:val="nil"/>
              <w:left w:val="nil"/>
              <w:bottom w:val="single" w:sz="4" w:space="0" w:color="auto"/>
              <w:right w:val="single" w:sz="4" w:space="0" w:color="auto"/>
            </w:tcBorders>
            <w:noWrap/>
            <w:vAlign w:val="center"/>
            <w:hideMark/>
          </w:tcPr>
          <w:p w14:paraId="5D758F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MARIBORU, MEDICINSKA FAKULTETA</w:t>
            </w:r>
          </w:p>
        </w:tc>
      </w:tr>
      <w:tr w:rsidR="00F24E18" w14:paraId="4175E37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DE13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1894</w:t>
            </w:r>
          </w:p>
        </w:tc>
        <w:tc>
          <w:tcPr>
            <w:tcW w:w="1300" w:type="dxa"/>
            <w:tcBorders>
              <w:top w:val="nil"/>
              <w:left w:val="nil"/>
              <w:bottom w:val="single" w:sz="4" w:space="0" w:color="auto"/>
              <w:right w:val="single" w:sz="4" w:space="0" w:color="auto"/>
            </w:tcBorders>
            <w:vAlign w:val="center"/>
            <w:hideMark/>
          </w:tcPr>
          <w:p w14:paraId="739EE6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5920884000</w:t>
            </w:r>
          </w:p>
        </w:tc>
        <w:tc>
          <w:tcPr>
            <w:tcW w:w="1012" w:type="dxa"/>
            <w:tcBorders>
              <w:top w:val="nil"/>
              <w:left w:val="nil"/>
              <w:bottom w:val="single" w:sz="4" w:space="0" w:color="auto"/>
              <w:right w:val="single" w:sz="4" w:space="0" w:color="auto"/>
            </w:tcBorders>
            <w:vAlign w:val="center"/>
            <w:hideMark/>
          </w:tcPr>
          <w:p w14:paraId="31EC55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29880068</w:t>
            </w:r>
          </w:p>
        </w:tc>
        <w:tc>
          <w:tcPr>
            <w:tcW w:w="5953" w:type="dxa"/>
            <w:tcBorders>
              <w:top w:val="nil"/>
              <w:left w:val="nil"/>
              <w:bottom w:val="single" w:sz="4" w:space="0" w:color="auto"/>
              <w:right w:val="single" w:sz="4" w:space="0" w:color="auto"/>
            </w:tcBorders>
            <w:noWrap/>
            <w:vAlign w:val="center"/>
            <w:hideMark/>
          </w:tcPr>
          <w:p w14:paraId="5291E1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UNIVERZA V NOVI GORICI MEDNARODNO IME: UNIVERSITY OF NOVA GORICA</w:t>
            </w:r>
          </w:p>
        </w:tc>
      </w:tr>
      <w:tr w:rsidR="00F24E18" w14:paraId="2F1182C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A3FC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1895</w:t>
            </w:r>
          </w:p>
        </w:tc>
        <w:tc>
          <w:tcPr>
            <w:tcW w:w="1300" w:type="dxa"/>
            <w:tcBorders>
              <w:top w:val="nil"/>
              <w:left w:val="nil"/>
              <w:bottom w:val="single" w:sz="4" w:space="0" w:color="auto"/>
              <w:right w:val="single" w:sz="4" w:space="0" w:color="auto"/>
            </w:tcBorders>
            <w:vAlign w:val="center"/>
            <w:hideMark/>
          </w:tcPr>
          <w:p w14:paraId="480B9A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1190997000</w:t>
            </w:r>
          </w:p>
        </w:tc>
        <w:tc>
          <w:tcPr>
            <w:tcW w:w="1012" w:type="dxa"/>
            <w:tcBorders>
              <w:top w:val="nil"/>
              <w:left w:val="nil"/>
              <w:bottom w:val="single" w:sz="4" w:space="0" w:color="auto"/>
              <w:right w:val="single" w:sz="4" w:space="0" w:color="auto"/>
            </w:tcBorders>
            <w:vAlign w:val="center"/>
            <w:hideMark/>
          </w:tcPr>
          <w:p w14:paraId="003818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66719585</w:t>
            </w:r>
          </w:p>
        </w:tc>
        <w:tc>
          <w:tcPr>
            <w:tcW w:w="5953" w:type="dxa"/>
            <w:tcBorders>
              <w:top w:val="nil"/>
              <w:left w:val="nil"/>
              <w:bottom w:val="single" w:sz="4" w:space="0" w:color="auto"/>
              <w:right w:val="single" w:sz="4" w:space="0" w:color="auto"/>
            </w:tcBorders>
            <w:noWrap/>
            <w:vAlign w:val="center"/>
            <w:hideMark/>
          </w:tcPr>
          <w:p w14:paraId="030698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UNIVERZITETNA KLINIKA ZA PLJUČNE BOLEZNI IN ALERGIJO GOLNIK</w:t>
            </w:r>
          </w:p>
        </w:tc>
      </w:tr>
      <w:tr w:rsidR="00F24E18" w14:paraId="3B2C4DF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D21E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1896</w:t>
            </w:r>
          </w:p>
        </w:tc>
        <w:tc>
          <w:tcPr>
            <w:tcW w:w="1300" w:type="dxa"/>
            <w:tcBorders>
              <w:top w:val="nil"/>
              <w:left w:val="nil"/>
              <w:bottom w:val="single" w:sz="4" w:space="0" w:color="auto"/>
              <w:right w:val="single" w:sz="4" w:space="0" w:color="auto"/>
            </w:tcBorders>
            <w:vAlign w:val="center"/>
            <w:hideMark/>
          </w:tcPr>
          <w:p w14:paraId="10E67D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1191004000</w:t>
            </w:r>
          </w:p>
        </w:tc>
        <w:tc>
          <w:tcPr>
            <w:tcW w:w="1012" w:type="dxa"/>
            <w:tcBorders>
              <w:top w:val="nil"/>
              <w:left w:val="nil"/>
              <w:bottom w:val="single" w:sz="4" w:space="0" w:color="auto"/>
              <w:right w:val="single" w:sz="4" w:space="0" w:color="auto"/>
            </w:tcBorders>
            <w:vAlign w:val="center"/>
            <w:hideMark/>
          </w:tcPr>
          <w:p w14:paraId="757117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82546193</w:t>
            </w:r>
          </w:p>
        </w:tc>
        <w:tc>
          <w:tcPr>
            <w:tcW w:w="5953" w:type="dxa"/>
            <w:tcBorders>
              <w:top w:val="nil"/>
              <w:left w:val="nil"/>
              <w:bottom w:val="single" w:sz="4" w:space="0" w:color="auto"/>
              <w:right w:val="single" w:sz="4" w:space="0" w:color="auto"/>
            </w:tcBorders>
            <w:noWrap/>
            <w:vAlign w:val="center"/>
            <w:hideMark/>
          </w:tcPr>
          <w:p w14:paraId="0E9D14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UNIVERZITETNA PSIHIATRIČNA KLINIKA LJUBLJANA</w:t>
            </w:r>
          </w:p>
        </w:tc>
      </w:tr>
      <w:tr w:rsidR="00F24E18" w14:paraId="4FA5ECE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B78D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1897</w:t>
            </w:r>
          </w:p>
        </w:tc>
        <w:tc>
          <w:tcPr>
            <w:tcW w:w="1300" w:type="dxa"/>
            <w:tcBorders>
              <w:top w:val="nil"/>
              <w:left w:val="nil"/>
              <w:bottom w:val="single" w:sz="4" w:space="0" w:color="auto"/>
              <w:right w:val="single" w:sz="4" w:space="0" w:color="auto"/>
            </w:tcBorders>
            <w:vAlign w:val="center"/>
            <w:hideMark/>
          </w:tcPr>
          <w:p w14:paraId="75AB8F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5057272000</w:t>
            </w:r>
          </w:p>
        </w:tc>
        <w:tc>
          <w:tcPr>
            <w:tcW w:w="1012" w:type="dxa"/>
            <w:tcBorders>
              <w:top w:val="nil"/>
              <w:left w:val="nil"/>
              <w:bottom w:val="single" w:sz="4" w:space="0" w:color="auto"/>
              <w:right w:val="single" w:sz="4" w:space="0" w:color="auto"/>
            </w:tcBorders>
            <w:vAlign w:val="center"/>
            <w:hideMark/>
          </w:tcPr>
          <w:p w14:paraId="51B008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52111776</w:t>
            </w:r>
          </w:p>
        </w:tc>
        <w:tc>
          <w:tcPr>
            <w:tcW w:w="5953" w:type="dxa"/>
            <w:tcBorders>
              <w:top w:val="nil"/>
              <w:left w:val="nil"/>
              <w:bottom w:val="single" w:sz="4" w:space="0" w:color="auto"/>
              <w:right w:val="single" w:sz="4" w:space="0" w:color="auto"/>
            </w:tcBorders>
            <w:noWrap/>
            <w:vAlign w:val="center"/>
            <w:hideMark/>
          </w:tcPr>
          <w:p w14:paraId="694D25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UNIVERZITETNI KLINIČNI CENTER LJUBLJANA</w:t>
            </w:r>
          </w:p>
        </w:tc>
      </w:tr>
      <w:tr w:rsidR="00F24E18" w14:paraId="66C83B9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7E6E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1898</w:t>
            </w:r>
          </w:p>
        </w:tc>
        <w:tc>
          <w:tcPr>
            <w:tcW w:w="1300" w:type="dxa"/>
            <w:tcBorders>
              <w:top w:val="nil"/>
              <w:left w:val="nil"/>
              <w:bottom w:val="single" w:sz="4" w:space="0" w:color="auto"/>
              <w:right w:val="single" w:sz="4" w:space="0" w:color="auto"/>
            </w:tcBorders>
            <w:vAlign w:val="center"/>
            <w:hideMark/>
          </w:tcPr>
          <w:p w14:paraId="2C7344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5054150000</w:t>
            </w:r>
          </w:p>
        </w:tc>
        <w:tc>
          <w:tcPr>
            <w:tcW w:w="1012" w:type="dxa"/>
            <w:tcBorders>
              <w:top w:val="nil"/>
              <w:left w:val="nil"/>
              <w:bottom w:val="single" w:sz="4" w:space="0" w:color="auto"/>
              <w:right w:val="single" w:sz="4" w:space="0" w:color="auto"/>
            </w:tcBorders>
            <w:vAlign w:val="center"/>
            <w:hideMark/>
          </w:tcPr>
          <w:p w14:paraId="5D2A2F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56644817</w:t>
            </w:r>
          </w:p>
        </w:tc>
        <w:tc>
          <w:tcPr>
            <w:tcW w:w="5953" w:type="dxa"/>
            <w:tcBorders>
              <w:top w:val="nil"/>
              <w:left w:val="nil"/>
              <w:bottom w:val="single" w:sz="4" w:space="0" w:color="auto"/>
              <w:right w:val="single" w:sz="4" w:space="0" w:color="auto"/>
            </w:tcBorders>
            <w:noWrap/>
            <w:vAlign w:val="center"/>
            <w:hideMark/>
          </w:tcPr>
          <w:p w14:paraId="36794E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UNIVERZITETNI KLINIČNI CENTER MARIBOR</w:t>
            </w:r>
          </w:p>
        </w:tc>
      </w:tr>
      <w:tr w:rsidR="00F24E18" w14:paraId="3E97CA0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A2CF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1899</w:t>
            </w:r>
          </w:p>
        </w:tc>
        <w:tc>
          <w:tcPr>
            <w:tcW w:w="1300" w:type="dxa"/>
            <w:tcBorders>
              <w:top w:val="nil"/>
              <w:left w:val="nil"/>
              <w:bottom w:val="single" w:sz="4" w:space="0" w:color="auto"/>
              <w:right w:val="single" w:sz="4" w:space="0" w:color="auto"/>
            </w:tcBorders>
            <w:vAlign w:val="center"/>
            <w:hideMark/>
          </w:tcPr>
          <w:p w14:paraId="4306B0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5053919000</w:t>
            </w:r>
          </w:p>
        </w:tc>
        <w:tc>
          <w:tcPr>
            <w:tcW w:w="1012" w:type="dxa"/>
            <w:tcBorders>
              <w:top w:val="nil"/>
              <w:left w:val="nil"/>
              <w:bottom w:val="single" w:sz="4" w:space="0" w:color="auto"/>
              <w:right w:val="single" w:sz="4" w:space="0" w:color="auto"/>
            </w:tcBorders>
            <w:vAlign w:val="center"/>
            <w:hideMark/>
          </w:tcPr>
          <w:p w14:paraId="72A2EB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73541346</w:t>
            </w:r>
          </w:p>
        </w:tc>
        <w:tc>
          <w:tcPr>
            <w:tcW w:w="5953" w:type="dxa"/>
            <w:tcBorders>
              <w:top w:val="nil"/>
              <w:left w:val="nil"/>
              <w:bottom w:val="single" w:sz="4" w:space="0" w:color="auto"/>
              <w:right w:val="single" w:sz="4" w:space="0" w:color="auto"/>
            </w:tcBorders>
            <w:noWrap/>
            <w:vAlign w:val="center"/>
            <w:hideMark/>
          </w:tcPr>
          <w:p w14:paraId="6F3425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UNIVERZITETNI REHABILITACIJSKI INŠTITUT REPUBLIKE SLOVENIJE - SOČA</w:t>
            </w:r>
          </w:p>
        </w:tc>
      </w:tr>
      <w:tr w:rsidR="00F24E18" w14:paraId="60AB11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2F36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1900</w:t>
            </w:r>
          </w:p>
        </w:tc>
        <w:tc>
          <w:tcPr>
            <w:tcW w:w="1300" w:type="dxa"/>
            <w:tcBorders>
              <w:top w:val="nil"/>
              <w:left w:val="nil"/>
              <w:bottom w:val="single" w:sz="4" w:space="0" w:color="auto"/>
              <w:right w:val="single" w:sz="4" w:space="0" w:color="auto"/>
            </w:tcBorders>
            <w:vAlign w:val="center"/>
            <w:hideMark/>
          </w:tcPr>
          <w:p w14:paraId="0E3F4E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2632675000</w:t>
            </w:r>
          </w:p>
        </w:tc>
        <w:tc>
          <w:tcPr>
            <w:tcW w:w="1012" w:type="dxa"/>
            <w:tcBorders>
              <w:top w:val="nil"/>
              <w:left w:val="nil"/>
              <w:bottom w:val="single" w:sz="4" w:space="0" w:color="auto"/>
              <w:right w:val="single" w:sz="4" w:space="0" w:color="auto"/>
            </w:tcBorders>
            <w:vAlign w:val="center"/>
            <w:hideMark/>
          </w:tcPr>
          <w:p w14:paraId="2DBE9C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22044817</w:t>
            </w:r>
          </w:p>
        </w:tc>
        <w:tc>
          <w:tcPr>
            <w:tcW w:w="5953" w:type="dxa"/>
            <w:tcBorders>
              <w:top w:val="nil"/>
              <w:left w:val="nil"/>
              <w:bottom w:val="single" w:sz="4" w:space="0" w:color="auto"/>
              <w:right w:val="single" w:sz="4" w:space="0" w:color="auto"/>
            </w:tcBorders>
            <w:noWrap/>
            <w:vAlign w:val="center"/>
            <w:hideMark/>
          </w:tcPr>
          <w:p w14:paraId="049199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UPRAVA REPUBLIKE SLOVENIJE ZA JEDRSKO VARNOST</w:t>
            </w:r>
          </w:p>
        </w:tc>
      </w:tr>
      <w:tr w:rsidR="00F24E18" w14:paraId="6E91097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DA78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1901</w:t>
            </w:r>
          </w:p>
        </w:tc>
        <w:tc>
          <w:tcPr>
            <w:tcW w:w="1300" w:type="dxa"/>
            <w:tcBorders>
              <w:top w:val="nil"/>
              <w:left w:val="nil"/>
              <w:bottom w:val="single" w:sz="4" w:space="0" w:color="auto"/>
              <w:right w:val="single" w:sz="4" w:space="0" w:color="auto"/>
            </w:tcBorders>
            <w:vAlign w:val="center"/>
            <w:hideMark/>
          </w:tcPr>
          <w:p w14:paraId="615824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1190989000</w:t>
            </w:r>
          </w:p>
        </w:tc>
        <w:tc>
          <w:tcPr>
            <w:tcW w:w="1012" w:type="dxa"/>
            <w:tcBorders>
              <w:top w:val="nil"/>
              <w:left w:val="nil"/>
              <w:bottom w:val="single" w:sz="4" w:space="0" w:color="auto"/>
              <w:right w:val="single" w:sz="4" w:space="0" w:color="auto"/>
            </w:tcBorders>
            <w:vAlign w:val="center"/>
            <w:hideMark/>
          </w:tcPr>
          <w:p w14:paraId="0D6C556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79787975</w:t>
            </w:r>
          </w:p>
        </w:tc>
        <w:tc>
          <w:tcPr>
            <w:tcW w:w="5953" w:type="dxa"/>
            <w:tcBorders>
              <w:top w:val="nil"/>
              <w:left w:val="nil"/>
              <w:bottom w:val="single" w:sz="4" w:space="0" w:color="auto"/>
              <w:right w:val="single" w:sz="4" w:space="0" w:color="auto"/>
            </w:tcBorders>
            <w:noWrap/>
            <w:vAlign w:val="center"/>
            <w:hideMark/>
          </w:tcPr>
          <w:p w14:paraId="10141C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UPRAVNO SODIŠČE REPUBLIKE SLOVENIJE</w:t>
            </w:r>
          </w:p>
        </w:tc>
      </w:tr>
      <w:tr w:rsidR="00F24E18" w14:paraId="35D86C8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258A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1902</w:t>
            </w:r>
          </w:p>
        </w:tc>
        <w:tc>
          <w:tcPr>
            <w:tcW w:w="1300" w:type="dxa"/>
            <w:tcBorders>
              <w:top w:val="nil"/>
              <w:left w:val="nil"/>
              <w:bottom w:val="single" w:sz="4" w:space="0" w:color="auto"/>
              <w:right w:val="single" w:sz="4" w:space="0" w:color="auto"/>
            </w:tcBorders>
            <w:vAlign w:val="center"/>
            <w:hideMark/>
          </w:tcPr>
          <w:p w14:paraId="344024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5065402000</w:t>
            </w:r>
          </w:p>
        </w:tc>
        <w:tc>
          <w:tcPr>
            <w:tcW w:w="1012" w:type="dxa"/>
            <w:tcBorders>
              <w:top w:val="nil"/>
              <w:left w:val="nil"/>
              <w:bottom w:val="single" w:sz="4" w:space="0" w:color="auto"/>
              <w:right w:val="single" w:sz="4" w:space="0" w:color="auto"/>
            </w:tcBorders>
            <w:vAlign w:val="center"/>
            <w:hideMark/>
          </w:tcPr>
          <w:p w14:paraId="1BC8ED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45181276</w:t>
            </w:r>
          </w:p>
        </w:tc>
        <w:tc>
          <w:tcPr>
            <w:tcW w:w="5953" w:type="dxa"/>
            <w:tcBorders>
              <w:top w:val="nil"/>
              <w:left w:val="nil"/>
              <w:bottom w:val="single" w:sz="4" w:space="0" w:color="auto"/>
              <w:right w:val="single" w:sz="4" w:space="0" w:color="auto"/>
            </w:tcBorders>
            <w:noWrap/>
            <w:vAlign w:val="center"/>
            <w:hideMark/>
          </w:tcPr>
          <w:p w14:paraId="064591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PREDSEDNIKA REPUBLIKE SLOVENIJE</w:t>
            </w:r>
          </w:p>
        </w:tc>
      </w:tr>
      <w:tr w:rsidR="00F24E18" w14:paraId="32C2F1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C8C5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1903</w:t>
            </w:r>
          </w:p>
        </w:tc>
        <w:tc>
          <w:tcPr>
            <w:tcW w:w="1300" w:type="dxa"/>
            <w:tcBorders>
              <w:top w:val="nil"/>
              <w:left w:val="nil"/>
              <w:bottom w:val="single" w:sz="4" w:space="0" w:color="auto"/>
              <w:right w:val="single" w:sz="4" w:space="0" w:color="auto"/>
            </w:tcBorders>
            <w:noWrap/>
            <w:vAlign w:val="center"/>
            <w:hideMark/>
          </w:tcPr>
          <w:p w14:paraId="1340F7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5026407000</w:t>
            </w:r>
          </w:p>
        </w:tc>
        <w:tc>
          <w:tcPr>
            <w:tcW w:w="1012" w:type="dxa"/>
            <w:tcBorders>
              <w:top w:val="nil"/>
              <w:left w:val="nil"/>
              <w:bottom w:val="single" w:sz="4" w:space="0" w:color="auto"/>
              <w:right w:val="single" w:sz="4" w:space="0" w:color="auto"/>
            </w:tcBorders>
            <w:noWrap/>
            <w:vAlign w:val="center"/>
            <w:hideMark/>
          </w:tcPr>
          <w:p w14:paraId="3E52DE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66679567</w:t>
            </w:r>
          </w:p>
        </w:tc>
        <w:tc>
          <w:tcPr>
            <w:tcW w:w="5953" w:type="dxa"/>
            <w:tcBorders>
              <w:top w:val="nil"/>
              <w:left w:val="nil"/>
              <w:bottom w:val="single" w:sz="4" w:space="0" w:color="auto"/>
              <w:right w:val="single" w:sz="4" w:space="0" w:color="auto"/>
            </w:tcBorders>
            <w:noWrap/>
            <w:vAlign w:val="center"/>
            <w:hideMark/>
          </w:tcPr>
          <w:p w14:paraId="0C339A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REPUBLIKE SLOVENIJE ZA MAKROEKONOMSKE ANALIZE IN RAZVOJ</w:t>
            </w:r>
          </w:p>
        </w:tc>
      </w:tr>
      <w:tr w:rsidR="00F24E18" w14:paraId="69F80EC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C66D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1904</w:t>
            </w:r>
          </w:p>
        </w:tc>
        <w:tc>
          <w:tcPr>
            <w:tcW w:w="1300" w:type="dxa"/>
            <w:tcBorders>
              <w:top w:val="nil"/>
              <w:left w:val="nil"/>
              <w:bottom w:val="single" w:sz="4" w:space="0" w:color="auto"/>
              <w:right w:val="single" w:sz="4" w:space="0" w:color="auto"/>
            </w:tcBorders>
            <w:vAlign w:val="center"/>
            <w:hideMark/>
          </w:tcPr>
          <w:p w14:paraId="06517E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2516535000</w:t>
            </w:r>
          </w:p>
        </w:tc>
        <w:tc>
          <w:tcPr>
            <w:tcW w:w="1012" w:type="dxa"/>
            <w:tcBorders>
              <w:top w:val="nil"/>
              <w:left w:val="nil"/>
              <w:bottom w:val="single" w:sz="4" w:space="0" w:color="auto"/>
              <w:right w:val="single" w:sz="4" w:space="0" w:color="auto"/>
            </w:tcBorders>
            <w:vAlign w:val="center"/>
            <w:hideMark/>
          </w:tcPr>
          <w:p w14:paraId="7F5CE6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64234894</w:t>
            </w:r>
          </w:p>
        </w:tc>
        <w:tc>
          <w:tcPr>
            <w:tcW w:w="5953" w:type="dxa"/>
            <w:tcBorders>
              <w:top w:val="nil"/>
              <w:left w:val="nil"/>
              <w:bottom w:val="single" w:sz="4" w:space="0" w:color="auto"/>
              <w:right w:val="single" w:sz="4" w:space="0" w:color="auto"/>
            </w:tcBorders>
            <w:noWrap/>
            <w:vAlign w:val="center"/>
            <w:hideMark/>
          </w:tcPr>
          <w:p w14:paraId="2A0A58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REPUBLIKE SLOVENIJE ZA NADZOR, KAKOVOST IN INVESTICIJE V ZDRAVSTVU</w:t>
            </w:r>
          </w:p>
        </w:tc>
      </w:tr>
      <w:tr w:rsidR="00F24E18" w14:paraId="54A95F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5AE7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1905</w:t>
            </w:r>
          </w:p>
        </w:tc>
        <w:tc>
          <w:tcPr>
            <w:tcW w:w="1300" w:type="dxa"/>
            <w:tcBorders>
              <w:top w:val="nil"/>
              <w:left w:val="nil"/>
              <w:bottom w:val="single" w:sz="4" w:space="0" w:color="auto"/>
              <w:right w:val="single" w:sz="4" w:space="0" w:color="auto"/>
            </w:tcBorders>
            <w:noWrap/>
            <w:vAlign w:val="center"/>
            <w:hideMark/>
          </w:tcPr>
          <w:p w14:paraId="7666FD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2516403000</w:t>
            </w:r>
          </w:p>
        </w:tc>
        <w:tc>
          <w:tcPr>
            <w:tcW w:w="1012" w:type="dxa"/>
            <w:tcBorders>
              <w:top w:val="nil"/>
              <w:left w:val="nil"/>
              <w:bottom w:val="single" w:sz="4" w:space="0" w:color="auto"/>
              <w:right w:val="single" w:sz="4" w:space="0" w:color="auto"/>
            </w:tcBorders>
            <w:noWrap/>
            <w:vAlign w:val="center"/>
            <w:hideMark/>
          </w:tcPr>
          <w:p w14:paraId="6822D9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98731050</w:t>
            </w:r>
          </w:p>
        </w:tc>
        <w:tc>
          <w:tcPr>
            <w:tcW w:w="5953" w:type="dxa"/>
            <w:tcBorders>
              <w:top w:val="nil"/>
              <w:left w:val="nil"/>
              <w:bottom w:val="single" w:sz="4" w:space="0" w:color="auto"/>
              <w:right w:val="single" w:sz="4" w:space="0" w:color="auto"/>
            </w:tcBorders>
            <w:noWrap/>
            <w:vAlign w:val="center"/>
            <w:hideMark/>
          </w:tcPr>
          <w:p w14:paraId="1BEC55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REPUBLIKE SLOVENIJE ZA OKREVANJE IN ODPORNOST</w:t>
            </w:r>
          </w:p>
        </w:tc>
      </w:tr>
      <w:tr w:rsidR="00F24E18" w14:paraId="36182F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BCF6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1906</w:t>
            </w:r>
          </w:p>
        </w:tc>
        <w:tc>
          <w:tcPr>
            <w:tcW w:w="1300" w:type="dxa"/>
            <w:tcBorders>
              <w:top w:val="nil"/>
              <w:left w:val="nil"/>
              <w:bottom w:val="single" w:sz="4" w:space="0" w:color="auto"/>
              <w:right w:val="single" w:sz="4" w:space="0" w:color="auto"/>
            </w:tcBorders>
            <w:vAlign w:val="center"/>
            <w:hideMark/>
          </w:tcPr>
          <w:p w14:paraId="6C5741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2516420000</w:t>
            </w:r>
          </w:p>
        </w:tc>
        <w:tc>
          <w:tcPr>
            <w:tcW w:w="1012" w:type="dxa"/>
            <w:tcBorders>
              <w:top w:val="nil"/>
              <w:left w:val="nil"/>
              <w:bottom w:val="single" w:sz="4" w:space="0" w:color="auto"/>
              <w:right w:val="single" w:sz="4" w:space="0" w:color="auto"/>
            </w:tcBorders>
            <w:vAlign w:val="center"/>
            <w:hideMark/>
          </w:tcPr>
          <w:p w14:paraId="6A8A9E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48970271</w:t>
            </w:r>
          </w:p>
        </w:tc>
        <w:tc>
          <w:tcPr>
            <w:tcW w:w="5953" w:type="dxa"/>
            <w:tcBorders>
              <w:top w:val="nil"/>
              <w:left w:val="nil"/>
              <w:bottom w:val="single" w:sz="4" w:space="0" w:color="auto"/>
              <w:right w:val="single" w:sz="4" w:space="0" w:color="auto"/>
            </w:tcBorders>
            <w:noWrap/>
            <w:vAlign w:val="center"/>
            <w:hideMark/>
          </w:tcPr>
          <w:p w14:paraId="62DF93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VLADE REPUBLIKE SLOVENIJE ZA INFORMACIJSKO VARNOST</w:t>
            </w:r>
          </w:p>
        </w:tc>
      </w:tr>
      <w:tr w:rsidR="00F24E18" w14:paraId="7EB5CED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E84D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1907</w:t>
            </w:r>
          </w:p>
        </w:tc>
        <w:tc>
          <w:tcPr>
            <w:tcW w:w="1300" w:type="dxa"/>
            <w:tcBorders>
              <w:top w:val="nil"/>
              <w:left w:val="nil"/>
              <w:bottom w:val="single" w:sz="4" w:space="0" w:color="auto"/>
              <w:right w:val="single" w:sz="4" w:space="0" w:color="auto"/>
            </w:tcBorders>
            <w:noWrap/>
            <w:vAlign w:val="center"/>
            <w:hideMark/>
          </w:tcPr>
          <w:p w14:paraId="62F672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5186757000</w:t>
            </w:r>
          </w:p>
        </w:tc>
        <w:tc>
          <w:tcPr>
            <w:tcW w:w="1012" w:type="dxa"/>
            <w:tcBorders>
              <w:top w:val="nil"/>
              <w:left w:val="nil"/>
              <w:bottom w:val="single" w:sz="4" w:space="0" w:color="auto"/>
              <w:right w:val="single" w:sz="4" w:space="0" w:color="auto"/>
            </w:tcBorders>
            <w:noWrap/>
            <w:vAlign w:val="center"/>
            <w:hideMark/>
          </w:tcPr>
          <w:p w14:paraId="2388EE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21386889</w:t>
            </w:r>
          </w:p>
        </w:tc>
        <w:tc>
          <w:tcPr>
            <w:tcW w:w="5953" w:type="dxa"/>
            <w:tcBorders>
              <w:top w:val="nil"/>
              <w:left w:val="nil"/>
              <w:bottom w:val="single" w:sz="4" w:space="0" w:color="auto"/>
              <w:right w:val="single" w:sz="4" w:space="0" w:color="auto"/>
            </w:tcBorders>
            <w:noWrap/>
            <w:vAlign w:val="center"/>
            <w:hideMark/>
          </w:tcPr>
          <w:p w14:paraId="571FEC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VLADE REPUBLIKE SLOVENIJE ZA KOMUNICIRANJE</w:t>
            </w:r>
          </w:p>
        </w:tc>
      </w:tr>
      <w:tr w:rsidR="00F24E18" w14:paraId="539E06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CE39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1908</w:t>
            </w:r>
          </w:p>
        </w:tc>
        <w:tc>
          <w:tcPr>
            <w:tcW w:w="1300" w:type="dxa"/>
            <w:tcBorders>
              <w:top w:val="nil"/>
              <w:left w:val="nil"/>
              <w:bottom w:val="single" w:sz="4" w:space="0" w:color="auto"/>
              <w:right w:val="single" w:sz="4" w:space="0" w:color="auto"/>
            </w:tcBorders>
            <w:noWrap/>
            <w:vAlign w:val="center"/>
            <w:hideMark/>
          </w:tcPr>
          <w:p w14:paraId="458099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2399385000</w:t>
            </w:r>
          </w:p>
        </w:tc>
        <w:tc>
          <w:tcPr>
            <w:tcW w:w="1012" w:type="dxa"/>
            <w:tcBorders>
              <w:top w:val="nil"/>
              <w:left w:val="nil"/>
              <w:bottom w:val="single" w:sz="4" w:space="0" w:color="auto"/>
              <w:right w:val="single" w:sz="4" w:space="0" w:color="auto"/>
            </w:tcBorders>
            <w:noWrap/>
            <w:vAlign w:val="center"/>
            <w:hideMark/>
          </w:tcPr>
          <w:p w14:paraId="719FC1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61004278</w:t>
            </w:r>
          </w:p>
        </w:tc>
        <w:tc>
          <w:tcPr>
            <w:tcW w:w="5953" w:type="dxa"/>
            <w:tcBorders>
              <w:top w:val="nil"/>
              <w:left w:val="nil"/>
              <w:bottom w:val="single" w:sz="4" w:space="0" w:color="auto"/>
              <w:right w:val="single" w:sz="4" w:space="0" w:color="auto"/>
            </w:tcBorders>
            <w:noWrap/>
            <w:vAlign w:val="center"/>
            <w:hideMark/>
          </w:tcPr>
          <w:p w14:paraId="18C834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VLADE REPUBLIKE SLOVENIJE ZA NARODNOSTI</w:t>
            </w:r>
          </w:p>
        </w:tc>
      </w:tr>
      <w:tr w:rsidR="00F24E18" w14:paraId="6B6A1C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072AD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1909</w:t>
            </w:r>
          </w:p>
        </w:tc>
        <w:tc>
          <w:tcPr>
            <w:tcW w:w="1300" w:type="dxa"/>
            <w:tcBorders>
              <w:top w:val="nil"/>
              <w:left w:val="nil"/>
              <w:bottom w:val="single" w:sz="4" w:space="0" w:color="auto"/>
              <w:right w:val="single" w:sz="4" w:space="0" w:color="auto"/>
            </w:tcBorders>
            <w:vAlign w:val="center"/>
            <w:hideMark/>
          </w:tcPr>
          <w:p w14:paraId="7A7430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2516250000</w:t>
            </w:r>
          </w:p>
        </w:tc>
        <w:tc>
          <w:tcPr>
            <w:tcW w:w="1012" w:type="dxa"/>
            <w:tcBorders>
              <w:top w:val="nil"/>
              <w:left w:val="nil"/>
              <w:bottom w:val="single" w:sz="4" w:space="0" w:color="auto"/>
              <w:right w:val="single" w:sz="4" w:space="0" w:color="auto"/>
            </w:tcBorders>
            <w:vAlign w:val="center"/>
            <w:hideMark/>
          </w:tcPr>
          <w:p w14:paraId="56793D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36389633</w:t>
            </w:r>
          </w:p>
        </w:tc>
        <w:tc>
          <w:tcPr>
            <w:tcW w:w="5953" w:type="dxa"/>
            <w:tcBorders>
              <w:top w:val="nil"/>
              <w:left w:val="nil"/>
              <w:bottom w:val="single" w:sz="4" w:space="0" w:color="auto"/>
              <w:right w:val="single" w:sz="4" w:space="0" w:color="auto"/>
            </w:tcBorders>
            <w:noWrap/>
            <w:vAlign w:val="center"/>
            <w:hideMark/>
          </w:tcPr>
          <w:p w14:paraId="042A72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VLADE REPUBLIKE SLOVENIJE ZA OSKRBO IN INTEGRACIJO MIGRANTOV</w:t>
            </w:r>
          </w:p>
        </w:tc>
      </w:tr>
      <w:tr w:rsidR="00F24E18" w14:paraId="230473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C9EA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1910</w:t>
            </w:r>
          </w:p>
        </w:tc>
        <w:tc>
          <w:tcPr>
            <w:tcW w:w="1300" w:type="dxa"/>
            <w:tcBorders>
              <w:top w:val="nil"/>
              <w:left w:val="nil"/>
              <w:bottom w:val="single" w:sz="4" w:space="0" w:color="auto"/>
              <w:right w:val="single" w:sz="4" w:space="0" w:color="auto"/>
            </w:tcBorders>
            <w:noWrap/>
            <w:vAlign w:val="center"/>
            <w:hideMark/>
          </w:tcPr>
          <w:p w14:paraId="3D2342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1332961000</w:t>
            </w:r>
          </w:p>
        </w:tc>
        <w:tc>
          <w:tcPr>
            <w:tcW w:w="1012" w:type="dxa"/>
            <w:tcBorders>
              <w:top w:val="nil"/>
              <w:left w:val="nil"/>
              <w:bottom w:val="single" w:sz="4" w:space="0" w:color="auto"/>
              <w:right w:val="single" w:sz="4" w:space="0" w:color="auto"/>
            </w:tcBorders>
            <w:noWrap/>
            <w:vAlign w:val="center"/>
            <w:hideMark/>
          </w:tcPr>
          <w:p w14:paraId="0CAF28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83110585</w:t>
            </w:r>
          </w:p>
        </w:tc>
        <w:tc>
          <w:tcPr>
            <w:tcW w:w="5953" w:type="dxa"/>
            <w:tcBorders>
              <w:top w:val="nil"/>
              <w:left w:val="nil"/>
              <w:bottom w:val="single" w:sz="4" w:space="0" w:color="auto"/>
              <w:right w:val="single" w:sz="4" w:space="0" w:color="auto"/>
            </w:tcBorders>
            <w:noWrap/>
            <w:vAlign w:val="center"/>
            <w:hideMark/>
          </w:tcPr>
          <w:p w14:paraId="36A2EA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URAD VLADE REPUBLIKE SLOVENIJE ZA VAROVANJE TAJNIH PODATKOV</w:t>
            </w:r>
          </w:p>
        </w:tc>
      </w:tr>
      <w:tr w:rsidR="00F24E18" w14:paraId="40E59E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DA7C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1911</w:t>
            </w:r>
          </w:p>
        </w:tc>
        <w:tc>
          <w:tcPr>
            <w:tcW w:w="1300" w:type="dxa"/>
            <w:tcBorders>
              <w:top w:val="nil"/>
              <w:left w:val="nil"/>
              <w:bottom w:val="single" w:sz="4" w:space="0" w:color="auto"/>
              <w:right w:val="single" w:sz="4" w:space="0" w:color="auto"/>
            </w:tcBorders>
            <w:noWrap/>
            <w:vAlign w:val="center"/>
            <w:hideMark/>
          </w:tcPr>
          <w:p w14:paraId="64DE61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5051703000</w:t>
            </w:r>
          </w:p>
        </w:tc>
        <w:tc>
          <w:tcPr>
            <w:tcW w:w="1012" w:type="dxa"/>
            <w:tcBorders>
              <w:top w:val="nil"/>
              <w:left w:val="nil"/>
              <w:bottom w:val="single" w:sz="4" w:space="0" w:color="auto"/>
              <w:right w:val="single" w:sz="4" w:space="0" w:color="auto"/>
            </w:tcBorders>
            <w:noWrap/>
            <w:vAlign w:val="center"/>
            <w:hideMark/>
          </w:tcPr>
          <w:p w14:paraId="424583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38747669</w:t>
            </w:r>
          </w:p>
        </w:tc>
        <w:tc>
          <w:tcPr>
            <w:tcW w:w="5953" w:type="dxa"/>
            <w:tcBorders>
              <w:top w:val="nil"/>
              <w:left w:val="nil"/>
              <w:bottom w:val="single" w:sz="4" w:space="0" w:color="auto"/>
              <w:right w:val="single" w:sz="4" w:space="0" w:color="auto"/>
            </w:tcBorders>
            <w:noWrap/>
            <w:vAlign w:val="center"/>
            <w:hideMark/>
          </w:tcPr>
          <w:p w14:paraId="7FC844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URBANISTIČNI INŠTITUT REPUBLIKE SLOVENIJE</w:t>
            </w:r>
          </w:p>
        </w:tc>
      </w:tr>
      <w:tr w:rsidR="00F24E18" w14:paraId="547DE5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FD66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1912</w:t>
            </w:r>
          </w:p>
        </w:tc>
        <w:tc>
          <w:tcPr>
            <w:tcW w:w="1300" w:type="dxa"/>
            <w:tcBorders>
              <w:top w:val="nil"/>
              <w:left w:val="nil"/>
              <w:bottom w:val="single" w:sz="4" w:space="0" w:color="auto"/>
              <w:right w:val="single" w:sz="4" w:space="0" w:color="auto"/>
            </w:tcBorders>
            <w:vAlign w:val="center"/>
            <w:hideMark/>
          </w:tcPr>
          <w:p w14:paraId="6B4459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2013037000</w:t>
            </w:r>
          </w:p>
        </w:tc>
        <w:tc>
          <w:tcPr>
            <w:tcW w:w="1012" w:type="dxa"/>
            <w:tcBorders>
              <w:top w:val="nil"/>
              <w:left w:val="nil"/>
              <w:bottom w:val="single" w:sz="4" w:space="0" w:color="auto"/>
              <w:right w:val="single" w:sz="4" w:space="0" w:color="auto"/>
            </w:tcBorders>
            <w:vAlign w:val="center"/>
            <w:hideMark/>
          </w:tcPr>
          <w:p w14:paraId="3821EF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83250492</w:t>
            </w:r>
          </w:p>
        </w:tc>
        <w:tc>
          <w:tcPr>
            <w:tcW w:w="5953" w:type="dxa"/>
            <w:tcBorders>
              <w:top w:val="nil"/>
              <w:left w:val="nil"/>
              <w:bottom w:val="single" w:sz="4" w:space="0" w:color="auto"/>
              <w:right w:val="single" w:sz="4" w:space="0" w:color="auto"/>
            </w:tcBorders>
            <w:noWrap/>
            <w:vAlign w:val="center"/>
            <w:hideMark/>
          </w:tcPr>
          <w:p w14:paraId="08F5B0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USTANOVA - CENTER ZA EVROPSKO PRIHODNOST</w:t>
            </w:r>
          </w:p>
        </w:tc>
      </w:tr>
      <w:tr w:rsidR="00F24E18" w14:paraId="669028E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DAE1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1913</w:t>
            </w:r>
          </w:p>
        </w:tc>
        <w:tc>
          <w:tcPr>
            <w:tcW w:w="1300" w:type="dxa"/>
            <w:tcBorders>
              <w:top w:val="nil"/>
              <w:left w:val="nil"/>
              <w:bottom w:val="single" w:sz="4" w:space="0" w:color="auto"/>
              <w:right w:val="single" w:sz="4" w:space="0" w:color="auto"/>
            </w:tcBorders>
            <w:vAlign w:val="center"/>
            <w:hideMark/>
          </w:tcPr>
          <w:p w14:paraId="74032E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5024234000</w:t>
            </w:r>
          </w:p>
        </w:tc>
        <w:tc>
          <w:tcPr>
            <w:tcW w:w="1012" w:type="dxa"/>
            <w:tcBorders>
              <w:top w:val="nil"/>
              <w:left w:val="nil"/>
              <w:bottom w:val="single" w:sz="4" w:space="0" w:color="auto"/>
              <w:right w:val="single" w:sz="4" w:space="0" w:color="auto"/>
            </w:tcBorders>
            <w:vAlign w:val="center"/>
            <w:hideMark/>
          </w:tcPr>
          <w:p w14:paraId="39152C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96331151</w:t>
            </w:r>
          </w:p>
        </w:tc>
        <w:tc>
          <w:tcPr>
            <w:tcW w:w="5953" w:type="dxa"/>
            <w:tcBorders>
              <w:top w:val="nil"/>
              <w:left w:val="nil"/>
              <w:bottom w:val="single" w:sz="4" w:space="0" w:color="auto"/>
              <w:right w:val="single" w:sz="4" w:space="0" w:color="auto"/>
            </w:tcBorders>
            <w:noWrap/>
            <w:vAlign w:val="center"/>
            <w:hideMark/>
          </w:tcPr>
          <w:p w14:paraId="7C47B8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USTAVNO SODIŠČE REPUBLIKE SLOVENIJE</w:t>
            </w:r>
          </w:p>
        </w:tc>
      </w:tr>
      <w:tr w:rsidR="00F24E18" w14:paraId="21002CE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7D4C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1914</w:t>
            </w:r>
          </w:p>
        </w:tc>
        <w:tc>
          <w:tcPr>
            <w:tcW w:w="1300" w:type="dxa"/>
            <w:tcBorders>
              <w:top w:val="nil"/>
              <w:left w:val="nil"/>
              <w:bottom w:val="single" w:sz="4" w:space="0" w:color="auto"/>
              <w:right w:val="single" w:sz="4" w:space="0" w:color="auto"/>
            </w:tcBorders>
            <w:noWrap/>
            <w:vAlign w:val="center"/>
            <w:hideMark/>
          </w:tcPr>
          <w:p w14:paraId="38F93B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5642973000</w:t>
            </w:r>
          </w:p>
        </w:tc>
        <w:tc>
          <w:tcPr>
            <w:tcW w:w="1012" w:type="dxa"/>
            <w:tcBorders>
              <w:top w:val="nil"/>
              <w:left w:val="nil"/>
              <w:bottom w:val="single" w:sz="4" w:space="0" w:color="auto"/>
              <w:right w:val="single" w:sz="4" w:space="0" w:color="auto"/>
            </w:tcBorders>
            <w:noWrap/>
            <w:vAlign w:val="center"/>
            <w:hideMark/>
          </w:tcPr>
          <w:p w14:paraId="4C7ED3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45354391</w:t>
            </w:r>
          </w:p>
        </w:tc>
        <w:tc>
          <w:tcPr>
            <w:tcW w:w="5953" w:type="dxa"/>
            <w:tcBorders>
              <w:top w:val="nil"/>
              <w:left w:val="nil"/>
              <w:bottom w:val="single" w:sz="4" w:space="0" w:color="auto"/>
              <w:right w:val="single" w:sz="4" w:space="0" w:color="auto"/>
            </w:tcBorders>
            <w:noWrap/>
            <w:vAlign w:val="center"/>
            <w:hideMark/>
          </w:tcPr>
          <w:p w14:paraId="387CA6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VALVASORJEVA KNJIŽNICA KRŠKO</w:t>
            </w:r>
          </w:p>
        </w:tc>
      </w:tr>
      <w:tr w:rsidR="00F24E18" w14:paraId="7506071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C817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1915</w:t>
            </w:r>
          </w:p>
        </w:tc>
        <w:tc>
          <w:tcPr>
            <w:tcW w:w="1300" w:type="dxa"/>
            <w:tcBorders>
              <w:top w:val="nil"/>
              <w:left w:val="nil"/>
              <w:bottom w:val="single" w:sz="4" w:space="0" w:color="auto"/>
              <w:right w:val="single" w:sz="4" w:space="0" w:color="auto"/>
            </w:tcBorders>
            <w:noWrap/>
            <w:vAlign w:val="center"/>
            <w:hideMark/>
          </w:tcPr>
          <w:p w14:paraId="7D2831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2210665000</w:t>
            </w:r>
          </w:p>
        </w:tc>
        <w:tc>
          <w:tcPr>
            <w:tcW w:w="1012" w:type="dxa"/>
            <w:tcBorders>
              <w:top w:val="nil"/>
              <w:left w:val="nil"/>
              <w:bottom w:val="single" w:sz="4" w:space="0" w:color="auto"/>
              <w:right w:val="single" w:sz="4" w:space="0" w:color="auto"/>
            </w:tcBorders>
            <w:noWrap/>
            <w:vAlign w:val="center"/>
            <w:hideMark/>
          </w:tcPr>
          <w:p w14:paraId="09F9F9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56891407</w:t>
            </w:r>
          </w:p>
        </w:tc>
        <w:tc>
          <w:tcPr>
            <w:tcW w:w="5953" w:type="dxa"/>
            <w:tcBorders>
              <w:top w:val="nil"/>
              <w:left w:val="nil"/>
              <w:bottom w:val="single" w:sz="4" w:space="0" w:color="auto"/>
              <w:right w:val="single" w:sz="4" w:space="0" w:color="auto"/>
            </w:tcBorders>
            <w:noWrap/>
            <w:vAlign w:val="center"/>
            <w:hideMark/>
          </w:tcPr>
          <w:p w14:paraId="55F6B8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AJDOVŠČINA-VIPAVA</w:t>
            </w:r>
          </w:p>
        </w:tc>
      </w:tr>
      <w:tr w:rsidR="00F24E18" w14:paraId="5DAF42D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4C14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1916</w:t>
            </w:r>
          </w:p>
        </w:tc>
        <w:tc>
          <w:tcPr>
            <w:tcW w:w="1300" w:type="dxa"/>
            <w:tcBorders>
              <w:top w:val="nil"/>
              <w:left w:val="nil"/>
              <w:bottom w:val="single" w:sz="4" w:space="0" w:color="auto"/>
              <w:right w:val="single" w:sz="4" w:space="0" w:color="auto"/>
            </w:tcBorders>
            <w:noWrap/>
            <w:vAlign w:val="center"/>
            <w:hideMark/>
          </w:tcPr>
          <w:p w14:paraId="18C486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1657674000</w:t>
            </w:r>
          </w:p>
        </w:tc>
        <w:tc>
          <w:tcPr>
            <w:tcW w:w="1012" w:type="dxa"/>
            <w:tcBorders>
              <w:top w:val="nil"/>
              <w:left w:val="nil"/>
              <w:bottom w:val="single" w:sz="4" w:space="0" w:color="auto"/>
              <w:right w:val="single" w:sz="4" w:space="0" w:color="auto"/>
            </w:tcBorders>
            <w:noWrap/>
            <w:vAlign w:val="center"/>
            <w:hideMark/>
          </w:tcPr>
          <w:p w14:paraId="467549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98463756</w:t>
            </w:r>
          </w:p>
        </w:tc>
        <w:tc>
          <w:tcPr>
            <w:tcW w:w="5953" w:type="dxa"/>
            <w:tcBorders>
              <w:top w:val="nil"/>
              <w:left w:val="nil"/>
              <w:bottom w:val="single" w:sz="4" w:space="0" w:color="auto"/>
              <w:right w:val="single" w:sz="4" w:space="0" w:color="auto"/>
            </w:tcBorders>
            <w:noWrap/>
            <w:vAlign w:val="center"/>
            <w:hideMark/>
          </w:tcPr>
          <w:p w14:paraId="1C96BB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ČRNOMELJ</w:t>
            </w:r>
          </w:p>
        </w:tc>
      </w:tr>
      <w:tr w:rsidR="00F24E18" w14:paraId="5307741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A357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1917</w:t>
            </w:r>
          </w:p>
        </w:tc>
        <w:tc>
          <w:tcPr>
            <w:tcW w:w="1300" w:type="dxa"/>
            <w:tcBorders>
              <w:top w:val="nil"/>
              <w:left w:val="nil"/>
              <w:bottom w:val="single" w:sz="4" w:space="0" w:color="auto"/>
              <w:right w:val="single" w:sz="4" w:space="0" w:color="auto"/>
            </w:tcBorders>
            <w:vAlign w:val="center"/>
            <w:hideMark/>
          </w:tcPr>
          <w:p w14:paraId="40642B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5110742000</w:t>
            </w:r>
          </w:p>
        </w:tc>
        <w:tc>
          <w:tcPr>
            <w:tcW w:w="1012" w:type="dxa"/>
            <w:tcBorders>
              <w:top w:val="nil"/>
              <w:left w:val="nil"/>
              <w:bottom w:val="single" w:sz="4" w:space="0" w:color="auto"/>
              <w:right w:val="single" w:sz="4" w:space="0" w:color="auto"/>
            </w:tcBorders>
            <w:vAlign w:val="center"/>
            <w:hideMark/>
          </w:tcPr>
          <w:p w14:paraId="5DF3F9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82673438</w:t>
            </w:r>
          </w:p>
        </w:tc>
        <w:tc>
          <w:tcPr>
            <w:tcW w:w="5953" w:type="dxa"/>
            <w:tcBorders>
              <w:top w:val="nil"/>
              <w:left w:val="nil"/>
              <w:bottom w:val="single" w:sz="4" w:space="0" w:color="auto"/>
              <w:right w:val="single" w:sz="4" w:space="0" w:color="auto"/>
            </w:tcBorders>
            <w:noWrap/>
            <w:vAlign w:val="center"/>
            <w:hideMark/>
          </w:tcPr>
          <w:p w14:paraId="73A66F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INCE</w:t>
            </w:r>
          </w:p>
        </w:tc>
      </w:tr>
      <w:tr w:rsidR="00F24E18" w14:paraId="23964D8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FFDA8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1918</w:t>
            </w:r>
          </w:p>
        </w:tc>
        <w:tc>
          <w:tcPr>
            <w:tcW w:w="1300" w:type="dxa"/>
            <w:tcBorders>
              <w:top w:val="nil"/>
              <w:left w:val="nil"/>
              <w:bottom w:val="single" w:sz="4" w:space="0" w:color="auto"/>
              <w:right w:val="single" w:sz="4" w:space="0" w:color="auto"/>
            </w:tcBorders>
            <w:vAlign w:val="center"/>
            <w:hideMark/>
          </w:tcPr>
          <w:p w14:paraId="212C1F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1673939000</w:t>
            </w:r>
          </w:p>
        </w:tc>
        <w:tc>
          <w:tcPr>
            <w:tcW w:w="1012" w:type="dxa"/>
            <w:tcBorders>
              <w:top w:val="nil"/>
              <w:left w:val="nil"/>
              <w:bottom w:val="single" w:sz="4" w:space="0" w:color="auto"/>
              <w:right w:val="single" w:sz="4" w:space="0" w:color="auto"/>
            </w:tcBorders>
            <w:vAlign w:val="center"/>
            <w:hideMark/>
          </w:tcPr>
          <w:p w14:paraId="34B1F4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36349208</w:t>
            </w:r>
          </w:p>
        </w:tc>
        <w:tc>
          <w:tcPr>
            <w:tcW w:w="5953" w:type="dxa"/>
            <w:tcBorders>
              <w:top w:val="nil"/>
              <w:left w:val="nil"/>
              <w:bottom w:val="single" w:sz="4" w:space="0" w:color="auto"/>
              <w:right w:val="single" w:sz="4" w:space="0" w:color="auto"/>
            </w:tcBorders>
            <w:noWrap/>
            <w:vAlign w:val="center"/>
            <w:hideMark/>
          </w:tcPr>
          <w:p w14:paraId="29F7D4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KOPER - CENTRO DI ASSISTENZA E TERAPIA LAVORATIVA CAPODISTRIA</w:t>
            </w:r>
          </w:p>
        </w:tc>
      </w:tr>
      <w:tr w:rsidR="00F24E18" w14:paraId="675B40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82909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1919</w:t>
            </w:r>
          </w:p>
        </w:tc>
        <w:tc>
          <w:tcPr>
            <w:tcW w:w="1300" w:type="dxa"/>
            <w:tcBorders>
              <w:top w:val="nil"/>
              <w:left w:val="nil"/>
              <w:bottom w:val="single" w:sz="4" w:space="0" w:color="auto"/>
              <w:right w:val="single" w:sz="4" w:space="0" w:color="auto"/>
            </w:tcBorders>
            <w:vAlign w:val="center"/>
            <w:hideMark/>
          </w:tcPr>
          <w:p w14:paraId="395710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1459546000</w:t>
            </w:r>
          </w:p>
        </w:tc>
        <w:tc>
          <w:tcPr>
            <w:tcW w:w="1012" w:type="dxa"/>
            <w:tcBorders>
              <w:top w:val="nil"/>
              <w:left w:val="nil"/>
              <w:bottom w:val="single" w:sz="4" w:space="0" w:color="auto"/>
              <w:right w:val="single" w:sz="4" w:space="0" w:color="auto"/>
            </w:tcBorders>
            <w:vAlign w:val="center"/>
            <w:hideMark/>
          </w:tcPr>
          <w:p w14:paraId="5C2711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52134075</w:t>
            </w:r>
          </w:p>
        </w:tc>
        <w:tc>
          <w:tcPr>
            <w:tcW w:w="5953" w:type="dxa"/>
            <w:tcBorders>
              <w:top w:val="nil"/>
              <w:left w:val="nil"/>
              <w:bottom w:val="single" w:sz="4" w:space="0" w:color="auto"/>
              <w:right w:val="single" w:sz="4" w:space="0" w:color="auto"/>
            </w:tcBorders>
            <w:noWrap/>
            <w:vAlign w:val="center"/>
            <w:hideMark/>
          </w:tcPr>
          <w:p w14:paraId="61E9F4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KRANJ</w:t>
            </w:r>
          </w:p>
        </w:tc>
      </w:tr>
      <w:tr w:rsidR="00F24E18" w14:paraId="633E93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CDD5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1920</w:t>
            </w:r>
          </w:p>
        </w:tc>
        <w:tc>
          <w:tcPr>
            <w:tcW w:w="1300" w:type="dxa"/>
            <w:tcBorders>
              <w:top w:val="nil"/>
              <w:left w:val="nil"/>
              <w:bottom w:val="single" w:sz="4" w:space="0" w:color="auto"/>
              <w:right w:val="single" w:sz="4" w:space="0" w:color="auto"/>
            </w:tcBorders>
            <w:noWrap/>
            <w:vAlign w:val="center"/>
            <w:hideMark/>
          </w:tcPr>
          <w:p w14:paraId="1D9539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1483366000</w:t>
            </w:r>
          </w:p>
        </w:tc>
        <w:tc>
          <w:tcPr>
            <w:tcW w:w="1012" w:type="dxa"/>
            <w:tcBorders>
              <w:top w:val="nil"/>
              <w:left w:val="nil"/>
              <w:bottom w:val="single" w:sz="4" w:space="0" w:color="auto"/>
              <w:right w:val="single" w:sz="4" w:space="0" w:color="auto"/>
            </w:tcBorders>
            <w:noWrap/>
            <w:vAlign w:val="center"/>
            <w:hideMark/>
          </w:tcPr>
          <w:p w14:paraId="00DADA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90278445</w:t>
            </w:r>
          </w:p>
        </w:tc>
        <w:tc>
          <w:tcPr>
            <w:tcW w:w="5953" w:type="dxa"/>
            <w:tcBorders>
              <w:top w:val="nil"/>
              <w:left w:val="nil"/>
              <w:bottom w:val="single" w:sz="4" w:space="0" w:color="auto"/>
              <w:right w:val="single" w:sz="4" w:space="0" w:color="auto"/>
            </w:tcBorders>
            <w:noWrap/>
            <w:vAlign w:val="center"/>
            <w:hideMark/>
          </w:tcPr>
          <w:p w14:paraId="67026D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KRŠKO-LESKOVEC</w:t>
            </w:r>
          </w:p>
        </w:tc>
      </w:tr>
      <w:tr w:rsidR="00F24E18" w14:paraId="1CBF1B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9B58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1921</w:t>
            </w:r>
          </w:p>
        </w:tc>
        <w:tc>
          <w:tcPr>
            <w:tcW w:w="1300" w:type="dxa"/>
            <w:tcBorders>
              <w:top w:val="nil"/>
              <w:left w:val="nil"/>
              <w:bottom w:val="single" w:sz="4" w:space="0" w:color="auto"/>
              <w:right w:val="single" w:sz="4" w:space="0" w:color="auto"/>
            </w:tcBorders>
            <w:noWrap/>
            <w:vAlign w:val="center"/>
            <w:hideMark/>
          </w:tcPr>
          <w:p w14:paraId="4CA3A6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1491407000</w:t>
            </w:r>
          </w:p>
        </w:tc>
        <w:tc>
          <w:tcPr>
            <w:tcW w:w="1012" w:type="dxa"/>
            <w:tcBorders>
              <w:top w:val="nil"/>
              <w:left w:val="nil"/>
              <w:bottom w:val="single" w:sz="4" w:space="0" w:color="auto"/>
              <w:right w:val="single" w:sz="4" w:space="0" w:color="auto"/>
            </w:tcBorders>
            <w:noWrap/>
            <w:vAlign w:val="center"/>
            <w:hideMark/>
          </w:tcPr>
          <w:p w14:paraId="3D45B4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17110424</w:t>
            </w:r>
          </w:p>
        </w:tc>
        <w:tc>
          <w:tcPr>
            <w:tcW w:w="5953" w:type="dxa"/>
            <w:tcBorders>
              <w:top w:val="nil"/>
              <w:left w:val="nil"/>
              <w:bottom w:val="single" w:sz="4" w:space="0" w:color="auto"/>
              <w:right w:val="single" w:sz="4" w:space="0" w:color="auto"/>
            </w:tcBorders>
            <w:noWrap/>
            <w:vAlign w:val="center"/>
            <w:hideMark/>
          </w:tcPr>
          <w:p w14:paraId="36274C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MURSKA SOBOTA</w:t>
            </w:r>
          </w:p>
        </w:tc>
      </w:tr>
      <w:tr w:rsidR="00F24E18" w14:paraId="0B6ADC9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A7DC4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1922</w:t>
            </w:r>
          </w:p>
        </w:tc>
        <w:tc>
          <w:tcPr>
            <w:tcW w:w="1300" w:type="dxa"/>
            <w:tcBorders>
              <w:top w:val="nil"/>
              <w:left w:val="nil"/>
              <w:bottom w:val="single" w:sz="4" w:space="0" w:color="auto"/>
              <w:right w:val="single" w:sz="4" w:space="0" w:color="auto"/>
            </w:tcBorders>
            <w:vAlign w:val="center"/>
            <w:hideMark/>
          </w:tcPr>
          <w:p w14:paraId="75EFCD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2192993000</w:t>
            </w:r>
          </w:p>
        </w:tc>
        <w:tc>
          <w:tcPr>
            <w:tcW w:w="1012" w:type="dxa"/>
            <w:tcBorders>
              <w:top w:val="nil"/>
              <w:left w:val="nil"/>
              <w:bottom w:val="single" w:sz="4" w:space="0" w:color="auto"/>
              <w:right w:val="single" w:sz="4" w:space="0" w:color="auto"/>
            </w:tcBorders>
            <w:vAlign w:val="center"/>
            <w:hideMark/>
          </w:tcPr>
          <w:p w14:paraId="0BBE16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59761750</w:t>
            </w:r>
          </w:p>
        </w:tc>
        <w:tc>
          <w:tcPr>
            <w:tcW w:w="5953" w:type="dxa"/>
            <w:tcBorders>
              <w:top w:val="nil"/>
              <w:left w:val="nil"/>
              <w:bottom w:val="single" w:sz="4" w:space="0" w:color="auto"/>
              <w:right w:val="single" w:sz="4" w:space="0" w:color="auto"/>
            </w:tcBorders>
            <w:noWrap/>
            <w:vAlign w:val="center"/>
            <w:hideMark/>
          </w:tcPr>
          <w:p w14:paraId="1681C4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NOVA GORICA</w:t>
            </w:r>
          </w:p>
        </w:tc>
      </w:tr>
      <w:tr w:rsidR="00F24E18" w14:paraId="0987CB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D9D08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1923</w:t>
            </w:r>
          </w:p>
        </w:tc>
        <w:tc>
          <w:tcPr>
            <w:tcW w:w="1300" w:type="dxa"/>
            <w:tcBorders>
              <w:top w:val="nil"/>
              <w:left w:val="nil"/>
              <w:bottom w:val="single" w:sz="4" w:space="0" w:color="auto"/>
              <w:right w:val="single" w:sz="4" w:space="0" w:color="auto"/>
            </w:tcBorders>
            <w:vAlign w:val="center"/>
            <w:hideMark/>
          </w:tcPr>
          <w:p w14:paraId="2C64EE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1462407000</w:t>
            </w:r>
          </w:p>
        </w:tc>
        <w:tc>
          <w:tcPr>
            <w:tcW w:w="1012" w:type="dxa"/>
            <w:tcBorders>
              <w:top w:val="nil"/>
              <w:left w:val="nil"/>
              <w:bottom w:val="single" w:sz="4" w:space="0" w:color="auto"/>
              <w:right w:val="single" w:sz="4" w:space="0" w:color="auto"/>
            </w:tcBorders>
            <w:vAlign w:val="center"/>
            <w:hideMark/>
          </w:tcPr>
          <w:p w14:paraId="371EE5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47830719</w:t>
            </w:r>
          </w:p>
        </w:tc>
        <w:tc>
          <w:tcPr>
            <w:tcW w:w="5953" w:type="dxa"/>
            <w:tcBorders>
              <w:top w:val="nil"/>
              <w:left w:val="nil"/>
              <w:bottom w:val="single" w:sz="4" w:space="0" w:color="auto"/>
              <w:right w:val="single" w:sz="4" w:space="0" w:color="auto"/>
            </w:tcBorders>
            <w:noWrap/>
            <w:vAlign w:val="center"/>
            <w:hideMark/>
          </w:tcPr>
          <w:p w14:paraId="37606E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NOVO MESTO</w:t>
            </w:r>
          </w:p>
        </w:tc>
      </w:tr>
      <w:tr w:rsidR="00F24E18" w14:paraId="036D8D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8F03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1924</w:t>
            </w:r>
          </w:p>
        </w:tc>
        <w:tc>
          <w:tcPr>
            <w:tcW w:w="1300" w:type="dxa"/>
            <w:tcBorders>
              <w:top w:val="nil"/>
              <w:left w:val="nil"/>
              <w:bottom w:val="single" w:sz="4" w:space="0" w:color="auto"/>
              <w:right w:val="single" w:sz="4" w:space="0" w:color="auto"/>
            </w:tcBorders>
            <w:vAlign w:val="center"/>
            <w:hideMark/>
          </w:tcPr>
          <w:p w14:paraId="3E776D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5821401000</w:t>
            </w:r>
          </w:p>
        </w:tc>
        <w:tc>
          <w:tcPr>
            <w:tcW w:w="1012" w:type="dxa"/>
            <w:tcBorders>
              <w:top w:val="nil"/>
              <w:left w:val="nil"/>
              <w:bottom w:val="single" w:sz="4" w:space="0" w:color="auto"/>
              <w:right w:val="single" w:sz="4" w:space="0" w:color="auto"/>
            </w:tcBorders>
            <w:vAlign w:val="center"/>
            <w:hideMark/>
          </w:tcPr>
          <w:p w14:paraId="06C17A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95649379</w:t>
            </w:r>
          </w:p>
        </w:tc>
        <w:tc>
          <w:tcPr>
            <w:tcW w:w="5953" w:type="dxa"/>
            <w:tcBorders>
              <w:top w:val="nil"/>
              <w:left w:val="nil"/>
              <w:bottom w:val="single" w:sz="4" w:space="0" w:color="auto"/>
              <w:right w:val="single" w:sz="4" w:space="0" w:color="auto"/>
            </w:tcBorders>
            <w:noWrap/>
            <w:vAlign w:val="center"/>
            <w:hideMark/>
          </w:tcPr>
          <w:p w14:paraId="4782E3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POLŽ MARIBOR</w:t>
            </w:r>
          </w:p>
        </w:tc>
      </w:tr>
      <w:tr w:rsidR="00F24E18" w14:paraId="706EF72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D762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1925</w:t>
            </w:r>
          </w:p>
        </w:tc>
        <w:tc>
          <w:tcPr>
            <w:tcW w:w="1300" w:type="dxa"/>
            <w:tcBorders>
              <w:top w:val="nil"/>
              <w:left w:val="nil"/>
              <w:bottom w:val="single" w:sz="4" w:space="0" w:color="auto"/>
              <w:right w:val="single" w:sz="4" w:space="0" w:color="auto"/>
            </w:tcBorders>
            <w:noWrap/>
            <w:vAlign w:val="center"/>
            <w:hideMark/>
          </w:tcPr>
          <w:p w14:paraId="0DDCED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1673246000</w:t>
            </w:r>
          </w:p>
        </w:tc>
        <w:tc>
          <w:tcPr>
            <w:tcW w:w="1012" w:type="dxa"/>
            <w:tcBorders>
              <w:top w:val="nil"/>
              <w:left w:val="nil"/>
              <w:bottom w:val="single" w:sz="4" w:space="0" w:color="auto"/>
              <w:right w:val="single" w:sz="4" w:space="0" w:color="auto"/>
            </w:tcBorders>
            <w:noWrap/>
            <w:vAlign w:val="center"/>
            <w:hideMark/>
          </w:tcPr>
          <w:p w14:paraId="6F857D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31598412</w:t>
            </w:r>
          </w:p>
        </w:tc>
        <w:tc>
          <w:tcPr>
            <w:tcW w:w="5953" w:type="dxa"/>
            <w:tcBorders>
              <w:top w:val="nil"/>
              <w:left w:val="nil"/>
              <w:bottom w:val="single" w:sz="4" w:space="0" w:color="auto"/>
              <w:right w:val="single" w:sz="4" w:space="0" w:color="auto"/>
            </w:tcBorders>
            <w:noWrap/>
            <w:vAlign w:val="center"/>
            <w:hideMark/>
          </w:tcPr>
          <w:p w14:paraId="6F3F74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POSTOJNA</w:t>
            </w:r>
          </w:p>
        </w:tc>
      </w:tr>
      <w:tr w:rsidR="00F24E18" w14:paraId="1E334CE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0BF0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1926</w:t>
            </w:r>
          </w:p>
        </w:tc>
        <w:tc>
          <w:tcPr>
            <w:tcW w:w="1300" w:type="dxa"/>
            <w:tcBorders>
              <w:top w:val="nil"/>
              <w:left w:val="nil"/>
              <w:bottom w:val="single" w:sz="4" w:space="0" w:color="auto"/>
              <w:right w:val="single" w:sz="4" w:space="0" w:color="auto"/>
            </w:tcBorders>
            <w:noWrap/>
            <w:vAlign w:val="center"/>
            <w:hideMark/>
          </w:tcPr>
          <w:p w14:paraId="211B0E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1821474000</w:t>
            </w:r>
          </w:p>
        </w:tc>
        <w:tc>
          <w:tcPr>
            <w:tcW w:w="1012" w:type="dxa"/>
            <w:tcBorders>
              <w:top w:val="nil"/>
              <w:left w:val="nil"/>
              <w:bottom w:val="single" w:sz="4" w:space="0" w:color="auto"/>
              <w:right w:val="single" w:sz="4" w:space="0" w:color="auto"/>
            </w:tcBorders>
            <w:noWrap/>
            <w:vAlign w:val="center"/>
            <w:hideMark/>
          </w:tcPr>
          <w:p w14:paraId="25FADA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50456717</w:t>
            </w:r>
          </w:p>
        </w:tc>
        <w:tc>
          <w:tcPr>
            <w:tcW w:w="5953" w:type="dxa"/>
            <w:tcBorders>
              <w:top w:val="nil"/>
              <w:left w:val="nil"/>
              <w:bottom w:val="single" w:sz="4" w:space="0" w:color="auto"/>
              <w:right w:val="single" w:sz="4" w:space="0" w:color="auto"/>
            </w:tcBorders>
            <w:noWrap/>
            <w:vAlign w:val="center"/>
            <w:hideMark/>
          </w:tcPr>
          <w:p w14:paraId="23AC25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SAVINJSKO-ŠALEŠKA</w:t>
            </w:r>
          </w:p>
        </w:tc>
      </w:tr>
      <w:tr w:rsidR="00F24E18" w14:paraId="11A96C3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19A6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1927</w:t>
            </w:r>
          </w:p>
        </w:tc>
        <w:tc>
          <w:tcPr>
            <w:tcW w:w="1300" w:type="dxa"/>
            <w:tcBorders>
              <w:top w:val="nil"/>
              <w:left w:val="nil"/>
              <w:bottom w:val="single" w:sz="4" w:space="0" w:color="auto"/>
              <w:right w:val="single" w:sz="4" w:space="0" w:color="auto"/>
            </w:tcBorders>
            <w:noWrap/>
            <w:vAlign w:val="center"/>
            <w:hideMark/>
          </w:tcPr>
          <w:p w14:paraId="401E67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1781740000</w:t>
            </w:r>
          </w:p>
        </w:tc>
        <w:tc>
          <w:tcPr>
            <w:tcW w:w="1012" w:type="dxa"/>
            <w:tcBorders>
              <w:top w:val="nil"/>
              <w:left w:val="nil"/>
              <w:bottom w:val="single" w:sz="4" w:space="0" w:color="auto"/>
              <w:right w:val="single" w:sz="4" w:space="0" w:color="auto"/>
            </w:tcBorders>
            <w:noWrap/>
            <w:vAlign w:val="center"/>
            <w:hideMark/>
          </w:tcPr>
          <w:p w14:paraId="696E73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59634979</w:t>
            </w:r>
          </w:p>
        </w:tc>
        <w:tc>
          <w:tcPr>
            <w:tcW w:w="5953" w:type="dxa"/>
            <w:tcBorders>
              <w:top w:val="nil"/>
              <w:left w:val="nil"/>
              <w:bottom w:val="single" w:sz="4" w:space="0" w:color="auto"/>
              <w:right w:val="single" w:sz="4" w:space="0" w:color="auto"/>
            </w:tcBorders>
            <w:noWrap/>
            <w:vAlign w:val="center"/>
            <w:hideMark/>
          </w:tcPr>
          <w:p w14:paraId="4D4957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ŠENTJUR</w:t>
            </w:r>
          </w:p>
        </w:tc>
      </w:tr>
      <w:tr w:rsidR="00F24E18" w14:paraId="322EE2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A872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1928</w:t>
            </w:r>
          </w:p>
        </w:tc>
        <w:tc>
          <w:tcPr>
            <w:tcW w:w="1300" w:type="dxa"/>
            <w:tcBorders>
              <w:top w:val="nil"/>
              <w:left w:val="nil"/>
              <w:bottom w:val="single" w:sz="4" w:space="0" w:color="auto"/>
              <w:right w:val="single" w:sz="4" w:space="0" w:color="auto"/>
            </w:tcBorders>
            <w:noWrap/>
            <w:vAlign w:val="center"/>
            <w:hideMark/>
          </w:tcPr>
          <w:p w14:paraId="784675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1614452000</w:t>
            </w:r>
          </w:p>
        </w:tc>
        <w:tc>
          <w:tcPr>
            <w:tcW w:w="1012" w:type="dxa"/>
            <w:tcBorders>
              <w:top w:val="nil"/>
              <w:left w:val="nil"/>
              <w:bottom w:val="single" w:sz="4" w:space="0" w:color="auto"/>
              <w:right w:val="single" w:sz="4" w:space="0" w:color="auto"/>
            </w:tcBorders>
            <w:noWrap/>
            <w:vAlign w:val="center"/>
            <w:hideMark/>
          </w:tcPr>
          <w:p w14:paraId="4214D7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88373584</w:t>
            </w:r>
          </w:p>
        </w:tc>
        <w:tc>
          <w:tcPr>
            <w:tcW w:w="5953" w:type="dxa"/>
            <w:tcBorders>
              <w:top w:val="nil"/>
              <w:left w:val="nil"/>
              <w:bottom w:val="single" w:sz="4" w:space="0" w:color="auto"/>
              <w:right w:val="single" w:sz="4" w:space="0" w:color="auto"/>
            </w:tcBorders>
            <w:noWrap/>
            <w:vAlign w:val="center"/>
            <w:hideMark/>
          </w:tcPr>
          <w:p w14:paraId="3490CD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TOLMIN</w:t>
            </w:r>
          </w:p>
        </w:tc>
      </w:tr>
      <w:tr w:rsidR="00F24E18" w14:paraId="76F84E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B615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1929</w:t>
            </w:r>
          </w:p>
        </w:tc>
        <w:tc>
          <w:tcPr>
            <w:tcW w:w="1300" w:type="dxa"/>
            <w:tcBorders>
              <w:top w:val="nil"/>
              <w:left w:val="nil"/>
              <w:bottom w:val="single" w:sz="4" w:space="0" w:color="auto"/>
              <w:right w:val="single" w:sz="4" w:space="0" w:color="auto"/>
            </w:tcBorders>
            <w:noWrap/>
            <w:vAlign w:val="center"/>
            <w:hideMark/>
          </w:tcPr>
          <w:p w14:paraId="235E57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5055342000</w:t>
            </w:r>
          </w:p>
        </w:tc>
        <w:tc>
          <w:tcPr>
            <w:tcW w:w="1012" w:type="dxa"/>
            <w:tcBorders>
              <w:top w:val="nil"/>
              <w:left w:val="nil"/>
              <w:bottom w:val="single" w:sz="4" w:space="0" w:color="auto"/>
              <w:right w:val="single" w:sz="4" w:space="0" w:color="auto"/>
            </w:tcBorders>
            <w:noWrap/>
            <w:vAlign w:val="center"/>
            <w:hideMark/>
          </w:tcPr>
          <w:p w14:paraId="75618D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13423983</w:t>
            </w:r>
          </w:p>
        </w:tc>
        <w:tc>
          <w:tcPr>
            <w:tcW w:w="5953" w:type="dxa"/>
            <w:tcBorders>
              <w:top w:val="nil"/>
              <w:left w:val="nil"/>
              <w:bottom w:val="single" w:sz="4" w:space="0" w:color="auto"/>
              <w:right w:val="single" w:sz="4" w:space="0" w:color="auto"/>
            </w:tcBorders>
            <w:noWrap/>
            <w:vAlign w:val="center"/>
            <w:hideMark/>
          </w:tcPr>
          <w:p w14:paraId="3A9165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TONČKE HOČEVAR</w:t>
            </w:r>
          </w:p>
        </w:tc>
      </w:tr>
      <w:tr w:rsidR="00F24E18" w14:paraId="1C3FEF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DE40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1930</w:t>
            </w:r>
          </w:p>
        </w:tc>
        <w:tc>
          <w:tcPr>
            <w:tcW w:w="1300" w:type="dxa"/>
            <w:tcBorders>
              <w:top w:val="nil"/>
              <w:left w:val="nil"/>
              <w:bottom w:val="single" w:sz="4" w:space="0" w:color="auto"/>
              <w:right w:val="single" w:sz="4" w:space="0" w:color="auto"/>
            </w:tcBorders>
            <w:vAlign w:val="center"/>
            <w:hideMark/>
          </w:tcPr>
          <w:p w14:paraId="1F5B17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5549612000</w:t>
            </w:r>
          </w:p>
        </w:tc>
        <w:tc>
          <w:tcPr>
            <w:tcW w:w="1012" w:type="dxa"/>
            <w:tcBorders>
              <w:top w:val="nil"/>
              <w:left w:val="nil"/>
              <w:bottom w:val="single" w:sz="4" w:space="0" w:color="auto"/>
              <w:right w:val="single" w:sz="4" w:space="0" w:color="auto"/>
            </w:tcBorders>
            <w:vAlign w:val="center"/>
            <w:hideMark/>
          </w:tcPr>
          <w:p w14:paraId="04A44B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13699539</w:t>
            </w:r>
          </w:p>
        </w:tc>
        <w:tc>
          <w:tcPr>
            <w:tcW w:w="5953" w:type="dxa"/>
            <w:tcBorders>
              <w:top w:val="nil"/>
              <w:left w:val="nil"/>
              <w:bottom w:val="single" w:sz="4" w:space="0" w:color="auto"/>
              <w:right w:val="single" w:sz="4" w:space="0" w:color="auto"/>
            </w:tcBorders>
            <w:noWrap/>
            <w:vAlign w:val="center"/>
            <w:hideMark/>
          </w:tcPr>
          <w:p w14:paraId="2DE3EE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VARSTVENO DELOVNI CENTER ZASAVJE</w:t>
            </w:r>
          </w:p>
        </w:tc>
      </w:tr>
      <w:tr w:rsidR="00F24E18" w14:paraId="502FAC3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DF31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1931</w:t>
            </w:r>
          </w:p>
        </w:tc>
        <w:tc>
          <w:tcPr>
            <w:tcW w:w="1300" w:type="dxa"/>
            <w:tcBorders>
              <w:top w:val="nil"/>
              <w:left w:val="nil"/>
              <w:bottom w:val="single" w:sz="4" w:space="0" w:color="auto"/>
              <w:right w:val="single" w:sz="4" w:space="0" w:color="auto"/>
            </w:tcBorders>
            <w:noWrap/>
            <w:vAlign w:val="center"/>
            <w:hideMark/>
          </w:tcPr>
          <w:p w14:paraId="1C6DD9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5855012000</w:t>
            </w:r>
          </w:p>
        </w:tc>
        <w:tc>
          <w:tcPr>
            <w:tcW w:w="1012" w:type="dxa"/>
            <w:tcBorders>
              <w:top w:val="nil"/>
              <w:left w:val="nil"/>
              <w:bottom w:val="single" w:sz="4" w:space="0" w:color="auto"/>
              <w:right w:val="single" w:sz="4" w:space="0" w:color="auto"/>
            </w:tcBorders>
            <w:noWrap/>
            <w:vAlign w:val="center"/>
            <w:hideMark/>
          </w:tcPr>
          <w:p w14:paraId="3D4744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57006229</w:t>
            </w:r>
          </w:p>
        </w:tc>
        <w:tc>
          <w:tcPr>
            <w:tcW w:w="5953" w:type="dxa"/>
            <w:tcBorders>
              <w:top w:val="nil"/>
              <w:left w:val="nil"/>
              <w:bottom w:val="single" w:sz="4" w:space="0" w:color="auto"/>
              <w:right w:val="single" w:sz="4" w:space="0" w:color="auto"/>
            </w:tcBorders>
            <w:noWrap/>
            <w:vAlign w:val="center"/>
            <w:hideMark/>
          </w:tcPr>
          <w:p w14:paraId="7226A9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VARUH ČLOVEKOVIH PRAVIC REPUBLIKE SLOVENIJE</w:t>
            </w:r>
          </w:p>
        </w:tc>
      </w:tr>
      <w:tr w:rsidR="00F24E18" w14:paraId="5DD7393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FED99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1932</w:t>
            </w:r>
          </w:p>
        </w:tc>
        <w:tc>
          <w:tcPr>
            <w:tcW w:w="1300" w:type="dxa"/>
            <w:tcBorders>
              <w:top w:val="nil"/>
              <w:left w:val="nil"/>
              <w:bottom w:val="single" w:sz="4" w:space="0" w:color="auto"/>
              <w:right w:val="single" w:sz="4" w:space="0" w:color="auto"/>
            </w:tcBorders>
            <w:vAlign w:val="center"/>
            <w:hideMark/>
          </w:tcPr>
          <w:p w14:paraId="691D61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5551862000</w:t>
            </w:r>
          </w:p>
        </w:tc>
        <w:tc>
          <w:tcPr>
            <w:tcW w:w="1012" w:type="dxa"/>
            <w:tcBorders>
              <w:top w:val="nil"/>
              <w:left w:val="nil"/>
              <w:bottom w:val="single" w:sz="4" w:space="0" w:color="auto"/>
              <w:right w:val="single" w:sz="4" w:space="0" w:color="auto"/>
            </w:tcBorders>
            <w:vAlign w:val="center"/>
            <w:hideMark/>
          </w:tcPr>
          <w:p w14:paraId="272F74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57803315</w:t>
            </w:r>
          </w:p>
        </w:tc>
        <w:tc>
          <w:tcPr>
            <w:tcW w:w="5953" w:type="dxa"/>
            <w:tcBorders>
              <w:top w:val="nil"/>
              <w:left w:val="nil"/>
              <w:bottom w:val="single" w:sz="4" w:space="0" w:color="auto"/>
              <w:right w:val="single" w:sz="4" w:space="0" w:color="auto"/>
            </w:tcBorders>
            <w:noWrap/>
            <w:vAlign w:val="center"/>
            <w:hideMark/>
          </w:tcPr>
          <w:p w14:paraId="629088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VELIKA PLANINA ZAKLAD NARAVE, PODJETJE ZA ŽIČNIČARSTVO, GOSTINSTVO, TURIZEM IN REKREACIJO D.O.O.</w:t>
            </w:r>
          </w:p>
        </w:tc>
      </w:tr>
      <w:tr w:rsidR="00F24E18" w14:paraId="6FC83C7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BB0F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1933</w:t>
            </w:r>
          </w:p>
        </w:tc>
        <w:tc>
          <w:tcPr>
            <w:tcW w:w="1300" w:type="dxa"/>
            <w:tcBorders>
              <w:top w:val="nil"/>
              <w:left w:val="nil"/>
              <w:bottom w:val="single" w:sz="4" w:space="0" w:color="auto"/>
              <w:right w:val="single" w:sz="4" w:space="0" w:color="auto"/>
            </w:tcBorders>
            <w:vAlign w:val="center"/>
            <w:hideMark/>
          </w:tcPr>
          <w:p w14:paraId="374613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6272851000</w:t>
            </w:r>
          </w:p>
        </w:tc>
        <w:tc>
          <w:tcPr>
            <w:tcW w:w="1012" w:type="dxa"/>
            <w:tcBorders>
              <w:top w:val="nil"/>
              <w:left w:val="nil"/>
              <w:bottom w:val="single" w:sz="4" w:space="0" w:color="auto"/>
              <w:right w:val="single" w:sz="4" w:space="0" w:color="auto"/>
            </w:tcBorders>
            <w:vAlign w:val="center"/>
            <w:hideMark/>
          </w:tcPr>
          <w:p w14:paraId="165D4C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98440551</w:t>
            </w:r>
          </w:p>
        </w:tc>
        <w:tc>
          <w:tcPr>
            <w:tcW w:w="5953" w:type="dxa"/>
            <w:tcBorders>
              <w:top w:val="nil"/>
              <w:left w:val="nil"/>
              <w:bottom w:val="single" w:sz="4" w:space="0" w:color="auto"/>
              <w:right w:val="single" w:sz="4" w:space="0" w:color="auto"/>
            </w:tcBorders>
            <w:noWrap/>
            <w:vAlign w:val="center"/>
            <w:hideMark/>
          </w:tcPr>
          <w:p w14:paraId="14572F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VISOKA ŠOLA ZA UPRAVLJANJE PODEŽELJA GRM NOVO MESTO</w:t>
            </w:r>
          </w:p>
        </w:tc>
      </w:tr>
      <w:tr w:rsidR="00F24E18" w14:paraId="639B3AF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C39D6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1934</w:t>
            </w:r>
          </w:p>
        </w:tc>
        <w:tc>
          <w:tcPr>
            <w:tcW w:w="1300" w:type="dxa"/>
            <w:tcBorders>
              <w:top w:val="nil"/>
              <w:left w:val="nil"/>
              <w:bottom w:val="single" w:sz="4" w:space="0" w:color="auto"/>
              <w:right w:val="single" w:sz="4" w:space="0" w:color="auto"/>
            </w:tcBorders>
            <w:noWrap/>
            <w:vAlign w:val="center"/>
            <w:hideMark/>
          </w:tcPr>
          <w:p w14:paraId="3E7B71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1278096000</w:t>
            </w:r>
          </w:p>
        </w:tc>
        <w:tc>
          <w:tcPr>
            <w:tcW w:w="1012" w:type="dxa"/>
            <w:tcBorders>
              <w:top w:val="nil"/>
              <w:left w:val="nil"/>
              <w:bottom w:val="single" w:sz="4" w:space="0" w:color="auto"/>
              <w:right w:val="single" w:sz="4" w:space="0" w:color="auto"/>
            </w:tcBorders>
            <w:noWrap/>
            <w:vAlign w:val="center"/>
            <w:hideMark/>
          </w:tcPr>
          <w:p w14:paraId="20CACF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72005297</w:t>
            </w:r>
          </w:p>
        </w:tc>
        <w:tc>
          <w:tcPr>
            <w:tcW w:w="5953" w:type="dxa"/>
            <w:tcBorders>
              <w:top w:val="nil"/>
              <w:left w:val="nil"/>
              <w:bottom w:val="single" w:sz="4" w:space="0" w:color="auto"/>
              <w:right w:val="single" w:sz="4" w:space="0" w:color="auto"/>
            </w:tcBorders>
            <w:noWrap/>
            <w:vAlign w:val="center"/>
            <w:hideMark/>
          </w:tcPr>
          <w:p w14:paraId="1F8244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VIŠJA STROKOVNA ŠOLA ZA GOSTINSTVO IN TURIZEM MARIBOR</w:t>
            </w:r>
          </w:p>
        </w:tc>
      </w:tr>
      <w:tr w:rsidR="00F24E18" w14:paraId="111F08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332E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1935</w:t>
            </w:r>
          </w:p>
        </w:tc>
        <w:tc>
          <w:tcPr>
            <w:tcW w:w="1300" w:type="dxa"/>
            <w:tcBorders>
              <w:top w:val="nil"/>
              <w:left w:val="nil"/>
              <w:bottom w:val="single" w:sz="4" w:space="0" w:color="auto"/>
              <w:right w:val="single" w:sz="4" w:space="0" w:color="auto"/>
            </w:tcBorders>
            <w:vAlign w:val="center"/>
            <w:hideMark/>
          </w:tcPr>
          <w:p w14:paraId="279E7E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5957656000</w:t>
            </w:r>
          </w:p>
        </w:tc>
        <w:tc>
          <w:tcPr>
            <w:tcW w:w="1012" w:type="dxa"/>
            <w:tcBorders>
              <w:top w:val="nil"/>
              <w:left w:val="nil"/>
              <w:bottom w:val="single" w:sz="4" w:space="0" w:color="auto"/>
              <w:right w:val="single" w:sz="4" w:space="0" w:color="auto"/>
            </w:tcBorders>
            <w:vAlign w:val="center"/>
            <w:hideMark/>
          </w:tcPr>
          <w:p w14:paraId="0663C4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51691051</w:t>
            </w:r>
          </w:p>
        </w:tc>
        <w:tc>
          <w:tcPr>
            <w:tcW w:w="5953" w:type="dxa"/>
            <w:tcBorders>
              <w:top w:val="nil"/>
              <w:left w:val="nil"/>
              <w:bottom w:val="single" w:sz="4" w:space="0" w:color="auto"/>
              <w:right w:val="single" w:sz="4" w:space="0" w:color="auto"/>
            </w:tcBorders>
            <w:noWrap/>
            <w:vAlign w:val="center"/>
            <w:hideMark/>
          </w:tcPr>
          <w:p w14:paraId="3C7289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VIŠJA STROKOVNA ŠOLA ZA GOSTINSTVO, VELNES IN TURIZEM BLED</w:t>
            </w:r>
          </w:p>
        </w:tc>
      </w:tr>
      <w:tr w:rsidR="00F24E18" w14:paraId="09B1DD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A61D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1936</w:t>
            </w:r>
          </w:p>
        </w:tc>
        <w:tc>
          <w:tcPr>
            <w:tcW w:w="1300" w:type="dxa"/>
            <w:tcBorders>
              <w:top w:val="nil"/>
              <w:left w:val="nil"/>
              <w:bottom w:val="single" w:sz="4" w:space="0" w:color="auto"/>
              <w:right w:val="single" w:sz="4" w:space="0" w:color="auto"/>
            </w:tcBorders>
            <w:noWrap/>
            <w:vAlign w:val="center"/>
            <w:hideMark/>
          </w:tcPr>
          <w:p w14:paraId="75BFDF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5840503000</w:t>
            </w:r>
          </w:p>
        </w:tc>
        <w:tc>
          <w:tcPr>
            <w:tcW w:w="1012" w:type="dxa"/>
            <w:tcBorders>
              <w:top w:val="nil"/>
              <w:left w:val="nil"/>
              <w:bottom w:val="single" w:sz="4" w:space="0" w:color="auto"/>
              <w:right w:val="single" w:sz="4" w:space="0" w:color="auto"/>
            </w:tcBorders>
            <w:noWrap/>
            <w:vAlign w:val="center"/>
            <w:hideMark/>
          </w:tcPr>
          <w:p w14:paraId="5CFF75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63389126</w:t>
            </w:r>
          </w:p>
        </w:tc>
        <w:tc>
          <w:tcPr>
            <w:tcW w:w="5953" w:type="dxa"/>
            <w:tcBorders>
              <w:top w:val="nil"/>
              <w:left w:val="nil"/>
              <w:bottom w:val="single" w:sz="4" w:space="0" w:color="auto"/>
              <w:right w:val="single" w:sz="4" w:space="0" w:color="auto"/>
            </w:tcBorders>
            <w:noWrap/>
            <w:vAlign w:val="center"/>
            <w:hideMark/>
          </w:tcPr>
          <w:p w14:paraId="4F4E4B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VIŠJE DELOVNO IN SOCIALNO SODIŠČE</w:t>
            </w:r>
          </w:p>
        </w:tc>
      </w:tr>
      <w:tr w:rsidR="00F24E18" w14:paraId="63DED15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8BB6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1937</w:t>
            </w:r>
          </w:p>
        </w:tc>
        <w:tc>
          <w:tcPr>
            <w:tcW w:w="1300" w:type="dxa"/>
            <w:tcBorders>
              <w:top w:val="nil"/>
              <w:left w:val="nil"/>
              <w:bottom w:val="single" w:sz="4" w:space="0" w:color="auto"/>
              <w:right w:val="single" w:sz="4" w:space="0" w:color="auto"/>
            </w:tcBorders>
            <w:noWrap/>
            <w:vAlign w:val="center"/>
            <w:hideMark/>
          </w:tcPr>
          <w:p w14:paraId="15F059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5111773000</w:t>
            </w:r>
          </w:p>
        </w:tc>
        <w:tc>
          <w:tcPr>
            <w:tcW w:w="1012" w:type="dxa"/>
            <w:tcBorders>
              <w:top w:val="nil"/>
              <w:left w:val="nil"/>
              <w:bottom w:val="single" w:sz="4" w:space="0" w:color="auto"/>
              <w:right w:val="single" w:sz="4" w:space="0" w:color="auto"/>
            </w:tcBorders>
            <w:noWrap/>
            <w:vAlign w:val="center"/>
            <w:hideMark/>
          </w:tcPr>
          <w:p w14:paraId="4099B5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82308853</w:t>
            </w:r>
          </w:p>
        </w:tc>
        <w:tc>
          <w:tcPr>
            <w:tcW w:w="5953" w:type="dxa"/>
            <w:tcBorders>
              <w:top w:val="nil"/>
              <w:left w:val="nil"/>
              <w:bottom w:val="single" w:sz="4" w:space="0" w:color="auto"/>
              <w:right w:val="single" w:sz="4" w:space="0" w:color="auto"/>
            </w:tcBorders>
            <w:noWrap/>
            <w:vAlign w:val="center"/>
            <w:hideMark/>
          </w:tcPr>
          <w:p w14:paraId="63C6FC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VIŠJE SODIŠČE V CELJU</w:t>
            </w:r>
          </w:p>
        </w:tc>
      </w:tr>
      <w:tr w:rsidR="00F24E18" w14:paraId="0B3B99C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1205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1938</w:t>
            </w:r>
          </w:p>
        </w:tc>
        <w:tc>
          <w:tcPr>
            <w:tcW w:w="1300" w:type="dxa"/>
            <w:tcBorders>
              <w:top w:val="nil"/>
              <w:left w:val="nil"/>
              <w:bottom w:val="single" w:sz="4" w:space="0" w:color="auto"/>
              <w:right w:val="single" w:sz="4" w:space="0" w:color="auto"/>
            </w:tcBorders>
            <w:noWrap/>
            <w:vAlign w:val="center"/>
            <w:hideMark/>
          </w:tcPr>
          <w:p w14:paraId="2C77FA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5105340000</w:t>
            </w:r>
          </w:p>
        </w:tc>
        <w:tc>
          <w:tcPr>
            <w:tcW w:w="1012" w:type="dxa"/>
            <w:tcBorders>
              <w:top w:val="nil"/>
              <w:left w:val="nil"/>
              <w:bottom w:val="single" w:sz="4" w:space="0" w:color="auto"/>
              <w:right w:val="single" w:sz="4" w:space="0" w:color="auto"/>
            </w:tcBorders>
            <w:noWrap/>
            <w:vAlign w:val="center"/>
            <w:hideMark/>
          </w:tcPr>
          <w:p w14:paraId="11E04C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82659214</w:t>
            </w:r>
          </w:p>
        </w:tc>
        <w:tc>
          <w:tcPr>
            <w:tcW w:w="5953" w:type="dxa"/>
            <w:tcBorders>
              <w:top w:val="nil"/>
              <w:left w:val="nil"/>
              <w:bottom w:val="single" w:sz="4" w:space="0" w:color="auto"/>
              <w:right w:val="single" w:sz="4" w:space="0" w:color="auto"/>
            </w:tcBorders>
            <w:noWrap/>
            <w:vAlign w:val="center"/>
            <w:hideMark/>
          </w:tcPr>
          <w:p w14:paraId="64E39E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VIŠJE SODIŠČE V KOPRU</w:t>
            </w:r>
          </w:p>
        </w:tc>
      </w:tr>
      <w:tr w:rsidR="00F24E18" w14:paraId="3F36F83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864F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1939</w:t>
            </w:r>
          </w:p>
        </w:tc>
        <w:tc>
          <w:tcPr>
            <w:tcW w:w="1300" w:type="dxa"/>
            <w:tcBorders>
              <w:top w:val="nil"/>
              <w:left w:val="nil"/>
              <w:bottom w:val="single" w:sz="4" w:space="0" w:color="auto"/>
              <w:right w:val="single" w:sz="4" w:space="0" w:color="auto"/>
            </w:tcBorders>
            <w:vAlign w:val="center"/>
            <w:hideMark/>
          </w:tcPr>
          <w:p w14:paraId="239308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5105331000</w:t>
            </w:r>
          </w:p>
        </w:tc>
        <w:tc>
          <w:tcPr>
            <w:tcW w:w="1012" w:type="dxa"/>
            <w:tcBorders>
              <w:top w:val="nil"/>
              <w:left w:val="nil"/>
              <w:bottom w:val="single" w:sz="4" w:space="0" w:color="auto"/>
              <w:right w:val="single" w:sz="4" w:space="0" w:color="auto"/>
            </w:tcBorders>
            <w:vAlign w:val="center"/>
            <w:hideMark/>
          </w:tcPr>
          <w:p w14:paraId="5AC855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12478407</w:t>
            </w:r>
          </w:p>
        </w:tc>
        <w:tc>
          <w:tcPr>
            <w:tcW w:w="5953" w:type="dxa"/>
            <w:tcBorders>
              <w:top w:val="nil"/>
              <w:left w:val="nil"/>
              <w:bottom w:val="single" w:sz="4" w:space="0" w:color="auto"/>
              <w:right w:val="single" w:sz="4" w:space="0" w:color="auto"/>
            </w:tcBorders>
            <w:noWrap/>
            <w:vAlign w:val="center"/>
            <w:hideMark/>
          </w:tcPr>
          <w:p w14:paraId="5291D2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VIŠJE SODIŠČE V LJUBLJANI</w:t>
            </w:r>
          </w:p>
        </w:tc>
      </w:tr>
      <w:tr w:rsidR="00F24E18" w14:paraId="4BB19E3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DDCA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1940</w:t>
            </w:r>
          </w:p>
        </w:tc>
        <w:tc>
          <w:tcPr>
            <w:tcW w:w="1300" w:type="dxa"/>
            <w:tcBorders>
              <w:top w:val="nil"/>
              <w:left w:val="nil"/>
              <w:bottom w:val="single" w:sz="4" w:space="0" w:color="auto"/>
              <w:right w:val="single" w:sz="4" w:space="0" w:color="auto"/>
            </w:tcBorders>
            <w:noWrap/>
            <w:vAlign w:val="center"/>
            <w:hideMark/>
          </w:tcPr>
          <w:p w14:paraId="69B8D1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5105358000</w:t>
            </w:r>
          </w:p>
        </w:tc>
        <w:tc>
          <w:tcPr>
            <w:tcW w:w="1012" w:type="dxa"/>
            <w:tcBorders>
              <w:top w:val="nil"/>
              <w:left w:val="nil"/>
              <w:bottom w:val="single" w:sz="4" w:space="0" w:color="auto"/>
              <w:right w:val="single" w:sz="4" w:space="0" w:color="auto"/>
            </w:tcBorders>
            <w:noWrap/>
            <w:vAlign w:val="center"/>
            <w:hideMark/>
          </w:tcPr>
          <w:p w14:paraId="724A88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76493121</w:t>
            </w:r>
          </w:p>
        </w:tc>
        <w:tc>
          <w:tcPr>
            <w:tcW w:w="5953" w:type="dxa"/>
            <w:tcBorders>
              <w:top w:val="nil"/>
              <w:left w:val="nil"/>
              <w:bottom w:val="single" w:sz="4" w:space="0" w:color="auto"/>
              <w:right w:val="single" w:sz="4" w:space="0" w:color="auto"/>
            </w:tcBorders>
            <w:noWrap/>
            <w:vAlign w:val="center"/>
            <w:hideMark/>
          </w:tcPr>
          <w:p w14:paraId="30691E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VIŠJE SODIŠČE V MARIBORU</w:t>
            </w:r>
          </w:p>
        </w:tc>
      </w:tr>
      <w:tr w:rsidR="00F24E18" w14:paraId="07DF8F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0FEC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1941</w:t>
            </w:r>
          </w:p>
        </w:tc>
        <w:tc>
          <w:tcPr>
            <w:tcW w:w="1300" w:type="dxa"/>
            <w:tcBorders>
              <w:top w:val="nil"/>
              <w:left w:val="nil"/>
              <w:bottom w:val="single" w:sz="4" w:space="0" w:color="auto"/>
              <w:right w:val="single" w:sz="4" w:space="0" w:color="auto"/>
            </w:tcBorders>
            <w:noWrap/>
            <w:vAlign w:val="center"/>
            <w:hideMark/>
          </w:tcPr>
          <w:p w14:paraId="160193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5227798000</w:t>
            </w:r>
          </w:p>
        </w:tc>
        <w:tc>
          <w:tcPr>
            <w:tcW w:w="1012" w:type="dxa"/>
            <w:tcBorders>
              <w:top w:val="nil"/>
              <w:left w:val="nil"/>
              <w:bottom w:val="single" w:sz="4" w:space="0" w:color="auto"/>
              <w:right w:val="single" w:sz="4" w:space="0" w:color="auto"/>
            </w:tcBorders>
            <w:noWrap/>
            <w:vAlign w:val="center"/>
            <w:hideMark/>
          </w:tcPr>
          <w:p w14:paraId="5577CC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97924482</w:t>
            </w:r>
          </w:p>
        </w:tc>
        <w:tc>
          <w:tcPr>
            <w:tcW w:w="5953" w:type="dxa"/>
            <w:tcBorders>
              <w:top w:val="nil"/>
              <w:left w:val="nil"/>
              <w:bottom w:val="single" w:sz="4" w:space="0" w:color="auto"/>
              <w:right w:val="single" w:sz="4" w:space="0" w:color="auto"/>
            </w:tcBorders>
            <w:noWrap/>
            <w:vAlign w:val="center"/>
            <w:hideMark/>
          </w:tcPr>
          <w:p w14:paraId="6FF43D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VIŠKI VRTCI</w:t>
            </w:r>
          </w:p>
        </w:tc>
      </w:tr>
      <w:tr w:rsidR="00F24E18" w14:paraId="13E37D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878E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1942</w:t>
            </w:r>
          </w:p>
        </w:tc>
        <w:tc>
          <w:tcPr>
            <w:tcW w:w="1300" w:type="dxa"/>
            <w:tcBorders>
              <w:top w:val="nil"/>
              <w:left w:val="nil"/>
              <w:bottom w:val="single" w:sz="4" w:space="0" w:color="auto"/>
              <w:right w:val="single" w:sz="4" w:space="0" w:color="auto"/>
            </w:tcBorders>
            <w:vAlign w:val="center"/>
            <w:hideMark/>
          </w:tcPr>
          <w:p w14:paraId="3983CE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5028345000</w:t>
            </w:r>
          </w:p>
        </w:tc>
        <w:tc>
          <w:tcPr>
            <w:tcW w:w="1012" w:type="dxa"/>
            <w:tcBorders>
              <w:top w:val="nil"/>
              <w:left w:val="nil"/>
              <w:bottom w:val="single" w:sz="4" w:space="0" w:color="auto"/>
              <w:right w:val="single" w:sz="4" w:space="0" w:color="auto"/>
            </w:tcBorders>
            <w:vAlign w:val="center"/>
            <w:hideMark/>
          </w:tcPr>
          <w:p w14:paraId="1084B7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92197876</w:t>
            </w:r>
          </w:p>
        </w:tc>
        <w:tc>
          <w:tcPr>
            <w:tcW w:w="5953" w:type="dxa"/>
            <w:tcBorders>
              <w:top w:val="nil"/>
              <w:left w:val="nil"/>
              <w:bottom w:val="single" w:sz="4" w:space="0" w:color="auto"/>
              <w:right w:val="single" w:sz="4" w:space="0" w:color="auto"/>
            </w:tcBorders>
            <w:noWrap/>
            <w:vAlign w:val="center"/>
            <w:hideMark/>
          </w:tcPr>
          <w:p w14:paraId="4E7C5C0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VLADA REPUBLIKE SLOVENIJE PROTOKOL</w:t>
            </w:r>
          </w:p>
        </w:tc>
      </w:tr>
      <w:tr w:rsidR="00F24E18" w14:paraId="7E01BBD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95400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1943</w:t>
            </w:r>
          </w:p>
        </w:tc>
        <w:tc>
          <w:tcPr>
            <w:tcW w:w="1300" w:type="dxa"/>
            <w:tcBorders>
              <w:top w:val="nil"/>
              <w:left w:val="nil"/>
              <w:bottom w:val="single" w:sz="4" w:space="0" w:color="auto"/>
              <w:right w:val="single" w:sz="4" w:space="0" w:color="auto"/>
            </w:tcBorders>
            <w:vAlign w:val="center"/>
            <w:hideMark/>
          </w:tcPr>
          <w:p w14:paraId="46AED6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5022932000</w:t>
            </w:r>
          </w:p>
        </w:tc>
        <w:tc>
          <w:tcPr>
            <w:tcW w:w="1012" w:type="dxa"/>
            <w:tcBorders>
              <w:top w:val="nil"/>
              <w:left w:val="nil"/>
              <w:bottom w:val="single" w:sz="4" w:space="0" w:color="auto"/>
              <w:right w:val="single" w:sz="4" w:space="0" w:color="auto"/>
            </w:tcBorders>
            <w:vAlign w:val="center"/>
            <w:hideMark/>
          </w:tcPr>
          <w:p w14:paraId="3C74DC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97093726</w:t>
            </w:r>
          </w:p>
        </w:tc>
        <w:tc>
          <w:tcPr>
            <w:tcW w:w="5953" w:type="dxa"/>
            <w:tcBorders>
              <w:top w:val="nil"/>
              <w:left w:val="nil"/>
              <w:bottom w:val="single" w:sz="4" w:space="0" w:color="auto"/>
              <w:right w:val="single" w:sz="4" w:space="0" w:color="auto"/>
            </w:tcBorders>
            <w:noWrap/>
            <w:vAlign w:val="center"/>
            <w:hideMark/>
          </w:tcPr>
          <w:p w14:paraId="6A3493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VLADA REPUBLIKE SLOVENIJE STATISTIČNI URAD REPUBLIKE SLOVENIJE</w:t>
            </w:r>
          </w:p>
        </w:tc>
      </w:tr>
      <w:tr w:rsidR="00F24E18" w14:paraId="7B17AE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900C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1944</w:t>
            </w:r>
          </w:p>
        </w:tc>
        <w:tc>
          <w:tcPr>
            <w:tcW w:w="1300" w:type="dxa"/>
            <w:tcBorders>
              <w:top w:val="nil"/>
              <w:left w:val="nil"/>
              <w:bottom w:val="single" w:sz="4" w:space="0" w:color="auto"/>
              <w:right w:val="single" w:sz="4" w:space="0" w:color="auto"/>
            </w:tcBorders>
            <w:vAlign w:val="center"/>
            <w:hideMark/>
          </w:tcPr>
          <w:p w14:paraId="684741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5914540000</w:t>
            </w:r>
          </w:p>
        </w:tc>
        <w:tc>
          <w:tcPr>
            <w:tcW w:w="1012" w:type="dxa"/>
            <w:tcBorders>
              <w:top w:val="nil"/>
              <w:left w:val="nil"/>
              <w:bottom w:val="single" w:sz="4" w:space="0" w:color="auto"/>
              <w:right w:val="single" w:sz="4" w:space="0" w:color="auto"/>
            </w:tcBorders>
            <w:vAlign w:val="center"/>
            <w:hideMark/>
          </w:tcPr>
          <w:p w14:paraId="109E2F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45804109</w:t>
            </w:r>
          </w:p>
        </w:tc>
        <w:tc>
          <w:tcPr>
            <w:tcW w:w="5953" w:type="dxa"/>
            <w:tcBorders>
              <w:top w:val="nil"/>
              <w:left w:val="nil"/>
              <w:bottom w:val="single" w:sz="4" w:space="0" w:color="auto"/>
              <w:right w:val="single" w:sz="4" w:space="0" w:color="auto"/>
            </w:tcBorders>
            <w:noWrap/>
            <w:vAlign w:val="center"/>
            <w:hideMark/>
          </w:tcPr>
          <w:p w14:paraId="1F903A4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 - KANALIZACIJA JAVNO PODJETJE, D.O.O.</w:t>
            </w:r>
          </w:p>
        </w:tc>
      </w:tr>
      <w:tr w:rsidR="00F24E18" w14:paraId="6B35E3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698AF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1945</w:t>
            </w:r>
          </w:p>
        </w:tc>
        <w:tc>
          <w:tcPr>
            <w:tcW w:w="1300" w:type="dxa"/>
            <w:tcBorders>
              <w:top w:val="nil"/>
              <w:left w:val="nil"/>
              <w:bottom w:val="single" w:sz="4" w:space="0" w:color="auto"/>
              <w:right w:val="single" w:sz="4" w:space="0" w:color="auto"/>
            </w:tcBorders>
            <w:vAlign w:val="center"/>
            <w:hideMark/>
          </w:tcPr>
          <w:p w14:paraId="3A969B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1550144000</w:t>
            </w:r>
          </w:p>
        </w:tc>
        <w:tc>
          <w:tcPr>
            <w:tcW w:w="1012" w:type="dxa"/>
            <w:tcBorders>
              <w:top w:val="nil"/>
              <w:left w:val="nil"/>
              <w:bottom w:val="single" w:sz="4" w:space="0" w:color="auto"/>
              <w:right w:val="single" w:sz="4" w:space="0" w:color="auto"/>
            </w:tcBorders>
            <w:vAlign w:val="center"/>
            <w:hideMark/>
          </w:tcPr>
          <w:p w14:paraId="3ECF492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91503027</w:t>
            </w:r>
          </w:p>
        </w:tc>
        <w:tc>
          <w:tcPr>
            <w:tcW w:w="5953" w:type="dxa"/>
            <w:tcBorders>
              <w:top w:val="nil"/>
              <w:left w:val="nil"/>
              <w:bottom w:val="single" w:sz="4" w:space="0" w:color="auto"/>
              <w:right w:val="single" w:sz="4" w:space="0" w:color="auto"/>
            </w:tcBorders>
            <w:noWrap/>
            <w:vAlign w:val="center"/>
            <w:hideMark/>
          </w:tcPr>
          <w:p w14:paraId="313577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VODOVODI IN KANALIZACIJA NOVA GORICA D.D.</w:t>
            </w:r>
          </w:p>
        </w:tc>
      </w:tr>
      <w:tr w:rsidR="00F24E18" w14:paraId="52F7CCD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76F6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1946</w:t>
            </w:r>
          </w:p>
        </w:tc>
        <w:tc>
          <w:tcPr>
            <w:tcW w:w="1300" w:type="dxa"/>
            <w:tcBorders>
              <w:top w:val="nil"/>
              <w:left w:val="nil"/>
              <w:bottom w:val="single" w:sz="4" w:space="0" w:color="auto"/>
              <w:right w:val="single" w:sz="4" w:space="0" w:color="auto"/>
            </w:tcBorders>
            <w:vAlign w:val="center"/>
            <w:hideMark/>
          </w:tcPr>
          <w:p w14:paraId="27EB18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5022754000</w:t>
            </w:r>
          </w:p>
        </w:tc>
        <w:tc>
          <w:tcPr>
            <w:tcW w:w="1012" w:type="dxa"/>
            <w:tcBorders>
              <w:top w:val="nil"/>
              <w:left w:val="nil"/>
              <w:bottom w:val="single" w:sz="4" w:space="0" w:color="auto"/>
              <w:right w:val="single" w:sz="4" w:space="0" w:color="auto"/>
            </w:tcBorders>
            <w:vAlign w:val="center"/>
            <w:hideMark/>
          </w:tcPr>
          <w:p w14:paraId="011592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14966344</w:t>
            </w:r>
          </w:p>
        </w:tc>
        <w:tc>
          <w:tcPr>
            <w:tcW w:w="5953" w:type="dxa"/>
            <w:tcBorders>
              <w:top w:val="nil"/>
              <w:left w:val="nil"/>
              <w:bottom w:val="single" w:sz="4" w:space="0" w:color="auto"/>
              <w:right w:val="single" w:sz="4" w:space="0" w:color="auto"/>
            </w:tcBorders>
            <w:noWrap/>
            <w:vAlign w:val="center"/>
            <w:hideMark/>
          </w:tcPr>
          <w:p w14:paraId="3390BEE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VRHOVNO DRŽAVNO TOŽILSTVO REPUBLIKE SLOVENIJE</w:t>
            </w:r>
          </w:p>
        </w:tc>
      </w:tr>
      <w:tr w:rsidR="00F24E18" w14:paraId="699716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77AA9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1947</w:t>
            </w:r>
          </w:p>
        </w:tc>
        <w:tc>
          <w:tcPr>
            <w:tcW w:w="1300" w:type="dxa"/>
            <w:tcBorders>
              <w:top w:val="nil"/>
              <w:left w:val="nil"/>
              <w:bottom w:val="single" w:sz="4" w:space="0" w:color="auto"/>
              <w:right w:val="single" w:sz="4" w:space="0" w:color="auto"/>
            </w:tcBorders>
            <w:vAlign w:val="center"/>
            <w:hideMark/>
          </w:tcPr>
          <w:p w14:paraId="07D828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5022789000</w:t>
            </w:r>
          </w:p>
        </w:tc>
        <w:tc>
          <w:tcPr>
            <w:tcW w:w="1012" w:type="dxa"/>
            <w:tcBorders>
              <w:top w:val="nil"/>
              <w:left w:val="nil"/>
              <w:bottom w:val="single" w:sz="4" w:space="0" w:color="auto"/>
              <w:right w:val="single" w:sz="4" w:space="0" w:color="auto"/>
            </w:tcBorders>
            <w:vAlign w:val="center"/>
            <w:hideMark/>
          </w:tcPr>
          <w:p w14:paraId="0A977F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79182119</w:t>
            </w:r>
          </w:p>
        </w:tc>
        <w:tc>
          <w:tcPr>
            <w:tcW w:w="5953" w:type="dxa"/>
            <w:tcBorders>
              <w:top w:val="nil"/>
              <w:left w:val="nil"/>
              <w:bottom w:val="single" w:sz="4" w:space="0" w:color="auto"/>
              <w:right w:val="single" w:sz="4" w:space="0" w:color="auto"/>
            </w:tcBorders>
            <w:noWrap/>
            <w:vAlign w:val="center"/>
            <w:hideMark/>
          </w:tcPr>
          <w:p w14:paraId="710F0D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VRHOVNO SODIŠČE REPUBLIKE SLOVENIJE</w:t>
            </w:r>
          </w:p>
        </w:tc>
      </w:tr>
      <w:tr w:rsidR="00F24E18" w14:paraId="67AB6B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504D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1948</w:t>
            </w:r>
          </w:p>
        </w:tc>
        <w:tc>
          <w:tcPr>
            <w:tcW w:w="1300" w:type="dxa"/>
            <w:tcBorders>
              <w:top w:val="nil"/>
              <w:left w:val="nil"/>
              <w:bottom w:val="single" w:sz="4" w:space="0" w:color="auto"/>
              <w:right w:val="single" w:sz="4" w:space="0" w:color="auto"/>
            </w:tcBorders>
            <w:noWrap/>
            <w:vAlign w:val="center"/>
            <w:hideMark/>
          </w:tcPr>
          <w:p w14:paraId="77B6C5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5968224000</w:t>
            </w:r>
          </w:p>
        </w:tc>
        <w:tc>
          <w:tcPr>
            <w:tcW w:w="1012" w:type="dxa"/>
            <w:tcBorders>
              <w:top w:val="nil"/>
              <w:left w:val="nil"/>
              <w:bottom w:val="single" w:sz="4" w:space="0" w:color="auto"/>
              <w:right w:val="single" w:sz="4" w:space="0" w:color="auto"/>
            </w:tcBorders>
            <w:noWrap/>
            <w:vAlign w:val="center"/>
            <w:hideMark/>
          </w:tcPr>
          <w:p w14:paraId="39D32C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74716468</w:t>
            </w:r>
          </w:p>
        </w:tc>
        <w:tc>
          <w:tcPr>
            <w:tcW w:w="5953" w:type="dxa"/>
            <w:tcBorders>
              <w:top w:val="nil"/>
              <w:left w:val="nil"/>
              <w:bottom w:val="single" w:sz="4" w:space="0" w:color="auto"/>
              <w:right w:val="single" w:sz="4" w:space="0" w:color="auto"/>
            </w:tcBorders>
            <w:noWrap/>
            <w:vAlign w:val="center"/>
            <w:hideMark/>
          </w:tcPr>
          <w:p w14:paraId="755C0E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VRTCI OBČINE MORAVSKE TOPLICE</w:t>
            </w:r>
          </w:p>
        </w:tc>
      </w:tr>
      <w:tr w:rsidR="00F24E18" w14:paraId="446FB9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3581F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1949</w:t>
            </w:r>
          </w:p>
        </w:tc>
        <w:tc>
          <w:tcPr>
            <w:tcW w:w="1300" w:type="dxa"/>
            <w:tcBorders>
              <w:top w:val="nil"/>
              <w:left w:val="nil"/>
              <w:bottom w:val="single" w:sz="4" w:space="0" w:color="auto"/>
              <w:right w:val="single" w:sz="4" w:space="0" w:color="auto"/>
            </w:tcBorders>
            <w:noWrap/>
            <w:vAlign w:val="center"/>
            <w:hideMark/>
          </w:tcPr>
          <w:p w14:paraId="3DC706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5055423000</w:t>
            </w:r>
          </w:p>
        </w:tc>
        <w:tc>
          <w:tcPr>
            <w:tcW w:w="1012" w:type="dxa"/>
            <w:tcBorders>
              <w:top w:val="nil"/>
              <w:left w:val="nil"/>
              <w:bottom w:val="single" w:sz="4" w:space="0" w:color="auto"/>
              <w:right w:val="single" w:sz="4" w:space="0" w:color="auto"/>
            </w:tcBorders>
            <w:noWrap/>
            <w:vAlign w:val="center"/>
            <w:hideMark/>
          </w:tcPr>
          <w:p w14:paraId="17579B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38396742</w:t>
            </w:r>
          </w:p>
        </w:tc>
        <w:tc>
          <w:tcPr>
            <w:tcW w:w="5953" w:type="dxa"/>
            <w:tcBorders>
              <w:top w:val="nil"/>
              <w:left w:val="nil"/>
              <w:bottom w:val="single" w:sz="4" w:space="0" w:color="auto"/>
              <w:right w:val="single" w:sz="4" w:space="0" w:color="auto"/>
            </w:tcBorders>
            <w:noWrap/>
            <w:vAlign w:val="center"/>
            <w:hideMark/>
          </w:tcPr>
          <w:p w14:paraId="16EAB0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VRTCI OBČINE ŽALEC</w:t>
            </w:r>
          </w:p>
        </w:tc>
      </w:tr>
      <w:tr w:rsidR="00F24E18" w14:paraId="598D09A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3070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1950</w:t>
            </w:r>
          </w:p>
        </w:tc>
        <w:tc>
          <w:tcPr>
            <w:tcW w:w="1300" w:type="dxa"/>
            <w:tcBorders>
              <w:top w:val="nil"/>
              <w:left w:val="nil"/>
              <w:bottom w:val="single" w:sz="4" w:space="0" w:color="auto"/>
              <w:right w:val="single" w:sz="4" w:space="0" w:color="auto"/>
            </w:tcBorders>
            <w:noWrap/>
            <w:vAlign w:val="center"/>
            <w:hideMark/>
          </w:tcPr>
          <w:p w14:paraId="166963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5055539000</w:t>
            </w:r>
          </w:p>
        </w:tc>
        <w:tc>
          <w:tcPr>
            <w:tcW w:w="1012" w:type="dxa"/>
            <w:tcBorders>
              <w:top w:val="nil"/>
              <w:left w:val="nil"/>
              <w:bottom w:val="single" w:sz="4" w:space="0" w:color="auto"/>
              <w:right w:val="single" w:sz="4" w:space="0" w:color="auto"/>
            </w:tcBorders>
            <w:noWrap/>
            <w:vAlign w:val="center"/>
            <w:hideMark/>
          </w:tcPr>
          <w:p w14:paraId="6426AD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72213558</w:t>
            </w:r>
          </w:p>
        </w:tc>
        <w:tc>
          <w:tcPr>
            <w:tcW w:w="5953" w:type="dxa"/>
            <w:tcBorders>
              <w:top w:val="nil"/>
              <w:left w:val="nil"/>
              <w:bottom w:val="single" w:sz="4" w:space="0" w:color="auto"/>
              <w:right w:val="single" w:sz="4" w:space="0" w:color="auto"/>
            </w:tcBorders>
            <w:noWrap/>
            <w:vAlign w:val="center"/>
            <w:hideMark/>
          </w:tcPr>
          <w:p w14:paraId="3AE0B5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ANICE ČERNEJEVE</w:t>
            </w:r>
          </w:p>
        </w:tc>
      </w:tr>
      <w:tr w:rsidR="00F24E18" w14:paraId="222BBCA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B85C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1951</w:t>
            </w:r>
          </w:p>
        </w:tc>
        <w:tc>
          <w:tcPr>
            <w:tcW w:w="1300" w:type="dxa"/>
            <w:tcBorders>
              <w:top w:val="nil"/>
              <w:left w:val="nil"/>
              <w:bottom w:val="single" w:sz="4" w:space="0" w:color="auto"/>
              <w:right w:val="single" w:sz="4" w:space="0" w:color="auto"/>
            </w:tcBorders>
            <w:vAlign w:val="center"/>
            <w:hideMark/>
          </w:tcPr>
          <w:p w14:paraId="45C19E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5050952000</w:t>
            </w:r>
          </w:p>
        </w:tc>
        <w:tc>
          <w:tcPr>
            <w:tcW w:w="1012" w:type="dxa"/>
            <w:tcBorders>
              <w:top w:val="nil"/>
              <w:left w:val="nil"/>
              <w:bottom w:val="single" w:sz="4" w:space="0" w:color="auto"/>
              <w:right w:val="single" w:sz="4" w:space="0" w:color="auto"/>
            </w:tcBorders>
            <w:vAlign w:val="center"/>
            <w:hideMark/>
          </w:tcPr>
          <w:p w14:paraId="2FFC95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19727615</w:t>
            </w:r>
          </w:p>
        </w:tc>
        <w:tc>
          <w:tcPr>
            <w:tcW w:w="5953" w:type="dxa"/>
            <w:tcBorders>
              <w:top w:val="nil"/>
              <w:left w:val="nil"/>
              <w:bottom w:val="single" w:sz="4" w:space="0" w:color="auto"/>
              <w:right w:val="single" w:sz="4" w:space="0" w:color="auto"/>
            </w:tcBorders>
            <w:noWrap/>
            <w:vAlign w:val="center"/>
            <w:hideMark/>
          </w:tcPr>
          <w:p w14:paraId="08077B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ANTONA MEDVEDA KAMNIK</w:t>
            </w:r>
          </w:p>
        </w:tc>
      </w:tr>
      <w:tr w:rsidR="00F24E18" w14:paraId="2C0A926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F1FB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1952</w:t>
            </w:r>
          </w:p>
        </w:tc>
        <w:tc>
          <w:tcPr>
            <w:tcW w:w="1300" w:type="dxa"/>
            <w:tcBorders>
              <w:top w:val="nil"/>
              <w:left w:val="nil"/>
              <w:bottom w:val="single" w:sz="4" w:space="0" w:color="auto"/>
              <w:right w:val="single" w:sz="4" w:space="0" w:color="auto"/>
            </w:tcBorders>
            <w:noWrap/>
            <w:vAlign w:val="center"/>
            <w:hideMark/>
          </w:tcPr>
          <w:p w14:paraId="185143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1122657000</w:t>
            </w:r>
          </w:p>
        </w:tc>
        <w:tc>
          <w:tcPr>
            <w:tcW w:w="1012" w:type="dxa"/>
            <w:tcBorders>
              <w:top w:val="nil"/>
              <w:left w:val="nil"/>
              <w:bottom w:val="single" w:sz="4" w:space="0" w:color="auto"/>
              <w:right w:val="single" w:sz="4" w:space="0" w:color="auto"/>
            </w:tcBorders>
            <w:noWrap/>
            <w:vAlign w:val="center"/>
            <w:hideMark/>
          </w:tcPr>
          <w:p w14:paraId="00902C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47292067</w:t>
            </w:r>
          </w:p>
        </w:tc>
        <w:tc>
          <w:tcPr>
            <w:tcW w:w="5953" w:type="dxa"/>
            <w:tcBorders>
              <w:top w:val="nil"/>
              <w:left w:val="nil"/>
              <w:bottom w:val="single" w:sz="4" w:space="0" w:color="auto"/>
              <w:right w:val="single" w:sz="4" w:space="0" w:color="auto"/>
            </w:tcBorders>
            <w:noWrap/>
            <w:vAlign w:val="center"/>
            <w:hideMark/>
          </w:tcPr>
          <w:p w14:paraId="360D01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BELTINCI</w:t>
            </w:r>
          </w:p>
        </w:tc>
      </w:tr>
      <w:tr w:rsidR="00F24E18" w14:paraId="6A69C56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C9F4D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1953</w:t>
            </w:r>
          </w:p>
        </w:tc>
        <w:tc>
          <w:tcPr>
            <w:tcW w:w="1300" w:type="dxa"/>
            <w:tcBorders>
              <w:top w:val="nil"/>
              <w:left w:val="nil"/>
              <w:bottom w:val="single" w:sz="4" w:space="0" w:color="auto"/>
              <w:right w:val="single" w:sz="4" w:space="0" w:color="auto"/>
            </w:tcBorders>
            <w:vAlign w:val="center"/>
            <w:hideMark/>
          </w:tcPr>
          <w:p w14:paraId="766F66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1226827000</w:t>
            </w:r>
          </w:p>
        </w:tc>
        <w:tc>
          <w:tcPr>
            <w:tcW w:w="1012" w:type="dxa"/>
            <w:tcBorders>
              <w:top w:val="nil"/>
              <w:left w:val="nil"/>
              <w:bottom w:val="single" w:sz="4" w:space="0" w:color="auto"/>
              <w:right w:val="single" w:sz="4" w:space="0" w:color="auto"/>
            </w:tcBorders>
            <w:vAlign w:val="center"/>
            <w:hideMark/>
          </w:tcPr>
          <w:p w14:paraId="2ABB36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71708103</w:t>
            </w:r>
          </w:p>
        </w:tc>
        <w:tc>
          <w:tcPr>
            <w:tcW w:w="5953" w:type="dxa"/>
            <w:tcBorders>
              <w:top w:val="nil"/>
              <w:left w:val="nil"/>
              <w:bottom w:val="single" w:sz="4" w:space="0" w:color="auto"/>
              <w:right w:val="single" w:sz="4" w:space="0" w:color="auto"/>
            </w:tcBorders>
            <w:noWrap/>
            <w:vAlign w:val="center"/>
            <w:hideMark/>
          </w:tcPr>
          <w:p w14:paraId="6B139C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BLED</w:t>
            </w:r>
          </w:p>
        </w:tc>
      </w:tr>
      <w:tr w:rsidR="00F24E18" w14:paraId="7B100BB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C70E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1954</w:t>
            </w:r>
          </w:p>
        </w:tc>
        <w:tc>
          <w:tcPr>
            <w:tcW w:w="1300" w:type="dxa"/>
            <w:tcBorders>
              <w:top w:val="nil"/>
              <w:left w:val="nil"/>
              <w:bottom w:val="single" w:sz="4" w:space="0" w:color="auto"/>
              <w:right w:val="single" w:sz="4" w:space="0" w:color="auto"/>
            </w:tcBorders>
            <w:noWrap/>
            <w:vAlign w:val="center"/>
            <w:hideMark/>
          </w:tcPr>
          <w:p w14:paraId="4D750E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5050308000</w:t>
            </w:r>
          </w:p>
        </w:tc>
        <w:tc>
          <w:tcPr>
            <w:tcW w:w="1012" w:type="dxa"/>
            <w:tcBorders>
              <w:top w:val="nil"/>
              <w:left w:val="nil"/>
              <w:bottom w:val="single" w:sz="4" w:space="0" w:color="auto"/>
              <w:right w:val="single" w:sz="4" w:space="0" w:color="auto"/>
            </w:tcBorders>
            <w:noWrap/>
            <w:vAlign w:val="center"/>
            <w:hideMark/>
          </w:tcPr>
          <w:p w14:paraId="1EACE1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53089758</w:t>
            </w:r>
          </w:p>
        </w:tc>
        <w:tc>
          <w:tcPr>
            <w:tcW w:w="5953" w:type="dxa"/>
            <w:tcBorders>
              <w:top w:val="nil"/>
              <w:left w:val="nil"/>
              <w:bottom w:val="single" w:sz="4" w:space="0" w:color="auto"/>
              <w:right w:val="single" w:sz="4" w:space="0" w:color="auto"/>
            </w:tcBorders>
            <w:noWrap/>
            <w:vAlign w:val="center"/>
            <w:hideMark/>
          </w:tcPr>
          <w:p w14:paraId="69479A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BORISA PEČETA MARIBOR</w:t>
            </w:r>
          </w:p>
        </w:tc>
      </w:tr>
      <w:tr w:rsidR="00F24E18" w14:paraId="076829B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9DF7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1955</w:t>
            </w:r>
          </w:p>
        </w:tc>
        <w:tc>
          <w:tcPr>
            <w:tcW w:w="1300" w:type="dxa"/>
            <w:tcBorders>
              <w:top w:val="nil"/>
              <w:left w:val="nil"/>
              <w:bottom w:val="single" w:sz="4" w:space="0" w:color="auto"/>
              <w:right w:val="single" w:sz="4" w:space="0" w:color="auto"/>
            </w:tcBorders>
            <w:noWrap/>
            <w:vAlign w:val="center"/>
            <w:hideMark/>
          </w:tcPr>
          <w:p w14:paraId="143712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5049962000</w:t>
            </w:r>
          </w:p>
        </w:tc>
        <w:tc>
          <w:tcPr>
            <w:tcW w:w="1012" w:type="dxa"/>
            <w:tcBorders>
              <w:top w:val="nil"/>
              <w:left w:val="nil"/>
              <w:bottom w:val="single" w:sz="4" w:space="0" w:color="auto"/>
              <w:right w:val="single" w:sz="4" w:space="0" w:color="auto"/>
            </w:tcBorders>
            <w:noWrap/>
            <w:vAlign w:val="center"/>
            <w:hideMark/>
          </w:tcPr>
          <w:p w14:paraId="1FC667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17206421</w:t>
            </w:r>
          </w:p>
        </w:tc>
        <w:tc>
          <w:tcPr>
            <w:tcW w:w="5953" w:type="dxa"/>
            <w:tcBorders>
              <w:top w:val="nil"/>
              <w:left w:val="nil"/>
              <w:bottom w:val="single" w:sz="4" w:space="0" w:color="auto"/>
              <w:right w:val="single" w:sz="4" w:space="0" w:color="auto"/>
            </w:tcBorders>
            <w:noWrap/>
            <w:vAlign w:val="center"/>
            <w:hideMark/>
          </w:tcPr>
          <w:p w14:paraId="197A64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CICIBAN</w:t>
            </w:r>
          </w:p>
        </w:tc>
      </w:tr>
      <w:tr w:rsidR="00F24E18" w14:paraId="21F12DA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15D9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1956</w:t>
            </w:r>
          </w:p>
        </w:tc>
        <w:tc>
          <w:tcPr>
            <w:tcW w:w="1300" w:type="dxa"/>
            <w:tcBorders>
              <w:top w:val="nil"/>
              <w:left w:val="nil"/>
              <w:bottom w:val="single" w:sz="4" w:space="0" w:color="auto"/>
              <w:right w:val="single" w:sz="4" w:space="0" w:color="auto"/>
            </w:tcBorders>
            <w:vAlign w:val="center"/>
            <w:hideMark/>
          </w:tcPr>
          <w:p w14:paraId="5B4F8D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5055911000</w:t>
            </w:r>
          </w:p>
        </w:tc>
        <w:tc>
          <w:tcPr>
            <w:tcW w:w="1012" w:type="dxa"/>
            <w:tcBorders>
              <w:top w:val="nil"/>
              <w:left w:val="nil"/>
              <w:bottom w:val="single" w:sz="4" w:space="0" w:color="auto"/>
              <w:right w:val="single" w:sz="4" w:space="0" w:color="auto"/>
            </w:tcBorders>
            <w:vAlign w:val="center"/>
            <w:hideMark/>
          </w:tcPr>
          <w:p w14:paraId="15F00B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43385966</w:t>
            </w:r>
          </w:p>
        </w:tc>
        <w:tc>
          <w:tcPr>
            <w:tcW w:w="5953" w:type="dxa"/>
            <w:tcBorders>
              <w:top w:val="nil"/>
              <w:left w:val="nil"/>
              <w:bottom w:val="single" w:sz="4" w:space="0" w:color="auto"/>
              <w:right w:val="single" w:sz="4" w:space="0" w:color="auto"/>
            </w:tcBorders>
            <w:noWrap/>
            <w:vAlign w:val="center"/>
            <w:hideMark/>
          </w:tcPr>
          <w:p w14:paraId="34FE7C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CICIBAN NOVO MESTO</w:t>
            </w:r>
          </w:p>
        </w:tc>
      </w:tr>
      <w:tr w:rsidR="00F24E18" w14:paraId="36FE9E7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71B61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1957</w:t>
            </w:r>
          </w:p>
        </w:tc>
        <w:tc>
          <w:tcPr>
            <w:tcW w:w="1300" w:type="dxa"/>
            <w:tcBorders>
              <w:top w:val="nil"/>
              <w:left w:val="nil"/>
              <w:bottom w:val="single" w:sz="4" w:space="0" w:color="auto"/>
              <w:right w:val="single" w:sz="4" w:space="0" w:color="auto"/>
            </w:tcBorders>
            <w:vAlign w:val="center"/>
            <w:hideMark/>
          </w:tcPr>
          <w:p w14:paraId="71644A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5055806000</w:t>
            </w:r>
          </w:p>
        </w:tc>
        <w:tc>
          <w:tcPr>
            <w:tcW w:w="1012" w:type="dxa"/>
            <w:tcBorders>
              <w:top w:val="nil"/>
              <w:left w:val="nil"/>
              <w:bottom w:val="single" w:sz="4" w:space="0" w:color="auto"/>
              <w:right w:val="single" w:sz="4" w:space="0" w:color="auto"/>
            </w:tcBorders>
            <w:vAlign w:val="center"/>
            <w:hideMark/>
          </w:tcPr>
          <w:p w14:paraId="2F978E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44269536</w:t>
            </w:r>
          </w:p>
        </w:tc>
        <w:tc>
          <w:tcPr>
            <w:tcW w:w="5953" w:type="dxa"/>
            <w:tcBorders>
              <w:top w:val="nil"/>
              <w:left w:val="nil"/>
              <w:bottom w:val="single" w:sz="4" w:space="0" w:color="auto"/>
              <w:right w:val="single" w:sz="4" w:space="0" w:color="auto"/>
            </w:tcBorders>
            <w:noWrap/>
            <w:vAlign w:val="center"/>
            <w:hideMark/>
          </w:tcPr>
          <w:p w14:paraId="6433EC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CICIBAN SEVNICA</w:t>
            </w:r>
          </w:p>
        </w:tc>
      </w:tr>
      <w:tr w:rsidR="00F24E18" w14:paraId="6877E3E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1124B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1958</w:t>
            </w:r>
          </w:p>
        </w:tc>
        <w:tc>
          <w:tcPr>
            <w:tcW w:w="1300" w:type="dxa"/>
            <w:tcBorders>
              <w:top w:val="nil"/>
              <w:left w:val="nil"/>
              <w:bottom w:val="single" w:sz="4" w:space="0" w:color="auto"/>
              <w:right w:val="single" w:sz="4" w:space="0" w:color="auto"/>
            </w:tcBorders>
            <w:noWrap/>
            <w:vAlign w:val="center"/>
            <w:hideMark/>
          </w:tcPr>
          <w:p w14:paraId="15F186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6228186000</w:t>
            </w:r>
          </w:p>
        </w:tc>
        <w:tc>
          <w:tcPr>
            <w:tcW w:w="1012" w:type="dxa"/>
            <w:tcBorders>
              <w:top w:val="nil"/>
              <w:left w:val="nil"/>
              <w:bottom w:val="single" w:sz="4" w:space="0" w:color="auto"/>
              <w:right w:val="single" w:sz="4" w:space="0" w:color="auto"/>
            </w:tcBorders>
            <w:noWrap/>
            <w:vAlign w:val="center"/>
            <w:hideMark/>
          </w:tcPr>
          <w:p w14:paraId="6DCD56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99604132</w:t>
            </w:r>
          </w:p>
        </w:tc>
        <w:tc>
          <w:tcPr>
            <w:tcW w:w="5953" w:type="dxa"/>
            <w:tcBorders>
              <w:top w:val="nil"/>
              <w:left w:val="nil"/>
              <w:bottom w:val="single" w:sz="4" w:space="0" w:color="auto"/>
              <w:right w:val="single" w:sz="4" w:space="0" w:color="auto"/>
            </w:tcBorders>
            <w:noWrap/>
            <w:vAlign w:val="center"/>
            <w:hideMark/>
          </w:tcPr>
          <w:p w14:paraId="797068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ČEBELICA ŠENTJERNEJ</w:t>
            </w:r>
          </w:p>
        </w:tc>
      </w:tr>
      <w:tr w:rsidR="00F24E18" w14:paraId="5FF09E9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6F38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1959</w:t>
            </w:r>
          </w:p>
        </w:tc>
        <w:tc>
          <w:tcPr>
            <w:tcW w:w="1300" w:type="dxa"/>
            <w:tcBorders>
              <w:top w:val="nil"/>
              <w:left w:val="nil"/>
              <w:bottom w:val="single" w:sz="4" w:space="0" w:color="auto"/>
              <w:right w:val="single" w:sz="4" w:space="0" w:color="auto"/>
            </w:tcBorders>
            <w:noWrap/>
            <w:vAlign w:val="center"/>
            <w:hideMark/>
          </w:tcPr>
          <w:p w14:paraId="77CB5B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5049938000</w:t>
            </w:r>
          </w:p>
        </w:tc>
        <w:tc>
          <w:tcPr>
            <w:tcW w:w="1012" w:type="dxa"/>
            <w:tcBorders>
              <w:top w:val="nil"/>
              <w:left w:val="nil"/>
              <w:bottom w:val="single" w:sz="4" w:space="0" w:color="auto"/>
              <w:right w:val="single" w:sz="4" w:space="0" w:color="auto"/>
            </w:tcBorders>
            <w:noWrap/>
            <w:vAlign w:val="center"/>
            <w:hideMark/>
          </w:tcPr>
          <w:p w14:paraId="4F7E9A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30552001</w:t>
            </w:r>
          </w:p>
        </w:tc>
        <w:tc>
          <w:tcPr>
            <w:tcW w:w="5953" w:type="dxa"/>
            <w:tcBorders>
              <w:top w:val="nil"/>
              <w:left w:val="nil"/>
              <w:bottom w:val="single" w:sz="4" w:space="0" w:color="auto"/>
              <w:right w:val="single" w:sz="4" w:space="0" w:color="auto"/>
            </w:tcBorders>
            <w:noWrap/>
            <w:vAlign w:val="center"/>
            <w:hideMark/>
          </w:tcPr>
          <w:p w14:paraId="46E87C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ČRNUČE</w:t>
            </w:r>
          </w:p>
        </w:tc>
      </w:tr>
      <w:tr w:rsidR="00F24E18" w14:paraId="7A647B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D0000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1960</w:t>
            </w:r>
          </w:p>
        </w:tc>
        <w:tc>
          <w:tcPr>
            <w:tcW w:w="1300" w:type="dxa"/>
            <w:tcBorders>
              <w:top w:val="nil"/>
              <w:left w:val="nil"/>
              <w:bottom w:val="single" w:sz="4" w:space="0" w:color="auto"/>
              <w:right w:val="single" w:sz="4" w:space="0" w:color="auto"/>
            </w:tcBorders>
            <w:vAlign w:val="center"/>
            <w:hideMark/>
          </w:tcPr>
          <w:p w14:paraId="742BE0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5056675000</w:t>
            </w:r>
          </w:p>
        </w:tc>
        <w:tc>
          <w:tcPr>
            <w:tcW w:w="1012" w:type="dxa"/>
            <w:tcBorders>
              <w:top w:val="nil"/>
              <w:left w:val="nil"/>
              <w:bottom w:val="single" w:sz="4" w:space="0" w:color="auto"/>
              <w:right w:val="single" w:sz="4" w:space="0" w:color="auto"/>
            </w:tcBorders>
            <w:vAlign w:val="center"/>
            <w:hideMark/>
          </w:tcPr>
          <w:p w14:paraId="525A71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50500406</w:t>
            </w:r>
          </w:p>
        </w:tc>
        <w:tc>
          <w:tcPr>
            <w:tcW w:w="5953" w:type="dxa"/>
            <w:tcBorders>
              <w:top w:val="nil"/>
              <w:left w:val="nil"/>
              <w:bottom w:val="single" w:sz="4" w:space="0" w:color="auto"/>
              <w:right w:val="single" w:sz="4" w:space="0" w:color="auto"/>
            </w:tcBorders>
            <w:noWrap/>
            <w:vAlign w:val="center"/>
            <w:hideMark/>
          </w:tcPr>
          <w:p w14:paraId="72BA91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DOMŽALE</w:t>
            </w:r>
          </w:p>
        </w:tc>
      </w:tr>
      <w:tr w:rsidR="00F24E18" w14:paraId="5F4C99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DC2F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1961</w:t>
            </w:r>
          </w:p>
        </w:tc>
        <w:tc>
          <w:tcPr>
            <w:tcW w:w="1300" w:type="dxa"/>
            <w:tcBorders>
              <w:top w:val="nil"/>
              <w:left w:val="nil"/>
              <w:bottom w:val="single" w:sz="4" w:space="0" w:color="auto"/>
              <w:right w:val="single" w:sz="4" w:space="0" w:color="auto"/>
            </w:tcBorders>
            <w:noWrap/>
            <w:vAlign w:val="center"/>
            <w:hideMark/>
          </w:tcPr>
          <w:p w14:paraId="490D1C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1942913000</w:t>
            </w:r>
          </w:p>
        </w:tc>
        <w:tc>
          <w:tcPr>
            <w:tcW w:w="1012" w:type="dxa"/>
            <w:tcBorders>
              <w:top w:val="nil"/>
              <w:left w:val="nil"/>
              <w:bottom w:val="single" w:sz="4" w:space="0" w:color="auto"/>
              <w:right w:val="single" w:sz="4" w:space="0" w:color="auto"/>
            </w:tcBorders>
            <w:noWrap/>
            <w:vAlign w:val="center"/>
            <w:hideMark/>
          </w:tcPr>
          <w:p w14:paraId="1706EB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80998232</w:t>
            </w:r>
          </w:p>
        </w:tc>
        <w:tc>
          <w:tcPr>
            <w:tcW w:w="5953" w:type="dxa"/>
            <w:tcBorders>
              <w:top w:val="nil"/>
              <w:left w:val="nil"/>
              <w:bottom w:val="single" w:sz="4" w:space="0" w:color="auto"/>
              <w:right w:val="single" w:sz="4" w:space="0" w:color="auto"/>
            </w:tcBorders>
            <w:noWrap/>
            <w:vAlign w:val="center"/>
            <w:hideMark/>
          </w:tcPr>
          <w:p w14:paraId="7F75A5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DR. FRANCE PREŠEREN</w:t>
            </w:r>
          </w:p>
        </w:tc>
      </w:tr>
      <w:tr w:rsidR="00F24E18" w14:paraId="17736A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A260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1962</w:t>
            </w:r>
          </w:p>
        </w:tc>
        <w:tc>
          <w:tcPr>
            <w:tcW w:w="1300" w:type="dxa"/>
            <w:tcBorders>
              <w:top w:val="nil"/>
              <w:left w:val="nil"/>
              <w:bottom w:val="single" w:sz="4" w:space="0" w:color="auto"/>
              <w:right w:val="single" w:sz="4" w:space="0" w:color="auto"/>
            </w:tcBorders>
            <w:vAlign w:val="center"/>
            <w:hideMark/>
          </w:tcPr>
          <w:p w14:paraId="284C23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5049539000</w:t>
            </w:r>
          </w:p>
        </w:tc>
        <w:tc>
          <w:tcPr>
            <w:tcW w:w="1012" w:type="dxa"/>
            <w:tcBorders>
              <w:top w:val="nil"/>
              <w:left w:val="nil"/>
              <w:bottom w:val="single" w:sz="4" w:space="0" w:color="auto"/>
              <w:right w:val="single" w:sz="4" w:space="0" w:color="auto"/>
            </w:tcBorders>
            <w:vAlign w:val="center"/>
            <w:hideMark/>
          </w:tcPr>
          <w:p w14:paraId="0BE875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88392082</w:t>
            </w:r>
          </w:p>
        </w:tc>
        <w:tc>
          <w:tcPr>
            <w:tcW w:w="5953" w:type="dxa"/>
            <w:tcBorders>
              <w:top w:val="nil"/>
              <w:left w:val="nil"/>
              <w:bottom w:val="single" w:sz="4" w:space="0" w:color="auto"/>
              <w:right w:val="single" w:sz="4" w:space="0" w:color="auto"/>
            </w:tcBorders>
            <w:noWrap/>
            <w:vAlign w:val="center"/>
            <w:hideMark/>
          </w:tcPr>
          <w:p w14:paraId="6FF14F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DRAVOGRAD</w:t>
            </w:r>
          </w:p>
        </w:tc>
      </w:tr>
      <w:tr w:rsidR="00F24E18" w14:paraId="09A3D0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DC32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1963</w:t>
            </w:r>
          </w:p>
        </w:tc>
        <w:tc>
          <w:tcPr>
            <w:tcW w:w="1300" w:type="dxa"/>
            <w:tcBorders>
              <w:top w:val="nil"/>
              <w:left w:val="nil"/>
              <w:bottom w:val="single" w:sz="4" w:space="0" w:color="auto"/>
              <w:right w:val="single" w:sz="4" w:space="0" w:color="auto"/>
            </w:tcBorders>
            <w:vAlign w:val="center"/>
            <w:hideMark/>
          </w:tcPr>
          <w:p w14:paraId="379289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1943332000</w:t>
            </w:r>
          </w:p>
        </w:tc>
        <w:tc>
          <w:tcPr>
            <w:tcW w:w="1012" w:type="dxa"/>
            <w:tcBorders>
              <w:top w:val="nil"/>
              <w:left w:val="nil"/>
              <w:bottom w:val="single" w:sz="4" w:space="0" w:color="auto"/>
              <w:right w:val="single" w:sz="4" w:space="0" w:color="auto"/>
            </w:tcBorders>
            <w:vAlign w:val="center"/>
            <w:hideMark/>
          </w:tcPr>
          <w:p w14:paraId="0BA900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64056732</w:t>
            </w:r>
          </w:p>
        </w:tc>
        <w:tc>
          <w:tcPr>
            <w:tcW w:w="5953" w:type="dxa"/>
            <w:tcBorders>
              <w:top w:val="nil"/>
              <w:left w:val="nil"/>
              <w:bottom w:val="single" w:sz="4" w:space="0" w:color="auto"/>
              <w:right w:val="single" w:sz="4" w:space="0" w:color="auto"/>
            </w:tcBorders>
            <w:noWrap/>
            <w:vAlign w:val="center"/>
            <w:hideMark/>
          </w:tcPr>
          <w:p w14:paraId="6D8104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GALJEVICA</w:t>
            </w:r>
          </w:p>
        </w:tc>
      </w:tr>
      <w:tr w:rsidR="00F24E18" w14:paraId="21E25A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8B25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1964</w:t>
            </w:r>
          </w:p>
        </w:tc>
        <w:tc>
          <w:tcPr>
            <w:tcW w:w="1300" w:type="dxa"/>
            <w:tcBorders>
              <w:top w:val="nil"/>
              <w:left w:val="nil"/>
              <w:bottom w:val="single" w:sz="4" w:space="0" w:color="auto"/>
              <w:right w:val="single" w:sz="4" w:space="0" w:color="auto"/>
            </w:tcBorders>
            <w:vAlign w:val="center"/>
            <w:hideMark/>
          </w:tcPr>
          <w:p w14:paraId="312E10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5057035000</w:t>
            </w:r>
          </w:p>
        </w:tc>
        <w:tc>
          <w:tcPr>
            <w:tcW w:w="1012" w:type="dxa"/>
            <w:tcBorders>
              <w:top w:val="nil"/>
              <w:left w:val="nil"/>
              <w:bottom w:val="single" w:sz="4" w:space="0" w:color="auto"/>
              <w:right w:val="single" w:sz="4" w:space="0" w:color="auto"/>
            </w:tcBorders>
            <w:vAlign w:val="center"/>
            <w:hideMark/>
          </w:tcPr>
          <w:p w14:paraId="4F40FD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32580053</w:t>
            </w:r>
          </w:p>
        </w:tc>
        <w:tc>
          <w:tcPr>
            <w:tcW w:w="5953" w:type="dxa"/>
            <w:tcBorders>
              <w:top w:val="nil"/>
              <w:left w:val="nil"/>
              <w:bottom w:val="single" w:sz="4" w:space="0" w:color="auto"/>
              <w:right w:val="single" w:sz="4" w:space="0" w:color="auto"/>
            </w:tcBorders>
            <w:noWrap/>
            <w:vAlign w:val="center"/>
            <w:hideMark/>
          </w:tcPr>
          <w:p w14:paraId="0B4CF1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HANSA CHRISTIANA ANDERSENA</w:t>
            </w:r>
          </w:p>
        </w:tc>
      </w:tr>
      <w:tr w:rsidR="00F24E18" w14:paraId="0498797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A519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1965</w:t>
            </w:r>
          </w:p>
        </w:tc>
        <w:tc>
          <w:tcPr>
            <w:tcW w:w="1300" w:type="dxa"/>
            <w:tcBorders>
              <w:top w:val="nil"/>
              <w:left w:val="nil"/>
              <w:bottom w:val="single" w:sz="4" w:space="0" w:color="auto"/>
              <w:right w:val="single" w:sz="4" w:space="0" w:color="auto"/>
            </w:tcBorders>
            <w:vAlign w:val="center"/>
            <w:hideMark/>
          </w:tcPr>
          <w:p w14:paraId="6FE0B9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5050936000</w:t>
            </w:r>
          </w:p>
        </w:tc>
        <w:tc>
          <w:tcPr>
            <w:tcW w:w="1012" w:type="dxa"/>
            <w:tcBorders>
              <w:top w:val="nil"/>
              <w:left w:val="nil"/>
              <w:bottom w:val="single" w:sz="4" w:space="0" w:color="auto"/>
              <w:right w:val="single" w:sz="4" w:space="0" w:color="auto"/>
            </w:tcBorders>
            <w:vAlign w:val="center"/>
            <w:hideMark/>
          </w:tcPr>
          <w:p w14:paraId="1B3FB8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26285312</w:t>
            </w:r>
          </w:p>
        </w:tc>
        <w:tc>
          <w:tcPr>
            <w:tcW w:w="5953" w:type="dxa"/>
            <w:tcBorders>
              <w:top w:val="nil"/>
              <w:left w:val="nil"/>
              <w:bottom w:val="single" w:sz="4" w:space="0" w:color="auto"/>
              <w:right w:val="single" w:sz="4" w:space="0" w:color="auto"/>
            </w:tcBorders>
            <w:noWrap/>
            <w:vAlign w:val="center"/>
            <w:hideMark/>
          </w:tcPr>
          <w:p w14:paraId="76A074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HRASTNIK</w:t>
            </w:r>
          </w:p>
        </w:tc>
      </w:tr>
      <w:tr w:rsidR="00F24E18" w14:paraId="0A981D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77B4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1966</w:t>
            </w:r>
          </w:p>
        </w:tc>
        <w:tc>
          <w:tcPr>
            <w:tcW w:w="1300" w:type="dxa"/>
            <w:tcBorders>
              <w:top w:val="nil"/>
              <w:left w:val="nil"/>
              <w:bottom w:val="single" w:sz="4" w:space="0" w:color="auto"/>
              <w:right w:val="single" w:sz="4" w:space="0" w:color="auto"/>
            </w:tcBorders>
            <w:vAlign w:val="center"/>
            <w:hideMark/>
          </w:tcPr>
          <w:p w14:paraId="5363B5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5050944000</w:t>
            </w:r>
          </w:p>
        </w:tc>
        <w:tc>
          <w:tcPr>
            <w:tcW w:w="1012" w:type="dxa"/>
            <w:tcBorders>
              <w:top w:val="nil"/>
              <w:left w:val="nil"/>
              <w:bottom w:val="single" w:sz="4" w:space="0" w:color="auto"/>
              <w:right w:val="single" w:sz="4" w:space="0" w:color="auto"/>
            </w:tcBorders>
            <w:vAlign w:val="center"/>
            <w:hideMark/>
          </w:tcPr>
          <w:p w14:paraId="332456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18831001</w:t>
            </w:r>
          </w:p>
        </w:tc>
        <w:tc>
          <w:tcPr>
            <w:tcW w:w="5953" w:type="dxa"/>
            <w:tcBorders>
              <w:top w:val="nil"/>
              <w:left w:val="nil"/>
              <w:bottom w:val="single" w:sz="4" w:space="0" w:color="auto"/>
              <w:right w:val="single" w:sz="4" w:space="0" w:color="auto"/>
            </w:tcBorders>
            <w:noWrap/>
            <w:vAlign w:val="center"/>
            <w:hideMark/>
          </w:tcPr>
          <w:p w14:paraId="140478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IDRIJA</w:t>
            </w:r>
          </w:p>
        </w:tc>
      </w:tr>
      <w:tr w:rsidR="00F24E18" w14:paraId="521993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B2D4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1967</w:t>
            </w:r>
          </w:p>
        </w:tc>
        <w:tc>
          <w:tcPr>
            <w:tcW w:w="1300" w:type="dxa"/>
            <w:tcBorders>
              <w:top w:val="nil"/>
              <w:left w:val="nil"/>
              <w:bottom w:val="single" w:sz="4" w:space="0" w:color="auto"/>
              <w:right w:val="single" w:sz="4" w:space="0" w:color="auto"/>
            </w:tcBorders>
            <w:vAlign w:val="center"/>
            <w:hideMark/>
          </w:tcPr>
          <w:p w14:paraId="4F87C0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1123823000</w:t>
            </w:r>
          </w:p>
        </w:tc>
        <w:tc>
          <w:tcPr>
            <w:tcW w:w="1012" w:type="dxa"/>
            <w:tcBorders>
              <w:top w:val="nil"/>
              <w:left w:val="nil"/>
              <w:bottom w:val="single" w:sz="4" w:space="0" w:color="auto"/>
              <w:right w:val="single" w:sz="4" w:space="0" w:color="auto"/>
            </w:tcBorders>
            <w:vAlign w:val="center"/>
            <w:hideMark/>
          </w:tcPr>
          <w:p w14:paraId="26030E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71573399</w:t>
            </w:r>
          </w:p>
        </w:tc>
        <w:tc>
          <w:tcPr>
            <w:tcW w:w="5953" w:type="dxa"/>
            <w:tcBorders>
              <w:top w:val="nil"/>
              <w:left w:val="nil"/>
              <w:bottom w:val="single" w:sz="4" w:space="0" w:color="auto"/>
              <w:right w:val="single" w:sz="4" w:space="0" w:color="auto"/>
            </w:tcBorders>
            <w:noWrap/>
            <w:vAlign w:val="center"/>
            <w:hideMark/>
          </w:tcPr>
          <w:p w14:paraId="5E49D9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IG</w:t>
            </w:r>
          </w:p>
        </w:tc>
      </w:tr>
      <w:tr w:rsidR="00F24E18" w14:paraId="38EEC1A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4DE0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1968</w:t>
            </w:r>
          </w:p>
        </w:tc>
        <w:tc>
          <w:tcPr>
            <w:tcW w:w="1300" w:type="dxa"/>
            <w:tcBorders>
              <w:top w:val="nil"/>
              <w:left w:val="nil"/>
              <w:bottom w:val="single" w:sz="4" w:space="0" w:color="auto"/>
              <w:right w:val="single" w:sz="4" w:space="0" w:color="auto"/>
            </w:tcBorders>
            <w:noWrap/>
            <w:vAlign w:val="center"/>
            <w:hideMark/>
          </w:tcPr>
          <w:p w14:paraId="58AED3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5050413000</w:t>
            </w:r>
          </w:p>
        </w:tc>
        <w:tc>
          <w:tcPr>
            <w:tcW w:w="1012" w:type="dxa"/>
            <w:tcBorders>
              <w:top w:val="nil"/>
              <w:left w:val="nil"/>
              <w:bottom w:val="single" w:sz="4" w:space="0" w:color="auto"/>
              <w:right w:val="single" w:sz="4" w:space="0" w:color="auto"/>
            </w:tcBorders>
            <w:noWrap/>
            <w:vAlign w:val="center"/>
            <w:hideMark/>
          </w:tcPr>
          <w:p w14:paraId="45EA63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82775214</w:t>
            </w:r>
          </w:p>
        </w:tc>
        <w:tc>
          <w:tcPr>
            <w:tcW w:w="5953" w:type="dxa"/>
            <w:tcBorders>
              <w:top w:val="nil"/>
              <w:left w:val="nil"/>
              <w:bottom w:val="single" w:sz="4" w:space="0" w:color="auto"/>
              <w:right w:val="single" w:sz="4" w:space="0" w:color="auto"/>
            </w:tcBorders>
            <w:noWrap/>
            <w:vAlign w:val="center"/>
            <w:hideMark/>
          </w:tcPr>
          <w:p w14:paraId="4BF2B3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IVANA GLINŠKA MARIBOR</w:t>
            </w:r>
          </w:p>
        </w:tc>
      </w:tr>
      <w:tr w:rsidR="00F24E18" w14:paraId="2576FD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8802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1969</w:t>
            </w:r>
          </w:p>
        </w:tc>
        <w:tc>
          <w:tcPr>
            <w:tcW w:w="1300" w:type="dxa"/>
            <w:tcBorders>
              <w:top w:val="nil"/>
              <w:left w:val="nil"/>
              <w:bottom w:val="single" w:sz="4" w:space="0" w:color="auto"/>
              <w:right w:val="single" w:sz="4" w:space="0" w:color="auto"/>
            </w:tcBorders>
            <w:vAlign w:val="center"/>
            <w:hideMark/>
          </w:tcPr>
          <w:p w14:paraId="0EE70C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1125559000</w:t>
            </w:r>
          </w:p>
        </w:tc>
        <w:tc>
          <w:tcPr>
            <w:tcW w:w="1012" w:type="dxa"/>
            <w:tcBorders>
              <w:top w:val="nil"/>
              <w:left w:val="nil"/>
              <w:bottom w:val="single" w:sz="4" w:space="0" w:color="auto"/>
              <w:right w:val="single" w:sz="4" w:space="0" w:color="auto"/>
            </w:tcBorders>
            <w:vAlign w:val="center"/>
            <w:hideMark/>
          </w:tcPr>
          <w:p w14:paraId="50D5C3F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94144583</w:t>
            </w:r>
          </w:p>
        </w:tc>
        <w:tc>
          <w:tcPr>
            <w:tcW w:w="5953" w:type="dxa"/>
            <w:tcBorders>
              <w:top w:val="nil"/>
              <w:left w:val="nil"/>
              <w:bottom w:val="single" w:sz="4" w:space="0" w:color="auto"/>
              <w:right w:val="single" w:sz="4" w:space="0" w:color="auto"/>
            </w:tcBorders>
            <w:noWrap/>
            <w:vAlign w:val="center"/>
            <w:hideMark/>
          </w:tcPr>
          <w:p w14:paraId="33CB9D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IVANČNA GORICA</w:t>
            </w:r>
          </w:p>
        </w:tc>
      </w:tr>
      <w:tr w:rsidR="00F24E18" w14:paraId="32CD9BD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F232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1970</w:t>
            </w:r>
          </w:p>
        </w:tc>
        <w:tc>
          <w:tcPr>
            <w:tcW w:w="1300" w:type="dxa"/>
            <w:tcBorders>
              <w:top w:val="nil"/>
              <w:left w:val="nil"/>
              <w:bottom w:val="single" w:sz="4" w:space="0" w:color="auto"/>
              <w:right w:val="single" w:sz="4" w:space="0" w:color="auto"/>
            </w:tcBorders>
            <w:noWrap/>
            <w:vAlign w:val="center"/>
            <w:hideMark/>
          </w:tcPr>
          <w:p w14:paraId="468935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5050430000</w:t>
            </w:r>
          </w:p>
        </w:tc>
        <w:tc>
          <w:tcPr>
            <w:tcW w:w="1012" w:type="dxa"/>
            <w:tcBorders>
              <w:top w:val="nil"/>
              <w:left w:val="nil"/>
              <w:bottom w:val="single" w:sz="4" w:space="0" w:color="auto"/>
              <w:right w:val="single" w:sz="4" w:space="0" w:color="auto"/>
            </w:tcBorders>
            <w:noWrap/>
            <w:vAlign w:val="center"/>
            <w:hideMark/>
          </w:tcPr>
          <w:p w14:paraId="18CB66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61694797</w:t>
            </w:r>
          </w:p>
        </w:tc>
        <w:tc>
          <w:tcPr>
            <w:tcW w:w="5953" w:type="dxa"/>
            <w:tcBorders>
              <w:top w:val="nil"/>
              <w:left w:val="nil"/>
              <w:bottom w:val="single" w:sz="4" w:space="0" w:color="auto"/>
              <w:right w:val="single" w:sz="4" w:space="0" w:color="auto"/>
            </w:tcBorders>
            <w:noWrap/>
            <w:vAlign w:val="center"/>
            <w:hideMark/>
          </w:tcPr>
          <w:p w14:paraId="4E266A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JADVIGE GOLEŽ MARIBOR</w:t>
            </w:r>
          </w:p>
        </w:tc>
      </w:tr>
      <w:tr w:rsidR="00F24E18" w14:paraId="0B2C34A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4E10C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1971</w:t>
            </w:r>
          </w:p>
        </w:tc>
        <w:tc>
          <w:tcPr>
            <w:tcW w:w="1300" w:type="dxa"/>
            <w:tcBorders>
              <w:top w:val="nil"/>
              <w:left w:val="nil"/>
              <w:bottom w:val="single" w:sz="4" w:space="0" w:color="auto"/>
              <w:right w:val="single" w:sz="4" w:space="0" w:color="auto"/>
            </w:tcBorders>
            <w:noWrap/>
            <w:vAlign w:val="center"/>
            <w:hideMark/>
          </w:tcPr>
          <w:p w14:paraId="18AD6D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5050146000</w:t>
            </w:r>
          </w:p>
        </w:tc>
        <w:tc>
          <w:tcPr>
            <w:tcW w:w="1012" w:type="dxa"/>
            <w:tcBorders>
              <w:top w:val="nil"/>
              <w:left w:val="nil"/>
              <w:bottom w:val="single" w:sz="4" w:space="0" w:color="auto"/>
              <w:right w:val="single" w:sz="4" w:space="0" w:color="auto"/>
            </w:tcBorders>
            <w:noWrap/>
            <w:vAlign w:val="center"/>
            <w:hideMark/>
          </w:tcPr>
          <w:p w14:paraId="5046F8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74027654</w:t>
            </w:r>
          </w:p>
        </w:tc>
        <w:tc>
          <w:tcPr>
            <w:tcW w:w="5953" w:type="dxa"/>
            <w:tcBorders>
              <w:top w:val="nil"/>
              <w:left w:val="nil"/>
              <w:bottom w:val="single" w:sz="4" w:space="0" w:color="auto"/>
              <w:right w:val="single" w:sz="4" w:space="0" w:color="auto"/>
            </w:tcBorders>
            <w:noWrap/>
            <w:vAlign w:val="center"/>
            <w:hideMark/>
          </w:tcPr>
          <w:p w14:paraId="4DB3F0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JARŠE</w:t>
            </w:r>
          </w:p>
        </w:tc>
      </w:tr>
      <w:tr w:rsidR="00F24E18" w14:paraId="432A400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9EC2F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1972</w:t>
            </w:r>
          </w:p>
        </w:tc>
        <w:tc>
          <w:tcPr>
            <w:tcW w:w="1300" w:type="dxa"/>
            <w:tcBorders>
              <w:top w:val="nil"/>
              <w:left w:val="nil"/>
              <w:bottom w:val="single" w:sz="4" w:space="0" w:color="auto"/>
              <w:right w:val="single" w:sz="4" w:space="0" w:color="auto"/>
            </w:tcBorders>
            <w:noWrap/>
            <w:vAlign w:val="center"/>
            <w:hideMark/>
          </w:tcPr>
          <w:p w14:paraId="34EEC1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5049946000</w:t>
            </w:r>
          </w:p>
        </w:tc>
        <w:tc>
          <w:tcPr>
            <w:tcW w:w="1012" w:type="dxa"/>
            <w:tcBorders>
              <w:top w:val="nil"/>
              <w:left w:val="nil"/>
              <w:bottom w:val="single" w:sz="4" w:space="0" w:color="auto"/>
              <w:right w:val="single" w:sz="4" w:space="0" w:color="auto"/>
            </w:tcBorders>
            <w:noWrap/>
            <w:vAlign w:val="center"/>
            <w:hideMark/>
          </w:tcPr>
          <w:p w14:paraId="468B56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39675335</w:t>
            </w:r>
          </w:p>
        </w:tc>
        <w:tc>
          <w:tcPr>
            <w:tcW w:w="5953" w:type="dxa"/>
            <w:tcBorders>
              <w:top w:val="nil"/>
              <w:left w:val="nil"/>
              <w:bottom w:val="single" w:sz="4" w:space="0" w:color="auto"/>
              <w:right w:val="single" w:sz="4" w:space="0" w:color="auto"/>
            </w:tcBorders>
            <w:noWrap/>
            <w:vAlign w:val="center"/>
            <w:hideMark/>
          </w:tcPr>
          <w:p w14:paraId="6A726F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JELKA</w:t>
            </w:r>
          </w:p>
        </w:tc>
      </w:tr>
      <w:tr w:rsidR="00F24E18" w14:paraId="215530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E64D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1973</w:t>
            </w:r>
          </w:p>
        </w:tc>
        <w:tc>
          <w:tcPr>
            <w:tcW w:w="1300" w:type="dxa"/>
            <w:tcBorders>
              <w:top w:val="nil"/>
              <w:left w:val="nil"/>
              <w:bottom w:val="single" w:sz="4" w:space="0" w:color="auto"/>
              <w:right w:val="single" w:sz="4" w:space="0" w:color="auto"/>
            </w:tcBorders>
            <w:noWrap/>
            <w:vAlign w:val="center"/>
            <w:hideMark/>
          </w:tcPr>
          <w:p w14:paraId="0C2B26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5719135000</w:t>
            </w:r>
          </w:p>
        </w:tc>
        <w:tc>
          <w:tcPr>
            <w:tcW w:w="1012" w:type="dxa"/>
            <w:tcBorders>
              <w:top w:val="nil"/>
              <w:left w:val="nil"/>
              <w:bottom w:val="single" w:sz="4" w:space="0" w:color="auto"/>
              <w:right w:val="single" w:sz="4" w:space="0" w:color="auto"/>
            </w:tcBorders>
            <w:noWrap/>
            <w:vAlign w:val="center"/>
            <w:hideMark/>
          </w:tcPr>
          <w:p w14:paraId="6E64E8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43475809</w:t>
            </w:r>
          </w:p>
        </w:tc>
        <w:tc>
          <w:tcPr>
            <w:tcW w:w="5953" w:type="dxa"/>
            <w:tcBorders>
              <w:top w:val="nil"/>
              <w:left w:val="nil"/>
              <w:bottom w:val="single" w:sz="4" w:space="0" w:color="auto"/>
              <w:right w:val="single" w:sz="4" w:space="0" w:color="auto"/>
            </w:tcBorders>
            <w:noWrap/>
            <w:vAlign w:val="center"/>
            <w:hideMark/>
          </w:tcPr>
          <w:p w14:paraId="30434F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JESENICE</w:t>
            </w:r>
          </w:p>
        </w:tc>
      </w:tr>
      <w:tr w:rsidR="00F24E18" w14:paraId="03D5FF3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C21AB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1974</w:t>
            </w:r>
          </w:p>
        </w:tc>
        <w:tc>
          <w:tcPr>
            <w:tcW w:w="1300" w:type="dxa"/>
            <w:tcBorders>
              <w:top w:val="nil"/>
              <w:left w:val="nil"/>
              <w:bottom w:val="single" w:sz="4" w:space="0" w:color="auto"/>
              <w:right w:val="single" w:sz="4" w:space="0" w:color="auto"/>
            </w:tcBorders>
            <w:noWrap/>
            <w:vAlign w:val="center"/>
            <w:hideMark/>
          </w:tcPr>
          <w:p w14:paraId="12C9D1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3792480000</w:t>
            </w:r>
          </w:p>
        </w:tc>
        <w:tc>
          <w:tcPr>
            <w:tcW w:w="1012" w:type="dxa"/>
            <w:tcBorders>
              <w:top w:val="nil"/>
              <w:left w:val="nil"/>
              <w:bottom w:val="single" w:sz="4" w:space="0" w:color="auto"/>
              <w:right w:val="single" w:sz="4" w:space="0" w:color="auto"/>
            </w:tcBorders>
            <w:noWrap/>
            <w:vAlign w:val="center"/>
            <w:hideMark/>
          </w:tcPr>
          <w:p w14:paraId="6387A9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38671492</w:t>
            </w:r>
          </w:p>
        </w:tc>
        <w:tc>
          <w:tcPr>
            <w:tcW w:w="5953" w:type="dxa"/>
            <w:tcBorders>
              <w:top w:val="nil"/>
              <w:left w:val="nil"/>
              <w:bottom w:val="single" w:sz="4" w:space="0" w:color="auto"/>
              <w:right w:val="single" w:sz="4" w:space="0" w:color="auto"/>
            </w:tcBorders>
            <w:noWrap/>
            <w:vAlign w:val="center"/>
            <w:hideMark/>
          </w:tcPr>
          <w:p w14:paraId="668127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JOŽEFE MASLO ILIRSKA BISTRICA</w:t>
            </w:r>
          </w:p>
        </w:tc>
      </w:tr>
      <w:tr w:rsidR="00F24E18" w14:paraId="7E7F84F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3ACE2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1975</w:t>
            </w:r>
          </w:p>
        </w:tc>
        <w:tc>
          <w:tcPr>
            <w:tcW w:w="1300" w:type="dxa"/>
            <w:tcBorders>
              <w:top w:val="nil"/>
              <w:left w:val="nil"/>
              <w:bottom w:val="single" w:sz="4" w:space="0" w:color="auto"/>
              <w:right w:val="single" w:sz="4" w:space="0" w:color="auto"/>
            </w:tcBorders>
            <w:noWrap/>
            <w:vAlign w:val="center"/>
            <w:hideMark/>
          </w:tcPr>
          <w:p w14:paraId="5A7597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5051266000</w:t>
            </w:r>
          </w:p>
        </w:tc>
        <w:tc>
          <w:tcPr>
            <w:tcW w:w="1012" w:type="dxa"/>
            <w:tcBorders>
              <w:top w:val="nil"/>
              <w:left w:val="nil"/>
              <w:bottom w:val="single" w:sz="4" w:space="0" w:color="auto"/>
              <w:right w:val="single" w:sz="4" w:space="0" w:color="auto"/>
            </w:tcBorders>
            <w:noWrap/>
            <w:vAlign w:val="center"/>
            <w:hideMark/>
          </w:tcPr>
          <w:p w14:paraId="6C48AC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73536130</w:t>
            </w:r>
          </w:p>
        </w:tc>
        <w:tc>
          <w:tcPr>
            <w:tcW w:w="5953" w:type="dxa"/>
            <w:tcBorders>
              <w:top w:val="nil"/>
              <w:left w:val="nil"/>
              <w:bottom w:val="single" w:sz="4" w:space="0" w:color="auto"/>
              <w:right w:val="single" w:sz="4" w:space="0" w:color="auto"/>
            </w:tcBorders>
            <w:noWrap/>
            <w:vAlign w:val="center"/>
            <w:hideMark/>
          </w:tcPr>
          <w:p w14:paraId="3AFC5C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JOŽICE FLANDER MARIBOR</w:t>
            </w:r>
          </w:p>
        </w:tc>
      </w:tr>
      <w:tr w:rsidR="00F24E18" w14:paraId="191D02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1D20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1976</w:t>
            </w:r>
          </w:p>
        </w:tc>
        <w:tc>
          <w:tcPr>
            <w:tcW w:w="1300" w:type="dxa"/>
            <w:tcBorders>
              <w:top w:val="nil"/>
              <w:left w:val="nil"/>
              <w:bottom w:val="single" w:sz="4" w:space="0" w:color="auto"/>
              <w:right w:val="single" w:sz="4" w:space="0" w:color="auto"/>
            </w:tcBorders>
            <w:noWrap/>
            <w:vAlign w:val="center"/>
            <w:hideMark/>
          </w:tcPr>
          <w:p w14:paraId="616238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1943219000</w:t>
            </w:r>
          </w:p>
        </w:tc>
        <w:tc>
          <w:tcPr>
            <w:tcW w:w="1012" w:type="dxa"/>
            <w:tcBorders>
              <w:top w:val="nil"/>
              <w:left w:val="nil"/>
              <w:bottom w:val="single" w:sz="4" w:space="0" w:color="auto"/>
              <w:right w:val="single" w:sz="4" w:space="0" w:color="auto"/>
            </w:tcBorders>
            <w:noWrap/>
            <w:vAlign w:val="center"/>
            <w:hideMark/>
          </w:tcPr>
          <w:p w14:paraId="101CB5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11760290</w:t>
            </w:r>
          </w:p>
        </w:tc>
        <w:tc>
          <w:tcPr>
            <w:tcW w:w="5953" w:type="dxa"/>
            <w:tcBorders>
              <w:top w:val="nil"/>
              <w:left w:val="nil"/>
              <w:bottom w:val="single" w:sz="4" w:space="0" w:color="auto"/>
              <w:right w:val="single" w:sz="4" w:space="0" w:color="auto"/>
            </w:tcBorders>
            <w:noWrap/>
            <w:vAlign w:val="center"/>
            <w:hideMark/>
          </w:tcPr>
          <w:p w14:paraId="38791B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KOLEZIJA</w:t>
            </w:r>
          </w:p>
        </w:tc>
      </w:tr>
      <w:tr w:rsidR="00F24E18" w14:paraId="362024E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F6D3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1977</w:t>
            </w:r>
          </w:p>
        </w:tc>
        <w:tc>
          <w:tcPr>
            <w:tcW w:w="1300" w:type="dxa"/>
            <w:tcBorders>
              <w:top w:val="nil"/>
              <w:left w:val="nil"/>
              <w:bottom w:val="single" w:sz="4" w:space="0" w:color="auto"/>
              <w:right w:val="single" w:sz="4" w:space="0" w:color="auto"/>
            </w:tcBorders>
            <w:noWrap/>
            <w:vAlign w:val="center"/>
            <w:hideMark/>
          </w:tcPr>
          <w:p w14:paraId="000F5E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5114055000</w:t>
            </w:r>
          </w:p>
        </w:tc>
        <w:tc>
          <w:tcPr>
            <w:tcW w:w="1012" w:type="dxa"/>
            <w:tcBorders>
              <w:top w:val="nil"/>
              <w:left w:val="nil"/>
              <w:bottom w:val="single" w:sz="4" w:space="0" w:color="auto"/>
              <w:right w:val="single" w:sz="4" w:space="0" w:color="auto"/>
            </w:tcBorders>
            <w:noWrap/>
            <w:vAlign w:val="center"/>
            <w:hideMark/>
          </w:tcPr>
          <w:p w14:paraId="68A56A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92607870</w:t>
            </w:r>
          </w:p>
        </w:tc>
        <w:tc>
          <w:tcPr>
            <w:tcW w:w="5953" w:type="dxa"/>
            <w:tcBorders>
              <w:top w:val="nil"/>
              <w:left w:val="nil"/>
              <w:bottom w:val="single" w:sz="4" w:space="0" w:color="auto"/>
              <w:right w:val="single" w:sz="4" w:space="0" w:color="auto"/>
            </w:tcBorders>
            <w:noWrap/>
            <w:vAlign w:val="center"/>
            <w:hideMark/>
          </w:tcPr>
          <w:p w14:paraId="2CE3B1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KRŠKO</w:t>
            </w:r>
          </w:p>
        </w:tc>
      </w:tr>
      <w:tr w:rsidR="00F24E18" w14:paraId="6D5481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3382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1978</w:t>
            </w:r>
          </w:p>
        </w:tc>
        <w:tc>
          <w:tcPr>
            <w:tcW w:w="1300" w:type="dxa"/>
            <w:tcBorders>
              <w:top w:val="nil"/>
              <w:left w:val="nil"/>
              <w:bottom w:val="single" w:sz="4" w:space="0" w:color="auto"/>
              <w:right w:val="single" w:sz="4" w:space="0" w:color="auto"/>
            </w:tcBorders>
            <w:noWrap/>
            <w:vAlign w:val="center"/>
            <w:hideMark/>
          </w:tcPr>
          <w:p w14:paraId="751CED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5924324000</w:t>
            </w:r>
          </w:p>
        </w:tc>
        <w:tc>
          <w:tcPr>
            <w:tcW w:w="1012" w:type="dxa"/>
            <w:tcBorders>
              <w:top w:val="nil"/>
              <w:left w:val="nil"/>
              <w:bottom w:val="single" w:sz="4" w:space="0" w:color="auto"/>
              <w:right w:val="single" w:sz="4" w:space="0" w:color="auto"/>
            </w:tcBorders>
            <w:noWrap/>
            <w:vAlign w:val="center"/>
            <w:hideMark/>
          </w:tcPr>
          <w:p w14:paraId="71C569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61249734</w:t>
            </w:r>
          </w:p>
        </w:tc>
        <w:tc>
          <w:tcPr>
            <w:tcW w:w="5953" w:type="dxa"/>
            <w:tcBorders>
              <w:top w:val="nil"/>
              <w:left w:val="nil"/>
              <w:bottom w:val="single" w:sz="4" w:space="0" w:color="auto"/>
              <w:right w:val="single" w:sz="4" w:space="0" w:color="auto"/>
            </w:tcBorders>
            <w:noWrap/>
            <w:vAlign w:val="center"/>
            <w:hideMark/>
          </w:tcPr>
          <w:p w14:paraId="3D6BD8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LAŠKO</w:t>
            </w:r>
          </w:p>
        </w:tc>
      </w:tr>
      <w:tr w:rsidR="00F24E18" w14:paraId="088C49F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DE762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1979</w:t>
            </w:r>
          </w:p>
        </w:tc>
        <w:tc>
          <w:tcPr>
            <w:tcW w:w="1300" w:type="dxa"/>
            <w:tcBorders>
              <w:top w:val="nil"/>
              <w:left w:val="nil"/>
              <w:bottom w:val="single" w:sz="4" w:space="0" w:color="auto"/>
              <w:right w:val="single" w:sz="4" w:space="0" w:color="auto"/>
            </w:tcBorders>
            <w:noWrap/>
            <w:vAlign w:val="center"/>
            <w:hideMark/>
          </w:tcPr>
          <w:p w14:paraId="10C465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1942905000</w:t>
            </w:r>
          </w:p>
        </w:tc>
        <w:tc>
          <w:tcPr>
            <w:tcW w:w="1012" w:type="dxa"/>
            <w:tcBorders>
              <w:top w:val="nil"/>
              <w:left w:val="nil"/>
              <w:bottom w:val="single" w:sz="4" w:space="0" w:color="auto"/>
              <w:right w:val="single" w:sz="4" w:space="0" w:color="auto"/>
            </w:tcBorders>
            <w:noWrap/>
            <w:vAlign w:val="center"/>
            <w:hideMark/>
          </w:tcPr>
          <w:p w14:paraId="5970DC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34025561</w:t>
            </w:r>
          </w:p>
        </w:tc>
        <w:tc>
          <w:tcPr>
            <w:tcW w:w="5953" w:type="dxa"/>
            <w:tcBorders>
              <w:top w:val="nil"/>
              <w:left w:val="nil"/>
              <w:bottom w:val="single" w:sz="4" w:space="0" w:color="auto"/>
              <w:right w:val="single" w:sz="4" w:space="0" w:color="auto"/>
            </w:tcBorders>
            <w:noWrap/>
            <w:vAlign w:val="center"/>
            <w:hideMark/>
          </w:tcPr>
          <w:p w14:paraId="59B4CF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LEDINA</w:t>
            </w:r>
          </w:p>
        </w:tc>
      </w:tr>
      <w:tr w:rsidR="00F24E18" w14:paraId="6C759E5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8FE63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1980</w:t>
            </w:r>
          </w:p>
        </w:tc>
        <w:tc>
          <w:tcPr>
            <w:tcW w:w="1300" w:type="dxa"/>
            <w:tcBorders>
              <w:top w:val="nil"/>
              <w:left w:val="nil"/>
              <w:bottom w:val="single" w:sz="4" w:space="0" w:color="auto"/>
              <w:right w:val="single" w:sz="4" w:space="0" w:color="auto"/>
            </w:tcBorders>
            <w:noWrap/>
            <w:vAlign w:val="center"/>
            <w:hideMark/>
          </w:tcPr>
          <w:p w14:paraId="223ACB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5089786000</w:t>
            </w:r>
          </w:p>
        </w:tc>
        <w:tc>
          <w:tcPr>
            <w:tcW w:w="1012" w:type="dxa"/>
            <w:tcBorders>
              <w:top w:val="nil"/>
              <w:left w:val="nil"/>
              <w:bottom w:val="single" w:sz="4" w:space="0" w:color="auto"/>
              <w:right w:val="single" w:sz="4" w:space="0" w:color="auto"/>
            </w:tcBorders>
            <w:noWrap/>
            <w:vAlign w:val="center"/>
            <w:hideMark/>
          </w:tcPr>
          <w:p w14:paraId="4490B23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10849076</w:t>
            </w:r>
          </w:p>
        </w:tc>
        <w:tc>
          <w:tcPr>
            <w:tcW w:w="5953" w:type="dxa"/>
            <w:tcBorders>
              <w:top w:val="nil"/>
              <w:left w:val="nil"/>
              <w:bottom w:val="single" w:sz="4" w:space="0" w:color="auto"/>
              <w:right w:val="single" w:sz="4" w:space="0" w:color="auto"/>
            </w:tcBorders>
            <w:noWrap/>
            <w:vAlign w:val="center"/>
            <w:hideMark/>
          </w:tcPr>
          <w:p w14:paraId="7E10FA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LENDAVA LENDVAI OVODA</w:t>
            </w:r>
          </w:p>
        </w:tc>
      </w:tr>
      <w:tr w:rsidR="00F24E18" w14:paraId="6F224D2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4791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1981</w:t>
            </w:r>
          </w:p>
        </w:tc>
        <w:tc>
          <w:tcPr>
            <w:tcW w:w="1300" w:type="dxa"/>
            <w:tcBorders>
              <w:top w:val="nil"/>
              <w:left w:val="nil"/>
              <w:bottom w:val="single" w:sz="4" w:space="0" w:color="auto"/>
              <w:right w:val="single" w:sz="4" w:space="0" w:color="auto"/>
            </w:tcBorders>
            <w:vAlign w:val="center"/>
            <w:hideMark/>
          </w:tcPr>
          <w:p w14:paraId="0F972A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5049911000</w:t>
            </w:r>
          </w:p>
        </w:tc>
        <w:tc>
          <w:tcPr>
            <w:tcW w:w="1012" w:type="dxa"/>
            <w:tcBorders>
              <w:top w:val="nil"/>
              <w:left w:val="nil"/>
              <w:bottom w:val="single" w:sz="4" w:space="0" w:color="auto"/>
              <w:right w:val="single" w:sz="4" w:space="0" w:color="auto"/>
            </w:tcBorders>
            <w:vAlign w:val="center"/>
            <w:hideMark/>
          </w:tcPr>
          <w:p w14:paraId="353EB6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72197196</w:t>
            </w:r>
          </w:p>
        </w:tc>
        <w:tc>
          <w:tcPr>
            <w:tcW w:w="5953" w:type="dxa"/>
            <w:tcBorders>
              <w:top w:val="nil"/>
              <w:left w:val="nil"/>
              <w:bottom w:val="single" w:sz="4" w:space="0" w:color="auto"/>
              <w:right w:val="single" w:sz="4" w:space="0" w:color="auto"/>
            </w:tcBorders>
            <w:noWrap/>
            <w:vAlign w:val="center"/>
            <w:hideMark/>
          </w:tcPr>
          <w:p w14:paraId="41E451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LITIJA</w:t>
            </w:r>
          </w:p>
        </w:tc>
      </w:tr>
      <w:tr w:rsidR="00F24E18" w14:paraId="46B792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F5E5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1982</w:t>
            </w:r>
          </w:p>
        </w:tc>
        <w:tc>
          <w:tcPr>
            <w:tcW w:w="1300" w:type="dxa"/>
            <w:tcBorders>
              <w:top w:val="nil"/>
              <w:left w:val="nil"/>
              <w:bottom w:val="single" w:sz="4" w:space="0" w:color="auto"/>
              <w:right w:val="single" w:sz="4" w:space="0" w:color="auto"/>
            </w:tcBorders>
            <w:noWrap/>
            <w:vAlign w:val="center"/>
            <w:hideMark/>
          </w:tcPr>
          <w:p w14:paraId="216972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5051193000</w:t>
            </w:r>
          </w:p>
        </w:tc>
        <w:tc>
          <w:tcPr>
            <w:tcW w:w="1012" w:type="dxa"/>
            <w:tcBorders>
              <w:top w:val="nil"/>
              <w:left w:val="nil"/>
              <w:bottom w:val="single" w:sz="4" w:space="0" w:color="auto"/>
              <w:right w:val="single" w:sz="4" w:space="0" w:color="auto"/>
            </w:tcBorders>
            <w:vAlign w:val="center"/>
            <w:hideMark/>
          </w:tcPr>
          <w:p w14:paraId="6561B5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49209124</w:t>
            </w:r>
          </w:p>
        </w:tc>
        <w:tc>
          <w:tcPr>
            <w:tcW w:w="5953" w:type="dxa"/>
            <w:tcBorders>
              <w:top w:val="nil"/>
              <w:left w:val="nil"/>
              <w:bottom w:val="single" w:sz="4" w:space="0" w:color="auto"/>
              <w:right w:val="single" w:sz="4" w:space="0" w:color="auto"/>
            </w:tcBorders>
            <w:noWrap/>
            <w:vAlign w:val="center"/>
            <w:hideMark/>
          </w:tcPr>
          <w:p w14:paraId="708F5B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LJUTOMER</w:t>
            </w:r>
          </w:p>
        </w:tc>
      </w:tr>
      <w:tr w:rsidR="00F24E18" w14:paraId="4EE109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B7E07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1983</w:t>
            </w:r>
          </w:p>
        </w:tc>
        <w:tc>
          <w:tcPr>
            <w:tcW w:w="1300" w:type="dxa"/>
            <w:tcBorders>
              <w:top w:val="nil"/>
              <w:left w:val="nil"/>
              <w:bottom w:val="single" w:sz="4" w:space="0" w:color="auto"/>
              <w:right w:val="single" w:sz="4" w:space="0" w:color="auto"/>
            </w:tcBorders>
            <w:vAlign w:val="center"/>
            <w:hideMark/>
          </w:tcPr>
          <w:p w14:paraId="7CFC83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5050880000</w:t>
            </w:r>
          </w:p>
        </w:tc>
        <w:tc>
          <w:tcPr>
            <w:tcW w:w="1012" w:type="dxa"/>
            <w:tcBorders>
              <w:top w:val="nil"/>
              <w:left w:val="nil"/>
              <w:bottom w:val="single" w:sz="4" w:space="0" w:color="auto"/>
              <w:right w:val="single" w:sz="4" w:space="0" w:color="auto"/>
            </w:tcBorders>
            <w:vAlign w:val="center"/>
            <w:hideMark/>
          </w:tcPr>
          <w:p w14:paraId="7E5A3A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35404370</w:t>
            </w:r>
          </w:p>
        </w:tc>
        <w:tc>
          <w:tcPr>
            <w:tcW w:w="5953" w:type="dxa"/>
            <w:tcBorders>
              <w:top w:val="nil"/>
              <w:left w:val="nil"/>
              <w:bottom w:val="single" w:sz="4" w:space="0" w:color="auto"/>
              <w:right w:val="single" w:sz="4" w:space="0" w:color="auto"/>
            </w:tcBorders>
            <w:noWrap/>
            <w:vAlign w:val="center"/>
            <w:hideMark/>
          </w:tcPr>
          <w:p w14:paraId="66831C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MANKA GOLARJA GORNJA RADGONA</w:t>
            </w:r>
          </w:p>
        </w:tc>
      </w:tr>
      <w:tr w:rsidR="00F24E18" w14:paraId="7FBC11A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4917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1984</w:t>
            </w:r>
          </w:p>
        </w:tc>
        <w:tc>
          <w:tcPr>
            <w:tcW w:w="1300" w:type="dxa"/>
            <w:tcBorders>
              <w:top w:val="nil"/>
              <w:left w:val="nil"/>
              <w:bottom w:val="single" w:sz="4" w:space="0" w:color="auto"/>
              <w:right w:val="single" w:sz="4" w:space="0" w:color="auto"/>
            </w:tcBorders>
            <w:noWrap/>
            <w:vAlign w:val="center"/>
            <w:hideMark/>
          </w:tcPr>
          <w:p w14:paraId="510C46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5214106000</w:t>
            </w:r>
          </w:p>
        </w:tc>
        <w:tc>
          <w:tcPr>
            <w:tcW w:w="1012" w:type="dxa"/>
            <w:tcBorders>
              <w:top w:val="nil"/>
              <w:left w:val="nil"/>
              <w:bottom w:val="single" w:sz="4" w:space="0" w:color="auto"/>
              <w:right w:val="single" w:sz="4" w:space="0" w:color="auto"/>
            </w:tcBorders>
            <w:noWrap/>
            <w:vAlign w:val="center"/>
            <w:hideMark/>
          </w:tcPr>
          <w:p w14:paraId="5EF800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56491875</w:t>
            </w:r>
          </w:p>
        </w:tc>
        <w:tc>
          <w:tcPr>
            <w:tcW w:w="5953" w:type="dxa"/>
            <w:tcBorders>
              <w:top w:val="nil"/>
              <w:left w:val="nil"/>
              <w:bottom w:val="single" w:sz="4" w:space="0" w:color="auto"/>
              <w:right w:val="single" w:sz="4" w:space="0" w:color="auto"/>
            </w:tcBorders>
            <w:noWrap/>
            <w:vAlign w:val="center"/>
            <w:hideMark/>
          </w:tcPr>
          <w:p w14:paraId="6B38DE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MARTIN KRPAN CERKNICA</w:t>
            </w:r>
          </w:p>
        </w:tc>
      </w:tr>
      <w:tr w:rsidR="00F24E18" w14:paraId="5B845C2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CFE7F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1985</w:t>
            </w:r>
          </w:p>
        </w:tc>
        <w:tc>
          <w:tcPr>
            <w:tcW w:w="1300" w:type="dxa"/>
            <w:tcBorders>
              <w:top w:val="nil"/>
              <w:left w:val="nil"/>
              <w:bottom w:val="single" w:sz="4" w:space="0" w:color="auto"/>
              <w:right w:val="single" w:sz="4" w:space="0" w:color="auto"/>
            </w:tcBorders>
            <w:noWrap/>
            <w:vAlign w:val="center"/>
            <w:hideMark/>
          </w:tcPr>
          <w:p w14:paraId="7A75C0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5049555000</w:t>
            </w:r>
          </w:p>
        </w:tc>
        <w:tc>
          <w:tcPr>
            <w:tcW w:w="1012" w:type="dxa"/>
            <w:tcBorders>
              <w:top w:val="nil"/>
              <w:left w:val="nil"/>
              <w:bottom w:val="single" w:sz="4" w:space="0" w:color="auto"/>
              <w:right w:val="single" w:sz="4" w:space="0" w:color="auto"/>
            </w:tcBorders>
            <w:noWrap/>
            <w:vAlign w:val="center"/>
            <w:hideMark/>
          </w:tcPr>
          <w:p w14:paraId="127563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25225952</w:t>
            </w:r>
          </w:p>
        </w:tc>
        <w:tc>
          <w:tcPr>
            <w:tcW w:w="5953" w:type="dxa"/>
            <w:tcBorders>
              <w:top w:val="nil"/>
              <w:left w:val="nil"/>
              <w:bottom w:val="single" w:sz="4" w:space="0" w:color="auto"/>
              <w:right w:val="single" w:sz="4" w:space="0" w:color="auto"/>
            </w:tcBorders>
            <w:noWrap/>
            <w:vAlign w:val="center"/>
            <w:hideMark/>
          </w:tcPr>
          <w:p w14:paraId="3C6DCD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MAVRICA BREŽICE</w:t>
            </w:r>
          </w:p>
        </w:tc>
      </w:tr>
      <w:tr w:rsidR="00F24E18" w14:paraId="3D44B48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CFCD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1986</w:t>
            </w:r>
          </w:p>
        </w:tc>
        <w:tc>
          <w:tcPr>
            <w:tcW w:w="1300" w:type="dxa"/>
            <w:tcBorders>
              <w:top w:val="nil"/>
              <w:left w:val="nil"/>
              <w:bottom w:val="single" w:sz="4" w:space="0" w:color="auto"/>
              <w:right w:val="single" w:sz="4" w:space="0" w:color="auto"/>
            </w:tcBorders>
            <w:noWrap/>
            <w:vAlign w:val="center"/>
            <w:hideMark/>
          </w:tcPr>
          <w:p w14:paraId="62014F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5992346000</w:t>
            </w:r>
          </w:p>
        </w:tc>
        <w:tc>
          <w:tcPr>
            <w:tcW w:w="1012" w:type="dxa"/>
            <w:tcBorders>
              <w:top w:val="nil"/>
              <w:left w:val="nil"/>
              <w:bottom w:val="single" w:sz="4" w:space="0" w:color="auto"/>
              <w:right w:val="single" w:sz="4" w:space="0" w:color="auto"/>
            </w:tcBorders>
            <w:noWrap/>
            <w:vAlign w:val="center"/>
            <w:hideMark/>
          </w:tcPr>
          <w:p w14:paraId="675FB04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33127760</w:t>
            </w:r>
          </w:p>
        </w:tc>
        <w:tc>
          <w:tcPr>
            <w:tcW w:w="5953" w:type="dxa"/>
            <w:tcBorders>
              <w:top w:val="nil"/>
              <w:left w:val="nil"/>
              <w:bottom w:val="single" w:sz="4" w:space="0" w:color="auto"/>
              <w:right w:val="single" w:sz="4" w:space="0" w:color="auto"/>
            </w:tcBorders>
            <w:noWrap/>
            <w:vAlign w:val="center"/>
            <w:hideMark/>
          </w:tcPr>
          <w:p w14:paraId="5CFBA7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MAVRICA VOJNIK</w:t>
            </w:r>
          </w:p>
        </w:tc>
      </w:tr>
      <w:tr w:rsidR="00F24E18" w14:paraId="6695232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FCF77B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1987</w:t>
            </w:r>
          </w:p>
        </w:tc>
        <w:tc>
          <w:tcPr>
            <w:tcW w:w="1300" w:type="dxa"/>
            <w:tcBorders>
              <w:top w:val="nil"/>
              <w:left w:val="nil"/>
              <w:bottom w:val="single" w:sz="4" w:space="0" w:color="auto"/>
              <w:right w:val="single" w:sz="4" w:space="0" w:color="auto"/>
            </w:tcBorders>
            <w:vAlign w:val="center"/>
            <w:hideMark/>
          </w:tcPr>
          <w:p w14:paraId="25306F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5996503000</w:t>
            </w:r>
          </w:p>
        </w:tc>
        <w:tc>
          <w:tcPr>
            <w:tcW w:w="1012" w:type="dxa"/>
            <w:tcBorders>
              <w:top w:val="nil"/>
              <w:left w:val="nil"/>
              <w:bottom w:val="single" w:sz="4" w:space="0" w:color="auto"/>
              <w:right w:val="single" w:sz="4" w:space="0" w:color="auto"/>
            </w:tcBorders>
            <w:vAlign w:val="center"/>
            <w:hideMark/>
          </w:tcPr>
          <w:p w14:paraId="4E4316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55787738</w:t>
            </w:r>
          </w:p>
        </w:tc>
        <w:tc>
          <w:tcPr>
            <w:tcW w:w="5953" w:type="dxa"/>
            <w:tcBorders>
              <w:top w:val="nil"/>
              <w:left w:val="nil"/>
              <w:bottom w:val="single" w:sz="4" w:space="0" w:color="auto"/>
              <w:right w:val="single" w:sz="4" w:space="0" w:color="auto"/>
            </w:tcBorders>
            <w:noWrap/>
            <w:vAlign w:val="center"/>
            <w:hideMark/>
          </w:tcPr>
          <w:p w14:paraId="7EC1A99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MEDVODE</w:t>
            </w:r>
          </w:p>
        </w:tc>
      </w:tr>
      <w:tr w:rsidR="00F24E18" w14:paraId="116D243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272B3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1988</w:t>
            </w:r>
          </w:p>
        </w:tc>
        <w:tc>
          <w:tcPr>
            <w:tcW w:w="1300" w:type="dxa"/>
            <w:tcBorders>
              <w:top w:val="nil"/>
              <w:left w:val="nil"/>
              <w:bottom w:val="single" w:sz="4" w:space="0" w:color="auto"/>
              <w:right w:val="single" w:sz="4" w:space="0" w:color="auto"/>
            </w:tcBorders>
            <w:vAlign w:val="center"/>
            <w:hideMark/>
          </w:tcPr>
          <w:p w14:paraId="054B43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6665764000</w:t>
            </w:r>
          </w:p>
        </w:tc>
        <w:tc>
          <w:tcPr>
            <w:tcW w:w="1012" w:type="dxa"/>
            <w:tcBorders>
              <w:top w:val="nil"/>
              <w:left w:val="nil"/>
              <w:bottom w:val="single" w:sz="4" w:space="0" w:color="auto"/>
              <w:right w:val="single" w:sz="4" w:space="0" w:color="auto"/>
            </w:tcBorders>
            <w:vAlign w:val="center"/>
            <w:hideMark/>
          </w:tcPr>
          <w:p w14:paraId="336E25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67782949</w:t>
            </w:r>
          </w:p>
        </w:tc>
        <w:tc>
          <w:tcPr>
            <w:tcW w:w="5953" w:type="dxa"/>
            <w:tcBorders>
              <w:top w:val="nil"/>
              <w:left w:val="nil"/>
              <w:bottom w:val="single" w:sz="4" w:space="0" w:color="auto"/>
              <w:right w:val="single" w:sz="4" w:space="0" w:color="auto"/>
            </w:tcBorders>
            <w:noWrap/>
            <w:vAlign w:val="center"/>
            <w:hideMark/>
          </w:tcPr>
          <w:p w14:paraId="239E77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MEHURČKI</w:t>
            </w:r>
          </w:p>
        </w:tc>
      </w:tr>
      <w:tr w:rsidR="00F24E18" w14:paraId="5CBF202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1366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1989</w:t>
            </w:r>
          </w:p>
        </w:tc>
        <w:tc>
          <w:tcPr>
            <w:tcW w:w="1300" w:type="dxa"/>
            <w:tcBorders>
              <w:top w:val="nil"/>
              <w:left w:val="nil"/>
              <w:bottom w:val="single" w:sz="4" w:space="0" w:color="auto"/>
              <w:right w:val="single" w:sz="4" w:space="0" w:color="auto"/>
            </w:tcBorders>
            <w:noWrap/>
            <w:vAlign w:val="center"/>
            <w:hideMark/>
          </w:tcPr>
          <w:p w14:paraId="3A53F3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1201387000</w:t>
            </w:r>
          </w:p>
        </w:tc>
        <w:tc>
          <w:tcPr>
            <w:tcW w:w="1012" w:type="dxa"/>
            <w:tcBorders>
              <w:top w:val="nil"/>
              <w:left w:val="nil"/>
              <w:bottom w:val="single" w:sz="4" w:space="0" w:color="auto"/>
              <w:right w:val="single" w:sz="4" w:space="0" w:color="auto"/>
            </w:tcBorders>
            <w:noWrap/>
            <w:vAlign w:val="center"/>
            <w:hideMark/>
          </w:tcPr>
          <w:p w14:paraId="41B17D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25929399</w:t>
            </w:r>
          </w:p>
        </w:tc>
        <w:tc>
          <w:tcPr>
            <w:tcW w:w="5953" w:type="dxa"/>
            <w:tcBorders>
              <w:top w:val="nil"/>
              <w:left w:val="nil"/>
              <w:bottom w:val="single" w:sz="4" w:space="0" w:color="auto"/>
              <w:right w:val="single" w:sz="4" w:space="0" w:color="auto"/>
            </w:tcBorders>
            <w:noWrap/>
            <w:vAlign w:val="center"/>
            <w:hideMark/>
          </w:tcPr>
          <w:p w14:paraId="513AED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MENGEŠ</w:t>
            </w:r>
          </w:p>
        </w:tc>
      </w:tr>
      <w:tr w:rsidR="00F24E18" w14:paraId="178B252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4291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1990</w:t>
            </w:r>
          </w:p>
        </w:tc>
        <w:tc>
          <w:tcPr>
            <w:tcW w:w="1300" w:type="dxa"/>
            <w:tcBorders>
              <w:top w:val="nil"/>
              <w:left w:val="nil"/>
              <w:bottom w:val="single" w:sz="4" w:space="0" w:color="auto"/>
              <w:right w:val="single" w:sz="4" w:space="0" w:color="auto"/>
            </w:tcBorders>
            <w:vAlign w:val="center"/>
            <w:hideMark/>
          </w:tcPr>
          <w:p w14:paraId="33D7A0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1940872000</w:t>
            </w:r>
          </w:p>
        </w:tc>
        <w:tc>
          <w:tcPr>
            <w:tcW w:w="1012" w:type="dxa"/>
            <w:tcBorders>
              <w:top w:val="nil"/>
              <w:left w:val="nil"/>
              <w:bottom w:val="single" w:sz="4" w:space="0" w:color="auto"/>
              <w:right w:val="single" w:sz="4" w:space="0" w:color="auto"/>
            </w:tcBorders>
            <w:vAlign w:val="center"/>
            <w:hideMark/>
          </w:tcPr>
          <w:p w14:paraId="7241921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55342779</w:t>
            </w:r>
          </w:p>
        </w:tc>
        <w:tc>
          <w:tcPr>
            <w:tcW w:w="5953" w:type="dxa"/>
            <w:tcBorders>
              <w:top w:val="nil"/>
              <w:left w:val="nil"/>
              <w:bottom w:val="single" w:sz="4" w:space="0" w:color="auto"/>
              <w:right w:val="single" w:sz="4" w:space="0" w:color="auto"/>
            </w:tcBorders>
            <w:noWrap/>
            <w:vAlign w:val="center"/>
            <w:hideMark/>
          </w:tcPr>
          <w:p w14:paraId="588F96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MIŠKOLIN</w:t>
            </w:r>
          </w:p>
        </w:tc>
      </w:tr>
      <w:tr w:rsidR="00F24E18" w14:paraId="40926A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1DE4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1991</w:t>
            </w:r>
          </w:p>
        </w:tc>
        <w:tc>
          <w:tcPr>
            <w:tcW w:w="1300" w:type="dxa"/>
            <w:tcBorders>
              <w:top w:val="nil"/>
              <w:left w:val="nil"/>
              <w:bottom w:val="single" w:sz="4" w:space="0" w:color="auto"/>
              <w:right w:val="single" w:sz="4" w:space="0" w:color="auto"/>
            </w:tcBorders>
            <w:noWrap/>
            <w:vAlign w:val="center"/>
            <w:hideMark/>
          </w:tcPr>
          <w:p w14:paraId="25DB67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5049954000</w:t>
            </w:r>
          </w:p>
        </w:tc>
        <w:tc>
          <w:tcPr>
            <w:tcW w:w="1012" w:type="dxa"/>
            <w:tcBorders>
              <w:top w:val="nil"/>
              <w:left w:val="nil"/>
              <w:bottom w:val="single" w:sz="4" w:space="0" w:color="auto"/>
              <w:right w:val="single" w:sz="4" w:space="0" w:color="auto"/>
            </w:tcBorders>
            <w:noWrap/>
            <w:vAlign w:val="center"/>
            <w:hideMark/>
          </w:tcPr>
          <w:p w14:paraId="6D0EC2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64554970</w:t>
            </w:r>
          </w:p>
        </w:tc>
        <w:tc>
          <w:tcPr>
            <w:tcW w:w="5953" w:type="dxa"/>
            <w:tcBorders>
              <w:top w:val="nil"/>
              <w:left w:val="nil"/>
              <w:bottom w:val="single" w:sz="4" w:space="0" w:color="auto"/>
              <w:right w:val="single" w:sz="4" w:space="0" w:color="auto"/>
            </w:tcBorders>
            <w:noWrap/>
            <w:vAlign w:val="center"/>
            <w:hideMark/>
          </w:tcPr>
          <w:p w14:paraId="6A5456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MLADI ROD</w:t>
            </w:r>
          </w:p>
        </w:tc>
      </w:tr>
      <w:tr w:rsidR="00F24E18" w14:paraId="2C91987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C034E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1992</w:t>
            </w:r>
          </w:p>
        </w:tc>
        <w:tc>
          <w:tcPr>
            <w:tcW w:w="1300" w:type="dxa"/>
            <w:tcBorders>
              <w:top w:val="nil"/>
              <w:left w:val="nil"/>
              <w:bottom w:val="single" w:sz="4" w:space="0" w:color="auto"/>
              <w:right w:val="single" w:sz="4" w:space="0" w:color="auto"/>
            </w:tcBorders>
            <w:vAlign w:val="center"/>
            <w:hideMark/>
          </w:tcPr>
          <w:p w14:paraId="35F5CC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5102324000</w:t>
            </w:r>
          </w:p>
        </w:tc>
        <w:tc>
          <w:tcPr>
            <w:tcW w:w="1012" w:type="dxa"/>
            <w:tcBorders>
              <w:top w:val="nil"/>
              <w:left w:val="nil"/>
              <w:bottom w:val="single" w:sz="4" w:space="0" w:color="auto"/>
              <w:right w:val="single" w:sz="4" w:space="0" w:color="auto"/>
            </w:tcBorders>
            <w:vAlign w:val="center"/>
            <w:hideMark/>
          </w:tcPr>
          <w:p w14:paraId="31B718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33375801</w:t>
            </w:r>
          </w:p>
        </w:tc>
        <w:tc>
          <w:tcPr>
            <w:tcW w:w="5953" w:type="dxa"/>
            <w:tcBorders>
              <w:top w:val="nil"/>
              <w:left w:val="nil"/>
              <w:bottom w:val="single" w:sz="4" w:space="0" w:color="auto"/>
              <w:right w:val="single" w:sz="4" w:space="0" w:color="auto"/>
            </w:tcBorders>
            <w:noWrap/>
            <w:vAlign w:val="center"/>
            <w:hideMark/>
          </w:tcPr>
          <w:p w14:paraId="5846BB7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MOJCA</w:t>
            </w:r>
          </w:p>
        </w:tc>
      </w:tr>
      <w:tr w:rsidR="00F24E18" w14:paraId="04E721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940D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1993</w:t>
            </w:r>
          </w:p>
        </w:tc>
        <w:tc>
          <w:tcPr>
            <w:tcW w:w="1300" w:type="dxa"/>
            <w:tcBorders>
              <w:top w:val="nil"/>
              <w:left w:val="nil"/>
              <w:bottom w:val="single" w:sz="4" w:space="0" w:color="auto"/>
              <w:right w:val="single" w:sz="4" w:space="0" w:color="auto"/>
            </w:tcBorders>
            <w:vAlign w:val="center"/>
            <w:hideMark/>
          </w:tcPr>
          <w:p w14:paraId="12DDF2B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5182140000</w:t>
            </w:r>
          </w:p>
        </w:tc>
        <w:tc>
          <w:tcPr>
            <w:tcW w:w="1012" w:type="dxa"/>
            <w:tcBorders>
              <w:top w:val="nil"/>
              <w:left w:val="nil"/>
              <w:bottom w:val="single" w:sz="4" w:space="0" w:color="auto"/>
              <w:right w:val="single" w:sz="4" w:space="0" w:color="auto"/>
            </w:tcBorders>
            <w:vAlign w:val="center"/>
            <w:hideMark/>
          </w:tcPr>
          <w:p w14:paraId="67B4AE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68069987</w:t>
            </w:r>
          </w:p>
        </w:tc>
        <w:tc>
          <w:tcPr>
            <w:tcW w:w="5953" w:type="dxa"/>
            <w:tcBorders>
              <w:top w:val="nil"/>
              <w:left w:val="nil"/>
              <w:bottom w:val="single" w:sz="4" w:space="0" w:color="auto"/>
              <w:right w:val="single" w:sz="4" w:space="0" w:color="auto"/>
            </w:tcBorders>
            <w:noWrap/>
            <w:vAlign w:val="center"/>
            <w:hideMark/>
          </w:tcPr>
          <w:p w14:paraId="1987AC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MORJE LUCIJA - SCUOLA DELL' INFANZIA MORJE LUCIA</w:t>
            </w:r>
          </w:p>
        </w:tc>
      </w:tr>
      <w:tr w:rsidR="00F24E18" w14:paraId="784A75C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F4BC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1994</w:t>
            </w:r>
          </w:p>
        </w:tc>
        <w:tc>
          <w:tcPr>
            <w:tcW w:w="1300" w:type="dxa"/>
            <w:tcBorders>
              <w:top w:val="nil"/>
              <w:left w:val="nil"/>
              <w:bottom w:val="single" w:sz="4" w:space="0" w:color="auto"/>
              <w:right w:val="single" w:sz="4" w:space="0" w:color="auto"/>
            </w:tcBorders>
            <w:vAlign w:val="center"/>
            <w:hideMark/>
          </w:tcPr>
          <w:p w14:paraId="14FB98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5055415000</w:t>
            </w:r>
          </w:p>
        </w:tc>
        <w:tc>
          <w:tcPr>
            <w:tcW w:w="1012" w:type="dxa"/>
            <w:tcBorders>
              <w:top w:val="nil"/>
              <w:left w:val="nil"/>
              <w:bottom w:val="single" w:sz="4" w:space="0" w:color="auto"/>
              <w:right w:val="single" w:sz="4" w:space="0" w:color="auto"/>
            </w:tcBorders>
            <w:vAlign w:val="center"/>
            <w:hideMark/>
          </w:tcPr>
          <w:p w14:paraId="130FAD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34830065</w:t>
            </w:r>
          </w:p>
        </w:tc>
        <w:tc>
          <w:tcPr>
            <w:tcW w:w="5953" w:type="dxa"/>
            <w:tcBorders>
              <w:top w:val="nil"/>
              <w:left w:val="nil"/>
              <w:bottom w:val="single" w:sz="4" w:space="0" w:color="auto"/>
              <w:right w:val="single" w:sz="4" w:space="0" w:color="auto"/>
            </w:tcBorders>
            <w:noWrap/>
            <w:vAlign w:val="center"/>
            <w:hideMark/>
          </w:tcPr>
          <w:p w14:paraId="5B80D3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MORNARČEK PIRAN - SCUOLA DELL' INFANZIA MORNARČEK PIRANO</w:t>
            </w:r>
          </w:p>
        </w:tc>
      </w:tr>
      <w:tr w:rsidR="00F24E18" w14:paraId="3E32FD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953B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1995</w:t>
            </w:r>
          </w:p>
        </w:tc>
        <w:tc>
          <w:tcPr>
            <w:tcW w:w="1300" w:type="dxa"/>
            <w:tcBorders>
              <w:top w:val="nil"/>
              <w:left w:val="nil"/>
              <w:bottom w:val="single" w:sz="4" w:space="0" w:color="auto"/>
              <w:right w:val="single" w:sz="4" w:space="0" w:color="auto"/>
            </w:tcBorders>
            <w:vAlign w:val="center"/>
            <w:hideMark/>
          </w:tcPr>
          <w:p w14:paraId="07136A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5051304000</w:t>
            </w:r>
          </w:p>
        </w:tc>
        <w:tc>
          <w:tcPr>
            <w:tcW w:w="1012" w:type="dxa"/>
            <w:tcBorders>
              <w:top w:val="nil"/>
              <w:left w:val="nil"/>
              <w:bottom w:val="single" w:sz="4" w:space="0" w:color="auto"/>
              <w:right w:val="single" w:sz="4" w:space="0" w:color="auto"/>
            </w:tcBorders>
            <w:vAlign w:val="center"/>
            <w:hideMark/>
          </w:tcPr>
          <w:p w14:paraId="0EEA8D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97605794</w:t>
            </w:r>
          </w:p>
        </w:tc>
        <w:tc>
          <w:tcPr>
            <w:tcW w:w="5953" w:type="dxa"/>
            <w:tcBorders>
              <w:top w:val="nil"/>
              <w:left w:val="nil"/>
              <w:bottom w:val="single" w:sz="4" w:space="0" w:color="auto"/>
              <w:right w:val="single" w:sz="4" w:space="0" w:color="auto"/>
            </w:tcBorders>
            <w:noWrap/>
            <w:vAlign w:val="center"/>
            <w:hideMark/>
          </w:tcPr>
          <w:p w14:paraId="57499D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MURSKA SOBOTA</w:t>
            </w:r>
          </w:p>
        </w:tc>
      </w:tr>
      <w:tr w:rsidR="00F24E18" w14:paraId="0A39164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3E35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1996</w:t>
            </w:r>
          </w:p>
        </w:tc>
        <w:tc>
          <w:tcPr>
            <w:tcW w:w="1300" w:type="dxa"/>
            <w:tcBorders>
              <w:top w:val="nil"/>
              <w:left w:val="nil"/>
              <w:bottom w:val="single" w:sz="4" w:space="0" w:color="auto"/>
              <w:right w:val="single" w:sz="4" w:space="0" w:color="auto"/>
            </w:tcBorders>
            <w:noWrap/>
            <w:vAlign w:val="center"/>
            <w:hideMark/>
          </w:tcPr>
          <w:p w14:paraId="7E86F0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5050219000</w:t>
            </w:r>
          </w:p>
        </w:tc>
        <w:tc>
          <w:tcPr>
            <w:tcW w:w="1012" w:type="dxa"/>
            <w:tcBorders>
              <w:top w:val="nil"/>
              <w:left w:val="nil"/>
              <w:bottom w:val="single" w:sz="4" w:space="0" w:color="auto"/>
              <w:right w:val="single" w:sz="4" w:space="0" w:color="auto"/>
            </w:tcBorders>
            <w:noWrap/>
            <w:vAlign w:val="center"/>
            <w:hideMark/>
          </w:tcPr>
          <w:p w14:paraId="19D176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13051571</w:t>
            </w:r>
          </w:p>
        </w:tc>
        <w:tc>
          <w:tcPr>
            <w:tcW w:w="5953" w:type="dxa"/>
            <w:tcBorders>
              <w:top w:val="nil"/>
              <w:left w:val="nil"/>
              <w:bottom w:val="single" w:sz="4" w:space="0" w:color="auto"/>
              <w:right w:val="single" w:sz="4" w:space="0" w:color="auto"/>
            </w:tcBorders>
            <w:noWrap/>
            <w:vAlign w:val="center"/>
            <w:hideMark/>
          </w:tcPr>
          <w:p w14:paraId="13C511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NAJDIHOJCA</w:t>
            </w:r>
          </w:p>
        </w:tc>
      </w:tr>
      <w:tr w:rsidR="00F24E18" w14:paraId="628E2B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1859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1997</w:t>
            </w:r>
          </w:p>
        </w:tc>
        <w:tc>
          <w:tcPr>
            <w:tcW w:w="1300" w:type="dxa"/>
            <w:tcBorders>
              <w:top w:val="nil"/>
              <w:left w:val="nil"/>
              <w:bottom w:val="single" w:sz="4" w:space="0" w:color="auto"/>
              <w:right w:val="single" w:sz="4" w:space="0" w:color="auto"/>
            </w:tcBorders>
            <w:noWrap/>
            <w:vAlign w:val="center"/>
            <w:hideMark/>
          </w:tcPr>
          <w:p w14:paraId="002742C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5056055000</w:t>
            </w:r>
          </w:p>
        </w:tc>
        <w:tc>
          <w:tcPr>
            <w:tcW w:w="1012" w:type="dxa"/>
            <w:tcBorders>
              <w:top w:val="nil"/>
              <w:left w:val="nil"/>
              <w:bottom w:val="single" w:sz="4" w:space="0" w:color="auto"/>
              <w:right w:val="single" w:sz="4" w:space="0" w:color="auto"/>
            </w:tcBorders>
            <w:noWrap/>
            <w:vAlign w:val="center"/>
            <w:hideMark/>
          </w:tcPr>
          <w:p w14:paraId="7D38C7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55172849</w:t>
            </w:r>
          </w:p>
        </w:tc>
        <w:tc>
          <w:tcPr>
            <w:tcW w:w="5953" w:type="dxa"/>
            <w:tcBorders>
              <w:top w:val="nil"/>
              <w:left w:val="nil"/>
              <w:bottom w:val="single" w:sz="4" w:space="0" w:color="auto"/>
              <w:right w:val="single" w:sz="4" w:space="0" w:color="auto"/>
            </w:tcBorders>
            <w:noWrap/>
            <w:vAlign w:val="center"/>
            <w:hideMark/>
          </w:tcPr>
          <w:p w14:paraId="063CB8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NOVA GORICA</w:t>
            </w:r>
          </w:p>
        </w:tc>
      </w:tr>
      <w:tr w:rsidR="00F24E18" w14:paraId="26D9B7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2196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1998</w:t>
            </w:r>
          </w:p>
        </w:tc>
        <w:tc>
          <w:tcPr>
            <w:tcW w:w="1300" w:type="dxa"/>
            <w:tcBorders>
              <w:top w:val="nil"/>
              <w:left w:val="nil"/>
              <w:bottom w:val="single" w:sz="4" w:space="0" w:color="auto"/>
              <w:right w:val="single" w:sz="4" w:space="0" w:color="auto"/>
            </w:tcBorders>
            <w:vAlign w:val="center"/>
            <w:hideMark/>
          </w:tcPr>
          <w:p w14:paraId="3A845F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5057019000</w:t>
            </w:r>
          </w:p>
        </w:tc>
        <w:tc>
          <w:tcPr>
            <w:tcW w:w="1012" w:type="dxa"/>
            <w:tcBorders>
              <w:top w:val="nil"/>
              <w:left w:val="nil"/>
              <w:bottom w:val="single" w:sz="4" w:space="0" w:color="auto"/>
              <w:right w:val="single" w:sz="4" w:space="0" w:color="auto"/>
            </w:tcBorders>
            <w:vAlign w:val="center"/>
            <w:hideMark/>
          </w:tcPr>
          <w:p w14:paraId="034A17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20802684</w:t>
            </w:r>
          </w:p>
        </w:tc>
        <w:tc>
          <w:tcPr>
            <w:tcW w:w="5953" w:type="dxa"/>
            <w:tcBorders>
              <w:top w:val="nil"/>
              <w:left w:val="nil"/>
              <w:bottom w:val="single" w:sz="4" w:space="0" w:color="auto"/>
              <w:right w:val="single" w:sz="4" w:space="0" w:color="auto"/>
            </w:tcBorders>
            <w:noWrap/>
            <w:vAlign w:val="center"/>
            <w:hideMark/>
          </w:tcPr>
          <w:p w14:paraId="4C81B3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OTONA ŽUPANČIČA ČRNOMELJ</w:t>
            </w:r>
          </w:p>
        </w:tc>
      </w:tr>
      <w:tr w:rsidR="00F24E18" w14:paraId="0930E42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5CBA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1999</w:t>
            </w:r>
          </w:p>
        </w:tc>
        <w:tc>
          <w:tcPr>
            <w:tcW w:w="1300" w:type="dxa"/>
            <w:tcBorders>
              <w:top w:val="nil"/>
              <w:left w:val="nil"/>
              <w:bottom w:val="single" w:sz="4" w:space="0" w:color="auto"/>
              <w:right w:val="single" w:sz="4" w:space="0" w:color="auto"/>
            </w:tcBorders>
            <w:noWrap/>
            <w:vAlign w:val="center"/>
            <w:hideMark/>
          </w:tcPr>
          <w:p w14:paraId="456DF4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5007704000</w:t>
            </w:r>
          </w:p>
        </w:tc>
        <w:tc>
          <w:tcPr>
            <w:tcW w:w="1012" w:type="dxa"/>
            <w:tcBorders>
              <w:top w:val="nil"/>
              <w:left w:val="nil"/>
              <w:bottom w:val="single" w:sz="4" w:space="0" w:color="auto"/>
              <w:right w:val="single" w:sz="4" w:space="0" w:color="auto"/>
            </w:tcBorders>
            <w:noWrap/>
            <w:vAlign w:val="center"/>
            <w:hideMark/>
          </w:tcPr>
          <w:p w14:paraId="263F9E6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98887793</w:t>
            </w:r>
          </w:p>
        </w:tc>
        <w:tc>
          <w:tcPr>
            <w:tcW w:w="5953" w:type="dxa"/>
            <w:tcBorders>
              <w:top w:val="nil"/>
              <w:left w:val="nil"/>
              <w:bottom w:val="single" w:sz="4" w:space="0" w:color="auto"/>
              <w:right w:val="single" w:sz="4" w:space="0" w:color="auto"/>
            </w:tcBorders>
            <w:noWrap/>
            <w:vAlign w:val="center"/>
            <w:hideMark/>
          </w:tcPr>
          <w:p w14:paraId="71ACB1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OTONA ŽUPANČIČA MARIBOR</w:t>
            </w:r>
          </w:p>
        </w:tc>
      </w:tr>
      <w:tr w:rsidR="00F24E18" w14:paraId="13D9C26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AC5B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2000</w:t>
            </w:r>
          </w:p>
        </w:tc>
        <w:tc>
          <w:tcPr>
            <w:tcW w:w="1300" w:type="dxa"/>
            <w:tcBorders>
              <w:top w:val="nil"/>
              <w:left w:val="nil"/>
              <w:bottom w:val="single" w:sz="4" w:space="0" w:color="auto"/>
              <w:right w:val="single" w:sz="4" w:space="0" w:color="auto"/>
            </w:tcBorders>
            <w:noWrap/>
            <w:vAlign w:val="center"/>
            <w:hideMark/>
          </w:tcPr>
          <w:p w14:paraId="76500E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5050685000</w:t>
            </w:r>
          </w:p>
        </w:tc>
        <w:tc>
          <w:tcPr>
            <w:tcW w:w="1012" w:type="dxa"/>
            <w:tcBorders>
              <w:top w:val="nil"/>
              <w:left w:val="nil"/>
              <w:bottom w:val="single" w:sz="4" w:space="0" w:color="auto"/>
              <w:right w:val="single" w:sz="4" w:space="0" w:color="auto"/>
            </w:tcBorders>
            <w:noWrap/>
            <w:vAlign w:val="center"/>
            <w:hideMark/>
          </w:tcPr>
          <w:p w14:paraId="7856CD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22183876</w:t>
            </w:r>
          </w:p>
        </w:tc>
        <w:tc>
          <w:tcPr>
            <w:tcW w:w="5953" w:type="dxa"/>
            <w:tcBorders>
              <w:top w:val="nil"/>
              <w:left w:val="nil"/>
              <w:bottom w:val="single" w:sz="4" w:space="0" w:color="auto"/>
              <w:right w:val="single" w:sz="4" w:space="0" w:color="auto"/>
            </w:tcBorders>
            <w:noWrap/>
            <w:vAlign w:val="center"/>
            <w:hideMark/>
          </w:tcPr>
          <w:p w14:paraId="351223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OTONA ŽUPANČIČA SLOVENSKA BISTRICA</w:t>
            </w:r>
          </w:p>
        </w:tc>
      </w:tr>
      <w:tr w:rsidR="00F24E18" w14:paraId="35039B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4041CC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2001</w:t>
            </w:r>
          </w:p>
        </w:tc>
        <w:tc>
          <w:tcPr>
            <w:tcW w:w="1300" w:type="dxa"/>
            <w:tcBorders>
              <w:top w:val="nil"/>
              <w:left w:val="nil"/>
              <w:bottom w:val="single" w:sz="4" w:space="0" w:color="auto"/>
              <w:right w:val="single" w:sz="4" w:space="0" w:color="auto"/>
            </w:tcBorders>
            <w:noWrap/>
            <w:vAlign w:val="center"/>
            <w:hideMark/>
          </w:tcPr>
          <w:p w14:paraId="4CD192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5259266000</w:t>
            </w:r>
          </w:p>
        </w:tc>
        <w:tc>
          <w:tcPr>
            <w:tcW w:w="1012" w:type="dxa"/>
            <w:tcBorders>
              <w:top w:val="nil"/>
              <w:left w:val="nil"/>
              <w:bottom w:val="single" w:sz="4" w:space="0" w:color="auto"/>
              <w:right w:val="single" w:sz="4" w:space="0" w:color="auto"/>
            </w:tcBorders>
            <w:noWrap/>
            <w:vAlign w:val="center"/>
            <w:hideMark/>
          </w:tcPr>
          <w:p w14:paraId="1EDEE1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70142629</w:t>
            </w:r>
          </w:p>
        </w:tc>
        <w:tc>
          <w:tcPr>
            <w:tcW w:w="5953" w:type="dxa"/>
            <w:tcBorders>
              <w:top w:val="nil"/>
              <w:left w:val="nil"/>
              <w:bottom w:val="single" w:sz="4" w:space="0" w:color="auto"/>
              <w:right w:val="single" w:sz="4" w:space="0" w:color="auto"/>
            </w:tcBorders>
            <w:noWrap/>
            <w:vAlign w:val="center"/>
            <w:hideMark/>
          </w:tcPr>
          <w:p w14:paraId="676BFE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PEDENJPED</w:t>
            </w:r>
          </w:p>
        </w:tc>
      </w:tr>
      <w:tr w:rsidR="00F24E18" w14:paraId="6A3D580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7282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2002</w:t>
            </w:r>
          </w:p>
        </w:tc>
        <w:tc>
          <w:tcPr>
            <w:tcW w:w="1300" w:type="dxa"/>
            <w:tcBorders>
              <w:top w:val="nil"/>
              <w:left w:val="nil"/>
              <w:bottom w:val="single" w:sz="4" w:space="0" w:color="auto"/>
              <w:right w:val="single" w:sz="4" w:space="0" w:color="auto"/>
            </w:tcBorders>
            <w:vAlign w:val="center"/>
            <w:hideMark/>
          </w:tcPr>
          <w:p w14:paraId="51FDB24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1782657000</w:t>
            </w:r>
          </w:p>
        </w:tc>
        <w:tc>
          <w:tcPr>
            <w:tcW w:w="1012" w:type="dxa"/>
            <w:tcBorders>
              <w:top w:val="nil"/>
              <w:left w:val="nil"/>
              <w:bottom w:val="single" w:sz="4" w:space="0" w:color="auto"/>
              <w:right w:val="single" w:sz="4" w:space="0" w:color="auto"/>
            </w:tcBorders>
            <w:vAlign w:val="center"/>
            <w:hideMark/>
          </w:tcPr>
          <w:p w14:paraId="0CACC2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71116907</w:t>
            </w:r>
          </w:p>
        </w:tc>
        <w:tc>
          <w:tcPr>
            <w:tcW w:w="5953" w:type="dxa"/>
            <w:tcBorders>
              <w:top w:val="nil"/>
              <w:left w:val="nil"/>
              <w:bottom w:val="single" w:sz="4" w:space="0" w:color="auto"/>
              <w:right w:val="single" w:sz="4" w:space="0" w:color="auto"/>
            </w:tcBorders>
            <w:noWrap/>
            <w:vAlign w:val="center"/>
            <w:hideMark/>
          </w:tcPr>
          <w:p w14:paraId="5ABEF1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PEDENJPED NOVO MESTO</w:t>
            </w:r>
          </w:p>
        </w:tc>
      </w:tr>
      <w:tr w:rsidR="00F24E18" w14:paraId="0413930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E6681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2003</w:t>
            </w:r>
          </w:p>
        </w:tc>
        <w:tc>
          <w:tcPr>
            <w:tcW w:w="1300" w:type="dxa"/>
            <w:tcBorders>
              <w:top w:val="nil"/>
              <w:left w:val="nil"/>
              <w:bottom w:val="single" w:sz="4" w:space="0" w:color="auto"/>
              <w:right w:val="single" w:sz="4" w:space="0" w:color="auto"/>
            </w:tcBorders>
            <w:noWrap/>
            <w:vAlign w:val="center"/>
            <w:hideMark/>
          </w:tcPr>
          <w:p w14:paraId="4D7928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5055407000</w:t>
            </w:r>
          </w:p>
        </w:tc>
        <w:tc>
          <w:tcPr>
            <w:tcW w:w="1012" w:type="dxa"/>
            <w:tcBorders>
              <w:top w:val="nil"/>
              <w:left w:val="nil"/>
              <w:bottom w:val="single" w:sz="4" w:space="0" w:color="auto"/>
              <w:right w:val="single" w:sz="4" w:space="0" w:color="auto"/>
            </w:tcBorders>
            <w:noWrap/>
            <w:vAlign w:val="center"/>
            <w:hideMark/>
          </w:tcPr>
          <w:p w14:paraId="3C015B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37248855</w:t>
            </w:r>
          </w:p>
        </w:tc>
        <w:tc>
          <w:tcPr>
            <w:tcW w:w="5953" w:type="dxa"/>
            <w:tcBorders>
              <w:top w:val="nil"/>
              <w:left w:val="nil"/>
              <w:bottom w:val="single" w:sz="4" w:space="0" w:color="auto"/>
              <w:right w:val="single" w:sz="4" w:space="0" w:color="auto"/>
            </w:tcBorders>
            <w:noWrap/>
            <w:vAlign w:val="center"/>
            <w:hideMark/>
          </w:tcPr>
          <w:p w14:paraId="1B28B7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POBREŽJE MARIBOR</w:t>
            </w:r>
          </w:p>
        </w:tc>
      </w:tr>
      <w:tr w:rsidR="00F24E18" w14:paraId="746EFB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FCF1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2004</w:t>
            </w:r>
          </w:p>
        </w:tc>
        <w:tc>
          <w:tcPr>
            <w:tcW w:w="1300" w:type="dxa"/>
            <w:tcBorders>
              <w:top w:val="nil"/>
              <w:left w:val="nil"/>
              <w:bottom w:val="single" w:sz="4" w:space="0" w:color="auto"/>
              <w:right w:val="single" w:sz="4" w:space="0" w:color="auto"/>
            </w:tcBorders>
            <w:noWrap/>
            <w:vAlign w:val="center"/>
            <w:hideMark/>
          </w:tcPr>
          <w:p w14:paraId="6BB75F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1942875000</w:t>
            </w:r>
          </w:p>
        </w:tc>
        <w:tc>
          <w:tcPr>
            <w:tcW w:w="1012" w:type="dxa"/>
            <w:tcBorders>
              <w:top w:val="nil"/>
              <w:left w:val="nil"/>
              <w:bottom w:val="single" w:sz="4" w:space="0" w:color="auto"/>
              <w:right w:val="single" w:sz="4" w:space="0" w:color="auto"/>
            </w:tcBorders>
            <w:noWrap/>
            <w:vAlign w:val="center"/>
            <w:hideMark/>
          </w:tcPr>
          <w:p w14:paraId="74E40A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65082753</w:t>
            </w:r>
          </w:p>
        </w:tc>
        <w:tc>
          <w:tcPr>
            <w:tcW w:w="5953" w:type="dxa"/>
            <w:tcBorders>
              <w:top w:val="nil"/>
              <w:left w:val="nil"/>
              <w:bottom w:val="single" w:sz="4" w:space="0" w:color="auto"/>
              <w:right w:val="single" w:sz="4" w:space="0" w:color="auto"/>
            </w:tcBorders>
            <w:noWrap/>
            <w:vAlign w:val="center"/>
            <w:hideMark/>
          </w:tcPr>
          <w:p w14:paraId="6B6749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POD GRADOM</w:t>
            </w:r>
          </w:p>
        </w:tc>
      </w:tr>
      <w:tr w:rsidR="00F24E18" w14:paraId="7DA8404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AC46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2005</w:t>
            </w:r>
          </w:p>
        </w:tc>
        <w:tc>
          <w:tcPr>
            <w:tcW w:w="1300" w:type="dxa"/>
            <w:tcBorders>
              <w:top w:val="nil"/>
              <w:left w:val="nil"/>
              <w:bottom w:val="single" w:sz="4" w:space="0" w:color="auto"/>
              <w:right w:val="single" w:sz="4" w:space="0" w:color="auto"/>
            </w:tcBorders>
            <w:vAlign w:val="center"/>
            <w:hideMark/>
          </w:tcPr>
          <w:p w14:paraId="4C1ED0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5051363000</w:t>
            </w:r>
          </w:p>
        </w:tc>
        <w:tc>
          <w:tcPr>
            <w:tcW w:w="1012" w:type="dxa"/>
            <w:tcBorders>
              <w:top w:val="nil"/>
              <w:left w:val="nil"/>
              <w:bottom w:val="single" w:sz="4" w:space="0" w:color="auto"/>
              <w:right w:val="single" w:sz="4" w:space="0" w:color="auto"/>
            </w:tcBorders>
            <w:vAlign w:val="center"/>
            <w:hideMark/>
          </w:tcPr>
          <w:p w14:paraId="5541FB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36178144</w:t>
            </w:r>
          </w:p>
        </w:tc>
        <w:tc>
          <w:tcPr>
            <w:tcW w:w="5953" w:type="dxa"/>
            <w:tcBorders>
              <w:top w:val="nil"/>
              <w:left w:val="nil"/>
              <w:bottom w:val="single" w:sz="4" w:space="0" w:color="auto"/>
              <w:right w:val="single" w:sz="4" w:space="0" w:color="auto"/>
            </w:tcBorders>
            <w:noWrap/>
            <w:vAlign w:val="center"/>
            <w:hideMark/>
          </w:tcPr>
          <w:p w14:paraId="5F5FEA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POSTOJNA</w:t>
            </w:r>
          </w:p>
        </w:tc>
      </w:tr>
      <w:tr w:rsidR="00F24E18" w14:paraId="4446AF3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B7B6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2006</w:t>
            </w:r>
          </w:p>
        </w:tc>
        <w:tc>
          <w:tcPr>
            <w:tcW w:w="1300" w:type="dxa"/>
            <w:tcBorders>
              <w:top w:val="nil"/>
              <w:left w:val="nil"/>
              <w:bottom w:val="single" w:sz="4" w:space="0" w:color="auto"/>
              <w:right w:val="single" w:sz="4" w:space="0" w:color="auto"/>
            </w:tcBorders>
            <w:vAlign w:val="center"/>
            <w:hideMark/>
          </w:tcPr>
          <w:p w14:paraId="34DD14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5050731000</w:t>
            </w:r>
          </w:p>
        </w:tc>
        <w:tc>
          <w:tcPr>
            <w:tcW w:w="1012" w:type="dxa"/>
            <w:tcBorders>
              <w:top w:val="nil"/>
              <w:left w:val="nil"/>
              <w:bottom w:val="single" w:sz="4" w:space="0" w:color="auto"/>
              <w:right w:val="single" w:sz="4" w:space="0" w:color="auto"/>
            </w:tcBorders>
            <w:vAlign w:val="center"/>
            <w:hideMark/>
          </w:tcPr>
          <w:p w14:paraId="205E2F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26279789</w:t>
            </w:r>
          </w:p>
        </w:tc>
        <w:tc>
          <w:tcPr>
            <w:tcW w:w="5953" w:type="dxa"/>
            <w:tcBorders>
              <w:top w:val="nil"/>
              <w:left w:val="nil"/>
              <w:bottom w:val="single" w:sz="4" w:space="0" w:color="auto"/>
              <w:right w:val="single" w:sz="4" w:space="0" w:color="auto"/>
            </w:tcBorders>
            <w:noWrap/>
            <w:vAlign w:val="center"/>
            <w:hideMark/>
          </w:tcPr>
          <w:p w14:paraId="58620A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PTUJ</w:t>
            </w:r>
          </w:p>
        </w:tc>
      </w:tr>
      <w:tr w:rsidR="00F24E18" w14:paraId="6E4AACC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BD04B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2007</w:t>
            </w:r>
          </w:p>
        </w:tc>
        <w:tc>
          <w:tcPr>
            <w:tcW w:w="1300" w:type="dxa"/>
            <w:tcBorders>
              <w:top w:val="nil"/>
              <w:left w:val="nil"/>
              <w:bottom w:val="single" w:sz="4" w:space="0" w:color="auto"/>
              <w:right w:val="single" w:sz="4" w:space="0" w:color="auto"/>
            </w:tcBorders>
            <w:noWrap/>
            <w:vAlign w:val="center"/>
            <w:hideMark/>
          </w:tcPr>
          <w:p w14:paraId="7C6B70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5050901000</w:t>
            </w:r>
          </w:p>
        </w:tc>
        <w:tc>
          <w:tcPr>
            <w:tcW w:w="1012" w:type="dxa"/>
            <w:tcBorders>
              <w:top w:val="nil"/>
              <w:left w:val="nil"/>
              <w:bottom w:val="single" w:sz="4" w:space="0" w:color="auto"/>
              <w:right w:val="single" w:sz="4" w:space="0" w:color="auto"/>
            </w:tcBorders>
            <w:noWrap/>
            <w:vAlign w:val="center"/>
            <w:hideMark/>
          </w:tcPr>
          <w:p w14:paraId="40D212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82002665</w:t>
            </w:r>
          </w:p>
        </w:tc>
        <w:tc>
          <w:tcPr>
            <w:tcW w:w="5953" w:type="dxa"/>
            <w:tcBorders>
              <w:top w:val="nil"/>
              <w:left w:val="nil"/>
              <w:bottom w:val="single" w:sz="4" w:space="0" w:color="auto"/>
              <w:right w:val="single" w:sz="4" w:space="0" w:color="auto"/>
            </w:tcBorders>
            <w:noWrap/>
            <w:vAlign w:val="center"/>
            <w:hideMark/>
          </w:tcPr>
          <w:p w14:paraId="561E951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RADENCI - RADENSKI MEHURČKI</w:t>
            </w:r>
          </w:p>
        </w:tc>
      </w:tr>
      <w:tr w:rsidR="00F24E18" w14:paraId="28DFF82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1D45B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2008</w:t>
            </w:r>
          </w:p>
        </w:tc>
        <w:tc>
          <w:tcPr>
            <w:tcW w:w="1300" w:type="dxa"/>
            <w:tcBorders>
              <w:top w:val="nil"/>
              <w:left w:val="nil"/>
              <w:bottom w:val="single" w:sz="4" w:space="0" w:color="auto"/>
              <w:right w:val="single" w:sz="4" w:space="0" w:color="auto"/>
            </w:tcBorders>
            <w:vAlign w:val="center"/>
            <w:hideMark/>
          </w:tcPr>
          <w:p w14:paraId="0AB560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5056047000</w:t>
            </w:r>
          </w:p>
        </w:tc>
        <w:tc>
          <w:tcPr>
            <w:tcW w:w="1012" w:type="dxa"/>
            <w:tcBorders>
              <w:top w:val="nil"/>
              <w:left w:val="nil"/>
              <w:bottom w:val="single" w:sz="4" w:space="0" w:color="auto"/>
              <w:right w:val="single" w:sz="4" w:space="0" w:color="auto"/>
            </w:tcBorders>
            <w:vAlign w:val="center"/>
            <w:hideMark/>
          </w:tcPr>
          <w:p w14:paraId="6B3F49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24132497</w:t>
            </w:r>
          </w:p>
        </w:tc>
        <w:tc>
          <w:tcPr>
            <w:tcW w:w="5953" w:type="dxa"/>
            <w:tcBorders>
              <w:top w:val="nil"/>
              <w:left w:val="nil"/>
              <w:bottom w:val="single" w:sz="4" w:space="0" w:color="auto"/>
              <w:right w:val="single" w:sz="4" w:space="0" w:color="auto"/>
            </w:tcBorders>
            <w:noWrap/>
            <w:vAlign w:val="center"/>
            <w:hideMark/>
          </w:tcPr>
          <w:p w14:paraId="75F73C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RADOVLJICA</w:t>
            </w:r>
          </w:p>
        </w:tc>
      </w:tr>
      <w:tr w:rsidR="00F24E18" w14:paraId="3B2EB8A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3F4C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2009</w:t>
            </w:r>
          </w:p>
        </w:tc>
        <w:tc>
          <w:tcPr>
            <w:tcW w:w="1300" w:type="dxa"/>
            <w:tcBorders>
              <w:top w:val="nil"/>
              <w:left w:val="nil"/>
              <w:bottom w:val="single" w:sz="4" w:space="0" w:color="auto"/>
              <w:right w:val="single" w:sz="4" w:space="0" w:color="auto"/>
            </w:tcBorders>
            <w:noWrap/>
            <w:vAlign w:val="center"/>
            <w:hideMark/>
          </w:tcPr>
          <w:p w14:paraId="1E6998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1563785000</w:t>
            </w:r>
          </w:p>
        </w:tc>
        <w:tc>
          <w:tcPr>
            <w:tcW w:w="1012" w:type="dxa"/>
            <w:tcBorders>
              <w:top w:val="nil"/>
              <w:left w:val="nil"/>
              <w:bottom w:val="single" w:sz="4" w:space="0" w:color="auto"/>
              <w:right w:val="single" w:sz="4" w:space="0" w:color="auto"/>
            </w:tcBorders>
            <w:noWrap/>
            <w:vAlign w:val="center"/>
            <w:hideMark/>
          </w:tcPr>
          <w:p w14:paraId="541B35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37513192</w:t>
            </w:r>
          </w:p>
        </w:tc>
        <w:tc>
          <w:tcPr>
            <w:tcW w:w="5953" w:type="dxa"/>
            <w:tcBorders>
              <w:top w:val="nil"/>
              <w:left w:val="nil"/>
              <w:bottom w:val="single" w:sz="4" w:space="0" w:color="auto"/>
              <w:right w:val="single" w:sz="4" w:space="0" w:color="auto"/>
            </w:tcBorders>
            <w:noWrap/>
            <w:vAlign w:val="center"/>
            <w:hideMark/>
          </w:tcPr>
          <w:p w14:paraId="32DF4A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RAVNE NA KOROŠKEM</w:t>
            </w:r>
          </w:p>
        </w:tc>
      </w:tr>
      <w:tr w:rsidR="00F24E18" w14:paraId="3A8413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6DEF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2010</w:t>
            </w:r>
          </w:p>
        </w:tc>
        <w:tc>
          <w:tcPr>
            <w:tcW w:w="1300" w:type="dxa"/>
            <w:tcBorders>
              <w:top w:val="nil"/>
              <w:left w:val="nil"/>
              <w:bottom w:val="single" w:sz="4" w:space="0" w:color="auto"/>
              <w:right w:val="single" w:sz="4" w:space="0" w:color="auto"/>
            </w:tcBorders>
            <w:noWrap/>
            <w:vAlign w:val="center"/>
            <w:hideMark/>
          </w:tcPr>
          <w:p w14:paraId="3688DF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5160910000</w:t>
            </w:r>
          </w:p>
        </w:tc>
        <w:tc>
          <w:tcPr>
            <w:tcW w:w="1012" w:type="dxa"/>
            <w:tcBorders>
              <w:top w:val="nil"/>
              <w:left w:val="nil"/>
              <w:bottom w:val="single" w:sz="4" w:space="0" w:color="auto"/>
              <w:right w:val="single" w:sz="4" w:space="0" w:color="auto"/>
            </w:tcBorders>
            <w:noWrap/>
            <w:vAlign w:val="center"/>
            <w:hideMark/>
          </w:tcPr>
          <w:p w14:paraId="3C019C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57441138</w:t>
            </w:r>
          </w:p>
        </w:tc>
        <w:tc>
          <w:tcPr>
            <w:tcW w:w="5953" w:type="dxa"/>
            <w:tcBorders>
              <w:top w:val="nil"/>
              <w:left w:val="nil"/>
              <w:bottom w:val="single" w:sz="4" w:space="0" w:color="auto"/>
              <w:right w:val="single" w:sz="4" w:space="0" w:color="auto"/>
            </w:tcBorders>
            <w:noWrap/>
            <w:vAlign w:val="center"/>
            <w:hideMark/>
          </w:tcPr>
          <w:p w14:paraId="24D5D6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RIBNICA</w:t>
            </w:r>
          </w:p>
        </w:tc>
      </w:tr>
      <w:tr w:rsidR="00F24E18" w14:paraId="50C6706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F907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2011</w:t>
            </w:r>
          </w:p>
        </w:tc>
        <w:tc>
          <w:tcPr>
            <w:tcW w:w="1300" w:type="dxa"/>
            <w:tcBorders>
              <w:top w:val="nil"/>
              <w:left w:val="nil"/>
              <w:bottom w:val="single" w:sz="4" w:space="0" w:color="auto"/>
              <w:right w:val="single" w:sz="4" w:space="0" w:color="auto"/>
            </w:tcBorders>
            <w:vAlign w:val="center"/>
            <w:hideMark/>
          </w:tcPr>
          <w:p w14:paraId="279CCE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5210437000</w:t>
            </w:r>
          </w:p>
        </w:tc>
        <w:tc>
          <w:tcPr>
            <w:tcW w:w="1012" w:type="dxa"/>
            <w:tcBorders>
              <w:top w:val="nil"/>
              <w:left w:val="nil"/>
              <w:bottom w:val="single" w:sz="4" w:space="0" w:color="auto"/>
              <w:right w:val="single" w:sz="4" w:space="0" w:color="auto"/>
            </w:tcBorders>
            <w:vAlign w:val="center"/>
            <w:hideMark/>
          </w:tcPr>
          <w:p w14:paraId="45AC1D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93785046</w:t>
            </w:r>
          </w:p>
        </w:tc>
        <w:tc>
          <w:tcPr>
            <w:tcW w:w="5953" w:type="dxa"/>
            <w:tcBorders>
              <w:top w:val="nil"/>
              <w:left w:val="nil"/>
              <w:bottom w:val="single" w:sz="4" w:space="0" w:color="auto"/>
              <w:right w:val="single" w:sz="4" w:space="0" w:color="auto"/>
            </w:tcBorders>
            <w:noWrap/>
            <w:vAlign w:val="center"/>
            <w:hideMark/>
          </w:tcPr>
          <w:p w14:paraId="76F5DA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SEŽANA</w:t>
            </w:r>
          </w:p>
        </w:tc>
      </w:tr>
      <w:tr w:rsidR="00F24E18" w14:paraId="7D8BA7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D32B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2012</w:t>
            </w:r>
          </w:p>
        </w:tc>
        <w:tc>
          <w:tcPr>
            <w:tcW w:w="1300" w:type="dxa"/>
            <w:tcBorders>
              <w:top w:val="nil"/>
              <w:left w:val="nil"/>
              <w:bottom w:val="single" w:sz="4" w:space="0" w:color="auto"/>
              <w:right w:val="single" w:sz="4" w:space="0" w:color="auto"/>
            </w:tcBorders>
            <w:noWrap/>
            <w:vAlign w:val="center"/>
            <w:hideMark/>
          </w:tcPr>
          <w:p w14:paraId="2B2B94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5050456000</w:t>
            </w:r>
          </w:p>
        </w:tc>
        <w:tc>
          <w:tcPr>
            <w:tcW w:w="1012" w:type="dxa"/>
            <w:tcBorders>
              <w:top w:val="nil"/>
              <w:left w:val="nil"/>
              <w:bottom w:val="single" w:sz="4" w:space="0" w:color="auto"/>
              <w:right w:val="single" w:sz="4" w:space="0" w:color="auto"/>
            </w:tcBorders>
            <w:noWrap/>
            <w:vAlign w:val="center"/>
            <w:hideMark/>
          </w:tcPr>
          <w:p w14:paraId="41ED76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14644231</w:t>
            </w:r>
          </w:p>
        </w:tc>
        <w:tc>
          <w:tcPr>
            <w:tcW w:w="5953" w:type="dxa"/>
            <w:tcBorders>
              <w:top w:val="nil"/>
              <w:left w:val="nil"/>
              <w:bottom w:val="single" w:sz="4" w:space="0" w:color="auto"/>
              <w:right w:val="single" w:sz="4" w:space="0" w:color="auto"/>
            </w:tcBorders>
            <w:noWrap/>
            <w:vAlign w:val="center"/>
            <w:hideMark/>
          </w:tcPr>
          <w:p w14:paraId="4DF650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STUDENCI MARIBOR</w:t>
            </w:r>
          </w:p>
        </w:tc>
      </w:tr>
      <w:tr w:rsidR="00F24E18" w14:paraId="358F989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9F3E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2013</w:t>
            </w:r>
          </w:p>
        </w:tc>
        <w:tc>
          <w:tcPr>
            <w:tcW w:w="1300" w:type="dxa"/>
            <w:tcBorders>
              <w:top w:val="nil"/>
              <w:left w:val="nil"/>
              <w:bottom w:val="single" w:sz="4" w:space="0" w:color="auto"/>
              <w:right w:val="single" w:sz="4" w:space="0" w:color="auto"/>
            </w:tcBorders>
            <w:vAlign w:val="center"/>
            <w:hideMark/>
          </w:tcPr>
          <w:p w14:paraId="0538E6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5050707000</w:t>
            </w:r>
          </w:p>
        </w:tc>
        <w:tc>
          <w:tcPr>
            <w:tcW w:w="1012" w:type="dxa"/>
            <w:tcBorders>
              <w:top w:val="nil"/>
              <w:left w:val="nil"/>
              <w:bottom w:val="single" w:sz="4" w:space="0" w:color="auto"/>
              <w:right w:val="single" w:sz="4" w:space="0" w:color="auto"/>
            </w:tcBorders>
            <w:vAlign w:val="center"/>
            <w:hideMark/>
          </w:tcPr>
          <w:p w14:paraId="72F1DC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68729707</w:t>
            </w:r>
          </w:p>
        </w:tc>
        <w:tc>
          <w:tcPr>
            <w:tcW w:w="5953" w:type="dxa"/>
            <w:tcBorders>
              <w:top w:val="nil"/>
              <w:left w:val="nil"/>
              <w:bottom w:val="single" w:sz="4" w:space="0" w:color="auto"/>
              <w:right w:val="single" w:sz="4" w:space="0" w:color="auto"/>
            </w:tcBorders>
            <w:noWrap/>
            <w:vAlign w:val="center"/>
            <w:hideMark/>
          </w:tcPr>
          <w:p w14:paraId="43ABEC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ŠENTJUR OBČINA ŠENTJUR PRI CELJU</w:t>
            </w:r>
          </w:p>
        </w:tc>
      </w:tr>
      <w:tr w:rsidR="00F24E18" w14:paraId="322EB7B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0DCCAF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2014</w:t>
            </w:r>
          </w:p>
        </w:tc>
        <w:tc>
          <w:tcPr>
            <w:tcW w:w="1300" w:type="dxa"/>
            <w:tcBorders>
              <w:top w:val="nil"/>
              <w:left w:val="nil"/>
              <w:bottom w:val="single" w:sz="4" w:space="0" w:color="auto"/>
              <w:right w:val="single" w:sz="4" w:space="0" w:color="auto"/>
            </w:tcBorders>
            <w:vAlign w:val="center"/>
            <w:hideMark/>
          </w:tcPr>
          <w:p w14:paraId="116258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5057043000</w:t>
            </w:r>
          </w:p>
        </w:tc>
        <w:tc>
          <w:tcPr>
            <w:tcW w:w="1012" w:type="dxa"/>
            <w:tcBorders>
              <w:top w:val="nil"/>
              <w:left w:val="nil"/>
              <w:bottom w:val="single" w:sz="4" w:space="0" w:color="auto"/>
              <w:right w:val="single" w:sz="4" w:space="0" w:color="auto"/>
            </w:tcBorders>
            <w:vAlign w:val="center"/>
            <w:hideMark/>
          </w:tcPr>
          <w:p w14:paraId="04E3E4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78844908</w:t>
            </w:r>
          </w:p>
        </w:tc>
        <w:tc>
          <w:tcPr>
            <w:tcW w:w="5953" w:type="dxa"/>
            <w:tcBorders>
              <w:top w:val="nil"/>
              <w:left w:val="nil"/>
              <w:bottom w:val="single" w:sz="4" w:space="0" w:color="auto"/>
              <w:right w:val="single" w:sz="4" w:space="0" w:color="auto"/>
            </w:tcBorders>
            <w:noWrap/>
            <w:vAlign w:val="center"/>
            <w:hideMark/>
          </w:tcPr>
          <w:p w14:paraId="35CDC5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ŠENTVID</w:t>
            </w:r>
          </w:p>
        </w:tc>
      </w:tr>
      <w:tr w:rsidR="00F24E18" w14:paraId="3300CB2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4ABE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2015</w:t>
            </w:r>
          </w:p>
        </w:tc>
        <w:tc>
          <w:tcPr>
            <w:tcW w:w="1300" w:type="dxa"/>
            <w:tcBorders>
              <w:top w:val="nil"/>
              <w:left w:val="nil"/>
              <w:bottom w:val="single" w:sz="4" w:space="0" w:color="auto"/>
              <w:right w:val="single" w:sz="4" w:space="0" w:color="auto"/>
            </w:tcBorders>
            <w:noWrap/>
            <w:vAlign w:val="center"/>
            <w:hideMark/>
          </w:tcPr>
          <w:p w14:paraId="5F6E7D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5050774000</w:t>
            </w:r>
          </w:p>
        </w:tc>
        <w:tc>
          <w:tcPr>
            <w:tcW w:w="1012" w:type="dxa"/>
            <w:tcBorders>
              <w:top w:val="nil"/>
              <w:left w:val="nil"/>
              <w:bottom w:val="single" w:sz="4" w:space="0" w:color="auto"/>
              <w:right w:val="single" w:sz="4" w:space="0" w:color="auto"/>
            </w:tcBorders>
            <w:noWrap/>
            <w:vAlign w:val="center"/>
            <w:hideMark/>
          </w:tcPr>
          <w:p w14:paraId="2CE080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68343663</w:t>
            </w:r>
          </w:p>
        </w:tc>
        <w:tc>
          <w:tcPr>
            <w:tcW w:w="5953" w:type="dxa"/>
            <w:tcBorders>
              <w:top w:val="nil"/>
              <w:left w:val="nil"/>
              <w:bottom w:val="single" w:sz="4" w:space="0" w:color="auto"/>
              <w:right w:val="single" w:sz="4" w:space="0" w:color="auto"/>
            </w:tcBorders>
            <w:noWrap/>
            <w:vAlign w:val="center"/>
            <w:hideMark/>
          </w:tcPr>
          <w:p w14:paraId="3BBBE9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ŠKOFJA LOKA</w:t>
            </w:r>
          </w:p>
        </w:tc>
      </w:tr>
      <w:tr w:rsidR="00F24E18" w14:paraId="125DDD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7E2B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2016</w:t>
            </w:r>
          </w:p>
        </w:tc>
        <w:tc>
          <w:tcPr>
            <w:tcW w:w="1300" w:type="dxa"/>
            <w:tcBorders>
              <w:top w:val="nil"/>
              <w:left w:val="nil"/>
              <w:bottom w:val="single" w:sz="4" w:space="0" w:color="auto"/>
              <w:right w:val="single" w:sz="4" w:space="0" w:color="auto"/>
            </w:tcBorders>
            <w:noWrap/>
            <w:vAlign w:val="center"/>
            <w:hideMark/>
          </w:tcPr>
          <w:p w14:paraId="436502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3356884000</w:t>
            </w:r>
          </w:p>
        </w:tc>
        <w:tc>
          <w:tcPr>
            <w:tcW w:w="1012" w:type="dxa"/>
            <w:tcBorders>
              <w:top w:val="nil"/>
              <w:left w:val="nil"/>
              <w:bottom w:val="single" w:sz="4" w:space="0" w:color="auto"/>
              <w:right w:val="single" w:sz="4" w:space="0" w:color="auto"/>
            </w:tcBorders>
            <w:noWrap/>
            <w:vAlign w:val="center"/>
            <w:hideMark/>
          </w:tcPr>
          <w:p w14:paraId="1527F8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47230916</w:t>
            </w:r>
          </w:p>
        </w:tc>
        <w:tc>
          <w:tcPr>
            <w:tcW w:w="5953" w:type="dxa"/>
            <w:tcBorders>
              <w:top w:val="nil"/>
              <w:left w:val="nil"/>
              <w:bottom w:val="single" w:sz="4" w:space="0" w:color="auto"/>
              <w:right w:val="single" w:sz="4" w:space="0" w:color="auto"/>
            </w:tcBorders>
            <w:noWrap/>
            <w:vAlign w:val="center"/>
            <w:hideMark/>
          </w:tcPr>
          <w:p w14:paraId="396FD5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ŠKRATEK SVIT VODICE</w:t>
            </w:r>
          </w:p>
        </w:tc>
      </w:tr>
      <w:tr w:rsidR="00F24E18" w14:paraId="041077D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610D1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2017</w:t>
            </w:r>
          </w:p>
        </w:tc>
        <w:tc>
          <w:tcPr>
            <w:tcW w:w="1300" w:type="dxa"/>
            <w:tcBorders>
              <w:top w:val="nil"/>
              <w:left w:val="nil"/>
              <w:bottom w:val="single" w:sz="4" w:space="0" w:color="auto"/>
              <w:right w:val="single" w:sz="4" w:space="0" w:color="auto"/>
            </w:tcBorders>
            <w:noWrap/>
            <w:vAlign w:val="center"/>
            <w:hideMark/>
          </w:tcPr>
          <w:p w14:paraId="3E36E2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5057124000</w:t>
            </w:r>
          </w:p>
        </w:tc>
        <w:tc>
          <w:tcPr>
            <w:tcW w:w="1012" w:type="dxa"/>
            <w:tcBorders>
              <w:top w:val="nil"/>
              <w:left w:val="nil"/>
              <w:bottom w:val="single" w:sz="4" w:space="0" w:color="auto"/>
              <w:right w:val="single" w:sz="4" w:space="0" w:color="auto"/>
            </w:tcBorders>
            <w:noWrap/>
            <w:vAlign w:val="center"/>
            <w:hideMark/>
          </w:tcPr>
          <w:p w14:paraId="5AAA98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77409949</w:t>
            </w:r>
          </w:p>
        </w:tc>
        <w:tc>
          <w:tcPr>
            <w:tcW w:w="5953" w:type="dxa"/>
            <w:tcBorders>
              <w:top w:val="nil"/>
              <w:left w:val="nil"/>
              <w:bottom w:val="single" w:sz="4" w:space="0" w:color="auto"/>
              <w:right w:val="single" w:sz="4" w:space="0" w:color="auto"/>
            </w:tcBorders>
            <w:noWrap/>
            <w:vAlign w:val="center"/>
            <w:hideMark/>
          </w:tcPr>
          <w:p w14:paraId="5DAAFF4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ŠOŠTANJ</w:t>
            </w:r>
          </w:p>
        </w:tc>
      </w:tr>
      <w:tr w:rsidR="00F24E18" w14:paraId="79555A1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6D2A1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2018</w:t>
            </w:r>
          </w:p>
        </w:tc>
        <w:tc>
          <w:tcPr>
            <w:tcW w:w="1300" w:type="dxa"/>
            <w:tcBorders>
              <w:top w:val="nil"/>
              <w:left w:val="nil"/>
              <w:bottom w:val="single" w:sz="4" w:space="0" w:color="auto"/>
              <w:right w:val="single" w:sz="4" w:space="0" w:color="auto"/>
            </w:tcBorders>
            <w:noWrap/>
            <w:vAlign w:val="center"/>
            <w:hideMark/>
          </w:tcPr>
          <w:p w14:paraId="599D3E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5051282000</w:t>
            </w:r>
          </w:p>
        </w:tc>
        <w:tc>
          <w:tcPr>
            <w:tcW w:w="1012" w:type="dxa"/>
            <w:tcBorders>
              <w:top w:val="nil"/>
              <w:left w:val="nil"/>
              <w:bottom w:val="single" w:sz="4" w:space="0" w:color="auto"/>
              <w:right w:val="single" w:sz="4" w:space="0" w:color="auto"/>
            </w:tcBorders>
            <w:noWrap/>
            <w:vAlign w:val="center"/>
            <w:hideMark/>
          </w:tcPr>
          <w:p w14:paraId="007F1A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59040688</w:t>
            </w:r>
          </w:p>
        </w:tc>
        <w:tc>
          <w:tcPr>
            <w:tcW w:w="5953" w:type="dxa"/>
            <w:tcBorders>
              <w:top w:val="nil"/>
              <w:left w:val="nil"/>
              <w:bottom w:val="single" w:sz="4" w:space="0" w:color="auto"/>
              <w:right w:val="single" w:sz="4" w:space="0" w:color="auto"/>
            </w:tcBorders>
            <w:noWrap/>
            <w:vAlign w:val="center"/>
            <w:hideMark/>
          </w:tcPr>
          <w:p w14:paraId="273362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TEZNO MARIBOR</w:t>
            </w:r>
          </w:p>
        </w:tc>
      </w:tr>
      <w:tr w:rsidR="00F24E18" w14:paraId="0046C1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A6D97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2019</w:t>
            </w:r>
          </w:p>
        </w:tc>
        <w:tc>
          <w:tcPr>
            <w:tcW w:w="1300" w:type="dxa"/>
            <w:tcBorders>
              <w:top w:val="nil"/>
              <w:left w:val="nil"/>
              <w:bottom w:val="single" w:sz="4" w:space="0" w:color="auto"/>
              <w:right w:val="single" w:sz="4" w:space="0" w:color="auto"/>
            </w:tcBorders>
            <w:vAlign w:val="center"/>
            <w:hideMark/>
          </w:tcPr>
          <w:p w14:paraId="395457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5050863000</w:t>
            </w:r>
          </w:p>
        </w:tc>
        <w:tc>
          <w:tcPr>
            <w:tcW w:w="1012" w:type="dxa"/>
            <w:tcBorders>
              <w:top w:val="nil"/>
              <w:left w:val="nil"/>
              <w:bottom w:val="single" w:sz="4" w:space="0" w:color="auto"/>
              <w:right w:val="single" w:sz="4" w:space="0" w:color="auto"/>
            </w:tcBorders>
            <w:vAlign w:val="center"/>
            <w:hideMark/>
          </w:tcPr>
          <w:p w14:paraId="73ABA5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74474146</w:t>
            </w:r>
          </w:p>
        </w:tc>
        <w:tc>
          <w:tcPr>
            <w:tcW w:w="5953" w:type="dxa"/>
            <w:tcBorders>
              <w:top w:val="nil"/>
              <w:left w:val="nil"/>
              <w:bottom w:val="single" w:sz="4" w:space="0" w:color="auto"/>
              <w:right w:val="single" w:sz="4" w:space="0" w:color="auto"/>
            </w:tcBorders>
            <w:noWrap/>
            <w:vAlign w:val="center"/>
            <w:hideMark/>
          </w:tcPr>
          <w:p w14:paraId="1AE5E3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TONČKE ČEČEVE</w:t>
            </w:r>
          </w:p>
        </w:tc>
      </w:tr>
      <w:tr w:rsidR="00F24E18" w14:paraId="7A3E673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8B6F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2020</w:t>
            </w:r>
          </w:p>
        </w:tc>
        <w:tc>
          <w:tcPr>
            <w:tcW w:w="1300" w:type="dxa"/>
            <w:tcBorders>
              <w:top w:val="nil"/>
              <w:left w:val="nil"/>
              <w:bottom w:val="single" w:sz="4" w:space="0" w:color="auto"/>
              <w:right w:val="single" w:sz="4" w:space="0" w:color="auto"/>
            </w:tcBorders>
            <w:noWrap/>
            <w:vAlign w:val="center"/>
            <w:hideMark/>
          </w:tcPr>
          <w:p w14:paraId="413315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5056713000</w:t>
            </w:r>
          </w:p>
        </w:tc>
        <w:tc>
          <w:tcPr>
            <w:tcW w:w="1012" w:type="dxa"/>
            <w:tcBorders>
              <w:top w:val="nil"/>
              <w:left w:val="nil"/>
              <w:bottom w:val="single" w:sz="4" w:space="0" w:color="auto"/>
              <w:right w:val="single" w:sz="4" w:space="0" w:color="auto"/>
            </w:tcBorders>
            <w:noWrap/>
            <w:vAlign w:val="center"/>
            <w:hideMark/>
          </w:tcPr>
          <w:p w14:paraId="5FC85B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55067514</w:t>
            </w:r>
          </w:p>
        </w:tc>
        <w:tc>
          <w:tcPr>
            <w:tcW w:w="5953" w:type="dxa"/>
            <w:tcBorders>
              <w:top w:val="nil"/>
              <w:left w:val="nil"/>
              <w:bottom w:val="single" w:sz="4" w:space="0" w:color="auto"/>
              <w:right w:val="single" w:sz="4" w:space="0" w:color="auto"/>
            </w:tcBorders>
            <w:noWrap/>
            <w:vAlign w:val="center"/>
            <w:hideMark/>
          </w:tcPr>
          <w:p w14:paraId="24660E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TRBOVLJE</w:t>
            </w:r>
          </w:p>
        </w:tc>
      </w:tr>
      <w:tr w:rsidR="00F24E18" w14:paraId="463CEEA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09EC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2021</w:t>
            </w:r>
          </w:p>
        </w:tc>
        <w:tc>
          <w:tcPr>
            <w:tcW w:w="1300" w:type="dxa"/>
            <w:tcBorders>
              <w:top w:val="nil"/>
              <w:left w:val="nil"/>
              <w:bottom w:val="single" w:sz="4" w:space="0" w:color="auto"/>
              <w:right w:val="single" w:sz="4" w:space="0" w:color="auto"/>
            </w:tcBorders>
            <w:noWrap/>
            <w:vAlign w:val="center"/>
            <w:hideMark/>
          </w:tcPr>
          <w:p w14:paraId="62B7C7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1943367000</w:t>
            </w:r>
          </w:p>
        </w:tc>
        <w:tc>
          <w:tcPr>
            <w:tcW w:w="1012" w:type="dxa"/>
            <w:tcBorders>
              <w:top w:val="nil"/>
              <w:left w:val="nil"/>
              <w:bottom w:val="single" w:sz="4" w:space="0" w:color="auto"/>
              <w:right w:val="single" w:sz="4" w:space="0" w:color="auto"/>
            </w:tcBorders>
            <w:noWrap/>
            <w:vAlign w:val="center"/>
            <w:hideMark/>
          </w:tcPr>
          <w:p w14:paraId="3F7FC5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87247216</w:t>
            </w:r>
          </w:p>
        </w:tc>
        <w:tc>
          <w:tcPr>
            <w:tcW w:w="5953" w:type="dxa"/>
            <w:tcBorders>
              <w:top w:val="nil"/>
              <w:left w:val="nil"/>
              <w:bottom w:val="single" w:sz="4" w:space="0" w:color="auto"/>
              <w:right w:val="single" w:sz="4" w:space="0" w:color="auto"/>
            </w:tcBorders>
            <w:noWrap/>
            <w:vAlign w:val="center"/>
            <w:hideMark/>
          </w:tcPr>
          <w:p w14:paraId="23C48C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TRNOVO</w:t>
            </w:r>
          </w:p>
        </w:tc>
      </w:tr>
      <w:tr w:rsidR="00F24E18" w14:paraId="270C577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9CCE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2022</w:t>
            </w:r>
          </w:p>
        </w:tc>
        <w:tc>
          <w:tcPr>
            <w:tcW w:w="1300" w:type="dxa"/>
            <w:tcBorders>
              <w:top w:val="nil"/>
              <w:left w:val="nil"/>
              <w:bottom w:val="single" w:sz="4" w:space="0" w:color="auto"/>
              <w:right w:val="single" w:sz="4" w:space="0" w:color="auto"/>
            </w:tcBorders>
            <w:noWrap/>
            <w:vAlign w:val="center"/>
            <w:hideMark/>
          </w:tcPr>
          <w:p w14:paraId="5CB7FB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5055881000</w:t>
            </w:r>
          </w:p>
        </w:tc>
        <w:tc>
          <w:tcPr>
            <w:tcW w:w="1012" w:type="dxa"/>
            <w:tcBorders>
              <w:top w:val="nil"/>
              <w:left w:val="nil"/>
              <w:bottom w:val="single" w:sz="4" w:space="0" w:color="auto"/>
              <w:right w:val="single" w:sz="4" w:space="0" w:color="auto"/>
            </w:tcBorders>
            <w:noWrap/>
            <w:vAlign w:val="center"/>
            <w:hideMark/>
          </w:tcPr>
          <w:p w14:paraId="192CBF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14279673</w:t>
            </w:r>
          </w:p>
        </w:tc>
        <w:tc>
          <w:tcPr>
            <w:tcW w:w="5953" w:type="dxa"/>
            <w:tcBorders>
              <w:top w:val="nil"/>
              <w:left w:val="nil"/>
              <w:bottom w:val="single" w:sz="4" w:space="0" w:color="auto"/>
              <w:right w:val="single" w:sz="4" w:space="0" w:color="auto"/>
            </w:tcBorders>
            <w:noWrap/>
            <w:vAlign w:val="center"/>
            <w:hideMark/>
          </w:tcPr>
          <w:p w14:paraId="64B5A1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TRŽIČ</w:t>
            </w:r>
          </w:p>
        </w:tc>
      </w:tr>
      <w:tr w:rsidR="00F24E18" w14:paraId="4FCC85A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F833F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2023</w:t>
            </w:r>
          </w:p>
        </w:tc>
        <w:tc>
          <w:tcPr>
            <w:tcW w:w="1300" w:type="dxa"/>
            <w:tcBorders>
              <w:top w:val="nil"/>
              <w:left w:val="nil"/>
              <w:bottom w:val="single" w:sz="4" w:space="0" w:color="auto"/>
              <w:right w:val="single" w:sz="4" w:space="0" w:color="auto"/>
            </w:tcBorders>
            <w:noWrap/>
            <w:vAlign w:val="center"/>
            <w:hideMark/>
          </w:tcPr>
          <w:p w14:paraId="091893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1228102000</w:t>
            </w:r>
          </w:p>
        </w:tc>
        <w:tc>
          <w:tcPr>
            <w:tcW w:w="1012" w:type="dxa"/>
            <w:tcBorders>
              <w:top w:val="nil"/>
              <w:left w:val="nil"/>
              <w:bottom w:val="single" w:sz="4" w:space="0" w:color="auto"/>
              <w:right w:val="single" w:sz="4" w:space="0" w:color="auto"/>
            </w:tcBorders>
            <w:noWrap/>
            <w:vAlign w:val="center"/>
            <w:hideMark/>
          </w:tcPr>
          <w:p w14:paraId="0ECC369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67013457</w:t>
            </w:r>
          </w:p>
        </w:tc>
        <w:tc>
          <w:tcPr>
            <w:tcW w:w="5953" w:type="dxa"/>
            <w:tcBorders>
              <w:top w:val="nil"/>
              <w:left w:val="nil"/>
              <w:bottom w:val="single" w:sz="4" w:space="0" w:color="auto"/>
              <w:right w:val="single" w:sz="4" w:space="0" w:color="auto"/>
            </w:tcBorders>
            <w:noWrap/>
            <w:vAlign w:val="center"/>
            <w:hideMark/>
          </w:tcPr>
          <w:p w14:paraId="4B567B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URŠA</w:t>
            </w:r>
          </w:p>
        </w:tc>
      </w:tr>
      <w:tr w:rsidR="00F24E18" w14:paraId="245D218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4308C0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2024</w:t>
            </w:r>
          </w:p>
        </w:tc>
        <w:tc>
          <w:tcPr>
            <w:tcW w:w="1300" w:type="dxa"/>
            <w:tcBorders>
              <w:top w:val="nil"/>
              <w:left w:val="nil"/>
              <w:bottom w:val="single" w:sz="4" w:space="0" w:color="auto"/>
              <w:right w:val="single" w:sz="4" w:space="0" w:color="auto"/>
            </w:tcBorders>
            <w:vAlign w:val="center"/>
            <w:hideMark/>
          </w:tcPr>
          <w:p w14:paraId="05787D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5050812000</w:t>
            </w:r>
          </w:p>
        </w:tc>
        <w:tc>
          <w:tcPr>
            <w:tcW w:w="1012" w:type="dxa"/>
            <w:tcBorders>
              <w:top w:val="nil"/>
              <w:left w:val="nil"/>
              <w:bottom w:val="single" w:sz="4" w:space="0" w:color="auto"/>
              <w:right w:val="single" w:sz="4" w:space="0" w:color="auto"/>
            </w:tcBorders>
            <w:vAlign w:val="center"/>
            <w:hideMark/>
          </w:tcPr>
          <w:p w14:paraId="7A7A12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37857142</w:t>
            </w:r>
          </w:p>
        </w:tc>
        <w:tc>
          <w:tcPr>
            <w:tcW w:w="5953" w:type="dxa"/>
            <w:tcBorders>
              <w:top w:val="nil"/>
              <w:left w:val="nil"/>
              <w:bottom w:val="single" w:sz="4" w:space="0" w:color="auto"/>
              <w:right w:val="single" w:sz="4" w:space="0" w:color="auto"/>
            </w:tcBorders>
            <w:noWrap/>
            <w:vAlign w:val="center"/>
            <w:hideMark/>
          </w:tcPr>
          <w:p w14:paraId="3811F7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VELENJE</w:t>
            </w:r>
          </w:p>
        </w:tc>
      </w:tr>
      <w:tr w:rsidR="00F24E18" w14:paraId="173A6F1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DB59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2025</w:t>
            </w:r>
          </w:p>
        </w:tc>
        <w:tc>
          <w:tcPr>
            <w:tcW w:w="1300" w:type="dxa"/>
            <w:tcBorders>
              <w:top w:val="nil"/>
              <w:left w:val="nil"/>
              <w:bottom w:val="single" w:sz="4" w:space="0" w:color="auto"/>
              <w:right w:val="single" w:sz="4" w:space="0" w:color="auto"/>
            </w:tcBorders>
            <w:noWrap/>
            <w:vAlign w:val="center"/>
            <w:hideMark/>
          </w:tcPr>
          <w:p w14:paraId="3104BB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1943375000</w:t>
            </w:r>
          </w:p>
        </w:tc>
        <w:tc>
          <w:tcPr>
            <w:tcW w:w="1012" w:type="dxa"/>
            <w:tcBorders>
              <w:top w:val="nil"/>
              <w:left w:val="nil"/>
              <w:bottom w:val="single" w:sz="4" w:space="0" w:color="auto"/>
              <w:right w:val="single" w:sz="4" w:space="0" w:color="auto"/>
            </w:tcBorders>
            <w:noWrap/>
            <w:vAlign w:val="center"/>
            <w:hideMark/>
          </w:tcPr>
          <w:p w14:paraId="1D887C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53491467</w:t>
            </w:r>
          </w:p>
        </w:tc>
        <w:tc>
          <w:tcPr>
            <w:tcW w:w="5953" w:type="dxa"/>
            <w:tcBorders>
              <w:top w:val="nil"/>
              <w:left w:val="nil"/>
              <w:bottom w:val="single" w:sz="4" w:space="0" w:color="auto"/>
              <w:right w:val="single" w:sz="4" w:space="0" w:color="auto"/>
            </w:tcBorders>
            <w:noWrap/>
            <w:vAlign w:val="center"/>
            <w:hideMark/>
          </w:tcPr>
          <w:p w14:paraId="181922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VIŠKI GAJ</w:t>
            </w:r>
          </w:p>
        </w:tc>
      </w:tr>
      <w:tr w:rsidR="00F24E18" w14:paraId="236A92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C54A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2026</w:t>
            </w:r>
          </w:p>
        </w:tc>
        <w:tc>
          <w:tcPr>
            <w:tcW w:w="1300" w:type="dxa"/>
            <w:tcBorders>
              <w:top w:val="nil"/>
              <w:left w:val="nil"/>
              <w:bottom w:val="single" w:sz="4" w:space="0" w:color="auto"/>
              <w:right w:val="single" w:sz="4" w:space="0" w:color="auto"/>
            </w:tcBorders>
            <w:noWrap/>
            <w:vAlign w:val="center"/>
            <w:hideMark/>
          </w:tcPr>
          <w:p w14:paraId="26C72B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5249813000</w:t>
            </w:r>
          </w:p>
        </w:tc>
        <w:tc>
          <w:tcPr>
            <w:tcW w:w="1012" w:type="dxa"/>
            <w:tcBorders>
              <w:top w:val="nil"/>
              <w:left w:val="nil"/>
              <w:bottom w:val="single" w:sz="4" w:space="0" w:color="auto"/>
              <w:right w:val="single" w:sz="4" w:space="0" w:color="auto"/>
            </w:tcBorders>
            <w:noWrap/>
            <w:vAlign w:val="center"/>
            <w:hideMark/>
          </w:tcPr>
          <w:p w14:paraId="41D107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48694282</w:t>
            </w:r>
          </w:p>
        </w:tc>
        <w:tc>
          <w:tcPr>
            <w:tcW w:w="5953" w:type="dxa"/>
            <w:tcBorders>
              <w:top w:val="nil"/>
              <w:left w:val="nil"/>
              <w:bottom w:val="single" w:sz="4" w:space="0" w:color="auto"/>
              <w:right w:val="single" w:sz="4" w:space="0" w:color="auto"/>
            </w:tcBorders>
            <w:noWrap/>
            <w:vAlign w:val="center"/>
            <w:hideMark/>
          </w:tcPr>
          <w:p w14:paraId="0B0D97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VODMAT</w:t>
            </w:r>
          </w:p>
        </w:tc>
      </w:tr>
      <w:tr w:rsidR="00F24E18" w14:paraId="3B0D66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7182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2027</w:t>
            </w:r>
          </w:p>
        </w:tc>
        <w:tc>
          <w:tcPr>
            <w:tcW w:w="1300" w:type="dxa"/>
            <w:tcBorders>
              <w:top w:val="nil"/>
              <w:left w:val="nil"/>
              <w:bottom w:val="single" w:sz="4" w:space="0" w:color="auto"/>
              <w:right w:val="single" w:sz="4" w:space="0" w:color="auto"/>
            </w:tcBorders>
            <w:noWrap/>
            <w:vAlign w:val="center"/>
            <w:hideMark/>
          </w:tcPr>
          <w:p w14:paraId="7FA515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1943359000</w:t>
            </w:r>
          </w:p>
        </w:tc>
        <w:tc>
          <w:tcPr>
            <w:tcW w:w="1012" w:type="dxa"/>
            <w:tcBorders>
              <w:top w:val="nil"/>
              <w:left w:val="nil"/>
              <w:bottom w:val="single" w:sz="4" w:space="0" w:color="auto"/>
              <w:right w:val="single" w:sz="4" w:space="0" w:color="auto"/>
            </w:tcBorders>
            <w:noWrap/>
            <w:vAlign w:val="center"/>
            <w:hideMark/>
          </w:tcPr>
          <w:p w14:paraId="7B2BD0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54520410</w:t>
            </w:r>
          </w:p>
        </w:tc>
        <w:tc>
          <w:tcPr>
            <w:tcW w:w="5953" w:type="dxa"/>
            <w:tcBorders>
              <w:top w:val="nil"/>
              <w:left w:val="nil"/>
              <w:bottom w:val="single" w:sz="4" w:space="0" w:color="auto"/>
              <w:right w:val="single" w:sz="4" w:space="0" w:color="auto"/>
            </w:tcBorders>
            <w:noWrap/>
            <w:vAlign w:val="center"/>
            <w:hideMark/>
          </w:tcPr>
          <w:p w14:paraId="5AF318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VRHOVCI</w:t>
            </w:r>
          </w:p>
        </w:tc>
      </w:tr>
      <w:tr w:rsidR="00F24E18" w14:paraId="44A762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C298C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2028</w:t>
            </w:r>
          </w:p>
        </w:tc>
        <w:tc>
          <w:tcPr>
            <w:tcW w:w="1300" w:type="dxa"/>
            <w:tcBorders>
              <w:top w:val="nil"/>
              <w:left w:val="nil"/>
              <w:bottom w:val="single" w:sz="4" w:space="0" w:color="auto"/>
              <w:right w:val="single" w:sz="4" w:space="0" w:color="auto"/>
            </w:tcBorders>
            <w:noWrap/>
            <w:vAlign w:val="center"/>
            <w:hideMark/>
          </w:tcPr>
          <w:p w14:paraId="30EE19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5088445000</w:t>
            </w:r>
          </w:p>
        </w:tc>
        <w:tc>
          <w:tcPr>
            <w:tcW w:w="1012" w:type="dxa"/>
            <w:tcBorders>
              <w:top w:val="nil"/>
              <w:left w:val="nil"/>
              <w:bottom w:val="single" w:sz="4" w:space="0" w:color="auto"/>
              <w:right w:val="single" w:sz="4" w:space="0" w:color="auto"/>
            </w:tcBorders>
            <w:noWrap/>
            <w:vAlign w:val="center"/>
            <w:hideMark/>
          </w:tcPr>
          <w:p w14:paraId="3947A5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28104072</w:t>
            </w:r>
          </w:p>
        </w:tc>
        <w:tc>
          <w:tcPr>
            <w:tcW w:w="5953" w:type="dxa"/>
            <w:tcBorders>
              <w:top w:val="nil"/>
              <w:left w:val="nil"/>
              <w:bottom w:val="single" w:sz="4" w:space="0" w:color="auto"/>
              <w:right w:val="single" w:sz="4" w:space="0" w:color="auto"/>
            </w:tcBorders>
            <w:noWrap/>
            <w:vAlign w:val="center"/>
            <w:hideMark/>
          </w:tcPr>
          <w:p w14:paraId="0CA583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ZAGORJE OB SAVI</w:t>
            </w:r>
          </w:p>
        </w:tc>
      </w:tr>
      <w:tr w:rsidR="00F24E18" w14:paraId="75DE2E1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73A4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2029</w:t>
            </w:r>
          </w:p>
        </w:tc>
        <w:tc>
          <w:tcPr>
            <w:tcW w:w="1300" w:type="dxa"/>
            <w:tcBorders>
              <w:top w:val="nil"/>
              <w:left w:val="nil"/>
              <w:bottom w:val="single" w:sz="4" w:space="0" w:color="auto"/>
              <w:right w:val="single" w:sz="4" w:space="0" w:color="auto"/>
            </w:tcBorders>
            <w:noWrap/>
            <w:vAlign w:val="center"/>
            <w:hideMark/>
          </w:tcPr>
          <w:p w14:paraId="436787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5049547000</w:t>
            </w:r>
          </w:p>
        </w:tc>
        <w:tc>
          <w:tcPr>
            <w:tcW w:w="1012" w:type="dxa"/>
            <w:tcBorders>
              <w:top w:val="nil"/>
              <w:left w:val="nil"/>
              <w:bottom w:val="single" w:sz="4" w:space="0" w:color="auto"/>
              <w:right w:val="single" w:sz="4" w:space="0" w:color="auto"/>
            </w:tcBorders>
            <w:noWrap/>
            <w:vAlign w:val="center"/>
            <w:hideMark/>
          </w:tcPr>
          <w:p w14:paraId="75C1D6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47532203</w:t>
            </w:r>
          </w:p>
        </w:tc>
        <w:tc>
          <w:tcPr>
            <w:tcW w:w="5953" w:type="dxa"/>
            <w:tcBorders>
              <w:top w:val="nil"/>
              <w:left w:val="nil"/>
              <w:bottom w:val="single" w:sz="4" w:space="0" w:color="auto"/>
              <w:right w:val="single" w:sz="4" w:space="0" w:color="auto"/>
            </w:tcBorders>
            <w:noWrap/>
            <w:vAlign w:val="center"/>
            <w:hideMark/>
          </w:tcPr>
          <w:p w14:paraId="285592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ZARJA</w:t>
            </w:r>
          </w:p>
        </w:tc>
      </w:tr>
      <w:tr w:rsidR="00F24E18" w14:paraId="5AA67F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9B1C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2030</w:t>
            </w:r>
          </w:p>
        </w:tc>
        <w:tc>
          <w:tcPr>
            <w:tcW w:w="1300" w:type="dxa"/>
            <w:tcBorders>
              <w:top w:val="nil"/>
              <w:left w:val="nil"/>
              <w:bottom w:val="single" w:sz="4" w:space="0" w:color="auto"/>
              <w:right w:val="single" w:sz="4" w:space="0" w:color="auto"/>
            </w:tcBorders>
            <w:noWrap/>
            <w:vAlign w:val="center"/>
            <w:hideMark/>
          </w:tcPr>
          <w:p w14:paraId="44AC7C1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5057175000</w:t>
            </w:r>
          </w:p>
        </w:tc>
        <w:tc>
          <w:tcPr>
            <w:tcW w:w="1012" w:type="dxa"/>
            <w:tcBorders>
              <w:top w:val="nil"/>
              <w:left w:val="nil"/>
              <w:bottom w:val="single" w:sz="4" w:space="0" w:color="auto"/>
              <w:right w:val="single" w:sz="4" w:space="0" w:color="auto"/>
            </w:tcBorders>
            <w:noWrap/>
            <w:vAlign w:val="center"/>
            <w:hideMark/>
          </w:tcPr>
          <w:p w14:paraId="2820C7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93605943</w:t>
            </w:r>
          </w:p>
        </w:tc>
        <w:tc>
          <w:tcPr>
            <w:tcW w:w="5953" w:type="dxa"/>
            <w:tcBorders>
              <w:top w:val="nil"/>
              <w:left w:val="nil"/>
              <w:bottom w:val="single" w:sz="4" w:space="0" w:color="auto"/>
              <w:right w:val="single" w:sz="4" w:space="0" w:color="auto"/>
            </w:tcBorders>
            <w:noWrap/>
            <w:vAlign w:val="center"/>
            <w:hideMark/>
          </w:tcPr>
          <w:p w14:paraId="0C8162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VRTEC ZELENA JAMA</w:t>
            </w:r>
          </w:p>
        </w:tc>
      </w:tr>
      <w:tr w:rsidR="00F24E18" w14:paraId="184B4F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0862B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2031</w:t>
            </w:r>
          </w:p>
        </w:tc>
        <w:tc>
          <w:tcPr>
            <w:tcW w:w="1300" w:type="dxa"/>
            <w:tcBorders>
              <w:top w:val="nil"/>
              <w:left w:val="nil"/>
              <w:bottom w:val="single" w:sz="4" w:space="0" w:color="auto"/>
              <w:right w:val="single" w:sz="4" w:space="0" w:color="auto"/>
            </w:tcBorders>
            <w:noWrap/>
            <w:vAlign w:val="center"/>
            <w:hideMark/>
          </w:tcPr>
          <w:p w14:paraId="764BDB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5269792000</w:t>
            </w:r>
          </w:p>
        </w:tc>
        <w:tc>
          <w:tcPr>
            <w:tcW w:w="1012" w:type="dxa"/>
            <w:tcBorders>
              <w:top w:val="nil"/>
              <w:left w:val="nil"/>
              <w:bottom w:val="single" w:sz="4" w:space="0" w:color="auto"/>
              <w:right w:val="single" w:sz="4" w:space="0" w:color="auto"/>
            </w:tcBorders>
            <w:noWrap/>
            <w:vAlign w:val="center"/>
            <w:hideMark/>
          </w:tcPr>
          <w:p w14:paraId="573B15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36985198</w:t>
            </w:r>
          </w:p>
        </w:tc>
        <w:tc>
          <w:tcPr>
            <w:tcW w:w="5953" w:type="dxa"/>
            <w:tcBorders>
              <w:top w:val="nil"/>
              <w:left w:val="nil"/>
              <w:bottom w:val="single" w:sz="4" w:space="0" w:color="auto"/>
              <w:right w:val="single" w:sz="4" w:space="0" w:color="auto"/>
            </w:tcBorders>
            <w:noWrap/>
            <w:vAlign w:val="center"/>
            <w:hideMark/>
          </w:tcPr>
          <w:p w14:paraId="10B55A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VVZ ILKE DEVETAK BIGNAMI TOLMIN</w:t>
            </w:r>
          </w:p>
        </w:tc>
      </w:tr>
      <w:tr w:rsidR="00F24E18" w14:paraId="16632DF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C2F17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2032</w:t>
            </w:r>
          </w:p>
        </w:tc>
        <w:tc>
          <w:tcPr>
            <w:tcW w:w="1300" w:type="dxa"/>
            <w:tcBorders>
              <w:top w:val="nil"/>
              <w:left w:val="nil"/>
              <w:bottom w:val="single" w:sz="4" w:space="0" w:color="auto"/>
              <w:right w:val="single" w:sz="4" w:space="0" w:color="auto"/>
            </w:tcBorders>
            <w:vAlign w:val="center"/>
            <w:hideMark/>
          </w:tcPr>
          <w:p w14:paraId="55A040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5049733000</w:t>
            </w:r>
          </w:p>
        </w:tc>
        <w:tc>
          <w:tcPr>
            <w:tcW w:w="1012" w:type="dxa"/>
            <w:tcBorders>
              <w:top w:val="nil"/>
              <w:left w:val="nil"/>
              <w:bottom w:val="single" w:sz="4" w:space="0" w:color="auto"/>
              <w:right w:val="single" w:sz="4" w:space="0" w:color="auto"/>
            </w:tcBorders>
            <w:vAlign w:val="center"/>
            <w:hideMark/>
          </w:tcPr>
          <w:p w14:paraId="7FD44F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80676731</w:t>
            </w:r>
          </w:p>
        </w:tc>
        <w:tc>
          <w:tcPr>
            <w:tcW w:w="5953" w:type="dxa"/>
            <w:tcBorders>
              <w:top w:val="nil"/>
              <w:left w:val="nil"/>
              <w:bottom w:val="single" w:sz="4" w:space="0" w:color="auto"/>
              <w:right w:val="single" w:sz="4" w:space="0" w:color="auto"/>
            </w:tcBorders>
            <w:noWrap/>
            <w:vAlign w:val="center"/>
            <w:hideMark/>
          </w:tcPr>
          <w:p w14:paraId="0F06E3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 IZOBRAŽEVALNI ZAVOD VRTEC MAVRICA IZOLA ENTE PUBBLICO DI EDUCAZIONE ED ISTRUZIONE ASILO "MAVRICA" ISOLA</w:t>
            </w:r>
          </w:p>
        </w:tc>
      </w:tr>
      <w:tr w:rsidR="00F24E18" w14:paraId="3F303DE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5E6B3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2033</w:t>
            </w:r>
          </w:p>
        </w:tc>
        <w:tc>
          <w:tcPr>
            <w:tcW w:w="1300" w:type="dxa"/>
            <w:tcBorders>
              <w:top w:val="nil"/>
              <w:left w:val="nil"/>
              <w:bottom w:val="single" w:sz="4" w:space="0" w:color="auto"/>
              <w:right w:val="single" w:sz="4" w:space="0" w:color="auto"/>
            </w:tcBorders>
            <w:noWrap/>
            <w:vAlign w:val="center"/>
            <w:hideMark/>
          </w:tcPr>
          <w:p w14:paraId="2E7653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5168309000</w:t>
            </w:r>
          </w:p>
        </w:tc>
        <w:tc>
          <w:tcPr>
            <w:tcW w:w="1012" w:type="dxa"/>
            <w:tcBorders>
              <w:top w:val="nil"/>
              <w:left w:val="nil"/>
              <w:bottom w:val="single" w:sz="4" w:space="0" w:color="auto"/>
              <w:right w:val="single" w:sz="4" w:space="0" w:color="auto"/>
            </w:tcBorders>
            <w:noWrap/>
            <w:vAlign w:val="center"/>
            <w:hideMark/>
          </w:tcPr>
          <w:p w14:paraId="0C6B15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34676422</w:t>
            </w:r>
          </w:p>
        </w:tc>
        <w:tc>
          <w:tcPr>
            <w:tcW w:w="5953" w:type="dxa"/>
            <w:tcBorders>
              <w:top w:val="nil"/>
              <w:left w:val="nil"/>
              <w:bottom w:val="single" w:sz="4" w:space="0" w:color="auto"/>
              <w:right w:val="single" w:sz="4" w:space="0" w:color="auto"/>
            </w:tcBorders>
            <w:noWrap/>
            <w:vAlign w:val="center"/>
            <w:hideMark/>
          </w:tcPr>
          <w:p w14:paraId="031B08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 IZOBRAŽEVALNI ZAVOD VRTEC ORMOŽ</w:t>
            </w:r>
          </w:p>
        </w:tc>
      </w:tr>
      <w:tr w:rsidR="00F24E18" w14:paraId="03AC379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C4DB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2034</w:t>
            </w:r>
          </w:p>
        </w:tc>
        <w:tc>
          <w:tcPr>
            <w:tcW w:w="1300" w:type="dxa"/>
            <w:tcBorders>
              <w:top w:val="nil"/>
              <w:left w:val="nil"/>
              <w:bottom w:val="single" w:sz="4" w:space="0" w:color="auto"/>
              <w:right w:val="single" w:sz="4" w:space="0" w:color="auto"/>
            </w:tcBorders>
            <w:vAlign w:val="center"/>
            <w:hideMark/>
          </w:tcPr>
          <w:p w14:paraId="73211C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5055822000</w:t>
            </w:r>
          </w:p>
        </w:tc>
        <w:tc>
          <w:tcPr>
            <w:tcW w:w="1012" w:type="dxa"/>
            <w:tcBorders>
              <w:top w:val="nil"/>
              <w:left w:val="nil"/>
              <w:bottom w:val="single" w:sz="4" w:space="0" w:color="auto"/>
              <w:right w:val="single" w:sz="4" w:space="0" w:color="auto"/>
            </w:tcBorders>
            <w:vAlign w:val="center"/>
            <w:hideMark/>
          </w:tcPr>
          <w:p w14:paraId="584052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87232979</w:t>
            </w:r>
          </w:p>
        </w:tc>
        <w:tc>
          <w:tcPr>
            <w:tcW w:w="5953" w:type="dxa"/>
            <w:tcBorders>
              <w:top w:val="nil"/>
              <w:left w:val="nil"/>
              <w:bottom w:val="single" w:sz="4" w:space="0" w:color="auto"/>
              <w:right w:val="single" w:sz="4" w:space="0" w:color="auto"/>
            </w:tcBorders>
            <w:noWrap/>
            <w:vAlign w:val="center"/>
            <w:hideMark/>
          </w:tcPr>
          <w:p w14:paraId="36A56F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 VARSTVENI ZAVOD SLOVENJ GRADEC</w:t>
            </w:r>
          </w:p>
        </w:tc>
      </w:tr>
      <w:tr w:rsidR="00F24E18" w14:paraId="175DC3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DE5CE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2035</w:t>
            </w:r>
          </w:p>
        </w:tc>
        <w:tc>
          <w:tcPr>
            <w:tcW w:w="1300" w:type="dxa"/>
            <w:tcBorders>
              <w:top w:val="nil"/>
              <w:left w:val="nil"/>
              <w:bottom w:val="single" w:sz="4" w:space="0" w:color="auto"/>
              <w:right w:val="single" w:sz="4" w:space="0" w:color="auto"/>
            </w:tcBorders>
            <w:vAlign w:val="center"/>
            <w:hideMark/>
          </w:tcPr>
          <w:p w14:paraId="6D9FB0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5050839000</w:t>
            </w:r>
          </w:p>
        </w:tc>
        <w:tc>
          <w:tcPr>
            <w:tcW w:w="1012" w:type="dxa"/>
            <w:tcBorders>
              <w:top w:val="nil"/>
              <w:left w:val="nil"/>
              <w:bottom w:val="single" w:sz="4" w:space="0" w:color="auto"/>
              <w:right w:val="single" w:sz="4" w:space="0" w:color="auto"/>
            </w:tcBorders>
            <w:vAlign w:val="center"/>
            <w:hideMark/>
          </w:tcPr>
          <w:p w14:paraId="2238DA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13403010</w:t>
            </w:r>
          </w:p>
        </w:tc>
        <w:tc>
          <w:tcPr>
            <w:tcW w:w="5953" w:type="dxa"/>
            <w:tcBorders>
              <w:top w:val="nil"/>
              <w:left w:val="nil"/>
              <w:bottom w:val="single" w:sz="4" w:space="0" w:color="auto"/>
              <w:right w:val="single" w:sz="4" w:space="0" w:color="auto"/>
            </w:tcBorders>
            <w:noWrap/>
            <w:vAlign w:val="center"/>
            <w:hideMark/>
          </w:tcPr>
          <w:p w14:paraId="7A1875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VZGOJNO-IZOBRAŽEVALNI ZAVOD ANTONIJE KUCLER VRHNIKA</w:t>
            </w:r>
          </w:p>
        </w:tc>
      </w:tr>
      <w:tr w:rsidR="00F24E18" w14:paraId="5AE6300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2949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2036</w:t>
            </w:r>
          </w:p>
        </w:tc>
        <w:tc>
          <w:tcPr>
            <w:tcW w:w="1300" w:type="dxa"/>
            <w:tcBorders>
              <w:top w:val="nil"/>
              <w:left w:val="nil"/>
              <w:bottom w:val="single" w:sz="4" w:space="0" w:color="auto"/>
              <w:right w:val="single" w:sz="4" w:space="0" w:color="auto"/>
            </w:tcBorders>
            <w:vAlign w:val="center"/>
            <w:hideMark/>
          </w:tcPr>
          <w:p w14:paraId="61E712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5087970000</w:t>
            </w:r>
          </w:p>
        </w:tc>
        <w:tc>
          <w:tcPr>
            <w:tcW w:w="1012" w:type="dxa"/>
            <w:tcBorders>
              <w:top w:val="nil"/>
              <w:left w:val="nil"/>
              <w:bottom w:val="single" w:sz="4" w:space="0" w:color="auto"/>
              <w:right w:val="single" w:sz="4" w:space="0" w:color="auto"/>
            </w:tcBorders>
            <w:vAlign w:val="center"/>
            <w:hideMark/>
          </w:tcPr>
          <w:p w14:paraId="78C5B1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98183443</w:t>
            </w:r>
          </w:p>
        </w:tc>
        <w:tc>
          <w:tcPr>
            <w:tcW w:w="5953" w:type="dxa"/>
            <w:tcBorders>
              <w:top w:val="nil"/>
              <w:left w:val="nil"/>
              <w:bottom w:val="single" w:sz="4" w:space="0" w:color="auto"/>
              <w:right w:val="single" w:sz="4" w:space="0" w:color="auto"/>
            </w:tcBorders>
            <w:noWrap/>
            <w:vAlign w:val="center"/>
            <w:hideMark/>
          </w:tcPr>
          <w:p w14:paraId="5346B6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VZGOJNO-IZOBRAŽEVALNI ZAVOD OSNOVNA ŠOLA ROGATEC</w:t>
            </w:r>
          </w:p>
        </w:tc>
      </w:tr>
      <w:tr w:rsidR="00F24E18" w14:paraId="6FE005C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BCD07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2037</w:t>
            </w:r>
          </w:p>
        </w:tc>
        <w:tc>
          <w:tcPr>
            <w:tcW w:w="1300" w:type="dxa"/>
            <w:tcBorders>
              <w:top w:val="nil"/>
              <w:left w:val="nil"/>
              <w:bottom w:val="single" w:sz="4" w:space="0" w:color="auto"/>
              <w:right w:val="single" w:sz="4" w:space="0" w:color="auto"/>
            </w:tcBorders>
            <w:vAlign w:val="center"/>
            <w:hideMark/>
          </w:tcPr>
          <w:p w14:paraId="139967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5085128000</w:t>
            </w:r>
          </w:p>
        </w:tc>
        <w:tc>
          <w:tcPr>
            <w:tcW w:w="1012" w:type="dxa"/>
            <w:tcBorders>
              <w:top w:val="nil"/>
              <w:left w:val="nil"/>
              <w:bottom w:val="single" w:sz="4" w:space="0" w:color="auto"/>
              <w:right w:val="single" w:sz="4" w:space="0" w:color="auto"/>
            </w:tcBorders>
            <w:vAlign w:val="center"/>
            <w:hideMark/>
          </w:tcPr>
          <w:p w14:paraId="7F3683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83806547</w:t>
            </w:r>
          </w:p>
        </w:tc>
        <w:tc>
          <w:tcPr>
            <w:tcW w:w="5953" w:type="dxa"/>
            <w:tcBorders>
              <w:top w:val="nil"/>
              <w:left w:val="nil"/>
              <w:bottom w:val="single" w:sz="4" w:space="0" w:color="auto"/>
              <w:right w:val="single" w:sz="4" w:space="0" w:color="auto"/>
            </w:tcBorders>
            <w:noWrap/>
            <w:vAlign w:val="center"/>
            <w:hideMark/>
          </w:tcPr>
          <w:p w14:paraId="695B55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VZGOJNOIZOBRAŽEVALNI ZAVOD OŠ KERENČIČEVIH PESNICA</w:t>
            </w:r>
          </w:p>
        </w:tc>
      </w:tr>
      <w:tr w:rsidR="00F24E18" w14:paraId="31013A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04985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2038</w:t>
            </w:r>
          </w:p>
        </w:tc>
        <w:tc>
          <w:tcPr>
            <w:tcW w:w="1300" w:type="dxa"/>
            <w:tcBorders>
              <w:top w:val="nil"/>
              <w:left w:val="nil"/>
              <w:bottom w:val="single" w:sz="4" w:space="0" w:color="auto"/>
              <w:right w:val="single" w:sz="4" w:space="0" w:color="auto"/>
            </w:tcBorders>
            <w:noWrap/>
            <w:vAlign w:val="center"/>
            <w:hideMark/>
          </w:tcPr>
          <w:p w14:paraId="1F931E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5088844000</w:t>
            </w:r>
          </w:p>
        </w:tc>
        <w:tc>
          <w:tcPr>
            <w:tcW w:w="1012" w:type="dxa"/>
            <w:tcBorders>
              <w:top w:val="nil"/>
              <w:left w:val="nil"/>
              <w:bottom w:val="single" w:sz="4" w:space="0" w:color="auto"/>
              <w:right w:val="single" w:sz="4" w:space="0" w:color="auto"/>
            </w:tcBorders>
            <w:noWrap/>
            <w:vAlign w:val="center"/>
            <w:hideMark/>
          </w:tcPr>
          <w:p w14:paraId="6A0995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26152363</w:t>
            </w:r>
          </w:p>
        </w:tc>
        <w:tc>
          <w:tcPr>
            <w:tcW w:w="5953" w:type="dxa"/>
            <w:tcBorders>
              <w:top w:val="nil"/>
              <w:left w:val="nil"/>
              <w:bottom w:val="single" w:sz="4" w:space="0" w:color="auto"/>
              <w:right w:val="single" w:sz="4" w:space="0" w:color="auto"/>
            </w:tcBorders>
            <w:noWrap/>
            <w:vAlign w:val="center"/>
            <w:hideMark/>
          </w:tcPr>
          <w:p w14:paraId="0CBFB14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VZGOJNOIZOBRAŽEVALNI ZAVOD OŠ MARJAN BANTAN STOJAN JARENINA</w:t>
            </w:r>
          </w:p>
        </w:tc>
      </w:tr>
      <w:tr w:rsidR="00F24E18" w14:paraId="6866B84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2E19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2039</w:t>
            </w:r>
          </w:p>
        </w:tc>
        <w:tc>
          <w:tcPr>
            <w:tcW w:w="1300" w:type="dxa"/>
            <w:tcBorders>
              <w:top w:val="nil"/>
              <w:left w:val="nil"/>
              <w:bottom w:val="single" w:sz="4" w:space="0" w:color="auto"/>
              <w:right w:val="single" w:sz="4" w:space="0" w:color="auto"/>
            </w:tcBorders>
            <w:vAlign w:val="center"/>
            <w:hideMark/>
          </w:tcPr>
          <w:p w14:paraId="5E92CE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5996465000</w:t>
            </w:r>
          </w:p>
        </w:tc>
        <w:tc>
          <w:tcPr>
            <w:tcW w:w="1012" w:type="dxa"/>
            <w:tcBorders>
              <w:top w:val="nil"/>
              <w:left w:val="nil"/>
              <w:bottom w:val="single" w:sz="4" w:space="0" w:color="auto"/>
              <w:right w:val="single" w:sz="4" w:space="0" w:color="auto"/>
            </w:tcBorders>
            <w:vAlign w:val="center"/>
            <w:hideMark/>
          </w:tcPr>
          <w:p w14:paraId="41157F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71491481</w:t>
            </w:r>
          </w:p>
        </w:tc>
        <w:tc>
          <w:tcPr>
            <w:tcW w:w="5953" w:type="dxa"/>
            <w:tcBorders>
              <w:top w:val="nil"/>
              <w:left w:val="nil"/>
              <w:bottom w:val="single" w:sz="4" w:space="0" w:color="auto"/>
              <w:right w:val="single" w:sz="4" w:space="0" w:color="auto"/>
            </w:tcBorders>
            <w:noWrap/>
            <w:vAlign w:val="center"/>
            <w:hideMark/>
          </w:tcPr>
          <w:p w14:paraId="70C8F4D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VZGOJNO-IZOBRAŽEVALNI ZAVOD VRTCI BREZOVICA</w:t>
            </w:r>
          </w:p>
        </w:tc>
      </w:tr>
      <w:tr w:rsidR="00F24E18" w14:paraId="79951AD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7B918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2040</w:t>
            </w:r>
          </w:p>
        </w:tc>
        <w:tc>
          <w:tcPr>
            <w:tcW w:w="1300" w:type="dxa"/>
            <w:tcBorders>
              <w:top w:val="nil"/>
              <w:left w:val="nil"/>
              <w:bottom w:val="single" w:sz="4" w:space="0" w:color="auto"/>
              <w:right w:val="single" w:sz="4" w:space="0" w:color="auto"/>
            </w:tcBorders>
            <w:noWrap/>
            <w:vAlign w:val="center"/>
            <w:hideMark/>
          </w:tcPr>
          <w:p w14:paraId="22F728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5056683000</w:t>
            </w:r>
          </w:p>
        </w:tc>
        <w:tc>
          <w:tcPr>
            <w:tcW w:w="1012" w:type="dxa"/>
            <w:tcBorders>
              <w:top w:val="nil"/>
              <w:left w:val="nil"/>
              <w:bottom w:val="single" w:sz="4" w:space="0" w:color="auto"/>
              <w:right w:val="single" w:sz="4" w:space="0" w:color="auto"/>
            </w:tcBorders>
            <w:noWrap/>
            <w:vAlign w:val="center"/>
            <w:hideMark/>
          </w:tcPr>
          <w:p w14:paraId="7EE37E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68798555</w:t>
            </w:r>
          </w:p>
        </w:tc>
        <w:tc>
          <w:tcPr>
            <w:tcW w:w="5953" w:type="dxa"/>
            <w:tcBorders>
              <w:top w:val="nil"/>
              <w:left w:val="nil"/>
              <w:bottom w:val="single" w:sz="4" w:space="0" w:color="auto"/>
              <w:right w:val="single" w:sz="4" w:space="0" w:color="auto"/>
            </w:tcBorders>
            <w:noWrap/>
            <w:vAlign w:val="center"/>
            <w:hideMark/>
          </w:tcPr>
          <w:p w14:paraId="787347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VZGOJNOVARSTVENI ZAVOD KEKEC GROSUPLJE</w:t>
            </w:r>
          </w:p>
        </w:tc>
      </w:tr>
      <w:tr w:rsidR="00F24E18" w14:paraId="692522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832C4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2041</w:t>
            </w:r>
          </w:p>
        </w:tc>
        <w:tc>
          <w:tcPr>
            <w:tcW w:w="1300" w:type="dxa"/>
            <w:tcBorders>
              <w:top w:val="nil"/>
              <w:left w:val="nil"/>
              <w:bottom w:val="single" w:sz="4" w:space="0" w:color="auto"/>
              <w:right w:val="single" w:sz="4" w:space="0" w:color="auto"/>
            </w:tcBorders>
            <w:noWrap/>
            <w:vAlign w:val="center"/>
            <w:hideMark/>
          </w:tcPr>
          <w:p w14:paraId="7EA677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5050294000</w:t>
            </w:r>
          </w:p>
        </w:tc>
        <w:tc>
          <w:tcPr>
            <w:tcW w:w="1012" w:type="dxa"/>
            <w:tcBorders>
              <w:top w:val="nil"/>
              <w:left w:val="nil"/>
              <w:bottom w:val="single" w:sz="4" w:space="0" w:color="auto"/>
              <w:right w:val="single" w:sz="4" w:space="0" w:color="auto"/>
            </w:tcBorders>
            <w:noWrap/>
            <w:vAlign w:val="center"/>
            <w:hideMark/>
          </w:tcPr>
          <w:p w14:paraId="53386F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42184746</w:t>
            </w:r>
          </w:p>
        </w:tc>
        <w:tc>
          <w:tcPr>
            <w:tcW w:w="5953" w:type="dxa"/>
            <w:tcBorders>
              <w:top w:val="nil"/>
              <w:left w:val="nil"/>
              <w:bottom w:val="single" w:sz="4" w:space="0" w:color="auto"/>
              <w:right w:val="single" w:sz="4" w:space="0" w:color="auto"/>
            </w:tcBorders>
            <w:noWrap/>
            <w:vAlign w:val="center"/>
            <w:hideMark/>
          </w:tcPr>
          <w:p w14:paraId="370F83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VZGOJNO-VARSTVENI ZAVOD VRTEC KURIRČEK LOGATEC</w:t>
            </w:r>
          </w:p>
        </w:tc>
      </w:tr>
      <w:tr w:rsidR="00F24E18" w14:paraId="307C48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987A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2042</w:t>
            </w:r>
          </w:p>
        </w:tc>
        <w:tc>
          <w:tcPr>
            <w:tcW w:w="1300" w:type="dxa"/>
            <w:tcBorders>
              <w:top w:val="nil"/>
              <w:left w:val="nil"/>
              <w:bottom w:val="single" w:sz="4" w:space="0" w:color="auto"/>
              <w:right w:val="single" w:sz="4" w:space="0" w:color="auto"/>
            </w:tcBorders>
            <w:vAlign w:val="center"/>
            <w:hideMark/>
          </w:tcPr>
          <w:p w14:paraId="0499E3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5238676000</w:t>
            </w:r>
          </w:p>
        </w:tc>
        <w:tc>
          <w:tcPr>
            <w:tcW w:w="1012" w:type="dxa"/>
            <w:tcBorders>
              <w:top w:val="nil"/>
              <w:left w:val="nil"/>
              <w:bottom w:val="single" w:sz="4" w:space="0" w:color="auto"/>
              <w:right w:val="single" w:sz="4" w:space="0" w:color="auto"/>
            </w:tcBorders>
            <w:vAlign w:val="center"/>
            <w:hideMark/>
          </w:tcPr>
          <w:p w14:paraId="1EB595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90961030</w:t>
            </w:r>
          </w:p>
        </w:tc>
        <w:tc>
          <w:tcPr>
            <w:tcW w:w="5953" w:type="dxa"/>
            <w:tcBorders>
              <w:top w:val="nil"/>
              <w:left w:val="nil"/>
              <w:bottom w:val="single" w:sz="4" w:space="0" w:color="auto"/>
              <w:right w:val="single" w:sz="4" w:space="0" w:color="auto"/>
            </w:tcBorders>
            <w:noWrap/>
            <w:vAlign w:val="center"/>
            <w:hideMark/>
          </w:tcPr>
          <w:p w14:paraId="373CBF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VZGOJNO-VARSTVENI ZAVOD VRTEC MAVRICA TREBNJE</w:t>
            </w:r>
          </w:p>
        </w:tc>
      </w:tr>
      <w:tr w:rsidR="00F24E18" w14:paraId="1D6B64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0199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2043</w:t>
            </w:r>
          </w:p>
        </w:tc>
        <w:tc>
          <w:tcPr>
            <w:tcW w:w="1300" w:type="dxa"/>
            <w:tcBorders>
              <w:top w:val="nil"/>
              <w:left w:val="nil"/>
              <w:bottom w:val="single" w:sz="4" w:space="0" w:color="auto"/>
              <w:right w:val="single" w:sz="4" w:space="0" w:color="auto"/>
            </w:tcBorders>
            <w:noWrap/>
            <w:vAlign w:val="center"/>
            <w:hideMark/>
          </w:tcPr>
          <w:p w14:paraId="7772F8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2516217000</w:t>
            </w:r>
          </w:p>
        </w:tc>
        <w:tc>
          <w:tcPr>
            <w:tcW w:w="1012" w:type="dxa"/>
            <w:tcBorders>
              <w:top w:val="nil"/>
              <w:left w:val="nil"/>
              <w:bottom w:val="single" w:sz="4" w:space="0" w:color="auto"/>
              <w:right w:val="single" w:sz="4" w:space="0" w:color="auto"/>
            </w:tcBorders>
            <w:noWrap/>
            <w:vAlign w:val="center"/>
            <w:hideMark/>
          </w:tcPr>
          <w:p w14:paraId="10C6F74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55103308</w:t>
            </w:r>
          </w:p>
        </w:tc>
        <w:tc>
          <w:tcPr>
            <w:tcW w:w="5953" w:type="dxa"/>
            <w:tcBorders>
              <w:top w:val="nil"/>
              <w:left w:val="nil"/>
              <w:bottom w:val="single" w:sz="4" w:space="0" w:color="auto"/>
              <w:right w:val="single" w:sz="4" w:space="0" w:color="auto"/>
            </w:tcBorders>
            <w:noWrap/>
            <w:vAlign w:val="center"/>
            <w:hideMark/>
          </w:tcPr>
          <w:p w14:paraId="3C08171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ZAGOVORNIK NAČELA ENAKOSTI</w:t>
            </w:r>
          </w:p>
        </w:tc>
      </w:tr>
      <w:tr w:rsidR="00F24E18" w14:paraId="49B2DB3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BF154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2044</w:t>
            </w:r>
          </w:p>
        </w:tc>
        <w:tc>
          <w:tcPr>
            <w:tcW w:w="1300" w:type="dxa"/>
            <w:tcBorders>
              <w:top w:val="nil"/>
              <w:left w:val="nil"/>
              <w:bottom w:val="single" w:sz="4" w:space="0" w:color="auto"/>
              <w:right w:val="single" w:sz="4" w:space="0" w:color="auto"/>
            </w:tcBorders>
            <w:noWrap/>
            <w:vAlign w:val="center"/>
            <w:hideMark/>
          </w:tcPr>
          <w:p w14:paraId="344557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5090229000</w:t>
            </w:r>
          </w:p>
        </w:tc>
        <w:tc>
          <w:tcPr>
            <w:tcW w:w="1012" w:type="dxa"/>
            <w:tcBorders>
              <w:top w:val="nil"/>
              <w:left w:val="nil"/>
              <w:bottom w:val="single" w:sz="4" w:space="0" w:color="auto"/>
              <w:right w:val="single" w:sz="4" w:space="0" w:color="auto"/>
            </w:tcBorders>
            <w:noWrap/>
            <w:vAlign w:val="center"/>
            <w:hideMark/>
          </w:tcPr>
          <w:p w14:paraId="6331FF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54936314</w:t>
            </w:r>
          </w:p>
        </w:tc>
        <w:tc>
          <w:tcPr>
            <w:tcW w:w="5953" w:type="dxa"/>
            <w:tcBorders>
              <w:top w:val="nil"/>
              <w:left w:val="nil"/>
              <w:bottom w:val="single" w:sz="4" w:space="0" w:color="auto"/>
              <w:right w:val="single" w:sz="4" w:space="0" w:color="auto"/>
            </w:tcBorders>
            <w:noWrap/>
            <w:vAlign w:val="center"/>
            <w:hideMark/>
          </w:tcPr>
          <w:p w14:paraId="10167C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ZASAVSKA LJUDSKA UNIVERZA</w:t>
            </w:r>
          </w:p>
        </w:tc>
      </w:tr>
      <w:tr w:rsidR="00F24E18" w14:paraId="731AF0B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D91C1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2045</w:t>
            </w:r>
          </w:p>
        </w:tc>
        <w:tc>
          <w:tcPr>
            <w:tcW w:w="1300" w:type="dxa"/>
            <w:tcBorders>
              <w:top w:val="nil"/>
              <w:left w:val="nil"/>
              <w:bottom w:val="single" w:sz="4" w:space="0" w:color="auto"/>
              <w:right w:val="single" w:sz="4" w:space="0" w:color="auto"/>
            </w:tcBorders>
            <w:vAlign w:val="center"/>
            <w:hideMark/>
          </w:tcPr>
          <w:p w14:paraId="0BC58F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5108764000</w:t>
            </w:r>
          </w:p>
        </w:tc>
        <w:tc>
          <w:tcPr>
            <w:tcW w:w="1012" w:type="dxa"/>
            <w:tcBorders>
              <w:top w:val="nil"/>
              <w:left w:val="nil"/>
              <w:bottom w:val="single" w:sz="4" w:space="0" w:color="auto"/>
              <w:right w:val="single" w:sz="4" w:space="0" w:color="auto"/>
            </w:tcBorders>
            <w:vAlign w:val="center"/>
            <w:hideMark/>
          </w:tcPr>
          <w:p w14:paraId="351EDE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92092683</w:t>
            </w:r>
          </w:p>
        </w:tc>
        <w:tc>
          <w:tcPr>
            <w:tcW w:w="5953" w:type="dxa"/>
            <w:tcBorders>
              <w:top w:val="nil"/>
              <w:left w:val="nil"/>
              <w:bottom w:val="single" w:sz="4" w:space="0" w:color="auto"/>
              <w:right w:val="single" w:sz="4" w:space="0" w:color="auto"/>
            </w:tcBorders>
            <w:noWrap/>
            <w:vAlign w:val="center"/>
            <w:hideMark/>
          </w:tcPr>
          <w:p w14:paraId="7C58BB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ZASAVSKE LEKARNE TRBOVLJE</w:t>
            </w:r>
          </w:p>
        </w:tc>
      </w:tr>
      <w:tr w:rsidR="00F24E18" w14:paraId="6C79873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920F5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2046</w:t>
            </w:r>
          </w:p>
        </w:tc>
        <w:tc>
          <w:tcPr>
            <w:tcW w:w="1300" w:type="dxa"/>
            <w:tcBorders>
              <w:top w:val="nil"/>
              <w:left w:val="nil"/>
              <w:bottom w:val="single" w:sz="4" w:space="0" w:color="auto"/>
              <w:right w:val="single" w:sz="4" w:space="0" w:color="auto"/>
            </w:tcBorders>
            <w:noWrap/>
            <w:vAlign w:val="center"/>
            <w:hideMark/>
          </w:tcPr>
          <w:p w14:paraId="5D62B1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2212358000</w:t>
            </w:r>
          </w:p>
        </w:tc>
        <w:tc>
          <w:tcPr>
            <w:tcW w:w="1012" w:type="dxa"/>
            <w:tcBorders>
              <w:top w:val="nil"/>
              <w:left w:val="nil"/>
              <w:bottom w:val="single" w:sz="4" w:space="0" w:color="auto"/>
              <w:right w:val="single" w:sz="4" w:space="0" w:color="auto"/>
            </w:tcBorders>
            <w:noWrap/>
            <w:vAlign w:val="center"/>
            <w:hideMark/>
          </w:tcPr>
          <w:p w14:paraId="2E3E81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58743359</w:t>
            </w:r>
          </w:p>
        </w:tc>
        <w:tc>
          <w:tcPr>
            <w:tcW w:w="5953" w:type="dxa"/>
            <w:tcBorders>
              <w:top w:val="nil"/>
              <w:left w:val="nil"/>
              <w:bottom w:val="single" w:sz="4" w:space="0" w:color="auto"/>
              <w:right w:val="single" w:sz="4" w:space="0" w:color="auto"/>
            </w:tcBorders>
            <w:noWrap/>
            <w:vAlign w:val="center"/>
            <w:hideMark/>
          </w:tcPr>
          <w:p w14:paraId="2F0BA3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ENERGETSKA AGENCIJA ZA SAVINJSKO, ŠALEŠKO IN KOROŠKO, VELENJE</w:t>
            </w:r>
          </w:p>
        </w:tc>
      </w:tr>
      <w:tr w:rsidR="00F24E18" w14:paraId="18AE00A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D458D7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2047</w:t>
            </w:r>
          </w:p>
        </w:tc>
        <w:tc>
          <w:tcPr>
            <w:tcW w:w="1300" w:type="dxa"/>
            <w:tcBorders>
              <w:top w:val="nil"/>
              <w:left w:val="nil"/>
              <w:bottom w:val="single" w:sz="4" w:space="0" w:color="auto"/>
              <w:right w:val="single" w:sz="4" w:space="0" w:color="auto"/>
            </w:tcBorders>
            <w:vAlign w:val="center"/>
            <w:hideMark/>
          </w:tcPr>
          <w:p w14:paraId="40500C1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2143526000</w:t>
            </w:r>
          </w:p>
        </w:tc>
        <w:tc>
          <w:tcPr>
            <w:tcW w:w="1012" w:type="dxa"/>
            <w:tcBorders>
              <w:top w:val="nil"/>
              <w:left w:val="nil"/>
              <w:bottom w:val="single" w:sz="4" w:space="0" w:color="auto"/>
              <w:right w:val="single" w:sz="4" w:space="0" w:color="auto"/>
            </w:tcBorders>
            <w:vAlign w:val="center"/>
            <w:hideMark/>
          </w:tcPr>
          <w:p w14:paraId="59EC47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63246147</w:t>
            </w:r>
          </w:p>
        </w:tc>
        <w:tc>
          <w:tcPr>
            <w:tcW w:w="5953" w:type="dxa"/>
            <w:tcBorders>
              <w:top w:val="nil"/>
              <w:left w:val="nil"/>
              <w:bottom w:val="single" w:sz="4" w:space="0" w:color="auto"/>
              <w:right w:val="single" w:sz="4" w:space="0" w:color="auto"/>
            </w:tcBorders>
            <w:noWrap/>
            <w:vAlign w:val="center"/>
            <w:hideMark/>
          </w:tcPr>
          <w:p w14:paraId="588F9E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IVANA CANKARJA ZA KULTURO, ŠPORT IN TURIZEM VRHNIKA</w:t>
            </w:r>
          </w:p>
        </w:tc>
      </w:tr>
      <w:tr w:rsidR="00F24E18" w14:paraId="1792695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5B00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2048</w:t>
            </w:r>
          </w:p>
        </w:tc>
        <w:tc>
          <w:tcPr>
            <w:tcW w:w="1300" w:type="dxa"/>
            <w:tcBorders>
              <w:top w:val="nil"/>
              <w:left w:val="nil"/>
              <w:bottom w:val="single" w:sz="4" w:space="0" w:color="auto"/>
              <w:right w:val="single" w:sz="4" w:space="0" w:color="auto"/>
            </w:tcBorders>
            <w:vAlign w:val="center"/>
            <w:hideMark/>
          </w:tcPr>
          <w:p w14:paraId="4C1CB05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5022959000</w:t>
            </w:r>
          </w:p>
        </w:tc>
        <w:tc>
          <w:tcPr>
            <w:tcW w:w="1012" w:type="dxa"/>
            <w:tcBorders>
              <w:top w:val="nil"/>
              <w:left w:val="nil"/>
              <w:bottom w:val="single" w:sz="4" w:space="0" w:color="auto"/>
              <w:right w:val="single" w:sz="4" w:space="0" w:color="auto"/>
            </w:tcBorders>
            <w:vAlign w:val="center"/>
            <w:hideMark/>
          </w:tcPr>
          <w:p w14:paraId="03A68C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34375848</w:t>
            </w:r>
          </w:p>
        </w:tc>
        <w:tc>
          <w:tcPr>
            <w:tcW w:w="5953" w:type="dxa"/>
            <w:tcBorders>
              <w:top w:val="nil"/>
              <w:left w:val="nil"/>
              <w:bottom w:val="single" w:sz="4" w:space="0" w:color="auto"/>
              <w:right w:val="single" w:sz="4" w:space="0" w:color="auto"/>
            </w:tcBorders>
            <w:noWrap/>
            <w:vAlign w:val="center"/>
            <w:hideMark/>
          </w:tcPr>
          <w:p w14:paraId="27698EA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REPUBLIKE SLOVENIJE ZA BLAGOVNE REZERVE</w:t>
            </w:r>
          </w:p>
        </w:tc>
      </w:tr>
      <w:tr w:rsidR="00F24E18" w14:paraId="070923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DF41A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2049</w:t>
            </w:r>
          </w:p>
        </w:tc>
        <w:tc>
          <w:tcPr>
            <w:tcW w:w="1300" w:type="dxa"/>
            <w:tcBorders>
              <w:top w:val="nil"/>
              <w:left w:val="nil"/>
              <w:bottom w:val="single" w:sz="4" w:space="0" w:color="auto"/>
              <w:right w:val="single" w:sz="4" w:space="0" w:color="auto"/>
            </w:tcBorders>
            <w:vAlign w:val="center"/>
            <w:hideMark/>
          </w:tcPr>
          <w:p w14:paraId="1DE6C63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1594451000</w:t>
            </w:r>
          </w:p>
        </w:tc>
        <w:tc>
          <w:tcPr>
            <w:tcW w:w="1012" w:type="dxa"/>
            <w:tcBorders>
              <w:top w:val="nil"/>
              <w:left w:val="nil"/>
              <w:bottom w:val="single" w:sz="4" w:space="0" w:color="auto"/>
              <w:right w:val="single" w:sz="4" w:space="0" w:color="auto"/>
            </w:tcBorders>
            <w:vAlign w:val="center"/>
            <w:hideMark/>
          </w:tcPr>
          <w:p w14:paraId="394DF8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53164563</w:t>
            </w:r>
          </w:p>
        </w:tc>
        <w:tc>
          <w:tcPr>
            <w:tcW w:w="5953" w:type="dxa"/>
            <w:tcBorders>
              <w:top w:val="nil"/>
              <w:left w:val="nil"/>
              <w:bottom w:val="single" w:sz="4" w:space="0" w:color="auto"/>
              <w:right w:val="single" w:sz="4" w:space="0" w:color="auto"/>
            </w:tcBorders>
            <w:noWrap/>
            <w:vAlign w:val="center"/>
            <w:hideMark/>
          </w:tcPr>
          <w:p w14:paraId="7F414B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REPUBLIKE SLOVENIJE ZA PRESADITVE ORGANOV IN TKIV SLOVENIJA TRANSPLANT</w:t>
            </w:r>
          </w:p>
        </w:tc>
      </w:tr>
      <w:tr w:rsidR="00F24E18" w14:paraId="735AA9A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4B01F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2050</w:t>
            </w:r>
          </w:p>
        </w:tc>
        <w:tc>
          <w:tcPr>
            <w:tcW w:w="1300" w:type="dxa"/>
            <w:tcBorders>
              <w:top w:val="nil"/>
              <w:left w:val="nil"/>
              <w:bottom w:val="single" w:sz="4" w:space="0" w:color="auto"/>
              <w:right w:val="single" w:sz="4" w:space="0" w:color="auto"/>
            </w:tcBorders>
            <w:vAlign w:val="center"/>
            <w:hideMark/>
          </w:tcPr>
          <w:p w14:paraId="73C4E1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5911338000</w:t>
            </w:r>
          </w:p>
        </w:tc>
        <w:tc>
          <w:tcPr>
            <w:tcW w:w="1012" w:type="dxa"/>
            <w:tcBorders>
              <w:top w:val="nil"/>
              <w:left w:val="nil"/>
              <w:bottom w:val="single" w:sz="4" w:space="0" w:color="auto"/>
              <w:right w:val="single" w:sz="4" w:space="0" w:color="auto"/>
            </w:tcBorders>
            <w:vAlign w:val="center"/>
            <w:hideMark/>
          </w:tcPr>
          <w:p w14:paraId="6305D38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43696767</w:t>
            </w:r>
          </w:p>
        </w:tc>
        <w:tc>
          <w:tcPr>
            <w:tcW w:w="5953" w:type="dxa"/>
            <w:tcBorders>
              <w:top w:val="nil"/>
              <w:left w:val="nil"/>
              <w:bottom w:val="single" w:sz="4" w:space="0" w:color="auto"/>
              <w:right w:val="single" w:sz="4" w:space="0" w:color="auto"/>
            </w:tcBorders>
            <w:noWrap/>
            <w:vAlign w:val="center"/>
            <w:hideMark/>
          </w:tcPr>
          <w:p w14:paraId="71916E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REPUBLIKE SLOVENIJE ZA ŠOLSTVO</w:t>
            </w:r>
          </w:p>
        </w:tc>
      </w:tr>
      <w:tr w:rsidR="00F24E18" w14:paraId="1553AC9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2C82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2051</w:t>
            </w:r>
          </w:p>
        </w:tc>
        <w:tc>
          <w:tcPr>
            <w:tcW w:w="1300" w:type="dxa"/>
            <w:tcBorders>
              <w:top w:val="nil"/>
              <w:left w:val="nil"/>
              <w:bottom w:val="single" w:sz="4" w:space="0" w:color="auto"/>
              <w:right w:val="single" w:sz="4" w:space="0" w:color="auto"/>
            </w:tcBorders>
            <w:vAlign w:val="center"/>
            <w:hideMark/>
          </w:tcPr>
          <w:p w14:paraId="5E843B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5053960000</w:t>
            </w:r>
          </w:p>
        </w:tc>
        <w:tc>
          <w:tcPr>
            <w:tcW w:w="1012" w:type="dxa"/>
            <w:tcBorders>
              <w:top w:val="nil"/>
              <w:left w:val="nil"/>
              <w:bottom w:val="single" w:sz="4" w:space="0" w:color="auto"/>
              <w:right w:val="single" w:sz="4" w:space="0" w:color="auto"/>
            </w:tcBorders>
            <w:vAlign w:val="center"/>
            <w:hideMark/>
          </w:tcPr>
          <w:p w14:paraId="11F32C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24041262</w:t>
            </w:r>
          </w:p>
        </w:tc>
        <w:tc>
          <w:tcPr>
            <w:tcW w:w="5953" w:type="dxa"/>
            <w:tcBorders>
              <w:top w:val="nil"/>
              <w:left w:val="nil"/>
              <w:bottom w:val="single" w:sz="4" w:space="0" w:color="auto"/>
              <w:right w:val="single" w:sz="4" w:space="0" w:color="auto"/>
            </w:tcBorders>
            <w:noWrap/>
            <w:vAlign w:val="center"/>
            <w:hideMark/>
          </w:tcPr>
          <w:p w14:paraId="38EDC9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REPUBLIKE SLOVENIJE ZA TRANSFUZIJSKO MEDICINO</w:t>
            </w:r>
          </w:p>
        </w:tc>
      </w:tr>
      <w:tr w:rsidR="00F24E18" w14:paraId="2AB4E00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60FE2B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2052</w:t>
            </w:r>
          </w:p>
        </w:tc>
        <w:tc>
          <w:tcPr>
            <w:tcW w:w="1300" w:type="dxa"/>
            <w:tcBorders>
              <w:top w:val="nil"/>
              <w:left w:val="nil"/>
              <w:bottom w:val="single" w:sz="4" w:space="0" w:color="auto"/>
              <w:right w:val="single" w:sz="4" w:space="0" w:color="auto"/>
            </w:tcBorders>
            <w:vAlign w:val="center"/>
            <w:hideMark/>
          </w:tcPr>
          <w:p w14:paraId="6A7A18A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1684884000</w:t>
            </w:r>
          </w:p>
        </w:tc>
        <w:tc>
          <w:tcPr>
            <w:tcW w:w="1012" w:type="dxa"/>
            <w:tcBorders>
              <w:top w:val="nil"/>
              <w:left w:val="nil"/>
              <w:bottom w:val="single" w:sz="4" w:space="0" w:color="auto"/>
              <w:right w:val="single" w:sz="4" w:space="0" w:color="auto"/>
            </w:tcBorders>
            <w:vAlign w:val="center"/>
            <w:hideMark/>
          </w:tcPr>
          <w:p w14:paraId="69103D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53845285</w:t>
            </w:r>
          </w:p>
        </w:tc>
        <w:tc>
          <w:tcPr>
            <w:tcW w:w="5953" w:type="dxa"/>
            <w:tcBorders>
              <w:top w:val="nil"/>
              <w:left w:val="nil"/>
              <w:bottom w:val="single" w:sz="4" w:space="0" w:color="auto"/>
              <w:right w:val="single" w:sz="4" w:space="0" w:color="auto"/>
            </w:tcBorders>
            <w:noWrap/>
            <w:vAlign w:val="center"/>
            <w:hideMark/>
          </w:tcPr>
          <w:p w14:paraId="2F0D424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REPUBLIKE SLOVENIJE ZA VARSTVO NARAVE</w:t>
            </w:r>
          </w:p>
        </w:tc>
      </w:tr>
      <w:tr w:rsidR="00F24E18" w14:paraId="3164927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027F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2053</w:t>
            </w:r>
          </w:p>
        </w:tc>
        <w:tc>
          <w:tcPr>
            <w:tcW w:w="1300" w:type="dxa"/>
            <w:tcBorders>
              <w:top w:val="nil"/>
              <w:left w:val="nil"/>
              <w:bottom w:val="single" w:sz="4" w:space="0" w:color="auto"/>
              <w:right w:val="single" w:sz="4" w:space="0" w:color="auto"/>
            </w:tcBorders>
            <w:vAlign w:val="center"/>
            <w:hideMark/>
          </w:tcPr>
          <w:p w14:paraId="12DD46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5300410000</w:t>
            </w:r>
          </w:p>
        </w:tc>
        <w:tc>
          <w:tcPr>
            <w:tcW w:w="1012" w:type="dxa"/>
            <w:tcBorders>
              <w:top w:val="nil"/>
              <w:left w:val="nil"/>
              <w:bottom w:val="single" w:sz="4" w:space="0" w:color="auto"/>
              <w:right w:val="single" w:sz="4" w:space="0" w:color="auto"/>
            </w:tcBorders>
            <w:vAlign w:val="center"/>
            <w:hideMark/>
          </w:tcPr>
          <w:p w14:paraId="4DF08C5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16669762</w:t>
            </w:r>
          </w:p>
        </w:tc>
        <w:tc>
          <w:tcPr>
            <w:tcW w:w="5953" w:type="dxa"/>
            <w:tcBorders>
              <w:top w:val="nil"/>
              <w:left w:val="nil"/>
              <w:bottom w:val="single" w:sz="4" w:space="0" w:color="auto"/>
              <w:right w:val="single" w:sz="4" w:space="0" w:color="auto"/>
            </w:tcBorders>
            <w:noWrap/>
            <w:vAlign w:val="center"/>
            <w:hideMark/>
          </w:tcPr>
          <w:p w14:paraId="2045D0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REPUBLIKE SLOVENIJE ZA ZAPOSLOVANJE</w:t>
            </w:r>
          </w:p>
        </w:tc>
      </w:tr>
      <w:tr w:rsidR="00F24E18" w14:paraId="5734379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A528E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2054</w:t>
            </w:r>
          </w:p>
        </w:tc>
        <w:tc>
          <w:tcPr>
            <w:tcW w:w="1300" w:type="dxa"/>
            <w:tcBorders>
              <w:top w:val="nil"/>
              <w:left w:val="nil"/>
              <w:bottom w:val="single" w:sz="4" w:space="0" w:color="auto"/>
              <w:right w:val="single" w:sz="4" w:space="0" w:color="auto"/>
            </w:tcBorders>
            <w:vAlign w:val="center"/>
            <w:hideMark/>
          </w:tcPr>
          <w:p w14:paraId="4C369C5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5537711000</w:t>
            </w:r>
          </w:p>
        </w:tc>
        <w:tc>
          <w:tcPr>
            <w:tcW w:w="1012" w:type="dxa"/>
            <w:tcBorders>
              <w:top w:val="nil"/>
              <w:left w:val="nil"/>
              <w:bottom w:val="single" w:sz="4" w:space="0" w:color="auto"/>
              <w:right w:val="single" w:sz="4" w:space="0" w:color="auto"/>
            </w:tcBorders>
            <w:vAlign w:val="center"/>
            <w:hideMark/>
          </w:tcPr>
          <w:p w14:paraId="6617A39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91755379</w:t>
            </w:r>
          </w:p>
        </w:tc>
        <w:tc>
          <w:tcPr>
            <w:tcW w:w="5953" w:type="dxa"/>
            <w:tcBorders>
              <w:top w:val="nil"/>
              <w:left w:val="nil"/>
              <w:bottom w:val="single" w:sz="4" w:space="0" w:color="auto"/>
              <w:right w:val="single" w:sz="4" w:space="0" w:color="auto"/>
            </w:tcBorders>
            <w:noWrap/>
            <w:vAlign w:val="center"/>
            <w:hideMark/>
          </w:tcPr>
          <w:p w14:paraId="33EAF1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GASILNO IN REŠEVALNO SLUŽBO SEŽANA</w:t>
            </w:r>
          </w:p>
        </w:tc>
      </w:tr>
      <w:tr w:rsidR="00F24E18" w14:paraId="4475B5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44DA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2055</w:t>
            </w:r>
          </w:p>
        </w:tc>
        <w:tc>
          <w:tcPr>
            <w:tcW w:w="1300" w:type="dxa"/>
            <w:tcBorders>
              <w:top w:val="nil"/>
              <w:left w:val="nil"/>
              <w:bottom w:val="single" w:sz="4" w:space="0" w:color="auto"/>
              <w:right w:val="single" w:sz="4" w:space="0" w:color="auto"/>
            </w:tcBorders>
            <w:vAlign w:val="center"/>
            <w:hideMark/>
          </w:tcPr>
          <w:p w14:paraId="317FEB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5695252000</w:t>
            </w:r>
          </w:p>
        </w:tc>
        <w:tc>
          <w:tcPr>
            <w:tcW w:w="1012" w:type="dxa"/>
            <w:tcBorders>
              <w:top w:val="nil"/>
              <w:left w:val="nil"/>
              <w:bottom w:val="single" w:sz="4" w:space="0" w:color="auto"/>
              <w:right w:val="single" w:sz="4" w:space="0" w:color="auto"/>
            </w:tcBorders>
            <w:vAlign w:val="center"/>
            <w:hideMark/>
          </w:tcPr>
          <w:p w14:paraId="136DBC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57421838</w:t>
            </w:r>
          </w:p>
        </w:tc>
        <w:tc>
          <w:tcPr>
            <w:tcW w:w="5953" w:type="dxa"/>
            <w:tcBorders>
              <w:top w:val="nil"/>
              <w:left w:val="nil"/>
              <w:bottom w:val="single" w:sz="4" w:space="0" w:color="auto"/>
              <w:right w:val="single" w:sz="4" w:space="0" w:color="auto"/>
            </w:tcBorders>
            <w:noWrap/>
            <w:vAlign w:val="center"/>
            <w:hideMark/>
          </w:tcPr>
          <w:p w14:paraId="73D4C4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GLUHE IN NAGLUŠNE LJUBLJANA</w:t>
            </w:r>
          </w:p>
        </w:tc>
      </w:tr>
      <w:tr w:rsidR="00F24E18" w14:paraId="2E7A23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CD5F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2056</w:t>
            </w:r>
          </w:p>
        </w:tc>
        <w:tc>
          <w:tcPr>
            <w:tcW w:w="1300" w:type="dxa"/>
            <w:tcBorders>
              <w:top w:val="nil"/>
              <w:left w:val="nil"/>
              <w:bottom w:val="single" w:sz="4" w:space="0" w:color="auto"/>
              <w:right w:val="single" w:sz="4" w:space="0" w:color="auto"/>
            </w:tcBorders>
            <w:vAlign w:val="center"/>
            <w:hideMark/>
          </w:tcPr>
          <w:p w14:paraId="4BD7A6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5786380000</w:t>
            </w:r>
          </w:p>
        </w:tc>
        <w:tc>
          <w:tcPr>
            <w:tcW w:w="1012" w:type="dxa"/>
            <w:tcBorders>
              <w:top w:val="nil"/>
              <w:left w:val="nil"/>
              <w:bottom w:val="single" w:sz="4" w:space="0" w:color="auto"/>
              <w:right w:val="single" w:sz="4" w:space="0" w:color="auto"/>
            </w:tcBorders>
            <w:vAlign w:val="center"/>
            <w:hideMark/>
          </w:tcPr>
          <w:p w14:paraId="2B24D76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91496080</w:t>
            </w:r>
          </w:p>
        </w:tc>
        <w:tc>
          <w:tcPr>
            <w:tcW w:w="5953" w:type="dxa"/>
            <w:tcBorders>
              <w:top w:val="nil"/>
              <w:left w:val="nil"/>
              <w:bottom w:val="single" w:sz="4" w:space="0" w:color="auto"/>
              <w:right w:val="single" w:sz="4" w:space="0" w:color="auto"/>
            </w:tcBorders>
            <w:noWrap/>
            <w:vAlign w:val="center"/>
            <w:hideMark/>
          </w:tcPr>
          <w:p w14:paraId="3F68B1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GOZDOVE SLOVENIJE</w:t>
            </w:r>
          </w:p>
        </w:tc>
      </w:tr>
      <w:tr w:rsidR="00F24E18" w14:paraId="79A9528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BC1B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2057</w:t>
            </w:r>
          </w:p>
        </w:tc>
        <w:tc>
          <w:tcPr>
            <w:tcW w:w="1300" w:type="dxa"/>
            <w:tcBorders>
              <w:top w:val="nil"/>
              <w:left w:val="nil"/>
              <w:bottom w:val="single" w:sz="4" w:space="0" w:color="auto"/>
              <w:right w:val="single" w:sz="4" w:space="0" w:color="auto"/>
            </w:tcBorders>
            <w:vAlign w:val="center"/>
            <w:hideMark/>
          </w:tcPr>
          <w:p w14:paraId="317902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5866324000</w:t>
            </w:r>
          </w:p>
        </w:tc>
        <w:tc>
          <w:tcPr>
            <w:tcW w:w="1012" w:type="dxa"/>
            <w:tcBorders>
              <w:top w:val="nil"/>
              <w:left w:val="nil"/>
              <w:bottom w:val="single" w:sz="4" w:space="0" w:color="auto"/>
              <w:right w:val="single" w:sz="4" w:space="0" w:color="auto"/>
            </w:tcBorders>
            <w:vAlign w:val="center"/>
            <w:hideMark/>
          </w:tcPr>
          <w:p w14:paraId="0A6B717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43950019</w:t>
            </w:r>
          </w:p>
        </w:tc>
        <w:tc>
          <w:tcPr>
            <w:tcW w:w="5953" w:type="dxa"/>
            <w:tcBorders>
              <w:top w:val="nil"/>
              <w:left w:val="nil"/>
              <w:bottom w:val="single" w:sz="4" w:space="0" w:color="auto"/>
              <w:right w:val="single" w:sz="4" w:space="0" w:color="auto"/>
            </w:tcBorders>
            <w:noWrap/>
            <w:vAlign w:val="center"/>
            <w:hideMark/>
          </w:tcPr>
          <w:p w14:paraId="56EDBE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GRADBENIŠTVO SLOVENIJE</w:t>
            </w:r>
          </w:p>
        </w:tc>
      </w:tr>
      <w:tr w:rsidR="00F24E18" w14:paraId="49FF545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D0E4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2058</w:t>
            </w:r>
          </w:p>
        </w:tc>
        <w:tc>
          <w:tcPr>
            <w:tcW w:w="1300" w:type="dxa"/>
            <w:tcBorders>
              <w:top w:val="nil"/>
              <w:left w:val="nil"/>
              <w:bottom w:val="single" w:sz="4" w:space="0" w:color="auto"/>
              <w:right w:val="single" w:sz="4" w:space="0" w:color="auto"/>
            </w:tcBorders>
            <w:noWrap/>
            <w:vAlign w:val="center"/>
            <w:hideMark/>
          </w:tcPr>
          <w:p w14:paraId="3BD092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5052467000</w:t>
            </w:r>
          </w:p>
        </w:tc>
        <w:tc>
          <w:tcPr>
            <w:tcW w:w="1012" w:type="dxa"/>
            <w:tcBorders>
              <w:top w:val="nil"/>
              <w:left w:val="nil"/>
              <w:bottom w:val="single" w:sz="4" w:space="0" w:color="auto"/>
              <w:right w:val="single" w:sz="4" w:space="0" w:color="auto"/>
            </w:tcBorders>
            <w:noWrap/>
            <w:vAlign w:val="center"/>
            <w:hideMark/>
          </w:tcPr>
          <w:p w14:paraId="4B9B08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92914730</w:t>
            </w:r>
          </w:p>
        </w:tc>
        <w:tc>
          <w:tcPr>
            <w:tcW w:w="5953" w:type="dxa"/>
            <w:tcBorders>
              <w:top w:val="nil"/>
              <w:left w:val="nil"/>
              <w:bottom w:val="single" w:sz="4" w:space="0" w:color="auto"/>
              <w:right w:val="single" w:sz="4" w:space="0" w:color="auto"/>
            </w:tcBorders>
            <w:noWrap/>
            <w:vAlign w:val="center"/>
            <w:hideMark/>
          </w:tcPr>
          <w:p w14:paraId="15B133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IZOBRAŽEVANJE IN KULTURO ČRNOMELJ</w:t>
            </w:r>
          </w:p>
        </w:tc>
      </w:tr>
      <w:tr w:rsidR="00F24E18" w14:paraId="3858E5F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54057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2059</w:t>
            </w:r>
          </w:p>
        </w:tc>
        <w:tc>
          <w:tcPr>
            <w:tcW w:w="1300" w:type="dxa"/>
            <w:tcBorders>
              <w:top w:val="nil"/>
              <w:left w:val="nil"/>
              <w:bottom w:val="single" w:sz="4" w:space="0" w:color="auto"/>
              <w:right w:val="single" w:sz="4" w:space="0" w:color="auto"/>
            </w:tcBorders>
            <w:vAlign w:val="center"/>
            <w:hideMark/>
          </w:tcPr>
          <w:p w14:paraId="2962A1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2144271000</w:t>
            </w:r>
          </w:p>
        </w:tc>
        <w:tc>
          <w:tcPr>
            <w:tcW w:w="1012" w:type="dxa"/>
            <w:tcBorders>
              <w:top w:val="nil"/>
              <w:left w:val="nil"/>
              <w:bottom w:val="single" w:sz="4" w:space="0" w:color="auto"/>
              <w:right w:val="single" w:sz="4" w:space="0" w:color="auto"/>
            </w:tcBorders>
            <w:vAlign w:val="center"/>
            <w:hideMark/>
          </w:tcPr>
          <w:p w14:paraId="47D44A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63893207</w:t>
            </w:r>
          </w:p>
        </w:tc>
        <w:tc>
          <w:tcPr>
            <w:tcW w:w="5953" w:type="dxa"/>
            <w:tcBorders>
              <w:top w:val="nil"/>
              <w:left w:val="nil"/>
              <w:bottom w:val="single" w:sz="4" w:space="0" w:color="auto"/>
              <w:right w:val="single" w:sz="4" w:space="0" w:color="auto"/>
            </w:tcBorders>
            <w:noWrap/>
            <w:vAlign w:val="center"/>
            <w:hideMark/>
          </w:tcPr>
          <w:p w14:paraId="36460C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KULTURNE PRIREDITVE IN TURIZEM CELEIA CELJE</w:t>
            </w:r>
          </w:p>
        </w:tc>
      </w:tr>
      <w:tr w:rsidR="00F24E18" w14:paraId="066D0DF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7BA3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2060</w:t>
            </w:r>
          </w:p>
        </w:tc>
        <w:tc>
          <w:tcPr>
            <w:tcW w:w="1300" w:type="dxa"/>
            <w:tcBorders>
              <w:top w:val="nil"/>
              <w:left w:val="nil"/>
              <w:bottom w:val="single" w:sz="4" w:space="0" w:color="auto"/>
              <w:right w:val="single" w:sz="4" w:space="0" w:color="auto"/>
            </w:tcBorders>
            <w:vAlign w:val="center"/>
            <w:hideMark/>
          </w:tcPr>
          <w:p w14:paraId="3331C8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2062348000</w:t>
            </w:r>
          </w:p>
        </w:tc>
        <w:tc>
          <w:tcPr>
            <w:tcW w:w="1012" w:type="dxa"/>
            <w:tcBorders>
              <w:top w:val="nil"/>
              <w:left w:val="nil"/>
              <w:bottom w:val="single" w:sz="4" w:space="0" w:color="auto"/>
              <w:right w:val="single" w:sz="4" w:space="0" w:color="auto"/>
            </w:tcBorders>
            <w:vAlign w:val="center"/>
            <w:hideMark/>
          </w:tcPr>
          <w:p w14:paraId="17D76E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41694473</w:t>
            </w:r>
          </w:p>
        </w:tc>
        <w:tc>
          <w:tcPr>
            <w:tcW w:w="5953" w:type="dxa"/>
            <w:tcBorders>
              <w:top w:val="nil"/>
              <w:left w:val="nil"/>
              <w:bottom w:val="single" w:sz="4" w:space="0" w:color="auto"/>
              <w:right w:val="single" w:sz="4" w:space="0" w:color="auto"/>
            </w:tcBorders>
            <w:noWrap/>
            <w:vAlign w:val="center"/>
            <w:hideMark/>
          </w:tcPr>
          <w:p w14:paraId="3EBA26B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KULTURO BLED</w:t>
            </w:r>
          </w:p>
        </w:tc>
      </w:tr>
      <w:tr w:rsidR="00F24E18" w14:paraId="2311D14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0BE30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2061</w:t>
            </w:r>
          </w:p>
        </w:tc>
        <w:tc>
          <w:tcPr>
            <w:tcW w:w="1300" w:type="dxa"/>
            <w:tcBorders>
              <w:top w:val="nil"/>
              <w:left w:val="nil"/>
              <w:bottom w:val="single" w:sz="4" w:space="0" w:color="auto"/>
              <w:right w:val="single" w:sz="4" w:space="0" w:color="auto"/>
            </w:tcBorders>
            <w:noWrap/>
            <w:vAlign w:val="center"/>
            <w:hideMark/>
          </w:tcPr>
          <w:p w14:paraId="3B5946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5823889000</w:t>
            </w:r>
          </w:p>
        </w:tc>
        <w:tc>
          <w:tcPr>
            <w:tcW w:w="1012" w:type="dxa"/>
            <w:tcBorders>
              <w:top w:val="nil"/>
              <w:left w:val="nil"/>
              <w:bottom w:val="single" w:sz="4" w:space="0" w:color="auto"/>
              <w:right w:val="single" w:sz="4" w:space="0" w:color="auto"/>
            </w:tcBorders>
            <w:noWrap/>
            <w:vAlign w:val="center"/>
            <w:hideMark/>
          </w:tcPr>
          <w:p w14:paraId="6B0394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11349727</w:t>
            </w:r>
          </w:p>
        </w:tc>
        <w:tc>
          <w:tcPr>
            <w:tcW w:w="5953" w:type="dxa"/>
            <w:tcBorders>
              <w:top w:val="nil"/>
              <w:left w:val="nil"/>
              <w:bottom w:val="single" w:sz="4" w:space="0" w:color="auto"/>
              <w:right w:val="single" w:sz="4" w:space="0" w:color="auto"/>
            </w:tcBorders>
            <w:noWrap/>
            <w:vAlign w:val="center"/>
            <w:hideMark/>
          </w:tcPr>
          <w:p w14:paraId="03710D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KULTURO MADŽARSKE NARODNOSTI LENDAVA MAGYAR NEMZETISÉGI MŰVELŐDÉSI INTÉZET LENDVA</w:t>
            </w:r>
          </w:p>
        </w:tc>
      </w:tr>
      <w:tr w:rsidR="00F24E18" w14:paraId="33F37B9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D9586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2062</w:t>
            </w:r>
          </w:p>
        </w:tc>
        <w:tc>
          <w:tcPr>
            <w:tcW w:w="1300" w:type="dxa"/>
            <w:tcBorders>
              <w:top w:val="nil"/>
              <w:left w:val="nil"/>
              <w:bottom w:val="single" w:sz="4" w:space="0" w:color="auto"/>
              <w:right w:val="single" w:sz="4" w:space="0" w:color="auto"/>
            </w:tcBorders>
            <w:noWrap/>
            <w:vAlign w:val="center"/>
            <w:hideMark/>
          </w:tcPr>
          <w:p w14:paraId="6C6043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1708805000</w:t>
            </w:r>
          </w:p>
        </w:tc>
        <w:tc>
          <w:tcPr>
            <w:tcW w:w="1012" w:type="dxa"/>
            <w:tcBorders>
              <w:top w:val="nil"/>
              <w:left w:val="nil"/>
              <w:bottom w:val="single" w:sz="4" w:space="0" w:color="auto"/>
              <w:right w:val="single" w:sz="4" w:space="0" w:color="auto"/>
            </w:tcBorders>
            <w:noWrap/>
            <w:vAlign w:val="center"/>
            <w:hideMark/>
          </w:tcPr>
          <w:p w14:paraId="441602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40351599</w:t>
            </w:r>
          </w:p>
        </w:tc>
        <w:tc>
          <w:tcPr>
            <w:tcW w:w="5953" w:type="dxa"/>
            <w:tcBorders>
              <w:top w:val="nil"/>
              <w:left w:val="nil"/>
              <w:bottom w:val="single" w:sz="4" w:space="0" w:color="auto"/>
              <w:right w:val="single" w:sz="4" w:space="0" w:color="auto"/>
            </w:tcBorders>
            <w:noWrap/>
            <w:vAlign w:val="center"/>
            <w:hideMark/>
          </w:tcPr>
          <w:p w14:paraId="1B7008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KULTURO ŠOŠTANJ</w:t>
            </w:r>
          </w:p>
        </w:tc>
      </w:tr>
      <w:tr w:rsidR="00F24E18" w14:paraId="4083112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D9989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2063</w:t>
            </w:r>
          </w:p>
        </w:tc>
        <w:tc>
          <w:tcPr>
            <w:tcW w:w="1300" w:type="dxa"/>
            <w:tcBorders>
              <w:top w:val="nil"/>
              <w:left w:val="nil"/>
              <w:bottom w:val="single" w:sz="4" w:space="0" w:color="auto"/>
              <w:right w:val="single" w:sz="4" w:space="0" w:color="auto"/>
            </w:tcBorders>
            <w:noWrap/>
            <w:vAlign w:val="center"/>
            <w:hideMark/>
          </w:tcPr>
          <w:p w14:paraId="1CBFA3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6078460000</w:t>
            </w:r>
          </w:p>
        </w:tc>
        <w:tc>
          <w:tcPr>
            <w:tcW w:w="1012" w:type="dxa"/>
            <w:tcBorders>
              <w:top w:val="nil"/>
              <w:left w:val="nil"/>
              <w:bottom w:val="single" w:sz="4" w:space="0" w:color="auto"/>
              <w:right w:val="single" w:sz="4" w:space="0" w:color="auto"/>
            </w:tcBorders>
            <w:noWrap/>
            <w:vAlign w:val="center"/>
            <w:hideMark/>
          </w:tcPr>
          <w:p w14:paraId="7F00E1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42771986</w:t>
            </w:r>
          </w:p>
        </w:tc>
        <w:tc>
          <w:tcPr>
            <w:tcW w:w="5953" w:type="dxa"/>
            <w:tcBorders>
              <w:top w:val="nil"/>
              <w:left w:val="nil"/>
              <w:bottom w:val="single" w:sz="4" w:space="0" w:color="auto"/>
              <w:right w:val="single" w:sz="4" w:space="0" w:color="auto"/>
            </w:tcBorders>
            <w:noWrap/>
            <w:vAlign w:val="center"/>
            <w:hideMark/>
          </w:tcPr>
          <w:p w14:paraId="5FE3C8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KULTURO, ŠPORT, TURIZEM IN MLADINSKE DEJAVNOSTI RAVNE NA KOROŠKEM</w:t>
            </w:r>
          </w:p>
        </w:tc>
      </w:tr>
      <w:tr w:rsidR="00F24E18" w14:paraId="1E0BEA1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35145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2064</w:t>
            </w:r>
          </w:p>
        </w:tc>
        <w:tc>
          <w:tcPr>
            <w:tcW w:w="1300" w:type="dxa"/>
            <w:tcBorders>
              <w:top w:val="nil"/>
              <w:left w:val="nil"/>
              <w:bottom w:val="single" w:sz="4" w:space="0" w:color="auto"/>
              <w:right w:val="single" w:sz="4" w:space="0" w:color="auto"/>
            </w:tcBorders>
            <w:noWrap/>
            <w:vAlign w:val="center"/>
            <w:hideMark/>
          </w:tcPr>
          <w:p w14:paraId="32599F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3726843000</w:t>
            </w:r>
          </w:p>
        </w:tc>
        <w:tc>
          <w:tcPr>
            <w:tcW w:w="1012" w:type="dxa"/>
            <w:tcBorders>
              <w:top w:val="nil"/>
              <w:left w:val="nil"/>
              <w:bottom w:val="single" w:sz="4" w:space="0" w:color="auto"/>
              <w:right w:val="single" w:sz="4" w:space="0" w:color="auto"/>
            </w:tcBorders>
            <w:noWrap/>
            <w:vAlign w:val="center"/>
            <w:hideMark/>
          </w:tcPr>
          <w:p w14:paraId="333E3D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56481667</w:t>
            </w:r>
          </w:p>
        </w:tc>
        <w:tc>
          <w:tcPr>
            <w:tcW w:w="5953" w:type="dxa"/>
            <w:tcBorders>
              <w:top w:val="nil"/>
              <w:left w:val="nil"/>
              <w:bottom w:val="single" w:sz="4" w:space="0" w:color="auto"/>
              <w:right w:val="single" w:sz="4" w:space="0" w:color="auto"/>
            </w:tcBorders>
            <w:noWrap/>
            <w:vAlign w:val="center"/>
            <w:hideMark/>
          </w:tcPr>
          <w:p w14:paraId="75C192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KULTURO, TURIZEM IN ŠPORT MURSKA SOBOTA</w:t>
            </w:r>
          </w:p>
        </w:tc>
      </w:tr>
      <w:tr w:rsidR="00F24E18" w14:paraId="7CA05AF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203C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2065</w:t>
            </w:r>
          </w:p>
        </w:tc>
        <w:tc>
          <w:tcPr>
            <w:tcW w:w="1300" w:type="dxa"/>
            <w:tcBorders>
              <w:top w:val="nil"/>
              <w:left w:val="nil"/>
              <w:bottom w:val="single" w:sz="4" w:space="0" w:color="auto"/>
              <w:right w:val="single" w:sz="4" w:space="0" w:color="auto"/>
            </w:tcBorders>
            <w:noWrap/>
            <w:vAlign w:val="center"/>
            <w:hideMark/>
          </w:tcPr>
          <w:p w14:paraId="51B2C4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1695703000</w:t>
            </w:r>
          </w:p>
        </w:tc>
        <w:tc>
          <w:tcPr>
            <w:tcW w:w="1012" w:type="dxa"/>
            <w:tcBorders>
              <w:top w:val="nil"/>
              <w:left w:val="nil"/>
              <w:bottom w:val="single" w:sz="4" w:space="0" w:color="auto"/>
              <w:right w:val="single" w:sz="4" w:space="0" w:color="auto"/>
            </w:tcBorders>
            <w:noWrap/>
            <w:vAlign w:val="center"/>
            <w:hideMark/>
          </w:tcPr>
          <w:p w14:paraId="523796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23047399</w:t>
            </w:r>
          </w:p>
        </w:tc>
        <w:tc>
          <w:tcPr>
            <w:tcW w:w="5953" w:type="dxa"/>
            <w:tcBorders>
              <w:top w:val="nil"/>
              <w:left w:val="nil"/>
              <w:bottom w:val="single" w:sz="4" w:space="0" w:color="auto"/>
              <w:right w:val="single" w:sz="4" w:space="0" w:color="auto"/>
            </w:tcBorders>
            <w:noWrap/>
            <w:vAlign w:val="center"/>
            <w:hideMark/>
          </w:tcPr>
          <w:p w14:paraId="3990A1E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KULTURO, TURIZEM IN ŠPORT VRANSKO</w:t>
            </w:r>
          </w:p>
        </w:tc>
      </w:tr>
      <w:tr w:rsidR="00F24E18" w14:paraId="1A81216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CE57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2066</w:t>
            </w:r>
          </w:p>
        </w:tc>
        <w:tc>
          <w:tcPr>
            <w:tcW w:w="1300" w:type="dxa"/>
            <w:tcBorders>
              <w:top w:val="nil"/>
              <w:left w:val="nil"/>
              <w:bottom w:val="single" w:sz="4" w:space="0" w:color="auto"/>
              <w:right w:val="single" w:sz="4" w:space="0" w:color="auto"/>
            </w:tcBorders>
            <w:noWrap/>
            <w:vAlign w:val="center"/>
            <w:hideMark/>
          </w:tcPr>
          <w:p w14:paraId="3D09263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1624288000</w:t>
            </w:r>
          </w:p>
        </w:tc>
        <w:tc>
          <w:tcPr>
            <w:tcW w:w="1012" w:type="dxa"/>
            <w:tcBorders>
              <w:top w:val="nil"/>
              <w:left w:val="nil"/>
              <w:bottom w:val="single" w:sz="4" w:space="0" w:color="auto"/>
              <w:right w:val="single" w:sz="4" w:space="0" w:color="auto"/>
            </w:tcBorders>
            <w:noWrap/>
            <w:vAlign w:val="center"/>
            <w:hideMark/>
          </w:tcPr>
          <w:p w14:paraId="230BA7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30498953</w:t>
            </w:r>
          </w:p>
        </w:tc>
        <w:tc>
          <w:tcPr>
            <w:tcW w:w="5953" w:type="dxa"/>
            <w:tcBorders>
              <w:top w:val="nil"/>
              <w:left w:val="nil"/>
              <w:bottom w:val="single" w:sz="4" w:space="0" w:color="auto"/>
              <w:right w:val="single" w:sz="4" w:space="0" w:color="auto"/>
            </w:tcBorders>
            <w:noWrap/>
            <w:vAlign w:val="center"/>
            <w:hideMark/>
          </w:tcPr>
          <w:p w14:paraId="112D86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MLADINO IN ŠPORT KRŠKO</w:t>
            </w:r>
          </w:p>
        </w:tc>
      </w:tr>
      <w:tr w:rsidR="00F24E18" w14:paraId="5F12DC6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EB10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2067</w:t>
            </w:r>
          </w:p>
        </w:tc>
        <w:tc>
          <w:tcPr>
            <w:tcW w:w="1300" w:type="dxa"/>
            <w:tcBorders>
              <w:top w:val="nil"/>
              <w:left w:val="nil"/>
              <w:bottom w:val="single" w:sz="4" w:space="0" w:color="auto"/>
              <w:right w:val="single" w:sz="4" w:space="0" w:color="auto"/>
            </w:tcBorders>
            <w:noWrap/>
            <w:vAlign w:val="center"/>
            <w:hideMark/>
          </w:tcPr>
          <w:p w14:paraId="62E9003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8047464000</w:t>
            </w:r>
          </w:p>
        </w:tc>
        <w:tc>
          <w:tcPr>
            <w:tcW w:w="1012" w:type="dxa"/>
            <w:tcBorders>
              <w:top w:val="nil"/>
              <w:left w:val="nil"/>
              <w:bottom w:val="single" w:sz="4" w:space="0" w:color="auto"/>
              <w:right w:val="single" w:sz="4" w:space="0" w:color="auto"/>
            </w:tcBorders>
            <w:noWrap/>
            <w:vAlign w:val="center"/>
            <w:hideMark/>
          </w:tcPr>
          <w:p w14:paraId="1FBB46F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75852179</w:t>
            </w:r>
          </w:p>
        </w:tc>
        <w:tc>
          <w:tcPr>
            <w:tcW w:w="5953" w:type="dxa"/>
            <w:tcBorders>
              <w:top w:val="nil"/>
              <w:left w:val="nil"/>
              <w:bottom w:val="single" w:sz="4" w:space="0" w:color="auto"/>
              <w:right w:val="single" w:sz="4" w:space="0" w:color="auto"/>
            </w:tcBorders>
            <w:noWrap/>
            <w:vAlign w:val="center"/>
            <w:hideMark/>
          </w:tcPr>
          <w:p w14:paraId="6E9ED9B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MLADINO, KULTURO IN TURIZEM KOPER</w:t>
            </w:r>
          </w:p>
        </w:tc>
      </w:tr>
      <w:tr w:rsidR="00F24E18" w14:paraId="217A99A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19D57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2068</w:t>
            </w:r>
          </w:p>
        </w:tc>
        <w:tc>
          <w:tcPr>
            <w:tcW w:w="1300" w:type="dxa"/>
            <w:tcBorders>
              <w:top w:val="nil"/>
              <w:left w:val="nil"/>
              <w:bottom w:val="single" w:sz="4" w:space="0" w:color="auto"/>
              <w:right w:val="single" w:sz="4" w:space="0" w:color="auto"/>
            </w:tcBorders>
            <w:vAlign w:val="center"/>
            <w:hideMark/>
          </w:tcPr>
          <w:p w14:paraId="3C25F5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1710923000</w:t>
            </w:r>
          </w:p>
        </w:tc>
        <w:tc>
          <w:tcPr>
            <w:tcW w:w="1012" w:type="dxa"/>
            <w:tcBorders>
              <w:top w:val="nil"/>
              <w:left w:val="nil"/>
              <w:bottom w:val="single" w:sz="4" w:space="0" w:color="auto"/>
              <w:right w:val="single" w:sz="4" w:space="0" w:color="auto"/>
            </w:tcBorders>
            <w:vAlign w:val="center"/>
            <w:hideMark/>
          </w:tcPr>
          <w:p w14:paraId="175A13E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79470408</w:t>
            </w:r>
          </w:p>
        </w:tc>
        <w:tc>
          <w:tcPr>
            <w:tcW w:w="5953" w:type="dxa"/>
            <w:tcBorders>
              <w:top w:val="nil"/>
              <w:left w:val="nil"/>
              <w:bottom w:val="single" w:sz="4" w:space="0" w:color="auto"/>
              <w:right w:val="single" w:sz="4" w:space="0" w:color="auto"/>
            </w:tcBorders>
            <w:noWrap/>
            <w:vAlign w:val="center"/>
            <w:hideMark/>
          </w:tcPr>
          <w:p w14:paraId="75BAFC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OSKRBO NA DOMU LJUBLJANA</w:t>
            </w:r>
          </w:p>
        </w:tc>
      </w:tr>
      <w:tr w:rsidR="00F24E18" w14:paraId="753845F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765B4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2069</w:t>
            </w:r>
          </w:p>
        </w:tc>
        <w:tc>
          <w:tcPr>
            <w:tcW w:w="1300" w:type="dxa"/>
            <w:tcBorders>
              <w:top w:val="nil"/>
              <w:left w:val="nil"/>
              <w:bottom w:val="single" w:sz="4" w:space="0" w:color="auto"/>
              <w:right w:val="single" w:sz="4" w:space="0" w:color="auto"/>
            </w:tcBorders>
            <w:noWrap/>
            <w:vAlign w:val="center"/>
            <w:hideMark/>
          </w:tcPr>
          <w:p w14:paraId="13D9A0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1331264000</w:t>
            </w:r>
          </w:p>
        </w:tc>
        <w:tc>
          <w:tcPr>
            <w:tcW w:w="1012" w:type="dxa"/>
            <w:tcBorders>
              <w:top w:val="nil"/>
              <w:left w:val="nil"/>
              <w:bottom w:val="single" w:sz="4" w:space="0" w:color="auto"/>
              <w:right w:val="single" w:sz="4" w:space="0" w:color="auto"/>
            </w:tcBorders>
            <w:noWrap/>
            <w:vAlign w:val="center"/>
            <w:hideMark/>
          </w:tcPr>
          <w:p w14:paraId="1EEEB9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22560343</w:t>
            </w:r>
          </w:p>
        </w:tc>
        <w:tc>
          <w:tcPr>
            <w:tcW w:w="5953" w:type="dxa"/>
            <w:tcBorders>
              <w:top w:val="nil"/>
              <w:left w:val="nil"/>
              <w:bottom w:val="single" w:sz="4" w:space="0" w:color="auto"/>
              <w:right w:val="single" w:sz="4" w:space="0" w:color="auto"/>
            </w:tcBorders>
            <w:noWrap/>
            <w:vAlign w:val="center"/>
            <w:hideMark/>
          </w:tcPr>
          <w:p w14:paraId="474D22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PODJETNIŠTVO, TURIZEM IN MLADINO BREŽICE</w:t>
            </w:r>
          </w:p>
        </w:tc>
      </w:tr>
      <w:tr w:rsidR="00F24E18" w14:paraId="58E19F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E251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2070</w:t>
            </w:r>
          </w:p>
        </w:tc>
        <w:tc>
          <w:tcPr>
            <w:tcW w:w="1300" w:type="dxa"/>
            <w:tcBorders>
              <w:top w:val="nil"/>
              <w:left w:val="nil"/>
              <w:bottom w:val="single" w:sz="4" w:space="0" w:color="auto"/>
              <w:right w:val="single" w:sz="4" w:space="0" w:color="auto"/>
            </w:tcBorders>
            <w:vAlign w:val="center"/>
            <w:hideMark/>
          </w:tcPr>
          <w:p w14:paraId="275224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5156700000</w:t>
            </w:r>
          </w:p>
        </w:tc>
        <w:tc>
          <w:tcPr>
            <w:tcW w:w="1012" w:type="dxa"/>
            <w:tcBorders>
              <w:top w:val="nil"/>
              <w:left w:val="nil"/>
              <w:bottom w:val="single" w:sz="4" w:space="0" w:color="auto"/>
              <w:right w:val="single" w:sz="4" w:space="0" w:color="auto"/>
            </w:tcBorders>
            <w:vAlign w:val="center"/>
            <w:hideMark/>
          </w:tcPr>
          <w:p w14:paraId="155364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85876500</w:t>
            </w:r>
          </w:p>
        </w:tc>
        <w:tc>
          <w:tcPr>
            <w:tcW w:w="5953" w:type="dxa"/>
            <w:tcBorders>
              <w:top w:val="nil"/>
              <w:left w:val="nil"/>
              <w:bottom w:val="single" w:sz="4" w:space="0" w:color="auto"/>
              <w:right w:val="single" w:sz="4" w:space="0" w:color="auto"/>
            </w:tcBorders>
            <w:noWrap/>
            <w:vAlign w:val="center"/>
            <w:hideMark/>
          </w:tcPr>
          <w:p w14:paraId="3B30C4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POKOJNINSKO IN INVALIDSKO ZAVAROVANJE SLOVENIJE</w:t>
            </w:r>
          </w:p>
        </w:tc>
      </w:tr>
      <w:tr w:rsidR="00F24E18" w14:paraId="3212E81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AB065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2071</w:t>
            </w:r>
          </w:p>
        </w:tc>
        <w:tc>
          <w:tcPr>
            <w:tcW w:w="1300" w:type="dxa"/>
            <w:tcBorders>
              <w:top w:val="nil"/>
              <w:left w:val="nil"/>
              <w:bottom w:val="single" w:sz="4" w:space="0" w:color="auto"/>
              <w:right w:val="single" w:sz="4" w:space="0" w:color="auto"/>
            </w:tcBorders>
            <w:vAlign w:val="center"/>
            <w:hideMark/>
          </w:tcPr>
          <w:p w14:paraId="561F8F8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5164117000</w:t>
            </w:r>
          </w:p>
        </w:tc>
        <w:tc>
          <w:tcPr>
            <w:tcW w:w="1012" w:type="dxa"/>
            <w:tcBorders>
              <w:top w:val="nil"/>
              <w:left w:val="nil"/>
              <w:bottom w:val="single" w:sz="4" w:space="0" w:color="auto"/>
              <w:right w:val="single" w:sz="4" w:space="0" w:color="auto"/>
            </w:tcBorders>
            <w:vAlign w:val="center"/>
            <w:hideMark/>
          </w:tcPr>
          <w:p w14:paraId="13D2DA6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83921419</w:t>
            </w:r>
          </w:p>
        </w:tc>
        <w:tc>
          <w:tcPr>
            <w:tcW w:w="5953" w:type="dxa"/>
            <w:tcBorders>
              <w:top w:val="nil"/>
              <w:left w:val="nil"/>
              <w:bottom w:val="single" w:sz="4" w:space="0" w:color="auto"/>
              <w:right w:val="single" w:sz="4" w:space="0" w:color="auto"/>
            </w:tcBorders>
            <w:noWrap/>
            <w:vAlign w:val="center"/>
            <w:hideMark/>
          </w:tcPr>
          <w:p w14:paraId="1B128F5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RIBIŠTVO SLOVENIJE</w:t>
            </w:r>
          </w:p>
        </w:tc>
      </w:tr>
      <w:tr w:rsidR="00F24E18" w14:paraId="57A9AAD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A5E4C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2072</w:t>
            </w:r>
          </w:p>
        </w:tc>
        <w:tc>
          <w:tcPr>
            <w:tcW w:w="1300" w:type="dxa"/>
            <w:tcBorders>
              <w:top w:val="nil"/>
              <w:left w:val="nil"/>
              <w:bottom w:val="single" w:sz="4" w:space="0" w:color="auto"/>
              <w:right w:val="single" w:sz="4" w:space="0" w:color="auto"/>
            </w:tcBorders>
            <w:vAlign w:val="center"/>
            <w:hideMark/>
          </w:tcPr>
          <w:p w14:paraId="2EB4AF1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1434268000</w:t>
            </w:r>
          </w:p>
        </w:tc>
        <w:tc>
          <w:tcPr>
            <w:tcW w:w="1012" w:type="dxa"/>
            <w:tcBorders>
              <w:top w:val="nil"/>
              <w:left w:val="nil"/>
              <w:bottom w:val="single" w:sz="4" w:space="0" w:color="auto"/>
              <w:right w:val="single" w:sz="4" w:space="0" w:color="auto"/>
            </w:tcBorders>
            <w:vAlign w:val="center"/>
            <w:hideMark/>
          </w:tcPr>
          <w:p w14:paraId="64ADA0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59164301</w:t>
            </w:r>
          </w:p>
        </w:tc>
        <w:tc>
          <w:tcPr>
            <w:tcW w:w="5953" w:type="dxa"/>
            <w:tcBorders>
              <w:top w:val="nil"/>
              <w:left w:val="nil"/>
              <w:bottom w:val="single" w:sz="4" w:space="0" w:color="auto"/>
              <w:right w:val="single" w:sz="4" w:space="0" w:color="auto"/>
            </w:tcBorders>
            <w:noWrap/>
            <w:vAlign w:val="center"/>
            <w:hideMark/>
          </w:tcPr>
          <w:p w14:paraId="73EC9F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ŠPORT AJDOVŠČINA</w:t>
            </w:r>
          </w:p>
        </w:tc>
      </w:tr>
      <w:tr w:rsidR="00F24E18" w14:paraId="6BF5DEC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30CCD9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2073</w:t>
            </w:r>
          </w:p>
        </w:tc>
        <w:tc>
          <w:tcPr>
            <w:tcW w:w="1300" w:type="dxa"/>
            <w:tcBorders>
              <w:top w:val="nil"/>
              <w:left w:val="nil"/>
              <w:bottom w:val="single" w:sz="4" w:space="0" w:color="auto"/>
              <w:right w:val="single" w:sz="4" w:space="0" w:color="auto"/>
            </w:tcBorders>
            <w:noWrap/>
            <w:vAlign w:val="center"/>
            <w:hideMark/>
          </w:tcPr>
          <w:p w14:paraId="3D388D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1722808000</w:t>
            </w:r>
          </w:p>
        </w:tc>
        <w:tc>
          <w:tcPr>
            <w:tcW w:w="1012" w:type="dxa"/>
            <w:tcBorders>
              <w:top w:val="nil"/>
              <w:left w:val="nil"/>
              <w:bottom w:val="single" w:sz="4" w:space="0" w:color="auto"/>
              <w:right w:val="single" w:sz="4" w:space="0" w:color="auto"/>
            </w:tcBorders>
            <w:noWrap/>
            <w:vAlign w:val="center"/>
            <w:hideMark/>
          </w:tcPr>
          <w:p w14:paraId="3D9FDB9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72188286</w:t>
            </w:r>
          </w:p>
        </w:tc>
        <w:tc>
          <w:tcPr>
            <w:tcW w:w="5953" w:type="dxa"/>
            <w:tcBorders>
              <w:top w:val="nil"/>
              <w:left w:val="nil"/>
              <w:bottom w:val="single" w:sz="4" w:space="0" w:color="auto"/>
              <w:right w:val="single" w:sz="4" w:space="0" w:color="auto"/>
            </w:tcBorders>
            <w:noWrap/>
            <w:vAlign w:val="center"/>
            <w:hideMark/>
          </w:tcPr>
          <w:p w14:paraId="38B752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ŠPORT IN REKREACIJO DOMŽALE</w:t>
            </w:r>
          </w:p>
        </w:tc>
      </w:tr>
      <w:tr w:rsidR="00F24E18" w14:paraId="030C82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26FB84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2074</w:t>
            </w:r>
          </w:p>
        </w:tc>
        <w:tc>
          <w:tcPr>
            <w:tcW w:w="1300" w:type="dxa"/>
            <w:tcBorders>
              <w:top w:val="nil"/>
              <w:left w:val="nil"/>
              <w:bottom w:val="single" w:sz="4" w:space="0" w:color="auto"/>
              <w:right w:val="single" w:sz="4" w:space="0" w:color="auto"/>
            </w:tcBorders>
            <w:vAlign w:val="center"/>
            <w:hideMark/>
          </w:tcPr>
          <w:p w14:paraId="22FE5D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1488783000</w:t>
            </w:r>
          </w:p>
        </w:tc>
        <w:tc>
          <w:tcPr>
            <w:tcW w:w="1012" w:type="dxa"/>
            <w:tcBorders>
              <w:top w:val="nil"/>
              <w:left w:val="nil"/>
              <w:bottom w:val="single" w:sz="4" w:space="0" w:color="auto"/>
              <w:right w:val="single" w:sz="4" w:space="0" w:color="auto"/>
            </w:tcBorders>
            <w:vAlign w:val="center"/>
            <w:hideMark/>
          </w:tcPr>
          <w:p w14:paraId="135CB1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23453958</w:t>
            </w:r>
          </w:p>
        </w:tc>
        <w:tc>
          <w:tcPr>
            <w:tcW w:w="5953" w:type="dxa"/>
            <w:tcBorders>
              <w:top w:val="nil"/>
              <w:left w:val="nil"/>
              <w:bottom w:val="single" w:sz="4" w:space="0" w:color="auto"/>
              <w:right w:val="single" w:sz="4" w:space="0" w:color="auto"/>
            </w:tcBorders>
            <w:noWrap/>
            <w:vAlign w:val="center"/>
            <w:hideMark/>
          </w:tcPr>
          <w:p w14:paraId="661D09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ŠPORT KRANJ</w:t>
            </w:r>
          </w:p>
        </w:tc>
      </w:tr>
      <w:tr w:rsidR="00F24E18" w14:paraId="302C9B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F016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2075</w:t>
            </w:r>
          </w:p>
        </w:tc>
        <w:tc>
          <w:tcPr>
            <w:tcW w:w="1300" w:type="dxa"/>
            <w:tcBorders>
              <w:top w:val="nil"/>
              <w:left w:val="nil"/>
              <w:bottom w:val="single" w:sz="4" w:space="0" w:color="auto"/>
              <w:right w:val="single" w:sz="4" w:space="0" w:color="auto"/>
            </w:tcBorders>
            <w:vAlign w:val="center"/>
            <w:hideMark/>
          </w:tcPr>
          <w:p w14:paraId="429436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3577970000</w:t>
            </w:r>
          </w:p>
        </w:tc>
        <w:tc>
          <w:tcPr>
            <w:tcW w:w="1012" w:type="dxa"/>
            <w:tcBorders>
              <w:top w:val="nil"/>
              <w:left w:val="nil"/>
              <w:bottom w:val="single" w:sz="4" w:space="0" w:color="auto"/>
              <w:right w:val="single" w:sz="4" w:space="0" w:color="auto"/>
            </w:tcBorders>
            <w:vAlign w:val="center"/>
            <w:hideMark/>
          </w:tcPr>
          <w:p w14:paraId="4AF33C6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85753823</w:t>
            </w:r>
          </w:p>
        </w:tc>
        <w:tc>
          <w:tcPr>
            <w:tcW w:w="5953" w:type="dxa"/>
            <w:tcBorders>
              <w:top w:val="nil"/>
              <w:left w:val="nil"/>
              <w:bottom w:val="single" w:sz="4" w:space="0" w:color="auto"/>
              <w:right w:val="single" w:sz="4" w:space="0" w:color="auto"/>
            </w:tcBorders>
            <w:noWrap/>
            <w:vAlign w:val="center"/>
            <w:hideMark/>
          </w:tcPr>
          <w:p w14:paraId="70600F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ŠPORT REPUBLIKE SLOVENIJE PLANICA</w:t>
            </w:r>
          </w:p>
        </w:tc>
      </w:tr>
      <w:tr w:rsidR="00F24E18" w14:paraId="776C4DD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A4E3E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2076</w:t>
            </w:r>
          </w:p>
        </w:tc>
        <w:tc>
          <w:tcPr>
            <w:tcW w:w="1300" w:type="dxa"/>
            <w:tcBorders>
              <w:top w:val="nil"/>
              <w:left w:val="nil"/>
              <w:bottom w:val="single" w:sz="4" w:space="0" w:color="auto"/>
              <w:right w:val="single" w:sz="4" w:space="0" w:color="auto"/>
            </w:tcBorders>
            <w:noWrap/>
            <w:vAlign w:val="center"/>
            <w:hideMark/>
          </w:tcPr>
          <w:p w14:paraId="66C16F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1197045000</w:t>
            </w:r>
          </w:p>
        </w:tc>
        <w:tc>
          <w:tcPr>
            <w:tcW w:w="1012" w:type="dxa"/>
            <w:tcBorders>
              <w:top w:val="nil"/>
              <w:left w:val="nil"/>
              <w:bottom w:val="single" w:sz="4" w:space="0" w:color="auto"/>
              <w:right w:val="single" w:sz="4" w:space="0" w:color="auto"/>
            </w:tcBorders>
            <w:noWrap/>
            <w:vAlign w:val="center"/>
            <w:hideMark/>
          </w:tcPr>
          <w:p w14:paraId="25F08B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80375928</w:t>
            </w:r>
          </w:p>
        </w:tc>
        <w:tc>
          <w:tcPr>
            <w:tcW w:w="5953" w:type="dxa"/>
            <w:tcBorders>
              <w:top w:val="nil"/>
              <w:left w:val="nil"/>
              <w:bottom w:val="single" w:sz="4" w:space="0" w:color="auto"/>
              <w:right w:val="single" w:sz="4" w:space="0" w:color="auto"/>
            </w:tcBorders>
            <w:noWrap/>
            <w:vAlign w:val="center"/>
            <w:hideMark/>
          </w:tcPr>
          <w:p w14:paraId="1832FE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ŠPORT ZAGORJE OB SAVI</w:t>
            </w:r>
          </w:p>
        </w:tc>
      </w:tr>
      <w:tr w:rsidR="00F24E18" w14:paraId="1DB822C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0F2A0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2077</w:t>
            </w:r>
          </w:p>
        </w:tc>
        <w:tc>
          <w:tcPr>
            <w:tcW w:w="1300" w:type="dxa"/>
            <w:tcBorders>
              <w:top w:val="nil"/>
              <w:left w:val="nil"/>
              <w:bottom w:val="single" w:sz="4" w:space="0" w:color="auto"/>
              <w:right w:val="single" w:sz="4" w:space="0" w:color="auto"/>
            </w:tcBorders>
            <w:vAlign w:val="center"/>
            <w:hideMark/>
          </w:tcPr>
          <w:p w14:paraId="470E8EF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5283230000</w:t>
            </w:r>
          </w:p>
        </w:tc>
        <w:tc>
          <w:tcPr>
            <w:tcW w:w="1012" w:type="dxa"/>
            <w:tcBorders>
              <w:top w:val="nil"/>
              <w:left w:val="nil"/>
              <w:bottom w:val="single" w:sz="4" w:space="0" w:color="auto"/>
              <w:right w:val="single" w:sz="4" w:space="0" w:color="auto"/>
            </w:tcBorders>
            <w:vAlign w:val="center"/>
            <w:hideMark/>
          </w:tcPr>
          <w:p w14:paraId="14906F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16241207</w:t>
            </w:r>
          </w:p>
        </w:tc>
        <w:tc>
          <w:tcPr>
            <w:tcW w:w="5953" w:type="dxa"/>
            <w:tcBorders>
              <w:top w:val="nil"/>
              <w:left w:val="nil"/>
              <w:bottom w:val="single" w:sz="4" w:space="0" w:color="auto"/>
              <w:right w:val="single" w:sz="4" w:space="0" w:color="auto"/>
            </w:tcBorders>
            <w:noWrap/>
            <w:vAlign w:val="center"/>
            <w:hideMark/>
          </w:tcPr>
          <w:p w14:paraId="041466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ŠPORT, KULTURO, TURIZEM IN MLADINO NOVO MESTO</w:t>
            </w:r>
          </w:p>
        </w:tc>
      </w:tr>
      <w:tr w:rsidR="00F24E18" w14:paraId="084B5A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C1C27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2078</w:t>
            </w:r>
          </w:p>
        </w:tc>
        <w:tc>
          <w:tcPr>
            <w:tcW w:w="1300" w:type="dxa"/>
            <w:tcBorders>
              <w:top w:val="nil"/>
              <w:left w:val="nil"/>
              <w:bottom w:val="single" w:sz="4" w:space="0" w:color="auto"/>
              <w:right w:val="single" w:sz="4" w:space="0" w:color="auto"/>
            </w:tcBorders>
            <w:noWrap/>
            <w:vAlign w:val="center"/>
            <w:hideMark/>
          </w:tcPr>
          <w:p w14:paraId="1F1EA4D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1305832000</w:t>
            </w:r>
          </w:p>
        </w:tc>
        <w:tc>
          <w:tcPr>
            <w:tcW w:w="1012" w:type="dxa"/>
            <w:tcBorders>
              <w:top w:val="nil"/>
              <w:left w:val="nil"/>
              <w:bottom w:val="single" w:sz="4" w:space="0" w:color="auto"/>
              <w:right w:val="single" w:sz="4" w:space="0" w:color="auto"/>
            </w:tcBorders>
            <w:noWrap/>
            <w:vAlign w:val="center"/>
            <w:hideMark/>
          </w:tcPr>
          <w:p w14:paraId="75A619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27406199</w:t>
            </w:r>
          </w:p>
        </w:tc>
        <w:tc>
          <w:tcPr>
            <w:tcW w:w="5953" w:type="dxa"/>
            <w:tcBorders>
              <w:top w:val="nil"/>
              <w:left w:val="nil"/>
              <w:bottom w:val="single" w:sz="4" w:space="0" w:color="auto"/>
              <w:right w:val="single" w:sz="4" w:space="0" w:color="auto"/>
            </w:tcBorders>
            <w:noWrap/>
            <w:vAlign w:val="center"/>
            <w:hideMark/>
          </w:tcPr>
          <w:p w14:paraId="002E38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ŠPORT, TURIZEM IN PROSTI ČAS SEŽANA</w:t>
            </w:r>
          </w:p>
        </w:tc>
      </w:tr>
      <w:tr w:rsidR="00F24E18" w14:paraId="2F89D3A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E66D5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2079</w:t>
            </w:r>
          </w:p>
        </w:tc>
        <w:tc>
          <w:tcPr>
            <w:tcW w:w="1300" w:type="dxa"/>
            <w:tcBorders>
              <w:top w:val="nil"/>
              <w:left w:val="nil"/>
              <w:bottom w:val="single" w:sz="4" w:space="0" w:color="auto"/>
              <w:right w:val="single" w:sz="4" w:space="0" w:color="auto"/>
            </w:tcBorders>
            <w:noWrap/>
            <w:vAlign w:val="center"/>
            <w:hideMark/>
          </w:tcPr>
          <w:p w14:paraId="1BFDA4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1700669000</w:t>
            </w:r>
          </w:p>
        </w:tc>
        <w:tc>
          <w:tcPr>
            <w:tcW w:w="1012" w:type="dxa"/>
            <w:tcBorders>
              <w:top w:val="nil"/>
              <w:left w:val="nil"/>
              <w:bottom w:val="single" w:sz="4" w:space="0" w:color="auto"/>
              <w:right w:val="single" w:sz="4" w:space="0" w:color="auto"/>
            </w:tcBorders>
            <w:noWrap/>
            <w:vAlign w:val="center"/>
            <w:hideMark/>
          </w:tcPr>
          <w:p w14:paraId="6C8F128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22085076</w:t>
            </w:r>
          </w:p>
        </w:tc>
        <w:tc>
          <w:tcPr>
            <w:tcW w:w="5953" w:type="dxa"/>
            <w:tcBorders>
              <w:top w:val="nil"/>
              <w:left w:val="nil"/>
              <w:bottom w:val="single" w:sz="4" w:space="0" w:color="auto"/>
              <w:right w:val="single" w:sz="4" w:space="0" w:color="auto"/>
            </w:tcBorders>
            <w:noWrap/>
            <w:vAlign w:val="center"/>
            <w:hideMark/>
          </w:tcPr>
          <w:p w14:paraId="47C6C5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TURIZEM CERKNO</w:t>
            </w:r>
          </w:p>
        </w:tc>
      </w:tr>
      <w:tr w:rsidR="00F24E18" w14:paraId="24A0BE4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588CE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2080</w:t>
            </w:r>
          </w:p>
        </w:tc>
        <w:tc>
          <w:tcPr>
            <w:tcW w:w="1300" w:type="dxa"/>
            <w:tcBorders>
              <w:top w:val="nil"/>
              <w:left w:val="nil"/>
              <w:bottom w:val="single" w:sz="4" w:space="0" w:color="auto"/>
              <w:right w:val="single" w:sz="4" w:space="0" w:color="auto"/>
            </w:tcBorders>
            <w:noWrap/>
            <w:vAlign w:val="center"/>
            <w:hideMark/>
          </w:tcPr>
          <w:p w14:paraId="7C5BB7B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3805999000</w:t>
            </w:r>
          </w:p>
        </w:tc>
        <w:tc>
          <w:tcPr>
            <w:tcW w:w="1012" w:type="dxa"/>
            <w:tcBorders>
              <w:top w:val="nil"/>
              <w:left w:val="nil"/>
              <w:bottom w:val="single" w:sz="4" w:space="0" w:color="auto"/>
              <w:right w:val="single" w:sz="4" w:space="0" w:color="auto"/>
            </w:tcBorders>
            <w:noWrap/>
            <w:vAlign w:val="center"/>
            <w:hideMark/>
          </w:tcPr>
          <w:p w14:paraId="65A400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51208296</w:t>
            </w:r>
          </w:p>
        </w:tc>
        <w:tc>
          <w:tcPr>
            <w:tcW w:w="5953" w:type="dxa"/>
            <w:tcBorders>
              <w:top w:val="nil"/>
              <w:left w:val="nil"/>
              <w:bottom w:val="single" w:sz="4" w:space="0" w:color="auto"/>
              <w:right w:val="single" w:sz="4" w:space="0" w:color="auto"/>
            </w:tcBorders>
            <w:noWrap/>
            <w:vAlign w:val="center"/>
            <w:hideMark/>
          </w:tcPr>
          <w:p w14:paraId="5FADAB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TURIZEM IDRIJA</w:t>
            </w:r>
          </w:p>
        </w:tc>
      </w:tr>
      <w:tr w:rsidR="00F24E18" w14:paraId="1A866B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B18C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2081</w:t>
            </w:r>
          </w:p>
        </w:tc>
        <w:tc>
          <w:tcPr>
            <w:tcW w:w="1300" w:type="dxa"/>
            <w:tcBorders>
              <w:top w:val="nil"/>
              <w:left w:val="nil"/>
              <w:bottom w:val="single" w:sz="4" w:space="0" w:color="auto"/>
              <w:right w:val="single" w:sz="4" w:space="0" w:color="auto"/>
            </w:tcBorders>
            <w:noWrap/>
            <w:vAlign w:val="center"/>
            <w:hideMark/>
          </w:tcPr>
          <w:p w14:paraId="4770A5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1658484000</w:t>
            </w:r>
          </w:p>
        </w:tc>
        <w:tc>
          <w:tcPr>
            <w:tcW w:w="1012" w:type="dxa"/>
            <w:tcBorders>
              <w:top w:val="nil"/>
              <w:left w:val="nil"/>
              <w:bottom w:val="single" w:sz="4" w:space="0" w:color="auto"/>
              <w:right w:val="single" w:sz="4" w:space="0" w:color="auto"/>
            </w:tcBorders>
            <w:noWrap/>
            <w:vAlign w:val="center"/>
            <w:hideMark/>
          </w:tcPr>
          <w:p w14:paraId="479BF23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52125653</w:t>
            </w:r>
          </w:p>
        </w:tc>
        <w:tc>
          <w:tcPr>
            <w:tcW w:w="5953" w:type="dxa"/>
            <w:tcBorders>
              <w:top w:val="nil"/>
              <w:left w:val="nil"/>
              <w:bottom w:val="single" w:sz="4" w:space="0" w:color="auto"/>
              <w:right w:val="single" w:sz="4" w:space="0" w:color="auto"/>
            </w:tcBorders>
            <w:noWrap/>
            <w:vAlign w:val="center"/>
            <w:hideMark/>
          </w:tcPr>
          <w:p w14:paraId="44A8CB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TURIZEM IN KULTURO KRANJ</w:t>
            </w:r>
          </w:p>
        </w:tc>
      </w:tr>
      <w:tr w:rsidR="00F24E18" w14:paraId="0A9CB4C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1D574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2082</w:t>
            </w:r>
          </w:p>
        </w:tc>
        <w:tc>
          <w:tcPr>
            <w:tcW w:w="1300" w:type="dxa"/>
            <w:tcBorders>
              <w:top w:val="nil"/>
              <w:left w:val="nil"/>
              <w:bottom w:val="single" w:sz="4" w:space="0" w:color="auto"/>
              <w:right w:val="single" w:sz="4" w:space="0" w:color="auto"/>
            </w:tcBorders>
            <w:noWrap/>
            <w:vAlign w:val="center"/>
            <w:hideMark/>
          </w:tcPr>
          <w:p w14:paraId="64F5258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6354564000</w:t>
            </w:r>
          </w:p>
        </w:tc>
        <w:tc>
          <w:tcPr>
            <w:tcW w:w="1012" w:type="dxa"/>
            <w:tcBorders>
              <w:top w:val="nil"/>
              <w:left w:val="nil"/>
              <w:bottom w:val="single" w:sz="4" w:space="0" w:color="auto"/>
              <w:right w:val="single" w:sz="4" w:space="0" w:color="auto"/>
            </w:tcBorders>
            <w:noWrap/>
            <w:vAlign w:val="center"/>
            <w:hideMark/>
          </w:tcPr>
          <w:p w14:paraId="2BADD1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72731249</w:t>
            </w:r>
          </w:p>
        </w:tc>
        <w:tc>
          <w:tcPr>
            <w:tcW w:w="5953" w:type="dxa"/>
            <w:tcBorders>
              <w:top w:val="nil"/>
              <w:left w:val="nil"/>
              <w:bottom w:val="single" w:sz="4" w:space="0" w:color="auto"/>
              <w:right w:val="single" w:sz="4" w:space="0" w:color="auto"/>
            </w:tcBorders>
            <w:noWrap/>
            <w:vAlign w:val="center"/>
            <w:hideMark/>
          </w:tcPr>
          <w:p w14:paraId="46501E0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TURIZEM IN RAZVOJ LENDAVA - TURISZTIKAI ÉS FEJLESZTÉSI KÖZINTÉZET LENDVA</w:t>
            </w:r>
          </w:p>
        </w:tc>
      </w:tr>
      <w:tr w:rsidR="00F24E18" w14:paraId="0D64D03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8D026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2083</w:t>
            </w:r>
          </w:p>
        </w:tc>
        <w:tc>
          <w:tcPr>
            <w:tcW w:w="1300" w:type="dxa"/>
            <w:tcBorders>
              <w:top w:val="nil"/>
              <w:left w:val="nil"/>
              <w:bottom w:val="single" w:sz="4" w:space="0" w:color="auto"/>
              <w:right w:val="single" w:sz="4" w:space="0" w:color="auto"/>
            </w:tcBorders>
            <w:noWrap/>
            <w:vAlign w:val="center"/>
            <w:hideMark/>
          </w:tcPr>
          <w:p w14:paraId="244F14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1526022000</w:t>
            </w:r>
          </w:p>
        </w:tc>
        <w:tc>
          <w:tcPr>
            <w:tcW w:w="1012" w:type="dxa"/>
            <w:tcBorders>
              <w:top w:val="nil"/>
              <w:left w:val="nil"/>
              <w:bottom w:val="single" w:sz="4" w:space="0" w:color="auto"/>
              <w:right w:val="single" w:sz="4" w:space="0" w:color="auto"/>
            </w:tcBorders>
            <w:noWrap/>
            <w:vAlign w:val="center"/>
            <w:hideMark/>
          </w:tcPr>
          <w:p w14:paraId="08C919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70464600</w:t>
            </w:r>
          </w:p>
        </w:tc>
        <w:tc>
          <w:tcPr>
            <w:tcW w:w="5953" w:type="dxa"/>
            <w:tcBorders>
              <w:top w:val="nil"/>
              <w:left w:val="nil"/>
              <w:bottom w:val="single" w:sz="4" w:space="0" w:color="auto"/>
              <w:right w:val="single" w:sz="4" w:space="0" w:color="auto"/>
            </w:tcBorders>
            <w:noWrap/>
            <w:vAlign w:val="center"/>
            <w:hideMark/>
          </w:tcPr>
          <w:p w14:paraId="25E9977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TURIZEM MARIBOR, JAVNI ZAVOD</w:t>
            </w:r>
          </w:p>
        </w:tc>
      </w:tr>
      <w:tr w:rsidR="00F24E18" w14:paraId="273C09F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F942D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2084</w:t>
            </w:r>
          </w:p>
        </w:tc>
        <w:tc>
          <w:tcPr>
            <w:tcW w:w="1300" w:type="dxa"/>
            <w:tcBorders>
              <w:top w:val="nil"/>
              <w:left w:val="nil"/>
              <w:bottom w:val="single" w:sz="4" w:space="0" w:color="auto"/>
              <w:right w:val="single" w:sz="4" w:space="0" w:color="auto"/>
            </w:tcBorders>
            <w:noWrap/>
            <w:vAlign w:val="center"/>
            <w:hideMark/>
          </w:tcPr>
          <w:p w14:paraId="229568A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8602590000</w:t>
            </w:r>
          </w:p>
        </w:tc>
        <w:tc>
          <w:tcPr>
            <w:tcW w:w="1012" w:type="dxa"/>
            <w:tcBorders>
              <w:top w:val="nil"/>
              <w:left w:val="nil"/>
              <w:bottom w:val="single" w:sz="4" w:space="0" w:color="auto"/>
              <w:right w:val="single" w:sz="4" w:space="0" w:color="auto"/>
            </w:tcBorders>
            <w:noWrap/>
            <w:vAlign w:val="center"/>
            <w:hideMark/>
          </w:tcPr>
          <w:p w14:paraId="58DD3BD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56607415</w:t>
            </w:r>
          </w:p>
        </w:tc>
        <w:tc>
          <w:tcPr>
            <w:tcW w:w="5953" w:type="dxa"/>
            <w:tcBorders>
              <w:top w:val="nil"/>
              <w:left w:val="nil"/>
              <w:bottom w:val="single" w:sz="4" w:space="0" w:color="auto"/>
              <w:right w:val="single" w:sz="4" w:space="0" w:color="auto"/>
            </w:tcBorders>
            <w:noWrap/>
            <w:vAlign w:val="center"/>
            <w:hideMark/>
          </w:tcPr>
          <w:p w14:paraId="3A4C96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TURIZEM SVETA TROJICA V SLOVENSKIH GORICAH</w:t>
            </w:r>
          </w:p>
        </w:tc>
      </w:tr>
      <w:tr w:rsidR="00F24E18" w14:paraId="416C1CE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5804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2085</w:t>
            </w:r>
          </w:p>
        </w:tc>
        <w:tc>
          <w:tcPr>
            <w:tcW w:w="1300" w:type="dxa"/>
            <w:tcBorders>
              <w:top w:val="nil"/>
              <w:left w:val="nil"/>
              <w:bottom w:val="single" w:sz="4" w:space="0" w:color="auto"/>
              <w:right w:val="single" w:sz="4" w:space="0" w:color="auto"/>
            </w:tcBorders>
            <w:noWrap/>
            <w:vAlign w:val="center"/>
            <w:hideMark/>
          </w:tcPr>
          <w:p w14:paraId="5CBC26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1451316000</w:t>
            </w:r>
          </w:p>
        </w:tc>
        <w:tc>
          <w:tcPr>
            <w:tcW w:w="1012" w:type="dxa"/>
            <w:tcBorders>
              <w:top w:val="nil"/>
              <w:left w:val="nil"/>
              <w:bottom w:val="single" w:sz="4" w:space="0" w:color="auto"/>
              <w:right w:val="single" w:sz="4" w:space="0" w:color="auto"/>
            </w:tcBorders>
            <w:noWrap/>
            <w:vAlign w:val="center"/>
            <w:hideMark/>
          </w:tcPr>
          <w:p w14:paraId="39153F6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15285367</w:t>
            </w:r>
          </w:p>
        </w:tc>
        <w:tc>
          <w:tcPr>
            <w:tcW w:w="5953" w:type="dxa"/>
            <w:tcBorders>
              <w:top w:val="nil"/>
              <w:left w:val="nil"/>
              <w:bottom w:val="single" w:sz="4" w:space="0" w:color="auto"/>
              <w:right w:val="single" w:sz="4" w:space="0" w:color="auto"/>
            </w:tcBorders>
            <w:noWrap/>
            <w:vAlign w:val="center"/>
            <w:hideMark/>
          </w:tcPr>
          <w:p w14:paraId="7F2ECC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TURIZEM ŠALEŠKE DOLINE</w:t>
            </w:r>
          </w:p>
        </w:tc>
      </w:tr>
      <w:tr w:rsidR="00F24E18" w14:paraId="7CD9C7B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9D34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2086</w:t>
            </w:r>
          </w:p>
        </w:tc>
        <w:tc>
          <w:tcPr>
            <w:tcW w:w="1300" w:type="dxa"/>
            <w:tcBorders>
              <w:top w:val="nil"/>
              <w:left w:val="nil"/>
              <w:bottom w:val="single" w:sz="4" w:space="0" w:color="auto"/>
              <w:right w:val="single" w:sz="4" w:space="0" w:color="auto"/>
            </w:tcBorders>
            <w:noWrap/>
            <w:vAlign w:val="center"/>
            <w:hideMark/>
          </w:tcPr>
          <w:p w14:paraId="0901DA8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3738027000</w:t>
            </w:r>
          </w:p>
        </w:tc>
        <w:tc>
          <w:tcPr>
            <w:tcW w:w="1012" w:type="dxa"/>
            <w:tcBorders>
              <w:top w:val="nil"/>
              <w:left w:val="nil"/>
              <w:bottom w:val="single" w:sz="4" w:space="0" w:color="auto"/>
              <w:right w:val="single" w:sz="4" w:space="0" w:color="auto"/>
            </w:tcBorders>
            <w:noWrap/>
            <w:vAlign w:val="center"/>
            <w:hideMark/>
          </w:tcPr>
          <w:p w14:paraId="272A2C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29021995</w:t>
            </w:r>
          </w:p>
        </w:tc>
        <w:tc>
          <w:tcPr>
            <w:tcW w:w="5953" w:type="dxa"/>
            <w:tcBorders>
              <w:top w:val="nil"/>
              <w:left w:val="nil"/>
              <w:bottom w:val="single" w:sz="4" w:space="0" w:color="auto"/>
              <w:right w:val="single" w:sz="4" w:space="0" w:color="auto"/>
            </w:tcBorders>
            <w:noWrap/>
            <w:vAlign w:val="center"/>
            <w:hideMark/>
          </w:tcPr>
          <w:p w14:paraId="17ED12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TURIZEM, KULTURO, MLADINO IN ŠPORT BRDA</w:t>
            </w:r>
          </w:p>
        </w:tc>
      </w:tr>
      <w:tr w:rsidR="00F24E18" w14:paraId="2797746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9D0DA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2087</w:t>
            </w:r>
          </w:p>
        </w:tc>
        <w:tc>
          <w:tcPr>
            <w:tcW w:w="1300" w:type="dxa"/>
            <w:tcBorders>
              <w:top w:val="nil"/>
              <w:left w:val="nil"/>
              <w:bottom w:val="single" w:sz="4" w:space="0" w:color="auto"/>
              <w:right w:val="single" w:sz="4" w:space="0" w:color="auto"/>
            </w:tcBorders>
            <w:vAlign w:val="center"/>
            <w:hideMark/>
          </w:tcPr>
          <w:p w14:paraId="6C5A70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5050596000</w:t>
            </w:r>
          </w:p>
        </w:tc>
        <w:tc>
          <w:tcPr>
            <w:tcW w:w="1012" w:type="dxa"/>
            <w:tcBorders>
              <w:top w:val="nil"/>
              <w:left w:val="nil"/>
              <w:bottom w:val="single" w:sz="4" w:space="0" w:color="auto"/>
              <w:right w:val="single" w:sz="4" w:space="0" w:color="auto"/>
            </w:tcBorders>
            <w:vAlign w:val="center"/>
            <w:hideMark/>
          </w:tcPr>
          <w:p w14:paraId="649449F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30910854</w:t>
            </w:r>
          </w:p>
        </w:tc>
        <w:tc>
          <w:tcPr>
            <w:tcW w:w="5953" w:type="dxa"/>
            <w:tcBorders>
              <w:top w:val="nil"/>
              <w:left w:val="nil"/>
              <w:bottom w:val="single" w:sz="4" w:space="0" w:color="auto"/>
              <w:right w:val="single" w:sz="4" w:space="0" w:color="auto"/>
            </w:tcBorders>
            <w:noWrap/>
            <w:vAlign w:val="center"/>
            <w:hideMark/>
          </w:tcPr>
          <w:p w14:paraId="27E56D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USPOSABLJANJE, DELO IN VARSTVO DR. MARIJANA BORŠTNARJA DORNAVA</w:t>
            </w:r>
          </w:p>
        </w:tc>
      </w:tr>
      <w:tr w:rsidR="00F24E18" w14:paraId="41BB2E5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58A9B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2088</w:t>
            </w:r>
          </w:p>
        </w:tc>
        <w:tc>
          <w:tcPr>
            <w:tcW w:w="1300" w:type="dxa"/>
            <w:tcBorders>
              <w:top w:val="nil"/>
              <w:left w:val="nil"/>
              <w:bottom w:val="single" w:sz="4" w:space="0" w:color="auto"/>
              <w:right w:val="single" w:sz="4" w:space="0" w:color="auto"/>
            </w:tcBorders>
            <w:vAlign w:val="center"/>
            <w:hideMark/>
          </w:tcPr>
          <w:p w14:paraId="7C72E0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5554195000</w:t>
            </w:r>
          </w:p>
        </w:tc>
        <w:tc>
          <w:tcPr>
            <w:tcW w:w="1012" w:type="dxa"/>
            <w:tcBorders>
              <w:top w:val="nil"/>
              <w:left w:val="nil"/>
              <w:bottom w:val="single" w:sz="4" w:space="0" w:color="auto"/>
              <w:right w:val="single" w:sz="4" w:space="0" w:color="auto"/>
            </w:tcBorders>
            <w:vAlign w:val="center"/>
            <w:hideMark/>
          </w:tcPr>
          <w:p w14:paraId="5E0F79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41698070</w:t>
            </w:r>
          </w:p>
        </w:tc>
        <w:tc>
          <w:tcPr>
            <w:tcW w:w="5953" w:type="dxa"/>
            <w:tcBorders>
              <w:top w:val="nil"/>
              <w:left w:val="nil"/>
              <w:bottom w:val="single" w:sz="4" w:space="0" w:color="auto"/>
              <w:right w:val="single" w:sz="4" w:space="0" w:color="auto"/>
            </w:tcBorders>
            <w:noWrap/>
            <w:vAlign w:val="center"/>
            <w:hideMark/>
          </w:tcPr>
          <w:p w14:paraId="12A43CB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ZA ZDRAVSTVENO ZAVAROVANJE SLOVENIJE</w:t>
            </w:r>
          </w:p>
        </w:tc>
      </w:tr>
      <w:tr w:rsidR="00F24E18" w14:paraId="4427ED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EEDB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2089</w:t>
            </w:r>
          </w:p>
        </w:tc>
        <w:tc>
          <w:tcPr>
            <w:tcW w:w="1300" w:type="dxa"/>
            <w:tcBorders>
              <w:top w:val="nil"/>
              <w:left w:val="nil"/>
              <w:bottom w:val="single" w:sz="4" w:space="0" w:color="auto"/>
              <w:right w:val="single" w:sz="4" w:space="0" w:color="auto"/>
            </w:tcBorders>
            <w:noWrap/>
            <w:vAlign w:val="center"/>
            <w:hideMark/>
          </w:tcPr>
          <w:p w14:paraId="1A5B90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5052289000</w:t>
            </w:r>
          </w:p>
        </w:tc>
        <w:tc>
          <w:tcPr>
            <w:tcW w:w="1012" w:type="dxa"/>
            <w:tcBorders>
              <w:top w:val="nil"/>
              <w:left w:val="nil"/>
              <w:bottom w:val="single" w:sz="4" w:space="0" w:color="auto"/>
              <w:right w:val="single" w:sz="4" w:space="0" w:color="auto"/>
            </w:tcBorders>
            <w:noWrap/>
            <w:vAlign w:val="center"/>
            <w:hideMark/>
          </w:tcPr>
          <w:p w14:paraId="45CD57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96416254</w:t>
            </w:r>
          </w:p>
        </w:tc>
        <w:tc>
          <w:tcPr>
            <w:tcW w:w="5953" w:type="dxa"/>
            <w:tcBorders>
              <w:top w:val="nil"/>
              <w:left w:val="nil"/>
              <w:bottom w:val="single" w:sz="4" w:space="0" w:color="auto"/>
              <w:right w:val="single" w:sz="4" w:space="0" w:color="auto"/>
            </w:tcBorders>
            <w:noWrap/>
            <w:vAlign w:val="center"/>
            <w:hideMark/>
          </w:tcPr>
          <w:p w14:paraId="71B191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ZAVOD ZNANJE POSTOJNA, JAVNI ZAVOD ZA MUZEJSKO DEJAVNOST, KULTURO, IZOBRAŽEVANJE IN OSTALE DEJAVNOSTI</w:t>
            </w:r>
          </w:p>
        </w:tc>
      </w:tr>
      <w:tr w:rsidR="00F24E18" w14:paraId="780CA11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C4FBE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2090</w:t>
            </w:r>
          </w:p>
        </w:tc>
        <w:tc>
          <w:tcPr>
            <w:tcW w:w="1300" w:type="dxa"/>
            <w:tcBorders>
              <w:top w:val="nil"/>
              <w:left w:val="nil"/>
              <w:bottom w:val="single" w:sz="4" w:space="0" w:color="auto"/>
              <w:right w:val="single" w:sz="4" w:space="0" w:color="auto"/>
            </w:tcBorders>
            <w:vAlign w:val="center"/>
            <w:hideMark/>
          </w:tcPr>
          <w:p w14:paraId="01FF9B7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5107164000</w:t>
            </w:r>
          </w:p>
        </w:tc>
        <w:tc>
          <w:tcPr>
            <w:tcW w:w="1012" w:type="dxa"/>
            <w:tcBorders>
              <w:top w:val="nil"/>
              <w:left w:val="nil"/>
              <w:bottom w:val="single" w:sz="4" w:space="0" w:color="auto"/>
              <w:right w:val="single" w:sz="4" w:space="0" w:color="auto"/>
            </w:tcBorders>
            <w:vAlign w:val="center"/>
            <w:hideMark/>
          </w:tcPr>
          <w:p w14:paraId="45FCDF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39847128</w:t>
            </w:r>
          </w:p>
        </w:tc>
        <w:tc>
          <w:tcPr>
            <w:tcW w:w="5953" w:type="dxa"/>
            <w:tcBorders>
              <w:top w:val="nil"/>
              <w:left w:val="nil"/>
              <w:bottom w:val="single" w:sz="4" w:space="0" w:color="auto"/>
              <w:right w:val="single" w:sz="4" w:space="0" w:color="auto"/>
            </w:tcBorders>
            <w:noWrap/>
            <w:vAlign w:val="center"/>
            <w:hideMark/>
          </w:tcPr>
          <w:p w14:paraId="1115453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AJDOVŠČINA</w:t>
            </w:r>
          </w:p>
        </w:tc>
      </w:tr>
      <w:tr w:rsidR="00F24E18" w14:paraId="1421F8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78E1C2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2091</w:t>
            </w:r>
          </w:p>
        </w:tc>
        <w:tc>
          <w:tcPr>
            <w:tcW w:w="1300" w:type="dxa"/>
            <w:tcBorders>
              <w:top w:val="nil"/>
              <w:left w:val="nil"/>
              <w:bottom w:val="single" w:sz="4" w:space="0" w:color="auto"/>
              <w:right w:val="single" w:sz="4" w:space="0" w:color="auto"/>
            </w:tcBorders>
            <w:vAlign w:val="center"/>
            <w:hideMark/>
          </w:tcPr>
          <w:p w14:paraId="41DB8B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5056268000</w:t>
            </w:r>
          </w:p>
        </w:tc>
        <w:tc>
          <w:tcPr>
            <w:tcW w:w="1012" w:type="dxa"/>
            <w:tcBorders>
              <w:top w:val="nil"/>
              <w:left w:val="nil"/>
              <w:bottom w:val="single" w:sz="4" w:space="0" w:color="auto"/>
              <w:right w:val="single" w:sz="4" w:space="0" w:color="auto"/>
            </w:tcBorders>
            <w:vAlign w:val="center"/>
            <w:hideMark/>
          </w:tcPr>
          <w:p w14:paraId="1E9098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69835853</w:t>
            </w:r>
          </w:p>
        </w:tc>
        <w:tc>
          <w:tcPr>
            <w:tcW w:w="5953" w:type="dxa"/>
            <w:tcBorders>
              <w:top w:val="nil"/>
              <w:left w:val="nil"/>
              <w:bottom w:val="single" w:sz="4" w:space="0" w:color="auto"/>
              <w:right w:val="single" w:sz="4" w:space="0" w:color="auto"/>
            </w:tcBorders>
            <w:noWrap/>
            <w:vAlign w:val="center"/>
            <w:hideMark/>
          </w:tcPr>
          <w:p w14:paraId="2C31F8C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BREŽICE</w:t>
            </w:r>
          </w:p>
        </w:tc>
      </w:tr>
      <w:tr w:rsidR="00F24E18" w14:paraId="1723726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63624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2092</w:t>
            </w:r>
          </w:p>
        </w:tc>
        <w:tc>
          <w:tcPr>
            <w:tcW w:w="1300" w:type="dxa"/>
            <w:tcBorders>
              <w:top w:val="nil"/>
              <w:left w:val="nil"/>
              <w:bottom w:val="single" w:sz="4" w:space="0" w:color="auto"/>
              <w:right w:val="single" w:sz="4" w:space="0" w:color="auto"/>
            </w:tcBorders>
            <w:vAlign w:val="center"/>
            <w:hideMark/>
          </w:tcPr>
          <w:p w14:paraId="161F4BC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5619017000</w:t>
            </w:r>
          </w:p>
        </w:tc>
        <w:tc>
          <w:tcPr>
            <w:tcW w:w="1012" w:type="dxa"/>
            <w:tcBorders>
              <w:top w:val="nil"/>
              <w:left w:val="nil"/>
              <w:bottom w:val="single" w:sz="4" w:space="0" w:color="auto"/>
              <w:right w:val="single" w:sz="4" w:space="0" w:color="auto"/>
            </w:tcBorders>
            <w:vAlign w:val="center"/>
            <w:hideMark/>
          </w:tcPr>
          <w:p w14:paraId="49ABBCE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56373538</w:t>
            </w:r>
          </w:p>
        </w:tc>
        <w:tc>
          <w:tcPr>
            <w:tcW w:w="5953" w:type="dxa"/>
            <w:tcBorders>
              <w:top w:val="nil"/>
              <w:left w:val="nil"/>
              <w:bottom w:val="single" w:sz="4" w:space="0" w:color="auto"/>
              <w:right w:val="single" w:sz="4" w:space="0" w:color="auto"/>
            </w:tcBorders>
            <w:noWrap/>
            <w:vAlign w:val="center"/>
            <w:hideMark/>
          </w:tcPr>
          <w:p w14:paraId="5C7BDEE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CELJE</w:t>
            </w:r>
          </w:p>
        </w:tc>
      </w:tr>
      <w:tr w:rsidR="00F24E18" w14:paraId="21F84DE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5E99B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2093</w:t>
            </w:r>
          </w:p>
        </w:tc>
        <w:tc>
          <w:tcPr>
            <w:tcW w:w="1300" w:type="dxa"/>
            <w:tcBorders>
              <w:top w:val="nil"/>
              <w:left w:val="nil"/>
              <w:bottom w:val="single" w:sz="4" w:space="0" w:color="auto"/>
              <w:right w:val="single" w:sz="4" w:space="0" w:color="auto"/>
            </w:tcBorders>
            <w:vAlign w:val="center"/>
            <w:hideMark/>
          </w:tcPr>
          <w:p w14:paraId="2DEC8C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5054605000</w:t>
            </w:r>
          </w:p>
        </w:tc>
        <w:tc>
          <w:tcPr>
            <w:tcW w:w="1012" w:type="dxa"/>
            <w:tcBorders>
              <w:top w:val="nil"/>
              <w:left w:val="nil"/>
              <w:bottom w:val="single" w:sz="4" w:space="0" w:color="auto"/>
              <w:right w:val="single" w:sz="4" w:space="0" w:color="auto"/>
            </w:tcBorders>
            <w:vAlign w:val="center"/>
            <w:hideMark/>
          </w:tcPr>
          <w:p w14:paraId="66DC65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21020442</w:t>
            </w:r>
          </w:p>
        </w:tc>
        <w:tc>
          <w:tcPr>
            <w:tcW w:w="5953" w:type="dxa"/>
            <w:tcBorders>
              <w:top w:val="nil"/>
              <w:left w:val="nil"/>
              <w:bottom w:val="single" w:sz="4" w:space="0" w:color="auto"/>
              <w:right w:val="single" w:sz="4" w:space="0" w:color="auto"/>
            </w:tcBorders>
            <w:noWrap/>
            <w:vAlign w:val="center"/>
            <w:hideMark/>
          </w:tcPr>
          <w:p w14:paraId="302F4F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ČRNOMELJ</w:t>
            </w:r>
          </w:p>
        </w:tc>
      </w:tr>
      <w:tr w:rsidR="00F24E18" w14:paraId="1120865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D0BE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2094</w:t>
            </w:r>
          </w:p>
        </w:tc>
        <w:tc>
          <w:tcPr>
            <w:tcW w:w="1300" w:type="dxa"/>
            <w:tcBorders>
              <w:top w:val="nil"/>
              <w:left w:val="nil"/>
              <w:bottom w:val="single" w:sz="4" w:space="0" w:color="auto"/>
              <w:right w:val="single" w:sz="4" w:space="0" w:color="auto"/>
            </w:tcBorders>
            <w:vAlign w:val="center"/>
            <w:hideMark/>
          </w:tcPr>
          <w:p w14:paraId="5C31C76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5500931000</w:t>
            </w:r>
          </w:p>
        </w:tc>
        <w:tc>
          <w:tcPr>
            <w:tcW w:w="1012" w:type="dxa"/>
            <w:tcBorders>
              <w:top w:val="nil"/>
              <w:left w:val="nil"/>
              <w:bottom w:val="single" w:sz="4" w:space="0" w:color="auto"/>
              <w:right w:val="single" w:sz="4" w:space="0" w:color="auto"/>
            </w:tcBorders>
            <w:vAlign w:val="center"/>
            <w:hideMark/>
          </w:tcPr>
          <w:p w14:paraId="7CBC82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88946347</w:t>
            </w:r>
          </w:p>
        </w:tc>
        <w:tc>
          <w:tcPr>
            <w:tcW w:w="5953" w:type="dxa"/>
            <w:tcBorders>
              <w:top w:val="nil"/>
              <w:left w:val="nil"/>
              <w:bottom w:val="single" w:sz="4" w:space="0" w:color="auto"/>
              <w:right w:val="single" w:sz="4" w:space="0" w:color="auto"/>
            </w:tcBorders>
            <w:noWrap/>
            <w:vAlign w:val="center"/>
            <w:hideMark/>
          </w:tcPr>
          <w:p w14:paraId="66F99D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DOMŽALE</w:t>
            </w:r>
          </w:p>
        </w:tc>
      </w:tr>
      <w:tr w:rsidR="00F24E18" w14:paraId="5429C9D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7CED6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2095</w:t>
            </w:r>
          </w:p>
        </w:tc>
        <w:tc>
          <w:tcPr>
            <w:tcW w:w="1300" w:type="dxa"/>
            <w:tcBorders>
              <w:top w:val="nil"/>
              <w:left w:val="nil"/>
              <w:bottom w:val="single" w:sz="4" w:space="0" w:color="auto"/>
              <w:right w:val="single" w:sz="4" w:space="0" w:color="auto"/>
            </w:tcBorders>
            <w:vAlign w:val="center"/>
            <w:hideMark/>
          </w:tcPr>
          <w:p w14:paraId="45173C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5054095000</w:t>
            </w:r>
          </w:p>
        </w:tc>
        <w:tc>
          <w:tcPr>
            <w:tcW w:w="1012" w:type="dxa"/>
            <w:tcBorders>
              <w:top w:val="nil"/>
              <w:left w:val="nil"/>
              <w:bottom w:val="single" w:sz="4" w:space="0" w:color="auto"/>
              <w:right w:val="single" w:sz="4" w:space="0" w:color="auto"/>
            </w:tcBorders>
            <w:vAlign w:val="center"/>
            <w:hideMark/>
          </w:tcPr>
          <w:p w14:paraId="276D5A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49672509</w:t>
            </w:r>
          </w:p>
        </w:tc>
        <w:tc>
          <w:tcPr>
            <w:tcW w:w="5953" w:type="dxa"/>
            <w:tcBorders>
              <w:top w:val="nil"/>
              <w:left w:val="nil"/>
              <w:bottom w:val="single" w:sz="4" w:space="0" w:color="auto"/>
              <w:right w:val="single" w:sz="4" w:space="0" w:color="auto"/>
            </w:tcBorders>
            <w:noWrap/>
            <w:vAlign w:val="center"/>
            <w:hideMark/>
          </w:tcPr>
          <w:p w14:paraId="29238E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DR. ADOLFA DROLCA MARIBOR</w:t>
            </w:r>
          </w:p>
        </w:tc>
      </w:tr>
      <w:tr w:rsidR="00F24E18" w14:paraId="54A955E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3099D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2096</w:t>
            </w:r>
          </w:p>
        </w:tc>
        <w:tc>
          <w:tcPr>
            <w:tcW w:w="1300" w:type="dxa"/>
            <w:tcBorders>
              <w:top w:val="nil"/>
              <w:left w:val="nil"/>
              <w:bottom w:val="single" w:sz="4" w:space="0" w:color="auto"/>
              <w:right w:val="single" w:sz="4" w:space="0" w:color="auto"/>
            </w:tcBorders>
            <w:vAlign w:val="center"/>
            <w:hideMark/>
          </w:tcPr>
          <w:p w14:paraId="7D89AB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5158842000</w:t>
            </w:r>
          </w:p>
        </w:tc>
        <w:tc>
          <w:tcPr>
            <w:tcW w:w="1012" w:type="dxa"/>
            <w:tcBorders>
              <w:top w:val="nil"/>
              <w:left w:val="nil"/>
              <w:bottom w:val="single" w:sz="4" w:space="0" w:color="auto"/>
              <w:right w:val="single" w:sz="4" w:space="0" w:color="auto"/>
            </w:tcBorders>
            <w:vAlign w:val="center"/>
            <w:hideMark/>
          </w:tcPr>
          <w:p w14:paraId="2587757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83479007</w:t>
            </w:r>
          </w:p>
        </w:tc>
        <w:tc>
          <w:tcPr>
            <w:tcW w:w="5953" w:type="dxa"/>
            <w:tcBorders>
              <w:top w:val="nil"/>
              <w:left w:val="nil"/>
              <w:bottom w:val="single" w:sz="4" w:space="0" w:color="auto"/>
              <w:right w:val="single" w:sz="4" w:space="0" w:color="auto"/>
            </w:tcBorders>
            <w:noWrap/>
            <w:vAlign w:val="center"/>
            <w:hideMark/>
          </w:tcPr>
          <w:p w14:paraId="58B28B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DR. BOŽIDARJA LAVRIČA - CERKNICA</w:t>
            </w:r>
          </w:p>
        </w:tc>
      </w:tr>
      <w:tr w:rsidR="00F24E18" w14:paraId="68D92E0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51DF2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2097</w:t>
            </w:r>
          </w:p>
        </w:tc>
        <w:tc>
          <w:tcPr>
            <w:tcW w:w="1300" w:type="dxa"/>
            <w:tcBorders>
              <w:top w:val="nil"/>
              <w:left w:val="nil"/>
              <w:bottom w:val="single" w:sz="4" w:space="0" w:color="auto"/>
              <w:right w:val="single" w:sz="4" w:space="0" w:color="auto"/>
            </w:tcBorders>
            <w:vAlign w:val="center"/>
            <w:hideMark/>
          </w:tcPr>
          <w:p w14:paraId="02EBB4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5779138000</w:t>
            </w:r>
          </w:p>
        </w:tc>
        <w:tc>
          <w:tcPr>
            <w:tcW w:w="1012" w:type="dxa"/>
            <w:tcBorders>
              <w:top w:val="nil"/>
              <w:left w:val="nil"/>
              <w:bottom w:val="single" w:sz="4" w:space="0" w:color="auto"/>
              <w:right w:val="single" w:sz="4" w:space="0" w:color="auto"/>
            </w:tcBorders>
            <w:vAlign w:val="center"/>
            <w:hideMark/>
          </w:tcPr>
          <w:p w14:paraId="276A87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72234911</w:t>
            </w:r>
          </w:p>
        </w:tc>
        <w:tc>
          <w:tcPr>
            <w:tcW w:w="5953" w:type="dxa"/>
            <w:tcBorders>
              <w:top w:val="nil"/>
              <w:left w:val="nil"/>
              <w:bottom w:val="single" w:sz="4" w:space="0" w:color="auto"/>
              <w:right w:val="single" w:sz="4" w:space="0" w:color="auto"/>
            </w:tcBorders>
            <w:noWrap/>
            <w:vAlign w:val="center"/>
            <w:hideMark/>
          </w:tcPr>
          <w:p w14:paraId="3CCB93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DR. FRANCA AMBROŽIČA, POSTOJNA</w:t>
            </w:r>
          </w:p>
        </w:tc>
      </w:tr>
      <w:tr w:rsidR="00F24E18" w14:paraId="32DDD85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EC8EF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2098</w:t>
            </w:r>
          </w:p>
        </w:tc>
        <w:tc>
          <w:tcPr>
            <w:tcW w:w="1300" w:type="dxa"/>
            <w:tcBorders>
              <w:top w:val="nil"/>
              <w:left w:val="nil"/>
              <w:bottom w:val="single" w:sz="4" w:space="0" w:color="auto"/>
              <w:right w:val="single" w:sz="4" w:space="0" w:color="auto"/>
            </w:tcBorders>
            <w:vAlign w:val="center"/>
            <w:hideMark/>
          </w:tcPr>
          <w:p w14:paraId="2D87E4B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5169992000</w:t>
            </w:r>
          </w:p>
        </w:tc>
        <w:tc>
          <w:tcPr>
            <w:tcW w:w="1012" w:type="dxa"/>
            <w:tcBorders>
              <w:top w:val="nil"/>
              <w:left w:val="nil"/>
              <w:bottom w:val="single" w:sz="4" w:space="0" w:color="auto"/>
              <w:right w:val="single" w:sz="4" w:space="0" w:color="auto"/>
            </w:tcBorders>
            <w:vAlign w:val="center"/>
            <w:hideMark/>
          </w:tcPr>
          <w:p w14:paraId="515E51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99071703</w:t>
            </w:r>
          </w:p>
        </w:tc>
        <w:tc>
          <w:tcPr>
            <w:tcW w:w="5953" w:type="dxa"/>
            <w:tcBorders>
              <w:top w:val="nil"/>
              <w:left w:val="nil"/>
              <w:bottom w:val="single" w:sz="4" w:space="0" w:color="auto"/>
              <w:right w:val="single" w:sz="4" w:space="0" w:color="auto"/>
            </w:tcBorders>
            <w:noWrap/>
            <w:vAlign w:val="center"/>
            <w:hideMark/>
          </w:tcPr>
          <w:p w14:paraId="2A73ADC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DR. JANEZA ORAŽMA RIBNICA</w:t>
            </w:r>
          </w:p>
        </w:tc>
      </w:tr>
      <w:tr w:rsidR="00F24E18" w14:paraId="55177F3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3C1A5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2099</w:t>
            </w:r>
          </w:p>
        </w:tc>
        <w:tc>
          <w:tcPr>
            <w:tcW w:w="1300" w:type="dxa"/>
            <w:tcBorders>
              <w:top w:val="nil"/>
              <w:left w:val="nil"/>
              <w:bottom w:val="single" w:sz="4" w:space="0" w:color="auto"/>
              <w:right w:val="single" w:sz="4" w:space="0" w:color="auto"/>
            </w:tcBorders>
            <w:vAlign w:val="center"/>
            <w:hideMark/>
          </w:tcPr>
          <w:p w14:paraId="36ED56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5636540000</w:t>
            </w:r>
          </w:p>
        </w:tc>
        <w:tc>
          <w:tcPr>
            <w:tcW w:w="1012" w:type="dxa"/>
            <w:tcBorders>
              <w:top w:val="nil"/>
              <w:left w:val="nil"/>
              <w:bottom w:val="single" w:sz="4" w:space="0" w:color="auto"/>
              <w:right w:val="single" w:sz="4" w:space="0" w:color="auto"/>
            </w:tcBorders>
            <w:vAlign w:val="center"/>
            <w:hideMark/>
          </w:tcPr>
          <w:p w14:paraId="4A23F1A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16739116</w:t>
            </w:r>
          </w:p>
        </w:tc>
        <w:tc>
          <w:tcPr>
            <w:tcW w:w="5953" w:type="dxa"/>
            <w:tcBorders>
              <w:top w:val="nil"/>
              <w:left w:val="nil"/>
              <w:bottom w:val="single" w:sz="4" w:space="0" w:color="auto"/>
              <w:right w:val="single" w:sz="4" w:space="0" w:color="auto"/>
            </w:tcBorders>
            <w:noWrap/>
            <w:vAlign w:val="center"/>
            <w:hideMark/>
          </w:tcPr>
          <w:p w14:paraId="5FFBAC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DR. JOŽETA POTRATE ŽALEC</w:t>
            </w:r>
          </w:p>
        </w:tc>
      </w:tr>
      <w:tr w:rsidR="00F24E18" w14:paraId="31A8A7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78C4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2100</w:t>
            </w:r>
          </w:p>
        </w:tc>
        <w:tc>
          <w:tcPr>
            <w:tcW w:w="1300" w:type="dxa"/>
            <w:tcBorders>
              <w:top w:val="nil"/>
              <w:left w:val="nil"/>
              <w:bottom w:val="single" w:sz="4" w:space="0" w:color="auto"/>
              <w:right w:val="single" w:sz="4" w:space="0" w:color="auto"/>
            </w:tcBorders>
            <w:vAlign w:val="center"/>
            <w:hideMark/>
          </w:tcPr>
          <w:p w14:paraId="1112EE8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5056853000</w:t>
            </w:r>
          </w:p>
        </w:tc>
        <w:tc>
          <w:tcPr>
            <w:tcW w:w="1012" w:type="dxa"/>
            <w:tcBorders>
              <w:top w:val="nil"/>
              <w:left w:val="nil"/>
              <w:bottom w:val="single" w:sz="4" w:space="0" w:color="auto"/>
              <w:right w:val="single" w:sz="4" w:space="0" w:color="auto"/>
            </w:tcBorders>
            <w:vAlign w:val="center"/>
            <w:hideMark/>
          </w:tcPr>
          <w:p w14:paraId="1E5535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15049736</w:t>
            </w:r>
          </w:p>
        </w:tc>
        <w:tc>
          <w:tcPr>
            <w:tcW w:w="5953" w:type="dxa"/>
            <w:tcBorders>
              <w:top w:val="nil"/>
              <w:left w:val="nil"/>
              <w:bottom w:val="single" w:sz="4" w:space="0" w:color="auto"/>
              <w:right w:val="single" w:sz="4" w:space="0" w:color="auto"/>
            </w:tcBorders>
            <w:noWrap/>
            <w:vAlign w:val="center"/>
            <w:hideMark/>
          </w:tcPr>
          <w:p w14:paraId="45DFB1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DR. JULIJA POLCA KAMNIK</w:t>
            </w:r>
          </w:p>
        </w:tc>
      </w:tr>
      <w:tr w:rsidR="00F24E18" w14:paraId="2BE5D97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38F7E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2101</w:t>
            </w:r>
          </w:p>
        </w:tc>
        <w:tc>
          <w:tcPr>
            <w:tcW w:w="1300" w:type="dxa"/>
            <w:tcBorders>
              <w:top w:val="nil"/>
              <w:left w:val="nil"/>
              <w:bottom w:val="single" w:sz="4" w:space="0" w:color="auto"/>
              <w:right w:val="single" w:sz="4" w:space="0" w:color="auto"/>
            </w:tcBorders>
            <w:vAlign w:val="center"/>
            <w:hideMark/>
          </w:tcPr>
          <w:p w14:paraId="5A8B096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5858267000</w:t>
            </w:r>
          </w:p>
        </w:tc>
        <w:tc>
          <w:tcPr>
            <w:tcW w:w="1012" w:type="dxa"/>
            <w:tcBorders>
              <w:top w:val="nil"/>
              <w:left w:val="nil"/>
              <w:bottom w:val="single" w:sz="4" w:space="0" w:color="auto"/>
              <w:right w:val="single" w:sz="4" w:space="0" w:color="auto"/>
            </w:tcBorders>
            <w:vAlign w:val="center"/>
            <w:hideMark/>
          </w:tcPr>
          <w:p w14:paraId="22F4558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25782568</w:t>
            </w:r>
          </w:p>
        </w:tc>
        <w:tc>
          <w:tcPr>
            <w:tcW w:w="5953" w:type="dxa"/>
            <w:tcBorders>
              <w:top w:val="nil"/>
              <w:left w:val="nil"/>
              <w:bottom w:val="single" w:sz="4" w:space="0" w:color="auto"/>
              <w:right w:val="single" w:sz="4" w:space="0" w:color="auto"/>
            </w:tcBorders>
            <w:noWrap/>
            <w:vAlign w:val="center"/>
            <w:hideMark/>
          </w:tcPr>
          <w:p w14:paraId="12824D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GORNJA RADGONA</w:t>
            </w:r>
          </w:p>
        </w:tc>
      </w:tr>
      <w:tr w:rsidR="00F24E18" w14:paraId="6D8BE00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D469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2102</w:t>
            </w:r>
          </w:p>
        </w:tc>
        <w:tc>
          <w:tcPr>
            <w:tcW w:w="1300" w:type="dxa"/>
            <w:tcBorders>
              <w:top w:val="nil"/>
              <w:left w:val="nil"/>
              <w:bottom w:val="single" w:sz="4" w:space="0" w:color="auto"/>
              <w:right w:val="single" w:sz="4" w:space="0" w:color="auto"/>
            </w:tcBorders>
            <w:vAlign w:val="center"/>
            <w:hideMark/>
          </w:tcPr>
          <w:p w14:paraId="0EDC26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1192582000</w:t>
            </w:r>
          </w:p>
        </w:tc>
        <w:tc>
          <w:tcPr>
            <w:tcW w:w="1012" w:type="dxa"/>
            <w:tcBorders>
              <w:top w:val="nil"/>
              <w:left w:val="nil"/>
              <w:bottom w:val="single" w:sz="4" w:space="0" w:color="auto"/>
              <w:right w:val="single" w:sz="4" w:space="0" w:color="auto"/>
            </w:tcBorders>
            <w:vAlign w:val="center"/>
            <w:hideMark/>
          </w:tcPr>
          <w:p w14:paraId="2EB447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55156614</w:t>
            </w:r>
          </w:p>
        </w:tc>
        <w:tc>
          <w:tcPr>
            <w:tcW w:w="5953" w:type="dxa"/>
            <w:tcBorders>
              <w:top w:val="nil"/>
              <w:left w:val="nil"/>
              <w:bottom w:val="single" w:sz="4" w:space="0" w:color="auto"/>
              <w:right w:val="single" w:sz="4" w:space="0" w:color="auto"/>
            </w:tcBorders>
            <w:noWrap/>
            <w:vAlign w:val="center"/>
            <w:hideMark/>
          </w:tcPr>
          <w:p w14:paraId="553857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GROSUPLJE</w:t>
            </w:r>
          </w:p>
        </w:tc>
      </w:tr>
      <w:tr w:rsidR="00F24E18" w14:paraId="2889885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A1E66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2103</w:t>
            </w:r>
          </w:p>
        </w:tc>
        <w:tc>
          <w:tcPr>
            <w:tcW w:w="1300" w:type="dxa"/>
            <w:tcBorders>
              <w:top w:val="nil"/>
              <w:left w:val="nil"/>
              <w:bottom w:val="single" w:sz="4" w:space="0" w:color="auto"/>
              <w:right w:val="single" w:sz="4" w:space="0" w:color="auto"/>
            </w:tcBorders>
            <w:vAlign w:val="center"/>
            <w:hideMark/>
          </w:tcPr>
          <w:p w14:paraId="6B61572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5063086000</w:t>
            </w:r>
          </w:p>
        </w:tc>
        <w:tc>
          <w:tcPr>
            <w:tcW w:w="1012" w:type="dxa"/>
            <w:tcBorders>
              <w:top w:val="nil"/>
              <w:left w:val="nil"/>
              <w:bottom w:val="single" w:sz="4" w:space="0" w:color="auto"/>
              <w:right w:val="single" w:sz="4" w:space="0" w:color="auto"/>
            </w:tcBorders>
            <w:vAlign w:val="center"/>
            <w:hideMark/>
          </w:tcPr>
          <w:p w14:paraId="1059D8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40459454</w:t>
            </w:r>
          </w:p>
        </w:tc>
        <w:tc>
          <w:tcPr>
            <w:tcW w:w="5953" w:type="dxa"/>
            <w:tcBorders>
              <w:top w:val="nil"/>
              <w:left w:val="nil"/>
              <w:bottom w:val="single" w:sz="4" w:space="0" w:color="auto"/>
              <w:right w:val="single" w:sz="4" w:space="0" w:color="auto"/>
            </w:tcBorders>
            <w:noWrap/>
            <w:vAlign w:val="center"/>
            <w:hideMark/>
          </w:tcPr>
          <w:p w14:paraId="61C047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HRASTNIK</w:t>
            </w:r>
          </w:p>
        </w:tc>
      </w:tr>
      <w:tr w:rsidR="00F24E18" w14:paraId="6FC6A1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F4148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2104</w:t>
            </w:r>
          </w:p>
        </w:tc>
        <w:tc>
          <w:tcPr>
            <w:tcW w:w="1300" w:type="dxa"/>
            <w:tcBorders>
              <w:top w:val="nil"/>
              <w:left w:val="nil"/>
              <w:bottom w:val="single" w:sz="4" w:space="0" w:color="auto"/>
              <w:right w:val="single" w:sz="4" w:space="0" w:color="auto"/>
            </w:tcBorders>
            <w:vAlign w:val="center"/>
            <w:hideMark/>
          </w:tcPr>
          <w:p w14:paraId="4689313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5158869000</w:t>
            </w:r>
          </w:p>
        </w:tc>
        <w:tc>
          <w:tcPr>
            <w:tcW w:w="1012" w:type="dxa"/>
            <w:tcBorders>
              <w:top w:val="nil"/>
              <w:left w:val="nil"/>
              <w:bottom w:val="single" w:sz="4" w:space="0" w:color="auto"/>
              <w:right w:val="single" w:sz="4" w:space="0" w:color="auto"/>
            </w:tcBorders>
            <w:vAlign w:val="center"/>
            <w:hideMark/>
          </w:tcPr>
          <w:p w14:paraId="183236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58621334</w:t>
            </w:r>
          </w:p>
        </w:tc>
        <w:tc>
          <w:tcPr>
            <w:tcW w:w="5953" w:type="dxa"/>
            <w:tcBorders>
              <w:top w:val="nil"/>
              <w:left w:val="nil"/>
              <w:bottom w:val="single" w:sz="4" w:space="0" w:color="auto"/>
              <w:right w:val="single" w:sz="4" w:space="0" w:color="auto"/>
            </w:tcBorders>
            <w:noWrap/>
            <w:vAlign w:val="center"/>
            <w:hideMark/>
          </w:tcPr>
          <w:p w14:paraId="595011C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IDRIJA</w:t>
            </w:r>
          </w:p>
        </w:tc>
      </w:tr>
      <w:tr w:rsidR="00F24E18" w14:paraId="1D04F94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2245F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2105</w:t>
            </w:r>
          </w:p>
        </w:tc>
        <w:tc>
          <w:tcPr>
            <w:tcW w:w="1300" w:type="dxa"/>
            <w:tcBorders>
              <w:top w:val="nil"/>
              <w:left w:val="nil"/>
              <w:bottom w:val="single" w:sz="4" w:space="0" w:color="auto"/>
              <w:right w:val="single" w:sz="4" w:space="0" w:color="auto"/>
            </w:tcBorders>
            <w:vAlign w:val="center"/>
            <w:hideMark/>
          </w:tcPr>
          <w:p w14:paraId="3870902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5779081000</w:t>
            </w:r>
          </w:p>
        </w:tc>
        <w:tc>
          <w:tcPr>
            <w:tcW w:w="1012" w:type="dxa"/>
            <w:tcBorders>
              <w:top w:val="nil"/>
              <w:left w:val="nil"/>
              <w:bottom w:val="single" w:sz="4" w:space="0" w:color="auto"/>
              <w:right w:val="single" w:sz="4" w:space="0" w:color="auto"/>
            </w:tcBorders>
            <w:vAlign w:val="center"/>
            <w:hideMark/>
          </w:tcPr>
          <w:p w14:paraId="515652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55050077</w:t>
            </w:r>
          </w:p>
        </w:tc>
        <w:tc>
          <w:tcPr>
            <w:tcW w:w="5953" w:type="dxa"/>
            <w:tcBorders>
              <w:top w:val="nil"/>
              <w:left w:val="nil"/>
              <w:bottom w:val="single" w:sz="4" w:space="0" w:color="auto"/>
              <w:right w:val="single" w:sz="4" w:space="0" w:color="auto"/>
            </w:tcBorders>
            <w:noWrap/>
            <w:vAlign w:val="center"/>
            <w:hideMark/>
          </w:tcPr>
          <w:p w14:paraId="7794A82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ILIRSKA BISTRICA</w:t>
            </w:r>
          </w:p>
        </w:tc>
      </w:tr>
      <w:tr w:rsidR="00F24E18" w14:paraId="73DC413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2DBE9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2106</w:t>
            </w:r>
          </w:p>
        </w:tc>
        <w:tc>
          <w:tcPr>
            <w:tcW w:w="1300" w:type="dxa"/>
            <w:tcBorders>
              <w:top w:val="nil"/>
              <w:left w:val="nil"/>
              <w:bottom w:val="single" w:sz="4" w:space="0" w:color="auto"/>
              <w:right w:val="single" w:sz="4" w:space="0" w:color="auto"/>
            </w:tcBorders>
            <w:vAlign w:val="center"/>
            <w:hideMark/>
          </w:tcPr>
          <w:p w14:paraId="2993929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1192574000</w:t>
            </w:r>
          </w:p>
        </w:tc>
        <w:tc>
          <w:tcPr>
            <w:tcW w:w="1012" w:type="dxa"/>
            <w:tcBorders>
              <w:top w:val="nil"/>
              <w:left w:val="nil"/>
              <w:bottom w:val="single" w:sz="4" w:space="0" w:color="auto"/>
              <w:right w:val="single" w:sz="4" w:space="0" w:color="auto"/>
            </w:tcBorders>
            <w:vAlign w:val="center"/>
            <w:hideMark/>
          </w:tcPr>
          <w:p w14:paraId="1D6A5DA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92521045</w:t>
            </w:r>
          </w:p>
        </w:tc>
        <w:tc>
          <w:tcPr>
            <w:tcW w:w="5953" w:type="dxa"/>
            <w:tcBorders>
              <w:top w:val="nil"/>
              <w:left w:val="nil"/>
              <w:bottom w:val="single" w:sz="4" w:space="0" w:color="auto"/>
              <w:right w:val="single" w:sz="4" w:space="0" w:color="auto"/>
            </w:tcBorders>
            <w:noWrap/>
            <w:vAlign w:val="center"/>
            <w:hideMark/>
          </w:tcPr>
          <w:p w14:paraId="1496AF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IVANČNA GORICA</w:t>
            </w:r>
          </w:p>
        </w:tc>
      </w:tr>
      <w:tr w:rsidR="00F24E18" w14:paraId="2C2B933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3BE24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2107</w:t>
            </w:r>
          </w:p>
        </w:tc>
        <w:tc>
          <w:tcPr>
            <w:tcW w:w="1300" w:type="dxa"/>
            <w:tcBorders>
              <w:top w:val="nil"/>
              <w:left w:val="nil"/>
              <w:bottom w:val="single" w:sz="4" w:space="0" w:color="auto"/>
              <w:right w:val="single" w:sz="4" w:space="0" w:color="auto"/>
            </w:tcBorders>
            <w:vAlign w:val="center"/>
            <w:hideMark/>
          </w:tcPr>
          <w:p w14:paraId="108E471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5748569000</w:t>
            </w:r>
          </w:p>
        </w:tc>
        <w:tc>
          <w:tcPr>
            <w:tcW w:w="1012" w:type="dxa"/>
            <w:tcBorders>
              <w:top w:val="nil"/>
              <w:left w:val="nil"/>
              <w:bottom w:val="single" w:sz="4" w:space="0" w:color="auto"/>
              <w:right w:val="single" w:sz="4" w:space="0" w:color="auto"/>
            </w:tcBorders>
            <w:vAlign w:val="center"/>
            <w:hideMark/>
          </w:tcPr>
          <w:p w14:paraId="3D490F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98216007</w:t>
            </w:r>
          </w:p>
        </w:tc>
        <w:tc>
          <w:tcPr>
            <w:tcW w:w="5953" w:type="dxa"/>
            <w:tcBorders>
              <w:top w:val="nil"/>
              <w:left w:val="nil"/>
              <w:bottom w:val="single" w:sz="4" w:space="0" w:color="auto"/>
              <w:right w:val="single" w:sz="4" w:space="0" w:color="auto"/>
            </w:tcBorders>
            <w:noWrap/>
            <w:vAlign w:val="center"/>
            <w:hideMark/>
          </w:tcPr>
          <w:p w14:paraId="36F691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IZOLA</w:t>
            </w:r>
          </w:p>
        </w:tc>
      </w:tr>
      <w:tr w:rsidR="00F24E18" w14:paraId="4F108BA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EBC274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2108</w:t>
            </w:r>
          </w:p>
        </w:tc>
        <w:tc>
          <w:tcPr>
            <w:tcW w:w="1300" w:type="dxa"/>
            <w:tcBorders>
              <w:top w:val="nil"/>
              <w:left w:val="nil"/>
              <w:bottom w:val="single" w:sz="4" w:space="0" w:color="auto"/>
              <w:right w:val="single" w:sz="4" w:space="0" w:color="auto"/>
            </w:tcBorders>
            <w:vAlign w:val="center"/>
            <w:hideMark/>
          </w:tcPr>
          <w:p w14:paraId="333AED3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5170001000</w:t>
            </w:r>
          </w:p>
        </w:tc>
        <w:tc>
          <w:tcPr>
            <w:tcW w:w="1012" w:type="dxa"/>
            <w:tcBorders>
              <w:top w:val="nil"/>
              <w:left w:val="nil"/>
              <w:bottom w:val="single" w:sz="4" w:space="0" w:color="auto"/>
              <w:right w:val="single" w:sz="4" w:space="0" w:color="auto"/>
            </w:tcBorders>
            <w:vAlign w:val="center"/>
            <w:hideMark/>
          </w:tcPr>
          <w:p w14:paraId="76AC03F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55897550</w:t>
            </w:r>
          </w:p>
        </w:tc>
        <w:tc>
          <w:tcPr>
            <w:tcW w:w="5953" w:type="dxa"/>
            <w:tcBorders>
              <w:top w:val="nil"/>
              <w:left w:val="nil"/>
              <w:bottom w:val="single" w:sz="4" w:space="0" w:color="auto"/>
              <w:right w:val="single" w:sz="4" w:space="0" w:color="auto"/>
            </w:tcBorders>
            <w:noWrap/>
            <w:vAlign w:val="center"/>
            <w:hideMark/>
          </w:tcPr>
          <w:p w14:paraId="40210D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KOČEVJE</w:t>
            </w:r>
          </w:p>
        </w:tc>
      </w:tr>
      <w:tr w:rsidR="00F24E18" w14:paraId="37997DF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CA1B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2109</w:t>
            </w:r>
          </w:p>
        </w:tc>
        <w:tc>
          <w:tcPr>
            <w:tcW w:w="1300" w:type="dxa"/>
            <w:tcBorders>
              <w:top w:val="nil"/>
              <w:left w:val="nil"/>
              <w:bottom w:val="single" w:sz="4" w:space="0" w:color="auto"/>
              <w:right w:val="single" w:sz="4" w:space="0" w:color="auto"/>
            </w:tcBorders>
            <w:vAlign w:val="center"/>
            <w:hideMark/>
          </w:tcPr>
          <w:p w14:paraId="0C7E65F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5728231000</w:t>
            </w:r>
          </w:p>
        </w:tc>
        <w:tc>
          <w:tcPr>
            <w:tcW w:w="1012" w:type="dxa"/>
            <w:tcBorders>
              <w:top w:val="nil"/>
              <w:left w:val="nil"/>
              <w:bottom w:val="single" w:sz="4" w:space="0" w:color="auto"/>
              <w:right w:val="single" w:sz="4" w:space="0" w:color="auto"/>
            </w:tcBorders>
            <w:vAlign w:val="center"/>
            <w:hideMark/>
          </w:tcPr>
          <w:p w14:paraId="681ADD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41729358</w:t>
            </w:r>
          </w:p>
        </w:tc>
        <w:tc>
          <w:tcPr>
            <w:tcW w:w="5953" w:type="dxa"/>
            <w:tcBorders>
              <w:top w:val="nil"/>
              <w:left w:val="nil"/>
              <w:bottom w:val="single" w:sz="4" w:space="0" w:color="auto"/>
              <w:right w:val="single" w:sz="4" w:space="0" w:color="auto"/>
            </w:tcBorders>
            <w:noWrap/>
            <w:vAlign w:val="center"/>
            <w:hideMark/>
          </w:tcPr>
          <w:p w14:paraId="69BAA00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KOPER CASA DELLA SANITA CAPODISTRIA</w:t>
            </w:r>
          </w:p>
        </w:tc>
      </w:tr>
      <w:tr w:rsidR="00F24E18" w14:paraId="2CD8C8F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6813A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2110</w:t>
            </w:r>
          </w:p>
        </w:tc>
        <w:tc>
          <w:tcPr>
            <w:tcW w:w="1300" w:type="dxa"/>
            <w:tcBorders>
              <w:top w:val="nil"/>
              <w:left w:val="nil"/>
              <w:bottom w:val="single" w:sz="4" w:space="0" w:color="auto"/>
              <w:right w:val="single" w:sz="4" w:space="0" w:color="auto"/>
            </w:tcBorders>
            <w:vAlign w:val="center"/>
            <w:hideMark/>
          </w:tcPr>
          <w:p w14:paraId="76B8AE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5054575000</w:t>
            </w:r>
          </w:p>
        </w:tc>
        <w:tc>
          <w:tcPr>
            <w:tcW w:w="1012" w:type="dxa"/>
            <w:tcBorders>
              <w:top w:val="nil"/>
              <w:left w:val="nil"/>
              <w:bottom w:val="single" w:sz="4" w:space="0" w:color="auto"/>
              <w:right w:val="single" w:sz="4" w:space="0" w:color="auto"/>
            </w:tcBorders>
            <w:vAlign w:val="center"/>
            <w:hideMark/>
          </w:tcPr>
          <w:p w14:paraId="261B6A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89128028</w:t>
            </w:r>
          </w:p>
        </w:tc>
        <w:tc>
          <w:tcPr>
            <w:tcW w:w="5953" w:type="dxa"/>
            <w:tcBorders>
              <w:top w:val="nil"/>
              <w:left w:val="nil"/>
              <w:bottom w:val="single" w:sz="4" w:space="0" w:color="auto"/>
              <w:right w:val="single" w:sz="4" w:space="0" w:color="auto"/>
            </w:tcBorders>
            <w:noWrap/>
            <w:vAlign w:val="center"/>
            <w:hideMark/>
          </w:tcPr>
          <w:p w14:paraId="04C8F7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KRŠKO</w:t>
            </w:r>
          </w:p>
        </w:tc>
      </w:tr>
      <w:tr w:rsidR="00F24E18" w14:paraId="59E38F0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3A2D87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2111</w:t>
            </w:r>
          </w:p>
        </w:tc>
        <w:tc>
          <w:tcPr>
            <w:tcW w:w="1300" w:type="dxa"/>
            <w:tcBorders>
              <w:top w:val="nil"/>
              <w:left w:val="nil"/>
              <w:bottom w:val="single" w:sz="4" w:space="0" w:color="auto"/>
              <w:right w:val="single" w:sz="4" w:space="0" w:color="auto"/>
            </w:tcBorders>
            <w:vAlign w:val="center"/>
            <w:hideMark/>
          </w:tcPr>
          <w:p w14:paraId="695634A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5683114000</w:t>
            </w:r>
          </w:p>
        </w:tc>
        <w:tc>
          <w:tcPr>
            <w:tcW w:w="1012" w:type="dxa"/>
            <w:tcBorders>
              <w:top w:val="nil"/>
              <w:left w:val="nil"/>
              <w:bottom w:val="single" w:sz="4" w:space="0" w:color="auto"/>
              <w:right w:val="single" w:sz="4" w:space="0" w:color="auto"/>
            </w:tcBorders>
            <w:vAlign w:val="center"/>
            <w:hideMark/>
          </w:tcPr>
          <w:p w14:paraId="2B2FB1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92281753</w:t>
            </w:r>
          </w:p>
        </w:tc>
        <w:tc>
          <w:tcPr>
            <w:tcW w:w="5953" w:type="dxa"/>
            <w:tcBorders>
              <w:top w:val="nil"/>
              <w:left w:val="nil"/>
              <w:bottom w:val="single" w:sz="4" w:space="0" w:color="auto"/>
              <w:right w:val="single" w:sz="4" w:space="0" w:color="auto"/>
            </w:tcBorders>
            <w:noWrap/>
            <w:vAlign w:val="center"/>
            <w:hideMark/>
          </w:tcPr>
          <w:p w14:paraId="5FBC67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LAŠKO</w:t>
            </w:r>
          </w:p>
        </w:tc>
      </w:tr>
      <w:tr w:rsidR="00F24E18" w14:paraId="1C27A2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F1E3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2112</w:t>
            </w:r>
          </w:p>
        </w:tc>
        <w:tc>
          <w:tcPr>
            <w:tcW w:w="1300" w:type="dxa"/>
            <w:tcBorders>
              <w:top w:val="nil"/>
              <w:left w:val="nil"/>
              <w:bottom w:val="single" w:sz="4" w:space="0" w:color="auto"/>
              <w:right w:val="single" w:sz="4" w:space="0" w:color="auto"/>
            </w:tcBorders>
            <w:vAlign w:val="center"/>
            <w:hideMark/>
          </w:tcPr>
          <w:p w14:paraId="1FB8DE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5091870000</w:t>
            </w:r>
          </w:p>
        </w:tc>
        <w:tc>
          <w:tcPr>
            <w:tcW w:w="1012" w:type="dxa"/>
            <w:tcBorders>
              <w:top w:val="nil"/>
              <w:left w:val="nil"/>
              <w:bottom w:val="single" w:sz="4" w:space="0" w:color="auto"/>
              <w:right w:val="single" w:sz="4" w:space="0" w:color="auto"/>
            </w:tcBorders>
            <w:vAlign w:val="center"/>
            <w:hideMark/>
          </w:tcPr>
          <w:p w14:paraId="123645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77498844</w:t>
            </w:r>
          </w:p>
        </w:tc>
        <w:tc>
          <w:tcPr>
            <w:tcW w:w="5953" w:type="dxa"/>
            <w:tcBorders>
              <w:top w:val="nil"/>
              <w:left w:val="nil"/>
              <w:bottom w:val="single" w:sz="4" w:space="0" w:color="auto"/>
              <w:right w:val="single" w:sz="4" w:space="0" w:color="auto"/>
            </w:tcBorders>
            <w:noWrap/>
            <w:vAlign w:val="center"/>
            <w:hideMark/>
          </w:tcPr>
          <w:p w14:paraId="470EC1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LENART</w:t>
            </w:r>
          </w:p>
        </w:tc>
      </w:tr>
      <w:tr w:rsidR="00F24E18" w14:paraId="212D7E8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79C328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2113</w:t>
            </w:r>
          </w:p>
        </w:tc>
        <w:tc>
          <w:tcPr>
            <w:tcW w:w="1300" w:type="dxa"/>
            <w:tcBorders>
              <w:top w:val="nil"/>
              <w:left w:val="nil"/>
              <w:bottom w:val="single" w:sz="4" w:space="0" w:color="auto"/>
              <w:right w:val="single" w:sz="4" w:space="0" w:color="auto"/>
            </w:tcBorders>
            <w:vAlign w:val="center"/>
            <w:hideMark/>
          </w:tcPr>
          <w:p w14:paraId="7E4AA85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5801923000</w:t>
            </w:r>
          </w:p>
        </w:tc>
        <w:tc>
          <w:tcPr>
            <w:tcW w:w="1012" w:type="dxa"/>
            <w:tcBorders>
              <w:top w:val="nil"/>
              <w:left w:val="nil"/>
              <w:bottom w:val="single" w:sz="4" w:space="0" w:color="auto"/>
              <w:right w:val="single" w:sz="4" w:space="0" w:color="auto"/>
            </w:tcBorders>
            <w:vAlign w:val="center"/>
            <w:hideMark/>
          </w:tcPr>
          <w:p w14:paraId="1129599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36612235</w:t>
            </w:r>
          </w:p>
        </w:tc>
        <w:tc>
          <w:tcPr>
            <w:tcW w:w="5953" w:type="dxa"/>
            <w:tcBorders>
              <w:top w:val="nil"/>
              <w:left w:val="nil"/>
              <w:bottom w:val="single" w:sz="4" w:space="0" w:color="auto"/>
              <w:right w:val="single" w:sz="4" w:space="0" w:color="auto"/>
            </w:tcBorders>
            <w:noWrap/>
            <w:vAlign w:val="center"/>
            <w:hideMark/>
          </w:tcPr>
          <w:p w14:paraId="7A5EC80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LENDAVA - EGESZSEGHAZ LENDVA</w:t>
            </w:r>
          </w:p>
        </w:tc>
      </w:tr>
      <w:tr w:rsidR="00F24E18" w14:paraId="5D0B60D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5BD8C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2114</w:t>
            </w:r>
          </w:p>
        </w:tc>
        <w:tc>
          <w:tcPr>
            <w:tcW w:w="1300" w:type="dxa"/>
            <w:tcBorders>
              <w:top w:val="nil"/>
              <w:left w:val="nil"/>
              <w:bottom w:val="single" w:sz="4" w:space="0" w:color="auto"/>
              <w:right w:val="single" w:sz="4" w:space="0" w:color="auto"/>
            </w:tcBorders>
            <w:vAlign w:val="center"/>
            <w:hideMark/>
          </w:tcPr>
          <w:p w14:paraId="0398656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5056845000</w:t>
            </w:r>
          </w:p>
        </w:tc>
        <w:tc>
          <w:tcPr>
            <w:tcW w:w="1012" w:type="dxa"/>
            <w:tcBorders>
              <w:top w:val="nil"/>
              <w:left w:val="nil"/>
              <w:bottom w:val="single" w:sz="4" w:space="0" w:color="auto"/>
              <w:right w:val="single" w:sz="4" w:space="0" w:color="auto"/>
            </w:tcBorders>
            <w:vAlign w:val="center"/>
            <w:hideMark/>
          </w:tcPr>
          <w:p w14:paraId="0876AD6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16823192</w:t>
            </w:r>
          </w:p>
        </w:tc>
        <w:tc>
          <w:tcPr>
            <w:tcW w:w="5953" w:type="dxa"/>
            <w:tcBorders>
              <w:top w:val="nil"/>
              <w:left w:val="nil"/>
              <w:bottom w:val="single" w:sz="4" w:space="0" w:color="auto"/>
              <w:right w:val="single" w:sz="4" w:space="0" w:color="auto"/>
            </w:tcBorders>
            <w:noWrap/>
            <w:vAlign w:val="center"/>
            <w:hideMark/>
          </w:tcPr>
          <w:p w14:paraId="4BE64C5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LITIJA</w:t>
            </w:r>
          </w:p>
        </w:tc>
      </w:tr>
      <w:tr w:rsidR="00F24E18" w14:paraId="211A07B8"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8903E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2115</w:t>
            </w:r>
          </w:p>
        </w:tc>
        <w:tc>
          <w:tcPr>
            <w:tcW w:w="1300" w:type="dxa"/>
            <w:tcBorders>
              <w:top w:val="nil"/>
              <w:left w:val="nil"/>
              <w:bottom w:val="single" w:sz="4" w:space="0" w:color="auto"/>
              <w:right w:val="single" w:sz="4" w:space="0" w:color="auto"/>
            </w:tcBorders>
            <w:vAlign w:val="center"/>
            <w:hideMark/>
          </w:tcPr>
          <w:p w14:paraId="70C803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5056063000</w:t>
            </w:r>
          </w:p>
        </w:tc>
        <w:tc>
          <w:tcPr>
            <w:tcW w:w="1012" w:type="dxa"/>
            <w:tcBorders>
              <w:top w:val="nil"/>
              <w:left w:val="nil"/>
              <w:bottom w:val="single" w:sz="4" w:space="0" w:color="auto"/>
              <w:right w:val="single" w:sz="4" w:space="0" w:color="auto"/>
            </w:tcBorders>
            <w:vAlign w:val="center"/>
            <w:hideMark/>
          </w:tcPr>
          <w:p w14:paraId="444DF6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80683568</w:t>
            </w:r>
          </w:p>
        </w:tc>
        <w:tc>
          <w:tcPr>
            <w:tcW w:w="5953" w:type="dxa"/>
            <w:tcBorders>
              <w:top w:val="nil"/>
              <w:left w:val="nil"/>
              <w:bottom w:val="single" w:sz="4" w:space="0" w:color="auto"/>
              <w:right w:val="single" w:sz="4" w:space="0" w:color="auto"/>
            </w:tcBorders>
            <w:noWrap/>
            <w:vAlign w:val="center"/>
            <w:hideMark/>
          </w:tcPr>
          <w:p w14:paraId="7DE6FA3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LJUBLJANA</w:t>
            </w:r>
          </w:p>
        </w:tc>
      </w:tr>
      <w:tr w:rsidR="00F24E18" w14:paraId="09FC6E9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EA6DB8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2116</w:t>
            </w:r>
          </w:p>
        </w:tc>
        <w:tc>
          <w:tcPr>
            <w:tcW w:w="1300" w:type="dxa"/>
            <w:tcBorders>
              <w:top w:val="nil"/>
              <w:left w:val="nil"/>
              <w:bottom w:val="single" w:sz="4" w:space="0" w:color="auto"/>
              <w:right w:val="single" w:sz="4" w:space="0" w:color="auto"/>
            </w:tcBorders>
            <w:vAlign w:val="center"/>
            <w:hideMark/>
          </w:tcPr>
          <w:p w14:paraId="623FF6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5817269000</w:t>
            </w:r>
          </w:p>
        </w:tc>
        <w:tc>
          <w:tcPr>
            <w:tcW w:w="1012" w:type="dxa"/>
            <w:tcBorders>
              <w:top w:val="nil"/>
              <w:left w:val="nil"/>
              <w:bottom w:val="single" w:sz="4" w:space="0" w:color="auto"/>
              <w:right w:val="single" w:sz="4" w:space="0" w:color="auto"/>
            </w:tcBorders>
            <w:vAlign w:val="center"/>
            <w:hideMark/>
          </w:tcPr>
          <w:p w14:paraId="4AEEB1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30959829</w:t>
            </w:r>
          </w:p>
        </w:tc>
        <w:tc>
          <w:tcPr>
            <w:tcW w:w="5953" w:type="dxa"/>
            <w:tcBorders>
              <w:top w:val="nil"/>
              <w:left w:val="nil"/>
              <w:bottom w:val="single" w:sz="4" w:space="0" w:color="auto"/>
              <w:right w:val="single" w:sz="4" w:space="0" w:color="auto"/>
            </w:tcBorders>
            <w:noWrap/>
            <w:vAlign w:val="center"/>
            <w:hideMark/>
          </w:tcPr>
          <w:p w14:paraId="421DBD8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LJUTOMER</w:t>
            </w:r>
          </w:p>
        </w:tc>
      </w:tr>
      <w:tr w:rsidR="00F24E18" w14:paraId="72C5344A"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42C219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2117</w:t>
            </w:r>
          </w:p>
        </w:tc>
        <w:tc>
          <w:tcPr>
            <w:tcW w:w="1300" w:type="dxa"/>
            <w:tcBorders>
              <w:top w:val="nil"/>
              <w:left w:val="nil"/>
              <w:bottom w:val="single" w:sz="4" w:space="0" w:color="auto"/>
              <w:right w:val="single" w:sz="4" w:space="0" w:color="auto"/>
            </w:tcBorders>
            <w:vAlign w:val="center"/>
            <w:hideMark/>
          </w:tcPr>
          <w:p w14:paraId="1C11DD0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5158877000</w:t>
            </w:r>
          </w:p>
        </w:tc>
        <w:tc>
          <w:tcPr>
            <w:tcW w:w="1012" w:type="dxa"/>
            <w:tcBorders>
              <w:top w:val="nil"/>
              <w:left w:val="nil"/>
              <w:bottom w:val="single" w:sz="4" w:space="0" w:color="auto"/>
              <w:right w:val="single" w:sz="4" w:space="0" w:color="auto"/>
            </w:tcBorders>
            <w:vAlign w:val="center"/>
            <w:hideMark/>
          </w:tcPr>
          <w:p w14:paraId="74580A7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80487866</w:t>
            </w:r>
          </w:p>
        </w:tc>
        <w:tc>
          <w:tcPr>
            <w:tcW w:w="5953" w:type="dxa"/>
            <w:tcBorders>
              <w:top w:val="nil"/>
              <w:left w:val="nil"/>
              <w:bottom w:val="single" w:sz="4" w:space="0" w:color="auto"/>
              <w:right w:val="single" w:sz="4" w:space="0" w:color="auto"/>
            </w:tcBorders>
            <w:noWrap/>
            <w:vAlign w:val="center"/>
            <w:hideMark/>
          </w:tcPr>
          <w:p w14:paraId="70972DC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LOGATEC</w:t>
            </w:r>
          </w:p>
        </w:tc>
      </w:tr>
      <w:tr w:rsidR="00F24E18" w14:paraId="79D8448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273EF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2118</w:t>
            </w:r>
          </w:p>
        </w:tc>
        <w:tc>
          <w:tcPr>
            <w:tcW w:w="1300" w:type="dxa"/>
            <w:tcBorders>
              <w:top w:val="nil"/>
              <w:left w:val="nil"/>
              <w:bottom w:val="single" w:sz="4" w:space="0" w:color="auto"/>
              <w:right w:val="single" w:sz="4" w:space="0" w:color="auto"/>
            </w:tcBorders>
            <w:vAlign w:val="center"/>
            <w:hideMark/>
          </w:tcPr>
          <w:p w14:paraId="04C520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1430726000</w:t>
            </w:r>
          </w:p>
        </w:tc>
        <w:tc>
          <w:tcPr>
            <w:tcW w:w="1012" w:type="dxa"/>
            <w:tcBorders>
              <w:top w:val="nil"/>
              <w:left w:val="nil"/>
              <w:bottom w:val="single" w:sz="4" w:space="0" w:color="auto"/>
              <w:right w:val="single" w:sz="4" w:space="0" w:color="auto"/>
            </w:tcBorders>
            <w:vAlign w:val="center"/>
            <w:hideMark/>
          </w:tcPr>
          <w:p w14:paraId="196EC36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99423162</w:t>
            </w:r>
          </w:p>
        </w:tc>
        <w:tc>
          <w:tcPr>
            <w:tcW w:w="5953" w:type="dxa"/>
            <w:tcBorders>
              <w:top w:val="nil"/>
              <w:left w:val="nil"/>
              <w:bottom w:val="single" w:sz="4" w:space="0" w:color="auto"/>
              <w:right w:val="single" w:sz="4" w:space="0" w:color="auto"/>
            </w:tcBorders>
            <w:noWrap/>
            <w:vAlign w:val="center"/>
            <w:hideMark/>
          </w:tcPr>
          <w:p w14:paraId="494BBE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MEDVODE</w:t>
            </w:r>
          </w:p>
        </w:tc>
      </w:tr>
      <w:tr w:rsidR="00F24E18" w14:paraId="156CCF0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C933C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2119</w:t>
            </w:r>
          </w:p>
        </w:tc>
        <w:tc>
          <w:tcPr>
            <w:tcW w:w="1300" w:type="dxa"/>
            <w:tcBorders>
              <w:top w:val="nil"/>
              <w:left w:val="nil"/>
              <w:bottom w:val="single" w:sz="4" w:space="0" w:color="auto"/>
              <w:right w:val="single" w:sz="4" w:space="0" w:color="auto"/>
            </w:tcBorders>
            <w:noWrap/>
            <w:vAlign w:val="center"/>
            <w:hideMark/>
          </w:tcPr>
          <w:p w14:paraId="59D4193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5054591000</w:t>
            </w:r>
          </w:p>
        </w:tc>
        <w:tc>
          <w:tcPr>
            <w:tcW w:w="1012" w:type="dxa"/>
            <w:tcBorders>
              <w:top w:val="nil"/>
              <w:left w:val="nil"/>
              <w:bottom w:val="single" w:sz="4" w:space="0" w:color="auto"/>
              <w:right w:val="single" w:sz="4" w:space="0" w:color="auto"/>
            </w:tcBorders>
            <w:noWrap/>
            <w:vAlign w:val="center"/>
            <w:hideMark/>
          </w:tcPr>
          <w:p w14:paraId="38D7DD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40635112</w:t>
            </w:r>
          </w:p>
        </w:tc>
        <w:tc>
          <w:tcPr>
            <w:tcW w:w="5953" w:type="dxa"/>
            <w:tcBorders>
              <w:top w:val="nil"/>
              <w:left w:val="nil"/>
              <w:bottom w:val="single" w:sz="4" w:space="0" w:color="auto"/>
              <w:right w:val="single" w:sz="4" w:space="0" w:color="auto"/>
            </w:tcBorders>
            <w:noWrap/>
            <w:vAlign w:val="center"/>
            <w:hideMark/>
          </w:tcPr>
          <w:p w14:paraId="4C668E4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METLIKA</w:t>
            </w:r>
          </w:p>
        </w:tc>
      </w:tr>
      <w:tr w:rsidR="00F24E18" w14:paraId="39F6B3C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4DF5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2120</w:t>
            </w:r>
          </w:p>
        </w:tc>
        <w:tc>
          <w:tcPr>
            <w:tcW w:w="1300" w:type="dxa"/>
            <w:tcBorders>
              <w:top w:val="nil"/>
              <w:left w:val="nil"/>
              <w:bottom w:val="single" w:sz="4" w:space="0" w:color="auto"/>
              <w:right w:val="single" w:sz="4" w:space="0" w:color="auto"/>
            </w:tcBorders>
            <w:vAlign w:val="center"/>
            <w:hideMark/>
          </w:tcPr>
          <w:p w14:paraId="6BE2AD3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5801915000</w:t>
            </w:r>
          </w:p>
        </w:tc>
        <w:tc>
          <w:tcPr>
            <w:tcW w:w="1012" w:type="dxa"/>
            <w:tcBorders>
              <w:top w:val="nil"/>
              <w:left w:val="nil"/>
              <w:bottom w:val="single" w:sz="4" w:space="0" w:color="auto"/>
              <w:right w:val="single" w:sz="4" w:space="0" w:color="auto"/>
            </w:tcBorders>
            <w:vAlign w:val="center"/>
            <w:hideMark/>
          </w:tcPr>
          <w:p w14:paraId="721C340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94095400</w:t>
            </w:r>
          </w:p>
        </w:tc>
        <w:tc>
          <w:tcPr>
            <w:tcW w:w="5953" w:type="dxa"/>
            <w:tcBorders>
              <w:top w:val="nil"/>
              <w:left w:val="nil"/>
              <w:bottom w:val="single" w:sz="4" w:space="0" w:color="auto"/>
              <w:right w:val="single" w:sz="4" w:space="0" w:color="auto"/>
            </w:tcBorders>
            <w:noWrap/>
            <w:vAlign w:val="center"/>
            <w:hideMark/>
          </w:tcPr>
          <w:p w14:paraId="3F04E5F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MURSKA SOBOTA</w:t>
            </w:r>
          </w:p>
        </w:tc>
      </w:tr>
      <w:tr w:rsidR="00F24E18" w14:paraId="2ADEE7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85AE57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2121</w:t>
            </w:r>
          </w:p>
        </w:tc>
        <w:tc>
          <w:tcPr>
            <w:tcW w:w="1300" w:type="dxa"/>
            <w:tcBorders>
              <w:top w:val="nil"/>
              <w:left w:val="nil"/>
              <w:bottom w:val="single" w:sz="4" w:space="0" w:color="auto"/>
              <w:right w:val="single" w:sz="4" w:space="0" w:color="auto"/>
            </w:tcBorders>
            <w:vAlign w:val="center"/>
            <w:hideMark/>
          </w:tcPr>
          <w:p w14:paraId="6221740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5054613000</w:t>
            </w:r>
          </w:p>
        </w:tc>
        <w:tc>
          <w:tcPr>
            <w:tcW w:w="1012" w:type="dxa"/>
            <w:tcBorders>
              <w:top w:val="nil"/>
              <w:left w:val="nil"/>
              <w:bottom w:val="single" w:sz="4" w:space="0" w:color="auto"/>
              <w:right w:val="single" w:sz="4" w:space="0" w:color="auto"/>
            </w:tcBorders>
            <w:vAlign w:val="center"/>
            <w:hideMark/>
          </w:tcPr>
          <w:p w14:paraId="386CDEB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18631380</w:t>
            </w:r>
          </w:p>
        </w:tc>
        <w:tc>
          <w:tcPr>
            <w:tcW w:w="5953" w:type="dxa"/>
            <w:tcBorders>
              <w:top w:val="nil"/>
              <w:left w:val="nil"/>
              <w:bottom w:val="single" w:sz="4" w:space="0" w:color="auto"/>
              <w:right w:val="single" w:sz="4" w:space="0" w:color="auto"/>
            </w:tcBorders>
            <w:noWrap/>
            <w:vAlign w:val="center"/>
            <w:hideMark/>
          </w:tcPr>
          <w:p w14:paraId="43A84EA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NOVO MESTO</w:t>
            </w:r>
          </w:p>
        </w:tc>
      </w:tr>
      <w:tr w:rsidR="00F24E18" w14:paraId="1363774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46659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2122</w:t>
            </w:r>
          </w:p>
        </w:tc>
        <w:tc>
          <w:tcPr>
            <w:tcW w:w="1300" w:type="dxa"/>
            <w:tcBorders>
              <w:top w:val="nil"/>
              <w:left w:val="nil"/>
              <w:bottom w:val="single" w:sz="4" w:space="0" w:color="auto"/>
              <w:right w:val="single" w:sz="4" w:space="0" w:color="auto"/>
            </w:tcBorders>
            <w:vAlign w:val="center"/>
            <w:hideMark/>
          </w:tcPr>
          <w:p w14:paraId="257CBE9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5054699000</w:t>
            </w:r>
          </w:p>
        </w:tc>
        <w:tc>
          <w:tcPr>
            <w:tcW w:w="1012" w:type="dxa"/>
            <w:tcBorders>
              <w:top w:val="nil"/>
              <w:left w:val="nil"/>
              <w:bottom w:val="single" w:sz="4" w:space="0" w:color="auto"/>
              <w:right w:val="single" w:sz="4" w:space="0" w:color="auto"/>
            </w:tcBorders>
            <w:vAlign w:val="center"/>
            <w:hideMark/>
          </w:tcPr>
          <w:p w14:paraId="3DA82B4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93436173</w:t>
            </w:r>
          </w:p>
        </w:tc>
        <w:tc>
          <w:tcPr>
            <w:tcW w:w="5953" w:type="dxa"/>
            <w:tcBorders>
              <w:top w:val="nil"/>
              <w:left w:val="nil"/>
              <w:bottom w:val="single" w:sz="4" w:space="0" w:color="auto"/>
              <w:right w:val="single" w:sz="4" w:space="0" w:color="auto"/>
            </w:tcBorders>
            <w:noWrap/>
            <w:vAlign w:val="center"/>
            <w:hideMark/>
          </w:tcPr>
          <w:p w14:paraId="779111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ORMOŽ</w:t>
            </w:r>
          </w:p>
        </w:tc>
      </w:tr>
      <w:tr w:rsidR="00F24E18" w14:paraId="084C75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9E3A7F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2123</w:t>
            </w:r>
          </w:p>
        </w:tc>
        <w:tc>
          <w:tcPr>
            <w:tcW w:w="1300" w:type="dxa"/>
            <w:tcBorders>
              <w:top w:val="nil"/>
              <w:left w:val="nil"/>
              <w:bottom w:val="single" w:sz="4" w:space="0" w:color="auto"/>
              <w:right w:val="single" w:sz="4" w:space="0" w:color="auto"/>
            </w:tcBorders>
            <w:vAlign w:val="center"/>
            <w:hideMark/>
          </w:tcPr>
          <w:p w14:paraId="5DB0CD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5107148000</w:t>
            </w:r>
          </w:p>
        </w:tc>
        <w:tc>
          <w:tcPr>
            <w:tcW w:w="1012" w:type="dxa"/>
            <w:tcBorders>
              <w:top w:val="nil"/>
              <w:left w:val="nil"/>
              <w:bottom w:val="single" w:sz="4" w:space="0" w:color="auto"/>
              <w:right w:val="single" w:sz="4" w:space="0" w:color="auto"/>
            </w:tcBorders>
            <w:vAlign w:val="center"/>
            <w:hideMark/>
          </w:tcPr>
          <w:p w14:paraId="62BE4A5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77057767</w:t>
            </w:r>
          </w:p>
        </w:tc>
        <w:tc>
          <w:tcPr>
            <w:tcW w:w="5953" w:type="dxa"/>
            <w:tcBorders>
              <w:top w:val="nil"/>
              <w:left w:val="nil"/>
              <w:bottom w:val="single" w:sz="4" w:space="0" w:color="auto"/>
              <w:right w:val="single" w:sz="4" w:space="0" w:color="auto"/>
            </w:tcBorders>
            <w:noWrap/>
            <w:vAlign w:val="center"/>
            <w:hideMark/>
          </w:tcPr>
          <w:p w14:paraId="3936D9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OSNOVNO VARSTVO NOVA GORICA</w:t>
            </w:r>
          </w:p>
        </w:tc>
      </w:tr>
      <w:tr w:rsidR="00F24E18" w14:paraId="6810C44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832D5C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2124</w:t>
            </w:r>
          </w:p>
        </w:tc>
        <w:tc>
          <w:tcPr>
            <w:tcW w:w="1300" w:type="dxa"/>
            <w:tcBorders>
              <w:top w:val="nil"/>
              <w:left w:val="nil"/>
              <w:bottom w:val="single" w:sz="4" w:space="0" w:color="auto"/>
              <w:right w:val="single" w:sz="4" w:space="0" w:color="auto"/>
            </w:tcBorders>
            <w:vAlign w:val="center"/>
            <w:hideMark/>
          </w:tcPr>
          <w:p w14:paraId="513F0DC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5733758000</w:t>
            </w:r>
          </w:p>
        </w:tc>
        <w:tc>
          <w:tcPr>
            <w:tcW w:w="1012" w:type="dxa"/>
            <w:tcBorders>
              <w:top w:val="nil"/>
              <w:left w:val="nil"/>
              <w:bottom w:val="single" w:sz="4" w:space="0" w:color="auto"/>
              <w:right w:val="single" w:sz="4" w:space="0" w:color="auto"/>
            </w:tcBorders>
            <w:vAlign w:val="center"/>
            <w:hideMark/>
          </w:tcPr>
          <w:p w14:paraId="7B005BD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32262094</w:t>
            </w:r>
          </w:p>
        </w:tc>
        <w:tc>
          <w:tcPr>
            <w:tcW w:w="5953" w:type="dxa"/>
            <w:tcBorders>
              <w:top w:val="nil"/>
              <w:left w:val="nil"/>
              <w:bottom w:val="single" w:sz="4" w:space="0" w:color="auto"/>
              <w:right w:val="single" w:sz="4" w:space="0" w:color="auto"/>
            </w:tcBorders>
            <w:noWrap/>
            <w:vAlign w:val="center"/>
            <w:hideMark/>
          </w:tcPr>
          <w:p w14:paraId="57D02B0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PIRAN POLIAMBULATORIO PIRANO</w:t>
            </w:r>
          </w:p>
        </w:tc>
      </w:tr>
      <w:tr w:rsidR="00F24E18" w14:paraId="4862BA8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646ABD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2125</w:t>
            </w:r>
          </w:p>
        </w:tc>
        <w:tc>
          <w:tcPr>
            <w:tcW w:w="1300" w:type="dxa"/>
            <w:tcBorders>
              <w:top w:val="nil"/>
              <w:left w:val="nil"/>
              <w:bottom w:val="single" w:sz="4" w:space="0" w:color="auto"/>
              <w:right w:val="single" w:sz="4" w:space="0" w:color="auto"/>
            </w:tcBorders>
            <w:vAlign w:val="center"/>
            <w:hideMark/>
          </w:tcPr>
          <w:p w14:paraId="403C0F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5502420000</w:t>
            </w:r>
          </w:p>
        </w:tc>
        <w:tc>
          <w:tcPr>
            <w:tcW w:w="1012" w:type="dxa"/>
            <w:tcBorders>
              <w:top w:val="nil"/>
              <w:left w:val="nil"/>
              <w:bottom w:val="single" w:sz="4" w:space="0" w:color="auto"/>
              <w:right w:val="single" w:sz="4" w:space="0" w:color="auto"/>
            </w:tcBorders>
            <w:vAlign w:val="center"/>
            <w:hideMark/>
          </w:tcPr>
          <w:p w14:paraId="5B2AC5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30102090</w:t>
            </w:r>
          </w:p>
        </w:tc>
        <w:tc>
          <w:tcPr>
            <w:tcW w:w="5953" w:type="dxa"/>
            <w:tcBorders>
              <w:top w:val="nil"/>
              <w:left w:val="nil"/>
              <w:bottom w:val="single" w:sz="4" w:space="0" w:color="auto"/>
              <w:right w:val="single" w:sz="4" w:space="0" w:color="auto"/>
            </w:tcBorders>
            <w:noWrap/>
            <w:vAlign w:val="center"/>
            <w:hideMark/>
          </w:tcPr>
          <w:p w14:paraId="12E7242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PTUJ</w:t>
            </w:r>
          </w:p>
        </w:tc>
      </w:tr>
      <w:tr w:rsidR="00F24E18" w14:paraId="3C77A00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E9B40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2126</w:t>
            </w:r>
          </w:p>
        </w:tc>
        <w:tc>
          <w:tcPr>
            <w:tcW w:w="1300" w:type="dxa"/>
            <w:tcBorders>
              <w:top w:val="nil"/>
              <w:left w:val="nil"/>
              <w:bottom w:val="single" w:sz="4" w:space="0" w:color="auto"/>
              <w:right w:val="single" w:sz="4" w:space="0" w:color="auto"/>
            </w:tcBorders>
            <w:vAlign w:val="center"/>
            <w:hideMark/>
          </w:tcPr>
          <w:p w14:paraId="74FA35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5054907000</w:t>
            </w:r>
          </w:p>
        </w:tc>
        <w:tc>
          <w:tcPr>
            <w:tcW w:w="1012" w:type="dxa"/>
            <w:tcBorders>
              <w:top w:val="nil"/>
              <w:left w:val="nil"/>
              <w:bottom w:val="single" w:sz="4" w:space="0" w:color="auto"/>
              <w:right w:val="single" w:sz="4" w:space="0" w:color="auto"/>
            </w:tcBorders>
            <w:vAlign w:val="center"/>
            <w:hideMark/>
          </w:tcPr>
          <w:p w14:paraId="3DD6BA9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56251432</w:t>
            </w:r>
          </w:p>
        </w:tc>
        <w:tc>
          <w:tcPr>
            <w:tcW w:w="5953" w:type="dxa"/>
            <w:tcBorders>
              <w:top w:val="nil"/>
              <w:left w:val="nil"/>
              <w:bottom w:val="single" w:sz="4" w:space="0" w:color="auto"/>
              <w:right w:val="single" w:sz="4" w:space="0" w:color="auto"/>
            </w:tcBorders>
            <w:noWrap/>
            <w:vAlign w:val="center"/>
            <w:hideMark/>
          </w:tcPr>
          <w:p w14:paraId="71C20CF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RAVNE NA KOROŠKEM</w:t>
            </w:r>
          </w:p>
        </w:tc>
      </w:tr>
      <w:tr w:rsidR="00F24E18" w14:paraId="68F0A49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4390D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2127</w:t>
            </w:r>
          </w:p>
        </w:tc>
        <w:tc>
          <w:tcPr>
            <w:tcW w:w="1300" w:type="dxa"/>
            <w:tcBorders>
              <w:top w:val="nil"/>
              <w:left w:val="nil"/>
              <w:bottom w:val="single" w:sz="4" w:space="0" w:color="auto"/>
              <w:right w:val="single" w:sz="4" w:space="0" w:color="auto"/>
            </w:tcBorders>
            <w:vAlign w:val="center"/>
            <w:hideMark/>
          </w:tcPr>
          <w:p w14:paraId="3F18C04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5636558000</w:t>
            </w:r>
          </w:p>
        </w:tc>
        <w:tc>
          <w:tcPr>
            <w:tcW w:w="1012" w:type="dxa"/>
            <w:tcBorders>
              <w:top w:val="nil"/>
              <w:left w:val="nil"/>
              <w:bottom w:val="single" w:sz="4" w:space="0" w:color="auto"/>
              <w:right w:val="single" w:sz="4" w:space="0" w:color="auto"/>
            </w:tcBorders>
            <w:vAlign w:val="center"/>
            <w:hideMark/>
          </w:tcPr>
          <w:p w14:paraId="33954F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94492077</w:t>
            </w:r>
          </w:p>
        </w:tc>
        <w:tc>
          <w:tcPr>
            <w:tcW w:w="5953" w:type="dxa"/>
            <w:tcBorders>
              <w:top w:val="nil"/>
              <w:left w:val="nil"/>
              <w:bottom w:val="single" w:sz="4" w:space="0" w:color="auto"/>
              <w:right w:val="single" w:sz="4" w:space="0" w:color="auto"/>
            </w:tcBorders>
            <w:noWrap/>
            <w:vAlign w:val="center"/>
            <w:hideMark/>
          </w:tcPr>
          <w:p w14:paraId="0221E23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SEVNICA</w:t>
            </w:r>
          </w:p>
        </w:tc>
      </w:tr>
      <w:tr w:rsidR="00F24E18" w14:paraId="4F88DF56"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2E7D0D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2128</w:t>
            </w:r>
          </w:p>
        </w:tc>
        <w:tc>
          <w:tcPr>
            <w:tcW w:w="1300" w:type="dxa"/>
            <w:tcBorders>
              <w:top w:val="nil"/>
              <w:left w:val="nil"/>
              <w:bottom w:val="single" w:sz="4" w:space="0" w:color="auto"/>
              <w:right w:val="single" w:sz="4" w:space="0" w:color="auto"/>
            </w:tcBorders>
            <w:vAlign w:val="center"/>
            <w:hideMark/>
          </w:tcPr>
          <w:p w14:paraId="42437C4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5107105000</w:t>
            </w:r>
          </w:p>
        </w:tc>
        <w:tc>
          <w:tcPr>
            <w:tcW w:w="1012" w:type="dxa"/>
            <w:tcBorders>
              <w:top w:val="nil"/>
              <w:left w:val="nil"/>
              <w:bottom w:val="single" w:sz="4" w:space="0" w:color="auto"/>
              <w:right w:val="single" w:sz="4" w:space="0" w:color="auto"/>
            </w:tcBorders>
            <w:vAlign w:val="center"/>
            <w:hideMark/>
          </w:tcPr>
          <w:p w14:paraId="3202B3A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87069610</w:t>
            </w:r>
          </w:p>
        </w:tc>
        <w:tc>
          <w:tcPr>
            <w:tcW w:w="5953" w:type="dxa"/>
            <w:tcBorders>
              <w:top w:val="nil"/>
              <w:left w:val="nil"/>
              <w:bottom w:val="single" w:sz="4" w:space="0" w:color="auto"/>
              <w:right w:val="single" w:sz="4" w:space="0" w:color="auto"/>
            </w:tcBorders>
            <w:noWrap/>
            <w:vAlign w:val="center"/>
            <w:hideMark/>
          </w:tcPr>
          <w:p w14:paraId="2CB24E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SEŽANA</w:t>
            </w:r>
          </w:p>
        </w:tc>
      </w:tr>
      <w:tr w:rsidR="00F24E18" w14:paraId="67D2494F"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0ECB8A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lastRenderedPageBreak/>
              <w:t>2129</w:t>
            </w:r>
          </w:p>
        </w:tc>
        <w:tc>
          <w:tcPr>
            <w:tcW w:w="1300" w:type="dxa"/>
            <w:tcBorders>
              <w:top w:val="nil"/>
              <w:left w:val="nil"/>
              <w:bottom w:val="single" w:sz="4" w:space="0" w:color="auto"/>
              <w:right w:val="single" w:sz="4" w:space="0" w:color="auto"/>
            </w:tcBorders>
            <w:vAlign w:val="center"/>
            <w:hideMark/>
          </w:tcPr>
          <w:p w14:paraId="2475241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5054915000</w:t>
            </w:r>
          </w:p>
        </w:tc>
        <w:tc>
          <w:tcPr>
            <w:tcW w:w="1012" w:type="dxa"/>
            <w:tcBorders>
              <w:top w:val="nil"/>
              <w:left w:val="nil"/>
              <w:bottom w:val="single" w:sz="4" w:space="0" w:color="auto"/>
              <w:right w:val="single" w:sz="4" w:space="0" w:color="auto"/>
            </w:tcBorders>
            <w:vAlign w:val="center"/>
            <w:hideMark/>
          </w:tcPr>
          <w:p w14:paraId="3CF6EB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88801292</w:t>
            </w:r>
          </w:p>
        </w:tc>
        <w:tc>
          <w:tcPr>
            <w:tcW w:w="5953" w:type="dxa"/>
            <w:tcBorders>
              <w:top w:val="nil"/>
              <w:left w:val="nil"/>
              <w:bottom w:val="single" w:sz="4" w:space="0" w:color="auto"/>
              <w:right w:val="single" w:sz="4" w:space="0" w:color="auto"/>
            </w:tcBorders>
            <w:noWrap/>
            <w:vAlign w:val="center"/>
            <w:hideMark/>
          </w:tcPr>
          <w:p w14:paraId="67A95FE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SLOVENJ GRADEC</w:t>
            </w:r>
          </w:p>
        </w:tc>
      </w:tr>
      <w:tr w:rsidR="00F24E18" w14:paraId="636B83D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5354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2130</w:t>
            </w:r>
          </w:p>
        </w:tc>
        <w:tc>
          <w:tcPr>
            <w:tcW w:w="1300" w:type="dxa"/>
            <w:tcBorders>
              <w:top w:val="nil"/>
              <w:left w:val="nil"/>
              <w:bottom w:val="single" w:sz="4" w:space="0" w:color="auto"/>
              <w:right w:val="single" w:sz="4" w:space="0" w:color="auto"/>
            </w:tcBorders>
            <w:vAlign w:val="center"/>
            <w:hideMark/>
          </w:tcPr>
          <w:p w14:paraId="5CE58B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5114357000</w:t>
            </w:r>
          </w:p>
        </w:tc>
        <w:tc>
          <w:tcPr>
            <w:tcW w:w="1012" w:type="dxa"/>
            <w:tcBorders>
              <w:top w:val="nil"/>
              <w:left w:val="nil"/>
              <w:bottom w:val="single" w:sz="4" w:space="0" w:color="auto"/>
              <w:right w:val="single" w:sz="4" w:space="0" w:color="auto"/>
            </w:tcBorders>
            <w:vAlign w:val="center"/>
            <w:hideMark/>
          </w:tcPr>
          <w:p w14:paraId="6D128AB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97979287</w:t>
            </w:r>
          </w:p>
        </w:tc>
        <w:tc>
          <w:tcPr>
            <w:tcW w:w="5953" w:type="dxa"/>
            <w:tcBorders>
              <w:top w:val="nil"/>
              <w:left w:val="nil"/>
              <w:bottom w:val="single" w:sz="4" w:space="0" w:color="auto"/>
              <w:right w:val="single" w:sz="4" w:space="0" w:color="auto"/>
            </w:tcBorders>
            <w:noWrap/>
            <w:vAlign w:val="center"/>
            <w:hideMark/>
          </w:tcPr>
          <w:p w14:paraId="7B616BA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SLOVENSKA BISTRICA</w:t>
            </w:r>
          </w:p>
        </w:tc>
      </w:tr>
      <w:tr w:rsidR="00F24E18" w14:paraId="1DC7661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EAE96E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2131</w:t>
            </w:r>
          </w:p>
        </w:tc>
        <w:tc>
          <w:tcPr>
            <w:tcW w:w="1300" w:type="dxa"/>
            <w:tcBorders>
              <w:top w:val="nil"/>
              <w:left w:val="nil"/>
              <w:bottom w:val="single" w:sz="4" w:space="0" w:color="auto"/>
              <w:right w:val="single" w:sz="4" w:space="0" w:color="auto"/>
            </w:tcBorders>
            <w:vAlign w:val="center"/>
            <w:hideMark/>
          </w:tcPr>
          <w:p w14:paraId="7AE082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5630525000</w:t>
            </w:r>
          </w:p>
        </w:tc>
        <w:tc>
          <w:tcPr>
            <w:tcW w:w="1012" w:type="dxa"/>
            <w:tcBorders>
              <w:top w:val="nil"/>
              <w:left w:val="nil"/>
              <w:bottom w:val="single" w:sz="4" w:space="0" w:color="auto"/>
              <w:right w:val="single" w:sz="4" w:space="0" w:color="auto"/>
            </w:tcBorders>
            <w:vAlign w:val="center"/>
            <w:hideMark/>
          </w:tcPr>
          <w:p w14:paraId="120891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72048131</w:t>
            </w:r>
          </w:p>
        </w:tc>
        <w:tc>
          <w:tcPr>
            <w:tcW w:w="5953" w:type="dxa"/>
            <w:tcBorders>
              <w:top w:val="nil"/>
              <w:left w:val="nil"/>
              <w:bottom w:val="single" w:sz="4" w:space="0" w:color="auto"/>
              <w:right w:val="single" w:sz="4" w:space="0" w:color="auto"/>
            </w:tcBorders>
            <w:noWrap/>
            <w:vAlign w:val="center"/>
            <w:hideMark/>
          </w:tcPr>
          <w:p w14:paraId="6DC79C6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SLOVENSKE KONJICE</w:t>
            </w:r>
          </w:p>
        </w:tc>
      </w:tr>
      <w:tr w:rsidR="00F24E18" w14:paraId="4917E8C5"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A38DC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2132</w:t>
            </w:r>
          </w:p>
        </w:tc>
        <w:tc>
          <w:tcPr>
            <w:tcW w:w="1300" w:type="dxa"/>
            <w:tcBorders>
              <w:top w:val="nil"/>
              <w:left w:val="nil"/>
              <w:bottom w:val="single" w:sz="4" w:space="0" w:color="auto"/>
              <w:right w:val="single" w:sz="4" w:space="0" w:color="auto"/>
            </w:tcBorders>
            <w:noWrap/>
            <w:vAlign w:val="center"/>
            <w:hideMark/>
          </w:tcPr>
          <w:p w14:paraId="6E8362A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5630509000</w:t>
            </w:r>
          </w:p>
        </w:tc>
        <w:tc>
          <w:tcPr>
            <w:tcW w:w="1012" w:type="dxa"/>
            <w:tcBorders>
              <w:top w:val="nil"/>
              <w:left w:val="nil"/>
              <w:bottom w:val="single" w:sz="4" w:space="0" w:color="auto"/>
              <w:right w:val="single" w:sz="4" w:space="0" w:color="auto"/>
            </w:tcBorders>
            <w:noWrap/>
            <w:vAlign w:val="center"/>
            <w:hideMark/>
          </w:tcPr>
          <w:p w14:paraId="416BE26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45417539</w:t>
            </w:r>
          </w:p>
        </w:tc>
        <w:tc>
          <w:tcPr>
            <w:tcW w:w="5953" w:type="dxa"/>
            <w:tcBorders>
              <w:top w:val="nil"/>
              <w:left w:val="nil"/>
              <w:bottom w:val="single" w:sz="4" w:space="0" w:color="auto"/>
              <w:right w:val="single" w:sz="4" w:space="0" w:color="auto"/>
            </w:tcBorders>
            <w:noWrap/>
            <w:vAlign w:val="center"/>
            <w:hideMark/>
          </w:tcPr>
          <w:p w14:paraId="62D9658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ŠENTJUR</w:t>
            </w:r>
          </w:p>
        </w:tc>
      </w:tr>
      <w:tr w:rsidR="00F24E18" w14:paraId="096BDE5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5499E6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2133</w:t>
            </w:r>
          </w:p>
        </w:tc>
        <w:tc>
          <w:tcPr>
            <w:tcW w:w="1300" w:type="dxa"/>
            <w:tcBorders>
              <w:top w:val="nil"/>
              <w:left w:val="nil"/>
              <w:bottom w:val="single" w:sz="4" w:space="0" w:color="auto"/>
              <w:right w:val="single" w:sz="4" w:space="0" w:color="auto"/>
            </w:tcBorders>
            <w:vAlign w:val="center"/>
            <w:hideMark/>
          </w:tcPr>
          <w:p w14:paraId="644F21F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5630517000</w:t>
            </w:r>
          </w:p>
        </w:tc>
        <w:tc>
          <w:tcPr>
            <w:tcW w:w="1012" w:type="dxa"/>
            <w:tcBorders>
              <w:top w:val="nil"/>
              <w:left w:val="nil"/>
              <w:bottom w:val="single" w:sz="4" w:space="0" w:color="auto"/>
              <w:right w:val="single" w:sz="4" w:space="0" w:color="auto"/>
            </w:tcBorders>
            <w:vAlign w:val="center"/>
            <w:hideMark/>
          </w:tcPr>
          <w:p w14:paraId="4AD722A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58073868</w:t>
            </w:r>
          </w:p>
        </w:tc>
        <w:tc>
          <w:tcPr>
            <w:tcW w:w="5953" w:type="dxa"/>
            <w:tcBorders>
              <w:top w:val="nil"/>
              <w:left w:val="nil"/>
              <w:bottom w:val="single" w:sz="4" w:space="0" w:color="auto"/>
              <w:right w:val="single" w:sz="4" w:space="0" w:color="auto"/>
            </w:tcBorders>
            <w:noWrap/>
            <w:vAlign w:val="center"/>
            <w:hideMark/>
          </w:tcPr>
          <w:p w14:paraId="3A59284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ŠMARJE PRI JELŠAH</w:t>
            </w:r>
          </w:p>
        </w:tc>
      </w:tr>
      <w:tr w:rsidR="00F24E18" w14:paraId="06EAF969"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A3CF38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2134</w:t>
            </w:r>
          </w:p>
        </w:tc>
        <w:tc>
          <w:tcPr>
            <w:tcW w:w="1300" w:type="dxa"/>
            <w:tcBorders>
              <w:top w:val="nil"/>
              <w:left w:val="nil"/>
              <w:bottom w:val="single" w:sz="4" w:space="0" w:color="auto"/>
              <w:right w:val="single" w:sz="4" w:space="0" w:color="auto"/>
            </w:tcBorders>
            <w:vAlign w:val="center"/>
            <w:hideMark/>
          </w:tcPr>
          <w:p w14:paraId="5F56CED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5107156000</w:t>
            </w:r>
          </w:p>
        </w:tc>
        <w:tc>
          <w:tcPr>
            <w:tcW w:w="1012" w:type="dxa"/>
            <w:tcBorders>
              <w:top w:val="nil"/>
              <w:left w:val="nil"/>
              <w:bottom w:val="single" w:sz="4" w:space="0" w:color="auto"/>
              <w:right w:val="single" w:sz="4" w:space="0" w:color="auto"/>
            </w:tcBorders>
            <w:vAlign w:val="center"/>
            <w:hideMark/>
          </w:tcPr>
          <w:p w14:paraId="204AF22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51727781</w:t>
            </w:r>
          </w:p>
        </w:tc>
        <w:tc>
          <w:tcPr>
            <w:tcW w:w="5953" w:type="dxa"/>
            <w:tcBorders>
              <w:top w:val="nil"/>
              <w:left w:val="nil"/>
              <w:bottom w:val="single" w:sz="4" w:space="0" w:color="auto"/>
              <w:right w:val="single" w:sz="4" w:space="0" w:color="auto"/>
            </w:tcBorders>
            <w:noWrap/>
            <w:vAlign w:val="center"/>
            <w:hideMark/>
          </w:tcPr>
          <w:p w14:paraId="763915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TOLMIN</w:t>
            </w:r>
          </w:p>
        </w:tc>
      </w:tr>
      <w:tr w:rsidR="00F24E18" w14:paraId="37F1609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F6EF3E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2135</w:t>
            </w:r>
          </w:p>
        </w:tc>
        <w:tc>
          <w:tcPr>
            <w:tcW w:w="1300" w:type="dxa"/>
            <w:tcBorders>
              <w:top w:val="nil"/>
              <w:left w:val="nil"/>
              <w:bottom w:val="single" w:sz="4" w:space="0" w:color="auto"/>
              <w:right w:val="single" w:sz="4" w:space="0" w:color="auto"/>
            </w:tcBorders>
            <w:vAlign w:val="center"/>
            <w:hideMark/>
          </w:tcPr>
          <w:p w14:paraId="5E8FDF0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5063094000</w:t>
            </w:r>
          </w:p>
        </w:tc>
        <w:tc>
          <w:tcPr>
            <w:tcW w:w="1012" w:type="dxa"/>
            <w:tcBorders>
              <w:top w:val="nil"/>
              <w:left w:val="nil"/>
              <w:bottom w:val="single" w:sz="4" w:space="0" w:color="auto"/>
              <w:right w:val="single" w:sz="4" w:space="0" w:color="auto"/>
            </w:tcBorders>
            <w:vAlign w:val="center"/>
            <w:hideMark/>
          </w:tcPr>
          <w:p w14:paraId="506CD28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17119324</w:t>
            </w:r>
          </w:p>
        </w:tc>
        <w:tc>
          <w:tcPr>
            <w:tcW w:w="5953" w:type="dxa"/>
            <w:tcBorders>
              <w:top w:val="nil"/>
              <w:left w:val="nil"/>
              <w:bottom w:val="single" w:sz="4" w:space="0" w:color="auto"/>
              <w:right w:val="single" w:sz="4" w:space="0" w:color="auto"/>
            </w:tcBorders>
            <w:noWrap/>
            <w:vAlign w:val="center"/>
            <w:hideMark/>
          </w:tcPr>
          <w:p w14:paraId="79D693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TRBOVLJE</w:t>
            </w:r>
          </w:p>
        </w:tc>
      </w:tr>
      <w:tr w:rsidR="00F24E18" w14:paraId="1FFE808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212519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2136</w:t>
            </w:r>
          </w:p>
        </w:tc>
        <w:tc>
          <w:tcPr>
            <w:tcW w:w="1300" w:type="dxa"/>
            <w:tcBorders>
              <w:top w:val="nil"/>
              <w:left w:val="nil"/>
              <w:bottom w:val="single" w:sz="4" w:space="0" w:color="auto"/>
              <w:right w:val="single" w:sz="4" w:space="0" w:color="auto"/>
            </w:tcBorders>
            <w:vAlign w:val="center"/>
            <w:hideMark/>
          </w:tcPr>
          <w:p w14:paraId="53D139E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5054583000</w:t>
            </w:r>
          </w:p>
        </w:tc>
        <w:tc>
          <w:tcPr>
            <w:tcW w:w="1012" w:type="dxa"/>
            <w:tcBorders>
              <w:top w:val="nil"/>
              <w:left w:val="nil"/>
              <w:bottom w:val="single" w:sz="4" w:space="0" w:color="auto"/>
              <w:right w:val="single" w:sz="4" w:space="0" w:color="auto"/>
            </w:tcBorders>
            <w:vAlign w:val="center"/>
            <w:hideMark/>
          </w:tcPr>
          <w:p w14:paraId="1CA6BB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99797275</w:t>
            </w:r>
          </w:p>
        </w:tc>
        <w:tc>
          <w:tcPr>
            <w:tcW w:w="5953" w:type="dxa"/>
            <w:tcBorders>
              <w:top w:val="nil"/>
              <w:left w:val="nil"/>
              <w:bottom w:val="single" w:sz="4" w:space="0" w:color="auto"/>
              <w:right w:val="single" w:sz="4" w:space="0" w:color="auto"/>
            </w:tcBorders>
            <w:noWrap/>
            <w:vAlign w:val="center"/>
            <w:hideMark/>
          </w:tcPr>
          <w:p w14:paraId="4372A3B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TREBNJE</w:t>
            </w:r>
          </w:p>
        </w:tc>
      </w:tr>
      <w:tr w:rsidR="00F24E18" w14:paraId="6A992FC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194F8C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2137</w:t>
            </w:r>
          </w:p>
        </w:tc>
        <w:tc>
          <w:tcPr>
            <w:tcW w:w="1300" w:type="dxa"/>
            <w:tcBorders>
              <w:top w:val="nil"/>
              <w:left w:val="nil"/>
              <w:bottom w:val="single" w:sz="4" w:space="0" w:color="auto"/>
              <w:right w:val="single" w:sz="4" w:space="0" w:color="auto"/>
            </w:tcBorders>
            <w:vAlign w:val="center"/>
            <w:hideMark/>
          </w:tcPr>
          <w:p w14:paraId="4B19E12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5820456000</w:t>
            </w:r>
          </w:p>
        </w:tc>
        <w:tc>
          <w:tcPr>
            <w:tcW w:w="1012" w:type="dxa"/>
            <w:tcBorders>
              <w:top w:val="nil"/>
              <w:left w:val="nil"/>
              <w:bottom w:val="single" w:sz="4" w:space="0" w:color="auto"/>
              <w:right w:val="single" w:sz="4" w:space="0" w:color="auto"/>
            </w:tcBorders>
            <w:vAlign w:val="center"/>
            <w:hideMark/>
          </w:tcPr>
          <w:p w14:paraId="3ADFB21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13920235</w:t>
            </w:r>
          </w:p>
        </w:tc>
        <w:tc>
          <w:tcPr>
            <w:tcW w:w="5953" w:type="dxa"/>
            <w:tcBorders>
              <w:top w:val="nil"/>
              <w:left w:val="nil"/>
              <w:bottom w:val="single" w:sz="4" w:space="0" w:color="auto"/>
              <w:right w:val="single" w:sz="4" w:space="0" w:color="auto"/>
            </w:tcBorders>
            <w:noWrap/>
            <w:vAlign w:val="center"/>
            <w:hideMark/>
          </w:tcPr>
          <w:p w14:paraId="32BF29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VELENJE</w:t>
            </w:r>
          </w:p>
        </w:tc>
      </w:tr>
      <w:tr w:rsidR="00F24E18" w14:paraId="6FBA4C74"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CBA56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2138</w:t>
            </w:r>
          </w:p>
        </w:tc>
        <w:tc>
          <w:tcPr>
            <w:tcW w:w="1300" w:type="dxa"/>
            <w:tcBorders>
              <w:top w:val="nil"/>
              <w:left w:val="nil"/>
              <w:bottom w:val="single" w:sz="4" w:space="0" w:color="auto"/>
              <w:right w:val="single" w:sz="4" w:space="0" w:color="auto"/>
            </w:tcBorders>
            <w:vAlign w:val="center"/>
            <w:hideMark/>
          </w:tcPr>
          <w:p w14:paraId="4C949F9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5158834000</w:t>
            </w:r>
          </w:p>
        </w:tc>
        <w:tc>
          <w:tcPr>
            <w:tcW w:w="1012" w:type="dxa"/>
            <w:tcBorders>
              <w:top w:val="nil"/>
              <w:left w:val="nil"/>
              <w:bottom w:val="single" w:sz="4" w:space="0" w:color="auto"/>
              <w:right w:val="single" w:sz="4" w:space="0" w:color="auto"/>
            </w:tcBorders>
            <w:vAlign w:val="center"/>
            <w:hideMark/>
          </w:tcPr>
          <w:p w14:paraId="7CBBD29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19577460</w:t>
            </w:r>
          </w:p>
        </w:tc>
        <w:tc>
          <w:tcPr>
            <w:tcW w:w="5953" w:type="dxa"/>
            <w:tcBorders>
              <w:top w:val="nil"/>
              <w:left w:val="nil"/>
              <w:bottom w:val="single" w:sz="4" w:space="0" w:color="auto"/>
              <w:right w:val="single" w:sz="4" w:space="0" w:color="auto"/>
            </w:tcBorders>
            <w:noWrap/>
            <w:vAlign w:val="center"/>
            <w:hideMark/>
          </w:tcPr>
          <w:p w14:paraId="4C8A465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VRHNIKA</w:t>
            </w:r>
          </w:p>
        </w:tc>
      </w:tr>
      <w:tr w:rsidR="00F24E18" w14:paraId="1B6D5BF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913E2D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2139</w:t>
            </w:r>
          </w:p>
        </w:tc>
        <w:tc>
          <w:tcPr>
            <w:tcW w:w="1300" w:type="dxa"/>
            <w:tcBorders>
              <w:top w:val="nil"/>
              <w:left w:val="nil"/>
              <w:bottom w:val="single" w:sz="4" w:space="0" w:color="auto"/>
              <w:right w:val="single" w:sz="4" w:space="0" w:color="auto"/>
            </w:tcBorders>
            <w:noWrap/>
            <w:vAlign w:val="center"/>
            <w:hideMark/>
          </w:tcPr>
          <w:p w14:paraId="6AF2571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5700817000</w:t>
            </w:r>
          </w:p>
        </w:tc>
        <w:tc>
          <w:tcPr>
            <w:tcW w:w="1012" w:type="dxa"/>
            <w:tcBorders>
              <w:top w:val="nil"/>
              <w:left w:val="nil"/>
              <w:bottom w:val="single" w:sz="4" w:space="0" w:color="auto"/>
              <w:right w:val="single" w:sz="4" w:space="0" w:color="auto"/>
            </w:tcBorders>
            <w:noWrap/>
            <w:vAlign w:val="center"/>
            <w:hideMark/>
          </w:tcPr>
          <w:p w14:paraId="6E046A1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42997186</w:t>
            </w:r>
          </w:p>
        </w:tc>
        <w:tc>
          <w:tcPr>
            <w:tcW w:w="5953" w:type="dxa"/>
            <w:tcBorders>
              <w:top w:val="nil"/>
              <w:left w:val="nil"/>
              <w:bottom w:val="single" w:sz="4" w:space="0" w:color="auto"/>
              <w:right w:val="single" w:sz="4" w:space="0" w:color="auto"/>
            </w:tcBorders>
            <w:noWrap/>
            <w:vAlign w:val="center"/>
            <w:hideMark/>
          </w:tcPr>
          <w:p w14:paraId="3A66F90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ZA ŠTUDENTE UNIVERZE V LJUBLJANI</w:t>
            </w:r>
          </w:p>
        </w:tc>
      </w:tr>
      <w:tr w:rsidR="00F24E18" w14:paraId="2A236663"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D6CD57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2140</w:t>
            </w:r>
          </w:p>
        </w:tc>
        <w:tc>
          <w:tcPr>
            <w:tcW w:w="1300" w:type="dxa"/>
            <w:tcBorders>
              <w:top w:val="nil"/>
              <w:left w:val="nil"/>
              <w:bottom w:val="single" w:sz="4" w:space="0" w:color="auto"/>
              <w:right w:val="single" w:sz="4" w:space="0" w:color="auto"/>
            </w:tcBorders>
            <w:vAlign w:val="center"/>
            <w:hideMark/>
          </w:tcPr>
          <w:p w14:paraId="6345F0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5063108000</w:t>
            </w:r>
          </w:p>
        </w:tc>
        <w:tc>
          <w:tcPr>
            <w:tcW w:w="1012" w:type="dxa"/>
            <w:tcBorders>
              <w:top w:val="nil"/>
              <w:left w:val="nil"/>
              <w:bottom w:val="single" w:sz="4" w:space="0" w:color="auto"/>
              <w:right w:val="single" w:sz="4" w:space="0" w:color="auto"/>
            </w:tcBorders>
            <w:vAlign w:val="center"/>
            <w:hideMark/>
          </w:tcPr>
          <w:p w14:paraId="0D264AC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89472861</w:t>
            </w:r>
          </w:p>
        </w:tc>
        <w:tc>
          <w:tcPr>
            <w:tcW w:w="5953" w:type="dxa"/>
            <w:tcBorders>
              <w:top w:val="nil"/>
              <w:left w:val="nil"/>
              <w:bottom w:val="single" w:sz="4" w:space="0" w:color="auto"/>
              <w:right w:val="single" w:sz="4" w:space="0" w:color="auto"/>
            </w:tcBorders>
            <w:noWrap/>
            <w:vAlign w:val="center"/>
            <w:hideMark/>
          </w:tcPr>
          <w:p w14:paraId="110FE7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ZAGORJE OB SAVI CESTA ZMAGE 1</w:t>
            </w:r>
          </w:p>
        </w:tc>
      </w:tr>
      <w:tr w:rsidR="00F24E18" w14:paraId="15C9411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B1BA5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2141</w:t>
            </w:r>
          </w:p>
        </w:tc>
        <w:tc>
          <w:tcPr>
            <w:tcW w:w="1300" w:type="dxa"/>
            <w:tcBorders>
              <w:top w:val="nil"/>
              <w:left w:val="nil"/>
              <w:bottom w:val="single" w:sz="4" w:space="0" w:color="auto"/>
              <w:right w:val="single" w:sz="4" w:space="0" w:color="auto"/>
            </w:tcBorders>
            <w:vAlign w:val="center"/>
            <w:hideMark/>
          </w:tcPr>
          <w:p w14:paraId="5EAFC3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5107172000</w:t>
            </w:r>
          </w:p>
        </w:tc>
        <w:tc>
          <w:tcPr>
            <w:tcW w:w="1012" w:type="dxa"/>
            <w:tcBorders>
              <w:top w:val="nil"/>
              <w:left w:val="nil"/>
              <w:bottom w:val="single" w:sz="4" w:space="0" w:color="auto"/>
              <w:right w:val="single" w:sz="4" w:space="0" w:color="auto"/>
            </w:tcBorders>
            <w:vAlign w:val="center"/>
            <w:hideMark/>
          </w:tcPr>
          <w:p w14:paraId="17DE78D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22312650</w:t>
            </w:r>
          </w:p>
        </w:tc>
        <w:tc>
          <w:tcPr>
            <w:tcW w:w="5953" w:type="dxa"/>
            <w:tcBorders>
              <w:top w:val="nil"/>
              <w:left w:val="nil"/>
              <w:bottom w:val="single" w:sz="4" w:space="0" w:color="auto"/>
              <w:right w:val="single" w:sz="4" w:space="0" w:color="auto"/>
            </w:tcBorders>
            <w:noWrap/>
            <w:vAlign w:val="center"/>
            <w:hideMark/>
          </w:tcPr>
          <w:p w14:paraId="4CCDFF5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ZDRAVSTVENI DOM ZOBOZDRAVSTVENO VARSTVO NOVA GORICA</w:t>
            </w:r>
          </w:p>
        </w:tc>
      </w:tr>
      <w:tr w:rsidR="00F24E18" w14:paraId="793F214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4D1CCD7"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2142</w:t>
            </w:r>
          </w:p>
        </w:tc>
        <w:tc>
          <w:tcPr>
            <w:tcW w:w="1300" w:type="dxa"/>
            <w:tcBorders>
              <w:top w:val="nil"/>
              <w:left w:val="nil"/>
              <w:bottom w:val="single" w:sz="4" w:space="0" w:color="auto"/>
              <w:right w:val="single" w:sz="4" w:space="0" w:color="auto"/>
            </w:tcBorders>
            <w:vAlign w:val="center"/>
            <w:hideMark/>
          </w:tcPr>
          <w:p w14:paraId="5FAC3FA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5054923000</w:t>
            </w:r>
          </w:p>
        </w:tc>
        <w:tc>
          <w:tcPr>
            <w:tcW w:w="1012" w:type="dxa"/>
            <w:tcBorders>
              <w:top w:val="nil"/>
              <w:left w:val="nil"/>
              <w:bottom w:val="single" w:sz="4" w:space="0" w:color="auto"/>
              <w:right w:val="single" w:sz="4" w:space="0" w:color="auto"/>
            </w:tcBorders>
            <w:vAlign w:val="center"/>
            <w:hideMark/>
          </w:tcPr>
          <w:p w14:paraId="6E11D0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60994614</w:t>
            </w:r>
          </w:p>
        </w:tc>
        <w:tc>
          <w:tcPr>
            <w:tcW w:w="5953" w:type="dxa"/>
            <w:tcBorders>
              <w:top w:val="nil"/>
              <w:left w:val="nil"/>
              <w:bottom w:val="single" w:sz="4" w:space="0" w:color="auto"/>
              <w:right w:val="single" w:sz="4" w:space="0" w:color="auto"/>
            </w:tcBorders>
            <w:noWrap/>
            <w:vAlign w:val="center"/>
            <w:hideMark/>
          </w:tcPr>
          <w:p w14:paraId="3C67E81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ZDRAVSTVENO REŠEVALNI CENTER KOROŠKE</w:t>
            </w:r>
          </w:p>
        </w:tc>
      </w:tr>
      <w:tr w:rsidR="00F24E18" w14:paraId="6543F4D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5EB9A3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2143</w:t>
            </w:r>
          </w:p>
        </w:tc>
        <w:tc>
          <w:tcPr>
            <w:tcW w:w="1300" w:type="dxa"/>
            <w:tcBorders>
              <w:top w:val="nil"/>
              <w:left w:val="nil"/>
              <w:bottom w:val="single" w:sz="4" w:space="0" w:color="auto"/>
              <w:right w:val="single" w:sz="4" w:space="0" w:color="auto"/>
            </w:tcBorders>
            <w:noWrap/>
            <w:vAlign w:val="center"/>
            <w:hideMark/>
          </w:tcPr>
          <w:p w14:paraId="3A884DD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1621645000</w:t>
            </w:r>
          </w:p>
        </w:tc>
        <w:tc>
          <w:tcPr>
            <w:tcW w:w="1012" w:type="dxa"/>
            <w:tcBorders>
              <w:top w:val="nil"/>
              <w:left w:val="nil"/>
              <w:bottom w:val="single" w:sz="4" w:space="0" w:color="auto"/>
              <w:right w:val="single" w:sz="4" w:space="0" w:color="auto"/>
            </w:tcBorders>
            <w:noWrap/>
            <w:vAlign w:val="center"/>
            <w:hideMark/>
          </w:tcPr>
          <w:p w14:paraId="1A1F998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14486199</w:t>
            </w:r>
          </w:p>
        </w:tc>
        <w:tc>
          <w:tcPr>
            <w:tcW w:w="5953" w:type="dxa"/>
            <w:tcBorders>
              <w:top w:val="nil"/>
              <w:left w:val="nil"/>
              <w:bottom w:val="single" w:sz="4" w:space="0" w:color="auto"/>
              <w:right w:val="single" w:sz="4" w:space="0" w:color="auto"/>
            </w:tcBorders>
            <w:noWrap/>
            <w:vAlign w:val="center"/>
            <w:hideMark/>
          </w:tcPr>
          <w:p w14:paraId="4951E1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ZDRUŽENJE OBČIN SLOVENIJE</w:t>
            </w:r>
          </w:p>
        </w:tc>
      </w:tr>
      <w:tr w:rsidR="00F24E18" w14:paraId="23F005DB"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B13B43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2144</w:t>
            </w:r>
          </w:p>
        </w:tc>
        <w:tc>
          <w:tcPr>
            <w:tcW w:w="1300" w:type="dxa"/>
            <w:tcBorders>
              <w:top w:val="nil"/>
              <w:left w:val="nil"/>
              <w:bottom w:val="single" w:sz="4" w:space="0" w:color="auto"/>
              <w:right w:val="single" w:sz="4" w:space="0" w:color="auto"/>
            </w:tcBorders>
            <w:vAlign w:val="center"/>
            <w:hideMark/>
          </w:tcPr>
          <w:p w14:paraId="3DF4937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5054087000</w:t>
            </w:r>
          </w:p>
        </w:tc>
        <w:tc>
          <w:tcPr>
            <w:tcW w:w="1012" w:type="dxa"/>
            <w:tcBorders>
              <w:top w:val="nil"/>
              <w:left w:val="nil"/>
              <w:bottom w:val="single" w:sz="4" w:space="0" w:color="auto"/>
              <w:right w:val="single" w:sz="4" w:space="0" w:color="auto"/>
            </w:tcBorders>
            <w:vAlign w:val="center"/>
            <w:hideMark/>
          </w:tcPr>
          <w:p w14:paraId="6ACA2A2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19145837</w:t>
            </w:r>
          </w:p>
        </w:tc>
        <w:tc>
          <w:tcPr>
            <w:tcW w:w="5953" w:type="dxa"/>
            <w:tcBorders>
              <w:top w:val="nil"/>
              <w:left w:val="nil"/>
              <w:bottom w:val="single" w:sz="4" w:space="0" w:color="auto"/>
              <w:right w:val="single" w:sz="4" w:space="0" w:color="auto"/>
            </w:tcBorders>
            <w:noWrap/>
            <w:vAlign w:val="center"/>
            <w:hideMark/>
          </w:tcPr>
          <w:p w14:paraId="68BFDF8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ZDRUŽENJE ZDRAVSTVENIH ZAVODOV SLOVENIJE</w:t>
            </w:r>
          </w:p>
        </w:tc>
      </w:tr>
      <w:tr w:rsidR="00F24E18" w14:paraId="0989181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4A1D700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2145</w:t>
            </w:r>
          </w:p>
        </w:tc>
        <w:tc>
          <w:tcPr>
            <w:tcW w:w="1300" w:type="dxa"/>
            <w:tcBorders>
              <w:top w:val="nil"/>
              <w:left w:val="nil"/>
              <w:bottom w:val="single" w:sz="4" w:space="0" w:color="auto"/>
              <w:right w:val="single" w:sz="4" w:space="0" w:color="auto"/>
            </w:tcBorders>
            <w:noWrap/>
            <w:vAlign w:val="center"/>
            <w:hideMark/>
          </w:tcPr>
          <w:p w14:paraId="665FDC1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5052459000</w:t>
            </w:r>
          </w:p>
        </w:tc>
        <w:tc>
          <w:tcPr>
            <w:tcW w:w="1012" w:type="dxa"/>
            <w:tcBorders>
              <w:top w:val="nil"/>
              <w:left w:val="nil"/>
              <w:bottom w:val="single" w:sz="4" w:space="0" w:color="auto"/>
              <w:right w:val="single" w:sz="4" w:space="0" w:color="auto"/>
            </w:tcBorders>
            <w:noWrap/>
            <w:vAlign w:val="center"/>
            <w:hideMark/>
          </w:tcPr>
          <w:p w14:paraId="068A470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47341785</w:t>
            </w:r>
          </w:p>
        </w:tc>
        <w:tc>
          <w:tcPr>
            <w:tcW w:w="5953" w:type="dxa"/>
            <w:tcBorders>
              <w:top w:val="nil"/>
              <w:left w:val="nil"/>
              <w:bottom w:val="single" w:sz="4" w:space="0" w:color="auto"/>
              <w:right w:val="single" w:sz="4" w:space="0" w:color="auto"/>
            </w:tcBorders>
            <w:noWrap/>
            <w:vAlign w:val="center"/>
            <w:hideMark/>
          </w:tcPr>
          <w:p w14:paraId="01D2A82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ZGODOVINSKI ARHIV CELJE</w:t>
            </w:r>
          </w:p>
        </w:tc>
      </w:tr>
      <w:tr w:rsidR="00F24E18" w14:paraId="07A15E51"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B6DE7D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2146</w:t>
            </w:r>
          </w:p>
        </w:tc>
        <w:tc>
          <w:tcPr>
            <w:tcW w:w="1300" w:type="dxa"/>
            <w:tcBorders>
              <w:top w:val="nil"/>
              <w:left w:val="nil"/>
              <w:bottom w:val="single" w:sz="4" w:space="0" w:color="auto"/>
              <w:right w:val="single" w:sz="4" w:space="0" w:color="auto"/>
            </w:tcBorders>
            <w:noWrap/>
            <w:vAlign w:val="center"/>
            <w:hideMark/>
          </w:tcPr>
          <w:p w14:paraId="72654BB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5052041000</w:t>
            </w:r>
          </w:p>
        </w:tc>
        <w:tc>
          <w:tcPr>
            <w:tcW w:w="1012" w:type="dxa"/>
            <w:tcBorders>
              <w:top w:val="nil"/>
              <w:left w:val="nil"/>
              <w:bottom w:val="single" w:sz="4" w:space="0" w:color="auto"/>
              <w:right w:val="single" w:sz="4" w:space="0" w:color="auto"/>
            </w:tcBorders>
            <w:noWrap/>
            <w:vAlign w:val="center"/>
            <w:hideMark/>
          </w:tcPr>
          <w:p w14:paraId="331683D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26248522</w:t>
            </w:r>
          </w:p>
        </w:tc>
        <w:tc>
          <w:tcPr>
            <w:tcW w:w="5953" w:type="dxa"/>
            <w:tcBorders>
              <w:top w:val="nil"/>
              <w:left w:val="nil"/>
              <w:bottom w:val="single" w:sz="4" w:space="0" w:color="auto"/>
              <w:right w:val="single" w:sz="4" w:space="0" w:color="auto"/>
            </w:tcBorders>
            <w:noWrap/>
            <w:vAlign w:val="center"/>
            <w:hideMark/>
          </w:tcPr>
          <w:p w14:paraId="01CBEF2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ZGODOVINSKI ARHIV LJUBLJANA</w:t>
            </w:r>
          </w:p>
        </w:tc>
      </w:tr>
      <w:tr w:rsidR="00F24E18" w14:paraId="6188E55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4AC0C0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2147</w:t>
            </w:r>
          </w:p>
        </w:tc>
        <w:tc>
          <w:tcPr>
            <w:tcW w:w="1300" w:type="dxa"/>
            <w:tcBorders>
              <w:top w:val="nil"/>
              <w:left w:val="nil"/>
              <w:bottom w:val="single" w:sz="4" w:space="0" w:color="auto"/>
              <w:right w:val="single" w:sz="4" w:space="0" w:color="auto"/>
            </w:tcBorders>
            <w:noWrap/>
            <w:vAlign w:val="center"/>
            <w:hideMark/>
          </w:tcPr>
          <w:p w14:paraId="6756B87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5052807000</w:t>
            </w:r>
          </w:p>
        </w:tc>
        <w:tc>
          <w:tcPr>
            <w:tcW w:w="1012" w:type="dxa"/>
            <w:tcBorders>
              <w:top w:val="nil"/>
              <w:left w:val="nil"/>
              <w:bottom w:val="single" w:sz="4" w:space="0" w:color="auto"/>
              <w:right w:val="single" w:sz="4" w:space="0" w:color="auto"/>
            </w:tcBorders>
            <w:noWrap/>
            <w:vAlign w:val="center"/>
            <w:hideMark/>
          </w:tcPr>
          <w:p w14:paraId="04EF537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86007084</w:t>
            </w:r>
          </w:p>
        </w:tc>
        <w:tc>
          <w:tcPr>
            <w:tcW w:w="5953" w:type="dxa"/>
            <w:tcBorders>
              <w:top w:val="nil"/>
              <w:left w:val="nil"/>
              <w:bottom w:val="single" w:sz="4" w:space="0" w:color="auto"/>
              <w:right w:val="single" w:sz="4" w:space="0" w:color="auto"/>
            </w:tcBorders>
            <w:noWrap/>
            <w:vAlign w:val="center"/>
            <w:hideMark/>
          </w:tcPr>
          <w:p w14:paraId="6C61085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ZGODOVINSKI ARHIV NA PTUJU</w:t>
            </w:r>
          </w:p>
        </w:tc>
      </w:tr>
      <w:tr w:rsidR="00F24E18" w14:paraId="121467DE"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5BD3133F"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2148</w:t>
            </w:r>
          </w:p>
        </w:tc>
        <w:tc>
          <w:tcPr>
            <w:tcW w:w="1300" w:type="dxa"/>
            <w:tcBorders>
              <w:top w:val="nil"/>
              <w:left w:val="nil"/>
              <w:bottom w:val="single" w:sz="4" w:space="0" w:color="auto"/>
              <w:right w:val="single" w:sz="4" w:space="0" w:color="auto"/>
            </w:tcBorders>
            <w:vAlign w:val="center"/>
            <w:hideMark/>
          </w:tcPr>
          <w:p w14:paraId="4B962D2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5206642000</w:t>
            </w:r>
          </w:p>
        </w:tc>
        <w:tc>
          <w:tcPr>
            <w:tcW w:w="1012" w:type="dxa"/>
            <w:tcBorders>
              <w:top w:val="nil"/>
              <w:left w:val="nil"/>
              <w:bottom w:val="single" w:sz="4" w:space="0" w:color="auto"/>
              <w:right w:val="single" w:sz="4" w:space="0" w:color="auto"/>
            </w:tcBorders>
            <w:vAlign w:val="center"/>
            <w:hideMark/>
          </w:tcPr>
          <w:p w14:paraId="5B4F262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43345654</w:t>
            </w:r>
          </w:p>
        </w:tc>
        <w:tc>
          <w:tcPr>
            <w:tcW w:w="5953" w:type="dxa"/>
            <w:tcBorders>
              <w:top w:val="nil"/>
              <w:left w:val="nil"/>
              <w:bottom w:val="single" w:sz="4" w:space="0" w:color="auto"/>
              <w:right w:val="single" w:sz="4" w:space="0" w:color="auto"/>
            </w:tcBorders>
            <w:noWrap/>
            <w:vAlign w:val="center"/>
            <w:hideMark/>
          </w:tcPr>
          <w:p w14:paraId="0676AE9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ZGORNJESAVINJSKI ZDRAVSTVENI DOM NAZARJE</w:t>
            </w:r>
          </w:p>
        </w:tc>
      </w:tr>
      <w:tr w:rsidR="00F24E18" w14:paraId="32FC38BC"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33E16C0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2149</w:t>
            </w:r>
          </w:p>
        </w:tc>
        <w:tc>
          <w:tcPr>
            <w:tcW w:w="1300" w:type="dxa"/>
            <w:tcBorders>
              <w:top w:val="nil"/>
              <w:left w:val="nil"/>
              <w:bottom w:val="single" w:sz="4" w:space="0" w:color="auto"/>
              <w:right w:val="single" w:sz="4" w:space="0" w:color="auto"/>
            </w:tcBorders>
            <w:noWrap/>
            <w:vAlign w:val="center"/>
            <w:hideMark/>
          </w:tcPr>
          <w:p w14:paraId="69FAA4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1708473000</w:t>
            </w:r>
          </w:p>
        </w:tc>
        <w:tc>
          <w:tcPr>
            <w:tcW w:w="1012" w:type="dxa"/>
            <w:tcBorders>
              <w:top w:val="nil"/>
              <w:left w:val="nil"/>
              <w:bottom w:val="single" w:sz="4" w:space="0" w:color="auto"/>
              <w:right w:val="single" w:sz="4" w:space="0" w:color="auto"/>
            </w:tcBorders>
            <w:noWrap/>
            <w:vAlign w:val="center"/>
            <w:hideMark/>
          </w:tcPr>
          <w:p w14:paraId="4F9539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34099921</w:t>
            </w:r>
          </w:p>
        </w:tc>
        <w:tc>
          <w:tcPr>
            <w:tcW w:w="5953" w:type="dxa"/>
            <w:tcBorders>
              <w:top w:val="nil"/>
              <w:left w:val="nil"/>
              <w:bottom w:val="single" w:sz="4" w:space="0" w:color="auto"/>
              <w:right w:val="single" w:sz="4" w:space="0" w:color="auto"/>
            </w:tcBorders>
            <w:noWrap/>
            <w:vAlign w:val="center"/>
            <w:hideMark/>
          </w:tcPr>
          <w:p w14:paraId="2ADE735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ZKŠT ZAVOD ZA KULTURO, ŠPORT IN TURIZEM ŽALEC</w:t>
            </w:r>
          </w:p>
        </w:tc>
      </w:tr>
      <w:tr w:rsidR="00F24E18" w14:paraId="3B92C7E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11195380"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2150</w:t>
            </w:r>
          </w:p>
        </w:tc>
        <w:tc>
          <w:tcPr>
            <w:tcW w:w="1300" w:type="dxa"/>
            <w:tcBorders>
              <w:top w:val="nil"/>
              <w:left w:val="nil"/>
              <w:bottom w:val="single" w:sz="4" w:space="0" w:color="auto"/>
              <w:right w:val="single" w:sz="4" w:space="0" w:color="auto"/>
            </w:tcBorders>
            <w:vAlign w:val="center"/>
            <w:hideMark/>
          </w:tcPr>
          <w:p w14:paraId="13A508C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5105498000</w:t>
            </w:r>
          </w:p>
        </w:tc>
        <w:tc>
          <w:tcPr>
            <w:tcW w:w="1012" w:type="dxa"/>
            <w:tcBorders>
              <w:top w:val="nil"/>
              <w:left w:val="nil"/>
              <w:bottom w:val="single" w:sz="4" w:space="0" w:color="auto"/>
              <w:right w:val="single" w:sz="4" w:space="0" w:color="auto"/>
            </w:tcBorders>
            <w:vAlign w:val="center"/>
            <w:hideMark/>
          </w:tcPr>
          <w:p w14:paraId="3D4D90E1"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38048183</w:t>
            </w:r>
          </w:p>
        </w:tc>
        <w:tc>
          <w:tcPr>
            <w:tcW w:w="5953" w:type="dxa"/>
            <w:tcBorders>
              <w:top w:val="nil"/>
              <w:left w:val="nil"/>
              <w:bottom w:val="single" w:sz="4" w:space="0" w:color="auto"/>
              <w:right w:val="single" w:sz="4" w:space="0" w:color="auto"/>
            </w:tcBorders>
            <w:noWrap/>
            <w:vAlign w:val="center"/>
            <w:hideMark/>
          </w:tcPr>
          <w:p w14:paraId="63BBED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ZNANSTVENORAZISKOVALNI CENTER SLOVENSKE AKADEMIJE ZNANOSTI IN UMETNOSTI</w:t>
            </w:r>
          </w:p>
        </w:tc>
      </w:tr>
      <w:tr w:rsidR="00F24E18" w14:paraId="2441680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090AB2B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2151</w:t>
            </w:r>
          </w:p>
        </w:tc>
        <w:tc>
          <w:tcPr>
            <w:tcW w:w="1300" w:type="dxa"/>
            <w:tcBorders>
              <w:top w:val="nil"/>
              <w:left w:val="nil"/>
              <w:bottom w:val="single" w:sz="4" w:space="0" w:color="auto"/>
              <w:right w:val="single" w:sz="4" w:space="0" w:color="auto"/>
            </w:tcBorders>
            <w:noWrap/>
            <w:vAlign w:val="center"/>
            <w:hideMark/>
          </w:tcPr>
          <w:p w14:paraId="7A7613B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5844975000</w:t>
            </w:r>
          </w:p>
        </w:tc>
        <w:tc>
          <w:tcPr>
            <w:tcW w:w="1012" w:type="dxa"/>
            <w:tcBorders>
              <w:top w:val="nil"/>
              <w:left w:val="nil"/>
              <w:bottom w:val="single" w:sz="4" w:space="0" w:color="auto"/>
              <w:right w:val="single" w:sz="4" w:space="0" w:color="auto"/>
            </w:tcBorders>
            <w:noWrap/>
            <w:vAlign w:val="center"/>
            <w:hideMark/>
          </w:tcPr>
          <w:p w14:paraId="1EDFC833"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55581218</w:t>
            </w:r>
          </w:p>
        </w:tc>
        <w:tc>
          <w:tcPr>
            <w:tcW w:w="5953" w:type="dxa"/>
            <w:tcBorders>
              <w:top w:val="nil"/>
              <w:left w:val="nil"/>
              <w:bottom w:val="single" w:sz="4" w:space="0" w:color="auto"/>
              <w:right w:val="single" w:sz="4" w:space="0" w:color="auto"/>
            </w:tcBorders>
            <w:noWrap/>
            <w:vAlign w:val="center"/>
            <w:hideMark/>
          </w:tcPr>
          <w:p w14:paraId="0A10094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ZNANSTVENO-RAZISKOVALNO SREDIŠČE BISTRA PTUJ</w:t>
            </w:r>
          </w:p>
        </w:tc>
      </w:tr>
      <w:tr w:rsidR="00F24E18" w14:paraId="11F5EB80"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C3F951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2152</w:t>
            </w:r>
          </w:p>
        </w:tc>
        <w:tc>
          <w:tcPr>
            <w:tcW w:w="1300" w:type="dxa"/>
            <w:tcBorders>
              <w:top w:val="nil"/>
              <w:left w:val="nil"/>
              <w:bottom w:val="single" w:sz="4" w:space="0" w:color="auto"/>
              <w:right w:val="single" w:sz="4" w:space="0" w:color="auto"/>
            </w:tcBorders>
            <w:noWrap/>
            <w:vAlign w:val="center"/>
            <w:hideMark/>
          </w:tcPr>
          <w:p w14:paraId="2E47DCC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7187416000</w:t>
            </w:r>
          </w:p>
        </w:tc>
        <w:tc>
          <w:tcPr>
            <w:tcW w:w="1012" w:type="dxa"/>
            <w:tcBorders>
              <w:top w:val="nil"/>
              <w:left w:val="nil"/>
              <w:bottom w:val="single" w:sz="4" w:space="0" w:color="auto"/>
              <w:right w:val="single" w:sz="4" w:space="0" w:color="auto"/>
            </w:tcBorders>
            <w:noWrap/>
            <w:vAlign w:val="center"/>
            <w:hideMark/>
          </w:tcPr>
          <w:p w14:paraId="15ED0846"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38108674</w:t>
            </w:r>
          </w:p>
        </w:tc>
        <w:tc>
          <w:tcPr>
            <w:tcW w:w="5953" w:type="dxa"/>
            <w:tcBorders>
              <w:top w:val="nil"/>
              <w:left w:val="nil"/>
              <w:bottom w:val="single" w:sz="4" w:space="0" w:color="auto"/>
              <w:right w:val="single" w:sz="4" w:space="0" w:color="auto"/>
            </w:tcBorders>
            <w:noWrap/>
            <w:vAlign w:val="center"/>
            <w:hideMark/>
          </w:tcPr>
          <w:p w14:paraId="41631A5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ZNANSTVENO-RAZISKOVALNO SREDIŠČE KOPER</w:t>
            </w:r>
          </w:p>
        </w:tc>
      </w:tr>
      <w:tr w:rsidR="00F24E18" w14:paraId="05CF39D7"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2583EF4"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2153</w:t>
            </w:r>
          </w:p>
        </w:tc>
        <w:tc>
          <w:tcPr>
            <w:tcW w:w="1300" w:type="dxa"/>
            <w:tcBorders>
              <w:top w:val="nil"/>
              <w:left w:val="nil"/>
              <w:bottom w:val="single" w:sz="4" w:space="0" w:color="auto"/>
              <w:right w:val="single" w:sz="4" w:space="0" w:color="auto"/>
            </w:tcBorders>
            <w:vAlign w:val="center"/>
            <w:hideMark/>
          </w:tcPr>
          <w:p w14:paraId="2E73EBFC"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1254405000</w:t>
            </w:r>
          </w:p>
        </w:tc>
        <w:tc>
          <w:tcPr>
            <w:tcW w:w="1012" w:type="dxa"/>
            <w:tcBorders>
              <w:top w:val="nil"/>
              <w:left w:val="nil"/>
              <w:bottom w:val="single" w:sz="4" w:space="0" w:color="auto"/>
              <w:right w:val="single" w:sz="4" w:space="0" w:color="auto"/>
            </w:tcBorders>
            <w:vAlign w:val="center"/>
            <w:hideMark/>
          </w:tcPr>
          <w:p w14:paraId="3030F81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25505041</w:t>
            </w:r>
          </w:p>
        </w:tc>
        <w:tc>
          <w:tcPr>
            <w:tcW w:w="5953" w:type="dxa"/>
            <w:tcBorders>
              <w:top w:val="nil"/>
              <w:left w:val="nil"/>
              <w:bottom w:val="single" w:sz="4" w:space="0" w:color="auto"/>
              <w:right w:val="single" w:sz="4" w:space="0" w:color="auto"/>
            </w:tcBorders>
            <w:noWrap/>
            <w:vAlign w:val="center"/>
            <w:hideMark/>
          </w:tcPr>
          <w:p w14:paraId="61AB5B0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ZPO CELJE D.O.O., DRUŽBA ZA UPRAVLJANJE S PARKIRIŠČI IN JAVNIMI OBJEKTI</w:t>
            </w:r>
          </w:p>
        </w:tc>
      </w:tr>
      <w:tr w:rsidR="00F24E18" w14:paraId="1E66C1B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79EAA5F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2154</w:t>
            </w:r>
          </w:p>
        </w:tc>
        <w:tc>
          <w:tcPr>
            <w:tcW w:w="1300" w:type="dxa"/>
            <w:tcBorders>
              <w:top w:val="nil"/>
              <w:left w:val="nil"/>
              <w:bottom w:val="single" w:sz="4" w:space="0" w:color="auto"/>
              <w:right w:val="single" w:sz="4" w:space="0" w:color="auto"/>
            </w:tcBorders>
            <w:vAlign w:val="center"/>
            <w:hideMark/>
          </w:tcPr>
          <w:p w14:paraId="39EE3C7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2024667000</w:t>
            </w:r>
          </w:p>
        </w:tc>
        <w:tc>
          <w:tcPr>
            <w:tcW w:w="1012" w:type="dxa"/>
            <w:tcBorders>
              <w:top w:val="nil"/>
              <w:left w:val="nil"/>
              <w:bottom w:val="single" w:sz="4" w:space="0" w:color="auto"/>
              <w:right w:val="single" w:sz="4" w:space="0" w:color="auto"/>
            </w:tcBorders>
            <w:vAlign w:val="center"/>
            <w:hideMark/>
          </w:tcPr>
          <w:p w14:paraId="03936B2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68954883</w:t>
            </w:r>
          </w:p>
        </w:tc>
        <w:tc>
          <w:tcPr>
            <w:tcW w:w="5953" w:type="dxa"/>
            <w:tcBorders>
              <w:top w:val="nil"/>
              <w:left w:val="nil"/>
              <w:bottom w:val="single" w:sz="4" w:space="0" w:color="auto"/>
              <w:right w:val="single" w:sz="4" w:space="0" w:color="auto"/>
            </w:tcBorders>
            <w:noWrap/>
            <w:vAlign w:val="center"/>
            <w:hideMark/>
          </w:tcPr>
          <w:p w14:paraId="498214DA"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ZVEZA SREDNJIH ŠOL IN DIJAŠKIH DOMOV SLOVENIJE</w:t>
            </w:r>
          </w:p>
        </w:tc>
      </w:tr>
      <w:tr w:rsidR="00F24E18" w14:paraId="341F1182"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67217C9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2155</w:t>
            </w:r>
          </w:p>
        </w:tc>
        <w:tc>
          <w:tcPr>
            <w:tcW w:w="1300" w:type="dxa"/>
            <w:tcBorders>
              <w:top w:val="nil"/>
              <w:left w:val="nil"/>
              <w:bottom w:val="single" w:sz="4" w:space="0" w:color="auto"/>
              <w:right w:val="single" w:sz="4" w:space="0" w:color="auto"/>
            </w:tcBorders>
            <w:vAlign w:val="center"/>
            <w:hideMark/>
          </w:tcPr>
          <w:p w14:paraId="0AB680A9"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5015669000</w:t>
            </w:r>
          </w:p>
        </w:tc>
        <w:tc>
          <w:tcPr>
            <w:tcW w:w="1012" w:type="dxa"/>
            <w:tcBorders>
              <w:top w:val="nil"/>
              <w:left w:val="nil"/>
              <w:bottom w:val="single" w:sz="4" w:space="0" w:color="auto"/>
              <w:right w:val="single" w:sz="4" w:space="0" w:color="auto"/>
            </w:tcBorders>
            <w:vAlign w:val="center"/>
            <w:hideMark/>
          </w:tcPr>
          <w:p w14:paraId="16727CE8"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39470628</w:t>
            </w:r>
          </w:p>
        </w:tc>
        <w:tc>
          <w:tcPr>
            <w:tcW w:w="5953" w:type="dxa"/>
            <w:tcBorders>
              <w:top w:val="nil"/>
              <w:left w:val="nil"/>
              <w:bottom w:val="single" w:sz="4" w:space="0" w:color="auto"/>
              <w:right w:val="single" w:sz="4" w:space="0" w:color="auto"/>
            </w:tcBorders>
            <w:noWrap/>
            <w:vAlign w:val="center"/>
            <w:hideMark/>
          </w:tcPr>
          <w:p w14:paraId="412E9BE2"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ŽALE JAVNO PODJETJE, D.O.O.</w:t>
            </w:r>
          </w:p>
        </w:tc>
      </w:tr>
      <w:tr w:rsidR="00F24E18" w14:paraId="304F37ED" w14:textId="77777777" w:rsidTr="000E18B5">
        <w:trPr>
          <w:trHeight w:val="300"/>
          <w:jc w:val="center"/>
        </w:trPr>
        <w:tc>
          <w:tcPr>
            <w:tcW w:w="660" w:type="dxa"/>
            <w:tcBorders>
              <w:top w:val="nil"/>
              <w:left w:val="single" w:sz="4" w:space="0" w:color="auto"/>
              <w:bottom w:val="single" w:sz="4" w:space="0" w:color="auto"/>
              <w:right w:val="single" w:sz="4" w:space="0" w:color="auto"/>
            </w:tcBorders>
            <w:noWrap/>
            <w:vAlign w:val="center"/>
            <w:hideMark/>
          </w:tcPr>
          <w:p w14:paraId="26EF6AFD"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2156</w:t>
            </w:r>
          </w:p>
        </w:tc>
        <w:tc>
          <w:tcPr>
            <w:tcW w:w="1300" w:type="dxa"/>
            <w:tcBorders>
              <w:top w:val="nil"/>
              <w:left w:val="nil"/>
              <w:bottom w:val="single" w:sz="4" w:space="0" w:color="auto"/>
              <w:right w:val="single" w:sz="4" w:space="0" w:color="auto"/>
            </w:tcBorders>
            <w:vAlign w:val="center"/>
            <w:hideMark/>
          </w:tcPr>
          <w:p w14:paraId="49E83FAE"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5052700000</w:t>
            </w:r>
          </w:p>
        </w:tc>
        <w:tc>
          <w:tcPr>
            <w:tcW w:w="1012" w:type="dxa"/>
            <w:tcBorders>
              <w:top w:val="nil"/>
              <w:left w:val="nil"/>
              <w:bottom w:val="single" w:sz="4" w:space="0" w:color="auto"/>
              <w:right w:val="single" w:sz="4" w:space="0" w:color="auto"/>
            </w:tcBorders>
            <w:vAlign w:val="center"/>
            <w:hideMark/>
          </w:tcPr>
          <w:p w14:paraId="6DDFD2E5"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44188960</w:t>
            </w:r>
          </w:p>
        </w:tc>
        <w:tc>
          <w:tcPr>
            <w:tcW w:w="5953" w:type="dxa"/>
            <w:tcBorders>
              <w:top w:val="nil"/>
              <w:left w:val="nil"/>
              <w:bottom w:val="single" w:sz="4" w:space="0" w:color="auto"/>
              <w:right w:val="single" w:sz="4" w:space="0" w:color="auto"/>
            </w:tcBorders>
            <w:noWrap/>
            <w:vAlign w:val="center"/>
            <w:hideMark/>
          </w:tcPr>
          <w:p w14:paraId="3EAA8F7B" w14:textId="77777777" w:rsidR="00F24E18" w:rsidRDefault="00F24E18" w:rsidP="000E18B5">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ŽIVALSKI VRT LJUBLJANA</w:t>
            </w:r>
          </w:p>
        </w:tc>
      </w:tr>
    </w:tbl>
    <w:p w14:paraId="6A215B8F" w14:textId="77777777" w:rsidR="00F24E18" w:rsidRDefault="00F24E18" w:rsidP="00F24E18">
      <w:pPr>
        <w:spacing w:before="120" w:after="0" w:line="240" w:lineRule="auto"/>
        <w:jc w:val="both"/>
        <w:rPr>
          <w:rFonts w:ascii="Arial" w:hAnsi="Arial" w:cs="Arial"/>
          <w:sz w:val="20"/>
        </w:rPr>
      </w:pPr>
    </w:p>
    <w:p w14:paraId="3981DD57" w14:textId="77777777" w:rsidR="00F24E18" w:rsidRDefault="00F24E18">
      <w:pPr>
        <w:rPr>
          <w:rFonts w:ascii="Arial" w:eastAsiaTheme="majorEastAsia" w:hAnsi="Arial" w:cs="Arial"/>
          <w:b/>
          <w:color w:val="000000" w:themeColor="text1"/>
        </w:rPr>
      </w:pPr>
    </w:p>
    <w:p w14:paraId="35F4FBF9" w14:textId="77777777" w:rsidR="00F24E18" w:rsidRDefault="00F24E18">
      <w:pPr>
        <w:rPr>
          <w:rFonts w:ascii="Arial" w:eastAsiaTheme="majorEastAsia" w:hAnsi="Arial" w:cs="Arial"/>
          <w:b/>
          <w:color w:val="000000" w:themeColor="text1"/>
        </w:rPr>
      </w:pPr>
    </w:p>
    <w:p w14:paraId="6EAB64FA" w14:textId="77777777" w:rsidR="00F24E18" w:rsidRPr="00AC716D" w:rsidRDefault="00F24E18">
      <w:pPr>
        <w:rPr>
          <w:rFonts w:ascii="Arial" w:eastAsiaTheme="majorEastAsia" w:hAnsi="Arial" w:cs="Arial"/>
          <w:b/>
          <w:color w:val="000000" w:themeColor="text1"/>
        </w:rPr>
      </w:pPr>
    </w:p>
    <w:sectPr w:rsidR="00F24E18" w:rsidRPr="00AC716D" w:rsidSect="00655CA8">
      <w:footerReference w:type="default" r:id="rId16"/>
      <w:type w:val="continuous"/>
      <w:pgSz w:w="11906" w:h="16838"/>
      <w:pgMar w:top="1418" w:right="130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BCDB" w14:textId="77777777" w:rsidR="005479BA" w:rsidRDefault="005479BA" w:rsidP="00FF6099">
      <w:pPr>
        <w:spacing w:after="0" w:line="240" w:lineRule="auto"/>
      </w:pPr>
      <w:r>
        <w:separator/>
      </w:r>
    </w:p>
  </w:endnote>
  <w:endnote w:type="continuationSeparator" w:id="0">
    <w:p w14:paraId="1B4A5104" w14:textId="77777777" w:rsidR="005479BA" w:rsidRDefault="005479BA" w:rsidP="00FF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792635"/>
      <w:docPartObj>
        <w:docPartGallery w:val="Page Numbers (Bottom of Page)"/>
        <w:docPartUnique/>
      </w:docPartObj>
    </w:sdtPr>
    <w:sdtEndPr/>
    <w:sdtContent>
      <w:p w14:paraId="4EC213D0" w14:textId="21DE44D3" w:rsidR="007C7225" w:rsidRDefault="007C7225">
        <w:pPr>
          <w:pStyle w:val="Noga"/>
          <w:jc w:val="center"/>
        </w:pPr>
        <w:r>
          <w:fldChar w:fldCharType="begin"/>
        </w:r>
        <w:r>
          <w:instrText>PAGE   \* MERGEFORMAT</w:instrText>
        </w:r>
        <w:r>
          <w:fldChar w:fldCharType="separate"/>
        </w:r>
        <w:r w:rsidR="0041214C">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71A6" w14:textId="77777777" w:rsidR="005479BA" w:rsidRDefault="005479BA" w:rsidP="00FF6099">
      <w:pPr>
        <w:spacing w:after="0" w:line="240" w:lineRule="auto"/>
      </w:pPr>
      <w:r>
        <w:separator/>
      </w:r>
    </w:p>
  </w:footnote>
  <w:footnote w:type="continuationSeparator" w:id="0">
    <w:p w14:paraId="789F2ED6" w14:textId="77777777" w:rsidR="005479BA" w:rsidRDefault="005479BA" w:rsidP="00FF6099">
      <w:pPr>
        <w:spacing w:after="0" w:line="240" w:lineRule="auto"/>
      </w:pPr>
      <w:r>
        <w:continuationSeparator/>
      </w:r>
    </w:p>
  </w:footnote>
  <w:footnote w:id="1">
    <w:p w14:paraId="42136525" w14:textId="3CD9C197" w:rsidR="007C7225" w:rsidRPr="00ED55BA" w:rsidRDefault="007C7225" w:rsidP="00775DED">
      <w:pPr>
        <w:spacing w:after="0" w:line="240" w:lineRule="auto"/>
        <w:rPr>
          <w:rFonts w:ascii="Arial" w:hAnsi="Arial" w:cs="Arial"/>
          <w:sz w:val="18"/>
          <w:szCs w:val="18"/>
        </w:rPr>
      </w:pPr>
      <w:r w:rsidRPr="00CD30B0">
        <w:rPr>
          <w:rStyle w:val="Sprotnaopomba-sklic"/>
          <w:rFonts w:ascii="Arial" w:hAnsi="Arial" w:cs="Arial"/>
          <w:sz w:val="18"/>
          <w:szCs w:val="18"/>
        </w:rPr>
        <w:footnoteRef/>
      </w:r>
      <w:r w:rsidRPr="00CD30B0">
        <w:rPr>
          <w:rFonts w:ascii="Arial" w:hAnsi="Arial" w:cs="Arial"/>
          <w:sz w:val="18"/>
          <w:szCs w:val="18"/>
        </w:rPr>
        <w:t xml:space="preserve"> Vir: https://pxweb.stat.si/SiStatData/pxweb/sl/Data/-/0301910S.px/table/tableViewLayout2/, 26. avgust 2024.</w:t>
      </w:r>
      <w:r w:rsidRPr="00ED55BA">
        <w:rPr>
          <w:rFonts w:ascii="Arial" w:hAnsi="Arial" w:cs="Arial"/>
          <w:sz w:val="18"/>
          <w:szCs w:val="18"/>
        </w:rPr>
        <w:t xml:space="preserve"> </w:t>
      </w:r>
    </w:p>
    <w:p w14:paraId="7D1C23D7" w14:textId="77777777" w:rsidR="007C7225" w:rsidRPr="006507A8" w:rsidRDefault="007C7225" w:rsidP="00775DED">
      <w:pPr>
        <w:pStyle w:val="Sprotnaopomba-besedilo"/>
        <w:jc w:val="left"/>
        <w:rPr>
          <w:rFonts w:cs="Arial"/>
          <w:sz w:val="18"/>
          <w:szCs w:val="18"/>
        </w:rPr>
      </w:pPr>
    </w:p>
  </w:footnote>
  <w:footnote w:id="2">
    <w:p w14:paraId="2F3F7587" w14:textId="3EEE3996" w:rsidR="007C7225" w:rsidRPr="00A531AE" w:rsidRDefault="007C7225" w:rsidP="0095799F">
      <w:pPr>
        <w:pStyle w:val="Sprotnaopomba-besedilo"/>
        <w:rPr>
          <w:rFonts w:cs="Arial"/>
          <w:sz w:val="18"/>
          <w:szCs w:val="18"/>
        </w:rPr>
      </w:pPr>
      <w:r w:rsidRPr="00A531AE">
        <w:rPr>
          <w:rStyle w:val="Sprotnaopomba-sklic"/>
        </w:rPr>
        <w:footnoteRef/>
      </w:r>
      <w:r w:rsidRPr="00A531AE">
        <w:t xml:space="preserve"> </w:t>
      </w:r>
      <w:r w:rsidRPr="00A531AE">
        <w:rPr>
          <w:sz w:val="18"/>
          <w:szCs w:val="18"/>
        </w:rPr>
        <w:t xml:space="preserve">Predlog zaključnega računa državnega proračuna, ki ga </w:t>
      </w:r>
      <w:r>
        <w:rPr>
          <w:sz w:val="18"/>
          <w:szCs w:val="18"/>
        </w:rPr>
        <w:t>m</w:t>
      </w:r>
      <w:r w:rsidRPr="00A531AE">
        <w:rPr>
          <w:sz w:val="18"/>
          <w:szCs w:val="18"/>
        </w:rPr>
        <w:t>i</w:t>
      </w:r>
      <w:r w:rsidRPr="00A531AE">
        <w:rPr>
          <w:rFonts w:cs="Arial"/>
          <w:sz w:val="18"/>
          <w:szCs w:val="18"/>
          <w:shd w:val="clear" w:color="auto" w:fill="FFFFFF"/>
        </w:rPr>
        <w:t>nistrstvo za finance v skladu z drugim odstavkom 97. člena Zakona o javnih financah (</w:t>
      </w:r>
      <w:r w:rsidRPr="00A531AE">
        <w:rPr>
          <w:sz w:val="18"/>
          <w:szCs w:val="18"/>
        </w:rPr>
        <w:t xml:space="preserve">Uradni list RS, št. </w:t>
      </w:r>
      <w:r w:rsidRPr="00A531AE">
        <w:rPr>
          <w:rFonts w:eastAsiaTheme="majorEastAsia"/>
          <w:sz w:val="18"/>
          <w:szCs w:val="18"/>
        </w:rPr>
        <w:t>11/11</w:t>
      </w:r>
      <w:r w:rsidRPr="00A531AE">
        <w:rPr>
          <w:sz w:val="18"/>
          <w:szCs w:val="18"/>
        </w:rPr>
        <w:t xml:space="preserve"> – uradno prečiščeno besedilo, </w:t>
      </w:r>
      <w:r w:rsidRPr="00A531AE">
        <w:rPr>
          <w:rFonts w:eastAsiaTheme="majorEastAsia"/>
          <w:sz w:val="18"/>
          <w:szCs w:val="18"/>
        </w:rPr>
        <w:t>14/13 – popr.</w:t>
      </w:r>
      <w:r w:rsidRPr="00A531AE">
        <w:rPr>
          <w:sz w:val="18"/>
          <w:szCs w:val="18"/>
        </w:rPr>
        <w:t xml:space="preserve">, </w:t>
      </w:r>
      <w:r w:rsidRPr="00A531AE">
        <w:rPr>
          <w:rFonts w:eastAsiaTheme="majorEastAsia"/>
          <w:sz w:val="18"/>
          <w:szCs w:val="18"/>
        </w:rPr>
        <w:t>101/13</w:t>
      </w:r>
      <w:r w:rsidRPr="00A531AE">
        <w:rPr>
          <w:sz w:val="18"/>
          <w:szCs w:val="18"/>
        </w:rPr>
        <w:t xml:space="preserve">, </w:t>
      </w:r>
      <w:r w:rsidRPr="00A531AE">
        <w:rPr>
          <w:rFonts w:eastAsiaTheme="majorEastAsia"/>
          <w:sz w:val="18"/>
          <w:szCs w:val="18"/>
        </w:rPr>
        <w:t>55/15</w:t>
      </w:r>
      <w:r w:rsidRPr="00A531AE">
        <w:rPr>
          <w:sz w:val="18"/>
          <w:szCs w:val="18"/>
        </w:rPr>
        <w:t xml:space="preserve"> – ZFisP, </w:t>
      </w:r>
      <w:r w:rsidRPr="00A531AE">
        <w:rPr>
          <w:rFonts w:eastAsiaTheme="majorEastAsia"/>
          <w:sz w:val="18"/>
          <w:szCs w:val="18"/>
        </w:rPr>
        <w:t>96/15</w:t>
      </w:r>
      <w:r w:rsidRPr="00A531AE">
        <w:rPr>
          <w:sz w:val="18"/>
          <w:szCs w:val="18"/>
        </w:rPr>
        <w:t xml:space="preserve"> – ZIPRS1617, </w:t>
      </w:r>
      <w:r w:rsidRPr="00A531AE">
        <w:rPr>
          <w:rFonts w:eastAsiaTheme="majorEastAsia"/>
          <w:sz w:val="18"/>
          <w:szCs w:val="18"/>
        </w:rPr>
        <w:t>13/18 in 195/20 – odl. US</w:t>
      </w:r>
      <w:r w:rsidRPr="00A531AE">
        <w:rPr>
          <w:sz w:val="18"/>
          <w:szCs w:val="18"/>
        </w:rPr>
        <w:t xml:space="preserve">) </w:t>
      </w:r>
      <w:r w:rsidRPr="00A531AE">
        <w:rPr>
          <w:rFonts w:cs="Arial"/>
          <w:sz w:val="18"/>
          <w:szCs w:val="18"/>
          <w:shd w:val="clear" w:color="auto" w:fill="FFFFFF"/>
        </w:rPr>
        <w:t>pripravi in predloži računskemu sodišču do 31. marca tekočega leta</w:t>
      </w:r>
      <w:r w:rsidRPr="00A531AE">
        <w:rPr>
          <w:rFonts w:cs="Arial"/>
          <w:sz w:val="18"/>
          <w:szCs w:val="18"/>
        </w:rPr>
        <w:t>.</w:t>
      </w:r>
    </w:p>
  </w:footnote>
  <w:footnote w:id="3">
    <w:p w14:paraId="308C992E" w14:textId="001F78B0" w:rsidR="007C7225" w:rsidRPr="00A531AE" w:rsidRDefault="007C7225" w:rsidP="0095799F">
      <w:pPr>
        <w:pStyle w:val="Sprotnaopomba-besedilo"/>
      </w:pPr>
      <w:r w:rsidRPr="00A531AE">
        <w:rPr>
          <w:rStyle w:val="Sprotnaopomba-sklic"/>
        </w:rPr>
        <w:footnoteRef/>
      </w:r>
      <w:hyperlink w:history="1"/>
      <w:hyperlink r:id="rId1" w:history="1">
        <w:r w:rsidRPr="00A531AE">
          <w:rPr>
            <w:rStyle w:val="Hiperpovezava"/>
            <w:sz w:val="18"/>
            <w:szCs w:val="18"/>
          </w:rPr>
          <w:t>https://www.gov.si/assets/ministrstva/MF/Proracun-direktorat/DP-SSFLS/Proracuni-obcin/Realizacija/BILANCE-PR_OBC-18-23_v_EUR-arhiv.pdf</w:t>
        </w:r>
      </w:hyperlink>
      <w:r w:rsidRPr="00A531AE">
        <w:rPr>
          <w:rFonts w:cs="Arial"/>
          <w:sz w:val="18"/>
          <w:szCs w:val="18"/>
        </w:rPr>
        <w:t>, 26. avgust 2024.</w:t>
      </w:r>
    </w:p>
  </w:footnote>
  <w:footnote w:id="4">
    <w:p w14:paraId="1CDD4B16" w14:textId="3BF6546B" w:rsidR="007C7225" w:rsidRPr="00A531AE" w:rsidRDefault="007C7225" w:rsidP="0095799F">
      <w:pPr>
        <w:pStyle w:val="Sprotnaopomba-besedilo"/>
      </w:pPr>
      <w:r w:rsidRPr="00A531AE">
        <w:rPr>
          <w:rStyle w:val="Sprotnaopomba-sklic"/>
        </w:rPr>
        <w:footnoteRef/>
      </w:r>
      <w:r w:rsidRPr="00A531AE">
        <w:t>https://www.zzzs.si/?id=126&amp;detail=25CA7505308118D8C1258AD70032B7CE</w:t>
      </w:r>
      <w:r w:rsidRPr="00A531AE">
        <w:rPr>
          <w:sz w:val="18"/>
          <w:szCs w:val="18"/>
        </w:rPr>
        <w:t xml:space="preserve">, </w:t>
      </w:r>
      <w:r w:rsidRPr="00A531AE">
        <w:rPr>
          <w:rFonts w:cs="Arial"/>
          <w:sz w:val="18"/>
          <w:szCs w:val="18"/>
        </w:rPr>
        <w:t>26. avgust 2024</w:t>
      </w:r>
      <w:r w:rsidRPr="00A531AE">
        <w:rPr>
          <w:rStyle w:val="Hiperpovezava"/>
          <w:color w:val="auto"/>
          <w:sz w:val="18"/>
          <w:szCs w:val="18"/>
          <w:u w:val="none"/>
        </w:rPr>
        <w:t>.</w:t>
      </w:r>
    </w:p>
    <w:p w14:paraId="70964881" w14:textId="77777777" w:rsidR="007C7225" w:rsidRPr="000F021F" w:rsidRDefault="007C7225" w:rsidP="0095799F">
      <w:pPr>
        <w:pStyle w:val="Sprotnaopomba-besedilo"/>
        <w:rPr>
          <w:sz w:val="18"/>
          <w:szCs w:val="18"/>
        </w:rPr>
      </w:pPr>
    </w:p>
  </w:footnote>
  <w:footnote w:id="5">
    <w:p w14:paraId="0909C2AB" w14:textId="77777777" w:rsidR="007C7225" w:rsidRPr="003E3A36" w:rsidRDefault="007C7225" w:rsidP="00C13751">
      <w:pPr>
        <w:pStyle w:val="Sprotnaopomba-besedilo"/>
        <w:rPr>
          <w:sz w:val="18"/>
        </w:rPr>
      </w:pPr>
      <w:r w:rsidRPr="003802F8">
        <w:rPr>
          <w:rStyle w:val="Sprotnaopomba-sklic"/>
          <w:sz w:val="18"/>
        </w:rPr>
        <w:footnoteRef/>
      </w:r>
      <w:r w:rsidRPr="003802F8">
        <w:rPr>
          <w:sz w:val="18"/>
        </w:rPr>
        <w:t xml:space="preserve"> Naročila, oddana na podlagi petega odstavka 73. člena ZJN-3.</w:t>
      </w:r>
      <w:r w:rsidRPr="003E3A36">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95F"/>
    <w:multiLevelType w:val="hybridMultilevel"/>
    <w:tmpl w:val="5DE8E32E"/>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DC3BF9"/>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123F0"/>
    <w:multiLevelType w:val="hybridMultilevel"/>
    <w:tmpl w:val="553EB680"/>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AC47D3"/>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407957"/>
    <w:multiLevelType w:val="hybridMultilevel"/>
    <w:tmpl w:val="933E290A"/>
    <w:lvl w:ilvl="0" w:tplc="5B1CDEB8">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ED3063"/>
    <w:multiLevelType w:val="hybridMultilevel"/>
    <w:tmpl w:val="EF8A4920"/>
    <w:lvl w:ilvl="0" w:tplc="B436EEFA">
      <w:start w:val="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528632C"/>
    <w:multiLevelType w:val="hybridMultilevel"/>
    <w:tmpl w:val="8EA6ECF0"/>
    <w:lvl w:ilvl="0" w:tplc="01100B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D51A59"/>
    <w:multiLevelType w:val="hybridMultilevel"/>
    <w:tmpl w:val="8E2259E6"/>
    <w:lvl w:ilvl="0" w:tplc="9F5ADDA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66533B"/>
    <w:multiLevelType w:val="hybridMultilevel"/>
    <w:tmpl w:val="9ECEB216"/>
    <w:lvl w:ilvl="0" w:tplc="01100B9A">
      <w:start w:val="3"/>
      <w:numFmt w:val="bullet"/>
      <w:lvlText w:val="-"/>
      <w:lvlJc w:val="left"/>
      <w:pPr>
        <w:ind w:left="1944" w:hanging="360"/>
      </w:pPr>
      <w:rPr>
        <w:rFonts w:ascii="Arial" w:eastAsia="Times New Roman" w:hAnsi="Arial" w:cs="Arial" w:hint="default"/>
      </w:rPr>
    </w:lvl>
    <w:lvl w:ilvl="1" w:tplc="04240003" w:tentative="1">
      <w:start w:val="1"/>
      <w:numFmt w:val="bullet"/>
      <w:lvlText w:val="o"/>
      <w:lvlJc w:val="left"/>
      <w:pPr>
        <w:ind w:left="2664" w:hanging="360"/>
      </w:pPr>
      <w:rPr>
        <w:rFonts w:ascii="Courier New" w:hAnsi="Courier New" w:cs="Courier New" w:hint="default"/>
      </w:rPr>
    </w:lvl>
    <w:lvl w:ilvl="2" w:tplc="04240005" w:tentative="1">
      <w:start w:val="1"/>
      <w:numFmt w:val="bullet"/>
      <w:lvlText w:val=""/>
      <w:lvlJc w:val="left"/>
      <w:pPr>
        <w:ind w:left="3384" w:hanging="360"/>
      </w:pPr>
      <w:rPr>
        <w:rFonts w:ascii="Wingdings" w:hAnsi="Wingdings" w:hint="default"/>
      </w:rPr>
    </w:lvl>
    <w:lvl w:ilvl="3" w:tplc="04240001" w:tentative="1">
      <w:start w:val="1"/>
      <w:numFmt w:val="bullet"/>
      <w:lvlText w:val=""/>
      <w:lvlJc w:val="left"/>
      <w:pPr>
        <w:ind w:left="4104" w:hanging="360"/>
      </w:pPr>
      <w:rPr>
        <w:rFonts w:ascii="Symbol" w:hAnsi="Symbol" w:hint="default"/>
      </w:rPr>
    </w:lvl>
    <w:lvl w:ilvl="4" w:tplc="04240003" w:tentative="1">
      <w:start w:val="1"/>
      <w:numFmt w:val="bullet"/>
      <w:lvlText w:val="o"/>
      <w:lvlJc w:val="left"/>
      <w:pPr>
        <w:ind w:left="4824" w:hanging="360"/>
      </w:pPr>
      <w:rPr>
        <w:rFonts w:ascii="Courier New" w:hAnsi="Courier New" w:cs="Courier New" w:hint="default"/>
      </w:rPr>
    </w:lvl>
    <w:lvl w:ilvl="5" w:tplc="04240005" w:tentative="1">
      <w:start w:val="1"/>
      <w:numFmt w:val="bullet"/>
      <w:lvlText w:val=""/>
      <w:lvlJc w:val="left"/>
      <w:pPr>
        <w:ind w:left="5544" w:hanging="360"/>
      </w:pPr>
      <w:rPr>
        <w:rFonts w:ascii="Wingdings" w:hAnsi="Wingdings" w:hint="default"/>
      </w:rPr>
    </w:lvl>
    <w:lvl w:ilvl="6" w:tplc="04240001" w:tentative="1">
      <w:start w:val="1"/>
      <w:numFmt w:val="bullet"/>
      <w:lvlText w:val=""/>
      <w:lvlJc w:val="left"/>
      <w:pPr>
        <w:ind w:left="6264" w:hanging="360"/>
      </w:pPr>
      <w:rPr>
        <w:rFonts w:ascii="Symbol" w:hAnsi="Symbol" w:hint="default"/>
      </w:rPr>
    </w:lvl>
    <w:lvl w:ilvl="7" w:tplc="04240003" w:tentative="1">
      <w:start w:val="1"/>
      <w:numFmt w:val="bullet"/>
      <w:lvlText w:val="o"/>
      <w:lvlJc w:val="left"/>
      <w:pPr>
        <w:ind w:left="6984" w:hanging="360"/>
      </w:pPr>
      <w:rPr>
        <w:rFonts w:ascii="Courier New" w:hAnsi="Courier New" w:cs="Courier New" w:hint="default"/>
      </w:rPr>
    </w:lvl>
    <w:lvl w:ilvl="8" w:tplc="04240005" w:tentative="1">
      <w:start w:val="1"/>
      <w:numFmt w:val="bullet"/>
      <w:lvlText w:val=""/>
      <w:lvlJc w:val="left"/>
      <w:pPr>
        <w:ind w:left="7704" w:hanging="360"/>
      </w:pPr>
      <w:rPr>
        <w:rFonts w:ascii="Wingdings" w:hAnsi="Wingdings" w:hint="default"/>
      </w:rPr>
    </w:lvl>
  </w:abstractNum>
  <w:abstractNum w:abstractNumId="9" w15:restartNumberingAfterBreak="0">
    <w:nsid w:val="22EA2925"/>
    <w:multiLevelType w:val="hybridMultilevel"/>
    <w:tmpl w:val="5DAE5604"/>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753427F"/>
    <w:multiLevelType w:val="hybridMultilevel"/>
    <w:tmpl w:val="81287FF8"/>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54348A"/>
    <w:multiLevelType w:val="hybridMultilevel"/>
    <w:tmpl w:val="82684158"/>
    <w:lvl w:ilvl="0" w:tplc="E228D6F8">
      <w:start w:val="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9F10DF"/>
    <w:multiLevelType w:val="hybridMultilevel"/>
    <w:tmpl w:val="28B03E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4945AC8"/>
    <w:multiLevelType w:val="hybridMultilevel"/>
    <w:tmpl w:val="64CEB7F8"/>
    <w:lvl w:ilvl="0" w:tplc="83D638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9F93724"/>
    <w:multiLevelType w:val="hybridMultilevel"/>
    <w:tmpl w:val="9182C2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FB1379"/>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56326D"/>
    <w:multiLevelType w:val="hybridMultilevel"/>
    <w:tmpl w:val="01EAA4BC"/>
    <w:lvl w:ilvl="0" w:tplc="5BD20A3C">
      <w:start w:val="519"/>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F0274F8"/>
    <w:multiLevelType w:val="hybridMultilevel"/>
    <w:tmpl w:val="6140510A"/>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F6851"/>
    <w:multiLevelType w:val="hybridMultilevel"/>
    <w:tmpl w:val="977634DA"/>
    <w:lvl w:ilvl="0" w:tplc="0EA8933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D85B15"/>
    <w:multiLevelType w:val="hybridMultilevel"/>
    <w:tmpl w:val="DADA8EA8"/>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286DA6"/>
    <w:multiLevelType w:val="hybridMultilevel"/>
    <w:tmpl w:val="7BF277EE"/>
    <w:lvl w:ilvl="0" w:tplc="8B9C6902">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EBD6981"/>
    <w:multiLevelType w:val="hybridMultilevel"/>
    <w:tmpl w:val="B4EC694E"/>
    <w:lvl w:ilvl="0" w:tplc="9F5877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331A9B"/>
    <w:multiLevelType w:val="hybridMultilevel"/>
    <w:tmpl w:val="AC1A0884"/>
    <w:lvl w:ilvl="0" w:tplc="83D6389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6CE5466"/>
    <w:multiLevelType w:val="hybridMultilevel"/>
    <w:tmpl w:val="430698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F714ACB"/>
    <w:multiLevelType w:val="hybridMultilevel"/>
    <w:tmpl w:val="28B03E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1454D80"/>
    <w:multiLevelType w:val="hybridMultilevel"/>
    <w:tmpl w:val="0D1E7E7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E61BFB"/>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8C51FEF"/>
    <w:multiLevelType w:val="hybridMultilevel"/>
    <w:tmpl w:val="B7E20D0E"/>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CF66B7A"/>
    <w:multiLevelType w:val="hybridMultilevel"/>
    <w:tmpl w:val="DAF6BF06"/>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EA616C2"/>
    <w:multiLevelType w:val="hybridMultilevel"/>
    <w:tmpl w:val="67EC3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306148"/>
    <w:multiLevelType w:val="hybridMultilevel"/>
    <w:tmpl w:val="82BA8AEA"/>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27B175B"/>
    <w:multiLevelType w:val="hybridMultilevel"/>
    <w:tmpl w:val="613803E2"/>
    <w:lvl w:ilvl="0" w:tplc="9F58776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2F02455"/>
    <w:multiLevelType w:val="hybridMultilevel"/>
    <w:tmpl w:val="5368139A"/>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9C1356E"/>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2043532">
    <w:abstractNumId w:val="14"/>
  </w:num>
  <w:num w:numId="2" w16cid:durableId="516120067">
    <w:abstractNumId w:val="31"/>
  </w:num>
  <w:num w:numId="3" w16cid:durableId="657684547">
    <w:abstractNumId w:val="20"/>
  </w:num>
  <w:num w:numId="4" w16cid:durableId="1272083614">
    <w:abstractNumId w:val="16"/>
  </w:num>
  <w:num w:numId="5" w16cid:durableId="1945184098">
    <w:abstractNumId w:val="8"/>
  </w:num>
  <w:num w:numId="6" w16cid:durableId="520556342">
    <w:abstractNumId w:val="13"/>
  </w:num>
  <w:num w:numId="7" w16cid:durableId="648092758">
    <w:abstractNumId w:val="6"/>
  </w:num>
  <w:num w:numId="8" w16cid:durableId="1186674709">
    <w:abstractNumId w:val="21"/>
  </w:num>
  <w:num w:numId="9" w16cid:durableId="559635838">
    <w:abstractNumId w:val="22"/>
  </w:num>
  <w:num w:numId="10" w16cid:durableId="1239171033">
    <w:abstractNumId w:val="30"/>
  </w:num>
  <w:num w:numId="11" w16cid:durableId="713575661">
    <w:abstractNumId w:val="24"/>
  </w:num>
  <w:num w:numId="12" w16cid:durableId="1642618319">
    <w:abstractNumId w:val="17"/>
  </w:num>
  <w:num w:numId="13" w16cid:durableId="1960642979">
    <w:abstractNumId w:val="28"/>
  </w:num>
  <w:num w:numId="14" w16cid:durableId="1841501689">
    <w:abstractNumId w:val="29"/>
  </w:num>
  <w:num w:numId="15" w16cid:durableId="1648044956">
    <w:abstractNumId w:val="10"/>
  </w:num>
  <w:num w:numId="16" w16cid:durableId="1462460203">
    <w:abstractNumId w:val="22"/>
  </w:num>
  <w:num w:numId="17" w16cid:durableId="975985110">
    <w:abstractNumId w:val="30"/>
  </w:num>
  <w:num w:numId="18" w16cid:durableId="6253524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8897066">
    <w:abstractNumId w:val="12"/>
  </w:num>
  <w:num w:numId="20" w16cid:durableId="2123762040">
    <w:abstractNumId w:val="5"/>
  </w:num>
  <w:num w:numId="21" w16cid:durableId="1364210783">
    <w:abstractNumId w:val="27"/>
  </w:num>
  <w:num w:numId="22" w16cid:durableId="708919168">
    <w:abstractNumId w:val="11"/>
  </w:num>
  <w:num w:numId="23" w16cid:durableId="653068075">
    <w:abstractNumId w:val="9"/>
  </w:num>
  <w:num w:numId="24" w16cid:durableId="2008171215">
    <w:abstractNumId w:val="0"/>
  </w:num>
  <w:num w:numId="25" w16cid:durableId="641547774">
    <w:abstractNumId w:val="25"/>
  </w:num>
  <w:num w:numId="26" w16cid:durableId="484055590">
    <w:abstractNumId w:val="18"/>
  </w:num>
  <w:num w:numId="27" w16cid:durableId="1574850022">
    <w:abstractNumId w:val="2"/>
  </w:num>
  <w:num w:numId="28" w16cid:durableId="1436899005">
    <w:abstractNumId w:val="26"/>
  </w:num>
  <w:num w:numId="29" w16cid:durableId="359939413">
    <w:abstractNumId w:val="15"/>
  </w:num>
  <w:num w:numId="30" w16cid:durableId="710303145">
    <w:abstractNumId w:val="33"/>
  </w:num>
  <w:num w:numId="31" w16cid:durableId="2002417723">
    <w:abstractNumId w:val="1"/>
  </w:num>
  <w:num w:numId="32" w16cid:durableId="905608419">
    <w:abstractNumId w:val="19"/>
  </w:num>
  <w:num w:numId="33" w16cid:durableId="1410426895">
    <w:abstractNumId w:val="3"/>
  </w:num>
  <w:num w:numId="34" w16cid:durableId="1491941640">
    <w:abstractNumId w:val="32"/>
  </w:num>
  <w:num w:numId="35" w16cid:durableId="2096973957">
    <w:abstractNumId w:val="23"/>
  </w:num>
  <w:num w:numId="36" w16cid:durableId="1108157868">
    <w:abstractNumId w:val="7"/>
  </w:num>
  <w:num w:numId="37" w16cid:durableId="691617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49"/>
    <w:rsid w:val="000001A1"/>
    <w:rsid w:val="0000037D"/>
    <w:rsid w:val="0000123C"/>
    <w:rsid w:val="000012D2"/>
    <w:rsid w:val="00001BEA"/>
    <w:rsid w:val="00001C9B"/>
    <w:rsid w:val="0000208F"/>
    <w:rsid w:val="00002230"/>
    <w:rsid w:val="00002273"/>
    <w:rsid w:val="00002DAF"/>
    <w:rsid w:val="00002F6E"/>
    <w:rsid w:val="00003250"/>
    <w:rsid w:val="00003254"/>
    <w:rsid w:val="00003CBF"/>
    <w:rsid w:val="00003CDA"/>
    <w:rsid w:val="00003EDB"/>
    <w:rsid w:val="00004A71"/>
    <w:rsid w:val="00005087"/>
    <w:rsid w:val="000050E5"/>
    <w:rsid w:val="0000590B"/>
    <w:rsid w:val="000067A4"/>
    <w:rsid w:val="00007116"/>
    <w:rsid w:val="00007909"/>
    <w:rsid w:val="000109D4"/>
    <w:rsid w:val="00010BC0"/>
    <w:rsid w:val="000110D0"/>
    <w:rsid w:val="00011288"/>
    <w:rsid w:val="000112C0"/>
    <w:rsid w:val="0001172F"/>
    <w:rsid w:val="00011771"/>
    <w:rsid w:val="00011B5B"/>
    <w:rsid w:val="00011F46"/>
    <w:rsid w:val="0001344D"/>
    <w:rsid w:val="00013B4D"/>
    <w:rsid w:val="00013C26"/>
    <w:rsid w:val="00014EFB"/>
    <w:rsid w:val="00015000"/>
    <w:rsid w:val="0001586C"/>
    <w:rsid w:val="000158A3"/>
    <w:rsid w:val="00016BB0"/>
    <w:rsid w:val="00016C2E"/>
    <w:rsid w:val="0001737D"/>
    <w:rsid w:val="00017D08"/>
    <w:rsid w:val="0002018E"/>
    <w:rsid w:val="000210E2"/>
    <w:rsid w:val="000216D2"/>
    <w:rsid w:val="00022825"/>
    <w:rsid w:val="0002298E"/>
    <w:rsid w:val="00022C8F"/>
    <w:rsid w:val="00023656"/>
    <w:rsid w:val="00023F19"/>
    <w:rsid w:val="00023FAE"/>
    <w:rsid w:val="0002459D"/>
    <w:rsid w:val="00024A2B"/>
    <w:rsid w:val="000251EB"/>
    <w:rsid w:val="000256CD"/>
    <w:rsid w:val="00025D01"/>
    <w:rsid w:val="00026063"/>
    <w:rsid w:val="00026B1B"/>
    <w:rsid w:val="00026BF0"/>
    <w:rsid w:val="00026C19"/>
    <w:rsid w:val="00026FEE"/>
    <w:rsid w:val="00027159"/>
    <w:rsid w:val="000271E4"/>
    <w:rsid w:val="00027AB9"/>
    <w:rsid w:val="00027B84"/>
    <w:rsid w:val="000305C6"/>
    <w:rsid w:val="00030679"/>
    <w:rsid w:val="00030899"/>
    <w:rsid w:val="00030976"/>
    <w:rsid w:val="00030CCF"/>
    <w:rsid w:val="00030CF0"/>
    <w:rsid w:val="00031108"/>
    <w:rsid w:val="00032A5B"/>
    <w:rsid w:val="00032E4D"/>
    <w:rsid w:val="000331D2"/>
    <w:rsid w:val="00033F1E"/>
    <w:rsid w:val="00033F94"/>
    <w:rsid w:val="0003446F"/>
    <w:rsid w:val="0003465A"/>
    <w:rsid w:val="00034E48"/>
    <w:rsid w:val="0003520A"/>
    <w:rsid w:val="00035848"/>
    <w:rsid w:val="00035931"/>
    <w:rsid w:val="000364D4"/>
    <w:rsid w:val="00036C6E"/>
    <w:rsid w:val="00036FF3"/>
    <w:rsid w:val="00037D5F"/>
    <w:rsid w:val="000405D8"/>
    <w:rsid w:val="000407CD"/>
    <w:rsid w:val="00040E09"/>
    <w:rsid w:val="000418FB"/>
    <w:rsid w:val="00041B68"/>
    <w:rsid w:val="00042613"/>
    <w:rsid w:val="00043238"/>
    <w:rsid w:val="00043A74"/>
    <w:rsid w:val="000441FC"/>
    <w:rsid w:val="00044529"/>
    <w:rsid w:val="00044804"/>
    <w:rsid w:val="000448B2"/>
    <w:rsid w:val="000455E3"/>
    <w:rsid w:val="00045CA5"/>
    <w:rsid w:val="000466A4"/>
    <w:rsid w:val="00046FAE"/>
    <w:rsid w:val="0004757C"/>
    <w:rsid w:val="0005082F"/>
    <w:rsid w:val="00050C9F"/>
    <w:rsid w:val="00051E48"/>
    <w:rsid w:val="00051E53"/>
    <w:rsid w:val="00052AF4"/>
    <w:rsid w:val="00052BE6"/>
    <w:rsid w:val="00053600"/>
    <w:rsid w:val="00053D94"/>
    <w:rsid w:val="00054277"/>
    <w:rsid w:val="000544F9"/>
    <w:rsid w:val="00054903"/>
    <w:rsid w:val="00054ABF"/>
    <w:rsid w:val="000554B6"/>
    <w:rsid w:val="00055926"/>
    <w:rsid w:val="00055BE0"/>
    <w:rsid w:val="000564D9"/>
    <w:rsid w:val="00056EB4"/>
    <w:rsid w:val="00056EDD"/>
    <w:rsid w:val="000571EC"/>
    <w:rsid w:val="00057A3B"/>
    <w:rsid w:val="00057DB6"/>
    <w:rsid w:val="000605CF"/>
    <w:rsid w:val="000605E6"/>
    <w:rsid w:val="000607B8"/>
    <w:rsid w:val="00060D75"/>
    <w:rsid w:val="00061BFA"/>
    <w:rsid w:val="00061F65"/>
    <w:rsid w:val="000628EF"/>
    <w:rsid w:val="0006295C"/>
    <w:rsid w:val="00063233"/>
    <w:rsid w:val="0006360B"/>
    <w:rsid w:val="00063FD4"/>
    <w:rsid w:val="0006577C"/>
    <w:rsid w:val="00065806"/>
    <w:rsid w:val="000668CA"/>
    <w:rsid w:val="00066C7C"/>
    <w:rsid w:val="00067846"/>
    <w:rsid w:val="00067DD4"/>
    <w:rsid w:val="0007099B"/>
    <w:rsid w:val="0007149E"/>
    <w:rsid w:val="0007240A"/>
    <w:rsid w:val="00072A69"/>
    <w:rsid w:val="000731FD"/>
    <w:rsid w:val="00074155"/>
    <w:rsid w:val="0007470C"/>
    <w:rsid w:val="0007483C"/>
    <w:rsid w:val="00074E01"/>
    <w:rsid w:val="00074E70"/>
    <w:rsid w:val="00074FF5"/>
    <w:rsid w:val="0007541E"/>
    <w:rsid w:val="000758EF"/>
    <w:rsid w:val="00075C43"/>
    <w:rsid w:val="00075D92"/>
    <w:rsid w:val="000767E3"/>
    <w:rsid w:val="000815D9"/>
    <w:rsid w:val="00081617"/>
    <w:rsid w:val="00081B31"/>
    <w:rsid w:val="00081E70"/>
    <w:rsid w:val="00082EC3"/>
    <w:rsid w:val="000830D2"/>
    <w:rsid w:val="00083F3C"/>
    <w:rsid w:val="00085061"/>
    <w:rsid w:val="000857BF"/>
    <w:rsid w:val="000859A5"/>
    <w:rsid w:val="00086008"/>
    <w:rsid w:val="00086322"/>
    <w:rsid w:val="0008702D"/>
    <w:rsid w:val="00087340"/>
    <w:rsid w:val="00087D4B"/>
    <w:rsid w:val="0009064D"/>
    <w:rsid w:val="0009088A"/>
    <w:rsid w:val="00090B92"/>
    <w:rsid w:val="00091935"/>
    <w:rsid w:val="00092767"/>
    <w:rsid w:val="00092E95"/>
    <w:rsid w:val="0009308E"/>
    <w:rsid w:val="00094468"/>
    <w:rsid w:val="0009449A"/>
    <w:rsid w:val="00094557"/>
    <w:rsid w:val="0009505B"/>
    <w:rsid w:val="00095E75"/>
    <w:rsid w:val="00096F7B"/>
    <w:rsid w:val="000979E7"/>
    <w:rsid w:val="000A0948"/>
    <w:rsid w:val="000A0B99"/>
    <w:rsid w:val="000A191E"/>
    <w:rsid w:val="000A1D4B"/>
    <w:rsid w:val="000A24D7"/>
    <w:rsid w:val="000A2A0E"/>
    <w:rsid w:val="000A2A87"/>
    <w:rsid w:val="000A3944"/>
    <w:rsid w:val="000A40D8"/>
    <w:rsid w:val="000A48B8"/>
    <w:rsid w:val="000A5086"/>
    <w:rsid w:val="000A57B9"/>
    <w:rsid w:val="000A6106"/>
    <w:rsid w:val="000A6154"/>
    <w:rsid w:val="000A67FE"/>
    <w:rsid w:val="000A7C71"/>
    <w:rsid w:val="000A7D78"/>
    <w:rsid w:val="000A7F11"/>
    <w:rsid w:val="000B0538"/>
    <w:rsid w:val="000B0640"/>
    <w:rsid w:val="000B087F"/>
    <w:rsid w:val="000B152E"/>
    <w:rsid w:val="000B1586"/>
    <w:rsid w:val="000B1CF7"/>
    <w:rsid w:val="000B2F3B"/>
    <w:rsid w:val="000B3404"/>
    <w:rsid w:val="000B3577"/>
    <w:rsid w:val="000B4602"/>
    <w:rsid w:val="000B4B90"/>
    <w:rsid w:val="000B4C74"/>
    <w:rsid w:val="000B4DA3"/>
    <w:rsid w:val="000B56EC"/>
    <w:rsid w:val="000B59F6"/>
    <w:rsid w:val="000B5B5F"/>
    <w:rsid w:val="000B6197"/>
    <w:rsid w:val="000B6504"/>
    <w:rsid w:val="000B65F5"/>
    <w:rsid w:val="000B6669"/>
    <w:rsid w:val="000B6737"/>
    <w:rsid w:val="000B6757"/>
    <w:rsid w:val="000B67CB"/>
    <w:rsid w:val="000B68F8"/>
    <w:rsid w:val="000B6CA5"/>
    <w:rsid w:val="000B6E87"/>
    <w:rsid w:val="000B74A3"/>
    <w:rsid w:val="000B77E2"/>
    <w:rsid w:val="000B795F"/>
    <w:rsid w:val="000B7D68"/>
    <w:rsid w:val="000B7EA8"/>
    <w:rsid w:val="000C0D9E"/>
    <w:rsid w:val="000C0E46"/>
    <w:rsid w:val="000C1024"/>
    <w:rsid w:val="000C17EA"/>
    <w:rsid w:val="000C19F4"/>
    <w:rsid w:val="000C1FF7"/>
    <w:rsid w:val="000C250D"/>
    <w:rsid w:val="000C3ABF"/>
    <w:rsid w:val="000C3FC9"/>
    <w:rsid w:val="000C412C"/>
    <w:rsid w:val="000C439F"/>
    <w:rsid w:val="000C58E8"/>
    <w:rsid w:val="000C59DC"/>
    <w:rsid w:val="000C5E13"/>
    <w:rsid w:val="000C657B"/>
    <w:rsid w:val="000D0CF7"/>
    <w:rsid w:val="000D117B"/>
    <w:rsid w:val="000D1604"/>
    <w:rsid w:val="000D192B"/>
    <w:rsid w:val="000D1BFD"/>
    <w:rsid w:val="000D3C05"/>
    <w:rsid w:val="000D3FEA"/>
    <w:rsid w:val="000D4406"/>
    <w:rsid w:val="000D44F9"/>
    <w:rsid w:val="000D470F"/>
    <w:rsid w:val="000D4812"/>
    <w:rsid w:val="000D4BE3"/>
    <w:rsid w:val="000D4D15"/>
    <w:rsid w:val="000D4DC6"/>
    <w:rsid w:val="000D51A6"/>
    <w:rsid w:val="000D5878"/>
    <w:rsid w:val="000D6C2D"/>
    <w:rsid w:val="000D6D5A"/>
    <w:rsid w:val="000D7023"/>
    <w:rsid w:val="000D7107"/>
    <w:rsid w:val="000D71AD"/>
    <w:rsid w:val="000E05A0"/>
    <w:rsid w:val="000E05DA"/>
    <w:rsid w:val="000E0ABF"/>
    <w:rsid w:val="000E194B"/>
    <w:rsid w:val="000E2011"/>
    <w:rsid w:val="000E23B9"/>
    <w:rsid w:val="000E283B"/>
    <w:rsid w:val="000E3AC7"/>
    <w:rsid w:val="000E3AFC"/>
    <w:rsid w:val="000E3EBA"/>
    <w:rsid w:val="000E4316"/>
    <w:rsid w:val="000E45EE"/>
    <w:rsid w:val="000E45F4"/>
    <w:rsid w:val="000E4796"/>
    <w:rsid w:val="000E4BAE"/>
    <w:rsid w:val="000E4C20"/>
    <w:rsid w:val="000E5A20"/>
    <w:rsid w:val="000E5C91"/>
    <w:rsid w:val="000E65C8"/>
    <w:rsid w:val="000E716D"/>
    <w:rsid w:val="000E7328"/>
    <w:rsid w:val="000E7515"/>
    <w:rsid w:val="000E7A75"/>
    <w:rsid w:val="000E7E67"/>
    <w:rsid w:val="000F01DD"/>
    <w:rsid w:val="000F021F"/>
    <w:rsid w:val="000F0845"/>
    <w:rsid w:val="000F1184"/>
    <w:rsid w:val="000F2418"/>
    <w:rsid w:val="000F27B2"/>
    <w:rsid w:val="000F2B07"/>
    <w:rsid w:val="000F36FC"/>
    <w:rsid w:val="000F3A89"/>
    <w:rsid w:val="000F5127"/>
    <w:rsid w:val="000F5210"/>
    <w:rsid w:val="000F524D"/>
    <w:rsid w:val="000F525D"/>
    <w:rsid w:val="000F52A9"/>
    <w:rsid w:val="000F60A1"/>
    <w:rsid w:val="000F61CF"/>
    <w:rsid w:val="000F62B6"/>
    <w:rsid w:val="000F6A90"/>
    <w:rsid w:val="000F6AB9"/>
    <w:rsid w:val="000F6BC7"/>
    <w:rsid w:val="000F761E"/>
    <w:rsid w:val="000F768E"/>
    <w:rsid w:val="00100417"/>
    <w:rsid w:val="00100B98"/>
    <w:rsid w:val="00100EEC"/>
    <w:rsid w:val="00102794"/>
    <w:rsid w:val="00102E17"/>
    <w:rsid w:val="00103F32"/>
    <w:rsid w:val="00104FD1"/>
    <w:rsid w:val="001050F1"/>
    <w:rsid w:val="00105331"/>
    <w:rsid w:val="001059A6"/>
    <w:rsid w:val="00105AEC"/>
    <w:rsid w:val="00105ED6"/>
    <w:rsid w:val="00105F07"/>
    <w:rsid w:val="00105F39"/>
    <w:rsid w:val="00107262"/>
    <w:rsid w:val="00107C50"/>
    <w:rsid w:val="00110396"/>
    <w:rsid w:val="001107AD"/>
    <w:rsid w:val="00111497"/>
    <w:rsid w:val="001114A2"/>
    <w:rsid w:val="0011201B"/>
    <w:rsid w:val="00112C90"/>
    <w:rsid w:val="00112E2C"/>
    <w:rsid w:val="001136B3"/>
    <w:rsid w:val="00113889"/>
    <w:rsid w:val="00113E89"/>
    <w:rsid w:val="00113F61"/>
    <w:rsid w:val="00113F8C"/>
    <w:rsid w:val="001153D3"/>
    <w:rsid w:val="00115DB2"/>
    <w:rsid w:val="0011690E"/>
    <w:rsid w:val="00116B69"/>
    <w:rsid w:val="00116B76"/>
    <w:rsid w:val="001171CF"/>
    <w:rsid w:val="00117438"/>
    <w:rsid w:val="00117502"/>
    <w:rsid w:val="00117E3B"/>
    <w:rsid w:val="00120746"/>
    <w:rsid w:val="00120B2A"/>
    <w:rsid w:val="00120BB1"/>
    <w:rsid w:val="00121049"/>
    <w:rsid w:val="0012106C"/>
    <w:rsid w:val="0012107E"/>
    <w:rsid w:val="00121376"/>
    <w:rsid w:val="00121807"/>
    <w:rsid w:val="00121E3B"/>
    <w:rsid w:val="00122850"/>
    <w:rsid w:val="00122C38"/>
    <w:rsid w:val="00123764"/>
    <w:rsid w:val="00124B73"/>
    <w:rsid w:val="00124E05"/>
    <w:rsid w:val="00125AC5"/>
    <w:rsid w:val="00125B07"/>
    <w:rsid w:val="00126567"/>
    <w:rsid w:val="00126B24"/>
    <w:rsid w:val="00126C4B"/>
    <w:rsid w:val="00127002"/>
    <w:rsid w:val="00127D04"/>
    <w:rsid w:val="00127F65"/>
    <w:rsid w:val="0013103D"/>
    <w:rsid w:val="00132238"/>
    <w:rsid w:val="00132245"/>
    <w:rsid w:val="001329E4"/>
    <w:rsid w:val="0013304E"/>
    <w:rsid w:val="00133784"/>
    <w:rsid w:val="00133DDB"/>
    <w:rsid w:val="00134087"/>
    <w:rsid w:val="0013426F"/>
    <w:rsid w:val="001345A6"/>
    <w:rsid w:val="00134661"/>
    <w:rsid w:val="00136280"/>
    <w:rsid w:val="001362B5"/>
    <w:rsid w:val="00137086"/>
    <w:rsid w:val="00137113"/>
    <w:rsid w:val="00137D9B"/>
    <w:rsid w:val="001409E3"/>
    <w:rsid w:val="00141021"/>
    <w:rsid w:val="001418CD"/>
    <w:rsid w:val="00141C15"/>
    <w:rsid w:val="0014351E"/>
    <w:rsid w:val="00144095"/>
    <w:rsid w:val="00145968"/>
    <w:rsid w:val="00145CEE"/>
    <w:rsid w:val="001464B8"/>
    <w:rsid w:val="001467CB"/>
    <w:rsid w:val="001468C8"/>
    <w:rsid w:val="00146E78"/>
    <w:rsid w:val="001470F5"/>
    <w:rsid w:val="001472BF"/>
    <w:rsid w:val="0015039C"/>
    <w:rsid w:val="00150BDE"/>
    <w:rsid w:val="00150C9A"/>
    <w:rsid w:val="00150E69"/>
    <w:rsid w:val="00151571"/>
    <w:rsid w:val="00152E70"/>
    <w:rsid w:val="00153389"/>
    <w:rsid w:val="001537CE"/>
    <w:rsid w:val="00153ACA"/>
    <w:rsid w:val="00153FF0"/>
    <w:rsid w:val="001542AD"/>
    <w:rsid w:val="00154302"/>
    <w:rsid w:val="001549DF"/>
    <w:rsid w:val="00154A47"/>
    <w:rsid w:val="00154CFC"/>
    <w:rsid w:val="0015500A"/>
    <w:rsid w:val="00155413"/>
    <w:rsid w:val="00155983"/>
    <w:rsid w:val="00156A10"/>
    <w:rsid w:val="00157259"/>
    <w:rsid w:val="001572D7"/>
    <w:rsid w:val="001579B9"/>
    <w:rsid w:val="0016064B"/>
    <w:rsid w:val="00160958"/>
    <w:rsid w:val="00160C98"/>
    <w:rsid w:val="00160DB0"/>
    <w:rsid w:val="0016123B"/>
    <w:rsid w:val="001613FC"/>
    <w:rsid w:val="00161637"/>
    <w:rsid w:val="00161BC9"/>
    <w:rsid w:val="00161FEC"/>
    <w:rsid w:val="00162101"/>
    <w:rsid w:val="001621AC"/>
    <w:rsid w:val="00162670"/>
    <w:rsid w:val="001626F3"/>
    <w:rsid w:val="001627AB"/>
    <w:rsid w:val="00162CA3"/>
    <w:rsid w:val="00162E0E"/>
    <w:rsid w:val="00162F33"/>
    <w:rsid w:val="00163B2D"/>
    <w:rsid w:val="0016403A"/>
    <w:rsid w:val="00164E3D"/>
    <w:rsid w:val="001659B2"/>
    <w:rsid w:val="001668D9"/>
    <w:rsid w:val="00167370"/>
    <w:rsid w:val="00167586"/>
    <w:rsid w:val="001676B0"/>
    <w:rsid w:val="00167855"/>
    <w:rsid w:val="0017040B"/>
    <w:rsid w:val="00170C9C"/>
    <w:rsid w:val="00170F19"/>
    <w:rsid w:val="00171600"/>
    <w:rsid w:val="0017196C"/>
    <w:rsid w:val="001723E5"/>
    <w:rsid w:val="00173F6A"/>
    <w:rsid w:val="00174A35"/>
    <w:rsid w:val="00174D35"/>
    <w:rsid w:val="001750C6"/>
    <w:rsid w:val="00175505"/>
    <w:rsid w:val="00175821"/>
    <w:rsid w:val="001766DB"/>
    <w:rsid w:val="0017776C"/>
    <w:rsid w:val="00177953"/>
    <w:rsid w:val="0017798E"/>
    <w:rsid w:val="00177A03"/>
    <w:rsid w:val="00177D22"/>
    <w:rsid w:val="00180722"/>
    <w:rsid w:val="00180D5C"/>
    <w:rsid w:val="0018117B"/>
    <w:rsid w:val="0018131D"/>
    <w:rsid w:val="00183532"/>
    <w:rsid w:val="001836D9"/>
    <w:rsid w:val="00183B73"/>
    <w:rsid w:val="00183C6C"/>
    <w:rsid w:val="00183ED8"/>
    <w:rsid w:val="00184260"/>
    <w:rsid w:val="001842DF"/>
    <w:rsid w:val="00184461"/>
    <w:rsid w:val="00185AED"/>
    <w:rsid w:val="001863F1"/>
    <w:rsid w:val="001866F1"/>
    <w:rsid w:val="001868CF"/>
    <w:rsid w:val="00186E88"/>
    <w:rsid w:val="00186F1C"/>
    <w:rsid w:val="00187489"/>
    <w:rsid w:val="0018749E"/>
    <w:rsid w:val="00187CC9"/>
    <w:rsid w:val="00190146"/>
    <w:rsid w:val="00191062"/>
    <w:rsid w:val="001916E1"/>
    <w:rsid w:val="0019188D"/>
    <w:rsid w:val="00191A12"/>
    <w:rsid w:val="00191DA1"/>
    <w:rsid w:val="00191E4E"/>
    <w:rsid w:val="0019260C"/>
    <w:rsid w:val="00192864"/>
    <w:rsid w:val="00192C09"/>
    <w:rsid w:val="00193B2A"/>
    <w:rsid w:val="00193C03"/>
    <w:rsid w:val="00193F40"/>
    <w:rsid w:val="00194299"/>
    <w:rsid w:val="001947C2"/>
    <w:rsid w:val="001949AF"/>
    <w:rsid w:val="00194F96"/>
    <w:rsid w:val="00195533"/>
    <w:rsid w:val="00195CAA"/>
    <w:rsid w:val="00195D25"/>
    <w:rsid w:val="001960BC"/>
    <w:rsid w:val="001962E9"/>
    <w:rsid w:val="0019740A"/>
    <w:rsid w:val="00197AB8"/>
    <w:rsid w:val="001A0262"/>
    <w:rsid w:val="001A02D9"/>
    <w:rsid w:val="001A12F1"/>
    <w:rsid w:val="001A1391"/>
    <w:rsid w:val="001A1BD2"/>
    <w:rsid w:val="001A238F"/>
    <w:rsid w:val="001A29D6"/>
    <w:rsid w:val="001A32BB"/>
    <w:rsid w:val="001A376E"/>
    <w:rsid w:val="001A3829"/>
    <w:rsid w:val="001A396E"/>
    <w:rsid w:val="001A3B01"/>
    <w:rsid w:val="001A40F0"/>
    <w:rsid w:val="001A4324"/>
    <w:rsid w:val="001A5099"/>
    <w:rsid w:val="001A58CB"/>
    <w:rsid w:val="001A59DD"/>
    <w:rsid w:val="001A59E2"/>
    <w:rsid w:val="001A5FF0"/>
    <w:rsid w:val="001A6B97"/>
    <w:rsid w:val="001A6C00"/>
    <w:rsid w:val="001A709E"/>
    <w:rsid w:val="001A7685"/>
    <w:rsid w:val="001A7933"/>
    <w:rsid w:val="001A7AF8"/>
    <w:rsid w:val="001A7FBB"/>
    <w:rsid w:val="001B095D"/>
    <w:rsid w:val="001B14F2"/>
    <w:rsid w:val="001B1AAA"/>
    <w:rsid w:val="001B1E16"/>
    <w:rsid w:val="001B2032"/>
    <w:rsid w:val="001B2C71"/>
    <w:rsid w:val="001B3136"/>
    <w:rsid w:val="001B339C"/>
    <w:rsid w:val="001B3568"/>
    <w:rsid w:val="001B397B"/>
    <w:rsid w:val="001B3CF2"/>
    <w:rsid w:val="001B3F59"/>
    <w:rsid w:val="001B4AB5"/>
    <w:rsid w:val="001B6D8C"/>
    <w:rsid w:val="001B7D25"/>
    <w:rsid w:val="001C0217"/>
    <w:rsid w:val="001C0355"/>
    <w:rsid w:val="001C053B"/>
    <w:rsid w:val="001C08E5"/>
    <w:rsid w:val="001C0B6F"/>
    <w:rsid w:val="001C18A2"/>
    <w:rsid w:val="001C21F9"/>
    <w:rsid w:val="001C2806"/>
    <w:rsid w:val="001C2ADE"/>
    <w:rsid w:val="001C2CBA"/>
    <w:rsid w:val="001C370F"/>
    <w:rsid w:val="001C48A9"/>
    <w:rsid w:val="001C4E20"/>
    <w:rsid w:val="001C517C"/>
    <w:rsid w:val="001C5B6E"/>
    <w:rsid w:val="001C6071"/>
    <w:rsid w:val="001C6477"/>
    <w:rsid w:val="001C6865"/>
    <w:rsid w:val="001D0152"/>
    <w:rsid w:val="001D07FB"/>
    <w:rsid w:val="001D12B2"/>
    <w:rsid w:val="001D159E"/>
    <w:rsid w:val="001D1611"/>
    <w:rsid w:val="001D2176"/>
    <w:rsid w:val="001D28B4"/>
    <w:rsid w:val="001D29D2"/>
    <w:rsid w:val="001D307B"/>
    <w:rsid w:val="001D33D5"/>
    <w:rsid w:val="001D3733"/>
    <w:rsid w:val="001D3DD9"/>
    <w:rsid w:val="001D45FC"/>
    <w:rsid w:val="001D4A09"/>
    <w:rsid w:val="001D4AA9"/>
    <w:rsid w:val="001D4E14"/>
    <w:rsid w:val="001D4E5A"/>
    <w:rsid w:val="001D513F"/>
    <w:rsid w:val="001D5E90"/>
    <w:rsid w:val="001D63CA"/>
    <w:rsid w:val="001D63F9"/>
    <w:rsid w:val="001D65FF"/>
    <w:rsid w:val="001D6A61"/>
    <w:rsid w:val="001D734A"/>
    <w:rsid w:val="001D792B"/>
    <w:rsid w:val="001D7E85"/>
    <w:rsid w:val="001E0CF0"/>
    <w:rsid w:val="001E13AD"/>
    <w:rsid w:val="001E1FE8"/>
    <w:rsid w:val="001E219B"/>
    <w:rsid w:val="001E21A1"/>
    <w:rsid w:val="001E2B41"/>
    <w:rsid w:val="001E36F0"/>
    <w:rsid w:val="001E398D"/>
    <w:rsid w:val="001E4753"/>
    <w:rsid w:val="001E49BA"/>
    <w:rsid w:val="001E4E35"/>
    <w:rsid w:val="001E5351"/>
    <w:rsid w:val="001E5776"/>
    <w:rsid w:val="001E678C"/>
    <w:rsid w:val="001E6811"/>
    <w:rsid w:val="001E6A48"/>
    <w:rsid w:val="001E6D56"/>
    <w:rsid w:val="001E78E9"/>
    <w:rsid w:val="001E7BBE"/>
    <w:rsid w:val="001E7D82"/>
    <w:rsid w:val="001F0077"/>
    <w:rsid w:val="001F27C4"/>
    <w:rsid w:val="001F2B2F"/>
    <w:rsid w:val="001F30E4"/>
    <w:rsid w:val="001F3697"/>
    <w:rsid w:val="001F3FDA"/>
    <w:rsid w:val="001F441E"/>
    <w:rsid w:val="001F445A"/>
    <w:rsid w:val="001F46E5"/>
    <w:rsid w:val="001F5387"/>
    <w:rsid w:val="001F58D4"/>
    <w:rsid w:val="001F5925"/>
    <w:rsid w:val="001F5CF6"/>
    <w:rsid w:val="001F633C"/>
    <w:rsid w:val="001F6C83"/>
    <w:rsid w:val="001F6CF7"/>
    <w:rsid w:val="001F7C35"/>
    <w:rsid w:val="00200891"/>
    <w:rsid w:val="00201893"/>
    <w:rsid w:val="00201F5C"/>
    <w:rsid w:val="00202525"/>
    <w:rsid w:val="00202585"/>
    <w:rsid w:val="00202E6B"/>
    <w:rsid w:val="00203977"/>
    <w:rsid w:val="00203C3B"/>
    <w:rsid w:val="00204972"/>
    <w:rsid w:val="00204BAE"/>
    <w:rsid w:val="00204C3C"/>
    <w:rsid w:val="00205678"/>
    <w:rsid w:val="00206022"/>
    <w:rsid w:val="00206050"/>
    <w:rsid w:val="00206175"/>
    <w:rsid w:val="0020619E"/>
    <w:rsid w:val="00206B8D"/>
    <w:rsid w:val="00206D8E"/>
    <w:rsid w:val="00207292"/>
    <w:rsid w:val="002072B9"/>
    <w:rsid w:val="00207378"/>
    <w:rsid w:val="002108C5"/>
    <w:rsid w:val="00210A86"/>
    <w:rsid w:val="00210F47"/>
    <w:rsid w:val="00211368"/>
    <w:rsid w:val="0021179D"/>
    <w:rsid w:val="00211FF1"/>
    <w:rsid w:val="002123D7"/>
    <w:rsid w:val="00212872"/>
    <w:rsid w:val="00212923"/>
    <w:rsid w:val="002129B4"/>
    <w:rsid w:val="00213297"/>
    <w:rsid w:val="00213411"/>
    <w:rsid w:val="0021355F"/>
    <w:rsid w:val="00213C13"/>
    <w:rsid w:val="00213C1D"/>
    <w:rsid w:val="00213DD3"/>
    <w:rsid w:val="0021468C"/>
    <w:rsid w:val="00214980"/>
    <w:rsid w:val="002149C7"/>
    <w:rsid w:val="0021523F"/>
    <w:rsid w:val="00215646"/>
    <w:rsid w:val="00215818"/>
    <w:rsid w:val="002158CA"/>
    <w:rsid w:val="002159D1"/>
    <w:rsid w:val="00216983"/>
    <w:rsid w:val="00217654"/>
    <w:rsid w:val="00217925"/>
    <w:rsid w:val="002179B3"/>
    <w:rsid w:val="00217E04"/>
    <w:rsid w:val="002200FC"/>
    <w:rsid w:val="0022040E"/>
    <w:rsid w:val="002204FF"/>
    <w:rsid w:val="002213C0"/>
    <w:rsid w:val="00221D4D"/>
    <w:rsid w:val="00221E45"/>
    <w:rsid w:val="0022207A"/>
    <w:rsid w:val="0022230F"/>
    <w:rsid w:val="00222934"/>
    <w:rsid w:val="002229D4"/>
    <w:rsid w:val="00223908"/>
    <w:rsid w:val="00223D5B"/>
    <w:rsid w:val="002240CA"/>
    <w:rsid w:val="002244E5"/>
    <w:rsid w:val="00224B95"/>
    <w:rsid w:val="00225D9A"/>
    <w:rsid w:val="00226AE1"/>
    <w:rsid w:val="00226EE5"/>
    <w:rsid w:val="00227345"/>
    <w:rsid w:val="002277AA"/>
    <w:rsid w:val="002278BF"/>
    <w:rsid w:val="00230319"/>
    <w:rsid w:val="0023122B"/>
    <w:rsid w:val="00231D77"/>
    <w:rsid w:val="00231DE4"/>
    <w:rsid w:val="00231E17"/>
    <w:rsid w:val="00231FC7"/>
    <w:rsid w:val="00232215"/>
    <w:rsid w:val="00232353"/>
    <w:rsid w:val="00232DB0"/>
    <w:rsid w:val="00232FC8"/>
    <w:rsid w:val="002336AD"/>
    <w:rsid w:val="00233F7B"/>
    <w:rsid w:val="00234940"/>
    <w:rsid w:val="002350F5"/>
    <w:rsid w:val="00235D79"/>
    <w:rsid w:val="002366CD"/>
    <w:rsid w:val="0023697D"/>
    <w:rsid w:val="00236D95"/>
    <w:rsid w:val="00237538"/>
    <w:rsid w:val="002402FB"/>
    <w:rsid w:val="00240638"/>
    <w:rsid w:val="00242703"/>
    <w:rsid w:val="00243A32"/>
    <w:rsid w:val="00244098"/>
    <w:rsid w:val="00244EE9"/>
    <w:rsid w:val="0024522C"/>
    <w:rsid w:val="002468D8"/>
    <w:rsid w:val="002471A1"/>
    <w:rsid w:val="0024765B"/>
    <w:rsid w:val="00247F21"/>
    <w:rsid w:val="00250391"/>
    <w:rsid w:val="00250834"/>
    <w:rsid w:val="00250B98"/>
    <w:rsid w:val="002519AC"/>
    <w:rsid w:val="00251B34"/>
    <w:rsid w:val="00251B9A"/>
    <w:rsid w:val="00251CDF"/>
    <w:rsid w:val="00251D08"/>
    <w:rsid w:val="00251F1D"/>
    <w:rsid w:val="00252272"/>
    <w:rsid w:val="0025240A"/>
    <w:rsid w:val="0025250E"/>
    <w:rsid w:val="00254489"/>
    <w:rsid w:val="00254501"/>
    <w:rsid w:val="002547CB"/>
    <w:rsid w:val="00254CE9"/>
    <w:rsid w:val="00254F47"/>
    <w:rsid w:val="00255103"/>
    <w:rsid w:val="00255934"/>
    <w:rsid w:val="00256123"/>
    <w:rsid w:val="00256563"/>
    <w:rsid w:val="002568B3"/>
    <w:rsid w:val="00256B61"/>
    <w:rsid w:val="0025711D"/>
    <w:rsid w:val="002573BA"/>
    <w:rsid w:val="00260510"/>
    <w:rsid w:val="002613C4"/>
    <w:rsid w:val="002614F4"/>
    <w:rsid w:val="00261739"/>
    <w:rsid w:val="002619DD"/>
    <w:rsid w:val="00262FEB"/>
    <w:rsid w:val="0026312F"/>
    <w:rsid w:val="0026330A"/>
    <w:rsid w:val="00263E9B"/>
    <w:rsid w:val="00264867"/>
    <w:rsid w:val="00264899"/>
    <w:rsid w:val="002649B1"/>
    <w:rsid w:val="00264BBD"/>
    <w:rsid w:val="00264D31"/>
    <w:rsid w:val="00264FA9"/>
    <w:rsid w:val="00265B5C"/>
    <w:rsid w:val="00265C12"/>
    <w:rsid w:val="00266E10"/>
    <w:rsid w:val="00267133"/>
    <w:rsid w:val="00267DD3"/>
    <w:rsid w:val="002702FB"/>
    <w:rsid w:val="00270563"/>
    <w:rsid w:val="00270733"/>
    <w:rsid w:val="00270A7A"/>
    <w:rsid w:val="00272791"/>
    <w:rsid w:val="00272F8F"/>
    <w:rsid w:val="002730EE"/>
    <w:rsid w:val="00273825"/>
    <w:rsid w:val="00273898"/>
    <w:rsid w:val="00274669"/>
    <w:rsid w:val="002749B5"/>
    <w:rsid w:val="00274CE8"/>
    <w:rsid w:val="00274F3C"/>
    <w:rsid w:val="0027561D"/>
    <w:rsid w:val="002758F0"/>
    <w:rsid w:val="002762BE"/>
    <w:rsid w:val="0027680C"/>
    <w:rsid w:val="00276E5B"/>
    <w:rsid w:val="0027751C"/>
    <w:rsid w:val="00277561"/>
    <w:rsid w:val="00277938"/>
    <w:rsid w:val="002800FF"/>
    <w:rsid w:val="002808FB"/>
    <w:rsid w:val="00280BE4"/>
    <w:rsid w:val="00280FF0"/>
    <w:rsid w:val="00281208"/>
    <w:rsid w:val="00281306"/>
    <w:rsid w:val="00281569"/>
    <w:rsid w:val="002819C3"/>
    <w:rsid w:val="00281C56"/>
    <w:rsid w:val="00282748"/>
    <w:rsid w:val="0028296B"/>
    <w:rsid w:val="00282B08"/>
    <w:rsid w:val="00283957"/>
    <w:rsid w:val="00283DCD"/>
    <w:rsid w:val="00283E24"/>
    <w:rsid w:val="00283EC9"/>
    <w:rsid w:val="002841AC"/>
    <w:rsid w:val="0028555C"/>
    <w:rsid w:val="002857C3"/>
    <w:rsid w:val="0028593A"/>
    <w:rsid w:val="00285A25"/>
    <w:rsid w:val="00285A7C"/>
    <w:rsid w:val="00286CD9"/>
    <w:rsid w:val="00287BE5"/>
    <w:rsid w:val="002900D0"/>
    <w:rsid w:val="00290B91"/>
    <w:rsid w:val="00291206"/>
    <w:rsid w:val="00291A92"/>
    <w:rsid w:val="00291B5A"/>
    <w:rsid w:val="00291D29"/>
    <w:rsid w:val="00291F11"/>
    <w:rsid w:val="00292110"/>
    <w:rsid w:val="002927AF"/>
    <w:rsid w:val="00292A0F"/>
    <w:rsid w:val="0029304C"/>
    <w:rsid w:val="00293330"/>
    <w:rsid w:val="00293C30"/>
    <w:rsid w:val="00293FC6"/>
    <w:rsid w:val="00294092"/>
    <w:rsid w:val="0029423C"/>
    <w:rsid w:val="0029442D"/>
    <w:rsid w:val="00294ED7"/>
    <w:rsid w:val="00294FB0"/>
    <w:rsid w:val="00297102"/>
    <w:rsid w:val="002978BA"/>
    <w:rsid w:val="002A0598"/>
    <w:rsid w:val="002A15B9"/>
    <w:rsid w:val="002A1622"/>
    <w:rsid w:val="002A4764"/>
    <w:rsid w:val="002A48C8"/>
    <w:rsid w:val="002A4F36"/>
    <w:rsid w:val="002A51DA"/>
    <w:rsid w:val="002A5FF5"/>
    <w:rsid w:val="002A6EA0"/>
    <w:rsid w:val="002A779B"/>
    <w:rsid w:val="002A7AD5"/>
    <w:rsid w:val="002A7E0C"/>
    <w:rsid w:val="002B0110"/>
    <w:rsid w:val="002B0443"/>
    <w:rsid w:val="002B0511"/>
    <w:rsid w:val="002B065E"/>
    <w:rsid w:val="002B1D8E"/>
    <w:rsid w:val="002B205A"/>
    <w:rsid w:val="002B2173"/>
    <w:rsid w:val="002B25B1"/>
    <w:rsid w:val="002B28BA"/>
    <w:rsid w:val="002B298B"/>
    <w:rsid w:val="002B2EF1"/>
    <w:rsid w:val="002B3E22"/>
    <w:rsid w:val="002B437C"/>
    <w:rsid w:val="002B45C6"/>
    <w:rsid w:val="002B4A0A"/>
    <w:rsid w:val="002B4E8D"/>
    <w:rsid w:val="002B5A04"/>
    <w:rsid w:val="002B5D82"/>
    <w:rsid w:val="002B6081"/>
    <w:rsid w:val="002B6A01"/>
    <w:rsid w:val="002B74A3"/>
    <w:rsid w:val="002B75DD"/>
    <w:rsid w:val="002B7C52"/>
    <w:rsid w:val="002B7F6F"/>
    <w:rsid w:val="002C0157"/>
    <w:rsid w:val="002C0D9C"/>
    <w:rsid w:val="002C0EF5"/>
    <w:rsid w:val="002C1179"/>
    <w:rsid w:val="002C18B8"/>
    <w:rsid w:val="002C1C33"/>
    <w:rsid w:val="002C219C"/>
    <w:rsid w:val="002C234D"/>
    <w:rsid w:val="002C2457"/>
    <w:rsid w:val="002C24EA"/>
    <w:rsid w:val="002C2BC6"/>
    <w:rsid w:val="002C3505"/>
    <w:rsid w:val="002C3612"/>
    <w:rsid w:val="002C3B36"/>
    <w:rsid w:val="002C3C63"/>
    <w:rsid w:val="002C3CAC"/>
    <w:rsid w:val="002C422A"/>
    <w:rsid w:val="002C4281"/>
    <w:rsid w:val="002C42CF"/>
    <w:rsid w:val="002C46F3"/>
    <w:rsid w:val="002C53B3"/>
    <w:rsid w:val="002C555D"/>
    <w:rsid w:val="002C598F"/>
    <w:rsid w:val="002C5E73"/>
    <w:rsid w:val="002C5FF6"/>
    <w:rsid w:val="002C7FDD"/>
    <w:rsid w:val="002D0338"/>
    <w:rsid w:val="002D18FD"/>
    <w:rsid w:val="002D1BDE"/>
    <w:rsid w:val="002D2364"/>
    <w:rsid w:val="002D26D3"/>
    <w:rsid w:val="002D2D76"/>
    <w:rsid w:val="002D2DC4"/>
    <w:rsid w:val="002D34E7"/>
    <w:rsid w:val="002D3927"/>
    <w:rsid w:val="002D3ED5"/>
    <w:rsid w:val="002D44D2"/>
    <w:rsid w:val="002D5561"/>
    <w:rsid w:val="002D5894"/>
    <w:rsid w:val="002D635E"/>
    <w:rsid w:val="002D64CA"/>
    <w:rsid w:val="002D66DF"/>
    <w:rsid w:val="002D713E"/>
    <w:rsid w:val="002D72B5"/>
    <w:rsid w:val="002D73FA"/>
    <w:rsid w:val="002D77E5"/>
    <w:rsid w:val="002D7BF8"/>
    <w:rsid w:val="002E0980"/>
    <w:rsid w:val="002E0EEE"/>
    <w:rsid w:val="002E0F8A"/>
    <w:rsid w:val="002E1547"/>
    <w:rsid w:val="002E1B12"/>
    <w:rsid w:val="002E1FC4"/>
    <w:rsid w:val="002E20C5"/>
    <w:rsid w:val="002E2678"/>
    <w:rsid w:val="002E2890"/>
    <w:rsid w:val="002E2A4D"/>
    <w:rsid w:val="002E2AD3"/>
    <w:rsid w:val="002E2ADA"/>
    <w:rsid w:val="002E37C7"/>
    <w:rsid w:val="002E3916"/>
    <w:rsid w:val="002E3B81"/>
    <w:rsid w:val="002E3BA9"/>
    <w:rsid w:val="002E417C"/>
    <w:rsid w:val="002E461D"/>
    <w:rsid w:val="002E4D04"/>
    <w:rsid w:val="002E5666"/>
    <w:rsid w:val="002E5E9B"/>
    <w:rsid w:val="002E61FF"/>
    <w:rsid w:val="002E6FDA"/>
    <w:rsid w:val="002E72EB"/>
    <w:rsid w:val="002E7536"/>
    <w:rsid w:val="002E7845"/>
    <w:rsid w:val="002F0C4E"/>
    <w:rsid w:val="002F1045"/>
    <w:rsid w:val="002F174C"/>
    <w:rsid w:val="002F1BAB"/>
    <w:rsid w:val="002F2ECE"/>
    <w:rsid w:val="002F2EFB"/>
    <w:rsid w:val="002F2F5E"/>
    <w:rsid w:val="002F5532"/>
    <w:rsid w:val="002F553E"/>
    <w:rsid w:val="002F56B9"/>
    <w:rsid w:val="002F6AA2"/>
    <w:rsid w:val="002F7146"/>
    <w:rsid w:val="002F769F"/>
    <w:rsid w:val="002F7837"/>
    <w:rsid w:val="002F7EEA"/>
    <w:rsid w:val="00300009"/>
    <w:rsid w:val="003004C8"/>
    <w:rsid w:val="0030126F"/>
    <w:rsid w:val="00301627"/>
    <w:rsid w:val="00301722"/>
    <w:rsid w:val="003020A8"/>
    <w:rsid w:val="00302998"/>
    <w:rsid w:val="00302C43"/>
    <w:rsid w:val="00302CAF"/>
    <w:rsid w:val="00303A20"/>
    <w:rsid w:val="00303F18"/>
    <w:rsid w:val="0030478F"/>
    <w:rsid w:val="003049A6"/>
    <w:rsid w:val="00304CD9"/>
    <w:rsid w:val="003057DE"/>
    <w:rsid w:val="0030593C"/>
    <w:rsid w:val="00306E28"/>
    <w:rsid w:val="003072A6"/>
    <w:rsid w:val="0030781D"/>
    <w:rsid w:val="00310231"/>
    <w:rsid w:val="0031031F"/>
    <w:rsid w:val="003108D8"/>
    <w:rsid w:val="00310BEF"/>
    <w:rsid w:val="00310D47"/>
    <w:rsid w:val="0031156E"/>
    <w:rsid w:val="003115EE"/>
    <w:rsid w:val="00311907"/>
    <w:rsid w:val="00311D43"/>
    <w:rsid w:val="00311FE7"/>
    <w:rsid w:val="00312155"/>
    <w:rsid w:val="00313219"/>
    <w:rsid w:val="00313DF1"/>
    <w:rsid w:val="00313F6C"/>
    <w:rsid w:val="00314827"/>
    <w:rsid w:val="003149CD"/>
    <w:rsid w:val="00315326"/>
    <w:rsid w:val="00315538"/>
    <w:rsid w:val="003156F5"/>
    <w:rsid w:val="003157B3"/>
    <w:rsid w:val="00315C26"/>
    <w:rsid w:val="00315E7D"/>
    <w:rsid w:val="00316073"/>
    <w:rsid w:val="0031660A"/>
    <w:rsid w:val="00316C78"/>
    <w:rsid w:val="00317401"/>
    <w:rsid w:val="00317E20"/>
    <w:rsid w:val="00320437"/>
    <w:rsid w:val="003207AB"/>
    <w:rsid w:val="003212FF"/>
    <w:rsid w:val="00321B1F"/>
    <w:rsid w:val="00322A21"/>
    <w:rsid w:val="00322AF2"/>
    <w:rsid w:val="00322BD5"/>
    <w:rsid w:val="00323355"/>
    <w:rsid w:val="00323C87"/>
    <w:rsid w:val="003240A3"/>
    <w:rsid w:val="00324207"/>
    <w:rsid w:val="00324247"/>
    <w:rsid w:val="003247C6"/>
    <w:rsid w:val="00324D7C"/>
    <w:rsid w:val="003253E7"/>
    <w:rsid w:val="00325434"/>
    <w:rsid w:val="00327021"/>
    <w:rsid w:val="0033088F"/>
    <w:rsid w:val="0033089D"/>
    <w:rsid w:val="00330F40"/>
    <w:rsid w:val="003310A9"/>
    <w:rsid w:val="00331104"/>
    <w:rsid w:val="003319B4"/>
    <w:rsid w:val="003322A0"/>
    <w:rsid w:val="00332B82"/>
    <w:rsid w:val="00334366"/>
    <w:rsid w:val="00334503"/>
    <w:rsid w:val="0033519D"/>
    <w:rsid w:val="0033534F"/>
    <w:rsid w:val="00335ABF"/>
    <w:rsid w:val="00335F96"/>
    <w:rsid w:val="003364E7"/>
    <w:rsid w:val="0033657E"/>
    <w:rsid w:val="0033733B"/>
    <w:rsid w:val="003376A9"/>
    <w:rsid w:val="003377F8"/>
    <w:rsid w:val="00337CA1"/>
    <w:rsid w:val="00337D75"/>
    <w:rsid w:val="0034008E"/>
    <w:rsid w:val="0034014B"/>
    <w:rsid w:val="003401EA"/>
    <w:rsid w:val="0034045E"/>
    <w:rsid w:val="00340483"/>
    <w:rsid w:val="00340782"/>
    <w:rsid w:val="00341176"/>
    <w:rsid w:val="0034172F"/>
    <w:rsid w:val="0034178C"/>
    <w:rsid w:val="00341E72"/>
    <w:rsid w:val="003420F0"/>
    <w:rsid w:val="0034271A"/>
    <w:rsid w:val="003429E9"/>
    <w:rsid w:val="00343F8D"/>
    <w:rsid w:val="003441A0"/>
    <w:rsid w:val="00344420"/>
    <w:rsid w:val="0034475A"/>
    <w:rsid w:val="003447D3"/>
    <w:rsid w:val="003449E7"/>
    <w:rsid w:val="00344C50"/>
    <w:rsid w:val="0034502A"/>
    <w:rsid w:val="0034545C"/>
    <w:rsid w:val="00345AB4"/>
    <w:rsid w:val="00346230"/>
    <w:rsid w:val="00347269"/>
    <w:rsid w:val="0034775F"/>
    <w:rsid w:val="00347C46"/>
    <w:rsid w:val="00347F0A"/>
    <w:rsid w:val="00351125"/>
    <w:rsid w:val="00352B56"/>
    <w:rsid w:val="00352BF1"/>
    <w:rsid w:val="00353729"/>
    <w:rsid w:val="0035377C"/>
    <w:rsid w:val="003540FD"/>
    <w:rsid w:val="003547D7"/>
    <w:rsid w:val="003548B3"/>
    <w:rsid w:val="003549AE"/>
    <w:rsid w:val="00354C54"/>
    <w:rsid w:val="00355D04"/>
    <w:rsid w:val="0035653F"/>
    <w:rsid w:val="0035654E"/>
    <w:rsid w:val="00356A90"/>
    <w:rsid w:val="00356B4D"/>
    <w:rsid w:val="00356B75"/>
    <w:rsid w:val="00357C10"/>
    <w:rsid w:val="003602CB"/>
    <w:rsid w:val="00360427"/>
    <w:rsid w:val="00360659"/>
    <w:rsid w:val="0036068D"/>
    <w:rsid w:val="003606AD"/>
    <w:rsid w:val="00360E66"/>
    <w:rsid w:val="00361887"/>
    <w:rsid w:val="0036281E"/>
    <w:rsid w:val="00362BA2"/>
    <w:rsid w:val="00364460"/>
    <w:rsid w:val="003645C0"/>
    <w:rsid w:val="00364785"/>
    <w:rsid w:val="003647B3"/>
    <w:rsid w:val="003647F1"/>
    <w:rsid w:val="00364BF1"/>
    <w:rsid w:val="00365255"/>
    <w:rsid w:val="00365920"/>
    <w:rsid w:val="00365D43"/>
    <w:rsid w:val="003665AD"/>
    <w:rsid w:val="003676EE"/>
    <w:rsid w:val="0036792C"/>
    <w:rsid w:val="00367C4F"/>
    <w:rsid w:val="00367DFE"/>
    <w:rsid w:val="00370274"/>
    <w:rsid w:val="00370F07"/>
    <w:rsid w:val="00371042"/>
    <w:rsid w:val="0037106B"/>
    <w:rsid w:val="003713E6"/>
    <w:rsid w:val="003725C2"/>
    <w:rsid w:val="0037287C"/>
    <w:rsid w:val="00372DCB"/>
    <w:rsid w:val="00373786"/>
    <w:rsid w:val="00373CD1"/>
    <w:rsid w:val="00373FD0"/>
    <w:rsid w:val="00374022"/>
    <w:rsid w:val="0037408F"/>
    <w:rsid w:val="0037432E"/>
    <w:rsid w:val="003749E3"/>
    <w:rsid w:val="00375B38"/>
    <w:rsid w:val="00375B48"/>
    <w:rsid w:val="0037668B"/>
    <w:rsid w:val="003766A2"/>
    <w:rsid w:val="00376E7F"/>
    <w:rsid w:val="0037743C"/>
    <w:rsid w:val="00377688"/>
    <w:rsid w:val="003777A5"/>
    <w:rsid w:val="003778EF"/>
    <w:rsid w:val="003802F8"/>
    <w:rsid w:val="003806F6"/>
    <w:rsid w:val="003809F4"/>
    <w:rsid w:val="00380A59"/>
    <w:rsid w:val="00380CA3"/>
    <w:rsid w:val="00380E13"/>
    <w:rsid w:val="00381C88"/>
    <w:rsid w:val="00381E40"/>
    <w:rsid w:val="00381E61"/>
    <w:rsid w:val="00383E0F"/>
    <w:rsid w:val="003842FB"/>
    <w:rsid w:val="00384AA3"/>
    <w:rsid w:val="00384F74"/>
    <w:rsid w:val="00385F85"/>
    <w:rsid w:val="00386130"/>
    <w:rsid w:val="003872CF"/>
    <w:rsid w:val="003877DB"/>
    <w:rsid w:val="00387AB3"/>
    <w:rsid w:val="00387CEC"/>
    <w:rsid w:val="00387FD8"/>
    <w:rsid w:val="003906EC"/>
    <w:rsid w:val="003909CE"/>
    <w:rsid w:val="00391021"/>
    <w:rsid w:val="0039129F"/>
    <w:rsid w:val="00391780"/>
    <w:rsid w:val="00391B5D"/>
    <w:rsid w:val="00391E71"/>
    <w:rsid w:val="003929E6"/>
    <w:rsid w:val="00392E59"/>
    <w:rsid w:val="00393466"/>
    <w:rsid w:val="00393B5A"/>
    <w:rsid w:val="003947BA"/>
    <w:rsid w:val="003948BA"/>
    <w:rsid w:val="00394B88"/>
    <w:rsid w:val="00394E90"/>
    <w:rsid w:val="00395310"/>
    <w:rsid w:val="00395BCC"/>
    <w:rsid w:val="00396050"/>
    <w:rsid w:val="00396CDD"/>
    <w:rsid w:val="00397162"/>
    <w:rsid w:val="003971C2"/>
    <w:rsid w:val="003972E1"/>
    <w:rsid w:val="003A01EF"/>
    <w:rsid w:val="003A03FE"/>
    <w:rsid w:val="003A0541"/>
    <w:rsid w:val="003A09B1"/>
    <w:rsid w:val="003A0C9E"/>
    <w:rsid w:val="003A12A1"/>
    <w:rsid w:val="003A150A"/>
    <w:rsid w:val="003A15A2"/>
    <w:rsid w:val="003A1A51"/>
    <w:rsid w:val="003A1D36"/>
    <w:rsid w:val="003A242C"/>
    <w:rsid w:val="003A2DB9"/>
    <w:rsid w:val="003A344F"/>
    <w:rsid w:val="003A37C4"/>
    <w:rsid w:val="003A38A5"/>
    <w:rsid w:val="003A3919"/>
    <w:rsid w:val="003A4039"/>
    <w:rsid w:val="003A40FE"/>
    <w:rsid w:val="003A463B"/>
    <w:rsid w:val="003A4642"/>
    <w:rsid w:val="003A46F4"/>
    <w:rsid w:val="003A5831"/>
    <w:rsid w:val="003A59F9"/>
    <w:rsid w:val="003A6C9F"/>
    <w:rsid w:val="003A716C"/>
    <w:rsid w:val="003B0384"/>
    <w:rsid w:val="003B0709"/>
    <w:rsid w:val="003B0E12"/>
    <w:rsid w:val="003B0F38"/>
    <w:rsid w:val="003B12A1"/>
    <w:rsid w:val="003B2497"/>
    <w:rsid w:val="003B2B9D"/>
    <w:rsid w:val="003B2E6B"/>
    <w:rsid w:val="003B3059"/>
    <w:rsid w:val="003B33FC"/>
    <w:rsid w:val="003B3D76"/>
    <w:rsid w:val="003B4BB3"/>
    <w:rsid w:val="003B4D0B"/>
    <w:rsid w:val="003B503F"/>
    <w:rsid w:val="003B51BD"/>
    <w:rsid w:val="003B5382"/>
    <w:rsid w:val="003B5408"/>
    <w:rsid w:val="003B574C"/>
    <w:rsid w:val="003B5ED3"/>
    <w:rsid w:val="003B6091"/>
    <w:rsid w:val="003B6266"/>
    <w:rsid w:val="003B6287"/>
    <w:rsid w:val="003B67FF"/>
    <w:rsid w:val="003B6A8B"/>
    <w:rsid w:val="003B7C33"/>
    <w:rsid w:val="003C0961"/>
    <w:rsid w:val="003C0F61"/>
    <w:rsid w:val="003C102E"/>
    <w:rsid w:val="003C13BB"/>
    <w:rsid w:val="003C1B07"/>
    <w:rsid w:val="003C1E1E"/>
    <w:rsid w:val="003C238D"/>
    <w:rsid w:val="003C2605"/>
    <w:rsid w:val="003C2A52"/>
    <w:rsid w:val="003C2F0B"/>
    <w:rsid w:val="003C3423"/>
    <w:rsid w:val="003C372D"/>
    <w:rsid w:val="003C3A8F"/>
    <w:rsid w:val="003C4C97"/>
    <w:rsid w:val="003C4E9E"/>
    <w:rsid w:val="003C5315"/>
    <w:rsid w:val="003C5B7A"/>
    <w:rsid w:val="003C5EDA"/>
    <w:rsid w:val="003C639D"/>
    <w:rsid w:val="003C6671"/>
    <w:rsid w:val="003C6CE1"/>
    <w:rsid w:val="003C6D2C"/>
    <w:rsid w:val="003C6D6A"/>
    <w:rsid w:val="003C7CD2"/>
    <w:rsid w:val="003D06E0"/>
    <w:rsid w:val="003D09D1"/>
    <w:rsid w:val="003D0B0F"/>
    <w:rsid w:val="003D0C68"/>
    <w:rsid w:val="003D140C"/>
    <w:rsid w:val="003D16A3"/>
    <w:rsid w:val="003D19B9"/>
    <w:rsid w:val="003D1A6A"/>
    <w:rsid w:val="003D2724"/>
    <w:rsid w:val="003D2DB7"/>
    <w:rsid w:val="003D30BF"/>
    <w:rsid w:val="003D30C6"/>
    <w:rsid w:val="003D310E"/>
    <w:rsid w:val="003D33A6"/>
    <w:rsid w:val="003D3CD6"/>
    <w:rsid w:val="003D3D5C"/>
    <w:rsid w:val="003D417A"/>
    <w:rsid w:val="003D4187"/>
    <w:rsid w:val="003D56CD"/>
    <w:rsid w:val="003D5DE9"/>
    <w:rsid w:val="003D5E36"/>
    <w:rsid w:val="003D5E39"/>
    <w:rsid w:val="003D5F82"/>
    <w:rsid w:val="003D5FF9"/>
    <w:rsid w:val="003D6614"/>
    <w:rsid w:val="003D6D30"/>
    <w:rsid w:val="003D72A6"/>
    <w:rsid w:val="003D7352"/>
    <w:rsid w:val="003D7D6F"/>
    <w:rsid w:val="003E0804"/>
    <w:rsid w:val="003E1C71"/>
    <w:rsid w:val="003E1FC6"/>
    <w:rsid w:val="003E210C"/>
    <w:rsid w:val="003E36C9"/>
    <w:rsid w:val="003E3A36"/>
    <w:rsid w:val="003E3F0A"/>
    <w:rsid w:val="003E3FB1"/>
    <w:rsid w:val="003E400A"/>
    <w:rsid w:val="003E445D"/>
    <w:rsid w:val="003E4A6B"/>
    <w:rsid w:val="003E6023"/>
    <w:rsid w:val="003E6EF6"/>
    <w:rsid w:val="003E73BF"/>
    <w:rsid w:val="003E771B"/>
    <w:rsid w:val="003E7F7D"/>
    <w:rsid w:val="003F0478"/>
    <w:rsid w:val="003F074F"/>
    <w:rsid w:val="003F0B27"/>
    <w:rsid w:val="003F0EAB"/>
    <w:rsid w:val="003F11CB"/>
    <w:rsid w:val="003F2230"/>
    <w:rsid w:val="003F282D"/>
    <w:rsid w:val="003F29DC"/>
    <w:rsid w:val="003F2F76"/>
    <w:rsid w:val="003F2FAC"/>
    <w:rsid w:val="003F3283"/>
    <w:rsid w:val="003F32B8"/>
    <w:rsid w:val="003F3A0F"/>
    <w:rsid w:val="003F3B34"/>
    <w:rsid w:val="003F3E12"/>
    <w:rsid w:val="003F401E"/>
    <w:rsid w:val="003F43CF"/>
    <w:rsid w:val="003F4603"/>
    <w:rsid w:val="003F4A39"/>
    <w:rsid w:val="003F4C0C"/>
    <w:rsid w:val="003F4CB0"/>
    <w:rsid w:val="003F51AD"/>
    <w:rsid w:val="003F5C42"/>
    <w:rsid w:val="003F5E83"/>
    <w:rsid w:val="003F622D"/>
    <w:rsid w:val="003F64D1"/>
    <w:rsid w:val="003F6BD5"/>
    <w:rsid w:val="003F74BC"/>
    <w:rsid w:val="004004CA"/>
    <w:rsid w:val="004007C0"/>
    <w:rsid w:val="004011C9"/>
    <w:rsid w:val="00401F4E"/>
    <w:rsid w:val="00401FAC"/>
    <w:rsid w:val="0040251A"/>
    <w:rsid w:val="00402ADF"/>
    <w:rsid w:val="00402CE8"/>
    <w:rsid w:val="00402D95"/>
    <w:rsid w:val="004032D7"/>
    <w:rsid w:val="004040D8"/>
    <w:rsid w:val="0040411A"/>
    <w:rsid w:val="004042C1"/>
    <w:rsid w:val="00405C60"/>
    <w:rsid w:val="00405D1A"/>
    <w:rsid w:val="00405FB4"/>
    <w:rsid w:val="004069B7"/>
    <w:rsid w:val="00406AD3"/>
    <w:rsid w:val="00406F72"/>
    <w:rsid w:val="00407047"/>
    <w:rsid w:val="004071E1"/>
    <w:rsid w:val="00407319"/>
    <w:rsid w:val="004073D3"/>
    <w:rsid w:val="00407998"/>
    <w:rsid w:val="004109BB"/>
    <w:rsid w:val="00410FB1"/>
    <w:rsid w:val="004110F1"/>
    <w:rsid w:val="00411176"/>
    <w:rsid w:val="0041179A"/>
    <w:rsid w:val="0041214C"/>
    <w:rsid w:val="004125FB"/>
    <w:rsid w:val="00412BC4"/>
    <w:rsid w:val="00412D3A"/>
    <w:rsid w:val="00412ECF"/>
    <w:rsid w:val="00413DB5"/>
    <w:rsid w:val="004147E5"/>
    <w:rsid w:val="00414E0B"/>
    <w:rsid w:val="004156E7"/>
    <w:rsid w:val="004157E2"/>
    <w:rsid w:val="00415E9F"/>
    <w:rsid w:val="00415FE9"/>
    <w:rsid w:val="00416265"/>
    <w:rsid w:val="0041637C"/>
    <w:rsid w:val="00416593"/>
    <w:rsid w:val="00416E3E"/>
    <w:rsid w:val="00416E6E"/>
    <w:rsid w:val="0041703C"/>
    <w:rsid w:val="004171C3"/>
    <w:rsid w:val="00417F57"/>
    <w:rsid w:val="00417FC0"/>
    <w:rsid w:val="00420695"/>
    <w:rsid w:val="00420D22"/>
    <w:rsid w:val="00420F55"/>
    <w:rsid w:val="00420F8B"/>
    <w:rsid w:val="004212C9"/>
    <w:rsid w:val="00422CFD"/>
    <w:rsid w:val="00423355"/>
    <w:rsid w:val="004234C1"/>
    <w:rsid w:val="004234C7"/>
    <w:rsid w:val="004240AF"/>
    <w:rsid w:val="004244A8"/>
    <w:rsid w:val="004245B3"/>
    <w:rsid w:val="0042489D"/>
    <w:rsid w:val="0042492E"/>
    <w:rsid w:val="00424E1D"/>
    <w:rsid w:val="00425A08"/>
    <w:rsid w:val="00425C7F"/>
    <w:rsid w:val="00425E62"/>
    <w:rsid w:val="00426597"/>
    <w:rsid w:val="00426EE5"/>
    <w:rsid w:val="00426FD0"/>
    <w:rsid w:val="00427811"/>
    <w:rsid w:val="0043011D"/>
    <w:rsid w:val="00430814"/>
    <w:rsid w:val="004309C5"/>
    <w:rsid w:val="00430D89"/>
    <w:rsid w:val="004326EA"/>
    <w:rsid w:val="00432B25"/>
    <w:rsid w:val="00432EA5"/>
    <w:rsid w:val="004333EA"/>
    <w:rsid w:val="0043386E"/>
    <w:rsid w:val="004339BC"/>
    <w:rsid w:val="0043410B"/>
    <w:rsid w:val="00434229"/>
    <w:rsid w:val="0043444C"/>
    <w:rsid w:val="004345A8"/>
    <w:rsid w:val="00435AA5"/>
    <w:rsid w:val="00436CC3"/>
    <w:rsid w:val="00436FE4"/>
    <w:rsid w:val="0044029F"/>
    <w:rsid w:val="004404F0"/>
    <w:rsid w:val="004413E6"/>
    <w:rsid w:val="004415C9"/>
    <w:rsid w:val="0044190B"/>
    <w:rsid w:val="00442D0E"/>
    <w:rsid w:val="00442FFB"/>
    <w:rsid w:val="0044334D"/>
    <w:rsid w:val="00443CA6"/>
    <w:rsid w:val="00443F59"/>
    <w:rsid w:val="0044570B"/>
    <w:rsid w:val="00445BA2"/>
    <w:rsid w:val="004468DE"/>
    <w:rsid w:val="00446CA0"/>
    <w:rsid w:val="00446CA8"/>
    <w:rsid w:val="004479F4"/>
    <w:rsid w:val="00447F82"/>
    <w:rsid w:val="00450374"/>
    <w:rsid w:val="0045098C"/>
    <w:rsid w:val="00450D38"/>
    <w:rsid w:val="004511ED"/>
    <w:rsid w:val="0045199D"/>
    <w:rsid w:val="00451A26"/>
    <w:rsid w:val="00451A82"/>
    <w:rsid w:val="0045294C"/>
    <w:rsid w:val="004536E7"/>
    <w:rsid w:val="00453C10"/>
    <w:rsid w:val="004541AC"/>
    <w:rsid w:val="00454242"/>
    <w:rsid w:val="0045442D"/>
    <w:rsid w:val="00454835"/>
    <w:rsid w:val="00454EE5"/>
    <w:rsid w:val="00455401"/>
    <w:rsid w:val="00456791"/>
    <w:rsid w:val="00456A92"/>
    <w:rsid w:val="00456DD5"/>
    <w:rsid w:val="00457664"/>
    <w:rsid w:val="00457FE3"/>
    <w:rsid w:val="004608F6"/>
    <w:rsid w:val="004609ED"/>
    <w:rsid w:val="004611B6"/>
    <w:rsid w:val="004611E7"/>
    <w:rsid w:val="00461246"/>
    <w:rsid w:val="00462116"/>
    <w:rsid w:val="00462272"/>
    <w:rsid w:val="0046317B"/>
    <w:rsid w:val="00463819"/>
    <w:rsid w:val="0046445D"/>
    <w:rsid w:val="004644BF"/>
    <w:rsid w:val="00464760"/>
    <w:rsid w:val="00464F10"/>
    <w:rsid w:val="00465A89"/>
    <w:rsid w:val="0046640C"/>
    <w:rsid w:val="0046644C"/>
    <w:rsid w:val="0046668F"/>
    <w:rsid w:val="00466D65"/>
    <w:rsid w:val="00466FC8"/>
    <w:rsid w:val="00467021"/>
    <w:rsid w:val="00467121"/>
    <w:rsid w:val="00467C11"/>
    <w:rsid w:val="00467DCB"/>
    <w:rsid w:val="0047138E"/>
    <w:rsid w:val="004714F6"/>
    <w:rsid w:val="00471A68"/>
    <w:rsid w:val="004728B9"/>
    <w:rsid w:val="00472CC0"/>
    <w:rsid w:val="00473150"/>
    <w:rsid w:val="004737AE"/>
    <w:rsid w:val="004740CB"/>
    <w:rsid w:val="00474678"/>
    <w:rsid w:val="00474E00"/>
    <w:rsid w:val="00474F6F"/>
    <w:rsid w:val="0047510F"/>
    <w:rsid w:val="00475151"/>
    <w:rsid w:val="004753F6"/>
    <w:rsid w:val="00475740"/>
    <w:rsid w:val="00475C0E"/>
    <w:rsid w:val="00475DA3"/>
    <w:rsid w:val="004774D7"/>
    <w:rsid w:val="0047761A"/>
    <w:rsid w:val="00477CE0"/>
    <w:rsid w:val="00477F64"/>
    <w:rsid w:val="00480701"/>
    <w:rsid w:val="00480CBA"/>
    <w:rsid w:val="00480F76"/>
    <w:rsid w:val="004812EE"/>
    <w:rsid w:val="004813DB"/>
    <w:rsid w:val="004813E0"/>
    <w:rsid w:val="00481999"/>
    <w:rsid w:val="00481C68"/>
    <w:rsid w:val="00481D91"/>
    <w:rsid w:val="00481DB1"/>
    <w:rsid w:val="00482978"/>
    <w:rsid w:val="00483326"/>
    <w:rsid w:val="004837CB"/>
    <w:rsid w:val="00483FD3"/>
    <w:rsid w:val="00484482"/>
    <w:rsid w:val="004844B2"/>
    <w:rsid w:val="00484554"/>
    <w:rsid w:val="00484987"/>
    <w:rsid w:val="004856C6"/>
    <w:rsid w:val="004857F0"/>
    <w:rsid w:val="00485934"/>
    <w:rsid w:val="00485C05"/>
    <w:rsid w:val="00486B3B"/>
    <w:rsid w:val="00486CA3"/>
    <w:rsid w:val="00486ECC"/>
    <w:rsid w:val="004873D3"/>
    <w:rsid w:val="004876E4"/>
    <w:rsid w:val="00490446"/>
    <w:rsid w:val="00490B36"/>
    <w:rsid w:val="00490BF3"/>
    <w:rsid w:val="00490BF5"/>
    <w:rsid w:val="00490F69"/>
    <w:rsid w:val="00490FD4"/>
    <w:rsid w:val="004916EC"/>
    <w:rsid w:val="004918C4"/>
    <w:rsid w:val="00491E1B"/>
    <w:rsid w:val="00492400"/>
    <w:rsid w:val="00492A92"/>
    <w:rsid w:val="00492AA8"/>
    <w:rsid w:val="00492B36"/>
    <w:rsid w:val="00492D1B"/>
    <w:rsid w:val="00492E01"/>
    <w:rsid w:val="00492EE8"/>
    <w:rsid w:val="00493398"/>
    <w:rsid w:val="004937B6"/>
    <w:rsid w:val="004940DF"/>
    <w:rsid w:val="004941C2"/>
    <w:rsid w:val="00494450"/>
    <w:rsid w:val="00495A95"/>
    <w:rsid w:val="004961AC"/>
    <w:rsid w:val="004964EF"/>
    <w:rsid w:val="00496556"/>
    <w:rsid w:val="00496E5F"/>
    <w:rsid w:val="00496EF3"/>
    <w:rsid w:val="004972AE"/>
    <w:rsid w:val="004976EF"/>
    <w:rsid w:val="004A21A3"/>
    <w:rsid w:val="004A252E"/>
    <w:rsid w:val="004A2F8B"/>
    <w:rsid w:val="004A350F"/>
    <w:rsid w:val="004A3832"/>
    <w:rsid w:val="004A3E41"/>
    <w:rsid w:val="004A42E6"/>
    <w:rsid w:val="004A461D"/>
    <w:rsid w:val="004A48B3"/>
    <w:rsid w:val="004A4A31"/>
    <w:rsid w:val="004A52A4"/>
    <w:rsid w:val="004A5838"/>
    <w:rsid w:val="004A613D"/>
    <w:rsid w:val="004A61BD"/>
    <w:rsid w:val="004A65AD"/>
    <w:rsid w:val="004A67FB"/>
    <w:rsid w:val="004A68B2"/>
    <w:rsid w:val="004A7479"/>
    <w:rsid w:val="004A78D8"/>
    <w:rsid w:val="004A79DF"/>
    <w:rsid w:val="004B0127"/>
    <w:rsid w:val="004B01B9"/>
    <w:rsid w:val="004B0209"/>
    <w:rsid w:val="004B1298"/>
    <w:rsid w:val="004B15B2"/>
    <w:rsid w:val="004B1C14"/>
    <w:rsid w:val="004B1E53"/>
    <w:rsid w:val="004B1EF0"/>
    <w:rsid w:val="004B23BE"/>
    <w:rsid w:val="004B290E"/>
    <w:rsid w:val="004B2D1D"/>
    <w:rsid w:val="004B3AD8"/>
    <w:rsid w:val="004B3B69"/>
    <w:rsid w:val="004B4515"/>
    <w:rsid w:val="004B4D03"/>
    <w:rsid w:val="004B4DF4"/>
    <w:rsid w:val="004B4FA1"/>
    <w:rsid w:val="004B505A"/>
    <w:rsid w:val="004B5143"/>
    <w:rsid w:val="004B51F0"/>
    <w:rsid w:val="004B5894"/>
    <w:rsid w:val="004B598C"/>
    <w:rsid w:val="004B5D84"/>
    <w:rsid w:val="004B5F0A"/>
    <w:rsid w:val="004B7016"/>
    <w:rsid w:val="004B706A"/>
    <w:rsid w:val="004B7C34"/>
    <w:rsid w:val="004C0948"/>
    <w:rsid w:val="004C0DD3"/>
    <w:rsid w:val="004C0F36"/>
    <w:rsid w:val="004C1C06"/>
    <w:rsid w:val="004C33DE"/>
    <w:rsid w:val="004C39CC"/>
    <w:rsid w:val="004C39EE"/>
    <w:rsid w:val="004C3F5D"/>
    <w:rsid w:val="004C464A"/>
    <w:rsid w:val="004C5015"/>
    <w:rsid w:val="004C5E65"/>
    <w:rsid w:val="004C6067"/>
    <w:rsid w:val="004C60C0"/>
    <w:rsid w:val="004C6186"/>
    <w:rsid w:val="004C62D4"/>
    <w:rsid w:val="004C7667"/>
    <w:rsid w:val="004C794A"/>
    <w:rsid w:val="004C7A53"/>
    <w:rsid w:val="004C7BB1"/>
    <w:rsid w:val="004C7C23"/>
    <w:rsid w:val="004D0E14"/>
    <w:rsid w:val="004D1B3A"/>
    <w:rsid w:val="004D1F87"/>
    <w:rsid w:val="004D2640"/>
    <w:rsid w:val="004D2645"/>
    <w:rsid w:val="004D274A"/>
    <w:rsid w:val="004D3472"/>
    <w:rsid w:val="004D3753"/>
    <w:rsid w:val="004D3869"/>
    <w:rsid w:val="004D389D"/>
    <w:rsid w:val="004D3E5C"/>
    <w:rsid w:val="004D43C6"/>
    <w:rsid w:val="004D47AD"/>
    <w:rsid w:val="004D4937"/>
    <w:rsid w:val="004D5300"/>
    <w:rsid w:val="004D5A1F"/>
    <w:rsid w:val="004D5CA4"/>
    <w:rsid w:val="004D6867"/>
    <w:rsid w:val="004D6D62"/>
    <w:rsid w:val="004D6F9F"/>
    <w:rsid w:val="004D7185"/>
    <w:rsid w:val="004D7336"/>
    <w:rsid w:val="004D7E0B"/>
    <w:rsid w:val="004E0797"/>
    <w:rsid w:val="004E1AA3"/>
    <w:rsid w:val="004E1DF3"/>
    <w:rsid w:val="004E33EF"/>
    <w:rsid w:val="004E3823"/>
    <w:rsid w:val="004E39F5"/>
    <w:rsid w:val="004E4350"/>
    <w:rsid w:val="004E44C4"/>
    <w:rsid w:val="004E4D1D"/>
    <w:rsid w:val="004E4DF2"/>
    <w:rsid w:val="004E54B4"/>
    <w:rsid w:val="004E55E7"/>
    <w:rsid w:val="004E56F5"/>
    <w:rsid w:val="004E576C"/>
    <w:rsid w:val="004E5CF7"/>
    <w:rsid w:val="004E6519"/>
    <w:rsid w:val="004E69E6"/>
    <w:rsid w:val="004E6C2B"/>
    <w:rsid w:val="004E6C42"/>
    <w:rsid w:val="004E7C32"/>
    <w:rsid w:val="004E7E4B"/>
    <w:rsid w:val="004F0828"/>
    <w:rsid w:val="004F0BF2"/>
    <w:rsid w:val="004F0F58"/>
    <w:rsid w:val="004F130C"/>
    <w:rsid w:val="004F22C9"/>
    <w:rsid w:val="004F2BA2"/>
    <w:rsid w:val="004F2D45"/>
    <w:rsid w:val="004F3029"/>
    <w:rsid w:val="004F339F"/>
    <w:rsid w:val="004F3A65"/>
    <w:rsid w:val="004F3E8D"/>
    <w:rsid w:val="004F46ED"/>
    <w:rsid w:val="004F4843"/>
    <w:rsid w:val="004F5B4A"/>
    <w:rsid w:val="004F63F5"/>
    <w:rsid w:val="004F66A0"/>
    <w:rsid w:val="004F67C1"/>
    <w:rsid w:val="004F6936"/>
    <w:rsid w:val="004F69DF"/>
    <w:rsid w:val="004F6FE5"/>
    <w:rsid w:val="004F7165"/>
    <w:rsid w:val="004F7E68"/>
    <w:rsid w:val="005000F4"/>
    <w:rsid w:val="0050066E"/>
    <w:rsid w:val="00500FDD"/>
    <w:rsid w:val="00501040"/>
    <w:rsid w:val="0050206D"/>
    <w:rsid w:val="005023AF"/>
    <w:rsid w:val="00502688"/>
    <w:rsid w:val="005028B6"/>
    <w:rsid w:val="005029DF"/>
    <w:rsid w:val="00503334"/>
    <w:rsid w:val="005033F1"/>
    <w:rsid w:val="00503C79"/>
    <w:rsid w:val="00503D37"/>
    <w:rsid w:val="00503F8A"/>
    <w:rsid w:val="005041A8"/>
    <w:rsid w:val="00504FA5"/>
    <w:rsid w:val="00505AFA"/>
    <w:rsid w:val="00505EF5"/>
    <w:rsid w:val="005060BA"/>
    <w:rsid w:val="00506261"/>
    <w:rsid w:val="005062D3"/>
    <w:rsid w:val="00506A6A"/>
    <w:rsid w:val="0050706B"/>
    <w:rsid w:val="0051017C"/>
    <w:rsid w:val="005103EB"/>
    <w:rsid w:val="0051058C"/>
    <w:rsid w:val="00510B38"/>
    <w:rsid w:val="00510B41"/>
    <w:rsid w:val="00510B50"/>
    <w:rsid w:val="00511096"/>
    <w:rsid w:val="00511FD2"/>
    <w:rsid w:val="005121B5"/>
    <w:rsid w:val="00512881"/>
    <w:rsid w:val="00512A66"/>
    <w:rsid w:val="00512F52"/>
    <w:rsid w:val="005135C0"/>
    <w:rsid w:val="00513742"/>
    <w:rsid w:val="0051381A"/>
    <w:rsid w:val="00513900"/>
    <w:rsid w:val="00515569"/>
    <w:rsid w:val="00515917"/>
    <w:rsid w:val="00516080"/>
    <w:rsid w:val="0051659F"/>
    <w:rsid w:val="005171DC"/>
    <w:rsid w:val="005175BA"/>
    <w:rsid w:val="0051772F"/>
    <w:rsid w:val="00517746"/>
    <w:rsid w:val="005207CA"/>
    <w:rsid w:val="005208B9"/>
    <w:rsid w:val="0052167C"/>
    <w:rsid w:val="00522F7F"/>
    <w:rsid w:val="00523216"/>
    <w:rsid w:val="00523726"/>
    <w:rsid w:val="00523B22"/>
    <w:rsid w:val="00523E6A"/>
    <w:rsid w:val="00524531"/>
    <w:rsid w:val="005246EE"/>
    <w:rsid w:val="005247E5"/>
    <w:rsid w:val="00524EA4"/>
    <w:rsid w:val="00524EF0"/>
    <w:rsid w:val="00525278"/>
    <w:rsid w:val="00525689"/>
    <w:rsid w:val="005259E7"/>
    <w:rsid w:val="00526115"/>
    <w:rsid w:val="00526D5F"/>
    <w:rsid w:val="00527671"/>
    <w:rsid w:val="00527981"/>
    <w:rsid w:val="00527A55"/>
    <w:rsid w:val="0053070B"/>
    <w:rsid w:val="005307FC"/>
    <w:rsid w:val="00530AEF"/>
    <w:rsid w:val="0053100B"/>
    <w:rsid w:val="0053122E"/>
    <w:rsid w:val="00531538"/>
    <w:rsid w:val="00531848"/>
    <w:rsid w:val="0053195B"/>
    <w:rsid w:val="00532650"/>
    <w:rsid w:val="005327A9"/>
    <w:rsid w:val="00532A0B"/>
    <w:rsid w:val="00532BA5"/>
    <w:rsid w:val="0053328D"/>
    <w:rsid w:val="005332B8"/>
    <w:rsid w:val="00533615"/>
    <w:rsid w:val="0053375B"/>
    <w:rsid w:val="00533A37"/>
    <w:rsid w:val="00534161"/>
    <w:rsid w:val="00534C3C"/>
    <w:rsid w:val="00535695"/>
    <w:rsid w:val="00535AA4"/>
    <w:rsid w:val="00535D61"/>
    <w:rsid w:val="0053675A"/>
    <w:rsid w:val="005367DE"/>
    <w:rsid w:val="00536B8E"/>
    <w:rsid w:val="005408FC"/>
    <w:rsid w:val="00540C77"/>
    <w:rsid w:val="00541A69"/>
    <w:rsid w:val="00541D31"/>
    <w:rsid w:val="00541DF6"/>
    <w:rsid w:val="00542560"/>
    <w:rsid w:val="00543332"/>
    <w:rsid w:val="00543476"/>
    <w:rsid w:val="00543C34"/>
    <w:rsid w:val="00543DBD"/>
    <w:rsid w:val="00543F2D"/>
    <w:rsid w:val="00544781"/>
    <w:rsid w:val="00544A88"/>
    <w:rsid w:val="00544FAE"/>
    <w:rsid w:val="0054671E"/>
    <w:rsid w:val="00546999"/>
    <w:rsid w:val="00546CEE"/>
    <w:rsid w:val="005475A5"/>
    <w:rsid w:val="005476C3"/>
    <w:rsid w:val="0054789C"/>
    <w:rsid w:val="005479BA"/>
    <w:rsid w:val="00550208"/>
    <w:rsid w:val="005508D5"/>
    <w:rsid w:val="00550C22"/>
    <w:rsid w:val="00550EC9"/>
    <w:rsid w:val="00550F55"/>
    <w:rsid w:val="00551603"/>
    <w:rsid w:val="00552121"/>
    <w:rsid w:val="005522FF"/>
    <w:rsid w:val="005533F3"/>
    <w:rsid w:val="00554600"/>
    <w:rsid w:val="00555154"/>
    <w:rsid w:val="00555372"/>
    <w:rsid w:val="005559F3"/>
    <w:rsid w:val="00556C65"/>
    <w:rsid w:val="005570EF"/>
    <w:rsid w:val="005574A7"/>
    <w:rsid w:val="00557F27"/>
    <w:rsid w:val="00557F38"/>
    <w:rsid w:val="00557FFE"/>
    <w:rsid w:val="0056040F"/>
    <w:rsid w:val="00560770"/>
    <w:rsid w:val="005609C0"/>
    <w:rsid w:val="00560D63"/>
    <w:rsid w:val="00560E43"/>
    <w:rsid w:val="00561138"/>
    <w:rsid w:val="00561397"/>
    <w:rsid w:val="0056175F"/>
    <w:rsid w:val="005617E6"/>
    <w:rsid w:val="00562D70"/>
    <w:rsid w:val="005634E1"/>
    <w:rsid w:val="00563890"/>
    <w:rsid w:val="005651C1"/>
    <w:rsid w:val="00565394"/>
    <w:rsid w:val="00566029"/>
    <w:rsid w:val="005660EF"/>
    <w:rsid w:val="0056621F"/>
    <w:rsid w:val="00567CE2"/>
    <w:rsid w:val="00570361"/>
    <w:rsid w:val="00570470"/>
    <w:rsid w:val="00570982"/>
    <w:rsid w:val="005711E8"/>
    <w:rsid w:val="0057145D"/>
    <w:rsid w:val="0057271C"/>
    <w:rsid w:val="005732BD"/>
    <w:rsid w:val="005732EF"/>
    <w:rsid w:val="0057338C"/>
    <w:rsid w:val="00573981"/>
    <w:rsid w:val="00573EBB"/>
    <w:rsid w:val="0057404D"/>
    <w:rsid w:val="00574A76"/>
    <w:rsid w:val="00574EC2"/>
    <w:rsid w:val="0057553C"/>
    <w:rsid w:val="00575827"/>
    <w:rsid w:val="00575A4E"/>
    <w:rsid w:val="00575CFA"/>
    <w:rsid w:val="00575E6F"/>
    <w:rsid w:val="0057621B"/>
    <w:rsid w:val="00576A6C"/>
    <w:rsid w:val="00576EDA"/>
    <w:rsid w:val="005779B7"/>
    <w:rsid w:val="0058030E"/>
    <w:rsid w:val="00580B35"/>
    <w:rsid w:val="00580FDF"/>
    <w:rsid w:val="005822D7"/>
    <w:rsid w:val="0058272E"/>
    <w:rsid w:val="00582832"/>
    <w:rsid w:val="0058283C"/>
    <w:rsid w:val="005833AF"/>
    <w:rsid w:val="00583768"/>
    <w:rsid w:val="00583FD2"/>
    <w:rsid w:val="0058437C"/>
    <w:rsid w:val="00584BE8"/>
    <w:rsid w:val="00584C0D"/>
    <w:rsid w:val="00584FE7"/>
    <w:rsid w:val="0058576E"/>
    <w:rsid w:val="005859AC"/>
    <w:rsid w:val="00585D08"/>
    <w:rsid w:val="00585E24"/>
    <w:rsid w:val="00586DD2"/>
    <w:rsid w:val="005870CA"/>
    <w:rsid w:val="005875E2"/>
    <w:rsid w:val="00590152"/>
    <w:rsid w:val="00590294"/>
    <w:rsid w:val="005916C7"/>
    <w:rsid w:val="00591F9B"/>
    <w:rsid w:val="005920D5"/>
    <w:rsid w:val="00592542"/>
    <w:rsid w:val="005925FE"/>
    <w:rsid w:val="00592801"/>
    <w:rsid w:val="00592AB9"/>
    <w:rsid w:val="00592B1E"/>
    <w:rsid w:val="005932E7"/>
    <w:rsid w:val="00593329"/>
    <w:rsid w:val="005933C2"/>
    <w:rsid w:val="0059362A"/>
    <w:rsid w:val="005937EC"/>
    <w:rsid w:val="00595441"/>
    <w:rsid w:val="005954B6"/>
    <w:rsid w:val="005958BC"/>
    <w:rsid w:val="00595A6B"/>
    <w:rsid w:val="00596017"/>
    <w:rsid w:val="00597226"/>
    <w:rsid w:val="005A1285"/>
    <w:rsid w:val="005A22F3"/>
    <w:rsid w:val="005A271A"/>
    <w:rsid w:val="005A2A0E"/>
    <w:rsid w:val="005A2D74"/>
    <w:rsid w:val="005A2EDF"/>
    <w:rsid w:val="005A31DE"/>
    <w:rsid w:val="005A3613"/>
    <w:rsid w:val="005A36CE"/>
    <w:rsid w:val="005A3777"/>
    <w:rsid w:val="005A3CB7"/>
    <w:rsid w:val="005A420A"/>
    <w:rsid w:val="005A4B2D"/>
    <w:rsid w:val="005A5062"/>
    <w:rsid w:val="005A6119"/>
    <w:rsid w:val="005A61D3"/>
    <w:rsid w:val="005A661C"/>
    <w:rsid w:val="005A6E9F"/>
    <w:rsid w:val="005A702F"/>
    <w:rsid w:val="005A70C5"/>
    <w:rsid w:val="005A77A5"/>
    <w:rsid w:val="005A7AC7"/>
    <w:rsid w:val="005B047B"/>
    <w:rsid w:val="005B0EBA"/>
    <w:rsid w:val="005B11D0"/>
    <w:rsid w:val="005B1C0F"/>
    <w:rsid w:val="005B2D5D"/>
    <w:rsid w:val="005B41F0"/>
    <w:rsid w:val="005B451A"/>
    <w:rsid w:val="005B4CEC"/>
    <w:rsid w:val="005B50E9"/>
    <w:rsid w:val="005B59DE"/>
    <w:rsid w:val="005B7535"/>
    <w:rsid w:val="005B781B"/>
    <w:rsid w:val="005C014E"/>
    <w:rsid w:val="005C0DFE"/>
    <w:rsid w:val="005C17C5"/>
    <w:rsid w:val="005C1A53"/>
    <w:rsid w:val="005C1D69"/>
    <w:rsid w:val="005C27A5"/>
    <w:rsid w:val="005C2F28"/>
    <w:rsid w:val="005C364A"/>
    <w:rsid w:val="005C3E0C"/>
    <w:rsid w:val="005C3F11"/>
    <w:rsid w:val="005C4191"/>
    <w:rsid w:val="005C4BDD"/>
    <w:rsid w:val="005C4F6A"/>
    <w:rsid w:val="005C53FA"/>
    <w:rsid w:val="005C549F"/>
    <w:rsid w:val="005C6111"/>
    <w:rsid w:val="005C6211"/>
    <w:rsid w:val="005C6404"/>
    <w:rsid w:val="005C6424"/>
    <w:rsid w:val="005C645C"/>
    <w:rsid w:val="005C6BF7"/>
    <w:rsid w:val="005C716E"/>
    <w:rsid w:val="005C7841"/>
    <w:rsid w:val="005D075B"/>
    <w:rsid w:val="005D0D4A"/>
    <w:rsid w:val="005D10E7"/>
    <w:rsid w:val="005D11BF"/>
    <w:rsid w:val="005D16AC"/>
    <w:rsid w:val="005D2A2D"/>
    <w:rsid w:val="005D2D81"/>
    <w:rsid w:val="005D34A3"/>
    <w:rsid w:val="005D3974"/>
    <w:rsid w:val="005D3AC8"/>
    <w:rsid w:val="005D3AFD"/>
    <w:rsid w:val="005D3C0B"/>
    <w:rsid w:val="005D3D88"/>
    <w:rsid w:val="005D3DE7"/>
    <w:rsid w:val="005D4DB0"/>
    <w:rsid w:val="005D4F1D"/>
    <w:rsid w:val="005D4F2F"/>
    <w:rsid w:val="005D4FFE"/>
    <w:rsid w:val="005D556E"/>
    <w:rsid w:val="005D58B8"/>
    <w:rsid w:val="005D59EF"/>
    <w:rsid w:val="005D5B62"/>
    <w:rsid w:val="005D5E12"/>
    <w:rsid w:val="005D672B"/>
    <w:rsid w:val="005D6780"/>
    <w:rsid w:val="005D6AF2"/>
    <w:rsid w:val="005D6B4C"/>
    <w:rsid w:val="005D6C67"/>
    <w:rsid w:val="005D6CB4"/>
    <w:rsid w:val="005D737E"/>
    <w:rsid w:val="005D7868"/>
    <w:rsid w:val="005E01DC"/>
    <w:rsid w:val="005E0333"/>
    <w:rsid w:val="005E136A"/>
    <w:rsid w:val="005E16A6"/>
    <w:rsid w:val="005E1B7C"/>
    <w:rsid w:val="005E1EAD"/>
    <w:rsid w:val="005E1F98"/>
    <w:rsid w:val="005E2277"/>
    <w:rsid w:val="005E2559"/>
    <w:rsid w:val="005E2782"/>
    <w:rsid w:val="005E2D18"/>
    <w:rsid w:val="005E3192"/>
    <w:rsid w:val="005E33D6"/>
    <w:rsid w:val="005E3F51"/>
    <w:rsid w:val="005E40D6"/>
    <w:rsid w:val="005E4314"/>
    <w:rsid w:val="005E4DE2"/>
    <w:rsid w:val="005E4E40"/>
    <w:rsid w:val="005E5108"/>
    <w:rsid w:val="005E55F6"/>
    <w:rsid w:val="005E56B8"/>
    <w:rsid w:val="005E5708"/>
    <w:rsid w:val="005E755A"/>
    <w:rsid w:val="005E787F"/>
    <w:rsid w:val="005E789E"/>
    <w:rsid w:val="005E7C96"/>
    <w:rsid w:val="005F1048"/>
    <w:rsid w:val="005F104A"/>
    <w:rsid w:val="005F125A"/>
    <w:rsid w:val="005F1341"/>
    <w:rsid w:val="005F151C"/>
    <w:rsid w:val="005F30FC"/>
    <w:rsid w:val="005F399C"/>
    <w:rsid w:val="005F3C9E"/>
    <w:rsid w:val="005F41FE"/>
    <w:rsid w:val="005F42C1"/>
    <w:rsid w:val="005F4D8D"/>
    <w:rsid w:val="005F5784"/>
    <w:rsid w:val="005F59F0"/>
    <w:rsid w:val="005F6257"/>
    <w:rsid w:val="005F64F2"/>
    <w:rsid w:val="005F6B8F"/>
    <w:rsid w:val="005F7AA0"/>
    <w:rsid w:val="005F7DCE"/>
    <w:rsid w:val="006004B7"/>
    <w:rsid w:val="0060074F"/>
    <w:rsid w:val="0060098F"/>
    <w:rsid w:val="006009C0"/>
    <w:rsid w:val="00600D13"/>
    <w:rsid w:val="00600F5A"/>
    <w:rsid w:val="006010E1"/>
    <w:rsid w:val="006011DB"/>
    <w:rsid w:val="00601649"/>
    <w:rsid w:val="00601999"/>
    <w:rsid w:val="00601A40"/>
    <w:rsid w:val="00602164"/>
    <w:rsid w:val="00602492"/>
    <w:rsid w:val="00602762"/>
    <w:rsid w:val="00603456"/>
    <w:rsid w:val="0060348E"/>
    <w:rsid w:val="00603638"/>
    <w:rsid w:val="006039B4"/>
    <w:rsid w:val="00603BB5"/>
    <w:rsid w:val="00603FA9"/>
    <w:rsid w:val="00604E32"/>
    <w:rsid w:val="00604EF8"/>
    <w:rsid w:val="0060560D"/>
    <w:rsid w:val="00605ABB"/>
    <w:rsid w:val="00606A58"/>
    <w:rsid w:val="006108E4"/>
    <w:rsid w:val="00611185"/>
    <w:rsid w:val="0061162D"/>
    <w:rsid w:val="00611AA7"/>
    <w:rsid w:val="00611AFC"/>
    <w:rsid w:val="00612266"/>
    <w:rsid w:val="0061248B"/>
    <w:rsid w:val="006128C0"/>
    <w:rsid w:val="00612CAA"/>
    <w:rsid w:val="00612FF5"/>
    <w:rsid w:val="0061304D"/>
    <w:rsid w:val="00613CF6"/>
    <w:rsid w:val="00613D20"/>
    <w:rsid w:val="0061417B"/>
    <w:rsid w:val="0061441E"/>
    <w:rsid w:val="0061472C"/>
    <w:rsid w:val="00615804"/>
    <w:rsid w:val="00615E69"/>
    <w:rsid w:val="0061601B"/>
    <w:rsid w:val="00616302"/>
    <w:rsid w:val="00616CC3"/>
    <w:rsid w:val="006178C0"/>
    <w:rsid w:val="00617A11"/>
    <w:rsid w:val="00617A1B"/>
    <w:rsid w:val="00617E8F"/>
    <w:rsid w:val="00617E9A"/>
    <w:rsid w:val="006207FF"/>
    <w:rsid w:val="00620DB8"/>
    <w:rsid w:val="00621C5A"/>
    <w:rsid w:val="0062242B"/>
    <w:rsid w:val="00622E78"/>
    <w:rsid w:val="00623009"/>
    <w:rsid w:val="0062342E"/>
    <w:rsid w:val="00623841"/>
    <w:rsid w:val="00623D74"/>
    <w:rsid w:val="0062418D"/>
    <w:rsid w:val="00624DED"/>
    <w:rsid w:val="00624EFE"/>
    <w:rsid w:val="00625572"/>
    <w:rsid w:val="00625969"/>
    <w:rsid w:val="006267A9"/>
    <w:rsid w:val="006268AC"/>
    <w:rsid w:val="00626C73"/>
    <w:rsid w:val="00627A94"/>
    <w:rsid w:val="00627B2D"/>
    <w:rsid w:val="006308E5"/>
    <w:rsid w:val="00630FBA"/>
    <w:rsid w:val="00631A00"/>
    <w:rsid w:val="0063256E"/>
    <w:rsid w:val="00632FFA"/>
    <w:rsid w:val="00633A06"/>
    <w:rsid w:val="00633E19"/>
    <w:rsid w:val="0063402E"/>
    <w:rsid w:val="006341A4"/>
    <w:rsid w:val="00634330"/>
    <w:rsid w:val="006345E8"/>
    <w:rsid w:val="00635267"/>
    <w:rsid w:val="0063573B"/>
    <w:rsid w:val="006359DE"/>
    <w:rsid w:val="0063669B"/>
    <w:rsid w:val="00636734"/>
    <w:rsid w:val="00636913"/>
    <w:rsid w:val="00636C03"/>
    <w:rsid w:val="0063748B"/>
    <w:rsid w:val="00637ACF"/>
    <w:rsid w:val="00640086"/>
    <w:rsid w:val="006401CF"/>
    <w:rsid w:val="006401D7"/>
    <w:rsid w:val="006402BB"/>
    <w:rsid w:val="00640355"/>
    <w:rsid w:val="006416B1"/>
    <w:rsid w:val="00642E79"/>
    <w:rsid w:val="00643610"/>
    <w:rsid w:val="0064366A"/>
    <w:rsid w:val="00643989"/>
    <w:rsid w:val="00643D5F"/>
    <w:rsid w:val="00644171"/>
    <w:rsid w:val="00644C0A"/>
    <w:rsid w:val="00646B24"/>
    <w:rsid w:val="006476F5"/>
    <w:rsid w:val="00647EEA"/>
    <w:rsid w:val="00650245"/>
    <w:rsid w:val="00650640"/>
    <w:rsid w:val="0065065A"/>
    <w:rsid w:val="006507A8"/>
    <w:rsid w:val="00650A52"/>
    <w:rsid w:val="00650C4D"/>
    <w:rsid w:val="00650EA5"/>
    <w:rsid w:val="00650FC5"/>
    <w:rsid w:val="00651290"/>
    <w:rsid w:val="00651D11"/>
    <w:rsid w:val="00651EDC"/>
    <w:rsid w:val="00652692"/>
    <w:rsid w:val="00652C38"/>
    <w:rsid w:val="006530EA"/>
    <w:rsid w:val="006531B7"/>
    <w:rsid w:val="006535C1"/>
    <w:rsid w:val="006535D6"/>
    <w:rsid w:val="00653914"/>
    <w:rsid w:val="00653B9C"/>
    <w:rsid w:val="00654711"/>
    <w:rsid w:val="00654E3C"/>
    <w:rsid w:val="00655716"/>
    <w:rsid w:val="00655B1A"/>
    <w:rsid w:val="00655CA8"/>
    <w:rsid w:val="0065642C"/>
    <w:rsid w:val="00657EAE"/>
    <w:rsid w:val="00660A79"/>
    <w:rsid w:val="00660F0C"/>
    <w:rsid w:val="006610E9"/>
    <w:rsid w:val="006619C4"/>
    <w:rsid w:val="006619FB"/>
    <w:rsid w:val="00661AED"/>
    <w:rsid w:val="00661C5D"/>
    <w:rsid w:val="00661E24"/>
    <w:rsid w:val="00662672"/>
    <w:rsid w:val="00662735"/>
    <w:rsid w:val="00662D80"/>
    <w:rsid w:val="00662FB1"/>
    <w:rsid w:val="00663198"/>
    <w:rsid w:val="006634FF"/>
    <w:rsid w:val="00663697"/>
    <w:rsid w:val="00663A0D"/>
    <w:rsid w:val="0066413C"/>
    <w:rsid w:val="0066416B"/>
    <w:rsid w:val="00664313"/>
    <w:rsid w:val="00664C3D"/>
    <w:rsid w:val="00664C5B"/>
    <w:rsid w:val="0066514E"/>
    <w:rsid w:val="00665216"/>
    <w:rsid w:val="0066593A"/>
    <w:rsid w:val="00665BA8"/>
    <w:rsid w:val="00665E88"/>
    <w:rsid w:val="00666A54"/>
    <w:rsid w:val="00666DDB"/>
    <w:rsid w:val="0066700C"/>
    <w:rsid w:val="00667290"/>
    <w:rsid w:val="00667D92"/>
    <w:rsid w:val="00670E57"/>
    <w:rsid w:val="006712AE"/>
    <w:rsid w:val="00671A3C"/>
    <w:rsid w:val="00671B22"/>
    <w:rsid w:val="006725B4"/>
    <w:rsid w:val="00672757"/>
    <w:rsid w:val="0067294B"/>
    <w:rsid w:val="00673A7D"/>
    <w:rsid w:val="00674610"/>
    <w:rsid w:val="0067498C"/>
    <w:rsid w:val="006756BC"/>
    <w:rsid w:val="006758F0"/>
    <w:rsid w:val="006767B5"/>
    <w:rsid w:val="006777AC"/>
    <w:rsid w:val="00677F36"/>
    <w:rsid w:val="0068025B"/>
    <w:rsid w:val="00680D9B"/>
    <w:rsid w:val="00680FDE"/>
    <w:rsid w:val="00681531"/>
    <w:rsid w:val="006823A8"/>
    <w:rsid w:val="006830FF"/>
    <w:rsid w:val="0068366B"/>
    <w:rsid w:val="006837B4"/>
    <w:rsid w:val="006838A4"/>
    <w:rsid w:val="00683B6A"/>
    <w:rsid w:val="00684D27"/>
    <w:rsid w:val="00684F2D"/>
    <w:rsid w:val="0068525E"/>
    <w:rsid w:val="006855D6"/>
    <w:rsid w:val="00685E19"/>
    <w:rsid w:val="00687671"/>
    <w:rsid w:val="006900D2"/>
    <w:rsid w:val="00690139"/>
    <w:rsid w:val="00690446"/>
    <w:rsid w:val="006905E6"/>
    <w:rsid w:val="00690FB0"/>
    <w:rsid w:val="006912C2"/>
    <w:rsid w:val="00691346"/>
    <w:rsid w:val="0069174C"/>
    <w:rsid w:val="00691CD7"/>
    <w:rsid w:val="00692531"/>
    <w:rsid w:val="006929DB"/>
    <w:rsid w:val="00692A85"/>
    <w:rsid w:val="006932E3"/>
    <w:rsid w:val="006935D4"/>
    <w:rsid w:val="00693749"/>
    <w:rsid w:val="00693824"/>
    <w:rsid w:val="00693B40"/>
    <w:rsid w:val="006947E7"/>
    <w:rsid w:val="0069486A"/>
    <w:rsid w:val="0069564E"/>
    <w:rsid w:val="006962B4"/>
    <w:rsid w:val="0069633F"/>
    <w:rsid w:val="00697720"/>
    <w:rsid w:val="00697DCF"/>
    <w:rsid w:val="006A0574"/>
    <w:rsid w:val="006A0761"/>
    <w:rsid w:val="006A0A09"/>
    <w:rsid w:val="006A147B"/>
    <w:rsid w:val="006A17D7"/>
    <w:rsid w:val="006A1B5C"/>
    <w:rsid w:val="006A1E90"/>
    <w:rsid w:val="006A1F91"/>
    <w:rsid w:val="006A2B41"/>
    <w:rsid w:val="006A2F02"/>
    <w:rsid w:val="006A33D9"/>
    <w:rsid w:val="006A33FA"/>
    <w:rsid w:val="006A3A58"/>
    <w:rsid w:val="006A4C49"/>
    <w:rsid w:val="006A4C94"/>
    <w:rsid w:val="006A508B"/>
    <w:rsid w:val="006A5511"/>
    <w:rsid w:val="006A60AE"/>
    <w:rsid w:val="006A62BA"/>
    <w:rsid w:val="006A68C7"/>
    <w:rsid w:val="006A7118"/>
    <w:rsid w:val="006A7229"/>
    <w:rsid w:val="006A7F10"/>
    <w:rsid w:val="006B00FD"/>
    <w:rsid w:val="006B05B1"/>
    <w:rsid w:val="006B13E2"/>
    <w:rsid w:val="006B168E"/>
    <w:rsid w:val="006B1B29"/>
    <w:rsid w:val="006B1BD7"/>
    <w:rsid w:val="006B2257"/>
    <w:rsid w:val="006B374A"/>
    <w:rsid w:val="006B37A4"/>
    <w:rsid w:val="006B3B71"/>
    <w:rsid w:val="006B4026"/>
    <w:rsid w:val="006B444F"/>
    <w:rsid w:val="006B45F4"/>
    <w:rsid w:val="006B49D4"/>
    <w:rsid w:val="006B4D6F"/>
    <w:rsid w:val="006B5A52"/>
    <w:rsid w:val="006B62C7"/>
    <w:rsid w:val="006B65D1"/>
    <w:rsid w:val="006B6B8E"/>
    <w:rsid w:val="006B6D18"/>
    <w:rsid w:val="006B6F9B"/>
    <w:rsid w:val="006B718A"/>
    <w:rsid w:val="006B722C"/>
    <w:rsid w:val="006B7A33"/>
    <w:rsid w:val="006B7A7D"/>
    <w:rsid w:val="006B7CA2"/>
    <w:rsid w:val="006B7D80"/>
    <w:rsid w:val="006B7F00"/>
    <w:rsid w:val="006C0138"/>
    <w:rsid w:val="006C01B7"/>
    <w:rsid w:val="006C0B5C"/>
    <w:rsid w:val="006C0E49"/>
    <w:rsid w:val="006C0EB0"/>
    <w:rsid w:val="006C165C"/>
    <w:rsid w:val="006C2244"/>
    <w:rsid w:val="006C243C"/>
    <w:rsid w:val="006C25D2"/>
    <w:rsid w:val="006C2895"/>
    <w:rsid w:val="006C2C2F"/>
    <w:rsid w:val="006C2F0A"/>
    <w:rsid w:val="006C32C6"/>
    <w:rsid w:val="006C3494"/>
    <w:rsid w:val="006C392A"/>
    <w:rsid w:val="006C39DD"/>
    <w:rsid w:val="006C3E3D"/>
    <w:rsid w:val="006C44F7"/>
    <w:rsid w:val="006C4E59"/>
    <w:rsid w:val="006C503B"/>
    <w:rsid w:val="006C5507"/>
    <w:rsid w:val="006C5AB4"/>
    <w:rsid w:val="006C6030"/>
    <w:rsid w:val="006C648D"/>
    <w:rsid w:val="006C6FDE"/>
    <w:rsid w:val="006C7E95"/>
    <w:rsid w:val="006D00E3"/>
    <w:rsid w:val="006D047C"/>
    <w:rsid w:val="006D0B16"/>
    <w:rsid w:val="006D0BF6"/>
    <w:rsid w:val="006D0CEE"/>
    <w:rsid w:val="006D174A"/>
    <w:rsid w:val="006D187D"/>
    <w:rsid w:val="006D1A48"/>
    <w:rsid w:val="006D1DCC"/>
    <w:rsid w:val="006D231E"/>
    <w:rsid w:val="006D26BC"/>
    <w:rsid w:val="006D286C"/>
    <w:rsid w:val="006D2DE2"/>
    <w:rsid w:val="006D311F"/>
    <w:rsid w:val="006D3FF9"/>
    <w:rsid w:val="006D4393"/>
    <w:rsid w:val="006D4542"/>
    <w:rsid w:val="006D4912"/>
    <w:rsid w:val="006D4D74"/>
    <w:rsid w:val="006D52C0"/>
    <w:rsid w:val="006D61C0"/>
    <w:rsid w:val="006D620F"/>
    <w:rsid w:val="006D6370"/>
    <w:rsid w:val="006D6398"/>
    <w:rsid w:val="006D6574"/>
    <w:rsid w:val="006D6E78"/>
    <w:rsid w:val="006D73C1"/>
    <w:rsid w:val="006D73E5"/>
    <w:rsid w:val="006D784E"/>
    <w:rsid w:val="006E0003"/>
    <w:rsid w:val="006E0379"/>
    <w:rsid w:val="006E154A"/>
    <w:rsid w:val="006E1741"/>
    <w:rsid w:val="006E1927"/>
    <w:rsid w:val="006E1939"/>
    <w:rsid w:val="006E2AEC"/>
    <w:rsid w:val="006E2EA0"/>
    <w:rsid w:val="006E3A3C"/>
    <w:rsid w:val="006E3F05"/>
    <w:rsid w:val="006E442D"/>
    <w:rsid w:val="006E4504"/>
    <w:rsid w:val="006E455E"/>
    <w:rsid w:val="006E4877"/>
    <w:rsid w:val="006E4AF9"/>
    <w:rsid w:val="006E503D"/>
    <w:rsid w:val="006E63A1"/>
    <w:rsid w:val="006E664C"/>
    <w:rsid w:val="006E6C3C"/>
    <w:rsid w:val="006E7D78"/>
    <w:rsid w:val="006F1DFA"/>
    <w:rsid w:val="006F21B0"/>
    <w:rsid w:val="006F2676"/>
    <w:rsid w:val="006F3021"/>
    <w:rsid w:val="006F34F7"/>
    <w:rsid w:val="006F49D3"/>
    <w:rsid w:val="006F4A4F"/>
    <w:rsid w:val="006F4E31"/>
    <w:rsid w:val="006F5EB8"/>
    <w:rsid w:val="006F6517"/>
    <w:rsid w:val="006F655A"/>
    <w:rsid w:val="006F68D4"/>
    <w:rsid w:val="006F6C88"/>
    <w:rsid w:val="006F709C"/>
    <w:rsid w:val="006F77AD"/>
    <w:rsid w:val="006F7D4E"/>
    <w:rsid w:val="00700AB0"/>
    <w:rsid w:val="00701C10"/>
    <w:rsid w:val="00701D03"/>
    <w:rsid w:val="00701F96"/>
    <w:rsid w:val="00702136"/>
    <w:rsid w:val="00703770"/>
    <w:rsid w:val="00703D8B"/>
    <w:rsid w:val="00704207"/>
    <w:rsid w:val="007044FF"/>
    <w:rsid w:val="00704AFE"/>
    <w:rsid w:val="007057C6"/>
    <w:rsid w:val="00705BAB"/>
    <w:rsid w:val="00705D48"/>
    <w:rsid w:val="007062A8"/>
    <w:rsid w:val="00706B68"/>
    <w:rsid w:val="00706E2B"/>
    <w:rsid w:val="0070766E"/>
    <w:rsid w:val="007076F7"/>
    <w:rsid w:val="00707F61"/>
    <w:rsid w:val="0071012C"/>
    <w:rsid w:val="007114A0"/>
    <w:rsid w:val="0071163C"/>
    <w:rsid w:val="00711BBD"/>
    <w:rsid w:val="00711BE8"/>
    <w:rsid w:val="00711C40"/>
    <w:rsid w:val="00711F4C"/>
    <w:rsid w:val="0071214A"/>
    <w:rsid w:val="007127C9"/>
    <w:rsid w:val="007137B9"/>
    <w:rsid w:val="00713A23"/>
    <w:rsid w:val="00713B28"/>
    <w:rsid w:val="0071447C"/>
    <w:rsid w:val="00714D34"/>
    <w:rsid w:val="00714D4B"/>
    <w:rsid w:val="007157F1"/>
    <w:rsid w:val="00715873"/>
    <w:rsid w:val="0071639C"/>
    <w:rsid w:val="007164D1"/>
    <w:rsid w:val="00716F4F"/>
    <w:rsid w:val="0071728C"/>
    <w:rsid w:val="007174E1"/>
    <w:rsid w:val="007176B0"/>
    <w:rsid w:val="00717A3A"/>
    <w:rsid w:val="00717C71"/>
    <w:rsid w:val="00717CB6"/>
    <w:rsid w:val="00720222"/>
    <w:rsid w:val="00720FFD"/>
    <w:rsid w:val="0072113B"/>
    <w:rsid w:val="0072194B"/>
    <w:rsid w:val="00721EA6"/>
    <w:rsid w:val="00722014"/>
    <w:rsid w:val="00723A36"/>
    <w:rsid w:val="00724621"/>
    <w:rsid w:val="00724A95"/>
    <w:rsid w:val="00725662"/>
    <w:rsid w:val="00725711"/>
    <w:rsid w:val="00725D00"/>
    <w:rsid w:val="007260E3"/>
    <w:rsid w:val="00726C0E"/>
    <w:rsid w:val="007270D3"/>
    <w:rsid w:val="00730985"/>
    <w:rsid w:val="00730B80"/>
    <w:rsid w:val="00731C4D"/>
    <w:rsid w:val="00733BAB"/>
    <w:rsid w:val="00733FBC"/>
    <w:rsid w:val="0073460C"/>
    <w:rsid w:val="00734842"/>
    <w:rsid w:val="007348B7"/>
    <w:rsid w:val="007348DB"/>
    <w:rsid w:val="00734E10"/>
    <w:rsid w:val="007350B2"/>
    <w:rsid w:val="00735926"/>
    <w:rsid w:val="007359F9"/>
    <w:rsid w:val="00735CA0"/>
    <w:rsid w:val="00735F8B"/>
    <w:rsid w:val="00736460"/>
    <w:rsid w:val="007364D8"/>
    <w:rsid w:val="00736ADF"/>
    <w:rsid w:val="00736C97"/>
    <w:rsid w:val="00737068"/>
    <w:rsid w:val="00737646"/>
    <w:rsid w:val="007376AD"/>
    <w:rsid w:val="00737DC2"/>
    <w:rsid w:val="0074044E"/>
    <w:rsid w:val="00740ECE"/>
    <w:rsid w:val="00741559"/>
    <w:rsid w:val="00741BF1"/>
    <w:rsid w:val="00741E29"/>
    <w:rsid w:val="007420C6"/>
    <w:rsid w:val="007425C8"/>
    <w:rsid w:val="00742D18"/>
    <w:rsid w:val="00744520"/>
    <w:rsid w:val="00744AA2"/>
    <w:rsid w:val="00744BB0"/>
    <w:rsid w:val="00745D4D"/>
    <w:rsid w:val="00745E5D"/>
    <w:rsid w:val="00745FA7"/>
    <w:rsid w:val="00746788"/>
    <w:rsid w:val="007467AD"/>
    <w:rsid w:val="00746829"/>
    <w:rsid w:val="0074700F"/>
    <w:rsid w:val="00747492"/>
    <w:rsid w:val="00747738"/>
    <w:rsid w:val="00747BC0"/>
    <w:rsid w:val="00747E50"/>
    <w:rsid w:val="00750909"/>
    <w:rsid w:val="00750B81"/>
    <w:rsid w:val="00751237"/>
    <w:rsid w:val="0075173A"/>
    <w:rsid w:val="00751B0E"/>
    <w:rsid w:val="00752642"/>
    <w:rsid w:val="00752A00"/>
    <w:rsid w:val="00752A0E"/>
    <w:rsid w:val="00752BFF"/>
    <w:rsid w:val="00753B1F"/>
    <w:rsid w:val="00753CA0"/>
    <w:rsid w:val="00753DA6"/>
    <w:rsid w:val="007541E1"/>
    <w:rsid w:val="00754C10"/>
    <w:rsid w:val="00754D48"/>
    <w:rsid w:val="0075544E"/>
    <w:rsid w:val="007555CA"/>
    <w:rsid w:val="00755C38"/>
    <w:rsid w:val="00756490"/>
    <w:rsid w:val="0075717E"/>
    <w:rsid w:val="0075755A"/>
    <w:rsid w:val="00757B2E"/>
    <w:rsid w:val="00757C15"/>
    <w:rsid w:val="00757E13"/>
    <w:rsid w:val="0076023C"/>
    <w:rsid w:val="00760B82"/>
    <w:rsid w:val="00760D66"/>
    <w:rsid w:val="0076104A"/>
    <w:rsid w:val="00761539"/>
    <w:rsid w:val="007622C8"/>
    <w:rsid w:val="00762B7E"/>
    <w:rsid w:val="0076310F"/>
    <w:rsid w:val="00764463"/>
    <w:rsid w:val="00764570"/>
    <w:rsid w:val="00764659"/>
    <w:rsid w:val="007653CC"/>
    <w:rsid w:val="00765624"/>
    <w:rsid w:val="007657FB"/>
    <w:rsid w:val="00765AF4"/>
    <w:rsid w:val="00765B66"/>
    <w:rsid w:val="00765CC0"/>
    <w:rsid w:val="007661A6"/>
    <w:rsid w:val="007662B8"/>
    <w:rsid w:val="00766355"/>
    <w:rsid w:val="007668A6"/>
    <w:rsid w:val="00766E1E"/>
    <w:rsid w:val="00766EC9"/>
    <w:rsid w:val="0076760C"/>
    <w:rsid w:val="00767DC5"/>
    <w:rsid w:val="00767E0F"/>
    <w:rsid w:val="00770526"/>
    <w:rsid w:val="00770C67"/>
    <w:rsid w:val="00770DB9"/>
    <w:rsid w:val="0077121E"/>
    <w:rsid w:val="00771343"/>
    <w:rsid w:val="00771AA1"/>
    <w:rsid w:val="00771E42"/>
    <w:rsid w:val="00771EA1"/>
    <w:rsid w:val="00772BDE"/>
    <w:rsid w:val="0077336E"/>
    <w:rsid w:val="00773548"/>
    <w:rsid w:val="00773579"/>
    <w:rsid w:val="0077392D"/>
    <w:rsid w:val="007747B5"/>
    <w:rsid w:val="00774ED6"/>
    <w:rsid w:val="00775B53"/>
    <w:rsid w:val="00775C58"/>
    <w:rsid w:val="00775DED"/>
    <w:rsid w:val="0077625A"/>
    <w:rsid w:val="0077649C"/>
    <w:rsid w:val="007772CC"/>
    <w:rsid w:val="007774A8"/>
    <w:rsid w:val="007777C4"/>
    <w:rsid w:val="00780489"/>
    <w:rsid w:val="00780821"/>
    <w:rsid w:val="00781455"/>
    <w:rsid w:val="00781A08"/>
    <w:rsid w:val="00781A66"/>
    <w:rsid w:val="00782528"/>
    <w:rsid w:val="007826E4"/>
    <w:rsid w:val="00782C80"/>
    <w:rsid w:val="007830C2"/>
    <w:rsid w:val="007834B3"/>
    <w:rsid w:val="00783B03"/>
    <w:rsid w:val="00784333"/>
    <w:rsid w:val="00784646"/>
    <w:rsid w:val="00784851"/>
    <w:rsid w:val="00784900"/>
    <w:rsid w:val="00785183"/>
    <w:rsid w:val="007852C0"/>
    <w:rsid w:val="00785AF1"/>
    <w:rsid w:val="00785DBC"/>
    <w:rsid w:val="0078692D"/>
    <w:rsid w:val="007869A2"/>
    <w:rsid w:val="00787465"/>
    <w:rsid w:val="0078791F"/>
    <w:rsid w:val="00787AD9"/>
    <w:rsid w:val="007905A2"/>
    <w:rsid w:val="00790784"/>
    <w:rsid w:val="00790CBB"/>
    <w:rsid w:val="00791504"/>
    <w:rsid w:val="007915B0"/>
    <w:rsid w:val="00791693"/>
    <w:rsid w:val="00791A19"/>
    <w:rsid w:val="00791AA1"/>
    <w:rsid w:val="00791F11"/>
    <w:rsid w:val="00792229"/>
    <w:rsid w:val="007929BC"/>
    <w:rsid w:val="007937CE"/>
    <w:rsid w:val="0079457E"/>
    <w:rsid w:val="00795453"/>
    <w:rsid w:val="00795A49"/>
    <w:rsid w:val="00796389"/>
    <w:rsid w:val="00796707"/>
    <w:rsid w:val="007967FC"/>
    <w:rsid w:val="00796AF7"/>
    <w:rsid w:val="0079766B"/>
    <w:rsid w:val="0079781E"/>
    <w:rsid w:val="007978B2"/>
    <w:rsid w:val="007A0090"/>
    <w:rsid w:val="007A055B"/>
    <w:rsid w:val="007A0C27"/>
    <w:rsid w:val="007A0D51"/>
    <w:rsid w:val="007A1376"/>
    <w:rsid w:val="007A1437"/>
    <w:rsid w:val="007A167F"/>
    <w:rsid w:val="007A1842"/>
    <w:rsid w:val="007A1D33"/>
    <w:rsid w:val="007A2114"/>
    <w:rsid w:val="007A2ECE"/>
    <w:rsid w:val="007A3546"/>
    <w:rsid w:val="007A35D5"/>
    <w:rsid w:val="007A3897"/>
    <w:rsid w:val="007A3D98"/>
    <w:rsid w:val="007A3DD6"/>
    <w:rsid w:val="007A3E35"/>
    <w:rsid w:val="007A408B"/>
    <w:rsid w:val="007A4412"/>
    <w:rsid w:val="007A4837"/>
    <w:rsid w:val="007A4AEF"/>
    <w:rsid w:val="007A666C"/>
    <w:rsid w:val="007A68CE"/>
    <w:rsid w:val="007A7004"/>
    <w:rsid w:val="007B0E75"/>
    <w:rsid w:val="007B14D2"/>
    <w:rsid w:val="007B2162"/>
    <w:rsid w:val="007B25B7"/>
    <w:rsid w:val="007B3D46"/>
    <w:rsid w:val="007B4106"/>
    <w:rsid w:val="007B41EF"/>
    <w:rsid w:val="007B461D"/>
    <w:rsid w:val="007B4649"/>
    <w:rsid w:val="007B4690"/>
    <w:rsid w:val="007B5479"/>
    <w:rsid w:val="007B54BD"/>
    <w:rsid w:val="007B5AE3"/>
    <w:rsid w:val="007B5C52"/>
    <w:rsid w:val="007B6972"/>
    <w:rsid w:val="007B6E4F"/>
    <w:rsid w:val="007B7977"/>
    <w:rsid w:val="007B7E4C"/>
    <w:rsid w:val="007B7E9D"/>
    <w:rsid w:val="007C0B79"/>
    <w:rsid w:val="007C0BE0"/>
    <w:rsid w:val="007C0ED2"/>
    <w:rsid w:val="007C1875"/>
    <w:rsid w:val="007C1CF3"/>
    <w:rsid w:val="007C29D1"/>
    <w:rsid w:val="007C442B"/>
    <w:rsid w:val="007C446C"/>
    <w:rsid w:val="007C49EC"/>
    <w:rsid w:val="007C4A15"/>
    <w:rsid w:val="007C4AB4"/>
    <w:rsid w:val="007C4F34"/>
    <w:rsid w:val="007C528C"/>
    <w:rsid w:val="007C5FBB"/>
    <w:rsid w:val="007C675E"/>
    <w:rsid w:val="007C7225"/>
    <w:rsid w:val="007C7F28"/>
    <w:rsid w:val="007D0120"/>
    <w:rsid w:val="007D0955"/>
    <w:rsid w:val="007D0B13"/>
    <w:rsid w:val="007D0E3C"/>
    <w:rsid w:val="007D2A53"/>
    <w:rsid w:val="007D3D7E"/>
    <w:rsid w:val="007D3FD7"/>
    <w:rsid w:val="007D41FA"/>
    <w:rsid w:val="007D489F"/>
    <w:rsid w:val="007D4BF7"/>
    <w:rsid w:val="007D4C59"/>
    <w:rsid w:val="007D52A2"/>
    <w:rsid w:val="007D5540"/>
    <w:rsid w:val="007D580A"/>
    <w:rsid w:val="007D6381"/>
    <w:rsid w:val="007D73A6"/>
    <w:rsid w:val="007D7402"/>
    <w:rsid w:val="007D74D2"/>
    <w:rsid w:val="007D77FC"/>
    <w:rsid w:val="007E011E"/>
    <w:rsid w:val="007E0621"/>
    <w:rsid w:val="007E09A9"/>
    <w:rsid w:val="007E0D0D"/>
    <w:rsid w:val="007E151F"/>
    <w:rsid w:val="007E20A4"/>
    <w:rsid w:val="007E3883"/>
    <w:rsid w:val="007E3A0E"/>
    <w:rsid w:val="007E3A21"/>
    <w:rsid w:val="007E40D0"/>
    <w:rsid w:val="007E4E08"/>
    <w:rsid w:val="007E55A1"/>
    <w:rsid w:val="007E5CBC"/>
    <w:rsid w:val="007E629B"/>
    <w:rsid w:val="007E62AC"/>
    <w:rsid w:val="007E62E2"/>
    <w:rsid w:val="007E6A07"/>
    <w:rsid w:val="007E6A22"/>
    <w:rsid w:val="007E6D2B"/>
    <w:rsid w:val="007E7431"/>
    <w:rsid w:val="007E7E37"/>
    <w:rsid w:val="007F05F4"/>
    <w:rsid w:val="007F063A"/>
    <w:rsid w:val="007F09CC"/>
    <w:rsid w:val="007F09DF"/>
    <w:rsid w:val="007F0F66"/>
    <w:rsid w:val="007F1388"/>
    <w:rsid w:val="007F2520"/>
    <w:rsid w:val="007F2CD0"/>
    <w:rsid w:val="007F323C"/>
    <w:rsid w:val="007F3433"/>
    <w:rsid w:val="007F3DA4"/>
    <w:rsid w:val="007F3DED"/>
    <w:rsid w:val="007F3F2D"/>
    <w:rsid w:val="007F453D"/>
    <w:rsid w:val="007F45FB"/>
    <w:rsid w:val="007F4BC3"/>
    <w:rsid w:val="007F5593"/>
    <w:rsid w:val="007F5B5E"/>
    <w:rsid w:val="007F5D9D"/>
    <w:rsid w:val="007F5DE8"/>
    <w:rsid w:val="007F68C7"/>
    <w:rsid w:val="007F6D70"/>
    <w:rsid w:val="007F77E2"/>
    <w:rsid w:val="007F78EF"/>
    <w:rsid w:val="008001CC"/>
    <w:rsid w:val="00800763"/>
    <w:rsid w:val="00800E19"/>
    <w:rsid w:val="00801272"/>
    <w:rsid w:val="008012BF"/>
    <w:rsid w:val="008023FE"/>
    <w:rsid w:val="00802786"/>
    <w:rsid w:val="00802DE3"/>
    <w:rsid w:val="00802EF2"/>
    <w:rsid w:val="0080315B"/>
    <w:rsid w:val="008036C4"/>
    <w:rsid w:val="00803968"/>
    <w:rsid w:val="0080398B"/>
    <w:rsid w:val="00806873"/>
    <w:rsid w:val="00806D51"/>
    <w:rsid w:val="00806D8E"/>
    <w:rsid w:val="00806E96"/>
    <w:rsid w:val="00807726"/>
    <w:rsid w:val="00807E78"/>
    <w:rsid w:val="00807FCE"/>
    <w:rsid w:val="00810FC3"/>
    <w:rsid w:val="00811166"/>
    <w:rsid w:val="008115B2"/>
    <w:rsid w:val="00812EFC"/>
    <w:rsid w:val="00813308"/>
    <w:rsid w:val="00813B74"/>
    <w:rsid w:val="008146F3"/>
    <w:rsid w:val="00814EE8"/>
    <w:rsid w:val="00814F47"/>
    <w:rsid w:val="00815600"/>
    <w:rsid w:val="00815852"/>
    <w:rsid w:val="0081590F"/>
    <w:rsid w:val="008159B1"/>
    <w:rsid w:val="008169FF"/>
    <w:rsid w:val="00816B73"/>
    <w:rsid w:val="00817138"/>
    <w:rsid w:val="00817605"/>
    <w:rsid w:val="00817659"/>
    <w:rsid w:val="008209DD"/>
    <w:rsid w:val="00821795"/>
    <w:rsid w:val="00821A8E"/>
    <w:rsid w:val="00822053"/>
    <w:rsid w:val="008227C4"/>
    <w:rsid w:val="00823154"/>
    <w:rsid w:val="008233FF"/>
    <w:rsid w:val="00823B43"/>
    <w:rsid w:val="00824388"/>
    <w:rsid w:val="0082469C"/>
    <w:rsid w:val="008254EB"/>
    <w:rsid w:val="00825E7E"/>
    <w:rsid w:val="00825F3E"/>
    <w:rsid w:val="008261D5"/>
    <w:rsid w:val="008267AB"/>
    <w:rsid w:val="00826D59"/>
    <w:rsid w:val="00826F93"/>
    <w:rsid w:val="0083041C"/>
    <w:rsid w:val="0083066D"/>
    <w:rsid w:val="008308C4"/>
    <w:rsid w:val="00830AE2"/>
    <w:rsid w:val="00830AE8"/>
    <w:rsid w:val="00830D8F"/>
    <w:rsid w:val="00830DA0"/>
    <w:rsid w:val="008312C5"/>
    <w:rsid w:val="008314FF"/>
    <w:rsid w:val="00831789"/>
    <w:rsid w:val="00831908"/>
    <w:rsid w:val="00831C15"/>
    <w:rsid w:val="00831F64"/>
    <w:rsid w:val="00832289"/>
    <w:rsid w:val="008322FD"/>
    <w:rsid w:val="00833AEB"/>
    <w:rsid w:val="00833D4A"/>
    <w:rsid w:val="00834532"/>
    <w:rsid w:val="0083492F"/>
    <w:rsid w:val="00834AED"/>
    <w:rsid w:val="00834EE1"/>
    <w:rsid w:val="008354FC"/>
    <w:rsid w:val="008357FC"/>
    <w:rsid w:val="00836001"/>
    <w:rsid w:val="00836FD3"/>
    <w:rsid w:val="0083702C"/>
    <w:rsid w:val="00837B47"/>
    <w:rsid w:val="00837B59"/>
    <w:rsid w:val="00837D83"/>
    <w:rsid w:val="00837F41"/>
    <w:rsid w:val="00840196"/>
    <w:rsid w:val="00840215"/>
    <w:rsid w:val="00840598"/>
    <w:rsid w:val="008406F7"/>
    <w:rsid w:val="00841351"/>
    <w:rsid w:val="0084179E"/>
    <w:rsid w:val="008426A1"/>
    <w:rsid w:val="008427A2"/>
    <w:rsid w:val="00842B89"/>
    <w:rsid w:val="00843753"/>
    <w:rsid w:val="00843BB1"/>
    <w:rsid w:val="00843E55"/>
    <w:rsid w:val="00844C27"/>
    <w:rsid w:val="00844E49"/>
    <w:rsid w:val="0084538A"/>
    <w:rsid w:val="00846E1A"/>
    <w:rsid w:val="008476B8"/>
    <w:rsid w:val="008477F4"/>
    <w:rsid w:val="008477FE"/>
    <w:rsid w:val="00847898"/>
    <w:rsid w:val="0085019A"/>
    <w:rsid w:val="008509C0"/>
    <w:rsid w:val="00850BF8"/>
    <w:rsid w:val="00851624"/>
    <w:rsid w:val="00851D65"/>
    <w:rsid w:val="00851FC7"/>
    <w:rsid w:val="008523E3"/>
    <w:rsid w:val="008525F2"/>
    <w:rsid w:val="00852825"/>
    <w:rsid w:val="00852FA4"/>
    <w:rsid w:val="0085369D"/>
    <w:rsid w:val="008539CF"/>
    <w:rsid w:val="00853A04"/>
    <w:rsid w:val="00853D04"/>
    <w:rsid w:val="00853FB7"/>
    <w:rsid w:val="00854045"/>
    <w:rsid w:val="00854405"/>
    <w:rsid w:val="008544BA"/>
    <w:rsid w:val="00854B81"/>
    <w:rsid w:val="00855457"/>
    <w:rsid w:val="00855A04"/>
    <w:rsid w:val="008564AE"/>
    <w:rsid w:val="0085675B"/>
    <w:rsid w:val="00856997"/>
    <w:rsid w:val="00856D58"/>
    <w:rsid w:val="00860510"/>
    <w:rsid w:val="00860D9F"/>
    <w:rsid w:val="00861A5F"/>
    <w:rsid w:val="00861B03"/>
    <w:rsid w:val="0086209A"/>
    <w:rsid w:val="0086246F"/>
    <w:rsid w:val="0086274C"/>
    <w:rsid w:val="00862C47"/>
    <w:rsid w:val="00862D6E"/>
    <w:rsid w:val="00862FA1"/>
    <w:rsid w:val="008639E4"/>
    <w:rsid w:val="00863AD0"/>
    <w:rsid w:val="00863BBB"/>
    <w:rsid w:val="00864042"/>
    <w:rsid w:val="0086420A"/>
    <w:rsid w:val="00864622"/>
    <w:rsid w:val="00864791"/>
    <w:rsid w:val="00864ACF"/>
    <w:rsid w:val="00864DAC"/>
    <w:rsid w:val="00864E77"/>
    <w:rsid w:val="00865254"/>
    <w:rsid w:val="00865DC5"/>
    <w:rsid w:val="00866768"/>
    <w:rsid w:val="00866A6C"/>
    <w:rsid w:val="00866AD7"/>
    <w:rsid w:val="00866E07"/>
    <w:rsid w:val="00866E0D"/>
    <w:rsid w:val="00867106"/>
    <w:rsid w:val="008679DA"/>
    <w:rsid w:val="00867E45"/>
    <w:rsid w:val="00867FC0"/>
    <w:rsid w:val="008702D6"/>
    <w:rsid w:val="008706A2"/>
    <w:rsid w:val="00870B57"/>
    <w:rsid w:val="008710C8"/>
    <w:rsid w:val="00871463"/>
    <w:rsid w:val="00871A13"/>
    <w:rsid w:val="00872257"/>
    <w:rsid w:val="008724E9"/>
    <w:rsid w:val="008729F1"/>
    <w:rsid w:val="00872AB8"/>
    <w:rsid w:val="00873618"/>
    <w:rsid w:val="008739F2"/>
    <w:rsid w:val="00873D28"/>
    <w:rsid w:val="00873FB8"/>
    <w:rsid w:val="00874520"/>
    <w:rsid w:val="00874D52"/>
    <w:rsid w:val="008758FA"/>
    <w:rsid w:val="00875B8F"/>
    <w:rsid w:val="00875D18"/>
    <w:rsid w:val="008765C7"/>
    <w:rsid w:val="008765DB"/>
    <w:rsid w:val="008770AC"/>
    <w:rsid w:val="00877475"/>
    <w:rsid w:val="00877C65"/>
    <w:rsid w:val="0088046C"/>
    <w:rsid w:val="008809B1"/>
    <w:rsid w:val="008816D0"/>
    <w:rsid w:val="00881870"/>
    <w:rsid w:val="00881899"/>
    <w:rsid w:val="00881E08"/>
    <w:rsid w:val="00881EA7"/>
    <w:rsid w:val="00882470"/>
    <w:rsid w:val="00882850"/>
    <w:rsid w:val="00882AF4"/>
    <w:rsid w:val="00882D06"/>
    <w:rsid w:val="00883199"/>
    <w:rsid w:val="00883707"/>
    <w:rsid w:val="0088376F"/>
    <w:rsid w:val="008839E3"/>
    <w:rsid w:val="00883D84"/>
    <w:rsid w:val="00884AA4"/>
    <w:rsid w:val="00885400"/>
    <w:rsid w:val="0088574A"/>
    <w:rsid w:val="00886C53"/>
    <w:rsid w:val="00887AA6"/>
    <w:rsid w:val="00887AAC"/>
    <w:rsid w:val="0089055D"/>
    <w:rsid w:val="0089067C"/>
    <w:rsid w:val="00891473"/>
    <w:rsid w:val="00891DB6"/>
    <w:rsid w:val="0089209C"/>
    <w:rsid w:val="00892636"/>
    <w:rsid w:val="008947CD"/>
    <w:rsid w:val="008948DA"/>
    <w:rsid w:val="0089491B"/>
    <w:rsid w:val="00894A0D"/>
    <w:rsid w:val="008950B6"/>
    <w:rsid w:val="0089519B"/>
    <w:rsid w:val="00895279"/>
    <w:rsid w:val="0089534B"/>
    <w:rsid w:val="00895554"/>
    <w:rsid w:val="00895ADD"/>
    <w:rsid w:val="00896021"/>
    <w:rsid w:val="00896243"/>
    <w:rsid w:val="00897125"/>
    <w:rsid w:val="00897156"/>
    <w:rsid w:val="0089722F"/>
    <w:rsid w:val="008978F1"/>
    <w:rsid w:val="008A177B"/>
    <w:rsid w:val="008A1A2B"/>
    <w:rsid w:val="008A1A5B"/>
    <w:rsid w:val="008A1CA5"/>
    <w:rsid w:val="008A215B"/>
    <w:rsid w:val="008A377D"/>
    <w:rsid w:val="008A38F3"/>
    <w:rsid w:val="008A419B"/>
    <w:rsid w:val="008A434C"/>
    <w:rsid w:val="008A4EE4"/>
    <w:rsid w:val="008A520F"/>
    <w:rsid w:val="008A521A"/>
    <w:rsid w:val="008A57D2"/>
    <w:rsid w:val="008A61FD"/>
    <w:rsid w:val="008A77F8"/>
    <w:rsid w:val="008B0406"/>
    <w:rsid w:val="008B0518"/>
    <w:rsid w:val="008B0E33"/>
    <w:rsid w:val="008B0F0F"/>
    <w:rsid w:val="008B11D1"/>
    <w:rsid w:val="008B13E7"/>
    <w:rsid w:val="008B1E02"/>
    <w:rsid w:val="008B1E31"/>
    <w:rsid w:val="008B1F8E"/>
    <w:rsid w:val="008B2F5F"/>
    <w:rsid w:val="008B331E"/>
    <w:rsid w:val="008B384E"/>
    <w:rsid w:val="008B3ADE"/>
    <w:rsid w:val="008B3F1C"/>
    <w:rsid w:val="008B3F42"/>
    <w:rsid w:val="008B3FAA"/>
    <w:rsid w:val="008B41DC"/>
    <w:rsid w:val="008B4C3E"/>
    <w:rsid w:val="008B4D0A"/>
    <w:rsid w:val="008B4EEB"/>
    <w:rsid w:val="008B503C"/>
    <w:rsid w:val="008B5375"/>
    <w:rsid w:val="008B6BBA"/>
    <w:rsid w:val="008C07E8"/>
    <w:rsid w:val="008C1A77"/>
    <w:rsid w:val="008C1B42"/>
    <w:rsid w:val="008C226D"/>
    <w:rsid w:val="008C2483"/>
    <w:rsid w:val="008C26BB"/>
    <w:rsid w:val="008C2E0E"/>
    <w:rsid w:val="008C33E2"/>
    <w:rsid w:val="008C3954"/>
    <w:rsid w:val="008C48E4"/>
    <w:rsid w:val="008C4C51"/>
    <w:rsid w:val="008C4C8E"/>
    <w:rsid w:val="008C4E47"/>
    <w:rsid w:val="008C5208"/>
    <w:rsid w:val="008C55F7"/>
    <w:rsid w:val="008C56E5"/>
    <w:rsid w:val="008C59E2"/>
    <w:rsid w:val="008C5C46"/>
    <w:rsid w:val="008C609E"/>
    <w:rsid w:val="008C66AB"/>
    <w:rsid w:val="008C6868"/>
    <w:rsid w:val="008C6A0E"/>
    <w:rsid w:val="008C6BA2"/>
    <w:rsid w:val="008C6BD4"/>
    <w:rsid w:val="008C6C6D"/>
    <w:rsid w:val="008C70F7"/>
    <w:rsid w:val="008C7622"/>
    <w:rsid w:val="008D04BF"/>
    <w:rsid w:val="008D0794"/>
    <w:rsid w:val="008D0E3B"/>
    <w:rsid w:val="008D101C"/>
    <w:rsid w:val="008D271F"/>
    <w:rsid w:val="008D2A32"/>
    <w:rsid w:val="008D419F"/>
    <w:rsid w:val="008D46F4"/>
    <w:rsid w:val="008D4844"/>
    <w:rsid w:val="008D4C98"/>
    <w:rsid w:val="008D4D79"/>
    <w:rsid w:val="008D516A"/>
    <w:rsid w:val="008D541C"/>
    <w:rsid w:val="008D54B0"/>
    <w:rsid w:val="008D567A"/>
    <w:rsid w:val="008D61B8"/>
    <w:rsid w:val="008D635B"/>
    <w:rsid w:val="008D63F8"/>
    <w:rsid w:val="008D6671"/>
    <w:rsid w:val="008D66AE"/>
    <w:rsid w:val="008D69A6"/>
    <w:rsid w:val="008D73CC"/>
    <w:rsid w:val="008D78B8"/>
    <w:rsid w:val="008D7986"/>
    <w:rsid w:val="008D7A2B"/>
    <w:rsid w:val="008D7AC5"/>
    <w:rsid w:val="008D7E82"/>
    <w:rsid w:val="008E08B4"/>
    <w:rsid w:val="008E09B2"/>
    <w:rsid w:val="008E0D23"/>
    <w:rsid w:val="008E0E84"/>
    <w:rsid w:val="008E0F91"/>
    <w:rsid w:val="008E151A"/>
    <w:rsid w:val="008E1C0B"/>
    <w:rsid w:val="008E2030"/>
    <w:rsid w:val="008E2338"/>
    <w:rsid w:val="008E2772"/>
    <w:rsid w:val="008E2D09"/>
    <w:rsid w:val="008E2D96"/>
    <w:rsid w:val="008E33E4"/>
    <w:rsid w:val="008E477D"/>
    <w:rsid w:val="008E5B56"/>
    <w:rsid w:val="008E60B3"/>
    <w:rsid w:val="008E70D5"/>
    <w:rsid w:val="008E7664"/>
    <w:rsid w:val="008E7E6D"/>
    <w:rsid w:val="008F052B"/>
    <w:rsid w:val="008F055A"/>
    <w:rsid w:val="008F0A9D"/>
    <w:rsid w:val="008F16D7"/>
    <w:rsid w:val="008F19BC"/>
    <w:rsid w:val="008F1E3F"/>
    <w:rsid w:val="008F206E"/>
    <w:rsid w:val="008F27DF"/>
    <w:rsid w:val="008F31C0"/>
    <w:rsid w:val="008F35C0"/>
    <w:rsid w:val="008F3712"/>
    <w:rsid w:val="008F3E8A"/>
    <w:rsid w:val="008F41D6"/>
    <w:rsid w:val="008F57C8"/>
    <w:rsid w:val="008F5837"/>
    <w:rsid w:val="008F5893"/>
    <w:rsid w:val="008F687D"/>
    <w:rsid w:val="008F6D2F"/>
    <w:rsid w:val="008F7016"/>
    <w:rsid w:val="008F71D5"/>
    <w:rsid w:val="008F728E"/>
    <w:rsid w:val="008F7759"/>
    <w:rsid w:val="008F7D09"/>
    <w:rsid w:val="00900AB8"/>
    <w:rsid w:val="009010CD"/>
    <w:rsid w:val="009012E3"/>
    <w:rsid w:val="00902233"/>
    <w:rsid w:val="00902F4C"/>
    <w:rsid w:val="00903922"/>
    <w:rsid w:val="00903CD0"/>
    <w:rsid w:val="0090421B"/>
    <w:rsid w:val="00904CAE"/>
    <w:rsid w:val="00905383"/>
    <w:rsid w:val="00905C19"/>
    <w:rsid w:val="009078DD"/>
    <w:rsid w:val="00907CE8"/>
    <w:rsid w:val="00907E98"/>
    <w:rsid w:val="00910C9E"/>
    <w:rsid w:val="009112DF"/>
    <w:rsid w:val="009112E2"/>
    <w:rsid w:val="009113C0"/>
    <w:rsid w:val="00912288"/>
    <w:rsid w:val="00912BEF"/>
    <w:rsid w:val="00913587"/>
    <w:rsid w:val="00913E0C"/>
    <w:rsid w:val="00913EEE"/>
    <w:rsid w:val="009142C1"/>
    <w:rsid w:val="00914883"/>
    <w:rsid w:val="00914BFB"/>
    <w:rsid w:val="00915080"/>
    <w:rsid w:val="009150B5"/>
    <w:rsid w:val="0091515F"/>
    <w:rsid w:val="009154EE"/>
    <w:rsid w:val="0091553B"/>
    <w:rsid w:val="009155CC"/>
    <w:rsid w:val="009158AE"/>
    <w:rsid w:val="00915B47"/>
    <w:rsid w:val="00916027"/>
    <w:rsid w:val="00917389"/>
    <w:rsid w:val="0091747D"/>
    <w:rsid w:val="009174D4"/>
    <w:rsid w:val="00917C5A"/>
    <w:rsid w:val="00920912"/>
    <w:rsid w:val="00920C69"/>
    <w:rsid w:val="00920DE5"/>
    <w:rsid w:val="00921351"/>
    <w:rsid w:val="0092250E"/>
    <w:rsid w:val="00924F6E"/>
    <w:rsid w:val="00926150"/>
    <w:rsid w:val="00926385"/>
    <w:rsid w:val="0092667E"/>
    <w:rsid w:val="009278E2"/>
    <w:rsid w:val="00927AF5"/>
    <w:rsid w:val="00927F12"/>
    <w:rsid w:val="00930007"/>
    <w:rsid w:val="00930537"/>
    <w:rsid w:val="009307C8"/>
    <w:rsid w:val="00931477"/>
    <w:rsid w:val="0093150A"/>
    <w:rsid w:val="009318DA"/>
    <w:rsid w:val="00931978"/>
    <w:rsid w:val="00931A93"/>
    <w:rsid w:val="00931B6E"/>
    <w:rsid w:val="00931FB1"/>
    <w:rsid w:val="00932105"/>
    <w:rsid w:val="00932166"/>
    <w:rsid w:val="00932A7D"/>
    <w:rsid w:val="00932C68"/>
    <w:rsid w:val="009337EC"/>
    <w:rsid w:val="009342B4"/>
    <w:rsid w:val="009342B8"/>
    <w:rsid w:val="00934714"/>
    <w:rsid w:val="00934EFD"/>
    <w:rsid w:val="00934FDE"/>
    <w:rsid w:val="00935191"/>
    <w:rsid w:val="00935C32"/>
    <w:rsid w:val="009374D3"/>
    <w:rsid w:val="0093753B"/>
    <w:rsid w:val="009402BD"/>
    <w:rsid w:val="00940D1B"/>
    <w:rsid w:val="009418CA"/>
    <w:rsid w:val="0094215C"/>
    <w:rsid w:val="00942623"/>
    <w:rsid w:val="00942632"/>
    <w:rsid w:val="00942A80"/>
    <w:rsid w:val="00942C25"/>
    <w:rsid w:val="00942D64"/>
    <w:rsid w:val="009431B4"/>
    <w:rsid w:val="00943DF1"/>
    <w:rsid w:val="0094461D"/>
    <w:rsid w:val="00946436"/>
    <w:rsid w:val="00946D5D"/>
    <w:rsid w:val="00946DEB"/>
    <w:rsid w:val="00947174"/>
    <w:rsid w:val="009475BD"/>
    <w:rsid w:val="00950DD8"/>
    <w:rsid w:val="00951392"/>
    <w:rsid w:val="009534DC"/>
    <w:rsid w:val="0095367A"/>
    <w:rsid w:val="00954255"/>
    <w:rsid w:val="00954375"/>
    <w:rsid w:val="00954FBF"/>
    <w:rsid w:val="00955CA6"/>
    <w:rsid w:val="009561AA"/>
    <w:rsid w:val="009564C0"/>
    <w:rsid w:val="00956525"/>
    <w:rsid w:val="00956BE4"/>
    <w:rsid w:val="009571C2"/>
    <w:rsid w:val="0095764F"/>
    <w:rsid w:val="00957780"/>
    <w:rsid w:val="0095799F"/>
    <w:rsid w:val="0096056E"/>
    <w:rsid w:val="00960D48"/>
    <w:rsid w:val="0096100B"/>
    <w:rsid w:val="009610CE"/>
    <w:rsid w:val="00961764"/>
    <w:rsid w:val="0096196E"/>
    <w:rsid w:val="00962132"/>
    <w:rsid w:val="009630FA"/>
    <w:rsid w:val="009631B5"/>
    <w:rsid w:val="00963449"/>
    <w:rsid w:val="009646FE"/>
    <w:rsid w:val="00964C9F"/>
    <w:rsid w:val="00964E57"/>
    <w:rsid w:val="009652C4"/>
    <w:rsid w:val="00965594"/>
    <w:rsid w:val="00965748"/>
    <w:rsid w:val="00965B97"/>
    <w:rsid w:val="00965E46"/>
    <w:rsid w:val="00966196"/>
    <w:rsid w:val="0096639E"/>
    <w:rsid w:val="00966970"/>
    <w:rsid w:val="00966AE0"/>
    <w:rsid w:val="00966D80"/>
    <w:rsid w:val="00967B8D"/>
    <w:rsid w:val="0097048C"/>
    <w:rsid w:val="0097098A"/>
    <w:rsid w:val="00970E51"/>
    <w:rsid w:val="00970F15"/>
    <w:rsid w:val="00971C8C"/>
    <w:rsid w:val="009720DF"/>
    <w:rsid w:val="0097354D"/>
    <w:rsid w:val="00973AA6"/>
    <w:rsid w:val="00974C8A"/>
    <w:rsid w:val="0097517D"/>
    <w:rsid w:val="00975670"/>
    <w:rsid w:val="009807E1"/>
    <w:rsid w:val="009809BD"/>
    <w:rsid w:val="0098149D"/>
    <w:rsid w:val="009820C4"/>
    <w:rsid w:val="00982425"/>
    <w:rsid w:val="009826DE"/>
    <w:rsid w:val="00982D61"/>
    <w:rsid w:val="009830B6"/>
    <w:rsid w:val="00983324"/>
    <w:rsid w:val="00983C0E"/>
    <w:rsid w:val="00983E47"/>
    <w:rsid w:val="00984387"/>
    <w:rsid w:val="009847F8"/>
    <w:rsid w:val="00984BE6"/>
    <w:rsid w:val="009852FB"/>
    <w:rsid w:val="009858EF"/>
    <w:rsid w:val="00986395"/>
    <w:rsid w:val="009865C3"/>
    <w:rsid w:val="009867C3"/>
    <w:rsid w:val="00986980"/>
    <w:rsid w:val="00987C98"/>
    <w:rsid w:val="00990FE4"/>
    <w:rsid w:val="00991374"/>
    <w:rsid w:val="009915D1"/>
    <w:rsid w:val="00991A90"/>
    <w:rsid w:val="00991DEC"/>
    <w:rsid w:val="0099207C"/>
    <w:rsid w:val="00992170"/>
    <w:rsid w:val="009922CF"/>
    <w:rsid w:val="00992363"/>
    <w:rsid w:val="009931AB"/>
    <w:rsid w:val="0099346D"/>
    <w:rsid w:val="00993C84"/>
    <w:rsid w:val="00996146"/>
    <w:rsid w:val="00996E6F"/>
    <w:rsid w:val="009972CC"/>
    <w:rsid w:val="009A0D0B"/>
    <w:rsid w:val="009A13C4"/>
    <w:rsid w:val="009A140F"/>
    <w:rsid w:val="009A172B"/>
    <w:rsid w:val="009A2EE2"/>
    <w:rsid w:val="009A2FB0"/>
    <w:rsid w:val="009A34BA"/>
    <w:rsid w:val="009A35FB"/>
    <w:rsid w:val="009A38EB"/>
    <w:rsid w:val="009A3DE3"/>
    <w:rsid w:val="009A3FA8"/>
    <w:rsid w:val="009A498F"/>
    <w:rsid w:val="009A502B"/>
    <w:rsid w:val="009A67F8"/>
    <w:rsid w:val="009A6B85"/>
    <w:rsid w:val="009A6CF5"/>
    <w:rsid w:val="009A73F7"/>
    <w:rsid w:val="009A7620"/>
    <w:rsid w:val="009A7A16"/>
    <w:rsid w:val="009B01EB"/>
    <w:rsid w:val="009B119C"/>
    <w:rsid w:val="009B19BD"/>
    <w:rsid w:val="009B1D73"/>
    <w:rsid w:val="009B1F9D"/>
    <w:rsid w:val="009B2054"/>
    <w:rsid w:val="009B2527"/>
    <w:rsid w:val="009B2B42"/>
    <w:rsid w:val="009B2CCB"/>
    <w:rsid w:val="009B2CFC"/>
    <w:rsid w:val="009B3766"/>
    <w:rsid w:val="009B406E"/>
    <w:rsid w:val="009B4467"/>
    <w:rsid w:val="009B4BFE"/>
    <w:rsid w:val="009B4EF1"/>
    <w:rsid w:val="009B5937"/>
    <w:rsid w:val="009B615B"/>
    <w:rsid w:val="009B6510"/>
    <w:rsid w:val="009B7391"/>
    <w:rsid w:val="009B792F"/>
    <w:rsid w:val="009B7D8E"/>
    <w:rsid w:val="009C0B59"/>
    <w:rsid w:val="009C145D"/>
    <w:rsid w:val="009C1986"/>
    <w:rsid w:val="009C26D8"/>
    <w:rsid w:val="009C298F"/>
    <w:rsid w:val="009C2CD1"/>
    <w:rsid w:val="009C3AC7"/>
    <w:rsid w:val="009C42B0"/>
    <w:rsid w:val="009C42BE"/>
    <w:rsid w:val="009C4364"/>
    <w:rsid w:val="009C4445"/>
    <w:rsid w:val="009C4ACE"/>
    <w:rsid w:val="009C5860"/>
    <w:rsid w:val="009C6147"/>
    <w:rsid w:val="009C67D0"/>
    <w:rsid w:val="009C6FAC"/>
    <w:rsid w:val="009C708C"/>
    <w:rsid w:val="009C7108"/>
    <w:rsid w:val="009C7185"/>
    <w:rsid w:val="009C7445"/>
    <w:rsid w:val="009C78F1"/>
    <w:rsid w:val="009C7AA6"/>
    <w:rsid w:val="009D02DF"/>
    <w:rsid w:val="009D03F2"/>
    <w:rsid w:val="009D050D"/>
    <w:rsid w:val="009D05E6"/>
    <w:rsid w:val="009D3C2B"/>
    <w:rsid w:val="009D3C9E"/>
    <w:rsid w:val="009D4564"/>
    <w:rsid w:val="009D4C4E"/>
    <w:rsid w:val="009D54E7"/>
    <w:rsid w:val="009D5DA2"/>
    <w:rsid w:val="009D6636"/>
    <w:rsid w:val="009D69AF"/>
    <w:rsid w:val="009D69D9"/>
    <w:rsid w:val="009D6DC5"/>
    <w:rsid w:val="009D76BE"/>
    <w:rsid w:val="009D7E68"/>
    <w:rsid w:val="009D7FFE"/>
    <w:rsid w:val="009E0505"/>
    <w:rsid w:val="009E1F32"/>
    <w:rsid w:val="009E2D2E"/>
    <w:rsid w:val="009E3010"/>
    <w:rsid w:val="009E40A1"/>
    <w:rsid w:val="009E4526"/>
    <w:rsid w:val="009E4602"/>
    <w:rsid w:val="009E461C"/>
    <w:rsid w:val="009E4D4E"/>
    <w:rsid w:val="009E5786"/>
    <w:rsid w:val="009E5889"/>
    <w:rsid w:val="009E611C"/>
    <w:rsid w:val="009E6C75"/>
    <w:rsid w:val="009E7C98"/>
    <w:rsid w:val="009F0F89"/>
    <w:rsid w:val="009F1C9C"/>
    <w:rsid w:val="009F1DCD"/>
    <w:rsid w:val="009F209E"/>
    <w:rsid w:val="009F2187"/>
    <w:rsid w:val="009F2404"/>
    <w:rsid w:val="009F269A"/>
    <w:rsid w:val="009F2774"/>
    <w:rsid w:val="009F366A"/>
    <w:rsid w:val="009F3ACC"/>
    <w:rsid w:val="009F405C"/>
    <w:rsid w:val="009F439E"/>
    <w:rsid w:val="009F54A6"/>
    <w:rsid w:val="009F5906"/>
    <w:rsid w:val="009F5FF1"/>
    <w:rsid w:val="009F6194"/>
    <w:rsid w:val="009F64AB"/>
    <w:rsid w:val="009F66EB"/>
    <w:rsid w:val="009F712C"/>
    <w:rsid w:val="009F76B3"/>
    <w:rsid w:val="009F7B6D"/>
    <w:rsid w:val="00A001B4"/>
    <w:rsid w:val="00A003AE"/>
    <w:rsid w:val="00A0075E"/>
    <w:rsid w:val="00A00A59"/>
    <w:rsid w:val="00A00DED"/>
    <w:rsid w:val="00A01581"/>
    <w:rsid w:val="00A01B3D"/>
    <w:rsid w:val="00A0253E"/>
    <w:rsid w:val="00A027A3"/>
    <w:rsid w:val="00A0323B"/>
    <w:rsid w:val="00A03511"/>
    <w:rsid w:val="00A03608"/>
    <w:rsid w:val="00A03700"/>
    <w:rsid w:val="00A03A9F"/>
    <w:rsid w:val="00A049C3"/>
    <w:rsid w:val="00A04FCB"/>
    <w:rsid w:val="00A102A0"/>
    <w:rsid w:val="00A102FF"/>
    <w:rsid w:val="00A107B2"/>
    <w:rsid w:val="00A10A71"/>
    <w:rsid w:val="00A10BA0"/>
    <w:rsid w:val="00A10EAC"/>
    <w:rsid w:val="00A10F53"/>
    <w:rsid w:val="00A11EE0"/>
    <w:rsid w:val="00A11F3A"/>
    <w:rsid w:val="00A11F48"/>
    <w:rsid w:val="00A126E7"/>
    <w:rsid w:val="00A13077"/>
    <w:rsid w:val="00A138AC"/>
    <w:rsid w:val="00A13BDD"/>
    <w:rsid w:val="00A13C51"/>
    <w:rsid w:val="00A146E6"/>
    <w:rsid w:val="00A14EC2"/>
    <w:rsid w:val="00A15006"/>
    <w:rsid w:val="00A15416"/>
    <w:rsid w:val="00A15487"/>
    <w:rsid w:val="00A154F0"/>
    <w:rsid w:val="00A1583E"/>
    <w:rsid w:val="00A15FF0"/>
    <w:rsid w:val="00A17A3B"/>
    <w:rsid w:val="00A20417"/>
    <w:rsid w:val="00A20476"/>
    <w:rsid w:val="00A20C47"/>
    <w:rsid w:val="00A21D6A"/>
    <w:rsid w:val="00A22587"/>
    <w:rsid w:val="00A22784"/>
    <w:rsid w:val="00A22B29"/>
    <w:rsid w:val="00A22E08"/>
    <w:rsid w:val="00A23309"/>
    <w:rsid w:val="00A23AB7"/>
    <w:rsid w:val="00A23B42"/>
    <w:rsid w:val="00A24062"/>
    <w:rsid w:val="00A250A9"/>
    <w:rsid w:val="00A25104"/>
    <w:rsid w:val="00A2560B"/>
    <w:rsid w:val="00A25B24"/>
    <w:rsid w:val="00A25CC2"/>
    <w:rsid w:val="00A261D5"/>
    <w:rsid w:val="00A266CE"/>
    <w:rsid w:val="00A26FE8"/>
    <w:rsid w:val="00A2717B"/>
    <w:rsid w:val="00A27543"/>
    <w:rsid w:val="00A3011D"/>
    <w:rsid w:val="00A30545"/>
    <w:rsid w:val="00A30DB7"/>
    <w:rsid w:val="00A315DE"/>
    <w:rsid w:val="00A31D1C"/>
    <w:rsid w:val="00A32109"/>
    <w:rsid w:val="00A32836"/>
    <w:rsid w:val="00A33607"/>
    <w:rsid w:val="00A33FC4"/>
    <w:rsid w:val="00A34C20"/>
    <w:rsid w:val="00A352A4"/>
    <w:rsid w:val="00A352D4"/>
    <w:rsid w:val="00A35343"/>
    <w:rsid w:val="00A359F1"/>
    <w:rsid w:val="00A3653B"/>
    <w:rsid w:val="00A36852"/>
    <w:rsid w:val="00A36C76"/>
    <w:rsid w:val="00A37043"/>
    <w:rsid w:val="00A402D7"/>
    <w:rsid w:val="00A41641"/>
    <w:rsid w:val="00A416B7"/>
    <w:rsid w:val="00A4288B"/>
    <w:rsid w:val="00A4327B"/>
    <w:rsid w:val="00A43ADA"/>
    <w:rsid w:val="00A43BD2"/>
    <w:rsid w:val="00A44222"/>
    <w:rsid w:val="00A4427D"/>
    <w:rsid w:val="00A4438F"/>
    <w:rsid w:val="00A45216"/>
    <w:rsid w:val="00A4539E"/>
    <w:rsid w:val="00A4598D"/>
    <w:rsid w:val="00A45B6F"/>
    <w:rsid w:val="00A46299"/>
    <w:rsid w:val="00A463D9"/>
    <w:rsid w:val="00A46615"/>
    <w:rsid w:val="00A4663C"/>
    <w:rsid w:val="00A46D2B"/>
    <w:rsid w:val="00A47820"/>
    <w:rsid w:val="00A478BE"/>
    <w:rsid w:val="00A479CA"/>
    <w:rsid w:val="00A47D52"/>
    <w:rsid w:val="00A501A4"/>
    <w:rsid w:val="00A5037F"/>
    <w:rsid w:val="00A50751"/>
    <w:rsid w:val="00A50CDD"/>
    <w:rsid w:val="00A511B3"/>
    <w:rsid w:val="00A511DB"/>
    <w:rsid w:val="00A52755"/>
    <w:rsid w:val="00A52CFD"/>
    <w:rsid w:val="00A52EFC"/>
    <w:rsid w:val="00A531AE"/>
    <w:rsid w:val="00A53508"/>
    <w:rsid w:val="00A545EE"/>
    <w:rsid w:val="00A55803"/>
    <w:rsid w:val="00A558B6"/>
    <w:rsid w:val="00A5603D"/>
    <w:rsid w:val="00A576EB"/>
    <w:rsid w:val="00A57B07"/>
    <w:rsid w:val="00A57F90"/>
    <w:rsid w:val="00A60164"/>
    <w:rsid w:val="00A60C0B"/>
    <w:rsid w:val="00A60DBB"/>
    <w:rsid w:val="00A61EB9"/>
    <w:rsid w:val="00A622E2"/>
    <w:rsid w:val="00A62816"/>
    <w:rsid w:val="00A631D9"/>
    <w:rsid w:val="00A63BD3"/>
    <w:rsid w:val="00A64064"/>
    <w:rsid w:val="00A6482D"/>
    <w:rsid w:val="00A64B6D"/>
    <w:rsid w:val="00A64EFC"/>
    <w:rsid w:val="00A65945"/>
    <w:rsid w:val="00A6598C"/>
    <w:rsid w:val="00A659FB"/>
    <w:rsid w:val="00A65E6D"/>
    <w:rsid w:val="00A66786"/>
    <w:rsid w:val="00A66F05"/>
    <w:rsid w:val="00A66FBE"/>
    <w:rsid w:val="00A67102"/>
    <w:rsid w:val="00A674CB"/>
    <w:rsid w:val="00A67783"/>
    <w:rsid w:val="00A67B14"/>
    <w:rsid w:val="00A67EE4"/>
    <w:rsid w:val="00A7010D"/>
    <w:rsid w:val="00A70573"/>
    <w:rsid w:val="00A717FA"/>
    <w:rsid w:val="00A71B05"/>
    <w:rsid w:val="00A72732"/>
    <w:rsid w:val="00A72DCD"/>
    <w:rsid w:val="00A72E31"/>
    <w:rsid w:val="00A72EE8"/>
    <w:rsid w:val="00A73E5C"/>
    <w:rsid w:val="00A7513D"/>
    <w:rsid w:val="00A768E0"/>
    <w:rsid w:val="00A769D9"/>
    <w:rsid w:val="00A76DDA"/>
    <w:rsid w:val="00A76F83"/>
    <w:rsid w:val="00A7708F"/>
    <w:rsid w:val="00A770D3"/>
    <w:rsid w:val="00A771A8"/>
    <w:rsid w:val="00A772FB"/>
    <w:rsid w:val="00A801CE"/>
    <w:rsid w:val="00A8024C"/>
    <w:rsid w:val="00A80FFB"/>
    <w:rsid w:val="00A81E25"/>
    <w:rsid w:val="00A81EBA"/>
    <w:rsid w:val="00A81FCE"/>
    <w:rsid w:val="00A826AE"/>
    <w:rsid w:val="00A82CB5"/>
    <w:rsid w:val="00A830CF"/>
    <w:rsid w:val="00A831DF"/>
    <w:rsid w:val="00A83545"/>
    <w:rsid w:val="00A83A44"/>
    <w:rsid w:val="00A83ED7"/>
    <w:rsid w:val="00A84A86"/>
    <w:rsid w:val="00A84CFF"/>
    <w:rsid w:val="00A84D1E"/>
    <w:rsid w:val="00A8533B"/>
    <w:rsid w:val="00A85849"/>
    <w:rsid w:val="00A85F40"/>
    <w:rsid w:val="00A86336"/>
    <w:rsid w:val="00A86544"/>
    <w:rsid w:val="00A8659F"/>
    <w:rsid w:val="00A865B0"/>
    <w:rsid w:val="00A866E3"/>
    <w:rsid w:val="00A86838"/>
    <w:rsid w:val="00A86AB4"/>
    <w:rsid w:val="00A878AA"/>
    <w:rsid w:val="00A9062B"/>
    <w:rsid w:val="00A910B5"/>
    <w:rsid w:val="00A9122E"/>
    <w:rsid w:val="00A91766"/>
    <w:rsid w:val="00A92B59"/>
    <w:rsid w:val="00A92F86"/>
    <w:rsid w:val="00A9383B"/>
    <w:rsid w:val="00A93CAD"/>
    <w:rsid w:val="00A94CBD"/>
    <w:rsid w:val="00A95163"/>
    <w:rsid w:val="00A95836"/>
    <w:rsid w:val="00A95D62"/>
    <w:rsid w:val="00A96351"/>
    <w:rsid w:val="00A96C4C"/>
    <w:rsid w:val="00A96D8D"/>
    <w:rsid w:val="00A97223"/>
    <w:rsid w:val="00AA050A"/>
    <w:rsid w:val="00AA0812"/>
    <w:rsid w:val="00AA0EF3"/>
    <w:rsid w:val="00AA14EC"/>
    <w:rsid w:val="00AA19C5"/>
    <w:rsid w:val="00AA2042"/>
    <w:rsid w:val="00AA2294"/>
    <w:rsid w:val="00AA305B"/>
    <w:rsid w:val="00AA31A7"/>
    <w:rsid w:val="00AA33FC"/>
    <w:rsid w:val="00AA368B"/>
    <w:rsid w:val="00AA3F9D"/>
    <w:rsid w:val="00AA4F9E"/>
    <w:rsid w:val="00AA5A3E"/>
    <w:rsid w:val="00AA6765"/>
    <w:rsid w:val="00AA6E07"/>
    <w:rsid w:val="00AA7070"/>
    <w:rsid w:val="00AA70C3"/>
    <w:rsid w:val="00AA714B"/>
    <w:rsid w:val="00AA71AD"/>
    <w:rsid w:val="00AB0085"/>
    <w:rsid w:val="00AB04A4"/>
    <w:rsid w:val="00AB149F"/>
    <w:rsid w:val="00AB171F"/>
    <w:rsid w:val="00AB23E9"/>
    <w:rsid w:val="00AB2D63"/>
    <w:rsid w:val="00AB2EAF"/>
    <w:rsid w:val="00AB2FE7"/>
    <w:rsid w:val="00AB348D"/>
    <w:rsid w:val="00AB3AA5"/>
    <w:rsid w:val="00AB3D04"/>
    <w:rsid w:val="00AB452E"/>
    <w:rsid w:val="00AB46C8"/>
    <w:rsid w:val="00AB49BD"/>
    <w:rsid w:val="00AB4AF4"/>
    <w:rsid w:val="00AB4E19"/>
    <w:rsid w:val="00AB4F74"/>
    <w:rsid w:val="00AB5280"/>
    <w:rsid w:val="00AB5B37"/>
    <w:rsid w:val="00AB6615"/>
    <w:rsid w:val="00AB6C3B"/>
    <w:rsid w:val="00AB6F68"/>
    <w:rsid w:val="00AB7646"/>
    <w:rsid w:val="00AB77A5"/>
    <w:rsid w:val="00AB7875"/>
    <w:rsid w:val="00AC0027"/>
    <w:rsid w:val="00AC04F2"/>
    <w:rsid w:val="00AC0C43"/>
    <w:rsid w:val="00AC107B"/>
    <w:rsid w:val="00AC12DD"/>
    <w:rsid w:val="00AC1696"/>
    <w:rsid w:val="00AC1F17"/>
    <w:rsid w:val="00AC3909"/>
    <w:rsid w:val="00AC3CEE"/>
    <w:rsid w:val="00AC404F"/>
    <w:rsid w:val="00AC44FC"/>
    <w:rsid w:val="00AC4983"/>
    <w:rsid w:val="00AC5558"/>
    <w:rsid w:val="00AC5FFB"/>
    <w:rsid w:val="00AC6A7F"/>
    <w:rsid w:val="00AC6C32"/>
    <w:rsid w:val="00AC716D"/>
    <w:rsid w:val="00AC79B9"/>
    <w:rsid w:val="00AD0855"/>
    <w:rsid w:val="00AD110C"/>
    <w:rsid w:val="00AD12FD"/>
    <w:rsid w:val="00AD1D18"/>
    <w:rsid w:val="00AD1F17"/>
    <w:rsid w:val="00AD1FC9"/>
    <w:rsid w:val="00AD2269"/>
    <w:rsid w:val="00AD2349"/>
    <w:rsid w:val="00AD25B8"/>
    <w:rsid w:val="00AD2AB0"/>
    <w:rsid w:val="00AD2C14"/>
    <w:rsid w:val="00AD2F06"/>
    <w:rsid w:val="00AD30DD"/>
    <w:rsid w:val="00AD3294"/>
    <w:rsid w:val="00AD369F"/>
    <w:rsid w:val="00AD3A69"/>
    <w:rsid w:val="00AD4194"/>
    <w:rsid w:val="00AD4CC7"/>
    <w:rsid w:val="00AD58F2"/>
    <w:rsid w:val="00AD5E4E"/>
    <w:rsid w:val="00AD5FD8"/>
    <w:rsid w:val="00AD69EF"/>
    <w:rsid w:val="00AD6AFB"/>
    <w:rsid w:val="00AD6BE7"/>
    <w:rsid w:val="00AD6E70"/>
    <w:rsid w:val="00AD71E4"/>
    <w:rsid w:val="00AD749E"/>
    <w:rsid w:val="00AD7E0F"/>
    <w:rsid w:val="00AE01F5"/>
    <w:rsid w:val="00AE18EF"/>
    <w:rsid w:val="00AE1B4F"/>
    <w:rsid w:val="00AE296C"/>
    <w:rsid w:val="00AE2B75"/>
    <w:rsid w:val="00AE2B9F"/>
    <w:rsid w:val="00AE2C4B"/>
    <w:rsid w:val="00AE3124"/>
    <w:rsid w:val="00AE378A"/>
    <w:rsid w:val="00AE3BE3"/>
    <w:rsid w:val="00AE4904"/>
    <w:rsid w:val="00AE4FC8"/>
    <w:rsid w:val="00AE5497"/>
    <w:rsid w:val="00AE5DF3"/>
    <w:rsid w:val="00AE6519"/>
    <w:rsid w:val="00AE6839"/>
    <w:rsid w:val="00AE6C25"/>
    <w:rsid w:val="00AE6C63"/>
    <w:rsid w:val="00AE7174"/>
    <w:rsid w:val="00AE7CCE"/>
    <w:rsid w:val="00AE7F80"/>
    <w:rsid w:val="00AE7F9D"/>
    <w:rsid w:val="00AF0C8A"/>
    <w:rsid w:val="00AF1202"/>
    <w:rsid w:val="00AF16C3"/>
    <w:rsid w:val="00AF221A"/>
    <w:rsid w:val="00AF22D1"/>
    <w:rsid w:val="00AF22F2"/>
    <w:rsid w:val="00AF3D59"/>
    <w:rsid w:val="00AF5C5D"/>
    <w:rsid w:val="00AF66CE"/>
    <w:rsid w:val="00AF6AA2"/>
    <w:rsid w:val="00AF6C62"/>
    <w:rsid w:val="00AF6CFC"/>
    <w:rsid w:val="00AF7C1C"/>
    <w:rsid w:val="00AF7D6B"/>
    <w:rsid w:val="00B0014C"/>
    <w:rsid w:val="00B00331"/>
    <w:rsid w:val="00B00C4A"/>
    <w:rsid w:val="00B00C9D"/>
    <w:rsid w:val="00B01C21"/>
    <w:rsid w:val="00B028A1"/>
    <w:rsid w:val="00B0296D"/>
    <w:rsid w:val="00B0329F"/>
    <w:rsid w:val="00B03553"/>
    <w:rsid w:val="00B035BA"/>
    <w:rsid w:val="00B03975"/>
    <w:rsid w:val="00B060A4"/>
    <w:rsid w:val="00B06E63"/>
    <w:rsid w:val="00B06FCD"/>
    <w:rsid w:val="00B07038"/>
    <w:rsid w:val="00B0752B"/>
    <w:rsid w:val="00B103F2"/>
    <w:rsid w:val="00B10822"/>
    <w:rsid w:val="00B10C84"/>
    <w:rsid w:val="00B11217"/>
    <w:rsid w:val="00B11580"/>
    <w:rsid w:val="00B11D69"/>
    <w:rsid w:val="00B12184"/>
    <w:rsid w:val="00B13253"/>
    <w:rsid w:val="00B13797"/>
    <w:rsid w:val="00B13FC9"/>
    <w:rsid w:val="00B153AF"/>
    <w:rsid w:val="00B15664"/>
    <w:rsid w:val="00B1572B"/>
    <w:rsid w:val="00B16993"/>
    <w:rsid w:val="00B20584"/>
    <w:rsid w:val="00B2083B"/>
    <w:rsid w:val="00B20B6E"/>
    <w:rsid w:val="00B20FA2"/>
    <w:rsid w:val="00B21019"/>
    <w:rsid w:val="00B2147B"/>
    <w:rsid w:val="00B216DF"/>
    <w:rsid w:val="00B21E3A"/>
    <w:rsid w:val="00B237C6"/>
    <w:rsid w:val="00B2385F"/>
    <w:rsid w:val="00B23D69"/>
    <w:rsid w:val="00B249D4"/>
    <w:rsid w:val="00B24A26"/>
    <w:rsid w:val="00B25794"/>
    <w:rsid w:val="00B26198"/>
    <w:rsid w:val="00B2646D"/>
    <w:rsid w:val="00B26C82"/>
    <w:rsid w:val="00B27775"/>
    <w:rsid w:val="00B278BC"/>
    <w:rsid w:val="00B27A27"/>
    <w:rsid w:val="00B27D38"/>
    <w:rsid w:val="00B27FC9"/>
    <w:rsid w:val="00B300E1"/>
    <w:rsid w:val="00B30E1A"/>
    <w:rsid w:val="00B3181D"/>
    <w:rsid w:val="00B32435"/>
    <w:rsid w:val="00B32D46"/>
    <w:rsid w:val="00B333AF"/>
    <w:rsid w:val="00B334B1"/>
    <w:rsid w:val="00B33B16"/>
    <w:rsid w:val="00B33CD4"/>
    <w:rsid w:val="00B33EE2"/>
    <w:rsid w:val="00B346C9"/>
    <w:rsid w:val="00B35A24"/>
    <w:rsid w:val="00B35EB2"/>
    <w:rsid w:val="00B36141"/>
    <w:rsid w:val="00B36445"/>
    <w:rsid w:val="00B3652D"/>
    <w:rsid w:val="00B36CDA"/>
    <w:rsid w:val="00B37E65"/>
    <w:rsid w:val="00B37EB8"/>
    <w:rsid w:val="00B410EB"/>
    <w:rsid w:val="00B417A4"/>
    <w:rsid w:val="00B417B3"/>
    <w:rsid w:val="00B41886"/>
    <w:rsid w:val="00B41D91"/>
    <w:rsid w:val="00B4256F"/>
    <w:rsid w:val="00B4262C"/>
    <w:rsid w:val="00B426BC"/>
    <w:rsid w:val="00B42BEC"/>
    <w:rsid w:val="00B42FEA"/>
    <w:rsid w:val="00B43428"/>
    <w:rsid w:val="00B4349B"/>
    <w:rsid w:val="00B4367F"/>
    <w:rsid w:val="00B438B8"/>
    <w:rsid w:val="00B449A0"/>
    <w:rsid w:val="00B44B3F"/>
    <w:rsid w:val="00B44D26"/>
    <w:rsid w:val="00B44DB0"/>
    <w:rsid w:val="00B45EE0"/>
    <w:rsid w:val="00B465AC"/>
    <w:rsid w:val="00B46A20"/>
    <w:rsid w:val="00B47683"/>
    <w:rsid w:val="00B502F4"/>
    <w:rsid w:val="00B505FD"/>
    <w:rsid w:val="00B50B1A"/>
    <w:rsid w:val="00B50EB5"/>
    <w:rsid w:val="00B511B3"/>
    <w:rsid w:val="00B511E7"/>
    <w:rsid w:val="00B51A07"/>
    <w:rsid w:val="00B51C8C"/>
    <w:rsid w:val="00B52023"/>
    <w:rsid w:val="00B524C4"/>
    <w:rsid w:val="00B525E9"/>
    <w:rsid w:val="00B52618"/>
    <w:rsid w:val="00B52B0C"/>
    <w:rsid w:val="00B52E80"/>
    <w:rsid w:val="00B52FE2"/>
    <w:rsid w:val="00B53934"/>
    <w:rsid w:val="00B54912"/>
    <w:rsid w:val="00B54C17"/>
    <w:rsid w:val="00B54E88"/>
    <w:rsid w:val="00B54F9E"/>
    <w:rsid w:val="00B55E19"/>
    <w:rsid w:val="00B560DD"/>
    <w:rsid w:val="00B56579"/>
    <w:rsid w:val="00B56C8F"/>
    <w:rsid w:val="00B57484"/>
    <w:rsid w:val="00B5751A"/>
    <w:rsid w:val="00B57693"/>
    <w:rsid w:val="00B576C9"/>
    <w:rsid w:val="00B57702"/>
    <w:rsid w:val="00B57E88"/>
    <w:rsid w:val="00B60374"/>
    <w:rsid w:val="00B60A1F"/>
    <w:rsid w:val="00B60C0B"/>
    <w:rsid w:val="00B61202"/>
    <w:rsid w:val="00B61879"/>
    <w:rsid w:val="00B61F84"/>
    <w:rsid w:val="00B62BE1"/>
    <w:rsid w:val="00B62D07"/>
    <w:rsid w:val="00B637D3"/>
    <w:rsid w:val="00B63B35"/>
    <w:rsid w:val="00B65BED"/>
    <w:rsid w:val="00B671A3"/>
    <w:rsid w:val="00B6760B"/>
    <w:rsid w:val="00B67B63"/>
    <w:rsid w:val="00B67E80"/>
    <w:rsid w:val="00B70832"/>
    <w:rsid w:val="00B71903"/>
    <w:rsid w:val="00B72016"/>
    <w:rsid w:val="00B7303A"/>
    <w:rsid w:val="00B737F5"/>
    <w:rsid w:val="00B737F7"/>
    <w:rsid w:val="00B7392A"/>
    <w:rsid w:val="00B73CA3"/>
    <w:rsid w:val="00B7449B"/>
    <w:rsid w:val="00B74BD5"/>
    <w:rsid w:val="00B74D66"/>
    <w:rsid w:val="00B74E6E"/>
    <w:rsid w:val="00B74F4F"/>
    <w:rsid w:val="00B75609"/>
    <w:rsid w:val="00B75C24"/>
    <w:rsid w:val="00B7624B"/>
    <w:rsid w:val="00B762BC"/>
    <w:rsid w:val="00B7725A"/>
    <w:rsid w:val="00B777FD"/>
    <w:rsid w:val="00B7784D"/>
    <w:rsid w:val="00B779F7"/>
    <w:rsid w:val="00B77C28"/>
    <w:rsid w:val="00B802BB"/>
    <w:rsid w:val="00B809D5"/>
    <w:rsid w:val="00B80ADA"/>
    <w:rsid w:val="00B80B92"/>
    <w:rsid w:val="00B80DEA"/>
    <w:rsid w:val="00B82014"/>
    <w:rsid w:val="00B824C7"/>
    <w:rsid w:val="00B82EF2"/>
    <w:rsid w:val="00B83352"/>
    <w:rsid w:val="00B835DE"/>
    <w:rsid w:val="00B83849"/>
    <w:rsid w:val="00B8399C"/>
    <w:rsid w:val="00B849A6"/>
    <w:rsid w:val="00B84D1C"/>
    <w:rsid w:val="00B85164"/>
    <w:rsid w:val="00B85185"/>
    <w:rsid w:val="00B8524C"/>
    <w:rsid w:val="00B85481"/>
    <w:rsid w:val="00B85806"/>
    <w:rsid w:val="00B86104"/>
    <w:rsid w:val="00B86FBD"/>
    <w:rsid w:val="00B87127"/>
    <w:rsid w:val="00B876F5"/>
    <w:rsid w:val="00B87919"/>
    <w:rsid w:val="00B87D0A"/>
    <w:rsid w:val="00B87DC2"/>
    <w:rsid w:val="00B905EB"/>
    <w:rsid w:val="00B90937"/>
    <w:rsid w:val="00B90B8D"/>
    <w:rsid w:val="00B91E06"/>
    <w:rsid w:val="00B92AAD"/>
    <w:rsid w:val="00B93213"/>
    <w:rsid w:val="00B932F3"/>
    <w:rsid w:val="00B937D1"/>
    <w:rsid w:val="00B93A76"/>
    <w:rsid w:val="00B93B03"/>
    <w:rsid w:val="00B94A8F"/>
    <w:rsid w:val="00B94D6D"/>
    <w:rsid w:val="00B95FF4"/>
    <w:rsid w:val="00B960CE"/>
    <w:rsid w:val="00B96967"/>
    <w:rsid w:val="00B96C04"/>
    <w:rsid w:val="00B96D50"/>
    <w:rsid w:val="00B97AA7"/>
    <w:rsid w:val="00B97D8B"/>
    <w:rsid w:val="00BA058B"/>
    <w:rsid w:val="00BA14A3"/>
    <w:rsid w:val="00BA1A1B"/>
    <w:rsid w:val="00BA20FF"/>
    <w:rsid w:val="00BA239F"/>
    <w:rsid w:val="00BA295D"/>
    <w:rsid w:val="00BA2F06"/>
    <w:rsid w:val="00BA3005"/>
    <w:rsid w:val="00BA33EB"/>
    <w:rsid w:val="00BA3797"/>
    <w:rsid w:val="00BA3A9A"/>
    <w:rsid w:val="00BA4142"/>
    <w:rsid w:val="00BA462C"/>
    <w:rsid w:val="00BA4B34"/>
    <w:rsid w:val="00BA5E29"/>
    <w:rsid w:val="00BB1504"/>
    <w:rsid w:val="00BB15F0"/>
    <w:rsid w:val="00BB1A1C"/>
    <w:rsid w:val="00BB2143"/>
    <w:rsid w:val="00BB21EB"/>
    <w:rsid w:val="00BB223A"/>
    <w:rsid w:val="00BB2255"/>
    <w:rsid w:val="00BB2D2C"/>
    <w:rsid w:val="00BB3564"/>
    <w:rsid w:val="00BB36AF"/>
    <w:rsid w:val="00BB3818"/>
    <w:rsid w:val="00BB3CC2"/>
    <w:rsid w:val="00BB415D"/>
    <w:rsid w:val="00BB42F9"/>
    <w:rsid w:val="00BB43D6"/>
    <w:rsid w:val="00BB4C01"/>
    <w:rsid w:val="00BB4F4E"/>
    <w:rsid w:val="00BB52AE"/>
    <w:rsid w:val="00BB5D70"/>
    <w:rsid w:val="00BB629A"/>
    <w:rsid w:val="00BB6379"/>
    <w:rsid w:val="00BB63A6"/>
    <w:rsid w:val="00BB6A86"/>
    <w:rsid w:val="00BB6E65"/>
    <w:rsid w:val="00BB6E69"/>
    <w:rsid w:val="00BB70C3"/>
    <w:rsid w:val="00BB7610"/>
    <w:rsid w:val="00BC082A"/>
    <w:rsid w:val="00BC0F4F"/>
    <w:rsid w:val="00BC0FF5"/>
    <w:rsid w:val="00BC136C"/>
    <w:rsid w:val="00BC1956"/>
    <w:rsid w:val="00BC1DE6"/>
    <w:rsid w:val="00BC2791"/>
    <w:rsid w:val="00BC2A96"/>
    <w:rsid w:val="00BC373F"/>
    <w:rsid w:val="00BC396B"/>
    <w:rsid w:val="00BC41E3"/>
    <w:rsid w:val="00BC43BE"/>
    <w:rsid w:val="00BC4545"/>
    <w:rsid w:val="00BC49C7"/>
    <w:rsid w:val="00BC4C69"/>
    <w:rsid w:val="00BC5363"/>
    <w:rsid w:val="00BC56E1"/>
    <w:rsid w:val="00BC5ADA"/>
    <w:rsid w:val="00BC5DD6"/>
    <w:rsid w:val="00BC7A6C"/>
    <w:rsid w:val="00BD0178"/>
    <w:rsid w:val="00BD1C10"/>
    <w:rsid w:val="00BD265F"/>
    <w:rsid w:val="00BD3009"/>
    <w:rsid w:val="00BD311C"/>
    <w:rsid w:val="00BD3195"/>
    <w:rsid w:val="00BD344D"/>
    <w:rsid w:val="00BD3B20"/>
    <w:rsid w:val="00BD3F87"/>
    <w:rsid w:val="00BD4570"/>
    <w:rsid w:val="00BD4E7F"/>
    <w:rsid w:val="00BD4EF8"/>
    <w:rsid w:val="00BD5CEC"/>
    <w:rsid w:val="00BD5D7D"/>
    <w:rsid w:val="00BD610B"/>
    <w:rsid w:val="00BD6306"/>
    <w:rsid w:val="00BD635A"/>
    <w:rsid w:val="00BD683C"/>
    <w:rsid w:val="00BD691F"/>
    <w:rsid w:val="00BD695D"/>
    <w:rsid w:val="00BD6B05"/>
    <w:rsid w:val="00BD6B2E"/>
    <w:rsid w:val="00BD6C59"/>
    <w:rsid w:val="00BD6E4A"/>
    <w:rsid w:val="00BD6EE9"/>
    <w:rsid w:val="00BD72A3"/>
    <w:rsid w:val="00BD7A99"/>
    <w:rsid w:val="00BD7F77"/>
    <w:rsid w:val="00BE0CE7"/>
    <w:rsid w:val="00BE0EAD"/>
    <w:rsid w:val="00BE156B"/>
    <w:rsid w:val="00BE177D"/>
    <w:rsid w:val="00BE1D83"/>
    <w:rsid w:val="00BE1DCA"/>
    <w:rsid w:val="00BE264B"/>
    <w:rsid w:val="00BE31FD"/>
    <w:rsid w:val="00BE3653"/>
    <w:rsid w:val="00BE37F6"/>
    <w:rsid w:val="00BE3B9A"/>
    <w:rsid w:val="00BE3EA6"/>
    <w:rsid w:val="00BE4122"/>
    <w:rsid w:val="00BE4453"/>
    <w:rsid w:val="00BE48E5"/>
    <w:rsid w:val="00BE4B81"/>
    <w:rsid w:val="00BE4BA9"/>
    <w:rsid w:val="00BE5955"/>
    <w:rsid w:val="00BE5CD3"/>
    <w:rsid w:val="00BE5EE9"/>
    <w:rsid w:val="00BE6711"/>
    <w:rsid w:val="00BE6D23"/>
    <w:rsid w:val="00BE703E"/>
    <w:rsid w:val="00BE736F"/>
    <w:rsid w:val="00BE7B1D"/>
    <w:rsid w:val="00BF0207"/>
    <w:rsid w:val="00BF0F57"/>
    <w:rsid w:val="00BF1429"/>
    <w:rsid w:val="00BF144B"/>
    <w:rsid w:val="00BF1E73"/>
    <w:rsid w:val="00BF3708"/>
    <w:rsid w:val="00BF4FA8"/>
    <w:rsid w:val="00BF52B0"/>
    <w:rsid w:val="00BF52D1"/>
    <w:rsid w:val="00BF6340"/>
    <w:rsid w:val="00BF7302"/>
    <w:rsid w:val="00BF776D"/>
    <w:rsid w:val="00C00115"/>
    <w:rsid w:val="00C00458"/>
    <w:rsid w:val="00C00704"/>
    <w:rsid w:val="00C00ADC"/>
    <w:rsid w:val="00C00BE3"/>
    <w:rsid w:val="00C00C49"/>
    <w:rsid w:val="00C00CF1"/>
    <w:rsid w:val="00C00EC4"/>
    <w:rsid w:val="00C019C2"/>
    <w:rsid w:val="00C01A2E"/>
    <w:rsid w:val="00C01B21"/>
    <w:rsid w:val="00C01FC4"/>
    <w:rsid w:val="00C02047"/>
    <w:rsid w:val="00C02561"/>
    <w:rsid w:val="00C033A7"/>
    <w:rsid w:val="00C0460E"/>
    <w:rsid w:val="00C04C74"/>
    <w:rsid w:val="00C0583D"/>
    <w:rsid w:val="00C05AFF"/>
    <w:rsid w:val="00C06731"/>
    <w:rsid w:val="00C06931"/>
    <w:rsid w:val="00C06E84"/>
    <w:rsid w:val="00C072D6"/>
    <w:rsid w:val="00C101BD"/>
    <w:rsid w:val="00C10B49"/>
    <w:rsid w:val="00C11263"/>
    <w:rsid w:val="00C11818"/>
    <w:rsid w:val="00C11849"/>
    <w:rsid w:val="00C12296"/>
    <w:rsid w:val="00C13488"/>
    <w:rsid w:val="00C13751"/>
    <w:rsid w:val="00C13C03"/>
    <w:rsid w:val="00C13DF7"/>
    <w:rsid w:val="00C148EC"/>
    <w:rsid w:val="00C14B86"/>
    <w:rsid w:val="00C154BE"/>
    <w:rsid w:val="00C15A07"/>
    <w:rsid w:val="00C15AD7"/>
    <w:rsid w:val="00C15B04"/>
    <w:rsid w:val="00C15EA6"/>
    <w:rsid w:val="00C16194"/>
    <w:rsid w:val="00C16DE2"/>
    <w:rsid w:val="00C17633"/>
    <w:rsid w:val="00C177B7"/>
    <w:rsid w:val="00C17E9A"/>
    <w:rsid w:val="00C20220"/>
    <w:rsid w:val="00C203AE"/>
    <w:rsid w:val="00C205E0"/>
    <w:rsid w:val="00C2099F"/>
    <w:rsid w:val="00C20AF0"/>
    <w:rsid w:val="00C20B00"/>
    <w:rsid w:val="00C21F0C"/>
    <w:rsid w:val="00C2244E"/>
    <w:rsid w:val="00C22535"/>
    <w:rsid w:val="00C2383A"/>
    <w:rsid w:val="00C23D01"/>
    <w:rsid w:val="00C257DB"/>
    <w:rsid w:val="00C25B89"/>
    <w:rsid w:val="00C25E4C"/>
    <w:rsid w:val="00C25E9E"/>
    <w:rsid w:val="00C26179"/>
    <w:rsid w:val="00C26346"/>
    <w:rsid w:val="00C26B06"/>
    <w:rsid w:val="00C27497"/>
    <w:rsid w:val="00C27B17"/>
    <w:rsid w:val="00C27B36"/>
    <w:rsid w:val="00C307CB"/>
    <w:rsid w:val="00C3119C"/>
    <w:rsid w:val="00C31C93"/>
    <w:rsid w:val="00C320EE"/>
    <w:rsid w:val="00C3285D"/>
    <w:rsid w:val="00C32AA6"/>
    <w:rsid w:val="00C33B4F"/>
    <w:rsid w:val="00C33D1F"/>
    <w:rsid w:val="00C33EBC"/>
    <w:rsid w:val="00C33EE6"/>
    <w:rsid w:val="00C34099"/>
    <w:rsid w:val="00C34625"/>
    <w:rsid w:val="00C34ECE"/>
    <w:rsid w:val="00C361A5"/>
    <w:rsid w:val="00C362AE"/>
    <w:rsid w:val="00C36A7E"/>
    <w:rsid w:val="00C36FA0"/>
    <w:rsid w:val="00C374D4"/>
    <w:rsid w:val="00C37684"/>
    <w:rsid w:val="00C37786"/>
    <w:rsid w:val="00C37CF6"/>
    <w:rsid w:val="00C4049F"/>
    <w:rsid w:val="00C42023"/>
    <w:rsid w:val="00C42744"/>
    <w:rsid w:val="00C4359A"/>
    <w:rsid w:val="00C43679"/>
    <w:rsid w:val="00C43ADD"/>
    <w:rsid w:val="00C43BC7"/>
    <w:rsid w:val="00C43E9F"/>
    <w:rsid w:val="00C44197"/>
    <w:rsid w:val="00C453DF"/>
    <w:rsid w:val="00C45C5A"/>
    <w:rsid w:val="00C45FF9"/>
    <w:rsid w:val="00C462BD"/>
    <w:rsid w:val="00C472BD"/>
    <w:rsid w:val="00C4750B"/>
    <w:rsid w:val="00C477FC"/>
    <w:rsid w:val="00C47804"/>
    <w:rsid w:val="00C47991"/>
    <w:rsid w:val="00C47C25"/>
    <w:rsid w:val="00C50104"/>
    <w:rsid w:val="00C5052E"/>
    <w:rsid w:val="00C50EEA"/>
    <w:rsid w:val="00C5144B"/>
    <w:rsid w:val="00C51E78"/>
    <w:rsid w:val="00C53600"/>
    <w:rsid w:val="00C54055"/>
    <w:rsid w:val="00C546AD"/>
    <w:rsid w:val="00C5483F"/>
    <w:rsid w:val="00C558DF"/>
    <w:rsid w:val="00C5601E"/>
    <w:rsid w:val="00C56EA2"/>
    <w:rsid w:val="00C57579"/>
    <w:rsid w:val="00C57DA7"/>
    <w:rsid w:val="00C60447"/>
    <w:rsid w:val="00C6069C"/>
    <w:rsid w:val="00C60D0A"/>
    <w:rsid w:val="00C61830"/>
    <w:rsid w:val="00C62394"/>
    <w:rsid w:val="00C624BB"/>
    <w:rsid w:val="00C6284B"/>
    <w:rsid w:val="00C62C7D"/>
    <w:rsid w:val="00C634E2"/>
    <w:rsid w:val="00C63734"/>
    <w:rsid w:val="00C6390B"/>
    <w:rsid w:val="00C63E46"/>
    <w:rsid w:val="00C64A51"/>
    <w:rsid w:val="00C65E41"/>
    <w:rsid w:val="00C660A8"/>
    <w:rsid w:val="00C66562"/>
    <w:rsid w:val="00C671D1"/>
    <w:rsid w:val="00C6720A"/>
    <w:rsid w:val="00C70298"/>
    <w:rsid w:val="00C709E6"/>
    <w:rsid w:val="00C71500"/>
    <w:rsid w:val="00C717D2"/>
    <w:rsid w:val="00C72952"/>
    <w:rsid w:val="00C72E29"/>
    <w:rsid w:val="00C7306C"/>
    <w:rsid w:val="00C73889"/>
    <w:rsid w:val="00C7392D"/>
    <w:rsid w:val="00C7393D"/>
    <w:rsid w:val="00C73F89"/>
    <w:rsid w:val="00C759C9"/>
    <w:rsid w:val="00C75ADE"/>
    <w:rsid w:val="00C7624D"/>
    <w:rsid w:val="00C76D16"/>
    <w:rsid w:val="00C77330"/>
    <w:rsid w:val="00C77DD6"/>
    <w:rsid w:val="00C8023B"/>
    <w:rsid w:val="00C803F9"/>
    <w:rsid w:val="00C803FF"/>
    <w:rsid w:val="00C81699"/>
    <w:rsid w:val="00C82337"/>
    <w:rsid w:val="00C82466"/>
    <w:rsid w:val="00C82474"/>
    <w:rsid w:val="00C84551"/>
    <w:rsid w:val="00C847B5"/>
    <w:rsid w:val="00C8490B"/>
    <w:rsid w:val="00C84AD6"/>
    <w:rsid w:val="00C84B2B"/>
    <w:rsid w:val="00C8546E"/>
    <w:rsid w:val="00C8549B"/>
    <w:rsid w:val="00C860F9"/>
    <w:rsid w:val="00C862CB"/>
    <w:rsid w:val="00C86E94"/>
    <w:rsid w:val="00C8761E"/>
    <w:rsid w:val="00C8787A"/>
    <w:rsid w:val="00C8799E"/>
    <w:rsid w:val="00C87C3C"/>
    <w:rsid w:val="00C87DB0"/>
    <w:rsid w:val="00C90281"/>
    <w:rsid w:val="00C9086F"/>
    <w:rsid w:val="00C90F18"/>
    <w:rsid w:val="00C91176"/>
    <w:rsid w:val="00C923B1"/>
    <w:rsid w:val="00C940DB"/>
    <w:rsid w:val="00C941E4"/>
    <w:rsid w:val="00C94209"/>
    <w:rsid w:val="00C9427E"/>
    <w:rsid w:val="00C942CD"/>
    <w:rsid w:val="00C953A1"/>
    <w:rsid w:val="00C95447"/>
    <w:rsid w:val="00C95540"/>
    <w:rsid w:val="00C95A91"/>
    <w:rsid w:val="00C95EB5"/>
    <w:rsid w:val="00C973EF"/>
    <w:rsid w:val="00C97B3C"/>
    <w:rsid w:val="00C97D78"/>
    <w:rsid w:val="00C97FE0"/>
    <w:rsid w:val="00CA04D2"/>
    <w:rsid w:val="00CA08C7"/>
    <w:rsid w:val="00CA0B01"/>
    <w:rsid w:val="00CA0D38"/>
    <w:rsid w:val="00CA0ED0"/>
    <w:rsid w:val="00CA127F"/>
    <w:rsid w:val="00CA1B75"/>
    <w:rsid w:val="00CA1C8A"/>
    <w:rsid w:val="00CA1DF8"/>
    <w:rsid w:val="00CA253A"/>
    <w:rsid w:val="00CA3124"/>
    <w:rsid w:val="00CA328F"/>
    <w:rsid w:val="00CA36F5"/>
    <w:rsid w:val="00CA3D6B"/>
    <w:rsid w:val="00CA3E68"/>
    <w:rsid w:val="00CA3EF1"/>
    <w:rsid w:val="00CA4471"/>
    <w:rsid w:val="00CA4A91"/>
    <w:rsid w:val="00CA4D1B"/>
    <w:rsid w:val="00CA52FB"/>
    <w:rsid w:val="00CA57A5"/>
    <w:rsid w:val="00CA5A6A"/>
    <w:rsid w:val="00CA5DC5"/>
    <w:rsid w:val="00CA6D7F"/>
    <w:rsid w:val="00CA71C0"/>
    <w:rsid w:val="00CA7A29"/>
    <w:rsid w:val="00CB04F0"/>
    <w:rsid w:val="00CB0D8D"/>
    <w:rsid w:val="00CB1576"/>
    <w:rsid w:val="00CB1C50"/>
    <w:rsid w:val="00CB213D"/>
    <w:rsid w:val="00CB29E7"/>
    <w:rsid w:val="00CB4520"/>
    <w:rsid w:val="00CB4931"/>
    <w:rsid w:val="00CB5246"/>
    <w:rsid w:val="00CB5A00"/>
    <w:rsid w:val="00CB5B76"/>
    <w:rsid w:val="00CB617D"/>
    <w:rsid w:val="00CB619C"/>
    <w:rsid w:val="00CB7467"/>
    <w:rsid w:val="00CB7932"/>
    <w:rsid w:val="00CB7972"/>
    <w:rsid w:val="00CB7AA8"/>
    <w:rsid w:val="00CB7EAA"/>
    <w:rsid w:val="00CB7FC7"/>
    <w:rsid w:val="00CB7FE7"/>
    <w:rsid w:val="00CC0567"/>
    <w:rsid w:val="00CC084D"/>
    <w:rsid w:val="00CC0999"/>
    <w:rsid w:val="00CC0C29"/>
    <w:rsid w:val="00CC0C33"/>
    <w:rsid w:val="00CC107C"/>
    <w:rsid w:val="00CC14BB"/>
    <w:rsid w:val="00CC1EB4"/>
    <w:rsid w:val="00CC3FAA"/>
    <w:rsid w:val="00CC40DF"/>
    <w:rsid w:val="00CC4A1F"/>
    <w:rsid w:val="00CC54FF"/>
    <w:rsid w:val="00CC5EDF"/>
    <w:rsid w:val="00CC6F8C"/>
    <w:rsid w:val="00CC756D"/>
    <w:rsid w:val="00CC7D81"/>
    <w:rsid w:val="00CD0DF0"/>
    <w:rsid w:val="00CD0E40"/>
    <w:rsid w:val="00CD10AF"/>
    <w:rsid w:val="00CD10B9"/>
    <w:rsid w:val="00CD1C20"/>
    <w:rsid w:val="00CD1C31"/>
    <w:rsid w:val="00CD2179"/>
    <w:rsid w:val="00CD2319"/>
    <w:rsid w:val="00CD2EF1"/>
    <w:rsid w:val="00CD30B0"/>
    <w:rsid w:val="00CD3138"/>
    <w:rsid w:val="00CD34DB"/>
    <w:rsid w:val="00CD3539"/>
    <w:rsid w:val="00CD419C"/>
    <w:rsid w:val="00CD4249"/>
    <w:rsid w:val="00CD447F"/>
    <w:rsid w:val="00CD4647"/>
    <w:rsid w:val="00CD497B"/>
    <w:rsid w:val="00CD56F6"/>
    <w:rsid w:val="00CD57EE"/>
    <w:rsid w:val="00CD5886"/>
    <w:rsid w:val="00CD5A4B"/>
    <w:rsid w:val="00CD717C"/>
    <w:rsid w:val="00CD7245"/>
    <w:rsid w:val="00CD73ED"/>
    <w:rsid w:val="00CD77FB"/>
    <w:rsid w:val="00CD7CF4"/>
    <w:rsid w:val="00CE0F33"/>
    <w:rsid w:val="00CE15B6"/>
    <w:rsid w:val="00CE1773"/>
    <w:rsid w:val="00CE1E1A"/>
    <w:rsid w:val="00CE2CC9"/>
    <w:rsid w:val="00CE3937"/>
    <w:rsid w:val="00CE4378"/>
    <w:rsid w:val="00CE4586"/>
    <w:rsid w:val="00CE4618"/>
    <w:rsid w:val="00CE47AC"/>
    <w:rsid w:val="00CE515B"/>
    <w:rsid w:val="00CE561C"/>
    <w:rsid w:val="00CE58D2"/>
    <w:rsid w:val="00CE68E7"/>
    <w:rsid w:val="00CE68E9"/>
    <w:rsid w:val="00CE6963"/>
    <w:rsid w:val="00CE755C"/>
    <w:rsid w:val="00CE7960"/>
    <w:rsid w:val="00CE7C73"/>
    <w:rsid w:val="00CF067D"/>
    <w:rsid w:val="00CF146D"/>
    <w:rsid w:val="00CF14EA"/>
    <w:rsid w:val="00CF14F4"/>
    <w:rsid w:val="00CF1B1C"/>
    <w:rsid w:val="00CF1F77"/>
    <w:rsid w:val="00CF1FCD"/>
    <w:rsid w:val="00CF250E"/>
    <w:rsid w:val="00CF2836"/>
    <w:rsid w:val="00CF29C9"/>
    <w:rsid w:val="00CF33E4"/>
    <w:rsid w:val="00CF3448"/>
    <w:rsid w:val="00CF345C"/>
    <w:rsid w:val="00CF3A4E"/>
    <w:rsid w:val="00CF42C9"/>
    <w:rsid w:val="00CF4AC9"/>
    <w:rsid w:val="00CF4B5E"/>
    <w:rsid w:val="00CF4C38"/>
    <w:rsid w:val="00CF61BC"/>
    <w:rsid w:val="00CF664F"/>
    <w:rsid w:val="00CF727D"/>
    <w:rsid w:val="00CF76AB"/>
    <w:rsid w:val="00CF775D"/>
    <w:rsid w:val="00CF7995"/>
    <w:rsid w:val="00CF7BC0"/>
    <w:rsid w:val="00CF7BCA"/>
    <w:rsid w:val="00D00395"/>
    <w:rsid w:val="00D008CB"/>
    <w:rsid w:val="00D00A13"/>
    <w:rsid w:val="00D01624"/>
    <w:rsid w:val="00D0174D"/>
    <w:rsid w:val="00D018A4"/>
    <w:rsid w:val="00D02F7E"/>
    <w:rsid w:val="00D033B7"/>
    <w:rsid w:val="00D0369C"/>
    <w:rsid w:val="00D048EA"/>
    <w:rsid w:val="00D04A5F"/>
    <w:rsid w:val="00D0526E"/>
    <w:rsid w:val="00D05AA7"/>
    <w:rsid w:val="00D06862"/>
    <w:rsid w:val="00D06C33"/>
    <w:rsid w:val="00D07262"/>
    <w:rsid w:val="00D07DE2"/>
    <w:rsid w:val="00D1036E"/>
    <w:rsid w:val="00D114E1"/>
    <w:rsid w:val="00D11BC8"/>
    <w:rsid w:val="00D11D01"/>
    <w:rsid w:val="00D11DF7"/>
    <w:rsid w:val="00D12296"/>
    <w:rsid w:val="00D12695"/>
    <w:rsid w:val="00D126AA"/>
    <w:rsid w:val="00D13015"/>
    <w:rsid w:val="00D130AA"/>
    <w:rsid w:val="00D133E1"/>
    <w:rsid w:val="00D1466A"/>
    <w:rsid w:val="00D156B3"/>
    <w:rsid w:val="00D15E0F"/>
    <w:rsid w:val="00D1628D"/>
    <w:rsid w:val="00D16F1A"/>
    <w:rsid w:val="00D201D7"/>
    <w:rsid w:val="00D2050F"/>
    <w:rsid w:val="00D207E6"/>
    <w:rsid w:val="00D213C8"/>
    <w:rsid w:val="00D21E65"/>
    <w:rsid w:val="00D220DD"/>
    <w:rsid w:val="00D221FC"/>
    <w:rsid w:val="00D23487"/>
    <w:rsid w:val="00D23EC0"/>
    <w:rsid w:val="00D24C1B"/>
    <w:rsid w:val="00D25083"/>
    <w:rsid w:val="00D252D7"/>
    <w:rsid w:val="00D25A8A"/>
    <w:rsid w:val="00D25B2D"/>
    <w:rsid w:val="00D261A4"/>
    <w:rsid w:val="00D264F8"/>
    <w:rsid w:val="00D2662E"/>
    <w:rsid w:val="00D2690F"/>
    <w:rsid w:val="00D304BB"/>
    <w:rsid w:val="00D3249F"/>
    <w:rsid w:val="00D32998"/>
    <w:rsid w:val="00D33417"/>
    <w:rsid w:val="00D337B6"/>
    <w:rsid w:val="00D33988"/>
    <w:rsid w:val="00D33A20"/>
    <w:rsid w:val="00D33A37"/>
    <w:rsid w:val="00D33B00"/>
    <w:rsid w:val="00D34050"/>
    <w:rsid w:val="00D34469"/>
    <w:rsid w:val="00D346AF"/>
    <w:rsid w:val="00D351FF"/>
    <w:rsid w:val="00D36455"/>
    <w:rsid w:val="00D36521"/>
    <w:rsid w:val="00D37019"/>
    <w:rsid w:val="00D37591"/>
    <w:rsid w:val="00D376B6"/>
    <w:rsid w:val="00D377A2"/>
    <w:rsid w:val="00D40363"/>
    <w:rsid w:val="00D406CC"/>
    <w:rsid w:val="00D41145"/>
    <w:rsid w:val="00D4172D"/>
    <w:rsid w:val="00D41EF5"/>
    <w:rsid w:val="00D4238E"/>
    <w:rsid w:val="00D4243D"/>
    <w:rsid w:val="00D42709"/>
    <w:rsid w:val="00D42E8F"/>
    <w:rsid w:val="00D43345"/>
    <w:rsid w:val="00D444D7"/>
    <w:rsid w:val="00D44C4B"/>
    <w:rsid w:val="00D45552"/>
    <w:rsid w:val="00D46892"/>
    <w:rsid w:val="00D46A14"/>
    <w:rsid w:val="00D479D8"/>
    <w:rsid w:val="00D5000A"/>
    <w:rsid w:val="00D5063A"/>
    <w:rsid w:val="00D50DBE"/>
    <w:rsid w:val="00D51FFB"/>
    <w:rsid w:val="00D52867"/>
    <w:rsid w:val="00D537C7"/>
    <w:rsid w:val="00D53E93"/>
    <w:rsid w:val="00D54956"/>
    <w:rsid w:val="00D5503A"/>
    <w:rsid w:val="00D5518D"/>
    <w:rsid w:val="00D55321"/>
    <w:rsid w:val="00D5619C"/>
    <w:rsid w:val="00D56925"/>
    <w:rsid w:val="00D56ACA"/>
    <w:rsid w:val="00D56BC9"/>
    <w:rsid w:val="00D56C5F"/>
    <w:rsid w:val="00D5737A"/>
    <w:rsid w:val="00D57B2A"/>
    <w:rsid w:val="00D60717"/>
    <w:rsid w:val="00D60892"/>
    <w:rsid w:val="00D60C03"/>
    <w:rsid w:val="00D60DFD"/>
    <w:rsid w:val="00D60FD5"/>
    <w:rsid w:val="00D61312"/>
    <w:rsid w:val="00D613F8"/>
    <w:rsid w:val="00D61835"/>
    <w:rsid w:val="00D642A3"/>
    <w:rsid w:val="00D64426"/>
    <w:rsid w:val="00D64ABD"/>
    <w:rsid w:val="00D6524D"/>
    <w:rsid w:val="00D65CBF"/>
    <w:rsid w:val="00D66584"/>
    <w:rsid w:val="00D671AD"/>
    <w:rsid w:val="00D67440"/>
    <w:rsid w:val="00D679C1"/>
    <w:rsid w:val="00D67ADF"/>
    <w:rsid w:val="00D7074E"/>
    <w:rsid w:val="00D70FA1"/>
    <w:rsid w:val="00D7138B"/>
    <w:rsid w:val="00D713C1"/>
    <w:rsid w:val="00D71565"/>
    <w:rsid w:val="00D7231F"/>
    <w:rsid w:val="00D72C95"/>
    <w:rsid w:val="00D73192"/>
    <w:rsid w:val="00D73667"/>
    <w:rsid w:val="00D7384F"/>
    <w:rsid w:val="00D74085"/>
    <w:rsid w:val="00D7656B"/>
    <w:rsid w:val="00D76708"/>
    <w:rsid w:val="00D76D81"/>
    <w:rsid w:val="00D76FDF"/>
    <w:rsid w:val="00D77D82"/>
    <w:rsid w:val="00D8052A"/>
    <w:rsid w:val="00D81BA0"/>
    <w:rsid w:val="00D821C1"/>
    <w:rsid w:val="00D8261E"/>
    <w:rsid w:val="00D8275F"/>
    <w:rsid w:val="00D82B70"/>
    <w:rsid w:val="00D83077"/>
    <w:rsid w:val="00D85469"/>
    <w:rsid w:val="00D85800"/>
    <w:rsid w:val="00D85895"/>
    <w:rsid w:val="00D8630D"/>
    <w:rsid w:val="00D86D76"/>
    <w:rsid w:val="00D872B2"/>
    <w:rsid w:val="00D9053F"/>
    <w:rsid w:val="00D907DA"/>
    <w:rsid w:val="00D9081C"/>
    <w:rsid w:val="00D9091A"/>
    <w:rsid w:val="00D91830"/>
    <w:rsid w:val="00D919F4"/>
    <w:rsid w:val="00D91D8A"/>
    <w:rsid w:val="00D927F0"/>
    <w:rsid w:val="00D9376D"/>
    <w:rsid w:val="00D93BAC"/>
    <w:rsid w:val="00D93C31"/>
    <w:rsid w:val="00D93DA7"/>
    <w:rsid w:val="00D942AB"/>
    <w:rsid w:val="00D94701"/>
    <w:rsid w:val="00D94C5C"/>
    <w:rsid w:val="00D94D90"/>
    <w:rsid w:val="00D94FAF"/>
    <w:rsid w:val="00D95737"/>
    <w:rsid w:val="00D96410"/>
    <w:rsid w:val="00D96678"/>
    <w:rsid w:val="00D969F3"/>
    <w:rsid w:val="00D970F3"/>
    <w:rsid w:val="00D9787A"/>
    <w:rsid w:val="00D9790B"/>
    <w:rsid w:val="00D97FC0"/>
    <w:rsid w:val="00DA0108"/>
    <w:rsid w:val="00DA0ADA"/>
    <w:rsid w:val="00DA0AE6"/>
    <w:rsid w:val="00DA0F05"/>
    <w:rsid w:val="00DA1150"/>
    <w:rsid w:val="00DA241A"/>
    <w:rsid w:val="00DA2724"/>
    <w:rsid w:val="00DA2FCA"/>
    <w:rsid w:val="00DA3EE6"/>
    <w:rsid w:val="00DA410C"/>
    <w:rsid w:val="00DA4707"/>
    <w:rsid w:val="00DA4AE4"/>
    <w:rsid w:val="00DA4F16"/>
    <w:rsid w:val="00DA5627"/>
    <w:rsid w:val="00DA587E"/>
    <w:rsid w:val="00DA5CC5"/>
    <w:rsid w:val="00DA60BE"/>
    <w:rsid w:val="00DA6435"/>
    <w:rsid w:val="00DA645D"/>
    <w:rsid w:val="00DA64BE"/>
    <w:rsid w:val="00DA734B"/>
    <w:rsid w:val="00DB0399"/>
    <w:rsid w:val="00DB0BCA"/>
    <w:rsid w:val="00DB0FF6"/>
    <w:rsid w:val="00DB22A2"/>
    <w:rsid w:val="00DB319D"/>
    <w:rsid w:val="00DB3A87"/>
    <w:rsid w:val="00DB3AA6"/>
    <w:rsid w:val="00DB3C27"/>
    <w:rsid w:val="00DB412B"/>
    <w:rsid w:val="00DB41BD"/>
    <w:rsid w:val="00DB4573"/>
    <w:rsid w:val="00DB4CE0"/>
    <w:rsid w:val="00DB5452"/>
    <w:rsid w:val="00DB5822"/>
    <w:rsid w:val="00DB590B"/>
    <w:rsid w:val="00DB5BD7"/>
    <w:rsid w:val="00DB6477"/>
    <w:rsid w:val="00DB6B1C"/>
    <w:rsid w:val="00DB6DE7"/>
    <w:rsid w:val="00DB739E"/>
    <w:rsid w:val="00DB7A68"/>
    <w:rsid w:val="00DC0F5C"/>
    <w:rsid w:val="00DC1FFE"/>
    <w:rsid w:val="00DC244B"/>
    <w:rsid w:val="00DC2466"/>
    <w:rsid w:val="00DC26A4"/>
    <w:rsid w:val="00DC2870"/>
    <w:rsid w:val="00DC2AA3"/>
    <w:rsid w:val="00DC3269"/>
    <w:rsid w:val="00DC41EA"/>
    <w:rsid w:val="00DC4720"/>
    <w:rsid w:val="00DC4799"/>
    <w:rsid w:val="00DC4AB7"/>
    <w:rsid w:val="00DC5BBB"/>
    <w:rsid w:val="00DC5D60"/>
    <w:rsid w:val="00DC5E2A"/>
    <w:rsid w:val="00DC615D"/>
    <w:rsid w:val="00DC64BB"/>
    <w:rsid w:val="00DC6DF9"/>
    <w:rsid w:val="00DC754D"/>
    <w:rsid w:val="00DD02E1"/>
    <w:rsid w:val="00DD16D3"/>
    <w:rsid w:val="00DD176A"/>
    <w:rsid w:val="00DD1815"/>
    <w:rsid w:val="00DD1BAA"/>
    <w:rsid w:val="00DD1FD7"/>
    <w:rsid w:val="00DD20B6"/>
    <w:rsid w:val="00DD2501"/>
    <w:rsid w:val="00DD26D5"/>
    <w:rsid w:val="00DD2B64"/>
    <w:rsid w:val="00DD320E"/>
    <w:rsid w:val="00DD32D5"/>
    <w:rsid w:val="00DD33BD"/>
    <w:rsid w:val="00DD3892"/>
    <w:rsid w:val="00DD3BD2"/>
    <w:rsid w:val="00DD464D"/>
    <w:rsid w:val="00DD4AF2"/>
    <w:rsid w:val="00DD4C9A"/>
    <w:rsid w:val="00DD5EF2"/>
    <w:rsid w:val="00DD6C3A"/>
    <w:rsid w:val="00DD7121"/>
    <w:rsid w:val="00DD7386"/>
    <w:rsid w:val="00DD7882"/>
    <w:rsid w:val="00DE021F"/>
    <w:rsid w:val="00DE0B15"/>
    <w:rsid w:val="00DE103E"/>
    <w:rsid w:val="00DE16FC"/>
    <w:rsid w:val="00DE1FE4"/>
    <w:rsid w:val="00DE2690"/>
    <w:rsid w:val="00DE2C9B"/>
    <w:rsid w:val="00DE3765"/>
    <w:rsid w:val="00DE3E9D"/>
    <w:rsid w:val="00DE4468"/>
    <w:rsid w:val="00DE44B8"/>
    <w:rsid w:val="00DE45B3"/>
    <w:rsid w:val="00DE4601"/>
    <w:rsid w:val="00DE4B58"/>
    <w:rsid w:val="00DE5775"/>
    <w:rsid w:val="00DE5851"/>
    <w:rsid w:val="00DE5FC1"/>
    <w:rsid w:val="00DE6640"/>
    <w:rsid w:val="00DE71DA"/>
    <w:rsid w:val="00DE71F1"/>
    <w:rsid w:val="00DE7767"/>
    <w:rsid w:val="00DE79C2"/>
    <w:rsid w:val="00DE7D42"/>
    <w:rsid w:val="00DF0430"/>
    <w:rsid w:val="00DF1072"/>
    <w:rsid w:val="00DF27CD"/>
    <w:rsid w:val="00DF2EF4"/>
    <w:rsid w:val="00DF3138"/>
    <w:rsid w:val="00DF3A3E"/>
    <w:rsid w:val="00DF43CF"/>
    <w:rsid w:val="00DF44C5"/>
    <w:rsid w:val="00DF483D"/>
    <w:rsid w:val="00DF4A2F"/>
    <w:rsid w:val="00DF52C3"/>
    <w:rsid w:val="00DF53CD"/>
    <w:rsid w:val="00DF5926"/>
    <w:rsid w:val="00DF5B61"/>
    <w:rsid w:val="00DF5BA4"/>
    <w:rsid w:val="00DF6224"/>
    <w:rsid w:val="00DF63F7"/>
    <w:rsid w:val="00DF65AC"/>
    <w:rsid w:val="00DF6A07"/>
    <w:rsid w:val="00DF6C51"/>
    <w:rsid w:val="00DF75F0"/>
    <w:rsid w:val="00DF7682"/>
    <w:rsid w:val="00DF7AF0"/>
    <w:rsid w:val="00DF7BB2"/>
    <w:rsid w:val="00DF7C33"/>
    <w:rsid w:val="00E0015B"/>
    <w:rsid w:val="00E008EB"/>
    <w:rsid w:val="00E009F9"/>
    <w:rsid w:val="00E00A5F"/>
    <w:rsid w:val="00E00D05"/>
    <w:rsid w:val="00E00E88"/>
    <w:rsid w:val="00E01A19"/>
    <w:rsid w:val="00E01B51"/>
    <w:rsid w:val="00E01FC9"/>
    <w:rsid w:val="00E021DB"/>
    <w:rsid w:val="00E0245E"/>
    <w:rsid w:val="00E02634"/>
    <w:rsid w:val="00E02A9E"/>
    <w:rsid w:val="00E03767"/>
    <w:rsid w:val="00E03949"/>
    <w:rsid w:val="00E03C73"/>
    <w:rsid w:val="00E04ABF"/>
    <w:rsid w:val="00E04E3D"/>
    <w:rsid w:val="00E05186"/>
    <w:rsid w:val="00E05A57"/>
    <w:rsid w:val="00E05BE2"/>
    <w:rsid w:val="00E07225"/>
    <w:rsid w:val="00E0758D"/>
    <w:rsid w:val="00E07D43"/>
    <w:rsid w:val="00E1038F"/>
    <w:rsid w:val="00E1048E"/>
    <w:rsid w:val="00E10E6C"/>
    <w:rsid w:val="00E126C2"/>
    <w:rsid w:val="00E130B2"/>
    <w:rsid w:val="00E1326D"/>
    <w:rsid w:val="00E13581"/>
    <w:rsid w:val="00E13BB4"/>
    <w:rsid w:val="00E13C4F"/>
    <w:rsid w:val="00E13F64"/>
    <w:rsid w:val="00E14233"/>
    <w:rsid w:val="00E1482A"/>
    <w:rsid w:val="00E14B7E"/>
    <w:rsid w:val="00E14B9E"/>
    <w:rsid w:val="00E15CC7"/>
    <w:rsid w:val="00E16089"/>
    <w:rsid w:val="00E1662A"/>
    <w:rsid w:val="00E16BB8"/>
    <w:rsid w:val="00E17A67"/>
    <w:rsid w:val="00E20656"/>
    <w:rsid w:val="00E20E63"/>
    <w:rsid w:val="00E213DC"/>
    <w:rsid w:val="00E21D73"/>
    <w:rsid w:val="00E22313"/>
    <w:rsid w:val="00E2275F"/>
    <w:rsid w:val="00E2312F"/>
    <w:rsid w:val="00E23432"/>
    <w:rsid w:val="00E239EB"/>
    <w:rsid w:val="00E23D6F"/>
    <w:rsid w:val="00E241EF"/>
    <w:rsid w:val="00E25978"/>
    <w:rsid w:val="00E25E8B"/>
    <w:rsid w:val="00E2608B"/>
    <w:rsid w:val="00E2627E"/>
    <w:rsid w:val="00E264EA"/>
    <w:rsid w:val="00E272C0"/>
    <w:rsid w:val="00E27ACE"/>
    <w:rsid w:val="00E301F2"/>
    <w:rsid w:val="00E30EE2"/>
    <w:rsid w:val="00E31395"/>
    <w:rsid w:val="00E32B4E"/>
    <w:rsid w:val="00E33138"/>
    <w:rsid w:val="00E33841"/>
    <w:rsid w:val="00E33C0F"/>
    <w:rsid w:val="00E3562B"/>
    <w:rsid w:val="00E35AB5"/>
    <w:rsid w:val="00E36A05"/>
    <w:rsid w:val="00E36FEA"/>
    <w:rsid w:val="00E3728D"/>
    <w:rsid w:val="00E3737B"/>
    <w:rsid w:val="00E3750C"/>
    <w:rsid w:val="00E37718"/>
    <w:rsid w:val="00E37885"/>
    <w:rsid w:val="00E37FD2"/>
    <w:rsid w:val="00E40208"/>
    <w:rsid w:val="00E40718"/>
    <w:rsid w:val="00E4071A"/>
    <w:rsid w:val="00E40826"/>
    <w:rsid w:val="00E40C58"/>
    <w:rsid w:val="00E41171"/>
    <w:rsid w:val="00E4164F"/>
    <w:rsid w:val="00E417E5"/>
    <w:rsid w:val="00E41EB7"/>
    <w:rsid w:val="00E4229E"/>
    <w:rsid w:val="00E425F1"/>
    <w:rsid w:val="00E426BE"/>
    <w:rsid w:val="00E430F6"/>
    <w:rsid w:val="00E43A6E"/>
    <w:rsid w:val="00E43EF8"/>
    <w:rsid w:val="00E4425F"/>
    <w:rsid w:val="00E44620"/>
    <w:rsid w:val="00E44698"/>
    <w:rsid w:val="00E4469E"/>
    <w:rsid w:val="00E44BEE"/>
    <w:rsid w:val="00E44F64"/>
    <w:rsid w:val="00E4518F"/>
    <w:rsid w:val="00E463A3"/>
    <w:rsid w:val="00E46A84"/>
    <w:rsid w:val="00E500EF"/>
    <w:rsid w:val="00E50446"/>
    <w:rsid w:val="00E50FE1"/>
    <w:rsid w:val="00E5190B"/>
    <w:rsid w:val="00E51C1B"/>
    <w:rsid w:val="00E524F3"/>
    <w:rsid w:val="00E52825"/>
    <w:rsid w:val="00E5304C"/>
    <w:rsid w:val="00E5305C"/>
    <w:rsid w:val="00E530D2"/>
    <w:rsid w:val="00E53102"/>
    <w:rsid w:val="00E53B5A"/>
    <w:rsid w:val="00E53C22"/>
    <w:rsid w:val="00E54246"/>
    <w:rsid w:val="00E543A8"/>
    <w:rsid w:val="00E55206"/>
    <w:rsid w:val="00E56981"/>
    <w:rsid w:val="00E57635"/>
    <w:rsid w:val="00E57643"/>
    <w:rsid w:val="00E57884"/>
    <w:rsid w:val="00E57986"/>
    <w:rsid w:val="00E57D77"/>
    <w:rsid w:val="00E601A4"/>
    <w:rsid w:val="00E60C35"/>
    <w:rsid w:val="00E61134"/>
    <w:rsid w:val="00E6206E"/>
    <w:rsid w:val="00E6220C"/>
    <w:rsid w:val="00E62385"/>
    <w:rsid w:val="00E62F8C"/>
    <w:rsid w:val="00E6313F"/>
    <w:rsid w:val="00E631B4"/>
    <w:rsid w:val="00E63227"/>
    <w:rsid w:val="00E632F2"/>
    <w:rsid w:val="00E63E57"/>
    <w:rsid w:val="00E63EE8"/>
    <w:rsid w:val="00E6464F"/>
    <w:rsid w:val="00E648AC"/>
    <w:rsid w:val="00E6508B"/>
    <w:rsid w:val="00E6511D"/>
    <w:rsid w:val="00E6589F"/>
    <w:rsid w:val="00E65C1C"/>
    <w:rsid w:val="00E66155"/>
    <w:rsid w:val="00E66D00"/>
    <w:rsid w:val="00E66DE5"/>
    <w:rsid w:val="00E67D09"/>
    <w:rsid w:val="00E67E03"/>
    <w:rsid w:val="00E70B3D"/>
    <w:rsid w:val="00E70B54"/>
    <w:rsid w:val="00E70FBF"/>
    <w:rsid w:val="00E7130F"/>
    <w:rsid w:val="00E71F9A"/>
    <w:rsid w:val="00E72A20"/>
    <w:rsid w:val="00E73B0E"/>
    <w:rsid w:val="00E74372"/>
    <w:rsid w:val="00E74B15"/>
    <w:rsid w:val="00E75447"/>
    <w:rsid w:val="00E75599"/>
    <w:rsid w:val="00E76332"/>
    <w:rsid w:val="00E76BD2"/>
    <w:rsid w:val="00E774B5"/>
    <w:rsid w:val="00E77B37"/>
    <w:rsid w:val="00E800C2"/>
    <w:rsid w:val="00E81212"/>
    <w:rsid w:val="00E815AC"/>
    <w:rsid w:val="00E822ED"/>
    <w:rsid w:val="00E82A42"/>
    <w:rsid w:val="00E82F36"/>
    <w:rsid w:val="00E832A6"/>
    <w:rsid w:val="00E83492"/>
    <w:rsid w:val="00E8361B"/>
    <w:rsid w:val="00E8393D"/>
    <w:rsid w:val="00E83FAC"/>
    <w:rsid w:val="00E84446"/>
    <w:rsid w:val="00E84A0B"/>
    <w:rsid w:val="00E84B07"/>
    <w:rsid w:val="00E84F87"/>
    <w:rsid w:val="00E8515A"/>
    <w:rsid w:val="00E853C2"/>
    <w:rsid w:val="00E853CC"/>
    <w:rsid w:val="00E855DB"/>
    <w:rsid w:val="00E85FB9"/>
    <w:rsid w:val="00E86371"/>
    <w:rsid w:val="00E86C44"/>
    <w:rsid w:val="00E86EF4"/>
    <w:rsid w:val="00E86FC6"/>
    <w:rsid w:val="00E900D0"/>
    <w:rsid w:val="00E90509"/>
    <w:rsid w:val="00E909C0"/>
    <w:rsid w:val="00E90BCD"/>
    <w:rsid w:val="00E90FAB"/>
    <w:rsid w:val="00E91281"/>
    <w:rsid w:val="00E913F2"/>
    <w:rsid w:val="00E9150F"/>
    <w:rsid w:val="00E9152A"/>
    <w:rsid w:val="00E92076"/>
    <w:rsid w:val="00E928E9"/>
    <w:rsid w:val="00E9321E"/>
    <w:rsid w:val="00E93524"/>
    <w:rsid w:val="00E940CC"/>
    <w:rsid w:val="00E9417B"/>
    <w:rsid w:val="00E9441F"/>
    <w:rsid w:val="00E94456"/>
    <w:rsid w:val="00E94653"/>
    <w:rsid w:val="00E9491C"/>
    <w:rsid w:val="00E94D03"/>
    <w:rsid w:val="00E953CF"/>
    <w:rsid w:val="00E954AC"/>
    <w:rsid w:val="00E954B0"/>
    <w:rsid w:val="00E958E9"/>
    <w:rsid w:val="00E95F1B"/>
    <w:rsid w:val="00E964B9"/>
    <w:rsid w:val="00E96696"/>
    <w:rsid w:val="00E96996"/>
    <w:rsid w:val="00E971CD"/>
    <w:rsid w:val="00E97630"/>
    <w:rsid w:val="00E97949"/>
    <w:rsid w:val="00EA028B"/>
    <w:rsid w:val="00EA1458"/>
    <w:rsid w:val="00EA1C03"/>
    <w:rsid w:val="00EA1C28"/>
    <w:rsid w:val="00EA2329"/>
    <w:rsid w:val="00EA2E76"/>
    <w:rsid w:val="00EA300E"/>
    <w:rsid w:val="00EA304C"/>
    <w:rsid w:val="00EA30D5"/>
    <w:rsid w:val="00EA3425"/>
    <w:rsid w:val="00EA3639"/>
    <w:rsid w:val="00EA46B6"/>
    <w:rsid w:val="00EA46D2"/>
    <w:rsid w:val="00EA4E6F"/>
    <w:rsid w:val="00EA5C52"/>
    <w:rsid w:val="00EA6026"/>
    <w:rsid w:val="00EA70B3"/>
    <w:rsid w:val="00EA722E"/>
    <w:rsid w:val="00EA727E"/>
    <w:rsid w:val="00EA72A8"/>
    <w:rsid w:val="00EA747F"/>
    <w:rsid w:val="00EB115B"/>
    <w:rsid w:val="00EB1F35"/>
    <w:rsid w:val="00EB1FC8"/>
    <w:rsid w:val="00EB25C7"/>
    <w:rsid w:val="00EB2A7A"/>
    <w:rsid w:val="00EB2D43"/>
    <w:rsid w:val="00EB2D86"/>
    <w:rsid w:val="00EB37B4"/>
    <w:rsid w:val="00EB3D0F"/>
    <w:rsid w:val="00EB3DDC"/>
    <w:rsid w:val="00EB4423"/>
    <w:rsid w:val="00EB495B"/>
    <w:rsid w:val="00EB4C22"/>
    <w:rsid w:val="00EB50EF"/>
    <w:rsid w:val="00EB599F"/>
    <w:rsid w:val="00EB6128"/>
    <w:rsid w:val="00EB61BD"/>
    <w:rsid w:val="00EB61D6"/>
    <w:rsid w:val="00EB65A0"/>
    <w:rsid w:val="00EB6D60"/>
    <w:rsid w:val="00EB75D0"/>
    <w:rsid w:val="00EB76C4"/>
    <w:rsid w:val="00EB7A68"/>
    <w:rsid w:val="00EB7E64"/>
    <w:rsid w:val="00EB7EDE"/>
    <w:rsid w:val="00EC0237"/>
    <w:rsid w:val="00EC0B43"/>
    <w:rsid w:val="00EC1386"/>
    <w:rsid w:val="00EC1BBF"/>
    <w:rsid w:val="00EC1C4A"/>
    <w:rsid w:val="00EC1C92"/>
    <w:rsid w:val="00EC1CCB"/>
    <w:rsid w:val="00EC29BF"/>
    <w:rsid w:val="00EC2F63"/>
    <w:rsid w:val="00EC2F89"/>
    <w:rsid w:val="00EC39E3"/>
    <w:rsid w:val="00EC39F6"/>
    <w:rsid w:val="00EC3B6E"/>
    <w:rsid w:val="00EC3CE9"/>
    <w:rsid w:val="00EC45C5"/>
    <w:rsid w:val="00EC526F"/>
    <w:rsid w:val="00EC5367"/>
    <w:rsid w:val="00EC580F"/>
    <w:rsid w:val="00EC6C47"/>
    <w:rsid w:val="00EC6FA0"/>
    <w:rsid w:val="00EC78EF"/>
    <w:rsid w:val="00EC79A1"/>
    <w:rsid w:val="00ED0DC0"/>
    <w:rsid w:val="00ED2993"/>
    <w:rsid w:val="00ED3F2D"/>
    <w:rsid w:val="00ED4617"/>
    <w:rsid w:val="00ED4BDD"/>
    <w:rsid w:val="00ED4CE1"/>
    <w:rsid w:val="00ED4F85"/>
    <w:rsid w:val="00ED55BA"/>
    <w:rsid w:val="00ED5B29"/>
    <w:rsid w:val="00ED5ED6"/>
    <w:rsid w:val="00ED60F1"/>
    <w:rsid w:val="00ED6299"/>
    <w:rsid w:val="00ED7170"/>
    <w:rsid w:val="00ED743B"/>
    <w:rsid w:val="00ED74C6"/>
    <w:rsid w:val="00ED7BD4"/>
    <w:rsid w:val="00ED7E16"/>
    <w:rsid w:val="00EE02DB"/>
    <w:rsid w:val="00EE18F1"/>
    <w:rsid w:val="00EE1C7B"/>
    <w:rsid w:val="00EE2315"/>
    <w:rsid w:val="00EE2BDD"/>
    <w:rsid w:val="00EE33DC"/>
    <w:rsid w:val="00EE3640"/>
    <w:rsid w:val="00EE3686"/>
    <w:rsid w:val="00EE4405"/>
    <w:rsid w:val="00EE4480"/>
    <w:rsid w:val="00EE47F0"/>
    <w:rsid w:val="00EE4C56"/>
    <w:rsid w:val="00EE4F5B"/>
    <w:rsid w:val="00EE547C"/>
    <w:rsid w:val="00EE57C4"/>
    <w:rsid w:val="00EE5CA0"/>
    <w:rsid w:val="00EE60C3"/>
    <w:rsid w:val="00EE6790"/>
    <w:rsid w:val="00EE75A3"/>
    <w:rsid w:val="00EE78CC"/>
    <w:rsid w:val="00EE7A95"/>
    <w:rsid w:val="00EF04BF"/>
    <w:rsid w:val="00EF051E"/>
    <w:rsid w:val="00EF0563"/>
    <w:rsid w:val="00EF0FC4"/>
    <w:rsid w:val="00EF124E"/>
    <w:rsid w:val="00EF126D"/>
    <w:rsid w:val="00EF1D62"/>
    <w:rsid w:val="00EF2304"/>
    <w:rsid w:val="00EF27C4"/>
    <w:rsid w:val="00EF2D0B"/>
    <w:rsid w:val="00EF2D23"/>
    <w:rsid w:val="00EF3ACA"/>
    <w:rsid w:val="00EF3E55"/>
    <w:rsid w:val="00EF4601"/>
    <w:rsid w:val="00EF4A55"/>
    <w:rsid w:val="00EF4B24"/>
    <w:rsid w:val="00EF5CB1"/>
    <w:rsid w:val="00EF636B"/>
    <w:rsid w:val="00EF6BDB"/>
    <w:rsid w:val="00EF70C7"/>
    <w:rsid w:val="00F00240"/>
    <w:rsid w:val="00F00294"/>
    <w:rsid w:val="00F00D26"/>
    <w:rsid w:val="00F01254"/>
    <w:rsid w:val="00F01767"/>
    <w:rsid w:val="00F019ED"/>
    <w:rsid w:val="00F01A8F"/>
    <w:rsid w:val="00F01E72"/>
    <w:rsid w:val="00F03A16"/>
    <w:rsid w:val="00F0544D"/>
    <w:rsid w:val="00F05ED5"/>
    <w:rsid w:val="00F0675B"/>
    <w:rsid w:val="00F06F74"/>
    <w:rsid w:val="00F075CE"/>
    <w:rsid w:val="00F0766F"/>
    <w:rsid w:val="00F07BC6"/>
    <w:rsid w:val="00F10172"/>
    <w:rsid w:val="00F10331"/>
    <w:rsid w:val="00F1044C"/>
    <w:rsid w:val="00F107EA"/>
    <w:rsid w:val="00F113D4"/>
    <w:rsid w:val="00F115C3"/>
    <w:rsid w:val="00F1160E"/>
    <w:rsid w:val="00F11B13"/>
    <w:rsid w:val="00F11E69"/>
    <w:rsid w:val="00F1223A"/>
    <w:rsid w:val="00F12676"/>
    <w:rsid w:val="00F13226"/>
    <w:rsid w:val="00F1343D"/>
    <w:rsid w:val="00F13464"/>
    <w:rsid w:val="00F13D94"/>
    <w:rsid w:val="00F151B7"/>
    <w:rsid w:val="00F15234"/>
    <w:rsid w:val="00F15431"/>
    <w:rsid w:val="00F155EE"/>
    <w:rsid w:val="00F15FBF"/>
    <w:rsid w:val="00F16ABA"/>
    <w:rsid w:val="00F16D4A"/>
    <w:rsid w:val="00F17D39"/>
    <w:rsid w:val="00F200FA"/>
    <w:rsid w:val="00F204E8"/>
    <w:rsid w:val="00F20CC1"/>
    <w:rsid w:val="00F20CF1"/>
    <w:rsid w:val="00F216B7"/>
    <w:rsid w:val="00F2202C"/>
    <w:rsid w:val="00F225E5"/>
    <w:rsid w:val="00F2312A"/>
    <w:rsid w:val="00F245FD"/>
    <w:rsid w:val="00F24CED"/>
    <w:rsid w:val="00F24E18"/>
    <w:rsid w:val="00F252ED"/>
    <w:rsid w:val="00F25385"/>
    <w:rsid w:val="00F25812"/>
    <w:rsid w:val="00F25917"/>
    <w:rsid w:val="00F26304"/>
    <w:rsid w:val="00F26EA8"/>
    <w:rsid w:val="00F273E9"/>
    <w:rsid w:val="00F3070A"/>
    <w:rsid w:val="00F30804"/>
    <w:rsid w:val="00F30A4A"/>
    <w:rsid w:val="00F30D5E"/>
    <w:rsid w:val="00F30D65"/>
    <w:rsid w:val="00F30D93"/>
    <w:rsid w:val="00F3110A"/>
    <w:rsid w:val="00F312CC"/>
    <w:rsid w:val="00F3131B"/>
    <w:rsid w:val="00F31CDB"/>
    <w:rsid w:val="00F31FD3"/>
    <w:rsid w:val="00F32B68"/>
    <w:rsid w:val="00F32DDE"/>
    <w:rsid w:val="00F32FF4"/>
    <w:rsid w:val="00F33C54"/>
    <w:rsid w:val="00F34480"/>
    <w:rsid w:val="00F34560"/>
    <w:rsid w:val="00F34F31"/>
    <w:rsid w:val="00F3581D"/>
    <w:rsid w:val="00F35D85"/>
    <w:rsid w:val="00F35EBB"/>
    <w:rsid w:val="00F35FA8"/>
    <w:rsid w:val="00F3604D"/>
    <w:rsid w:val="00F364F5"/>
    <w:rsid w:val="00F3652B"/>
    <w:rsid w:val="00F36673"/>
    <w:rsid w:val="00F36C50"/>
    <w:rsid w:val="00F375E5"/>
    <w:rsid w:val="00F37A5E"/>
    <w:rsid w:val="00F37F18"/>
    <w:rsid w:val="00F4015D"/>
    <w:rsid w:val="00F404B0"/>
    <w:rsid w:val="00F4080A"/>
    <w:rsid w:val="00F408E7"/>
    <w:rsid w:val="00F40BCD"/>
    <w:rsid w:val="00F41778"/>
    <w:rsid w:val="00F41917"/>
    <w:rsid w:val="00F41D4A"/>
    <w:rsid w:val="00F42512"/>
    <w:rsid w:val="00F42F2D"/>
    <w:rsid w:val="00F432AB"/>
    <w:rsid w:val="00F432E2"/>
    <w:rsid w:val="00F43A06"/>
    <w:rsid w:val="00F443DF"/>
    <w:rsid w:val="00F448CF"/>
    <w:rsid w:val="00F45115"/>
    <w:rsid w:val="00F45253"/>
    <w:rsid w:val="00F45377"/>
    <w:rsid w:val="00F4617A"/>
    <w:rsid w:val="00F464BC"/>
    <w:rsid w:val="00F4651C"/>
    <w:rsid w:val="00F4665E"/>
    <w:rsid w:val="00F46796"/>
    <w:rsid w:val="00F46DAB"/>
    <w:rsid w:val="00F47410"/>
    <w:rsid w:val="00F47B0F"/>
    <w:rsid w:val="00F47F02"/>
    <w:rsid w:val="00F50650"/>
    <w:rsid w:val="00F50F3D"/>
    <w:rsid w:val="00F510BD"/>
    <w:rsid w:val="00F513C9"/>
    <w:rsid w:val="00F517FD"/>
    <w:rsid w:val="00F52298"/>
    <w:rsid w:val="00F52482"/>
    <w:rsid w:val="00F525B9"/>
    <w:rsid w:val="00F52B41"/>
    <w:rsid w:val="00F53713"/>
    <w:rsid w:val="00F53D21"/>
    <w:rsid w:val="00F53DAE"/>
    <w:rsid w:val="00F53FB7"/>
    <w:rsid w:val="00F54AE6"/>
    <w:rsid w:val="00F54BC6"/>
    <w:rsid w:val="00F551A8"/>
    <w:rsid w:val="00F55D6A"/>
    <w:rsid w:val="00F56EC3"/>
    <w:rsid w:val="00F576ED"/>
    <w:rsid w:val="00F605F1"/>
    <w:rsid w:val="00F60E11"/>
    <w:rsid w:val="00F61215"/>
    <w:rsid w:val="00F6156D"/>
    <w:rsid w:val="00F61B0B"/>
    <w:rsid w:val="00F62053"/>
    <w:rsid w:val="00F62353"/>
    <w:rsid w:val="00F62465"/>
    <w:rsid w:val="00F62822"/>
    <w:rsid w:val="00F629C8"/>
    <w:rsid w:val="00F62E5F"/>
    <w:rsid w:val="00F63473"/>
    <w:rsid w:val="00F63E63"/>
    <w:rsid w:val="00F647C2"/>
    <w:rsid w:val="00F64986"/>
    <w:rsid w:val="00F64A51"/>
    <w:rsid w:val="00F65A6E"/>
    <w:rsid w:val="00F66074"/>
    <w:rsid w:val="00F663F0"/>
    <w:rsid w:val="00F67DF8"/>
    <w:rsid w:val="00F706AE"/>
    <w:rsid w:val="00F70E5D"/>
    <w:rsid w:val="00F71898"/>
    <w:rsid w:val="00F729B4"/>
    <w:rsid w:val="00F72ACE"/>
    <w:rsid w:val="00F72CAC"/>
    <w:rsid w:val="00F72F04"/>
    <w:rsid w:val="00F742E4"/>
    <w:rsid w:val="00F752B8"/>
    <w:rsid w:val="00F75B8E"/>
    <w:rsid w:val="00F7626D"/>
    <w:rsid w:val="00F7760C"/>
    <w:rsid w:val="00F77DB3"/>
    <w:rsid w:val="00F80F94"/>
    <w:rsid w:val="00F81313"/>
    <w:rsid w:val="00F813A4"/>
    <w:rsid w:val="00F813B0"/>
    <w:rsid w:val="00F81D74"/>
    <w:rsid w:val="00F81DC4"/>
    <w:rsid w:val="00F8223F"/>
    <w:rsid w:val="00F82BDB"/>
    <w:rsid w:val="00F83026"/>
    <w:rsid w:val="00F83525"/>
    <w:rsid w:val="00F83DD4"/>
    <w:rsid w:val="00F8433F"/>
    <w:rsid w:val="00F844F3"/>
    <w:rsid w:val="00F847DA"/>
    <w:rsid w:val="00F84970"/>
    <w:rsid w:val="00F85430"/>
    <w:rsid w:val="00F859E3"/>
    <w:rsid w:val="00F86463"/>
    <w:rsid w:val="00F86D41"/>
    <w:rsid w:val="00F87388"/>
    <w:rsid w:val="00F875BD"/>
    <w:rsid w:val="00F879DB"/>
    <w:rsid w:val="00F87D8F"/>
    <w:rsid w:val="00F903D6"/>
    <w:rsid w:val="00F90801"/>
    <w:rsid w:val="00F914C3"/>
    <w:rsid w:val="00F91742"/>
    <w:rsid w:val="00F9195B"/>
    <w:rsid w:val="00F9219C"/>
    <w:rsid w:val="00F92362"/>
    <w:rsid w:val="00F92565"/>
    <w:rsid w:val="00F92EAF"/>
    <w:rsid w:val="00F935CB"/>
    <w:rsid w:val="00F9377D"/>
    <w:rsid w:val="00F93F7E"/>
    <w:rsid w:val="00F9414E"/>
    <w:rsid w:val="00F94624"/>
    <w:rsid w:val="00F94757"/>
    <w:rsid w:val="00F9538C"/>
    <w:rsid w:val="00F95750"/>
    <w:rsid w:val="00F96E4C"/>
    <w:rsid w:val="00F971D8"/>
    <w:rsid w:val="00F9768D"/>
    <w:rsid w:val="00F9780B"/>
    <w:rsid w:val="00F97B72"/>
    <w:rsid w:val="00FA0AB3"/>
    <w:rsid w:val="00FA0E58"/>
    <w:rsid w:val="00FA0EF9"/>
    <w:rsid w:val="00FA2201"/>
    <w:rsid w:val="00FA2740"/>
    <w:rsid w:val="00FA2E18"/>
    <w:rsid w:val="00FA30F4"/>
    <w:rsid w:val="00FA336C"/>
    <w:rsid w:val="00FA33EE"/>
    <w:rsid w:val="00FA38E7"/>
    <w:rsid w:val="00FA3B20"/>
    <w:rsid w:val="00FA3D01"/>
    <w:rsid w:val="00FA42F5"/>
    <w:rsid w:val="00FA53D2"/>
    <w:rsid w:val="00FA54CA"/>
    <w:rsid w:val="00FA5A96"/>
    <w:rsid w:val="00FA6897"/>
    <w:rsid w:val="00FA7946"/>
    <w:rsid w:val="00FA795F"/>
    <w:rsid w:val="00FA79D5"/>
    <w:rsid w:val="00FB092E"/>
    <w:rsid w:val="00FB0A20"/>
    <w:rsid w:val="00FB0CC3"/>
    <w:rsid w:val="00FB12AB"/>
    <w:rsid w:val="00FB18DE"/>
    <w:rsid w:val="00FB1D39"/>
    <w:rsid w:val="00FB2C60"/>
    <w:rsid w:val="00FB3449"/>
    <w:rsid w:val="00FB37E4"/>
    <w:rsid w:val="00FB4DBB"/>
    <w:rsid w:val="00FB51C2"/>
    <w:rsid w:val="00FB562A"/>
    <w:rsid w:val="00FB5F7C"/>
    <w:rsid w:val="00FB60AA"/>
    <w:rsid w:val="00FB618D"/>
    <w:rsid w:val="00FB69A8"/>
    <w:rsid w:val="00FB6EA2"/>
    <w:rsid w:val="00FB7CE7"/>
    <w:rsid w:val="00FC00EC"/>
    <w:rsid w:val="00FC0513"/>
    <w:rsid w:val="00FC05E4"/>
    <w:rsid w:val="00FC0718"/>
    <w:rsid w:val="00FC189B"/>
    <w:rsid w:val="00FC1B91"/>
    <w:rsid w:val="00FC280F"/>
    <w:rsid w:val="00FC363F"/>
    <w:rsid w:val="00FC4175"/>
    <w:rsid w:val="00FC5313"/>
    <w:rsid w:val="00FC53F0"/>
    <w:rsid w:val="00FC5C94"/>
    <w:rsid w:val="00FC6016"/>
    <w:rsid w:val="00FC6160"/>
    <w:rsid w:val="00FC6B04"/>
    <w:rsid w:val="00FC6BD1"/>
    <w:rsid w:val="00FC7D4A"/>
    <w:rsid w:val="00FD0DD3"/>
    <w:rsid w:val="00FD130F"/>
    <w:rsid w:val="00FD1952"/>
    <w:rsid w:val="00FD1E71"/>
    <w:rsid w:val="00FD21D5"/>
    <w:rsid w:val="00FD21E7"/>
    <w:rsid w:val="00FD23A2"/>
    <w:rsid w:val="00FD2964"/>
    <w:rsid w:val="00FD2A81"/>
    <w:rsid w:val="00FD4531"/>
    <w:rsid w:val="00FD4717"/>
    <w:rsid w:val="00FD48B4"/>
    <w:rsid w:val="00FD48CF"/>
    <w:rsid w:val="00FD5104"/>
    <w:rsid w:val="00FD5F37"/>
    <w:rsid w:val="00FD6737"/>
    <w:rsid w:val="00FD6F2F"/>
    <w:rsid w:val="00FD7055"/>
    <w:rsid w:val="00FD70BD"/>
    <w:rsid w:val="00FD78D8"/>
    <w:rsid w:val="00FE05C9"/>
    <w:rsid w:val="00FE0942"/>
    <w:rsid w:val="00FE0D0E"/>
    <w:rsid w:val="00FE1017"/>
    <w:rsid w:val="00FE1064"/>
    <w:rsid w:val="00FE2189"/>
    <w:rsid w:val="00FE3807"/>
    <w:rsid w:val="00FE3934"/>
    <w:rsid w:val="00FE3A4B"/>
    <w:rsid w:val="00FE3A97"/>
    <w:rsid w:val="00FE4EC5"/>
    <w:rsid w:val="00FE4EE0"/>
    <w:rsid w:val="00FE4F89"/>
    <w:rsid w:val="00FE5059"/>
    <w:rsid w:val="00FE52FF"/>
    <w:rsid w:val="00FE5B08"/>
    <w:rsid w:val="00FE640F"/>
    <w:rsid w:val="00FE65AD"/>
    <w:rsid w:val="00FE681D"/>
    <w:rsid w:val="00FE7193"/>
    <w:rsid w:val="00FE7620"/>
    <w:rsid w:val="00FE7B1F"/>
    <w:rsid w:val="00FE7D0D"/>
    <w:rsid w:val="00FF08D4"/>
    <w:rsid w:val="00FF0C80"/>
    <w:rsid w:val="00FF22C2"/>
    <w:rsid w:val="00FF2869"/>
    <w:rsid w:val="00FF2A06"/>
    <w:rsid w:val="00FF32A5"/>
    <w:rsid w:val="00FF3D47"/>
    <w:rsid w:val="00FF3F49"/>
    <w:rsid w:val="00FF4442"/>
    <w:rsid w:val="00FF4866"/>
    <w:rsid w:val="00FF49C2"/>
    <w:rsid w:val="00FF5442"/>
    <w:rsid w:val="00FF58C4"/>
    <w:rsid w:val="00FF5AB9"/>
    <w:rsid w:val="00FF5F34"/>
    <w:rsid w:val="00FF6099"/>
    <w:rsid w:val="00FF6121"/>
    <w:rsid w:val="00FF62F8"/>
    <w:rsid w:val="00FF68C7"/>
    <w:rsid w:val="00FF6916"/>
    <w:rsid w:val="00FF6AB3"/>
    <w:rsid w:val="00FF6F18"/>
    <w:rsid w:val="00FF7607"/>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A730"/>
  <w15:docId w15:val="{06EA4D16-4A8F-42FB-BD29-D5022E43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809B1"/>
    <w:pPr>
      <w:keepNext/>
      <w:keepLines/>
      <w:spacing w:before="240" w:after="0"/>
      <w:outlineLvl w:val="0"/>
    </w:pPr>
    <w:rPr>
      <w:rFonts w:ascii="Arial" w:eastAsiaTheme="majorEastAsia" w:hAnsi="Arial" w:cstheme="majorBidi"/>
      <w:color w:val="2F5496" w:themeColor="accent1" w:themeShade="BF"/>
      <w:szCs w:val="32"/>
    </w:rPr>
  </w:style>
  <w:style w:type="paragraph" w:styleId="Naslov2">
    <w:name w:val="heading 2"/>
    <w:basedOn w:val="Navaden"/>
    <w:next w:val="Navaden"/>
    <w:link w:val="Naslov2Znak"/>
    <w:uiPriority w:val="9"/>
    <w:unhideWhenUsed/>
    <w:qFormat/>
    <w:rsid w:val="008809B1"/>
    <w:pPr>
      <w:keepNext/>
      <w:keepLines/>
      <w:spacing w:before="40" w:after="0"/>
      <w:outlineLvl w:val="1"/>
    </w:pPr>
    <w:rPr>
      <w:rFonts w:ascii="Arial" w:eastAsiaTheme="majorEastAsia" w:hAnsi="Arial" w:cstheme="majorBidi"/>
      <w:color w:val="2F5496" w:themeColor="accent1" w:themeShade="BF"/>
      <w:szCs w:val="26"/>
    </w:rPr>
  </w:style>
  <w:style w:type="paragraph" w:styleId="Naslov3">
    <w:name w:val="heading 3"/>
    <w:basedOn w:val="Navaden"/>
    <w:next w:val="Navaden"/>
    <w:link w:val="Naslov3Znak"/>
    <w:uiPriority w:val="9"/>
    <w:unhideWhenUsed/>
    <w:qFormat/>
    <w:rsid w:val="008809B1"/>
    <w:pPr>
      <w:keepNext/>
      <w:keepLines/>
      <w:spacing w:before="40" w:after="0"/>
      <w:outlineLvl w:val="2"/>
    </w:pPr>
    <w:rPr>
      <w:rFonts w:ascii="Arial" w:eastAsiaTheme="majorEastAsia" w:hAnsi="Arial" w:cstheme="majorBidi"/>
      <w:color w:val="1F3763" w:themeColor="accent1" w:themeShade="7F"/>
      <w:szCs w:val="24"/>
    </w:rPr>
  </w:style>
  <w:style w:type="paragraph" w:styleId="Naslov4">
    <w:name w:val="heading 4"/>
    <w:basedOn w:val="Navaden"/>
    <w:next w:val="Navaden"/>
    <w:link w:val="Naslov4Znak"/>
    <w:uiPriority w:val="9"/>
    <w:unhideWhenUsed/>
    <w:qFormat/>
    <w:rsid w:val="005C1A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09B1"/>
    <w:rPr>
      <w:rFonts w:ascii="Arial" w:eastAsiaTheme="majorEastAsia" w:hAnsi="Arial" w:cstheme="majorBidi"/>
      <w:color w:val="2F5496" w:themeColor="accent1" w:themeShade="BF"/>
      <w:szCs w:val="32"/>
    </w:rPr>
  </w:style>
  <w:style w:type="character" w:customStyle="1" w:styleId="Naslov2Znak">
    <w:name w:val="Naslov 2 Znak"/>
    <w:basedOn w:val="Privzetapisavaodstavka"/>
    <w:link w:val="Naslov2"/>
    <w:uiPriority w:val="9"/>
    <w:rsid w:val="008809B1"/>
    <w:rPr>
      <w:rFonts w:ascii="Arial" w:eastAsiaTheme="majorEastAsia" w:hAnsi="Arial" w:cstheme="majorBidi"/>
      <w:color w:val="2F5496" w:themeColor="accent1" w:themeShade="BF"/>
      <w:szCs w:val="26"/>
    </w:rPr>
  </w:style>
  <w:style w:type="character" w:customStyle="1" w:styleId="Naslov3Znak">
    <w:name w:val="Naslov 3 Znak"/>
    <w:basedOn w:val="Privzetapisavaodstavka"/>
    <w:link w:val="Naslov3"/>
    <w:uiPriority w:val="9"/>
    <w:rsid w:val="008809B1"/>
    <w:rPr>
      <w:rFonts w:ascii="Arial" w:eastAsiaTheme="majorEastAsia" w:hAnsi="Arial" w:cstheme="majorBidi"/>
      <w:color w:val="1F3763" w:themeColor="accent1" w:themeShade="7F"/>
      <w:szCs w:val="24"/>
    </w:rPr>
  </w:style>
  <w:style w:type="character" w:customStyle="1" w:styleId="Naslov4Znak">
    <w:name w:val="Naslov 4 Znak"/>
    <w:basedOn w:val="Privzetapisavaodstavka"/>
    <w:link w:val="Naslov4"/>
    <w:uiPriority w:val="9"/>
    <w:rsid w:val="005C1A53"/>
    <w:rPr>
      <w:rFonts w:asciiTheme="majorHAnsi" w:eastAsiaTheme="majorEastAsia" w:hAnsiTheme="majorHAnsi" w:cstheme="majorBidi"/>
      <w:i/>
      <w:iCs/>
      <w:color w:val="2F5496" w:themeColor="accent1" w:themeShade="BF"/>
    </w:rPr>
  </w:style>
  <w:style w:type="paragraph" w:styleId="NaslovTOC">
    <w:name w:val="TOC Heading"/>
    <w:basedOn w:val="Naslov1"/>
    <w:next w:val="Navaden"/>
    <w:uiPriority w:val="39"/>
    <w:unhideWhenUsed/>
    <w:qFormat/>
    <w:rsid w:val="00FD21E7"/>
    <w:pPr>
      <w:outlineLvl w:val="9"/>
    </w:pPr>
    <w:rPr>
      <w:lang w:eastAsia="sl-SI"/>
    </w:rPr>
  </w:style>
  <w:style w:type="paragraph" w:styleId="Kazalovsebine1">
    <w:name w:val="toc 1"/>
    <w:basedOn w:val="Navaden"/>
    <w:next w:val="Navaden"/>
    <w:autoRedefine/>
    <w:uiPriority w:val="39"/>
    <w:unhideWhenUsed/>
    <w:rsid w:val="00E900D0"/>
    <w:pPr>
      <w:tabs>
        <w:tab w:val="right" w:leader="dot" w:pos="9062"/>
      </w:tabs>
      <w:spacing w:after="100"/>
    </w:pPr>
    <w:rPr>
      <w:rFonts w:ascii="Arial" w:hAnsi="Arial" w:cs="Arial"/>
      <w:noProof/>
    </w:rPr>
  </w:style>
  <w:style w:type="paragraph" w:styleId="Kazalovsebine2">
    <w:name w:val="toc 2"/>
    <w:basedOn w:val="Navaden"/>
    <w:next w:val="Navaden"/>
    <w:autoRedefine/>
    <w:uiPriority w:val="39"/>
    <w:unhideWhenUsed/>
    <w:rsid w:val="00A84D1E"/>
    <w:pPr>
      <w:tabs>
        <w:tab w:val="right" w:leader="dot" w:pos="9174"/>
      </w:tabs>
      <w:spacing w:after="100"/>
      <w:ind w:left="220"/>
    </w:pPr>
  </w:style>
  <w:style w:type="character" w:styleId="Hiperpovezava">
    <w:name w:val="Hyperlink"/>
    <w:basedOn w:val="Privzetapisavaodstavka"/>
    <w:uiPriority w:val="99"/>
    <w:unhideWhenUsed/>
    <w:rsid w:val="00FD21E7"/>
    <w:rPr>
      <w:color w:val="0563C1" w:themeColor="hyperlink"/>
      <w:u w:val="single"/>
    </w:rPr>
  </w:style>
  <w:style w:type="paragraph" w:styleId="Glava">
    <w:name w:val="header"/>
    <w:basedOn w:val="Navaden"/>
    <w:link w:val="GlavaZnak"/>
    <w:uiPriority w:val="99"/>
    <w:unhideWhenUsed/>
    <w:rsid w:val="00FF6099"/>
    <w:pPr>
      <w:tabs>
        <w:tab w:val="center" w:pos="4536"/>
        <w:tab w:val="right" w:pos="9072"/>
      </w:tabs>
      <w:spacing w:after="0" w:line="240" w:lineRule="auto"/>
    </w:pPr>
  </w:style>
  <w:style w:type="character" w:customStyle="1" w:styleId="GlavaZnak">
    <w:name w:val="Glava Znak"/>
    <w:basedOn w:val="Privzetapisavaodstavka"/>
    <w:link w:val="Glava"/>
    <w:uiPriority w:val="99"/>
    <w:rsid w:val="00FF6099"/>
  </w:style>
  <w:style w:type="paragraph" w:styleId="Noga">
    <w:name w:val="footer"/>
    <w:basedOn w:val="Navaden"/>
    <w:link w:val="NogaZnak"/>
    <w:uiPriority w:val="99"/>
    <w:unhideWhenUsed/>
    <w:rsid w:val="00FF6099"/>
    <w:pPr>
      <w:tabs>
        <w:tab w:val="center" w:pos="4536"/>
        <w:tab w:val="right" w:pos="9072"/>
      </w:tabs>
      <w:spacing w:after="0" w:line="240" w:lineRule="auto"/>
    </w:pPr>
  </w:style>
  <w:style w:type="character" w:customStyle="1" w:styleId="NogaZnak">
    <w:name w:val="Noga Znak"/>
    <w:basedOn w:val="Privzetapisavaodstavka"/>
    <w:link w:val="Noga"/>
    <w:uiPriority w:val="99"/>
    <w:rsid w:val="00FF6099"/>
  </w:style>
  <w:style w:type="paragraph" w:styleId="Odstavekseznama">
    <w:name w:val="List Paragraph"/>
    <w:basedOn w:val="Navaden"/>
    <w:uiPriority w:val="34"/>
    <w:qFormat/>
    <w:rsid w:val="005103EB"/>
    <w:pPr>
      <w:spacing w:after="0" w:line="240" w:lineRule="auto"/>
      <w:ind w:left="720"/>
      <w:contextualSpacing/>
      <w:jc w:val="both"/>
    </w:pPr>
    <w:rPr>
      <w:rFonts w:ascii="Arial" w:eastAsia="Times New Roman" w:hAnsi="Arial" w:cs="Times New Roman"/>
      <w:szCs w:val="24"/>
    </w:rPr>
  </w:style>
  <w:style w:type="paragraph" w:customStyle="1" w:styleId="ZADEVA">
    <w:name w:val="ZADEVA"/>
    <w:basedOn w:val="Navaden"/>
    <w:uiPriority w:val="99"/>
    <w:rsid w:val="00854405"/>
    <w:pPr>
      <w:tabs>
        <w:tab w:val="left" w:pos="1701"/>
      </w:tabs>
      <w:spacing w:after="0" w:line="260" w:lineRule="exact"/>
      <w:ind w:left="1701" w:hanging="1701"/>
    </w:pPr>
    <w:rPr>
      <w:rFonts w:ascii="Arial" w:eastAsia="Times New Roman" w:hAnsi="Arial" w:cs="Times New Roman"/>
      <w:b/>
      <w:sz w:val="20"/>
      <w:szCs w:val="24"/>
      <w:lang w:val="it-IT"/>
    </w:rPr>
  </w:style>
  <w:style w:type="paragraph" w:styleId="Navadensplet">
    <w:name w:val="Normal (Web)"/>
    <w:basedOn w:val="Navaden"/>
    <w:uiPriority w:val="99"/>
    <w:unhideWhenUsed/>
    <w:rsid w:val="00854405"/>
    <w:pPr>
      <w:spacing w:before="100" w:beforeAutospacing="1" w:after="100" w:afterAutospacing="1" w:line="240" w:lineRule="auto"/>
    </w:pPr>
    <w:rPr>
      <w:rFonts w:ascii="Times New Roman" w:eastAsia="Calibri" w:hAnsi="Times New Roman" w:cs="Times New Roman"/>
      <w:sz w:val="24"/>
      <w:szCs w:val="24"/>
      <w:lang w:eastAsia="sl-SI"/>
    </w:rPr>
  </w:style>
  <w:style w:type="paragraph" w:styleId="Kazalovsebine3">
    <w:name w:val="toc 3"/>
    <w:basedOn w:val="Navaden"/>
    <w:next w:val="Navaden"/>
    <w:autoRedefine/>
    <w:uiPriority w:val="39"/>
    <w:unhideWhenUsed/>
    <w:rsid w:val="00854405"/>
    <w:pPr>
      <w:spacing w:after="100"/>
      <w:ind w:left="440"/>
    </w:pPr>
    <w:rPr>
      <w:rFonts w:eastAsiaTheme="minorEastAsia" w:cs="Times New Roman"/>
      <w:lang w:eastAsia="sl-SI"/>
    </w:rPr>
  </w:style>
  <w:style w:type="paragraph" w:styleId="Telobesedila">
    <w:name w:val="Body Text"/>
    <w:basedOn w:val="Navaden"/>
    <w:link w:val="TelobesedilaZnak"/>
    <w:uiPriority w:val="99"/>
    <w:rsid w:val="005C1A53"/>
    <w:pPr>
      <w:spacing w:after="0" w:line="240" w:lineRule="auto"/>
      <w:jc w:val="both"/>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uiPriority w:val="99"/>
    <w:rsid w:val="005C1A53"/>
    <w:rPr>
      <w:rFonts w:ascii="Times New Roman" w:eastAsia="Times New Roman" w:hAnsi="Times New Roman" w:cs="Times New Roman"/>
      <w:sz w:val="24"/>
      <w:szCs w:val="24"/>
    </w:rPr>
  </w:style>
  <w:style w:type="paragraph" w:styleId="Kazalovsebine4">
    <w:name w:val="toc 4"/>
    <w:basedOn w:val="Navaden"/>
    <w:next w:val="Navaden"/>
    <w:autoRedefine/>
    <w:uiPriority w:val="39"/>
    <w:unhideWhenUsed/>
    <w:rsid w:val="00AE378A"/>
    <w:pPr>
      <w:spacing w:after="100"/>
      <w:ind w:left="660"/>
    </w:pPr>
  </w:style>
  <w:style w:type="table" w:styleId="Tabelamrea">
    <w:name w:val="Table Grid"/>
    <w:basedOn w:val="Navadnatabela"/>
    <w:rsid w:val="003B6A8B"/>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3B6A8B"/>
    <w:pPr>
      <w:suppressAutoHyphens/>
      <w:autoSpaceDN w:val="0"/>
      <w:spacing w:after="0" w:line="240" w:lineRule="auto"/>
      <w:jc w:val="both"/>
      <w:textAlignment w:val="baseline"/>
    </w:pPr>
    <w:rPr>
      <w:rFonts w:ascii="Arial" w:eastAsia="Times New Roman" w:hAnsi="Arial" w:cs="Times New Roman"/>
      <w:kern w:val="3"/>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IFZ f"/>
    <w:basedOn w:val="Navaden"/>
    <w:link w:val="Sprotnaopomba-besediloZnak"/>
    <w:rsid w:val="004073D3"/>
    <w:pPr>
      <w:spacing w:after="0" w:line="240" w:lineRule="auto"/>
      <w:jc w:val="both"/>
    </w:pPr>
    <w:rPr>
      <w:rFonts w:ascii="Arial" w:eastAsia="Times New Roman"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IFZ f Znak"/>
    <w:basedOn w:val="Privzetapisavaodstavka"/>
    <w:link w:val="Sprotnaopomba-besedilo"/>
    <w:rsid w:val="004073D3"/>
    <w:rPr>
      <w:rFonts w:ascii="Arial" w:eastAsia="Times New Roman" w:hAnsi="Arial" w:cs="Times New Roman"/>
      <w:sz w:val="20"/>
      <w:szCs w:val="20"/>
    </w:rPr>
  </w:style>
  <w:style w:type="character" w:styleId="Sprotnaopomba-sklic">
    <w:name w:val="footnote reference"/>
    <w:aliases w:val="Fussnota,Footnote symbol,Footnote,Footnote number,-E Fußnotenzeichen"/>
    <w:rsid w:val="004073D3"/>
    <w:rPr>
      <w:vertAlign w:val="superscript"/>
    </w:rPr>
  </w:style>
  <w:style w:type="character" w:styleId="Krepko">
    <w:name w:val="Strong"/>
    <w:qFormat/>
    <w:rsid w:val="00EB25C7"/>
    <w:rPr>
      <w:b/>
      <w:bCs/>
    </w:rPr>
  </w:style>
  <w:style w:type="paragraph" w:styleId="Golobesedilo">
    <w:name w:val="Plain Text"/>
    <w:basedOn w:val="Navaden"/>
    <w:link w:val="GolobesediloZnak"/>
    <w:uiPriority w:val="99"/>
    <w:rsid w:val="002149C7"/>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uiPriority w:val="99"/>
    <w:rsid w:val="002149C7"/>
    <w:rPr>
      <w:rFonts w:ascii="Courier New" w:eastAsia="Times New Roman" w:hAnsi="Courier New" w:cs="Courier New"/>
      <w:sz w:val="20"/>
      <w:szCs w:val="20"/>
      <w:lang w:eastAsia="sl-SI"/>
    </w:rPr>
  </w:style>
  <w:style w:type="character" w:styleId="Pripombasklic">
    <w:name w:val="annotation reference"/>
    <w:uiPriority w:val="99"/>
    <w:rsid w:val="00F83DD4"/>
    <w:rPr>
      <w:sz w:val="16"/>
      <w:szCs w:val="16"/>
    </w:rPr>
  </w:style>
  <w:style w:type="paragraph" w:styleId="Pripombabesedilo">
    <w:name w:val="annotation text"/>
    <w:basedOn w:val="Navaden"/>
    <w:link w:val="PripombabesediloZnak"/>
    <w:uiPriority w:val="99"/>
    <w:semiHidden/>
    <w:rsid w:val="00F83DD4"/>
    <w:pPr>
      <w:spacing w:after="0" w:line="240" w:lineRule="auto"/>
      <w:jc w:val="both"/>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semiHidden/>
    <w:rsid w:val="00F83DD4"/>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F83DD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3DD4"/>
    <w:rPr>
      <w:rFonts w:ascii="Segoe UI" w:hAnsi="Segoe UI" w:cs="Segoe UI"/>
      <w:sz w:val="18"/>
      <w:szCs w:val="18"/>
    </w:rPr>
  </w:style>
  <w:style w:type="paragraph" w:customStyle="1" w:styleId="alineazaodstavkom1">
    <w:name w:val="alineazaodstavkom1"/>
    <w:basedOn w:val="Navaden"/>
    <w:uiPriority w:val="99"/>
    <w:rsid w:val="00F83DD4"/>
    <w:pPr>
      <w:spacing w:after="0" w:line="240" w:lineRule="auto"/>
      <w:ind w:left="425" w:hanging="425"/>
      <w:jc w:val="both"/>
    </w:pPr>
    <w:rPr>
      <w:rFonts w:ascii="Arial" w:eastAsia="Times New Roman" w:hAnsi="Arial" w:cs="Arial"/>
      <w:lang w:eastAsia="sl-SI"/>
    </w:rPr>
  </w:style>
  <w:style w:type="paragraph" w:customStyle="1" w:styleId="odstavek1">
    <w:name w:val="odstavek1"/>
    <w:basedOn w:val="Navaden"/>
    <w:uiPriority w:val="99"/>
    <w:rsid w:val="00F83DD4"/>
    <w:pPr>
      <w:spacing w:before="240" w:after="0" w:line="240" w:lineRule="auto"/>
      <w:ind w:firstLine="1021"/>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DB739E"/>
    <w:rPr>
      <w:color w:val="954F72"/>
      <w:u w:val="single"/>
    </w:rPr>
  </w:style>
  <w:style w:type="paragraph" w:customStyle="1" w:styleId="msonormal0">
    <w:name w:val="msonormal"/>
    <w:basedOn w:val="Navaden"/>
    <w:uiPriority w:val="99"/>
    <w:rsid w:val="00DB739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01">
    <w:name w:val="xl101"/>
    <w:basedOn w:val="Navaden"/>
    <w:uiPriority w:val="99"/>
    <w:rsid w:val="00DB739E"/>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102">
    <w:name w:val="xl102"/>
    <w:basedOn w:val="Navaden"/>
    <w:uiPriority w:val="99"/>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03">
    <w:name w:val="xl103"/>
    <w:basedOn w:val="Navaden"/>
    <w:uiPriority w:val="99"/>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04">
    <w:name w:val="xl104"/>
    <w:basedOn w:val="Navaden"/>
    <w:uiPriority w:val="99"/>
    <w:rsid w:val="00DB73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05">
    <w:name w:val="xl105"/>
    <w:basedOn w:val="Navaden"/>
    <w:uiPriority w:val="99"/>
    <w:rsid w:val="00DB73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06">
    <w:name w:val="xl106"/>
    <w:basedOn w:val="Navaden"/>
    <w:uiPriority w:val="99"/>
    <w:rsid w:val="00DB739E"/>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107">
    <w:name w:val="xl107"/>
    <w:basedOn w:val="Navaden"/>
    <w:uiPriority w:val="99"/>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108">
    <w:name w:val="xl108"/>
    <w:basedOn w:val="Navaden"/>
    <w:uiPriority w:val="99"/>
    <w:rsid w:val="00DB739E"/>
    <w:pPr>
      <w:spacing w:before="100" w:beforeAutospacing="1" w:after="100" w:afterAutospacing="1" w:line="240" w:lineRule="auto"/>
      <w:textAlignment w:val="center"/>
    </w:pPr>
    <w:rPr>
      <w:rFonts w:ascii="Arial" w:eastAsia="Times New Roman" w:hAnsi="Arial" w:cs="Arial"/>
      <w:sz w:val="18"/>
      <w:szCs w:val="18"/>
      <w:lang w:eastAsia="sl-SI"/>
    </w:rPr>
  </w:style>
  <w:style w:type="character" w:customStyle="1" w:styleId="Nerazreenaomemba1">
    <w:name w:val="Nerazrešena omemba1"/>
    <w:basedOn w:val="Privzetapisavaodstavka"/>
    <w:uiPriority w:val="99"/>
    <w:semiHidden/>
    <w:unhideWhenUsed/>
    <w:rsid w:val="00800E19"/>
    <w:rPr>
      <w:color w:val="808080"/>
      <w:shd w:val="clear" w:color="auto" w:fill="E6E6E6"/>
    </w:rPr>
  </w:style>
  <w:style w:type="character" w:customStyle="1" w:styleId="Nerazreenaomemba2">
    <w:name w:val="Nerazrešena omemba2"/>
    <w:basedOn w:val="Privzetapisavaodstavka"/>
    <w:uiPriority w:val="99"/>
    <w:semiHidden/>
    <w:unhideWhenUsed/>
    <w:rsid w:val="00FA54CA"/>
    <w:rPr>
      <w:color w:val="808080"/>
      <w:shd w:val="clear" w:color="auto" w:fill="E6E6E6"/>
    </w:rPr>
  </w:style>
  <w:style w:type="paragraph" w:customStyle="1" w:styleId="xl67">
    <w:name w:val="xl67"/>
    <w:basedOn w:val="Navaden"/>
    <w:uiPriority w:val="99"/>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8">
    <w:name w:val="xl68"/>
    <w:basedOn w:val="Navaden"/>
    <w:uiPriority w:val="99"/>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69">
    <w:name w:val="xl69"/>
    <w:basedOn w:val="Navaden"/>
    <w:uiPriority w:val="99"/>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0">
    <w:name w:val="xl70"/>
    <w:basedOn w:val="Navaden"/>
    <w:uiPriority w:val="99"/>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5">
    <w:name w:val="xl65"/>
    <w:basedOn w:val="Navaden"/>
    <w:uiPriority w:val="99"/>
    <w:rsid w:val="00DC6DF9"/>
    <w:pPr>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66">
    <w:name w:val="xl66"/>
    <w:basedOn w:val="Navaden"/>
    <w:uiPriority w:val="99"/>
    <w:rsid w:val="00DC6D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16"/>
      <w:szCs w:val="16"/>
      <w:lang w:eastAsia="sl-SI"/>
    </w:rPr>
  </w:style>
  <w:style w:type="character" w:customStyle="1" w:styleId="Nerazreenaomemba3">
    <w:name w:val="Nerazrešena omemba3"/>
    <w:basedOn w:val="Privzetapisavaodstavka"/>
    <w:uiPriority w:val="99"/>
    <w:semiHidden/>
    <w:unhideWhenUsed/>
    <w:rsid w:val="00072A69"/>
    <w:rPr>
      <w:color w:val="808080"/>
      <w:shd w:val="clear" w:color="auto" w:fill="E6E6E6"/>
    </w:rPr>
  </w:style>
  <w:style w:type="paragraph" w:styleId="Zadevapripombe">
    <w:name w:val="annotation subject"/>
    <w:basedOn w:val="Pripombabesedilo"/>
    <w:next w:val="Pripombabesedilo"/>
    <w:link w:val="ZadevapripombeZnak"/>
    <w:uiPriority w:val="99"/>
    <w:semiHidden/>
    <w:unhideWhenUsed/>
    <w:rsid w:val="00F70E5D"/>
    <w:pPr>
      <w:spacing w:after="160"/>
      <w:jc w:val="left"/>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F70E5D"/>
    <w:rPr>
      <w:rFonts w:ascii="Arial" w:eastAsia="Times New Roman" w:hAnsi="Arial" w:cs="Times New Roman"/>
      <w:b/>
      <w:bCs/>
      <w:sz w:val="20"/>
      <w:szCs w:val="20"/>
    </w:rPr>
  </w:style>
  <w:style w:type="character" w:customStyle="1" w:styleId="Nerazreenaomemba4">
    <w:name w:val="Nerazrešena omemba4"/>
    <w:basedOn w:val="Privzetapisavaodstavka"/>
    <w:uiPriority w:val="99"/>
    <w:semiHidden/>
    <w:unhideWhenUsed/>
    <w:rsid w:val="00170F19"/>
    <w:rPr>
      <w:color w:val="605E5C"/>
      <w:shd w:val="clear" w:color="auto" w:fill="E1DFDD"/>
    </w:rPr>
  </w:style>
  <w:style w:type="paragraph" w:customStyle="1" w:styleId="xl71">
    <w:name w:val="xl71"/>
    <w:basedOn w:val="Navaden"/>
    <w:uiPriority w:val="99"/>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2">
    <w:name w:val="xl72"/>
    <w:basedOn w:val="Navaden"/>
    <w:uiPriority w:val="99"/>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xl73">
    <w:name w:val="xl73"/>
    <w:basedOn w:val="Navaden"/>
    <w:uiPriority w:val="99"/>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4">
    <w:name w:val="xl74"/>
    <w:basedOn w:val="Navaden"/>
    <w:uiPriority w:val="99"/>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uiPriority w:val="99"/>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xl76">
    <w:name w:val="xl76"/>
    <w:basedOn w:val="Navaden"/>
    <w:uiPriority w:val="99"/>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7">
    <w:name w:val="xl77"/>
    <w:basedOn w:val="Navaden"/>
    <w:uiPriority w:val="99"/>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78">
    <w:name w:val="xl78"/>
    <w:basedOn w:val="Navaden"/>
    <w:uiPriority w:val="99"/>
    <w:rsid w:val="007E629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sl-SI"/>
    </w:rPr>
  </w:style>
  <w:style w:type="paragraph" w:customStyle="1" w:styleId="xl79">
    <w:name w:val="xl79"/>
    <w:basedOn w:val="Navaden"/>
    <w:uiPriority w:val="99"/>
    <w:rsid w:val="007E629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sl-SI"/>
    </w:rPr>
  </w:style>
  <w:style w:type="paragraph" w:customStyle="1" w:styleId="xl80">
    <w:name w:val="xl80"/>
    <w:basedOn w:val="Navaden"/>
    <w:uiPriority w:val="99"/>
    <w:rsid w:val="007E629B"/>
    <w:pPr>
      <w:spacing w:before="100" w:beforeAutospacing="1" w:after="100" w:afterAutospacing="1" w:line="240" w:lineRule="auto"/>
      <w:textAlignment w:val="center"/>
    </w:pPr>
    <w:rPr>
      <w:rFonts w:ascii="Arial" w:eastAsia="Times New Roman" w:hAnsi="Arial" w:cs="Arial"/>
      <w:color w:val="000000"/>
      <w:sz w:val="24"/>
      <w:szCs w:val="24"/>
      <w:lang w:eastAsia="sl-SI"/>
    </w:rPr>
  </w:style>
  <w:style w:type="paragraph" w:customStyle="1" w:styleId="xl81">
    <w:name w:val="xl81"/>
    <w:basedOn w:val="Navaden"/>
    <w:uiPriority w:val="99"/>
    <w:rsid w:val="007E629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sl-SI"/>
    </w:rPr>
  </w:style>
  <w:style w:type="paragraph" w:customStyle="1" w:styleId="xl82">
    <w:name w:val="xl82"/>
    <w:basedOn w:val="Navaden"/>
    <w:uiPriority w:val="99"/>
    <w:rsid w:val="007E629B"/>
    <w:pPr>
      <w:spacing w:before="100" w:beforeAutospacing="1" w:after="100" w:afterAutospacing="1" w:line="240" w:lineRule="auto"/>
      <w:textAlignment w:val="center"/>
    </w:pPr>
    <w:rPr>
      <w:rFonts w:ascii="Arial" w:eastAsia="Times New Roman" w:hAnsi="Arial" w:cs="Arial"/>
      <w:color w:val="000000"/>
      <w:sz w:val="24"/>
      <w:szCs w:val="24"/>
      <w:lang w:eastAsia="sl-SI"/>
    </w:rPr>
  </w:style>
  <w:style w:type="paragraph" w:customStyle="1" w:styleId="xl83">
    <w:name w:val="xl83"/>
    <w:basedOn w:val="Navaden"/>
    <w:uiPriority w:val="99"/>
    <w:rsid w:val="007E629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3D06E0"/>
    <w:pPr>
      <w:spacing w:after="0" w:line="240" w:lineRule="auto"/>
    </w:pPr>
  </w:style>
  <w:style w:type="character" w:customStyle="1" w:styleId="Nerazreenaomemba5">
    <w:name w:val="Nerazrešena omemba5"/>
    <w:basedOn w:val="Privzetapisavaodstavka"/>
    <w:uiPriority w:val="99"/>
    <w:semiHidden/>
    <w:unhideWhenUsed/>
    <w:rsid w:val="00CD57EE"/>
    <w:rPr>
      <w:color w:val="605E5C"/>
      <w:shd w:val="clear" w:color="auto" w:fill="E1DFDD"/>
    </w:rPr>
  </w:style>
  <w:style w:type="paragraph" w:styleId="Kazalovsebine5">
    <w:name w:val="toc 5"/>
    <w:basedOn w:val="Navaden"/>
    <w:next w:val="Navaden"/>
    <w:autoRedefine/>
    <w:uiPriority w:val="39"/>
    <w:unhideWhenUsed/>
    <w:rsid w:val="00324D7C"/>
    <w:pPr>
      <w:spacing w:after="100"/>
      <w:ind w:left="880"/>
    </w:pPr>
    <w:rPr>
      <w:rFonts w:eastAsiaTheme="minorEastAsia"/>
      <w:lang w:eastAsia="sl-SI"/>
    </w:rPr>
  </w:style>
  <w:style w:type="paragraph" w:styleId="Kazalovsebine6">
    <w:name w:val="toc 6"/>
    <w:basedOn w:val="Navaden"/>
    <w:next w:val="Navaden"/>
    <w:autoRedefine/>
    <w:uiPriority w:val="39"/>
    <w:unhideWhenUsed/>
    <w:rsid w:val="00324D7C"/>
    <w:pPr>
      <w:spacing w:after="100"/>
      <w:ind w:left="1100"/>
    </w:pPr>
    <w:rPr>
      <w:rFonts w:eastAsiaTheme="minorEastAsia"/>
      <w:lang w:eastAsia="sl-SI"/>
    </w:rPr>
  </w:style>
  <w:style w:type="paragraph" w:styleId="Kazalovsebine7">
    <w:name w:val="toc 7"/>
    <w:basedOn w:val="Navaden"/>
    <w:next w:val="Navaden"/>
    <w:autoRedefine/>
    <w:uiPriority w:val="39"/>
    <w:unhideWhenUsed/>
    <w:rsid w:val="00324D7C"/>
    <w:pPr>
      <w:spacing w:after="100"/>
      <w:ind w:left="1320"/>
    </w:pPr>
    <w:rPr>
      <w:rFonts w:eastAsiaTheme="minorEastAsia"/>
      <w:lang w:eastAsia="sl-SI"/>
    </w:rPr>
  </w:style>
  <w:style w:type="paragraph" w:styleId="Kazalovsebine8">
    <w:name w:val="toc 8"/>
    <w:basedOn w:val="Navaden"/>
    <w:next w:val="Navaden"/>
    <w:autoRedefine/>
    <w:uiPriority w:val="39"/>
    <w:unhideWhenUsed/>
    <w:rsid w:val="00324D7C"/>
    <w:pPr>
      <w:spacing w:after="100"/>
      <w:ind w:left="1540"/>
    </w:pPr>
    <w:rPr>
      <w:rFonts w:eastAsiaTheme="minorEastAsia"/>
      <w:lang w:eastAsia="sl-SI"/>
    </w:rPr>
  </w:style>
  <w:style w:type="paragraph" w:styleId="Kazalovsebine9">
    <w:name w:val="toc 9"/>
    <w:basedOn w:val="Navaden"/>
    <w:next w:val="Navaden"/>
    <w:autoRedefine/>
    <w:uiPriority w:val="39"/>
    <w:unhideWhenUsed/>
    <w:rsid w:val="00324D7C"/>
    <w:pPr>
      <w:spacing w:after="100"/>
      <w:ind w:left="1760"/>
    </w:pPr>
    <w:rPr>
      <w:rFonts w:eastAsiaTheme="minorEastAsia"/>
      <w:lang w:eastAsia="sl-SI"/>
    </w:rPr>
  </w:style>
  <w:style w:type="character" w:customStyle="1" w:styleId="ui-provider">
    <w:name w:val="ui-provider"/>
    <w:basedOn w:val="Privzetapisavaodstavka"/>
    <w:rsid w:val="00CF664F"/>
  </w:style>
  <w:style w:type="character" w:customStyle="1" w:styleId="Nerazreenaomemba6">
    <w:name w:val="Nerazrešena omemba6"/>
    <w:basedOn w:val="Privzetapisavaodstavka"/>
    <w:uiPriority w:val="99"/>
    <w:semiHidden/>
    <w:unhideWhenUsed/>
    <w:rsid w:val="00E3750C"/>
    <w:rPr>
      <w:color w:val="605E5C"/>
      <w:shd w:val="clear" w:color="auto" w:fill="E1DFDD"/>
    </w:rPr>
  </w:style>
  <w:style w:type="character" w:styleId="Nerazreenaomemba">
    <w:name w:val="Unresolved Mention"/>
    <w:basedOn w:val="Privzetapisavaodstavka"/>
    <w:uiPriority w:val="99"/>
    <w:semiHidden/>
    <w:unhideWhenUsed/>
    <w:rsid w:val="00F24E18"/>
    <w:rPr>
      <w:color w:val="605E5C"/>
      <w:shd w:val="clear" w:color="auto" w:fill="E1DFDD"/>
    </w:rPr>
  </w:style>
  <w:style w:type="paragraph" w:customStyle="1" w:styleId="xl64">
    <w:name w:val="xl64"/>
    <w:basedOn w:val="Navaden"/>
    <w:uiPriority w:val="99"/>
    <w:rsid w:val="00F24E18"/>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IFZ f Znak1"/>
    <w:basedOn w:val="Privzetapisavaodstavka"/>
    <w:semiHidden/>
    <w:rsid w:val="00F2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000">
      <w:bodyDiv w:val="1"/>
      <w:marLeft w:val="0"/>
      <w:marRight w:val="0"/>
      <w:marTop w:val="0"/>
      <w:marBottom w:val="0"/>
      <w:divBdr>
        <w:top w:val="none" w:sz="0" w:space="0" w:color="auto"/>
        <w:left w:val="none" w:sz="0" w:space="0" w:color="auto"/>
        <w:bottom w:val="none" w:sz="0" w:space="0" w:color="auto"/>
        <w:right w:val="none" w:sz="0" w:space="0" w:color="auto"/>
      </w:divBdr>
    </w:div>
    <w:div w:id="15735092">
      <w:bodyDiv w:val="1"/>
      <w:marLeft w:val="0"/>
      <w:marRight w:val="0"/>
      <w:marTop w:val="0"/>
      <w:marBottom w:val="0"/>
      <w:divBdr>
        <w:top w:val="none" w:sz="0" w:space="0" w:color="auto"/>
        <w:left w:val="none" w:sz="0" w:space="0" w:color="auto"/>
        <w:bottom w:val="none" w:sz="0" w:space="0" w:color="auto"/>
        <w:right w:val="none" w:sz="0" w:space="0" w:color="auto"/>
      </w:divBdr>
    </w:div>
    <w:div w:id="27532114">
      <w:bodyDiv w:val="1"/>
      <w:marLeft w:val="0"/>
      <w:marRight w:val="0"/>
      <w:marTop w:val="0"/>
      <w:marBottom w:val="0"/>
      <w:divBdr>
        <w:top w:val="none" w:sz="0" w:space="0" w:color="auto"/>
        <w:left w:val="none" w:sz="0" w:space="0" w:color="auto"/>
        <w:bottom w:val="none" w:sz="0" w:space="0" w:color="auto"/>
        <w:right w:val="none" w:sz="0" w:space="0" w:color="auto"/>
      </w:divBdr>
    </w:div>
    <w:div w:id="38172489">
      <w:bodyDiv w:val="1"/>
      <w:marLeft w:val="0"/>
      <w:marRight w:val="0"/>
      <w:marTop w:val="0"/>
      <w:marBottom w:val="0"/>
      <w:divBdr>
        <w:top w:val="none" w:sz="0" w:space="0" w:color="auto"/>
        <w:left w:val="none" w:sz="0" w:space="0" w:color="auto"/>
        <w:bottom w:val="none" w:sz="0" w:space="0" w:color="auto"/>
        <w:right w:val="none" w:sz="0" w:space="0" w:color="auto"/>
      </w:divBdr>
    </w:div>
    <w:div w:id="41178437">
      <w:bodyDiv w:val="1"/>
      <w:marLeft w:val="0"/>
      <w:marRight w:val="0"/>
      <w:marTop w:val="0"/>
      <w:marBottom w:val="0"/>
      <w:divBdr>
        <w:top w:val="none" w:sz="0" w:space="0" w:color="auto"/>
        <w:left w:val="none" w:sz="0" w:space="0" w:color="auto"/>
        <w:bottom w:val="none" w:sz="0" w:space="0" w:color="auto"/>
        <w:right w:val="none" w:sz="0" w:space="0" w:color="auto"/>
      </w:divBdr>
    </w:div>
    <w:div w:id="41444679">
      <w:bodyDiv w:val="1"/>
      <w:marLeft w:val="0"/>
      <w:marRight w:val="0"/>
      <w:marTop w:val="0"/>
      <w:marBottom w:val="0"/>
      <w:divBdr>
        <w:top w:val="none" w:sz="0" w:space="0" w:color="auto"/>
        <w:left w:val="none" w:sz="0" w:space="0" w:color="auto"/>
        <w:bottom w:val="none" w:sz="0" w:space="0" w:color="auto"/>
        <w:right w:val="none" w:sz="0" w:space="0" w:color="auto"/>
      </w:divBdr>
    </w:div>
    <w:div w:id="45032409">
      <w:bodyDiv w:val="1"/>
      <w:marLeft w:val="0"/>
      <w:marRight w:val="0"/>
      <w:marTop w:val="0"/>
      <w:marBottom w:val="0"/>
      <w:divBdr>
        <w:top w:val="none" w:sz="0" w:space="0" w:color="auto"/>
        <w:left w:val="none" w:sz="0" w:space="0" w:color="auto"/>
        <w:bottom w:val="none" w:sz="0" w:space="0" w:color="auto"/>
        <w:right w:val="none" w:sz="0" w:space="0" w:color="auto"/>
      </w:divBdr>
    </w:div>
    <w:div w:id="57437792">
      <w:bodyDiv w:val="1"/>
      <w:marLeft w:val="0"/>
      <w:marRight w:val="0"/>
      <w:marTop w:val="0"/>
      <w:marBottom w:val="0"/>
      <w:divBdr>
        <w:top w:val="none" w:sz="0" w:space="0" w:color="auto"/>
        <w:left w:val="none" w:sz="0" w:space="0" w:color="auto"/>
        <w:bottom w:val="none" w:sz="0" w:space="0" w:color="auto"/>
        <w:right w:val="none" w:sz="0" w:space="0" w:color="auto"/>
      </w:divBdr>
    </w:div>
    <w:div w:id="59325237">
      <w:bodyDiv w:val="1"/>
      <w:marLeft w:val="0"/>
      <w:marRight w:val="0"/>
      <w:marTop w:val="0"/>
      <w:marBottom w:val="0"/>
      <w:divBdr>
        <w:top w:val="none" w:sz="0" w:space="0" w:color="auto"/>
        <w:left w:val="none" w:sz="0" w:space="0" w:color="auto"/>
        <w:bottom w:val="none" w:sz="0" w:space="0" w:color="auto"/>
        <w:right w:val="none" w:sz="0" w:space="0" w:color="auto"/>
      </w:divBdr>
    </w:div>
    <w:div w:id="61607006">
      <w:bodyDiv w:val="1"/>
      <w:marLeft w:val="0"/>
      <w:marRight w:val="0"/>
      <w:marTop w:val="0"/>
      <w:marBottom w:val="0"/>
      <w:divBdr>
        <w:top w:val="none" w:sz="0" w:space="0" w:color="auto"/>
        <w:left w:val="none" w:sz="0" w:space="0" w:color="auto"/>
        <w:bottom w:val="none" w:sz="0" w:space="0" w:color="auto"/>
        <w:right w:val="none" w:sz="0" w:space="0" w:color="auto"/>
      </w:divBdr>
    </w:div>
    <w:div w:id="67073668">
      <w:bodyDiv w:val="1"/>
      <w:marLeft w:val="0"/>
      <w:marRight w:val="0"/>
      <w:marTop w:val="0"/>
      <w:marBottom w:val="0"/>
      <w:divBdr>
        <w:top w:val="none" w:sz="0" w:space="0" w:color="auto"/>
        <w:left w:val="none" w:sz="0" w:space="0" w:color="auto"/>
        <w:bottom w:val="none" w:sz="0" w:space="0" w:color="auto"/>
        <w:right w:val="none" w:sz="0" w:space="0" w:color="auto"/>
      </w:divBdr>
    </w:div>
    <w:div w:id="68770844">
      <w:bodyDiv w:val="1"/>
      <w:marLeft w:val="0"/>
      <w:marRight w:val="0"/>
      <w:marTop w:val="0"/>
      <w:marBottom w:val="0"/>
      <w:divBdr>
        <w:top w:val="none" w:sz="0" w:space="0" w:color="auto"/>
        <w:left w:val="none" w:sz="0" w:space="0" w:color="auto"/>
        <w:bottom w:val="none" w:sz="0" w:space="0" w:color="auto"/>
        <w:right w:val="none" w:sz="0" w:space="0" w:color="auto"/>
      </w:divBdr>
    </w:div>
    <w:div w:id="70585823">
      <w:bodyDiv w:val="1"/>
      <w:marLeft w:val="0"/>
      <w:marRight w:val="0"/>
      <w:marTop w:val="0"/>
      <w:marBottom w:val="0"/>
      <w:divBdr>
        <w:top w:val="none" w:sz="0" w:space="0" w:color="auto"/>
        <w:left w:val="none" w:sz="0" w:space="0" w:color="auto"/>
        <w:bottom w:val="none" w:sz="0" w:space="0" w:color="auto"/>
        <w:right w:val="none" w:sz="0" w:space="0" w:color="auto"/>
      </w:divBdr>
    </w:div>
    <w:div w:id="72699582">
      <w:bodyDiv w:val="1"/>
      <w:marLeft w:val="0"/>
      <w:marRight w:val="0"/>
      <w:marTop w:val="0"/>
      <w:marBottom w:val="0"/>
      <w:divBdr>
        <w:top w:val="none" w:sz="0" w:space="0" w:color="auto"/>
        <w:left w:val="none" w:sz="0" w:space="0" w:color="auto"/>
        <w:bottom w:val="none" w:sz="0" w:space="0" w:color="auto"/>
        <w:right w:val="none" w:sz="0" w:space="0" w:color="auto"/>
      </w:divBdr>
    </w:div>
    <w:div w:id="77530765">
      <w:bodyDiv w:val="1"/>
      <w:marLeft w:val="0"/>
      <w:marRight w:val="0"/>
      <w:marTop w:val="0"/>
      <w:marBottom w:val="0"/>
      <w:divBdr>
        <w:top w:val="none" w:sz="0" w:space="0" w:color="auto"/>
        <w:left w:val="none" w:sz="0" w:space="0" w:color="auto"/>
        <w:bottom w:val="none" w:sz="0" w:space="0" w:color="auto"/>
        <w:right w:val="none" w:sz="0" w:space="0" w:color="auto"/>
      </w:divBdr>
    </w:div>
    <w:div w:id="78335727">
      <w:bodyDiv w:val="1"/>
      <w:marLeft w:val="0"/>
      <w:marRight w:val="0"/>
      <w:marTop w:val="0"/>
      <w:marBottom w:val="0"/>
      <w:divBdr>
        <w:top w:val="none" w:sz="0" w:space="0" w:color="auto"/>
        <w:left w:val="none" w:sz="0" w:space="0" w:color="auto"/>
        <w:bottom w:val="none" w:sz="0" w:space="0" w:color="auto"/>
        <w:right w:val="none" w:sz="0" w:space="0" w:color="auto"/>
      </w:divBdr>
    </w:div>
    <w:div w:id="79763129">
      <w:bodyDiv w:val="1"/>
      <w:marLeft w:val="0"/>
      <w:marRight w:val="0"/>
      <w:marTop w:val="0"/>
      <w:marBottom w:val="0"/>
      <w:divBdr>
        <w:top w:val="none" w:sz="0" w:space="0" w:color="auto"/>
        <w:left w:val="none" w:sz="0" w:space="0" w:color="auto"/>
        <w:bottom w:val="none" w:sz="0" w:space="0" w:color="auto"/>
        <w:right w:val="none" w:sz="0" w:space="0" w:color="auto"/>
      </w:divBdr>
    </w:div>
    <w:div w:id="82532506">
      <w:bodyDiv w:val="1"/>
      <w:marLeft w:val="0"/>
      <w:marRight w:val="0"/>
      <w:marTop w:val="0"/>
      <w:marBottom w:val="0"/>
      <w:divBdr>
        <w:top w:val="none" w:sz="0" w:space="0" w:color="auto"/>
        <w:left w:val="none" w:sz="0" w:space="0" w:color="auto"/>
        <w:bottom w:val="none" w:sz="0" w:space="0" w:color="auto"/>
        <w:right w:val="none" w:sz="0" w:space="0" w:color="auto"/>
      </w:divBdr>
    </w:div>
    <w:div w:id="87890589">
      <w:bodyDiv w:val="1"/>
      <w:marLeft w:val="0"/>
      <w:marRight w:val="0"/>
      <w:marTop w:val="0"/>
      <w:marBottom w:val="0"/>
      <w:divBdr>
        <w:top w:val="none" w:sz="0" w:space="0" w:color="auto"/>
        <w:left w:val="none" w:sz="0" w:space="0" w:color="auto"/>
        <w:bottom w:val="none" w:sz="0" w:space="0" w:color="auto"/>
        <w:right w:val="none" w:sz="0" w:space="0" w:color="auto"/>
      </w:divBdr>
    </w:div>
    <w:div w:id="90440350">
      <w:bodyDiv w:val="1"/>
      <w:marLeft w:val="0"/>
      <w:marRight w:val="0"/>
      <w:marTop w:val="0"/>
      <w:marBottom w:val="0"/>
      <w:divBdr>
        <w:top w:val="none" w:sz="0" w:space="0" w:color="auto"/>
        <w:left w:val="none" w:sz="0" w:space="0" w:color="auto"/>
        <w:bottom w:val="none" w:sz="0" w:space="0" w:color="auto"/>
        <w:right w:val="none" w:sz="0" w:space="0" w:color="auto"/>
      </w:divBdr>
    </w:div>
    <w:div w:id="96293030">
      <w:bodyDiv w:val="1"/>
      <w:marLeft w:val="0"/>
      <w:marRight w:val="0"/>
      <w:marTop w:val="0"/>
      <w:marBottom w:val="0"/>
      <w:divBdr>
        <w:top w:val="none" w:sz="0" w:space="0" w:color="auto"/>
        <w:left w:val="none" w:sz="0" w:space="0" w:color="auto"/>
        <w:bottom w:val="none" w:sz="0" w:space="0" w:color="auto"/>
        <w:right w:val="none" w:sz="0" w:space="0" w:color="auto"/>
      </w:divBdr>
    </w:div>
    <w:div w:id="105468443">
      <w:bodyDiv w:val="1"/>
      <w:marLeft w:val="0"/>
      <w:marRight w:val="0"/>
      <w:marTop w:val="0"/>
      <w:marBottom w:val="0"/>
      <w:divBdr>
        <w:top w:val="none" w:sz="0" w:space="0" w:color="auto"/>
        <w:left w:val="none" w:sz="0" w:space="0" w:color="auto"/>
        <w:bottom w:val="none" w:sz="0" w:space="0" w:color="auto"/>
        <w:right w:val="none" w:sz="0" w:space="0" w:color="auto"/>
      </w:divBdr>
    </w:div>
    <w:div w:id="105737457">
      <w:bodyDiv w:val="1"/>
      <w:marLeft w:val="0"/>
      <w:marRight w:val="0"/>
      <w:marTop w:val="0"/>
      <w:marBottom w:val="0"/>
      <w:divBdr>
        <w:top w:val="none" w:sz="0" w:space="0" w:color="auto"/>
        <w:left w:val="none" w:sz="0" w:space="0" w:color="auto"/>
        <w:bottom w:val="none" w:sz="0" w:space="0" w:color="auto"/>
        <w:right w:val="none" w:sz="0" w:space="0" w:color="auto"/>
      </w:divBdr>
    </w:div>
    <w:div w:id="108011728">
      <w:bodyDiv w:val="1"/>
      <w:marLeft w:val="0"/>
      <w:marRight w:val="0"/>
      <w:marTop w:val="0"/>
      <w:marBottom w:val="0"/>
      <w:divBdr>
        <w:top w:val="none" w:sz="0" w:space="0" w:color="auto"/>
        <w:left w:val="none" w:sz="0" w:space="0" w:color="auto"/>
        <w:bottom w:val="none" w:sz="0" w:space="0" w:color="auto"/>
        <w:right w:val="none" w:sz="0" w:space="0" w:color="auto"/>
      </w:divBdr>
    </w:div>
    <w:div w:id="114639512">
      <w:bodyDiv w:val="1"/>
      <w:marLeft w:val="0"/>
      <w:marRight w:val="0"/>
      <w:marTop w:val="0"/>
      <w:marBottom w:val="0"/>
      <w:divBdr>
        <w:top w:val="none" w:sz="0" w:space="0" w:color="auto"/>
        <w:left w:val="none" w:sz="0" w:space="0" w:color="auto"/>
        <w:bottom w:val="none" w:sz="0" w:space="0" w:color="auto"/>
        <w:right w:val="none" w:sz="0" w:space="0" w:color="auto"/>
      </w:divBdr>
    </w:div>
    <w:div w:id="125859992">
      <w:bodyDiv w:val="1"/>
      <w:marLeft w:val="0"/>
      <w:marRight w:val="0"/>
      <w:marTop w:val="0"/>
      <w:marBottom w:val="0"/>
      <w:divBdr>
        <w:top w:val="none" w:sz="0" w:space="0" w:color="auto"/>
        <w:left w:val="none" w:sz="0" w:space="0" w:color="auto"/>
        <w:bottom w:val="none" w:sz="0" w:space="0" w:color="auto"/>
        <w:right w:val="none" w:sz="0" w:space="0" w:color="auto"/>
      </w:divBdr>
    </w:div>
    <w:div w:id="129909893">
      <w:bodyDiv w:val="1"/>
      <w:marLeft w:val="0"/>
      <w:marRight w:val="0"/>
      <w:marTop w:val="0"/>
      <w:marBottom w:val="0"/>
      <w:divBdr>
        <w:top w:val="none" w:sz="0" w:space="0" w:color="auto"/>
        <w:left w:val="none" w:sz="0" w:space="0" w:color="auto"/>
        <w:bottom w:val="none" w:sz="0" w:space="0" w:color="auto"/>
        <w:right w:val="none" w:sz="0" w:space="0" w:color="auto"/>
      </w:divBdr>
    </w:div>
    <w:div w:id="135336822">
      <w:bodyDiv w:val="1"/>
      <w:marLeft w:val="0"/>
      <w:marRight w:val="0"/>
      <w:marTop w:val="0"/>
      <w:marBottom w:val="0"/>
      <w:divBdr>
        <w:top w:val="none" w:sz="0" w:space="0" w:color="auto"/>
        <w:left w:val="none" w:sz="0" w:space="0" w:color="auto"/>
        <w:bottom w:val="none" w:sz="0" w:space="0" w:color="auto"/>
        <w:right w:val="none" w:sz="0" w:space="0" w:color="auto"/>
      </w:divBdr>
    </w:div>
    <w:div w:id="135488532">
      <w:bodyDiv w:val="1"/>
      <w:marLeft w:val="0"/>
      <w:marRight w:val="0"/>
      <w:marTop w:val="0"/>
      <w:marBottom w:val="0"/>
      <w:divBdr>
        <w:top w:val="none" w:sz="0" w:space="0" w:color="auto"/>
        <w:left w:val="none" w:sz="0" w:space="0" w:color="auto"/>
        <w:bottom w:val="none" w:sz="0" w:space="0" w:color="auto"/>
        <w:right w:val="none" w:sz="0" w:space="0" w:color="auto"/>
      </w:divBdr>
    </w:div>
    <w:div w:id="139425809">
      <w:bodyDiv w:val="1"/>
      <w:marLeft w:val="0"/>
      <w:marRight w:val="0"/>
      <w:marTop w:val="0"/>
      <w:marBottom w:val="0"/>
      <w:divBdr>
        <w:top w:val="none" w:sz="0" w:space="0" w:color="auto"/>
        <w:left w:val="none" w:sz="0" w:space="0" w:color="auto"/>
        <w:bottom w:val="none" w:sz="0" w:space="0" w:color="auto"/>
        <w:right w:val="none" w:sz="0" w:space="0" w:color="auto"/>
      </w:divBdr>
    </w:div>
    <w:div w:id="142702692">
      <w:bodyDiv w:val="1"/>
      <w:marLeft w:val="0"/>
      <w:marRight w:val="0"/>
      <w:marTop w:val="0"/>
      <w:marBottom w:val="0"/>
      <w:divBdr>
        <w:top w:val="none" w:sz="0" w:space="0" w:color="auto"/>
        <w:left w:val="none" w:sz="0" w:space="0" w:color="auto"/>
        <w:bottom w:val="none" w:sz="0" w:space="0" w:color="auto"/>
        <w:right w:val="none" w:sz="0" w:space="0" w:color="auto"/>
      </w:divBdr>
    </w:div>
    <w:div w:id="142738455">
      <w:bodyDiv w:val="1"/>
      <w:marLeft w:val="0"/>
      <w:marRight w:val="0"/>
      <w:marTop w:val="0"/>
      <w:marBottom w:val="0"/>
      <w:divBdr>
        <w:top w:val="none" w:sz="0" w:space="0" w:color="auto"/>
        <w:left w:val="none" w:sz="0" w:space="0" w:color="auto"/>
        <w:bottom w:val="none" w:sz="0" w:space="0" w:color="auto"/>
        <w:right w:val="none" w:sz="0" w:space="0" w:color="auto"/>
      </w:divBdr>
    </w:div>
    <w:div w:id="143739133">
      <w:bodyDiv w:val="1"/>
      <w:marLeft w:val="0"/>
      <w:marRight w:val="0"/>
      <w:marTop w:val="0"/>
      <w:marBottom w:val="0"/>
      <w:divBdr>
        <w:top w:val="none" w:sz="0" w:space="0" w:color="auto"/>
        <w:left w:val="none" w:sz="0" w:space="0" w:color="auto"/>
        <w:bottom w:val="none" w:sz="0" w:space="0" w:color="auto"/>
        <w:right w:val="none" w:sz="0" w:space="0" w:color="auto"/>
      </w:divBdr>
    </w:div>
    <w:div w:id="146676900">
      <w:bodyDiv w:val="1"/>
      <w:marLeft w:val="0"/>
      <w:marRight w:val="0"/>
      <w:marTop w:val="0"/>
      <w:marBottom w:val="0"/>
      <w:divBdr>
        <w:top w:val="none" w:sz="0" w:space="0" w:color="auto"/>
        <w:left w:val="none" w:sz="0" w:space="0" w:color="auto"/>
        <w:bottom w:val="none" w:sz="0" w:space="0" w:color="auto"/>
        <w:right w:val="none" w:sz="0" w:space="0" w:color="auto"/>
      </w:divBdr>
    </w:div>
    <w:div w:id="147598809">
      <w:bodyDiv w:val="1"/>
      <w:marLeft w:val="0"/>
      <w:marRight w:val="0"/>
      <w:marTop w:val="0"/>
      <w:marBottom w:val="0"/>
      <w:divBdr>
        <w:top w:val="none" w:sz="0" w:space="0" w:color="auto"/>
        <w:left w:val="none" w:sz="0" w:space="0" w:color="auto"/>
        <w:bottom w:val="none" w:sz="0" w:space="0" w:color="auto"/>
        <w:right w:val="none" w:sz="0" w:space="0" w:color="auto"/>
      </w:divBdr>
    </w:div>
    <w:div w:id="151874944">
      <w:bodyDiv w:val="1"/>
      <w:marLeft w:val="0"/>
      <w:marRight w:val="0"/>
      <w:marTop w:val="0"/>
      <w:marBottom w:val="0"/>
      <w:divBdr>
        <w:top w:val="none" w:sz="0" w:space="0" w:color="auto"/>
        <w:left w:val="none" w:sz="0" w:space="0" w:color="auto"/>
        <w:bottom w:val="none" w:sz="0" w:space="0" w:color="auto"/>
        <w:right w:val="none" w:sz="0" w:space="0" w:color="auto"/>
      </w:divBdr>
    </w:div>
    <w:div w:id="151944844">
      <w:bodyDiv w:val="1"/>
      <w:marLeft w:val="0"/>
      <w:marRight w:val="0"/>
      <w:marTop w:val="0"/>
      <w:marBottom w:val="0"/>
      <w:divBdr>
        <w:top w:val="none" w:sz="0" w:space="0" w:color="auto"/>
        <w:left w:val="none" w:sz="0" w:space="0" w:color="auto"/>
        <w:bottom w:val="none" w:sz="0" w:space="0" w:color="auto"/>
        <w:right w:val="none" w:sz="0" w:space="0" w:color="auto"/>
      </w:divBdr>
    </w:div>
    <w:div w:id="154998758">
      <w:bodyDiv w:val="1"/>
      <w:marLeft w:val="0"/>
      <w:marRight w:val="0"/>
      <w:marTop w:val="0"/>
      <w:marBottom w:val="0"/>
      <w:divBdr>
        <w:top w:val="none" w:sz="0" w:space="0" w:color="auto"/>
        <w:left w:val="none" w:sz="0" w:space="0" w:color="auto"/>
        <w:bottom w:val="none" w:sz="0" w:space="0" w:color="auto"/>
        <w:right w:val="none" w:sz="0" w:space="0" w:color="auto"/>
      </w:divBdr>
    </w:div>
    <w:div w:id="156727076">
      <w:bodyDiv w:val="1"/>
      <w:marLeft w:val="0"/>
      <w:marRight w:val="0"/>
      <w:marTop w:val="0"/>
      <w:marBottom w:val="0"/>
      <w:divBdr>
        <w:top w:val="none" w:sz="0" w:space="0" w:color="auto"/>
        <w:left w:val="none" w:sz="0" w:space="0" w:color="auto"/>
        <w:bottom w:val="none" w:sz="0" w:space="0" w:color="auto"/>
        <w:right w:val="none" w:sz="0" w:space="0" w:color="auto"/>
      </w:divBdr>
    </w:div>
    <w:div w:id="157156827">
      <w:bodyDiv w:val="1"/>
      <w:marLeft w:val="0"/>
      <w:marRight w:val="0"/>
      <w:marTop w:val="0"/>
      <w:marBottom w:val="0"/>
      <w:divBdr>
        <w:top w:val="none" w:sz="0" w:space="0" w:color="auto"/>
        <w:left w:val="none" w:sz="0" w:space="0" w:color="auto"/>
        <w:bottom w:val="none" w:sz="0" w:space="0" w:color="auto"/>
        <w:right w:val="none" w:sz="0" w:space="0" w:color="auto"/>
      </w:divBdr>
    </w:div>
    <w:div w:id="159808665">
      <w:bodyDiv w:val="1"/>
      <w:marLeft w:val="0"/>
      <w:marRight w:val="0"/>
      <w:marTop w:val="0"/>
      <w:marBottom w:val="0"/>
      <w:divBdr>
        <w:top w:val="none" w:sz="0" w:space="0" w:color="auto"/>
        <w:left w:val="none" w:sz="0" w:space="0" w:color="auto"/>
        <w:bottom w:val="none" w:sz="0" w:space="0" w:color="auto"/>
        <w:right w:val="none" w:sz="0" w:space="0" w:color="auto"/>
      </w:divBdr>
    </w:div>
    <w:div w:id="161556463">
      <w:bodyDiv w:val="1"/>
      <w:marLeft w:val="0"/>
      <w:marRight w:val="0"/>
      <w:marTop w:val="0"/>
      <w:marBottom w:val="0"/>
      <w:divBdr>
        <w:top w:val="none" w:sz="0" w:space="0" w:color="auto"/>
        <w:left w:val="none" w:sz="0" w:space="0" w:color="auto"/>
        <w:bottom w:val="none" w:sz="0" w:space="0" w:color="auto"/>
        <w:right w:val="none" w:sz="0" w:space="0" w:color="auto"/>
      </w:divBdr>
    </w:div>
    <w:div w:id="163401277">
      <w:bodyDiv w:val="1"/>
      <w:marLeft w:val="0"/>
      <w:marRight w:val="0"/>
      <w:marTop w:val="0"/>
      <w:marBottom w:val="0"/>
      <w:divBdr>
        <w:top w:val="none" w:sz="0" w:space="0" w:color="auto"/>
        <w:left w:val="none" w:sz="0" w:space="0" w:color="auto"/>
        <w:bottom w:val="none" w:sz="0" w:space="0" w:color="auto"/>
        <w:right w:val="none" w:sz="0" w:space="0" w:color="auto"/>
      </w:divBdr>
    </w:div>
    <w:div w:id="166870818">
      <w:bodyDiv w:val="1"/>
      <w:marLeft w:val="0"/>
      <w:marRight w:val="0"/>
      <w:marTop w:val="0"/>
      <w:marBottom w:val="0"/>
      <w:divBdr>
        <w:top w:val="none" w:sz="0" w:space="0" w:color="auto"/>
        <w:left w:val="none" w:sz="0" w:space="0" w:color="auto"/>
        <w:bottom w:val="none" w:sz="0" w:space="0" w:color="auto"/>
        <w:right w:val="none" w:sz="0" w:space="0" w:color="auto"/>
      </w:divBdr>
    </w:div>
    <w:div w:id="167789445">
      <w:bodyDiv w:val="1"/>
      <w:marLeft w:val="0"/>
      <w:marRight w:val="0"/>
      <w:marTop w:val="0"/>
      <w:marBottom w:val="0"/>
      <w:divBdr>
        <w:top w:val="none" w:sz="0" w:space="0" w:color="auto"/>
        <w:left w:val="none" w:sz="0" w:space="0" w:color="auto"/>
        <w:bottom w:val="none" w:sz="0" w:space="0" w:color="auto"/>
        <w:right w:val="none" w:sz="0" w:space="0" w:color="auto"/>
      </w:divBdr>
    </w:div>
    <w:div w:id="170216620">
      <w:bodyDiv w:val="1"/>
      <w:marLeft w:val="0"/>
      <w:marRight w:val="0"/>
      <w:marTop w:val="0"/>
      <w:marBottom w:val="0"/>
      <w:divBdr>
        <w:top w:val="none" w:sz="0" w:space="0" w:color="auto"/>
        <w:left w:val="none" w:sz="0" w:space="0" w:color="auto"/>
        <w:bottom w:val="none" w:sz="0" w:space="0" w:color="auto"/>
        <w:right w:val="none" w:sz="0" w:space="0" w:color="auto"/>
      </w:divBdr>
    </w:div>
    <w:div w:id="170268557">
      <w:bodyDiv w:val="1"/>
      <w:marLeft w:val="0"/>
      <w:marRight w:val="0"/>
      <w:marTop w:val="0"/>
      <w:marBottom w:val="0"/>
      <w:divBdr>
        <w:top w:val="none" w:sz="0" w:space="0" w:color="auto"/>
        <w:left w:val="none" w:sz="0" w:space="0" w:color="auto"/>
        <w:bottom w:val="none" w:sz="0" w:space="0" w:color="auto"/>
        <w:right w:val="none" w:sz="0" w:space="0" w:color="auto"/>
      </w:divBdr>
    </w:div>
    <w:div w:id="179468547">
      <w:bodyDiv w:val="1"/>
      <w:marLeft w:val="0"/>
      <w:marRight w:val="0"/>
      <w:marTop w:val="0"/>
      <w:marBottom w:val="0"/>
      <w:divBdr>
        <w:top w:val="none" w:sz="0" w:space="0" w:color="auto"/>
        <w:left w:val="none" w:sz="0" w:space="0" w:color="auto"/>
        <w:bottom w:val="none" w:sz="0" w:space="0" w:color="auto"/>
        <w:right w:val="none" w:sz="0" w:space="0" w:color="auto"/>
      </w:divBdr>
    </w:div>
    <w:div w:id="181404275">
      <w:bodyDiv w:val="1"/>
      <w:marLeft w:val="0"/>
      <w:marRight w:val="0"/>
      <w:marTop w:val="0"/>
      <w:marBottom w:val="0"/>
      <w:divBdr>
        <w:top w:val="none" w:sz="0" w:space="0" w:color="auto"/>
        <w:left w:val="none" w:sz="0" w:space="0" w:color="auto"/>
        <w:bottom w:val="none" w:sz="0" w:space="0" w:color="auto"/>
        <w:right w:val="none" w:sz="0" w:space="0" w:color="auto"/>
      </w:divBdr>
    </w:div>
    <w:div w:id="184944604">
      <w:bodyDiv w:val="1"/>
      <w:marLeft w:val="0"/>
      <w:marRight w:val="0"/>
      <w:marTop w:val="0"/>
      <w:marBottom w:val="0"/>
      <w:divBdr>
        <w:top w:val="none" w:sz="0" w:space="0" w:color="auto"/>
        <w:left w:val="none" w:sz="0" w:space="0" w:color="auto"/>
        <w:bottom w:val="none" w:sz="0" w:space="0" w:color="auto"/>
        <w:right w:val="none" w:sz="0" w:space="0" w:color="auto"/>
      </w:divBdr>
    </w:div>
    <w:div w:id="193494891">
      <w:bodyDiv w:val="1"/>
      <w:marLeft w:val="0"/>
      <w:marRight w:val="0"/>
      <w:marTop w:val="0"/>
      <w:marBottom w:val="0"/>
      <w:divBdr>
        <w:top w:val="none" w:sz="0" w:space="0" w:color="auto"/>
        <w:left w:val="none" w:sz="0" w:space="0" w:color="auto"/>
        <w:bottom w:val="none" w:sz="0" w:space="0" w:color="auto"/>
        <w:right w:val="none" w:sz="0" w:space="0" w:color="auto"/>
      </w:divBdr>
    </w:div>
    <w:div w:id="202138223">
      <w:bodyDiv w:val="1"/>
      <w:marLeft w:val="0"/>
      <w:marRight w:val="0"/>
      <w:marTop w:val="0"/>
      <w:marBottom w:val="0"/>
      <w:divBdr>
        <w:top w:val="none" w:sz="0" w:space="0" w:color="auto"/>
        <w:left w:val="none" w:sz="0" w:space="0" w:color="auto"/>
        <w:bottom w:val="none" w:sz="0" w:space="0" w:color="auto"/>
        <w:right w:val="none" w:sz="0" w:space="0" w:color="auto"/>
      </w:divBdr>
    </w:div>
    <w:div w:id="209658154">
      <w:bodyDiv w:val="1"/>
      <w:marLeft w:val="0"/>
      <w:marRight w:val="0"/>
      <w:marTop w:val="0"/>
      <w:marBottom w:val="0"/>
      <w:divBdr>
        <w:top w:val="none" w:sz="0" w:space="0" w:color="auto"/>
        <w:left w:val="none" w:sz="0" w:space="0" w:color="auto"/>
        <w:bottom w:val="none" w:sz="0" w:space="0" w:color="auto"/>
        <w:right w:val="none" w:sz="0" w:space="0" w:color="auto"/>
      </w:divBdr>
    </w:div>
    <w:div w:id="210188602">
      <w:bodyDiv w:val="1"/>
      <w:marLeft w:val="0"/>
      <w:marRight w:val="0"/>
      <w:marTop w:val="0"/>
      <w:marBottom w:val="0"/>
      <w:divBdr>
        <w:top w:val="none" w:sz="0" w:space="0" w:color="auto"/>
        <w:left w:val="none" w:sz="0" w:space="0" w:color="auto"/>
        <w:bottom w:val="none" w:sz="0" w:space="0" w:color="auto"/>
        <w:right w:val="none" w:sz="0" w:space="0" w:color="auto"/>
      </w:divBdr>
    </w:div>
    <w:div w:id="212232940">
      <w:bodyDiv w:val="1"/>
      <w:marLeft w:val="0"/>
      <w:marRight w:val="0"/>
      <w:marTop w:val="0"/>
      <w:marBottom w:val="0"/>
      <w:divBdr>
        <w:top w:val="none" w:sz="0" w:space="0" w:color="auto"/>
        <w:left w:val="none" w:sz="0" w:space="0" w:color="auto"/>
        <w:bottom w:val="none" w:sz="0" w:space="0" w:color="auto"/>
        <w:right w:val="none" w:sz="0" w:space="0" w:color="auto"/>
      </w:divBdr>
    </w:div>
    <w:div w:id="217278989">
      <w:bodyDiv w:val="1"/>
      <w:marLeft w:val="0"/>
      <w:marRight w:val="0"/>
      <w:marTop w:val="0"/>
      <w:marBottom w:val="0"/>
      <w:divBdr>
        <w:top w:val="none" w:sz="0" w:space="0" w:color="auto"/>
        <w:left w:val="none" w:sz="0" w:space="0" w:color="auto"/>
        <w:bottom w:val="none" w:sz="0" w:space="0" w:color="auto"/>
        <w:right w:val="none" w:sz="0" w:space="0" w:color="auto"/>
      </w:divBdr>
    </w:div>
    <w:div w:id="217520381">
      <w:bodyDiv w:val="1"/>
      <w:marLeft w:val="0"/>
      <w:marRight w:val="0"/>
      <w:marTop w:val="0"/>
      <w:marBottom w:val="0"/>
      <w:divBdr>
        <w:top w:val="none" w:sz="0" w:space="0" w:color="auto"/>
        <w:left w:val="none" w:sz="0" w:space="0" w:color="auto"/>
        <w:bottom w:val="none" w:sz="0" w:space="0" w:color="auto"/>
        <w:right w:val="none" w:sz="0" w:space="0" w:color="auto"/>
      </w:divBdr>
    </w:div>
    <w:div w:id="218172026">
      <w:bodyDiv w:val="1"/>
      <w:marLeft w:val="0"/>
      <w:marRight w:val="0"/>
      <w:marTop w:val="0"/>
      <w:marBottom w:val="0"/>
      <w:divBdr>
        <w:top w:val="none" w:sz="0" w:space="0" w:color="auto"/>
        <w:left w:val="none" w:sz="0" w:space="0" w:color="auto"/>
        <w:bottom w:val="none" w:sz="0" w:space="0" w:color="auto"/>
        <w:right w:val="none" w:sz="0" w:space="0" w:color="auto"/>
      </w:divBdr>
    </w:div>
    <w:div w:id="219363491">
      <w:bodyDiv w:val="1"/>
      <w:marLeft w:val="0"/>
      <w:marRight w:val="0"/>
      <w:marTop w:val="0"/>
      <w:marBottom w:val="0"/>
      <w:divBdr>
        <w:top w:val="none" w:sz="0" w:space="0" w:color="auto"/>
        <w:left w:val="none" w:sz="0" w:space="0" w:color="auto"/>
        <w:bottom w:val="none" w:sz="0" w:space="0" w:color="auto"/>
        <w:right w:val="none" w:sz="0" w:space="0" w:color="auto"/>
      </w:divBdr>
    </w:div>
    <w:div w:id="220795563">
      <w:bodyDiv w:val="1"/>
      <w:marLeft w:val="0"/>
      <w:marRight w:val="0"/>
      <w:marTop w:val="0"/>
      <w:marBottom w:val="0"/>
      <w:divBdr>
        <w:top w:val="none" w:sz="0" w:space="0" w:color="auto"/>
        <w:left w:val="none" w:sz="0" w:space="0" w:color="auto"/>
        <w:bottom w:val="none" w:sz="0" w:space="0" w:color="auto"/>
        <w:right w:val="none" w:sz="0" w:space="0" w:color="auto"/>
      </w:divBdr>
    </w:div>
    <w:div w:id="223293697">
      <w:bodyDiv w:val="1"/>
      <w:marLeft w:val="0"/>
      <w:marRight w:val="0"/>
      <w:marTop w:val="0"/>
      <w:marBottom w:val="0"/>
      <w:divBdr>
        <w:top w:val="none" w:sz="0" w:space="0" w:color="auto"/>
        <w:left w:val="none" w:sz="0" w:space="0" w:color="auto"/>
        <w:bottom w:val="none" w:sz="0" w:space="0" w:color="auto"/>
        <w:right w:val="none" w:sz="0" w:space="0" w:color="auto"/>
      </w:divBdr>
    </w:div>
    <w:div w:id="223876128">
      <w:bodyDiv w:val="1"/>
      <w:marLeft w:val="0"/>
      <w:marRight w:val="0"/>
      <w:marTop w:val="0"/>
      <w:marBottom w:val="0"/>
      <w:divBdr>
        <w:top w:val="none" w:sz="0" w:space="0" w:color="auto"/>
        <w:left w:val="none" w:sz="0" w:space="0" w:color="auto"/>
        <w:bottom w:val="none" w:sz="0" w:space="0" w:color="auto"/>
        <w:right w:val="none" w:sz="0" w:space="0" w:color="auto"/>
      </w:divBdr>
    </w:div>
    <w:div w:id="226767131">
      <w:bodyDiv w:val="1"/>
      <w:marLeft w:val="0"/>
      <w:marRight w:val="0"/>
      <w:marTop w:val="0"/>
      <w:marBottom w:val="0"/>
      <w:divBdr>
        <w:top w:val="none" w:sz="0" w:space="0" w:color="auto"/>
        <w:left w:val="none" w:sz="0" w:space="0" w:color="auto"/>
        <w:bottom w:val="none" w:sz="0" w:space="0" w:color="auto"/>
        <w:right w:val="none" w:sz="0" w:space="0" w:color="auto"/>
      </w:divBdr>
    </w:div>
    <w:div w:id="234823137">
      <w:bodyDiv w:val="1"/>
      <w:marLeft w:val="0"/>
      <w:marRight w:val="0"/>
      <w:marTop w:val="0"/>
      <w:marBottom w:val="0"/>
      <w:divBdr>
        <w:top w:val="none" w:sz="0" w:space="0" w:color="auto"/>
        <w:left w:val="none" w:sz="0" w:space="0" w:color="auto"/>
        <w:bottom w:val="none" w:sz="0" w:space="0" w:color="auto"/>
        <w:right w:val="none" w:sz="0" w:space="0" w:color="auto"/>
      </w:divBdr>
    </w:div>
    <w:div w:id="236672742">
      <w:bodyDiv w:val="1"/>
      <w:marLeft w:val="0"/>
      <w:marRight w:val="0"/>
      <w:marTop w:val="0"/>
      <w:marBottom w:val="0"/>
      <w:divBdr>
        <w:top w:val="none" w:sz="0" w:space="0" w:color="auto"/>
        <w:left w:val="none" w:sz="0" w:space="0" w:color="auto"/>
        <w:bottom w:val="none" w:sz="0" w:space="0" w:color="auto"/>
        <w:right w:val="none" w:sz="0" w:space="0" w:color="auto"/>
      </w:divBdr>
    </w:div>
    <w:div w:id="238833318">
      <w:bodyDiv w:val="1"/>
      <w:marLeft w:val="0"/>
      <w:marRight w:val="0"/>
      <w:marTop w:val="0"/>
      <w:marBottom w:val="0"/>
      <w:divBdr>
        <w:top w:val="none" w:sz="0" w:space="0" w:color="auto"/>
        <w:left w:val="none" w:sz="0" w:space="0" w:color="auto"/>
        <w:bottom w:val="none" w:sz="0" w:space="0" w:color="auto"/>
        <w:right w:val="none" w:sz="0" w:space="0" w:color="auto"/>
      </w:divBdr>
    </w:div>
    <w:div w:id="243683158">
      <w:bodyDiv w:val="1"/>
      <w:marLeft w:val="0"/>
      <w:marRight w:val="0"/>
      <w:marTop w:val="0"/>
      <w:marBottom w:val="0"/>
      <w:divBdr>
        <w:top w:val="none" w:sz="0" w:space="0" w:color="auto"/>
        <w:left w:val="none" w:sz="0" w:space="0" w:color="auto"/>
        <w:bottom w:val="none" w:sz="0" w:space="0" w:color="auto"/>
        <w:right w:val="none" w:sz="0" w:space="0" w:color="auto"/>
      </w:divBdr>
    </w:div>
    <w:div w:id="243996804">
      <w:bodyDiv w:val="1"/>
      <w:marLeft w:val="0"/>
      <w:marRight w:val="0"/>
      <w:marTop w:val="0"/>
      <w:marBottom w:val="0"/>
      <w:divBdr>
        <w:top w:val="none" w:sz="0" w:space="0" w:color="auto"/>
        <w:left w:val="none" w:sz="0" w:space="0" w:color="auto"/>
        <w:bottom w:val="none" w:sz="0" w:space="0" w:color="auto"/>
        <w:right w:val="none" w:sz="0" w:space="0" w:color="auto"/>
      </w:divBdr>
    </w:div>
    <w:div w:id="244457687">
      <w:bodyDiv w:val="1"/>
      <w:marLeft w:val="0"/>
      <w:marRight w:val="0"/>
      <w:marTop w:val="0"/>
      <w:marBottom w:val="0"/>
      <w:divBdr>
        <w:top w:val="none" w:sz="0" w:space="0" w:color="auto"/>
        <w:left w:val="none" w:sz="0" w:space="0" w:color="auto"/>
        <w:bottom w:val="none" w:sz="0" w:space="0" w:color="auto"/>
        <w:right w:val="none" w:sz="0" w:space="0" w:color="auto"/>
      </w:divBdr>
    </w:div>
    <w:div w:id="246425323">
      <w:bodyDiv w:val="1"/>
      <w:marLeft w:val="0"/>
      <w:marRight w:val="0"/>
      <w:marTop w:val="0"/>
      <w:marBottom w:val="0"/>
      <w:divBdr>
        <w:top w:val="none" w:sz="0" w:space="0" w:color="auto"/>
        <w:left w:val="none" w:sz="0" w:space="0" w:color="auto"/>
        <w:bottom w:val="none" w:sz="0" w:space="0" w:color="auto"/>
        <w:right w:val="none" w:sz="0" w:space="0" w:color="auto"/>
      </w:divBdr>
    </w:div>
    <w:div w:id="246498361">
      <w:bodyDiv w:val="1"/>
      <w:marLeft w:val="0"/>
      <w:marRight w:val="0"/>
      <w:marTop w:val="0"/>
      <w:marBottom w:val="0"/>
      <w:divBdr>
        <w:top w:val="none" w:sz="0" w:space="0" w:color="auto"/>
        <w:left w:val="none" w:sz="0" w:space="0" w:color="auto"/>
        <w:bottom w:val="none" w:sz="0" w:space="0" w:color="auto"/>
        <w:right w:val="none" w:sz="0" w:space="0" w:color="auto"/>
      </w:divBdr>
    </w:div>
    <w:div w:id="251400935">
      <w:bodyDiv w:val="1"/>
      <w:marLeft w:val="0"/>
      <w:marRight w:val="0"/>
      <w:marTop w:val="0"/>
      <w:marBottom w:val="0"/>
      <w:divBdr>
        <w:top w:val="none" w:sz="0" w:space="0" w:color="auto"/>
        <w:left w:val="none" w:sz="0" w:space="0" w:color="auto"/>
        <w:bottom w:val="none" w:sz="0" w:space="0" w:color="auto"/>
        <w:right w:val="none" w:sz="0" w:space="0" w:color="auto"/>
      </w:divBdr>
    </w:div>
    <w:div w:id="252711967">
      <w:bodyDiv w:val="1"/>
      <w:marLeft w:val="0"/>
      <w:marRight w:val="0"/>
      <w:marTop w:val="0"/>
      <w:marBottom w:val="0"/>
      <w:divBdr>
        <w:top w:val="none" w:sz="0" w:space="0" w:color="auto"/>
        <w:left w:val="none" w:sz="0" w:space="0" w:color="auto"/>
        <w:bottom w:val="none" w:sz="0" w:space="0" w:color="auto"/>
        <w:right w:val="none" w:sz="0" w:space="0" w:color="auto"/>
      </w:divBdr>
    </w:div>
    <w:div w:id="253127804">
      <w:bodyDiv w:val="1"/>
      <w:marLeft w:val="0"/>
      <w:marRight w:val="0"/>
      <w:marTop w:val="0"/>
      <w:marBottom w:val="0"/>
      <w:divBdr>
        <w:top w:val="none" w:sz="0" w:space="0" w:color="auto"/>
        <w:left w:val="none" w:sz="0" w:space="0" w:color="auto"/>
        <w:bottom w:val="none" w:sz="0" w:space="0" w:color="auto"/>
        <w:right w:val="none" w:sz="0" w:space="0" w:color="auto"/>
      </w:divBdr>
    </w:div>
    <w:div w:id="253247293">
      <w:bodyDiv w:val="1"/>
      <w:marLeft w:val="0"/>
      <w:marRight w:val="0"/>
      <w:marTop w:val="0"/>
      <w:marBottom w:val="0"/>
      <w:divBdr>
        <w:top w:val="none" w:sz="0" w:space="0" w:color="auto"/>
        <w:left w:val="none" w:sz="0" w:space="0" w:color="auto"/>
        <w:bottom w:val="none" w:sz="0" w:space="0" w:color="auto"/>
        <w:right w:val="none" w:sz="0" w:space="0" w:color="auto"/>
      </w:divBdr>
    </w:div>
    <w:div w:id="257565912">
      <w:bodyDiv w:val="1"/>
      <w:marLeft w:val="0"/>
      <w:marRight w:val="0"/>
      <w:marTop w:val="0"/>
      <w:marBottom w:val="0"/>
      <w:divBdr>
        <w:top w:val="none" w:sz="0" w:space="0" w:color="auto"/>
        <w:left w:val="none" w:sz="0" w:space="0" w:color="auto"/>
        <w:bottom w:val="none" w:sz="0" w:space="0" w:color="auto"/>
        <w:right w:val="none" w:sz="0" w:space="0" w:color="auto"/>
      </w:divBdr>
    </w:div>
    <w:div w:id="258222915">
      <w:bodyDiv w:val="1"/>
      <w:marLeft w:val="0"/>
      <w:marRight w:val="0"/>
      <w:marTop w:val="0"/>
      <w:marBottom w:val="0"/>
      <w:divBdr>
        <w:top w:val="none" w:sz="0" w:space="0" w:color="auto"/>
        <w:left w:val="none" w:sz="0" w:space="0" w:color="auto"/>
        <w:bottom w:val="none" w:sz="0" w:space="0" w:color="auto"/>
        <w:right w:val="none" w:sz="0" w:space="0" w:color="auto"/>
      </w:divBdr>
    </w:div>
    <w:div w:id="258637458">
      <w:bodyDiv w:val="1"/>
      <w:marLeft w:val="0"/>
      <w:marRight w:val="0"/>
      <w:marTop w:val="0"/>
      <w:marBottom w:val="0"/>
      <w:divBdr>
        <w:top w:val="none" w:sz="0" w:space="0" w:color="auto"/>
        <w:left w:val="none" w:sz="0" w:space="0" w:color="auto"/>
        <w:bottom w:val="none" w:sz="0" w:space="0" w:color="auto"/>
        <w:right w:val="none" w:sz="0" w:space="0" w:color="auto"/>
      </w:divBdr>
    </w:div>
    <w:div w:id="265814599">
      <w:bodyDiv w:val="1"/>
      <w:marLeft w:val="0"/>
      <w:marRight w:val="0"/>
      <w:marTop w:val="0"/>
      <w:marBottom w:val="0"/>
      <w:divBdr>
        <w:top w:val="none" w:sz="0" w:space="0" w:color="auto"/>
        <w:left w:val="none" w:sz="0" w:space="0" w:color="auto"/>
        <w:bottom w:val="none" w:sz="0" w:space="0" w:color="auto"/>
        <w:right w:val="none" w:sz="0" w:space="0" w:color="auto"/>
      </w:divBdr>
    </w:div>
    <w:div w:id="267125360">
      <w:bodyDiv w:val="1"/>
      <w:marLeft w:val="0"/>
      <w:marRight w:val="0"/>
      <w:marTop w:val="0"/>
      <w:marBottom w:val="0"/>
      <w:divBdr>
        <w:top w:val="none" w:sz="0" w:space="0" w:color="auto"/>
        <w:left w:val="none" w:sz="0" w:space="0" w:color="auto"/>
        <w:bottom w:val="none" w:sz="0" w:space="0" w:color="auto"/>
        <w:right w:val="none" w:sz="0" w:space="0" w:color="auto"/>
      </w:divBdr>
    </w:div>
    <w:div w:id="268203985">
      <w:bodyDiv w:val="1"/>
      <w:marLeft w:val="0"/>
      <w:marRight w:val="0"/>
      <w:marTop w:val="0"/>
      <w:marBottom w:val="0"/>
      <w:divBdr>
        <w:top w:val="none" w:sz="0" w:space="0" w:color="auto"/>
        <w:left w:val="none" w:sz="0" w:space="0" w:color="auto"/>
        <w:bottom w:val="none" w:sz="0" w:space="0" w:color="auto"/>
        <w:right w:val="none" w:sz="0" w:space="0" w:color="auto"/>
      </w:divBdr>
    </w:div>
    <w:div w:id="271324308">
      <w:bodyDiv w:val="1"/>
      <w:marLeft w:val="0"/>
      <w:marRight w:val="0"/>
      <w:marTop w:val="0"/>
      <w:marBottom w:val="0"/>
      <w:divBdr>
        <w:top w:val="none" w:sz="0" w:space="0" w:color="auto"/>
        <w:left w:val="none" w:sz="0" w:space="0" w:color="auto"/>
        <w:bottom w:val="none" w:sz="0" w:space="0" w:color="auto"/>
        <w:right w:val="none" w:sz="0" w:space="0" w:color="auto"/>
      </w:divBdr>
    </w:div>
    <w:div w:id="274097531">
      <w:bodyDiv w:val="1"/>
      <w:marLeft w:val="0"/>
      <w:marRight w:val="0"/>
      <w:marTop w:val="0"/>
      <w:marBottom w:val="0"/>
      <w:divBdr>
        <w:top w:val="none" w:sz="0" w:space="0" w:color="auto"/>
        <w:left w:val="none" w:sz="0" w:space="0" w:color="auto"/>
        <w:bottom w:val="none" w:sz="0" w:space="0" w:color="auto"/>
        <w:right w:val="none" w:sz="0" w:space="0" w:color="auto"/>
      </w:divBdr>
    </w:div>
    <w:div w:id="274679050">
      <w:bodyDiv w:val="1"/>
      <w:marLeft w:val="0"/>
      <w:marRight w:val="0"/>
      <w:marTop w:val="0"/>
      <w:marBottom w:val="0"/>
      <w:divBdr>
        <w:top w:val="none" w:sz="0" w:space="0" w:color="auto"/>
        <w:left w:val="none" w:sz="0" w:space="0" w:color="auto"/>
        <w:bottom w:val="none" w:sz="0" w:space="0" w:color="auto"/>
        <w:right w:val="none" w:sz="0" w:space="0" w:color="auto"/>
      </w:divBdr>
    </w:div>
    <w:div w:id="275259227">
      <w:bodyDiv w:val="1"/>
      <w:marLeft w:val="0"/>
      <w:marRight w:val="0"/>
      <w:marTop w:val="0"/>
      <w:marBottom w:val="0"/>
      <w:divBdr>
        <w:top w:val="none" w:sz="0" w:space="0" w:color="auto"/>
        <w:left w:val="none" w:sz="0" w:space="0" w:color="auto"/>
        <w:bottom w:val="none" w:sz="0" w:space="0" w:color="auto"/>
        <w:right w:val="none" w:sz="0" w:space="0" w:color="auto"/>
      </w:divBdr>
    </w:div>
    <w:div w:id="277414116">
      <w:bodyDiv w:val="1"/>
      <w:marLeft w:val="0"/>
      <w:marRight w:val="0"/>
      <w:marTop w:val="0"/>
      <w:marBottom w:val="0"/>
      <w:divBdr>
        <w:top w:val="none" w:sz="0" w:space="0" w:color="auto"/>
        <w:left w:val="none" w:sz="0" w:space="0" w:color="auto"/>
        <w:bottom w:val="none" w:sz="0" w:space="0" w:color="auto"/>
        <w:right w:val="none" w:sz="0" w:space="0" w:color="auto"/>
      </w:divBdr>
    </w:div>
    <w:div w:id="283343838">
      <w:bodyDiv w:val="1"/>
      <w:marLeft w:val="0"/>
      <w:marRight w:val="0"/>
      <w:marTop w:val="0"/>
      <w:marBottom w:val="0"/>
      <w:divBdr>
        <w:top w:val="none" w:sz="0" w:space="0" w:color="auto"/>
        <w:left w:val="none" w:sz="0" w:space="0" w:color="auto"/>
        <w:bottom w:val="none" w:sz="0" w:space="0" w:color="auto"/>
        <w:right w:val="none" w:sz="0" w:space="0" w:color="auto"/>
      </w:divBdr>
    </w:div>
    <w:div w:id="287666294">
      <w:bodyDiv w:val="1"/>
      <w:marLeft w:val="0"/>
      <w:marRight w:val="0"/>
      <w:marTop w:val="0"/>
      <w:marBottom w:val="0"/>
      <w:divBdr>
        <w:top w:val="none" w:sz="0" w:space="0" w:color="auto"/>
        <w:left w:val="none" w:sz="0" w:space="0" w:color="auto"/>
        <w:bottom w:val="none" w:sz="0" w:space="0" w:color="auto"/>
        <w:right w:val="none" w:sz="0" w:space="0" w:color="auto"/>
      </w:divBdr>
    </w:div>
    <w:div w:id="289240333">
      <w:bodyDiv w:val="1"/>
      <w:marLeft w:val="0"/>
      <w:marRight w:val="0"/>
      <w:marTop w:val="0"/>
      <w:marBottom w:val="0"/>
      <w:divBdr>
        <w:top w:val="none" w:sz="0" w:space="0" w:color="auto"/>
        <w:left w:val="none" w:sz="0" w:space="0" w:color="auto"/>
        <w:bottom w:val="none" w:sz="0" w:space="0" w:color="auto"/>
        <w:right w:val="none" w:sz="0" w:space="0" w:color="auto"/>
      </w:divBdr>
    </w:div>
    <w:div w:id="289744132">
      <w:bodyDiv w:val="1"/>
      <w:marLeft w:val="0"/>
      <w:marRight w:val="0"/>
      <w:marTop w:val="0"/>
      <w:marBottom w:val="0"/>
      <w:divBdr>
        <w:top w:val="none" w:sz="0" w:space="0" w:color="auto"/>
        <w:left w:val="none" w:sz="0" w:space="0" w:color="auto"/>
        <w:bottom w:val="none" w:sz="0" w:space="0" w:color="auto"/>
        <w:right w:val="none" w:sz="0" w:space="0" w:color="auto"/>
      </w:divBdr>
    </w:div>
    <w:div w:id="290283376">
      <w:bodyDiv w:val="1"/>
      <w:marLeft w:val="0"/>
      <w:marRight w:val="0"/>
      <w:marTop w:val="0"/>
      <w:marBottom w:val="0"/>
      <w:divBdr>
        <w:top w:val="none" w:sz="0" w:space="0" w:color="auto"/>
        <w:left w:val="none" w:sz="0" w:space="0" w:color="auto"/>
        <w:bottom w:val="none" w:sz="0" w:space="0" w:color="auto"/>
        <w:right w:val="none" w:sz="0" w:space="0" w:color="auto"/>
      </w:divBdr>
    </w:div>
    <w:div w:id="294410148">
      <w:bodyDiv w:val="1"/>
      <w:marLeft w:val="0"/>
      <w:marRight w:val="0"/>
      <w:marTop w:val="0"/>
      <w:marBottom w:val="0"/>
      <w:divBdr>
        <w:top w:val="none" w:sz="0" w:space="0" w:color="auto"/>
        <w:left w:val="none" w:sz="0" w:space="0" w:color="auto"/>
        <w:bottom w:val="none" w:sz="0" w:space="0" w:color="auto"/>
        <w:right w:val="none" w:sz="0" w:space="0" w:color="auto"/>
      </w:divBdr>
    </w:div>
    <w:div w:id="301809410">
      <w:bodyDiv w:val="1"/>
      <w:marLeft w:val="0"/>
      <w:marRight w:val="0"/>
      <w:marTop w:val="0"/>
      <w:marBottom w:val="0"/>
      <w:divBdr>
        <w:top w:val="none" w:sz="0" w:space="0" w:color="auto"/>
        <w:left w:val="none" w:sz="0" w:space="0" w:color="auto"/>
        <w:bottom w:val="none" w:sz="0" w:space="0" w:color="auto"/>
        <w:right w:val="none" w:sz="0" w:space="0" w:color="auto"/>
      </w:divBdr>
    </w:div>
    <w:div w:id="302319838">
      <w:bodyDiv w:val="1"/>
      <w:marLeft w:val="0"/>
      <w:marRight w:val="0"/>
      <w:marTop w:val="0"/>
      <w:marBottom w:val="0"/>
      <w:divBdr>
        <w:top w:val="none" w:sz="0" w:space="0" w:color="auto"/>
        <w:left w:val="none" w:sz="0" w:space="0" w:color="auto"/>
        <w:bottom w:val="none" w:sz="0" w:space="0" w:color="auto"/>
        <w:right w:val="none" w:sz="0" w:space="0" w:color="auto"/>
      </w:divBdr>
    </w:div>
    <w:div w:id="303780498">
      <w:bodyDiv w:val="1"/>
      <w:marLeft w:val="0"/>
      <w:marRight w:val="0"/>
      <w:marTop w:val="0"/>
      <w:marBottom w:val="0"/>
      <w:divBdr>
        <w:top w:val="none" w:sz="0" w:space="0" w:color="auto"/>
        <w:left w:val="none" w:sz="0" w:space="0" w:color="auto"/>
        <w:bottom w:val="none" w:sz="0" w:space="0" w:color="auto"/>
        <w:right w:val="none" w:sz="0" w:space="0" w:color="auto"/>
      </w:divBdr>
    </w:div>
    <w:div w:id="308437498">
      <w:bodyDiv w:val="1"/>
      <w:marLeft w:val="0"/>
      <w:marRight w:val="0"/>
      <w:marTop w:val="0"/>
      <w:marBottom w:val="0"/>
      <w:divBdr>
        <w:top w:val="none" w:sz="0" w:space="0" w:color="auto"/>
        <w:left w:val="none" w:sz="0" w:space="0" w:color="auto"/>
        <w:bottom w:val="none" w:sz="0" w:space="0" w:color="auto"/>
        <w:right w:val="none" w:sz="0" w:space="0" w:color="auto"/>
      </w:divBdr>
    </w:div>
    <w:div w:id="317270663">
      <w:bodyDiv w:val="1"/>
      <w:marLeft w:val="0"/>
      <w:marRight w:val="0"/>
      <w:marTop w:val="0"/>
      <w:marBottom w:val="0"/>
      <w:divBdr>
        <w:top w:val="none" w:sz="0" w:space="0" w:color="auto"/>
        <w:left w:val="none" w:sz="0" w:space="0" w:color="auto"/>
        <w:bottom w:val="none" w:sz="0" w:space="0" w:color="auto"/>
        <w:right w:val="none" w:sz="0" w:space="0" w:color="auto"/>
      </w:divBdr>
    </w:div>
    <w:div w:id="324478226">
      <w:bodyDiv w:val="1"/>
      <w:marLeft w:val="0"/>
      <w:marRight w:val="0"/>
      <w:marTop w:val="0"/>
      <w:marBottom w:val="0"/>
      <w:divBdr>
        <w:top w:val="none" w:sz="0" w:space="0" w:color="auto"/>
        <w:left w:val="none" w:sz="0" w:space="0" w:color="auto"/>
        <w:bottom w:val="none" w:sz="0" w:space="0" w:color="auto"/>
        <w:right w:val="none" w:sz="0" w:space="0" w:color="auto"/>
      </w:divBdr>
    </w:div>
    <w:div w:id="326179591">
      <w:bodyDiv w:val="1"/>
      <w:marLeft w:val="0"/>
      <w:marRight w:val="0"/>
      <w:marTop w:val="0"/>
      <w:marBottom w:val="0"/>
      <w:divBdr>
        <w:top w:val="none" w:sz="0" w:space="0" w:color="auto"/>
        <w:left w:val="none" w:sz="0" w:space="0" w:color="auto"/>
        <w:bottom w:val="none" w:sz="0" w:space="0" w:color="auto"/>
        <w:right w:val="none" w:sz="0" w:space="0" w:color="auto"/>
      </w:divBdr>
    </w:div>
    <w:div w:id="327296336">
      <w:bodyDiv w:val="1"/>
      <w:marLeft w:val="0"/>
      <w:marRight w:val="0"/>
      <w:marTop w:val="0"/>
      <w:marBottom w:val="0"/>
      <w:divBdr>
        <w:top w:val="none" w:sz="0" w:space="0" w:color="auto"/>
        <w:left w:val="none" w:sz="0" w:space="0" w:color="auto"/>
        <w:bottom w:val="none" w:sz="0" w:space="0" w:color="auto"/>
        <w:right w:val="none" w:sz="0" w:space="0" w:color="auto"/>
      </w:divBdr>
    </w:div>
    <w:div w:id="330258853">
      <w:bodyDiv w:val="1"/>
      <w:marLeft w:val="0"/>
      <w:marRight w:val="0"/>
      <w:marTop w:val="0"/>
      <w:marBottom w:val="0"/>
      <w:divBdr>
        <w:top w:val="none" w:sz="0" w:space="0" w:color="auto"/>
        <w:left w:val="none" w:sz="0" w:space="0" w:color="auto"/>
        <w:bottom w:val="none" w:sz="0" w:space="0" w:color="auto"/>
        <w:right w:val="none" w:sz="0" w:space="0" w:color="auto"/>
      </w:divBdr>
    </w:div>
    <w:div w:id="334067360">
      <w:bodyDiv w:val="1"/>
      <w:marLeft w:val="0"/>
      <w:marRight w:val="0"/>
      <w:marTop w:val="0"/>
      <w:marBottom w:val="0"/>
      <w:divBdr>
        <w:top w:val="none" w:sz="0" w:space="0" w:color="auto"/>
        <w:left w:val="none" w:sz="0" w:space="0" w:color="auto"/>
        <w:bottom w:val="none" w:sz="0" w:space="0" w:color="auto"/>
        <w:right w:val="none" w:sz="0" w:space="0" w:color="auto"/>
      </w:divBdr>
    </w:div>
    <w:div w:id="336813710">
      <w:bodyDiv w:val="1"/>
      <w:marLeft w:val="0"/>
      <w:marRight w:val="0"/>
      <w:marTop w:val="0"/>
      <w:marBottom w:val="0"/>
      <w:divBdr>
        <w:top w:val="none" w:sz="0" w:space="0" w:color="auto"/>
        <w:left w:val="none" w:sz="0" w:space="0" w:color="auto"/>
        <w:bottom w:val="none" w:sz="0" w:space="0" w:color="auto"/>
        <w:right w:val="none" w:sz="0" w:space="0" w:color="auto"/>
      </w:divBdr>
    </w:div>
    <w:div w:id="344133277">
      <w:bodyDiv w:val="1"/>
      <w:marLeft w:val="0"/>
      <w:marRight w:val="0"/>
      <w:marTop w:val="0"/>
      <w:marBottom w:val="0"/>
      <w:divBdr>
        <w:top w:val="none" w:sz="0" w:space="0" w:color="auto"/>
        <w:left w:val="none" w:sz="0" w:space="0" w:color="auto"/>
        <w:bottom w:val="none" w:sz="0" w:space="0" w:color="auto"/>
        <w:right w:val="none" w:sz="0" w:space="0" w:color="auto"/>
      </w:divBdr>
    </w:div>
    <w:div w:id="349261181">
      <w:bodyDiv w:val="1"/>
      <w:marLeft w:val="0"/>
      <w:marRight w:val="0"/>
      <w:marTop w:val="0"/>
      <w:marBottom w:val="0"/>
      <w:divBdr>
        <w:top w:val="none" w:sz="0" w:space="0" w:color="auto"/>
        <w:left w:val="none" w:sz="0" w:space="0" w:color="auto"/>
        <w:bottom w:val="none" w:sz="0" w:space="0" w:color="auto"/>
        <w:right w:val="none" w:sz="0" w:space="0" w:color="auto"/>
      </w:divBdr>
    </w:div>
    <w:div w:id="361056108">
      <w:bodyDiv w:val="1"/>
      <w:marLeft w:val="0"/>
      <w:marRight w:val="0"/>
      <w:marTop w:val="0"/>
      <w:marBottom w:val="0"/>
      <w:divBdr>
        <w:top w:val="none" w:sz="0" w:space="0" w:color="auto"/>
        <w:left w:val="none" w:sz="0" w:space="0" w:color="auto"/>
        <w:bottom w:val="none" w:sz="0" w:space="0" w:color="auto"/>
        <w:right w:val="none" w:sz="0" w:space="0" w:color="auto"/>
      </w:divBdr>
    </w:div>
    <w:div w:id="368341867">
      <w:bodyDiv w:val="1"/>
      <w:marLeft w:val="0"/>
      <w:marRight w:val="0"/>
      <w:marTop w:val="0"/>
      <w:marBottom w:val="0"/>
      <w:divBdr>
        <w:top w:val="none" w:sz="0" w:space="0" w:color="auto"/>
        <w:left w:val="none" w:sz="0" w:space="0" w:color="auto"/>
        <w:bottom w:val="none" w:sz="0" w:space="0" w:color="auto"/>
        <w:right w:val="none" w:sz="0" w:space="0" w:color="auto"/>
      </w:divBdr>
    </w:div>
    <w:div w:id="368841529">
      <w:bodyDiv w:val="1"/>
      <w:marLeft w:val="0"/>
      <w:marRight w:val="0"/>
      <w:marTop w:val="0"/>
      <w:marBottom w:val="0"/>
      <w:divBdr>
        <w:top w:val="none" w:sz="0" w:space="0" w:color="auto"/>
        <w:left w:val="none" w:sz="0" w:space="0" w:color="auto"/>
        <w:bottom w:val="none" w:sz="0" w:space="0" w:color="auto"/>
        <w:right w:val="none" w:sz="0" w:space="0" w:color="auto"/>
      </w:divBdr>
    </w:div>
    <w:div w:id="371614738">
      <w:bodyDiv w:val="1"/>
      <w:marLeft w:val="0"/>
      <w:marRight w:val="0"/>
      <w:marTop w:val="0"/>
      <w:marBottom w:val="0"/>
      <w:divBdr>
        <w:top w:val="none" w:sz="0" w:space="0" w:color="auto"/>
        <w:left w:val="none" w:sz="0" w:space="0" w:color="auto"/>
        <w:bottom w:val="none" w:sz="0" w:space="0" w:color="auto"/>
        <w:right w:val="none" w:sz="0" w:space="0" w:color="auto"/>
      </w:divBdr>
    </w:div>
    <w:div w:id="371881730">
      <w:bodyDiv w:val="1"/>
      <w:marLeft w:val="0"/>
      <w:marRight w:val="0"/>
      <w:marTop w:val="0"/>
      <w:marBottom w:val="0"/>
      <w:divBdr>
        <w:top w:val="none" w:sz="0" w:space="0" w:color="auto"/>
        <w:left w:val="none" w:sz="0" w:space="0" w:color="auto"/>
        <w:bottom w:val="none" w:sz="0" w:space="0" w:color="auto"/>
        <w:right w:val="none" w:sz="0" w:space="0" w:color="auto"/>
      </w:divBdr>
    </w:div>
    <w:div w:id="375474279">
      <w:bodyDiv w:val="1"/>
      <w:marLeft w:val="0"/>
      <w:marRight w:val="0"/>
      <w:marTop w:val="0"/>
      <w:marBottom w:val="0"/>
      <w:divBdr>
        <w:top w:val="none" w:sz="0" w:space="0" w:color="auto"/>
        <w:left w:val="none" w:sz="0" w:space="0" w:color="auto"/>
        <w:bottom w:val="none" w:sz="0" w:space="0" w:color="auto"/>
        <w:right w:val="none" w:sz="0" w:space="0" w:color="auto"/>
      </w:divBdr>
    </w:div>
    <w:div w:id="375861401">
      <w:bodyDiv w:val="1"/>
      <w:marLeft w:val="0"/>
      <w:marRight w:val="0"/>
      <w:marTop w:val="0"/>
      <w:marBottom w:val="0"/>
      <w:divBdr>
        <w:top w:val="none" w:sz="0" w:space="0" w:color="auto"/>
        <w:left w:val="none" w:sz="0" w:space="0" w:color="auto"/>
        <w:bottom w:val="none" w:sz="0" w:space="0" w:color="auto"/>
        <w:right w:val="none" w:sz="0" w:space="0" w:color="auto"/>
      </w:divBdr>
    </w:div>
    <w:div w:id="379748081">
      <w:bodyDiv w:val="1"/>
      <w:marLeft w:val="0"/>
      <w:marRight w:val="0"/>
      <w:marTop w:val="0"/>
      <w:marBottom w:val="0"/>
      <w:divBdr>
        <w:top w:val="none" w:sz="0" w:space="0" w:color="auto"/>
        <w:left w:val="none" w:sz="0" w:space="0" w:color="auto"/>
        <w:bottom w:val="none" w:sz="0" w:space="0" w:color="auto"/>
        <w:right w:val="none" w:sz="0" w:space="0" w:color="auto"/>
      </w:divBdr>
    </w:div>
    <w:div w:id="379860385">
      <w:bodyDiv w:val="1"/>
      <w:marLeft w:val="0"/>
      <w:marRight w:val="0"/>
      <w:marTop w:val="0"/>
      <w:marBottom w:val="0"/>
      <w:divBdr>
        <w:top w:val="none" w:sz="0" w:space="0" w:color="auto"/>
        <w:left w:val="none" w:sz="0" w:space="0" w:color="auto"/>
        <w:bottom w:val="none" w:sz="0" w:space="0" w:color="auto"/>
        <w:right w:val="none" w:sz="0" w:space="0" w:color="auto"/>
      </w:divBdr>
    </w:div>
    <w:div w:id="383531562">
      <w:bodyDiv w:val="1"/>
      <w:marLeft w:val="0"/>
      <w:marRight w:val="0"/>
      <w:marTop w:val="0"/>
      <w:marBottom w:val="0"/>
      <w:divBdr>
        <w:top w:val="none" w:sz="0" w:space="0" w:color="auto"/>
        <w:left w:val="none" w:sz="0" w:space="0" w:color="auto"/>
        <w:bottom w:val="none" w:sz="0" w:space="0" w:color="auto"/>
        <w:right w:val="none" w:sz="0" w:space="0" w:color="auto"/>
      </w:divBdr>
    </w:div>
    <w:div w:id="387001045">
      <w:bodyDiv w:val="1"/>
      <w:marLeft w:val="0"/>
      <w:marRight w:val="0"/>
      <w:marTop w:val="0"/>
      <w:marBottom w:val="0"/>
      <w:divBdr>
        <w:top w:val="none" w:sz="0" w:space="0" w:color="auto"/>
        <w:left w:val="none" w:sz="0" w:space="0" w:color="auto"/>
        <w:bottom w:val="none" w:sz="0" w:space="0" w:color="auto"/>
        <w:right w:val="none" w:sz="0" w:space="0" w:color="auto"/>
      </w:divBdr>
    </w:div>
    <w:div w:id="387842564">
      <w:bodyDiv w:val="1"/>
      <w:marLeft w:val="0"/>
      <w:marRight w:val="0"/>
      <w:marTop w:val="0"/>
      <w:marBottom w:val="0"/>
      <w:divBdr>
        <w:top w:val="none" w:sz="0" w:space="0" w:color="auto"/>
        <w:left w:val="none" w:sz="0" w:space="0" w:color="auto"/>
        <w:bottom w:val="none" w:sz="0" w:space="0" w:color="auto"/>
        <w:right w:val="none" w:sz="0" w:space="0" w:color="auto"/>
      </w:divBdr>
    </w:div>
    <w:div w:id="390349699">
      <w:bodyDiv w:val="1"/>
      <w:marLeft w:val="0"/>
      <w:marRight w:val="0"/>
      <w:marTop w:val="0"/>
      <w:marBottom w:val="0"/>
      <w:divBdr>
        <w:top w:val="none" w:sz="0" w:space="0" w:color="auto"/>
        <w:left w:val="none" w:sz="0" w:space="0" w:color="auto"/>
        <w:bottom w:val="none" w:sz="0" w:space="0" w:color="auto"/>
        <w:right w:val="none" w:sz="0" w:space="0" w:color="auto"/>
      </w:divBdr>
    </w:div>
    <w:div w:id="394352816">
      <w:bodyDiv w:val="1"/>
      <w:marLeft w:val="0"/>
      <w:marRight w:val="0"/>
      <w:marTop w:val="0"/>
      <w:marBottom w:val="0"/>
      <w:divBdr>
        <w:top w:val="none" w:sz="0" w:space="0" w:color="auto"/>
        <w:left w:val="none" w:sz="0" w:space="0" w:color="auto"/>
        <w:bottom w:val="none" w:sz="0" w:space="0" w:color="auto"/>
        <w:right w:val="none" w:sz="0" w:space="0" w:color="auto"/>
      </w:divBdr>
    </w:div>
    <w:div w:id="396130899">
      <w:bodyDiv w:val="1"/>
      <w:marLeft w:val="0"/>
      <w:marRight w:val="0"/>
      <w:marTop w:val="0"/>
      <w:marBottom w:val="0"/>
      <w:divBdr>
        <w:top w:val="none" w:sz="0" w:space="0" w:color="auto"/>
        <w:left w:val="none" w:sz="0" w:space="0" w:color="auto"/>
        <w:bottom w:val="none" w:sz="0" w:space="0" w:color="auto"/>
        <w:right w:val="none" w:sz="0" w:space="0" w:color="auto"/>
      </w:divBdr>
    </w:div>
    <w:div w:id="396438060">
      <w:bodyDiv w:val="1"/>
      <w:marLeft w:val="0"/>
      <w:marRight w:val="0"/>
      <w:marTop w:val="0"/>
      <w:marBottom w:val="0"/>
      <w:divBdr>
        <w:top w:val="none" w:sz="0" w:space="0" w:color="auto"/>
        <w:left w:val="none" w:sz="0" w:space="0" w:color="auto"/>
        <w:bottom w:val="none" w:sz="0" w:space="0" w:color="auto"/>
        <w:right w:val="none" w:sz="0" w:space="0" w:color="auto"/>
      </w:divBdr>
    </w:div>
    <w:div w:id="398793791">
      <w:bodyDiv w:val="1"/>
      <w:marLeft w:val="0"/>
      <w:marRight w:val="0"/>
      <w:marTop w:val="0"/>
      <w:marBottom w:val="0"/>
      <w:divBdr>
        <w:top w:val="none" w:sz="0" w:space="0" w:color="auto"/>
        <w:left w:val="none" w:sz="0" w:space="0" w:color="auto"/>
        <w:bottom w:val="none" w:sz="0" w:space="0" w:color="auto"/>
        <w:right w:val="none" w:sz="0" w:space="0" w:color="auto"/>
      </w:divBdr>
    </w:div>
    <w:div w:id="400173522">
      <w:bodyDiv w:val="1"/>
      <w:marLeft w:val="0"/>
      <w:marRight w:val="0"/>
      <w:marTop w:val="0"/>
      <w:marBottom w:val="0"/>
      <w:divBdr>
        <w:top w:val="none" w:sz="0" w:space="0" w:color="auto"/>
        <w:left w:val="none" w:sz="0" w:space="0" w:color="auto"/>
        <w:bottom w:val="none" w:sz="0" w:space="0" w:color="auto"/>
        <w:right w:val="none" w:sz="0" w:space="0" w:color="auto"/>
      </w:divBdr>
    </w:div>
    <w:div w:id="403338842">
      <w:bodyDiv w:val="1"/>
      <w:marLeft w:val="0"/>
      <w:marRight w:val="0"/>
      <w:marTop w:val="0"/>
      <w:marBottom w:val="0"/>
      <w:divBdr>
        <w:top w:val="none" w:sz="0" w:space="0" w:color="auto"/>
        <w:left w:val="none" w:sz="0" w:space="0" w:color="auto"/>
        <w:bottom w:val="none" w:sz="0" w:space="0" w:color="auto"/>
        <w:right w:val="none" w:sz="0" w:space="0" w:color="auto"/>
      </w:divBdr>
    </w:div>
    <w:div w:id="410352911">
      <w:bodyDiv w:val="1"/>
      <w:marLeft w:val="0"/>
      <w:marRight w:val="0"/>
      <w:marTop w:val="0"/>
      <w:marBottom w:val="0"/>
      <w:divBdr>
        <w:top w:val="none" w:sz="0" w:space="0" w:color="auto"/>
        <w:left w:val="none" w:sz="0" w:space="0" w:color="auto"/>
        <w:bottom w:val="none" w:sz="0" w:space="0" w:color="auto"/>
        <w:right w:val="none" w:sz="0" w:space="0" w:color="auto"/>
      </w:divBdr>
    </w:div>
    <w:div w:id="417362501">
      <w:bodyDiv w:val="1"/>
      <w:marLeft w:val="0"/>
      <w:marRight w:val="0"/>
      <w:marTop w:val="0"/>
      <w:marBottom w:val="0"/>
      <w:divBdr>
        <w:top w:val="none" w:sz="0" w:space="0" w:color="auto"/>
        <w:left w:val="none" w:sz="0" w:space="0" w:color="auto"/>
        <w:bottom w:val="none" w:sz="0" w:space="0" w:color="auto"/>
        <w:right w:val="none" w:sz="0" w:space="0" w:color="auto"/>
      </w:divBdr>
    </w:div>
    <w:div w:id="419182331">
      <w:bodyDiv w:val="1"/>
      <w:marLeft w:val="0"/>
      <w:marRight w:val="0"/>
      <w:marTop w:val="0"/>
      <w:marBottom w:val="0"/>
      <w:divBdr>
        <w:top w:val="none" w:sz="0" w:space="0" w:color="auto"/>
        <w:left w:val="none" w:sz="0" w:space="0" w:color="auto"/>
        <w:bottom w:val="none" w:sz="0" w:space="0" w:color="auto"/>
        <w:right w:val="none" w:sz="0" w:space="0" w:color="auto"/>
      </w:divBdr>
    </w:div>
    <w:div w:id="435634855">
      <w:bodyDiv w:val="1"/>
      <w:marLeft w:val="0"/>
      <w:marRight w:val="0"/>
      <w:marTop w:val="0"/>
      <w:marBottom w:val="0"/>
      <w:divBdr>
        <w:top w:val="none" w:sz="0" w:space="0" w:color="auto"/>
        <w:left w:val="none" w:sz="0" w:space="0" w:color="auto"/>
        <w:bottom w:val="none" w:sz="0" w:space="0" w:color="auto"/>
        <w:right w:val="none" w:sz="0" w:space="0" w:color="auto"/>
      </w:divBdr>
    </w:div>
    <w:div w:id="435946163">
      <w:bodyDiv w:val="1"/>
      <w:marLeft w:val="0"/>
      <w:marRight w:val="0"/>
      <w:marTop w:val="0"/>
      <w:marBottom w:val="0"/>
      <w:divBdr>
        <w:top w:val="none" w:sz="0" w:space="0" w:color="auto"/>
        <w:left w:val="none" w:sz="0" w:space="0" w:color="auto"/>
        <w:bottom w:val="none" w:sz="0" w:space="0" w:color="auto"/>
        <w:right w:val="none" w:sz="0" w:space="0" w:color="auto"/>
      </w:divBdr>
    </w:div>
    <w:div w:id="442119412">
      <w:bodyDiv w:val="1"/>
      <w:marLeft w:val="0"/>
      <w:marRight w:val="0"/>
      <w:marTop w:val="0"/>
      <w:marBottom w:val="0"/>
      <w:divBdr>
        <w:top w:val="none" w:sz="0" w:space="0" w:color="auto"/>
        <w:left w:val="none" w:sz="0" w:space="0" w:color="auto"/>
        <w:bottom w:val="none" w:sz="0" w:space="0" w:color="auto"/>
        <w:right w:val="none" w:sz="0" w:space="0" w:color="auto"/>
      </w:divBdr>
    </w:div>
    <w:div w:id="442657051">
      <w:bodyDiv w:val="1"/>
      <w:marLeft w:val="0"/>
      <w:marRight w:val="0"/>
      <w:marTop w:val="0"/>
      <w:marBottom w:val="0"/>
      <w:divBdr>
        <w:top w:val="none" w:sz="0" w:space="0" w:color="auto"/>
        <w:left w:val="none" w:sz="0" w:space="0" w:color="auto"/>
        <w:bottom w:val="none" w:sz="0" w:space="0" w:color="auto"/>
        <w:right w:val="none" w:sz="0" w:space="0" w:color="auto"/>
      </w:divBdr>
    </w:div>
    <w:div w:id="447431673">
      <w:bodyDiv w:val="1"/>
      <w:marLeft w:val="0"/>
      <w:marRight w:val="0"/>
      <w:marTop w:val="0"/>
      <w:marBottom w:val="0"/>
      <w:divBdr>
        <w:top w:val="none" w:sz="0" w:space="0" w:color="auto"/>
        <w:left w:val="none" w:sz="0" w:space="0" w:color="auto"/>
        <w:bottom w:val="none" w:sz="0" w:space="0" w:color="auto"/>
        <w:right w:val="none" w:sz="0" w:space="0" w:color="auto"/>
      </w:divBdr>
    </w:div>
    <w:div w:id="451633665">
      <w:bodyDiv w:val="1"/>
      <w:marLeft w:val="0"/>
      <w:marRight w:val="0"/>
      <w:marTop w:val="0"/>
      <w:marBottom w:val="0"/>
      <w:divBdr>
        <w:top w:val="none" w:sz="0" w:space="0" w:color="auto"/>
        <w:left w:val="none" w:sz="0" w:space="0" w:color="auto"/>
        <w:bottom w:val="none" w:sz="0" w:space="0" w:color="auto"/>
        <w:right w:val="none" w:sz="0" w:space="0" w:color="auto"/>
      </w:divBdr>
    </w:div>
    <w:div w:id="451678976">
      <w:bodyDiv w:val="1"/>
      <w:marLeft w:val="0"/>
      <w:marRight w:val="0"/>
      <w:marTop w:val="0"/>
      <w:marBottom w:val="0"/>
      <w:divBdr>
        <w:top w:val="none" w:sz="0" w:space="0" w:color="auto"/>
        <w:left w:val="none" w:sz="0" w:space="0" w:color="auto"/>
        <w:bottom w:val="none" w:sz="0" w:space="0" w:color="auto"/>
        <w:right w:val="none" w:sz="0" w:space="0" w:color="auto"/>
      </w:divBdr>
    </w:div>
    <w:div w:id="456263101">
      <w:bodyDiv w:val="1"/>
      <w:marLeft w:val="0"/>
      <w:marRight w:val="0"/>
      <w:marTop w:val="0"/>
      <w:marBottom w:val="0"/>
      <w:divBdr>
        <w:top w:val="none" w:sz="0" w:space="0" w:color="auto"/>
        <w:left w:val="none" w:sz="0" w:space="0" w:color="auto"/>
        <w:bottom w:val="none" w:sz="0" w:space="0" w:color="auto"/>
        <w:right w:val="none" w:sz="0" w:space="0" w:color="auto"/>
      </w:divBdr>
    </w:div>
    <w:div w:id="457646497">
      <w:bodyDiv w:val="1"/>
      <w:marLeft w:val="0"/>
      <w:marRight w:val="0"/>
      <w:marTop w:val="0"/>
      <w:marBottom w:val="0"/>
      <w:divBdr>
        <w:top w:val="none" w:sz="0" w:space="0" w:color="auto"/>
        <w:left w:val="none" w:sz="0" w:space="0" w:color="auto"/>
        <w:bottom w:val="none" w:sz="0" w:space="0" w:color="auto"/>
        <w:right w:val="none" w:sz="0" w:space="0" w:color="auto"/>
      </w:divBdr>
    </w:div>
    <w:div w:id="461925384">
      <w:bodyDiv w:val="1"/>
      <w:marLeft w:val="0"/>
      <w:marRight w:val="0"/>
      <w:marTop w:val="0"/>
      <w:marBottom w:val="0"/>
      <w:divBdr>
        <w:top w:val="none" w:sz="0" w:space="0" w:color="auto"/>
        <w:left w:val="none" w:sz="0" w:space="0" w:color="auto"/>
        <w:bottom w:val="none" w:sz="0" w:space="0" w:color="auto"/>
        <w:right w:val="none" w:sz="0" w:space="0" w:color="auto"/>
      </w:divBdr>
    </w:div>
    <w:div w:id="467479024">
      <w:bodyDiv w:val="1"/>
      <w:marLeft w:val="0"/>
      <w:marRight w:val="0"/>
      <w:marTop w:val="0"/>
      <w:marBottom w:val="0"/>
      <w:divBdr>
        <w:top w:val="none" w:sz="0" w:space="0" w:color="auto"/>
        <w:left w:val="none" w:sz="0" w:space="0" w:color="auto"/>
        <w:bottom w:val="none" w:sz="0" w:space="0" w:color="auto"/>
        <w:right w:val="none" w:sz="0" w:space="0" w:color="auto"/>
      </w:divBdr>
    </w:div>
    <w:div w:id="468207128">
      <w:bodyDiv w:val="1"/>
      <w:marLeft w:val="0"/>
      <w:marRight w:val="0"/>
      <w:marTop w:val="0"/>
      <w:marBottom w:val="0"/>
      <w:divBdr>
        <w:top w:val="none" w:sz="0" w:space="0" w:color="auto"/>
        <w:left w:val="none" w:sz="0" w:space="0" w:color="auto"/>
        <w:bottom w:val="none" w:sz="0" w:space="0" w:color="auto"/>
        <w:right w:val="none" w:sz="0" w:space="0" w:color="auto"/>
      </w:divBdr>
    </w:div>
    <w:div w:id="470900209">
      <w:bodyDiv w:val="1"/>
      <w:marLeft w:val="0"/>
      <w:marRight w:val="0"/>
      <w:marTop w:val="0"/>
      <w:marBottom w:val="0"/>
      <w:divBdr>
        <w:top w:val="none" w:sz="0" w:space="0" w:color="auto"/>
        <w:left w:val="none" w:sz="0" w:space="0" w:color="auto"/>
        <w:bottom w:val="none" w:sz="0" w:space="0" w:color="auto"/>
        <w:right w:val="none" w:sz="0" w:space="0" w:color="auto"/>
      </w:divBdr>
    </w:div>
    <w:div w:id="471942904">
      <w:bodyDiv w:val="1"/>
      <w:marLeft w:val="0"/>
      <w:marRight w:val="0"/>
      <w:marTop w:val="0"/>
      <w:marBottom w:val="0"/>
      <w:divBdr>
        <w:top w:val="none" w:sz="0" w:space="0" w:color="auto"/>
        <w:left w:val="none" w:sz="0" w:space="0" w:color="auto"/>
        <w:bottom w:val="none" w:sz="0" w:space="0" w:color="auto"/>
        <w:right w:val="none" w:sz="0" w:space="0" w:color="auto"/>
      </w:divBdr>
    </w:div>
    <w:div w:id="472717890">
      <w:bodyDiv w:val="1"/>
      <w:marLeft w:val="0"/>
      <w:marRight w:val="0"/>
      <w:marTop w:val="0"/>
      <w:marBottom w:val="0"/>
      <w:divBdr>
        <w:top w:val="none" w:sz="0" w:space="0" w:color="auto"/>
        <w:left w:val="none" w:sz="0" w:space="0" w:color="auto"/>
        <w:bottom w:val="none" w:sz="0" w:space="0" w:color="auto"/>
        <w:right w:val="none" w:sz="0" w:space="0" w:color="auto"/>
      </w:divBdr>
    </w:div>
    <w:div w:id="481048371">
      <w:bodyDiv w:val="1"/>
      <w:marLeft w:val="0"/>
      <w:marRight w:val="0"/>
      <w:marTop w:val="0"/>
      <w:marBottom w:val="0"/>
      <w:divBdr>
        <w:top w:val="none" w:sz="0" w:space="0" w:color="auto"/>
        <w:left w:val="none" w:sz="0" w:space="0" w:color="auto"/>
        <w:bottom w:val="none" w:sz="0" w:space="0" w:color="auto"/>
        <w:right w:val="none" w:sz="0" w:space="0" w:color="auto"/>
      </w:divBdr>
    </w:div>
    <w:div w:id="481235847">
      <w:bodyDiv w:val="1"/>
      <w:marLeft w:val="0"/>
      <w:marRight w:val="0"/>
      <w:marTop w:val="0"/>
      <w:marBottom w:val="0"/>
      <w:divBdr>
        <w:top w:val="none" w:sz="0" w:space="0" w:color="auto"/>
        <w:left w:val="none" w:sz="0" w:space="0" w:color="auto"/>
        <w:bottom w:val="none" w:sz="0" w:space="0" w:color="auto"/>
        <w:right w:val="none" w:sz="0" w:space="0" w:color="auto"/>
      </w:divBdr>
    </w:div>
    <w:div w:id="481312326">
      <w:bodyDiv w:val="1"/>
      <w:marLeft w:val="0"/>
      <w:marRight w:val="0"/>
      <w:marTop w:val="0"/>
      <w:marBottom w:val="0"/>
      <w:divBdr>
        <w:top w:val="none" w:sz="0" w:space="0" w:color="auto"/>
        <w:left w:val="none" w:sz="0" w:space="0" w:color="auto"/>
        <w:bottom w:val="none" w:sz="0" w:space="0" w:color="auto"/>
        <w:right w:val="none" w:sz="0" w:space="0" w:color="auto"/>
      </w:divBdr>
    </w:div>
    <w:div w:id="490215207">
      <w:bodyDiv w:val="1"/>
      <w:marLeft w:val="0"/>
      <w:marRight w:val="0"/>
      <w:marTop w:val="0"/>
      <w:marBottom w:val="0"/>
      <w:divBdr>
        <w:top w:val="none" w:sz="0" w:space="0" w:color="auto"/>
        <w:left w:val="none" w:sz="0" w:space="0" w:color="auto"/>
        <w:bottom w:val="none" w:sz="0" w:space="0" w:color="auto"/>
        <w:right w:val="none" w:sz="0" w:space="0" w:color="auto"/>
      </w:divBdr>
    </w:div>
    <w:div w:id="492456702">
      <w:bodyDiv w:val="1"/>
      <w:marLeft w:val="0"/>
      <w:marRight w:val="0"/>
      <w:marTop w:val="0"/>
      <w:marBottom w:val="0"/>
      <w:divBdr>
        <w:top w:val="none" w:sz="0" w:space="0" w:color="auto"/>
        <w:left w:val="none" w:sz="0" w:space="0" w:color="auto"/>
        <w:bottom w:val="none" w:sz="0" w:space="0" w:color="auto"/>
        <w:right w:val="none" w:sz="0" w:space="0" w:color="auto"/>
      </w:divBdr>
    </w:div>
    <w:div w:id="493642424">
      <w:bodyDiv w:val="1"/>
      <w:marLeft w:val="0"/>
      <w:marRight w:val="0"/>
      <w:marTop w:val="0"/>
      <w:marBottom w:val="0"/>
      <w:divBdr>
        <w:top w:val="none" w:sz="0" w:space="0" w:color="auto"/>
        <w:left w:val="none" w:sz="0" w:space="0" w:color="auto"/>
        <w:bottom w:val="none" w:sz="0" w:space="0" w:color="auto"/>
        <w:right w:val="none" w:sz="0" w:space="0" w:color="auto"/>
      </w:divBdr>
    </w:div>
    <w:div w:id="496459210">
      <w:bodyDiv w:val="1"/>
      <w:marLeft w:val="0"/>
      <w:marRight w:val="0"/>
      <w:marTop w:val="0"/>
      <w:marBottom w:val="0"/>
      <w:divBdr>
        <w:top w:val="none" w:sz="0" w:space="0" w:color="auto"/>
        <w:left w:val="none" w:sz="0" w:space="0" w:color="auto"/>
        <w:bottom w:val="none" w:sz="0" w:space="0" w:color="auto"/>
        <w:right w:val="none" w:sz="0" w:space="0" w:color="auto"/>
      </w:divBdr>
    </w:div>
    <w:div w:id="496724293">
      <w:bodyDiv w:val="1"/>
      <w:marLeft w:val="0"/>
      <w:marRight w:val="0"/>
      <w:marTop w:val="0"/>
      <w:marBottom w:val="0"/>
      <w:divBdr>
        <w:top w:val="none" w:sz="0" w:space="0" w:color="auto"/>
        <w:left w:val="none" w:sz="0" w:space="0" w:color="auto"/>
        <w:bottom w:val="none" w:sz="0" w:space="0" w:color="auto"/>
        <w:right w:val="none" w:sz="0" w:space="0" w:color="auto"/>
      </w:divBdr>
    </w:div>
    <w:div w:id="499853461">
      <w:bodyDiv w:val="1"/>
      <w:marLeft w:val="0"/>
      <w:marRight w:val="0"/>
      <w:marTop w:val="0"/>
      <w:marBottom w:val="0"/>
      <w:divBdr>
        <w:top w:val="none" w:sz="0" w:space="0" w:color="auto"/>
        <w:left w:val="none" w:sz="0" w:space="0" w:color="auto"/>
        <w:bottom w:val="none" w:sz="0" w:space="0" w:color="auto"/>
        <w:right w:val="none" w:sz="0" w:space="0" w:color="auto"/>
      </w:divBdr>
    </w:div>
    <w:div w:id="508715001">
      <w:bodyDiv w:val="1"/>
      <w:marLeft w:val="0"/>
      <w:marRight w:val="0"/>
      <w:marTop w:val="0"/>
      <w:marBottom w:val="0"/>
      <w:divBdr>
        <w:top w:val="none" w:sz="0" w:space="0" w:color="auto"/>
        <w:left w:val="none" w:sz="0" w:space="0" w:color="auto"/>
        <w:bottom w:val="none" w:sz="0" w:space="0" w:color="auto"/>
        <w:right w:val="none" w:sz="0" w:space="0" w:color="auto"/>
      </w:divBdr>
    </w:div>
    <w:div w:id="513805807">
      <w:bodyDiv w:val="1"/>
      <w:marLeft w:val="0"/>
      <w:marRight w:val="0"/>
      <w:marTop w:val="0"/>
      <w:marBottom w:val="0"/>
      <w:divBdr>
        <w:top w:val="none" w:sz="0" w:space="0" w:color="auto"/>
        <w:left w:val="none" w:sz="0" w:space="0" w:color="auto"/>
        <w:bottom w:val="none" w:sz="0" w:space="0" w:color="auto"/>
        <w:right w:val="none" w:sz="0" w:space="0" w:color="auto"/>
      </w:divBdr>
    </w:div>
    <w:div w:id="518158931">
      <w:bodyDiv w:val="1"/>
      <w:marLeft w:val="0"/>
      <w:marRight w:val="0"/>
      <w:marTop w:val="0"/>
      <w:marBottom w:val="0"/>
      <w:divBdr>
        <w:top w:val="none" w:sz="0" w:space="0" w:color="auto"/>
        <w:left w:val="none" w:sz="0" w:space="0" w:color="auto"/>
        <w:bottom w:val="none" w:sz="0" w:space="0" w:color="auto"/>
        <w:right w:val="none" w:sz="0" w:space="0" w:color="auto"/>
      </w:divBdr>
    </w:div>
    <w:div w:id="519127715">
      <w:bodyDiv w:val="1"/>
      <w:marLeft w:val="0"/>
      <w:marRight w:val="0"/>
      <w:marTop w:val="0"/>
      <w:marBottom w:val="0"/>
      <w:divBdr>
        <w:top w:val="none" w:sz="0" w:space="0" w:color="auto"/>
        <w:left w:val="none" w:sz="0" w:space="0" w:color="auto"/>
        <w:bottom w:val="none" w:sz="0" w:space="0" w:color="auto"/>
        <w:right w:val="none" w:sz="0" w:space="0" w:color="auto"/>
      </w:divBdr>
    </w:div>
    <w:div w:id="522326033">
      <w:bodyDiv w:val="1"/>
      <w:marLeft w:val="0"/>
      <w:marRight w:val="0"/>
      <w:marTop w:val="0"/>
      <w:marBottom w:val="0"/>
      <w:divBdr>
        <w:top w:val="none" w:sz="0" w:space="0" w:color="auto"/>
        <w:left w:val="none" w:sz="0" w:space="0" w:color="auto"/>
        <w:bottom w:val="none" w:sz="0" w:space="0" w:color="auto"/>
        <w:right w:val="none" w:sz="0" w:space="0" w:color="auto"/>
      </w:divBdr>
    </w:div>
    <w:div w:id="523448061">
      <w:bodyDiv w:val="1"/>
      <w:marLeft w:val="0"/>
      <w:marRight w:val="0"/>
      <w:marTop w:val="0"/>
      <w:marBottom w:val="0"/>
      <w:divBdr>
        <w:top w:val="none" w:sz="0" w:space="0" w:color="auto"/>
        <w:left w:val="none" w:sz="0" w:space="0" w:color="auto"/>
        <w:bottom w:val="none" w:sz="0" w:space="0" w:color="auto"/>
        <w:right w:val="none" w:sz="0" w:space="0" w:color="auto"/>
      </w:divBdr>
    </w:div>
    <w:div w:id="536162779">
      <w:bodyDiv w:val="1"/>
      <w:marLeft w:val="0"/>
      <w:marRight w:val="0"/>
      <w:marTop w:val="0"/>
      <w:marBottom w:val="0"/>
      <w:divBdr>
        <w:top w:val="none" w:sz="0" w:space="0" w:color="auto"/>
        <w:left w:val="none" w:sz="0" w:space="0" w:color="auto"/>
        <w:bottom w:val="none" w:sz="0" w:space="0" w:color="auto"/>
        <w:right w:val="none" w:sz="0" w:space="0" w:color="auto"/>
      </w:divBdr>
    </w:div>
    <w:div w:id="542985128">
      <w:bodyDiv w:val="1"/>
      <w:marLeft w:val="0"/>
      <w:marRight w:val="0"/>
      <w:marTop w:val="0"/>
      <w:marBottom w:val="0"/>
      <w:divBdr>
        <w:top w:val="none" w:sz="0" w:space="0" w:color="auto"/>
        <w:left w:val="none" w:sz="0" w:space="0" w:color="auto"/>
        <w:bottom w:val="none" w:sz="0" w:space="0" w:color="auto"/>
        <w:right w:val="none" w:sz="0" w:space="0" w:color="auto"/>
      </w:divBdr>
    </w:div>
    <w:div w:id="543177157">
      <w:bodyDiv w:val="1"/>
      <w:marLeft w:val="0"/>
      <w:marRight w:val="0"/>
      <w:marTop w:val="0"/>
      <w:marBottom w:val="0"/>
      <w:divBdr>
        <w:top w:val="none" w:sz="0" w:space="0" w:color="auto"/>
        <w:left w:val="none" w:sz="0" w:space="0" w:color="auto"/>
        <w:bottom w:val="none" w:sz="0" w:space="0" w:color="auto"/>
        <w:right w:val="none" w:sz="0" w:space="0" w:color="auto"/>
      </w:divBdr>
    </w:div>
    <w:div w:id="545797270">
      <w:bodyDiv w:val="1"/>
      <w:marLeft w:val="0"/>
      <w:marRight w:val="0"/>
      <w:marTop w:val="0"/>
      <w:marBottom w:val="0"/>
      <w:divBdr>
        <w:top w:val="none" w:sz="0" w:space="0" w:color="auto"/>
        <w:left w:val="none" w:sz="0" w:space="0" w:color="auto"/>
        <w:bottom w:val="none" w:sz="0" w:space="0" w:color="auto"/>
        <w:right w:val="none" w:sz="0" w:space="0" w:color="auto"/>
      </w:divBdr>
    </w:div>
    <w:div w:id="548301417">
      <w:bodyDiv w:val="1"/>
      <w:marLeft w:val="0"/>
      <w:marRight w:val="0"/>
      <w:marTop w:val="0"/>
      <w:marBottom w:val="0"/>
      <w:divBdr>
        <w:top w:val="none" w:sz="0" w:space="0" w:color="auto"/>
        <w:left w:val="none" w:sz="0" w:space="0" w:color="auto"/>
        <w:bottom w:val="none" w:sz="0" w:space="0" w:color="auto"/>
        <w:right w:val="none" w:sz="0" w:space="0" w:color="auto"/>
      </w:divBdr>
    </w:div>
    <w:div w:id="550000012">
      <w:bodyDiv w:val="1"/>
      <w:marLeft w:val="0"/>
      <w:marRight w:val="0"/>
      <w:marTop w:val="0"/>
      <w:marBottom w:val="0"/>
      <w:divBdr>
        <w:top w:val="none" w:sz="0" w:space="0" w:color="auto"/>
        <w:left w:val="none" w:sz="0" w:space="0" w:color="auto"/>
        <w:bottom w:val="none" w:sz="0" w:space="0" w:color="auto"/>
        <w:right w:val="none" w:sz="0" w:space="0" w:color="auto"/>
      </w:divBdr>
    </w:div>
    <w:div w:id="551119403">
      <w:bodyDiv w:val="1"/>
      <w:marLeft w:val="0"/>
      <w:marRight w:val="0"/>
      <w:marTop w:val="0"/>
      <w:marBottom w:val="0"/>
      <w:divBdr>
        <w:top w:val="none" w:sz="0" w:space="0" w:color="auto"/>
        <w:left w:val="none" w:sz="0" w:space="0" w:color="auto"/>
        <w:bottom w:val="none" w:sz="0" w:space="0" w:color="auto"/>
        <w:right w:val="none" w:sz="0" w:space="0" w:color="auto"/>
      </w:divBdr>
    </w:div>
    <w:div w:id="551236134">
      <w:bodyDiv w:val="1"/>
      <w:marLeft w:val="0"/>
      <w:marRight w:val="0"/>
      <w:marTop w:val="0"/>
      <w:marBottom w:val="0"/>
      <w:divBdr>
        <w:top w:val="none" w:sz="0" w:space="0" w:color="auto"/>
        <w:left w:val="none" w:sz="0" w:space="0" w:color="auto"/>
        <w:bottom w:val="none" w:sz="0" w:space="0" w:color="auto"/>
        <w:right w:val="none" w:sz="0" w:space="0" w:color="auto"/>
      </w:divBdr>
    </w:div>
    <w:div w:id="551498488">
      <w:bodyDiv w:val="1"/>
      <w:marLeft w:val="0"/>
      <w:marRight w:val="0"/>
      <w:marTop w:val="0"/>
      <w:marBottom w:val="0"/>
      <w:divBdr>
        <w:top w:val="none" w:sz="0" w:space="0" w:color="auto"/>
        <w:left w:val="none" w:sz="0" w:space="0" w:color="auto"/>
        <w:bottom w:val="none" w:sz="0" w:space="0" w:color="auto"/>
        <w:right w:val="none" w:sz="0" w:space="0" w:color="auto"/>
      </w:divBdr>
    </w:div>
    <w:div w:id="561018244">
      <w:bodyDiv w:val="1"/>
      <w:marLeft w:val="0"/>
      <w:marRight w:val="0"/>
      <w:marTop w:val="0"/>
      <w:marBottom w:val="0"/>
      <w:divBdr>
        <w:top w:val="none" w:sz="0" w:space="0" w:color="auto"/>
        <w:left w:val="none" w:sz="0" w:space="0" w:color="auto"/>
        <w:bottom w:val="none" w:sz="0" w:space="0" w:color="auto"/>
        <w:right w:val="none" w:sz="0" w:space="0" w:color="auto"/>
      </w:divBdr>
    </w:div>
    <w:div w:id="561066860">
      <w:bodyDiv w:val="1"/>
      <w:marLeft w:val="0"/>
      <w:marRight w:val="0"/>
      <w:marTop w:val="0"/>
      <w:marBottom w:val="0"/>
      <w:divBdr>
        <w:top w:val="none" w:sz="0" w:space="0" w:color="auto"/>
        <w:left w:val="none" w:sz="0" w:space="0" w:color="auto"/>
        <w:bottom w:val="none" w:sz="0" w:space="0" w:color="auto"/>
        <w:right w:val="none" w:sz="0" w:space="0" w:color="auto"/>
      </w:divBdr>
    </w:div>
    <w:div w:id="561217449">
      <w:bodyDiv w:val="1"/>
      <w:marLeft w:val="0"/>
      <w:marRight w:val="0"/>
      <w:marTop w:val="0"/>
      <w:marBottom w:val="0"/>
      <w:divBdr>
        <w:top w:val="none" w:sz="0" w:space="0" w:color="auto"/>
        <w:left w:val="none" w:sz="0" w:space="0" w:color="auto"/>
        <w:bottom w:val="none" w:sz="0" w:space="0" w:color="auto"/>
        <w:right w:val="none" w:sz="0" w:space="0" w:color="auto"/>
      </w:divBdr>
    </w:div>
    <w:div w:id="561983887">
      <w:bodyDiv w:val="1"/>
      <w:marLeft w:val="0"/>
      <w:marRight w:val="0"/>
      <w:marTop w:val="0"/>
      <w:marBottom w:val="0"/>
      <w:divBdr>
        <w:top w:val="none" w:sz="0" w:space="0" w:color="auto"/>
        <w:left w:val="none" w:sz="0" w:space="0" w:color="auto"/>
        <w:bottom w:val="none" w:sz="0" w:space="0" w:color="auto"/>
        <w:right w:val="none" w:sz="0" w:space="0" w:color="auto"/>
      </w:divBdr>
    </w:div>
    <w:div w:id="567420042">
      <w:bodyDiv w:val="1"/>
      <w:marLeft w:val="0"/>
      <w:marRight w:val="0"/>
      <w:marTop w:val="0"/>
      <w:marBottom w:val="0"/>
      <w:divBdr>
        <w:top w:val="none" w:sz="0" w:space="0" w:color="auto"/>
        <w:left w:val="none" w:sz="0" w:space="0" w:color="auto"/>
        <w:bottom w:val="none" w:sz="0" w:space="0" w:color="auto"/>
        <w:right w:val="none" w:sz="0" w:space="0" w:color="auto"/>
      </w:divBdr>
    </w:div>
    <w:div w:id="567963696">
      <w:bodyDiv w:val="1"/>
      <w:marLeft w:val="0"/>
      <w:marRight w:val="0"/>
      <w:marTop w:val="0"/>
      <w:marBottom w:val="0"/>
      <w:divBdr>
        <w:top w:val="none" w:sz="0" w:space="0" w:color="auto"/>
        <w:left w:val="none" w:sz="0" w:space="0" w:color="auto"/>
        <w:bottom w:val="none" w:sz="0" w:space="0" w:color="auto"/>
        <w:right w:val="none" w:sz="0" w:space="0" w:color="auto"/>
      </w:divBdr>
    </w:div>
    <w:div w:id="568345459">
      <w:bodyDiv w:val="1"/>
      <w:marLeft w:val="0"/>
      <w:marRight w:val="0"/>
      <w:marTop w:val="0"/>
      <w:marBottom w:val="0"/>
      <w:divBdr>
        <w:top w:val="none" w:sz="0" w:space="0" w:color="auto"/>
        <w:left w:val="none" w:sz="0" w:space="0" w:color="auto"/>
        <w:bottom w:val="none" w:sz="0" w:space="0" w:color="auto"/>
        <w:right w:val="none" w:sz="0" w:space="0" w:color="auto"/>
      </w:divBdr>
    </w:div>
    <w:div w:id="569190767">
      <w:bodyDiv w:val="1"/>
      <w:marLeft w:val="0"/>
      <w:marRight w:val="0"/>
      <w:marTop w:val="0"/>
      <w:marBottom w:val="0"/>
      <w:divBdr>
        <w:top w:val="none" w:sz="0" w:space="0" w:color="auto"/>
        <w:left w:val="none" w:sz="0" w:space="0" w:color="auto"/>
        <w:bottom w:val="none" w:sz="0" w:space="0" w:color="auto"/>
        <w:right w:val="none" w:sz="0" w:space="0" w:color="auto"/>
      </w:divBdr>
    </w:div>
    <w:div w:id="569465229">
      <w:bodyDiv w:val="1"/>
      <w:marLeft w:val="0"/>
      <w:marRight w:val="0"/>
      <w:marTop w:val="0"/>
      <w:marBottom w:val="0"/>
      <w:divBdr>
        <w:top w:val="none" w:sz="0" w:space="0" w:color="auto"/>
        <w:left w:val="none" w:sz="0" w:space="0" w:color="auto"/>
        <w:bottom w:val="none" w:sz="0" w:space="0" w:color="auto"/>
        <w:right w:val="none" w:sz="0" w:space="0" w:color="auto"/>
      </w:divBdr>
    </w:div>
    <w:div w:id="570239599">
      <w:bodyDiv w:val="1"/>
      <w:marLeft w:val="0"/>
      <w:marRight w:val="0"/>
      <w:marTop w:val="0"/>
      <w:marBottom w:val="0"/>
      <w:divBdr>
        <w:top w:val="none" w:sz="0" w:space="0" w:color="auto"/>
        <w:left w:val="none" w:sz="0" w:space="0" w:color="auto"/>
        <w:bottom w:val="none" w:sz="0" w:space="0" w:color="auto"/>
        <w:right w:val="none" w:sz="0" w:space="0" w:color="auto"/>
      </w:divBdr>
    </w:div>
    <w:div w:id="571549639">
      <w:bodyDiv w:val="1"/>
      <w:marLeft w:val="0"/>
      <w:marRight w:val="0"/>
      <w:marTop w:val="0"/>
      <w:marBottom w:val="0"/>
      <w:divBdr>
        <w:top w:val="none" w:sz="0" w:space="0" w:color="auto"/>
        <w:left w:val="none" w:sz="0" w:space="0" w:color="auto"/>
        <w:bottom w:val="none" w:sz="0" w:space="0" w:color="auto"/>
        <w:right w:val="none" w:sz="0" w:space="0" w:color="auto"/>
      </w:divBdr>
    </w:div>
    <w:div w:id="573587094">
      <w:bodyDiv w:val="1"/>
      <w:marLeft w:val="0"/>
      <w:marRight w:val="0"/>
      <w:marTop w:val="0"/>
      <w:marBottom w:val="0"/>
      <w:divBdr>
        <w:top w:val="none" w:sz="0" w:space="0" w:color="auto"/>
        <w:left w:val="none" w:sz="0" w:space="0" w:color="auto"/>
        <w:bottom w:val="none" w:sz="0" w:space="0" w:color="auto"/>
        <w:right w:val="none" w:sz="0" w:space="0" w:color="auto"/>
      </w:divBdr>
    </w:div>
    <w:div w:id="574441405">
      <w:bodyDiv w:val="1"/>
      <w:marLeft w:val="0"/>
      <w:marRight w:val="0"/>
      <w:marTop w:val="0"/>
      <w:marBottom w:val="0"/>
      <w:divBdr>
        <w:top w:val="none" w:sz="0" w:space="0" w:color="auto"/>
        <w:left w:val="none" w:sz="0" w:space="0" w:color="auto"/>
        <w:bottom w:val="none" w:sz="0" w:space="0" w:color="auto"/>
        <w:right w:val="none" w:sz="0" w:space="0" w:color="auto"/>
      </w:divBdr>
    </w:div>
    <w:div w:id="594480950">
      <w:bodyDiv w:val="1"/>
      <w:marLeft w:val="0"/>
      <w:marRight w:val="0"/>
      <w:marTop w:val="0"/>
      <w:marBottom w:val="0"/>
      <w:divBdr>
        <w:top w:val="none" w:sz="0" w:space="0" w:color="auto"/>
        <w:left w:val="none" w:sz="0" w:space="0" w:color="auto"/>
        <w:bottom w:val="none" w:sz="0" w:space="0" w:color="auto"/>
        <w:right w:val="none" w:sz="0" w:space="0" w:color="auto"/>
      </w:divBdr>
    </w:div>
    <w:div w:id="603925523">
      <w:bodyDiv w:val="1"/>
      <w:marLeft w:val="0"/>
      <w:marRight w:val="0"/>
      <w:marTop w:val="0"/>
      <w:marBottom w:val="0"/>
      <w:divBdr>
        <w:top w:val="none" w:sz="0" w:space="0" w:color="auto"/>
        <w:left w:val="none" w:sz="0" w:space="0" w:color="auto"/>
        <w:bottom w:val="none" w:sz="0" w:space="0" w:color="auto"/>
        <w:right w:val="none" w:sz="0" w:space="0" w:color="auto"/>
      </w:divBdr>
    </w:div>
    <w:div w:id="604726111">
      <w:bodyDiv w:val="1"/>
      <w:marLeft w:val="0"/>
      <w:marRight w:val="0"/>
      <w:marTop w:val="0"/>
      <w:marBottom w:val="0"/>
      <w:divBdr>
        <w:top w:val="none" w:sz="0" w:space="0" w:color="auto"/>
        <w:left w:val="none" w:sz="0" w:space="0" w:color="auto"/>
        <w:bottom w:val="none" w:sz="0" w:space="0" w:color="auto"/>
        <w:right w:val="none" w:sz="0" w:space="0" w:color="auto"/>
      </w:divBdr>
    </w:div>
    <w:div w:id="606428464">
      <w:bodyDiv w:val="1"/>
      <w:marLeft w:val="0"/>
      <w:marRight w:val="0"/>
      <w:marTop w:val="0"/>
      <w:marBottom w:val="0"/>
      <w:divBdr>
        <w:top w:val="none" w:sz="0" w:space="0" w:color="auto"/>
        <w:left w:val="none" w:sz="0" w:space="0" w:color="auto"/>
        <w:bottom w:val="none" w:sz="0" w:space="0" w:color="auto"/>
        <w:right w:val="none" w:sz="0" w:space="0" w:color="auto"/>
      </w:divBdr>
    </w:div>
    <w:div w:id="616643074">
      <w:bodyDiv w:val="1"/>
      <w:marLeft w:val="0"/>
      <w:marRight w:val="0"/>
      <w:marTop w:val="0"/>
      <w:marBottom w:val="0"/>
      <w:divBdr>
        <w:top w:val="none" w:sz="0" w:space="0" w:color="auto"/>
        <w:left w:val="none" w:sz="0" w:space="0" w:color="auto"/>
        <w:bottom w:val="none" w:sz="0" w:space="0" w:color="auto"/>
        <w:right w:val="none" w:sz="0" w:space="0" w:color="auto"/>
      </w:divBdr>
    </w:div>
    <w:div w:id="621808886">
      <w:bodyDiv w:val="1"/>
      <w:marLeft w:val="0"/>
      <w:marRight w:val="0"/>
      <w:marTop w:val="0"/>
      <w:marBottom w:val="0"/>
      <w:divBdr>
        <w:top w:val="none" w:sz="0" w:space="0" w:color="auto"/>
        <w:left w:val="none" w:sz="0" w:space="0" w:color="auto"/>
        <w:bottom w:val="none" w:sz="0" w:space="0" w:color="auto"/>
        <w:right w:val="none" w:sz="0" w:space="0" w:color="auto"/>
      </w:divBdr>
    </w:div>
    <w:div w:id="624191925">
      <w:bodyDiv w:val="1"/>
      <w:marLeft w:val="0"/>
      <w:marRight w:val="0"/>
      <w:marTop w:val="0"/>
      <w:marBottom w:val="0"/>
      <w:divBdr>
        <w:top w:val="none" w:sz="0" w:space="0" w:color="auto"/>
        <w:left w:val="none" w:sz="0" w:space="0" w:color="auto"/>
        <w:bottom w:val="none" w:sz="0" w:space="0" w:color="auto"/>
        <w:right w:val="none" w:sz="0" w:space="0" w:color="auto"/>
      </w:divBdr>
    </w:div>
    <w:div w:id="627979357">
      <w:bodyDiv w:val="1"/>
      <w:marLeft w:val="0"/>
      <w:marRight w:val="0"/>
      <w:marTop w:val="0"/>
      <w:marBottom w:val="0"/>
      <w:divBdr>
        <w:top w:val="none" w:sz="0" w:space="0" w:color="auto"/>
        <w:left w:val="none" w:sz="0" w:space="0" w:color="auto"/>
        <w:bottom w:val="none" w:sz="0" w:space="0" w:color="auto"/>
        <w:right w:val="none" w:sz="0" w:space="0" w:color="auto"/>
      </w:divBdr>
    </w:div>
    <w:div w:id="629171106">
      <w:bodyDiv w:val="1"/>
      <w:marLeft w:val="0"/>
      <w:marRight w:val="0"/>
      <w:marTop w:val="0"/>
      <w:marBottom w:val="0"/>
      <w:divBdr>
        <w:top w:val="none" w:sz="0" w:space="0" w:color="auto"/>
        <w:left w:val="none" w:sz="0" w:space="0" w:color="auto"/>
        <w:bottom w:val="none" w:sz="0" w:space="0" w:color="auto"/>
        <w:right w:val="none" w:sz="0" w:space="0" w:color="auto"/>
      </w:divBdr>
    </w:div>
    <w:div w:id="630552132">
      <w:bodyDiv w:val="1"/>
      <w:marLeft w:val="0"/>
      <w:marRight w:val="0"/>
      <w:marTop w:val="0"/>
      <w:marBottom w:val="0"/>
      <w:divBdr>
        <w:top w:val="none" w:sz="0" w:space="0" w:color="auto"/>
        <w:left w:val="none" w:sz="0" w:space="0" w:color="auto"/>
        <w:bottom w:val="none" w:sz="0" w:space="0" w:color="auto"/>
        <w:right w:val="none" w:sz="0" w:space="0" w:color="auto"/>
      </w:divBdr>
    </w:div>
    <w:div w:id="636569881">
      <w:bodyDiv w:val="1"/>
      <w:marLeft w:val="0"/>
      <w:marRight w:val="0"/>
      <w:marTop w:val="0"/>
      <w:marBottom w:val="0"/>
      <w:divBdr>
        <w:top w:val="none" w:sz="0" w:space="0" w:color="auto"/>
        <w:left w:val="none" w:sz="0" w:space="0" w:color="auto"/>
        <w:bottom w:val="none" w:sz="0" w:space="0" w:color="auto"/>
        <w:right w:val="none" w:sz="0" w:space="0" w:color="auto"/>
      </w:divBdr>
    </w:div>
    <w:div w:id="639961987">
      <w:bodyDiv w:val="1"/>
      <w:marLeft w:val="0"/>
      <w:marRight w:val="0"/>
      <w:marTop w:val="0"/>
      <w:marBottom w:val="0"/>
      <w:divBdr>
        <w:top w:val="none" w:sz="0" w:space="0" w:color="auto"/>
        <w:left w:val="none" w:sz="0" w:space="0" w:color="auto"/>
        <w:bottom w:val="none" w:sz="0" w:space="0" w:color="auto"/>
        <w:right w:val="none" w:sz="0" w:space="0" w:color="auto"/>
      </w:divBdr>
    </w:div>
    <w:div w:id="642581670">
      <w:bodyDiv w:val="1"/>
      <w:marLeft w:val="0"/>
      <w:marRight w:val="0"/>
      <w:marTop w:val="0"/>
      <w:marBottom w:val="0"/>
      <w:divBdr>
        <w:top w:val="none" w:sz="0" w:space="0" w:color="auto"/>
        <w:left w:val="none" w:sz="0" w:space="0" w:color="auto"/>
        <w:bottom w:val="none" w:sz="0" w:space="0" w:color="auto"/>
        <w:right w:val="none" w:sz="0" w:space="0" w:color="auto"/>
      </w:divBdr>
    </w:div>
    <w:div w:id="645934621">
      <w:bodyDiv w:val="1"/>
      <w:marLeft w:val="0"/>
      <w:marRight w:val="0"/>
      <w:marTop w:val="0"/>
      <w:marBottom w:val="0"/>
      <w:divBdr>
        <w:top w:val="none" w:sz="0" w:space="0" w:color="auto"/>
        <w:left w:val="none" w:sz="0" w:space="0" w:color="auto"/>
        <w:bottom w:val="none" w:sz="0" w:space="0" w:color="auto"/>
        <w:right w:val="none" w:sz="0" w:space="0" w:color="auto"/>
      </w:divBdr>
    </w:div>
    <w:div w:id="647633080">
      <w:bodyDiv w:val="1"/>
      <w:marLeft w:val="0"/>
      <w:marRight w:val="0"/>
      <w:marTop w:val="0"/>
      <w:marBottom w:val="0"/>
      <w:divBdr>
        <w:top w:val="none" w:sz="0" w:space="0" w:color="auto"/>
        <w:left w:val="none" w:sz="0" w:space="0" w:color="auto"/>
        <w:bottom w:val="none" w:sz="0" w:space="0" w:color="auto"/>
        <w:right w:val="none" w:sz="0" w:space="0" w:color="auto"/>
      </w:divBdr>
    </w:div>
    <w:div w:id="649478482">
      <w:bodyDiv w:val="1"/>
      <w:marLeft w:val="0"/>
      <w:marRight w:val="0"/>
      <w:marTop w:val="0"/>
      <w:marBottom w:val="0"/>
      <w:divBdr>
        <w:top w:val="none" w:sz="0" w:space="0" w:color="auto"/>
        <w:left w:val="none" w:sz="0" w:space="0" w:color="auto"/>
        <w:bottom w:val="none" w:sz="0" w:space="0" w:color="auto"/>
        <w:right w:val="none" w:sz="0" w:space="0" w:color="auto"/>
      </w:divBdr>
    </w:div>
    <w:div w:id="649939457">
      <w:bodyDiv w:val="1"/>
      <w:marLeft w:val="0"/>
      <w:marRight w:val="0"/>
      <w:marTop w:val="0"/>
      <w:marBottom w:val="0"/>
      <w:divBdr>
        <w:top w:val="none" w:sz="0" w:space="0" w:color="auto"/>
        <w:left w:val="none" w:sz="0" w:space="0" w:color="auto"/>
        <w:bottom w:val="none" w:sz="0" w:space="0" w:color="auto"/>
        <w:right w:val="none" w:sz="0" w:space="0" w:color="auto"/>
      </w:divBdr>
    </w:div>
    <w:div w:id="650788643">
      <w:bodyDiv w:val="1"/>
      <w:marLeft w:val="0"/>
      <w:marRight w:val="0"/>
      <w:marTop w:val="0"/>
      <w:marBottom w:val="0"/>
      <w:divBdr>
        <w:top w:val="none" w:sz="0" w:space="0" w:color="auto"/>
        <w:left w:val="none" w:sz="0" w:space="0" w:color="auto"/>
        <w:bottom w:val="none" w:sz="0" w:space="0" w:color="auto"/>
        <w:right w:val="none" w:sz="0" w:space="0" w:color="auto"/>
      </w:divBdr>
    </w:div>
    <w:div w:id="653877784">
      <w:bodyDiv w:val="1"/>
      <w:marLeft w:val="0"/>
      <w:marRight w:val="0"/>
      <w:marTop w:val="0"/>
      <w:marBottom w:val="0"/>
      <w:divBdr>
        <w:top w:val="none" w:sz="0" w:space="0" w:color="auto"/>
        <w:left w:val="none" w:sz="0" w:space="0" w:color="auto"/>
        <w:bottom w:val="none" w:sz="0" w:space="0" w:color="auto"/>
        <w:right w:val="none" w:sz="0" w:space="0" w:color="auto"/>
      </w:divBdr>
    </w:div>
    <w:div w:id="657195375">
      <w:bodyDiv w:val="1"/>
      <w:marLeft w:val="0"/>
      <w:marRight w:val="0"/>
      <w:marTop w:val="0"/>
      <w:marBottom w:val="0"/>
      <w:divBdr>
        <w:top w:val="none" w:sz="0" w:space="0" w:color="auto"/>
        <w:left w:val="none" w:sz="0" w:space="0" w:color="auto"/>
        <w:bottom w:val="none" w:sz="0" w:space="0" w:color="auto"/>
        <w:right w:val="none" w:sz="0" w:space="0" w:color="auto"/>
      </w:divBdr>
    </w:div>
    <w:div w:id="661350048">
      <w:bodyDiv w:val="1"/>
      <w:marLeft w:val="0"/>
      <w:marRight w:val="0"/>
      <w:marTop w:val="0"/>
      <w:marBottom w:val="0"/>
      <w:divBdr>
        <w:top w:val="none" w:sz="0" w:space="0" w:color="auto"/>
        <w:left w:val="none" w:sz="0" w:space="0" w:color="auto"/>
        <w:bottom w:val="none" w:sz="0" w:space="0" w:color="auto"/>
        <w:right w:val="none" w:sz="0" w:space="0" w:color="auto"/>
      </w:divBdr>
    </w:div>
    <w:div w:id="663896709">
      <w:bodyDiv w:val="1"/>
      <w:marLeft w:val="0"/>
      <w:marRight w:val="0"/>
      <w:marTop w:val="0"/>
      <w:marBottom w:val="0"/>
      <w:divBdr>
        <w:top w:val="none" w:sz="0" w:space="0" w:color="auto"/>
        <w:left w:val="none" w:sz="0" w:space="0" w:color="auto"/>
        <w:bottom w:val="none" w:sz="0" w:space="0" w:color="auto"/>
        <w:right w:val="none" w:sz="0" w:space="0" w:color="auto"/>
      </w:divBdr>
    </w:div>
    <w:div w:id="672925391">
      <w:bodyDiv w:val="1"/>
      <w:marLeft w:val="0"/>
      <w:marRight w:val="0"/>
      <w:marTop w:val="0"/>
      <w:marBottom w:val="0"/>
      <w:divBdr>
        <w:top w:val="none" w:sz="0" w:space="0" w:color="auto"/>
        <w:left w:val="none" w:sz="0" w:space="0" w:color="auto"/>
        <w:bottom w:val="none" w:sz="0" w:space="0" w:color="auto"/>
        <w:right w:val="none" w:sz="0" w:space="0" w:color="auto"/>
      </w:divBdr>
    </w:div>
    <w:div w:id="677201044">
      <w:bodyDiv w:val="1"/>
      <w:marLeft w:val="0"/>
      <w:marRight w:val="0"/>
      <w:marTop w:val="0"/>
      <w:marBottom w:val="0"/>
      <w:divBdr>
        <w:top w:val="none" w:sz="0" w:space="0" w:color="auto"/>
        <w:left w:val="none" w:sz="0" w:space="0" w:color="auto"/>
        <w:bottom w:val="none" w:sz="0" w:space="0" w:color="auto"/>
        <w:right w:val="none" w:sz="0" w:space="0" w:color="auto"/>
      </w:divBdr>
    </w:div>
    <w:div w:id="677775116">
      <w:bodyDiv w:val="1"/>
      <w:marLeft w:val="0"/>
      <w:marRight w:val="0"/>
      <w:marTop w:val="0"/>
      <w:marBottom w:val="0"/>
      <w:divBdr>
        <w:top w:val="none" w:sz="0" w:space="0" w:color="auto"/>
        <w:left w:val="none" w:sz="0" w:space="0" w:color="auto"/>
        <w:bottom w:val="none" w:sz="0" w:space="0" w:color="auto"/>
        <w:right w:val="none" w:sz="0" w:space="0" w:color="auto"/>
      </w:divBdr>
    </w:div>
    <w:div w:id="679042210">
      <w:bodyDiv w:val="1"/>
      <w:marLeft w:val="0"/>
      <w:marRight w:val="0"/>
      <w:marTop w:val="0"/>
      <w:marBottom w:val="0"/>
      <w:divBdr>
        <w:top w:val="none" w:sz="0" w:space="0" w:color="auto"/>
        <w:left w:val="none" w:sz="0" w:space="0" w:color="auto"/>
        <w:bottom w:val="none" w:sz="0" w:space="0" w:color="auto"/>
        <w:right w:val="none" w:sz="0" w:space="0" w:color="auto"/>
      </w:divBdr>
    </w:div>
    <w:div w:id="679085023">
      <w:bodyDiv w:val="1"/>
      <w:marLeft w:val="0"/>
      <w:marRight w:val="0"/>
      <w:marTop w:val="0"/>
      <w:marBottom w:val="0"/>
      <w:divBdr>
        <w:top w:val="none" w:sz="0" w:space="0" w:color="auto"/>
        <w:left w:val="none" w:sz="0" w:space="0" w:color="auto"/>
        <w:bottom w:val="none" w:sz="0" w:space="0" w:color="auto"/>
        <w:right w:val="none" w:sz="0" w:space="0" w:color="auto"/>
      </w:divBdr>
    </w:div>
    <w:div w:id="679817912">
      <w:bodyDiv w:val="1"/>
      <w:marLeft w:val="0"/>
      <w:marRight w:val="0"/>
      <w:marTop w:val="0"/>
      <w:marBottom w:val="0"/>
      <w:divBdr>
        <w:top w:val="none" w:sz="0" w:space="0" w:color="auto"/>
        <w:left w:val="none" w:sz="0" w:space="0" w:color="auto"/>
        <w:bottom w:val="none" w:sz="0" w:space="0" w:color="auto"/>
        <w:right w:val="none" w:sz="0" w:space="0" w:color="auto"/>
      </w:divBdr>
    </w:div>
    <w:div w:id="681318947">
      <w:bodyDiv w:val="1"/>
      <w:marLeft w:val="0"/>
      <w:marRight w:val="0"/>
      <w:marTop w:val="0"/>
      <w:marBottom w:val="0"/>
      <w:divBdr>
        <w:top w:val="none" w:sz="0" w:space="0" w:color="auto"/>
        <w:left w:val="none" w:sz="0" w:space="0" w:color="auto"/>
        <w:bottom w:val="none" w:sz="0" w:space="0" w:color="auto"/>
        <w:right w:val="none" w:sz="0" w:space="0" w:color="auto"/>
      </w:divBdr>
    </w:div>
    <w:div w:id="683626544">
      <w:bodyDiv w:val="1"/>
      <w:marLeft w:val="0"/>
      <w:marRight w:val="0"/>
      <w:marTop w:val="0"/>
      <w:marBottom w:val="0"/>
      <w:divBdr>
        <w:top w:val="none" w:sz="0" w:space="0" w:color="auto"/>
        <w:left w:val="none" w:sz="0" w:space="0" w:color="auto"/>
        <w:bottom w:val="none" w:sz="0" w:space="0" w:color="auto"/>
        <w:right w:val="none" w:sz="0" w:space="0" w:color="auto"/>
      </w:divBdr>
    </w:div>
    <w:div w:id="684744656">
      <w:bodyDiv w:val="1"/>
      <w:marLeft w:val="0"/>
      <w:marRight w:val="0"/>
      <w:marTop w:val="0"/>
      <w:marBottom w:val="0"/>
      <w:divBdr>
        <w:top w:val="none" w:sz="0" w:space="0" w:color="auto"/>
        <w:left w:val="none" w:sz="0" w:space="0" w:color="auto"/>
        <w:bottom w:val="none" w:sz="0" w:space="0" w:color="auto"/>
        <w:right w:val="none" w:sz="0" w:space="0" w:color="auto"/>
      </w:divBdr>
    </w:div>
    <w:div w:id="685903450">
      <w:bodyDiv w:val="1"/>
      <w:marLeft w:val="0"/>
      <w:marRight w:val="0"/>
      <w:marTop w:val="0"/>
      <w:marBottom w:val="0"/>
      <w:divBdr>
        <w:top w:val="none" w:sz="0" w:space="0" w:color="auto"/>
        <w:left w:val="none" w:sz="0" w:space="0" w:color="auto"/>
        <w:bottom w:val="none" w:sz="0" w:space="0" w:color="auto"/>
        <w:right w:val="none" w:sz="0" w:space="0" w:color="auto"/>
      </w:divBdr>
    </w:div>
    <w:div w:id="687214077">
      <w:bodyDiv w:val="1"/>
      <w:marLeft w:val="0"/>
      <w:marRight w:val="0"/>
      <w:marTop w:val="0"/>
      <w:marBottom w:val="0"/>
      <w:divBdr>
        <w:top w:val="none" w:sz="0" w:space="0" w:color="auto"/>
        <w:left w:val="none" w:sz="0" w:space="0" w:color="auto"/>
        <w:bottom w:val="none" w:sz="0" w:space="0" w:color="auto"/>
        <w:right w:val="none" w:sz="0" w:space="0" w:color="auto"/>
      </w:divBdr>
    </w:div>
    <w:div w:id="688259519">
      <w:bodyDiv w:val="1"/>
      <w:marLeft w:val="0"/>
      <w:marRight w:val="0"/>
      <w:marTop w:val="0"/>
      <w:marBottom w:val="0"/>
      <w:divBdr>
        <w:top w:val="none" w:sz="0" w:space="0" w:color="auto"/>
        <w:left w:val="none" w:sz="0" w:space="0" w:color="auto"/>
        <w:bottom w:val="none" w:sz="0" w:space="0" w:color="auto"/>
        <w:right w:val="none" w:sz="0" w:space="0" w:color="auto"/>
      </w:divBdr>
    </w:div>
    <w:div w:id="689380396">
      <w:bodyDiv w:val="1"/>
      <w:marLeft w:val="0"/>
      <w:marRight w:val="0"/>
      <w:marTop w:val="0"/>
      <w:marBottom w:val="0"/>
      <w:divBdr>
        <w:top w:val="none" w:sz="0" w:space="0" w:color="auto"/>
        <w:left w:val="none" w:sz="0" w:space="0" w:color="auto"/>
        <w:bottom w:val="none" w:sz="0" w:space="0" w:color="auto"/>
        <w:right w:val="none" w:sz="0" w:space="0" w:color="auto"/>
      </w:divBdr>
    </w:div>
    <w:div w:id="689528208">
      <w:bodyDiv w:val="1"/>
      <w:marLeft w:val="0"/>
      <w:marRight w:val="0"/>
      <w:marTop w:val="0"/>
      <w:marBottom w:val="0"/>
      <w:divBdr>
        <w:top w:val="none" w:sz="0" w:space="0" w:color="auto"/>
        <w:left w:val="none" w:sz="0" w:space="0" w:color="auto"/>
        <w:bottom w:val="none" w:sz="0" w:space="0" w:color="auto"/>
        <w:right w:val="none" w:sz="0" w:space="0" w:color="auto"/>
      </w:divBdr>
    </w:div>
    <w:div w:id="690032094">
      <w:bodyDiv w:val="1"/>
      <w:marLeft w:val="0"/>
      <w:marRight w:val="0"/>
      <w:marTop w:val="0"/>
      <w:marBottom w:val="0"/>
      <w:divBdr>
        <w:top w:val="none" w:sz="0" w:space="0" w:color="auto"/>
        <w:left w:val="none" w:sz="0" w:space="0" w:color="auto"/>
        <w:bottom w:val="none" w:sz="0" w:space="0" w:color="auto"/>
        <w:right w:val="none" w:sz="0" w:space="0" w:color="auto"/>
      </w:divBdr>
    </w:div>
    <w:div w:id="693310306">
      <w:bodyDiv w:val="1"/>
      <w:marLeft w:val="0"/>
      <w:marRight w:val="0"/>
      <w:marTop w:val="0"/>
      <w:marBottom w:val="0"/>
      <w:divBdr>
        <w:top w:val="none" w:sz="0" w:space="0" w:color="auto"/>
        <w:left w:val="none" w:sz="0" w:space="0" w:color="auto"/>
        <w:bottom w:val="none" w:sz="0" w:space="0" w:color="auto"/>
        <w:right w:val="none" w:sz="0" w:space="0" w:color="auto"/>
      </w:divBdr>
    </w:div>
    <w:div w:id="695693540">
      <w:bodyDiv w:val="1"/>
      <w:marLeft w:val="0"/>
      <w:marRight w:val="0"/>
      <w:marTop w:val="0"/>
      <w:marBottom w:val="0"/>
      <w:divBdr>
        <w:top w:val="none" w:sz="0" w:space="0" w:color="auto"/>
        <w:left w:val="none" w:sz="0" w:space="0" w:color="auto"/>
        <w:bottom w:val="none" w:sz="0" w:space="0" w:color="auto"/>
        <w:right w:val="none" w:sz="0" w:space="0" w:color="auto"/>
      </w:divBdr>
    </w:div>
    <w:div w:id="697776371">
      <w:bodyDiv w:val="1"/>
      <w:marLeft w:val="0"/>
      <w:marRight w:val="0"/>
      <w:marTop w:val="0"/>
      <w:marBottom w:val="0"/>
      <w:divBdr>
        <w:top w:val="none" w:sz="0" w:space="0" w:color="auto"/>
        <w:left w:val="none" w:sz="0" w:space="0" w:color="auto"/>
        <w:bottom w:val="none" w:sz="0" w:space="0" w:color="auto"/>
        <w:right w:val="none" w:sz="0" w:space="0" w:color="auto"/>
      </w:divBdr>
    </w:div>
    <w:div w:id="709719515">
      <w:bodyDiv w:val="1"/>
      <w:marLeft w:val="0"/>
      <w:marRight w:val="0"/>
      <w:marTop w:val="0"/>
      <w:marBottom w:val="0"/>
      <w:divBdr>
        <w:top w:val="none" w:sz="0" w:space="0" w:color="auto"/>
        <w:left w:val="none" w:sz="0" w:space="0" w:color="auto"/>
        <w:bottom w:val="none" w:sz="0" w:space="0" w:color="auto"/>
        <w:right w:val="none" w:sz="0" w:space="0" w:color="auto"/>
      </w:divBdr>
    </w:div>
    <w:div w:id="710345004">
      <w:bodyDiv w:val="1"/>
      <w:marLeft w:val="0"/>
      <w:marRight w:val="0"/>
      <w:marTop w:val="0"/>
      <w:marBottom w:val="0"/>
      <w:divBdr>
        <w:top w:val="none" w:sz="0" w:space="0" w:color="auto"/>
        <w:left w:val="none" w:sz="0" w:space="0" w:color="auto"/>
        <w:bottom w:val="none" w:sz="0" w:space="0" w:color="auto"/>
        <w:right w:val="none" w:sz="0" w:space="0" w:color="auto"/>
      </w:divBdr>
    </w:div>
    <w:div w:id="714622843">
      <w:bodyDiv w:val="1"/>
      <w:marLeft w:val="0"/>
      <w:marRight w:val="0"/>
      <w:marTop w:val="0"/>
      <w:marBottom w:val="0"/>
      <w:divBdr>
        <w:top w:val="none" w:sz="0" w:space="0" w:color="auto"/>
        <w:left w:val="none" w:sz="0" w:space="0" w:color="auto"/>
        <w:bottom w:val="none" w:sz="0" w:space="0" w:color="auto"/>
        <w:right w:val="none" w:sz="0" w:space="0" w:color="auto"/>
      </w:divBdr>
    </w:div>
    <w:div w:id="724910165">
      <w:bodyDiv w:val="1"/>
      <w:marLeft w:val="0"/>
      <w:marRight w:val="0"/>
      <w:marTop w:val="0"/>
      <w:marBottom w:val="0"/>
      <w:divBdr>
        <w:top w:val="none" w:sz="0" w:space="0" w:color="auto"/>
        <w:left w:val="none" w:sz="0" w:space="0" w:color="auto"/>
        <w:bottom w:val="none" w:sz="0" w:space="0" w:color="auto"/>
        <w:right w:val="none" w:sz="0" w:space="0" w:color="auto"/>
      </w:divBdr>
    </w:div>
    <w:div w:id="732772245">
      <w:bodyDiv w:val="1"/>
      <w:marLeft w:val="0"/>
      <w:marRight w:val="0"/>
      <w:marTop w:val="0"/>
      <w:marBottom w:val="0"/>
      <w:divBdr>
        <w:top w:val="none" w:sz="0" w:space="0" w:color="auto"/>
        <w:left w:val="none" w:sz="0" w:space="0" w:color="auto"/>
        <w:bottom w:val="none" w:sz="0" w:space="0" w:color="auto"/>
        <w:right w:val="none" w:sz="0" w:space="0" w:color="auto"/>
      </w:divBdr>
    </w:div>
    <w:div w:id="736708301">
      <w:bodyDiv w:val="1"/>
      <w:marLeft w:val="0"/>
      <w:marRight w:val="0"/>
      <w:marTop w:val="0"/>
      <w:marBottom w:val="0"/>
      <w:divBdr>
        <w:top w:val="none" w:sz="0" w:space="0" w:color="auto"/>
        <w:left w:val="none" w:sz="0" w:space="0" w:color="auto"/>
        <w:bottom w:val="none" w:sz="0" w:space="0" w:color="auto"/>
        <w:right w:val="none" w:sz="0" w:space="0" w:color="auto"/>
      </w:divBdr>
    </w:div>
    <w:div w:id="739865806">
      <w:bodyDiv w:val="1"/>
      <w:marLeft w:val="0"/>
      <w:marRight w:val="0"/>
      <w:marTop w:val="0"/>
      <w:marBottom w:val="0"/>
      <w:divBdr>
        <w:top w:val="none" w:sz="0" w:space="0" w:color="auto"/>
        <w:left w:val="none" w:sz="0" w:space="0" w:color="auto"/>
        <w:bottom w:val="none" w:sz="0" w:space="0" w:color="auto"/>
        <w:right w:val="none" w:sz="0" w:space="0" w:color="auto"/>
      </w:divBdr>
    </w:div>
    <w:div w:id="740636240">
      <w:bodyDiv w:val="1"/>
      <w:marLeft w:val="0"/>
      <w:marRight w:val="0"/>
      <w:marTop w:val="0"/>
      <w:marBottom w:val="0"/>
      <w:divBdr>
        <w:top w:val="none" w:sz="0" w:space="0" w:color="auto"/>
        <w:left w:val="none" w:sz="0" w:space="0" w:color="auto"/>
        <w:bottom w:val="none" w:sz="0" w:space="0" w:color="auto"/>
        <w:right w:val="none" w:sz="0" w:space="0" w:color="auto"/>
      </w:divBdr>
    </w:div>
    <w:div w:id="747651726">
      <w:bodyDiv w:val="1"/>
      <w:marLeft w:val="0"/>
      <w:marRight w:val="0"/>
      <w:marTop w:val="0"/>
      <w:marBottom w:val="0"/>
      <w:divBdr>
        <w:top w:val="none" w:sz="0" w:space="0" w:color="auto"/>
        <w:left w:val="none" w:sz="0" w:space="0" w:color="auto"/>
        <w:bottom w:val="none" w:sz="0" w:space="0" w:color="auto"/>
        <w:right w:val="none" w:sz="0" w:space="0" w:color="auto"/>
      </w:divBdr>
    </w:div>
    <w:div w:id="756171405">
      <w:bodyDiv w:val="1"/>
      <w:marLeft w:val="0"/>
      <w:marRight w:val="0"/>
      <w:marTop w:val="0"/>
      <w:marBottom w:val="0"/>
      <w:divBdr>
        <w:top w:val="none" w:sz="0" w:space="0" w:color="auto"/>
        <w:left w:val="none" w:sz="0" w:space="0" w:color="auto"/>
        <w:bottom w:val="none" w:sz="0" w:space="0" w:color="auto"/>
        <w:right w:val="none" w:sz="0" w:space="0" w:color="auto"/>
      </w:divBdr>
    </w:div>
    <w:div w:id="765928829">
      <w:bodyDiv w:val="1"/>
      <w:marLeft w:val="0"/>
      <w:marRight w:val="0"/>
      <w:marTop w:val="0"/>
      <w:marBottom w:val="0"/>
      <w:divBdr>
        <w:top w:val="none" w:sz="0" w:space="0" w:color="auto"/>
        <w:left w:val="none" w:sz="0" w:space="0" w:color="auto"/>
        <w:bottom w:val="none" w:sz="0" w:space="0" w:color="auto"/>
        <w:right w:val="none" w:sz="0" w:space="0" w:color="auto"/>
      </w:divBdr>
    </w:div>
    <w:div w:id="775712717">
      <w:bodyDiv w:val="1"/>
      <w:marLeft w:val="0"/>
      <w:marRight w:val="0"/>
      <w:marTop w:val="0"/>
      <w:marBottom w:val="0"/>
      <w:divBdr>
        <w:top w:val="none" w:sz="0" w:space="0" w:color="auto"/>
        <w:left w:val="none" w:sz="0" w:space="0" w:color="auto"/>
        <w:bottom w:val="none" w:sz="0" w:space="0" w:color="auto"/>
        <w:right w:val="none" w:sz="0" w:space="0" w:color="auto"/>
      </w:divBdr>
    </w:div>
    <w:div w:id="777988928">
      <w:bodyDiv w:val="1"/>
      <w:marLeft w:val="0"/>
      <w:marRight w:val="0"/>
      <w:marTop w:val="0"/>
      <w:marBottom w:val="0"/>
      <w:divBdr>
        <w:top w:val="none" w:sz="0" w:space="0" w:color="auto"/>
        <w:left w:val="none" w:sz="0" w:space="0" w:color="auto"/>
        <w:bottom w:val="none" w:sz="0" w:space="0" w:color="auto"/>
        <w:right w:val="none" w:sz="0" w:space="0" w:color="auto"/>
      </w:divBdr>
    </w:div>
    <w:div w:id="778067043">
      <w:bodyDiv w:val="1"/>
      <w:marLeft w:val="0"/>
      <w:marRight w:val="0"/>
      <w:marTop w:val="0"/>
      <w:marBottom w:val="0"/>
      <w:divBdr>
        <w:top w:val="none" w:sz="0" w:space="0" w:color="auto"/>
        <w:left w:val="none" w:sz="0" w:space="0" w:color="auto"/>
        <w:bottom w:val="none" w:sz="0" w:space="0" w:color="auto"/>
        <w:right w:val="none" w:sz="0" w:space="0" w:color="auto"/>
      </w:divBdr>
    </w:div>
    <w:div w:id="783768885">
      <w:bodyDiv w:val="1"/>
      <w:marLeft w:val="0"/>
      <w:marRight w:val="0"/>
      <w:marTop w:val="0"/>
      <w:marBottom w:val="0"/>
      <w:divBdr>
        <w:top w:val="none" w:sz="0" w:space="0" w:color="auto"/>
        <w:left w:val="none" w:sz="0" w:space="0" w:color="auto"/>
        <w:bottom w:val="none" w:sz="0" w:space="0" w:color="auto"/>
        <w:right w:val="none" w:sz="0" w:space="0" w:color="auto"/>
      </w:divBdr>
    </w:div>
    <w:div w:id="787621227">
      <w:bodyDiv w:val="1"/>
      <w:marLeft w:val="0"/>
      <w:marRight w:val="0"/>
      <w:marTop w:val="0"/>
      <w:marBottom w:val="0"/>
      <w:divBdr>
        <w:top w:val="none" w:sz="0" w:space="0" w:color="auto"/>
        <w:left w:val="none" w:sz="0" w:space="0" w:color="auto"/>
        <w:bottom w:val="none" w:sz="0" w:space="0" w:color="auto"/>
        <w:right w:val="none" w:sz="0" w:space="0" w:color="auto"/>
      </w:divBdr>
    </w:div>
    <w:div w:id="788160050">
      <w:bodyDiv w:val="1"/>
      <w:marLeft w:val="0"/>
      <w:marRight w:val="0"/>
      <w:marTop w:val="0"/>
      <w:marBottom w:val="0"/>
      <w:divBdr>
        <w:top w:val="none" w:sz="0" w:space="0" w:color="auto"/>
        <w:left w:val="none" w:sz="0" w:space="0" w:color="auto"/>
        <w:bottom w:val="none" w:sz="0" w:space="0" w:color="auto"/>
        <w:right w:val="none" w:sz="0" w:space="0" w:color="auto"/>
      </w:divBdr>
    </w:div>
    <w:div w:id="795611582">
      <w:bodyDiv w:val="1"/>
      <w:marLeft w:val="0"/>
      <w:marRight w:val="0"/>
      <w:marTop w:val="0"/>
      <w:marBottom w:val="0"/>
      <w:divBdr>
        <w:top w:val="none" w:sz="0" w:space="0" w:color="auto"/>
        <w:left w:val="none" w:sz="0" w:space="0" w:color="auto"/>
        <w:bottom w:val="none" w:sz="0" w:space="0" w:color="auto"/>
        <w:right w:val="none" w:sz="0" w:space="0" w:color="auto"/>
      </w:divBdr>
    </w:div>
    <w:div w:id="810287306">
      <w:bodyDiv w:val="1"/>
      <w:marLeft w:val="0"/>
      <w:marRight w:val="0"/>
      <w:marTop w:val="0"/>
      <w:marBottom w:val="0"/>
      <w:divBdr>
        <w:top w:val="none" w:sz="0" w:space="0" w:color="auto"/>
        <w:left w:val="none" w:sz="0" w:space="0" w:color="auto"/>
        <w:bottom w:val="none" w:sz="0" w:space="0" w:color="auto"/>
        <w:right w:val="none" w:sz="0" w:space="0" w:color="auto"/>
      </w:divBdr>
    </w:div>
    <w:div w:id="812334072">
      <w:bodyDiv w:val="1"/>
      <w:marLeft w:val="0"/>
      <w:marRight w:val="0"/>
      <w:marTop w:val="0"/>
      <w:marBottom w:val="0"/>
      <w:divBdr>
        <w:top w:val="none" w:sz="0" w:space="0" w:color="auto"/>
        <w:left w:val="none" w:sz="0" w:space="0" w:color="auto"/>
        <w:bottom w:val="none" w:sz="0" w:space="0" w:color="auto"/>
        <w:right w:val="none" w:sz="0" w:space="0" w:color="auto"/>
      </w:divBdr>
    </w:div>
    <w:div w:id="815026205">
      <w:bodyDiv w:val="1"/>
      <w:marLeft w:val="0"/>
      <w:marRight w:val="0"/>
      <w:marTop w:val="0"/>
      <w:marBottom w:val="0"/>
      <w:divBdr>
        <w:top w:val="none" w:sz="0" w:space="0" w:color="auto"/>
        <w:left w:val="none" w:sz="0" w:space="0" w:color="auto"/>
        <w:bottom w:val="none" w:sz="0" w:space="0" w:color="auto"/>
        <w:right w:val="none" w:sz="0" w:space="0" w:color="auto"/>
      </w:divBdr>
    </w:div>
    <w:div w:id="819074283">
      <w:bodyDiv w:val="1"/>
      <w:marLeft w:val="0"/>
      <w:marRight w:val="0"/>
      <w:marTop w:val="0"/>
      <w:marBottom w:val="0"/>
      <w:divBdr>
        <w:top w:val="none" w:sz="0" w:space="0" w:color="auto"/>
        <w:left w:val="none" w:sz="0" w:space="0" w:color="auto"/>
        <w:bottom w:val="none" w:sz="0" w:space="0" w:color="auto"/>
        <w:right w:val="none" w:sz="0" w:space="0" w:color="auto"/>
      </w:divBdr>
    </w:div>
    <w:div w:id="820080568">
      <w:bodyDiv w:val="1"/>
      <w:marLeft w:val="0"/>
      <w:marRight w:val="0"/>
      <w:marTop w:val="0"/>
      <w:marBottom w:val="0"/>
      <w:divBdr>
        <w:top w:val="none" w:sz="0" w:space="0" w:color="auto"/>
        <w:left w:val="none" w:sz="0" w:space="0" w:color="auto"/>
        <w:bottom w:val="none" w:sz="0" w:space="0" w:color="auto"/>
        <w:right w:val="none" w:sz="0" w:space="0" w:color="auto"/>
      </w:divBdr>
    </w:div>
    <w:div w:id="823278227">
      <w:bodyDiv w:val="1"/>
      <w:marLeft w:val="0"/>
      <w:marRight w:val="0"/>
      <w:marTop w:val="0"/>
      <w:marBottom w:val="0"/>
      <w:divBdr>
        <w:top w:val="none" w:sz="0" w:space="0" w:color="auto"/>
        <w:left w:val="none" w:sz="0" w:space="0" w:color="auto"/>
        <w:bottom w:val="none" w:sz="0" w:space="0" w:color="auto"/>
        <w:right w:val="none" w:sz="0" w:space="0" w:color="auto"/>
      </w:divBdr>
    </w:div>
    <w:div w:id="824858014">
      <w:bodyDiv w:val="1"/>
      <w:marLeft w:val="0"/>
      <w:marRight w:val="0"/>
      <w:marTop w:val="0"/>
      <w:marBottom w:val="0"/>
      <w:divBdr>
        <w:top w:val="none" w:sz="0" w:space="0" w:color="auto"/>
        <w:left w:val="none" w:sz="0" w:space="0" w:color="auto"/>
        <w:bottom w:val="none" w:sz="0" w:space="0" w:color="auto"/>
        <w:right w:val="none" w:sz="0" w:space="0" w:color="auto"/>
      </w:divBdr>
    </w:div>
    <w:div w:id="826096724">
      <w:bodyDiv w:val="1"/>
      <w:marLeft w:val="0"/>
      <w:marRight w:val="0"/>
      <w:marTop w:val="0"/>
      <w:marBottom w:val="0"/>
      <w:divBdr>
        <w:top w:val="none" w:sz="0" w:space="0" w:color="auto"/>
        <w:left w:val="none" w:sz="0" w:space="0" w:color="auto"/>
        <w:bottom w:val="none" w:sz="0" w:space="0" w:color="auto"/>
        <w:right w:val="none" w:sz="0" w:space="0" w:color="auto"/>
      </w:divBdr>
    </w:div>
    <w:div w:id="827939541">
      <w:bodyDiv w:val="1"/>
      <w:marLeft w:val="0"/>
      <w:marRight w:val="0"/>
      <w:marTop w:val="0"/>
      <w:marBottom w:val="0"/>
      <w:divBdr>
        <w:top w:val="none" w:sz="0" w:space="0" w:color="auto"/>
        <w:left w:val="none" w:sz="0" w:space="0" w:color="auto"/>
        <w:bottom w:val="none" w:sz="0" w:space="0" w:color="auto"/>
        <w:right w:val="none" w:sz="0" w:space="0" w:color="auto"/>
      </w:divBdr>
    </w:div>
    <w:div w:id="834876179">
      <w:bodyDiv w:val="1"/>
      <w:marLeft w:val="0"/>
      <w:marRight w:val="0"/>
      <w:marTop w:val="0"/>
      <w:marBottom w:val="0"/>
      <w:divBdr>
        <w:top w:val="none" w:sz="0" w:space="0" w:color="auto"/>
        <w:left w:val="none" w:sz="0" w:space="0" w:color="auto"/>
        <w:bottom w:val="none" w:sz="0" w:space="0" w:color="auto"/>
        <w:right w:val="none" w:sz="0" w:space="0" w:color="auto"/>
      </w:divBdr>
    </w:div>
    <w:div w:id="836043713">
      <w:bodyDiv w:val="1"/>
      <w:marLeft w:val="0"/>
      <w:marRight w:val="0"/>
      <w:marTop w:val="0"/>
      <w:marBottom w:val="0"/>
      <w:divBdr>
        <w:top w:val="none" w:sz="0" w:space="0" w:color="auto"/>
        <w:left w:val="none" w:sz="0" w:space="0" w:color="auto"/>
        <w:bottom w:val="none" w:sz="0" w:space="0" w:color="auto"/>
        <w:right w:val="none" w:sz="0" w:space="0" w:color="auto"/>
      </w:divBdr>
    </w:div>
    <w:div w:id="839344936">
      <w:bodyDiv w:val="1"/>
      <w:marLeft w:val="0"/>
      <w:marRight w:val="0"/>
      <w:marTop w:val="0"/>
      <w:marBottom w:val="0"/>
      <w:divBdr>
        <w:top w:val="none" w:sz="0" w:space="0" w:color="auto"/>
        <w:left w:val="none" w:sz="0" w:space="0" w:color="auto"/>
        <w:bottom w:val="none" w:sz="0" w:space="0" w:color="auto"/>
        <w:right w:val="none" w:sz="0" w:space="0" w:color="auto"/>
      </w:divBdr>
    </w:div>
    <w:div w:id="841049932">
      <w:bodyDiv w:val="1"/>
      <w:marLeft w:val="0"/>
      <w:marRight w:val="0"/>
      <w:marTop w:val="0"/>
      <w:marBottom w:val="0"/>
      <w:divBdr>
        <w:top w:val="none" w:sz="0" w:space="0" w:color="auto"/>
        <w:left w:val="none" w:sz="0" w:space="0" w:color="auto"/>
        <w:bottom w:val="none" w:sz="0" w:space="0" w:color="auto"/>
        <w:right w:val="none" w:sz="0" w:space="0" w:color="auto"/>
      </w:divBdr>
    </w:div>
    <w:div w:id="841627612">
      <w:bodyDiv w:val="1"/>
      <w:marLeft w:val="0"/>
      <w:marRight w:val="0"/>
      <w:marTop w:val="0"/>
      <w:marBottom w:val="0"/>
      <w:divBdr>
        <w:top w:val="none" w:sz="0" w:space="0" w:color="auto"/>
        <w:left w:val="none" w:sz="0" w:space="0" w:color="auto"/>
        <w:bottom w:val="none" w:sz="0" w:space="0" w:color="auto"/>
        <w:right w:val="none" w:sz="0" w:space="0" w:color="auto"/>
      </w:divBdr>
    </w:div>
    <w:div w:id="844049859">
      <w:bodyDiv w:val="1"/>
      <w:marLeft w:val="0"/>
      <w:marRight w:val="0"/>
      <w:marTop w:val="0"/>
      <w:marBottom w:val="0"/>
      <w:divBdr>
        <w:top w:val="none" w:sz="0" w:space="0" w:color="auto"/>
        <w:left w:val="none" w:sz="0" w:space="0" w:color="auto"/>
        <w:bottom w:val="none" w:sz="0" w:space="0" w:color="auto"/>
        <w:right w:val="none" w:sz="0" w:space="0" w:color="auto"/>
      </w:divBdr>
    </w:div>
    <w:div w:id="849834414">
      <w:bodyDiv w:val="1"/>
      <w:marLeft w:val="0"/>
      <w:marRight w:val="0"/>
      <w:marTop w:val="0"/>
      <w:marBottom w:val="0"/>
      <w:divBdr>
        <w:top w:val="none" w:sz="0" w:space="0" w:color="auto"/>
        <w:left w:val="none" w:sz="0" w:space="0" w:color="auto"/>
        <w:bottom w:val="none" w:sz="0" w:space="0" w:color="auto"/>
        <w:right w:val="none" w:sz="0" w:space="0" w:color="auto"/>
      </w:divBdr>
    </w:div>
    <w:div w:id="854340454">
      <w:bodyDiv w:val="1"/>
      <w:marLeft w:val="0"/>
      <w:marRight w:val="0"/>
      <w:marTop w:val="0"/>
      <w:marBottom w:val="0"/>
      <w:divBdr>
        <w:top w:val="none" w:sz="0" w:space="0" w:color="auto"/>
        <w:left w:val="none" w:sz="0" w:space="0" w:color="auto"/>
        <w:bottom w:val="none" w:sz="0" w:space="0" w:color="auto"/>
        <w:right w:val="none" w:sz="0" w:space="0" w:color="auto"/>
      </w:divBdr>
    </w:div>
    <w:div w:id="862210066">
      <w:bodyDiv w:val="1"/>
      <w:marLeft w:val="0"/>
      <w:marRight w:val="0"/>
      <w:marTop w:val="0"/>
      <w:marBottom w:val="0"/>
      <w:divBdr>
        <w:top w:val="none" w:sz="0" w:space="0" w:color="auto"/>
        <w:left w:val="none" w:sz="0" w:space="0" w:color="auto"/>
        <w:bottom w:val="none" w:sz="0" w:space="0" w:color="auto"/>
        <w:right w:val="none" w:sz="0" w:space="0" w:color="auto"/>
      </w:divBdr>
    </w:div>
    <w:div w:id="869338133">
      <w:bodyDiv w:val="1"/>
      <w:marLeft w:val="0"/>
      <w:marRight w:val="0"/>
      <w:marTop w:val="0"/>
      <w:marBottom w:val="0"/>
      <w:divBdr>
        <w:top w:val="none" w:sz="0" w:space="0" w:color="auto"/>
        <w:left w:val="none" w:sz="0" w:space="0" w:color="auto"/>
        <w:bottom w:val="none" w:sz="0" w:space="0" w:color="auto"/>
        <w:right w:val="none" w:sz="0" w:space="0" w:color="auto"/>
      </w:divBdr>
    </w:div>
    <w:div w:id="874387555">
      <w:bodyDiv w:val="1"/>
      <w:marLeft w:val="0"/>
      <w:marRight w:val="0"/>
      <w:marTop w:val="0"/>
      <w:marBottom w:val="0"/>
      <w:divBdr>
        <w:top w:val="none" w:sz="0" w:space="0" w:color="auto"/>
        <w:left w:val="none" w:sz="0" w:space="0" w:color="auto"/>
        <w:bottom w:val="none" w:sz="0" w:space="0" w:color="auto"/>
        <w:right w:val="none" w:sz="0" w:space="0" w:color="auto"/>
      </w:divBdr>
    </w:div>
    <w:div w:id="876310960">
      <w:bodyDiv w:val="1"/>
      <w:marLeft w:val="0"/>
      <w:marRight w:val="0"/>
      <w:marTop w:val="0"/>
      <w:marBottom w:val="0"/>
      <w:divBdr>
        <w:top w:val="none" w:sz="0" w:space="0" w:color="auto"/>
        <w:left w:val="none" w:sz="0" w:space="0" w:color="auto"/>
        <w:bottom w:val="none" w:sz="0" w:space="0" w:color="auto"/>
        <w:right w:val="none" w:sz="0" w:space="0" w:color="auto"/>
      </w:divBdr>
    </w:div>
    <w:div w:id="878862867">
      <w:bodyDiv w:val="1"/>
      <w:marLeft w:val="0"/>
      <w:marRight w:val="0"/>
      <w:marTop w:val="0"/>
      <w:marBottom w:val="0"/>
      <w:divBdr>
        <w:top w:val="none" w:sz="0" w:space="0" w:color="auto"/>
        <w:left w:val="none" w:sz="0" w:space="0" w:color="auto"/>
        <w:bottom w:val="none" w:sz="0" w:space="0" w:color="auto"/>
        <w:right w:val="none" w:sz="0" w:space="0" w:color="auto"/>
      </w:divBdr>
    </w:div>
    <w:div w:id="879052656">
      <w:bodyDiv w:val="1"/>
      <w:marLeft w:val="0"/>
      <w:marRight w:val="0"/>
      <w:marTop w:val="0"/>
      <w:marBottom w:val="0"/>
      <w:divBdr>
        <w:top w:val="none" w:sz="0" w:space="0" w:color="auto"/>
        <w:left w:val="none" w:sz="0" w:space="0" w:color="auto"/>
        <w:bottom w:val="none" w:sz="0" w:space="0" w:color="auto"/>
        <w:right w:val="none" w:sz="0" w:space="0" w:color="auto"/>
      </w:divBdr>
    </w:div>
    <w:div w:id="883056919">
      <w:bodyDiv w:val="1"/>
      <w:marLeft w:val="0"/>
      <w:marRight w:val="0"/>
      <w:marTop w:val="0"/>
      <w:marBottom w:val="0"/>
      <w:divBdr>
        <w:top w:val="none" w:sz="0" w:space="0" w:color="auto"/>
        <w:left w:val="none" w:sz="0" w:space="0" w:color="auto"/>
        <w:bottom w:val="none" w:sz="0" w:space="0" w:color="auto"/>
        <w:right w:val="none" w:sz="0" w:space="0" w:color="auto"/>
      </w:divBdr>
    </w:div>
    <w:div w:id="891428346">
      <w:bodyDiv w:val="1"/>
      <w:marLeft w:val="0"/>
      <w:marRight w:val="0"/>
      <w:marTop w:val="0"/>
      <w:marBottom w:val="0"/>
      <w:divBdr>
        <w:top w:val="none" w:sz="0" w:space="0" w:color="auto"/>
        <w:left w:val="none" w:sz="0" w:space="0" w:color="auto"/>
        <w:bottom w:val="none" w:sz="0" w:space="0" w:color="auto"/>
        <w:right w:val="none" w:sz="0" w:space="0" w:color="auto"/>
      </w:divBdr>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6623703">
      <w:bodyDiv w:val="1"/>
      <w:marLeft w:val="0"/>
      <w:marRight w:val="0"/>
      <w:marTop w:val="0"/>
      <w:marBottom w:val="0"/>
      <w:divBdr>
        <w:top w:val="none" w:sz="0" w:space="0" w:color="auto"/>
        <w:left w:val="none" w:sz="0" w:space="0" w:color="auto"/>
        <w:bottom w:val="none" w:sz="0" w:space="0" w:color="auto"/>
        <w:right w:val="none" w:sz="0" w:space="0" w:color="auto"/>
      </w:divBdr>
    </w:div>
    <w:div w:id="898053829">
      <w:bodyDiv w:val="1"/>
      <w:marLeft w:val="0"/>
      <w:marRight w:val="0"/>
      <w:marTop w:val="0"/>
      <w:marBottom w:val="0"/>
      <w:divBdr>
        <w:top w:val="none" w:sz="0" w:space="0" w:color="auto"/>
        <w:left w:val="none" w:sz="0" w:space="0" w:color="auto"/>
        <w:bottom w:val="none" w:sz="0" w:space="0" w:color="auto"/>
        <w:right w:val="none" w:sz="0" w:space="0" w:color="auto"/>
      </w:divBdr>
    </w:div>
    <w:div w:id="908806907">
      <w:bodyDiv w:val="1"/>
      <w:marLeft w:val="0"/>
      <w:marRight w:val="0"/>
      <w:marTop w:val="0"/>
      <w:marBottom w:val="0"/>
      <w:divBdr>
        <w:top w:val="none" w:sz="0" w:space="0" w:color="auto"/>
        <w:left w:val="none" w:sz="0" w:space="0" w:color="auto"/>
        <w:bottom w:val="none" w:sz="0" w:space="0" w:color="auto"/>
        <w:right w:val="none" w:sz="0" w:space="0" w:color="auto"/>
      </w:divBdr>
    </w:div>
    <w:div w:id="911162287">
      <w:bodyDiv w:val="1"/>
      <w:marLeft w:val="0"/>
      <w:marRight w:val="0"/>
      <w:marTop w:val="0"/>
      <w:marBottom w:val="0"/>
      <w:divBdr>
        <w:top w:val="none" w:sz="0" w:space="0" w:color="auto"/>
        <w:left w:val="none" w:sz="0" w:space="0" w:color="auto"/>
        <w:bottom w:val="none" w:sz="0" w:space="0" w:color="auto"/>
        <w:right w:val="none" w:sz="0" w:space="0" w:color="auto"/>
      </w:divBdr>
    </w:div>
    <w:div w:id="912197528">
      <w:bodyDiv w:val="1"/>
      <w:marLeft w:val="0"/>
      <w:marRight w:val="0"/>
      <w:marTop w:val="0"/>
      <w:marBottom w:val="0"/>
      <w:divBdr>
        <w:top w:val="none" w:sz="0" w:space="0" w:color="auto"/>
        <w:left w:val="none" w:sz="0" w:space="0" w:color="auto"/>
        <w:bottom w:val="none" w:sz="0" w:space="0" w:color="auto"/>
        <w:right w:val="none" w:sz="0" w:space="0" w:color="auto"/>
      </w:divBdr>
    </w:div>
    <w:div w:id="916669793">
      <w:bodyDiv w:val="1"/>
      <w:marLeft w:val="0"/>
      <w:marRight w:val="0"/>
      <w:marTop w:val="0"/>
      <w:marBottom w:val="0"/>
      <w:divBdr>
        <w:top w:val="none" w:sz="0" w:space="0" w:color="auto"/>
        <w:left w:val="none" w:sz="0" w:space="0" w:color="auto"/>
        <w:bottom w:val="none" w:sz="0" w:space="0" w:color="auto"/>
        <w:right w:val="none" w:sz="0" w:space="0" w:color="auto"/>
      </w:divBdr>
    </w:div>
    <w:div w:id="920678194">
      <w:bodyDiv w:val="1"/>
      <w:marLeft w:val="0"/>
      <w:marRight w:val="0"/>
      <w:marTop w:val="0"/>
      <w:marBottom w:val="0"/>
      <w:divBdr>
        <w:top w:val="none" w:sz="0" w:space="0" w:color="auto"/>
        <w:left w:val="none" w:sz="0" w:space="0" w:color="auto"/>
        <w:bottom w:val="none" w:sz="0" w:space="0" w:color="auto"/>
        <w:right w:val="none" w:sz="0" w:space="0" w:color="auto"/>
      </w:divBdr>
    </w:div>
    <w:div w:id="925386403">
      <w:bodyDiv w:val="1"/>
      <w:marLeft w:val="0"/>
      <w:marRight w:val="0"/>
      <w:marTop w:val="0"/>
      <w:marBottom w:val="0"/>
      <w:divBdr>
        <w:top w:val="none" w:sz="0" w:space="0" w:color="auto"/>
        <w:left w:val="none" w:sz="0" w:space="0" w:color="auto"/>
        <w:bottom w:val="none" w:sz="0" w:space="0" w:color="auto"/>
        <w:right w:val="none" w:sz="0" w:space="0" w:color="auto"/>
      </w:divBdr>
    </w:div>
    <w:div w:id="927689262">
      <w:bodyDiv w:val="1"/>
      <w:marLeft w:val="0"/>
      <w:marRight w:val="0"/>
      <w:marTop w:val="0"/>
      <w:marBottom w:val="0"/>
      <w:divBdr>
        <w:top w:val="none" w:sz="0" w:space="0" w:color="auto"/>
        <w:left w:val="none" w:sz="0" w:space="0" w:color="auto"/>
        <w:bottom w:val="none" w:sz="0" w:space="0" w:color="auto"/>
        <w:right w:val="none" w:sz="0" w:space="0" w:color="auto"/>
      </w:divBdr>
    </w:div>
    <w:div w:id="932476002">
      <w:bodyDiv w:val="1"/>
      <w:marLeft w:val="0"/>
      <w:marRight w:val="0"/>
      <w:marTop w:val="0"/>
      <w:marBottom w:val="0"/>
      <w:divBdr>
        <w:top w:val="none" w:sz="0" w:space="0" w:color="auto"/>
        <w:left w:val="none" w:sz="0" w:space="0" w:color="auto"/>
        <w:bottom w:val="none" w:sz="0" w:space="0" w:color="auto"/>
        <w:right w:val="none" w:sz="0" w:space="0" w:color="auto"/>
      </w:divBdr>
    </w:div>
    <w:div w:id="936131381">
      <w:bodyDiv w:val="1"/>
      <w:marLeft w:val="0"/>
      <w:marRight w:val="0"/>
      <w:marTop w:val="0"/>
      <w:marBottom w:val="0"/>
      <w:divBdr>
        <w:top w:val="none" w:sz="0" w:space="0" w:color="auto"/>
        <w:left w:val="none" w:sz="0" w:space="0" w:color="auto"/>
        <w:bottom w:val="none" w:sz="0" w:space="0" w:color="auto"/>
        <w:right w:val="none" w:sz="0" w:space="0" w:color="auto"/>
      </w:divBdr>
    </w:div>
    <w:div w:id="936399975">
      <w:bodyDiv w:val="1"/>
      <w:marLeft w:val="0"/>
      <w:marRight w:val="0"/>
      <w:marTop w:val="0"/>
      <w:marBottom w:val="0"/>
      <w:divBdr>
        <w:top w:val="none" w:sz="0" w:space="0" w:color="auto"/>
        <w:left w:val="none" w:sz="0" w:space="0" w:color="auto"/>
        <w:bottom w:val="none" w:sz="0" w:space="0" w:color="auto"/>
        <w:right w:val="none" w:sz="0" w:space="0" w:color="auto"/>
      </w:divBdr>
    </w:div>
    <w:div w:id="940185603">
      <w:bodyDiv w:val="1"/>
      <w:marLeft w:val="0"/>
      <w:marRight w:val="0"/>
      <w:marTop w:val="0"/>
      <w:marBottom w:val="0"/>
      <w:divBdr>
        <w:top w:val="none" w:sz="0" w:space="0" w:color="auto"/>
        <w:left w:val="none" w:sz="0" w:space="0" w:color="auto"/>
        <w:bottom w:val="none" w:sz="0" w:space="0" w:color="auto"/>
        <w:right w:val="none" w:sz="0" w:space="0" w:color="auto"/>
      </w:divBdr>
    </w:div>
    <w:div w:id="940260504">
      <w:bodyDiv w:val="1"/>
      <w:marLeft w:val="0"/>
      <w:marRight w:val="0"/>
      <w:marTop w:val="0"/>
      <w:marBottom w:val="0"/>
      <w:divBdr>
        <w:top w:val="none" w:sz="0" w:space="0" w:color="auto"/>
        <w:left w:val="none" w:sz="0" w:space="0" w:color="auto"/>
        <w:bottom w:val="none" w:sz="0" w:space="0" w:color="auto"/>
        <w:right w:val="none" w:sz="0" w:space="0" w:color="auto"/>
      </w:divBdr>
    </w:div>
    <w:div w:id="943147605">
      <w:bodyDiv w:val="1"/>
      <w:marLeft w:val="0"/>
      <w:marRight w:val="0"/>
      <w:marTop w:val="0"/>
      <w:marBottom w:val="0"/>
      <w:divBdr>
        <w:top w:val="none" w:sz="0" w:space="0" w:color="auto"/>
        <w:left w:val="none" w:sz="0" w:space="0" w:color="auto"/>
        <w:bottom w:val="none" w:sz="0" w:space="0" w:color="auto"/>
        <w:right w:val="none" w:sz="0" w:space="0" w:color="auto"/>
      </w:divBdr>
    </w:div>
    <w:div w:id="946353191">
      <w:bodyDiv w:val="1"/>
      <w:marLeft w:val="0"/>
      <w:marRight w:val="0"/>
      <w:marTop w:val="0"/>
      <w:marBottom w:val="0"/>
      <w:divBdr>
        <w:top w:val="none" w:sz="0" w:space="0" w:color="auto"/>
        <w:left w:val="none" w:sz="0" w:space="0" w:color="auto"/>
        <w:bottom w:val="none" w:sz="0" w:space="0" w:color="auto"/>
        <w:right w:val="none" w:sz="0" w:space="0" w:color="auto"/>
      </w:divBdr>
    </w:div>
    <w:div w:id="947927780">
      <w:bodyDiv w:val="1"/>
      <w:marLeft w:val="0"/>
      <w:marRight w:val="0"/>
      <w:marTop w:val="0"/>
      <w:marBottom w:val="0"/>
      <w:divBdr>
        <w:top w:val="none" w:sz="0" w:space="0" w:color="auto"/>
        <w:left w:val="none" w:sz="0" w:space="0" w:color="auto"/>
        <w:bottom w:val="none" w:sz="0" w:space="0" w:color="auto"/>
        <w:right w:val="none" w:sz="0" w:space="0" w:color="auto"/>
      </w:divBdr>
    </w:div>
    <w:div w:id="954408927">
      <w:bodyDiv w:val="1"/>
      <w:marLeft w:val="0"/>
      <w:marRight w:val="0"/>
      <w:marTop w:val="0"/>
      <w:marBottom w:val="0"/>
      <w:divBdr>
        <w:top w:val="none" w:sz="0" w:space="0" w:color="auto"/>
        <w:left w:val="none" w:sz="0" w:space="0" w:color="auto"/>
        <w:bottom w:val="none" w:sz="0" w:space="0" w:color="auto"/>
        <w:right w:val="none" w:sz="0" w:space="0" w:color="auto"/>
      </w:divBdr>
    </w:div>
    <w:div w:id="955133610">
      <w:bodyDiv w:val="1"/>
      <w:marLeft w:val="0"/>
      <w:marRight w:val="0"/>
      <w:marTop w:val="0"/>
      <w:marBottom w:val="0"/>
      <w:divBdr>
        <w:top w:val="none" w:sz="0" w:space="0" w:color="auto"/>
        <w:left w:val="none" w:sz="0" w:space="0" w:color="auto"/>
        <w:bottom w:val="none" w:sz="0" w:space="0" w:color="auto"/>
        <w:right w:val="none" w:sz="0" w:space="0" w:color="auto"/>
      </w:divBdr>
    </w:div>
    <w:div w:id="955210976">
      <w:bodyDiv w:val="1"/>
      <w:marLeft w:val="0"/>
      <w:marRight w:val="0"/>
      <w:marTop w:val="0"/>
      <w:marBottom w:val="0"/>
      <w:divBdr>
        <w:top w:val="none" w:sz="0" w:space="0" w:color="auto"/>
        <w:left w:val="none" w:sz="0" w:space="0" w:color="auto"/>
        <w:bottom w:val="none" w:sz="0" w:space="0" w:color="auto"/>
        <w:right w:val="none" w:sz="0" w:space="0" w:color="auto"/>
      </w:divBdr>
    </w:div>
    <w:div w:id="959259796">
      <w:bodyDiv w:val="1"/>
      <w:marLeft w:val="0"/>
      <w:marRight w:val="0"/>
      <w:marTop w:val="0"/>
      <w:marBottom w:val="0"/>
      <w:divBdr>
        <w:top w:val="none" w:sz="0" w:space="0" w:color="auto"/>
        <w:left w:val="none" w:sz="0" w:space="0" w:color="auto"/>
        <w:bottom w:val="none" w:sz="0" w:space="0" w:color="auto"/>
        <w:right w:val="none" w:sz="0" w:space="0" w:color="auto"/>
      </w:divBdr>
    </w:div>
    <w:div w:id="959803010">
      <w:bodyDiv w:val="1"/>
      <w:marLeft w:val="0"/>
      <w:marRight w:val="0"/>
      <w:marTop w:val="0"/>
      <w:marBottom w:val="0"/>
      <w:divBdr>
        <w:top w:val="none" w:sz="0" w:space="0" w:color="auto"/>
        <w:left w:val="none" w:sz="0" w:space="0" w:color="auto"/>
        <w:bottom w:val="none" w:sz="0" w:space="0" w:color="auto"/>
        <w:right w:val="none" w:sz="0" w:space="0" w:color="auto"/>
      </w:divBdr>
    </w:div>
    <w:div w:id="967777729">
      <w:bodyDiv w:val="1"/>
      <w:marLeft w:val="0"/>
      <w:marRight w:val="0"/>
      <w:marTop w:val="0"/>
      <w:marBottom w:val="0"/>
      <w:divBdr>
        <w:top w:val="none" w:sz="0" w:space="0" w:color="auto"/>
        <w:left w:val="none" w:sz="0" w:space="0" w:color="auto"/>
        <w:bottom w:val="none" w:sz="0" w:space="0" w:color="auto"/>
        <w:right w:val="none" w:sz="0" w:space="0" w:color="auto"/>
      </w:divBdr>
    </w:div>
    <w:div w:id="969170827">
      <w:bodyDiv w:val="1"/>
      <w:marLeft w:val="0"/>
      <w:marRight w:val="0"/>
      <w:marTop w:val="0"/>
      <w:marBottom w:val="0"/>
      <w:divBdr>
        <w:top w:val="none" w:sz="0" w:space="0" w:color="auto"/>
        <w:left w:val="none" w:sz="0" w:space="0" w:color="auto"/>
        <w:bottom w:val="none" w:sz="0" w:space="0" w:color="auto"/>
        <w:right w:val="none" w:sz="0" w:space="0" w:color="auto"/>
      </w:divBdr>
    </w:div>
    <w:div w:id="969818986">
      <w:bodyDiv w:val="1"/>
      <w:marLeft w:val="0"/>
      <w:marRight w:val="0"/>
      <w:marTop w:val="0"/>
      <w:marBottom w:val="0"/>
      <w:divBdr>
        <w:top w:val="none" w:sz="0" w:space="0" w:color="auto"/>
        <w:left w:val="none" w:sz="0" w:space="0" w:color="auto"/>
        <w:bottom w:val="none" w:sz="0" w:space="0" w:color="auto"/>
        <w:right w:val="none" w:sz="0" w:space="0" w:color="auto"/>
      </w:divBdr>
    </w:div>
    <w:div w:id="976841139">
      <w:bodyDiv w:val="1"/>
      <w:marLeft w:val="0"/>
      <w:marRight w:val="0"/>
      <w:marTop w:val="0"/>
      <w:marBottom w:val="0"/>
      <w:divBdr>
        <w:top w:val="none" w:sz="0" w:space="0" w:color="auto"/>
        <w:left w:val="none" w:sz="0" w:space="0" w:color="auto"/>
        <w:bottom w:val="none" w:sz="0" w:space="0" w:color="auto"/>
        <w:right w:val="none" w:sz="0" w:space="0" w:color="auto"/>
      </w:divBdr>
    </w:div>
    <w:div w:id="981622001">
      <w:bodyDiv w:val="1"/>
      <w:marLeft w:val="0"/>
      <w:marRight w:val="0"/>
      <w:marTop w:val="0"/>
      <w:marBottom w:val="0"/>
      <w:divBdr>
        <w:top w:val="none" w:sz="0" w:space="0" w:color="auto"/>
        <w:left w:val="none" w:sz="0" w:space="0" w:color="auto"/>
        <w:bottom w:val="none" w:sz="0" w:space="0" w:color="auto"/>
        <w:right w:val="none" w:sz="0" w:space="0" w:color="auto"/>
      </w:divBdr>
    </w:div>
    <w:div w:id="988243252">
      <w:bodyDiv w:val="1"/>
      <w:marLeft w:val="0"/>
      <w:marRight w:val="0"/>
      <w:marTop w:val="0"/>
      <w:marBottom w:val="0"/>
      <w:divBdr>
        <w:top w:val="none" w:sz="0" w:space="0" w:color="auto"/>
        <w:left w:val="none" w:sz="0" w:space="0" w:color="auto"/>
        <w:bottom w:val="none" w:sz="0" w:space="0" w:color="auto"/>
        <w:right w:val="none" w:sz="0" w:space="0" w:color="auto"/>
      </w:divBdr>
    </w:div>
    <w:div w:id="990525883">
      <w:bodyDiv w:val="1"/>
      <w:marLeft w:val="0"/>
      <w:marRight w:val="0"/>
      <w:marTop w:val="0"/>
      <w:marBottom w:val="0"/>
      <w:divBdr>
        <w:top w:val="none" w:sz="0" w:space="0" w:color="auto"/>
        <w:left w:val="none" w:sz="0" w:space="0" w:color="auto"/>
        <w:bottom w:val="none" w:sz="0" w:space="0" w:color="auto"/>
        <w:right w:val="none" w:sz="0" w:space="0" w:color="auto"/>
      </w:divBdr>
    </w:div>
    <w:div w:id="998847738">
      <w:bodyDiv w:val="1"/>
      <w:marLeft w:val="0"/>
      <w:marRight w:val="0"/>
      <w:marTop w:val="0"/>
      <w:marBottom w:val="0"/>
      <w:divBdr>
        <w:top w:val="none" w:sz="0" w:space="0" w:color="auto"/>
        <w:left w:val="none" w:sz="0" w:space="0" w:color="auto"/>
        <w:bottom w:val="none" w:sz="0" w:space="0" w:color="auto"/>
        <w:right w:val="none" w:sz="0" w:space="0" w:color="auto"/>
      </w:divBdr>
    </w:div>
    <w:div w:id="999575696">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18111">
      <w:bodyDiv w:val="1"/>
      <w:marLeft w:val="0"/>
      <w:marRight w:val="0"/>
      <w:marTop w:val="0"/>
      <w:marBottom w:val="0"/>
      <w:divBdr>
        <w:top w:val="none" w:sz="0" w:space="0" w:color="auto"/>
        <w:left w:val="none" w:sz="0" w:space="0" w:color="auto"/>
        <w:bottom w:val="none" w:sz="0" w:space="0" w:color="auto"/>
        <w:right w:val="none" w:sz="0" w:space="0" w:color="auto"/>
      </w:divBdr>
    </w:div>
    <w:div w:id="1006901071">
      <w:bodyDiv w:val="1"/>
      <w:marLeft w:val="0"/>
      <w:marRight w:val="0"/>
      <w:marTop w:val="0"/>
      <w:marBottom w:val="0"/>
      <w:divBdr>
        <w:top w:val="none" w:sz="0" w:space="0" w:color="auto"/>
        <w:left w:val="none" w:sz="0" w:space="0" w:color="auto"/>
        <w:bottom w:val="none" w:sz="0" w:space="0" w:color="auto"/>
        <w:right w:val="none" w:sz="0" w:space="0" w:color="auto"/>
      </w:divBdr>
    </w:div>
    <w:div w:id="1013537207">
      <w:bodyDiv w:val="1"/>
      <w:marLeft w:val="0"/>
      <w:marRight w:val="0"/>
      <w:marTop w:val="0"/>
      <w:marBottom w:val="0"/>
      <w:divBdr>
        <w:top w:val="none" w:sz="0" w:space="0" w:color="auto"/>
        <w:left w:val="none" w:sz="0" w:space="0" w:color="auto"/>
        <w:bottom w:val="none" w:sz="0" w:space="0" w:color="auto"/>
        <w:right w:val="none" w:sz="0" w:space="0" w:color="auto"/>
      </w:divBdr>
    </w:div>
    <w:div w:id="1024984893">
      <w:bodyDiv w:val="1"/>
      <w:marLeft w:val="0"/>
      <w:marRight w:val="0"/>
      <w:marTop w:val="0"/>
      <w:marBottom w:val="0"/>
      <w:divBdr>
        <w:top w:val="none" w:sz="0" w:space="0" w:color="auto"/>
        <w:left w:val="none" w:sz="0" w:space="0" w:color="auto"/>
        <w:bottom w:val="none" w:sz="0" w:space="0" w:color="auto"/>
        <w:right w:val="none" w:sz="0" w:space="0" w:color="auto"/>
      </w:divBdr>
    </w:div>
    <w:div w:id="1025180926">
      <w:bodyDiv w:val="1"/>
      <w:marLeft w:val="0"/>
      <w:marRight w:val="0"/>
      <w:marTop w:val="0"/>
      <w:marBottom w:val="0"/>
      <w:divBdr>
        <w:top w:val="none" w:sz="0" w:space="0" w:color="auto"/>
        <w:left w:val="none" w:sz="0" w:space="0" w:color="auto"/>
        <w:bottom w:val="none" w:sz="0" w:space="0" w:color="auto"/>
        <w:right w:val="none" w:sz="0" w:space="0" w:color="auto"/>
      </w:divBdr>
    </w:div>
    <w:div w:id="1031614410">
      <w:bodyDiv w:val="1"/>
      <w:marLeft w:val="0"/>
      <w:marRight w:val="0"/>
      <w:marTop w:val="0"/>
      <w:marBottom w:val="0"/>
      <w:divBdr>
        <w:top w:val="none" w:sz="0" w:space="0" w:color="auto"/>
        <w:left w:val="none" w:sz="0" w:space="0" w:color="auto"/>
        <w:bottom w:val="none" w:sz="0" w:space="0" w:color="auto"/>
        <w:right w:val="none" w:sz="0" w:space="0" w:color="auto"/>
      </w:divBdr>
    </w:div>
    <w:div w:id="1034961427">
      <w:bodyDiv w:val="1"/>
      <w:marLeft w:val="0"/>
      <w:marRight w:val="0"/>
      <w:marTop w:val="0"/>
      <w:marBottom w:val="0"/>
      <w:divBdr>
        <w:top w:val="none" w:sz="0" w:space="0" w:color="auto"/>
        <w:left w:val="none" w:sz="0" w:space="0" w:color="auto"/>
        <w:bottom w:val="none" w:sz="0" w:space="0" w:color="auto"/>
        <w:right w:val="none" w:sz="0" w:space="0" w:color="auto"/>
      </w:divBdr>
    </w:div>
    <w:div w:id="1038117436">
      <w:bodyDiv w:val="1"/>
      <w:marLeft w:val="0"/>
      <w:marRight w:val="0"/>
      <w:marTop w:val="0"/>
      <w:marBottom w:val="0"/>
      <w:divBdr>
        <w:top w:val="none" w:sz="0" w:space="0" w:color="auto"/>
        <w:left w:val="none" w:sz="0" w:space="0" w:color="auto"/>
        <w:bottom w:val="none" w:sz="0" w:space="0" w:color="auto"/>
        <w:right w:val="none" w:sz="0" w:space="0" w:color="auto"/>
      </w:divBdr>
    </w:div>
    <w:div w:id="1040325407">
      <w:bodyDiv w:val="1"/>
      <w:marLeft w:val="0"/>
      <w:marRight w:val="0"/>
      <w:marTop w:val="0"/>
      <w:marBottom w:val="0"/>
      <w:divBdr>
        <w:top w:val="none" w:sz="0" w:space="0" w:color="auto"/>
        <w:left w:val="none" w:sz="0" w:space="0" w:color="auto"/>
        <w:bottom w:val="none" w:sz="0" w:space="0" w:color="auto"/>
        <w:right w:val="none" w:sz="0" w:space="0" w:color="auto"/>
      </w:divBdr>
    </w:div>
    <w:div w:id="1042247032">
      <w:bodyDiv w:val="1"/>
      <w:marLeft w:val="0"/>
      <w:marRight w:val="0"/>
      <w:marTop w:val="0"/>
      <w:marBottom w:val="0"/>
      <w:divBdr>
        <w:top w:val="none" w:sz="0" w:space="0" w:color="auto"/>
        <w:left w:val="none" w:sz="0" w:space="0" w:color="auto"/>
        <w:bottom w:val="none" w:sz="0" w:space="0" w:color="auto"/>
        <w:right w:val="none" w:sz="0" w:space="0" w:color="auto"/>
      </w:divBdr>
    </w:div>
    <w:div w:id="1042904760">
      <w:bodyDiv w:val="1"/>
      <w:marLeft w:val="0"/>
      <w:marRight w:val="0"/>
      <w:marTop w:val="0"/>
      <w:marBottom w:val="0"/>
      <w:divBdr>
        <w:top w:val="none" w:sz="0" w:space="0" w:color="auto"/>
        <w:left w:val="none" w:sz="0" w:space="0" w:color="auto"/>
        <w:bottom w:val="none" w:sz="0" w:space="0" w:color="auto"/>
        <w:right w:val="none" w:sz="0" w:space="0" w:color="auto"/>
      </w:divBdr>
    </w:div>
    <w:div w:id="1043407361">
      <w:bodyDiv w:val="1"/>
      <w:marLeft w:val="0"/>
      <w:marRight w:val="0"/>
      <w:marTop w:val="0"/>
      <w:marBottom w:val="0"/>
      <w:divBdr>
        <w:top w:val="none" w:sz="0" w:space="0" w:color="auto"/>
        <w:left w:val="none" w:sz="0" w:space="0" w:color="auto"/>
        <w:bottom w:val="none" w:sz="0" w:space="0" w:color="auto"/>
        <w:right w:val="none" w:sz="0" w:space="0" w:color="auto"/>
      </w:divBdr>
    </w:div>
    <w:div w:id="1043750134">
      <w:bodyDiv w:val="1"/>
      <w:marLeft w:val="0"/>
      <w:marRight w:val="0"/>
      <w:marTop w:val="0"/>
      <w:marBottom w:val="0"/>
      <w:divBdr>
        <w:top w:val="none" w:sz="0" w:space="0" w:color="auto"/>
        <w:left w:val="none" w:sz="0" w:space="0" w:color="auto"/>
        <w:bottom w:val="none" w:sz="0" w:space="0" w:color="auto"/>
        <w:right w:val="none" w:sz="0" w:space="0" w:color="auto"/>
      </w:divBdr>
    </w:div>
    <w:div w:id="1043821377">
      <w:bodyDiv w:val="1"/>
      <w:marLeft w:val="0"/>
      <w:marRight w:val="0"/>
      <w:marTop w:val="0"/>
      <w:marBottom w:val="0"/>
      <w:divBdr>
        <w:top w:val="none" w:sz="0" w:space="0" w:color="auto"/>
        <w:left w:val="none" w:sz="0" w:space="0" w:color="auto"/>
        <w:bottom w:val="none" w:sz="0" w:space="0" w:color="auto"/>
        <w:right w:val="none" w:sz="0" w:space="0" w:color="auto"/>
      </w:divBdr>
    </w:div>
    <w:div w:id="1044983946">
      <w:bodyDiv w:val="1"/>
      <w:marLeft w:val="0"/>
      <w:marRight w:val="0"/>
      <w:marTop w:val="0"/>
      <w:marBottom w:val="0"/>
      <w:divBdr>
        <w:top w:val="none" w:sz="0" w:space="0" w:color="auto"/>
        <w:left w:val="none" w:sz="0" w:space="0" w:color="auto"/>
        <w:bottom w:val="none" w:sz="0" w:space="0" w:color="auto"/>
        <w:right w:val="none" w:sz="0" w:space="0" w:color="auto"/>
      </w:divBdr>
    </w:div>
    <w:div w:id="1045107835">
      <w:bodyDiv w:val="1"/>
      <w:marLeft w:val="0"/>
      <w:marRight w:val="0"/>
      <w:marTop w:val="0"/>
      <w:marBottom w:val="0"/>
      <w:divBdr>
        <w:top w:val="none" w:sz="0" w:space="0" w:color="auto"/>
        <w:left w:val="none" w:sz="0" w:space="0" w:color="auto"/>
        <w:bottom w:val="none" w:sz="0" w:space="0" w:color="auto"/>
        <w:right w:val="none" w:sz="0" w:space="0" w:color="auto"/>
      </w:divBdr>
    </w:div>
    <w:div w:id="1046878920">
      <w:bodyDiv w:val="1"/>
      <w:marLeft w:val="0"/>
      <w:marRight w:val="0"/>
      <w:marTop w:val="0"/>
      <w:marBottom w:val="0"/>
      <w:divBdr>
        <w:top w:val="none" w:sz="0" w:space="0" w:color="auto"/>
        <w:left w:val="none" w:sz="0" w:space="0" w:color="auto"/>
        <w:bottom w:val="none" w:sz="0" w:space="0" w:color="auto"/>
        <w:right w:val="none" w:sz="0" w:space="0" w:color="auto"/>
      </w:divBdr>
    </w:div>
    <w:div w:id="1048607606">
      <w:bodyDiv w:val="1"/>
      <w:marLeft w:val="0"/>
      <w:marRight w:val="0"/>
      <w:marTop w:val="0"/>
      <w:marBottom w:val="0"/>
      <w:divBdr>
        <w:top w:val="none" w:sz="0" w:space="0" w:color="auto"/>
        <w:left w:val="none" w:sz="0" w:space="0" w:color="auto"/>
        <w:bottom w:val="none" w:sz="0" w:space="0" w:color="auto"/>
        <w:right w:val="none" w:sz="0" w:space="0" w:color="auto"/>
      </w:divBdr>
    </w:div>
    <w:div w:id="1050112257">
      <w:bodyDiv w:val="1"/>
      <w:marLeft w:val="0"/>
      <w:marRight w:val="0"/>
      <w:marTop w:val="0"/>
      <w:marBottom w:val="0"/>
      <w:divBdr>
        <w:top w:val="none" w:sz="0" w:space="0" w:color="auto"/>
        <w:left w:val="none" w:sz="0" w:space="0" w:color="auto"/>
        <w:bottom w:val="none" w:sz="0" w:space="0" w:color="auto"/>
        <w:right w:val="none" w:sz="0" w:space="0" w:color="auto"/>
      </w:divBdr>
    </w:div>
    <w:div w:id="1060783791">
      <w:bodyDiv w:val="1"/>
      <w:marLeft w:val="0"/>
      <w:marRight w:val="0"/>
      <w:marTop w:val="0"/>
      <w:marBottom w:val="0"/>
      <w:divBdr>
        <w:top w:val="none" w:sz="0" w:space="0" w:color="auto"/>
        <w:left w:val="none" w:sz="0" w:space="0" w:color="auto"/>
        <w:bottom w:val="none" w:sz="0" w:space="0" w:color="auto"/>
        <w:right w:val="none" w:sz="0" w:space="0" w:color="auto"/>
      </w:divBdr>
    </w:div>
    <w:div w:id="1061906491">
      <w:bodyDiv w:val="1"/>
      <w:marLeft w:val="0"/>
      <w:marRight w:val="0"/>
      <w:marTop w:val="0"/>
      <w:marBottom w:val="0"/>
      <w:divBdr>
        <w:top w:val="none" w:sz="0" w:space="0" w:color="auto"/>
        <w:left w:val="none" w:sz="0" w:space="0" w:color="auto"/>
        <w:bottom w:val="none" w:sz="0" w:space="0" w:color="auto"/>
        <w:right w:val="none" w:sz="0" w:space="0" w:color="auto"/>
      </w:divBdr>
    </w:div>
    <w:div w:id="1062409050">
      <w:bodyDiv w:val="1"/>
      <w:marLeft w:val="0"/>
      <w:marRight w:val="0"/>
      <w:marTop w:val="0"/>
      <w:marBottom w:val="0"/>
      <w:divBdr>
        <w:top w:val="none" w:sz="0" w:space="0" w:color="auto"/>
        <w:left w:val="none" w:sz="0" w:space="0" w:color="auto"/>
        <w:bottom w:val="none" w:sz="0" w:space="0" w:color="auto"/>
        <w:right w:val="none" w:sz="0" w:space="0" w:color="auto"/>
      </w:divBdr>
    </w:div>
    <w:div w:id="1068846548">
      <w:bodyDiv w:val="1"/>
      <w:marLeft w:val="0"/>
      <w:marRight w:val="0"/>
      <w:marTop w:val="0"/>
      <w:marBottom w:val="0"/>
      <w:divBdr>
        <w:top w:val="none" w:sz="0" w:space="0" w:color="auto"/>
        <w:left w:val="none" w:sz="0" w:space="0" w:color="auto"/>
        <w:bottom w:val="none" w:sz="0" w:space="0" w:color="auto"/>
        <w:right w:val="none" w:sz="0" w:space="0" w:color="auto"/>
      </w:divBdr>
    </w:div>
    <w:div w:id="1071150526">
      <w:bodyDiv w:val="1"/>
      <w:marLeft w:val="0"/>
      <w:marRight w:val="0"/>
      <w:marTop w:val="0"/>
      <w:marBottom w:val="0"/>
      <w:divBdr>
        <w:top w:val="none" w:sz="0" w:space="0" w:color="auto"/>
        <w:left w:val="none" w:sz="0" w:space="0" w:color="auto"/>
        <w:bottom w:val="none" w:sz="0" w:space="0" w:color="auto"/>
        <w:right w:val="none" w:sz="0" w:space="0" w:color="auto"/>
      </w:divBdr>
    </w:div>
    <w:div w:id="1078139302">
      <w:bodyDiv w:val="1"/>
      <w:marLeft w:val="0"/>
      <w:marRight w:val="0"/>
      <w:marTop w:val="0"/>
      <w:marBottom w:val="0"/>
      <w:divBdr>
        <w:top w:val="none" w:sz="0" w:space="0" w:color="auto"/>
        <w:left w:val="none" w:sz="0" w:space="0" w:color="auto"/>
        <w:bottom w:val="none" w:sz="0" w:space="0" w:color="auto"/>
        <w:right w:val="none" w:sz="0" w:space="0" w:color="auto"/>
      </w:divBdr>
    </w:div>
    <w:div w:id="1079475632">
      <w:bodyDiv w:val="1"/>
      <w:marLeft w:val="0"/>
      <w:marRight w:val="0"/>
      <w:marTop w:val="0"/>
      <w:marBottom w:val="0"/>
      <w:divBdr>
        <w:top w:val="none" w:sz="0" w:space="0" w:color="auto"/>
        <w:left w:val="none" w:sz="0" w:space="0" w:color="auto"/>
        <w:bottom w:val="none" w:sz="0" w:space="0" w:color="auto"/>
        <w:right w:val="none" w:sz="0" w:space="0" w:color="auto"/>
      </w:divBdr>
    </w:div>
    <w:div w:id="1087389753">
      <w:bodyDiv w:val="1"/>
      <w:marLeft w:val="0"/>
      <w:marRight w:val="0"/>
      <w:marTop w:val="0"/>
      <w:marBottom w:val="0"/>
      <w:divBdr>
        <w:top w:val="none" w:sz="0" w:space="0" w:color="auto"/>
        <w:left w:val="none" w:sz="0" w:space="0" w:color="auto"/>
        <w:bottom w:val="none" w:sz="0" w:space="0" w:color="auto"/>
        <w:right w:val="none" w:sz="0" w:space="0" w:color="auto"/>
      </w:divBdr>
    </w:div>
    <w:div w:id="1087843060">
      <w:bodyDiv w:val="1"/>
      <w:marLeft w:val="0"/>
      <w:marRight w:val="0"/>
      <w:marTop w:val="0"/>
      <w:marBottom w:val="0"/>
      <w:divBdr>
        <w:top w:val="none" w:sz="0" w:space="0" w:color="auto"/>
        <w:left w:val="none" w:sz="0" w:space="0" w:color="auto"/>
        <w:bottom w:val="none" w:sz="0" w:space="0" w:color="auto"/>
        <w:right w:val="none" w:sz="0" w:space="0" w:color="auto"/>
      </w:divBdr>
    </w:div>
    <w:div w:id="1098872349">
      <w:bodyDiv w:val="1"/>
      <w:marLeft w:val="0"/>
      <w:marRight w:val="0"/>
      <w:marTop w:val="0"/>
      <w:marBottom w:val="0"/>
      <w:divBdr>
        <w:top w:val="none" w:sz="0" w:space="0" w:color="auto"/>
        <w:left w:val="none" w:sz="0" w:space="0" w:color="auto"/>
        <w:bottom w:val="none" w:sz="0" w:space="0" w:color="auto"/>
        <w:right w:val="none" w:sz="0" w:space="0" w:color="auto"/>
      </w:divBdr>
    </w:div>
    <w:div w:id="1106388764">
      <w:bodyDiv w:val="1"/>
      <w:marLeft w:val="0"/>
      <w:marRight w:val="0"/>
      <w:marTop w:val="0"/>
      <w:marBottom w:val="0"/>
      <w:divBdr>
        <w:top w:val="none" w:sz="0" w:space="0" w:color="auto"/>
        <w:left w:val="none" w:sz="0" w:space="0" w:color="auto"/>
        <w:bottom w:val="none" w:sz="0" w:space="0" w:color="auto"/>
        <w:right w:val="none" w:sz="0" w:space="0" w:color="auto"/>
      </w:divBdr>
    </w:div>
    <w:div w:id="1109159825">
      <w:bodyDiv w:val="1"/>
      <w:marLeft w:val="0"/>
      <w:marRight w:val="0"/>
      <w:marTop w:val="0"/>
      <w:marBottom w:val="0"/>
      <w:divBdr>
        <w:top w:val="none" w:sz="0" w:space="0" w:color="auto"/>
        <w:left w:val="none" w:sz="0" w:space="0" w:color="auto"/>
        <w:bottom w:val="none" w:sz="0" w:space="0" w:color="auto"/>
        <w:right w:val="none" w:sz="0" w:space="0" w:color="auto"/>
      </w:divBdr>
    </w:div>
    <w:div w:id="1116874019">
      <w:bodyDiv w:val="1"/>
      <w:marLeft w:val="0"/>
      <w:marRight w:val="0"/>
      <w:marTop w:val="0"/>
      <w:marBottom w:val="0"/>
      <w:divBdr>
        <w:top w:val="none" w:sz="0" w:space="0" w:color="auto"/>
        <w:left w:val="none" w:sz="0" w:space="0" w:color="auto"/>
        <w:bottom w:val="none" w:sz="0" w:space="0" w:color="auto"/>
        <w:right w:val="none" w:sz="0" w:space="0" w:color="auto"/>
      </w:divBdr>
    </w:div>
    <w:div w:id="1118721148">
      <w:bodyDiv w:val="1"/>
      <w:marLeft w:val="0"/>
      <w:marRight w:val="0"/>
      <w:marTop w:val="0"/>
      <w:marBottom w:val="0"/>
      <w:divBdr>
        <w:top w:val="none" w:sz="0" w:space="0" w:color="auto"/>
        <w:left w:val="none" w:sz="0" w:space="0" w:color="auto"/>
        <w:bottom w:val="none" w:sz="0" w:space="0" w:color="auto"/>
        <w:right w:val="none" w:sz="0" w:space="0" w:color="auto"/>
      </w:divBdr>
    </w:div>
    <w:div w:id="1122458440">
      <w:bodyDiv w:val="1"/>
      <w:marLeft w:val="0"/>
      <w:marRight w:val="0"/>
      <w:marTop w:val="0"/>
      <w:marBottom w:val="0"/>
      <w:divBdr>
        <w:top w:val="none" w:sz="0" w:space="0" w:color="auto"/>
        <w:left w:val="none" w:sz="0" w:space="0" w:color="auto"/>
        <w:bottom w:val="none" w:sz="0" w:space="0" w:color="auto"/>
        <w:right w:val="none" w:sz="0" w:space="0" w:color="auto"/>
      </w:divBdr>
    </w:div>
    <w:div w:id="1122729388">
      <w:bodyDiv w:val="1"/>
      <w:marLeft w:val="0"/>
      <w:marRight w:val="0"/>
      <w:marTop w:val="0"/>
      <w:marBottom w:val="0"/>
      <w:divBdr>
        <w:top w:val="none" w:sz="0" w:space="0" w:color="auto"/>
        <w:left w:val="none" w:sz="0" w:space="0" w:color="auto"/>
        <w:bottom w:val="none" w:sz="0" w:space="0" w:color="auto"/>
        <w:right w:val="none" w:sz="0" w:space="0" w:color="auto"/>
      </w:divBdr>
    </w:div>
    <w:div w:id="1123110004">
      <w:bodyDiv w:val="1"/>
      <w:marLeft w:val="0"/>
      <w:marRight w:val="0"/>
      <w:marTop w:val="0"/>
      <w:marBottom w:val="0"/>
      <w:divBdr>
        <w:top w:val="none" w:sz="0" w:space="0" w:color="auto"/>
        <w:left w:val="none" w:sz="0" w:space="0" w:color="auto"/>
        <w:bottom w:val="none" w:sz="0" w:space="0" w:color="auto"/>
        <w:right w:val="none" w:sz="0" w:space="0" w:color="auto"/>
      </w:divBdr>
    </w:div>
    <w:div w:id="1127964748">
      <w:bodyDiv w:val="1"/>
      <w:marLeft w:val="0"/>
      <w:marRight w:val="0"/>
      <w:marTop w:val="0"/>
      <w:marBottom w:val="0"/>
      <w:divBdr>
        <w:top w:val="none" w:sz="0" w:space="0" w:color="auto"/>
        <w:left w:val="none" w:sz="0" w:space="0" w:color="auto"/>
        <w:bottom w:val="none" w:sz="0" w:space="0" w:color="auto"/>
        <w:right w:val="none" w:sz="0" w:space="0" w:color="auto"/>
      </w:divBdr>
    </w:div>
    <w:div w:id="1134297703">
      <w:bodyDiv w:val="1"/>
      <w:marLeft w:val="0"/>
      <w:marRight w:val="0"/>
      <w:marTop w:val="0"/>
      <w:marBottom w:val="0"/>
      <w:divBdr>
        <w:top w:val="none" w:sz="0" w:space="0" w:color="auto"/>
        <w:left w:val="none" w:sz="0" w:space="0" w:color="auto"/>
        <w:bottom w:val="none" w:sz="0" w:space="0" w:color="auto"/>
        <w:right w:val="none" w:sz="0" w:space="0" w:color="auto"/>
      </w:divBdr>
    </w:div>
    <w:div w:id="1138229577">
      <w:bodyDiv w:val="1"/>
      <w:marLeft w:val="0"/>
      <w:marRight w:val="0"/>
      <w:marTop w:val="0"/>
      <w:marBottom w:val="0"/>
      <w:divBdr>
        <w:top w:val="none" w:sz="0" w:space="0" w:color="auto"/>
        <w:left w:val="none" w:sz="0" w:space="0" w:color="auto"/>
        <w:bottom w:val="none" w:sz="0" w:space="0" w:color="auto"/>
        <w:right w:val="none" w:sz="0" w:space="0" w:color="auto"/>
      </w:divBdr>
    </w:div>
    <w:div w:id="1142310531">
      <w:bodyDiv w:val="1"/>
      <w:marLeft w:val="0"/>
      <w:marRight w:val="0"/>
      <w:marTop w:val="0"/>
      <w:marBottom w:val="0"/>
      <w:divBdr>
        <w:top w:val="none" w:sz="0" w:space="0" w:color="auto"/>
        <w:left w:val="none" w:sz="0" w:space="0" w:color="auto"/>
        <w:bottom w:val="none" w:sz="0" w:space="0" w:color="auto"/>
        <w:right w:val="none" w:sz="0" w:space="0" w:color="auto"/>
      </w:divBdr>
    </w:div>
    <w:div w:id="1142962105">
      <w:bodyDiv w:val="1"/>
      <w:marLeft w:val="0"/>
      <w:marRight w:val="0"/>
      <w:marTop w:val="0"/>
      <w:marBottom w:val="0"/>
      <w:divBdr>
        <w:top w:val="none" w:sz="0" w:space="0" w:color="auto"/>
        <w:left w:val="none" w:sz="0" w:space="0" w:color="auto"/>
        <w:bottom w:val="none" w:sz="0" w:space="0" w:color="auto"/>
        <w:right w:val="none" w:sz="0" w:space="0" w:color="auto"/>
      </w:divBdr>
    </w:div>
    <w:div w:id="1143087515">
      <w:bodyDiv w:val="1"/>
      <w:marLeft w:val="0"/>
      <w:marRight w:val="0"/>
      <w:marTop w:val="0"/>
      <w:marBottom w:val="0"/>
      <w:divBdr>
        <w:top w:val="none" w:sz="0" w:space="0" w:color="auto"/>
        <w:left w:val="none" w:sz="0" w:space="0" w:color="auto"/>
        <w:bottom w:val="none" w:sz="0" w:space="0" w:color="auto"/>
        <w:right w:val="none" w:sz="0" w:space="0" w:color="auto"/>
      </w:divBdr>
    </w:div>
    <w:div w:id="1152336715">
      <w:bodyDiv w:val="1"/>
      <w:marLeft w:val="0"/>
      <w:marRight w:val="0"/>
      <w:marTop w:val="0"/>
      <w:marBottom w:val="0"/>
      <w:divBdr>
        <w:top w:val="none" w:sz="0" w:space="0" w:color="auto"/>
        <w:left w:val="none" w:sz="0" w:space="0" w:color="auto"/>
        <w:bottom w:val="none" w:sz="0" w:space="0" w:color="auto"/>
        <w:right w:val="none" w:sz="0" w:space="0" w:color="auto"/>
      </w:divBdr>
    </w:div>
    <w:div w:id="1153326594">
      <w:bodyDiv w:val="1"/>
      <w:marLeft w:val="0"/>
      <w:marRight w:val="0"/>
      <w:marTop w:val="0"/>
      <w:marBottom w:val="0"/>
      <w:divBdr>
        <w:top w:val="none" w:sz="0" w:space="0" w:color="auto"/>
        <w:left w:val="none" w:sz="0" w:space="0" w:color="auto"/>
        <w:bottom w:val="none" w:sz="0" w:space="0" w:color="auto"/>
        <w:right w:val="none" w:sz="0" w:space="0" w:color="auto"/>
      </w:divBdr>
    </w:div>
    <w:div w:id="1153717660">
      <w:bodyDiv w:val="1"/>
      <w:marLeft w:val="0"/>
      <w:marRight w:val="0"/>
      <w:marTop w:val="0"/>
      <w:marBottom w:val="0"/>
      <w:divBdr>
        <w:top w:val="none" w:sz="0" w:space="0" w:color="auto"/>
        <w:left w:val="none" w:sz="0" w:space="0" w:color="auto"/>
        <w:bottom w:val="none" w:sz="0" w:space="0" w:color="auto"/>
        <w:right w:val="none" w:sz="0" w:space="0" w:color="auto"/>
      </w:divBdr>
    </w:div>
    <w:div w:id="1153831110">
      <w:bodyDiv w:val="1"/>
      <w:marLeft w:val="0"/>
      <w:marRight w:val="0"/>
      <w:marTop w:val="0"/>
      <w:marBottom w:val="0"/>
      <w:divBdr>
        <w:top w:val="none" w:sz="0" w:space="0" w:color="auto"/>
        <w:left w:val="none" w:sz="0" w:space="0" w:color="auto"/>
        <w:bottom w:val="none" w:sz="0" w:space="0" w:color="auto"/>
        <w:right w:val="none" w:sz="0" w:space="0" w:color="auto"/>
      </w:divBdr>
    </w:div>
    <w:div w:id="1154837903">
      <w:bodyDiv w:val="1"/>
      <w:marLeft w:val="0"/>
      <w:marRight w:val="0"/>
      <w:marTop w:val="0"/>
      <w:marBottom w:val="0"/>
      <w:divBdr>
        <w:top w:val="none" w:sz="0" w:space="0" w:color="auto"/>
        <w:left w:val="none" w:sz="0" w:space="0" w:color="auto"/>
        <w:bottom w:val="none" w:sz="0" w:space="0" w:color="auto"/>
        <w:right w:val="none" w:sz="0" w:space="0" w:color="auto"/>
      </w:divBdr>
    </w:div>
    <w:div w:id="1155534329">
      <w:bodyDiv w:val="1"/>
      <w:marLeft w:val="0"/>
      <w:marRight w:val="0"/>
      <w:marTop w:val="0"/>
      <w:marBottom w:val="0"/>
      <w:divBdr>
        <w:top w:val="none" w:sz="0" w:space="0" w:color="auto"/>
        <w:left w:val="none" w:sz="0" w:space="0" w:color="auto"/>
        <w:bottom w:val="none" w:sz="0" w:space="0" w:color="auto"/>
        <w:right w:val="none" w:sz="0" w:space="0" w:color="auto"/>
      </w:divBdr>
    </w:div>
    <w:div w:id="1159690861">
      <w:bodyDiv w:val="1"/>
      <w:marLeft w:val="0"/>
      <w:marRight w:val="0"/>
      <w:marTop w:val="0"/>
      <w:marBottom w:val="0"/>
      <w:divBdr>
        <w:top w:val="none" w:sz="0" w:space="0" w:color="auto"/>
        <w:left w:val="none" w:sz="0" w:space="0" w:color="auto"/>
        <w:bottom w:val="none" w:sz="0" w:space="0" w:color="auto"/>
        <w:right w:val="none" w:sz="0" w:space="0" w:color="auto"/>
      </w:divBdr>
    </w:div>
    <w:div w:id="1163206913">
      <w:bodyDiv w:val="1"/>
      <w:marLeft w:val="0"/>
      <w:marRight w:val="0"/>
      <w:marTop w:val="0"/>
      <w:marBottom w:val="0"/>
      <w:divBdr>
        <w:top w:val="none" w:sz="0" w:space="0" w:color="auto"/>
        <w:left w:val="none" w:sz="0" w:space="0" w:color="auto"/>
        <w:bottom w:val="none" w:sz="0" w:space="0" w:color="auto"/>
        <w:right w:val="none" w:sz="0" w:space="0" w:color="auto"/>
      </w:divBdr>
    </w:div>
    <w:div w:id="1165509798">
      <w:bodyDiv w:val="1"/>
      <w:marLeft w:val="0"/>
      <w:marRight w:val="0"/>
      <w:marTop w:val="0"/>
      <w:marBottom w:val="0"/>
      <w:divBdr>
        <w:top w:val="none" w:sz="0" w:space="0" w:color="auto"/>
        <w:left w:val="none" w:sz="0" w:space="0" w:color="auto"/>
        <w:bottom w:val="none" w:sz="0" w:space="0" w:color="auto"/>
        <w:right w:val="none" w:sz="0" w:space="0" w:color="auto"/>
      </w:divBdr>
    </w:div>
    <w:div w:id="1167936943">
      <w:bodyDiv w:val="1"/>
      <w:marLeft w:val="0"/>
      <w:marRight w:val="0"/>
      <w:marTop w:val="0"/>
      <w:marBottom w:val="0"/>
      <w:divBdr>
        <w:top w:val="none" w:sz="0" w:space="0" w:color="auto"/>
        <w:left w:val="none" w:sz="0" w:space="0" w:color="auto"/>
        <w:bottom w:val="none" w:sz="0" w:space="0" w:color="auto"/>
        <w:right w:val="none" w:sz="0" w:space="0" w:color="auto"/>
      </w:divBdr>
    </w:div>
    <w:div w:id="1170407606">
      <w:bodyDiv w:val="1"/>
      <w:marLeft w:val="0"/>
      <w:marRight w:val="0"/>
      <w:marTop w:val="0"/>
      <w:marBottom w:val="0"/>
      <w:divBdr>
        <w:top w:val="none" w:sz="0" w:space="0" w:color="auto"/>
        <w:left w:val="none" w:sz="0" w:space="0" w:color="auto"/>
        <w:bottom w:val="none" w:sz="0" w:space="0" w:color="auto"/>
        <w:right w:val="none" w:sz="0" w:space="0" w:color="auto"/>
      </w:divBdr>
    </w:div>
    <w:div w:id="1175614070">
      <w:bodyDiv w:val="1"/>
      <w:marLeft w:val="0"/>
      <w:marRight w:val="0"/>
      <w:marTop w:val="0"/>
      <w:marBottom w:val="0"/>
      <w:divBdr>
        <w:top w:val="none" w:sz="0" w:space="0" w:color="auto"/>
        <w:left w:val="none" w:sz="0" w:space="0" w:color="auto"/>
        <w:bottom w:val="none" w:sz="0" w:space="0" w:color="auto"/>
        <w:right w:val="none" w:sz="0" w:space="0" w:color="auto"/>
      </w:divBdr>
    </w:div>
    <w:div w:id="1176965470">
      <w:bodyDiv w:val="1"/>
      <w:marLeft w:val="0"/>
      <w:marRight w:val="0"/>
      <w:marTop w:val="0"/>
      <w:marBottom w:val="0"/>
      <w:divBdr>
        <w:top w:val="none" w:sz="0" w:space="0" w:color="auto"/>
        <w:left w:val="none" w:sz="0" w:space="0" w:color="auto"/>
        <w:bottom w:val="none" w:sz="0" w:space="0" w:color="auto"/>
        <w:right w:val="none" w:sz="0" w:space="0" w:color="auto"/>
      </w:divBdr>
    </w:div>
    <w:div w:id="1184129163">
      <w:bodyDiv w:val="1"/>
      <w:marLeft w:val="0"/>
      <w:marRight w:val="0"/>
      <w:marTop w:val="0"/>
      <w:marBottom w:val="0"/>
      <w:divBdr>
        <w:top w:val="none" w:sz="0" w:space="0" w:color="auto"/>
        <w:left w:val="none" w:sz="0" w:space="0" w:color="auto"/>
        <w:bottom w:val="none" w:sz="0" w:space="0" w:color="auto"/>
        <w:right w:val="none" w:sz="0" w:space="0" w:color="auto"/>
      </w:divBdr>
    </w:div>
    <w:div w:id="1196045863">
      <w:bodyDiv w:val="1"/>
      <w:marLeft w:val="0"/>
      <w:marRight w:val="0"/>
      <w:marTop w:val="0"/>
      <w:marBottom w:val="0"/>
      <w:divBdr>
        <w:top w:val="none" w:sz="0" w:space="0" w:color="auto"/>
        <w:left w:val="none" w:sz="0" w:space="0" w:color="auto"/>
        <w:bottom w:val="none" w:sz="0" w:space="0" w:color="auto"/>
        <w:right w:val="none" w:sz="0" w:space="0" w:color="auto"/>
      </w:divBdr>
    </w:div>
    <w:div w:id="1200775689">
      <w:bodyDiv w:val="1"/>
      <w:marLeft w:val="0"/>
      <w:marRight w:val="0"/>
      <w:marTop w:val="0"/>
      <w:marBottom w:val="0"/>
      <w:divBdr>
        <w:top w:val="none" w:sz="0" w:space="0" w:color="auto"/>
        <w:left w:val="none" w:sz="0" w:space="0" w:color="auto"/>
        <w:bottom w:val="none" w:sz="0" w:space="0" w:color="auto"/>
        <w:right w:val="none" w:sz="0" w:space="0" w:color="auto"/>
      </w:divBdr>
    </w:div>
    <w:div w:id="1200971277">
      <w:bodyDiv w:val="1"/>
      <w:marLeft w:val="0"/>
      <w:marRight w:val="0"/>
      <w:marTop w:val="0"/>
      <w:marBottom w:val="0"/>
      <w:divBdr>
        <w:top w:val="none" w:sz="0" w:space="0" w:color="auto"/>
        <w:left w:val="none" w:sz="0" w:space="0" w:color="auto"/>
        <w:bottom w:val="none" w:sz="0" w:space="0" w:color="auto"/>
        <w:right w:val="none" w:sz="0" w:space="0" w:color="auto"/>
      </w:divBdr>
    </w:div>
    <w:div w:id="1202548495">
      <w:bodyDiv w:val="1"/>
      <w:marLeft w:val="0"/>
      <w:marRight w:val="0"/>
      <w:marTop w:val="0"/>
      <w:marBottom w:val="0"/>
      <w:divBdr>
        <w:top w:val="none" w:sz="0" w:space="0" w:color="auto"/>
        <w:left w:val="none" w:sz="0" w:space="0" w:color="auto"/>
        <w:bottom w:val="none" w:sz="0" w:space="0" w:color="auto"/>
        <w:right w:val="none" w:sz="0" w:space="0" w:color="auto"/>
      </w:divBdr>
    </w:div>
    <w:div w:id="1202671048">
      <w:bodyDiv w:val="1"/>
      <w:marLeft w:val="0"/>
      <w:marRight w:val="0"/>
      <w:marTop w:val="0"/>
      <w:marBottom w:val="0"/>
      <w:divBdr>
        <w:top w:val="none" w:sz="0" w:space="0" w:color="auto"/>
        <w:left w:val="none" w:sz="0" w:space="0" w:color="auto"/>
        <w:bottom w:val="none" w:sz="0" w:space="0" w:color="auto"/>
        <w:right w:val="none" w:sz="0" w:space="0" w:color="auto"/>
      </w:divBdr>
    </w:div>
    <w:div w:id="1203134412">
      <w:bodyDiv w:val="1"/>
      <w:marLeft w:val="0"/>
      <w:marRight w:val="0"/>
      <w:marTop w:val="0"/>
      <w:marBottom w:val="0"/>
      <w:divBdr>
        <w:top w:val="none" w:sz="0" w:space="0" w:color="auto"/>
        <w:left w:val="none" w:sz="0" w:space="0" w:color="auto"/>
        <w:bottom w:val="none" w:sz="0" w:space="0" w:color="auto"/>
        <w:right w:val="none" w:sz="0" w:space="0" w:color="auto"/>
      </w:divBdr>
    </w:div>
    <w:div w:id="1206142026">
      <w:bodyDiv w:val="1"/>
      <w:marLeft w:val="0"/>
      <w:marRight w:val="0"/>
      <w:marTop w:val="0"/>
      <w:marBottom w:val="0"/>
      <w:divBdr>
        <w:top w:val="none" w:sz="0" w:space="0" w:color="auto"/>
        <w:left w:val="none" w:sz="0" w:space="0" w:color="auto"/>
        <w:bottom w:val="none" w:sz="0" w:space="0" w:color="auto"/>
        <w:right w:val="none" w:sz="0" w:space="0" w:color="auto"/>
      </w:divBdr>
    </w:div>
    <w:div w:id="1208953205">
      <w:bodyDiv w:val="1"/>
      <w:marLeft w:val="0"/>
      <w:marRight w:val="0"/>
      <w:marTop w:val="0"/>
      <w:marBottom w:val="0"/>
      <w:divBdr>
        <w:top w:val="none" w:sz="0" w:space="0" w:color="auto"/>
        <w:left w:val="none" w:sz="0" w:space="0" w:color="auto"/>
        <w:bottom w:val="none" w:sz="0" w:space="0" w:color="auto"/>
        <w:right w:val="none" w:sz="0" w:space="0" w:color="auto"/>
      </w:divBdr>
    </w:div>
    <w:div w:id="1209219124">
      <w:bodyDiv w:val="1"/>
      <w:marLeft w:val="0"/>
      <w:marRight w:val="0"/>
      <w:marTop w:val="0"/>
      <w:marBottom w:val="0"/>
      <w:divBdr>
        <w:top w:val="none" w:sz="0" w:space="0" w:color="auto"/>
        <w:left w:val="none" w:sz="0" w:space="0" w:color="auto"/>
        <w:bottom w:val="none" w:sz="0" w:space="0" w:color="auto"/>
        <w:right w:val="none" w:sz="0" w:space="0" w:color="auto"/>
      </w:divBdr>
    </w:div>
    <w:div w:id="1209295986">
      <w:bodyDiv w:val="1"/>
      <w:marLeft w:val="0"/>
      <w:marRight w:val="0"/>
      <w:marTop w:val="0"/>
      <w:marBottom w:val="0"/>
      <w:divBdr>
        <w:top w:val="none" w:sz="0" w:space="0" w:color="auto"/>
        <w:left w:val="none" w:sz="0" w:space="0" w:color="auto"/>
        <w:bottom w:val="none" w:sz="0" w:space="0" w:color="auto"/>
        <w:right w:val="none" w:sz="0" w:space="0" w:color="auto"/>
      </w:divBdr>
    </w:div>
    <w:div w:id="1213955351">
      <w:bodyDiv w:val="1"/>
      <w:marLeft w:val="0"/>
      <w:marRight w:val="0"/>
      <w:marTop w:val="0"/>
      <w:marBottom w:val="0"/>
      <w:divBdr>
        <w:top w:val="none" w:sz="0" w:space="0" w:color="auto"/>
        <w:left w:val="none" w:sz="0" w:space="0" w:color="auto"/>
        <w:bottom w:val="none" w:sz="0" w:space="0" w:color="auto"/>
        <w:right w:val="none" w:sz="0" w:space="0" w:color="auto"/>
      </w:divBdr>
    </w:div>
    <w:div w:id="1218976376">
      <w:bodyDiv w:val="1"/>
      <w:marLeft w:val="0"/>
      <w:marRight w:val="0"/>
      <w:marTop w:val="0"/>
      <w:marBottom w:val="0"/>
      <w:divBdr>
        <w:top w:val="none" w:sz="0" w:space="0" w:color="auto"/>
        <w:left w:val="none" w:sz="0" w:space="0" w:color="auto"/>
        <w:bottom w:val="none" w:sz="0" w:space="0" w:color="auto"/>
        <w:right w:val="none" w:sz="0" w:space="0" w:color="auto"/>
      </w:divBdr>
    </w:div>
    <w:div w:id="1219587193">
      <w:bodyDiv w:val="1"/>
      <w:marLeft w:val="0"/>
      <w:marRight w:val="0"/>
      <w:marTop w:val="0"/>
      <w:marBottom w:val="0"/>
      <w:divBdr>
        <w:top w:val="none" w:sz="0" w:space="0" w:color="auto"/>
        <w:left w:val="none" w:sz="0" w:space="0" w:color="auto"/>
        <w:bottom w:val="none" w:sz="0" w:space="0" w:color="auto"/>
        <w:right w:val="none" w:sz="0" w:space="0" w:color="auto"/>
      </w:divBdr>
    </w:div>
    <w:div w:id="1225139832">
      <w:bodyDiv w:val="1"/>
      <w:marLeft w:val="0"/>
      <w:marRight w:val="0"/>
      <w:marTop w:val="0"/>
      <w:marBottom w:val="0"/>
      <w:divBdr>
        <w:top w:val="none" w:sz="0" w:space="0" w:color="auto"/>
        <w:left w:val="none" w:sz="0" w:space="0" w:color="auto"/>
        <w:bottom w:val="none" w:sz="0" w:space="0" w:color="auto"/>
        <w:right w:val="none" w:sz="0" w:space="0" w:color="auto"/>
      </w:divBdr>
    </w:div>
    <w:div w:id="1229922591">
      <w:bodyDiv w:val="1"/>
      <w:marLeft w:val="0"/>
      <w:marRight w:val="0"/>
      <w:marTop w:val="0"/>
      <w:marBottom w:val="0"/>
      <w:divBdr>
        <w:top w:val="none" w:sz="0" w:space="0" w:color="auto"/>
        <w:left w:val="none" w:sz="0" w:space="0" w:color="auto"/>
        <w:bottom w:val="none" w:sz="0" w:space="0" w:color="auto"/>
        <w:right w:val="none" w:sz="0" w:space="0" w:color="auto"/>
      </w:divBdr>
    </w:div>
    <w:div w:id="1243376178">
      <w:bodyDiv w:val="1"/>
      <w:marLeft w:val="0"/>
      <w:marRight w:val="0"/>
      <w:marTop w:val="0"/>
      <w:marBottom w:val="0"/>
      <w:divBdr>
        <w:top w:val="none" w:sz="0" w:space="0" w:color="auto"/>
        <w:left w:val="none" w:sz="0" w:space="0" w:color="auto"/>
        <w:bottom w:val="none" w:sz="0" w:space="0" w:color="auto"/>
        <w:right w:val="none" w:sz="0" w:space="0" w:color="auto"/>
      </w:divBdr>
    </w:div>
    <w:div w:id="1246188727">
      <w:bodyDiv w:val="1"/>
      <w:marLeft w:val="0"/>
      <w:marRight w:val="0"/>
      <w:marTop w:val="0"/>
      <w:marBottom w:val="0"/>
      <w:divBdr>
        <w:top w:val="none" w:sz="0" w:space="0" w:color="auto"/>
        <w:left w:val="none" w:sz="0" w:space="0" w:color="auto"/>
        <w:bottom w:val="none" w:sz="0" w:space="0" w:color="auto"/>
        <w:right w:val="none" w:sz="0" w:space="0" w:color="auto"/>
      </w:divBdr>
    </w:div>
    <w:div w:id="1263104029">
      <w:bodyDiv w:val="1"/>
      <w:marLeft w:val="0"/>
      <w:marRight w:val="0"/>
      <w:marTop w:val="0"/>
      <w:marBottom w:val="0"/>
      <w:divBdr>
        <w:top w:val="none" w:sz="0" w:space="0" w:color="auto"/>
        <w:left w:val="none" w:sz="0" w:space="0" w:color="auto"/>
        <w:bottom w:val="none" w:sz="0" w:space="0" w:color="auto"/>
        <w:right w:val="none" w:sz="0" w:space="0" w:color="auto"/>
      </w:divBdr>
    </w:div>
    <w:div w:id="1266498582">
      <w:bodyDiv w:val="1"/>
      <w:marLeft w:val="0"/>
      <w:marRight w:val="0"/>
      <w:marTop w:val="0"/>
      <w:marBottom w:val="0"/>
      <w:divBdr>
        <w:top w:val="none" w:sz="0" w:space="0" w:color="auto"/>
        <w:left w:val="none" w:sz="0" w:space="0" w:color="auto"/>
        <w:bottom w:val="none" w:sz="0" w:space="0" w:color="auto"/>
        <w:right w:val="none" w:sz="0" w:space="0" w:color="auto"/>
      </w:divBdr>
    </w:div>
    <w:div w:id="1267730227">
      <w:bodyDiv w:val="1"/>
      <w:marLeft w:val="0"/>
      <w:marRight w:val="0"/>
      <w:marTop w:val="0"/>
      <w:marBottom w:val="0"/>
      <w:divBdr>
        <w:top w:val="none" w:sz="0" w:space="0" w:color="auto"/>
        <w:left w:val="none" w:sz="0" w:space="0" w:color="auto"/>
        <w:bottom w:val="none" w:sz="0" w:space="0" w:color="auto"/>
        <w:right w:val="none" w:sz="0" w:space="0" w:color="auto"/>
      </w:divBdr>
    </w:div>
    <w:div w:id="1269463214">
      <w:bodyDiv w:val="1"/>
      <w:marLeft w:val="0"/>
      <w:marRight w:val="0"/>
      <w:marTop w:val="0"/>
      <w:marBottom w:val="0"/>
      <w:divBdr>
        <w:top w:val="none" w:sz="0" w:space="0" w:color="auto"/>
        <w:left w:val="none" w:sz="0" w:space="0" w:color="auto"/>
        <w:bottom w:val="none" w:sz="0" w:space="0" w:color="auto"/>
        <w:right w:val="none" w:sz="0" w:space="0" w:color="auto"/>
      </w:divBdr>
    </w:div>
    <w:div w:id="1273513035">
      <w:bodyDiv w:val="1"/>
      <w:marLeft w:val="0"/>
      <w:marRight w:val="0"/>
      <w:marTop w:val="0"/>
      <w:marBottom w:val="0"/>
      <w:divBdr>
        <w:top w:val="none" w:sz="0" w:space="0" w:color="auto"/>
        <w:left w:val="none" w:sz="0" w:space="0" w:color="auto"/>
        <w:bottom w:val="none" w:sz="0" w:space="0" w:color="auto"/>
        <w:right w:val="none" w:sz="0" w:space="0" w:color="auto"/>
      </w:divBdr>
    </w:div>
    <w:div w:id="1276061353">
      <w:bodyDiv w:val="1"/>
      <w:marLeft w:val="0"/>
      <w:marRight w:val="0"/>
      <w:marTop w:val="0"/>
      <w:marBottom w:val="0"/>
      <w:divBdr>
        <w:top w:val="none" w:sz="0" w:space="0" w:color="auto"/>
        <w:left w:val="none" w:sz="0" w:space="0" w:color="auto"/>
        <w:bottom w:val="none" w:sz="0" w:space="0" w:color="auto"/>
        <w:right w:val="none" w:sz="0" w:space="0" w:color="auto"/>
      </w:divBdr>
    </w:div>
    <w:div w:id="1277254843">
      <w:bodyDiv w:val="1"/>
      <w:marLeft w:val="0"/>
      <w:marRight w:val="0"/>
      <w:marTop w:val="0"/>
      <w:marBottom w:val="0"/>
      <w:divBdr>
        <w:top w:val="none" w:sz="0" w:space="0" w:color="auto"/>
        <w:left w:val="none" w:sz="0" w:space="0" w:color="auto"/>
        <w:bottom w:val="none" w:sz="0" w:space="0" w:color="auto"/>
        <w:right w:val="none" w:sz="0" w:space="0" w:color="auto"/>
      </w:divBdr>
    </w:div>
    <w:div w:id="1277903388">
      <w:bodyDiv w:val="1"/>
      <w:marLeft w:val="0"/>
      <w:marRight w:val="0"/>
      <w:marTop w:val="0"/>
      <w:marBottom w:val="0"/>
      <w:divBdr>
        <w:top w:val="none" w:sz="0" w:space="0" w:color="auto"/>
        <w:left w:val="none" w:sz="0" w:space="0" w:color="auto"/>
        <w:bottom w:val="none" w:sz="0" w:space="0" w:color="auto"/>
        <w:right w:val="none" w:sz="0" w:space="0" w:color="auto"/>
      </w:divBdr>
    </w:div>
    <w:div w:id="1282112567">
      <w:bodyDiv w:val="1"/>
      <w:marLeft w:val="0"/>
      <w:marRight w:val="0"/>
      <w:marTop w:val="0"/>
      <w:marBottom w:val="0"/>
      <w:divBdr>
        <w:top w:val="none" w:sz="0" w:space="0" w:color="auto"/>
        <w:left w:val="none" w:sz="0" w:space="0" w:color="auto"/>
        <w:bottom w:val="none" w:sz="0" w:space="0" w:color="auto"/>
        <w:right w:val="none" w:sz="0" w:space="0" w:color="auto"/>
      </w:divBdr>
    </w:div>
    <w:div w:id="1285428647">
      <w:bodyDiv w:val="1"/>
      <w:marLeft w:val="0"/>
      <w:marRight w:val="0"/>
      <w:marTop w:val="0"/>
      <w:marBottom w:val="0"/>
      <w:divBdr>
        <w:top w:val="none" w:sz="0" w:space="0" w:color="auto"/>
        <w:left w:val="none" w:sz="0" w:space="0" w:color="auto"/>
        <w:bottom w:val="none" w:sz="0" w:space="0" w:color="auto"/>
        <w:right w:val="none" w:sz="0" w:space="0" w:color="auto"/>
      </w:divBdr>
    </w:div>
    <w:div w:id="1285697276">
      <w:bodyDiv w:val="1"/>
      <w:marLeft w:val="0"/>
      <w:marRight w:val="0"/>
      <w:marTop w:val="0"/>
      <w:marBottom w:val="0"/>
      <w:divBdr>
        <w:top w:val="none" w:sz="0" w:space="0" w:color="auto"/>
        <w:left w:val="none" w:sz="0" w:space="0" w:color="auto"/>
        <w:bottom w:val="none" w:sz="0" w:space="0" w:color="auto"/>
        <w:right w:val="none" w:sz="0" w:space="0" w:color="auto"/>
      </w:divBdr>
    </w:div>
    <w:div w:id="1289970698">
      <w:bodyDiv w:val="1"/>
      <w:marLeft w:val="0"/>
      <w:marRight w:val="0"/>
      <w:marTop w:val="0"/>
      <w:marBottom w:val="0"/>
      <w:divBdr>
        <w:top w:val="none" w:sz="0" w:space="0" w:color="auto"/>
        <w:left w:val="none" w:sz="0" w:space="0" w:color="auto"/>
        <w:bottom w:val="none" w:sz="0" w:space="0" w:color="auto"/>
        <w:right w:val="none" w:sz="0" w:space="0" w:color="auto"/>
      </w:divBdr>
    </w:div>
    <w:div w:id="1296906940">
      <w:bodyDiv w:val="1"/>
      <w:marLeft w:val="0"/>
      <w:marRight w:val="0"/>
      <w:marTop w:val="0"/>
      <w:marBottom w:val="0"/>
      <w:divBdr>
        <w:top w:val="none" w:sz="0" w:space="0" w:color="auto"/>
        <w:left w:val="none" w:sz="0" w:space="0" w:color="auto"/>
        <w:bottom w:val="none" w:sz="0" w:space="0" w:color="auto"/>
        <w:right w:val="none" w:sz="0" w:space="0" w:color="auto"/>
      </w:divBdr>
    </w:div>
    <w:div w:id="1298098804">
      <w:bodyDiv w:val="1"/>
      <w:marLeft w:val="0"/>
      <w:marRight w:val="0"/>
      <w:marTop w:val="0"/>
      <w:marBottom w:val="0"/>
      <w:divBdr>
        <w:top w:val="none" w:sz="0" w:space="0" w:color="auto"/>
        <w:left w:val="none" w:sz="0" w:space="0" w:color="auto"/>
        <w:bottom w:val="none" w:sz="0" w:space="0" w:color="auto"/>
        <w:right w:val="none" w:sz="0" w:space="0" w:color="auto"/>
      </w:divBdr>
    </w:div>
    <w:div w:id="1304963784">
      <w:bodyDiv w:val="1"/>
      <w:marLeft w:val="0"/>
      <w:marRight w:val="0"/>
      <w:marTop w:val="0"/>
      <w:marBottom w:val="0"/>
      <w:divBdr>
        <w:top w:val="none" w:sz="0" w:space="0" w:color="auto"/>
        <w:left w:val="none" w:sz="0" w:space="0" w:color="auto"/>
        <w:bottom w:val="none" w:sz="0" w:space="0" w:color="auto"/>
        <w:right w:val="none" w:sz="0" w:space="0" w:color="auto"/>
      </w:divBdr>
    </w:div>
    <w:div w:id="1307585646">
      <w:bodyDiv w:val="1"/>
      <w:marLeft w:val="0"/>
      <w:marRight w:val="0"/>
      <w:marTop w:val="0"/>
      <w:marBottom w:val="0"/>
      <w:divBdr>
        <w:top w:val="none" w:sz="0" w:space="0" w:color="auto"/>
        <w:left w:val="none" w:sz="0" w:space="0" w:color="auto"/>
        <w:bottom w:val="none" w:sz="0" w:space="0" w:color="auto"/>
        <w:right w:val="none" w:sz="0" w:space="0" w:color="auto"/>
      </w:divBdr>
    </w:div>
    <w:div w:id="1309703947">
      <w:bodyDiv w:val="1"/>
      <w:marLeft w:val="0"/>
      <w:marRight w:val="0"/>
      <w:marTop w:val="0"/>
      <w:marBottom w:val="0"/>
      <w:divBdr>
        <w:top w:val="none" w:sz="0" w:space="0" w:color="auto"/>
        <w:left w:val="none" w:sz="0" w:space="0" w:color="auto"/>
        <w:bottom w:val="none" w:sz="0" w:space="0" w:color="auto"/>
        <w:right w:val="none" w:sz="0" w:space="0" w:color="auto"/>
      </w:divBdr>
    </w:div>
    <w:div w:id="1310403710">
      <w:bodyDiv w:val="1"/>
      <w:marLeft w:val="0"/>
      <w:marRight w:val="0"/>
      <w:marTop w:val="0"/>
      <w:marBottom w:val="0"/>
      <w:divBdr>
        <w:top w:val="none" w:sz="0" w:space="0" w:color="auto"/>
        <w:left w:val="none" w:sz="0" w:space="0" w:color="auto"/>
        <w:bottom w:val="none" w:sz="0" w:space="0" w:color="auto"/>
        <w:right w:val="none" w:sz="0" w:space="0" w:color="auto"/>
      </w:divBdr>
    </w:div>
    <w:div w:id="1315835541">
      <w:bodyDiv w:val="1"/>
      <w:marLeft w:val="0"/>
      <w:marRight w:val="0"/>
      <w:marTop w:val="0"/>
      <w:marBottom w:val="0"/>
      <w:divBdr>
        <w:top w:val="none" w:sz="0" w:space="0" w:color="auto"/>
        <w:left w:val="none" w:sz="0" w:space="0" w:color="auto"/>
        <w:bottom w:val="none" w:sz="0" w:space="0" w:color="auto"/>
        <w:right w:val="none" w:sz="0" w:space="0" w:color="auto"/>
      </w:divBdr>
    </w:div>
    <w:div w:id="1317539101">
      <w:bodyDiv w:val="1"/>
      <w:marLeft w:val="0"/>
      <w:marRight w:val="0"/>
      <w:marTop w:val="0"/>
      <w:marBottom w:val="0"/>
      <w:divBdr>
        <w:top w:val="none" w:sz="0" w:space="0" w:color="auto"/>
        <w:left w:val="none" w:sz="0" w:space="0" w:color="auto"/>
        <w:bottom w:val="none" w:sz="0" w:space="0" w:color="auto"/>
        <w:right w:val="none" w:sz="0" w:space="0" w:color="auto"/>
      </w:divBdr>
    </w:div>
    <w:div w:id="1319766516">
      <w:bodyDiv w:val="1"/>
      <w:marLeft w:val="0"/>
      <w:marRight w:val="0"/>
      <w:marTop w:val="0"/>
      <w:marBottom w:val="0"/>
      <w:divBdr>
        <w:top w:val="none" w:sz="0" w:space="0" w:color="auto"/>
        <w:left w:val="none" w:sz="0" w:space="0" w:color="auto"/>
        <w:bottom w:val="none" w:sz="0" w:space="0" w:color="auto"/>
        <w:right w:val="none" w:sz="0" w:space="0" w:color="auto"/>
      </w:divBdr>
    </w:div>
    <w:div w:id="1321155629">
      <w:bodyDiv w:val="1"/>
      <w:marLeft w:val="0"/>
      <w:marRight w:val="0"/>
      <w:marTop w:val="0"/>
      <w:marBottom w:val="0"/>
      <w:divBdr>
        <w:top w:val="none" w:sz="0" w:space="0" w:color="auto"/>
        <w:left w:val="none" w:sz="0" w:space="0" w:color="auto"/>
        <w:bottom w:val="none" w:sz="0" w:space="0" w:color="auto"/>
        <w:right w:val="none" w:sz="0" w:space="0" w:color="auto"/>
      </w:divBdr>
    </w:div>
    <w:div w:id="1323699055">
      <w:bodyDiv w:val="1"/>
      <w:marLeft w:val="0"/>
      <w:marRight w:val="0"/>
      <w:marTop w:val="0"/>
      <w:marBottom w:val="0"/>
      <w:divBdr>
        <w:top w:val="none" w:sz="0" w:space="0" w:color="auto"/>
        <w:left w:val="none" w:sz="0" w:space="0" w:color="auto"/>
        <w:bottom w:val="none" w:sz="0" w:space="0" w:color="auto"/>
        <w:right w:val="none" w:sz="0" w:space="0" w:color="auto"/>
      </w:divBdr>
    </w:div>
    <w:div w:id="1327903688">
      <w:bodyDiv w:val="1"/>
      <w:marLeft w:val="0"/>
      <w:marRight w:val="0"/>
      <w:marTop w:val="0"/>
      <w:marBottom w:val="0"/>
      <w:divBdr>
        <w:top w:val="none" w:sz="0" w:space="0" w:color="auto"/>
        <w:left w:val="none" w:sz="0" w:space="0" w:color="auto"/>
        <w:bottom w:val="none" w:sz="0" w:space="0" w:color="auto"/>
        <w:right w:val="none" w:sz="0" w:space="0" w:color="auto"/>
      </w:divBdr>
    </w:div>
    <w:div w:id="1335961749">
      <w:bodyDiv w:val="1"/>
      <w:marLeft w:val="0"/>
      <w:marRight w:val="0"/>
      <w:marTop w:val="0"/>
      <w:marBottom w:val="0"/>
      <w:divBdr>
        <w:top w:val="none" w:sz="0" w:space="0" w:color="auto"/>
        <w:left w:val="none" w:sz="0" w:space="0" w:color="auto"/>
        <w:bottom w:val="none" w:sz="0" w:space="0" w:color="auto"/>
        <w:right w:val="none" w:sz="0" w:space="0" w:color="auto"/>
      </w:divBdr>
    </w:div>
    <w:div w:id="1336957292">
      <w:bodyDiv w:val="1"/>
      <w:marLeft w:val="0"/>
      <w:marRight w:val="0"/>
      <w:marTop w:val="0"/>
      <w:marBottom w:val="0"/>
      <w:divBdr>
        <w:top w:val="none" w:sz="0" w:space="0" w:color="auto"/>
        <w:left w:val="none" w:sz="0" w:space="0" w:color="auto"/>
        <w:bottom w:val="none" w:sz="0" w:space="0" w:color="auto"/>
        <w:right w:val="none" w:sz="0" w:space="0" w:color="auto"/>
      </w:divBdr>
    </w:div>
    <w:div w:id="1350183630">
      <w:bodyDiv w:val="1"/>
      <w:marLeft w:val="0"/>
      <w:marRight w:val="0"/>
      <w:marTop w:val="0"/>
      <w:marBottom w:val="0"/>
      <w:divBdr>
        <w:top w:val="none" w:sz="0" w:space="0" w:color="auto"/>
        <w:left w:val="none" w:sz="0" w:space="0" w:color="auto"/>
        <w:bottom w:val="none" w:sz="0" w:space="0" w:color="auto"/>
        <w:right w:val="none" w:sz="0" w:space="0" w:color="auto"/>
      </w:divBdr>
    </w:div>
    <w:div w:id="1353216417">
      <w:bodyDiv w:val="1"/>
      <w:marLeft w:val="0"/>
      <w:marRight w:val="0"/>
      <w:marTop w:val="0"/>
      <w:marBottom w:val="0"/>
      <w:divBdr>
        <w:top w:val="none" w:sz="0" w:space="0" w:color="auto"/>
        <w:left w:val="none" w:sz="0" w:space="0" w:color="auto"/>
        <w:bottom w:val="none" w:sz="0" w:space="0" w:color="auto"/>
        <w:right w:val="none" w:sz="0" w:space="0" w:color="auto"/>
      </w:divBdr>
    </w:div>
    <w:div w:id="1357190943">
      <w:bodyDiv w:val="1"/>
      <w:marLeft w:val="0"/>
      <w:marRight w:val="0"/>
      <w:marTop w:val="0"/>
      <w:marBottom w:val="0"/>
      <w:divBdr>
        <w:top w:val="none" w:sz="0" w:space="0" w:color="auto"/>
        <w:left w:val="none" w:sz="0" w:space="0" w:color="auto"/>
        <w:bottom w:val="none" w:sz="0" w:space="0" w:color="auto"/>
        <w:right w:val="none" w:sz="0" w:space="0" w:color="auto"/>
      </w:divBdr>
    </w:div>
    <w:div w:id="1359700120">
      <w:bodyDiv w:val="1"/>
      <w:marLeft w:val="0"/>
      <w:marRight w:val="0"/>
      <w:marTop w:val="0"/>
      <w:marBottom w:val="0"/>
      <w:divBdr>
        <w:top w:val="none" w:sz="0" w:space="0" w:color="auto"/>
        <w:left w:val="none" w:sz="0" w:space="0" w:color="auto"/>
        <w:bottom w:val="none" w:sz="0" w:space="0" w:color="auto"/>
        <w:right w:val="none" w:sz="0" w:space="0" w:color="auto"/>
      </w:divBdr>
    </w:div>
    <w:div w:id="1361390943">
      <w:bodyDiv w:val="1"/>
      <w:marLeft w:val="0"/>
      <w:marRight w:val="0"/>
      <w:marTop w:val="0"/>
      <w:marBottom w:val="0"/>
      <w:divBdr>
        <w:top w:val="none" w:sz="0" w:space="0" w:color="auto"/>
        <w:left w:val="none" w:sz="0" w:space="0" w:color="auto"/>
        <w:bottom w:val="none" w:sz="0" w:space="0" w:color="auto"/>
        <w:right w:val="none" w:sz="0" w:space="0" w:color="auto"/>
      </w:divBdr>
    </w:div>
    <w:div w:id="1377193880">
      <w:bodyDiv w:val="1"/>
      <w:marLeft w:val="0"/>
      <w:marRight w:val="0"/>
      <w:marTop w:val="0"/>
      <w:marBottom w:val="0"/>
      <w:divBdr>
        <w:top w:val="none" w:sz="0" w:space="0" w:color="auto"/>
        <w:left w:val="none" w:sz="0" w:space="0" w:color="auto"/>
        <w:bottom w:val="none" w:sz="0" w:space="0" w:color="auto"/>
        <w:right w:val="none" w:sz="0" w:space="0" w:color="auto"/>
      </w:divBdr>
    </w:div>
    <w:div w:id="1379471456">
      <w:bodyDiv w:val="1"/>
      <w:marLeft w:val="0"/>
      <w:marRight w:val="0"/>
      <w:marTop w:val="0"/>
      <w:marBottom w:val="0"/>
      <w:divBdr>
        <w:top w:val="none" w:sz="0" w:space="0" w:color="auto"/>
        <w:left w:val="none" w:sz="0" w:space="0" w:color="auto"/>
        <w:bottom w:val="none" w:sz="0" w:space="0" w:color="auto"/>
        <w:right w:val="none" w:sz="0" w:space="0" w:color="auto"/>
      </w:divBdr>
    </w:div>
    <w:div w:id="1385180315">
      <w:bodyDiv w:val="1"/>
      <w:marLeft w:val="0"/>
      <w:marRight w:val="0"/>
      <w:marTop w:val="0"/>
      <w:marBottom w:val="0"/>
      <w:divBdr>
        <w:top w:val="none" w:sz="0" w:space="0" w:color="auto"/>
        <w:left w:val="none" w:sz="0" w:space="0" w:color="auto"/>
        <w:bottom w:val="none" w:sz="0" w:space="0" w:color="auto"/>
        <w:right w:val="none" w:sz="0" w:space="0" w:color="auto"/>
      </w:divBdr>
    </w:div>
    <w:div w:id="1387139865">
      <w:bodyDiv w:val="1"/>
      <w:marLeft w:val="0"/>
      <w:marRight w:val="0"/>
      <w:marTop w:val="0"/>
      <w:marBottom w:val="0"/>
      <w:divBdr>
        <w:top w:val="none" w:sz="0" w:space="0" w:color="auto"/>
        <w:left w:val="none" w:sz="0" w:space="0" w:color="auto"/>
        <w:bottom w:val="none" w:sz="0" w:space="0" w:color="auto"/>
        <w:right w:val="none" w:sz="0" w:space="0" w:color="auto"/>
      </w:divBdr>
    </w:div>
    <w:div w:id="1387685896">
      <w:bodyDiv w:val="1"/>
      <w:marLeft w:val="0"/>
      <w:marRight w:val="0"/>
      <w:marTop w:val="0"/>
      <w:marBottom w:val="0"/>
      <w:divBdr>
        <w:top w:val="none" w:sz="0" w:space="0" w:color="auto"/>
        <w:left w:val="none" w:sz="0" w:space="0" w:color="auto"/>
        <w:bottom w:val="none" w:sz="0" w:space="0" w:color="auto"/>
        <w:right w:val="none" w:sz="0" w:space="0" w:color="auto"/>
      </w:divBdr>
    </w:div>
    <w:div w:id="1394501711">
      <w:bodyDiv w:val="1"/>
      <w:marLeft w:val="0"/>
      <w:marRight w:val="0"/>
      <w:marTop w:val="0"/>
      <w:marBottom w:val="0"/>
      <w:divBdr>
        <w:top w:val="none" w:sz="0" w:space="0" w:color="auto"/>
        <w:left w:val="none" w:sz="0" w:space="0" w:color="auto"/>
        <w:bottom w:val="none" w:sz="0" w:space="0" w:color="auto"/>
        <w:right w:val="none" w:sz="0" w:space="0" w:color="auto"/>
      </w:divBdr>
    </w:div>
    <w:div w:id="1394817739">
      <w:bodyDiv w:val="1"/>
      <w:marLeft w:val="0"/>
      <w:marRight w:val="0"/>
      <w:marTop w:val="0"/>
      <w:marBottom w:val="0"/>
      <w:divBdr>
        <w:top w:val="none" w:sz="0" w:space="0" w:color="auto"/>
        <w:left w:val="none" w:sz="0" w:space="0" w:color="auto"/>
        <w:bottom w:val="none" w:sz="0" w:space="0" w:color="auto"/>
        <w:right w:val="none" w:sz="0" w:space="0" w:color="auto"/>
      </w:divBdr>
    </w:div>
    <w:div w:id="1396010088">
      <w:bodyDiv w:val="1"/>
      <w:marLeft w:val="0"/>
      <w:marRight w:val="0"/>
      <w:marTop w:val="0"/>
      <w:marBottom w:val="0"/>
      <w:divBdr>
        <w:top w:val="none" w:sz="0" w:space="0" w:color="auto"/>
        <w:left w:val="none" w:sz="0" w:space="0" w:color="auto"/>
        <w:bottom w:val="none" w:sz="0" w:space="0" w:color="auto"/>
        <w:right w:val="none" w:sz="0" w:space="0" w:color="auto"/>
      </w:divBdr>
    </w:div>
    <w:div w:id="1396584436">
      <w:bodyDiv w:val="1"/>
      <w:marLeft w:val="0"/>
      <w:marRight w:val="0"/>
      <w:marTop w:val="0"/>
      <w:marBottom w:val="0"/>
      <w:divBdr>
        <w:top w:val="none" w:sz="0" w:space="0" w:color="auto"/>
        <w:left w:val="none" w:sz="0" w:space="0" w:color="auto"/>
        <w:bottom w:val="none" w:sz="0" w:space="0" w:color="auto"/>
        <w:right w:val="none" w:sz="0" w:space="0" w:color="auto"/>
      </w:divBdr>
    </w:div>
    <w:div w:id="1396929612">
      <w:bodyDiv w:val="1"/>
      <w:marLeft w:val="0"/>
      <w:marRight w:val="0"/>
      <w:marTop w:val="0"/>
      <w:marBottom w:val="0"/>
      <w:divBdr>
        <w:top w:val="none" w:sz="0" w:space="0" w:color="auto"/>
        <w:left w:val="none" w:sz="0" w:space="0" w:color="auto"/>
        <w:bottom w:val="none" w:sz="0" w:space="0" w:color="auto"/>
        <w:right w:val="none" w:sz="0" w:space="0" w:color="auto"/>
      </w:divBdr>
    </w:div>
    <w:div w:id="1407219797">
      <w:bodyDiv w:val="1"/>
      <w:marLeft w:val="0"/>
      <w:marRight w:val="0"/>
      <w:marTop w:val="0"/>
      <w:marBottom w:val="0"/>
      <w:divBdr>
        <w:top w:val="none" w:sz="0" w:space="0" w:color="auto"/>
        <w:left w:val="none" w:sz="0" w:space="0" w:color="auto"/>
        <w:bottom w:val="none" w:sz="0" w:space="0" w:color="auto"/>
        <w:right w:val="none" w:sz="0" w:space="0" w:color="auto"/>
      </w:divBdr>
    </w:div>
    <w:div w:id="1412972426">
      <w:bodyDiv w:val="1"/>
      <w:marLeft w:val="0"/>
      <w:marRight w:val="0"/>
      <w:marTop w:val="0"/>
      <w:marBottom w:val="0"/>
      <w:divBdr>
        <w:top w:val="none" w:sz="0" w:space="0" w:color="auto"/>
        <w:left w:val="none" w:sz="0" w:space="0" w:color="auto"/>
        <w:bottom w:val="none" w:sz="0" w:space="0" w:color="auto"/>
        <w:right w:val="none" w:sz="0" w:space="0" w:color="auto"/>
      </w:divBdr>
    </w:div>
    <w:div w:id="1413967359">
      <w:bodyDiv w:val="1"/>
      <w:marLeft w:val="0"/>
      <w:marRight w:val="0"/>
      <w:marTop w:val="0"/>
      <w:marBottom w:val="0"/>
      <w:divBdr>
        <w:top w:val="none" w:sz="0" w:space="0" w:color="auto"/>
        <w:left w:val="none" w:sz="0" w:space="0" w:color="auto"/>
        <w:bottom w:val="none" w:sz="0" w:space="0" w:color="auto"/>
        <w:right w:val="none" w:sz="0" w:space="0" w:color="auto"/>
      </w:divBdr>
    </w:div>
    <w:div w:id="1415130605">
      <w:bodyDiv w:val="1"/>
      <w:marLeft w:val="0"/>
      <w:marRight w:val="0"/>
      <w:marTop w:val="0"/>
      <w:marBottom w:val="0"/>
      <w:divBdr>
        <w:top w:val="none" w:sz="0" w:space="0" w:color="auto"/>
        <w:left w:val="none" w:sz="0" w:space="0" w:color="auto"/>
        <w:bottom w:val="none" w:sz="0" w:space="0" w:color="auto"/>
        <w:right w:val="none" w:sz="0" w:space="0" w:color="auto"/>
      </w:divBdr>
    </w:div>
    <w:div w:id="1420907106">
      <w:bodyDiv w:val="1"/>
      <w:marLeft w:val="0"/>
      <w:marRight w:val="0"/>
      <w:marTop w:val="0"/>
      <w:marBottom w:val="0"/>
      <w:divBdr>
        <w:top w:val="none" w:sz="0" w:space="0" w:color="auto"/>
        <w:left w:val="none" w:sz="0" w:space="0" w:color="auto"/>
        <w:bottom w:val="none" w:sz="0" w:space="0" w:color="auto"/>
        <w:right w:val="none" w:sz="0" w:space="0" w:color="auto"/>
      </w:divBdr>
    </w:div>
    <w:div w:id="1423986226">
      <w:bodyDiv w:val="1"/>
      <w:marLeft w:val="0"/>
      <w:marRight w:val="0"/>
      <w:marTop w:val="0"/>
      <w:marBottom w:val="0"/>
      <w:divBdr>
        <w:top w:val="none" w:sz="0" w:space="0" w:color="auto"/>
        <w:left w:val="none" w:sz="0" w:space="0" w:color="auto"/>
        <w:bottom w:val="none" w:sz="0" w:space="0" w:color="auto"/>
        <w:right w:val="none" w:sz="0" w:space="0" w:color="auto"/>
      </w:divBdr>
    </w:div>
    <w:div w:id="1425759097">
      <w:bodyDiv w:val="1"/>
      <w:marLeft w:val="0"/>
      <w:marRight w:val="0"/>
      <w:marTop w:val="0"/>
      <w:marBottom w:val="0"/>
      <w:divBdr>
        <w:top w:val="none" w:sz="0" w:space="0" w:color="auto"/>
        <w:left w:val="none" w:sz="0" w:space="0" w:color="auto"/>
        <w:bottom w:val="none" w:sz="0" w:space="0" w:color="auto"/>
        <w:right w:val="none" w:sz="0" w:space="0" w:color="auto"/>
      </w:divBdr>
    </w:div>
    <w:div w:id="1427270004">
      <w:bodyDiv w:val="1"/>
      <w:marLeft w:val="0"/>
      <w:marRight w:val="0"/>
      <w:marTop w:val="0"/>
      <w:marBottom w:val="0"/>
      <w:divBdr>
        <w:top w:val="none" w:sz="0" w:space="0" w:color="auto"/>
        <w:left w:val="none" w:sz="0" w:space="0" w:color="auto"/>
        <w:bottom w:val="none" w:sz="0" w:space="0" w:color="auto"/>
        <w:right w:val="none" w:sz="0" w:space="0" w:color="auto"/>
      </w:divBdr>
    </w:div>
    <w:div w:id="1427727610">
      <w:bodyDiv w:val="1"/>
      <w:marLeft w:val="0"/>
      <w:marRight w:val="0"/>
      <w:marTop w:val="0"/>
      <w:marBottom w:val="0"/>
      <w:divBdr>
        <w:top w:val="none" w:sz="0" w:space="0" w:color="auto"/>
        <w:left w:val="none" w:sz="0" w:space="0" w:color="auto"/>
        <w:bottom w:val="none" w:sz="0" w:space="0" w:color="auto"/>
        <w:right w:val="none" w:sz="0" w:space="0" w:color="auto"/>
      </w:divBdr>
    </w:div>
    <w:div w:id="1432042315">
      <w:bodyDiv w:val="1"/>
      <w:marLeft w:val="0"/>
      <w:marRight w:val="0"/>
      <w:marTop w:val="0"/>
      <w:marBottom w:val="0"/>
      <w:divBdr>
        <w:top w:val="none" w:sz="0" w:space="0" w:color="auto"/>
        <w:left w:val="none" w:sz="0" w:space="0" w:color="auto"/>
        <w:bottom w:val="none" w:sz="0" w:space="0" w:color="auto"/>
        <w:right w:val="none" w:sz="0" w:space="0" w:color="auto"/>
      </w:divBdr>
    </w:div>
    <w:div w:id="1435711001">
      <w:bodyDiv w:val="1"/>
      <w:marLeft w:val="0"/>
      <w:marRight w:val="0"/>
      <w:marTop w:val="0"/>
      <w:marBottom w:val="0"/>
      <w:divBdr>
        <w:top w:val="none" w:sz="0" w:space="0" w:color="auto"/>
        <w:left w:val="none" w:sz="0" w:space="0" w:color="auto"/>
        <w:bottom w:val="none" w:sz="0" w:space="0" w:color="auto"/>
        <w:right w:val="none" w:sz="0" w:space="0" w:color="auto"/>
      </w:divBdr>
    </w:div>
    <w:div w:id="1437099343">
      <w:bodyDiv w:val="1"/>
      <w:marLeft w:val="0"/>
      <w:marRight w:val="0"/>
      <w:marTop w:val="0"/>
      <w:marBottom w:val="0"/>
      <w:divBdr>
        <w:top w:val="none" w:sz="0" w:space="0" w:color="auto"/>
        <w:left w:val="none" w:sz="0" w:space="0" w:color="auto"/>
        <w:bottom w:val="none" w:sz="0" w:space="0" w:color="auto"/>
        <w:right w:val="none" w:sz="0" w:space="0" w:color="auto"/>
      </w:divBdr>
    </w:div>
    <w:div w:id="1438064030">
      <w:bodyDiv w:val="1"/>
      <w:marLeft w:val="0"/>
      <w:marRight w:val="0"/>
      <w:marTop w:val="0"/>
      <w:marBottom w:val="0"/>
      <w:divBdr>
        <w:top w:val="none" w:sz="0" w:space="0" w:color="auto"/>
        <w:left w:val="none" w:sz="0" w:space="0" w:color="auto"/>
        <w:bottom w:val="none" w:sz="0" w:space="0" w:color="auto"/>
        <w:right w:val="none" w:sz="0" w:space="0" w:color="auto"/>
      </w:divBdr>
    </w:div>
    <w:div w:id="1443109272">
      <w:bodyDiv w:val="1"/>
      <w:marLeft w:val="0"/>
      <w:marRight w:val="0"/>
      <w:marTop w:val="0"/>
      <w:marBottom w:val="0"/>
      <w:divBdr>
        <w:top w:val="none" w:sz="0" w:space="0" w:color="auto"/>
        <w:left w:val="none" w:sz="0" w:space="0" w:color="auto"/>
        <w:bottom w:val="none" w:sz="0" w:space="0" w:color="auto"/>
        <w:right w:val="none" w:sz="0" w:space="0" w:color="auto"/>
      </w:divBdr>
    </w:div>
    <w:div w:id="1446079387">
      <w:bodyDiv w:val="1"/>
      <w:marLeft w:val="0"/>
      <w:marRight w:val="0"/>
      <w:marTop w:val="0"/>
      <w:marBottom w:val="0"/>
      <w:divBdr>
        <w:top w:val="none" w:sz="0" w:space="0" w:color="auto"/>
        <w:left w:val="none" w:sz="0" w:space="0" w:color="auto"/>
        <w:bottom w:val="none" w:sz="0" w:space="0" w:color="auto"/>
        <w:right w:val="none" w:sz="0" w:space="0" w:color="auto"/>
      </w:divBdr>
    </w:div>
    <w:div w:id="1448348323">
      <w:bodyDiv w:val="1"/>
      <w:marLeft w:val="0"/>
      <w:marRight w:val="0"/>
      <w:marTop w:val="0"/>
      <w:marBottom w:val="0"/>
      <w:divBdr>
        <w:top w:val="none" w:sz="0" w:space="0" w:color="auto"/>
        <w:left w:val="none" w:sz="0" w:space="0" w:color="auto"/>
        <w:bottom w:val="none" w:sz="0" w:space="0" w:color="auto"/>
        <w:right w:val="none" w:sz="0" w:space="0" w:color="auto"/>
      </w:divBdr>
    </w:div>
    <w:div w:id="1449349611">
      <w:bodyDiv w:val="1"/>
      <w:marLeft w:val="0"/>
      <w:marRight w:val="0"/>
      <w:marTop w:val="0"/>
      <w:marBottom w:val="0"/>
      <w:divBdr>
        <w:top w:val="none" w:sz="0" w:space="0" w:color="auto"/>
        <w:left w:val="none" w:sz="0" w:space="0" w:color="auto"/>
        <w:bottom w:val="none" w:sz="0" w:space="0" w:color="auto"/>
        <w:right w:val="none" w:sz="0" w:space="0" w:color="auto"/>
      </w:divBdr>
    </w:div>
    <w:div w:id="1453935824">
      <w:bodyDiv w:val="1"/>
      <w:marLeft w:val="0"/>
      <w:marRight w:val="0"/>
      <w:marTop w:val="0"/>
      <w:marBottom w:val="0"/>
      <w:divBdr>
        <w:top w:val="none" w:sz="0" w:space="0" w:color="auto"/>
        <w:left w:val="none" w:sz="0" w:space="0" w:color="auto"/>
        <w:bottom w:val="none" w:sz="0" w:space="0" w:color="auto"/>
        <w:right w:val="none" w:sz="0" w:space="0" w:color="auto"/>
      </w:divBdr>
    </w:div>
    <w:div w:id="1459951014">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2924413">
      <w:bodyDiv w:val="1"/>
      <w:marLeft w:val="0"/>
      <w:marRight w:val="0"/>
      <w:marTop w:val="0"/>
      <w:marBottom w:val="0"/>
      <w:divBdr>
        <w:top w:val="none" w:sz="0" w:space="0" w:color="auto"/>
        <w:left w:val="none" w:sz="0" w:space="0" w:color="auto"/>
        <w:bottom w:val="none" w:sz="0" w:space="0" w:color="auto"/>
        <w:right w:val="none" w:sz="0" w:space="0" w:color="auto"/>
      </w:divBdr>
    </w:div>
    <w:div w:id="1481384194">
      <w:bodyDiv w:val="1"/>
      <w:marLeft w:val="0"/>
      <w:marRight w:val="0"/>
      <w:marTop w:val="0"/>
      <w:marBottom w:val="0"/>
      <w:divBdr>
        <w:top w:val="none" w:sz="0" w:space="0" w:color="auto"/>
        <w:left w:val="none" w:sz="0" w:space="0" w:color="auto"/>
        <w:bottom w:val="none" w:sz="0" w:space="0" w:color="auto"/>
        <w:right w:val="none" w:sz="0" w:space="0" w:color="auto"/>
      </w:divBdr>
    </w:div>
    <w:div w:id="1485273346">
      <w:bodyDiv w:val="1"/>
      <w:marLeft w:val="0"/>
      <w:marRight w:val="0"/>
      <w:marTop w:val="0"/>
      <w:marBottom w:val="0"/>
      <w:divBdr>
        <w:top w:val="none" w:sz="0" w:space="0" w:color="auto"/>
        <w:left w:val="none" w:sz="0" w:space="0" w:color="auto"/>
        <w:bottom w:val="none" w:sz="0" w:space="0" w:color="auto"/>
        <w:right w:val="none" w:sz="0" w:space="0" w:color="auto"/>
      </w:divBdr>
    </w:div>
    <w:div w:id="1486162048">
      <w:bodyDiv w:val="1"/>
      <w:marLeft w:val="0"/>
      <w:marRight w:val="0"/>
      <w:marTop w:val="0"/>
      <w:marBottom w:val="0"/>
      <w:divBdr>
        <w:top w:val="none" w:sz="0" w:space="0" w:color="auto"/>
        <w:left w:val="none" w:sz="0" w:space="0" w:color="auto"/>
        <w:bottom w:val="none" w:sz="0" w:space="0" w:color="auto"/>
        <w:right w:val="none" w:sz="0" w:space="0" w:color="auto"/>
      </w:divBdr>
    </w:div>
    <w:div w:id="1486239536">
      <w:bodyDiv w:val="1"/>
      <w:marLeft w:val="0"/>
      <w:marRight w:val="0"/>
      <w:marTop w:val="0"/>
      <w:marBottom w:val="0"/>
      <w:divBdr>
        <w:top w:val="none" w:sz="0" w:space="0" w:color="auto"/>
        <w:left w:val="none" w:sz="0" w:space="0" w:color="auto"/>
        <w:bottom w:val="none" w:sz="0" w:space="0" w:color="auto"/>
        <w:right w:val="none" w:sz="0" w:space="0" w:color="auto"/>
      </w:divBdr>
    </w:div>
    <w:div w:id="1486360867">
      <w:bodyDiv w:val="1"/>
      <w:marLeft w:val="0"/>
      <w:marRight w:val="0"/>
      <w:marTop w:val="0"/>
      <w:marBottom w:val="0"/>
      <w:divBdr>
        <w:top w:val="none" w:sz="0" w:space="0" w:color="auto"/>
        <w:left w:val="none" w:sz="0" w:space="0" w:color="auto"/>
        <w:bottom w:val="none" w:sz="0" w:space="0" w:color="auto"/>
        <w:right w:val="none" w:sz="0" w:space="0" w:color="auto"/>
      </w:divBdr>
    </w:div>
    <w:div w:id="1487621782">
      <w:bodyDiv w:val="1"/>
      <w:marLeft w:val="0"/>
      <w:marRight w:val="0"/>
      <w:marTop w:val="0"/>
      <w:marBottom w:val="0"/>
      <w:divBdr>
        <w:top w:val="none" w:sz="0" w:space="0" w:color="auto"/>
        <w:left w:val="none" w:sz="0" w:space="0" w:color="auto"/>
        <w:bottom w:val="none" w:sz="0" w:space="0" w:color="auto"/>
        <w:right w:val="none" w:sz="0" w:space="0" w:color="auto"/>
      </w:divBdr>
    </w:div>
    <w:div w:id="1488520602">
      <w:bodyDiv w:val="1"/>
      <w:marLeft w:val="0"/>
      <w:marRight w:val="0"/>
      <w:marTop w:val="0"/>
      <w:marBottom w:val="0"/>
      <w:divBdr>
        <w:top w:val="none" w:sz="0" w:space="0" w:color="auto"/>
        <w:left w:val="none" w:sz="0" w:space="0" w:color="auto"/>
        <w:bottom w:val="none" w:sz="0" w:space="0" w:color="auto"/>
        <w:right w:val="none" w:sz="0" w:space="0" w:color="auto"/>
      </w:divBdr>
    </w:div>
    <w:div w:id="1489785290">
      <w:bodyDiv w:val="1"/>
      <w:marLeft w:val="0"/>
      <w:marRight w:val="0"/>
      <w:marTop w:val="0"/>
      <w:marBottom w:val="0"/>
      <w:divBdr>
        <w:top w:val="none" w:sz="0" w:space="0" w:color="auto"/>
        <w:left w:val="none" w:sz="0" w:space="0" w:color="auto"/>
        <w:bottom w:val="none" w:sz="0" w:space="0" w:color="auto"/>
        <w:right w:val="none" w:sz="0" w:space="0" w:color="auto"/>
      </w:divBdr>
    </w:div>
    <w:div w:id="1504280033">
      <w:bodyDiv w:val="1"/>
      <w:marLeft w:val="0"/>
      <w:marRight w:val="0"/>
      <w:marTop w:val="0"/>
      <w:marBottom w:val="0"/>
      <w:divBdr>
        <w:top w:val="none" w:sz="0" w:space="0" w:color="auto"/>
        <w:left w:val="none" w:sz="0" w:space="0" w:color="auto"/>
        <w:bottom w:val="none" w:sz="0" w:space="0" w:color="auto"/>
        <w:right w:val="none" w:sz="0" w:space="0" w:color="auto"/>
      </w:divBdr>
    </w:div>
    <w:div w:id="1509055967">
      <w:bodyDiv w:val="1"/>
      <w:marLeft w:val="0"/>
      <w:marRight w:val="0"/>
      <w:marTop w:val="0"/>
      <w:marBottom w:val="0"/>
      <w:divBdr>
        <w:top w:val="none" w:sz="0" w:space="0" w:color="auto"/>
        <w:left w:val="none" w:sz="0" w:space="0" w:color="auto"/>
        <w:bottom w:val="none" w:sz="0" w:space="0" w:color="auto"/>
        <w:right w:val="none" w:sz="0" w:space="0" w:color="auto"/>
      </w:divBdr>
    </w:div>
    <w:div w:id="1510754872">
      <w:bodyDiv w:val="1"/>
      <w:marLeft w:val="0"/>
      <w:marRight w:val="0"/>
      <w:marTop w:val="0"/>
      <w:marBottom w:val="0"/>
      <w:divBdr>
        <w:top w:val="none" w:sz="0" w:space="0" w:color="auto"/>
        <w:left w:val="none" w:sz="0" w:space="0" w:color="auto"/>
        <w:bottom w:val="none" w:sz="0" w:space="0" w:color="auto"/>
        <w:right w:val="none" w:sz="0" w:space="0" w:color="auto"/>
      </w:divBdr>
    </w:div>
    <w:div w:id="1518735527">
      <w:bodyDiv w:val="1"/>
      <w:marLeft w:val="0"/>
      <w:marRight w:val="0"/>
      <w:marTop w:val="0"/>
      <w:marBottom w:val="0"/>
      <w:divBdr>
        <w:top w:val="none" w:sz="0" w:space="0" w:color="auto"/>
        <w:left w:val="none" w:sz="0" w:space="0" w:color="auto"/>
        <w:bottom w:val="none" w:sz="0" w:space="0" w:color="auto"/>
        <w:right w:val="none" w:sz="0" w:space="0" w:color="auto"/>
      </w:divBdr>
    </w:div>
    <w:div w:id="1522353582">
      <w:bodyDiv w:val="1"/>
      <w:marLeft w:val="0"/>
      <w:marRight w:val="0"/>
      <w:marTop w:val="0"/>
      <w:marBottom w:val="0"/>
      <w:divBdr>
        <w:top w:val="none" w:sz="0" w:space="0" w:color="auto"/>
        <w:left w:val="none" w:sz="0" w:space="0" w:color="auto"/>
        <w:bottom w:val="none" w:sz="0" w:space="0" w:color="auto"/>
        <w:right w:val="none" w:sz="0" w:space="0" w:color="auto"/>
      </w:divBdr>
    </w:div>
    <w:div w:id="1527523218">
      <w:bodyDiv w:val="1"/>
      <w:marLeft w:val="0"/>
      <w:marRight w:val="0"/>
      <w:marTop w:val="0"/>
      <w:marBottom w:val="0"/>
      <w:divBdr>
        <w:top w:val="none" w:sz="0" w:space="0" w:color="auto"/>
        <w:left w:val="none" w:sz="0" w:space="0" w:color="auto"/>
        <w:bottom w:val="none" w:sz="0" w:space="0" w:color="auto"/>
        <w:right w:val="none" w:sz="0" w:space="0" w:color="auto"/>
      </w:divBdr>
    </w:div>
    <w:div w:id="1527720719">
      <w:bodyDiv w:val="1"/>
      <w:marLeft w:val="0"/>
      <w:marRight w:val="0"/>
      <w:marTop w:val="0"/>
      <w:marBottom w:val="0"/>
      <w:divBdr>
        <w:top w:val="none" w:sz="0" w:space="0" w:color="auto"/>
        <w:left w:val="none" w:sz="0" w:space="0" w:color="auto"/>
        <w:bottom w:val="none" w:sz="0" w:space="0" w:color="auto"/>
        <w:right w:val="none" w:sz="0" w:space="0" w:color="auto"/>
      </w:divBdr>
    </w:div>
    <w:div w:id="1531799395">
      <w:bodyDiv w:val="1"/>
      <w:marLeft w:val="0"/>
      <w:marRight w:val="0"/>
      <w:marTop w:val="0"/>
      <w:marBottom w:val="0"/>
      <w:divBdr>
        <w:top w:val="none" w:sz="0" w:space="0" w:color="auto"/>
        <w:left w:val="none" w:sz="0" w:space="0" w:color="auto"/>
        <w:bottom w:val="none" w:sz="0" w:space="0" w:color="auto"/>
        <w:right w:val="none" w:sz="0" w:space="0" w:color="auto"/>
      </w:divBdr>
    </w:div>
    <w:div w:id="1531917463">
      <w:bodyDiv w:val="1"/>
      <w:marLeft w:val="0"/>
      <w:marRight w:val="0"/>
      <w:marTop w:val="0"/>
      <w:marBottom w:val="0"/>
      <w:divBdr>
        <w:top w:val="none" w:sz="0" w:space="0" w:color="auto"/>
        <w:left w:val="none" w:sz="0" w:space="0" w:color="auto"/>
        <w:bottom w:val="none" w:sz="0" w:space="0" w:color="auto"/>
        <w:right w:val="none" w:sz="0" w:space="0" w:color="auto"/>
      </w:divBdr>
    </w:div>
    <w:div w:id="1540049864">
      <w:bodyDiv w:val="1"/>
      <w:marLeft w:val="0"/>
      <w:marRight w:val="0"/>
      <w:marTop w:val="0"/>
      <w:marBottom w:val="0"/>
      <w:divBdr>
        <w:top w:val="none" w:sz="0" w:space="0" w:color="auto"/>
        <w:left w:val="none" w:sz="0" w:space="0" w:color="auto"/>
        <w:bottom w:val="none" w:sz="0" w:space="0" w:color="auto"/>
        <w:right w:val="none" w:sz="0" w:space="0" w:color="auto"/>
      </w:divBdr>
    </w:div>
    <w:div w:id="1545405387">
      <w:bodyDiv w:val="1"/>
      <w:marLeft w:val="0"/>
      <w:marRight w:val="0"/>
      <w:marTop w:val="0"/>
      <w:marBottom w:val="0"/>
      <w:divBdr>
        <w:top w:val="none" w:sz="0" w:space="0" w:color="auto"/>
        <w:left w:val="none" w:sz="0" w:space="0" w:color="auto"/>
        <w:bottom w:val="none" w:sz="0" w:space="0" w:color="auto"/>
        <w:right w:val="none" w:sz="0" w:space="0" w:color="auto"/>
      </w:divBdr>
    </w:div>
    <w:div w:id="1560170564">
      <w:bodyDiv w:val="1"/>
      <w:marLeft w:val="0"/>
      <w:marRight w:val="0"/>
      <w:marTop w:val="0"/>
      <w:marBottom w:val="0"/>
      <w:divBdr>
        <w:top w:val="none" w:sz="0" w:space="0" w:color="auto"/>
        <w:left w:val="none" w:sz="0" w:space="0" w:color="auto"/>
        <w:bottom w:val="none" w:sz="0" w:space="0" w:color="auto"/>
        <w:right w:val="none" w:sz="0" w:space="0" w:color="auto"/>
      </w:divBdr>
    </w:div>
    <w:div w:id="1563054274">
      <w:bodyDiv w:val="1"/>
      <w:marLeft w:val="0"/>
      <w:marRight w:val="0"/>
      <w:marTop w:val="0"/>
      <w:marBottom w:val="0"/>
      <w:divBdr>
        <w:top w:val="none" w:sz="0" w:space="0" w:color="auto"/>
        <w:left w:val="none" w:sz="0" w:space="0" w:color="auto"/>
        <w:bottom w:val="none" w:sz="0" w:space="0" w:color="auto"/>
        <w:right w:val="none" w:sz="0" w:space="0" w:color="auto"/>
      </w:divBdr>
    </w:div>
    <w:div w:id="1567758555">
      <w:bodyDiv w:val="1"/>
      <w:marLeft w:val="0"/>
      <w:marRight w:val="0"/>
      <w:marTop w:val="0"/>
      <w:marBottom w:val="0"/>
      <w:divBdr>
        <w:top w:val="none" w:sz="0" w:space="0" w:color="auto"/>
        <w:left w:val="none" w:sz="0" w:space="0" w:color="auto"/>
        <w:bottom w:val="none" w:sz="0" w:space="0" w:color="auto"/>
        <w:right w:val="none" w:sz="0" w:space="0" w:color="auto"/>
      </w:divBdr>
    </w:div>
    <w:div w:id="1573730482">
      <w:bodyDiv w:val="1"/>
      <w:marLeft w:val="0"/>
      <w:marRight w:val="0"/>
      <w:marTop w:val="0"/>
      <w:marBottom w:val="0"/>
      <w:divBdr>
        <w:top w:val="none" w:sz="0" w:space="0" w:color="auto"/>
        <w:left w:val="none" w:sz="0" w:space="0" w:color="auto"/>
        <w:bottom w:val="none" w:sz="0" w:space="0" w:color="auto"/>
        <w:right w:val="none" w:sz="0" w:space="0" w:color="auto"/>
      </w:divBdr>
    </w:div>
    <w:div w:id="1573812494">
      <w:bodyDiv w:val="1"/>
      <w:marLeft w:val="0"/>
      <w:marRight w:val="0"/>
      <w:marTop w:val="0"/>
      <w:marBottom w:val="0"/>
      <w:divBdr>
        <w:top w:val="none" w:sz="0" w:space="0" w:color="auto"/>
        <w:left w:val="none" w:sz="0" w:space="0" w:color="auto"/>
        <w:bottom w:val="none" w:sz="0" w:space="0" w:color="auto"/>
        <w:right w:val="none" w:sz="0" w:space="0" w:color="auto"/>
      </w:divBdr>
    </w:div>
    <w:div w:id="1574505704">
      <w:bodyDiv w:val="1"/>
      <w:marLeft w:val="0"/>
      <w:marRight w:val="0"/>
      <w:marTop w:val="0"/>
      <w:marBottom w:val="0"/>
      <w:divBdr>
        <w:top w:val="none" w:sz="0" w:space="0" w:color="auto"/>
        <w:left w:val="none" w:sz="0" w:space="0" w:color="auto"/>
        <w:bottom w:val="none" w:sz="0" w:space="0" w:color="auto"/>
        <w:right w:val="none" w:sz="0" w:space="0" w:color="auto"/>
      </w:divBdr>
    </w:div>
    <w:div w:id="1578593318">
      <w:bodyDiv w:val="1"/>
      <w:marLeft w:val="0"/>
      <w:marRight w:val="0"/>
      <w:marTop w:val="0"/>
      <w:marBottom w:val="0"/>
      <w:divBdr>
        <w:top w:val="none" w:sz="0" w:space="0" w:color="auto"/>
        <w:left w:val="none" w:sz="0" w:space="0" w:color="auto"/>
        <w:bottom w:val="none" w:sz="0" w:space="0" w:color="auto"/>
        <w:right w:val="none" w:sz="0" w:space="0" w:color="auto"/>
      </w:divBdr>
    </w:div>
    <w:div w:id="1581016090">
      <w:bodyDiv w:val="1"/>
      <w:marLeft w:val="0"/>
      <w:marRight w:val="0"/>
      <w:marTop w:val="0"/>
      <w:marBottom w:val="0"/>
      <w:divBdr>
        <w:top w:val="none" w:sz="0" w:space="0" w:color="auto"/>
        <w:left w:val="none" w:sz="0" w:space="0" w:color="auto"/>
        <w:bottom w:val="none" w:sz="0" w:space="0" w:color="auto"/>
        <w:right w:val="none" w:sz="0" w:space="0" w:color="auto"/>
      </w:divBdr>
    </w:div>
    <w:div w:id="1581526855">
      <w:bodyDiv w:val="1"/>
      <w:marLeft w:val="0"/>
      <w:marRight w:val="0"/>
      <w:marTop w:val="0"/>
      <w:marBottom w:val="0"/>
      <w:divBdr>
        <w:top w:val="none" w:sz="0" w:space="0" w:color="auto"/>
        <w:left w:val="none" w:sz="0" w:space="0" w:color="auto"/>
        <w:bottom w:val="none" w:sz="0" w:space="0" w:color="auto"/>
        <w:right w:val="none" w:sz="0" w:space="0" w:color="auto"/>
      </w:divBdr>
    </w:div>
    <w:div w:id="1584953769">
      <w:bodyDiv w:val="1"/>
      <w:marLeft w:val="0"/>
      <w:marRight w:val="0"/>
      <w:marTop w:val="0"/>
      <w:marBottom w:val="0"/>
      <w:divBdr>
        <w:top w:val="none" w:sz="0" w:space="0" w:color="auto"/>
        <w:left w:val="none" w:sz="0" w:space="0" w:color="auto"/>
        <w:bottom w:val="none" w:sz="0" w:space="0" w:color="auto"/>
        <w:right w:val="none" w:sz="0" w:space="0" w:color="auto"/>
      </w:divBdr>
    </w:div>
    <w:div w:id="1587106867">
      <w:bodyDiv w:val="1"/>
      <w:marLeft w:val="0"/>
      <w:marRight w:val="0"/>
      <w:marTop w:val="0"/>
      <w:marBottom w:val="0"/>
      <w:divBdr>
        <w:top w:val="none" w:sz="0" w:space="0" w:color="auto"/>
        <w:left w:val="none" w:sz="0" w:space="0" w:color="auto"/>
        <w:bottom w:val="none" w:sz="0" w:space="0" w:color="auto"/>
        <w:right w:val="none" w:sz="0" w:space="0" w:color="auto"/>
      </w:divBdr>
    </w:div>
    <w:div w:id="1588344316">
      <w:bodyDiv w:val="1"/>
      <w:marLeft w:val="0"/>
      <w:marRight w:val="0"/>
      <w:marTop w:val="0"/>
      <w:marBottom w:val="0"/>
      <w:divBdr>
        <w:top w:val="none" w:sz="0" w:space="0" w:color="auto"/>
        <w:left w:val="none" w:sz="0" w:space="0" w:color="auto"/>
        <w:bottom w:val="none" w:sz="0" w:space="0" w:color="auto"/>
        <w:right w:val="none" w:sz="0" w:space="0" w:color="auto"/>
      </w:divBdr>
    </w:div>
    <w:div w:id="1592274218">
      <w:bodyDiv w:val="1"/>
      <w:marLeft w:val="0"/>
      <w:marRight w:val="0"/>
      <w:marTop w:val="0"/>
      <w:marBottom w:val="0"/>
      <w:divBdr>
        <w:top w:val="none" w:sz="0" w:space="0" w:color="auto"/>
        <w:left w:val="none" w:sz="0" w:space="0" w:color="auto"/>
        <w:bottom w:val="none" w:sz="0" w:space="0" w:color="auto"/>
        <w:right w:val="none" w:sz="0" w:space="0" w:color="auto"/>
      </w:divBdr>
    </w:div>
    <w:div w:id="1592931805">
      <w:bodyDiv w:val="1"/>
      <w:marLeft w:val="0"/>
      <w:marRight w:val="0"/>
      <w:marTop w:val="0"/>
      <w:marBottom w:val="0"/>
      <w:divBdr>
        <w:top w:val="none" w:sz="0" w:space="0" w:color="auto"/>
        <w:left w:val="none" w:sz="0" w:space="0" w:color="auto"/>
        <w:bottom w:val="none" w:sz="0" w:space="0" w:color="auto"/>
        <w:right w:val="none" w:sz="0" w:space="0" w:color="auto"/>
      </w:divBdr>
    </w:div>
    <w:div w:id="1597594883">
      <w:bodyDiv w:val="1"/>
      <w:marLeft w:val="0"/>
      <w:marRight w:val="0"/>
      <w:marTop w:val="0"/>
      <w:marBottom w:val="0"/>
      <w:divBdr>
        <w:top w:val="none" w:sz="0" w:space="0" w:color="auto"/>
        <w:left w:val="none" w:sz="0" w:space="0" w:color="auto"/>
        <w:bottom w:val="none" w:sz="0" w:space="0" w:color="auto"/>
        <w:right w:val="none" w:sz="0" w:space="0" w:color="auto"/>
      </w:divBdr>
    </w:div>
    <w:div w:id="1602109492">
      <w:bodyDiv w:val="1"/>
      <w:marLeft w:val="0"/>
      <w:marRight w:val="0"/>
      <w:marTop w:val="0"/>
      <w:marBottom w:val="0"/>
      <w:divBdr>
        <w:top w:val="none" w:sz="0" w:space="0" w:color="auto"/>
        <w:left w:val="none" w:sz="0" w:space="0" w:color="auto"/>
        <w:bottom w:val="none" w:sz="0" w:space="0" w:color="auto"/>
        <w:right w:val="none" w:sz="0" w:space="0" w:color="auto"/>
      </w:divBdr>
    </w:div>
    <w:div w:id="1605574785">
      <w:bodyDiv w:val="1"/>
      <w:marLeft w:val="0"/>
      <w:marRight w:val="0"/>
      <w:marTop w:val="0"/>
      <w:marBottom w:val="0"/>
      <w:divBdr>
        <w:top w:val="none" w:sz="0" w:space="0" w:color="auto"/>
        <w:left w:val="none" w:sz="0" w:space="0" w:color="auto"/>
        <w:bottom w:val="none" w:sz="0" w:space="0" w:color="auto"/>
        <w:right w:val="none" w:sz="0" w:space="0" w:color="auto"/>
      </w:divBdr>
    </w:div>
    <w:div w:id="1611546565">
      <w:bodyDiv w:val="1"/>
      <w:marLeft w:val="0"/>
      <w:marRight w:val="0"/>
      <w:marTop w:val="0"/>
      <w:marBottom w:val="0"/>
      <w:divBdr>
        <w:top w:val="none" w:sz="0" w:space="0" w:color="auto"/>
        <w:left w:val="none" w:sz="0" w:space="0" w:color="auto"/>
        <w:bottom w:val="none" w:sz="0" w:space="0" w:color="auto"/>
        <w:right w:val="none" w:sz="0" w:space="0" w:color="auto"/>
      </w:divBdr>
    </w:div>
    <w:div w:id="1617642583">
      <w:bodyDiv w:val="1"/>
      <w:marLeft w:val="0"/>
      <w:marRight w:val="0"/>
      <w:marTop w:val="0"/>
      <w:marBottom w:val="0"/>
      <w:divBdr>
        <w:top w:val="none" w:sz="0" w:space="0" w:color="auto"/>
        <w:left w:val="none" w:sz="0" w:space="0" w:color="auto"/>
        <w:bottom w:val="none" w:sz="0" w:space="0" w:color="auto"/>
        <w:right w:val="none" w:sz="0" w:space="0" w:color="auto"/>
      </w:divBdr>
    </w:div>
    <w:div w:id="1622179279">
      <w:bodyDiv w:val="1"/>
      <w:marLeft w:val="0"/>
      <w:marRight w:val="0"/>
      <w:marTop w:val="0"/>
      <w:marBottom w:val="0"/>
      <w:divBdr>
        <w:top w:val="none" w:sz="0" w:space="0" w:color="auto"/>
        <w:left w:val="none" w:sz="0" w:space="0" w:color="auto"/>
        <w:bottom w:val="none" w:sz="0" w:space="0" w:color="auto"/>
        <w:right w:val="none" w:sz="0" w:space="0" w:color="auto"/>
      </w:divBdr>
    </w:div>
    <w:div w:id="1623875151">
      <w:bodyDiv w:val="1"/>
      <w:marLeft w:val="0"/>
      <w:marRight w:val="0"/>
      <w:marTop w:val="0"/>
      <w:marBottom w:val="0"/>
      <w:divBdr>
        <w:top w:val="none" w:sz="0" w:space="0" w:color="auto"/>
        <w:left w:val="none" w:sz="0" w:space="0" w:color="auto"/>
        <w:bottom w:val="none" w:sz="0" w:space="0" w:color="auto"/>
        <w:right w:val="none" w:sz="0" w:space="0" w:color="auto"/>
      </w:divBdr>
    </w:div>
    <w:div w:id="1625194095">
      <w:bodyDiv w:val="1"/>
      <w:marLeft w:val="0"/>
      <w:marRight w:val="0"/>
      <w:marTop w:val="0"/>
      <w:marBottom w:val="0"/>
      <w:divBdr>
        <w:top w:val="none" w:sz="0" w:space="0" w:color="auto"/>
        <w:left w:val="none" w:sz="0" w:space="0" w:color="auto"/>
        <w:bottom w:val="none" w:sz="0" w:space="0" w:color="auto"/>
        <w:right w:val="none" w:sz="0" w:space="0" w:color="auto"/>
      </w:divBdr>
    </w:div>
    <w:div w:id="1625384341">
      <w:bodyDiv w:val="1"/>
      <w:marLeft w:val="0"/>
      <w:marRight w:val="0"/>
      <w:marTop w:val="0"/>
      <w:marBottom w:val="0"/>
      <w:divBdr>
        <w:top w:val="none" w:sz="0" w:space="0" w:color="auto"/>
        <w:left w:val="none" w:sz="0" w:space="0" w:color="auto"/>
        <w:bottom w:val="none" w:sz="0" w:space="0" w:color="auto"/>
        <w:right w:val="none" w:sz="0" w:space="0" w:color="auto"/>
      </w:divBdr>
    </w:div>
    <w:div w:id="1625768123">
      <w:bodyDiv w:val="1"/>
      <w:marLeft w:val="0"/>
      <w:marRight w:val="0"/>
      <w:marTop w:val="0"/>
      <w:marBottom w:val="0"/>
      <w:divBdr>
        <w:top w:val="none" w:sz="0" w:space="0" w:color="auto"/>
        <w:left w:val="none" w:sz="0" w:space="0" w:color="auto"/>
        <w:bottom w:val="none" w:sz="0" w:space="0" w:color="auto"/>
        <w:right w:val="none" w:sz="0" w:space="0" w:color="auto"/>
      </w:divBdr>
    </w:div>
    <w:div w:id="1634094965">
      <w:bodyDiv w:val="1"/>
      <w:marLeft w:val="0"/>
      <w:marRight w:val="0"/>
      <w:marTop w:val="0"/>
      <w:marBottom w:val="0"/>
      <w:divBdr>
        <w:top w:val="none" w:sz="0" w:space="0" w:color="auto"/>
        <w:left w:val="none" w:sz="0" w:space="0" w:color="auto"/>
        <w:bottom w:val="none" w:sz="0" w:space="0" w:color="auto"/>
        <w:right w:val="none" w:sz="0" w:space="0" w:color="auto"/>
      </w:divBdr>
    </w:div>
    <w:div w:id="1635141084">
      <w:bodyDiv w:val="1"/>
      <w:marLeft w:val="0"/>
      <w:marRight w:val="0"/>
      <w:marTop w:val="0"/>
      <w:marBottom w:val="0"/>
      <w:divBdr>
        <w:top w:val="none" w:sz="0" w:space="0" w:color="auto"/>
        <w:left w:val="none" w:sz="0" w:space="0" w:color="auto"/>
        <w:bottom w:val="none" w:sz="0" w:space="0" w:color="auto"/>
        <w:right w:val="none" w:sz="0" w:space="0" w:color="auto"/>
      </w:divBdr>
    </w:div>
    <w:div w:id="1645236853">
      <w:bodyDiv w:val="1"/>
      <w:marLeft w:val="0"/>
      <w:marRight w:val="0"/>
      <w:marTop w:val="0"/>
      <w:marBottom w:val="0"/>
      <w:divBdr>
        <w:top w:val="none" w:sz="0" w:space="0" w:color="auto"/>
        <w:left w:val="none" w:sz="0" w:space="0" w:color="auto"/>
        <w:bottom w:val="none" w:sz="0" w:space="0" w:color="auto"/>
        <w:right w:val="none" w:sz="0" w:space="0" w:color="auto"/>
      </w:divBdr>
    </w:div>
    <w:div w:id="1647784918">
      <w:bodyDiv w:val="1"/>
      <w:marLeft w:val="0"/>
      <w:marRight w:val="0"/>
      <w:marTop w:val="0"/>
      <w:marBottom w:val="0"/>
      <w:divBdr>
        <w:top w:val="none" w:sz="0" w:space="0" w:color="auto"/>
        <w:left w:val="none" w:sz="0" w:space="0" w:color="auto"/>
        <w:bottom w:val="none" w:sz="0" w:space="0" w:color="auto"/>
        <w:right w:val="none" w:sz="0" w:space="0" w:color="auto"/>
      </w:divBdr>
    </w:div>
    <w:div w:id="1649355530">
      <w:bodyDiv w:val="1"/>
      <w:marLeft w:val="0"/>
      <w:marRight w:val="0"/>
      <w:marTop w:val="0"/>
      <w:marBottom w:val="0"/>
      <w:divBdr>
        <w:top w:val="none" w:sz="0" w:space="0" w:color="auto"/>
        <w:left w:val="none" w:sz="0" w:space="0" w:color="auto"/>
        <w:bottom w:val="none" w:sz="0" w:space="0" w:color="auto"/>
        <w:right w:val="none" w:sz="0" w:space="0" w:color="auto"/>
      </w:divBdr>
    </w:div>
    <w:div w:id="1654136268">
      <w:bodyDiv w:val="1"/>
      <w:marLeft w:val="0"/>
      <w:marRight w:val="0"/>
      <w:marTop w:val="0"/>
      <w:marBottom w:val="0"/>
      <w:divBdr>
        <w:top w:val="none" w:sz="0" w:space="0" w:color="auto"/>
        <w:left w:val="none" w:sz="0" w:space="0" w:color="auto"/>
        <w:bottom w:val="none" w:sz="0" w:space="0" w:color="auto"/>
        <w:right w:val="none" w:sz="0" w:space="0" w:color="auto"/>
      </w:divBdr>
    </w:div>
    <w:div w:id="1658538287">
      <w:bodyDiv w:val="1"/>
      <w:marLeft w:val="0"/>
      <w:marRight w:val="0"/>
      <w:marTop w:val="0"/>
      <w:marBottom w:val="0"/>
      <w:divBdr>
        <w:top w:val="none" w:sz="0" w:space="0" w:color="auto"/>
        <w:left w:val="none" w:sz="0" w:space="0" w:color="auto"/>
        <w:bottom w:val="none" w:sz="0" w:space="0" w:color="auto"/>
        <w:right w:val="none" w:sz="0" w:space="0" w:color="auto"/>
      </w:divBdr>
    </w:div>
    <w:div w:id="1659502770">
      <w:bodyDiv w:val="1"/>
      <w:marLeft w:val="0"/>
      <w:marRight w:val="0"/>
      <w:marTop w:val="0"/>
      <w:marBottom w:val="0"/>
      <w:divBdr>
        <w:top w:val="none" w:sz="0" w:space="0" w:color="auto"/>
        <w:left w:val="none" w:sz="0" w:space="0" w:color="auto"/>
        <w:bottom w:val="none" w:sz="0" w:space="0" w:color="auto"/>
        <w:right w:val="none" w:sz="0" w:space="0" w:color="auto"/>
      </w:divBdr>
    </w:div>
    <w:div w:id="1664041897">
      <w:bodyDiv w:val="1"/>
      <w:marLeft w:val="0"/>
      <w:marRight w:val="0"/>
      <w:marTop w:val="0"/>
      <w:marBottom w:val="0"/>
      <w:divBdr>
        <w:top w:val="none" w:sz="0" w:space="0" w:color="auto"/>
        <w:left w:val="none" w:sz="0" w:space="0" w:color="auto"/>
        <w:bottom w:val="none" w:sz="0" w:space="0" w:color="auto"/>
        <w:right w:val="none" w:sz="0" w:space="0" w:color="auto"/>
      </w:divBdr>
    </w:div>
    <w:div w:id="1665164405">
      <w:bodyDiv w:val="1"/>
      <w:marLeft w:val="0"/>
      <w:marRight w:val="0"/>
      <w:marTop w:val="0"/>
      <w:marBottom w:val="0"/>
      <w:divBdr>
        <w:top w:val="none" w:sz="0" w:space="0" w:color="auto"/>
        <w:left w:val="none" w:sz="0" w:space="0" w:color="auto"/>
        <w:bottom w:val="none" w:sz="0" w:space="0" w:color="auto"/>
        <w:right w:val="none" w:sz="0" w:space="0" w:color="auto"/>
      </w:divBdr>
    </w:div>
    <w:div w:id="1671567057">
      <w:bodyDiv w:val="1"/>
      <w:marLeft w:val="0"/>
      <w:marRight w:val="0"/>
      <w:marTop w:val="0"/>
      <w:marBottom w:val="0"/>
      <w:divBdr>
        <w:top w:val="none" w:sz="0" w:space="0" w:color="auto"/>
        <w:left w:val="none" w:sz="0" w:space="0" w:color="auto"/>
        <w:bottom w:val="none" w:sz="0" w:space="0" w:color="auto"/>
        <w:right w:val="none" w:sz="0" w:space="0" w:color="auto"/>
      </w:divBdr>
    </w:div>
    <w:div w:id="1677344283">
      <w:bodyDiv w:val="1"/>
      <w:marLeft w:val="0"/>
      <w:marRight w:val="0"/>
      <w:marTop w:val="0"/>
      <w:marBottom w:val="0"/>
      <w:divBdr>
        <w:top w:val="none" w:sz="0" w:space="0" w:color="auto"/>
        <w:left w:val="none" w:sz="0" w:space="0" w:color="auto"/>
        <w:bottom w:val="none" w:sz="0" w:space="0" w:color="auto"/>
        <w:right w:val="none" w:sz="0" w:space="0" w:color="auto"/>
      </w:divBdr>
    </w:div>
    <w:div w:id="1677423113">
      <w:bodyDiv w:val="1"/>
      <w:marLeft w:val="0"/>
      <w:marRight w:val="0"/>
      <w:marTop w:val="0"/>
      <w:marBottom w:val="0"/>
      <w:divBdr>
        <w:top w:val="none" w:sz="0" w:space="0" w:color="auto"/>
        <w:left w:val="none" w:sz="0" w:space="0" w:color="auto"/>
        <w:bottom w:val="none" w:sz="0" w:space="0" w:color="auto"/>
        <w:right w:val="none" w:sz="0" w:space="0" w:color="auto"/>
      </w:divBdr>
    </w:div>
    <w:div w:id="1678771260">
      <w:bodyDiv w:val="1"/>
      <w:marLeft w:val="0"/>
      <w:marRight w:val="0"/>
      <w:marTop w:val="0"/>
      <w:marBottom w:val="0"/>
      <w:divBdr>
        <w:top w:val="none" w:sz="0" w:space="0" w:color="auto"/>
        <w:left w:val="none" w:sz="0" w:space="0" w:color="auto"/>
        <w:bottom w:val="none" w:sz="0" w:space="0" w:color="auto"/>
        <w:right w:val="none" w:sz="0" w:space="0" w:color="auto"/>
      </w:divBdr>
    </w:div>
    <w:div w:id="1678843490">
      <w:bodyDiv w:val="1"/>
      <w:marLeft w:val="0"/>
      <w:marRight w:val="0"/>
      <w:marTop w:val="0"/>
      <w:marBottom w:val="0"/>
      <w:divBdr>
        <w:top w:val="none" w:sz="0" w:space="0" w:color="auto"/>
        <w:left w:val="none" w:sz="0" w:space="0" w:color="auto"/>
        <w:bottom w:val="none" w:sz="0" w:space="0" w:color="auto"/>
        <w:right w:val="none" w:sz="0" w:space="0" w:color="auto"/>
      </w:divBdr>
    </w:div>
    <w:div w:id="1679042458">
      <w:bodyDiv w:val="1"/>
      <w:marLeft w:val="0"/>
      <w:marRight w:val="0"/>
      <w:marTop w:val="0"/>
      <w:marBottom w:val="0"/>
      <w:divBdr>
        <w:top w:val="none" w:sz="0" w:space="0" w:color="auto"/>
        <w:left w:val="none" w:sz="0" w:space="0" w:color="auto"/>
        <w:bottom w:val="none" w:sz="0" w:space="0" w:color="auto"/>
        <w:right w:val="none" w:sz="0" w:space="0" w:color="auto"/>
      </w:divBdr>
    </w:div>
    <w:div w:id="1683049564">
      <w:bodyDiv w:val="1"/>
      <w:marLeft w:val="0"/>
      <w:marRight w:val="0"/>
      <w:marTop w:val="0"/>
      <w:marBottom w:val="0"/>
      <w:divBdr>
        <w:top w:val="none" w:sz="0" w:space="0" w:color="auto"/>
        <w:left w:val="none" w:sz="0" w:space="0" w:color="auto"/>
        <w:bottom w:val="none" w:sz="0" w:space="0" w:color="auto"/>
        <w:right w:val="none" w:sz="0" w:space="0" w:color="auto"/>
      </w:divBdr>
    </w:div>
    <w:div w:id="1684473314">
      <w:bodyDiv w:val="1"/>
      <w:marLeft w:val="0"/>
      <w:marRight w:val="0"/>
      <w:marTop w:val="0"/>
      <w:marBottom w:val="0"/>
      <w:divBdr>
        <w:top w:val="none" w:sz="0" w:space="0" w:color="auto"/>
        <w:left w:val="none" w:sz="0" w:space="0" w:color="auto"/>
        <w:bottom w:val="none" w:sz="0" w:space="0" w:color="auto"/>
        <w:right w:val="none" w:sz="0" w:space="0" w:color="auto"/>
      </w:divBdr>
    </w:div>
    <w:div w:id="1697585414">
      <w:bodyDiv w:val="1"/>
      <w:marLeft w:val="0"/>
      <w:marRight w:val="0"/>
      <w:marTop w:val="0"/>
      <w:marBottom w:val="0"/>
      <w:divBdr>
        <w:top w:val="none" w:sz="0" w:space="0" w:color="auto"/>
        <w:left w:val="none" w:sz="0" w:space="0" w:color="auto"/>
        <w:bottom w:val="none" w:sz="0" w:space="0" w:color="auto"/>
        <w:right w:val="none" w:sz="0" w:space="0" w:color="auto"/>
      </w:divBdr>
    </w:div>
    <w:div w:id="1698039134">
      <w:bodyDiv w:val="1"/>
      <w:marLeft w:val="0"/>
      <w:marRight w:val="0"/>
      <w:marTop w:val="0"/>
      <w:marBottom w:val="0"/>
      <w:divBdr>
        <w:top w:val="none" w:sz="0" w:space="0" w:color="auto"/>
        <w:left w:val="none" w:sz="0" w:space="0" w:color="auto"/>
        <w:bottom w:val="none" w:sz="0" w:space="0" w:color="auto"/>
        <w:right w:val="none" w:sz="0" w:space="0" w:color="auto"/>
      </w:divBdr>
    </w:div>
    <w:div w:id="1699890894">
      <w:bodyDiv w:val="1"/>
      <w:marLeft w:val="0"/>
      <w:marRight w:val="0"/>
      <w:marTop w:val="0"/>
      <w:marBottom w:val="0"/>
      <w:divBdr>
        <w:top w:val="none" w:sz="0" w:space="0" w:color="auto"/>
        <w:left w:val="none" w:sz="0" w:space="0" w:color="auto"/>
        <w:bottom w:val="none" w:sz="0" w:space="0" w:color="auto"/>
        <w:right w:val="none" w:sz="0" w:space="0" w:color="auto"/>
      </w:divBdr>
    </w:div>
    <w:div w:id="1704137701">
      <w:bodyDiv w:val="1"/>
      <w:marLeft w:val="0"/>
      <w:marRight w:val="0"/>
      <w:marTop w:val="0"/>
      <w:marBottom w:val="0"/>
      <w:divBdr>
        <w:top w:val="none" w:sz="0" w:space="0" w:color="auto"/>
        <w:left w:val="none" w:sz="0" w:space="0" w:color="auto"/>
        <w:bottom w:val="none" w:sz="0" w:space="0" w:color="auto"/>
        <w:right w:val="none" w:sz="0" w:space="0" w:color="auto"/>
      </w:divBdr>
    </w:div>
    <w:div w:id="1704138162">
      <w:bodyDiv w:val="1"/>
      <w:marLeft w:val="0"/>
      <w:marRight w:val="0"/>
      <w:marTop w:val="0"/>
      <w:marBottom w:val="0"/>
      <w:divBdr>
        <w:top w:val="none" w:sz="0" w:space="0" w:color="auto"/>
        <w:left w:val="none" w:sz="0" w:space="0" w:color="auto"/>
        <w:bottom w:val="none" w:sz="0" w:space="0" w:color="auto"/>
        <w:right w:val="none" w:sz="0" w:space="0" w:color="auto"/>
      </w:divBdr>
    </w:div>
    <w:div w:id="1704162619">
      <w:bodyDiv w:val="1"/>
      <w:marLeft w:val="0"/>
      <w:marRight w:val="0"/>
      <w:marTop w:val="0"/>
      <w:marBottom w:val="0"/>
      <w:divBdr>
        <w:top w:val="none" w:sz="0" w:space="0" w:color="auto"/>
        <w:left w:val="none" w:sz="0" w:space="0" w:color="auto"/>
        <w:bottom w:val="none" w:sz="0" w:space="0" w:color="auto"/>
        <w:right w:val="none" w:sz="0" w:space="0" w:color="auto"/>
      </w:divBdr>
    </w:div>
    <w:div w:id="1707949122">
      <w:bodyDiv w:val="1"/>
      <w:marLeft w:val="0"/>
      <w:marRight w:val="0"/>
      <w:marTop w:val="0"/>
      <w:marBottom w:val="0"/>
      <w:divBdr>
        <w:top w:val="none" w:sz="0" w:space="0" w:color="auto"/>
        <w:left w:val="none" w:sz="0" w:space="0" w:color="auto"/>
        <w:bottom w:val="none" w:sz="0" w:space="0" w:color="auto"/>
        <w:right w:val="none" w:sz="0" w:space="0" w:color="auto"/>
      </w:divBdr>
    </w:div>
    <w:div w:id="1708333261">
      <w:bodyDiv w:val="1"/>
      <w:marLeft w:val="0"/>
      <w:marRight w:val="0"/>
      <w:marTop w:val="0"/>
      <w:marBottom w:val="0"/>
      <w:divBdr>
        <w:top w:val="none" w:sz="0" w:space="0" w:color="auto"/>
        <w:left w:val="none" w:sz="0" w:space="0" w:color="auto"/>
        <w:bottom w:val="none" w:sz="0" w:space="0" w:color="auto"/>
        <w:right w:val="none" w:sz="0" w:space="0" w:color="auto"/>
      </w:divBdr>
    </w:div>
    <w:div w:id="1715957279">
      <w:bodyDiv w:val="1"/>
      <w:marLeft w:val="0"/>
      <w:marRight w:val="0"/>
      <w:marTop w:val="0"/>
      <w:marBottom w:val="0"/>
      <w:divBdr>
        <w:top w:val="none" w:sz="0" w:space="0" w:color="auto"/>
        <w:left w:val="none" w:sz="0" w:space="0" w:color="auto"/>
        <w:bottom w:val="none" w:sz="0" w:space="0" w:color="auto"/>
        <w:right w:val="none" w:sz="0" w:space="0" w:color="auto"/>
      </w:divBdr>
    </w:div>
    <w:div w:id="1728072223">
      <w:bodyDiv w:val="1"/>
      <w:marLeft w:val="0"/>
      <w:marRight w:val="0"/>
      <w:marTop w:val="0"/>
      <w:marBottom w:val="0"/>
      <w:divBdr>
        <w:top w:val="none" w:sz="0" w:space="0" w:color="auto"/>
        <w:left w:val="none" w:sz="0" w:space="0" w:color="auto"/>
        <w:bottom w:val="none" w:sz="0" w:space="0" w:color="auto"/>
        <w:right w:val="none" w:sz="0" w:space="0" w:color="auto"/>
      </w:divBdr>
    </w:div>
    <w:div w:id="1734157474">
      <w:bodyDiv w:val="1"/>
      <w:marLeft w:val="0"/>
      <w:marRight w:val="0"/>
      <w:marTop w:val="0"/>
      <w:marBottom w:val="0"/>
      <w:divBdr>
        <w:top w:val="none" w:sz="0" w:space="0" w:color="auto"/>
        <w:left w:val="none" w:sz="0" w:space="0" w:color="auto"/>
        <w:bottom w:val="none" w:sz="0" w:space="0" w:color="auto"/>
        <w:right w:val="none" w:sz="0" w:space="0" w:color="auto"/>
      </w:divBdr>
    </w:div>
    <w:div w:id="1736274845">
      <w:bodyDiv w:val="1"/>
      <w:marLeft w:val="0"/>
      <w:marRight w:val="0"/>
      <w:marTop w:val="0"/>
      <w:marBottom w:val="0"/>
      <w:divBdr>
        <w:top w:val="none" w:sz="0" w:space="0" w:color="auto"/>
        <w:left w:val="none" w:sz="0" w:space="0" w:color="auto"/>
        <w:bottom w:val="none" w:sz="0" w:space="0" w:color="auto"/>
        <w:right w:val="none" w:sz="0" w:space="0" w:color="auto"/>
      </w:divBdr>
    </w:div>
    <w:div w:id="1736851636">
      <w:bodyDiv w:val="1"/>
      <w:marLeft w:val="0"/>
      <w:marRight w:val="0"/>
      <w:marTop w:val="0"/>
      <w:marBottom w:val="0"/>
      <w:divBdr>
        <w:top w:val="none" w:sz="0" w:space="0" w:color="auto"/>
        <w:left w:val="none" w:sz="0" w:space="0" w:color="auto"/>
        <w:bottom w:val="none" w:sz="0" w:space="0" w:color="auto"/>
        <w:right w:val="none" w:sz="0" w:space="0" w:color="auto"/>
      </w:divBdr>
    </w:div>
    <w:div w:id="1737513647">
      <w:bodyDiv w:val="1"/>
      <w:marLeft w:val="0"/>
      <w:marRight w:val="0"/>
      <w:marTop w:val="0"/>
      <w:marBottom w:val="0"/>
      <w:divBdr>
        <w:top w:val="none" w:sz="0" w:space="0" w:color="auto"/>
        <w:left w:val="none" w:sz="0" w:space="0" w:color="auto"/>
        <w:bottom w:val="none" w:sz="0" w:space="0" w:color="auto"/>
        <w:right w:val="none" w:sz="0" w:space="0" w:color="auto"/>
      </w:divBdr>
    </w:div>
    <w:div w:id="1740054346">
      <w:bodyDiv w:val="1"/>
      <w:marLeft w:val="0"/>
      <w:marRight w:val="0"/>
      <w:marTop w:val="0"/>
      <w:marBottom w:val="0"/>
      <w:divBdr>
        <w:top w:val="none" w:sz="0" w:space="0" w:color="auto"/>
        <w:left w:val="none" w:sz="0" w:space="0" w:color="auto"/>
        <w:bottom w:val="none" w:sz="0" w:space="0" w:color="auto"/>
        <w:right w:val="none" w:sz="0" w:space="0" w:color="auto"/>
      </w:divBdr>
    </w:div>
    <w:div w:id="1742017369">
      <w:bodyDiv w:val="1"/>
      <w:marLeft w:val="0"/>
      <w:marRight w:val="0"/>
      <w:marTop w:val="0"/>
      <w:marBottom w:val="0"/>
      <w:divBdr>
        <w:top w:val="none" w:sz="0" w:space="0" w:color="auto"/>
        <w:left w:val="none" w:sz="0" w:space="0" w:color="auto"/>
        <w:bottom w:val="none" w:sz="0" w:space="0" w:color="auto"/>
        <w:right w:val="none" w:sz="0" w:space="0" w:color="auto"/>
      </w:divBdr>
    </w:div>
    <w:div w:id="1749382885">
      <w:bodyDiv w:val="1"/>
      <w:marLeft w:val="0"/>
      <w:marRight w:val="0"/>
      <w:marTop w:val="0"/>
      <w:marBottom w:val="0"/>
      <w:divBdr>
        <w:top w:val="none" w:sz="0" w:space="0" w:color="auto"/>
        <w:left w:val="none" w:sz="0" w:space="0" w:color="auto"/>
        <w:bottom w:val="none" w:sz="0" w:space="0" w:color="auto"/>
        <w:right w:val="none" w:sz="0" w:space="0" w:color="auto"/>
      </w:divBdr>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
    <w:div w:id="1751001616">
      <w:bodyDiv w:val="1"/>
      <w:marLeft w:val="0"/>
      <w:marRight w:val="0"/>
      <w:marTop w:val="0"/>
      <w:marBottom w:val="0"/>
      <w:divBdr>
        <w:top w:val="none" w:sz="0" w:space="0" w:color="auto"/>
        <w:left w:val="none" w:sz="0" w:space="0" w:color="auto"/>
        <w:bottom w:val="none" w:sz="0" w:space="0" w:color="auto"/>
        <w:right w:val="none" w:sz="0" w:space="0" w:color="auto"/>
      </w:divBdr>
    </w:div>
    <w:div w:id="1752000745">
      <w:bodyDiv w:val="1"/>
      <w:marLeft w:val="0"/>
      <w:marRight w:val="0"/>
      <w:marTop w:val="0"/>
      <w:marBottom w:val="0"/>
      <w:divBdr>
        <w:top w:val="none" w:sz="0" w:space="0" w:color="auto"/>
        <w:left w:val="none" w:sz="0" w:space="0" w:color="auto"/>
        <w:bottom w:val="none" w:sz="0" w:space="0" w:color="auto"/>
        <w:right w:val="none" w:sz="0" w:space="0" w:color="auto"/>
      </w:divBdr>
    </w:div>
    <w:div w:id="1752005436">
      <w:bodyDiv w:val="1"/>
      <w:marLeft w:val="0"/>
      <w:marRight w:val="0"/>
      <w:marTop w:val="0"/>
      <w:marBottom w:val="0"/>
      <w:divBdr>
        <w:top w:val="none" w:sz="0" w:space="0" w:color="auto"/>
        <w:left w:val="none" w:sz="0" w:space="0" w:color="auto"/>
        <w:bottom w:val="none" w:sz="0" w:space="0" w:color="auto"/>
        <w:right w:val="none" w:sz="0" w:space="0" w:color="auto"/>
      </w:divBdr>
    </w:div>
    <w:div w:id="1752652647">
      <w:bodyDiv w:val="1"/>
      <w:marLeft w:val="0"/>
      <w:marRight w:val="0"/>
      <w:marTop w:val="0"/>
      <w:marBottom w:val="0"/>
      <w:divBdr>
        <w:top w:val="none" w:sz="0" w:space="0" w:color="auto"/>
        <w:left w:val="none" w:sz="0" w:space="0" w:color="auto"/>
        <w:bottom w:val="none" w:sz="0" w:space="0" w:color="auto"/>
        <w:right w:val="none" w:sz="0" w:space="0" w:color="auto"/>
      </w:divBdr>
    </w:div>
    <w:div w:id="1754745152">
      <w:bodyDiv w:val="1"/>
      <w:marLeft w:val="0"/>
      <w:marRight w:val="0"/>
      <w:marTop w:val="0"/>
      <w:marBottom w:val="0"/>
      <w:divBdr>
        <w:top w:val="none" w:sz="0" w:space="0" w:color="auto"/>
        <w:left w:val="none" w:sz="0" w:space="0" w:color="auto"/>
        <w:bottom w:val="none" w:sz="0" w:space="0" w:color="auto"/>
        <w:right w:val="none" w:sz="0" w:space="0" w:color="auto"/>
      </w:divBdr>
    </w:div>
    <w:div w:id="1758742545">
      <w:bodyDiv w:val="1"/>
      <w:marLeft w:val="0"/>
      <w:marRight w:val="0"/>
      <w:marTop w:val="0"/>
      <w:marBottom w:val="0"/>
      <w:divBdr>
        <w:top w:val="none" w:sz="0" w:space="0" w:color="auto"/>
        <w:left w:val="none" w:sz="0" w:space="0" w:color="auto"/>
        <w:bottom w:val="none" w:sz="0" w:space="0" w:color="auto"/>
        <w:right w:val="none" w:sz="0" w:space="0" w:color="auto"/>
      </w:divBdr>
    </w:div>
    <w:div w:id="1762601855">
      <w:bodyDiv w:val="1"/>
      <w:marLeft w:val="0"/>
      <w:marRight w:val="0"/>
      <w:marTop w:val="0"/>
      <w:marBottom w:val="0"/>
      <w:divBdr>
        <w:top w:val="none" w:sz="0" w:space="0" w:color="auto"/>
        <w:left w:val="none" w:sz="0" w:space="0" w:color="auto"/>
        <w:bottom w:val="none" w:sz="0" w:space="0" w:color="auto"/>
        <w:right w:val="none" w:sz="0" w:space="0" w:color="auto"/>
      </w:divBdr>
    </w:div>
    <w:div w:id="1767385486">
      <w:bodyDiv w:val="1"/>
      <w:marLeft w:val="0"/>
      <w:marRight w:val="0"/>
      <w:marTop w:val="0"/>
      <w:marBottom w:val="0"/>
      <w:divBdr>
        <w:top w:val="none" w:sz="0" w:space="0" w:color="auto"/>
        <w:left w:val="none" w:sz="0" w:space="0" w:color="auto"/>
        <w:bottom w:val="none" w:sz="0" w:space="0" w:color="auto"/>
        <w:right w:val="none" w:sz="0" w:space="0" w:color="auto"/>
      </w:divBdr>
    </w:div>
    <w:div w:id="1771273363">
      <w:bodyDiv w:val="1"/>
      <w:marLeft w:val="0"/>
      <w:marRight w:val="0"/>
      <w:marTop w:val="0"/>
      <w:marBottom w:val="0"/>
      <w:divBdr>
        <w:top w:val="none" w:sz="0" w:space="0" w:color="auto"/>
        <w:left w:val="none" w:sz="0" w:space="0" w:color="auto"/>
        <w:bottom w:val="none" w:sz="0" w:space="0" w:color="auto"/>
        <w:right w:val="none" w:sz="0" w:space="0" w:color="auto"/>
      </w:divBdr>
    </w:div>
    <w:div w:id="1773889442">
      <w:bodyDiv w:val="1"/>
      <w:marLeft w:val="0"/>
      <w:marRight w:val="0"/>
      <w:marTop w:val="0"/>
      <w:marBottom w:val="0"/>
      <w:divBdr>
        <w:top w:val="none" w:sz="0" w:space="0" w:color="auto"/>
        <w:left w:val="none" w:sz="0" w:space="0" w:color="auto"/>
        <w:bottom w:val="none" w:sz="0" w:space="0" w:color="auto"/>
        <w:right w:val="none" w:sz="0" w:space="0" w:color="auto"/>
      </w:divBdr>
    </w:div>
    <w:div w:id="1775901214">
      <w:bodyDiv w:val="1"/>
      <w:marLeft w:val="0"/>
      <w:marRight w:val="0"/>
      <w:marTop w:val="0"/>
      <w:marBottom w:val="0"/>
      <w:divBdr>
        <w:top w:val="none" w:sz="0" w:space="0" w:color="auto"/>
        <w:left w:val="none" w:sz="0" w:space="0" w:color="auto"/>
        <w:bottom w:val="none" w:sz="0" w:space="0" w:color="auto"/>
        <w:right w:val="none" w:sz="0" w:space="0" w:color="auto"/>
      </w:divBdr>
    </w:div>
    <w:div w:id="1784811995">
      <w:bodyDiv w:val="1"/>
      <w:marLeft w:val="0"/>
      <w:marRight w:val="0"/>
      <w:marTop w:val="0"/>
      <w:marBottom w:val="0"/>
      <w:divBdr>
        <w:top w:val="none" w:sz="0" w:space="0" w:color="auto"/>
        <w:left w:val="none" w:sz="0" w:space="0" w:color="auto"/>
        <w:bottom w:val="none" w:sz="0" w:space="0" w:color="auto"/>
        <w:right w:val="none" w:sz="0" w:space="0" w:color="auto"/>
      </w:divBdr>
    </w:div>
    <w:div w:id="1790392273">
      <w:bodyDiv w:val="1"/>
      <w:marLeft w:val="0"/>
      <w:marRight w:val="0"/>
      <w:marTop w:val="0"/>
      <w:marBottom w:val="0"/>
      <w:divBdr>
        <w:top w:val="none" w:sz="0" w:space="0" w:color="auto"/>
        <w:left w:val="none" w:sz="0" w:space="0" w:color="auto"/>
        <w:bottom w:val="none" w:sz="0" w:space="0" w:color="auto"/>
        <w:right w:val="none" w:sz="0" w:space="0" w:color="auto"/>
      </w:divBdr>
    </w:div>
    <w:div w:id="1793396818">
      <w:bodyDiv w:val="1"/>
      <w:marLeft w:val="0"/>
      <w:marRight w:val="0"/>
      <w:marTop w:val="0"/>
      <w:marBottom w:val="0"/>
      <w:divBdr>
        <w:top w:val="none" w:sz="0" w:space="0" w:color="auto"/>
        <w:left w:val="none" w:sz="0" w:space="0" w:color="auto"/>
        <w:bottom w:val="none" w:sz="0" w:space="0" w:color="auto"/>
        <w:right w:val="none" w:sz="0" w:space="0" w:color="auto"/>
      </w:divBdr>
    </w:div>
    <w:div w:id="1799227559">
      <w:bodyDiv w:val="1"/>
      <w:marLeft w:val="0"/>
      <w:marRight w:val="0"/>
      <w:marTop w:val="0"/>
      <w:marBottom w:val="0"/>
      <w:divBdr>
        <w:top w:val="none" w:sz="0" w:space="0" w:color="auto"/>
        <w:left w:val="none" w:sz="0" w:space="0" w:color="auto"/>
        <w:bottom w:val="none" w:sz="0" w:space="0" w:color="auto"/>
        <w:right w:val="none" w:sz="0" w:space="0" w:color="auto"/>
      </w:divBdr>
    </w:div>
    <w:div w:id="1808165626">
      <w:bodyDiv w:val="1"/>
      <w:marLeft w:val="0"/>
      <w:marRight w:val="0"/>
      <w:marTop w:val="0"/>
      <w:marBottom w:val="0"/>
      <w:divBdr>
        <w:top w:val="none" w:sz="0" w:space="0" w:color="auto"/>
        <w:left w:val="none" w:sz="0" w:space="0" w:color="auto"/>
        <w:bottom w:val="none" w:sz="0" w:space="0" w:color="auto"/>
        <w:right w:val="none" w:sz="0" w:space="0" w:color="auto"/>
      </w:divBdr>
    </w:div>
    <w:div w:id="1808736538">
      <w:bodyDiv w:val="1"/>
      <w:marLeft w:val="0"/>
      <w:marRight w:val="0"/>
      <w:marTop w:val="0"/>
      <w:marBottom w:val="0"/>
      <w:divBdr>
        <w:top w:val="none" w:sz="0" w:space="0" w:color="auto"/>
        <w:left w:val="none" w:sz="0" w:space="0" w:color="auto"/>
        <w:bottom w:val="none" w:sz="0" w:space="0" w:color="auto"/>
        <w:right w:val="none" w:sz="0" w:space="0" w:color="auto"/>
      </w:divBdr>
    </w:div>
    <w:div w:id="1809979062">
      <w:bodyDiv w:val="1"/>
      <w:marLeft w:val="0"/>
      <w:marRight w:val="0"/>
      <w:marTop w:val="0"/>
      <w:marBottom w:val="0"/>
      <w:divBdr>
        <w:top w:val="none" w:sz="0" w:space="0" w:color="auto"/>
        <w:left w:val="none" w:sz="0" w:space="0" w:color="auto"/>
        <w:bottom w:val="none" w:sz="0" w:space="0" w:color="auto"/>
        <w:right w:val="none" w:sz="0" w:space="0" w:color="auto"/>
      </w:divBdr>
    </w:div>
    <w:div w:id="1814643057">
      <w:bodyDiv w:val="1"/>
      <w:marLeft w:val="0"/>
      <w:marRight w:val="0"/>
      <w:marTop w:val="0"/>
      <w:marBottom w:val="0"/>
      <w:divBdr>
        <w:top w:val="none" w:sz="0" w:space="0" w:color="auto"/>
        <w:left w:val="none" w:sz="0" w:space="0" w:color="auto"/>
        <w:bottom w:val="none" w:sz="0" w:space="0" w:color="auto"/>
        <w:right w:val="none" w:sz="0" w:space="0" w:color="auto"/>
      </w:divBdr>
    </w:div>
    <w:div w:id="1816798670">
      <w:bodyDiv w:val="1"/>
      <w:marLeft w:val="0"/>
      <w:marRight w:val="0"/>
      <w:marTop w:val="0"/>
      <w:marBottom w:val="0"/>
      <w:divBdr>
        <w:top w:val="none" w:sz="0" w:space="0" w:color="auto"/>
        <w:left w:val="none" w:sz="0" w:space="0" w:color="auto"/>
        <w:bottom w:val="none" w:sz="0" w:space="0" w:color="auto"/>
        <w:right w:val="none" w:sz="0" w:space="0" w:color="auto"/>
      </w:divBdr>
    </w:div>
    <w:div w:id="1820266706">
      <w:bodyDiv w:val="1"/>
      <w:marLeft w:val="0"/>
      <w:marRight w:val="0"/>
      <w:marTop w:val="0"/>
      <w:marBottom w:val="0"/>
      <w:divBdr>
        <w:top w:val="none" w:sz="0" w:space="0" w:color="auto"/>
        <w:left w:val="none" w:sz="0" w:space="0" w:color="auto"/>
        <w:bottom w:val="none" w:sz="0" w:space="0" w:color="auto"/>
        <w:right w:val="none" w:sz="0" w:space="0" w:color="auto"/>
      </w:divBdr>
    </w:div>
    <w:div w:id="1821265424">
      <w:bodyDiv w:val="1"/>
      <w:marLeft w:val="0"/>
      <w:marRight w:val="0"/>
      <w:marTop w:val="0"/>
      <w:marBottom w:val="0"/>
      <w:divBdr>
        <w:top w:val="none" w:sz="0" w:space="0" w:color="auto"/>
        <w:left w:val="none" w:sz="0" w:space="0" w:color="auto"/>
        <w:bottom w:val="none" w:sz="0" w:space="0" w:color="auto"/>
        <w:right w:val="none" w:sz="0" w:space="0" w:color="auto"/>
      </w:divBdr>
    </w:div>
    <w:div w:id="1822499756">
      <w:bodyDiv w:val="1"/>
      <w:marLeft w:val="0"/>
      <w:marRight w:val="0"/>
      <w:marTop w:val="0"/>
      <w:marBottom w:val="0"/>
      <w:divBdr>
        <w:top w:val="none" w:sz="0" w:space="0" w:color="auto"/>
        <w:left w:val="none" w:sz="0" w:space="0" w:color="auto"/>
        <w:bottom w:val="none" w:sz="0" w:space="0" w:color="auto"/>
        <w:right w:val="none" w:sz="0" w:space="0" w:color="auto"/>
      </w:divBdr>
    </w:div>
    <w:div w:id="1828323836">
      <w:bodyDiv w:val="1"/>
      <w:marLeft w:val="0"/>
      <w:marRight w:val="0"/>
      <w:marTop w:val="0"/>
      <w:marBottom w:val="0"/>
      <w:divBdr>
        <w:top w:val="none" w:sz="0" w:space="0" w:color="auto"/>
        <w:left w:val="none" w:sz="0" w:space="0" w:color="auto"/>
        <w:bottom w:val="none" w:sz="0" w:space="0" w:color="auto"/>
        <w:right w:val="none" w:sz="0" w:space="0" w:color="auto"/>
      </w:divBdr>
    </w:div>
    <w:div w:id="1835098192">
      <w:bodyDiv w:val="1"/>
      <w:marLeft w:val="0"/>
      <w:marRight w:val="0"/>
      <w:marTop w:val="0"/>
      <w:marBottom w:val="0"/>
      <w:divBdr>
        <w:top w:val="none" w:sz="0" w:space="0" w:color="auto"/>
        <w:left w:val="none" w:sz="0" w:space="0" w:color="auto"/>
        <w:bottom w:val="none" w:sz="0" w:space="0" w:color="auto"/>
        <w:right w:val="none" w:sz="0" w:space="0" w:color="auto"/>
      </w:divBdr>
    </w:div>
    <w:div w:id="1836989661">
      <w:bodyDiv w:val="1"/>
      <w:marLeft w:val="0"/>
      <w:marRight w:val="0"/>
      <w:marTop w:val="0"/>
      <w:marBottom w:val="0"/>
      <w:divBdr>
        <w:top w:val="none" w:sz="0" w:space="0" w:color="auto"/>
        <w:left w:val="none" w:sz="0" w:space="0" w:color="auto"/>
        <w:bottom w:val="none" w:sz="0" w:space="0" w:color="auto"/>
        <w:right w:val="none" w:sz="0" w:space="0" w:color="auto"/>
      </w:divBdr>
    </w:div>
    <w:div w:id="1837961730">
      <w:bodyDiv w:val="1"/>
      <w:marLeft w:val="0"/>
      <w:marRight w:val="0"/>
      <w:marTop w:val="0"/>
      <w:marBottom w:val="0"/>
      <w:divBdr>
        <w:top w:val="none" w:sz="0" w:space="0" w:color="auto"/>
        <w:left w:val="none" w:sz="0" w:space="0" w:color="auto"/>
        <w:bottom w:val="none" w:sz="0" w:space="0" w:color="auto"/>
        <w:right w:val="none" w:sz="0" w:space="0" w:color="auto"/>
      </w:divBdr>
    </w:div>
    <w:div w:id="1838299451">
      <w:bodyDiv w:val="1"/>
      <w:marLeft w:val="0"/>
      <w:marRight w:val="0"/>
      <w:marTop w:val="0"/>
      <w:marBottom w:val="0"/>
      <w:divBdr>
        <w:top w:val="none" w:sz="0" w:space="0" w:color="auto"/>
        <w:left w:val="none" w:sz="0" w:space="0" w:color="auto"/>
        <w:bottom w:val="none" w:sz="0" w:space="0" w:color="auto"/>
        <w:right w:val="none" w:sz="0" w:space="0" w:color="auto"/>
      </w:divBdr>
    </w:div>
    <w:div w:id="1838379033">
      <w:bodyDiv w:val="1"/>
      <w:marLeft w:val="0"/>
      <w:marRight w:val="0"/>
      <w:marTop w:val="0"/>
      <w:marBottom w:val="0"/>
      <w:divBdr>
        <w:top w:val="none" w:sz="0" w:space="0" w:color="auto"/>
        <w:left w:val="none" w:sz="0" w:space="0" w:color="auto"/>
        <w:bottom w:val="none" w:sz="0" w:space="0" w:color="auto"/>
        <w:right w:val="none" w:sz="0" w:space="0" w:color="auto"/>
      </w:divBdr>
    </w:div>
    <w:div w:id="1843620721">
      <w:bodyDiv w:val="1"/>
      <w:marLeft w:val="0"/>
      <w:marRight w:val="0"/>
      <w:marTop w:val="0"/>
      <w:marBottom w:val="0"/>
      <w:divBdr>
        <w:top w:val="none" w:sz="0" w:space="0" w:color="auto"/>
        <w:left w:val="none" w:sz="0" w:space="0" w:color="auto"/>
        <w:bottom w:val="none" w:sz="0" w:space="0" w:color="auto"/>
        <w:right w:val="none" w:sz="0" w:space="0" w:color="auto"/>
      </w:divBdr>
    </w:div>
    <w:div w:id="1846551660">
      <w:bodyDiv w:val="1"/>
      <w:marLeft w:val="0"/>
      <w:marRight w:val="0"/>
      <w:marTop w:val="0"/>
      <w:marBottom w:val="0"/>
      <w:divBdr>
        <w:top w:val="none" w:sz="0" w:space="0" w:color="auto"/>
        <w:left w:val="none" w:sz="0" w:space="0" w:color="auto"/>
        <w:bottom w:val="none" w:sz="0" w:space="0" w:color="auto"/>
        <w:right w:val="none" w:sz="0" w:space="0" w:color="auto"/>
      </w:divBdr>
    </w:div>
    <w:div w:id="1852529601">
      <w:bodyDiv w:val="1"/>
      <w:marLeft w:val="0"/>
      <w:marRight w:val="0"/>
      <w:marTop w:val="0"/>
      <w:marBottom w:val="0"/>
      <w:divBdr>
        <w:top w:val="none" w:sz="0" w:space="0" w:color="auto"/>
        <w:left w:val="none" w:sz="0" w:space="0" w:color="auto"/>
        <w:bottom w:val="none" w:sz="0" w:space="0" w:color="auto"/>
        <w:right w:val="none" w:sz="0" w:space="0" w:color="auto"/>
      </w:divBdr>
    </w:div>
    <w:div w:id="1854492977">
      <w:bodyDiv w:val="1"/>
      <w:marLeft w:val="0"/>
      <w:marRight w:val="0"/>
      <w:marTop w:val="0"/>
      <w:marBottom w:val="0"/>
      <w:divBdr>
        <w:top w:val="none" w:sz="0" w:space="0" w:color="auto"/>
        <w:left w:val="none" w:sz="0" w:space="0" w:color="auto"/>
        <w:bottom w:val="none" w:sz="0" w:space="0" w:color="auto"/>
        <w:right w:val="none" w:sz="0" w:space="0" w:color="auto"/>
      </w:divBdr>
    </w:div>
    <w:div w:id="1854951290">
      <w:bodyDiv w:val="1"/>
      <w:marLeft w:val="0"/>
      <w:marRight w:val="0"/>
      <w:marTop w:val="0"/>
      <w:marBottom w:val="0"/>
      <w:divBdr>
        <w:top w:val="none" w:sz="0" w:space="0" w:color="auto"/>
        <w:left w:val="none" w:sz="0" w:space="0" w:color="auto"/>
        <w:bottom w:val="none" w:sz="0" w:space="0" w:color="auto"/>
        <w:right w:val="none" w:sz="0" w:space="0" w:color="auto"/>
      </w:divBdr>
    </w:div>
    <w:div w:id="1855726021">
      <w:bodyDiv w:val="1"/>
      <w:marLeft w:val="0"/>
      <w:marRight w:val="0"/>
      <w:marTop w:val="0"/>
      <w:marBottom w:val="0"/>
      <w:divBdr>
        <w:top w:val="none" w:sz="0" w:space="0" w:color="auto"/>
        <w:left w:val="none" w:sz="0" w:space="0" w:color="auto"/>
        <w:bottom w:val="none" w:sz="0" w:space="0" w:color="auto"/>
        <w:right w:val="none" w:sz="0" w:space="0" w:color="auto"/>
      </w:divBdr>
    </w:div>
    <w:div w:id="1859352053">
      <w:bodyDiv w:val="1"/>
      <w:marLeft w:val="0"/>
      <w:marRight w:val="0"/>
      <w:marTop w:val="0"/>
      <w:marBottom w:val="0"/>
      <w:divBdr>
        <w:top w:val="none" w:sz="0" w:space="0" w:color="auto"/>
        <w:left w:val="none" w:sz="0" w:space="0" w:color="auto"/>
        <w:bottom w:val="none" w:sz="0" w:space="0" w:color="auto"/>
        <w:right w:val="none" w:sz="0" w:space="0" w:color="auto"/>
      </w:divBdr>
    </w:div>
    <w:div w:id="1865094759">
      <w:bodyDiv w:val="1"/>
      <w:marLeft w:val="0"/>
      <w:marRight w:val="0"/>
      <w:marTop w:val="0"/>
      <w:marBottom w:val="0"/>
      <w:divBdr>
        <w:top w:val="none" w:sz="0" w:space="0" w:color="auto"/>
        <w:left w:val="none" w:sz="0" w:space="0" w:color="auto"/>
        <w:bottom w:val="none" w:sz="0" w:space="0" w:color="auto"/>
        <w:right w:val="none" w:sz="0" w:space="0" w:color="auto"/>
      </w:divBdr>
    </w:div>
    <w:div w:id="1868130785">
      <w:bodyDiv w:val="1"/>
      <w:marLeft w:val="0"/>
      <w:marRight w:val="0"/>
      <w:marTop w:val="0"/>
      <w:marBottom w:val="0"/>
      <w:divBdr>
        <w:top w:val="none" w:sz="0" w:space="0" w:color="auto"/>
        <w:left w:val="none" w:sz="0" w:space="0" w:color="auto"/>
        <w:bottom w:val="none" w:sz="0" w:space="0" w:color="auto"/>
        <w:right w:val="none" w:sz="0" w:space="0" w:color="auto"/>
      </w:divBdr>
    </w:div>
    <w:div w:id="1874492212">
      <w:bodyDiv w:val="1"/>
      <w:marLeft w:val="0"/>
      <w:marRight w:val="0"/>
      <w:marTop w:val="0"/>
      <w:marBottom w:val="0"/>
      <w:divBdr>
        <w:top w:val="none" w:sz="0" w:space="0" w:color="auto"/>
        <w:left w:val="none" w:sz="0" w:space="0" w:color="auto"/>
        <w:bottom w:val="none" w:sz="0" w:space="0" w:color="auto"/>
        <w:right w:val="none" w:sz="0" w:space="0" w:color="auto"/>
      </w:divBdr>
    </w:div>
    <w:div w:id="1880390651">
      <w:bodyDiv w:val="1"/>
      <w:marLeft w:val="0"/>
      <w:marRight w:val="0"/>
      <w:marTop w:val="0"/>
      <w:marBottom w:val="0"/>
      <w:divBdr>
        <w:top w:val="none" w:sz="0" w:space="0" w:color="auto"/>
        <w:left w:val="none" w:sz="0" w:space="0" w:color="auto"/>
        <w:bottom w:val="none" w:sz="0" w:space="0" w:color="auto"/>
        <w:right w:val="none" w:sz="0" w:space="0" w:color="auto"/>
      </w:divBdr>
    </w:div>
    <w:div w:id="1880778955">
      <w:bodyDiv w:val="1"/>
      <w:marLeft w:val="0"/>
      <w:marRight w:val="0"/>
      <w:marTop w:val="0"/>
      <w:marBottom w:val="0"/>
      <w:divBdr>
        <w:top w:val="none" w:sz="0" w:space="0" w:color="auto"/>
        <w:left w:val="none" w:sz="0" w:space="0" w:color="auto"/>
        <w:bottom w:val="none" w:sz="0" w:space="0" w:color="auto"/>
        <w:right w:val="none" w:sz="0" w:space="0" w:color="auto"/>
      </w:divBdr>
    </w:div>
    <w:div w:id="1890530223">
      <w:bodyDiv w:val="1"/>
      <w:marLeft w:val="0"/>
      <w:marRight w:val="0"/>
      <w:marTop w:val="0"/>
      <w:marBottom w:val="0"/>
      <w:divBdr>
        <w:top w:val="none" w:sz="0" w:space="0" w:color="auto"/>
        <w:left w:val="none" w:sz="0" w:space="0" w:color="auto"/>
        <w:bottom w:val="none" w:sz="0" w:space="0" w:color="auto"/>
        <w:right w:val="none" w:sz="0" w:space="0" w:color="auto"/>
      </w:divBdr>
    </w:div>
    <w:div w:id="1909420587">
      <w:bodyDiv w:val="1"/>
      <w:marLeft w:val="0"/>
      <w:marRight w:val="0"/>
      <w:marTop w:val="0"/>
      <w:marBottom w:val="0"/>
      <w:divBdr>
        <w:top w:val="none" w:sz="0" w:space="0" w:color="auto"/>
        <w:left w:val="none" w:sz="0" w:space="0" w:color="auto"/>
        <w:bottom w:val="none" w:sz="0" w:space="0" w:color="auto"/>
        <w:right w:val="none" w:sz="0" w:space="0" w:color="auto"/>
      </w:divBdr>
    </w:div>
    <w:div w:id="1910074659">
      <w:bodyDiv w:val="1"/>
      <w:marLeft w:val="0"/>
      <w:marRight w:val="0"/>
      <w:marTop w:val="0"/>
      <w:marBottom w:val="0"/>
      <w:divBdr>
        <w:top w:val="none" w:sz="0" w:space="0" w:color="auto"/>
        <w:left w:val="none" w:sz="0" w:space="0" w:color="auto"/>
        <w:bottom w:val="none" w:sz="0" w:space="0" w:color="auto"/>
        <w:right w:val="none" w:sz="0" w:space="0" w:color="auto"/>
      </w:divBdr>
    </w:div>
    <w:div w:id="1919900894">
      <w:bodyDiv w:val="1"/>
      <w:marLeft w:val="0"/>
      <w:marRight w:val="0"/>
      <w:marTop w:val="0"/>
      <w:marBottom w:val="0"/>
      <w:divBdr>
        <w:top w:val="none" w:sz="0" w:space="0" w:color="auto"/>
        <w:left w:val="none" w:sz="0" w:space="0" w:color="auto"/>
        <w:bottom w:val="none" w:sz="0" w:space="0" w:color="auto"/>
        <w:right w:val="none" w:sz="0" w:space="0" w:color="auto"/>
      </w:divBdr>
    </w:div>
    <w:div w:id="1921600842">
      <w:bodyDiv w:val="1"/>
      <w:marLeft w:val="0"/>
      <w:marRight w:val="0"/>
      <w:marTop w:val="0"/>
      <w:marBottom w:val="0"/>
      <w:divBdr>
        <w:top w:val="none" w:sz="0" w:space="0" w:color="auto"/>
        <w:left w:val="none" w:sz="0" w:space="0" w:color="auto"/>
        <w:bottom w:val="none" w:sz="0" w:space="0" w:color="auto"/>
        <w:right w:val="none" w:sz="0" w:space="0" w:color="auto"/>
      </w:divBdr>
    </w:div>
    <w:div w:id="1924758418">
      <w:bodyDiv w:val="1"/>
      <w:marLeft w:val="0"/>
      <w:marRight w:val="0"/>
      <w:marTop w:val="0"/>
      <w:marBottom w:val="0"/>
      <w:divBdr>
        <w:top w:val="none" w:sz="0" w:space="0" w:color="auto"/>
        <w:left w:val="none" w:sz="0" w:space="0" w:color="auto"/>
        <w:bottom w:val="none" w:sz="0" w:space="0" w:color="auto"/>
        <w:right w:val="none" w:sz="0" w:space="0" w:color="auto"/>
      </w:divBdr>
    </w:div>
    <w:div w:id="1927885654">
      <w:bodyDiv w:val="1"/>
      <w:marLeft w:val="0"/>
      <w:marRight w:val="0"/>
      <w:marTop w:val="0"/>
      <w:marBottom w:val="0"/>
      <w:divBdr>
        <w:top w:val="none" w:sz="0" w:space="0" w:color="auto"/>
        <w:left w:val="none" w:sz="0" w:space="0" w:color="auto"/>
        <w:bottom w:val="none" w:sz="0" w:space="0" w:color="auto"/>
        <w:right w:val="none" w:sz="0" w:space="0" w:color="auto"/>
      </w:divBdr>
    </w:div>
    <w:div w:id="1928611152">
      <w:bodyDiv w:val="1"/>
      <w:marLeft w:val="0"/>
      <w:marRight w:val="0"/>
      <w:marTop w:val="0"/>
      <w:marBottom w:val="0"/>
      <w:divBdr>
        <w:top w:val="none" w:sz="0" w:space="0" w:color="auto"/>
        <w:left w:val="none" w:sz="0" w:space="0" w:color="auto"/>
        <w:bottom w:val="none" w:sz="0" w:space="0" w:color="auto"/>
        <w:right w:val="none" w:sz="0" w:space="0" w:color="auto"/>
      </w:divBdr>
    </w:div>
    <w:div w:id="1935363497">
      <w:bodyDiv w:val="1"/>
      <w:marLeft w:val="0"/>
      <w:marRight w:val="0"/>
      <w:marTop w:val="0"/>
      <w:marBottom w:val="0"/>
      <w:divBdr>
        <w:top w:val="none" w:sz="0" w:space="0" w:color="auto"/>
        <w:left w:val="none" w:sz="0" w:space="0" w:color="auto"/>
        <w:bottom w:val="none" w:sz="0" w:space="0" w:color="auto"/>
        <w:right w:val="none" w:sz="0" w:space="0" w:color="auto"/>
      </w:divBdr>
    </w:div>
    <w:div w:id="1937975940">
      <w:bodyDiv w:val="1"/>
      <w:marLeft w:val="0"/>
      <w:marRight w:val="0"/>
      <w:marTop w:val="0"/>
      <w:marBottom w:val="0"/>
      <w:divBdr>
        <w:top w:val="none" w:sz="0" w:space="0" w:color="auto"/>
        <w:left w:val="none" w:sz="0" w:space="0" w:color="auto"/>
        <w:bottom w:val="none" w:sz="0" w:space="0" w:color="auto"/>
        <w:right w:val="none" w:sz="0" w:space="0" w:color="auto"/>
      </w:divBdr>
    </w:div>
    <w:div w:id="1940214328">
      <w:bodyDiv w:val="1"/>
      <w:marLeft w:val="0"/>
      <w:marRight w:val="0"/>
      <w:marTop w:val="0"/>
      <w:marBottom w:val="0"/>
      <w:divBdr>
        <w:top w:val="none" w:sz="0" w:space="0" w:color="auto"/>
        <w:left w:val="none" w:sz="0" w:space="0" w:color="auto"/>
        <w:bottom w:val="none" w:sz="0" w:space="0" w:color="auto"/>
        <w:right w:val="none" w:sz="0" w:space="0" w:color="auto"/>
      </w:divBdr>
    </w:div>
    <w:div w:id="1944607131">
      <w:bodyDiv w:val="1"/>
      <w:marLeft w:val="0"/>
      <w:marRight w:val="0"/>
      <w:marTop w:val="0"/>
      <w:marBottom w:val="0"/>
      <w:divBdr>
        <w:top w:val="none" w:sz="0" w:space="0" w:color="auto"/>
        <w:left w:val="none" w:sz="0" w:space="0" w:color="auto"/>
        <w:bottom w:val="none" w:sz="0" w:space="0" w:color="auto"/>
        <w:right w:val="none" w:sz="0" w:space="0" w:color="auto"/>
      </w:divBdr>
    </w:div>
    <w:div w:id="1949197209">
      <w:bodyDiv w:val="1"/>
      <w:marLeft w:val="0"/>
      <w:marRight w:val="0"/>
      <w:marTop w:val="0"/>
      <w:marBottom w:val="0"/>
      <w:divBdr>
        <w:top w:val="none" w:sz="0" w:space="0" w:color="auto"/>
        <w:left w:val="none" w:sz="0" w:space="0" w:color="auto"/>
        <w:bottom w:val="none" w:sz="0" w:space="0" w:color="auto"/>
        <w:right w:val="none" w:sz="0" w:space="0" w:color="auto"/>
      </w:divBdr>
    </w:div>
    <w:div w:id="1951476044">
      <w:bodyDiv w:val="1"/>
      <w:marLeft w:val="0"/>
      <w:marRight w:val="0"/>
      <w:marTop w:val="0"/>
      <w:marBottom w:val="0"/>
      <w:divBdr>
        <w:top w:val="none" w:sz="0" w:space="0" w:color="auto"/>
        <w:left w:val="none" w:sz="0" w:space="0" w:color="auto"/>
        <w:bottom w:val="none" w:sz="0" w:space="0" w:color="auto"/>
        <w:right w:val="none" w:sz="0" w:space="0" w:color="auto"/>
      </w:divBdr>
    </w:div>
    <w:div w:id="1956015930">
      <w:bodyDiv w:val="1"/>
      <w:marLeft w:val="0"/>
      <w:marRight w:val="0"/>
      <w:marTop w:val="0"/>
      <w:marBottom w:val="0"/>
      <w:divBdr>
        <w:top w:val="none" w:sz="0" w:space="0" w:color="auto"/>
        <w:left w:val="none" w:sz="0" w:space="0" w:color="auto"/>
        <w:bottom w:val="none" w:sz="0" w:space="0" w:color="auto"/>
        <w:right w:val="none" w:sz="0" w:space="0" w:color="auto"/>
      </w:divBdr>
    </w:div>
    <w:div w:id="1958558570">
      <w:bodyDiv w:val="1"/>
      <w:marLeft w:val="0"/>
      <w:marRight w:val="0"/>
      <w:marTop w:val="0"/>
      <w:marBottom w:val="0"/>
      <w:divBdr>
        <w:top w:val="none" w:sz="0" w:space="0" w:color="auto"/>
        <w:left w:val="none" w:sz="0" w:space="0" w:color="auto"/>
        <w:bottom w:val="none" w:sz="0" w:space="0" w:color="auto"/>
        <w:right w:val="none" w:sz="0" w:space="0" w:color="auto"/>
      </w:divBdr>
    </w:div>
    <w:div w:id="1962418920">
      <w:bodyDiv w:val="1"/>
      <w:marLeft w:val="0"/>
      <w:marRight w:val="0"/>
      <w:marTop w:val="0"/>
      <w:marBottom w:val="0"/>
      <w:divBdr>
        <w:top w:val="none" w:sz="0" w:space="0" w:color="auto"/>
        <w:left w:val="none" w:sz="0" w:space="0" w:color="auto"/>
        <w:bottom w:val="none" w:sz="0" w:space="0" w:color="auto"/>
        <w:right w:val="none" w:sz="0" w:space="0" w:color="auto"/>
      </w:divBdr>
    </w:div>
    <w:div w:id="1970278641">
      <w:bodyDiv w:val="1"/>
      <w:marLeft w:val="0"/>
      <w:marRight w:val="0"/>
      <w:marTop w:val="0"/>
      <w:marBottom w:val="0"/>
      <w:divBdr>
        <w:top w:val="none" w:sz="0" w:space="0" w:color="auto"/>
        <w:left w:val="none" w:sz="0" w:space="0" w:color="auto"/>
        <w:bottom w:val="none" w:sz="0" w:space="0" w:color="auto"/>
        <w:right w:val="none" w:sz="0" w:space="0" w:color="auto"/>
      </w:divBdr>
    </w:div>
    <w:div w:id="1971476426">
      <w:bodyDiv w:val="1"/>
      <w:marLeft w:val="0"/>
      <w:marRight w:val="0"/>
      <w:marTop w:val="0"/>
      <w:marBottom w:val="0"/>
      <w:divBdr>
        <w:top w:val="none" w:sz="0" w:space="0" w:color="auto"/>
        <w:left w:val="none" w:sz="0" w:space="0" w:color="auto"/>
        <w:bottom w:val="none" w:sz="0" w:space="0" w:color="auto"/>
        <w:right w:val="none" w:sz="0" w:space="0" w:color="auto"/>
      </w:divBdr>
    </w:div>
    <w:div w:id="1975526523">
      <w:bodyDiv w:val="1"/>
      <w:marLeft w:val="0"/>
      <w:marRight w:val="0"/>
      <w:marTop w:val="0"/>
      <w:marBottom w:val="0"/>
      <w:divBdr>
        <w:top w:val="none" w:sz="0" w:space="0" w:color="auto"/>
        <w:left w:val="none" w:sz="0" w:space="0" w:color="auto"/>
        <w:bottom w:val="none" w:sz="0" w:space="0" w:color="auto"/>
        <w:right w:val="none" w:sz="0" w:space="0" w:color="auto"/>
      </w:divBdr>
    </w:div>
    <w:div w:id="1975672795">
      <w:bodyDiv w:val="1"/>
      <w:marLeft w:val="0"/>
      <w:marRight w:val="0"/>
      <w:marTop w:val="0"/>
      <w:marBottom w:val="0"/>
      <w:divBdr>
        <w:top w:val="none" w:sz="0" w:space="0" w:color="auto"/>
        <w:left w:val="none" w:sz="0" w:space="0" w:color="auto"/>
        <w:bottom w:val="none" w:sz="0" w:space="0" w:color="auto"/>
        <w:right w:val="none" w:sz="0" w:space="0" w:color="auto"/>
      </w:divBdr>
    </w:div>
    <w:div w:id="1985967004">
      <w:bodyDiv w:val="1"/>
      <w:marLeft w:val="0"/>
      <w:marRight w:val="0"/>
      <w:marTop w:val="0"/>
      <w:marBottom w:val="0"/>
      <w:divBdr>
        <w:top w:val="none" w:sz="0" w:space="0" w:color="auto"/>
        <w:left w:val="none" w:sz="0" w:space="0" w:color="auto"/>
        <w:bottom w:val="none" w:sz="0" w:space="0" w:color="auto"/>
        <w:right w:val="none" w:sz="0" w:space="0" w:color="auto"/>
      </w:divBdr>
    </w:div>
    <w:div w:id="1987734969">
      <w:bodyDiv w:val="1"/>
      <w:marLeft w:val="0"/>
      <w:marRight w:val="0"/>
      <w:marTop w:val="0"/>
      <w:marBottom w:val="0"/>
      <w:divBdr>
        <w:top w:val="none" w:sz="0" w:space="0" w:color="auto"/>
        <w:left w:val="none" w:sz="0" w:space="0" w:color="auto"/>
        <w:bottom w:val="none" w:sz="0" w:space="0" w:color="auto"/>
        <w:right w:val="none" w:sz="0" w:space="0" w:color="auto"/>
      </w:divBdr>
    </w:div>
    <w:div w:id="1990940311">
      <w:bodyDiv w:val="1"/>
      <w:marLeft w:val="0"/>
      <w:marRight w:val="0"/>
      <w:marTop w:val="0"/>
      <w:marBottom w:val="0"/>
      <w:divBdr>
        <w:top w:val="none" w:sz="0" w:space="0" w:color="auto"/>
        <w:left w:val="none" w:sz="0" w:space="0" w:color="auto"/>
        <w:bottom w:val="none" w:sz="0" w:space="0" w:color="auto"/>
        <w:right w:val="none" w:sz="0" w:space="0" w:color="auto"/>
      </w:divBdr>
    </w:div>
    <w:div w:id="1991253802">
      <w:bodyDiv w:val="1"/>
      <w:marLeft w:val="0"/>
      <w:marRight w:val="0"/>
      <w:marTop w:val="0"/>
      <w:marBottom w:val="0"/>
      <w:divBdr>
        <w:top w:val="none" w:sz="0" w:space="0" w:color="auto"/>
        <w:left w:val="none" w:sz="0" w:space="0" w:color="auto"/>
        <w:bottom w:val="none" w:sz="0" w:space="0" w:color="auto"/>
        <w:right w:val="none" w:sz="0" w:space="0" w:color="auto"/>
      </w:divBdr>
    </w:div>
    <w:div w:id="1992320337">
      <w:bodyDiv w:val="1"/>
      <w:marLeft w:val="0"/>
      <w:marRight w:val="0"/>
      <w:marTop w:val="0"/>
      <w:marBottom w:val="0"/>
      <w:divBdr>
        <w:top w:val="none" w:sz="0" w:space="0" w:color="auto"/>
        <w:left w:val="none" w:sz="0" w:space="0" w:color="auto"/>
        <w:bottom w:val="none" w:sz="0" w:space="0" w:color="auto"/>
        <w:right w:val="none" w:sz="0" w:space="0" w:color="auto"/>
      </w:divBdr>
    </w:div>
    <w:div w:id="2000766656">
      <w:bodyDiv w:val="1"/>
      <w:marLeft w:val="0"/>
      <w:marRight w:val="0"/>
      <w:marTop w:val="0"/>
      <w:marBottom w:val="0"/>
      <w:divBdr>
        <w:top w:val="none" w:sz="0" w:space="0" w:color="auto"/>
        <w:left w:val="none" w:sz="0" w:space="0" w:color="auto"/>
        <w:bottom w:val="none" w:sz="0" w:space="0" w:color="auto"/>
        <w:right w:val="none" w:sz="0" w:space="0" w:color="auto"/>
      </w:divBdr>
    </w:div>
    <w:div w:id="2002810226">
      <w:bodyDiv w:val="1"/>
      <w:marLeft w:val="0"/>
      <w:marRight w:val="0"/>
      <w:marTop w:val="0"/>
      <w:marBottom w:val="0"/>
      <w:divBdr>
        <w:top w:val="none" w:sz="0" w:space="0" w:color="auto"/>
        <w:left w:val="none" w:sz="0" w:space="0" w:color="auto"/>
        <w:bottom w:val="none" w:sz="0" w:space="0" w:color="auto"/>
        <w:right w:val="none" w:sz="0" w:space="0" w:color="auto"/>
      </w:divBdr>
    </w:div>
    <w:div w:id="2015914521">
      <w:bodyDiv w:val="1"/>
      <w:marLeft w:val="0"/>
      <w:marRight w:val="0"/>
      <w:marTop w:val="0"/>
      <w:marBottom w:val="0"/>
      <w:divBdr>
        <w:top w:val="none" w:sz="0" w:space="0" w:color="auto"/>
        <w:left w:val="none" w:sz="0" w:space="0" w:color="auto"/>
        <w:bottom w:val="none" w:sz="0" w:space="0" w:color="auto"/>
        <w:right w:val="none" w:sz="0" w:space="0" w:color="auto"/>
      </w:divBdr>
    </w:div>
    <w:div w:id="2017532225">
      <w:bodyDiv w:val="1"/>
      <w:marLeft w:val="0"/>
      <w:marRight w:val="0"/>
      <w:marTop w:val="0"/>
      <w:marBottom w:val="0"/>
      <w:divBdr>
        <w:top w:val="none" w:sz="0" w:space="0" w:color="auto"/>
        <w:left w:val="none" w:sz="0" w:space="0" w:color="auto"/>
        <w:bottom w:val="none" w:sz="0" w:space="0" w:color="auto"/>
        <w:right w:val="none" w:sz="0" w:space="0" w:color="auto"/>
      </w:divBdr>
    </w:div>
    <w:div w:id="2018850771">
      <w:bodyDiv w:val="1"/>
      <w:marLeft w:val="0"/>
      <w:marRight w:val="0"/>
      <w:marTop w:val="0"/>
      <w:marBottom w:val="0"/>
      <w:divBdr>
        <w:top w:val="none" w:sz="0" w:space="0" w:color="auto"/>
        <w:left w:val="none" w:sz="0" w:space="0" w:color="auto"/>
        <w:bottom w:val="none" w:sz="0" w:space="0" w:color="auto"/>
        <w:right w:val="none" w:sz="0" w:space="0" w:color="auto"/>
      </w:divBdr>
    </w:div>
    <w:div w:id="2020547569">
      <w:bodyDiv w:val="1"/>
      <w:marLeft w:val="0"/>
      <w:marRight w:val="0"/>
      <w:marTop w:val="0"/>
      <w:marBottom w:val="0"/>
      <w:divBdr>
        <w:top w:val="none" w:sz="0" w:space="0" w:color="auto"/>
        <w:left w:val="none" w:sz="0" w:space="0" w:color="auto"/>
        <w:bottom w:val="none" w:sz="0" w:space="0" w:color="auto"/>
        <w:right w:val="none" w:sz="0" w:space="0" w:color="auto"/>
      </w:divBdr>
    </w:div>
    <w:div w:id="2022853402">
      <w:bodyDiv w:val="1"/>
      <w:marLeft w:val="0"/>
      <w:marRight w:val="0"/>
      <w:marTop w:val="0"/>
      <w:marBottom w:val="0"/>
      <w:divBdr>
        <w:top w:val="none" w:sz="0" w:space="0" w:color="auto"/>
        <w:left w:val="none" w:sz="0" w:space="0" w:color="auto"/>
        <w:bottom w:val="none" w:sz="0" w:space="0" w:color="auto"/>
        <w:right w:val="none" w:sz="0" w:space="0" w:color="auto"/>
      </w:divBdr>
    </w:div>
    <w:div w:id="2024241635">
      <w:bodyDiv w:val="1"/>
      <w:marLeft w:val="0"/>
      <w:marRight w:val="0"/>
      <w:marTop w:val="0"/>
      <w:marBottom w:val="0"/>
      <w:divBdr>
        <w:top w:val="none" w:sz="0" w:space="0" w:color="auto"/>
        <w:left w:val="none" w:sz="0" w:space="0" w:color="auto"/>
        <w:bottom w:val="none" w:sz="0" w:space="0" w:color="auto"/>
        <w:right w:val="none" w:sz="0" w:space="0" w:color="auto"/>
      </w:divBdr>
    </w:div>
    <w:div w:id="2026010553">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29408641">
      <w:bodyDiv w:val="1"/>
      <w:marLeft w:val="0"/>
      <w:marRight w:val="0"/>
      <w:marTop w:val="0"/>
      <w:marBottom w:val="0"/>
      <w:divBdr>
        <w:top w:val="none" w:sz="0" w:space="0" w:color="auto"/>
        <w:left w:val="none" w:sz="0" w:space="0" w:color="auto"/>
        <w:bottom w:val="none" w:sz="0" w:space="0" w:color="auto"/>
        <w:right w:val="none" w:sz="0" w:space="0" w:color="auto"/>
      </w:divBdr>
    </w:div>
    <w:div w:id="2031755381">
      <w:bodyDiv w:val="1"/>
      <w:marLeft w:val="0"/>
      <w:marRight w:val="0"/>
      <w:marTop w:val="0"/>
      <w:marBottom w:val="0"/>
      <w:divBdr>
        <w:top w:val="none" w:sz="0" w:space="0" w:color="auto"/>
        <w:left w:val="none" w:sz="0" w:space="0" w:color="auto"/>
        <w:bottom w:val="none" w:sz="0" w:space="0" w:color="auto"/>
        <w:right w:val="none" w:sz="0" w:space="0" w:color="auto"/>
      </w:divBdr>
    </w:div>
    <w:div w:id="2034961879">
      <w:bodyDiv w:val="1"/>
      <w:marLeft w:val="0"/>
      <w:marRight w:val="0"/>
      <w:marTop w:val="0"/>
      <w:marBottom w:val="0"/>
      <w:divBdr>
        <w:top w:val="none" w:sz="0" w:space="0" w:color="auto"/>
        <w:left w:val="none" w:sz="0" w:space="0" w:color="auto"/>
        <w:bottom w:val="none" w:sz="0" w:space="0" w:color="auto"/>
        <w:right w:val="none" w:sz="0" w:space="0" w:color="auto"/>
      </w:divBdr>
    </w:div>
    <w:div w:id="2040079506">
      <w:bodyDiv w:val="1"/>
      <w:marLeft w:val="0"/>
      <w:marRight w:val="0"/>
      <w:marTop w:val="0"/>
      <w:marBottom w:val="0"/>
      <w:divBdr>
        <w:top w:val="none" w:sz="0" w:space="0" w:color="auto"/>
        <w:left w:val="none" w:sz="0" w:space="0" w:color="auto"/>
        <w:bottom w:val="none" w:sz="0" w:space="0" w:color="auto"/>
        <w:right w:val="none" w:sz="0" w:space="0" w:color="auto"/>
      </w:divBdr>
    </w:div>
    <w:div w:id="2044017898">
      <w:bodyDiv w:val="1"/>
      <w:marLeft w:val="0"/>
      <w:marRight w:val="0"/>
      <w:marTop w:val="0"/>
      <w:marBottom w:val="0"/>
      <w:divBdr>
        <w:top w:val="none" w:sz="0" w:space="0" w:color="auto"/>
        <w:left w:val="none" w:sz="0" w:space="0" w:color="auto"/>
        <w:bottom w:val="none" w:sz="0" w:space="0" w:color="auto"/>
        <w:right w:val="none" w:sz="0" w:space="0" w:color="auto"/>
      </w:divBdr>
    </w:div>
    <w:div w:id="2045910592">
      <w:bodyDiv w:val="1"/>
      <w:marLeft w:val="0"/>
      <w:marRight w:val="0"/>
      <w:marTop w:val="0"/>
      <w:marBottom w:val="0"/>
      <w:divBdr>
        <w:top w:val="none" w:sz="0" w:space="0" w:color="auto"/>
        <w:left w:val="none" w:sz="0" w:space="0" w:color="auto"/>
        <w:bottom w:val="none" w:sz="0" w:space="0" w:color="auto"/>
        <w:right w:val="none" w:sz="0" w:space="0" w:color="auto"/>
      </w:divBdr>
    </w:div>
    <w:div w:id="2046828024">
      <w:bodyDiv w:val="1"/>
      <w:marLeft w:val="0"/>
      <w:marRight w:val="0"/>
      <w:marTop w:val="0"/>
      <w:marBottom w:val="0"/>
      <w:divBdr>
        <w:top w:val="none" w:sz="0" w:space="0" w:color="auto"/>
        <w:left w:val="none" w:sz="0" w:space="0" w:color="auto"/>
        <w:bottom w:val="none" w:sz="0" w:space="0" w:color="auto"/>
        <w:right w:val="none" w:sz="0" w:space="0" w:color="auto"/>
      </w:divBdr>
    </w:div>
    <w:div w:id="2047750263">
      <w:bodyDiv w:val="1"/>
      <w:marLeft w:val="0"/>
      <w:marRight w:val="0"/>
      <w:marTop w:val="0"/>
      <w:marBottom w:val="0"/>
      <w:divBdr>
        <w:top w:val="none" w:sz="0" w:space="0" w:color="auto"/>
        <w:left w:val="none" w:sz="0" w:space="0" w:color="auto"/>
        <w:bottom w:val="none" w:sz="0" w:space="0" w:color="auto"/>
        <w:right w:val="none" w:sz="0" w:space="0" w:color="auto"/>
      </w:divBdr>
    </w:div>
    <w:div w:id="2049529130">
      <w:bodyDiv w:val="1"/>
      <w:marLeft w:val="0"/>
      <w:marRight w:val="0"/>
      <w:marTop w:val="0"/>
      <w:marBottom w:val="0"/>
      <w:divBdr>
        <w:top w:val="none" w:sz="0" w:space="0" w:color="auto"/>
        <w:left w:val="none" w:sz="0" w:space="0" w:color="auto"/>
        <w:bottom w:val="none" w:sz="0" w:space="0" w:color="auto"/>
        <w:right w:val="none" w:sz="0" w:space="0" w:color="auto"/>
      </w:divBdr>
    </w:div>
    <w:div w:id="2050301250">
      <w:bodyDiv w:val="1"/>
      <w:marLeft w:val="0"/>
      <w:marRight w:val="0"/>
      <w:marTop w:val="0"/>
      <w:marBottom w:val="0"/>
      <w:divBdr>
        <w:top w:val="none" w:sz="0" w:space="0" w:color="auto"/>
        <w:left w:val="none" w:sz="0" w:space="0" w:color="auto"/>
        <w:bottom w:val="none" w:sz="0" w:space="0" w:color="auto"/>
        <w:right w:val="none" w:sz="0" w:space="0" w:color="auto"/>
      </w:divBdr>
    </w:div>
    <w:div w:id="2052261423">
      <w:bodyDiv w:val="1"/>
      <w:marLeft w:val="0"/>
      <w:marRight w:val="0"/>
      <w:marTop w:val="0"/>
      <w:marBottom w:val="0"/>
      <w:divBdr>
        <w:top w:val="none" w:sz="0" w:space="0" w:color="auto"/>
        <w:left w:val="none" w:sz="0" w:space="0" w:color="auto"/>
        <w:bottom w:val="none" w:sz="0" w:space="0" w:color="auto"/>
        <w:right w:val="none" w:sz="0" w:space="0" w:color="auto"/>
      </w:divBdr>
    </w:div>
    <w:div w:id="2064671049">
      <w:bodyDiv w:val="1"/>
      <w:marLeft w:val="0"/>
      <w:marRight w:val="0"/>
      <w:marTop w:val="0"/>
      <w:marBottom w:val="0"/>
      <w:divBdr>
        <w:top w:val="none" w:sz="0" w:space="0" w:color="auto"/>
        <w:left w:val="none" w:sz="0" w:space="0" w:color="auto"/>
        <w:bottom w:val="none" w:sz="0" w:space="0" w:color="auto"/>
        <w:right w:val="none" w:sz="0" w:space="0" w:color="auto"/>
      </w:divBdr>
    </w:div>
    <w:div w:id="2065566663">
      <w:bodyDiv w:val="1"/>
      <w:marLeft w:val="0"/>
      <w:marRight w:val="0"/>
      <w:marTop w:val="0"/>
      <w:marBottom w:val="0"/>
      <w:divBdr>
        <w:top w:val="none" w:sz="0" w:space="0" w:color="auto"/>
        <w:left w:val="none" w:sz="0" w:space="0" w:color="auto"/>
        <w:bottom w:val="none" w:sz="0" w:space="0" w:color="auto"/>
        <w:right w:val="none" w:sz="0" w:space="0" w:color="auto"/>
      </w:divBdr>
    </w:div>
    <w:div w:id="2066442871">
      <w:bodyDiv w:val="1"/>
      <w:marLeft w:val="0"/>
      <w:marRight w:val="0"/>
      <w:marTop w:val="0"/>
      <w:marBottom w:val="0"/>
      <w:divBdr>
        <w:top w:val="none" w:sz="0" w:space="0" w:color="auto"/>
        <w:left w:val="none" w:sz="0" w:space="0" w:color="auto"/>
        <w:bottom w:val="none" w:sz="0" w:space="0" w:color="auto"/>
        <w:right w:val="none" w:sz="0" w:space="0" w:color="auto"/>
      </w:divBdr>
    </w:div>
    <w:div w:id="2071922906">
      <w:bodyDiv w:val="1"/>
      <w:marLeft w:val="0"/>
      <w:marRight w:val="0"/>
      <w:marTop w:val="0"/>
      <w:marBottom w:val="0"/>
      <w:divBdr>
        <w:top w:val="none" w:sz="0" w:space="0" w:color="auto"/>
        <w:left w:val="none" w:sz="0" w:space="0" w:color="auto"/>
        <w:bottom w:val="none" w:sz="0" w:space="0" w:color="auto"/>
        <w:right w:val="none" w:sz="0" w:space="0" w:color="auto"/>
      </w:divBdr>
    </w:div>
    <w:div w:id="2073388961">
      <w:bodyDiv w:val="1"/>
      <w:marLeft w:val="0"/>
      <w:marRight w:val="0"/>
      <w:marTop w:val="0"/>
      <w:marBottom w:val="0"/>
      <w:divBdr>
        <w:top w:val="none" w:sz="0" w:space="0" w:color="auto"/>
        <w:left w:val="none" w:sz="0" w:space="0" w:color="auto"/>
        <w:bottom w:val="none" w:sz="0" w:space="0" w:color="auto"/>
        <w:right w:val="none" w:sz="0" w:space="0" w:color="auto"/>
      </w:divBdr>
    </w:div>
    <w:div w:id="2075934308">
      <w:bodyDiv w:val="1"/>
      <w:marLeft w:val="0"/>
      <w:marRight w:val="0"/>
      <w:marTop w:val="0"/>
      <w:marBottom w:val="0"/>
      <w:divBdr>
        <w:top w:val="none" w:sz="0" w:space="0" w:color="auto"/>
        <w:left w:val="none" w:sz="0" w:space="0" w:color="auto"/>
        <w:bottom w:val="none" w:sz="0" w:space="0" w:color="auto"/>
        <w:right w:val="none" w:sz="0" w:space="0" w:color="auto"/>
      </w:divBdr>
    </w:div>
    <w:div w:id="2077389850">
      <w:bodyDiv w:val="1"/>
      <w:marLeft w:val="0"/>
      <w:marRight w:val="0"/>
      <w:marTop w:val="0"/>
      <w:marBottom w:val="0"/>
      <w:divBdr>
        <w:top w:val="none" w:sz="0" w:space="0" w:color="auto"/>
        <w:left w:val="none" w:sz="0" w:space="0" w:color="auto"/>
        <w:bottom w:val="none" w:sz="0" w:space="0" w:color="auto"/>
        <w:right w:val="none" w:sz="0" w:space="0" w:color="auto"/>
      </w:divBdr>
    </w:div>
    <w:div w:id="2079938154">
      <w:bodyDiv w:val="1"/>
      <w:marLeft w:val="0"/>
      <w:marRight w:val="0"/>
      <w:marTop w:val="0"/>
      <w:marBottom w:val="0"/>
      <w:divBdr>
        <w:top w:val="none" w:sz="0" w:space="0" w:color="auto"/>
        <w:left w:val="none" w:sz="0" w:space="0" w:color="auto"/>
        <w:bottom w:val="none" w:sz="0" w:space="0" w:color="auto"/>
        <w:right w:val="none" w:sz="0" w:space="0" w:color="auto"/>
      </w:divBdr>
    </w:div>
    <w:div w:id="2082094729">
      <w:bodyDiv w:val="1"/>
      <w:marLeft w:val="0"/>
      <w:marRight w:val="0"/>
      <w:marTop w:val="0"/>
      <w:marBottom w:val="0"/>
      <w:divBdr>
        <w:top w:val="none" w:sz="0" w:space="0" w:color="auto"/>
        <w:left w:val="none" w:sz="0" w:space="0" w:color="auto"/>
        <w:bottom w:val="none" w:sz="0" w:space="0" w:color="auto"/>
        <w:right w:val="none" w:sz="0" w:space="0" w:color="auto"/>
      </w:divBdr>
    </w:div>
    <w:div w:id="2082478725">
      <w:bodyDiv w:val="1"/>
      <w:marLeft w:val="0"/>
      <w:marRight w:val="0"/>
      <w:marTop w:val="0"/>
      <w:marBottom w:val="0"/>
      <w:divBdr>
        <w:top w:val="none" w:sz="0" w:space="0" w:color="auto"/>
        <w:left w:val="none" w:sz="0" w:space="0" w:color="auto"/>
        <w:bottom w:val="none" w:sz="0" w:space="0" w:color="auto"/>
        <w:right w:val="none" w:sz="0" w:space="0" w:color="auto"/>
      </w:divBdr>
    </w:div>
    <w:div w:id="2084378228">
      <w:bodyDiv w:val="1"/>
      <w:marLeft w:val="0"/>
      <w:marRight w:val="0"/>
      <w:marTop w:val="0"/>
      <w:marBottom w:val="0"/>
      <w:divBdr>
        <w:top w:val="none" w:sz="0" w:space="0" w:color="auto"/>
        <w:left w:val="none" w:sz="0" w:space="0" w:color="auto"/>
        <w:bottom w:val="none" w:sz="0" w:space="0" w:color="auto"/>
        <w:right w:val="none" w:sz="0" w:space="0" w:color="auto"/>
      </w:divBdr>
    </w:div>
    <w:div w:id="2087529338">
      <w:bodyDiv w:val="1"/>
      <w:marLeft w:val="0"/>
      <w:marRight w:val="0"/>
      <w:marTop w:val="0"/>
      <w:marBottom w:val="0"/>
      <w:divBdr>
        <w:top w:val="none" w:sz="0" w:space="0" w:color="auto"/>
        <w:left w:val="none" w:sz="0" w:space="0" w:color="auto"/>
        <w:bottom w:val="none" w:sz="0" w:space="0" w:color="auto"/>
        <w:right w:val="none" w:sz="0" w:space="0" w:color="auto"/>
      </w:divBdr>
    </w:div>
    <w:div w:id="2088502387">
      <w:bodyDiv w:val="1"/>
      <w:marLeft w:val="0"/>
      <w:marRight w:val="0"/>
      <w:marTop w:val="0"/>
      <w:marBottom w:val="0"/>
      <w:divBdr>
        <w:top w:val="none" w:sz="0" w:space="0" w:color="auto"/>
        <w:left w:val="none" w:sz="0" w:space="0" w:color="auto"/>
        <w:bottom w:val="none" w:sz="0" w:space="0" w:color="auto"/>
        <w:right w:val="none" w:sz="0" w:space="0" w:color="auto"/>
      </w:divBdr>
    </w:div>
    <w:div w:id="2093626380">
      <w:bodyDiv w:val="1"/>
      <w:marLeft w:val="0"/>
      <w:marRight w:val="0"/>
      <w:marTop w:val="0"/>
      <w:marBottom w:val="0"/>
      <w:divBdr>
        <w:top w:val="none" w:sz="0" w:space="0" w:color="auto"/>
        <w:left w:val="none" w:sz="0" w:space="0" w:color="auto"/>
        <w:bottom w:val="none" w:sz="0" w:space="0" w:color="auto"/>
        <w:right w:val="none" w:sz="0" w:space="0" w:color="auto"/>
      </w:divBdr>
    </w:div>
    <w:div w:id="2095592473">
      <w:bodyDiv w:val="1"/>
      <w:marLeft w:val="0"/>
      <w:marRight w:val="0"/>
      <w:marTop w:val="0"/>
      <w:marBottom w:val="0"/>
      <w:divBdr>
        <w:top w:val="none" w:sz="0" w:space="0" w:color="auto"/>
        <w:left w:val="none" w:sz="0" w:space="0" w:color="auto"/>
        <w:bottom w:val="none" w:sz="0" w:space="0" w:color="auto"/>
        <w:right w:val="none" w:sz="0" w:space="0" w:color="auto"/>
      </w:divBdr>
    </w:div>
    <w:div w:id="2096782014">
      <w:bodyDiv w:val="1"/>
      <w:marLeft w:val="0"/>
      <w:marRight w:val="0"/>
      <w:marTop w:val="0"/>
      <w:marBottom w:val="0"/>
      <w:divBdr>
        <w:top w:val="none" w:sz="0" w:space="0" w:color="auto"/>
        <w:left w:val="none" w:sz="0" w:space="0" w:color="auto"/>
        <w:bottom w:val="none" w:sz="0" w:space="0" w:color="auto"/>
        <w:right w:val="none" w:sz="0" w:space="0" w:color="auto"/>
      </w:divBdr>
    </w:div>
    <w:div w:id="2097507781">
      <w:bodyDiv w:val="1"/>
      <w:marLeft w:val="0"/>
      <w:marRight w:val="0"/>
      <w:marTop w:val="0"/>
      <w:marBottom w:val="0"/>
      <w:divBdr>
        <w:top w:val="none" w:sz="0" w:space="0" w:color="auto"/>
        <w:left w:val="none" w:sz="0" w:space="0" w:color="auto"/>
        <w:bottom w:val="none" w:sz="0" w:space="0" w:color="auto"/>
        <w:right w:val="none" w:sz="0" w:space="0" w:color="auto"/>
      </w:divBdr>
    </w:div>
    <w:div w:id="2098944749">
      <w:bodyDiv w:val="1"/>
      <w:marLeft w:val="0"/>
      <w:marRight w:val="0"/>
      <w:marTop w:val="0"/>
      <w:marBottom w:val="0"/>
      <w:divBdr>
        <w:top w:val="none" w:sz="0" w:space="0" w:color="auto"/>
        <w:left w:val="none" w:sz="0" w:space="0" w:color="auto"/>
        <w:bottom w:val="none" w:sz="0" w:space="0" w:color="auto"/>
        <w:right w:val="none" w:sz="0" w:space="0" w:color="auto"/>
      </w:divBdr>
    </w:div>
    <w:div w:id="2099785407">
      <w:bodyDiv w:val="1"/>
      <w:marLeft w:val="0"/>
      <w:marRight w:val="0"/>
      <w:marTop w:val="0"/>
      <w:marBottom w:val="0"/>
      <w:divBdr>
        <w:top w:val="none" w:sz="0" w:space="0" w:color="auto"/>
        <w:left w:val="none" w:sz="0" w:space="0" w:color="auto"/>
        <w:bottom w:val="none" w:sz="0" w:space="0" w:color="auto"/>
        <w:right w:val="none" w:sz="0" w:space="0" w:color="auto"/>
      </w:divBdr>
    </w:div>
    <w:div w:id="2100832280">
      <w:bodyDiv w:val="1"/>
      <w:marLeft w:val="0"/>
      <w:marRight w:val="0"/>
      <w:marTop w:val="0"/>
      <w:marBottom w:val="0"/>
      <w:divBdr>
        <w:top w:val="none" w:sz="0" w:space="0" w:color="auto"/>
        <w:left w:val="none" w:sz="0" w:space="0" w:color="auto"/>
        <w:bottom w:val="none" w:sz="0" w:space="0" w:color="auto"/>
        <w:right w:val="none" w:sz="0" w:space="0" w:color="auto"/>
      </w:divBdr>
    </w:div>
    <w:div w:id="2105374480">
      <w:bodyDiv w:val="1"/>
      <w:marLeft w:val="0"/>
      <w:marRight w:val="0"/>
      <w:marTop w:val="0"/>
      <w:marBottom w:val="0"/>
      <w:divBdr>
        <w:top w:val="none" w:sz="0" w:space="0" w:color="auto"/>
        <w:left w:val="none" w:sz="0" w:space="0" w:color="auto"/>
        <w:bottom w:val="none" w:sz="0" w:space="0" w:color="auto"/>
        <w:right w:val="none" w:sz="0" w:space="0" w:color="auto"/>
      </w:divBdr>
    </w:div>
    <w:div w:id="2108038909">
      <w:bodyDiv w:val="1"/>
      <w:marLeft w:val="0"/>
      <w:marRight w:val="0"/>
      <w:marTop w:val="0"/>
      <w:marBottom w:val="0"/>
      <w:divBdr>
        <w:top w:val="none" w:sz="0" w:space="0" w:color="auto"/>
        <w:left w:val="none" w:sz="0" w:space="0" w:color="auto"/>
        <w:bottom w:val="none" w:sz="0" w:space="0" w:color="auto"/>
        <w:right w:val="none" w:sz="0" w:space="0" w:color="auto"/>
      </w:divBdr>
    </w:div>
    <w:div w:id="2108884349">
      <w:bodyDiv w:val="1"/>
      <w:marLeft w:val="0"/>
      <w:marRight w:val="0"/>
      <w:marTop w:val="0"/>
      <w:marBottom w:val="0"/>
      <w:divBdr>
        <w:top w:val="none" w:sz="0" w:space="0" w:color="auto"/>
        <w:left w:val="none" w:sz="0" w:space="0" w:color="auto"/>
        <w:bottom w:val="none" w:sz="0" w:space="0" w:color="auto"/>
        <w:right w:val="none" w:sz="0" w:space="0" w:color="auto"/>
      </w:divBdr>
    </w:div>
    <w:div w:id="2110588679">
      <w:bodyDiv w:val="1"/>
      <w:marLeft w:val="0"/>
      <w:marRight w:val="0"/>
      <w:marTop w:val="0"/>
      <w:marBottom w:val="0"/>
      <w:divBdr>
        <w:top w:val="none" w:sz="0" w:space="0" w:color="auto"/>
        <w:left w:val="none" w:sz="0" w:space="0" w:color="auto"/>
        <w:bottom w:val="none" w:sz="0" w:space="0" w:color="auto"/>
        <w:right w:val="none" w:sz="0" w:space="0" w:color="auto"/>
      </w:divBdr>
    </w:div>
    <w:div w:id="2112237979">
      <w:bodyDiv w:val="1"/>
      <w:marLeft w:val="0"/>
      <w:marRight w:val="0"/>
      <w:marTop w:val="0"/>
      <w:marBottom w:val="0"/>
      <w:divBdr>
        <w:top w:val="none" w:sz="0" w:space="0" w:color="auto"/>
        <w:left w:val="none" w:sz="0" w:space="0" w:color="auto"/>
        <w:bottom w:val="none" w:sz="0" w:space="0" w:color="auto"/>
        <w:right w:val="none" w:sz="0" w:space="0" w:color="auto"/>
      </w:divBdr>
    </w:div>
    <w:div w:id="2123840961">
      <w:bodyDiv w:val="1"/>
      <w:marLeft w:val="0"/>
      <w:marRight w:val="0"/>
      <w:marTop w:val="0"/>
      <w:marBottom w:val="0"/>
      <w:divBdr>
        <w:top w:val="none" w:sz="0" w:space="0" w:color="auto"/>
        <w:left w:val="none" w:sz="0" w:space="0" w:color="auto"/>
        <w:bottom w:val="none" w:sz="0" w:space="0" w:color="auto"/>
        <w:right w:val="none" w:sz="0" w:space="0" w:color="auto"/>
      </w:divBdr>
    </w:div>
    <w:div w:id="2124952650">
      <w:bodyDiv w:val="1"/>
      <w:marLeft w:val="0"/>
      <w:marRight w:val="0"/>
      <w:marTop w:val="0"/>
      <w:marBottom w:val="0"/>
      <w:divBdr>
        <w:top w:val="none" w:sz="0" w:space="0" w:color="auto"/>
        <w:left w:val="none" w:sz="0" w:space="0" w:color="auto"/>
        <w:bottom w:val="none" w:sz="0" w:space="0" w:color="auto"/>
        <w:right w:val="none" w:sz="0" w:space="0" w:color="auto"/>
      </w:divBdr>
    </w:div>
    <w:div w:id="2131124129">
      <w:bodyDiv w:val="1"/>
      <w:marLeft w:val="0"/>
      <w:marRight w:val="0"/>
      <w:marTop w:val="0"/>
      <w:marBottom w:val="0"/>
      <w:divBdr>
        <w:top w:val="none" w:sz="0" w:space="0" w:color="auto"/>
        <w:left w:val="none" w:sz="0" w:space="0" w:color="auto"/>
        <w:bottom w:val="none" w:sz="0" w:space="0" w:color="auto"/>
        <w:right w:val="none" w:sz="0" w:space="0" w:color="auto"/>
      </w:divBdr>
    </w:div>
    <w:div w:id="2133404505">
      <w:bodyDiv w:val="1"/>
      <w:marLeft w:val="0"/>
      <w:marRight w:val="0"/>
      <w:marTop w:val="0"/>
      <w:marBottom w:val="0"/>
      <w:divBdr>
        <w:top w:val="none" w:sz="0" w:space="0" w:color="auto"/>
        <w:left w:val="none" w:sz="0" w:space="0" w:color="auto"/>
        <w:bottom w:val="none" w:sz="0" w:space="0" w:color="auto"/>
        <w:right w:val="none" w:sz="0" w:space="0" w:color="auto"/>
      </w:divBdr>
    </w:div>
    <w:div w:id="2133938927">
      <w:bodyDiv w:val="1"/>
      <w:marLeft w:val="0"/>
      <w:marRight w:val="0"/>
      <w:marTop w:val="0"/>
      <w:marBottom w:val="0"/>
      <w:divBdr>
        <w:top w:val="none" w:sz="0" w:space="0" w:color="auto"/>
        <w:left w:val="none" w:sz="0" w:space="0" w:color="auto"/>
        <w:bottom w:val="none" w:sz="0" w:space="0" w:color="auto"/>
        <w:right w:val="none" w:sz="0" w:space="0" w:color="auto"/>
      </w:divBdr>
    </w:div>
    <w:div w:id="2134057010">
      <w:bodyDiv w:val="1"/>
      <w:marLeft w:val="0"/>
      <w:marRight w:val="0"/>
      <w:marTop w:val="0"/>
      <w:marBottom w:val="0"/>
      <w:divBdr>
        <w:top w:val="none" w:sz="0" w:space="0" w:color="auto"/>
        <w:left w:val="none" w:sz="0" w:space="0" w:color="auto"/>
        <w:bottom w:val="none" w:sz="0" w:space="0" w:color="auto"/>
        <w:right w:val="none" w:sz="0" w:space="0" w:color="auto"/>
      </w:divBdr>
    </w:div>
    <w:div w:id="2135057466">
      <w:bodyDiv w:val="1"/>
      <w:marLeft w:val="0"/>
      <w:marRight w:val="0"/>
      <w:marTop w:val="0"/>
      <w:marBottom w:val="0"/>
      <w:divBdr>
        <w:top w:val="none" w:sz="0" w:space="0" w:color="auto"/>
        <w:left w:val="none" w:sz="0" w:space="0" w:color="auto"/>
        <w:bottom w:val="none" w:sz="0" w:space="0" w:color="auto"/>
        <w:right w:val="none" w:sz="0" w:space="0" w:color="auto"/>
      </w:divBdr>
    </w:div>
    <w:div w:id="2135057877">
      <w:bodyDiv w:val="1"/>
      <w:marLeft w:val="0"/>
      <w:marRight w:val="0"/>
      <w:marTop w:val="0"/>
      <w:marBottom w:val="0"/>
      <w:divBdr>
        <w:top w:val="none" w:sz="0" w:space="0" w:color="auto"/>
        <w:left w:val="none" w:sz="0" w:space="0" w:color="auto"/>
        <w:bottom w:val="none" w:sz="0" w:space="0" w:color="auto"/>
        <w:right w:val="none" w:sz="0" w:space="0" w:color="auto"/>
      </w:divBdr>
    </w:div>
    <w:div w:id="2140759012">
      <w:bodyDiv w:val="1"/>
      <w:marLeft w:val="0"/>
      <w:marRight w:val="0"/>
      <w:marTop w:val="0"/>
      <w:marBottom w:val="0"/>
      <w:divBdr>
        <w:top w:val="none" w:sz="0" w:space="0" w:color="auto"/>
        <w:left w:val="none" w:sz="0" w:space="0" w:color="auto"/>
        <w:bottom w:val="none" w:sz="0" w:space="0" w:color="auto"/>
        <w:right w:val="none" w:sz="0" w:space="0" w:color="auto"/>
      </w:divBdr>
    </w:div>
    <w:div w:id="2144613777">
      <w:bodyDiv w:val="1"/>
      <w:marLeft w:val="0"/>
      <w:marRight w:val="0"/>
      <w:marTop w:val="0"/>
      <w:marBottom w:val="0"/>
      <w:divBdr>
        <w:top w:val="none" w:sz="0" w:space="0" w:color="auto"/>
        <w:left w:val="none" w:sz="0" w:space="0" w:color="auto"/>
        <w:bottom w:val="none" w:sz="0" w:space="0" w:color="auto"/>
        <w:right w:val="none" w:sz="0" w:space="0" w:color="auto"/>
      </w:divBdr>
    </w:div>
    <w:div w:id="2146312737">
      <w:bodyDiv w:val="1"/>
      <w:marLeft w:val="0"/>
      <w:marRight w:val="0"/>
      <w:marTop w:val="0"/>
      <w:marBottom w:val="0"/>
      <w:divBdr>
        <w:top w:val="none" w:sz="0" w:space="0" w:color="auto"/>
        <w:left w:val="none" w:sz="0" w:space="0" w:color="auto"/>
        <w:bottom w:val="none" w:sz="0" w:space="0" w:color="auto"/>
        <w:right w:val="none" w:sz="0" w:space="0" w:color="auto"/>
      </w:divBdr>
    </w:div>
    <w:div w:id="21468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F/Proracun-direktorat/DP-SSFLS/Proracuni-obcin/Realizacija/BILANCE-PR_OBC-18-23_v_EUR-arhiv.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Delež v št. naročil</c:v>
                </c:pt>
              </c:strCache>
            </c:strRef>
          </c:tx>
          <c:spPr>
            <a:solidFill>
              <a:schemeClr val="accent1"/>
            </a:solidFill>
            <a:ln>
              <a:noFill/>
            </a:ln>
            <a:effectLst/>
          </c:spPr>
          <c:invertIfNegative val="0"/>
          <c:dLbls>
            <c:dLbl>
              <c:idx val="0"/>
              <c:numFmt formatCode="0.00\ %"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0-F650-4E9D-B9F4-122F664E3EBF}"/>
                </c:ext>
              </c:extLst>
            </c:dLbl>
            <c:dLbl>
              <c:idx val="1"/>
              <c:numFmt formatCode="0.00\ %"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1-F650-4E9D-B9F4-122F664E3EBF}"/>
                </c:ext>
              </c:extLst>
            </c:dLbl>
            <c:dLbl>
              <c:idx val="2"/>
              <c:numFmt formatCode="0.00\ %"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2-F650-4E9D-B9F4-122F664E3EB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Blago</c:v>
                </c:pt>
                <c:pt idx="1">
                  <c:v>Storitve</c:v>
                </c:pt>
                <c:pt idx="2">
                  <c:v>Gradnje</c:v>
                </c:pt>
              </c:strCache>
            </c:strRef>
          </c:cat>
          <c:val>
            <c:numRef>
              <c:f>List1!$B$2:$B$4</c:f>
              <c:numCache>
                <c:formatCode>0.00%</c:formatCode>
                <c:ptCount val="3"/>
                <c:pt idx="0">
                  <c:v>0.63049999999999995</c:v>
                </c:pt>
                <c:pt idx="1">
                  <c:v>0.27650000000000002</c:v>
                </c:pt>
                <c:pt idx="2">
                  <c:v>9.2999999999999999E-2</c:v>
                </c:pt>
              </c:numCache>
            </c:numRef>
          </c:val>
          <c:extLst>
            <c:ext xmlns:c16="http://schemas.microsoft.com/office/drawing/2014/chart" uri="{C3380CC4-5D6E-409C-BE32-E72D297353CC}">
              <c16:uniqueId val="{00000000-2BED-4C03-B9DB-D6D094B198C8}"/>
            </c:ext>
          </c:extLst>
        </c:ser>
        <c:dLbls>
          <c:showLegendKey val="0"/>
          <c:showVal val="0"/>
          <c:showCatName val="0"/>
          <c:showSerName val="0"/>
          <c:showPercent val="0"/>
          <c:showBubbleSize val="0"/>
        </c:dLbls>
        <c:gapWidth val="219"/>
        <c:overlap val="-27"/>
        <c:axId val="307060904"/>
        <c:axId val="279529288"/>
      </c:barChart>
      <c:catAx>
        <c:axId val="307060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79529288"/>
        <c:crosses val="autoZero"/>
        <c:auto val="1"/>
        <c:lblAlgn val="ctr"/>
        <c:lblOffset val="100"/>
        <c:noMultiLvlLbl val="0"/>
      </c:catAx>
      <c:valAx>
        <c:axId val="2795292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7060904"/>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Delež javnih naročil v BDP</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List1!$B$2:$B$14</c:f>
              <c:numCache>
                <c:formatCode>0.00\ %</c:formatCode>
                <c:ptCount val="13"/>
                <c:pt idx="0">
                  <c:v>7.6600000000000001E-2</c:v>
                </c:pt>
                <c:pt idx="1">
                  <c:v>7.8299999999999995E-2</c:v>
                </c:pt>
                <c:pt idx="2">
                  <c:v>0.1105</c:v>
                </c:pt>
                <c:pt idx="3">
                  <c:v>9.9299999999999999E-2</c:v>
                </c:pt>
                <c:pt idx="4">
                  <c:v>8.7999999999999995E-2</c:v>
                </c:pt>
                <c:pt idx="5">
                  <c:v>9.8400000000000001E-2</c:v>
                </c:pt>
                <c:pt idx="6">
                  <c:v>0.1099</c:v>
                </c:pt>
                <c:pt idx="7">
                  <c:v>0.1002</c:v>
                </c:pt>
                <c:pt idx="8">
                  <c:v>0.11550000000000001</c:v>
                </c:pt>
                <c:pt idx="9">
                  <c:v>0.12620000000000001</c:v>
                </c:pt>
                <c:pt idx="10">
                  <c:v>0.14760000000000001</c:v>
                </c:pt>
                <c:pt idx="11">
                  <c:v>0.1411</c:v>
                </c:pt>
                <c:pt idx="12">
                  <c:v>0.1454</c:v>
                </c:pt>
              </c:numCache>
            </c:numRef>
          </c:val>
          <c:smooth val="0"/>
          <c:extLst>
            <c:ext xmlns:c16="http://schemas.microsoft.com/office/drawing/2014/chart" uri="{C3380CC4-5D6E-409C-BE32-E72D297353CC}">
              <c16:uniqueId val="{00000000-FA98-4A59-BDDA-77E73841447D}"/>
            </c:ext>
          </c:extLst>
        </c:ser>
        <c:dLbls>
          <c:showLegendKey val="0"/>
          <c:showVal val="0"/>
          <c:showCatName val="0"/>
          <c:showSerName val="0"/>
          <c:showPercent val="0"/>
          <c:showBubbleSize val="0"/>
        </c:dLbls>
        <c:smooth val="0"/>
        <c:axId val="306919368"/>
        <c:axId val="305612384"/>
      </c:lineChart>
      <c:catAx>
        <c:axId val="30691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05612384"/>
        <c:crosses val="autoZero"/>
        <c:auto val="1"/>
        <c:lblAlgn val="ctr"/>
        <c:lblOffset val="100"/>
        <c:noMultiLvlLbl val="0"/>
      </c:catAx>
      <c:valAx>
        <c:axId val="305612384"/>
        <c:scaling>
          <c:orientation val="minMax"/>
        </c:scaling>
        <c:delete val="0"/>
        <c:axPos val="l"/>
        <c:majorGridlines>
          <c:spPr>
            <a:ln w="9525" cap="flat" cmpd="sng" algn="ctr">
              <a:solidFill>
                <a:schemeClr val="tx1">
                  <a:lumMod val="15000"/>
                  <a:lumOff val="85000"/>
                </a:schemeClr>
              </a:solidFill>
              <a:round/>
            </a:ln>
            <a:effectLst/>
          </c:spPr>
        </c:majorGridlines>
        <c:numFmt formatCode="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306919368"/>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Odprti postopek</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List1!$B$2:$B$10</c:f>
              <c:numCache>
                <c:formatCode>0.00\ %</c:formatCode>
                <c:ptCount val="9"/>
                <c:pt idx="0">
                  <c:v>0.21920000000000001</c:v>
                </c:pt>
                <c:pt idx="1">
                  <c:v>0.27189999999999998</c:v>
                </c:pt>
                <c:pt idx="2">
                  <c:v>0.24840000000000001</c:v>
                </c:pt>
                <c:pt idx="3">
                  <c:v>0.23860000000000001</c:v>
                </c:pt>
                <c:pt idx="4">
                  <c:v>0.23630000000000001</c:v>
                </c:pt>
                <c:pt idx="5">
                  <c:v>0.27910000000000001</c:v>
                </c:pt>
                <c:pt idx="6">
                  <c:v>0.3246</c:v>
                </c:pt>
                <c:pt idx="7">
                  <c:v>0.29474780538610323</c:v>
                </c:pt>
                <c:pt idx="8" formatCode="0.00%">
                  <c:v>0.27750000000000002</c:v>
                </c:pt>
              </c:numCache>
            </c:numRef>
          </c:val>
          <c:smooth val="0"/>
          <c:extLst>
            <c:ext xmlns:c16="http://schemas.microsoft.com/office/drawing/2014/chart" uri="{C3380CC4-5D6E-409C-BE32-E72D297353CC}">
              <c16:uniqueId val="{00000000-B713-409F-B273-9E01D6E9AB3F}"/>
            </c:ext>
          </c:extLst>
        </c:ser>
        <c:ser>
          <c:idx val="1"/>
          <c:order val="1"/>
          <c:tx>
            <c:strRef>
              <c:f>List1!$C$1</c:f>
              <c:strCache>
                <c:ptCount val="1"/>
                <c:pt idx="0">
                  <c:v>Postopek naročila male vrednosti</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List1!$C$2:$C$10</c:f>
              <c:numCache>
                <c:formatCode>0.00\ %</c:formatCode>
                <c:ptCount val="9"/>
                <c:pt idx="0">
                  <c:v>0.49109999999999998</c:v>
                </c:pt>
                <c:pt idx="1">
                  <c:v>0.55079999999999996</c:v>
                </c:pt>
                <c:pt idx="2">
                  <c:v>0.60070000000000001</c:v>
                </c:pt>
                <c:pt idx="3">
                  <c:v>0.61419999999999997</c:v>
                </c:pt>
                <c:pt idx="4">
                  <c:v>0.61660000000000004</c:v>
                </c:pt>
                <c:pt idx="5">
                  <c:v>0.53610000000000002</c:v>
                </c:pt>
                <c:pt idx="6">
                  <c:v>0.51029999999999998</c:v>
                </c:pt>
                <c:pt idx="7">
                  <c:v>0.54709120666567479</c:v>
                </c:pt>
                <c:pt idx="8" formatCode="0.00%">
                  <c:v>0.53200000000000003</c:v>
                </c:pt>
              </c:numCache>
            </c:numRef>
          </c:val>
          <c:smooth val="0"/>
          <c:extLst>
            <c:ext xmlns:c16="http://schemas.microsoft.com/office/drawing/2014/chart" uri="{C3380CC4-5D6E-409C-BE32-E72D297353CC}">
              <c16:uniqueId val="{00000001-B713-409F-B273-9E01D6E9AB3F}"/>
            </c:ext>
          </c:extLst>
        </c:ser>
        <c:ser>
          <c:idx val="2"/>
          <c:order val="2"/>
          <c:tx>
            <c:strRef>
              <c:f>List1!$D$1</c:f>
              <c:strCache>
                <c:ptCount val="1"/>
                <c:pt idx="0">
                  <c:v>Postopek s pogajanji brez predhodne objave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List1!$D$2:$D$10</c:f>
              <c:numCache>
                <c:formatCode>0.00\ %</c:formatCode>
                <c:ptCount val="9"/>
                <c:pt idx="0">
                  <c:v>0.19980000000000001</c:v>
                </c:pt>
                <c:pt idx="1">
                  <c:v>0.13519999999999999</c:v>
                </c:pt>
                <c:pt idx="2">
                  <c:v>0.1069</c:v>
                </c:pt>
                <c:pt idx="3">
                  <c:v>0.1101</c:v>
                </c:pt>
                <c:pt idx="4">
                  <c:v>9.2700000000000005E-2</c:v>
                </c:pt>
                <c:pt idx="5">
                  <c:v>0.13009999999999999</c:v>
                </c:pt>
                <c:pt idx="6">
                  <c:v>0.1067</c:v>
                </c:pt>
                <c:pt idx="7">
                  <c:v>9.4926350245499183E-2</c:v>
                </c:pt>
                <c:pt idx="8" formatCode="0.00%">
                  <c:v>8.6599999999999996E-2</c:v>
                </c:pt>
              </c:numCache>
            </c:numRef>
          </c:val>
          <c:smooth val="0"/>
          <c:extLst>
            <c:ext xmlns:c16="http://schemas.microsoft.com/office/drawing/2014/chart" uri="{C3380CC4-5D6E-409C-BE32-E72D297353CC}">
              <c16:uniqueId val="{00000002-B713-409F-B273-9E01D6E9AB3F}"/>
            </c:ext>
          </c:extLst>
        </c:ser>
        <c:ser>
          <c:idx val="3"/>
          <c:order val="3"/>
          <c:tx>
            <c:strRef>
              <c:f>List1!$E$1</c:f>
              <c:strCache>
                <c:ptCount val="1"/>
                <c:pt idx="0">
                  <c:v>Postopek s pogajanji po predhodni objavi</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List1!$E$2:$E$10</c:f>
              <c:numCache>
                <c:formatCode>0.00\ %</c:formatCode>
                <c:ptCount val="9"/>
                <c:pt idx="0">
                  <c:v>3.4700000000000002E-2</c:v>
                </c:pt>
                <c:pt idx="1">
                  <c:v>2.1600000000000001E-2</c:v>
                </c:pt>
                <c:pt idx="2">
                  <c:v>2.3099999999999999E-2</c:v>
                </c:pt>
                <c:pt idx="3">
                  <c:v>1.5699999999999999E-2</c:v>
                </c:pt>
                <c:pt idx="4">
                  <c:v>2.2100000000000002E-2</c:v>
                </c:pt>
                <c:pt idx="5">
                  <c:v>2.3800000000000002E-2</c:v>
                </c:pt>
                <c:pt idx="6">
                  <c:v>2.52E-2</c:v>
                </c:pt>
                <c:pt idx="7">
                  <c:v>2.4103556018449636E-2</c:v>
                </c:pt>
                <c:pt idx="8" formatCode="0.00%">
                  <c:v>2.2499999999999999E-2</c:v>
                </c:pt>
              </c:numCache>
            </c:numRef>
          </c:val>
          <c:smooth val="0"/>
          <c:extLst>
            <c:ext xmlns:c16="http://schemas.microsoft.com/office/drawing/2014/chart" uri="{C3380CC4-5D6E-409C-BE32-E72D297353CC}">
              <c16:uniqueId val="{00000003-B713-409F-B273-9E01D6E9AB3F}"/>
            </c:ext>
          </c:extLst>
        </c:ser>
        <c:ser>
          <c:idx val="4"/>
          <c:order val="4"/>
          <c:tx>
            <c:strRef>
              <c:f>List1!$F$1</c:f>
              <c:strCache>
                <c:ptCount val="1"/>
                <c:pt idx="0">
                  <c:v>Drugi postopki</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List1!$F$2:$F$10</c:f>
              <c:numCache>
                <c:formatCode>0.00\ %</c:formatCode>
                <c:ptCount val="9"/>
                <c:pt idx="0">
                  <c:v>5.5200000000000193E-2</c:v>
                </c:pt>
                <c:pt idx="1">
                  <c:v>2.0500000000000115E-2</c:v>
                </c:pt>
                <c:pt idx="2">
                  <c:v>2.0900000000000061E-2</c:v>
                </c:pt>
                <c:pt idx="3">
                  <c:v>2.1399999999999961E-2</c:v>
                </c:pt>
                <c:pt idx="4">
                  <c:v>3.2300000000000023E-2</c:v>
                </c:pt>
                <c:pt idx="5">
                  <c:v>3.09E-2</c:v>
                </c:pt>
                <c:pt idx="6">
                  <c:v>3.32E-2</c:v>
                </c:pt>
                <c:pt idx="7">
                  <c:v>3.9100000000000003E-2</c:v>
                </c:pt>
                <c:pt idx="8">
                  <c:v>8.1500000000000003E-2</c:v>
                </c:pt>
              </c:numCache>
            </c:numRef>
          </c:val>
          <c:smooth val="0"/>
          <c:extLst>
            <c:ext xmlns:c16="http://schemas.microsoft.com/office/drawing/2014/chart" uri="{C3380CC4-5D6E-409C-BE32-E72D297353CC}">
              <c16:uniqueId val="{00000004-B713-409F-B273-9E01D6E9AB3F}"/>
            </c:ext>
          </c:extLst>
        </c:ser>
        <c:dLbls>
          <c:showLegendKey val="0"/>
          <c:showVal val="0"/>
          <c:showCatName val="0"/>
          <c:showSerName val="0"/>
          <c:showPercent val="0"/>
          <c:showBubbleSize val="0"/>
        </c:dLbls>
        <c:smooth val="0"/>
        <c:axId val="308004624"/>
        <c:axId val="308005008"/>
      </c:lineChart>
      <c:catAx>
        <c:axId val="30800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8005008"/>
        <c:crosses val="autoZero"/>
        <c:auto val="1"/>
        <c:lblAlgn val="ctr"/>
        <c:lblOffset val="100"/>
        <c:noMultiLvlLbl val="0"/>
      </c:catAx>
      <c:valAx>
        <c:axId val="308005008"/>
        <c:scaling>
          <c:orientation val="minMax"/>
        </c:scaling>
        <c:delete val="0"/>
        <c:axPos val="l"/>
        <c:majorGridlines>
          <c:spPr>
            <a:ln w="9525" cap="flat" cmpd="sng" algn="ctr">
              <a:solidFill>
                <a:schemeClr val="tx1">
                  <a:lumMod val="15000"/>
                  <a:lumOff val="85000"/>
                </a:schemeClr>
              </a:solidFill>
              <a:round/>
            </a:ln>
            <a:effectLst/>
          </c:spPr>
        </c:majorGridlines>
        <c:numFmt formatCode="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8004624"/>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8576EC-9C80-42D0-A3AC-971A4D89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46117</Words>
  <Characters>262871</Characters>
  <Application>Microsoft Office Word</Application>
  <DocSecurity>0</DocSecurity>
  <Lines>2190</Lines>
  <Paragraphs>616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Uhan</dc:creator>
  <cp:keywords/>
  <dc:description/>
  <cp:lastModifiedBy>Ajda Kostanjšek</cp:lastModifiedBy>
  <cp:revision>2</cp:revision>
  <cp:lastPrinted>2023-07-31T06:30:00Z</cp:lastPrinted>
  <dcterms:created xsi:type="dcterms:W3CDTF">2024-10-25T06:42:00Z</dcterms:created>
  <dcterms:modified xsi:type="dcterms:W3CDTF">2024-10-25T06:42:00Z</dcterms:modified>
</cp:coreProperties>
</file>